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eastAsia" w:ascii="黑体" w:hAnsi="华文中宋" w:eastAsia="黑体" w:cs="宋体"/>
          <w:b/>
          <w:kern w:val="0"/>
          <w:sz w:val="44"/>
          <w:szCs w:val="44"/>
        </w:rPr>
      </w:pPr>
      <w:bookmarkStart w:id="0" w:name="_Toc31415"/>
      <w:r>
        <w:drawing>
          <wp:anchor distT="0" distB="0" distL="114300" distR="114300" simplePos="0" relativeHeight="251693056" behindDoc="0" locked="0" layoutInCell="1" allowOverlap="1">
            <wp:simplePos x="0" y="0"/>
            <wp:positionH relativeFrom="column">
              <wp:align>left</wp:align>
            </wp:positionH>
            <wp:positionV relativeFrom="paragraph">
              <wp:posOffset>0</wp:posOffset>
            </wp:positionV>
            <wp:extent cx="876300" cy="1000125"/>
            <wp:effectExtent l="0" t="0" r="0" b="3175"/>
            <wp:wrapSquare wrapText="right"/>
            <wp:docPr id="62" name="图片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logo1"/>
                    <pic:cNvPicPr>
                      <a:picLocks noChangeAspect="1"/>
                    </pic:cNvPicPr>
                  </pic:nvPicPr>
                  <pic:blipFill>
                    <a:blip r:embed="rId21"/>
                    <a:stretch>
                      <a:fillRect/>
                    </a:stretch>
                  </pic:blipFill>
                  <pic:spPr>
                    <a:xfrm>
                      <a:off x="0" y="0"/>
                      <a:ext cx="876300" cy="1000125"/>
                    </a:xfrm>
                    <a:prstGeom prst="rect">
                      <a:avLst/>
                    </a:prstGeom>
                    <a:noFill/>
                    <a:ln>
                      <a:noFill/>
                    </a:ln>
                  </pic:spPr>
                </pic:pic>
              </a:graphicData>
            </a:graphic>
          </wp:anchor>
        </w:drawing>
      </w:r>
      <w:r>
        <w:rPr>
          <w:rFonts w:ascii="黑体" w:hAnsi="华文中宋" w:eastAsia="黑体" w:cs="宋体"/>
          <w:b/>
          <w:kern w:val="0"/>
          <w:sz w:val="44"/>
          <w:szCs w:val="44"/>
        </w:rPr>
        <w:br w:type="textWrapping" w:clear="all"/>
      </w:r>
      <w:bookmarkEnd w:id="0"/>
    </w:p>
    <w:p>
      <w:pPr>
        <w:rPr>
          <w:rFonts w:hint="eastAsia" w:ascii="黑体" w:hAnsi="华文中宋" w:eastAsia="黑体" w:cs="宋体"/>
          <w:b/>
          <w:kern w:val="0"/>
          <w:sz w:val="44"/>
          <w:szCs w:val="44"/>
        </w:rPr>
      </w:pPr>
    </w:p>
    <w:p>
      <w:pPr>
        <w:rPr>
          <w:rFonts w:hint="eastAsia" w:ascii="黑体" w:hAnsi="华文中宋" w:eastAsia="黑体" w:cs="宋体"/>
          <w:b/>
          <w:kern w:val="0"/>
          <w:sz w:val="44"/>
          <w:szCs w:val="44"/>
        </w:rPr>
      </w:pPr>
    </w:p>
    <w:p>
      <w:pPr>
        <w:rPr>
          <w:rFonts w:hint="eastAsia" w:ascii="黑体" w:hAnsi="华文中宋" w:eastAsia="黑体" w:cs="宋体"/>
          <w:b/>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bCs w:val="0"/>
          <w:kern w:val="0"/>
          <w:sz w:val="44"/>
          <w:szCs w:val="44"/>
        </w:rPr>
      </w:pPr>
      <w:r>
        <w:rPr>
          <w:rFonts w:hint="eastAsia" w:ascii="方正小标宋简体" w:hAnsi="方正小标宋简体" w:eastAsia="方正小标宋简体" w:cs="方正小标宋简体"/>
          <w:b/>
          <w:bCs w:val="0"/>
          <w:kern w:val="0"/>
          <w:sz w:val="44"/>
          <w:szCs w:val="44"/>
        </w:rPr>
        <w:t>中油南充燃气有限责任公司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bCs w:val="0"/>
          <w:kern w:val="0"/>
          <w:sz w:val="44"/>
          <w:szCs w:val="44"/>
        </w:rPr>
      </w:pPr>
      <w:r>
        <w:rPr>
          <w:rFonts w:hint="eastAsia" w:ascii="方正小标宋简体" w:hAnsi="方正小标宋简体" w:eastAsia="方正小标宋简体" w:cs="方正小标宋简体"/>
          <w:b/>
          <w:bCs w:val="0"/>
          <w:kern w:val="0"/>
          <w:sz w:val="44"/>
          <w:szCs w:val="44"/>
          <w:lang w:eastAsia="zh-CN"/>
        </w:rPr>
        <w:t>安全生产</w:t>
      </w:r>
      <w:r>
        <w:rPr>
          <w:rFonts w:hint="eastAsia" w:ascii="方正小标宋简体" w:hAnsi="方正小标宋简体" w:eastAsia="方正小标宋简体" w:cs="方正小标宋简体"/>
          <w:b/>
          <w:bCs w:val="0"/>
          <w:kern w:val="0"/>
          <w:sz w:val="44"/>
          <w:szCs w:val="44"/>
        </w:rPr>
        <w:t>规章制度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bCs w:val="0"/>
          <w:kern w:val="0"/>
          <w:sz w:val="44"/>
          <w:szCs w:val="44"/>
        </w:rPr>
      </w:pPr>
      <w:r>
        <w:rPr>
          <w:rFonts w:hint="eastAsia" w:ascii="方正小标宋简体" w:hAnsi="方正小标宋简体" w:eastAsia="方正小标宋简体" w:cs="方正小标宋简体"/>
          <w:b/>
          <w:bCs w:val="0"/>
          <w:kern w:val="0"/>
          <w:sz w:val="44"/>
          <w:szCs w:val="44"/>
        </w:rPr>
        <w:t>汇编</w:t>
      </w:r>
    </w:p>
    <w:p>
      <w:pPr>
        <w:rPr>
          <w:rFonts w:hint="eastAsia" w:ascii="黑体" w:hAnsi="华文中宋" w:eastAsia="黑体" w:cs="宋体"/>
          <w:b/>
          <w:kern w:val="0"/>
          <w:sz w:val="44"/>
          <w:szCs w:val="44"/>
        </w:rPr>
      </w:pPr>
    </w:p>
    <w:p>
      <w:pPr>
        <w:rPr>
          <w:rFonts w:hint="eastAsia" w:ascii="黑体" w:hAnsi="华文中宋" w:eastAsia="黑体" w:cs="宋体"/>
          <w:b/>
          <w:kern w:val="0"/>
          <w:sz w:val="44"/>
          <w:szCs w:val="44"/>
        </w:rPr>
      </w:pPr>
    </w:p>
    <w:p>
      <w:pPr>
        <w:rPr>
          <w:rFonts w:hint="eastAsia" w:ascii="黑体" w:hAnsi="华文中宋" w:eastAsia="黑体" w:cs="宋体"/>
          <w:b/>
          <w:kern w:val="0"/>
          <w:sz w:val="44"/>
          <w:szCs w:val="44"/>
        </w:rPr>
      </w:pPr>
    </w:p>
    <w:p>
      <w:pPr>
        <w:rPr>
          <w:rFonts w:hint="eastAsia" w:ascii="黑体" w:hAnsi="华文中宋" w:eastAsia="黑体" w:cs="宋体"/>
          <w:b/>
          <w:kern w:val="0"/>
          <w:sz w:val="44"/>
          <w:szCs w:val="44"/>
        </w:rPr>
      </w:pPr>
    </w:p>
    <w:p>
      <w:pPr>
        <w:rPr>
          <w:rFonts w:hint="eastAsia" w:ascii="黑体" w:hAnsi="华文中宋" w:eastAsia="黑体" w:cs="宋体"/>
          <w:b/>
          <w:kern w:val="0"/>
          <w:sz w:val="44"/>
          <w:szCs w:val="44"/>
        </w:rPr>
      </w:pPr>
    </w:p>
    <w:p>
      <w:pPr>
        <w:jc w:val="both"/>
        <w:rPr>
          <w:rFonts w:hint="eastAsia" w:ascii="方正仿宋简体" w:hAnsi="方正仿宋简体" w:eastAsia="方正仿宋简体" w:cs="方正仿宋简体"/>
          <w:b w:val="0"/>
          <w:bCs/>
          <w:kern w:val="0"/>
          <w:sz w:val="28"/>
          <w:szCs w:val="28"/>
          <w:lang w:eastAsia="zh-CN"/>
        </w:rPr>
      </w:pPr>
    </w:p>
    <w:p>
      <w:pPr>
        <w:jc w:val="both"/>
        <w:rPr>
          <w:rFonts w:hint="eastAsia" w:ascii="方正仿宋简体" w:hAnsi="方正仿宋简体" w:eastAsia="方正仿宋简体" w:cs="方正仿宋简体"/>
          <w:b w:val="0"/>
          <w:bCs/>
          <w:kern w:val="0"/>
          <w:sz w:val="28"/>
          <w:szCs w:val="28"/>
          <w:lang w:eastAsia="zh-CN"/>
        </w:rPr>
      </w:pPr>
    </w:p>
    <w:p>
      <w:pPr>
        <w:jc w:val="both"/>
        <w:rPr>
          <w:rFonts w:hint="eastAsia" w:ascii="方正仿宋简体" w:hAnsi="方正仿宋简体" w:eastAsia="方正仿宋简体" w:cs="方正仿宋简体"/>
          <w:b w:val="0"/>
          <w:bCs/>
          <w:kern w:val="0"/>
          <w:sz w:val="28"/>
          <w:szCs w:val="28"/>
          <w:lang w:eastAsia="zh-CN"/>
        </w:rPr>
      </w:pPr>
    </w:p>
    <w:p>
      <w:pPr>
        <w:jc w:val="both"/>
        <w:rPr>
          <w:rFonts w:hint="eastAsia" w:ascii="方正仿宋简体" w:hAnsi="方正仿宋简体" w:eastAsia="方正仿宋简体" w:cs="方正仿宋简体"/>
          <w:b w:val="0"/>
          <w:bCs/>
          <w:kern w:val="0"/>
          <w:sz w:val="28"/>
          <w:szCs w:val="28"/>
          <w:lang w:eastAsia="zh-CN"/>
        </w:rPr>
      </w:pPr>
    </w:p>
    <w:p>
      <w:pPr>
        <w:jc w:val="center"/>
        <w:rPr>
          <w:rFonts w:hint="eastAsia" w:ascii="方正仿宋简体" w:hAnsi="方正仿宋简体" w:eastAsia="方正仿宋简体" w:cs="方正仿宋简体"/>
          <w:b w:val="0"/>
          <w:bCs/>
          <w:kern w:val="0"/>
          <w:sz w:val="28"/>
          <w:szCs w:val="28"/>
          <w:lang w:eastAsia="zh-CN"/>
        </w:rPr>
      </w:pPr>
    </w:p>
    <w:p>
      <w:pPr>
        <w:jc w:val="center"/>
        <w:rPr>
          <w:rFonts w:hint="eastAsia" w:ascii="方正黑体简体" w:hAnsi="方正黑体简体" w:eastAsia="方正黑体简体" w:cs="方正黑体简体"/>
          <w:b w:val="0"/>
          <w:bCs/>
          <w:kern w:val="0"/>
          <w:sz w:val="32"/>
          <w:szCs w:val="32"/>
          <w:lang w:eastAsia="zh-CN"/>
        </w:rPr>
      </w:pPr>
    </w:p>
    <w:p>
      <w:pPr>
        <w:jc w:val="center"/>
        <w:rPr>
          <w:rFonts w:hint="eastAsia" w:ascii="方正黑体简体" w:hAnsi="方正黑体简体" w:eastAsia="方正黑体简体" w:cs="方正黑体简体"/>
          <w:b/>
          <w:kern w:val="0"/>
          <w:sz w:val="32"/>
          <w:szCs w:val="32"/>
          <w:lang w:eastAsia="zh-CN"/>
        </w:rPr>
      </w:pPr>
      <w:r>
        <w:rPr>
          <w:rFonts w:hint="eastAsia" w:ascii="方正黑体简体" w:hAnsi="方正黑体简体" w:eastAsia="方正黑体简体" w:cs="方正黑体简体"/>
          <w:b w:val="0"/>
          <w:bCs/>
          <w:kern w:val="0"/>
          <w:sz w:val="32"/>
          <w:szCs w:val="32"/>
          <w:lang w:eastAsia="zh-CN"/>
        </w:rPr>
        <w:t>中油南充燃气有限责任公司</w:t>
      </w:r>
    </w:p>
    <w:p>
      <w:pPr>
        <w:jc w:val="center"/>
        <w:rPr>
          <w:rFonts w:hint="eastAsia" w:ascii="方正黑体简体" w:hAnsi="方正黑体简体" w:eastAsia="方正黑体简体" w:cs="方正黑体简体"/>
          <w:b/>
          <w:kern w:val="0"/>
          <w:sz w:val="32"/>
          <w:szCs w:val="32"/>
        </w:rPr>
      </w:pPr>
    </w:p>
    <w:p>
      <w:pPr>
        <w:jc w:val="center"/>
        <w:rPr>
          <w:rFonts w:hint="eastAsia" w:ascii="方正黑体简体" w:hAnsi="方正黑体简体" w:eastAsia="方正黑体简体" w:cs="方正黑体简体"/>
          <w:b w:val="0"/>
          <w:bCs/>
          <w:kern w:val="0"/>
          <w:sz w:val="32"/>
          <w:szCs w:val="32"/>
        </w:rPr>
      </w:pPr>
      <w:r>
        <w:rPr>
          <w:rFonts w:hint="eastAsia" w:ascii="方正黑体简体" w:hAnsi="方正黑体简体" w:eastAsia="方正黑体简体" w:cs="方正黑体简体"/>
          <w:b w:val="0"/>
          <w:bCs/>
          <w:kern w:val="0"/>
          <w:sz w:val="32"/>
          <w:szCs w:val="32"/>
          <w:lang w:val="en-US" w:eastAsia="zh-CN"/>
        </w:rPr>
        <w:t>2021</w:t>
      </w:r>
      <w:r>
        <w:rPr>
          <w:rFonts w:hint="eastAsia" w:ascii="方正黑体简体" w:hAnsi="方正黑体简体" w:eastAsia="方正黑体简体" w:cs="方正黑体简体"/>
          <w:b w:val="0"/>
          <w:bCs/>
          <w:kern w:val="0"/>
          <w:sz w:val="32"/>
          <w:szCs w:val="32"/>
        </w:rPr>
        <w:t>年</w:t>
      </w:r>
      <w:r>
        <w:rPr>
          <w:rFonts w:hint="eastAsia" w:ascii="方正黑体简体" w:hAnsi="方正黑体简体" w:eastAsia="方正黑体简体" w:cs="方正黑体简体"/>
          <w:b w:val="0"/>
          <w:bCs/>
          <w:kern w:val="0"/>
          <w:sz w:val="32"/>
          <w:szCs w:val="32"/>
          <w:lang w:val="en-US" w:eastAsia="zh-CN"/>
        </w:rPr>
        <w:t>4</w:t>
      </w:r>
      <w:r>
        <w:rPr>
          <w:rFonts w:hint="eastAsia" w:ascii="方正黑体简体" w:hAnsi="方正黑体简体" w:eastAsia="方正黑体简体" w:cs="方正黑体简体"/>
          <w:b w:val="0"/>
          <w:bCs/>
          <w:kern w:val="0"/>
          <w:sz w:val="32"/>
          <w:szCs w:val="32"/>
        </w:rPr>
        <w:t>月</w:t>
      </w:r>
    </w:p>
    <w:p>
      <w:pPr>
        <w:jc w:val="center"/>
        <w:rPr>
          <w:rFonts w:hint="eastAsia" w:ascii="方正仿宋简体" w:hAnsi="方正仿宋简体" w:eastAsia="方正仿宋简体" w:cs="方正仿宋简体"/>
          <w:b w:val="0"/>
          <w:bCs/>
          <w:kern w:val="0"/>
          <w:sz w:val="28"/>
          <w:szCs w:val="28"/>
        </w:rPr>
      </w:pPr>
    </w:p>
    <w:p>
      <w:pPr>
        <w:rPr>
          <w:rFonts w:hint="eastAsia" w:ascii="黑体" w:hAnsi="华文中宋" w:eastAsia="黑体" w:cs="宋体"/>
          <w:b/>
          <w:kern w:val="0"/>
          <w:sz w:val="30"/>
          <w:szCs w:val="30"/>
        </w:rPr>
      </w:pPr>
    </w:p>
    <w:p>
      <w:pPr>
        <w:rPr>
          <w:rFonts w:hint="eastAsia" w:ascii="黑体" w:hAnsi="华文中宋" w:eastAsia="黑体" w:cs="宋体"/>
          <w:b/>
          <w:kern w:val="0"/>
          <w:sz w:val="30"/>
          <w:szCs w:val="30"/>
        </w:rPr>
      </w:pPr>
    </w:p>
    <w:p>
      <w:pPr>
        <w:pStyle w:val="30"/>
        <w:shd w:val="clear" w:color="auto" w:fill="auto"/>
        <w:tabs>
          <w:tab w:val="right" w:leader="dot" w:pos="9070"/>
          <w:tab w:val="clear" w:pos="8850"/>
          <w:tab w:val="clear" w:pos="9059"/>
        </w:tabs>
        <w:jc w:val="center"/>
        <w:rPr>
          <w:rFonts w:hint="eastAsia" w:ascii="方正仿宋简体" w:hAnsi="方正仿宋简体" w:eastAsia="方正仿宋简体" w:cs="方正仿宋简体"/>
          <w:b w:val="0"/>
          <w:bCs w:val="0"/>
          <w:sz w:val="28"/>
          <w:szCs w:val="28"/>
          <w:lang w:val="en-US" w:eastAsia="zh-CN"/>
        </w:rPr>
      </w:pPr>
      <w:bookmarkStart w:id="1" w:name="_Toc23507"/>
      <w:bookmarkStart w:id="2" w:name="_Toc15881"/>
      <w:bookmarkStart w:id="3" w:name="_Toc17907"/>
      <w:bookmarkStart w:id="4" w:name="_Toc87320396"/>
      <w:bookmarkStart w:id="5" w:name="_Toc134859468"/>
      <w:r>
        <w:rPr>
          <w:rFonts w:hint="eastAsia" w:ascii="方正仿宋简体" w:hAnsi="方正仿宋简体" w:eastAsia="方正仿宋简体" w:cs="方正仿宋简体"/>
          <w:b w:val="0"/>
          <w:bCs w:val="0"/>
          <w:sz w:val="28"/>
          <w:szCs w:val="28"/>
          <w:lang w:val="en-US" w:eastAsia="zh-CN"/>
        </w:rPr>
        <w:t>目录</w:t>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TOC \o "1-1" \h \u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_Toc5098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中油南充燃气有限责任公司生产运行及维护管理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_Toc5098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_Toc21354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中油南充燃气有限责任公司燃气安装管理办法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_Toc21354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_Toc21948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w:t>
      </w:r>
      <w:r>
        <w:rPr>
          <w:rFonts w:hint="eastAsia" w:ascii="方正仿宋简体" w:hAnsi="方正仿宋简体" w:eastAsia="方正仿宋简体" w:cs="方正仿宋简体"/>
          <w:b w:val="0"/>
          <w:bCs w:val="0"/>
          <w:sz w:val="28"/>
          <w:szCs w:val="28"/>
          <w:lang w:eastAsia="zh-CN"/>
        </w:rPr>
        <w:t>设施</w:t>
      </w:r>
      <w:r>
        <w:rPr>
          <w:rFonts w:hint="eastAsia" w:ascii="方正仿宋简体" w:hAnsi="方正仿宋简体" w:eastAsia="方正仿宋简体" w:cs="方正仿宋简体"/>
          <w:b w:val="0"/>
          <w:bCs w:val="0"/>
          <w:sz w:val="28"/>
          <w:szCs w:val="28"/>
        </w:rPr>
        <w:t>设备</w:t>
      </w:r>
      <w:r>
        <w:rPr>
          <w:rFonts w:hint="eastAsia" w:ascii="方正仿宋简体" w:hAnsi="方正仿宋简体" w:eastAsia="方正仿宋简体" w:cs="方正仿宋简体"/>
          <w:b w:val="0"/>
          <w:bCs w:val="0"/>
          <w:sz w:val="28"/>
          <w:szCs w:val="28"/>
          <w:lang w:eastAsia="zh-CN"/>
        </w:rPr>
        <w:t>综合安全</w:t>
      </w:r>
      <w:r>
        <w:rPr>
          <w:rFonts w:hint="eastAsia" w:ascii="方正仿宋简体" w:hAnsi="方正仿宋简体" w:eastAsia="方正仿宋简体" w:cs="方正仿宋简体"/>
          <w:b w:val="0"/>
          <w:bCs w:val="0"/>
          <w:sz w:val="28"/>
          <w:szCs w:val="28"/>
        </w:rPr>
        <w:t>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_Toc21948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_Toc27754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w:t>
      </w:r>
      <w:r>
        <w:rPr>
          <w:rFonts w:hint="eastAsia" w:ascii="方正仿宋简体" w:hAnsi="方正仿宋简体" w:eastAsia="方正仿宋简体" w:cs="方正仿宋简体"/>
          <w:b w:val="0"/>
          <w:bCs w:val="0"/>
          <w:sz w:val="28"/>
          <w:szCs w:val="28"/>
          <w:lang w:val="en-US" w:eastAsia="zh-CN"/>
        </w:rPr>
        <w:t>设施设备维护保养制度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_Toc27754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42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bookmarkStart w:id="1314" w:name="_GoBack"/>
      <w:bookmarkEnd w:id="1314"/>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_Toc25393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w:t>
      </w:r>
      <w:r>
        <w:rPr>
          <w:rFonts w:hint="eastAsia" w:ascii="方正仿宋简体" w:hAnsi="方正仿宋简体" w:eastAsia="方正仿宋简体" w:cs="方正仿宋简体"/>
          <w:b w:val="0"/>
          <w:bCs w:val="0"/>
          <w:sz w:val="28"/>
          <w:szCs w:val="28"/>
          <w:lang w:val="en-US" w:eastAsia="zh-CN"/>
        </w:rPr>
        <w:t>特种设备安全管理制度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_Toc25393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60</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_Toc4570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中油南充燃气有限责任公司特种作业人员管理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_Toc4570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_Toc8277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中油南充燃气有限责任公司电力</w:t>
      </w:r>
      <w:r>
        <w:rPr>
          <w:rFonts w:hint="eastAsia" w:ascii="方正仿宋简体" w:hAnsi="方正仿宋简体" w:eastAsia="方正仿宋简体" w:cs="方正仿宋简体"/>
          <w:b w:val="0"/>
          <w:bCs w:val="0"/>
          <w:sz w:val="28"/>
          <w:szCs w:val="28"/>
          <w:lang w:eastAsia="zh-CN"/>
        </w:rPr>
        <w:t>安全</w:t>
      </w:r>
      <w:r>
        <w:rPr>
          <w:rFonts w:hint="eastAsia" w:ascii="方正仿宋简体" w:hAnsi="方正仿宋简体" w:eastAsia="方正仿宋简体" w:cs="方正仿宋简体"/>
          <w:b w:val="0"/>
          <w:bCs w:val="0"/>
          <w:sz w:val="28"/>
          <w:szCs w:val="28"/>
        </w:rPr>
        <w:t>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_Toc8277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_Toc27443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中油南充燃气有限责任公司生产调度管理办法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_Toc27443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79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_Toc5787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中油南充燃气有限责任公司燃气应急抢修管理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_Toc5787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87</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_Toc25481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中油南充燃气有限责任公司资产大修项目管理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_Toc25481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92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_Toc30140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中油南充燃气有限责任公司突发事件应急物资储备管理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_Toc30140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110</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_Toc24799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中油南充燃气有限责任公司自然灾害防治管理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_Toc24799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118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_Toc21548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w:t>
      </w:r>
      <w:r>
        <w:rPr>
          <w:rFonts w:hint="eastAsia" w:ascii="方正仿宋简体" w:hAnsi="方正仿宋简体" w:eastAsia="方正仿宋简体" w:cs="方正仿宋简体"/>
          <w:b w:val="0"/>
          <w:bCs w:val="0"/>
          <w:sz w:val="28"/>
          <w:szCs w:val="28"/>
          <w:lang w:eastAsia="zh-CN"/>
        </w:rPr>
        <w:t>安全生产管理和安全生产标准化操作制度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_Toc21548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132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_Toc20049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中油南充燃气有限责任公司管道</w:t>
      </w:r>
      <w:r>
        <w:rPr>
          <w:rFonts w:hint="eastAsia" w:ascii="方正仿宋简体" w:hAnsi="方正仿宋简体" w:eastAsia="方正仿宋简体" w:cs="方正仿宋简体"/>
          <w:b w:val="0"/>
          <w:bCs w:val="0"/>
          <w:sz w:val="28"/>
          <w:szCs w:val="28"/>
          <w:lang w:eastAsia="zh-CN"/>
        </w:rPr>
        <w:t>安全</w:t>
      </w:r>
      <w:r>
        <w:rPr>
          <w:rFonts w:hint="eastAsia" w:ascii="方正仿宋简体" w:hAnsi="方正仿宋简体" w:eastAsia="方正仿宋简体" w:cs="方正仿宋简体"/>
          <w:b w:val="0"/>
          <w:bCs w:val="0"/>
          <w:sz w:val="28"/>
          <w:szCs w:val="28"/>
        </w:rPr>
        <w:t>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_Toc20049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143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_Toc19760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中油南充燃气有限责任公司管道巡护管理办法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_Toc19760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161</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_Toc3164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中油南充燃气有限责任公司法律事务管理办法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_Toc3164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214</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_Toc20592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rPr>
        <w:t>中油南充燃气有限责任公司安全生产</w:t>
      </w:r>
      <w:r>
        <w:rPr>
          <w:rFonts w:hint="eastAsia" w:ascii="方正仿宋简体" w:hAnsi="方正仿宋简体" w:eastAsia="方正仿宋简体" w:cs="方正仿宋简体"/>
          <w:b w:val="0"/>
          <w:bCs w:val="0"/>
          <w:kern w:val="44"/>
          <w:sz w:val="28"/>
          <w:szCs w:val="28"/>
          <w:lang w:eastAsia="zh-CN"/>
        </w:rPr>
        <w:t>投入保障制度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_Toc20592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221</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_Toc14139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中油南充燃气有限责任公司安全生产责任制</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_Toc14139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229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_Toc2202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w:t>
      </w:r>
      <w:r>
        <w:rPr>
          <w:rFonts w:hint="eastAsia" w:ascii="方正仿宋简体" w:hAnsi="方正仿宋简体" w:eastAsia="方正仿宋简体" w:cs="方正仿宋简体"/>
          <w:b w:val="0"/>
          <w:bCs w:val="0"/>
          <w:sz w:val="28"/>
          <w:szCs w:val="28"/>
          <w:highlight w:val="none"/>
          <w:lang w:eastAsia="zh-CN"/>
        </w:rPr>
        <w:t>生产安全事故</w:t>
      </w:r>
      <w:r>
        <w:rPr>
          <w:rFonts w:hint="eastAsia" w:ascii="方正仿宋简体" w:hAnsi="方正仿宋简体" w:eastAsia="方正仿宋简体" w:cs="方正仿宋简体"/>
          <w:b w:val="0"/>
          <w:bCs w:val="0"/>
          <w:sz w:val="28"/>
          <w:szCs w:val="28"/>
          <w:highlight w:val="none"/>
        </w:rPr>
        <w:t>应急预案</w:t>
      </w:r>
      <w:r>
        <w:rPr>
          <w:rFonts w:hint="eastAsia" w:ascii="方正仿宋简体" w:hAnsi="方正仿宋简体" w:eastAsia="方正仿宋简体" w:cs="方正仿宋简体"/>
          <w:b w:val="0"/>
          <w:bCs w:val="0"/>
          <w:sz w:val="28"/>
          <w:szCs w:val="28"/>
          <w:highlight w:val="none"/>
          <w:lang w:eastAsia="zh-CN"/>
        </w:rPr>
        <w:t>和应急体系管理制度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_Toc2202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249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_Toc28442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中油南充燃气有限责任公司安全生产</w:t>
      </w:r>
      <w:r>
        <w:rPr>
          <w:rFonts w:hint="eastAsia" w:ascii="方正仿宋简体" w:hAnsi="方正仿宋简体" w:eastAsia="方正仿宋简体" w:cs="方正仿宋简体"/>
          <w:b w:val="0"/>
          <w:bCs w:val="0"/>
          <w:sz w:val="28"/>
          <w:szCs w:val="28"/>
          <w:lang w:eastAsia="zh-CN"/>
        </w:rPr>
        <w:t>管理实施细则</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_Toc28442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254</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_Toc8892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中油南充燃气有限责任公司重大危险源</w:t>
      </w:r>
      <w:r>
        <w:rPr>
          <w:rFonts w:hint="eastAsia" w:ascii="方正仿宋简体" w:hAnsi="方正仿宋简体" w:eastAsia="方正仿宋简体" w:cs="方正仿宋简体"/>
          <w:b w:val="0"/>
          <w:bCs w:val="0"/>
          <w:sz w:val="28"/>
          <w:szCs w:val="28"/>
          <w:lang w:eastAsia="zh-CN"/>
        </w:rPr>
        <w:t>安全管理制度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_Toc8892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275</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_Toc17030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中油南充燃气有限责任公司用户</w:t>
      </w:r>
      <w:r>
        <w:rPr>
          <w:rFonts w:hint="eastAsia" w:ascii="方正仿宋简体" w:hAnsi="方正仿宋简体" w:eastAsia="方正仿宋简体" w:cs="方正仿宋简体"/>
          <w:b w:val="0"/>
          <w:bCs w:val="0"/>
          <w:sz w:val="28"/>
          <w:szCs w:val="28"/>
          <w:highlight w:val="none"/>
          <w:lang w:val="en-US" w:eastAsia="zh-CN"/>
        </w:rPr>
        <w:t>燃气设施</w:t>
      </w:r>
      <w:r>
        <w:rPr>
          <w:rFonts w:hint="eastAsia" w:ascii="方正仿宋简体" w:hAnsi="方正仿宋简体" w:eastAsia="方正仿宋简体" w:cs="方正仿宋简体"/>
          <w:b w:val="0"/>
          <w:bCs w:val="0"/>
          <w:sz w:val="28"/>
          <w:szCs w:val="28"/>
          <w:highlight w:val="none"/>
        </w:rPr>
        <w:t>安全管理办法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_Toc17030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281</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_Toc28162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中油南充燃气有限责任公司环境保护管理办法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_Toc28162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289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_Toc23088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中油南充燃气有限责任公司抢险维修管理制度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_Toc23088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292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_Toc23602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w:t>
      </w:r>
      <w:r>
        <w:rPr>
          <w:rFonts w:hint="eastAsia" w:ascii="方正仿宋简体" w:hAnsi="方正仿宋简体" w:eastAsia="方正仿宋简体" w:cs="方正仿宋简体"/>
          <w:b w:val="0"/>
          <w:bCs w:val="0"/>
          <w:sz w:val="28"/>
          <w:szCs w:val="28"/>
          <w:highlight w:val="none"/>
          <w:lang w:eastAsia="zh-CN"/>
        </w:rPr>
        <w:t>生产安全事故报告和调查处理制度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_Toc23602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299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_Toc2876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中油南充燃气有限责任公司节能节水管理办法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_Toc2876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311</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_Toc1244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中油南充燃气有限责任公司消防安全管理</w:t>
      </w:r>
      <w:r>
        <w:rPr>
          <w:rFonts w:hint="eastAsia" w:ascii="方正仿宋简体" w:hAnsi="方正仿宋简体" w:eastAsia="方正仿宋简体" w:cs="方正仿宋简体"/>
          <w:b w:val="0"/>
          <w:bCs w:val="0"/>
          <w:sz w:val="28"/>
          <w:szCs w:val="28"/>
          <w:highlight w:val="none"/>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_Toc1244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316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_Toc20980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w:t>
      </w:r>
      <w:r>
        <w:rPr>
          <w:rFonts w:hint="eastAsia" w:ascii="方正仿宋简体" w:hAnsi="方正仿宋简体" w:eastAsia="方正仿宋简体" w:cs="方正仿宋简体"/>
          <w:b w:val="0"/>
          <w:bCs w:val="0"/>
          <w:sz w:val="28"/>
          <w:szCs w:val="28"/>
          <w:highlight w:val="none"/>
          <w:lang w:eastAsia="zh-CN"/>
        </w:rPr>
        <w:t>劳动防护用品使用和管理制度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_Toc20980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337</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_Toc4663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中油南充燃气有限责任公司安全环保隐患排查治理管理办法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_Toc4663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348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_Toc6776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中油南充燃气有限责任公司安全环保风险控制奖实施细则</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_Toc6776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360</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_Toc10115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中油南充燃气有限责任公司公文管理办法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_Toc10115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384</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_Toc19499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rPr>
        <w:t>中油南充燃气有限责任公司档案管理制度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_Toc19499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392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_Toc843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highlight w:val="none"/>
          <w:shd w:val="clear" w:color="auto" w:fill="FFFFFF"/>
          <w:lang w:eastAsia="zh-CN"/>
        </w:rPr>
        <w:t>中油南充燃气有限责任公司作业许可管理办法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_Toc843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396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_Toc5454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中油南充燃气有限责任公司机关领导干部“三联系”管理实施办法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_Toc5454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472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_Toc1293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eastAsia="zh-CN"/>
        </w:rPr>
        <w:t>中油南充</w:t>
      </w:r>
      <w:r>
        <w:rPr>
          <w:rFonts w:hint="eastAsia" w:ascii="方正仿宋简体" w:hAnsi="方正仿宋简体" w:eastAsia="方正仿宋简体" w:cs="方正仿宋简体"/>
          <w:b w:val="0"/>
          <w:bCs w:val="0"/>
          <w:sz w:val="28"/>
          <w:szCs w:val="28"/>
        </w:rPr>
        <w:t>燃气有限责任公司</w:t>
      </w:r>
      <w:r>
        <w:rPr>
          <w:rFonts w:hint="eastAsia" w:ascii="方正仿宋简体" w:hAnsi="方正仿宋简体" w:eastAsia="方正仿宋简体" w:cs="方正仿宋简体"/>
          <w:b w:val="0"/>
          <w:bCs w:val="0"/>
          <w:sz w:val="28"/>
          <w:szCs w:val="28"/>
          <w:lang w:eastAsia="zh-CN"/>
        </w:rPr>
        <w:t>建设项目安全设施“三同时”管理制度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_Toc1293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483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_Toc8356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中油南充燃气有限责任公司职业卫生管理制度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_Toc8356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488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_Toc14547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中油南充燃气有限责任公司生产安全风险防控管理实施细则</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_Toc14547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496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_Toc27932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中油南充燃气有限责任公司安全环保履职考评管理办法</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_Toc27932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508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_Toc32713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中油南充燃气有限责任公司工伤保险管理制度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_Toc32713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514</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_Toc29537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中油南充燃气有限责任公司安全生产教育培训管理考核制度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_Toc29537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519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_Toc10940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中油南充燃气有限责任公司生产设备设施验收管理制度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_Toc10940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522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_Toc49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中油南充燃气有限责任公司生产设备设施报废管理制度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_Toc49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524</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_Toc14196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中油南充燃气有限责任公司相关方及外用工管理制度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_Toc14196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526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_Toc11318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中油南充燃气有限责任公司供应商管理制度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_Toc11318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528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_Toc31230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中油南充燃气有限责任公司警示标志和安全防护管理制度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_Toc31230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533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_Toc22892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中油南充燃气有限责任公司变更管理制度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_Toc22892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536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_Toc14852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中油南充燃气有限责任公司安全标准化绩效评定管理制度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_Toc14852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539</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_Toc20486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中油南充燃气有限责任公司</w:t>
      </w:r>
      <w:r>
        <w:rPr>
          <w:rFonts w:hint="eastAsia" w:ascii="方正仿宋简体" w:hAnsi="方正仿宋简体" w:eastAsia="方正仿宋简体" w:cs="方正仿宋简体"/>
          <w:b w:val="0"/>
          <w:bCs w:val="0"/>
          <w:sz w:val="28"/>
          <w:szCs w:val="28"/>
        </w:rPr>
        <w:t>安全管理机构</w:t>
      </w:r>
      <w:r>
        <w:rPr>
          <w:rFonts w:hint="eastAsia" w:ascii="方正仿宋简体" w:hAnsi="方正仿宋简体" w:eastAsia="方正仿宋简体" w:cs="方正仿宋简体"/>
          <w:b w:val="0"/>
          <w:bCs w:val="0"/>
          <w:sz w:val="28"/>
          <w:szCs w:val="28"/>
          <w:lang w:val="en-US" w:eastAsia="zh-CN"/>
        </w:rPr>
        <w:t>与</w:t>
      </w:r>
      <w:r>
        <w:rPr>
          <w:rFonts w:hint="eastAsia" w:ascii="方正仿宋简体" w:hAnsi="方正仿宋简体" w:eastAsia="方正仿宋简体" w:cs="方正仿宋简体"/>
          <w:b w:val="0"/>
          <w:bCs w:val="0"/>
          <w:sz w:val="28"/>
          <w:szCs w:val="28"/>
        </w:rPr>
        <w:t>安全</w:t>
      </w:r>
      <w:r>
        <w:rPr>
          <w:rFonts w:hint="eastAsia" w:ascii="方正仿宋简体" w:hAnsi="方正仿宋简体" w:eastAsia="方正仿宋简体" w:cs="方正仿宋简体"/>
          <w:b w:val="0"/>
          <w:bCs w:val="0"/>
          <w:sz w:val="28"/>
          <w:szCs w:val="28"/>
          <w:lang w:eastAsia="zh-CN"/>
        </w:rPr>
        <w:t>管</w:t>
      </w:r>
      <w:r>
        <w:rPr>
          <w:rFonts w:hint="eastAsia" w:ascii="方正仿宋简体" w:hAnsi="方正仿宋简体" w:eastAsia="方正仿宋简体" w:cs="方正仿宋简体"/>
          <w:b w:val="0"/>
          <w:bCs w:val="0"/>
          <w:sz w:val="28"/>
          <w:szCs w:val="28"/>
        </w:rPr>
        <w:t>理人员管理制度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_Toc20486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542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_Toc2389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中油南充燃气有限责任公司</w:t>
      </w:r>
      <w:r>
        <w:rPr>
          <w:rFonts w:hint="eastAsia" w:ascii="方正仿宋简体" w:hAnsi="方正仿宋简体" w:eastAsia="方正仿宋简体" w:cs="方正仿宋简体"/>
          <w:b w:val="0"/>
          <w:bCs w:val="0"/>
          <w:sz w:val="28"/>
          <w:szCs w:val="28"/>
        </w:rPr>
        <w:t>燃气质量管理制度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_Toc2389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545</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_Toc17239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kern w:val="44"/>
          <w:sz w:val="28"/>
          <w:szCs w:val="28"/>
          <w:lang w:val="en-US" w:eastAsia="zh-CN" w:bidi="ar-SA"/>
        </w:rPr>
        <w:t>中油南充燃气有限责任公司安全生产目标管理和责任追究制度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_Toc17239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548</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_Toc7087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中油南充燃气有限责任公司入户安全检查实施细则</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_Toc7087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552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_Toc5883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中油南充燃气有限责任公司安全</w:t>
      </w:r>
      <w:r>
        <w:rPr>
          <w:rFonts w:hint="eastAsia" w:ascii="方正仿宋简体" w:hAnsi="方正仿宋简体" w:eastAsia="方正仿宋简体" w:cs="方正仿宋简体"/>
          <w:b w:val="0"/>
          <w:bCs w:val="0"/>
          <w:sz w:val="28"/>
          <w:szCs w:val="28"/>
          <w:lang w:eastAsia="zh-CN"/>
        </w:rPr>
        <w:t>生产检查及</w:t>
      </w:r>
      <w:r>
        <w:rPr>
          <w:rFonts w:hint="eastAsia" w:ascii="方正仿宋简体" w:hAnsi="方正仿宋简体" w:eastAsia="方正仿宋简体" w:cs="方正仿宋简体"/>
          <w:b w:val="0"/>
          <w:bCs w:val="0"/>
          <w:sz w:val="28"/>
          <w:szCs w:val="28"/>
        </w:rPr>
        <w:t>事故隐患排查</w:t>
      </w:r>
      <w:r>
        <w:rPr>
          <w:rFonts w:hint="eastAsia" w:ascii="方正仿宋简体" w:hAnsi="方正仿宋简体" w:eastAsia="方正仿宋简体" w:cs="方正仿宋简体"/>
          <w:b w:val="0"/>
          <w:bCs w:val="0"/>
          <w:sz w:val="28"/>
          <w:szCs w:val="28"/>
          <w:lang w:eastAsia="zh-CN"/>
        </w:rPr>
        <w:t>整改制度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_Toc5883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563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_Toc4560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中油南充燃气有限责任公司投资建设项目管理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_Toc4560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576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_Toc11799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rPr>
        <w:t>中油南充燃气有限责任公司交通</w:t>
      </w:r>
      <w:r>
        <w:rPr>
          <w:rFonts w:hint="eastAsia" w:ascii="方正仿宋简体" w:hAnsi="方正仿宋简体" w:eastAsia="方正仿宋简体" w:cs="方正仿宋简体"/>
          <w:b w:val="0"/>
          <w:bCs w:val="0"/>
          <w:sz w:val="28"/>
          <w:szCs w:val="28"/>
          <w:lang w:eastAsia="zh-CN"/>
        </w:rPr>
        <w:t>运输</w:t>
      </w:r>
      <w:r>
        <w:rPr>
          <w:rFonts w:hint="eastAsia" w:ascii="方正仿宋简体" w:hAnsi="方正仿宋简体" w:eastAsia="方正仿宋简体" w:cs="方正仿宋简体"/>
          <w:b w:val="0"/>
          <w:bCs w:val="0"/>
          <w:sz w:val="28"/>
          <w:szCs w:val="28"/>
        </w:rPr>
        <w:t>安全管理</w:t>
      </w:r>
      <w:r>
        <w:rPr>
          <w:rFonts w:hint="eastAsia" w:ascii="方正仿宋简体" w:hAnsi="方正仿宋简体" w:eastAsia="方正仿宋简体" w:cs="方正仿宋简体"/>
          <w:b w:val="0"/>
          <w:bCs w:val="0"/>
          <w:sz w:val="28"/>
          <w:szCs w:val="28"/>
          <w:lang w:eastAsia="zh-CN"/>
        </w:rPr>
        <w:t>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_Toc11799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632</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_Toc31258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eastAsia="zh-CN"/>
        </w:rPr>
        <w:t>中油南充燃气有限责任公司安全生产会议管理制度</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_Toc31258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643</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pStyle w:val="30"/>
        <w:tabs>
          <w:tab w:val="right" w:leader="dot" w:pos="9070"/>
          <w:tab w:val="clear" w:pos="8850"/>
          <w:tab w:val="clear" w:pos="9059"/>
        </w:tabs>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eastAsia="zh-CN"/>
        </w:rPr>
        <w:fldChar w:fldCharType="begin"/>
      </w:r>
      <w:r>
        <w:rPr>
          <w:rFonts w:hint="eastAsia" w:ascii="方正仿宋简体" w:hAnsi="方正仿宋简体" w:eastAsia="方正仿宋简体" w:cs="方正仿宋简体"/>
          <w:b w:val="0"/>
          <w:bCs w:val="0"/>
          <w:sz w:val="28"/>
          <w:szCs w:val="28"/>
          <w:lang w:eastAsia="zh-CN"/>
        </w:rPr>
        <w:instrText xml:space="preserve"> HYPERLINK \l _Toc7676 </w:instrText>
      </w:r>
      <w:r>
        <w:rPr>
          <w:rFonts w:hint="eastAsia" w:ascii="方正仿宋简体" w:hAnsi="方正仿宋简体" w:eastAsia="方正仿宋简体" w:cs="方正仿宋简体"/>
          <w:b w:val="0"/>
          <w:bCs w:val="0"/>
          <w:sz w:val="28"/>
          <w:szCs w:val="28"/>
          <w:lang w:eastAsia="zh-CN"/>
        </w:rPr>
        <w:fldChar w:fldCharType="separate"/>
      </w:r>
      <w:r>
        <w:rPr>
          <w:rFonts w:hint="eastAsia" w:ascii="方正仿宋简体" w:hAnsi="方正仿宋简体" w:eastAsia="方正仿宋简体" w:cs="方正仿宋简体"/>
          <w:b w:val="0"/>
          <w:bCs w:val="0"/>
          <w:sz w:val="28"/>
          <w:szCs w:val="28"/>
          <w:lang w:val="en-US" w:eastAsia="zh-CN"/>
        </w:rPr>
        <w:t>安全生</w:t>
      </w:r>
      <w:r>
        <w:rPr>
          <w:rFonts w:hint="eastAsia" w:ascii="方正仿宋简体" w:hAnsi="方正仿宋简体" w:eastAsia="方正仿宋简体" w:cs="方正仿宋简体"/>
          <w:b w:val="0"/>
          <w:bCs w:val="0"/>
          <w:sz w:val="28"/>
          <w:szCs w:val="28"/>
          <w:highlight w:val="none"/>
          <w:lang w:val="en-US" w:eastAsia="zh-CN"/>
        </w:rPr>
        <w:t>产规章制</w:t>
      </w:r>
      <w:r>
        <w:rPr>
          <w:rFonts w:hint="eastAsia" w:ascii="方正仿宋简体" w:hAnsi="方正仿宋简体" w:eastAsia="方正仿宋简体" w:cs="方正仿宋简体"/>
          <w:b w:val="0"/>
          <w:bCs w:val="0"/>
          <w:sz w:val="28"/>
          <w:szCs w:val="28"/>
          <w:highlight w:val="none"/>
          <w:shd w:val="clear"/>
          <w:lang w:val="en-US" w:eastAsia="zh-CN"/>
        </w:rPr>
        <w:t>度清单名称对照表</w:t>
      </w:r>
      <w:r>
        <w:rPr>
          <w:rFonts w:hint="eastAsia" w:ascii="方正仿宋简体" w:hAnsi="方正仿宋简体" w:eastAsia="方正仿宋简体" w:cs="方正仿宋简体"/>
          <w:b w:val="0"/>
          <w:bCs w:val="0"/>
          <w:sz w:val="28"/>
          <w:szCs w:val="28"/>
        </w:rPr>
        <w:tab/>
      </w:r>
      <w:r>
        <w:rPr>
          <w:rFonts w:hint="eastAsia" w:ascii="方正仿宋简体" w:hAnsi="方正仿宋简体" w:eastAsia="方正仿宋简体" w:cs="方正仿宋简体"/>
          <w:b w:val="0"/>
          <w:bCs w:val="0"/>
          <w:sz w:val="28"/>
          <w:szCs w:val="28"/>
        </w:rPr>
        <w:fldChar w:fldCharType="begin"/>
      </w:r>
      <w:r>
        <w:rPr>
          <w:rFonts w:hint="eastAsia" w:ascii="方正仿宋简体" w:hAnsi="方正仿宋简体" w:eastAsia="方正仿宋简体" w:cs="方正仿宋简体"/>
          <w:b w:val="0"/>
          <w:bCs w:val="0"/>
          <w:sz w:val="28"/>
          <w:szCs w:val="28"/>
        </w:rPr>
        <w:instrText xml:space="preserve"> PAGEREF _Toc7676 </w:instrText>
      </w:r>
      <w:r>
        <w:rPr>
          <w:rFonts w:hint="eastAsia" w:ascii="方正仿宋简体" w:hAnsi="方正仿宋简体" w:eastAsia="方正仿宋简体" w:cs="方正仿宋简体"/>
          <w:b w:val="0"/>
          <w:bCs w:val="0"/>
          <w:sz w:val="28"/>
          <w:szCs w:val="28"/>
        </w:rPr>
        <w:fldChar w:fldCharType="separate"/>
      </w:r>
      <w:r>
        <w:rPr>
          <w:rFonts w:hint="eastAsia" w:ascii="方正仿宋简体" w:hAnsi="方正仿宋简体" w:eastAsia="方正仿宋简体" w:cs="方正仿宋简体"/>
          <w:b w:val="0"/>
          <w:bCs w:val="0"/>
          <w:sz w:val="28"/>
          <w:szCs w:val="28"/>
        </w:rPr>
        <w:t>646</w:t>
      </w:r>
      <w:r>
        <w:rPr>
          <w:rFonts w:hint="eastAsia" w:ascii="方正仿宋简体" w:hAnsi="方正仿宋简体" w:eastAsia="方正仿宋简体" w:cs="方正仿宋简体"/>
          <w:b w:val="0"/>
          <w:bCs w:val="0"/>
          <w:sz w:val="28"/>
          <w:szCs w:val="28"/>
        </w:rPr>
        <w:fldChar w:fldCharType="end"/>
      </w:r>
      <w:r>
        <w:rPr>
          <w:rFonts w:hint="eastAsia" w:ascii="方正仿宋简体" w:hAnsi="方正仿宋简体" w:eastAsia="方正仿宋简体" w:cs="方正仿宋简体"/>
          <w:b w:val="0"/>
          <w:bCs w:val="0"/>
          <w:sz w:val="28"/>
          <w:szCs w:val="28"/>
          <w:lang w:eastAsia="zh-CN"/>
        </w:rPr>
        <w:fldChar w:fldCharType="end"/>
      </w:r>
    </w:p>
    <w:p>
      <w:pPr>
        <w:rPr>
          <w:rFonts w:hint="eastAsia" w:ascii="方正小标宋简体" w:eastAsia="方正小标宋简体"/>
          <w:sz w:val="36"/>
          <w:szCs w:val="36"/>
        </w:rPr>
        <w:sectPr>
          <w:footerReference r:id="rId3" w:type="default"/>
          <w:pgSz w:w="11906" w:h="16838"/>
          <w:pgMar w:top="158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方正仿宋简体" w:hAnsi="方正仿宋简体" w:eastAsia="方正仿宋简体" w:cs="方正仿宋简体"/>
          <w:b w:val="0"/>
          <w:bCs w:val="0"/>
          <w:sz w:val="28"/>
          <w:szCs w:val="28"/>
          <w:lang w:eastAsia="zh-CN"/>
        </w:rPr>
        <w:fldChar w:fldCharType="end"/>
      </w:r>
      <w:bookmarkStart w:id="6" w:name="_Toc27415"/>
      <w:bookmarkStart w:id="7" w:name="_Toc19349"/>
      <w:bookmarkStart w:id="8" w:name="_Toc10619"/>
      <w:bookmarkStart w:id="9" w:name="_Toc131"/>
      <w:bookmarkStart w:id="10" w:name="_Toc13552"/>
      <w:bookmarkStart w:id="11" w:name="_Toc28163"/>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12" w:name="_Toc9838"/>
      <w:bookmarkStart w:id="13" w:name="_Toc27972"/>
      <w:bookmarkStart w:id="14" w:name="_Toc21435"/>
      <w:bookmarkStart w:id="15" w:name="_Toc25449"/>
      <w:bookmarkStart w:id="16" w:name="_Toc3256"/>
      <w:bookmarkStart w:id="17" w:name="_Toc32430"/>
      <w:bookmarkStart w:id="18" w:name="_Toc23724"/>
      <w:bookmarkStart w:id="19" w:name="_Toc28409"/>
      <w:bookmarkStart w:id="20" w:name="_Toc11592"/>
      <w:bookmarkStart w:id="21" w:name="_Toc5098"/>
      <w:r>
        <w:rPr>
          <w:rFonts w:hint="eastAsia" w:ascii="方正小标宋简体" w:eastAsia="方正小标宋简体"/>
          <w:b w:val="0"/>
          <w:bCs w:val="0"/>
          <w:sz w:val="36"/>
          <w:szCs w:val="36"/>
        </w:rPr>
        <w:t>中油南充燃气有限责任公司生产运行及维护管理</w:t>
      </w:r>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2" w:name="_Toc138235651"/>
      <w:bookmarkStart w:id="23" w:name="_Toc143066978"/>
      <w:r>
        <w:rPr>
          <w:rFonts w:hint="eastAsia" w:ascii="方正小标宋简体" w:eastAsia="方正小标宋简体"/>
          <w:b w:val="0"/>
          <w:bCs w:val="0"/>
          <w:sz w:val="36"/>
          <w:szCs w:val="36"/>
          <w:lang w:eastAsia="zh-CN"/>
        </w:rPr>
        <w:t>制度</w:t>
      </w:r>
      <w:bookmarkEnd w:id="21"/>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rPr>
          <w:rFonts w:hint="eastAsia"/>
        </w:rPr>
      </w:pPr>
    </w:p>
    <w:p>
      <w:pPr>
        <w:pStyle w:val="3"/>
        <w:keepNext/>
        <w:keepLines/>
        <w:pageBreakBefore w:val="0"/>
        <w:widowControl w:val="0"/>
        <w:kinsoku/>
        <w:wordWrap/>
        <w:overflowPunct/>
        <w:topLinePunct w:val="0"/>
        <w:autoSpaceDE/>
        <w:autoSpaceDN/>
        <w:bidi w:val="0"/>
        <w:adjustRightInd/>
        <w:snapToGrid/>
        <w:spacing w:before="0" w:after="0" w:line="240" w:lineRule="atLeast"/>
        <w:jc w:val="center"/>
        <w:textAlignment w:val="auto"/>
        <w:outlineLvl w:val="1"/>
        <w:rPr>
          <w:rFonts w:ascii="宋体" w:hAnsi="宋体"/>
          <w:sz w:val="24"/>
        </w:rPr>
      </w:pPr>
      <w:bookmarkStart w:id="24" w:name="_Toc24727"/>
      <w:r>
        <w:rPr>
          <w:rFonts w:hint="eastAsia" w:ascii="方正黑体简体" w:hAnsi="方正黑体简体" w:eastAsia="方正黑体简体" w:cs="方正黑体简体"/>
          <w:b w:val="0"/>
          <w:bCs/>
          <w:sz w:val="30"/>
          <w:szCs w:val="30"/>
          <w:lang w:eastAsia="zh-CN"/>
        </w:rPr>
        <w:t>第一章</w:t>
      </w:r>
      <w:r>
        <w:rPr>
          <w:rFonts w:hint="eastAsia" w:ascii="方正黑体简体" w:hAnsi="方正黑体简体" w:eastAsia="方正黑体简体" w:cs="方正黑体简体"/>
          <w:b w:val="0"/>
          <w:bCs/>
          <w:sz w:val="30"/>
          <w:szCs w:val="30"/>
        </w:rPr>
        <w:t xml:space="preserve">  总</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bookmarkEnd w:id="22"/>
      <w:bookmarkEnd w:id="23"/>
      <w:bookmarkEnd w:id="2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为了促进公司生产经营向又好又快方向发展，不断提高竞争力，根据国家有关法律法规和《西南油气田分公司城镇燃气生产技术管理指导强化中油南充燃气有限责任公司（以下简称公司）生产经营的计划、组织、指挥、协调、监控和考核意见》以及《四川川港燃气有限责任公司燃气生产运行管理办法》，结合公司实际情况，特修订《中油南充燃气有限责任公司生产运行及维护管理办法》（以下简称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第二条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sz w:val="28"/>
          <w:szCs w:val="28"/>
        </w:rPr>
        <w:t>燃气板块业务的生产运行管理是公司生产经营管理的重点，是经营目标实现的重要途径，生产运行管理包括生产组织协调和生产过程管理等。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本办法适用于公司生产技术系统各单位、部门和班组。为充分发挥生产管理部门“组织、指挥、协调、监控、服务”的作用，要求各单位、部室和班组认真按管理办法组织实施，确保公司生产技术管理向现代企业管理模式接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第四条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公司生产管理坚持责任、安全、效率统一的原则。</w:t>
      </w:r>
    </w:p>
    <w:p>
      <w:pPr>
        <w:keepNext w:val="0"/>
        <w:keepLines w:val="0"/>
        <w:pageBreakBefore w:val="0"/>
        <w:widowControl w:val="0"/>
        <w:kinsoku/>
        <w:wordWrap/>
        <w:overflowPunct/>
        <w:topLinePunct w:val="0"/>
        <w:autoSpaceDE/>
        <w:autoSpaceDN/>
        <w:bidi w:val="0"/>
        <w:adjustRightInd/>
        <w:snapToGrid/>
        <w:spacing w:line="560" w:lineRule="exact"/>
        <w:ind w:left="60"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600" w:firstLineChars="200"/>
        <w:jc w:val="center"/>
        <w:textAlignment w:val="auto"/>
        <w:outlineLvl w:val="9"/>
        <w:rPr>
          <w:rFonts w:ascii="宋体" w:hAnsi="宋体"/>
          <w:sz w:val="30"/>
          <w:szCs w:val="30"/>
        </w:rPr>
      </w:pPr>
      <w:bookmarkStart w:id="25" w:name="_Toc143066979"/>
      <w:r>
        <w:rPr>
          <w:rFonts w:hint="eastAsia" w:ascii="方正黑体简体" w:hAnsi="方正黑体简体" w:eastAsia="方正黑体简体" w:cs="方正黑体简体"/>
          <w:b w:val="0"/>
          <w:bCs/>
          <w:sz w:val="30"/>
          <w:szCs w:val="30"/>
        </w:rPr>
        <w:t xml:space="preserve">第二章  </w:t>
      </w:r>
      <w:bookmarkEnd w:id="25"/>
      <w:r>
        <w:rPr>
          <w:rFonts w:hint="eastAsia" w:ascii="方正黑体简体" w:hAnsi="方正黑体简体" w:eastAsia="方正黑体简体" w:cs="方正黑体简体"/>
          <w:b w:val="0"/>
          <w:bCs/>
          <w:sz w:val="30"/>
          <w:szCs w:val="30"/>
        </w:rPr>
        <w:t>生产运行及维护管理范围与职责</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第五条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是公司生产与配套综合技术管理的监督和管理机构是城镇燃气生产运行的归口管理部门，其主要技术管理职责是：</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（一）负责贯彻国家有关燃气营运及配套技术工作的方针、政策、法令、法规和有关技术标准、技术规范、操作规程。</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（二）负责公司生产运行及相关技术管理制度的制定，指导各单位进行合理的生产管理，检查、监督各单位对公司生产运行及配套制度的执行情况，有权更改、调整不合理的生产制度。</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（三）负责燃气管网设施、输气计量、燃气工程管理等方面的生产技术和生产组织管理工作；解决公司燃气管网设施、输气计量、燃气工程管理、工艺设备等关键技术问题，检查、监督各单位资料录取情况。</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（四）组织公司相关技术方案编制及重大工程项目关键技术措施设计、审核和实施工作；负责生产配套设备的方案论证和技术管理，负责公司燃气管网设施保护的技术指导工作。</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（五）组织新技术、新工艺在公司的试验及推广应用工作，为提高公司效益搞好技术储备。</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第六条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所属各相关业务单位是公司生产及配套综合技术管理的执行机构，其主要职责是：</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（一）负责严格按照公司制定的有关业务技术标准、技术规范、操作规程执行。</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（二）负责按照公司要求，组织好公司生产、配套综合设施运行、计量、作业管理。</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（三）负责对所辖设备的日常维护保养、检查、督促和受压容器定检的申报、联系、调节、搬迁工作。</w:t>
      </w:r>
    </w:p>
    <w:p>
      <w:pPr>
        <w:keepNext w:val="0"/>
        <w:keepLines w:val="0"/>
        <w:pageBreakBefore w:val="0"/>
        <w:widowControl w:val="0"/>
        <w:tabs>
          <w:tab w:val="left" w:pos="600"/>
        </w:tabs>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（四）积极配合公司参与新技术、新工艺在公司的推广应用工作。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第七条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公司管辖范围内的生产运行系统主要是燃气输配系统设施，包括输配储气站、输气干线、城区燃气管网、阀井、调压装置、计量装置、用户燃气设施。</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公司建立三级生产运行管理机构。即公司级业务管理（</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和管道管理部）、基层单位管理（</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输配中心站</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）、班组级管理（各操作班组）。</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第九条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的主要职责：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（一）负责贯彻执行上级有关生产调度指令和生产运行管理方面的方针政策及相关管理规程、规定。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（二）负责公司天然气调配、燃气设施维护等日常调度；确保天然气输配工作平稳运行。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（三）负责收集整理生产数据和工程进度信息，掌握生产动态和工程进展，进行综合分析与处理；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（四）负责组织编制公司生产运行的年度、季度、月度计划和工作总结；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（五）负责收集基层单位相关资料、报表，并按时上报相关资料报表。</w:t>
      </w:r>
    </w:p>
    <w:p>
      <w:pPr>
        <w:keepNext w:val="0"/>
        <w:keepLines w:val="0"/>
        <w:pageBreakBefore w:val="0"/>
        <w:widowControl w:val="0"/>
        <w:tabs>
          <w:tab w:val="left" w:pos="456"/>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（六）负责组织有关部门对重大事故、重大险情和突发性事件的处理与汇报，督促有关部门处理善后事宜；负责组织和综合管理公司抗灾、减灾工作。</w:t>
      </w:r>
    </w:p>
    <w:p>
      <w:pPr>
        <w:keepNext w:val="0"/>
        <w:keepLines w:val="0"/>
        <w:pageBreakBefore w:val="0"/>
        <w:widowControl w:val="0"/>
        <w:tabs>
          <w:tab w:val="left" w:pos="456"/>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（七）推广运用管道巡护管理的新工艺、新技术、新设备；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（八）负责公司生产运行系统的信息化管理。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（九）负责按照法规、标准和管理要求开展检测检验，组织实施维修维护工作。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管道管理部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（一）负责公司辖区内站外燃气管网设施的生产运行及管理工作；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（二）负责落实公司管道保护工作，分析处理存在的问题；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（三）负责公司燃气管道完整性管理的具体实施，开展数据的录取、整合、归档、上报，及时更新燃气管道信息平台和失效数据库；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（四）负责制定公司辖区内的燃气管道及附属设施的巡护计划；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（五）负责开展公司燃气管道的检测、评估、维修、防腐等工作；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（六）负责组织开展燃气管道生产过程中的危害因素全面辨识和隐患排查，建立完善的管理台账。</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的主要职责：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管辖范围内的燃气管道及设施的具体巡护管理职责。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（二）在公司管道管理部的指导下，认真贯彻执行上级对燃气管道保护的各类规定，对巡护工作实行全过程的管理，保证管道的安全运行。</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（三）负责公司燃气管道隐患的处理整改及其它保护措施的实施，及时处理管道上的隐患，对管道上的隐患不能及时处理的按照有关规定和要求及时向公司汇报。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（四）负责公司燃气设施的应急抢险工作。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管辖范围内的燃气管道及设施的维护维修工作，协助</w:t>
      </w:r>
      <w:r>
        <w:rPr>
          <w:rFonts w:hint="eastAsia" w:ascii="方正仿宋简体" w:hAnsi="方正仿宋简体" w:eastAsia="方正仿宋简体" w:cs="方正仿宋简体"/>
          <w:sz w:val="28"/>
          <w:szCs w:val="28"/>
          <w:lang w:eastAsia="zh-CN"/>
        </w:rPr>
        <w:t>输配中心站</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所属场站、管道及其它燃气设施的电、气焊施工作业和大型维修作业。</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（六）负责建立、健全燃气管网档案资料，负责管辖范围内生产运行的计划、总结工作，负责建立收集巡线、维修、抢险各种资料并及时上报。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（七）开展对管道沿线群众的管道安全保护宣传教育工作，配合地方政府部门做好所辖管道及其附属设施的安全保护工作。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第十二条</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的主要职责：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管辖范围内的燃气管道及设施和用户燃气设施的具体巡护管理职责。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（二）在公司业务部门的指导下，认真贯彻执行上级对燃气设施保护的各类规定，对巡护工作实行全过程的管理，保证燃气设施的安全运行。</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（三）负责管辖范围内燃气管道隐患的处理整改及其它保护措施的实施，及时处理燃气设施的隐患，对燃气设施上的隐患不能及时处理的按照有关规定和要求及时向公司汇报。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（四）负责公司用户燃气设施的巡查工作。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（五）负责公司燃气户表工程用户的开停气工作。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（六）负责建立、健全管辖范围内燃气管网档案资料，负责管辖范围内生产运行的计划、总结工作,负责建立收集各种生产资料并及时上报。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（七）开展对用户的燃气设施安全保护宣传教育工作。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输配中心站</w:t>
      </w:r>
      <w:r>
        <w:rPr>
          <w:rFonts w:hint="eastAsia" w:ascii="方正仿宋简体" w:hAnsi="方正仿宋简体" w:eastAsia="方正仿宋简体" w:cs="方正仿宋简体"/>
          <w:sz w:val="28"/>
          <w:szCs w:val="28"/>
        </w:rPr>
        <w:t>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（一）负责管辖范围内的输配储气站、燃气管道及设施的具体管理职责。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（二）在公司业务部门的指导下，认真贯彻执行上级对输配储气站、燃气管道及设施保护的各类规定，保证燃气设施的安全运行。</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（三）负责管辖范围内燃气设施隐患的处理整改及其它保护措施的实施，对隐患不能及时处理的按照有关规定和要求及时向公司汇报。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（四）负责管辖范围内的燃气设施的维护维修工作。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（五）负责各种燃气仪表的校检和鉴定工作。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（六）负责管辖范围内生产运行的计划、总结工作，负责建立收集各种生产资料并及时上报。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第十四条</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巡线班组的职责：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（一）负责所分配的管辖区域内燃气管道及设施的巡护。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（二）认真执行上级对燃气管道巡护管理的各类规定，开展管道巡护工作，并承担相应责任。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（三）对分管区域燃气管道、阀井及燃气设施进行日常维护、保养和管理。</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（四）对所管理的设备进行日常维护保养工作。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（五）收集、整理巡护工作情况和资料报表，按要求向主管上级汇报。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（六）定期组织班组成员按公司要求开展技术学习，岗位练兵、安全活动，努力提高员工的技术业务素质、思想素质、风险识别能力。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第十五条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维修班组的职责：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（一）按照上级工作的分配，负责管辖区域内燃气设施的维修工作。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（二）负责执行公司应急抢险工作中的先期处置工作和抢修工作。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（三）负责执行公司的阀井和调压设备的开停气工作。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（四）对所管理的设备进行日常维护保养工作。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（五）收集、整理维修工作情况和资料报表，按要求向上级汇报。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（六）定期组织班组成员按公司要求开展技术学习，岗位练兵、安全活动，努力提高员工的技术业务素质、思想素质、风险识别能力。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第十六条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输配储气站生产管理职责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（一）输配气井站员工必须严格遵守职业道德规范，忠于职守，树立良好的企业形象，服务热情，诚信守诺。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（二）严格执行生产制度和调度指令，严格执行</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作业文件，做到安全、平稳输配气。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（三）严格执行计量管理制度，及时更换计量参数，做到准确、公平、公正计量。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（四）做好输配气设备、设施、计量器具及消防器材的维护保养工作。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（五）严格执行供气计划，协助做好天然气的销售工作。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（六）积极了解用户动态，及时反馈信息。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（七）负责输配气站生产、生活设备设施等实物资产管理。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（八）熟练掌握和使用各类应急设施和器材，熟知输配气过程中事故应急处理方法及要求。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（九）配合、监督其他人员对输配气站做好生产维修、检修和施工作业工作。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（十）努力学习业务技术知识，开展岗位练兵，不断提高自身思想道德素质、业务技能和实际处理问题的能力。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（十一）完成上级交办的其它工作。</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生产组织调度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9"/>
        <w:rPr>
          <w:rFonts w:hint="eastAsia" w:ascii="方正黑体简体" w:hAnsi="方正黑体简体" w:eastAsia="方正黑体简体" w:cs="方正黑体简体"/>
          <w:b w:val="0"/>
          <w:bCs/>
          <w:sz w:val="30"/>
          <w:szCs w:val="30"/>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 xml:space="preserve">第一节 </w:t>
      </w:r>
      <w:r>
        <w:rPr>
          <w:rFonts w:hint="eastAsia" w:ascii="方正楷体简体" w:hAnsi="方正楷体简体" w:eastAsia="方正楷体简体" w:cs="方正楷体简体"/>
          <w:b w:val="0"/>
          <w:bCs/>
          <w:sz w:val="28"/>
          <w:szCs w:val="28"/>
          <w:lang w:val="en-US" w:eastAsia="zh-CN"/>
        </w:rPr>
        <w:t xml:space="preserve"> </w:t>
      </w:r>
      <w:r>
        <w:rPr>
          <w:rFonts w:hint="eastAsia" w:ascii="方正楷体简体" w:hAnsi="方正楷体简体" w:eastAsia="方正楷体简体" w:cs="方正楷体简体"/>
          <w:b w:val="0"/>
          <w:bCs/>
          <w:sz w:val="28"/>
          <w:szCs w:val="28"/>
        </w:rPr>
        <w:t>生产组织调度一般规定</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第十七条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公司的生产组织调度是指对公司日常生产管理、工程施工、燃气设施维修、抢险应急工程、天然气输配涉及的业务进行有序、有效的组织安排，并及时将生产情况汇总后按时向领导和上级部门汇报。生产调度职能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组织实施。</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生产组织管理实行以调度为中心的管理方式，即除应急工程中需领导直接指挥外，公司的生产运行指令统一由调度下达。</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第十九条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调度实行24小时值班制，负责按其职责和所界定的生产运行业务范围处理生产运行事务。</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第二十条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为了保证调度指挥的有效运行，同时作以下规定：</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（一）调度指令发出前，需要经过审批才能下达的指令，由承担业务的主办部门或岗位按程序性文件的规定进行办理，办理后交调度，由调度发出指令。属应急抢险的按应急抢险规定和简易程序执行。</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需发布调度指令的部门或单位必须书面报送发布内容、时间，涉及到注意事项的在报送调度指令时一并通知。调度在接受需下达的指令时，发现其指令内容有不详不清楚的，须要求主办部门或主办人进行完善，完善后才能下达。</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（三）接收指令的人员，对调度指令内容不清楚的地方，可直接要求调度给予明确。</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（四）调度对调度指令从接收起，至下达到接收人接受并执行反馈止负责。</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接收调度指令的部门、单位、岗位都必须严格执行调度指令，完成指令赋予的工作任务。在完成调度指令过程中，若实际情况与调度指令不一致时，由执行调度指令的负责人向调度汇报，并按汇报后的调度指令执行；属应急措施的可由执行调度指令的负责人或执行调度指令的执行人，根据实际情况及时采取正确的措施后再向调度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第二节  生产计划编制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第二十一条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年度生产计划编制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（一）根据上级及公司生产安排资料编制输气量、燃气安装、投资大修工程、其他建设工程年度生产运行安排，并将年度生产计划按照生产运行需要分解到各月份。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（二）年度生产计划由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和管道管理部联合编制，完成后经公司组织讨论，并由主管领导签字认可后于12月底上报。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（三）年度工作计划包括：生产管理方案、管网及设施的适应性分析、重点日常维护工作、管道检维修及隐患治理作业、川港公司安排的其它重点工作。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1.生产管理方案：方案包括“两卡一方案”三部分，即运行与工艺控制卡、应急处置卡、管道巡护方案；要求按照“一线一案”或“一区一案”的方式，在每年12月底前制修订；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2.管网及设施的适应性分析：各单位在每年6月初完成本单位区域性管网适应性分析并上报川港公司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，分析成果作为次年管网改造、管道大修及隐患治理项目计划编制的依据；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3.重点日常维护工作：包括管道清管作业、SCADA系统运行维护、气源气质监测和加臭管理、阴极保护运行维护等。各单位在每年11月30日前完成次年度重点日常维护工作计划编制并报川港公司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4.管道检维修及隐患治理作业：包括中压以上管道停气连头、场站停气检修和新管线试运投产，大修改造及隐患治理项目等。各单位在每年11月30日前完成次年度管道检维修作业计划编制并报川港公司管道管理部；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5.川港公司安排的其它重点工作，各单位在任务下达后1周内上报工作实施计划，明确关键节点控制要求和具体责任人。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第二十二条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月度生产实施计划编制：对年度生产计划进行分解，编制月度生产实施计划。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（一）根据本月1～24日生产动态情况编制下月生产实施计划，于每月25日上报。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（二）</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编制的月度实施计划包含生产指标计划和单项工作计划，并由分管领导组织开展审核后盖章，上报扫描件及电子文档至川港</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，同时本月严格按照月度实施计划执行。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bCs w:val="0"/>
          <w:sz w:val="28"/>
          <w:szCs w:val="28"/>
        </w:rPr>
        <w:t>第二十三条</w:t>
      </w: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方正仿宋简体" w:hAnsi="方正仿宋简体" w:eastAsia="方正仿宋简体" w:cs="方正仿宋简体"/>
          <w:sz w:val="28"/>
        </w:rPr>
        <w:t>每周末应根据月计划及本周计划完成的实际情况制定下一周周计划，对上一周未完成计划的相关部门加强监督。周计划由</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编制，作为生产周报的一个组成部分。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第三节  生产组织安排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sz w:val="28"/>
          <w:szCs w:val="28"/>
        </w:rPr>
      </w:pPr>
      <w:r>
        <w:rPr>
          <w:rFonts w:hint="eastAsia" w:ascii="方正仿宋简体" w:hAnsi="方正仿宋简体" w:eastAsia="方正仿宋简体" w:cs="方正仿宋简体"/>
          <w:b/>
          <w:bCs w:val="0"/>
          <w:sz w:val="28"/>
          <w:szCs w:val="28"/>
        </w:rPr>
        <w:t>第二十四条</w:t>
      </w:r>
      <w:r>
        <w:rPr>
          <w:rFonts w:hint="eastAsia" w:ascii="方正仿宋简体" w:hAnsi="方正仿宋简体" w:eastAsia="方正仿宋简体" w:cs="方正仿宋简体"/>
          <w:b/>
          <w:sz w:val="28"/>
          <w:szCs w:val="28"/>
        </w:rPr>
        <w:t xml:space="preserve"> </w:t>
      </w:r>
      <w:r>
        <w:rPr>
          <w:rFonts w:hint="eastAsia"/>
          <w:sz w:val="28"/>
          <w:szCs w:val="28"/>
        </w:rPr>
        <w:t xml:space="preserve"> </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按生产计划、公司及其它方面需要对公司各基层单位下达任务。根据各生产任务需要不同可按月、按周或逐日下达。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bCs w:val="0"/>
          <w:sz w:val="28"/>
          <w:szCs w:val="28"/>
        </w:rPr>
        <w:t>第二十五条</w:t>
      </w:r>
      <w:r>
        <w:rPr>
          <w:rFonts w:hint="eastAsia" w:ascii="方正仿宋简体" w:hAnsi="方正仿宋简体" w:eastAsia="方正仿宋简体" w:cs="方正仿宋简体"/>
          <w:b/>
          <w:sz w:val="28"/>
          <w:szCs w:val="28"/>
        </w:rPr>
        <w:t xml:space="preserve"> </w:t>
      </w:r>
      <w:r>
        <w:rPr>
          <w:rFonts w:hint="eastAsia" w:ascii="宋体" w:hAnsi="宋体"/>
          <w:sz w:val="28"/>
          <w:szCs w:val="28"/>
        </w:rPr>
        <w:t xml:space="preserve"> </w:t>
      </w:r>
      <w:r>
        <w:rPr>
          <w:rFonts w:hint="eastAsia" w:ascii="方正仿宋简体" w:hAnsi="方正仿宋简体" w:eastAsia="方正仿宋简体" w:cs="方正仿宋简体"/>
          <w:sz w:val="28"/>
        </w:rPr>
        <w:t>按上级单位月度计划目标安排日常生产运行，加强与相关关联单位生产联系，生产安排中出现的矛盾上报，由上级单位进行协调。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第二十六条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rPr>
        <w:t>公司生产指令下达要求：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（一）公司生产指令下达由</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调度室执行。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（二）日常生产调度指令由调度室直接下达到各基层单位，重大事项的指令由调度室向</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负责人汇报后再下达到基层单位，需向公司领导请示的指令由</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负责人向公司领导汇报后再执行。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（三）强调调度指令的严肃性：各基层单位必须无条件执行调度指令，除了违反安全规定情况的其它任何情况先执行调度指令后再向上级领导反应情况。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第二十七条</w:t>
      </w:r>
      <w:r>
        <w:rPr>
          <w:rFonts w:hint="eastAsia" w:ascii="方正仿宋简体" w:hAnsi="方正仿宋简体" w:eastAsia="方正仿宋简体" w:cs="方正仿宋简体"/>
          <w:b/>
          <w:bCs w:val="0"/>
          <w:sz w:val="28"/>
          <w:szCs w:val="28"/>
          <w:lang w:val="en-US" w:eastAsia="zh-CN"/>
        </w:rPr>
        <w:t xml:space="preserve">  </w:t>
      </w:r>
      <w:r>
        <w:rPr>
          <w:rFonts w:hint="eastAsia" w:ascii="方正仿宋简体" w:hAnsi="方正仿宋简体" w:eastAsia="方正仿宋简体" w:cs="方正仿宋简体"/>
          <w:sz w:val="28"/>
        </w:rPr>
        <w:t>调度室对各停气施工过程进行组织协调，对停气影响用户进行耐心解释和安抚，及时将施工现场情况向公司、部门领导反映，准确的将现场施工进展情况反馈给阀井操作工。</w:t>
      </w:r>
    </w:p>
    <w:p>
      <w:pPr>
        <w:spacing w:line="360" w:lineRule="auto"/>
        <w:ind w:firstLine="480" w:firstLineChars="200"/>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第四节  生产监控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第二十八条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按照月度生产进度安排，每天收集各基层单位和储配站的生产动态和任务执行情况。并对异常情况进行分析，将异常情况出现原因和对策反馈到相关基层部门，加大对异常情况出现地点的监控力度，确保公司生产运行正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第二十九条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公司生产部门对每周一次碰头会和每季度一次生产经营分析会的材料准备进行认真准备，在两会中应通报生产完成情况和措施作业进展情况，并将生产情况进行对比分析，找出存在问题并提出整改意见和工作安排，并由公司办公室以督办单形式下发到各相关部门限期落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第三十条  </w:t>
      </w:r>
      <w:r>
        <w:rPr>
          <w:rFonts w:hint="eastAsia" w:ascii="方正仿宋简体" w:hAnsi="方正仿宋简体" w:eastAsia="方正仿宋简体" w:cs="方正仿宋简体"/>
          <w:sz w:val="28"/>
          <w:szCs w:val="28"/>
        </w:rPr>
        <w:t>对应急抢险施工应根据需要进行实时监控，对出现的异常或紧急情况根据需要可越级上报，对领导下达指令，根据需要也可直接向相关作业人员或作业负责人下达。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第三十一条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和</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应定期和不定期对各生产场所进行检查，对检查过程中出现的各类违规现象应及时制止，并做好详细记录，定期将检查情况反馈到相关部门负责人，对多次纠正仍不改正者应上报公司，并进行相应处罚。</w:t>
      </w:r>
    </w:p>
    <w:p>
      <w:pPr>
        <w:spacing w:line="360" w:lineRule="auto"/>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hint="eastAsia" w:ascii="方正仿宋简体" w:hAnsi="方正仿宋简体" w:eastAsia="方正仿宋简体" w:cs="方正仿宋简体"/>
          <w:sz w:val="28"/>
          <w:szCs w:val="28"/>
        </w:rPr>
      </w:pPr>
      <w:r>
        <w:rPr>
          <w:rFonts w:hint="eastAsia" w:ascii="方正楷体简体" w:hAnsi="方正楷体简体" w:eastAsia="方正楷体简体" w:cs="方正楷体简体"/>
          <w:b w:val="0"/>
          <w:bCs/>
          <w:sz w:val="28"/>
          <w:szCs w:val="28"/>
        </w:rPr>
        <w:t>第五节  调度值班规定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第三十二条  </w:t>
      </w:r>
      <w:r>
        <w:rPr>
          <w:rFonts w:hint="eastAsia" w:ascii="方正仿宋简体" w:hAnsi="方正仿宋简体" w:eastAsia="方正仿宋简体" w:cs="方正仿宋简体"/>
          <w:sz w:val="28"/>
          <w:szCs w:val="28"/>
        </w:rPr>
        <w:t>调度管理应具备五项职能：即组织职能、指挥职能、协调职能、监控职能和服务职能。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（一）生产调度的组织职能是围绕公司各项生产指标、任务完成，按照阶段目标，把各要素从时间、空间上合理地组织起来，形成一个有机体，</w:t>
      </w:r>
      <w:r>
        <w:rPr>
          <w:rFonts w:hint="eastAsia" w:ascii="方正仿宋简体" w:hAnsi="方正仿宋简体" w:eastAsia="方正仿宋简体" w:cs="方正仿宋简体"/>
          <w:sz w:val="28"/>
        </w:rPr>
        <w:t>使生产过程具有一定的系统性或整体性，从而达到预期目标。主要包括生</w:t>
      </w:r>
      <w:r>
        <w:rPr>
          <w:rFonts w:hint="eastAsia" w:ascii="方正仿宋简体" w:hAnsi="方正仿宋简体" w:eastAsia="方正仿宋简体" w:cs="方正仿宋简体"/>
          <w:sz w:val="28"/>
          <w:szCs w:val="28"/>
        </w:rPr>
        <w:t>产过程中出现的故障排除，重大生产措施的中间衔接，对各种突发性事件的协调处理，以及为加快生产运行采取的各种组织措施等。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（二）生产调度的指挥职能是生产调度部门利用领导赋予的地位和权力，对日常生产过程、生产经营活动进行指挥，对各部门的工作有间接或直接的建议奖惩、激励权力。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（三）生产调度的协调职能是公司各项生产经营计划，及时对生产经营过程中出现的与预测步调不一致、不相适应的环节加以调整、疏通，使计划目标正点运行。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（四）生产调度的监控职能是对各部门、各主要生产环节和重大工程、生产活动进行监督，检查任务完成情况和施工进度执行情况，反馈、控制、修正各方面的进度，保证公司各项生产计划的完成。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（五）生产调度的服务职能是对各部门提供生产、工作和生活方面的方便条件。包括输气、施工、维修中各关系的处理，人力、物资保障，水、电、讯供应等。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第三十三条 </w:t>
      </w:r>
      <w:r>
        <w:rPr>
          <w:rFonts w:hint="eastAsia" w:ascii="方正仿宋简体" w:hAnsi="方正仿宋简体" w:eastAsia="方正仿宋简体" w:cs="方正仿宋简体"/>
          <w:sz w:val="28"/>
          <w:szCs w:val="28"/>
        </w:rPr>
        <w:t xml:space="preserve"> 生产调度部门要本着安全第一、以人为本的原则、生产计划性的原则、统筹兼顾的原则、预见性和预测性的原则、全面性的原则和准确及时性的原则组织好公司生产运行。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第三十四条 </w:t>
      </w:r>
      <w:r>
        <w:rPr>
          <w:rFonts w:hint="eastAsia" w:ascii="方正仿宋简体" w:hAnsi="方正仿宋简体" w:eastAsia="方正仿宋简体" w:cs="方正仿宋简体"/>
          <w:sz w:val="28"/>
          <w:szCs w:val="28"/>
        </w:rPr>
        <w:t xml:space="preserve"> 公司生产日常调度管理包括以下6个方面：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（一）坚持每天24小时值班，按时完成上级下达的生产计划，协调公司生产的日常运行，保证基层部门生产有序进行。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（二）传达上级指示,下达生产运行指令，对日常生产情况和生产过程中出现的问题做好记录，及时向公司主管部门领导或分管领导汇报。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szCs w:val="28"/>
        </w:rPr>
        <w:t>（三）按月计划及时、准确、全面收集整理生产资料，检查计划的</w:t>
      </w:r>
      <w:r>
        <w:rPr>
          <w:rFonts w:hint="eastAsia" w:ascii="方正仿宋简体" w:hAnsi="方正仿宋简体" w:eastAsia="方正仿宋简体" w:cs="方正仿宋简体"/>
          <w:sz w:val="28"/>
        </w:rPr>
        <w:t>执行情况，并随时调整运行方案，确保各项生产安全、经济、平稳运行。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（四）严守员工岗位职责，用现代化办公用具完成日（班）报表的编制和生产数据的传输汇报工作及建档工作。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（五）做好生产大事的记录和上级批示记录，月底汇总反馈到有关部门，为他们的管理提供依据。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（六）若遇突发性事件，要立即采取有效措施，并根据事故大小立即向公司或部门领导汇报，重大事件必须立即汇报，并将领导的指示落实到实处。</w:t>
      </w:r>
    </w:p>
    <w:p>
      <w:pPr>
        <w:spacing w:line="360" w:lineRule="auto"/>
        <w:ind w:firstLine="480" w:firstLineChars="200"/>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 xml:space="preserve">第六节 </w:t>
      </w:r>
      <w:r>
        <w:rPr>
          <w:rFonts w:hint="eastAsia" w:ascii="方正楷体简体" w:hAnsi="方正楷体简体" w:eastAsia="方正楷体简体" w:cs="方正楷体简体"/>
          <w:b w:val="0"/>
          <w:bCs/>
          <w:sz w:val="28"/>
          <w:szCs w:val="28"/>
          <w:lang w:val="en-US" w:eastAsia="zh-CN"/>
        </w:rPr>
        <w:t xml:space="preserve"> </w:t>
      </w:r>
      <w:r>
        <w:rPr>
          <w:rFonts w:hint="eastAsia" w:ascii="方正楷体简体" w:hAnsi="方正楷体简体" w:eastAsia="方正楷体简体" w:cs="方正楷体简体"/>
          <w:b w:val="0"/>
          <w:bCs/>
          <w:sz w:val="28"/>
          <w:szCs w:val="28"/>
        </w:rPr>
        <w:t>生产汇报规定</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第三十五条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生产汇报按如下规定：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（一）每天上午7：30—8：30各基层单位、输（储）配气场站、西山CNG站向公司调度室汇报头一天的生产经营数据、生产动态、存在问题及当天重要生产安排。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（二）每天12：00、17：00、22：00各输（储）配气场站向公司调度室汇报瞬时输气量和压力。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（三）每天上午10：00前公司调度室将以上所收集资料汇总，以《中油南充燃气有限责任公司生产日报》的形式向上级汇报和联系。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（四）各输（储）配气场站值班人员每天按时做好生产巡回检查工作，按要求填写好本站生产日报、综合月报及各类资料报表，于当月末日准时上报至</w:t>
      </w:r>
      <w:r>
        <w:rPr>
          <w:rFonts w:hint="eastAsia" w:ascii="方正仿宋简体" w:hAnsi="方正仿宋简体" w:eastAsia="方正仿宋简体" w:cs="方正仿宋简体"/>
          <w:sz w:val="28"/>
          <w:szCs w:val="28"/>
          <w:lang w:eastAsia="zh-CN"/>
        </w:rPr>
        <w:t>输配中心站</w:t>
      </w:r>
      <w:r>
        <w:rPr>
          <w:rFonts w:hint="eastAsia" w:ascii="方正仿宋简体" w:hAnsi="方正仿宋简体" w:eastAsia="方正仿宋简体" w:cs="方正仿宋简体"/>
          <w:sz w:val="28"/>
          <w:szCs w:val="28"/>
        </w:rPr>
        <w:t>和</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szCs w:val="28"/>
        </w:rPr>
        <w:t>（五）参加对外工程、重点工程、应急抢险等工程施工的单位，每天上午8：30前必须按时向公司调度室汇报工程进度、工程量、存在问题及</w:t>
      </w:r>
      <w:r>
        <w:rPr>
          <w:rFonts w:hint="eastAsia" w:ascii="方正仿宋简体" w:hAnsi="方正仿宋简体" w:eastAsia="方正仿宋简体" w:cs="方正仿宋简体"/>
          <w:sz w:val="28"/>
        </w:rPr>
        <w:t>当天安排。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（六）每个工作日</w:t>
      </w:r>
      <w:r>
        <w:rPr>
          <w:rFonts w:hint="eastAsia" w:ascii="方正仿宋简体" w:hAnsi="方正仿宋简体" w:eastAsia="方正仿宋简体" w:cs="方正仿宋简体"/>
          <w:sz w:val="28"/>
          <w:lang w:eastAsia="zh-CN"/>
        </w:rPr>
        <w:t>生产保障中心</w:t>
      </w:r>
      <w:r>
        <w:rPr>
          <w:rFonts w:hint="eastAsia" w:ascii="方正仿宋简体" w:hAnsi="方正仿宋简体" w:eastAsia="方正仿宋简体" w:cs="方正仿宋简体"/>
          <w:sz w:val="28"/>
        </w:rPr>
        <w:t>在公司内网上粘贴出工程进度表。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（七）每周五的16：00之前各基层单位必须在公司内网上粘贴出各自的周报，周报内容包括各单位每周完成的工作量、主要工作、存在问题、下周的安排。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（八）每月月初头三天之内，各基层单位以书面形式和公司内网上粘贴的方式上报各自的生产报表。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（九）各基层单位按要求准时将各种统计资料报表上网汇报，要求内容真实、数据准确、格式美观。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（十）未经公司同意，各单位、场站不得将资料、数据向外借阅和透露。</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（十一）当调度收到超出业务范围或超越管理授权的汇报内容时，由调度负责向涉及的业务主管部门或上级汇报。</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（十二）公司员工在履行职责或在其它情况下获得有关影响生产运行（包括安全）的信息和情况，有责任及时向公司调度汇报。</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（十三）每日15:00前将次日及后日风险作业计划上报至至川港</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，并严格按计划执行，若确需新增或变更风险作业计划，必须由分管领导签字审核后上报川港</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2" w:firstLineChars="200"/>
        <w:textAlignment w:val="auto"/>
        <w:outlineLvl w:val="9"/>
        <w:rPr>
          <w:rFonts w:hint="eastAsia" w:ascii="方正楷体简体" w:hAnsi="方正楷体简体" w:eastAsia="方正楷体简体" w:cs="方正楷体简体"/>
          <w:b w:val="0"/>
          <w:bCs/>
          <w:sz w:val="28"/>
          <w:szCs w:val="28"/>
        </w:rPr>
      </w:pPr>
      <w:r>
        <w:rPr>
          <w:rFonts w:hint="eastAsia" w:ascii="方正仿宋简体" w:hAnsi="方正仿宋简体" w:eastAsia="方正仿宋简体" w:cs="方正仿宋简体"/>
          <w:b/>
          <w:bCs w:val="0"/>
          <w:sz w:val="28"/>
          <w:szCs w:val="28"/>
        </w:rPr>
        <w:t>第三十六条</w:t>
      </w:r>
      <w:r>
        <w:rPr>
          <w:rFonts w:hint="eastAsia" w:ascii="方正仿宋简体" w:hAnsi="方正仿宋简体" w:eastAsia="方正仿宋简体" w:cs="方正仿宋简体"/>
          <w:b/>
          <w:sz w:val="28"/>
          <w:szCs w:val="28"/>
        </w:rPr>
        <w:t xml:space="preserve"> </w:t>
      </w:r>
      <w:r>
        <w:rPr>
          <w:rFonts w:hint="eastAsia" w:ascii="宋体" w:hAnsi="宋体"/>
          <w:sz w:val="28"/>
          <w:szCs w:val="28"/>
        </w:rPr>
        <w:t xml:space="preserve"> </w:t>
      </w:r>
      <w:r>
        <w:rPr>
          <w:rFonts w:hint="eastAsia" w:ascii="方正仿宋简体" w:hAnsi="方正仿宋简体" w:eastAsia="方正仿宋简体" w:cs="方正仿宋简体"/>
          <w:sz w:val="28"/>
        </w:rPr>
        <w:t>每月5日前，各基层单位将上月主要工作完成情况、存在问题及本月工作安排，向</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汇报，每季度由</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负责组织</w:t>
      </w:r>
      <w:r>
        <w:rPr>
          <w:rFonts w:hint="eastAsia" w:ascii="方正楷体简体" w:hAnsi="方正楷体简体" w:eastAsia="方正楷体简体" w:cs="方正楷体简体"/>
          <w:b w:val="0"/>
          <w:bCs/>
          <w:sz w:val="28"/>
          <w:szCs w:val="28"/>
        </w:rPr>
        <w:t>召开公司的季度生产安全分析会。</w:t>
      </w:r>
    </w:p>
    <w:p>
      <w:pPr>
        <w:keepNext w:val="0"/>
        <w:keepLines w:val="0"/>
        <w:pageBreakBefore w:val="0"/>
        <w:widowControl w:val="0"/>
        <w:tabs>
          <w:tab w:val="left" w:pos="1965"/>
        </w:tabs>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bCs w:val="0"/>
          <w:sz w:val="28"/>
          <w:szCs w:val="28"/>
        </w:rPr>
        <w:t>第三十七条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rPr>
        <w:t>在生产运行管理中涉及汇报的内容必须真实、数据必须准确，若是采用书面汇报的应按公司其它规定执行。</w:t>
      </w:r>
    </w:p>
    <w:p>
      <w:pPr>
        <w:spacing w:line="360" w:lineRule="auto"/>
        <w:ind w:firstLine="480" w:firstLineChars="200"/>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4"/>
        </w:rPr>
      </w:pPr>
      <w:r>
        <w:rPr>
          <w:rFonts w:hint="eastAsia" w:ascii="方正楷体简体" w:hAnsi="方正楷体简体" w:eastAsia="方正楷体简体" w:cs="方正楷体简体"/>
          <w:b w:val="0"/>
          <w:bCs/>
          <w:sz w:val="28"/>
          <w:szCs w:val="28"/>
        </w:rPr>
        <w:t xml:space="preserve">第七节 </w:t>
      </w:r>
      <w:r>
        <w:rPr>
          <w:rFonts w:hint="eastAsia" w:ascii="方正楷体简体" w:hAnsi="方正楷体简体" w:eastAsia="方正楷体简体" w:cs="方正楷体简体"/>
          <w:b w:val="0"/>
          <w:bCs/>
          <w:sz w:val="28"/>
          <w:szCs w:val="28"/>
          <w:lang w:val="en-US" w:eastAsia="zh-CN"/>
        </w:rPr>
        <w:t xml:space="preserve"> </w:t>
      </w:r>
      <w:r>
        <w:rPr>
          <w:rFonts w:hint="eastAsia" w:ascii="方正楷体简体" w:hAnsi="方正楷体简体" w:eastAsia="方正楷体简体" w:cs="方正楷体简体"/>
          <w:b w:val="0"/>
          <w:bCs/>
          <w:sz w:val="28"/>
          <w:szCs w:val="28"/>
        </w:rPr>
        <w:t>生产值班制度规定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第三十八条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生产值班是指公司根据特定的经营性质所制定的除正常工作时外的（包括节、假日）、以便处理应急事件的待令值班制度。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第三十九条</w:t>
      </w:r>
      <w:r>
        <w:rPr>
          <w:rFonts w:hint="eastAsia" w:ascii="方正仿宋简体" w:hAnsi="方正仿宋简体" w:eastAsia="方正仿宋简体" w:cs="方正仿宋简体"/>
          <w:sz w:val="28"/>
          <w:szCs w:val="28"/>
        </w:rPr>
        <w:t xml:space="preserve">  值班人员除调度值班人员外应包括有关负责人、安装维修工、司机等涉及生产安全运行的相关工作人员。所有值班人员以周为单位进行大循环，值班人员的值班报酬或其它方式的补休按公司的相关规定执行。同时，遵守以下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（一）值班人员在值班期间随时待命并确保通讯工具畅通，值班人员在值班过程的通讯费用由公司按标准报销。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（二）值班车辆随时保持完好并停于指定位置，值班调度坚持24小时值班，维修抢险人员和司机在公司值班，其他值班人员不得离开城区。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（三）值班人员在值班期间必须坚守岗位，有事请假必须在3小时前通过值班领导干部，以便调整补充。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（四）值班领导要做好交接工作。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（五）材料工要确保抢险材料准备齐全并存于指定位置。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（六）值班人员严禁饮酒，任何人违反劳动纪律将按规定严肃处理。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（七）值班负责人要填写当天的值班记录。对当日的生产情况、劳动纪律、外协情况、临时材料领用等作一简单描述。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（八）值班负责人按公司经理授权负责处理值班期间的生产运行事务，并将有关信息及时向公司经理反馈。</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sz w:val="30"/>
          <w:szCs w:val="30"/>
          <w:lang w:val="en-US" w:eastAsia="zh-CN"/>
        </w:rPr>
      </w:pPr>
      <w:r>
        <w:rPr>
          <w:rFonts w:hint="eastAsia" w:ascii="方正黑体简体" w:hAnsi="方正黑体简体" w:eastAsia="方正黑体简体" w:cs="方正黑体简体"/>
          <w:b w:val="0"/>
          <w:bCs/>
          <w:sz w:val="30"/>
          <w:szCs w:val="30"/>
          <w:lang w:val="en-US" w:eastAsia="zh-CN"/>
        </w:rPr>
        <w:t>第四章  输、配、储气站管理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200"/>
        <w:jc w:val="both"/>
        <w:textAlignment w:val="auto"/>
        <w:outlineLvl w:val="9"/>
        <w:rPr>
          <w:rFonts w:hint="eastAsia" w:ascii="方正黑体简体" w:hAnsi="方正黑体简体" w:eastAsia="方正黑体简体" w:cs="方正黑体简体"/>
          <w:b w:val="0"/>
          <w:bCs/>
          <w:sz w:val="30"/>
          <w:szCs w:val="30"/>
        </w:rPr>
      </w:pPr>
    </w:p>
    <w:p>
      <w:pPr>
        <w:keepNext w:val="0"/>
        <w:keepLines w:val="0"/>
        <w:pageBreakBefore w:val="0"/>
        <w:widowControl w:val="0"/>
        <w:numPr>
          <w:ilvl w:val="0"/>
          <w:numId w:val="5"/>
        </w:numPr>
        <w:kinsoku/>
        <w:wordWrap/>
        <w:overflowPunct/>
        <w:topLinePunct w:val="0"/>
        <w:autoSpaceDE/>
        <w:autoSpaceDN/>
        <w:bidi w:val="0"/>
        <w:adjustRightInd/>
        <w:snapToGrid/>
        <w:spacing w:before="100" w:beforeAutospacing="1" w:after="100" w:afterAutospacing="1" w:line="240" w:lineRule="atLeast"/>
        <w:ind w:firstLine="0" w:firstLineChars="0"/>
        <w:jc w:val="center"/>
        <w:textAlignment w:val="auto"/>
        <w:outlineLvl w:val="9"/>
        <w:rPr>
          <w:rFonts w:hint="eastAsia" w:ascii="方正楷体简体" w:hAnsi="方正楷体简体" w:eastAsia="方正楷体简体" w:cs="方正楷体简体"/>
          <w:b w:val="0"/>
          <w:bCs/>
          <w:sz w:val="28"/>
          <w:szCs w:val="28"/>
        </w:rPr>
      </w:pPr>
      <w:r>
        <w:rPr>
          <w:rFonts w:hint="eastAsia" w:ascii="方正楷体简体" w:hAnsi="方正楷体简体" w:eastAsia="方正楷体简体" w:cs="方正楷体简体"/>
          <w:b w:val="0"/>
          <w:bCs/>
          <w:sz w:val="28"/>
          <w:szCs w:val="28"/>
        </w:rPr>
        <w:t xml:space="preserve"> 站场生产技术管理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第四十条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与上下游建立信沟通机制，当出现气质异常时，应及时进行通报并采取应急措施。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第四十一条</w:t>
      </w:r>
      <w:r>
        <w:rPr>
          <w:rFonts w:hint="eastAsia" w:ascii="方正仿宋简体" w:hAnsi="方正仿宋简体" w:eastAsia="方正仿宋简体" w:cs="方正仿宋简体"/>
          <w:sz w:val="28"/>
        </w:rPr>
        <w:t xml:space="preserve">  认真落实设备设施的生产过程管理与监控，提高生产运行管理水平。及时准确掌握生产动态，严格执行日、月生产信息填报制，对生产中出现的矛盾和问题要及时协调和处理。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 xml:space="preserve">第四十二条 </w:t>
      </w:r>
      <w:r>
        <w:rPr>
          <w:rFonts w:hint="eastAsia" w:ascii="方正仿宋简体" w:hAnsi="方正仿宋简体" w:eastAsia="方正仿宋简体" w:cs="方正仿宋简体"/>
          <w:b/>
          <w:bCs w:val="0"/>
          <w:sz w:val="28"/>
          <w:szCs w:val="28"/>
          <w:lang w:val="en-US" w:eastAsia="zh-CN"/>
        </w:rPr>
        <w:t xml:space="preserve"> </w:t>
      </w:r>
      <w:r>
        <w:rPr>
          <w:rFonts w:hint="eastAsia" w:ascii="方正仿宋简体" w:hAnsi="方正仿宋简体" w:eastAsia="方正仿宋简体" w:cs="方正仿宋简体"/>
          <w:sz w:val="28"/>
        </w:rPr>
        <w:t>各类站场值班人员应培训合格后持证上岗，并按照相关规定取得相应安全管理资格证、消防培训证、压力容器操作证、外销计量证等资格证书。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第四十三条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值班人员应熟悉站场周边及管网的基本情况，熟悉所辖区域的抢险方案及应急预案，熟悉站场设备设施的性能、用途、结构及工作原理，对站内设备应做到会操作、会保养、会排除故障。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 xml:space="preserve">第四十四条 </w:t>
      </w:r>
      <w:r>
        <w:rPr>
          <w:rFonts w:hint="eastAsia" w:ascii="方正仿宋简体" w:hAnsi="方正仿宋简体" w:eastAsia="方正仿宋简体" w:cs="方正仿宋简体"/>
          <w:b/>
          <w:bCs w:val="0"/>
          <w:sz w:val="28"/>
          <w:szCs w:val="28"/>
          <w:lang w:val="en-US" w:eastAsia="zh-CN"/>
        </w:rPr>
        <w:t xml:space="preserve"> </w:t>
      </w:r>
      <w:r>
        <w:rPr>
          <w:rFonts w:hint="eastAsia" w:ascii="方正仿宋简体" w:hAnsi="方正仿宋简体" w:eastAsia="方正仿宋简体" w:cs="方正仿宋简体"/>
          <w:sz w:val="28"/>
        </w:rPr>
        <w:t>设备投入使用前，应对站场员工进行培训，使其熟悉设备的性能，掌握操作方法、安全技术规程和保养知识。应按照法定要求的项目和周期积极开展计量仪表、特种设备以及安全附属装置的定期检定校验工作。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 xml:space="preserve">第四十五条 </w:t>
      </w:r>
      <w:r>
        <w:rPr>
          <w:rFonts w:hint="eastAsia" w:ascii="方正仿宋简体" w:hAnsi="方正仿宋简体" w:eastAsia="方正仿宋简体" w:cs="方正仿宋简体"/>
          <w:b/>
          <w:bCs w:val="0"/>
          <w:sz w:val="28"/>
          <w:szCs w:val="28"/>
          <w:lang w:val="en-US" w:eastAsia="zh-CN"/>
        </w:rPr>
        <w:t xml:space="preserve"> </w:t>
      </w:r>
      <w:r>
        <w:rPr>
          <w:rFonts w:hint="eastAsia" w:ascii="方正仿宋简体" w:hAnsi="方正仿宋简体" w:eastAsia="方正仿宋简体" w:cs="方正仿宋简体"/>
          <w:sz w:val="28"/>
        </w:rPr>
        <w:t>针对站场所有区域和生产业务，应定期开展危险源辨识工作并建立清单，根据辨识与评价的结果制定改善措施，属于重大危险源的应建立重大危险源台账，制定重大危险源的管控措施。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第四十六条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站场巡检周期等其它操作、运行、维护、信息管理要求应按照《四川川港燃气有限责任公司输配气站生产技术管理办法》执行。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 xml:space="preserve">第四十七条 </w:t>
      </w:r>
      <w:r>
        <w:rPr>
          <w:rFonts w:hint="eastAsia" w:ascii="方正仿宋简体" w:hAnsi="方正仿宋简体" w:eastAsia="方正仿宋简体" w:cs="方正仿宋简体"/>
          <w:b/>
          <w:bCs w:val="0"/>
          <w:sz w:val="28"/>
          <w:szCs w:val="28"/>
          <w:lang w:val="en-US" w:eastAsia="zh-CN"/>
        </w:rPr>
        <w:t xml:space="preserve"> </w:t>
      </w:r>
      <w:r>
        <w:rPr>
          <w:rFonts w:hint="eastAsia" w:ascii="方正仿宋简体" w:hAnsi="方正仿宋简体" w:eastAsia="方正仿宋简体" w:cs="方正仿宋简体"/>
          <w:b/>
          <w:bCs w:val="0"/>
          <w:sz w:val="28"/>
          <w:szCs w:val="28"/>
        </w:rPr>
        <w:t>按</w:t>
      </w:r>
      <w:r>
        <w:rPr>
          <w:rFonts w:hint="eastAsia" w:ascii="方正仿宋简体" w:hAnsi="方正仿宋简体" w:eastAsia="方正仿宋简体" w:cs="方正仿宋简体"/>
          <w:sz w:val="28"/>
        </w:rPr>
        <w:t>照国家有关标准规定，定期对燃气设施阴极保护系统、防雷系统、超压放散、安全隔离等保护装置和安全警示标志进行检测、维修和维护。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第四十八条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按照</w:t>
      </w:r>
      <w:r>
        <w:rPr>
          <w:rFonts w:hint="eastAsia" w:ascii="方正仿宋简体" w:hAnsi="方正仿宋简体" w:eastAsia="方正仿宋简体" w:cs="方正仿宋简体"/>
          <w:sz w:val="28"/>
          <w:lang w:eastAsia="zh-CN"/>
        </w:rPr>
        <w:t>QHSE</w:t>
      </w:r>
      <w:r>
        <w:rPr>
          <w:rFonts w:hint="eastAsia" w:ascii="方正仿宋简体" w:hAnsi="方正仿宋简体" w:eastAsia="方正仿宋简体" w:cs="方正仿宋简体"/>
          <w:sz w:val="28"/>
        </w:rPr>
        <w:t>作业文件及操作规程正确操作生产设备、安全设施及消防设施，按时对站场设备和仪表进行日常维护保养。燃气设备设施的检修工作必须由专业人员进行，应编制检修方案，通过审批后方能实施。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第四十九条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站场、管网等生产设施的输配能力、技术状况应符合规范要求，满足正常生产的需要。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第五十条</w:t>
      </w:r>
      <w:r>
        <w:rPr>
          <w:rFonts w:hint="eastAsia" w:ascii="方正仿宋简体" w:hAnsi="方正仿宋简体" w:eastAsia="方正仿宋简体" w:cs="方正仿宋简体"/>
          <w:b w:val="0"/>
          <w:bCs/>
          <w:sz w:val="28"/>
          <w:szCs w:val="28"/>
        </w:rPr>
        <w:t xml:space="preserve"> </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sz w:val="28"/>
        </w:rPr>
        <w:t>按照分公司基层站队</w:t>
      </w:r>
      <w:r>
        <w:rPr>
          <w:rFonts w:hint="eastAsia" w:ascii="方正仿宋简体" w:hAnsi="方正仿宋简体" w:eastAsia="方正仿宋简体" w:cs="方正仿宋简体"/>
          <w:sz w:val="28"/>
          <w:lang w:eastAsia="zh-CN"/>
        </w:rPr>
        <w:t>QHSE</w:t>
      </w:r>
      <w:r>
        <w:rPr>
          <w:rFonts w:hint="eastAsia" w:ascii="方正仿宋简体" w:hAnsi="方正仿宋简体" w:eastAsia="方正仿宋简体" w:cs="方正仿宋简体"/>
          <w:sz w:val="28"/>
        </w:rPr>
        <w:t>标准化建设管理要求，根据站场工艺设计参数及设备状态，编制管理手册与操作手册，并根据生产情况及时更新，以保证其有效性。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各类场站及管网设施应建立健全基础信息台账、工艺流程图及管网图，当管网工艺、设备设施、工艺参数、安全系统等发生超出现有设计，或管道运行与操作规程范围发生改变时，应执行变更管理。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第五十二条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站场调压、超（欠）压切断等设备应至少每季度进行维护、保养，确保运行稳定，状态良好。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站场的安全监控设施、报警装置、消防设施、防雷（静电）设施、应急救护设施应符合相关安全技术规定，并处于完好状态。</w:t>
      </w:r>
    </w:p>
    <w:p>
      <w:pPr>
        <w:spacing w:line="360" w:lineRule="auto"/>
        <w:rPr>
          <w:rFonts w:ascii="宋体" w:hAnsi="宋体" w:cs="Arial Unicode MS"/>
          <w:sz w:val="24"/>
        </w:rPr>
      </w:pPr>
    </w:p>
    <w:p>
      <w:pPr>
        <w:keepNext w:val="0"/>
        <w:keepLines w:val="0"/>
        <w:pageBreakBefore w:val="0"/>
        <w:widowControl w:val="0"/>
        <w:numPr>
          <w:ilvl w:val="0"/>
          <w:numId w:val="5"/>
        </w:numPr>
        <w:kinsoku/>
        <w:wordWrap/>
        <w:overflowPunct/>
        <w:topLinePunct w:val="0"/>
        <w:autoSpaceDE/>
        <w:autoSpaceDN/>
        <w:bidi w:val="0"/>
        <w:adjustRightInd/>
        <w:snapToGrid/>
        <w:spacing w:line="240" w:lineRule="atLeast"/>
        <w:ind w:left="0" w:leftChars="0" w:firstLine="560" w:firstLineChars="200"/>
        <w:jc w:val="center"/>
        <w:textAlignment w:val="auto"/>
        <w:outlineLvl w:val="9"/>
        <w:rPr>
          <w:rFonts w:hint="eastAsia" w:ascii="方正仿宋简体" w:hAnsi="方正仿宋简体" w:eastAsia="方正仿宋简体" w:cs="方正仿宋简体"/>
          <w:sz w:val="28"/>
        </w:rPr>
      </w:pPr>
      <w:r>
        <w:rPr>
          <w:rFonts w:hint="eastAsia" w:ascii="方正楷体简体" w:hAnsi="方正楷体简体" w:eastAsia="方正楷体简体" w:cs="方正楷体简体"/>
          <w:b w:val="0"/>
          <w:bCs/>
          <w:sz w:val="28"/>
          <w:szCs w:val="28"/>
        </w:rPr>
        <w:t xml:space="preserve"> 场站巡检、日常工作管理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bCs w:val="0"/>
          <w:sz w:val="28"/>
          <w:szCs w:val="28"/>
        </w:rPr>
        <w:t>第五十四条</w:t>
      </w:r>
      <w:r>
        <w:rPr>
          <w:rFonts w:hint="eastAsia" w:ascii="方正仿宋简体" w:hAnsi="方正仿宋简体" w:eastAsia="方正仿宋简体" w:cs="方正仿宋简体"/>
          <w:b w:val="0"/>
          <w:bCs/>
          <w:sz w:val="28"/>
          <w:szCs w:val="28"/>
        </w:rPr>
        <w:t xml:space="preserve"> </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val="0"/>
          <w:bCs/>
          <w:sz w:val="28"/>
          <w:szCs w:val="28"/>
        </w:rPr>
        <w:t>配气站上班人员每天每小时定时做好巡回检查，填写好生产日报，做到一看设备状态是否正确，附件是否齐全，二听设备内气流无异常声音；三闻设备有无天然气气味；四查连接部件有无松动，安全防护装置是否牢靠：五整改发现的问题：六汇报。本站不能处理的问题，请示上级主管部门解决，并作好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bCs w:val="0"/>
          <w:sz w:val="28"/>
          <w:szCs w:val="28"/>
        </w:rPr>
        <w:t>第五十五条</w:t>
      </w:r>
      <w:r>
        <w:rPr>
          <w:rFonts w:hint="eastAsia" w:ascii="方正仿宋简体" w:hAnsi="方正仿宋简体" w:eastAsia="方正仿宋简体" w:cs="方正仿宋简体"/>
          <w:b w:val="0"/>
          <w:bCs/>
          <w:sz w:val="28"/>
          <w:szCs w:val="28"/>
        </w:rPr>
        <w:t xml:space="preserve"> </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val="0"/>
          <w:bCs/>
          <w:sz w:val="28"/>
          <w:szCs w:val="28"/>
        </w:rPr>
        <w:t>输、配、储气站日常工作内容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b w:val="0"/>
          <w:bCs/>
          <w:sz w:val="28"/>
          <w:szCs w:val="28"/>
        </w:rPr>
        <w:t>（一）每天进行站场卫生，每小时巡回检查。每天24:00小时进行加臭</w:t>
      </w:r>
      <w:r>
        <w:rPr>
          <w:rFonts w:hint="eastAsia" w:ascii="方正仿宋简体" w:hAnsi="方正仿宋简体" w:eastAsia="方正仿宋简体" w:cs="方正仿宋简体"/>
          <w:sz w:val="28"/>
        </w:rPr>
        <w:t>，填写《加臭记录》，并向公司调度室汇报相关数据。每周五下午对加臭设备进行维护及保养，并保证加臭容器内液面符合加臭要求，对《加臭记录》进行核实，交调度室备案。每月1号上报加臭月报至调度室。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（二）每周一进行站场设备查漏并整改漏点。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（三）每周三进行周安全活动，具体检查消防器材是否齐全，消防设备是否完好，生产、生活电路、气路是否正常。排污池是否正常等。消防通道、排水沟保证畅通等。分析可能产生的安全隐患。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（四）每月进行一次应急预案演练，每月进行一次现场技术练兵，每周五下午进行一次分离器、过滤器排污，特殊情况应加密排污，每季最后一个月上旬进行进行一次阀门保养、加注密封脂和防腐等。</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rPr>
          <w:rFonts w:ascii="宋体" w:hAnsi="宋体" w:cs="Arial Unicode MS"/>
          <w:sz w:val="28"/>
          <w:szCs w:val="28"/>
        </w:rPr>
      </w:pPr>
      <w:r>
        <w:rPr>
          <w:rFonts w:hint="eastAsia" w:ascii="方正楷体简体" w:hAnsi="方正楷体简体" w:eastAsia="方正楷体简体" w:cs="方正楷体简体"/>
          <w:b w:val="0"/>
          <w:bCs/>
          <w:sz w:val="28"/>
          <w:szCs w:val="28"/>
        </w:rPr>
        <w:t>第三节  场站汇报及资料管理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第五十六条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汇报及资料管理如下：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（一）配气站每天早上7：30至8：30向公司生产调度室汇报本站日产量、压力状况、设备状况及存在的问题如何处理。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（二）配气站上班人员每天每小时定时做好巡回检查，填写好生产日报。每月生产日报</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和</w:t>
      </w:r>
      <w:r>
        <w:rPr>
          <w:rFonts w:hint="eastAsia" w:ascii="方正仿宋简体" w:hAnsi="方正仿宋简体" w:eastAsia="方正仿宋简体" w:cs="方正仿宋简体"/>
          <w:sz w:val="28"/>
          <w:lang w:eastAsia="zh-CN"/>
        </w:rPr>
        <w:t>输配中心站</w:t>
      </w:r>
      <w:r>
        <w:rPr>
          <w:rFonts w:hint="eastAsia" w:ascii="方正仿宋简体" w:hAnsi="方正仿宋简体" w:eastAsia="方正仿宋简体" w:cs="方正仿宋简体"/>
          <w:sz w:val="28"/>
        </w:rPr>
        <w:t>审核、存档。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（三）配气站每月底将本站综合记录报送</w:t>
      </w:r>
      <w:r>
        <w:rPr>
          <w:rFonts w:hint="eastAsia" w:ascii="方正仿宋简体" w:hAnsi="方正仿宋简体" w:eastAsia="方正仿宋简体" w:cs="方正仿宋简体"/>
          <w:sz w:val="28"/>
          <w:lang w:eastAsia="zh-CN"/>
        </w:rPr>
        <w:t>输配中心站</w:t>
      </w:r>
      <w:r>
        <w:rPr>
          <w:rFonts w:hint="eastAsia" w:ascii="方正仿宋简体" w:hAnsi="方正仿宋简体" w:eastAsia="方正仿宋简体" w:cs="方正仿宋简体"/>
          <w:sz w:val="28"/>
        </w:rPr>
        <w:t>和</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（四）配气站未经公司允许，不得将本站资料、数据向其它任何单位或个人透漏。</w:t>
      </w:r>
    </w:p>
    <w:p>
      <w:pPr>
        <w:spacing w:line="360" w:lineRule="auto"/>
        <w:ind w:firstLine="480" w:firstLineChars="200"/>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8"/>
          <w:szCs w:val="28"/>
        </w:rPr>
      </w:pPr>
      <w:r>
        <w:rPr>
          <w:rFonts w:hint="eastAsia" w:ascii="方正楷体简体" w:hAnsi="方正楷体简体" w:eastAsia="方正楷体简体" w:cs="方正楷体简体"/>
          <w:b w:val="0"/>
          <w:bCs/>
          <w:sz w:val="28"/>
          <w:szCs w:val="28"/>
        </w:rPr>
        <w:t>第四节  场站设备管理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第五十七条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设备管理如下：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（一）输气站设备管理工作应做到“一准、二灵、三不漏”的标准。“一准”：计量仪表安装、校验、参数录取、产量计算准确。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“二灵活”：各类阀门、开关的驱动机构灵活、可靠；调压装置、收发球装置、安全装置操作灵活、可靠。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“三不漏”：法兰、接头、盘根严密，设备管道固定牢靠，油、气、水无跑、冒、滴、漏：电器设备不得有外层残缺和漏电现象，站场防雷接地保护好：所有设备、仪表内外防腐良好，无锈蚀和防腐层脱落。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（二）站场设备管理应采取定人、定位、定责、分片包干的办法，每周由站长组织、评比考核一次，做到包、保、管三落实。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站场设备应按同一类别进行编号，不同类别以不同符号颜色加以区别。设备上的铭牌应保持本色、完好，不能涂色、遮盖住，保持醒目清楚。重要设备和判别开启易搞错的阀门的操作件上应设置和阀门所处状态（“开”或“闭”）一致的标志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（四）站场用的球阀、平板阀、闸阀，只作全开或全闭操作，不得作节流使用。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（五）干线球阀操作，应平衡球阀前后端压力，禁止阀前后存在压差下强行操作。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（六）站场设备运行必须遵守有关规程的规定，不得超压、超速、超负荷，重要设备应有安全保护装置。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（七）站场以及管道设置的关键设备，如在用线路截断阀、快开盲板、球阀应坚持定期活动，并作好记录，填写资料档案。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（八）输气站设备应建立设备档案内容应能准确记录名称、规格、型号、安装、使用、更换、维护、保养以及现状等情况。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（九）承压设备维护检修应与计划检修结合进行，设备检修应有明确的质量标准，易损件应定期检查、更换。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（十）设备备用配件应有足够的储备。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（十一）站场整改或设备修理由站长或指定人员监护其工程进行，制止乱动操作。工程完后应按标准检查、记录签字。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（十二）输气站日常设备维护保养其内容如下：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1、根据设备的使用情况进行零部件或部分组件的拆洗清洗，修复的维护保养。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2、对设备的密封件进行适当的调整（如调整更换盘根、垫子）。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3、清除设备上的锈蚀、油污、补漆、恢复保护色（补漆应除锈后上底漆再面漆，横平竖直，见方不流不皱）。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4、检查调整润滑油路、清洗油咀、油线、滤清器、滑导面等。适当加润滑油或润滑脂。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5、及时清除分离器、除尘器、清管装置、计量装置、调压装置等设备内的积液和污物，确保使用性能。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6、检查电器装置，做到固定整齐，安全防护装置牢靠接地良好。</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7、设备运行记录必须按规定填写，做到数据齐全、准确。</w:t>
      </w:r>
    </w:p>
    <w:p>
      <w:pPr>
        <w:spacing w:line="360" w:lineRule="auto"/>
        <w:ind w:firstLine="480" w:firstLineChars="200"/>
        <w:rPr>
          <w:rFonts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center"/>
        <w:textAlignment w:val="auto"/>
        <w:outlineLvl w:val="9"/>
        <w:rPr>
          <w:rFonts w:ascii="宋体" w:hAnsi="宋体" w:cs="Arial Unicode MS"/>
          <w:sz w:val="28"/>
          <w:szCs w:val="28"/>
        </w:rPr>
      </w:pPr>
      <w:r>
        <w:rPr>
          <w:rFonts w:hint="eastAsia" w:ascii="方正楷体简体" w:hAnsi="方正楷体简体" w:eastAsia="方正楷体简体" w:cs="方正楷体简体"/>
          <w:b w:val="0"/>
          <w:bCs/>
          <w:sz w:val="28"/>
          <w:szCs w:val="28"/>
        </w:rPr>
        <w:t>第五节  场站环境及安全、应急管理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环境及安全管理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一）工作和生产现场做到“五整洁”、“两无”、“三齐全”、保持“两统一”。“五整洁”：环境、设备整洁；工作现场整洁；工用具、资料整洁；公共场所、设施整洁；宿舍布置、摆放整洁。“两无”：生产区内无跑、冒、滴、漏、无烟头、纸屑、果皮等垃圾。“三齐全”：工作、作业、生产、生活所用的设备、设施、工用具完好齐全；各种检查、活动、培训、考核资料准确齐全；录取、运用、上报的资料准确齐全。保持“两统一”：保持班组上文、图、夹的设计、规格、制作、布局统一：保持工用具、配件、安全标志和设备的摆放统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（二）场站内要设置进站须知或注意事项和具有一定数量的安全警示标牌，摆放统一。站场进出站气流方向有箭头表示。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（三）当班人员按规定正确穿戴劳动用品。严禁在场站内使用手机，严禁将任何火源带入场站内。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（四）站场内的风险作业严格按照《西南油气田作业许可管理规定》制定，严禁违规施工。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第五十九条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应急抢险的基本要求如下：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（一）建立健全相关场站应急处置程序、公司应急抢险指挥系统（公司调度室为指挥机构、巡线抢险维修班为执行机构）及作业程序。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（二）坚持定期进行对应急抢险机具、材料进行检查，确保机具完好、材料齐全。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（三）定期修订站场应急处置卡及应急处置方案并坚持进行应急抢险预演，确保应急抢险系统反应迅速。</w:t>
      </w:r>
    </w:p>
    <w:p>
      <w:pPr>
        <w:spacing w:line="360" w:lineRule="auto"/>
        <w:rPr>
          <w:rFonts w:ascii="宋体" w:hAnsi="宋体" w:cs="Arial Unicode MS"/>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200"/>
        <w:jc w:val="center"/>
        <w:textAlignment w:val="auto"/>
        <w:outlineLvl w:val="9"/>
        <w:rPr>
          <w:rFonts w:hint="eastAsia" w:ascii="方正楷体简体" w:hAnsi="方正楷体简体" w:eastAsia="方正楷体简体" w:cs="方正楷体简体"/>
          <w:b w:val="0"/>
          <w:bCs/>
          <w:sz w:val="28"/>
          <w:szCs w:val="28"/>
        </w:rPr>
      </w:pPr>
      <w:r>
        <w:rPr>
          <w:rFonts w:hint="eastAsia" w:ascii="方正黑体简体" w:hAnsi="方正黑体简体" w:eastAsia="方正黑体简体" w:cs="方正黑体简体"/>
          <w:b w:val="0"/>
          <w:bCs/>
          <w:sz w:val="30"/>
          <w:szCs w:val="30"/>
          <w:lang w:eastAsia="zh-CN"/>
        </w:rPr>
        <w:t>第五章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管道运行管理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第六十条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rPr>
        <w:t>燃气管道的运行管理</w:t>
      </w:r>
      <w:r>
        <w:rPr>
          <w:rFonts w:ascii="方正仿宋简体" w:hAnsi="方正仿宋简体" w:eastAsia="方正仿宋简体" w:cs="方正仿宋简体"/>
          <w:sz w:val="28"/>
        </w:rPr>
        <w:t>应符合下列要求：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rPr>
      </w:pPr>
      <w:r>
        <w:rPr>
          <w:rFonts w:hint="eastAsia" w:ascii="方正仿宋简体" w:hAnsi="方正仿宋简体" w:eastAsia="方正仿宋简体" w:cs="方正仿宋简体"/>
          <w:sz w:val="28"/>
        </w:rPr>
        <w:t>（一）管道运行压力不应大于管道最高允许工作压力。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（二）应根据管道运行压力、温度、设备状况和季节特点，优化管道运行方案。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（三）管道整体或局部供气量发生变化时，应开展供气状况检查。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（四）应定期对管道进行适应性分析，提出改进方案。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第六十一条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针对燃气管道开展事故后果影响分级管理，通过对管道失效的事故后果影响分析，识别后果管控重点。每年应进行1次燃气管道失效事故后果影响分析，及时更新后果管控重点。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第六十二条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管网运行关键参数的改变和限制应通过上级单位审批后方可实施，不得随意降低管道最大允许工作压力。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val="0"/>
          <w:sz w:val="28"/>
          <w:szCs w:val="28"/>
        </w:rPr>
        <w:t>第六十三条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燃气管道截断阀门定期检查和维护保养，确保阀门无泄漏、损坏、积水、塌陷及无妨碍阀门操作的堆积物等，并做好记录。对于无法启闭或关闭不严的阀门，应及时维修或更换。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第六十四条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管道的巡护规定按照《四川川港燃气有限责任公司管道巡护管理办法（试行）》相关要求执行。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第六十五条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管道的检测、评估、维修、防腐按照《四川川港燃气有限责任公司管道管理办法（试行）》相关要求执行。</w:t>
      </w:r>
    </w:p>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firstLine="600" w:firstLineChars="20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 xml:space="preserve"> 燃气加臭管理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第六十六条</w:t>
      </w:r>
      <w:r>
        <w:rPr>
          <w:rFonts w:hint="eastAsia" w:ascii="方正仿宋简体" w:hAnsi="方正仿宋简体" w:eastAsia="方正仿宋简体" w:cs="方正仿宋简体"/>
          <w:b w:val="0"/>
          <w:bCs/>
          <w:sz w:val="28"/>
          <w:szCs w:val="28"/>
        </w:rPr>
        <w:t xml:space="preserve"> </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val="0"/>
          <w:bCs/>
          <w:sz w:val="28"/>
          <w:szCs w:val="28"/>
        </w:rPr>
        <w:t>供应</w:t>
      </w:r>
      <w:r>
        <w:rPr>
          <w:rFonts w:hint="eastAsia" w:ascii="方正仿宋简体" w:hAnsi="方正仿宋简体" w:eastAsia="方正仿宋简体" w:cs="方正仿宋简体"/>
          <w:sz w:val="28"/>
        </w:rPr>
        <w:t>的民用燃气必须按照《城镇燃气加臭技术规程（CJJ/T148-2010）》的要求进行加臭。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val="0"/>
          <w:sz w:val="28"/>
          <w:szCs w:val="28"/>
        </w:rPr>
        <w:t>第六十七条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加臭装置按产品使用说明书的要求，结合公司实际情况编写加臭装置的操作规程，完善相应的台帐和档案。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第六十八条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kern w:val="0"/>
          <w:sz w:val="28"/>
          <w:szCs w:val="28"/>
        </w:rPr>
        <w:t>加</w:t>
      </w:r>
      <w:r>
        <w:rPr>
          <w:rFonts w:hint="eastAsia" w:ascii="方正仿宋简体" w:hAnsi="方正仿宋简体" w:eastAsia="方正仿宋简体" w:cs="方正仿宋简体"/>
          <w:sz w:val="28"/>
        </w:rPr>
        <w:t>臭剂充装量不大于容器的90%，储存时间不超过加臭剂的保质期。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第六十九条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加臭装置加料时，加料人员应按有关规定及设备使用说明书或操作规程规定的操作方法和要求进行加注，加料过程应处于密闭状态。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第七十条</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b/>
          <w:bCs/>
          <w:kern w:val="0"/>
          <w:sz w:val="28"/>
          <w:szCs w:val="28"/>
          <w:lang w:val="en-US" w:eastAsia="zh-CN"/>
        </w:rPr>
        <w:t xml:space="preserve"> </w:t>
      </w:r>
      <w:r>
        <w:rPr>
          <w:rFonts w:hint="eastAsia" w:ascii="方正仿宋简体" w:hAnsi="方正仿宋简体" w:eastAsia="方正仿宋简体" w:cs="方正仿宋简体"/>
          <w:sz w:val="28"/>
        </w:rPr>
        <w:t>定期在管网末端抽样检测加臭剂浓度以控制加入量，检测频率不低于2次/年，带有备用泵的加臭装置至少每3个月切换1次；管网末端加臭剂的最小量符合CJJ/T 148《城镇燃气加臭技术规程》第3.1.4条要求，燃气泄漏到空气中达到爆炸下限的20％时应能觉察。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val="0"/>
          <w:sz w:val="28"/>
          <w:szCs w:val="28"/>
        </w:rPr>
        <w:t>第七十一条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加臭装置维护和检修人员必须经过专业培训，合格后</w:t>
      </w:r>
      <w:r>
        <w:rPr>
          <w:rFonts w:hint="eastAsia" w:ascii="方正仿宋简体" w:hAnsi="方正仿宋简体" w:eastAsia="方正仿宋简体" w:cs="方正仿宋简体"/>
          <w:kern w:val="0"/>
          <w:sz w:val="28"/>
          <w:szCs w:val="28"/>
        </w:rPr>
        <w:t>方可上岗操作。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val="0"/>
          <w:sz w:val="28"/>
          <w:szCs w:val="28"/>
        </w:rPr>
        <w:t>第七十二条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rPr>
        <w:t>加臭剂的选择应参照《天然气-有机硫化合物作为加臭剂的要求及检测方法》ISO13734的相关规定。</w:t>
      </w:r>
    </w:p>
    <w:p>
      <w:pPr>
        <w:spacing w:line="360" w:lineRule="auto"/>
        <w:ind w:firstLine="560" w:firstLineChars="200"/>
        <w:rPr>
          <w:rFonts w:ascii="宋体" w:hAnsi="宋体" w:cs="宋体"/>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600" w:firstLineChars="200"/>
        <w:jc w:val="center"/>
        <w:textAlignment w:val="auto"/>
        <w:outlineLvl w:val="9"/>
        <w:rPr>
          <w:rFonts w:ascii="宋体" w:hAnsi="宋体" w:cs="Arial Unicode MS"/>
          <w:sz w:val="24"/>
        </w:rPr>
      </w:pPr>
      <w:r>
        <w:rPr>
          <w:rFonts w:hint="eastAsia" w:ascii="方正黑体简体" w:hAnsi="方正黑体简体" w:eastAsia="方正黑体简体" w:cs="方正黑体简体"/>
          <w:b w:val="0"/>
          <w:bCs/>
          <w:sz w:val="30"/>
          <w:szCs w:val="30"/>
        </w:rPr>
        <w:t xml:space="preserve">第七章  附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第七十三条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rPr>
        <w:t>本办法由公司</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负责解释。</w:t>
      </w:r>
    </w:p>
    <w:p>
      <w:pPr>
        <w:keepNext w:val="0"/>
        <w:keepLines w:val="0"/>
        <w:pageBreakBefore w:val="0"/>
        <w:kinsoku/>
        <w:wordWrap/>
        <w:overflowPunct/>
        <w:topLinePunct w:val="0"/>
        <w:autoSpaceDE/>
        <w:autoSpaceDN/>
        <w:bidi w:val="0"/>
        <w:spacing w:line="560" w:lineRule="exact"/>
        <w:ind w:firstLine="551" w:firstLineChars="196"/>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val="0"/>
          <w:sz w:val="28"/>
          <w:szCs w:val="28"/>
        </w:rPr>
        <w:t>第七十四条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rPr>
        <w:t xml:space="preserve"> 本办法自发布之日起施行。</w:t>
      </w:r>
    </w:p>
    <w:p/>
    <w:p>
      <w:pPr>
        <w:ind w:firstLine="480" w:firstLineChars="200"/>
        <w:rPr>
          <w:rFonts w:ascii="宋体" w:hAnsi="宋体" w:cs="Arial Unicode MS"/>
          <w:sz w:val="24"/>
        </w:rPr>
      </w:pPr>
    </w:p>
    <w:p>
      <w:pPr>
        <w:ind w:firstLine="480" w:firstLineChars="200"/>
        <w:rPr>
          <w:rFonts w:ascii="宋体" w:hAnsi="宋体" w:cs="Arial Unicode MS"/>
          <w:sz w:val="24"/>
        </w:rPr>
      </w:pPr>
    </w:p>
    <w:p>
      <w:pPr>
        <w:ind w:firstLine="480" w:firstLineChars="200"/>
        <w:rPr>
          <w:rFonts w:ascii="宋体" w:hAnsi="宋体" w:cs="Arial Unicode MS"/>
          <w:sz w:val="24"/>
        </w:rPr>
      </w:pPr>
    </w:p>
    <w:p>
      <w:pPr>
        <w:rPr>
          <w:rFonts w:ascii="宋体" w:hAnsi="宋体" w:cs="Arial Unicode MS"/>
          <w:sz w:val="24"/>
        </w:rPr>
        <w:sectPr>
          <w:footerReference r:id="rId4" w:type="default"/>
          <w:pgSz w:w="11906" w:h="16838"/>
          <w:pgMar w:top="158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ind w:firstLine="0" w:firstLineChars="0"/>
        <w:jc w:val="center"/>
        <w:textAlignment w:val="auto"/>
        <w:outlineLvl w:val="0"/>
        <w:rPr>
          <w:rFonts w:hint="eastAsia" w:ascii="方正小标宋简体" w:eastAsia="方正小标宋简体"/>
          <w:b w:val="0"/>
          <w:bCs w:val="0"/>
          <w:sz w:val="36"/>
          <w:szCs w:val="36"/>
        </w:rPr>
      </w:pPr>
      <w:bookmarkStart w:id="26" w:name="_Toc25411"/>
      <w:bookmarkStart w:id="27" w:name="_Toc15951"/>
      <w:bookmarkStart w:id="28" w:name="_Toc23521"/>
      <w:bookmarkStart w:id="29" w:name="_Toc23850"/>
      <w:bookmarkStart w:id="30" w:name="_Toc28765"/>
      <w:bookmarkStart w:id="31" w:name="_Toc25260"/>
      <w:bookmarkStart w:id="32" w:name="_Toc13023"/>
      <w:bookmarkStart w:id="33" w:name="_Toc6690"/>
      <w:bookmarkStart w:id="34" w:name="_Toc30899"/>
      <w:bookmarkStart w:id="35" w:name="_Toc6877"/>
      <w:bookmarkStart w:id="36" w:name="_Toc22817"/>
      <w:bookmarkStart w:id="37" w:name="_Toc11240"/>
      <w:bookmarkStart w:id="38" w:name="_Toc23556"/>
      <w:bookmarkStart w:id="39" w:name="_Toc24211"/>
      <w:bookmarkStart w:id="40" w:name="_Toc1708"/>
      <w:bookmarkStart w:id="41" w:name="_Toc13242"/>
      <w:bookmarkStart w:id="42" w:name="_Toc14826"/>
      <w:bookmarkStart w:id="43" w:name="_Toc12777"/>
      <w:bookmarkStart w:id="44" w:name="_Toc21354"/>
      <w:r>
        <w:rPr>
          <w:rFonts w:hint="eastAsia" w:ascii="方正小标宋简体" w:eastAsia="方正小标宋简体"/>
          <w:b w:val="0"/>
          <w:bCs w:val="0"/>
          <w:sz w:val="36"/>
          <w:szCs w:val="36"/>
        </w:rPr>
        <w:t>中油南充燃气有限责任公司燃气安装管理办法</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宋体" w:hAnsi="宋体" w:cs="Arial Unicode MS"/>
          <w:sz w:val="30"/>
          <w:szCs w:val="30"/>
        </w:rPr>
      </w:pPr>
      <w:r>
        <w:rPr>
          <w:rFonts w:hint="eastAsia" w:ascii="方正黑体简体" w:hAnsi="方正黑体简体" w:eastAsia="方正黑体简体" w:cs="方正黑体简体"/>
          <w:b/>
          <w:sz w:val="30"/>
          <w:szCs w:val="30"/>
        </w:rPr>
        <w:t xml:space="preserve">第一章  总 </w:t>
      </w:r>
      <w:r>
        <w:rPr>
          <w:rFonts w:hint="eastAsia" w:ascii="方正黑体简体" w:hAnsi="方正黑体简体" w:eastAsia="方正黑体简体" w:cs="方正黑体简体"/>
          <w:b/>
          <w:sz w:val="30"/>
          <w:szCs w:val="30"/>
          <w:lang w:val="en-US" w:eastAsia="zh-CN"/>
        </w:rPr>
        <w:t xml:space="preserve"> </w:t>
      </w:r>
      <w:r>
        <w:rPr>
          <w:rFonts w:hint="eastAsia" w:ascii="方正黑体简体" w:hAnsi="方正黑体简体" w:eastAsia="方正黑体简体" w:cs="方正黑体简体"/>
          <w:b/>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206"/>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szCs w:val="28"/>
        </w:rPr>
        <w:t xml:space="preserve">第一条  </w:t>
      </w:r>
      <w:r>
        <w:rPr>
          <w:rFonts w:hint="eastAsia" w:ascii="方正仿宋简体" w:hAnsi="方正仿宋简体" w:eastAsia="方正仿宋简体" w:cs="方正仿宋简体"/>
          <w:sz w:val="28"/>
        </w:rPr>
        <w:t>为了建立适应现代企业规范的工程建设项目管理制度，进一步规范公司燃气安装管理程序，提高燃气安装管理水平，实现对燃气安装过程的有效控制，结合公司实际情况，特制定本办法。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79" w:firstLineChars="206"/>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sz w:val="28"/>
        </w:rPr>
        <w:t>第二条</w:t>
      </w:r>
      <w:r>
        <w:rPr>
          <w:rFonts w:hint="eastAsia" w:ascii="方正仿宋简体" w:hAnsi="方正仿宋简体" w:eastAsia="方正仿宋简体" w:cs="方正仿宋简体"/>
          <w:sz w:val="28"/>
        </w:rPr>
        <w:t xml:space="preserve">  本办法适用于公司范围内的燃气安装管理。</w:t>
      </w:r>
    </w:p>
    <w:p>
      <w:pPr>
        <w:ind w:firstLine="480" w:firstLineChars="200"/>
        <w:rPr>
          <w:rFonts w:hint="eastAsia"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宋体" w:hAnsi="宋体" w:cs="Arial Unicode MS"/>
          <w:sz w:val="24"/>
        </w:rPr>
      </w:pPr>
      <w:r>
        <w:rPr>
          <w:rFonts w:hint="eastAsia" w:ascii="方正黑体简体" w:hAnsi="方正黑体简体" w:eastAsia="方正黑体简体" w:cs="方正黑体简体"/>
          <w:b w:val="0"/>
          <w:bCs/>
          <w:sz w:val="30"/>
          <w:szCs w:val="30"/>
        </w:rPr>
        <w:t>第二章  范围与职责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val="en-US" w:eastAsia="zh-CN"/>
        </w:rPr>
        <w:t>工程技术</w:t>
      </w:r>
      <w:r>
        <w:rPr>
          <w:rFonts w:hint="eastAsia" w:ascii="方正仿宋简体" w:hAnsi="方正仿宋简体" w:eastAsia="方正仿宋简体" w:cs="方正仿宋简体"/>
          <w:sz w:val="28"/>
          <w:szCs w:val="28"/>
          <w:lang w:eastAsia="zh-CN"/>
        </w:rPr>
        <w:t>部</w:t>
      </w:r>
      <w:r>
        <w:rPr>
          <w:rFonts w:hint="eastAsia" w:ascii="方正仿宋简体" w:hAnsi="方正仿宋简体" w:eastAsia="方正仿宋简体" w:cs="方正仿宋简体"/>
          <w:sz w:val="28"/>
          <w:szCs w:val="28"/>
        </w:rPr>
        <w:t>是公司燃气安装管理的业务管理部门，其职责：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（一）负责燃气安装的总体组织管理和技术管理。</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（二）负责对相关基层单位组织安排燃气安装设计任务、收费任务、安装任务。</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（三）负责组织燃气安装设计的评审工作。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（四）负责指导燃气施工的技术管理和监督工作。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（五）负责组织燃气安装的验收工作。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（六）负责审核收集燃气工程竣工资料并存档。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（七）负责收集整理基层单位相关燃气安装资料、报表，并按时上报。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第四条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（一）负责受理用户燃气安装申请并填表及时上报</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（二）负责燃气安装收费，审核用户资料和燃具资料。</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（三）负责填写安装明细表及时上报</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（四）参与燃气安装的验收工作。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（五）负责收集用户资料并存档。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（六）负责收集燃气安装相关资料、报表，并按时上报。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第五条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设计公司职责：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（一）按照公司下达的设计任务对燃气工程进行勘察设计。</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（二）负责制作相关设计文本，负责做燃气工程预算。</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（三）参与公司燃气工程施工质量监督与管理。</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（四）参与燃气安装的验收工作。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（五）对公司提供燃气工程技术服务工作。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（六）负责收集燃气设计相关资料、报表，并按时上报。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第六条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（一）按照公司下达的安装任务负责对燃气工程组织安排施工。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（二）负责对施工过程进行全面监督，对施工质量、安全负责。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（三）参与燃气安装的验收工作。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（四）负责燃气安装的对外联络协调工作。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（五）负责收集制作燃气工程竣工资料并及时上报。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（六）负责收集燃气工程资料、报表，并按时上报。</w:t>
      </w:r>
    </w:p>
    <w:p>
      <w:pPr>
        <w:ind w:firstLine="480" w:firstLineChars="200"/>
        <w:rPr>
          <w:rFonts w:hint="eastAsia"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sz w:val="30"/>
          <w:szCs w:val="30"/>
        </w:rPr>
      </w:pPr>
      <w:r>
        <w:rPr>
          <w:rFonts w:hint="eastAsia" w:ascii="方正黑体简体" w:hAnsi="方正黑体简体" w:eastAsia="方正黑体简体" w:cs="方正黑体简体"/>
          <w:b w:val="0"/>
          <w:bCs/>
          <w:sz w:val="30"/>
          <w:szCs w:val="30"/>
        </w:rPr>
        <w:t>第三章  立户申请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sz w:val="28"/>
          <w:szCs w:val="28"/>
        </w:rPr>
        <w:t>第七条</w:t>
      </w:r>
      <w:r>
        <w:rPr>
          <w:rFonts w:hint="eastAsia" w:ascii="方正仿宋简体" w:hAnsi="方正仿宋简体" w:eastAsia="方正仿宋简体" w:cs="方正仿宋简体"/>
          <w:sz w:val="28"/>
          <w:szCs w:val="28"/>
        </w:rPr>
        <w:t xml:space="preserve">  用户到</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填写《天然气立户核准表》，并进行登记。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第八条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由</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在立户申请表上加盖公章后，将所有的申请表和用户资料在每天下午16：00前统一交</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调度室。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第九条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用户申请天然气立户时应提供的资料：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（一）建筑总平面图，每幢底层平面图、起始住宅平面图、标准层平面图、立面图。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（二）上述图纸的电子文件。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（三）大型商业、集体、工业用户除提供1—2项资料外，还应提供设计委托书（说明天然气用气量、用气压力、用气设备接口管径等）。</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cs="Arial Unicode MS"/>
          <w:b w:val="0"/>
          <w:bCs/>
          <w:sz w:val="30"/>
          <w:szCs w:val="30"/>
        </w:rPr>
      </w:pPr>
      <w:r>
        <w:rPr>
          <w:rFonts w:hint="eastAsia" w:ascii="方正黑体简体" w:hAnsi="方正黑体简体" w:eastAsia="方正黑体简体" w:cs="方正黑体简体"/>
          <w:b w:val="0"/>
          <w:bCs/>
          <w:sz w:val="30"/>
          <w:szCs w:val="30"/>
        </w:rPr>
        <w:t xml:space="preserve">第四章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勘察设计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工程技术部</w:t>
      </w:r>
      <w:r>
        <w:rPr>
          <w:rFonts w:hint="eastAsia" w:ascii="方正仿宋简体" w:hAnsi="方正仿宋简体" w:eastAsia="方正仿宋简体" w:cs="方正仿宋简体"/>
          <w:sz w:val="28"/>
          <w:szCs w:val="28"/>
        </w:rPr>
        <w:t>收到《天然气立户核准表》和用户资料后，按时间先后顺序组织设计人员、</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人员到现场初勘。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第十一条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现场初勘目的：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（一）是否具备设计、安装要求。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（二）确定设计所选用的主要设备和材料。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（三）各种燃气设施的位置是否方便后期管理。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第十二条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初勘后具备设计条件的用户，调度室按时间先后顺序填写燃气工程设计任务单，将立户申请初勘表和用户资料一同交利能设计公司设计。（工程设计单上写明初勘的设计要求）。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第十三条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对不具备设计安装条件的用户，立户申请表通过</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立刻返回用户。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第十四条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利能设计公司根据设计任务单和现场勘察的情况作出设计书，商业以及一些特殊的燃气安装应作预算，并向用户收取设计费。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第十五条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利能设计公司将设计出的设计书（4份）、预算书和立户申请表（签上设计人员意见）一同交调度室。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第十六条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燃气工程设计完成工作日一般规定：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（一）零散户、拆迁改造（只开料表、施工说明、平面布置图）：2日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（二）20户以下住宅（只开料表、施工说明、平面布置图）：3日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（三）20—50住宅：5日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（四）50—80住宅：10日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（五）80—100住宅：15日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（六）100—120住宅：20日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（七）150—200住宅：30日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（八）250—300住宅：40日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（九）300以上住宅：50日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（十）小型商业、集体设计（含预算）：5日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（十一）、大、中型商业、集体设计（含预算）：10—15日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（十二）中压管道设计：15—20日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（十三）小区规划：20—30日</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cs="Arial Unicode MS"/>
          <w:sz w:val="24"/>
        </w:rPr>
      </w:pPr>
      <w:r>
        <w:rPr>
          <w:rFonts w:hint="eastAsia" w:ascii="方正黑体简体" w:hAnsi="方正黑体简体" w:eastAsia="方正黑体简体" w:cs="方正黑体简体"/>
          <w:b w:val="0"/>
          <w:bCs/>
          <w:sz w:val="30"/>
          <w:szCs w:val="30"/>
        </w:rPr>
        <w:t xml:space="preserve">第五章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燃气工程设计评审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第十七条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评审范围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（一）100户以下居民用户、小型商业集体工业设计由设计公司主任工程师及其领导组织评审。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（二）100户以上居民用户、IC卡表或其它特殊用户、中型商业集体用户（包括燃气锅炉、空调）、中压管道、阀井工程设计由生产部组织有关人员评审。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（三）大型商业、工业、区域管网规划、对外工程设计由公司分管领导组织有关人员会审。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（四）会审意见必须认真填写在《</w:t>
      </w:r>
      <w:r>
        <w:rPr>
          <w:rFonts w:hint="eastAsia" w:ascii="方正仿宋简体" w:hAnsi="方正仿宋简体" w:eastAsia="方正仿宋简体" w:cs="方正仿宋简体"/>
          <w:bCs/>
          <w:sz w:val="28"/>
          <w:szCs w:val="28"/>
        </w:rPr>
        <w:t>设计和开发输入、评审记录（初勘表）</w:t>
      </w:r>
      <w:r>
        <w:rPr>
          <w:rFonts w:hint="eastAsia" w:ascii="方正仿宋简体" w:hAnsi="方正仿宋简体" w:eastAsia="方正仿宋简体" w:cs="方正仿宋简体"/>
          <w:sz w:val="28"/>
          <w:szCs w:val="28"/>
        </w:rPr>
        <w:t>》（见附件）中，作为设计公司下《设计和开发更改记录》（见附件）的依据，参加评审人员均应在《</w:t>
      </w:r>
      <w:r>
        <w:rPr>
          <w:rFonts w:hint="eastAsia" w:ascii="方正仿宋简体" w:hAnsi="方正仿宋简体" w:eastAsia="方正仿宋简体" w:cs="方正仿宋简体"/>
          <w:bCs/>
          <w:sz w:val="28"/>
          <w:szCs w:val="28"/>
        </w:rPr>
        <w:t>设计和开发输入、评审记录（初勘表）</w:t>
      </w:r>
      <w:r>
        <w:rPr>
          <w:rFonts w:hint="eastAsia" w:ascii="方正仿宋简体" w:hAnsi="方正仿宋简体" w:eastAsia="方正仿宋简体" w:cs="方正仿宋简体"/>
          <w:sz w:val="28"/>
          <w:szCs w:val="28"/>
        </w:rPr>
        <w:t>》上签字。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第十八条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评审目的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（一）审查工程设计的安全性、可靠性和经济性。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（二）新材料、新设备、新工艺的推广性。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（三）审查设计文件的规范性和正确性。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第十九条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评审小组组成：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评审小组由公司分管领导、</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、利能设计公司、</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相关人员组成。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宋体" w:hAnsi="宋体" w:cs="Arial Unicode M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cs="Arial Unicode MS"/>
          <w:sz w:val="24"/>
        </w:rPr>
      </w:pPr>
      <w:r>
        <w:rPr>
          <w:rFonts w:hint="eastAsia" w:ascii="方正黑体简体" w:hAnsi="方正黑体简体" w:eastAsia="方正黑体简体" w:cs="方正黑体简体"/>
          <w:b w:val="0"/>
          <w:bCs/>
          <w:sz w:val="30"/>
          <w:szCs w:val="30"/>
        </w:rPr>
        <w:t xml:space="preserve">第六章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立户收费派工</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调度室将收到的预算书和《</w:t>
      </w:r>
      <w:r>
        <w:rPr>
          <w:rFonts w:hint="eastAsia" w:ascii="方正仿宋简体" w:hAnsi="方正仿宋简体" w:eastAsia="方正仿宋简体" w:cs="方正仿宋简体"/>
          <w:sz w:val="28"/>
        </w:rPr>
        <w:t>天然气立户核准表》</w:t>
      </w:r>
      <w:r>
        <w:rPr>
          <w:rFonts w:hint="eastAsia" w:ascii="方正仿宋简体" w:hAnsi="方正仿宋简体" w:eastAsia="方正仿宋简体" w:cs="方正仿宋简体"/>
          <w:sz w:val="28"/>
          <w:szCs w:val="28"/>
        </w:rPr>
        <w:t>在两个工作日内交</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第二十一条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将预算书和《</w:t>
      </w:r>
      <w:r>
        <w:rPr>
          <w:rFonts w:hint="eastAsia" w:ascii="方正仿宋简体" w:hAnsi="方正仿宋简体" w:eastAsia="方正仿宋简体" w:cs="方正仿宋简体"/>
          <w:sz w:val="28"/>
        </w:rPr>
        <w:t>天然气立户核准表》</w:t>
      </w:r>
      <w:r>
        <w:rPr>
          <w:rFonts w:hint="eastAsia" w:ascii="方正仿宋简体" w:hAnsi="方正仿宋简体" w:eastAsia="方正仿宋简体" w:cs="方正仿宋简体"/>
          <w:sz w:val="28"/>
          <w:szCs w:val="28"/>
        </w:rPr>
        <w:t>交公司领导签字后，两个工作日内通知用户交费立户。</w:t>
      </w:r>
    </w:p>
    <w:p>
      <w:pPr>
        <w:keepNext w:val="0"/>
        <w:keepLines w:val="0"/>
        <w:pageBreakBefore w:val="0"/>
        <w:widowControl w:val="0"/>
        <w:kinsoku/>
        <w:wordWrap/>
        <w:overflowPunct/>
        <w:topLinePunct w:val="0"/>
        <w:autoSpaceDE/>
        <w:autoSpaceDN/>
        <w:bidi w:val="0"/>
        <w:adjustRightInd/>
        <w:snapToGrid/>
        <w:spacing w:line="560" w:lineRule="exact"/>
        <w:ind w:firstLine="646"/>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二十二</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用户交费后，</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填写《天然气用户安装明细表》交</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调度室，调度室根据安装进程，将明细表和设计书安排</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进行施工。</w:t>
      </w:r>
    </w:p>
    <w:p>
      <w:pPr>
        <w:ind w:firstLine="480" w:firstLineChars="200"/>
        <w:rPr>
          <w:rFonts w:hint="eastAsia" w:ascii="宋体" w:hAnsi="宋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cs="Arial Unicode MS"/>
          <w:sz w:val="24"/>
        </w:rPr>
      </w:pPr>
      <w:r>
        <w:rPr>
          <w:rFonts w:hint="eastAsia" w:ascii="方正黑体简体" w:hAnsi="方正黑体简体" w:eastAsia="方正黑体简体" w:cs="方正黑体简体"/>
          <w:b w:val="0"/>
          <w:bCs/>
          <w:sz w:val="30"/>
          <w:szCs w:val="30"/>
        </w:rPr>
        <w:t>第七章  现场施工</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51" w:firstLineChars="196"/>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w:t>
      </w:r>
      <w:r>
        <w:rPr>
          <w:rFonts w:hint="eastAsia" w:ascii="方正仿宋简体" w:hAnsi="方正仿宋简体" w:eastAsia="方正仿宋简体" w:cs="方正仿宋简体"/>
          <w:b/>
          <w:bCs/>
          <w:szCs w:val="28"/>
        </w:rPr>
        <w:t>二十三</w:t>
      </w:r>
      <w:r>
        <w:rPr>
          <w:rFonts w:hint="eastAsia" w:ascii="方正仿宋简体" w:hAnsi="方正仿宋简体" w:eastAsia="方正仿宋简体" w:cs="方正仿宋简体"/>
          <w:b/>
          <w:szCs w:val="28"/>
        </w:rPr>
        <w:t>条</w:t>
      </w:r>
      <w:r>
        <w:rPr>
          <w:rFonts w:hint="eastAsia" w:ascii="方正仿宋简体" w:hAnsi="方正仿宋简体" w:eastAsia="方正仿宋简体" w:cs="方正仿宋简体"/>
          <w:szCs w:val="28"/>
        </w:rPr>
        <w:t xml:space="preserve">  </w:t>
      </w:r>
      <w:r>
        <w:rPr>
          <w:rFonts w:hint="eastAsia" w:ascii="方正仿宋简体" w:hAnsi="方正仿宋简体" w:eastAsia="方正仿宋简体" w:cs="方正仿宋简体"/>
          <w:szCs w:val="28"/>
          <w:lang w:eastAsia="zh-CN"/>
        </w:rPr>
        <w:t>生产保障中心</w:t>
      </w:r>
      <w:r>
        <w:rPr>
          <w:rFonts w:hint="eastAsia" w:ascii="方正仿宋简体" w:hAnsi="方正仿宋简体" w:eastAsia="方正仿宋简体" w:cs="方正仿宋简体"/>
          <w:szCs w:val="28"/>
        </w:rPr>
        <w:t>将施工任务下达到各施工班组，负责安装的班组联系工程设计人员到现场进行技术交底，落实施工方案，具备进场条件的进场施工，工程必须是在派工单规定的工期内完工。</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w:t>
      </w:r>
      <w:r>
        <w:rPr>
          <w:rFonts w:hint="eastAsia" w:ascii="方正仿宋简体" w:hAnsi="方正仿宋简体" w:eastAsia="方正仿宋简体" w:cs="方正仿宋简体"/>
          <w:b/>
          <w:bCs/>
          <w:szCs w:val="28"/>
        </w:rPr>
        <w:t>二十四</w:t>
      </w:r>
      <w:r>
        <w:rPr>
          <w:rFonts w:hint="eastAsia" w:ascii="方正仿宋简体" w:hAnsi="方正仿宋简体" w:eastAsia="方正仿宋简体" w:cs="方正仿宋简体"/>
          <w:b/>
          <w:szCs w:val="28"/>
        </w:rPr>
        <w:t>条</w:t>
      </w:r>
      <w:r>
        <w:rPr>
          <w:rFonts w:hint="eastAsia" w:ascii="方正仿宋简体" w:hAnsi="方正仿宋简体" w:eastAsia="方正仿宋简体" w:cs="方正仿宋简体"/>
          <w:b/>
          <w:szCs w:val="28"/>
          <w:lang w:val="en-US" w:eastAsia="zh-CN"/>
        </w:rPr>
        <w:t xml:space="preserve"> </w:t>
      </w:r>
      <w:r>
        <w:rPr>
          <w:rFonts w:hint="eastAsia" w:ascii="方正仿宋简体" w:hAnsi="方正仿宋简体" w:eastAsia="方正仿宋简体" w:cs="方正仿宋简体"/>
          <w:b/>
          <w:szCs w:val="28"/>
        </w:rPr>
        <w:t xml:space="preserve"> </w:t>
      </w:r>
      <w:r>
        <w:rPr>
          <w:rFonts w:hint="eastAsia" w:ascii="方正仿宋简体" w:hAnsi="方正仿宋简体" w:eastAsia="方正仿宋简体" w:cs="方正仿宋简体"/>
          <w:szCs w:val="28"/>
        </w:rPr>
        <w:t>施工班组严格按相关规范和HSE作业文件施工作业，并做好施工日志，填写相关工程资料。</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w:t>
      </w:r>
      <w:r>
        <w:rPr>
          <w:rFonts w:hint="eastAsia" w:ascii="方正仿宋简体" w:hAnsi="方正仿宋简体" w:eastAsia="方正仿宋简体" w:cs="方正仿宋简体"/>
          <w:b/>
          <w:bCs/>
          <w:szCs w:val="28"/>
        </w:rPr>
        <w:t>二十五</w:t>
      </w:r>
      <w:r>
        <w:rPr>
          <w:rFonts w:hint="eastAsia" w:ascii="方正仿宋简体" w:hAnsi="方正仿宋简体" w:eastAsia="方正仿宋简体" w:cs="方正仿宋简体"/>
          <w:b/>
          <w:szCs w:val="28"/>
        </w:rPr>
        <w:t>条</w:t>
      </w:r>
      <w:r>
        <w:rPr>
          <w:rFonts w:hint="eastAsia" w:ascii="方正仿宋简体" w:hAnsi="方正仿宋简体" w:eastAsia="方正仿宋简体" w:cs="方正仿宋简体"/>
          <w:b/>
          <w:szCs w:val="28"/>
          <w:lang w:val="en-US" w:eastAsia="zh-CN"/>
        </w:rPr>
        <w:t xml:space="preserve"> </w:t>
      </w:r>
      <w:r>
        <w:rPr>
          <w:rFonts w:hint="eastAsia" w:ascii="方正仿宋简体" w:hAnsi="方正仿宋简体" w:eastAsia="方正仿宋简体" w:cs="方正仿宋简体"/>
          <w:b/>
          <w:szCs w:val="28"/>
        </w:rPr>
        <w:t xml:space="preserve"> </w:t>
      </w:r>
      <w:r>
        <w:rPr>
          <w:rFonts w:hint="eastAsia" w:ascii="方正仿宋简体" w:hAnsi="方正仿宋简体" w:eastAsia="方正仿宋简体" w:cs="方正仿宋简体"/>
          <w:szCs w:val="28"/>
        </w:rPr>
        <w:t>施工过程的监督由</w:t>
      </w:r>
      <w:r>
        <w:rPr>
          <w:rFonts w:hint="eastAsia" w:ascii="方正仿宋简体" w:hAnsi="方正仿宋简体" w:eastAsia="方正仿宋简体" w:cs="方正仿宋简体"/>
          <w:szCs w:val="28"/>
          <w:lang w:eastAsia="zh-CN"/>
        </w:rPr>
        <w:t>生产保障中心</w:t>
      </w:r>
      <w:r>
        <w:rPr>
          <w:rFonts w:hint="eastAsia" w:ascii="方正仿宋简体" w:hAnsi="方正仿宋简体" w:eastAsia="方正仿宋简体" w:cs="方正仿宋简体"/>
          <w:szCs w:val="28"/>
        </w:rPr>
        <w:t>负责，每个工地有现场监督员负责监督施工，</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负责抽查施工质量。</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w:t>
      </w:r>
      <w:r>
        <w:rPr>
          <w:rFonts w:hint="eastAsia" w:ascii="方正仿宋简体" w:hAnsi="方正仿宋简体" w:eastAsia="方正仿宋简体" w:cs="方正仿宋简体"/>
          <w:b/>
          <w:bCs/>
          <w:szCs w:val="28"/>
        </w:rPr>
        <w:t>二十六</w:t>
      </w:r>
      <w:r>
        <w:rPr>
          <w:rFonts w:hint="eastAsia" w:ascii="方正仿宋简体" w:hAnsi="方正仿宋简体" w:eastAsia="方正仿宋简体" w:cs="方正仿宋简体"/>
          <w:b/>
          <w:szCs w:val="28"/>
        </w:rPr>
        <w:t xml:space="preserve">条 </w:t>
      </w:r>
      <w:r>
        <w:rPr>
          <w:rFonts w:hint="eastAsia" w:ascii="方正仿宋简体" w:hAnsi="方正仿宋简体" w:eastAsia="方正仿宋简体" w:cs="方正仿宋简体"/>
          <w:b/>
          <w:szCs w:val="28"/>
          <w:lang w:val="en-US" w:eastAsia="zh-CN"/>
        </w:rPr>
        <w:t xml:space="preserve"> </w:t>
      </w:r>
      <w:r>
        <w:rPr>
          <w:rFonts w:hint="eastAsia" w:ascii="方正仿宋简体" w:hAnsi="方正仿宋简体" w:eastAsia="方正仿宋简体" w:cs="方正仿宋简体"/>
          <w:szCs w:val="28"/>
        </w:rPr>
        <w:t>工程完工后施工班组在自检自查的基础上汇报给</w:t>
      </w:r>
      <w:r>
        <w:rPr>
          <w:rFonts w:hint="eastAsia" w:ascii="方正仿宋简体" w:hAnsi="方正仿宋简体" w:eastAsia="方正仿宋简体" w:cs="方正仿宋简体"/>
          <w:szCs w:val="28"/>
          <w:lang w:eastAsia="zh-CN"/>
        </w:rPr>
        <w:t>生产保障中心</w:t>
      </w:r>
      <w:r>
        <w:rPr>
          <w:rFonts w:hint="eastAsia" w:ascii="方正仿宋简体" w:hAnsi="方正仿宋简体" w:eastAsia="方正仿宋简体" w:cs="方正仿宋简体"/>
          <w:szCs w:val="28"/>
        </w:rPr>
        <w:t>，</w:t>
      </w:r>
      <w:r>
        <w:rPr>
          <w:rFonts w:hint="eastAsia" w:ascii="方正仿宋简体" w:hAnsi="方正仿宋简体" w:eastAsia="方正仿宋简体" w:cs="方正仿宋简体"/>
          <w:szCs w:val="28"/>
          <w:lang w:eastAsia="zh-CN"/>
        </w:rPr>
        <w:t>生产保障中心</w:t>
      </w:r>
      <w:r>
        <w:rPr>
          <w:rFonts w:hint="eastAsia" w:ascii="方正仿宋简体" w:hAnsi="方正仿宋简体" w:eastAsia="方正仿宋简体" w:cs="方正仿宋简体"/>
          <w:szCs w:val="28"/>
        </w:rPr>
        <w:t>完成相关工程资料后申请验收。</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二十七</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sz w:val="28"/>
          <w:szCs w:val="28"/>
        </w:rPr>
        <w:t xml:space="preserve">  在施工工作中有下列行为的给予对应的经济处罚：</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（一）未按照设计施工一次扣施工班组100元；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（二）未按照以上规范施工一次扣施工班组100元；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（三）发生安装质量安全事故一次扣施工班组500元；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（四）安装过程原始记录不完善的一次扣施工班组50元并补充完善；</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（五）未按时完成工作，如无不可抗拒的因素影响，一次扣施工班组100元。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cs="Arial Unicode MS"/>
          <w:sz w:val="30"/>
          <w:szCs w:val="30"/>
        </w:rPr>
      </w:pPr>
      <w:r>
        <w:rPr>
          <w:rFonts w:hint="eastAsia" w:ascii="方正黑体简体" w:hAnsi="方正黑体简体" w:eastAsia="方正黑体简体" w:cs="方正黑体简体"/>
          <w:b/>
          <w:sz w:val="30"/>
          <w:szCs w:val="30"/>
        </w:rPr>
        <w:t>第八章  安装工程验收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二十八</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工程技术</w:t>
      </w:r>
      <w:r>
        <w:rPr>
          <w:rFonts w:hint="eastAsia" w:ascii="方正仿宋简体" w:hAnsi="方正仿宋简体" w:eastAsia="方正仿宋简体" w:cs="方正仿宋简体"/>
          <w:sz w:val="28"/>
          <w:szCs w:val="28"/>
          <w:lang w:eastAsia="zh-CN"/>
        </w:rPr>
        <w:t>部</w:t>
      </w:r>
      <w:r>
        <w:rPr>
          <w:rFonts w:hint="eastAsia" w:ascii="方正仿宋简体" w:hAnsi="方正仿宋简体" w:eastAsia="方正仿宋简体" w:cs="方正仿宋简体"/>
          <w:sz w:val="28"/>
          <w:szCs w:val="28"/>
        </w:rPr>
        <w:t>接到验收申请后，由技术人员审查工程资料合格后组织验收，设计公司、</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参加（涉及旋进旋涡流量计的用户，计量检测站参加验收），凡参加验收人员都应在工程验收书上签字。凡公司施工的燃气安装工程，都必须对其进行验收，验收合格的方能投入使用。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二十九</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公司成立工程验收小组，名单如下：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（一）组长：分管生产副经理；副组长：</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正、副主任；成员：</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管理岗位人员、基建管理人员、</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技术人员、</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用户管理人员、材料稽核员、工程设计人员、施工班组。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（二）验收小组人员分工：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组长：全面负责验收管理工作。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副组长：负责工程验收的组织，全面监督各项验收工作并进行总评，对于仍须改进的项目作业安排、特殊情况可委托</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管理岗位人员或设计人员主持验收工作。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基建管理人员：负责管沟等基建工程的验收。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技术人员：代表</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配合各项验收，负责管道和试压方面的验收。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用户管理人员：负责工程是否符合后期管理方面的要求验收。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材料稽核员：负责材料的稽核验收。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工程设计人员：负责施工工艺是否符合设计要求和试压验收工作。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施工班组：配合各项验收现场工作。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三十</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sz w:val="28"/>
          <w:szCs w:val="28"/>
        </w:rPr>
        <w:t xml:space="preserve">  验收以设计资料、图纸和国家及有关燃气安装规范为依据。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（一）室内管道及设施安装要求应符合《城镇燃气室内工程及验收规范》要求。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（二）室外管道安装应符合《城镇燃气输配工程施工及验收规范》及《城镇燃气设计规范》要求。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（三）家用燃气热水器的安装验收应符合《家用燃气快速热水器安装验收规程》的标准要求。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（四）管螺纹加工及安装应符合《管螺纹》规定。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（五）管道防腐预制及焊口补口应符合相关要求。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（六）压力试验应符合《城镇燃气输配工程施工及验收规范》和设计相关规定：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1、燃气管道安装完毕后，均应进行吹扫及试压，介质采用空气。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2、调压箱、低压管道和室内管道連接试压只进行严密性试压。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试验采用最小刻度为1mm的U型水压计，试验力为500mm水柱，常温下稳压10分钟，压降不超过4mm为合格。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3、调压箱前的高压管道必须进行强度试压和严密性试压，试验压力0.6Mpa，压力表精度不低于1.5级，试验压力应在压力表读数的30%～80%之间。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4、长度小于20米的中压燃气管道可不作严密性试压，但必须作强度试验。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三十一</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sz w:val="28"/>
          <w:szCs w:val="28"/>
        </w:rPr>
        <w:t xml:space="preserve"> 工程验收按下列描述进行：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（一）整体工程的工艺部分安装完毕，工程资料审查合格后，由验收小组人员到现场进行工程验收。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（二）验收小组人员应携带燃气安装工程质量验收表，按照分工分别对工程进行验收。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（三）所有检查、验收的内容均应详细填入相应的记录单，参加验收人员签字认可，验收合格后将验收表交至调度室；不合格的出具整改记录单交</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，待整改完毕后组织二次进场验收。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（四）所有验收资料均应装订进工程竣工资料中。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（五）对小型商业用气，由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请示验收小组长后，经小组长同意后，可适当简化验收点火程序（至少三人以上的各单位、部门人员）。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b w:val="0"/>
          <w:bCs/>
          <w:sz w:val="30"/>
          <w:szCs w:val="30"/>
        </w:rPr>
        <w:t xml:space="preserve">第九章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工程后期管理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第三十二条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工程验收合格后，由</w:t>
      </w:r>
      <w:r>
        <w:rPr>
          <w:rFonts w:hint="eastAsia" w:ascii="方正仿宋简体" w:hAnsi="方正仿宋简体" w:eastAsia="方正仿宋简体" w:cs="方正仿宋简体"/>
          <w:sz w:val="28"/>
          <w:szCs w:val="28"/>
          <w:lang w:val="en-US" w:eastAsia="zh-CN"/>
        </w:rPr>
        <w:t>工程技术部</w:t>
      </w:r>
      <w:r>
        <w:rPr>
          <w:rFonts w:hint="eastAsia" w:ascii="方正仿宋简体" w:hAnsi="方正仿宋简体" w:eastAsia="方正仿宋简体" w:cs="方正仿宋简体"/>
          <w:sz w:val="28"/>
          <w:szCs w:val="28"/>
          <w:lang w:eastAsia="zh-CN"/>
        </w:rPr>
        <w:t>部</w:t>
      </w:r>
      <w:r>
        <w:rPr>
          <w:rFonts w:hint="eastAsia" w:ascii="方正仿宋简体" w:hAnsi="方正仿宋简体" w:eastAsia="方正仿宋简体" w:cs="方正仿宋简体"/>
          <w:sz w:val="28"/>
          <w:szCs w:val="28"/>
        </w:rPr>
        <w:t>完成验收资料后将验收资料交</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，燃气用户由</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和用户逐户签订用气合同后通气。对用户原因造成的不合格用户由验收小组将不合格用户资料名单交于</w:t>
      </w:r>
      <w:r>
        <w:rPr>
          <w:rFonts w:hint="eastAsia" w:ascii="方正仿宋简体" w:hAnsi="方正仿宋简体" w:eastAsia="方正仿宋简体" w:cs="方正仿宋简体"/>
          <w:sz w:val="28"/>
          <w:szCs w:val="28"/>
          <w:lang w:eastAsia="zh-CN"/>
        </w:rPr>
        <w:t>客户服务中心</w:t>
      </w:r>
      <w:r>
        <w:rPr>
          <w:rFonts w:hint="eastAsia" w:ascii="方正仿宋简体" w:hAnsi="方正仿宋简体" w:eastAsia="方正仿宋简体" w:cs="方正仿宋简体"/>
          <w:sz w:val="28"/>
          <w:szCs w:val="28"/>
        </w:rPr>
        <w:t>，让用户整改合格后再重新试压通气。所有用户的开、停气有客户服务中心负责。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第三十三条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小型商业用气和户表改造工程验收合格后立即通气。</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第三十四条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完成竣工资料交</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审核，由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整理归档竣工资料（公司投资大修项目的竣工资料由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lang w:eastAsia="zh-CN"/>
        </w:rPr>
        <w:t>第十章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 xml:space="preserve">附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kern w:val="0"/>
          <w:sz w:val="28"/>
          <w:szCs w:val="28"/>
        </w:rPr>
        <w:t>第三十五条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kern w:val="0"/>
          <w:sz w:val="28"/>
          <w:szCs w:val="28"/>
        </w:rPr>
        <w:t>本办法由公司</w:t>
      </w:r>
      <w:r>
        <w:rPr>
          <w:rFonts w:hint="eastAsia" w:ascii="方正仿宋简体" w:hAnsi="方正仿宋简体" w:eastAsia="方正仿宋简体" w:cs="方正仿宋简体"/>
          <w:kern w:val="0"/>
          <w:sz w:val="28"/>
          <w:szCs w:val="28"/>
          <w:lang w:eastAsia="zh-CN"/>
        </w:rPr>
        <w:t>生产运行部</w:t>
      </w:r>
      <w:r>
        <w:rPr>
          <w:rFonts w:hint="eastAsia" w:ascii="方正仿宋简体" w:hAnsi="方正仿宋简体" w:eastAsia="方正仿宋简体" w:cs="方正仿宋简体"/>
          <w:kern w:val="0"/>
          <w:sz w:val="28"/>
          <w:szCs w:val="28"/>
        </w:rPr>
        <w:t>负责解释。</w:t>
      </w:r>
    </w:p>
    <w:p>
      <w:pPr>
        <w:keepNext w:val="0"/>
        <w:keepLines w:val="0"/>
        <w:pageBreakBefore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kern w:val="0"/>
          <w:sz w:val="28"/>
          <w:szCs w:val="28"/>
        </w:rPr>
        <w:t>第三十六条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kern w:val="0"/>
          <w:sz w:val="28"/>
          <w:szCs w:val="28"/>
        </w:rPr>
        <w:t>本办法自发布之日起施行。</w:t>
      </w:r>
    </w:p>
    <w:p>
      <w:pPr>
        <w:spacing w:line="460" w:lineRule="exact"/>
        <w:ind w:firstLine="570"/>
        <w:rPr>
          <w:rFonts w:hint="eastAsia" w:ascii="宋体" w:hAnsi="宋体" w:cs="宋体"/>
          <w:kern w:val="0"/>
          <w:sz w:val="28"/>
          <w:szCs w:val="28"/>
        </w:rPr>
      </w:pPr>
    </w:p>
    <w:p>
      <w:pPr>
        <w:spacing w:line="460" w:lineRule="exact"/>
        <w:jc w:val="center"/>
        <w:rPr>
          <w:rFonts w:ascii="黑体" w:hAnsi="宋体" w:eastAsia="黑体"/>
          <w:b/>
          <w:sz w:val="36"/>
          <w:szCs w:val="36"/>
        </w:rPr>
        <w:sectPr>
          <w:footerReference r:id="rId5"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45" w:name="_Toc31885"/>
      <w:bookmarkStart w:id="46" w:name="_Toc25726"/>
      <w:bookmarkStart w:id="47" w:name="_Toc4266"/>
      <w:bookmarkStart w:id="48" w:name="_Toc25770"/>
      <w:bookmarkStart w:id="49" w:name="_Toc2075"/>
      <w:bookmarkStart w:id="50" w:name="_Toc15711"/>
      <w:bookmarkStart w:id="51" w:name="_Toc5627"/>
      <w:bookmarkStart w:id="52" w:name="_Toc31208"/>
      <w:bookmarkStart w:id="53" w:name="_Toc5025"/>
      <w:bookmarkStart w:id="54" w:name="_Toc3953"/>
      <w:bookmarkStart w:id="55" w:name="_Toc5089"/>
      <w:bookmarkStart w:id="56" w:name="_Toc13168"/>
      <w:bookmarkStart w:id="57" w:name="_Toc11837"/>
      <w:bookmarkStart w:id="58" w:name="_Toc125"/>
      <w:bookmarkStart w:id="59" w:name="_Toc9784"/>
      <w:bookmarkStart w:id="60" w:name="_Toc17560"/>
      <w:bookmarkStart w:id="61" w:name="_Toc26224"/>
      <w:bookmarkStart w:id="62" w:name="_Toc7859"/>
      <w:bookmarkStart w:id="63" w:name="_Toc21948"/>
      <w:r>
        <w:rPr>
          <w:rFonts w:hint="eastAsia" w:ascii="方正小标宋简体" w:eastAsia="方正小标宋简体"/>
          <w:b w:val="0"/>
          <w:bCs w:val="0"/>
          <w:sz w:val="36"/>
          <w:szCs w:val="36"/>
        </w:rPr>
        <w:t>中油南充燃气有限责任公司</w:t>
      </w:r>
      <w:r>
        <w:rPr>
          <w:rFonts w:hint="eastAsia" w:ascii="方正小标宋简体" w:eastAsia="方正小标宋简体"/>
          <w:b w:val="0"/>
          <w:bCs w:val="0"/>
          <w:sz w:val="36"/>
          <w:szCs w:val="36"/>
          <w:lang w:eastAsia="zh-CN"/>
        </w:rPr>
        <w:t>设施</w:t>
      </w:r>
      <w:r>
        <w:rPr>
          <w:rFonts w:hint="eastAsia" w:ascii="方正小标宋简体" w:eastAsia="方正小标宋简体"/>
          <w:b w:val="0"/>
          <w:bCs w:val="0"/>
          <w:sz w:val="36"/>
          <w:szCs w:val="36"/>
        </w:rPr>
        <w:t>设备</w:t>
      </w:r>
      <w:r>
        <w:rPr>
          <w:rFonts w:hint="eastAsia" w:ascii="方正小标宋简体" w:eastAsia="方正小标宋简体"/>
          <w:b w:val="0"/>
          <w:bCs w:val="0"/>
          <w:sz w:val="36"/>
          <w:szCs w:val="36"/>
          <w:lang w:eastAsia="zh-CN"/>
        </w:rPr>
        <w:t>综合安全</w:t>
      </w:r>
      <w:r>
        <w:rPr>
          <w:rFonts w:hint="eastAsia" w:ascii="方正小标宋简体" w:eastAsia="方正小标宋简体"/>
          <w:b w:val="0"/>
          <w:bCs w:val="0"/>
          <w:sz w:val="36"/>
          <w:szCs w:val="36"/>
        </w:rPr>
        <w:t>管理</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hint="eastAsia" w:ascii="方正小标宋简体" w:eastAsia="方正小标宋简体"/>
          <w:b w:val="0"/>
          <w:bCs w:val="0"/>
          <w:sz w:val="36"/>
          <w:szCs w:val="36"/>
          <w:lang w:eastAsia="zh-CN"/>
        </w:rPr>
        <w:t>制度</w:t>
      </w:r>
      <w:bookmarkEnd w:id="63"/>
    </w:p>
    <w:p>
      <w:pPr>
        <w:rPr>
          <w:rFonts w:hint="eastAsia"/>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黑体" w:hAnsi="宋体" w:eastAsia="黑体"/>
          <w:b w:val="0"/>
          <w:bCs/>
          <w:sz w:val="30"/>
          <w:szCs w:val="30"/>
        </w:rPr>
      </w:pPr>
      <w:r>
        <w:rPr>
          <w:rFonts w:hint="eastAsia" w:ascii="方正黑体简体" w:hAnsi="方正黑体简体" w:eastAsia="方正黑体简体" w:cs="方正黑体简体"/>
          <w:b w:val="0"/>
          <w:bCs/>
          <w:sz w:val="30"/>
          <w:szCs w:val="30"/>
        </w:rPr>
        <w:t>第一章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 xml:space="preserve">总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为加强和完善公司设备的管理，保证公司安全运营，指导公司的日常管网设备管理，特制定本办法。</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设备管理的主要任务：贯彻执行国家和上级主管部门有关设备管理的方针、政策、法令、法规及条例。通过技术和经济的管理措施，对公司的工业生产设备和辅助设备进行综合管理，充分发挥各类设备的效能和设备投资效益，为公司的可持续发展提供性能可靠的技术设备。</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公司的设备管理遵循以下原则：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设备管理是公司生产管理和安全管理的重要部分。设备管理贯彻以经济效益为中心，依靠科学技术进步和以预防为主的指导思想必须坚持日常维护与定期检修（常规修理与项修）相结合；精心操作与设备状态监测及故障诊断相结合；修理改造与更新相结合；专业管理与群众管理相结合；技术管理与经济管理相结合；生产管理和安全管理相结合；实物管理与价值形态管理相结合的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对各基层单位各类设备实施综合管理，从设备的选型、购置、调拨分配、安装、使用、维护保养、修理、更新改造，直至报废等全过程综合性管理。按照“谁使用，谁管理”的原则，在职责范围内实行分级管理。各基层单位设有设备管理的兼职人员，负责设备的日常管理工作。</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 xml:space="preserve">第五条 </w:t>
      </w:r>
      <w:r>
        <w:rPr>
          <w:rFonts w:hint="eastAsia" w:ascii="方正仿宋简体" w:hAnsi="方正仿宋简体" w:eastAsia="方正仿宋简体" w:cs="方正仿宋简体"/>
          <w:b/>
          <w:szCs w:val="28"/>
          <w:lang w:val="en-US" w:eastAsia="zh-CN"/>
        </w:rPr>
        <w:t xml:space="preserve"> </w:t>
      </w:r>
      <w:r>
        <w:rPr>
          <w:rFonts w:hint="eastAsia" w:ascii="方正仿宋简体" w:hAnsi="方正仿宋简体" w:eastAsia="方正仿宋简体" w:cs="方正仿宋简体"/>
          <w:szCs w:val="28"/>
        </w:rPr>
        <w:t>设备管理的主要指标纳入综合目标进行考核。</w:t>
      </w:r>
    </w:p>
    <w:p>
      <w:pPr>
        <w:spacing w:line="560" w:lineRule="exact"/>
        <w:rPr>
          <w:rFonts w:hint="eastAsia" w:ascii="方正仿宋简体" w:hAnsi="方正仿宋简体" w:eastAsia="方正仿宋简体" w:cs="方正仿宋简体"/>
          <w:b/>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sz w:val="28"/>
          <w:szCs w:val="28"/>
        </w:rPr>
      </w:pPr>
      <w:r>
        <w:rPr>
          <w:rFonts w:hint="eastAsia" w:ascii="方正黑体简体" w:hAnsi="方正黑体简体" w:eastAsia="方正黑体简体" w:cs="方正黑体简体"/>
          <w:b w:val="0"/>
          <w:bCs/>
          <w:sz w:val="30"/>
          <w:szCs w:val="30"/>
        </w:rPr>
        <w:t>第二章  管理范围与职责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是公司设备管理的业务管理部门，在设备管理中有以下责任：</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（一）制定设备管理实施办法，对设备实行全过程的管理。</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（二）负责新设备和新增设备的前期论证、选型、参与订货、检查验收、配套、安装、调拨、试运行等有关技术工作，负责各类设备内(外)修理的联系和协调工作，严格抓好修理质量。</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（三）参与设备采购合同的全过程管理。</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（四）编制设备大修和设备更新计划，以及计划审批后的实施。</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（五）各类设备的操作规程、保养规程和日常维修规范的编制和实施监督。</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（六）会同有关人员对设备事故进行技术鉴定、处理和上报工作。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（七）设备操作技能的培训工作。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（八）负责设备的淘汰报废的技术鉴定和处置工作。</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（九）设备部件、配件的配置计划编制及采购参与。</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（十）负责收集整理基层单位相关设备资料、报表，并按时上报。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第七条</w:t>
      </w:r>
      <w:r>
        <w:rPr>
          <w:rFonts w:hint="eastAsia" w:ascii="方正仿宋简体" w:hAnsi="方正仿宋简体" w:eastAsia="方正仿宋简体" w:cs="方正仿宋简体"/>
          <w:sz w:val="28"/>
          <w:szCs w:val="28"/>
        </w:rPr>
        <w:t xml:space="preserve">  设备在使用过程中的管理实行谁使用谁负责的责任追究方式，使用设备的单位或员工应承担下列责任：</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（一）正确地使用设备，完成各项定额指标，努力降低各种消耗。</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（二）严格按要求保养好设备，保证设备安全运行和完好。</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（三）积极参加技术学习和专业培训，不断提高技术和操作水平。</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（四）掌握设备技术状况，参加设备故障和零部件磨损情况分析活动。</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（五）据实填写设备运行、保养记录，做到资料齐全、准确、清洁、并按规定汇报。</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（六）有责任制止或拒绝违反规程和危及安全的行为或指令。</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（七）有责任制止非岗位人员操作本岗位设备。</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第三章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设备的前期管理</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第八条 </w:t>
      </w:r>
      <w:r>
        <w:rPr>
          <w:rFonts w:hint="eastAsia" w:ascii="方正仿宋简体" w:hAnsi="方正仿宋简体" w:eastAsia="方正仿宋简体" w:cs="方正仿宋简体"/>
          <w:sz w:val="28"/>
          <w:szCs w:val="28"/>
        </w:rPr>
        <w:t xml:space="preserve"> 在设计或购置设备前，由分管设备副经理组织设备主管部门对技术性、经济性、实用性进行论证，论证通过后，方能列入设计或纳入计划。论证前若需到现场进行考查调研的经分管领导批准后由设备主管部门负责组织。</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第九条</w:t>
      </w:r>
      <w:r>
        <w:rPr>
          <w:rFonts w:hint="eastAsia" w:ascii="方正仿宋简体" w:hAnsi="方正仿宋简体" w:eastAsia="方正仿宋简体" w:cs="方正仿宋简体"/>
          <w:szCs w:val="28"/>
        </w:rPr>
        <w:t xml:space="preserve">  设备的安装施工必须按施工图及技术资料的要求实施，实施中若发现设计不合理或不符合实际情况时，应及时提供修改意见，经设计变更审批后，方可进行施工。设备安装必须执行有关规范和标准，做到平、正、稳、全、牢、灵、通和四不泄（油、气、液、电），保证安装质量，不符合安装要求的设备，不准投入使用。</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 xml:space="preserve">第十条 </w:t>
      </w:r>
      <w:r>
        <w:rPr>
          <w:rFonts w:hint="eastAsia" w:ascii="方正仿宋简体" w:hAnsi="方正仿宋简体" w:eastAsia="方正仿宋简体" w:cs="方正仿宋简体"/>
          <w:szCs w:val="28"/>
        </w:rPr>
        <w:t xml:space="preserve"> 设备安装完成后还应遵循以下规定：</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（一）新设备投入使用前，应组织设备操作使用人员，维修人员以及有关管理人员进行技术培训。</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（二）设备安装完成后必须组织对设备试运行，设备试运转包括空载试验和负荷试验。试运转前，指定操作人员熟悉使用说明书，严格按试验大纲和操作规程进行。</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（三）新安设备调试完毕后，由公司组织有关部门及设备管理专业人员进行验收。对压力容器，锅炉等特种设备的安装和验收，必须严格按照国家有关规定进行验收。</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第四章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设备使用、维护和修理</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第十一条</w:t>
      </w:r>
      <w:r>
        <w:rPr>
          <w:rFonts w:hint="eastAsia" w:ascii="方正仿宋简体" w:hAnsi="方正仿宋简体" w:eastAsia="方正仿宋简体" w:cs="方正仿宋简体"/>
          <w:sz w:val="28"/>
          <w:szCs w:val="28"/>
        </w:rPr>
        <w:t xml:space="preserve">  在设备的使用、维护和修理过程中必须遵守下列规定：</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（一）严格按照设备的操作、技术规范使用设备。按照设备使用规范的规定定期开展设备维护保养及修理工作。</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（二）正确、合理地使用设备，严格地按照设备的操作，保养规程进行使用。防止设备超温、超压、超速、超负荷运行，做到专机专用，严禁把特种设备当作普通设备使用。</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（三）对新购的设备，要根据设备使用说明书，制定设备操作、保养规程和循环检查制度，并在试运中逐步修订和完善。</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（四）设备操作人员，必须具备本岗位的“应知应会”的技术知识和技能，逐步提高技术水平。</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（五）设备操作人员，应经培训考试合格后才能上岗操作。对锅炉、压力容器、运输车辆等特种设备，其专业操作人员应经考核合格取得操作合格证，严格执行持证上岗操作。</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（六）设备使用实行定人，定机，定岗的设备使用制度。单人操作，一班作业的设备和运输车辆，实行“专人专机”的管理制度；两班制以上多人操作的设备实现班长负责制。在班长的组织下，严</w:t>
      </w:r>
      <w:r>
        <w:rPr>
          <w:rFonts w:hint="eastAsia" w:ascii="宋体" w:hAnsi="宋体" w:eastAsia="宋体" w:cs="宋体"/>
          <w:szCs w:val="28"/>
        </w:rPr>
        <w:t>挌</w:t>
      </w:r>
      <w:r>
        <w:rPr>
          <w:rFonts w:hint="eastAsia" w:ascii="方正仿宋简体" w:hAnsi="方正仿宋简体" w:eastAsia="方正仿宋简体" w:cs="方正仿宋简体"/>
          <w:szCs w:val="28"/>
        </w:rPr>
        <w:t>执行各项管理制度，共同管好、用好、维护好设备。</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（七）设备在使用前和使用中，操作人员要认真执行巡回检查，发现问题及时处理。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（八）运输车辆，应严格执行回场检查制度，并如实填写检查记录。</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（九）倒班使用的设备，要严格执行交接班制。</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第十二条  </w:t>
      </w:r>
      <w:r>
        <w:rPr>
          <w:rFonts w:hint="eastAsia" w:ascii="方正仿宋简体" w:hAnsi="方正仿宋简体" w:eastAsia="方正仿宋简体" w:cs="方正仿宋简体"/>
          <w:sz w:val="28"/>
          <w:szCs w:val="28"/>
        </w:rPr>
        <w:t>为确保设备安全运行，操作人员应认真履行职责和权力。</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（一）操作人员的职责</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1、正确地使用设备，完成各项定额指标，努力降低各种消耗。</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2、认真操作和保养好设备，严格执行各项规章制度，保证设备安全运行和完好。</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3、积极参加技术学习和专业培训，不断提高技术和操作水平。</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4、掌握设备技术状况，参加设备故障和零部件磨损情况分析活动。</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5、认真填写设备运行、保养和交接班记录，做到资料齐全、准确、清洁，并按规定分级上报。</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（二）操作人员的权力</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1、有权禁止非岗位人员操作本岗位设备。</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2、对应修理或有故障的设备，影响安全生产而未安排修理或检查的设备，有权拒绝使用和操作。</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3、对违反岗位责任制、操作及保养规程等不合理的使用设备的指令意见，可拒绝执行。</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4、对不爱护设备、不遵守操作规程的任何人，有权提出批评。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5、对不符合安全和工艺规定的设备，有权拒绝使用。</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第十三条  </w:t>
      </w:r>
      <w:r>
        <w:rPr>
          <w:rFonts w:hint="eastAsia" w:ascii="方正仿宋简体" w:hAnsi="方正仿宋简体" w:eastAsia="方正仿宋简体" w:cs="方正仿宋简体"/>
          <w:sz w:val="28"/>
          <w:szCs w:val="28"/>
        </w:rPr>
        <w:t>设备的修理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（一）对公司自己能修理的设备，公司和基层单位自己组织修理。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（二）对公司不具备修理能力的设备维修，必须委托具有修理资质和技术能力的单位进行修理。为保证修理质量、修理工期及合理的修理价格，大型修理必须按程序签订修理合同。</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第五章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设备更新和改造</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第十四条</w:t>
      </w:r>
      <w:r>
        <w:rPr>
          <w:rFonts w:hint="eastAsia" w:ascii="方正仿宋简体" w:hAnsi="方正仿宋简体" w:eastAsia="方正仿宋简体" w:cs="方正仿宋简体"/>
          <w:sz w:val="28"/>
          <w:szCs w:val="28"/>
        </w:rPr>
        <w:t xml:space="preserve">  需更新或改造的设备必须如下要求开展工作：</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（一）进行相关论证；</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（二）纳入公司的中长期规划；</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（三）按公司的审批程序报批；</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（四）按批准后的计划开展工作。</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第十五条</w:t>
      </w:r>
      <w:r>
        <w:rPr>
          <w:rFonts w:hint="eastAsia" w:ascii="方正仿宋简体" w:hAnsi="方正仿宋简体" w:eastAsia="方正仿宋简体" w:cs="方正仿宋简体"/>
          <w:sz w:val="28"/>
          <w:szCs w:val="28"/>
        </w:rPr>
        <w:t xml:space="preserve">  符合下列情况的设备应进行更新或改造：</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（一）技术分析修理后技术性能仍不满足工艺要求和保证产品质量的。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（二）设备老化、技术性能落后、耗能高、效率低、经济效益差的。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（三）修理费超过原值60%以及严重污染环境,危害人身安全与健康，进行改造又不经济的。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（四）国家和有关部门规定应当淘汰的设备。</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sz w:val="28"/>
          <w:szCs w:val="28"/>
        </w:rPr>
        <w:t xml:space="preserve">  更新或改造后的设备必须达到技术上先进、生产上高效、经济上合理、并且具备可靠性和维修性的原则。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第十七条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设备的借调、转让、租赁、封存和报废管理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为保证公司设备的占用和存放地点的真实，凡在公司内进行设备调拨的，经分管领导同意，由资产管理部门开具调拨通知单，调出调入双方按规定办理交接和资产转移手续。调出单位应将原机附件、专用备件、随机工具及技术资料一并移交对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（二）公司设备的外借、转让、租赁，应严格按照设备管理权限进行上报和审批，任何单位和个人不得私作主张，更不得进行处置。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（三）对停用、闲置设备，设备管理部门监督作好保管、回收工作，以确保帐实相符，防止设备的流失。任何人不得对停用、闲置设备进行拆卸、挪作他用。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（四）根据设备技术状况和报废条件，对需报废的设备由设备管理部门先组织有关技术人员进行鉴定，再书面报告公司，经公司同意后，按照资产报废程序作处置。</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第六章  设备管理基础工作</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第十八条</w:t>
      </w:r>
      <w:r>
        <w:rPr>
          <w:rFonts w:hint="eastAsia" w:ascii="方正仿宋简体" w:hAnsi="方正仿宋简体" w:eastAsia="方正仿宋简体" w:cs="方正仿宋简体"/>
          <w:szCs w:val="28"/>
        </w:rPr>
        <w:t xml:space="preserve">  公司设备管理的基础工作具体由</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负责，实行二级管理方式，即：</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负责设备的验收或交接资料、操作规程、技术档案、运行台帐（含日常维护保养）的管理，设备使用的单位负责运行报表、维护保养记录的填报、设备卡片的管理，同时，符合以下规定：</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（一）建立健全设备的验收、交接、台帐、卡片、技术档案、报表和记录。</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（二）做好设备的技术资料，信息及设备档案的清理归档和保管工作。</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（三）主要设备的技术档案，说明书、维修手册、操作规程、配件目录、易损件图纸，设备大修理工艺和技术标准必须集中管理。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（四）推广应用计算机辅助管理，对设备的动态，静态进行管理，建立完善的设备管理信息数据库。</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（五）对主要生产和设备或精、大、稀，关键设备进行技术改造和生产工艺技术改造等资料，项目竣工后，应及时清理归档。</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（六）重大、特大设备事故报告、处理资料及其安全规定等应归档的资料，应按归档要求及时归档。</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（七）基层单位应填写设备运转记录按时上报。</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（八）所有资料都应认真填写，字迹工整、清晰，不得任意涂改撕毁。</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第七章  设备事故管理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b/>
          <w:bCs/>
          <w:szCs w:val="28"/>
        </w:rPr>
        <w:t>第</w:t>
      </w:r>
      <w:r>
        <w:rPr>
          <w:rFonts w:hint="eastAsia" w:ascii="方正仿宋简体" w:hAnsi="方正仿宋简体" w:eastAsia="方正仿宋简体" w:cs="方正仿宋简体"/>
          <w:b/>
          <w:szCs w:val="28"/>
        </w:rPr>
        <w:t>十九</w:t>
      </w:r>
      <w:r>
        <w:rPr>
          <w:rFonts w:hint="eastAsia" w:ascii="方正仿宋简体" w:hAnsi="方正仿宋简体" w:eastAsia="方正仿宋简体" w:cs="方正仿宋简体"/>
          <w:b/>
          <w:bCs/>
          <w:szCs w:val="28"/>
        </w:rPr>
        <w:t>条</w:t>
      </w:r>
      <w:r>
        <w:rPr>
          <w:rFonts w:hint="eastAsia" w:ascii="方正仿宋简体" w:hAnsi="方正仿宋简体" w:eastAsia="方正仿宋简体" w:cs="方正仿宋简体"/>
          <w:bCs/>
          <w:szCs w:val="28"/>
        </w:rPr>
        <w:t xml:space="preserve">  设备事故的界定采用二种方式进行，即按事故发生的原因和事故造成经济损失的大小进行界定。</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szCs w:val="28"/>
        </w:rPr>
        <w:t>（一）</w:t>
      </w:r>
      <w:r>
        <w:rPr>
          <w:rFonts w:hint="eastAsia" w:ascii="方正仿宋简体" w:hAnsi="方正仿宋简体" w:eastAsia="方正仿宋简体" w:cs="方正仿宋简体"/>
          <w:bCs/>
          <w:szCs w:val="28"/>
        </w:rPr>
        <w:t>根据事故发生的原因可将事故分为责任事故和机械自然事故。</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bCs/>
          <w:szCs w:val="28"/>
        </w:rPr>
        <w:t>责任事故是指使用设备的组织单元或个人因与其有关联的责任过失而造成的事故。</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bCs/>
          <w:szCs w:val="28"/>
        </w:rPr>
        <w:t>机械自然事故是指所发生的事故属非使用者责任造成的。</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szCs w:val="28"/>
        </w:rPr>
        <w:t>（二）</w:t>
      </w:r>
      <w:r>
        <w:rPr>
          <w:rFonts w:hint="eastAsia" w:ascii="方正仿宋简体" w:hAnsi="方正仿宋简体" w:eastAsia="方正仿宋简体" w:cs="方正仿宋简体"/>
          <w:bCs/>
          <w:szCs w:val="28"/>
        </w:rPr>
        <w:t>根据事故造成经济损失的大小可分为：</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小事故：直接经济损失在0.1万元以内的；</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一般事故：直接经济损失在0.1～２万元以内的（含0.1万元）；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大型事故：直接经济损失在2～10万元以内的（含2万元）；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重大事故：直接经济损失在10～30万元以内的（含10万元）；</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特大事故：直接经济损失在30万元以上的（含30万元）。</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设备事故的分级管理：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1、小事故由公司经理办公会作出处理。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2、一般事故报董事会（托管单位）处理。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3、重大事故和特大事故，及时书面报董事会（托管单位）处理。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rPr>
          <w:rFonts w:hint="eastAsia" w:ascii="方正仿宋简体" w:hAnsi="方正仿宋简体" w:eastAsia="方正仿宋简体" w:cs="方正仿宋简体"/>
          <w:bCs/>
          <w:szCs w:val="28"/>
        </w:rPr>
      </w:pPr>
      <w:r>
        <w:rPr>
          <w:rFonts w:hint="eastAsia" w:ascii="方正仿宋简体" w:hAnsi="方正仿宋简体" w:eastAsia="方正仿宋简体" w:cs="方正仿宋简体"/>
          <w:b/>
          <w:bCs/>
          <w:szCs w:val="28"/>
        </w:rPr>
        <w:t xml:space="preserve">第二十一条 </w:t>
      </w:r>
      <w:r>
        <w:rPr>
          <w:rFonts w:hint="eastAsia" w:ascii="方正仿宋简体" w:hAnsi="方正仿宋简体" w:eastAsia="方正仿宋简体" w:cs="方正仿宋简体"/>
          <w:bCs/>
          <w:szCs w:val="28"/>
        </w:rPr>
        <w:t xml:space="preserve"> 设备事故发生后按以下规定进行处理：</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（一）根据事故的性质逐级及时向有关领导和部门汇报，对重大事故和特大事故要求两天内书面汇报。</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（二）设备事故直接经济损失费计算包括：材料配件费、修理费等。</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（三）设备事故损失费计算包括：材料配件费、修理费、事故停工生产损失费等。</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（四）设备事故对其负有事故责任的责任人进行处理，根据损失大小实行赔偿、警告、记过、记大过降级，留厂察看、开除厂籍等处分和承担其相对的法律责任。</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（五）重特大事故的处理，除对事故责任人给予处理外，还要追究责任人有联责领导的责任。</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（六）对于设备事故隐瞒不报的，对当事人及单位进行重处。</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（七）对设备事故，严格实行“事故原因不清不放过；事故责任者与群众未受到教育不放过；没有防范改进措施不放过”的原则。</w:t>
      </w:r>
    </w:p>
    <w:p>
      <w:pPr>
        <w:keepNext w:val="0"/>
        <w:keepLines w:val="0"/>
        <w:pageBreakBefore w:val="0"/>
        <w:widowControl w:val="0"/>
        <w:tabs>
          <w:tab w:val="left" w:pos="600"/>
        </w:tabs>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（八）董事会（托管单位）有相关规定的，从其规定。</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b w:val="0"/>
          <w:bCs/>
          <w:sz w:val="30"/>
          <w:szCs w:val="30"/>
        </w:rPr>
        <w:t>第八章  燃气工程设备及材料选用原则</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szCs w:val="28"/>
        </w:rPr>
        <w:t>第</w:t>
      </w:r>
      <w:r>
        <w:rPr>
          <w:rFonts w:hint="eastAsia" w:ascii="方正仿宋简体" w:hAnsi="方正仿宋简体" w:eastAsia="方正仿宋简体" w:cs="方正仿宋简体"/>
          <w:b/>
          <w:bCs/>
          <w:szCs w:val="28"/>
        </w:rPr>
        <w:t>二十二</w:t>
      </w:r>
      <w:r>
        <w:rPr>
          <w:rFonts w:hint="eastAsia" w:ascii="方正仿宋简体" w:hAnsi="方正仿宋简体" w:eastAsia="方正仿宋简体" w:cs="方正仿宋简体"/>
          <w:b/>
          <w:szCs w:val="28"/>
        </w:rPr>
        <w:t>条</w:t>
      </w:r>
      <w:r>
        <w:rPr>
          <w:rFonts w:hint="eastAsia" w:ascii="方正仿宋简体" w:hAnsi="方正仿宋简体" w:eastAsia="方正仿宋简体" w:cs="方正仿宋简体"/>
          <w:szCs w:val="28"/>
        </w:rPr>
        <w:t xml:space="preserve">  根据国家相关技术规范，公司燃气工程用料的设计、使用按以下要求进行选用：</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（一）高压和次高压燃气管道采用输送流体用无缝钢管。</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（二）中、低压埋地燃气管道采用燃气PE管、钢管。</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（三）非埋地低压燃气管道采用铝塑复合管、衬塑铝合金管或衬不锈钢铝合金管、钢管。</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（四）大型锅炉等用户，应配置燃气报警自动控制系统。(删除)</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（五）调压箱选用品牌不宜超过2个（选不锈钢外壳）。</w:t>
      </w:r>
    </w:p>
    <w:p>
      <w:pPr>
        <w:pStyle w:val="19"/>
        <w:keepNext w:val="0"/>
        <w:keepLines w:val="0"/>
        <w:pageBreakBefore w:val="0"/>
        <w:widowControl w:val="0"/>
        <w:kinsoku/>
        <w:wordWrap/>
        <w:overflowPunct/>
        <w:topLinePunct w:val="0"/>
        <w:autoSpaceDE/>
        <w:autoSpaceDN/>
        <w:bidi w:val="0"/>
        <w:adjustRightInd w:val="0"/>
        <w:snapToGrid w:val="0"/>
        <w:spacing w:line="560" w:lineRule="exact"/>
        <w:ind w:right="210" w:rightChars="10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（六）气表选用品牌不宜超过2个，应选用精度高、体积小的气表。</w:t>
      </w:r>
    </w:p>
    <w:p>
      <w:pPr>
        <w:pStyle w:val="19"/>
        <w:adjustRightInd w:val="0"/>
        <w:snapToGrid w:val="0"/>
        <w:spacing w:line="560" w:lineRule="exact"/>
        <w:ind w:left="0" w:leftChars="0" w:right="210" w:rightChars="100" w:firstLine="0" w:firstLineChars="0"/>
        <w:rPr>
          <w:rFonts w:hint="eastAsia" w:ascii="方正仿宋简体" w:hAnsi="方正仿宋简体" w:eastAsia="方正仿宋简体" w:cs="方正仿宋简体"/>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sz w:val="30"/>
          <w:szCs w:val="30"/>
        </w:rPr>
        <w:t xml:space="preserve">第九章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 xml:space="preserve">附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第二十三条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lang w:val="zh-CN"/>
        </w:rPr>
        <w:t>本办法由生产运行部负责解释、修订。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第二十四条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本办法自发布之日起施行。</w:t>
      </w: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560" w:lineRule="exact"/>
        <w:ind w:firstLine="579" w:firstLineChars="207"/>
        <w:rPr>
          <w:rFonts w:hint="eastAsia" w:ascii="方正仿宋简体" w:hAnsi="方正仿宋简体" w:eastAsia="方正仿宋简体" w:cs="方正仿宋简体"/>
          <w:sz w:val="28"/>
          <w:szCs w:val="28"/>
        </w:rPr>
      </w:pPr>
    </w:p>
    <w:p>
      <w:pPr>
        <w:spacing w:line="460" w:lineRule="exact"/>
        <w:rPr>
          <w:rFonts w:hint="eastAsia" w:ascii="宋体" w:hAnsi="宋体"/>
          <w:sz w:val="28"/>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val="en-US" w:eastAsia="zh-CN"/>
        </w:rPr>
      </w:pPr>
      <w:bookmarkStart w:id="64" w:name="_Toc19145"/>
      <w:bookmarkStart w:id="65" w:name="_Toc8078"/>
      <w:bookmarkStart w:id="66" w:name="_Toc4844"/>
      <w:bookmarkStart w:id="67" w:name="_Toc10226"/>
      <w:bookmarkStart w:id="68" w:name="_Toc1787"/>
      <w:bookmarkStart w:id="69" w:name="_Toc21266"/>
      <w:bookmarkStart w:id="70" w:name="_Toc21133"/>
      <w:bookmarkStart w:id="71" w:name="_Toc19896"/>
      <w:bookmarkStart w:id="72" w:name="_Toc25777"/>
      <w:bookmarkStart w:id="73" w:name="_Toc11773"/>
      <w:bookmarkStart w:id="74" w:name="_Toc5434"/>
      <w:bookmarkStart w:id="75" w:name="_Toc10665"/>
      <w:bookmarkStart w:id="76" w:name="_Toc32497"/>
      <w:bookmarkStart w:id="77" w:name="_Toc11939"/>
      <w:bookmarkStart w:id="78" w:name="_Toc9801"/>
      <w:bookmarkStart w:id="79" w:name="_Toc8113"/>
      <w:bookmarkStart w:id="80" w:name="_Toc21052"/>
      <w:bookmarkStart w:id="81" w:name="_Toc31602"/>
      <w:bookmarkStart w:id="82" w:name="_Toc27754"/>
      <w:r>
        <w:rPr>
          <w:rFonts w:hint="eastAsia" w:ascii="方正小标宋简体" w:eastAsia="方正小标宋简体"/>
          <w:b w:val="0"/>
          <w:bCs w:val="0"/>
          <w:sz w:val="36"/>
          <w:szCs w:val="36"/>
        </w:rPr>
        <w:t>中油南充燃气有限责任公司</w:t>
      </w:r>
      <w:bookmarkEnd w:id="64"/>
      <w:bookmarkEnd w:id="65"/>
      <w:bookmarkEnd w:id="66"/>
      <w:bookmarkEnd w:id="67"/>
      <w:bookmarkEnd w:id="68"/>
      <w:bookmarkEnd w:id="69"/>
      <w:bookmarkEnd w:id="70"/>
      <w:bookmarkEnd w:id="71"/>
      <w:bookmarkEnd w:id="72"/>
      <w:bookmarkEnd w:id="73"/>
      <w:r>
        <w:rPr>
          <w:rFonts w:hint="eastAsia" w:ascii="方正小标宋简体" w:eastAsia="方正小标宋简体"/>
          <w:b w:val="0"/>
          <w:bCs w:val="0"/>
          <w:sz w:val="36"/>
          <w:szCs w:val="36"/>
          <w:lang w:val="en-US" w:eastAsia="zh-CN"/>
        </w:rPr>
        <w:t>设施设备维护保养制度</w:t>
      </w:r>
      <w:bookmarkEnd w:id="74"/>
      <w:bookmarkEnd w:id="75"/>
      <w:bookmarkEnd w:id="76"/>
      <w:bookmarkEnd w:id="77"/>
      <w:bookmarkEnd w:id="78"/>
      <w:bookmarkEnd w:id="79"/>
      <w:bookmarkEnd w:id="80"/>
      <w:bookmarkEnd w:id="81"/>
      <w:bookmarkEnd w:id="82"/>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9"/>
        <w:rPr>
          <w:rFonts w:hint="eastAsia" w:ascii="黑体" w:hAnsi="宋体" w:eastAsia="黑体"/>
          <w:b w:val="0"/>
          <w:bCs/>
          <w:sz w:val="30"/>
          <w:szCs w:val="30"/>
        </w:rPr>
      </w:pPr>
      <w:r>
        <w:rPr>
          <w:rFonts w:hint="eastAsia" w:ascii="方正黑体简体" w:hAnsi="方正黑体简体" w:eastAsia="方正黑体简体" w:cs="方正黑体简体"/>
          <w:b w:val="0"/>
          <w:bCs/>
          <w:sz w:val="30"/>
          <w:szCs w:val="30"/>
          <w:lang w:eastAsia="zh-CN"/>
        </w:rPr>
        <w:t>第一章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 xml:space="preserve">总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第一条</w:t>
      </w:r>
      <w:r>
        <w:rPr>
          <w:rFonts w:hint="eastAsia" w:ascii="方正仿宋简体" w:hAnsi="方正仿宋简体" w:eastAsia="方正仿宋简体" w:cs="方正仿宋简体"/>
          <w:sz w:val="28"/>
        </w:rPr>
        <w:t xml:space="preserve">  为确保中油南充燃气有限责任公司（以下简称公司）燃气设备设施安全、可靠、平稳运行，依据《城镇燃气管理条例》、《中油南充燃气有限责任公司设备管理办法》，结合公司实际，制定本办法。</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第二条</w:t>
      </w:r>
      <w:r>
        <w:rPr>
          <w:rFonts w:hint="eastAsia" w:ascii="方正仿宋简体" w:hAnsi="方正仿宋简体" w:eastAsia="方正仿宋简体" w:cs="方正仿宋简体"/>
          <w:sz w:val="28"/>
        </w:rPr>
        <w:t xml:space="preserve">  公司生产管理坚持责任、安全、效率统一的原则，设备设施按照“谁使用，谁管理”的原则开展设备维护、保养。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第三条</w:t>
      </w:r>
      <w:r>
        <w:rPr>
          <w:rFonts w:hint="eastAsia" w:ascii="方正仿宋简体" w:hAnsi="方正仿宋简体" w:eastAsia="方正仿宋简体" w:cs="方正仿宋简体"/>
          <w:sz w:val="28"/>
        </w:rPr>
        <w:t xml:space="preserve">  本办法实用于公司燃气设备设施的维护保养、巡检维护。</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第二章  管理范围与职责</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第四条</w:t>
      </w:r>
      <w:r>
        <w:rPr>
          <w:rFonts w:hint="eastAsia" w:ascii="方正仿宋简体" w:hAnsi="方正仿宋简体" w:eastAsia="方正仿宋简体" w:cs="方正仿宋简体"/>
          <w:sz w:val="28"/>
        </w:rPr>
        <w:t xml:space="preserve">  公司管辖范围内的燃气设备设施主要是站场燃气输配系统设施以及城区燃气管网、阀井、调压装置、计量装置等。</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第五条</w:t>
      </w:r>
      <w:r>
        <w:rPr>
          <w:rFonts w:hint="eastAsia" w:ascii="方正仿宋简体" w:hAnsi="方正仿宋简体" w:eastAsia="方正仿宋简体" w:cs="方正仿宋简体"/>
          <w:sz w:val="28"/>
        </w:rPr>
        <w:t xml:space="preserve">  设备设施维护、保养、巡护是指公司内的专业人员，为保障公司燃气设备设施正常运行，预防事故发生所进行的检查、维护、保养工作，按照工艺要求和操作规程对燃气设备设施进行巡检、记录、维护、保养、维修等常规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 xml:space="preserve">第六条 </w:t>
      </w:r>
      <w:r>
        <w:rPr>
          <w:rFonts w:hint="eastAsia" w:ascii="方正仿宋简体" w:hAnsi="方正仿宋简体" w:eastAsia="方正仿宋简体" w:cs="方正仿宋简体"/>
          <w:sz w:val="28"/>
        </w:rPr>
        <w:t xml:space="preserve"> 公司</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是燃气设备设施维护、保养管理的监督和管理机构，其职责主要有：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（一）负责贯彻国家有关燃气运营及配套技术工作的方针、政策、法令、法规和有关技术标准、技术规范和操作规程等。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（二）负责燃气设备设施巡检、维护、保养、维修管理办法的制定、修订及完善。</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（三）负责制定巡检、维护、保养的工作质量标准及考核评分细则。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（四）负责组织对一线员工的培训工作。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（五）负责对巡检、维护、保养工作的日常受控管理，并建立相应记录。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第七条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质量安全环保部</w:t>
      </w:r>
      <w:r>
        <w:rPr>
          <w:rFonts w:hint="eastAsia" w:ascii="方正仿宋简体" w:hAnsi="方正仿宋简体" w:eastAsia="方正仿宋简体" w:cs="方正仿宋简体"/>
          <w:sz w:val="28"/>
        </w:rPr>
        <w:t>是燃气设备设施巡检、维护、保养的监督部门，其职责主要有：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（一）负责对日常巡检、维护及保养工作质量的监督，并根据考核细则对巡检、维护及保养效果进行考核，建立相关记录。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（二）负责对日常检查中要求整改的事项的跟踪、监督及落实，形成闭环管理。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第八条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输配中心站</w:t>
      </w:r>
      <w:r>
        <w:rPr>
          <w:rFonts w:hint="eastAsia" w:ascii="方正仿宋简体" w:hAnsi="方正仿宋简体" w:eastAsia="方正仿宋简体" w:cs="方正仿宋简体"/>
          <w:sz w:val="28"/>
        </w:rPr>
        <w:t>是公司站场设备设施维护、维修的主体单位，其职责主要有：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（一）认真执行公司对燃气设备设施管理的各类规定，定期对站场主要燃气设备设施开展维护、保养，保证设施安全、平稳运行；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（二）负责对站场人员开展的巡检及日常保养进行不定期检查，并根据考核细则进行考核；</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（三）根据实际情况对站场员工开展培训，并建立相关培训记录；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（四）对站场故障设备设施进行维护维修，并完善相关记录。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 xml:space="preserve">第九条 </w:t>
      </w:r>
      <w:r>
        <w:rPr>
          <w:rFonts w:hint="eastAsia" w:ascii="方正仿宋简体" w:hAnsi="方正仿宋简体" w:eastAsia="方正仿宋简体" w:cs="方正仿宋简体"/>
          <w:sz w:val="28"/>
        </w:rPr>
        <w:t xml:space="preserve"> 燃气</w:t>
      </w:r>
      <w:r>
        <w:rPr>
          <w:rFonts w:hint="eastAsia" w:ascii="方正仿宋简体" w:hAnsi="方正仿宋简体" w:eastAsia="方正仿宋简体" w:cs="方正仿宋简体"/>
          <w:sz w:val="28"/>
          <w:lang w:eastAsia="zh-CN"/>
        </w:rPr>
        <w:t>生产保障中心</w:t>
      </w:r>
      <w:r>
        <w:rPr>
          <w:rFonts w:hint="eastAsia" w:ascii="方正仿宋简体" w:hAnsi="方正仿宋简体" w:eastAsia="方正仿宋简体" w:cs="方正仿宋简体"/>
          <w:sz w:val="28"/>
        </w:rPr>
        <w:t>是公司城镇燃气设备设施维护、保养、维修的主体单位，其主要职责有：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（一）认真执行公司对燃气设备设施管理的各类规定，负责城区的燃气管道及附属设施的管理工作；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（二）按计划对城区燃气管道、阀井、调压阀、计量气表等设施进行日常维护、保养、维修；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（三）定期组织巡线班组、维修人员开展安全技术培训，提高员工的技术业务素质、风险辨识能力。</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outlineLvl w:val="9"/>
        <w:rPr>
          <w:rFonts w:hint="eastAsia" w:ascii="方正仿宋简体" w:hAnsi="方正仿宋简体" w:eastAsia="方正仿宋简体" w:cs="方正仿宋简体"/>
          <w:b/>
          <w:sz w:val="30"/>
          <w:szCs w:val="30"/>
        </w:rPr>
      </w:pPr>
      <w:r>
        <w:rPr>
          <w:rFonts w:hint="eastAsia" w:ascii="方正黑体简体" w:hAnsi="方正黑体简体" w:eastAsia="方正黑体简体" w:cs="方正黑体简体"/>
          <w:b w:val="0"/>
          <w:bCs/>
          <w:sz w:val="30"/>
          <w:szCs w:val="30"/>
          <w:lang w:eastAsia="zh-CN"/>
        </w:rPr>
        <w:t>第三章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燃气管道及附属设施的巡检及维护管理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第十条 </w:t>
      </w:r>
      <w:r>
        <w:rPr>
          <w:rFonts w:hint="eastAsia" w:ascii="方正仿宋简体" w:hAnsi="方正仿宋简体" w:eastAsia="方正仿宋简体" w:cs="方正仿宋简体"/>
          <w:sz w:val="28"/>
          <w:szCs w:val="28"/>
        </w:rPr>
        <w:t xml:space="preserve"> 本办法中燃气管道及附属设施是指燃气管道、庭院管线、燃气立管以及燃气管道附属设施。其中：</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燃气管道：是指将门站（配气站或撬装站）天然气输往终端燃气公司各用户，采用《城镇燃气设计规范》GB50028设计的天然气输送管道及其附属设施。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庭院管道：由街道支线管网引入居住小区，敷设在居住小区建筑红线内并连接到楼栋引入管的燃气管道。</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燃气立管：沿建筑物垂直敷设的用于连接各用户燃气表前支管的燃气管道。</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燃气管道附属设施：是指管道的配套设施与保护设施，包括：阀室（阀井）、调压箱（或调压计量撬）、地面标示（板、桩、牌）等。</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第十一条</w:t>
      </w:r>
      <w:r>
        <w:rPr>
          <w:rFonts w:hint="eastAsia" w:ascii="方正仿宋简体" w:hAnsi="方正仿宋简体" w:eastAsia="方正仿宋简体" w:cs="方正仿宋简体"/>
          <w:sz w:val="28"/>
          <w:szCs w:val="28"/>
        </w:rPr>
        <w:t xml:space="preserve">  燃气管道的巡检维护的主要内容及要求：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（一）</w:t>
      </w:r>
      <w:r>
        <w:rPr>
          <w:rFonts w:hint="eastAsia" w:ascii="方正仿宋简体" w:hAnsi="方正仿宋简体" w:eastAsia="方正仿宋简体" w:cs="方正仿宋简体"/>
          <w:sz w:val="28"/>
          <w:szCs w:val="28"/>
        </w:rPr>
        <w:t>燃气管道主要巡检内容及要求：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1.制定巡护周期及巡检计划。根据《中油南充燃气有限责任公司管道巡护管理实施细则（试行）》中明确的各类燃气管线等级周期开展巡检计划；</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2.巡检时必须沿管线实际走向仔细巡检，严禁绕道巡查或者不巡查。燃气</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根据巡线人员配备的GPS不定期抽查。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3.燃气管道巡检时应注意沿线是否有燃气异味、水面冒泡、树草枯萎等异常现象或泄漏声响，若有应及时查明原因；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4.巡检必须认真填写巡线记录，描述相关状况：防腐层破损情况、锈蚀情况、护坡堡坎垮塌、变形、雨水冲刷、标志桩（块）缺损、违章建筑物等情况，并用文字和图片描述；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5.对管线的局部锈蚀、管线裸露（</w:t>
      </w:r>
      <w:r>
        <w:rPr>
          <w:rFonts w:hint="eastAsia" w:ascii="方正仿宋简体" w:hAnsi="方正仿宋简体" w:eastAsia="方正仿宋简体" w:cs="方正仿宋简体"/>
          <w:bCs/>
          <w:sz w:val="28"/>
          <w:szCs w:val="28"/>
        </w:rPr>
        <w:t>抗SUV防腐管除外</w:t>
      </w:r>
      <w:r>
        <w:rPr>
          <w:rFonts w:hint="eastAsia" w:ascii="方正仿宋简体" w:hAnsi="方正仿宋简体" w:eastAsia="方正仿宋简体" w:cs="方正仿宋简体"/>
          <w:sz w:val="28"/>
          <w:szCs w:val="28"/>
        </w:rPr>
        <w:t>）、标识桩（块）、警示牌或者穿越桩倒塌、绝缘防腐层零星破损、护坡堡坎轻微垮塌或变形的，应及时修复，并做好相应整改前后的资料、图片；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在巡检中发现因地方建设、第三方施工作业对燃气管道造成或可能造成安全隐患的，要及时现场妥善处理，并做好记录。不能处理的应发放隐患整改告知书，并上报公司调度室，公司与地方协商解决，同时须定点定人对影响管道进行严密监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7.燃气设施巡检中每日必须对重点部位、高后果区域取照且不少于四张（起、终点，调压箱、阀井），每日将巡检照片上报至调度室并随巡检资料一并存档；</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8.对于穿越处，易滑坡等特殊地段的管线，在大雨、大风或者其他恶劣的天气后，应及时巡检，确保管道的安全运行；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9.在巡检过程中，积极宣传天然气管道保护的相关法律、法规、条例，节假期或重大活动期间向市民发放燃气安全宣传单。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（二）燃气管道阀室（阀井）巡检维护内容及要求：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1.制定巡护周期及巡检计划。燃气管道阀井维护周期为1次/季度，巡检周期为1次/月。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2.巡检内容主要为：</w:t>
      </w:r>
      <w:r>
        <w:rPr>
          <w:rFonts w:hint="eastAsia" w:ascii="方正仿宋简体" w:hAnsi="方正仿宋简体" w:eastAsia="方正仿宋简体" w:cs="方正仿宋简体"/>
          <w:bCs/>
          <w:sz w:val="28"/>
          <w:szCs w:val="28"/>
        </w:rPr>
        <w:t>燃气阀井是否被掩埋、燃气阀井上方是否停放车辆或其他不能移动的物体遮盖、燃气阀井是否存在可燃气体泄漏、阀井（阀井盖、阀井圈、阀井壁）是否完好</w:t>
      </w:r>
      <w:r>
        <w:rPr>
          <w:rFonts w:hint="eastAsia" w:ascii="方正仿宋简体" w:hAnsi="方正仿宋简体" w:eastAsia="方正仿宋简体" w:cs="方正仿宋简体"/>
          <w:sz w:val="28"/>
          <w:szCs w:val="28"/>
        </w:rPr>
        <w:t>、清除阀井内积水及杂物（特别是易腐化物质），对埋地阀进行清洁；维护内容主要为：对埋地阀进行润滑、除锈保养；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3.燃气管道埋地阀每季度活动一次，为不影响正常供气，对敞开阀门活动至开度的2/3后全开，并做好记录；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4.埋地阀出现异常情况，应及时处理并做好记录，不能处理的，及时上报调度室备案；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5.燃气管道阀井内设置巡检登记牌，巡检人员在巡检过程中应做好巡检登记。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（三）燃气调压箱（柜）及气表表箱巡检维护内容及要求：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1.制定巡护周期及巡检计划。调压箱（柜）巡检周期为：1次/月，维护周期为1次/季度，楼栋调压箱维护周期为1次/半年。</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巡检内容主要为：对调压箱（柜）表面进行清洁，检查调压箱固定螺钉是否完好并及时整改，检查进出管线是否倾斜、变形，检查调压箱（柜）目视化标识是否完好并及时恢复，清除调压箱（柜）周围杂物，检查箱内调压设备本体及连接部位有无漏气或锈蚀并及时整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3.燃气调压箱（柜）及气表表箱过滤器清洗周期为1次/年，调压箱截断压力、关闭压力检测周期为1次/年，出口运行压力检测周期为1次/季度，维护后应做好相关记录；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4.调压箱（柜）内设置巡检登记牌，巡检人员在巡检过程中做好巡检登记；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5.燃气调压箱（柜）及气表表箱出现异常情况，应及时处理并做好记录，若不能处理，上报调度室备案。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（四）燃气管道附属设施巡检维护内容：</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bCs/>
          <w:sz w:val="28"/>
          <w:szCs w:val="28"/>
        </w:rPr>
        <w:t>电位测试桩是否完好、被移动、测试桩上目视化标识字迹是否清晰；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2.管线上方标识块、标识桩是否完好或被移动、标识字迹是否清晰；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3.管线护坡、护坎、支撑、管卡是否完好；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4.设备及管线防雷接地设施是否完好；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bCs/>
          <w:sz w:val="28"/>
          <w:szCs w:val="28"/>
        </w:rPr>
        <w:t>管道附属设备安全色是否清晰。</w:t>
      </w:r>
    </w:p>
    <w:p>
      <w:pPr>
        <w:adjustRightInd w:val="0"/>
        <w:snapToGrid w:val="0"/>
        <w:spacing w:line="560" w:lineRule="exact"/>
        <w:ind w:firstLine="560" w:firstLineChars="200"/>
        <w:rPr>
          <w:rFonts w:hint="eastAsia" w:ascii="方正仿宋简体" w:hAnsi="方正仿宋简体" w:eastAsia="方正仿宋简体" w:cs="方正仿宋简体"/>
          <w:bCs/>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outlineLvl w:val="9"/>
        <w:rPr>
          <w:rFonts w:hint="eastAsia" w:ascii="宋体" w:hAnsi="宋体"/>
          <w:b/>
          <w:bCs/>
          <w:sz w:val="30"/>
          <w:szCs w:val="30"/>
        </w:rPr>
      </w:pPr>
      <w:r>
        <w:rPr>
          <w:rFonts w:hint="eastAsia" w:ascii="方正黑体简体" w:hAnsi="方正黑体简体" w:eastAsia="方正黑体简体" w:cs="方正黑体简体"/>
          <w:b w:val="0"/>
          <w:bCs w:val="0"/>
          <w:sz w:val="30"/>
          <w:szCs w:val="30"/>
          <w:lang w:eastAsia="zh-CN"/>
        </w:rPr>
        <w:t>第四章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站场燃气设备设施维护保养管理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第十二条</w:t>
      </w:r>
      <w:r>
        <w:rPr>
          <w:rFonts w:hint="eastAsia" w:ascii="方正仿宋简体" w:hAnsi="方正仿宋简体" w:eastAsia="方正仿宋简体" w:cs="方正仿宋简体"/>
          <w:sz w:val="28"/>
          <w:szCs w:val="28"/>
        </w:rPr>
        <w:t xml:space="preserve">  本办法中的站场燃气设备设施是指站场范围内的工艺流程设备，包括各类阀门、压力容器、计量仪表仪器、安全防护器材等。</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第十三条 </w:t>
      </w:r>
      <w:r>
        <w:rPr>
          <w:rFonts w:hint="eastAsia" w:ascii="方正仿宋简体" w:hAnsi="方正仿宋简体" w:eastAsia="方正仿宋简体" w:cs="方正仿宋简体"/>
          <w:sz w:val="28"/>
          <w:szCs w:val="28"/>
        </w:rPr>
        <w:t xml:space="preserve"> 燃气输配站场基本要求：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（一）站场流程设备无“跑、冒、滴、漏”，无锈蚀，无任何防腐死角。</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（二）员工定期严格按保养规程对设备设施进行维护保养，对已经损坏的部件必须及时更换，保养必须达到“清洁、润滑、紧固、调整、防腐”十字保养的要求，做到：一准、二灵、三清、四无、五不漏。</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A.清洁，设备外观及配电箱（柜）无灰垢、油泥；</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B.润滑，设备各润滑部位的油质、油量满足要求；</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C.紧固，各连接部位紧固；</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D.调整，对设备间隙、油压、安全装置调整合理；</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E.防腐，各导设施、设备、金属结构件及机体应清除掉腐蚀介质的浸蚀及锈迹并做防腐处理。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（三）站场面貌要做到“干净、整洁、清爽、规范”。</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（四）站场进行设备日常操作、维护保养、周期活动时，必须有两人以上在场，同时指定一人为现场安全监护。</w:t>
      </w:r>
    </w:p>
    <w:p>
      <w:pPr>
        <w:keepNext w:val="0"/>
        <w:keepLines w:val="0"/>
        <w:pageBreakBefore w:val="0"/>
        <w:widowControl w:val="0"/>
        <w:kinsoku/>
        <w:wordWrap/>
        <w:overflowPunct/>
        <w:topLinePunct w:val="0"/>
        <w:autoSpaceDE/>
        <w:autoSpaceDN/>
        <w:bidi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（五）严禁站场员工外请临时用工到生产现场进行设施设备的日常清洁、维护、保养作业。</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第十四条</w:t>
      </w:r>
      <w:r>
        <w:rPr>
          <w:rFonts w:hint="eastAsia" w:ascii="方正仿宋简体" w:hAnsi="方正仿宋简体" w:eastAsia="方正仿宋简体" w:cs="方正仿宋简体"/>
          <w:sz w:val="28"/>
          <w:szCs w:val="28"/>
        </w:rPr>
        <w:t xml:space="preserve">  站场工艺设备维护保养基本要求：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（一）严格按照设备的操作、技术规范使用设备。按照设备使用规范的规定定期开展设备维护保养及修理工作。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（二）正确、合理地使用设备，严格地按照设备的操作，保养规程进行使用。防止设备超温、超压、超速、超负荷运行，做到专机专用，严禁把特种设备当作普通设备使用。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（三）对新购的设备，要根据设备使用说明书，制定设备操作、保养规程和循环检查制度，并在试运中逐步修订和完善。</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（四）设备操作人员，必须具备本岗位的“应知应会”的技术知识和技能，逐步提高技术水平。</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（五）设备操作人员，应经培训考试合格后才能上岗操作。对锅炉、压力容器、运输车辆等特种设备，其专业操作人员应经考核合格取得操作合格证，严格执行持证上岗操作。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（六）设备使用实行定人、定机、定岗的设备使用制度。单人操作，一班作业的设备和运输车辆，实行“专人专机”的管理制度；两班制以上多人操作的设备实现班长负责制。在班长的组织下，严</w:t>
      </w:r>
      <w:r>
        <w:rPr>
          <w:rFonts w:hint="eastAsia" w:ascii="宋体" w:hAnsi="宋体" w:cs="宋体"/>
          <w:sz w:val="28"/>
          <w:szCs w:val="28"/>
        </w:rPr>
        <w:t>挌</w:t>
      </w:r>
      <w:r>
        <w:rPr>
          <w:rFonts w:hint="eastAsia" w:ascii="方正仿宋简体" w:hAnsi="方正仿宋简体" w:eastAsia="方正仿宋简体" w:cs="方正仿宋简体"/>
          <w:sz w:val="28"/>
          <w:szCs w:val="28"/>
        </w:rPr>
        <w:t>执行各项管理制度，共同管好、用好、维护好设备。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（七）设备在使用前和使用中，操作人员要认真执行巡回检查，发现问题及时处理。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（八）倒班使用的设备，要严格执行交接班制。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站场工艺设备出现故障时，公司和基层单位及时组织修理；对公司不具备修理能力的设备维修，必须委托具有修理资质和技术能力的单位进行修理。为保证修理质量、修理工期及合理的修理价格，大型修理必须按程序签订修理合同。</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第十五条 </w:t>
      </w:r>
      <w:r>
        <w:rPr>
          <w:rFonts w:hint="eastAsia" w:ascii="方正仿宋简体" w:hAnsi="方正仿宋简体" w:eastAsia="方正仿宋简体" w:cs="方正仿宋简体"/>
          <w:sz w:val="28"/>
          <w:szCs w:val="28"/>
        </w:rPr>
        <w:t xml:space="preserve"> 站场燃气设备设施维护保养具体要求如下：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（一）阀门类设备设施：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1.平板闸阀维护保养要求：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⑴阀门开关操作约50次后，（长期未操作的阀门每半年）应及时加注密封脂，确保阀门密封可靠和避免擦伤阀板密封面；</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⑵每周对阀门外部进行一次泄漏检查；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⑶每周对阀门外部进行一次清洁保养；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⑷每月对丝杆进行一次润滑保养；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⑸每半年排除阀体积水、污物一次。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2.双作用式节流截止阀维护保养要求：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⑴阀门开关操作约30次后，（长期未操作的阀门每半年）应及时加注密封脂；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⑵每周对阀门外部进行一次泄漏检查；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⑶每周对阀门外部进行一次清洁保养；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⑷每月对丝杆进行一次润滑保养；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⑸如果阀体及阀座间的密封圈损坏应及时更换。</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3.旋塞阀维护保养要求：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⑴每周检查旋塞阀的阀体、阀杆、阀位指示器等所有密封点是否存在外漏；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⑵每周对旋塞阀外部作一次清洁保养，保证其外部无锈蚀；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⑶每月进行一次注脂保养；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⑷每月对执行机构进行一次润滑，保证一人在不使用加力杆的情况下可灵活操作。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4.球阀维护保养要求：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⑴每周检查各连接部位是否存在外漏；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⑵每周对球阀外部作一次清洁保养，保证其外部无锈蚀；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⑶每月对球阀进行全开或全关操作一次保证球阀的灵活性（不能影响生产）；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⑷每季度排污操作一次，以减少污物对阀门密封面的损伤，延长阀门的使用寿命；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⑸每半年对球阀注脂保养一次。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5.止回阀维护保养要求：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⑴日常巡检发现异常应及时判断处理（主要原因可能是上、下游阀门内漏或弹簧断裂）；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⑵每周进行一次外部泄漏检查；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⑶每周对止回阀外部作一次清洁保养，保证其外部无锈蚀；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⑷每年对止回阀清洗保养一次。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6.安全切断阀维护保养要求：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⑴日常巡检查看下游压力表的压力读数是否正常，若读数超出正常范围而切断阀未动作，应彻底检查并维护切断阀；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⑵每周检查切断阀及其附件（信号管、主阀体、传感器）有无明显的外力损坏，是否有外漏；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⑶每周对切断阀外部作一次清洁保养，保证其外部无锈蚀；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⑷每季度检查切断阀的超（失）压切断压力是否符合要求；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⑸每年对切断阀内部零件进行全面清洁维护，对其易损件如：阀瓣密封件，平衡膜，O型圈进行检查，及时更换已溶胀、老化、压痕不均匀的密封件。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7.调压阀维护保养要求：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⑴每周对调压器的外部作一次清洁保养；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⑵每周用燃气报警仪（或皂液）检查调压器各连接处有无泄漏；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⑶每半年对调压器的关闭压力进行一次测试检查；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⑷每年对调压器内部进行一次全面清洗保养。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8.先导式安全阀维护保养要求：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⑴日常巡检注意观察安全阀下的控制阀是否处于开启状态；</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⑵每周对安全阀的外部作一次清洁保养，保证其外部表面无锈蚀；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⑶每周用燃气报警仪（或皂液）检查调压器各连接处有无泄漏；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⑷每月检查铅封和铭牌是否完整清晰；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⑸按规定每年必须对安全阀进行一次校验（同期作一次全面保养）；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⑹离线校验时，安全阀拆卸后应及时安装上盲板应尽量减少离线时间；</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⑺当安全阀发生过启跳情况时必须重新进行校验。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（一）</w:t>
      </w:r>
      <w:r>
        <w:rPr>
          <w:rFonts w:hint="eastAsia" w:ascii="方正仿宋简体" w:hAnsi="方正仿宋简体" w:eastAsia="方正仿宋简体" w:cs="方正仿宋简体"/>
          <w:sz w:val="28"/>
          <w:szCs w:val="28"/>
        </w:rPr>
        <w:t>压力容器类设备设施：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1.球罐维护保养要求：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⑴日常巡检注意观察球罐压力表和压力变送器是否完好可靠；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⑵每周对罐底各连接部位进行一次泄漏检查；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⑶每月对伸缩管、支柱、拉杆、地面基础进行一次目视检查；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⑷每季度排污操作一次；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⑸每半年对球罐压力表、变送器、固定式可燃气体检测仪进行校验；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⑹按规定每三年对球罐进行一次全面检测。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2.汇管维护保养要求：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⑴每周检查法兰盘及各连接处有无泄漏；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⑵每周对汇管的外部作一次清洁保养，保证其外部表面无锈蚀；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⑶每月检查地脚螺栓是否松动；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⑷每季度缓开排污阀进行排污操作一次；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⑸每半年检测防雷接地卡，导电性能是否良好；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⑹每半年对汇管上压力表进行一次校检；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⑺按规定三年一次对汇管进行一次全面检测。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3.过滤分离器维护保养要求：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⑴日常巡检注意查看压力表读数是否正常，当发现差压计达到0.1MPa时应组织清洗滤芯</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⑵每周应检查过滤分离器各连接处有无外漏；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⑶每周应对过滤分离器外部进行一次清洁保养，确保外部无锈蚀；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⑷每月检查地脚螺栓是否松动；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⑸每季度活动开关排污阀一次，确保阀门灵活可靠；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⑸每半年检测防雷接地卡，导电性能是否良好；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⑹每半年对过滤分离器上压力表进行一次校检；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⑺按规定三年一次对过滤分离器进行一次全面检测。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4.卧式重力分离器维护保养要求：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⑴日常巡检注意查看压力表读数是否正常，当发现液位计达到50时应及时进行排污操作；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⑵每周应检查分离器各连接处有无外漏；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⑶每周应对分离器外部进行一次清洁保养，确保外部无锈蚀；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⑷每月检查地脚螺栓是否松动；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⑸每季度活动排污阀一次确保阀门灵活可靠；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⑸每半年检测防雷接地卡，导电性能是否良好；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⑹每半年对分离器上压力表进行一次校检；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⑺按规定三年一次对分离器进行一次全面检测。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5.筒型干式过滤器维护保养要求：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⑴每周应检查过滤器各连接处有无外漏；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⑵每周应对过滤器外部进行一次清洁保养，确保外部无锈蚀；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⑶过滤器前后压差超过允许值时，应及时清洗滤芯；</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⑷每季度开启排污阀进行一次排污操作；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⑸按规定三年一次对过滤器进行一次全面检测。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（二）</w:t>
      </w:r>
      <w:r>
        <w:rPr>
          <w:rFonts w:hint="eastAsia" w:ascii="方正仿宋简体" w:hAnsi="方正仿宋简体" w:eastAsia="方正仿宋简体" w:cs="方正仿宋简体"/>
          <w:sz w:val="28"/>
          <w:szCs w:val="28"/>
        </w:rPr>
        <w:t>计量仪器仪表类设备设施：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1.高级孔板阀维护保养要求：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⑴每周应检查导压管各连接处有无外漏；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⑵每周应对高级孔板阀外部进行一次清洁保养，确保外部无锈蚀；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⑶每周对高级孔板阀清洗保养一次；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⑷每月旋转密封脂压盖，注入密封脂，使滑阀保持良好密封，随时给密封脂盒补充密封脂；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⑸每一季度打开阀体排污阀吹扫排污一次。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2.智能旋进漩涡流量计（TDS系列）维护保养要求：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⑴日常巡检注意检查电池是否欠压，若缺电应及时更换电池；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⑵每周应检查智能流量计各连接处有无外漏；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⑶每周应对流量计外部进行一次清洁保养，确保外部无锈蚀；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⑷每半年检测防雷接地线，导电性能是否良好；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⑸按规定每年对旋进漩涡流量计进行检定一次。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3.伸缩式整流器（ZLG-S）维护保养要求：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⑴整流器可以水平或垂直安装在管道系统中，维护时不可损伤法兰密封面和束管端面；</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⑵清理内部渣子时不可用坚硬物资伸入到束管中，不然会影响到整流效果，以至于影响到孔板的计量精度；</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⑶若整流器在收缩操作时，转动螺母异常吃力，则是进口端由渣灰卡堵；</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⑷日常巡检中发现整流器出现异常噪音应及时清洗保养；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⑸每周应检查整流器连接法兰处有无外漏；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⑹每周应对整流器外部进行一次清洁保养，确保外部无锈蚀。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4.压力（差压）变送器（EJA系列）维护保养要求：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⑴日常巡检应注意观察变送器的表头读数和流量计算机上读数，其比较误差应不大于0.5%；</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⑵每周校验零位时应对导压管进行检漏和吹扫，保证导压系统无积液、堵塞和泄漏；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⑶每周应对变送器器外部进行一次清洁保养，确保外部无锈蚀；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⑷每月对接地线进行检查，保证其稳固可靠；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⑸每季度压力（差压）变送器进行全面校检并出示鉴定报告。</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5.温度变送器（WZP-24K）维护保养要求：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⑴每周对温度变送器进行一次外部清洁，确保接线盒上无金属屑和灰尘；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⑵每周检查各连接处有无松动、泄漏；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⑶每月检查防雷接地线是否稳固可靠；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⑷每半年检查配管、配线的腐蚀及损坏情况；</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⑸每年对温度变送器基本误差、回程误差、负载变化、电源变化、输出交流分量、绝缘电阻和绝缘电流进行定期鉴定。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6.磁浮液位计（UHS-AA）维护保养要求：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⑴液位计主体周围不容许有导磁体靠近，否则直接影响液位计正常工作；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⑵日常巡检发现液位达到20值时应及时进行排液操作；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⑶每周进行一次清洁保养和验漏检查；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⑷每月对液位计进行一次校正，保证其显示正确；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⑸每半年打开排污阀进行排污操作一次。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（三）</w:t>
      </w:r>
      <w:r>
        <w:rPr>
          <w:rFonts w:hint="eastAsia" w:ascii="方正仿宋简体" w:hAnsi="方正仿宋简体" w:eastAsia="方正仿宋简体" w:cs="方正仿宋简体"/>
          <w:sz w:val="28"/>
          <w:szCs w:val="28"/>
        </w:rPr>
        <w:t>安全防护类设备设施：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1.二氧化碳灭火器（MT2型）维护保养要求：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⑴日常检查应注意二氧化碳灭火器存放地点的温度不得超过45℃.（因为钢瓶受热，液态二氧化碳会变为气态，使压力剧增，易发生物理性爆炸事故，因此二氧化碳灭火器应远离火源，避免日光暴晒）；</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⑵每周应做清洁保养，保证筒体无锈蚀，并确认喷管畅通；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⑶每月对灭火器检查一次重量，灭火器的泄漏量不得大于灭火剂额定重量的5%或5Og。超过规定泄漏量的，应检修后按规定的充装量重灌，应确保在有效期内工作并做好相应记录；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⑷二氧化碳灭火器由消防专业部门进行灌装，重新灌装后应由消防专业部门进行水压和气密性试验，不合格者不得使用；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⑸每隔五年，应外送维修单位进行水压试验。试验压力应与钢瓶底部所打钢印的数值相同，水压试验同时还应对钢瓶的残余变形率进行测定，只有水压试验合格且残余变形率小于6的钢瓶才能继续使用。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2.推车式干粉灭火器（MFZ（ABC）35型）维护保养要求：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⑴灭火器应放置在通风、干燥、阴凉并取用方便的地方，环境温度在-5～+45℃；</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⑵每周应做清洁保养，保证筒体无锈蚀，铅封、保险销完好并确认喷管畅通；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⑶每月对活动部位进行润滑保养，检查车架上的转动部件是否灵活可靠；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⑷每月检查压力表指针是否在绿色区域。如指针不在绿色区域时，应查明原因检修后重新充气；</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⑸每半年检查干粉有无结块现象，如发现结块，立即更换灭火剂；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⑹灭火器一经开启必须再充装，再充装时，绝对不能变换干粉灭火剂的种类，即碳酸氢钠干粉灭火器不能换装磷酸铵盐干粉灭火剂；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⑺每次再充装前或灭火器出厂三年后，应进行水压试验，水压试验时对灭火器筒体和储气瓶应分别进行。其水压试验压力应与该灭火器上标签或钢印所示的压力相同。水压试验合格后才能再次充装使用。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3.便携式复合可燃气体检测仪维护保养要求：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⑴每周关机后用柔软的湿布清洁表面附着的灰尘，请勿使用溶剂、肥皂或抛光剂清洁；</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⑵仪器长期不工作时，应关机，置于干燥、无尘、符合储存温度的环境中；</w:t>
      </w:r>
      <w:r>
        <w:rPr>
          <w:rFonts w:hint="eastAsia" w:ascii="方正仿宋简体" w:hAnsi="方正仿宋简体" w:eastAsia="方正仿宋简体" w:cs="方正仿宋简体"/>
          <w:sz w:val="28"/>
          <w:szCs w:val="28"/>
        </w:rPr>
        <w:br w:type="textWrapping"/>
      </w:r>
      <w:r>
        <w:rPr>
          <w:rFonts w:hint="eastAsia" w:ascii="方正仿宋简体" w:hAnsi="方正仿宋简体" w:eastAsia="方正仿宋简体" w:cs="方正仿宋简体"/>
          <w:sz w:val="28"/>
          <w:szCs w:val="28"/>
        </w:rPr>
        <w:t>⑶气体检测仪实行专人专管制度，防止出现丢失等情况造成器械缺失，影响正常使用；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⑷请勿把检测仪暴露于无机溶剂产生的气味中（例如油漆气味或有机溶剂产生的气味）；</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⑸按规定便携式复合气体检测仪每半年应校验一次。</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4.消防离心泵维护保养要求：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⑴日常巡检应注意观察密封填料的漏失量（应控制在10-30滴/分）；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⑵每周对离心泵进行一次外部清洁，确保表面无锈蚀；</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⑶每月盘泵操作一次，并检查润滑油是否在刻度线以上；</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⑷每月检查地脚螺栓和接地线是否稳固可靠；</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⑸每月启动运行一次消防水泵，确保处于完好的工作状态并做好相应记录；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⑹按要求每半年对压力表进行一次校检，确保指示正确。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5.加臭机（RQJC-B系列）维护保养要求：</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(1)压差检查：每周+观察启动面板校验罐上压力表对数与管线运行压力作对比，要求高于管线运行压力50～100KPa;</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(2)每周用皂液检查相应卡套接头、螺纹连接部分有无外泄漏（注意：皂液不能喷入电磁阀线圈连接部分）；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(3)每周对加臭机进行一次外部清洁保养；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(4)每半年对臭液罐、臭液过滤器和磁翻板液位计进行一次排污操作；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(5)按规定每半年对臭液罐压力表进行一次校检。</w:t>
      </w:r>
    </w:p>
    <w:p>
      <w:pPr>
        <w:adjustRightInd w:val="0"/>
        <w:snapToGrid w:val="0"/>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outlineLvl w:val="9"/>
        <w:rPr>
          <w:rFonts w:hint="eastAsia" w:ascii="宋体" w:hAnsi="宋体"/>
          <w:b/>
          <w:sz w:val="32"/>
          <w:szCs w:val="32"/>
        </w:rPr>
      </w:pPr>
      <w:r>
        <w:rPr>
          <w:rFonts w:hint="eastAsia" w:ascii="方正黑体简体" w:hAnsi="方正黑体简体" w:eastAsia="方正黑体简体" w:cs="方正黑体简体"/>
          <w:b w:val="0"/>
          <w:bCs/>
          <w:sz w:val="30"/>
          <w:szCs w:val="30"/>
          <w:lang w:eastAsia="zh-CN"/>
        </w:rPr>
        <w:t>第五章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应急处置管理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sz w:val="28"/>
          <w:szCs w:val="28"/>
        </w:rPr>
        <w:t xml:space="preserve">  燃气管网设备设施出现突发事件时：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1.巡检人员在现场巡检、维护时发现或被社会人员告知经核实确有燃气管网设备设施出现突发事件时，应立即报告调度室；</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2.调度室立即通知公司值班抢险人员进行先期处置；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值班抢险人员15分钟内到达现场，关闭相关阀门（阀井），设置警戒区域，并疏散事故区域周边人员，同时立即向调度室汇报现场情况，如需储配站切断气源，调度室立即通知储配站关闭相关阀门并向领导汇报；</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4.如发生火灾或者人员伤亡，调度室立即拨打“119”火警电话或“120”急救电话；</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5.调度室及时将事故情况向公司领导汇报，立即成立现场指挥部，相关抢险人员在30分钟内赶到事故现场；</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6.调度室随时掌握现场抢险进度并保持与现场人员、地方有关部门的密切联系；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7.抢险完成后，并将恢复供气的情况及时告知用户，配合相关人员完成公司操作。</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第十七条</w:t>
      </w:r>
      <w:r>
        <w:rPr>
          <w:rFonts w:hint="eastAsia" w:ascii="方正仿宋简体" w:hAnsi="方正仿宋简体" w:eastAsia="方正仿宋简体" w:cs="方正仿宋简体"/>
          <w:sz w:val="28"/>
          <w:szCs w:val="28"/>
        </w:rPr>
        <w:t xml:space="preserve">  站场燃气设备设施出现突发事件时当班员工立即根据站场应急处置程序处置，并及时汇报调度室。</w:t>
      </w:r>
    </w:p>
    <w:p>
      <w:pPr>
        <w:numPr>
          <w:ilvl w:val="0"/>
          <w:numId w:val="0"/>
        </w:numPr>
        <w:adjustRightInd w:val="0"/>
        <w:snapToGrid w:val="0"/>
        <w:spacing w:line="560" w:lineRule="exact"/>
        <w:jc w:val="both"/>
        <w:rPr>
          <w:rFonts w:hint="eastAsia" w:ascii="方正黑体简体" w:hAnsi="方正黑体简体" w:eastAsia="方正黑体简体" w:cs="方正黑体简体"/>
          <w:b w:val="0"/>
          <w:bCs/>
          <w:sz w:val="30"/>
          <w:szCs w:val="30"/>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outlineLvl w:val="9"/>
        <w:rPr>
          <w:rFonts w:hint="eastAsia" w:ascii="方正仿宋简体" w:hAnsi="方正仿宋简体" w:eastAsia="方正仿宋简体" w:cs="方正仿宋简体"/>
          <w:b/>
          <w:sz w:val="30"/>
          <w:szCs w:val="30"/>
        </w:rPr>
      </w:pPr>
      <w:r>
        <w:rPr>
          <w:rFonts w:hint="eastAsia" w:ascii="方正黑体简体" w:hAnsi="方正黑体简体" w:eastAsia="方正黑体简体" w:cs="方正黑体简体"/>
          <w:b w:val="0"/>
          <w:bCs/>
          <w:sz w:val="30"/>
          <w:szCs w:val="30"/>
          <w:lang w:eastAsia="zh-CN"/>
        </w:rPr>
        <w:t>第六章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巡护维修资料管理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第十八条</w:t>
      </w:r>
      <w:r>
        <w:rPr>
          <w:rFonts w:hint="eastAsia" w:ascii="方正仿宋简体" w:hAnsi="方正仿宋简体" w:eastAsia="方正仿宋简体" w:cs="方正仿宋简体"/>
          <w:sz w:val="28"/>
          <w:szCs w:val="28"/>
        </w:rPr>
        <w:t xml:space="preserve">  燃气设备设施巡检、维护、维修应有以下记录：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1.设备设施统计表；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2.设备设施维护保养记录；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3.设备设施维修记录；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4.设备设施报废记录表；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5.设备设施停用/闲置记录表；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6.设备设施检定记录；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7.异常情况处理记录；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8.管道第三方占压重点监控记录；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9.调压箱维护及更换、保养记录；</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10.阀井档案及阀门更换、保养记录。</w:t>
      </w:r>
    </w:p>
    <w:p>
      <w:pPr>
        <w:adjustRightInd w:val="0"/>
        <w:snapToGrid w:val="0"/>
        <w:spacing w:line="560" w:lineRule="exact"/>
        <w:ind w:firstLine="560" w:firstLineChars="200"/>
        <w:rPr>
          <w:rFonts w:hint="eastAsia" w:ascii="方正仿宋简体" w:hAnsi="方正仿宋简体" w:eastAsia="方正仿宋简体" w:cs="方正仿宋简体"/>
          <w:b w:val="0"/>
          <w:bCs w:val="0"/>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jc w:val="center"/>
        <w:textAlignment w:val="auto"/>
        <w:outlineLvl w:val="9"/>
        <w:rPr>
          <w:rFonts w:hint="eastAsia" w:ascii="宋体" w:hAnsi="宋体"/>
          <w:b/>
          <w:sz w:val="30"/>
          <w:szCs w:val="30"/>
        </w:rPr>
      </w:pPr>
      <w:r>
        <w:rPr>
          <w:rFonts w:hint="eastAsia" w:ascii="方正黑体简体" w:hAnsi="方正黑体简体" w:eastAsia="方正黑体简体" w:cs="方正黑体简体"/>
          <w:b w:val="0"/>
          <w:bCs w:val="0"/>
          <w:sz w:val="30"/>
          <w:szCs w:val="30"/>
          <w:lang w:eastAsia="zh-CN"/>
        </w:rPr>
        <w:t>第七章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 xml:space="preserve"> 附</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 xml:space="preserve">第十九条 </w:t>
      </w:r>
      <w:r>
        <w:rPr>
          <w:rFonts w:hint="eastAsia" w:ascii="方正仿宋简体" w:hAnsi="方正仿宋简体" w:eastAsia="方正仿宋简体" w:cs="方正仿宋简体"/>
          <w:sz w:val="28"/>
        </w:rPr>
        <w:t xml:space="preserve"> 本办法由</w:t>
      </w:r>
      <w:r>
        <w:rPr>
          <w:rFonts w:hint="eastAsia" w:ascii="方正仿宋简体" w:hAnsi="方正仿宋简体" w:eastAsia="方正仿宋简体" w:cs="方正仿宋简体"/>
          <w:sz w:val="28"/>
          <w:lang w:eastAsia="zh-CN"/>
        </w:rPr>
        <w:t>生产运行部</w:t>
      </w:r>
      <w:r>
        <w:rPr>
          <w:rFonts w:hint="eastAsia" w:ascii="方正仿宋简体" w:hAnsi="方正仿宋简体" w:eastAsia="方正仿宋简体" w:cs="方正仿宋简体"/>
          <w:sz w:val="28"/>
        </w:rPr>
        <w:t>负责解释、修订。</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rPr>
        <w:t>第二十条</w:t>
      </w:r>
      <w:r>
        <w:rPr>
          <w:rFonts w:hint="eastAsia" w:ascii="方正仿宋简体" w:hAnsi="方正仿宋简体" w:eastAsia="方正仿宋简体" w:cs="方正仿宋简体"/>
          <w:sz w:val="28"/>
        </w:rPr>
        <w:t xml:space="preserve">  本办法自发布之日起实施。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rPr>
      </w:pPr>
    </w:p>
    <w:p>
      <w:pPr>
        <w:adjustRightInd w:val="0"/>
        <w:snapToGrid w:val="0"/>
        <w:spacing w:line="560" w:lineRule="exact"/>
        <w:ind w:firstLine="560" w:firstLineChars="200"/>
        <w:rPr>
          <w:rFonts w:hint="eastAsia" w:ascii="方正仿宋简体" w:hAnsi="方正仿宋简体" w:eastAsia="方正仿宋简体" w:cs="方正仿宋简体"/>
          <w:sz w:val="28"/>
        </w:rPr>
      </w:pPr>
    </w:p>
    <w:p>
      <w:pPr>
        <w:spacing w:line="460" w:lineRule="exact"/>
        <w:ind w:firstLine="579" w:firstLineChars="207"/>
        <w:rPr>
          <w:rFonts w:hint="eastAsia" w:ascii="宋体" w:hAnsi="宋体"/>
          <w:sz w:val="28"/>
        </w:rPr>
      </w:pPr>
    </w:p>
    <w:p>
      <w:pPr>
        <w:spacing w:line="460" w:lineRule="exact"/>
        <w:ind w:firstLine="579" w:firstLineChars="207"/>
        <w:rPr>
          <w:rFonts w:hint="eastAsia" w:ascii="宋体" w:hAnsi="宋体"/>
          <w:sz w:val="28"/>
        </w:rPr>
      </w:pPr>
    </w:p>
    <w:p>
      <w:pPr>
        <w:spacing w:line="460" w:lineRule="exact"/>
        <w:ind w:firstLine="579" w:firstLineChars="207"/>
        <w:rPr>
          <w:rFonts w:hint="eastAsia" w:ascii="宋体" w:hAnsi="宋体"/>
          <w:sz w:val="28"/>
        </w:rPr>
      </w:pPr>
    </w:p>
    <w:p>
      <w:pPr>
        <w:spacing w:line="460" w:lineRule="exact"/>
        <w:ind w:firstLine="579" w:firstLineChars="207"/>
        <w:rPr>
          <w:rFonts w:hint="eastAsia" w:ascii="宋体" w:hAnsi="宋体"/>
          <w:sz w:val="28"/>
        </w:rPr>
      </w:pPr>
    </w:p>
    <w:p>
      <w:pPr>
        <w:spacing w:line="460" w:lineRule="exact"/>
        <w:rPr>
          <w:rFonts w:hint="eastAsia" w:ascii="宋体" w:hAnsi="宋体"/>
          <w:sz w:val="28"/>
        </w:rPr>
      </w:pPr>
    </w:p>
    <w:p>
      <w:pPr>
        <w:spacing w:line="460" w:lineRule="exact"/>
        <w:rPr>
          <w:rFonts w:hint="eastAsia" w:ascii="宋体" w:hAnsi="宋体"/>
          <w:sz w:val="28"/>
        </w:rPr>
      </w:pPr>
    </w:p>
    <w:p>
      <w:pPr>
        <w:spacing w:line="460" w:lineRule="exact"/>
        <w:rPr>
          <w:rFonts w:hint="eastAsia" w:ascii="宋体" w:hAnsi="宋体"/>
          <w:sz w:val="28"/>
        </w:rPr>
      </w:pPr>
    </w:p>
    <w:p>
      <w:pPr>
        <w:spacing w:line="460" w:lineRule="exact"/>
        <w:rPr>
          <w:rFonts w:hint="eastAsia" w:ascii="宋体" w:hAnsi="宋体"/>
          <w:sz w:val="28"/>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bookmarkStart w:id="83" w:name="_Toc21261"/>
      <w:bookmarkStart w:id="84" w:name="_Toc17542"/>
      <w:bookmarkStart w:id="85" w:name="_Toc11423"/>
      <w:bookmarkStart w:id="86" w:name="_Toc14885"/>
      <w:bookmarkStart w:id="87" w:name="_Toc24537"/>
      <w:bookmarkStart w:id="88" w:name="_Toc17784"/>
      <w:bookmarkStart w:id="89" w:name="_Toc31261"/>
      <w:bookmarkStart w:id="90" w:name="_Toc18769"/>
      <w:bookmarkStart w:id="91" w:name="_Toc4169"/>
      <w:bookmarkStart w:id="92" w:name="_Toc10544"/>
      <w:bookmarkStart w:id="93" w:name="_Toc1101"/>
      <w:bookmarkStart w:id="94" w:name="_Toc14019"/>
      <w:bookmarkStart w:id="95" w:name="_Toc31515"/>
      <w:bookmarkStart w:id="96" w:name="_Toc18195"/>
      <w:bookmarkStart w:id="97" w:name="_Toc32341"/>
      <w:bookmarkStart w:id="98" w:name="_Toc3370"/>
      <w:bookmarkStart w:id="99" w:name="_Toc3666"/>
      <w:bookmarkStart w:id="100" w:name="_Toc26131"/>
      <w:bookmarkStart w:id="101" w:name="_Toc25393"/>
      <w:bookmarkStart w:id="102" w:name="_Toc134859472"/>
      <w:r>
        <w:rPr>
          <w:rFonts w:hint="eastAsia" w:ascii="方正小标宋简体" w:eastAsia="方正小标宋简体"/>
          <w:b w:val="0"/>
          <w:bCs w:val="0"/>
          <w:sz w:val="36"/>
          <w:szCs w:val="36"/>
        </w:rPr>
        <w:t>中油南充燃气有限责任公司</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hint="eastAsia" w:ascii="方正小标宋简体" w:eastAsia="方正小标宋简体"/>
          <w:b w:val="0"/>
          <w:bCs w:val="0"/>
          <w:sz w:val="36"/>
          <w:szCs w:val="36"/>
          <w:lang w:val="en-US" w:eastAsia="zh-CN"/>
        </w:rPr>
        <w:t>特种设备安全管理制度</w:t>
      </w:r>
      <w:bookmarkEnd w:id="101"/>
    </w:p>
    <w:p>
      <w:pPr>
        <w:rPr>
          <w:rFonts w:hint="eastAsia"/>
        </w:rPr>
      </w:pPr>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宋体" w:hAnsi="宋体" w:cs="Arial Unicode MS"/>
          <w:sz w:val="30"/>
          <w:szCs w:val="30"/>
        </w:rPr>
      </w:pPr>
      <w:r>
        <w:rPr>
          <w:rFonts w:hint="eastAsia" w:ascii="方正黑体简体" w:hAnsi="方正黑体简体" w:eastAsia="方正黑体简体" w:cs="方正黑体简体"/>
          <w:b w:val="0"/>
          <w:bCs/>
          <w:sz w:val="30"/>
          <w:szCs w:val="30"/>
        </w:rPr>
        <w:t>第一章  总</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第一条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为了确保特种设备的安全运行，保障人民生命、财产安全，有效防范事故发生，根据中华人民共和国国务院令(第373号)《特种设备安全监察条例》，结合公司实际，特制定本办法。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在公司范围内从事特种设备采购与入库验收、安装、改造、维修、使用、检验、检测及其监督检查，应当遵守本规定。</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第三条</w:t>
      </w:r>
      <w:r>
        <w:rPr>
          <w:rFonts w:hint="eastAsia" w:ascii="宋体" w:hAnsi="宋体"/>
          <w:sz w:val="28"/>
          <w:szCs w:val="28"/>
        </w:rPr>
        <w:t xml:space="preserve">  </w:t>
      </w:r>
      <w:r>
        <w:rPr>
          <w:rFonts w:hint="eastAsia" w:ascii="方正仿宋简体" w:hAnsi="方正仿宋简体" w:eastAsia="方正仿宋简体" w:cs="方正仿宋简体"/>
          <w:sz w:val="28"/>
          <w:szCs w:val="28"/>
        </w:rPr>
        <w:t>办法所称特种设备是指涉及生命安全、危险性较大的压力容器(含气瓶，下同)、压力管道。</w:t>
      </w:r>
      <w:r>
        <w:rPr>
          <w:rFonts w:hint="eastAsia" w:ascii="宋体" w:hAnsi="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第四条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特种设备的管理应当遵循“安全第一、预防为主”的原则,实行全过程管理。</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第五条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特种设备的采购由物资部门负责；使用、维护、管理由特种设备使用单位负责；修理、改造由设备管理部门负责；检验、检测由设备管理部门负责组织有资格的检验单位进行，各单位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监督负责各自单位特种设备的安全监督工作。</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第六条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特种设备使用单位，应当建立并严格执行安全生产管理和岗位安全责任制度，单位的主要负责人是本单位特种设备管理的第一负责人。</w:t>
      </w:r>
    </w:p>
    <w:p>
      <w:pPr>
        <w:keepNext w:val="0"/>
        <w:keepLines w:val="0"/>
        <w:pageBreakBefore w:val="0"/>
        <w:widowControl w:val="0"/>
        <w:kinsoku/>
        <w:wordWrap/>
        <w:overflowPunct/>
        <w:topLinePunct w:val="0"/>
        <w:autoSpaceDE/>
        <w:autoSpaceDN/>
        <w:bidi w:val="0"/>
        <w:adjustRightInd/>
        <w:snapToGrid/>
        <w:spacing w:line="560" w:lineRule="exact"/>
        <w:ind w:firstLine="540" w:firstLineChars="192"/>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第七条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任何单位和个人对违反本规定的行为，有权向各级质量安全环保部门和公司相关管理部门报告。</w:t>
      </w:r>
    </w:p>
    <w:p>
      <w:pPr>
        <w:spacing w:line="360" w:lineRule="auto"/>
        <w:ind w:firstLine="480" w:firstLineChars="200"/>
        <w:rPr>
          <w:rFonts w:ascii="黑体" w:hAnsi="宋体" w:eastAsia="黑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黑体" w:hAnsi="宋体" w:eastAsia="黑体" w:cs="Arial Unicode MS"/>
          <w:sz w:val="24"/>
        </w:rPr>
      </w:pPr>
      <w:r>
        <w:rPr>
          <w:rFonts w:hint="eastAsia" w:ascii="方正黑体简体" w:hAnsi="方正黑体简体" w:eastAsia="方正黑体简体" w:cs="方正黑体简体"/>
          <w:b w:val="0"/>
          <w:bCs/>
          <w:sz w:val="30"/>
          <w:szCs w:val="30"/>
        </w:rPr>
        <w:t>第二章  采购与入库验收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第八条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特种设备及相关安全附件，由物资采购部门根据技术部门要求从具有相应制造资格的单位（或供应商）中择优进行购买或加工订货。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第九条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新购特种设备及相关附属设施到达后，物资采购部门组织相关人员按有关要求对特种设备及相关附属设备进行入库验收，同时应检查特种设备的设计文件、产品质量合格证明、安装及使用维修说明、监督检验证明等文件是否齐全完整有效，并做好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入厂验收不合格的特种设备由物资采购部门责成制造单位 (或供应商)进行整改，整改合格后再进行验收。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ascii="黑体" w:hAnsi="宋体" w:eastAsia="黑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黑体" w:hAnsi="宋体" w:eastAsia="黑体" w:cs="Arial Unicode MS"/>
          <w:sz w:val="24"/>
        </w:rPr>
      </w:pPr>
      <w:r>
        <w:rPr>
          <w:rFonts w:hint="eastAsia" w:ascii="方正黑体简体" w:hAnsi="方正黑体简体" w:eastAsia="方正黑体简体" w:cs="方正黑体简体"/>
          <w:b w:val="0"/>
          <w:bCs/>
          <w:sz w:val="30"/>
          <w:szCs w:val="30"/>
        </w:rPr>
        <w:t>第三章  安装、改造、维修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第十一条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在公司范围内从事特种设备安装（组焊）、维修、改造的单位必须是取得单位所在地的省级及以上安全监察机构许可的具有相应资格的单位。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第十二条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在公司范围内从事特种设备安装（组焊）、维修、改造的单位应按照国务院特种设备安全监督部门和行业制订并公布的安全技术规范的要求，进行各项活动。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第十三条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特种设备安装、改造、维修的施工单位应当在施工前将拟进行的特冲设备安装、改造、维修情况书面告知该地区的特种设备安全监督管理部门，告知后即可施工。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第十四条</w:t>
      </w:r>
      <w:r>
        <w:rPr>
          <w:rFonts w:hint="eastAsia" w:ascii="宋体" w:hAnsi="宋体"/>
          <w:sz w:val="28"/>
          <w:szCs w:val="28"/>
        </w:rPr>
        <w:t xml:space="preserve">  </w:t>
      </w:r>
      <w:r>
        <w:rPr>
          <w:rFonts w:hint="eastAsia" w:ascii="方正仿宋简体" w:hAnsi="方正仿宋简体" w:eastAsia="方正仿宋简体" w:cs="方正仿宋简体"/>
          <w:sz w:val="28"/>
          <w:szCs w:val="28"/>
        </w:rPr>
        <w:t>压力容器、压力管道的安装、改造、维修竣工后，安装、改造、维修的施工单位应当在验收后30日内将有关技术资料移交特种设备使用单位。特种设备使用单位应当将其存入该特种设备的安全技术档案。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第十五条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压力容器的安装、改造、重大维修过程，必须经国务院特种设备安全监督管理部门核准的检验检测机构按照安全技术规范的要求进行监督检验；未经监督检验合格的不得交付使用。</w:t>
      </w:r>
    </w:p>
    <w:p>
      <w:pPr>
        <w:spacing w:line="360" w:lineRule="auto"/>
        <w:ind w:firstLine="480" w:firstLineChars="200"/>
        <w:rPr>
          <w:rFonts w:ascii="黑体" w:hAnsi="宋体" w:eastAsia="黑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黑体" w:hAnsi="宋体" w:eastAsia="黑体" w:cs="Arial Unicode MS"/>
          <w:sz w:val="24"/>
        </w:rPr>
      </w:pPr>
      <w:r>
        <w:rPr>
          <w:rFonts w:hint="eastAsia" w:ascii="方正黑体简体" w:hAnsi="方正黑体简体" w:eastAsia="方正黑体简体" w:cs="方正黑体简体"/>
          <w:b w:val="0"/>
          <w:bCs/>
          <w:sz w:val="30"/>
          <w:szCs w:val="30"/>
        </w:rPr>
        <w:t>第四章  使用、监督及检验检测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第十六条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 xml:space="preserve">特种设备使用单位，应当严格执行本规定和有关安全生产的法律、行政法规的规定，保证特种设备的安全使用。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压力容器操作人员需要经压力容器常规培训考试合格后才能上岗，并按要求遵守操作规程、岗位责任制及有关规程、制度；定时、定点、定路线进行巡回检查，发现异常及时处理，不得提高原设计规定的工艺条件，严禁超温、超压、超装运行压力容器及其安全附件，必须有详细的运行记录，当容器检验和发生异常现象时，应及时地记录并存入资料档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（二）压力容器发生下列现象时，操作人员有权立即采取紧急措施并及时报告有关部门：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1、操作压力、介质温度或壁温超过设计许可值，采取措施仍不能恢复正常时；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2、受压元件发生裂纹、鼓包、变形、泄漏等危及安全的现象时；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3、安全附件失效，接管焊缝开裂，紧固件损坏难以保证安全运行时；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4、发生火灾等意外事故直接威胁压力容器安全运行时；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5、对不符合《压力容器安全技术监察规程》和有关标准的压力容器，操作人员有权拒绝使用。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（三）维护保养方面。在具体的操作过程中,应做到以下几点: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1、平稳操作:在操作过程中尽量保持压力容器的操作条件(如工作压力和工作温度)相对稳定。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2、防止过载：防止压力容器过载主要是防止超压。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3、制定合理的安全操作规程：为保证压力容器的安全运行，切实避免盲目或误操作引起事故，容器使用单位应根据生产工艺需求和容器的技术性能制定各种容器的安全操作规程，并对操作人员进行教育培训。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第十七条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特种设备使用单位应当使用符合安全技术规范要求的特种设备。特种设备投入使用前，特种设备使用单位应当核对其是否附有本条例第十条规定的相关文件。</w:t>
      </w:r>
      <w:r>
        <w:rPr>
          <w:rFonts w:hint="eastAsia" w:ascii="宋体" w:hAnsi="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第十八条</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特种设备在投入使用前或者投入使用后30日内，特种设备使用单位的设备管理部门应当向该地区的特种设备安全监督管理部门登记。登记标志应当置于或者附着于该特种设备的显著位置。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第十九条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特种设备使用单位的设备管理部门应当建立特种设备安全技术档案。安全技术档案应当包括以下内容：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(一)特种设备的设计文件、制造单位、产品质量合格证明、使用维护说明等文件以及安装技术文件和资料；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(二)特种设备的定期检验和定期自行检查记录：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(三)特种设备的日常使用状况记录：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(四)特种设备及其安全附件、安全保护装置、测量调控装置及有关附属仪器仪表的日常维护保养记录；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(五)特种设备运行保障和事故记录。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第二十条</w:t>
      </w:r>
      <w:r>
        <w:rPr>
          <w:rFonts w:hint="eastAsia" w:ascii="方正仿宋简体" w:hAnsi="方正仿宋简体" w:eastAsia="方正仿宋简体" w:cs="方正仿宋简体"/>
          <w:sz w:val="28"/>
          <w:szCs w:val="28"/>
        </w:rPr>
        <w:t xml:space="preserve">  特种设备使用单位应当对在用特种设备进行经常性日常维护保养，并定期自行检查。特种设备使用单位负责对在用特种设备应当每月进行一次自行检查，并将设备运行及维护情况以报表形式报设备管理部门,对在用特种设备进行自行检查和日常维护保养时发现异常情况的，应当及时处理。设备管理部门应当组织具有相应资质的机构和人员对在用特种设备的安全附件、安全保护装置、测量调控装置及有关附属仪器仪表进行定期校验、检修，并作出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第二十一条 </w:t>
      </w:r>
      <w:r>
        <w:rPr>
          <w:rFonts w:hint="eastAsia" w:ascii="方正仿宋简体" w:hAnsi="方正仿宋简体" w:eastAsia="方正仿宋简体" w:cs="方正仿宋简体"/>
          <w:sz w:val="28"/>
          <w:szCs w:val="28"/>
        </w:rPr>
        <w:t xml:space="preserve"> 特种设备使用单位的设备管理部门应当按照安全技术规范中对定期检验的要求，在安全检验合格有效期届满前1个月，向特种设备检验检测机构提出定期检验要求。未经定期检验或者检验不合格的特种设备，不得继续使用。压力容器必须按《压力容器定期检验规则》规定定期进行检验。公司目前拥有压力容器中球罐安全状况等级为2级，检验周期为5年，其它设备安全状况等级均为3级，检验周期为3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第二十二条  </w:t>
      </w:r>
      <w:r>
        <w:rPr>
          <w:rFonts w:hint="eastAsia" w:ascii="方正仿宋简体" w:hAnsi="方正仿宋简体" w:eastAsia="方正仿宋简体" w:cs="方正仿宋简体"/>
          <w:sz w:val="28"/>
          <w:szCs w:val="28"/>
        </w:rPr>
        <w:t>特种设备出现故障或者发生异常情况，特种设备使用单位应当对其进行全面检查，消除事故隐患后，方可重新投入使用。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第二十三条 </w:t>
      </w:r>
      <w:r>
        <w:rPr>
          <w:rFonts w:hint="eastAsia" w:ascii="方正仿宋简体" w:hAnsi="方正仿宋简体" w:eastAsia="方正仿宋简体" w:cs="方正仿宋简体"/>
          <w:sz w:val="28"/>
          <w:szCs w:val="28"/>
        </w:rPr>
        <w:t xml:space="preserve"> 特种设备存在严重事故隐患，无改造、维修价值，或者超过安全技术规范规定使用年限，特种设备使用单位应当及时予以报废，并由设备管理部门向原登记的特种设备安全监督管理部门办理注销。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第二十四条  </w:t>
      </w:r>
      <w:r>
        <w:rPr>
          <w:rFonts w:hint="eastAsia" w:ascii="方正仿宋简体" w:hAnsi="方正仿宋简体" w:eastAsia="方正仿宋简体" w:cs="方正仿宋简体"/>
          <w:sz w:val="28"/>
          <w:szCs w:val="28"/>
        </w:rPr>
        <w:t>特种设备使用单位应当制定特种设备的事故应急措施和救援预案。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第二十五条 </w:t>
      </w:r>
      <w:r>
        <w:rPr>
          <w:rFonts w:hint="eastAsia" w:ascii="方正仿宋简体" w:hAnsi="方正仿宋简体" w:eastAsia="方正仿宋简体" w:cs="方正仿宋简体"/>
          <w:sz w:val="28"/>
          <w:szCs w:val="28"/>
        </w:rPr>
        <w:t xml:space="preserve"> 各特种设备使用单位应组织压力容器、压力管道的作业人员及其相关人员(以下统称特种设备作业人员)进行特种设备安全教育和培训，保证特种设备作业人员具备必要的特种设备安全作业知识；并经过地市级及以上特种设备安全监督管理部门考核合格，取得国家统一格式的特种作业人员证书后，方可从事相应的作业或者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第二十六条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特种设备作业人员在作业过程中发现事故隐患或者其他不安全因素，应当立即向现场安全管理人员和单位有关负责人报告并做好记录。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宋体" w:hAnsi="宋体"/>
          <w:sz w:val="28"/>
          <w:szCs w:val="28"/>
        </w:rPr>
      </w:pPr>
      <w:r>
        <w:rPr>
          <w:rFonts w:hint="eastAsia" w:ascii="方正仿宋简体" w:hAnsi="方正仿宋简体" w:eastAsia="方正仿宋简体" w:cs="方正仿宋简体"/>
          <w:b/>
          <w:sz w:val="28"/>
          <w:szCs w:val="28"/>
        </w:rPr>
        <w:t xml:space="preserve">第二十七条  </w:t>
      </w:r>
      <w:r>
        <w:rPr>
          <w:rFonts w:hint="eastAsia" w:ascii="方正仿宋简体" w:hAnsi="方正仿宋简体" w:eastAsia="方正仿宋简体" w:cs="方正仿宋简体"/>
          <w:sz w:val="28"/>
          <w:szCs w:val="28"/>
        </w:rPr>
        <w:t>公司各级</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监督应对特种设备的入库验收、安装、改造、维修、使用、检验检测实施安全监督。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第二十八条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特种设备发生事故，事故发生单位应当迅速采取有效措施，组织抢救，防止事故扩大，减少人员伤亡和财产损失，并按照国家有关规定，及时、如实地向负有安全生产监督管理职责的部门和特种设备安全监督管理部门等有关部门报告。不得隐瞒不报、谎报或拖延不报。</w:t>
      </w:r>
    </w:p>
    <w:p>
      <w:pPr>
        <w:spacing w:line="360" w:lineRule="auto"/>
        <w:ind w:firstLine="480" w:firstLineChars="200"/>
        <w:rPr>
          <w:rFonts w:ascii="黑体" w:hAnsi="宋体" w:eastAsia="黑体" w:cs="Arial Unicode MS"/>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黑体" w:hAnsi="宋体" w:eastAsia="黑体" w:cs="Arial Unicode MS"/>
          <w:sz w:val="24"/>
        </w:rPr>
      </w:pPr>
      <w:r>
        <w:rPr>
          <w:rFonts w:hint="eastAsia" w:ascii="方正黑体简体" w:hAnsi="方正黑体简体" w:eastAsia="方正黑体简体" w:cs="方正黑体简体"/>
          <w:b w:val="0"/>
          <w:bCs/>
          <w:sz w:val="30"/>
          <w:szCs w:val="30"/>
        </w:rPr>
        <w:t>第五章  安全附件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第二十九条 </w:t>
      </w:r>
      <w:r>
        <w:rPr>
          <w:rFonts w:hint="eastAsia" w:ascii="宋体" w:hAnsi="宋体"/>
          <w:sz w:val="28"/>
          <w:szCs w:val="28"/>
        </w:rPr>
        <w:t xml:space="preserve"> </w:t>
      </w:r>
      <w:r>
        <w:rPr>
          <w:rFonts w:hint="eastAsia" w:ascii="方正仿宋简体" w:hAnsi="方正仿宋简体" w:eastAsia="方正仿宋简体" w:cs="方正仿宋简体"/>
          <w:sz w:val="28"/>
          <w:szCs w:val="28"/>
        </w:rPr>
        <w:t>安全附件要求：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阀应每年至少要进行定压检验一次，其内容包括清洗、研磨、零件更换、定压、气密试验、耐压试验，并做好详细记录，出具安全阀定压报告，经过检验合格的安全阀必须有日期的铅封，由使用单位有关人员和安全部门人员参加试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（二）爆破片应每个大检修周期更换一次。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（三）压力表每年必须检验一次，并填上有日期的铅封。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宋体" w:hAnsi="宋体"/>
          <w:sz w:val="24"/>
        </w:rPr>
      </w:pPr>
      <w:r>
        <w:rPr>
          <w:rFonts w:hint="eastAsia" w:ascii="方正黑体简体" w:hAnsi="方正黑体简体" w:eastAsia="方正黑体简体" w:cs="方正黑体简体"/>
          <w:b w:val="0"/>
          <w:bCs/>
          <w:sz w:val="30"/>
          <w:szCs w:val="30"/>
        </w:rPr>
        <w:t xml:space="preserve">第六章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 xml:space="preserve">附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本办法由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负责解释、修订。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第三十一条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本办法自发布之日起施行。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103" w:name="_Toc13018"/>
      <w:bookmarkStart w:id="104" w:name="_Toc891"/>
      <w:bookmarkStart w:id="105" w:name="_Toc9250"/>
      <w:bookmarkStart w:id="106" w:name="_Toc20313"/>
      <w:bookmarkStart w:id="107" w:name="_Toc32215"/>
      <w:bookmarkStart w:id="108" w:name="_Toc17829"/>
      <w:bookmarkStart w:id="109" w:name="_Toc21116"/>
      <w:bookmarkStart w:id="110" w:name="_Toc2900"/>
      <w:bookmarkStart w:id="111" w:name="_Toc16940"/>
      <w:bookmarkStart w:id="112" w:name="_Toc20087"/>
      <w:bookmarkStart w:id="113" w:name="_Toc1599"/>
      <w:bookmarkStart w:id="114" w:name="_Toc32246"/>
      <w:bookmarkStart w:id="115" w:name="_Toc25142"/>
      <w:bookmarkStart w:id="116" w:name="_Toc7483"/>
      <w:bookmarkStart w:id="117" w:name="_Toc25826"/>
      <w:bookmarkStart w:id="118" w:name="_Toc5018"/>
      <w:bookmarkStart w:id="119" w:name="_Toc25040"/>
      <w:bookmarkStart w:id="120" w:name="_Toc3180"/>
      <w:bookmarkStart w:id="121" w:name="_Toc4570"/>
      <w:r>
        <w:rPr>
          <w:rFonts w:hint="eastAsia" w:ascii="方正小标宋简体" w:eastAsia="方正小标宋简体"/>
          <w:b w:val="0"/>
          <w:bCs w:val="0"/>
          <w:sz w:val="36"/>
          <w:szCs w:val="36"/>
        </w:rPr>
        <w:t>中油南充燃气有限责任公司特种作业人员管理</w:t>
      </w:r>
      <w:bookmarkEnd w:id="103"/>
      <w:bookmarkEnd w:id="104"/>
      <w:bookmarkEnd w:id="105"/>
      <w:bookmarkEnd w:id="106"/>
      <w:bookmarkEnd w:id="107"/>
      <w:bookmarkEnd w:id="108"/>
      <w:bookmarkEnd w:id="109"/>
      <w:bookmarkEnd w:id="110"/>
      <w:bookmarkEnd w:id="111"/>
      <w:bookmarkEnd w:id="112"/>
      <w:r>
        <w:rPr>
          <w:rFonts w:hint="eastAsia" w:ascii="方正小标宋简体" w:eastAsia="方正小标宋简体"/>
          <w:b w:val="0"/>
          <w:bCs w:val="0"/>
          <w:sz w:val="36"/>
          <w:szCs w:val="36"/>
          <w:lang w:eastAsia="zh-CN"/>
        </w:rPr>
        <w:t>制度</w:t>
      </w:r>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宋体" w:hAnsi="宋体" w:cs="Arial Unicode MS"/>
          <w:sz w:val="24"/>
        </w:rPr>
      </w:pPr>
      <w:bookmarkStart w:id="122" w:name="_Toc508016665"/>
      <w:bookmarkStart w:id="123" w:name="_Toc508012239"/>
      <w:bookmarkStart w:id="124" w:name="_Toc26164"/>
      <w:r>
        <w:rPr>
          <w:rFonts w:hint="eastAsia" w:ascii="方正黑体简体" w:hAnsi="方正黑体简体" w:eastAsia="方正黑体简体" w:cs="方正黑体简体"/>
          <w:b w:val="0"/>
          <w:bCs/>
          <w:sz w:val="30"/>
          <w:szCs w:val="30"/>
        </w:rPr>
        <w:t xml:space="preserve">第一章  总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sz w:val="28"/>
          <w:szCs w:val="28"/>
        </w:rPr>
        <w:t xml:space="preserve">  为规范特种作业人员的安全技术培训、考核、发证和管理工作，防止人员伤亡事故，促进安全生产，根据国家有关法律法规相关规定，特制定本办法。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第二条</w:t>
      </w:r>
      <w:r>
        <w:rPr>
          <w:rFonts w:hint="eastAsia" w:ascii="方正仿宋简体" w:hAnsi="方正仿宋简体" w:eastAsia="方正仿宋简体" w:cs="方正仿宋简体"/>
          <w:sz w:val="28"/>
          <w:szCs w:val="28"/>
        </w:rPr>
        <w:t xml:space="preserve">  本办法所称特种作业，是指容易发生人员伤亡事故，对操作者本人、他人及周围设施的安全有重大危害的作业。按国家相关规定，结合公司生产经营性质，包括以下工种：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（一）电工作业；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（二）金属焊接切割作业；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（三）PE管材焊接切割作业；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（四）企业内机动车辆驾驶；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（五）登高架设作业；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（六）压力容器操作；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（七）经国家安全生产监督管理局、国家质量监督检验检疫局批准的其它作业。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第三条</w:t>
      </w:r>
      <w:r>
        <w:rPr>
          <w:rFonts w:hint="eastAsia" w:ascii="方正仿宋简体" w:hAnsi="方正仿宋简体" w:eastAsia="方正仿宋简体" w:cs="方正仿宋简体"/>
          <w:sz w:val="28"/>
          <w:szCs w:val="28"/>
        </w:rPr>
        <w:t xml:space="preserve">  本办法所称特种作业人员是指直接从事特种作业的人员。特种作业人员必须具备以下基本条件：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（一）年龄满18周岁；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（二）身体健康，无妨碍从事相应工种作业的疾病和生理缺陷；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（三）初中以上文化程度，具备相应工种的安全技术知识，参加国家规定的安全技术理论和实际操作考核并成绩合格；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（四）符合相应工种作业特点需要的其他条件。</w:t>
      </w:r>
    </w:p>
    <w:p>
      <w:pPr>
        <w:spacing w:line="560" w:lineRule="exact"/>
        <w:rPr>
          <w:rFonts w:hint="eastAsia" w:ascii="方正仿宋简体" w:hAnsi="方正仿宋简体" w:eastAsia="方正仿宋简体" w:cs="方正仿宋简体"/>
          <w:b/>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bookmarkStart w:id="125" w:name="_Toc4146"/>
      <w:bookmarkStart w:id="126" w:name="_Toc508016666"/>
      <w:bookmarkStart w:id="127" w:name="_Toc25467"/>
      <w:bookmarkStart w:id="128" w:name="_Toc10532"/>
      <w:bookmarkStart w:id="129" w:name="_Toc2290"/>
      <w:bookmarkStart w:id="130" w:name="_Toc9433"/>
      <w:bookmarkStart w:id="131" w:name="_Toc508012240"/>
      <w:r>
        <w:rPr>
          <w:rFonts w:hint="eastAsia" w:ascii="方正黑体简体" w:hAnsi="方正黑体简体" w:eastAsia="方正黑体简体" w:cs="方正黑体简体"/>
          <w:b w:val="0"/>
          <w:bCs/>
          <w:sz w:val="30"/>
          <w:szCs w:val="30"/>
        </w:rPr>
        <w:t>第二章  特种作业人员管理</w:t>
      </w:r>
      <w:bookmarkEnd w:id="125"/>
      <w:bookmarkEnd w:id="126"/>
      <w:bookmarkEnd w:id="127"/>
      <w:bookmarkEnd w:id="128"/>
      <w:bookmarkEnd w:id="129"/>
      <w:bookmarkEnd w:id="130"/>
      <w:bookmarkEnd w:id="13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第四条</w:t>
      </w:r>
      <w:r>
        <w:rPr>
          <w:rFonts w:hint="eastAsia" w:ascii="方正仿宋简体" w:hAnsi="方正仿宋简体" w:eastAsia="方正仿宋简体" w:cs="方正仿宋简体"/>
          <w:sz w:val="28"/>
          <w:szCs w:val="28"/>
        </w:rPr>
        <w:t xml:space="preserve">  特种作业人员是从业人员中的一部分，但是，它又不同于一般的从业人员。特种作业人员所从事的岗位，一般危险性都较大。特种作业人员的工作优劣状况，对公司的安全生产起着举足轻重的作用。因此，应严格遵循《安全生产法》第二十三条规定：“生产经营位的特种作业人员必须按照国家有关规定经专门的安全作业培训，取得特种操作资格证书，方可上岗作业。”这里讲的专门培训，是指由有关主管部门组织的专门特种作业人员培训，不论在内容上，还是在时间上，都不同于普通从业人员的安全培训，具有较强的针对性，以保证特种作业人员达到规定的要求。特种作业人员的考核由有关主管部门负责组织，对考核合格的，颁发特种操作资格证书。未经专门安全培训并取得特种操作资格证书上岗作业的，或无特种操作资格证书而上岗作业的，将依法严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第五条</w:t>
      </w:r>
      <w:r>
        <w:rPr>
          <w:rFonts w:hint="eastAsia" w:ascii="方正仿宋简体" w:hAnsi="方正仿宋简体" w:eastAsia="方正仿宋简体" w:cs="方正仿宋简体"/>
          <w:sz w:val="28"/>
          <w:szCs w:val="28"/>
        </w:rPr>
        <w:t xml:space="preserve">  特种作业人员在独立上岗作业前，必须进行与本工种相适应的、专门的安全技术理论学习和实际操作训练。参加特种作业安全操作资格考核的人员，应当填写考核申请表，由申请人或公司统一向当地负责特种作业人员考核的单位提出申请。特种作业操作证，每2年复审1次。连续从事本工种10年以上的，经公司进行知识更新教育后，复审时间可延长至每4年1次。    </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第六条</w:t>
      </w:r>
      <w:r>
        <w:rPr>
          <w:rFonts w:hint="eastAsia" w:ascii="方正仿宋简体" w:hAnsi="方正仿宋简体" w:eastAsia="方正仿宋简体" w:cs="方正仿宋简体"/>
          <w:sz w:val="28"/>
          <w:szCs w:val="28"/>
        </w:rPr>
        <w:t xml:space="preserve">  公司应加强特种作业人员的管理，做好申报、培训、考核、复审的组织工作和日常的检查工作。发证单位及公司应分别建立特种作业人员档案。对离开特种作业岗位达6个月以上的特种作业人员，公司必须重新对其进行实际操作考核，经确认合格后方可上岗作业。特种作业操作证不得伪造、涂改、转借或转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第七条</w:t>
      </w:r>
      <w:r>
        <w:rPr>
          <w:rFonts w:hint="eastAsia" w:ascii="方正仿宋简体" w:hAnsi="方正仿宋简体" w:eastAsia="方正仿宋简体" w:cs="方正仿宋简体"/>
          <w:sz w:val="28"/>
          <w:szCs w:val="28"/>
        </w:rPr>
        <w:t xml:space="preserve">  各特种作业人员上岗作业必须严格执行国家、行业、企业相关规定和相应操作规程，狠反“三违”，严格做到“三不伤害”，确保自己、他人、企业及周围设施的安全。</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bookmarkStart w:id="132" w:name="_Toc143066985"/>
      <w:r>
        <w:rPr>
          <w:rFonts w:hint="eastAsia" w:ascii="方正黑体简体" w:hAnsi="方正黑体简体" w:eastAsia="方正黑体简体" w:cs="方正黑体简体"/>
          <w:b w:val="0"/>
          <w:bCs/>
          <w:sz w:val="30"/>
          <w:szCs w:val="30"/>
        </w:rPr>
        <w:t xml:space="preserve">第七章  附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bookmarkEnd w:id="13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八</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sz w:val="28"/>
          <w:szCs w:val="28"/>
        </w:rPr>
        <w:t xml:space="preserve">  本办法由公司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bCs/>
          <w:sz w:val="28"/>
          <w:szCs w:val="28"/>
        </w:rPr>
        <w:t>九</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sz w:val="28"/>
          <w:szCs w:val="28"/>
        </w:rPr>
        <w:t xml:space="preserve">  本办法自公布之日起施行。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bookmarkEnd w:id="102"/>
    <w:p>
      <w:pPr>
        <w:spacing w:line="460" w:lineRule="exact"/>
        <w:rPr>
          <w:rFonts w:hint="eastAsia" w:ascii="黑体" w:hAnsi="宋体" w:eastAsia="黑体"/>
          <w:b/>
          <w:sz w:val="36"/>
          <w:szCs w:val="36"/>
        </w:rPr>
      </w:pPr>
    </w:p>
    <w:p>
      <w:pPr>
        <w:spacing w:line="460" w:lineRule="exact"/>
        <w:rPr>
          <w:rFonts w:hint="eastAsia" w:ascii="黑体" w:hAnsi="宋体" w:eastAsia="黑体"/>
          <w:b/>
          <w:sz w:val="36"/>
          <w:szCs w:val="36"/>
        </w:rPr>
      </w:pPr>
    </w:p>
    <w:p>
      <w:pPr>
        <w:spacing w:line="460" w:lineRule="exact"/>
        <w:rPr>
          <w:rFonts w:hint="eastAsia" w:ascii="黑体" w:hAnsi="宋体" w:eastAsia="黑体"/>
          <w:b/>
          <w:sz w:val="36"/>
          <w:szCs w:val="36"/>
        </w:rPr>
      </w:pPr>
    </w:p>
    <w:p>
      <w:pPr>
        <w:spacing w:line="460" w:lineRule="exact"/>
        <w:rPr>
          <w:rFonts w:hint="eastAsia" w:ascii="黑体" w:hAnsi="宋体" w:eastAsia="黑体"/>
          <w:b/>
          <w:sz w:val="36"/>
          <w:szCs w:val="36"/>
        </w:rPr>
      </w:pPr>
    </w:p>
    <w:p>
      <w:pPr>
        <w:spacing w:line="460" w:lineRule="exact"/>
        <w:rPr>
          <w:rFonts w:hint="eastAsia" w:ascii="黑体" w:hAnsi="宋体" w:eastAsia="黑体"/>
          <w:b/>
          <w:sz w:val="36"/>
          <w:szCs w:val="36"/>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133" w:name="_Toc10404"/>
      <w:bookmarkStart w:id="134" w:name="_Toc1449"/>
      <w:bookmarkStart w:id="135" w:name="_Toc18268"/>
      <w:bookmarkStart w:id="136" w:name="_Toc28188"/>
      <w:bookmarkStart w:id="137" w:name="_Toc32282"/>
      <w:bookmarkStart w:id="138" w:name="_Toc202"/>
      <w:bookmarkStart w:id="139" w:name="_Toc31582"/>
      <w:bookmarkStart w:id="140" w:name="_Toc20522"/>
      <w:bookmarkStart w:id="141" w:name="_Toc7797"/>
      <w:bookmarkStart w:id="142" w:name="_Toc12268"/>
      <w:bookmarkStart w:id="143" w:name="_Toc16353"/>
      <w:bookmarkStart w:id="144" w:name="_Toc26105"/>
      <w:bookmarkStart w:id="145" w:name="_Toc22778"/>
      <w:bookmarkStart w:id="146" w:name="_Toc9647"/>
      <w:bookmarkStart w:id="147" w:name="_Toc9354"/>
      <w:bookmarkStart w:id="148" w:name="_Toc1821"/>
      <w:bookmarkStart w:id="149" w:name="_Toc18377"/>
      <w:bookmarkStart w:id="150" w:name="_Toc6006"/>
      <w:bookmarkStart w:id="151" w:name="_Toc8277"/>
      <w:bookmarkStart w:id="152" w:name="_Toc334516773"/>
      <w:r>
        <w:rPr>
          <w:rFonts w:hint="eastAsia" w:ascii="方正小标宋简体" w:eastAsia="方正小标宋简体"/>
          <w:b w:val="0"/>
          <w:bCs w:val="0"/>
          <w:sz w:val="36"/>
          <w:szCs w:val="36"/>
        </w:rPr>
        <w:t>中油南充燃气有限责任公司电力</w:t>
      </w:r>
      <w:r>
        <w:rPr>
          <w:rFonts w:hint="eastAsia" w:ascii="方正小标宋简体" w:eastAsia="方正小标宋简体"/>
          <w:b w:val="0"/>
          <w:bCs w:val="0"/>
          <w:sz w:val="36"/>
          <w:szCs w:val="36"/>
          <w:lang w:eastAsia="zh-CN"/>
        </w:rPr>
        <w:t>安全</w:t>
      </w:r>
      <w:r>
        <w:rPr>
          <w:rFonts w:hint="eastAsia" w:ascii="方正小标宋简体" w:eastAsia="方正小标宋简体"/>
          <w:b w:val="0"/>
          <w:bCs w:val="0"/>
          <w:sz w:val="36"/>
          <w:szCs w:val="36"/>
        </w:rPr>
        <w:t>管理</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hint="eastAsia" w:ascii="方正小标宋简体" w:eastAsia="方正小标宋简体"/>
          <w:b w:val="0"/>
          <w:bCs w:val="0"/>
          <w:sz w:val="36"/>
          <w:szCs w:val="36"/>
          <w:lang w:eastAsia="zh-CN"/>
        </w:rPr>
        <w:t>制度</w:t>
      </w:r>
      <w:bookmarkEnd w:id="151"/>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bookmarkEnd w:id="152"/>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line="240" w:lineRule="atLeast"/>
        <w:ind w:right="0" w:rightChars="0"/>
        <w:jc w:val="center"/>
        <w:textAlignment w:val="auto"/>
        <w:outlineLvl w:val="9"/>
        <w:rPr>
          <w:rFonts w:hint="eastAsia" w:ascii="方正小标宋简体" w:hAnsi="宋体" w:eastAsia="方正小标宋简体"/>
          <w:b w:val="0"/>
          <w:bCs w:val="0"/>
          <w:sz w:val="30"/>
          <w:szCs w:val="30"/>
        </w:rPr>
      </w:pPr>
      <w:r>
        <w:rPr>
          <w:rFonts w:hint="eastAsia" w:ascii="方正黑体简体" w:hAnsi="方正黑体简体" w:eastAsia="方正黑体简体" w:cs="方正黑体简体"/>
          <w:b w:val="0"/>
          <w:bCs w:val="0"/>
          <w:sz w:val="30"/>
          <w:szCs w:val="30"/>
          <w:lang w:eastAsia="zh-CN"/>
        </w:rPr>
        <w:t>第一章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第一条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为进一步加强中油南充燃气有限责任公司（以下简称公司）范围内电力设施及施工作业现场管理，保证人身、电网和设备安全。根据《西南油气田分公司电力管理办法》、《四川川港燃气有限责任公司电力管理办法》（川港司生〔2016〕27号）要求及相关规范并结合公司电力管理的具体情况，特制定本办法。</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 xml:space="preserve">第二条  </w:t>
      </w:r>
      <w:r>
        <w:rPr>
          <w:rFonts w:hint="eastAsia" w:ascii="方正仿宋简体" w:hAnsi="方正仿宋简体" w:eastAsia="方正仿宋简体" w:cs="方正仿宋简体"/>
          <w:szCs w:val="28"/>
        </w:rPr>
        <w:t>本办法适用于公司。</w:t>
      </w:r>
    </w:p>
    <w:p>
      <w:pPr>
        <w:pStyle w:val="19"/>
        <w:spacing w:line="560" w:lineRule="exact"/>
        <w:ind w:firstLine="560" w:firstLineChars="200"/>
        <w:rPr>
          <w:rFonts w:hint="eastAsia" w:ascii="方正仿宋简体" w:hAnsi="方正仿宋简体" w:eastAsia="方正仿宋简体" w:cs="方正仿宋简体"/>
          <w:szCs w:val="28"/>
        </w:rPr>
      </w:pPr>
    </w:p>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line="240" w:lineRule="atLeast"/>
        <w:ind w:leftChars="0" w:right="0" w:rightChars="0"/>
        <w:jc w:val="center"/>
        <w:textAlignment w:val="auto"/>
        <w:outlineLvl w:val="9"/>
        <w:rPr>
          <w:rFonts w:hint="eastAsia" w:ascii="方正黑体简体" w:hAnsi="方正黑体简体" w:eastAsia="方正黑体简体" w:cs="方正黑体简体"/>
          <w:b w:val="0"/>
          <w:bCs w:val="0"/>
          <w:sz w:val="30"/>
          <w:szCs w:val="30"/>
          <w:lang w:eastAsia="zh-CN"/>
        </w:rPr>
      </w:pPr>
      <w:bookmarkStart w:id="153" w:name="_Toc334516774"/>
      <w:r>
        <w:rPr>
          <w:rFonts w:hint="eastAsia" w:ascii="方正黑体简体" w:hAnsi="方正黑体简体" w:eastAsia="方正黑体简体" w:cs="方正黑体简体"/>
          <w:b w:val="0"/>
          <w:bCs w:val="0"/>
          <w:sz w:val="30"/>
          <w:szCs w:val="30"/>
          <w:lang w:val="en-US" w:eastAsia="zh-CN"/>
        </w:rPr>
        <w:t xml:space="preserve">第二章  </w:t>
      </w:r>
      <w:r>
        <w:rPr>
          <w:rFonts w:hint="eastAsia" w:ascii="方正黑体简体" w:hAnsi="方正黑体简体" w:eastAsia="方正黑体简体" w:cs="方正黑体简体"/>
          <w:b w:val="0"/>
          <w:bCs w:val="0"/>
          <w:sz w:val="30"/>
          <w:szCs w:val="30"/>
          <w:lang w:eastAsia="zh-CN"/>
        </w:rPr>
        <w:t>组织机构及职责</w:t>
      </w:r>
      <w:bookmarkEnd w:id="153"/>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第三条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工作职责</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1</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负责公司电力运行与维护管理工作，掌握公司电力系统运行动态，组织处理站场电力系统发生的重大异常情况。</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2</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负责公司电力管理基础资料及运行报表的收集、统计和分析工作，及时准确上报各种统计报表。</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3</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负责指导、协调各部门相关电力工作，组织开展电力管理工作的检查。</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4</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负责公司所属单位辖区内地方电力局供用电事宜的协调工作。</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5</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负责公司涉电员工培训工作。</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6</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组织编制公司电力系统年度大修理计划。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负责电力工作中重大和突发事件的处理工作以及和地方政府的联系和协调。</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8</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rPr>
        <w:t>配合</w:t>
      </w:r>
      <w:r>
        <w:rPr>
          <w:rFonts w:hint="eastAsia" w:ascii="方正仿宋简体" w:hAnsi="方正仿宋简体" w:eastAsia="方正仿宋简体" w:cs="方正仿宋简体"/>
          <w:szCs w:val="28"/>
          <w:lang w:eastAsia="zh-CN"/>
        </w:rPr>
        <w:t>质量安全环保部</w:t>
      </w:r>
      <w:r>
        <w:rPr>
          <w:rFonts w:hint="eastAsia" w:ascii="方正仿宋简体" w:hAnsi="方正仿宋简体" w:eastAsia="方正仿宋简体" w:cs="方正仿宋简体"/>
          <w:szCs w:val="28"/>
        </w:rPr>
        <w:t>做好四川川港燃气有限责任公司系统节能管理工作。</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szCs w:val="28"/>
        </w:rPr>
        <w:t>9</w:t>
      </w:r>
      <w:r>
        <w:rPr>
          <w:rFonts w:hint="eastAsia" w:ascii="方正仿宋简体" w:hAnsi="方正仿宋简体" w:eastAsia="方正仿宋简体" w:cs="方正仿宋简体"/>
          <w:szCs w:val="28"/>
          <w:lang w:val="en-US" w:eastAsia="zh-CN"/>
        </w:rPr>
        <w:t>.</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落实专人进行电力管理。</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第四条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工作职责</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负责配合</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排查站场生产用电设备的故障工作。</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负责站场及公司办公区域日常供电故障整改及附属设备设施维护、维修。</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负责每月上报电力月报。</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负责公司供用电合同签订、合同管理。</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负责公司春季电力设备设施检修及周报编制、上报。</w:t>
      </w:r>
    </w:p>
    <w:p>
      <w:pPr>
        <w:keepNext w:val="0"/>
        <w:keepLines w:val="0"/>
        <w:pageBreakBefore w:val="0"/>
        <w:widowControl w:val="0"/>
        <w:tabs>
          <w:tab w:val="left" w:pos="720"/>
          <w:tab w:val="left" w:pos="3420"/>
        </w:tabs>
        <w:kinsoku/>
        <w:wordWrap/>
        <w:overflowPunct/>
        <w:topLinePunct w:val="0"/>
        <w:autoSpaceDE/>
        <w:autoSpaceDN/>
        <w:bidi w:val="0"/>
        <w:adjustRightInd/>
        <w:snapToGrid/>
        <w:spacing w:before="156" w:beforeLines="50"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第五条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财务资产部</w:t>
      </w:r>
      <w:r>
        <w:rPr>
          <w:rFonts w:hint="eastAsia" w:ascii="方正仿宋简体" w:hAnsi="方正仿宋简体" w:eastAsia="方正仿宋简体" w:cs="方正仿宋简体"/>
          <w:sz w:val="28"/>
          <w:szCs w:val="28"/>
        </w:rPr>
        <w:t>工作职责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54" w:name="_Toc10046"/>
      <w:bookmarkStart w:id="155" w:name="_Toc16382"/>
      <w:bookmarkStart w:id="156" w:name="_Toc508016670"/>
      <w:bookmarkStart w:id="157" w:name="_Toc228"/>
      <w:bookmarkStart w:id="158" w:name="_Toc508012244"/>
      <w:bookmarkStart w:id="159" w:name="_Toc12552"/>
      <w:bookmarkStart w:id="160" w:name="_Toc2333"/>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负责公司及站场用电费用的结算。</w:t>
      </w:r>
      <w:bookmarkEnd w:id="154"/>
      <w:bookmarkEnd w:id="155"/>
      <w:bookmarkEnd w:id="156"/>
      <w:bookmarkEnd w:id="157"/>
      <w:bookmarkEnd w:id="158"/>
      <w:bookmarkEnd w:id="159"/>
      <w:bookmarkEnd w:id="16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bookmarkStart w:id="161" w:name="_Toc29343"/>
      <w:bookmarkStart w:id="162" w:name="_Toc508012245"/>
      <w:bookmarkStart w:id="163" w:name="_Toc16742"/>
      <w:bookmarkStart w:id="164" w:name="_Toc10495"/>
      <w:bookmarkStart w:id="165" w:name="_Toc20382"/>
      <w:bookmarkStart w:id="166" w:name="_Toc16862"/>
      <w:bookmarkStart w:id="167" w:name="_Toc508016671"/>
      <w:r>
        <w:rPr>
          <w:rFonts w:hint="eastAsia" w:ascii="方正仿宋简体" w:hAnsi="方正仿宋简体" w:eastAsia="方正仿宋简体" w:cs="方正仿宋简体"/>
          <w:b/>
          <w:bCs/>
          <w:sz w:val="28"/>
          <w:szCs w:val="28"/>
        </w:rPr>
        <w:t>第六条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工作职责</w:t>
      </w:r>
      <w:bookmarkEnd w:id="161"/>
      <w:bookmarkEnd w:id="162"/>
      <w:bookmarkEnd w:id="163"/>
      <w:bookmarkEnd w:id="164"/>
      <w:bookmarkEnd w:id="165"/>
      <w:bookmarkEnd w:id="166"/>
      <w:bookmarkEnd w:id="16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68" w:name="_Toc23313"/>
      <w:bookmarkStart w:id="169" w:name="_Toc508015391"/>
      <w:bookmarkStart w:id="170" w:name="_Toc25607"/>
      <w:bookmarkStart w:id="171" w:name="_Toc7424"/>
      <w:bookmarkStart w:id="172" w:name="_Toc508012246"/>
      <w:bookmarkStart w:id="173" w:name="_Toc5458"/>
      <w:bookmarkStart w:id="174" w:name="_Toc20555"/>
      <w:bookmarkStart w:id="175" w:name="_Toc508016672"/>
      <w:r>
        <w:rPr>
          <w:rFonts w:hint="eastAsia" w:ascii="方正仿宋简体" w:hAnsi="方正仿宋简体" w:eastAsia="方正仿宋简体" w:cs="方正仿宋简体"/>
          <w:sz w:val="28"/>
          <w:szCs w:val="28"/>
          <w:lang w:val="en-US" w:eastAsia="zh-CN"/>
        </w:rPr>
        <w:t>2.</w:t>
      </w:r>
      <w:r>
        <w:rPr>
          <w:rFonts w:ascii="方正仿宋简体" w:hAnsi="方正仿宋简体" w:eastAsia="方正仿宋简体" w:cs="方正仿宋简体"/>
          <w:sz w:val="28"/>
          <w:szCs w:val="28"/>
        </w:rPr>
        <w:t>负责</w:t>
      </w:r>
      <w:r>
        <w:rPr>
          <w:rFonts w:hint="eastAsia" w:ascii="方正仿宋简体" w:hAnsi="方正仿宋简体" w:eastAsia="方正仿宋简体" w:cs="方正仿宋简体"/>
          <w:sz w:val="28"/>
          <w:szCs w:val="28"/>
        </w:rPr>
        <w:t>公司电力系统运行与维护作业的HSE</w:t>
      </w:r>
      <w:r>
        <w:rPr>
          <w:rFonts w:ascii="方正仿宋简体" w:hAnsi="方正仿宋简体" w:eastAsia="方正仿宋简体" w:cs="方正仿宋简体"/>
          <w:sz w:val="28"/>
          <w:szCs w:val="28"/>
        </w:rPr>
        <w:t>监督</w:t>
      </w:r>
      <w:r>
        <w:rPr>
          <w:rFonts w:hint="eastAsia" w:ascii="方正仿宋简体" w:hAnsi="方正仿宋简体" w:eastAsia="方正仿宋简体" w:cs="方正仿宋简体"/>
          <w:sz w:val="28"/>
          <w:szCs w:val="28"/>
        </w:rPr>
        <w:t>管理工作。</w:t>
      </w:r>
      <w:bookmarkEnd w:id="168"/>
      <w:bookmarkEnd w:id="169"/>
      <w:bookmarkEnd w:id="170"/>
      <w:bookmarkEnd w:id="171"/>
      <w:bookmarkEnd w:id="172"/>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76" w:name="_Toc508015392"/>
      <w:bookmarkStart w:id="177" w:name="_Toc508016673"/>
      <w:bookmarkStart w:id="178" w:name="_Toc24585"/>
      <w:bookmarkStart w:id="179" w:name="_Toc508012247"/>
      <w:bookmarkStart w:id="180" w:name="_Toc6338"/>
      <w:bookmarkStart w:id="181" w:name="_Toc17816"/>
      <w:bookmarkStart w:id="182" w:name="_Toc2116"/>
      <w:bookmarkStart w:id="183" w:name="_Toc25827"/>
      <w:r>
        <w:rPr>
          <w:rFonts w:hint="eastAsia" w:ascii="方正仿宋简体" w:hAnsi="方正仿宋简体" w:eastAsia="方正仿宋简体" w:cs="方正仿宋简体"/>
          <w:sz w:val="28"/>
          <w:szCs w:val="28"/>
          <w:lang w:val="en-US" w:eastAsia="zh-CN"/>
        </w:rPr>
        <w:t>3.</w:t>
      </w:r>
      <w:r>
        <w:rPr>
          <w:rFonts w:ascii="方正仿宋简体" w:hAnsi="方正仿宋简体" w:eastAsia="方正仿宋简体" w:cs="方正仿宋简体"/>
          <w:sz w:val="28"/>
          <w:szCs w:val="28"/>
        </w:rPr>
        <w:t>负责</w:t>
      </w:r>
      <w:r>
        <w:rPr>
          <w:rFonts w:hint="eastAsia" w:ascii="方正仿宋简体" w:hAnsi="方正仿宋简体" w:eastAsia="方正仿宋简体" w:cs="方正仿宋简体"/>
          <w:sz w:val="28"/>
          <w:szCs w:val="28"/>
        </w:rPr>
        <w:t>公司电力建设和大修</w:t>
      </w:r>
      <w:r>
        <w:rPr>
          <w:rFonts w:ascii="方正仿宋简体" w:hAnsi="方正仿宋简体" w:eastAsia="方正仿宋简体" w:cs="方正仿宋简体"/>
          <w:sz w:val="28"/>
          <w:szCs w:val="28"/>
        </w:rPr>
        <w:t>项目实施过程中的安全和环保</w:t>
      </w:r>
      <w:r>
        <w:rPr>
          <w:rFonts w:hint="eastAsia" w:ascii="方正仿宋简体" w:hAnsi="方正仿宋简体" w:eastAsia="方正仿宋简体" w:cs="方正仿宋简体"/>
          <w:sz w:val="28"/>
          <w:szCs w:val="28"/>
        </w:rPr>
        <w:t>监督</w:t>
      </w:r>
      <w:r>
        <w:rPr>
          <w:rFonts w:ascii="方正仿宋简体" w:hAnsi="方正仿宋简体" w:eastAsia="方正仿宋简体" w:cs="方正仿宋简体"/>
          <w:sz w:val="28"/>
          <w:szCs w:val="28"/>
        </w:rPr>
        <w:t>工作</w:t>
      </w:r>
      <w:r>
        <w:rPr>
          <w:rFonts w:hint="eastAsia" w:ascii="方正仿宋简体" w:hAnsi="方正仿宋简体" w:eastAsia="方正仿宋简体" w:cs="方正仿宋简体"/>
          <w:sz w:val="28"/>
          <w:szCs w:val="28"/>
        </w:rPr>
        <w:t>。</w:t>
      </w:r>
      <w:bookmarkEnd w:id="176"/>
      <w:bookmarkEnd w:id="177"/>
      <w:bookmarkEnd w:id="178"/>
      <w:bookmarkEnd w:id="179"/>
      <w:bookmarkEnd w:id="180"/>
      <w:bookmarkEnd w:id="181"/>
      <w:bookmarkEnd w:id="182"/>
      <w:bookmarkEnd w:id="18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84" w:name="_Toc5351"/>
      <w:bookmarkStart w:id="185" w:name="_Toc2997"/>
      <w:bookmarkStart w:id="186" w:name="_Toc32583"/>
      <w:bookmarkStart w:id="187" w:name="_Toc10739"/>
      <w:bookmarkStart w:id="188" w:name="_Toc508012248"/>
      <w:bookmarkStart w:id="189" w:name="_Toc508015393"/>
      <w:bookmarkStart w:id="190" w:name="_Toc6215"/>
      <w:bookmarkStart w:id="191" w:name="_Toc508016674"/>
      <w:r>
        <w:rPr>
          <w:rFonts w:hint="eastAsia" w:ascii="方正仿宋简体" w:hAnsi="方正仿宋简体" w:eastAsia="方正仿宋简体" w:cs="方正仿宋简体"/>
          <w:sz w:val="28"/>
          <w:szCs w:val="28"/>
          <w:lang w:val="en-US" w:eastAsia="zh-CN"/>
        </w:rPr>
        <w:t>4.</w:t>
      </w:r>
      <w:r>
        <w:rPr>
          <w:rFonts w:hint="eastAsia" w:ascii="方正仿宋简体" w:hAnsi="方正仿宋简体" w:eastAsia="方正仿宋简体" w:cs="方正仿宋简体"/>
          <w:sz w:val="28"/>
          <w:szCs w:val="28"/>
        </w:rPr>
        <w:t>负责电力节能管理工作</w:t>
      </w:r>
      <w:r>
        <w:rPr>
          <w:rFonts w:ascii="方正仿宋简体" w:hAnsi="方正仿宋简体" w:eastAsia="方正仿宋简体" w:cs="方正仿宋简体"/>
          <w:sz w:val="28"/>
          <w:szCs w:val="28"/>
        </w:rPr>
        <w:t>。</w:t>
      </w:r>
      <w:bookmarkEnd w:id="184"/>
      <w:bookmarkEnd w:id="185"/>
      <w:bookmarkEnd w:id="186"/>
      <w:bookmarkEnd w:id="187"/>
      <w:bookmarkEnd w:id="188"/>
      <w:bookmarkEnd w:id="189"/>
      <w:bookmarkEnd w:id="190"/>
      <w:bookmarkEnd w:id="19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bookmarkStart w:id="192" w:name="_Toc24865"/>
      <w:bookmarkStart w:id="193" w:name="_Toc16619"/>
      <w:bookmarkStart w:id="194" w:name="_Toc508015394"/>
      <w:bookmarkStart w:id="195" w:name="_Toc508016675"/>
      <w:bookmarkStart w:id="196" w:name="_Toc4111"/>
      <w:bookmarkStart w:id="197" w:name="_Toc19969"/>
      <w:bookmarkStart w:id="198" w:name="_Toc18118"/>
      <w:bookmarkStart w:id="199" w:name="_Toc508012249"/>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sz w:val="28"/>
          <w:szCs w:val="28"/>
        </w:rPr>
        <w:t xml:space="preserve">  站场工作职责</w:t>
      </w:r>
      <w:bookmarkEnd w:id="192"/>
      <w:bookmarkEnd w:id="193"/>
      <w:bookmarkEnd w:id="194"/>
      <w:bookmarkEnd w:id="195"/>
      <w:bookmarkEnd w:id="196"/>
      <w:bookmarkEnd w:id="197"/>
      <w:bookmarkEnd w:id="198"/>
      <w:bookmarkEnd w:id="199"/>
      <w:r>
        <w:rPr>
          <w:rFonts w:hint="eastAsia" w:ascii="方正仿宋简体" w:hAnsi="方正仿宋简体" w:eastAsia="方正仿宋简体" w:cs="方正仿宋简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负责站场内及所管阀室日常电力线路、箱变、UPS及现场电力设备的巡检，及时发现、处理及汇报生产运行中出现的各类电力问题，并及时向调度室汇报。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负责属地范围内电力维修作业的配合、监督等工作。负责日常生产过程中重要电力设备的维护工作。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负责填写所属站场内相关电力基础资料，填写完成后统一上交至</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line="240" w:lineRule="atLeast"/>
        <w:ind w:leftChars="0" w:right="0" w:right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lang w:val="en-US" w:eastAsia="zh-CN"/>
        </w:rPr>
        <w:t xml:space="preserve">第三章  </w:t>
      </w:r>
      <w:r>
        <w:rPr>
          <w:rFonts w:hint="eastAsia" w:ascii="方正黑体简体" w:hAnsi="方正黑体简体" w:eastAsia="方正黑体简体" w:cs="方正黑体简体"/>
          <w:b w:val="0"/>
          <w:bCs w:val="0"/>
          <w:sz w:val="30"/>
          <w:szCs w:val="30"/>
        </w:rPr>
        <w:t>电力设备维修管理</w:t>
      </w:r>
    </w:p>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before="156" w:beforeLines="50" w:after="156" w:afterLines="50" w:line="560" w:lineRule="exact"/>
        <w:ind w:leftChars="0" w:right="-512" w:rightChars="-244"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第八条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为电力设备维修管理部门，站场属地人员在日常巡检和生产中发现电力设备故障问题上报调度室，由生技术部组织</w:t>
      </w:r>
      <w:r>
        <w:rPr>
          <w:rFonts w:hint="eastAsia" w:ascii="方正仿宋简体" w:hAnsi="方正仿宋简体" w:eastAsia="方正仿宋简体" w:cs="方正仿宋简体"/>
          <w:sz w:val="28"/>
          <w:szCs w:val="28"/>
          <w:lang w:eastAsia="zh-CN"/>
        </w:rPr>
        <w:t>生产 保障中心</w:t>
      </w:r>
      <w:r>
        <w:rPr>
          <w:rFonts w:hint="eastAsia" w:ascii="方正仿宋简体" w:hAnsi="方正仿宋简体" w:eastAsia="方正仿宋简体" w:cs="方正仿宋简体"/>
          <w:sz w:val="28"/>
          <w:szCs w:val="28"/>
        </w:rPr>
        <w:t>进行维修。</w:t>
      </w:r>
    </w:p>
    <w:p>
      <w:pPr>
        <w:keepNext w:val="0"/>
        <w:keepLines w:val="0"/>
        <w:pageBreakBefore w:val="0"/>
        <w:widowControl w:val="0"/>
        <w:tabs>
          <w:tab w:val="left" w:pos="918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第九条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 保障中心</w:t>
      </w:r>
      <w:r>
        <w:rPr>
          <w:rFonts w:hint="eastAsia" w:ascii="方正仿宋简体" w:hAnsi="方正仿宋简体" w:eastAsia="方正仿宋简体" w:cs="方正仿宋简体"/>
          <w:sz w:val="28"/>
          <w:szCs w:val="28"/>
        </w:rPr>
        <w:t>负责人接到调度室维修任务后，</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电力技术人员根据现场反应的设备故障情况并分析故障原因，协助</w:t>
      </w:r>
      <w:r>
        <w:rPr>
          <w:rFonts w:hint="eastAsia" w:ascii="方正仿宋简体" w:hAnsi="方正仿宋简体" w:eastAsia="方正仿宋简体" w:cs="方正仿宋简体"/>
          <w:sz w:val="28"/>
          <w:szCs w:val="28"/>
          <w:lang w:eastAsia="zh-CN"/>
        </w:rPr>
        <w:t>生产 保障中心</w:t>
      </w:r>
      <w:r>
        <w:rPr>
          <w:rFonts w:hint="eastAsia" w:ascii="方正仿宋简体" w:hAnsi="方正仿宋简体" w:eastAsia="方正仿宋简体" w:cs="方正仿宋简体"/>
          <w:sz w:val="28"/>
          <w:szCs w:val="28"/>
        </w:rPr>
        <w:t>组织电力维修人员进行工器具、备品备件的准备。</w:t>
      </w:r>
      <w:r>
        <w:rPr>
          <w:rFonts w:hint="eastAsia" w:ascii="方正仿宋简体" w:hAnsi="方正仿宋简体" w:eastAsia="方正仿宋简体" w:cs="方正仿宋简体"/>
          <w:sz w:val="28"/>
          <w:szCs w:val="28"/>
          <w:lang w:eastAsia="zh-CN"/>
        </w:rPr>
        <w:t>生产 保障中心</w:t>
      </w:r>
      <w:r>
        <w:rPr>
          <w:rFonts w:hint="eastAsia" w:ascii="方正仿宋简体" w:hAnsi="方正仿宋简体" w:eastAsia="方正仿宋简体" w:cs="方正仿宋简体"/>
          <w:sz w:val="28"/>
          <w:szCs w:val="28"/>
        </w:rPr>
        <w:t>负责维修工作安排及实施，调度室负责现场协调工作，属地站场负责电力设备维修作业过程的配合和监督。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黑体简体" w:hAnsi="方正黑体简体" w:eastAsia="方正黑体简体" w:cs="方正黑体简体"/>
          <w:sz w:val="30"/>
          <w:szCs w:val="30"/>
        </w:rPr>
      </w:pPr>
      <w:r>
        <w:rPr>
          <w:rFonts w:hint="eastAsia" w:ascii="方正仿宋简体" w:hAnsi="方正仿宋简体" w:eastAsia="方正仿宋简体" w:cs="方正仿宋简体"/>
          <w:b/>
          <w:bCs/>
          <w:sz w:val="28"/>
          <w:szCs w:val="28"/>
        </w:rPr>
        <w:t>第十条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负责变压器低压侧出线端电力设备的维修工作，变压器高压端以上的设备（包括：变压器、高压电力电缆、高压配电柜、架空线路等）由运维单位维修。</w:t>
      </w:r>
    </w:p>
    <w:p>
      <w:pPr>
        <w:numPr>
          <w:ilvl w:val="0"/>
          <w:numId w:val="0"/>
        </w:numPr>
        <w:tabs>
          <w:tab w:val="left" w:pos="720"/>
          <w:tab w:val="left" w:pos="3420"/>
        </w:tabs>
        <w:spacing w:before="156" w:beforeLines="50" w:after="156" w:afterLines="50" w:line="560" w:lineRule="exact"/>
        <w:ind w:leftChars="0" w:right="-512" w:rightChars="-244"/>
        <w:jc w:val="both"/>
        <w:rPr>
          <w:rFonts w:hint="eastAsia" w:ascii="方正黑体简体" w:hAnsi="方正黑体简体" w:eastAsia="方正黑体简体" w:cs="方正黑体简体"/>
          <w:b w:val="0"/>
          <w:bCs w:val="0"/>
          <w:sz w:val="30"/>
          <w:szCs w:val="30"/>
        </w:rPr>
      </w:pPr>
    </w:p>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line="240" w:lineRule="atLeast"/>
        <w:ind w:leftChars="0" w:right="0" w:right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lang w:eastAsia="zh-CN"/>
        </w:rPr>
        <w:t>第四章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电力设备巡检维护管理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站场箱变、UPS等电电力设备的日常巡检和管理由属地站场负责，</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负责月度电力设备安全大检查、隐患整改、维修工作。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第十二条 </w:t>
      </w:r>
      <w:r>
        <w:rPr>
          <w:rFonts w:hint="eastAsia" w:ascii="方正仿宋简体" w:hAnsi="方正仿宋简体" w:eastAsia="方正仿宋简体" w:cs="方正仿宋简体"/>
          <w:sz w:val="28"/>
          <w:szCs w:val="28"/>
        </w:rPr>
        <w:t xml:space="preserve"> 站场箱变、UPS的检查一天一次，由属地站场持有电工证的人员负责，检查内容如下：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高压环网柜(增压站)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（1）柜体：无变形、脏污；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（2）柜门：无开启、缝隙；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（3）柜顶：无异物、渗漏；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（4）观察窗：玻璃无破损；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（5）带电显示装置：循环闪烁，显示正常;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（6）SF6气体压力表是否在蓝色区间；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变压器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（1）运行声音有无异常，运行温度是否正常；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（2）各部分有无渗漏油现象；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（3）接地是否完好；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（4）各项电流是否超过额定值，三相电流不平衡情况是否严重；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（5）周围是否有无不利于安全运行的情况；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低压配电屏、柜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（1）屏（柜）内部器件是否完好，有无损坏；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（2）屏（柜）内部有无过热的设备及异常气味；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（3）导线与设备元件的连接是否可靠，紧密；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（4）检查各种仪表及指示灯是否完好；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（5）屏（柜）外壳接地是否良好；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UPS电源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（1）电压、电流是否正常，工作和故障指示灯运行状况；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（2）运行状态是否正常，有无故障报警；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（3）开关、接触器件是否可靠，所有连接处是否紧固，有无松动，接线是否良好；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（4）机房是否达到环境要求：防渗漏、防小动物、防潮、防尘；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（5）蓄电池的外观：电解液是否泄漏，限压阀是否正常；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发电机（高坪站）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（1）各旋转件链接螺栓是否松动、接地是否牢固；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（2）汽油、机油、冷却液及减速箱齿轮油的液位是否满足启动条件；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（3）蓄电池电压是否正常；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（4）电力电缆连接是否可靠；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（5）进排风通道是否畅通；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第十三条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站场UPS电源放电维护由属地人员负责，放电前需经</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同意保证站场平稳生产的条件下进行，定期(三个月)人为中断供电，使UPS带负载放电，在逆变状态下工作，在放电试验中，以放电达到电池总容量的30～50％为宜。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发电机维护由属地人员负责，发电机操作必须严格按照相关操作规程操作，发电机应每半月启动一次，并运转半小时，检查发电机启动及运行情况，检查各运行参数是否正常，确保设备的完好性、可靠性、随时处于良好状态。</w:t>
      </w:r>
      <w:bookmarkStart w:id="200" w:name="_Toc334516783"/>
    </w:p>
    <w:p>
      <w:pPr>
        <w:tabs>
          <w:tab w:val="left" w:pos="720"/>
          <w:tab w:val="left" w:pos="3420"/>
        </w:tabs>
        <w:spacing w:before="156" w:beforeLines="50" w:after="156" w:afterLines="50" w:line="560" w:lineRule="exact"/>
        <w:ind w:right="-512" w:rightChars="-244"/>
        <w:jc w:val="center"/>
        <w:rPr>
          <w:rFonts w:hint="eastAsia" w:ascii="方正黑体简体" w:hAnsi="方正黑体简体" w:eastAsia="方正黑体简体" w:cs="方正黑体简体"/>
          <w:sz w:val="30"/>
          <w:szCs w:val="30"/>
        </w:rPr>
      </w:pPr>
    </w:p>
    <w:p>
      <w:pPr>
        <w:keepNext w:val="0"/>
        <w:keepLines w:val="0"/>
        <w:pageBreakBefore w:val="0"/>
        <w:widowControl w:val="0"/>
        <w:numPr>
          <w:ilvl w:val="0"/>
          <w:numId w:val="0"/>
        </w:numPr>
        <w:tabs>
          <w:tab w:val="left" w:pos="720"/>
          <w:tab w:val="left" w:pos="3420"/>
        </w:tabs>
        <w:kinsoku/>
        <w:wordWrap/>
        <w:overflowPunct/>
        <w:topLinePunct w:val="0"/>
        <w:autoSpaceDE/>
        <w:autoSpaceDN/>
        <w:bidi w:val="0"/>
        <w:adjustRightInd/>
        <w:snapToGrid/>
        <w:spacing w:line="240" w:lineRule="atLeast"/>
        <w:ind w:leftChars="0" w:right="0" w:right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lang w:val="en-US" w:eastAsia="zh-CN"/>
        </w:rPr>
        <w:t xml:space="preserve">第五章  </w:t>
      </w:r>
      <w:r>
        <w:rPr>
          <w:rFonts w:hint="eastAsia" w:ascii="方正黑体简体" w:hAnsi="方正黑体简体" w:eastAsia="方正黑体简体" w:cs="方正黑体简体"/>
          <w:b w:val="0"/>
          <w:bCs w:val="0"/>
          <w:sz w:val="30"/>
          <w:szCs w:val="30"/>
        </w:rPr>
        <w:t>临时用电管理</w:t>
      </w:r>
      <w:bookmarkEnd w:id="200"/>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 xml:space="preserve">第十五条 </w:t>
      </w:r>
      <w:r>
        <w:rPr>
          <w:rFonts w:hint="eastAsia" w:ascii="方正仿宋简体" w:hAnsi="方正仿宋简体" w:eastAsia="方正仿宋简体" w:cs="方正仿宋简体"/>
          <w:szCs w:val="28"/>
        </w:rPr>
        <w:t xml:space="preserve"> 公司（含施工单位）的临时用电必须严格执行《施工现场临时用电安全技术规范》、《中国石油天然气集团公司炼油化工企业临时用电安全管理规定》等技术规范和规章制度以及《西南油气田分公司临时用电作业安全管理规定》等安全管理规定。</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第十六条</w:t>
      </w:r>
      <w:r>
        <w:rPr>
          <w:rFonts w:hint="eastAsia" w:ascii="方正仿宋简体" w:hAnsi="方正仿宋简体" w:eastAsia="方正仿宋简体" w:cs="方正仿宋简体"/>
          <w:b/>
          <w:szCs w:val="28"/>
        </w:rPr>
        <w:t xml:space="preserve"> </w:t>
      </w:r>
      <w:r>
        <w:rPr>
          <w:rFonts w:hint="eastAsia" w:ascii="方正仿宋简体" w:hAnsi="方正仿宋简体" w:eastAsia="方正仿宋简体" w:cs="方正仿宋简体"/>
          <w:szCs w:val="28"/>
        </w:rPr>
        <w:t xml:space="preserve"> </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负责公司站场临时用电管理，</w:t>
      </w:r>
      <w:r>
        <w:rPr>
          <w:rFonts w:hint="eastAsia" w:ascii="方正仿宋简体" w:hAnsi="方正仿宋简体" w:eastAsia="方正仿宋简体" w:cs="方正仿宋简体"/>
          <w:szCs w:val="28"/>
          <w:lang w:eastAsia="zh-CN"/>
        </w:rPr>
        <w:t>质量安全环保部</w:t>
      </w:r>
      <w:r>
        <w:rPr>
          <w:rFonts w:hint="eastAsia" w:ascii="方正仿宋简体" w:hAnsi="方正仿宋简体" w:eastAsia="方正仿宋简体" w:cs="方正仿宋简体"/>
          <w:szCs w:val="28"/>
        </w:rPr>
        <w:t>负责公司站场临时用电安全监督。</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 xml:space="preserve">第十七条 </w:t>
      </w:r>
      <w:r>
        <w:rPr>
          <w:rFonts w:hint="eastAsia" w:ascii="方正仿宋简体" w:hAnsi="方正仿宋简体" w:eastAsia="方正仿宋简体" w:cs="方正仿宋简体"/>
          <w:szCs w:val="28"/>
        </w:rPr>
        <w:t xml:space="preserve"> 临时用电流程如下：施工单位需要用电时向公司</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提出申请办理作业票证，经批公司</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现场检查具备搭伙条件批准后由维修电工进行接线，严禁各施工单位私拉电线、私接用电设备，如有违反规定的，公司将视情况的严重情况处以罚款，造成的事故责任完全由私拉电线、私接设备的施工单位和施工人员负全部责任，施工用电完毕后，施工用电单位必须通知公司，由公司维修电工和施工单位一起进行拆线。</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第十八条</w:t>
      </w:r>
      <w:r>
        <w:rPr>
          <w:rFonts w:hint="eastAsia" w:ascii="方正仿宋简体" w:hAnsi="方正仿宋简体" w:eastAsia="方正仿宋简体" w:cs="方正仿宋简体"/>
          <w:szCs w:val="28"/>
        </w:rPr>
        <w:t xml:space="preserve">  公司内的临时用电，由施工作业单位填写“临时用电作业票”并编制临时用电施工方案、应急预案或临时用电施工组织设计，但用电负荷在50KW及以上临时用电需上报川港公司审批；用电负荷小于50KW的临时用电由公司自行审批。</w:t>
      </w:r>
    </w:p>
    <w:p>
      <w:pPr>
        <w:tabs>
          <w:tab w:val="left" w:pos="720"/>
          <w:tab w:val="left" w:pos="3420"/>
        </w:tabs>
        <w:spacing w:before="156" w:beforeLines="50" w:after="156" w:afterLines="50" w:line="560" w:lineRule="exact"/>
        <w:ind w:right="-512" w:rightChars="-244"/>
        <w:jc w:val="center"/>
        <w:rPr>
          <w:rFonts w:hint="eastAsia" w:ascii="方正黑体简体" w:hAnsi="方正黑体简体" w:eastAsia="方正黑体简体" w:cs="方正黑体简体"/>
          <w:sz w:val="30"/>
          <w:szCs w:val="30"/>
        </w:rPr>
      </w:pPr>
      <w:bookmarkStart w:id="201" w:name="_Toc334516785"/>
    </w:p>
    <w:p>
      <w:pPr>
        <w:keepNext w:val="0"/>
        <w:keepLines w:val="0"/>
        <w:pageBreakBefore w:val="0"/>
        <w:widowControl w:val="0"/>
        <w:tabs>
          <w:tab w:val="left" w:pos="720"/>
          <w:tab w:val="left" w:pos="3420"/>
        </w:tabs>
        <w:kinsoku/>
        <w:wordWrap/>
        <w:overflowPunct/>
        <w:topLinePunct w:val="0"/>
        <w:autoSpaceDE/>
        <w:autoSpaceDN/>
        <w:bidi w:val="0"/>
        <w:adjustRightInd/>
        <w:snapToGrid/>
        <w:spacing w:line="240" w:lineRule="atLeast"/>
        <w:ind w:right="0" w:rightChars="0"/>
        <w:jc w:val="center"/>
        <w:textAlignment w:val="auto"/>
        <w:outlineLvl w:val="9"/>
        <w:rPr>
          <w:rFonts w:hint="eastAsia" w:ascii="方正黑体简体" w:hAnsi="方正黑体简体" w:eastAsia="方正黑体简体" w:cs="方正黑体简体"/>
          <w:b/>
          <w:bCs/>
          <w:sz w:val="30"/>
          <w:szCs w:val="30"/>
        </w:rPr>
      </w:pPr>
      <w:r>
        <w:rPr>
          <w:rFonts w:hint="eastAsia" w:ascii="方正黑体简体" w:hAnsi="方正黑体简体" w:eastAsia="方正黑体简体" w:cs="方正黑体简体"/>
          <w:b w:val="0"/>
          <w:bCs w:val="0"/>
          <w:sz w:val="30"/>
          <w:szCs w:val="30"/>
        </w:rPr>
        <w:t xml:space="preserve">第六章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附</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bookmarkEnd w:id="201"/>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第十九条</w:t>
      </w:r>
      <w:r>
        <w:rPr>
          <w:rFonts w:hint="eastAsia" w:ascii="方正仿宋简体" w:hAnsi="方正仿宋简体" w:eastAsia="方正仿宋简体" w:cs="方正仿宋简体"/>
          <w:szCs w:val="28"/>
        </w:rPr>
        <w:t xml:space="preserve">  本办法由公司</w:t>
      </w:r>
      <w:r>
        <w:rPr>
          <w:rFonts w:hint="eastAsia" w:ascii="方正仿宋简体" w:hAnsi="方正仿宋简体" w:eastAsia="方正仿宋简体" w:cs="方正仿宋简体"/>
          <w:szCs w:val="28"/>
          <w:lang w:eastAsia="zh-CN"/>
        </w:rPr>
        <w:t>生产运行部</w:t>
      </w:r>
      <w:r>
        <w:rPr>
          <w:rFonts w:hint="eastAsia" w:ascii="方正仿宋简体" w:hAnsi="方正仿宋简体" w:eastAsia="方正仿宋简体" w:cs="方正仿宋简体"/>
          <w:szCs w:val="28"/>
        </w:rPr>
        <w:t>负责解释。</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Cs w:val="28"/>
        </w:rPr>
      </w:pPr>
      <w:r>
        <w:rPr>
          <w:rFonts w:hint="eastAsia" w:ascii="方正仿宋简体" w:hAnsi="方正仿宋简体" w:eastAsia="方正仿宋简体" w:cs="方正仿宋简体"/>
          <w:b/>
          <w:bCs/>
          <w:szCs w:val="28"/>
        </w:rPr>
        <w:t>第二十条</w:t>
      </w:r>
      <w:r>
        <w:rPr>
          <w:rFonts w:hint="eastAsia" w:ascii="方正仿宋简体" w:hAnsi="方正仿宋简体" w:eastAsia="方正仿宋简体" w:cs="方正仿宋简体"/>
          <w:b/>
          <w:szCs w:val="28"/>
        </w:rPr>
        <w:t xml:space="preserve">  </w:t>
      </w:r>
      <w:r>
        <w:rPr>
          <w:rFonts w:hint="eastAsia" w:ascii="方正仿宋简体" w:hAnsi="方正仿宋简体" w:eastAsia="方正仿宋简体" w:cs="方正仿宋简体"/>
          <w:szCs w:val="28"/>
        </w:rPr>
        <w:t>本办法自发布之日起生效</w:t>
      </w:r>
      <w:bookmarkStart w:id="202" w:name="_Toc199650965"/>
      <w:r>
        <w:rPr>
          <w:rFonts w:hint="eastAsia" w:ascii="方正仿宋简体" w:hAnsi="方正仿宋简体" w:eastAsia="方正仿宋简体" w:cs="方正仿宋简体"/>
          <w:szCs w:val="28"/>
        </w:rPr>
        <w:t>。</w:t>
      </w:r>
    </w:p>
    <w:p>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Cs w:val="28"/>
        </w:rPr>
        <w:sectPr>
          <w:footerReference r:id="rId6" w:type="default"/>
          <w:pgSz w:w="11906" w:h="16838"/>
          <w:pgMar w:top="1440" w:right="164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202"/>
    <w:p>
      <w:pPr>
        <w:bidi w:val="0"/>
        <w:outlineLvl w:val="9"/>
        <w:rPr>
          <w:rFonts w:hint="eastAsia"/>
        </w:rPr>
      </w:pPr>
      <w:bookmarkStart w:id="203" w:name="_Toc334516786"/>
      <w:bookmarkStart w:id="204" w:name="_Toc508012250"/>
      <w:bookmarkStart w:id="205" w:name="_Toc6386"/>
      <w:bookmarkStart w:id="206" w:name="_Toc508015395"/>
      <w:bookmarkStart w:id="207" w:name="_Toc19772"/>
      <w:bookmarkStart w:id="208" w:name="_Toc508016676"/>
      <w:bookmarkStart w:id="209" w:name="_Toc12662"/>
      <w:r>
        <w:rPr>
          <w:rFonts w:hint="eastAsia" w:ascii="方正黑体简体" w:hAnsi="方正黑体简体" w:eastAsia="方正黑体简体" w:cs="方正黑体简体"/>
          <w:sz w:val="32"/>
          <w:szCs w:val="32"/>
        </w:rPr>
        <w:t>附表</w:t>
      </w:r>
      <w:bookmarkEnd w:id="203"/>
      <w:r>
        <w:rPr>
          <w:rFonts w:hint="eastAsia" w:ascii="方正黑体简体" w:hAnsi="方正黑体简体" w:eastAsia="方正黑体简体" w:cs="方正黑体简体"/>
          <w:sz w:val="32"/>
          <w:szCs w:val="32"/>
        </w:rPr>
        <w:t>1</w:t>
      </w:r>
      <w:bookmarkEnd w:id="204"/>
      <w:bookmarkEnd w:id="205"/>
      <w:bookmarkEnd w:id="206"/>
      <w:bookmarkEnd w:id="207"/>
      <w:bookmarkEnd w:id="208"/>
      <w:bookmarkEnd w:id="209"/>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中油南充燃气有限公司站场UPS放电记录表</w:t>
      </w:r>
    </w:p>
    <w:p>
      <w:pPr>
        <w:bidi w:val="0"/>
        <w:outlineLvl w:val="9"/>
        <w:rPr>
          <w:rFonts w:hint="eastAsia"/>
        </w:rPr>
      </w:pPr>
    </w:p>
    <w:p>
      <w:pPr>
        <w:ind w:firstLine="280" w:firstLineChars="100"/>
        <w:rPr>
          <w:rFonts w:hint="eastAsia"/>
          <w:sz w:val="28"/>
          <w:szCs w:val="28"/>
        </w:rPr>
      </w:pPr>
      <w:r>
        <w:rPr>
          <w:rFonts w:hint="eastAsia"/>
          <w:sz w:val="28"/>
          <w:szCs w:val="28"/>
        </w:rPr>
        <w:t xml:space="preserve">站场：                 记录人：           </w:t>
      </w:r>
      <w:r>
        <w:rPr>
          <w:rFonts w:hint="eastAsia"/>
          <w:sz w:val="28"/>
          <w:szCs w:val="28"/>
          <w:lang w:val="en-US" w:eastAsia="zh-CN"/>
        </w:rPr>
        <w:t xml:space="preserve">     </w:t>
      </w:r>
      <w:r>
        <w:rPr>
          <w:rFonts w:hint="eastAsia"/>
          <w:sz w:val="28"/>
          <w:szCs w:val="28"/>
        </w:rPr>
        <w:t xml:space="preserve"> 年   月    日</w:t>
      </w:r>
    </w:p>
    <w:tbl>
      <w:tblPr>
        <w:tblStyle w:val="51"/>
        <w:tblW w:w="8741" w:type="dxa"/>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296"/>
        <w:gridCol w:w="2904"/>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1309" w:type="dxa"/>
            <w:vAlign w:val="center"/>
          </w:tcPr>
          <w:p>
            <w:pPr>
              <w:jc w:val="center"/>
              <w:rPr>
                <w:rFonts w:hint="eastAsia" w:ascii="宋体" w:hAnsi="宋体"/>
                <w:sz w:val="24"/>
              </w:rPr>
            </w:pPr>
            <w:r>
              <w:rPr>
                <w:rFonts w:hint="eastAsia" w:ascii="宋体" w:hAnsi="宋体"/>
                <w:sz w:val="24"/>
              </w:rPr>
              <w:t>序号</w:t>
            </w:r>
          </w:p>
        </w:tc>
        <w:tc>
          <w:tcPr>
            <w:tcW w:w="2296" w:type="dxa"/>
            <w:vAlign w:val="center"/>
          </w:tcPr>
          <w:p>
            <w:pPr>
              <w:jc w:val="center"/>
              <w:rPr>
                <w:rFonts w:hint="eastAsia" w:ascii="宋体" w:hAnsi="宋体"/>
                <w:sz w:val="24"/>
              </w:rPr>
            </w:pPr>
            <w:r>
              <w:rPr>
                <w:rFonts w:hint="eastAsia" w:ascii="宋体" w:hAnsi="宋体"/>
                <w:sz w:val="24"/>
              </w:rPr>
              <w:t>记录时间</w:t>
            </w:r>
          </w:p>
        </w:tc>
        <w:tc>
          <w:tcPr>
            <w:tcW w:w="2904" w:type="dxa"/>
            <w:vAlign w:val="center"/>
          </w:tcPr>
          <w:p>
            <w:pPr>
              <w:ind w:firstLine="240" w:firstLineChars="100"/>
              <w:jc w:val="center"/>
              <w:rPr>
                <w:rFonts w:hint="eastAsia" w:ascii="宋体" w:hAnsi="宋体"/>
                <w:sz w:val="24"/>
              </w:rPr>
            </w:pPr>
            <w:r>
              <w:rPr>
                <w:rFonts w:hint="eastAsia" w:ascii="宋体" w:hAnsi="宋体"/>
                <w:sz w:val="24"/>
              </w:rPr>
              <w:t>电池放电电压（V）</w:t>
            </w:r>
          </w:p>
        </w:tc>
        <w:tc>
          <w:tcPr>
            <w:tcW w:w="2232" w:type="dxa"/>
            <w:vAlign w:val="center"/>
          </w:tcPr>
          <w:p>
            <w:pPr>
              <w:jc w:val="center"/>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309" w:type="dxa"/>
            <w:vAlign w:val="center"/>
          </w:tcPr>
          <w:p>
            <w:pPr>
              <w:jc w:val="center"/>
              <w:rPr>
                <w:rFonts w:hint="eastAsia" w:ascii="宋体" w:hAnsi="宋体"/>
                <w:sz w:val="28"/>
                <w:szCs w:val="28"/>
              </w:rPr>
            </w:pPr>
          </w:p>
        </w:tc>
        <w:tc>
          <w:tcPr>
            <w:tcW w:w="2296" w:type="dxa"/>
            <w:vAlign w:val="center"/>
          </w:tcPr>
          <w:p>
            <w:pPr>
              <w:jc w:val="center"/>
              <w:rPr>
                <w:rFonts w:hint="eastAsia" w:ascii="宋体" w:hAnsi="宋体"/>
                <w:sz w:val="28"/>
                <w:szCs w:val="28"/>
              </w:rPr>
            </w:pPr>
          </w:p>
        </w:tc>
        <w:tc>
          <w:tcPr>
            <w:tcW w:w="2904" w:type="dxa"/>
            <w:vAlign w:val="center"/>
          </w:tcPr>
          <w:p>
            <w:pPr>
              <w:jc w:val="center"/>
              <w:rPr>
                <w:rFonts w:hint="eastAsia" w:ascii="宋体" w:hAnsi="宋体"/>
                <w:sz w:val="28"/>
                <w:szCs w:val="28"/>
              </w:rPr>
            </w:pPr>
          </w:p>
        </w:tc>
        <w:tc>
          <w:tcPr>
            <w:tcW w:w="2232"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309" w:type="dxa"/>
            <w:vAlign w:val="center"/>
          </w:tcPr>
          <w:p>
            <w:pPr>
              <w:jc w:val="center"/>
              <w:rPr>
                <w:rFonts w:hint="eastAsia" w:ascii="宋体" w:hAnsi="宋体"/>
                <w:sz w:val="28"/>
                <w:szCs w:val="28"/>
              </w:rPr>
            </w:pPr>
          </w:p>
        </w:tc>
        <w:tc>
          <w:tcPr>
            <w:tcW w:w="2296" w:type="dxa"/>
            <w:vAlign w:val="center"/>
          </w:tcPr>
          <w:p>
            <w:pPr>
              <w:jc w:val="center"/>
              <w:rPr>
                <w:rFonts w:hint="eastAsia" w:ascii="宋体" w:hAnsi="宋体"/>
                <w:sz w:val="28"/>
                <w:szCs w:val="28"/>
              </w:rPr>
            </w:pPr>
          </w:p>
        </w:tc>
        <w:tc>
          <w:tcPr>
            <w:tcW w:w="2904" w:type="dxa"/>
            <w:vAlign w:val="center"/>
          </w:tcPr>
          <w:p>
            <w:pPr>
              <w:jc w:val="center"/>
              <w:rPr>
                <w:rFonts w:hint="eastAsia" w:ascii="宋体" w:hAnsi="宋体"/>
                <w:sz w:val="28"/>
                <w:szCs w:val="28"/>
              </w:rPr>
            </w:pPr>
          </w:p>
        </w:tc>
        <w:tc>
          <w:tcPr>
            <w:tcW w:w="2232"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vAlign w:val="center"/>
          </w:tcPr>
          <w:p>
            <w:pPr>
              <w:jc w:val="center"/>
              <w:rPr>
                <w:rFonts w:hint="eastAsia" w:ascii="宋体" w:hAnsi="宋体"/>
                <w:sz w:val="28"/>
                <w:szCs w:val="28"/>
              </w:rPr>
            </w:pPr>
          </w:p>
        </w:tc>
        <w:tc>
          <w:tcPr>
            <w:tcW w:w="2296" w:type="dxa"/>
            <w:vAlign w:val="center"/>
          </w:tcPr>
          <w:p>
            <w:pPr>
              <w:jc w:val="center"/>
              <w:rPr>
                <w:rFonts w:hint="eastAsia" w:ascii="宋体" w:hAnsi="宋体"/>
                <w:sz w:val="28"/>
                <w:szCs w:val="28"/>
              </w:rPr>
            </w:pPr>
          </w:p>
        </w:tc>
        <w:tc>
          <w:tcPr>
            <w:tcW w:w="2904" w:type="dxa"/>
            <w:vAlign w:val="center"/>
          </w:tcPr>
          <w:p>
            <w:pPr>
              <w:jc w:val="center"/>
              <w:rPr>
                <w:rFonts w:hint="eastAsia" w:ascii="宋体" w:hAnsi="宋体"/>
                <w:sz w:val="28"/>
                <w:szCs w:val="28"/>
              </w:rPr>
            </w:pPr>
          </w:p>
        </w:tc>
        <w:tc>
          <w:tcPr>
            <w:tcW w:w="2232"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9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2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bl>
    <w:p>
      <w:pPr>
        <w:rPr>
          <w:rFonts w:hint="eastAsia"/>
        </w:rPr>
      </w:pPr>
    </w:p>
    <w:p>
      <w:pPr>
        <w:rPr>
          <w:rFonts w:hint="eastAsia" w:ascii="Times New Roman" w:hAnsi="Times New Roman" w:eastAsia="宋体" w:cs="Times New Roman"/>
          <w:b w:val="0"/>
          <w:bCs w:val="0"/>
          <w:kern w:val="2"/>
          <w:sz w:val="21"/>
          <w:szCs w:val="22"/>
          <w:lang w:val="en-US" w:eastAsia="zh-CN" w:bidi="ar-SA"/>
        </w:rPr>
      </w:pPr>
      <w:r>
        <w:rPr>
          <w:rFonts w:hint="eastAsia"/>
        </w:rPr>
        <w:t>备注：UPS放电要求属地人员每隔半小时记录电池电压，如有异常及时上报调度室。</w:t>
      </w:r>
    </w:p>
    <w:p>
      <w:pPr>
        <w:rPr>
          <w:rFonts w:hint="eastAsia" w:ascii="方正黑体简体" w:hAnsi="方正黑体简体" w:eastAsia="方正黑体简体" w:cs="方正黑体简体"/>
          <w:b w:val="0"/>
          <w:bCs w:val="0"/>
          <w:kern w:val="2"/>
          <w:sz w:val="32"/>
          <w:szCs w:val="32"/>
          <w:lang w:val="en-US" w:eastAsia="zh-CN" w:bidi="ar-SA"/>
        </w:rPr>
      </w:pPr>
      <w:r>
        <w:rPr>
          <w:rFonts w:hint="eastAsia" w:ascii="方正黑体简体" w:hAnsi="方正黑体简体" w:eastAsia="方正黑体简体" w:cs="方正黑体简体"/>
          <w:b w:val="0"/>
          <w:bCs w:val="0"/>
          <w:kern w:val="2"/>
          <w:sz w:val="32"/>
          <w:szCs w:val="32"/>
          <w:lang w:val="en-US" w:eastAsia="zh-CN" w:bidi="ar-SA"/>
        </w:rPr>
        <w:t>附表2  中油南充燃气有限责任公司月度电量统计表</w:t>
      </w:r>
    </w:p>
    <w:p>
      <w:pPr>
        <w:ind w:firstLine="280" w:firstLineChars="100"/>
        <w:rPr>
          <w:rFonts w:hint="eastAsia" w:ascii="Times New Roman" w:hAnsi="Times New Roman" w:eastAsia="宋体" w:cs="Times New Roman"/>
          <w:b w:val="0"/>
          <w:bCs w:val="0"/>
          <w:kern w:val="2"/>
          <w:sz w:val="21"/>
          <w:szCs w:val="22"/>
          <w:lang w:val="en-US" w:eastAsia="zh-CN" w:bidi="ar-SA"/>
        </w:rPr>
      </w:pPr>
      <w:r>
        <w:rPr>
          <w:rFonts w:hint="eastAsia"/>
          <w:sz w:val="28"/>
          <w:szCs w:val="28"/>
        </w:rPr>
        <w:t>站场：                                记录人：</w:t>
      </w:r>
    </w:p>
    <w:tbl>
      <w:tblPr>
        <w:tblStyle w:val="51"/>
        <w:tblW w:w="8729" w:type="dxa"/>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680"/>
        <w:gridCol w:w="1596"/>
        <w:gridCol w:w="1848"/>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1109" w:type="dxa"/>
            <w:vAlign w:val="center"/>
          </w:tcPr>
          <w:p>
            <w:pPr>
              <w:jc w:val="center"/>
              <w:rPr>
                <w:rFonts w:hint="eastAsia" w:ascii="宋体" w:hAnsi="宋体"/>
                <w:sz w:val="24"/>
              </w:rPr>
            </w:pPr>
            <w:r>
              <w:rPr>
                <w:rFonts w:hint="eastAsia" w:ascii="宋体" w:hAnsi="宋体"/>
                <w:sz w:val="24"/>
              </w:rPr>
              <w:t>序号</w:t>
            </w:r>
          </w:p>
        </w:tc>
        <w:tc>
          <w:tcPr>
            <w:tcW w:w="1680" w:type="dxa"/>
            <w:vAlign w:val="center"/>
          </w:tcPr>
          <w:p>
            <w:pPr>
              <w:jc w:val="center"/>
              <w:rPr>
                <w:rFonts w:hint="eastAsia" w:ascii="宋体" w:hAnsi="宋体"/>
                <w:sz w:val="24"/>
              </w:rPr>
            </w:pPr>
            <w:r>
              <w:rPr>
                <w:rFonts w:hint="eastAsia" w:ascii="宋体" w:hAnsi="宋体"/>
                <w:sz w:val="24"/>
              </w:rPr>
              <w:t>记录时间</w:t>
            </w:r>
          </w:p>
        </w:tc>
        <w:tc>
          <w:tcPr>
            <w:tcW w:w="1596" w:type="dxa"/>
            <w:vAlign w:val="center"/>
          </w:tcPr>
          <w:p>
            <w:pPr>
              <w:ind w:firstLine="240" w:firstLineChars="100"/>
              <w:jc w:val="center"/>
              <w:rPr>
                <w:rFonts w:hint="eastAsia" w:ascii="宋体" w:hAnsi="宋体"/>
                <w:sz w:val="24"/>
              </w:rPr>
            </w:pPr>
            <w:r>
              <w:rPr>
                <w:rFonts w:hint="eastAsia" w:ascii="宋体" w:hAnsi="宋体"/>
                <w:sz w:val="24"/>
              </w:rPr>
              <w:t>上月读数</w:t>
            </w:r>
          </w:p>
        </w:tc>
        <w:tc>
          <w:tcPr>
            <w:tcW w:w="1848" w:type="dxa"/>
            <w:vAlign w:val="center"/>
          </w:tcPr>
          <w:p>
            <w:pPr>
              <w:jc w:val="center"/>
              <w:rPr>
                <w:rFonts w:hint="eastAsia" w:ascii="宋体" w:hAnsi="宋体"/>
                <w:sz w:val="24"/>
              </w:rPr>
            </w:pPr>
            <w:r>
              <w:rPr>
                <w:rFonts w:hint="eastAsia" w:ascii="宋体" w:hAnsi="宋体"/>
                <w:sz w:val="24"/>
              </w:rPr>
              <w:t>本月读数</w:t>
            </w:r>
          </w:p>
        </w:tc>
        <w:tc>
          <w:tcPr>
            <w:tcW w:w="2496" w:type="dxa"/>
            <w:vAlign w:val="center"/>
          </w:tcPr>
          <w:p>
            <w:pPr>
              <w:jc w:val="center"/>
              <w:rPr>
                <w:rFonts w:hint="eastAsia" w:ascii="宋体" w:hAnsi="宋体"/>
                <w:sz w:val="24"/>
              </w:rPr>
            </w:pPr>
            <w:r>
              <w:rPr>
                <w:rFonts w:hint="eastAsia" w:ascii="宋体" w:hAnsi="宋体"/>
                <w:sz w:val="24"/>
              </w:rPr>
              <w:t>实际用电量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109" w:type="dxa"/>
            <w:vAlign w:val="center"/>
          </w:tcPr>
          <w:p>
            <w:pPr>
              <w:jc w:val="center"/>
              <w:rPr>
                <w:rFonts w:hint="eastAsia" w:ascii="宋体" w:hAnsi="宋体"/>
                <w:sz w:val="28"/>
                <w:szCs w:val="28"/>
              </w:rPr>
            </w:pPr>
          </w:p>
        </w:tc>
        <w:tc>
          <w:tcPr>
            <w:tcW w:w="1680" w:type="dxa"/>
            <w:vAlign w:val="center"/>
          </w:tcPr>
          <w:p>
            <w:pPr>
              <w:jc w:val="center"/>
              <w:rPr>
                <w:rFonts w:hint="eastAsia" w:ascii="宋体" w:hAnsi="宋体"/>
                <w:sz w:val="28"/>
                <w:szCs w:val="28"/>
              </w:rPr>
            </w:pPr>
          </w:p>
        </w:tc>
        <w:tc>
          <w:tcPr>
            <w:tcW w:w="1596" w:type="dxa"/>
            <w:vAlign w:val="center"/>
          </w:tcPr>
          <w:p>
            <w:pPr>
              <w:jc w:val="center"/>
              <w:rPr>
                <w:rFonts w:hint="eastAsia" w:ascii="宋体" w:hAnsi="宋体"/>
                <w:sz w:val="28"/>
                <w:szCs w:val="28"/>
              </w:rPr>
            </w:pPr>
          </w:p>
        </w:tc>
        <w:tc>
          <w:tcPr>
            <w:tcW w:w="1848" w:type="dxa"/>
            <w:vAlign w:val="center"/>
          </w:tcPr>
          <w:p>
            <w:pPr>
              <w:jc w:val="center"/>
              <w:rPr>
                <w:rFonts w:hint="eastAsia" w:ascii="宋体" w:hAnsi="宋体"/>
                <w:sz w:val="28"/>
                <w:szCs w:val="28"/>
              </w:rPr>
            </w:pPr>
          </w:p>
        </w:tc>
        <w:tc>
          <w:tcPr>
            <w:tcW w:w="2496"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109" w:type="dxa"/>
            <w:vAlign w:val="center"/>
          </w:tcPr>
          <w:p>
            <w:pPr>
              <w:jc w:val="center"/>
              <w:rPr>
                <w:rFonts w:hint="eastAsia" w:ascii="宋体" w:hAnsi="宋体"/>
                <w:sz w:val="28"/>
                <w:szCs w:val="28"/>
              </w:rPr>
            </w:pPr>
          </w:p>
        </w:tc>
        <w:tc>
          <w:tcPr>
            <w:tcW w:w="1680" w:type="dxa"/>
            <w:vAlign w:val="center"/>
          </w:tcPr>
          <w:p>
            <w:pPr>
              <w:jc w:val="center"/>
              <w:rPr>
                <w:rFonts w:hint="eastAsia" w:ascii="宋体" w:hAnsi="宋体"/>
                <w:sz w:val="28"/>
                <w:szCs w:val="28"/>
              </w:rPr>
            </w:pPr>
          </w:p>
        </w:tc>
        <w:tc>
          <w:tcPr>
            <w:tcW w:w="1596" w:type="dxa"/>
            <w:vAlign w:val="center"/>
          </w:tcPr>
          <w:p>
            <w:pPr>
              <w:jc w:val="center"/>
              <w:rPr>
                <w:rFonts w:hint="eastAsia" w:ascii="宋体" w:hAnsi="宋体"/>
                <w:sz w:val="28"/>
                <w:szCs w:val="28"/>
              </w:rPr>
            </w:pPr>
          </w:p>
        </w:tc>
        <w:tc>
          <w:tcPr>
            <w:tcW w:w="1848" w:type="dxa"/>
            <w:vAlign w:val="center"/>
          </w:tcPr>
          <w:p>
            <w:pPr>
              <w:jc w:val="center"/>
              <w:rPr>
                <w:rFonts w:hint="eastAsia" w:ascii="宋体" w:hAnsi="宋体"/>
                <w:sz w:val="28"/>
                <w:szCs w:val="28"/>
              </w:rPr>
            </w:pPr>
          </w:p>
        </w:tc>
        <w:tc>
          <w:tcPr>
            <w:tcW w:w="2496"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vAlign w:val="center"/>
          </w:tcPr>
          <w:p>
            <w:pPr>
              <w:jc w:val="center"/>
              <w:rPr>
                <w:rFonts w:hint="eastAsia" w:ascii="宋体" w:hAnsi="宋体"/>
                <w:sz w:val="28"/>
                <w:szCs w:val="28"/>
              </w:rPr>
            </w:pPr>
          </w:p>
        </w:tc>
        <w:tc>
          <w:tcPr>
            <w:tcW w:w="1680" w:type="dxa"/>
            <w:vAlign w:val="center"/>
          </w:tcPr>
          <w:p>
            <w:pPr>
              <w:jc w:val="center"/>
              <w:rPr>
                <w:rFonts w:hint="eastAsia" w:ascii="宋体" w:hAnsi="宋体"/>
                <w:sz w:val="28"/>
                <w:szCs w:val="28"/>
              </w:rPr>
            </w:pPr>
          </w:p>
        </w:tc>
        <w:tc>
          <w:tcPr>
            <w:tcW w:w="1596" w:type="dxa"/>
            <w:vAlign w:val="center"/>
          </w:tcPr>
          <w:p>
            <w:pPr>
              <w:jc w:val="center"/>
              <w:rPr>
                <w:rFonts w:hint="eastAsia" w:ascii="宋体" w:hAnsi="宋体"/>
                <w:sz w:val="28"/>
                <w:szCs w:val="28"/>
              </w:rPr>
            </w:pPr>
          </w:p>
        </w:tc>
        <w:tc>
          <w:tcPr>
            <w:tcW w:w="1848" w:type="dxa"/>
            <w:vAlign w:val="center"/>
          </w:tcPr>
          <w:p>
            <w:pPr>
              <w:jc w:val="center"/>
              <w:rPr>
                <w:rFonts w:hint="eastAsia" w:ascii="宋体" w:hAnsi="宋体"/>
                <w:sz w:val="28"/>
                <w:szCs w:val="28"/>
              </w:rPr>
            </w:pPr>
          </w:p>
        </w:tc>
        <w:tc>
          <w:tcPr>
            <w:tcW w:w="2496"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6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2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bl>
    <w:p>
      <w:pPr>
        <w:rPr>
          <w:rFonts w:hint="eastAsia"/>
        </w:rPr>
      </w:pPr>
    </w:p>
    <w:p>
      <w:pPr>
        <w:rPr>
          <w:rFonts w:hint="eastAsia"/>
        </w:rPr>
      </w:pPr>
      <w:r>
        <w:rPr>
          <w:rFonts w:hint="eastAsia"/>
        </w:rPr>
        <w:t>备注：属地人员每月20日记录电表数据并及时上报。</w:t>
      </w:r>
    </w:p>
    <w:p>
      <w:pPr>
        <w:rPr>
          <w:rFonts w:hint="eastAsia" w:ascii="Times New Roman" w:hAnsi="Times New Roman" w:eastAsia="宋体" w:cs="Times New Roman"/>
          <w:b w:val="0"/>
          <w:bCs w:val="0"/>
          <w:kern w:val="2"/>
          <w:sz w:val="21"/>
          <w:szCs w:val="22"/>
          <w:lang w:val="en-US" w:eastAsia="zh-CN" w:bidi="ar-SA"/>
        </w:rPr>
      </w:pPr>
    </w:p>
    <w:p>
      <w:pPr>
        <w:jc w:val="left"/>
        <w:rPr>
          <w:rFonts w:hint="eastAsia" w:ascii="方正黑体简体" w:hAnsi="方正黑体简体" w:eastAsia="方正黑体简体" w:cs="方正黑体简体"/>
          <w:b w:val="0"/>
          <w:bCs w:val="0"/>
          <w:kern w:val="2"/>
          <w:sz w:val="32"/>
          <w:szCs w:val="32"/>
          <w:lang w:val="en-US" w:eastAsia="zh-CN" w:bidi="ar-SA"/>
        </w:rPr>
      </w:pPr>
      <w:bookmarkStart w:id="210" w:name="_Toc508016678"/>
      <w:bookmarkStart w:id="211" w:name="_Toc9210"/>
      <w:bookmarkStart w:id="212" w:name="_Toc508015397"/>
      <w:bookmarkStart w:id="213" w:name="_Toc10417"/>
      <w:bookmarkStart w:id="214" w:name="_Toc508012252"/>
      <w:bookmarkStart w:id="215" w:name="_Toc29991"/>
      <w:bookmarkStart w:id="216" w:name="_Toc4643"/>
      <w:bookmarkStart w:id="217" w:name="_Toc7732"/>
      <w:r>
        <w:rPr>
          <w:rFonts w:hint="eastAsia" w:ascii="方正黑体简体" w:hAnsi="方正黑体简体" w:eastAsia="方正黑体简体" w:cs="方正黑体简体"/>
          <w:b w:val="0"/>
          <w:bCs w:val="0"/>
          <w:kern w:val="2"/>
          <w:sz w:val="32"/>
          <w:szCs w:val="32"/>
          <w:lang w:val="en-US" w:eastAsia="zh-CN" w:bidi="ar-SA"/>
        </w:rPr>
        <w:t>附表3</w:t>
      </w:r>
      <w:bookmarkEnd w:id="210"/>
      <w:bookmarkEnd w:id="211"/>
      <w:bookmarkEnd w:id="212"/>
      <w:bookmarkEnd w:id="213"/>
      <w:bookmarkEnd w:id="214"/>
      <w:bookmarkEnd w:id="215"/>
      <w:r>
        <w:rPr>
          <w:rFonts w:hint="eastAsia" w:ascii="方正黑体简体" w:hAnsi="方正黑体简体" w:eastAsia="方正黑体简体" w:cs="方正黑体简体"/>
          <w:b w:val="0"/>
          <w:bCs w:val="0"/>
          <w:kern w:val="2"/>
          <w:sz w:val="32"/>
          <w:szCs w:val="32"/>
          <w:lang w:val="en-US" w:eastAsia="zh-CN" w:bidi="ar-SA"/>
        </w:rPr>
        <w:t xml:space="preserve">  中油南充燃气有限责任公司发电机运行记录表</w:t>
      </w:r>
      <w:bookmarkEnd w:id="216"/>
      <w:bookmarkEnd w:id="217"/>
    </w:p>
    <w:p>
      <w:pPr>
        <w:jc w:val="left"/>
        <w:rPr>
          <w:rFonts w:hint="eastAsia" w:ascii="宋体" w:hAnsi="宋体"/>
          <w:b/>
          <w:sz w:val="32"/>
          <w:szCs w:val="32"/>
        </w:rPr>
      </w:pPr>
      <w:r>
        <w:rPr>
          <w:rFonts w:hint="eastAsia"/>
          <w:sz w:val="28"/>
          <w:szCs w:val="28"/>
        </w:rPr>
        <w:t xml:space="preserve">站场：                                 记录人：       </w:t>
      </w:r>
    </w:p>
    <w:tbl>
      <w:tblPr>
        <w:tblStyle w:val="51"/>
        <w:tblpPr w:leftFromText="180" w:rightFromText="180" w:vertAnchor="text" w:horzAnchor="page" w:tblpX="931" w:tblpY="203"/>
        <w:tblOverlap w:val="never"/>
        <w:tblW w:w="10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384"/>
        <w:gridCol w:w="1417"/>
        <w:gridCol w:w="1418"/>
        <w:gridCol w:w="1275"/>
        <w:gridCol w:w="170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1310" w:type="dxa"/>
            <w:vAlign w:val="center"/>
          </w:tcPr>
          <w:p>
            <w:pPr>
              <w:jc w:val="center"/>
              <w:rPr>
                <w:rFonts w:hint="eastAsia" w:ascii="宋体" w:hAnsi="宋体"/>
                <w:szCs w:val="21"/>
              </w:rPr>
            </w:pPr>
            <w:r>
              <w:rPr>
                <w:rFonts w:hint="eastAsia" w:ascii="宋体" w:hAnsi="宋体"/>
                <w:szCs w:val="21"/>
              </w:rPr>
              <w:t>记录时间</w:t>
            </w:r>
          </w:p>
        </w:tc>
        <w:tc>
          <w:tcPr>
            <w:tcW w:w="1384" w:type="dxa"/>
            <w:vAlign w:val="center"/>
          </w:tcPr>
          <w:p>
            <w:pPr>
              <w:jc w:val="center"/>
              <w:rPr>
                <w:rFonts w:hint="eastAsia" w:ascii="宋体" w:hAnsi="宋体"/>
                <w:szCs w:val="21"/>
              </w:rPr>
            </w:pPr>
            <w:r>
              <w:rPr>
                <w:rFonts w:hint="eastAsia" w:ascii="宋体" w:hAnsi="宋体"/>
                <w:szCs w:val="21"/>
              </w:rPr>
              <w:t>输出电压（V</w:t>
            </w:r>
            <w:r>
              <w:rPr>
                <w:rFonts w:ascii="宋体" w:hAnsi="宋体"/>
                <w:szCs w:val="21"/>
              </w:rPr>
              <w:t>）</w:t>
            </w:r>
          </w:p>
        </w:tc>
        <w:tc>
          <w:tcPr>
            <w:tcW w:w="1417" w:type="dxa"/>
            <w:vAlign w:val="center"/>
          </w:tcPr>
          <w:p>
            <w:pPr>
              <w:jc w:val="center"/>
              <w:rPr>
                <w:rFonts w:hint="eastAsia" w:ascii="宋体" w:hAnsi="宋体"/>
                <w:szCs w:val="21"/>
              </w:rPr>
            </w:pPr>
            <w:r>
              <w:rPr>
                <w:rFonts w:hint="eastAsia" w:ascii="宋体" w:hAnsi="宋体"/>
                <w:szCs w:val="21"/>
              </w:rPr>
              <w:t>输出电流（A</w:t>
            </w:r>
            <w:r>
              <w:rPr>
                <w:rFonts w:ascii="宋体" w:hAnsi="宋体"/>
                <w:szCs w:val="21"/>
              </w:rPr>
              <w:t>）</w:t>
            </w:r>
          </w:p>
        </w:tc>
        <w:tc>
          <w:tcPr>
            <w:tcW w:w="1418" w:type="dxa"/>
            <w:vAlign w:val="center"/>
          </w:tcPr>
          <w:p>
            <w:pPr>
              <w:jc w:val="center"/>
              <w:rPr>
                <w:rFonts w:hint="eastAsia" w:ascii="宋体" w:hAnsi="宋体"/>
                <w:szCs w:val="21"/>
              </w:rPr>
            </w:pPr>
            <w:r>
              <w:rPr>
                <w:rFonts w:hint="eastAsia" w:ascii="宋体" w:hAnsi="宋体"/>
                <w:szCs w:val="21"/>
              </w:rPr>
              <w:t>转速（r/min</w:t>
            </w:r>
            <w:r>
              <w:rPr>
                <w:rFonts w:ascii="宋体" w:hAnsi="宋体"/>
                <w:szCs w:val="21"/>
              </w:rPr>
              <w:t>）</w:t>
            </w:r>
          </w:p>
        </w:tc>
        <w:tc>
          <w:tcPr>
            <w:tcW w:w="1275" w:type="dxa"/>
            <w:vAlign w:val="center"/>
          </w:tcPr>
          <w:p>
            <w:pPr>
              <w:jc w:val="center"/>
              <w:rPr>
                <w:rFonts w:hint="eastAsia" w:ascii="宋体" w:hAnsi="宋体"/>
                <w:szCs w:val="21"/>
              </w:rPr>
            </w:pPr>
            <w:r>
              <w:rPr>
                <w:rFonts w:hint="eastAsia" w:ascii="宋体" w:hAnsi="宋体"/>
                <w:szCs w:val="21"/>
              </w:rPr>
              <w:t>频率（Hz）</w:t>
            </w:r>
          </w:p>
        </w:tc>
        <w:tc>
          <w:tcPr>
            <w:tcW w:w="1701" w:type="dxa"/>
            <w:vAlign w:val="center"/>
          </w:tcPr>
          <w:p>
            <w:pPr>
              <w:jc w:val="center"/>
              <w:rPr>
                <w:rFonts w:hint="eastAsia" w:ascii="宋体" w:hAnsi="宋体"/>
                <w:szCs w:val="21"/>
              </w:rPr>
            </w:pPr>
            <w:r>
              <w:rPr>
                <w:rFonts w:hint="eastAsia" w:ascii="宋体" w:hAnsi="宋体"/>
                <w:szCs w:val="21"/>
              </w:rPr>
              <w:t>水温和油压</w:t>
            </w:r>
          </w:p>
        </w:tc>
        <w:tc>
          <w:tcPr>
            <w:tcW w:w="1985" w:type="dxa"/>
            <w:vAlign w:val="center"/>
          </w:tcPr>
          <w:p>
            <w:pPr>
              <w:jc w:val="center"/>
              <w:rPr>
                <w:rFonts w:hint="eastAsia" w:ascii="宋体" w:hAnsi="宋体"/>
                <w:szCs w:val="21"/>
              </w:rPr>
            </w:pPr>
            <w:r>
              <w:rPr>
                <w:rFonts w:hint="eastAsia" w:ascii="宋体" w:hAnsi="宋体"/>
                <w:szCs w:val="21"/>
              </w:rPr>
              <w:t>累计运行时间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310" w:type="dxa"/>
            <w:vAlign w:val="center"/>
          </w:tcPr>
          <w:p>
            <w:pPr>
              <w:jc w:val="center"/>
              <w:rPr>
                <w:rFonts w:hint="eastAsia" w:ascii="宋体" w:hAnsi="宋体"/>
                <w:sz w:val="28"/>
                <w:szCs w:val="28"/>
              </w:rPr>
            </w:pPr>
          </w:p>
        </w:tc>
        <w:tc>
          <w:tcPr>
            <w:tcW w:w="1384" w:type="dxa"/>
            <w:vAlign w:val="center"/>
          </w:tcPr>
          <w:p>
            <w:pPr>
              <w:jc w:val="center"/>
              <w:rPr>
                <w:rFonts w:hint="eastAsia" w:ascii="宋体" w:hAnsi="宋体"/>
                <w:sz w:val="28"/>
                <w:szCs w:val="28"/>
              </w:rPr>
            </w:pPr>
          </w:p>
        </w:tc>
        <w:tc>
          <w:tcPr>
            <w:tcW w:w="1417" w:type="dxa"/>
            <w:vAlign w:val="center"/>
          </w:tcPr>
          <w:p>
            <w:pPr>
              <w:jc w:val="center"/>
              <w:rPr>
                <w:rFonts w:hint="eastAsia" w:ascii="宋体" w:hAnsi="宋体"/>
                <w:sz w:val="28"/>
                <w:szCs w:val="28"/>
              </w:rPr>
            </w:pPr>
          </w:p>
        </w:tc>
        <w:tc>
          <w:tcPr>
            <w:tcW w:w="1418" w:type="dxa"/>
            <w:vAlign w:val="center"/>
          </w:tcPr>
          <w:p>
            <w:pPr>
              <w:jc w:val="center"/>
              <w:rPr>
                <w:rFonts w:hint="eastAsia" w:ascii="宋体" w:hAnsi="宋体"/>
                <w:sz w:val="28"/>
                <w:szCs w:val="28"/>
              </w:rPr>
            </w:pPr>
          </w:p>
        </w:tc>
        <w:tc>
          <w:tcPr>
            <w:tcW w:w="1275" w:type="dxa"/>
            <w:vAlign w:val="center"/>
          </w:tcPr>
          <w:p>
            <w:pPr>
              <w:jc w:val="center"/>
              <w:rPr>
                <w:rFonts w:hint="eastAsia" w:ascii="宋体" w:hAnsi="宋体"/>
                <w:sz w:val="28"/>
                <w:szCs w:val="28"/>
              </w:rPr>
            </w:pPr>
          </w:p>
        </w:tc>
        <w:tc>
          <w:tcPr>
            <w:tcW w:w="1701" w:type="dxa"/>
            <w:vAlign w:val="center"/>
          </w:tcPr>
          <w:p>
            <w:pPr>
              <w:jc w:val="center"/>
              <w:rPr>
                <w:rFonts w:hint="eastAsia" w:ascii="宋体" w:hAnsi="宋体"/>
                <w:sz w:val="28"/>
                <w:szCs w:val="28"/>
              </w:rPr>
            </w:pPr>
          </w:p>
        </w:tc>
        <w:tc>
          <w:tcPr>
            <w:tcW w:w="1985"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310" w:type="dxa"/>
            <w:vAlign w:val="center"/>
          </w:tcPr>
          <w:p>
            <w:pPr>
              <w:jc w:val="center"/>
              <w:rPr>
                <w:rFonts w:hint="eastAsia" w:ascii="宋体" w:hAnsi="宋体"/>
                <w:sz w:val="28"/>
                <w:szCs w:val="28"/>
              </w:rPr>
            </w:pPr>
          </w:p>
        </w:tc>
        <w:tc>
          <w:tcPr>
            <w:tcW w:w="1384" w:type="dxa"/>
            <w:vAlign w:val="center"/>
          </w:tcPr>
          <w:p>
            <w:pPr>
              <w:jc w:val="center"/>
              <w:rPr>
                <w:rFonts w:hint="eastAsia" w:ascii="宋体" w:hAnsi="宋体"/>
                <w:sz w:val="28"/>
                <w:szCs w:val="28"/>
              </w:rPr>
            </w:pPr>
          </w:p>
        </w:tc>
        <w:tc>
          <w:tcPr>
            <w:tcW w:w="1417" w:type="dxa"/>
            <w:vAlign w:val="center"/>
          </w:tcPr>
          <w:p>
            <w:pPr>
              <w:jc w:val="center"/>
              <w:rPr>
                <w:rFonts w:hint="eastAsia" w:ascii="宋体" w:hAnsi="宋体"/>
                <w:sz w:val="28"/>
                <w:szCs w:val="28"/>
              </w:rPr>
            </w:pPr>
          </w:p>
        </w:tc>
        <w:tc>
          <w:tcPr>
            <w:tcW w:w="1418" w:type="dxa"/>
            <w:vAlign w:val="center"/>
          </w:tcPr>
          <w:p>
            <w:pPr>
              <w:jc w:val="center"/>
              <w:rPr>
                <w:rFonts w:hint="eastAsia" w:ascii="宋体" w:hAnsi="宋体"/>
                <w:sz w:val="28"/>
                <w:szCs w:val="28"/>
              </w:rPr>
            </w:pPr>
          </w:p>
        </w:tc>
        <w:tc>
          <w:tcPr>
            <w:tcW w:w="1275" w:type="dxa"/>
            <w:vAlign w:val="center"/>
          </w:tcPr>
          <w:p>
            <w:pPr>
              <w:jc w:val="center"/>
              <w:rPr>
                <w:rFonts w:hint="eastAsia" w:ascii="宋体" w:hAnsi="宋体"/>
                <w:sz w:val="28"/>
                <w:szCs w:val="28"/>
              </w:rPr>
            </w:pPr>
          </w:p>
        </w:tc>
        <w:tc>
          <w:tcPr>
            <w:tcW w:w="1701" w:type="dxa"/>
            <w:vAlign w:val="center"/>
          </w:tcPr>
          <w:p>
            <w:pPr>
              <w:jc w:val="center"/>
              <w:rPr>
                <w:rFonts w:hint="eastAsia" w:ascii="宋体" w:hAnsi="宋体"/>
                <w:sz w:val="28"/>
                <w:szCs w:val="28"/>
              </w:rPr>
            </w:pPr>
          </w:p>
        </w:tc>
        <w:tc>
          <w:tcPr>
            <w:tcW w:w="1985"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vAlign w:val="center"/>
          </w:tcPr>
          <w:p>
            <w:pPr>
              <w:jc w:val="center"/>
              <w:rPr>
                <w:rFonts w:hint="eastAsia" w:ascii="宋体" w:hAnsi="宋体"/>
                <w:sz w:val="28"/>
                <w:szCs w:val="28"/>
              </w:rPr>
            </w:pPr>
          </w:p>
        </w:tc>
        <w:tc>
          <w:tcPr>
            <w:tcW w:w="1384" w:type="dxa"/>
            <w:vAlign w:val="center"/>
          </w:tcPr>
          <w:p>
            <w:pPr>
              <w:jc w:val="center"/>
              <w:rPr>
                <w:rFonts w:hint="eastAsia" w:ascii="宋体" w:hAnsi="宋体"/>
                <w:sz w:val="28"/>
                <w:szCs w:val="28"/>
              </w:rPr>
            </w:pPr>
          </w:p>
        </w:tc>
        <w:tc>
          <w:tcPr>
            <w:tcW w:w="1417" w:type="dxa"/>
            <w:vAlign w:val="center"/>
          </w:tcPr>
          <w:p>
            <w:pPr>
              <w:jc w:val="center"/>
              <w:rPr>
                <w:rFonts w:hint="eastAsia" w:ascii="宋体" w:hAnsi="宋体"/>
                <w:sz w:val="28"/>
                <w:szCs w:val="28"/>
              </w:rPr>
            </w:pPr>
          </w:p>
        </w:tc>
        <w:tc>
          <w:tcPr>
            <w:tcW w:w="1418" w:type="dxa"/>
            <w:vAlign w:val="center"/>
          </w:tcPr>
          <w:p>
            <w:pPr>
              <w:jc w:val="center"/>
              <w:rPr>
                <w:rFonts w:hint="eastAsia" w:ascii="宋体" w:hAnsi="宋体"/>
                <w:sz w:val="28"/>
                <w:szCs w:val="28"/>
              </w:rPr>
            </w:pPr>
          </w:p>
        </w:tc>
        <w:tc>
          <w:tcPr>
            <w:tcW w:w="1275" w:type="dxa"/>
            <w:vAlign w:val="center"/>
          </w:tcPr>
          <w:p>
            <w:pPr>
              <w:jc w:val="center"/>
              <w:rPr>
                <w:rFonts w:hint="eastAsia" w:ascii="宋体" w:hAnsi="宋体"/>
                <w:sz w:val="28"/>
                <w:szCs w:val="28"/>
              </w:rPr>
            </w:pPr>
          </w:p>
        </w:tc>
        <w:tc>
          <w:tcPr>
            <w:tcW w:w="1701" w:type="dxa"/>
            <w:vAlign w:val="center"/>
          </w:tcPr>
          <w:p>
            <w:pPr>
              <w:jc w:val="center"/>
              <w:rPr>
                <w:rFonts w:hint="eastAsia" w:ascii="宋体" w:hAnsi="宋体"/>
                <w:sz w:val="28"/>
                <w:szCs w:val="28"/>
              </w:rPr>
            </w:pPr>
          </w:p>
        </w:tc>
        <w:tc>
          <w:tcPr>
            <w:tcW w:w="1985" w:type="dxa"/>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p>
            <w:pPr>
              <w:jc w:val="center"/>
              <w:rPr>
                <w:rFonts w:hint="eastAsia" w:ascii="宋体" w:hAnsi="宋体"/>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8"/>
                <w:szCs w:val="28"/>
              </w:rPr>
            </w:pPr>
          </w:p>
        </w:tc>
      </w:tr>
    </w:tbl>
    <w:p>
      <w:pPr>
        <w:jc w:val="left"/>
        <w:rPr>
          <w:rFonts w:hint="eastAsia"/>
        </w:rPr>
      </w:pPr>
    </w:p>
    <w:p>
      <w:pPr>
        <w:jc w:val="left"/>
        <w:rPr>
          <w:rFonts w:hint="eastAsia"/>
        </w:rPr>
      </w:pPr>
      <w:r>
        <w:rPr>
          <w:rFonts w:hint="eastAsia"/>
        </w:rPr>
        <w:t>备注：属地人员每半小时记录发电机的参数。</w:t>
      </w:r>
    </w:p>
    <w:tbl>
      <w:tblPr>
        <w:tblStyle w:val="51"/>
        <w:tblpPr w:leftFromText="180" w:rightFromText="180" w:vertAnchor="text" w:horzAnchor="page" w:tblpX="651" w:tblpY="91"/>
        <w:tblOverlap w:val="never"/>
        <w:tblW w:w="10845" w:type="dxa"/>
        <w:tblInd w:w="0" w:type="dxa"/>
        <w:tblLayout w:type="fixed"/>
        <w:tblCellMar>
          <w:top w:w="0" w:type="dxa"/>
          <w:left w:w="108" w:type="dxa"/>
          <w:bottom w:w="0" w:type="dxa"/>
          <w:right w:w="108" w:type="dxa"/>
        </w:tblCellMar>
      </w:tblPr>
      <w:tblGrid>
        <w:gridCol w:w="984"/>
        <w:gridCol w:w="749"/>
        <w:gridCol w:w="91"/>
        <w:gridCol w:w="810"/>
        <w:gridCol w:w="2367"/>
        <w:gridCol w:w="546"/>
        <w:gridCol w:w="33"/>
        <w:gridCol w:w="580"/>
        <w:gridCol w:w="830"/>
        <w:gridCol w:w="1756"/>
        <w:gridCol w:w="991"/>
        <w:gridCol w:w="554"/>
        <w:gridCol w:w="554"/>
      </w:tblGrid>
      <w:tr>
        <w:tblPrEx>
          <w:tblLayout w:type="fixed"/>
          <w:tblCellMar>
            <w:top w:w="0" w:type="dxa"/>
            <w:left w:w="108" w:type="dxa"/>
            <w:bottom w:w="0" w:type="dxa"/>
            <w:right w:w="108" w:type="dxa"/>
          </w:tblCellMar>
        </w:tblPrEx>
        <w:trPr>
          <w:trHeight w:val="744" w:hRule="atLeast"/>
          <w:tblHeader/>
        </w:trPr>
        <w:tc>
          <w:tcPr>
            <w:tcW w:w="1733" w:type="dxa"/>
            <w:gridSpan w:val="2"/>
            <w:tcBorders>
              <w:right w:val="single" w:color="FFFFFF" w:sz="4" w:space="0"/>
            </w:tcBorders>
            <w:vAlign w:val="center"/>
          </w:tcPr>
          <w:p>
            <w:pPr>
              <w:rPr>
                <w:rFonts w:ascii="Arial" w:hAnsi="Arial" w:eastAsia="黑体" w:cs="Arial"/>
                <w:b/>
                <w:sz w:val="32"/>
              </w:rPr>
            </w:pPr>
            <w:r>
              <w:rPr>
                <w:rFonts w:ascii="Arial" w:hAnsi="Arial" w:cs="Arial"/>
              </w:rPr>
              <w:drawing>
                <wp:inline distT="0" distB="0" distL="114300" distR="114300">
                  <wp:extent cx="367665" cy="351155"/>
                  <wp:effectExtent l="0" t="0" r="13335" b="14605"/>
                  <wp:docPr id="79" name="Picture 1" descr="logo_r2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logo_r2_c4"/>
                          <pic:cNvPicPr>
                            <a:picLocks noChangeAspect="1"/>
                          </pic:cNvPicPr>
                        </pic:nvPicPr>
                        <pic:blipFill>
                          <a:blip r:embed="rId22"/>
                          <a:srcRect l="26424" t="3780" r="28430" b="3780"/>
                          <a:stretch>
                            <a:fillRect/>
                          </a:stretch>
                        </pic:blipFill>
                        <pic:spPr>
                          <a:xfrm>
                            <a:off x="0" y="0"/>
                            <a:ext cx="367665" cy="351155"/>
                          </a:xfrm>
                          <a:prstGeom prst="rect">
                            <a:avLst/>
                          </a:prstGeom>
                          <a:noFill/>
                          <a:ln>
                            <a:noFill/>
                          </a:ln>
                        </pic:spPr>
                      </pic:pic>
                    </a:graphicData>
                  </a:graphic>
                </wp:inline>
              </w:drawing>
            </w:r>
          </w:p>
        </w:tc>
        <w:tc>
          <w:tcPr>
            <w:tcW w:w="7013" w:type="dxa"/>
            <w:gridSpan w:val="8"/>
            <w:tcBorders>
              <w:left w:val="single" w:color="FFFFFF" w:sz="4" w:space="0"/>
              <w:right w:val="single" w:color="FFFFFF" w:sz="4" w:space="0"/>
            </w:tcBorders>
            <w:vAlign w:val="center"/>
          </w:tcPr>
          <w:p>
            <w:pPr>
              <w:spacing w:line="720" w:lineRule="auto"/>
              <w:jc w:val="center"/>
              <w:rPr>
                <w:rFonts w:hint="eastAsia" w:ascii="方正大黑简体" w:hAnsi="华文中宋" w:eastAsia="方正大黑简体" w:cs="Arial"/>
                <w:sz w:val="36"/>
                <w:szCs w:val="36"/>
              </w:rPr>
            </w:pPr>
            <w:r>
              <w:rPr>
                <w:rFonts w:hint="eastAsia" w:ascii="方正大黑简体" w:hAnsi="华文中宋" w:eastAsia="方正大黑简体"/>
                <w:sz w:val="36"/>
                <w:szCs w:val="36"/>
              </w:rPr>
              <w:t>应急发电机维护保养作业操作卡</w:t>
            </w:r>
          </w:p>
        </w:tc>
        <w:tc>
          <w:tcPr>
            <w:tcW w:w="2099" w:type="dxa"/>
            <w:gridSpan w:val="3"/>
            <w:tcBorders>
              <w:left w:val="single" w:color="FFFFFF" w:sz="4" w:space="0"/>
            </w:tcBorders>
            <w:vAlign w:val="center"/>
          </w:tcPr>
          <w:p>
            <w:pPr>
              <w:spacing w:line="720" w:lineRule="auto"/>
              <w:jc w:val="center"/>
              <w:rPr>
                <w:rFonts w:hint="eastAsia" w:ascii="方正大黑简体" w:hAnsi="华文中宋" w:eastAsia="方正大黑简体" w:cs="Arial"/>
                <w:sz w:val="36"/>
                <w:szCs w:val="36"/>
              </w:rPr>
            </w:pPr>
            <w:r>
              <w:rPr>
                <w:rFonts w:hint="eastAsia" w:ascii="方正大黑简体" w:hAnsi="华文中宋" w:eastAsia="方正大黑简体" w:cs="Arial"/>
                <w:sz w:val="36"/>
                <w:szCs w:val="36"/>
              </w:rPr>
              <w:drawing>
                <wp:inline distT="0" distB="0" distL="114300" distR="114300">
                  <wp:extent cx="528320" cy="391160"/>
                  <wp:effectExtent l="0" t="0" r="5080" b="5080"/>
                  <wp:docPr id="80" name="Picture 2" descr="一般操作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descr="一般操作卡"/>
                          <pic:cNvPicPr>
                            <a:picLocks noChangeAspect="1"/>
                          </pic:cNvPicPr>
                        </pic:nvPicPr>
                        <pic:blipFill>
                          <a:blip r:embed="rId23"/>
                          <a:stretch>
                            <a:fillRect/>
                          </a:stretch>
                        </pic:blipFill>
                        <pic:spPr>
                          <a:xfrm>
                            <a:off x="0" y="0"/>
                            <a:ext cx="528320" cy="3911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78" w:hRule="atLeast"/>
        </w:trPr>
        <w:tc>
          <w:tcPr>
            <w:tcW w:w="10845" w:type="dxa"/>
            <w:gridSpan w:val="13"/>
            <w:tcBorders>
              <w:bottom w:val="single" w:color="auto" w:sz="4" w:space="0"/>
            </w:tcBorders>
            <w:vAlign w:val="center"/>
          </w:tcPr>
          <w:p>
            <w:pPr>
              <w:wordWrap w:val="0"/>
              <w:jc w:val="right"/>
              <w:rPr>
                <w:rFonts w:hint="eastAsia" w:ascii="Arial" w:hAnsi="Arial" w:eastAsia="黑体" w:cs="Arial"/>
                <w:szCs w:val="21"/>
              </w:rPr>
            </w:pPr>
            <w:r>
              <w:rPr>
                <w:rFonts w:hint="eastAsia" w:ascii="Arial" w:hAnsi="Arial" w:eastAsia="黑体" w:cs="Arial"/>
                <w:sz w:val="24"/>
                <w:szCs w:val="24"/>
              </w:rPr>
              <w:t>NO!　　　　　</w:t>
            </w:r>
          </w:p>
        </w:tc>
      </w:tr>
      <w:tr>
        <w:tblPrEx>
          <w:tblLayout w:type="fixed"/>
          <w:tblCellMar>
            <w:top w:w="0" w:type="dxa"/>
            <w:left w:w="108" w:type="dxa"/>
            <w:bottom w:w="0" w:type="dxa"/>
            <w:right w:w="108" w:type="dxa"/>
          </w:tblCellMar>
        </w:tblPrEx>
        <w:trPr>
          <w:trHeight w:val="278"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基本信息</w:t>
            </w:r>
          </w:p>
        </w:tc>
        <w:tc>
          <w:tcPr>
            <w:tcW w:w="1650"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作业地点</w:t>
            </w:r>
          </w:p>
        </w:tc>
        <w:tc>
          <w:tcPr>
            <w:tcW w:w="2913"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p>
        </w:tc>
        <w:tc>
          <w:tcPr>
            <w:tcW w:w="1443"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现场操作人</w:t>
            </w:r>
          </w:p>
        </w:tc>
        <w:tc>
          <w:tcPr>
            <w:tcW w:w="3855" w:type="dxa"/>
            <w:gridSpan w:val="4"/>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p>
        </w:tc>
      </w:tr>
      <w:tr>
        <w:tblPrEx>
          <w:tblLayout w:type="fixed"/>
          <w:tblCellMar>
            <w:top w:w="0" w:type="dxa"/>
            <w:left w:w="108" w:type="dxa"/>
            <w:bottom w:w="0" w:type="dxa"/>
            <w:right w:w="108" w:type="dxa"/>
          </w:tblCellMar>
        </w:tblPrEx>
        <w:trPr>
          <w:trHeight w:val="287"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保养日期</w:t>
            </w:r>
          </w:p>
        </w:tc>
        <w:tc>
          <w:tcPr>
            <w:tcW w:w="2913"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p>
        </w:tc>
        <w:tc>
          <w:tcPr>
            <w:tcW w:w="1443"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现场监督人</w:t>
            </w:r>
          </w:p>
        </w:tc>
        <w:tc>
          <w:tcPr>
            <w:tcW w:w="3855" w:type="dxa"/>
            <w:gridSpan w:val="4"/>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p>
        </w:tc>
      </w:tr>
      <w:tr>
        <w:tblPrEx>
          <w:tblLayout w:type="fixed"/>
          <w:tblCellMar>
            <w:top w:w="0" w:type="dxa"/>
            <w:left w:w="108" w:type="dxa"/>
            <w:bottom w:w="0" w:type="dxa"/>
            <w:right w:w="108" w:type="dxa"/>
          </w:tblCellMar>
        </w:tblPrEx>
        <w:trPr>
          <w:trHeight w:val="344"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仿宋" w:hAnsi="仿宋" w:eastAsia="仿宋" w:cs="仿宋"/>
                <w:sz w:val="18"/>
                <w:szCs w:val="18"/>
              </w:rPr>
            </w:pPr>
            <w:r>
              <w:rPr>
                <w:rFonts w:hint="eastAsia" w:ascii="仿宋" w:hAnsi="仿宋" w:eastAsia="仿宋" w:cs="仿宋"/>
                <w:sz w:val="18"/>
                <w:szCs w:val="18"/>
              </w:rPr>
              <w:t>风险提示</w:t>
            </w:r>
          </w:p>
        </w:tc>
        <w:tc>
          <w:tcPr>
            <w:tcW w:w="9861" w:type="dxa"/>
            <w:gridSpan w:val="1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1．可能引起触电。</w:t>
            </w:r>
          </w:p>
        </w:tc>
      </w:tr>
      <w:tr>
        <w:tblPrEx>
          <w:tblLayout w:type="fixed"/>
          <w:tblCellMar>
            <w:top w:w="0" w:type="dxa"/>
            <w:left w:w="108" w:type="dxa"/>
            <w:bottom w:w="0" w:type="dxa"/>
            <w:right w:w="108" w:type="dxa"/>
          </w:tblCellMar>
        </w:tblPrEx>
        <w:trPr>
          <w:trHeight w:val="287"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仿宋" w:hAnsi="仿宋" w:eastAsia="仿宋" w:cs="仿宋"/>
                <w:sz w:val="18"/>
                <w:szCs w:val="18"/>
              </w:rPr>
            </w:pPr>
          </w:p>
        </w:tc>
        <w:tc>
          <w:tcPr>
            <w:tcW w:w="9861" w:type="dxa"/>
            <w:gridSpan w:val="1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2．可能引起环境污染。</w:t>
            </w:r>
          </w:p>
        </w:tc>
      </w:tr>
      <w:tr>
        <w:tblPrEx>
          <w:tblLayout w:type="fixed"/>
          <w:tblCellMar>
            <w:top w:w="0" w:type="dxa"/>
            <w:left w:w="108" w:type="dxa"/>
            <w:bottom w:w="0" w:type="dxa"/>
            <w:right w:w="108" w:type="dxa"/>
          </w:tblCellMar>
        </w:tblPrEx>
        <w:trPr>
          <w:trHeight w:val="262"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仿宋" w:hAnsi="仿宋" w:eastAsia="仿宋" w:cs="仿宋"/>
                <w:sz w:val="18"/>
                <w:szCs w:val="18"/>
              </w:rPr>
            </w:pPr>
            <w:r>
              <w:rPr>
                <w:rFonts w:hint="eastAsia" w:ascii="仿宋" w:hAnsi="仿宋" w:eastAsia="仿宋" w:cs="仿宋"/>
                <w:sz w:val="18"/>
                <w:szCs w:val="18"/>
              </w:rPr>
              <w:t>应急处置</w:t>
            </w:r>
          </w:p>
        </w:tc>
        <w:tc>
          <w:tcPr>
            <w:tcW w:w="9861" w:type="dxa"/>
            <w:gridSpan w:val="1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1．若出现人员触电，立即使人员脱离电源，并进行相关急救。</w:t>
            </w:r>
          </w:p>
        </w:tc>
      </w:tr>
      <w:tr>
        <w:tblPrEx>
          <w:tblLayout w:type="fixed"/>
          <w:tblCellMar>
            <w:top w:w="0" w:type="dxa"/>
            <w:left w:w="108" w:type="dxa"/>
            <w:bottom w:w="0" w:type="dxa"/>
            <w:right w:w="108" w:type="dxa"/>
          </w:tblCellMar>
        </w:tblPrEx>
        <w:trPr>
          <w:trHeight w:val="274"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9861" w:type="dxa"/>
            <w:gridSpan w:val="1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2．若出现环境污染，应立即进行污染物收集处置。</w:t>
            </w:r>
          </w:p>
        </w:tc>
      </w:tr>
      <w:tr>
        <w:tblPrEx>
          <w:tblLayout w:type="fixed"/>
          <w:tblCellMar>
            <w:top w:w="0" w:type="dxa"/>
            <w:left w:w="108" w:type="dxa"/>
            <w:bottom w:w="0" w:type="dxa"/>
            <w:right w:w="108" w:type="dxa"/>
          </w:tblCellMar>
        </w:tblPrEx>
        <w:trPr>
          <w:trHeight w:val="352"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sz w:val="18"/>
                <w:szCs w:val="18"/>
              </w:rPr>
            </w:pPr>
            <w:r>
              <w:rPr>
                <w:rFonts w:hint="eastAsia" w:ascii="仿宋" w:hAnsi="仿宋" w:eastAsia="仿宋" w:cs="仿宋"/>
                <w:sz w:val="18"/>
                <w:szCs w:val="18"/>
              </w:rPr>
              <w:t>执行情况</w:t>
            </w:r>
          </w:p>
        </w:tc>
        <w:tc>
          <w:tcPr>
            <w:tcW w:w="840" w:type="dxa"/>
            <w:gridSpan w:val="2"/>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exact"/>
              <w:jc w:val="center"/>
              <w:rPr>
                <w:rFonts w:hint="eastAsia" w:ascii="仿宋" w:hAnsi="仿宋" w:eastAsia="仿宋" w:cs="仿宋"/>
                <w:b/>
                <w:bCs/>
                <w:sz w:val="18"/>
                <w:szCs w:val="18"/>
              </w:rPr>
            </w:pPr>
            <w:r>
              <w:rPr>
                <w:rFonts w:hint="eastAsia" w:ascii="仿宋" w:hAnsi="仿宋" w:eastAsia="仿宋" w:cs="仿宋"/>
                <w:b/>
                <w:bCs/>
                <w:sz w:val="18"/>
                <w:szCs w:val="18"/>
              </w:rPr>
              <w:t>操作人</w:t>
            </w:r>
          </w:p>
        </w:tc>
        <w:tc>
          <w:tcPr>
            <w:tcW w:w="810" w:type="dxa"/>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exact"/>
              <w:jc w:val="center"/>
              <w:rPr>
                <w:rFonts w:hint="eastAsia" w:ascii="仿宋" w:hAnsi="仿宋" w:eastAsia="仿宋" w:cs="仿宋"/>
                <w:b/>
                <w:bCs/>
                <w:sz w:val="18"/>
                <w:szCs w:val="18"/>
              </w:rPr>
            </w:pPr>
            <w:r>
              <w:rPr>
                <w:rFonts w:hint="eastAsia" w:ascii="仿宋" w:hAnsi="仿宋" w:eastAsia="仿宋" w:cs="仿宋"/>
                <w:b/>
                <w:bCs/>
                <w:sz w:val="18"/>
                <w:szCs w:val="18"/>
              </w:rPr>
              <w:t>监督人</w:t>
            </w:r>
          </w:p>
        </w:tc>
        <w:tc>
          <w:tcPr>
            <w:tcW w:w="8211" w:type="dxa"/>
            <w:gridSpan w:val="9"/>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b/>
                <w:bCs w:val="0"/>
                <w:sz w:val="18"/>
                <w:szCs w:val="18"/>
              </w:rPr>
              <w:t>操  作  内  容</w:t>
            </w:r>
          </w:p>
        </w:tc>
      </w:tr>
      <w:tr>
        <w:tblPrEx>
          <w:tblLayout w:type="fixed"/>
          <w:tblCellMar>
            <w:top w:w="0" w:type="dxa"/>
            <w:left w:w="108" w:type="dxa"/>
            <w:bottom w:w="0" w:type="dxa"/>
            <w:right w:w="108" w:type="dxa"/>
          </w:tblCellMar>
        </w:tblPrEx>
        <w:trPr>
          <w:trHeight w:val="312"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sz w:val="18"/>
                <w:szCs w:val="18"/>
              </w:rPr>
            </w:pPr>
          </w:p>
        </w:tc>
        <w:tc>
          <w:tcPr>
            <w:tcW w:w="840" w:type="dxa"/>
            <w:gridSpan w:val="2"/>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exact"/>
              <w:jc w:val="left"/>
              <w:rPr>
                <w:rFonts w:hint="eastAsia" w:ascii="仿宋" w:hAnsi="仿宋" w:eastAsia="仿宋" w:cs="仿宋"/>
                <w:sz w:val="18"/>
                <w:szCs w:val="18"/>
              </w:rPr>
            </w:pPr>
          </w:p>
        </w:tc>
        <w:tc>
          <w:tcPr>
            <w:tcW w:w="810"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exact"/>
              <w:jc w:val="left"/>
              <w:rPr>
                <w:rFonts w:hint="eastAsia" w:ascii="仿宋" w:hAnsi="仿宋" w:eastAsia="仿宋" w:cs="仿宋"/>
                <w:sz w:val="18"/>
                <w:szCs w:val="18"/>
              </w:rPr>
            </w:pPr>
          </w:p>
        </w:tc>
        <w:tc>
          <w:tcPr>
            <w:tcW w:w="8211" w:type="dxa"/>
            <w:gridSpan w:val="9"/>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sz w:val="18"/>
                <w:szCs w:val="18"/>
              </w:rPr>
            </w:pPr>
          </w:p>
        </w:tc>
      </w:tr>
      <w:tr>
        <w:tblPrEx>
          <w:tblLayout w:type="fixed"/>
          <w:tblCellMar>
            <w:top w:w="0" w:type="dxa"/>
            <w:left w:w="108" w:type="dxa"/>
            <w:bottom w:w="0" w:type="dxa"/>
            <w:right w:w="108" w:type="dxa"/>
          </w:tblCellMar>
        </w:tblPrEx>
        <w:trPr>
          <w:trHeight w:val="390"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sz w:val="18"/>
                <w:szCs w:val="18"/>
              </w:rPr>
            </w:pPr>
            <w:r>
              <w:rPr>
                <w:rFonts w:hint="eastAsia" w:ascii="仿宋" w:hAnsi="仿宋" w:eastAsia="仿宋" w:cs="仿宋"/>
                <w:sz w:val="18"/>
                <w:szCs w:val="18"/>
              </w:rPr>
              <w:t>操作前</w:t>
            </w:r>
          </w:p>
          <w:p>
            <w:pPr>
              <w:spacing w:line="240" w:lineRule="exact"/>
              <w:jc w:val="center"/>
              <w:rPr>
                <w:rFonts w:hint="eastAsia" w:ascii="仿宋" w:hAnsi="仿宋" w:eastAsia="仿宋" w:cs="仿宋"/>
                <w:sz w:val="18"/>
                <w:szCs w:val="18"/>
              </w:rPr>
            </w:pPr>
            <w:r>
              <w:rPr>
                <w:rFonts w:hint="eastAsia" w:ascii="仿宋" w:hAnsi="仿宋" w:eastAsia="仿宋" w:cs="仿宋"/>
                <w:sz w:val="18"/>
                <w:szCs w:val="18"/>
              </w:rPr>
              <w:t>检查</w:t>
            </w:r>
          </w:p>
        </w:tc>
        <w:tc>
          <w:tcPr>
            <w:tcW w:w="840" w:type="dxa"/>
            <w:gridSpan w:val="2"/>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sz w:val="18"/>
                <w:szCs w:val="18"/>
              </w:rPr>
            </w:pPr>
          </w:p>
        </w:tc>
        <w:tc>
          <w:tcPr>
            <w:tcW w:w="81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sz w:val="18"/>
                <w:szCs w:val="18"/>
              </w:rPr>
            </w:pPr>
          </w:p>
        </w:tc>
        <w:tc>
          <w:tcPr>
            <w:tcW w:w="8211"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sz w:val="18"/>
                <w:szCs w:val="18"/>
              </w:rPr>
            </w:pPr>
            <w:r>
              <w:rPr>
                <w:rFonts w:hint="eastAsia" w:ascii="仿宋" w:hAnsi="仿宋" w:eastAsia="仿宋" w:cs="仿宋"/>
                <w:sz w:val="18"/>
                <w:szCs w:val="18"/>
              </w:rPr>
              <w:t>1．确认发电机处于停止状态。</w:t>
            </w:r>
          </w:p>
        </w:tc>
      </w:tr>
      <w:tr>
        <w:tblPrEx>
          <w:tblLayout w:type="fixed"/>
          <w:tblCellMar>
            <w:top w:w="0" w:type="dxa"/>
            <w:left w:w="108" w:type="dxa"/>
            <w:bottom w:w="0" w:type="dxa"/>
            <w:right w:w="108" w:type="dxa"/>
          </w:tblCellMar>
        </w:tblPrEx>
        <w:trPr>
          <w:trHeight w:val="39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sz w:val="18"/>
                <w:szCs w:val="18"/>
              </w:rPr>
            </w:pPr>
          </w:p>
        </w:tc>
        <w:tc>
          <w:tcPr>
            <w:tcW w:w="840" w:type="dxa"/>
            <w:gridSpan w:val="2"/>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sz w:val="18"/>
                <w:szCs w:val="18"/>
              </w:rPr>
            </w:pPr>
          </w:p>
        </w:tc>
        <w:tc>
          <w:tcPr>
            <w:tcW w:w="81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sz w:val="18"/>
                <w:szCs w:val="18"/>
              </w:rPr>
            </w:pPr>
          </w:p>
        </w:tc>
        <w:tc>
          <w:tcPr>
            <w:tcW w:w="8211"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sz w:val="18"/>
                <w:szCs w:val="18"/>
              </w:rPr>
            </w:pPr>
            <w:r>
              <w:rPr>
                <w:rFonts w:hint="eastAsia" w:ascii="仿宋" w:hAnsi="仿宋" w:eastAsia="仿宋" w:cs="仿宋"/>
                <w:sz w:val="18"/>
                <w:szCs w:val="18"/>
              </w:rPr>
              <w:t>2．确认发电机电源已切断。</w:t>
            </w:r>
          </w:p>
        </w:tc>
      </w:tr>
      <w:tr>
        <w:tblPrEx>
          <w:tblLayout w:type="fixed"/>
          <w:tblCellMar>
            <w:top w:w="0" w:type="dxa"/>
            <w:left w:w="108" w:type="dxa"/>
            <w:bottom w:w="0" w:type="dxa"/>
            <w:right w:w="108" w:type="dxa"/>
          </w:tblCellMar>
        </w:tblPrEx>
        <w:trPr>
          <w:trHeight w:val="287" w:hRule="atLeast"/>
        </w:trPr>
        <w:tc>
          <w:tcPr>
            <w:tcW w:w="9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维</w:t>
            </w:r>
          </w:p>
          <w:p>
            <w:pPr>
              <w:jc w:val="center"/>
              <w:rPr>
                <w:rFonts w:hint="eastAsia" w:ascii="仿宋" w:hAnsi="仿宋" w:eastAsia="仿宋" w:cs="仿宋"/>
                <w:sz w:val="18"/>
                <w:szCs w:val="18"/>
              </w:rPr>
            </w:pPr>
            <w:r>
              <w:rPr>
                <w:rFonts w:hint="eastAsia" w:ascii="仿宋" w:hAnsi="仿宋" w:eastAsia="仿宋" w:cs="仿宋"/>
                <w:sz w:val="18"/>
                <w:szCs w:val="18"/>
              </w:rPr>
              <w:t>护</w:t>
            </w:r>
          </w:p>
          <w:p>
            <w:pPr>
              <w:jc w:val="center"/>
              <w:rPr>
                <w:rFonts w:hint="eastAsia" w:ascii="仿宋" w:hAnsi="仿宋" w:eastAsia="仿宋" w:cs="仿宋"/>
                <w:sz w:val="18"/>
                <w:szCs w:val="18"/>
              </w:rPr>
            </w:pPr>
            <w:r>
              <w:rPr>
                <w:rFonts w:hint="eastAsia" w:ascii="仿宋" w:hAnsi="仿宋" w:eastAsia="仿宋" w:cs="仿宋"/>
                <w:sz w:val="18"/>
                <w:szCs w:val="18"/>
              </w:rPr>
              <w:t>保</w:t>
            </w:r>
          </w:p>
          <w:p>
            <w:pPr>
              <w:jc w:val="center"/>
              <w:rPr>
                <w:rFonts w:hint="eastAsia" w:ascii="仿宋" w:hAnsi="仿宋" w:eastAsia="仿宋" w:cs="仿宋"/>
                <w:sz w:val="18"/>
                <w:szCs w:val="18"/>
              </w:rPr>
            </w:pPr>
            <w:r>
              <w:rPr>
                <w:rFonts w:hint="eastAsia" w:ascii="仿宋" w:hAnsi="仿宋" w:eastAsia="仿宋" w:cs="仿宋"/>
                <w:sz w:val="18"/>
                <w:szCs w:val="18"/>
              </w:rPr>
              <w:t>养</w:t>
            </w:r>
          </w:p>
          <w:p>
            <w:pPr>
              <w:jc w:val="center"/>
              <w:rPr>
                <w:rFonts w:hint="eastAsia" w:ascii="仿宋" w:hAnsi="仿宋" w:eastAsia="仿宋" w:cs="仿宋"/>
                <w:sz w:val="18"/>
                <w:szCs w:val="18"/>
              </w:rPr>
            </w:pPr>
            <w:r>
              <w:rPr>
                <w:rFonts w:hint="eastAsia" w:ascii="仿宋" w:hAnsi="仿宋" w:eastAsia="仿宋" w:cs="仿宋"/>
                <w:sz w:val="18"/>
                <w:szCs w:val="18"/>
              </w:rPr>
              <w:t>步</w:t>
            </w:r>
          </w:p>
          <w:p>
            <w:pPr>
              <w:jc w:val="center"/>
              <w:rPr>
                <w:rFonts w:hint="eastAsia" w:ascii="仿宋" w:hAnsi="仿宋" w:eastAsia="仿宋" w:cs="仿宋"/>
                <w:sz w:val="18"/>
                <w:szCs w:val="18"/>
              </w:rPr>
            </w:pPr>
            <w:r>
              <w:rPr>
                <w:rFonts w:hint="eastAsia" w:ascii="仿宋" w:hAnsi="仿宋" w:eastAsia="仿宋" w:cs="仿宋"/>
                <w:sz w:val="18"/>
                <w:szCs w:val="18"/>
              </w:rPr>
              <w:t>骤</w:t>
            </w:r>
          </w:p>
          <w:p>
            <w:pPr>
              <w:jc w:val="center"/>
              <w:rPr>
                <w:rFonts w:hint="eastAsia" w:ascii="仿宋" w:hAnsi="仿宋" w:eastAsia="仿宋" w:cs="仿宋"/>
                <w:sz w:val="18"/>
                <w:szCs w:val="18"/>
              </w:rPr>
            </w:pPr>
            <w:r>
              <w:rPr>
                <w:rFonts w:hint="eastAsia" w:ascii="仿宋" w:hAnsi="仿宋" w:eastAsia="仿宋" w:cs="仿宋"/>
                <w:sz w:val="18"/>
                <w:szCs w:val="18"/>
              </w:rPr>
              <w:t>确</w:t>
            </w:r>
          </w:p>
          <w:p>
            <w:pPr>
              <w:jc w:val="center"/>
              <w:rPr>
                <w:rFonts w:hint="eastAsia" w:ascii="仿宋" w:hAnsi="仿宋" w:eastAsia="仿宋" w:cs="仿宋"/>
                <w:sz w:val="18"/>
                <w:szCs w:val="18"/>
              </w:rPr>
            </w:pPr>
            <w:r>
              <w:rPr>
                <w:rFonts w:hint="eastAsia" w:ascii="仿宋" w:hAnsi="仿宋" w:eastAsia="仿宋" w:cs="仿宋"/>
                <w:sz w:val="18"/>
                <w:szCs w:val="18"/>
              </w:rPr>
              <w:t>认</w:t>
            </w:r>
          </w:p>
        </w:tc>
        <w:tc>
          <w:tcPr>
            <w:tcW w:w="9861" w:type="dxa"/>
            <w:gridSpan w:val="12"/>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hint="eastAsia" w:ascii="仿宋" w:hAnsi="仿宋" w:eastAsia="仿宋" w:cs="仿宋"/>
                <w:sz w:val="18"/>
                <w:szCs w:val="18"/>
              </w:rPr>
            </w:pPr>
            <w:r>
              <w:rPr>
                <w:rFonts w:hint="eastAsia" w:ascii="仿宋" w:hAnsi="仿宋" w:eastAsia="仿宋" w:cs="仿宋"/>
                <w:b/>
                <w:bCs/>
                <w:sz w:val="18"/>
                <w:szCs w:val="18"/>
              </w:rPr>
              <w:t>步  骤  确  认</w:t>
            </w:r>
          </w:p>
        </w:tc>
      </w:tr>
      <w:tr>
        <w:tblPrEx>
          <w:tblLayout w:type="fixed"/>
          <w:tblCellMar>
            <w:top w:w="0" w:type="dxa"/>
            <w:left w:w="108" w:type="dxa"/>
            <w:bottom w:w="0" w:type="dxa"/>
            <w:right w:w="108" w:type="dxa"/>
          </w:tblCellMar>
        </w:tblPrEx>
        <w:trPr>
          <w:trHeight w:val="518"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hint="eastAsia" w:ascii="仿宋" w:hAnsi="仿宋" w:eastAsia="仿宋" w:cs="仿宋"/>
                <w:b/>
                <w:bCs/>
                <w:sz w:val="18"/>
                <w:szCs w:val="18"/>
              </w:rPr>
            </w:pPr>
            <w:r>
              <w:rPr>
                <w:rFonts w:hint="eastAsia" w:ascii="仿宋" w:hAnsi="仿宋" w:eastAsia="仿宋" w:cs="仿宋"/>
                <w:b/>
                <w:bCs/>
                <w:sz w:val="18"/>
                <w:szCs w:val="18"/>
              </w:rPr>
              <w:t>类别</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操作内容</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操</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作</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人</w:t>
            </w:r>
          </w:p>
        </w:tc>
        <w:tc>
          <w:tcPr>
            <w:tcW w:w="580"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b/>
                <w:bCs/>
                <w:sz w:val="18"/>
                <w:szCs w:val="18"/>
              </w:rPr>
            </w:pPr>
            <w:bookmarkStart w:id="218" w:name="_Toc227585073"/>
            <w:r>
              <w:rPr>
                <w:rFonts w:hint="eastAsia" w:ascii="仿宋" w:hAnsi="仿宋" w:eastAsia="仿宋" w:cs="仿宋"/>
                <w:b/>
                <w:bCs/>
                <w:sz w:val="18"/>
                <w:szCs w:val="18"/>
              </w:rPr>
              <w:t>监</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督</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人</w:t>
            </w:r>
          </w:p>
          <w:bookmarkEnd w:id="218"/>
        </w:tc>
        <w:tc>
          <w:tcPr>
            <w:tcW w:w="3577"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left"/>
              <w:textAlignment w:val="baseline"/>
              <w:rPr>
                <w:rFonts w:hint="eastAsia" w:ascii="仿宋" w:hAnsi="仿宋" w:eastAsia="仿宋" w:cs="仿宋"/>
                <w:b/>
                <w:bCs/>
                <w:sz w:val="18"/>
                <w:szCs w:val="18"/>
              </w:rPr>
            </w:pPr>
            <w:r>
              <w:rPr>
                <w:rFonts w:hint="eastAsia" w:ascii="仿宋" w:hAnsi="仿宋" w:eastAsia="仿宋" w:cs="仿宋"/>
                <w:b/>
                <w:bCs/>
                <w:sz w:val="18"/>
                <w:szCs w:val="18"/>
              </w:rPr>
              <w:t>检查内容</w:t>
            </w:r>
          </w:p>
        </w:tc>
        <w:tc>
          <w:tcPr>
            <w:tcW w:w="55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操</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作</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人</w:t>
            </w:r>
          </w:p>
        </w:tc>
        <w:tc>
          <w:tcPr>
            <w:tcW w:w="55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监</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督</w:t>
            </w:r>
          </w:p>
          <w:p>
            <w:pPr>
              <w:spacing w:line="240" w:lineRule="exact"/>
              <w:jc w:val="left"/>
              <w:rPr>
                <w:rFonts w:hint="eastAsia" w:ascii="仿宋" w:hAnsi="仿宋" w:eastAsia="仿宋" w:cs="仿宋"/>
                <w:b/>
                <w:bCs/>
                <w:sz w:val="18"/>
                <w:szCs w:val="18"/>
              </w:rPr>
            </w:pPr>
            <w:r>
              <w:rPr>
                <w:rFonts w:hint="eastAsia" w:ascii="仿宋" w:hAnsi="仿宋" w:eastAsia="仿宋" w:cs="仿宋"/>
                <w:b/>
                <w:bCs/>
                <w:sz w:val="18"/>
                <w:szCs w:val="18"/>
              </w:rPr>
              <w:t>人</w:t>
            </w:r>
          </w:p>
        </w:tc>
      </w:tr>
      <w:tr>
        <w:tblPrEx>
          <w:tblLayout w:type="fixed"/>
          <w:tblCellMar>
            <w:top w:w="0" w:type="dxa"/>
            <w:left w:w="108" w:type="dxa"/>
            <w:bottom w:w="0" w:type="dxa"/>
            <w:right w:w="108" w:type="dxa"/>
          </w:tblCellMar>
        </w:tblPrEx>
        <w:trPr>
          <w:trHeight w:val="431"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一、发电机外观检查</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1-1、外壳是否完整</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ind w:left="270" w:hanging="270" w:hangingChars="150"/>
              <w:jc w:val="left"/>
              <w:rPr>
                <w:rFonts w:hint="eastAsia" w:ascii="仿宋" w:hAnsi="仿宋" w:eastAsia="仿宋" w:cs="仿宋"/>
                <w:sz w:val="18"/>
                <w:szCs w:val="18"/>
              </w:rPr>
            </w:pPr>
            <w:r>
              <w:rPr>
                <w:rFonts w:hint="eastAsia" w:ascii="仿宋" w:hAnsi="仿宋" w:eastAsia="仿宋" w:cs="仿宋"/>
                <w:sz w:val="18"/>
                <w:szCs w:val="18"/>
              </w:rPr>
              <w:t>1-2、无损坏</w:t>
            </w:r>
          </w:p>
        </w:tc>
        <w:tc>
          <w:tcPr>
            <w:tcW w:w="554" w:type="dxa"/>
            <w:tcBorders>
              <w:top w:val="single" w:color="auto" w:sz="4" w:space="0"/>
              <w:left w:val="single" w:color="auto" w:sz="4" w:space="0"/>
              <w:bottom w:val="single" w:color="auto" w:sz="4" w:space="0"/>
              <w:right w:val="single" w:color="auto" w:sz="4" w:space="0"/>
            </w:tcBorders>
            <w:vAlign w:val="center"/>
          </w:tcPr>
          <w:p>
            <w:pPr>
              <w:spacing w:line="400" w:lineRule="exact"/>
              <w:ind w:left="270" w:hanging="270" w:hangingChars="150"/>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spacing w:line="400" w:lineRule="exact"/>
              <w:ind w:left="270" w:hanging="270" w:hangingChars="150"/>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2-1、外壳防腐漆是否完好</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2-2、无锈蚀</w:t>
            </w:r>
          </w:p>
        </w:tc>
        <w:tc>
          <w:tcPr>
            <w:tcW w:w="5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restart"/>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二、发电机防雷接地线检查</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1-1、有无防雷接地线</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1-2、接地线无损坏</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2-1、已进行防雷接地测试</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2-2、测试合格</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restart"/>
            <w:tcBorders>
              <w:top w:val="single" w:color="auto" w:sz="4" w:space="0"/>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三、发电机内部检查</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1-1、油标尺完好无损</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1-2、标识线清晰</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2-1、更换新机油</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tabs>
                <w:tab w:val="left" w:pos="1060"/>
                <w:tab w:val="left" w:pos="1260"/>
                <w:tab w:val="left" w:pos="1890"/>
              </w:tabs>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2-2、机油量介于油标尺的MAX-MIX线之间</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3-1、更换新润滑油</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3-2、润滑油量位于标线的MAX-MIX线之间</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4-1、更换新空滤</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4-2、新空滤安装正确、规范</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5-1、更换新机滤</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5-2、新机滤安装正确、规范</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6-1、电瓶外观完整</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6-2、电瓶溶液无渗漏</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6-3、电瓶线路完好</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6-4、电瓶供电正常</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restart"/>
            <w:tcBorders>
              <w:top w:val="single" w:color="auto" w:sz="4" w:space="0"/>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四、内部线路检查</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1-1、供电线路完好</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1-2、线路接头无松动</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292"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1-3、线路无老化</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403"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restart"/>
            <w:tcBorders>
              <w:top w:val="single" w:color="auto" w:sz="4" w:space="0"/>
              <w:left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r>
              <w:rPr>
                <w:rFonts w:hint="eastAsia" w:ascii="仿宋" w:hAnsi="仿宋" w:eastAsia="仿宋" w:cs="仿宋"/>
                <w:b/>
                <w:bCs/>
                <w:sz w:val="18"/>
                <w:szCs w:val="18"/>
              </w:rPr>
              <w:t>五、试运行工作</w:t>
            </w: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1-1、正常启动发电机1次</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textAlignment w:val="baseline"/>
              <w:rPr>
                <w:rFonts w:hint="eastAsia" w:ascii="仿宋" w:hAnsi="仿宋" w:eastAsia="仿宋" w:cs="仿宋"/>
                <w:sz w:val="18"/>
                <w:szCs w:val="18"/>
              </w:rPr>
            </w:pPr>
            <w:r>
              <w:rPr>
                <w:rFonts w:hint="eastAsia" w:ascii="仿宋" w:hAnsi="仿宋" w:eastAsia="仿宋" w:cs="仿宋"/>
                <w:sz w:val="18"/>
                <w:szCs w:val="18"/>
              </w:rPr>
              <w:t>1-2、启动发电机后跑温10分钟</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00" w:hRule="atLeast"/>
        </w:trPr>
        <w:tc>
          <w:tcPr>
            <w:tcW w:w="9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p>
        </w:tc>
        <w:tc>
          <w:tcPr>
            <w:tcW w:w="1650" w:type="dxa"/>
            <w:gridSpan w:val="3"/>
            <w:vMerge w:val="continue"/>
            <w:tcBorders>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b/>
                <w:bCs/>
                <w:sz w:val="18"/>
                <w:szCs w:val="18"/>
              </w:rPr>
            </w:pPr>
          </w:p>
        </w:tc>
        <w:tc>
          <w:tcPr>
            <w:tcW w:w="2367"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2-1、发电机可以供电220V</w:t>
            </w:r>
          </w:p>
        </w:tc>
        <w:tc>
          <w:tcPr>
            <w:tcW w:w="57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8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2-2、发电机可以供电380V</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c>
          <w:tcPr>
            <w:tcW w:w="55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774" w:hRule="atLeast"/>
        </w:trPr>
        <w:tc>
          <w:tcPr>
            <w:tcW w:w="9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18"/>
                <w:szCs w:val="18"/>
              </w:rPr>
            </w:pPr>
            <w:r>
              <w:rPr>
                <w:rFonts w:hint="eastAsia" w:ascii="仿宋" w:hAnsi="仿宋" w:eastAsia="仿宋" w:cs="仿宋"/>
                <w:sz w:val="18"/>
                <w:szCs w:val="18"/>
              </w:rPr>
              <w:t>收尾工作</w:t>
            </w:r>
          </w:p>
        </w:tc>
        <w:tc>
          <w:tcPr>
            <w:tcW w:w="1650" w:type="dxa"/>
            <w:gridSpan w:val="3"/>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left"/>
              <w:rPr>
                <w:rFonts w:hint="eastAsia" w:ascii="仿宋" w:hAnsi="仿宋" w:eastAsia="仿宋" w:cs="仿宋"/>
                <w:sz w:val="18"/>
                <w:szCs w:val="18"/>
              </w:rPr>
            </w:pPr>
            <w:r>
              <w:rPr>
                <w:rFonts w:hint="eastAsia" w:ascii="仿宋" w:hAnsi="仿宋" w:eastAsia="仿宋" w:cs="仿宋"/>
                <w:b/>
                <w:bCs/>
                <w:sz w:val="18"/>
                <w:szCs w:val="18"/>
              </w:rPr>
              <w:t>监督人</w:t>
            </w:r>
          </w:p>
        </w:tc>
        <w:tc>
          <w:tcPr>
            <w:tcW w:w="8211" w:type="dxa"/>
            <w:gridSpan w:val="9"/>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exact"/>
              <w:jc w:val="left"/>
              <w:rPr>
                <w:rFonts w:hint="eastAsia" w:ascii="仿宋" w:hAnsi="仿宋" w:eastAsia="仿宋" w:cs="仿宋"/>
                <w:kern w:val="0"/>
                <w:sz w:val="18"/>
                <w:szCs w:val="18"/>
                <w:lang w:val="zh-CN"/>
              </w:rPr>
            </w:pPr>
            <w:r>
              <w:rPr>
                <w:rFonts w:hint="eastAsia" w:ascii="仿宋" w:hAnsi="仿宋" w:eastAsia="仿宋" w:cs="仿宋"/>
                <w:kern w:val="0"/>
                <w:sz w:val="18"/>
                <w:szCs w:val="18"/>
                <w:lang w:val="zh-CN"/>
              </w:rPr>
              <w:t xml:space="preserve">1、发电机内部清洁          </w:t>
            </w:r>
            <w:r>
              <w:rPr>
                <w:rFonts w:hint="eastAsia" w:ascii="仿宋" w:hAnsi="仿宋" w:eastAsia="仿宋" w:cs="仿宋"/>
                <w:sz w:val="18"/>
                <w:szCs w:val="18"/>
              </w:rPr>
              <w:t>□</w:t>
            </w:r>
            <w:r>
              <w:rPr>
                <w:rFonts w:hint="eastAsia" w:ascii="仿宋" w:hAnsi="仿宋" w:eastAsia="仿宋" w:cs="仿宋"/>
                <w:kern w:val="0"/>
                <w:sz w:val="18"/>
                <w:szCs w:val="18"/>
                <w:lang w:val="zh-CN"/>
              </w:rPr>
              <w:t xml:space="preserve">    无油污          </w:t>
            </w:r>
            <w:r>
              <w:rPr>
                <w:rFonts w:hint="eastAsia" w:ascii="仿宋" w:hAnsi="仿宋" w:eastAsia="仿宋" w:cs="仿宋"/>
                <w:sz w:val="18"/>
                <w:szCs w:val="18"/>
              </w:rPr>
              <w:t>□</w:t>
            </w:r>
          </w:p>
          <w:p>
            <w:pPr>
              <w:spacing w:line="240" w:lineRule="exact"/>
              <w:jc w:val="left"/>
              <w:rPr>
                <w:rFonts w:hint="eastAsia" w:ascii="仿宋" w:hAnsi="仿宋" w:eastAsia="仿宋" w:cs="仿宋"/>
                <w:kern w:val="0"/>
                <w:sz w:val="18"/>
                <w:szCs w:val="18"/>
                <w:lang w:val="zh-CN"/>
              </w:rPr>
            </w:pPr>
            <w:r>
              <w:rPr>
                <w:rFonts w:hint="eastAsia" w:ascii="仿宋" w:hAnsi="仿宋" w:eastAsia="仿宋" w:cs="仿宋"/>
                <w:kern w:val="0"/>
                <w:sz w:val="18"/>
                <w:szCs w:val="18"/>
                <w:lang w:val="zh-CN"/>
              </w:rPr>
              <w:t xml:space="preserve">2、发电机外壳清洁          </w:t>
            </w:r>
            <w:r>
              <w:rPr>
                <w:rFonts w:hint="eastAsia" w:ascii="仿宋" w:hAnsi="仿宋" w:eastAsia="仿宋" w:cs="仿宋"/>
                <w:sz w:val="18"/>
                <w:szCs w:val="18"/>
              </w:rPr>
              <w:t>□</w:t>
            </w:r>
            <w:r>
              <w:rPr>
                <w:rFonts w:hint="eastAsia" w:ascii="仿宋" w:hAnsi="仿宋" w:eastAsia="仿宋" w:cs="仿宋"/>
                <w:kern w:val="0"/>
                <w:sz w:val="18"/>
                <w:szCs w:val="18"/>
                <w:lang w:val="zh-CN"/>
              </w:rPr>
              <w:t xml:space="preserve">    无油污          </w:t>
            </w:r>
            <w:r>
              <w:rPr>
                <w:rFonts w:hint="eastAsia" w:ascii="仿宋" w:hAnsi="仿宋" w:eastAsia="仿宋" w:cs="仿宋"/>
                <w:sz w:val="18"/>
                <w:szCs w:val="18"/>
              </w:rPr>
              <w:t>□</w:t>
            </w:r>
          </w:p>
          <w:p>
            <w:pPr>
              <w:spacing w:line="240" w:lineRule="exact"/>
              <w:jc w:val="left"/>
              <w:rPr>
                <w:rFonts w:hint="eastAsia" w:ascii="仿宋" w:hAnsi="仿宋" w:eastAsia="仿宋" w:cs="仿宋"/>
                <w:sz w:val="18"/>
                <w:szCs w:val="18"/>
              </w:rPr>
            </w:pPr>
            <w:r>
              <w:rPr>
                <w:rFonts w:hint="eastAsia" w:ascii="仿宋" w:hAnsi="仿宋" w:eastAsia="仿宋" w:cs="仿宋"/>
                <w:kern w:val="0"/>
                <w:sz w:val="18"/>
                <w:szCs w:val="18"/>
                <w:lang w:val="zh-CN"/>
              </w:rPr>
              <w:t xml:space="preserve">3、发电机地坪清洁          </w:t>
            </w:r>
            <w:r>
              <w:rPr>
                <w:rFonts w:hint="eastAsia" w:ascii="仿宋" w:hAnsi="仿宋" w:eastAsia="仿宋" w:cs="仿宋"/>
                <w:sz w:val="18"/>
                <w:szCs w:val="18"/>
              </w:rPr>
              <w:t>□</w:t>
            </w:r>
            <w:r>
              <w:rPr>
                <w:rFonts w:hint="eastAsia" w:ascii="仿宋" w:hAnsi="仿宋" w:eastAsia="仿宋" w:cs="仿宋"/>
                <w:kern w:val="0"/>
                <w:sz w:val="18"/>
                <w:szCs w:val="18"/>
                <w:lang w:val="zh-CN"/>
              </w:rPr>
              <w:t xml:space="preserve">    无油污          </w:t>
            </w:r>
            <w:r>
              <w:rPr>
                <w:rFonts w:hint="eastAsia" w:ascii="仿宋" w:hAnsi="仿宋" w:eastAsia="仿宋" w:cs="仿宋"/>
                <w:sz w:val="18"/>
                <w:szCs w:val="18"/>
              </w:rPr>
              <w:t>□</w:t>
            </w:r>
          </w:p>
        </w:tc>
      </w:tr>
      <w:tr>
        <w:tblPrEx>
          <w:tblLayout w:type="fixed"/>
          <w:tblCellMar>
            <w:top w:w="0" w:type="dxa"/>
            <w:left w:w="108" w:type="dxa"/>
            <w:bottom w:w="0" w:type="dxa"/>
            <w:right w:w="108" w:type="dxa"/>
          </w:tblCellMar>
        </w:tblPrEx>
        <w:trPr>
          <w:trHeight w:val="367" w:hRule="atLeast"/>
        </w:trPr>
        <w:tc>
          <w:tcPr>
            <w:tcW w:w="2634" w:type="dxa"/>
            <w:gridSpan w:val="4"/>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18"/>
                <w:szCs w:val="18"/>
              </w:rPr>
            </w:pPr>
            <w:r>
              <w:rPr>
                <w:rFonts w:hint="eastAsia" w:ascii="仿宋" w:hAnsi="仿宋" w:eastAsia="仿宋" w:cs="仿宋"/>
                <w:sz w:val="18"/>
                <w:szCs w:val="18"/>
              </w:rPr>
              <w:t>存在问题描述</w:t>
            </w:r>
          </w:p>
        </w:tc>
        <w:tc>
          <w:tcPr>
            <w:tcW w:w="8211"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cs="仿宋"/>
                <w:kern w:val="0"/>
                <w:sz w:val="18"/>
                <w:szCs w:val="18"/>
                <w:lang w:val="zh-CN"/>
              </w:rPr>
            </w:pPr>
          </w:p>
        </w:tc>
      </w:tr>
      <w:tr>
        <w:tblPrEx>
          <w:tblLayout w:type="fixed"/>
          <w:tblCellMar>
            <w:top w:w="0" w:type="dxa"/>
            <w:left w:w="108" w:type="dxa"/>
            <w:bottom w:w="0" w:type="dxa"/>
            <w:right w:w="108" w:type="dxa"/>
          </w:tblCellMar>
        </w:tblPrEx>
        <w:trPr>
          <w:trHeight w:val="609" w:hRule="atLeast"/>
        </w:trPr>
        <w:tc>
          <w:tcPr>
            <w:tcW w:w="10845" w:type="dxa"/>
            <w:gridSpan w:val="13"/>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18"/>
                <w:szCs w:val="18"/>
              </w:rPr>
            </w:pPr>
            <w:r>
              <w:rPr>
                <w:rFonts w:hint="eastAsia" w:ascii="仿宋" w:hAnsi="仿宋" w:eastAsia="仿宋" w:cs="仿宋"/>
                <w:sz w:val="18"/>
                <w:szCs w:val="18"/>
              </w:rPr>
              <w:t>说明：1．本卡分别由场站作业人员、监督人员填写并确认。</w:t>
            </w:r>
          </w:p>
          <w:p>
            <w:pPr>
              <w:rPr>
                <w:rFonts w:hint="eastAsia" w:ascii="仿宋" w:hAnsi="仿宋" w:eastAsia="仿宋" w:cs="仿宋"/>
                <w:sz w:val="18"/>
                <w:szCs w:val="18"/>
                <w:highlight w:val="red"/>
              </w:rPr>
            </w:pPr>
            <w:r>
              <w:rPr>
                <w:rFonts w:hint="eastAsia" w:ascii="仿宋" w:hAnsi="仿宋" w:eastAsia="仿宋" w:cs="仿宋"/>
                <w:sz w:val="18"/>
                <w:szCs w:val="18"/>
              </w:rPr>
              <w:t>2．执行情况：已执行的“√”；异常的“×”；未执行的“/”。</w:t>
            </w:r>
          </w:p>
        </w:tc>
      </w:tr>
    </w:tbl>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bookmarkStart w:id="219" w:name="_Toc16606"/>
      <w:bookmarkStart w:id="220" w:name="_Toc2417"/>
      <w:bookmarkStart w:id="221" w:name="_Toc9688"/>
      <w:bookmarkStart w:id="222" w:name="_Toc339530170"/>
      <w:bookmarkStart w:id="223" w:name="_Toc16718"/>
      <w:bookmarkStart w:id="224" w:name="_Toc9568"/>
      <w:bookmarkStart w:id="225" w:name="_Toc15613"/>
      <w:bookmarkStart w:id="226" w:name="_Toc339530092"/>
      <w:bookmarkStart w:id="227" w:name="_Toc18926"/>
      <w:bookmarkStart w:id="228" w:name="_Toc22861"/>
      <w:bookmarkStart w:id="229" w:name="_Toc467"/>
      <w:bookmarkStart w:id="230" w:name="_Toc23177"/>
      <w:bookmarkStart w:id="231" w:name="_Toc26742"/>
      <w:bookmarkStart w:id="232" w:name="_Toc18064"/>
      <w:bookmarkStart w:id="233" w:name="_Toc20524"/>
      <w:bookmarkStart w:id="234" w:name="_Toc23591"/>
      <w:bookmarkStart w:id="235" w:name="_Toc31747"/>
      <w:bookmarkStart w:id="236" w:name="_Toc9"/>
      <w:bookmarkStart w:id="237" w:name="_Toc21279"/>
      <w:bookmarkStart w:id="238" w:name="_Toc2625"/>
      <w:bookmarkStart w:id="239" w:name="_Toc27443"/>
      <w:r>
        <w:rPr>
          <w:rFonts w:hint="eastAsia" w:ascii="方正小标宋简体" w:eastAsia="方正小标宋简体"/>
          <w:b w:val="0"/>
          <w:bCs w:val="0"/>
          <w:sz w:val="36"/>
          <w:szCs w:val="36"/>
        </w:rPr>
        <w:t>中油南充燃气有限责任公司生产调度管理办法</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Start w:id="240" w:name="_Toc339530171"/>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tLeast"/>
        <w:jc w:val="center"/>
        <w:textAlignment w:val="auto"/>
        <w:outlineLvl w:val="1"/>
        <w:rPr>
          <w:rFonts w:hint="eastAsia"/>
          <w:sz w:val="30"/>
          <w:szCs w:val="30"/>
          <w:lang w:eastAsia="zh-CN"/>
        </w:rPr>
      </w:pPr>
      <w:bookmarkStart w:id="241" w:name="_Toc22652"/>
      <w:r>
        <w:rPr>
          <w:rFonts w:hint="eastAsia" w:ascii="方正黑体简体" w:hAnsi="方正黑体简体" w:eastAsia="方正黑体简体" w:cs="方正黑体简体"/>
          <w:b w:val="0"/>
          <w:bCs w:val="0"/>
          <w:sz w:val="30"/>
          <w:szCs w:val="30"/>
          <w:lang w:eastAsia="zh-CN"/>
        </w:rPr>
        <w:t>第一章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总</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bookmarkEnd w:id="240"/>
      <w:bookmarkEnd w:id="24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第一条</w:t>
      </w:r>
      <w:r>
        <w:rPr>
          <w:rFonts w:hint="eastAsia" w:ascii="方正仿宋简体" w:hAnsi="方正仿宋简体" w:eastAsia="方正仿宋简体" w:cs="方正仿宋简体"/>
          <w:sz w:val="28"/>
          <w:szCs w:val="28"/>
        </w:rPr>
        <w:t xml:space="preserve">  为规范中油南充燃气有限责任公司（以下简称公司）的生产调度工作，加强天然气调度管理，确保公司生产运行平稳、安全，按照《四川川港燃气有限责任公司生产调度管理办法》（川港司生〔2016〕22号）要求，结合公司实际情况，特制定《中油南充燃气有限责任公司生产调度管理办法》（以下简称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第二条</w:t>
      </w:r>
      <w:r>
        <w:rPr>
          <w:rFonts w:hint="eastAsia" w:ascii="方正仿宋简体" w:hAnsi="方正仿宋简体" w:eastAsia="方正仿宋简体" w:cs="方正仿宋简体"/>
          <w:sz w:val="28"/>
          <w:szCs w:val="28"/>
        </w:rPr>
        <w:t xml:space="preserve">  本办法规定了调度工作的管理职能、管理内容与要求、检查与考核等。公司生产调度业务主要包括日常调度管理、生产报表及信息管理、输配气调度管理、调度资料管理、调度应急管理等。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第三条</w:t>
      </w:r>
      <w:r>
        <w:rPr>
          <w:rFonts w:hint="eastAsia" w:ascii="方正仿宋简体" w:hAnsi="方正仿宋简体" w:eastAsia="方正仿宋简体" w:cs="方正仿宋简体"/>
          <w:sz w:val="28"/>
          <w:szCs w:val="28"/>
        </w:rPr>
        <w:t xml:space="preserve">  公司生产调度员应认真履行“组织、指挥、协调、监督、服务”的职责。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第四条</w:t>
      </w:r>
      <w:r>
        <w:rPr>
          <w:rFonts w:hint="eastAsia" w:ascii="方正仿宋简体" w:hAnsi="方正仿宋简体" w:eastAsia="方正仿宋简体" w:cs="方正仿宋简体"/>
          <w:sz w:val="28"/>
          <w:szCs w:val="28"/>
        </w:rPr>
        <w:t xml:space="preserve">  本办法适用于中油南充燃气有限责任公司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生产运行调度管理。</w:t>
      </w:r>
      <w:bookmarkStart w:id="242" w:name="_Toc33953017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9"/>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rPr>
        <w:t>第二章  生产调度组织机构及管理职责</w:t>
      </w:r>
      <w:bookmarkEnd w:id="24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是公司调度管理的归口管理部门，公司生产调度员接受川港公司生产调度岗的业务管理和指导。</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第六条</w:t>
      </w:r>
      <w:r>
        <w:rPr>
          <w:rFonts w:hint="eastAsia" w:ascii="方正仿宋简体" w:hAnsi="方正仿宋简体" w:eastAsia="方正仿宋简体" w:cs="方正仿宋简体"/>
          <w:sz w:val="28"/>
          <w:szCs w:val="28"/>
        </w:rPr>
        <w:t xml:space="preserve">  公司设置专职调度人员4人，调度人员负责公司生产调度岗的日常管理工作，实行24小时电话值班制度。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sz w:val="28"/>
          <w:szCs w:val="28"/>
        </w:rPr>
        <w:t xml:space="preserve">  公司机关相关部门在天然气调度工作中的职责是：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rPr>
        <w:t>（一）</w:t>
      </w:r>
      <w:r>
        <w:rPr>
          <w:rFonts w:hint="eastAsia" w:ascii="方正仿宋简体" w:hAnsi="方正仿宋简体" w:eastAsia="方正仿宋简体" w:cs="方正仿宋简体"/>
          <w:sz w:val="28"/>
          <w:szCs w:val="28"/>
          <w:lang w:eastAsia="zh-CN"/>
        </w:rPr>
        <w:t>生产运行部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负责组织贯彻执行上级有关生产运行、天然气调度方面的方针政策及相关管理规定。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负责公司天然气日常调度及气源进气协调工作。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负责各类生产报表的编制、修订，各类生产数据的分析，各类生产信息的收集及处理。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负责生产调度相关资料整理和归档管理工作。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应急事件、事故发生时，按照应急预案开展工作。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在停气碰口等特殊情况时，负责向报社上报停气碰口时间段、停气区域，以及气量协调。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（二）其他管理部门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负责编制上报公司年度及月度天然气营销计划。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、管道部等参与配合生产调度相关工作。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val="0"/>
          <w:sz w:val="30"/>
          <w:szCs w:val="30"/>
        </w:rPr>
      </w:pPr>
      <w:bookmarkStart w:id="243" w:name="_Toc339530173"/>
      <w:r>
        <w:rPr>
          <w:rFonts w:hint="eastAsia" w:ascii="方正黑体简体" w:hAnsi="方正黑体简体" w:eastAsia="方正黑体简体" w:cs="方正黑体简体"/>
          <w:b w:val="0"/>
          <w:bCs w:val="0"/>
          <w:sz w:val="30"/>
          <w:szCs w:val="30"/>
          <w:lang w:eastAsia="zh-CN"/>
        </w:rPr>
        <w:t>第三章</w:t>
      </w:r>
      <w:r>
        <w:rPr>
          <w:rFonts w:hint="eastAsia" w:ascii="方正黑体简体" w:hAnsi="方正黑体简体" w:eastAsia="方正黑体简体" w:cs="方正黑体简体"/>
          <w:b w:val="0"/>
          <w:bCs w:val="0"/>
          <w:sz w:val="30"/>
          <w:szCs w:val="30"/>
        </w:rPr>
        <w:t xml:space="preserve">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日常调度</w:t>
      </w:r>
      <w:bookmarkEnd w:id="24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lang w:eastAsia="zh-CN"/>
        </w:rPr>
        <w:t>第八条</w:t>
      </w:r>
      <w:r>
        <w:rPr>
          <w:rFonts w:hint="eastAsia" w:ascii="方正仿宋简体" w:hAnsi="方正仿宋简体" w:eastAsia="方正仿宋简体" w:cs="方正仿宋简体"/>
          <w:b w:val="0"/>
          <w:bCs w:val="0"/>
          <w:sz w:val="28"/>
          <w:szCs w:val="28"/>
          <w:lang w:val="en-US" w:eastAsia="zh-CN"/>
        </w:rPr>
        <w:t xml:space="preserve">  </w:t>
      </w:r>
      <w:r>
        <w:rPr>
          <w:rFonts w:hint="eastAsia" w:ascii="方正仿宋简体" w:hAnsi="方正仿宋简体" w:eastAsia="方正仿宋简体" w:cs="方正仿宋简体"/>
          <w:b w:val="0"/>
          <w:bCs w:val="0"/>
          <w:sz w:val="28"/>
          <w:szCs w:val="28"/>
        </w:rPr>
        <w:t>日常调度工作主要包括：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lang w:eastAsia="zh-CN"/>
        </w:rPr>
      </w:pPr>
      <w:r>
        <w:rPr>
          <w:rFonts w:hint="eastAsia" w:ascii="方正仿宋简体" w:hAnsi="方正仿宋简体" w:eastAsia="方正仿宋简体" w:cs="方正仿宋简体"/>
          <w:b w:val="0"/>
          <w:bCs w:val="0"/>
          <w:sz w:val="28"/>
          <w:szCs w:val="28"/>
          <w:lang w:val="en-US" w:eastAsia="zh-CN"/>
        </w:rPr>
        <w:t>1.</w:t>
      </w:r>
      <w:r>
        <w:rPr>
          <w:rFonts w:hint="eastAsia" w:ascii="方正仿宋简体" w:hAnsi="方正仿宋简体" w:eastAsia="方正仿宋简体" w:cs="方正仿宋简体"/>
          <w:b w:val="0"/>
          <w:bCs w:val="0"/>
          <w:sz w:val="28"/>
          <w:szCs w:val="28"/>
          <w:lang w:eastAsia="zh-CN"/>
        </w:rPr>
        <w:t>收集编制并分析公司各类生产报表；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val="en-US" w:eastAsia="zh-CN"/>
        </w:rPr>
        <w:t>2.</w:t>
      </w:r>
      <w:r>
        <w:rPr>
          <w:rFonts w:hint="eastAsia" w:ascii="方正仿宋简体" w:hAnsi="方正仿宋简体" w:eastAsia="方正仿宋简体" w:cs="方正仿宋简体"/>
          <w:sz w:val="28"/>
          <w:szCs w:val="28"/>
          <w:lang w:eastAsia="zh-CN"/>
        </w:rPr>
        <w:t>每4小时上报公司民用气瞬时气量掌握公司的生产运行动态；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3.每日9:00前通过分公司生产运行系统录入当日天然气日销量及生产指标数据（包括商业用气开户数、民用气安装数、工程维修数据等）；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4.每日15:00前发送停气公告至报社（停气原由、停气区域、停气时间段）；</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540" w:leftChars="0"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5.</w:t>
      </w:r>
      <w:r>
        <w:rPr>
          <w:rFonts w:hint="eastAsia" w:ascii="方正仿宋简体" w:hAnsi="方正仿宋简体" w:eastAsia="方正仿宋简体" w:cs="方正仿宋简体"/>
          <w:sz w:val="28"/>
          <w:szCs w:val="28"/>
        </w:rPr>
        <w:t>每日15:30前编制次日及后日风险作业计划并报领导审批后上报川港公司调度管理部门；同时于公司门户网站“今日主要风险作业”上挂网公示；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0" w:leftChars="0"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6.</w:t>
      </w:r>
      <w:r>
        <w:rPr>
          <w:rFonts w:hint="eastAsia" w:ascii="方正仿宋简体" w:hAnsi="方正仿宋简体" w:eastAsia="方正仿宋简体" w:cs="方正仿宋简体"/>
          <w:sz w:val="28"/>
          <w:szCs w:val="28"/>
        </w:rPr>
        <w:t>接收和处理各类生产调度指令；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0" w:leftChars="0"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7.</w:t>
      </w:r>
      <w:r>
        <w:rPr>
          <w:rFonts w:hint="eastAsia" w:ascii="方正仿宋简体" w:hAnsi="方正仿宋简体" w:eastAsia="方正仿宋简体" w:cs="方正仿宋简体"/>
          <w:sz w:val="28"/>
          <w:szCs w:val="28"/>
        </w:rPr>
        <w:t>收集整理重要生产信息，及时准确上传下达。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第九条</w:t>
      </w:r>
      <w:r>
        <w:rPr>
          <w:rFonts w:hint="eastAsia" w:ascii="方正仿宋简体" w:hAnsi="方正仿宋简体" w:eastAsia="方正仿宋简体" w:cs="方正仿宋简体"/>
          <w:sz w:val="28"/>
          <w:szCs w:val="28"/>
        </w:rPr>
        <w:t xml:space="preserve">  公司天然气调度严格执行川港公司级、公司级两级调度管理。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第十条</w:t>
      </w:r>
      <w:r>
        <w:rPr>
          <w:rFonts w:hint="eastAsia" w:ascii="方正仿宋简体" w:hAnsi="方正仿宋简体" w:eastAsia="方正仿宋简体" w:cs="方正仿宋简体"/>
          <w:sz w:val="28"/>
          <w:szCs w:val="28"/>
        </w:rPr>
        <w:t xml:space="preserve">  公司调度工作必须做到指挥正确、协调一致、监督到位、服务完善。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sz w:val="28"/>
          <w:szCs w:val="28"/>
        </w:rPr>
        <w:t xml:space="preserve">  调度电话记录应做到来去电人员姓名、单位、来电原因、处理情况记录清晰。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第十二条</w:t>
      </w:r>
      <w:r>
        <w:rPr>
          <w:rFonts w:hint="eastAsia" w:ascii="方正仿宋简体" w:hAnsi="方正仿宋简体" w:eastAsia="方正仿宋简体" w:cs="方正仿宋简体"/>
          <w:sz w:val="28"/>
          <w:szCs w:val="28"/>
        </w:rPr>
        <w:t xml:space="preserve">  在重要节假日和特殊情况下，按要求做好信息的收集汇报，确保节假日期间和特殊情况下的信息及时、准确、畅通。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第十三条</w:t>
      </w:r>
      <w:r>
        <w:rPr>
          <w:rFonts w:hint="eastAsia" w:ascii="方正仿宋简体" w:hAnsi="方正仿宋简体" w:eastAsia="方正仿宋简体" w:cs="方正仿宋简体"/>
          <w:sz w:val="28"/>
          <w:szCs w:val="28"/>
        </w:rPr>
        <w:t xml:space="preserve">  调度指令只能在调度系统中自上而下、逐级下达。调度指令分为口头指令和书面指令两类，具有权威性，相关单位、部门必须协作配合，贯彻执行。下达口头调度指令时，语言表达要准确，言简意赅，重要信息要进行复述，并做好记录；下达书面指令时，必须按照川港公司规定的《中油南充燃气有限责任公司天然气调度令》（格式见附件1）模板填写，严格按拟稿、审核、会签、领导审批的程序办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sz w:val="28"/>
          <w:szCs w:val="28"/>
        </w:rPr>
        <w:t xml:space="preserve">  公司生产调度岗对下达的调度指令进行跟踪监督，收集汇报调度令执行情况；调度人员必须认真领会和严格执行调度令，并将执行情况及时反馈给指令发布单位和相关人员。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rPr>
      </w:pPr>
      <w:bookmarkStart w:id="244" w:name="_Toc339530174"/>
      <w:r>
        <w:rPr>
          <w:rFonts w:hint="eastAsia" w:ascii="方正黑体简体" w:hAnsi="黑体" w:eastAsia="方正黑体简体"/>
          <w:b w:val="0"/>
          <w:bCs w:val="0"/>
          <w:sz w:val="30"/>
          <w:szCs w:val="30"/>
          <w:lang w:eastAsia="zh-CN"/>
        </w:rPr>
        <w:t>第四章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rPr>
        <w:t xml:space="preserve"> 报表编制与管理</w:t>
      </w:r>
      <w:bookmarkEnd w:id="244"/>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第十五条</w:t>
      </w:r>
      <w:r>
        <w:rPr>
          <w:rFonts w:hint="eastAsia" w:ascii="方正仿宋简体" w:hAnsi="方正仿宋简体" w:eastAsia="方正仿宋简体" w:cs="方正仿宋简体"/>
          <w:sz w:val="28"/>
          <w:szCs w:val="28"/>
        </w:rPr>
        <w:t xml:space="preserve">  公司生产调度岗主要编制的报表包括：公司生产日报表、生产经营月报表（包括加臭装置运行月报表等）。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第十六条</w:t>
      </w:r>
      <w:r>
        <w:rPr>
          <w:rFonts w:hint="eastAsia" w:ascii="方正仿宋简体" w:hAnsi="方正仿宋简体" w:eastAsia="方正仿宋简体" w:cs="方正仿宋简体"/>
          <w:sz w:val="28"/>
          <w:szCs w:val="28"/>
        </w:rPr>
        <w:t xml:space="preserve">  每月1号向川港公司上报公司的月度生产经营报表、加臭装置运行月报表。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第十七条</w:t>
      </w:r>
      <w:r>
        <w:rPr>
          <w:rFonts w:hint="eastAsia" w:ascii="方正仿宋简体" w:hAnsi="方正仿宋简体" w:eastAsia="方正仿宋简体" w:cs="方正仿宋简体"/>
          <w:sz w:val="28"/>
          <w:szCs w:val="28"/>
        </w:rPr>
        <w:t xml:space="preserve">  每日10点前上报公司生产日报表至川港调度管理部门，并编制成日生产信息通过内部短信系统发送至相关领导。</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sz w:val="30"/>
          <w:szCs w:val="30"/>
        </w:rPr>
      </w:pPr>
      <w:bookmarkStart w:id="245" w:name="_Toc339530175"/>
      <w:r>
        <w:rPr>
          <w:rFonts w:hint="eastAsia" w:ascii="方正黑体简体" w:hAnsi="黑体" w:eastAsia="方正黑体简体"/>
          <w:b w:val="0"/>
          <w:bCs w:val="0"/>
          <w:sz w:val="30"/>
          <w:szCs w:val="30"/>
          <w:lang w:eastAsia="zh-CN"/>
        </w:rPr>
        <w:t>第五章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rPr>
        <w:t>生产信息管</w:t>
      </w:r>
      <w:bookmarkEnd w:id="245"/>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第十八条</w:t>
      </w:r>
      <w:r>
        <w:rPr>
          <w:rFonts w:hint="eastAsia" w:ascii="方正仿宋简体" w:hAnsi="方正仿宋简体" w:eastAsia="方正仿宋简体" w:cs="方正仿宋简体"/>
          <w:sz w:val="28"/>
          <w:szCs w:val="28"/>
        </w:rPr>
        <w:t xml:space="preserve">  公司生产信息的报送及要求应按照《中油南充燃气有限责任公司生产信息管理办法》执行。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第十九条</w:t>
      </w:r>
      <w:r>
        <w:rPr>
          <w:rFonts w:hint="eastAsia" w:ascii="方正仿宋简体" w:hAnsi="方正仿宋简体" w:eastAsia="方正仿宋简体" w:cs="方正仿宋简体"/>
          <w:sz w:val="28"/>
          <w:szCs w:val="28"/>
        </w:rPr>
        <w:t xml:space="preserve">  生产调度人员对各类上报的生产信息应做到记录详尽、完整，及时对上周的生产信息进行统计汇总和汇报。对需要立即处理的生产信息应及时请示、明确下达调度令。</w:t>
      </w:r>
      <w:bookmarkStart w:id="246" w:name="_Toc33953017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r>
        <w:rPr>
          <w:rFonts w:hint="eastAsia" w:ascii="方正黑体简体" w:hAnsi="黑体" w:eastAsia="方正黑体简体"/>
          <w:b w:val="0"/>
          <w:bCs w:val="0"/>
          <w:sz w:val="30"/>
          <w:szCs w:val="30"/>
          <w:lang w:eastAsia="zh-CN"/>
        </w:rPr>
        <w:t>第六章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停气碰口的调度管理</w:t>
      </w:r>
      <w:bookmarkEnd w:id="24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第二十条</w:t>
      </w:r>
      <w:r>
        <w:rPr>
          <w:rFonts w:hint="eastAsia" w:ascii="方正仿宋简体" w:hAnsi="方正仿宋简体" w:eastAsia="方正仿宋简体" w:cs="方正仿宋简体"/>
          <w:sz w:val="28"/>
          <w:szCs w:val="28"/>
        </w:rPr>
        <w:t xml:space="preserve">  对涉及两个单位及以上的停气碰口及其生产恢复作业，由川港</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牵头，公司的调度部门应加强沟通联系，及时通报相关信息。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第二十一条</w:t>
      </w:r>
      <w:r>
        <w:rPr>
          <w:rFonts w:hint="eastAsia" w:ascii="方正仿宋简体" w:hAnsi="方正仿宋简体" w:eastAsia="方正仿宋简体" w:cs="方正仿宋简体"/>
          <w:sz w:val="28"/>
          <w:szCs w:val="28"/>
        </w:rPr>
        <w:t xml:space="preserve">  一级工业动火的停气碰口作业需上报川港公司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，所有停气碰口作业必须建立台账，对其基本情况做好登记。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bookmarkStart w:id="247" w:name="_Toc339530177"/>
      <w:r>
        <w:rPr>
          <w:rFonts w:hint="eastAsia" w:ascii="方正黑体简体" w:hAnsi="黑体" w:eastAsia="方正黑体简体"/>
          <w:b w:val="0"/>
          <w:bCs w:val="0"/>
          <w:sz w:val="30"/>
          <w:szCs w:val="30"/>
          <w:lang w:eastAsia="zh-CN"/>
        </w:rPr>
        <w:t>第七章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倒输气管理</w:t>
      </w:r>
      <w:bookmarkEnd w:id="247"/>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第二十二条</w:t>
      </w:r>
      <w:r>
        <w:rPr>
          <w:rFonts w:hint="eastAsia" w:ascii="方正仿宋简体" w:hAnsi="方正仿宋简体" w:eastAsia="方正仿宋简体" w:cs="方正仿宋简体"/>
          <w:sz w:val="28"/>
          <w:szCs w:val="28"/>
        </w:rPr>
        <w:t xml:space="preserve">  日常供气量应严格按照月度营销计划和上级临时调整计划进行气量调配。充分利用管网资源优化运行，力求确保管输系统在合理范围内的输送压力。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第二十三条</w:t>
      </w:r>
      <w:r>
        <w:rPr>
          <w:rFonts w:hint="eastAsia" w:ascii="方正仿宋简体" w:hAnsi="方正仿宋简体" w:eastAsia="方正仿宋简体" w:cs="方正仿宋简体"/>
          <w:sz w:val="28"/>
          <w:szCs w:val="28"/>
        </w:rPr>
        <w:t xml:space="preserve">  一类配气站关键流程倒换必须报川港公司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，经批准后方可进行。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b/>
          <w:bCs/>
          <w:sz w:val="28"/>
          <w:szCs w:val="28"/>
        </w:rPr>
        <w:t>第二十四条</w:t>
      </w:r>
      <w:r>
        <w:rPr>
          <w:rFonts w:hint="eastAsia" w:ascii="方正仿宋简体" w:hAnsi="方正仿宋简体" w:eastAsia="方正仿宋简体" w:cs="方正仿宋简体"/>
          <w:sz w:val="28"/>
          <w:szCs w:val="28"/>
        </w:rPr>
        <w:t xml:space="preserve">  当管网压力出现异常时，应及时向公司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汇报，确认原因后做好协调和气量调配工作</w:t>
      </w:r>
      <w:r>
        <w:rPr>
          <w:rFonts w:hint="eastAsia" w:ascii="方正仿宋简体" w:hAnsi="方正仿宋简体" w:eastAsia="方正仿宋简体" w:cs="方正仿宋简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eastAsia="zh-CN"/>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bookmarkStart w:id="248" w:name="_Toc339530178"/>
      <w:r>
        <w:rPr>
          <w:rFonts w:hint="eastAsia" w:ascii="方正黑体简体" w:hAnsi="黑体" w:eastAsia="方正黑体简体"/>
          <w:b w:val="0"/>
          <w:bCs w:val="0"/>
          <w:sz w:val="30"/>
          <w:szCs w:val="30"/>
          <w:lang w:eastAsia="zh-CN"/>
        </w:rPr>
        <w:t>第八章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调度应急管理</w:t>
      </w:r>
      <w:bookmarkEnd w:id="248"/>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第二十五条</w:t>
      </w:r>
      <w:r>
        <w:rPr>
          <w:rFonts w:hint="eastAsia" w:ascii="方正仿宋简体" w:hAnsi="方正仿宋简体" w:eastAsia="方正仿宋简体" w:cs="方正仿宋简体"/>
          <w:sz w:val="28"/>
          <w:szCs w:val="28"/>
        </w:rPr>
        <w:t xml:space="preserve">  对生产异常情况，应及时填写上报《中油南充燃气有限责任公司生产异常信息报送单》（格式见附件2），公司生产调度岗对上报的信息进行跟踪记录，并及时向公司分管和主要领导汇报，经公司领导审核后上报上级单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第二十六条</w:t>
      </w:r>
      <w:r>
        <w:rPr>
          <w:rFonts w:hint="eastAsia" w:ascii="方正仿宋简体" w:hAnsi="方正仿宋简体" w:eastAsia="方正仿宋简体" w:cs="方正仿宋简体"/>
          <w:sz w:val="28"/>
          <w:szCs w:val="28"/>
        </w:rPr>
        <w:t xml:space="preserve">  对突发事件的报送按照《中油南充燃气有限责任公司公司突发事件总体应急救援预案》执行。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第二十七条</w:t>
      </w:r>
      <w:r>
        <w:rPr>
          <w:rFonts w:hint="eastAsia" w:ascii="方正仿宋简体" w:hAnsi="方正仿宋简体" w:eastAsia="方正仿宋简体" w:cs="方正仿宋简体"/>
          <w:sz w:val="28"/>
          <w:szCs w:val="28"/>
        </w:rPr>
        <w:t xml:space="preserve">  公司应组织调度部门参与天然气调度相关的各种应急预案演练，并做好相关资料的记录和保存。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第二十八条</w:t>
      </w:r>
      <w:r>
        <w:rPr>
          <w:rFonts w:hint="eastAsia" w:ascii="方正仿宋简体" w:hAnsi="方正仿宋简体" w:eastAsia="方正仿宋简体" w:cs="方正仿宋简体"/>
          <w:sz w:val="28"/>
          <w:szCs w:val="28"/>
        </w:rPr>
        <w:t xml:space="preserve">  应急物资的储备管理按照“定点储存、统一标志、分级管理、专项使用”的原则，依据《中油南充燃气有限责任公司突发事件应急物资储备管理实施细则》执行。</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bookmarkStart w:id="249" w:name="_Toc339530179"/>
      <w:r>
        <w:rPr>
          <w:rFonts w:hint="eastAsia" w:ascii="方正黑体简体" w:hAnsi="黑体" w:eastAsia="方正黑体简体"/>
          <w:b w:val="0"/>
          <w:bCs w:val="0"/>
          <w:sz w:val="30"/>
          <w:szCs w:val="30"/>
          <w:lang w:eastAsia="zh-CN"/>
        </w:rPr>
        <w:t>第九章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调度资料管理</w:t>
      </w:r>
      <w:bookmarkEnd w:id="24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第二十九条</w:t>
      </w:r>
      <w:r>
        <w:rPr>
          <w:rFonts w:hint="eastAsia" w:ascii="方正仿宋简体" w:hAnsi="方正仿宋简体" w:eastAsia="方正仿宋简体" w:cs="方正仿宋简体"/>
          <w:sz w:val="28"/>
          <w:szCs w:val="28"/>
        </w:rPr>
        <w:t xml:space="preserve">  调度资料包括电话记录、调度指令、生产日报表、生产月报表、生产信息汇总表、工程质量验收登记、工程任务安排、设计书收发登记、商业点火单发放登记、各类书面请示（文件）等。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第三十条</w:t>
      </w:r>
      <w:r>
        <w:rPr>
          <w:rFonts w:hint="eastAsia" w:ascii="方正仿宋简体" w:hAnsi="方正仿宋简体" w:eastAsia="方正仿宋简体" w:cs="方正仿宋简体"/>
          <w:sz w:val="28"/>
          <w:szCs w:val="28"/>
        </w:rPr>
        <w:t xml:space="preserve">  公司生产调度人员每年年底前对各类调度资料进行整理归档。归档分为电子归档和纸质归档两类，要求资料完整，模板统一，妥善保存。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第三十一条</w:t>
      </w:r>
      <w:r>
        <w:rPr>
          <w:rFonts w:hint="eastAsia" w:ascii="方正仿宋简体" w:hAnsi="方正仿宋简体" w:eastAsia="方正仿宋简体" w:cs="方正仿宋简体"/>
          <w:sz w:val="28"/>
          <w:szCs w:val="28"/>
        </w:rPr>
        <w:t xml:space="preserve">  加强调度资料的保密工作，调度资料由专人分工负责整理、保存，内部人员查阅调度资料必须有记录，不得遗失。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第三十二条</w:t>
      </w:r>
      <w:r>
        <w:rPr>
          <w:rFonts w:hint="eastAsia" w:ascii="方正仿宋简体" w:hAnsi="方正仿宋简体" w:eastAsia="方正仿宋简体" w:cs="方正仿宋简体"/>
          <w:sz w:val="28"/>
          <w:szCs w:val="28"/>
        </w:rPr>
        <w:t xml:space="preserve">  禁止任何人在调度管理专用计算机、值班调度电话等设备上从事与调度工作无关的活动。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bookmarkStart w:id="250" w:name="_Toc339530180"/>
      <w:r>
        <w:rPr>
          <w:rFonts w:hint="eastAsia" w:ascii="方正黑体简体" w:hAnsi="黑体" w:eastAsia="方正黑体简体"/>
          <w:b w:val="0"/>
          <w:bCs w:val="0"/>
          <w:sz w:val="30"/>
          <w:szCs w:val="30"/>
          <w:lang w:eastAsia="zh-CN"/>
        </w:rPr>
        <w:t>第十章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检查与考核</w:t>
      </w:r>
      <w:bookmarkEnd w:id="25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第三十三条</w:t>
      </w:r>
      <w:r>
        <w:rPr>
          <w:rFonts w:hint="eastAsia" w:ascii="方正仿宋简体" w:eastAsia="方正仿宋简体"/>
          <w:sz w:val="28"/>
          <w:szCs w:val="28"/>
        </w:rPr>
        <w:t xml:space="preserve">  </w:t>
      </w:r>
      <w:r>
        <w:rPr>
          <w:rFonts w:hint="eastAsia" w:ascii="方正仿宋简体" w:eastAsia="方正仿宋简体"/>
          <w:sz w:val="28"/>
          <w:szCs w:val="28"/>
          <w:lang w:eastAsia="zh-CN"/>
        </w:rPr>
        <w:t>生产运行部</w:t>
      </w:r>
      <w:r>
        <w:rPr>
          <w:rFonts w:hint="eastAsia" w:ascii="方正仿宋简体" w:eastAsia="方正仿宋简体"/>
          <w:sz w:val="28"/>
          <w:szCs w:val="28"/>
        </w:rPr>
        <w:t>检查监督本办法的执行。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第三十四条</w:t>
      </w:r>
      <w:r>
        <w:rPr>
          <w:rFonts w:hint="eastAsia" w:ascii="方正仿宋简体" w:eastAsia="方正仿宋简体"/>
          <w:sz w:val="28"/>
          <w:szCs w:val="28"/>
        </w:rPr>
        <w:t xml:space="preserve">  </w:t>
      </w:r>
      <w:r>
        <w:rPr>
          <w:rFonts w:hint="eastAsia" w:ascii="方正仿宋简体" w:eastAsia="方正仿宋简体"/>
          <w:sz w:val="28"/>
          <w:szCs w:val="28"/>
          <w:lang w:eastAsia="zh-CN"/>
        </w:rPr>
        <w:t>生产运行部</w:t>
      </w:r>
      <w:r>
        <w:rPr>
          <w:rFonts w:hint="eastAsia" w:ascii="方正仿宋简体" w:eastAsia="方正仿宋简体"/>
          <w:sz w:val="28"/>
          <w:szCs w:val="28"/>
        </w:rPr>
        <w:t>负责对公司生产调度岗各项工作情况进行考核，负责对公司调度指令执行情况进行考核。</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bookmarkStart w:id="251" w:name="_Toc339530181"/>
      <w:r>
        <w:rPr>
          <w:rFonts w:hint="eastAsia" w:ascii="方正黑体简体" w:hAnsi="黑体" w:eastAsia="方正黑体简体"/>
          <w:b w:val="0"/>
          <w:bCs w:val="0"/>
          <w:sz w:val="30"/>
          <w:szCs w:val="30"/>
          <w:lang w:eastAsia="zh-CN"/>
        </w:rPr>
        <w:t>第十一章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附</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则</w:t>
      </w:r>
      <w:bookmarkEnd w:id="25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第三十五条</w:t>
      </w:r>
      <w:r>
        <w:rPr>
          <w:rFonts w:hint="eastAsia" w:ascii="方正仿宋简体" w:eastAsia="方正仿宋简体"/>
          <w:sz w:val="28"/>
          <w:szCs w:val="28"/>
        </w:rPr>
        <w:t xml:space="preserve">  本办法由</w:t>
      </w:r>
      <w:r>
        <w:rPr>
          <w:rFonts w:hint="eastAsia" w:ascii="方正仿宋简体" w:eastAsia="方正仿宋简体"/>
          <w:sz w:val="28"/>
          <w:szCs w:val="28"/>
          <w:lang w:eastAsia="zh-CN"/>
        </w:rPr>
        <w:t>生产运行部</w:t>
      </w:r>
      <w:r>
        <w:rPr>
          <w:rFonts w:hint="eastAsia" w:ascii="方正仿宋简体" w:eastAsia="方正仿宋简体"/>
          <w:sz w:val="28"/>
          <w:szCs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sz w:val="32"/>
          <w:szCs w:val="32"/>
        </w:rPr>
      </w:pPr>
      <w:r>
        <w:rPr>
          <w:rFonts w:hint="eastAsia" w:ascii="方正仿宋简体" w:hAnsi="方正仿宋简体" w:eastAsia="方正仿宋简体" w:cs="方正仿宋简体"/>
          <w:b/>
          <w:bCs/>
          <w:sz w:val="28"/>
          <w:szCs w:val="28"/>
        </w:rPr>
        <w:t>第三十六条</w:t>
      </w:r>
      <w:r>
        <w:rPr>
          <w:rFonts w:hint="eastAsia" w:ascii="方正仿宋简体" w:eastAsia="方正仿宋简体"/>
          <w:sz w:val="28"/>
          <w:szCs w:val="28"/>
        </w:rPr>
        <w:t xml:space="preserve">  本办法自印发之日起实施。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700" w:firstLineChars="250"/>
        <w:textAlignment w:val="auto"/>
        <w:rPr>
          <w:rFonts w:hint="eastAsia" w:ascii="方正仿宋简体" w:eastAsia="方正仿宋简体"/>
          <w:sz w:val="28"/>
          <w:szCs w:val="28"/>
        </w:rPr>
      </w:pPr>
      <w:r>
        <w:rPr>
          <w:rFonts w:hint="eastAsia" w:ascii="方正仿宋简体" w:eastAsia="方正仿宋简体"/>
          <w:sz w:val="28"/>
          <w:szCs w:val="28"/>
        </w:rPr>
        <w:t>附件：</w:t>
      </w: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r>
        <w:rPr>
          <w:rFonts w:hint="eastAsia" w:ascii="方正仿宋简体" w:eastAsia="方正仿宋简体"/>
          <w:sz w:val="28"/>
          <w:szCs w:val="28"/>
        </w:rPr>
        <w:t>1.中油南充燃气有限责任公司天然气调度令</w:t>
      </w: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r>
        <w:rPr>
          <w:rFonts w:hint="eastAsia" w:ascii="方正仿宋简体" w:eastAsia="方正仿宋简体"/>
          <w:sz w:val="28"/>
          <w:szCs w:val="28"/>
        </w:rPr>
        <w:t>2.中油南充燃气有限责任公司生产异常信息报送单</w:t>
      </w: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540" w:firstLineChars="550"/>
        <w:textAlignment w:val="auto"/>
        <w:rPr>
          <w:rFonts w:hint="eastAsia" w:ascii="方正仿宋简体" w:eastAsia="方正仿宋简体"/>
          <w:sz w:val="28"/>
          <w:szCs w:val="28"/>
        </w:rPr>
      </w:pPr>
    </w:p>
    <w:tbl>
      <w:tblPr>
        <w:tblStyle w:val="51"/>
        <w:tblpPr w:leftFromText="180" w:rightFromText="180" w:vertAnchor="text" w:horzAnchor="page" w:tblpX="1611" w:tblpY="81"/>
        <w:tblOverlap w:val="never"/>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2"/>
        <w:gridCol w:w="4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8" w:hRule="atLeast"/>
        </w:trPr>
        <w:tc>
          <w:tcPr>
            <w:tcW w:w="8780" w:type="dxa"/>
            <w:gridSpan w:val="2"/>
            <w:vAlign w:val="top"/>
          </w:tcPr>
          <w:p>
            <w:pPr>
              <w:jc w:val="left"/>
              <w:rPr>
                <w:rFonts w:hint="eastAsia"/>
                <w:b/>
                <w:bCs/>
                <w:sz w:val="36"/>
                <w:szCs w:val="36"/>
              </w:rPr>
            </w:pPr>
            <w:r>
              <w:rPr>
                <w:rFonts w:hint="eastAsia"/>
                <w:sz w:val="11"/>
                <w:szCs w:val="11"/>
              </w:rPr>
              <w:drawing>
                <wp:inline distT="0" distB="0" distL="114300" distR="114300">
                  <wp:extent cx="696595" cy="403860"/>
                  <wp:effectExtent l="0" t="0" r="0" b="7620"/>
                  <wp:docPr id="81"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logo"/>
                          <pic:cNvPicPr>
                            <a:picLocks noChangeAspect="1"/>
                          </pic:cNvPicPr>
                        </pic:nvPicPr>
                        <pic:blipFill>
                          <a:blip r:embed="rId24"/>
                          <a:stretch>
                            <a:fillRect/>
                          </a:stretch>
                        </pic:blipFill>
                        <pic:spPr>
                          <a:xfrm>
                            <a:off x="0" y="0"/>
                            <a:ext cx="696595" cy="403860"/>
                          </a:xfrm>
                          <a:prstGeom prst="rect">
                            <a:avLst/>
                          </a:prstGeom>
                          <a:noFill/>
                          <a:ln>
                            <a:noFill/>
                          </a:ln>
                        </pic:spPr>
                      </pic:pic>
                    </a:graphicData>
                  </a:graphic>
                </wp:inline>
              </w:drawing>
            </w:r>
            <w:r>
              <w:rPr>
                <w:rFonts w:hint="eastAsia"/>
                <w:b/>
                <w:bCs/>
                <w:sz w:val="36"/>
                <w:szCs w:val="36"/>
              </w:rPr>
              <w:t>中油南充燃气有限责任公司天然气调度令</w:t>
            </w:r>
          </w:p>
          <w:p>
            <w:pPr>
              <w:jc w:val="center"/>
              <w:rPr>
                <w:rFonts w:hint="eastAsia"/>
                <w:sz w:val="24"/>
              </w:rPr>
            </w:pPr>
            <w:r>
              <w:rPr>
                <w:rFonts w:hint="eastAsia"/>
                <w:sz w:val="24"/>
              </w:rPr>
              <w:t>（20  年第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7" w:hRule="atLeast"/>
        </w:trPr>
        <w:tc>
          <w:tcPr>
            <w:tcW w:w="4432" w:type="dxa"/>
            <w:vAlign w:val="top"/>
          </w:tcPr>
          <w:p>
            <w:pPr>
              <w:rPr>
                <w:rFonts w:hint="eastAsia"/>
                <w:sz w:val="24"/>
                <w:szCs w:val="24"/>
              </w:rPr>
            </w:pPr>
            <w:r>
              <w:rPr>
                <w:rFonts w:hint="eastAsia"/>
                <w:sz w:val="24"/>
                <w:szCs w:val="24"/>
              </w:rPr>
              <w:t>签发：</w:t>
            </w:r>
          </w:p>
        </w:tc>
        <w:tc>
          <w:tcPr>
            <w:tcW w:w="4348" w:type="dxa"/>
            <w:vAlign w:val="top"/>
          </w:tcPr>
          <w:p>
            <w:pPr>
              <w:jc w:val="both"/>
              <w:rPr>
                <w:rFonts w:hint="eastAsia"/>
                <w:sz w:val="24"/>
                <w:szCs w:val="24"/>
              </w:rPr>
            </w:pPr>
            <w:r>
              <w:rPr>
                <w:rFonts w:hint="eastAsia"/>
                <w:sz w:val="24"/>
                <w:szCs w:val="24"/>
              </w:rPr>
              <w:t>主办单位：中油南充燃气有限责任公司</w:t>
            </w:r>
          </w:p>
          <w:p>
            <w:pPr>
              <w:ind w:firstLine="1200" w:firstLineChars="500"/>
              <w:jc w:val="center"/>
              <w:rPr>
                <w:rFonts w:hint="eastAsia" w:eastAsia="宋体"/>
                <w:sz w:val="24"/>
                <w:szCs w:val="24"/>
                <w:lang w:eastAsia="zh-CN"/>
              </w:rPr>
            </w:pPr>
            <w:r>
              <w:rPr>
                <w:rFonts w:hint="eastAsia"/>
                <w:sz w:val="24"/>
                <w:szCs w:val="24"/>
                <w:lang w:eastAsia="zh-CN"/>
              </w:rPr>
              <w:t>生产运行部</w:t>
            </w:r>
          </w:p>
          <w:p>
            <w:pPr>
              <w:rPr>
                <w:rFonts w:hint="eastAsia"/>
                <w:sz w:val="24"/>
                <w:szCs w:val="24"/>
              </w:rPr>
            </w:pPr>
            <w:r>
              <w:rPr>
                <w:rFonts w:hint="eastAsia"/>
                <w:spacing w:val="60"/>
                <w:kern w:val="0"/>
                <w:sz w:val="24"/>
                <w:szCs w:val="24"/>
              </w:rPr>
              <w:t>拟稿</w:t>
            </w:r>
            <w:r>
              <w:rPr>
                <w:rFonts w:hint="eastAsia"/>
                <w:kern w:val="0"/>
                <w:sz w:val="24"/>
                <w:szCs w:val="24"/>
              </w:rPr>
              <w:t>人</w:t>
            </w:r>
            <w:r>
              <w:rPr>
                <w:rFonts w:hint="eastAsia"/>
                <w:sz w:val="24"/>
                <w:szCs w:val="24"/>
              </w:rPr>
              <w:t>：</w:t>
            </w:r>
          </w:p>
          <w:p>
            <w:pPr>
              <w:rPr>
                <w:rFonts w:hint="eastAsia"/>
                <w:sz w:val="24"/>
                <w:szCs w:val="24"/>
              </w:rPr>
            </w:pPr>
          </w:p>
          <w:p>
            <w:pPr>
              <w:rPr>
                <w:rFonts w:hint="eastAsia"/>
                <w:sz w:val="24"/>
                <w:szCs w:val="24"/>
              </w:rPr>
            </w:pPr>
            <w:r>
              <w:rPr>
                <w:rFonts w:hint="eastAsia"/>
                <w:spacing w:val="60"/>
                <w:kern w:val="0"/>
                <w:sz w:val="24"/>
                <w:szCs w:val="24"/>
              </w:rPr>
              <w:t>审核</w:t>
            </w:r>
            <w:r>
              <w:rPr>
                <w:rFonts w:hint="eastAsia"/>
                <w:kern w:val="0"/>
                <w:sz w:val="24"/>
                <w:szCs w:val="24"/>
              </w:rPr>
              <w:t>人</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1" w:hRule="atLeast"/>
        </w:trPr>
        <w:tc>
          <w:tcPr>
            <w:tcW w:w="8780" w:type="dxa"/>
            <w:gridSpan w:val="2"/>
            <w:vAlign w:val="center"/>
          </w:tcPr>
          <w:p>
            <w:pPr>
              <w:rPr>
                <w:rFonts w:hint="eastAsia"/>
                <w:b/>
                <w:bCs/>
                <w:sz w:val="24"/>
                <w:szCs w:val="24"/>
              </w:rPr>
            </w:pPr>
            <w:r>
              <w:rPr>
                <w:rFonts w:hint="eastAsia"/>
                <w:b/>
                <w:bCs/>
                <w:sz w:val="24"/>
                <w:szCs w:val="24"/>
              </w:rPr>
              <w:t>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4" w:hRule="atLeast"/>
        </w:trPr>
        <w:tc>
          <w:tcPr>
            <w:tcW w:w="4432" w:type="dxa"/>
            <w:vAlign w:val="top"/>
          </w:tcPr>
          <w:p>
            <w:pPr>
              <w:rPr>
                <w:rFonts w:hint="eastAsia"/>
                <w:spacing w:val="-2"/>
                <w:sz w:val="24"/>
                <w:szCs w:val="24"/>
              </w:rPr>
            </w:pPr>
            <w:r>
              <w:rPr>
                <w:rFonts w:hint="eastAsia"/>
                <w:spacing w:val="-2"/>
                <w:sz w:val="24"/>
                <w:szCs w:val="24"/>
              </w:rPr>
              <w:t>发送单位：</w:t>
            </w:r>
          </w:p>
          <w:p>
            <w:pPr>
              <w:rPr>
                <w:rFonts w:hint="eastAsia"/>
                <w:spacing w:val="-2"/>
                <w:sz w:val="24"/>
                <w:szCs w:val="24"/>
              </w:rPr>
            </w:pPr>
          </w:p>
          <w:p>
            <w:pPr>
              <w:jc w:val="both"/>
              <w:rPr>
                <w:rFonts w:hint="eastAsia" w:eastAsia="宋体"/>
                <w:spacing w:val="-2"/>
                <w:sz w:val="24"/>
                <w:szCs w:val="24"/>
                <w:lang w:eastAsia="zh-CN"/>
              </w:rPr>
            </w:pPr>
            <w:r>
              <w:rPr>
                <w:rFonts w:hint="eastAsia"/>
                <w:spacing w:val="-2"/>
                <w:sz w:val="24"/>
                <w:szCs w:val="24"/>
              </w:rPr>
              <w:t>中油南充燃气有限责任公司</w:t>
            </w:r>
            <w:r>
              <w:rPr>
                <w:rFonts w:hint="eastAsia"/>
                <w:spacing w:val="-2"/>
                <w:sz w:val="24"/>
                <w:szCs w:val="24"/>
                <w:lang w:eastAsia="zh-CN"/>
              </w:rPr>
              <w:t>生产运行部</w:t>
            </w:r>
          </w:p>
        </w:tc>
        <w:tc>
          <w:tcPr>
            <w:tcW w:w="4348" w:type="dxa"/>
            <w:vAlign w:val="top"/>
          </w:tcPr>
          <w:p>
            <w:pPr>
              <w:rPr>
                <w:rFonts w:hint="eastAsia"/>
                <w:sz w:val="24"/>
                <w:szCs w:val="24"/>
              </w:rPr>
            </w:pPr>
            <w:r>
              <w:rPr>
                <w:rFonts w:hint="eastAsia"/>
                <w:sz w:val="24"/>
                <w:szCs w:val="24"/>
              </w:rPr>
              <w:t>会稿部门：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1" w:hRule="atLeast"/>
        </w:trPr>
        <w:tc>
          <w:tcPr>
            <w:tcW w:w="8780" w:type="dxa"/>
            <w:gridSpan w:val="2"/>
            <w:vAlign w:val="top"/>
          </w:tcPr>
          <w:p>
            <w:pPr>
              <w:ind w:right="-277" w:rightChars="-132"/>
              <w:rPr>
                <w:rFonts w:hint="eastAsia" w:ascii="宋体" w:hAnsi="宋体"/>
                <w:sz w:val="32"/>
                <w:szCs w:val="32"/>
              </w:rPr>
            </w:pPr>
          </w:p>
        </w:tc>
      </w:tr>
    </w:tbl>
    <w:p>
      <w:pPr>
        <w:widowControl/>
        <w:jc w:val="left"/>
        <w:rPr>
          <w:rFonts w:hint="eastAsia" w:ascii="方正仿宋简体" w:hAnsi="方正仿宋简体" w:eastAsia="方正仿宋简体" w:cs="方正仿宋简体"/>
          <w:b/>
          <w:bCs/>
          <w:kern w:val="0"/>
          <w:sz w:val="28"/>
          <w:szCs w:val="28"/>
          <w:lang w:eastAsia="zh-CN"/>
        </w:rPr>
      </w:pPr>
    </w:p>
    <w:p>
      <w:pPr>
        <w:rPr>
          <w:rFonts w:hint="eastAsia" w:ascii="方正黑体简体" w:hAnsi="方正黑体简体" w:eastAsia="方正黑体简体" w:cs="方正黑体简体"/>
          <w:b/>
          <w:bCs/>
          <w:sz w:val="36"/>
          <w:szCs w:val="36"/>
        </w:rPr>
      </w:pPr>
      <w:r>
        <w:rPr>
          <w:rFonts w:hint="eastAsia" w:ascii="方正黑体简体" w:hAnsi="方正黑体简体" w:eastAsia="方正黑体简体" w:cs="方正黑体简体"/>
          <w:b/>
          <w:bCs/>
          <w:sz w:val="36"/>
          <w:szCs w:val="36"/>
        </w:rPr>
        <w:br w:type="page"/>
      </w:r>
    </w:p>
    <w:tbl>
      <w:tblPr>
        <w:tblStyle w:val="51"/>
        <w:tblW w:w="11080" w:type="dxa"/>
        <w:tblInd w:w="-743" w:type="dxa"/>
        <w:tblLayout w:type="fixed"/>
        <w:tblCellMar>
          <w:top w:w="0" w:type="dxa"/>
          <w:left w:w="108" w:type="dxa"/>
          <w:bottom w:w="0" w:type="dxa"/>
          <w:right w:w="108" w:type="dxa"/>
        </w:tblCellMar>
      </w:tblPr>
      <w:tblGrid>
        <w:gridCol w:w="1434"/>
        <w:gridCol w:w="1080"/>
        <w:gridCol w:w="1080"/>
        <w:gridCol w:w="1080"/>
        <w:gridCol w:w="1080"/>
        <w:gridCol w:w="1080"/>
        <w:gridCol w:w="1080"/>
        <w:gridCol w:w="1080"/>
        <w:gridCol w:w="1080"/>
        <w:gridCol w:w="1006"/>
      </w:tblGrid>
      <w:tr>
        <w:tblPrEx>
          <w:tblLayout w:type="fixed"/>
          <w:tblCellMar>
            <w:top w:w="0" w:type="dxa"/>
            <w:left w:w="108" w:type="dxa"/>
            <w:bottom w:w="0" w:type="dxa"/>
            <w:right w:w="108" w:type="dxa"/>
          </w:tblCellMar>
        </w:tblPrEx>
        <w:trPr>
          <w:trHeight w:val="285" w:hRule="atLeast"/>
        </w:trPr>
        <w:tc>
          <w:tcPr>
            <w:tcW w:w="3594" w:type="dxa"/>
            <w:gridSpan w:val="3"/>
            <w:tcBorders>
              <w:top w:val="nil"/>
              <w:left w:val="nil"/>
              <w:bottom w:val="nil"/>
              <w:right w:val="nil"/>
            </w:tcBorders>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单位：</w:t>
            </w:r>
          </w:p>
        </w:tc>
        <w:tc>
          <w:tcPr>
            <w:tcW w:w="1080" w:type="dxa"/>
            <w:tcBorders>
              <w:top w:val="nil"/>
              <w:left w:val="nil"/>
              <w:bottom w:val="nil"/>
              <w:right w:val="nil"/>
            </w:tcBorders>
            <w:vAlign w:val="bottom"/>
          </w:tcPr>
          <w:p>
            <w:pPr>
              <w:widowControl/>
              <w:jc w:val="right"/>
              <w:rPr>
                <w:rFonts w:ascii="宋体" w:hAnsi="宋体" w:cs="宋体"/>
                <w:kern w:val="0"/>
                <w:sz w:val="20"/>
                <w:szCs w:val="20"/>
              </w:rPr>
            </w:pPr>
          </w:p>
        </w:tc>
        <w:tc>
          <w:tcPr>
            <w:tcW w:w="1080" w:type="dxa"/>
            <w:tcBorders>
              <w:top w:val="nil"/>
              <w:left w:val="nil"/>
              <w:bottom w:val="nil"/>
              <w:right w:val="nil"/>
            </w:tcBorders>
            <w:vAlign w:val="bottom"/>
          </w:tcPr>
          <w:p>
            <w:pPr>
              <w:widowControl/>
              <w:jc w:val="right"/>
              <w:rPr>
                <w:rFonts w:ascii="宋体" w:hAnsi="宋体" w:cs="宋体"/>
                <w:kern w:val="0"/>
                <w:sz w:val="20"/>
                <w:szCs w:val="20"/>
              </w:rPr>
            </w:pPr>
          </w:p>
        </w:tc>
        <w:tc>
          <w:tcPr>
            <w:tcW w:w="1080" w:type="dxa"/>
            <w:tcBorders>
              <w:top w:val="nil"/>
              <w:left w:val="nil"/>
              <w:bottom w:val="nil"/>
              <w:right w:val="nil"/>
            </w:tcBorders>
            <w:vAlign w:val="bottom"/>
          </w:tcPr>
          <w:p>
            <w:pPr>
              <w:widowControl/>
              <w:jc w:val="right"/>
              <w:rPr>
                <w:rFonts w:ascii="宋体" w:hAnsi="宋体" w:cs="宋体"/>
                <w:kern w:val="0"/>
                <w:sz w:val="20"/>
                <w:szCs w:val="20"/>
              </w:rPr>
            </w:pPr>
          </w:p>
        </w:tc>
        <w:tc>
          <w:tcPr>
            <w:tcW w:w="1080" w:type="dxa"/>
            <w:tcBorders>
              <w:top w:val="nil"/>
              <w:left w:val="nil"/>
              <w:bottom w:val="nil"/>
              <w:right w:val="nil"/>
            </w:tcBorders>
            <w:vAlign w:val="bottom"/>
          </w:tcPr>
          <w:p>
            <w:pPr>
              <w:widowControl/>
              <w:jc w:val="right"/>
              <w:rPr>
                <w:rFonts w:ascii="宋体" w:hAnsi="宋体" w:cs="宋体"/>
                <w:kern w:val="0"/>
                <w:sz w:val="20"/>
                <w:szCs w:val="20"/>
              </w:rPr>
            </w:pPr>
          </w:p>
        </w:tc>
        <w:tc>
          <w:tcPr>
            <w:tcW w:w="1080" w:type="dxa"/>
            <w:tcBorders>
              <w:top w:val="nil"/>
              <w:left w:val="nil"/>
              <w:bottom w:val="nil"/>
              <w:right w:val="nil"/>
            </w:tcBorders>
            <w:vAlign w:val="bottom"/>
          </w:tcPr>
          <w:p>
            <w:pPr>
              <w:widowControl/>
              <w:jc w:val="right"/>
              <w:rPr>
                <w:rFonts w:ascii="宋体" w:hAnsi="宋体" w:cs="宋体"/>
                <w:kern w:val="0"/>
                <w:sz w:val="20"/>
                <w:szCs w:val="20"/>
              </w:rPr>
            </w:pPr>
          </w:p>
        </w:tc>
        <w:tc>
          <w:tcPr>
            <w:tcW w:w="1080" w:type="dxa"/>
            <w:tcBorders>
              <w:top w:val="nil"/>
              <w:left w:val="nil"/>
              <w:bottom w:val="nil"/>
              <w:right w:val="nil"/>
            </w:tcBorders>
            <w:vAlign w:val="bottom"/>
          </w:tcPr>
          <w:p>
            <w:pPr>
              <w:widowControl/>
              <w:jc w:val="left"/>
              <w:rPr>
                <w:rFonts w:ascii="宋体" w:hAnsi="宋体" w:cs="宋体"/>
                <w:b/>
                <w:bCs/>
                <w:kern w:val="0"/>
                <w:sz w:val="20"/>
                <w:szCs w:val="20"/>
              </w:rPr>
            </w:pPr>
          </w:p>
        </w:tc>
        <w:tc>
          <w:tcPr>
            <w:tcW w:w="1006" w:type="dxa"/>
            <w:tcBorders>
              <w:top w:val="nil"/>
              <w:left w:val="nil"/>
              <w:bottom w:val="nil"/>
              <w:right w:val="nil"/>
            </w:tcBorders>
            <w:vAlign w:val="bottom"/>
          </w:tcPr>
          <w:p>
            <w:pPr>
              <w:widowControl/>
              <w:jc w:val="left"/>
              <w:rPr>
                <w:rFonts w:ascii="宋体" w:hAnsi="宋体" w:cs="宋体"/>
                <w:kern w:val="0"/>
                <w:sz w:val="20"/>
                <w:szCs w:val="20"/>
              </w:rPr>
            </w:pP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基础信息</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发生时间</w:t>
            </w:r>
          </w:p>
        </w:tc>
        <w:tc>
          <w:tcPr>
            <w:tcW w:w="4320" w:type="dxa"/>
            <w:gridSpan w:val="4"/>
            <w:tcBorders>
              <w:top w:val="single" w:color="auto" w:sz="4" w:space="0"/>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汇报时间</w:t>
            </w:r>
          </w:p>
        </w:tc>
        <w:tc>
          <w:tcPr>
            <w:tcW w:w="4246" w:type="dxa"/>
            <w:gridSpan w:val="4"/>
            <w:tcBorders>
              <w:top w:val="single" w:color="auto" w:sz="4" w:space="0"/>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发生地点</w:t>
            </w:r>
          </w:p>
        </w:tc>
        <w:tc>
          <w:tcPr>
            <w:tcW w:w="9646" w:type="dxa"/>
            <w:gridSpan w:val="9"/>
            <w:tcBorders>
              <w:top w:val="single" w:color="auto" w:sz="4" w:space="0"/>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420" w:hRule="atLeast"/>
        </w:trPr>
        <w:tc>
          <w:tcPr>
            <w:tcW w:w="1434"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异常情况前生产情况</w:t>
            </w:r>
          </w:p>
        </w:tc>
        <w:tc>
          <w:tcPr>
            <w:tcW w:w="2160"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装置(站场\管线)名</w:t>
            </w:r>
          </w:p>
        </w:tc>
        <w:tc>
          <w:tcPr>
            <w:tcW w:w="2160"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停气段管容量</w:t>
            </w:r>
          </w:p>
        </w:tc>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放空量</w:t>
            </w:r>
          </w:p>
        </w:tc>
        <w:tc>
          <w:tcPr>
            <w:tcW w:w="208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480" w:hRule="atLeast"/>
        </w:trPr>
        <w:tc>
          <w:tcPr>
            <w:tcW w:w="14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p>
        </w:tc>
        <w:tc>
          <w:tcPr>
            <w:tcW w:w="2160"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规格——长度</w:t>
            </w:r>
          </w:p>
        </w:tc>
        <w:tc>
          <w:tcPr>
            <w:tcW w:w="2160"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p>
        </w:tc>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放空起止时间</w:t>
            </w:r>
          </w:p>
        </w:tc>
        <w:tc>
          <w:tcPr>
            <w:tcW w:w="2086" w:type="dxa"/>
            <w:gridSpan w:val="2"/>
            <w:tcBorders>
              <w:top w:val="nil"/>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设计压力</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运行压力</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3240" w:type="dxa"/>
            <w:gridSpan w:val="3"/>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实际采输气量</w:t>
            </w:r>
          </w:p>
        </w:tc>
        <w:tc>
          <w:tcPr>
            <w:tcW w:w="2086" w:type="dxa"/>
            <w:gridSpan w:val="2"/>
            <w:tcBorders>
              <w:top w:val="nil"/>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5754" w:type="dxa"/>
            <w:gridSpan w:val="5"/>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其它基础信息(硫化氢\水露点等)：H2S＜20mg/m3</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发现人</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汇报人</w:t>
            </w:r>
          </w:p>
        </w:tc>
        <w:tc>
          <w:tcPr>
            <w:tcW w:w="2086"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事件描述及处置过程</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left"/>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 xml:space="preserve">一、异常情况: </w:t>
            </w:r>
          </w:p>
        </w:tc>
      </w:tr>
      <w:tr>
        <w:tblPrEx>
          <w:tblLayout w:type="fixed"/>
          <w:tblCellMar>
            <w:top w:w="0" w:type="dxa"/>
            <w:left w:w="108" w:type="dxa"/>
            <w:bottom w:w="0" w:type="dxa"/>
            <w:right w:w="108" w:type="dxa"/>
          </w:tblCellMar>
        </w:tblPrEx>
        <w:trPr>
          <w:trHeight w:val="660"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left"/>
              <w:rPr>
                <w:rFonts w:hint="eastAsia" w:asciiTheme="minorEastAsia" w:hAnsiTheme="minorEastAsia" w:eastAsiaTheme="minorEastAsia" w:cstheme="minorEastAsia"/>
                <w:kern w:val="0"/>
                <w:sz w:val="16"/>
                <w:szCs w:val="16"/>
              </w:rPr>
            </w:pP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left"/>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二、突发生产紧急情况:</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场站失控</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穿孔</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泄漏</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破裂</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着火</w:t>
            </w:r>
          </w:p>
        </w:tc>
        <w:tc>
          <w:tcPr>
            <w:tcW w:w="1006"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具体部位</w:t>
            </w:r>
          </w:p>
        </w:tc>
        <w:tc>
          <w:tcPr>
            <w:tcW w:w="3240" w:type="dxa"/>
            <w:gridSpan w:val="3"/>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描述</w:t>
            </w:r>
          </w:p>
        </w:tc>
        <w:tc>
          <w:tcPr>
            <w:tcW w:w="5326" w:type="dxa"/>
            <w:gridSpan w:val="5"/>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有否伤亡</w:t>
            </w:r>
          </w:p>
        </w:tc>
        <w:tc>
          <w:tcPr>
            <w:tcW w:w="2160"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伤（亡）职工</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人</w:t>
            </w:r>
          </w:p>
        </w:tc>
        <w:tc>
          <w:tcPr>
            <w:tcW w:w="2160" w:type="dxa"/>
            <w:gridSpan w:val="2"/>
            <w:tcBorders>
              <w:top w:val="single" w:color="auto" w:sz="4" w:space="0"/>
              <w:left w:val="nil"/>
              <w:bottom w:val="single" w:color="auto" w:sz="4" w:space="0"/>
              <w:right w:val="single" w:color="000000"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伤（亡）群众</w:t>
            </w:r>
          </w:p>
        </w:tc>
        <w:tc>
          <w:tcPr>
            <w:tcW w:w="1080" w:type="dxa"/>
            <w:tcBorders>
              <w:top w:val="nil"/>
              <w:left w:val="nil"/>
              <w:bottom w:val="nil"/>
              <w:right w:val="nil"/>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人</w:t>
            </w:r>
          </w:p>
        </w:tc>
        <w:tc>
          <w:tcPr>
            <w:tcW w:w="2160" w:type="dxa"/>
            <w:gridSpan w:val="2"/>
            <w:tcBorders>
              <w:top w:val="single" w:color="auto" w:sz="4" w:space="0"/>
              <w:left w:val="single" w:color="auto" w:sz="4" w:space="0"/>
              <w:bottom w:val="single" w:color="auto" w:sz="4" w:space="0"/>
              <w:right w:val="nil"/>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是否撤离安全位置</w:t>
            </w:r>
          </w:p>
        </w:tc>
        <w:tc>
          <w:tcPr>
            <w:tcW w:w="1006" w:type="dxa"/>
            <w:tcBorders>
              <w:top w:val="nil"/>
              <w:left w:val="single" w:color="auto" w:sz="4" w:space="0"/>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上游站（阀室）</w:t>
            </w:r>
          </w:p>
        </w:tc>
        <w:tc>
          <w:tcPr>
            <w:tcW w:w="3240" w:type="dxa"/>
            <w:gridSpan w:val="3"/>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160"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下游站（阀室）</w:t>
            </w:r>
          </w:p>
        </w:tc>
        <w:tc>
          <w:tcPr>
            <w:tcW w:w="4246" w:type="dxa"/>
            <w:gridSpan w:val="4"/>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靠山</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靠河</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靠近公路</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靠近工厂</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06"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480" w:hRule="atLeast"/>
        </w:trPr>
        <w:tc>
          <w:tcPr>
            <w:tcW w:w="1434" w:type="dxa"/>
            <w:tcBorders>
              <w:top w:val="nil"/>
              <w:left w:val="single" w:color="auto" w:sz="4" w:space="0"/>
              <w:bottom w:val="single" w:color="auto" w:sz="4" w:space="0"/>
              <w:right w:val="nil"/>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周边环境及居住民情况说明</w:t>
            </w:r>
          </w:p>
        </w:tc>
        <w:tc>
          <w:tcPr>
            <w:tcW w:w="1080" w:type="dxa"/>
            <w:tcBorders>
              <w:top w:val="nil"/>
              <w:left w:val="single" w:color="auto" w:sz="4" w:space="0"/>
              <w:bottom w:val="single" w:color="auto" w:sz="4" w:space="0"/>
              <w:right w:val="nil"/>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周边50米范围居民</w:t>
            </w:r>
          </w:p>
        </w:tc>
        <w:tc>
          <w:tcPr>
            <w:tcW w:w="1080" w:type="dxa"/>
            <w:tcBorders>
              <w:top w:val="nil"/>
              <w:left w:val="single" w:color="auto" w:sz="4" w:space="0"/>
              <w:bottom w:val="single" w:color="auto" w:sz="4" w:space="0"/>
              <w:right w:val="single" w:color="auto" w:sz="4" w:space="0"/>
            </w:tcBorders>
            <w:vAlign w:val="center"/>
          </w:tcPr>
          <w:p>
            <w:pPr>
              <w:widowControl/>
              <w:jc w:val="righ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户</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周边100米范围居民</w:t>
            </w:r>
          </w:p>
        </w:tc>
        <w:tc>
          <w:tcPr>
            <w:tcW w:w="1080" w:type="dxa"/>
            <w:tcBorders>
              <w:top w:val="nil"/>
              <w:left w:val="nil"/>
              <w:bottom w:val="single" w:color="auto" w:sz="4" w:space="0"/>
              <w:right w:val="single" w:color="auto" w:sz="4" w:space="0"/>
            </w:tcBorders>
            <w:vAlign w:val="center"/>
          </w:tcPr>
          <w:p>
            <w:pPr>
              <w:widowControl/>
              <w:jc w:val="righ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lang w:val="en-US" w:eastAsia="zh-CN"/>
              </w:rPr>
              <w:t xml:space="preserve"> </w:t>
            </w:r>
            <w:r>
              <w:rPr>
                <w:rFonts w:hint="eastAsia" w:asciiTheme="minorEastAsia" w:hAnsiTheme="minorEastAsia" w:eastAsiaTheme="minorEastAsia" w:cstheme="minorEastAsia"/>
                <w:kern w:val="0"/>
                <w:sz w:val="16"/>
                <w:szCs w:val="16"/>
              </w:rPr>
              <w:t xml:space="preserve">   户</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周边150米范围居民</w:t>
            </w:r>
          </w:p>
        </w:tc>
        <w:tc>
          <w:tcPr>
            <w:tcW w:w="1080" w:type="dxa"/>
            <w:tcBorders>
              <w:top w:val="nil"/>
              <w:left w:val="nil"/>
              <w:bottom w:val="single" w:color="auto" w:sz="4" w:space="0"/>
              <w:right w:val="single" w:color="auto" w:sz="4" w:space="0"/>
            </w:tcBorders>
            <w:vAlign w:val="center"/>
          </w:tcPr>
          <w:p>
            <w:pPr>
              <w:widowControl/>
              <w:ind w:firstLine="160" w:firstLineChars="100"/>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户</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周边500米范围居民</w:t>
            </w:r>
          </w:p>
        </w:tc>
        <w:tc>
          <w:tcPr>
            <w:tcW w:w="208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户</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趋势判断</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加大</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稳定</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减弱</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可控</w:t>
            </w:r>
          </w:p>
        </w:tc>
        <w:tc>
          <w:tcPr>
            <w:tcW w:w="2086"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left"/>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三、自然灾害及环境事件:</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环境污染</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山体滑坡</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泥石流</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160" w:type="dxa"/>
            <w:gridSpan w:val="2"/>
            <w:tcBorders>
              <w:top w:val="single" w:color="auto" w:sz="4" w:space="0"/>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其他自然灾害</w:t>
            </w:r>
          </w:p>
        </w:tc>
        <w:tc>
          <w:tcPr>
            <w:tcW w:w="2086" w:type="dxa"/>
            <w:gridSpan w:val="2"/>
            <w:tcBorders>
              <w:top w:val="single" w:color="auto" w:sz="4" w:space="0"/>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周边环境异味</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160"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086"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程度及说明</w:t>
            </w:r>
          </w:p>
        </w:tc>
        <w:tc>
          <w:tcPr>
            <w:tcW w:w="9646" w:type="dxa"/>
            <w:gridSpan w:val="9"/>
            <w:tcBorders>
              <w:top w:val="single" w:color="auto" w:sz="4" w:space="0"/>
              <w:left w:val="nil"/>
              <w:bottom w:val="single" w:color="auto" w:sz="4" w:space="0"/>
              <w:right w:val="single" w:color="000000"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人员伤亡情况</w:t>
            </w:r>
          </w:p>
        </w:tc>
        <w:tc>
          <w:tcPr>
            <w:tcW w:w="3240" w:type="dxa"/>
            <w:gridSpan w:val="3"/>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160"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人员撤离情况</w:t>
            </w:r>
          </w:p>
        </w:tc>
        <w:tc>
          <w:tcPr>
            <w:tcW w:w="4246" w:type="dxa"/>
            <w:gridSpan w:val="4"/>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480" w:hRule="atLeast"/>
        </w:trPr>
        <w:tc>
          <w:tcPr>
            <w:tcW w:w="1434" w:type="dxa"/>
            <w:tcBorders>
              <w:top w:val="nil"/>
              <w:left w:val="single" w:color="auto" w:sz="4" w:space="0"/>
              <w:bottom w:val="single" w:color="auto" w:sz="4" w:space="0"/>
              <w:right w:val="nil"/>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周边环境及居住民情况说明</w:t>
            </w:r>
          </w:p>
        </w:tc>
        <w:tc>
          <w:tcPr>
            <w:tcW w:w="9646"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原因分析</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b/>
                <w:bCs/>
                <w:kern w:val="0"/>
                <w:sz w:val="16"/>
                <w:szCs w:val="16"/>
              </w:rPr>
            </w:pPr>
            <w:r>
              <w:rPr>
                <w:rFonts w:hint="eastAsia" w:asciiTheme="minorEastAsia" w:hAnsiTheme="minorEastAsia" w:eastAsiaTheme="minorEastAsia" w:cstheme="minorEastAsia"/>
                <w:b/>
                <w:bCs/>
                <w:kern w:val="0"/>
                <w:sz w:val="16"/>
                <w:szCs w:val="16"/>
              </w:rPr>
              <w:t>采取措施</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可控制</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控制措施</w:t>
            </w:r>
          </w:p>
        </w:tc>
        <w:tc>
          <w:tcPr>
            <w:tcW w:w="7486" w:type="dxa"/>
            <w:gridSpan w:val="7"/>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不可控制</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主要措施</w:t>
            </w:r>
          </w:p>
        </w:tc>
        <w:tc>
          <w:tcPr>
            <w:tcW w:w="7486" w:type="dxa"/>
            <w:gridSpan w:val="7"/>
            <w:tcBorders>
              <w:top w:val="single" w:color="auto" w:sz="4" w:space="0"/>
              <w:left w:val="nil"/>
              <w:bottom w:val="single" w:color="auto" w:sz="4" w:space="0"/>
              <w:right w:val="single" w:color="000000"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已报110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已报120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已报119</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已熄火</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已断电</w:t>
            </w:r>
          </w:p>
        </w:tc>
        <w:tc>
          <w:tcPr>
            <w:tcW w:w="1006"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480" w:hRule="atLeast"/>
        </w:trPr>
        <w:tc>
          <w:tcPr>
            <w:tcW w:w="1434" w:type="dxa"/>
            <w:tcBorders>
              <w:top w:val="nil"/>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已切断气源</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w:t>
            </w:r>
          </w:p>
        </w:tc>
        <w:tc>
          <w:tcPr>
            <w:tcW w:w="1080" w:type="dxa"/>
            <w:tcBorders>
              <w:top w:val="nil"/>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已启动应急预案</w:t>
            </w:r>
          </w:p>
        </w:tc>
        <w:tc>
          <w:tcPr>
            <w:tcW w:w="1080" w:type="dxa"/>
            <w:tcBorders>
              <w:top w:val="nil"/>
              <w:left w:val="nil"/>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 </w:t>
            </w:r>
          </w:p>
        </w:tc>
        <w:tc>
          <w:tcPr>
            <w:tcW w:w="2160"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预计恢复时间</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1080" w:type="dxa"/>
            <w:tcBorders>
              <w:top w:val="nil"/>
              <w:left w:val="nil"/>
              <w:bottom w:val="single" w:color="auto" w:sz="4" w:space="0"/>
              <w:right w:val="single" w:color="auto"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影响气量</w:t>
            </w:r>
          </w:p>
        </w:tc>
        <w:tc>
          <w:tcPr>
            <w:tcW w:w="2086"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434" w:type="dxa"/>
            <w:tcBorders>
              <w:top w:val="nil"/>
              <w:left w:val="single" w:color="auto" w:sz="4" w:space="0"/>
              <w:bottom w:val="single" w:color="auto" w:sz="4" w:space="0"/>
              <w:right w:val="single" w:color="auto"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现场负责人</w:t>
            </w:r>
          </w:p>
        </w:tc>
        <w:tc>
          <w:tcPr>
            <w:tcW w:w="3240" w:type="dxa"/>
            <w:gridSpan w:val="3"/>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c>
          <w:tcPr>
            <w:tcW w:w="2160" w:type="dxa"/>
            <w:gridSpan w:val="2"/>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负责人联系电话</w:t>
            </w:r>
          </w:p>
        </w:tc>
        <w:tc>
          <w:tcPr>
            <w:tcW w:w="4246" w:type="dxa"/>
            <w:gridSpan w:val="4"/>
            <w:tcBorders>
              <w:top w:val="single" w:color="auto" w:sz="4" w:space="0"/>
              <w:left w:val="nil"/>
              <w:bottom w:val="single" w:color="auto" w:sz="4" w:space="0"/>
              <w:right w:val="single" w:color="000000" w:sz="4" w:space="0"/>
            </w:tcBorders>
            <w:vAlign w:val="bottom"/>
          </w:tcPr>
          <w:p>
            <w:pPr>
              <w:widowControl/>
              <w:jc w:val="center"/>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single" w:color="auto" w:sz="4" w:space="0"/>
              <w:left w:val="single" w:color="auto" w:sz="4" w:space="0"/>
              <w:bottom w:val="nil"/>
              <w:right w:val="single" w:color="000000"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 xml:space="preserve">说明： </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nil"/>
              <w:left w:val="single" w:color="auto" w:sz="4" w:space="0"/>
              <w:bottom w:val="nil"/>
              <w:right w:val="single" w:color="000000"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 判断用“√”或“×"填写。“√”表示“是”，“×”表示“否”；</w:t>
            </w:r>
          </w:p>
        </w:tc>
      </w:tr>
      <w:tr>
        <w:tblPrEx>
          <w:tblLayout w:type="fixed"/>
          <w:tblCellMar>
            <w:top w:w="0" w:type="dxa"/>
            <w:left w:w="108" w:type="dxa"/>
            <w:bottom w:w="0" w:type="dxa"/>
            <w:right w:w="108" w:type="dxa"/>
          </w:tblCellMar>
        </w:tblPrEx>
        <w:trPr>
          <w:trHeight w:val="285" w:hRule="atLeast"/>
        </w:trPr>
        <w:tc>
          <w:tcPr>
            <w:tcW w:w="11080" w:type="dxa"/>
            <w:gridSpan w:val="10"/>
            <w:tcBorders>
              <w:top w:val="nil"/>
              <w:left w:val="single" w:color="auto" w:sz="4" w:space="0"/>
              <w:bottom w:val="nil"/>
              <w:right w:val="single" w:color="000000" w:sz="4" w:space="0"/>
            </w:tcBorders>
            <w:vAlign w:val="bottom"/>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2、气量单位：10</w:t>
            </w:r>
            <w:r>
              <w:rPr>
                <w:rFonts w:hint="eastAsia" w:asciiTheme="minorEastAsia" w:hAnsiTheme="minorEastAsia" w:eastAsiaTheme="minorEastAsia" w:cstheme="minorEastAsia"/>
                <w:kern w:val="0"/>
                <w:sz w:val="16"/>
                <w:szCs w:val="16"/>
                <w:vertAlign w:val="superscript"/>
              </w:rPr>
              <w:t>4</w:t>
            </w:r>
            <w:r>
              <w:rPr>
                <w:rFonts w:hint="eastAsia" w:asciiTheme="minorEastAsia" w:hAnsiTheme="minorEastAsia" w:eastAsiaTheme="minorEastAsia" w:cstheme="minorEastAsia"/>
                <w:kern w:val="0"/>
                <w:sz w:val="16"/>
                <w:szCs w:val="16"/>
              </w:rPr>
              <w:t>m</w:t>
            </w:r>
            <w:r>
              <w:rPr>
                <w:rFonts w:hint="eastAsia" w:asciiTheme="minorEastAsia" w:hAnsiTheme="minorEastAsia" w:eastAsiaTheme="minorEastAsia" w:cstheme="minorEastAsia"/>
                <w:kern w:val="0"/>
                <w:sz w:val="16"/>
                <w:szCs w:val="16"/>
                <w:vertAlign w:val="superscript"/>
              </w:rPr>
              <w:t>3</w:t>
            </w:r>
            <w:r>
              <w:rPr>
                <w:rFonts w:hint="eastAsia" w:asciiTheme="minorEastAsia" w:hAnsiTheme="minorEastAsia" w:eastAsiaTheme="minorEastAsia" w:cstheme="minorEastAsia"/>
                <w:kern w:val="0"/>
                <w:sz w:val="16"/>
                <w:szCs w:val="16"/>
              </w:rPr>
              <w:t>/d；压力单位：MPa；人数单位：人；</w:t>
            </w:r>
          </w:p>
        </w:tc>
      </w:tr>
      <w:tr>
        <w:tblPrEx>
          <w:tblLayout w:type="fixed"/>
          <w:tblCellMar>
            <w:top w:w="0" w:type="dxa"/>
            <w:left w:w="108" w:type="dxa"/>
            <w:bottom w:w="0" w:type="dxa"/>
            <w:right w:w="108" w:type="dxa"/>
          </w:tblCellMar>
        </w:tblPrEx>
        <w:trPr>
          <w:trHeight w:val="313" w:hRule="atLeast"/>
        </w:trPr>
        <w:tc>
          <w:tcPr>
            <w:tcW w:w="11080" w:type="dxa"/>
            <w:gridSpan w:val="10"/>
            <w:tcBorders>
              <w:top w:val="nil"/>
              <w:left w:val="single" w:color="auto" w:sz="4" w:space="0"/>
              <w:bottom w:val="single" w:color="000000" w:sz="4" w:space="0"/>
              <w:right w:val="single" w:color="000000" w:sz="4" w:space="0"/>
            </w:tcBorders>
            <w:vAlign w:val="center"/>
          </w:tcPr>
          <w:p>
            <w:pPr>
              <w:widowControl/>
              <w:jc w:val="lef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3、集输管道事故分四级：裂口≤50mm称为穿孔；50mm&lt;裂口≤1/2Dn称为泄漏；裂口&gt;1/2Dn称为破裂；发生燃烧称为着火。</w:t>
            </w:r>
          </w:p>
        </w:tc>
      </w:tr>
    </w:tbl>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252" w:name="_Toc28261"/>
      <w:bookmarkStart w:id="253" w:name="_Toc11874"/>
      <w:bookmarkStart w:id="254" w:name="_Toc27200"/>
      <w:bookmarkStart w:id="255" w:name="_Toc23824"/>
      <w:bookmarkStart w:id="256" w:name="_Toc9042"/>
      <w:bookmarkStart w:id="257" w:name="_Toc30823"/>
      <w:bookmarkStart w:id="258" w:name="_Toc15006"/>
      <w:bookmarkStart w:id="259" w:name="_Toc5342"/>
      <w:bookmarkStart w:id="260" w:name="_Toc26871"/>
      <w:r>
        <w:rPr>
          <w:rFonts w:hint="eastAsia" w:ascii="方正小标宋简体" w:eastAsia="方正小标宋简体"/>
          <w:sz w:val="36"/>
          <w:szCs w:val="36"/>
        </w:rPr>
        <w:br w:type="page"/>
      </w:r>
      <w:bookmarkStart w:id="261" w:name="_Toc18688"/>
      <w:bookmarkStart w:id="262" w:name="_Toc4935"/>
      <w:bookmarkStart w:id="263" w:name="_Toc7215"/>
      <w:bookmarkStart w:id="264" w:name="_Toc4355"/>
      <w:bookmarkStart w:id="265" w:name="_Toc15559"/>
      <w:bookmarkStart w:id="266" w:name="_Toc8783"/>
      <w:bookmarkStart w:id="267" w:name="_Toc11574"/>
      <w:bookmarkStart w:id="268" w:name="_Toc25409"/>
      <w:bookmarkStart w:id="269" w:name="_Toc19537"/>
      <w:bookmarkStart w:id="270" w:name="_Toc5787"/>
      <w:r>
        <w:rPr>
          <w:rFonts w:hint="eastAsia" w:ascii="方正小标宋简体" w:eastAsia="方正小标宋简体"/>
          <w:b w:val="0"/>
          <w:bCs w:val="0"/>
          <w:sz w:val="36"/>
          <w:szCs w:val="36"/>
        </w:rPr>
        <w:t>中油南充燃气有限责任公司燃气应急抢修管理</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hint="eastAsia" w:ascii="方正小标宋简体" w:eastAsia="方正小标宋简体"/>
          <w:b w:val="0"/>
          <w:bCs w:val="0"/>
          <w:sz w:val="36"/>
          <w:szCs w:val="36"/>
          <w:lang w:eastAsia="zh-CN"/>
        </w:rPr>
        <w:t>制度</w:t>
      </w:r>
      <w:bookmarkEnd w:id="270"/>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lang w:eastAsia="zh-CN"/>
        </w:rPr>
        <w:t>第一章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rPr>
        <w:t xml:space="preserve">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第一条</w:t>
      </w:r>
      <w:r>
        <w:rPr>
          <w:rFonts w:hint="eastAsia" w:ascii="方正仿宋简体" w:hAnsi="方正仿宋简体" w:eastAsia="方正仿宋简体" w:cs="方正仿宋简体"/>
          <w:sz w:val="28"/>
          <w:szCs w:val="28"/>
        </w:rPr>
        <w:t xml:space="preserve">  为加强中油南充燃气有限责任公司（以下简称公司）燃气应急抢修管理，提高燃气应急状态下抢修速度和协调水平，确保安全、快速的完成抢修工作，根据《城市燃气安全管理规定》、《城市燃气管理办法》、《城镇燃气设施运行、维护和抢修安全技术规程》（CJJ51-2016）、《四川川港燃气有限责任公司燃气应急抢修管理办法》（川港司生〔2016〕23号）的相关要求，特制定公司燃气应急抢修管理办法（以下简称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第二条</w:t>
      </w:r>
      <w:r>
        <w:rPr>
          <w:rFonts w:hint="eastAsia" w:ascii="方正仿宋简体" w:hAnsi="方正仿宋简体" w:eastAsia="方正仿宋简体" w:cs="方正仿宋简体"/>
          <w:sz w:val="28"/>
          <w:szCs w:val="28"/>
        </w:rPr>
        <w:t xml:space="preserve">  燃气应急抢修是指由于管道发生泄露、火灾、爆炸等，或者站场发生生产及辅助设备、设施故障或非正常停运等，即将或已经发生影响公共安全和危及人民生命财产安全，以及影响燃气的输送和供应，采取的紧急有效措施，尽快恢复正常生产的应急工作。应急抢修工作必须做到有报必接，有险必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第三条</w:t>
      </w:r>
      <w:r>
        <w:rPr>
          <w:rFonts w:hint="eastAsia" w:ascii="方正仿宋简体" w:hAnsi="方正仿宋简体" w:eastAsia="方正仿宋简体" w:cs="方正仿宋简体"/>
          <w:sz w:val="28"/>
          <w:szCs w:val="28"/>
        </w:rPr>
        <w:t xml:space="preserve">  在生产经营活动中发生造成人身伤亡或直接经济损失较大的突发燃气事件管理，应按照相应级别的应急预案执行。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第四条</w:t>
      </w:r>
      <w:r>
        <w:rPr>
          <w:rFonts w:hint="eastAsia" w:ascii="方正仿宋简体" w:hAnsi="方正仿宋简体" w:eastAsia="方正仿宋简体" w:cs="方正仿宋简体"/>
          <w:sz w:val="28"/>
          <w:szCs w:val="28"/>
        </w:rPr>
        <w:t xml:space="preserve">  本办法适用于中油南充燃气有限责任公司及下属各基层单位、站场。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lang w:eastAsia="zh-CN"/>
        </w:rPr>
        <w:t>第二章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rPr>
        <w:t xml:space="preserve"> 组织及职责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第五条</w:t>
      </w:r>
      <w:r>
        <w:rPr>
          <w:rFonts w:hint="eastAsia" w:ascii="方正仿宋简体" w:hAnsi="方正仿宋简体" w:eastAsia="方正仿宋简体" w:cs="方正仿宋简体"/>
          <w:sz w:val="28"/>
          <w:szCs w:val="28"/>
        </w:rPr>
        <w:t xml:space="preserve">  公司燃气应急抢修管理的归口管理部门为公司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。职责如下：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1.负责贯彻执行国家、行业及上级主管部门有关抢修管理的法规、政策和规定。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2.负责公司燃气应急抢修管制度的编制、修订和宣贯；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3.向社会公布抢修报警电话（0817-2866000），。</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生产调度室实施24小时值班制，负责燃气应急抢修报警电话来电信息处理,做到燃气应急抢修及时响应；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4.对公司各基层单位、站场燃气应急抢修的各项工作进行监督检查；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5.负责公司燃气应急抢修工作的信息传递和应急物资调配；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6.负责提供抢修过程中的技术支持。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7.负责审查施工方案。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第六条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负责抢修过程中的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监督和事故调查。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是抢修作业的具体实施单位，主要职责是：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1.负责制定适用于本单位燃气应急抢修管理办法和对应的应急处置卡，并组织进行演练，提高实战能力。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2.负责抢修队伍的建设或资源储备，配备完善抢修物资。定期维护保养抢修用的车辆、机具设备、防护用品、消防器材及检测仪器等装备。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3.负责本单位燃气系统的抢修工作，做好记录及资料存档工作。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第八条</w:t>
      </w:r>
      <w:r>
        <w:rPr>
          <w:rFonts w:hint="eastAsia" w:ascii="方正仿宋简体" w:hAnsi="方正仿宋简体" w:eastAsia="方正仿宋简体" w:cs="方正仿宋简体"/>
          <w:sz w:val="28"/>
          <w:szCs w:val="28"/>
        </w:rPr>
        <w:t xml:space="preserve">  公司应急抢修工作与外委抢修队伍签订合同。合同外委抢修队伍应执行公司燃气应急抢修的各项管理规定。</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r>
        <w:rPr>
          <w:rFonts w:hint="eastAsia" w:ascii="方正黑体简体" w:hAnsi="黑体" w:eastAsia="方正黑体简体"/>
          <w:b w:val="0"/>
          <w:bCs w:val="0"/>
          <w:sz w:val="30"/>
          <w:szCs w:val="30"/>
          <w:lang w:eastAsia="zh-CN"/>
        </w:rPr>
        <w:t>第三章</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lang w:eastAsia="zh-CN"/>
        </w:rPr>
        <w:t xml:space="preserve"> 燃气应急抢修作业</w:t>
      </w: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第九条</w:t>
      </w:r>
      <w:r>
        <w:rPr>
          <w:rFonts w:hint="eastAsia" w:ascii="方正仿宋简体" w:eastAsia="方正仿宋简体"/>
          <w:sz w:val="28"/>
          <w:szCs w:val="28"/>
        </w:rPr>
        <w:t xml:space="preserve">  燃气应急抢修作业应严格按照《城镇燃气设施运行、维护和抢修安全技术规程》CJJ51-2016中规定执行。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第十条</w:t>
      </w:r>
      <w:r>
        <w:rPr>
          <w:rFonts w:hint="eastAsia" w:ascii="方正仿宋简体" w:eastAsia="方正仿宋简体"/>
          <w:sz w:val="28"/>
          <w:szCs w:val="28"/>
        </w:rPr>
        <w:t xml:space="preserve">  公司燃气应急抢修现场必须确定一名现场负责人统一指挥，现场必须安排安全监督人员。抢修人员必须具有上岗证，抢修队伍应有相应资质、具备快速反应能力，要严格遵守纪律，服从指挥，迅速完成抢修工作。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eastAsia="方正仿宋简体"/>
          <w:sz w:val="28"/>
          <w:szCs w:val="28"/>
        </w:rPr>
        <w:t xml:space="preserve">  接到燃气应急报警时应迅速启动应急处置程序，控制或关闭阀门、调压器等进行降压、停气。</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第十二条</w:t>
      </w:r>
      <w:r>
        <w:rPr>
          <w:rFonts w:hint="eastAsia" w:ascii="方正仿宋简体" w:eastAsia="方正仿宋简体"/>
          <w:sz w:val="28"/>
          <w:szCs w:val="28"/>
        </w:rPr>
        <w:t xml:space="preserve">  抢修人员到达作业现场后，根据燃气泄露程度确定警戒区并设立警示标志，进行危险源识别和风险评估。警戒区内严禁烟火，严禁无关人员入内，随时监测周围环境的燃气浓度。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第十三条</w:t>
      </w:r>
      <w:r>
        <w:rPr>
          <w:rFonts w:hint="eastAsia" w:ascii="方正仿宋简体" w:eastAsia="方正仿宋简体"/>
          <w:sz w:val="28"/>
          <w:szCs w:val="28"/>
        </w:rPr>
        <w:t xml:space="preserve">  抢修人员在进入作业区前应按照规定穿戴劳保服装、劳保鞋及防护用具，并严禁在作业区内穿脱和摘戴。作业现场应有专人监护，严禁单独操作。进入受限空间（如阀井等）操作前必须对受限空间进行气体检测，检测合格后方能进入，并做好现场监护和气体持续检测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eastAsia="方正仿宋简体"/>
          <w:sz w:val="28"/>
          <w:szCs w:val="28"/>
        </w:rPr>
        <w:t xml:space="preserve">  抢修人员进入现场应立即控制气源、消灭火种、切断电源，采取有效措施驱散积聚的燃气。在控制事态发展的同时，积极救护受伤人员。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第十五条</w:t>
      </w:r>
      <w:r>
        <w:rPr>
          <w:rFonts w:hint="eastAsia" w:ascii="方正仿宋简体" w:eastAsia="方正仿宋简体"/>
          <w:sz w:val="28"/>
          <w:szCs w:val="28"/>
        </w:rPr>
        <w:t xml:space="preserve">  在警戒区内燃气浓度未降至安全范围时，严禁使用非防爆型的机电设备及仪器、仪表等，应进行强制通风。</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第十六条</w:t>
      </w:r>
      <w:r>
        <w:rPr>
          <w:rFonts w:hint="eastAsia" w:ascii="方正楷体简体" w:eastAsia="方正楷体简体"/>
          <w:sz w:val="28"/>
          <w:szCs w:val="28"/>
        </w:rPr>
        <w:t xml:space="preserve"> </w:t>
      </w:r>
      <w:r>
        <w:rPr>
          <w:rFonts w:hint="eastAsia" w:ascii="方正仿宋简体" w:eastAsia="方正仿宋简体"/>
          <w:sz w:val="28"/>
          <w:szCs w:val="28"/>
        </w:rPr>
        <w:t xml:space="preserve"> 抢修作业应在切断气源后进行，与作业相关的控制阀门必须有专人值守。对抢修过程中暂时无法切断气源的作业，应及时通知有关部门并做好现场的安全防护工作。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第十七条</w:t>
      </w:r>
      <w:r>
        <w:rPr>
          <w:rFonts w:hint="eastAsia" w:ascii="方正仿宋简体" w:eastAsia="方正仿宋简体"/>
          <w:sz w:val="28"/>
          <w:szCs w:val="28"/>
        </w:rPr>
        <w:t xml:space="preserve">  与地方有关部门和上游气源单位建立联动机制，分工进行现场管控，严防火灾、中毒、爆炸等次生事件的发生。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第十八条</w:t>
      </w:r>
      <w:r>
        <w:rPr>
          <w:rFonts w:hint="eastAsia" w:ascii="方正仿宋简体" w:eastAsia="方正仿宋简体"/>
          <w:sz w:val="28"/>
          <w:szCs w:val="28"/>
        </w:rPr>
        <w:t xml:space="preserve">  恢复供气前，对涉及的燃气设施（含用户）要进行安全检查，确认符合通气条件后方可通气；恢复供气后应对阀井等沿线设施、管线进行检漏，确认安全后抢修人员方可撤离现场。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第十九条</w:t>
      </w:r>
      <w:r>
        <w:rPr>
          <w:rFonts w:hint="eastAsia" w:ascii="方正仿宋简体" w:eastAsia="方正仿宋简体"/>
          <w:sz w:val="28"/>
          <w:szCs w:val="28"/>
        </w:rPr>
        <w:t xml:space="preserve">  燃气突发事件的信息上报应按照川港公司《生产信息管理办法》的要求及时向公司</w:t>
      </w:r>
      <w:r>
        <w:rPr>
          <w:rFonts w:hint="eastAsia" w:ascii="方正仿宋简体" w:eastAsia="方正仿宋简体"/>
          <w:sz w:val="28"/>
          <w:szCs w:val="28"/>
          <w:lang w:eastAsia="zh-CN"/>
        </w:rPr>
        <w:t>生产运行部</w:t>
      </w:r>
      <w:r>
        <w:rPr>
          <w:rFonts w:hint="eastAsia" w:ascii="方正仿宋简体" w:eastAsia="方正仿宋简体"/>
          <w:sz w:val="28"/>
          <w:szCs w:val="28"/>
        </w:rPr>
        <w:t>进行报告，应分为初报、续报和总结上报三个阶段；对与燃气事件相关的同级单位或者气源单位均应做到及时通报抢修信息。</w:t>
      </w:r>
    </w:p>
    <w:p>
      <w:pPr>
        <w:spacing w:line="560" w:lineRule="exact"/>
        <w:ind w:firstLine="560" w:firstLineChars="200"/>
        <w:rPr>
          <w:rFonts w:hint="eastAsia" w:ascii="方正仿宋简体" w:eastAsia="方正仿宋简体"/>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lang w:eastAsia="zh-CN"/>
        </w:rPr>
      </w:pPr>
      <w:r>
        <w:rPr>
          <w:rFonts w:hint="eastAsia" w:ascii="方正黑体简体" w:hAnsi="黑体" w:eastAsia="方正黑体简体"/>
          <w:b w:val="0"/>
          <w:bCs w:val="0"/>
          <w:sz w:val="30"/>
          <w:szCs w:val="30"/>
          <w:lang w:eastAsia="zh-CN"/>
        </w:rPr>
        <w:t>第四章  图档资料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第二十条</w:t>
      </w:r>
      <w:r>
        <w:rPr>
          <w:rFonts w:hint="eastAsia" w:ascii="方正仿宋简体" w:hAnsi="方正仿宋简体" w:eastAsia="方正仿宋简体" w:cs="方正仿宋简体"/>
          <w:b w:val="0"/>
          <w:bCs w:val="0"/>
          <w:sz w:val="28"/>
          <w:szCs w:val="28"/>
        </w:rPr>
        <w:t xml:space="preserve">  燃气应急抢修完毕后应整理相关图像文字资料并归集存档。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第二十一条</w:t>
      </w:r>
      <w:r>
        <w:rPr>
          <w:rFonts w:hint="eastAsia" w:ascii="方正仿宋简体" w:hAnsi="方正仿宋简体" w:eastAsia="方正仿宋简体" w:cs="方正仿宋简体"/>
          <w:b w:val="0"/>
          <w:bCs w:val="0"/>
          <w:sz w:val="28"/>
          <w:szCs w:val="28"/>
        </w:rPr>
        <w:t xml:space="preserve">  抢修工程的记录应包括以下内容：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1.报警记录；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2.险情记录和原因分析等；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3.险情类别（中毒、火灾、爆炸等）；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4.造成的损失和人员伤亡情况；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5.参加抢修的人员情况；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6.抢修工程概况。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第二十二条</w:t>
      </w:r>
      <w:r>
        <w:rPr>
          <w:rFonts w:hint="eastAsia" w:ascii="方正仿宋简体" w:hAnsi="方正仿宋简体" w:eastAsia="方正仿宋简体" w:cs="方正仿宋简体"/>
          <w:b w:val="0"/>
          <w:bCs w:val="0"/>
          <w:sz w:val="28"/>
          <w:szCs w:val="28"/>
        </w:rPr>
        <w:t xml:space="preserve">  抢修工程的资料应包括以下内容：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1.抢修任务书（执行人、批准人、工程图等）；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2.动火申报批准书；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3.抢修记录（包括图影资料）；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4.事件报告或鉴定资料；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5.抢修工程质量验收资料和图档资料。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rPr>
        <w:t>第五章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第二十三条</w:t>
      </w:r>
      <w:r>
        <w:rPr>
          <w:rFonts w:hint="eastAsia" w:ascii="方正仿宋简体" w:hAnsi="方正仿宋简体" w:eastAsia="方正仿宋简体" w:cs="方正仿宋简体"/>
          <w:b w:val="0"/>
          <w:bCs w:val="0"/>
          <w:sz w:val="28"/>
          <w:szCs w:val="28"/>
        </w:rPr>
        <w:t xml:space="preserve">  本办法由公司</w:t>
      </w:r>
      <w:r>
        <w:rPr>
          <w:rFonts w:hint="eastAsia" w:ascii="方正仿宋简体" w:hAnsi="方正仿宋简体" w:eastAsia="方正仿宋简体" w:cs="方正仿宋简体"/>
          <w:b w:val="0"/>
          <w:bCs w:val="0"/>
          <w:sz w:val="28"/>
          <w:szCs w:val="28"/>
          <w:lang w:eastAsia="zh-CN"/>
        </w:rPr>
        <w:t>生产运行部</w:t>
      </w:r>
      <w:r>
        <w:rPr>
          <w:rFonts w:hint="eastAsia" w:ascii="方正仿宋简体" w:hAnsi="方正仿宋简体" w:eastAsia="方正仿宋简体" w:cs="方正仿宋简体"/>
          <w:b w:val="0"/>
          <w:bCs w:val="0"/>
          <w:sz w:val="28"/>
          <w:szCs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第二十四条</w:t>
      </w:r>
      <w:r>
        <w:rPr>
          <w:rFonts w:hint="eastAsia" w:ascii="方正仿宋简体" w:hAnsi="方正仿宋简体" w:eastAsia="方正仿宋简体" w:cs="方正仿宋简体"/>
          <w:b w:val="0"/>
          <w:bCs w:val="0"/>
          <w:sz w:val="28"/>
          <w:szCs w:val="28"/>
        </w:rPr>
        <w:t xml:space="preserve">  本办法从印发之日起开始实行。</w:t>
      </w: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rPr>
      </w:pPr>
    </w:p>
    <w:p>
      <w:pPr>
        <w:spacing w:line="640" w:lineRule="exact"/>
        <w:jc w:val="both"/>
        <w:rPr>
          <w:rFonts w:hint="eastAsia" w:ascii="方正黑体简体" w:hAnsi="方正黑体简体" w:eastAsia="方正黑体简体" w:cs="方正黑体简体"/>
          <w:b/>
          <w:bCs/>
          <w:sz w:val="36"/>
          <w:szCs w:val="36"/>
        </w:rPr>
      </w:pPr>
    </w:p>
    <w:p>
      <w:pPr>
        <w:spacing w:line="640" w:lineRule="exact"/>
        <w:jc w:val="both"/>
        <w:rPr>
          <w:rFonts w:hint="eastAsia" w:ascii="方正黑体简体" w:hAnsi="方正黑体简体" w:eastAsia="方正黑体简体" w:cs="方正黑体简体"/>
          <w:b/>
          <w:bCs/>
          <w:sz w:val="36"/>
          <w:szCs w:val="36"/>
        </w:rPr>
      </w:pPr>
    </w:p>
    <w:p>
      <w:pPr>
        <w:spacing w:line="640" w:lineRule="exact"/>
        <w:jc w:val="both"/>
        <w:rPr>
          <w:rFonts w:hint="eastAsia" w:ascii="方正黑体简体" w:hAnsi="方正黑体简体" w:eastAsia="方正黑体简体" w:cs="方正黑体简体"/>
          <w:b/>
          <w:bCs/>
          <w:sz w:val="36"/>
          <w:szCs w:val="36"/>
        </w:rPr>
      </w:pPr>
    </w:p>
    <w:p>
      <w:pPr>
        <w:spacing w:line="640" w:lineRule="exact"/>
        <w:jc w:val="both"/>
        <w:rPr>
          <w:rFonts w:hint="eastAsia" w:ascii="方正黑体简体" w:hAnsi="方正黑体简体" w:eastAsia="方正黑体简体" w:cs="方正黑体简体"/>
          <w:b/>
          <w:bCs/>
          <w:sz w:val="36"/>
          <w:szCs w:val="36"/>
        </w:rPr>
      </w:pPr>
    </w:p>
    <w:p>
      <w:pPr>
        <w:spacing w:line="640" w:lineRule="exact"/>
        <w:jc w:val="both"/>
        <w:rPr>
          <w:rFonts w:hint="eastAsia" w:ascii="方正黑体简体" w:hAnsi="方正黑体简体" w:eastAsia="方正黑体简体" w:cs="方正黑体简体"/>
          <w:b/>
          <w:bCs/>
          <w:sz w:val="36"/>
          <w:szCs w:val="36"/>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271" w:name="_Toc226"/>
      <w:bookmarkStart w:id="272" w:name="_Toc28020"/>
      <w:bookmarkStart w:id="273" w:name="_Toc27741"/>
      <w:bookmarkStart w:id="274" w:name="_Toc3643"/>
      <w:bookmarkStart w:id="275" w:name="_Toc8429"/>
      <w:bookmarkStart w:id="276" w:name="_Toc16756"/>
      <w:bookmarkStart w:id="277" w:name="_Toc22299"/>
      <w:bookmarkStart w:id="278" w:name="_Toc21269"/>
      <w:bookmarkStart w:id="279" w:name="_Toc4406"/>
      <w:bookmarkStart w:id="280" w:name="_Toc20339"/>
      <w:bookmarkStart w:id="281" w:name="_Toc19051"/>
      <w:bookmarkStart w:id="282" w:name="_Toc6035"/>
      <w:bookmarkStart w:id="283" w:name="_Toc663"/>
      <w:bookmarkStart w:id="284" w:name="_Toc24106"/>
      <w:bookmarkStart w:id="285" w:name="_Toc4130"/>
      <w:bookmarkStart w:id="286" w:name="_Toc21197"/>
      <w:bookmarkStart w:id="287" w:name="_Toc1989"/>
      <w:bookmarkStart w:id="288" w:name="_Toc1710"/>
      <w:bookmarkStart w:id="289" w:name="_Toc25481"/>
      <w:r>
        <w:rPr>
          <w:rFonts w:hint="eastAsia" w:ascii="方正小标宋简体" w:eastAsia="方正小标宋简体"/>
          <w:b w:val="0"/>
          <w:bCs w:val="0"/>
          <w:sz w:val="36"/>
          <w:szCs w:val="36"/>
        </w:rPr>
        <w:t>中油南充燃气有限责任公司资产大修项目管理</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Pr>
          <w:rFonts w:hint="eastAsia" w:ascii="方正小标宋简体" w:eastAsia="方正小标宋简体"/>
          <w:b w:val="0"/>
          <w:bCs w:val="0"/>
          <w:sz w:val="36"/>
          <w:szCs w:val="36"/>
          <w:lang w:eastAsia="zh-CN"/>
        </w:rPr>
        <w:t>制度</w:t>
      </w:r>
      <w:bookmarkEnd w:id="289"/>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jc w:val="center"/>
        <w:textAlignment w:val="auto"/>
        <w:outlineLvl w:val="1"/>
        <w:rPr>
          <w:rFonts w:hint="eastAsia" w:ascii="方正黑体简体" w:hAnsi="黑体" w:eastAsia="方正黑体简体"/>
          <w:sz w:val="30"/>
          <w:szCs w:val="30"/>
        </w:rPr>
      </w:pPr>
      <w:bookmarkStart w:id="290" w:name="_Toc229811077"/>
      <w:r>
        <w:rPr>
          <w:rFonts w:hint="eastAsia" w:ascii="方正黑体简体" w:hAnsi="黑体" w:eastAsia="方正黑体简体"/>
          <w:b w:val="0"/>
          <w:bCs w:val="0"/>
          <w:sz w:val="30"/>
          <w:szCs w:val="30"/>
          <w:lang w:val="en-US" w:eastAsia="zh-CN"/>
        </w:rPr>
        <w:t xml:space="preserve">第一章  </w:t>
      </w:r>
      <w:r>
        <w:rPr>
          <w:rFonts w:hint="eastAsia" w:ascii="方正黑体简体" w:hAnsi="黑体" w:eastAsia="方正黑体简体"/>
          <w:b w:val="0"/>
          <w:bCs w:val="0"/>
          <w:sz w:val="30"/>
          <w:szCs w:val="30"/>
        </w:rPr>
        <w:t>总  则</w:t>
      </w:r>
      <w:bookmarkEnd w:id="290"/>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第一条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为规范中油南充燃气有限责任公司（以下简称公司）资产大修项目管理，保证场站设施（含高坪航空港计量撬装）、管道及附属设施、生产辅助设施等完好及安全平稳运行，提高使用效率，确保天然气生产、经营目标实现，结合公司生产实际，特此制定本办法。</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第二条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资产大修是指在生产经营过程中，因磨损、腐蚀、老化、技术进步、工艺调整、故障、事故等原因，造成原有功能部分不适应或丧失，需对其进行修复、功能改善、工艺优化，使之继续发挥生产能力及满足安全、环保、节能等要求而开展的工作。</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第三条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资产大修管理是指对大修项目从立项论证到项目实施完成的全过程管理，包括方案编制、论证、项目立项、设计概算审批、施工管理、</w:t>
      </w:r>
      <w:r>
        <w:rPr>
          <w:rFonts w:hint="eastAsia" w:ascii="方正仿宋简体" w:hAnsi="方正仿宋简体" w:eastAsia="方正仿宋简体" w:cs="方正仿宋简体"/>
          <w:sz w:val="28"/>
          <w:szCs w:val="28"/>
        </w:rPr>
        <w:t>设计变更、</w:t>
      </w:r>
      <w:r>
        <w:rPr>
          <w:rFonts w:hint="eastAsia" w:ascii="方正仿宋简体" w:hAnsi="方正仿宋简体" w:eastAsia="方正仿宋简体" w:cs="方正仿宋简体"/>
          <w:bCs/>
          <w:sz w:val="28"/>
          <w:szCs w:val="28"/>
        </w:rPr>
        <w:t>完工交接、项目结算、效益效果分析等</w:t>
      </w:r>
      <w:r>
        <w:rPr>
          <w:rFonts w:hint="eastAsia" w:ascii="方正仿宋简体" w:hAnsi="方正仿宋简体" w:eastAsia="方正仿宋简体" w:cs="方正仿宋简体"/>
          <w:sz w:val="28"/>
          <w:szCs w:val="28"/>
        </w:rPr>
        <w:t>。</w:t>
      </w:r>
    </w:p>
    <w:p>
      <w:pPr>
        <w:keepNext w:val="0"/>
        <w:keepLines w:val="0"/>
        <w:pageBreakBefore w:val="0"/>
        <w:widowControl w:val="0"/>
        <w:tabs>
          <w:tab w:val="left" w:pos="1800"/>
          <w:tab w:val="left" w:pos="198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第四条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本办法适用于中油南充燃气有限责任公司管理范围内固定资产大修理项目管理，其中限上大修项目严格按照《四川川港燃气有限责任公司固定资产大修理项目管理实施细则（试行）》川港司财〔2017〕2号文件执行。</w:t>
      </w:r>
    </w:p>
    <w:p>
      <w:pPr>
        <w:keepNext w:val="0"/>
        <w:keepLines w:val="0"/>
        <w:pageBreakBefore w:val="0"/>
        <w:widowControl w:val="0"/>
        <w:tabs>
          <w:tab w:val="left" w:pos="1800"/>
          <w:tab w:val="left" w:pos="198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240" w:lineRule="atLeast"/>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第二章  大修项目范围</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第五条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资产大修是为保证公司生产、经营、安全、环保目标顺利完成，由公司统筹预算安排，用于解决重点、难点问题而安排的项目。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符合以下范围的，应列入四川川港燃气有限责任公司大修项目管理：</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1.管道专项检测、评价及修复。</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2.20万元以上的管道及附属设施大修。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3.20万元以上的单个场站（含撬装站）生产设施大修。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4.20万元以上的单项水、电、讯及公用工程大修。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5.单个区域（指单个乡镇、单个小区）20万元以上的庭院管网、立管及附属设施整改项目。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6.15万元以上的安全隐患整改、环保治理、消防设施大修项目。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7.20万元以上的其他单项大修。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符合以下范围内的，纳入公司大修项目管理：</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1.5万元以上20万元以下的管道（单一管线改造，不含零星管道维修）及附属设施（调压箱、阀井等）大修。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2.10万元以上20万元以下的单个场站（含撬装站）生产设施（阀门、计量器具、信息化设备设施、电器线路、消防设施、流程改造等）大修。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3.5万元以上20万元以下的单项水、电、讯及公用工程大修。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4.单个区域（指单个乡镇、单个小区）5万元以上20万元以下的庭院管网、立管及附属设施整改项目。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5.5万元以上15万元以下的安全隐患整改、环保治理、消防设施大修项目。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6.5万元以上20万元以下的其他单项大修。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第六条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未达到限上的大修项目，公司根据轻重缓急和年度经营指标、预算安排，合理安排修理工作。</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大修费用与大修项目需一一对应，不得合并和拆分项目,不得虚列成本。</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669" w:firstLineChars="223"/>
        <w:textAlignment w:val="auto"/>
        <w:outlineLvl w:val="9"/>
        <w:rPr>
          <w:rFonts w:hint="eastAsia" w:ascii="方正黑体简体" w:hAnsi="方正黑体简体" w:eastAsia="方正黑体简体" w:cs="方正黑体简体"/>
          <w:b w:val="0"/>
          <w:bCs/>
          <w:sz w:val="30"/>
          <w:szCs w:val="30"/>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黑体" w:eastAsia="方正黑体简体"/>
          <w:b w:val="0"/>
          <w:bCs w:val="0"/>
          <w:sz w:val="30"/>
          <w:szCs w:val="30"/>
          <w:lang w:val="en-US" w:eastAsia="zh-CN"/>
        </w:rPr>
        <w:t>第三章  机构与职责</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第八条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 xml:space="preserve"> 公司</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是大修项目的归口管理部门。</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（一）负责安排大修项目预算资金，组织公司级修项目计划审查，编制、下达大修项目计划、项目批复，严格界定费用化支出和资本化支出；</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（二）配合业务部室完成大修项目方案审查、设计概算审定、现场办公、变更管理以及完工交接；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（三）负责大修项目进度跟踪，并于每月28日前上报川港公司限上大修项目进度；</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（四）负责大修项目资金的筹集、审批、拨付，办理项目财务决算；</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（五）参与大修项目合同谈判、评标、竣工验收以及三算评价等工作；</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（六）负责大修资金使用监督管理和考核。</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第九条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公司</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是大修项目牵头执行部门。</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（一）负责大修项目立项申请（包括但不限于目前期调研、项目立项、项目可研报告和初步设计及概算的委托、预审、审批及上报）和实施全过程管理。</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（二）负责场站设备设施（含撬装）、计量装置大修项目立项审查、设计（方案）审批，组织现场办公和完工交接验收，负责过程监管和变更管理审查。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第十条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公司管道管理部负责管道及附属设备设施类大修项目立项审查、设计（方案）审批，组织现场办公和完工交接验收，负责过程监管和变更管理审查。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公司安全环保质量部负责</w:t>
      </w:r>
      <w:r>
        <w:rPr>
          <w:rFonts w:hint="eastAsia" w:ascii="方正仿宋简体" w:hAnsi="方正仿宋简体" w:eastAsia="方正仿宋简体" w:cs="方正仿宋简体"/>
          <w:sz w:val="28"/>
          <w:szCs w:val="28"/>
        </w:rPr>
        <w:t>安全隐患</w:t>
      </w:r>
      <w:r>
        <w:rPr>
          <w:rFonts w:hint="eastAsia" w:ascii="方正仿宋简体" w:hAnsi="方正仿宋简体" w:eastAsia="方正仿宋简体" w:cs="方正仿宋简体"/>
          <w:bCs/>
          <w:sz w:val="28"/>
          <w:szCs w:val="28"/>
        </w:rPr>
        <w:t>治理、环保污染、节能改造、消防设施、车辆类大修项目立项审查、设计（方案）审批，组织现场办公和完工交接，负责过程监管和变更管理审查。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第十二条  </w:t>
      </w:r>
      <w:r>
        <w:rPr>
          <w:rFonts w:hint="eastAsia" w:ascii="方正仿宋简体" w:hAnsi="方正仿宋简体" w:eastAsia="方正仿宋简体" w:cs="方正仿宋简体"/>
          <w:bCs/>
          <w:sz w:val="28"/>
          <w:szCs w:val="28"/>
        </w:rPr>
        <w:t>公司</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负责水电设备、道路、公用工程等生产生活设施大修项目立项审查、设计（方案）审批，组织现场办公和完工交接，负责过程监管和变更管理审查。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第十三条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公司</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负责大修项目概算、招标控制价审定；参加大修项目立项审查、设计审查。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lang w:eastAsia="zh-CN"/>
        </w:rPr>
        <w:t>输配中心站</w:t>
      </w:r>
      <w:r>
        <w:rPr>
          <w:rFonts w:hint="eastAsia" w:ascii="方正仿宋简体" w:hAnsi="方正仿宋简体" w:eastAsia="方正仿宋简体" w:cs="方正仿宋简体"/>
          <w:bCs/>
          <w:sz w:val="28"/>
          <w:szCs w:val="28"/>
        </w:rPr>
        <w:t>作业公司站场的属地管理单位，负责站场大修项目、计量器具建设阶段的属地管理，参与施工图、施工组织设计和施工方案的审查；参与施工组织、开工报告、完工交接等工作；参与施工技术交底工作与现场技术管理工作；负责各类站场属地内施工作业的外来人员安全教育、入场登记、人员资质核实、属地风险管控，参与作业许可等相关手续中要求的作业许可管理要求执行。</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88" w:firstLineChars="196"/>
        <w:textAlignment w:val="auto"/>
        <w:outlineLvl w:val="9"/>
        <w:rPr>
          <w:rFonts w:hint="eastAsia" w:ascii="方正黑体简体" w:hAnsi="方正黑体简体" w:eastAsia="方正黑体简体" w:cs="方正黑体简体"/>
          <w:b w:val="0"/>
          <w:bCs/>
          <w:sz w:val="30"/>
          <w:szCs w:val="30"/>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第四章  立项审批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第十五条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大修项目立项和审批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1.公司各部门结合生产、经营实际，编制和上报大修项目建议计划。</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各部门每年9月开始开展现场调研工作，编制下年度大修项目建议计划，限上大修项目必须于9月底通过OA办公系统上报大修项目建议计划至川港财务资产部，内容包含运行状况、大修原因、大修工作量、预计大修费用等。限下大修项目由</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汇总后通过公司办公会审议决定立项。</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限上项目由川港公司财务资产部根据公司上报的大修项目建议计划，组织相关部室开展方案和立项审查工作，由总经理办公会审批后下达大修项目计划，明确大修工作量、预计费用、项目执行单位、业务分管部室等。限下大修项目由公司办公会审议后下达大修项目计划。</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bCs/>
          <w:sz w:val="28"/>
          <w:szCs w:val="28"/>
        </w:rPr>
        <w:t>未经审批，不得实施计划外大修项目，不得随意调整大修规模和大修内容。严禁虚报项目，严禁未经审批分拆、整合项目。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第十六条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生产中临时出现需要大修的项目，按立项审批程序，通过OA办公系统上报立项申请。</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624" w:firstLineChars="223"/>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第五章  设计(方案)审查及批复</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第十七条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大修项目计划下达后，项目执行部门应及时委托设计或编制</w:t>
      </w:r>
      <w:r>
        <w:rPr>
          <w:rFonts w:hint="eastAsia" w:ascii="方正仿宋简体" w:hAnsi="方正仿宋简体" w:eastAsia="方正仿宋简体" w:cs="方正仿宋简体"/>
          <w:bCs/>
          <w:sz w:val="28"/>
          <w:szCs w:val="28"/>
        </w:rPr>
        <w:t>大修方案，完成初审后，限上项目通过OA办公室系统上报设计（方案）和概算审查申请，限下项目设计（方案）由公司</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组织审查，概算由公司</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审查。</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申请中项目名称应与下达的大修项目计划名称一致，内容应包含项目计划文号、设计单位名称、项目执行单位联系人、联系电话和附件（初审意见、设计文件、概算等）、业务分管部室。</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Cs/>
          <w:sz w:val="28"/>
          <w:szCs w:val="28"/>
        </w:rPr>
        <w:t>设计（方案）至少4份报送至业务分管部室，概算至少2份（</w:t>
      </w:r>
      <w:r>
        <w:rPr>
          <w:rFonts w:hint="eastAsia" w:ascii="方正仿宋简体" w:hAnsi="方正仿宋简体" w:eastAsia="方正仿宋简体" w:cs="方正仿宋简体"/>
          <w:sz w:val="28"/>
          <w:szCs w:val="28"/>
        </w:rPr>
        <w:t>含鹏业软件编制的电子文档）报送至规划计划部。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bCs/>
          <w:sz w:val="28"/>
          <w:szCs w:val="28"/>
        </w:rPr>
        <w:t>第十八条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sz w:val="28"/>
          <w:szCs w:val="28"/>
        </w:rPr>
        <w:t>审查及批复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限上大修项目由川港公司业务分管部室组织审查设计（方案），出具设计（方案）审定单；规划计划部出具概算审批表；财务资产部在OA办公系统中下达项目批复。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第十九</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大修项目批复文件一经下达，项目名称不得随意变更，费用不得随意超支。</w:t>
      </w:r>
    </w:p>
    <w:p>
      <w:pPr>
        <w:keepNext w:val="0"/>
        <w:keepLines w:val="0"/>
        <w:pageBreakBefore w:val="0"/>
        <w:widowControl w:val="0"/>
        <w:kinsoku/>
        <w:wordWrap/>
        <w:overflowPunct/>
        <w:topLinePunct w:val="0"/>
        <w:autoSpaceDE/>
        <w:autoSpaceDN/>
        <w:bidi w:val="0"/>
        <w:adjustRightInd/>
        <w:snapToGrid/>
        <w:spacing w:line="560" w:lineRule="exact"/>
        <w:ind w:firstLine="537" w:firstLineChars="192"/>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第六章  项目实施</w:t>
      </w:r>
    </w:p>
    <w:p>
      <w:pPr>
        <w:keepNext w:val="0"/>
        <w:keepLines w:val="0"/>
        <w:pageBreakBefore w:val="0"/>
        <w:widowControl w:val="0"/>
        <w:numPr>
          <w:ilvl w:val="0"/>
          <w:numId w:val="0"/>
        </w:numPr>
        <w:tabs>
          <w:tab w:val="left" w:pos="360"/>
          <w:tab w:val="left" w:pos="540"/>
        </w:tabs>
        <w:kinsoku/>
        <w:wordWrap/>
        <w:overflowPunct/>
        <w:topLinePunct w:val="0"/>
        <w:autoSpaceDE/>
        <w:autoSpaceDN/>
        <w:bidi w:val="0"/>
        <w:adjustRightInd/>
        <w:snapToGrid/>
        <w:spacing w:before="156" w:beforeLines="50" w:after="156" w:afterLines="50"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第二十条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项目批复下达后，公司业务部门按《四川川港燃气有限责任公司工程项目建设管理办法》相关要求，组织大修项目实施和过程管理。</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 xml:space="preserve">第二十一条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Cs/>
          <w:sz w:val="28"/>
          <w:szCs w:val="28"/>
        </w:rPr>
        <w:t>公司</w:t>
      </w:r>
      <w:r>
        <w:rPr>
          <w:rFonts w:hint="eastAsia" w:ascii="方正仿宋简体" w:hAnsi="方正仿宋简体" w:eastAsia="方正仿宋简体" w:cs="方正仿宋简体"/>
          <w:bCs/>
          <w:sz w:val="28"/>
          <w:szCs w:val="28"/>
          <w:lang w:eastAsia="zh-CN"/>
        </w:rPr>
        <w:t>财务资产部</w:t>
      </w:r>
      <w:r>
        <w:rPr>
          <w:rFonts w:hint="eastAsia" w:ascii="方正仿宋简体" w:hAnsi="方正仿宋简体" w:eastAsia="方正仿宋简体" w:cs="方正仿宋简体"/>
          <w:bCs/>
          <w:sz w:val="28"/>
          <w:szCs w:val="28"/>
        </w:rPr>
        <w:t>每月28日前对限上大修项目报送《川港公司资产大修项目进度表》至川港公司财务资产部。进度表中各项内容要求填报完整、真实，直至该项目结算、资料组卷归档完毕为止。</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每年12月28日前，报送公司年度限上大修项目实施总结和效益效果分析至川港公司财务资产部。对全年限上、限下大修工作进行总结，对工艺优化、功能调整、安全隐患、环保治理、节能改造等重点项目作效益效果分析。</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第七章  工作量变更和调概管理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第二十二条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Cs/>
          <w:sz w:val="28"/>
          <w:szCs w:val="28"/>
        </w:rPr>
        <w:t>大修项目工作量变更参照《四川川港燃气有限责任公司工程项目建设管理办法》相关要求执行。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施工过程中出现实际工作量与设计不符时，由施工单位、监理单位向项目公司汇报，公司大修项目业务管理部门现场复核后，向川港公司业务分管部室和设计单位提出工作量变更申请，取得签字认可后方可变更。业务量变更在5万元以下，公司组织相关部门现场复核后，向业务分管部室和设计单位提出申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Cs/>
          <w:sz w:val="28"/>
          <w:szCs w:val="28"/>
        </w:rPr>
        <w:t>出现工作量重大变更或环境条件变化等超出批复范围时，</w:t>
      </w:r>
      <w:r>
        <w:rPr>
          <w:rFonts w:hint="eastAsia" w:ascii="方正仿宋简体" w:hAnsi="方正仿宋简体" w:eastAsia="方正仿宋简体" w:cs="方正仿宋简体"/>
          <w:sz w:val="28"/>
          <w:szCs w:val="28"/>
        </w:rPr>
        <w:t>需川港公司业务分管部室联合设计单位现场办公确认。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2.变更工作量必须依据设计变更单或方案变更联络单进行签认。隐蔽工程要附上相应图片及资料，设计单位、施工单位、监理单位、项目执行单位共同签字盖章认可，以此作为结算依据。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3.申请完工交接前必须完善工作量变更的签认工作，完工交接后不再做任何工作量的变更签认。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第二十三条</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调概管理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1.大修项目原则上不进行调概。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sz w:val="28"/>
          <w:szCs w:val="28"/>
        </w:rPr>
        <w:t>2.因生产调整或不确定因素变化确需调概的大修项目，公司应及时</w:t>
      </w:r>
      <w:r>
        <w:rPr>
          <w:rFonts w:hint="eastAsia" w:ascii="方正仿宋简体" w:hAnsi="方正仿宋简体" w:eastAsia="方正仿宋简体" w:cs="方正仿宋简体"/>
          <w:bCs/>
          <w:sz w:val="28"/>
          <w:szCs w:val="28"/>
        </w:rPr>
        <w:t>在OA办公系统中</w:t>
      </w:r>
      <w:r>
        <w:rPr>
          <w:rFonts w:hint="eastAsia" w:ascii="方正仿宋简体" w:hAnsi="方正仿宋简体" w:eastAsia="方正仿宋简体" w:cs="方正仿宋简体"/>
          <w:sz w:val="28"/>
          <w:szCs w:val="28"/>
        </w:rPr>
        <w:t>申请调概，提供大修项目设计（方案）变更单或工程联络单、施工工作量签认单、调整概算书、价格依据等资料，</w:t>
      </w:r>
      <w:r>
        <w:rPr>
          <w:rFonts w:hint="eastAsia" w:ascii="方正仿宋简体" w:hAnsi="方正仿宋简体" w:eastAsia="方正仿宋简体" w:cs="方正仿宋简体"/>
          <w:bCs/>
          <w:sz w:val="28"/>
          <w:szCs w:val="28"/>
        </w:rPr>
        <w:t>待川港公司财务资产部及分管领导同意后方能调概。</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第八章  完工交接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bCs/>
          <w:sz w:val="28"/>
          <w:szCs w:val="28"/>
        </w:rPr>
        <w:t xml:space="preserve">第二十四条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大修项目采用完工交接代竣工验收。完工交接程序如下：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1.公司</w:t>
      </w:r>
      <w:r>
        <w:rPr>
          <w:rFonts w:hint="eastAsia" w:ascii="方正仿宋简体" w:hAnsi="方正仿宋简体" w:eastAsia="方正仿宋简体" w:cs="方正仿宋简体"/>
          <w:b w:val="0"/>
          <w:bCs w:val="0"/>
          <w:sz w:val="28"/>
          <w:szCs w:val="28"/>
        </w:rPr>
        <w:t>“自检”：大修完成后，公司组织施工单位、监理单位依据设计或方案自检，对发现的问题及时</w:t>
      </w:r>
      <w:r>
        <w:rPr>
          <w:rFonts w:hint="eastAsia" w:ascii="方正仿宋简体" w:hAnsi="方正仿宋简体" w:eastAsia="方正仿宋简体" w:cs="方正仿宋简体"/>
          <w:sz w:val="28"/>
          <w:szCs w:val="28"/>
        </w:rPr>
        <w:t>整改。自检和整改合格后，限上项目由公司向川港业务分管部室提出完工交接申请，限下项目由公司自行组织完工交接。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2.限上项目由川港公司业务分管部室组</w:t>
      </w:r>
      <w:r>
        <w:rPr>
          <w:rFonts w:hint="eastAsia" w:ascii="方正仿宋简体" w:hAnsi="方正仿宋简体" w:eastAsia="方正仿宋简体" w:cs="方正仿宋简体"/>
          <w:b w:val="0"/>
          <w:bCs w:val="0"/>
          <w:sz w:val="28"/>
          <w:szCs w:val="28"/>
        </w:rPr>
        <w:t>织“完工交接”：业务分管</w:t>
      </w:r>
      <w:r>
        <w:rPr>
          <w:rFonts w:hint="eastAsia" w:ascii="方正仿宋简体" w:hAnsi="方正仿宋简体" w:eastAsia="方正仿宋简体" w:cs="方正仿宋简体"/>
          <w:sz w:val="28"/>
          <w:szCs w:val="28"/>
        </w:rPr>
        <w:t>部室组织财务资产部、质量安全环保部、规划计划部、企管法规部进行完工交接。公司业务主管部门落实交接中提出的整改事项，实行闭环管理。限下项目由公司项目主管部门组织相关部室进行完工交接，并落实交接中提出的整改事项，实行闭环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第二十五条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大修项目完工交接后，公司项目主管部门及时完成大修项目资料组卷工作，按档案管理要求实行归档管理。</w:t>
      </w:r>
    </w:p>
    <w:p>
      <w:pPr>
        <w:keepNext w:val="0"/>
        <w:keepLines w:val="0"/>
        <w:pageBreakBefore w:val="0"/>
        <w:widowControl w:val="0"/>
        <w:kinsoku/>
        <w:wordWrap/>
        <w:overflowPunct/>
        <w:topLinePunct w:val="0"/>
        <w:autoSpaceDE/>
        <w:autoSpaceDN/>
        <w:bidi w:val="0"/>
        <w:adjustRightInd/>
        <w:snapToGrid/>
        <w:spacing w:line="560" w:lineRule="exact"/>
        <w:ind w:firstLine="556"/>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第九章  项目结算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z w:val="28"/>
          <w:szCs w:val="28"/>
        </w:rPr>
        <w:t>第二十六条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bCs/>
          <w:kern w:val="0"/>
          <w:sz w:val="28"/>
          <w:szCs w:val="28"/>
        </w:rPr>
        <w:t>大修项目结算参照《</w:t>
      </w:r>
      <w:r>
        <w:rPr>
          <w:rFonts w:hint="eastAsia" w:ascii="方正仿宋简体" w:hAnsi="方正仿宋简体" w:eastAsia="方正仿宋简体" w:cs="方正仿宋简体"/>
          <w:kern w:val="0"/>
          <w:sz w:val="28"/>
          <w:szCs w:val="28"/>
        </w:rPr>
        <w:t>地面建设项目结算指导意见》相关要求执行。</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黑体" w:eastAsia="方正黑体简体"/>
          <w:b w:val="0"/>
          <w:bCs w:val="0"/>
          <w:sz w:val="30"/>
          <w:szCs w:val="30"/>
          <w:lang w:val="en-US" w:eastAsia="zh-CN"/>
        </w:rPr>
      </w:pPr>
      <w:r>
        <w:rPr>
          <w:rFonts w:hint="eastAsia" w:ascii="方正黑体简体" w:hAnsi="黑体" w:eastAsia="方正黑体简体"/>
          <w:b w:val="0"/>
          <w:bCs w:val="0"/>
          <w:sz w:val="30"/>
          <w:szCs w:val="30"/>
          <w:lang w:val="en-US" w:eastAsia="zh-CN"/>
        </w:rPr>
        <w:t>第十章  附  则</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第二十七条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本细则由公司</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负责解释。</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第二十八条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本细则从发文之日起执行。</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560" w:lineRule="exact"/>
        <w:textAlignment w:val="auto"/>
        <w:outlineLvl w:val="9"/>
        <w:rPr>
          <w:rFonts w:ascii="方正仿宋简体" w:hAnsi="宋体" w:eastAsia="方正仿宋简体"/>
          <w:bCs/>
          <w:sz w:val="32"/>
          <w:szCs w:val="32"/>
        </w:rPr>
      </w:pPr>
    </w:p>
    <w:tbl>
      <w:tblPr>
        <w:tblStyle w:val="51"/>
        <w:tblW w:w="8856" w:type="dxa"/>
        <w:tblInd w:w="93" w:type="dxa"/>
        <w:tblLayout w:type="fixed"/>
        <w:tblCellMar>
          <w:top w:w="0" w:type="dxa"/>
          <w:left w:w="108" w:type="dxa"/>
          <w:bottom w:w="0" w:type="dxa"/>
          <w:right w:w="108" w:type="dxa"/>
        </w:tblCellMar>
      </w:tblPr>
      <w:tblGrid>
        <w:gridCol w:w="1575"/>
        <w:gridCol w:w="3969"/>
        <w:gridCol w:w="1751"/>
        <w:gridCol w:w="1561"/>
      </w:tblGrid>
      <w:tr>
        <w:tblPrEx>
          <w:tblLayout w:type="fixed"/>
          <w:tblCellMar>
            <w:top w:w="0" w:type="dxa"/>
            <w:left w:w="108" w:type="dxa"/>
            <w:bottom w:w="0" w:type="dxa"/>
            <w:right w:w="108" w:type="dxa"/>
          </w:tblCellMar>
        </w:tblPrEx>
        <w:trPr>
          <w:trHeight w:val="960" w:hRule="atLeast"/>
        </w:trPr>
        <w:tc>
          <w:tcPr>
            <w:tcW w:w="8856"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中油南充大修项目设计（方案）审定单</w:t>
            </w:r>
          </w:p>
        </w:tc>
      </w:tr>
      <w:tr>
        <w:tblPrEx>
          <w:tblLayout w:type="fixed"/>
          <w:tblCellMar>
            <w:top w:w="0" w:type="dxa"/>
            <w:left w:w="108" w:type="dxa"/>
            <w:bottom w:w="0" w:type="dxa"/>
            <w:right w:w="108" w:type="dxa"/>
          </w:tblCellMar>
        </w:tblPrEx>
        <w:trPr>
          <w:trHeight w:val="855"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项目名称</w:t>
            </w:r>
          </w:p>
        </w:tc>
        <w:tc>
          <w:tcPr>
            <w:tcW w:w="39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75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项目执行单位</w:t>
            </w:r>
          </w:p>
        </w:tc>
        <w:tc>
          <w:tcPr>
            <w:tcW w:w="156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5"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参加审查</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部室</w:t>
            </w:r>
          </w:p>
        </w:tc>
        <w:tc>
          <w:tcPr>
            <w:tcW w:w="39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75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审查日期</w:t>
            </w:r>
          </w:p>
        </w:tc>
        <w:tc>
          <w:tcPr>
            <w:tcW w:w="1561" w:type="dxa"/>
            <w:tcBorders>
              <w:top w:val="nil"/>
              <w:left w:val="nil"/>
              <w:bottom w:val="single" w:color="auto" w:sz="4" w:space="0"/>
              <w:right w:val="single" w:color="auto" w:sz="4" w:space="0"/>
            </w:tcBorders>
            <w:vAlign w:val="center"/>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645" w:hRule="atLeast"/>
        </w:trPr>
        <w:tc>
          <w:tcPr>
            <w:tcW w:w="8856" w:type="dxa"/>
            <w:gridSpan w:val="4"/>
            <w:vMerge w:val="restart"/>
            <w:tcBorders>
              <w:top w:val="single" w:color="auto" w:sz="4" w:space="0"/>
              <w:left w:val="single" w:color="auto" w:sz="4" w:space="0"/>
              <w:bottom w:val="single" w:color="auto" w:sz="4" w:space="0"/>
              <w:right w:val="single" w:color="auto" w:sz="4" w:space="0"/>
            </w:tcBorders>
            <w:vAlign w:val="to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审定工作量：</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ind w:firstLine="5894" w:firstLineChars="2456"/>
              <w:jc w:val="left"/>
              <w:rPr>
                <w:rFonts w:ascii="仿宋_GB2312" w:hAnsi="宋体" w:eastAsia="仿宋_GB2312" w:cs="宋体"/>
                <w:kern w:val="0"/>
                <w:sz w:val="24"/>
              </w:rPr>
            </w:pPr>
            <w:r>
              <w:rPr>
                <w:rFonts w:hint="eastAsia" w:ascii="仿宋_GB2312" w:hAnsi="宋体" w:eastAsia="仿宋_GB2312" w:cs="宋体"/>
                <w:kern w:val="0"/>
                <w:sz w:val="24"/>
              </w:rPr>
              <w:t>审查人签名：</w:t>
            </w:r>
          </w:p>
          <w:p>
            <w:pPr>
              <w:widowControl/>
              <w:ind w:firstLine="5894" w:firstLineChars="2456"/>
              <w:jc w:val="right"/>
              <w:rPr>
                <w:rFonts w:ascii="仿宋_GB2312" w:hAnsi="宋体" w:eastAsia="仿宋_GB2312" w:cs="宋体"/>
                <w:kern w:val="0"/>
                <w:sz w:val="24"/>
              </w:rPr>
            </w:pPr>
            <w:r>
              <w:rPr>
                <w:rFonts w:hint="eastAsia" w:ascii="仿宋_GB2312" w:hAnsi="宋体" w:eastAsia="仿宋_GB2312" w:cs="宋体"/>
                <w:kern w:val="0"/>
                <w:sz w:val="24"/>
              </w:rPr>
              <w:t>时间：  年     月   日</w:t>
            </w:r>
          </w:p>
        </w:tc>
      </w:tr>
      <w:tr>
        <w:tblPrEx>
          <w:tblLayout w:type="fixed"/>
          <w:tblCellMar>
            <w:top w:w="0" w:type="dxa"/>
            <w:left w:w="108" w:type="dxa"/>
            <w:bottom w:w="0" w:type="dxa"/>
            <w:right w:w="108" w:type="dxa"/>
          </w:tblCellMar>
        </w:tblPrEx>
        <w:trPr>
          <w:trHeight w:val="626" w:hRule="atLeast"/>
        </w:trPr>
        <w:tc>
          <w:tcPr>
            <w:tcW w:w="8856"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626" w:hRule="atLeast"/>
        </w:trPr>
        <w:tc>
          <w:tcPr>
            <w:tcW w:w="8856"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626" w:hRule="atLeast"/>
        </w:trPr>
        <w:tc>
          <w:tcPr>
            <w:tcW w:w="8856"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1282" w:hRule="atLeast"/>
        </w:trPr>
        <w:tc>
          <w:tcPr>
            <w:tcW w:w="8856"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p>
        </w:tc>
      </w:tr>
      <w:tr>
        <w:tblPrEx>
          <w:tblLayout w:type="fixed"/>
          <w:tblCellMar>
            <w:top w:w="0" w:type="dxa"/>
            <w:left w:w="108" w:type="dxa"/>
            <w:bottom w:w="0" w:type="dxa"/>
            <w:right w:w="108" w:type="dxa"/>
          </w:tblCellMar>
        </w:tblPrEx>
        <w:trPr>
          <w:trHeight w:val="2018" w:hRule="atLeast"/>
        </w:trPr>
        <w:tc>
          <w:tcPr>
            <w:tcW w:w="8856" w:type="dxa"/>
            <w:gridSpan w:val="4"/>
            <w:tcBorders>
              <w:top w:val="nil"/>
              <w:left w:val="single" w:color="auto" w:sz="4" w:space="0"/>
              <w:bottom w:val="nil"/>
              <w:right w:val="single" w:color="auto" w:sz="4" w:space="0"/>
            </w:tcBorders>
            <w:vAlign w:val="top"/>
          </w:tcPr>
          <w:p>
            <w:pPr>
              <w:widowControl/>
              <w:rPr>
                <w:rFonts w:ascii="仿宋_GB2312" w:hAnsi="宋体" w:eastAsia="仿宋_GB2312" w:cs="宋体"/>
                <w:kern w:val="0"/>
                <w:sz w:val="24"/>
              </w:rPr>
            </w:pPr>
            <w:r>
              <w:rPr>
                <w:rFonts w:hint="eastAsia" w:ascii="仿宋_GB2312" w:hAnsi="宋体" w:eastAsia="仿宋_GB2312" w:cs="宋体"/>
                <w:kern w:val="0"/>
                <w:sz w:val="24"/>
              </w:rPr>
              <w:t>部室领导意见：</w:t>
            </w:r>
          </w:p>
        </w:tc>
      </w:tr>
      <w:tr>
        <w:tblPrEx>
          <w:tblLayout w:type="fixed"/>
          <w:tblCellMar>
            <w:top w:w="0" w:type="dxa"/>
            <w:left w:w="108" w:type="dxa"/>
            <w:bottom w:w="0" w:type="dxa"/>
            <w:right w:w="108" w:type="dxa"/>
          </w:tblCellMar>
        </w:tblPrEx>
        <w:trPr>
          <w:trHeight w:val="655" w:hRule="atLeast"/>
        </w:trPr>
        <w:tc>
          <w:tcPr>
            <w:tcW w:w="8856" w:type="dxa"/>
            <w:gridSpan w:val="4"/>
            <w:tcBorders>
              <w:top w:val="nil"/>
              <w:left w:val="single" w:color="auto" w:sz="4" w:space="0"/>
              <w:bottom w:val="single" w:color="auto" w:sz="4" w:space="0"/>
              <w:right w:val="single" w:color="auto" w:sz="4" w:space="0"/>
            </w:tcBorders>
            <w:vAlign w:val="top"/>
          </w:tcPr>
          <w:p>
            <w:pPr>
              <w:widowControl/>
              <w:ind w:firstLine="6000" w:firstLineChars="2500"/>
              <w:rPr>
                <w:rFonts w:ascii="仿宋_GB2312" w:hAnsi="宋体" w:eastAsia="仿宋_GB2312" w:cs="宋体"/>
                <w:kern w:val="0"/>
                <w:sz w:val="24"/>
              </w:rPr>
            </w:pPr>
            <w:r>
              <w:rPr>
                <w:rFonts w:hint="eastAsia" w:ascii="仿宋_GB2312" w:hAnsi="宋体" w:eastAsia="仿宋_GB2312" w:cs="宋体"/>
                <w:kern w:val="0"/>
                <w:sz w:val="24"/>
              </w:rPr>
              <w:t>签  名：</w:t>
            </w:r>
          </w:p>
          <w:p>
            <w:pPr>
              <w:widowControl/>
              <w:jc w:val="right"/>
              <w:rPr>
                <w:rFonts w:ascii="仿宋_GB2312" w:hAnsi="宋体" w:eastAsia="仿宋_GB2312" w:cs="宋体"/>
                <w:kern w:val="0"/>
                <w:sz w:val="24"/>
              </w:rPr>
            </w:pPr>
            <w:r>
              <w:rPr>
                <w:rFonts w:hint="eastAsia" w:ascii="仿宋_GB2312" w:hAnsi="宋体" w:eastAsia="仿宋_GB2312" w:cs="宋体"/>
                <w:kern w:val="0"/>
                <w:sz w:val="24"/>
              </w:rPr>
              <w:t>时间：  年     月   日</w:t>
            </w:r>
          </w:p>
        </w:tc>
      </w:tr>
      <w:tr>
        <w:tblPrEx>
          <w:tblLayout w:type="fixed"/>
          <w:tblCellMar>
            <w:top w:w="0" w:type="dxa"/>
            <w:left w:w="108" w:type="dxa"/>
            <w:bottom w:w="0" w:type="dxa"/>
            <w:right w:w="108" w:type="dxa"/>
          </w:tblCellMar>
        </w:tblPrEx>
        <w:trPr>
          <w:trHeight w:val="1668" w:hRule="atLeast"/>
        </w:trPr>
        <w:tc>
          <w:tcPr>
            <w:tcW w:w="8856" w:type="dxa"/>
            <w:gridSpan w:val="4"/>
            <w:tcBorders>
              <w:top w:val="single" w:color="auto" w:sz="4" w:space="0"/>
              <w:left w:val="single" w:color="auto" w:sz="4" w:space="0"/>
              <w:bottom w:val="single" w:color="auto" w:sz="4" w:space="0"/>
              <w:right w:val="single" w:color="auto" w:sz="4" w:space="0"/>
            </w:tcBorders>
            <w:vAlign w:val="top"/>
          </w:tcPr>
          <w:p>
            <w:pPr>
              <w:widowControl/>
              <w:rPr>
                <w:rFonts w:ascii="仿宋_GB2312" w:hAnsi="宋体" w:eastAsia="仿宋_GB2312" w:cs="宋体"/>
                <w:kern w:val="0"/>
                <w:sz w:val="24"/>
              </w:rPr>
            </w:pPr>
            <w:r>
              <w:rPr>
                <w:rFonts w:hint="eastAsia" w:ascii="仿宋_GB2312" w:hAnsi="宋体" w:eastAsia="仿宋_GB2312" w:cs="宋体"/>
                <w:kern w:val="0"/>
                <w:sz w:val="24"/>
              </w:rPr>
              <w:t>分管领导意见：</w:t>
            </w:r>
          </w:p>
          <w:p>
            <w:pPr>
              <w:widowControl/>
              <w:rPr>
                <w:rFonts w:ascii="仿宋_GB2312" w:hAnsi="宋体" w:eastAsia="仿宋_GB2312" w:cs="宋体"/>
                <w:kern w:val="0"/>
                <w:sz w:val="24"/>
              </w:rPr>
            </w:pPr>
          </w:p>
          <w:p>
            <w:pPr>
              <w:widowControl/>
              <w:rPr>
                <w:rFonts w:ascii="仿宋_GB2312" w:hAnsi="宋体" w:eastAsia="仿宋_GB2312" w:cs="宋体"/>
                <w:kern w:val="0"/>
                <w:sz w:val="24"/>
              </w:rPr>
            </w:pPr>
          </w:p>
          <w:p>
            <w:pPr>
              <w:widowControl/>
              <w:ind w:firstLine="6000" w:firstLineChars="2500"/>
              <w:rPr>
                <w:rFonts w:ascii="仿宋_GB2312" w:hAnsi="宋体" w:eastAsia="仿宋_GB2312" w:cs="宋体"/>
                <w:kern w:val="0"/>
                <w:sz w:val="24"/>
              </w:rPr>
            </w:pPr>
            <w:r>
              <w:rPr>
                <w:rFonts w:hint="eastAsia" w:ascii="仿宋_GB2312" w:hAnsi="宋体" w:eastAsia="仿宋_GB2312" w:cs="宋体"/>
                <w:kern w:val="0"/>
                <w:sz w:val="24"/>
              </w:rPr>
              <w:t>签  名：</w:t>
            </w:r>
          </w:p>
          <w:p>
            <w:pPr>
              <w:widowControl/>
              <w:jc w:val="right"/>
              <w:rPr>
                <w:rFonts w:ascii="仿宋_GB2312" w:hAnsi="宋体" w:eastAsia="仿宋_GB2312" w:cs="宋体"/>
                <w:kern w:val="0"/>
                <w:sz w:val="24"/>
              </w:rPr>
            </w:pPr>
            <w:r>
              <w:rPr>
                <w:rFonts w:hint="eastAsia" w:ascii="仿宋_GB2312" w:hAnsi="宋体" w:eastAsia="仿宋_GB2312" w:cs="宋体"/>
                <w:kern w:val="0"/>
                <w:sz w:val="24"/>
              </w:rPr>
              <w:t>时间：  年     月   日</w:t>
            </w:r>
          </w:p>
        </w:tc>
      </w:tr>
    </w:tbl>
    <w:p>
      <w:pPr>
        <w:spacing w:line="360" w:lineRule="auto"/>
        <w:jc w:val="center"/>
        <w:rPr>
          <w:rFonts w:hint="eastAsia" w:ascii="仿宋_GB2312" w:hAnsi="宋体" w:eastAsia="仿宋_GB2312" w:cs="宋体"/>
          <w:b/>
          <w:bCs/>
          <w:kern w:val="0"/>
          <w:sz w:val="40"/>
          <w:szCs w:val="40"/>
        </w:rPr>
      </w:pPr>
    </w:p>
    <w:p>
      <w:pPr>
        <w:spacing w:line="360" w:lineRule="auto"/>
        <w:jc w:val="center"/>
        <w:rPr>
          <w:rFonts w:hint="eastAsia" w:ascii="仿宋_GB2312" w:hAnsi="宋体" w:eastAsia="仿宋_GB2312" w:cs="宋体"/>
          <w:b/>
          <w:bCs/>
          <w:kern w:val="0"/>
          <w:sz w:val="40"/>
          <w:szCs w:val="40"/>
        </w:rPr>
      </w:pPr>
    </w:p>
    <w:p>
      <w:pPr>
        <w:spacing w:line="360" w:lineRule="auto"/>
        <w:jc w:val="center"/>
        <w:rPr>
          <w:rFonts w:hint="eastAsia" w:ascii="仿宋_GB2312" w:hAnsi="宋体" w:eastAsia="仿宋_GB2312" w:cs="宋体"/>
          <w:b/>
          <w:bCs/>
          <w:kern w:val="0"/>
          <w:sz w:val="40"/>
          <w:szCs w:val="40"/>
        </w:rPr>
      </w:pPr>
    </w:p>
    <w:p>
      <w:pPr>
        <w:spacing w:line="360" w:lineRule="auto"/>
        <w:jc w:val="both"/>
        <w:rPr>
          <w:rFonts w:hint="eastAsia" w:ascii="仿宋_GB2312" w:hAnsi="宋体" w:eastAsia="仿宋_GB2312" w:cs="宋体"/>
          <w:b/>
          <w:bCs/>
          <w:kern w:val="0"/>
          <w:sz w:val="40"/>
          <w:szCs w:val="40"/>
        </w:rPr>
      </w:pPr>
    </w:p>
    <w:p>
      <w:pPr>
        <w:spacing w:line="360" w:lineRule="auto"/>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工程项目概算审批表（封面）</w:t>
      </w:r>
    </w:p>
    <w:p>
      <w:pPr>
        <w:spacing w:line="360" w:lineRule="auto"/>
        <w:jc w:val="left"/>
        <w:rPr>
          <w:rFonts w:ascii="仿宋_GB2312" w:hAnsi="宋体" w:eastAsia="仿宋_GB2312" w:cs="宋体"/>
          <w:b/>
          <w:bCs/>
          <w:kern w:val="0"/>
          <w:sz w:val="40"/>
          <w:szCs w:val="40"/>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工程项目名称：</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上报单位：</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上报金额：</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审定金额：</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审 查 人：</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复 核 人：</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部门领导：</w:t>
      </w:r>
    </w:p>
    <w:p>
      <w:pPr>
        <w:spacing w:line="360" w:lineRule="auto"/>
        <w:jc w:val="left"/>
        <w:rPr>
          <w:rFonts w:ascii="宋体" w:hAnsi="宋体" w:cs="宋体"/>
          <w:bCs/>
          <w:kern w:val="0"/>
          <w:sz w:val="32"/>
          <w:szCs w:val="32"/>
        </w:rPr>
      </w:pPr>
    </w:p>
    <w:p>
      <w:pPr>
        <w:spacing w:line="360" w:lineRule="auto"/>
        <w:jc w:val="left"/>
        <w:rPr>
          <w:rFonts w:ascii="宋体" w:hAnsi="宋体" w:cs="宋体"/>
          <w:bCs/>
          <w:kern w:val="0"/>
          <w:sz w:val="32"/>
          <w:szCs w:val="32"/>
        </w:rPr>
      </w:pPr>
      <w:r>
        <w:rPr>
          <w:rFonts w:hint="eastAsia" w:ascii="宋体" w:hAnsi="宋体" w:cs="宋体"/>
          <w:bCs/>
          <w:kern w:val="0"/>
          <w:sz w:val="32"/>
          <w:szCs w:val="32"/>
        </w:rPr>
        <w:t>审查部门：</w:t>
      </w:r>
    </w:p>
    <w:p>
      <w:pPr>
        <w:spacing w:line="360" w:lineRule="auto"/>
        <w:jc w:val="left"/>
        <w:rPr>
          <w:rFonts w:ascii="宋体" w:hAnsi="宋体" w:cs="宋体"/>
          <w:bCs/>
          <w:kern w:val="0"/>
          <w:sz w:val="32"/>
          <w:szCs w:val="32"/>
        </w:rPr>
      </w:pPr>
    </w:p>
    <w:p>
      <w:pPr>
        <w:spacing w:line="360" w:lineRule="auto"/>
        <w:ind w:firstLine="3040" w:firstLineChars="950"/>
        <w:jc w:val="left"/>
        <w:rPr>
          <w:rFonts w:ascii="宋体" w:hAnsi="宋体" w:cs="宋体"/>
          <w:bCs/>
          <w:kern w:val="0"/>
          <w:sz w:val="32"/>
          <w:szCs w:val="32"/>
        </w:rPr>
      </w:pPr>
      <w:r>
        <w:rPr>
          <w:rFonts w:hint="eastAsia" w:ascii="宋体" w:hAnsi="宋体" w:cs="宋体"/>
          <w:bCs/>
          <w:kern w:val="0"/>
          <w:sz w:val="32"/>
          <w:szCs w:val="32"/>
        </w:rPr>
        <w:t>审查日期：    年   月   日</w:t>
      </w:r>
    </w:p>
    <w:p>
      <w:pPr>
        <w:spacing w:line="360" w:lineRule="auto"/>
        <w:jc w:val="center"/>
        <w:rPr>
          <w:rFonts w:ascii="仿宋_GB2312" w:hAnsi="宋体" w:eastAsia="仿宋_GB2312" w:cs="宋体"/>
          <w:b/>
          <w:bCs/>
          <w:kern w:val="0"/>
          <w:sz w:val="40"/>
          <w:szCs w:val="40"/>
        </w:rPr>
      </w:pPr>
    </w:p>
    <w:p>
      <w:pPr>
        <w:widowControl/>
        <w:jc w:val="center"/>
        <w:rPr>
          <w:rFonts w:ascii="仿宋_GB2312" w:hAnsi="宋体" w:eastAsia="仿宋_GB2312" w:cs="宋体"/>
          <w:b/>
          <w:bCs/>
          <w:kern w:val="0"/>
          <w:sz w:val="40"/>
          <w:szCs w:val="40"/>
        </w:rPr>
      </w:pPr>
      <w:r>
        <w:rPr>
          <w:rFonts w:ascii="仿宋_GB2312" w:hAnsi="宋体" w:eastAsia="仿宋_GB2312" w:cs="宋体"/>
          <w:b/>
          <w:bCs/>
          <w:kern w:val="0"/>
          <w:sz w:val="40"/>
          <w:szCs w:val="40"/>
        </w:rPr>
        <w:br w:type="page"/>
      </w:r>
      <w:r>
        <w:rPr>
          <w:rFonts w:hint="eastAsia" w:ascii="仿宋_GB2312" w:hAnsi="宋体" w:eastAsia="仿宋_GB2312" w:cs="宋体"/>
          <w:b/>
          <w:bCs/>
          <w:kern w:val="0"/>
          <w:sz w:val="40"/>
          <w:szCs w:val="40"/>
        </w:rPr>
        <w:t>工程项目概算审批表</w:t>
      </w:r>
    </w:p>
    <w:tbl>
      <w:tblPr>
        <w:tblStyle w:val="51"/>
        <w:tblW w:w="9066" w:type="dxa"/>
        <w:tblInd w:w="0" w:type="dxa"/>
        <w:tblLayout w:type="fixed"/>
        <w:tblCellMar>
          <w:top w:w="0" w:type="dxa"/>
          <w:left w:w="108" w:type="dxa"/>
          <w:bottom w:w="0" w:type="dxa"/>
          <w:right w:w="108" w:type="dxa"/>
        </w:tblCellMar>
      </w:tblPr>
      <w:tblGrid>
        <w:gridCol w:w="871"/>
        <w:gridCol w:w="2407"/>
        <w:gridCol w:w="1511"/>
        <w:gridCol w:w="1255"/>
        <w:gridCol w:w="1255"/>
        <w:gridCol w:w="1767"/>
      </w:tblGrid>
      <w:tr>
        <w:tblPrEx>
          <w:tblLayout w:type="fixed"/>
          <w:tblCellMar>
            <w:top w:w="0" w:type="dxa"/>
            <w:left w:w="108" w:type="dxa"/>
            <w:bottom w:w="0" w:type="dxa"/>
            <w:right w:w="108" w:type="dxa"/>
          </w:tblCellMar>
        </w:tblPrEx>
        <w:trPr>
          <w:trHeight w:val="296" w:hRule="atLeast"/>
        </w:trPr>
        <w:tc>
          <w:tcPr>
            <w:tcW w:w="3278" w:type="dxa"/>
            <w:gridSpan w:val="2"/>
            <w:tcBorders>
              <w:top w:val="nil"/>
              <w:left w:val="nil"/>
              <w:bottom w:val="nil"/>
              <w:right w:val="nil"/>
            </w:tcBorders>
            <w:vAlign w:val="center"/>
          </w:tcPr>
          <w:p>
            <w:pPr>
              <w:widowControl/>
              <w:jc w:val="left"/>
              <w:rPr>
                <w:rFonts w:ascii="宋体" w:hAnsi="宋体" w:cs="宋体"/>
                <w:b/>
                <w:kern w:val="0"/>
                <w:sz w:val="24"/>
              </w:rPr>
            </w:pPr>
            <w:r>
              <w:rPr>
                <w:rFonts w:hint="eastAsia" w:ascii="宋体" w:hAnsi="宋体" w:cs="宋体"/>
                <w:b/>
                <w:kern w:val="0"/>
                <w:sz w:val="24"/>
              </w:rPr>
              <w:t xml:space="preserve">工程名称: </w:t>
            </w:r>
          </w:p>
        </w:tc>
        <w:tc>
          <w:tcPr>
            <w:tcW w:w="2766" w:type="dxa"/>
            <w:gridSpan w:val="2"/>
            <w:tcBorders>
              <w:top w:val="nil"/>
              <w:left w:val="nil"/>
              <w:bottom w:val="nil"/>
              <w:right w:val="nil"/>
            </w:tcBorders>
            <w:vAlign w:val="center"/>
          </w:tcPr>
          <w:p>
            <w:pPr>
              <w:widowControl/>
              <w:jc w:val="left"/>
              <w:rPr>
                <w:rFonts w:ascii="宋体" w:hAnsi="宋体" w:cs="宋体"/>
                <w:b/>
                <w:kern w:val="0"/>
                <w:sz w:val="24"/>
              </w:rPr>
            </w:pPr>
            <w:r>
              <w:rPr>
                <w:rFonts w:hint="eastAsia" w:ascii="宋体" w:hAnsi="宋体" w:cs="宋体"/>
                <w:b/>
                <w:kern w:val="0"/>
                <w:sz w:val="24"/>
              </w:rPr>
              <w:t xml:space="preserve">单位：万元               </w:t>
            </w:r>
          </w:p>
        </w:tc>
        <w:tc>
          <w:tcPr>
            <w:tcW w:w="1255" w:type="dxa"/>
            <w:tcBorders>
              <w:top w:val="nil"/>
              <w:left w:val="nil"/>
              <w:bottom w:val="nil"/>
              <w:right w:val="nil"/>
            </w:tcBorders>
            <w:vAlign w:val="center"/>
          </w:tcPr>
          <w:p>
            <w:pPr>
              <w:widowControl/>
              <w:jc w:val="left"/>
              <w:rPr>
                <w:rFonts w:ascii="宋体" w:hAnsi="宋体" w:cs="宋体"/>
                <w:b/>
                <w:kern w:val="0"/>
                <w:sz w:val="24"/>
              </w:rPr>
            </w:pPr>
          </w:p>
        </w:tc>
        <w:tc>
          <w:tcPr>
            <w:tcW w:w="1767" w:type="dxa"/>
            <w:tcBorders>
              <w:top w:val="nil"/>
              <w:left w:val="nil"/>
              <w:bottom w:val="nil"/>
              <w:right w:val="nil"/>
            </w:tcBorders>
            <w:vAlign w:val="center"/>
          </w:tcPr>
          <w:p>
            <w:pPr>
              <w:widowControl/>
              <w:jc w:val="right"/>
              <w:rPr>
                <w:rFonts w:ascii="宋体" w:hAnsi="宋体" w:cs="宋体"/>
                <w:b/>
                <w:kern w:val="0"/>
                <w:sz w:val="24"/>
              </w:rPr>
            </w:pPr>
            <w:r>
              <w:rPr>
                <w:rFonts w:hint="eastAsia" w:ascii="宋体" w:hAnsi="宋体" w:cs="宋体"/>
                <w:b/>
                <w:kern w:val="0"/>
                <w:sz w:val="24"/>
              </w:rPr>
              <w:t>第  /  页</w:t>
            </w:r>
          </w:p>
        </w:tc>
      </w:tr>
      <w:tr>
        <w:tblPrEx>
          <w:tblLayout w:type="fixed"/>
          <w:tblCellMar>
            <w:top w:w="0" w:type="dxa"/>
            <w:left w:w="108" w:type="dxa"/>
            <w:bottom w:w="0" w:type="dxa"/>
            <w:right w:w="108" w:type="dxa"/>
          </w:tblCellMar>
        </w:tblPrEx>
        <w:trPr>
          <w:trHeight w:val="296" w:hRule="atLeast"/>
        </w:trPr>
        <w:tc>
          <w:tcPr>
            <w:tcW w:w="3278" w:type="dxa"/>
            <w:gridSpan w:val="2"/>
            <w:tcBorders>
              <w:top w:val="nil"/>
              <w:left w:val="nil"/>
              <w:bottom w:val="nil"/>
              <w:right w:val="nil"/>
            </w:tcBorders>
            <w:vAlign w:val="center"/>
          </w:tcPr>
          <w:p>
            <w:pPr>
              <w:widowControl/>
              <w:jc w:val="left"/>
              <w:rPr>
                <w:rFonts w:ascii="宋体" w:hAnsi="宋体" w:cs="宋体"/>
                <w:b/>
                <w:kern w:val="0"/>
                <w:sz w:val="24"/>
              </w:rPr>
            </w:pPr>
          </w:p>
        </w:tc>
        <w:tc>
          <w:tcPr>
            <w:tcW w:w="2766" w:type="dxa"/>
            <w:gridSpan w:val="2"/>
            <w:tcBorders>
              <w:top w:val="nil"/>
              <w:left w:val="nil"/>
              <w:bottom w:val="nil"/>
              <w:right w:val="nil"/>
            </w:tcBorders>
            <w:vAlign w:val="center"/>
          </w:tcPr>
          <w:p>
            <w:pPr>
              <w:widowControl/>
              <w:jc w:val="left"/>
              <w:rPr>
                <w:rFonts w:ascii="宋体" w:hAnsi="宋体" w:cs="宋体"/>
                <w:b/>
                <w:kern w:val="0"/>
                <w:sz w:val="24"/>
              </w:rPr>
            </w:pPr>
          </w:p>
        </w:tc>
        <w:tc>
          <w:tcPr>
            <w:tcW w:w="1255" w:type="dxa"/>
            <w:tcBorders>
              <w:top w:val="nil"/>
              <w:left w:val="nil"/>
              <w:bottom w:val="nil"/>
              <w:right w:val="nil"/>
            </w:tcBorders>
            <w:vAlign w:val="center"/>
          </w:tcPr>
          <w:p>
            <w:pPr>
              <w:widowControl/>
              <w:jc w:val="left"/>
              <w:rPr>
                <w:rFonts w:ascii="宋体" w:hAnsi="宋体" w:cs="宋体"/>
                <w:b/>
                <w:kern w:val="0"/>
                <w:sz w:val="24"/>
              </w:rPr>
            </w:pPr>
          </w:p>
        </w:tc>
        <w:tc>
          <w:tcPr>
            <w:tcW w:w="1767" w:type="dxa"/>
            <w:tcBorders>
              <w:top w:val="nil"/>
              <w:left w:val="nil"/>
              <w:bottom w:val="nil"/>
              <w:right w:val="nil"/>
            </w:tcBorders>
            <w:vAlign w:val="center"/>
          </w:tcPr>
          <w:p>
            <w:pPr>
              <w:widowControl/>
              <w:jc w:val="right"/>
              <w:rPr>
                <w:rFonts w:ascii="宋体" w:hAnsi="宋体" w:cs="宋体"/>
                <w:b/>
                <w:kern w:val="0"/>
                <w:sz w:val="24"/>
              </w:rPr>
            </w:pPr>
          </w:p>
        </w:tc>
      </w:tr>
      <w:tr>
        <w:tblPrEx>
          <w:tblLayout w:type="fixed"/>
          <w:tblCellMar>
            <w:top w:w="0" w:type="dxa"/>
            <w:left w:w="108" w:type="dxa"/>
            <w:bottom w:w="0" w:type="dxa"/>
            <w:right w:w="108" w:type="dxa"/>
          </w:tblCellMar>
        </w:tblPrEx>
        <w:trPr>
          <w:trHeight w:val="795" w:hRule="atLeast"/>
        </w:trPr>
        <w:tc>
          <w:tcPr>
            <w:tcW w:w="871"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序号</w:t>
            </w:r>
          </w:p>
        </w:tc>
        <w:tc>
          <w:tcPr>
            <w:tcW w:w="2407"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项目</w:t>
            </w:r>
          </w:p>
        </w:tc>
        <w:tc>
          <w:tcPr>
            <w:tcW w:w="151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主要指标</w:t>
            </w:r>
          </w:p>
          <w:p>
            <w:pPr>
              <w:widowControl/>
              <w:jc w:val="center"/>
              <w:rPr>
                <w:rFonts w:ascii="宋体" w:hAnsi="宋体" w:cs="宋体"/>
                <w:kern w:val="0"/>
                <w:sz w:val="24"/>
              </w:rPr>
            </w:pPr>
            <w:r>
              <w:rPr>
                <w:rFonts w:hint="eastAsia" w:ascii="宋体" w:hAnsi="宋体" w:cs="宋体"/>
                <w:kern w:val="0"/>
                <w:sz w:val="24"/>
              </w:rPr>
              <w:t>（工程量）</w:t>
            </w:r>
          </w:p>
        </w:tc>
        <w:tc>
          <w:tcPr>
            <w:tcW w:w="1255"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概算金额</w:t>
            </w:r>
          </w:p>
        </w:tc>
        <w:tc>
          <w:tcPr>
            <w:tcW w:w="1255"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审定金额</w:t>
            </w:r>
          </w:p>
        </w:tc>
        <w:tc>
          <w:tcPr>
            <w:tcW w:w="1767" w:type="dxa"/>
            <w:tcBorders>
              <w:top w:val="single" w:color="auto" w:sz="8" w:space="0"/>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kern w:val="0"/>
                <w:sz w:val="24"/>
              </w:rPr>
              <w:t>审核情况简述</w:t>
            </w:r>
          </w:p>
        </w:tc>
      </w:tr>
      <w:tr>
        <w:tblPrEx>
          <w:tblLayout w:type="fixed"/>
          <w:tblCellMar>
            <w:top w:w="0" w:type="dxa"/>
            <w:left w:w="108" w:type="dxa"/>
            <w:bottom w:w="0" w:type="dxa"/>
            <w:right w:w="108" w:type="dxa"/>
          </w:tblCellMar>
        </w:tblPrEx>
        <w:trPr>
          <w:trHeight w:val="689"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　</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第一部分 工程费用</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56"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r>
              <w:rPr>
                <w:rFonts w:hint="eastAsia" w:ascii="宋体" w:hAnsi="宋体" w:cs="宋体"/>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65"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p>
        </w:tc>
      </w:tr>
      <w:tr>
        <w:tblPrEx>
          <w:tblLayout w:type="fixed"/>
          <w:tblCellMar>
            <w:top w:w="0" w:type="dxa"/>
            <w:left w:w="108" w:type="dxa"/>
            <w:bottom w:w="0" w:type="dxa"/>
            <w:right w:w="108" w:type="dxa"/>
          </w:tblCellMar>
        </w:tblPrEx>
        <w:trPr>
          <w:trHeight w:val="545"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p>
        </w:tc>
      </w:tr>
      <w:tr>
        <w:tblPrEx>
          <w:tblLayout w:type="fixed"/>
          <w:tblCellMar>
            <w:top w:w="0" w:type="dxa"/>
            <w:left w:w="108" w:type="dxa"/>
            <w:bottom w:w="0" w:type="dxa"/>
            <w:right w:w="108" w:type="dxa"/>
          </w:tblCellMar>
        </w:tblPrEx>
        <w:trPr>
          <w:trHeight w:val="55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kern w:val="0"/>
                <w:sz w:val="24"/>
              </w:rPr>
            </w:pPr>
            <w:r>
              <w:rPr>
                <w:rFonts w:hint="eastAsia" w:ascii="宋体" w:hAnsi="宋体" w:cs="宋体"/>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61"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p>
        </w:tc>
      </w:tr>
      <w:tr>
        <w:tblPrEx>
          <w:tblLayout w:type="fixed"/>
          <w:tblCellMar>
            <w:top w:w="0" w:type="dxa"/>
            <w:left w:w="108" w:type="dxa"/>
            <w:bottom w:w="0" w:type="dxa"/>
            <w:right w:w="108" w:type="dxa"/>
          </w:tblCellMar>
        </w:tblPrEx>
        <w:trPr>
          <w:trHeight w:val="555"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p>
        </w:tc>
      </w:tr>
      <w:tr>
        <w:tblPrEx>
          <w:tblLayout w:type="fixed"/>
          <w:tblCellMar>
            <w:top w:w="0" w:type="dxa"/>
            <w:left w:w="108" w:type="dxa"/>
            <w:bottom w:w="0" w:type="dxa"/>
            <w:right w:w="108" w:type="dxa"/>
          </w:tblCellMar>
        </w:tblPrEx>
        <w:trPr>
          <w:trHeight w:val="56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p>
        </w:tc>
      </w:tr>
      <w:tr>
        <w:tblPrEx>
          <w:tblLayout w:type="fixed"/>
          <w:tblCellMar>
            <w:top w:w="0" w:type="dxa"/>
            <w:left w:w="108" w:type="dxa"/>
            <w:bottom w:w="0" w:type="dxa"/>
            <w:right w:w="108" w:type="dxa"/>
          </w:tblCellMar>
        </w:tblPrEx>
        <w:trPr>
          <w:trHeight w:val="56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　</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小计</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xml:space="preserve">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xml:space="preserve">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r>
              <w:rPr>
                <w:rFonts w:hint="eastAsia" w:ascii="宋体" w:hAnsi="宋体" w:cs="宋体"/>
                <w:bCs/>
                <w:kern w:val="0"/>
                <w:sz w:val="24"/>
              </w:rPr>
              <w:t xml:space="preserve"> </w:t>
            </w:r>
          </w:p>
        </w:tc>
      </w:tr>
      <w:tr>
        <w:tblPrEx>
          <w:tblLayout w:type="fixed"/>
          <w:tblCellMar>
            <w:top w:w="0" w:type="dxa"/>
            <w:left w:w="108" w:type="dxa"/>
            <w:bottom w:w="0" w:type="dxa"/>
            <w:right w:w="108" w:type="dxa"/>
          </w:tblCellMar>
        </w:tblPrEx>
        <w:trPr>
          <w:trHeight w:val="557"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　</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第二部分 其他费用</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51"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59"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67"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47"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r>
      <w:tr>
        <w:tblPrEx>
          <w:tblLayout w:type="fixed"/>
          <w:tblCellMar>
            <w:top w:w="0" w:type="dxa"/>
            <w:left w:w="108" w:type="dxa"/>
            <w:bottom w:w="0" w:type="dxa"/>
            <w:right w:w="108" w:type="dxa"/>
          </w:tblCellMar>
        </w:tblPrEx>
        <w:trPr>
          <w:trHeight w:val="569"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r>
      <w:tr>
        <w:tblPrEx>
          <w:tblLayout w:type="fixed"/>
          <w:tblCellMar>
            <w:top w:w="0" w:type="dxa"/>
            <w:left w:w="108" w:type="dxa"/>
            <w:bottom w:w="0" w:type="dxa"/>
            <w:right w:w="108" w:type="dxa"/>
          </w:tblCellMar>
        </w:tblPrEx>
        <w:trPr>
          <w:trHeight w:val="56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r>
      <w:tr>
        <w:tblPrEx>
          <w:tblLayout w:type="fixed"/>
          <w:tblCellMar>
            <w:top w:w="0" w:type="dxa"/>
            <w:left w:w="108" w:type="dxa"/>
            <w:bottom w:w="0" w:type="dxa"/>
            <w:right w:w="108" w:type="dxa"/>
          </w:tblCellMar>
        </w:tblPrEx>
        <w:trPr>
          <w:trHeight w:val="54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kern w:val="0"/>
                <w:sz w:val="24"/>
              </w:rPr>
              <w:t>…</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p>
        </w:tc>
        <w:tc>
          <w:tcPr>
            <w:tcW w:w="1255"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p>
        </w:tc>
        <w:tc>
          <w:tcPr>
            <w:tcW w:w="1255"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p>
        </w:tc>
      </w:tr>
      <w:tr>
        <w:tblPrEx>
          <w:tblLayout w:type="fixed"/>
          <w:tblCellMar>
            <w:top w:w="0" w:type="dxa"/>
            <w:left w:w="108" w:type="dxa"/>
            <w:bottom w:w="0" w:type="dxa"/>
            <w:right w:w="108" w:type="dxa"/>
          </w:tblCellMar>
        </w:tblPrEx>
        <w:trPr>
          <w:trHeight w:val="543" w:hRule="atLeast"/>
        </w:trPr>
        <w:tc>
          <w:tcPr>
            <w:tcW w:w="871"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　</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小计</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bCs/>
                <w:kern w:val="0"/>
                <w:sz w:val="24"/>
              </w:rPr>
            </w:pPr>
            <w:r>
              <w:rPr>
                <w:rFonts w:hint="eastAsia" w:ascii="宋体" w:hAnsi="宋体" w:cs="宋体"/>
                <w:bCs/>
                <w:kern w:val="0"/>
                <w:sz w:val="24"/>
              </w:rPr>
              <w:t>　</w:t>
            </w:r>
          </w:p>
        </w:tc>
      </w:tr>
      <w:tr>
        <w:tblPrEx>
          <w:tblLayout w:type="fixed"/>
          <w:tblCellMar>
            <w:top w:w="0" w:type="dxa"/>
            <w:left w:w="108" w:type="dxa"/>
            <w:bottom w:w="0" w:type="dxa"/>
            <w:right w:w="108" w:type="dxa"/>
          </w:tblCellMar>
        </w:tblPrEx>
        <w:trPr>
          <w:trHeight w:val="631" w:hRule="atLeast"/>
        </w:trPr>
        <w:tc>
          <w:tcPr>
            <w:tcW w:w="871" w:type="dxa"/>
            <w:tcBorders>
              <w:top w:val="nil"/>
              <w:left w:val="single" w:color="auto" w:sz="8" w:space="0"/>
              <w:bottom w:val="single" w:color="auto" w:sz="4" w:space="0"/>
              <w:right w:val="single" w:color="auto" w:sz="4" w:space="0"/>
            </w:tcBorders>
            <w:vAlign w:val="bottom"/>
          </w:tcPr>
          <w:p>
            <w:pPr>
              <w:widowControl/>
              <w:jc w:val="left"/>
              <w:rPr>
                <w:rFonts w:ascii="宋体" w:hAnsi="宋体" w:cs="宋体"/>
                <w:bCs/>
                <w:kern w:val="0"/>
                <w:sz w:val="24"/>
              </w:rPr>
            </w:pPr>
            <w:r>
              <w:rPr>
                <w:rFonts w:hint="eastAsia" w:ascii="宋体" w:hAnsi="宋体" w:cs="宋体"/>
                <w:bCs/>
                <w:kern w:val="0"/>
                <w:sz w:val="24"/>
              </w:rPr>
              <w:t>　</w:t>
            </w:r>
          </w:p>
        </w:tc>
        <w:tc>
          <w:tcPr>
            <w:tcW w:w="2407"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cs="宋体"/>
                <w:bCs/>
                <w:kern w:val="0"/>
                <w:sz w:val="24"/>
              </w:rPr>
              <w:t xml:space="preserve">   项目概算总费用</w:t>
            </w:r>
          </w:p>
        </w:tc>
        <w:tc>
          <w:tcPr>
            <w:tcW w:w="1511" w:type="dxa"/>
            <w:tcBorders>
              <w:top w:val="nil"/>
              <w:left w:val="nil"/>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255" w:type="dxa"/>
            <w:tcBorders>
              <w:top w:val="nil"/>
              <w:left w:val="nil"/>
              <w:bottom w:val="single" w:color="auto" w:sz="4" w:space="0"/>
              <w:right w:val="single" w:color="auto" w:sz="4" w:space="0"/>
            </w:tcBorders>
            <w:vAlign w:val="center"/>
          </w:tcPr>
          <w:p>
            <w:pPr>
              <w:widowControl/>
              <w:jc w:val="right"/>
              <w:rPr>
                <w:rFonts w:ascii="宋体" w:hAnsi="宋体" w:cs="宋体"/>
                <w:bCs/>
                <w:kern w:val="0"/>
                <w:sz w:val="24"/>
              </w:rPr>
            </w:pPr>
            <w:r>
              <w:rPr>
                <w:rFonts w:hint="eastAsia" w:ascii="宋体" w:hAnsi="宋体" w:cs="宋体"/>
                <w:bCs/>
                <w:kern w:val="0"/>
                <w:sz w:val="24"/>
              </w:rPr>
              <w:t>　</w:t>
            </w:r>
          </w:p>
        </w:tc>
        <w:tc>
          <w:tcPr>
            <w:tcW w:w="1767" w:type="dxa"/>
            <w:tcBorders>
              <w:top w:val="nil"/>
              <w:left w:val="nil"/>
              <w:bottom w:val="single" w:color="auto" w:sz="4" w:space="0"/>
              <w:right w:val="single" w:color="auto" w:sz="8" w:space="0"/>
            </w:tcBorders>
            <w:vAlign w:val="center"/>
          </w:tcPr>
          <w:p>
            <w:pPr>
              <w:widowControl/>
              <w:jc w:val="left"/>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281" w:hRule="atLeast"/>
        </w:trPr>
        <w:tc>
          <w:tcPr>
            <w:tcW w:w="4789" w:type="dxa"/>
            <w:gridSpan w:val="3"/>
            <w:tcBorders>
              <w:top w:val="nil"/>
              <w:left w:val="nil"/>
              <w:bottom w:val="nil"/>
              <w:right w:val="nil"/>
            </w:tcBorders>
            <w:vAlign w:val="center"/>
          </w:tcPr>
          <w:p>
            <w:pPr>
              <w:widowControl/>
              <w:jc w:val="left"/>
              <w:rPr>
                <w:rFonts w:ascii="宋体" w:hAnsi="宋体" w:cs="宋体"/>
                <w:kern w:val="0"/>
                <w:sz w:val="24"/>
              </w:rPr>
            </w:pPr>
            <w:r>
              <w:rPr>
                <w:rFonts w:hint="eastAsia" w:ascii="宋体" w:hAnsi="宋体" w:cs="宋体"/>
                <w:kern w:val="0"/>
                <w:sz w:val="24"/>
              </w:rPr>
              <w:t xml:space="preserve">编制人：                校对人：              </w:t>
            </w:r>
          </w:p>
        </w:tc>
        <w:tc>
          <w:tcPr>
            <w:tcW w:w="1255" w:type="dxa"/>
            <w:tcBorders>
              <w:top w:val="nil"/>
              <w:left w:val="nil"/>
              <w:bottom w:val="nil"/>
              <w:right w:val="nil"/>
            </w:tcBorders>
            <w:vAlign w:val="bottom"/>
          </w:tcPr>
          <w:p>
            <w:pPr>
              <w:widowControl/>
              <w:ind w:firstLine="120" w:firstLineChars="50"/>
              <w:jc w:val="left"/>
              <w:rPr>
                <w:rFonts w:ascii="宋体" w:hAnsi="宋体" w:cs="宋体"/>
                <w:kern w:val="0"/>
                <w:sz w:val="24"/>
              </w:rPr>
            </w:pPr>
            <w:r>
              <w:rPr>
                <w:rFonts w:hint="eastAsia" w:ascii="宋体" w:hAnsi="宋体" w:cs="宋体"/>
                <w:kern w:val="0"/>
                <w:sz w:val="24"/>
              </w:rPr>
              <w:t>审核人：</w:t>
            </w:r>
          </w:p>
        </w:tc>
        <w:tc>
          <w:tcPr>
            <w:tcW w:w="1255" w:type="dxa"/>
            <w:tcBorders>
              <w:top w:val="nil"/>
              <w:left w:val="nil"/>
              <w:bottom w:val="nil"/>
              <w:right w:val="nil"/>
            </w:tcBorders>
            <w:vAlign w:val="bottom"/>
          </w:tcPr>
          <w:p>
            <w:pPr>
              <w:widowControl/>
              <w:jc w:val="left"/>
              <w:rPr>
                <w:rFonts w:ascii="宋体" w:hAnsi="宋体" w:cs="宋体"/>
                <w:kern w:val="0"/>
                <w:sz w:val="24"/>
              </w:rPr>
            </w:pPr>
          </w:p>
        </w:tc>
        <w:tc>
          <w:tcPr>
            <w:tcW w:w="1767" w:type="dxa"/>
            <w:tcBorders>
              <w:top w:val="nil"/>
              <w:left w:val="nil"/>
              <w:bottom w:val="nil"/>
              <w:right w:val="nil"/>
            </w:tcBorders>
            <w:vAlign w:val="center"/>
          </w:tcPr>
          <w:p>
            <w:pPr>
              <w:widowControl/>
              <w:jc w:val="right"/>
              <w:rPr>
                <w:rFonts w:ascii="宋体" w:hAnsi="宋体" w:cs="宋体"/>
                <w:kern w:val="0"/>
                <w:sz w:val="24"/>
              </w:rPr>
            </w:pPr>
            <w:r>
              <w:rPr>
                <w:rFonts w:hint="eastAsia" w:ascii="宋体" w:hAnsi="宋体" w:cs="宋体"/>
                <w:kern w:val="0"/>
                <w:sz w:val="24"/>
              </w:rPr>
              <w:t>总第  页</w:t>
            </w:r>
          </w:p>
        </w:tc>
      </w:tr>
    </w:tbl>
    <w:p>
      <w:pPr>
        <w:spacing w:line="360" w:lineRule="auto"/>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完 工 交 接 书</w:t>
      </w:r>
    </w:p>
    <w:tbl>
      <w:tblPr>
        <w:tblStyle w:val="51"/>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101"/>
        <w:gridCol w:w="2693"/>
        <w:gridCol w:w="396"/>
        <w:gridCol w:w="102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701" w:type="dxa"/>
            <w:vAlign w:val="top"/>
          </w:tcPr>
          <w:p>
            <w:pPr>
              <w:spacing w:line="360" w:lineRule="auto"/>
              <w:jc w:val="center"/>
              <w:rPr>
                <w:rFonts w:ascii="仿宋_GB2312" w:eastAsia="仿宋_GB2312"/>
                <w:sz w:val="24"/>
              </w:rPr>
            </w:pPr>
            <w:r>
              <w:rPr>
                <w:rFonts w:hint="eastAsia" w:ascii="仿宋_GB2312" w:eastAsia="仿宋_GB2312"/>
                <w:sz w:val="24"/>
              </w:rPr>
              <w:t>项目名称</w:t>
            </w:r>
          </w:p>
        </w:tc>
        <w:tc>
          <w:tcPr>
            <w:tcW w:w="3794" w:type="dxa"/>
            <w:gridSpan w:val="2"/>
            <w:vAlign w:val="top"/>
          </w:tcPr>
          <w:p>
            <w:pPr>
              <w:spacing w:line="360" w:lineRule="auto"/>
              <w:ind w:firstLine="420"/>
              <w:jc w:val="center"/>
              <w:rPr>
                <w:rFonts w:ascii="仿宋_GB2312" w:eastAsia="仿宋_GB2312"/>
                <w:sz w:val="24"/>
              </w:rPr>
            </w:pPr>
          </w:p>
        </w:tc>
        <w:tc>
          <w:tcPr>
            <w:tcW w:w="1417" w:type="dxa"/>
            <w:gridSpan w:val="2"/>
            <w:vAlign w:val="top"/>
          </w:tcPr>
          <w:p>
            <w:pPr>
              <w:spacing w:line="360" w:lineRule="auto"/>
              <w:jc w:val="center"/>
              <w:rPr>
                <w:rFonts w:ascii="仿宋_GB2312" w:eastAsia="仿宋_GB2312"/>
                <w:sz w:val="24"/>
              </w:rPr>
            </w:pPr>
            <w:r>
              <w:rPr>
                <w:rFonts w:hint="eastAsia" w:ascii="仿宋_GB2312" w:eastAsia="仿宋_GB2312"/>
                <w:sz w:val="24"/>
              </w:rPr>
              <w:t>开工时间</w:t>
            </w:r>
          </w:p>
        </w:tc>
        <w:tc>
          <w:tcPr>
            <w:tcW w:w="1932" w:type="dxa"/>
            <w:vAlign w:val="top"/>
          </w:tcPr>
          <w:p>
            <w:pPr>
              <w:spacing w:line="360" w:lineRule="auto"/>
              <w:ind w:firstLine="420"/>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vAlign w:val="top"/>
          </w:tcPr>
          <w:p>
            <w:pPr>
              <w:spacing w:line="360" w:lineRule="auto"/>
              <w:jc w:val="center"/>
              <w:rPr>
                <w:rFonts w:ascii="仿宋_GB2312" w:eastAsia="仿宋_GB2312"/>
                <w:sz w:val="24"/>
              </w:rPr>
            </w:pPr>
            <w:r>
              <w:rPr>
                <w:rFonts w:hint="eastAsia" w:ascii="仿宋_GB2312" w:eastAsia="仿宋_GB2312"/>
                <w:sz w:val="24"/>
              </w:rPr>
              <w:t>项目执行单位</w:t>
            </w:r>
          </w:p>
        </w:tc>
        <w:tc>
          <w:tcPr>
            <w:tcW w:w="3794" w:type="dxa"/>
            <w:gridSpan w:val="2"/>
            <w:vAlign w:val="top"/>
          </w:tcPr>
          <w:p>
            <w:pPr>
              <w:spacing w:line="360" w:lineRule="auto"/>
              <w:ind w:firstLine="420"/>
              <w:jc w:val="center"/>
              <w:rPr>
                <w:rFonts w:ascii="仿宋_GB2312" w:eastAsia="仿宋_GB2312"/>
                <w:sz w:val="24"/>
              </w:rPr>
            </w:pPr>
          </w:p>
        </w:tc>
        <w:tc>
          <w:tcPr>
            <w:tcW w:w="1417" w:type="dxa"/>
            <w:gridSpan w:val="2"/>
            <w:vAlign w:val="top"/>
          </w:tcPr>
          <w:p>
            <w:pPr>
              <w:spacing w:line="360" w:lineRule="auto"/>
              <w:jc w:val="center"/>
              <w:rPr>
                <w:rFonts w:ascii="仿宋_GB2312" w:eastAsia="仿宋_GB2312"/>
                <w:sz w:val="24"/>
              </w:rPr>
            </w:pPr>
            <w:r>
              <w:rPr>
                <w:rFonts w:hint="eastAsia" w:ascii="仿宋_GB2312" w:eastAsia="仿宋_GB2312"/>
                <w:sz w:val="24"/>
              </w:rPr>
              <w:t>完工时间</w:t>
            </w:r>
          </w:p>
        </w:tc>
        <w:tc>
          <w:tcPr>
            <w:tcW w:w="1932" w:type="dxa"/>
            <w:vAlign w:val="top"/>
          </w:tcPr>
          <w:p>
            <w:pPr>
              <w:spacing w:line="360" w:lineRule="auto"/>
              <w:ind w:firstLine="420"/>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vAlign w:val="top"/>
          </w:tcPr>
          <w:p>
            <w:pPr>
              <w:spacing w:line="360" w:lineRule="auto"/>
              <w:jc w:val="center"/>
              <w:rPr>
                <w:rFonts w:ascii="仿宋_GB2312" w:eastAsia="仿宋_GB2312"/>
                <w:sz w:val="24"/>
              </w:rPr>
            </w:pPr>
            <w:r>
              <w:rPr>
                <w:rFonts w:hint="eastAsia" w:ascii="仿宋_GB2312" w:eastAsia="仿宋_GB2312"/>
                <w:sz w:val="24"/>
              </w:rPr>
              <w:t>施工单位</w:t>
            </w:r>
          </w:p>
        </w:tc>
        <w:tc>
          <w:tcPr>
            <w:tcW w:w="3794" w:type="dxa"/>
            <w:gridSpan w:val="2"/>
            <w:vAlign w:val="top"/>
          </w:tcPr>
          <w:p>
            <w:pPr>
              <w:spacing w:line="360" w:lineRule="auto"/>
              <w:ind w:firstLine="420"/>
              <w:jc w:val="center"/>
              <w:rPr>
                <w:rFonts w:ascii="仿宋_GB2312" w:eastAsia="仿宋_GB2312"/>
                <w:sz w:val="24"/>
              </w:rPr>
            </w:pPr>
          </w:p>
        </w:tc>
        <w:tc>
          <w:tcPr>
            <w:tcW w:w="1417" w:type="dxa"/>
            <w:gridSpan w:val="2"/>
            <w:vAlign w:val="top"/>
          </w:tcPr>
          <w:p>
            <w:pPr>
              <w:spacing w:line="360" w:lineRule="auto"/>
              <w:jc w:val="center"/>
              <w:rPr>
                <w:rFonts w:ascii="仿宋_GB2312" w:eastAsia="仿宋_GB2312"/>
                <w:sz w:val="24"/>
              </w:rPr>
            </w:pPr>
            <w:r>
              <w:rPr>
                <w:rFonts w:hint="eastAsia" w:ascii="仿宋_GB2312" w:eastAsia="仿宋_GB2312"/>
                <w:sz w:val="24"/>
              </w:rPr>
              <w:t>交接时间</w:t>
            </w:r>
          </w:p>
        </w:tc>
        <w:tc>
          <w:tcPr>
            <w:tcW w:w="1932" w:type="dxa"/>
            <w:vAlign w:val="top"/>
          </w:tcPr>
          <w:p>
            <w:pPr>
              <w:spacing w:line="360" w:lineRule="auto"/>
              <w:ind w:firstLine="420"/>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3" w:hRule="atLeast"/>
        </w:trPr>
        <w:tc>
          <w:tcPr>
            <w:tcW w:w="8844" w:type="dxa"/>
            <w:gridSpan w:val="6"/>
            <w:vAlign w:val="top"/>
          </w:tcPr>
          <w:p>
            <w:pPr>
              <w:spacing w:line="360" w:lineRule="auto"/>
              <w:rPr>
                <w:rFonts w:ascii="仿宋_GB2312" w:eastAsia="仿宋_GB2312"/>
                <w:sz w:val="24"/>
              </w:rPr>
            </w:pPr>
            <w:r>
              <w:rPr>
                <w:rFonts w:hint="eastAsia" w:ascii="仿宋_GB2312" w:eastAsia="仿宋_GB2312"/>
                <w:sz w:val="24"/>
              </w:rPr>
              <w:t>主要交接内容：</w:t>
            </w:r>
          </w:p>
          <w:p>
            <w:pPr>
              <w:spacing w:line="360" w:lineRule="auto"/>
              <w:rPr>
                <w:rFonts w:ascii="仿宋_GB2312" w:eastAsia="仿宋_GB2312"/>
                <w:sz w:val="24"/>
              </w:rPr>
            </w:pPr>
          </w:p>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1" w:hRule="atLeast"/>
        </w:trPr>
        <w:tc>
          <w:tcPr>
            <w:tcW w:w="8844" w:type="dxa"/>
            <w:gridSpan w:val="6"/>
            <w:vAlign w:val="top"/>
          </w:tcPr>
          <w:p>
            <w:pPr>
              <w:spacing w:line="360" w:lineRule="auto"/>
              <w:rPr>
                <w:rFonts w:ascii="仿宋_GB2312" w:eastAsia="仿宋_GB2312"/>
                <w:sz w:val="24"/>
              </w:rPr>
            </w:pPr>
            <w:r>
              <w:rPr>
                <w:rFonts w:hint="eastAsia" w:ascii="仿宋_GB2312" w:eastAsia="仿宋_GB2312"/>
                <w:sz w:val="24"/>
              </w:rPr>
              <w:t>设计（合同）外增减工作量：</w:t>
            </w:r>
          </w:p>
          <w:p>
            <w:pPr>
              <w:spacing w:line="360" w:lineRule="auto"/>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8844" w:type="dxa"/>
            <w:gridSpan w:val="6"/>
            <w:vAlign w:val="top"/>
          </w:tcPr>
          <w:p>
            <w:pPr>
              <w:spacing w:line="360" w:lineRule="auto"/>
              <w:rPr>
                <w:rFonts w:ascii="仿宋_GB2312" w:eastAsia="仿宋_GB2312"/>
                <w:sz w:val="24"/>
              </w:rPr>
            </w:pPr>
            <w:r>
              <w:rPr>
                <w:rFonts w:hint="eastAsia" w:ascii="仿宋_GB2312" w:eastAsia="仿宋_GB2312"/>
                <w:sz w:val="24"/>
              </w:rPr>
              <w:t>交接意见：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trPr>
        <w:tc>
          <w:tcPr>
            <w:tcW w:w="8844" w:type="dxa"/>
            <w:gridSpan w:val="6"/>
            <w:vAlign w:val="top"/>
          </w:tcPr>
          <w:p>
            <w:pPr>
              <w:rPr>
                <w:rFonts w:ascii="仿宋_GB2312" w:eastAsia="仿宋_GB2312"/>
                <w:sz w:val="24"/>
              </w:rPr>
            </w:pPr>
            <w:r>
              <w:rPr>
                <w:rFonts w:hint="eastAsia" w:ascii="仿宋_GB2312" w:eastAsia="仿宋_GB2312"/>
                <w:sz w:val="24"/>
              </w:rPr>
              <w:t>工程质量监督意见：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2802" w:type="dxa"/>
            <w:gridSpan w:val="2"/>
            <w:vAlign w:val="top"/>
          </w:tcPr>
          <w:p>
            <w:pPr>
              <w:spacing w:line="360" w:lineRule="auto"/>
              <w:rPr>
                <w:rFonts w:ascii="仿宋_GB2312" w:eastAsia="仿宋_GB2312"/>
                <w:sz w:val="24"/>
              </w:rPr>
            </w:pPr>
            <w:r>
              <w:rPr>
                <w:rFonts w:hint="eastAsia" w:ascii="仿宋_GB2312" w:eastAsia="仿宋_GB2312"/>
                <w:sz w:val="24"/>
              </w:rPr>
              <w:t>设计单位</w:t>
            </w: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交接人：</w:t>
            </w:r>
          </w:p>
        </w:tc>
        <w:tc>
          <w:tcPr>
            <w:tcW w:w="3089" w:type="dxa"/>
            <w:gridSpan w:val="2"/>
            <w:vAlign w:val="top"/>
          </w:tcPr>
          <w:p>
            <w:pPr>
              <w:spacing w:line="360" w:lineRule="auto"/>
              <w:rPr>
                <w:rFonts w:ascii="仿宋_GB2312" w:eastAsia="仿宋_GB2312"/>
                <w:sz w:val="24"/>
              </w:rPr>
            </w:pPr>
            <w:r>
              <w:rPr>
                <w:rFonts w:hint="eastAsia" w:ascii="仿宋_GB2312" w:eastAsia="仿宋_GB2312"/>
                <w:sz w:val="24"/>
              </w:rPr>
              <w:t>施工单位（盖章）</w:t>
            </w: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项目经理：</w:t>
            </w:r>
          </w:p>
        </w:tc>
        <w:tc>
          <w:tcPr>
            <w:tcW w:w="2953" w:type="dxa"/>
            <w:gridSpan w:val="2"/>
            <w:vAlign w:val="top"/>
          </w:tcPr>
          <w:p>
            <w:pPr>
              <w:spacing w:line="360" w:lineRule="auto"/>
              <w:rPr>
                <w:rFonts w:ascii="仿宋_GB2312" w:eastAsia="仿宋_GB2312"/>
                <w:sz w:val="24"/>
              </w:rPr>
            </w:pPr>
            <w:r>
              <w:rPr>
                <w:rFonts w:hint="eastAsia" w:ascii="仿宋_GB2312" w:eastAsia="仿宋_GB2312"/>
                <w:sz w:val="24"/>
              </w:rPr>
              <w:t>监理单位</w:t>
            </w:r>
          </w:p>
          <w:p>
            <w:pPr>
              <w:spacing w:line="360" w:lineRule="auto"/>
              <w:rPr>
                <w:rFonts w:ascii="仿宋_GB2312" w:eastAsia="仿宋_GB2312"/>
                <w:sz w:val="24"/>
              </w:rPr>
            </w:pPr>
          </w:p>
          <w:p>
            <w:pPr>
              <w:spacing w:line="360" w:lineRule="auto"/>
              <w:ind w:firstLine="120" w:firstLineChars="50"/>
              <w:rPr>
                <w:rFonts w:ascii="仿宋_GB2312" w:eastAsia="仿宋_GB2312"/>
                <w:sz w:val="24"/>
              </w:rPr>
            </w:pPr>
            <w:r>
              <w:rPr>
                <w:rFonts w:hint="eastAsia" w:ascii="仿宋_GB2312" w:eastAsia="仿宋_GB2312"/>
                <w:sz w:val="24"/>
              </w:rPr>
              <w:t>项目总监：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6" w:hRule="atLeast"/>
        </w:trPr>
        <w:tc>
          <w:tcPr>
            <w:tcW w:w="2802" w:type="dxa"/>
            <w:gridSpan w:val="2"/>
            <w:vAlign w:val="center"/>
          </w:tcPr>
          <w:p>
            <w:pPr>
              <w:spacing w:line="360" w:lineRule="auto"/>
              <w:jc w:val="left"/>
              <w:rPr>
                <w:rFonts w:ascii="仿宋_GB2312" w:eastAsia="仿宋_GB2312"/>
                <w:sz w:val="24"/>
              </w:rPr>
            </w:pPr>
            <w:r>
              <w:rPr>
                <w:rFonts w:hint="eastAsia" w:ascii="仿宋_GB2312" w:eastAsia="仿宋_GB2312"/>
                <w:sz w:val="24"/>
              </w:rPr>
              <w:t>项目执行单位</w:t>
            </w:r>
          </w:p>
          <w:p>
            <w:pPr>
              <w:spacing w:line="360" w:lineRule="auto"/>
              <w:jc w:val="left"/>
              <w:rPr>
                <w:rFonts w:ascii="仿宋_GB2312" w:eastAsia="仿宋_GB2312"/>
                <w:sz w:val="24"/>
              </w:rPr>
            </w:pPr>
          </w:p>
          <w:p>
            <w:pPr>
              <w:spacing w:line="360" w:lineRule="auto"/>
              <w:jc w:val="left"/>
              <w:rPr>
                <w:rFonts w:ascii="仿宋_GB2312" w:eastAsia="仿宋_GB2312"/>
                <w:sz w:val="24"/>
              </w:rPr>
            </w:pPr>
            <w:r>
              <w:rPr>
                <w:rFonts w:hint="eastAsia" w:ascii="仿宋_GB2312" w:eastAsia="仿宋_GB2312"/>
                <w:sz w:val="24"/>
              </w:rPr>
              <w:t>项目负责人：</w:t>
            </w:r>
          </w:p>
        </w:tc>
        <w:tc>
          <w:tcPr>
            <w:tcW w:w="3089" w:type="dxa"/>
            <w:gridSpan w:val="2"/>
            <w:vAlign w:val="top"/>
          </w:tcPr>
          <w:p>
            <w:pPr>
              <w:spacing w:line="360" w:lineRule="auto"/>
              <w:rPr>
                <w:rFonts w:ascii="仿宋_GB2312" w:eastAsia="仿宋_GB2312"/>
                <w:sz w:val="24"/>
              </w:rPr>
            </w:pPr>
            <w:r>
              <w:rPr>
                <w:rFonts w:hint="eastAsia" w:ascii="仿宋_GB2312" w:eastAsia="仿宋_GB2312"/>
                <w:sz w:val="24"/>
              </w:rPr>
              <w:t>业务分管部室</w:t>
            </w: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交接人：</w:t>
            </w:r>
          </w:p>
        </w:tc>
        <w:tc>
          <w:tcPr>
            <w:tcW w:w="2953" w:type="dxa"/>
            <w:gridSpan w:val="2"/>
            <w:vAlign w:val="top"/>
          </w:tcPr>
          <w:p>
            <w:pPr>
              <w:spacing w:line="360" w:lineRule="auto"/>
              <w:rPr>
                <w:rFonts w:ascii="仿宋_GB2312" w:eastAsia="仿宋_GB2312"/>
                <w:sz w:val="24"/>
              </w:rPr>
            </w:pPr>
            <w:r>
              <w:rPr>
                <w:rFonts w:hint="eastAsia" w:ascii="仿宋_GB2312" w:eastAsia="仿宋_GB2312"/>
                <w:sz w:val="24"/>
              </w:rPr>
              <w:t>质量监督机构</w:t>
            </w:r>
          </w:p>
          <w:p>
            <w:pPr>
              <w:spacing w:line="360" w:lineRule="auto"/>
              <w:rPr>
                <w:rFonts w:ascii="仿宋_GB2312" w:eastAsia="仿宋_GB2312"/>
                <w:sz w:val="24"/>
              </w:rPr>
            </w:pPr>
          </w:p>
          <w:p>
            <w:pPr>
              <w:spacing w:line="360" w:lineRule="auto"/>
              <w:rPr>
                <w:rFonts w:ascii="仿宋_GB2312" w:eastAsia="仿宋_GB2312"/>
                <w:sz w:val="24"/>
              </w:rPr>
            </w:pPr>
            <w:r>
              <w:rPr>
                <w:rFonts w:hint="eastAsia" w:ascii="仿宋_GB2312" w:eastAsia="仿宋_GB2312"/>
                <w:sz w:val="24"/>
              </w:rPr>
              <w:t>现场代表：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2802" w:type="dxa"/>
            <w:gridSpan w:val="2"/>
            <w:vAlign w:val="center"/>
          </w:tcPr>
          <w:p>
            <w:pPr>
              <w:spacing w:line="360" w:lineRule="auto"/>
              <w:jc w:val="center"/>
              <w:rPr>
                <w:rFonts w:ascii="仿宋_GB2312" w:eastAsia="仿宋_GB2312"/>
                <w:sz w:val="24"/>
              </w:rPr>
            </w:pPr>
            <w:r>
              <w:rPr>
                <w:rFonts w:hint="eastAsia" w:ascii="仿宋_GB2312" w:eastAsia="仿宋_GB2312"/>
                <w:sz w:val="24"/>
              </w:rPr>
              <w:t>其他参加交接人员</w:t>
            </w:r>
          </w:p>
        </w:tc>
        <w:tc>
          <w:tcPr>
            <w:tcW w:w="6042" w:type="dxa"/>
            <w:gridSpan w:val="4"/>
            <w:vAlign w:val="top"/>
          </w:tcPr>
          <w:p>
            <w:pPr>
              <w:spacing w:line="360" w:lineRule="auto"/>
              <w:rPr>
                <w:rFonts w:ascii="仿宋_GB2312" w:eastAsia="仿宋_GB2312"/>
                <w:sz w:val="24"/>
              </w:rPr>
            </w:pPr>
          </w:p>
        </w:tc>
      </w:tr>
    </w:tbl>
    <w:p>
      <w:pPr>
        <w:widowControl/>
        <w:jc w:val="left"/>
        <w:rPr>
          <w:rFonts w:hint="eastAsia"/>
          <w:sz w:val="18"/>
          <w:szCs w:val="18"/>
        </w:rPr>
      </w:pPr>
    </w:p>
    <w:p>
      <w:pPr>
        <w:widowControl/>
        <w:jc w:val="left"/>
        <w:rPr>
          <w:sz w:val="18"/>
          <w:szCs w:val="18"/>
        </w:rPr>
      </w:pPr>
      <w:r>
        <w:rPr>
          <w:rFonts w:hint="eastAsia"/>
          <w:sz w:val="18"/>
          <w:szCs w:val="18"/>
        </w:rPr>
        <w:t>备注：</w:t>
      </w:r>
      <w:r>
        <w:rPr>
          <w:rFonts w:hint="eastAsia" w:ascii="宋体" w:hAnsi="宋体"/>
          <w:sz w:val="18"/>
          <w:szCs w:val="18"/>
        </w:rPr>
        <w:t>①</w:t>
      </w:r>
      <w:r>
        <w:rPr>
          <w:rFonts w:hint="eastAsia"/>
          <w:sz w:val="18"/>
          <w:szCs w:val="18"/>
        </w:rPr>
        <w:t>设计（合同）外增减工作量，有则填具体内容，没有填“无”，不能空白。</w:t>
      </w:r>
      <w:r>
        <w:rPr>
          <w:rFonts w:hint="eastAsia" w:hAnsi="宋体"/>
          <w:sz w:val="18"/>
          <w:szCs w:val="18"/>
        </w:rPr>
        <w:t>②交工小组评定意见（同意/不同意交接）现场填写。③</w:t>
      </w:r>
      <w:r>
        <w:rPr>
          <w:rFonts w:hint="eastAsia"/>
          <w:sz w:val="18"/>
          <w:szCs w:val="18"/>
        </w:rPr>
        <w:t>交接书是办理项目结算的依据。④</w:t>
      </w:r>
      <w:r>
        <w:rPr>
          <w:rFonts w:hint="eastAsia" w:hAnsi="宋体"/>
          <w:sz w:val="18"/>
          <w:szCs w:val="18"/>
        </w:rPr>
        <w:t>此表一式三份。</w:t>
      </w:r>
    </w:p>
    <w:p>
      <w:pPr>
        <w:widowControl/>
        <w:jc w:val="center"/>
        <w:rPr>
          <w:rFonts w:ascii="仿宋_GB2312" w:hAnsi="宋体" w:eastAsia="仿宋_GB2312" w:cs="宋体"/>
          <w:b/>
          <w:bCs/>
          <w:kern w:val="0"/>
          <w:sz w:val="40"/>
          <w:szCs w:val="40"/>
        </w:rPr>
      </w:pPr>
      <w:r>
        <w:rPr>
          <w:rFonts w:eastAsia="黑体"/>
          <w:sz w:val="30"/>
        </w:rPr>
        <w:br w:type="page"/>
      </w:r>
      <w:r>
        <w:rPr>
          <w:rFonts w:hint="eastAsia" w:ascii="仿宋_GB2312" w:hAnsi="宋体" w:eastAsia="仿宋_GB2312" w:cs="宋体"/>
          <w:b/>
          <w:bCs/>
          <w:kern w:val="0"/>
          <w:sz w:val="40"/>
          <w:szCs w:val="40"/>
        </w:rPr>
        <w:t>设 计 变 更 单</w:t>
      </w:r>
    </w:p>
    <w:tbl>
      <w:tblPr>
        <w:tblStyle w:val="51"/>
        <w:tblW w:w="87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397"/>
        <w:gridCol w:w="1398"/>
        <w:gridCol w:w="1271"/>
        <w:gridCol w:w="301"/>
        <w:gridCol w:w="1084"/>
        <w:gridCol w:w="15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744" w:type="dxa"/>
            <w:vAlign w:val="center"/>
          </w:tcPr>
          <w:p>
            <w:pPr>
              <w:jc w:val="center"/>
              <w:rPr>
                <w:rFonts w:ascii="宋体" w:hAnsi="宋体" w:cs="宋体-18030"/>
                <w:szCs w:val="21"/>
              </w:rPr>
            </w:pPr>
            <w:r>
              <w:rPr>
                <w:rFonts w:hint="eastAsia" w:ascii="宋体" w:hAnsi="宋体" w:cs="宋体-18030"/>
                <w:szCs w:val="21"/>
              </w:rPr>
              <w:t>项目名称</w:t>
            </w:r>
          </w:p>
        </w:tc>
        <w:tc>
          <w:tcPr>
            <w:tcW w:w="4066" w:type="dxa"/>
            <w:gridSpan w:val="3"/>
            <w:vAlign w:val="center"/>
          </w:tcPr>
          <w:p>
            <w:pPr>
              <w:jc w:val="center"/>
              <w:rPr>
                <w:rFonts w:ascii="宋体" w:hAnsi="宋体" w:cs="宋体-18030"/>
                <w:szCs w:val="21"/>
              </w:rPr>
            </w:pPr>
          </w:p>
        </w:tc>
        <w:tc>
          <w:tcPr>
            <w:tcW w:w="1385" w:type="dxa"/>
            <w:gridSpan w:val="2"/>
            <w:vAlign w:val="center"/>
          </w:tcPr>
          <w:p>
            <w:pPr>
              <w:jc w:val="center"/>
              <w:rPr>
                <w:rFonts w:ascii="宋体" w:hAnsi="宋体" w:cs="宋体-18030"/>
                <w:szCs w:val="21"/>
              </w:rPr>
            </w:pPr>
            <w:r>
              <w:rPr>
                <w:rFonts w:hint="eastAsia" w:ascii="宋体" w:hAnsi="宋体" w:cs="宋体-18030"/>
                <w:szCs w:val="21"/>
              </w:rPr>
              <w:t>变更时间</w:t>
            </w:r>
          </w:p>
        </w:tc>
        <w:tc>
          <w:tcPr>
            <w:tcW w:w="1537" w:type="dxa"/>
            <w:vAlign w:val="center"/>
          </w:tcPr>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744" w:type="dxa"/>
            <w:vAlign w:val="center"/>
          </w:tcPr>
          <w:p>
            <w:pPr>
              <w:jc w:val="center"/>
              <w:rPr>
                <w:rFonts w:ascii="宋体" w:hAnsi="宋体" w:cs="宋体-18030"/>
                <w:szCs w:val="21"/>
              </w:rPr>
            </w:pPr>
            <w:r>
              <w:rPr>
                <w:rFonts w:hint="eastAsia" w:ascii="宋体" w:hAnsi="宋体" w:cs="宋体-18030"/>
                <w:szCs w:val="21"/>
              </w:rPr>
              <w:t>施工单位</w:t>
            </w:r>
          </w:p>
        </w:tc>
        <w:tc>
          <w:tcPr>
            <w:tcW w:w="4066" w:type="dxa"/>
            <w:gridSpan w:val="3"/>
            <w:vAlign w:val="center"/>
          </w:tcPr>
          <w:p>
            <w:pPr>
              <w:jc w:val="center"/>
              <w:rPr>
                <w:rFonts w:ascii="宋体" w:hAnsi="宋体" w:cs="宋体-18030"/>
                <w:szCs w:val="21"/>
              </w:rPr>
            </w:pPr>
          </w:p>
        </w:tc>
        <w:tc>
          <w:tcPr>
            <w:tcW w:w="1385" w:type="dxa"/>
            <w:gridSpan w:val="2"/>
            <w:vAlign w:val="center"/>
          </w:tcPr>
          <w:p>
            <w:pPr>
              <w:jc w:val="center"/>
              <w:rPr>
                <w:rFonts w:ascii="宋体" w:hAnsi="宋体" w:cs="宋体-18030"/>
                <w:szCs w:val="21"/>
              </w:rPr>
            </w:pPr>
            <w:r>
              <w:rPr>
                <w:rFonts w:hint="eastAsia" w:ascii="宋体" w:hAnsi="宋体" w:cs="宋体-18030"/>
                <w:szCs w:val="21"/>
              </w:rPr>
              <w:t>变更单号</w:t>
            </w:r>
          </w:p>
        </w:tc>
        <w:tc>
          <w:tcPr>
            <w:tcW w:w="1537" w:type="dxa"/>
            <w:vAlign w:val="center"/>
          </w:tcPr>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5810" w:type="dxa"/>
            <w:gridSpan w:val="4"/>
            <w:vAlign w:val="top"/>
          </w:tcPr>
          <w:p>
            <w:pPr>
              <w:rPr>
                <w:rFonts w:ascii="宋体" w:hAnsi="宋体" w:cs="宋体-18030"/>
                <w:szCs w:val="21"/>
              </w:rPr>
            </w:pPr>
            <w:r>
              <w:rPr>
                <w:rFonts w:hint="eastAsia" w:ascii="宋体" w:hAnsi="宋体" w:cs="宋体-18030"/>
                <w:szCs w:val="21"/>
              </w:rPr>
              <w:t>变更原因</w:t>
            </w:r>
          </w:p>
          <w:p>
            <w:pPr>
              <w:jc w:val="center"/>
              <w:rPr>
                <w:rFonts w:ascii="宋体" w:hAnsi="宋体" w:cs="宋体-18030"/>
                <w:szCs w:val="21"/>
              </w:rPr>
            </w:pPr>
          </w:p>
        </w:tc>
        <w:tc>
          <w:tcPr>
            <w:tcW w:w="1385" w:type="dxa"/>
            <w:gridSpan w:val="2"/>
            <w:vAlign w:val="center"/>
          </w:tcPr>
          <w:p>
            <w:pPr>
              <w:jc w:val="center"/>
              <w:rPr>
                <w:rFonts w:ascii="宋体" w:hAnsi="宋体" w:cs="宋体-18030"/>
                <w:bCs/>
                <w:szCs w:val="21"/>
              </w:rPr>
            </w:pPr>
            <w:r>
              <w:rPr>
                <w:rFonts w:hint="eastAsia" w:ascii="宋体" w:hAnsi="宋体" w:cs="宋体-18030"/>
                <w:bCs/>
                <w:szCs w:val="21"/>
              </w:rPr>
              <w:t>预计增减</w:t>
            </w:r>
          </w:p>
          <w:p>
            <w:pPr>
              <w:jc w:val="center"/>
              <w:rPr>
                <w:rFonts w:ascii="宋体" w:hAnsi="宋体" w:cs="宋体-18030"/>
                <w:bCs/>
                <w:szCs w:val="21"/>
              </w:rPr>
            </w:pPr>
            <w:r>
              <w:rPr>
                <w:rFonts w:hint="eastAsia" w:ascii="宋体" w:hAnsi="宋体" w:cs="宋体-18030"/>
                <w:bCs/>
                <w:szCs w:val="21"/>
              </w:rPr>
              <w:t>费用（万元）</w:t>
            </w:r>
          </w:p>
        </w:tc>
        <w:tc>
          <w:tcPr>
            <w:tcW w:w="1537" w:type="dxa"/>
            <w:vAlign w:val="top"/>
          </w:tcPr>
          <w:p>
            <w:pPr>
              <w:jc w:val="center"/>
              <w:rPr>
                <w:rFonts w:ascii="宋体" w:hAnsi="宋体" w:cs="宋体-18030"/>
                <w:b/>
                <w:bCs/>
                <w:szCs w:val="21"/>
              </w:rPr>
            </w:pPr>
          </w:p>
          <w:p>
            <w:pPr>
              <w:jc w:val="center"/>
              <w:rPr>
                <w:rFonts w:ascii="宋体" w:hAnsi="宋体" w:cs="宋体-18030"/>
                <w:b/>
                <w:bCs/>
                <w:szCs w:val="21"/>
              </w:rPr>
            </w:pPr>
          </w:p>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81" w:hRule="atLeast"/>
          <w:jc w:val="center"/>
        </w:trPr>
        <w:tc>
          <w:tcPr>
            <w:tcW w:w="8732" w:type="dxa"/>
            <w:gridSpan w:val="7"/>
            <w:vAlign w:val="top"/>
          </w:tcPr>
          <w:p>
            <w:pPr>
              <w:rPr>
                <w:rFonts w:ascii="宋体" w:hAnsi="宋体" w:cs="宋体-18030"/>
                <w:szCs w:val="21"/>
              </w:rPr>
            </w:pPr>
            <w:r>
              <w:rPr>
                <w:rFonts w:hint="eastAsia" w:ascii="宋体" w:hAnsi="宋体" w:cs="宋体-18030"/>
                <w:szCs w:val="21"/>
              </w:rPr>
              <w:t>变更内容</w:t>
            </w:r>
          </w:p>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1744" w:type="dxa"/>
            <w:vAlign w:val="center"/>
          </w:tcPr>
          <w:p>
            <w:pPr>
              <w:jc w:val="center"/>
              <w:rPr>
                <w:rFonts w:ascii="宋体" w:hAnsi="宋体" w:cs="宋体-18030"/>
                <w:szCs w:val="21"/>
              </w:rPr>
            </w:pPr>
            <w:r>
              <w:rPr>
                <w:rFonts w:hint="eastAsia" w:ascii="宋体" w:hAnsi="宋体" w:cs="宋体-18030"/>
                <w:szCs w:val="21"/>
              </w:rPr>
              <w:t>设计人</w:t>
            </w:r>
          </w:p>
        </w:tc>
        <w:tc>
          <w:tcPr>
            <w:tcW w:w="1397" w:type="dxa"/>
            <w:vAlign w:val="center"/>
          </w:tcPr>
          <w:p>
            <w:pPr>
              <w:jc w:val="center"/>
              <w:rPr>
                <w:rFonts w:ascii="宋体" w:hAnsi="宋体" w:cs="宋体-18030"/>
                <w:szCs w:val="21"/>
              </w:rPr>
            </w:pPr>
            <w:r>
              <w:rPr>
                <w:rFonts w:hint="eastAsia" w:ascii="宋体" w:hAnsi="宋体" w:cs="宋体-18030"/>
                <w:szCs w:val="21"/>
              </w:rPr>
              <w:t>审核人</w:t>
            </w:r>
          </w:p>
        </w:tc>
        <w:tc>
          <w:tcPr>
            <w:tcW w:w="1398" w:type="dxa"/>
            <w:vAlign w:val="center"/>
          </w:tcPr>
          <w:p>
            <w:pPr>
              <w:jc w:val="center"/>
              <w:rPr>
                <w:rFonts w:ascii="宋体" w:hAnsi="宋体" w:cs="宋体-18030"/>
                <w:szCs w:val="21"/>
              </w:rPr>
            </w:pPr>
            <w:r>
              <w:rPr>
                <w:rFonts w:hint="eastAsia" w:ascii="宋体" w:hAnsi="宋体" w:cs="宋体-18030"/>
                <w:szCs w:val="21"/>
              </w:rPr>
              <w:t>审定人</w:t>
            </w:r>
          </w:p>
        </w:tc>
        <w:tc>
          <w:tcPr>
            <w:tcW w:w="1572" w:type="dxa"/>
            <w:gridSpan w:val="2"/>
            <w:vAlign w:val="center"/>
          </w:tcPr>
          <w:p>
            <w:pPr>
              <w:jc w:val="center"/>
              <w:rPr>
                <w:rFonts w:ascii="宋体" w:hAnsi="宋体" w:cs="宋体-18030"/>
                <w:szCs w:val="21"/>
              </w:rPr>
            </w:pPr>
            <w:r>
              <w:rPr>
                <w:rFonts w:hint="eastAsia" w:ascii="宋体" w:hAnsi="宋体" w:cs="宋体-18030"/>
                <w:szCs w:val="21"/>
              </w:rPr>
              <w:t>项目负责人</w:t>
            </w:r>
          </w:p>
        </w:tc>
        <w:tc>
          <w:tcPr>
            <w:tcW w:w="2621" w:type="dxa"/>
            <w:gridSpan w:val="2"/>
            <w:vMerge w:val="restart"/>
            <w:vAlign w:val="center"/>
          </w:tcPr>
          <w:p>
            <w:pPr>
              <w:jc w:val="center"/>
              <w:rPr>
                <w:rFonts w:ascii="宋体" w:hAnsi="宋体" w:cs="宋体-18030"/>
                <w:szCs w:val="21"/>
              </w:rPr>
            </w:pPr>
            <w:r>
              <w:rPr>
                <w:rFonts w:hint="eastAsia" w:ascii="宋体" w:hAnsi="宋体" w:cs="宋体-18030"/>
                <w:szCs w:val="21"/>
              </w:rPr>
              <w:t>设计单位设计专用章</w:t>
            </w:r>
          </w:p>
          <w:p>
            <w:pPr>
              <w:jc w:val="center"/>
              <w:rPr>
                <w:rFonts w:ascii="宋体" w:hAnsi="宋体" w:cs="宋体-18030"/>
                <w:szCs w:val="21"/>
              </w:rPr>
            </w:pPr>
          </w:p>
          <w:p>
            <w:pPr>
              <w:jc w:val="center"/>
              <w:rPr>
                <w:rFonts w:ascii="宋体" w:hAnsi="宋体" w:cs="宋体-18030"/>
                <w:szCs w:val="21"/>
              </w:rPr>
            </w:pPr>
          </w:p>
          <w:p>
            <w:pPr>
              <w:jc w:val="right"/>
              <w:rPr>
                <w:rFonts w:ascii="宋体" w:hAnsi="宋体" w:cs="宋体-18030"/>
                <w:szCs w:val="21"/>
              </w:rPr>
            </w:pPr>
            <w:r>
              <w:rPr>
                <w:rFonts w:hint="eastAsia" w:ascii="宋体" w:hAnsi="宋体" w:cs="宋体-18030"/>
                <w:szCs w:val="21"/>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jc w:val="center"/>
        </w:trPr>
        <w:tc>
          <w:tcPr>
            <w:tcW w:w="1744" w:type="dxa"/>
            <w:vAlign w:val="center"/>
          </w:tcPr>
          <w:p>
            <w:pPr>
              <w:jc w:val="center"/>
              <w:rPr>
                <w:rFonts w:ascii="宋体" w:hAnsi="宋体" w:cs="宋体-18030"/>
                <w:szCs w:val="21"/>
              </w:rPr>
            </w:pPr>
          </w:p>
        </w:tc>
        <w:tc>
          <w:tcPr>
            <w:tcW w:w="1397" w:type="dxa"/>
            <w:vAlign w:val="center"/>
          </w:tcPr>
          <w:p>
            <w:pPr>
              <w:jc w:val="center"/>
              <w:rPr>
                <w:rFonts w:ascii="宋体" w:hAnsi="宋体" w:cs="宋体-18030"/>
                <w:szCs w:val="21"/>
              </w:rPr>
            </w:pPr>
          </w:p>
        </w:tc>
        <w:tc>
          <w:tcPr>
            <w:tcW w:w="1398" w:type="dxa"/>
            <w:vAlign w:val="center"/>
          </w:tcPr>
          <w:p>
            <w:pPr>
              <w:jc w:val="center"/>
              <w:rPr>
                <w:rFonts w:ascii="宋体" w:hAnsi="宋体" w:cs="宋体-18030"/>
                <w:szCs w:val="21"/>
              </w:rPr>
            </w:pPr>
          </w:p>
        </w:tc>
        <w:tc>
          <w:tcPr>
            <w:tcW w:w="1572" w:type="dxa"/>
            <w:gridSpan w:val="2"/>
            <w:vAlign w:val="center"/>
          </w:tcPr>
          <w:p>
            <w:pPr>
              <w:jc w:val="center"/>
              <w:rPr>
                <w:rFonts w:ascii="宋体" w:hAnsi="宋体" w:cs="宋体-18030"/>
                <w:szCs w:val="21"/>
              </w:rPr>
            </w:pPr>
          </w:p>
        </w:tc>
        <w:tc>
          <w:tcPr>
            <w:tcW w:w="2621" w:type="dxa"/>
            <w:gridSpan w:val="2"/>
            <w:vMerge w:val="continue"/>
            <w:vAlign w:val="center"/>
          </w:tcPr>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60" w:hRule="atLeast"/>
          <w:jc w:val="center"/>
        </w:trPr>
        <w:tc>
          <w:tcPr>
            <w:tcW w:w="8732" w:type="dxa"/>
            <w:gridSpan w:val="7"/>
            <w:vAlign w:val="top"/>
          </w:tcPr>
          <w:p>
            <w:pPr>
              <w:rPr>
                <w:rFonts w:ascii="宋体" w:hAnsi="宋体" w:cs="宋体-18030"/>
                <w:szCs w:val="21"/>
              </w:rPr>
            </w:pPr>
            <w:r>
              <w:rPr>
                <w:rFonts w:hint="eastAsia" w:ascii="宋体" w:hAnsi="宋体" w:cs="宋体-18030"/>
                <w:szCs w:val="21"/>
              </w:rPr>
              <w:t>业务分管部门审查意见</w:t>
            </w:r>
          </w:p>
          <w:p>
            <w:pPr>
              <w:rPr>
                <w:rFonts w:ascii="宋体" w:hAnsi="宋体" w:cs="宋体-18030"/>
                <w:szCs w:val="21"/>
              </w:rPr>
            </w:pPr>
          </w:p>
          <w:p>
            <w:pPr>
              <w:rPr>
                <w:rFonts w:ascii="宋体" w:hAnsi="宋体" w:cs="宋体-18030"/>
                <w:szCs w:val="21"/>
              </w:rPr>
            </w:pPr>
          </w:p>
          <w:p>
            <w:pPr>
              <w:rPr>
                <w:rFonts w:ascii="宋体" w:hAnsi="宋体" w:cs="宋体-18030"/>
                <w:szCs w:val="21"/>
              </w:rPr>
            </w:pPr>
          </w:p>
          <w:p>
            <w:pPr>
              <w:rPr>
                <w:rFonts w:ascii="宋体" w:hAnsi="宋体" w:cs="宋体-18030"/>
                <w:szCs w:val="21"/>
              </w:rPr>
            </w:pPr>
          </w:p>
          <w:p>
            <w:pPr>
              <w:wordWrap w:val="0"/>
              <w:jc w:val="right"/>
              <w:rPr>
                <w:rFonts w:ascii="宋体" w:hAnsi="宋体" w:cs="宋体-18030"/>
                <w:szCs w:val="21"/>
              </w:rPr>
            </w:pPr>
            <w:r>
              <w:rPr>
                <w:rFonts w:hint="eastAsia" w:ascii="宋体" w:hAnsi="宋体" w:cs="宋体-18030"/>
                <w:szCs w:val="21"/>
              </w:rPr>
              <w:t xml:space="preserve"> </w:t>
            </w:r>
          </w:p>
          <w:p>
            <w:pPr>
              <w:wordWrap w:val="0"/>
              <w:ind w:right="420" w:firstLine="5040" w:firstLineChars="2400"/>
              <w:rPr>
                <w:rFonts w:ascii="宋体" w:hAnsi="宋体" w:cs="宋体-18030"/>
                <w:szCs w:val="21"/>
              </w:rPr>
            </w:pPr>
            <w:r>
              <w:rPr>
                <w:rFonts w:hint="eastAsia" w:ascii="宋体" w:hAnsi="宋体" w:cs="宋体-18030"/>
                <w:szCs w:val="21"/>
              </w:rPr>
              <w:t>审 查 人：</w:t>
            </w:r>
          </w:p>
          <w:p>
            <w:pPr>
              <w:wordWrap w:val="0"/>
              <w:jc w:val="right"/>
              <w:rPr>
                <w:rFonts w:ascii="宋体" w:hAnsi="宋体" w:cs="宋体-18030"/>
                <w:szCs w:val="21"/>
              </w:rPr>
            </w:pPr>
            <w:r>
              <w:rPr>
                <w:rFonts w:hint="eastAsia" w:ascii="宋体" w:hAnsi="宋体" w:cs="宋体-18030"/>
                <w:szCs w:val="21"/>
              </w:rPr>
              <w:t xml:space="preserve"> 部门领导：                       </w:t>
            </w:r>
          </w:p>
          <w:p>
            <w:pPr>
              <w:wordWrap w:val="0"/>
              <w:ind w:right="1260"/>
              <w:jc w:val="center"/>
              <w:rPr>
                <w:rFonts w:ascii="宋体" w:hAnsi="宋体" w:cs="宋体-18030"/>
                <w:szCs w:val="21"/>
              </w:rPr>
            </w:pPr>
            <w:r>
              <w:rPr>
                <w:rFonts w:hint="eastAsia" w:ascii="宋体" w:hAnsi="宋体" w:cs="宋体-18030"/>
                <w:szCs w:val="21"/>
              </w:rPr>
              <w:t xml:space="preserve">                                                （公章）              </w:t>
            </w:r>
          </w:p>
          <w:p>
            <w:pPr>
              <w:ind w:firstLine="6720"/>
              <w:jc w:val="right"/>
              <w:rPr>
                <w:rFonts w:ascii="宋体" w:hAnsi="宋体" w:cs="宋体-18030"/>
                <w:szCs w:val="21"/>
              </w:rPr>
            </w:pPr>
            <w:r>
              <w:rPr>
                <w:rFonts w:hint="eastAsia" w:ascii="宋体" w:hAnsi="宋体" w:cs="宋体-18030"/>
                <w:szCs w:val="21"/>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57" w:hRule="atLeast"/>
          <w:jc w:val="center"/>
        </w:trPr>
        <w:tc>
          <w:tcPr>
            <w:tcW w:w="8732" w:type="dxa"/>
            <w:gridSpan w:val="7"/>
            <w:vAlign w:val="top"/>
          </w:tcPr>
          <w:p>
            <w:pPr>
              <w:rPr>
                <w:rFonts w:ascii="宋体" w:hAnsi="宋体" w:cs="宋体-18030"/>
                <w:szCs w:val="21"/>
              </w:rPr>
            </w:pPr>
            <w:r>
              <w:rPr>
                <w:rFonts w:hint="eastAsia" w:ascii="宋体" w:hAnsi="宋体" w:cs="宋体-18030"/>
                <w:szCs w:val="21"/>
              </w:rPr>
              <w:t>分管领导意见</w:t>
            </w:r>
          </w:p>
          <w:p>
            <w:pPr>
              <w:rPr>
                <w:rFonts w:ascii="宋体" w:hAnsi="宋体" w:cs="宋体-18030"/>
                <w:szCs w:val="21"/>
              </w:rPr>
            </w:pPr>
          </w:p>
          <w:p>
            <w:pPr>
              <w:rPr>
                <w:rFonts w:ascii="宋体" w:hAnsi="宋体" w:cs="宋体-18030"/>
                <w:szCs w:val="21"/>
              </w:rPr>
            </w:pPr>
          </w:p>
          <w:p>
            <w:pPr>
              <w:rPr>
                <w:rFonts w:ascii="宋体" w:hAnsi="宋体" w:cs="宋体-18030"/>
                <w:szCs w:val="21"/>
              </w:rPr>
            </w:pPr>
          </w:p>
          <w:p>
            <w:pPr>
              <w:rPr>
                <w:rFonts w:ascii="宋体" w:hAnsi="宋体" w:cs="宋体-18030"/>
                <w:szCs w:val="21"/>
              </w:rPr>
            </w:pPr>
          </w:p>
          <w:p>
            <w:pPr>
              <w:ind w:firstLine="5145" w:firstLineChars="2450"/>
              <w:rPr>
                <w:rFonts w:ascii="宋体" w:hAnsi="宋体" w:cs="宋体-18030"/>
                <w:szCs w:val="21"/>
              </w:rPr>
            </w:pPr>
            <w:r>
              <w:rPr>
                <w:rFonts w:hint="eastAsia" w:ascii="宋体" w:hAnsi="宋体" w:cs="宋体-18030"/>
                <w:szCs w:val="21"/>
              </w:rPr>
              <w:t>分管领导：</w:t>
            </w:r>
          </w:p>
          <w:p>
            <w:pPr>
              <w:jc w:val="right"/>
              <w:rPr>
                <w:rFonts w:ascii="宋体" w:hAnsi="宋体" w:cs="宋体-18030"/>
                <w:szCs w:val="21"/>
              </w:rPr>
            </w:pPr>
            <w:r>
              <w:rPr>
                <w:rFonts w:hint="eastAsia" w:ascii="宋体" w:hAnsi="宋体" w:cs="宋体-18030"/>
                <w:szCs w:val="21"/>
              </w:rPr>
              <w:t>年    月    日</w:t>
            </w:r>
          </w:p>
        </w:tc>
      </w:tr>
    </w:tbl>
    <w:p>
      <w:pPr>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施 工 联 络 单</w:t>
      </w:r>
    </w:p>
    <w:tbl>
      <w:tblPr>
        <w:tblStyle w:val="51"/>
        <w:tblW w:w="87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580"/>
        <w:gridCol w:w="1429"/>
        <w:gridCol w:w="1374"/>
        <w:gridCol w:w="15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79" w:type="dxa"/>
            <w:vAlign w:val="center"/>
          </w:tcPr>
          <w:p>
            <w:pPr>
              <w:jc w:val="center"/>
              <w:rPr>
                <w:rFonts w:ascii="宋体" w:hAnsi="宋体" w:cs="宋体-18030"/>
                <w:szCs w:val="21"/>
              </w:rPr>
            </w:pPr>
            <w:r>
              <w:rPr>
                <w:rFonts w:hint="eastAsia" w:ascii="宋体" w:hAnsi="宋体" w:cs="宋体-18030"/>
                <w:szCs w:val="21"/>
              </w:rPr>
              <w:t>项目名称</w:t>
            </w:r>
          </w:p>
        </w:tc>
        <w:tc>
          <w:tcPr>
            <w:tcW w:w="4009" w:type="dxa"/>
            <w:gridSpan w:val="2"/>
            <w:vAlign w:val="center"/>
          </w:tcPr>
          <w:p>
            <w:pPr>
              <w:jc w:val="center"/>
              <w:rPr>
                <w:rFonts w:ascii="宋体" w:hAnsi="宋体" w:cs="宋体-18030"/>
                <w:szCs w:val="21"/>
              </w:rPr>
            </w:pPr>
          </w:p>
        </w:tc>
        <w:tc>
          <w:tcPr>
            <w:tcW w:w="1374" w:type="dxa"/>
            <w:vAlign w:val="center"/>
          </w:tcPr>
          <w:p>
            <w:pPr>
              <w:jc w:val="center"/>
              <w:rPr>
                <w:rFonts w:ascii="宋体" w:hAnsi="宋体" w:cs="宋体-18030"/>
                <w:szCs w:val="21"/>
              </w:rPr>
            </w:pPr>
            <w:r>
              <w:rPr>
                <w:rFonts w:hint="eastAsia" w:ascii="宋体" w:hAnsi="宋体" w:cs="宋体-18030"/>
                <w:szCs w:val="21"/>
              </w:rPr>
              <w:t>联络时间</w:t>
            </w:r>
          </w:p>
        </w:tc>
        <w:tc>
          <w:tcPr>
            <w:tcW w:w="1570" w:type="dxa"/>
            <w:vAlign w:val="center"/>
          </w:tcPr>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79" w:type="dxa"/>
            <w:vAlign w:val="center"/>
          </w:tcPr>
          <w:p>
            <w:pPr>
              <w:jc w:val="center"/>
              <w:rPr>
                <w:rFonts w:ascii="宋体" w:hAnsi="宋体" w:cs="宋体-18030"/>
                <w:szCs w:val="21"/>
              </w:rPr>
            </w:pPr>
            <w:r>
              <w:rPr>
                <w:rFonts w:hint="eastAsia" w:ascii="宋体" w:hAnsi="宋体" w:cs="宋体-18030"/>
                <w:szCs w:val="21"/>
              </w:rPr>
              <w:t>施工单位</w:t>
            </w:r>
          </w:p>
        </w:tc>
        <w:tc>
          <w:tcPr>
            <w:tcW w:w="4009" w:type="dxa"/>
            <w:gridSpan w:val="2"/>
            <w:vAlign w:val="center"/>
          </w:tcPr>
          <w:p>
            <w:pPr>
              <w:jc w:val="center"/>
              <w:rPr>
                <w:rFonts w:ascii="宋体" w:hAnsi="宋体" w:cs="宋体-18030"/>
                <w:szCs w:val="21"/>
              </w:rPr>
            </w:pPr>
          </w:p>
        </w:tc>
        <w:tc>
          <w:tcPr>
            <w:tcW w:w="1374" w:type="dxa"/>
            <w:vAlign w:val="center"/>
          </w:tcPr>
          <w:p>
            <w:pPr>
              <w:jc w:val="center"/>
              <w:rPr>
                <w:rFonts w:ascii="宋体" w:hAnsi="宋体" w:cs="宋体-18030"/>
                <w:szCs w:val="21"/>
              </w:rPr>
            </w:pPr>
            <w:r>
              <w:rPr>
                <w:rFonts w:hint="eastAsia" w:ascii="宋体" w:hAnsi="宋体" w:cs="宋体-18030"/>
                <w:szCs w:val="21"/>
              </w:rPr>
              <w:t>联络单号</w:t>
            </w:r>
          </w:p>
        </w:tc>
        <w:tc>
          <w:tcPr>
            <w:tcW w:w="1570" w:type="dxa"/>
            <w:vAlign w:val="center"/>
          </w:tcPr>
          <w:p>
            <w:pPr>
              <w:jc w:val="center"/>
              <w:rPr>
                <w:rFonts w:ascii="宋体" w:hAnsi="宋体" w:cs="宋体-1803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5788" w:type="dxa"/>
            <w:gridSpan w:val="3"/>
            <w:vAlign w:val="top"/>
          </w:tcPr>
          <w:p>
            <w:pPr>
              <w:rPr>
                <w:kern w:val="0"/>
                <w:szCs w:val="21"/>
              </w:rPr>
            </w:pPr>
            <w:r>
              <w:rPr>
                <w:rFonts w:hint="eastAsia"/>
                <w:kern w:val="0"/>
                <w:szCs w:val="21"/>
              </w:rPr>
              <w:t>联络原因</w:t>
            </w:r>
          </w:p>
        </w:tc>
        <w:tc>
          <w:tcPr>
            <w:tcW w:w="1374" w:type="dxa"/>
            <w:vAlign w:val="center"/>
          </w:tcPr>
          <w:p>
            <w:pPr>
              <w:jc w:val="center"/>
              <w:rPr>
                <w:rFonts w:ascii="宋体" w:hAnsi="宋体" w:cs="宋体-18030"/>
                <w:bCs/>
                <w:szCs w:val="21"/>
              </w:rPr>
            </w:pPr>
            <w:r>
              <w:rPr>
                <w:rFonts w:hint="eastAsia" w:ascii="宋体" w:hAnsi="宋体" w:cs="宋体-18030"/>
                <w:bCs/>
                <w:szCs w:val="21"/>
              </w:rPr>
              <w:t>预计增减</w:t>
            </w:r>
          </w:p>
          <w:p>
            <w:pPr>
              <w:jc w:val="center"/>
              <w:rPr>
                <w:kern w:val="0"/>
                <w:szCs w:val="21"/>
              </w:rPr>
            </w:pPr>
            <w:r>
              <w:rPr>
                <w:rFonts w:hint="eastAsia" w:ascii="宋体" w:hAnsi="宋体" w:cs="宋体-18030"/>
                <w:bCs/>
                <w:szCs w:val="21"/>
              </w:rPr>
              <w:t>费用（万元）</w:t>
            </w:r>
          </w:p>
        </w:tc>
        <w:tc>
          <w:tcPr>
            <w:tcW w:w="1570" w:type="dxa"/>
            <w:vAlign w:val="top"/>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66" w:hRule="atLeast"/>
          <w:jc w:val="center"/>
        </w:trPr>
        <w:tc>
          <w:tcPr>
            <w:tcW w:w="8732" w:type="dxa"/>
            <w:gridSpan w:val="5"/>
            <w:vAlign w:val="top"/>
          </w:tcPr>
          <w:p>
            <w:pPr>
              <w:rPr>
                <w:kern w:val="0"/>
                <w:szCs w:val="21"/>
              </w:rPr>
            </w:pPr>
            <w:r>
              <w:rPr>
                <w:rFonts w:hint="eastAsia"/>
                <w:kern w:val="0"/>
                <w:szCs w:val="21"/>
              </w:rPr>
              <w:t>联络内容</w:t>
            </w:r>
          </w:p>
          <w:p>
            <w:pPr>
              <w:rPr>
                <w:kern w:val="0"/>
                <w:szCs w:val="21"/>
              </w:rPr>
            </w:pPr>
          </w:p>
          <w:p>
            <w:pPr>
              <w:rPr>
                <w:kern w:val="0"/>
                <w:szCs w:val="21"/>
              </w:rPr>
            </w:pPr>
          </w:p>
          <w:p>
            <w:pPr>
              <w:rPr>
                <w:kern w:val="0"/>
                <w:szCs w:val="21"/>
              </w:rPr>
            </w:pPr>
          </w:p>
          <w:p>
            <w:pPr>
              <w:ind w:firstLine="4935" w:firstLineChars="2350"/>
              <w:rPr>
                <w:kern w:val="0"/>
                <w:szCs w:val="21"/>
              </w:rPr>
            </w:pPr>
            <w:r>
              <w:rPr>
                <w:rFonts w:hint="eastAsia"/>
                <w:kern w:val="0"/>
                <w:szCs w:val="21"/>
              </w:rPr>
              <w:t>提出单位：</w:t>
            </w:r>
          </w:p>
          <w:p>
            <w:pPr>
              <w:ind w:firstLine="4935" w:firstLineChars="2350"/>
              <w:rPr>
                <w:kern w:val="0"/>
                <w:szCs w:val="21"/>
              </w:rPr>
            </w:pPr>
          </w:p>
          <w:p>
            <w:pPr>
              <w:rPr>
                <w:kern w:val="0"/>
                <w:szCs w:val="21"/>
              </w:rPr>
            </w:pPr>
            <w:r>
              <w:rPr>
                <w:rFonts w:hint="eastAsia"/>
                <w:kern w:val="0"/>
                <w:szCs w:val="21"/>
              </w:rPr>
              <w:t xml:space="preserve">                                               技术负责人：</w:t>
            </w:r>
          </w:p>
          <w:p>
            <w:pPr>
              <w:jc w:val="right"/>
              <w:rPr>
                <w:kern w:val="0"/>
                <w:szCs w:val="21"/>
              </w:rPr>
            </w:pPr>
            <w:r>
              <w:rPr>
                <w:rFonts w:hint="eastAsia"/>
                <w:kern w:val="0"/>
                <w:szCs w:val="21"/>
              </w:rPr>
              <w:t xml:space="preserve">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5" w:hRule="atLeast"/>
          <w:jc w:val="center"/>
        </w:trPr>
        <w:tc>
          <w:tcPr>
            <w:tcW w:w="4359" w:type="dxa"/>
            <w:gridSpan w:val="2"/>
            <w:vAlign w:val="top"/>
          </w:tcPr>
          <w:p>
            <w:pPr>
              <w:rPr>
                <w:kern w:val="0"/>
                <w:szCs w:val="21"/>
              </w:rPr>
            </w:pPr>
            <w:r>
              <w:rPr>
                <w:rFonts w:hint="eastAsia"/>
                <w:kern w:val="0"/>
                <w:szCs w:val="21"/>
              </w:rPr>
              <w:t>项目执行单位</w:t>
            </w:r>
          </w:p>
          <w:p>
            <w:pPr>
              <w:rPr>
                <w:kern w:val="0"/>
                <w:szCs w:val="21"/>
              </w:rPr>
            </w:pPr>
          </w:p>
          <w:p>
            <w:pPr>
              <w:rPr>
                <w:kern w:val="0"/>
                <w:szCs w:val="21"/>
              </w:rPr>
            </w:pPr>
          </w:p>
          <w:p>
            <w:pPr>
              <w:rPr>
                <w:kern w:val="0"/>
                <w:szCs w:val="21"/>
              </w:rPr>
            </w:pPr>
          </w:p>
          <w:p>
            <w:pPr>
              <w:ind w:firstLine="1155" w:firstLineChars="550"/>
              <w:rPr>
                <w:kern w:val="0"/>
                <w:szCs w:val="21"/>
              </w:rPr>
            </w:pPr>
            <w:r>
              <w:rPr>
                <w:rFonts w:hint="eastAsia"/>
                <w:kern w:val="0"/>
                <w:szCs w:val="21"/>
              </w:rPr>
              <w:t>项目负责人（公章）：</w:t>
            </w:r>
          </w:p>
          <w:p>
            <w:pPr>
              <w:jc w:val="right"/>
              <w:rPr>
                <w:kern w:val="0"/>
                <w:szCs w:val="21"/>
              </w:rPr>
            </w:pPr>
            <w:r>
              <w:rPr>
                <w:rFonts w:hint="eastAsia"/>
                <w:kern w:val="0"/>
                <w:szCs w:val="21"/>
              </w:rPr>
              <w:t xml:space="preserve">             年   月    日</w:t>
            </w:r>
          </w:p>
        </w:tc>
        <w:tc>
          <w:tcPr>
            <w:tcW w:w="4373" w:type="dxa"/>
            <w:gridSpan w:val="3"/>
            <w:vAlign w:val="top"/>
          </w:tcPr>
          <w:p>
            <w:pPr>
              <w:rPr>
                <w:kern w:val="0"/>
                <w:szCs w:val="21"/>
              </w:rPr>
            </w:pPr>
            <w:r>
              <w:rPr>
                <w:rFonts w:hint="eastAsia"/>
                <w:kern w:val="0"/>
                <w:szCs w:val="21"/>
              </w:rPr>
              <w:t>监理单位</w:t>
            </w:r>
          </w:p>
          <w:p>
            <w:pPr>
              <w:rPr>
                <w:kern w:val="0"/>
                <w:szCs w:val="21"/>
              </w:rPr>
            </w:pPr>
          </w:p>
          <w:p>
            <w:pPr>
              <w:rPr>
                <w:kern w:val="0"/>
                <w:szCs w:val="21"/>
              </w:rPr>
            </w:pPr>
          </w:p>
          <w:p>
            <w:pPr>
              <w:rPr>
                <w:kern w:val="0"/>
                <w:szCs w:val="21"/>
              </w:rPr>
            </w:pPr>
          </w:p>
          <w:p>
            <w:pPr>
              <w:ind w:firstLine="1050" w:firstLineChars="500"/>
              <w:rPr>
                <w:kern w:val="0"/>
                <w:szCs w:val="21"/>
              </w:rPr>
            </w:pPr>
            <w:r>
              <w:rPr>
                <w:rFonts w:hint="eastAsia"/>
                <w:kern w:val="0"/>
                <w:szCs w:val="21"/>
              </w:rPr>
              <w:t>项目总监（公章）：</w:t>
            </w:r>
          </w:p>
          <w:p>
            <w:pPr>
              <w:jc w:val="right"/>
              <w:rPr>
                <w:kern w:val="0"/>
                <w:szCs w:val="21"/>
              </w:rPr>
            </w:pPr>
            <w:r>
              <w:rPr>
                <w:rFonts w:hint="eastAsia"/>
                <w:kern w:val="0"/>
                <w:szCs w:val="21"/>
              </w:rPr>
              <w:t xml:space="preserve">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jc w:val="center"/>
        </w:trPr>
        <w:tc>
          <w:tcPr>
            <w:tcW w:w="8732" w:type="dxa"/>
            <w:gridSpan w:val="5"/>
            <w:vAlign w:val="top"/>
          </w:tcPr>
          <w:p>
            <w:pPr>
              <w:rPr>
                <w:kern w:val="0"/>
                <w:szCs w:val="21"/>
              </w:rPr>
            </w:pPr>
            <w:r>
              <w:rPr>
                <w:rFonts w:hint="eastAsia"/>
                <w:kern w:val="0"/>
                <w:szCs w:val="21"/>
              </w:rPr>
              <w:t>设计单意见</w:t>
            </w:r>
          </w:p>
          <w:p>
            <w:pPr>
              <w:rPr>
                <w:kern w:val="0"/>
                <w:szCs w:val="21"/>
              </w:rPr>
            </w:pPr>
          </w:p>
          <w:p>
            <w:pPr>
              <w:rPr>
                <w:kern w:val="0"/>
                <w:szCs w:val="21"/>
              </w:rPr>
            </w:pPr>
          </w:p>
          <w:p>
            <w:pPr>
              <w:rPr>
                <w:kern w:val="0"/>
                <w:szCs w:val="21"/>
              </w:rPr>
            </w:pPr>
          </w:p>
          <w:p>
            <w:pPr>
              <w:rPr>
                <w:kern w:val="0"/>
                <w:szCs w:val="21"/>
              </w:rPr>
            </w:pPr>
          </w:p>
          <w:p>
            <w:pPr>
              <w:ind w:right="840"/>
              <w:jc w:val="right"/>
              <w:rPr>
                <w:kern w:val="0"/>
                <w:szCs w:val="21"/>
              </w:rPr>
            </w:pPr>
            <w:r>
              <w:rPr>
                <w:rFonts w:hint="eastAsia"/>
                <w:kern w:val="0"/>
                <w:szCs w:val="21"/>
              </w:rPr>
              <w:t xml:space="preserve">                        项目负责人（公章）：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32" w:type="dxa"/>
            <w:gridSpan w:val="5"/>
            <w:vAlign w:val="top"/>
          </w:tcPr>
          <w:p>
            <w:pPr>
              <w:rPr>
                <w:kern w:val="0"/>
                <w:szCs w:val="21"/>
              </w:rPr>
            </w:pPr>
            <w:r>
              <w:rPr>
                <w:rFonts w:hint="eastAsia"/>
                <w:kern w:val="0"/>
                <w:szCs w:val="21"/>
              </w:rPr>
              <w:t>业务分管部门意见</w:t>
            </w:r>
          </w:p>
          <w:p>
            <w:pPr>
              <w:rPr>
                <w:kern w:val="0"/>
                <w:szCs w:val="21"/>
              </w:rPr>
            </w:pPr>
          </w:p>
          <w:p>
            <w:pPr>
              <w:rPr>
                <w:kern w:val="0"/>
                <w:szCs w:val="21"/>
              </w:rPr>
            </w:pPr>
          </w:p>
          <w:p>
            <w:pPr>
              <w:rPr>
                <w:kern w:val="0"/>
                <w:szCs w:val="21"/>
              </w:rPr>
            </w:pPr>
          </w:p>
          <w:p>
            <w:pPr>
              <w:rPr>
                <w:kern w:val="0"/>
                <w:szCs w:val="21"/>
              </w:rPr>
            </w:pPr>
          </w:p>
          <w:p>
            <w:pPr>
              <w:ind w:firstLine="5565" w:firstLineChars="2650"/>
              <w:rPr>
                <w:kern w:val="0"/>
                <w:szCs w:val="21"/>
              </w:rPr>
            </w:pPr>
            <w:r>
              <w:rPr>
                <w:rFonts w:hint="eastAsia"/>
                <w:kern w:val="0"/>
                <w:szCs w:val="21"/>
              </w:rPr>
              <w:t>部门领导（公章）：</w:t>
            </w:r>
          </w:p>
          <w:p>
            <w:pPr>
              <w:jc w:val="right"/>
              <w:rPr>
                <w:kern w:val="0"/>
                <w:szCs w:val="21"/>
              </w:rPr>
            </w:pPr>
            <w:r>
              <w:rPr>
                <w:rFonts w:hint="eastAsia"/>
                <w:kern w:val="0"/>
                <w:szCs w:val="21"/>
              </w:rPr>
              <w:t xml:space="preserve">     年     月     日</w:t>
            </w:r>
          </w:p>
        </w:tc>
      </w:tr>
    </w:tbl>
    <w:p>
      <w:pPr>
        <w:jc w:val="center"/>
        <w:rPr>
          <w:rFonts w:hint="eastAsia" w:ascii="仿宋_GB2312" w:hAnsi="宋体" w:eastAsia="仿宋_GB2312" w:cs="宋体"/>
          <w:b/>
          <w:bCs/>
          <w:kern w:val="0"/>
          <w:sz w:val="40"/>
          <w:szCs w:val="40"/>
        </w:rPr>
      </w:pPr>
    </w:p>
    <w:p>
      <w:pPr>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现 场 签 证</w:t>
      </w:r>
    </w:p>
    <w:tbl>
      <w:tblPr>
        <w:tblStyle w:val="51"/>
        <w:tblW w:w="873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811"/>
        <w:gridCol w:w="823"/>
        <w:gridCol w:w="1388"/>
        <w:gridCol w:w="21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1555" w:type="dxa"/>
            <w:vAlign w:val="center"/>
          </w:tcPr>
          <w:p>
            <w:pPr>
              <w:jc w:val="center"/>
              <w:rPr>
                <w:szCs w:val="21"/>
              </w:rPr>
            </w:pPr>
            <w:r>
              <w:rPr>
                <w:rFonts w:hint="eastAsia"/>
                <w:szCs w:val="21"/>
              </w:rPr>
              <w:t>项目名称</w:t>
            </w:r>
          </w:p>
        </w:tc>
        <w:tc>
          <w:tcPr>
            <w:tcW w:w="3634" w:type="dxa"/>
            <w:gridSpan w:val="2"/>
            <w:vAlign w:val="center"/>
          </w:tcPr>
          <w:p>
            <w:pPr>
              <w:jc w:val="center"/>
              <w:rPr>
                <w:rFonts w:ascii="宋体" w:hAnsi="宋体"/>
                <w:szCs w:val="21"/>
              </w:rPr>
            </w:pPr>
          </w:p>
        </w:tc>
        <w:tc>
          <w:tcPr>
            <w:tcW w:w="1388" w:type="dxa"/>
            <w:vAlign w:val="center"/>
          </w:tcPr>
          <w:p>
            <w:pPr>
              <w:jc w:val="center"/>
              <w:rPr>
                <w:rFonts w:ascii="宋体" w:hAnsi="宋体"/>
                <w:szCs w:val="21"/>
              </w:rPr>
            </w:pPr>
            <w:r>
              <w:rPr>
                <w:rFonts w:hint="eastAsia" w:ascii="宋体" w:hAnsi="宋体"/>
                <w:szCs w:val="21"/>
              </w:rPr>
              <w:t>签证时间</w:t>
            </w:r>
          </w:p>
        </w:tc>
        <w:tc>
          <w:tcPr>
            <w:tcW w:w="2155" w:type="dxa"/>
            <w:vAlign w:val="center"/>
          </w:tcPr>
          <w:p>
            <w:pPr>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59" w:hRule="atLeast"/>
          <w:jc w:val="center"/>
        </w:trPr>
        <w:tc>
          <w:tcPr>
            <w:tcW w:w="5189" w:type="dxa"/>
            <w:gridSpan w:val="3"/>
            <w:vAlign w:val="top"/>
          </w:tcPr>
          <w:p>
            <w:pPr>
              <w:ind w:left="1050" w:hanging="1050" w:hangingChars="500"/>
              <w:rPr>
                <w:szCs w:val="21"/>
              </w:rPr>
            </w:pPr>
            <w:r>
              <w:rPr>
                <w:rFonts w:hint="eastAsia"/>
                <w:szCs w:val="21"/>
              </w:rPr>
              <w:t>签证原因</w:t>
            </w:r>
          </w:p>
        </w:tc>
        <w:tc>
          <w:tcPr>
            <w:tcW w:w="1388" w:type="dxa"/>
            <w:vAlign w:val="center"/>
          </w:tcPr>
          <w:p>
            <w:pPr>
              <w:jc w:val="center"/>
              <w:rPr>
                <w:szCs w:val="21"/>
              </w:rPr>
            </w:pPr>
            <w:r>
              <w:rPr>
                <w:rFonts w:hint="eastAsia"/>
                <w:szCs w:val="21"/>
              </w:rPr>
              <w:t>签证单号</w:t>
            </w:r>
          </w:p>
        </w:tc>
        <w:tc>
          <w:tcPr>
            <w:tcW w:w="2155" w:type="dxa"/>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72" w:hRule="atLeast"/>
          <w:jc w:val="center"/>
        </w:trPr>
        <w:tc>
          <w:tcPr>
            <w:tcW w:w="8732" w:type="dxa"/>
            <w:gridSpan w:val="5"/>
            <w:vAlign w:val="top"/>
          </w:tcPr>
          <w:p>
            <w:pPr>
              <w:spacing w:line="360" w:lineRule="auto"/>
              <w:rPr>
                <w:szCs w:val="21"/>
              </w:rPr>
            </w:pPr>
            <w:r>
              <w:rPr>
                <w:rFonts w:hint="eastAsia"/>
                <w:szCs w:val="21"/>
              </w:rPr>
              <w:t>签证内容（简图及相关计算工程量）</w:t>
            </w:r>
          </w:p>
          <w:p>
            <w:pPr>
              <w:spacing w:line="360" w:lineRule="auto"/>
              <w:rPr>
                <w:rFonts w:ascii="宋体" w:hAnsi="宋体"/>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tabs>
                <w:tab w:val="left" w:pos="3093"/>
              </w:tabs>
              <w:rPr>
                <w:szCs w:val="21"/>
              </w:rPr>
            </w:pPr>
          </w:p>
          <w:p>
            <w:pPr>
              <w:rPr>
                <w:szCs w:val="21"/>
              </w:rPr>
            </w:pPr>
          </w:p>
          <w:p>
            <w:pPr>
              <w:ind w:firstLine="4819" w:firstLineChars="2295"/>
              <w:rPr>
                <w:szCs w:val="21"/>
              </w:rPr>
            </w:pPr>
            <w:r>
              <w:rPr>
                <w:rFonts w:hint="eastAsia"/>
                <w:szCs w:val="21"/>
              </w:rPr>
              <w:t>施工单位项目经理（公章）：</w:t>
            </w:r>
          </w:p>
          <w:p>
            <w:pPr>
              <w:rPr>
                <w:szCs w:val="21"/>
              </w:rPr>
            </w:pPr>
            <w:r>
              <w:rPr>
                <w:rFonts w:hint="eastAsia"/>
                <w:szCs w:val="21"/>
              </w:rPr>
              <w:t xml:space="preserve">                 </w:t>
            </w:r>
            <w:r>
              <w:rPr>
                <w:szCs w:val="21"/>
              </w:rPr>
              <w:t xml:space="preserve">      </w:t>
            </w:r>
            <w:r>
              <w:rPr>
                <w:rFonts w:hint="eastAsia"/>
                <w:szCs w:val="21"/>
              </w:rPr>
              <w:t xml:space="preserve">                       </w:t>
            </w:r>
          </w:p>
          <w:p>
            <w:pPr>
              <w:jc w:val="right"/>
              <w:rPr>
                <w:szCs w:val="21"/>
              </w:rPr>
            </w:pPr>
            <w:r>
              <w:rPr>
                <w:rFonts w:hint="eastAsia"/>
                <w:szCs w:val="21"/>
              </w:rPr>
              <w:t>年</w:t>
            </w:r>
            <w:r>
              <w:rPr>
                <w:szCs w:val="21"/>
              </w:rPr>
              <w:t xml:space="preserve"> </w:t>
            </w:r>
            <w:r>
              <w:rPr>
                <w:rFonts w:hint="eastAsia"/>
                <w:szCs w:val="21"/>
              </w:rPr>
              <w:t xml:space="preserve">  月</w:t>
            </w:r>
            <w:r>
              <w:rPr>
                <w:szCs w:val="21"/>
              </w:rPr>
              <w:t xml:space="preserve"> </w:t>
            </w:r>
            <w:r>
              <w:rPr>
                <w:rFonts w:hint="eastAsia"/>
                <w:szCs w:val="21"/>
              </w:rPr>
              <w:t xml:space="preserve">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47" w:hRule="atLeast"/>
          <w:jc w:val="center"/>
        </w:trPr>
        <w:tc>
          <w:tcPr>
            <w:tcW w:w="4366" w:type="dxa"/>
            <w:gridSpan w:val="2"/>
            <w:vAlign w:val="top"/>
          </w:tcPr>
          <w:p>
            <w:pPr>
              <w:rPr>
                <w:szCs w:val="21"/>
              </w:rPr>
            </w:pPr>
            <w:r>
              <w:rPr>
                <w:rFonts w:hint="eastAsia"/>
                <w:szCs w:val="21"/>
              </w:rPr>
              <w:t>监理单位意见</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ind w:firstLine="1050" w:firstLineChars="500"/>
              <w:rPr>
                <w:szCs w:val="21"/>
              </w:rPr>
            </w:pPr>
            <w:r>
              <w:rPr>
                <w:rFonts w:hint="eastAsia"/>
                <w:szCs w:val="21"/>
              </w:rPr>
              <w:t>监理工程师：</w:t>
            </w:r>
          </w:p>
          <w:p>
            <w:pPr>
              <w:rPr>
                <w:szCs w:val="21"/>
              </w:rPr>
            </w:pPr>
          </w:p>
          <w:p>
            <w:pPr>
              <w:ind w:firstLine="1050" w:firstLineChars="500"/>
              <w:rPr>
                <w:szCs w:val="21"/>
              </w:rPr>
            </w:pPr>
            <w:r>
              <w:rPr>
                <w:rFonts w:hint="eastAsia"/>
                <w:szCs w:val="21"/>
              </w:rPr>
              <w:t>总监工程师：</w:t>
            </w:r>
          </w:p>
          <w:p>
            <w:pPr>
              <w:ind w:firstLine="1260" w:firstLineChars="600"/>
              <w:rPr>
                <w:szCs w:val="21"/>
              </w:rPr>
            </w:pPr>
            <w:r>
              <w:rPr>
                <w:rFonts w:hint="eastAsia"/>
                <w:szCs w:val="21"/>
              </w:rPr>
              <w:t>（公章）</w:t>
            </w:r>
          </w:p>
          <w:p>
            <w:pPr>
              <w:rPr>
                <w:szCs w:val="21"/>
              </w:rPr>
            </w:pPr>
            <w:r>
              <w:rPr>
                <w:rFonts w:hint="eastAsia"/>
                <w:szCs w:val="21"/>
              </w:rPr>
              <w:t xml:space="preserve">                           年   月   日</w:t>
            </w:r>
          </w:p>
        </w:tc>
        <w:tc>
          <w:tcPr>
            <w:tcW w:w="4366" w:type="dxa"/>
            <w:gridSpan w:val="3"/>
            <w:vAlign w:val="top"/>
          </w:tcPr>
          <w:p>
            <w:pPr>
              <w:rPr>
                <w:szCs w:val="21"/>
              </w:rPr>
            </w:pPr>
            <w:r>
              <w:rPr>
                <w:rFonts w:hint="eastAsia"/>
                <w:szCs w:val="21"/>
              </w:rPr>
              <w:t>项目执行单位意见</w:t>
            </w:r>
          </w:p>
          <w:p>
            <w:pPr>
              <w:rPr>
                <w:szCs w:val="21"/>
              </w:rPr>
            </w:pPr>
          </w:p>
          <w:p>
            <w:pPr>
              <w:rPr>
                <w:szCs w:val="21"/>
              </w:rPr>
            </w:pPr>
          </w:p>
          <w:p>
            <w:pPr>
              <w:rPr>
                <w:szCs w:val="21"/>
              </w:rPr>
            </w:pPr>
          </w:p>
          <w:p>
            <w:pPr>
              <w:rPr>
                <w:szCs w:val="21"/>
              </w:rPr>
            </w:pPr>
          </w:p>
          <w:p>
            <w:pPr>
              <w:ind w:firstLine="1050" w:firstLineChars="500"/>
              <w:rPr>
                <w:szCs w:val="21"/>
              </w:rPr>
            </w:pPr>
          </w:p>
          <w:p>
            <w:pPr>
              <w:ind w:firstLine="1050" w:firstLineChars="500"/>
              <w:rPr>
                <w:szCs w:val="21"/>
              </w:rPr>
            </w:pPr>
          </w:p>
          <w:p>
            <w:pPr>
              <w:ind w:firstLine="1050" w:firstLineChars="500"/>
              <w:rPr>
                <w:szCs w:val="21"/>
              </w:rPr>
            </w:pPr>
          </w:p>
          <w:p>
            <w:pPr>
              <w:ind w:firstLine="1050" w:firstLineChars="500"/>
              <w:rPr>
                <w:szCs w:val="21"/>
              </w:rPr>
            </w:pPr>
          </w:p>
          <w:p>
            <w:pPr>
              <w:ind w:firstLine="1050" w:firstLineChars="500"/>
              <w:rPr>
                <w:szCs w:val="21"/>
              </w:rPr>
            </w:pPr>
          </w:p>
          <w:p>
            <w:pPr>
              <w:ind w:firstLine="1050" w:firstLineChars="500"/>
              <w:rPr>
                <w:szCs w:val="21"/>
              </w:rPr>
            </w:pPr>
            <w:r>
              <w:rPr>
                <w:rFonts w:hint="eastAsia"/>
                <w:szCs w:val="21"/>
              </w:rPr>
              <w:t>项目负责人：</w:t>
            </w:r>
          </w:p>
          <w:p>
            <w:pPr>
              <w:ind w:firstLine="1050" w:firstLineChars="500"/>
              <w:rPr>
                <w:szCs w:val="21"/>
              </w:rPr>
            </w:pPr>
          </w:p>
          <w:p>
            <w:pPr>
              <w:ind w:firstLine="1050" w:firstLineChars="500"/>
              <w:rPr>
                <w:szCs w:val="21"/>
              </w:rPr>
            </w:pPr>
            <w:r>
              <w:rPr>
                <w:rFonts w:hint="eastAsia"/>
                <w:szCs w:val="21"/>
              </w:rPr>
              <w:t>分管领导：</w:t>
            </w:r>
          </w:p>
          <w:p>
            <w:pPr>
              <w:ind w:firstLine="1050" w:firstLineChars="500"/>
              <w:rPr>
                <w:szCs w:val="21"/>
              </w:rPr>
            </w:pPr>
            <w:r>
              <w:rPr>
                <w:rFonts w:hint="eastAsia"/>
                <w:szCs w:val="21"/>
              </w:rPr>
              <w:t xml:space="preserve">（公章）   </w:t>
            </w:r>
          </w:p>
          <w:p>
            <w:pPr>
              <w:widowControl/>
              <w:jc w:val="right"/>
              <w:rPr>
                <w:szCs w:val="21"/>
              </w:rPr>
            </w:pPr>
            <w:r>
              <w:rPr>
                <w:rFonts w:hint="eastAsia"/>
                <w:szCs w:val="21"/>
              </w:rPr>
              <w:t xml:space="preserve">               年   月   日</w:t>
            </w:r>
          </w:p>
        </w:tc>
      </w:tr>
    </w:tbl>
    <w:p>
      <w:pPr>
        <w:widowControl/>
        <w:jc w:val="both"/>
        <w:rPr>
          <w:rFonts w:ascii="仿宋_GB2312" w:hAnsi="宋体" w:eastAsia="仿宋_GB2312" w:cs="宋体"/>
          <w:b/>
          <w:bCs/>
          <w:kern w:val="0"/>
          <w:sz w:val="40"/>
          <w:szCs w:val="40"/>
        </w:rPr>
        <w:sectPr>
          <w:footerReference r:id="rId7" w:type="default"/>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p>
    <w:p>
      <w:pPr>
        <w:widowControl/>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中油南充资产大修项目建议计划表</w:t>
      </w:r>
    </w:p>
    <w:p>
      <w:pPr>
        <w:widowControl/>
        <w:jc w:val="left"/>
        <w:rPr>
          <w:rFonts w:ascii="宋体" w:hAnsi="宋体"/>
          <w:b/>
          <w:sz w:val="24"/>
        </w:rPr>
      </w:pPr>
      <w:r>
        <w:rPr>
          <w:rFonts w:hint="eastAsia" w:ascii="宋体" w:hAnsi="宋体"/>
          <w:b/>
          <w:sz w:val="24"/>
        </w:rPr>
        <w:t>填报单位：                                 填报时间：   年   月   日                          金额单位：元</w:t>
      </w:r>
    </w:p>
    <w:tbl>
      <w:tblPr>
        <w:tblStyle w:val="51"/>
        <w:tblW w:w="13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065"/>
        <w:gridCol w:w="1390"/>
        <w:gridCol w:w="2260"/>
        <w:gridCol w:w="2835"/>
        <w:gridCol w:w="851"/>
        <w:gridCol w:w="992"/>
        <w:gridCol w:w="152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restart"/>
            <w:vAlign w:val="center"/>
          </w:tcPr>
          <w:p>
            <w:pPr>
              <w:widowControl/>
              <w:jc w:val="center"/>
              <w:rPr>
                <w:b/>
                <w:sz w:val="24"/>
              </w:rPr>
            </w:pPr>
            <w:r>
              <w:rPr>
                <w:rFonts w:hint="eastAsia"/>
                <w:b/>
                <w:sz w:val="24"/>
              </w:rPr>
              <w:t>序号</w:t>
            </w:r>
          </w:p>
        </w:tc>
        <w:tc>
          <w:tcPr>
            <w:tcW w:w="2065" w:type="dxa"/>
            <w:vMerge w:val="restart"/>
            <w:vAlign w:val="center"/>
          </w:tcPr>
          <w:p>
            <w:pPr>
              <w:widowControl/>
              <w:jc w:val="center"/>
              <w:rPr>
                <w:b/>
                <w:sz w:val="24"/>
              </w:rPr>
            </w:pPr>
            <w:r>
              <w:rPr>
                <w:rFonts w:hint="eastAsia"/>
                <w:b/>
                <w:sz w:val="24"/>
              </w:rPr>
              <w:t>项目名称</w:t>
            </w:r>
          </w:p>
        </w:tc>
        <w:tc>
          <w:tcPr>
            <w:tcW w:w="1390" w:type="dxa"/>
            <w:vMerge w:val="restart"/>
            <w:vAlign w:val="center"/>
          </w:tcPr>
          <w:p>
            <w:pPr>
              <w:widowControl/>
              <w:jc w:val="center"/>
              <w:rPr>
                <w:b/>
                <w:sz w:val="24"/>
              </w:rPr>
            </w:pPr>
            <w:r>
              <w:rPr>
                <w:rFonts w:hint="eastAsia"/>
                <w:b/>
                <w:sz w:val="24"/>
              </w:rPr>
              <w:t>资产权属</w:t>
            </w:r>
          </w:p>
        </w:tc>
        <w:tc>
          <w:tcPr>
            <w:tcW w:w="2260" w:type="dxa"/>
            <w:vMerge w:val="restart"/>
            <w:vAlign w:val="center"/>
          </w:tcPr>
          <w:p>
            <w:pPr>
              <w:widowControl/>
              <w:jc w:val="center"/>
              <w:rPr>
                <w:b/>
                <w:sz w:val="24"/>
              </w:rPr>
            </w:pPr>
            <w:r>
              <w:rPr>
                <w:rFonts w:hint="eastAsia"/>
                <w:b/>
                <w:sz w:val="24"/>
              </w:rPr>
              <w:t>修理原因</w:t>
            </w:r>
          </w:p>
        </w:tc>
        <w:tc>
          <w:tcPr>
            <w:tcW w:w="2835" w:type="dxa"/>
            <w:vMerge w:val="restart"/>
            <w:vAlign w:val="center"/>
          </w:tcPr>
          <w:p>
            <w:pPr>
              <w:widowControl/>
              <w:jc w:val="center"/>
              <w:rPr>
                <w:b/>
                <w:sz w:val="24"/>
              </w:rPr>
            </w:pPr>
            <w:r>
              <w:rPr>
                <w:rFonts w:hint="eastAsia"/>
                <w:b/>
                <w:sz w:val="24"/>
              </w:rPr>
              <w:t>修理方案及</w:t>
            </w:r>
          </w:p>
          <w:p>
            <w:pPr>
              <w:widowControl/>
              <w:jc w:val="center"/>
              <w:rPr>
                <w:b/>
                <w:sz w:val="24"/>
              </w:rPr>
            </w:pPr>
            <w:r>
              <w:rPr>
                <w:rFonts w:hint="eastAsia"/>
                <w:b/>
                <w:sz w:val="24"/>
              </w:rPr>
              <w:t>主要内容</w:t>
            </w:r>
          </w:p>
        </w:tc>
        <w:tc>
          <w:tcPr>
            <w:tcW w:w="1843" w:type="dxa"/>
            <w:gridSpan w:val="2"/>
            <w:vAlign w:val="center"/>
          </w:tcPr>
          <w:p>
            <w:pPr>
              <w:widowControl/>
              <w:jc w:val="center"/>
              <w:rPr>
                <w:b/>
                <w:sz w:val="24"/>
              </w:rPr>
            </w:pPr>
            <w:r>
              <w:rPr>
                <w:rFonts w:hint="eastAsia"/>
                <w:b/>
                <w:sz w:val="24"/>
              </w:rPr>
              <w:t>修理工作量</w:t>
            </w:r>
          </w:p>
        </w:tc>
        <w:tc>
          <w:tcPr>
            <w:tcW w:w="1528" w:type="dxa"/>
            <w:vMerge w:val="restart"/>
            <w:vAlign w:val="center"/>
          </w:tcPr>
          <w:p>
            <w:pPr>
              <w:widowControl/>
              <w:jc w:val="center"/>
              <w:rPr>
                <w:b/>
                <w:sz w:val="24"/>
              </w:rPr>
            </w:pPr>
            <w:r>
              <w:rPr>
                <w:rFonts w:hint="eastAsia"/>
                <w:b/>
                <w:sz w:val="24"/>
              </w:rPr>
              <w:t>预计</w:t>
            </w:r>
          </w:p>
          <w:p>
            <w:pPr>
              <w:widowControl/>
              <w:jc w:val="center"/>
              <w:rPr>
                <w:b/>
                <w:sz w:val="24"/>
              </w:rPr>
            </w:pPr>
            <w:r>
              <w:rPr>
                <w:rFonts w:hint="eastAsia"/>
                <w:b/>
                <w:sz w:val="24"/>
              </w:rPr>
              <w:t>大修费用</w:t>
            </w:r>
          </w:p>
        </w:tc>
        <w:tc>
          <w:tcPr>
            <w:tcW w:w="1299" w:type="dxa"/>
            <w:vMerge w:val="restart"/>
            <w:vAlign w:val="center"/>
          </w:tcPr>
          <w:p>
            <w:pPr>
              <w:widowControl/>
              <w:jc w:val="center"/>
              <w:rPr>
                <w:b/>
                <w:sz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widowControl/>
              <w:jc w:val="center"/>
              <w:rPr>
                <w:sz w:val="24"/>
              </w:rPr>
            </w:pPr>
          </w:p>
        </w:tc>
        <w:tc>
          <w:tcPr>
            <w:tcW w:w="2065" w:type="dxa"/>
            <w:vMerge w:val="continue"/>
            <w:vAlign w:val="center"/>
          </w:tcPr>
          <w:p>
            <w:pPr>
              <w:widowControl/>
              <w:jc w:val="center"/>
              <w:rPr>
                <w:sz w:val="24"/>
              </w:rPr>
            </w:pPr>
          </w:p>
        </w:tc>
        <w:tc>
          <w:tcPr>
            <w:tcW w:w="1390" w:type="dxa"/>
            <w:vMerge w:val="continue"/>
            <w:vAlign w:val="top"/>
          </w:tcPr>
          <w:p>
            <w:pPr>
              <w:widowControl/>
              <w:jc w:val="center"/>
              <w:rPr>
                <w:sz w:val="24"/>
              </w:rPr>
            </w:pPr>
          </w:p>
        </w:tc>
        <w:tc>
          <w:tcPr>
            <w:tcW w:w="2260" w:type="dxa"/>
            <w:vMerge w:val="continue"/>
            <w:vAlign w:val="center"/>
          </w:tcPr>
          <w:p>
            <w:pPr>
              <w:widowControl/>
              <w:jc w:val="center"/>
              <w:rPr>
                <w:sz w:val="24"/>
              </w:rPr>
            </w:pPr>
          </w:p>
        </w:tc>
        <w:tc>
          <w:tcPr>
            <w:tcW w:w="2835" w:type="dxa"/>
            <w:vMerge w:val="continue"/>
            <w:vAlign w:val="center"/>
          </w:tcPr>
          <w:p>
            <w:pPr>
              <w:widowControl/>
              <w:jc w:val="center"/>
              <w:rPr>
                <w:sz w:val="24"/>
              </w:rPr>
            </w:pPr>
          </w:p>
        </w:tc>
        <w:tc>
          <w:tcPr>
            <w:tcW w:w="851" w:type="dxa"/>
            <w:vAlign w:val="center"/>
          </w:tcPr>
          <w:p>
            <w:pPr>
              <w:widowControl/>
              <w:jc w:val="center"/>
              <w:rPr>
                <w:b/>
                <w:sz w:val="24"/>
              </w:rPr>
            </w:pPr>
            <w:r>
              <w:rPr>
                <w:rFonts w:hint="eastAsia"/>
                <w:b/>
                <w:sz w:val="24"/>
              </w:rPr>
              <w:t>单位</w:t>
            </w:r>
          </w:p>
        </w:tc>
        <w:tc>
          <w:tcPr>
            <w:tcW w:w="992" w:type="dxa"/>
            <w:vAlign w:val="center"/>
          </w:tcPr>
          <w:p>
            <w:pPr>
              <w:widowControl/>
              <w:jc w:val="center"/>
              <w:rPr>
                <w:b/>
                <w:sz w:val="24"/>
              </w:rPr>
            </w:pPr>
            <w:r>
              <w:rPr>
                <w:rFonts w:hint="eastAsia"/>
                <w:b/>
                <w:sz w:val="24"/>
              </w:rPr>
              <w:t>数量</w:t>
            </w:r>
          </w:p>
        </w:tc>
        <w:tc>
          <w:tcPr>
            <w:tcW w:w="1528" w:type="dxa"/>
            <w:vMerge w:val="continue"/>
            <w:vAlign w:val="center"/>
          </w:tcPr>
          <w:p>
            <w:pPr>
              <w:widowControl/>
              <w:jc w:val="center"/>
              <w:rPr>
                <w:sz w:val="24"/>
              </w:rPr>
            </w:pPr>
          </w:p>
        </w:tc>
        <w:tc>
          <w:tcPr>
            <w:tcW w:w="1299" w:type="dxa"/>
            <w:vMerge w:val="continue"/>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widowControl/>
              <w:jc w:val="center"/>
              <w:rPr>
                <w:sz w:val="24"/>
              </w:rPr>
            </w:pPr>
          </w:p>
        </w:tc>
        <w:tc>
          <w:tcPr>
            <w:tcW w:w="2065" w:type="dxa"/>
            <w:vAlign w:val="center"/>
          </w:tcPr>
          <w:p>
            <w:pPr>
              <w:widowControl/>
              <w:jc w:val="center"/>
              <w:rPr>
                <w:sz w:val="24"/>
              </w:rPr>
            </w:pPr>
          </w:p>
        </w:tc>
        <w:tc>
          <w:tcPr>
            <w:tcW w:w="1390" w:type="dxa"/>
            <w:vAlign w:val="top"/>
          </w:tcPr>
          <w:p>
            <w:pPr>
              <w:widowControl/>
              <w:jc w:val="center"/>
              <w:rPr>
                <w:sz w:val="24"/>
              </w:rPr>
            </w:pPr>
          </w:p>
        </w:tc>
        <w:tc>
          <w:tcPr>
            <w:tcW w:w="2260" w:type="dxa"/>
            <w:vAlign w:val="center"/>
          </w:tcPr>
          <w:p>
            <w:pPr>
              <w:widowControl/>
              <w:jc w:val="center"/>
              <w:rPr>
                <w:sz w:val="24"/>
              </w:rPr>
            </w:pPr>
          </w:p>
        </w:tc>
        <w:tc>
          <w:tcPr>
            <w:tcW w:w="2835" w:type="dxa"/>
            <w:vAlign w:val="center"/>
          </w:tcPr>
          <w:p>
            <w:pPr>
              <w:widowControl/>
              <w:jc w:val="center"/>
              <w:rPr>
                <w:sz w:val="24"/>
              </w:rPr>
            </w:pPr>
          </w:p>
        </w:tc>
        <w:tc>
          <w:tcPr>
            <w:tcW w:w="851" w:type="dxa"/>
            <w:vAlign w:val="center"/>
          </w:tcPr>
          <w:p>
            <w:pPr>
              <w:widowControl/>
              <w:jc w:val="center"/>
              <w:rPr>
                <w:sz w:val="24"/>
              </w:rPr>
            </w:pPr>
          </w:p>
        </w:tc>
        <w:tc>
          <w:tcPr>
            <w:tcW w:w="992" w:type="dxa"/>
            <w:vAlign w:val="center"/>
          </w:tcPr>
          <w:p>
            <w:pPr>
              <w:widowControl/>
              <w:jc w:val="center"/>
              <w:rPr>
                <w:sz w:val="24"/>
              </w:rPr>
            </w:pPr>
          </w:p>
        </w:tc>
        <w:tc>
          <w:tcPr>
            <w:tcW w:w="1528" w:type="dxa"/>
            <w:vAlign w:val="center"/>
          </w:tcPr>
          <w:p>
            <w:pPr>
              <w:widowControl/>
              <w:jc w:val="center"/>
              <w:rPr>
                <w:sz w:val="24"/>
              </w:rPr>
            </w:pPr>
          </w:p>
        </w:tc>
        <w:tc>
          <w:tcPr>
            <w:tcW w:w="1299" w:type="dxa"/>
            <w:vAlign w:val="center"/>
          </w:tcPr>
          <w:p>
            <w:pPr>
              <w:widowControl/>
              <w:jc w:val="center"/>
              <w:rPr>
                <w:sz w:val="24"/>
              </w:rPr>
            </w:pPr>
          </w:p>
        </w:tc>
      </w:tr>
    </w:tbl>
    <w:p>
      <w:pPr>
        <w:widowControl/>
        <w:jc w:val="left"/>
      </w:pPr>
    </w:p>
    <w:p>
      <w:pPr>
        <w:widowControl/>
        <w:jc w:val="left"/>
        <w:rPr>
          <w:rFonts w:ascii="仿宋_GB2312" w:hAnsi="宋体" w:eastAsia="仿宋_GB2312" w:cs="宋体"/>
          <w:bCs/>
          <w:kern w:val="0"/>
          <w:sz w:val="40"/>
          <w:szCs w:val="40"/>
        </w:rPr>
      </w:pPr>
      <w:r>
        <w:rPr>
          <w:rFonts w:hint="eastAsia"/>
        </w:rPr>
        <w:t>填报人：                                                                                          单位负责人：</w:t>
      </w:r>
    </w:p>
    <w:p>
      <w:pPr>
        <w:widowControl/>
        <w:jc w:val="center"/>
        <w:rPr>
          <w:rFonts w:ascii="仿宋_GB2312" w:hAnsi="宋体" w:eastAsia="仿宋_GB2312" w:cs="宋体"/>
          <w:b/>
          <w:bCs/>
          <w:kern w:val="0"/>
          <w:sz w:val="40"/>
          <w:szCs w:val="40"/>
        </w:rPr>
      </w:pPr>
      <w:r>
        <w:rPr>
          <w:rFonts w:ascii="仿宋_GB2312" w:hAnsi="宋体" w:eastAsia="仿宋_GB2312" w:cs="宋体"/>
          <w:b/>
          <w:bCs/>
          <w:kern w:val="0"/>
          <w:sz w:val="40"/>
          <w:szCs w:val="40"/>
        </w:rPr>
        <w:br w:type="page"/>
      </w:r>
      <w:r>
        <w:rPr>
          <w:rFonts w:hint="eastAsia" w:ascii="仿宋_GB2312" w:hAnsi="宋体" w:eastAsia="仿宋_GB2312" w:cs="宋体"/>
          <w:b/>
          <w:bCs/>
          <w:kern w:val="0"/>
          <w:sz w:val="40"/>
          <w:szCs w:val="40"/>
        </w:rPr>
        <w:t>川港公司资产大修项目月进度表</w:t>
      </w:r>
    </w:p>
    <w:p>
      <w:pPr>
        <w:widowControl/>
        <w:jc w:val="left"/>
        <w:rPr>
          <w:rFonts w:ascii="宋体" w:hAnsi="宋体"/>
          <w:sz w:val="24"/>
        </w:rPr>
      </w:pPr>
      <w:r>
        <w:rPr>
          <w:rFonts w:hint="eastAsia" w:ascii="宋体" w:hAnsi="宋体"/>
          <w:sz w:val="24"/>
        </w:rPr>
        <w:t>填报单位：                                         年   月   日                              金额单位：元</w:t>
      </w:r>
    </w:p>
    <w:tbl>
      <w:tblPr>
        <w:tblStyle w:val="51"/>
        <w:tblW w:w="13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237"/>
        <w:gridCol w:w="975"/>
        <w:gridCol w:w="1290"/>
        <w:gridCol w:w="1250"/>
        <w:gridCol w:w="1223"/>
        <w:gridCol w:w="1251"/>
        <w:gridCol w:w="1217"/>
        <w:gridCol w:w="1349"/>
        <w:gridCol w:w="1455"/>
        <w:gridCol w:w="1455"/>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b/>
                <w:sz w:val="24"/>
              </w:rPr>
            </w:pPr>
            <w:r>
              <w:rPr>
                <w:rFonts w:hint="eastAsia"/>
                <w:b/>
                <w:sz w:val="24"/>
              </w:rPr>
              <w:t>序号</w:t>
            </w:r>
          </w:p>
        </w:tc>
        <w:tc>
          <w:tcPr>
            <w:tcW w:w="1237" w:type="dxa"/>
            <w:vAlign w:val="center"/>
          </w:tcPr>
          <w:p>
            <w:pPr>
              <w:widowControl/>
              <w:jc w:val="center"/>
              <w:rPr>
                <w:b/>
                <w:sz w:val="24"/>
              </w:rPr>
            </w:pPr>
            <w:r>
              <w:rPr>
                <w:rFonts w:hint="eastAsia"/>
                <w:b/>
                <w:sz w:val="24"/>
              </w:rPr>
              <w:t>项目名称</w:t>
            </w:r>
          </w:p>
        </w:tc>
        <w:tc>
          <w:tcPr>
            <w:tcW w:w="975" w:type="dxa"/>
            <w:vAlign w:val="center"/>
          </w:tcPr>
          <w:p>
            <w:pPr>
              <w:widowControl/>
              <w:jc w:val="center"/>
              <w:rPr>
                <w:b/>
                <w:sz w:val="24"/>
              </w:rPr>
            </w:pPr>
            <w:r>
              <w:rPr>
                <w:rFonts w:hint="eastAsia"/>
                <w:b/>
                <w:sz w:val="24"/>
              </w:rPr>
              <w:t>批复文号</w:t>
            </w:r>
          </w:p>
        </w:tc>
        <w:tc>
          <w:tcPr>
            <w:tcW w:w="1290" w:type="dxa"/>
            <w:vAlign w:val="center"/>
          </w:tcPr>
          <w:p>
            <w:pPr>
              <w:widowControl/>
              <w:jc w:val="center"/>
              <w:rPr>
                <w:b/>
                <w:sz w:val="24"/>
              </w:rPr>
            </w:pPr>
            <w:r>
              <w:rPr>
                <w:rFonts w:hint="eastAsia"/>
                <w:b/>
                <w:sz w:val="24"/>
              </w:rPr>
              <w:t>批复费用</w:t>
            </w:r>
          </w:p>
        </w:tc>
        <w:tc>
          <w:tcPr>
            <w:tcW w:w="1250" w:type="dxa"/>
            <w:vAlign w:val="center"/>
          </w:tcPr>
          <w:p>
            <w:pPr>
              <w:widowControl/>
              <w:jc w:val="center"/>
              <w:rPr>
                <w:b/>
                <w:sz w:val="24"/>
              </w:rPr>
            </w:pPr>
            <w:r>
              <w:rPr>
                <w:rFonts w:hint="eastAsia"/>
                <w:b/>
                <w:sz w:val="24"/>
              </w:rPr>
              <w:t>已完成大修工作量</w:t>
            </w:r>
          </w:p>
        </w:tc>
        <w:tc>
          <w:tcPr>
            <w:tcW w:w="1223" w:type="dxa"/>
            <w:vAlign w:val="top"/>
          </w:tcPr>
          <w:p>
            <w:pPr>
              <w:widowControl/>
              <w:jc w:val="center"/>
              <w:rPr>
                <w:b/>
                <w:sz w:val="24"/>
              </w:rPr>
            </w:pPr>
            <w:r>
              <w:rPr>
                <w:rFonts w:hint="eastAsia"/>
                <w:b/>
                <w:sz w:val="24"/>
              </w:rPr>
              <w:t>剩余大修工作量</w:t>
            </w:r>
          </w:p>
        </w:tc>
        <w:tc>
          <w:tcPr>
            <w:tcW w:w="1251" w:type="dxa"/>
            <w:vAlign w:val="center"/>
          </w:tcPr>
          <w:p>
            <w:pPr>
              <w:widowControl/>
              <w:jc w:val="center"/>
              <w:rPr>
                <w:b/>
                <w:sz w:val="24"/>
              </w:rPr>
            </w:pPr>
            <w:r>
              <w:rPr>
                <w:rFonts w:hint="eastAsia"/>
                <w:b/>
                <w:sz w:val="24"/>
              </w:rPr>
              <w:t>增减</w:t>
            </w:r>
          </w:p>
          <w:p>
            <w:pPr>
              <w:widowControl/>
              <w:jc w:val="center"/>
              <w:rPr>
                <w:b/>
                <w:sz w:val="24"/>
              </w:rPr>
            </w:pPr>
            <w:r>
              <w:rPr>
                <w:rFonts w:hint="eastAsia"/>
                <w:b/>
                <w:sz w:val="24"/>
              </w:rPr>
              <w:t>工作量</w:t>
            </w:r>
          </w:p>
        </w:tc>
        <w:tc>
          <w:tcPr>
            <w:tcW w:w="1217" w:type="dxa"/>
            <w:vAlign w:val="center"/>
          </w:tcPr>
          <w:p>
            <w:pPr>
              <w:widowControl/>
              <w:jc w:val="center"/>
              <w:rPr>
                <w:b/>
                <w:sz w:val="24"/>
              </w:rPr>
            </w:pPr>
            <w:r>
              <w:rPr>
                <w:rFonts w:hint="eastAsia"/>
                <w:b/>
                <w:sz w:val="24"/>
              </w:rPr>
              <w:t>预计</w:t>
            </w:r>
          </w:p>
          <w:p>
            <w:pPr>
              <w:widowControl/>
              <w:jc w:val="center"/>
              <w:rPr>
                <w:b/>
                <w:sz w:val="24"/>
              </w:rPr>
            </w:pPr>
            <w:r>
              <w:rPr>
                <w:rFonts w:hint="eastAsia"/>
                <w:b/>
                <w:sz w:val="24"/>
              </w:rPr>
              <w:t>完成时间</w:t>
            </w:r>
          </w:p>
        </w:tc>
        <w:tc>
          <w:tcPr>
            <w:tcW w:w="1349" w:type="dxa"/>
            <w:vAlign w:val="top"/>
          </w:tcPr>
          <w:p>
            <w:pPr>
              <w:widowControl/>
              <w:jc w:val="center"/>
              <w:rPr>
                <w:b/>
                <w:sz w:val="24"/>
              </w:rPr>
            </w:pPr>
            <w:r>
              <w:rPr>
                <w:rFonts w:hint="eastAsia"/>
                <w:b/>
                <w:sz w:val="24"/>
              </w:rPr>
              <w:t>预计结算费用</w:t>
            </w:r>
          </w:p>
        </w:tc>
        <w:tc>
          <w:tcPr>
            <w:tcW w:w="1455" w:type="dxa"/>
            <w:vAlign w:val="center"/>
          </w:tcPr>
          <w:p>
            <w:pPr>
              <w:widowControl/>
              <w:jc w:val="center"/>
              <w:rPr>
                <w:b/>
                <w:sz w:val="24"/>
              </w:rPr>
            </w:pPr>
            <w:r>
              <w:rPr>
                <w:rFonts w:hint="eastAsia"/>
                <w:b/>
                <w:sz w:val="24"/>
              </w:rPr>
              <w:t>存在问题</w:t>
            </w:r>
          </w:p>
        </w:tc>
        <w:tc>
          <w:tcPr>
            <w:tcW w:w="1455" w:type="dxa"/>
            <w:vAlign w:val="center"/>
          </w:tcPr>
          <w:p>
            <w:pPr>
              <w:widowControl/>
              <w:jc w:val="center"/>
              <w:rPr>
                <w:b/>
                <w:sz w:val="24"/>
              </w:rPr>
            </w:pPr>
            <w:r>
              <w:rPr>
                <w:rFonts w:hint="eastAsia"/>
                <w:b/>
                <w:sz w:val="24"/>
              </w:rPr>
              <w:t>建议或整改措施</w:t>
            </w:r>
          </w:p>
        </w:tc>
        <w:tc>
          <w:tcPr>
            <w:tcW w:w="836" w:type="dxa"/>
            <w:vAlign w:val="center"/>
          </w:tcPr>
          <w:p>
            <w:pPr>
              <w:widowControl/>
              <w:jc w:val="center"/>
              <w:rPr>
                <w:b/>
                <w:sz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 w:type="dxa"/>
            <w:vAlign w:val="center"/>
          </w:tcPr>
          <w:p>
            <w:pPr>
              <w:widowControl/>
              <w:jc w:val="center"/>
              <w:rPr>
                <w:sz w:val="24"/>
              </w:rPr>
            </w:pPr>
          </w:p>
        </w:tc>
        <w:tc>
          <w:tcPr>
            <w:tcW w:w="1237" w:type="dxa"/>
            <w:vAlign w:val="center"/>
          </w:tcPr>
          <w:p>
            <w:pPr>
              <w:widowControl/>
              <w:jc w:val="center"/>
              <w:rPr>
                <w:sz w:val="24"/>
              </w:rPr>
            </w:pPr>
          </w:p>
        </w:tc>
        <w:tc>
          <w:tcPr>
            <w:tcW w:w="975" w:type="dxa"/>
            <w:vAlign w:val="center"/>
          </w:tcPr>
          <w:p>
            <w:pPr>
              <w:widowControl/>
              <w:jc w:val="center"/>
              <w:rPr>
                <w:sz w:val="24"/>
              </w:rPr>
            </w:pPr>
          </w:p>
        </w:tc>
        <w:tc>
          <w:tcPr>
            <w:tcW w:w="1290" w:type="dxa"/>
            <w:vAlign w:val="top"/>
          </w:tcPr>
          <w:p>
            <w:pPr>
              <w:widowControl/>
              <w:jc w:val="center"/>
              <w:rPr>
                <w:sz w:val="24"/>
              </w:rPr>
            </w:pPr>
          </w:p>
        </w:tc>
        <w:tc>
          <w:tcPr>
            <w:tcW w:w="1250" w:type="dxa"/>
            <w:vAlign w:val="center"/>
          </w:tcPr>
          <w:p>
            <w:pPr>
              <w:widowControl/>
              <w:jc w:val="center"/>
              <w:rPr>
                <w:sz w:val="24"/>
              </w:rPr>
            </w:pPr>
          </w:p>
        </w:tc>
        <w:tc>
          <w:tcPr>
            <w:tcW w:w="1223" w:type="dxa"/>
            <w:vAlign w:val="top"/>
          </w:tcPr>
          <w:p>
            <w:pPr>
              <w:widowControl/>
              <w:jc w:val="center"/>
              <w:rPr>
                <w:sz w:val="24"/>
              </w:rPr>
            </w:pPr>
          </w:p>
        </w:tc>
        <w:tc>
          <w:tcPr>
            <w:tcW w:w="1251" w:type="dxa"/>
            <w:vAlign w:val="center"/>
          </w:tcPr>
          <w:p>
            <w:pPr>
              <w:widowControl/>
              <w:jc w:val="center"/>
              <w:rPr>
                <w:sz w:val="24"/>
              </w:rPr>
            </w:pPr>
          </w:p>
        </w:tc>
        <w:tc>
          <w:tcPr>
            <w:tcW w:w="1217" w:type="dxa"/>
            <w:vAlign w:val="center"/>
          </w:tcPr>
          <w:p>
            <w:pPr>
              <w:widowControl/>
              <w:jc w:val="center"/>
              <w:rPr>
                <w:sz w:val="24"/>
              </w:rPr>
            </w:pPr>
          </w:p>
        </w:tc>
        <w:tc>
          <w:tcPr>
            <w:tcW w:w="1349" w:type="dxa"/>
            <w:vAlign w:val="top"/>
          </w:tcPr>
          <w:p>
            <w:pPr>
              <w:widowControl/>
              <w:jc w:val="center"/>
              <w:rPr>
                <w:sz w:val="24"/>
              </w:rPr>
            </w:pPr>
          </w:p>
        </w:tc>
        <w:tc>
          <w:tcPr>
            <w:tcW w:w="1455" w:type="dxa"/>
            <w:vAlign w:val="center"/>
          </w:tcPr>
          <w:p>
            <w:pPr>
              <w:widowControl/>
              <w:jc w:val="center"/>
              <w:rPr>
                <w:sz w:val="24"/>
              </w:rPr>
            </w:pPr>
          </w:p>
        </w:tc>
        <w:tc>
          <w:tcPr>
            <w:tcW w:w="1455" w:type="dxa"/>
            <w:vAlign w:val="center"/>
          </w:tcPr>
          <w:p>
            <w:pPr>
              <w:widowControl/>
              <w:jc w:val="center"/>
              <w:rPr>
                <w:sz w:val="24"/>
              </w:rPr>
            </w:pPr>
          </w:p>
        </w:tc>
        <w:tc>
          <w:tcPr>
            <w:tcW w:w="836" w:type="dxa"/>
            <w:vAlign w:val="center"/>
          </w:tcPr>
          <w:p>
            <w:pPr>
              <w:widowControl/>
              <w:jc w:val="center"/>
              <w:rPr>
                <w:sz w:val="24"/>
              </w:rPr>
            </w:pPr>
          </w:p>
        </w:tc>
      </w:tr>
    </w:tbl>
    <w:p>
      <w:pPr>
        <w:widowControl/>
        <w:jc w:val="left"/>
        <w:rPr>
          <w:b/>
          <w:sz w:val="24"/>
        </w:rPr>
      </w:pPr>
    </w:p>
    <w:p>
      <w:pPr>
        <w:widowControl/>
        <w:jc w:val="left"/>
        <w:rPr>
          <w:sz w:val="24"/>
        </w:rPr>
      </w:pPr>
      <w:r>
        <w:rPr>
          <w:rFonts w:hint="eastAsia"/>
          <w:sz w:val="24"/>
        </w:rPr>
        <w:t>填报人：                                                                     分管领导：</w:t>
      </w:r>
    </w:p>
    <w:p>
      <w:pPr>
        <w:widowControl/>
        <w:jc w:val="left"/>
        <w:rPr>
          <w:sz w:val="24"/>
        </w:rPr>
      </w:pPr>
      <w:r>
        <w:rPr>
          <w:rFonts w:hint="eastAsia"/>
          <w:sz w:val="24"/>
        </w:rPr>
        <w:t>备注：该表每月28日前报川港公司财务资产部。</w:t>
      </w:r>
      <w:r>
        <w:rPr>
          <w:sz w:val="24"/>
        </w:rPr>
        <w:br w:type="page"/>
      </w:r>
    </w:p>
    <w:tbl>
      <w:tblPr>
        <w:tblStyle w:val="51"/>
        <w:tblW w:w="14000" w:type="dxa"/>
        <w:tblInd w:w="-34" w:type="dxa"/>
        <w:tblLayout w:type="fixed"/>
        <w:tblCellMar>
          <w:top w:w="0" w:type="dxa"/>
          <w:left w:w="108" w:type="dxa"/>
          <w:bottom w:w="0" w:type="dxa"/>
          <w:right w:w="108" w:type="dxa"/>
        </w:tblCellMar>
      </w:tblPr>
      <w:tblGrid>
        <w:gridCol w:w="567"/>
        <w:gridCol w:w="1232"/>
        <w:gridCol w:w="1408"/>
        <w:gridCol w:w="909"/>
        <w:gridCol w:w="998"/>
        <w:gridCol w:w="847"/>
        <w:gridCol w:w="1120"/>
        <w:gridCol w:w="1513"/>
        <w:gridCol w:w="1664"/>
        <w:gridCol w:w="1524"/>
        <w:gridCol w:w="1247"/>
        <w:gridCol w:w="149"/>
        <w:gridCol w:w="822"/>
      </w:tblGrid>
      <w:tr>
        <w:tblPrEx>
          <w:tblLayout w:type="fixed"/>
          <w:tblCellMar>
            <w:top w:w="0" w:type="dxa"/>
            <w:left w:w="108" w:type="dxa"/>
            <w:bottom w:w="0" w:type="dxa"/>
            <w:right w:w="108" w:type="dxa"/>
          </w:tblCellMar>
        </w:tblPrEx>
        <w:trPr>
          <w:trHeight w:val="793" w:hRule="atLeast"/>
        </w:trPr>
        <w:tc>
          <w:tcPr>
            <w:tcW w:w="14000" w:type="dxa"/>
            <w:gridSpan w:val="13"/>
            <w:tcBorders>
              <w:top w:val="nil"/>
              <w:left w:val="nil"/>
              <w:bottom w:val="nil"/>
              <w:right w:val="nil"/>
            </w:tcBorders>
            <w:vAlign w:val="center"/>
          </w:tcPr>
          <w:p>
            <w:pPr>
              <w:widowControl/>
              <w:jc w:val="center"/>
              <w:rPr>
                <w:rFonts w:ascii="仿宋_GB2312" w:hAnsi="宋体" w:eastAsia="仿宋_GB2312" w:cs="宋体"/>
                <w:b/>
                <w:bCs/>
                <w:kern w:val="0"/>
                <w:sz w:val="40"/>
                <w:szCs w:val="40"/>
              </w:rPr>
            </w:pPr>
            <w:r>
              <w:rPr>
                <w:rFonts w:hint="eastAsia" w:ascii="仿宋_GB2312" w:hAnsi="宋体" w:eastAsia="仿宋_GB2312" w:cs="宋体"/>
                <w:b/>
                <w:bCs/>
                <w:kern w:val="0"/>
                <w:sz w:val="40"/>
                <w:szCs w:val="40"/>
              </w:rPr>
              <w:t>完工交接申请表</w:t>
            </w:r>
          </w:p>
        </w:tc>
      </w:tr>
      <w:tr>
        <w:tblPrEx>
          <w:tblLayout w:type="fixed"/>
          <w:tblCellMar>
            <w:top w:w="0" w:type="dxa"/>
            <w:left w:w="108" w:type="dxa"/>
            <w:bottom w:w="0" w:type="dxa"/>
            <w:right w:w="108" w:type="dxa"/>
          </w:tblCellMar>
        </w:tblPrEx>
        <w:trPr>
          <w:trHeight w:val="493" w:hRule="atLeast"/>
        </w:trPr>
        <w:tc>
          <w:tcPr>
            <w:tcW w:w="3207" w:type="dxa"/>
            <w:gridSpan w:val="3"/>
            <w:tcBorders>
              <w:top w:val="nil"/>
              <w:left w:val="nil"/>
              <w:bottom w:val="single" w:color="auto" w:sz="4" w:space="0"/>
              <w:right w:val="nil"/>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填报单位:</w:t>
            </w:r>
          </w:p>
        </w:tc>
        <w:tc>
          <w:tcPr>
            <w:tcW w:w="909" w:type="dxa"/>
            <w:tcBorders>
              <w:top w:val="nil"/>
              <w:left w:val="nil"/>
              <w:bottom w:val="single" w:color="auto" w:sz="4" w:space="0"/>
              <w:right w:val="nil"/>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　</w:t>
            </w:r>
          </w:p>
        </w:tc>
        <w:tc>
          <w:tcPr>
            <w:tcW w:w="998" w:type="dxa"/>
            <w:tcBorders>
              <w:top w:val="nil"/>
              <w:left w:val="nil"/>
              <w:bottom w:val="single" w:color="auto" w:sz="4" w:space="0"/>
              <w:right w:val="nil"/>
            </w:tcBorders>
            <w:shd w:val="clear" w:color="auto" w:fill="FFFFFF"/>
            <w:vAlign w:val="center"/>
          </w:tcPr>
          <w:p>
            <w:pPr>
              <w:widowControl/>
              <w:jc w:val="left"/>
              <w:rPr>
                <w:rFonts w:ascii="宋体" w:hAnsi="宋体" w:cs="宋体"/>
                <w:b/>
                <w:bCs/>
                <w:kern w:val="0"/>
                <w:sz w:val="24"/>
              </w:rPr>
            </w:pPr>
            <w:r>
              <w:rPr>
                <w:rFonts w:hint="eastAsia" w:ascii="宋体" w:hAnsi="宋体" w:cs="宋体"/>
                <w:b/>
                <w:bCs/>
                <w:kern w:val="0"/>
                <w:sz w:val="24"/>
              </w:rPr>
              <w:t>　</w:t>
            </w:r>
          </w:p>
        </w:tc>
        <w:tc>
          <w:tcPr>
            <w:tcW w:w="6668" w:type="dxa"/>
            <w:gridSpan w:val="5"/>
            <w:tcBorders>
              <w:top w:val="nil"/>
              <w:left w:val="nil"/>
              <w:bottom w:val="single" w:color="auto" w:sz="4" w:space="0"/>
              <w:right w:val="nil"/>
            </w:tcBorders>
            <w:vAlign w:val="center"/>
          </w:tcPr>
          <w:p>
            <w:pPr>
              <w:widowControl/>
              <w:ind w:firstLine="1063" w:firstLineChars="441"/>
              <w:rPr>
                <w:rFonts w:ascii="宋体" w:hAnsi="宋体" w:cs="宋体"/>
                <w:b/>
                <w:bCs/>
                <w:kern w:val="0"/>
                <w:sz w:val="24"/>
              </w:rPr>
            </w:pPr>
            <w:r>
              <w:rPr>
                <w:rFonts w:hint="eastAsia" w:ascii="宋体" w:hAnsi="宋体" w:cs="宋体"/>
                <w:b/>
                <w:bCs/>
                <w:kern w:val="0"/>
                <w:sz w:val="24"/>
              </w:rPr>
              <w:t xml:space="preserve">年   月   日　        </w:t>
            </w:r>
          </w:p>
        </w:tc>
        <w:tc>
          <w:tcPr>
            <w:tcW w:w="2218" w:type="dxa"/>
            <w:gridSpan w:val="3"/>
            <w:tcBorders>
              <w:top w:val="nil"/>
              <w:left w:val="nil"/>
              <w:bottom w:val="nil"/>
              <w:right w:val="nil"/>
            </w:tcBorders>
            <w:vAlign w:val="center"/>
          </w:tcPr>
          <w:p>
            <w:pPr>
              <w:widowControl/>
              <w:jc w:val="left"/>
              <w:rPr>
                <w:rFonts w:ascii="宋体" w:hAnsi="宋体" w:cs="宋体"/>
                <w:b/>
                <w:bCs/>
                <w:kern w:val="0"/>
                <w:sz w:val="24"/>
              </w:rPr>
            </w:pPr>
            <w:r>
              <w:rPr>
                <w:rFonts w:hint="eastAsia" w:ascii="宋体" w:hAnsi="宋体" w:cs="宋体"/>
                <w:b/>
                <w:bCs/>
                <w:kern w:val="0"/>
                <w:sz w:val="24"/>
              </w:rPr>
              <w:t>金额单位:元</w:t>
            </w:r>
          </w:p>
        </w:tc>
      </w:tr>
      <w:tr>
        <w:tblPrEx>
          <w:tblLayout w:type="fixed"/>
          <w:tblCellMar>
            <w:top w:w="0" w:type="dxa"/>
            <w:left w:w="108" w:type="dxa"/>
            <w:bottom w:w="0" w:type="dxa"/>
            <w:right w:w="108" w:type="dxa"/>
          </w:tblCellMar>
        </w:tblPrEx>
        <w:trPr>
          <w:trHeight w:val="1203"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序号</w:t>
            </w:r>
          </w:p>
        </w:tc>
        <w:tc>
          <w:tcPr>
            <w:tcW w:w="123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项目名称</w:t>
            </w:r>
          </w:p>
        </w:tc>
        <w:tc>
          <w:tcPr>
            <w:tcW w:w="1408"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b/>
                <w:bCs/>
                <w:kern w:val="0"/>
                <w:sz w:val="24"/>
              </w:rPr>
            </w:pPr>
            <w:r>
              <w:rPr>
                <w:rFonts w:hint="eastAsia" w:ascii="宋体" w:hAnsi="宋体" w:cs="宋体"/>
                <w:b/>
                <w:bCs/>
                <w:kern w:val="0"/>
                <w:sz w:val="24"/>
              </w:rPr>
              <w:t>项目执行</w:t>
            </w:r>
          </w:p>
          <w:p>
            <w:pPr>
              <w:widowControl/>
              <w:jc w:val="center"/>
              <w:rPr>
                <w:rFonts w:ascii="宋体" w:hAnsi="宋体" w:cs="宋体"/>
                <w:b/>
                <w:bCs/>
                <w:kern w:val="0"/>
                <w:sz w:val="24"/>
              </w:rPr>
            </w:pPr>
            <w:r>
              <w:rPr>
                <w:rFonts w:hint="eastAsia" w:ascii="宋体" w:hAnsi="宋体" w:cs="宋体"/>
                <w:b/>
                <w:bCs/>
                <w:kern w:val="0"/>
                <w:sz w:val="24"/>
              </w:rPr>
              <w:t>单位</w:t>
            </w:r>
          </w:p>
        </w:tc>
        <w:tc>
          <w:tcPr>
            <w:tcW w:w="9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项目</w:t>
            </w:r>
          </w:p>
          <w:p>
            <w:pPr>
              <w:widowControl/>
              <w:jc w:val="center"/>
              <w:rPr>
                <w:rFonts w:ascii="宋体" w:hAnsi="宋体" w:cs="宋体"/>
                <w:b/>
                <w:bCs/>
                <w:kern w:val="0"/>
                <w:sz w:val="24"/>
              </w:rPr>
            </w:pPr>
            <w:r>
              <w:rPr>
                <w:rFonts w:hint="eastAsia" w:ascii="宋体" w:hAnsi="宋体" w:cs="宋体"/>
                <w:b/>
                <w:bCs/>
                <w:kern w:val="0"/>
                <w:sz w:val="24"/>
              </w:rPr>
              <w:t>负责人</w:t>
            </w:r>
          </w:p>
        </w:tc>
        <w:tc>
          <w:tcPr>
            <w:tcW w:w="998" w:type="dxa"/>
            <w:tcBorders>
              <w:top w:val="nil"/>
              <w:left w:val="single" w:color="auto" w:sz="4" w:space="0"/>
              <w:bottom w:val="single" w:color="000000" w:sz="4" w:space="0"/>
              <w:right w:val="single" w:color="auto" w:sz="4" w:space="0"/>
            </w:tcBorders>
            <w:shd w:val="clear" w:color="auto" w:fill="FFFFFF"/>
            <w:vAlign w:val="center"/>
          </w:tcPr>
          <w:p>
            <w:pPr>
              <w:widowControl/>
              <w:jc w:val="center"/>
              <w:rPr>
                <w:rFonts w:ascii="宋体" w:hAnsi="宋体" w:cs="宋体"/>
                <w:b/>
                <w:bCs/>
                <w:kern w:val="0"/>
                <w:sz w:val="24"/>
              </w:rPr>
            </w:pPr>
            <w:r>
              <w:rPr>
                <w:rFonts w:hint="eastAsia" w:ascii="宋体" w:hAnsi="宋体" w:cs="宋体"/>
                <w:b/>
                <w:bCs/>
                <w:kern w:val="0"/>
                <w:sz w:val="24"/>
              </w:rPr>
              <w:t>业务分管部室</w:t>
            </w:r>
          </w:p>
        </w:tc>
        <w:tc>
          <w:tcPr>
            <w:tcW w:w="847"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批复</w:t>
            </w:r>
          </w:p>
          <w:p>
            <w:pPr>
              <w:widowControl/>
              <w:jc w:val="center"/>
              <w:rPr>
                <w:rFonts w:ascii="宋体" w:hAnsi="宋体" w:cs="宋体"/>
                <w:b/>
                <w:bCs/>
                <w:kern w:val="0"/>
                <w:sz w:val="24"/>
              </w:rPr>
            </w:pPr>
            <w:r>
              <w:rPr>
                <w:rFonts w:hint="eastAsia" w:ascii="宋体" w:hAnsi="宋体" w:cs="宋体"/>
                <w:b/>
                <w:bCs/>
                <w:kern w:val="0"/>
                <w:sz w:val="24"/>
              </w:rPr>
              <w:t>费用</w:t>
            </w: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开、完工日期</w:t>
            </w:r>
          </w:p>
        </w:tc>
        <w:tc>
          <w:tcPr>
            <w:tcW w:w="15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完成工作量</w:t>
            </w:r>
          </w:p>
        </w:tc>
        <w:tc>
          <w:tcPr>
            <w:tcW w:w="166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增减工作量</w:t>
            </w:r>
          </w:p>
        </w:tc>
        <w:tc>
          <w:tcPr>
            <w:tcW w:w="152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施工单位</w:t>
            </w:r>
          </w:p>
        </w:tc>
        <w:tc>
          <w:tcPr>
            <w:tcW w:w="12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交接资料是否完备</w:t>
            </w:r>
          </w:p>
        </w:tc>
        <w:tc>
          <w:tcPr>
            <w:tcW w:w="97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备 注</w:t>
            </w:r>
          </w:p>
        </w:tc>
      </w:tr>
      <w:tr>
        <w:tblPrEx>
          <w:tblLayout w:type="fixed"/>
          <w:tblCellMar>
            <w:top w:w="0" w:type="dxa"/>
            <w:left w:w="108" w:type="dxa"/>
            <w:bottom w:w="0" w:type="dxa"/>
            <w:right w:w="108" w:type="dxa"/>
          </w:tblCellMar>
        </w:tblPrEx>
        <w:trPr>
          <w:trHeight w:val="70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2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40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r>
      <w:tr>
        <w:tblPrEx>
          <w:tblLayout w:type="fixed"/>
          <w:tblCellMar>
            <w:top w:w="0" w:type="dxa"/>
            <w:left w:w="108" w:type="dxa"/>
            <w:bottom w:w="0" w:type="dxa"/>
            <w:right w:w="108" w:type="dxa"/>
          </w:tblCellMar>
        </w:tblPrEx>
        <w:trPr>
          <w:trHeight w:val="92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2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40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r>
      <w:tr>
        <w:tblPrEx>
          <w:tblLayout w:type="fixed"/>
          <w:tblCellMar>
            <w:top w:w="0" w:type="dxa"/>
            <w:left w:w="108" w:type="dxa"/>
            <w:bottom w:w="0" w:type="dxa"/>
            <w:right w:w="108" w:type="dxa"/>
          </w:tblCellMar>
        </w:tblPrEx>
        <w:trPr>
          <w:trHeight w:val="92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2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40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1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r>
      <w:tr>
        <w:tblPrEx>
          <w:tblLayout w:type="fixed"/>
          <w:tblCellMar>
            <w:top w:w="0" w:type="dxa"/>
            <w:left w:w="108" w:type="dxa"/>
            <w:bottom w:w="0" w:type="dxa"/>
            <w:right w:w="108" w:type="dxa"/>
          </w:tblCellMar>
        </w:tblPrEx>
        <w:trPr>
          <w:trHeight w:val="92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2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40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12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13"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r>
      <w:tr>
        <w:tblPrEx>
          <w:tblLayout w:type="fixed"/>
          <w:tblCellMar>
            <w:top w:w="0" w:type="dxa"/>
            <w:left w:w="108" w:type="dxa"/>
            <w:bottom w:w="0" w:type="dxa"/>
            <w:right w:w="108" w:type="dxa"/>
          </w:tblCellMar>
        </w:tblPrEx>
        <w:trPr>
          <w:trHeight w:val="661"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2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140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bCs/>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12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13"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p>
        </w:tc>
      </w:tr>
      <w:tr>
        <w:tblPrEx>
          <w:tblLayout w:type="fixed"/>
          <w:tblCellMar>
            <w:top w:w="0" w:type="dxa"/>
            <w:left w:w="108" w:type="dxa"/>
            <w:bottom w:w="0" w:type="dxa"/>
            <w:right w:w="108" w:type="dxa"/>
          </w:tblCellMar>
        </w:tblPrEx>
        <w:trPr>
          <w:trHeight w:val="632"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232"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 w:val="24"/>
              </w:rPr>
            </w:pPr>
          </w:p>
        </w:tc>
        <w:tc>
          <w:tcPr>
            <w:tcW w:w="14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1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513"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55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1232"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 w:val="24"/>
              </w:rPr>
            </w:pPr>
          </w:p>
        </w:tc>
        <w:tc>
          <w:tcPr>
            <w:tcW w:w="14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9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p>
        </w:tc>
        <w:tc>
          <w:tcPr>
            <w:tcW w:w="998"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 w:val="24"/>
              </w:rPr>
            </w:pPr>
          </w:p>
        </w:tc>
        <w:tc>
          <w:tcPr>
            <w:tcW w:w="84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120"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513"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66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52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124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971" w:type="dxa"/>
            <w:gridSpan w:val="2"/>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06" w:hRule="atLeast"/>
        </w:trPr>
        <w:tc>
          <w:tcPr>
            <w:tcW w:w="567" w:type="dxa"/>
            <w:tcBorders>
              <w:top w:val="nil"/>
              <w:left w:val="nil"/>
              <w:bottom w:val="nil"/>
              <w:right w:val="nil"/>
            </w:tcBorders>
            <w:vAlign w:val="center"/>
          </w:tcPr>
          <w:p>
            <w:pPr>
              <w:widowControl/>
              <w:jc w:val="center"/>
              <w:rPr>
                <w:rFonts w:ascii="宋体" w:hAnsi="宋体" w:cs="宋体"/>
                <w:b/>
                <w:kern w:val="0"/>
                <w:sz w:val="24"/>
              </w:rPr>
            </w:pPr>
          </w:p>
        </w:tc>
        <w:tc>
          <w:tcPr>
            <w:tcW w:w="1232" w:type="dxa"/>
            <w:tcBorders>
              <w:top w:val="nil"/>
              <w:left w:val="nil"/>
              <w:bottom w:val="nil"/>
              <w:right w:val="nil"/>
            </w:tcBorders>
            <w:vAlign w:val="center"/>
          </w:tcPr>
          <w:p>
            <w:pPr>
              <w:widowControl/>
              <w:jc w:val="left"/>
              <w:rPr>
                <w:rFonts w:ascii="宋体" w:hAnsi="宋体" w:cs="宋体"/>
                <w:b/>
                <w:kern w:val="0"/>
                <w:sz w:val="24"/>
              </w:rPr>
            </w:pPr>
          </w:p>
          <w:p>
            <w:pPr>
              <w:widowControl/>
              <w:jc w:val="left"/>
              <w:rPr>
                <w:rFonts w:ascii="宋体" w:hAnsi="宋体" w:cs="宋体"/>
                <w:b/>
                <w:kern w:val="0"/>
                <w:sz w:val="24"/>
              </w:rPr>
            </w:pPr>
            <w:r>
              <w:rPr>
                <w:rFonts w:hint="eastAsia" w:ascii="宋体" w:hAnsi="宋体" w:cs="宋体"/>
                <w:b/>
                <w:kern w:val="0"/>
                <w:sz w:val="24"/>
              </w:rPr>
              <w:t>填报人:</w:t>
            </w:r>
          </w:p>
        </w:tc>
        <w:tc>
          <w:tcPr>
            <w:tcW w:w="1408" w:type="dxa"/>
            <w:tcBorders>
              <w:top w:val="nil"/>
              <w:left w:val="nil"/>
              <w:bottom w:val="nil"/>
              <w:right w:val="nil"/>
            </w:tcBorders>
            <w:vAlign w:val="center"/>
          </w:tcPr>
          <w:p>
            <w:pPr>
              <w:widowControl/>
              <w:jc w:val="left"/>
              <w:rPr>
                <w:rFonts w:ascii="宋体" w:hAnsi="宋体" w:cs="宋体"/>
                <w:b/>
                <w:kern w:val="0"/>
                <w:sz w:val="24"/>
              </w:rPr>
            </w:pPr>
          </w:p>
        </w:tc>
        <w:tc>
          <w:tcPr>
            <w:tcW w:w="909" w:type="dxa"/>
            <w:tcBorders>
              <w:top w:val="nil"/>
              <w:left w:val="nil"/>
              <w:bottom w:val="nil"/>
              <w:right w:val="nil"/>
            </w:tcBorders>
            <w:vAlign w:val="center"/>
          </w:tcPr>
          <w:p>
            <w:pPr>
              <w:widowControl/>
              <w:jc w:val="center"/>
              <w:rPr>
                <w:rFonts w:ascii="宋体" w:hAnsi="宋体" w:cs="宋体"/>
                <w:b/>
                <w:kern w:val="0"/>
                <w:sz w:val="24"/>
              </w:rPr>
            </w:pPr>
          </w:p>
        </w:tc>
        <w:tc>
          <w:tcPr>
            <w:tcW w:w="998" w:type="dxa"/>
            <w:tcBorders>
              <w:top w:val="nil"/>
              <w:left w:val="nil"/>
              <w:bottom w:val="nil"/>
              <w:right w:val="nil"/>
            </w:tcBorders>
            <w:vAlign w:val="center"/>
          </w:tcPr>
          <w:p>
            <w:pPr>
              <w:widowControl/>
              <w:jc w:val="left"/>
              <w:rPr>
                <w:rFonts w:ascii="宋体" w:hAnsi="宋体" w:cs="宋体"/>
                <w:b/>
                <w:kern w:val="0"/>
                <w:sz w:val="24"/>
              </w:rPr>
            </w:pPr>
          </w:p>
        </w:tc>
        <w:tc>
          <w:tcPr>
            <w:tcW w:w="1967" w:type="dxa"/>
            <w:gridSpan w:val="2"/>
            <w:tcBorders>
              <w:top w:val="nil"/>
              <w:left w:val="nil"/>
              <w:bottom w:val="nil"/>
              <w:right w:val="nil"/>
            </w:tcBorders>
            <w:vAlign w:val="center"/>
          </w:tcPr>
          <w:p>
            <w:pPr>
              <w:widowControl/>
              <w:jc w:val="center"/>
              <w:rPr>
                <w:rFonts w:ascii="宋体" w:hAnsi="宋体" w:cs="宋体"/>
                <w:b/>
                <w:kern w:val="0"/>
                <w:sz w:val="24"/>
              </w:rPr>
            </w:pPr>
          </w:p>
        </w:tc>
        <w:tc>
          <w:tcPr>
            <w:tcW w:w="1513" w:type="dxa"/>
            <w:tcBorders>
              <w:top w:val="nil"/>
              <w:left w:val="nil"/>
              <w:bottom w:val="nil"/>
              <w:right w:val="nil"/>
            </w:tcBorders>
            <w:vAlign w:val="center"/>
          </w:tcPr>
          <w:p>
            <w:pPr>
              <w:widowControl/>
              <w:jc w:val="right"/>
              <w:rPr>
                <w:rFonts w:ascii="宋体" w:hAnsi="宋体" w:cs="宋体"/>
                <w:b/>
                <w:kern w:val="0"/>
                <w:sz w:val="24"/>
              </w:rPr>
            </w:pPr>
          </w:p>
        </w:tc>
        <w:tc>
          <w:tcPr>
            <w:tcW w:w="1664" w:type="dxa"/>
            <w:tcBorders>
              <w:top w:val="nil"/>
              <w:left w:val="nil"/>
              <w:bottom w:val="nil"/>
              <w:right w:val="nil"/>
            </w:tcBorders>
            <w:vAlign w:val="center"/>
          </w:tcPr>
          <w:p>
            <w:pPr>
              <w:widowControl/>
              <w:jc w:val="center"/>
              <w:rPr>
                <w:rFonts w:ascii="宋体" w:hAnsi="宋体" w:cs="宋体"/>
                <w:b/>
                <w:kern w:val="0"/>
                <w:sz w:val="24"/>
              </w:rPr>
            </w:pPr>
          </w:p>
        </w:tc>
        <w:tc>
          <w:tcPr>
            <w:tcW w:w="1524" w:type="dxa"/>
            <w:tcBorders>
              <w:top w:val="nil"/>
              <w:left w:val="nil"/>
              <w:bottom w:val="nil"/>
              <w:right w:val="nil"/>
            </w:tcBorders>
            <w:vAlign w:val="center"/>
          </w:tcPr>
          <w:p>
            <w:pPr>
              <w:widowControl/>
              <w:jc w:val="left"/>
              <w:rPr>
                <w:rFonts w:ascii="宋体" w:hAnsi="宋体" w:cs="宋体"/>
                <w:b/>
                <w:kern w:val="0"/>
                <w:sz w:val="24"/>
              </w:rPr>
            </w:pPr>
          </w:p>
          <w:p>
            <w:pPr>
              <w:widowControl/>
              <w:jc w:val="left"/>
              <w:rPr>
                <w:rFonts w:ascii="宋体" w:hAnsi="宋体" w:cs="宋体"/>
                <w:b/>
                <w:kern w:val="0"/>
                <w:sz w:val="24"/>
              </w:rPr>
            </w:pPr>
            <w:r>
              <w:rPr>
                <w:rFonts w:hint="eastAsia" w:ascii="宋体" w:hAnsi="宋体" w:cs="宋体"/>
                <w:b/>
                <w:kern w:val="0"/>
                <w:sz w:val="24"/>
              </w:rPr>
              <w:t>分管领导：</w:t>
            </w:r>
          </w:p>
        </w:tc>
        <w:tc>
          <w:tcPr>
            <w:tcW w:w="1396" w:type="dxa"/>
            <w:gridSpan w:val="2"/>
            <w:tcBorders>
              <w:top w:val="nil"/>
              <w:left w:val="nil"/>
              <w:bottom w:val="nil"/>
              <w:right w:val="nil"/>
            </w:tcBorders>
            <w:vAlign w:val="center"/>
          </w:tcPr>
          <w:p>
            <w:pPr>
              <w:widowControl/>
              <w:jc w:val="left"/>
              <w:rPr>
                <w:rFonts w:ascii="宋体" w:hAnsi="宋体" w:cs="宋体"/>
                <w:b/>
                <w:kern w:val="0"/>
                <w:sz w:val="24"/>
              </w:rPr>
            </w:pPr>
          </w:p>
        </w:tc>
        <w:tc>
          <w:tcPr>
            <w:tcW w:w="822" w:type="dxa"/>
            <w:tcBorders>
              <w:top w:val="nil"/>
              <w:left w:val="nil"/>
              <w:bottom w:val="nil"/>
              <w:right w:val="nil"/>
            </w:tcBorders>
            <w:vAlign w:val="center"/>
          </w:tcPr>
          <w:p>
            <w:pPr>
              <w:widowControl/>
              <w:jc w:val="left"/>
              <w:rPr>
                <w:rFonts w:ascii="宋体" w:hAnsi="宋体" w:cs="宋体"/>
                <w:b/>
                <w:kern w:val="0"/>
                <w:sz w:val="24"/>
              </w:rPr>
            </w:pPr>
          </w:p>
        </w:tc>
      </w:tr>
    </w:tbl>
    <w:p>
      <w:pPr>
        <w:rPr>
          <w:rFonts w:ascii="方正书宋简体" w:eastAsia="方正书宋简体"/>
          <w:sz w:val="24"/>
        </w:rPr>
        <w:sectPr>
          <w:pgSz w:w="16838" w:h="11906" w:orient="landscape"/>
          <w:pgMar w:top="1531" w:right="1531" w:bottom="1531" w:left="1531"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cs="方正小标宋简体"/>
          <w:b w:val="0"/>
          <w:bCs w:val="0"/>
          <w:sz w:val="36"/>
          <w:szCs w:val="36"/>
          <w:lang w:eastAsia="zh-CN"/>
        </w:rPr>
      </w:pPr>
      <w:bookmarkStart w:id="291" w:name="_Toc15329"/>
      <w:bookmarkStart w:id="292" w:name="_Toc29355"/>
      <w:bookmarkStart w:id="293" w:name="_Toc18888"/>
      <w:bookmarkStart w:id="294" w:name="_Toc23189"/>
      <w:bookmarkStart w:id="295" w:name="_Toc23909"/>
      <w:bookmarkStart w:id="296" w:name="_Toc24803"/>
      <w:bookmarkStart w:id="297" w:name="_Toc3079"/>
      <w:bookmarkStart w:id="298" w:name="_Toc11624"/>
      <w:bookmarkStart w:id="299" w:name="_Toc25645"/>
      <w:bookmarkStart w:id="300" w:name="_Toc18074"/>
      <w:bookmarkStart w:id="301" w:name="_Toc31270"/>
      <w:bookmarkStart w:id="302" w:name="_Toc21725"/>
      <w:bookmarkStart w:id="303" w:name="_Toc20487"/>
      <w:bookmarkStart w:id="304" w:name="_Toc32177"/>
      <w:bookmarkStart w:id="305" w:name="_Toc21735"/>
      <w:bookmarkStart w:id="306" w:name="_Toc16046"/>
      <w:bookmarkStart w:id="307" w:name="_Toc6952"/>
      <w:bookmarkStart w:id="308" w:name="_Toc5017"/>
      <w:bookmarkStart w:id="309" w:name="_Toc30140"/>
      <w:r>
        <w:rPr>
          <w:rFonts w:hint="eastAsia" w:ascii="方正小标宋简体" w:eastAsia="方正小标宋简体" w:cs="方正小标宋简体"/>
          <w:b w:val="0"/>
          <w:bCs w:val="0"/>
          <w:sz w:val="36"/>
          <w:szCs w:val="36"/>
        </w:rPr>
        <w:t>中油南充燃气有限责任公司突发事件</w:t>
      </w:r>
      <w:bookmarkEnd w:id="291"/>
      <w:bookmarkEnd w:id="292"/>
      <w:bookmarkEnd w:id="293"/>
      <w:bookmarkEnd w:id="294"/>
      <w:bookmarkEnd w:id="295"/>
      <w:bookmarkStart w:id="310" w:name="_Toc4374"/>
      <w:bookmarkStart w:id="311" w:name="_Toc1538"/>
      <w:bookmarkStart w:id="312" w:name="_Toc29194"/>
      <w:bookmarkStart w:id="313" w:name="_Toc17991"/>
      <w:bookmarkStart w:id="314" w:name="_Toc10696"/>
      <w:r>
        <w:rPr>
          <w:rFonts w:hint="eastAsia" w:ascii="方正小标宋简体" w:eastAsia="方正小标宋简体" w:cs="方正小标宋简体"/>
          <w:b w:val="0"/>
          <w:bCs w:val="0"/>
          <w:sz w:val="36"/>
          <w:szCs w:val="36"/>
        </w:rPr>
        <w:t>应急物资储备</w:t>
      </w:r>
      <w:bookmarkEnd w:id="296"/>
      <w:bookmarkStart w:id="315" w:name="_Toc19246"/>
      <w:r>
        <w:rPr>
          <w:rFonts w:hint="eastAsia" w:ascii="方正小标宋简体" w:eastAsia="方正小标宋简体" w:cs="方正小标宋简体"/>
          <w:b w:val="0"/>
          <w:bCs w:val="0"/>
          <w:sz w:val="36"/>
          <w:szCs w:val="36"/>
        </w:rPr>
        <w:t>管理</w:t>
      </w:r>
      <w:bookmarkEnd w:id="297"/>
      <w:bookmarkEnd w:id="298"/>
      <w:bookmarkEnd w:id="299"/>
      <w:bookmarkEnd w:id="300"/>
      <w:bookmarkEnd w:id="301"/>
      <w:bookmarkEnd w:id="302"/>
      <w:bookmarkEnd w:id="303"/>
      <w:bookmarkEnd w:id="304"/>
      <w:bookmarkEnd w:id="305"/>
      <w:bookmarkEnd w:id="306"/>
      <w:bookmarkEnd w:id="307"/>
      <w:bookmarkEnd w:id="308"/>
      <w:bookmarkEnd w:id="310"/>
      <w:bookmarkEnd w:id="311"/>
      <w:bookmarkEnd w:id="312"/>
      <w:bookmarkEnd w:id="313"/>
      <w:bookmarkEnd w:id="314"/>
      <w:bookmarkEnd w:id="315"/>
      <w:r>
        <w:rPr>
          <w:rFonts w:hint="eastAsia" w:ascii="方正小标宋简体" w:eastAsia="方正小标宋简体" w:cs="方正小标宋简体"/>
          <w:b w:val="0"/>
          <w:bCs w:val="0"/>
          <w:sz w:val="36"/>
          <w:szCs w:val="36"/>
          <w:lang w:eastAsia="zh-CN"/>
        </w:rPr>
        <w:t>制度</w:t>
      </w:r>
      <w:bookmarkEnd w:id="309"/>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rPr>
      </w:pPr>
    </w:p>
    <w:p>
      <w:pPr>
        <w:keepNext w:val="0"/>
        <w:keepLines w:val="0"/>
        <w:pageBreakBefore w:val="0"/>
        <w:widowControl w:val="0"/>
        <w:numPr>
          <w:ilvl w:val="0"/>
          <w:numId w:val="7"/>
        </w:numPr>
        <w:tabs>
          <w:tab w:val="left" w:pos="1080"/>
        </w:tabs>
        <w:kinsoku/>
        <w:wordWrap/>
        <w:overflowPunct/>
        <w:topLinePunct w:val="0"/>
        <w:autoSpaceDE/>
        <w:autoSpaceDN/>
        <w:bidi w:val="0"/>
        <w:adjustRightInd/>
        <w:snapToGrid/>
        <w:spacing w:line="240" w:lineRule="atLeast"/>
        <w:ind w:left="0" w:firstLine="0" w:firstLineChars="0"/>
        <w:jc w:val="center"/>
        <w:textAlignment w:val="auto"/>
        <w:outlineLvl w:val="1"/>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rPr>
        <w:t>总</w:t>
      </w:r>
      <w:r>
        <w:rPr>
          <w:rFonts w:hint="eastAsia" w:ascii="方正黑体简体" w:hAnsi="黑体" w:eastAsia="方正黑体简体"/>
          <w:b w:val="0"/>
          <w:bCs w:val="0"/>
          <w:sz w:val="30"/>
          <w:szCs w:val="30"/>
          <w:lang w:val="en-US" w:eastAsia="zh-CN"/>
        </w:rPr>
        <w:t xml:space="preserve">  </w:t>
      </w:r>
      <w:r>
        <w:rPr>
          <w:rFonts w:hint="eastAsia" w:ascii="方正黑体简体" w:hAnsi="黑体" w:eastAsia="方正黑体简体"/>
          <w:b w:val="0"/>
          <w:bCs w:val="0"/>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第一条  </w:t>
      </w:r>
      <w:r>
        <w:rPr>
          <w:rFonts w:hint="eastAsia" w:ascii="方正仿宋简体" w:hAnsi="方正仿宋简体" w:eastAsia="方正仿宋简体" w:cs="方正仿宋简体"/>
          <w:sz w:val="28"/>
          <w:szCs w:val="28"/>
        </w:rPr>
        <w:t>为规范中油南充燃气有限责任公司（以下简称公司）应急物资储备管理，提升公司突发事件的应急管理水平，根据《中华人民共和国突发事件应对法》、《中国石油天然气集团公司突发事件应急物资储备管理办法》、《四川川港燃气有限责任公司突发事件应急物资储备管理实施细则》，结合公司应急管理实际，特制定《中油南充燃气有限责任公司突然发事件应急物资储备管理实施细则》（以下简称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第二条</w:t>
      </w:r>
      <w:r>
        <w:rPr>
          <w:rFonts w:hint="eastAsia" w:ascii="方正仿宋简体" w:hAnsi="方正仿宋简体" w:eastAsia="方正仿宋简体" w:cs="方正仿宋简体"/>
          <w:sz w:val="28"/>
          <w:szCs w:val="28"/>
        </w:rPr>
        <w:t xml:space="preserve">  本办法所指应急物资是指为应对自然灾害、事故灾难、公共卫生、突发事件应急处置过程中所必须的保障性物资。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第三条 </w:t>
      </w:r>
      <w:r>
        <w:rPr>
          <w:rFonts w:hint="eastAsia" w:ascii="方正仿宋简体" w:hAnsi="方正仿宋简体" w:eastAsia="方正仿宋简体" w:cs="方正仿宋简体"/>
          <w:sz w:val="28"/>
          <w:szCs w:val="28"/>
        </w:rPr>
        <w:t xml:space="preserve"> 公司应急物资分为八大类，即安全防护类、消防环保类、工程抢险类、防洪防汛类、应急照明类、通讯广播类、救生物资类、其它应急物资类。本办法分类中未涉及的其它物资在应急状态下优先服从应急抢险的需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第四条 </w:t>
      </w:r>
      <w:r>
        <w:rPr>
          <w:rFonts w:hint="eastAsia" w:ascii="方正仿宋简体" w:hAnsi="方正仿宋简体" w:eastAsia="方正仿宋简体" w:cs="方正仿宋简体"/>
          <w:sz w:val="28"/>
          <w:szCs w:val="28"/>
        </w:rPr>
        <w:t xml:space="preserve"> 公司应急物资管理坚持“定点储存、分级管理、资源共享、专项使用、及时补充”的原则。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第五条 </w:t>
      </w:r>
      <w:r>
        <w:rPr>
          <w:rFonts w:hint="eastAsia" w:ascii="方正仿宋简体" w:hAnsi="方正仿宋简体" w:eastAsia="方正仿宋简体" w:cs="方正仿宋简体"/>
          <w:sz w:val="28"/>
          <w:szCs w:val="28"/>
        </w:rPr>
        <w:t xml:space="preserve"> 应急物资储备管理内容包括应急物资储备、调用、维护保养、报废与处置等方面。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7"/>
        </w:numPr>
        <w:tabs>
          <w:tab w:val="left" w:pos="1080"/>
        </w:tabs>
        <w:kinsoku/>
        <w:wordWrap/>
        <w:overflowPunct/>
        <w:topLinePunct w:val="0"/>
        <w:autoSpaceDE/>
        <w:autoSpaceDN/>
        <w:bidi w:val="0"/>
        <w:adjustRightInd/>
        <w:snapToGrid/>
        <w:spacing w:line="240" w:lineRule="atLeast"/>
        <w:ind w:left="0" w:firstLine="0" w:firstLineChars="0"/>
        <w:jc w:val="center"/>
        <w:textAlignment w:val="auto"/>
        <w:outlineLvl w:val="1"/>
        <w:rPr>
          <w:rFonts w:hint="eastAsia" w:ascii="方正黑体简体" w:hAnsi="黑体" w:eastAsia="方正黑体简体"/>
          <w:b w:val="0"/>
          <w:bCs w:val="0"/>
          <w:sz w:val="30"/>
          <w:szCs w:val="30"/>
        </w:rPr>
      </w:pPr>
      <w:r>
        <w:rPr>
          <w:rFonts w:hint="eastAsia" w:ascii="方正黑体简体" w:hAnsi="黑体" w:eastAsia="方正黑体简体"/>
          <w:b w:val="0"/>
          <w:bCs w:val="0"/>
          <w:sz w:val="30"/>
          <w:szCs w:val="30"/>
        </w:rPr>
        <w:t xml:space="preserve"> 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第六条</w:t>
      </w:r>
      <w:r>
        <w:rPr>
          <w:rFonts w:hint="eastAsia" w:ascii="方正仿宋简体" w:hAnsi="方正仿宋简体" w:eastAsia="方正仿宋简体" w:cs="方正仿宋简体"/>
          <w:b w:val="0"/>
          <w:bCs w:val="0"/>
          <w:sz w:val="28"/>
          <w:szCs w:val="28"/>
        </w:rPr>
        <w:t xml:space="preserve">  公司</w:t>
      </w:r>
      <w:r>
        <w:rPr>
          <w:rFonts w:hint="eastAsia" w:ascii="方正仿宋简体" w:hAnsi="方正仿宋简体" w:eastAsia="方正仿宋简体" w:cs="方正仿宋简体"/>
          <w:b w:val="0"/>
          <w:bCs w:val="0"/>
          <w:sz w:val="28"/>
          <w:szCs w:val="28"/>
          <w:lang w:eastAsia="zh-CN"/>
        </w:rPr>
        <w:t>生产运行部</w:t>
      </w:r>
      <w:r>
        <w:rPr>
          <w:rFonts w:hint="eastAsia" w:ascii="方正仿宋简体" w:hAnsi="方正仿宋简体" w:eastAsia="方正仿宋简体" w:cs="方正仿宋简体"/>
          <w:b w:val="0"/>
          <w:bCs w:val="0"/>
          <w:sz w:val="28"/>
          <w:szCs w:val="28"/>
        </w:rPr>
        <w:t>是应急物资储备管理的归口管理部门。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b w:val="0"/>
          <w:bCs w:val="0"/>
          <w:sz w:val="28"/>
          <w:szCs w:val="28"/>
        </w:rPr>
        <w:t xml:space="preserve">  </w:t>
      </w:r>
      <w:r>
        <w:rPr>
          <w:rFonts w:hint="eastAsia" w:ascii="方正仿宋简体" w:hAnsi="方正仿宋简体" w:eastAsia="方正仿宋简体" w:cs="方正仿宋简体"/>
          <w:b w:val="0"/>
          <w:bCs w:val="0"/>
          <w:sz w:val="28"/>
          <w:szCs w:val="28"/>
          <w:lang w:eastAsia="zh-CN"/>
        </w:rPr>
        <w:t>生产运行部</w:t>
      </w:r>
      <w:r>
        <w:rPr>
          <w:rFonts w:hint="eastAsia" w:ascii="方正仿宋简体" w:hAnsi="方正仿宋简体" w:eastAsia="方正仿宋简体" w:cs="方正仿宋简体"/>
          <w:b w:val="0"/>
          <w:bCs w:val="0"/>
          <w:sz w:val="28"/>
          <w:szCs w:val="28"/>
        </w:rPr>
        <w:t>负责编制公司各级应急物资配备要求分类表（见</w:t>
      </w:r>
      <w:r>
        <w:rPr>
          <w:rFonts w:hint="eastAsia" w:ascii="方正仿宋简体" w:hAnsi="方正仿宋简体" w:eastAsia="方正仿宋简体" w:cs="方正仿宋简体"/>
          <w:sz w:val="28"/>
          <w:szCs w:val="28"/>
        </w:rPr>
        <w:t>附件1）、收集汇总公司各级的应急物资台账（见附件2）；负责督促各基层单位做好应急物资的日常管理工作；负责发生突发事件时应急物资的组织和调用工作。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第八条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为公司应急物资管理部门，负责应急物资的配备、更新及日常管理工作；负责定期编制、更新、上报公司应急物资台账；负责公司的应急物资的储备、组织和调配工作。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9"/>
        <w:rPr>
          <w:rFonts w:hint="eastAsia" w:ascii="方正黑体简体" w:hAnsi="方正黑体简体" w:eastAsia="方正黑体简体" w:cs="方正黑体简体"/>
          <w:b/>
          <w:bCs/>
          <w:sz w:val="30"/>
          <w:szCs w:val="30"/>
        </w:rPr>
      </w:pPr>
      <w:r>
        <w:rPr>
          <w:rFonts w:hint="eastAsia" w:ascii="方正黑体简体" w:hAnsi="方正黑体简体" w:eastAsia="方正黑体简体" w:cs="方正黑体简体"/>
          <w:sz w:val="30"/>
          <w:szCs w:val="30"/>
        </w:rPr>
        <w:t>第三章  应急物资的计划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第九条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每年组织清查一次应急物资情况，并根据清查结果，提出应急物资购置计划，报川港公司应急物资管理部门。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第四章  应急物资的储备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第十条 </w:t>
      </w:r>
      <w:r>
        <w:rPr>
          <w:rFonts w:hint="eastAsia" w:ascii="方正仿宋简体" w:hAnsi="方正仿宋简体" w:eastAsia="方正仿宋简体" w:cs="方正仿宋简体"/>
          <w:sz w:val="28"/>
          <w:szCs w:val="28"/>
        </w:rPr>
        <w:t xml:space="preserve"> 公司应急物资储备按照两级储存、两级管理，即I级（公司级）、II级（场站），各级均需建立覆盖管理区域的应急物资台账并做到账实相符。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sz w:val="28"/>
          <w:szCs w:val="28"/>
        </w:rPr>
        <w:t xml:space="preserve">  应急物资储备管理由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设专人专岗负责。</w:t>
      </w:r>
    </w:p>
    <w:p>
      <w:pPr>
        <w:pStyle w:val="158"/>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第十二条</w:t>
      </w:r>
      <w:r>
        <w:rPr>
          <w:rFonts w:hint="eastAsia" w:ascii="方正仿宋简体" w:hAnsi="方正仿宋简体" w:eastAsia="方正仿宋简体" w:cs="方正仿宋简体"/>
          <w:sz w:val="28"/>
          <w:szCs w:val="28"/>
        </w:rPr>
        <w:t xml:space="preserve">  应急物资的储备管理的其他具体规定，参照《四川川港燃气有限责任公司物资采购管理办法》中“物资仓储管理”执行。</w:t>
      </w:r>
    </w:p>
    <w:p>
      <w:pPr>
        <w:pStyle w:val="158"/>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第五章  应急物资的调用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第十三条 </w:t>
      </w:r>
      <w:r>
        <w:rPr>
          <w:rFonts w:hint="eastAsia" w:ascii="方正仿宋简体" w:hAnsi="方正仿宋简体" w:eastAsia="方正仿宋简体" w:cs="方正仿宋简体"/>
          <w:sz w:val="28"/>
          <w:szCs w:val="28"/>
        </w:rPr>
        <w:t xml:space="preserve"> 公司应急物资只能在发生突发事件、举行应急演练的情况下使用，实行“资源共享、统筹安排”的原则。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第十四条 </w:t>
      </w:r>
      <w:r>
        <w:rPr>
          <w:rFonts w:hint="eastAsia" w:ascii="方正仿宋简体" w:hAnsi="方正仿宋简体" w:eastAsia="方正仿宋简体" w:cs="方正仿宋简体"/>
          <w:sz w:val="28"/>
          <w:szCs w:val="28"/>
        </w:rPr>
        <w:t xml:space="preserve"> 突发事件发生后，事发单位（外委承包商）或站场应先动用本单位（外委承包商）或站场应急物资储备，在公司II级储备库储备物资不能满足的情况下，第一时间调用公司级的应急物资或者跨站场调用应急物资。对跨站场的应急物资调用，由应急领导小组下达指令，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统一调配，所产生的费用按照“谁使用、谁付费”原则，由事发单位承担相应的费用。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第十五条</w:t>
      </w:r>
      <w:r>
        <w:rPr>
          <w:rFonts w:hint="eastAsia" w:ascii="方正仿宋简体" w:hAnsi="方正仿宋简体" w:eastAsia="方正仿宋简体" w:cs="方正仿宋简体"/>
          <w:sz w:val="28"/>
          <w:szCs w:val="28"/>
        </w:rPr>
        <w:t xml:space="preserve">  公司各单位应急物资调用应按规定办理出库手续，紧急情况下可采取先电话报批，后补手续的方式。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第十六条 </w:t>
      </w:r>
      <w:r>
        <w:rPr>
          <w:rFonts w:hint="eastAsia" w:ascii="方正仿宋简体" w:hAnsi="方正仿宋简体" w:eastAsia="方正仿宋简体" w:cs="方正仿宋简体"/>
          <w:sz w:val="28"/>
          <w:szCs w:val="28"/>
        </w:rPr>
        <w:t xml:space="preserve"> 可回收重复使用的应急物资调用后，事发单位应进行清理和整理，初步判定可再使用的，由事发单位组织回收至存储单位，由</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组织检验合格后回收入库。事发单位承担相关费用。</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做好相关物资的使用记录和保养工作。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第十七条</w:t>
      </w:r>
      <w:r>
        <w:rPr>
          <w:rFonts w:hint="eastAsia" w:ascii="方正仿宋简体" w:hAnsi="方正仿宋简体" w:eastAsia="方正仿宋简体" w:cs="方正仿宋简体"/>
          <w:sz w:val="28"/>
          <w:szCs w:val="28"/>
        </w:rPr>
        <w:t xml:space="preserve">  对于技术性强或有一定危险性的应急物资，使用人员要具备相应的资质或技能，以免造成人身伤害。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9"/>
        <w:rPr>
          <w:rFonts w:hint="eastAsia" w:ascii="方正黑体简体" w:hAnsi="黑体" w:eastAsia="方正黑体简体"/>
          <w:sz w:val="30"/>
          <w:szCs w:val="30"/>
        </w:rPr>
      </w:pPr>
      <w:r>
        <w:rPr>
          <w:rFonts w:hint="eastAsia" w:ascii="方正黑体简体" w:hAnsi="黑体" w:eastAsia="方正黑体简体"/>
          <w:sz w:val="30"/>
          <w:szCs w:val="30"/>
        </w:rPr>
        <w:t>第六章  应急物资的维护保养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第十八条 </w:t>
      </w:r>
      <w:r>
        <w:rPr>
          <w:rFonts w:hint="eastAsia" w:ascii="方正仿宋简体" w:hAnsi="方正仿宋简体" w:eastAsia="方正仿宋简体" w:cs="方正仿宋简体"/>
          <w:sz w:val="28"/>
          <w:szCs w:val="28"/>
        </w:rPr>
        <w:t xml:space="preserve"> 应急物资的维护保养应执行公司物资管理的相关规定。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第十九条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应明确人员负责应急设备的保养与维修工作，特种设备送有资质的单位进行检定，确保应急物资使用时处于完好状态。应定期对应急物资储备状况进行检查，并根据检查情况制定维护保养方案，确保应急物资完好备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sz w:val="28"/>
          <w:szCs w:val="28"/>
        </w:rPr>
        <w:t>第二十条</w:t>
      </w:r>
      <w:r>
        <w:rPr>
          <w:rFonts w:hint="eastAsia" w:ascii="方正仿宋简体" w:hAnsi="方正仿宋简体" w:eastAsia="方正仿宋简体" w:cs="方正仿宋简体"/>
          <w:sz w:val="28"/>
          <w:szCs w:val="28"/>
        </w:rPr>
        <w:t xml:space="preserve">  应急物资维护保养人员，应持证上岗、遵守操作规程、定</w:t>
      </w:r>
      <w:r>
        <w:rPr>
          <w:rFonts w:hint="eastAsia" w:ascii="方正仿宋简体" w:eastAsia="方正仿宋简体"/>
          <w:sz w:val="28"/>
          <w:szCs w:val="28"/>
        </w:rPr>
        <w:t>期接受培训，熟悉与本岗位相关的各种应急物资的用途、技术性能及有关使用说明资料。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第七章  应急物资报废与处置</w:t>
      </w:r>
    </w:p>
    <w:p>
      <w:pPr>
        <w:pStyle w:val="158"/>
        <w:keepNext w:val="0"/>
        <w:keepLines w:val="0"/>
        <w:pageBreakBefore w:val="0"/>
        <w:widowControl w:val="0"/>
        <w:kinsoku/>
        <w:wordWrap/>
        <w:overflowPunct/>
        <w:topLinePunct w:val="0"/>
        <w:autoSpaceDE/>
        <w:autoSpaceDN/>
        <w:bidi w:val="0"/>
        <w:adjustRightInd/>
        <w:snapToGrid/>
        <w:spacing w:line="240" w:lineRule="atLeast"/>
        <w:ind w:firstLine="56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第二十一条 </w:t>
      </w:r>
      <w:r>
        <w:rPr>
          <w:rFonts w:hint="eastAsia" w:ascii="方正仿宋简体" w:hAnsi="方正仿宋简体" w:eastAsia="方正仿宋简体" w:cs="方正仿宋简体"/>
          <w:sz w:val="28"/>
          <w:szCs w:val="28"/>
        </w:rPr>
        <w:t xml:space="preserve"> 应急物资的报废参照《四川川港燃气有限责任公司物资采购管理办法》“物资报废”管理执行。</w:t>
      </w:r>
    </w:p>
    <w:p>
      <w:pPr>
        <w:pStyle w:val="158"/>
        <w:keepNext w:val="0"/>
        <w:keepLines w:val="0"/>
        <w:pageBreakBefore w:val="0"/>
        <w:widowControl w:val="0"/>
        <w:kinsoku/>
        <w:wordWrap/>
        <w:overflowPunct/>
        <w:topLinePunct w:val="0"/>
        <w:autoSpaceDE/>
        <w:autoSpaceDN/>
        <w:bidi w:val="0"/>
        <w:adjustRightInd/>
        <w:snapToGrid/>
        <w:spacing w:line="240" w:lineRule="atLeast"/>
        <w:ind w:firstLine="56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第八章  监督与考核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第二十二条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应每年定期更新上报突发事件应急物资台账，</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应定期进行监督检查。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第二十三条 </w:t>
      </w:r>
      <w:r>
        <w:rPr>
          <w:rFonts w:hint="eastAsia" w:ascii="方正仿宋简体" w:hAnsi="方正仿宋简体" w:eastAsia="方正仿宋简体" w:cs="方正仿宋简体"/>
          <w:sz w:val="28"/>
          <w:szCs w:val="28"/>
        </w:rPr>
        <w:t xml:space="preserve"> 任何单位、站场和个人不得以任何理由私自挪用、占用应急物资。违反本实施细则规定，挪用、占用应急储备物资，或因管理不善等人为原因造成物资储备重大损毁和丢失的，由所在单位负责追回或赔偿，并依照公司有关规定追究相关人员的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tabs>
          <w:tab w:val="left" w:pos="1080"/>
        </w:tabs>
        <w:kinsoku/>
        <w:wordWrap/>
        <w:overflowPunct/>
        <w:topLinePunct w:val="0"/>
        <w:autoSpaceDE/>
        <w:autoSpaceDN/>
        <w:bidi w:val="0"/>
        <w:adjustRightInd/>
        <w:snapToGrid/>
        <w:spacing w:line="240" w:lineRule="atLeast"/>
        <w:ind w:left="0" w:firstLine="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第九章  附</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第二十四条  </w:t>
      </w:r>
      <w:r>
        <w:rPr>
          <w:rFonts w:hint="eastAsia" w:ascii="方正仿宋简体" w:hAnsi="方正仿宋简体" w:eastAsia="方正仿宋简体" w:cs="方正仿宋简体"/>
          <w:sz w:val="28"/>
          <w:szCs w:val="28"/>
        </w:rPr>
        <w:t>本实施细则由公司</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第二十五条 </w:t>
      </w:r>
      <w:r>
        <w:rPr>
          <w:rFonts w:hint="eastAsia" w:ascii="方正仿宋简体" w:hAnsi="方正仿宋简体" w:eastAsia="方正仿宋简体" w:cs="方正仿宋简体"/>
          <w:sz w:val="28"/>
          <w:szCs w:val="28"/>
        </w:rPr>
        <w:t xml:space="preserve"> 本实施细则自发布之日起施行。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1541" w:leftChars="267" w:hanging="980" w:hangingChars="35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附件</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lang w:val="en-US" w:eastAsia="zh-CN"/>
        </w:rPr>
        <w:t>1.</w:t>
      </w:r>
      <w:r>
        <w:rPr>
          <w:rFonts w:hint="eastAsia" w:ascii="方正仿宋简体" w:hAnsi="方正仿宋简体" w:eastAsia="方正仿宋简体" w:cs="方正仿宋简体"/>
          <w:sz w:val="28"/>
          <w:szCs w:val="28"/>
        </w:rPr>
        <w:t>中油南充燃气有限责任公司应急物资配备基本要求分类表</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中油南燃司突发事件应急物资台账（表样）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eastAsia="zh-CN"/>
        </w:rPr>
        <w:t>附件</w:t>
      </w:r>
      <w:r>
        <w:rPr>
          <w:rFonts w:hint="eastAsia" w:ascii="方正黑体简体" w:hAnsi="方正黑体简体" w:eastAsia="方正黑体简体" w:cs="方正黑体简体"/>
          <w:sz w:val="32"/>
          <w:szCs w:val="32"/>
          <w:lang w:val="en-US" w:eastAsia="zh-CN"/>
        </w:rPr>
        <w:t>1  应急物资分类与代码</w:t>
      </w:r>
    </w:p>
    <w:tbl>
      <w:tblPr>
        <w:tblStyle w:val="51"/>
        <w:tblW w:w="8868" w:type="dxa"/>
        <w:tblInd w:w="91" w:type="dxa"/>
        <w:tblLayout w:type="fixed"/>
        <w:tblCellMar>
          <w:top w:w="0" w:type="dxa"/>
          <w:left w:w="108" w:type="dxa"/>
          <w:bottom w:w="0" w:type="dxa"/>
          <w:right w:w="108" w:type="dxa"/>
        </w:tblCellMar>
      </w:tblPr>
      <w:tblGrid>
        <w:gridCol w:w="972"/>
        <w:gridCol w:w="896"/>
        <w:gridCol w:w="2548"/>
        <w:gridCol w:w="1068"/>
        <w:gridCol w:w="744"/>
        <w:gridCol w:w="1716"/>
        <w:gridCol w:w="924"/>
      </w:tblGrid>
      <w:tr>
        <w:tblPrEx>
          <w:tblLayout w:type="fixed"/>
          <w:tblCellMar>
            <w:top w:w="0" w:type="dxa"/>
            <w:left w:w="108" w:type="dxa"/>
            <w:bottom w:w="0" w:type="dxa"/>
            <w:right w:w="108" w:type="dxa"/>
          </w:tblCellMar>
        </w:tblPrEx>
        <w:trPr>
          <w:trHeight w:val="456" w:hRule="atLeast"/>
        </w:trPr>
        <w:tc>
          <w:tcPr>
            <w:tcW w:w="186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bookmarkStart w:id="316" w:name="RANGE!A2"/>
            <w:r>
              <w:rPr>
                <w:rFonts w:hint="eastAsia" w:ascii="宋体" w:hAnsi="宋体" w:cs="宋体"/>
                <w:b/>
                <w:bCs/>
                <w:color w:val="000000"/>
                <w:kern w:val="0"/>
                <w:sz w:val="18"/>
                <w:szCs w:val="18"/>
              </w:rPr>
              <w:t>应急物资分类</w:t>
            </w:r>
            <w:bookmarkEnd w:id="316"/>
          </w:p>
        </w:tc>
        <w:tc>
          <w:tcPr>
            <w:tcW w:w="25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应急物资品名</w:t>
            </w:r>
          </w:p>
        </w:tc>
        <w:tc>
          <w:tcPr>
            <w:tcW w:w="106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计量单位</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石油工业物资代码</w:t>
            </w:r>
          </w:p>
        </w:tc>
        <w:tc>
          <w:tcPr>
            <w:tcW w:w="9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Layout w:type="fixed"/>
          <w:tblCellMar>
            <w:top w:w="0" w:type="dxa"/>
            <w:left w:w="108" w:type="dxa"/>
            <w:bottom w:w="0" w:type="dxa"/>
            <w:right w:w="108" w:type="dxa"/>
          </w:tblCellMar>
        </w:tblPrEx>
        <w:trPr>
          <w:trHeight w:val="285" w:hRule="atLeast"/>
        </w:trPr>
        <w:tc>
          <w:tcPr>
            <w:tcW w:w="972" w:type="dxa"/>
            <w:vMerge w:val="restart"/>
            <w:tcBorders>
              <w:top w:val="single" w:color="000000"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       安全防护</w:t>
            </w:r>
          </w:p>
        </w:tc>
        <w:tc>
          <w:tcPr>
            <w:tcW w:w="896" w:type="dxa"/>
            <w:vMerge w:val="restart"/>
            <w:tcBorders>
              <w:top w:val="single" w:color="000000"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个体</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防护</w:t>
            </w:r>
          </w:p>
        </w:tc>
        <w:tc>
          <w:tcPr>
            <w:tcW w:w="2548"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抗静电服</w:t>
            </w:r>
          </w:p>
        </w:tc>
        <w:tc>
          <w:tcPr>
            <w:tcW w:w="1068"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744"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21010402</w:t>
            </w:r>
          </w:p>
        </w:tc>
        <w:tc>
          <w:tcPr>
            <w:tcW w:w="924"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防化服</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21010405</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防护服</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反光背心</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21010426</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安全帽</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21020108</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防静电手套</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副</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21020216</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袖套</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高空安全带</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副</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21050102</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安全绳</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21050104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低帮安全鞋</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高帮鞋套</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尼龙丁晴手套</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化工乳胶手套</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防毒面具</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21070104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防辐射服</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21080105</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防护眼镜</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副</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21080204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正压呼吸器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21090110</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4#滤毒盒</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4#小罐</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化学护目镜</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碗形活性炭口罩</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折叠活性炭口罩</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过滤式防毒面具</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45050202</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检测仪器</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可燃气体检测仪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38160221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多气体检测仪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便携式激光测距仪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8"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bookmarkStart w:id="317" w:name="RANGE!C29"/>
            <w:r>
              <w:rPr>
                <w:rFonts w:hint="eastAsia" w:ascii="宋体" w:hAnsi="宋体" w:cs="宋体"/>
                <w:color w:val="000000"/>
                <w:kern w:val="0"/>
                <w:sz w:val="18"/>
                <w:szCs w:val="18"/>
              </w:rPr>
              <w:t>便携式激光甲烷遥距检漏仪</w:t>
            </w:r>
            <w:bookmarkEnd w:id="317"/>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四氢噻吩浓度检测仪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望远镜</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警戒器材</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安全警示带</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21990114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40"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警戒杆</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29990207</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警示灯</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34070240</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标牌</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60990501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危险警示牌</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风向标</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报警装备</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静电接地报警器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38060709</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有害气体检测报警仪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38160224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声光报警器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45010308</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90"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手摇报警器</w:t>
            </w:r>
          </w:p>
        </w:tc>
        <w:tc>
          <w:tcPr>
            <w:tcW w:w="1068" w:type="dxa"/>
            <w:tcBorders>
              <w:top w:val="nil"/>
              <w:left w:val="nil"/>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45010316</w:t>
            </w:r>
          </w:p>
        </w:tc>
        <w:tc>
          <w:tcPr>
            <w:tcW w:w="924" w:type="dxa"/>
            <w:tcBorders>
              <w:top w:val="nil"/>
              <w:left w:val="nil"/>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89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洗消物资</w:t>
            </w:r>
          </w:p>
        </w:tc>
        <w:tc>
          <w:tcPr>
            <w:tcW w:w="25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强酸、碱洗消器</w:t>
            </w:r>
          </w:p>
        </w:tc>
        <w:tc>
          <w:tcPr>
            <w:tcW w:w="106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89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5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强酸、碱清洗剂</w:t>
            </w:r>
          </w:p>
        </w:tc>
        <w:tc>
          <w:tcPr>
            <w:tcW w:w="106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救生物资</w:t>
            </w:r>
          </w:p>
        </w:tc>
        <w:tc>
          <w:tcPr>
            <w:tcW w:w="896" w:type="dxa"/>
            <w:vMerge w:val="restart"/>
            <w:tcBorders>
              <w:top w:val="single" w:color="000000"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医疗器材</w:t>
            </w:r>
          </w:p>
        </w:tc>
        <w:tc>
          <w:tcPr>
            <w:tcW w:w="2548"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医用手套</w:t>
            </w:r>
          </w:p>
        </w:tc>
        <w:tc>
          <w:tcPr>
            <w:tcW w:w="1068"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副</w:t>
            </w:r>
          </w:p>
        </w:tc>
        <w:tc>
          <w:tcPr>
            <w:tcW w:w="744"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single" w:color="000000"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21090101</w:t>
            </w:r>
          </w:p>
        </w:tc>
        <w:tc>
          <w:tcPr>
            <w:tcW w:w="924" w:type="dxa"/>
            <w:vMerge w:val="restart"/>
            <w:tcBorders>
              <w:top w:val="single" w:color="000000"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依靠地方力量储备</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脱脂棉</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包</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21090102</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医用剪刀</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21090106</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医用镊子</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21090107</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强力弹力绷带</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卷</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防爆手电筒（含电池）</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33030515</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医疗用品</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碘酒</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眼药水</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退烧片</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止痛片</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抗生素</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消毒药水</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藿香正气水</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21990306</w:t>
            </w:r>
          </w:p>
        </w:tc>
        <w:tc>
          <w:tcPr>
            <w:tcW w:w="9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Layout w:type="fixed"/>
          <w:tblCellMar>
            <w:top w:w="0" w:type="dxa"/>
            <w:left w:w="108" w:type="dxa"/>
            <w:bottom w:w="0" w:type="dxa"/>
            <w:right w:w="108" w:type="dxa"/>
          </w:tblCellMar>
        </w:tblPrEx>
        <w:trPr>
          <w:trHeight w:val="285" w:hRule="atLeast"/>
        </w:trPr>
        <w:tc>
          <w:tcPr>
            <w:tcW w:w="9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消防环保</w:t>
            </w: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消防器械</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干粉灭火器（大、小）</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二氧化碳灭火器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具</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45020201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消防锹</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45020505</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消防镐</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45020508</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消防剪断扩张钳</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45020509</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动力锯</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45020520</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防火毯(m2)</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喷淋器(15L/个)</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污染清理</w:t>
            </w: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吸液棉（50片）</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吸液棉（12条/包）</w:t>
            </w:r>
          </w:p>
        </w:tc>
        <w:tc>
          <w:tcPr>
            <w:tcW w:w="106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三合一四氢噻吩消除剂</w:t>
            </w:r>
          </w:p>
        </w:tc>
        <w:tc>
          <w:tcPr>
            <w:tcW w:w="106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570"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四氢噻吩空气除臭剂(500ml/瓶)</w:t>
            </w:r>
          </w:p>
        </w:tc>
        <w:tc>
          <w:tcPr>
            <w:tcW w:w="106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45" w:hRule="atLeast"/>
        </w:trPr>
        <w:tc>
          <w:tcPr>
            <w:tcW w:w="9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(四）      应急照明</w:t>
            </w:r>
          </w:p>
        </w:tc>
        <w:tc>
          <w:tcPr>
            <w:tcW w:w="896" w:type="dxa"/>
            <w:vMerge w:val="restart"/>
            <w:tcBorders>
              <w:top w:val="nil"/>
              <w:left w:val="single" w:color="auto" w:sz="4" w:space="0"/>
              <w:bottom w:val="nil"/>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照明设备</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油渍废弃物防火桶</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救援工具组</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45020518</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移动照明装置</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34070257</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车载照明灯</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防爆探照灯</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33030504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(五）      通讯广播</w:t>
            </w: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防爆手电筒</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33030515</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nil"/>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防爆应急灯</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33030551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通讯设备</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无线对讲机</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35010201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防爆对讲机</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广播器材</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手提喇叭</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34080408</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卫星电话</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(六）      工程抢险</w:t>
            </w:r>
          </w:p>
        </w:tc>
        <w:tc>
          <w:tcPr>
            <w:tcW w:w="89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抢险车辆</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工程抢险车</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堵漏装备</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汽柴油发电机组</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28060401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防爆电潜泵</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手动隔膜抽吸泵</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30"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管卡</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52990304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石棉垫</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53040204</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吸油毡</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06"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塑料薄膜</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橡胶垫</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金属修补剂</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54"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管道场站抢修</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高压阀门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低压阀门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焊机</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弯头</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封头</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钢板</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管线</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剪切破拆</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金属切割器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切管机</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电动套丝机</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液压剪切器</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绝缘电剪钳</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防爆平楸</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40020701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防爆平铲</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把</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40020901</w:t>
            </w:r>
          </w:p>
        </w:tc>
        <w:tc>
          <w:tcPr>
            <w:tcW w:w="924" w:type="dxa"/>
            <w:tcBorders>
              <w:top w:val="nil"/>
              <w:left w:val="nil"/>
              <w:bottom w:val="single" w:color="auto" w:sz="4" w:space="0"/>
              <w:right w:val="single" w:color="auto" w:sz="4" w:space="0"/>
            </w:tcBorders>
            <w:vAlign w:val="top"/>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防爆套装组合工具</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bookmarkStart w:id="318" w:name="RANGE!D104"/>
            <w:r>
              <w:rPr>
                <w:rFonts w:hint="eastAsia" w:ascii="宋体" w:hAnsi="宋体" w:cs="宋体"/>
                <w:color w:val="000000"/>
                <w:kern w:val="0"/>
                <w:sz w:val="18"/>
                <w:szCs w:val="18"/>
              </w:rPr>
              <w:t>套</w:t>
            </w:r>
            <w:bookmarkEnd w:id="318"/>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40021301</w:t>
            </w:r>
          </w:p>
        </w:tc>
        <w:tc>
          <w:tcPr>
            <w:tcW w:w="924" w:type="dxa"/>
            <w:tcBorders>
              <w:top w:val="nil"/>
              <w:left w:val="nil"/>
              <w:bottom w:val="single" w:color="auto" w:sz="4" w:space="0"/>
              <w:right w:val="single" w:color="auto" w:sz="4" w:space="0"/>
            </w:tcBorders>
            <w:vAlign w:val="top"/>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58" w:hRule="atLeast"/>
        </w:trPr>
        <w:tc>
          <w:tcPr>
            <w:tcW w:w="9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(七）      防洪防汛</w:t>
            </w: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防汛物品</w:t>
            </w: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雨衣</w:t>
            </w:r>
          </w:p>
        </w:tc>
        <w:tc>
          <w:tcPr>
            <w:tcW w:w="106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米</w:t>
            </w:r>
          </w:p>
        </w:tc>
        <w:tc>
          <w:tcPr>
            <w:tcW w:w="744"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both"/>
              <w:rPr>
                <w:rFonts w:ascii="宋体" w:hAnsi="宋体" w:cs="宋体"/>
                <w:color w:val="000000"/>
                <w:kern w:val="0"/>
                <w:sz w:val="18"/>
                <w:szCs w:val="18"/>
              </w:rPr>
            </w:pPr>
          </w:p>
        </w:tc>
        <w:tc>
          <w:tcPr>
            <w:tcW w:w="924" w:type="dxa"/>
            <w:tcBorders>
              <w:top w:val="nil"/>
              <w:left w:val="nil"/>
              <w:bottom w:val="single" w:color="auto" w:sz="4" w:space="0"/>
              <w:right w:val="single" w:color="auto" w:sz="4" w:space="0"/>
            </w:tcBorders>
            <w:vAlign w:val="top"/>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雨靴</w:t>
            </w:r>
          </w:p>
        </w:tc>
        <w:tc>
          <w:tcPr>
            <w:tcW w:w="106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双</w:t>
            </w:r>
          </w:p>
        </w:tc>
        <w:tc>
          <w:tcPr>
            <w:tcW w:w="744"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top"/>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防水棉衣</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防汛沙袋</w:t>
            </w:r>
          </w:p>
        </w:tc>
        <w:tc>
          <w:tcPr>
            <w:tcW w:w="106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袋</w:t>
            </w:r>
          </w:p>
        </w:tc>
        <w:tc>
          <w:tcPr>
            <w:tcW w:w="744"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top"/>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水上救生</w:t>
            </w: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救生艇</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艘</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29035601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冲锋舟</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艘</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救生圈</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60051201</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救生衣</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套</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21010413</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麻袋</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麻绳</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根</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铁锹</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铁铲</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抽水泵</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285" w:hRule="atLeast"/>
        </w:trPr>
        <w:tc>
          <w:tcPr>
            <w:tcW w:w="97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(八）      其他物资</w:t>
            </w:r>
          </w:p>
        </w:tc>
        <w:tc>
          <w:tcPr>
            <w:tcW w:w="89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防震物资</w:t>
            </w: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帐篷</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顶</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330" w:hRule="atLeast"/>
        </w:trPr>
        <w:tc>
          <w:tcPr>
            <w:tcW w:w="9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89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548" w:type="dxa"/>
            <w:tcBorders>
              <w:top w:val="nil"/>
              <w:left w:val="nil"/>
              <w:bottom w:val="single" w:color="auto" w:sz="4" w:space="0"/>
              <w:right w:val="single" w:color="auto" w:sz="4" w:space="0"/>
            </w:tcBorders>
            <w:vAlign w:val="to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防震应急包</w:t>
            </w:r>
          </w:p>
        </w:tc>
        <w:tc>
          <w:tcPr>
            <w:tcW w:w="106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个</w:t>
            </w:r>
          </w:p>
        </w:tc>
        <w:tc>
          <w:tcPr>
            <w:tcW w:w="7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24"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Layout w:type="fixed"/>
          <w:tblCellMar>
            <w:top w:w="0" w:type="dxa"/>
            <w:left w:w="108" w:type="dxa"/>
            <w:bottom w:w="0" w:type="dxa"/>
            <w:right w:w="108" w:type="dxa"/>
          </w:tblCellMar>
        </w:tblPrEx>
        <w:trPr>
          <w:trHeight w:val="885" w:hRule="atLeast"/>
        </w:trPr>
        <w:tc>
          <w:tcPr>
            <w:tcW w:w="8868" w:type="dxa"/>
            <w:gridSpan w:val="7"/>
            <w:tcBorders>
              <w:top w:val="single" w:color="auto" w:sz="4" w:space="0"/>
              <w:left w:val="nil"/>
              <w:bottom w:val="nil"/>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说明：1、此表为川港公司应急物资的配备参考，公司应根据实际情况配备应急物资。</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 xml:space="preserve">     2、此表包含了燃气加臭应配备的应急物资。</w:t>
            </w:r>
          </w:p>
        </w:tc>
      </w:tr>
    </w:tbl>
    <w:p>
      <w:pPr>
        <w:rPr>
          <w:rFonts w:hint="eastAsia" w:ascii="方正小标宋简体" w:eastAsia="方正小标宋简体"/>
          <w:sz w:val="36"/>
          <w:szCs w:val="36"/>
        </w:rPr>
        <w:sectPr>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bookmarkStart w:id="319" w:name="_Toc23304"/>
      <w:bookmarkStart w:id="320" w:name="_Toc8675"/>
      <w:bookmarkStart w:id="321" w:name="_Toc13185"/>
      <w:bookmarkStart w:id="322" w:name="_Toc2898"/>
      <w:bookmarkStart w:id="323" w:name="_Toc14611"/>
      <w:bookmarkStart w:id="324" w:name="_Toc10306"/>
      <w:bookmarkStart w:id="325" w:name="_Toc9730"/>
      <w:bookmarkStart w:id="326" w:name="_Toc5318"/>
      <w:bookmarkStart w:id="327" w:name="_Toc9363"/>
      <w:bookmarkStart w:id="328" w:name="_Toc8775"/>
    </w:p>
    <w:tbl>
      <w:tblPr>
        <w:tblStyle w:val="52"/>
        <w:tblW w:w="13836"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74"/>
        <w:gridCol w:w="874"/>
        <w:gridCol w:w="874"/>
        <w:gridCol w:w="621"/>
        <w:gridCol w:w="1127"/>
        <w:gridCol w:w="874"/>
        <w:gridCol w:w="874"/>
        <w:gridCol w:w="875"/>
        <w:gridCol w:w="875"/>
        <w:gridCol w:w="875"/>
        <w:gridCol w:w="875"/>
        <w:gridCol w:w="875"/>
        <w:gridCol w:w="875"/>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6" w:type="dxa"/>
            <w:gridSpan w:val="15"/>
          </w:tcPr>
          <w:p>
            <w:pPr>
              <w:jc w:val="center"/>
              <w:rPr>
                <w:rFonts w:hint="eastAsia" w:ascii="方正小标宋简体" w:eastAsia="方正小标宋简体"/>
                <w:sz w:val="36"/>
                <w:szCs w:val="36"/>
                <w:vertAlign w:val="baseline"/>
                <w:lang w:eastAsia="zh-CN"/>
              </w:rPr>
            </w:pPr>
            <w:r>
              <w:rPr>
                <w:rFonts w:hint="eastAsia" w:ascii="方正小标宋简体" w:eastAsia="方正小标宋简体"/>
                <w:sz w:val="36"/>
                <w:szCs w:val="36"/>
                <w:vertAlign w:val="baseline"/>
                <w:lang w:eastAsia="zh-CN"/>
              </w:rPr>
              <w:t>中油南燃司突发事件应急物资管理台账（表样）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36" w:type="dxa"/>
            <w:gridSpan w:val="15"/>
          </w:tcPr>
          <w:p>
            <w:pPr>
              <w:rPr>
                <w:rFonts w:hint="eastAsia" w:ascii="方正小标宋简体" w:eastAsia="方正小标宋简体"/>
                <w:sz w:val="36"/>
                <w:szCs w:val="36"/>
                <w:vertAlign w:val="baseline"/>
                <w:lang w:eastAsia="zh-CN"/>
              </w:rPr>
            </w:pPr>
            <w:r>
              <w:rPr>
                <w:rFonts w:hint="eastAsia" w:ascii="方正仿宋简体" w:hAnsi="方正仿宋简体" w:eastAsia="方正仿宋简体" w:cs="方正仿宋简体"/>
                <w:sz w:val="28"/>
                <w:szCs w:val="28"/>
                <w:vertAlign w:val="baseline"/>
                <w:lang w:eastAsia="zh-CN"/>
              </w:rPr>
              <w:t>填报单位：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777" w:type="dxa"/>
            <w:vMerge w:val="restart"/>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序号</w:t>
            </w:r>
          </w:p>
        </w:tc>
        <w:tc>
          <w:tcPr>
            <w:tcW w:w="1748" w:type="dxa"/>
            <w:gridSpan w:val="2"/>
            <w:vMerge w:val="restart"/>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物资分类</w:t>
            </w:r>
          </w:p>
        </w:tc>
        <w:tc>
          <w:tcPr>
            <w:tcW w:w="874" w:type="dxa"/>
            <w:vMerge w:val="restart"/>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物资名称</w:t>
            </w:r>
          </w:p>
        </w:tc>
        <w:tc>
          <w:tcPr>
            <w:tcW w:w="1748" w:type="dxa"/>
            <w:gridSpan w:val="2"/>
            <w:vMerge w:val="restart"/>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储备点</w:t>
            </w:r>
          </w:p>
        </w:tc>
        <w:tc>
          <w:tcPr>
            <w:tcW w:w="874" w:type="dxa"/>
            <w:vMerge w:val="restart"/>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物资代码</w:t>
            </w:r>
          </w:p>
        </w:tc>
        <w:tc>
          <w:tcPr>
            <w:tcW w:w="4374" w:type="dxa"/>
            <w:gridSpan w:val="5"/>
            <w:vMerge w:val="restart"/>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基本情况</w:t>
            </w:r>
          </w:p>
        </w:tc>
        <w:tc>
          <w:tcPr>
            <w:tcW w:w="1750" w:type="dxa"/>
            <w:gridSpan w:val="2"/>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库存现状</w:t>
            </w:r>
          </w:p>
        </w:tc>
        <w:tc>
          <w:tcPr>
            <w:tcW w:w="1691" w:type="dxa"/>
            <w:vMerge w:val="restart"/>
            <w:vAlign w:val="center"/>
          </w:tcPr>
          <w:p>
            <w:pPr>
              <w:jc w:val="center"/>
              <w:rPr>
                <w:rFonts w:hint="eastAsia" w:ascii="方正仿宋简体" w:hAnsi="方正仿宋简体" w:eastAsia="方正仿宋简体" w:cs="方正仿宋简体"/>
                <w:sz w:val="28"/>
                <w:szCs w:val="28"/>
                <w:vertAlign w:val="baseline"/>
              </w:rPr>
            </w:pPr>
            <w:r>
              <w:rPr>
                <w:rFonts w:hint="eastAsia" w:ascii="方正仿宋简体" w:hAnsi="方正仿宋简体" w:eastAsia="方正仿宋简体" w:cs="方正仿宋简体"/>
                <w:sz w:val="18"/>
                <w:szCs w:val="18"/>
                <w:vertAlign w:val="baseline"/>
                <w:lang w:eastAsia="zh-CN"/>
              </w:rPr>
              <w:t>代储单位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777" w:type="dxa"/>
            <w:vMerge w:val="continue"/>
            <w:vAlign w:val="center"/>
          </w:tcPr>
          <w:p/>
        </w:tc>
        <w:tc>
          <w:tcPr>
            <w:tcW w:w="1748" w:type="dxa"/>
            <w:gridSpan w:val="2"/>
            <w:vMerge w:val="continue"/>
            <w:vAlign w:val="center"/>
          </w:tcPr>
          <w:p/>
        </w:tc>
        <w:tc>
          <w:tcPr>
            <w:tcW w:w="874" w:type="dxa"/>
            <w:vMerge w:val="continue"/>
            <w:vAlign w:val="center"/>
          </w:tcPr>
          <w:p/>
        </w:tc>
        <w:tc>
          <w:tcPr>
            <w:tcW w:w="1748" w:type="dxa"/>
            <w:gridSpan w:val="2"/>
            <w:vMerge w:val="continue"/>
            <w:vAlign w:val="center"/>
          </w:tcPr>
          <w:p/>
        </w:tc>
        <w:tc>
          <w:tcPr>
            <w:tcW w:w="874" w:type="dxa"/>
            <w:vMerge w:val="continue"/>
            <w:vAlign w:val="center"/>
          </w:tcPr>
          <w:p/>
        </w:tc>
        <w:tc>
          <w:tcPr>
            <w:tcW w:w="4374" w:type="dxa"/>
            <w:gridSpan w:val="5"/>
            <w:vMerge w:val="continue"/>
            <w:vAlign w:val="center"/>
          </w:tcP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完好</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非完好</w:t>
            </w:r>
          </w:p>
        </w:tc>
        <w:tc>
          <w:tcPr>
            <w:tcW w:w="1691" w:type="dxa"/>
            <w:vMerge w:val="continue"/>
            <w:vAlign w:val="center"/>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vMerge w:val="continue"/>
            <w:vAlign w:val="center"/>
          </w:tcPr>
          <w:p>
            <w:pPr>
              <w:jc w:val="center"/>
              <w:rPr>
                <w:rFonts w:hint="eastAsia" w:ascii="方正仿宋简体" w:hAnsi="方正仿宋简体" w:eastAsia="方正仿宋简体" w:cs="方正仿宋简体"/>
                <w:sz w:val="18"/>
                <w:szCs w:val="18"/>
                <w:vertAlign w:val="baseline"/>
              </w:rPr>
            </w:pPr>
          </w:p>
        </w:tc>
        <w:tc>
          <w:tcPr>
            <w:tcW w:w="874" w:type="dxa"/>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大类</w:t>
            </w:r>
          </w:p>
        </w:tc>
        <w:tc>
          <w:tcPr>
            <w:tcW w:w="874" w:type="dxa"/>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小类</w:t>
            </w:r>
          </w:p>
        </w:tc>
        <w:tc>
          <w:tcPr>
            <w:tcW w:w="874" w:type="dxa"/>
            <w:vMerge w:val="continue"/>
            <w:vAlign w:val="center"/>
          </w:tcPr>
          <w:p>
            <w:pPr>
              <w:jc w:val="center"/>
              <w:rPr>
                <w:rFonts w:hint="eastAsia" w:ascii="方正仿宋简体" w:hAnsi="方正仿宋简体" w:eastAsia="方正仿宋简体" w:cs="方正仿宋简体"/>
                <w:sz w:val="18"/>
                <w:szCs w:val="18"/>
                <w:vertAlign w:val="baseline"/>
              </w:rPr>
            </w:pPr>
          </w:p>
        </w:tc>
        <w:tc>
          <w:tcPr>
            <w:tcW w:w="621" w:type="dxa"/>
            <w:vAlign w:val="center"/>
          </w:tcPr>
          <w:p>
            <w:pPr>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库名</w:t>
            </w:r>
          </w:p>
        </w:tc>
        <w:tc>
          <w:tcPr>
            <w:tcW w:w="1127"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储备库级别（Ⅰ、Ⅱ、Ⅲ）</w:t>
            </w:r>
          </w:p>
        </w:tc>
        <w:tc>
          <w:tcPr>
            <w:tcW w:w="874" w:type="dxa"/>
            <w:vMerge w:val="continue"/>
            <w:vAlign w:val="center"/>
          </w:tcPr>
          <w:p>
            <w:pPr>
              <w:jc w:val="center"/>
              <w:rPr>
                <w:rFonts w:hint="eastAsia" w:ascii="方正仿宋简体" w:hAnsi="方正仿宋简体" w:eastAsia="方正仿宋简体" w:cs="方正仿宋简体"/>
                <w:sz w:val="18"/>
                <w:szCs w:val="18"/>
                <w:vertAlign w:val="baseline"/>
              </w:rPr>
            </w:pPr>
          </w:p>
        </w:tc>
        <w:tc>
          <w:tcPr>
            <w:tcW w:w="874"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规格型号</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生产厂商</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生产日期</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有效使用期</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数量</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数量</w:t>
            </w:r>
          </w:p>
        </w:tc>
        <w:tc>
          <w:tcPr>
            <w:tcW w:w="875" w:type="dxa"/>
            <w:vAlign w:val="center"/>
          </w:tcPr>
          <w:p>
            <w:pPr>
              <w:ind w:left="0" w:leftChars="0"/>
              <w:jc w:val="center"/>
              <w:rPr>
                <w:rFonts w:hint="eastAsia" w:ascii="方正仿宋简体" w:hAnsi="方正仿宋简体" w:eastAsia="方正仿宋简体" w:cs="方正仿宋简体"/>
                <w:sz w:val="18"/>
                <w:szCs w:val="18"/>
                <w:vertAlign w:val="baseline"/>
                <w:lang w:eastAsia="zh-CN"/>
              </w:rPr>
            </w:pPr>
            <w:r>
              <w:rPr>
                <w:rFonts w:hint="eastAsia" w:ascii="方正仿宋简体" w:hAnsi="方正仿宋简体" w:eastAsia="方正仿宋简体" w:cs="方正仿宋简体"/>
                <w:sz w:val="18"/>
                <w:szCs w:val="18"/>
                <w:vertAlign w:val="baseline"/>
                <w:lang w:eastAsia="zh-CN"/>
              </w:rPr>
              <w:t>数量</w:t>
            </w:r>
          </w:p>
        </w:tc>
        <w:tc>
          <w:tcPr>
            <w:tcW w:w="1691" w:type="dxa"/>
            <w:vMerge w:val="continue"/>
            <w:vAlign w:val="center"/>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621" w:type="dxa"/>
          </w:tcPr>
          <w:p>
            <w:pPr>
              <w:rPr>
                <w:rFonts w:hint="eastAsia" w:ascii="方正仿宋简体" w:hAnsi="方正仿宋简体" w:eastAsia="方正仿宋简体" w:cs="方正仿宋简体"/>
                <w:sz w:val="28"/>
                <w:szCs w:val="28"/>
                <w:vertAlign w:val="baseline"/>
              </w:rPr>
            </w:pPr>
          </w:p>
        </w:tc>
        <w:tc>
          <w:tcPr>
            <w:tcW w:w="1127"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4"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875" w:type="dxa"/>
          </w:tcPr>
          <w:p>
            <w:pPr>
              <w:rPr>
                <w:rFonts w:hint="eastAsia" w:ascii="方正仿宋简体" w:hAnsi="方正仿宋简体" w:eastAsia="方正仿宋简体" w:cs="方正仿宋简体"/>
                <w:sz w:val="28"/>
                <w:szCs w:val="28"/>
                <w:vertAlign w:val="baseline"/>
              </w:rPr>
            </w:pPr>
          </w:p>
        </w:tc>
        <w:tc>
          <w:tcPr>
            <w:tcW w:w="1691" w:type="dxa"/>
          </w:tcPr>
          <w:p>
            <w:pPr>
              <w:rPr>
                <w:rFonts w:hint="eastAsia" w:ascii="方正仿宋简体" w:hAnsi="方正仿宋简体" w:eastAsia="方正仿宋简体" w:cs="方正仿宋简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621" w:type="dxa"/>
          </w:tcPr>
          <w:p>
            <w:pPr>
              <w:rPr>
                <w:rFonts w:hint="eastAsia" w:ascii="方正小标宋简体" w:eastAsia="方正小标宋简体"/>
                <w:sz w:val="36"/>
                <w:szCs w:val="36"/>
                <w:vertAlign w:val="baseline"/>
              </w:rPr>
            </w:pPr>
          </w:p>
        </w:tc>
        <w:tc>
          <w:tcPr>
            <w:tcW w:w="1127"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1691" w:type="dxa"/>
          </w:tcPr>
          <w:p>
            <w:pPr>
              <w:rPr>
                <w:rFonts w:hint="eastAsia" w:ascii="方正小标宋简体" w:eastAsia="方正小标宋简体"/>
                <w:sz w:val="36"/>
                <w:szCs w:val="3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621" w:type="dxa"/>
          </w:tcPr>
          <w:p>
            <w:pPr>
              <w:rPr>
                <w:rFonts w:hint="eastAsia" w:ascii="方正小标宋简体" w:eastAsia="方正小标宋简体"/>
                <w:sz w:val="36"/>
                <w:szCs w:val="36"/>
                <w:vertAlign w:val="baseline"/>
              </w:rPr>
            </w:pPr>
          </w:p>
        </w:tc>
        <w:tc>
          <w:tcPr>
            <w:tcW w:w="1127"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4"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875" w:type="dxa"/>
          </w:tcPr>
          <w:p>
            <w:pPr>
              <w:rPr>
                <w:rFonts w:hint="eastAsia" w:ascii="方正小标宋简体" w:eastAsia="方正小标宋简体"/>
                <w:sz w:val="36"/>
                <w:szCs w:val="36"/>
                <w:vertAlign w:val="baseline"/>
              </w:rPr>
            </w:pPr>
          </w:p>
        </w:tc>
        <w:tc>
          <w:tcPr>
            <w:tcW w:w="1691" w:type="dxa"/>
          </w:tcPr>
          <w:p>
            <w:pPr>
              <w:rPr>
                <w:rFonts w:hint="eastAsia" w:ascii="方正小标宋简体" w:eastAsia="方正小标宋简体"/>
                <w:sz w:val="36"/>
                <w:szCs w:val="36"/>
                <w:vertAlign w:val="baseline"/>
              </w:rPr>
            </w:pPr>
          </w:p>
        </w:tc>
      </w:tr>
    </w:tbl>
    <w:p>
      <w:pPr>
        <w:rPr>
          <w:rFonts w:hint="eastAsia" w:ascii="方正小标宋简体" w:eastAsia="方正小标宋简体"/>
          <w:sz w:val="36"/>
          <w:szCs w:val="36"/>
        </w:rPr>
        <w:sectPr>
          <w:pgSz w:w="16838" w:h="11906" w:orient="landscape"/>
          <w:pgMar w:top="1531" w:right="1531" w:bottom="1531" w:left="1531"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eastAsia="方正小标宋简体"/>
          <w:sz w:val="36"/>
          <w:szCs w:val="36"/>
          <w:lang w:eastAsia="zh-CN"/>
        </w:rPr>
      </w:pPr>
      <w:bookmarkStart w:id="329" w:name="_Toc18922"/>
      <w:bookmarkStart w:id="330" w:name="_Toc23383"/>
      <w:bookmarkStart w:id="331" w:name="_Toc19909"/>
      <w:bookmarkStart w:id="332" w:name="_Toc13579"/>
      <w:bookmarkStart w:id="333" w:name="_Toc10672"/>
      <w:bookmarkStart w:id="334" w:name="_Toc12198"/>
      <w:bookmarkStart w:id="335" w:name="_Toc13479"/>
      <w:bookmarkStart w:id="336" w:name="_Toc24799"/>
      <w:r>
        <w:rPr>
          <w:rFonts w:hint="eastAsia" w:ascii="方正小标宋简体" w:eastAsia="方正小标宋简体"/>
          <w:sz w:val="36"/>
          <w:szCs w:val="36"/>
        </w:rPr>
        <w:t>中油南充燃气有限责任公司自然灾害防治管理</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rFonts w:hint="eastAsia" w:ascii="方正小标宋简体" w:eastAsia="方正小标宋简体"/>
          <w:sz w:val="36"/>
          <w:szCs w:val="36"/>
          <w:lang w:eastAsia="zh-CN"/>
        </w:rPr>
        <w:t>制度</w:t>
      </w:r>
      <w:bookmarkEnd w:id="33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eastAsia="方正小标宋简体"/>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第一章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第一条</w:t>
      </w:r>
      <w:r>
        <w:rPr>
          <w:rFonts w:hint="eastAsia" w:ascii="方正仿宋简体" w:eastAsia="方正仿宋简体"/>
          <w:sz w:val="28"/>
          <w:szCs w:val="28"/>
        </w:rPr>
        <w:t xml:space="preserve">  为最大限度降低自然灾害损失，确保中油南充燃气有限责任公司（以下简称公司）员工生命和财产安全，规范自然灾害防治管理工作，保障生产建设顺利进行，根据《中华人民共和国防洪法》、《中华人民共和国突发事件应对法》、《</w:t>
      </w:r>
      <w:r>
        <w:rPr>
          <w:rFonts w:ascii="方正仿宋简体" w:eastAsia="方正仿宋简体"/>
          <w:sz w:val="28"/>
          <w:szCs w:val="28"/>
        </w:rPr>
        <w:t>中华人民共和国安全生产法</w:t>
      </w:r>
      <w:r>
        <w:rPr>
          <w:rFonts w:hint="eastAsia" w:ascii="方正仿宋简体" w:eastAsia="方正仿宋简体"/>
          <w:sz w:val="28"/>
          <w:szCs w:val="28"/>
        </w:rPr>
        <w:t>》、《</w:t>
      </w:r>
      <w:r>
        <w:rPr>
          <w:rFonts w:ascii="方正仿宋简体" w:eastAsia="方正仿宋简体"/>
          <w:sz w:val="28"/>
          <w:szCs w:val="28"/>
        </w:rPr>
        <w:t>中华人民共和国环境保护法</w:t>
      </w:r>
      <w:r>
        <w:rPr>
          <w:rFonts w:hint="eastAsia" w:ascii="方正仿宋简体" w:eastAsia="方正仿宋简体"/>
          <w:sz w:val="28"/>
          <w:szCs w:val="28"/>
        </w:rPr>
        <w:t>》、《地质灾害防治条例》、《破坏性地震应急条例》、《自然灾害救助条例》等国家法律、法规以及《四川川港燃气有限责任公司自然灾害防治管理实施细则》（川港司生〔2017〕19号），结合公司辖区自然环境及工作实际，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第二条</w:t>
      </w:r>
      <w:r>
        <w:rPr>
          <w:rFonts w:hint="eastAsia" w:ascii="方正仿宋简体" w:eastAsia="方正仿宋简体"/>
          <w:sz w:val="28"/>
          <w:szCs w:val="28"/>
        </w:rPr>
        <w:t xml:space="preserve"> </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公司自然灾害防治管理工作实行行政领导第一责任人负责制。实行“安全第一，预防为主，常备不懈，防治结合”的自然灾害防治管理方针和“科学防灾，依法应对，源头控制，治早治小”的防灾减灾指导思想，遵循“以人为本，群测群防，直线责任，属地管理”的原则，秉承“抓早治小防大”的工作思路，确保员工生命财产安全和生产安全平稳运行，最大限度降低灾害损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第三条 </w:t>
      </w:r>
      <w:r>
        <w:rPr>
          <w:rFonts w:hint="eastAsia" w:ascii="方正仿宋简体" w:eastAsia="方正仿宋简体"/>
          <w:sz w:val="28"/>
          <w:szCs w:val="28"/>
        </w:rPr>
        <w:t xml:space="preserve"> 本办法中的自然灾害主要包括：</w:t>
      </w:r>
      <w:r>
        <w:rPr>
          <w:rFonts w:ascii="方正仿宋简体" w:eastAsia="方正仿宋简体"/>
          <w:sz w:val="28"/>
          <w:szCs w:val="28"/>
        </w:rPr>
        <w:tab/>
      </w:r>
      <w:r>
        <w:rPr>
          <w:rFonts w:hint="eastAsia" w:ascii="方正仿宋简体" w:eastAsia="方正仿宋简体"/>
          <w:sz w:val="28"/>
          <w:szCs w:val="28"/>
        </w:rPr>
        <w:t>洪汛灾害（江河洪水、渍涝灾害、山洪灾害、水库垮坝、堤防决口、水闸倒塌等）、气象灾害（冰雹、暴雨、暴雪、龙卷风、大风、雷电等）、地质灾害（山体崩塌、地裂缝、滑坡、泥石流、地面塌陷等）、地震灾害以及其它自然灾害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第四条</w:t>
      </w:r>
      <w:r>
        <w:rPr>
          <w:rFonts w:hint="eastAsia" w:ascii="方正仿宋简体" w:eastAsia="方正仿宋简体"/>
          <w:sz w:val="28"/>
          <w:szCs w:val="28"/>
        </w:rPr>
        <w:t xml:space="preserve">  本办法将“自然灾害隐患治理及损毁修复治理项目”简称为“灾害治理项目”，指在生产过程中因自然灾害隐患可能造成或因自然灾害造成公司固定资产原有部分功能或主要功能不能正常发挥或丧失，不能满足和发挥正常的生产能力、设备性能及安全生产需要而实施的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FF0000"/>
          <w:sz w:val="28"/>
          <w:szCs w:val="28"/>
        </w:rPr>
      </w:pPr>
      <w:r>
        <w:rPr>
          <w:rFonts w:hint="eastAsia" w:ascii="方正仿宋简体" w:eastAsia="方正仿宋简体"/>
          <w:sz w:val="28"/>
          <w:szCs w:val="28"/>
        </w:rPr>
        <w:t>按照分级管理的原则，将灾害治理项目分为分公司控制项目（以下简称“分控项目”）和川港公司自控项目（以下简称“自控项目”）两部分，公司作为三级基层单位不能自行立项灾害治理项目。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（一）分控项目是为保证分公司生产安全正常运行，集中部分资金，部分解决生产中的重点、难点问题而安排的项目；原则上单项修复费用在30万元及以上的</w:t>
      </w:r>
      <w:r>
        <w:rPr>
          <w:rFonts w:ascii="方正仿宋简体" w:eastAsia="方正仿宋简体"/>
          <w:sz w:val="28"/>
          <w:szCs w:val="28"/>
        </w:rPr>
        <w:t>项目</w:t>
      </w:r>
      <w:r>
        <w:rPr>
          <w:rFonts w:hint="eastAsia" w:ascii="方正仿宋简体" w:eastAsia="方正仿宋简体"/>
          <w:sz w:val="28"/>
          <w:szCs w:val="28"/>
        </w:rPr>
        <w:t>为分控项目。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FF0000"/>
          <w:sz w:val="28"/>
          <w:szCs w:val="28"/>
        </w:rPr>
      </w:pPr>
      <w:r>
        <w:rPr>
          <w:rFonts w:hint="eastAsia" w:ascii="方正仿宋简体" w:eastAsia="方正仿宋简体"/>
          <w:sz w:val="28"/>
          <w:szCs w:val="28"/>
        </w:rPr>
        <w:t>（二）自控项目费用由四川川港成本费用自行承担。原则上单项修复费用在30万元以下的</w:t>
      </w:r>
      <w:r>
        <w:rPr>
          <w:rFonts w:ascii="方正仿宋简体" w:eastAsia="方正仿宋简体"/>
          <w:sz w:val="28"/>
          <w:szCs w:val="28"/>
        </w:rPr>
        <w:t>项目</w:t>
      </w:r>
      <w:r>
        <w:rPr>
          <w:rFonts w:hint="eastAsia" w:ascii="方正仿宋简体" w:eastAsia="方正仿宋简体"/>
          <w:sz w:val="28"/>
          <w:szCs w:val="28"/>
        </w:rPr>
        <w:t>为自控项目。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宋体" w:eastAsia="方正仿宋简体"/>
          <w:color w:val="000000"/>
          <w:sz w:val="28"/>
          <w:szCs w:val="28"/>
        </w:rPr>
      </w:pPr>
      <w:r>
        <w:rPr>
          <w:rFonts w:hint="eastAsia" w:ascii="方正仿宋简体" w:eastAsia="方正仿宋简体"/>
          <w:b/>
          <w:sz w:val="28"/>
          <w:szCs w:val="28"/>
        </w:rPr>
        <w:t>第五条</w:t>
      </w:r>
      <w:r>
        <w:rPr>
          <w:rFonts w:hint="eastAsia" w:ascii="方正仿宋简体" w:eastAsia="方正仿宋简体"/>
          <w:sz w:val="28"/>
          <w:szCs w:val="28"/>
        </w:rPr>
        <w:t xml:space="preserve">  </w:t>
      </w:r>
      <w:r>
        <w:rPr>
          <w:rFonts w:hint="eastAsia" w:ascii="方正仿宋简体" w:hAnsi="宋体" w:eastAsia="方正仿宋简体"/>
          <w:color w:val="000000"/>
          <w:sz w:val="28"/>
          <w:szCs w:val="28"/>
        </w:rPr>
        <w:t>本细则适用于公司燃气管理辖区内的自然灾害防治及治理工作。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第二章  管理机构及职责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hAnsi="方正仿宋简体" w:eastAsia="方正仿宋简体" w:cs="方正仿宋简体"/>
          <w:b/>
          <w:bCs w:val="0"/>
          <w:sz w:val="28"/>
          <w:szCs w:val="28"/>
        </w:rPr>
        <w:t>第六条</w:t>
      </w:r>
      <w:r>
        <w:rPr>
          <w:rFonts w:hint="eastAsia" w:ascii="方正仿宋简体" w:hAnsi="方正仿宋简体" w:eastAsia="方正仿宋简体" w:cs="方正仿宋简体"/>
          <w:b w:val="0"/>
          <w:bCs/>
          <w:sz w:val="28"/>
          <w:szCs w:val="28"/>
        </w:rPr>
        <w:t xml:space="preserve"> </w:t>
      </w:r>
      <w:r>
        <w:rPr>
          <w:rFonts w:hint="eastAsia" w:ascii="方正仿宋简体" w:hAnsi="方正仿宋简体" w:eastAsia="方正仿宋简体" w:cs="方正仿宋简体"/>
          <w:b w:val="0"/>
          <w:bCs/>
          <w:sz w:val="28"/>
          <w:szCs w:val="28"/>
          <w:lang w:val="en-US" w:eastAsia="zh-CN"/>
        </w:rPr>
        <w:t xml:space="preserve"> </w:t>
      </w:r>
      <w:r>
        <w:rPr>
          <w:rFonts w:hint="eastAsia" w:ascii="方正仿宋简体" w:hAnsi="方正仿宋简体" w:eastAsia="方正仿宋简体" w:cs="方正仿宋简体"/>
          <w:b w:val="0"/>
          <w:bCs/>
          <w:sz w:val="28"/>
          <w:szCs w:val="28"/>
        </w:rPr>
        <w:t>为进一步保证自然灾害防治管理工作有序开展，公司成立自</w:t>
      </w:r>
      <w:r>
        <w:rPr>
          <w:rFonts w:hint="eastAsia" w:ascii="方正仿宋简体" w:eastAsia="方正仿宋简体"/>
          <w:sz w:val="28"/>
          <w:szCs w:val="28"/>
        </w:rPr>
        <w:t>然灾害房子领导小组，自然灾害防治</w:t>
      </w:r>
      <w:r>
        <w:rPr>
          <w:rFonts w:ascii="方正仿宋简体" w:eastAsia="方正仿宋简体"/>
          <w:sz w:val="28"/>
          <w:szCs w:val="28"/>
        </w:rPr>
        <w:t>领导小组</w:t>
      </w:r>
      <w:r>
        <w:rPr>
          <w:rFonts w:hint="eastAsia" w:ascii="方正仿宋简体" w:eastAsia="方正仿宋简体"/>
          <w:sz w:val="28"/>
          <w:szCs w:val="28"/>
        </w:rPr>
        <w:t>是公司自然灾害防治管理工作的领导和指挥机构，</w:t>
      </w:r>
      <w:r>
        <w:rPr>
          <w:rFonts w:ascii="方正仿宋简体" w:eastAsia="方正仿宋简体"/>
          <w:sz w:val="28"/>
          <w:szCs w:val="28"/>
        </w:rPr>
        <w:t>由</w:t>
      </w:r>
      <w:r>
        <w:rPr>
          <w:rFonts w:hint="eastAsia" w:ascii="方正仿宋简体" w:eastAsia="方正仿宋简体"/>
          <w:sz w:val="28"/>
          <w:szCs w:val="28"/>
        </w:rPr>
        <w:t>公司分管安全的副总经理任组长，</w:t>
      </w:r>
      <w:r>
        <w:rPr>
          <w:rFonts w:hint="eastAsia" w:ascii="方正仿宋简体" w:eastAsia="方正仿宋简体"/>
          <w:sz w:val="28"/>
          <w:szCs w:val="28"/>
          <w:lang w:eastAsia="zh-CN"/>
        </w:rPr>
        <w:t>生产运行部</w:t>
      </w:r>
      <w:r>
        <w:rPr>
          <w:rFonts w:hint="eastAsia" w:ascii="方正仿宋简体" w:eastAsia="方正仿宋简体"/>
          <w:sz w:val="28"/>
          <w:szCs w:val="28"/>
        </w:rPr>
        <w:t>主要负责人任副组长，成员由公司相关部室负责人</w:t>
      </w:r>
      <w:r>
        <w:rPr>
          <w:rFonts w:ascii="方正仿宋简体" w:eastAsia="方正仿宋简体"/>
          <w:sz w:val="28"/>
          <w:szCs w:val="28"/>
        </w:rPr>
        <w:t>组成</w:t>
      </w:r>
      <w:r>
        <w:rPr>
          <w:rFonts w:hint="eastAsia" w:ascii="方正仿宋简体" w:eastAsia="方正仿宋简体"/>
          <w:sz w:val="28"/>
          <w:szCs w:val="28"/>
        </w:rPr>
        <w:t>，负责公司自然灾害防治管理工作的组织领导和决策指挥。</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第七条  </w:t>
      </w:r>
      <w:r>
        <w:rPr>
          <w:rFonts w:hint="eastAsia" w:ascii="方正仿宋简体" w:eastAsia="方正仿宋简体"/>
          <w:sz w:val="28"/>
          <w:szCs w:val="28"/>
        </w:rPr>
        <w:t>公司自然灾害防治领导小组下设自然灾害防治办公室，设在</w:t>
      </w:r>
      <w:r>
        <w:rPr>
          <w:rFonts w:hint="eastAsia" w:ascii="方正仿宋简体" w:eastAsia="方正仿宋简体"/>
          <w:sz w:val="28"/>
          <w:szCs w:val="28"/>
          <w:lang w:eastAsia="zh-CN"/>
        </w:rPr>
        <w:t>生产运行部</w:t>
      </w:r>
      <w:r>
        <w:rPr>
          <w:rFonts w:hint="eastAsia" w:ascii="方正仿宋简体" w:eastAsia="方正仿宋简体"/>
          <w:sz w:val="28"/>
          <w:szCs w:val="28"/>
        </w:rPr>
        <w:t>，其主要职责是：</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w:t>
      </w:r>
      <w:r>
        <w:rPr>
          <w:rFonts w:hint="eastAsia" w:ascii="方正仿宋简体" w:eastAsia="方正仿宋简体"/>
          <w:sz w:val="28"/>
          <w:szCs w:val="28"/>
          <w:lang w:val="en-US" w:eastAsia="zh-CN"/>
        </w:rPr>
        <w:t>.</w:t>
      </w:r>
      <w:r>
        <w:rPr>
          <w:rFonts w:hint="eastAsia" w:ascii="方正仿宋简体" w:eastAsia="方正仿宋简体"/>
          <w:sz w:val="28"/>
          <w:szCs w:val="28"/>
        </w:rPr>
        <w:t>贯彻执行国家、地方政府和上级部门有关自然灾害防治工作的法律法规、方针政策及管理规定、工作要求。</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2</w:t>
      </w:r>
      <w:r>
        <w:rPr>
          <w:rFonts w:hint="eastAsia" w:ascii="方正仿宋简体" w:eastAsia="方正仿宋简体"/>
          <w:sz w:val="28"/>
          <w:szCs w:val="28"/>
          <w:lang w:val="en-US" w:eastAsia="zh-CN"/>
        </w:rPr>
        <w:t>.</w:t>
      </w:r>
      <w:r>
        <w:rPr>
          <w:rFonts w:hint="eastAsia" w:ascii="方正仿宋简体" w:eastAsia="方正仿宋简体"/>
          <w:sz w:val="28"/>
          <w:szCs w:val="28"/>
        </w:rPr>
        <w:t>负责自然灾害应急时期的值班值守。</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val="en-US" w:eastAsia="zh-CN"/>
        </w:rPr>
        <w:t>.</w:t>
      </w:r>
      <w:r>
        <w:rPr>
          <w:rFonts w:ascii="方正仿宋简体" w:eastAsia="方正仿宋简体"/>
          <w:sz w:val="28"/>
          <w:szCs w:val="28"/>
        </w:rPr>
        <w:t>负责</w:t>
      </w:r>
      <w:r>
        <w:rPr>
          <w:rFonts w:hint="eastAsia" w:ascii="方正仿宋简体" w:eastAsia="方正仿宋简体"/>
          <w:sz w:val="28"/>
          <w:szCs w:val="28"/>
        </w:rPr>
        <w:t>本单位应急预案、抢险队伍、应急资金、应急</w:t>
      </w:r>
      <w:r>
        <w:rPr>
          <w:rFonts w:ascii="方正仿宋简体" w:eastAsia="方正仿宋简体"/>
          <w:sz w:val="28"/>
          <w:szCs w:val="28"/>
        </w:rPr>
        <w:t>物资</w:t>
      </w:r>
      <w:r>
        <w:rPr>
          <w:rFonts w:hint="eastAsia" w:ascii="方正仿宋简体" w:eastAsia="方正仿宋简体"/>
          <w:sz w:val="28"/>
          <w:szCs w:val="28"/>
        </w:rPr>
        <w:t>的准</w:t>
      </w:r>
      <w:r>
        <w:rPr>
          <w:rFonts w:ascii="方正仿宋简体" w:eastAsia="方正仿宋简体"/>
          <w:sz w:val="28"/>
          <w:szCs w:val="28"/>
        </w:rPr>
        <w:t>备</w:t>
      </w:r>
      <w:r>
        <w:rPr>
          <w:rFonts w:hint="eastAsia" w:ascii="方正仿宋简体" w:eastAsia="方正仿宋简体"/>
          <w:sz w:val="28"/>
          <w:szCs w:val="28"/>
        </w:rPr>
        <w:t>和管理。</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4</w:t>
      </w:r>
      <w:r>
        <w:rPr>
          <w:rFonts w:hint="eastAsia" w:ascii="方正仿宋简体" w:eastAsia="方正仿宋简体"/>
          <w:sz w:val="28"/>
          <w:szCs w:val="28"/>
          <w:lang w:val="en-US" w:eastAsia="zh-CN"/>
        </w:rPr>
        <w:t>.</w:t>
      </w:r>
      <w:r>
        <w:rPr>
          <w:rFonts w:hint="eastAsia" w:ascii="方正仿宋简体" w:eastAsia="方正仿宋简体"/>
          <w:sz w:val="28"/>
          <w:szCs w:val="28"/>
        </w:rPr>
        <w:t>负责本单位自然灾害防治业务知识宣传培训和应急演练。</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5</w:t>
      </w:r>
      <w:r>
        <w:rPr>
          <w:rFonts w:hint="eastAsia" w:ascii="方正仿宋简体" w:eastAsia="方正仿宋简体"/>
          <w:sz w:val="28"/>
          <w:szCs w:val="28"/>
          <w:lang w:val="en-US" w:eastAsia="zh-CN"/>
        </w:rPr>
        <w:t>.</w:t>
      </w:r>
      <w:r>
        <w:rPr>
          <w:rFonts w:ascii="方正仿宋简体" w:eastAsia="方正仿宋简体"/>
          <w:sz w:val="28"/>
          <w:szCs w:val="28"/>
        </w:rPr>
        <w:t>负责</w:t>
      </w:r>
      <w:r>
        <w:rPr>
          <w:rFonts w:hint="eastAsia" w:ascii="方正仿宋简体" w:eastAsia="方正仿宋简体"/>
          <w:sz w:val="28"/>
          <w:szCs w:val="28"/>
        </w:rPr>
        <w:t>本单位自然灾害方面的</w:t>
      </w:r>
      <w:r>
        <w:rPr>
          <w:rFonts w:ascii="方正仿宋简体" w:eastAsia="方正仿宋简体"/>
          <w:sz w:val="28"/>
          <w:szCs w:val="28"/>
        </w:rPr>
        <w:t>安全检查和隐患整改</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6</w:t>
      </w:r>
      <w:r>
        <w:rPr>
          <w:rFonts w:hint="eastAsia" w:ascii="方正仿宋简体" w:eastAsia="方正仿宋简体"/>
          <w:sz w:val="28"/>
          <w:szCs w:val="28"/>
          <w:lang w:val="en-US" w:eastAsia="zh-CN"/>
        </w:rPr>
        <w:t>.</w:t>
      </w:r>
      <w:r>
        <w:rPr>
          <w:rFonts w:ascii="方正仿宋简体" w:eastAsia="方正仿宋简体"/>
          <w:sz w:val="28"/>
          <w:szCs w:val="28"/>
        </w:rPr>
        <w:t>负责</w:t>
      </w:r>
      <w:r>
        <w:rPr>
          <w:rFonts w:hint="eastAsia" w:ascii="方正仿宋简体" w:eastAsia="方正仿宋简体"/>
          <w:sz w:val="28"/>
          <w:szCs w:val="28"/>
        </w:rPr>
        <w:t>本单位自然灾害</w:t>
      </w:r>
      <w:r>
        <w:rPr>
          <w:rFonts w:ascii="方正仿宋简体" w:eastAsia="方正仿宋简体"/>
          <w:sz w:val="28"/>
          <w:szCs w:val="28"/>
        </w:rPr>
        <w:t>抢险救灾的组织</w:t>
      </w:r>
      <w:r>
        <w:rPr>
          <w:rFonts w:hint="eastAsia" w:ascii="方正仿宋简体" w:eastAsia="方正仿宋简体"/>
          <w:sz w:val="28"/>
          <w:szCs w:val="28"/>
        </w:rPr>
        <w:t>实施。</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7</w:t>
      </w:r>
      <w:r>
        <w:rPr>
          <w:rFonts w:hint="eastAsia" w:ascii="方正仿宋简体" w:eastAsia="方正仿宋简体"/>
          <w:sz w:val="28"/>
          <w:szCs w:val="28"/>
          <w:lang w:val="en-US" w:eastAsia="zh-CN"/>
        </w:rPr>
        <w:t>.</w:t>
      </w:r>
      <w:r>
        <w:rPr>
          <w:rFonts w:ascii="方正仿宋简体" w:eastAsia="方正仿宋简体"/>
          <w:sz w:val="28"/>
          <w:szCs w:val="28"/>
        </w:rPr>
        <w:t>负责</w:t>
      </w:r>
      <w:r>
        <w:rPr>
          <w:rFonts w:hint="eastAsia" w:ascii="方正仿宋简体" w:eastAsia="方正仿宋简体"/>
          <w:sz w:val="28"/>
          <w:szCs w:val="28"/>
        </w:rPr>
        <w:t>自然灾害</w:t>
      </w:r>
      <w:r>
        <w:rPr>
          <w:rFonts w:ascii="方正仿宋简体" w:eastAsia="方正仿宋简体"/>
          <w:sz w:val="28"/>
          <w:szCs w:val="28"/>
        </w:rPr>
        <w:t>信息和</w:t>
      </w:r>
      <w:r>
        <w:rPr>
          <w:rFonts w:hint="eastAsia" w:ascii="方正仿宋简体" w:eastAsia="方正仿宋简体"/>
          <w:sz w:val="28"/>
          <w:szCs w:val="28"/>
        </w:rPr>
        <w:t>灾害治理项目建议计划的</w:t>
      </w:r>
      <w:r>
        <w:rPr>
          <w:rFonts w:ascii="方正仿宋简体" w:eastAsia="方正仿宋简体"/>
          <w:sz w:val="28"/>
          <w:szCs w:val="28"/>
        </w:rPr>
        <w:t>收集上报</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8.负责组织自然灾害</w:t>
      </w:r>
      <w:r>
        <w:rPr>
          <w:rFonts w:ascii="方正仿宋简体" w:eastAsia="方正仿宋简体"/>
          <w:sz w:val="28"/>
          <w:szCs w:val="28"/>
        </w:rPr>
        <w:t>负责</w:t>
      </w:r>
      <w:r>
        <w:rPr>
          <w:rFonts w:hint="eastAsia" w:ascii="方正仿宋简体" w:eastAsia="方正仿宋简体"/>
          <w:sz w:val="28"/>
          <w:szCs w:val="28"/>
        </w:rPr>
        <w:t>组织灾害治理自控项目的勘察设计（</w:t>
      </w:r>
      <w:r>
        <w:rPr>
          <w:rFonts w:ascii="方正仿宋简体" w:eastAsia="方正仿宋简体"/>
          <w:sz w:val="28"/>
          <w:szCs w:val="28"/>
        </w:rPr>
        <w:t>方案</w:t>
      </w:r>
      <w:r>
        <w:rPr>
          <w:rFonts w:hint="eastAsia" w:ascii="方正仿宋简体" w:eastAsia="方正仿宋简体"/>
          <w:sz w:val="28"/>
          <w:szCs w:val="28"/>
        </w:rPr>
        <w:t>）和</w:t>
      </w:r>
      <w:r>
        <w:rPr>
          <w:rFonts w:ascii="方正仿宋简体" w:eastAsia="方正仿宋简体"/>
          <w:sz w:val="28"/>
          <w:szCs w:val="28"/>
        </w:rPr>
        <w:t>概</w:t>
      </w:r>
      <w:r>
        <w:rPr>
          <w:rFonts w:hint="eastAsia" w:ascii="方正仿宋简体" w:eastAsia="方正仿宋简体"/>
          <w:sz w:val="28"/>
          <w:szCs w:val="28"/>
        </w:rPr>
        <w:t>（预）</w:t>
      </w:r>
      <w:r>
        <w:rPr>
          <w:rFonts w:ascii="方正仿宋简体" w:eastAsia="方正仿宋简体"/>
          <w:sz w:val="28"/>
          <w:szCs w:val="28"/>
        </w:rPr>
        <w:t>算</w:t>
      </w:r>
      <w:r>
        <w:rPr>
          <w:rFonts w:hint="eastAsia" w:ascii="方正仿宋简体" w:eastAsia="方正仿宋简体"/>
          <w:sz w:val="28"/>
          <w:szCs w:val="28"/>
        </w:rPr>
        <w:t>的</w:t>
      </w:r>
      <w:r>
        <w:rPr>
          <w:rFonts w:ascii="方正仿宋简体" w:eastAsia="方正仿宋简体"/>
          <w:sz w:val="28"/>
          <w:szCs w:val="28"/>
        </w:rPr>
        <w:t>编制</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lang w:val="en-US" w:eastAsia="zh-CN"/>
        </w:rPr>
        <w:t>9.</w:t>
      </w:r>
      <w:r>
        <w:rPr>
          <w:rFonts w:hint="eastAsia" w:ascii="方正仿宋简体" w:eastAsia="方正仿宋简体"/>
          <w:sz w:val="28"/>
          <w:szCs w:val="28"/>
        </w:rPr>
        <w:t>负责灾害治理项目的实施管理、完工交接、竣工验收等工作。</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第八条  </w:t>
      </w:r>
      <w:r>
        <w:rPr>
          <w:rFonts w:hint="eastAsia" w:ascii="方正仿宋简体" w:eastAsia="方正仿宋简体"/>
          <w:sz w:val="28"/>
          <w:szCs w:val="28"/>
        </w:rPr>
        <w:t>公司相关部门按业务分工负责其分管范围内的自然灾害防治管理工作。各部室主要职责如下：</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（一）公司（党委）办公室：</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负责自然灾害应急时期综合信息收集、处理与发布，应急协调、舆情监测和督办工作。</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（二）</w:t>
      </w:r>
      <w:r>
        <w:rPr>
          <w:rFonts w:hint="eastAsia" w:ascii="方正仿宋简体" w:eastAsia="方正仿宋简体"/>
          <w:sz w:val="28"/>
          <w:szCs w:val="28"/>
          <w:lang w:eastAsia="zh-CN"/>
        </w:rPr>
        <w:t>财务资产部</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w:t>
      </w:r>
      <w:r>
        <w:rPr>
          <w:rFonts w:hint="eastAsia" w:ascii="方正仿宋简体" w:eastAsia="方正仿宋简体"/>
          <w:sz w:val="28"/>
          <w:szCs w:val="28"/>
          <w:lang w:val="en-US" w:eastAsia="zh-CN"/>
        </w:rPr>
        <w:t>.</w:t>
      </w:r>
      <w:r>
        <w:rPr>
          <w:rFonts w:hint="eastAsia" w:ascii="方正仿宋简体" w:eastAsia="方正仿宋简体"/>
          <w:sz w:val="28"/>
          <w:szCs w:val="28"/>
        </w:rPr>
        <w:t>参与大型自然灾害现场办公、自控项目勘察设计（方案）审查、完工交接等工作。</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2</w:t>
      </w:r>
      <w:r>
        <w:rPr>
          <w:rFonts w:hint="eastAsia" w:ascii="方正仿宋简体" w:eastAsia="方正仿宋简体"/>
          <w:sz w:val="28"/>
          <w:szCs w:val="28"/>
          <w:lang w:eastAsia="zh-CN"/>
        </w:rPr>
        <w:t>.</w:t>
      </w:r>
      <w:r>
        <w:rPr>
          <w:rFonts w:hint="eastAsia" w:ascii="方正仿宋简体" w:eastAsia="方正仿宋简体"/>
          <w:sz w:val="28"/>
          <w:szCs w:val="28"/>
        </w:rPr>
        <w:t>负责批复的自然灾害治理项目费用监管使用，专款专用。</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eastAsia="zh-CN"/>
        </w:rPr>
        <w:t>.</w:t>
      </w:r>
      <w:r>
        <w:rPr>
          <w:rFonts w:hint="eastAsia" w:ascii="方正仿宋简体" w:eastAsia="方正仿宋简体"/>
          <w:sz w:val="28"/>
          <w:szCs w:val="28"/>
        </w:rPr>
        <w:t>负责公司内自然灾害项目的结算与核算。</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4</w:t>
      </w:r>
      <w:r>
        <w:rPr>
          <w:rFonts w:hint="eastAsia" w:ascii="方正仿宋简体" w:eastAsia="方正仿宋简体"/>
          <w:sz w:val="28"/>
          <w:szCs w:val="28"/>
          <w:lang w:eastAsia="zh-CN"/>
        </w:rPr>
        <w:t>.</w:t>
      </w:r>
      <w:r>
        <w:rPr>
          <w:rFonts w:hint="eastAsia" w:ascii="方正仿宋简体" w:eastAsia="方正仿宋简体"/>
          <w:sz w:val="28"/>
          <w:szCs w:val="28"/>
        </w:rPr>
        <w:t>负责配合上级部门开展灾害治理项目的审计监督工作。</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（三）</w:t>
      </w:r>
      <w:r>
        <w:rPr>
          <w:rFonts w:hint="eastAsia" w:ascii="方正仿宋简体" w:eastAsia="方正仿宋简体"/>
          <w:sz w:val="28"/>
          <w:szCs w:val="28"/>
          <w:lang w:eastAsia="zh-CN"/>
        </w:rPr>
        <w:t>质量安全环保部</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w:t>
      </w:r>
      <w:r>
        <w:rPr>
          <w:rFonts w:hint="eastAsia" w:ascii="方正仿宋简体" w:eastAsia="方正仿宋简体"/>
          <w:sz w:val="28"/>
          <w:szCs w:val="28"/>
          <w:lang w:eastAsia="zh-CN"/>
        </w:rPr>
        <w:t>.</w:t>
      </w:r>
      <w:r>
        <w:rPr>
          <w:rFonts w:hint="eastAsia" w:ascii="方正仿宋简体" w:eastAsia="方正仿宋简体"/>
          <w:sz w:val="28"/>
          <w:szCs w:val="28"/>
        </w:rPr>
        <w:t>负责灾害治理项目职业健康、安全、环保、消防方面的“三同时”审查和管理。</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2</w:t>
      </w:r>
      <w:r>
        <w:rPr>
          <w:rFonts w:hint="eastAsia" w:ascii="方正仿宋简体" w:eastAsia="方正仿宋简体"/>
          <w:sz w:val="28"/>
          <w:szCs w:val="28"/>
          <w:lang w:eastAsia="zh-CN"/>
        </w:rPr>
        <w:t>.</w:t>
      </w:r>
      <w:r>
        <w:rPr>
          <w:rFonts w:ascii="方正仿宋简体" w:eastAsia="方正仿宋简体"/>
          <w:sz w:val="28"/>
          <w:szCs w:val="28"/>
        </w:rPr>
        <w:t>负责</w:t>
      </w:r>
      <w:r>
        <w:rPr>
          <w:rFonts w:hint="eastAsia" w:ascii="方正仿宋简体" w:eastAsia="方正仿宋简体"/>
          <w:sz w:val="28"/>
          <w:szCs w:val="28"/>
        </w:rPr>
        <w:t>灾害治理项目</w:t>
      </w:r>
      <w:r>
        <w:rPr>
          <w:rFonts w:ascii="方正仿宋简体" w:eastAsia="方正仿宋简体"/>
          <w:sz w:val="28"/>
          <w:szCs w:val="28"/>
        </w:rPr>
        <w:t>实施过程中的</w:t>
      </w:r>
      <w:r>
        <w:rPr>
          <w:rFonts w:hint="eastAsia" w:ascii="方正仿宋简体" w:eastAsia="方正仿宋简体"/>
          <w:sz w:val="28"/>
          <w:szCs w:val="28"/>
        </w:rPr>
        <w:t>监督管理。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eastAsia="zh-CN"/>
        </w:rPr>
        <w:t>.</w:t>
      </w:r>
      <w:r>
        <w:rPr>
          <w:rFonts w:hint="eastAsia" w:ascii="方正仿宋简体" w:eastAsia="方正仿宋简体"/>
          <w:sz w:val="28"/>
          <w:szCs w:val="28"/>
        </w:rPr>
        <w:t>参与重大自然灾害现场办公、自控项目勘察设计（方案）审查、完工交接等工作。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（四）</w:t>
      </w:r>
      <w:r>
        <w:rPr>
          <w:rFonts w:hint="eastAsia" w:ascii="方正仿宋简体" w:eastAsia="方正仿宋简体"/>
          <w:sz w:val="28"/>
          <w:szCs w:val="28"/>
          <w:lang w:eastAsia="zh-CN"/>
        </w:rPr>
        <w:t>市场营销部</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1.负责灾害治理项目招投标管理。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2.</w:t>
      </w:r>
      <w:r>
        <w:rPr>
          <w:rFonts w:ascii="方正仿宋简体" w:eastAsia="方正仿宋简体"/>
          <w:sz w:val="28"/>
          <w:szCs w:val="28"/>
        </w:rPr>
        <w:t>负责</w:t>
      </w:r>
      <w:r>
        <w:rPr>
          <w:rFonts w:hint="eastAsia" w:ascii="方正仿宋简体" w:eastAsia="方正仿宋简体"/>
          <w:sz w:val="28"/>
          <w:szCs w:val="28"/>
        </w:rPr>
        <w:t>组织灾害治理自控项目的勘察设计（</w:t>
      </w:r>
      <w:r>
        <w:rPr>
          <w:rFonts w:ascii="方正仿宋简体" w:eastAsia="方正仿宋简体"/>
          <w:sz w:val="28"/>
          <w:szCs w:val="28"/>
        </w:rPr>
        <w:t>方案</w:t>
      </w:r>
      <w:r>
        <w:rPr>
          <w:rFonts w:hint="eastAsia" w:ascii="方正仿宋简体" w:eastAsia="方正仿宋简体"/>
          <w:sz w:val="28"/>
          <w:szCs w:val="28"/>
        </w:rPr>
        <w:t>）和</w:t>
      </w:r>
      <w:r>
        <w:rPr>
          <w:rFonts w:ascii="方正仿宋简体" w:eastAsia="方正仿宋简体"/>
          <w:sz w:val="28"/>
          <w:szCs w:val="28"/>
        </w:rPr>
        <w:t>概</w:t>
      </w:r>
      <w:r>
        <w:rPr>
          <w:rFonts w:hint="eastAsia" w:ascii="方正仿宋简体" w:eastAsia="方正仿宋简体"/>
          <w:sz w:val="28"/>
          <w:szCs w:val="28"/>
        </w:rPr>
        <w:t>（预）</w:t>
      </w:r>
      <w:r>
        <w:rPr>
          <w:rFonts w:ascii="方正仿宋简体" w:eastAsia="方正仿宋简体"/>
          <w:sz w:val="28"/>
          <w:szCs w:val="28"/>
        </w:rPr>
        <w:t>算</w:t>
      </w:r>
      <w:r>
        <w:rPr>
          <w:rFonts w:hint="eastAsia" w:ascii="方正仿宋简体" w:eastAsia="方正仿宋简体"/>
          <w:sz w:val="28"/>
          <w:szCs w:val="28"/>
        </w:rPr>
        <w:t>的</w:t>
      </w:r>
      <w:r>
        <w:rPr>
          <w:rFonts w:ascii="方正仿宋简体" w:eastAsia="方正仿宋简体"/>
          <w:sz w:val="28"/>
          <w:szCs w:val="28"/>
        </w:rPr>
        <w:t>编制</w:t>
      </w:r>
      <w:r>
        <w:rPr>
          <w:rFonts w:hint="eastAsia" w:ascii="方正仿宋简体" w:eastAsia="方正仿宋简体"/>
          <w:sz w:val="28"/>
          <w:szCs w:val="28"/>
        </w:rPr>
        <w:t>并负责预审。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（五）管道管理部：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w:t>
      </w:r>
      <w:r>
        <w:rPr>
          <w:rFonts w:hint="eastAsia" w:ascii="方正仿宋简体" w:eastAsia="方正仿宋简体"/>
          <w:sz w:val="28"/>
          <w:szCs w:val="28"/>
          <w:lang w:eastAsia="zh-CN"/>
        </w:rPr>
        <w:t>.</w:t>
      </w:r>
      <w:r>
        <w:rPr>
          <w:rFonts w:hint="eastAsia" w:ascii="方正仿宋简体" w:eastAsia="方正仿宋简体"/>
          <w:sz w:val="28"/>
          <w:szCs w:val="28"/>
        </w:rPr>
        <w:t>负责公司管道业务、投资项目自然灾害防治工作的管理。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FF0000"/>
          <w:sz w:val="28"/>
          <w:szCs w:val="28"/>
        </w:rPr>
      </w:pPr>
      <w:r>
        <w:rPr>
          <w:rFonts w:hint="eastAsia" w:ascii="方正仿宋简体" w:eastAsia="方正仿宋简体"/>
          <w:sz w:val="28"/>
          <w:szCs w:val="28"/>
        </w:rPr>
        <w:t>2</w:t>
      </w:r>
      <w:r>
        <w:rPr>
          <w:rFonts w:hint="eastAsia" w:ascii="方正仿宋简体" w:eastAsia="方正仿宋简体"/>
          <w:sz w:val="28"/>
          <w:szCs w:val="28"/>
          <w:lang w:eastAsia="zh-CN"/>
        </w:rPr>
        <w:t>.</w:t>
      </w:r>
      <w:r>
        <w:rPr>
          <w:rFonts w:hint="eastAsia" w:ascii="方正仿宋简体" w:eastAsia="方正仿宋简体"/>
          <w:sz w:val="28"/>
          <w:szCs w:val="28"/>
        </w:rPr>
        <w:t>负责投资项目地质灾害危险性评估报告中地质灾害防治与控制措施的落实。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eastAsia="zh-CN"/>
        </w:rPr>
        <w:t>.</w:t>
      </w:r>
      <w:r>
        <w:rPr>
          <w:rFonts w:hint="eastAsia" w:ascii="方正仿宋简体" w:eastAsia="方正仿宋简体"/>
          <w:sz w:val="28"/>
          <w:szCs w:val="28"/>
        </w:rPr>
        <w:t>负责业务范围内灾害治理项目的技术管理。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4</w:t>
      </w:r>
      <w:r>
        <w:rPr>
          <w:rFonts w:hint="eastAsia" w:ascii="方正仿宋简体" w:eastAsia="方正仿宋简体"/>
          <w:sz w:val="28"/>
          <w:szCs w:val="28"/>
          <w:lang w:eastAsia="zh-CN"/>
        </w:rPr>
        <w:t>.</w:t>
      </w:r>
      <w:r>
        <w:rPr>
          <w:rFonts w:hint="eastAsia" w:ascii="方正仿宋简体" w:eastAsia="方正仿宋简体"/>
          <w:sz w:val="28"/>
          <w:szCs w:val="28"/>
        </w:rPr>
        <w:t>负责业务范围内自控项目勘察设计（</w:t>
      </w:r>
      <w:r>
        <w:rPr>
          <w:rFonts w:ascii="方正仿宋简体" w:eastAsia="方正仿宋简体"/>
          <w:sz w:val="28"/>
          <w:szCs w:val="28"/>
        </w:rPr>
        <w:t>方案</w:t>
      </w:r>
      <w:r>
        <w:rPr>
          <w:rFonts w:hint="eastAsia" w:ascii="方正仿宋简体" w:eastAsia="方正仿宋简体"/>
          <w:sz w:val="28"/>
          <w:szCs w:val="28"/>
        </w:rPr>
        <w:t>）</w:t>
      </w:r>
      <w:r>
        <w:rPr>
          <w:rFonts w:ascii="方正仿宋简体" w:eastAsia="方正仿宋简体"/>
          <w:sz w:val="28"/>
          <w:szCs w:val="28"/>
        </w:rPr>
        <w:t>的审查</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5</w:t>
      </w:r>
      <w:r>
        <w:rPr>
          <w:rFonts w:hint="eastAsia" w:ascii="方正仿宋简体" w:eastAsia="方正仿宋简体"/>
          <w:sz w:val="28"/>
          <w:szCs w:val="28"/>
          <w:lang w:eastAsia="zh-CN"/>
        </w:rPr>
        <w:t>.</w:t>
      </w:r>
      <w:r>
        <w:rPr>
          <w:rFonts w:hint="eastAsia" w:ascii="方正仿宋简体" w:eastAsia="方正仿宋简体"/>
          <w:sz w:val="28"/>
          <w:szCs w:val="28"/>
        </w:rPr>
        <w:t>参与大型自然灾害现场办公。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6</w:t>
      </w:r>
      <w:r>
        <w:rPr>
          <w:rFonts w:hint="eastAsia" w:ascii="方正仿宋简体" w:eastAsia="方正仿宋简体"/>
          <w:sz w:val="28"/>
          <w:szCs w:val="28"/>
          <w:lang w:eastAsia="zh-CN"/>
        </w:rPr>
        <w:t>.</w:t>
      </w:r>
      <w:r>
        <w:rPr>
          <w:rFonts w:hint="eastAsia" w:ascii="方正仿宋简体" w:eastAsia="方正仿宋简体"/>
          <w:sz w:val="28"/>
          <w:szCs w:val="28"/>
        </w:rPr>
        <w:t>负责灾害治理项目的完工交接工作。</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eastAsia="方正仿宋简体"/>
          <w:sz w:val="28"/>
          <w:szCs w:val="28"/>
        </w:rPr>
      </w:pPr>
      <w:r>
        <w:rPr>
          <w:rFonts w:hint="eastAsia" w:ascii="方正仿宋简体" w:eastAsia="方正仿宋简体"/>
          <w:b/>
          <w:sz w:val="28"/>
          <w:szCs w:val="28"/>
        </w:rPr>
        <w:t>第九条</w:t>
      </w:r>
      <w:r>
        <w:rPr>
          <w:rFonts w:hint="eastAsia" w:ascii="方正仿宋简体" w:eastAsia="方正仿宋简体"/>
          <w:sz w:val="28"/>
          <w:szCs w:val="28"/>
        </w:rPr>
        <w:t xml:space="preserve">  项目组是公司根据灾害治理项目实施工艺复杂程度、施工作业风险大小等实际情况，选择性成立的具体管理灾害治理项目实施的临时机构。其主要职责：</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1</w:t>
      </w:r>
      <w:r>
        <w:rPr>
          <w:rFonts w:hint="eastAsia" w:ascii="方正仿宋简体" w:eastAsia="方正仿宋简体"/>
          <w:sz w:val="28"/>
          <w:szCs w:val="28"/>
          <w:lang w:eastAsia="zh-CN"/>
        </w:rPr>
        <w:t>.</w:t>
      </w:r>
      <w:r>
        <w:rPr>
          <w:rFonts w:hint="eastAsia" w:ascii="方正仿宋简体" w:eastAsia="方正仿宋简体"/>
          <w:sz w:val="28"/>
          <w:szCs w:val="28"/>
        </w:rPr>
        <w:t>负责灾害治理项目实施全过程的进度、质量、安全、环保和成本的管理；对灾害治理项目的质量、安全、环保、工期和费用负责；项目经理为第一责任人。</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2</w:t>
      </w:r>
      <w:r>
        <w:rPr>
          <w:rFonts w:hint="eastAsia" w:ascii="方正仿宋简体" w:eastAsia="方正仿宋简体"/>
          <w:sz w:val="28"/>
          <w:szCs w:val="28"/>
          <w:lang w:eastAsia="zh-CN"/>
        </w:rPr>
        <w:t>.</w:t>
      </w:r>
      <w:r>
        <w:rPr>
          <w:rFonts w:hint="eastAsia" w:ascii="方正仿宋简体" w:eastAsia="方正仿宋简体"/>
          <w:sz w:val="28"/>
          <w:szCs w:val="28"/>
        </w:rPr>
        <w:t>按照项目管理有关规定组织灾害治理项目的物资采购、工程技术服务队伍招投标、具体实施、完工验收等。</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eastAsia="zh-CN"/>
        </w:rPr>
        <w:t>.</w:t>
      </w:r>
      <w:r>
        <w:rPr>
          <w:rFonts w:hint="eastAsia" w:ascii="方正仿宋简体" w:eastAsia="方正仿宋简体"/>
          <w:sz w:val="28"/>
          <w:szCs w:val="28"/>
        </w:rPr>
        <w:t>负责灾害治理项目工作量确认、结算及竣工资料等的编制、汇总、组卷、审查、归档。</w:t>
      </w:r>
    </w:p>
    <w:p>
      <w:pPr>
        <w:keepNext w:val="0"/>
        <w:keepLines w:val="0"/>
        <w:pageBreakBefore w:val="0"/>
        <w:widowControl w:val="0"/>
        <w:kinsoku/>
        <w:wordWrap/>
        <w:overflowPunct/>
        <w:topLinePunct w:val="0"/>
        <w:autoSpaceDE/>
        <w:autoSpaceDN/>
        <w:bidi w:val="0"/>
        <w:adjustRightInd/>
        <w:snapToGrid w:val="0"/>
        <w:spacing w:line="560" w:lineRule="exact"/>
        <w:ind w:firstLine="548" w:firstLineChars="196"/>
        <w:textAlignment w:val="auto"/>
        <w:outlineLvl w:val="9"/>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第三章  自然灾害预防与准备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第十条</w:t>
      </w:r>
      <w:r>
        <w:rPr>
          <w:rFonts w:ascii="方正仿宋简体" w:eastAsia="方正仿宋简体"/>
          <w:sz w:val="28"/>
          <w:szCs w:val="28"/>
        </w:rPr>
        <w:t xml:space="preserve">  </w:t>
      </w:r>
      <w:r>
        <w:rPr>
          <w:rFonts w:hint="eastAsia" w:ascii="方正仿宋简体" w:eastAsia="方正仿宋简体"/>
          <w:sz w:val="28"/>
          <w:szCs w:val="28"/>
        </w:rPr>
        <w:t>公司</w:t>
      </w:r>
      <w:r>
        <w:rPr>
          <w:rFonts w:ascii="方正仿宋简体" w:eastAsia="方正仿宋简体"/>
          <w:sz w:val="28"/>
          <w:szCs w:val="28"/>
        </w:rPr>
        <w:t>应</w:t>
      </w:r>
      <w:r>
        <w:rPr>
          <w:rFonts w:hint="eastAsia" w:ascii="方正仿宋简体" w:eastAsia="方正仿宋简体"/>
          <w:sz w:val="28"/>
          <w:szCs w:val="28"/>
        </w:rPr>
        <w:t>结合管辖区域内自然灾害风险掌控情况</w:t>
      </w:r>
      <w:r>
        <w:rPr>
          <w:rFonts w:ascii="方正仿宋简体" w:eastAsia="方正仿宋简体"/>
          <w:sz w:val="28"/>
          <w:szCs w:val="28"/>
        </w:rPr>
        <w:t>，</w:t>
      </w:r>
      <w:r>
        <w:rPr>
          <w:rFonts w:hint="eastAsia" w:ascii="方正仿宋简体" w:eastAsia="方正仿宋简体"/>
          <w:sz w:val="28"/>
          <w:szCs w:val="28"/>
        </w:rPr>
        <w:t>在编制的应急预案中分析出自然灾害的风险和制定防止次生灾害的方案，并组织防范措施的落实，</w:t>
      </w:r>
      <w:r>
        <w:rPr>
          <w:rFonts w:ascii="方正仿宋简体" w:eastAsia="方正仿宋简体"/>
          <w:sz w:val="28"/>
          <w:szCs w:val="28"/>
        </w:rPr>
        <w:t>并</w:t>
      </w:r>
      <w:r>
        <w:rPr>
          <w:rFonts w:hint="eastAsia" w:ascii="方正仿宋简体" w:eastAsia="方正仿宋简体"/>
          <w:sz w:val="28"/>
          <w:szCs w:val="28"/>
        </w:rPr>
        <w:t>有针对性的进行应急</w:t>
      </w:r>
      <w:r>
        <w:rPr>
          <w:rFonts w:ascii="方正仿宋简体" w:eastAsia="方正仿宋简体"/>
          <w:sz w:val="28"/>
          <w:szCs w:val="28"/>
        </w:rPr>
        <w:t>演练</w:t>
      </w:r>
      <w:r>
        <w:rPr>
          <w:rFonts w:hint="eastAsia" w:ascii="方正仿宋简体" w:eastAsia="方正仿宋简体"/>
          <w:sz w:val="28"/>
          <w:szCs w:val="28"/>
        </w:rPr>
        <w:t>，演练方案、演练记录、评估记录等资料应作好存档备查。</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第十一条  </w:t>
      </w:r>
      <w:r>
        <w:rPr>
          <w:rFonts w:hint="eastAsia" w:ascii="方正仿宋简体" w:eastAsia="方正仿宋简体"/>
          <w:sz w:val="28"/>
          <w:szCs w:val="28"/>
        </w:rPr>
        <w:t>公司应抓好自然灾害专兼职应急</w:t>
      </w:r>
      <w:r>
        <w:rPr>
          <w:rFonts w:ascii="方正仿宋简体" w:eastAsia="方正仿宋简体"/>
          <w:sz w:val="28"/>
          <w:szCs w:val="28"/>
        </w:rPr>
        <w:t>抢险队伍</w:t>
      </w:r>
      <w:r>
        <w:rPr>
          <w:rFonts w:hint="eastAsia" w:ascii="方正仿宋简体" w:eastAsia="方正仿宋简体"/>
          <w:sz w:val="28"/>
          <w:szCs w:val="28"/>
        </w:rPr>
        <w:t>建设，切实作好应急抢险队伍的日常准备和管理。并与地方政府部门、依托承包商建立健全联系、协作机制，以满足应急抢险的需要。</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第十二条</w:t>
      </w:r>
      <w:r>
        <w:rPr>
          <w:rFonts w:hint="eastAsia" w:ascii="方正仿宋简体" w:eastAsia="方正仿宋简体"/>
          <w:sz w:val="28"/>
          <w:szCs w:val="28"/>
        </w:rPr>
        <w:t xml:space="preserve">  公司应严格执行公司应急物资储备管理实施细则的相关规定，并结合所辖区域实际情况和生产管理需求，</w:t>
      </w:r>
      <w:r>
        <w:rPr>
          <w:rFonts w:ascii="方正仿宋简体" w:eastAsia="方正仿宋简体"/>
          <w:sz w:val="28"/>
          <w:szCs w:val="28"/>
        </w:rPr>
        <w:t>做好物资</w:t>
      </w:r>
      <w:r>
        <w:rPr>
          <w:rFonts w:hint="eastAsia" w:ascii="方正仿宋简体" w:eastAsia="方正仿宋简体"/>
          <w:sz w:val="28"/>
          <w:szCs w:val="28"/>
        </w:rPr>
        <w:t>准</w:t>
      </w:r>
      <w:r>
        <w:rPr>
          <w:rFonts w:ascii="方正仿宋简体" w:eastAsia="方正仿宋简体"/>
          <w:sz w:val="28"/>
          <w:szCs w:val="28"/>
        </w:rPr>
        <w:t>备</w:t>
      </w:r>
      <w:r>
        <w:rPr>
          <w:rFonts w:hint="eastAsia" w:ascii="方正仿宋简体" w:eastAsia="方正仿宋简体"/>
          <w:sz w:val="28"/>
          <w:szCs w:val="28"/>
        </w:rPr>
        <w:t>工作，建立健全物资台帐；并执行应急物资的登记、管理、借用、调用、补充、更新、报废等管理规定，确保物资器材品种齐全，状态完好，帐实相符。</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ascii="方正仿宋简体" w:eastAsia="方正仿宋简体"/>
          <w:sz w:val="28"/>
          <w:szCs w:val="28"/>
        </w:rPr>
      </w:pPr>
      <w:r>
        <w:rPr>
          <w:rFonts w:hint="eastAsia" w:ascii="方正仿宋简体" w:eastAsia="方正仿宋简体"/>
          <w:b/>
          <w:sz w:val="28"/>
          <w:szCs w:val="28"/>
        </w:rPr>
        <w:t xml:space="preserve">第十三条  </w:t>
      </w:r>
      <w:r>
        <w:rPr>
          <w:rFonts w:hint="eastAsia" w:ascii="方正仿宋简体" w:eastAsia="方正仿宋简体"/>
          <w:sz w:val="28"/>
          <w:szCs w:val="28"/>
        </w:rPr>
        <w:t>公司应</w:t>
      </w:r>
      <w:r>
        <w:rPr>
          <w:rFonts w:ascii="方正仿宋简体" w:eastAsia="方正仿宋简体"/>
          <w:sz w:val="28"/>
          <w:szCs w:val="28"/>
        </w:rPr>
        <w:t>结合</w:t>
      </w:r>
      <w:r>
        <w:rPr>
          <w:rFonts w:hint="eastAsia" w:ascii="方正仿宋简体" w:eastAsia="方正仿宋简体"/>
          <w:sz w:val="28"/>
          <w:szCs w:val="28"/>
        </w:rPr>
        <w:t>行政区域内</w:t>
      </w:r>
      <w:r>
        <w:rPr>
          <w:rFonts w:ascii="方正仿宋简体" w:eastAsia="方正仿宋简体"/>
          <w:sz w:val="28"/>
          <w:szCs w:val="28"/>
        </w:rPr>
        <w:t>实际</w:t>
      </w:r>
      <w:r>
        <w:rPr>
          <w:rFonts w:hint="eastAsia" w:ascii="方正仿宋简体" w:eastAsia="方正仿宋简体"/>
          <w:sz w:val="28"/>
          <w:szCs w:val="28"/>
        </w:rPr>
        <w:t>气象</w:t>
      </w:r>
      <w:r>
        <w:rPr>
          <w:rFonts w:ascii="方正仿宋简体" w:eastAsia="方正仿宋简体"/>
          <w:sz w:val="28"/>
          <w:szCs w:val="28"/>
        </w:rPr>
        <w:t>情况，</w:t>
      </w:r>
      <w:r>
        <w:rPr>
          <w:rFonts w:hint="eastAsia" w:ascii="方正仿宋简体" w:eastAsia="方正仿宋简体"/>
          <w:sz w:val="28"/>
          <w:szCs w:val="28"/>
        </w:rPr>
        <w:t>加强</w:t>
      </w:r>
      <w:r>
        <w:rPr>
          <w:rFonts w:ascii="方正仿宋简体" w:eastAsia="方正仿宋简体"/>
          <w:sz w:val="28"/>
          <w:szCs w:val="28"/>
        </w:rPr>
        <w:t>与当地</w:t>
      </w:r>
      <w:r>
        <w:rPr>
          <w:rFonts w:hint="eastAsia" w:ascii="方正仿宋简体" w:eastAsia="方正仿宋简体"/>
          <w:sz w:val="28"/>
          <w:szCs w:val="28"/>
        </w:rPr>
        <w:t>防汛、气象、水文、水利、国土等部门的联系，及时获取并发布重要预报预警信息，做好灾害防范、应对工作。</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第十四条</w:t>
      </w:r>
      <w:r>
        <w:rPr>
          <w:rFonts w:hint="eastAsia" w:ascii="方正仿宋简体" w:eastAsia="方正仿宋简体"/>
          <w:sz w:val="28"/>
          <w:szCs w:val="28"/>
        </w:rPr>
        <w:t xml:space="preserve">  公司</w:t>
      </w:r>
      <w:r>
        <w:rPr>
          <w:rFonts w:ascii="方正仿宋简体" w:eastAsia="方正仿宋简体"/>
          <w:sz w:val="28"/>
          <w:szCs w:val="28"/>
        </w:rPr>
        <w:t>在每年</w:t>
      </w:r>
      <w:r>
        <w:rPr>
          <w:rFonts w:hint="eastAsia" w:ascii="方正仿宋简体" w:eastAsia="方正仿宋简体"/>
          <w:sz w:val="28"/>
          <w:szCs w:val="28"/>
        </w:rPr>
        <w:t>4月底前</w:t>
      </w:r>
      <w:r>
        <w:rPr>
          <w:rFonts w:ascii="方正仿宋简体" w:eastAsia="方正仿宋简体"/>
          <w:sz w:val="28"/>
          <w:szCs w:val="28"/>
        </w:rPr>
        <w:t>完成防汛工作检查</w:t>
      </w:r>
      <w:r>
        <w:rPr>
          <w:rFonts w:hint="eastAsia" w:ascii="方正仿宋简体" w:eastAsia="方正仿宋简体"/>
          <w:sz w:val="28"/>
          <w:szCs w:val="28"/>
        </w:rPr>
        <w:t>。建立健全灾害隐患排查治理制度，对于检查出的问题隐患要尽快整改，暂不能整改的要制定严密的防控措施，影响生产、安全的重大隐患必须制定专项应急预案，严格实行动态跟踪和闭环管理。</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第四章  自然灾害应急管理</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第十五条</w:t>
      </w:r>
      <w:r>
        <w:rPr>
          <w:rFonts w:hint="eastAsia" w:ascii="方正仿宋简体" w:eastAsia="方正仿宋简体"/>
          <w:sz w:val="28"/>
          <w:szCs w:val="28"/>
        </w:rPr>
        <w:t xml:space="preserve">  公司实行自然灾害重要时段</w:t>
      </w:r>
      <w:r>
        <w:rPr>
          <w:rFonts w:ascii="方正仿宋简体" w:eastAsia="方正仿宋简体"/>
          <w:sz w:val="28"/>
          <w:szCs w:val="28"/>
        </w:rPr>
        <w:t>领导干部值班</w:t>
      </w:r>
      <w:r>
        <w:rPr>
          <w:rFonts w:hint="eastAsia" w:ascii="方正仿宋简体" w:eastAsia="方正仿宋简体"/>
          <w:sz w:val="28"/>
          <w:szCs w:val="28"/>
        </w:rPr>
        <w:t>值守</w:t>
      </w:r>
      <w:r>
        <w:rPr>
          <w:rFonts w:ascii="方正仿宋简体" w:eastAsia="方正仿宋简体"/>
          <w:sz w:val="28"/>
          <w:szCs w:val="28"/>
        </w:rPr>
        <w:t>，</w:t>
      </w:r>
      <w:r>
        <w:rPr>
          <w:rFonts w:hint="eastAsia" w:ascii="方正仿宋简体" w:eastAsia="方正仿宋简体"/>
          <w:sz w:val="28"/>
          <w:szCs w:val="28"/>
          <w:lang w:eastAsia="zh-CN"/>
        </w:rPr>
        <w:t>生产运行部</w:t>
      </w:r>
      <w:r>
        <w:rPr>
          <w:rFonts w:hint="eastAsia" w:ascii="方正仿宋简体" w:eastAsia="方正仿宋简体"/>
          <w:sz w:val="28"/>
          <w:szCs w:val="28"/>
        </w:rPr>
        <w:t>生产调度</w:t>
      </w:r>
      <w:r>
        <w:rPr>
          <w:rFonts w:ascii="方正仿宋简体" w:eastAsia="方正仿宋简体"/>
          <w:sz w:val="28"/>
          <w:szCs w:val="28"/>
        </w:rPr>
        <w:t>24小时值班制度</w:t>
      </w:r>
      <w:r>
        <w:rPr>
          <w:rFonts w:hint="eastAsia"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第十六条</w:t>
      </w:r>
      <w:r>
        <w:rPr>
          <w:rFonts w:hint="eastAsia"/>
          <w:sz w:val="24"/>
        </w:rPr>
        <w:t xml:space="preserve"> </w:t>
      </w:r>
      <w:r>
        <w:rPr>
          <w:rFonts w:hint="eastAsia" w:ascii="方正仿宋简体" w:eastAsia="方正仿宋简体"/>
          <w:sz w:val="28"/>
          <w:szCs w:val="28"/>
        </w:rPr>
        <w:t xml:space="preserve"> 自然灾害重要时段加密、加强</w:t>
      </w:r>
      <w:r>
        <w:rPr>
          <w:rFonts w:ascii="方正仿宋简体" w:eastAsia="方正仿宋简体"/>
          <w:sz w:val="28"/>
          <w:szCs w:val="28"/>
        </w:rPr>
        <w:t>场站、输</w:t>
      </w:r>
      <w:r>
        <w:rPr>
          <w:rFonts w:hint="eastAsia" w:ascii="方正仿宋简体" w:eastAsia="方正仿宋简体"/>
          <w:sz w:val="28"/>
          <w:szCs w:val="28"/>
        </w:rPr>
        <w:t>气</w:t>
      </w:r>
      <w:r>
        <w:rPr>
          <w:rFonts w:ascii="方正仿宋简体" w:eastAsia="方正仿宋简体"/>
          <w:sz w:val="28"/>
          <w:szCs w:val="28"/>
        </w:rPr>
        <w:t>管线、</w:t>
      </w:r>
      <w:r>
        <w:rPr>
          <w:rFonts w:hint="eastAsia" w:ascii="方正仿宋简体" w:eastAsia="方正仿宋简体"/>
          <w:sz w:val="28"/>
          <w:szCs w:val="28"/>
        </w:rPr>
        <w:t>燃气管线</w:t>
      </w:r>
      <w:r>
        <w:rPr>
          <w:rFonts w:ascii="方正仿宋简体" w:eastAsia="方正仿宋简体"/>
          <w:sz w:val="28"/>
          <w:szCs w:val="28"/>
        </w:rPr>
        <w:t>等</w:t>
      </w:r>
      <w:r>
        <w:rPr>
          <w:rFonts w:hint="eastAsia" w:ascii="方正仿宋简体" w:eastAsia="方正仿宋简体"/>
          <w:sz w:val="28"/>
          <w:szCs w:val="28"/>
        </w:rPr>
        <w:t>的</w:t>
      </w:r>
      <w:r>
        <w:rPr>
          <w:rFonts w:ascii="方正仿宋简体" w:eastAsia="方正仿宋简体"/>
          <w:sz w:val="28"/>
          <w:szCs w:val="28"/>
        </w:rPr>
        <w:t>巡检</w:t>
      </w:r>
      <w:r>
        <w:rPr>
          <w:rFonts w:hint="eastAsia" w:ascii="方正仿宋简体" w:eastAsia="方正仿宋简体"/>
          <w:sz w:val="28"/>
          <w:szCs w:val="28"/>
        </w:rPr>
        <w:t>工作</w:t>
      </w:r>
      <w:r>
        <w:rPr>
          <w:rFonts w:ascii="方正仿宋简体" w:eastAsia="方正仿宋简体"/>
          <w:sz w:val="28"/>
          <w:szCs w:val="28"/>
        </w:rPr>
        <w:t>，</w:t>
      </w:r>
      <w:r>
        <w:rPr>
          <w:rFonts w:hint="eastAsia" w:ascii="方正仿宋简体" w:eastAsia="方正仿宋简体"/>
          <w:sz w:val="28"/>
          <w:szCs w:val="28"/>
        </w:rPr>
        <w:t>及时发现和密切关注灾害的发育，发现问题及时汇报并加强监控，制定相应的应急处置措施，杜绝因灾引发次生灾害，确保生产安全平稳运行。</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ascii="方正仿宋简体" w:eastAsia="方正仿宋简体"/>
          <w:sz w:val="32"/>
          <w:szCs w:val="32"/>
        </w:rPr>
      </w:pPr>
      <w:r>
        <w:rPr>
          <w:rFonts w:hint="eastAsia" w:ascii="方正仿宋简体" w:eastAsia="方正仿宋简体"/>
          <w:b/>
          <w:sz w:val="28"/>
          <w:szCs w:val="28"/>
        </w:rPr>
        <w:t xml:space="preserve">第十七条  </w:t>
      </w:r>
      <w:r>
        <w:rPr>
          <w:rFonts w:hint="eastAsia" w:ascii="方正仿宋简体" w:eastAsia="方正仿宋简体"/>
          <w:sz w:val="28"/>
          <w:szCs w:val="28"/>
        </w:rPr>
        <w:t>公司设立自然灾害应急突发事件救援小组，并进一步加强关联单位防灾救灾区域联动及互助协作。涉及两个及以上基层单位</w:t>
      </w:r>
      <w:r>
        <w:rPr>
          <w:rFonts w:ascii="方正仿宋简体" w:eastAsia="方正仿宋简体"/>
          <w:sz w:val="28"/>
          <w:szCs w:val="28"/>
        </w:rPr>
        <w:t>的</w:t>
      </w:r>
      <w:r>
        <w:rPr>
          <w:rFonts w:hint="eastAsia" w:ascii="方正仿宋简体" w:eastAsia="方正仿宋简体"/>
          <w:sz w:val="28"/>
          <w:szCs w:val="28"/>
        </w:rPr>
        <w:t>大型</w:t>
      </w:r>
      <w:r>
        <w:rPr>
          <w:rFonts w:ascii="方正仿宋简体" w:eastAsia="方正仿宋简体"/>
          <w:sz w:val="28"/>
          <w:szCs w:val="28"/>
        </w:rPr>
        <w:t>大</w:t>
      </w:r>
      <w:r>
        <w:rPr>
          <w:rFonts w:hint="eastAsia" w:ascii="方正仿宋简体" w:eastAsia="方正仿宋简体"/>
          <w:sz w:val="28"/>
          <w:szCs w:val="28"/>
        </w:rPr>
        <w:t>自然</w:t>
      </w:r>
      <w:r>
        <w:rPr>
          <w:rFonts w:ascii="方正仿宋简体" w:eastAsia="方正仿宋简体"/>
          <w:sz w:val="28"/>
          <w:szCs w:val="28"/>
        </w:rPr>
        <w:t>灾害</w:t>
      </w:r>
      <w:r>
        <w:rPr>
          <w:rFonts w:hint="eastAsia" w:ascii="方正仿宋简体" w:eastAsia="方正仿宋简体"/>
          <w:sz w:val="28"/>
          <w:szCs w:val="28"/>
        </w:rPr>
        <w:t>上报川港公司后</w:t>
      </w:r>
      <w:r>
        <w:rPr>
          <w:rFonts w:ascii="方正仿宋简体" w:eastAsia="方正仿宋简体"/>
          <w:sz w:val="28"/>
          <w:szCs w:val="28"/>
        </w:rPr>
        <w:t>由</w:t>
      </w:r>
      <w:r>
        <w:rPr>
          <w:rFonts w:hint="eastAsia" w:ascii="方正仿宋简体" w:eastAsia="方正仿宋简体"/>
          <w:sz w:val="28"/>
          <w:szCs w:val="28"/>
        </w:rPr>
        <w:t>川港公司</w:t>
      </w:r>
      <w:r>
        <w:rPr>
          <w:rFonts w:ascii="方正仿宋简体" w:eastAsia="方正仿宋简体"/>
          <w:sz w:val="28"/>
          <w:szCs w:val="28"/>
        </w:rPr>
        <w:t>进行统筹组织</w:t>
      </w:r>
      <w:r>
        <w:rPr>
          <w:rFonts w:hint="eastAsia" w:ascii="方正仿宋简体" w:eastAsia="方正仿宋简体"/>
          <w:sz w:val="28"/>
          <w:szCs w:val="28"/>
        </w:rPr>
        <w:t>、</w:t>
      </w:r>
      <w:r>
        <w:rPr>
          <w:rFonts w:ascii="方正仿宋简体" w:eastAsia="方正仿宋简体"/>
          <w:sz w:val="28"/>
          <w:szCs w:val="28"/>
        </w:rPr>
        <w:t>协调。</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第十八条  </w:t>
      </w:r>
      <w:r>
        <w:rPr>
          <w:rFonts w:hint="eastAsia" w:ascii="方正仿宋简体" w:eastAsia="方正仿宋简体"/>
          <w:sz w:val="28"/>
          <w:szCs w:val="28"/>
        </w:rPr>
        <w:t>灾情发生后，公司应根据事件响应级别及时启动相应应急预案，积极组织抢险救灾工作，必要时果断采取关停生产设备措施，进行人员、设备转移，确保员工生命安全和重要设备安全，尽量减小灾害损失。</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sz w:val="24"/>
        </w:rPr>
      </w:pPr>
      <w:r>
        <w:rPr>
          <w:rFonts w:hint="eastAsia" w:ascii="方正仿宋简体" w:eastAsia="方正仿宋简体"/>
          <w:b/>
          <w:sz w:val="28"/>
          <w:szCs w:val="28"/>
        </w:rPr>
        <w:t>第十九条</w:t>
      </w:r>
      <w:r>
        <w:rPr>
          <w:rFonts w:hint="eastAsia" w:ascii="方正仿宋简体" w:eastAsia="方正仿宋简体"/>
          <w:sz w:val="28"/>
          <w:szCs w:val="28"/>
        </w:rPr>
        <w:t xml:space="preserve">  灾情发生后，公司第一时间组织现场办公，赶赴现场调查核实灾情，制定治理或恢复的初步方案，同时作好灾害损失资料收集、上报，包括灾害发生地点、损失情况、现场图片、恢复整改方案及费用估算等</w:t>
      </w:r>
      <w:r>
        <w:rPr>
          <w:rFonts w:ascii="方正仿宋简体" w:eastAsia="方正仿宋简体"/>
          <w:sz w:val="28"/>
          <w:szCs w:val="28"/>
        </w:rPr>
        <w:t>。</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第二十条</w:t>
      </w:r>
      <w:r>
        <w:rPr>
          <w:rFonts w:hint="eastAsia" w:ascii="方正仿宋简体" w:eastAsia="方正仿宋简体"/>
          <w:sz w:val="28"/>
          <w:szCs w:val="28"/>
        </w:rPr>
        <w:t xml:space="preserve">  作好自然灾害信息报送工作，确保信息及时、准确上报。自然灾害重要信息汇报按照公司突发事件信息报送相关规定执行。</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第五章  灾害治理项目管理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第二十一条</w:t>
      </w:r>
      <w:r>
        <w:rPr>
          <w:rFonts w:hint="eastAsia" w:ascii="方正仿宋简体" w:eastAsia="方正仿宋简体"/>
          <w:sz w:val="28"/>
          <w:szCs w:val="28"/>
        </w:rPr>
        <w:t xml:space="preserve">  自然灾害治理项目仅适用于公司在用固定资产及燃气资产等生产设施。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（一）应严格划分灾害费用支出和资本性支出界限，不得将灾害治理项目费用挪为它用，日常生产维护费用不得列入灾害治理项目费用。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（二）新建、改建、扩建等投资改造项目及其在建期间发生的损毁修复费用不得列入灾害治理项目费用。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第二十二条</w:t>
      </w:r>
      <w:r>
        <w:rPr>
          <w:rFonts w:hint="eastAsia" w:ascii="方正仿宋简体" w:eastAsia="方正仿宋简体"/>
          <w:sz w:val="28"/>
          <w:szCs w:val="28"/>
        </w:rPr>
        <w:t xml:space="preserve">  严格灾害治理项目立项原则，对确因自然灾害造成且符合灾害证明材料齐全、现场图片有说服力等相关要求的隐患治理或损毁修复，在对其实施必要性及治理效益进行充分论证并符合条件的前提下，方能立项；</w:t>
      </w:r>
      <w:r>
        <w:rPr>
          <w:rFonts w:ascii="方正仿宋简体" w:eastAsia="方正仿宋简体"/>
          <w:sz w:val="28"/>
          <w:szCs w:val="28"/>
        </w:rPr>
        <w:t>对</w:t>
      </w:r>
      <w:r>
        <w:rPr>
          <w:rFonts w:hint="eastAsia" w:ascii="方正仿宋简体" w:eastAsia="方正仿宋简体"/>
          <w:sz w:val="28"/>
          <w:szCs w:val="28"/>
        </w:rPr>
        <w:t>于大型自然灾害隐患治理或损毁修复的</w:t>
      </w:r>
      <w:r>
        <w:rPr>
          <w:rFonts w:ascii="方正仿宋简体" w:eastAsia="方正仿宋简体"/>
          <w:sz w:val="28"/>
          <w:szCs w:val="28"/>
        </w:rPr>
        <w:t>立项</w:t>
      </w:r>
      <w:r>
        <w:rPr>
          <w:rFonts w:hint="eastAsia" w:ascii="方正仿宋简体" w:eastAsia="方正仿宋简体"/>
          <w:sz w:val="28"/>
          <w:szCs w:val="28"/>
        </w:rPr>
        <w:t>必要性，必要时上报上级单位由川港公司</w:t>
      </w:r>
      <w:r>
        <w:rPr>
          <w:rFonts w:ascii="方正仿宋简体" w:eastAsia="方正仿宋简体"/>
          <w:sz w:val="28"/>
          <w:szCs w:val="28"/>
        </w:rPr>
        <w:t>组织现场办公</w:t>
      </w:r>
      <w:r>
        <w:rPr>
          <w:rFonts w:hint="eastAsia" w:ascii="方正仿宋简体" w:eastAsia="方正仿宋简体"/>
          <w:sz w:val="28"/>
          <w:szCs w:val="28"/>
        </w:rPr>
        <w:t>进行核实。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第二十三条</w:t>
      </w:r>
      <w:r>
        <w:rPr>
          <w:rFonts w:hint="eastAsia" w:ascii="方正仿宋简体" w:eastAsia="方正仿宋简体"/>
          <w:sz w:val="28"/>
          <w:szCs w:val="28"/>
        </w:rPr>
        <w:t xml:space="preserve">  </w:t>
      </w:r>
      <w:r>
        <w:rPr>
          <w:rFonts w:hint="eastAsia" w:ascii="方正仿宋简体" w:eastAsia="方正仿宋简体"/>
          <w:sz w:val="28"/>
          <w:szCs w:val="28"/>
          <w:lang w:eastAsia="zh-CN"/>
        </w:rPr>
        <w:t>生产运行部</w:t>
      </w:r>
      <w:r>
        <w:rPr>
          <w:rFonts w:hint="eastAsia" w:ascii="方正仿宋简体" w:eastAsia="方正仿宋简体"/>
          <w:sz w:val="28"/>
          <w:szCs w:val="28"/>
        </w:rPr>
        <w:t>负责及时向川港公司上报自然灾害治理项目建议计划（格式见附件1），上报项目的治理方案、恢复工作量及估算费用必须会同相关部门认真进行论证、核实。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灾害费用与灾害治理项目须一一对应，杜绝项目费用虚高；不得将小项目合并成大项目；严禁虚报或重报项目。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第二十四条</w:t>
      </w:r>
      <w:r>
        <w:rPr>
          <w:rFonts w:hint="eastAsia" w:ascii="方正仿宋简体" w:eastAsia="方正仿宋简体"/>
          <w:sz w:val="28"/>
          <w:szCs w:val="28"/>
        </w:rPr>
        <w:t xml:space="preserve">  灾害治理项目上报图片必须保证拍摄质量，做到全局照片与局部特写相结合、图片清晰，并标注相应文字说明。项目中每个重要受灾点均应有至少三张证明图片，以全面真实反映现场实际情况。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第二十五条  </w:t>
      </w:r>
      <w:r>
        <w:rPr>
          <w:rFonts w:hint="eastAsia" w:ascii="方正仿宋简体" w:eastAsia="方正仿宋简体"/>
          <w:sz w:val="28"/>
          <w:szCs w:val="28"/>
        </w:rPr>
        <w:t>为保证及时完成自然灾害治理工作，为项目实施留出合理周期，公司</w:t>
      </w:r>
      <w:r>
        <w:rPr>
          <w:rFonts w:hint="eastAsia" w:ascii="方正仿宋简体" w:eastAsia="方正仿宋简体"/>
          <w:sz w:val="28"/>
          <w:szCs w:val="28"/>
          <w:lang w:eastAsia="zh-CN"/>
        </w:rPr>
        <w:t>生产运行部</w:t>
      </w:r>
      <w:r>
        <w:rPr>
          <w:rFonts w:hint="eastAsia" w:ascii="方正仿宋简体" w:eastAsia="方正仿宋简体"/>
          <w:sz w:val="28"/>
          <w:szCs w:val="28"/>
        </w:rPr>
        <w:t>应在9月底前上报建议计划。由川港公司统一管理、统一立项审批，按部门或单位职能分级实施。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第二十六条</w:t>
      </w:r>
      <w:r>
        <w:rPr>
          <w:rFonts w:hint="eastAsia" w:ascii="方正仿宋简体" w:eastAsia="方正仿宋简体"/>
          <w:sz w:val="28"/>
          <w:szCs w:val="28"/>
        </w:rPr>
        <w:t xml:space="preserve"> </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灾害治理项目计划一经下达，项目不得随意变更，实施计划费用不得超支、挪用。下达的当年度灾害治理项目实施计划原则上在年度内完成，对于治理工艺较复杂、施工周期较长的项目，建立常态化的费用跨年处理机制。确需跨年实施的项目，应明确提出需跨年实施的工作量及费用，</w:t>
      </w:r>
      <w:r>
        <w:rPr>
          <w:rFonts w:hint="eastAsia" w:ascii="方正仿宋简体" w:eastAsia="方正仿宋简体"/>
          <w:sz w:val="28"/>
          <w:szCs w:val="28"/>
          <w:lang w:eastAsia="zh-CN"/>
        </w:rPr>
        <w:t>生产运行部</w:t>
      </w:r>
      <w:r>
        <w:rPr>
          <w:rFonts w:hint="eastAsia" w:ascii="方正仿宋简体" w:eastAsia="方正仿宋简体"/>
          <w:sz w:val="28"/>
          <w:szCs w:val="28"/>
        </w:rPr>
        <w:t>在12月上旬前报请四川川港审批（格式见附件2），四川川港审批同意后跨入来年实施，在次年一季度下达跨年自控项目调整计划予以明确。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第二十七条</w:t>
      </w:r>
      <w:r>
        <w:rPr>
          <w:rFonts w:hint="eastAsia" w:ascii="方正仿宋简体" w:eastAsia="方正仿宋简体"/>
          <w:sz w:val="28"/>
          <w:szCs w:val="28"/>
        </w:rPr>
        <w:t xml:space="preserve">  从事灾害治理项目的</w:t>
      </w:r>
      <w:r>
        <w:rPr>
          <w:rFonts w:ascii="方正仿宋简体" w:eastAsia="方正仿宋简体"/>
          <w:sz w:val="28"/>
          <w:szCs w:val="28"/>
        </w:rPr>
        <w:t>勘察</w:t>
      </w:r>
      <w:r>
        <w:rPr>
          <w:rFonts w:hint="eastAsia" w:ascii="方正仿宋简体" w:eastAsia="方正仿宋简体"/>
          <w:sz w:val="28"/>
          <w:szCs w:val="28"/>
        </w:rPr>
        <w:t>、设计、施工、监理单位必须具备相应资质。其中：承担地质灾害治理项目勘查、设计、施工和监理的单位，要求具有国土资源主管部门颁发的相应等级的资质证书，方可在资质等级许可的范围内从事地质灾害治理项目的勘查、设计、施工和监理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第二十八条</w:t>
      </w:r>
      <w:r>
        <w:rPr>
          <w:rFonts w:hint="eastAsia" w:ascii="方正仿宋简体" w:eastAsia="方正仿宋简体"/>
          <w:sz w:val="28"/>
          <w:szCs w:val="28"/>
        </w:rPr>
        <w:t xml:space="preserve">  对于有必要搞清场地和地基工程地质条件的灾害治理项目，应立足于原工程项目的勘察设计资料；若资料不全或缺失，应补做地质勘察。以确保设计方案优化、安全、经济、可行，做到整改一步到位，隐患治理彻底，避免不必要的重复治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000000"/>
          <w:sz w:val="28"/>
          <w:szCs w:val="28"/>
        </w:rPr>
      </w:pPr>
      <w:r>
        <w:rPr>
          <w:rFonts w:hint="eastAsia" w:ascii="方正仿宋简体" w:eastAsia="方正仿宋简体"/>
          <w:color w:val="000000"/>
          <w:sz w:val="28"/>
          <w:szCs w:val="28"/>
        </w:rPr>
        <w:t>严格项目合规性管理，对确有必要进行安环评、地灾、压矿、行洪论证等专项评价的灾害治理项目，应安排有资质单位及时开展并出具相应评价报告。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第二十九条</w:t>
      </w:r>
      <w:r>
        <w:rPr>
          <w:rFonts w:hint="eastAsia" w:ascii="方正仿宋简体" w:eastAsia="方正仿宋简体"/>
          <w:sz w:val="28"/>
          <w:szCs w:val="28"/>
        </w:rPr>
        <w:t xml:space="preserve">  灾害治理项目须邀请资质单位进行（勘察）设计，不允许自行编制方案代设计。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 xml:space="preserve">第三十条  </w:t>
      </w:r>
      <w:r>
        <w:rPr>
          <w:rFonts w:hint="eastAsia" w:ascii="方正仿宋简体" w:eastAsia="方正仿宋简体"/>
          <w:sz w:val="28"/>
          <w:szCs w:val="28"/>
        </w:rPr>
        <w:t>对于灾害治理项目，有条件的必须实施招投标，确因客观条件无法实施招标的项目，应选择市场准入范围内信誉好业绩优、从业经验丰富、服务质量过硬的承包商。</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b w:val="0"/>
          <w:bCs w:val="0"/>
          <w:szCs w:val="28"/>
        </w:rPr>
      </w:pPr>
      <w:r>
        <w:rPr>
          <w:rFonts w:hint="eastAsia" w:ascii="方正仿宋简体" w:eastAsia="方正仿宋简体"/>
          <w:b/>
          <w:bCs w:val="0"/>
          <w:szCs w:val="28"/>
        </w:rPr>
        <w:t>第三十一条</w:t>
      </w:r>
      <w:r>
        <w:rPr>
          <w:rFonts w:hint="eastAsia" w:ascii="方正仿宋简体" w:eastAsia="方正仿宋简体"/>
          <w:b w:val="0"/>
          <w:bCs w:val="0"/>
          <w:szCs w:val="28"/>
        </w:rPr>
        <w:t xml:space="preserve">  分控</w:t>
      </w:r>
      <w:r>
        <w:rPr>
          <w:rFonts w:ascii="方正仿宋简体" w:eastAsia="方正仿宋简体"/>
          <w:b w:val="0"/>
          <w:bCs w:val="0"/>
          <w:szCs w:val="28"/>
        </w:rPr>
        <w:t>项目</w:t>
      </w:r>
      <w:r>
        <w:rPr>
          <w:rFonts w:hint="eastAsia" w:ascii="方正仿宋简体" w:eastAsia="方正仿宋简体"/>
          <w:b w:val="0"/>
          <w:bCs w:val="0"/>
          <w:szCs w:val="28"/>
        </w:rPr>
        <w:t>勘察</w:t>
      </w:r>
      <w:r>
        <w:rPr>
          <w:rFonts w:ascii="方正仿宋简体" w:eastAsia="方正仿宋简体"/>
          <w:b w:val="0"/>
          <w:bCs w:val="0"/>
          <w:szCs w:val="28"/>
        </w:rPr>
        <w:t>设计及概算编制，必须以</w:t>
      </w:r>
      <w:r>
        <w:rPr>
          <w:rFonts w:hint="eastAsia" w:ascii="方正仿宋简体" w:eastAsia="方正仿宋简体"/>
          <w:b w:val="0"/>
          <w:bCs w:val="0"/>
          <w:szCs w:val="28"/>
        </w:rPr>
        <w:t>分公司</w:t>
      </w:r>
      <w:r>
        <w:rPr>
          <w:rFonts w:ascii="方正仿宋简体" w:eastAsia="方正仿宋简体"/>
          <w:b w:val="0"/>
          <w:bCs w:val="0"/>
          <w:szCs w:val="28"/>
        </w:rPr>
        <w:t>下达的</w:t>
      </w:r>
      <w:r>
        <w:rPr>
          <w:rFonts w:hint="eastAsia" w:ascii="方正仿宋简体" w:eastAsia="方正仿宋简体"/>
          <w:b w:val="0"/>
          <w:bCs w:val="0"/>
          <w:szCs w:val="28"/>
        </w:rPr>
        <w:t>分控项目</w:t>
      </w:r>
      <w:r>
        <w:rPr>
          <w:rFonts w:ascii="方正仿宋简体" w:eastAsia="方正仿宋简体"/>
          <w:b w:val="0"/>
          <w:bCs w:val="0"/>
          <w:szCs w:val="28"/>
        </w:rPr>
        <w:t>计划为依据</w:t>
      </w:r>
      <w:r>
        <w:rPr>
          <w:rFonts w:hint="eastAsia" w:ascii="方正仿宋简体" w:eastAsia="方正仿宋简体"/>
          <w:b w:val="0"/>
          <w:bCs w:val="0"/>
          <w:szCs w:val="28"/>
        </w:rPr>
        <w:t>。上报项目名称应与项目计划下达名称一致。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b w:val="0"/>
          <w:bCs w:val="0"/>
          <w:sz w:val="28"/>
          <w:szCs w:val="28"/>
        </w:rPr>
        <w:t>在计划下达后30日内，对项目勘察设计（方案）及概算进行严格</w:t>
      </w:r>
      <w:r>
        <w:rPr>
          <w:rFonts w:hint="eastAsia" w:ascii="方正仿宋简体" w:eastAsia="方正仿宋简体"/>
          <w:sz w:val="28"/>
          <w:szCs w:val="28"/>
        </w:rPr>
        <w:t>预审后，上</w:t>
      </w:r>
      <w:r>
        <w:rPr>
          <w:rFonts w:ascii="方正仿宋简体" w:eastAsia="方正仿宋简体"/>
          <w:sz w:val="28"/>
          <w:szCs w:val="28"/>
        </w:rPr>
        <w:t>报</w:t>
      </w:r>
      <w:r>
        <w:rPr>
          <w:rFonts w:hint="eastAsia" w:ascii="方正仿宋简体" w:eastAsia="方正仿宋简体"/>
          <w:sz w:val="28"/>
          <w:szCs w:val="28"/>
        </w:rPr>
        <w:t>分公司</w:t>
      </w:r>
      <w:r>
        <w:rPr>
          <w:rFonts w:ascii="方正仿宋简体" w:eastAsia="方正仿宋简体"/>
          <w:sz w:val="28"/>
          <w:szCs w:val="28"/>
        </w:rPr>
        <w:t>审批</w:t>
      </w:r>
      <w:r>
        <w:rPr>
          <w:rFonts w:hint="eastAsia" w:ascii="方正仿宋简体" w:eastAsia="方正仿宋简体"/>
          <w:sz w:val="28"/>
          <w:szCs w:val="28"/>
        </w:rPr>
        <w:t>，并附预审会议纪要或部门审查意见及会签表；上报设计深度应达到施工图设计深度要求。第一次上报分公司审查时，需提交勘察设计（方案）至少十份，概算书至少五份。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分公司组织勘察</w:t>
      </w:r>
      <w:r>
        <w:rPr>
          <w:rFonts w:ascii="方正仿宋简体" w:eastAsia="方正仿宋简体"/>
          <w:sz w:val="28"/>
          <w:szCs w:val="28"/>
        </w:rPr>
        <w:t>设计</w:t>
      </w:r>
      <w:r>
        <w:rPr>
          <w:rFonts w:hint="eastAsia" w:ascii="方正仿宋简体" w:eastAsia="方正仿宋简体"/>
          <w:sz w:val="28"/>
          <w:szCs w:val="28"/>
        </w:rPr>
        <w:t>及概算审查后，勘察设计单位须按照分公司审查意见进行响应，将勘察设计修改情况说明书面材料一并纳入修改后的勘察设计文件内。勘察设计修改情况须先由四川川港审查并提供书面确认材料后，方能第二次上报分公司审批。第二次上报分公司审批时，需提交勘察设计（方案）、概算书至少各两份，同时在OA上报设计概算审查的请示中随文上报设计（方案）、概算书电子文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待分公司批复项目勘察设计（方案）及概算后，方能组织项目实施。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第三十二条</w:t>
      </w:r>
      <w:r>
        <w:rPr>
          <w:rFonts w:hint="eastAsia" w:ascii="方正仿宋简体" w:eastAsia="方正仿宋简体"/>
          <w:sz w:val="28"/>
          <w:szCs w:val="28"/>
        </w:rPr>
        <w:t xml:space="preserve">  对生产、安全造成重大影响必须立即开展抢险恢复的灾害治理项目，应遵循特事特办的原则，按应急程序处置，确保安全生产。</w:t>
      </w:r>
    </w:p>
    <w:p>
      <w:pPr>
        <w:keepNext w:val="0"/>
        <w:keepLines w:val="0"/>
        <w:pageBreakBefore w:val="0"/>
        <w:widowControl w:val="0"/>
        <w:tabs>
          <w:tab w:val="left" w:pos="2520"/>
          <w:tab w:val="left" w:pos="267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第三十三条</w:t>
      </w:r>
      <w:r>
        <w:rPr>
          <w:rFonts w:hint="eastAsia" w:ascii="方正仿宋简体" w:eastAsia="方正仿宋简体"/>
          <w:sz w:val="28"/>
          <w:szCs w:val="28"/>
        </w:rPr>
        <w:t xml:space="preserve">  加强灾害治理项目实施全过程管理。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（一）公司应按照川港公司相关规定，严格项目管理，认真组织实施，抓好重要节点控制（详见附件4），确保质量、安全、环保、工期和费用控制。</w:t>
      </w:r>
    </w:p>
    <w:p>
      <w:pPr>
        <w:keepNext w:val="0"/>
        <w:keepLines w:val="0"/>
        <w:pageBreakBefore w:val="0"/>
        <w:widowControl w:val="0"/>
        <w:tabs>
          <w:tab w:val="left" w:pos="2520"/>
          <w:tab w:val="left" w:pos="267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（二）承包商选择和物资采购应严格按照川港公司招投标管理、合同管理、准入管理、物资采购管理等相关规定执行。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三）自然灾害项目施工必须严格按审批后的施工组织设计（或施工方案）进行施工；严格按合同要求保证项目质量和施工进度，同时录取现场施工前、施工中、施工完成后同角度数码照片并随竣工资料归档，项目资料须随项目进度同步完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四）由于设计、供货或施工条件等方面的原因所引起的设计图纸变更、现场施工变更或物资材料代用等超出设计批复范围的，公司必须提出书面申请（详见附件5），经设计、监理单位核实，报川港公司（主管部门）批准后方可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（五）在重点项目实施完成后，需完成项目治理效果的跟踪评价。</w:t>
      </w:r>
    </w:p>
    <w:p>
      <w:pPr>
        <w:keepNext w:val="0"/>
        <w:keepLines w:val="0"/>
        <w:pageBreakBefore w:val="0"/>
        <w:widowControl w:val="0"/>
        <w:tabs>
          <w:tab w:val="left" w:pos="2160"/>
          <w:tab w:val="left" w:pos="252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第三十四条</w:t>
      </w:r>
      <w:r>
        <w:rPr>
          <w:rFonts w:hint="eastAsia" w:ascii="方正仿宋简体" w:eastAsia="方正仿宋简体"/>
          <w:sz w:val="28"/>
          <w:szCs w:val="28"/>
        </w:rPr>
        <w:t xml:space="preserve">  灾害治理项目实施过程中拆除的部件，应尽量安排再利用。项目余料应按公司相关管理办法及时回收入库并冲减相应项目成本。对确实无法再利用的拆除部件和余料，应按公司固定资产报废处置的相关规定进行处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第三十五条</w:t>
      </w:r>
      <w:r>
        <w:rPr>
          <w:rFonts w:hint="eastAsia" w:ascii="方正仿宋简体" w:eastAsia="方正仿宋简体"/>
          <w:sz w:val="28"/>
          <w:szCs w:val="28"/>
        </w:rPr>
        <w:t xml:space="preserve">  灾害治理分控项目完工交接原则由四川川港自行组织完成，项目的投产试运及验收，由公司按照相关规定执行。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r>
        <w:rPr>
          <w:rFonts w:hint="eastAsia" w:ascii="方正仿宋简体" w:eastAsia="方正仿宋简体"/>
          <w:sz w:val="28"/>
          <w:szCs w:val="28"/>
        </w:rPr>
        <w:t>灾害治理自控项目完工交接由四川川港组织完成，公司需提前对项目进行技术、安全和环保初步验收，达到要求后向川港管道管理部提出完工交接申请。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sz w:val="28"/>
          <w:szCs w:val="28"/>
        </w:rPr>
      </w:pPr>
      <w:r>
        <w:rPr>
          <w:rFonts w:hint="eastAsia" w:ascii="方正仿宋简体" w:eastAsia="方正仿宋简体"/>
          <w:b/>
          <w:sz w:val="28"/>
          <w:szCs w:val="28"/>
        </w:rPr>
        <w:t>第三十六条</w:t>
      </w:r>
      <w:r>
        <w:rPr>
          <w:rFonts w:hint="eastAsia" w:ascii="方正仿宋简体" w:eastAsia="方正仿宋简体"/>
          <w:sz w:val="28"/>
          <w:szCs w:val="28"/>
        </w:rPr>
        <w:t xml:space="preserve">  公司应做好自然灾害治理项目基础管理工作，建立健全相关资料、台帐，并作好存档备查工作。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第六章    附则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rPr>
      </w:pPr>
      <w:r>
        <w:rPr>
          <w:rFonts w:hint="eastAsia" w:ascii="方正仿宋简体" w:hAnsi="宋体" w:eastAsia="方正仿宋简体"/>
          <w:b/>
          <w:sz w:val="28"/>
        </w:rPr>
        <w:t>第三十七条</w:t>
      </w:r>
      <w:r>
        <w:rPr>
          <w:rFonts w:hint="eastAsia" w:ascii="方正仿宋简体" w:hAnsi="宋体" w:eastAsia="方正仿宋简体"/>
          <w:sz w:val="28"/>
        </w:rPr>
        <w:t xml:space="preserve">  本办法由</w:t>
      </w:r>
      <w:r>
        <w:rPr>
          <w:rFonts w:hint="eastAsia" w:ascii="方正仿宋简体" w:hAnsi="宋体" w:eastAsia="方正仿宋简体"/>
          <w:sz w:val="28"/>
          <w:lang w:eastAsia="zh-CN"/>
        </w:rPr>
        <w:t>生产运行部</w:t>
      </w:r>
      <w:r>
        <w:rPr>
          <w:rFonts w:hint="eastAsia" w:ascii="方正仿宋简体" w:hAnsi="宋体" w:eastAsia="方正仿宋简体"/>
          <w:sz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rPr>
      </w:pPr>
      <w:r>
        <w:rPr>
          <w:rFonts w:hint="eastAsia" w:ascii="方正仿宋简体" w:hAnsi="宋体" w:eastAsia="方正仿宋简体"/>
          <w:b/>
          <w:sz w:val="28"/>
        </w:rPr>
        <w:t>第三十八条</w:t>
      </w:r>
      <w:r>
        <w:rPr>
          <w:rFonts w:hint="eastAsia" w:ascii="方正仿宋简体" w:hAnsi="宋体" w:eastAsia="方正仿宋简体"/>
          <w:sz w:val="28"/>
        </w:rPr>
        <w:t xml:space="preserve">  本办法自发布之日起执行。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rPr>
      </w:pPr>
      <w:r>
        <w:rPr>
          <w:rFonts w:hint="eastAsia" w:ascii="方正仿宋简体" w:hAnsi="宋体" w:eastAsia="方正仿宋简体"/>
          <w:sz w:val="28"/>
        </w:rPr>
        <w:t>附件：1.自然灾害治理项目建议计划表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宋体" w:eastAsia="方正仿宋简体"/>
          <w:sz w:val="28"/>
        </w:rPr>
      </w:pPr>
      <w:r>
        <w:rPr>
          <w:rFonts w:hint="eastAsia" w:ascii="方正仿宋简体" w:hAnsi="宋体" w:eastAsia="方正仿宋简体"/>
          <w:sz w:val="28"/>
        </w:rPr>
        <w:t>2.跨年实施自然灾害治理项目统计表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宋体" w:eastAsia="方正仿宋简体"/>
          <w:sz w:val="28"/>
        </w:rPr>
      </w:pPr>
      <w:r>
        <w:rPr>
          <w:rFonts w:hint="eastAsia" w:ascii="方正仿宋简体" w:hAnsi="宋体" w:eastAsia="方正仿宋简体"/>
          <w:sz w:val="28"/>
        </w:rPr>
        <w:t>3.自然灾害治理项目应急立项审批表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宋体" w:eastAsia="方正仿宋简体"/>
          <w:sz w:val="28"/>
        </w:rPr>
      </w:pPr>
      <w:r>
        <w:rPr>
          <w:rFonts w:hint="eastAsia" w:ascii="方正仿宋简体" w:hAnsi="宋体" w:eastAsia="方正仿宋简体"/>
          <w:sz w:val="28"/>
        </w:rPr>
        <w:t>4.自然灾害治理项目重要节点控制表</w:t>
      </w:r>
    </w:p>
    <w:p>
      <w:pPr>
        <w:spacing w:line="560" w:lineRule="exact"/>
        <w:rPr>
          <w:rFonts w:hint="eastAsia" w:ascii="方正仿宋简体" w:hAnsi="宋体" w:eastAsia="方正仿宋简体"/>
          <w:sz w:val="28"/>
        </w:rPr>
      </w:pPr>
    </w:p>
    <w:p>
      <w:pPr>
        <w:spacing w:line="640" w:lineRule="exact"/>
        <w:jc w:val="center"/>
        <w:rPr>
          <w:rFonts w:hint="eastAsia" w:ascii="方正黑体简体" w:hAnsi="方正黑体简体" w:eastAsia="方正黑体简体" w:cs="方正黑体简体"/>
          <w:b/>
          <w:bCs/>
          <w:sz w:val="36"/>
          <w:szCs w:val="36"/>
        </w:rPr>
      </w:pPr>
    </w:p>
    <w:p>
      <w:pPr>
        <w:rPr>
          <w:rFonts w:hint="eastAsia" w:ascii="方正黑体简体" w:hAnsi="方正黑体简体" w:eastAsia="方正黑体简体" w:cs="方正黑体简体"/>
          <w:b w:val="0"/>
          <w:bCs w:val="0"/>
          <w:sz w:val="32"/>
          <w:szCs w:val="32"/>
          <w:lang w:eastAsia="zh-CN"/>
        </w:rPr>
      </w:pPr>
      <w:r>
        <w:rPr>
          <w:rFonts w:hint="eastAsia" w:ascii="方正黑体简体" w:hAnsi="方正黑体简体" w:eastAsia="方正黑体简体" w:cs="方正黑体简体"/>
          <w:b/>
          <w:bCs/>
          <w:sz w:val="32"/>
          <w:szCs w:val="32"/>
          <w:lang w:eastAsia="zh-CN"/>
        </w:rPr>
        <w:br w:type="page"/>
      </w:r>
    </w:p>
    <w:p>
      <w:pPr>
        <w:spacing w:line="640" w:lineRule="exact"/>
        <w:jc w:val="left"/>
        <w:rPr>
          <w:rFonts w:hint="default" w:ascii="方正黑体简体" w:hAnsi="方正黑体简体" w:eastAsia="方正黑体简体" w:cs="方正黑体简体"/>
          <w:b w:val="0"/>
          <w:bCs w:val="0"/>
          <w:sz w:val="36"/>
          <w:szCs w:val="36"/>
          <w:lang w:val="en-US" w:eastAsia="zh-CN"/>
        </w:rPr>
      </w:pPr>
      <w:r>
        <w:rPr>
          <w:rFonts w:hint="eastAsia" w:ascii="方正黑体简体" w:hAnsi="方正黑体简体" w:eastAsia="方正黑体简体" w:cs="方正黑体简体"/>
          <w:b w:val="0"/>
          <w:bCs w:val="0"/>
          <w:sz w:val="32"/>
          <w:szCs w:val="32"/>
          <w:lang w:eastAsia="zh-CN"/>
        </w:rPr>
        <w:t>附件</w:t>
      </w:r>
      <w:r>
        <w:rPr>
          <w:rFonts w:hint="eastAsia" w:ascii="方正黑体简体" w:hAnsi="方正黑体简体" w:eastAsia="方正黑体简体" w:cs="方正黑体简体"/>
          <w:b w:val="0"/>
          <w:bCs w:val="0"/>
          <w:sz w:val="32"/>
          <w:szCs w:val="32"/>
          <w:lang w:val="en-US" w:eastAsia="zh-CN"/>
        </w:rPr>
        <w:t>1</w:t>
      </w:r>
    </w:p>
    <w:tbl>
      <w:tblPr>
        <w:tblStyle w:val="51"/>
        <w:tblpPr w:leftFromText="180" w:rightFromText="180" w:vertAnchor="text" w:horzAnchor="page" w:tblpX="1190" w:tblpY="645"/>
        <w:tblOverlap w:val="never"/>
        <w:tblW w:w="9430" w:type="dxa"/>
        <w:tblInd w:w="0" w:type="dxa"/>
        <w:tblLayout w:type="fixed"/>
        <w:tblCellMar>
          <w:top w:w="0" w:type="dxa"/>
          <w:left w:w="108" w:type="dxa"/>
          <w:bottom w:w="0" w:type="dxa"/>
          <w:right w:w="108" w:type="dxa"/>
        </w:tblCellMar>
      </w:tblPr>
      <w:tblGrid>
        <w:gridCol w:w="578"/>
        <w:gridCol w:w="1007"/>
        <w:gridCol w:w="994"/>
        <w:gridCol w:w="1066"/>
        <w:gridCol w:w="1639"/>
        <w:gridCol w:w="1434"/>
        <w:gridCol w:w="1680"/>
        <w:gridCol w:w="1032"/>
      </w:tblGrid>
      <w:tr>
        <w:tblPrEx>
          <w:tblLayout w:type="fixed"/>
          <w:tblCellMar>
            <w:top w:w="0" w:type="dxa"/>
            <w:left w:w="108" w:type="dxa"/>
            <w:bottom w:w="0" w:type="dxa"/>
            <w:right w:w="108" w:type="dxa"/>
          </w:tblCellMar>
        </w:tblPrEx>
        <w:trPr>
          <w:trHeight w:val="536" w:hRule="atLeast"/>
        </w:trPr>
        <w:tc>
          <w:tcPr>
            <w:tcW w:w="9430" w:type="dxa"/>
            <w:gridSpan w:val="8"/>
            <w:tcBorders>
              <w:top w:val="nil"/>
              <w:left w:val="nil"/>
              <w:bottom w:val="nil"/>
              <w:right w:val="nil"/>
            </w:tcBorders>
            <w:vAlign w:val="center"/>
          </w:tcPr>
          <w:p>
            <w:pPr>
              <w:widowControl/>
              <w:jc w:val="center"/>
              <w:rPr>
                <w:rFonts w:ascii="方正小标宋简体" w:hAnsi="宋体" w:eastAsia="方正小标宋简体" w:cs="宋体"/>
                <w:b/>
                <w:bCs/>
                <w:kern w:val="0"/>
                <w:sz w:val="36"/>
                <w:szCs w:val="36"/>
              </w:rPr>
            </w:pPr>
            <w:r>
              <w:rPr>
                <w:rFonts w:hint="eastAsia" w:ascii="方正小标宋简体" w:hAnsi="宋体" w:eastAsia="方正小标宋简体" w:cs="宋体"/>
                <w:b/>
                <w:bCs/>
                <w:kern w:val="0"/>
                <w:sz w:val="36"/>
                <w:szCs w:val="36"/>
              </w:rPr>
              <w:t>自然灾害治理项目建议计划表</w:t>
            </w:r>
          </w:p>
        </w:tc>
      </w:tr>
      <w:tr>
        <w:tblPrEx>
          <w:tblLayout w:type="fixed"/>
          <w:tblCellMar>
            <w:top w:w="0" w:type="dxa"/>
            <w:left w:w="108" w:type="dxa"/>
            <w:bottom w:w="0" w:type="dxa"/>
            <w:right w:w="108" w:type="dxa"/>
          </w:tblCellMar>
        </w:tblPrEx>
        <w:trPr>
          <w:trHeight w:val="536" w:hRule="atLeast"/>
        </w:trPr>
        <w:tc>
          <w:tcPr>
            <w:tcW w:w="3645" w:type="dxa"/>
            <w:gridSpan w:val="4"/>
            <w:tcBorders>
              <w:top w:val="nil"/>
              <w:left w:val="nil"/>
              <w:bottom w:val="single" w:color="auto" w:sz="4" w:space="0"/>
              <w:right w:val="nil"/>
            </w:tcBorders>
            <w:vAlign w:val="center"/>
          </w:tcPr>
          <w:p>
            <w:pPr>
              <w:widowControl/>
              <w:jc w:val="left"/>
              <w:rPr>
                <w:rFonts w:ascii="方正仿宋简体" w:hAnsi="宋体" w:eastAsia="方正仿宋简体" w:cs="宋体"/>
                <w:kern w:val="0"/>
                <w:sz w:val="24"/>
                <w:szCs w:val="24"/>
              </w:rPr>
            </w:pPr>
            <w:r>
              <w:rPr>
                <w:rFonts w:hint="eastAsia" w:ascii="方正仿宋简体" w:hAnsi="宋体" w:eastAsia="方正仿宋简体" w:cs="宋体"/>
                <w:kern w:val="0"/>
                <w:sz w:val="24"/>
                <w:szCs w:val="24"/>
              </w:rPr>
              <w:t>填报单位：</w:t>
            </w:r>
          </w:p>
        </w:tc>
        <w:tc>
          <w:tcPr>
            <w:tcW w:w="1639" w:type="dxa"/>
            <w:tcBorders>
              <w:top w:val="nil"/>
              <w:left w:val="nil"/>
              <w:bottom w:val="single" w:color="auto" w:sz="4" w:space="0"/>
              <w:right w:val="nil"/>
            </w:tcBorders>
            <w:vAlign w:val="center"/>
          </w:tcPr>
          <w:p>
            <w:pPr>
              <w:widowControl/>
              <w:jc w:val="center"/>
              <w:rPr>
                <w:rFonts w:ascii="方正仿宋简体" w:hAnsi="宋体" w:eastAsia="方正仿宋简体" w:cs="宋体"/>
                <w:kern w:val="0"/>
                <w:sz w:val="24"/>
                <w:szCs w:val="24"/>
              </w:rPr>
            </w:pPr>
          </w:p>
        </w:tc>
        <w:tc>
          <w:tcPr>
            <w:tcW w:w="1434" w:type="dxa"/>
            <w:tcBorders>
              <w:top w:val="nil"/>
              <w:left w:val="nil"/>
              <w:bottom w:val="single" w:color="auto" w:sz="4" w:space="0"/>
              <w:right w:val="nil"/>
            </w:tcBorders>
            <w:vAlign w:val="center"/>
          </w:tcPr>
          <w:p>
            <w:pPr>
              <w:widowControl/>
              <w:jc w:val="center"/>
              <w:rPr>
                <w:rFonts w:ascii="方正仿宋简体" w:hAnsi="宋体" w:eastAsia="方正仿宋简体" w:cs="宋体"/>
                <w:kern w:val="0"/>
                <w:sz w:val="24"/>
                <w:szCs w:val="24"/>
              </w:rPr>
            </w:pPr>
          </w:p>
        </w:tc>
        <w:tc>
          <w:tcPr>
            <w:tcW w:w="1680" w:type="dxa"/>
            <w:tcBorders>
              <w:top w:val="nil"/>
              <w:left w:val="nil"/>
              <w:bottom w:val="single" w:color="auto" w:sz="4" w:space="0"/>
              <w:right w:val="nil"/>
            </w:tcBorders>
            <w:vAlign w:val="center"/>
          </w:tcPr>
          <w:p>
            <w:pPr>
              <w:widowControl/>
              <w:jc w:val="center"/>
              <w:rPr>
                <w:rFonts w:ascii="方正仿宋简体" w:hAnsi="宋体" w:eastAsia="方正仿宋简体" w:cs="宋体"/>
                <w:kern w:val="0"/>
                <w:sz w:val="24"/>
                <w:szCs w:val="24"/>
              </w:rPr>
            </w:pPr>
          </w:p>
        </w:tc>
        <w:tc>
          <w:tcPr>
            <w:tcW w:w="1032" w:type="dxa"/>
            <w:tcBorders>
              <w:top w:val="nil"/>
              <w:left w:val="nil"/>
              <w:bottom w:val="single" w:color="auto" w:sz="4" w:space="0"/>
              <w:right w:val="nil"/>
            </w:tcBorders>
            <w:vAlign w:val="center"/>
          </w:tcPr>
          <w:p>
            <w:pPr>
              <w:widowControl/>
              <w:jc w:val="left"/>
              <w:rPr>
                <w:rFonts w:ascii="方正仿宋简体" w:hAnsi="宋体" w:eastAsia="方正仿宋简体" w:cs="宋体"/>
                <w:kern w:val="0"/>
                <w:sz w:val="24"/>
                <w:szCs w:val="24"/>
              </w:rPr>
            </w:pPr>
          </w:p>
        </w:tc>
      </w:tr>
      <w:tr>
        <w:tblPrEx>
          <w:tblLayout w:type="fixed"/>
          <w:tblCellMar>
            <w:top w:w="0" w:type="dxa"/>
            <w:left w:w="108" w:type="dxa"/>
            <w:bottom w:w="0" w:type="dxa"/>
            <w:right w:w="108" w:type="dxa"/>
          </w:tblCellMar>
        </w:tblPrEx>
        <w:trPr>
          <w:trHeight w:val="549" w:hRule="atLeast"/>
        </w:trPr>
        <w:tc>
          <w:tcPr>
            <w:tcW w:w="578" w:type="dxa"/>
            <w:tcBorders>
              <w:top w:val="nil"/>
              <w:left w:val="single" w:color="auto" w:sz="4" w:space="0"/>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序号</w:t>
            </w:r>
          </w:p>
        </w:tc>
        <w:tc>
          <w:tcPr>
            <w:tcW w:w="1007"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项目名称</w:t>
            </w:r>
          </w:p>
        </w:tc>
        <w:tc>
          <w:tcPr>
            <w:tcW w:w="994"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项目地点</w:t>
            </w:r>
          </w:p>
        </w:tc>
        <w:tc>
          <w:tcPr>
            <w:tcW w:w="1066"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损毁情况</w:t>
            </w:r>
          </w:p>
        </w:tc>
        <w:tc>
          <w:tcPr>
            <w:tcW w:w="1639"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立项必要性及</w:t>
            </w:r>
            <w:r>
              <w:rPr>
                <w:rFonts w:hint="eastAsia" w:ascii="方正仿宋简体" w:hAnsi="宋体" w:eastAsia="方正仿宋简体" w:cs="宋体"/>
                <w:b/>
                <w:bCs/>
                <w:kern w:val="0"/>
                <w:sz w:val="21"/>
                <w:szCs w:val="21"/>
              </w:rPr>
              <w:br w:type="textWrapping"/>
            </w:r>
            <w:r>
              <w:rPr>
                <w:rFonts w:hint="eastAsia" w:ascii="方正仿宋简体" w:hAnsi="宋体" w:eastAsia="方正仿宋简体" w:cs="宋体"/>
                <w:b/>
                <w:bCs/>
                <w:kern w:val="0"/>
                <w:sz w:val="21"/>
                <w:szCs w:val="21"/>
              </w:rPr>
              <w:t>治理效益分析</w:t>
            </w:r>
          </w:p>
        </w:tc>
        <w:tc>
          <w:tcPr>
            <w:tcW w:w="1434"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治理方案及主要工作量</w:t>
            </w:r>
          </w:p>
        </w:tc>
        <w:tc>
          <w:tcPr>
            <w:tcW w:w="1680" w:type="dxa"/>
            <w:tcBorders>
              <w:top w:val="nil"/>
              <w:left w:val="nil"/>
              <w:bottom w:val="nil"/>
              <w:right w:val="single" w:color="auto" w:sz="4" w:space="0"/>
            </w:tcBorders>
            <w:vAlign w:val="center"/>
          </w:tcPr>
          <w:p>
            <w:pPr>
              <w:widowControl/>
              <w:jc w:val="center"/>
              <w:rPr>
                <w:rFonts w:hint="eastAsia"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估算费用</w:t>
            </w:r>
          </w:p>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（万元）</w:t>
            </w:r>
          </w:p>
        </w:tc>
        <w:tc>
          <w:tcPr>
            <w:tcW w:w="1032" w:type="dxa"/>
            <w:tcBorders>
              <w:top w:val="nil"/>
              <w:left w:val="nil"/>
              <w:bottom w:val="nil"/>
              <w:right w:val="single" w:color="auto" w:sz="4" w:space="0"/>
            </w:tcBorders>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备 注</w:t>
            </w:r>
          </w:p>
        </w:tc>
      </w:tr>
      <w:tr>
        <w:tblPrEx>
          <w:tblLayout w:type="fixed"/>
          <w:tblCellMar>
            <w:top w:w="0" w:type="dxa"/>
            <w:left w:w="108" w:type="dxa"/>
            <w:bottom w:w="0" w:type="dxa"/>
            <w:right w:w="108" w:type="dxa"/>
          </w:tblCellMar>
        </w:tblPrEx>
        <w:trPr>
          <w:trHeight w:val="285" w:hRule="atLeast"/>
        </w:trPr>
        <w:tc>
          <w:tcPr>
            <w:tcW w:w="9430" w:type="dxa"/>
            <w:gridSpan w:val="8"/>
            <w:tcBorders>
              <w:top w:val="single" w:color="auto" w:sz="8" w:space="0"/>
              <w:left w:val="single" w:color="auto" w:sz="8" w:space="0"/>
              <w:bottom w:val="nil"/>
              <w:right w:val="single" w:color="000000" w:sz="8" w:space="0"/>
            </w:tcBorders>
            <w:shd w:val="clear" w:color="000000" w:fill="FFFFFF"/>
            <w:vAlign w:val="center"/>
          </w:tcPr>
          <w:p>
            <w:pPr>
              <w:widowControl/>
              <w:jc w:val="left"/>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一、公路部分</w:t>
            </w:r>
          </w:p>
        </w:tc>
      </w:tr>
      <w:tr>
        <w:tblPrEx>
          <w:tblLayout w:type="fixed"/>
          <w:tblCellMar>
            <w:top w:w="0" w:type="dxa"/>
            <w:left w:w="108" w:type="dxa"/>
            <w:bottom w:w="0" w:type="dxa"/>
            <w:right w:w="108" w:type="dxa"/>
          </w:tblCellMar>
        </w:tblPrEx>
        <w:trPr>
          <w:trHeight w:val="299"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single" w:color="auto" w:sz="4" w:space="0"/>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007"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421" w:hRule="atLeast"/>
        </w:trPr>
        <w:tc>
          <w:tcPr>
            <w:tcW w:w="1585" w:type="dxa"/>
            <w:gridSpan w:val="2"/>
            <w:tcBorders>
              <w:top w:val="single" w:color="auto" w:sz="4" w:space="0"/>
              <w:left w:val="single" w:color="auto" w:sz="8" w:space="0"/>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小计</w:t>
            </w:r>
          </w:p>
        </w:tc>
        <w:tc>
          <w:tcPr>
            <w:tcW w:w="994"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066"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39"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434"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80"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nil"/>
              <w:left w:val="nil"/>
              <w:bottom w:val="single" w:color="auto" w:sz="8"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337" w:hRule="atLeast"/>
        </w:trPr>
        <w:tc>
          <w:tcPr>
            <w:tcW w:w="9430" w:type="dxa"/>
            <w:gridSpan w:val="8"/>
            <w:tcBorders>
              <w:top w:val="single" w:color="auto" w:sz="8" w:space="0"/>
              <w:left w:val="single" w:color="auto" w:sz="8" w:space="0"/>
              <w:bottom w:val="nil"/>
              <w:right w:val="single" w:color="000000" w:sz="8" w:space="0"/>
            </w:tcBorders>
            <w:shd w:val="clear" w:color="000000" w:fill="FFFFFF"/>
            <w:vAlign w:val="center"/>
          </w:tcPr>
          <w:p>
            <w:pPr>
              <w:widowControl/>
              <w:jc w:val="left"/>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二、站场（输配气站、CNG、LNG）部分</w:t>
            </w:r>
          </w:p>
        </w:tc>
      </w:tr>
      <w:tr>
        <w:tblPrEx>
          <w:tblLayout w:type="fixed"/>
          <w:tblCellMar>
            <w:top w:w="0" w:type="dxa"/>
            <w:left w:w="108" w:type="dxa"/>
            <w:bottom w:w="0" w:type="dxa"/>
            <w:right w:w="108" w:type="dxa"/>
          </w:tblCellMar>
        </w:tblPrEx>
        <w:trPr>
          <w:trHeight w:val="299"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single" w:color="auto" w:sz="4" w:space="0"/>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97"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308"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both"/>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8" w:hRule="atLeast"/>
        </w:trPr>
        <w:tc>
          <w:tcPr>
            <w:tcW w:w="1585" w:type="dxa"/>
            <w:gridSpan w:val="2"/>
            <w:tcBorders>
              <w:top w:val="single" w:color="auto" w:sz="4" w:space="0"/>
              <w:left w:val="single" w:color="auto" w:sz="8" w:space="0"/>
              <w:bottom w:val="single" w:color="auto" w:sz="8" w:space="0"/>
              <w:right w:val="single" w:color="000000"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小计</w:t>
            </w:r>
          </w:p>
        </w:tc>
        <w:tc>
          <w:tcPr>
            <w:tcW w:w="994"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066"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39"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434" w:type="dxa"/>
            <w:tcBorders>
              <w:top w:val="nil"/>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80"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nil"/>
              <w:left w:val="nil"/>
              <w:bottom w:val="single" w:color="auto" w:sz="8" w:space="0"/>
              <w:right w:val="single" w:color="auto" w:sz="8" w:space="0"/>
            </w:tcBorders>
            <w:shd w:val="clear" w:color="000000" w:fill="FFFFFF"/>
            <w:vAlign w:val="center"/>
          </w:tcPr>
          <w:p>
            <w:pPr>
              <w:widowControl/>
              <w:jc w:val="left"/>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306" w:hRule="atLeast"/>
        </w:trPr>
        <w:tc>
          <w:tcPr>
            <w:tcW w:w="9430" w:type="dxa"/>
            <w:gridSpan w:val="8"/>
            <w:tcBorders>
              <w:top w:val="single" w:color="auto" w:sz="8" w:space="0"/>
              <w:left w:val="single" w:color="auto" w:sz="8" w:space="0"/>
              <w:bottom w:val="nil"/>
              <w:right w:val="single" w:color="000000" w:sz="8" w:space="0"/>
            </w:tcBorders>
            <w:shd w:val="clear" w:color="000000" w:fill="FFFFFF"/>
            <w:vAlign w:val="center"/>
          </w:tcPr>
          <w:p>
            <w:pPr>
              <w:widowControl/>
              <w:jc w:val="left"/>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三、输气（燃气）管线部分</w:t>
            </w:r>
          </w:p>
        </w:tc>
      </w:tr>
      <w:tr>
        <w:tblPrEx>
          <w:tblLayout w:type="fixed"/>
          <w:tblCellMar>
            <w:top w:w="0" w:type="dxa"/>
            <w:left w:w="108" w:type="dxa"/>
            <w:bottom w:w="0" w:type="dxa"/>
            <w:right w:w="108" w:type="dxa"/>
          </w:tblCellMar>
        </w:tblPrEx>
        <w:trPr>
          <w:trHeight w:val="421"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single" w:color="auto" w:sz="4" w:space="0"/>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421"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421"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89" w:hRule="atLeast"/>
        </w:trPr>
        <w:tc>
          <w:tcPr>
            <w:tcW w:w="1585" w:type="dxa"/>
            <w:gridSpan w:val="2"/>
            <w:tcBorders>
              <w:top w:val="single" w:color="auto" w:sz="4" w:space="0"/>
              <w:left w:val="single" w:color="auto" w:sz="8" w:space="0"/>
              <w:bottom w:val="single" w:color="auto" w:sz="8" w:space="0"/>
              <w:right w:val="single" w:color="000000"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小计</w:t>
            </w:r>
          </w:p>
        </w:tc>
        <w:tc>
          <w:tcPr>
            <w:tcW w:w="994"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nil"/>
              <w:left w:val="nil"/>
              <w:bottom w:val="single" w:color="auto" w:sz="8"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85" w:hRule="atLeast"/>
        </w:trPr>
        <w:tc>
          <w:tcPr>
            <w:tcW w:w="9430" w:type="dxa"/>
            <w:gridSpan w:val="8"/>
            <w:tcBorders>
              <w:top w:val="single" w:color="auto" w:sz="8" w:space="0"/>
              <w:left w:val="single" w:color="auto" w:sz="8" w:space="0"/>
              <w:bottom w:val="nil"/>
              <w:right w:val="single" w:color="000000" w:sz="8" w:space="0"/>
            </w:tcBorders>
            <w:shd w:val="clear" w:color="000000" w:fill="FFFFFF"/>
            <w:vAlign w:val="center"/>
          </w:tcPr>
          <w:p>
            <w:pPr>
              <w:widowControl/>
              <w:jc w:val="left"/>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四、其它</w:t>
            </w:r>
          </w:p>
        </w:tc>
      </w:tr>
      <w:tr>
        <w:tblPrEx>
          <w:tblLayout w:type="fixed"/>
          <w:tblCellMar>
            <w:top w:w="0" w:type="dxa"/>
            <w:left w:w="108" w:type="dxa"/>
            <w:bottom w:w="0" w:type="dxa"/>
            <w:right w:w="108" w:type="dxa"/>
          </w:tblCellMar>
        </w:tblPrEx>
        <w:trPr>
          <w:trHeight w:val="289"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single" w:color="auto" w:sz="4" w:space="0"/>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306" w:hRule="atLeast"/>
        </w:trPr>
        <w:tc>
          <w:tcPr>
            <w:tcW w:w="578" w:type="dxa"/>
            <w:tcBorders>
              <w:top w:val="nil"/>
              <w:left w:val="single" w:color="auto" w:sz="8" w:space="0"/>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007"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8" w:hRule="atLeast"/>
        </w:trPr>
        <w:tc>
          <w:tcPr>
            <w:tcW w:w="1585" w:type="dxa"/>
            <w:gridSpan w:val="2"/>
            <w:tcBorders>
              <w:top w:val="single" w:color="auto" w:sz="4" w:space="0"/>
              <w:left w:val="single" w:color="auto" w:sz="8" w:space="0"/>
              <w:bottom w:val="single" w:color="auto" w:sz="8" w:space="0"/>
              <w:right w:val="single" w:color="000000"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小计</w:t>
            </w:r>
          </w:p>
        </w:tc>
        <w:tc>
          <w:tcPr>
            <w:tcW w:w="994"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nil"/>
              <w:left w:val="nil"/>
              <w:bottom w:val="single" w:color="auto" w:sz="8"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337" w:hRule="atLeast"/>
        </w:trPr>
        <w:tc>
          <w:tcPr>
            <w:tcW w:w="9430" w:type="dxa"/>
            <w:gridSpan w:val="8"/>
            <w:tcBorders>
              <w:top w:val="single" w:color="auto" w:sz="8" w:space="0"/>
              <w:left w:val="single" w:color="auto" w:sz="8" w:space="0"/>
              <w:bottom w:val="nil"/>
              <w:right w:val="single" w:color="000000" w:sz="8" w:space="0"/>
            </w:tcBorders>
            <w:shd w:val="clear" w:color="000000" w:fill="FFFFFF"/>
            <w:vAlign w:val="center"/>
          </w:tcPr>
          <w:p>
            <w:pPr>
              <w:widowControl/>
              <w:jc w:val="left"/>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五、在建工程</w:t>
            </w:r>
          </w:p>
        </w:tc>
      </w:tr>
      <w:tr>
        <w:tblPrEx>
          <w:tblLayout w:type="fixed"/>
          <w:tblCellMar>
            <w:top w:w="0" w:type="dxa"/>
            <w:left w:w="108" w:type="dxa"/>
            <w:bottom w:w="0" w:type="dxa"/>
            <w:right w:w="108" w:type="dxa"/>
          </w:tblCellMar>
        </w:tblPrEx>
        <w:trPr>
          <w:trHeight w:val="277" w:hRule="atLeast"/>
        </w:trPr>
        <w:tc>
          <w:tcPr>
            <w:tcW w:w="578" w:type="dxa"/>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00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single" w:color="auto" w:sz="4" w:space="0"/>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57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007"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99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32" w:type="dxa"/>
            <w:tcBorders>
              <w:top w:val="nil"/>
              <w:left w:val="nil"/>
              <w:bottom w:val="single" w:color="auto" w:sz="4" w:space="0"/>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277" w:hRule="atLeast"/>
        </w:trPr>
        <w:tc>
          <w:tcPr>
            <w:tcW w:w="1585" w:type="dxa"/>
            <w:gridSpan w:val="2"/>
            <w:tcBorders>
              <w:top w:val="single" w:color="auto" w:sz="4" w:space="0"/>
              <w:left w:val="single" w:color="auto" w:sz="8" w:space="0"/>
              <w:bottom w:val="nil"/>
              <w:right w:val="single" w:color="000000"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小计</w:t>
            </w:r>
          </w:p>
        </w:tc>
        <w:tc>
          <w:tcPr>
            <w:tcW w:w="994"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066"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39"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434"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p>
        </w:tc>
        <w:tc>
          <w:tcPr>
            <w:tcW w:w="1680" w:type="dxa"/>
            <w:tcBorders>
              <w:top w:val="nil"/>
              <w:left w:val="nil"/>
              <w:bottom w:val="nil"/>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nil"/>
              <w:left w:val="nil"/>
              <w:bottom w:val="nil"/>
              <w:right w:val="single" w:color="auto" w:sz="8" w:space="0"/>
            </w:tcBorders>
            <w:shd w:val="clear" w:color="000000" w:fill="FFFFFF"/>
            <w:vAlign w:val="center"/>
          </w:tcPr>
          <w:p>
            <w:pPr>
              <w:widowControl/>
              <w:jc w:val="center"/>
              <w:rPr>
                <w:rFonts w:ascii="方正仿宋简体" w:hAnsi="宋体" w:eastAsia="方正仿宋简体" w:cs="宋体"/>
                <w:kern w:val="0"/>
                <w:sz w:val="21"/>
                <w:szCs w:val="21"/>
              </w:rPr>
            </w:pPr>
          </w:p>
        </w:tc>
      </w:tr>
      <w:tr>
        <w:tblPrEx>
          <w:tblLayout w:type="fixed"/>
          <w:tblCellMar>
            <w:top w:w="0" w:type="dxa"/>
            <w:left w:w="108" w:type="dxa"/>
            <w:bottom w:w="0" w:type="dxa"/>
            <w:right w:w="108" w:type="dxa"/>
          </w:tblCellMar>
        </w:tblPrEx>
        <w:trPr>
          <w:trHeight w:val="553" w:hRule="atLeast"/>
        </w:trPr>
        <w:tc>
          <w:tcPr>
            <w:tcW w:w="2579" w:type="dxa"/>
            <w:gridSpan w:val="3"/>
            <w:tcBorders>
              <w:top w:val="single" w:color="auto" w:sz="8" w:space="0"/>
              <w:left w:val="single" w:color="auto" w:sz="8" w:space="0"/>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r>
              <w:rPr>
                <w:rFonts w:hint="eastAsia" w:ascii="方正仿宋简体" w:hAnsi="宋体" w:eastAsia="方正仿宋简体" w:cs="宋体"/>
                <w:b/>
                <w:bCs/>
                <w:kern w:val="0"/>
                <w:sz w:val="21"/>
                <w:szCs w:val="21"/>
              </w:rPr>
              <w:t>合  计</w:t>
            </w:r>
          </w:p>
        </w:tc>
        <w:tc>
          <w:tcPr>
            <w:tcW w:w="1066" w:type="dxa"/>
            <w:tcBorders>
              <w:top w:val="single" w:color="auto" w:sz="8" w:space="0"/>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39" w:type="dxa"/>
            <w:tcBorders>
              <w:top w:val="single" w:color="auto" w:sz="8" w:space="0"/>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434" w:type="dxa"/>
            <w:tcBorders>
              <w:top w:val="single" w:color="auto" w:sz="8" w:space="0"/>
              <w:left w:val="nil"/>
              <w:bottom w:val="single" w:color="auto" w:sz="8"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p>
        </w:tc>
        <w:tc>
          <w:tcPr>
            <w:tcW w:w="1680" w:type="dxa"/>
            <w:tcBorders>
              <w:top w:val="single" w:color="auto" w:sz="8" w:space="0"/>
              <w:left w:val="nil"/>
              <w:bottom w:val="single" w:color="auto" w:sz="8" w:space="0"/>
              <w:right w:val="single" w:color="auto" w:sz="4" w:space="0"/>
            </w:tcBorders>
            <w:shd w:val="clear" w:color="000000" w:fill="FFFFFF"/>
            <w:vAlign w:val="center"/>
          </w:tcPr>
          <w:p>
            <w:pPr>
              <w:widowControl/>
              <w:jc w:val="center"/>
              <w:rPr>
                <w:rFonts w:ascii="方正仿宋简体" w:hAnsi="宋体" w:eastAsia="方正仿宋简体" w:cs="宋体"/>
                <w:b/>
                <w:bCs/>
                <w:kern w:val="0"/>
                <w:sz w:val="21"/>
                <w:szCs w:val="21"/>
              </w:rPr>
            </w:pPr>
          </w:p>
        </w:tc>
        <w:tc>
          <w:tcPr>
            <w:tcW w:w="1032" w:type="dxa"/>
            <w:tcBorders>
              <w:top w:val="single" w:color="auto" w:sz="8" w:space="0"/>
              <w:left w:val="nil"/>
              <w:bottom w:val="single" w:color="auto" w:sz="8" w:space="0"/>
              <w:right w:val="single" w:color="auto" w:sz="8" w:space="0"/>
            </w:tcBorders>
            <w:shd w:val="clear" w:color="000000" w:fill="FFFFFF"/>
            <w:vAlign w:val="center"/>
          </w:tcPr>
          <w:p>
            <w:pPr>
              <w:widowControl/>
              <w:jc w:val="left"/>
              <w:rPr>
                <w:rFonts w:ascii="方正仿宋简体" w:hAnsi="宋体" w:eastAsia="方正仿宋简体" w:cs="宋体"/>
                <w:kern w:val="0"/>
                <w:sz w:val="24"/>
                <w:szCs w:val="24"/>
              </w:rPr>
            </w:pPr>
          </w:p>
        </w:tc>
      </w:tr>
      <w:tr>
        <w:tblPrEx>
          <w:tblLayout w:type="fixed"/>
          <w:tblCellMar>
            <w:top w:w="0" w:type="dxa"/>
            <w:left w:w="108" w:type="dxa"/>
            <w:bottom w:w="0" w:type="dxa"/>
            <w:right w:w="108" w:type="dxa"/>
          </w:tblCellMar>
        </w:tblPrEx>
        <w:trPr>
          <w:trHeight w:val="288" w:hRule="atLeast"/>
        </w:trPr>
        <w:tc>
          <w:tcPr>
            <w:tcW w:w="9430" w:type="dxa"/>
            <w:gridSpan w:val="8"/>
            <w:tcBorders>
              <w:top w:val="nil"/>
              <w:left w:val="nil"/>
              <w:bottom w:val="nil"/>
              <w:right w:val="nil"/>
            </w:tcBorders>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注：（1）项目地点应明确到**市**县**镇（乡）**村（社）。</w:t>
            </w:r>
          </w:p>
        </w:tc>
      </w:tr>
      <w:tr>
        <w:tblPrEx>
          <w:tblLayout w:type="fixed"/>
          <w:tblCellMar>
            <w:top w:w="0" w:type="dxa"/>
            <w:left w:w="108" w:type="dxa"/>
            <w:bottom w:w="0" w:type="dxa"/>
            <w:right w:w="108" w:type="dxa"/>
          </w:tblCellMar>
        </w:tblPrEx>
        <w:trPr>
          <w:trHeight w:val="289" w:hRule="atLeast"/>
        </w:trPr>
        <w:tc>
          <w:tcPr>
            <w:tcW w:w="9430" w:type="dxa"/>
            <w:gridSpan w:val="8"/>
            <w:tcBorders>
              <w:top w:val="nil"/>
              <w:left w:val="nil"/>
              <w:bottom w:val="nil"/>
              <w:right w:val="nil"/>
            </w:tcBorders>
            <w:vAlign w:val="center"/>
          </w:tcPr>
          <w:p>
            <w:pPr>
              <w:widowControl/>
              <w:numPr>
                <w:ilvl w:val="0"/>
                <w:numId w:val="9"/>
              </w:numPr>
              <w:ind w:firstLine="480"/>
              <w:jc w:val="left"/>
              <w:rPr>
                <w:rFonts w:hint="eastAsia" w:ascii="方正仿宋简体" w:hAnsi="宋体" w:eastAsia="方正仿宋简体" w:cs="宋体"/>
                <w:kern w:val="0"/>
                <w:sz w:val="21"/>
                <w:szCs w:val="21"/>
              </w:rPr>
            </w:pPr>
            <w:r>
              <w:rPr>
                <w:rFonts w:hint="eastAsia" w:ascii="方正仿宋简体" w:hAnsi="宋体" w:eastAsia="方正仿宋简体" w:cs="宋体"/>
                <w:kern w:val="0"/>
                <w:sz w:val="21"/>
                <w:szCs w:val="21"/>
              </w:rPr>
              <w:t>输气（燃气）管线部分，应在“损毁情况”栏中明确规格型号、所处桩号位置等。</w:t>
            </w:r>
          </w:p>
        </w:tc>
      </w:tr>
    </w:tbl>
    <w:p>
      <w:pPr>
        <w:widowControl/>
        <w:jc w:val="left"/>
        <w:rPr>
          <w:rFonts w:hint="eastAsia" w:ascii="方正黑体简体" w:hAnsi="方正黑体简体" w:eastAsia="方正黑体简体" w:cs="方正黑体简体"/>
          <w:kern w:val="0"/>
          <w:sz w:val="32"/>
          <w:szCs w:val="32"/>
          <w:lang w:val="en-US" w:eastAsia="zh-CN"/>
        </w:rPr>
      </w:pPr>
      <w:r>
        <w:rPr>
          <w:rFonts w:hint="eastAsia" w:ascii="方正仿宋简体" w:hAnsi="宋体" w:eastAsia="方正仿宋简体" w:cs="宋体"/>
          <w:kern w:val="0"/>
          <w:sz w:val="21"/>
          <w:szCs w:val="21"/>
        </w:rPr>
        <w:br w:type="page"/>
      </w:r>
      <w:r>
        <w:rPr>
          <w:rFonts w:hint="eastAsia" w:ascii="方正黑体简体" w:hAnsi="方正黑体简体" w:eastAsia="方正黑体简体" w:cs="方正黑体简体"/>
          <w:kern w:val="0"/>
          <w:sz w:val="32"/>
          <w:szCs w:val="32"/>
          <w:lang w:eastAsia="zh-CN"/>
        </w:rPr>
        <w:t>附件</w:t>
      </w:r>
      <w:r>
        <w:rPr>
          <w:rFonts w:hint="eastAsia" w:ascii="方正黑体简体" w:hAnsi="方正黑体简体" w:eastAsia="方正黑体简体" w:cs="方正黑体简体"/>
          <w:kern w:val="0"/>
          <w:sz w:val="32"/>
          <w:szCs w:val="32"/>
          <w:lang w:val="en-US" w:eastAsia="zh-CN"/>
        </w:rPr>
        <w:t>2</w:t>
      </w:r>
    </w:p>
    <w:tbl>
      <w:tblPr>
        <w:tblStyle w:val="51"/>
        <w:tblW w:w="8923" w:type="dxa"/>
        <w:tblInd w:w="0" w:type="dxa"/>
        <w:tblLayout w:type="fixed"/>
        <w:tblCellMar>
          <w:top w:w="0" w:type="dxa"/>
          <w:left w:w="108" w:type="dxa"/>
          <w:bottom w:w="0" w:type="dxa"/>
          <w:right w:w="108" w:type="dxa"/>
        </w:tblCellMar>
      </w:tblPr>
      <w:tblGrid>
        <w:gridCol w:w="751"/>
        <w:gridCol w:w="648"/>
        <w:gridCol w:w="1296"/>
        <w:gridCol w:w="1140"/>
        <w:gridCol w:w="1716"/>
        <w:gridCol w:w="2328"/>
        <w:gridCol w:w="1044"/>
      </w:tblGrid>
      <w:tr>
        <w:tblPrEx>
          <w:tblLayout w:type="fixed"/>
          <w:tblCellMar>
            <w:top w:w="0" w:type="dxa"/>
            <w:left w:w="108" w:type="dxa"/>
            <w:bottom w:w="0" w:type="dxa"/>
            <w:right w:w="108" w:type="dxa"/>
          </w:tblCellMar>
        </w:tblPrEx>
        <w:trPr>
          <w:trHeight w:val="746" w:hRule="atLeast"/>
        </w:trPr>
        <w:tc>
          <w:tcPr>
            <w:tcW w:w="8923" w:type="dxa"/>
            <w:gridSpan w:val="7"/>
            <w:tcBorders>
              <w:top w:val="nil"/>
              <w:left w:val="nil"/>
              <w:bottom w:val="single" w:color="auto" w:sz="4" w:space="0"/>
              <w:right w:val="nil"/>
            </w:tcBorders>
            <w:vAlign w:val="center"/>
          </w:tcPr>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XXXX年跨年实施自然灾害治理项目统计表</w:t>
            </w:r>
          </w:p>
        </w:tc>
      </w:tr>
      <w:tr>
        <w:tblPrEx>
          <w:tblLayout w:type="fixed"/>
          <w:tblCellMar>
            <w:top w:w="0" w:type="dxa"/>
            <w:left w:w="108" w:type="dxa"/>
            <w:bottom w:w="0" w:type="dxa"/>
            <w:right w:w="108" w:type="dxa"/>
          </w:tblCellMar>
        </w:tblPrEx>
        <w:trPr>
          <w:trHeight w:val="720"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序号</w:t>
            </w:r>
          </w:p>
        </w:tc>
        <w:tc>
          <w:tcPr>
            <w:tcW w:w="648"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单位</w:t>
            </w:r>
          </w:p>
        </w:tc>
        <w:tc>
          <w:tcPr>
            <w:tcW w:w="1296"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项目名称</w:t>
            </w:r>
          </w:p>
        </w:tc>
        <w:tc>
          <w:tcPr>
            <w:tcW w:w="114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批复费用</w:t>
            </w:r>
          </w:p>
        </w:tc>
        <w:tc>
          <w:tcPr>
            <w:tcW w:w="1716"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跨年费用</w:t>
            </w:r>
          </w:p>
        </w:tc>
        <w:tc>
          <w:tcPr>
            <w:tcW w:w="2328"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跨年实施工作量</w:t>
            </w:r>
          </w:p>
        </w:tc>
        <w:tc>
          <w:tcPr>
            <w:tcW w:w="104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b w:val="0"/>
                <w:bCs w:val="0"/>
                <w:kern w:val="2"/>
                <w:sz w:val="21"/>
                <w:szCs w:val="22"/>
                <w:lang w:val="en-US" w:eastAsia="zh-CN" w:bidi="ar-SA"/>
              </w:rPr>
            </w:pPr>
            <w:r>
              <w:rPr>
                <w:rFonts w:hint="eastAsia" w:cs="Times New Roman"/>
                <w:b w:val="0"/>
                <w:bCs w:val="0"/>
                <w:kern w:val="2"/>
                <w:sz w:val="21"/>
                <w:szCs w:val="22"/>
                <w:lang w:val="en-US" w:eastAsia="zh-CN" w:bidi="ar-SA"/>
              </w:rPr>
              <w:t>备注</w:t>
            </w:r>
          </w:p>
        </w:tc>
      </w:tr>
      <w:tr>
        <w:tblPrEx>
          <w:tblLayout w:type="fixed"/>
          <w:tblCellMar>
            <w:top w:w="0" w:type="dxa"/>
            <w:left w:w="108" w:type="dxa"/>
            <w:bottom w:w="0" w:type="dxa"/>
            <w:right w:w="108" w:type="dxa"/>
          </w:tblCellMar>
        </w:tblPrEx>
        <w:trPr>
          <w:trHeight w:val="678"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2</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3</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4</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5</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6</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7</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8</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9</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10</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11</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12</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13</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556" w:hRule="atLeast"/>
        </w:trPr>
        <w:tc>
          <w:tcPr>
            <w:tcW w:w="751"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14</w:t>
            </w:r>
          </w:p>
        </w:tc>
        <w:tc>
          <w:tcPr>
            <w:tcW w:w="64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9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1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716"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2328"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044"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1080" w:hRule="atLeast"/>
        </w:trPr>
        <w:tc>
          <w:tcPr>
            <w:tcW w:w="751" w:type="dxa"/>
            <w:tcBorders>
              <w:top w:val="single" w:color="auto" w:sz="4" w:space="0"/>
              <w:left w:val="single" w:color="auto" w:sz="4" w:space="0"/>
              <w:bottom w:val="single" w:color="auto" w:sz="4" w:space="0"/>
              <w:right w:val="nil"/>
            </w:tcBorders>
            <w:vAlign w:val="center"/>
          </w:tcPr>
          <w:p>
            <w:pPr>
              <w:widowControl/>
              <w:jc w:val="center"/>
              <w:rPr>
                <w:rFonts w:ascii="方正仿宋简体" w:hAnsi="宋体" w:eastAsia="方正仿宋简体" w:cs="宋体"/>
                <w:b/>
                <w:bCs/>
                <w:kern w:val="0"/>
                <w:sz w:val="24"/>
                <w:szCs w:val="24"/>
              </w:rPr>
            </w:pPr>
            <w:r>
              <w:rPr>
                <w:rFonts w:hint="eastAsia" w:ascii="方正仿宋简体" w:hAnsi="宋体" w:eastAsia="方正仿宋简体" w:cs="宋体"/>
                <w:b/>
                <w:bCs/>
                <w:kern w:val="0"/>
                <w:sz w:val="24"/>
                <w:szCs w:val="24"/>
              </w:rPr>
              <w:t>合计</w:t>
            </w:r>
          </w:p>
        </w:tc>
        <w:tc>
          <w:tcPr>
            <w:tcW w:w="648" w:type="dxa"/>
            <w:tcBorders>
              <w:top w:val="single" w:color="auto" w:sz="4" w:space="0"/>
              <w:left w:val="nil"/>
              <w:bottom w:val="single" w:color="auto" w:sz="4" w:space="0"/>
              <w:right w:val="nil"/>
            </w:tcBorders>
            <w:vAlign w:val="center"/>
          </w:tcPr>
          <w:p>
            <w:pPr>
              <w:widowControl/>
              <w:jc w:val="center"/>
              <w:rPr>
                <w:rFonts w:ascii="方正仿宋简体" w:hAnsi="宋体" w:eastAsia="方正仿宋简体" w:cs="宋体"/>
                <w:b/>
                <w:bCs/>
                <w:kern w:val="0"/>
                <w:sz w:val="24"/>
                <w:szCs w:val="24"/>
              </w:rPr>
            </w:pPr>
          </w:p>
        </w:tc>
        <w:tc>
          <w:tcPr>
            <w:tcW w:w="1296" w:type="dxa"/>
            <w:tcBorders>
              <w:top w:val="single" w:color="auto" w:sz="4" w:space="0"/>
              <w:left w:val="nil"/>
              <w:bottom w:val="single" w:color="auto" w:sz="4" w:space="0"/>
              <w:right w:val="nil"/>
            </w:tcBorders>
            <w:vAlign w:val="center"/>
          </w:tcPr>
          <w:p>
            <w:pPr>
              <w:widowControl/>
              <w:jc w:val="center"/>
              <w:rPr>
                <w:rFonts w:ascii="方正仿宋简体" w:hAnsi="宋体" w:eastAsia="方正仿宋简体" w:cs="宋体"/>
                <w:b/>
                <w:bCs/>
                <w:kern w:val="0"/>
                <w:sz w:val="24"/>
                <w:szCs w:val="24"/>
              </w:rPr>
            </w:pPr>
          </w:p>
        </w:tc>
        <w:tc>
          <w:tcPr>
            <w:tcW w:w="1140" w:type="dxa"/>
            <w:tcBorders>
              <w:top w:val="single" w:color="auto" w:sz="4" w:space="0"/>
              <w:left w:val="nil"/>
              <w:bottom w:val="single" w:color="auto" w:sz="4" w:space="0"/>
              <w:right w:val="nil"/>
            </w:tcBorders>
            <w:vAlign w:val="center"/>
          </w:tcPr>
          <w:p>
            <w:pPr>
              <w:widowControl/>
              <w:jc w:val="center"/>
              <w:rPr>
                <w:rFonts w:ascii="方正仿宋简体" w:hAnsi="宋体" w:eastAsia="方正仿宋简体" w:cs="宋体"/>
                <w:b/>
                <w:bCs/>
                <w:kern w:val="0"/>
                <w:sz w:val="24"/>
                <w:szCs w:val="24"/>
              </w:rPr>
            </w:pPr>
          </w:p>
        </w:tc>
        <w:tc>
          <w:tcPr>
            <w:tcW w:w="1716" w:type="dxa"/>
            <w:tcBorders>
              <w:top w:val="single" w:color="auto" w:sz="4" w:space="0"/>
              <w:left w:val="nil"/>
              <w:bottom w:val="single" w:color="auto" w:sz="4" w:space="0"/>
              <w:right w:val="nil"/>
            </w:tcBorders>
            <w:vAlign w:val="center"/>
          </w:tcPr>
          <w:p>
            <w:pPr>
              <w:widowControl/>
              <w:jc w:val="center"/>
              <w:rPr>
                <w:rFonts w:ascii="方正仿宋简体" w:hAnsi="宋体" w:eastAsia="方正仿宋简体" w:cs="宋体"/>
                <w:b/>
                <w:bCs/>
                <w:kern w:val="0"/>
                <w:sz w:val="24"/>
                <w:szCs w:val="24"/>
              </w:rPr>
            </w:pPr>
          </w:p>
        </w:tc>
        <w:tc>
          <w:tcPr>
            <w:tcW w:w="2328" w:type="dxa"/>
            <w:tcBorders>
              <w:top w:val="single" w:color="auto" w:sz="4" w:space="0"/>
              <w:left w:val="nil"/>
              <w:bottom w:val="single" w:color="auto" w:sz="4" w:space="0"/>
              <w:right w:val="nil"/>
            </w:tcBorders>
            <w:vAlign w:val="center"/>
          </w:tcPr>
          <w:p>
            <w:pPr>
              <w:widowControl/>
              <w:jc w:val="center"/>
              <w:rPr>
                <w:rFonts w:ascii="方正仿宋简体" w:hAnsi="宋体" w:eastAsia="方正仿宋简体" w:cs="宋体"/>
                <w:b/>
                <w:bCs/>
                <w:kern w:val="0"/>
                <w:sz w:val="24"/>
                <w:szCs w:val="24"/>
              </w:rPr>
            </w:pPr>
          </w:p>
        </w:tc>
        <w:tc>
          <w:tcPr>
            <w:tcW w:w="1044" w:type="dxa"/>
            <w:tcBorders>
              <w:top w:val="single" w:color="auto" w:sz="4" w:space="0"/>
              <w:left w:val="nil"/>
              <w:bottom w:val="single" w:color="auto" w:sz="4" w:space="0"/>
              <w:right w:val="single" w:color="auto" w:sz="4" w:space="0"/>
            </w:tcBorders>
            <w:vAlign w:val="center"/>
          </w:tcPr>
          <w:p>
            <w:pPr>
              <w:widowControl/>
              <w:jc w:val="center"/>
              <w:rPr>
                <w:rFonts w:ascii="方正仿宋简体" w:hAnsi="宋体" w:eastAsia="方正仿宋简体" w:cs="宋体"/>
                <w:b/>
                <w:bCs/>
                <w:kern w:val="0"/>
                <w:sz w:val="24"/>
                <w:szCs w:val="24"/>
              </w:rPr>
            </w:pPr>
          </w:p>
        </w:tc>
      </w:tr>
    </w:tbl>
    <w:p>
      <w:pPr>
        <w:spacing w:line="640" w:lineRule="exact"/>
        <w:jc w:val="both"/>
        <w:rPr>
          <w:rFonts w:hint="eastAsia" w:ascii="方正黑体简体" w:hAnsi="方正黑体简体" w:eastAsia="方正黑体简体" w:cs="方正黑体简体"/>
          <w:b/>
          <w:bCs/>
          <w:sz w:val="36"/>
          <w:szCs w:val="36"/>
          <w:lang w:eastAsia="zh-CN"/>
        </w:rPr>
      </w:pPr>
    </w:p>
    <w:p>
      <w:pPr>
        <w:spacing w:line="640" w:lineRule="exact"/>
        <w:jc w:val="both"/>
        <w:rPr>
          <w:rFonts w:hint="eastAsia" w:ascii="方正黑体简体" w:hAnsi="方正黑体简体" w:eastAsia="方正黑体简体" w:cs="方正黑体简体"/>
          <w:b/>
          <w:bCs/>
          <w:sz w:val="36"/>
          <w:szCs w:val="36"/>
          <w:lang w:eastAsia="zh-CN"/>
        </w:rPr>
      </w:pPr>
    </w:p>
    <w:p>
      <w:pPr>
        <w:spacing w:line="640" w:lineRule="exact"/>
        <w:jc w:val="both"/>
        <w:rPr>
          <w:rFonts w:hint="eastAsia" w:ascii="方正黑体简体" w:hAnsi="方正黑体简体" w:eastAsia="方正黑体简体" w:cs="方正黑体简体"/>
          <w:b/>
          <w:bCs/>
          <w:sz w:val="36"/>
          <w:szCs w:val="36"/>
          <w:lang w:eastAsia="zh-CN"/>
        </w:rPr>
      </w:pPr>
    </w:p>
    <w:p>
      <w:pPr>
        <w:spacing w:line="640" w:lineRule="exact"/>
        <w:jc w:val="both"/>
        <w:rPr>
          <w:rFonts w:hint="eastAsia" w:ascii="方正黑体简体" w:hAnsi="方正黑体简体" w:eastAsia="方正黑体简体" w:cs="方正黑体简体"/>
          <w:b/>
          <w:bCs/>
          <w:sz w:val="36"/>
          <w:szCs w:val="36"/>
          <w:lang w:eastAsia="zh-CN"/>
        </w:rPr>
      </w:pPr>
      <w:r>
        <w:rPr>
          <w:rFonts w:hint="eastAsia" w:ascii="方正黑体简体" w:hAnsi="方正黑体简体" w:eastAsia="方正黑体简体" w:cs="方正黑体简体"/>
          <w:b/>
          <w:bCs/>
          <w:sz w:val="36"/>
          <w:szCs w:val="36"/>
          <w:lang w:eastAsia="zh-CN"/>
        </w:rPr>
        <w:t>附件</w:t>
      </w:r>
      <w:r>
        <w:rPr>
          <w:rFonts w:hint="eastAsia" w:ascii="方正黑体简体" w:hAnsi="方正黑体简体" w:eastAsia="方正黑体简体" w:cs="方正黑体简体"/>
          <w:b/>
          <w:bCs/>
          <w:sz w:val="36"/>
          <w:szCs w:val="36"/>
          <w:lang w:val="en-US" w:eastAsia="zh-CN"/>
        </w:rPr>
        <w:t>3</w:t>
      </w:r>
    </w:p>
    <w:tbl>
      <w:tblPr>
        <w:tblStyle w:val="51"/>
        <w:tblW w:w="8820" w:type="dxa"/>
        <w:tblInd w:w="91" w:type="dxa"/>
        <w:tblLayout w:type="fixed"/>
        <w:tblCellMar>
          <w:top w:w="0" w:type="dxa"/>
          <w:left w:w="108" w:type="dxa"/>
          <w:bottom w:w="0" w:type="dxa"/>
          <w:right w:w="108" w:type="dxa"/>
        </w:tblCellMar>
      </w:tblPr>
      <w:tblGrid>
        <w:gridCol w:w="1180"/>
        <w:gridCol w:w="1220"/>
        <w:gridCol w:w="1480"/>
        <w:gridCol w:w="1260"/>
        <w:gridCol w:w="1240"/>
        <w:gridCol w:w="1220"/>
        <w:gridCol w:w="1220"/>
      </w:tblGrid>
      <w:tr>
        <w:tblPrEx>
          <w:tblLayout w:type="fixed"/>
          <w:tblCellMar>
            <w:top w:w="0" w:type="dxa"/>
            <w:left w:w="108" w:type="dxa"/>
            <w:bottom w:w="0" w:type="dxa"/>
            <w:right w:w="108" w:type="dxa"/>
          </w:tblCellMar>
        </w:tblPrEx>
        <w:trPr>
          <w:trHeight w:val="758" w:hRule="atLeast"/>
        </w:trPr>
        <w:tc>
          <w:tcPr>
            <w:tcW w:w="8820" w:type="dxa"/>
            <w:gridSpan w:val="7"/>
            <w:tcBorders>
              <w:top w:val="nil"/>
              <w:left w:val="nil"/>
              <w:bottom w:val="single" w:color="auto" w:sz="4" w:space="0"/>
              <w:right w:val="nil"/>
            </w:tcBorders>
            <w:vAlign w:val="center"/>
          </w:tcPr>
          <w:p>
            <w:pPr>
              <w:widowControl/>
              <w:jc w:val="center"/>
              <w:rPr>
                <w:rFonts w:ascii="方正小标宋简体" w:hAnsi="宋体" w:eastAsia="方正小标宋简体" w:cs="宋体"/>
                <w:kern w:val="0"/>
                <w:sz w:val="36"/>
                <w:szCs w:val="36"/>
              </w:rPr>
            </w:pPr>
            <w:r>
              <w:rPr>
                <w:rFonts w:hint="eastAsia" w:ascii="方正小标宋简体" w:hAnsi="宋体" w:eastAsia="方正小标宋简体" w:cs="宋体"/>
                <w:kern w:val="0"/>
                <w:sz w:val="36"/>
                <w:szCs w:val="36"/>
              </w:rPr>
              <w:t>XXXX年跨年实施自然灾害治理项目统计表</w:t>
            </w:r>
          </w:p>
        </w:tc>
      </w:tr>
      <w:tr>
        <w:tblPrEx>
          <w:tblLayout w:type="fixed"/>
          <w:tblCellMar>
            <w:top w:w="0" w:type="dxa"/>
            <w:left w:w="108" w:type="dxa"/>
            <w:bottom w:w="0" w:type="dxa"/>
            <w:right w:w="108" w:type="dxa"/>
          </w:tblCellMar>
        </w:tblPrEx>
        <w:trPr>
          <w:trHeight w:val="792"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序号</w:t>
            </w:r>
          </w:p>
        </w:tc>
        <w:tc>
          <w:tcPr>
            <w:tcW w:w="122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单位</w:t>
            </w:r>
          </w:p>
        </w:tc>
        <w:tc>
          <w:tcPr>
            <w:tcW w:w="148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项目名称</w:t>
            </w:r>
          </w:p>
        </w:tc>
        <w:tc>
          <w:tcPr>
            <w:tcW w:w="126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批复费用</w:t>
            </w:r>
          </w:p>
        </w:tc>
        <w:tc>
          <w:tcPr>
            <w:tcW w:w="124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跨年费用</w:t>
            </w:r>
          </w:p>
        </w:tc>
        <w:tc>
          <w:tcPr>
            <w:tcW w:w="122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跨年实施工作量</w:t>
            </w:r>
          </w:p>
        </w:tc>
        <w:tc>
          <w:tcPr>
            <w:tcW w:w="122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val="0"/>
                <w:bCs w:val="0"/>
                <w:kern w:val="0"/>
                <w:sz w:val="21"/>
                <w:szCs w:val="21"/>
              </w:rPr>
            </w:pPr>
            <w:r>
              <w:rPr>
                <w:rFonts w:hint="eastAsia" w:ascii="方正仿宋简体" w:hAnsi="宋体" w:eastAsia="方正仿宋简体" w:cs="宋体"/>
                <w:b w:val="0"/>
                <w:bCs w:val="0"/>
                <w:kern w:val="0"/>
                <w:sz w:val="21"/>
                <w:szCs w:val="21"/>
              </w:rPr>
              <w:t>备注</w:t>
            </w:r>
          </w:p>
        </w:tc>
      </w:tr>
      <w:tr>
        <w:tblPrEx>
          <w:tblLayout w:type="fixed"/>
          <w:tblCellMar>
            <w:top w:w="0" w:type="dxa"/>
            <w:left w:w="108" w:type="dxa"/>
            <w:bottom w:w="0" w:type="dxa"/>
            <w:right w:w="108" w:type="dxa"/>
          </w:tblCellMar>
        </w:tblPrEx>
        <w:trPr>
          <w:trHeight w:val="780"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2</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3</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4</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5</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6</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7</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8</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9</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10</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11</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12</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13</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638" w:hRule="atLeast"/>
        </w:trPr>
        <w:tc>
          <w:tcPr>
            <w:tcW w:w="1180" w:type="dxa"/>
            <w:tcBorders>
              <w:top w:val="nil"/>
              <w:left w:val="single" w:color="auto" w:sz="4" w:space="0"/>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r>
              <w:rPr>
                <w:rFonts w:hint="eastAsia" w:ascii="方正仿宋简体" w:hAnsi="方正仿宋简体" w:eastAsia="方正仿宋简体" w:cs="方正仿宋简体"/>
                <w:color w:val="000000"/>
                <w:kern w:val="0"/>
                <w:sz w:val="21"/>
                <w:szCs w:val="21"/>
              </w:rPr>
              <w:t>14</w:t>
            </w: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48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6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4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c>
          <w:tcPr>
            <w:tcW w:w="1220" w:type="dxa"/>
            <w:tcBorders>
              <w:top w:val="nil"/>
              <w:left w:val="nil"/>
              <w:bottom w:val="single" w:color="auto" w:sz="4" w:space="0"/>
              <w:right w:val="single" w:color="auto" w:sz="4" w:space="0"/>
            </w:tcBorders>
            <w:vAlign w:val="center"/>
          </w:tcPr>
          <w:p>
            <w:pPr>
              <w:widowControl/>
              <w:jc w:val="center"/>
              <w:rPr>
                <w:rFonts w:hint="eastAsia" w:ascii="方正仿宋简体" w:hAnsi="方正仿宋简体" w:eastAsia="方正仿宋简体" w:cs="方正仿宋简体"/>
                <w:color w:val="000000"/>
                <w:kern w:val="0"/>
                <w:sz w:val="21"/>
                <w:szCs w:val="21"/>
              </w:rPr>
            </w:pPr>
          </w:p>
        </w:tc>
      </w:tr>
      <w:tr>
        <w:tblPrEx>
          <w:tblLayout w:type="fixed"/>
          <w:tblCellMar>
            <w:top w:w="0" w:type="dxa"/>
            <w:left w:w="108" w:type="dxa"/>
            <w:bottom w:w="0" w:type="dxa"/>
            <w:right w:w="108" w:type="dxa"/>
          </w:tblCellMar>
        </w:tblPrEx>
        <w:trPr>
          <w:trHeight w:val="315" w:hRule="atLeast"/>
        </w:trPr>
        <w:tc>
          <w:tcPr>
            <w:tcW w:w="1180" w:type="dxa"/>
            <w:tcBorders>
              <w:top w:val="single" w:color="auto" w:sz="4" w:space="0"/>
              <w:left w:val="single" w:color="auto" w:sz="4" w:space="0"/>
              <w:bottom w:val="single" w:color="auto" w:sz="4" w:space="0"/>
              <w:right w:val="nil"/>
            </w:tcBorders>
            <w:vAlign w:val="bottom"/>
          </w:tcPr>
          <w:p>
            <w:pPr>
              <w:widowControl/>
              <w:jc w:val="left"/>
              <w:rPr>
                <w:rFonts w:ascii="方正仿宋简体" w:hAnsi="宋体" w:eastAsia="方正仿宋简体" w:cs="宋体"/>
                <w:b/>
                <w:bCs/>
                <w:kern w:val="0"/>
                <w:sz w:val="24"/>
                <w:szCs w:val="24"/>
              </w:rPr>
            </w:pPr>
            <w:r>
              <w:rPr>
                <w:rFonts w:hint="eastAsia" w:ascii="方正仿宋简体" w:hAnsi="宋体" w:eastAsia="方正仿宋简体" w:cs="宋体"/>
                <w:b/>
                <w:bCs/>
                <w:kern w:val="0"/>
                <w:sz w:val="24"/>
                <w:szCs w:val="24"/>
              </w:rPr>
              <w:t>合计</w:t>
            </w:r>
          </w:p>
        </w:tc>
        <w:tc>
          <w:tcPr>
            <w:tcW w:w="1220" w:type="dxa"/>
            <w:tcBorders>
              <w:top w:val="single" w:color="auto" w:sz="4" w:space="0"/>
              <w:left w:val="nil"/>
              <w:bottom w:val="single" w:color="auto" w:sz="4" w:space="0"/>
              <w:right w:val="nil"/>
            </w:tcBorders>
            <w:vAlign w:val="bottom"/>
          </w:tcPr>
          <w:p>
            <w:pPr>
              <w:widowControl/>
              <w:jc w:val="left"/>
              <w:rPr>
                <w:rFonts w:ascii="方正仿宋简体" w:hAnsi="宋体" w:eastAsia="方正仿宋简体" w:cs="宋体"/>
                <w:b/>
                <w:bCs/>
                <w:kern w:val="0"/>
                <w:sz w:val="24"/>
                <w:szCs w:val="24"/>
              </w:rPr>
            </w:pPr>
          </w:p>
        </w:tc>
        <w:tc>
          <w:tcPr>
            <w:tcW w:w="1480" w:type="dxa"/>
            <w:tcBorders>
              <w:top w:val="single" w:color="auto" w:sz="4" w:space="0"/>
              <w:left w:val="nil"/>
              <w:bottom w:val="single" w:color="auto" w:sz="4" w:space="0"/>
              <w:right w:val="nil"/>
            </w:tcBorders>
            <w:vAlign w:val="bottom"/>
          </w:tcPr>
          <w:p>
            <w:pPr>
              <w:widowControl/>
              <w:jc w:val="left"/>
              <w:rPr>
                <w:rFonts w:ascii="方正仿宋简体" w:hAnsi="宋体" w:eastAsia="方正仿宋简体" w:cs="宋体"/>
                <w:b/>
                <w:bCs/>
                <w:kern w:val="0"/>
                <w:sz w:val="24"/>
                <w:szCs w:val="24"/>
              </w:rPr>
            </w:pPr>
          </w:p>
        </w:tc>
        <w:tc>
          <w:tcPr>
            <w:tcW w:w="1260" w:type="dxa"/>
            <w:tcBorders>
              <w:top w:val="single" w:color="auto" w:sz="4" w:space="0"/>
              <w:left w:val="nil"/>
              <w:bottom w:val="single" w:color="auto" w:sz="4" w:space="0"/>
              <w:right w:val="nil"/>
            </w:tcBorders>
            <w:vAlign w:val="bottom"/>
          </w:tcPr>
          <w:p>
            <w:pPr>
              <w:widowControl/>
              <w:jc w:val="center"/>
              <w:rPr>
                <w:rFonts w:ascii="方正仿宋简体" w:hAnsi="宋体" w:eastAsia="方正仿宋简体" w:cs="宋体"/>
                <w:b/>
                <w:bCs/>
                <w:kern w:val="0"/>
                <w:sz w:val="24"/>
                <w:szCs w:val="24"/>
              </w:rPr>
            </w:pPr>
          </w:p>
        </w:tc>
        <w:tc>
          <w:tcPr>
            <w:tcW w:w="1240" w:type="dxa"/>
            <w:tcBorders>
              <w:top w:val="single" w:color="auto" w:sz="4" w:space="0"/>
              <w:left w:val="nil"/>
              <w:bottom w:val="single" w:color="auto" w:sz="4" w:space="0"/>
              <w:right w:val="nil"/>
            </w:tcBorders>
            <w:vAlign w:val="bottom"/>
          </w:tcPr>
          <w:p>
            <w:pPr>
              <w:widowControl/>
              <w:jc w:val="center"/>
              <w:rPr>
                <w:rFonts w:ascii="方正仿宋简体" w:hAnsi="宋体" w:eastAsia="方正仿宋简体" w:cs="宋体"/>
                <w:b/>
                <w:bCs/>
                <w:kern w:val="0"/>
                <w:sz w:val="24"/>
                <w:szCs w:val="24"/>
              </w:rPr>
            </w:pPr>
          </w:p>
        </w:tc>
        <w:tc>
          <w:tcPr>
            <w:tcW w:w="1220" w:type="dxa"/>
            <w:tcBorders>
              <w:top w:val="single" w:color="auto" w:sz="4" w:space="0"/>
              <w:left w:val="nil"/>
              <w:bottom w:val="single" w:color="auto" w:sz="4" w:space="0"/>
              <w:right w:val="nil"/>
            </w:tcBorders>
            <w:vAlign w:val="bottom"/>
          </w:tcPr>
          <w:p>
            <w:pPr>
              <w:widowControl/>
              <w:jc w:val="center"/>
              <w:rPr>
                <w:rFonts w:ascii="方正仿宋简体" w:hAnsi="宋体" w:eastAsia="方正仿宋简体" w:cs="宋体"/>
                <w:b/>
                <w:bCs/>
                <w:kern w:val="0"/>
                <w:sz w:val="24"/>
                <w:szCs w:val="24"/>
              </w:rPr>
            </w:pPr>
          </w:p>
        </w:tc>
        <w:tc>
          <w:tcPr>
            <w:tcW w:w="1220" w:type="dxa"/>
            <w:tcBorders>
              <w:top w:val="single" w:color="auto" w:sz="4" w:space="0"/>
              <w:left w:val="nil"/>
              <w:bottom w:val="single" w:color="auto" w:sz="4" w:space="0"/>
              <w:right w:val="single" w:color="auto" w:sz="4" w:space="0"/>
            </w:tcBorders>
            <w:vAlign w:val="bottom"/>
          </w:tcPr>
          <w:p>
            <w:pPr>
              <w:widowControl/>
              <w:jc w:val="left"/>
              <w:rPr>
                <w:rFonts w:ascii="方正仿宋简体" w:hAnsi="宋体" w:eastAsia="方正仿宋简体" w:cs="宋体"/>
                <w:b/>
                <w:bCs/>
                <w:kern w:val="0"/>
                <w:sz w:val="24"/>
                <w:szCs w:val="24"/>
              </w:rPr>
            </w:pPr>
          </w:p>
        </w:tc>
      </w:tr>
    </w:tbl>
    <w:p>
      <w:pPr>
        <w:spacing w:line="640" w:lineRule="exact"/>
        <w:jc w:val="center"/>
        <w:rPr>
          <w:rFonts w:hint="eastAsia" w:ascii="方正黑体简体" w:hAnsi="方正黑体简体" w:eastAsia="方正黑体简体" w:cs="方正黑体简体"/>
          <w:b/>
          <w:bCs/>
          <w:sz w:val="36"/>
          <w:szCs w:val="36"/>
        </w:rPr>
      </w:pPr>
    </w:p>
    <w:p>
      <w:pPr>
        <w:spacing w:line="640" w:lineRule="exact"/>
        <w:jc w:val="center"/>
        <w:rPr>
          <w:rFonts w:hint="eastAsia" w:ascii="方正黑体简体" w:hAnsi="方正黑体简体" w:eastAsia="方正黑体简体" w:cs="方正黑体简体"/>
          <w:b/>
          <w:bCs/>
          <w:sz w:val="36"/>
          <w:szCs w:val="36"/>
          <w:lang w:eastAsia="zh-CN"/>
        </w:rPr>
      </w:pPr>
    </w:p>
    <w:p>
      <w:pPr>
        <w:spacing w:line="640" w:lineRule="exact"/>
        <w:jc w:val="left"/>
        <w:rPr>
          <w:rFonts w:hint="default" w:ascii="方正黑体简体" w:hAnsi="方正黑体简体" w:eastAsia="方正黑体简体" w:cs="方正黑体简体"/>
          <w:b/>
          <w:bCs/>
          <w:sz w:val="36"/>
          <w:szCs w:val="36"/>
          <w:lang w:val="en-US" w:eastAsia="zh-CN"/>
        </w:rPr>
      </w:pPr>
      <w:r>
        <w:rPr>
          <w:rFonts w:hint="eastAsia" w:ascii="方正黑体简体" w:hAnsi="方正黑体简体" w:eastAsia="方正黑体简体" w:cs="方正黑体简体"/>
          <w:b/>
          <w:bCs/>
          <w:sz w:val="36"/>
          <w:szCs w:val="36"/>
          <w:lang w:eastAsia="zh-CN"/>
        </w:rPr>
        <w:t>附件</w:t>
      </w:r>
      <w:r>
        <w:rPr>
          <w:rFonts w:hint="eastAsia" w:ascii="方正黑体简体" w:hAnsi="方正黑体简体" w:eastAsia="方正黑体简体" w:cs="方正黑体简体"/>
          <w:b/>
          <w:bCs/>
          <w:sz w:val="36"/>
          <w:szCs w:val="36"/>
          <w:lang w:val="en-US" w:eastAsia="zh-CN"/>
        </w:rPr>
        <w:t>4</w:t>
      </w:r>
    </w:p>
    <w:tbl>
      <w:tblPr>
        <w:tblStyle w:val="51"/>
        <w:tblW w:w="9700" w:type="dxa"/>
        <w:tblInd w:w="91" w:type="dxa"/>
        <w:tblLayout w:type="fixed"/>
        <w:tblCellMar>
          <w:top w:w="0" w:type="dxa"/>
          <w:left w:w="108" w:type="dxa"/>
          <w:bottom w:w="0" w:type="dxa"/>
          <w:right w:w="108" w:type="dxa"/>
        </w:tblCellMar>
      </w:tblPr>
      <w:tblGrid>
        <w:gridCol w:w="720"/>
        <w:gridCol w:w="1380"/>
        <w:gridCol w:w="1640"/>
        <w:gridCol w:w="4180"/>
        <w:gridCol w:w="1780"/>
      </w:tblGrid>
      <w:tr>
        <w:tblPrEx>
          <w:tblLayout w:type="fixed"/>
          <w:tblCellMar>
            <w:top w:w="0" w:type="dxa"/>
            <w:left w:w="108" w:type="dxa"/>
            <w:bottom w:w="0" w:type="dxa"/>
            <w:right w:w="108" w:type="dxa"/>
          </w:tblCellMar>
        </w:tblPrEx>
        <w:trPr>
          <w:trHeight w:val="721" w:hRule="atLeast"/>
        </w:trPr>
        <w:tc>
          <w:tcPr>
            <w:tcW w:w="720" w:type="dxa"/>
            <w:tcBorders>
              <w:top w:val="nil"/>
              <w:left w:val="nil"/>
              <w:bottom w:val="nil"/>
              <w:right w:val="nil"/>
            </w:tcBorders>
            <w:vAlign w:val="center"/>
          </w:tcPr>
          <w:p>
            <w:pPr>
              <w:widowControl/>
              <w:jc w:val="left"/>
              <w:rPr>
                <w:rFonts w:ascii="宋体" w:hAnsi="宋体" w:cs="宋体"/>
                <w:color w:val="000000"/>
                <w:kern w:val="0"/>
                <w:sz w:val="22"/>
              </w:rPr>
            </w:pPr>
          </w:p>
        </w:tc>
        <w:tc>
          <w:tcPr>
            <w:tcW w:w="8980" w:type="dxa"/>
            <w:gridSpan w:val="4"/>
            <w:tcBorders>
              <w:top w:val="nil"/>
              <w:left w:val="nil"/>
              <w:bottom w:val="single" w:color="auto" w:sz="4" w:space="0"/>
              <w:right w:val="nil"/>
            </w:tcBorders>
            <w:vAlign w:val="center"/>
          </w:tcPr>
          <w:p>
            <w:pPr>
              <w:widowControl/>
              <w:jc w:val="center"/>
              <w:rPr>
                <w:rFonts w:ascii="方正小标宋简体" w:hAnsi="宋体" w:eastAsia="方正小标宋简体" w:cs="宋体"/>
                <w:color w:val="000000"/>
                <w:kern w:val="0"/>
                <w:sz w:val="36"/>
                <w:szCs w:val="36"/>
              </w:rPr>
            </w:pPr>
            <w:r>
              <w:rPr>
                <w:rFonts w:hint="eastAsia" w:ascii="方正小标宋简体" w:hAnsi="宋体" w:eastAsia="方正小标宋简体" w:cs="宋体"/>
                <w:color w:val="000000"/>
                <w:kern w:val="0"/>
                <w:sz w:val="36"/>
                <w:szCs w:val="36"/>
              </w:rPr>
              <w:t>自然灾害治理项目重要节点控制表</w:t>
            </w:r>
          </w:p>
        </w:tc>
      </w:tr>
      <w:tr>
        <w:tblPrEx>
          <w:tblLayout w:type="fixed"/>
          <w:tblCellMar>
            <w:top w:w="0" w:type="dxa"/>
            <w:left w:w="108" w:type="dxa"/>
            <w:bottom w:w="0" w:type="dxa"/>
            <w:right w:w="108" w:type="dxa"/>
          </w:tblCellMar>
        </w:tblPrEx>
        <w:trPr>
          <w:trHeight w:val="529" w:hRule="atLeast"/>
        </w:trPr>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方正仿宋简体" w:hAnsi="宋体" w:eastAsia="方正仿宋简体" w:cs="宋体"/>
                <w:b/>
                <w:bCs/>
                <w:color w:val="000000"/>
                <w:kern w:val="0"/>
                <w:sz w:val="21"/>
                <w:szCs w:val="21"/>
              </w:rPr>
            </w:pPr>
            <w:r>
              <w:rPr>
                <w:rFonts w:hint="eastAsia" w:ascii="方正仿宋简体" w:hAnsi="宋体" w:eastAsia="方正仿宋简体" w:cs="宋体"/>
                <w:b/>
                <w:bCs/>
                <w:color w:val="000000"/>
                <w:kern w:val="0"/>
                <w:sz w:val="21"/>
                <w:szCs w:val="21"/>
              </w:rPr>
              <w:t>序号</w:t>
            </w:r>
          </w:p>
        </w:tc>
        <w:tc>
          <w:tcPr>
            <w:tcW w:w="138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bCs/>
                <w:color w:val="000000"/>
                <w:kern w:val="0"/>
                <w:sz w:val="21"/>
                <w:szCs w:val="21"/>
              </w:rPr>
            </w:pPr>
            <w:r>
              <w:rPr>
                <w:rFonts w:hint="eastAsia" w:ascii="方正仿宋简体" w:hAnsi="宋体" w:eastAsia="方正仿宋简体" w:cs="宋体"/>
                <w:b/>
                <w:bCs/>
                <w:color w:val="000000"/>
                <w:kern w:val="0"/>
                <w:sz w:val="21"/>
                <w:szCs w:val="21"/>
              </w:rPr>
              <w:t>名称</w:t>
            </w:r>
          </w:p>
        </w:tc>
        <w:tc>
          <w:tcPr>
            <w:tcW w:w="164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bCs/>
                <w:color w:val="000000"/>
                <w:kern w:val="0"/>
                <w:sz w:val="21"/>
                <w:szCs w:val="21"/>
              </w:rPr>
            </w:pPr>
            <w:r>
              <w:rPr>
                <w:rFonts w:hint="eastAsia" w:ascii="方正仿宋简体" w:hAnsi="宋体" w:eastAsia="方正仿宋简体" w:cs="宋体"/>
                <w:b/>
                <w:bCs/>
                <w:color w:val="000000"/>
                <w:kern w:val="0"/>
                <w:sz w:val="21"/>
                <w:szCs w:val="21"/>
              </w:rPr>
              <w:t>时间节点</w:t>
            </w:r>
          </w:p>
        </w:tc>
        <w:tc>
          <w:tcPr>
            <w:tcW w:w="418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bCs/>
                <w:color w:val="000000"/>
                <w:kern w:val="0"/>
                <w:sz w:val="21"/>
                <w:szCs w:val="21"/>
              </w:rPr>
            </w:pPr>
            <w:r>
              <w:rPr>
                <w:rFonts w:hint="eastAsia" w:ascii="方正仿宋简体" w:hAnsi="宋体" w:eastAsia="方正仿宋简体" w:cs="宋体"/>
                <w:b/>
                <w:bCs/>
                <w:color w:val="000000"/>
                <w:kern w:val="0"/>
                <w:sz w:val="21"/>
                <w:szCs w:val="21"/>
              </w:rPr>
              <w:t>工作要求</w:t>
            </w:r>
          </w:p>
        </w:tc>
        <w:tc>
          <w:tcPr>
            <w:tcW w:w="1780" w:type="dxa"/>
            <w:tcBorders>
              <w:top w:val="nil"/>
              <w:left w:val="nil"/>
              <w:bottom w:val="single" w:color="auto" w:sz="4" w:space="0"/>
              <w:right w:val="single" w:color="auto" w:sz="4" w:space="0"/>
            </w:tcBorders>
            <w:vAlign w:val="center"/>
          </w:tcPr>
          <w:p>
            <w:pPr>
              <w:widowControl/>
              <w:jc w:val="center"/>
              <w:rPr>
                <w:rFonts w:ascii="方正仿宋简体" w:hAnsi="宋体" w:eastAsia="方正仿宋简体" w:cs="宋体"/>
                <w:b/>
                <w:bCs/>
                <w:color w:val="000000"/>
                <w:kern w:val="0"/>
                <w:sz w:val="21"/>
                <w:szCs w:val="21"/>
              </w:rPr>
            </w:pPr>
            <w:r>
              <w:rPr>
                <w:rFonts w:hint="eastAsia" w:ascii="方正仿宋简体" w:hAnsi="宋体" w:eastAsia="方正仿宋简体" w:cs="宋体"/>
                <w:b/>
                <w:bCs/>
                <w:color w:val="000000"/>
                <w:kern w:val="0"/>
                <w:sz w:val="21"/>
                <w:szCs w:val="21"/>
              </w:rPr>
              <w:t>所需要件</w:t>
            </w:r>
          </w:p>
        </w:tc>
      </w:tr>
      <w:tr>
        <w:tblPrEx>
          <w:tblLayout w:type="fixed"/>
          <w:tblCellMar>
            <w:top w:w="0" w:type="dxa"/>
            <w:left w:w="108" w:type="dxa"/>
            <w:bottom w:w="0" w:type="dxa"/>
            <w:right w:w="108" w:type="dxa"/>
          </w:tblCellMar>
        </w:tblPrEx>
        <w:trPr>
          <w:trHeight w:val="1513"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现场办公</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灾情发生（隐患发现）后第一时间</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调查核实现场情况，制定治理或恢复的初步方案， 同时作好资料收集、上报，包括灾害（隐患）地点、损失情况、现场图片、恢复整改方案及费用估算等</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现场办公纪要</w:t>
            </w:r>
          </w:p>
        </w:tc>
      </w:tr>
      <w:tr>
        <w:tblPrEx>
          <w:tblLayout w:type="fixed"/>
          <w:tblCellMar>
            <w:top w:w="0" w:type="dxa"/>
            <w:left w:w="108" w:type="dxa"/>
            <w:bottom w:w="0" w:type="dxa"/>
            <w:right w:w="108" w:type="dxa"/>
          </w:tblCellMar>
        </w:tblPrEx>
        <w:trPr>
          <w:trHeight w:val="1789"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2</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应急立项</w:t>
            </w:r>
            <w:r>
              <w:rPr>
                <w:rFonts w:hint="eastAsia" w:ascii="方正仿宋简体" w:hAnsi="宋体" w:eastAsia="方正仿宋简体" w:cs="宋体"/>
                <w:kern w:val="0"/>
                <w:sz w:val="21"/>
                <w:szCs w:val="21"/>
              </w:rPr>
              <w:br w:type="textWrapping"/>
            </w:r>
            <w:r>
              <w:rPr>
                <w:rFonts w:hint="eastAsia" w:ascii="方正仿宋简体" w:hAnsi="宋体" w:eastAsia="方正仿宋简体" w:cs="宋体"/>
                <w:kern w:val="0"/>
                <w:sz w:val="21"/>
                <w:szCs w:val="21"/>
              </w:rPr>
              <w:t>申报</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现场办公后5个工作日</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搞清灾害（隐患）性质、受影响情况、治理方案、恢复工作量及估算费用等基本情况，必要时邀请资质单位制定初步治理设计（方案）概算，同时对应急实施的必要性进行充分论证并符合条件</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应急立项请示（纸质）、情况汇报材料</w:t>
            </w:r>
          </w:p>
        </w:tc>
      </w:tr>
      <w:tr>
        <w:tblPrEx>
          <w:tblLayout w:type="fixed"/>
          <w:tblCellMar>
            <w:top w:w="0" w:type="dxa"/>
            <w:left w:w="108" w:type="dxa"/>
            <w:bottom w:w="0" w:type="dxa"/>
            <w:right w:w="108" w:type="dxa"/>
          </w:tblCellMar>
        </w:tblPrEx>
        <w:trPr>
          <w:trHeight w:val="1021"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3</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年度项目</w:t>
            </w:r>
            <w:r>
              <w:rPr>
                <w:rFonts w:hint="eastAsia" w:ascii="方正仿宋简体" w:hAnsi="宋体" w:eastAsia="方正仿宋简体" w:cs="宋体"/>
                <w:kern w:val="0"/>
                <w:sz w:val="21"/>
                <w:szCs w:val="21"/>
              </w:rPr>
              <w:br w:type="textWrapping"/>
            </w:r>
            <w:r>
              <w:rPr>
                <w:rFonts w:hint="eastAsia" w:ascii="方正仿宋简体" w:hAnsi="宋体" w:eastAsia="方正仿宋简体" w:cs="宋体"/>
                <w:kern w:val="0"/>
                <w:sz w:val="21"/>
                <w:szCs w:val="21"/>
              </w:rPr>
              <w:t>计划申报</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8月30日前</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证明材料齐全、现场图片有说服力，实施必要性及治理效益论证充分</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行文上报（包括已应急立项的项目）。</w:t>
            </w:r>
          </w:p>
        </w:tc>
      </w:tr>
      <w:tr>
        <w:tblPrEx>
          <w:tblLayout w:type="fixed"/>
          <w:tblCellMar>
            <w:top w:w="0" w:type="dxa"/>
            <w:left w:w="108" w:type="dxa"/>
            <w:bottom w:w="0" w:type="dxa"/>
            <w:right w:w="108" w:type="dxa"/>
          </w:tblCellMar>
        </w:tblPrEx>
        <w:trPr>
          <w:trHeight w:val="1477"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4</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初设编制</w:t>
            </w:r>
            <w:r>
              <w:rPr>
                <w:rFonts w:hint="eastAsia" w:ascii="方正仿宋简体" w:hAnsi="宋体" w:eastAsia="方正仿宋简体" w:cs="宋体"/>
                <w:kern w:val="0"/>
                <w:sz w:val="21"/>
                <w:szCs w:val="21"/>
              </w:rPr>
              <w:br w:type="textWrapping"/>
            </w:r>
            <w:r>
              <w:rPr>
                <w:rFonts w:hint="eastAsia" w:ascii="方正仿宋简体" w:hAnsi="宋体" w:eastAsia="方正仿宋简体" w:cs="宋体"/>
                <w:kern w:val="0"/>
                <w:sz w:val="21"/>
                <w:szCs w:val="21"/>
              </w:rPr>
              <w:t>上报</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计划下达后30日内；应急立项批复后10个工作日内。</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严格预审，并附预审会议纪要等，达到施工图设计深度</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勘察设计（方案）至少十份，概算书至少五份</w:t>
            </w:r>
          </w:p>
        </w:tc>
      </w:tr>
      <w:tr>
        <w:tblPrEx>
          <w:tblLayout w:type="fixed"/>
          <w:tblCellMar>
            <w:top w:w="0" w:type="dxa"/>
            <w:left w:w="108" w:type="dxa"/>
            <w:bottom w:w="0" w:type="dxa"/>
            <w:right w:w="108" w:type="dxa"/>
          </w:tblCellMar>
        </w:tblPrEx>
        <w:trPr>
          <w:trHeight w:val="2089"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5</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初设修改</w:t>
            </w:r>
            <w:r>
              <w:rPr>
                <w:rFonts w:hint="eastAsia" w:ascii="方正仿宋简体" w:hAnsi="宋体" w:eastAsia="方正仿宋简体" w:cs="宋体"/>
                <w:kern w:val="0"/>
                <w:sz w:val="21"/>
                <w:szCs w:val="21"/>
              </w:rPr>
              <w:br w:type="textWrapping"/>
            </w:r>
            <w:r>
              <w:rPr>
                <w:rFonts w:hint="eastAsia" w:ascii="方正仿宋简体" w:hAnsi="宋体" w:eastAsia="方正仿宋简体" w:cs="宋体"/>
                <w:kern w:val="0"/>
                <w:sz w:val="21"/>
                <w:szCs w:val="21"/>
              </w:rPr>
              <w:t>上报</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公司组织审查后15个工作日内（新增勘察等工作量的除外）</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按审查意见响应并附说明材料，三级单位复核响应情况并提供书面材料</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行文上报呈公司审批，随文上报设计（方案）、概算书电子文档。提交勘察设计（方案）、概算书至少各两份</w:t>
            </w:r>
          </w:p>
        </w:tc>
      </w:tr>
      <w:tr>
        <w:tblPrEx>
          <w:tblLayout w:type="fixed"/>
          <w:tblCellMar>
            <w:top w:w="0" w:type="dxa"/>
            <w:left w:w="108" w:type="dxa"/>
            <w:bottom w:w="0" w:type="dxa"/>
            <w:right w:w="108" w:type="dxa"/>
          </w:tblCellMar>
        </w:tblPrEx>
        <w:trPr>
          <w:trHeight w:val="1129"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6</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组织实施</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公司批复后</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若需变更，须书面申请报上级单位（主管部门）批准后方可实施</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《自然灾害治理项目变更申请单》</w:t>
            </w:r>
          </w:p>
        </w:tc>
      </w:tr>
      <w:tr>
        <w:tblPrEx>
          <w:tblLayout w:type="fixed"/>
          <w:tblCellMar>
            <w:top w:w="0" w:type="dxa"/>
            <w:left w:w="108" w:type="dxa"/>
            <w:bottom w:w="0" w:type="dxa"/>
            <w:right w:w="108" w:type="dxa"/>
          </w:tblCellMar>
        </w:tblPrEx>
        <w:trPr>
          <w:trHeight w:val="1006" w:hRule="atLeast"/>
        </w:trPr>
        <w:tc>
          <w:tcPr>
            <w:tcW w:w="7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7</w:t>
            </w:r>
          </w:p>
        </w:tc>
        <w:tc>
          <w:tcPr>
            <w:tcW w:w="1380" w:type="dxa"/>
            <w:tcBorders>
              <w:top w:val="nil"/>
              <w:left w:val="nil"/>
              <w:bottom w:val="single" w:color="auto" w:sz="4" w:space="0"/>
              <w:right w:val="single" w:color="auto" w:sz="4" w:space="0"/>
            </w:tcBorders>
            <w:shd w:val="clear" w:color="000000" w:fill="FFFFFF"/>
            <w:vAlign w:val="center"/>
          </w:tcPr>
          <w:p>
            <w:pPr>
              <w:widowControl/>
              <w:jc w:val="center"/>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跨年申请</w:t>
            </w:r>
          </w:p>
        </w:tc>
        <w:tc>
          <w:tcPr>
            <w:tcW w:w="164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12月上旬前</w:t>
            </w:r>
          </w:p>
        </w:tc>
        <w:tc>
          <w:tcPr>
            <w:tcW w:w="41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明确提出需跨年实施的工作量及费用</w:t>
            </w:r>
          </w:p>
        </w:tc>
        <w:tc>
          <w:tcPr>
            <w:tcW w:w="1780" w:type="dxa"/>
            <w:tcBorders>
              <w:top w:val="nil"/>
              <w:left w:val="nil"/>
              <w:bottom w:val="single" w:color="auto" w:sz="4" w:space="0"/>
              <w:right w:val="single" w:color="auto" w:sz="4" w:space="0"/>
            </w:tcBorders>
            <w:shd w:val="clear" w:color="000000" w:fill="FFFFFF"/>
            <w:vAlign w:val="center"/>
          </w:tcPr>
          <w:p>
            <w:pPr>
              <w:widowControl/>
              <w:jc w:val="left"/>
              <w:rPr>
                <w:rFonts w:ascii="方正仿宋简体" w:hAnsi="宋体" w:eastAsia="方正仿宋简体" w:cs="宋体"/>
                <w:kern w:val="0"/>
                <w:sz w:val="21"/>
                <w:szCs w:val="21"/>
              </w:rPr>
            </w:pPr>
            <w:r>
              <w:rPr>
                <w:rFonts w:hint="eastAsia" w:ascii="方正仿宋简体" w:hAnsi="宋体" w:eastAsia="方正仿宋简体" w:cs="宋体"/>
                <w:kern w:val="0"/>
                <w:sz w:val="21"/>
                <w:szCs w:val="21"/>
              </w:rPr>
              <w:t>《跨年实施自然灾害治理项目统计表》</w:t>
            </w:r>
          </w:p>
        </w:tc>
      </w:tr>
    </w:tbl>
    <w:p>
      <w:pPr>
        <w:spacing w:line="640" w:lineRule="exact"/>
        <w:jc w:val="center"/>
        <w:rPr>
          <w:rFonts w:hint="eastAsia" w:ascii="方正黑体简体" w:hAnsi="方正黑体简体" w:eastAsia="方正黑体简体" w:cs="方正黑体简体"/>
          <w:b/>
          <w:bCs/>
          <w:sz w:val="36"/>
          <w:szCs w:val="36"/>
        </w:rPr>
      </w:pPr>
    </w:p>
    <w:p>
      <w:pPr>
        <w:spacing w:line="640" w:lineRule="exact"/>
        <w:jc w:val="both"/>
        <w:rPr>
          <w:rFonts w:ascii="方正黑体简体" w:hAnsi="方正黑体简体" w:eastAsia="方正黑体简体" w:cs="方正黑体简体"/>
          <w:b/>
          <w:bCs/>
          <w:sz w:val="36"/>
          <w:szCs w:val="36"/>
        </w:rPr>
        <w:sectPr>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bookmarkStart w:id="337" w:name="_Toc6415"/>
      <w:bookmarkStart w:id="338" w:name="_Toc4450"/>
      <w:bookmarkStart w:id="339" w:name="_Toc17150"/>
      <w:bookmarkStart w:id="340" w:name="_Toc22237"/>
      <w:bookmarkStart w:id="341" w:name="_Toc24874"/>
      <w:bookmarkStart w:id="342" w:name="_Toc541"/>
      <w:bookmarkStart w:id="343" w:name="_Toc29049"/>
      <w:bookmarkStart w:id="344" w:name="_Toc2667"/>
      <w:bookmarkStart w:id="345" w:name="_Toc19471"/>
      <w:bookmarkStart w:id="346" w:name="_Toc8215"/>
      <w:bookmarkStart w:id="347" w:name="_Toc17959"/>
      <w:bookmarkStart w:id="348" w:name="_Toc25037"/>
      <w:bookmarkStart w:id="349" w:name="_Toc18173"/>
      <w:bookmarkStart w:id="350" w:name="_Toc25298"/>
      <w:bookmarkStart w:id="351" w:name="_Toc24737"/>
      <w:bookmarkStart w:id="352" w:name="_Toc12112"/>
      <w:bookmarkStart w:id="353" w:name="_Toc6882"/>
      <w:bookmarkStart w:id="354" w:name="_Toc7020"/>
      <w:bookmarkStart w:id="355" w:name="_Toc21548"/>
      <w:r>
        <w:rPr>
          <w:rFonts w:hint="eastAsia" w:ascii="方正小标宋简体" w:eastAsia="方正小标宋简体"/>
          <w:b w:val="0"/>
          <w:bCs w:val="0"/>
          <w:sz w:val="36"/>
          <w:szCs w:val="36"/>
        </w:rPr>
        <w:t>中油南充燃气有限责任公司</w:t>
      </w:r>
      <w:r>
        <w:rPr>
          <w:rFonts w:hint="eastAsia" w:ascii="方正小标宋简体" w:eastAsia="方正小标宋简体"/>
          <w:b w:val="0"/>
          <w:bCs w:val="0"/>
          <w:sz w:val="36"/>
          <w:szCs w:val="36"/>
          <w:lang w:eastAsia="zh-CN"/>
        </w:rPr>
        <w:t>安全生产管理和安全生产标准化</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hint="eastAsia" w:ascii="方正小标宋简体" w:eastAsia="方正小标宋简体"/>
          <w:b w:val="0"/>
          <w:bCs w:val="0"/>
          <w:sz w:val="36"/>
          <w:szCs w:val="36"/>
          <w:lang w:eastAsia="zh-CN"/>
        </w:rPr>
        <w:t>操作制度</w:t>
      </w:r>
      <w:bookmarkEnd w:id="355"/>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56" w:name="_Toc26297"/>
      <w:bookmarkStart w:id="357" w:name="_Toc508012261"/>
      <w:bookmarkStart w:id="358" w:name="_Toc508016687"/>
      <w:r>
        <w:rPr>
          <w:rFonts w:hint="eastAsia" w:ascii="方正黑体简体" w:hAnsi="方正黑体简体" w:eastAsia="方正黑体简体" w:cs="方正黑体简体"/>
          <w:b w:val="0"/>
          <w:bCs/>
          <w:sz w:val="30"/>
          <w:szCs w:val="30"/>
          <w:lang w:eastAsia="zh-CN"/>
        </w:rPr>
        <w:t>第一章  总  则</w:t>
      </w:r>
      <w:bookmarkEnd w:id="356"/>
      <w:bookmarkEnd w:id="357"/>
      <w:bookmarkEnd w:id="358"/>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left"/>
        <w:textAlignment w:val="auto"/>
        <w:outlineLvl w:val="9"/>
        <w:rPr>
          <w:rFonts w:hint="eastAsia" w:ascii="方正仿宋简体" w:hAnsi="方正仿宋简体" w:eastAsia="方正仿宋简体" w:cs="方正仿宋简体"/>
          <w:bCs/>
          <w:color w:val="000000"/>
          <w:sz w:val="28"/>
          <w:szCs w:val="28"/>
        </w:rPr>
      </w:pPr>
      <w:r>
        <w:rPr>
          <w:rFonts w:hint="eastAsia" w:ascii="方正仿宋简体" w:hAnsi="方正仿宋简体" w:eastAsia="方正仿宋简体" w:cs="方正仿宋简体"/>
          <w:b/>
          <w:color w:val="000000"/>
          <w:sz w:val="28"/>
          <w:szCs w:val="28"/>
        </w:rPr>
        <w:t>第一条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为规范中油南充燃气有限责任公司（以下简称公司）输配气站管理，</w:t>
      </w:r>
      <w:r>
        <w:rPr>
          <w:rFonts w:hint="eastAsia" w:ascii="方正仿宋简体" w:hAnsi="方正仿宋简体" w:eastAsia="方正仿宋简体" w:cs="方正仿宋简体"/>
          <w:bCs/>
          <w:color w:val="000000"/>
          <w:sz w:val="28"/>
          <w:szCs w:val="28"/>
        </w:rPr>
        <w:t>落实</w:t>
      </w:r>
      <w:r>
        <w:rPr>
          <w:rFonts w:hint="eastAsia" w:ascii="方正仿宋简体" w:hAnsi="方正仿宋简体" w:eastAsia="方正仿宋简体" w:cs="方正仿宋简体"/>
          <w:color w:val="000000"/>
          <w:sz w:val="28"/>
          <w:szCs w:val="28"/>
        </w:rPr>
        <w:t>输配气站</w:t>
      </w:r>
      <w:r>
        <w:rPr>
          <w:rFonts w:hint="eastAsia" w:ascii="方正仿宋简体" w:hAnsi="方正仿宋简体" w:eastAsia="方正仿宋简体" w:cs="方正仿宋简体"/>
          <w:bCs/>
          <w:color w:val="000000"/>
          <w:sz w:val="28"/>
          <w:szCs w:val="28"/>
        </w:rPr>
        <w:t>管理责任，实现站场安全平稳运行，根据《中国石油天然气股份有限公司气田管道和站场地面生产管理规定》、《中国石油西南油气田各二级单位输配气站生产技术管理办法》、《四川川港燃气有限责任公司输配气站生产技术管理实施细则（试行）》（川港司生〔2017〕11号）和企业有关规定，结合</w:t>
      </w:r>
      <w:r>
        <w:rPr>
          <w:rFonts w:hint="eastAsia" w:ascii="方正仿宋简体" w:hAnsi="方正仿宋简体" w:eastAsia="方正仿宋简体" w:cs="方正仿宋简体"/>
          <w:color w:val="000000"/>
          <w:sz w:val="28"/>
          <w:szCs w:val="28"/>
        </w:rPr>
        <w:t>公司生产技术及运行</w:t>
      </w:r>
      <w:r>
        <w:rPr>
          <w:rFonts w:hint="eastAsia" w:ascii="方正仿宋简体" w:hAnsi="方正仿宋简体" w:eastAsia="方正仿宋简体" w:cs="方正仿宋简体"/>
          <w:bCs/>
          <w:color w:val="000000"/>
          <w:sz w:val="28"/>
          <w:szCs w:val="28"/>
        </w:rPr>
        <w:t>管理现状，制定《中油南充燃气有限责任公司输配气站生产技术管理办法》（以下简称办法）。</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第二条</w:t>
      </w:r>
      <w:r>
        <w:rPr>
          <w:rFonts w:hint="eastAsia" w:ascii="方正仿宋简体" w:hAnsi="方正仿宋简体" w:eastAsia="方正仿宋简体" w:cs="方正仿宋简体"/>
          <w:color w:val="000000"/>
          <w:sz w:val="28"/>
          <w:szCs w:val="28"/>
        </w:rPr>
        <w:t xml:space="preserve">  本办法所称输配气站包括公司所属在役运行的储配一站、储配二站、高坪站。</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第三条</w:t>
      </w:r>
      <w:r>
        <w:rPr>
          <w:rFonts w:hint="eastAsia" w:ascii="方正仿宋简体" w:hAnsi="方正仿宋简体" w:eastAsia="方正仿宋简体" w:cs="方正仿宋简体"/>
          <w:color w:val="000000"/>
          <w:sz w:val="28"/>
          <w:szCs w:val="28"/>
        </w:rPr>
        <w:t xml:space="preserve">  本办法适用于上述公司所属输配气站场管理。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第四条</w:t>
      </w:r>
      <w:r>
        <w:rPr>
          <w:rFonts w:hint="eastAsia" w:ascii="方正仿宋简体" w:hAnsi="方正仿宋简体" w:eastAsia="方正仿宋简体" w:cs="方正仿宋简体"/>
          <w:color w:val="000000"/>
          <w:sz w:val="28"/>
          <w:szCs w:val="28"/>
        </w:rPr>
        <w:t xml:space="preserve">  站场管理遵循统一管理、分级负责、业务主导、协同配合的原则，充分利用信息化、完整性管理和HSE管理等方法和手段，不断提高站场管理水平。</w:t>
      </w:r>
      <w:bookmarkStart w:id="359" w:name="_Toc508012262"/>
      <w:bookmarkStart w:id="360" w:name="_Toc17895"/>
      <w:bookmarkStart w:id="361" w:name="_Toc508016688"/>
    </w:p>
    <w:p>
      <w:pPr>
        <w:keepNext w:val="0"/>
        <w:keepLines w:val="0"/>
        <w:pageBreakBefore w:val="0"/>
        <w:widowControl w:val="0"/>
        <w:kinsoku/>
        <w:wordWrap/>
        <w:overflowPunct/>
        <w:topLinePunct w:val="0"/>
        <w:autoSpaceDE/>
        <w:autoSpaceDN/>
        <w:bidi w:val="0"/>
        <w:spacing w:before="156" w:beforeLines="50" w:after="156" w:afterLines="50" w:line="240" w:lineRule="atLeast"/>
        <w:ind w:firstLine="600" w:firstLineChars="200"/>
        <w:jc w:val="center"/>
        <w:textAlignment w:val="auto"/>
        <w:outlineLvl w:val="9"/>
        <w:rPr>
          <w:rFonts w:hint="eastAsia" w:ascii="方正黑体简体" w:hAnsi="方正黑体简体" w:eastAsia="方正黑体简体" w:cs="方正黑体简体"/>
          <w:b w:val="0"/>
          <w:bCs/>
          <w:color w:val="000000"/>
          <w:sz w:val="30"/>
          <w:szCs w:val="30"/>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r>
        <w:rPr>
          <w:rFonts w:hint="eastAsia" w:ascii="方正黑体简体" w:hAnsi="方正黑体简体" w:eastAsia="方正黑体简体" w:cs="方正黑体简体"/>
          <w:b w:val="0"/>
          <w:bCs/>
          <w:sz w:val="30"/>
          <w:szCs w:val="30"/>
          <w:lang w:eastAsia="zh-CN"/>
        </w:rPr>
        <w:t>第二章  组织机构及职责</w:t>
      </w:r>
      <w:bookmarkEnd w:id="359"/>
      <w:bookmarkEnd w:id="360"/>
      <w:bookmarkEnd w:id="361"/>
    </w:p>
    <w:p>
      <w:pPr>
        <w:keepNext w:val="0"/>
        <w:keepLines w:val="0"/>
        <w:pageBreakBefore w:val="0"/>
        <w:widowControl w:val="0"/>
        <w:kinsoku/>
        <w:wordWrap/>
        <w:overflowPunct/>
        <w:topLinePunct w:val="0"/>
        <w:autoSpaceDE/>
        <w:autoSpaceDN/>
        <w:bidi w:val="0"/>
        <w:spacing w:before="156" w:beforeLines="50" w:after="156" w:afterLines="50" w:line="560" w:lineRule="exact"/>
        <w:ind w:firstLine="602" w:firstLineChars="200"/>
        <w:jc w:val="left"/>
        <w:textAlignment w:val="auto"/>
        <w:outlineLvl w:val="9"/>
        <w:rPr>
          <w:rFonts w:hint="eastAsia" w:ascii="方正仿宋简体" w:hAnsi="方正仿宋简体" w:eastAsia="方正仿宋简体" w:cs="方正仿宋简体"/>
          <w:b w:val="0"/>
          <w:bCs/>
          <w:color w:val="000000"/>
          <w:sz w:val="30"/>
          <w:szCs w:val="30"/>
        </w:rPr>
      </w:pPr>
      <w:r>
        <w:rPr>
          <w:rFonts w:hint="eastAsia" w:ascii="方正仿宋简体" w:hAnsi="方正仿宋简体" w:eastAsia="方正仿宋简体" w:cs="方正仿宋简体"/>
          <w:b/>
          <w:bCs w:val="0"/>
          <w:color w:val="000000"/>
          <w:sz w:val="30"/>
          <w:szCs w:val="30"/>
        </w:rPr>
        <w:t>第五条</w:t>
      </w:r>
      <w:r>
        <w:rPr>
          <w:rFonts w:hint="eastAsia" w:ascii="方正仿宋简体" w:hAnsi="方正仿宋简体" w:eastAsia="方正仿宋简体" w:cs="方正仿宋简体"/>
          <w:b w:val="0"/>
          <w:bCs/>
          <w:color w:val="000000"/>
          <w:sz w:val="30"/>
          <w:szCs w:val="30"/>
        </w:rPr>
        <w:t xml:space="preserve">  </w:t>
      </w:r>
      <w:r>
        <w:rPr>
          <w:rFonts w:hint="eastAsia" w:ascii="方正仿宋简体" w:hAnsi="方正仿宋简体" w:eastAsia="方正仿宋简体" w:cs="方正仿宋简体"/>
          <w:b w:val="0"/>
          <w:bCs/>
          <w:color w:val="000000"/>
          <w:sz w:val="30"/>
          <w:szCs w:val="30"/>
          <w:lang w:eastAsia="zh-CN"/>
        </w:rPr>
        <w:t>生产运行部</w:t>
      </w:r>
      <w:r>
        <w:rPr>
          <w:rFonts w:hint="eastAsia" w:ascii="方正仿宋简体" w:hAnsi="方正仿宋简体" w:eastAsia="方正仿宋简体" w:cs="方正仿宋简体"/>
          <w:b w:val="0"/>
          <w:bCs/>
          <w:color w:val="000000"/>
          <w:sz w:val="30"/>
          <w:szCs w:val="30"/>
        </w:rPr>
        <w:t>是公司输配气站归口管理部门，主要职责：</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（一）贯彻执行国家有关法律法规、国家及行业相关强制性标准规范和上级有关规章制度，组织编制、修订公司输配气站管理的规章制度及相关标准；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（二）负责公司输配气站技术及安全管理，督促</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制定公司站场年度重点工作计划并组织实施；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（三）负责公司重点站场停气检修暨恢复生产方案的审查，指导并监督执行；</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lang w:eastAsia="zh-CN"/>
        </w:rPr>
        <w:t>（四）</w:t>
      </w:r>
      <w:r>
        <w:rPr>
          <w:rFonts w:hint="eastAsia" w:ascii="方正仿宋简体" w:hAnsi="方正仿宋简体" w:eastAsia="方正仿宋简体" w:cs="方正仿宋简体"/>
          <w:color w:val="000000"/>
          <w:sz w:val="28"/>
          <w:szCs w:val="28"/>
        </w:rPr>
        <w:t>负责输配气站防雷、供水及供配电设施管理；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（五）负责输配气站压力容器合规管理；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（六）负责输配气站通信设施管理；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（七）组织“四新”成果的现场试验和推广应用。</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left="0" w:leftChars="0" w:firstLine="562"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第六条</w:t>
      </w:r>
      <w:r>
        <w:rPr>
          <w:rFonts w:hint="eastAsia" w:ascii="方正仿宋简体" w:hAnsi="方正仿宋简体" w:eastAsia="方正仿宋简体" w:cs="方正仿宋简体"/>
          <w:color w:val="000000"/>
          <w:sz w:val="28"/>
          <w:szCs w:val="28"/>
        </w:rPr>
        <w:t xml:space="preserve">  相关单位的主要职责：</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（一）管道管理部</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1.负责组织公司输配气站完整性管理评价，指导</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开展站场工艺适应性分析工作，根据分析评价结果部署年度站场适应性改造、分控资产大修和安全隐患治理工程；</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2.负责公司输配气站完整性管理体系建设及持续改进，指导并监督各单位执行；</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3.负责公司重点工艺改造技术方案审查，负责分控大修理和隐患治理项目的立项审查、设计审批和项目实施检查。</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w:t>
      </w:r>
      <w:r>
        <w:rPr>
          <w:rFonts w:hint="eastAsia" w:ascii="方正仿宋简体" w:hAnsi="方正仿宋简体" w:eastAsia="方正仿宋简体" w:cs="方正仿宋简体"/>
          <w:color w:val="000000"/>
          <w:sz w:val="28"/>
          <w:szCs w:val="28"/>
          <w:lang w:eastAsia="zh-CN"/>
        </w:rPr>
        <w:t>市场营销部</w:t>
      </w:r>
      <w:r>
        <w:rPr>
          <w:rFonts w:hint="eastAsia" w:ascii="方正仿宋简体" w:hAnsi="方正仿宋简体" w:eastAsia="方正仿宋简体" w:cs="方正仿宋简体"/>
          <w:color w:val="000000"/>
          <w:sz w:val="28"/>
          <w:szCs w:val="28"/>
        </w:rPr>
        <w:t>：负责输配气站适应性改造投资计划和项目前期工作管理。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w:t>
      </w:r>
      <w:r>
        <w:rPr>
          <w:rFonts w:hint="eastAsia" w:ascii="方正仿宋简体" w:hAnsi="方正仿宋简体" w:eastAsia="方正仿宋简体" w:cs="方正仿宋简体"/>
          <w:color w:val="000000"/>
          <w:sz w:val="28"/>
          <w:szCs w:val="28"/>
          <w:lang w:eastAsia="zh-CN"/>
        </w:rPr>
        <w:t>财务资产部</w:t>
      </w:r>
      <w:r>
        <w:rPr>
          <w:rFonts w:hint="eastAsia" w:ascii="方正仿宋简体" w:hAnsi="方正仿宋简体" w:eastAsia="方正仿宋简体" w:cs="方正仿宋简体"/>
          <w:color w:val="000000"/>
          <w:sz w:val="28"/>
          <w:szCs w:val="28"/>
        </w:rPr>
        <w:t>：负责输配气站资产和大修计划管理。</w:t>
      </w:r>
    </w:p>
    <w:p>
      <w:pPr>
        <w:pStyle w:val="159"/>
        <w:keepNext w:val="0"/>
        <w:keepLines w:val="0"/>
        <w:pageBreakBefore w:val="0"/>
        <w:widowControl w:val="0"/>
        <w:tabs>
          <w:tab w:val="left" w:pos="2220"/>
        </w:tabs>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（四）</w:t>
      </w:r>
      <w:r>
        <w:rPr>
          <w:rFonts w:hint="eastAsia" w:ascii="方正仿宋简体" w:hAnsi="方正仿宋简体" w:eastAsia="方正仿宋简体" w:cs="方正仿宋简体"/>
          <w:color w:val="000000"/>
          <w:sz w:val="28"/>
          <w:szCs w:val="28"/>
          <w:lang w:eastAsia="zh-CN"/>
        </w:rPr>
        <w:t>质量安全环保部</w:t>
      </w:r>
      <w:r>
        <w:rPr>
          <w:rFonts w:hint="eastAsia" w:ascii="方正仿宋简体" w:hAnsi="方正仿宋简体" w:eastAsia="方正仿宋简体" w:cs="方正仿宋简体"/>
          <w:color w:val="000000"/>
          <w:sz w:val="28"/>
          <w:szCs w:val="28"/>
        </w:rPr>
        <w:t>：负责输配气站计量、安防及消防设施管理。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（五）</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是输配气站管理的实施单位，主要职责：</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1.贯彻执行国家有关法律法规、国家及行业相关强制性标准规范和《中油南充燃气有限责任公司输配气站生产技术管理办法》；</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2.负责输配气站的生产技术及安全管理，制定输配气站管理手册、操作手册和年度工作计划，并组织实施；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3.负责输配气站工艺适应性与完整性管理评价，部署站场适应性改造、资产大修和安全隐患治理工程，并按下达的计划组织实施；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4.负责输配气站完整性管理与工艺安全管理，持续改进管理短板；</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5.负责输配气站安全环保隐患的排查、评估和治理；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6.负责输配气站突发事件应急处置及抢修；</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7.负责输配气站资料及信息管理，按要求报送相关报表及生产信息；</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8.参加输配气站“四新”成果的现场试验和推广应用。</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62" w:name="_Toc27309"/>
      <w:bookmarkStart w:id="363" w:name="_Toc508016689"/>
      <w:bookmarkStart w:id="364" w:name="_Toc508012263"/>
      <w:r>
        <w:rPr>
          <w:rFonts w:hint="eastAsia" w:ascii="方正黑体简体" w:hAnsi="方正黑体简体" w:eastAsia="方正黑体简体" w:cs="方正黑体简体"/>
          <w:b w:val="0"/>
          <w:bCs/>
          <w:sz w:val="30"/>
          <w:szCs w:val="30"/>
          <w:lang w:eastAsia="zh-CN"/>
        </w:rPr>
        <w:t>第三章  运行管理</w:t>
      </w:r>
      <w:bookmarkEnd w:id="362"/>
      <w:bookmarkEnd w:id="363"/>
      <w:bookmarkEnd w:id="364"/>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第十条</w:t>
      </w:r>
      <w:r>
        <w:rPr>
          <w:rFonts w:hint="eastAsia" w:ascii="方正仿宋简体" w:hAnsi="方正仿宋简体" w:eastAsia="方正仿宋简体" w:cs="方正仿宋简体"/>
          <w:color w:val="000000"/>
          <w:sz w:val="28"/>
          <w:szCs w:val="28"/>
        </w:rPr>
        <w:t xml:space="preserve">  公司应按照分公司基层站队</w:t>
      </w:r>
      <w:r>
        <w:rPr>
          <w:rFonts w:hint="eastAsia" w:ascii="方正仿宋简体" w:hAnsi="方正仿宋简体" w:eastAsia="方正仿宋简体" w:cs="方正仿宋简体"/>
          <w:color w:val="000000"/>
          <w:sz w:val="28"/>
          <w:szCs w:val="28"/>
          <w:lang w:eastAsia="zh-CN"/>
        </w:rPr>
        <w:t>QHSE</w:t>
      </w:r>
      <w:r>
        <w:rPr>
          <w:rFonts w:hint="eastAsia" w:ascii="方正仿宋简体" w:hAnsi="方正仿宋简体" w:eastAsia="方正仿宋简体" w:cs="方正仿宋简体"/>
          <w:color w:val="000000"/>
          <w:sz w:val="28"/>
          <w:szCs w:val="28"/>
        </w:rPr>
        <w:t>标准化建设管理要求，以站为单位，根据站场工艺设计参数及设备状态，编制输配气站管理手册与操作手册，并根据生产情况及时更新，以保证其有效性。</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输配气站管理手册：主要包括站场岗位职责、生产运行管理、安全环保管理、班组建设等四大部分，用于规范生产现场管理。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输配气站操作手册：主要包括站场工艺基础信息、操作标准以及应急处置等三大部分，用于规范输配气站操作与应急处置。</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color w:val="000000"/>
          <w:sz w:val="28"/>
          <w:szCs w:val="28"/>
        </w:rPr>
        <w:t xml:space="preserve">第十一条 </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公司</w:t>
      </w:r>
      <w:r>
        <w:rPr>
          <w:rFonts w:hint="eastAsia" w:ascii="方正仿宋简体" w:hAnsi="方正仿宋简体" w:eastAsia="方正仿宋简体" w:cs="方正仿宋简体"/>
          <w:sz w:val="28"/>
          <w:szCs w:val="28"/>
        </w:rPr>
        <w:t>应按照《四川川港燃气有限责任公司输配气站生产技术管理实施细则》规定，编制输配气站重点日常维护及停气检修的工作计划，并按计划要求抓好执行。</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第十二条</w:t>
      </w:r>
      <w:r>
        <w:rPr>
          <w:rFonts w:hint="eastAsia" w:ascii="方正仿宋简体" w:hAnsi="方正仿宋简体" w:eastAsia="方正仿宋简体" w:cs="方正仿宋简体"/>
          <w:color w:val="000000"/>
          <w:sz w:val="28"/>
          <w:szCs w:val="28"/>
        </w:rPr>
        <w:t xml:space="preserve">  各输配气站应加强运行参数的监控，认真分析压力与流量变化、设备运行状态，及时发现和解决输配气站工艺及设备运行异常情况。</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第十三条  </w:t>
      </w:r>
      <w:r>
        <w:rPr>
          <w:rFonts w:hint="eastAsia" w:ascii="方正仿宋简体" w:hAnsi="方正仿宋简体" w:eastAsia="方正仿宋简体" w:cs="方正仿宋简体"/>
          <w:color w:val="000000"/>
          <w:sz w:val="28"/>
          <w:szCs w:val="28"/>
        </w:rPr>
        <w:t>各输配气站应按要求做好站场生产报表的填写和异常情况的记录汇报。信息化功能完善能够自动生成日报的输配气站，应推进无纸化办公，可不用手工再次填写生产日报，但生产报表必须每日备份存档，保证可追溯性、完整性。</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第十四条 </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输配气站工艺、设备尽量在设计推荐值内运行。长期超设计流量、流速运行的工艺管道和设备应进行工艺适应性评价，进行工艺改造或工况调整。</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（一）对偏离设备设计工况点运行的旋风分离器，应根据实际运行压力重新核算处理能力，单台设备处理气量应控制在核算处理量30%以内；</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（二）站内工艺管道长期超设计流速运行的，除进行适应性评价外，还应选择典型部位进行定点测厚，每月进行比对分析；</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（三）调压阀出口法兰处天然气最大流速不宜超过40m/s，以降低管线冲刷腐蚀和站场噪声。</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第十五条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b/>
          <w:color w:val="000000"/>
          <w:sz w:val="28"/>
          <w:szCs w:val="28"/>
        </w:rPr>
        <w:t xml:space="preserve">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应按要求开展输配气站气质的检测与监测，确保天然气气质应符合现行国家标准《天然气》（GB17820）中规定的二类气标准要求。供民用的天然气应按要求开展加臭剂连续加注，定期开展加臭剂浓度检测，每年不低于2次。</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第十六条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应根据站场工艺及设备设计参数、运行工况，设置合理的工艺控制参数和安全报警参数，要求至少每月复核、更新一次。只涉及单个输配气站或单台设备的工艺控制参数和安全报警参数设置或变更，由公司负责；涉及上下游管网或气田、跨单位的输配气站的工艺控制参数和安全报警参数设置或变更，由四川川港</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负责。</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第十七条</w:t>
      </w:r>
      <w:r>
        <w:rPr>
          <w:rFonts w:hint="eastAsia" w:ascii="方正仿宋简体" w:hAnsi="方正仿宋简体" w:eastAsia="方正仿宋简体" w:cs="方正仿宋简体"/>
          <w:color w:val="000000"/>
          <w:sz w:val="28"/>
          <w:szCs w:val="28"/>
        </w:rPr>
        <w:t xml:space="preserve">  工艺流程、运行方式及控制参数的调整必须依据上级调度指令执行。调度指令原则上自上而下逐级下达，在紧急状态下值班人员可先行采取应急处置措施，事态受控后及时向上级汇报。</w:t>
      </w:r>
    </w:p>
    <w:p>
      <w:pPr>
        <w:pStyle w:val="12"/>
        <w:keepNext w:val="0"/>
        <w:keepLines w:val="0"/>
        <w:pageBreakBefore w:val="0"/>
        <w:widowControl w:val="0"/>
        <w:kinsoku/>
        <w:wordWrap/>
        <w:overflowPunct/>
        <w:topLinePunct w:val="0"/>
        <w:autoSpaceDE/>
        <w:autoSpaceDN/>
        <w:bidi w:val="0"/>
        <w:adjustRightInd w:val="0"/>
        <w:snapToGrid w:val="0"/>
        <w:spacing w:after="0" w:afterLines="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第十八条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站场工艺、设备设施、工艺参数及安全系统等发生超出现有设计或运行与操作规程范围的改变时，应执行变更管理。</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65" w:name="_Toc508016690"/>
      <w:bookmarkStart w:id="366" w:name="_Toc508012264"/>
      <w:bookmarkStart w:id="367" w:name="_Toc12640"/>
      <w:r>
        <w:rPr>
          <w:rFonts w:hint="eastAsia" w:ascii="方正黑体简体" w:hAnsi="方正黑体简体" w:eastAsia="方正黑体简体" w:cs="方正黑体简体"/>
          <w:b w:val="0"/>
          <w:bCs/>
          <w:sz w:val="30"/>
          <w:szCs w:val="30"/>
          <w:lang w:eastAsia="zh-CN"/>
        </w:rPr>
        <w:t>第四章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巡回检查管理</w:t>
      </w:r>
      <w:bookmarkEnd w:id="365"/>
      <w:bookmarkEnd w:id="366"/>
      <w:bookmarkEnd w:id="367"/>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560" w:lineRule="exact"/>
        <w:ind w:leftChars="0"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第十九条</w:t>
      </w:r>
      <w:r>
        <w:rPr>
          <w:rFonts w:hint="eastAsia" w:ascii="方正仿宋简体" w:hAnsi="方正仿宋简体" w:eastAsia="方正仿宋简体" w:cs="方正仿宋简体"/>
          <w:color w:val="000000"/>
          <w:sz w:val="28"/>
          <w:szCs w:val="28"/>
        </w:rPr>
        <w:t xml:space="preserve">  站场巡检分为交接班巡检和当班巡检。</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交接班巡检是在站场岗位交接时由当班员工与接班员工共同进行的联合检查，并在交接班记录上签字。交接内容包括但不仅限于：交生产流程变化及原因；交设备、仪表、报警装置情况及问题；交气量变化情况及原因；交内外联系及上级指示；交资料数据报表及记录；交工用具。</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（二）当班巡检是值班员工在当班时段内按要求开展的巡回检查，并在巡回检查记录表中进行记录。对发现的问题及时处理，对不能处理的及时汇报，并做好相应记录。</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第二十条 </w:t>
      </w:r>
      <w:r>
        <w:rPr>
          <w:rFonts w:hint="eastAsia" w:ascii="方正仿宋简体" w:hAnsi="方正仿宋简体" w:eastAsia="方正仿宋简体" w:cs="方正仿宋简体"/>
          <w:color w:val="000000"/>
          <w:sz w:val="28"/>
          <w:szCs w:val="28"/>
        </w:rPr>
        <w:t xml:space="preserve"> 输配气站当班人工巡检周期</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（一）自动化控制及安防系统功能完善且运行正常的站场，推荐巡检周期为4小时；</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（二）自动化控制及安防系统功能不完善或运行不正常的站场，推荐巡检周期推荐为2小时；</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（三）当站场运行工况变化较大、存在生产异常报警或检维修作业时，应加密巡检；</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（四）站内排污池等辅助设施每天巡检一次；放空区每周巡检一次，对传火系统、放空立管及绷绳稳固情况等进行检查。</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第二十一条</w:t>
      </w:r>
      <w:r>
        <w:rPr>
          <w:rFonts w:hint="eastAsia" w:ascii="方正仿宋简体" w:hAnsi="方正仿宋简体" w:eastAsia="方正仿宋简体" w:cs="方正仿宋简体"/>
          <w:color w:val="000000"/>
          <w:sz w:val="28"/>
          <w:szCs w:val="28"/>
        </w:rPr>
        <w:t xml:space="preserve">  巡回检查路线严格按照站场管理手册巡回检查线路要求覆盖站场所有区域巡检，重点检查运行参数有无异常、设备装置运行是否正常、介质有无泄漏、连接部件有无松动及站外环境有无异常。</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第二十二条</w:t>
      </w:r>
      <w:r>
        <w:rPr>
          <w:rFonts w:hint="eastAsia" w:ascii="方正仿宋简体" w:hAnsi="方正仿宋简体" w:eastAsia="方正仿宋简体" w:cs="方正仿宋简体"/>
          <w:color w:val="000000"/>
          <w:sz w:val="28"/>
          <w:szCs w:val="28"/>
        </w:rPr>
        <w:t xml:space="preserve">  值班人员在巡检时均应佩戴便携式可燃气检测仪，进入任何有天然气泄漏报警的区域，应考虑防天然气窒息的措施，使用的工具必须为防爆工具。</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第二十三条</w:t>
      </w:r>
      <w:r>
        <w:rPr>
          <w:rFonts w:hint="eastAsia" w:ascii="方正仿宋简体" w:hAnsi="方正仿宋简体" w:eastAsia="方正仿宋简体" w:cs="方正仿宋简体"/>
          <w:color w:val="000000"/>
          <w:sz w:val="28"/>
          <w:szCs w:val="28"/>
        </w:rPr>
        <w:t xml:space="preserve">  具备生产数据信息化采集功能的输配气站，除按规定周期人工巡检外，值班人员每小时还应通过生产信息化系统对本站进行电子远程巡检，巡检包括但不限于运行参数和视频信号，运行参数异常或设备故障报警情况等内容。</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第二十四条</w:t>
      </w:r>
      <w:r>
        <w:rPr>
          <w:rFonts w:hint="eastAsia" w:ascii="方正仿宋简体" w:hAnsi="方正仿宋简体" w:eastAsia="方正仿宋简体" w:cs="方正仿宋简体"/>
          <w:color w:val="000000"/>
          <w:sz w:val="28"/>
          <w:szCs w:val="28"/>
        </w:rPr>
        <w:t xml:space="preserve">  进行电子远程巡检时，应对当前运行数据与历时数据和控制要求进行对比，判断是否存在以下异常（包括但不限于）：</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（一）进/出站压力变化是否异常；</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（二）各回路运行参数和阀位状态是否正常；</w:t>
      </w:r>
    </w:p>
    <w:p>
      <w:pPr>
        <w:pStyle w:val="33"/>
        <w:keepNext w:val="0"/>
        <w:keepLines w:val="0"/>
        <w:pageBreakBefore w:val="0"/>
        <w:widowControl w:val="0"/>
        <w:kinsoku/>
        <w:wordWrap/>
        <w:overflowPunct/>
        <w:topLinePunct w:val="0"/>
        <w:autoSpaceDE/>
        <w:autoSpaceDN/>
        <w:bidi w:val="0"/>
        <w:adjustRightInd w:val="0"/>
        <w:snapToGrid w:val="0"/>
        <w:spacing w:line="560" w:lineRule="exact"/>
        <w:ind w:left="0" w:firstLine="560"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（三）视频信号是否正常，是否存在火灾报警或检测仪故障。</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第二十五条</w:t>
      </w:r>
      <w:r>
        <w:rPr>
          <w:rFonts w:hint="eastAsia" w:ascii="方正仿宋简体" w:hAnsi="方正仿宋简体" w:eastAsia="方正仿宋简体" w:cs="方正仿宋简体"/>
          <w:color w:val="000000"/>
          <w:sz w:val="28"/>
          <w:szCs w:val="28"/>
        </w:rPr>
        <w:t xml:space="preserve">  通过电子远程巡检发现异常情况后，应立即切换到分画面中进行详细查看，根据需要调用历史趋势曲线进行对比分析，并到现场进行检查。</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第二十六条  </w:t>
      </w:r>
      <w:r>
        <w:rPr>
          <w:rFonts w:hint="eastAsia" w:ascii="方正仿宋简体" w:hAnsi="方正仿宋简体" w:eastAsia="方正仿宋简体" w:cs="方正仿宋简体"/>
          <w:color w:val="000000"/>
          <w:sz w:val="28"/>
          <w:szCs w:val="28"/>
        </w:rPr>
        <w:t>具备生产信息化系统的站场，每周对站内远传数据与就地数据进行对比，若二者差异较大时，立即汇报</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并做好异常情况跟踪记录。</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68" w:name="_Toc508016691"/>
      <w:bookmarkStart w:id="369" w:name="_Toc2662"/>
      <w:bookmarkStart w:id="370" w:name="_Toc508012265"/>
      <w:r>
        <w:rPr>
          <w:rFonts w:hint="eastAsia" w:ascii="方正黑体简体" w:hAnsi="方正黑体简体" w:eastAsia="方正黑体简体" w:cs="方正黑体简体"/>
          <w:b w:val="0"/>
          <w:bCs/>
          <w:sz w:val="30"/>
          <w:szCs w:val="30"/>
          <w:lang w:eastAsia="zh-CN"/>
        </w:rPr>
        <w:t>第五章  操作维护管理</w:t>
      </w:r>
      <w:bookmarkEnd w:id="368"/>
      <w:bookmarkEnd w:id="369"/>
      <w:bookmarkEnd w:id="370"/>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第二十七条</w:t>
      </w:r>
      <w:r>
        <w:rPr>
          <w:rFonts w:hint="eastAsia" w:ascii="方正仿宋简体" w:hAnsi="方正仿宋简体" w:eastAsia="方正仿宋简体" w:cs="方正仿宋简体"/>
          <w:color w:val="000000"/>
          <w:sz w:val="28"/>
          <w:szCs w:val="28"/>
        </w:rPr>
        <w:t xml:space="preserve">  操作维护工作是维持输配气站生产连续运行与设备设施良好状态必需的生产作业活动，操作维护必须按照站场管理与操作手册的规定执行。</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第二十八条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应根据输配气站的主要设备（装置）和主要生产操作，编制相应的操作规程和操作卡，每年至少开展一次工作循环分析。</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（一）对经常性、程序化的风险作业，用操作卡进行风险控制；</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（二）对设备（装置）常规、程序化的维保作业，用操作规程进行风险控制；</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（三）对于非常规风险作业，采取作业方案和作业许可进行针对性的风险控制。</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第二十九条</w:t>
      </w:r>
      <w:r>
        <w:rPr>
          <w:rFonts w:hint="eastAsia" w:ascii="方正仿宋简体" w:hAnsi="方正仿宋简体" w:eastAsia="方正仿宋简体" w:cs="方正仿宋简体"/>
          <w:color w:val="000000"/>
          <w:sz w:val="28"/>
          <w:szCs w:val="28"/>
        </w:rPr>
        <w:t xml:space="preserve">  操作维护人员应清楚设备性能、结构、原理、操作规程、维护保养及故障排除；清楚工艺流程及其走向、运行许可参数及安全控制参数等关键技术指标；开展操作维护前的风险识别，掌握风险控制措施并落实；特殊作业还需取得调度指令和作业许可。</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第三十条</w:t>
      </w:r>
      <w:r>
        <w:rPr>
          <w:rFonts w:hint="eastAsia" w:ascii="方正仿宋简体" w:hAnsi="方正仿宋简体" w:eastAsia="方正仿宋简体" w:cs="方正仿宋简体"/>
          <w:color w:val="000000"/>
          <w:sz w:val="28"/>
          <w:szCs w:val="28"/>
        </w:rPr>
        <w:t xml:space="preserve">  操作维护工具的选择应满足《石油设施电气设备安装区域一级、0区、1区和2区区域划分推荐做法》（SY/T6671）规定的防爆要求。</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第三十一条  </w:t>
      </w:r>
      <w:r>
        <w:rPr>
          <w:rFonts w:hint="eastAsia" w:ascii="方正仿宋简体" w:hAnsi="方正仿宋简体" w:eastAsia="方正仿宋简体" w:cs="方正仿宋简体"/>
          <w:color w:val="000000"/>
          <w:sz w:val="28"/>
          <w:szCs w:val="28"/>
        </w:rPr>
        <w:t>严禁对输配气站内安全仪表系统进行功能屏蔽，系统调试或故障维修时应向上级管理单位报告，并做好系统功能屏蔽期间的安全保障和监控措施，要限期恢复。</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第三十二条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应按照特种设备管理要求，开展工艺管道、压力容器和安全仪表系统的完整性评价和定期检验。</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（一）压力容器按照《压力容器》（GB150）开展定期检验；</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（二）存在超设计流速运行、排污频繁的输配气站应在工艺管道、排污管线受冲刷的弯头等部位选择2-3个典型点每月进行定点测厚；</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（三）每季度对UPS进行一次充放电性能测试；</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第三十三条  </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应加强站场工艺设备及安全控制系统的故障管理，建立公司输配气站工艺设备设施故障及失效数据库，支撑设备选型、运行及维护管理工作。</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71" w:name="_Toc508016692"/>
      <w:bookmarkStart w:id="372" w:name="_Toc508012266"/>
      <w:bookmarkStart w:id="373" w:name="_Toc21346"/>
      <w:r>
        <w:rPr>
          <w:rFonts w:hint="eastAsia" w:ascii="方正黑体简体" w:hAnsi="方正黑体简体" w:eastAsia="方正黑体简体" w:cs="方正黑体简体"/>
          <w:b w:val="0"/>
          <w:bCs/>
          <w:sz w:val="30"/>
          <w:szCs w:val="30"/>
          <w:lang w:eastAsia="zh-CN"/>
        </w:rPr>
        <w:t>第六章  检维修管理</w:t>
      </w:r>
      <w:bookmarkEnd w:id="371"/>
      <w:bookmarkEnd w:id="372"/>
      <w:bookmarkEnd w:id="373"/>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第三十四条  </w:t>
      </w:r>
      <w:r>
        <w:rPr>
          <w:rFonts w:hint="eastAsia" w:ascii="方正仿宋简体" w:hAnsi="方正仿宋简体" w:eastAsia="方正仿宋简体" w:cs="方正仿宋简体"/>
          <w:color w:val="000000"/>
          <w:sz w:val="28"/>
          <w:szCs w:val="28"/>
        </w:rPr>
        <w:t>站场检维修作业前必须编制作业方案，经审批通过后方能组织实施。检维修作业完成后应对方案的符合性和检维修的效果进行总结评估。</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第三十五条  </w:t>
      </w:r>
      <w:r>
        <w:rPr>
          <w:rFonts w:hint="eastAsia" w:ascii="方正仿宋简体" w:hAnsi="方正仿宋简体" w:eastAsia="方正仿宋简体" w:cs="方正仿宋简体"/>
          <w:color w:val="000000"/>
          <w:sz w:val="28"/>
          <w:szCs w:val="28"/>
        </w:rPr>
        <w:t>站场检维修作业必须按照检维修作业方案组织实施，加强作业全过程的受控管理，确保检维修作业的质量和安全。</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第三十六条  </w:t>
      </w:r>
      <w:r>
        <w:rPr>
          <w:rFonts w:hint="eastAsia" w:ascii="方正仿宋简体" w:hAnsi="方正仿宋简体" w:eastAsia="方正仿宋简体" w:cs="方正仿宋简体"/>
          <w:color w:val="000000"/>
          <w:sz w:val="28"/>
          <w:szCs w:val="28"/>
        </w:rPr>
        <w:t>检维修作业前应识别作业全过程风险因素并制定针对性风险防范措施，抓好工作前安全分析、能量隔离及启动前安全检查等工作；作业过程中抓好各项安全保障措施的落实，确保检维修作业的安全。</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第三十七条  </w:t>
      </w:r>
      <w:r>
        <w:rPr>
          <w:rFonts w:hint="eastAsia" w:ascii="方正仿宋简体" w:hAnsi="方正仿宋简体" w:eastAsia="方正仿宋简体" w:cs="方正仿宋简体"/>
          <w:color w:val="000000"/>
          <w:sz w:val="28"/>
          <w:szCs w:val="28"/>
        </w:rPr>
        <w:t>检维修涉及到管线打开、工业动火、临时用电、高处作业、有限空间作业及吊装作业时，应严格执行西油分公司作业许可管理相关要求。</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第三十八条  </w:t>
      </w:r>
      <w:r>
        <w:rPr>
          <w:rFonts w:hint="eastAsia" w:ascii="方正仿宋简体" w:hAnsi="方正仿宋简体" w:eastAsia="方正仿宋简体" w:cs="方正仿宋简体"/>
          <w:color w:val="000000"/>
          <w:sz w:val="28"/>
          <w:szCs w:val="28"/>
        </w:rPr>
        <w:t>站场检维修作业方案一经审定，原则上不允许进行调整。确因现场变化需要对方案发生重要调整的，应按方案审查程序进行变更和审批。</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74" w:name="_Toc508012267"/>
      <w:bookmarkStart w:id="375" w:name="_Toc508016693"/>
      <w:bookmarkStart w:id="376" w:name="_Toc10735"/>
      <w:r>
        <w:rPr>
          <w:rFonts w:hint="eastAsia" w:ascii="方正黑体简体" w:hAnsi="方正黑体简体" w:eastAsia="方正黑体简体" w:cs="方正黑体简体"/>
          <w:b w:val="0"/>
          <w:bCs/>
          <w:sz w:val="30"/>
          <w:szCs w:val="30"/>
          <w:lang w:eastAsia="zh-CN"/>
        </w:rPr>
        <w:t>第七章  大修理管理</w:t>
      </w:r>
      <w:bookmarkEnd w:id="374"/>
      <w:bookmarkEnd w:id="375"/>
      <w:bookmarkEnd w:id="376"/>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第三十九条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站场工艺或设备因技术淘汰、设备故障失效、工艺调整或自然灾害等原因，造成原有功能部分不适应或丧失，不能发挥正常的生产能力和性能，不能满足安全生产和环保等要求，应对其进行修复和功能改善，开展大修理改造。</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第四十条</w:t>
      </w:r>
      <w:r>
        <w:rPr>
          <w:rFonts w:hint="eastAsia" w:ascii="方正仿宋简体" w:hAnsi="方正仿宋简体" w:eastAsia="方正仿宋简体" w:cs="方正仿宋简体"/>
          <w:color w:val="000000"/>
          <w:sz w:val="28"/>
          <w:szCs w:val="28"/>
        </w:rPr>
        <w:t xml:space="preserve">  站场工艺设备及配套设施发生故障或存在安全隐患，不能确保正常生产或安全运行时，公司利用自控费用及时维修整改。</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第四十一条</w:t>
      </w:r>
      <w:r>
        <w:rPr>
          <w:rFonts w:hint="eastAsia" w:ascii="方正仿宋简体" w:hAnsi="方正仿宋简体" w:eastAsia="方正仿宋简体" w:cs="方正仿宋简体"/>
          <w:color w:val="000000"/>
          <w:sz w:val="28"/>
          <w:szCs w:val="28"/>
        </w:rPr>
        <w:t xml:space="preserve">  输配气站大修论证与立项应遵循“专业论证，统一立项”的原则，要杜绝一个站场多个大修项目或多处申报立项问题的产生。</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第四十二条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因不可抗力因素或突发性原因，导致输配气站无法正常运行或危及安全，或市场发生重大变化，需立即进行开展修理或整改的，公司需先上报四川川港，经四川川港上报西油分公后同意后，尽快开展相关工作，并及时完善相关资料和手续，在分控大修调整计划中做相应调整。</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第四十三条  </w:t>
      </w:r>
      <w:r>
        <w:rPr>
          <w:rFonts w:hint="eastAsia" w:ascii="方正仿宋简体" w:hAnsi="方正仿宋简体" w:eastAsia="方正仿宋简体" w:cs="方正仿宋简体"/>
          <w:color w:val="000000"/>
          <w:sz w:val="28"/>
          <w:szCs w:val="28"/>
        </w:rPr>
        <w:t>输配气站分控大修理项目的实施管理必须按照建设项目管理要求执行，确保项目实施的质量、安全、环保、费用及合规受控。输配气站分控大修理项目原则上由四川川港组织实施。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第四十四条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输配气站分控大修理项目的完工交接和验收实施分级管理，具体按照管道管理能力评价及分级管理的相关规定执行。</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77" w:name="_Toc18614"/>
      <w:bookmarkStart w:id="378" w:name="_Toc508012268"/>
      <w:bookmarkStart w:id="379" w:name="_Toc508016694"/>
      <w:r>
        <w:rPr>
          <w:rFonts w:hint="eastAsia" w:ascii="方正黑体简体" w:hAnsi="方正黑体简体" w:eastAsia="方正黑体简体" w:cs="方正黑体简体"/>
          <w:b w:val="0"/>
          <w:bCs/>
          <w:sz w:val="30"/>
          <w:szCs w:val="30"/>
          <w:lang w:eastAsia="zh-CN"/>
        </w:rPr>
        <w:t>第八章  HSE管理</w:t>
      </w:r>
      <w:bookmarkEnd w:id="377"/>
      <w:bookmarkEnd w:id="378"/>
      <w:bookmarkEnd w:id="379"/>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第四十五条</w:t>
      </w:r>
      <w:r>
        <w:rPr>
          <w:rFonts w:hint="eastAsia" w:ascii="方正仿宋简体" w:hAnsi="方正仿宋简体" w:eastAsia="方正仿宋简体" w:cs="方正仿宋简体"/>
          <w:color w:val="000000"/>
          <w:sz w:val="28"/>
          <w:szCs w:val="28"/>
        </w:rPr>
        <w:t xml:space="preserve">  各输配气站应每年至少开展一次危害因素辨识，风险辨识应由</w:t>
      </w:r>
      <w:r>
        <w:rPr>
          <w:rFonts w:hint="eastAsia" w:ascii="方正仿宋简体" w:hAnsi="方正仿宋简体" w:eastAsia="方正仿宋简体" w:cs="方正仿宋简体"/>
          <w:color w:val="000000"/>
          <w:sz w:val="28"/>
          <w:szCs w:val="28"/>
          <w:lang w:eastAsia="zh-CN"/>
        </w:rPr>
        <w:t>质量安全环保部</w:t>
      </w:r>
      <w:r>
        <w:rPr>
          <w:rFonts w:hint="eastAsia" w:ascii="方正仿宋简体" w:hAnsi="方正仿宋简体" w:eastAsia="方正仿宋简体" w:cs="方正仿宋简体"/>
          <w:color w:val="000000"/>
          <w:sz w:val="28"/>
          <w:szCs w:val="28"/>
        </w:rPr>
        <w:t>统一组织、站场全体员工参与，形成站场危险因素辨识及管理清单，对识别出的风险和隐患落实相应的控制措施。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第四十六条</w:t>
      </w:r>
      <w:r>
        <w:rPr>
          <w:rFonts w:hint="eastAsia" w:ascii="方正仿宋简体" w:hAnsi="方正仿宋简体" w:eastAsia="方正仿宋简体" w:cs="方正仿宋简体"/>
          <w:color w:val="000000"/>
          <w:sz w:val="28"/>
          <w:szCs w:val="28"/>
        </w:rPr>
        <w:t xml:space="preserve">  输配气站班组至少每周、公司至少半年开展一次输配气站的安全环保隐患排查。对发现的隐患应当积极组织治理，对不能立即治理的安全隐患，应当制定和落实监控措施，并告知岗位人员和相关人员在紧急情况下采取的应急措施。</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第四十七条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对严重威胁生产安全、随时可能发生安全事故的重大隐患，应当立即对隐患站场或设备进行停运整改。</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第四十八条 </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lang w:eastAsia="zh-CN"/>
        </w:rPr>
        <w:t>输配中心站</w:t>
      </w:r>
      <w:r>
        <w:rPr>
          <w:rFonts w:hint="eastAsia" w:ascii="方正仿宋简体" w:hAnsi="方正仿宋简体" w:eastAsia="方正仿宋简体" w:cs="方正仿宋简体"/>
          <w:color w:val="000000"/>
          <w:sz w:val="28"/>
          <w:szCs w:val="28"/>
        </w:rPr>
        <w:t>对输配气站岗位员工应知应会与安全生产技能加强培训。岗位员工应按照要求开展</w:t>
      </w:r>
      <w:r>
        <w:rPr>
          <w:rFonts w:hint="eastAsia" w:ascii="方正仿宋简体" w:hAnsi="方正仿宋简体" w:eastAsia="方正仿宋简体" w:cs="方正仿宋简体"/>
          <w:color w:val="000000"/>
          <w:sz w:val="28"/>
          <w:szCs w:val="28"/>
          <w:lang w:eastAsia="zh-CN"/>
        </w:rPr>
        <w:t>QHSE</w:t>
      </w:r>
      <w:r>
        <w:rPr>
          <w:rFonts w:hint="eastAsia" w:ascii="方正仿宋简体" w:hAnsi="方正仿宋简体" w:eastAsia="方正仿宋简体" w:cs="方正仿宋简体"/>
          <w:color w:val="000000"/>
          <w:sz w:val="28"/>
          <w:szCs w:val="28"/>
        </w:rPr>
        <w:t>活动，做到岗位“五个清楚”，即清楚本岗位的职责、清楚本岗位操作程序、清楚身边的危险源、清楚身边的隐患及控制措施、清楚应急预案（应急处置卡）。</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bCs/>
          <w:color w:val="000000"/>
          <w:sz w:val="28"/>
          <w:szCs w:val="28"/>
        </w:rPr>
      </w:pPr>
      <w:r>
        <w:rPr>
          <w:rFonts w:hint="eastAsia" w:ascii="方正仿宋简体" w:hAnsi="方正仿宋简体" w:eastAsia="方正仿宋简体" w:cs="方正仿宋简体"/>
          <w:b/>
          <w:color w:val="000000"/>
          <w:sz w:val="28"/>
          <w:szCs w:val="28"/>
        </w:rPr>
        <w:t>第四十九条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输配气站岗位员工应按照要求</w:t>
      </w:r>
      <w:r>
        <w:rPr>
          <w:rFonts w:hint="eastAsia" w:ascii="方正仿宋简体" w:hAnsi="方正仿宋简体" w:eastAsia="方正仿宋简体" w:cs="方正仿宋简体"/>
          <w:bCs/>
          <w:color w:val="000000"/>
          <w:sz w:val="28"/>
          <w:szCs w:val="28"/>
        </w:rPr>
        <w:t>正确维护和保养安全防护装置及设施，保证其完好、齐全、灵敏、有效。</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第五十条</w:t>
      </w:r>
      <w:r>
        <w:rPr>
          <w:rFonts w:hint="eastAsia" w:ascii="方正仿宋简体" w:hAnsi="方正仿宋简体" w:eastAsia="方正仿宋简体" w:cs="方正仿宋简体"/>
          <w:color w:val="000000"/>
          <w:sz w:val="28"/>
          <w:szCs w:val="28"/>
        </w:rPr>
        <w:t xml:space="preserve">  输配气站岗位员工应按照属地监督管理职责要求，开展站场准入、作业许可及现场监督管理工作，制止现场违章行为，确保作业与人员的安全。</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第五十一条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牵头组织输配气站岗位员工编制输配气站突发事件应急处置卡，每月组织一次演练，持续改进。</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第五十二条</w:t>
      </w:r>
      <w:r>
        <w:rPr>
          <w:rFonts w:hint="eastAsia" w:ascii="方正仿宋简体" w:hAnsi="方正仿宋简体" w:eastAsia="方正仿宋简体" w:cs="方正仿宋简体"/>
          <w:color w:val="000000"/>
          <w:sz w:val="28"/>
          <w:szCs w:val="28"/>
        </w:rPr>
        <w:t xml:space="preserve">  突发事件发生后，输配气站员工应立即启动应急处置程序，按应急处置卡的要求进行操作。</w:t>
      </w:r>
    </w:p>
    <w:p>
      <w:pPr>
        <w:pStyle w:val="12"/>
        <w:keepNext w:val="0"/>
        <w:keepLines w:val="0"/>
        <w:pageBreakBefore w:val="0"/>
        <w:widowControl w:val="0"/>
        <w:kinsoku/>
        <w:wordWrap/>
        <w:overflowPunct/>
        <w:topLinePunct w:val="0"/>
        <w:bidi w:val="0"/>
        <w:adjustRightInd w:val="0"/>
        <w:snapToGrid w:val="0"/>
        <w:spacing w:after="0" w:line="560" w:lineRule="exact"/>
        <w:ind w:firstLine="560" w:firstLineChars="200"/>
        <w:textAlignment w:val="auto"/>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80" w:name="_Toc508016695"/>
      <w:bookmarkStart w:id="381" w:name="_Toc508012269"/>
      <w:bookmarkStart w:id="382" w:name="_Toc8266"/>
      <w:r>
        <w:rPr>
          <w:rFonts w:hint="eastAsia" w:ascii="方正黑体简体" w:hAnsi="方正黑体简体" w:eastAsia="方正黑体简体" w:cs="方正黑体简体"/>
          <w:b w:val="0"/>
          <w:bCs/>
          <w:sz w:val="30"/>
          <w:szCs w:val="30"/>
          <w:lang w:eastAsia="zh-CN"/>
        </w:rPr>
        <w:t>第九章  资料与信息管理</w:t>
      </w:r>
      <w:bookmarkEnd w:id="380"/>
      <w:bookmarkEnd w:id="381"/>
      <w:bookmarkEnd w:id="382"/>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第五十三条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按四川川港统一标准建立健全输配气站及主要设备设施静态台帐、工艺安全信息、生产运行动态资料及生产管理综合资料，并按要求编制和上报各类报表。</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第五十四条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资料与信息的获取过程中，应实施逐级审查签署确认制，以确保资料与信息的真实可靠。</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第五十五条</w:t>
      </w:r>
      <w:r>
        <w:rPr>
          <w:rFonts w:hint="eastAsia" w:ascii="方正仿宋简体" w:hAnsi="方正仿宋简体" w:eastAsia="方正仿宋简体" w:cs="方正仿宋简体"/>
          <w:b/>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站场设置资料存放柜，对站场资料进行分类归档保存，方便查阅并注意保密，其中生产类资料保存期为2年。数字化资料无统一存储系统的，应每月进行电子档案备份。</w:t>
      </w:r>
    </w:p>
    <w:p>
      <w:pPr>
        <w:keepNext w:val="0"/>
        <w:keepLines w:val="0"/>
        <w:pageBreakBefore w:val="0"/>
        <w:widowControl w:val="0"/>
        <w:kinsoku/>
        <w:wordWrap/>
        <w:overflowPunct/>
        <w:topLinePunct w:val="0"/>
        <w:autoSpaceDE w:val="0"/>
        <w:autoSpaceDN w:val="0"/>
        <w:bidi w:val="0"/>
        <w:adjustRightInd w:val="0"/>
        <w:spacing w:line="560" w:lineRule="exact"/>
        <w:ind w:firstLine="562" w:firstLineChars="200"/>
        <w:textAlignment w:val="auto"/>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第五十六条</w:t>
      </w:r>
      <w:r>
        <w:rPr>
          <w:rFonts w:hint="eastAsia" w:ascii="方正仿宋简体" w:hAnsi="方正仿宋简体" w:eastAsia="方正仿宋简体" w:cs="方正仿宋简体"/>
          <w:color w:val="000000"/>
          <w:sz w:val="28"/>
          <w:szCs w:val="28"/>
        </w:rPr>
        <w:t xml:space="preserve">  资料与信息必须执行保密的相关规定，实施资料与信息的传输、借阅管理，确保资料与信息的完整性和安全性。</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83" w:name="_Toc27714"/>
      <w:bookmarkStart w:id="384" w:name="_Toc508016696"/>
      <w:bookmarkStart w:id="385" w:name="_Toc508012270"/>
      <w:r>
        <w:rPr>
          <w:rFonts w:hint="eastAsia" w:ascii="方正黑体简体" w:hAnsi="方正黑体简体" w:eastAsia="方正黑体简体" w:cs="方正黑体简体"/>
          <w:b w:val="0"/>
          <w:bCs/>
          <w:sz w:val="30"/>
          <w:szCs w:val="30"/>
          <w:lang w:eastAsia="zh-CN"/>
        </w:rPr>
        <w:t>第十章  监督考核</w:t>
      </w:r>
      <w:bookmarkEnd w:id="383"/>
      <w:bookmarkEnd w:id="384"/>
      <w:bookmarkEnd w:id="385"/>
    </w:p>
    <w:p>
      <w:pPr>
        <w:pStyle w:val="159"/>
        <w:keepNext w:val="0"/>
        <w:keepLines w:val="0"/>
        <w:pageBreakBefore w:val="0"/>
        <w:widowControl w:val="0"/>
        <w:kinsoku/>
        <w:wordWrap/>
        <w:overflowPunct/>
        <w:topLinePunct w:val="0"/>
        <w:bidi w:val="0"/>
        <w:adjustRightInd w:val="0"/>
        <w:snapToGrid w:val="0"/>
        <w:spacing w:line="560" w:lineRule="exact"/>
        <w:ind w:firstLine="562" w:firstLineChars="200"/>
        <w:jc w:val="left"/>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第五十七条</w:t>
      </w:r>
      <w:r>
        <w:rPr>
          <w:rFonts w:hint="eastAsia" w:ascii="方正仿宋简体" w:hAnsi="方正仿宋简体" w:eastAsia="方正仿宋简体" w:cs="方正仿宋简体"/>
          <w:color w:val="000000"/>
          <w:sz w:val="28"/>
          <w:szCs w:val="28"/>
        </w:rPr>
        <w:t xml:space="preserve">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公司每年将输配气站管理工作纳入各单位年度绩效考核，每年检查考核四次。</w:t>
      </w:r>
    </w:p>
    <w:p>
      <w:pPr>
        <w:pStyle w:val="159"/>
        <w:keepNext w:val="0"/>
        <w:keepLines w:val="0"/>
        <w:pageBreakBefore w:val="0"/>
        <w:widowControl w:val="0"/>
        <w:kinsoku/>
        <w:wordWrap/>
        <w:overflowPunct/>
        <w:topLinePunct w:val="0"/>
        <w:bidi w:val="0"/>
        <w:adjustRightInd w:val="0"/>
        <w:snapToGrid w:val="0"/>
        <w:spacing w:line="560" w:lineRule="exact"/>
        <w:ind w:firstLine="560" w:firstLineChars="200"/>
        <w:jc w:val="left"/>
        <w:textAlignment w:val="auto"/>
        <w:outlineLvl w:val="9"/>
        <w:rPr>
          <w:rFonts w:hint="eastAsia" w:ascii="方正仿宋简体" w:hAnsi="方正仿宋简体" w:eastAsia="方正仿宋简体" w:cs="方正仿宋简体"/>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lang w:eastAsia="zh-CN"/>
        </w:rPr>
      </w:pPr>
      <w:bookmarkStart w:id="386" w:name="_Toc1258"/>
      <w:bookmarkStart w:id="387" w:name="_Toc508012271"/>
      <w:bookmarkStart w:id="388" w:name="_Toc508016697"/>
      <w:r>
        <w:rPr>
          <w:rFonts w:hint="eastAsia" w:ascii="方正黑体简体" w:hAnsi="方正黑体简体" w:eastAsia="方正黑体简体" w:cs="方正黑体简体"/>
          <w:b w:val="0"/>
          <w:bCs/>
          <w:sz w:val="30"/>
          <w:szCs w:val="30"/>
          <w:lang w:eastAsia="zh-CN"/>
        </w:rPr>
        <w:t>第十一章  附  则</w:t>
      </w:r>
      <w:bookmarkEnd w:id="386"/>
      <w:bookmarkEnd w:id="387"/>
      <w:bookmarkEnd w:id="388"/>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第六十条  </w:t>
      </w:r>
      <w:r>
        <w:rPr>
          <w:rFonts w:hint="eastAsia" w:ascii="方正仿宋简体" w:hAnsi="方正仿宋简体" w:eastAsia="方正仿宋简体" w:cs="方正仿宋简体"/>
          <w:color w:val="000000"/>
          <w:sz w:val="28"/>
          <w:szCs w:val="28"/>
        </w:rPr>
        <w:t>本细则由</w:t>
      </w:r>
      <w:r>
        <w:rPr>
          <w:rFonts w:hint="eastAsia" w:ascii="方正仿宋简体" w:hAnsi="方正仿宋简体" w:eastAsia="方正仿宋简体" w:cs="方正仿宋简体"/>
          <w:color w:val="000000"/>
          <w:sz w:val="28"/>
          <w:szCs w:val="28"/>
          <w:lang w:eastAsia="zh-CN"/>
        </w:rPr>
        <w:t>生产运行部</w:t>
      </w:r>
      <w:r>
        <w:rPr>
          <w:rFonts w:hint="eastAsia" w:ascii="方正仿宋简体" w:hAnsi="方正仿宋简体" w:eastAsia="方正仿宋简体" w:cs="方正仿宋简体"/>
          <w:color w:val="000000"/>
          <w:sz w:val="28"/>
          <w:szCs w:val="28"/>
        </w:rPr>
        <w:t>负责解释。</w:t>
      </w:r>
    </w:p>
    <w:p>
      <w:pPr>
        <w:pStyle w:val="12"/>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b/>
          <w:color w:val="000000"/>
          <w:sz w:val="28"/>
          <w:szCs w:val="28"/>
        </w:rPr>
        <w:t xml:space="preserve">第六十一条  </w:t>
      </w:r>
      <w:r>
        <w:rPr>
          <w:rFonts w:hint="eastAsia" w:ascii="方正仿宋简体" w:hAnsi="方正仿宋简体" w:eastAsia="方正仿宋简体" w:cs="方正仿宋简体"/>
          <w:color w:val="000000"/>
          <w:sz w:val="28"/>
          <w:szCs w:val="28"/>
        </w:rPr>
        <w:t>本细则自发布之日起执行。</w:t>
      </w:r>
    </w:p>
    <w:p>
      <w:pPr>
        <w:keepNext w:val="0"/>
        <w:keepLines w:val="0"/>
        <w:pageBreakBefore w:val="0"/>
        <w:widowControl w:val="0"/>
        <w:kinsoku/>
        <w:wordWrap/>
        <w:overflowPunct/>
        <w:topLinePunct w:val="0"/>
        <w:autoSpaceDE/>
        <w:autoSpaceDN/>
        <w:bidi w:val="0"/>
        <w:spacing w:line="560" w:lineRule="exact"/>
        <w:ind w:firstLine="562" w:firstLineChars="200"/>
        <w:jc w:val="center"/>
        <w:textAlignment w:val="auto"/>
        <w:rPr>
          <w:rFonts w:hint="eastAsia" w:ascii="方正仿宋简体" w:hAnsi="方正仿宋简体" w:eastAsia="方正仿宋简体" w:cs="方正仿宋简体"/>
          <w:b/>
          <w:bCs/>
          <w:sz w:val="28"/>
          <w:szCs w:val="28"/>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spacing w:line="640" w:lineRule="exact"/>
        <w:rPr>
          <w:rFonts w:hint="eastAsia" w:ascii="方正黑体简体" w:hAnsi="方正黑体简体" w:eastAsia="方正黑体简体" w:cs="方正黑体简体"/>
          <w:b/>
          <w:bCs/>
          <w:sz w:val="36"/>
          <w:szCs w:val="36"/>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389" w:name="_Toc14666"/>
      <w:bookmarkStart w:id="390" w:name="_Toc26368"/>
      <w:bookmarkStart w:id="391" w:name="_Toc10158"/>
      <w:bookmarkStart w:id="392" w:name="_Toc22347"/>
      <w:bookmarkStart w:id="393" w:name="_Toc6293"/>
      <w:bookmarkStart w:id="394" w:name="_Toc4456"/>
      <w:bookmarkStart w:id="395" w:name="_Toc26869"/>
      <w:bookmarkStart w:id="396" w:name="_Toc14455"/>
      <w:bookmarkStart w:id="397" w:name="_Toc21142"/>
      <w:bookmarkStart w:id="398" w:name="_Toc22225"/>
      <w:bookmarkStart w:id="399" w:name="_Toc5046"/>
      <w:bookmarkStart w:id="400" w:name="_Toc10036"/>
      <w:bookmarkStart w:id="401" w:name="_Toc24220"/>
      <w:bookmarkStart w:id="402" w:name="_Toc23362"/>
      <w:bookmarkStart w:id="403" w:name="_Toc13476"/>
      <w:bookmarkStart w:id="404" w:name="_Toc12083"/>
      <w:bookmarkStart w:id="405" w:name="_Toc11384"/>
      <w:bookmarkStart w:id="406" w:name="_Toc21462"/>
      <w:bookmarkStart w:id="407" w:name="_Toc20049"/>
      <w:r>
        <w:rPr>
          <w:rFonts w:hint="eastAsia" w:ascii="方正小标宋简体" w:eastAsia="方正小标宋简体"/>
          <w:b w:val="0"/>
          <w:bCs w:val="0"/>
          <w:sz w:val="36"/>
          <w:szCs w:val="36"/>
        </w:rPr>
        <w:t>中油南充燃气有限责任公司管道</w:t>
      </w:r>
      <w:r>
        <w:rPr>
          <w:rFonts w:hint="eastAsia" w:ascii="方正小标宋简体" w:eastAsia="方正小标宋简体"/>
          <w:b w:val="0"/>
          <w:bCs w:val="0"/>
          <w:sz w:val="36"/>
          <w:szCs w:val="36"/>
          <w:lang w:eastAsia="zh-CN"/>
        </w:rPr>
        <w:t>安全</w:t>
      </w:r>
      <w:r>
        <w:rPr>
          <w:rFonts w:hint="eastAsia" w:ascii="方正小标宋简体" w:eastAsia="方正小标宋简体"/>
          <w:b w:val="0"/>
          <w:bCs w:val="0"/>
          <w:sz w:val="36"/>
          <w:szCs w:val="36"/>
        </w:rPr>
        <w:t>管理</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Fonts w:hint="eastAsia" w:ascii="方正小标宋简体" w:eastAsia="方正小标宋简体"/>
          <w:b w:val="0"/>
          <w:bCs w:val="0"/>
          <w:sz w:val="36"/>
          <w:szCs w:val="36"/>
          <w:lang w:eastAsia="zh-CN"/>
        </w:rPr>
        <w:t>制度</w:t>
      </w:r>
      <w:bookmarkEnd w:id="407"/>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bCs/>
          <w:sz w:val="30"/>
          <w:szCs w:val="30"/>
        </w:rPr>
      </w:pPr>
      <w:r>
        <w:rPr>
          <w:rFonts w:hint="eastAsia" w:ascii="方正黑体简体" w:hAnsi="宋体" w:eastAsia="方正黑体简体"/>
          <w:b w:val="0"/>
          <w:bCs w:val="0"/>
          <w:sz w:val="30"/>
          <w:szCs w:val="30"/>
          <w:lang w:eastAsia="zh-CN"/>
        </w:rPr>
        <w:t>第一章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rPr>
        <w:t xml:space="preserve"> 总</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sz w:val="28"/>
          <w:szCs w:val="28"/>
        </w:rPr>
        <w:t xml:space="preserve">  为规范中油南充燃气有限责任公司（以下简称南燃司）管道业务管理，实现对管道全生命周期的完整性管理，降低管道系统运行风险。依据国家相关技术规范和西南油气田分公司、川港燃气有限责任公司有关管道管理要求，结合公司的实际情况，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第二条</w:t>
      </w:r>
      <w:r>
        <w:rPr>
          <w:rFonts w:hint="eastAsia" w:ascii="方正仿宋简体" w:hAnsi="方正仿宋简体" w:eastAsia="方正仿宋简体" w:cs="方正仿宋简体"/>
          <w:sz w:val="28"/>
          <w:szCs w:val="28"/>
        </w:rPr>
        <w:t xml:space="preserve">  管道定义。是指将天然气（或燃气）从甲地通过密闭方式输送到乙地的通道及其附属设施。包括金属与非金属管道、管道附件和管道附属设施。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第三条</w:t>
      </w:r>
      <w:r>
        <w:rPr>
          <w:rFonts w:hint="eastAsia" w:ascii="方正仿宋简体" w:hAnsi="方正仿宋简体" w:eastAsia="方正仿宋简体" w:cs="方正仿宋简体"/>
          <w:sz w:val="28"/>
          <w:szCs w:val="28"/>
        </w:rPr>
        <w:t xml:space="preserve">  管道若工作压力大于或者等于0.1Mpa（表压），且公称直径大于50mm的应属于压力管道，其管理应当满足《中华人民共和国特种设备安全法》。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第四条 </w:t>
      </w:r>
      <w:r>
        <w:rPr>
          <w:rFonts w:hint="eastAsia" w:ascii="方正仿宋简体" w:hAnsi="方正仿宋简体" w:eastAsia="方正仿宋简体" w:cs="方正仿宋简体"/>
          <w:sz w:val="28"/>
          <w:szCs w:val="28"/>
        </w:rPr>
        <w:t xml:space="preserve"> 输气管道。是指将上游输配气站（或集输站）净化天然气输往公司门站（配气站或撬装站），并采用《输气管道工程设计规范》GB50251设计的天然气输送管道及其附属设施。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第五条</w:t>
      </w:r>
      <w:r>
        <w:rPr>
          <w:rFonts w:hint="eastAsia" w:ascii="方正仿宋简体" w:hAnsi="方正仿宋简体" w:eastAsia="方正仿宋简体" w:cs="方正仿宋简体"/>
          <w:sz w:val="28"/>
          <w:szCs w:val="28"/>
        </w:rPr>
        <w:t xml:space="preserve">  燃气管道。是指将门站（配气站或撬装站）天然气输往各用户，采用《城镇燃气设计规范》GB50028设计的天然气输送管道及其附属设施。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第六条</w:t>
      </w:r>
      <w:r>
        <w:rPr>
          <w:rFonts w:hint="eastAsia" w:ascii="方正仿宋简体" w:hAnsi="方正仿宋简体" w:eastAsia="方正仿宋简体" w:cs="方正仿宋简体"/>
          <w:sz w:val="28"/>
          <w:szCs w:val="28"/>
        </w:rPr>
        <w:t xml:space="preserve">  管道附属设施。是指管道的配套设施与保护设施，包括：阀室（阀井）、绝缘接头、调压箱（或调压计量撬）、地面标示（板、桩、牌）、检测（检查）桩、阳极包（阳极地床）、阴极保护站、护坡及堡坎等。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第七条</w:t>
      </w:r>
      <w:r>
        <w:rPr>
          <w:rFonts w:hint="eastAsia" w:ascii="方正仿宋简体" w:hAnsi="方正仿宋简体" w:eastAsia="方正仿宋简体" w:cs="方正仿宋简体"/>
          <w:sz w:val="28"/>
          <w:szCs w:val="28"/>
        </w:rPr>
        <w:t xml:space="preserve">  管道管理范围。本办法管道管理范围是指：</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一、输气管道及其附属设施、燃气管道及其附属设施；</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二、居民户内管道。是指入户立管到计量表前（含表）所有管道及其附属设施；</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三、商用（集体）、工业用户燃气管道。是指交接计量表前（含表）的所有管道及其附属设施。</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第八条 </w:t>
      </w:r>
      <w:r>
        <w:rPr>
          <w:rFonts w:hint="eastAsia" w:ascii="方正仿宋简体" w:hAnsi="方正仿宋简体" w:eastAsia="方正仿宋简体" w:cs="方正仿宋简体"/>
          <w:sz w:val="28"/>
          <w:szCs w:val="28"/>
        </w:rPr>
        <w:t xml:space="preserve"> 燃气管道压力分级。按照《城镇燃气设计规范》GB50028燃气管道分为高压A、B级，次高压A、B级，中压A、B级和低压共七级。</w:t>
      </w:r>
    </w:p>
    <w:p>
      <w:pPr>
        <w:keepNext w:val="0"/>
        <w:keepLines w:val="0"/>
        <w:pageBreakBefore w:val="0"/>
        <w:widowControl w:val="0"/>
        <w:kinsoku/>
        <w:wordWrap/>
        <w:overflowPunct/>
        <w:topLinePunct w:val="0"/>
        <w:autoSpaceDE/>
        <w:autoSpaceDN/>
        <w:bidi w:val="0"/>
        <w:adjustRightInd w:val="0"/>
        <w:snapToGrid w:val="0"/>
        <w:spacing w:before="240"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第九条</w:t>
      </w:r>
      <w:r>
        <w:rPr>
          <w:rFonts w:hint="eastAsia" w:ascii="方正仿宋简体" w:hAnsi="方正仿宋简体" w:eastAsia="方正仿宋简体" w:cs="方正仿宋简体"/>
          <w:sz w:val="28"/>
          <w:szCs w:val="28"/>
        </w:rPr>
        <w:t xml:space="preserve">  适用范围。本办法适用于公司所属规划建设、在役运行、建成但未投运及停运待报废的管道管理。</w:t>
      </w:r>
    </w:p>
    <w:p>
      <w:pPr>
        <w:keepNext w:val="0"/>
        <w:keepLines w:val="0"/>
        <w:pageBreakBefore w:val="0"/>
        <w:widowControl w:val="0"/>
        <w:kinsoku/>
        <w:wordWrap/>
        <w:overflowPunct/>
        <w:topLinePunct w:val="0"/>
        <w:autoSpaceDE/>
        <w:autoSpaceDN/>
        <w:bidi w:val="0"/>
        <w:adjustRightInd w:val="0"/>
        <w:snapToGrid w:val="0"/>
        <w:spacing w:before="240"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第二章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 xml:space="preserve"> 管理机构与职责</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第十条</w:t>
      </w:r>
      <w:r>
        <w:rPr>
          <w:rFonts w:hint="eastAsia" w:ascii="方正仿宋简体" w:hAnsi="方正仿宋简体" w:eastAsia="方正仿宋简体" w:cs="方正仿宋简体"/>
          <w:sz w:val="28"/>
          <w:szCs w:val="28"/>
        </w:rPr>
        <w:t xml:space="preserve">  管道业务管理领导小组。公司成立以经理和党委书记为组长，副经理为副组长，各部室负责人为成员的管道业务管理领导小组。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主要职责：</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一、负责公司管道业务管理的统一组织和领导，完善机构与人员配置；</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二、建立完善管道业务管理相关制度与绩效考核机制，并指导、监督检查；</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三、负责审核和下达管道业务年度工作计划，并组织检查考核；</w:t>
      </w:r>
    </w:p>
    <w:p>
      <w:pPr>
        <w:keepNext w:val="0"/>
        <w:keepLines w:val="0"/>
        <w:pageBreakBefore w:val="0"/>
        <w:widowControl w:val="0"/>
        <w:tabs>
          <w:tab w:val="right" w:pos="1440"/>
          <w:tab w:val="right" w:pos="1800"/>
          <w:tab w:val="right" w:pos="1980"/>
          <w:tab w:val="right" w:pos="2700"/>
          <w:tab w:val="right" w:pos="4320"/>
          <w:tab w:val="right" w:pos="4500"/>
          <w:tab w:val="right" w:pos="4680"/>
        </w:tabs>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四、负责组织审查公司的管道新建、改扩建、大修项目的方案和设计审查，并组织实施；</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五、负责管道重大事故（事件）分析与应急处置。</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六、负责管道完整性管理的实施和信息化系统建设工作；</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七、负责管道业务管理费用预算与支付管理。</w:t>
      </w:r>
    </w:p>
    <w:p>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第十一条 </w:t>
      </w:r>
      <w:r>
        <w:rPr>
          <w:rFonts w:hint="eastAsia" w:ascii="方正仿宋简体" w:hAnsi="方正仿宋简体" w:eastAsia="方正仿宋简体" w:cs="方正仿宋简体"/>
          <w:sz w:val="28"/>
          <w:szCs w:val="28"/>
        </w:rPr>
        <w:t xml:space="preserve"> 各部门依据部门职能履行相应管理职责。</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一、经理党委办：负责管道管理人员配置和培训管理；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w:t>
      </w:r>
      <w:r>
        <w:rPr>
          <w:rFonts w:hint="eastAsia" w:ascii="方正仿宋简体" w:hAnsi="方正仿宋简体" w:eastAsia="方正仿宋简体" w:cs="方正仿宋简体"/>
          <w:sz w:val="28"/>
          <w:szCs w:val="28"/>
          <w:lang w:eastAsia="zh-CN"/>
        </w:rPr>
        <w:t>财务资产部</w:t>
      </w:r>
      <w:r>
        <w:rPr>
          <w:rFonts w:hint="eastAsia" w:ascii="方正仿宋简体" w:hAnsi="方正仿宋简体" w:eastAsia="方正仿宋简体" w:cs="方正仿宋简体"/>
          <w:sz w:val="28"/>
          <w:szCs w:val="28"/>
        </w:rPr>
        <w:t>：负责管道业务资金预算管理；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：负责管道项目前期工作、投资批复、管道管理技术装备计划管理；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：负责管道业务</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管理，负责管道事故调查与处理，参与管道危害与风险识别、隐患管理工作。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1.负责管道的工艺技术、计量和天然气气质管理；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2.负责完整性管理体系的建设和持续改进，指导完整性管理工作，并组织对整性管理工作进行审核；</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3.负责输配站及管网设施的日常生产、检维修及应急处置等生产运行与技术管理；负责自然与地质灾害防治管理；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4.负责设备、特种设备的生产与技术管理；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5.负责SCADA系统信息化管理工作；</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6.组织开展管道危害与风险识别、隐患治理、应急处置等管理工作，建立管道安全预案并定期组织演练；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7.负责管道的规划设计、报规、验收、报备和注册登记。</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w:t>
      </w:r>
      <w:r>
        <w:rPr>
          <w:rFonts w:hint="eastAsia" w:ascii="方正仿宋简体" w:hAnsi="方正仿宋简体" w:eastAsia="方正仿宋简体" w:cs="方正仿宋简体"/>
          <w:sz w:val="28"/>
          <w:szCs w:val="28"/>
          <w:lang w:eastAsia="zh-CN"/>
        </w:rPr>
        <w:t>管道管理部</w:t>
      </w:r>
      <w:r>
        <w:rPr>
          <w:rFonts w:hint="eastAsia" w:ascii="方正仿宋简体" w:hAnsi="方正仿宋简体" w:eastAsia="方正仿宋简体" w:cs="方正仿宋简体"/>
          <w:sz w:val="28"/>
          <w:szCs w:val="28"/>
        </w:rPr>
        <w:t>：</w:t>
      </w:r>
    </w:p>
    <w:p>
      <w:pPr>
        <w:keepNext w:val="0"/>
        <w:keepLines w:val="0"/>
        <w:pageBreakBefore w:val="0"/>
        <w:widowControl w:val="0"/>
        <w:numPr>
          <w:ilvl w:val="0"/>
          <w:numId w:val="10"/>
        </w:numPr>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负责编制并上报公司管道业务及完整性管理年度工作计划，并组织实施；</w:t>
      </w:r>
    </w:p>
    <w:p>
      <w:pPr>
        <w:keepNext w:val="0"/>
        <w:keepLines w:val="0"/>
        <w:pageBreakBefore w:val="0"/>
        <w:widowControl w:val="0"/>
        <w:numPr>
          <w:ilvl w:val="0"/>
          <w:numId w:val="10"/>
        </w:numPr>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协助</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开展管道完整性管理体系的建设和持续改进；</w:t>
      </w:r>
    </w:p>
    <w:p>
      <w:pPr>
        <w:keepNext w:val="0"/>
        <w:keepLines w:val="0"/>
        <w:pageBreakBefore w:val="0"/>
        <w:widowControl w:val="0"/>
        <w:numPr>
          <w:ilvl w:val="0"/>
          <w:numId w:val="10"/>
        </w:numPr>
        <w:kinsoku/>
        <w:wordWrap/>
        <w:overflowPunct/>
        <w:topLinePunct w:val="0"/>
        <w:autoSpaceDE/>
        <w:autoSpaceDN/>
        <w:bidi w:val="0"/>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负责管道完整性管理数据的整合、归档、上报，及时更新管道信息平台和失效数据库；</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负责管道的检测、评价、缺陷修复、检维修等管理工作；</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负责管道完整性、GIS系统管理工作；</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参与管道危害与风险识别、隐患管理工作；</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负责制定管道巡护方案并指导、监督、考核管道巡护工作；</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负责业务范围内的技术培训工作。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七、燃气</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1.负责管道的新建、改建、扩建的实施及报建、报监工作；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2.组织实施管道缺陷修复、检维修及管道停气碰口工作；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3.协助</w:t>
      </w:r>
      <w:r>
        <w:rPr>
          <w:rFonts w:hint="eastAsia" w:ascii="方正仿宋简体" w:hAnsi="方正仿宋简体" w:eastAsia="方正仿宋简体" w:cs="方正仿宋简体"/>
          <w:sz w:val="28"/>
          <w:szCs w:val="28"/>
          <w:lang w:eastAsia="zh-CN"/>
        </w:rPr>
        <w:t>管道管理部</w:t>
      </w:r>
      <w:r>
        <w:rPr>
          <w:rFonts w:hint="eastAsia" w:ascii="方正仿宋简体" w:hAnsi="方正仿宋简体" w:eastAsia="方正仿宋简体" w:cs="方正仿宋简体"/>
          <w:sz w:val="28"/>
          <w:szCs w:val="28"/>
        </w:rPr>
        <w:t>制定管道巡护方案，实施管道保护工作，建立管道失效信息台账，并实施管道隐患整治工作；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4.负责管道及附属设施的维护保养工作；组织实施停气、通气及应急抢险等工作。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5.参与管道危害与风险识别，协助</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建立管道安全预案并定期组织演练，并组织实施应急处置工作；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6.协助</w:t>
      </w:r>
      <w:r>
        <w:rPr>
          <w:rFonts w:hint="eastAsia" w:ascii="方正仿宋简体" w:hAnsi="方正仿宋简体" w:eastAsia="方正仿宋简体" w:cs="方正仿宋简体"/>
          <w:sz w:val="28"/>
          <w:szCs w:val="28"/>
          <w:lang w:eastAsia="zh-CN"/>
        </w:rPr>
        <w:t>管道管理部</w:t>
      </w:r>
      <w:r>
        <w:rPr>
          <w:rFonts w:hint="eastAsia" w:ascii="方正仿宋简体" w:hAnsi="方正仿宋简体" w:eastAsia="方正仿宋简体" w:cs="方正仿宋简体"/>
          <w:sz w:val="28"/>
          <w:szCs w:val="28"/>
        </w:rPr>
        <w:t>完成管道完整性管理数据的录取、整合、上报，及时更新管道信息平台和失效数据库。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7.负责业务范围内的技术培训工作。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八、客户中心：</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负责用户户内燃气管道安全检查工作；</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负责居民用户欠费停气及恢复供气，非居民用户欠费停开气的任务下达；</w:t>
      </w:r>
    </w:p>
    <w:p>
      <w:pPr>
        <w:keepNext w:val="0"/>
        <w:keepLines w:val="0"/>
        <w:pageBreakBefore w:val="0"/>
        <w:widowControl w:val="0"/>
        <w:numPr>
          <w:ilvl w:val="0"/>
          <w:numId w:val="11"/>
        </w:numPr>
        <w:kinsoku/>
        <w:wordWrap/>
        <w:overflowPunct/>
        <w:topLinePunct w:val="0"/>
        <w:autoSpaceDE/>
        <w:autoSpaceDN/>
        <w:bidi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协助</w:t>
      </w:r>
      <w:r>
        <w:rPr>
          <w:rFonts w:hint="eastAsia" w:ascii="方正仿宋简体" w:hAnsi="方正仿宋简体" w:eastAsia="方正仿宋简体" w:cs="方正仿宋简体"/>
          <w:sz w:val="28"/>
          <w:szCs w:val="28"/>
          <w:lang w:eastAsia="zh-CN"/>
        </w:rPr>
        <w:t>管道管理部</w:t>
      </w:r>
      <w:r>
        <w:rPr>
          <w:rFonts w:hint="eastAsia" w:ascii="方正仿宋简体" w:hAnsi="方正仿宋简体" w:eastAsia="方正仿宋简体" w:cs="方正仿宋简体"/>
          <w:sz w:val="28"/>
          <w:szCs w:val="28"/>
        </w:rPr>
        <w:t>开展用户管道完整性管理数据的录取、整合、上报工作，并及时更新用户管道信息。</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w:t>
      </w:r>
      <w:r>
        <w:rPr>
          <w:rFonts w:hint="eastAsia" w:ascii="方正仿宋简体" w:hAnsi="方正仿宋简体" w:eastAsia="方正仿宋简体" w:cs="方正仿宋简体"/>
          <w:sz w:val="28"/>
          <w:szCs w:val="28"/>
          <w:lang w:eastAsia="zh-CN"/>
        </w:rPr>
        <w:t>输配中心站</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1.负责落实场站完整性管理体系的建设和持续改进；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2.负责实施输配站的日常生产、加臭、检维修及应急处置等工作；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3.参与场站危害与风险识别、隐患治理、应急处置，协助</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建立安全预案并定期组织演练；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4.协助</w:t>
      </w:r>
      <w:r>
        <w:rPr>
          <w:rFonts w:hint="eastAsia" w:ascii="方正仿宋简体" w:hAnsi="方正仿宋简体" w:eastAsia="方正仿宋简体" w:cs="方正仿宋简体"/>
          <w:sz w:val="28"/>
          <w:szCs w:val="28"/>
          <w:lang w:eastAsia="zh-CN"/>
        </w:rPr>
        <w:t>生产运行部</w:t>
      </w:r>
      <w:r>
        <w:rPr>
          <w:rFonts w:hint="eastAsia" w:ascii="方正仿宋简体" w:hAnsi="方正仿宋简体" w:eastAsia="方正仿宋简体" w:cs="方正仿宋简体"/>
          <w:sz w:val="28"/>
          <w:szCs w:val="28"/>
        </w:rPr>
        <w:t>完成场站完整性管理数据的录取、整合、上报工作，及时更新场站信息。</w:t>
      </w:r>
    </w:p>
    <w:p>
      <w:pPr>
        <w:spacing w:line="560" w:lineRule="exact"/>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第三章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管道规划与设计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第十二条</w:t>
      </w:r>
      <w:r>
        <w:rPr>
          <w:rFonts w:hint="eastAsia" w:ascii="方正仿宋简体" w:hAnsi="方正仿宋简体" w:eastAsia="方正仿宋简体" w:cs="方正仿宋简体"/>
          <w:sz w:val="28"/>
          <w:szCs w:val="28"/>
        </w:rPr>
        <w:t xml:space="preserve">  管道规划条件。管道建设规划至少应满足以下条件：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一、管道路由符合城市（乡）建设总体规划要求，并取得属地政府规划部门的管道建设规划许可证（或管道路由批复文件）；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二、管道材质与设计参数与气源工况条件相匹配；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三、管道输送能力与用气负荷分布相匹配，且有一定的富余量；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四、满足国家法律法规和技术规范的相关要求。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管道规划应具有前瞻性和系统性，可根据城市建设、市场区域、气源条件、负荷分布、经济能力等综合考虑，远中近相结合。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第十三条</w:t>
      </w:r>
      <w:r>
        <w:rPr>
          <w:rFonts w:hint="eastAsia" w:ascii="方正仿宋简体" w:hAnsi="方正仿宋简体" w:eastAsia="方正仿宋简体" w:cs="方正仿宋简体"/>
          <w:sz w:val="28"/>
          <w:szCs w:val="28"/>
        </w:rPr>
        <w:t xml:space="preserve">  管道建设专项评价。管道建设项目专项评价包括环境影响评价、安全预评价、职业卫生评价、地质灾害危险性评估、压覆矿产资源调查评估、地震安全性评估、水土保持方案、节能评价、防洪影响评价等。专项评价工作应选择具备相应资质的评价单位承担。管道建设专项评价项目可根据上级管理部门要求、地方政府立项需求和管理规定来选择确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第十四条 </w:t>
      </w:r>
      <w:r>
        <w:rPr>
          <w:rFonts w:hint="eastAsia" w:ascii="方正仿宋简体" w:hAnsi="方正仿宋简体" w:eastAsia="方正仿宋简体" w:cs="方正仿宋简体"/>
          <w:sz w:val="28"/>
          <w:szCs w:val="28"/>
        </w:rPr>
        <w:t xml:space="preserve"> 管道设计单位与设计人员资格。设计单位应具有与管道工程业务相适应的工程设计资质、压力管道设计资质、建筑工程设计资质以及相关辅助专业（如压力容器、消防、防雷等）设计资质。管道专业设计人员应具有压力管道设计经验，审批人员应具有相对应的压力管道设计审批资格证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第十五条</w:t>
      </w:r>
      <w:r>
        <w:rPr>
          <w:rFonts w:hint="eastAsia" w:ascii="方正仿宋简体" w:hAnsi="方正仿宋简体" w:eastAsia="方正仿宋简体" w:cs="方正仿宋简体"/>
          <w:sz w:val="28"/>
          <w:szCs w:val="28"/>
        </w:rPr>
        <w:t xml:space="preserve">  管道设计阶段划分。管道设计阶段的划分应满足项目决策、投资、效益、安全等审查需要。一般原则是：长距离输气管道应按照可研、初设、施工图三阶段设计；城市输配管道工程可采用初设代可研、施工图二阶段设计；一般小管道支线工程、用户工程可直接进行施工图设计。</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sz w:val="28"/>
          <w:szCs w:val="28"/>
        </w:rPr>
        <w:t xml:space="preserve">  管道工程设计应本着技术先进、经济合理、安全可靠的原则进行设计，材料、设备应选择质量优良、性能可靠、维护便利的产品。设计文件应组织相关专业技术人员（或专家）进行审查，上级管理部门有特殊要求的按上级管理部门要求执行。</w:t>
      </w:r>
    </w:p>
    <w:p>
      <w:pPr>
        <w:jc w:val="center"/>
        <w:rPr>
          <w:rFonts w:hint="eastAsia" w:ascii="宋体" w:hAnsi="宋体"/>
          <w:b/>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第四章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管道施工与验收</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第十七条</w:t>
      </w:r>
      <w:r>
        <w:rPr>
          <w:rFonts w:hint="eastAsia" w:ascii="方正仿宋简体" w:hAnsi="方正仿宋简体" w:eastAsia="方正仿宋简体" w:cs="方正仿宋简体"/>
          <w:sz w:val="28"/>
          <w:szCs w:val="28"/>
        </w:rPr>
        <w:t xml:space="preserve">  管道工程施工、监理、检测必须具有相对应的施工资质。输送天然气压力管道安装资质要求见附件一。管道工程施工应当取得地方行政建设主管部门颁发的施工许可证。施工管理执行西南油气田公司《工程项目建设管理办法》《城镇燃气生产技术管理指导意见》。</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第十八条</w:t>
      </w:r>
      <w:r>
        <w:rPr>
          <w:rFonts w:hint="eastAsia" w:ascii="方正仿宋简体" w:hAnsi="方正仿宋简体" w:eastAsia="方正仿宋简体" w:cs="方正仿宋简体"/>
          <w:sz w:val="28"/>
          <w:szCs w:val="28"/>
        </w:rPr>
        <w:t xml:space="preserve">  压力管道属于特种设备，安装与使用必须按照《中华人民共和国特种设备安全法》进行申报、监督、检验，安装前必须按要求办理相关登记，安装后办理使用登记证书。</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第十九条</w:t>
      </w:r>
      <w:r>
        <w:rPr>
          <w:rFonts w:hint="eastAsia" w:ascii="方正仿宋简体" w:hAnsi="方正仿宋简体" w:eastAsia="方正仿宋简体" w:cs="方正仿宋简体"/>
          <w:sz w:val="28"/>
          <w:szCs w:val="28"/>
        </w:rPr>
        <w:t xml:space="preserve">  施工、监理、检测等技术服务单位应严格按照技术标准、设计文件和竣工验收有关要求收集整理有关施工技术资料、隐蔽工程资料，绘制竣工图，编制竣工资料。工程资料应与工程建设进度同步，并与工程建设实际情况相符，及时、真实、准确、详尽地反映工程建设情况，并在合同规定的时间内提交公司。</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bookmarkStart w:id="408" w:name="OLE_LINK9"/>
      <w:r>
        <w:rPr>
          <w:rFonts w:hint="eastAsia" w:ascii="方正仿宋简体" w:hAnsi="方正仿宋简体" w:eastAsia="方正仿宋简体" w:cs="方正仿宋简体"/>
          <w:b/>
          <w:sz w:val="28"/>
          <w:szCs w:val="28"/>
        </w:rPr>
        <w:t>第二十条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管道建设期完整性管理。建设期数据的采集内容包括管道设计资料、施工资料、管道及附属设施基础属性数据、管道中心线测量数据、地面标识测量数据及管道两侧一定范围内地理信息和环境数据等，具体按照西南油气田分公司管道完整性管理信息系统的数据管理要求执行。</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第二十一条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管道工程完工交接。完工交接管理严格按照川港公司《工程项目完工交接实施细则》《城镇燃气生产技术管理指导意见》执行。</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第二十二条</w:t>
      </w:r>
      <w:r>
        <w:rPr>
          <w:rFonts w:hint="eastAsia" w:ascii="方正仿宋简体" w:hAnsi="方正仿宋简体" w:eastAsia="方正仿宋简体" w:cs="方正仿宋简体"/>
          <w:sz w:val="28"/>
          <w:szCs w:val="28"/>
        </w:rPr>
        <w:t xml:space="preserve">  管道投产试运行条件。管道投运应当满足以下基本条件：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一、人员配备到位。专业技术人员、设备厂方调试人员到位；操作人员按规定配备齐全，并经专业培训取证，持证上岗；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二、生产资料、消防器材、工器具及各类安全警示标识到位；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三、设备调试合格，保护联锁和报警装置经试验可靠；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四、制订有应急预案，并开展了应急演练；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五、完工交接合格。</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第二十三条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管道投产运行前应编制投运方案，开展启动前安全检查（PSSR）工作，进行安全技术交底。</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投产试运期间，所有操作应按照试运行投产方案和操作规程的要求进行，录取运行参数及其相关数据，记录整个试运行投产过程中的重要事件。</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投产试运结束后，应编制投产试运行工作总结，汇总投产资料，并在投产后3个月内由公司组卷归档。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第二十四条</w:t>
      </w:r>
      <w:r>
        <w:rPr>
          <w:rFonts w:hint="eastAsia" w:ascii="方正仿宋简体" w:hAnsi="方正仿宋简体" w:eastAsia="方正仿宋简体" w:cs="方正仿宋简体"/>
          <w:sz w:val="28"/>
          <w:szCs w:val="28"/>
        </w:rPr>
        <w:t xml:space="preserve">  管道建设完工后6个月内不能投产的，应按照在役管道要求进行管理。管道建设完工6个月后才投产的，投产前应重新进行严密性试压、防腐层检测、阴极保护系统检测等工作。 </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第二十五条</w:t>
      </w:r>
      <w:r>
        <w:rPr>
          <w:rFonts w:hint="eastAsia" w:ascii="方正仿宋简体" w:hAnsi="方正仿宋简体" w:eastAsia="方正仿宋简体" w:cs="方正仿宋简体"/>
          <w:sz w:val="28"/>
          <w:szCs w:val="28"/>
        </w:rPr>
        <w:t xml:space="preserve">  管道工程竣工验收。工程投产试运合格、完善竣工资料后后，由主管部门组织相关部门和专家按照批准的设计及工程文件、国家现行有关标准、施工承包合同、工程施工许可文件、设备的合同书等，并按验收程序对工程实施竣工验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both"/>
        <w:textAlignment w:val="auto"/>
        <w:outlineLvl w:val="9"/>
        <w:rPr>
          <w:rFonts w:hint="eastAsia" w:ascii="方正黑体简体" w:hAnsi="方正黑体简体" w:eastAsia="方正黑体简体" w:cs="方正黑体简体"/>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第五章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管道工作计划管理</w:t>
      </w:r>
    </w:p>
    <w:p>
      <w:pPr>
        <w:pStyle w:val="159"/>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第二十六条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公司对管道生产管理、完整性管理、重点日常维护及检维修作业等工作实行计划管理，按照每月跟踪、季度分析、年度考核的机制运行。</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一、输气管道生产管理：包括“两卡一案”，即运行与工艺控制卡、应急处置卡、管道巡护“一线一案”，在每年12月底前制修订下一年度管理方案，并报川港公司审批后执行。</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二、燃气管道生产管理：包括“一卡一案”，即应急处置卡、管道巡护“一区一案”“，在每年12月底前制修订下一年度管理方案，由公司审批后执行，并报川港公司备案。</w:t>
      </w:r>
    </w:p>
    <w:p>
      <w:pPr>
        <w:keepNext w:val="0"/>
        <w:keepLines w:val="0"/>
        <w:pageBreakBefore w:val="0"/>
        <w:widowControl w:val="0"/>
        <w:tabs>
          <w:tab w:val="left" w:pos="0"/>
          <w:tab w:val="left" w:pos="2160"/>
          <w:tab w:val="left" w:pos="2352"/>
        </w:tabs>
        <w:kinsoku/>
        <w:wordWrap/>
        <w:overflowPunct/>
        <w:topLinePunct w:val="0"/>
        <w:autoSpaceDE/>
        <w:autoSpaceDN/>
        <w:bidi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管道（网）及设施的适应性分析：公司在每年6月底前，依据气源条件、用气负荷分布、用户用气规律、管道供气能力、市场变化与发展等实际状况，完成区域性管网适应性分析。分析成果作为次年管网改造、管道大修及隐患治理项目计划编制的依据。</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四、管道完整性管理：基于管道完整性管理工作的泄漏检测、PCM检测、风险评价及缺陷修复实行三年滚动规划，每年11月底前提出次年度管道完整性工作计划，并报川港公司审批后执行。</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失效统计分析：管道及设备设施失效实行周统计、季度分析、年度总结。在每周四下班前将公司本周失效情况报川港公司管道部，每季度进行一次分析，每年1月10号前完成上一年度失效分析报告，并报川港公司管道管理部。</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六、重点日常维护工作：包括加臭管理、阴极保护运行维护等。在每年12月10日前完成次年度重点日常维护工作计划编制并报川港公司管道管理部。</w:t>
      </w:r>
    </w:p>
    <w:p>
      <w:pPr>
        <w:pStyle w:val="74"/>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七、管道检维修及隐患治理：中压及以上管道大修改造、隐患治理等，在每年12月10日前完成次年度管道检维修作业计划编制并报川港公司管道管理部。</w:t>
      </w:r>
    </w:p>
    <w:p>
      <w:pPr>
        <w:pStyle w:val="74"/>
        <w:adjustRightInd w:val="0"/>
        <w:snapToGrid w:val="0"/>
        <w:spacing w:line="560" w:lineRule="exact"/>
        <w:ind w:firstLine="560"/>
        <w:jc w:val="left"/>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第六章  管道保护管理</w:t>
      </w:r>
    </w:p>
    <w:p>
      <w:pPr>
        <w:keepNext w:val="0"/>
        <w:keepLines w:val="0"/>
        <w:pageBreakBefore w:val="0"/>
        <w:widowControl w:val="0"/>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第二十七条</w:t>
      </w:r>
      <w:r>
        <w:rPr>
          <w:rFonts w:hint="eastAsia" w:ascii="方正仿宋简体" w:hAnsi="方正仿宋简体" w:eastAsia="方正仿宋简体" w:cs="方正仿宋简体"/>
          <w:sz w:val="28"/>
          <w:szCs w:val="28"/>
        </w:rPr>
        <w:t xml:space="preserve">  管道巡护管理。管道巡护按照《管道巡护实施细则》进行管理。巡线分级标准及要求分类原则如下：</w:t>
      </w:r>
    </w:p>
    <w:p>
      <w:pPr>
        <w:keepNext w:val="0"/>
        <w:keepLines w:val="0"/>
        <w:pageBreakBefore w:val="0"/>
        <w:widowControl w:val="0"/>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一、输气管道、高压燃气管道及其附属设施、20米以上穿（跨）越管道为A类管道；</w:t>
      </w:r>
    </w:p>
    <w:p>
      <w:pPr>
        <w:keepNext w:val="0"/>
        <w:keepLines w:val="0"/>
        <w:pageBreakBefore w:val="0"/>
        <w:widowControl w:val="0"/>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二、次高压燃气管道、城市干道中压燃气管道、重要支线中压燃气管道及其附属设施、5至20米以内穿（跨）越管道为B类管道；</w:t>
      </w:r>
    </w:p>
    <w:p>
      <w:pPr>
        <w:keepNext w:val="0"/>
        <w:keepLines w:val="0"/>
        <w:pageBreakBefore w:val="0"/>
        <w:widowControl w:val="0"/>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三、一般支线中压燃气管道、小区燃气管道及其附属设施、室外短桩和引入管等管道为C类管道；</w:t>
      </w:r>
    </w:p>
    <w:p>
      <w:pPr>
        <w:keepNext w:val="0"/>
        <w:keepLines w:val="0"/>
        <w:pageBreakBefore w:val="0"/>
        <w:widowControl w:val="0"/>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第二十八条</w:t>
      </w:r>
      <w:r>
        <w:rPr>
          <w:rFonts w:hint="eastAsia" w:ascii="方正仿宋简体" w:hAnsi="方正仿宋简体" w:eastAsia="方正仿宋简体" w:cs="方正仿宋简体"/>
          <w:sz w:val="28"/>
          <w:szCs w:val="28"/>
        </w:rPr>
        <w:t xml:space="preserve">  管道巡护实行“一线一案”或“一区一案” 管理责任制。由公司另行制定“管道巡护管理实施细则”。</w:t>
      </w:r>
    </w:p>
    <w:p>
      <w:pPr>
        <w:keepNext w:val="0"/>
        <w:keepLines w:val="0"/>
        <w:pageBreakBefore w:val="0"/>
        <w:widowControl w:val="0"/>
        <w:tabs>
          <w:tab w:val="left" w:pos="0"/>
          <w:tab w:val="right" w:pos="1440"/>
          <w:tab w:val="right" w:pos="1980"/>
          <w:tab w:val="left" w:pos="2352"/>
          <w:tab w:val="right" w:pos="2700"/>
          <w:tab w:val="right" w:pos="4320"/>
          <w:tab w:val="right" w:pos="4500"/>
          <w:tab w:val="right" w:pos="4680"/>
        </w:tabs>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bookmarkStart w:id="409" w:name="_Toc469240962"/>
      <w:r>
        <w:rPr>
          <w:rFonts w:hint="eastAsia" w:ascii="方正仿宋简体" w:hAnsi="方正仿宋简体" w:eastAsia="方正仿宋简体" w:cs="方正仿宋简体"/>
          <w:b/>
          <w:sz w:val="28"/>
          <w:szCs w:val="28"/>
        </w:rPr>
        <w:t>第二十九条</w:t>
      </w:r>
      <w:r>
        <w:rPr>
          <w:rFonts w:hint="eastAsia" w:ascii="方正仿宋简体" w:hAnsi="方正仿宋简体" w:eastAsia="方正仿宋简体" w:cs="方正仿宋简体"/>
          <w:sz w:val="28"/>
          <w:szCs w:val="28"/>
        </w:rPr>
        <w:t xml:space="preserve">  城镇燃气埋地钢质管道必须采用防腐层进行外保护。处于杂散电流干扰地区的钢质管道，应采取防干扰保护措施，若不能实施排流保护措施或排流保护效果不佳则应将钢质管道更换为非金属材质的管道。</w:t>
      </w:r>
    </w:p>
    <w:bookmarkEnd w:id="409"/>
    <w:p>
      <w:pPr>
        <w:keepNext w:val="0"/>
        <w:keepLines w:val="0"/>
        <w:pageBreakBefore w:val="0"/>
        <w:widowControl w:val="0"/>
        <w:tabs>
          <w:tab w:val="left" w:pos="0"/>
          <w:tab w:val="right" w:pos="1440"/>
          <w:tab w:val="right" w:pos="1980"/>
          <w:tab w:val="left" w:pos="2352"/>
          <w:tab w:val="right" w:pos="2700"/>
          <w:tab w:val="right" w:pos="4320"/>
          <w:tab w:val="right" w:pos="4500"/>
          <w:tab w:val="right" w:pos="4680"/>
        </w:tabs>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第三十条</w:t>
      </w:r>
      <w:r>
        <w:rPr>
          <w:rFonts w:hint="eastAsia" w:ascii="方正仿宋简体" w:hAnsi="方正仿宋简体" w:eastAsia="方正仿宋简体" w:cs="方正仿宋简体"/>
          <w:sz w:val="28"/>
          <w:szCs w:val="28"/>
        </w:rPr>
        <w:t xml:space="preserve">  管道阴极保护。新建的高压、次高压、公称直径大于或等于100mm的中压管道应采用外防腐层辅以阴极保护系统的腐蚀控制措施，管道运行期间阴极保护不应间断。</w:t>
      </w:r>
    </w:p>
    <w:p>
      <w:pPr>
        <w:keepNext w:val="0"/>
        <w:keepLines w:val="0"/>
        <w:pageBreakBefore w:val="0"/>
        <w:widowControl w:val="0"/>
        <w:tabs>
          <w:tab w:val="left" w:pos="0"/>
          <w:tab w:val="right" w:pos="1440"/>
          <w:tab w:val="right" w:pos="1980"/>
          <w:tab w:val="left" w:pos="2352"/>
          <w:tab w:val="right" w:pos="2700"/>
          <w:tab w:val="right" w:pos="4320"/>
          <w:tab w:val="right" w:pos="4500"/>
          <w:tab w:val="right" w:pos="4680"/>
        </w:tabs>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在役管道仅有外防腐层保护、具备阴极保护条件的应逐步追加阴极保护功能。</w:t>
      </w:r>
    </w:p>
    <w:p>
      <w:pPr>
        <w:keepNext w:val="0"/>
        <w:keepLines w:val="0"/>
        <w:pageBreakBefore w:val="0"/>
        <w:widowControl w:val="0"/>
        <w:tabs>
          <w:tab w:val="left" w:pos="0"/>
          <w:tab w:val="right" w:pos="1440"/>
          <w:tab w:val="right" w:pos="1980"/>
          <w:tab w:val="left" w:pos="2352"/>
          <w:tab w:val="right" w:pos="2700"/>
          <w:tab w:val="right" w:pos="4320"/>
          <w:tab w:val="right" w:pos="4500"/>
          <w:tab w:val="right" w:pos="4680"/>
        </w:tabs>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管道阴极保护系统应与管道主体工程实行“三同时”，要同时勘察设计、施工和投运。</w:t>
      </w:r>
    </w:p>
    <w:p>
      <w:pPr>
        <w:keepNext w:val="0"/>
        <w:keepLines w:val="0"/>
        <w:pageBreakBefore w:val="0"/>
        <w:widowControl w:val="0"/>
        <w:tabs>
          <w:tab w:val="left" w:pos="0"/>
          <w:tab w:val="left" w:pos="2160"/>
          <w:tab w:val="left" w:pos="2352"/>
        </w:tabs>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第三十一条</w:t>
      </w:r>
      <w:r>
        <w:rPr>
          <w:rFonts w:hint="eastAsia" w:ascii="方正仿宋简体" w:hAnsi="方正仿宋简体" w:eastAsia="方正仿宋简体" w:cs="方正仿宋简体"/>
          <w:sz w:val="28"/>
          <w:szCs w:val="28"/>
        </w:rPr>
        <w:t xml:space="preserve">  管道保护参数应定期测试：管道保护电位2月1次，阳极输出电流2月1次，绝缘接头6月1次，排流保护检测一年1次。</w:t>
      </w:r>
    </w:p>
    <w:p>
      <w:pPr>
        <w:keepNext w:val="0"/>
        <w:keepLines w:val="0"/>
        <w:pageBreakBefore w:val="0"/>
        <w:widowControl w:val="0"/>
        <w:tabs>
          <w:tab w:val="left" w:pos="0"/>
          <w:tab w:val="left" w:pos="2160"/>
          <w:tab w:val="left" w:pos="2352"/>
        </w:tabs>
        <w:kinsoku/>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管道在强腐蚀性土壤环境中或阴极保护系统在6个月内不能投入运行时，应采取临时性保护措施；阴极保护系统投用后，作为临时保护措施的牺牲阳极应全部拆除。</w:t>
      </w:r>
    </w:p>
    <w:p>
      <w:pPr>
        <w:keepNext w:val="0"/>
        <w:keepLines w:val="0"/>
        <w:pageBreakBefore w:val="0"/>
        <w:widowControl w:val="0"/>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第三十二条</w:t>
      </w:r>
      <w:r>
        <w:rPr>
          <w:rFonts w:hint="eastAsia" w:ascii="方正仿宋简体" w:hAnsi="方正仿宋简体" w:eastAsia="方正仿宋简体" w:cs="方正仿宋简体"/>
          <w:sz w:val="28"/>
          <w:szCs w:val="28"/>
        </w:rPr>
        <w:t xml:space="preserve">  管道隐患治理。发现管道本体缺陷或管道处于滑坡或垮塌、悬空、被其它建构物占压、地面标识残缺、水土保持失效等可能危及管道安全的隐患，必须及时进行有效治理。</w:t>
      </w:r>
    </w:p>
    <w:p>
      <w:pPr>
        <w:keepNext w:val="0"/>
        <w:keepLines w:val="0"/>
        <w:pageBreakBefore w:val="0"/>
        <w:widowControl w:val="0"/>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第三十三条</w:t>
      </w:r>
      <w:r>
        <w:rPr>
          <w:rFonts w:hint="eastAsia" w:ascii="方正仿宋简体" w:hAnsi="方正仿宋简体" w:eastAsia="方正仿宋简体" w:cs="方正仿宋简体"/>
          <w:sz w:val="28"/>
          <w:szCs w:val="28"/>
        </w:rPr>
        <w:t xml:space="preserve">  管道失效管理。管道失效是指被第三方破坏、管道腐蚀或自然灾害造成管道内天然气外泄，或者设备（设施）因故无法正常工作，并且要停气维修（或改造）的事故事件；管道失效必须纳入日常重点管理工作，建立管道失效档案，分析失效原因，制订防止失效措施，特别要杜绝重大第三方破坏失效。公司管道千公里第三方破坏失效率可接受为4次以内。</w:t>
      </w:r>
    </w:p>
    <w:p>
      <w:pPr>
        <w:keepNext w:val="0"/>
        <w:keepLines w:val="0"/>
        <w:pageBreakBefore w:val="0"/>
        <w:widowControl w:val="0"/>
        <w:kinsoku/>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第三十四条</w:t>
      </w:r>
      <w:r>
        <w:rPr>
          <w:rFonts w:hint="eastAsia" w:ascii="方正仿宋简体" w:hAnsi="方正仿宋简体" w:eastAsia="方正仿宋简体" w:cs="方正仿宋简体"/>
          <w:sz w:val="28"/>
          <w:szCs w:val="28"/>
        </w:rPr>
        <w:t xml:space="preserve">  管道风险识别管理。应对每条管道开展风险识别，包括内外腐蚀、自然与地质灾害、开挖损坏、其他外力破坏、施工与制造缺陷、其他危害因素。每年不少于2次开展风险识别，并建立《管道线路失效及抢修统计表》《场站及线路工艺设施失效及维修情况统计表》等管道风险动态数据库。</w:t>
      </w:r>
      <w:bookmarkStart w:id="410" w:name="_Toc20022"/>
      <w:bookmarkStart w:id="411" w:name="_Toc32563"/>
    </w:p>
    <w:p>
      <w:pPr>
        <w:keepNext w:val="0"/>
        <w:keepLines w:val="0"/>
        <w:pageBreakBefore w:val="0"/>
        <w:widowControl w:val="0"/>
        <w:kinsoku/>
        <w:wordWrap w:val="0"/>
        <w:overflowPunct w:val="0"/>
        <w:topLinePunct w:val="0"/>
        <w:autoSpaceDE/>
        <w:autoSpaceDN/>
        <w:bidi w:val="0"/>
        <w:adjustRightInd/>
        <w:snapToGrid/>
        <w:spacing w:line="560" w:lineRule="exact"/>
        <w:ind w:left="0" w:leftChars="0"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napToGrid w:val="0"/>
          <w:kern w:val="0"/>
          <w:sz w:val="28"/>
          <w:szCs w:val="28"/>
        </w:rPr>
        <w:t>第三十五条</w:t>
      </w:r>
      <w:r>
        <w:rPr>
          <w:rFonts w:hint="eastAsia" w:ascii="方正仿宋简体" w:hAnsi="方正仿宋简体" w:eastAsia="方正仿宋简体" w:cs="方正仿宋简体"/>
          <w:snapToGrid w:val="0"/>
          <w:kern w:val="0"/>
          <w:sz w:val="28"/>
          <w:szCs w:val="28"/>
        </w:rPr>
        <w:t xml:space="preserve">  管道风险评估管理。管道风险评估应采用</w:t>
      </w:r>
      <w:r>
        <w:rPr>
          <w:rFonts w:hint="eastAsia" w:ascii="方正仿宋简体" w:hAnsi="方正仿宋简体" w:eastAsia="方正仿宋简体" w:cs="方正仿宋简体"/>
          <w:sz w:val="28"/>
          <w:szCs w:val="28"/>
        </w:rPr>
        <w:t>GB/T27512-2011《埋地钢制管道风险评估方法》进行，根据管道管材特性、历史失效情况、杂散电流干扰情况、外防腐层检测、管道沿线自然环境和社会状况等，定期对管道进行风险评估，建立风险台账并实施分级管理，根据不同的风险因素和等级，制定相对应的巡检维护、检验检测、维修改造等风险管控措施和工作计划。</w:t>
      </w:r>
    </w:p>
    <w:p>
      <w:pPr>
        <w:keepNext w:val="0"/>
        <w:keepLines w:val="0"/>
        <w:pageBreakBefore w:val="0"/>
        <w:widowControl w:val="0"/>
        <w:kinsoku/>
        <w:wordWrap/>
        <w:overflowPunct/>
        <w:autoSpaceDE/>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第七章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用户燃气管道管理</w:t>
      </w:r>
      <w:bookmarkEnd w:id="410"/>
      <w:bookmarkEnd w:id="411"/>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bookmarkStart w:id="412" w:name="_Toc470476030"/>
      <w:bookmarkStart w:id="413" w:name="_Toc3851"/>
      <w:r>
        <w:rPr>
          <w:rFonts w:hint="eastAsia" w:ascii="方正仿宋简体" w:hAnsi="方正仿宋简体" w:eastAsia="方正仿宋简体" w:cs="方正仿宋简体"/>
          <w:b/>
          <w:sz w:val="28"/>
          <w:szCs w:val="28"/>
        </w:rPr>
        <w:t>第三十六条</w:t>
      </w:r>
      <w:r>
        <w:rPr>
          <w:rFonts w:hint="eastAsia" w:ascii="方正仿宋简体" w:hAnsi="方正仿宋简体" w:eastAsia="方正仿宋简体" w:cs="方正仿宋简体"/>
          <w:sz w:val="28"/>
          <w:szCs w:val="28"/>
        </w:rPr>
        <w:t xml:space="preserve">  客户中心应组织人员定期对燃气用户设施进行检查，并对用户进行安全用气的宣传。检查对象包括居民、集体、商业、工业等用气性质的各类用户。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第三十七条 </w:t>
      </w:r>
      <w:r>
        <w:rPr>
          <w:rFonts w:hint="eastAsia" w:ascii="方正仿宋简体" w:hAnsi="方正仿宋简体" w:eastAsia="方正仿宋简体" w:cs="方正仿宋简体"/>
          <w:sz w:val="28"/>
          <w:szCs w:val="28"/>
        </w:rPr>
        <w:t xml:space="preserve"> 居民用户入户安全检查每2年至少1次，工业、商业及集体用户安全检查每年至少1次，地方政府主管部门有特别频次要求时应执行地方政府规定，特殊时段、敏感时期可安排专项检查。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第三十八条</w:t>
      </w:r>
      <w:r>
        <w:rPr>
          <w:rFonts w:hint="eastAsia" w:ascii="方正仿宋简体" w:hAnsi="方正仿宋简体" w:eastAsia="方正仿宋简体" w:cs="方正仿宋简体"/>
          <w:sz w:val="28"/>
          <w:szCs w:val="28"/>
        </w:rPr>
        <w:t xml:space="preserve">  客户中心每年度应组织编制下一年度安检工作计划和月度实施计划。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第三十九条</w:t>
      </w:r>
      <w:r>
        <w:rPr>
          <w:rFonts w:hint="eastAsia" w:ascii="方正仿宋简体" w:hAnsi="方正仿宋简体" w:eastAsia="方正仿宋简体" w:cs="方正仿宋简体"/>
          <w:sz w:val="28"/>
          <w:szCs w:val="28"/>
        </w:rPr>
        <w:t xml:space="preserve">  入户安全检查应对公司维护管理部分（室内立管、支管及居民用气表）和用户产权部分（气表后管道、阀门、用气设备、安全设施，非居民用计量设备）进行检查。重点检查室内燃气管道、设施设备的锈蚀、泄漏，私自安装、拆除、改装、迁移天然气设施，在有天然气设施的房间内堆放易燃易爆品或使用其它火源，在有天然气设施的操作间无通风措施且自然通风差，天然气管线及设施被包围在隐蔽处，连接胶管老化、超长或管卡不紧等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第四十条</w:t>
      </w:r>
      <w:r>
        <w:rPr>
          <w:rFonts w:hint="eastAsia" w:ascii="方正仿宋简体" w:hAnsi="方正仿宋简体" w:eastAsia="方正仿宋简体" w:cs="方正仿宋简体"/>
          <w:sz w:val="28"/>
          <w:szCs w:val="28"/>
        </w:rPr>
        <w:t xml:space="preserve">  入户安全检查人员应检查确认用户设施是否完好，用气设备安装、使用是否符合规定；开展用户的安全用气宣传；检查燃气设施安全隐患并督促整改；对入户安全检查资料进行收集整理和归档。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第四十一条</w:t>
      </w:r>
      <w:r>
        <w:rPr>
          <w:rFonts w:hint="eastAsia" w:ascii="方正仿宋简体" w:hAnsi="方正仿宋简体" w:eastAsia="方正仿宋简体" w:cs="方正仿宋简体"/>
          <w:sz w:val="28"/>
          <w:szCs w:val="28"/>
        </w:rPr>
        <w:t xml:space="preserve">  入户安全检查结果应由用户签认。对用户产权部分存在重大安全隐患的，应要求用户立即整改或限期整改，对逾期未整改的可按规定暂停供气，并报告政府相关部门。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bookmarkEnd w:id="412"/>
    <w:bookmarkEnd w:id="413"/>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第八章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 xml:space="preserve"> 管道检测与评价</w:t>
      </w:r>
    </w:p>
    <w:p>
      <w:pPr>
        <w:keepNext w:val="0"/>
        <w:keepLines w:val="0"/>
        <w:pageBreakBefore w:val="0"/>
        <w:widowControl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第四十二条</w:t>
      </w:r>
      <w:r>
        <w:rPr>
          <w:rFonts w:hint="eastAsia" w:ascii="方正仿宋简体" w:hAnsi="方正仿宋简体" w:eastAsia="方正仿宋简体" w:cs="方正仿宋简体"/>
          <w:sz w:val="28"/>
          <w:szCs w:val="28"/>
        </w:rPr>
        <w:t xml:space="preserve">  管道检测是指投运后的首次检测、正常运行后年度检查、定期全面检验三种。</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首次检测。首次检测应在运行后6个月内完成，最晚不超过12个月。主要内容有：泄漏检测（24小时内完成）、PCM检测、管道定位检测、管道本底环境调查、地理信息数字化测绘、阴极保护检测、安全目视化标识等等。首次检测由公司组织完成，并形成检测报告。</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二、年度检查</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（一）输气管道年度检查内容按照《中国石油西南油气田分公司输气管道年度检查技术规程》（西南司管道〔2017〕1号）执行。每年组织1次检查，每年1月将检查报告报川港公司管道管理部。</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（二）燃气管道宜参照TSG D7004-2010《压力管道定期检验规则-公用管道》执行，高压燃气管道可参照输气管道年度检查技术规程执行。每年组织1次检查，每年1月将检查报告报川港公司管道管理部。</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三、定期全面检验。输气管道应参照TSG D7003-2010《压力管道定期检验规则-长输管道》执行，燃气管道应参照TSG D7004-2010《压力管道定期检验规则-公用管道》执行。</w:t>
      </w:r>
    </w:p>
    <w:p>
      <w:pPr>
        <w:keepNext w:val="0"/>
        <w:keepLines w:val="0"/>
        <w:pageBreakBefore w:val="0"/>
        <w:widowControl w:val="0"/>
        <w:kinsoku/>
        <w:wordWrap w:val="0"/>
        <w:overflowPunct/>
        <w:topLinePunct w:val="0"/>
        <w:autoSpaceDE w:val="0"/>
        <w:autoSpaceDN/>
        <w:bidi w:val="0"/>
        <w:adjustRightInd/>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（一）</w:t>
      </w:r>
      <w:r>
        <w:rPr>
          <w:rFonts w:hint="eastAsia" w:ascii="方正仿宋简体" w:hAnsi="方正仿宋简体" w:eastAsia="方正仿宋简体" w:cs="方正仿宋简体"/>
          <w:sz w:val="28"/>
          <w:szCs w:val="28"/>
        </w:rPr>
        <w:t>新建管道投运后，应在5年内进行首次全面检验；</w:t>
      </w:r>
    </w:p>
    <w:p>
      <w:pPr>
        <w:keepNext w:val="0"/>
        <w:keepLines w:val="0"/>
        <w:pageBreakBefore w:val="0"/>
        <w:widowControl w:val="0"/>
        <w:kinsoku/>
        <w:wordWrap w:val="0"/>
        <w:overflowPunct/>
        <w:topLinePunct w:val="0"/>
        <w:autoSpaceDE w:val="0"/>
        <w:autoSpaceDN/>
        <w:bidi w:val="0"/>
        <w:adjustRightInd/>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（二）</w:t>
      </w:r>
      <w:r>
        <w:rPr>
          <w:rFonts w:hint="eastAsia" w:ascii="方正仿宋简体" w:hAnsi="方正仿宋简体" w:eastAsia="方正仿宋简体" w:cs="方正仿宋简体"/>
          <w:sz w:val="28"/>
          <w:szCs w:val="28"/>
        </w:rPr>
        <w:t>在役GB1-</w:t>
      </w:r>
      <w:r>
        <w:rPr>
          <w:rFonts w:hint="eastAsia" w:ascii="方正仿宋简体" w:hAnsi="方正仿宋简体" w:eastAsia="方正仿宋简体" w:cs="方正仿宋简体"/>
          <w:b w:val="0"/>
          <w:bCs w:val="0"/>
          <w:sz w:val="28"/>
          <w:szCs w:val="28"/>
        </w:rPr>
        <w:t>Ⅲ</w:t>
      </w:r>
      <w:r>
        <w:rPr>
          <w:rFonts w:hint="eastAsia" w:ascii="方正仿宋简体" w:hAnsi="方正仿宋简体" w:eastAsia="方正仿宋简体" w:cs="方正仿宋简体"/>
          <w:sz w:val="28"/>
          <w:szCs w:val="28"/>
        </w:rPr>
        <w:t>级次高压燃气管道全面检验最大时间间隔（年）为8年；</w:t>
      </w:r>
    </w:p>
    <w:p>
      <w:pPr>
        <w:keepNext w:val="0"/>
        <w:keepLines w:val="0"/>
        <w:pageBreakBefore w:val="0"/>
        <w:widowControl w:val="0"/>
        <w:tabs>
          <w:tab w:val="right" w:pos="1440"/>
          <w:tab w:val="right" w:pos="1800"/>
          <w:tab w:val="right" w:pos="1980"/>
          <w:tab w:val="left" w:pos="2352"/>
          <w:tab w:val="right" w:pos="2700"/>
          <w:tab w:val="right" w:pos="4320"/>
          <w:tab w:val="right" w:pos="4500"/>
          <w:tab w:val="right" w:pos="4680"/>
        </w:tabs>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（三）</w:t>
      </w:r>
      <w:r>
        <w:rPr>
          <w:rFonts w:hint="eastAsia" w:ascii="方正仿宋简体" w:hAnsi="方正仿宋简体" w:eastAsia="方正仿宋简体" w:cs="方正仿宋简体"/>
          <w:sz w:val="28"/>
          <w:szCs w:val="28"/>
        </w:rPr>
        <w:t>在役GB1-Ⅳ级次高压燃气管道、中压燃气管道全面检验最大时间间隔（年）为12年。</w:t>
      </w:r>
    </w:p>
    <w:p>
      <w:pPr>
        <w:keepNext w:val="0"/>
        <w:keepLines w:val="0"/>
        <w:pageBreakBefore w:val="0"/>
        <w:widowControl w:val="0"/>
        <w:tabs>
          <w:tab w:val="right" w:pos="1440"/>
          <w:tab w:val="right" w:pos="1800"/>
          <w:tab w:val="right" w:pos="1980"/>
          <w:tab w:val="left" w:pos="2352"/>
          <w:tab w:val="right" w:pos="2700"/>
          <w:tab w:val="right" w:pos="4320"/>
          <w:tab w:val="right" w:pos="4500"/>
          <w:tab w:val="right" w:pos="4680"/>
        </w:tabs>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sz w:val="28"/>
          <w:szCs w:val="28"/>
        </w:rPr>
        <w:t>（四）PE管道全面检验周期不超过15年。</w:t>
      </w:r>
    </w:p>
    <w:p>
      <w:pPr>
        <w:keepNext w:val="0"/>
        <w:keepLines w:val="0"/>
        <w:pageBreakBefore w:val="0"/>
        <w:widowControl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第四十三条</w:t>
      </w:r>
      <w:r>
        <w:rPr>
          <w:rFonts w:hint="eastAsia" w:ascii="方正仿宋简体" w:hAnsi="方正仿宋简体" w:eastAsia="方正仿宋简体" w:cs="方正仿宋简体"/>
          <w:sz w:val="28"/>
          <w:szCs w:val="28"/>
        </w:rPr>
        <w:t xml:space="preserve">  管道年度检查可由公司自行组织完成；初次检测公司能够完成的项目可自己承担，不能完成的项目应聘请第三方有相关资质的单位承担；定期全面检验单位应具有国家质量监督检验检疫总局核准的检验资格。</w:t>
      </w: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第四十四条</w:t>
      </w:r>
      <w:r>
        <w:rPr>
          <w:rFonts w:hint="eastAsia" w:ascii="方正仿宋简体" w:hAnsi="方正仿宋简体" w:eastAsia="方正仿宋简体" w:cs="方正仿宋简体"/>
          <w:sz w:val="28"/>
          <w:szCs w:val="28"/>
        </w:rPr>
        <w:t xml:space="preserve">  管道定期泄漏检测。 按照管道巡护类别划分，A类管道泄漏检测周期不应超过1个月；B类管道泄漏检测周期不应超过3个月；C类管道泄漏检测周期不应超过6个月；户内管道泄漏检测周期不应超过12个月；调压箱（柜）、风险段（点）管道及设施应加密检漏周期。特殊情况时可委托第三方专业机构进行专项检测。</w:t>
      </w:r>
    </w:p>
    <w:p>
      <w:pPr>
        <w:keepNext w:val="0"/>
        <w:keepLines w:val="0"/>
        <w:pageBreakBefore w:val="0"/>
        <w:widowControl w:val="0"/>
        <w:tabs>
          <w:tab w:val="right" w:pos="1440"/>
          <w:tab w:val="right" w:pos="1800"/>
          <w:tab w:val="right" w:pos="1980"/>
          <w:tab w:val="left" w:pos="2352"/>
          <w:tab w:val="right" w:pos="2700"/>
          <w:tab w:val="right" w:pos="4320"/>
          <w:tab w:val="right" w:pos="4500"/>
          <w:tab w:val="right" w:pos="4680"/>
        </w:tabs>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第四十五条 </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埋地钢质管道防腐层检测。重点进行防腐层漏损点非开挖检测，发现的防腐层缺陷应及时进行维修。检测周期应根据上次检测结果、维修维护及管道风险情况确定，一般情况下在役高压（含次高压）管道每3年、中压管道每5年、低压管道每8年进行1次。</w:t>
      </w:r>
    </w:p>
    <w:p>
      <w:pPr>
        <w:keepNext w:val="0"/>
        <w:keepLines w:val="0"/>
        <w:pageBreakBefore w:val="0"/>
        <w:widowControl w:val="0"/>
        <w:tabs>
          <w:tab w:val="right" w:pos="1440"/>
          <w:tab w:val="right" w:pos="1800"/>
          <w:tab w:val="right" w:pos="1980"/>
          <w:tab w:val="left" w:pos="2352"/>
          <w:tab w:val="right" w:pos="2700"/>
          <w:tab w:val="right" w:pos="4320"/>
          <w:tab w:val="right" w:pos="4500"/>
          <w:tab w:val="right" w:pos="4680"/>
        </w:tabs>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第四十六条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sz w:val="28"/>
          <w:szCs w:val="28"/>
        </w:rPr>
        <w:t xml:space="preserve"> 阴极保护系统有效性检测。应根据日常测试结果初步评估阴极保护有效性，必要时开展专项检测评价。</w:t>
      </w:r>
    </w:p>
    <w:p>
      <w:pPr>
        <w:keepNext w:val="0"/>
        <w:keepLines w:val="0"/>
        <w:pageBreakBefore w:val="0"/>
        <w:widowControl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第四十七条 </w:t>
      </w:r>
      <w:r>
        <w:rPr>
          <w:rFonts w:hint="eastAsia" w:ascii="方正仿宋简体" w:hAnsi="方正仿宋简体" w:eastAsia="方正仿宋简体" w:cs="方正仿宋简体"/>
          <w:sz w:val="28"/>
          <w:szCs w:val="28"/>
        </w:rPr>
        <w:t xml:space="preserve"> 管道合于使用评价。合于使用评价应在管道全面检验之后进行，主要针对管道应力分析、剩余强度、缺陷安全性、剩余寿命等展开分析计算或评估。合于使用评价单位应具有国家质量监督检验检疫总局核准的资格。</w:t>
      </w:r>
    </w:p>
    <w:p>
      <w:pPr>
        <w:keepNext w:val="0"/>
        <w:keepLines w:val="0"/>
        <w:pageBreakBefore w:val="0"/>
        <w:widowControl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第四十八条</w:t>
      </w:r>
      <w:r>
        <w:rPr>
          <w:rFonts w:hint="eastAsia" w:ascii="方正仿宋简体" w:hAnsi="方正仿宋简体" w:eastAsia="方正仿宋简体" w:cs="方正仿宋简体"/>
          <w:sz w:val="28"/>
          <w:szCs w:val="28"/>
        </w:rPr>
        <w:t xml:space="preserve">  燃气系统安全评价。燃气系统安全评价宜采用定量安全评价方法，应按照GB/T50811-2012《燃气系统运行安全评价标准》执行。安全评价周期宜参照合于使用评价周期执行，应在管道全面检验之后进行。</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第九章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管道维护保养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第四十九条</w:t>
      </w:r>
      <w:r>
        <w:rPr>
          <w:rFonts w:hint="eastAsia" w:ascii="方正仿宋简体" w:hAnsi="方正仿宋简体" w:eastAsia="方正仿宋简体" w:cs="方正仿宋简体"/>
          <w:sz w:val="28"/>
          <w:szCs w:val="28"/>
        </w:rPr>
        <w:t xml:space="preserve">  管道附属设施和管道检测检验后发现的缺陷应制定维修维护计划、编制实施方案，由公司组织实施。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第五十条</w:t>
      </w:r>
      <w:r>
        <w:rPr>
          <w:rFonts w:hint="eastAsia" w:ascii="方正仿宋简体" w:hAnsi="方正仿宋简体" w:eastAsia="方正仿宋简体" w:cs="方正仿宋简体"/>
          <w:sz w:val="28"/>
          <w:szCs w:val="28"/>
        </w:rPr>
        <w:t xml:space="preserve">  管道补强。钢制管道由于局部坑腐蚀，造成管壁减薄，管道强度降低，可采用成品夹套（修补器）、补焊、补强块（圈）、纤维复合材料等方式进行管道外部修复补强。管道大面积腐蚀减薄应采取更换管段、内衬PE等方式补强。管道补强修复应参照Q/SY1592-2013《油气管道管体修复技术规范》执行。</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第五十一条</w:t>
      </w:r>
      <w:r>
        <w:rPr>
          <w:rFonts w:hint="eastAsia" w:ascii="方正仿宋简体" w:hAnsi="方正仿宋简体" w:eastAsia="方正仿宋简体" w:cs="方正仿宋简体"/>
          <w:sz w:val="28"/>
          <w:szCs w:val="28"/>
        </w:rPr>
        <w:t xml:space="preserve">  管道外防腐层修复。埋地管道在PCM检查后，发现外防腐层破损，必须及时进行修复，防止管体继续腐蚀。外防腐层修复应参照SY/T5918-2011《埋地钢质管道外防腐层修复技术规范》执行。</w:t>
      </w:r>
    </w:p>
    <w:bookmarkEnd w:id="408"/>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第五十二条</w:t>
      </w:r>
      <w:r>
        <w:rPr>
          <w:rFonts w:hint="eastAsia" w:ascii="方正仿宋简体" w:hAnsi="方正仿宋简体" w:eastAsia="方正仿宋简体" w:cs="方正仿宋简体"/>
          <w:sz w:val="28"/>
          <w:szCs w:val="28"/>
        </w:rPr>
        <w:t xml:space="preserve">  保护管道的护坡、堡坎、排水沟渠、标识桩（块、牌）、检测桩等应确保完好有效，出现问题必须及时修复。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第五十三条</w:t>
      </w:r>
      <w:r>
        <w:rPr>
          <w:rFonts w:hint="eastAsia" w:ascii="方正仿宋简体" w:hAnsi="方正仿宋简体" w:eastAsia="方正仿宋简体" w:cs="方正仿宋简体"/>
          <w:sz w:val="28"/>
          <w:szCs w:val="28"/>
        </w:rPr>
        <w:t xml:space="preserve">  阀室（井）维护保养。阀室（井）内应无积水、塌陷，无妨碍阀门操作的堆积物，无燃气泄漏、损坏等现象。阀室（井）每月检查1次，每半年至少1次维护保养。</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第五十四条</w:t>
      </w:r>
      <w:r>
        <w:rPr>
          <w:rFonts w:hint="eastAsia" w:ascii="方正仿宋简体" w:hAnsi="方正仿宋简体" w:eastAsia="方正仿宋简体" w:cs="方正仿宋简体"/>
          <w:sz w:val="28"/>
          <w:szCs w:val="28"/>
        </w:rPr>
        <w:t xml:space="preserve">  调压箱（柜、撬）维护保养。调压箱（柜、撬）应无泄漏，仪表到期检定，调压器、过滤器、安全放散设施等运行正常。调压箱（柜、撬）每月检查1次，调压箱每半年维护保养1次，调压柜（撬）每季度维护保养1次。</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第五十五条</w:t>
      </w:r>
      <w:r>
        <w:rPr>
          <w:rFonts w:hint="eastAsia" w:ascii="方正仿宋简体" w:hAnsi="方正仿宋简体" w:eastAsia="方正仿宋简体" w:cs="方正仿宋简体"/>
          <w:sz w:val="28"/>
          <w:szCs w:val="28"/>
        </w:rPr>
        <w:t xml:space="preserve">  阀室（井）、调压箱（柜、撬）维护保养内容、保养标准要求由所属单位制定，并对保养作业人员进行培训，培训合格后上岗开展工作。</w:t>
      </w:r>
    </w:p>
    <w:p>
      <w:pPr>
        <w:numPr>
          <w:ilvl w:val="0"/>
          <w:numId w:val="0"/>
        </w:numPr>
        <w:spacing w:line="560" w:lineRule="exact"/>
        <w:jc w:val="both"/>
        <w:rPr>
          <w:rFonts w:hint="eastAsia" w:ascii="方正黑体简体" w:hAnsi="方正黑体简体" w:eastAsia="方正黑体简体" w:cs="方正黑体简体"/>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sz w:val="30"/>
          <w:szCs w:val="30"/>
          <w:lang w:eastAsia="zh-CN"/>
        </w:rPr>
        <w:t>第十章</w:t>
      </w:r>
      <w:r>
        <w:rPr>
          <w:rFonts w:hint="eastAsia" w:ascii="方正黑体简体" w:hAnsi="方正黑体简体" w:eastAsia="方正黑体简体" w:cs="方正黑体简体"/>
          <w:sz w:val="30"/>
          <w:szCs w:val="30"/>
          <w:lang w:val="en-US" w:eastAsia="zh-CN"/>
        </w:rPr>
        <w:t xml:space="preserve"> </w:t>
      </w:r>
      <w:r>
        <w:rPr>
          <w:rFonts w:hint="eastAsia" w:ascii="方正黑体简体" w:hAnsi="方正黑体简体" w:eastAsia="方正黑体简体" w:cs="方正黑体简体"/>
          <w:sz w:val="30"/>
          <w:szCs w:val="30"/>
        </w:rPr>
        <w:t xml:space="preserve"> 工艺安全与变更管理</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第五十六条</w:t>
      </w:r>
      <w:r>
        <w:rPr>
          <w:rFonts w:hint="eastAsia" w:ascii="方正仿宋简体" w:hAnsi="方正仿宋简体" w:eastAsia="方正仿宋简体" w:cs="方正仿宋简体"/>
          <w:sz w:val="28"/>
          <w:szCs w:val="28"/>
        </w:rPr>
        <w:t xml:space="preserve">  工艺安全信息管理。输气管道、调压计量站（撬）等重要生产设施，应依据设计文件、运行工况、安全报警等参数发布工艺安全信息（PSI）。PSI数据必须由公司核准后统一发布执行。一旦运行条件发生变化，要在5个工作日内更新PSI数据。</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第五十七条</w:t>
      </w:r>
      <w:r>
        <w:rPr>
          <w:rFonts w:hint="eastAsia" w:ascii="方正仿宋简体" w:hAnsi="方正仿宋简体" w:eastAsia="方正仿宋简体" w:cs="方正仿宋简体"/>
          <w:sz w:val="28"/>
          <w:szCs w:val="28"/>
        </w:rPr>
        <w:t xml:space="preserve">  工艺变更管理。管道及附属设施发生工艺变化，如换管、补强、开口接管、增加（或减少）附件、改变路由等情况，应严格按照《工艺与设备变更实施细则》执行，认真落实六步管理措施。</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658"/>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宋体" w:eastAsia="方正黑体简体"/>
          <w:b w:val="0"/>
          <w:bCs w:val="0"/>
          <w:sz w:val="30"/>
          <w:szCs w:val="30"/>
          <w:lang w:eastAsia="zh-CN"/>
        </w:rPr>
        <w:t>第十一章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管道停运与报废管理</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第五十八条</w:t>
      </w:r>
      <w:r>
        <w:rPr>
          <w:rFonts w:hint="eastAsia" w:ascii="方正仿宋简体" w:hAnsi="方正仿宋简体" w:eastAsia="方正仿宋简体" w:cs="方正仿宋简体"/>
          <w:sz w:val="28"/>
          <w:szCs w:val="28"/>
        </w:rPr>
        <w:t xml:space="preserve">  管道停运管理。管道停运前应办理停运手续，完善停运措施。输气管道停运应报川港公司管道管理部批准，燃气管道停运由公司批准。对于停用的管道，应按照在役管道进行管理，并及时修改管道台帐信息。</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第五十九条</w:t>
      </w:r>
      <w:r>
        <w:rPr>
          <w:rFonts w:hint="eastAsia" w:ascii="方正仿宋简体" w:hAnsi="方正仿宋简体" w:eastAsia="方正仿宋简体" w:cs="方正仿宋简体"/>
          <w:sz w:val="28"/>
          <w:szCs w:val="28"/>
        </w:rPr>
        <w:t xml:space="preserve">  停运管道重新启用管理。启用程序按照停运程序进行管理，停运时间在半年以上的管道，应重新进行严密性试验，合格后方可投入使用。</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第六十条</w:t>
      </w:r>
      <w:r>
        <w:rPr>
          <w:rFonts w:hint="eastAsia" w:ascii="方正仿宋简体" w:hAnsi="方正仿宋简体" w:eastAsia="方正仿宋简体" w:cs="方正仿宋简体"/>
          <w:sz w:val="28"/>
          <w:szCs w:val="28"/>
        </w:rPr>
        <w:t xml:space="preserve">  管道报废管理。管道报废应经过评估论证、批准后方可报废。对于报废管道，宜回收处置。对于无法回收的应采取注入氮气或其它填充物进行隔离封存，完善档案资料，并报相关政府部门备案。</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第十二章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 xml:space="preserve"> 管道数据与信息管理</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第六十一条</w:t>
      </w:r>
      <w:r>
        <w:rPr>
          <w:rFonts w:hint="eastAsia" w:ascii="方正仿宋简体" w:hAnsi="方正仿宋简体" w:eastAsia="方正仿宋简体" w:cs="方正仿宋简体"/>
          <w:sz w:val="28"/>
          <w:szCs w:val="28"/>
        </w:rPr>
        <w:t xml:space="preserve">  公司应建立资料档案管理制度，妥善管理管道数据与资料档案。按照前期规划、建设管理、生产管理、本质安全、环境安全管理、应急管理等各项工作的需求收集与整合数据，并统一存储管理，满足运行控制、分析评价、检测维修等工作的需要。</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第六十二条</w:t>
      </w:r>
      <w:r>
        <w:rPr>
          <w:rFonts w:hint="eastAsia" w:ascii="方正仿宋简体" w:hAnsi="方正仿宋简体" w:eastAsia="方正仿宋简体" w:cs="方正仿宋简体"/>
          <w:sz w:val="28"/>
          <w:szCs w:val="28"/>
        </w:rPr>
        <w:t xml:space="preserve">  管道数据采集。管道数据采集按照设计、施工、运行三个阶段收集，收集的内容与数据编码应按照西南油气田《对外投资公司信息系统公共数据编码技术规定》（西南司管道〔2016〕36号）进行收集整理，统一数据填报表单，以利于导入管道完整性管理信息化平台。</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sz w:val="28"/>
          <w:szCs w:val="28"/>
        </w:rPr>
        <w:t>第六十三条</w:t>
      </w:r>
      <w:r>
        <w:rPr>
          <w:rFonts w:hint="eastAsia" w:ascii="方正仿宋简体" w:hAnsi="方正仿宋简体" w:eastAsia="方正仿宋简体" w:cs="方正仿宋简体"/>
          <w:sz w:val="28"/>
          <w:szCs w:val="28"/>
        </w:rPr>
        <w:t xml:space="preserve">  数字化管道。公司应建立和完善客户信息管理系统、SCADA运行管理系统、完整性管理信息（含GIS）系统三大平台，管道实现数字化，管理实现信息化。</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第六十四条</w:t>
      </w:r>
      <w:r>
        <w:rPr>
          <w:rFonts w:hint="eastAsia" w:ascii="方正仿宋简体" w:hAnsi="方正仿宋简体" w:eastAsia="方正仿宋简体" w:cs="方正仿宋简体"/>
          <w:sz w:val="28"/>
          <w:szCs w:val="28"/>
        </w:rPr>
        <w:t xml:space="preserve">  管网图册与数据更新。公司应当编制管网（管道）电子版与纸质版图册，设专门技术干部管理，并实行年度更新，以满足管网运行、巡检、维护、抢修和信息化管理需要。管网图册应于每年2月份前完成上一年度图纸更新。管道数据信息应每年1月、7月各更新1次，并报川港公司管道管理部。</w:t>
      </w:r>
    </w:p>
    <w:p>
      <w:pPr>
        <w:tabs>
          <w:tab w:val="left" w:pos="0"/>
          <w:tab w:val="left" w:pos="2160"/>
          <w:tab w:val="left" w:pos="2352"/>
        </w:tabs>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宋体" w:eastAsia="方正黑体简体"/>
          <w:b w:val="0"/>
          <w:bCs w:val="0"/>
          <w:sz w:val="30"/>
          <w:szCs w:val="30"/>
          <w:lang w:eastAsia="zh-CN"/>
        </w:rPr>
      </w:pPr>
      <w:r>
        <w:rPr>
          <w:rFonts w:hint="eastAsia" w:ascii="方正黑体简体" w:hAnsi="宋体" w:eastAsia="方正黑体简体"/>
          <w:b w:val="0"/>
          <w:bCs w:val="0"/>
          <w:sz w:val="30"/>
          <w:szCs w:val="30"/>
          <w:lang w:eastAsia="zh-CN"/>
        </w:rPr>
        <w:t>第十三章</w:t>
      </w:r>
      <w:r>
        <w:rPr>
          <w:rFonts w:hint="eastAsia" w:ascii="方正黑体简体" w:hAnsi="宋体" w:eastAsia="方正黑体简体"/>
          <w:b w:val="0"/>
          <w:bCs w:val="0"/>
          <w:sz w:val="30"/>
          <w:szCs w:val="30"/>
          <w:lang w:val="en-US" w:eastAsia="zh-CN"/>
        </w:rPr>
        <w:t xml:space="preserve"> </w:t>
      </w:r>
      <w:r>
        <w:rPr>
          <w:rFonts w:hint="eastAsia" w:ascii="方正黑体简体" w:hAnsi="宋体" w:eastAsia="方正黑体简体"/>
          <w:b w:val="0"/>
          <w:bCs w:val="0"/>
          <w:sz w:val="30"/>
          <w:szCs w:val="30"/>
          <w:lang w:eastAsia="zh-CN"/>
        </w:rPr>
        <w:t xml:space="preserve"> 安全应急管理</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第六十五条</w:t>
      </w:r>
      <w:r>
        <w:rPr>
          <w:rFonts w:hint="eastAsia" w:ascii="方正仿宋简体" w:hAnsi="方正仿宋简体" w:eastAsia="方正仿宋简体" w:cs="方正仿宋简体"/>
          <w:sz w:val="28"/>
          <w:szCs w:val="28"/>
        </w:rPr>
        <w:t xml:space="preserve">  制定应急预案或处置卡。公司应编制针对管道突发事故（事件）的应急预案或处置卡，有24小时应急电话，有值班人员。预案应每季度开展演练1次，对预案效果进行检验评估。</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第六十六条</w:t>
      </w:r>
      <w:r>
        <w:rPr>
          <w:rFonts w:hint="eastAsia" w:ascii="方正仿宋简体" w:hAnsi="方正仿宋简体" w:eastAsia="方正仿宋简体" w:cs="方正仿宋简体"/>
          <w:sz w:val="28"/>
          <w:szCs w:val="28"/>
        </w:rPr>
        <w:t xml:space="preserve">  储备应急物资。公司应结合实际情况，适当储备常用易损材料、备品备件、抢险设备与器材、通讯设备、消防器材、检测仪器、安全防护用具等物质，应专人管理，建立登记台账，定期保养确保完好。</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第六十七条</w:t>
      </w:r>
      <w:r>
        <w:rPr>
          <w:rFonts w:hint="eastAsia" w:ascii="方正仿宋简体" w:hAnsi="方正仿宋简体" w:eastAsia="方正仿宋简体" w:cs="方正仿宋简体"/>
          <w:sz w:val="28"/>
          <w:szCs w:val="28"/>
        </w:rPr>
        <w:t xml:space="preserve">  应急处置队伍与技术装备。公司应有专业队伍或与专业队伍签订年度抢险协议，配合管道异常情况抢险与维修工作。同时，要对抢险队开展定期演练，对抢险技术装备进行检查，并建立相关演练与检查记录台账。</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第六十八条</w:t>
      </w:r>
      <w:r>
        <w:rPr>
          <w:rFonts w:hint="eastAsia" w:ascii="方正仿宋简体" w:hAnsi="方正仿宋简体" w:eastAsia="方正仿宋简体" w:cs="方正仿宋简体"/>
          <w:sz w:val="28"/>
          <w:szCs w:val="28"/>
        </w:rPr>
        <w:t xml:space="preserve">  应急处置。发生突发事件时，应当立即启动公司相应应急预案，组织抢险，配合地方政府做好人员疏散和险区警戒及防护，防止事故扩大。接到险情报警后，</w:t>
      </w:r>
      <w:r>
        <w:rPr>
          <w:rFonts w:hint="eastAsia" w:ascii="方正仿宋简体" w:hAnsi="方正仿宋简体" w:eastAsia="方正仿宋简体" w:cs="方正仿宋简体"/>
          <w:sz w:val="28"/>
          <w:szCs w:val="28"/>
          <w:lang w:eastAsia="zh-CN"/>
        </w:rPr>
        <w:t>生产保障中心</w:t>
      </w:r>
      <w:r>
        <w:rPr>
          <w:rFonts w:hint="eastAsia" w:ascii="方正仿宋简体" w:hAnsi="方正仿宋简体" w:eastAsia="方正仿宋简体" w:cs="方正仿宋简体"/>
          <w:sz w:val="28"/>
          <w:szCs w:val="28"/>
        </w:rPr>
        <w:t>应当迅速组织抢险人员赶赴现场，并根据事故情况联系有关部门协作抢险。燃气抢险人员接到报警抢险任务后应在15分钟内赶往抢险现场，特殊情况下不允许超过30分钟。</w:t>
      </w:r>
    </w:p>
    <w:p>
      <w:pPr>
        <w:keepNext w:val="0"/>
        <w:keepLines w:val="0"/>
        <w:pageBreakBefore w:val="0"/>
        <w:widowControl w:val="0"/>
        <w:tabs>
          <w:tab w:val="left" w:pos="0"/>
          <w:tab w:val="left" w:pos="2160"/>
          <w:tab w:val="left" w:pos="2352"/>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第六十九条</w:t>
      </w:r>
      <w:r>
        <w:rPr>
          <w:rFonts w:hint="eastAsia" w:ascii="方正仿宋简体" w:hAnsi="方正仿宋简体" w:eastAsia="方正仿宋简体" w:cs="方正仿宋简体"/>
          <w:sz w:val="28"/>
          <w:szCs w:val="28"/>
        </w:rPr>
        <w:t xml:space="preserve">  应急信息报送。管道发生事故(事件)、开展了应急演练等工作，应按照川港公司《生产信息管理办法》及时上报相关信息。</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方正黑体简体" w:hAnsi="宋体" w:eastAsia="方正黑体简体"/>
          <w:sz w:val="32"/>
          <w:szCs w:val="32"/>
        </w:rPr>
      </w:pPr>
      <w:r>
        <w:rPr>
          <w:rFonts w:hint="eastAsia" w:ascii="方正仿宋简体" w:hAnsi="方正仿宋简体" w:eastAsia="方正仿宋简体" w:cs="方正仿宋简体"/>
          <w:b/>
          <w:sz w:val="28"/>
          <w:szCs w:val="28"/>
        </w:rPr>
        <w:br w:type="page"/>
      </w:r>
      <w:r>
        <w:rPr>
          <w:rFonts w:hint="eastAsia" w:ascii="方正黑体简体" w:hAnsi="宋体" w:eastAsia="方正黑体简体"/>
          <w:sz w:val="32"/>
          <w:szCs w:val="32"/>
        </w:rPr>
        <w:t>附件</w:t>
      </w:r>
      <w:r>
        <w:rPr>
          <w:rFonts w:hint="eastAsia" w:ascii="方正黑体简体" w:hAnsi="宋体" w:eastAsia="方正黑体简体"/>
          <w:sz w:val="32"/>
          <w:szCs w:val="32"/>
          <w:lang w:val="en-US" w:eastAsia="zh-CN"/>
        </w:rPr>
        <w:t xml:space="preserve">  </w:t>
      </w:r>
      <w:r>
        <w:rPr>
          <w:rFonts w:hint="eastAsia" w:ascii="方正黑体简体" w:hAnsi="宋体" w:eastAsia="方正黑体简体"/>
          <w:sz w:val="32"/>
          <w:szCs w:val="32"/>
        </w:rPr>
        <w:t>输送天然气压力管道安装资质要求</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方正黑体简体" w:hAnsi="宋体" w:eastAsia="方正黑体简体"/>
          <w:sz w:val="32"/>
          <w:szCs w:val="32"/>
        </w:rPr>
      </w:pPr>
    </w:p>
    <w:tbl>
      <w:tblPr>
        <w:tblStyle w:val="51"/>
        <w:tblW w:w="978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3429"/>
        <w:gridCol w:w="42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序号</w:t>
            </w:r>
          </w:p>
        </w:tc>
        <w:tc>
          <w:tcPr>
            <w:tcW w:w="3429"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压力管道级别</w:t>
            </w:r>
          </w:p>
        </w:tc>
        <w:tc>
          <w:tcPr>
            <w:tcW w:w="4253"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安装资质新要求</w:t>
            </w:r>
          </w:p>
        </w:tc>
        <w:tc>
          <w:tcPr>
            <w:tcW w:w="1134"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1</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长输管道， 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≧10Mpa，L≧1000km，D≧1000mm；</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1、压力管道安装许可GA1甲级；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3、建筑工程施工总承包一级及以上资质，或者石油化工工程施工总承包一级及以上资质；</w:t>
            </w:r>
          </w:p>
        </w:tc>
        <w:tc>
          <w:tcPr>
            <w:tcW w:w="1134" w:type="dxa"/>
            <w:vAlign w:val="top"/>
          </w:tcPr>
          <w:p>
            <w:pP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2</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长输管道， 10Mpa&gt;P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≧4.0Mpa，L≧200km，D≧500mm；</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1、压力管道安装许可GA1乙级；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3、建筑工程施工总承包一级及以上资质，或者石油化工工程施工总承包一级及以上资质；</w:t>
            </w:r>
          </w:p>
        </w:tc>
        <w:tc>
          <w:tcPr>
            <w:tcW w:w="1134" w:type="dxa"/>
            <w:vAlign w:val="top"/>
          </w:tcPr>
          <w:p>
            <w:pP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3</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长输管道， 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&lt;4.0Mpa，L&lt;200km，D&lt;500mm；单跨39米以下；</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1、压力管道安装许可GA2级；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3、建筑工程施工总承包二级及以上资质，或者石油化工工程施工总承包二级及以上资质；</w:t>
            </w:r>
          </w:p>
        </w:tc>
        <w:tc>
          <w:tcPr>
            <w:tcW w:w="1134" w:type="dxa"/>
            <w:vAlign w:val="top"/>
          </w:tcPr>
          <w:p>
            <w:pP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4</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燃气管道，P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≤4.0Mpa，单跨27米以下，合同金额小于3000万元；</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1、压力管道安装许可GB1级；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3、建筑工程施工总承包三级及以上资质，或者石油化工工程施工总承包三级及以上资质，或者市政公用工程总承包一级及以上资质；</w:t>
            </w:r>
          </w:p>
        </w:tc>
        <w:tc>
          <w:tcPr>
            <w:tcW w:w="1134" w:type="dxa"/>
            <w:vAlign w:val="top"/>
          </w:tcPr>
          <w:p>
            <w:pP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5</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燃气管道，P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≤0.4Mpa；</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1、压力管道安装许可GB1级；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3、建筑工程施工总承包三级及以上资质，或者石油化工工程施工总承包三级及以上资质，或者市政公用工程总承包二级及以上资质；</w:t>
            </w:r>
          </w:p>
        </w:tc>
        <w:tc>
          <w:tcPr>
            <w:tcW w:w="1134" w:type="dxa"/>
            <w:vAlign w:val="top"/>
          </w:tcPr>
          <w:p>
            <w:pP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trPr>
        <w:tc>
          <w:tcPr>
            <w:tcW w:w="966" w:type="dxa"/>
            <w:vAlign w:val="center"/>
          </w:tcPr>
          <w:p>
            <w:pPr>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6</w:t>
            </w:r>
          </w:p>
        </w:tc>
        <w:tc>
          <w:tcPr>
            <w:tcW w:w="3429" w:type="dxa"/>
            <w:vAlign w:val="center"/>
          </w:tcPr>
          <w:p>
            <w:pP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燃气管道，P</w:t>
            </w:r>
            <w:r>
              <w:rPr>
                <w:rFonts w:hint="eastAsia" w:asciiTheme="minorEastAsia" w:hAnsiTheme="minorEastAsia" w:eastAsiaTheme="minorEastAsia" w:cstheme="minorEastAsia"/>
                <w:b/>
                <w:sz w:val="18"/>
                <w:szCs w:val="18"/>
                <w:vertAlign w:val="subscript"/>
              </w:rPr>
              <w:t>设</w:t>
            </w:r>
            <w:r>
              <w:rPr>
                <w:rFonts w:hint="eastAsia" w:asciiTheme="minorEastAsia" w:hAnsiTheme="minorEastAsia" w:eastAsiaTheme="minorEastAsia" w:cstheme="minorEastAsia"/>
                <w:b/>
                <w:sz w:val="18"/>
                <w:szCs w:val="18"/>
              </w:rPr>
              <w:t>≤0.2Mpa</w:t>
            </w:r>
          </w:p>
        </w:tc>
        <w:tc>
          <w:tcPr>
            <w:tcW w:w="4253" w:type="dxa"/>
            <w:vAlign w:val="top"/>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1、压力管道安装许可GB1级；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2、压力管道现场防腐蚀作业甲级；</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3、建筑工程施工总承包三级及以上资质，或者石油化工工程施工总承包三级及以上资质，或者市政公用工程总承包三级及以上资质；</w:t>
            </w:r>
          </w:p>
        </w:tc>
        <w:tc>
          <w:tcPr>
            <w:tcW w:w="1134" w:type="dxa"/>
            <w:vAlign w:val="top"/>
          </w:tcPr>
          <w:p>
            <w:pPr>
              <w:rPr>
                <w:rFonts w:hint="eastAsia" w:asciiTheme="minorEastAsia" w:hAnsiTheme="minorEastAsia" w:eastAsiaTheme="minorEastAsia" w:cstheme="minorEastAsia"/>
                <w:sz w:val="18"/>
                <w:szCs w:val="18"/>
              </w:rPr>
            </w:pPr>
          </w:p>
        </w:tc>
      </w:tr>
    </w:tbl>
    <w:p>
      <w:pPr>
        <w:pStyle w:val="2"/>
        <w:keepNext/>
        <w:keepLines/>
        <w:pageBreakBefore w:val="0"/>
        <w:widowControl w:val="0"/>
        <w:kinsoku/>
        <w:wordWrap/>
        <w:overflowPunct/>
        <w:topLinePunct w:val="0"/>
        <w:autoSpaceDE/>
        <w:autoSpaceDN/>
        <w:bidi w:val="0"/>
        <w:adjustRightInd/>
        <w:snapToGrid/>
        <w:spacing w:before="0" w:after="0" w:line="640" w:lineRule="exact"/>
        <w:jc w:val="both"/>
        <w:textAlignment w:val="auto"/>
        <w:outlineLvl w:val="0"/>
        <w:rPr>
          <w:rFonts w:hint="eastAsia" w:ascii="方正小标宋简体" w:eastAsia="方正小标宋简体"/>
          <w:b w:val="0"/>
          <w:bCs w:val="0"/>
          <w:sz w:val="36"/>
          <w:szCs w:val="36"/>
        </w:rPr>
      </w:pPr>
      <w:bookmarkStart w:id="414" w:name="_Toc1437"/>
      <w:bookmarkStart w:id="415" w:name="_Toc8091"/>
      <w:bookmarkStart w:id="416" w:name="_Toc7441"/>
      <w:bookmarkStart w:id="417" w:name="_Toc5572"/>
      <w:bookmarkStart w:id="418" w:name="_Toc28079"/>
      <w:bookmarkStart w:id="419" w:name="_Toc30698"/>
      <w:bookmarkStart w:id="420" w:name="_Toc3182"/>
      <w:bookmarkStart w:id="421" w:name="_Toc6582"/>
      <w:bookmarkStart w:id="422" w:name="_Toc30512"/>
      <w:bookmarkStart w:id="423" w:name="_Toc30181"/>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p>
    <w:p>
      <w:pPr>
        <w:pStyle w:val="2"/>
        <w:keepNext/>
        <w:keepLines/>
        <w:pageBreakBefore w:val="0"/>
        <w:widowControl w:val="0"/>
        <w:kinsoku/>
        <w:wordWrap/>
        <w:overflowPunct/>
        <w:topLinePunct w:val="0"/>
        <w:autoSpaceDE/>
        <w:autoSpaceDN/>
        <w:bidi w:val="0"/>
        <w:adjustRightInd/>
        <w:snapToGrid/>
        <w:spacing w:before="0" w:after="0" w:line="640" w:lineRule="exact"/>
        <w:jc w:val="both"/>
        <w:textAlignment w:val="auto"/>
        <w:outlineLvl w:val="0"/>
        <w:rPr>
          <w:rFonts w:hint="eastAsia" w:ascii="方正小标宋简体" w:eastAsia="方正小标宋简体"/>
          <w:b w:val="0"/>
          <w:bCs w:val="0"/>
          <w:sz w:val="36"/>
          <w:szCs w:val="36"/>
        </w:rPr>
      </w:pPr>
    </w:p>
    <w:p>
      <w:pPr>
        <w:rPr>
          <w:rFonts w:hint="eastAsia"/>
        </w:rPr>
      </w:pPr>
    </w:p>
    <w:p>
      <w:pPr>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bookmarkStart w:id="424" w:name="_Toc11951"/>
      <w:bookmarkStart w:id="425" w:name="_Toc29239"/>
      <w:bookmarkStart w:id="426" w:name="_Toc8551"/>
      <w:bookmarkStart w:id="427" w:name="_Toc11007"/>
      <w:bookmarkStart w:id="428" w:name="_Toc21007"/>
      <w:bookmarkStart w:id="429" w:name="_Toc10726"/>
      <w:bookmarkStart w:id="430" w:name="_Toc12354"/>
      <w:bookmarkStart w:id="431" w:name="_Toc9716"/>
      <w:bookmarkStart w:id="432" w:name="_Toc19760"/>
      <w:r>
        <w:rPr>
          <w:rFonts w:hint="eastAsia" w:ascii="方正小标宋简体" w:eastAsia="方正小标宋简体"/>
          <w:b w:val="0"/>
          <w:bCs w:val="0"/>
          <w:sz w:val="36"/>
          <w:szCs w:val="36"/>
        </w:rPr>
        <w:t>中油南充燃气有限责任公司管道巡护管理办法</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bookmarkStart w:id="433" w:name="_Toc508016700"/>
      <w:bookmarkStart w:id="434" w:name="_Toc15163"/>
      <w:bookmarkStart w:id="435" w:name="_Toc508012274"/>
      <w:r>
        <w:rPr>
          <w:rFonts w:hint="eastAsia" w:ascii="方正黑体简体" w:hAnsi="方正黑体简体" w:eastAsia="方正黑体简体" w:cs="方正黑体简体"/>
          <w:b w:val="0"/>
          <w:bCs/>
          <w:sz w:val="30"/>
          <w:szCs w:val="30"/>
        </w:rPr>
        <w:t xml:space="preserve">第一章  总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则</w:t>
      </w:r>
      <w:bookmarkEnd w:id="433"/>
      <w:bookmarkEnd w:id="434"/>
      <w:bookmarkEnd w:id="435"/>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楷体" w:eastAsia="方正仿宋简体"/>
          <w:sz w:val="28"/>
          <w:szCs w:val="28"/>
        </w:rPr>
      </w:pPr>
      <w:r>
        <w:rPr>
          <w:rFonts w:hint="eastAsia" w:ascii="方正仿宋简体" w:hAnsi="方正仿宋简体" w:eastAsia="方正仿宋简体" w:cs="方正仿宋简体"/>
          <w:b/>
          <w:bCs/>
          <w:sz w:val="28"/>
          <w:szCs w:val="28"/>
        </w:rPr>
        <w:t xml:space="preserve">第一条  </w:t>
      </w:r>
      <w:r>
        <w:rPr>
          <w:rFonts w:hint="eastAsia" w:ascii="方正仿宋简体" w:hAnsi="方正仿宋简体" w:eastAsia="方正仿宋简体" w:cs="方正仿宋简体"/>
          <w:sz w:val="28"/>
          <w:szCs w:val="28"/>
        </w:rPr>
        <w:t>为进一步加强中油南充燃气有限责任公司（以下简称公司）管道及其附属设施的巡护管理，建立健全管道巡护管理机制，</w:t>
      </w:r>
      <w:r>
        <w:rPr>
          <w:rFonts w:hint="eastAsia" w:ascii="方正仿宋简体" w:hAnsi="楷体" w:eastAsia="方正仿宋简体"/>
          <w:sz w:val="28"/>
          <w:szCs w:val="28"/>
        </w:rPr>
        <w:t>落实管道巡护责任，有效</w:t>
      </w:r>
      <w:r>
        <w:rPr>
          <w:rFonts w:hint="eastAsia" w:ascii="方正仿宋简体" w:hAnsi="方正仿宋简体" w:eastAsia="方正仿宋简体" w:cs="方正仿宋简体"/>
          <w:sz w:val="28"/>
          <w:szCs w:val="28"/>
        </w:rPr>
        <w:t>防控</w:t>
      </w:r>
      <w:r>
        <w:rPr>
          <w:rFonts w:hint="eastAsia" w:ascii="方正仿宋简体" w:hAnsi="楷体" w:eastAsia="方正仿宋简体"/>
          <w:sz w:val="28"/>
          <w:szCs w:val="28"/>
        </w:rPr>
        <w:t>管道运行过程中面临的内、外部风险，特制定本管理实施细则。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注：1、本细则中所指管道运行内部风险包括：可通过检测设备检测、目测方式观察或通过外部环境变化感知到的管道缺陷、失效。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2、本细则中所指外部风险包括：第三方施工、恐怖袭击及打孔盗气等人为因素造成的第三方破坏，可能导致外部风险增大的管道附属设施损坏、遗失以及水毁、滑坡等因素造成的自然与地质灾害。</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9"/>
        <w:rPr>
          <w:rFonts w:hint="eastAsia" w:ascii="方正仿宋简体" w:hAnsi="楷体" w:eastAsia="方正仿宋简体"/>
          <w:sz w:val="28"/>
          <w:szCs w:val="28"/>
          <w:lang w:eastAsia="zh-CN"/>
        </w:rPr>
      </w:pPr>
      <w:r>
        <w:rPr>
          <w:rFonts w:hint="eastAsia" w:ascii="方正仿宋简体" w:hAnsi="楷体" w:eastAsia="方正仿宋简体"/>
          <w:b/>
          <w:bCs/>
          <w:sz w:val="28"/>
          <w:szCs w:val="28"/>
        </w:rPr>
        <w:t>第二条</w:t>
      </w:r>
      <w:r>
        <w:rPr>
          <w:rFonts w:hint="eastAsia" w:ascii="方正仿宋简体" w:hAnsi="楷体" w:eastAsia="方正仿宋简体"/>
          <w:sz w:val="28"/>
          <w:szCs w:val="28"/>
        </w:rPr>
        <w:t xml:space="preserve">  本管理实施细则适用于于中油南充燃气有限责任公司所辖在役运行、建成但未投运、工程停工期间已建成的燃气管道、停运待报废的输气管道、城镇燃气管道及附属设施</w:t>
      </w:r>
      <w:r>
        <w:rPr>
          <w:rFonts w:hint="eastAsia" w:ascii="方正仿宋简体" w:hAnsi="楷体" w:eastAsia="方正仿宋简体"/>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注：1、本实施细则不适用于城镇燃气输配系统中所属门站、配气站站内工艺管道及附属设施、合资公司所属的各类管道及附属设施。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2、细则中巡护范围不包括用户户内燃气立管及设施。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3、由于新建楼盘有较频繁的交叉施工，为避免因特殊原因导致的工程停工期间管理脱节，因此将巡护管理纳入到工程建设管理。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输气管道：是指将上游输配气站（或集输站）净化天然气输往终端燃气公司门站（配气站或撬装站），并采用《输气管道工程设计规范》GB50251设计的天然气输送管道及其附属设施</w:t>
      </w:r>
      <w:r>
        <w:rPr>
          <w:rFonts w:hint="eastAsia" w:ascii="方正仿宋简体" w:hAnsi="宋体" w:eastAsia="方正仿宋简体"/>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燃气管道：是指将门站（配气站或撬装站）天然气输往终端燃气公司各用户，采用《城镇燃气设计规范》GB50028设计的天然气输送管道及其附属设施。</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庭院管道：由街道支线管网引入居住小区，敷设在居住小区建筑红线内并连接到楼栋引入管的燃气管道。</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燃气立管：沿建筑物垂直敷设的用于连接各用户燃气表前支管的燃气管道</w:t>
      </w:r>
    </w:p>
    <w:p>
      <w:pPr>
        <w:keepNext w:val="0"/>
        <w:keepLines w:val="0"/>
        <w:pageBreakBefore w:val="0"/>
        <w:widowControl w:val="0"/>
        <w:kinsoku/>
        <w:wordWrap/>
        <w:overflowPunct/>
        <w:topLinePunct w:val="0"/>
        <w:bidi w:val="0"/>
        <w:spacing w:line="560" w:lineRule="exact"/>
        <w:ind w:firstLine="560"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sz w:val="28"/>
          <w:szCs w:val="28"/>
        </w:rPr>
        <w:t>燃气管道附属设施：是指管道的配套设施与保护设施，包括：阀室（阀井）、调压箱（或调压计量撬）、地面标示（板、桩、牌）等。</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b/>
          <w:sz w:val="28"/>
          <w:szCs w:val="28"/>
        </w:rPr>
        <w:t xml:space="preserve">第三条  </w:t>
      </w:r>
      <w:r>
        <w:rPr>
          <w:rFonts w:hint="eastAsia" w:ascii="方正仿宋简体" w:hAnsi="楷体" w:eastAsia="方正仿宋简体"/>
          <w:sz w:val="28"/>
          <w:szCs w:val="28"/>
        </w:rPr>
        <w:t>管道巡护过程中除遵守本细则外还应遵循其他现行的国家相关法律、法规及企业规章制度。</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b/>
          <w:sz w:val="28"/>
          <w:szCs w:val="28"/>
        </w:rPr>
        <w:t xml:space="preserve">第四条   </w:t>
      </w:r>
      <w:r>
        <w:rPr>
          <w:rFonts w:hint="eastAsia" w:ascii="方正仿宋简体" w:hAnsi="楷体" w:eastAsia="方正仿宋简体"/>
          <w:sz w:val="28"/>
          <w:szCs w:val="28"/>
        </w:rPr>
        <w:t>本细则在实施后应根据国家相关法律、法规及企业规章制度的修订情况和实际实施效果予以不断修订和完善。</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b/>
          <w:sz w:val="28"/>
          <w:szCs w:val="28"/>
        </w:rPr>
        <w:t xml:space="preserve">第五条   </w:t>
      </w:r>
      <w:r>
        <w:rPr>
          <w:rFonts w:hint="eastAsia" w:ascii="方正仿宋简体" w:hAnsi="楷体" w:eastAsia="方正仿宋简体"/>
          <w:sz w:val="28"/>
          <w:szCs w:val="28"/>
        </w:rPr>
        <w:t>本细则中涉及工作界面未包括燃气设备设施维护保养及管道检测，相关工作要求另行规定。</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楷体" w:eastAsia="方正仿宋简体"/>
          <w:sz w:val="28"/>
          <w:szCs w:val="28"/>
        </w:rPr>
      </w:pPr>
      <w:r>
        <w:rPr>
          <w:rFonts w:hint="eastAsia" w:ascii="方正仿宋简体" w:hAnsi="楷体" w:eastAsia="方正仿宋简体"/>
          <w:b/>
          <w:sz w:val="28"/>
          <w:szCs w:val="28"/>
        </w:rPr>
        <w:t xml:space="preserve">第六条  </w:t>
      </w:r>
      <w:r>
        <w:rPr>
          <w:rFonts w:hint="eastAsia" w:ascii="方正仿宋简体" w:hAnsi="楷体" w:eastAsia="方正仿宋简体"/>
          <w:sz w:val="28"/>
          <w:szCs w:val="28"/>
        </w:rPr>
        <w:t>公司管道巡护实行统一管理、分级负责的原则，建立健全</w:t>
      </w:r>
      <w:r>
        <w:rPr>
          <w:rFonts w:hint="eastAsia" w:ascii="方正仿宋简体" w:hAnsi="宋体" w:eastAsia="方正仿宋简体"/>
          <w:sz w:val="28"/>
          <w:szCs w:val="28"/>
        </w:rPr>
        <w:t>公司严管、企地联动、线网结合、专业巡护的长效保护机</w:t>
      </w:r>
      <w:r>
        <w:rPr>
          <w:rFonts w:hint="eastAsia" w:ascii="方正仿宋简体" w:hAnsi="楷体" w:eastAsia="方正仿宋简体"/>
          <w:sz w:val="28"/>
          <w:szCs w:val="28"/>
        </w:rPr>
        <w:t>制，不断提升管道巡护工作质量。</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楷体" w:eastAsia="方正仿宋简体"/>
          <w:b/>
          <w:sz w:val="28"/>
          <w:szCs w:val="28"/>
        </w:rPr>
      </w:pPr>
      <w:r>
        <w:rPr>
          <w:rFonts w:hint="eastAsia" w:ascii="方正仿宋简体" w:hAnsi="楷体" w:eastAsia="方正仿宋简体"/>
          <w:b/>
          <w:sz w:val="28"/>
          <w:szCs w:val="28"/>
        </w:rPr>
        <w:t xml:space="preserve">第七条  </w:t>
      </w:r>
      <w:r>
        <w:rPr>
          <w:rFonts w:hint="eastAsia" w:ascii="方正仿宋简体" w:hAnsi="楷体" w:eastAsia="方正仿宋简体"/>
          <w:sz w:val="28"/>
          <w:szCs w:val="28"/>
        </w:rPr>
        <w:t>编制依据</w:t>
      </w:r>
    </w:p>
    <w:p>
      <w:pPr>
        <w:pStyle w:val="119"/>
        <w:keepNext w:val="0"/>
        <w:keepLines w:val="0"/>
        <w:pageBreakBefore w:val="0"/>
        <w:widowControl w:val="0"/>
        <w:kinsoku/>
        <w:wordWrap/>
        <w:overflowPunct/>
        <w:topLinePunct w:val="0"/>
        <w:bidi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（1）法律、法规文件</w:t>
      </w:r>
    </w:p>
    <w:p>
      <w:pPr>
        <w:pStyle w:val="119"/>
        <w:keepNext w:val="0"/>
        <w:keepLines w:val="0"/>
        <w:pageBreakBefore w:val="0"/>
        <w:widowControl w:val="0"/>
        <w:kinsoku/>
        <w:wordWrap/>
        <w:overflowPunct/>
        <w:topLinePunct w:val="0"/>
        <w:bidi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巡线用法律法规包含国家的相关法律、法规文件及规范、指引等,如《石油天然气管道保护条例》、《城镇燃气管理条例》、、</w:t>
      </w:r>
      <w:r>
        <w:rPr>
          <w:rFonts w:hint="eastAsia" w:ascii="方正仿宋简体" w:hAnsi="方正小标宋简体" w:eastAsia="方正仿宋简体" w:cs="方正小标宋简体"/>
          <w:sz w:val="28"/>
          <w:szCs w:val="28"/>
        </w:rPr>
        <w:t>《城镇燃气技术规范》（GB50494-2009）、《城镇燃气设计规范》（GB50028-2006）、《城镇燃气输配工程施工及验收规范》（CJJ33-2005）、《城镇燃气设施运行、维护和抢修安全技术规程》（CJJ51-2016）</w:t>
      </w:r>
      <w:r>
        <w:rPr>
          <w:rFonts w:hint="eastAsia"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（2）企业内部技术文件</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企业内部技术文件是巡查专用技术文件, 《中国石油西南油气田分公司输气管道管理办法》、《中国石油西南油气田分公司输气管道巡护管理办法》、《西南油气田分公司城镇燃气生产技术管理指导意见》、《川港公司管道巡护管理办法（试行）》、《川港公司管道管理办法（试行）》。</w:t>
      </w:r>
    </w:p>
    <w:p>
      <w:pPr>
        <w:pStyle w:val="119"/>
        <w:spacing w:line="560" w:lineRule="exact"/>
        <w:ind w:firstLine="560" w:firstLineChars="200"/>
        <w:jc w:val="both"/>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bookmarkStart w:id="436" w:name="_Toc25360"/>
      <w:bookmarkStart w:id="437" w:name="_Toc508012275"/>
      <w:bookmarkStart w:id="438" w:name="_Toc508016701"/>
      <w:r>
        <w:rPr>
          <w:rFonts w:hint="eastAsia" w:ascii="方正黑体简体" w:hAnsi="方正黑体简体" w:eastAsia="方正黑体简体" w:cs="方正黑体简体"/>
          <w:b w:val="0"/>
          <w:bCs/>
          <w:sz w:val="30"/>
          <w:szCs w:val="30"/>
        </w:rPr>
        <w:t>第二章  管理机构与职责</w:t>
      </w:r>
      <w:bookmarkEnd w:id="436"/>
      <w:bookmarkEnd w:id="437"/>
      <w:bookmarkEnd w:id="438"/>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 xml:space="preserve">第八条 </w:t>
      </w:r>
      <w:r>
        <w:rPr>
          <w:rFonts w:hint="eastAsia" w:ascii="方正仿宋简体" w:hAnsi="方正仿宋简体" w:eastAsia="方正仿宋简体" w:cs="方正仿宋简体"/>
          <w:bCs/>
          <w:sz w:val="28"/>
          <w:szCs w:val="28"/>
        </w:rPr>
        <w:t xml:space="preserve"> 各部门依据部门职能和管道巡护管理要求，履行相应的管道巡护管理职责：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lang w:eastAsia="zh-CN"/>
        </w:rPr>
        <w:t>综合办公室</w:t>
      </w:r>
      <w:r>
        <w:rPr>
          <w:rFonts w:hint="eastAsia" w:ascii="方正仿宋简体" w:hAnsi="方正仿宋简体" w:eastAsia="方正仿宋简体" w:cs="方正仿宋简体"/>
          <w:bCs/>
          <w:sz w:val="28"/>
          <w:szCs w:val="28"/>
        </w:rPr>
        <w:t>：负责管道巡护管理人员和油气管道保护工的配置和培训管理；参与管道巡护的对外协调工作。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eastAsia="zh-CN"/>
        </w:rPr>
        <w:t>财务资产部</w:t>
      </w:r>
      <w:r>
        <w:rPr>
          <w:rFonts w:hint="eastAsia" w:ascii="方正仿宋简体" w:hAnsi="方正仿宋简体" w:eastAsia="方正仿宋简体" w:cs="方正仿宋简体"/>
          <w:bCs/>
          <w:sz w:val="28"/>
          <w:szCs w:val="28"/>
        </w:rPr>
        <w:t>：负责管道巡护资金预算管理；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：负责管道巡护项目前期工作、投资批复、招投标、合同、承包商考核、决算以及管道巡护管理技术装备计划的管理工作。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w:t>
      </w:r>
      <w:r>
        <w:rPr>
          <w:rFonts w:hint="eastAsia" w:ascii="方正仿宋简体" w:hAnsi="方正仿宋简体" w:eastAsia="方正仿宋简体" w:cs="方正仿宋简体"/>
          <w:bCs/>
          <w:sz w:val="28"/>
          <w:szCs w:val="28"/>
          <w:lang w:eastAsia="zh-CN"/>
        </w:rPr>
        <w:t>质量安全环保部</w:t>
      </w:r>
      <w:r>
        <w:rPr>
          <w:rFonts w:hint="eastAsia" w:ascii="方正仿宋简体" w:hAnsi="方正仿宋简体" w:eastAsia="方正仿宋简体" w:cs="方正仿宋简体"/>
          <w:bCs/>
          <w:sz w:val="28"/>
          <w:szCs w:val="28"/>
        </w:rPr>
        <w:t>：负责管道巡护的安全监督管理，负责管道事故调查与处理，参与管道巡护危害与风险识别、隐患管理工作。参与管道巡护的对外协调工作。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：组织开展管道巡护危害与风险识别、隐患治理、应急处置等管理工作，建立管道安全预案并定期组织演练。参与管道巡护的对外协调工作。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（6）客户服务中心：负责户内立管和燃气设施的巡检工作。负责燃气管线和燃气设施第三方破坏的处理，第三方违章搭建、圈闭、施工间距不足等不安全行为不安全状态的处理。</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 xml:space="preserve">第九条  </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是管道巡护直接管理部门与责任主体，主要职责如下：</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（1）贯彻执行国家有关法律、法规和公司管道巡护管理办法，制定管道巡护管理实施细则，并报川港公司备案；</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（2）负责编制管道巡护工作方案，报川港公司经批准后组织实施。</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（3）负责业务承揽单位巡线合同的签订，业务承揽单位的考核、结算工作。</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（4）负责与本辖区内地方政府管道保护主管部门开展管道保护联动协调，定期开展管道保护宣传。</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（5）及时开展管道高后果区识别、地质灾害敏感点识别与管道风险评估，建立本单位管道动态风险数据库；</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（6）负责管道失效与第三方破坏事件的现场处置与信息报送，负责本单位管道失效分析，参与第三方破坏事件调查；</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（7）负责第三方施工管道保护方案的制定并组织实施；</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（8）建立管道巡护的各类技术档案和报表；</w:t>
      </w:r>
    </w:p>
    <w:p>
      <w:pPr>
        <w:keepNext w:val="0"/>
        <w:keepLines w:val="0"/>
        <w:pageBreakBefore w:val="0"/>
        <w:widowControl w:val="0"/>
        <w:kinsoku/>
        <w:wordWrap/>
        <w:overflowPunct/>
        <w:topLinePunct w:val="0"/>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lang w:eastAsia="zh-CN"/>
        </w:rPr>
        <w:t>第十条</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燃气</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是管道巡护的具体实施部门，主要职责如下：</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（1）协助</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制定管道巡护方案，实施管道保护工作，建立管道失效信息台账，并实施管道隐患整治工作；</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（2）协助</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实施巡线合同的签订，业务承揽单位的考核、结算工作。</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（3）负责及时收集、掌握管道沿线保护范围内第三方施工信息，加强施工过程中的管道监护，制止影响管道安全的施工行为；</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（4）对本单位管道保护工进行培训，并对其工作质量进行考核；</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（5）负责管道附属设施、巡护装备的日常维护，确保完好；</w:t>
      </w:r>
      <w:bookmarkStart w:id="439" w:name="_Toc508012276"/>
      <w:bookmarkStart w:id="440" w:name="_Toc8148"/>
      <w:bookmarkStart w:id="441" w:name="_Toc508016702"/>
    </w:p>
    <w:p>
      <w:pPr>
        <w:adjustRightInd w:val="0"/>
        <w:snapToGrid w:val="0"/>
        <w:spacing w:line="560" w:lineRule="exact"/>
        <w:ind w:firstLine="300" w:firstLineChars="100"/>
        <w:outlineLvl w:val="9"/>
        <w:rPr>
          <w:rFonts w:hint="eastAsia" w:ascii="方正黑体简体" w:hAnsi="方正黑体简体" w:eastAsia="方正黑体简体" w:cs="方正黑体简体"/>
          <w:b w:val="0"/>
          <w:bCs/>
          <w:sz w:val="30"/>
          <w:szCs w:val="30"/>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第三章  巡护管理模式</w:t>
      </w:r>
      <w:bookmarkEnd w:id="439"/>
      <w:bookmarkEnd w:id="440"/>
      <w:bookmarkEnd w:id="441"/>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公司范围内的全部燃气管线巡查实行领导干部、技术干部、管道保护工、巡线员以及信息员的“4+1”管道巡护模式，实现管道巡护工作“全天候、全覆盖”。</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一</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领导巡线要求</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（1）参与所在片区的巡线工作，每个季度巡线不得少于20km</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（2）每个季度对所在片区的巡线工作和人员进行不少于一次检查；重点对所辖管线辨识风险，检查巡线质量和巡线资料的符合性。</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二</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技术人员巡线要求</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（1）参与所在片区的巡线工作，每个季度徒步巡线不得少于30km（或每月不得少于10km）</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（2）每个季度对所在片区的巡线工作和人员进行不少于一次检查；重点对所辖管线辨识风险，检查巡线质量和巡线资料的符合性。</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（3）熟练掌握所在片区的隐患位置，类型，燃气设施的数量，状态。</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（4）负责组织本片区内隐患整改的实施工作</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三</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管道保护工巡线工作职责</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（1）参与所在片区的巡线工作，所有燃气设施每月必须覆盖一次</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（2）每个周对所在片区的巡线工作和人员进行不少于一次检查；重点对所辖管线辨识风险，检查巡线质量和巡线资料的符合性。</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（3）熟练掌握所在片区的隐患位置，类型，燃气设施的数量，状态。</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（4）参与本片区新建燃气设施的交接工作</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四</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巡线员工作要求</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（1）负责辖区内调压箱的巡护工作，检查调压箱外观是否良好，本体是否泄漏，是否被违章圈闭占压。</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（2）负责辖区内中低压管线的巡护工作，检查管线标识是否完整，是否泄漏，是否被违章圈闭占压。堡坎护坡是否完好。</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（3）负责辖区内阀井的日常巡护工作，检查阀井是否被占压，阀体是否泄漏。</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（4）负责辖区内安全隐患的日常巡护工作，检查安全隐患的泄漏情况。</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（5）负责辖区内漏点的加密巡护工作。燃气设施轻微泄漏，且环境条件开阔，每日对漏点进行复查。埋地管线泄漏，或燃气设施泄漏量大，现场设置警示标识，持续不间断监护，直至漏点整改。</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（6）服从片区长的安排，对片区内的第三方施工加密巡护。</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（7）参与辖区内新建燃气管线和燃气设施的交接工作，掌握燃气管线的走向、位置、埋设深度。</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（8）负责本辖区内隐患的协调工作，配合公司进行隐患整改。</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（9）按时填写巡线日记，记录每天巡检情况。</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（10）完成公司临时交代的任务。</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五</w:t>
      </w:r>
      <w:r>
        <w:rPr>
          <w:rFonts w:hint="eastAsia" w:ascii="方正仿宋简体" w:hAnsi="方正仿宋简体" w:eastAsia="方正仿宋简体" w:cs="方正仿宋简体"/>
          <w:b/>
          <w:sz w:val="28"/>
          <w:szCs w:val="28"/>
        </w:rPr>
        <w:t>条</w:t>
      </w:r>
      <w:r>
        <w:rPr>
          <w:rFonts w:hint="eastAsia" w:ascii="方正仿宋简体" w:hAnsi="方正仿宋简体" w:eastAsia="方正仿宋简体" w:cs="方正仿宋简体"/>
          <w:bCs/>
          <w:sz w:val="28"/>
          <w:szCs w:val="28"/>
        </w:rPr>
        <w:t xml:space="preserve">  巡线片长工作要求</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（1）负责本片区巡线工的日常管理工作。负责本片区巡护人员的工作任务分配，保证巡线质量。合理调配巡线人员，保证所有必检点的全面受控。</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（2）采用车巡+步巡的方式，对片区内的所有调压箱、阀井、安全隐患、漏点、第三方施工、管线进行复测。检查巡线人员的工作质量，并进行记录。</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（3）负责本片区管线交接工作，录入新建燃气设施和管线的基本信息，消除已经拆去的燃气设施和管线。</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（4）负责本片区第三方施工的协调工作。对巡线工新上报的三方施工进行确认，录入基本信息。待施工完成后，对施工进行闭环。</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（5）负责本片区安全隐患的判定工作。对巡线工上报的安全隐患进行确认，录入基本信息。待安全隐患销项后，对安全隐患进行闭环。</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（6）负责本片区漏点的初步判定工作。燃气设施的泄漏情况，片长进行确认和统一上报。</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（7）辅助巡线工进行安全隐患、第三方施工整改的协调工作。与社区、市政公司、居民进行交涉，并发放函件。</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（8）负责并参与第三方施工监护工作</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（9）按时填写巡线日记，记录每天巡检情况。</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（10）完成公司临时交代的工作任务。</w:t>
      </w:r>
    </w:p>
    <w:p>
      <w:pPr>
        <w:pStyle w:val="74"/>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六</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信息员工作要求</w:t>
      </w:r>
    </w:p>
    <w:p>
      <w:pPr>
        <w:pStyle w:val="74"/>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信息员对制定区域或管段进行定点监护和第三方施工信息的收集。</w:t>
      </w:r>
    </w:p>
    <w:p>
      <w:pPr>
        <w:pStyle w:val="74"/>
        <w:keepNext w:val="0"/>
        <w:keepLines w:val="0"/>
        <w:pageBreakBefore w:val="0"/>
        <w:widowControl/>
        <w:kinsoku/>
        <w:wordWrap/>
        <w:overflowPunct/>
        <w:topLinePunct w:val="0"/>
        <w:bidi w:val="0"/>
        <w:spacing w:line="560" w:lineRule="exact"/>
        <w:ind w:firstLine="560" w:firstLineChars="200"/>
        <w:jc w:val="left"/>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bookmarkStart w:id="442" w:name="_Toc5621"/>
      <w:bookmarkStart w:id="443" w:name="_Toc508016703"/>
      <w:bookmarkStart w:id="444" w:name="_Toc508012277"/>
      <w:r>
        <w:rPr>
          <w:rFonts w:hint="eastAsia" w:ascii="方正黑体简体" w:hAnsi="方正黑体简体" w:eastAsia="方正黑体简体" w:cs="方正黑体简体"/>
          <w:b w:val="0"/>
          <w:bCs/>
          <w:sz w:val="30"/>
          <w:szCs w:val="30"/>
        </w:rPr>
        <w:t>第四章  巡护准备工作</w:t>
      </w:r>
      <w:bookmarkEnd w:id="442"/>
      <w:bookmarkEnd w:id="443"/>
      <w:bookmarkEnd w:id="444"/>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燃气管网巡线员在巡査作业出勤前应按公司的要求进行如下的准备工作。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七</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 xml:space="preserve"> 着装</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燃气管网巡线员在管辖区域内出勤巡査时, 出勤着装由工作服、工作鞋、反光背心、安全帽和工号牌组成。</w:t>
      </w:r>
    </w:p>
    <w:p>
      <w:pPr>
        <w:keepNext w:val="0"/>
        <w:keepLines w:val="0"/>
        <w:pageBreakBefore w:val="0"/>
        <w:widowControl w:val="0"/>
        <w:kinsoku/>
        <w:wordWrap/>
        <w:overflowPunct/>
        <w:topLinePunct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（一）</w:t>
      </w:r>
      <w:r>
        <w:rPr>
          <w:rFonts w:hint="eastAsia" w:ascii="方正仿宋简体" w:hAnsi="方正仿宋简体" w:eastAsia="方正仿宋简体" w:cs="方正仿宋简体"/>
          <w:bCs/>
          <w:sz w:val="28"/>
          <w:szCs w:val="28"/>
        </w:rPr>
        <w:t>工作服、工作鞋</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特定工作服、工作鞋的穿戴,既能在工作过程中表明身份,又能对巡线人员起到外在的保护作用。</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（二）</w:t>
      </w:r>
      <w:r>
        <w:rPr>
          <w:rFonts w:hint="eastAsia" w:ascii="方正仿宋简体" w:hAnsi="方正仿宋简体" w:eastAsia="方正仿宋简体" w:cs="方正仿宋简体"/>
          <w:bCs/>
          <w:sz w:val="28"/>
          <w:szCs w:val="28"/>
        </w:rPr>
        <w:t>反光背心</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安全反光背心是由反光材料制作而成。反光安全背心的反光性能好,警示作用明显。无论是白天或夜晚对作业人员都能起到较好的安全警示作用。</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（三）</w:t>
      </w:r>
      <w:r>
        <w:rPr>
          <w:rFonts w:hint="eastAsia" w:ascii="方正仿宋简体" w:hAnsi="方正仿宋简体" w:eastAsia="方正仿宋简体" w:cs="方正仿宋简体"/>
          <w:bCs/>
          <w:sz w:val="28"/>
          <w:szCs w:val="28"/>
        </w:rPr>
        <w:t>安全帽</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管网巡线员进入可能高空落物的场所时必须佩戴安全帽。安全帽能有效保护巡线员的头部。</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（四）</w:t>
      </w:r>
      <w:r>
        <w:rPr>
          <w:rFonts w:hint="eastAsia" w:ascii="方正仿宋简体" w:hAnsi="方正仿宋简体" w:eastAsia="方正仿宋简体" w:cs="方正仿宋简体"/>
          <w:bCs/>
          <w:sz w:val="28"/>
          <w:szCs w:val="28"/>
        </w:rPr>
        <w:t>工号牌(工作证)</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工号牌上标有巡线员的岗位编号、照片, 能表明该巡线员的身份。</w:t>
      </w:r>
    </w:p>
    <w:p>
      <w:pPr>
        <w:pStyle w:val="119"/>
        <w:keepNext w:val="0"/>
        <w:keepLines w:val="0"/>
        <w:pageBreakBefore w:val="0"/>
        <w:widowControl w:val="0"/>
        <w:kinsoku/>
        <w:wordWrap/>
        <w:overflowPunct/>
        <w:topLinePunct w:val="0"/>
        <w:bidi w:val="0"/>
        <w:adjustRightInd w:val="0"/>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八</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Cs/>
          <w:sz w:val="28"/>
          <w:szCs w:val="28"/>
        </w:rPr>
        <w:t>巡护时需携带资料</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（1）巡护日志。</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（2）巡护用法律法规包含国家的相关法律、法规文件及规范、指引中与管道巡护有关的条文汇编。</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（3）企业制定、发布的管道保护函。</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（4）企业统一编制的管道保护宣传资料。</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（5）印制有巡护人员相关信息的名片。</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（6）所辖片区的管网分布图。</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巡护时需携带的器材、工具</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（1）个人通讯设备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（2）巡线管理系统手持终端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（3）工具包</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（4）手持式可燃气体检测仪</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（5）肥皂水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（6）翻盖钩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（7）喷漆</w:t>
      </w:r>
    </w:p>
    <w:p>
      <w:pPr>
        <w:pStyle w:val="119"/>
        <w:keepNext w:val="0"/>
        <w:keepLines w:val="0"/>
        <w:pageBreakBefore w:val="0"/>
        <w:widowControl w:val="0"/>
        <w:kinsoku/>
        <w:wordWrap/>
        <w:overflowPunct/>
        <w:topLinePunct w:val="0"/>
        <w:bidi w:val="0"/>
        <w:adjustRightIn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（8）警戒带</w:t>
      </w:r>
    </w:p>
    <w:p>
      <w:pPr>
        <w:pStyle w:val="119"/>
        <w:spacing w:line="560" w:lineRule="exact"/>
        <w:jc w:val="both"/>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bookmarkStart w:id="445" w:name="_Toc4789"/>
      <w:bookmarkStart w:id="446" w:name="_Toc508012278"/>
      <w:bookmarkStart w:id="447" w:name="_Toc508016704"/>
      <w:bookmarkStart w:id="448" w:name="_Toc508015423"/>
      <w:r>
        <w:rPr>
          <w:rFonts w:hint="eastAsia" w:ascii="方正黑体简体" w:hAnsi="方正黑体简体" w:eastAsia="方正黑体简体" w:cs="方正黑体简体"/>
          <w:b w:val="0"/>
          <w:bCs/>
          <w:sz w:val="30"/>
          <w:szCs w:val="30"/>
        </w:rPr>
        <w:t>第五章  巡护内容和要求</w:t>
      </w:r>
      <w:bookmarkEnd w:id="445"/>
      <w:bookmarkEnd w:id="446"/>
      <w:bookmarkEnd w:id="447"/>
      <w:bookmarkEnd w:id="448"/>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第十</w:t>
      </w:r>
      <w:r>
        <w:rPr>
          <w:rFonts w:hint="eastAsia" w:ascii="方正仿宋简体" w:hAnsi="方正仿宋简体" w:eastAsia="方正仿宋简体" w:cs="方正仿宋简体"/>
          <w:b/>
          <w:sz w:val="28"/>
          <w:szCs w:val="28"/>
          <w:lang w:eastAsia="zh-CN"/>
        </w:rPr>
        <w:t>九</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Cs/>
          <w:sz w:val="28"/>
          <w:szCs w:val="28"/>
        </w:rPr>
        <w:t>巡护分级标准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常规巡查工作任务由巡线业务承揽单位每月规划制定，报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审批后，录入巡线管理系统。该工作任务依据分级标准制定，该分级巡查列表适用于燃气管网及设施的日常巡查，包括地下低压、中压、次高压、地上外墙立管等燃气管网及设施。片区长根据所属片区的具体特点合理分配巡查人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公司燃气管线按照风险情况，分为五级，相应的分级标准及巡护频次如下：</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施工单位使用机械或坚硬工具从事绿化、挖掘、打桩、顶进、钻探、开路口等施工作业，且施工作业点（红线）距离管线距离不足2米。</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管道附近200米范围内存在爆破作业。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施工作业范围不能准确确定。</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在管道附近存在大量堆土或取土行为，由技术人员到现场判定是否需要监护。</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注：技术干部到现场结合堆土、取土量、施工地点和管道直线距离等因素进行核定后设定巡检频率。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5.管线附近窨井地缝检查出燃气泄漏现象，建筑物内或阀井等较密闭环境存在泄漏的场所。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燃气设施泄漏较轻微，虽然现场空旷，但技术干部到达现场确认检修前应监护的场所。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施工作业单位出现过野蛮施工破坏管道不良记录的施工场所。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属于第三方的应急抢建工程施工场所。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频率：连续不间断旁站监护</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二级：</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暴雨、台风等恶劣天气时，管道周边存在塌方、滑坡、下陷、裸管等危及安全运行的情况。</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施工单位建筑红线距离管道2-10米，且巡线工与施工单位、建设单位签订的管线保护函明确了保护性施工作业方案；</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临时停工不明确复工时间的工地。</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燃气设施轻微泄漏，虽然现场空旷，但经技术干部到达现场确认检修前应临时性增加巡检频次的场所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在管道附近存在大量堆土或取土行为，由技术人员到达现场判定为应每日巡护2次或以上的场所。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频率：2次/1日（歩巡+车巡）</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三级：</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漏气或抢修后修复的管网在供气24小时内。</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重点区域（必检点）在重大节日或前五天内。</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举办各种大型社会活动的场所（如人大会议政府礼堂附近）在活动期间及前五天内。</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燃气设施轻微泄漏，现场空旷暂时不能整改的场所。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在管道附近存在大量堆土或取土行为，由技术人员到达现场判定巡护频次不低于1日1次的场所。</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正常运行状态的输气管道或有特殊要求的次高压燃气管道。</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新建小区内可能存在用户搭建违章建筑占压燃气管道的区域。</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停复工期间管线的临时管理</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频率：1次/1日（歩巡+车巡）</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四级：</w:t>
      </w:r>
    </w:p>
    <w:p>
      <w:pPr>
        <w:keepNext w:val="0"/>
        <w:keepLines w:val="0"/>
        <w:pageBreakBefore w:val="0"/>
        <w:widowControl w:val="0"/>
        <w:tabs>
          <w:tab w:val="left" w:pos="876"/>
        </w:tabs>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bCs/>
          <w:sz w:val="28"/>
          <w:szCs w:val="28"/>
        </w:rPr>
        <w:t>除以上3级以外的其他中压及次高压燃气管线。</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val="en-US" w:eastAsia="zh-CN"/>
        </w:rPr>
        <w:t>.</w:t>
      </w:r>
      <w:r>
        <w:rPr>
          <w:rFonts w:hint="eastAsia" w:ascii="方正仿宋简体" w:hAnsi="方正仿宋简体" w:eastAsia="方正仿宋简体" w:cs="方正仿宋简体"/>
          <w:bCs/>
          <w:sz w:val="28"/>
          <w:szCs w:val="28"/>
        </w:rPr>
        <w:t>公司有特殊要求的低压管道。</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频率：1次/3日（歩巡）同时不得低于1次/日（车巡）</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五级：</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正常运行状态下的低压管道。</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频率：1次/5日（歩巡）同时不得低于1次/日(车巡)</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注：所有第三方占压隐患未纳入分级管理，其巡护频率严格按照公司制定的《隐患监控计划》执行。</w:t>
      </w:r>
    </w:p>
    <w:p>
      <w:pPr>
        <w:keepNext w:val="0"/>
        <w:keepLines w:val="0"/>
        <w:pageBreakBefore w:val="0"/>
        <w:widowControl w:val="0"/>
        <w:kinsoku/>
        <w:wordWrap/>
        <w:overflowPunct/>
        <w:topLinePunct w:val="0"/>
        <w:bidi w:val="0"/>
        <w:adjustRightInd w:val="0"/>
        <w:snapToGrid w:val="0"/>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每种等级的巡护具体要求和记录要求详见附表1</w:t>
      </w:r>
    </w:p>
    <w:p>
      <w:pPr>
        <w:pStyle w:val="119"/>
        <w:keepNext w:val="0"/>
        <w:keepLines w:val="0"/>
        <w:pageBreakBefore w:val="0"/>
        <w:widowControl w:val="0"/>
        <w:kinsoku/>
        <w:wordWrap/>
        <w:overflowPunct/>
        <w:topLinePunct w:val="0"/>
        <w:bidi w:val="0"/>
        <w:adjustRightInd w:val="0"/>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sz w:val="28"/>
          <w:szCs w:val="28"/>
        </w:rPr>
        <w:t>第</w:t>
      </w:r>
      <w:r>
        <w:rPr>
          <w:rFonts w:hint="eastAsia" w:ascii="方正仿宋简体" w:hAnsi="方正仿宋简体" w:eastAsia="方正仿宋简体" w:cs="方正仿宋简体"/>
          <w:b/>
          <w:sz w:val="28"/>
          <w:szCs w:val="28"/>
          <w:lang w:eastAsia="zh-CN"/>
        </w:rPr>
        <w:t>二十</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Cs/>
          <w:sz w:val="28"/>
          <w:szCs w:val="28"/>
        </w:rPr>
        <w:t xml:space="preserve"> 燃气管道巡护内容及规定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left="25" w:leftChars="12" w:right="-53"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1.燃气管道的压力级制</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left="7" w:right="-83"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根据《城镇燃气设计规范》燃气输送压力(P)分为7级,表5-1所示。</w:t>
      </w:r>
    </w:p>
    <w:tbl>
      <w:tblPr>
        <w:tblStyle w:val="51"/>
        <w:tblpPr w:leftFromText="2281" w:rightFromText="24699" w:topFromText="248" w:vertAnchor="text" w:horzAnchor="page" w:tblpX="1432" w:tblpY="7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0"/>
        <w:gridCol w:w="2070"/>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exact"/>
        </w:trPr>
        <w:tc>
          <w:tcPr>
            <w:tcW w:w="5340" w:type="dxa"/>
            <w:gridSpan w:val="2"/>
            <w:vAlign w:val="center"/>
          </w:tcPr>
          <w:p>
            <w:pPr>
              <w:pStyle w:val="119"/>
              <w:keepNext w:val="0"/>
              <w:keepLines w:val="0"/>
              <w:pageBreakBefore w:val="0"/>
              <w:widowControl w:val="0"/>
              <w:kinsoku/>
              <w:wordWrap/>
              <w:overflowPunct/>
              <w:topLinePunct w:val="0"/>
              <w:autoSpaceDE w:val="0"/>
              <w:autoSpaceDN w:val="0"/>
              <w:bidi w:val="0"/>
              <w:adjustRightInd w:val="0"/>
              <w:snapToGrid/>
              <w:spacing w:before="67" w:line="560" w:lineRule="exact"/>
              <w:jc w:val="center"/>
              <w:textAlignment w:val="auto"/>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名     称</w:t>
            </w:r>
          </w:p>
        </w:tc>
        <w:tc>
          <w:tcPr>
            <w:tcW w:w="3720" w:type="dxa"/>
            <w:vAlign w:val="center"/>
          </w:tcPr>
          <w:p>
            <w:pPr>
              <w:pStyle w:val="119"/>
              <w:keepNext w:val="0"/>
              <w:keepLines w:val="0"/>
              <w:pageBreakBefore w:val="0"/>
              <w:widowControl w:val="0"/>
              <w:kinsoku/>
              <w:wordWrap/>
              <w:overflowPunct/>
              <w:topLinePunct w:val="0"/>
              <w:autoSpaceDE w:val="0"/>
              <w:autoSpaceDN w:val="0"/>
              <w:bidi w:val="0"/>
              <w:adjustRightInd w:val="0"/>
              <w:snapToGrid/>
              <w:spacing w:before="73" w:line="560" w:lineRule="exact"/>
              <w:jc w:val="center"/>
              <w:textAlignment w:val="auto"/>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0" w:hRule="exact"/>
        </w:trPr>
        <w:tc>
          <w:tcPr>
            <w:tcW w:w="3270" w:type="dxa"/>
            <w:vMerge w:val="restart"/>
            <w:vAlign w:val="center"/>
          </w:tcPr>
          <w:p>
            <w:pPr>
              <w:pStyle w:val="119"/>
              <w:spacing w:before="254" w:line="138" w:lineRule="exact"/>
              <w:ind w:firstLine="971"/>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高压燃气管道</w:t>
            </w:r>
          </w:p>
        </w:tc>
        <w:tc>
          <w:tcPr>
            <w:tcW w:w="2070" w:type="dxa"/>
            <w:vAlign w:val="center"/>
          </w:tcPr>
          <w:p>
            <w:pPr>
              <w:pStyle w:val="119"/>
              <w:spacing w:before="46" w:line="150" w:lineRule="exact"/>
              <w:ind w:firstLine="1028"/>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A</w:t>
            </w:r>
          </w:p>
        </w:tc>
        <w:tc>
          <w:tcPr>
            <w:tcW w:w="3720" w:type="dxa"/>
            <w:vAlign w:val="center"/>
          </w:tcPr>
          <w:p>
            <w:pPr>
              <w:pStyle w:val="119"/>
              <w:spacing w:before="60" w:line="142" w:lineRule="exact"/>
              <w:ind w:firstLine="1047"/>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2.5&lt;P≤4.0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0" w:hRule="exact"/>
        </w:trPr>
        <w:tc>
          <w:tcPr>
            <w:tcW w:w="3270" w:type="dxa"/>
            <w:vMerge w:val="continue"/>
            <w:vAlign w:val="center"/>
          </w:tcPr>
          <w:p>
            <w:pPr>
              <w:pStyle w:val="119"/>
              <w:spacing w:before="254" w:line="138" w:lineRule="exact"/>
              <w:ind w:firstLine="1031"/>
              <w:jc w:val="left"/>
              <w:outlineLvl w:val="9"/>
              <w:rPr>
                <w:rFonts w:hint="eastAsia" w:ascii="方正仿宋简体" w:hAnsi="方正仿宋简体" w:eastAsia="方正仿宋简体" w:cs="方正仿宋简体"/>
                <w:sz w:val="21"/>
                <w:szCs w:val="21"/>
              </w:rPr>
            </w:pPr>
          </w:p>
        </w:tc>
        <w:tc>
          <w:tcPr>
            <w:tcW w:w="2070" w:type="dxa"/>
            <w:vAlign w:val="center"/>
          </w:tcPr>
          <w:p>
            <w:pPr>
              <w:pStyle w:val="119"/>
              <w:spacing w:before="54" w:line="142" w:lineRule="exact"/>
              <w:ind w:firstLine="1041"/>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B</w:t>
            </w:r>
          </w:p>
        </w:tc>
        <w:tc>
          <w:tcPr>
            <w:tcW w:w="3720" w:type="dxa"/>
            <w:vAlign w:val="center"/>
          </w:tcPr>
          <w:p>
            <w:pPr>
              <w:pStyle w:val="119"/>
              <w:spacing w:before="56" w:line="146" w:lineRule="exact"/>
              <w:ind w:firstLine="1063"/>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1.6&lt;P≤2.5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exact"/>
        </w:trPr>
        <w:tc>
          <w:tcPr>
            <w:tcW w:w="3270" w:type="dxa"/>
            <w:vMerge w:val="restart"/>
            <w:vAlign w:val="center"/>
          </w:tcPr>
          <w:p>
            <w:pPr>
              <w:pStyle w:val="119"/>
              <w:spacing w:before="255" w:line="142" w:lineRule="exact"/>
              <w:ind w:firstLine="896"/>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次高压燃气管道</w:t>
            </w:r>
          </w:p>
        </w:tc>
        <w:tc>
          <w:tcPr>
            <w:tcW w:w="2070" w:type="dxa"/>
            <w:vAlign w:val="center"/>
          </w:tcPr>
          <w:p>
            <w:pPr>
              <w:pStyle w:val="119"/>
              <w:spacing w:before="40" w:line="150" w:lineRule="exact"/>
              <w:ind w:firstLine="1028"/>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A</w:t>
            </w:r>
          </w:p>
        </w:tc>
        <w:tc>
          <w:tcPr>
            <w:tcW w:w="3720" w:type="dxa"/>
            <w:vAlign w:val="center"/>
          </w:tcPr>
          <w:p>
            <w:pPr>
              <w:pStyle w:val="119"/>
              <w:spacing w:before="48" w:line="148" w:lineRule="exact"/>
              <w:ind w:firstLine="1053"/>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0.8&lt;P≤1.6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8" w:hRule="exact"/>
        </w:trPr>
        <w:tc>
          <w:tcPr>
            <w:tcW w:w="3270" w:type="dxa"/>
            <w:vMerge w:val="continue"/>
            <w:vAlign w:val="center"/>
          </w:tcPr>
          <w:p>
            <w:pPr>
              <w:pStyle w:val="119"/>
              <w:spacing w:before="255" w:line="142" w:lineRule="exact"/>
              <w:ind w:firstLine="956"/>
              <w:jc w:val="left"/>
              <w:outlineLvl w:val="9"/>
              <w:rPr>
                <w:rFonts w:hint="eastAsia" w:ascii="方正仿宋简体" w:hAnsi="方正仿宋简体" w:eastAsia="方正仿宋简体" w:cs="方正仿宋简体"/>
                <w:sz w:val="21"/>
                <w:szCs w:val="21"/>
              </w:rPr>
            </w:pPr>
          </w:p>
        </w:tc>
        <w:tc>
          <w:tcPr>
            <w:tcW w:w="2070" w:type="dxa"/>
            <w:vAlign w:val="center"/>
          </w:tcPr>
          <w:p>
            <w:pPr>
              <w:pStyle w:val="119"/>
              <w:spacing w:before="54" w:line="142" w:lineRule="exact"/>
              <w:ind w:firstLine="1047"/>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B</w:t>
            </w:r>
          </w:p>
        </w:tc>
        <w:tc>
          <w:tcPr>
            <w:tcW w:w="3720" w:type="dxa"/>
            <w:vAlign w:val="center"/>
          </w:tcPr>
          <w:p>
            <w:pPr>
              <w:pStyle w:val="119"/>
              <w:spacing w:before="60" w:line="142" w:lineRule="exact"/>
              <w:ind w:firstLine="1053"/>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0.4&lt;P≤0.8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5" w:hRule="exact"/>
        </w:trPr>
        <w:tc>
          <w:tcPr>
            <w:tcW w:w="3270" w:type="dxa"/>
            <w:vMerge w:val="restart"/>
            <w:vAlign w:val="center"/>
          </w:tcPr>
          <w:p>
            <w:pPr>
              <w:pStyle w:val="119"/>
              <w:ind w:firstLine="1011"/>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中压燃气管遭</w:t>
            </w:r>
          </w:p>
        </w:tc>
        <w:tc>
          <w:tcPr>
            <w:tcW w:w="2070" w:type="dxa"/>
            <w:vAlign w:val="center"/>
          </w:tcPr>
          <w:p>
            <w:pPr>
              <w:pStyle w:val="119"/>
              <w:spacing w:before="44" w:line="158" w:lineRule="exact"/>
              <w:ind w:firstLine="1022"/>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A</w:t>
            </w:r>
          </w:p>
        </w:tc>
        <w:tc>
          <w:tcPr>
            <w:tcW w:w="3720" w:type="dxa"/>
            <w:vAlign w:val="center"/>
          </w:tcPr>
          <w:p>
            <w:pPr>
              <w:pStyle w:val="119"/>
              <w:spacing w:before="60" w:line="142" w:lineRule="exact"/>
              <w:ind w:firstLine="1047"/>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0.2&lt;P≤0.4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7" w:hRule="exact"/>
        </w:trPr>
        <w:tc>
          <w:tcPr>
            <w:tcW w:w="3270" w:type="dxa"/>
            <w:vMerge w:val="continue"/>
            <w:vAlign w:val="center"/>
          </w:tcPr>
          <w:p>
            <w:pPr>
              <w:pStyle w:val="119"/>
              <w:ind w:firstLine="1037"/>
              <w:jc w:val="left"/>
              <w:outlineLvl w:val="9"/>
              <w:rPr>
                <w:rFonts w:hint="eastAsia" w:ascii="方正仿宋简体" w:hAnsi="方正仿宋简体" w:eastAsia="方正仿宋简体" w:cs="方正仿宋简体"/>
                <w:sz w:val="21"/>
                <w:szCs w:val="21"/>
              </w:rPr>
            </w:pPr>
          </w:p>
        </w:tc>
        <w:tc>
          <w:tcPr>
            <w:tcW w:w="2070" w:type="dxa"/>
            <w:vAlign w:val="center"/>
          </w:tcPr>
          <w:p>
            <w:pPr>
              <w:pStyle w:val="119"/>
              <w:spacing w:before="52" w:line="150" w:lineRule="exact"/>
              <w:ind w:firstLine="1040"/>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B</w:t>
            </w:r>
          </w:p>
        </w:tc>
        <w:tc>
          <w:tcPr>
            <w:tcW w:w="3720" w:type="dxa"/>
            <w:vAlign w:val="center"/>
          </w:tcPr>
          <w:p>
            <w:pPr>
              <w:pStyle w:val="119"/>
              <w:spacing w:before="62" w:line="140" w:lineRule="exact"/>
              <w:ind w:firstLine="1013"/>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0.01&lt;P≤0.2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5" w:hRule="exact"/>
        </w:trPr>
        <w:tc>
          <w:tcPr>
            <w:tcW w:w="5340" w:type="dxa"/>
            <w:gridSpan w:val="2"/>
            <w:vAlign w:val="center"/>
          </w:tcPr>
          <w:p>
            <w:pPr>
              <w:pStyle w:val="119"/>
              <w:ind w:firstLine="2094"/>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低压燃气管道</w:t>
            </w:r>
          </w:p>
        </w:tc>
        <w:tc>
          <w:tcPr>
            <w:tcW w:w="3720" w:type="dxa"/>
            <w:vAlign w:val="center"/>
          </w:tcPr>
          <w:p>
            <w:pPr>
              <w:pStyle w:val="119"/>
              <w:spacing w:before="44" w:line="146" w:lineRule="exact"/>
              <w:ind w:firstLine="1197"/>
              <w:jc w:val="left"/>
              <w:outlineLvl w:val="9"/>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p&lt;0.01</w:t>
            </w:r>
          </w:p>
        </w:tc>
      </w:tr>
    </w:tbl>
    <w:p>
      <w:pPr>
        <w:pStyle w:val="119"/>
        <w:spacing w:before="13" w:line="174" w:lineRule="exact"/>
        <w:ind w:right="-38"/>
        <w:outlineLvl w:val="9"/>
        <w:rPr>
          <w:rFonts w:cs="Times New Roman"/>
          <w:sz w:val="8"/>
          <w:szCs w:val="8"/>
        </w:rPr>
      </w:pPr>
    </w:p>
    <w:p>
      <w:pPr>
        <w:pStyle w:val="119"/>
        <w:jc w:val="center"/>
        <w:outlineLvl w:val="9"/>
        <w:rPr>
          <w:rFonts w:hint="eastAsia" w:ascii="方正仿宋简体" w:hAnsi="方正仿宋简体" w:eastAsia="方正仿宋简体" w:cs="方正仿宋简体"/>
          <w:bCs/>
          <w:sz w:val="21"/>
          <w:szCs w:val="21"/>
        </w:rPr>
      </w:pPr>
      <w:r>
        <w:rPr>
          <w:rFonts w:hint="eastAsia" w:ascii="方正仿宋简体" w:hAnsi="方正仿宋简体" w:eastAsia="方正仿宋简体" w:cs="方正仿宋简体"/>
          <w:bCs/>
          <w:sz w:val="21"/>
          <w:szCs w:val="21"/>
        </w:rPr>
        <w:t>表5-1 城镇燃气设计压力分级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公司出储配站后至调压箱进口前的管道为中压A燃气管道，调压箱出口至用户终端为低压燃气管道；公司的次高压A的燃气管道为：八南末站至潆溪D168和D219管道、河东站至高坪航空港D159管道、储配一站至储配二站D168管道；公司的高压燃气管道为：东阀室至高坪站D273管道。</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2.不同压力级制城镇燃气管道安全距离净距要求</w:t>
      </w:r>
    </w:p>
    <w:tbl>
      <w:tblPr>
        <w:tblStyle w:val="51"/>
        <w:tblpPr w:leftFromText="2419" w:rightFromText="24589" w:topFromText="40" w:vertAnchor="text" w:horzAnchor="margin" w:tblpY="255"/>
        <w:tblW w:w="89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6"/>
        <w:gridCol w:w="1625"/>
        <w:gridCol w:w="1134"/>
        <w:gridCol w:w="1147"/>
        <w:gridCol w:w="1133"/>
        <w:gridCol w:w="1146"/>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1" w:hRule="exact"/>
        </w:trPr>
        <w:tc>
          <w:tcPr>
            <w:tcW w:w="3221" w:type="dxa"/>
            <w:gridSpan w:val="2"/>
            <w:vMerge w:val="restart"/>
            <w:vAlign w:val="center"/>
          </w:tcPr>
          <w:p>
            <w:pPr>
              <w:autoSpaceDE w:val="0"/>
              <w:autoSpaceDN w:val="0"/>
              <w:adjustRightInd w:val="0"/>
              <w:ind w:firstLine="1207"/>
              <w:outlineLvl w:val="9"/>
              <w:rPr>
                <w:rFonts w:ascii="宋体" w:hAnsi="宋体"/>
                <w:kern w:val="0"/>
                <w:sz w:val="18"/>
                <w:szCs w:val="18"/>
              </w:rPr>
            </w:pPr>
            <w:r>
              <w:rPr>
                <w:rFonts w:hint="eastAsia" w:ascii="宋体" w:hAnsi="宋体" w:cs="宋体"/>
                <w:kern w:val="0"/>
                <w:sz w:val="18"/>
                <w:szCs w:val="18"/>
              </w:rPr>
              <w:t>项   目</w:t>
            </w:r>
          </w:p>
        </w:tc>
        <w:tc>
          <w:tcPr>
            <w:tcW w:w="5739" w:type="dxa"/>
            <w:gridSpan w:val="5"/>
            <w:vAlign w:val="center"/>
          </w:tcPr>
          <w:p>
            <w:pPr>
              <w:autoSpaceDE w:val="0"/>
              <w:autoSpaceDN w:val="0"/>
              <w:adjustRightInd w:val="0"/>
              <w:ind w:firstLine="1708"/>
              <w:outlineLvl w:val="9"/>
              <w:rPr>
                <w:rFonts w:ascii="宋体" w:hAnsi="宋体"/>
                <w:kern w:val="0"/>
                <w:sz w:val="18"/>
                <w:szCs w:val="18"/>
              </w:rPr>
            </w:pPr>
            <w:r>
              <w:rPr>
                <w:rFonts w:hint="eastAsia" w:ascii="宋体" w:hAnsi="宋体" w:cs="宋体"/>
                <w:kern w:val="0"/>
                <w:sz w:val="18"/>
                <w:szCs w:val="18"/>
              </w:rPr>
              <w:t>地下燃气管道压力(MPa)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2" w:hRule="exact"/>
        </w:trPr>
        <w:tc>
          <w:tcPr>
            <w:tcW w:w="3221" w:type="dxa"/>
            <w:gridSpan w:val="2"/>
            <w:vMerge w:val="continue"/>
            <w:vAlign w:val="center"/>
          </w:tcPr>
          <w:p>
            <w:pPr>
              <w:autoSpaceDE w:val="0"/>
              <w:autoSpaceDN w:val="0"/>
              <w:adjustRightInd w:val="0"/>
              <w:ind w:firstLine="1267"/>
              <w:outlineLvl w:val="9"/>
              <w:rPr>
                <w:rFonts w:ascii="宋体" w:hAnsi="宋体"/>
                <w:kern w:val="0"/>
                <w:sz w:val="18"/>
                <w:szCs w:val="18"/>
              </w:rPr>
            </w:pPr>
          </w:p>
        </w:tc>
        <w:tc>
          <w:tcPr>
            <w:tcW w:w="1134" w:type="dxa"/>
            <w:vMerge w:val="restart"/>
            <w:vAlign w:val="center"/>
          </w:tcPr>
          <w:p>
            <w:pPr>
              <w:autoSpaceDE w:val="0"/>
              <w:autoSpaceDN w:val="0"/>
              <w:adjustRightInd w:val="0"/>
              <w:ind w:firstLine="82"/>
              <w:outlineLvl w:val="9"/>
              <w:rPr>
                <w:rFonts w:ascii="宋体" w:hAnsi="宋体"/>
                <w:kern w:val="0"/>
                <w:sz w:val="18"/>
                <w:szCs w:val="18"/>
              </w:rPr>
            </w:pPr>
            <w:r>
              <w:rPr>
                <w:rFonts w:hint="eastAsia" w:ascii="宋体" w:hAnsi="宋体" w:cs="宋体"/>
                <w:kern w:val="0"/>
                <w:sz w:val="18"/>
                <w:szCs w:val="18"/>
              </w:rPr>
              <w:t>低压&lt;0.01</w:t>
            </w:r>
          </w:p>
        </w:tc>
        <w:tc>
          <w:tcPr>
            <w:tcW w:w="2280" w:type="dxa"/>
            <w:gridSpan w:val="2"/>
            <w:vAlign w:val="center"/>
          </w:tcPr>
          <w:p>
            <w:pPr>
              <w:autoSpaceDE w:val="0"/>
              <w:autoSpaceDN w:val="0"/>
              <w:adjustRightInd w:val="0"/>
              <w:ind w:firstLine="885"/>
              <w:outlineLvl w:val="9"/>
              <w:rPr>
                <w:rFonts w:ascii="宋体" w:hAnsi="宋体"/>
                <w:kern w:val="0"/>
                <w:sz w:val="18"/>
                <w:szCs w:val="18"/>
              </w:rPr>
            </w:pPr>
            <w:r>
              <w:rPr>
                <w:rFonts w:hint="eastAsia" w:ascii="宋体" w:hAnsi="宋体" w:cs="宋体"/>
                <w:kern w:val="0"/>
                <w:sz w:val="18"/>
                <w:szCs w:val="18"/>
              </w:rPr>
              <w:t>中压</w:t>
            </w:r>
          </w:p>
        </w:tc>
        <w:tc>
          <w:tcPr>
            <w:tcW w:w="2325" w:type="dxa"/>
            <w:gridSpan w:val="2"/>
            <w:vAlign w:val="center"/>
          </w:tcPr>
          <w:p>
            <w:pPr>
              <w:autoSpaceDE w:val="0"/>
              <w:autoSpaceDN w:val="0"/>
              <w:adjustRightInd w:val="0"/>
              <w:ind w:firstLine="758"/>
              <w:outlineLvl w:val="9"/>
              <w:rPr>
                <w:rFonts w:ascii="宋体" w:hAnsi="宋体"/>
                <w:kern w:val="0"/>
                <w:sz w:val="18"/>
                <w:szCs w:val="18"/>
              </w:rPr>
            </w:pPr>
            <w:r>
              <w:rPr>
                <w:rFonts w:hint="eastAsia" w:ascii="宋体" w:hAnsi="宋体" w:cs="宋体"/>
                <w:kern w:val="0"/>
                <w:sz w:val="18"/>
                <w:szCs w:val="18"/>
              </w:rPr>
              <w:t>次高压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3" w:hRule="exact"/>
        </w:trPr>
        <w:tc>
          <w:tcPr>
            <w:tcW w:w="3221" w:type="dxa"/>
            <w:gridSpan w:val="2"/>
            <w:vMerge w:val="continue"/>
            <w:vAlign w:val="center"/>
          </w:tcPr>
          <w:p>
            <w:pPr>
              <w:autoSpaceDE w:val="0"/>
              <w:autoSpaceDN w:val="0"/>
              <w:adjustRightInd w:val="0"/>
              <w:ind w:firstLine="1267"/>
              <w:outlineLvl w:val="9"/>
              <w:rPr>
                <w:rFonts w:ascii="宋体" w:hAnsi="宋体"/>
                <w:kern w:val="0"/>
                <w:sz w:val="18"/>
                <w:szCs w:val="18"/>
              </w:rPr>
            </w:pPr>
          </w:p>
        </w:tc>
        <w:tc>
          <w:tcPr>
            <w:tcW w:w="1134" w:type="dxa"/>
            <w:vMerge w:val="continue"/>
            <w:vAlign w:val="center"/>
          </w:tcPr>
          <w:p>
            <w:pPr>
              <w:autoSpaceDE w:val="0"/>
              <w:autoSpaceDN w:val="0"/>
              <w:adjustRightInd w:val="0"/>
              <w:ind w:firstLine="150"/>
              <w:outlineLvl w:val="9"/>
              <w:rPr>
                <w:rFonts w:ascii="宋体" w:hAnsi="宋体"/>
                <w:kern w:val="0"/>
                <w:sz w:val="18"/>
                <w:szCs w:val="18"/>
              </w:rPr>
            </w:pPr>
          </w:p>
        </w:tc>
        <w:tc>
          <w:tcPr>
            <w:tcW w:w="1147" w:type="dxa"/>
            <w:vAlign w:val="center"/>
          </w:tcPr>
          <w:p>
            <w:pPr>
              <w:autoSpaceDE w:val="0"/>
              <w:autoSpaceDN w:val="0"/>
              <w:adjustRightInd w:val="0"/>
              <w:ind w:firstLine="245"/>
              <w:outlineLvl w:val="9"/>
              <w:rPr>
                <w:rFonts w:ascii="宋体" w:hAnsi="宋体"/>
                <w:kern w:val="0"/>
                <w:sz w:val="18"/>
                <w:szCs w:val="18"/>
              </w:rPr>
            </w:pPr>
            <w:r>
              <w:rPr>
                <w:rFonts w:hint="eastAsia" w:ascii="宋体" w:hAnsi="宋体" w:cs="宋体"/>
                <w:kern w:val="0"/>
                <w:sz w:val="18"/>
                <w:szCs w:val="18"/>
              </w:rPr>
              <w:t>B≤0.2</w:t>
            </w:r>
          </w:p>
        </w:tc>
        <w:tc>
          <w:tcPr>
            <w:tcW w:w="1133" w:type="dxa"/>
            <w:vAlign w:val="center"/>
          </w:tcPr>
          <w:p>
            <w:pPr>
              <w:autoSpaceDE w:val="0"/>
              <w:autoSpaceDN w:val="0"/>
              <w:adjustRightInd w:val="0"/>
              <w:ind w:firstLine="246"/>
              <w:outlineLvl w:val="9"/>
              <w:rPr>
                <w:rFonts w:ascii="宋体" w:hAnsi="宋体"/>
                <w:kern w:val="0"/>
                <w:sz w:val="18"/>
                <w:szCs w:val="18"/>
              </w:rPr>
            </w:pPr>
            <w:r>
              <w:rPr>
                <w:rFonts w:hint="eastAsia" w:ascii="宋体" w:hAnsi="宋体" w:cs="宋体"/>
                <w:kern w:val="0"/>
                <w:sz w:val="18"/>
                <w:szCs w:val="18"/>
              </w:rPr>
              <w:t>A≤0.4</w:t>
            </w:r>
          </w:p>
        </w:tc>
        <w:tc>
          <w:tcPr>
            <w:tcW w:w="1146" w:type="dxa"/>
            <w:vAlign w:val="center"/>
          </w:tcPr>
          <w:p>
            <w:pPr>
              <w:autoSpaceDE w:val="0"/>
              <w:autoSpaceDN w:val="0"/>
              <w:adjustRightInd w:val="0"/>
              <w:ind w:firstLine="258"/>
              <w:outlineLvl w:val="9"/>
              <w:rPr>
                <w:rFonts w:ascii="宋体" w:hAnsi="宋体"/>
                <w:kern w:val="0"/>
                <w:sz w:val="18"/>
                <w:szCs w:val="18"/>
              </w:rPr>
            </w:pPr>
            <w:r>
              <w:rPr>
                <w:rFonts w:ascii="宋体" w:hAnsi="宋体" w:cs="Arial"/>
                <w:kern w:val="0"/>
                <w:sz w:val="18"/>
                <w:szCs w:val="18"/>
              </w:rPr>
              <w:t>B</w:t>
            </w:r>
            <w:r>
              <w:rPr>
                <w:rFonts w:hint="eastAsia" w:ascii="宋体" w:hAnsi="宋体" w:cs="宋体"/>
                <w:kern w:val="0"/>
                <w:sz w:val="18"/>
                <w:szCs w:val="18"/>
              </w:rPr>
              <w:t>≤0.8</w:t>
            </w:r>
          </w:p>
        </w:tc>
        <w:tc>
          <w:tcPr>
            <w:tcW w:w="1179" w:type="dxa"/>
            <w:vAlign w:val="center"/>
          </w:tcPr>
          <w:p>
            <w:pPr>
              <w:autoSpaceDE w:val="0"/>
              <w:autoSpaceDN w:val="0"/>
              <w:adjustRightInd w:val="0"/>
              <w:ind w:firstLine="245"/>
              <w:outlineLvl w:val="9"/>
              <w:rPr>
                <w:rFonts w:ascii="宋体" w:hAnsi="宋体"/>
                <w:kern w:val="0"/>
                <w:sz w:val="18"/>
                <w:szCs w:val="18"/>
              </w:rPr>
            </w:pPr>
            <w:r>
              <w:rPr>
                <w:rFonts w:hint="eastAsia" w:ascii="宋体" w:hAnsi="宋体" w:cs="宋体"/>
                <w:kern w:val="0"/>
                <w:sz w:val="18"/>
                <w:szCs w:val="18"/>
              </w:rPr>
              <w:t>A≤1.6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1596" w:type="dxa"/>
            <w:vMerge w:val="restart"/>
            <w:vAlign w:val="center"/>
          </w:tcPr>
          <w:p>
            <w:pPr>
              <w:autoSpaceDE w:val="0"/>
              <w:autoSpaceDN w:val="0"/>
              <w:adjustRightInd w:val="0"/>
              <w:ind w:firstLine="464"/>
              <w:outlineLvl w:val="9"/>
              <w:rPr>
                <w:rFonts w:ascii="宋体" w:hAnsi="宋体"/>
                <w:kern w:val="0"/>
                <w:sz w:val="18"/>
                <w:szCs w:val="18"/>
              </w:rPr>
            </w:pPr>
            <w:r>
              <w:rPr>
                <w:rFonts w:hint="eastAsia" w:ascii="宋体" w:hAnsi="宋体" w:cs="宋体"/>
                <w:kern w:val="0"/>
                <w:sz w:val="18"/>
                <w:szCs w:val="18"/>
              </w:rPr>
              <w:t>建筑物</w:t>
            </w:r>
          </w:p>
        </w:tc>
        <w:tc>
          <w:tcPr>
            <w:tcW w:w="1625" w:type="dxa"/>
            <w:vAlign w:val="center"/>
          </w:tcPr>
          <w:p>
            <w:pPr>
              <w:autoSpaceDE w:val="0"/>
              <w:autoSpaceDN w:val="0"/>
              <w:adjustRightInd w:val="0"/>
              <w:ind w:firstLine="533"/>
              <w:outlineLvl w:val="9"/>
              <w:rPr>
                <w:rFonts w:ascii="宋体" w:hAnsi="宋体"/>
                <w:kern w:val="0"/>
                <w:sz w:val="18"/>
                <w:szCs w:val="18"/>
              </w:rPr>
            </w:pPr>
            <w:r>
              <w:rPr>
                <w:rFonts w:hint="eastAsia" w:ascii="宋体" w:hAnsi="宋体" w:cs="宋体"/>
                <w:kern w:val="0"/>
                <w:sz w:val="18"/>
                <w:szCs w:val="18"/>
              </w:rPr>
              <w:t>基础</w:t>
            </w:r>
          </w:p>
        </w:tc>
        <w:tc>
          <w:tcPr>
            <w:tcW w:w="1134"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0.7</w:t>
            </w:r>
          </w:p>
        </w:tc>
        <w:tc>
          <w:tcPr>
            <w:tcW w:w="1147"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1.5</w:t>
            </w:r>
          </w:p>
        </w:tc>
        <w:tc>
          <w:tcPr>
            <w:tcW w:w="1146" w:type="dxa"/>
            <w:vAlign w:val="center"/>
          </w:tcPr>
          <w:p>
            <w:pPr>
              <w:autoSpaceDE w:val="0"/>
              <w:autoSpaceDN w:val="0"/>
              <w:adjustRightInd w:val="0"/>
              <w:outlineLvl w:val="9"/>
              <w:rPr>
                <w:rFonts w:ascii="宋体" w:hAnsi="宋体"/>
                <w:kern w:val="0"/>
                <w:sz w:val="18"/>
                <w:szCs w:val="18"/>
              </w:rPr>
            </w:pPr>
            <w:r>
              <w:rPr>
                <w:rFonts w:hint="eastAsia" w:ascii="宋体" w:hAnsi="宋体" w:cs="宋体"/>
                <w:kern w:val="0"/>
                <w:sz w:val="18"/>
                <w:szCs w:val="18"/>
              </w:rPr>
              <w:t xml:space="preserve"> </w:t>
            </w:r>
          </w:p>
        </w:tc>
        <w:tc>
          <w:tcPr>
            <w:tcW w:w="1179" w:type="dxa"/>
            <w:vAlign w:val="center"/>
          </w:tcPr>
          <w:p>
            <w:pPr>
              <w:autoSpaceDE w:val="0"/>
              <w:autoSpaceDN w:val="0"/>
              <w:adjustRightInd w:val="0"/>
              <w:outlineLvl w:val="9"/>
              <w:rPr>
                <w:rFonts w:ascii="宋体" w:hAnsi="宋体"/>
                <w:kern w:val="0"/>
                <w:sz w:val="18"/>
                <w:szCs w:val="18"/>
              </w:rPr>
            </w:pPr>
            <w:r>
              <w:rPr>
                <w:rFonts w:hint="eastAsia" w:ascii="宋体" w:hAnsi="宋体" w:cs="宋体"/>
                <w:kern w:val="0"/>
                <w:sz w:val="18"/>
                <w:szCs w:val="18"/>
              </w:rPr>
              <w:t>一一一一一一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4" w:hRule="exact"/>
        </w:trPr>
        <w:tc>
          <w:tcPr>
            <w:tcW w:w="1596" w:type="dxa"/>
            <w:vMerge w:val="continue"/>
            <w:vAlign w:val="center"/>
          </w:tcPr>
          <w:p>
            <w:pPr>
              <w:autoSpaceDE w:val="0"/>
              <w:autoSpaceDN w:val="0"/>
              <w:adjustRightInd w:val="0"/>
              <w:ind w:firstLine="524"/>
              <w:outlineLvl w:val="9"/>
              <w:rPr>
                <w:rFonts w:ascii="宋体" w:hAnsi="宋体"/>
                <w:kern w:val="0"/>
                <w:sz w:val="18"/>
                <w:szCs w:val="18"/>
              </w:rPr>
            </w:pPr>
          </w:p>
        </w:tc>
        <w:tc>
          <w:tcPr>
            <w:tcW w:w="1625" w:type="dxa"/>
            <w:vAlign w:val="center"/>
          </w:tcPr>
          <w:p>
            <w:pPr>
              <w:autoSpaceDE w:val="0"/>
              <w:autoSpaceDN w:val="0"/>
              <w:adjustRightInd w:val="0"/>
              <w:ind w:firstLine="44"/>
              <w:outlineLvl w:val="9"/>
              <w:rPr>
                <w:rFonts w:ascii="宋体" w:hAnsi="宋体"/>
                <w:kern w:val="0"/>
                <w:sz w:val="18"/>
                <w:szCs w:val="18"/>
              </w:rPr>
            </w:pPr>
            <w:r>
              <w:rPr>
                <w:rFonts w:hint="eastAsia" w:ascii="宋体" w:hAnsi="宋体" w:cs="宋体"/>
                <w:kern w:val="0"/>
                <w:sz w:val="18"/>
                <w:szCs w:val="18"/>
              </w:rPr>
              <w:t>外墙面(出地面处)</w:t>
            </w:r>
          </w:p>
        </w:tc>
        <w:tc>
          <w:tcPr>
            <w:tcW w:w="1134" w:type="dxa"/>
            <w:vAlign w:val="center"/>
          </w:tcPr>
          <w:p>
            <w:pPr>
              <w:autoSpaceDE w:val="0"/>
              <w:autoSpaceDN w:val="0"/>
              <w:adjustRightInd w:val="0"/>
              <w:outlineLvl w:val="9"/>
              <w:rPr>
                <w:rFonts w:ascii="宋体" w:hAnsi="宋体"/>
                <w:kern w:val="0"/>
                <w:sz w:val="18"/>
                <w:szCs w:val="18"/>
              </w:rPr>
            </w:pPr>
            <w:r>
              <w:rPr>
                <w:rFonts w:hint="eastAsia" w:ascii="宋体" w:hAnsi="宋体" w:cs="宋体"/>
                <w:kern w:val="0"/>
                <w:sz w:val="18"/>
                <w:szCs w:val="18"/>
              </w:rPr>
              <w:t>一一一一一-</w:t>
            </w:r>
          </w:p>
        </w:tc>
        <w:tc>
          <w:tcPr>
            <w:tcW w:w="1147" w:type="dxa"/>
            <w:vAlign w:val="center"/>
          </w:tcPr>
          <w:p>
            <w:pPr>
              <w:autoSpaceDE w:val="0"/>
              <w:autoSpaceDN w:val="0"/>
              <w:adjustRightInd w:val="0"/>
              <w:outlineLvl w:val="9"/>
              <w:rPr>
                <w:rFonts w:ascii="宋体" w:hAnsi="宋体"/>
                <w:kern w:val="0"/>
                <w:sz w:val="18"/>
                <w:szCs w:val="18"/>
              </w:rPr>
            </w:pPr>
            <w:r>
              <w:rPr>
                <w:rFonts w:hint="eastAsia" w:ascii="宋体" w:hAnsi="宋体" w:cs="宋体"/>
                <w:kern w:val="0"/>
                <w:sz w:val="18"/>
                <w:szCs w:val="18"/>
              </w:rPr>
              <w:t xml:space="preserve"> </w:t>
            </w:r>
          </w:p>
        </w:tc>
        <w:tc>
          <w:tcPr>
            <w:tcW w:w="1133" w:type="dxa"/>
            <w:vAlign w:val="center"/>
          </w:tcPr>
          <w:p>
            <w:pPr>
              <w:autoSpaceDE w:val="0"/>
              <w:autoSpaceDN w:val="0"/>
              <w:adjustRightInd w:val="0"/>
              <w:outlineLvl w:val="9"/>
              <w:rPr>
                <w:rFonts w:ascii="宋体" w:hAnsi="宋体"/>
                <w:kern w:val="0"/>
                <w:sz w:val="18"/>
                <w:szCs w:val="18"/>
              </w:rPr>
            </w:pPr>
            <w:r>
              <w:rPr>
                <w:rFonts w:hint="eastAsia" w:ascii="宋体" w:hAnsi="宋体" w:cs="宋体"/>
                <w:kern w:val="0"/>
                <w:sz w:val="18"/>
                <w:szCs w:val="18"/>
              </w:rPr>
              <w:t xml:space="preserve"> </w:t>
            </w:r>
          </w:p>
        </w:tc>
        <w:tc>
          <w:tcPr>
            <w:tcW w:w="1146"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5.0</w:t>
            </w:r>
          </w:p>
        </w:tc>
        <w:tc>
          <w:tcPr>
            <w:tcW w:w="1179" w:type="dxa"/>
            <w:vAlign w:val="center"/>
          </w:tcPr>
          <w:p>
            <w:pPr>
              <w:autoSpaceDE w:val="0"/>
              <w:autoSpaceDN w:val="0"/>
              <w:adjustRightInd w:val="0"/>
              <w:ind w:firstLine="366"/>
              <w:outlineLvl w:val="9"/>
              <w:rPr>
                <w:rFonts w:ascii="宋体" w:hAnsi="宋体"/>
                <w:kern w:val="0"/>
                <w:sz w:val="18"/>
                <w:szCs w:val="18"/>
              </w:rPr>
            </w:pPr>
            <w:r>
              <w:rPr>
                <w:rFonts w:hint="eastAsia" w:ascii="宋体" w:hAnsi="宋体" w:cs="宋体"/>
                <w:kern w:val="0"/>
                <w:sz w:val="18"/>
                <w:szCs w:val="18"/>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5" w:hRule="exact"/>
        </w:trPr>
        <w:tc>
          <w:tcPr>
            <w:tcW w:w="3221" w:type="dxa"/>
            <w:gridSpan w:val="2"/>
            <w:vAlign w:val="center"/>
          </w:tcPr>
          <w:p>
            <w:pPr>
              <w:autoSpaceDE w:val="0"/>
              <w:autoSpaceDN w:val="0"/>
              <w:adjustRightInd w:val="0"/>
              <w:ind w:firstLine="1219"/>
              <w:outlineLvl w:val="9"/>
              <w:rPr>
                <w:rFonts w:ascii="宋体" w:hAnsi="宋体"/>
                <w:kern w:val="0"/>
                <w:sz w:val="18"/>
                <w:szCs w:val="18"/>
              </w:rPr>
            </w:pPr>
            <w:r>
              <w:rPr>
                <w:rFonts w:hint="eastAsia" w:ascii="宋体" w:hAnsi="宋体" w:cs="宋体"/>
                <w:kern w:val="0"/>
                <w:sz w:val="18"/>
                <w:szCs w:val="18"/>
              </w:rPr>
              <w:t>给水管</w:t>
            </w:r>
          </w:p>
        </w:tc>
        <w:tc>
          <w:tcPr>
            <w:tcW w:w="1134"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0.5</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33"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exact"/>
        </w:trPr>
        <w:tc>
          <w:tcPr>
            <w:tcW w:w="3221" w:type="dxa"/>
            <w:gridSpan w:val="2"/>
            <w:vAlign w:val="center"/>
          </w:tcPr>
          <w:p>
            <w:pPr>
              <w:autoSpaceDE w:val="0"/>
              <w:autoSpaceDN w:val="0"/>
              <w:adjustRightInd w:val="0"/>
              <w:ind w:firstLine="844"/>
              <w:outlineLvl w:val="9"/>
              <w:rPr>
                <w:rFonts w:ascii="宋体" w:hAnsi="宋体"/>
                <w:kern w:val="0"/>
                <w:sz w:val="18"/>
                <w:szCs w:val="18"/>
              </w:rPr>
            </w:pPr>
            <w:r>
              <w:rPr>
                <w:rFonts w:hint="eastAsia" w:ascii="宋体" w:hAnsi="宋体" w:cs="宋体"/>
                <w:kern w:val="0"/>
                <w:sz w:val="18"/>
                <w:szCs w:val="18"/>
              </w:rPr>
              <w:t>污水、雨水排水管</w:t>
            </w:r>
          </w:p>
        </w:tc>
        <w:tc>
          <w:tcPr>
            <w:tcW w:w="1134" w:type="dxa"/>
            <w:vAlign w:val="center"/>
          </w:tcPr>
          <w:p>
            <w:pPr>
              <w:autoSpaceDE w:val="0"/>
              <w:autoSpaceDN w:val="0"/>
              <w:adjustRightInd w:val="0"/>
              <w:ind w:firstLine="401"/>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1.2</w:t>
            </w:r>
          </w:p>
        </w:tc>
        <w:tc>
          <w:tcPr>
            <w:tcW w:w="1133"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l.2</w:t>
            </w:r>
          </w:p>
        </w:tc>
        <w:tc>
          <w:tcPr>
            <w:tcW w:w="1146" w:type="dxa"/>
            <w:vAlign w:val="center"/>
          </w:tcPr>
          <w:p>
            <w:pPr>
              <w:autoSpaceDE w:val="0"/>
              <w:autoSpaceDN w:val="0"/>
              <w:adjustRightInd w:val="0"/>
              <w:ind w:firstLine="401"/>
              <w:outlineLvl w:val="9"/>
              <w:rPr>
                <w:rFonts w:ascii="宋体" w:hAnsi="宋体"/>
                <w:kern w:val="0"/>
                <w:sz w:val="18"/>
                <w:szCs w:val="18"/>
              </w:rPr>
            </w:pPr>
            <w:r>
              <w:rPr>
                <w:rFonts w:hint="eastAsia" w:ascii="宋体" w:hAnsi="宋体" w:cs="宋体"/>
                <w:kern w:val="0"/>
                <w:sz w:val="18"/>
                <w:szCs w:val="18"/>
              </w:rPr>
              <w:t>1.5</w:t>
            </w:r>
          </w:p>
        </w:tc>
        <w:tc>
          <w:tcPr>
            <w:tcW w:w="1179"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5" w:hRule="exact"/>
        </w:trPr>
        <w:tc>
          <w:tcPr>
            <w:tcW w:w="1596" w:type="dxa"/>
            <w:tcBorders>
              <w:bottom w:val="nil"/>
            </w:tcBorders>
            <w:vAlign w:val="center"/>
          </w:tcPr>
          <w:p>
            <w:pPr>
              <w:autoSpaceDE w:val="0"/>
              <w:autoSpaceDN w:val="0"/>
              <w:adjustRightInd w:val="0"/>
              <w:ind w:firstLine="441"/>
              <w:outlineLvl w:val="9"/>
              <w:rPr>
                <w:rFonts w:ascii="宋体" w:hAnsi="宋体"/>
                <w:kern w:val="0"/>
                <w:sz w:val="18"/>
                <w:szCs w:val="18"/>
              </w:rPr>
            </w:pPr>
            <w:r>
              <w:rPr>
                <w:rFonts w:hint="eastAsia" w:ascii="宋体" w:hAnsi="宋体" w:cs="宋体"/>
                <w:kern w:val="0"/>
                <w:sz w:val="18"/>
                <w:szCs w:val="18"/>
              </w:rPr>
              <w:t>电力电缆</w:t>
            </w:r>
          </w:p>
        </w:tc>
        <w:tc>
          <w:tcPr>
            <w:tcW w:w="1625" w:type="dxa"/>
            <w:vAlign w:val="center"/>
          </w:tcPr>
          <w:p>
            <w:pPr>
              <w:autoSpaceDE w:val="0"/>
              <w:autoSpaceDN w:val="0"/>
              <w:adjustRightInd w:val="0"/>
              <w:ind w:firstLine="516"/>
              <w:outlineLvl w:val="9"/>
              <w:rPr>
                <w:rFonts w:ascii="宋体" w:hAnsi="宋体"/>
                <w:kern w:val="0"/>
                <w:sz w:val="18"/>
                <w:szCs w:val="18"/>
              </w:rPr>
            </w:pPr>
            <w:r>
              <w:rPr>
                <w:rFonts w:hint="eastAsia" w:ascii="宋体" w:hAnsi="宋体" w:cs="宋体"/>
                <w:kern w:val="0"/>
                <w:sz w:val="18"/>
                <w:szCs w:val="18"/>
              </w:rPr>
              <w:t>直理</w:t>
            </w:r>
          </w:p>
        </w:tc>
        <w:tc>
          <w:tcPr>
            <w:tcW w:w="1134"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0.5</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33"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0.5</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0" w:hRule="exact"/>
        </w:trPr>
        <w:tc>
          <w:tcPr>
            <w:tcW w:w="1596" w:type="dxa"/>
            <w:tcBorders>
              <w:top w:val="nil"/>
            </w:tcBorders>
            <w:vAlign w:val="center"/>
          </w:tcPr>
          <w:p>
            <w:pPr>
              <w:autoSpaceDE w:val="0"/>
              <w:autoSpaceDN w:val="0"/>
              <w:adjustRightInd w:val="0"/>
              <w:ind w:firstLine="297"/>
              <w:outlineLvl w:val="9"/>
              <w:rPr>
                <w:rFonts w:ascii="宋体" w:hAnsi="宋体"/>
                <w:kern w:val="0"/>
                <w:sz w:val="18"/>
                <w:szCs w:val="18"/>
              </w:rPr>
            </w:pPr>
            <w:r>
              <w:rPr>
                <w:rFonts w:hint="eastAsia" w:ascii="宋体" w:hAnsi="宋体" w:cs="宋体"/>
                <w:kern w:val="0"/>
                <w:sz w:val="18"/>
                <w:szCs w:val="18"/>
              </w:rPr>
              <w:t>(含电车电缆)</w:t>
            </w:r>
          </w:p>
        </w:tc>
        <w:tc>
          <w:tcPr>
            <w:tcW w:w="1625" w:type="dxa"/>
            <w:vAlign w:val="center"/>
          </w:tcPr>
          <w:p>
            <w:pPr>
              <w:autoSpaceDE w:val="0"/>
              <w:autoSpaceDN w:val="0"/>
              <w:adjustRightInd w:val="0"/>
              <w:ind w:firstLine="384"/>
              <w:outlineLvl w:val="9"/>
              <w:rPr>
                <w:rFonts w:ascii="宋体" w:hAnsi="宋体"/>
                <w:kern w:val="0"/>
                <w:sz w:val="18"/>
                <w:szCs w:val="18"/>
              </w:rPr>
            </w:pPr>
            <w:r>
              <w:rPr>
                <w:rFonts w:hint="eastAsia" w:ascii="宋体" w:hAnsi="宋体" w:cs="宋体"/>
                <w:kern w:val="0"/>
                <w:sz w:val="18"/>
                <w:szCs w:val="18"/>
              </w:rPr>
              <w:t>在导管内</w:t>
            </w:r>
          </w:p>
        </w:tc>
        <w:tc>
          <w:tcPr>
            <w:tcW w:w="1134" w:type="dxa"/>
            <w:vAlign w:val="center"/>
          </w:tcPr>
          <w:p>
            <w:pPr>
              <w:autoSpaceDE w:val="0"/>
              <w:autoSpaceDN w:val="0"/>
              <w:adjustRightInd w:val="0"/>
              <w:ind w:firstLine="464"/>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0" w:hRule="exact"/>
        </w:trPr>
        <w:tc>
          <w:tcPr>
            <w:tcW w:w="1596" w:type="dxa"/>
            <w:vMerge w:val="restart"/>
            <w:vAlign w:val="center"/>
          </w:tcPr>
          <w:p>
            <w:pPr>
              <w:autoSpaceDE w:val="0"/>
              <w:autoSpaceDN w:val="0"/>
              <w:adjustRightInd w:val="0"/>
              <w:ind w:firstLine="389"/>
              <w:outlineLvl w:val="9"/>
              <w:rPr>
                <w:rFonts w:ascii="宋体" w:hAnsi="宋体"/>
                <w:kern w:val="0"/>
                <w:sz w:val="18"/>
                <w:szCs w:val="18"/>
              </w:rPr>
            </w:pPr>
            <w:r>
              <w:rPr>
                <w:rFonts w:hint="eastAsia" w:ascii="宋体" w:hAnsi="宋体" w:cs="宋体"/>
                <w:kern w:val="0"/>
                <w:sz w:val="18"/>
                <w:szCs w:val="18"/>
              </w:rPr>
              <w:t>通信电缆</w:t>
            </w:r>
          </w:p>
        </w:tc>
        <w:tc>
          <w:tcPr>
            <w:tcW w:w="1625" w:type="dxa"/>
            <w:vAlign w:val="center"/>
          </w:tcPr>
          <w:p>
            <w:pPr>
              <w:autoSpaceDE w:val="0"/>
              <w:autoSpaceDN w:val="0"/>
              <w:adjustRightInd w:val="0"/>
              <w:ind w:firstLine="533"/>
              <w:outlineLvl w:val="9"/>
              <w:rPr>
                <w:rFonts w:ascii="宋体" w:hAnsi="宋体"/>
                <w:kern w:val="0"/>
                <w:sz w:val="18"/>
                <w:szCs w:val="18"/>
              </w:rPr>
            </w:pPr>
            <w:r>
              <w:rPr>
                <w:rFonts w:hint="eastAsia" w:ascii="宋体" w:hAnsi="宋体" w:cs="宋体"/>
                <w:kern w:val="0"/>
                <w:sz w:val="18"/>
                <w:szCs w:val="18"/>
              </w:rPr>
              <w:t>直埋</w:t>
            </w:r>
          </w:p>
        </w:tc>
        <w:tc>
          <w:tcPr>
            <w:tcW w:w="1134"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33"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0.5</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407"/>
              <w:outlineLvl w:val="9"/>
              <w:rPr>
                <w:rFonts w:ascii="宋体" w:hAnsi="宋体"/>
                <w:kern w:val="0"/>
                <w:sz w:val="18"/>
                <w:szCs w:val="18"/>
              </w:rPr>
            </w:pPr>
            <w:r>
              <w:rPr>
                <w:rFonts w:hint="eastAsia" w:ascii="宋体" w:hAnsi="宋体"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3" w:hRule="exact"/>
        </w:trPr>
        <w:tc>
          <w:tcPr>
            <w:tcW w:w="1596" w:type="dxa"/>
            <w:vMerge w:val="continue"/>
            <w:vAlign w:val="center"/>
          </w:tcPr>
          <w:p>
            <w:pPr>
              <w:autoSpaceDE w:val="0"/>
              <w:autoSpaceDN w:val="0"/>
              <w:adjustRightInd w:val="0"/>
              <w:ind w:firstLine="449"/>
              <w:outlineLvl w:val="9"/>
              <w:rPr>
                <w:rFonts w:ascii="宋体" w:hAnsi="宋体"/>
                <w:kern w:val="0"/>
                <w:sz w:val="18"/>
                <w:szCs w:val="18"/>
              </w:rPr>
            </w:pPr>
          </w:p>
        </w:tc>
        <w:tc>
          <w:tcPr>
            <w:tcW w:w="1625" w:type="dxa"/>
            <w:vAlign w:val="center"/>
          </w:tcPr>
          <w:p>
            <w:pPr>
              <w:autoSpaceDE w:val="0"/>
              <w:autoSpaceDN w:val="0"/>
              <w:adjustRightInd w:val="0"/>
              <w:ind w:firstLine="384"/>
              <w:outlineLvl w:val="9"/>
              <w:rPr>
                <w:rFonts w:ascii="宋体" w:hAnsi="宋体"/>
                <w:kern w:val="0"/>
                <w:sz w:val="18"/>
                <w:szCs w:val="18"/>
              </w:rPr>
            </w:pPr>
            <w:r>
              <w:rPr>
                <w:rFonts w:hint="eastAsia" w:ascii="宋体" w:hAnsi="宋体" w:cs="宋体"/>
                <w:kern w:val="0"/>
                <w:sz w:val="18"/>
                <w:szCs w:val="18"/>
              </w:rPr>
              <w:t>在导管内</w:t>
            </w:r>
          </w:p>
        </w:tc>
        <w:tc>
          <w:tcPr>
            <w:tcW w:w="1134"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464"/>
              <w:outlineLvl w:val="9"/>
              <w:rPr>
                <w:rFonts w:ascii="宋体" w:hAnsi="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389"/>
              <w:outlineLvl w:val="9"/>
              <w:rPr>
                <w:rFonts w:ascii="宋体" w:hAnsi="宋体"/>
                <w:kern w:val="0"/>
                <w:sz w:val="18"/>
                <w:szCs w:val="18"/>
              </w:rPr>
            </w:pPr>
            <w:r>
              <w:rPr>
                <w:rFonts w:hint="eastAsia" w:ascii="宋体" w:hAnsi="宋体" w:cs="宋体"/>
                <w:kern w:val="0"/>
                <w:sz w:val="18"/>
                <w:szCs w:val="18"/>
              </w:rPr>
              <w:t>1.0</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3" w:hRule="exact"/>
        </w:trPr>
        <w:tc>
          <w:tcPr>
            <w:tcW w:w="1596" w:type="dxa"/>
            <w:vMerge w:val="restart"/>
            <w:vAlign w:val="center"/>
          </w:tcPr>
          <w:p>
            <w:pPr>
              <w:autoSpaceDE w:val="0"/>
              <w:autoSpaceDN w:val="0"/>
              <w:adjustRightInd w:val="0"/>
              <w:ind w:firstLine="245"/>
              <w:outlineLvl w:val="9"/>
              <w:rPr>
                <w:rFonts w:ascii="宋体" w:hAnsi="宋体"/>
                <w:kern w:val="0"/>
                <w:sz w:val="18"/>
                <w:szCs w:val="18"/>
              </w:rPr>
            </w:pPr>
            <w:r>
              <w:rPr>
                <w:rFonts w:hint="eastAsia" w:ascii="宋体" w:hAnsi="宋体" w:cs="宋体"/>
                <w:kern w:val="0"/>
                <w:sz w:val="18"/>
                <w:szCs w:val="18"/>
              </w:rPr>
              <w:t>其他燃气管道</w:t>
            </w:r>
          </w:p>
        </w:tc>
        <w:tc>
          <w:tcPr>
            <w:tcW w:w="1625" w:type="dxa"/>
            <w:vAlign w:val="center"/>
          </w:tcPr>
          <w:p>
            <w:pPr>
              <w:autoSpaceDE w:val="0"/>
              <w:autoSpaceDN w:val="0"/>
              <w:adjustRightInd w:val="0"/>
              <w:ind w:firstLine="362"/>
              <w:outlineLvl w:val="9"/>
              <w:rPr>
                <w:rFonts w:ascii="宋体" w:hAnsi="宋体"/>
                <w:kern w:val="0"/>
                <w:sz w:val="18"/>
                <w:szCs w:val="18"/>
              </w:rPr>
            </w:pPr>
            <w:r>
              <w:rPr>
                <w:rFonts w:hint="eastAsia" w:ascii="宋体" w:hAnsi="宋体" w:cs="宋体"/>
                <w:kern w:val="0"/>
                <w:sz w:val="18"/>
                <w:szCs w:val="18"/>
              </w:rPr>
              <w:t>DN≤300m</w:t>
            </w:r>
          </w:p>
        </w:tc>
        <w:tc>
          <w:tcPr>
            <w:tcW w:w="1134"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0.4</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0.4</w:t>
            </w:r>
          </w:p>
        </w:tc>
        <w:tc>
          <w:tcPr>
            <w:tcW w:w="1133"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0.4</w:t>
            </w:r>
          </w:p>
        </w:tc>
        <w:tc>
          <w:tcPr>
            <w:tcW w:w="1146" w:type="dxa"/>
            <w:vAlign w:val="center"/>
          </w:tcPr>
          <w:p>
            <w:pPr>
              <w:autoSpaceDE w:val="0"/>
              <w:autoSpaceDN w:val="0"/>
              <w:adjustRightInd w:val="0"/>
              <w:ind w:firstLine="394"/>
              <w:outlineLvl w:val="9"/>
              <w:rPr>
                <w:rFonts w:ascii="宋体" w:hAnsi="宋体"/>
                <w:kern w:val="0"/>
                <w:sz w:val="18"/>
                <w:szCs w:val="18"/>
              </w:rPr>
            </w:pPr>
            <w:r>
              <w:rPr>
                <w:rFonts w:hint="eastAsia" w:ascii="宋体" w:hAnsi="宋体" w:cs="宋体"/>
                <w:kern w:val="0"/>
                <w:sz w:val="18"/>
                <w:szCs w:val="18"/>
              </w:rPr>
              <w:t>0.4</w:t>
            </w:r>
          </w:p>
        </w:tc>
        <w:tc>
          <w:tcPr>
            <w:tcW w:w="1179"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1" w:hRule="exact"/>
        </w:trPr>
        <w:tc>
          <w:tcPr>
            <w:tcW w:w="1596" w:type="dxa"/>
            <w:vMerge w:val="continue"/>
            <w:vAlign w:val="center"/>
          </w:tcPr>
          <w:p>
            <w:pPr>
              <w:autoSpaceDE w:val="0"/>
              <w:autoSpaceDN w:val="0"/>
              <w:adjustRightInd w:val="0"/>
              <w:ind w:firstLine="305"/>
              <w:outlineLvl w:val="9"/>
              <w:rPr>
                <w:rFonts w:ascii="宋体" w:hAnsi="宋体"/>
                <w:kern w:val="0"/>
                <w:sz w:val="18"/>
                <w:szCs w:val="18"/>
              </w:rPr>
            </w:pPr>
          </w:p>
        </w:tc>
        <w:tc>
          <w:tcPr>
            <w:tcW w:w="1625" w:type="dxa"/>
            <w:vAlign w:val="center"/>
          </w:tcPr>
          <w:p>
            <w:pPr>
              <w:autoSpaceDE w:val="0"/>
              <w:autoSpaceDN w:val="0"/>
              <w:adjustRightInd w:val="0"/>
              <w:ind w:firstLine="304"/>
              <w:outlineLvl w:val="9"/>
              <w:rPr>
                <w:rFonts w:ascii="宋体" w:hAnsi="宋体"/>
                <w:kern w:val="0"/>
                <w:sz w:val="18"/>
                <w:szCs w:val="18"/>
              </w:rPr>
            </w:pPr>
            <w:r>
              <w:rPr>
                <w:rFonts w:hint="eastAsia" w:ascii="宋体" w:hAnsi="宋体" w:cs="宋体"/>
                <w:kern w:val="0"/>
                <w:sz w:val="18"/>
                <w:szCs w:val="18"/>
              </w:rPr>
              <w:t>DN&gt; 300mm</w:t>
            </w:r>
          </w:p>
        </w:tc>
        <w:tc>
          <w:tcPr>
            <w:tcW w:w="1134"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33"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0.5</w:t>
            </w:r>
          </w:p>
        </w:tc>
        <w:tc>
          <w:tcPr>
            <w:tcW w:w="1146"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c>
          <w:tcPr>
            <w:tcW w:w="1179"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1" w:hRule="exact"/>
        </w:trPr>
        <w:tc>
          <w:tcPr>
            <w:tcW w:w="1596" w:type="dxa"/>
            <w:vMerge w:val="restart"/>
            <w:vAlign w:val="center"/>
          </w:tcPr>
          <w:p>
            <w:pPr>
              <w:autoSpaceDE w:val="0"/>
              <w:autoSpaceDN w:val="0"/>
              <w:adjustRightInd w:val="0"/>
              <w:ind w:firstLine="470"/>
              <w:outlineLvl w:val="9"/>
              <w:rPr>
                <w:rFonts w:ascii="宋体" w:hAnsi="宋体"/>
                <w:kern w:val="0"/>
                <w:sz w:val="18"/>
                <w:szCs w:val="18"/>
              </w:rPr>
            </w:pPr>
            <w:r>
              <w:rPr>
                <w:rFonts w:hint="eastAsia" w:ascii="宋体" w:hAnsi="宋体" w:cs="宋体"/>
                <w:kern w:val="0"/>
                <w:sz w:val="18"/>
                <w:szCs w:val="18"/>
              </w:rPr>
              <w:t>热力管</w:t>
            </w:r>
          </w:p>
        </w:tc>
        <w:tc>
          <w:tcPr>
            <w:tcW w:w="1625" w:type="dxa"/>
            <w:vAlign w:val="center"/>
          </w:tcPr>
          <w:p>
            <w:pPr>
              <w:autoSpaceDE w:val="0"/>
              <w:autoSpaceDN w:val="0"/>
              <w:adjustRightInd w:val="0"/>
              <w:ind w:firstLine="533"/>
              <w:outlineLvl w:val="9"/>
              <w:rPr>
                <w:rFonts w:ascii="宋体" w:hAnsi="宋体"/>
                <w:kern w:val="0"/>
                <w:sz w:val="18"/>
                <w:szCs w:val="18"/>
              </w:rPr>
            </w:pPr>
            <w:r>
              <w:rPr>
                <w:rFonts w:hint="eastAsia" w:ascii="宋体" w:hAnsi="宋体" w:cs="宋体"/>
                <w:kern w:val="0"/>
                <w:sz w:val="18"/>
                <w:szCs w:val="18"/>
              </w:rPr>
              <w:t>直埋</w:t>
            </w:r>
          </w:p>
        </w:tc>
        <w:tc>
          <w:tcPr>
            <w:tcW w:w="1134" w:type="dxa"/>
            <w:vAlign w:val="center"/>
          </w:tcPr>
          <w:p>
            <w:pPr>
              <w:autoSpaceDE w:val="0"/>
              <w:autoSpaceDN w:val="0"/>
              <w:adjustRightInd w:val="0"/>
              <w:ind w:firstLine="401"/>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464"/>
              <w:outlineLvl w:val="9"/>
              <w:rPr>
                <w:rFonts w:ascii="宋体" w:hAnsi="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386"/>
              <w:outlineLvl w:val="9"/>
              <w:rPr>
                <w:rFonts w:ascii="宋体" w:hAnsi="宋体"/>
                <w:kern w:val="0"/>
                <w:sz w:val="18"/>
                <w:szCs w:val="18"/>
              </w:rPr>
            </w:pPr>
            <w:r>
              <w:rPr>
                <w:rFonts w:hint="eastAsia" w:ascii="宋体" w:hAnsi="宋体" w:cs="宋体"/>
                <w:kern w:val="0"/>
                <w:sz w:val="18"/>
                <w:szCs w:val="18"/>
              </w:rPr>
              <w:t>1.0</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1.5</w:t>
            </w:r>
          </w:p>
        </w:tc>
        <w:tc>
          <w:tcPr>
            <w:tcW w:w="1179"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3" w:hRule="exact"/>
        </w:trPr>
        <w:tc>
          <w:tcPr>
            <w:tcW w:w="1596" w:type="dxa"/>
            <w:vMerge w:val="continue"/>
            <w:vAlign w:val="center"/>
          </w:tcPr>
          <w:p>
            <w:pPr>
              <w:autoSpaceDE w:val="0"/>
              <w:autoSpaceDN w:val="0"/>
              <w:adjustRightInd w:val="0"/>
              <w:ind w:firstLine="530"/>
              <w:outlineLvl w:val="9"/>
              <w:rPr>
                <w:rFonts w:ascii="宋体" w:hAnsi="宋体"/>
                <w:kern w:val="0"/>
                <w:sz w:val="18"/>
                <w:szCs w:val="18"/>
              </w:rPr>
            </w:pPr>
          </w:p>
        </w:tc>
        <w:tc>
          <w:tcPr>
            <w:tcW w:w="1625" w:type="dxa"/>
            <w:vAlign w:val="center"/>
          </w:tcPr>
          <w:p>
            <w:pPr>
              <w:autoSpaceDE w:val="0"/>
              <w:autoSpaceDN w:val="0"/>
              <w:adjustRightInd w:val="0"/>
              <w:ind w:firstLine="44"/>
              <w:outlineLvl w:val="9"/>
              <w:rPr>
                <w:rFonts w:ascii="宋体" w:hAnsi="宋体"/>
                <w:kern w:val="0"/>
                <w:sz w:val="18"/>
                <w:szCs w:val="18"/>
              </w:rPr>
            </w:pPr>
            <w:r>
              <w:rPr>
                <w:rFonts w:hint="eastAsia" w:ascii="宋体" w:hAnsi="宋体" w:cs="宋体"/>
                <w:kern w:val="0"/>
                <w:sz w:val="18"/>
                <w:szCs w:val="18"/>
              </w:rPr>
              <w:t>在管沟内(至外璧)</w:t>
            </w:r>
          </w:p>
        </w:tc>
        <w:tc>
          <w:tcPr>
            <w:tcW w:w="1134" w:type="dxa"/>
            <w:vAlign w:val="center"/>
          </w:tcPr>
          <w:p>
            <w:pPr>
              <w:autoSpaceDE w:val="0"/>
              <w:autoSpaceDN w:val="0"/>
              <w:adjustRightInd w:val="0"/>
              <w:ind w:firstLine="392"/>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389"/>
              <w:outlineLvl w:val="9"/>
              <w:rPr>
                <w:rFonts w:ascii="宋体" w:hAnsi="宋体"/>
                <w:kern w:val="0"/>
                <w:sz w:val="18"/>
                <w:szCs w:val="18"/>
              </w:rPr>
            </w:pPr>
            <w:r>
              <w:rPr>
                <w:rFonts w:hint="eastAsia" w:ascii="宋体" w:hAnsi="宋体" w:cs="宋体"/>
                <w:kern w:val="0"/>
                <w:sz w:val="18"/>
                <w:szCs w:val="18"/>
              </w:rPr>
              <w:t>1.5</w:t>
            </w:r>
          </w:p>
        </w:tc>
        <w:tc>
          <w:tcPr>
            <w:tcW w:w="1133" w:type="dxa"/>
            <w:vAlign w:val="center"/>
          </w:tcPr>
          <w:p>
            <w:pPr>
              <w:autoSpaceDE w:val="0"/>
              <w:autoSpaceDN w:val="0"/>
              <w:adjustRightInd w:val="0"/>
              <w:ind w:firstLine="384"/>
              <w:outlineLvl w:val="9"/>
              <w:rPr>
                <w:rFonts w:ascii="宋体" w:hAnsi="宋体"/>
                <w:kern w:val="0"/>
                <w:sz w:val="18"/>
                <w:szCs w:val="18"/>
              </w:rPr>
            </w:pPr>
            <w:r>
              <w:rPr>
                <w:rFonts w:hint="eastAsia" w:ascii="宋体" w:hAnsi="宋体" w:cs="宋体"/>
                <w:kern w:val="0"/>
                <w:sz w:val="18"/>
                <w:szCs w:val="18"/>
              </w:rPr>
              <w:t>1.5</w:t>
            </w:r>
          </w:p>
        </w:tc>
        <w:tc>
          <w:tcPr>
            <w:tcW w:w="1146" w:type="dxa"/>
            <w:vAlign w:val="center"/>
          </w:tcPr>
          <w:p>
            <w:pPr>
              <w:autoSpaceDE w:val="0"/>
              <w:autoSpaceDN w:val="0"/>
              <w:adjustRightInd w:val="0"/>
              <w:ind w:firstLine="386"/>
              <w:outlineLvl w:val="9"/>
              <w:rPr>
                <w:rFonts w:ascii="宋体" w:hAnsi="宋体"/>
                <w:kern w:val="0"/>
                <w:sz w:val="18"/>
                <w:szCs w:val="18"/>
              </w:rPr>
            </w:pPr>
            <w:r>
              <w:rPr>
                <w:rFonts w:hint="eastAsia" w:ascii="宋体" w:hAnsi="宋体" w:cs="宋体"/>
                <w:kern w:val="0"/>
                <w:sz w:val="18"/>
                <w:szCs w:val="18"/>
              </w:rPr>
              <w:t>2.0</w:t>
            </w:r>
          </w:p>
        </w:tc>
        <w:tc>
          <w:tcPr>
            <w:tcW w:w="1179"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8" w:hRule="exact"/>
        </w:trPr>
        <w:tc>
          <w:tcPr>
            <w:tcW w:w="1596" w:type="dxa"/>
            <w:vMerge w:val="restart"/>
            <w:vAlign w:val="center"/>
          </w:tcPr>
          <w:p>
            <w:pPr>
              <w:autoSpaceDE w:val="0"/>
              <w:autoSpaceDN w:val="0"/>
              <w:adjustRightInd w:val="0"/>
              <w:ind w:firstLine="90" w:firstLineChars="50"/>
              <w:outlineLvl w:val="9"/>
              <w:rPr>
                <w:rFonts w:ascii="宋体" w:hAnsi="宋体"/>
                <w:kern w:val="0"/>
                <w:sz w:val="18"/>
                <w:szCs w:val="18"/>
              </w:rPr>
            </w:pPr>
            <w:r>
              <w:rPr>
                <w:rFonts w:hint="eastAsia" w:ascii="宋体" w:hAnsi="宋体" w:cs="宋体"/>
                <w:kern w:val="0"/>
                <w:sz w:val="18"/>
                <w:szCs w:val="18"/>
              </w:rPr>
              <w:t>电杆(塔)的基础</w:t>
            </w:r>
          </w:p>
        </w:tc>
        <w:tc>
          <w:tcPr>
            <w:tcW w:w="1625" w:type="dxa"/>
            <w:vAlign w:val="center"/>
          </w:tcPr>
          <w:p>
            <w:pPr>
              <w:autoSpaceDE w:val="0"/>
              <w:autoSpaceDN w:val="0"/>
              <w:adjustRightInd w:val="0"/>
              <w:ind w:firstLine="441"/>
              <w:outlineLvl w:val="9"/>
              <w:rPr>
                <w:rFonts w:ascii="宋体" w:hAnsi="宋体"/>
                <w:kern w:val="0"/>
                <w:sz w:val="18"/>
                <w:szCs w:val="18"/>
              </w:rPr>
            </w:pPr>
            <w:r>
              <w:rPr>
                <w:rFonts w:hint="eastAsia" w:ascii="宋体" w:hAnsi="宋体" w:cs="宋体"/>
                <w:kern w:val="0"/>
                <w:sz w:val="18"/>
                <w:szCs w:val="18"/>
              </w:rPr>
              <w:t>≤35kV</w:t>
            </w:r>
          </w:p>
        </w:tc>
        <w:tc>
          <w:tcPr>
            <w:tcW w:w="1134"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459"/>
              <w:outlineLvl w:val="9"/>
              <w:rPr>
                <w:rFonts w:ascii="宋体" w:hAnsi="宋体"/>
                <w:kern w:val="0"/>
                <w:sz w:val="18"/>
                <w:szCs w:val="18"/>
              </w:rPr>
            </w:pPr>
            <w:r>
              <w:rPr>
                <w:rFonts w:hint="eastAsia" w:ascii="宋体" w:hAnsi="宋体" w:cs="宋体"/>
                <w:kern w:val="0"/>
                <w:sz w:val="18"/>
                <w:szCs w:val="18"/>
              </w:rPr>
              <w:t>1.0</w:t>
            </w:r>
          </w:p>
        </w:tc>
        <w:tc>
          <w:tcPr>
            <w:tcW w:w="1146" w:type="dxa"/>
            <w:vAlign w:val="center"/>
          </w:tcPr>
          <w:p>
            <w:pPr>
              <w:autoSpaceDE w:val="0"/>
              <w:autoSpaceDN w:val="0"/>
              <w:adjustRightInd w:val="0"/>
              <w:ind w:firstLine="395"/>
              <w:outlineLvl w:val="9"/>
              <w:rPr>
                <w:rFonts w:ascii="宋体" w:hAnsi="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392"/>
              <w:outlineLvl w:val="9"/>
              <w:rPr>
                <w:rFonts w:ascii="宋体" w:hAnsi="宋体"/>
                <w:kern w:val="0"/>
                <w:sz w:val="18"/>
                <w:szCs w:val="18"/>
              </w:rPr>
            </w:pPr>
            <w:r>
              <w:rPr>
                <w:rFonts w:hint="eastAsia" w:ascii="宋体" w:hAnsi="宋体"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exact"/>
        </w:trPr>
        <w:tc>
          <w:tcPr>
            <w:tcW w:w="1596" w:type="dxa"/>
            <w:vMerge w:val="continue"/>
            <w:vAlign w:val="center"/>
          </w:tcPr>
          <w:p>
            <w:pPr>
              <w:autoSpaceDE w:val="0"/>
              <w:autoSpaceDN w:val="0"/>
              <w:adjustRightInd w:val="0"/>
              <w:ind w:firstLine="173"/>
              <w:outlineLvl w:val="9"/>
              <w:rPr>
                <w:rFonts w:ascii="宋体" w:hAnsi="宋体"/>
                <w:kern w:val="0"/>
                <w:sz w:val="18"/>
                <w:szCs w:val="18"/>
              </w:rPr>
            </w:pPr>
          </w:p>
        </w:tc>
        <w:tc>
          <w:tcPr>
            <w:tcW w:w="1625" w:type="dxa"/>
            <w:vAlign w:val="center"/>
          </w:tcPr>
          <w:p>
            <w:pPr>
              <w:autoSpaceDE w:val="0"/>
              <w:autoSpaceDN w:val="0"/>
              <w:adjustRightInd w:val="0"/>
              <w:ind w:firstLine="471"/>
              <w:outlineLvl w:val="9"/>
              <w:rPr>
                <w:rFonts w:ascii="宋体" w:hAnsi="宋体"/>
                <w:kern w:val="0"/>
                <w:sz w:val="18"/>
                <w:szCs w:val="18"/>
              </w:rPr>
            </w:pPr>
            <w:r>
              <w:rPr>
                <w:rFonts w:hint="eastAsia" w:ascii="宋体" w:hAnsi="宋体" w:cs="宋体"/>
                <w:kern w:val="0"/>
                <w:sz w:val="18"/>
                <w:szCs w:val="18"/>
              </w:rPr>
              <w:t>&gt;35kV</w:t>
            </w:r>
          </w:p>
        </w:tc>
        <w:tc>
          <w:tcPr>
            <w:tcW w:w="1134" w:type="dxa"/>
            <w:vAlign w:val="center"/>
          </w:tcPr>
          <w:p>
            <w:pPr>
              <w:autoSpaceDE w:val="0"/>
              <w:autoSpaceDN w:val="0"/>
              <w:adjustRightInd w:val="0"/>
              <w:ind w:firstLine="385"/>
              <w:outlineLvl w:val="9"/>
              <w:rPr>
                <w:rFonts w:ascii="宋体" w:hAnsi="宋体"/>
                <w:kern w:val="0"/>
                <w:sz w:val="18"/>
                <w:szCs w:val="18"/>
              </w:rPr>
            </w:pPr>
            <w:r>
              <w:rPr>
                <w:rFonts w:hint="eastAsia" w:ascii="宋体" w:hAnsi="宋体" w:cs="宋体"/>
                <w:kern w:val="0"/>
                <w:sz w:val="18"/>
                <w:szCs w:val="18"/>
              </w:rPr>
              <w:t>2.0</w:t>
            </w:r>
          </w:p>
        </w:tc>
        <w:tc>
          <w:tcPr>
            <w:tcW w:w="1147"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2.0</w:t>
            </w:r>
          </w:p>
        </w:tc>
        <w:tc>
          <w:tcPr>
            <w:tcW w:w="1133" w:type="dxa"/>
            <w:vAlign w:val="center"/>
          </w:tcPr>
          <w:p>
            <w:pPr>
              <w:autoSpaceDE w:val="0"/>
              <w:autoSpaceDN w:val="0"/>
              <w:adjustRightInd w:val="0"/>
              <w:ind w:firstLine="379"/>
              <w:outlineLvl w:val="9"/>
              <w:rPr>
                <w:rFonts w:ascii="宋体" w:hAnsi="宋体"/>
                <w:kern w:val="0"/>
                <w:sz w:val="18"/>
                <w:szCs w:val="18"/>
              </w:rPr>
            </w:pPr>
            <w:r>
              <w:rPr>
                <w:rFonts w:hint="eastAsia" w:ascii="宋体" w:hAnsi="宋体" w:cs="宋体"/>
                <w:kern w:val="0"/>
                <w:sz w:val="18"/>
                <w:szCs w:val="18"/>
              </w:rPr>
              <w:t>2.0</w:t>
            </w:r>
          </w:p>
        </w:tc>
        <w:tc>
          <w:tcPr>
            <w:tcW w:w="1146"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5.0</w:t>
            </w:r>
          </w:p>
        </w:tc>
        <w:tc>
          <w:tcPr>
            <w:tcW w:w="1179" w:type="dxa"/>
            <w:vAlign w:val="center"/>
          </w:tcPr>
          <w:p>
            <w:pPr>
              <w:autoSpaceDE w:val="0"/>
              <w:autoSpaceDN w:val="0"/>
              <w:adjustRightInd w:val="0"/>
              <w:ind w:firstLine="373"/>
              <w:outlineLvl w:val="9"/>
              <w:rPr>
                <w:rFonts w:ascii="宋体" w:hAnsi="宋体"/>
                <w:kern w:val="0"/>
                <w:sz w:val="18"/>
                <w:szCs w:val="18"/>
              </w:rPr>
            </w:pPr>
            <w:r>
              <w:rPr>
                <w:rFonts w:hint="eastAsia" w:ascii="宋体" w:hAnsi="宋体" w:cs="宋体"/>
                <w:kern w:val="0"/>
                <w:sz w:val="18"/>
                <w:szCs w:val="18"/>
              </w:rPr>
              <w:t xml:space="preserve">5.0 </w:t>
            </w:r>
            <w:r>
              <w:rPr>
                <w:rFonts w:hint="eastAsia" w:ascii="宋体" w:hAnsi="宋体" w:cs="宋体"/>
                <w:kern w:val="0"/>
                <w:sz w:val="18"/>
                <w:szCs w:val="18"/>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7" w:hRule="exact"/>
        </w:trPr>
        <w:tc>
          <w:tcPr>
            <w:tcW w:w="3221" w:type="dxa"/>
            <w:gridSpan w:val="2"/>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通信照明电杆(至电杆中心)</w:t>
            </w:r>
          </w:p>
        </w:tc>
        <w:tc>
          <w:tcPr>
            <w:tcW w:w="1134"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1.0</w:t>
            </w:r>
          </w:p>
        </w:tc>
        <w:tc>
          <w:tcPr>
            <w:tcW w:w="1147"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1.0</w:t>
            </w:r>
          </w:p>
        </w:tc>
        <w:tc>
          <w:tcPr>
            <w:tcW w:w="1133"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1.0</w:t>
            </w:r>
          </w:p>
        </w:tc>
        <w:tc>
          <w:tcPr>
            <w:tcW w:w="1146"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1.0</w:t>
            </w:r>
          </w:p>
        </w:tc>
        <w:tc>
          <w:tcPr>
            <w:tcW w:w="1179"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9" w:hRule="exact"/>
        </w:trPr>
        <w:tc>
          <w:tcPr>
            <w:tcW w:w="3221" w:type="dxa"/>
            <w:gridSpan w:val="2"/>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铁路路堤坡脚</w:t>
            </w:r>
          </w:p>
        </w:tc>
        <w:tc>
          <w:tcPr>
            <w:tcW w:w="1134"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5.0</w:t>
            </w:r>
          </w:p>
        </w:tc>
        <w:tc>
          <w:tcPr>
            <w:tcW w:w="1147"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5.0</w:t>
            </w:r>
          </w:p>
        </w:tc>
        <w:tc>
          <w:tcPr>
            <w:tcW w:w="1133"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5.0</w:t>
            </w:r>
          </w:p>
        </w:tc>
        <w:tc>
          <w:tcPr>
            <w:tcW w:w="1146"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5.0</w:t>
            </w:r>
          </w:p>
        </w:tc>
        <w:tc>
          <w:tcPr>
            <w:tcW w:w="1179"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21" w:type="dxa"/>
            <w:gridSpan w:val="2"/>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有轨电车钢轨</w:t>
            </w:r>
          </w:p>
        </w:tc>
        <w:tc>
          <w:tcPr>
            <w:tcW w:w="1134"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2.0</w:t>
            </w:r>
          </w:p>
        </w:tc>
        <w:tc>
          <w:tcPr>
            <w:tcW w:w="1147"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2.0</w:t>
            </w:r>
          </w:p>
        </w:tc>
        <w:tc>
          <w:tcPr>
            <w:tcW w:w="1133"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2.0</w:t>
            </w:r>
          </w:p>
        </w:tc>
        <w:tc>
          <w:tcPr>
            <w:tcW w:w="1146"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2.0</w:t>
            </w:r>
          </w:p>
        </w:tc>
        <w:tc>
          <w:tcPr>
            <w:tcW w:w="1179"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5" w:hRule="exact"/>
        </w:trPr>
        <w:tc>
          <w:tcPr>
            <w:tcW w:w="3221" w:type="dxa"/>
            <w:gridSpan w:val="2"/>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街树(至树中心)</w:t>
            </w:r>
          </w:p>
        </w:tc>
        <w:tc>
          <w:tcPr>
            <w:tcW w:w="1134"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0.75</w:t>
            </w:r>
          </w:p>
        </w:tc>
        <w:tc>
          <w:tcPr>
            <w:tcW w:w="1147"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0. 75</w:t>
            </w:r>
          </w:p>
        </w:tc>
        <w:tc>
          <w:tcPr>
            <w:tcW w:w="1133"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0.75</w:t>
            </w:r>
          </w:p>
        </w:tc>
        <w:tc>
          <w:tcPr>
            <w:tcW w:w="1146"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1.2</w:t>
            </w:r>
          </w:p>
        </w:tc>
        <w:tc>
          <w:tcPr>
            <w:tcW w:w="1179" w:type="dxa"/>
            <w:vAlign w:val="center"/>
          </w:tcPr>
          <w:p>
            <w:pPr>
              <w:autoSpaceDE w:val="0"/>
              <w:autoSpaceDN w:val="0"/>
              <w:adjustRightInd w:val="0"/>
              <w:ind w:firstLine="245"/>
              <w:jc w:val="center"/>
              <w:outlineLvl w:val="9"/>
              <w:rPr>
                <w:rFonts w:ascii="宋体" w:hAnsi="宋体" w:cs="宋体"/>
                <w:kern w:val="0"/>
                <w:sz w:val="18"/>
                <w:szCs w:val="18"/>
              </w:rPr>
            </w:pPr>
            <w:r>
              <w:rPr>
                <w:rFonts w:hint="eastAsia" w:ascii="宋体" w:hAnsi="宋体" w:cs="宋体"/>
                <w:kern w:val="0"/>
                <w:sz w:val="18"/>
                <w:szCs w:val="18"/>
              </w:rPr>
              <w:t>1.2</w:t>
            </w:r>
            <w:r>
              <w:rPr>
                <w:rFonts w:hint="eastAsia" w:ascii="宋体" w:hAnsi="宋体" w:cs="宋体"/>
                <w:kern w:val="0"/>
                <w:sz w:val="18"/>
                <w:szCs w:val="18"/>
              </w:rPr>
              <w:cr/>
            </w:r>
          </w:p>
        </w:tc>
      </w:tr>
    </w:tbl>
    <w:p>
      <w:pPr>
        <w:pStyle w:val="119"/>
        <w:jc w:val="center"/>
        <w:outlineLvl w:val="9"/>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21"/>
          <w:szCs w:val="21"/>
        </w:rPr>
        <w:t>表5-2 地下燃气管道与建筑物、构筑物或相邻管道之间的水平净距</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注：1.燃气管道与建筑物、构筑物设置安全净距的目的是为了防止燃气管道泄漏时，泄漏天然气窜入建筑物内，引发中毒事故或形成密闭空间引起燃烧、爆炸等事故；</w:t>
      </w:r>
    </w:p>
    <w:p>
      <w:pPr>
        <w:pStyle w:val="119"/>
        <w:keepNext w:val="0"/>
        <w:keepLines w:val="0"/>
        <w:pageBreakBefore w:val="0"/>
        <w:widowControl w:val="0"/>
        <w:numPr>
          <w:ilvl w:val="0"/>
          <w:numId w:val="12"/>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燃气管道与相邻雨污水等管道设置安全净距的目的是为了防止燃气管道泄漏时，泄漏天然气窜入相邻管道内，沿着管道向其他部位扩散而引发事故；</w:t>
      </w:r>
    </w:p>
    <w:p>
      <w:pPr>
        <w:pStyle w:val="119"/>
        <w:keepNext w:val="0"/>
        <w:keepLines w:val="0"/>
        <w:pageBreakBefore w:val="0"/>
        <w:widowControl w:val="0"/>
        <w:numPr>
          <w:ilvl w:val="0"/>
          <w:numId w:val="12"/>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道与电力电缆及通讯电缆设置安全净距的目的是为了防止燃气管道泄漏时，因电力电缆和通讯电缆产生的电火花引起燃烧、爆炸等事故。尤其注意通信电缆敷设在套管内的安全净距要求比直埋敷设要求更高，原因是通信电缆套管更容易形成密闭空间，且天然气更容易沿套管扩散至其他位置，安全隐患更大；</w:t>
      </w:r>
    </w:p>
    <w:p>
      <w:pPr>
        <w:pStyle w:val="119"/>
        <w:keepNext w:val="0"/>
        <w:keepLines w:val="0"/>
        <w:pageBreakBefore w:val="0"/>
        <w:widowControl w:val="0"/>
        <w:numPr>
          <w:ilvl w:val="0"/>
          <w:numId w:val="12"/>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电力电缆井及通信电缆井的净距要求参照电力电缆和通信电缆在套管内敷设的情况执行；</w:t>
      </w:r>
    </w:p>
    <w:p>
      <w:pPr>
        <w:pStyle w:val="119"/>
        <w:keepNext w:val="0"/>
        <w:keepLines w:val="0"/>
        <w:pageBreakBefore w:val="0"/>
        <w:widowControl w:val="0"/>
        <w:numPr>
          <w:ilvl w:val="0"/>
          <w:numId w:val="12"/>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化粪池、雨污水井的安全净距要求参照污水、雨水排水管净距要求执行。化粪池由于其特别密闭，容易形成沼气等可燃气体，故安全净距高于污水管净距，为1.5米</w:t>
      </w:r>
    </w:p>
    <w:p>
      <w:pPr>
        <w:pStyle w:val="119"/>
        <w:keepNext w:val="0"/>
        <w:keepLines w:val="0"/>
        <w:pageBreakBefore w:val="0"/>
        <w:widowControl w:val="0"/>
        <w:numPr>
          <w:ilvl w:val="0"/>
          <w:numId w:val="12"/>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埋地烟道与燃气管道净距参照热力管道中管沟外壁间距执行（1.5米），主要因为烟气排放过程含有大量热量可能通过传热破坏管道的防腐层或融化PE管，同时管道泄漏后可能通过烟道外壁的缝隙进入室内。</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燃气管网巡线工应明确燃气管道安装的安全距离。当发现有第三方施工単位在燃气管道附近有施工时, 可告知对方施工时应注意其工程与燃气管道的安全距离,以防由于第三方施工而造成燃气管道与后建的构筑物、各类型管线、绿化等工程的安全净距不足而产生安全隐患。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如遇到现场无法满足安全净距的情况，应根据现场情况，要求施工方对采取保护措施。常见安全措施有，对燃气管道修建管涵，或修建挡土墙（混凝土浇筑），加设套管（PE、钢套管）将燃气管道与相邻管道及井进行隔断。</w:t>
      </w:r>
    </w:p>
    <w:tbl>
      <w:tblPr>
        <w:tblStyle w:val="51"/>
        <w:tblpPr w:leftFromText="2206" w:rightFromText="24791" w:topFromText="63" w:vertAnchor="text" w:horzAnchor="margin" w:tblpY="167"/>
        <w:tblW w:w="82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49"/>
        <w:gridCol w:w="1515"/>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1" w:hRule="exact"/>
        </w:trPr>
        <w:tc>
          <w:tcPr>
            <w:tcW w:w="4464" w:type="dxa"/>
            <w:gridSpan w:val="2"/>
            <w:vAlign w:val="center"/>
          </w:tcPr>
          <w:p>
            <w:pPr>
              <w:pStyle w:val="119"/>
              <w:spacing w:before="50" w:line="140" w:lineRule="exact"/>
              <w:ind w:firstLine="1927"/>
              <w:outlineLvl w:val="9"/>
              <w:rPr>
                <w:rFonts w:cs="Times New Roman"/>
                <w:sz w:val="18"/>
                <w:szCs w:val="18"/>
              </w:rPr>
            </w:pPr>
            <w:r>
              <w:rPr>
                <w:rFonts w:hint="eastAsia"/>
                <w:sz w:val="18"/>
                <w:szCs w:val="18"/>
              </w:rPr>
              <w:t>项   目</w:t>
            </w:r>
          </w:p>
        </w:tc>
        <w:tc>
          <w:tcPr>
            <w:tcW w:w="3802" w:type="dxa"/>
            <w:vAlign w:val="center"/>
          </w:tcPr>
          <w:p>
            <w:pPr>
              <w:pStyle w:val="119"/>
              <w:spacing w:before="56" w:line="140" w:lineRule="exact"/>
              <w:ind w:firstLine="504"/>
              <w:outlineLvl w:val="9"/>
              <w:rPr>
                <w:rFonts w:cs="Times New Roman"/>
                <w:sz w:val="18"/>
                <w:szCs w:val="18"/>
              </w:rPr>
            </w:pPr>
            <w:r>
              <w:rPr>
                <w:rFonts w:hint="eastAsia"/>
                <w:sz w:val="18"/>
                <w:szCs w:val="18"/>
              </w:rPr>
              <w:t>地下燃气管道(当有套管时,以套管计)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exact"/>
        </w:trPr>
        <w:tc>
          <w:tcPr>
            <w:tcW w:w="4464" w:type="dxa"/>
            <w:gridSpan w:val="2"/>
            <w:vAlign w:val="center"/>
          </w:tcPr>
          <w:p>
            <w:pPr>
              <w:pStyle w:val="119"/>
              <w:spacing w:before="58" w:line="144" w:lineRule="exact"/>
              <w:ind w:firstLine="1115"/>
              <w:outlineLvl w:val="9"/>
              <w:rPr>
                <w:rFonts w:cs="Times New Roman"/>
                <w:sz w:val="18"/>
                <w:szCs w:val="18"/>
              </w:rPr>
            </w:pPr>
            <w:r>
              <w:rPr>
                <w:rFonts w:hint="eastAsia"/>
                <w:sz w:val="18"/>
                <w:szCs w:val="18"/>
              </w:rPr>
              <w:t>给水管、排水管或其他燃气管道</w:t>
            </w:r>
          </w:p>
        </w:tc>
        <w:tc>
          <w:tcPr>
            <w:tcW w:w="3802" w:type="dxa"/>
            <w:vAlign w:val="center"/>
          </w:tcPr>
          <w:p>
            <w:pPr>
              <w:pStyle w:val="119"/>
              <w:spacing w:before="41" w:line="138" w:lineRule="exact"/>
              <w:ind w:firstLine="1710"/>
              <w:outlineLvl w:val="9"/>
              <w:rPr>
                <w:rFonts w:cs="Times New Roman"/>
                <w:sz w:val="18"/>
                <w:szCs w:val="18"/>
              </w:rPr>
            </w:pPr>
            <w:r>
              <w:rPr>
                <w:rFonts w:hint="eastAsia"/>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trPr>
        <w:tc>
          <w:tcPr>
            <w:tcW w:w="4464" w:type="dxa"/>
            <w:gridSpan w:val="2"/>
            <w:vAlign w:val="center"/>
          </w:tcPr>
          <w:p>
            <w:pPr>
              <w:pStyle w:val="119"/>
              <w:spacing w:before="58" w:line="138" w:lineRule="exact"/>
              <w:ind w:firstLine="1075"/>
              <w:outlineLvl w:val="9"/>
              <w:rPr>
                <w:rFonts w:cs="Times New Roman"/>
                <w:sz w:val="18"/>
                <w:szCs w:val="18"/>
              </w:rPr>
            </w:pPr>
            <w:r>
              <w:rPr>
                <w:rFonts w:hint="eastAsia"/>
                <w:sz w:val="18"/>
                <w:szCs w:val="18"/>
              </w:rPr>
              <w:t>热力管、热力管的管沟底(或顶).</w:t>
            </w:r>
          </w:p>
        </w:tc>
        <w:tc>
          <w:tcPr>
            <w:tcW w:w="3802" w:type="dxa"/>
            <w:vAlign w:val="center"/>
          </w:tcPr>
          <w:p>
            <w:pPr>
              <w:pStyle w:val="119"/>
              <w:spacing w:before="37" w:line="142" w:lineRule="exact"/>
              <w:ind w:firstLine="1710"/>
              <w:outlineLvl w:val="9"/>
              <w:rPr>
                <w:rFonts w:cs="Times New Roman"/>
                <w:sz w:val="18"/>
                <w:szCs w:val="18"/>
              </w:rPr>
            </w:pPr>
            <w:r>
              <w:rPr>
                <w:rFonts w:hint="eastAsia"/>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exact"/>
        </w:trPr>
        <w:tc>
          <w:tcPr>
            <w:tcW w:w="2949" w:type="dxa"/>
            <w:vMerge w:val="restart"/>
            <w:vAlign w:val="center"/>
          </w:tcPr>
          <w:p>
            <w:pPr>
              <w:pStyle w:val="119"/>
              <w:spacing w:before="207" w:line="144" w:lineRule="exact"/>
              <w:ind w:firstLine="1305"/>
              <w:outlineLvl w:val="9"/>
              <w:rPr>
                <w:rFonts w:cs="Times New Roman"/>
                <w:sz w:val="18"/>
                <w:szCs w:val="18"/>
              </w:rPr>
            </w:pPr>
            <w:r>
              <w:rPr>
                <w:rFonts w:hint="eastAsia"/>
                <w:sz w:val="18"/>
                <w:szCs w:val="18"/>
              </w:rPr>
              <w:t>电缆</w:t>
            </w:r>
          </w:p>
        </w:tc>
        <w:tc>
          <w:tcPr>
            <w:tcW w:w="1515" w:type="dxa"/>
            <w:vAlign w:val="center"/>
          </w:tcPr>
          <w:p>
            <w:pPr>
              <w:pStyle w:val="119"/>
              <w:spacing w:before="56" w:line="140" w:lineRule="exact"/>
              <w:ind w:firstLine="458"/>
              <w:outlineLvl w:val="9"/>
              <w:rPr>
                <w:rFonts w:cs="Times New Roman"/>
                <w:sz w:val="18"/>
                <w:szCs w:val="18"/>
              </w:rPr>
            </w:pPr>
            <w:r>
              <w:rPr>
                <w:rFonts w:hint="eastAsia"/>
                <w:sz w:val="18"/>
                <w:szCs w:val="18"/>
              </w:rPr>
              <w:t>直埋</w:t>
            </w:r>
          </w:p>
        </w:tc>
        <w:tc>
          <w:tcPr>
            <w:tcW w:w="3802" w:type="dxa"/>
            <w:vAlign w:val="center"/>
          </w:tcPr>
          <w:p>
            <w:pPr>
              <w:pStyle w:val="119"/>
              <w:spacing w:before="45" w:line="134" w:lineRule="exact"/>
              <w:ind w:firstLine="1704"/>
              <w:outlineLvl w:val="9"/>
              <w:rPr>
                <w:rFonts w:cs="Times New Roman"/>
                <w:sz w:val="18"/>
                <w:szCs w:val="18"/>
              </w:rPr>
            </w:pPr>
            <w:r>
              <w:rPr>
                <w:rFonts w:hint="eastAsia"/>
                <w:sz w:val="18"/>
                <w:szCs w:val="18"/>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1" w:hRule="exact"/>
        </w:trPr>
        <w:tc>
          <w:tcPr>
            <w:tcW w:w="2949" w:type="dxa"/>
            <w:vMerge w:val="continue"/>
            <w:vAlign w:val="center"/>
          </w:tcPr>
          <w:p>
            <w:pPr>
              <w:pStyle w:val="119"/>
              <w:spacing w:before="207" w:line="144" w:lineRule="exact"/>
              <w:ind w:firstLine="1331"/>
              <w:jc w:val="center"/>
              <w:outlineLvl w:val="9"/>
              <w:rPr>
                <w:rFonts w:cs="Times New Roman"/>
                <w:sz w:val="18"/>
                <w:szCs w:val="18"/>
              </w:rPr>
            </w:pPr>
          </w:p>
        </w:tc>
        <w:tc>
          <w:tcPr>
            <w:tcW w:w="1515" w:type="dxa"/>
            <w:vAlign w:val="center"/>
          </w:tcPr>
          <w:p>
            <w:pPr>
              <w:pStyle w:val="119"/>
              <w:spacing w:before="62" w:line="140" w:lineRule="exact"/>
              <w:ind w:firstLine="389"/>
              <w:outlineLvl w:val="9"/>
              <w:rPr>
                <w:rFonts w:cs="Times New Roman"/>
                <w:sz w:val="18"/>
                <w:szCs w:val="18"/>
              </w:rPr>
            </w:pPr>
            <w:r>
              <w:rPr>
                <w:rFonts w:hint="eastAsia"/>
                <w:sz w:val="18"/>
                <w:szCs w:val="18"/>
              </w:rPr>
              <w:t>在导管内</w:t>
            </w:r>
          </w:p>
        </w:tc>
        <w:tc>
          <w:tcPr>
            <w:tcW w:w="3802" w:type="dxa"/>
            <w:vAlign w:val="center"/>
          </w:tcPr>
          <w:p>
            <w:pPr>
              <w:pStyle w:val="119"/>
              <w:spacing w:before="35" w:line="144" w:lineRule="exact"/>
              <w:ind w:firstLine="1704"/>
              <w:outlineLvl w:val="9"/>
              <w:rPr>
                <w:rFonts w:cs="Times New Roman"/>
                <w:sz w:val="18"/>
                <w:szCs w:val="18"/>
              </w:rPr>
            </w:pPr>
            <w:r>
              <w:rPr>
                <w:rFonts w:hint="eastAsia"/>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exact"/>
        </w:trPr>
        <w:tc>
          <w:tcPr>
            <w:tcW w:w="2949" w:type="dxa"/>
            <w:vAlign w:val="center"/>
          </w:tcPr>
          <w:p>
            <w:pPr>
              <w:pStyle w:val="119"/>
              <w:spacing w:before="56" w:line="146" w:lineRule="exact"/>
              <w:ind w:firstLine="1259"/>
              <w:outlineLvl w:val="9"/>
              <w:rPr>
                <w:rFonts w:cs="Times New Roman"/>
                <w:sz w:val="18"/>
                <w:szCs w:val="18"/>
              </w:rPr>
            </w:pPr>
            <w:r>
              <w:rPr>
                <w:rFonts w:hint="eastAsia"/>
                <w:sz w:val="18"/>
                <w:szCs w:val="18"/>
              </w:rPr>
              <w:t>铁路</w:t>
            </w:r>
          </w:p>
        </w:tc>
        <w:tc>
          <w:tcPr>
            <w:tcW w:w="1515" w:type="dxa"/>
            <w:vAlign w:val="center"/>
          </w:tcPr>
          <w:p>
            <w:pPr>
              <w:pStyle w:val="119"/>
              <w:spacing w:before="58" w:line="144" w:lineRule="exact"/>
              <w:ind w:firstLine="533"/>
              <w:outlineLvl w:val="9"/>
              <w:rPr>
                <w:rFonts w:cs="Times New Roman"/>
                <w:sz w:val="18"/>
                <w:szCs w:val="18"/>
              </w:rPr>
            </w:pPr>
            <w:r>
              <w:rPr>
                <w:rFonts w:hint="eastAsia"/>
                <w:sz w:val="18"/>
                <w:szCs w:val="18"/>
              </w:rPr>
              <w:t>轨底</w:t>
            </w:r>
          </w:p>
        </w:tc>
        <w:tc>
          <w:tcPr>
            <w:tcW w:w="3802" w:type="dxa"/>
            <w:vAlign w:val="center"/>
          </w:tcPr>
          <w:p>
            <w:pPr>
              <w:pStyle w:val="119"/>
              <w:spacing w:before="46" w:line="138" w:lineRule="exact"/>
              <w:ind w:firstLine="1726"/>
              <w:outlineLvl w:val="9"/>
              <w:rPr>
                <w:rFonts w:cs="Times New Roman"/>
                <w:sz w:val="18"/>
                <w:szCs w:val="18"/>
              </w:rPr>
            </w:pPr>
            <w:r>
              <w:rPr>
                <w:rFonts w:hint="eastAsia"/>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7" w:hRule="exact"/>
        </w:trPr>
        <w:tc>
          <w:tcPr>
            <w:tcW w:w="4464" w:type="dxa"/>
            <w:gridSpan w:val="2"/>
            <w:vAlign w:val="center"/>
          </w:tcPr>
          <w:p>
            <w:pPr>
              <w:pStyle w:val="119"/>
              <w:spacing w:before="54" w:line="136" w:lineRule="exact"/>
              <w:ind w:firstLine="1599"/>
              <w:outlineLvl w:val="9"/>
              <w:rPr>
                <w:rFonts w:cs="Times New Roman"/>
                <w:sz w:val="18"/>
                <w:szCs w:val="18"/>
              </w:rPr>
            </w:pPr>
            <w:r>
              <w:rPr>
                <w:rFonts w:hint="eastAsia"/>
                <w:sz w:val="18"/>
                <w:szCs w:val="18"/>
              </w:rPr>
              <w:t>有轨电车(轨底)</w:t>
            </w:r>
          </w:p>
        </w:tc>
        <w:tc>
          <w:tcPr>
            <w:tcW w:w="3802" w:type="dxa"/>
            <w:vAlign w:val="center"/>
          </w:tcPr>
          <w:p>
            <w:pPr>
              <w:pStyle w:val="119"/>
              <w:spacing w:before="37" w:line="136" w:lineRule="exact"/>
              <w:ind w:firstLine="1720"/>
              <w:outlineLvl w:val="9"/>
              <w:rPr>
                <w:rFonts w:cs="Times New Roman"/>
                <w:sz w:val="18"/>
                <w:szCs w:val="18"/>
              </w:rPr>
            </w:pPr>
            <w:r>
              <w:rPr>
                <w:rFonts w:hint="eastAsia"/>
                <w:sz w:val="18"/>
                <w:szCs w:val="18"/>
              </w:rPr>
              <w:t>1.00</w:t>
            </w:r>
            <w:r>
              <w:rPr>
                <w:rFonts w:hint="eastAsia"/>
                <w:sz w:val="18"/>
                <w:szCs w:val="18"/>
              </w:rPr>
              <w:cr/>
            </w:r>
          </w:p>
        </w:tc>
      </w:tr>
    </w:tbl>
    <w:p>
      <w:pPr>
        <w:pStyle w:val="119"/>
        <w:jc w:val="center"/>
        <w:outlineLvl w:val="9"/>
        <w:rPr>
          <w:rFonts w:hint="eastAsia" w:ascii="方正仿宋简体" w:hAnsi="方正仿宋简体" w:eastAsia="方正仿宋简体" w:cs="方正仿宋简体"/>
          <w:bCs/>
          <w:sz w:val="21"/>
          <w:szCs w:val="21"/>
        </w:rPr>
      </w:pPr>
      <w:r>
        <w:rPr>
          <w:rFonts w:hint="eastAsia" w:ascii="方正仿宋简体" w:hAnsi="方正仿宋简体" w:eastAsia="方正仿宋简体" w:cs="方正仿宋简体"/>
          <w:bCs/>
          <w:sz w:val="21"/>
          <w:szCs w:val="21"/>
        </w:rPr>
        <w:t>表5-3 地下燃气管道与建筑物、构筑物或相邻管道之间的垂直净距</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地下燃气管道与建筑物、构筑物或相邻管道之间的垂直净距要求是指在交叉情况下的垂直净距。尤其注意电缆在套管内敷设时，垂直净距要求比直埋时低，原因是考虑到检修过程中触电的风险在套管内时比直埋时低。</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3.钢质燃气管线埋深要求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地下燃气管道埋设的最小覆土厚度</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路面至管顶</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应符合下列要求</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埋设在车行道下时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不得小于</w:t>
      </w:r>
      <w:r>
        <w:rPr>
          <w:rFonts w:ascii="方正仿宋简体" w:hAnsi="方正仿宋简体" w:eastAsia="方正仿宋简体" w:cs="方正仿宋简体"/>
          <w:bCs/>
          <w:sz w:val="28"/>
          <w:szCs w:val="28"/>
        </w:rPr>
        <w:t xml:space="preserve">0.9m;                               </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2</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埋设在非车行道</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含人行道</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下时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不得小于0.6</w:t>
      </w:r>
      <w:r>
        <w:rPr>
          <w:rFonts w:ascii="方正仿宋简体" w:hAnsi="方正仿宋简体" w:eastAsia="方正仿宋简体" w:cs="方正仿宋简体"/>
          <w:bCs/>
          <w:sz w:val="28"/>
          <w:szCs w:val="28"/>
        </w:rPr>
        <w:t>m;</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3</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埋设在机动率不可能到达的地方时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不得小于0.3</w:t>
      </w:r>
      <w:r>
        <w:rPr>
          <w:rFonts w:ascii="方正仿宋简体" w:hAnsi="方正仿宋简体" w:eastAsia="方正仿宋简体" w:cs="方正仿宋简体"/>
          <w:bCs/>
          <w:sz w:val="28"/>
          <w:szCs w:val="28"/>
        </w:rPr>
        <w:t>m;</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4</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埋设在水回下时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不得小于0.8</w:t>
      </w:r>
      <w:r>
        <w:rPr>
          <w:rFonts w:ascii="方正仿宋简体" w:hAnsi="方正仿宋简体" w:eastAsia="方正仿宋简体" w:cs="方正仿宋简体"/>
          <w:bCs/>
          <w:sz w:val="28"/>
          <w:szCs w:val="28"/>
        </w:rPr>
        <w:t>m</w:t>
      </w:r>
      <w:r>
        <w:rPr>
          <w:rFonts w:hint="eastAsia"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4.PE燃气管道埋深要求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埋设在车行道时，应采取外加套管或管涵等保护措施，且管顶距地面高度还应满足：主干道不应小于1.2m，支线不应小于1.0m;</w:t>
      </w:r>
      <w:r>
        <w:rPr>
          <w:rFonts w:ascii="方正仿宋简体" w:hAnsi="方正仿宋简体" w:eastAsia="方正仿宋简体" w:cs="方正仿宋简体"/>
          <w:bCs/>
          <w:sz w:val="28"/>
          <w:szCs w:val="28"/>
        </w:rPr>
        <w:t xml:space="preserve">                               </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2</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sz w:val="28"/>
          <w:szCs w:val="28"/>
        </w:rPr>
        <w:t>埋设在非车行道（含人行道）下时，不应小于0.9m；当不能满足时，应采取套管或管涵保护措施</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3</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sz w:val="28"/>
          <w:szCs w:val="28"/>
        </w:rPr>
        <w:t>埋设在庭院（指绿化地及汽车不可能到达的地方），不应小于0.5m；当不能满足时，应增加保护盖板或套管</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4</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埋设在水田下时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不得小于0.8</w:t>
      </w:r>
      <w:r>
        <w:rPr>
          <w:rFonts w:ascii="方正仿宋简体" w:hAnsi="方正仿宋简体" w:eastAsia="方正仿宋简体" w:cs="方正仿宋简体"/>
          <w:bCs/>
          <w:sz w:val="28"/>
          <w:szCs w:val="28"/>
        </w:rPr>
        <w:t>m</w:t>
      </w:r>
      <w:r>
        <w:rPr>
          <w:rFonts w:hint="eastAsia"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注：当埋设深度不够时，可以增加管道壁厚，增设套管等保护措施。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cs="Times New Roman"/>
          <w:sz w:val="28"/>
          <w:szCs w:val="28"/>
        </w:rPr>
      </w:pPr>
      <w:r>
        <w:rPr>
          <w:rFonts w:hint="eastAsia" w:ascii="方正仿宋简体" w:hAnsi="方正仿宋简体" w:eastAsia="方正仿宋简体" w:cs="方正仿宋简体"/>
          <w:bCs/>
          <w:sz w:val="28"/>
          <w:szCs w:val="28"/>
        </w:rPr>
        <w:t>5.城市燃气管道巡护要求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管线巡护要求：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（1）管线是否存在露管（抗SUV防腐管除外）；</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3层PE防腐管线和PE管中聚乙烯成分受到紫外线照射会分解，导致防腐层或PE管加速老化。</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（2）管线周边环境是否存在明显地形地貌变化；</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外观的地形地貌变化将导致埋地管道受到来至于轴向的拉应力，最终导致管道失效。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（3）管线两侧是否存在钻探、挖掘及爆破作业；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外力直接破坏管道防腐层或管道本体，导致管道直接失效或延迟失效。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（4）管线两侧是否存在取土或推土作业；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堆土和取土作业都将导致地质地貌发生变化引起管道失效。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（5）管线附近植物是否存在枯萎现象；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管线附近植物枯萎是由于管道内天然气在土壤缝隙扩散时带走局部土壤内的大量水分，植物因无水分补充导致死亡、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（6）管线附近如：窨井、排水沟、地缝等是否存在燃气泄漏现象；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因燃气在窨井、排水沟、地缝等部位容易聚集，便于开展浓度检测，同时在密闭环境内的燃气更容易发生爆炸的风险。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（7）管道上方是否存在搭设建构筑物；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管道上方搭设建筑物导致管道失效容易形成密闭空间，管道上方的构筑物不但影响管道检维修，而且可能导致地质沉降。</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（8）管线附近是否堆积易燃、发生燃烧或倾倒易腐蚀物质；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管道周边发生燃烧时，土壤被加热会直接融化管道防腐层或直接融化PE管。腐蚀性物质沿土壤渗透会腐蚀管道。</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（9）管道附近是否存在其他公用管道施工；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导致燃气管道和公用管道、检查井的净距不足或被直接圈闭在密闭空间。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燃气阀井巡护要求：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（1）燃气阀井是否被掩埋；</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导致燃气阀井无法正常进行维护保养，加快燃气阀井的老化速度；而且会导致阀井盖无法正常打开，影响阀井操作的速度，在应急抢修或正常的停气碰口作业时，会延长作业时间。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（2）燃气阀井上方是否停放车辆或其他不能移动的物体遮盖；</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导致阀井盖无法正常打开，在应急抢修或正常的停气碰口作业时，会延长作业时间。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（3）燃气阀井是否存在可燃气体泄漏；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阀井内属于较为封闭的环境，燃气容易聚集，便于开展浓度检测，同时在密闭环境内的燃气更容易发生爆炸的风险。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（4）阀井盖、阀井圈、阀井壁是否完好；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阀井盖、阀井圈破损容易导致地上的杂质、积水渗透到阀井内，造成阀井积水，阀井壁破坏，不仅容易造成地下水渗入，而且可能造成沼气等可燃气体通过土壤间隙传递，造成阀井内可燃气体聚集，容易发生爆炸的风险。阀井盖、圈变形也可能导致阀井盖不能有效打开。</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（5）阀井内部是否积水；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阀井内积水，会造成钢制阀门本体与水、空气等介质长期接触，造成阀门本体腐蚀加速，导致阀门的老化速度。而且会给阀门开关作业和维护保养带来不便。</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（6）阀井内是否存在易腐化的物质；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阀井内易腐化物质分解后产生甲烷，容易在阀井内聚集，同时引起阀井本体泄漏的误判，从而影响阀井的安全运行和正常维护保养。</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燃气调压设备巡护要求：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（1）调压设备遮雨棚是否完好；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雨棚破损，导致调压设备容易受到雨水冲刷，箱体腐蚀加速，从而使本体腐蚀加剧。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（2）调压设备箱体是否生锈腐蚀或损坏；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箱体破损，调压箱本体缺少有效保护，腐蚀加剧。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（3）调压设备各连接部件是否存在泄漏或锈蚀；</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连接部件泄漏说明生料带老化、法兰垫片老化等，会导致调压设备稳定性变差，连接部件锈蚀影响调压器的正常维护保养。</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（4）调压设备本体是否生锈；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调压箱本体生锈，导致调压设备本体腐蚀速度加剧。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（5）调压设备进、出管线是否出现倾斜、变形；</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导致调压箱进、出管线受到不均匀拉应力，应力集中在弯头等焊缝处，导致管线应力腐蚀加剧，容易失效。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（6）调压设备箱体目视化标识是否完整；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导致箱体的基本信息缺失，导致调压设备抗环境影响能力减弱。</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（7）调压设备巡检记录牌是否完整；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导致调压设备巡检信息丢失，影响调压设备的正常维护保养和巡线的实效管理。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（8）调压设备进、出管线是否锈蚀或泄漏。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可能串至附近建筑物、窨井内，在密闭空间内聚集天然气，有燃烧爆炸的风险。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燃气附属设备巡护要求：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（1）电位测试桩是否完好、被移动、测试桩上目视化标识字迹是否清晰；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电位测试桩被移动可能影响其与被保护管道的有效连接，影响电位检测。测试桩目视化字迹不清晰导致标识桩不可辨认，不利于阴极保护日常工作的开展。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（2）管线上方标识块、标识桩是否完好或被移动、标识字迹是否清晰；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导致巡线人员或第三方施工人员无法准确辨认管线的位置，提高第三方破坏的几率。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三方施工时容易形成误判导致管道被破坏。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（3）管线护坡、护坎、支撑、管卡是否完好；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导致管线受到土壤挤压而产生的不均匀应力或本体缺乏牢固的支撑，管线容易失效。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（4）设备及管线防雷接地设施是否完好；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导致设备和管线容易受到雷电袭击。</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（5）管道附属设备安全色是否清晰；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导致管线不容易被辨识，给后期维护、使用带来不便。</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numPr>
          <w:ilvl w:val="0"/>
          <w:numId w:val="13"/>
        </w:numPr>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 xml:space="preserve"> </w:t>
      </w:r>
      <w:bookmarkStart w:id="449" w:name="_Toc508015424"/>
      <w:bookmarkStart w:id="450" w:name="_Toc508012279"/>
      <w:bookmarkStart w:id="451" w:name="_Toc508016705"/>
      <w:bookmarkStart w:id="452" w:name="_Toc4536"/>
      <w:r>
        <w:rPr>
          <w:rFonts w:hint="eastAsia" w:ascii="方正黑体简体" w:hAnsi="方正黑体简体" w:eastAsia="方正黑体简体" w:cs="方正黑体简体"/>
          <w:b w:val="0"/>
          <w:bCs/>
          <w:sz w:val="30"/>
          <w:szCs w:val="30"/>
        </w:rPr>
        <w:t>第三方施工管理</w:t>
      </w:r>
      <w:bookmarkEnd w:id="449"/>
      <w:bookmarkEnd w:id="450"/>
      <w:bookmarkEnd w:id="451"/>
      <w:bookmarkEnd w:id="452"/>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一</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 w:val="0"/>
          <w:bCs w:val="0"/>
          <w:sz w:val="28"/>
          <w:szCs w:val="28"/>
        </w:rPr>
        <w:t xml:space="preserve">  三方施工现场风险分析及控制措施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（1）三方施工直接破坏管道</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val="0"/>
          <w:bCs w:val="0"/>
          <w:sz w:val="28"/>
          <w:szCs w:val="28"/>
        </w:rPr>
        <w:t>A</w:t>
      </w:r>
      <w:r>
        <w:rPr>
          <w:rFonts w:hint="eastAsia" w:ascii="方正仿宋简体" w:hAnsi="方正仿宋简体" w:eastAsia="方正仿宋简体" w:cs="方正仿宋简体"/>
          <w:b w:val="0"/>
          <w:bCs w:val="0"/>
          <w:sz w:val="28"/>
          <w:szCs w:val="28"/>
          <w:lang w:eastAsia="zh-CN"/>
        </w:rPr>
        <w:t>.</w:t>
      </w:r>
      <w:r>
        <w:rPr>
          <w:rFonts w:hint="eastAsia" w:ascii="方正仿宋简体" w:hAnsi="方正仿宋简体" w:eastAsia="方正仿宋简体" w:cs="方正仿宋简体"/>
          <w:b w:val="0"/>
          <w:bCs w:val="0"/>
          <w:sz w:val="28"/>
          <w:szCs w:val="28"/>
        </w:rPr>
        <w:t>损伤三层PE防腐层，导致管线回填后腐蚀加剧。</w:t>
      </w:r>
      <w:r>
        <w:rPr>
          <w:rFonts w:hint="eastAsia" w:ascii="方正仿宋简体" w:hAnsi="方正仿宋简体" w:eastAsia="方正仿宋简体" w:cs="方正仿宋简体"/>
          <w:bCs/>
          <w:sz w:val="28"/>
          <w:szCs w:val="28"/>
        </w:rPr>
        <w:t>损伤PE管管体，使管体回填后，容易老化，最终导致失效。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控制措施：要求第三方施工单位立即停止施工，燃气管网巡线员使用手持式可燃气体检测仪对裸露的燃气管道进行检测。同时报告公司热线，待维修人员现场处置之后才能恢复施工。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挖断或挖漏管线，导致管线立即失效。同时机械和管线接触，产生火星，发生燃烧事故。</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观察并判断工程施工中有无可能导致发生安全事故的野蛮施工行为。燃气管网巡线员发现第三方施工单位在燃气管道附近使用挖泥机进行开挖作业时,应立即上前阻止机械开挖施工。如第三施工单位不听劝阻继续野蛮施工,燃气管网巡线员应及时上报上级领导和公安机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C.三方非开挖施工作业破坏埋地管道导致直接失效或破坏管道防腐层。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第三方施工单位在燃气管道附近使用定向钻等非开挖方式进行施工作业时,应向第三方明确管线位置，和对方的施工轨迹，明确管线保护方案，如果不能明确，严禁第三方施工单位开工；如第三施工单位不听劝阻继续野蛮施工,燃气管网巡线员应及时上报上级领导和公安机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待第三方施工完毕后1小时内，巡线员应对附近窨井、地缝、下水道进行检查，确认管线无泄漏。并在施工完毕后1天内进行复核。</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D.三方施工在管线上方开展混凝土浇筑作业。混凝土凝固后会产生拉应力，作用在管线上，导致管线受力不均匀，接头处失效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控制措施：燃气管网巡线员发现在管线上方开展混凝土浇筑作业,应立即制止行为，如第三施工单位不听劝阻继续野蛮施工,燃气管网巡线员应及时上报上级领导和公安机关。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（2）三方施工将管道置于危险环境或场所</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A.破坏示踪警示带或现场标识块（桩），直接回填，导致后期无法找到管线准确位置。</w:t>
      </w:r>
    </w:p>
    <w:p>
      <w:pPr>
        <w:pStyle w:val="74"/>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当燃气管网巡线员发现设置的燃气管网警示标志、管道示踪标志被掩埋、损坏、遗失，应立即使用喷漆在该段燃气管道附近的墙壁、路面喷上警示标识，并联系第三方施工单位负责人，交代燃气管网的位置和燃气管网警示标志、管道示踪标志作用。请求第三方施工单位对燃气管网警示标志、管道示踪标志做好保护措施。在对损失情况作登记后通知土建人员或燃气管网巡线员次日重新安放警示标志。</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造成燃气管道裸露、悬空等现象。</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控制措施：观察有无燃气管道被第三方施工单位挖出造成裸露, 燃气管网巡线员应使用手持式可燃气体检测仪对裸露的燃气管道进行检测。确定燃气管道安全没受损泄漏后,管网巡线员应在裸露的燃气管道上张贴“小心,带气燃气管道”等带警示标语的警示贴纸。并要求第三方施工单位或通知抢维修部门尽快利用沙包掩理裸露的燃气管道进行临时性的保护。</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第三方施工单位在施工时将燃气管道下方开挖沟糟造成燃气管道悬空时,第三方施工单位应对燃气管道作出对应的保护措施。在燃气管道上方安放悬挂支撑燃气管道的工字钢,工字钢两端超工作坑边3m,以防止工作坑泥土坍塌造成支撑失效。对燃气管道悬挂支撑可使用尼龙吊带或钢丝全電，使用钢丝绳时应在钢丝绳与燃气管道接触处防止橡胶垫以加大钢丝绳的受力面积, 减少铜丝绳对燃气管道的损害防止钢丝绳对燃气管道造成二次伤害。在对燃气管道悬挂支撑时应每隔2米设置一个悬挂点,在管道接口处左右各0.6m处设置悬挂点以保证燃气管道的支撑，同时在悬空管道上应有限制其横向位移的措施。</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三方施工回填时，不能保证管体周围用细沙进行回填，管体上方分层进行夯实，导致管线周围土层水土流失后，管线上方土层沉降，导致管道受到不均匀应力，最终导致失效。或卵石等坚硬石块划伤防腐层，导致无缝钢管管体腐蚀加剧。</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控制措施：当第三方施工单位需要在燃气管道安全保护范围内进行深挖沟槽或基坑开挖时,施工单位应边施工边设置支护结构对深挖沟壁进行保护防止沟壁坍塌。</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第三方施工单位如将燃气管道挖出时,应避免管道长期暴露造成的对燃气管道受损,因此尽早按规定使用回填土或石粉将外露的燃气管及管沟回填,并对燃气管道进行适当的保护措施。</w:t>
      </w:r>
    </w:p>
    <w:p>
      <w:pPr>
        <w:pStyle w:val="74"/>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对管沟局部超开挖部分应回填夯实,回填时必须保证管道及管道接口、防腐层不受损伤。在管沟超开挖在0.15m以内可用原土回填夯实,其密度不应低于原地地基天然土的密实度;超挖在0.15m以上者,或当沟底有地下水,或沟底土层含水量较大时,应将沟内的积水排除并使用石粉处理,其密实度不应低于95%,以免形成夹水覆土产生“弹性土”。回填时应填实管底,再同时投填管道两内侧, 最后回填至原路面标高</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回填时应分层夯实,每层厚度为0.2~0.3m,管道两侧及管顶以上0.5m内必须人工夯实,超出管顶0.5m以上可使用小型机械夯实，对燃气警示带丢失或损坏的，应由施工方予以恢复。</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对道路进行临时性降土或永久性降土造成燃气管道埋深过浅。</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如发现第三方施工单位对道路进行降土导致燃气管道埋深过浅不符合规范要求时应要求第三方施工单位按《城镇燃气设计规范》构造管道混凝土燃气管槽对燃气管道进行保护。如降土只是临时性施工措施,第三方施工単位应设置沙包堆放在覆土过浅的燃气管道上方以作保护。</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E.三方施工将燃气管道圈闭到密闭空间内。导致钢质管线防腐层检测后无法修复，如果发生泄漏，气体聚集在密闭空间内，遇明火会发生爆炸。</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控制措施：燃气管网巡线员发现上述行为,应立即制止行为，如第三施工单位不听劝阻继续野蛮施工,燃气管网巡线员应及时上报上级领导和公安机关。</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F</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三方施工导致燃气管道与其建设的设施不能满足规范规定的安全净距要求。</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控制措施：燃气管网巡线员发现上述行为,应立即制止行为，如第三施工单位不听劝阻继续野蛮施工,燃气管网巡线员应及时上报上级领导和公安机关。</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（3）三方施工导致管道可能受到次生灾害的破坏</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在立交、公路的施工中经常遇到新建公路、匝道建筑在燃气管道上方,或绿化带、非机动车道改机动车道。而这些的燃气管线多按在绿化带下理深设计的,因此若不采取保护措施,燃气管道将无法承受机动车道上的载荷。</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保护措施：在燃气管道两端砌混凝土支墩, 在上方放置钢筋混凝土盖板, 管道两侧及上方用细土或河沙回填。</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在存有燃气管道的工作坑上方堆放石块。大型石块砸在管体上，导致管体受到应力，容易失效或破坏防腐层。</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当第三方施工单位开挖的工作坑中存有燃气管道时,工作坑左右两侧严禁堆放余泥石块、建筑用砖块、钢材等物晶。防止余泥石块、建筑用砖块、钢材等物品意外掉进工作坑造成工作坑内的燃气管道受损。</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三方施工在管线周边进行大规模取土、推土作业。导致周围地质变化，土层垮塌，管体受到拉应力，造成失效。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控制措施：燃气管网巡线员发现在管线周围20米范围内取土,应立即制止行为，如第三施工单位不听劝阻继续野蛮施工,燃气管网巡线员应及时上报上级领导和公安机关。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D.施工过程危及固定有管线、设备的墙体、桩、墩或保护性设施等的三方施工作业。导致固有管线、设备的墙体、桩、墩等设施垮塌，威胁管线安全。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控制措施：燃气管网巡线员发现在管线周围5米范围有上述行为,应立即制止行为，如第三施工单位不听劝阻继续野蛮施工, 燃气管网巡线员应及时上报上级领导和公安机关。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二</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三方施工信息采集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val="0"/>
          <w:bCs w:val="0"/>
          <w:sz w:val="28"/>
          <w:szCs w:val="28"/>
        </w:rPr>
        <w:t>采集方式：巡线过程观察、询问</w:t>
      </w:r>
      <w:r>
        <w:rPr>
          <w:rFonts w:hint="eastAsia" w:ascii="方正仿宋简体" w:hAnsi="方正仿宋简体" w:eastAsia="方正仿宋简体" w:cs="方正仿宋简体"/>
          <w:bCs/>
          <w:sz w:val="28"/>
          <w:szCs w:val="28"/>
        </w:rPr>
        <w:t>周边居民群众、管线沿途居民举报、与政府建设主管部门或其他公用企业定期沟通、小区物管主动报告、与城区主要建筑施工企业建立联系由其主动报告施工信息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三</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 xml:space="preserve"> 三方施工协调沟通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1.沟通步骤</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（1）巡线工发现第三方施工时，应向施工方了解工程概况、施工作业范围、施工作业时间、建设单位、施工单位等基础信息。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lang w:val="en-US" w:eastAsia="zh-CN"/>
        </w:rPr>
        <w:t>2</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将所了解到的施工信息，汇报给片长及巡线业务外包管理单位，同时巡线业务外包管理单位根据施工信息，对按照附表1的内容进行风险分级，制定相应的保护措施，并报公司从事巡线管理的技术干部通过。若涉及大型的三方施工保护方案，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分管领导进行确定。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（3）按照已确定的管道保护方案进行管道保护。同时和建设单位、施工单位、社区等做好沟通和联系。</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沟通技巧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（1）外沟通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A.沟通交流要点：出示工作证，标明身份——说明燃气事故的危害性、止施工行为——说明《天然气保护法》相关规定及中油南充燃气有限责任公司第三方施工破坏的处理方法。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例：“先生,您好。我是中油南充燃气有限责任公司的燃气管网巡线员,这是我的工作牌(出示工牌)。在这个开挖点下方埋设有地下中压燃气主管道，为避免管道受损造成大规模停气事故或爆炸造成人员财产损失,请立即停止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首先请建设方负责人安排人员和我单位共同制定相应的燃气管道要全施工方案后与我司签订《施工现场燃气管道设施保护协议》;然后根据安全施工方案做好施工安全技术交底,在安全保障措施真正落实后方可开始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在正式施工前请将施工范围、工期等事项事先通知我司,我司会及时安排人员来现场协助你们。中油南充燃气有限责任公司热线电话，286600。”</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B.沟通方法：“点对点”沟通法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（a）聊天法(一线作业人员)。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施工单位进场施工，现场作业人员多为南充周边乡镇进城务工人员。巡线人员可向现场作业人员建立良好合作关系，了解施工目的和进度。最重要的是在日后的施工中进度、具体方案等发生突然变更时,他们会第一时间通知巡线人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找领导(工程项目管理人员)。找到施工队长,再找建设单位、施工单位和监理单位的领导。主要是发送管道保护函、签订管网保护协议和了解工程总体规划、施工方案等。由于较高级别的领导很少在工地,实际施工进度、施工更多受现场工程师等可控制,因此要多与现场工程师和监理员接触,达到掌握更多信息的日的。</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（c）找保护措施。</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在签订保护协议后,根据其内容，监督施工单位落实保护措施,如施工中出现变化,及时找到现场工程师和监理员调整保护措施。</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（d）找机械。</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破坏管道大多数都是机械施工不慎造成的。巡线员巡查每个工地，清点现场的机械数量。机械减少了,要问清楚去干什么了?机械增加了,要问清楚来干什么?每次巡查工地时，主动和每台机械的操作员沟通,了解当天的工作内客,同时向他们宣传管网安全保护知识。</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（e）找维修班(工程部)。</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一般每个小区管理处却有维修班或工程部,此类部门负责小区的维修工作,关于小区巡查部分,巡线员可以和维修班班长加强沟通交流,一旦遇到小区施工可能危及到燃气管道,可及时得到信息,提早介入保护。</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（2）平行沟通</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第三方施工监护人员，可由片长调整。在人员调整时，燃气管网巡线员应相互交流沟通共同管辖的管网第三方施工的基本信息。并应记录在登记本上。使交接班的两位燃气管网巡线员都了解特殊情况管道的现有状况和注意事项。</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（3）上下级沟通</w:t>
      </w:r>
    </w:p>
    <w:p>
      <w:pPr>
        <w:pStyle w:val="119"/>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燃气管网巡线员应在发生特殊情况或有第三方单位在管网附近施工时应及时汇报班组长或管道管理技术人员,并提出需支援的问题和现场的情况。使班组长或管道管理技术人员作好应对的措施和人手的调配工作。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四</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三方施工现场目视化管理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（1）喷注红漆。红漆用于指明管线的具体走向和位置。</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（2）设置警示带。施工警示带用于标明施工作业的具体范围。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（3）增加地面标识。地面标识桩（块）用于提示管线的具体走向和位置。</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但随着施工深入，现场标识可能被破坏，巡线人员必须每日对施工现场的标识进行复核。同时向作业人员进行安全告知。当燃气管网巡线员发现设置的燃气管网警示标志、管道示踪标志被掩埋、损坏、遗失，应立即使用喷漆在该段燃气管道附近的墙壁、路面喷上警示标识，同时重新设置警示带。请求第三方施工单位对燃气管网警示标志、管道示踪标志做好保护措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巡线人员需对自己领用的警示带、地面标识做好记录，当数量不足时，可以向业务承揽单位领用。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开挖探坑。为更好的保护管道，防止因标识不准确等原因导致管道受到三方破坏，除上述措施外还应根据现场情况在变坡点、转角点、三通等重要部位开挖探坑，明确管线的实际埋设深度和走向，为防止管道遭到其他意外破坏时施工方掩埋探坑规避责任，还应在所有探坑部位留下影像资料存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五</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 w:val="0"/>
          <w:bCs w:val="0"/>
          <w:sz w:val="28"/>
          <w:szCs w:val="28"/>
        </w:rPr>
        <w:t xml:space="preserve">  三方施工现场监控管理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1.管理的基本要求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1.通过开挖连续探坑、检测等方式明确管线（探坑净距不得大约5米）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2.明确第三方的施工内容，作业时间、施工界面等管道监护要素。</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3.向施工方移交施工红线外10米范围内的管道分布图并签字。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4.公司相关人员与建设方、施工方共同制定管道保护性施工方案并签字认可。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5.巡线人员在现场喷注红漆、设置警示带、增加地面标识等方式对施工相关方进行安全告知，杜绝一切火种或人员靠近，监护至隐患消除为止。</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6.巡线人员在现场进行全程旁站监护施工方是否严格按照共同制定的管道保护性施工方案施工作业。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7.观察周围地理环境情况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燃气管道安全控制范围内是否出现土壤开裂、路面开裂、塌陷、塌方、滑坡等异常的现象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8.观察周围生态异常情况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A、燃气管道安全控制范围内是否堆积垃圾或重物的现象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B、燃气管道安全控制范围内是否有砌筑物的现象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C、周围植物是否有枯萎的异常现象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D、燃气管道附近的水坑、泥浆是否出现无故冒泡</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9.使用检测仪器检测管道是否失效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10.发现管道有任何异常情况，立即要求施工方停工。同时上报班组长，待隐患消除后，才能复工。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2.突发事件处理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（1）如果施工单位拒绝接受函件，留下对方拒绝接受函件的记录、录音等资料。应立即报告</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值班技术干部备案，同时加强现场监控，随时制止对方野蛮施工。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（2）施工单位野蛮施工，有危害管道安全的行为，巡线员可立即向</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值班技术干部报告，值班技术干部有权要求城监执法大队、社区、建设、安监局等部门的对口协调部门予以配合，稽查管理部门应按管道管理部门要求派遣稽查人员到达现场配合制止野蛮施工。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（3）施工单位已经造成第三方破坏的，巡线人员要在现场设置警示隔离带，同时疏散围观群众，拨打</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值班技术干部电话进行报告。当引起火灾时应第一时间拨打119火警电话，同时向</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值班技术干部报告，巡线人员在现场监护，直到维修人员到达现场。</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（4）施工方现场施工人对巡线人员有语言威胁、人身伤害等行为时立即拨打110报警电话。</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（5）巡线人员现场已经受到人身伤害时除拨打110报警电话外还应立即拨打120急救电话，并保留在医院就医的所有就医证明材料。</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六</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三方施工技术档案存档管理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（1）巡线日志。准确记录每天监护第三方施工的情况和处理情况。每月交巡线业务承揽单位，统一交管道管理部门统一存档。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（2）双方共同制定的《管道保护方案》。需双方签字认可，交巡线业务承揽单位，统一交</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统一存档。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（3）双方交涉时涉及的图片、录音、影像资料，交巡线业务承担单位，统一交</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（4）发放给各相关单位（建设单位、施工单位、政府职能单位）的及《天然气管道保护函》，安全告知书。统一交</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存档。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sz w:val="28"/>
          <w:szCs w:val="28"/>
        </w:rPr>
        <w:t>第二十</w:t>
      </w:r>
      <w:r>
        <w:rPr>
          <w:rFonts w:hint="eastAsia" w:ascii="方正仿宋简体" w:hAnsi="方正仿宋简体" w:eastAsia="方正仿宋简体" w:cs="方正仿宋简体"/>
          <w:b/>
          <w:sz w:val="28"/>
          <w:szCs w:val="28"/>
          <w:lang w:eastAsia="zh-CN"/>
        </w:rPr>
        <w:t>七</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 w:val="0"/>
          <w:bCs/>
          <w:sz w:val="28"/>
          <w:szCs w:val="28"/>
        </w:rPr>
        <w:t>索赔管理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现场出现施工挖伤、挖漏管线或者防腐层，应立即汇报公司调度室，调度室人员应立即派稽查人员现场进行处理。施工单位确认赔付后，稽查汇报调度室，调度室通知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值班领导安排管线恢复。</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稽查按照现场情况预计赔付金额，并出示收据。待天然气管线恢复供气后，计算具体金额，并通知施工方在客户中心缴纳。</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当施工方拒绝赔偿时，稽查部门申请城监执法大队进行强制执行。</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天然气管道的赔付标准：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（1）气损。气损按停气影响居民户数1方/户（此数据由客户中心提供）。影响主要天然气管线数量、时间（此数据由抢维修班组提供）。最终由生产技术办计量管理岗计算确定。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（2）人工费用。人工费用包括值班干部的工资，抢维修班组人员的工资，现场劳务工人的工资。</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正常工作日：应急值班工资应为正常工资。其中，值班干部可按350元/天，抢维修人员150元/天，焊工工资300元/天，管工160元/天，杂工120元/天。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夜间值班工资，应按照正常工作日工资的1.5倍计算。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周末白班工资，应按照正常工作日工资的2倍计算。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周末夜班工资，应按照正常工作日工资的3倍计算。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法定节假日白班工资，应按照正常工作日工资的3倍计算。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法定节假日夜班工资，应按照正常工作日工资的4.5倍计算。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抢维修班组提供现场人员清单。客户中心计算用工费用。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（3）材料费用。抢维修班组提供现场使用材料的具体数量和搬运费用。客户中心计算最终费用。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（4）其它费用。现场工器具、设备的消耗定额，车辆的消耗费用以及其它实际发生费用。由抢维修班组提供具体数量。客户中心计算最终费用。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sz w:val="30"/>
          <w:szCs w:val="30"/>
        </w:rPr>
      </w:pPr>
      <w:bookmarkStart w:id="453" w:name="_Toc508015425"/>
      <w:bookmarkStart w:id="454" w:name="_Toc508016706"/>
      <w:bookmarkStart w:id="455" w:name="_Toc508012280"/>
      <w:bookmarkStart w:id="456" w:name="_Toc15580"/>
      <w:r>
        <w:rPr>
          <w:rFonts w:hint="eastAsia" w:ascii="方正黑体简体" w:hAnsi="方正黑体简体" w:eastAsia="方正黑体简体" w:cs="方正黑体简体"/>
          <w:b w:val="0"/>
          <w:bCs/>
          <w:sz w:val="30"/>
          <w:szCs w:val="30"/>
        </w:rPr>
        <w:t>第七章  记录管理</w:t>
      </w:r>
      <w:bookmarkEnd w:id="453"/>
      <w:bookmarkEnd w:id="454"/>
      <w:bookmarkEnd w:id="455"/>
      <w:bookmarkEnd w:id="456"/>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八</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巡线记录明细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（1）巡线日志。</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（2）双方共同制定的《管道保护方案》。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（3）双方交涉时涉及的图片、录音、影像资料。</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（4）发放给各相关单位（建设单位、施工单位、政府职能单位）的及《天然气管道保护函》，安全告知书。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（5）《巡线发现问题台账》、《隐患台账与销项清单》、《督办隐患台账与销项清单》、《泄漏监护台账》、《巡线工作周报》、《三方监控台账》、《燃气阀井管理台账》、《燃气调压设施管理台账》等</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（6）巡线会议记录。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第二十</w:t>
      </w:r>
      <w:r>
        <w:rPr>
          <w:rFonts w:hint="eastAsia" w:ascii="方正仿宋简体" w:hAnsi="方正仿宋简体" w:eastAsia="方正仿宋简体" w:cs="方正仿宋简体"/>
          <w:b/>
          <w:bCs/>
          <w:sz w:val="28"/>
          <w:szCs w:val="28"/>
          <w:lang w:eastAsia="zh-CN"/>
        </w:rPr>
        <w:t>九</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资料填写要求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日志。日志必须整洁、详细，能准确反映每日巡线情况，包括巡查内容，发现问题的情况描述、位置、时间、汇报情况，问题未解决期间的跟踪检查情况、汇报情况，问题处理的时间、措施，复查情况。日志中提到的所有问题必须形成证据链，反映实际工作情况，印证巡线管理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（2）现场收集资料。《管道保护方案》《天然气管道保护函》，安全告知书等必须具有双方人员的签章，无章个人人员，必须盖有指纹印。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（3）双方交涉时的图片、录音、影像资料必须准确反映现场情况。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（4）所有报表必须准确反映巡线工作实际开展情况，报表具体填写要求参照附录。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bCs/>
          <w:sz w:val="28"/>
          <w:szCs w:val="28"/>
          <w:lang w:eastAsia="zh-CN"/>
        </w:rPr>
        <w:t>三十</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资料上报要求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片区长每周对巡线情况进行总结，将隐患的发现与处理情况，泄漏的发现与处理情况，第三方施工的发现与处理情况等信息上报班组资料人员。资料人员每周四之前完成《隐患台账与销项清单》、《督办隐患台账与销项清单》、《泄漏监护台账》、《巡线工作周报》、《阀井管理台账》、《调压箱管理台账》等资料的填写和上报。巡线资料上报前应由巡线业务承揽单位进行审核，正确率不能低于100%。隐患台账与销项清单》、《督办隐患台账与销项清单》上报</w:t>
      </w:r>
      <w:r>
        <w:rPr>
          <w:rFonts w:hint="eastAsia" w:ascii="方正仿宋简体" w:hAnsi="方正仿宋简体" w:eastAsia="方正仿宋简体" w:cs="方正仿宋简体"/>
          <w:bCs/>
          <w:sz w:val="28"/>
          <w:szCs w:val="28"/>
          <w:lang w:eastAsia="zh-CN"/>
        </w:rPr>
        <w:t>质量安全环保部</w:t>
      </w:r>
      <w:r>
        <w:rPr>
          <w:rFonts w:hint="eastAsia" w:ascii="方正仿宋简体" w:hAnsi="方正仿宋简体" w:eastAsia="方正仿宋简体" w:cs="方正仿宋简体"/>
          <w:bCs/>
          <w:sz w:val="28"/>
          <w:szCs w:val="28"/>
        </w:rPr>
        <w:t>，巡线资料上报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，由</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进行管理。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一</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资料存档要求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业务承揽单位每周将《天然气管道保护函》，现场图片录音资料收集分类整理后，报中油南充燃气有限责任公司巡线班组归档。巡线班组每月资料交</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，管理办公室判断资料的秘密等级，每年报公司档案室进行归档。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资料密级按以下标准确定: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A.巡线日志，保存周期3年。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B.《管道保护方案》，保存周期3年。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C.双方交涉时涉及的图片、录音、影像资料，保存周期3年。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D.《天然气管道保护函》、安全告知书，保存周期3年。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E.《巡线发现问题台账》、《隐患台账与销项清单》、《督办隐患台账与销项清单》、《泄漏监护台账》、《巡线工作周报》、《三方监控台账》等，保存周期3年。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F．巡线会议记录，保存周期3年。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G．《燃气阀井管理台账》、《燃气调压设施管理台账》，实时更新，永久保存。</w:t>
      </w:r>
    </w:p>
    <w:p>
      <w:pPr>
        <w:spacing w:before="156" w:beforeLines="50" w:after="156" w:afterLines="50" w:line="480" w:lineRule="auto"/>
        <w:outlineLvl w:val="9"/>
        <w:rPr>
          <w:rFonts w:hint="eastAsia" w:ascii="方正黑体简体" w:hAnsi="方正黑体简体" w:eastAsia="方正黑体简体" w:cs="方正黑体简体"/>
          <w:b/>
          <w:sz w:val="30"/>
          <w:szCs w:val="30"/>
        </w:rPr>
      </w:pPr>
      <w:bookmarkStart w:id="457" w:name="_Toc508015426"/>
      <w:bookmarkStart w:id="458" w:name="_Toc27418"/>
      <w:bookmarkStart w:id="459" w:name="_Toc508012281"/>
      <w:bookmarkStart w:id="460" w:name="_Toc508016707"/>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小标宋简体" w:hAnsi="黑体" w:eastAsia="方正小标宋简体"/>
          <w:b w:val="0"/>
          <w:bCs/>
          <w:sz w:val="30"/>
          <w:szCs w:val="30"/>
        </w:rPr>
      </w:pPr>
      <w:r>
        <w:rPr>
          <w:rFonts w:hint="eastAsia" w:ascii="方正黑体简体" w:hAnsi="方正黑体简体" w:eastAsia="方正黑体简体" w:cs="方正黑体简体"/>
          <w:b w:val="0"/>
          <w:bCs/>
          <w:sz w:val="30"/>
          <w:szCs w:val="30"/>
        </w:rPr>
        <w:t>第八章  报告、响应及闭环管理</w:t>
      </w:r>
      <w:bookmarkEnd w:id="457"/>
      <w:bookmarkEnd w:id="458"/>
      <w:bookmarkEnd w:id="459"/>
      <w:bookmarkEnd w:id="460"/>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sz w:val="28"/>
          <w:szCs w:val="28"/>
        </w:rPr>
        <w:t>第三十</w:t>
      </w:r>
      <w:r>
        <w:rPr>
          <w:rFonts w:hint="eastAsia" w:ascii="方正仿宋简体" w:hAnsi="方正仿宋简体" w:eastAsia="方正仿宋简体" w:cs="方正仿宋简体"/>
          <w:b/>
          <w:sz w:val="28"/>
          <w:szCs w:val="28"/>
          <w:lang w:eastAsia="zh-CN"/>
        </w:rPr>
        <w:t>二</w:t>
      </w:r>
      <w:r>
        <w:rPr>
          <w:rFonts w:hint="eastAsia" w:ascii="方正仿宋简体" w:hAnsi="方正仿宋简体" w:eastAsia="方正仿宋简体" w:cs="方正仿宋简体"/>
          <w:b/>
          <w:sz w:val="28"/>
          <w:szCs w:val="28"/>
        </w:rPr>
        <w:t xml:space="preserve">条  </w:t>
      </w:r>
      <w:r>
        <w:rPr>
          <w:rFonts w:hint="eastAsia" w:ascii="方正仿宋简体" w:hAnsi="方正仿宋简体" w:eastAsia="方正仿宋简体" w:cs="方正仿宋简体"/>
          <w:b w:val="0"/>
          <w:bCs/>
          <w:sz w:val="28"/>
          <w:szCs w:val="28"/>
        </w:rPr>
        <w:t>汇报方式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（1）电话上报：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姓名，所属片区，发现问题时间、地点、描述，问题所属单位，已经采取的监控措施。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6片区巡线工李阳，于2017年5月29日在五星花园大都会发现街道注浆施工，现场挖开深坑1*2*2米，未发现天然气管道。该项目工程属于中铁二十三局，已向中铁二十三局函告。同时在现场喷注红漆，标明管线位置，并和现场施工负责人罗老板进行安全告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B．2片区巡线工任刚4月22日检查发现金岭街木偶剧院调压箱中压球阀（表号：1001416）接口泄漏，浓度50ppm，微漏。目前每日对泄漏点进行监控，泄漏情况无变化。</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（2）巡线管理系统手持终端上报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录入巡线轨迹，当手持终端提示音响时，直接按下确认键。巡线比检点的录入必须由片长完成，按照手持终端操作说明书进行操作。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（3）微信上报：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A.发现泄漏隐患的位置、描述、照片+问题处理时、措施、复查情况、照片。微信上报的内容必须形成完整的闭环管理链。</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B.第三方施工：发现时间、位置、施工单位名称、建设单位名称、函件发放情况、安全保护协议签订情况，并附现场照片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C.暴雨、台风等恶劣天气，巡查管道周边存在塌方、滑坡、下陷、裸管等危及安全运行的情况，和处理情况，及照片。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D．片区安全学习的照片，除了学习的图片，还应附学习资料和签到照片，安全学习不能在营业性场所召开（如麻将馆等）</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（4）文字上报（含报告和报表，详细要求见附表）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8</w:t>
      </w:r>
      <w:r>
        <w:rPr>
          <w:rFonts w:hint="eastAsia"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lang w:val="en-US" w:eastAsia="zh-CN"/>
        </w:rPr>
        <w:t xml:space="preserve">1  </w:t>
      </w:r>
      <w:r>
        <w:rPr>
          <w:rFonts w:hint="eastAsia" w:ascii="方正仿宋简体" w:hAnsi="方正仿宋简体" w:eastAsia="方正仿宋简体" w:cs="方正仿宋简体"/>
          <w:bCs/>
          <w:sz w:val="28"/>
          <w:szCs w:val="28"/>
        </w:rPr>
        <w:t>巡线过程信息上报和响应流程分类</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（1）第三方施工信息和现场监控信息上报和响应</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能够自行处理的三方施工，自行处理，并报业务承揽单位资料员登记基本信息。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无法自行处理的三方施工，上报业务承揽单位，由承揽单位负责处理。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业务承揽单位无法处理的三方施工，上报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按照以下原则，制定协调方案。如各个部门不配合协调工作，上报分管领导，由分管领导组织协调工作。其中：</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A.安监部负责与安监局、城监支队、社区等部门的协调工作。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负责与质量技术监督局等部门的协调工作。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C．公司经理办负责与各级政府的协调工作，出具各类函件。</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drawing>
          <wp:anchor distT="0" distB="0" distL="114300" distR="114300" simplePos="0" relativeHeight="251658240" behindDoc="1" locked="0" layoutInCell="1" allowOverlap="1">
            <wp:simplePos x="0" y="0"/>
            <wp:positionH relativeFrom="column">
              <wp:posOffset>346710</wp:posOffset>
            </wp:positionH>
            <wp:positionV relativeFrom="paragraph">
              <wp:posOffset>910590</wp:posOffset>
            </wp:positionV>
            <wp:extent cx="4030980" cy="5986780"/>
            <wp:effectExtent l="0" t="0" r="7620" b="2540"/>
            <wp:wrapNone/>
            <wp:docPr id="1" name="图片 29" descr="巡线计划实施的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巡线计划实施的流程"/>
                    <pic:cNvPicPr>
                      <a:picLocks noChangeAspect="1"/>
                    </pic:cNvPicPr>
                  </pic:nvPicPr>
                  <pic:blipFill>
                    <a:blip r:embed="rId25"/>
                    <a:stretch>
                      <a:fillRect/>
                    </a:stretch>
                  </pic:blipFill>
                  <pic:spPr>
                    <a:xfrm>
                      <a:off x="0" y="0"/>
                      <a:ext cx="4030980" cy="5986780"/>
                    </a:xfrm>
                    <a:prstGeom prst="rect">
                      <a:avLst/>
                    </a:prstGeom>
                    <a:noFill/>
                    <a:ln>
                      <a:noFill/>
                    </a:ln>
                  </pic:spPr>
                </pic:pic>
              </a:graphicData>
            </a:graphic>
          </wp:anchor>
        </w:drawing>
      </w:r>
      <w:r>
        <w:rPr>
          <w:rFonts w:hint="eastAsia" w:ascii="方正仿宋简体" w:hAnsi="方正仿宋简体" w:eastAsia="方正仿宋简体" w:cs="方正仿宋简体"/>
          <w:bCs/>
          <w:sz w:val="28"/>
          <w:szCs w:val="28"/>
        </w:rPr>
        <w:t>D．客户服务中心负责现场处罚与索赔。包括燃气管线和燃气设施第三方破坏的处理，第三方违章搭建、圈闭、施工间距不足等不安全行为不安全状态的处理。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负责市政公司、建设局的协调工作。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both"/>
        <w:textAlignment w:val="auto"/>
        <w:outlineLvl w:val="9"/>
        <w:rPr>
          <w:rFonts w:hint="eastAsia" w:ascii="方正仿宋简体" w:hAnsi="方正仿宋简体" w:eastAsia="方正仿宋简体" w:cs="方正仿宋简体"/>
          <w:bCs/>
        </w:rPr>
      </w:pPr>
    </w:p>
    <w:p>
      <w:pPr>
        <w:pStyle w:val="119"/>
        <w:jc w:val="center"/>
        <w:outlineLvl w:val="9"/>
        <w:rPr>
          <w:rFonts w:hint="eastAsia" w:ascii="方正仿宋简体" w:hAnsi="方正仿宋简体" w:eastAsia="方正仿宋简体" w:cs="方正仿宋简体"/>
          <w:bCs/>
        </w:rPr>
      </w:pPr>
    </w:p>
    <w:p>
      <w:pPr>
        <w:pStyle w:val="119"/>
        <w:jc w:val="center"/>
        <w:outlineLvl w:val="9"/>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rPr>
          <w:rFonts w:hint="eastAsia" w:ascii="方正仿宋简体" w:hAnsi="方正仿宋简体" w:eastAsia="方正仿宋简体" w:cs="方正仿宋简体"/>
          <w:bCs/>
        </w:rPr>
      </w:pPr>
    </w:p>
    <w:p>
      <w:pPr>
        <w:pStyle w:val="119"/>
        <w:ind w:firstLine="120" w:firstLineChars="50"/>
        <w:jc w:val="center"/>
        <w:rPr>
          <w:rFonts w:hint="eastAsia" w:ascii="方正仿宋简体" w:hAnsi="方正仿宋简体" w:eastAsia="方正仿宋简体" w:cs="方正仿宋简体"/>
          <w:b/>
          <w:bCs/>
        </w:rPr>
      </w:pPr>
      <w:r>
        <w:rPr>
          <w:rFonts w:hint="eastAsia" w:ascii="方正仿宋简体" w:hAnsi="方正仿宋简体" w:eastAsia="方正仿宋简体" w:cs="方正仿宋简体"/>
          <w:bCs/>
        </w:rPr>
        <w:t>图8.1  第三方施工监控实施流程</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（2）失效信息上报和响应</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管线发生失效，巡线员必须立刻汇报公司热线（2866000）以及业务承揽单位，由公司热线通知维修班组织抢维修。热线通知</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技术干部/</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值班领导判断泄漏风险等级，制定相应的监控措施和维修措施。</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32"/>
          <w:szCs w:val="32"/>
        </w:rPr>
      </w:pPr>
      <w:r>
        <w:rPr>
          <w:sz w:val="28"/>
          <w:szCs w:val="28"/>
        </w:rPr>
        <w:drawing>
          <wp:anchor distT="0" distB="0" distL="114300" distR="114300" simplePos="0" relativeHeight="251659264" behindDoc="1" locked="0" layoutInCell="1" allowOverlap="1">
            <wp:simplePos x="0" y="0"/>
            <wp:positionH relativeFrom="column">
              <wp:posOffset>182245</wp:posOffset>
            </wp:positionH>
            <wp:positionV relativeFrom="paragraph">
              <wp:posOffset>120015</wp:posOffset>
            </wp:positionV>
            <wp:extent cx="5579745" cy="6149340"/>
            <wp:effectExtent l="0" t="0" r="13335" b="7620"/>
            <wp:wrapNone/>
            <wp:docPr id="2" name="图片 30" descr="巡线计划实施的流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巡线计划实施的流程2"/>
                    <pic:cNvPicPr>
                      <a:picLocks noChangeAspect="1"/>
                    </pic:cNvPicPr>
                  </pic:nvPicPr>
                  <pic:blipFill>
                    <a:blip r:embed="rId26"/>
                    <a:stretch>
                      <a:fillRect/>
                    </a:stretch>
                  </pic:blipFill>
                  <pic:spPr>
                    <a:xfrm>
                      <a:off x="0" y="0"/>
                      <a:ext cx="5579745" cy="6149340"/>
                    </a:xfrm>
                    <a:prstGeom prst="rect">
                      <a:avLst/>
                    </a:prstGeom>
                    <a:noFill/>
                    <a:ln>
                      <a:noFill/>
                    </a:ln>
                  </pic:spPr>
                </pic:pic>
              </a:graphicData>
            </a:graphic>
          </wp:anchor>
        </w:drawing>
      </w:r>
    </w:p>
    <w:p>
      <w:pPr>
        <w:pStyle w:val="119"/>
        <w:jc w:val="center"/>
        <w:rPr>
          <w:rFonts w:hint="eastAsia" w:ascii="方正仿宋简体" w:hAnsi="方正仿宋简体" w:eastAsia="方正仿宋简体" w:cs="方正仿宋简体"/>
          <w:bCs/>
        </w:rPr>
      </w:pPr>
    </w:p>
    <w:p>
      <w:pPr>
        <w:pStyle w:val="119"/>
        <w:tabs>
          <w:tab w:val="left" w:pos="3705"/>
        </w:tabs>
        <w:jc w:val="both"/>
        <w:rPr>
          <w:rFonts w:hint="eastAsia" w:ascii="方正仿宋简体" w:hAnsi="方正仿宋简体" w:eastAsia="方正仿宋简体" w:cs="方正仿宋简体"/>
          <w:bCs/>
        </w:rPr>
      </w:pPr>
      <w:r>
        <w:rPr>
          <w:rFonts w:ascii="方正仿宋简体" w:hAnsi="方正仿宋简体" w:eastAsia="方正仿宋简体" w:cs="方正仿宋简体"/>
          <w:bCs/>
        </w:rPr>
        <w:tab/>
      </w: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jc w:val="center"/>
        <w:rPr>
          <w:rFonts w:hint="eastAsia" w:ascii="方正仿宋简体" w:hAnsi="方正仿宋简体" w:eastAsia="方正仿宋简体" w:cs="方正仿宋简体"/>
          <w:bCs/>
        </w:rPr>
      </w:pP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center"/>
        <w:textAlignment w:val="auto"/>
        <w:outlineLvl w:val="9"/>
        <w:rPr>
          <w:rFonts w:hint="eastAsia" w:ascii="方正仿宋简体" w:hAnsi="方正仿宋简体" w:eastAsia="方正仿宋简体" w:cs="方正仿宋简体"/>
          <w:bCs/>
        </w:rPr>
      </w:pP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center"/>
        <w:textAlignment w:val="auto"/>
        <w:outlineLvl w:val="9"/>
        <w:rPr>
          <w:rFonts w:hint="eastAsia" w:ascii="方正仿宋简体" w:hAnsi="方正仿宋简体" w:eastAsia="方正仿宋简体" w:cs="方正仿宋简体"/>
          <w:bCs/>
        </w:rPr>
      </w:pP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center"/>
        <w:textAlignment w:val="auto"/>
        <w:outlineLvl w:val="9"/>
        <w:rPr>
          <w:rFonts w:hint="eastAsia" w:ascii="方正仿宋简体" w:hAnsi="方正仿宋简体" w:eastAsia="方正仿宋简体" w:cs="方正仿宋简体"/>
          <w:bCs/>
        </w:rPr>
      </w:pPr>
      <w:r>
        <w:rPr>
          <w:rFonts w:hint="eastAsia" w:ascii="方正仿宋简体" w:hAnsi="方正仿宋简体" w:eastAsia="方正仿宋简体" w:cs="方正仿宋简体"/>
          <w:bCs/>
        </w:rPr>
        <w:t>图8.2 泄漏巡查监控实施流程</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jc w:val="center"/>
        <w:textAlignment w:val="auto"/>
        <w:outlineLvl w:val="9"/>
        <w:rPr>
          <w:rFonts w:hint="eastAsia" w:ascii="方正仿宋简体" w:hAnsi="方正仿宋简体" w:eastAsia="方正仿宋简体" w:cs="方正仿宋简体"/>
          <w:bCs/>
        </w:rPr>
      </w:pP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32"/>
          <w:szCs w:val="32"/>
        </w:rPr>
        <w:t>（</w:t>
      </w:r>
      <w:r>
        <w:rPr>
          <w:rFonts w:hint="eastAsia" w:ascii="方正仿宋简体" w:hAnsi="方正仿宋简体" w:eastAsia="方正仿宋简体" w:cs="方正仿宋简体"/>
          <w:bCs/>
          <w:sz w:val="28"/>
          <w:szCs w:val="28"/>
        </w:rPr>
        <w:t>3）隐患信息（将三方和本质隐患、问题均纳入一并管理）上报和响应</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巡线员每周三将隐患信息上报业务承揽单位资料员，由资料员进行登记，每周四业务承揽单位技术人员对隐患信息进行初步核实，并按照本表规定格式，每周五上午报安监部。</w:t>
      </w:r>
      <w:r>
        <w:rPr>
          <w:rFonts w:hint="eastAsia" w:ascii="方正仿宋简体" w:hAnsi="方正仿宋简体" w:eastAsia="方正仿宋简体" w:cs="方正仿宋简体"/>
          <w:bCs/>
          <w:sz w:val="28"/>
          <w:szCs w:val="28"/>
          <w:lang w:eastAsia="zh-CN"/>
        </w:rPr>
        <w:t>质量安全环保部</w:t>
      </w:r>
      <w:r>
        <w:rPr>
          <w:rFonts w:hint="eastAsia" w:ascii="方正仿宋简体" w:hAnsi="方正仿宋简体" w:eastAsia="方正仿宋简体" w:cs="方正仿宋简体"/>
          <w:bCs/>
          <w:sz w:val="28"/>
          <w:szCs w:val="28"/>
        </w:rPr>
        <w:t>完善自身资料，同时明确整改部门，每周一之前发放到责任整改部门。责任整改部门制定监控措施和整改计划。</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（4）巡线途中群众反映的其他问题上报和响应</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根据具体情况上报给公司热线，由公司热线协调各业务主管部门进行管理。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三</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闭环管理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（1）巡线人员上报三方信息，由巡线人员现场确认隐患消除，记录在巡线日志上，同时，上报业务承揽单位，业务承揽单位报表中必须体现闭环信息。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（2）巡线人员上报隐患（含问题），由安全监察办公室负责督促各个部门进行整改，或明确整改计划。整改完成后，安全监察办公室负责对隐患进行闭环。</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（3）巡线人员发现的失效，由</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制定监控计划或整改措施，由维修办公室执行。整改完毕后，三方必须登记闭环管理台账。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（4）巡线人员发现的其他问题，由公司热线负责协调跟踪问题处理情况，并做好闭环管理台账。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sz w:val="30"/>
          <w:szCs w:val="30"/>
        </w:rPr>
      </w:pPr>
      <w:bookmarkStart w:id="461" w:name="_Toc508016708"/>
      <w:bookmarkStart w:id="462" w:name="_Toc508015427"/>
      <w:bookmarkStart w:id="463" w:name="_Toc6351"/>
      <w:bookmarkStart w:id="464" w:name="_Toc508012282"/>
      <w:r>
        <w:rPr>
          <w:rFonts w:hint="eastAsia" w:ascii="方正黑体简体" w:hAnsi="方正黑体简体" w:eastAsia="方正黑体简体" w:cs="方正黑体简体"/>
          <w:b w:val="0"/>
          <w:bCs/>
          <w:sz w:val="30"/>
          <w:szCs w:val="30"/>
        </w:rPr>
        <w:t>第九章  教育与培训管理</w:t>
      </w:r>
      <w:bookmarkEnd w:id="461"/>
      <w:bookmarkEnd w:id="462"/>
      <w:bookmarkEnd w:id="463"/>
      <w:bookmarkEnd w:id="464"/>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四</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各级人员技能与素质要求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（1）管线管理办公室分管领导</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大学及以上学历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具有三年以上管线管理工作经验和现场实践经验</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具有较高的组织协调能力，管理能力，执行能力，沟通能力，应变能力。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D.熟悉GIS管线管理系统、办公软件、CAD绘图软件、测绘系统等原理。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熟悉南充城区干、支线管网分布情况。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F</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熟悉完整性管理等管道各项规定和要求。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G</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熟悉国家相关法律、法规及上级主管单位、公司的各类管线管理规章制度。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（2）一般技术人员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大学及以上学历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具有较高的组织协调能力，执行能力，沟通能力，应变能力。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C.熟悉GIS管线管理系统、办公软件、CAD绘图软件、测绘系统等应用。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熟悉南充城区干、支线管网分布情况、主要干、支线阀分布及控制区域，能妥善处理各类管线问题。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熟悉完整性管理等管道各项规定和要求。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F</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熟悉国家相关法律、法规及上级主管单位、公司的各类管线管理规章制度。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（3）巡线班班长</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具有较强的组织协调能力，执行能力，沟通能力，应变能力。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熟悉国家相关法律、法规及上级主管单位、公司的各类管线管理规章制度。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能准确上报各类管线资料。</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D.熟悉班组管理的各项要求。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（4）业务承揽管理人员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具有较强的组织协调能力，执行能力，沟通能力，应变能力。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B.熟练掌握南充城区管网的基本特点。</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熟悉国家相关法律、法规及上级主管单位、公司的各类管线管理规章制度。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D.具有国家质量技术监督部门颁发的压力管道操作员证D1和A3</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（5）业务承揽单位资料员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A.熟悉GIS管线管理系统、办公软件、CAD绘图软件等的应用。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熟练掌握南充城区管网的基本特点。</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保证资料的准确性和及时性。</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D.良好的沟通能力/应变能力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（6）巡线员</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A.良好的沟通能力/应变能力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B.熟悉属地范围内燃气管道分布情况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C.熟悉业务范围涉及的各项技术要求和规定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D.熟悉管道巡线过程各类问题处理方法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lang w:val="en-US" w:eastAsia="zh-CN"/>
        </w:rPr>
        <w:t>9.1</w:t>
      </w:r>
      <w:r>
        <w:rPr>
          <w:rFonts w:hint="eastAsia" w:ascii="方正仿宋简体" w:hAnsi="方正仿宋简体" w:eastAsia="方正仿宋简体" w:cs="方正仿宋简体"/>
          <w:b w:val="0"/>
          <w:bCs w:val="0"/>
          <w:sz w:val="28"/>
          <w:szCs w:val="28"/>
        </w:rPr>
        <w:t>培训需求管理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（1）每年1月由巡线业务承揽单位组织对巡线人员的培训需求情况、人员素质情况进行调查。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（2）公司相关部门做好本部门培训需求情况、人员素质情况的调查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（3）管道管理部技术人员对人员培训需求进行分析，编制培训需求计划。同时制定年度培训计划。</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五</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培训方式</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公司级培训：每年至少一次。由</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组织，安监部、</w:t>
      </w:r>
      <w:r>
        <w:rPr>
          <w:rFonts w:hint="eastAsia" w:ascii="方正仿宋简体" w:hAnsi="方正仿宋简体" w:eastAsia="方正仿宋简体" w:cs="方正仿宋简体"/>
          <w:bCs/>
          <w:sz w:val="28"/>
          <w:szCs w:val="28"/>
          <w:lang w:eastAsia="zh-CN"/>
        </w:rPr>
        <w:t>生产运行部</w:t>
      </w:r>
      <w:r>
        <w:rPr>
          <w:rFonts w:hint="eastAsia" w:ascii="方正仿宋简体" w:hAnsi="方正仿宋简体" w:eastAsia="方正仿宋简体" w:cs="方正仿宋简体"/>
          <w:bCs/>
          <w:sz w:val="28"/>
          <w:szCs w:val="28"/>
        </w:rPr>
        <w:t>参与。</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部门级培训：每年由</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组织至少一次集中培训。</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班组级培训：主要以现场培训为主，巡线班组长、油气管道保护工针对所属片区巡线工必须展开至少每周一次的技术指导、跟踪巡线（巡线工全覆盖）。</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业务承揽单位：每周对现场巡线人员采取会议，现场教学等形式多样的培训活动。</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片长：每周召开片区安全学习会议，对岗位危害进行识别，改进巡线方法讨论，对每周工作进行总结。</w:t>
      </w:r>
    </w:p>
    <w:p>
      <w:pPr>
        <w:pStyle w:val="119"/>
        <w:keepNext w:val="0"/>
        <w:keepLines w:val="0"/>
        <w:pageBreakBefore w:val="0"/>
        <w:widowControl w:val="0"/>
        <w:kinsoku/>
        <w:wordWrap/>
        <w:overflowPunct w:val="0"/>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可采取以下方式进行培训</w:t>
      </w:r>
    </w:p>
    <w:p>
      <w:pPr>
        <w:pStyle w:val="119"/>
        <w:keepNext w:val="0"/>
        <w:keepLines w:val="0"/>
        <w:pageBreakBefore w:val="0"/>
        <w:widowControl w:val="0"/>
        <w:numPr>
          <w:ilvl w:val="0"/>
          <w:numId w:val="0"/>
        </w:numPr>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A.</w:t>
      </w:r>
      <w:r>
        <w:rPr>
          <w:rFonts w:hint="eastAsia" w:ascii="方正仿宋简体" w:hAnsi="方正仿宋简体" w:eastAsia="方正仿宋简体" w:cs="方正仿宋简体"/>
          <w:bCs/>
          <w:sz w:val="28"/>
          <w:szCs w:val="28"/>
        </w:rPr>
        <w:t>典型课堂培训（不考试）</w:t>
      </w:r>
    </w:p>
    <w:p>
      <w:pPr>
        <w:pStyle w:val="119"/>
        <w:keepNext w:val="0"/>
        <w:keepLines w:val="0"/>
        <w:pageBreakBefore w:val="0"/>
        <w:widowControl w:val="0"/>
        <w:numPr>
          <w:ilvl w:val="0"/>
          <w:numId w:val="0"/>
        </w:numPr>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lang w:eastAsia="zh-CN"/>
        </w:rPr>
      </w:pPr>
      <w:r>
        <w:rPr>
          <w:rFonts w:hint="eastAsia" w:ascii="方正仿宋简体" w:hAnsi="方正仿宋简体" w:eastAsia="方正仿宋简体" w:cs="方正仿宋简体"/>
          <w:bCs/>
          <w:sz w:val="28"/>
          <w:szCs w:val="28"/>
          <w:lang w:val="en-US" w:eastAsia="zh-CN"/>
        </w:rPr>
        <w:t>B.</w:t>
      </w:r>
      <w:r>
        <w:rPr>
          <w:rFonts w:hint="eastAsia" w:ascii="方正仿宋简体" w:hAnsi="方正仿宋简体" w:eastAsia="方正仿宋简体" w:cs="方正仿宋简体"/>
          <w:bCs/>
          <w:sz w:val="28"/>
          <w:szCs w:val="28"/>
        </w:rPr>
        <w:t>强化课堂培训（即在M1的基础上增加考试</w:t>
      </w:r>
      <w:r>
        <w:rPr>
          <w:rFonts w:hint="eastAsia" w:ascii="方正仿宋简体" w:hAnsi="方正仿宋简体" w:eastAsia="方正仿宋简体" w:cs="方正仿宋简体"/>
          <w:bCs/>
          <w:sz w:val="28"/>
          <w:szCs w:val="28"/>
          <w:lang w:eastAsia="zh-CN"/>
        </w:rPr>
        <w:t>）</w:t>
      </w:r>
    </w:p>
    <w:p>
      <w:pPr>
        <w:pStyle w:val="119"/>
        <w:keepNext w:val="0"/>
        <w:keepLines w:val="0"/>
        <w:pageBreakBefore w:val="0"/>
        <w:widowControl w:val="0"/>
        <w:numPr>
          <w:ilvl w:val="0"/>
          <w:numId w:val="0"/>
        </w:numPr>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C.</w:t>
      </w:r>
      <w:r>
        <w:rPr>
          <w:rFonts w:hint="eastAsia" w:ascii="方正仿宋简体" w:hAnsi="方正仿宋简体" w:eastAsia="方正仿宋简体" w:cs="方正仿宋简体"/>
          <w:bCs/>
          <w:sz w:val="28"/>
          <w:szCs w:val="28"/>
        </w:rPr>
        <w:t>各种HSE会议（讨论学习后，应在HSE管理部门留有记录</w:t>
      </w:r>
      <w:r>
        <w:rPr>
          <w:rFonts w:hint="eastAsia" w:ascii="方正仿宋简体" w:hAnsi="方正仿宋简体" w:eastAsia="方正仿宋简体" w:cs="方正仿宋简体"/>
          <w:bCs/>
          <w:sz w:val="28"/>
          <w:szCs w:val="28"/>
          <w:lang w:eastAsia="zh-CN"/>
        </w:rPr>
        <w:t>）</w:t>
      </w:r>
    </w:p>
    <w:p>
      <w:pPr>
        <w:pStyle w:val="119"/>
        <w:keepNext w:val="0"/>
        <w:keepLines w:val="0"/>
        <w:pageBreakBefore w:val="0"/>
        <w:widowControl w:val="0"/>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D.部门主管主持学习讨论</w:t>
      </w:r>
    </w:p>
    <w:p>
      <w:pPr>
        <w:pStyle w:val="119"/>
        <w:keepNext w:val="0"/>
        <w:keepLines w:val="0"/>
        <w:pageBreakBefore w:val="0"/>
        <w:widowControl w:val="0"/>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E.在岗实际练习+师傅带领F. 网络学习</w:t>
      </w:r>
    </w:p>
    <w:p>
      <w:pPr>
        <w:pStyle w:val="119"/>
        <w:keepNext w:val="0"/>
        <w:keepLines w:val="0"/>
        <w:pageBreakBefore w:val="0"/>
        <w:widowControl w:val="0"/>
        <w:kinsoku/>
        <w:wordWrap/>
        <w:overflowPunct w:val="0"/>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六</w:t>
      </w:r>
      <w:r>
        <w:rPr>
          <w:rFonts w:hint="eastAsia" w:ascii="方正仿宋简体" w:hAnsi="方正仿宋简体" w:eastAsia="方正仿宋简体" w:cs="方正仿宋简体"/>
          <w:b/>
          <w:bCs/>
          <w:sz w:val="28"/>
          <w:szCs w:val="28"/>
        </w:rPr>
        <w:t xml:space="preserve">  </w:t>
      </w:r>
      <w:r>
        <w:rPr>
          <w:rFonts w:hint="eastAsia" w:ascii="方正仿宋简体" w:hAnsi="方正仿宋简体" w:eastAsia="方正仿宋简体" w:cs="方正仿宋简体"/>
          <w:b w:val="0"/>
          <w:bCs w:val="0"/>
          <w:sz w:val="28"/>
          <w:szCs w:val="28"/>
        </w:rPr>
        <w:t>培训考核</w:t>
      </w:r>
    </w:p>
    <w:p>
      <w:pPr>
        <w:pStyle w:val="119"/>
        <w:keepNext w:val="0"/>
        <w:keepLines w:val="0"/>
        <w:pageBreakBefore w:val="0"/>
        <w:widowControl w:val="0"/>
        <w:kinsoku/>
        <w:wordWrap/>
        <w:overflowPunct w:val="0"/>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各级人员参加各级培训必须合格（考试成绩90分以上），如果成绩1次不合格，可在培训一周后申请补考，公司人员扣罚200元业绩奖，业务承揽单位扣罚1000元合同违约金。如成绩2次不合格，正式员工扣罚500元业绩奖，巡线业务承揽单位扣罚2000元合同违约金。如成绩3次不合格，正式员工待岗培训至合格为止，巡线业务承揽单位扣罚5000元合同违约金，并开除该巡线员。</w:t>
      </w:r>
    </w:p>
    <w:p>
      <w:pPr>
        <w:keepNext w:val="0"/>
        <w:keepLines w:val="0"/>
        <w:pageBreakBefore w:val="0"/>
        <w:widowControl w:val="0"/>
        <w:kinsoku/>
        <w:wordWrap/>
        <w:topLinePunct w:val="0"/>
        <w:bidi w:val="0"/>
        <w:snapToGrid/>
        <w:spacing w:before="156" w:beforeLines="50" w:after="156" w:afterLines="50" w:line="560" w:lineRule="exact"/>
        <w:ind w:firstLine="602" w:firstLineChars="200"/>
        <w:textAlignment w:val="auto"/>
        <w:outlineLvl w:val="9"/>
        <w:rPr>
          <w:rFonts w:hint="eastAsia" w:ascii="方正黑体简体" w:hAnsi="方正黑体简体" w:eastAsia="方正黑体简体" w:cs="方正黑体简体"/>
          <w:b/>
          <w:sz w:val="30"/>
          <w:szCs w:val="30"/>
        </w:rPr>
      </w:pPr>
      <w:bookmarkStart w:id="465" w:name="_Toc508012283"/>
      <w:bookmarkStart w:id="466" w:name="_Toc508016709"/>
      <w:bookmarkStart w:id="467" w:name="_Toc20501"/>
      <w:bookmarkStart w:id="468" w:name="_Toc508015428"/>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小标宋简体" w:hAnsi="黑体" w:eastAsia="方正小标宋简体"/>
          <w:b w:val="0"/>
          <w:bCs/>
          <w:sz w:val="30"/>
          <w:szCs w:val="30"/>
        </w:rPr>
      </w:pPr>
      <w:r>
        <w:rPr>
          <w:rFonts w:hint="eastAsia" w:ascii="方正黑体简体" w:hAnsi="方正黑体简体" w:eastAsia="方正黑体简体" w:cs="方正黑体简体"/>
          <w:b w:val="0"/>
          <w:bCs/>
          <w:sz w:val="30"/>
          <w:szCs w:val="30"/>
        </w:rPr>
        <w:t>第十章  承包商管理</w:t>
      </w:r>
      <w:bookmarkEnd w:id="465"/>
      <w:bookmarkEnd w:id="466"/>
      <w:bookmarkEnd w:id="467"/>
      <w:bookmarkEnd w:id="468"/>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七</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业务外包资质及人员要求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资质条件：</w:t>
      </w:r>
      <w:r>
        <w:rPr>
          <w:rFonts w:hint="eastAsia" w:ascii="方正仿宋简体" w:hAnsi="方正仿宋简体" w:eastAsia="方正仿宋简体" w:cs="方正仿宋简体"/>
          <w:bCs/>
          <w:sz w:val="28"/>
          <w:szCs w:val="28"/>
        </w:rPr>
        <w:t>投标人具备独立法人资格，具有有效的营业执照，石油化工工程施工总承包三级及以上资质或市政公用工程施工总承包三级及以上资质；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信誉要求：</w:t>
      </w:r>
      <w:r>
        <w:rPr>
          <w:rFonts w:hint="eastAsia" w:ascii="方正仿宋简体" w:hAnsi="方正仿宋简体" w:eastAsia="方正仿宋简体" w:cs="方正仿宋简体"/>
          <w:bCs/>
          <w:sz w:val="28"/>
          <w:szCs w:val="28"/>
        </w:rPr>
        <w:t>未处于财产被接管、冻结、破产状态，未处于四川省行政区域内有关行政处罚期间；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项目负责人：具有国家质量技术监督部门颁发的压力管道操作员证D1和A3</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八</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承包商制定的制度管理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承包商必须遵守中油南充燃气有限责任公司《巡线管理实施细则》的要求，《巡线技术服务合同》的要求履行好自己职责。</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承包商需根据《巡线管理实施细则》，制定《巡线员工管理办法》《巡线资料管理办法》《巡线管理方案》，并报中油南充燃气有限责任公司</w:t>
      </w:r>
      <w:r>
        <w:rPr>
          <w:rFonts w:hint="eastAsia" w:ascii="方正仿宋简体" w:hAnsi="方正仿宋简体" w:eastAsia="方正仿宋简体" w:cs="方正仿宋简体"/>
          <w:bCs/>
          <w:sz w:val="28"/>
          <w:szCs w:val="28"/>
          <w:lang w:eastAsia="zh-CN"/>
        </w:rPr>
        <w:t>管道管理部</w:t>
      </w:r>
      <w:r>
        <w:rPr>
          <w:rFonts w:hint="eastAsia" w:ascii="方正仿宋简体" w:hAnsi="方正仿宋简体" w:eastAsia="方正仿宋简体" w:cs="方正仿宋简体"/>
          <w:bCs/>
          <w:sz w:val="28"/>
          <w:szCs w:val="28"/>
        </w:rPr>
        <w:t>备案。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第三十</w:t>
      </w:r>
      <w:r>
        <w:rPr>
          <w:rFonts w:hint="eastAsia" w:ascii="方正仿宋简体" w:hAnsi="方正仿宋简体" w:eastAsia="方正仿宋简体" w:cs="方正仿宋简体"/>
          <w:b/>
          <w:bCs/>
          <w:sz w:val="28"/>
          <w:szCs w:val="28"/>
          <w:lang w:eastAsia="zh-CN"/>
        </w:rPr>
        <w:t>九</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承包商资料</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（1）巡线工提交的日常工作记录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（2）《巡线发现问题台账》、《隐患台账与销项清单》、《督办隐患台账与销项清单》、《泄漏监护台账》、《巡线工作周报》、《三方监控台账》等</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（3）《巡线员工管理办法》《巡线资料管理办法》《巡线管理方案》</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（4）巡线会议记录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（5）巡线工培训记录</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bCs/>
          <w:sz w:val="28"/>
          <w:szCs w:val="28"/>
          <w:lang w:eastAsia="zh-CN"/>
        </w:rPr>
        <w:t>四十</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承包商培训</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承包商培训执行《</w:t>
      </w:r>
      <w:r>
        <w:rPr>
          <w:rFonts w:hint="eastAsia" w:ascii="方正仿宋简体" w:hAnsi="方正仿宋简体" w:eastAsia="方正仿宋简体" w:cs="方正仿宋简体"/>
          <w:bCs/>
          <w:sz w:val="28"/>
          <w:szCs w:val="28"/>
          <w:lang w:eastAsia="zh-CN"/>
        </w:rPr>
        <w:t>第</w:t>
      </w:r>
      <w:r>
        <w:rPr>
          <w:rFonts w:hint="eastAsia" w:ascii="方正仿宋简体" w:hAnsi="方正仿宋简体" w:eastAsia="方正仿宋简体" w:cs="方正仿宋简体"/>
          <w:bCs/>
          <w:sz w:val="28"/>
          <w:szCs w:val="28"/>
        </w:rPr>
        <w:t>九章培训与培训管理》的内容</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小标宋简体" w:hAnsi="黑体" w:eastAsia="方正小标宋简体"/>
          <w:b w:val="0"/>
          <w:bCs/>
          <w:sz w:val="30"/>
          <w:szCs w:val="30"/>
        </w:rPr>
      </w:pPr>
      <w:bookmarkStart w:id="469" w:name="_Toc508016710"/>
      <w:bookmarkStart w:id="470" w:name="_Toc508012284"/>
      <w:bookmarkStart w:id="471" w:name="_Toc27653"/>
      <w:r>
        <w:rPr>
          <w:rFonts w:hint="eastAsia" w:ascii="方正黑体简体" w:hAnsi="方正黑体简体" w:eastAsia="方正黑体简体" w:cs="方正黑体简体"/>
          <w:b w:val="0"/>
          <w:bCs/>
          <w:sz w:val="30"/>
          <w:szCs w:val="30"/>
        </w:rPr>
        <w:t>第十一章  考核</w:t>
      </w:r>
      <w:bookmarkEnd w:id="469"/>
      <w:bookmarkEnd w:id="470"/>
      <w:bookmarkEnd w:id="471"/>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第四十</w:t>
      </w:r>
      <w:r>
        <w:rPr>
          <w:rFonts w:hint="eastAsia" w:ascii="方正仿宋简体" w:hAnsi="方正仿宋简体" w:eastAsia="方正仿宋简体" w:cs="方正仿宋简体"/>
          <w:b/>
          <w:bCs/>
          <w:sz w:val="28"/>
          <w:szCs w:val="28"/>
          <w:lang w:eastAsia="zh-CN"/>
        </w:rPr>
        <w:t>一</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 xml:space="preserve"> 组织机构</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公司成立以总经理和党委书记为组长、副经理为副组长、机关各部室负责人和</w:t>
      </w:r>
      <w:r>
        <w:rPr>
          <w:rFonts w:hint="eastAsia" w:ascii="方正仿宋简体" w:hAnsi="方正仿宋简体" w:eastAsia="方正仿宋简体" w:cs="方正仿宋简体"/>
          <w:bCs/>
          <w:sz w:val="28"/>
          <w:szCs w:val="28"/>
          <w:lang w:eastAsia="zh-CN"/>
        </w:rPr>
        <w:t>生产保障中心</w:t>
      </w:r>
      <w:r>
        <w:rPr>
          <w:rFonts w:hint="eastAsia" w:ascii="方正仿宋简体" w:hAnsi="方正仿宋简体" w:eastAsia="方正仿宋简体" w:cs="方正仿宋简体"/>
          <w:bCs/>
          <w:sz w:val="28"/>
          <w:szCs w:val="28"/>
        </w:rPr>
        <w:t>负责人为成员的考核小组。负责组织对公司管道巡护工作的考核，并将考核结果提交劳资管理人员；管道管理部门是公司管道巡护管理考核的归口部门，负责组织对业务承揽单位的管理和巡线质量进行考核，并将考核结果提交</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和</w:t>
      </w:r>
      <w:r>
        <w:rPr>
          <w:rFonts w:hint="eastAsia" w:ascii="方正仿宋简体" w:hAnsi="方正仿宋简体" w:eastAsia="方正仿宋简体" w:cs="方正仿宋简体"/>
          <w:bCs/>
          <w:sz w:val="28"/>
          <w:szCs w:val="28"/>
          <w:lang w:eastAsia="zh-CN"/>
        </w:rPr>
        <w:t>财务资产部</w:t>
      </w:r>
      <w:r>
        <w:rPr>
          <w:rFonts w:hint="eastAsia"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Ansi="宋体"/>
          <w:sz w:val="28"/>
          <w:szCs w:val="28"/>
        </w:rPr>
      </w:pPr>
      <w:r>
        <w:rPr>
          <w:rFonts w:hint="eastAsia" w:ascii="方正仿宋简体" w:hAnsi="方正仿宋简体" w:eastAsia="方正仿宋简体" w:cs="方正仿宋简体"/>
          <w:bCs/>
          <w:sz w:val="28"/>
          <w:szCs w:val="28"/>
        </w:rPr>
        <w:t>公司各相关部室根据本部门职责和管理要求，履行相应的管理职责，开展工作监督检查，并将管道管理工作相关的检查结果向管道管理部门通报。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第四十</w:t>
      </w:r>
      <w:r>
        <w:rPr>
          <w:rFonts w:hint="eastAsia" w:ascii="方正仿宋简体" w:hAnsi="方正仿宋简体" w:eastAsia="方正仿宋简体" w:cs="方正仿宋简体"/>
          <w:b/>
          <w:bCs/>
          <w:sz w:val="28"/>
          <w:szCs w:val="28"/>
          <w:lang w:eastAsia="zh-CN"/>
        </w:rPr>
        <w:t>二</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考核内容及指标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工作管理。主要包括方案的修订、工作计划管理、督查巡线质量、领导干部督查式巡线频率等指标。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（一）方案的修订。主要是根据管网现状及第三方施工情况动态更新“一区一案”“一线一案”巡护方案。及时更新管线、风险台账。</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（二）工作计划管理。管道管理人员根据第三方施工情况及时更新、下达巡护计划。</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（三）督查巡线质量。领导干部对责任片区的管道巡护工作质量督促检查，杜绝第三方破坏和新增占压、圈闭隐患，确保管道及附属设施安全平稳运行。</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（四）领导干部督查式巡线频率。公司主要领导每季度对重要管段或区域走线检查不低于20km，其余领导和技术干部每季度走线检查不低于30km。相应管线巡线频次参照巡护方案执行。</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承包商管理。主要包括组织机构、人员配置、工作计划管理、问题闭环管理、重要信息报送、报表管理等指标。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（一）组织机构。是指承包商必须在公司供气区域内设置办公地点、项目负责人及专业技术管理人员；必须根据公司管道巡护业务制定相应的管理制度和工作流程。</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（二）人员配置。是指承包商必须根据公司管道巡护业务工作量配备充足的巡线人员，经公司考试合格后方能上岗。发生离职或清退的，承包商必须尽快补充。</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（三）工作计划管理。承包商必须每周五按时上报本周工作总结和下一周工作计划。</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（四）闭环管理。主要对巡护发现问题、各级相关部门和监督中发现的与管道管理有关问题进行闭环管理。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（五）重要信息管理。发生关键设备故障、管道泄漏等导致管道异常停输的事件应及时上报。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（六）报表管理。是指管道巡护周、月、年报表按时上报情况。</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巡线员管理。主要包括管道巡护覆盖率、第三方施工管理、失效自主发现率等指标。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（一）管道巡护覆盖率：其范围应全面覆盖本单位管道，巡检频率应达到公司管道巡护管理要求。</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第三方施工管理：主要包括管道保护范围内的第三方施工活动进行全面监控、监督施工单位落实公司管道保护方案，杜绝第三方破坏和新增占压、圈闭隐患。对第三方破坏、新增外部隐患及相关信息及时汇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（三）失效自主发现率：管道失效自主发现率不低于85%。</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第四十</w:t>
      </w:r>
      <w:r>
        <w:rPr>
          <w:rFonts w:hint="eastAsia" w:ascii="方正仿宋简体" w:hAnsi="方正仿宋简体" w:eastAsia="方正仿宋简体" w:cs="方正仿宋简体"/>
          <w:b/>
          <w:bCs/>
          <w:sz w:val="28"/>
          <w:szCs w:val="28"/>
          <w:lang w:eastAsia="zh-CN"/>
        </w:rPr>
        <w:t>三</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val="0"/>
          <w:bCs w:val="0"/>
          <w:sz w:val="28"/>
          <w:szCs w:val="28"/>
        </w:rPr>
        <w:t>考核方式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Ansi="宋体"/>
          <w:sz w:val="28"/>
          <w:szCs w:val="28"/>
        </w:rPr>
      </w:pPr>
      <w:r>
        <w:rPr>
          <w:rFonts w:hint="eastAsia" w:ascii="方正仿宋简体" w:hAnsi="方正仿宋简体" w:eastAsia="方正仿宋简体" w:cs="方正仿宋简体"/>
          <w:bCs/>
          <w:sz w:val="28"/>
          <w:szCs w:val="28"/>
        </w:rPr>
        <w:t>考核小组在每月10日前对公司管道巡护工作进行考核，考核结果纳入公司过程考核，并提交劳资管理人员，在绩效奖发放时体现；管道管理部门在每月10日前组织公司相关部门审核承包商上报的报表、计划等相关资料，结合日常监督检查情况对承包商进行考核，考核结果作为公司与承包商费用结算的重要参考。</w:t>
      </w:r>
    </w:p>
    <w:p>
      <w:pPr>
        <w:outlineLvl w:val="9"/>
        <w:rPr>
          <w:rFonts w:hint="eastAsia" w:ascii="宋体" w:hAnsi="宋体" w:cs="宋体"/>
          <w:b/>
          <w:sz w:val="28"/>
          <w:szCs w:val="28"/>
        </w:rPr>
      </w:pPr>
    </w:p>
    <w:p>
      <w:pPr>
        <w:jc w:val="center"/>
        <w:outlineLvl w:val="9"/>
        <w:rPr>
          <w:rFonts w:ascii="宋体" w:hAnsi="宋体" w:cs="宋体"/>
          <w:b/>
          <w:sz w:val="28"/>
          <w:szCs w:val="28"/>
        </w:rPr>
      </w:pPr>
      <w:r>
        <w:rPr>
          <w:rFonts w:hint="eastAsia" w:ascii="宋体" w:hAnsi="宋体" w:cs="宋体"/>
          <w:b/>
          <w:sz w:val="28"/>
          <w:szCs w:val="28"/>
        </w:rPr>
        <w:t>工作管理考核标准</w:t>
      </w:r>
    </w:p>
    <w:tbl>
      <w:tblPr>
        <w:tblStyle w:val="51"/>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245"/>
        <w:gridCol w:w="2175"/>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ascii="宋体" w:hAnsi="宋体"/>
                <w:b/>
                <w:szCs w:val="21"/>
              </w:rPr>
            </w:pPr>
            <w:r>
              <w:rPr>
                <w:rFonts w:hint="eastAsia" w:ascii="宋体" w:hAnsi="宋体"/>
                <w:b/>
                <w:szCs w:val="21"/>
              </w:rPr>
              <w:t>序号</w:t>
            </w:r>
          </w:p>
        </w:tc>
        <w:tc>
          <w:tcPr>
            <w:tcW w:w="4245" w:type="dxa"/>
            <w:vAlign w:val="center"/>
          </w:tcPr>
          <w:p>
            <w:pPr>
              <w:jc w:val="center"/>
              <w:outlineLvl w:val="9"/>
              <w:rPr>
                <w:rFonts w:ascii="宋体" w:hAnsi="宋体"/>
                <w:b/>
                <w:szCs w:val="21"/>
              </w:rPr>
            </w:pPr>
            <w:r>
              <w:rPr>
                <w:rFonts w:hint="eastAsia" w:ascii="宋体" w:hAnsi="宋体"/>
                <w:b/>
                <w:szCs w:val="21"/>
              </w:rPr>
              <w:t>工作质量问题</w:t>
            </w:r>
          </w:p>
        </w:tc>
        <w:tc>
          <w:tcPr>
            <w:tcW w:w="2175" w:type="dxa"/>
            <w:vAlign w:val="center"/>
          </w:tcPr>
          <w:p>
            <w:pPr>
              <w:jc w:val="center"/>
              <w:outlineLvl w:val="9"/>
              <w:rPr>
                <w:rFonts w:ascii="宋体" w:hAnsi="宋体"/>
                <w:b/>
                <w:szCs w:val="21"/>
              </w:rPr>
            </w:pPr>
            <w:r>
              <w:rPr>
                <w:rFonts w:hint="eastAsia" w:ascii="宋体" w:hAnsi="宋体"/>
                <w:b/>
                <w:szCs w:val="21"/>
              </w:rPr>
              <w:t>扣减奖金（元/次）</w:t>
            </w:r>
          </w:p>
        </w:tc>
        <w:tc>
          <w:tcPr>
            <w:tcW w:w="2274" w:type="dxa"/>
            <w:vAlign w:val="center"/>
          </w:tcPr>
          <w:p>
            <w:pPr>
              <w:jc w:val="center"/>
              <w:outlineLvl w:val="9"/>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ascii="宋体" w:hAnsi="宋体"/>
                <w:b/>
                <w:szCs w:val="21"/>
              </w:rPr>
            </w:pPr>
            <w:r>
              <w:rPr>
                <w:rFonts w:hint="eastAsia" w:ascii="宋体" w:hAnsi="宋体"/>
                <w:b/>
                <w:szCs w:val="21"/>
              </w:rPr>
              <w:t>1</w:t>
            </w:r>
          </w:p>
        </w:tc>
        <w:tc>
          <w:tcPr>
            <w:tcW w:w="4245" w:type="dxa"/>
            <w:vAlign w:val="center"/>
          </w:tcPr>
          <w:p>
            <w:pPr>
              <w:outlineLvl w:val="9"/>
              <w:rPr>
                <w:rFonts w:ascii="宋体" w:hAnsi="宋体"/>
                <w:szCs w:val="21"/>
              </w:rPr>
            </w:pPr>
            <w:r>
              <w:rPr>
                <w:rFonts w:hint="eastAsia" w:ascii="宋体" w:hAnsi="宋体"/>
                <w:szCs w:val="21"/>
              </w:rPr>
              <w:t xml:space="preserve">未制定管道巡护管理制度 </w:t>
            </w:r>
          </w:p>
        </w:tc>
        <w:tc>
          <w:tcPr>
            <w:tcW w:w="2175" w:type="dxa"/>
            <w:vAlign w:val="center"/>
          </w:tcPr>
          <w:p>
            <w:pPr>
              <w:jc w:val="center"/>
              <w:outlineLvl w:val="9"/>
              <w:rPr>
                <w:rFonts w:hint="eastAsia" w:ascii="宋体" w:hAnsi="宋体"/>
                <w:b/>
                <w:szCs w:val="21"/>
              </w:rPr>
            </w:pPr>
            <w:r>
              <w:rPr>
                <w:rFonts w:hint="eastAsia" w:ascii="宋体" w:hAnsi="宋体"/>
                <w:b/>
                <w:szCs w:val="21"/>
              </w:rPr>
              <w:t>100</w:t>
            </w:r>
          </w:p>
        </w:tc>
        <w:tc>
          <w:tcPr>
            <w:tcW w:w="2274"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ascii="宋体" w:hAnsi="宋体"/>
                <w:b/>
                <w:szCs w:val="21"/>
              </w:rPr>
            </w:pPr>
            <w:r>
              <w:rPr>
                <w:rFonts w:hint="eastAsia" w:ascii="宋体" w:hAnsi="宋体"/>
                <w:b/>
                <w:szCs w:val="21"/>
              </w:rPr>
              <w:t>2</w:t>
            </w:r>
          </w:p>
        </w:tc>
        <w:tc>
          <w:tcPr>
            <w:tcW w:w="4245" w:type="dxa"/>
            <w:vAlign w:val="center"/>
          </w:tcPr>
          <w:p>
            <w:pPr>
              <w:outlineLvl w:val="9"/>
              <w:rPr>
                <w:rFonts w:ascii="宋体" w:hAnsi="宋体"/>
                <w:szCs w:val="21"/>
              </w:rPr>
            </w:pPr>
            <w:r>
              <w:rPr>
                <w:rFonts w:hint="eastAsia" w:ascii="宋体" w:hAnsi="宋体"/>
                <w:szCs w:val="21"/>
              </w:rPr>
              <w:t>未制定下达巡护计划</w:t>
            </w:r>
          </w:p>
        </w:tc>
        <w:tc>
          <w:tcPr>
            <w:tcW w:w="2175" w:type="dxa"/>
            <w:vAlign w:val="center"/>
          </w:tcPr>
          <w:p>
            <w:pPr>
              <w:jc w:val="center"/>
              <w:outlineLvl w:val="9"/>
              <w:rPr>
                <w:rFonts w:ascii="宋体" w:hAnsi="宋体"/>
                <w:b/>
                <w:szCs w:val="21"/>
              </w:rPr>
            </w:pPr>
            <w:r>
              <w:rPr>
                <w:rFonts w:hint="eastAsia" w:ascii="宋体" w:hAnsi="宋体"/>
                <w:b/>
                <w:szCs w:val="21"/>
              </w:rPr>
              <w:t>100</w:t>
            </w:r>
          </w:p>
        </w:tc>
        <w:tc>
          <w:tcPr>
            <w:tcW w:w="2274"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ascii="宋体" w:hAnsi="宋体"/>
                <w:b/>
                <w:szCs w:val="21"/>
              </w:rPr>
            </w:pPr>
            <w:r>
              <w:rPr>
                <w:rFonts w:hint="eastAsia" w:ascii="宋体" w:hAnsi="宋体"/>
                <w:b/>
                <w:szCs w:val="21"/>
              </w:rPr>
              <w:t>3</w:t>
            </w:r>
          </w:p>
        </w:tc>
        <w:tc>
          <w:tcPr>
            <w:tcW w:w="4245" w:type="dxa"/>
            <w:vAlign w:val="center"/>
          </w:tcPr>
          <w:p>
            <w:pPr>
              <w:outlineLvl w:val="9"/>
              <w:rPr>
                <w:rFonts w:ascii="宋体" w:hAnsi="宋体"/>
                <w:szCs w:val="21"/>
              </w:rPr>
            </w:pPr>
            <w:r>
              <w:rPr>
                <w:rFonts w:hint="eastAsia" w:ascii="宋体" w:hAnsi="宋体"/>
                <w:szCs w:val="21"/>
              </w:rPr>
              <w:t>未按计划开展巡线工作</w:t>
            </w:r>
          </w:p>
        </w:tc>
        <w:tc>
          <w:tcPr>
            <w:tcW w:w="2175" w:type="dxa"/>
            <w:vAlign w:val="center"/>
          </w:tcPr>
          <w:p>
            <w:pPr>
              <w:jc w:val="center"/>
              <w:outlineLvl w:val="9"/>
              <w:rPr>
                <w:rFonts w:ascii="宋体" w:hAnsi="宋体"/>
                <w:b/>
                <w:szCs w:val="21"/>
              </w:rPr>
            </w:pPr>
            <w:r>
              <w:rPr>
                <w:rFonts w:hint="eastAsia" w:ascii="宋体" w:hAnsi="宋体"/>
                <w:b/>
                <w:szCs w:val="21"/>
              </w:rPr>
              <w:t>100</w:t>
            </w:r>
          </w:p>
        </w:tc>
        <w:tc>
          <w:tcPr>
            <w:tcW w:w="2274" w:type="dxa"/>
            <w:vAlign w:val="center"/>
          </w:tcPr>
          <w:p>
            <w:pPr>
              <w:outlineLvl w:val="9"/>
              <w:rPr>
                <w:rFonts w:hint="eastAsia" w:ascii="宋体" w:hAnsi="宋体"/>
                <w:szCs w:val="21"/>
              </w:rPr>
            </w:pPr>
            <w:r>
              <w:rPr>
                <w:rFonts w:hint="eastAsia" w:ascii="宋体" w:hAnsi="宋体"/>
                <w:szCs w:val="21"/>
              </w:rPr>
              <w:t>每季度考核一次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ascii="宋体" w:hAnsi="宋体"/>
                <w:b/>
                <w:szCs w:val="21"/>
              </w:rPr>
            </w:pPr>
            <w:r>
              <w:rPr>
                <w:rFonts w:hint="eastAsia" w:ascii="宋体" w:hAnsi="宋体"/>
                <w:b/>
                <w:szCs w:val="21"/>
              </w:rPr>
              <w:t>4</w:t>
            </w:r>
          </w:p>
        </w:tc>
        <w:tc>
          <w:tcPr>
            <w:tcW w:w="4245" w:type="dxa"/>
            <w:vAlign w:val="center"/>
          </w:tcPr>
          <w:p>
            <w:pPr>
              <w:spacing w:line="300" w:lineRule="auto"/>
              <w:outlineLvl w:val="9"/>
              <w:rPr>
                <w:rFonts w:hint="eastAsia" w:ascii="宋体" w:hAnsi="宋体"/>
                <w:szCs w:val="21"/>
              </w:rPr>
            </w:pPr>
            <w:r>
              <w:rPr>
                <w:rFonts w:hint="eastAsia" w:ascii="宋体" w:hAnsi="宋体"/>
                <w:szCs w:val="21"/>
              </w:rPr>
              <w:t>未督促责任片区内巡线员开展巡线工作，导致巡线质量不高（失效自主发现率低于85%）</w:t>
            </w:r>
          </w:p>
        </w:tc>
        <w:tc>
          <w:tcPr>
            <w:tcW w:w="2175" w:type="dxa"/>
            <w:vAlign w:val="center"/>
          </w:tcPr>
          <w:p>
            <w:pPr>
              <w:jc w:val="center"/>
              <w:outlineLvl w:val="9"/>
              <w:rPr>
                <w:rFonts w:hint="eastAsia" w:ascii="宋体" w:hAnsi="宋体"/>
                <w:b/>
                <w:szCs w:val="21"/>
              </w:rPr>
            </w:pPr>
            <w:r>
              <w:rPr>
                <w:rFonts w:hint="eastAsia" w:ascii="宋体" w:hAnsi="宋体"/>
                <w:b/>
                <w:szCs w:val="21"/>
              </w:rPr>
              <w:t>100</w:t>
            </w:r>
          </w:p>
        </w:tc>
        <w:tc>
          <w:tcPr>
            <w:tcW w:w="2274"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hint="eastAsia" w:ascii="宋体" w:hAnsi="宋体"/>
                <w:b/>
                <w:szCs w:val="21"/>
              </w:rPr>
            </w:pPr>
            <w:r>
              <w:rPr>
                <w:rFonts w:hint="eastAsia" w:ascii="宋体" w:hAnsi="宋体"/>
                <w:b/>
                <w:szCs w:val="21"/>
              </w:rPr>
              <w:t>5</w:t>
            </w:r>
          </w:p>
        </w:tc>
        <w:tc>
          <w:tcPr>
            <w:tcW w:w="4245" w:type="dxa"/>
            <w:vAlign w:val="center"/>
          </w:tcPr>
          <w:p>
            <w:pPr>
              <w:spacing w:line="300" w:lineRule="auto"/>
              <w:outlineLvl w:val="9"/>
              <w:rPr>
                <w:rFonts w:ascii="宋体" w:hAnsi="宋体"/>
                <w:szCs w:val="21"/>
              </w:rPr>
            </w:pPr>
            <w:r>
              <w:rPr>
                <w:rFonts w:hint="eastAsia" w:ascii="宋体" w:hAnsi="宋体"/>
                <w:szCs w:val="21"/>
              </w:rPr>
              <w:t>新增占压隐患</w:t>
            </w:r>
          </w:p>
        </w:tc>
        <w:tc>
          <w:tcPr>
            <w:tcW w:w="2175" w:type="dxa"/>
            <w:vAlign w:val="center"/>
          </w:tcPr>
          <w:p>
            <w:pPr>
              <w:jc w:val="center"/>
              <w:outlineLvl w:val="9"/>
              <w:rPr>
                <w:rFonts w:ascii="宋体" w:hAnsi="宋体"/>
                <w:b/>
                <w:szCs w:val="21"/>
              </w:rPr>
            </w:pPr>
            <w:r>
              <w:rPr>
                <w:rFonts w:hint="eastAsia" w:ascii="宋体" w:hAnsi="宋体"/>
                <w:b/>
                <w:szCs w:val="21"/>
              </w:rPr>
              <w:t>100——500</w:t>
            </w:r>
          </w:p>
        </w:tc>
        <w:tc>
          <w:tcPr>
            <w:tcW w:w="2274"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04" w:type="dxa"/>
            <w:vAlign w:val="center"/>
          </w:tcPr>
          <w:p>
            <w:pPr>
              <w:jc w:val="center"/>
              <w:outlineLvl w:val="9"/>
              <w:rPr>
                <w:rFonts w:hint="eastAsia" w:ascii="宋体" w:hAnsi="宋体"/>
                <w:b/>
                <w:szCs w:val="21"/>
              </w:rPr>
            </w:pPr>
            <w:r>
              <w:rPr>
                <w:rFonts w:hint="eastAsia" w:ascii="宋体" w:hAnsi="宋体"/>
                <w:b/>
                <w:szCs w:val="21"/>
              </w:rPr>
              <w:t>6</w:t>
            </w:r>
          </w:p>
        </w:tc>
        <w:tc>
          <w:tcPr>
            <w:tcW w:w="4245" w:type="dxa"/>
            <w:vAlign w:val="center"/>
          </w:tcPr>
          <w:p>
            <w:pPr>
              <w:outlineLvl w:val="9"/>
              <w:rPr>
                <w:rFonts w:hint="eastAsia" w:ascii="宋体" w:hAnsi="宋体"/>
                <w:szCs w:val="21"/>
              </w:rPr>
            </w:pPr>
            <w:r>
              <w:rPr>
                <w:rFonts w:hint="eastAsia" w:ascii="宋体" w:hAnsi="宋体"/>
                <w:szCs w:val="21"/>
              </w:rPr>
              <w:t>发生第三方破坏</w:t>
            </w:r>
          </w:p>
        </w:tc>
        <w:tc>
          <w:tcPr>
            <w:tcW w:w="2175" w:type="dxa"/>
            <w:vAlign w:val="center"/>
          </w:tcPr>
          <w:p>
            <w:pPr>
              <w:jc w:val="center"/>
              <w:outlineLvl w:val="9"/>
              <w:rPr>
                <w:rFonts w:hint="eastAsia" w:ascii="宋体" w:hAnsi="宋体"/>
                <w:b/>
                <w:szCs w:val="21"/>
              </w:rPr>
            </w:pPr>
            <w:r>
              <w:rPr>
                <w:rFonts w:hint="eastAsia" w:ascii="宋体" w:hAnsi="宋体"/>
                <w:b/>
                <w:szCs w:val="21"/>
              </w:rPr>
              <w:t>100——500</w:t>
            </w:r>
          </w:p>
        </w:tc>
        <w:tc>
          <w:tcPr>
            <w:tcW w:w="2274" w:type="dxa"/>
            <w:vAlign w:val="center"/>
          </w:tcPr>
          <w:p>
            <w:pPr>
              <w:outlineLvl w:val="9"/>
              <w:rPr>
                <w:rFonts w:ascii="宋体" w:hAnsi="宋体"/>
                <w:szCs w:val="21"/>
              </w:rPr>
            </w:pPr>
          </w:p>
        </w:tc>
      </w:tr>
    </w:tbl>
    <w:p>
      <w:pPr>
        <w:jc w:val="center"/>
        <w:outlineLvl w:val="9"/>
        <w:rPr>
          <w:rFonts w:hint="eastAsia" w:ascii="宋体" w:hAnsi="宋体" w:cs="宋体"/>
          <w:b/>
          <w:sz w:val="28"/>
          <w:szCs w:val="28"/>
        </w:rPr>
      </w:pPr>
    </w:p>
    <w:p>
      <w:pPr>
        <w:jc w:val="center"/>
        <w:outlineLvl w:val="9"/>
        <w:rPr>
          <w:rFonts w:hint="eastAsia" w:ascii="宋体" w:hAnsi="宋体" w:cs="宋体"/>
          <w:b/>
          <w:sz w:val="28"/>
          <w:szCs w:val="28"/>
        </w:rPr>
      </w:pPr>
    </w:p>
    <w:p>
      <w:pPr>
        <w:jc w:val="center"/>
        <w:outlineLvl w:val="9"/>
        <w:rPr>
          <w:rFonts w:hint="eastAsia" w:ascii="宋体" w:hAnsi="宋体" w:cs="宋体"/>
          <w:b/>
          <w:sz w:val="28"/>
          <w:szCs w:val="28"/>
        </w:rPr>
      </w:pPr>
    </w:p>
    <w:p>
      <w:pPr>
        <w:jc w:val="center"/>
        <w:outlineLvl w:val="9"/>
        <w:rPr>
          <w:rFonts w:hint="eastAsia" w:ascii="宋体" w:hAnsi="宋体" w:cs="宋体"/>
          <w:b/>
          <w:sz w:val="28"/>
          <w:szCs w:val="28"/>
        </w:rPr>
      </w:pPr>
    </w:p>
    <w:p>
      <w:pPr>
        <w:jc w:val="center"/>
        <w:outlineLvl w:val="9"/>
        <w:rPr>
          <w:rFonts w:hint="eastAsia" w:ascii="宋体" w:hAnsi="宋体" w:cs="宋体"/>
          <w:b/>
          <w:sz w:val="28"/>
          <w:szCs w:val="28"/>
        </w:rPr>
      </w:pPr>
    </w:p>
    <w:p>
      <w:pPr>
        <w:jc w:val="center"/>
        <w:outlineLvl w:val="9"/>
        <w:rPr>
          <w:rFonts w:hint="eastAsia" w:ascii="宋体" w:hAnsi="宋体" w:cs="宋体"/>
          <w:b/>
          <w:sz w:val="28"/>
          <w:szCs w:val="28"/>
        </w:rPr>
      </w:pPr>
    </w:p>
    <w:p>
      <w:pPr>
        <w:outlineLvl w:val="9"/>
        <w:rPr>
          <w:rFonts w:hint="eastAsia" w:ascii="宋体" w:hAnsi="宋体" w:cs="宋体"/>
          <w:b/>
          <w:sz w:val="28"/>
          <w:szCs w:val="28"/>
        </w:rPr>
      </w:pPr>
    </w:p>
    <w:p>
      <w:pPr>
        <w:jc w:val="center"/>
        <w:outlineLvl w:val="9"/>
        <w:rPr>
          <w:rFonts w:ascii="宋体" w:hAnsi="宋体" w:cs="宋体"/>
          <w:b/>
          <w:sz w:val="28"/>
          <w:szCs w:val="28"/>
        </w:rPr>
      </w:pPr>
      <w:r>
        <w:rPr>
          <w:rFonts w:hint="eastAsia" w:ascii="宋体" w:hAnsi="宋体" w:cs="宋体"/>
          <w:b/>
          <w:sz w:val="28"/>
          <w:szCs w:val="28"/>
        </w:rPr>
        <w:t>承包商及巡线员考核标准</w:t>
      </w:r>
    </w:p>
    <w:tbl>
      <w:tblPr>
        <w:tblStyle w:val="51"/>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5625"/>
        <w:gridCol w:w="236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04" w:type="dxa"/>
            <w:vAlign w:val="center"/>
          </w:tcPr>
          <w:p>
            <w:pPr>
              <w:jc w:val="center"/>
              <w:outlineLvl w:val="9"/>
              <w:rPr>
                <w:rFonts w:ascii="宋体" w:hAnsi="宋体"/>
                <w:b/>
                <w:szCs w:val="21"/>
              </w:rPr>
            </w:pPr>
            <w:r>
              <w:rPr>
                <w:rFonts w:hint="eastAsia" w:ascii="宋体" w:hAnsi="宋体"/>
                <w:b/>
                <w:szCs w:val="21"/>
              </w:rPr>
              <w:t>序号</w:t>
            </w:r>
          </w:p>
        </w:tc>
        <w:tc>
          <w:tcPr>
            <w:tcW w:w="5625" w:type="dxa"/>
            <w:vAlign w:val="center"/>
          </w:tcPr>
          <w:p>
            <w:pPr>
              <w:jc w:val="center"/>
              <w:outlineLvl w:val="9"/>
              <w:rPr>
                <w:rFonts w:ascii="宋体" w:hAnsi="宋体"/>
                <w:b/>
                <w:szCs w:val="21"/>
              </w:rPr>
            </w:pPr>
            <w:r>
              <w:rPr>
                <w:rFonts w:hint="eastAsia" w:ascii="宋体" w:hAnsi="宋体"/>
                <w:b/>
                <w:szCs w:val="21"/>
              </w:rPr>
              <w:t>工作质量问题</w:t>
            </w:r>
          </w:p>
        </w:tc>
        <w:tc>
          <w:tcPr>
            <w:tcW w:w="2360" w:type="dxa"/>
            <w:vAlign w:val="center"/>
          </w:tcPr>
          <w:p>
            <w:pPr>
              <w:jc w:val="center"/>
              <w:outlineLvl w:val="9"/>
              <w:rPr>
                <w:rFonts w:ascii="宋体" w:hAnsi="宋体"/>
                <w:b/>
                <w:szCs w:val="21"/>
              </w:rPr>
            </w:pPr>
            <w:r>
              <w:rPr>
                <w:rFonts w:hint="eastAsia" w:ascii="宋体" w:hAnsi="宋体"/>
                <w:b/>
                <w:szCs w:val="21"/>
              </w:rPr>
              <w:t>扣减合同款（元/次）</w:t>
            </w:r>
          </w:p>
        </w:tc>
        <w:tc>
          <w:tcPr>
            <w:tcW w:w="709" w:type="dxa"/>
            <w:vAlign w:val="center"/>
          </w:tcPr>
          <w:p>
            <w:pPr>
              <w:jc w:val="center"/>
              <w:outlineLvl w:val="9"/>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804" w:type="dxa"/>
            <w:vAlign w:val="center"/>
          </w:tcPr>
          <w:p>
            <w:pPr>
              <w:jc w:val="center"/>
              <w:outlineLvl w:val="9"/>
              <w:rPr>
                <w:rFonts w:ascii="宋体" w:hAnsi="宋体"/>
                <w:b/>
                <w:szCs w:val="21"/>
              </w:rPr>
            </w:pPr>
            <w:r>
              <w:rPr>
                <w:rFonts w:hint="eastAsia" w:ascii="宋体" w:hAnsi="宋体"/>
                <w:b/>
                <w:szCs w:val="21"/>
              </w:rPr>
              <w:t>1</w:t>
            </w:r>
          </w:p>
        </w:tc>
        <w:tc>
          <w:tcPr>
            <w:tcW w:w="5625" w:type="dxa"/>
            <w:vAlign w:val="center"/>
          </w:tcPr>
          <w:p>
            <w:pPr>
              <w:outlineLvl w:val="9"/>
              <w:rPr>
                <w:rFonts w:ascii="宋体" w:hAnsi="宋体"/>
                <w:szCs w:val="21"/>
              </w:rPr>
            </w:pPr>
            <w:r>
              <w:rPr>
                <w:rFonts w:hint="eastAsia" w:ascii="宋体" w:hAnsi="宋体"/>
                <w:szCs w:val="21"/>
              </w:rPr>
              <w:t>未配备巡线业务专门的负责人常驻，或指定的负责人未经过培训合格或甲方认可</w:t>
            </w:r>
          </w:p>
        </w:tc>
        <w:tc>
          <w:tcPr>
            <w:tcW w:w="2360" w:type="dxa"/>
            <w:vAlign w:val="center"/>
          </w:tcPr>
          <w:p>
            <w:pPr>
              <w:jc w:val="center"/>
              <w:outlineLvl w:val="9"/>
              <w:rPr>
                <w:rFonts w:ascii="宋体" w:hAnsi="宋体"/>
                <w:b/>
                <w:szCs w:val="21"/>
              </w:rPr>
            </w:pPr>
            <w:r>
              <w:rPr>
                <w:rFonts w:hint="eastAsia" w:ascii="宋体" w:hAnsi="宋体"/>
                <w:b/>
                <w:szCs w:val="21"/>
              </w:rPr>
              <w:t>2000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04" w:type="dxa"/>
            <w:vAlign w:val="center"/>
          </w:tcPr>
          <w:p>
            <w:pPr>
              <w:jc w:val="center"/>
              <w:outlineLvl w:val="9"/>
              <w:rPr>
                <w:rFonts w:ascii="宋体" w:hAnsi="宋体"/>
                <w:b/>
                <w:szCs w:val="21"/>
              </w:rPr>
            </w:pPr>
            <w:r>
              <w:rPr>
                <w:rFonts w:hint="eastAsia" w:ascii="宋体" w:hAnsi="宋体"/>
                <w:b/>
                <w:szCs w:val="21"/>
              </w:rPr>
              <w:t>2</w:t>
            </w:r>
          </w:p>
        </w:tc>
        <w:tc>
          <w:tcPr>
            <w:tcW w:w="5625" w:type="dxa"/>
            <w:vAlign w:val="center"/>
          </w:tcPr>
          <w:p>
            <w:pPr>
              <w:outlineLvl w:val="9"/>
              <w:rPr>
                <w:rFonts w:ascii="宋体" w:hAnsi="宋体"/>
                <w:szCs w:val="21"/>
              </w:rPr>
            </w:pPr>
            <w:r>
              <w:rPr>
                <w:rFonts w:hint="eastAsia" w:ascii="宋体" w:hAnsi="宋体"/>
                <w:szCs w:val="21"/>
              </w:rPr>
              <w:t>巡线人员数量或者巡线人员的劳保、工器具、设备设施未按要求配备或者未配备齐全，巡线人员调整未经过甲方签认</w:t>
            </w:r>
          </w:p>
        </w:tc>
        <w:tc>
          <w:tcPr>
            <w:tcW w:w="2360" w:type="dxa"/>
            <w:vAlign w:val="center"/>
          </w:tcPr>
          <w:p>
            <w:pPr>
              <w:jc w:val="center"/>
              <w:outlineLvl w:val="9"/>
              <w:rPr>
                <w:rFonts w:ascii="宋体" w:hAnsi="宋体"/>
                <w:b/>
                <w:szCs w:val="21"/>
              </w:rPr>
            </w:pPr>
            <w:r>
              <w:rPr>
                <w:rFonts w:hint="eastAsia" w:ascii="宋体" w:hAnsi="宋体"/>
                <w:b/>
                <w:szCs w:val="21"/>
              </w:rPr>
              <w:t>1000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804" w:type="dxa"/>
            <w:vAlign w:val="center"/>
          </w:tcPr>
          <w:p>
            <w:pPr>
              <w:jc w:val="center"/>
              <w:outlineLvl w:val="9"/>
              <w:rPr>
                <w:rFonts w:ascii="宋体" w:hAnsi="宋体"/>
                <w:b/>
                <w:szCs w:val="21"/>
              </w:rPr>
            </w:pPr>
            <w:r>
              <w:rPr>
                <w:rFonts w:hint="eastAsia" w:ascii="宋体" w:hAnsi="宋体"/>
                <w:b/>
                <w:szCs w:val="21"/>
              </w:rPr>
              <w:t>3</w:t>
            </w:r>
          </w:p>
        </w:tc>
        <w:tc>
          <w:tcPr>
            <w:tcW w:w="5625" w:type="dxa"/>
            <w:vAlign w:val="center"/>
          </w:tcPr>
          <w:p>
            <w:pPr>
              <w:outlineLvl w:val="9"/>
              <w:rPr>
                <w:rFonts w:ascii="宋体" w:hAnsi="宋体"/>
                <w:szCs w:val="21"/>
              </w:rPr>
            </w:pPr>
            <w:r>
              <w:rPr>
                <w:rFonts w:hint="eastAsia" w:ascii="宋体" w:hAnsi="宋体"/>
                <w:szCs w:val="21"/>
              </w:rPr>
              <w:t>巡线人员未按时按质上报相关图片、文字信息</w:t>
            </w:r>
          </w:p>
        </w:tc>
        <w:tc>
          <w:tcPr>
            <w:tcW w:w="2360" w:type="dxa"/>
            <w:vAlign w:val="center"/>
          </w:tcPr>
          <w:p>
            <w:pPr>
              <w:jc w:val="center"/>
              <w:outlineLvl w:val="9"/>
              <w:rPr>
                <w:rFonts w:ascii="宋体" w:hAnsi="宋体"/>
                <w:b/>
                <w:szCs w:val="21"/>
              </w:rPr>
            </w:pPr>
            <w:r>
              <w:rPr>
                <w:rFonts w:hint="eastAsia" w:ascii="宋体" w:hAnsi="宋体"/>
                <w:b/>
                <w:szCs w:val="21"/>
              </w:rPr>
              <w:t>300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804" w:type="dxa"/>
            <w:vAlign w:val="center"/>
          </w:tcPr>
          <w:p>
            <w:pPr>
              <w:jc w:val="center"/>
              <w:outlineLvl w:val="9"/>
              <w:rPr>
                <w:rFonts w:ascii="宋体" w:hAnsi="宋体"/>
                <w:b/>
                <w:szCs w:val="21"/>
              </w:rPr>
            </w:pPr>
            <w:r>
              <w:rPr>
                <w:rFonts w:hint="eastAsia" w:ascii="宋体" w:hAnsi="宋体"/>
                <w:b/>
                <w:szCs w:val="21"/>
              </w:rPr>
              <w:t>4</w:t>
            </w:r>
          </w:p>
        </w:tc>
        <w:tc>
          <w:tcPr>
            <w:tcW w:w="5625" w:type="dxa"/>
            <w:vAlign w:val="center"/>
          </w:tcPr>
          <w:p>
            <w:pPr>
              <w:spacing w:line="300" w:lineRule="auto"/>
              <w:outlineLvl w:val="9"/>
              <w:rPr>
                <w:rFonts w:ascii="宋体" w:hAnsi="宋体"/>
                <w:szCs w:val="21"/>
              </w:rPr>
            </w:pPr>
            <w:r>
              <w:rPr>
                <w:rFonts w:hint="eastAsia" w:ascii="宋体" w:hAnsi="宋体"/>
                <w:szCs w:val="21"/>
              </w:rPr>
              <w:t>上报的轨迹图、记录报表等基础资料信息弄虚作假</w:t>
            </w:r>
          </w:p>
        </w:tc>
        <w:tc>
          <w:tcPr>
            <w:tcW w:w="2360" w:type="dxa"/>
            <w:vAlign w:val="center"/>
          </w:tcPr>
          <w:p>
            <w:pPr>
              <w:jc w:val="center"/>
              <w:outlineLvl w:val="9"/>
              <w:rPr>
                <w:rFonts w:ascii="宋体" w:hAnsi="宋体"/>
                <w:b/>
                <w:szCs w:val="21"/>
              </w:rPr>
            </w:pPr>
            <w:r>
              <w:rPr>
                <w:rFonts w:hint="eastAsia" w:ascii="宋体" w:hAnsi="宋体"/>
                <w:b/>
                <w:szCs w:val="21"/>
              </w:rPr>
              <w:t>2000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804" w:type="dxa"/>
            <w:vAlign w:val="center"/>
          </w:tcPr>
          <w:p>
            <w:pPr>
              <w:jc w:val="center"/>
              <w:outlineLvl w:val="9"/>
              <w:rPr>
                <w:rFonts w:ascii="宋体" w:hAnsi="宋体"/>
                <w:b/>
                <w:szCs w:val="21"/>
              </w:rPr>
            </w:pPr>
            <w:r>
              <w:rPr>
                <w:rFonts w:hint="eastAsia" w:ascii="宋体" w:hAnsi="宋体"/>
                <w:b/>
                <w:szCs w:val="21"/>
              </w:rPr>
              <w:t>5</w:t>
            </w:r>
          </w:p>
        </w:tc>
        <w:tc>
          <w:tcPr>
            <w:tcW w:w="5625" w:type="dxa"/>
            <w:vAlign w:val="center"/>
          </w:tcPr>
          <w:p>
            <w:pPr>
              <w:outlineLvl w:val="9"/>
              <w:rPr>
                <w:rFonts w:ascii="宋体" w:hAnsi="宋体"/>
                <w:szCs w:val="21"/>
              </w:rPr>
            </w:pPr>
            <w:r>
              <w:rPr>
                <w:rFonts w:hint="eastAsia" w:ascii="宋体" w:hAnsi="宋体"/>
                <w:szCs w:val="21"/>
              </w:rPr>
              <w:t>对第三方施工现场监控不到位导致第三方破坏管道或新增第三方占压隐患</w:t>
            </w:r>
          </w:p>
        </w:tc>
        <w:tc>
          <w:tcPr>
            <w:tcW w:w="2360" w:type="dxa"/>
            <w:vAlign w:val="center"/>
          </w:tcPr>
          <w:p>
            <w:pPr>
              <w:jc w:val="center"/>
              <w:outlineLvl w:val="9"/>
              <w:rPr>
                <w:rFonts w:ascii="宋体" w:hAnsi="宋体"/>
                <w:b/>
                <w:szCs w:val="21"/>
              </w:rPr>
            </w:pPr>
            <w:r>
              <w:rPr>
                <w:rFonts w:hint="eastAsia" w:ascii="宋体" w:hAnsi="宋体"/>
                <w:b/>
                <w:szCs w:val="21"/>
              </w:rPr>
              <w:t>2000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804" w:type="dxa"/>
            <w:vAlign w:val="center"/>
          </w:tcPr>
          <w:p>
            <w:pPr>
              <w:jc w:val="center"/>
              <w:outlineLvl w:val="9"/>
              <w:rPr>
                <w:rFonts w:ascii="宋体" w:hAnsi="宋体"/>
                <w:b/>
                <w:szCs w:val="21"/>
              </w:rPr>
            </w:pPr>
            <w:r>
              <w:rPr>
                <w:rFonts w:hint="eastAsia" w:ascii="宋体" w:hAnsi="宋体"/>
                <w:b/>
                <w:szCs w:val="21"/>
              </w:rPr>
              <w:t>6</w:t>
            </w:r>
          </w:p>
        </w:tc>
        <w:tc>
          <w:tcPr>
            <w:tcW w:w="5625" w:type="dxa"/>
            <w:vAlign w:val="center"/>
          </w:tcPr>
          <w:p>
            <w:pPr>
              <w:outlineLvl w:val="9"/>
              <w:rPr>
                <w:rFonts w:ascii="宋体" w:hAnsi="宋体"/>
                <w:szCs w:val="21"/>
              </w:rPr>
            </w:pPr>
            <w:r>
              <w:rPr>
                <w:rFonts w:hint="eastAsia" w:ascii="宋体" w:hAnsi="宋体"/>
                <w:szCs w:val="21"/>
              </w:rPr>
              <w:t>未及时向相关第三方（水、电、气、施工方、用户等）递交相关告知、文件</w:t>
            </w:r>
          </w:p>
        </w:tc>
        <w:tc>
          <w:tcPr>
            <w:tcW w:w="2360" w:type="dxa"/>
            <w:vAlign w:val="center"/>
          </w:tcPr>
          <w:p>
            <w:pPr>
              <w:jc w:val="center"/>
              <w:outlineLvl w:val="9"/>
              <w:rPr>
                <w:rFonts w:ascii="宋体" w:hAnsi="宋体"/>
                <w:b/>
                <w:szCs w:val="21"/>
              </w:rPr>
            </w:pPr>
            <w:r>
              <w:rPr>
                <w:rFonts w:hint="eastAsia" w:ascii="宋体" w:hAnsi="宋体"/>
                <w:b/>
                <w:szCs w:val="21"/>
              </w:rPr>
              <w:t>1000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804" w:type="dxa"/>
            <w:vAlign w:val="center"/>
          </w:tcPr>
          <w:p>
            <w:pPr>
              <w:jc w:val="center"/>
              <w:outlineLvl w:val="9"/>
              <w:rPr>
                <w:rFonts w:ascii="宋体" w:hAnsi="宋体"/>
                <w:b/>
                <w:szCs w:val="21"/>
              </w:rPr>
            </w:pPr>
            <w:r>
              <w:rPr>
                <w:rFonts w:hint="eastAsia" w:ascii="宋体" w:hAnsi="宋体"/>
                <w:b/>
                <w:szCs w:val="21"/>
              </w:rPr>
              <w:t>7</w:t>
            </w:r>
          </w:p>
        </w:tc>
        <w:tc>
          <w:tcPr>
            <w:tcW w:w="5625" w:type="dxa"/>
            <w:vAlign w:val="center"/>
          </w:tcPr>
          <w:p>
            <w:pPr>
              <w:outlineLvl w:val="9"/>
              <w:rPr>
                <w:rFonts w:ascii="宋体" w:hAnsi="宋体"/>
                <w:szCs w:val="21"/>
              </w:rPr>
            </w:pPr>
            <w:r>
              <w:rPr>
                <w:rFonts w:hint="eastAsia" w:ascii="宋体" w:hAnsi="宋体"/>
                <w:szCs w:val="21"/>
              </w:rPr>
              <w:t>管道失效自主发现率低于85%</w:t>
            </w:r>
          </w:p>
        </w:tc>
        <w:tc>
          <w:tcPr>
            <w:tcW w:w="2360" w:type="dxa"/>
            <w:vAlign w:val="center"/>
          </w:tcPr>
          <w:p>
            <w:pPr>
              <w:jc w:val="center"/>
              <w:outlineLvl w:val="9"/>
              <w:rPr>
                <w:rFonts w:ascii="宋体" w:hAnsi="宋体"/>
                <w:b/>
                <w:szCs w:val="21"/>
              </w:rPr>
            </w:pPr>
            <w:r>
              <w:rPr>
                <w:rFonts w:hint="eastAsia" w:ascii="宋体" w:hAnsi="宋体"/>
                <w:szCs w:val="21"/>
              </w:rPr>
              <w:t>每月考核一次，每次扣款2000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804" w:type="dxa"/>
            <w:vAlign w:val="center"/>
          </w:tcPr>
          <w:p>
            <w:pPr>
              <w:jc w:val="center"/>
              <w:outlineLvl w:val="9"/>
              <w:rPr>
                <w:rFonts w:ascii="宋体" w:hAnsi="宋体"/>
                <w:b/>
                <w:szCs w:val="21"/>
              </w:rPr>
            </w:pPr>
            <w:r>
              <w:rPr>
                <w:rFonts w:hint="eastAsia" w:ascii="宋体" w:hAnsi="宋体"/>
                <w:b/>
                <w:szCs w:val="21"/>
              </w:rPr>
              <w:t>8</w:t>
            </w:r>
          </w:p>
        </w:tc>
        <w:tc>
          <w:tcPr>
            <w:tcW w:w="5625" w:type="dxa"/>
            <w:vAlign w:val="center"/>
          </w:tcPr>
          <w:p>
            <w:pPr>
              <w:outlineLvl w:val="9"/>
              <w:rPr>
                <w:rFonts w:ascii="宋体" w:hAnsi="宋体"/>
                <w:szCs w:val="21"/>
              </w:rPr>
            </w:pPr>
            <w:r>
              <w:rPr>
                <w:rFonts w:hint="eastAsia" w:ascii="宋体" w:hAnsi="宋体"/>
                <w:szCs w:val="21"/>
              </w:rPr>
              <w:t>对工作中发现的问题及隐患未及时上报，整改完成后未及时进行确认并上报</w:t>
            </w:r>
          </w:p>
        </w:tc>
        <w:tc>
          <w:tcPr>
            <w:tcW w:w="2360" w:type="dxa"/>
            <w:vAlign w:val="center"/>
          </w:tcPr>
          <w:p>
            <w:pPr>
              <w:jc w:val="center"/>
              <w:outlineLvl w:val="9"/>
              <w:rPr>
                <w:rFonts w:ascii="宋体" w:hAnsi="宋体"/>
                <w:b/>
                <w:szCs w:val="21"/>
              </w:rPr>
            </w:pPr>
            <w:r>
              <w:rPr>
                <w:rFonts w:hint="eastAsia" w:ascii="宋体" w:hAnsi="宋体"/>
                <w:b/>
                <w:szCs w:val="21"/>
              </w:rPr>
              <w:t>500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804" w:type="dxa"/>
            <w:vAlign w:val="center"/>
          </w:tcPr>
          <w:p>
            <w:pPr>
              <w:jc w:val="center"/>
              <w:outlineLvl w:val="9"/>
              <w:rPr>
                <w:rFonts w:ascii="宋体" w:hAnsi="宋体"/>
                <w:b/>
                <w:szCs w:val="21"/>
              </w:rPr>
            </w:pPr>
            <w:r>
              <w:rPr>
                <w:rFonts w:hint="eastAsia" w:ascii="宋体" w:hAnsi="宋体"/>
                <w:b/>
                <w:szCs w:val="21"/>
              </w:rPr>
              <w:t>9</w:t>
            </w:r>
          </w:p>
        </w:tc>
        <w:tc>
          <w:tcPr>
            <w:tcW w:w="5625" w:type="dxa"/>
            <w:vAlign w:val="center"/>
          </w:tcPr>
          <w:p>
            <w:pPr>
              <w:outlineLvl w:val="9"/>
              <w:rPr>
                <w:rFonts w:ascii="宋体" w:hAnsi="宋体"/>
                <w:szCs w:val="21"/>
              </w:rPr>
            </w:pPr>
            <w:r>
              <w:rPr>
                <w:rFonts w:hint="eastAsia" w:ascii="宋体" w:hAnsi="宋体"/>
                <w:szCs w:val="21"/>
              </w:rPr>
              <w:t>对甲方提出的人员、工作整改意见，未及时处理完成</w:t>
            </w:r>
          </w:p>
        </w:tc>
        <w:tc>
          <w:tcPr>
            <w:tcW w:w="2360" w:type="dxa"/>
            <w:vAlign w:val="center"/>
          </w:tcPr>
          <w:p>
            <w:pPr>
              <w:jc w:val="center"/>
              <w:outlineLvl w:val="9"/>
              <w:rPr>
                <w:rFonts w:ascii="宋体" w:hAnsi="宋体"/>
                <w:b/>
                <w:szCs w:val="21"/>
              </w:rPr>
            </w:pPr>
            <w:r>
              <w:rPr>
                <w:rFonts w:hint="eastAsia" w:ascii="宋体" w:hAnsi="宋体"/>
                <w:b/>
                <w:szCs w:val="21"/>
              </w:rPr>
              <w:t>1000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804" w:type="dxa"/>
            <w:vAlign w:val="center"/>
          </w:tcPr>
          <w:p>
            <w:pPr>
              <w:jc w:val="center"/>
              <w:outlineLvl w:val="9"/>
              <w:rPr>
                <w:rFonts w:ascii="宋体" w:hAnsi="宋体"/>
                <w:b/>
                <w:szCs w:val="21"/>
              </w:rPr>
            </w:pPr>
            <w:r>
              <w:rPr>
                <w:rFonts w:hint="eastAsia" w:ascii="宋体" w:hAnsi="宋体"/>
                <w:b/>
                <w:szCs w:val="21"/>
              </w:rPr>
              <w:t>10</w:t>
            </w:r>
          </w:p>
        </w:tc>
        <w:tc>
          <w:tcPr>
            <w:tcW w:w="5625" w:type="dxa"/>
            <w:vAlign w:val="center"/>
          </w:tcPr>
          <w:p>
            <w:pPr>
              <w:outlineLvl w:val="9"/>
              <w:rPr>
                <w:rFonts w:ascii="宋体" w:hAnsi="宋体"/>
                <w:szCs w:val="21"/>
              </w:rPr>
            </w:pPr>
            <w:r>
              <w:rPr>
                <w:rFonts w:hint="eastAsia" w:ascii="宋体" w:hAnsi="宋体"/>
                <w:szCs w:val="21"/>
              </w:rPr>
              <w:t>因操作失误等原因对燃气管道、设备设施造成损坏</w:t>
            </w:r>
          </w:p>
        </w:tc>
        <w:tc>
          <w:tcPr>
            <w:tcW w:w="2360" w:type="dxa"/>
            <w:vAlign w:val="center"/>
          </w:tcPr>
          <w:p>
            <w:pPr>
              <w:jc w:val="center"/>
              <w:outlineLvl w:val="9"/>
              <w:rPr>
                <w:rFonts w:ascii="宋体" w:hAnsi="宋体"/>
                <w:b/>
                <w:szCs w:val="21"/>
              </w:rPr>
            </w:pPr>
            <w:r>
              <w:rPr>
                <w:rFonts w:hint="eastAsia" w:ascii="宋体" w:hAnsi="宋体"/>
                <w:b/>
                <w:szCs w:val="21"/>
              </w:rPr>
              <w:t>500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jc w:val="center"/>
        </w:trPr>
        <w:tc>
          <w:tcPr>
            <w:tcW w:w="804" w:type="dxa"/>
            <w:vAlign w:val="center"/>
          </w:tcPr>
          <w:p>
            <w:pPr>
              <w:jc w:val="center"/>
              <w:outlineLvl w:val="9"/>
              <w:rPr>
                <w:rFonts w:ascii="宋体" w:hAnsi="宋体"/>
                <w:b/>
                <w:szCs w:val="21"/>
              </w:rPr>
            </w:pPr>
            <w:r>
              <w:rPr>
                <w:rFonts w:hint="eastAsia" w:ascii="宋体" w:hAnsi="宋体"/>
                <w:b/>
                <w:szCs w:val="21"/>
              </w:rPr>
              <w:t>11</w:t>
            </w:r>
          </w:p>
        </w:tc>
        <w:tc>
          <w:tcPr>
            <w:tcW w:w="5625" w:type="dxa"/>
            <w:vAlign w:val="center"/>
          </w:tcPr>
          <w:p>
            <w:pPr>
              <w:outlineLvl w:val="9"/>
              <w:rPr>
                <w:rFonts w:ascii="宋体" w:hAnsi="宋体"/>
                <w:szCs w:val="21"/>
              </w:rPr>
            </w:pPr>
            <w:r>
              <w:rPr>
                <w:rFonts w:hint="eastAsia" w:ascii="宋体" w:hAnsi="宋体"/>
                <w:szCs w:val="21"/>
              </w:rPr>
              <w:t>其他不符合公司管理规定的</w:t>
            </w:r>
          </w:p>
        </w:tc>
        <w:tc>
          <w:tcPr>
            <w:tcW w:w="2360" w:type="dxa"/>
            <w:vAlign w:val="center"/>
          </w:tcPr>
          <w:p>
            <w:pPr>
              <w:jc w:val="center"/>
              <w:outlineLvl w:val="9"/>
              <w:rPr>
                <w:rFonts w:ascii="宋体" w:hAnsi="宋体"/>
                <w:b/>
                <w:szCs w:val="21"/>
              </w:rPr>
            </w:pPr>
            <w:r>
              <w:rPr>
                <w:rFonts w:hint="eastAsia" w:ascii="宋体" w:hAnsi="宋体"/>
                <w:b/>
                <w:szCs w:val="21"/>
              </w:rPr>
              <w:t>200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804" w:type="dxa"/>
            <w:vAlign w:val="center"/>
          </w:tcPr>
          <w:p>
            <w:pPr>
              <w:jc w:val="center"/>
              <w:outlineLvl w:val="9"/>
              <w:rPr>
                <w:rFonts w:ascii="宋体" w:hAnsi="宋体"/>
                <w:b/>
                <w:szCs w:val="21"/>
              </w:rPr>
            </w:pPr>
            <w:r>
              <w:rPr>
                <w:rFonts w:hint="eastAsia" w:ascii="宋体" w:hAnsi="宋体"/>
                <w:b/>
                <w:szCs w:val="21"/>
              </w:rPr>
              <w:t>12</w:t>
            </w:r>
          </w:p>
        </w:tc>
        <w:tc>
          <w:tcPr>
            <w:tcW w:w="5625" w:type="dxa"/>
            <w:vAlign w:val="center"/>
          </w:tcPr>
          <w:p>
            <w:pPr>
              <w:outlineLvl w:val="9"/>
              <w:rPr>
                <w:rFonts w:ascii="宋体" w:hAnsi="宋体"/>
                <w:szCs w:val="21"/>
              </w:rPr>
            </w:pPr>
            <w:r>
              <w:rPr>
                <w:rFonts w:hint="eastAsia" w:ascii="宋体" w:hAnsi="宋体"/>
                <w:szCs w:val="21"/>
              </w:rPr>
              <w:t>其他未按时按质完成合同和相关管理办法涉及的工作内容</w:t>
            </w:r>
          </w:p>
        </w:tc>
        <w:tc>
          <w:tcPr>
            <w:tcW w:w="2360" w:type="dxa"/>
            <w:vAlign w:val="center"/>
          </w:tcPr>
          <w:p>
            <w:pPr>
              <w:jc w:val="center"/>
              <w:outlineLvl w:val="9"/>
              <w:rPr>
                <w:rFonts w:ascii="宋体" w:hAnsi="宋体"/>
                <w:b/>
                <w:szCs w:val="21"/>
              </w:rPr>
            </w:pPr>
            <w:r>
              <w:rPr>
                <w:rFonts w:hint="eastAsia" w:ascii="宋体" w:hAnsi="宋体"/>
                <w:b/>
                <w:szCs w:val="21"/>
              </w:rPr>
              <w:t>500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804" w:type="dxa"/>
            <w:vAlign w:val="center"/>
          </w:tcPr>
          <w:p>
            <w:pPr>
              <w:jc w:val="center"/>
              <w:outlineLvl w:val="9"/>
              <w:rPr>
                <w:rFonts w:ascii="宋体" w:hAnsi="宋体"/>
                <w:b/>
                <w:szCs w:val="21"/>
              </w:rPr>
            </w:pPr>
            <w:r>
              <w:rPr>
                <w:rFonts w:hint="eastAsia" w:ascii="宋体" w:hAnsi="宋体"/>
                <w:b/>
                <w:szCs w:val="21"/>
              </w:rPr>
              <w:t>13</w:t>
            </w:r>
          </w:p>
        </w:tc>
        <w:tc>
          <w:tcPr>
            <w:tcW w:w="5625" w:type="dxa"/>
            <w:vAlign w:val="center"/>
          </w:tcPr>
          <w:p>
            <w:pPr>
              <w:outlineLvl w:val="9"/>
              <w:rPr>
                <w:rFonts w:ascii="宋体" w:hAnsi="宋体"/>
                <w:szCs w:val="21"/>
              </w:rPr>
            </w:pPr>
            <w:r>
              <w:rPr>
                <w:rFonts w:hint="eastAsia" w:ascii="宋体" w:hAnsi="宋体"/>
                <w:szCs w:val="21"/>
              </w:rPr>
              <w:t>其他未执行相关管理部门下达的工作指令的行为</w:t>
            </w:r>
          </w:p>
        </w:tc>
        <w:tc>
          <w:tcPr>
            <w:tcW w:w="2360" w:type="dxa"/>
            <w:vAlign w:val="center"/>
          </w:tcPr>
          <w:p>
            <w:pPr>
              <w:jc w:val="center"/>
              <w:outlineLvl w:val="9"/>
              <w:rPr>
                <w:rFonts w:ascii="宋体" w:hAnsi="宋体"/>
                <w:b/>
                <w:szCs w:val="21"/>
              </w:rPr>
            </w:pPr>
            <w:r>
              <w:rPr>
                <w:rFonts w:hint="eastAsia" w:ascii="宋体" w:hAnsi="宋体"/>
                <w:b/>
                <w:szCs w:val="21"/>
              </w:rPr>
              <w:t>200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804" w:type="dxa"/>
            <w:vAlign w:val="center"/>
          </w:tcPr>
          <w:p>
            <w:pPr>
              <w:jc w:val="center"/>
              <w:outlineLvl w:val="9"/>
              <w:rPr>
                <w:rFonts w:ascii="宋体" w:hAnsi="宋体"/>
                <w:b/>
                <w:szCs w:val="21"/>
              </w:rPr>
            </w:pPr>
            <w:r>
              <w:rPr>
                <w:rFonts w:hint="eastAsia" w:ascii="宋体" w:hAnsi="宋体"/>
                <w:b/>
                <w:szCs w:val="21"/>
              </w:rPr>
              <w:t>14</w:t>
            </w:r>
          </w:p>
        </w:tc>
        <w:tc>
          <w:tcPr>
            <w:tcW w:w="5625" w:type="dxa"/>
            <w:vAlign w:val="center"/>
          </w:tcPr>
          <w:p>
            <w:pPr>
              <w:outlineLvl w:val="9"/>
              <w:rPr>
                <w:rFonts w:ascii="宋体" w:hAnsi="宋体"/>
                <w:szCs w:val="21"/>
              </w:rPr>
            </w:pPr>
            <w:r>
              <w:rPr>
                <w:rFonts w:hint="eastAsia" w:ascii="宋体" w:hAnsi="宋体"/>
                <w:szCs w:val="21"/>
              </w:rPr>
              <w:t>其他因承包商原因未达到合同约定的其他工作质量标准和技术要求的</w:t>
            </w:r>
          </w:p>
        </w:tc>
        <w:tc>
          <w:tcPr>
            <w:tcW w:w="2360" w:type="dxa"/>
            <w:vAlign w:val="center"/>
          </w:tcPr>
          <w:p>
            <w:pPr>
              <w:jc w:val="center"/>
              <w:outlineLvl w:val="9"/>
              <w:rPr>
                <w:rFonts w:ascii="宋体" w:hAnsi="宋体"/>
                <w:szCs w:val="21"/>
              </w:rPr>
            </w:pPr>
            <w:r>
              <w:rPr>
                <w:rFonts w:hint="eastAsia" w:ascii="宋体" w:hAnsi="宋体"/>
                <w:b/>
                <w:szCs w:val="21"/>
              </w:rPr>
              <w:t>200</w:t>
            </w:r>
          </w:p>
        </w:tc>
        <w:tc>
          <w:tcPr>
            <w:tcW w:w="709" w:type="dxa"/>
            <w:vAlign w:val="center"/>
          </w:tcPr>
          <w:p>
            <w:pPr>
              <w:outlineLvl w:val="9"/>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804" w:type="dxa"/>
            <w:vAlign w:val="center"/>
          </w:tcPr>
          <w:p>
            <w:pPr>
              <w:jc w:val="center"/>
              <w:outlineLvl w:val="9"/>
              <w:rPr>
                <w:rFonts w:ascii="宋体" w:hAnsi="宋体"/>
                <w:b/>
                <w:szCs w:val="21"/>
              </w:rPr>
            </w:pPr>
            <w:r>
              <w:rPr>
                <w:rFonts w:hint="eastAsia" w:ascii="宋体" w:hAnsi="宋体"/>
                <w:b/>
                <w:szCs w:val="21"/>
              </w:rPr>
              <w:t>15</w:t>
            </w:r>
          </w:p>
        </w:tc>
        <w:tc>
          <w:tcPr>
            <w:tcW w:w="5625" w:type="dxa"/>
            <w:vAlign w:val="center"/>
          </w:tcPr>
          <w:p>
            <w:pPr>
              <w:outlineLvl w:val="9"/>
              <w:rPr>
                <w:rFonts w:ascii="宋体" w:hAnsi="宋体"/>
                <w:szCs w:val="21"/>
              </w:rPr>
            </w:pPr>
            <w:r>
              <w:rPr>
                <w:rFonts w:hint="eastAsia" w:ascii="宋体" w:hAnsi="宋体"/>
                <w:szCs w:val="21"/>
              </w:rPr>
              <w:t>因承包商原因未达到合同约定的工作质量标准和技术要求，造成既定后果的（如管道、设备损坏，用户投诉等）</w:t>
            </w:r>
          </w:p>
        </w:tc>
        <w:tc>
          <w:tcPr>
            <w:tcW w:w="2360" w:type="dxa"/>
            <w:vAlign w:val="center"/>
          </w:tcPr>
          <w:p>
            <w:pPr>
              <w:jc w:val="center"/>
              <w:outlineLvl w:val="9"/>
              <w:rPr>
                <w:rFonts w:ascii="宋体" w:hAnsi="宋体"/>
                <w:szCs w:val="21"/>
              </w:rPr>
            </w:pPr>
            <w:r>
              <w:rPr>
                <w:rFonts w:hint="eastAsia" w:ascii="宋体" w:hAnsi="宋体"/>
                <w:szCs w:val="21"/>
              </w:rPr>
              <w:t>按照后果严重程度，参照以上项目每次1000-20000扣款</w:t>
            </w:r>
          </w:p>
        </w:tc>
        <w:tc>
          <w:tcPr>
            <w:tcW w:w="709" w:type="dxa"/>
            <w:vAlign w:val="center"/>
          </w:tcPr>
          <w:p>
            <w:pPr>
              <w:outlineLvl w:val="9"/>
              <w:rPr>
                <w:rFonts w:ascii="宋体" w:hAnsi="宋体"/>
                <w:szCs w:val="21"/>
              </w:rPr>
            </w:pPr>
          </w:p>
        </w:tc>
      </w:tr>
    </w:tbl>
    <w:p>
      <w:pPr>
        <w:ind w:firstLine="560" w:firstLineChars="200"/>
        <w:outlineLvl w:val="9"/>
        <w:rPr>
          <w:rFonts w:hint="eastAsia"/>
        </w:rPr>
      </w:pPr>
      <w:r>
        <w:rPr>
          <w:rFonts w:hint="eastAsia" w:ascii="方正仿宋简体" w:hAnsi="方正仿宋简体" w:eastAsia="方正仿宋简体" w:cs="方正仿宋简体"/>
          <w:sz w:val="28"/>
          <w:szCs w:val="28"/>
        </w:rPr>
        <w:t>以上未尽事项参照分公司《管道管理量化考核管理办法》执行。</w:t>
      </w:r>
    </w:p>
    <w:p>
      <w:pPr>
        <w:spacing w:before="156" w:beforeLines="50" w:after="156" w:afterLines="50" w:line="480" w:lineRule="auto"/>
        <w:outlineLvl w:val="9"/>
        <w:rPr>
          <w:rFonts w:hint="eastAsia" w:ascii="方正黑体简体" w:hAnsi="方正黑体简体" w:eastAsia="方正黑体简体" w:cs="方正黑体简体"/>
          <w:b w:val="0"/>
          <w:bCs/>
          <w:sz w:val="32"/>
          <w:szCs w:val="32"/>
        </w:rPr>
      </w:pPr>
      <w:bookmarkStart w:id="472" w:name="_Toc2585"/>
      <w:bookmarkStart w:id="473" w:name="_Toc508016711"/>
      <w:bookmarkStart w:id="474" w:name="_Toc508012285"/>
      <w:r>
        <w:rPr>
          <w:rFonts w:hint="eastAsia" w:ascii="方正黑体简体" w:hAnsi="方正黑体简体" w:eastAsia="方正黑体简体" w:cs="方正黑体简体"/>
          <w:b w:val="0"/>
          <w:bCs/>
          <w:sz w:val="32"/>
          <w:szCs w:val="32"/>
        </w:rPr>
        <w:t>附件1</w:t>
      </w:r>
      <w:r>
        <w:rPr>
          <w:rFonts w:hint="eastAsia" w:ascii="方正黑体简体" w:hAnsi="方正黑体简体" w:eastAsia="方正黑体简体" w:cs="方正黑体简体"/>
          <w:b w:val="0"/>
          <w:bCs/>
          <w:sz w:val="32"/>
          <w:szCs w:val="32"/>
          <w:lang w:val="en-US" w:eastAsia="zh-CN"/>
        </w:rPr>
        <w:t xml:space="preserve">  </w:t>
      </w:r>
      <w:r>
        <w:rPr>
          <w:rFonts w:hint="eastAsia" w:ascii="方正黑体简体" w:hAnsi="方正黑体简体" w:eastAsia="方正黑体简体" w:cs="方正黑体简体"/>
          <w:b w:val="0"/>
          <w:bCs/>
          <w:sz w:val="32"/>
          <w:szCs w:val="32"/>
        </w:rPr>
        <w:t>天然气管道保护告知函</w:t>
      </w:r>
      <w:bookmarkEnd w:id="472"/>
      <w:bookmarkEnd w:id="473"/>
      <w:bookmarkEnd w:id="474"/>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hint="eastAsia" w:ascii="方正仿宋简体" w:hAnsi="方正仿宋简体" w:eastAsia="方正仿宋简体" w:cs="方正仿宋简体"/>
          <w:bCs/>
          <w:sz w:val="28"/>
          <w:szCs w:val="28"/>
          <w:lang w:eastAsia="zh-CN"/>
        </w:rPr>
      </w:pPr>
      <w:r>
        <w:rPr>
          <w:rFonts w:hint="eastAsia" w:ascii="方正仿宋简体" w:hAnsi="方正仿宋简体" w:eastAsia="方正仿宋简体" w:cs="方正仿宋简体"/>
          <w:bCs/>
          <w:sz w:val="28"/>
          <w:szCs w:val="28"/>
        </w:rPr>
        <w:t>贵方在       区       路           小区正在进行</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使贵方的施工能顺利进行,同时又确保地下燃气管线的安全,根据«《四川省燃气条例》、《天然气管道保护法》等有关规定，现特有关事项告知如下</w:t>
      </w:r>
      <w:r>
        <w:rPr>
          <w:rFonts w:hint="eastAsia" w:ascii="方正仿宋简体" w:hAnsi="方正仿宋简体" w:eastAsia="方正仿宋简体" w:cs="方正仿宋简体"/>
          <w:bCs/>
          <w:sz w:val="28"/>
          <w:szCs w:val="28"/>
          <w:lang w:eastAsia="zh-CN"/>
        </w:rPr>
        <w:t>：</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一、贵方在施工前，请与我司联系，现场确认地下燃气管线走向及其位互。开挖、钻探等施工作业面在地下燃气管道及设施安全保护范围内时，请贵方在作业施工时提前24小时通知我司联系人到现场。我司联系人:              ，联系电话:              。</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二、根据《四川省燃气条例》《天然气管道保护法》，建议贵方与我司签订《施工现场燃气管道及设施安全保护协议》，且贵方应拟订管网保护方案</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提供施工组织设计</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并对管线采取确实有效的保护措施。</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三、对已确认的施工工地内的地下燃气管线走向及其位置的上方</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我司已设立明显的安全警示标志</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请贵方进行保护并确保整个施工期内警示标志完整、有效。如有损坏或丢失</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应负责及时修复。</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四、贵方因施工需要在已埋设有地下燃气管线的路段开设临时道路及路口时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应来取有效保护措施，防止载重车、推土机等重型机械、车辆展压地下燃气管道及设施。</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五、贵方若国施工确实需要迁移或拆除中压燃气管道设施</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须由贵方报请我单位同意后后</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委托具有关资质的单位实施</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并按程序办理管道迁移或拆除的相关手续。原则上高压、次高压燃气管道设施不得改迁。</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六、贵方在与我司签订《施工现场燃气管道及设施安全保护协议》后</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如需在管道及设施保护范国内施工</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应在工程项目监理和安全员现场监护的情况下人工开挖。无论任何情况下</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禁止机械开挖。</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七、在施工中通到燃气管道及设施的任何意外情况</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请立即拔打</w:t>
      </w:r>
      <w:r>
        <w:rPr>
          <w:rFonts w:ascii="方正仿宋简体" w:hAnsi="方正仿宋简体" w:eastAsia="方正仿宋简体" w:cs="方正仿宋简体"/>
          <w:bCs/>
          <w:sz w:val="28"/>
          <w:szCs w:val="28"/>
        </w:rPr>
        <w:t>24</w:t>
      </w:r>
      <w:r>
        <w:rPr>
          <w:rFonts w:hint="eastAsia" w:ascii="方正仿宋简体" w:hAnsi="方正仿宋简体" w:eastAsia="方正仿宋简体" w:cs="方正仿宋简体"/>
          <w:bCs/>
          <w:sz w:val="28"/>
          <w:szCs w:val="28"/>
        </w:rPr>
        <w:t>小时抢修电话2866000向我司报告。</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为了我们的共同利盖</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让我们密切合作</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0" w:firstLineChars="20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签收人</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480" w:lineRule="exact"/>
        <w:ind w:firstLine="5600" w:firstLineChars="2000"/>
        <w:jc w:val="both"/>
        <w:textAlignment w:val="auto"/>
        <w:outlineLvl w:val="9"/>
        <w:rPr>
          <w:rFonts w:hint="eastAsia" w:ascii="方正仿宋简体" w:hAnsi="方正仿宋简体" w:eastAsia="方正仿宋简体" w:cs="方正仿宋简体"/>
          <w:bCs/>
          <w:sz w:val="28"/>
          <w:szCs w:val="28"/>
          <w:lang w:eastAsia="zh-CN"/>
        </w:rPr>
      </w:pPr>
      <w:r>
        <w:rPr>
          <w:rFonts w:hint="eastAsia" w:ascii="方正仿宋简体" w:hAnsi="方正仿宋简体" w:eastAsia="方正仿宋简体" w:cs="方正仿宋简体"/>
          <w:bCs/>
          <w:sz w:val="28"/>
          <w:szCs w:val="28"/>
        </w:rPr>
        <w:t>日</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期</w:t>
      </w:r>
      <w:r>
        <w:rPr>
          <w:rFonts w:hint="eastAsia" w:ascii="方正仿宋简体" w:hAnsi="方正仿宋简体" w:eastAsia="方正仿宋简体" w:cs="方正仿宋简体"/>
          <w:bCs/>
          <w:sz w:val="28"/>
          <w:szCs w:val="28"/>
          <w:lang w:eastAsia="zh-CN"/>
        </w:rPr>
        <w:t>：</w:t>
      </w:r>
    </w:p>
    <w:p>
      <w:pPr>
        <w:spacing w:before="156" w:beforeLines="50" w:after="156" w:afterLines="50" w:line="480" w:lineRule="auto"/>
        <w:outlineLvl w:val="9"/>
        <w:rPr>
          <w:rFonts w:hint="eastAsia" w:ascii="方正黑体简体" w:hAnsi="方正黑体简体" w:eastAsia="方正黑体简体" w:cs="方正黑体简体"/>
          <w:b w:val="0"/>
          <w:bCs/>
          <w:sz w:val="32"/>
          <w:szCs w:val="32"/>
        </w:rPr>
      </w:pPr>
      <w:bookmarkStart w:id="475" w:name="_Toc508016712"/>
      <w:bookmarkStart w:id="476" w:name="_Toc508012286"/>
      <w:bookmarkStart w:id="477" w:name="_Toc29858"/>
      <w:r>
        <w:rPr>
          <w:rFonts w:hint="eastAsia" w:ascii="方正黑体简体" w:hAnsi="方正黑体简体" w:eastAsia="方正黑体简体" w:cs="方正黑体简体"/>
          <w:b w:val="0"/>
          <w:bCs/>
          <w:sz w:val="32"/>
          <w:szCs w:val="32"/>
        </w:rPr>
        <w:t>附件2</w:t>
      </w:r>
      <w:r>
        <w:rPr>
          <w:rFonts w:hint="eastAsia" w:ascii="方正黑体简体" w:hAnsi="方正黑体简体" w:eastAsia="方正黑体简体" w:cs="方正黑体简体"/>
          <w:b w:val="0"/>
          <w:bCs/>
          <w:sz w:val="32"/>
          <w:szCs w:val="32"/>
          <w:lang w:val="en-US" w:eastAsia="zh-CN"/>
        </w:rPr>
        <w:t xml:space="preserve">  </w:t>
      </w:r>
      <w:r>
        <w:rPr>
          <w:rFonts w:hint="eastAsia" w:ascii="方正黑体简体" w:hAnsi="方正黑体简体" w:eastAsia="方正黑体简体" w:cs="方正黑体简体"/>
          <w:b w:val="0"/>
          <w:bCs/>
          <w:sz w:val="32"/>
          <w:szCs w:val="32"/>
        </w:rPr>
        <w:t>施工现场燃气管道设施安全保护协议</w:t>
      </w:r>
      <w:bookmarkEnd w:id="475"/>
      <w:bookmarkEnd w:id="476"/>
      <w:bookmarkEnd w:id="477"/>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建设单位(全称)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施工单位(全称)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监理单位(全称)</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Cs/>
          <w:sz w:val="28"/>
          <w:szCs w:val="28"/>
        </w:rPr>
        <w:t>根据«中华人民共和国安全生产法»、«中华人民共和国建筑法»、«建设工程安全生产管理条一例»、«四川省燃气管理条例»、«天然气管道保护法» 等法律法规的规定,为保护南充市施工现场燃气管道及设施的安全,防止事故</w:t>
      </w:r>
      <w:r>
        <w:rPr>
          <w:rFonts w:hint="eastAsia" w:ascii="方正仿宋简体" w:hAnsi="方正仿宋简体" w:eastAsia="方正仿宋简体" w:cs="方正仿宋简体"/>
          <w:b w:val="0"/>
          <w:bCs/>
          <w:sz w:val="28"/>
          <w:szCs w:val="28"/>
        </w:rPr>
        <w:t>发生,经肆方协商,达成以下施工现场燃气管道及设施的安全保护协议:</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bCs w:val="0"/>
          <w:sz w:val="28"/>
          <w:szCs w:val="28"/>
        </w:rPr>
        <w:t>第一条</w:t>
      </w:r>
      <w:r>
        <w:rPr>
          <w:rFonts w:hint="eastAsia" w:ascii="方正仿宋简体" w:hAnsi="方正仿宋简体" w:eastAsia="方正仿宋简体" w:cs="方正仿宋简体"/>
          <w:b w:val="0"/>
          <w:bCs/>
          <w:sz w:val="28"/>
          <w:szCs w:val="28"/>
        </w:rPr>
        <w:t xml:space="preserve">  甲方在工程开工前, 应将城建档案部门出具的地下综合管线查询结果,以及位于南充市            区            路的           。</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val="0"/>
          <w:bCs/>
          <w:sz w:val="28"/>
          <w:szCs w:val="28"/>
        </w:rPr>
        <w:t>工程的施工范国、内容、工期以及建设红线总平面图等资料提供给丁方,并落实专人负责与丁方联络具体事宜 。</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sz w:val="28"/>
          <w:szCs w:val="28"/>
        </w:rPr>
      </w:pPr>
      <w:r>
        <w:rPr>
          <w:rFonts w:hint="eastAsia" w:ascii="方正仿宋简体" w:hAnsi="方正仿宋简体" w:eastAsia="方正仿宋简体" w:cs="方正仿宋简体"/>
          <w:b/>
          <w:bCs w:val="0"/>
          <w:sz w:val="28"/>
          <w:szCs w:val="28"/>
        </w:rPr>
        <w:t>第二条</w:t>
      </w:r>
      <w:r>
        <w:rPr>
          <w:rFonts w:hint="eastAsia" w:ascii="方正仿宋简体" w:hAnsi="方正仿宋简体" w:eastAsia="方正仿宋简体" w:cs="方正仿宋简体"/>
          <w:b w:val="0"/>
          <w:bCs/>
          <w:sz w:val="28"/>
          <w:szCs w:val="28"/>
        </w:rPr>
        <w:t xml:space="preserve">  丁方接到甲方提供的有关资料后,在二个工作日内核准施工范围及影响区域内是否存在地下燃气管道及设施,并向甲方、乙方和丙方提供该施工及影响范国内燃气管道及设施的图纸资料。</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第三条</w:t>
      </w:r>
      <w:r>
        <w:rPr>
          <w:rFonts w:hint="eastAsia" w:ascii="方正仿宋简体" w:hAnsi="方正仿宋简体" w:eastAsia="方正仿宋简体" w:cs="方正仿宋简体"/>
          <w:b w:val="0"/>
          <w:bCs/>
          <w:sz w:val="28"/>
          <w:szCs w:val="28"/>
        </w:rPr>
        <w:t xml:space="preserve">  燃气管道及设施的具体位</w:t>
      </w:r>
      <w:r>
        <w:rPr>
          <w:rFonts w:hint="eastAsia" w:ascii="方正仿宋简体" w:hAnsi="方正仿宋简体" w:eastAsia="方正仿宋简体" w:cs="方正仿宋简体"/>
          <w:bCs/>
          <w:sz w:val="28"/>
          <w:szCs w:val="28"/>
        </w:rPr>
        <w:t>置必须通过现场探查核实确认。甲方依据已取得施工及影响范围内燃气管道及设施的图纸资料,组织乙方、丙方、丁方四方共同进行断面开挖探查,以确定施工现场燃气管道的实际具体位置,明确燃气管道及设施的安全保护范围及安全控制范围。</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丁方在已探明的燃气管道及设施上方设置“燃气管道,注意保护”、燃气标识块（桩）、警示带等安全警示标识。</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第四条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燃气管道设施的安全保护范国及安全控制范围</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一</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安全保护范围</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低压、中压管道管壁及设施外缘两侧</w:t>
      </w: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米范围内的区城</w:t>
      </w:r>
      <w:r>
        <w:rPr>
          <w:rFonts w:ascii="方正仿宋简体" w:hAnsi="方正仿宋简体" w:eastAsia="方正仿宋简体" w:cs="方正仿宋简体"/>
          <w:bCs/>
          <w:sz w:val="28"/>
          <w:szCs w:val="28"/>
        </w:rPr>
        <w:t>,</w:t>
      </w:r>
    </w:p>
    <w:p>
      <w:pPr>
        <w:pStyle w:val="119"/>
        <w:ind w:firstLine="560" w:firstLineChars="200"/>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rPr>
        <w:t>次高压管道管壁及设施外缘两侧</w:t>
      </w:r>
      <w:r>
        <w:rPr>
          <w:rFonts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rPr>
        <w:t>米范围内的区城</w:t>
      </w:r>
      <w:r>
        <w:rPr>
          <w:rFonts w:ascii="方正仿宋简体" w:hAnsi="方正仿宋简体" w:eastAsia="方正仿宋简体" w:cs="方正仿宋简体"/>
          <w:bCs/>
          <w:sz w:val="28"/>
          <w:szCs w:val="28"/>
        </w:rPr>
        <w:t>;</w:t>
      </w:r>
    </w:p>
    <w:p>
      <w:pPr>
        <w:pStyle w:val="119"/>
        <w:ind w:firstLine="560" w:firstLineChars="200"/>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rPr>
        <w:t>高压、超高压管道管壁及设施外缘两侧</w:t>
      </w:r>
      <w:r>
        <w:rPr>
          <w:rFonts w:ascii="方正仿宋简体" w:hAnsi="方正仿宋简体" w:eastAsia="方正仿宋简体" w:cs="方正仿宋简体"/>
          <w:bCs/>
          <w:sz w:val="28"/>
          <w:szCs w:val="28"/>
        </w:rPr>
        <w:t>5</w:t>
      </w:r>
      <w:r>
        <w:rPr>
          <w:rFonts w:hint="eastAsia" w:ascii="方正仿宋简体" w:hAnsi="方正仿宋简体" w:eastAsia="方正仿宋简体" w:cs="方正仿宋简体"/>
          <w:bCs/>
          <w:sz w:val="28"/>
          <w:szCs w:val="28"/>
        </w:rPr>
        <w:t>米范围内的区域。</w:t>
      </w:r>
    </w:p>
    <w:p>
      <w:pPr>
        <w:pStyle w:val="119"/>
        <w:ind w:firstLine="560" w:firstLineChars="200"/>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二</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安全控制范国</w:t>
      </w:r>
      <w:r>
        <w:rPr>
          <w:rFonts w:ascii="方正仿宋简体" w:hAnsi="方正仿宋简体" w:eastAsia="方正仿宋简体" w:cs="方正仿宋简体"/>
          <w:bCs/>
          <w:sz w:val="28"/>
          <w:szCs w:val="28"/>
        </w:rPr>
        <w:t>:</w:t>
      </w:r>
    </w:p>
    <w:p>
      <w:pPr>
        <w:pStyle w:val="119"/>
        <w:ind w:firstLine="560" w:firstLineChars="200"/>
        <w:outlineLvl w:val="9"/>
        <w:rPr>
          <w:rFonts w:hint="eastAsia"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低压、中压管道的管受及设施外缘两侧</w:t>
      </w: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米至5米范围内的区城</w:t>
      </w:r>
      <w:r>
        <w:rPr>
          <w:rFonts w:ascii="方正仿宋简体" w:hAnsi="方正仿宋简体" w:eastAsia="方正仿宋简体" w:cs="方正仿宋简体"/>
          <w:bCs/>
          <w:sz w:val="28"/>
          <w:szCs w:val="28"/>
        </w:rPr>
        <w:t>;</w:t>
      </w:r>
    </w:p>
    <w:p>
      <w:pPr>
        <w:pStyle w:val="119"/>
        <w:ind w:firstLine="560" w:firstLineChars="200"/>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rPr>
        <w:t>次高压管壁及设施外缘两侧</w:t>
      </w:r>
      <w:r>
        <w:rPr>
          <w:rFonts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rPr>
        <w:t>米至</w:t>
      </w:r>
      <w:r>
        <w:rPr>
          <w:rFonts w:ascii="方正仿宋简体" w:hAnsi="方正仿宋简体" w:eastAsia="方正仿宋简体" w:cs="方正仿宋简体"/>
          <w:bCs/>
          <w:sz w:val="28"/>
          <w:szCs w:val="28"/>
        </w:rPr>
        <w:t>10</w:t>
      </w:r>
      <w:r>
        <w:rPr>
          <w:rFonts w:hint="eastAsia" w:ascii="方正仿宋简体" w:hAnsi="方正仿宋简体" w:eastAsia="方正仿宋简体" w:cs="方正仿宋简体"/>
          <w:bCs/>
          <w:sz w:val="28"/>
          <w:szCs w:val="28"/>
        </w:rPr>
        <w:t>米范围内的区城</w:t>
      </w:r>
      <w:r>
        <w:rPr>
          <w:rFonts w:ascii="方正仿宋简体" w:hAnsi="方正仿宋简体" w:eastAsia="方正仿宋简体" w:cs="方正仿宋简体"/>
          <w:bCs/>
          <w:sz w:val="28"/>
          <w:szCs w:val="28"/>
        </w:rPr>
        <w:t>,</w:t>
      </w:r>
    </w:p>
    <w:p>
      <w:pPr>
        <w:pStyle w:val="119"/>
        <w:ind w:firstLine="560" w:firstLineChars="200"/>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rPr>
        <w:t>高压、超高压管道管壁及设施外缘两侧</w:t>
      </w:r>
      <w:r>
        <w:rPr>
          <w:rFonts w:ascii="方正仿宋简体" w:hAnsi="方正仿宋简体" w:eastAsia="方正仿宋简体" w:cs="方正仿宋简体"/>
          <w:bCs/>
          <w:sz w:val="28"/>
          <w:szCs w:val="28"/>
        </w:rPr>
        <w:t>5</w:t>
      </w:r>
      <w:r>
        <w:rPr>
          <w:rFonts w:hint="eastAsia" w:ascii="方正仿宋简体" w:hAnsi="方正仿宋简体" w:eastAsia="方正仿宋简体" w:cs="方正仿宋简体"/>
          <w:bCs/>
          <w:sz w:val="28"/>
          <w:szCs w:val="28"/>
        </w:rPr>
        <w:t>米至</w:t>
      </w:r>
      <w:r>
        <w:rPr>
          <w:rFonts w:ascii="方正仿宋简体" w:hAnsi="方正仿宋简体" w:eastAsia="方正仿宋简体" w:cs="方正仿宋简体"/>
          <w:bCs/>
          <w:sz w:val="28"/>
          <w:szCs w:val="28"/>
        </w:rPr>
        <w:t>50</w:t>
      </w:r>
      <w:r>
        <w:rPr>
          <w:rFonts w:hint="eastAsia" w:ascii="方正仿宋简体" w:hAnsi="方正仿宋简体" w:eastAsia="方正仿宋简体" w:cs="方正仿宋简体"/>
          <w:bCs/>
          <w:sz w:val="28"/>
          <w:szCs w:val="28"/>
        </w:rPr>
        <w:t>米范围内的区域。</w:t>
      </w:r>
    </w:p>
    <w:p>
      <w:pPr>
        <w:pStyle w:val="119"/>
        <w:ind w:firstLine="562" w:firstLineChars="200"/>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第五条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乙方应根据燃气管道已探明的情况、燃气管道保护和控制范国</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由乙方项目经理组织编制相应的燃气管道及设施保护方案和应急处重措施。燃气管道及设施保护方案和应急处置措施应经丙方项目总监审核</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甲方同意盖章认可并报丁方备案</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否则</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甲方不得申请开工</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且丁方可随时通知其他方解除本协议</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通知到达其他各方时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协议解除。</w:t>
      </w:r>
    </w:p>
    <w:p>
      <w:pPr>
        <w:pStyle w:val="119"/>
        <w:ind w:firstLine="560" w:firstLineChars="200"/>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在燃气管道及设施保护方案和应急处置措施编制过程中</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丁方应手以指导</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如编制过程中产生争议的</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由各方申请市建设局纽织专家论证后协调解决。</w:t>
      </w:r>
    </w:p>
    <w:p>
      <w:pPr>
        <w:pStyle w:val="119"/>
        <w:ind w:firstLine="562" w:firstLineChars="200"/>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第六条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丁方应在收到由甲方提交的该工程燃气管道及设施保护方案和应急处置措施后</w:t>
      </w: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个工作日内向甲方出具</w:t>
      </w:r>
      <w:r>
        <w:rPr>
          <w:rFonts w:hint="eastAsia" w:hAnsi="宋体"/>
          <w:bCs/>
          <w:sz w:val="28"/>
          <w:szCs w:val="28"/>
        </w:rPr>
        <w:t>«</w:t>
      </w:r>
      <w:r>
        <w:rPr>
          <w:rFonts w:hint="eastAsia" w:ascii="方正仿宋简体" w:hAnsi="方正仿宋简体" w:eastAsia="方正仿宋简体" w:cs="方正仿宋简体"/>
          <w:bCs/>
          <w:sz w:val="28"/>
          <w:szCs w:val="28"/>
        </w:rPr>
        <w:t>施工现场燃气管道及设施确认表</w:t>
      </w:r>
      <w:r>
        <w:rPr>
          <w:rFonts w:hint="eastAsia" w:hAnsi="宋体"/>
          <w:bCs/>
          <w:sz w:val="28"/>
          <w:szCs w:val="28"/>
        </w:rPr>
        <w:t>»</w:t>
      </w:r>
      <w:r>
        <w:rPr>
          <w:rFonts w:hint="eastAsia" w:ascii="方正仿宋简体" w:hAnsi="方正仿宋简体" w:eastAsia="方正仿宋简体" w:cs="方正仿宋简体"/>
          <w:bCs/>
          <w:sz w:val="28"/>
          <w:szCs w:val="28"/>
        </w:rPr>
        <w:t>。</w:t>
      </w:r>
    </w:p>
    <w:p>
      <w:pPr>
        <w:pStyle w:val="119"/>
        <w:ind w:firstLine="562" w:firstLineChars="200"/>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第七条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甲方对整个施工过程中施工现场燃气管道及设施的安全负总责</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乙方负责燃气管道具体保护措施的实施及管道警示标识</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“燃气管道</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注意保护</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的保护</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丙方应对保护方案和应急处置措施实施情况进行现场监督</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丁方应落实燃气管道的巡查工作</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做好紧急应对准备。</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第八条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各方应于本协议签订后五个工作日内</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以书面方式将其指派的该工程项目联系人通知其他各方。该等联系人负责在整个施工期间各自所</w:t>
      </w:r>
      <w:r>
        <w:rPr>
          <w:rFonts w:hint="eastAsia" w:hAnsi="宋体"/>
          <w:bCs/>
          <w:sz w:val="28"/>
          <w:szCs w:val="28"/>
        </w:rPr>
        <w:t>轄</w:t>
      </w:r>
      <w:r>
        <w:rPr>
          <w:rFonts w:hint="eastAsia" w:ascii="方正仿宋简体" w:hAnsi="方正仿宋简体" w:eastAsia="方正仿宋简体" w:cs="方正仿宋简体"/>
          <w:bCs/>
          <w:sz w:val="28"/>
          <w:szCs w:val="28"/>
        </w:rPr>
        <w:t>责任范围内安全保护和协调工作</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不得以任何理由拒绝签收其他联系人签发的通知书或联系函。联系人如需变动的</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应书面通知其他三方并签收确认。</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第九条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乙方在工程开工前</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应根据施工现场的实际情况和施工方案</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将己制定的燃气管道及设施保护方案和应急处置措施通过技术交底方式落实到相应工作层面作业班组负责人和具体作业人</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丙方项目监理人员应参加并在纪要上签名确认。</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val="en-US" w:eastAsia="zh-CN"/>
        </w:rPr>
        <w:t xml:space="preserve"> </w:t>
      </w:r>
      <w:r>
        <w:rPr>
          <w:rFonts w:hint="eastAsia" w:ascii="方正仿宋简体" w:hAnsi="方正仿宋简体" w:eastAsia="方正仿宋简体" w:cs="方正仿宋简体"/>
          <w:bCs/>
          <w:sz w:val="28"/>
          <w:szCs w:val="28"/>
        </w:rPr>
        <w:t>对在控制范国和保护范国内的施工</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乙方应提前</w:t>
      </w:r>
      <w:r>
        <w:rPr>
          <w:rFonts w:ascii="方正仿宋简体" w:hAnsi="方正仿宋简体" w:eastAsia="方正仿宋简体" w:cs="方正仿宋简体"/>
          <w:bCs/>
          <w:sz w:val="28"/>
          <w:szCs w:val="28"/>
        </w:rPr>
        <w:t>24</w:t>
      </w:r>
      <w:r>
        <w:rPr>
          <w:rFonts w:hint="eastAsia" w:ascii="方正仿宋简体" w:hAnsi="方正仿宋简体" w:eastAsia="方正仿宋简体" w:cs="方正仿宋简体"/>
          <w:bCs/>
          <w:sz w:val="28"/>
          <w:szCs w:val="28"/>
        </w:rPr>
        <w:t>小时函告丁方</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施工作业需超出正常施工作业时间之外</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以及施工工期发生变更时</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乙方联系人应提前</w:t>
      </w:r>
      <w:r>
        <w:rPr>
          <w:rFonts w:ascii="方正仿宋简体" w:hAnsi="方正仿宋简体" w:eastAsia="方正仿宋简体" w:cs="方正仿宋简体"/>
          <w:bCs/>
          <w:sz w:val="28"/>
          <w:szCs w:val="28"/>
        </w:rPr>
        <w:t>24</w:t>
      </w:r>
      <w:r>
        <w:rPr>
          <w:rFonts w:hint="eastAsia" w:ascii="方正仿宋简体" w:hAnsi="方正仿宋简体" w:eastAsia="方正仿宋简体" w:cs="方正仿宋简体"/>
          <w:bCs/>
          <w:sz w:val="28"/>
          <w:szCs w:val="28"/>
        </w:rPr>
        <w:t>小时以书面形式将变更告知其他联系人并签收确认</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施工作业方案发生变更需修改燃气管道保护方案和应急处处置措施时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乙方应将修改后的方案经丙方和甲方审核确认后函告丁方</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同时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按照第九条要求落实到具体作业人。</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丁方在接到变更告知函后</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应及时安排好巡查工作</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按照要求的频度进行巡查。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第十一条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在施工过程中应严格</w:t>
      </w:r>
      <w:r>
        <w:rPr>
          <w:rFonts w:hint="eastAsia" w:hAnsi="宋体"/>
          <w:bCs/>
          <w:sz w:val="28"/>
          <w:szCs w:val="28"/>
        </w:rPr>
        <w:t>連</w:t>
      </w:r>
      <w:r>
        <w:rPr>
          <w:rFonts w:hint="eastAsia" w:ascii="方正仿宋简体" w:hAnsi="方正仿宋简体" w:eastAsia="方正仿宋简体" w:cs="方正仿宋简体"/>
          <w:bCs/>
          <w:sz w:val="28"/>
          <w:szCs w:val="28"/>
        </w:rPr>
        <w:t>守以下规定</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一</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在燃气管道设施的安全保护范围内</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禁止下列行为</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1.</w:t>
      </w:r>
      <w:r>
        <w:rPr>
          <w:rFonts w:hint="eastAsia" w:ascii="方正仿宋简体" w:hAnsi="方正仿宋简体" w:eastAsia="方正仿宋简体" w:cs="方正仿宋简体"/>
          <w:bCs/>
          <w:sz w:val="28"/>
          <w:szCs w:val="28"/>
        </w:rPr>
        <w:t>建造建筑物或者构筑物</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2.</w:t>
      </w:r>
      <w:r>
        <w:rPr>
          <w:rFonts w:hint="eastAsia" w:ascii="方正仿宋简体" w:hAnsi="方正仿宋简体" w:eastAsia="方正仿宋简体" w:cs="方正仿宋简体"/>
          <w:bCs/>
          <w:sz w:val="28"/>
          <w:szCs w:val="28"/>
        </w:rPr>
        <w:t>堆放物品或者排放屑蚀性、渡体、气体</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3</w:t>
      </w:r>
      <w:r>
        <w:rPr>
          <w:rFonts w:hint="eastAsia" w:ascii="方正仿宋简体" w:hAnsi="方正仿宋简体" w:eastAsia="方正仿宋简体" w:cs="方正仿宋简体"/>
          <w:bCs/>
          <w:sz w:val="28"/>
          <w:szCs w:val="28"/>
          <w:lang w:eastAsia="zh-CN"/>
        </w:rPr>
        <w:t>.</w:t>
      </w:r>
      <w:r>
        <w:rPr>
          <w:rFonts w:hint="eastAsia" w:ascii="方正仿宋简体" w:hAnsi="方正仿宋简体" w:eastAsia="方正仿宋简体" w:cs="方正仿宋简体"/>
          <w:bCs/>
          <w:sz w:val="28"/>
          <w:szCs w:val="28"/>
        </w:rPr>
        <w:t>进行机械开挖、爆破、起重吊表、打桩、顶进等作业。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二</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不得控自移动、覆盖、涂改、拆除、破坏燃气设施及安全警示标志</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道路施工完成时必须埋设相应的标志桩</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三</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在没有采取有效的保护措施前</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不得在燃气管道及设施上方开设临时道路</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不得在燃气管道及设施上方停留、行走载重车辆、推土机等重型车辆</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四</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禁止其他严重危害燃气管网安全运行的行为。</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第十二条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在施工过程中遇到复杂、特殊情况</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可能危及燃气管道及设施的安全运行时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丙方应签发停工令</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要求乙方立即停止施工。乙方会同甲方、丙方和丁方</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重新编制燃气管道及设施保护方案和应急处置措施</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经丙方项目总监审核和甲方签字认可后</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报丁方备案</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丁方接到备案申请后通知丙方签发复工令后</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乙方可恢复施工。</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第十三条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丁方在巡查中发现产生燃气管道保护隐患时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应以书面告知函的形式通知其他三方项目联系人</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由项目联系人负责督促隐患整改。</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任何一方发现有危害或可能危害燃气管道及设施安全运行的行为时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应立即制止危害行为</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乙方施工人员必须服从。制止无效时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应立即向市</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区</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安监局、建设局等单位报告</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情况紧急时</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可立即报</w:t>
      </w:r>
      <w:r>
        <w:rPr>
          <w:rFonts w:ascii="方正仿宋简体" w:hAnsi="方正仿宋简体" w:eastAsia="方正仿宋简体" w:cs="方正仿宋简体"/>
          <w:bCs/>
          <w:sz w:val="28"/>
          <w:szCs w:val="28"/>
        </w:rPr>
        <w:t>110</w:t>
      </w:r>
      <w:r>
        <w:rPr>
          <w:rFonts w:hint="eastAsia" w:ascii="方正仿宋简体" w:hAnsi="方正仿宋简体" w:eastAsia="方正仿宋简体" w:cs="方正仿宋简体"/>
          <w:bCs/>
          <w:sz w:val="28"/>
          <w:szCs w:val="28"/>
        </w:rPr>
        <w:t>请求协助。</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第十四条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造成燃气管道及设施损坏后的处理方式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一</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防腐层损坏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如施工过程中造成燃气管道设施防腐层损坏</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乙方施工人员应立即停止施工</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保护现场，立即通知甲、丙、丁方联系人。丁方应立印组织修复作业并现场取证</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甲方应责成事故责任单位于修复完工后五个工作日内向丁方支付修复费用</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否则甲方应于该五个工作日届满后三个工作日内向丁方支付修复费用。</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二</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燃气设施损坏供气中断</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未漏气</w:t>
      </w:r>
      <w:r>
        <w:rPr>
          <w:rFonts w:ascii="方正仿宋简体" w:hAnsi="方正仿宋简体" w:eastAsia="方正仿宋简体" w:cs="方正仿宋简体"/>
          <w:bCs/>
          <w:sz w:val="28"/>
          <w:szCs w:val="28"/>
        </w:rPr>
        <w:t>)</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如施工过程中造成燃气管道设施损坏且供气中断(未漏气),乙方施工人员应立即停止施工,保护现场,立即通知甲、丙、丁方联系人,并根据影响用户范国级别上报市(区)建设局。丙方发出停工令,丁方立度F组织抢修,甲方应责成事故责任单位于修复完工后五个工作日内向丁方支付修复费用,否则甲方应于该五个工作日届满后三个工作日内向丁方支付修复费用。建设主管部门根据影响范围按照《四川省燃气条例》等有关规定对责任单位进行相应的处罚。</w:t>
      </w:r>
    </w:p>
    <w:p>
      <w:pPr>
        <w:pStyle w:val="119"/>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eastAsia="zh-CN"/>
        </w:rPr>
        <w:t>（三）</w:t>
      </w:r>
      <w:r>
        <w:rPr>
          <w:rFonts w:hint="eastAsia" w:ascii="方正仿宋简体" w:hAnsi="方正仿宋简体" w:eastAsia="方正仿宋简体" w:cs="方正仿宋简体"/>
          <w:bCs/>
          <w:sz w:val="28"/>
          <w:szCs w:val="28"/>
        </w:rPr>
        <w:t>燃气管道破裂泄漏或爆炸</w:t>
      </w:r>
    </w:p>
    <w:p>
      <w:pPr>
        <w:pStyle w:val="119"/>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如施工过程中造成燃气管道破裂泄漏或爆炸,乙方施工人员应立即停止施工,保护现场,组织附近人员疏散,救治受伤人员,向110和丁方报警并按事故级别上报市(区)建设局,同时,立即通知甲、两、丁方联系人。</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甲、丙、丁方接警后立即启动应急预案, 组织开展应急抢险工作。</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有关部门按照«深圳市燃气条例»等规定组织对事故进行调查,并对事故责任单位和责任人进行处罚。</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甲方应责成事故责任单位于修复完工后十个工作日内赔偿丁方因燃气管道及设施破坏</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遭受的直接和间接损失</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否则甲方应于该十个工作日届满后三个工作日内赔偿丁方所受直接和间接损失。</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ascii="方正仿宋简体" w:hAnsi="方正仿宋简体" w:eastAsia="方正仿宋简体" w:cs="方正仿宋简体"/>
          <w:bCs/>
          <w:sz w:val="28"/>
          <w:szCs w:val="28"/>
        </w:rPr>
      </w:pPr>
      <w:r>
        <w:rPr>
          <w:rFonts w:hint="eastAsia" w:ascii="方正仿宋简体" w:hAnsi="方正仿宋简体" w:eastAsia="方正仿宋简体" w:cs="方正仿宋简体"/>
          <w:b/>
          <w:bCs w:val="0"/>
          <w:sz w:val="28"/>
          <w:szCs w:val="28"/>
        </w:rPr>
        <w:t>第十五条</w:t>
      </w:r>
      <w:r>
        <w:rPr>
          <w:rFonts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rPr>
        <w:t>本协议自肆方签字盖章之时起生效</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正本一式五份</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肆方各执一份、报相关部门一份</w:t>
      </w:r>
      <w:r>
        <w:rPr>
          <w:rFonts w:ascii="方正仿宋简体" w:hAnsi="方正仿宋简体" w:eastAsia="方正仿宋简体" w:cs="方正仿宋简体"/>
          <w:bCs/>
          <w:sz w:val="28"/>
          <w:szCs w:val="28"/>
        </w:rPr>
        <w:t>,</w:t>
      </w:r>
      <w:r>
        <w:rPr>
          <w:rFonts w:hint="eastAsia" w:ascii="方正仿宋简体" w:hAnsi="方正仿宋简体" w:eastAsia="方正仿宋简体" w:cs="方正仿宋简体"/>
          <w:bCs/>
          <w:sz w:val="28"/>
          <w:szCs w:val="28"/>
        </w:rPr>
        <w:t>均具同等效力。</w:t>
      </w:r>
    </w:p>
    <w:p>
      <w:pPr>
        <w:pStyle w:val="119"/>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pStyle w:val="119"/>
        <w:ind w:firstLine="640" w:firstLineChars="200"/>
        <w:jc w:val="both"/>
        <w:outlineLvl w:val="9"/>
        <w:rPr>
          <w:rFonts w:hint="eastAsia" w:ascii="方正仿宋简体" w:hAnsi="方正仿宋简体" w:eastAsia="方正仿宋简体" w:cs="方正仿宋简体"/>
          <w:bCs/>
          <w:sz w:val="32"/>
          <w:szCs w:val="32"/>
        </w:rPr>
      </w:pPr>
    </w:p>
    <w:p>
      <w:pPr>
        <w:spacing w:before="156" w:beforeLines="50" w:after="156" w:afterLines="50" w:line="480" w:lineRule="auto"/>
        <w:jc w:val="left"/>
        <w:outlineLvl w:val="9"/>
        <w:rPr>
          <w:rFonts w:hint="eastAsia" w:ascii="方正黑体简体" w:hAnsi="方正黑体简体" w:eastAsia="方正黑体简体" w:cs="方正黑体简体"/>
          <w:b w:val="0"/>
          <w:bCs/>
          <w:sz w:val="32"/>
          <w:szCs w:val="32"/>
        </w:rPr>
      </w:pPr>
      <w:bookmarkStart w:id="478" w:name="_Toc508016713"/>
      <w:bookmarkStart w:id="479" w:name="_Toc508012287"/>
      <w:bookmarkStart w:id="480" w:name="_Toc22377"/>
      <w:r>
        <w:rPr>
          <w:rFonts w:hint="eastAsia" w:ascii="方正黑体简体" w:hAnsi="方正黑体简体" w:eastAsia="方正黑体简体" w:cs="方正黑体简体"/>
          <w:b w:val="0"/>
          <w:bCs/>
          <w:sz w:val="32"/>
          <w:szCs w:val="32"/>
        </w:rPr>
        <w:t>附表3</w:t>
      </w:r>
      <w:r>
        <w:rPr>
          <w:rFonts w:hint="eastAsia" w:ascii="方正黑体简体" w:hAnsi="方正黑体简体" w:eastAsia="方正黑体简体" w:cs="方正黑体简体"/>
          <w:b w:val="0"/>
          <w:bCs/>
          <w:sz w:val="32"/>
          <w:szCs w:val="32"/>
          <w:lang w:val="en-US" w:eastAsia="zh-CN"/>
        </w:rPr>
        <w:t xml:space="preserve">  </w:t>
      </w:r>
      <w:r>
        <w:rPr>
          <w:rFonts w:hint="eastAsia" w:ascii="方正黑体简体" w:hAnsi="方正黑体简体" w:eastAsia="方正黑体简体" w:cs="方正黑体简体"/>
          <w:b w:val="0"/>
          <w:bCs/>
          <w:sz w:val="32"/>
          <w:szCs w:val="32"/>
        </w:rPr>
        <w:t>片区划分表</w:t>
      </w:r>
      <w:bookmarkEnd w:id="478"/>
      <w:bookmarkEnd w:id="479"/>
      <w:bookmarkEnd w:id="480"/>
    </w:p>
    <w:p>
      <w:pPr>
        <w:pStyle w:val="74"/>
        <w:widowControl/>
        <w:spacing w:line="360" w:lineRule="auto"/>
        <w:ind w:firstLine="0" w:firstLineChars="0"/>
        <w:jc w:val="center"/>
        <w:outlineLvl w:val="9"/>
        <w:rPr>
          <w:b/>
          <w:szCs w:val="28"/>
        </w:rPr>
      </w:pPr>
      <w:r>
        <w:rPr>
          <w:rFonts w:hint="eastAsia"/>
          <w:b/>
          <w:szCs w:val="28"/>
        </w:rPr>
        <w:t>表3-1</w:t>
      </w:r>
      <w:r>
        <w:rPr>
          <w:b/>
          <w:szCs w:val="28"/>
        </w:rPr>
        <w:t xml:space="preserve"> </w:t>
      </w:r>
      <w:r>
        <w:rPr>
          <w:rFonts w:hint="eastAsia"/>
          <w:b/>
          <w:szCs w:val="28"/>
        </w:rPr>
        <w:t>中油南充燃气有限责任公司管道巡护片区划分</w:t>
      </w:r>
    </w:p>
    <w:tbl>
      <w:tblPr>
        <w:tblStyle w:val="51"/>
        <w:tblW w:w="9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134"/>
        <w:gridCol w:w="1701"/>
        <w:gridCol w:w="992"/>
        <w:gridCol w:w="992"/>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ascii="宋体" w:hAnsi="宋体" w:cs="宋体"/>
                <w:b/>
                <w:bCs/>
                <w:szCs w:val="21"/>
              </w:rPr>
            </w:pPr>
            <w:r>
              <w:rPr>
                <w:rFonts w:hint="eastAsia" w:ascii="宋体" w:hAnsi="宋体" w:cs="宋体"/>
                <w:b/>
                <w:kern w:val="0"/>
                <w:szCs w:val="21"/>
                <w:lang w:bidi="ar"/>
              </w:rPr>
              <w:t>管段名称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ascii="宋体" w:hAnsi="宋体" w:cs="宋体"/>
                <w:b/>
                <w:bCs/>
                <w:szCs w:val="21"/>
              </w:rPr>
            </w:pPr>
            <w:r>
              <w:rPr>
                <w:rFonts w:hint="eastAsia" w:ascii="宋体" w:hAnsi="宋体" w:cs="宋体"/>
                <w:b/>
                <w:kern w:val="0"/>
                <w:szCs w:val="21"/>
                <w:lang w:bidi="ar"/>
              </w:rPr>
              <w:t>领导干部</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ascii="宋体" w:hAnsi="宋体" w:cs="宋体"/>
                <w:b/>
                <w:bCs/>
                <w:szCs w:val="21"/>
              </w:rPr>
            </w:pPr>
            <w:r>
              <w:rPr>
                <w:rFonts w:hint="eastAsia" w:ascii="宋体" w:hAnsi="宋体" w:cs="宋体"/>
                <w:b/>
                <w:kern w:val="0"/>
                <w:szCs w:val="21"/>
                <w:lang w:bidi="ar"/>
              </w:rPr>
              <w:t>技术人员</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ascii="宋体" w:hAnsi="宋体" w:cs="宋体"/>
                <w:b/>
                <w:bCs/>
                <w:szCs w:val="21"/>
              </w:rPr>
            </w:pPr>
            <w:r>
              <w:rPr>
                <w:rFonts w:hint="eastAsia" w:ascii="宋体" w:hAnsi="宋体" w:cs="宋体"/>
                <w:b/>
                <w:kern w:val="0"/>
                <w:szCs w:val="21"/>
                <w:lang w:bidi="ar"/>
              </w:rPr>
              <w:t>管道保护工</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宋体" w:hAnsi="宋体" w:cs="宋体"/>
                <w:b/>
                <w:kern w:val="0"/>
                <w:szCs w:val="21"/>
                <w:lang w:bidi="ar"/>
              </w:rPr>
            </w:pPr>
            <w:r>
              <w:rPr>
                <w:rFonts w:hint="eastAsia" w:ascii="宋体" w:hAnsi="宋体" w:cs="宋体"/>
                <w:b/>
                <w:kern w:val="0"/>
                <w:szCs w:val="21"/>
                <w:lang w:bidi="ar"/>
              </w:rPr>
              <w:t>巡线员</w:t>
            </w:r>
          </w:p>
        </w:tc>
        <w:tc>
          <w:tcPr>
            <w:tcW w:w="35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ascii="宋体" w:hAnsi="宋体" w:cs="宋体"/>
                <w:b/>
                <w:kern w:val="0"/>
                <w:szCs w:val="21"/>
                <w:lang w:bidi="ar"/>
              </w:rPr>
            </w:pPr>
            <w:r>
              <w:rPr>
                <w:rFonts w:hint="eastAsia" w:ascii="宋体" w:hAnsi="宋体" w:cs="宋体"/>
                <w:b/>
                <w:kern w:val="0"/>
                <w:szCs w:val="21"/>
                <w:lang w:bidi="ar"/>
              </w:rPr>
              <w:t>考核指标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一片区</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田书勇</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李佳琪、龙 涛、何海洋、胡晓霖</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郑宏</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restart"/>
            <w:tcBorders>
              <w:top w:val="single" w:color="auto" w:sz="4" w:space="0"/>
              <w:left w:val="single" w:color="auto" w:sz="4" w:space="0"/>
              <w:right w:val="single" w:color="auto" w:sz="4" w:space="0"/>
            </w:tcBorders>
            <w:vAlign w:val="center"/>
          </w:tcPr>
          <w:p>
            <w:pPr>
              <w:widowControl/>
              <w:numPr>
                <w:ilvl w:val="0"/>
                <w:numId w:val="14"/>
              </w:numP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管道巡护覆盖率100%；</w:t>
            </w:r>
          </w:p>
          <w:p>
            <w:pPr>
              <w:widowControl/>
              <w:numPr>
                <w:ilvl w:val="0"/>
                <w:numId w:val="14"/>
              </w:numP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巡护频率满足细则要求；</w:t>
            </w:r>
          </w:p>
          <w:p>
            <w:pPr>
              <w:widowControl/>
              <w:numPr>
                <w:ilvl w:val="0"/>
                <w:numId w:val="14"/>
              </w:numP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三方占压隐患监控覆盖率100%， 新增违章占压0次；</w:t>
            </w:r>
          </w:p>
          <w:p>
            <w:pPr>
              <w:widowControl/>
              <w:numPr>
                <w:ilvl w:val="0"/>
                <w:numId w:val="14"/>
              </w:numP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燃气管道第三方施工管控覆盖率100%，第三方施工破坏0次；</w:t>
            </w:r>
          </w:p>
          <w:p>
            <w:pPr>
              <w:widowControl/>
              <w:numPr>
                <w:ilvl w:val="0"/>
                <w:numId w:val="14"/>
              </w:numP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管道失效自主发现率不低于90％；</w:t>
            </w:r>
          </w:p>
          <w:p>
            <w:pPr>
              <w:numPr>
                <w:ilvl w:val="0"/>
                <w:numId w:val="14"/>
              </w:numP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对巡护人员开展了有效培训；</w:t>
            </w:r>
          </w:p>
          <w:p>
            <w:pPr>
              <w:numPr>
                <w:ilvl w:val="0"/>
                <w:numId w:val="14"/>
              </w:numPr>
              <w:outlineLvl w:val="9"/>
              <w:rPr>
                <w:rFonts w:ascii="宋体" w:hAnsi="宋体" w:cs="宋体"/>
                <w:kern w:val="0"/>
                <w:szCs w:val="21"/>
                <w:lang w:bidi="ar"/>
              </w:rPr>
            </w:pPr>
            <w:r>
              <w:rPr>
                <w:rFonts w:hint="eastAsia" w:ascii="方正仿宋简体" w:hAnsi="方正仿宋简体" w:eastAsia="方正仿宋简体" w:cs="方正仿宋简体"/>
                <w:kern w:val="0"/>
                <w:sz w:val="18"/>
                <w:szCs w:val="18"/>
                <w:lang w:bidi="ar"/>
              </w:rPr>
              <w:t>对巡护人员巡线记录资料、巡检质量开展了检查；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二片区</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刘国君</w:t>
            </w: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5</w:t>
            </w:r>
          </w:p>
        </w:tc>
        <w:tc>
          <w:tcPr>
            <w:tcW w:w="3576" w:type="dxa"/>
            <w:vMerge w:val="continue"/>
            <w:tcBorders>
              <w:left w:val="single" w:color="auto" w:sz="4" w:space="0"/>
              <w:right w:val="single" w:color="auto" w:sz="4" w:space="0"/>
            </w:tcBorders>
            <w:vAlign w:val="center"/>
          </w:tcPr>
          <w:p>
            <w:pPr>
              <w:outlineLvl w:val="9"/>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三片区</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张 剑</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李光照、蒲洪斌、张娅茜、陈 飞</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曹蓉</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四片区</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任瑜</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五片区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田书勇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李佳琪、龙 涛、何海洋、胡晓霖</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罗忠</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六片区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陈敏</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饶 贵、任 敏、毕书川、蒲 慧 杨 红</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任祥辉</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七片区</w:t>
            </w:r>
          </w:p>
        </w:tc>
        <w:tc>
          <w:tcPr>
            <w:tcW w:w="1134" w:type="dxa"/>
            <w:vMerge w:val="restart"/>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王睿</w:t>
            </w:r>
          </w:p>
        </w:tc>
        <w:tc>
          <w:tcPr>
            <w:tcW w:w="1701" w:type="dxa"/>
            <w:vMerge w:val="restart"/>
            <w:tcBorders>
              <w:top w:val="single" w:color="auto" w:sz="4" w:space="0"/>
              <w:left w:val="single" w:color="auto" w:sz="4" w:space="0"/>
              <w:right w:val="single" w:color="auto" w:sz="4" w:space="0"/>
            </w:tcBorders>
            <w:vAlign w:val="center"/>
          </w:tcPr>
          <w:p>
            <w:pPr>
              <w:jc w:val="left"/>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郭 兵、张 伟、</w:t>
            </w:r>
          </w:p>
          <w:p>
            <w:pPr>
              <w:jc w:val="left"/>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龙 梅、廖 莎</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叶建红</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潆华工业园</w:t>
            </w:r>
          </w:p>
        </w:tc>
        <w:tc>
          <w:tcPr>
            <w:tcW w:w="1134" w:type="dxa"/>
            <w:vMerge w:val="continue"/>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p>
        </w:tc>
        <w:tc>
          <w:tcPr>
            <w:tcW w:w="1701" w:type="dxa"/>
            <w:vMerge w:val="continue"/>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赵萍</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八片区</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文晓</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蒲宝剑、张立、吴茜</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刘国君</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6</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潆溪片区</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刘国君</w:t>
            </w: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4</w:t>
            </w:r>
          </w:p>
        </w:tc>
        <w:tc>
          <w:tcPr>
            <w:tcW w:w="3576" w:type="dxa"/>
            <w:vMerge w:val="continue"/>
            <w:tcBorders>
              <w:left w:val="single" w:color="auto" w:sz="4" w:space="0"/>
              <w:right w:val="single" w:color="auto" w:sz="4" w:space="0"/>
            </w:tcBorders>
            <w:vAlign w:val="center"/>
          </w:tcPr>
          <w:p>
            <w:pPr>
              <w:outlineLvl w:val="9"/>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都京、下中坝片区</w:t>
            </w:r>
          </w:p>
        </w:tc>
        <w:tc>
          <w:tcPr>
            <w:tcW w:w="1134" w:type="dxa"/>
            <w:vMerge w:val="restart"/>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陈敏</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饶 贵、任 敏、毕书川、蒲 慧 杨 红</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刘国君</w:t>
            </w:r>
          </w:p>
        </w:tc>
        <w:tc>
          <w:tcPr>
            <w:tcW w:w="992" w:type="dxa"/>
            <w:tcBorders>
              <w:top w:val="single" w:color="auto" w:sz="4" w:space="0"/>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5</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航空港片区</w:t>
            </w:r>
          </w:p>
        </w:tc>
        <w:tc>
          <w:tcPr>
            <w:tcW w:w="1134" w:type="dxa"/>
            <w:vMerge w:val="continue"/>
            <w:tcBorders>
              <w:left w:val="single" w:color="auto" w:sz="4" w:space="0"/>
              <w:right w:val="single" w:color="auto" w:sz="4" w:space="0"/>
            </w:tcBorders>
            <w:vAlign w:val="center"/>
          </w:tcPr>
          <w:p>
            <w:pPr>
              <w:jc w:val="center"/>
              <w:textAlignment w:val="center"/>
              <w:outlineLvl w:val="9"/>
              <w:rPr>
                <w:rFonts w:hint="eastAsia" w:ascii="方正仿宋简体" w:hAnsi="方正仿宋简体" w:eastAsia="方正仿宋简体" w:cs="方正仿宋简体"/>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outlineLvl w:val="9"/>
              <w:rPr>
                <w:rFonts w:hint="eastAsia" w:ascii="方正仿宋简体" w:hAnsi="方正仿宋简体" w:eastAsia="方正仿宋简体" w:cs="方正仿宋简体"/>
                <w:kern w:val="0"/>
                <w:sz w:val="18"/>
                <w:szCs w:val="18"/>
              </w:rPr>
            </w:pP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吴宏</w:t>
            </w:r>
          </w:p>
        </w:tc>
        <w:tc>
          <w:tcPr>
            <w:tcW w:w="992" w:type="dxa"/>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2</w:t>
            </w:r>
          </w:p>
        </w:tc>
        <w:tc>
          <w:tcPr>
            <w:tcW w:w="3576" w:type="dxa"/>
            <w:vMerge w:val="continue"/>
            <w:tcBorders>
              <w:left w:val="single" w:color="auto" w:sz="4" w:space="0"/>
              <w:right w:val="single" w:color="auto" w:sz="4" w:space="0"/>
            </w:tcBorders>
            <w:vAlign w:val="center"/>
          </w:tcPr>
          <w:p>
            <w:pPr>
              <w:outlineLvl w:val="9"/>
              <w:rPr>
                <w:rFonts w:ascii="宋体" w:hAnsi="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储1到储2</w:t>
            </w:r>
          </w:p>
        </w:tc>
        <w:tc>
          <w:tcPr>
            <w:tcW w:w="1134" w:type="dxa"/>
            <w:vMerge w:val="restart"/>
            <w:tcBorders>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rPr>
              <w:t>代进</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rPr>
              <w:t>李 进、李星蓉、周诗密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r>
              <w:rPr>
                <w:rFonts w:hint="eastAsia" w:ascii="方正仿宋简体" w:hAnsi="方正仿宋简体" w:eastAsia="方正仿宋简体" w:cs="方正仿宋简体"/>
                <w:kern w:val="0"/>
                <w:sz w:val="18"/>
                <w:szCs w:val="18"/>
                <w:lang w:bidi="ar"/>
              </w:rPr>
              <w:t>林雪光</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0</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东阀室至高坪站</w:t>
            </w:r>
          </w:p>
        </w:tc>
        <w:tc>
          <w:tcPr>
            <w:tcW w:w="1134" w:type="dxa"/>
            <w:vMerge w:val="continue"/>
            <w:tcBorders>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rPr>
              <w:t>李 进、李星蓉、周诗密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陶玉建</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0</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河东到航空港</w:t>
            </w:r>
          </w:p>
        </w:tc>
        <w:tc>
          <w:tcPr>
            <w:tcW w:w="1134" w:type="dxa"/>
            <w:vMerge w:val="continue"/>
            <w:tcBorders>
              <w:left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rPr>
              <w:t>李 进、李星蓉、周诗密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陶玉建</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0</w:t>
            </w:r>
          </w:p>
        </w:tc>
        <w:tc>
          <w:tcPr>
            <w:tcW w:w="3576" w:type="dxa"/>
            <w:vMerge w:val="continue"/>
            <w:tcBorders>
              <w:left w:val="single" w:color="auto" w:sz="4" w:space="0"/>
              <w:right w:val="single" w:color="auto" w:sz="4" w:space="0"/>
            </w:tcBorders>
            <w:vAlign w:val="center"/>
          </w:tcPr>
          <w:p>
            <w:pP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3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八南末站到潆溪</w:t>
            </w:r>
          </w:p>
        </w:tc>
        <w:tc>
          <w:tcPr>
            <w:tcW w:w="1134" w:type="dxa"/>
            <w:vMerge w:val="continue"/>
            <w:tcBorders>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rPr>
              <w:t>李 进、李星蓉、周诗密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刘国君</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outlineLvl w:val="9"/>
              <w:rPr>
                <w:rFonts w:hint="eastAsia" w:ascii="方正仿宋简体" w:hAnsi="方正仿宋简体" w:eastAsia="方正仿宋简体" w:cs="方正仿宋简体"/>
                <w:kern w:val="0"/>
                <w:sz w:val="18"/>
                <w:szCs w:val="18"/>
                <w:lang w:bidi="ar"/>
              </w:rPr>
            </w:pPr>
            <w:r>
              <w:rPr>
                <w:rFonts w:hint="eastAsia" w:ascii="方正仿宋简体" w:hAnsi="方正仿宋简体" w:eastAsia="方正仿宋简体" w:cs="方正仿宋简体"/>
                <w:kern w:val="0"/>
                <w:sz w:val="18"/>
                <w:szCs w:val="18"/>
                <w:lang w:bidi="ar"/>
              </w:rPr>
              <w:t>1</w:t>
            </w:r>
          </w:p>
        </w:tc>
        <w:tc>
          <w:tcPr>
            <w:tcW w:w="3576" w:type="dxa"/>
            <w:vMerge w:val="continue"/>
            <w:tcBorders>
              <w:left w:val="single" w:color="auto" w:sz="4" w:space="0"/>
              <w:bottom w:val="single" w:color="auto" w:sz="4" w:space="0"/>
              <w:right w:val="single" w:color="auto" w:sz="4" w:space="0"/>
            </w:tcBorders>
            <w:vAlign w:val="center"/>
          </w:tcPr>
          <w:p>
            <w:pPr>
              <w:outlineLvl w:val="9"/>
            </w:pPr>
          </w:p>
        </w:tc>
      </w:tr>
    </w:tbl>
    <w:p>
      <w:pPr>
        <w:spacing w:before="156" w:beforeLines="50" w:after="156" w:afterLines="50" w:line="480" w:lineRule="auto"/>
        <w:jc w:val="left"/>
        <w:outlineLvl w:val="9"/>
        <w:rPr>
          <w:rFonts w:hint="eastAsia" w:ascii="方正小标宋简体" w:hAnsi="黑体" w:eastAsia="方正小标宋简体"/>
          <w:b/>
        </w:rPr>
      </w:pPr>
    </w:p>
    <w:p>
      <w:pPr>
        <w:spacing w:before="156" w:beforeLines="50" w:after="156" w:afterLines="50" w:line="480" w:lineRule="auto"/>
        <w:jc w:val="left"/>
        <w:outlineLvl w:val="9"/>
        <w:rPr>
          <w:rFonts w:hint="eastAsia" w:ascii="方正小标宋简体" w:hAnsi="黑体" w:eastAsia="方正小标宋简体"/>
          <w:b/>
        </w:rPr>
      </w:pPr>
    </w:p>
    <w:p>
      <w:pPr>
        <w:spacing w:before="156" w:beforeLines="50" w:after="156" w:afterLines="50" w:line="480" w:lineRule="auto"/>
        <w:jc w:val="left"/>
        <w:outlineLvl w:val="9"/>
        <w:rPr>
          <w:rFonts w:hint="eastAsia" w:ascii="方正黑体简体" w:hAnsi="方正黑体简体" w:eastAsia="方正黑体简体" w:cs="方正黑体简体"/>
          <w:b/>
          <w:sz w:val="32"/>
          <w:szCs w:val="32"/>
        </w:rPr>
      </w:pPr>
      <w:bookmarkStart w:id="481" w:name="_Toc508012288"/>
      <w:bookmarkStart w:id="482" w:name="_Toc13789"/>
      <w:bookmarkStart w:id="483" w:name="_Toc508016714"/>
      <w:r>
        <w:rPr>
          <w:rFonts w:hint="eastAsia" w:ascii="方正黑体简体" w:hAnsi="方正黑体简体" w:eastAsia="方正黑体简体" w:cs="方正黑体简体"/>
          <w:b/>
          <w:sz w:val="32"/>
          <w:szCs w:val="32"/>
        </w:rPr>
        <w:t>附表4</w:t>
      </w:r>
      <w:r>
        <w:rPr>
          <w:rFonts w:hint="eastAsia" w:ascii="方正黑体简体" w:hAnsi="方正黑体简体" w:eastAsia="方正黑体简体" w:cs="方正黑体简体"/>
          <w:b/>
          <w:sz w:val="32"/>
          <w:szCs w:val="32"/>
          <w:lang w:val="en-US" w:eastAsia="zh-CN"/>
        </w:rPr>
        <w:t xml:space="preserve">  </w:t>
      </w:r>
      <w:r>
        <w:rPr>
          <w:rFonts w:hint="eastAsia" w:ascii="方正黑体简体" w:hAnsi="方正黑体简体" w:eastAsia="方正黑体简体" w:cs="方正黑体简体"/>
          <w:b/>
          <w:sz w:val="32"/>
          <w:szCs w:val="32"/>
        </w:rPr>
        <w:t>分级标准及要求</w:t>
      </w:r>
      <w:bookmarkEnd w:id="481"/>
      <w:bookmarkEnd w:id="482"/>
      <w:bookmarkEnd w:id="483"/>
    </w:p>
    <w:tbl>
      <w:tblPr>
        <w:tblStyle w:val="51"/>
        <w:tblW w:w="9084"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29"/>
        <w:gridCol w:w="993"/>
        <w:gridCol w:w="2976"/>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top"/>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等级</w:t>
            </w:r>
          </w:p>
        </w:tc>
        <w:tc>
          <w:tcPr>
            <w:tcW w:w="2729" w:type="dxa"/>
            <w:vAlign w:val="top"/>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情况分类</w:t>
            </w:r>
          </w:p>
        </w:tc>
        <w:tc>
          <w:tcPr>
            <w:tcW w:w="993" w:type="dxa"/>
            <w:vAlign w:val="top"/>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巡查周期</w:t>
            </w:r>
          </w:p>
        </w:tc>
        <w:tc>
          <w:tcPr>
            <w:tcW w:w="2976" w:type="dxa"/>
            <w:vAlign w:val="top"/>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相关要求</w:t>
            </w:r>
          </w:p>
        </w:tc>
        <w:tc>
          <w:tcPr>
            <w:tcW w:w="1738" w:type="dxa"/>
            <w:vAlign w:val="top"/>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协调记录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5" w:hRule="atLeast"/>
        </w:trPr>
        <w:tc>
          <w:tcPr>
            <w:tcW w:w="648" w:type="dxa"/>
            <w:vMerge w:val="restart"/>
            <w:vAlign w:val="center"/>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一级</w:t>
            </w: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1、施工单位使用机械或坚硬工具从事绿化、挖掘、打桩、顶进、钻探、开路口等施工作业，且施工作业点（红线）距离管线距离不足2米。</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2、管道附近200米范围内存在爆破作业。</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3、施工作业范围不能准确确定。</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4、在管道附近存在大量堆土或取土行为，由技术人员到达现场判定需要监护的场所。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注：技术干部到现场结合堆土、取土量、施工地点和管道直线距离等因素进行核定后设定巡检频率。</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5、施工作业单位出现过野蛮施工破坏管道不良记录的施工场所。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6、属于第三方的应急抢建工程施工场所。</w:t>
            </w:r>
          </w:p>
        </w:tc>
        <w:tc>
          <w:tcPr>
            <w:tcW w:w="993" w:type="dxa"/>
            <w:vMerge w:val="restart"/>
            <w:vAlign w:val="center"/>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旁站监护</w:t>
            </w:r>
          </w:p>
        </w:tc>
        <w:tc>
          <w:tcPr>
            <w:tcW w:w="2976"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1.巡线班根据三方施工情况建立三方施工监护台账。</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2.通过开挖连续探坑、检测等方式明确管线（探坑净距不得大约5米）</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3.明确第三方的施工内容，作业时间、施工界面等管道监护要素。</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4、向施工方移交界面10米范围内的管道分布图并签字。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5、公司相关人员与建设方、施工方共同制定管道保护性施工方案并签字认可。</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6、巡线人员在现场喷注红漆、设置警示带、增加地面标识等方式对施工相关方进行安全告知，杜绝一切火种或人员靠近，监护至隐患消除为止。</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7.巡线人员在现场进行全程旁站监护施工方是否严格按照共同制定的管道保护性施工方案施工作业。</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1.现场拍照、录音等证据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2.发放给各相关单位（建设单位、施工单位、政府职能单位）的油气管道保护函件</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 xml:space="preserve">3.双方签字认可的管道保护性施工方案、双方签字的安全告知书                                                                                                                                                                                                                                                                                         </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4.巡线日志</w:t>
            </w:r>
          </w:p>
          <w:p>
            <w:pPr>
              <w:adjustRightInd w:val="0"/>
              <w:snapToGrid w:val="0"/>
              <w:outlineLvl w:val="9"/>
              <w:rPr>
                <w:rFonts w:hint="eastAsia" w:ascii="方正仿宋简体" w:hAnsi="方正仿宋简体" w:eastAsia="方正仿宋简体" w:cs="方正仿宋简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6" w:hRule="atLeast"/>
        </w:trPr>
        <w:tc>
          <w:tcPr>
            <w:tcW w:w="648" w:type="dxa"/>
            <w:vMerge w:val="continue"/>
            <w:vAlign w:val="center"/>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1、管线附近窨井地缝检查出燃气泄漏现象，建筑物内或阀井等较密闭环境存在泄漏的场所。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2、燃气设施泄漏较轻微，虽然现场空旷，但技术干部到达现场确认检修前应监护的场所。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p>
        </w:tc>
        <w:tc>
          <w:tcPr>
            <w:tcW w:w="993" w:type="dxa"/>
            <w:vMerge w:val="continue"/>
            <w:vAlign w:val="center"/>
          </w:tcPr>
          <w:p>
            <w:pPr>
              <w:adjustRightInd w:val="0"/>
              <w:snapToGrid w:val="0"/>
              <w:spacing w:line="560" w:lineRule="exact"/>
              <w:jc w:val="center"/>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1.巡线人员在现场设置警示带</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 张贴“燃气泄漏、请勿靠近”告示，同时对物管等相关人员进行安全告知，记录并签字，疏散围观群众，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3.电话报告公司热线中心（286600），巡线班长，巡线班长报告值班领导</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4.杜绝一切火种或人员靠近，监护至维修人员赶到现场。</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5.热线中心必须将维修完成的信息反馈至巡线人员，巡线人员在接到隐患消除通知24小时之内进行泄漏复查。</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1.现场拍照、热线中心录音等证据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2.安全告知签字记录</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3.巡线日志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48" w:type="dxa"/>
            <w:vMerge w:val="restart"/>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二级</w:t>
            </w: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1.施工单位建筑红线距离管道2-10米，且巡线工与施工单位、建设单位签订的管线保护函明确了保护性施工作业方案；</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2.临时停工不明确复工时间的工地。</w:t>
            </w:r>
          </w:p>
        </w:tc>
        <w:tc>
          <w:tcPr>
            <w:tcW w:w="993" w:type="dxa"/>
            <w:vMerge w:val="restart"/>
            <w:vAlign w:val="center"/>
          </w:tcPr>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2次/日</w:t>
            </w:r>
          </w:p>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步巡</w:t>
            </w:r>
          </w:p>
        </w:tc>
        <w:tc>
          <w:tcPr>
            <w:tcW w:w="2976"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1.在施工现场喷注红漆、设置警示带、增加地面标识等方式对施工相关方进行安全告知，</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2.咨询附近居民、施工相关方工程进度情况。</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1.现场拍照、录音等证据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2.发放给各相关单位（建设单位、施工单位、政府职能单位）的油气管道保护函件</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3.巡线日志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2"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1.暴雨、台风等恶劣天气时，管道周边存在塌方、滑坡、下陷、裸管等危及安全运行的情况。</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2.在管道附近存在大量堆土或取土行为，由技术人员到达现场判定为应每日巡护2次或以上的场所。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p>
        </w:tc>
        <w:tc>
          <w:tcPr>
            <w:tcW w:w="993" w:type="dxa"/>
            <w:vMerge w:val="continue"/>
            <w:vAlign w:val="top"/>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1.观察周围地理环境情况</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 xml:space="preserve">  燃气管道安全控制范围内是否出现土壤开裂、路面开裂、塌陷、塌方、滑坡等异常的现象</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2.观察周围生态异常情况</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A、燃气管道安全控制范围内是否堆积垃圾或重物的现象</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B、燃气管道安全控制范围内是否有砌筑物的现象</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C、周围植物是否有枯萎的异常现象</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D、燃气管道附近的水坑、泥浆是否出现无故冒泡</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3.使用检测仪器检测管道是否失效</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燃气设施轻微泄漏，虽然现场空旷，但经技术干部到达现场确认检修前应临时性增加巡检频次的场所</w:t>
            </w:r>
          </w:p>
        </w:tc>
        <w:tc>
          <w:tcPr>
            <w:tcW w:w="993" w:type="dxa"/>
            <w:vMerge w:val="continue"/>
            <w:vAlign w:val="top"/>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1.技术干部现场制定监控方案</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2.巡线人员根据监控方案要求，对泄漏区域开展泄漏监测</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6" w:hRule="atLeast"/>
        </w:trPr>
        <w:tc>
          <w:tcPr>
            <w:tcW w:w="648" w:type="dxa"/>
            <w:vMerge w:val="restart"/>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三级</w:t>
            </w: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1、漏气或抢修后修复的管网在供气24小时内。</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2、重点区域（必检点）在重大节日或前五天内。</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3、举办各种大型社会活动的场所（如人大会议政府礼堂附近）在活动期间及前五天内。</w:t>
            </w:r>
          </w:p>
        </w:tc>
        <w:tc>
          <w:tcPr>
            <w:tcW w:w="993" w:type="dxa"/>
            <w:vMerge w:val="restart"/>
            <w:vAlign w:val="center"/>
          </w:tcPr>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1次/1日</w:t>
            </w:r>
          </w:p>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步巡</w:t>
            </w: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1.检查焊接点附近地缝窨井是否存在泄漏</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2.观察管线周围地理环境和生态异常情况（如上所述）</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3.使用检测仪器检测管道是否发生泄漏</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3.检测记录</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1、在管道附近存在大量堆土或取土行为，由技术人员到达现场判定巡护频次不低于1日1次的场所。</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 正常运行状态的输气管道或有特殊要求的次高压燃气管道。</w:t>
            </w:r>
          </w:p>
        </w:tc>
        <w:tc>
          <w:tcPr>
            <w:tcW w:w="993"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1.检查管线标识是否完整，管线是否泄漏，是否被违章圈闭占压。堡坎护坡是否完好。</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2.观察管线周围地理环境和生态异常情况（如上所述）</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3.使用检测仪器检测管道是否发生泄漏</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燃气设施轻微泄漏，现场空旷暂时不能整改的场所。</w:t>
            </w:r>
          </w:p>
        </w:tc>
        <w:tc>
          <w:tcPr>
            <w:tcW w:w="993"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1.检查泄漏浓度是否进一步扩大</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2.检查地缝窨井是否存在泄漏燃气</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3.对物管和相关人员进行安全告知</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2.安全告知签字记录</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3.巡线日志</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小区内可能存在用户搭建违章建筑占压燃气管道的区域。</w:t>
            </w:r>
          </w:p>
        </w:tc>
        <w:tc>
          <w:tcPr>
            <w:tcW w:w="993"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1.与用户进行交涉，并进行安全告知，签订安全告知书。</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2.向用户指明管线走向信息，必要时候留下管线图纸</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2.安全告知签字记录</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3.巡线日志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rPr>
        <w:tc>
          <w:tcPr>
            <w:tcW w:w="648"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新建工程停复工期间的管线临时管理</w:t>
            </w:r>
          </w:p>
        </w:tc>
        <w:tc>
          <w:tcPr>
            <w:tcW w:w="993" w:type="dxa"/>
            <w:vMerge w:val="continue"/>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1.检查管线或防腐层是否遭到三方破坏</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2.检查管线标识块/桩是否遭到破坏</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3.检查管线附近土层是否遭到三方破坏</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2.安全告知签字记录</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3.巡线日志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6" w:hRule="atLeast"/>
        </w:trPr>
        <w:tc>
          <w:tcPr>
            <w:tcW w:w="648" w:type="dxa"/>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四级</w:t>
            </w: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1、除以上3级以外的其他中压及次高压燃气管线及附属设施。</w:t>
            </w:r>
          </w:p>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2、公司有特殊要求的低压管道。</w:t>
            </w:r>
          </w:p>
        </w:tc>
        <w:tc>
          <w:tcPr>
            <w:tcW w:w="993" w:type="dxa"/>
            <w:vAlign w:val="center"/>
          </w:tcPr>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1次/3日（</w:t>
            </w:r>
            <w:r>
              <w:rPr>
                <w:rFonts w:hint="eastAsia" w:ascii="宋体" w:hAnsi="宋体" w:cs="宋体"/>
                <w:bCs/>
                <w:sz w:val="18"/>
                <w:szCs w:val="18"/>
              </w:rPr>
              <w:t>歩</w:t>
            </w:r>
            <w:r>
              <w:rPr>
                <w:rFonts w:hint="eastAsia" w:ascii="方正仿宋简体" w:hAnsi="方正仿宋简体" w:eastAsia="方正仿宋简体" w:cs="方正仿宋简体"/>
                <w:bCs/>
                <w:sz w:val="18"/>
                <w:szCs w:val="18"/>
              </w:rPr>
              <w:t>巡）同时不得低于1次/日（车巡）</w:t>
            </w: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1.检查管线标识是否完整，管线是否泄漏，是否被违章圈闭占压。堡坎护坡是否完好。</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2.观察管线周围地理环境和生态异常情况（如上所述）</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3.采用车巡方式巡查时，询问属地范围内小区是否有危及管道安全运行的施工活动，如植树、绿化、维修管网等。</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4.检查小区是否有正在实施的违章搭建</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5.检查道路、开发区是否存在正在实施的第三方施工。</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6.巡护时做好管道周边居民的宣传工作</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1.现场拍照、录音等证据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7" w:hRule="atLeast"/>
        </w:trPr>
        <w:tc>
          <w:tcPr>
            <w:tcW w:w="648" w:type="dxa"/>
            <w:vAlign w:val="center"/>
          </w:tcPr>
          <w:p>
            <w:pPr>
              <w:adjustRightInd w:val="0"/>
              <w:snapToGrid w:val="0"/>
              <w:spacing w:line="560" w:lineRule="exact"/>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五级</w:t>
            </w:r>
          </w:p>
        </w:tc>
        <w:tc>
          <w:tcPr>
            <w:tcW w:w="2729" w:type="dxa"/>
            <w:vAlign w:val="center"/>
          </w:tcPr>
          <w:p>
            <w:pPr>
              <w:adjustRightInd w:val="0"/>
              <w:snapToGrid w:val="0"/>
              <w:ind w:firstLine="270" w:firstLineChars="15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正常运行状态下的低压管道</w:t>
            </w:r>
          </w:p>
        </w:tc>
        <w:tc>
          <w:tcPr>
            <w:tcW w:w="993" w:type="dxa"/>
            <w:vAlign w:val="center"/>
          </w:tcPr>
          <w:p>
            <w:pPr>
              <w:adjustRightInd w:val="0"/>
              <w:snapToGrid w:val="0"/>
              <w:jc w:val="center"/>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1次/5日（</w:t>
            </w:r>
            <w:r>
              <w:rPr>
                <w:rFonts w:hint="eastAsia" w:ascii="宋体" w:hAnsi="宋体" w:cs="宋体"/>
                <w:bCs/>
                <w:sz w:val="18"/>
                <w:szCs w:val="18"/>
              </w:rPr>
              <w:t>歩</w:t>
            </w:r>
            <w:r>
              <w:rPr>
                <w:rFonts w:hint="eastAsia" w:ascii="方正仿宋简体" w:hAnsi="方正仿宋简体" w:eastAsia="方正仿宋简体" w:cs="方正仿宋简体"/>
                <w:bCs/>
                <w:sz w:val="18"/>
                <w:szCs w:val="18"/>
              </w:rPr>
              <w:t>巡）同时不得低于1次/日(车巡)</w:t>
            </w:r>
          </w:p>
        </w:tc>
        <w:tc>
          <w:tcPr>
            <w:tcW w:w="2976" w:type="dxa"/>
            <w:vAlign w:val="center"/>
          </w:tcPr>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1.检查管线标识是否完整，管线是否泄漏，是否被违章圈闭占压。堡坎护坡是否完好。</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2.观察管线周围地理环境和生态异常情况（如上所述）</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3.采用车巡方式巡查时，询问属地范围内小区是否有危及管道安全运行的施工活动，如植树、绿化、维修管网等。</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4.检查小区是否有正在实施的违章搭建</w:t>
            </w:r>
          </w:p>
          <w:p>
            <w:pPr>
              <w:adjustRightInd w:val="0"/>
              <w:snapToGrid w:val="0"/>
              <w:ind w:firstLine="180" w:firstLineChars="10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5.检查道路、开发区是否存在正在实施的第三方施工。</w:t>
            </w:r>
          </w:p>
        </w:tc>
        <w:tc>
          <w:tcPr>
            <w:tcW w:w="1738" w:type="dxa"/>
            <w:vAlign w:val="center"/>
          </w:tcPr>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1.现场拍照、录音等证据</w:t>
            </w:r>
          </w:p>
          <w:p>
            <w:pPr>
              <w:adjustRightInd w:val="0"/>
              <w:snapToGrid w:val="0"/>
              <w:outlineLvl w:val="9"/>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2.巡线日志</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注：所有第三方占压隐患未纳入分级管理，其巡护频率严格按照公司制定的《隐患监控计划》执行</w:t>
      </w:r>
      <w:bookmarkStart w:id="484" w:name="_Toc19350"/>
      <w:bookmarkStart w:id="485" w:name="_Toc6850"/>
      <w:bookmarkStart w:id="486" w:name="_Toc31833"/>
      <w:bookmarkStart w:id="487" w:name="_Toc995"/>
      <w:bookmarkStart w:id="488" w:name="_Toc9818"/>
      <w:bookmarkStart w:id="489" w:name="_Toc9848"/>
      <w:bookmarkStart w:id="490" w:name="_Toc29711"/>
      <w:bookmarkStart w:id="491" w:name="_Toc24257"/>
      <w:bookmarkStart w:id="492" w:name="_Toc3694"/>
      <w:bookmarkStart w:id="493" w:name="_Toc4298"/>
      <w:bookmarkStart w:id="494" w:name="_Toc138499055"/>
      <w:bookmarkStart w:id="495" w:name="_Toc143067007"/>
    </w:p>
    <w:p>
      <w:pPr>
        <w:keepNext w:val="0"/>
        <w:keepLines w:val="0"/>
        <w:pageBreakBefore w:val="0"/>
        <w:widowControl w:val="0"/>
        <w:kinsoku/>
        <w:wordWrap/>
        <w:overflowPunct/>
        <w:topLinePunct w:val="0"/>
        <w:autoSpaceDE/>
        <w:autoSpaceDN/>
        <w:bidi w:val="0"/>
        <w:adjustRightInd w:val="0"/>
        <w:snapToGrid w:val="0"/>
        <w:spacing w:line="560" w:lineRule="exact"/>
        <w:ind w:firstLine="720" w:firstLineChars="200"/>
        <w:textAlignment w:val="auto"/>
        <w:outlineLvl w:val="9"/>
        <w:rPr>
          <w:rFonts w:hint="eastAsia" w:ascii="方正小标宋简体" w:eastAsia="方正小标宋简体"/>
          <w:sz w:val="36"/>
          <w:szCs w:val="36"/>
        </w:rPr>
      </w:pPr>
      <w:r>
        <w:rPr>
          <w:rFonts w:hint="eastAsia" w:ascii="方正小标宋简体" w:eastAsia="方正小标宋简体"/>
          <w:sz w:val="36"/>
          <w:szCs w:val="36"/>
        </w:rPr>
        <w:br w:type="page"/>
      </w: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sz w:val="36"/>
          <w:szCs w:val="36"/>
        </w:rPr>
      </w:pPr>
      <w:bookmarkStart w:id="496" w:name="_Toc17737"/>
      <w:bookmarkStart w:id="497" w:name="_Toc16793"/>
      <w:bookmarkStart w:id="498" w:name="_Toc30173"/>
      <w:bookmarkStart w:id="499" w:name="_Toc8530"/>
      <w:bookmarkStart w:id="500" w:name="_Toc29795"/>
      <w:bookmarkStart w:id="501" w:name="_Toc5187"/>
      <w:bookmarkStart w:id="502" w:name="_Toc6336"/>
      <w:bookmarkStart w:id="503" w:name="_Toc685"/>
      <w:bookmarkStart w:id="504" w:name="_Toc3164"/>
      <w:r>
        <w:rPr>
          <w:rFonts w:hint="eastAsia" w:ascii="方正小标宋简体" w:eastAsia="方正小标宋简体"/>
          <w:b w:val="0"/>
          <w:bCs w:val="0"/>
          <w:sz w:val="36"/>
          <w:szCs w:val="36"/>
        </w:rPr>
        <w:t>中油南充燃气有限责任公司法律事务管理办法</w:t>
      </w:r>
      <w:bookmarkEnd w:id="484"/>
      <w:bookmarkEnd w:id="485"/>
      <w:bookmarkEnd w:id="486"/>
      <w:bookmarkEnd w:id="487"/>
      <w:bookmarkEnd w:id="488"/>
      <w:bookmarkEnd w:id="489"/>
      <w:bookmarkEnd w:id="490"/>
      <w:bookmarkEnd w:id="491"/>
      <w:bookmarkEnd w:id="492"/>
      <w:bookmarkEnd w:id="493"/>
      <w:bookmarkEnd w:id="496"/>
      <w:bookmarkEnd w:id="497"/>
      <w:bookmarkEnd w:id="498"/>
      <w:bookmarkEnd w:id="499"/>
      <w:bookmarkEnd w:id="500"/>
      <w:bookmarkEnd w:id="501"/>
      <w:bookmarkEnd w:id="502"/>
      <w:bookmarkEnd w:id="503"/>
      <w:bookmarkEnd w:id="504"/>
    </w:p>
    <w:p>
      <w:pPr>
        <w:spacing w:line="460" w:lineRule="exact"/>
        <w:jc w:val="both"/>
        <w:rPr>
          <w:rFonts w:hint="eastAsia" w:ascii="方正黑体简体" w:hAnsi="方正黑体简体" w:eastAsia="方正黑体简体" w:cs="方正黑体简体"/>
          <w:b/>
          <w:sz w:val="30"/>
          <w:szCs w:val="30"/>
          <w:lang w:val="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宋体" w:hAnsi="宋体"/>
          <w:sz w:val="24"/>
        </w:rPr>
      </w:pPr>
      <w:r>
        <w:rPr>
          <w:rFonts w:hint="eastAsia" w:ascii="方正黑体简体" w:hAnsi="方正黑体简体" w:eastAsia="方正黑体简体" w:cs="方正黑体简体"/>
          <w:b w:val="0"/>
          <w:bCs/>
          <w:sz w:val="30"/>
          <w:szCs w:val="30"/>
          <w:lang w:val="zh-CN"/>
        </w:rPr>
        <w:t>第一章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val="zh-CN"/>
        </w:rPr>
        <w:t xml:space="preserve"> 总 </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val="zh-CN"/>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为进一步规范公司的法律事务管理工作，有效防范和控制法律风险，维护公司的合法权益，结合公司实际，特制定本办法。</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第二条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本办法所称的法律事务管理是指公司对其在</w:t>
      </w:r>
      <w:r>
        <w:rPr>
          <w:rFonts w:hint="eastAsia" w:ascii="方正仿宋简体" w:hAnsi="方正仿宋简体" w:eastAsia="方正仿宋简体" w:cs="方正仿宋简体"/>
          <w:sz w:val="28"/>
          <w:szCs w:val="28"/>
          <w:lang w:val="en-US" w:eastAsia="zh-CN"/>
        </w:rPr>
        <w:t>安全</w:t>
      </w:r>
      <w:r>
        <w:rPr>
          <w:rFonts w:hint="eastAsia" w:ascii="方正仿宋简体" w:hAnsi="方正仿宋简体" w:eastAsia="方正仿宋简体" w:cs="方正仿宋简体"/>
          <w:sz w:val="28"/>
          <w:szCs w:val="28"/>
        </w:rPr>
        <w:t>生产经营活动中涉及国家法律、法规相关事务的管理。</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第三条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公司法律事务管理包括法律咨询论证、企业工商管理、对外争议和纠纷处理、法律风险防范、法制教育等与法律事务相关的工作。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本办法也适用于处理劳动争议纠纷案。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本办法制定遵循的基本原则：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根据建设法制社会的基本要求，结合公司实际及企业文化建设的需要而制定。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第五条</w:t>
      </w:r>
      <w:r>
        <w:rPr>
          <w:rFonts w:hint="eastAsia" w:ascii="方正仿宋简体" w:hAnsi="方正仿宋简体" w:eastAsia="方正仿宋简体" w:cs="方正仿宋简体"/>
          <w:sz w:val="28"/>
          <w:szCs w:val="28"/>
        </w:rPr>
        <w:t xml:space="preserve">  法律事务管理的基本原则：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依法治企，严格管理；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预防为主，普及教育；</w:t>
      </w:r>
    </w:p>
    <w:p>
      <w:pPr>
        <w:keepNext w:val="0"/>
        <w:keepLines w:val="0"/>
        <w:pageBreakBefore w:val="0"/>
        <w:widowControl w:val="0"/>
        <w:tabs>
          <w:tab w:val="center" w:pos="4268"/>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自觉守法，诚实信用。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第二章  管理职责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第六条</w:t>
      </w:r>
      <w:r>
        <w:rPr>
          <w:rFonts w:hint="eastAsia" w:ascii="方正仿宋简体" w:hAnsi="方正仿宋简体" w:eastAsia="方正仿宋简体" w:cs="方正仿宋简体"/>
          <w:sz w:val="28"/>
          <w:szCs w:val="28"/>
        </w:rPr>
        <w:t xml:space="preserve">  公司法律事务工作归口由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负责管理，具体职责如下：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（一）负责按法律法规和有关规定处理法律事务日常工作；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（二）法律风险防范工作；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（三）有关法律法规性资质的使用管理；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（四）纠纷案件的上报并参与诉讼和非诉讼案件处理；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（五）重大项目的法律论证；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（六）内部工商登记、变更、注销、年检等工作；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（七）负责法制宣传教育工作，提供法律咨询服务；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（八）负责外聘律师和企业法律顾问的管理工作。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第七条 </w:t>
      </w:r>
      <w:r>
        <w:rPr>
          <w:rFonts w:hint="eastAsia" w:ascii="方正仿宋简体" w:hAnsi="方正仿宋简体" w:eastAsia="方正仿宋简体" w:cs="方正仿宋简体"/>
          <w:sz w:val="28"/>
          <w:szCs w:val="28"/>
        </w:rPr>
        <w:t xml:space="preserve"> 公司各部门和基层各单位在法律事务工作中的职责：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（一）自觉遵守法律法规的规定；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（二）法制建设工作的具体组织开展；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（三）按照法律法规维护企业利益；</w:t>
      </w:r>
    </w:p>
    <w:p>
      <w:pPr>
        <w:keepNext w:val="0"/>
        <w:keepLines w:val="0"/>
        <w:pageBreakBefore w:val="0"/>
        <w:widowControl w:val="0"/>
        <w:tabs>
          <w:tab w:val="left" w:pos="600"/>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（四）诉讼案件的汇报。</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第三章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法律咨询论证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第八条</w:t>
      </w:r>
      <w:r>
        <w:rPr>
          <w:rFonts w:hint="eastAsia" w:ascii="方正仿宋简体" w:hAnsi="方正仿宋简体" w:eastAsia="方正仿宋简体" w:cs="方正仿宋简体"/>
          <w:sz w:val="28"/>
          <w:szCs w:val="28"/>
        </w:rPr>
        <w:t xml:space="preserve">  法律咨询论证工作要从维护社会稳定、履行企业宗旨、提高效益、防范风险出发，全面、准确地运用相关法律法规，严格把关、准确服务。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第九条</w:t>
      </w:r>
      <w:r>
        <w:rPr>
          <w:rFonts w:hint="eastAsia" w:ascii="方正仿宋简体" w:hAnsi="方正仿宋简体" w:eastAsia="方正仿宋简体" w:cs="方正仿宋简体"/>
          <w:sz w:val="28"/>
          <w:szCs w:val="28"/>
        </w:rPr>
        <w:t xml:space="preserve">  公司重大经营项目在前期论证时，必须通过法律论证，其论证意见作为企业领导决策的依据之一。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第八条</w:t>
      </w:r>
      <w:r>
        <w:rPr>
          <w:rFonts w:hint="eastAsia" w:ascii="方正仿宋简体" w:hAnsi="方正仿宋简体" w:eastAsia="方正仿宋简体" w:cs="方正仿宋简体"/>
          <w:sz w:val="28"/>
          <w:szCs w:val="28"/>
        </w:rPr>
        <w:t xml:space="preserve">  法律论证工作由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负责，或会同外聘律师共同完成，根据项目需要需委托其他法律机构进行论证时，由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负责按相关规定进行委托。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在生产经营活动中涉及到对法律规定把握不准确或不理解时，行为部门（单位）或个人应及时向</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提出咨询，</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应及时提供咨询服务，必要时可向外聘律师或法律机构进行咨询后予以回复；当咨询部门（单位）或个人咨询内容涉及的行为可能构成违法时应及时制止。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第十一条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法律咨询论证的主要项目包括：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（一）对外投资和提供担保；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（二）涉外经营活动，引进外资和技术引进；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（三）企业的设立、合并、分立、破产、重组；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（四）企业资产的租赁、转让；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（五）企业商标注册、专利申请等知识产权有关法律事务；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（六）开展与企业生产经营有关的法律咨询；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（七）其它需要咨询的法律事项。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以上项目中凡没有经过法律论证或经论证没有通过的，一律不得实施。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第四章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工商事务管理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第十二条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工商事务是指在经营活动中涉及企业登记、变更、注销、年检，以及企业相关资质性文件使用的有关事务。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第十三条</w:t>
      </w:r>
      <w:r>
        <w:rPr>
          <w:rFonts w:hint="eastAsia" w:ascii="方正仿宋简体" w:hAnsi="方正仿宋简体" w:eastAsia="方正仿宋简体" w:cs="方正仿宋简体"/>
          <w:sz w:val="28"/>
          <w:szCs w:val="28"/>
        </w:rPr>
        <w:t xml:space="preserve">  根据公司内部机构的设置，由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负责办理企业登记的有关事务；下属分公司的企业登记在取得授权的原则下由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负责审查并协助办理。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第十四条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经批准登记注册的分公司办理变更、注销、年检，由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审查后办理。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第十五条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企业登记、变更、注销、年检审查的内容：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（一）对拟办理手续的企业的经济性质、隶属关系、产权关系、经营范围、经营方式、注册资金来源以及主办单位的资格进行审查。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（二）结合国家有关产业政策、工商管理和税收管理法规，对办理内容在法律上的可行性进行审查。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（三）对报送工商行政管理部门的企业登记材料进行审核。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sz w:val="28"/>
          <w:szCs w:val="28"/>
        </w:rPr>
        <w:t xml:space="preserve">  公司营业执照、组织机构代码证由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负责保管。分公司办理完工商事务后，其营业执照复印件交</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备案。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第十七条</w:t>
      </w:r>
      <w:r>
        <w:rPr>
          <w:rFonts w:hint="eastAsia" w:ascii="方正仿宋简体" w:hAnsi="方正仿宋简体" w:eastAsia="方正仿宋简体" w:cs="方正仿宋简体"/>
          <w:sz w:val="28"/>
          <w:szCs w:val="28"/>
        </w:rPr>
        <w:t xml:space="preserve">  需向外提供公司证照及相关资质文件的，经公司审批后由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协助办理。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第五章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对外争议、纠纷案件管理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第十八条</w:t>
      </w:r>
      <w:r>
        <w:rPr>
          <w:rFonts w:hint="eastAsia" w:ascii="方正仿宋简体" w:hAnsi="方正仿宋简体" w:eastAsia="方正仿宋简体" w:cs="方正仿宋简体"/>
          <w:sz w:val="28"/>
          <w:szCs w:val="28"/>
        </w:rPr>
        <w:t xml:space="preserve">  对外争议和纠纷是指公司所属各职能部门和单位在对外经济活动中发生的经济权益和民事权益纠纷，以及认为行政机关及其工作人员的具体行政行为侵犯其权益而引起的争议。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第十九条</w:t>
      </w:r>
      <w:r>
        <w:rPr>
          <w:rFonts w:hint="eastAsia" w:ascii="方正仿宋简体" w:hAnsi="方正仿宋简体" w:eastAsia="方正仿宋简体" w:cs="方正仿宋简体"/>
          <w:sz w:val="28"/>
          <w:szCs w:val="28"/>
        </w:rPr>
        <w:t xml:space="preserve">  公司的所有对外争议和纠纷归口由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负责申报管理，并根据公司的授权组织协调纠纷和争议的处理。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第二十条</w:t>
      </w:r>
      <w:r>
        <w:rPr>
          <w:rFonts w:hint="eastAsia" w:ascii="方正仿宋简体" w:hAnsi="方正仿宋简体" w:eastAsia="方正仿宋简体" w:cs="方正仿宋简体"/>
          <w:sz w:val="28"/>
          <w:szCs w:val="28"/>
        </w:rPr>
        <w:t xml:space="preserve">  应当申报的纠纷和争议包括：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（一）经济合同纠纷；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（二）因土地、房屋、财物、水事、矿产资源、相邻关系、债权债务、损害赔偿、知识产权以及其他涉及公司利益的各种民事纠纷；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（三）对罚款、吊销许可证或执照、责令停产停业、没收财物等行政处罚行为不服而引起的争议；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（四）对财产的查封、扣押、冻结等行政强制措施不服而引起的争议；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（五）认为行政机关侵犯法律规定的经营自主权而引起的争议；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（六）认为符合法定条件申请行政机关颁发许可证或执照，行政机关拒绝颁发或者不予答复而引起的争议；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（七）申请行政机关履行保护财产权的法定职责，行政机关拒绝履行或者不予答复而引起的争议；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（八）认为行政机关违法要求履行义务而引起的争议；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（九）认为行政机关侵犯其财产权而引起的争议；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（十）因劳动合同而引起的争议；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（十一）法律、法规规定可以提起诉讼的其他行政争议；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（十二）公司、所属单位被诉的纠纷。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第二十一条</w:t>
      </w:r>
      <w:r>
        <w:rPr>
          <w:rFonts w:hint="eastAsia" w:ascii="方正仿宋简体" w:hAnsi="方正仿宋简体" w:eastAsia="方正仿宋简体" w:cs="方正仿宋简体"/>
          <w:sz w:val="28"/>
          <w:szCs w:val="28"/>
        </w:rPr>
        <w:t xml:space="preserve">  经公司授权的申请复议、仲裁案件，起诉或应诉案件，由涉及的业务主管部门和单位、</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、外聘律师共同参与处理，</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牵头并按法律和内部相关规定办理授权手续。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第二十二条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负责除劳动争议外的其它纠纷和争议案件裁、判执行，相关资料的收存和台帐管理；经理办公室负责劳动争议裁、判执行，相关资料的收存和台帐管理。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第二十三条</w:t>
      </w:r>
      <w:r>
        <w:rPr>
          <w:rFonts w:hint="eastAsia" w:ascii="方正仿宋简体" w:hAnsi="方正仿宋简体" w:eastAsia="方正仿宋简体" w:cs="方正仿宋简体"/>
          <w:sz w:val="28"/>
          <w:szCs w:val="28"/>
        </w:rPr>
        <w:t xml:space="preserve">  纠纷案件结案后，代理案件的代理人或承办人应将案件的基本情况、办案经过、处理结果、经验教训等写成书面材料，会同案件其它材料、结案法律文书形成档案。</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第六章  外聘律师的管理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第二十四条</w:t>
      </w:r>
      <w:r>
        <w:rPr>
          <w:rFonts w:hint="eastAsia" w:ascii="方正仿宋简体" w:hAnsi="方正仿宋简体" w:eastAsia="方正仿宋简体" w:cs="方正仿宋简体"/>
          <w:sz w:val="28"/>
          <w:szCs w:val="28"/>
        </w:rPr>
        <w:t xml:space="preserve">  为切实维护公司合法权益和加强法律工作，公司根据需要可聘请律师事务所执业律师为常年法律顾问，原则上聘用期限为一年，合同期满可另行签订合同。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第二十五条</w:t>
      </w:r>
      <w:r>
        <w:rPr>
          <w:rFonts w:hint="eastAsia" w:ascii="方正仿宋简体" w:hAnsi="方正仿宋简体" w:eastAsia="方正仿宋简体" w:cs="方正仿宋简体"/>
          <w:sz w:val="28"/>
          <w:szCs w:val="28"/>
        </w:rPr>
        <w:t xml:space="preserve">  与外聘律师签订合同时应明确以下职责：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（一）就公司生产、经营、管理方面的重大经营决策提出法律意见，从法律上进行论证，提供法律依据；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（二）协助公司审查或草拟、修改在生产、经营、管理及对外联系活动中的合同、协议以及其他相关法律事务文书和规章制度；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（三）提供与公司活动有关的法律信息；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（四）协助</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对员工的法制宣传教育和法律培训；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（五）对公司法律工作人员的工作进行指导。</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第二十六条</w:t>
      </w:r>
      <w:r>
        <w:rPr>
          <w:rFonts w:hint="eastAsia" w:ascii="方正仿宋简体" w:hAnsi="方正仿宋简体" w:eastAsia="方正仿宋简体" w:cs="方正仿宋简体"/>
          <w:sz w:val="28"/>
          <w:szCs w:val="28"/>
        </w:rPr>
        <w:t xml:space="preserve">  外聘律师的工作方式采取不定期方式，需要律师提供法律帮助可随时联系。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第二十七条</w:t>
      </w:r>
      <w:r>
        <w:rPr>
          <w:rFonts w:hint="eastAsia" w:ascii="方正仿宋简体" w:hAnsi="方正仿宋简体" w:eastAsia="方正仿宋简体" w:cs="方正仿宋简体"/>
          <w:sz w:val="28"/>
          <w:szCs w:val="28"/>
        </w:rPr>
        <w:t xml:space="preserve">  每个合同期法律顾问应对担任常年法律顾问期间的工作进行总结，提出法律意见，交</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第七章  法制教育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sz w:val="28"/>
          <w:szCs w:val="28"/>
        </w:rPr>
        <w:t>二十八</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Cs/>
          <w:sz w:val="28"/>
          <w:szCs w:val="28"/>
        </w:rPr>
        <w:t xml:space="preserve">  公司根据国家普法教育的总体安排，同步开展管辖范围内的法制教育工作，同时，将法制教育工作作为公司企业文化建设的一项重要工作同步安排。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sz w:val="28"/>
          <w:szCs w:val="28"/>
        </w:rPr>
        <w:t>二十九</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Cs/>
          <w:sz w:val="28"/>
          <w:szCs w:val="28"/>
        </w:rPr>
        <w:t xml:space="preserve">  </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每年初就当年法制教育的具体内容、学时、学习进度安排下达学习计划。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
          <w:bCs/>
          <w:sz w:val="28"/>
          <w:szCs w:val="28"/>
        </w:rPr>
        <w:t>第三</w:t>
      </w:r>
      <w:r>
        <w:rPr>
          <w:rFonts w:hint="eastAsia" w:ascii="方正仿宋简体" w:hAnsi="方正仿宋简体" w:eastAsia="方正仿宋简体" w:cs="方正仿宋简体"/>
          <w:b/>
          <w:sz w:val="28"/>
          <w:szCs w:val="28"/>
        </w:rPr>
        <w:t>十</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Cs/>
          <w:sz w:val="28"/>
          <w:szCs w:val="28"/>
        </w:rPr>
        <w:t xml:space="preserve">  认真开展各种形式的法制宣传、教育工作。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（一）新的法律法规发布后，</w:t>
      </w:r>
      <w:r>
        <w:rPr>
          <w:rFonts w:hint="eastAsia" w:ascii="方正仿宋简体" w:hAnsi="方正仿宋简体" w:eastAsia="方正仿宋简体" w:cs="方正仿宋简体"/>
          <w:bCs/>
          <w:sz w:val="28"/>
          <w:szCs w:val="28"/>
          <w:lang w:eastAsia="zh-CN"/>
        </w:rPr>
        <w:t>市场营销部</w:t>
      </w:r>
      <w:r>
        <w:rPr>
          <w:rFonts w:hint="eastAsia" w:ascii="方正仿宋简体" w:hAnsi="方正仿宋简体" w:eastAsia="方正仿宋简体" w:cs="方正仿宋简体"/>
          <w:bCs/>
          <w:sz w:val="28"/>
          <w:szCs w:val="28"/>
        </w:rPr>
        <w:t>应根据需要以书面形式作出学习安排和印发学习资料。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（二）每年应组织开展一次专题法制教育活动，活动要明确主题、目的、方式。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仿宋简体" w:hAnsi="方正仿宋简体" w:eastAsia="方正仿宋简体" w:cs="方正仿宋简体"/>
          <w:b w:val="0"/>
          <w:bCs w:val="0"/>
          <w:sz w:val="30"/>
          <w:szCs w:val="30"/>
        </w:rPr>
      </w:pPr>
      <w:r>
        <w:rPr>
          <w:rFonts w:hint="eastAsia" w:ascii="方正黑体简体" w:hAnsi="方正黑体简体" w:eastAsia="方正黑体简体" w:cs="方正黑体简体"/>
          <w:b w:val="0"/>
          <w:bCs w:val="0"/>
          <w:sz w:val="30"/>
          <w:szCs w:val="30"/>
        </w:rPr>
        <w:t>第八章  监督和奖惩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第三十一条</w:t>
      </w:r>
      <w:r>
        <w:rPr>
          <w:rFonts w:hint="eastAsia" w:ascii="方正仿宋简体" w:hAnsi="方正仿宋简体" w:eastAsia="方正仿宋简体" w:cs="方正仿宋简体"/>
          <w:sz w:val="28"/>
          <w:szCs w:val="28"/>
        </w:rPr>
        <w:t xml:space="preserve">  在实际工作中</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负责监督本办法的执行，并对不当做法给予及时纠正。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第三十二条</w:t>
      </w:r>
      <w:r>
        <w:rPr>
          <w:rFonts w:hint="eastAsia" w:ascii="方正仿宋简体" w:hAnsi="方正仿宋简体" w:eastAsia="方正仿宋简体" w:cs="方正仿宋简体"/>
          <w:sz w:val="28"/>
          <w:szCs w:val="28"/>
        </w:rPr>
        <w:t xml:space="preserve">  对按规定应该进行法律论证而未论证的项目，或者虽经论证，但把关不严，在实践中发生风险，造成严重经济损失的，要追究有关当事人的经济责任，视其情节和损失额给予责任追究。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第三十三条</w:t>
      </w:r>
      <w:r>
        <w:rPr>
          <w:rFonts w:hint="eastAsia" w:ascii="方正仿宋简体" w:hAnsi="方正仿宋简体" w:eastAsia="方正仿宋简体" w:cs="方正仿宋简体"/>
          <w:sz w:val="28"/>
          <w:szCs w:val="28"/>
        </w:rPr>
        <w:t xml:space="preserve">  对隐瞒纠纷和争议致使超过诉讼时效，丧失胜诉权的；调解时无原则让步的；应诉案件不予应诉或不申请执行而造成损失的；视其情节追究责任人的行政、经济责任、严重渎职行为责任，或移送司法部门处理。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第三十四条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eastAsia="zh-CN"/>
        </w:rPr>
        <w:t>财务资产部</w:t>
      </w:r>
      <w:r>
        <w:rPr>
          <w:rFonts w:hint="eastAsia" w:ascii="方正仿宋简体" w:hAnsi="方正仿宋简体" w:eastAsia="方正仿宋简体" w:cs="方正仿宋简体"/>
          <w:sz w:val="28"/>
          <w:szCs w:val="28"/>
        </w:rPr>
        <w:t>门应当严格审查控制对外违约金、赔偿金以及各类行政罚款的支付。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第三十五条</w:t>
      </w:r>
      <w:r>
        <w:rPr>
          <w:rFonts w:hint="eastAsia" w:ascii="方正仿宋简体" w:hAnsi="方正仿宋简体" w:eastAsia="方正仿宋简体" w:cs="方正仿宋简体"/>
          <w:sz w:val="28"/>
          <w:szCs w:val="28"/>
        </w:rPr>
        <w:t xml:space="preserve">  对纠纷和争议的处理，代理人应在委托人授权范围内认真办理，因玩忽职守或超越授权范围而给造成经济损失的，应承担相应的经济、行政和法律责任。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第三十六条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对法律咨询、企业登记内部管理、纠纷和争议的处理，忠于职守，工作有显著成绩的，由</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提出专项奖励申请，经审批后予以表彰奖励。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 xml:space="preserve">第九章  附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bookmarkEnd w:id="494"/>
      <w:bookmarkEnd w:id="495"/>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第三十七条</w:t>
      </w:r>
      <w:r>
        <w:rPr>
          <w:rFonts w:hint="eastAsia" w:ascii="方正仿宋简体" w:hAnsi="方正仿宋简体" w:eastAsia="方正仿宋简体" w:cs="方正仿宋简体"/>
          <w:sz w:val="28"/>
          <w:szCs w:val="28"/>
        </w:rPr>
        <w:t xml:space="preserve">  本办法由公司</w:t>
      </w:r>
      <w:r>
        <w:rPr>
          <w:rFonts w:hint="eastAsia" w:ascii="方正仿宋简体" w:hAnsi="方正仿宋简体" w:eastAsia="方正仿宋简体" w:cs="方正仿宋简体"/>
          <w:sz w:val="28"/>
          <w:szCs w:val="28"/>
          <w:lang w:eastAsia="zh-CN"/>
        </w:rPr>
        <w:t>市场营销部</w:t>
      </w:r>
      <w:r>
        <w:rPr>
          <w:rFonts w:hint="eastAsia" w:ascii="方正仿宋简体" w:hAnsi="方正仿宋简体" w:eastAsia="方正仿宋简体" w:cs="方正仿宋简体"/>
          <w:sz w:val="28"/>
          <w:szCs w:val="28"/>
        </w:rPr>
        <w:t>负责解释和修订。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第三十八条</w:t>
      </w:r>
      <w:r>
        <w:rPr>
          <w:rFonts w:hint="eastAsia" w:ascii="方正仿宋简体" w:hAnsi="方正仿宋简体" w:eastAsia="方正仿宋简体" w:cs="方正仿宋简体"/>
          <w:sz w:val="28"/>
          <w:szCs w:val="28"/>
        </w:rPr>
        <w:t xml:space="preserve">  本办法自发布之日起施行，在实施过程中涉及到国家规定的按国家规定执行。</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left"/>
        <w:textAlignment w:val="auto"/>
        <w:outlineLvl w:val="9"/>
        <w:rPr>
          <w:rFonts w:hint="eastAsia" w:ascii="宋体" w:hAnsi="宋体"/>
          <w:b/>
          <w:bCs/>
          <w:sz w:val="24"/>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460" w:lineRule="exact"/>
        <w:rPr>
          <w:rFonts w:hint="eastAsia" w:ascii="宋体" w:hAnsi="宋体"/>
          <w:sz w:val="28"/>
          <w:szCs w:val="28"/>
        </w:rPr>
      </w:pPr>
    </w:p>
    <w:p>
      <w:pPr>
        <w:spacing w:line="560" w:lineRule="exact"/>
        <w:ind w:firstLine="560" w:firstLineChars="200"/>
        <w:rPr>
          <w:rFonts w:hint="eastAsia" w:ascii="方正仿宋简体" w:hAnsi="方正仿宋简体" w:eastAsia="方正仿宋简体" w:cs="方正仿宋简体"/>
          <w:kern w:val="0"/>
          <w:sz w:val="28"/>
          <w:szCs w:val="28"/>
        </w:rPr>
      </w:pPr>
    </w:p>
    <w:p>
      <w:pPr>
        <w:keepNext w:val="0"/>
        <w:keepLines w:val="0"/>
        <w:pageBreakBefore w:val="0"/>
        <w:widowControl/>
        <w:tabs>
          <w:tab w:val="left" w:pos="5880"/>
        </w:tabs>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eastAsia="zh-CN"/>
        </w:rPr>
      </w:pPr>
      <w:r>
        <w:rPr>
          <w:rFonts w:hint="eastAsia" w:ascii="方正小标宋简体" w:eastAsia="方正小标宋简体"/>
          <w:b/>
          <w:bCs/>
          <w:kern w:val="44"/>
          <w:sz w:val="36"/>
          <w:szCs w:val="36"/>
        </w:rPr>
        <w:br w:type="page"/>
      </w:r>
      <w:bookmarkStart w:id="505" w:name="_Toc27112"/>
      <w:bookmarkStart w:id="506" w:name="_Toc31730"/>
      <w:bookmarkStart w:id="507" w:name="_Toc20753"/>
      <w:bookmarkStart w:id="508" w:name="_Toc28126"/>
      <w:bookmarkStart w:id="509" w:name="_Toc3808"/>
      <w:bookmarkStart w:id="510" w:name="_Toc5287"/>
      <w:bookmarkStart w:id="511" w:name="_Toc11986"/>
      <w:bookmarkStart w:id="512" w:name="_Toc20592"/>
      <w:r>
        <w:rPr>
          <w:rFonts w:hint="eastAsia" w:ascii="方正小标宋简体" w:eastAsia="方正小标宋简体"/>
          <w:b w:val="0"/>
          <w:bCs w:val="0"/>
          <w:kern w:val="44"/>
          <w:sz w:val="36"/>
          <w:szCs w:val="36"/>
        </w:rPr>
        <w:t>中油南充燃气有限责任公司安全生产</w:t>
      </w:r>
      <w:r>
        <w:rPr>
          <w:rFonts w:hint="eastAsia" w:ascii="方正小标宋简体" w:eastAsia="方正小标宋简体"/>
          <w:b w:val="0"/>
          <w:bCs w:val="0"/>
          <w:kern w:val="44"/>
          <w:sz w:val="36"/>
          <w:szCs w:val="36"/>
          <w:lang w:eastAsia="zh-CN"/>
        </w:rPr>
        <w:t>投入保障制度</w:t>
      </w:r>
      <w:bookmarkEnd w:id="505"/>
      <w:bookmarkEnd w:id="506"/>
      <w:bookmarkEnd w:id="507"/>
      <w:bookmarkEnd w:id="508"/>
      <w:bookmarkEnd w:id="509"/>
      <w:bookmarkEnd w:id="510"/>
      <w:bookmarkEnd w:id="511"/>
      <w:bookmarkEnd w:id="512"/>
    </w:p>
    <w:p>
      <w:pPr>
        <w:keepNext w:val="0"/>
        <w:keepLines w:val="0"/>
        <w:pageBreakBefore w:val="0"/>
        <w:widowControl/>
        <w:tabs>
          <w:tab w:val="left" w:pos="5880"/>
        </w:tabs>
        <w:kinsoku/>
        <w:wordWrap/>
        <w:overflowPunct/>
        <w:topLinePunct w:val="0"/>
        <w:autoSpaceDE/>
        <w:autoSpaceDN/>
        <w:bidi w:val="0"/>
        <w:adjustRightInd/>
        <w:snapToGrid/>
        <w:spacing w:line="640" w:lineRule="exact"/>
        <w:jc w:val="center"/>
        <w:textAlignment w:val="auto"/>
        <w:outlineLvl w:val="9"/>
        <w:rPr>
          <w:rFonts w:hint="eastAsia" w:ascii="方正小标宋简体" w:eastAsia="方正小标宋简体"/>
          <w:b w:val="0"/>
          <w:bCs w:val="0"/>
          <w:kern w:val="44"/>
          <w:sz w:val="36"/>
          <w:szCs w:val="36"/>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仿宋简体" w:hAnsi="宋体" w:eastAsia="方正仿宋简体" w:cs="宋体"/>
          <w:b w:val="0"/>
          <w:bCs/>
          <w:kern w:val="0"/>
          <w:sz w:val="30"/>
          <w:szCs w:val="30"/>
        </w:rPr>
      </w:pPr>
      <w:r>
        <w:rPr>
          <w:rFonts w:hint="eastAsia" w:ascii="方正黑体简体" w:hAnsi="方正黑体简体" w:eastAsia="方正黑体简体" w:cs="方正黑体简体"/>
          <w:b w:val="0"/>
          <w:bCs/>
          <w:kern w:val="0"/>
          <w:sz w:val="30"/>
          <w:szCs w:val="30"/>
          <w:lang w:eastAsia="zh-CN"/>
        </w:rPr>
        <w:t>第一章</w:t>
      </w:r>
      <w:r>
        <w:rPr>
          <w:rFonts w:hint="eastAsia" w:ascii="方正黑体简体" w:hAnsi="方正黑体简体" w:eastAsia="方正黑体简体" w:cs="方正黑体简体"/>
          <w:b w:val="0"/>
          <w:bCs/>
          <w:kern w:val="0"/>
          <w:sz w:val="30"/>
          <w:szCs w:val="30"/>
        </w:rPr>
        <w:t xml:space="preserve">  总 </w:t>
      </w:r>
      <w:r>
        <w:rPr>
          <w:rFonts w:hint="eastAsia" w:ascii="方正黑体简体" w:hAnsi="方正黑体简体" w:eastAsia="方正黑体简体" w:cs="方正黑体简体"/>
          <w:b w:val="0"/>
          <w:bCs/>
          <w:kern w:val="0"/>
          <w:sz w:val="30"/>
          <w:szCs w:val="30"/>
          <w:lang w:val="en-US" w:eastAsia="zh-CN"/>
        </w:rPr>
        <w:t xml:space="preserve"> </w:t>
      </w:r>
      <w:r>
        <w:rPr>
          <w:rFonts w:hint="eastAsia" w:ascii="方正黑体简体" w:hAnsi="方正黑体简体" w:eastAsia="方正黑体简体" w:cs="方正黑体简体"/>
          <w:b w:val="0"/>
          <w:bCs/>
          <w:kern w:val="0"/>
          <w:sz w:val="30"/>
          <w:szCs w:val="30"/>
        </w:rPr>
        <w:t>则</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第一条</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为了建立公司安全生产投入长效机制，加强安全生产费用管理，保障公司安全生产资金投入，规范安全生产费用计提、核算和使用，根据财政部、国家安全生产监督管理总局《企业安全生产费用提取和使用管理办法》（财企〔2012〕16号）、</w:t>
      </w:r>
      <w:r>
        <w:rPr>
          <w:rFonts w:hint="eastAsia" w:ascii="方正仿宋简体" w:hAnsi="方正仿宋简体" w:eastAsia="方正仿宋简体" w:cs="方正仿宋简体"/>
          <w:sz w:val="28"/>
          <w:szCs w:val="28"/>
        </w:rPr>
        <w:t>《昆仑能源公司安全生产费用提取和使用管理办法（暂行）》（</w:t>
      </w:r>
      <w:r>
        <w:rPr>
          <w:rFonts w:hint="eastAsia" w:ascii="方正仿宋简体" w:hAnsi="方正仿宋简体" w:eastAsia="方正仿宋简体" w:cs="方正仿宋简体"/>
          <w:kern w:val="0"/>
          <w:sz w:val="28"/>
          <w:szCs w:val="28"/>
        </w:rPr>
        <w:t>昆仑能源〔2014〕57号</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kern w:val="0"/>
          <w:sz w:val="28"/>
          <w:szCs w:val="28"/>
        </w:rPr>
        <w:t>以及《四川川港燃气有限责任公司安全生产费用提取和使用管理办法》等有关规定，制定本办法。</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第二条</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b/>
          <w:kern w:val="0"/>
          <w:sz w:val="28"/>
          <w:szCs w:val="28"/>
        </w:rPr>
        <w:t xml:space="preserve"> </w:t>
      </w:r>
      <w:r>
        <w:rPr>
          <w:rFonts w:hint="eastAsia" w:ascii="方正仿宋简体" w:hAnsi="方正仿宋简体" w:eastAsia="方正仿宋简体" w:cs="方正仿宋简体"/>
          <w:kern w:val="0"/>
          <w:sz w:val="28"/>
          <w:szCs w:val="28"/>
        </w:rPr>
        <w:t>公司所属企业直接从事天然气等危险品生产、储存与销售、交通运输和建设工程施工的企业以及其他经济组织（以下简称企业）适用本办法。</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第三条</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b/>
          <w:bCs/>
          <w:kern w:val="0"/>
          <w:sz w:val="28"/>
          <w:szCs w:val="28"/>
          <w:lang w:val="en-US" w:eastAsia="zh-CN"/>
        </w:rPr>
        <w:t xml:space="preserve"> </w:t>
      </w:r>
      <w:r>
        <w:rPr>
          <w:rFonts w:hint="eastAsia" w:ascii="方正仿宋简体" w:hAnsi="方正仿宋简体" w:eastAsia="方正仿宋简体" w:cs="方正仿宋简体"/>
          <w:kern w:val="0"/>
          <w:sz w:val="28"/>
          <w:szCs w:val="28"/>
        </w:rPr>
        <w:t>本办法所称安全生产费用（以下简称安全费用）是指企业按照规定标准提取并在成本中列支，专门用于完善和改进企业或者项目安全生产条件的资金。</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第四条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本办法下列用语的含义是：</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危险品是指列入国家标准《危险货物品名表》（GB12268）和《危险化学品目录》的物品。</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建设工程是指土木工程、建筑工程、线路管道和设备安装及装修工程的新建、扩建、改建等。</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交通运输包括道路运输、水路运输、铁路运输、管道运输。</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kern w:val="0"/>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第二章  安全费用的提取标准</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第五条</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kern w:val="0"/>
          <w:sz w:val="28"/>
          <w:szCs w:val="28"/>
        </w:rPr>
        <w:t>天然气生产、销售等危险品生产与储存企业以上年度实际</w:t>
      </w:r>
      <w:r>
        <w:rPr>
          <w:rFonts w:hint="eastAsia" w:ascii="方正仿宋简体" w:hAnsi="方正仿宋简体" w:eastAsia="方正仿宋简体" w:cs="方正仿宋简体"/>
          <w:bCs/>
          <w:kern w:val="0"/>
          <w:sz w:val="28"/>
          <w:szCs w:val="28"/>
        </w:rPr>
        <w:t>营业</w:t>
      </w:r>
      <w:r>
        <w:rPr>
          <w:rFonts w:hint="eastAsia" w:ascii="方正仿宋简体" w:hAnsi="方正仿宋简体" w:eastAsia="方正仿宋简体" w:cs="方正仿宋简体"/>
          <w:kern w:val="0"/>
          <w:sz w:val="28"/>
          <w:szCs w:val="28"/>
        </w:rPr>
        <w:t>收入为计提依据，采取超额累退方式按照以下标准平均逐月提取：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kern w:val="0"/>
          <w:sz w:val="28"/>
          <w:szCs w:val="28"/>
        </w:rPr>
        <w:t>（一）</w:t>
      </w:r>
      <w:r>
        <w:rPr>
          <w:rFonts w:hint="eastAsia" w:ascii="方正仿宋简体" w:hAnsi="方正仿宋简体" w:eastAsia="方正仿宋简体" w:cs="方正仿宋简体"/>
          <w:bCs/>
          <w:kern w:val="0"/>
          <w:sz w:val="28"/>
          <w:szCs w:val="28"/>
        </w:rPr>
        <w:t>营业</w:t>
      </w:r>
      <w:r>
        <w:rPr>
          <w:rFonts w:hint="eastAsia" w:ascii="方正仿宋简体" w:hAnsi="方正仿宋简体" w:eastAsia="方正仿宋简体" w:cs="方正仿宋简体"/>
          <w:kern w:val="0"/>
          <w:sz w:val="28"/>
          <w:szCs w:val="28"/>
        </w:rPr>
        <w:t>收入</w:t>
      </w:r>
      <w:r>
        <w:rPr>
          <w:rFonts w:hint="eastAsia" w:ascii="方正仿宋简体" w:hAnsi="方正仿宋简体" w:eastAsia="方正仿宋简体" w:cs="方正仿宋简体"/>
          <w:bCs/>
          <w:kern w:val="0"/>
          <w:sz w:val="28"/>
          <w:szCs w:val="28"/>
        </w:rPr>
        <w:t>不超过</w:t>
      </w:r>
      <w:r>
        <w:rPr>
          <w:rFonts w:hint="eastAsia" w:ascii="方正仿宋简体" w:hAnsi="方正仿宋简体" w:eastAsia="方正仿宋简体" w:cs="方正仿宋简体"/>
          <w:kern w:val="0"/>
          <w:sz w:val="28"/>
          <w:szCs w:val="28"/>
        </w:rPr>
        <w:t>1000</w:t>
      </w:r>
      <w:r>
        <w:rPr>
          <w:rFonts w:hint="eastAsia" w:ascii="方正仿宋简体" w:hAnsi="方正仿宋简体" w:eastAsia="方正仿宋简体" w:cs="方正仿宋简体"/>
          <w:bCs/>
          <w:kern w:val="0"/>
          <w:sz w:val="28"/>
          <w:szCs w:val="28"/>
        </w:rPr>
        <w:t>万元的</w:t>
      </w:r>
      <w:r>
        <w:rPr>
          <w:rFonts w:hint="eastAsia" w:ascii="方正仿宋简体" w:hAnsi="方正仿宋简体" w:eastAsia="方正仿宋简体" w:cs="方正仿宋简体"/>
          <w:kern w:val="0"/>
          <w:sz w:val="28"/>
          <w:szCs w:val="28"/>
        </w:rPr>
        <w:t>，按照4%提取；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w:t>
      </w:r>
      <w:r>
        <w:rPr>
          <w:rFonts w:hint="eastAsia" w:ascii="方正仿宋简体" w:hAnsi="方正仿宋简体" w:eastAsia="方正仿宋简体" w:cs="方正仿宋简体"/>
          <w:bCs/>
          <w:kern w:val="0"/>
          <w:sz w:val="28"/>
          <w:szCs w:val="28"/>
        </w:rPr>
        <w:t>营业</w:t>
      </w:r>
      <w:r>
        <w:rPr>
          <w:rFonts w:hint="eastAsia" w:ascii="方正仿宋简体" w:hAnsi="方正仿宋简体" w:eastAsia="方正仿宋简体" w:cs="方正仿宋简体"/>
          <w:kern w:val="0"/>
          <w:sz w:val="28"/>
          <w:szCs w:val="28"/>
        </w:rPr>
        <w:t>收</w:t>
      </w:r>
      <w:r>
        <w:rPr>
          <w:rFonts w:hint="eastAsia" w:ascii="方正仿宋简体" w:hAnsi="方正仿宋简体" w:eastAsia="方正仿宋简体" w:cs="方正仿宋简体"/>
          <w:bCs/>
          <w:kern w:val="0"/>
          <w:sz w:val="28"/>
          <w:szCs w:val="28"/>
        </w:rPr>
        <w:t>入超过</w:t>
      </w:r>
      <w:r>
        <w:rPr>
          <w:rFonts w:hint="eastAsia" w:ascii="方正仿宋简体" w:hAnsi="方正仿宋简体" w:eastAsia="方正仿宋简体" w:cs="方正仿宋简体"/>
          <w:kern w:val="0"/>
          <w:sz w:val="28"/>
          <w:szCs w:val="28"/>
        </w:rPr>
        <w:t>1000</w:t>
      </w:r>
      <w:r>
        <w:rPr>
          <w:rFonts w:hint="eastAsia" w:ascii="方正仿宋简体" w:hAnsi="方正仿宋简体" w:eastAsia="方正仿宋简体" w:cs="方正仿宋简体"/>
          <w:bCs/>
          <w:kern w:val="0"/>
          <w:sz w:val="28"/>
          <w:szCs w:val="28"/>
        </w:rPr>
        <w:t>万元至1亿元的部分</w:t>
      </w:r>
      <w:r>
        <w:rPr>
          <w:rFonts w:hint="eastAsia" w:ascii="方正仿宋简体" w:hAnsi="方正仿宋简体" w:eastAsia="方正仿宋简体" w:cs="方正仿宋简体"/>
          <w:kern w:val="0"/>
          <w:sz w:val="28"/>
          <w:szCs w:val="28"/>
        </w:rPr>
        <w:t>，按照2%提取；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（三）</w:t>
      </w:r>
      <w:r>
        <w:rPr>
          <w:rFonts w:hint="eastAsia" w:ascii="方正仿宋简体" w:hAnsi="方正仿宋简体" w:eastAsia="方正仿宋简体" w:cs="方正仿宋简体"/>
          <w:bCs/>
          <w:kern w:val="0"/>
          <w:sz w:val="28"/>
          <w:szCs w:val="28"/>
        </w:rPr>
        <w:t>营业收入超过</w:t>
      </w:r>
      <w:r>
        <w:rPr>
          <w:rFonts w:hint="eastAsia" w:ascii="方正仿宋简体" w:hAnsi="方正仿宋简体" w:eastAsia="方正仿宋简体" w:cs="方正仿宋简体"/>
          <w:kern w:val="0"/>
          <w:sz w:val="28"/>
          <w:szCs w:val="28"/>
        </w:rPr>
        <w:t>1</w:t>
      </w:r>
      <w:r>
        <w:rPr>
          <w:rFonts w:hint="eastAsia" w:ascii="方正仿宋简体" w:hAnsi="方正仿宋简体" w:eastAsia="方正仿宋简体" w:cs="方正仿宋简体"/>
          <w:bCs/>
          <w:kern w:val="0"/>
          <w:sz w:val="28"/>
          <w:szCs w:val="28"/>
        </w:rPr>
        <w:t>亿元至</w:t>
      </w:r>
      <w:r>
        <w:rPr>
          <w:rFonts w:hint="eastAsia" w:ascii="方正仿宋简体" w:hAnsi="方正仿宋简体" w:eastAsia="方正仿宋简体" w:cs="方正仿宋简体"/>
          <w:kern w:val="0"/>
          <w:sz w:val="28"/>
          <w:szCs w:val="28"/>
        </w:rPr>
        <w:t>10</w:t>
      </w:r>
      <w:r>
        <w:rPr>
          <w:rFonts w:hint="eastAsia" w:ascii="方正仿宋简体" w:hAnsi="方正仿宋简体" w:eastAsia="方正仿宋简体" w:cs="方正仿宋简体"/>
          <w:bCs/>
          <w:kern w:val="0"/>
          <w:sz w:val="28"/>
          <w:szCs w:val="28"/>
        </w:rPr>
        <w:t>亿元的部分，</w:t>
      </w:r>
      <w:r>
        <w:rPr>
          <w:rFonts w:hint="eastAsia" w:ascii="方正仿宋简体" w:hAnsi="方正仿宋简体" w:eastAsia="方正仿宋简体" w:cs="方正仿宋简体"/>
          <w:kern w:val="0"/>
          <w:sz w:val="28"/>
          <w:szCs w:val="28"/>
        </w:rPr>
        <w:t>按照0.5%提取；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（四）</w:t>
      </w:r>
      <w:r>
        <w:rPr>
          <w:rFonts w:hint="eastAsia" w:ascii="方正仿宋简体" w:hAnsi="方正仿宋简体" w:eastAsia="方正仿宋简体" w:cs="方正仿宋简体"/>
          <w:bCs/>
          <w:kern w:val="0"/>
          <w:sz w:val="28"/>
          <w:szCs w:val="28"/>
        </w:rPr>
        <w:t>营业</w:t>
      </w:r>
      <w:r>
        <w:rPr>
          <w:rFonts w:hint="eastAsia" w:ascii="方正仿宋简体" w:hAnsi="方正仿宋简体" w:eastAsia="方正仿宋简体" w:cs="方正仿宋简体"/>
          <w:kern w:val="0"/>
          <w:sz w:val="28"/>
          <w:szCs w:val="28"/>
        </w:rPr>
        <w:t>收</w:t>
      </w:r>
      <w:r>
        <w:rPr>
          <w:rFonts w:hint="eastAsia" w:ascii="方正仿宋简体" w:hAnsi="方正仿宋简体" w:eastAsia="方正仿宋简体" w:cs="方正仿宋简体"/>
          <w:bCs/>
          <w:kern w:val="0"/>
          <w:sz w:val="28"/>
          <w:szCs w:val="28"/>
        </w:rPr>
        <w:t>入超过</w:t>
      </w:r>
      <w:r>
        <w:rPr>
          <w:rFonts w:hint="eastAsia" w:ascii="方正仿宋简体" w:hAnsi="方正仿宋简体" w:eastAsia="方正仿宋简体" w:cs="方正仿宋简体"/>
          <w:kern w:val="0"/>
          <w:sz w:val="28"/>
          <w:szCs w:val="28"/>
        </w:rPr>
        <w:t>10</w:t>
      </w:r>
      <w:r>
        <w:rPr>
          <w:rFonts w:hint="eastAsia" w:ascii="方正仿宋简体" w:hAnsi="方正仿宋简体" w:eastAsia="方正仿宋简体" w:cs="方正仿宋简体"/>
          <w:bCs/>
          <w:kern w:val="0"/>
          <w:sz w:val="28"/>
          <w:szCs w:val="28"/>
        </w:rPr>
        <w:t>亿元的部分，</w:t>
      </w:r>
      <w:r>
        <w:rPr>
          <w:rFonts w:hint="eastAsia" w:ascii="方正仿宋简体" w:hAnsi="方正仿宋简体" w:eastAsia="方正仿宋简体" w:cs="方正仿宋简体"/>
          <w:kern w:val="0"/>
          <w:sz w:val="28"/>
          <w:szCs w:val="28"/>
        </w:rPr>
        <w:t>按照0.2%提取。</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 xml:space="preserve">第六条 </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kern w:val="0"/>
          <w:sz w:val="28"/>
          <w:szCs w:val="28"/>
        </w:rPr>
        <w:t>交通运输企业以上年度实际营业收入为计提依据，按照以下标准</w:t>
      </w:r>
      <w:r>
        <w:rPr>
          <w:rFonts w:hint="eastAsia" w:ascii="方正仿宋简体" w:hAnsi="方正仿宋简体" w:eastAsia="方正仿宋简体" w:cs="方正仿宋简体"/>
          <w:bCs/>
          <w:kern w:val="0"/>
          <w:sz w:val="28"/>
          <w:szCs w:val="28"/>
        </w:rPr>
        <w:t>平均</w:t>
      </w:r>
      <w:r>
        <w:rPr>
          <w:rFonts w:hint="eastAsia" w:ascii="方正仿宋简体" w:hAnsi="方正仿宋简体" w:eastAsia="方正仿宋简体" w:cs="方正仿宋简体"/>
          <w:kern w:val="0"/>
          <w:sz w:val="28"/>
          <w:szCs w:val="28"/>
        </w:rPr>
        <w:t>逐月提取：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（一）普通货运业务按照1%提取；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（二）管道运输、危险品等特殊货运业务按照1.5%提取。</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第七条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kern w:val="0"/>
          <w:sz w:val="28"/>
          <w:szCs w:val="28"/>
        </w:rPr>
        <w:t>建设工程施工企业以建筑安装工程造价为计提依据。各建设工程类别安全费用提取标准如下：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（一）房屋建筑工程、水利水电工程、电力工程、铁路工程、城市轨道交通工程为2.0％；</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（二）市政公用工程、冶</w:t>
      </w:r>
      <w:r>
        <w:rPr>
          <w:rFonts w:hint="eastAsia" w:ascii="方正仿宋简体" w:hAnsi="方正仿宋简体" w:eastAsia="方正仿宋简体" w:cs="方正仿宋简体"/>
          <w:bCs/>
          <w:kern w:val="0"/>
          <w:sz w:val="28"/>
          <w:szCs w:val="28"/>
        </w:rPr>
        <w:t>炼</w:t>
      </w:r>
      <w:r>
        <w:rPr>
          <w:rFonts w:hint="eastAsia" w:ascii="方正仿宋简体" w:hAnsi="方正仿宋简体" w:eastAsia="方正仿宋简体" w:cs="方正仿宋简体"/>
          <w:kern w:val="0"/>
          <w:sz w:val="28"/>
          <w:szCs w:val="28"/>
        </w:rPr>
        <w:t>工程、机电安装工程、化工石油工程、港口与航道工程、公路工程、通信工程为1.5％。</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建设工程施工企业提取的安全费用列入工程造价，在竞标时，不得删减，列入标外管理。国家对基本建设投资概算另有规定的，从其规定。</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总包单位应当将安全费用按比例直接支付分包单位并监督使用，分包单位不再重复提取。</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 xml:space="preserve">第八条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中小微型企业和大型企业上年末安全费用结余分别达到本企业上年度营业收入的5%和1.5%时，经川港公司批准并报当地县级以上安全生产监督管理部门和财政部门同意，企业本年度可以缓提或者少提安全费用。</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kern w:val="0"/>
          <w:sz w:val="28"/>
          <w:szCs w:val="28"/>
        </w:rPr>
        <w:t xml:space="preserve">第九条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bCs/>
          <w:kern w:val="0"/>
          <w:sz w:val="28"/>
          <w:szCs w:val="28"/>
        </w:rPr>
        <w:t>企业在上述标准的基础上，根据安全生产实际需要，可适当提高安全费用提取标准。</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第十条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本办法公布前，各省级政府已制定下发企业安全费用提取使用办法的，其提取标准如果低于本办法规定的标准，应当按照本办法进行调整；如果高于本办法规定的标准，按照原标准执行。</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kern w:val="0"/>
          <w:sz w:val="28"/>
          <w:szCs w:val="28"/>
        </w:rPr>
      </w:pPr>
      <w:r>
        <w:rPr>
          <w:rFonts w:hint="eastAsia" w:ascii="方正仿宋简体" w:hAnsi="方正仿宋简体" w:eastAsia="方正仿宋简体" w:cs="方正仿宋简体"/>
          <w:b/>
          <w:kern w:val="0"/>
          <w:sz w:val="28"/>
          <w:szCs w:val="28"/>
        </w:rPr>
        <w:t>第十一条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新建企业和投产不足一年的企业以当年实际营业收入为提取依据，按月计提安全费用。</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第十二条</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kern w:val="0"/>
          <w:sz w:val="28"/>
          <w:szCs w:val="28"/>
        </w:rPr>
        <w:t>混业经营企业，如能按业务类别分别核算的，则以各业务营业收入为计提依据，按上述标准分别提取安全费用；如不能分别核算的，则以全部业务收入为计提依据，按主营业务计提标准提取安全费用。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第三章  安全费用的使用</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第十三条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所属企业应当加强安全生产费用的财务管理，建立健全安全生产费用的内部控制机制，确保安全生产费用的资金安全。</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第十四条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所属企业安全生产费用资金管理应当遵守资金管理相关规定，实行严格的支付审批权限管理。</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第十五条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所属企业在计提额度和使用范围内，按照安全隐患治理的轻重缓急安排项目，其中资本性支出项目需按照投资管理程序，履行项目审批程序。</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第十六条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所属企业使用安全费用时，应当按照企业会计准则的规定正确划分资本化支出和费用化支出，并进行相关会计处理。</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kern w:val="0"/>
          <w:sz w:val="28"/>
          <w:szCs w:val="28"/>
        </w:rPr>
      </w:pPr>
      <w:r>
        <w:rPr>
          <w:rFonts w:hint="eastAsia" w:ascii="方正仿宋简体" w:hAnsi="方正仿宋简体" w:eastAsia="方正仿宋简体" w:cs="方正仿宋简体"/>
          <w:b/>
          <w:kern w:val="0"/>
          <w:sz w:val="28"/>
          <w:szCs w:val="28"/>
        </w:rPr>
        <w:t>第十七条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各企业安全生产费用应当按照以下范围使用：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（一）天然气等危险品生产与储存企业安全费用按照以下范围使用：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1、完善、改造和维护安全防护设施设备支出（不含“三同时”要求初期投入的安全设施），包括车间、库房、罐区等作业场所的监控、监测、通风、防晒、调温、防火、灭火、防爆、泄压、防毒、消毒、中和、防潮、防雷、防静电、防腐、防渗漏、防护围堤或者隔离操作等设施设备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2、配备、维护、保养应急救援器材、设备支出和应急演练支出；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3、开展重大危险源和事故隐患评估、监控和整改支出；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4、安全生产检查、评价（不包括新建、改建、扩建项目安全评价）、咨询和</w:t>
      </w:r>
      <w:r>
        <w:rPr>
          <w:rFonts w:hint="eastAsia" w:ascii="方正仿宋简体" w:hAnsi="方正仿宋简体" w:eastAsia="方正仿宋简体" w:cs="方正仿宋简体"/>
          <w:bCs/>
          <w:kern w:val="0"/>
          <w:sz w:val="28"/>
          <w:szCs w:val="28"/>
        </w:rPr>
        <w:t>标准化建设</w:t>
      </w:r>
      <w:r>
        <w:rPr>
          <w:rFonts w:hint="eastAsia" w:ascii="方正仿宋简体" w:hAnsi="方正仿宋简体" w:eastAsia="方正仿宋简体" w:cs="方正仿宋简体"/>
          <w:kern w:val="0"/>
          <w:sz w:val="28"/>
          <w:szCs w:val="28"/>
        </w:rPr>
        <w:t>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5、配备和更新现场作业人员安全防护用品支出；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cr/>
      </w:r>
      <w:r>
        <w:rPr>
          <w:rFonts w:hint="eastAsia" w:ascii="方正仿宋简体" w:hAnsi="方正仿宋简体" w:eastAsia="方正仿宋简体" w:cs="方正仿宋简体"/>
          <w:vanish/>
          <w:kern w:val="0"/>
          <w:sz w:val="28"/>
          <w:szCs w:val="28"/>
        </w:rPr>
        <w:t>及 项目安全评价）、咨询、标准化建设以及安全生产宣传全评价）和</w:t>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vanish/>
          <w:kern w:val="0"/>
          <w:sz w:val="28"/>
          <w:szCs w:val="28"/>
        </w:rPr>
        <w:pgNum/>
      </w:r>
      <w:r>
        <w:rPr>
          <w:rFonts w:hint="eastAsia" w:ascii="方正仿宋简体" w:hAnsi="方正仿宋简体" w:eastAsia="方正仿宋简体" w:cs="方正仿宋简体"/>
          <w:kern w:val="0"/>
          <w:sz w:val="28"/>
          <w:szCs w:val="28"/>
        </w:rPr>
        <w:t>6、安全生产宣传、教育、培训支出；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7、安全生产适用的新技术、新标准、新工艺、新装备的推广应用支出；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8、安全设施</w:t>
      </w:r>
      <w:r>
        <w:rPr>
          <w:rFonts w:hint="eastAsia" w:ascii="方正仿宋简体" w:hAnsi="方正仿宋简体" w:eastAsia="方正仿宋简体" w:cs="方正仿宋简体"/>
          <w:bCs/>
          <w:kern w:val="0"/>
          <w:sz w:val="28"/>
          <w:szCs w:val="28"/>
        </w:rPr>
        <w:t>及特种设备</w:t>
      </w:r>
      <w:r>
        <w:rPr>
          <w:rFonts w:hint="eastAsia" w:ascii="方正仿宋简体" w:hAnsi="方正仿宋简体" w:eastAsia="方正仿宋简体" w:cs="方正仿宋简体"/>
          <w:kern w:val="0"/>
          <w:sz w:val="28"/>
          <w:szCs w:val="28"/>
        </w:rPr>
        <w:t>检测检验支出；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9、其他与安全生产直接相关的支出。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（二）交通运输企业安全费用应当按照以下范围使用：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1、完善、改造和维护安全防护设施设备支出（不含“三同时”要求初期投入的安全设施），包括管道运输</w:t>
      </w:r>
      <w:r>
        <w:rPr>
          <w:rFonts w:hint="eastAsia" w:ascii="方正仿宋简体" w:hAnsi="方正仿宋简体" w:eastAsia="方正仿宋简体" w:cs="方正仿宋简体"/>
          <w:bCs/>
          <w:kern w:val="0"/>
          <w:sz w:val="28"/>
          <w:szCs w:val="28"/>
        </w:rPr>
        <w:t>设施设备</w:t>
      </w:r>
      <w:r>
        <w:rPr>
          <w:rFonts w:hint="eastAsia" w:ascii="方正仿宋简体" w:hAnsi="方正仿宋简体" w:eastAsia="方正仿宋简体" w:cs="方正仿宋简体"/>
          <w:kern w:val="0"/>
          <w:sz w:val="28"/>
          <w:szCs w:val="28"/>
        </w:rPr>
        <w:t>和装卸工具安全状况检测及维护系统、运输</w:t>
      </w:r>
      <w:r>
        <w:rPr>
          <w:rFonts w:hint="eastAsia" w:ascii="方正仿宋简体" w:hAnsi="方正仿宋简体" w:eastAsia="方正仿宋简体" w:cs="方正仿宋简体"/>
          <w:bCs/>
          <w:kern w:val="0"/>
          <w:sz w:val="28"/>
          <w:szCs w:val="28"/>
        </w:rPr>
        <w:t>设施设备</w:t>
      </w:r>
      <w:r>
        <w:rPr>
          <w:rFonts w:hint="eastAsia" w:ascii="方正仿宋简体" w:hAnsi="方正仿宋简体" w:eastAsia="方正仿宋简体" w:cs="方正仿宋简体"/>
          <w:kern w:val="0"/>
          <w:sz w:val="28"/>
          <w:szCs w:val="28"/>
        </w:rPr>
        <w:t>和装卸工具附属安全设备等支出；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2、购置、安装和使用具有行驶记录功能的车辆卫星定位装置、船舶通信导航定位和自动识别系统、电子海图等支出；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3、配备、维护、保养应急救援器材、设备支出和应急演练支出；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4、开展重大危险源和事故隐患评估、监控和整改支出；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5、安全生产检查、评价（不包括新建、改建、扩建项目安全评价）、咨询和</w:t>
      </w:r>
      <w:r>
        <w:rPr>
          <w:rFonts w:hint="eastAsia" w:ascii="方正仿宋简体" w:hAnsi="方正仿宋简体" w:eastAsia="方正仿宋简体" w:cs="方正仿宋简体"/>
          <w:bCs/>
          <w:kern w:val="0"/>
          <w:sz w:val="28"/>
          <w:szCs w:val="28"/>
        </w:rPr>
        <w:t>标准化建设</w:t>
      </w:r>
      <w:r>
        <w:rPr>
          <w:rFonts w:hint="eastAsia" w:ascii="方正仿宋简体" w:hAnsi="方正仿宋简体" w:eastAsia="方正仿宋简体" w:cs="方正仿宋简体"/>
          <w:kern w:val="0"/>
          <w:sz w:val="28"/>
          <w:szCs w:val="28"/>
        </w:rPr>
        <w:t>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6、配备和更新现场作业人员安全防护用品支出；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7、安全生产宣传、教育、培训支出；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8、安全生产适用的新技术、新标准、新工艺、新装备的推广应用支出；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9、安全设施</w:t>
      </w:r>
      <w:r>
        <w:rPr>
          <w:rFonts w:hint="eastAsia" w:ascii="方正仿宋简体" w:hAnsi="方正仿宋简体" w:eastAsia="方正仿宋简体" w:cs="方正仿宋简体"/>
          <w:bCs/>
          <w:kern w:val="0"/>
          <w:sz w:val="28"/>
          <w:szCs w:val="28"/>
        </w:rPr>
        <w:t>及特种设备</w:t>
      </w:r>
      <w:r>
        <w:rPr>
          <w:rFonts w:hint="eastAsia" w:ascii="方正仿宋简体" w:hAnsi="方正仿宋简体" w:eastAsia="方正仿宋简体" w:cs="方正仿宋简体"/>
          <w:kern w:val="0"/>
          <w:sz w:val="28"/>
          <w:szCs w:val="28"/>
        </w:rPr>
        <w:t>检测检验支出；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10、其他与安全生产直接相关的支出。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kern w:val="0"/>
          <w:sz w:val="28"/>
          <w:szCs w:val="28"/>
        </w:rPr>
        <w:t>（三）建设工程施工企业安全费用应当按照以下范围使用：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1、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2、配备、维护、保养应急救援器材、设备支出和应急演练支出；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3、开展重大危险源和事故隐患评估、监控和整改支出；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4、安全生产检查、评价（不包括新建、改建、扩建项目安全评价）、咨询和标准化建设支出;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5、配备和更新现场作业人员安全防护用品支出；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6、安全生产宣传、教育、培训支出；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7、安全生产适用的新技术、新标准、新工艺、新装备的推广应用支出；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8、安全设施</w:t>
      </w:r>
      <w:r>
        <w:rPr>
          <w:rFonts w:hint="eastAsia" w:ascii="方正仿宋简体" w:hAnsi="方正仿宋简体" w:eastAsia="方正仿宋简体" w:cs="方正仿宋简体"/>
          <w:bCs/>
          <w:kern w:val="0"/>
          <w:sz w:val="28"/>
          <w:szCs w:val="28"/>
        </w:rPr>
        <w:t>及特种设备</w:t>
      </w:r>
      <w:r>
        <w:rPr>
          <w:rFonts w:hint="eastAsia" w:ascii="方正仿宋简体" w:hAnsi="方正仿宋简体" w:eastAsia="方正仿宋简体" w:cs="方正仿宋简体"/>
          <w:kern w:val="0"/>
          <w:sz w:val="28"/>
          <w:szCs w:val="28"/>
        </w:rPr>
        <w:t>检测检验支出；</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9、其他与安全生产直接相关的支出。</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 xml:space="preserve">第十八条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在本办法规定的使用范围内，企业应当将安全费用优先用于满足安全生产监督管理部门以及行业主管部门对企业安全生产提出的整改措施或者达到安全生产标准所需的支出。</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第十九条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企业提取的安全费用应当专户核算，按规定范围安排使用，不得挤占、挪用。年度结余资金结转下年度使用，当年计提安全费用不足的，超出部分按正常成本费用渠道列支。</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主要承担安全管理责任的公司总部经过履行内部决策程序，可以对所属企业提取的安全费用按照一定比例集中管理，统筹使用。</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第二十条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企业由于产权转让、公司制改建等变更股权结构或者组织形式的，其结余的安全费用应当继续按照本办法管理使用。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企业调整业务、终止经营或者依法清算，其结余的安全费用应当结转本期收益或者清算收益。</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第二十一条</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b/>
          <w:bCs/>
          <w:kern w:val="0"/>
          <w:sz w:val="28"/>
          <w:szCs w:val="28"/>
          <w:lang w:val="en-US" w:eastAsia="zh-CN"/>
        </w:rPr>
        <w:t xml:space="preserve"> </w:t>
      </w:r>
      <w:r>
        <w:rPr>
          <w:rFonts w:hint="eastAsia" w:ascii="方正仿宋简体" w:hAnsi="方正仿宋简体" w:eastAsia="方正仿宋简体" w:cs="方正仿宋简体"/>
          <w:kern w:val="0"/>
          <w:sz w:val="28"/>
          <w:szCs w:val="28"/>
        </w:rPr>
        <w:t>本办法第二条规定范围以外的企业为达到应当具备的安全生产条件所需的资金投入，按原渠道列支。</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kern w:val="0"/>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第四章  安全生产费用会计处理</w:t>
      </w:r>
    </w:p>
    <w:p>
      <w:pPr>
        <w:keepNext w:val="0"/>
        <w:keepLines w:val="0"/>
        <w:pageBreakBefore w:val="0"/>
        <w:widowControl w:val="0"/>
        <w:kinsoku/>
        <w:wordWrap w:val="0"/>
        <w:overflowPunct/>
        <w:topLinePunct/>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第二十二条</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依照国家有关规定提取的安全生产费用以及具有类似性质的各项费用,应当在所有者权益中的“专项储备”项目单独反映。企业按规定标准提取安全生产费用等时,借记“管理费用、天然气加工成本等—安全生产费用”科目,贷记“专项储备”科目。</w:t>
      </w:r>
    </w:p>
    <w:p>
      <w:pPr>
        <w:keepNext w:val="0"/>
        <w:keepLines w:val="0"/>
        <w:pageBreakBefore w:val="0"/>
        <w:widowControl w:val="0"/>
        <w:kinsoku/>
        <w:wordWrap w:val="0"/>
        <w:overflowPunct/>
        <w:topLinePunct/>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按规定范围使用安全生产费用购建安全防护设备、设施等资产时,按应计入相关资产成本的金额,在“在建工程”科目中归集,借记“在建工程”科目,贷记“银行存款”等科目;转资时,借记“固定资产”等科目,贷记“在建工程”科目。同时全额计提折旧,冲减“专项储备”。</w:t>
      </w:r>
    </w:p>
    <w:p>
      <w:pPr>
        <w:keepNext w:val="0"/>
        <w:keepLines w:val="0"/>
        <w:pageBreakBefore w:val="0"/>
        <w:widowControl w:val="0"/>
        <w:kinsoku/>
        <w:wordWrap w:val="0"/>
        <w:overflowPunct/>
        <w:topLinePunct/>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(二)按规定范围使用安全生产费用支付安全生产检查与评价支出、安全技能培训及进行应急救援演练支出等与安全生产相关费用性支出时, 应冲减“专项储备”,借记“专项储备”科目,贷记“银行存款”等科目。</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(三)“专项储备”科目期末贷方余额反映各单位提取尚未使用的安全生产费用余额。</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第二十三</w:t>
      </w:r>
      <w:r>
        <w:rPr>
          <w:rFonts w:hint="eastAsia" w:ascii="方正仿宋简体" w:hAnsi="方正仿宋简体" w:eastAsia="方正仿宋简体" w:cs="方正仿宋简体"/>
          <w:b/>
          <w:bCs/>
          <w:kern w:val="0"/>
          <w:sz w:val="28"/>
          <w:szCs w:val="28"/>
        </w:rPr>
        <w:t xml:space="preserve"> </w:t>
      </w:r>
      <w:r>
        <w:rPr>
          <w:rFonts w:hint="eastAsia" w:ascii="方正仿宋简体" w:hAnsi="方正仿宋简体" w:eastAsia="方正仿宋简体" w:cs="方正仿宋简体"/>
          <w:b/>
          <w:bCs/>
          <w:kern w:val="0"/>
          <w:sz w:val="28"/>
          <w:szCs w:val="28"/>
          <w:lang w:val="en-US" w:eastAsia="zh-CN"/>
        </w:rPr>
        <w:t xml:space="preserve"> </w:t>
      </w:r>
      <w:r>
        <w:rPr>
          <w:rFonts w:hint="eastAsia" w:ascii="方正仿宋简体" w:hAnsi="方正仿宋简体" w:eastAsia="方正仿宋简体" w:cs="方正仿宋简体"/>
          <w:kern w:val="0"/>
          <w:sz w:val="28"/>
          <w:szCs w:val="28"/>
        </w:rPr>
        <w:t>安全生产费用会计处理</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(一)安全生产费用的提取。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借:管理费用、天然气加工成本等—安全生产费用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贷:专项储备—安全生产费用—提取</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(二)安全生产费用的使用。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1</w:t>
      </w:r>
      <w:r>
        <w:rPr>
          <w:rFonts w:hint="eastAsia" w:ascii="方正仿宋简体" w:hAnsi="方正仿宋简体" w:eastAsia="方正仿宋简体" w:cs="方正仿宋简体"/>
          <w:kern w:val="0"/>
          <w:sz w:val="28"/>
          <w:szCs w:val="28"/>
          <w:lang w:val="en-US" w:eastAsia="zh-CN"/>
        </w:rPr>
        <w:t>.</w:t>
      </w:r>
      <w:r>
        <w:rPr>
          <w:rFonts w:hint="eastAsia" w:ascii="方正仿宋简体" w:hAnsi="方正仿宋简体" w:eastAsia="方正仿宋简体" w:cs="方正仿宋简体"/>
          <w:kern w:val="0"/>
          <w:sz w:val="28"/>
          <w:szCs w:val="28"/>
        </w:rPr>
        <w:t>属于费用性支出的,直接冲减专项储备。</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借:专项储备—安全生产费用—使用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贷:银行存款等</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2</w:t>
      </w:r>
      <w:r>
        <w:rPr>
          <w:rFonts w:hint="eastAsia" w:ascii="方正仿宋简体" w:hAnsi="方正仿宋简体" w:eastAsia="方正仿宋简体" w:cs="方正仿宋简体"/>
          <w:kern w:val="0"/>
          <w:sz w:val="28"/>
          <w:szCs w:val="28"/>
          <w:lang w:val="en-US" w:eastAsia="zh-CN"/>
        </w:rPr>
        <w:t>.</w:t>
      </w:r>
      <w:r>
        <w:rPr>
          <w:rFonts w:hint="eastAsia" w:ascii="方正仿宋简体" w:hAnsi="方正仿宋简体" w:eastAsia="方正仿宋简体" w:cs="方正仿宋简体"/>
          <w:kern w:val="0"/>
          <w:sz w:val="28"/>
          <w:szCs w:val="28"/>
        </w:rPr>
        <w:t>形成资产的,应当通过“在建工程”归集所发生的支出。固定资产转资时,全额计提折旧,冲减专项储备。</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①使用时:</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借:在建工程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贷:银行存款等</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②转资时:</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借:固定资产</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贷:在建工程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同时全额计提折旧:</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借:专项储备—安全生产费用—使用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贷:累计折旧</w:t>
      </w:r>
    </w:p>
    <w:p>
      <w:pPr>
        <w:widowControl/>
        <w:spacing w:line="560" w:lineRule="exact"/>
        <w:jc w:val="center"/>
        <w:rPr>
          <w:rFonts w:hint="eastAsia" w:ascii="方正仿宋简体" w:hAnsi="方正仿宋简体" w:eastAsia="方正仿宋简体" w:cs="方正仿宋简体"/>
          <w:kern w:val="0"/>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第五章</w:t>
      </w:r>
      <w:r>
        <w:rPr>
          <w:rFonts w:hint="eastAsia" w:ascii="方正黑体简体" w:hAnsi="方正黑体简体" w:eastAsia="方正黑体简体" w:cs="方正黑体简体"/>
          <w:b w:val="0"/>
          <w:bCs/>
          <w:kern w:val="0"/>
          <w:sz w:val="30"/>
          <w:szCs w:val="30"/>
          <w:lang w:val="en-US" w:eastAsia="zh-CN"/>
        </w:rPr>
        <w:t xml:space="preserve"> </w:t>
      </w:r>
      <w:r>
        <w:rPr>
          <w:rFonts w:hint="eastAsia" w:ascii="方正黑体简体" w:hAnsi="方正黑体简体" w:eastAsia="方正黑体简体" w:cs="方正黑体简体"/>
          <w:b w:val="0"/>
          <w:bCs/>
          <w:kern w:val="0"/>
          <w:sz w:val="30"/>
          <w:szCs w:val="30"/>
          <w:lang w:eastAsia="zh-CN"/>
        </w:rPr>
        <w:t xml:space="preserve"> 监督管理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vanish/>
          <w:kern w:val="0"/>
          <w:sz w:val="28"/>
          <w:szCs w:val="28"/>
        </w:rPr>
        <w:cr/>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t>出</w:t>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cr/>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t>二十</w:t>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cr/>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cr/>
      </w:r>
      <w:r>
        <w:rPr>
          <w:rFonts w:hint="eastAsia" w:ascii="方正仿宋简体" w:hAnsi="方正仿宋简体" w:eastAsia="方正仿宋简体" w:cs="方正仿宋简体"/>
          <w:b/>
          <w:vanish/>
          <w:kern w:val="0"/>
          <w:sz w:val="28"/>
          <w:szCs w:val="28"/>
        </w:rPr>
        <w:t>用业安全费用提取、管理费用管理制度，明确安全费用使用、管理声防</w:t>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vanish/>
          <w:kern w:val="0"/>
          <w:sz w:val="28"/>
          <w:szCs w:val="28"/>
        </w:rPr>
        <w:pgNum/>
      </w:r>
      <w:r>
        <w:rPr>
          <w:rFonts w:hint="eastAsia" w:ascii="方正仿宋简体" w:hAnsi="方正仿宋简体" w:eastAsia="方正仿宋简体" w:cs="方正仿宋简体"/>
          <w:b/>
          <w:kern w:val="0"/>
          <w:sz w:val="28"/>
          <w:szCs w:val="28"/>
        </w:rPr>
        <w:t>第二十四条</w:t>
      </w:r>
      <w:r>
        <w:rPr>
          <w:rFonts w:hint="eastAsia" w:ascii="方正仿宋简体" w:hAnsi="方正仿宋简体" w:eastAsia="方正仿宋简体" w:cs="方正仿宋简体"/>
          <w:bCs/>
          <w:kern w:val="0"/>
          <w:sz w:val="28"/>
          <w:szCs w:val="28"/>
        </w:rPr>
        <w:t xml:space="preserve"> </w:t>
      </w:r>
      <w:r>
        <w:rPr>
          <w:rFonts w:hint="eastAsia" w:ascii="方正仿宋简体" w:hAnsi="方正仿宋简体" w:eastAsia="方正仿宋简体" w:cs="方正仿宋简体"/>
          <w:bCs/>
          <w:kern w:val="0"/>
          <w:sz w:val="28"/>
          <w:szCs w:val="28"/>
          <w:lang w:val="en-US" w:eastAsia="zh-CN"/>
        </w:rPr>
        <w:t xml:space="preserve"> </w:t>
      </w:r>
      <w:r>
        <w:rPr>
          <w:rFonts w:hint="eastAsia" w:ascii="方正仿宋简体" w:hAnsi="方正仿宋简体" w:eastAsia="方正仿宋简体" w:cs="方正仿宋简体"/>
          <w:kern w:val="0"/>
          <w:sz w:val="28"/>
          <w:szCs w:val="28"/>
        </w:rPr>
        <w:t>企业应当建立健全内部安全费用管理制度，明确安全费用提取和使用的程序、职责及权限，</w:t>
      </w:r>
      <w:r>
        <w:rPr>
          <w:rFonts w:hint="eastAsia" w:ascii="方正仿宋简体" w:hAnsi="方正仿宋简体" w:eastAsia="方正仿宋简体" w:cs="方正仿宋简体"/>
          <w:bCs/>
          <w:kern w:val="0"/>
          <w:sz w:val="28"/>
          <w:szCs w:val="28"/>
        </w:rPr>
        <w:t>按规定提取和使用安全费用</w:t>
      </w:r>
      <w:r>
        <w:rPr>
          <w:rFonts w:hint="eastAsia" w:ascii="方正仿宋简体" w:hAnsi="方正仿宋简体" w:eastAsia="方正仿宋简体" w:cs="方正仿宋简体"/>
          <w:b/>
          <w:bCs/>
          <w:kern w:val="0"/>
          <w:sz w:val="28"/>
          <w:szCs w:val="28"/>
        </w:rPr>
        <w:t>。</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kern w:val="0"/>
          <w:sz w:val="28"/>
          <w:szCs w:val="28"/>
        </w:rPr>
      </w:pPr>
      <w:r>
        <w:rPr>
          <w:rFonts w:hint="eastAsia" w:ascii="方正仿宋简体" w:hAnsi="方正仿宋简体" w:eastAsia="方正仿宋简体" w:cs="方正仿宋简体"/>
          <w:b/>
          <w:kern w:val="0"/>
          <w:sz w:val="28"/>
          <w:szCs w:val="28"/>
        </w:rPr>
        <w:t>第二十五条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企业应当加强安全费用管理，编制年度安全费用提取和使用计划，纳入企业财务预算。企业年度安全费用使用计划和上一年安全费用的提取、使用情况按照管理权限报县级以上安全生产监督管理部门和行业主管部门备案。</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第二十六条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企业安全费用的会计处理，应当符合国家统一的会计制度的规定。</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第二十七条</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企业提取的安全费用属于企业自提自用资金，其他单位和部门不得采取收取、代管等形式对其进行集中管理和使用，国家法律、法规另有规定的除外。</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第二十八条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企业安全费用实行监督管理。公司</w:t>
      </w:r>
      <w:r>
        <w:rPr>
          <w:rFonts w:hint="eastAsia" w:ascii="方正仿宋简体" w:hAnsi="方正仿宋简体" w:eastAsia="方正仿宋简体" w:cs="方正仿宋简体"/>
          <w:kern w:val="0"/>
          <w:sz w:val="28"/>
          <w:szCs w:val="28"/>
          <w:lang w:eastAsia="zh-CN"/>
        </w:rPr>
        <w:t>财务资产部</w:t>
      </w:r>
      <w:r>
        <w:rPr>
          <w:rFonts w:hint="eastAsia" w:ascii="方正仿宋简体" w:hAnsi="方正仿宋简体" w:eastAsia="方正仿宋简体" w:cs="方正仿宋简体"/>
          <w:kern w:val="0"/>
          <w:sz w:val="28"/>
          <w:szCs w:val="28"/>
        </w:rPr>
        <w:t>、</w:t>
      </w:r>
      <w:r>
        <w:rPr>
          <w:rFonts w:hint="eastAsia" w:ascii="方正仿宋简体" w:hAnsi="方正仿宋简体" w:eastAsia="方正仿宋简体" w:cs="方正仿宋简体"/>
          <w:kern w:val="0"/>
          <w:sz w:val="28"/>
          <w:szCs w:val="28"/>
          <w:lang w:eastAsia="zh-CN"/>
        </w:rPr>
        <w:t>质量安全环保部</w:t>
      </w:r>
      <w:r>
        <w:rPr>
          <w:rFonts w:hint="eastAsia" w:ascii="方正仿宋简体" w:hAnsi="方正仿宋简体" w:eastAsia="方正仿宋简体" w:cs="方正仿宋简体"/>
          <w:kern w:val="0"/>
          <w:sz w:val="28"/>
          <w:szCs w:val="28"/>
        </w:rPr>
        <w:t>按照相关规定对企业安全费用提取、使用和管理进行监督检查。</w:t>
      </w:r>
    </w:p>
    <w:p>
      <w:pPr>
        <w:widowControl/>
        <w:spacing w:line="560" w:lineRule="exact"/>
        <w:jc w:val="left"/>
        <w:rPr>
          <w:rFonts w:hint="eastAsia" w:ascii="方正仿宋简体" w:hAnsi="方正仿宋简体" w:eastAsia="方正仿宋简体" w:cs="方正仿宋简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 xml:space="preserve">第六章  附 </w:t>
      </w:r>
      <w:r>
        <w:rPr>
          <w:rFonts w:hint="eastAsia" w:ascii="方正黑体简体" w:hAnsi="方正黑体简体" w:eastAsia="方正黑体简体" w:cs="方正黑体简体"/>
          <w:b w:val="0"/>
          <w:bCs/>
          <w:kern w:val="0"/>
          <w:sz w:val="30"/>
          <w:szCs w:val="30"/>
          <w:lang w:val="en-US" w:eastAsia="zh-CN"/>
        </w:rPr>
        <w:t xml:space="preserve"> </w:t>
      </w:r>
      <w:r>
        <w:rPr>
          <w:rFonts w:hint="eastAsia" w:ascii="方正黑体简体" w:hAnsi="方正黑体简体" w:eastAsia="方正黑体简体" w:cs="方正黑体简体"/>
          <w:b w:val="0"/>
          <w:bCs/>
          <w:kern w:val="0"/>
          <w:sz w:val="30"/>
          <w:szCs w:val="30"/>
          <w:lang w:eastAsia="zh-CN"/>
        </w:rPr>
        <w:t>则</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第二十九条 </w:t>
      </w:r>
      <w:r>
        <w:rPr>
          <w:rFonts w:hint="eastAsia" w:ascii="方正仿宋简体" w:hAnsi="方正仿宋简体" w:eastAsia="方正仿宋简体" w:cs="方正仿宋简体"/>
          <w:b/>
          <w:kern w:val="0"/>
          <w:sz w:val="28"/>
          <w:szCs w:val="28"/>
          <w:lang w:val="en-US" w:eastAsia="zh-CN"/>
        </w:rPr>
        <w:t xml:space="preserve"> </w:t>
      </w:r>
      <w:r>
        <w:rPr>
          <w:rFonts w:hint="eastAsia" w:ascii="方正仿宋简体" w:hAnsi="方正仿宋简体" w:eastAsia="方正仿宋简体" w:cs="方正仿宋简体"/>
          <w:kern w:val="0"/>
          <w:sz w:val="28"/>
          <w:szCs w:val="28"/>
        </w:rPr>
        <w:t>本办法由公司</w:t>
      </w:r>
      <w:r>
        <w:rPr>
          <w:rFonts w:hint="eastAsia" w:ascii="方正仿宋简体" w:hAnsi="方正仿宋简体" w:eastAsia="方正仿宋简体" w:cs="方正仿宋简体"/>
          <w:kern w:val="0"/>
          <w:sz w:val="28"/>
          <w:szCs w:val="28"/>
          <w:lang w:eastAsia="zh-CN"/>
        </w:rPr>
        <w:t>财务资产部</w:t>
      </w:r>
      <w:r>
        <w:rPr>
          <w:rFonts w:hint="eastAsia" w:ascii="方正仿宋简体" w:hAnsi="方正仿宋简体" w:eastAsia="方正仿宋简体" w:cs="方正仿宋简体"/>
          <w:kern w:val="0"/>
          <w:sz w:val="28"/>
          <w:szCs w:val="28"/>
        </w:rPr>
        <w:t>、</w:t>
      </w:r>
      <w:r>
        <w:rPr>
          <w:rFonts w:hint="eastAsia" w:ascii="方正仿宋简体" w:hAnsi="方正仿宋简体" w:eastAsia="方正仿宋简体" w:cs="方正仿宋简体"/>
          <w:kern w:val="0"/>
          <w:sz w:val="28"/>
          <w:szCs w:val="28"/>
          <w:lang w:eastAsia="zh-CN"/>
        </w:rPr>
        <w:t>质量安全环保部</w:t>
      </w:r>
      <w:r>
        <w:rPr>
          <w:rFonts w:hint="eastAsia" w:ascii="方正仿宋简体" w:hAnsi="方正仿宋简体" w:eastAsia="方正仿宋简体" w:cs="方正仿宋简体"/>
          <w:kern w:val="0"/>
          <w:sz w:val="28"/>
          <w:szCs w:val="28"/>
        </w:rPr>
        <w:t>负责解释。</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kern w:val="0"/>
          <w:sz w:val="28"/>
          <w:szCs w:val="28"/>
        </w:rPr>
        <w:t xml:space="preserve">第三十条  </w:t>
      </w:r>
      <w:r>
        <w:rPr>
          <w:rFonts w:hint="eastAsia" w:ascii="方正仿宋简体" w:hAnsi="方正仿宋简体" w:eastAsia="方正仿宋简体" w:cs="方正仿宋简体"/>
          <w:kern w:val="0"/>
          <w:sz w:val="28"/>
          <w:szCs w:val="28"/>
        </w:rPr>
        <w:t>本办法自2018年1月1日起施行。</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spacing w:line="560" w:lineRule="exact"/>
        <w:ind w:firstLine="560" w:firstLineChars="200"/>
        <w:jc w:val="left"/>
        <w:rPr>
          <w:rFonts w:hint="eastAsia" w:ascii="方正仿宋简体" w:hAnsi="方正仿宋简体" w:eastAsia="方正仿宋简体" w:cs="方正仿宋简体"/>
          <w:sz w:val="28"/>
          <w:szCs w:val="28"/>
        </w:rPr>
      </w:pPr>
    </w:p>
    <w:p>
      <w:pPr>
        <w:spacing w:line="560" w:lineRule="exact"/>
        <w:ind w:firstLine="560" w:firstLineChars="200"/>
        <w:jc w:val="left"/>
        <w:rPr>
          <w:rFonts w:hint="eastAsia" w:ascii="方正仿宋简体" w:hAnsi="方正仿宋简体" w:eastAsia="方正仿宋简体" w:cs="方正仿宋简体"/>
          <w:sz w:val="28"/>
          <w:szCs w:val="28"/>
        </w:rPr>
      </w:pPr>
    </w:p>
    <w:p>
      <w:pPr>
        <w:spacing w:line="560" w:lineRule="exact"/>
        <w:ind w:firstLine="560" w:firstLineChars="200"/>
        <w:jc w:val="left"/>
        <w:rPr>
          <w:rFonts w:hint="eastAsia" w:ascii="方正仿宋简体" w:hAnsi="方正仿宋简体" w:eastAsia="方正仿宋简体" w:cs="方正仿宋简体"/>
          <w:sz w:val="28"/>
          <w:szCs w:val="28"/>
        </w:rPr>
      </w:pPr>
    </w:p>
    <w:p>
      <w:pPr>
        <w:spacing w:line="560" w:lineRule="exact"/>
        <w:ind w:firstLine="560" w:firstLineChars="200"/>
        <w:jc w:val="left"/>
        <w:rPr>
          <w:rFonts w:hint="eastAsia" w:ascii="方正仿宋简体" w:hAnsi="方正仿宋简体" w:eastAsia="方正仿宋简体" w:cs="方正仿宋简体"/>
          <w:sz w:val="28"/>
          <w:szCs w:val="28"/>
        </w:rPr>
      </w:pPr>
    </w:p>
    <w:p>
      <w:pPr>
        <w:spacing w:line="560" w:lineRule="exact"/>
        <w:ind w:firstLine="560" w:firstLineChars="200"/>
        <w:jc w:val="left"/>
        <w:rPr>
          <w:rFonts w:hint="eastAsia" w:ascii="方正仿宋简体" w:hAnsi="方正仿宋简体" w:eastAsia="方正仿宋简体" w:cs="方正仿宋简体"/>
          <w:sz w:val="28"/>
          <w:szCs w:val="28"/>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rPr>
      </w:pPr>
      <w:bookmarkStart w:id="513" w:name="_Toc6464"/>
      <w:bookmarkStart w:id="514" w:name="_Toc21153"/>
      <w:bookmarkStart w:id="515" w:name="_Toc12649"/>
      <w:bookmarkStart w:id="516" w:name="_Toc3074"/>
      <w:bookmarkStart w:id="517" w:name="_Toc24778"/>
      <w:bookmarkStart w:id="518" w:name="_Toc26664"/>
      <w:bookmarkStart w:id="519" w:name="_Toc8755"/>
      <w:bookmarkStart w:id="520" w:name="_Toc26711"/>
      <w:bookmarkStart w:id="521" w:name="_Toc9206"/>
      <w:bookmarkStart w:id="522" w:name="_Toc20203"/>
      <w:bookmarkStart w:id="523" w:name="_Toc5780"/>
      <w:bookmarkStart w:id="524" w:name="_Toc17689"/>
      <w:bookmarkStart w:id="525" w:name="_Toc13882"/>
      <w:bookmarkStart w:id="526" w:name="_Toc8391"/>
      <w:bookmarkStart w:id="527" w:name="_Toc12431"/>
      <w:bookmarkStart w:id="528" w:name="_Toc15481"/>
      <w:bookmarkStart w:id="529" w:name="_Toc9200"/>
      <w:bookmarkStart w:id="530" w:name="_Toc31866"/>
      <w:bookmarkStart w:id="531" w:name="_Toc14139"/>
      <w:bookmarkStart w:id="532" w:name="_Toc143067030"/>
      <w:bookmarkStart w:id="533" w:name="_Toc138499078"/>
      <w:r>
        <w:rPr>
          <w:rFonts w:hint="eastAsia" w:ascii="方正小标宋简体" w:eastAsia="方正小标宋简体"/>
          <w:b w:val="0"/>
          <w:bCs w:val="0"/>
          <w:sz w:val="36"/>
          <w:szCs w:val="36"/>
        </w:rPr>
        <w:t>中油南充燃气有限责任公司安全生产责任制</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第一章</w:t>
      </w:r>
      <w:r>
        <w:rPr>
          <w:rFonts w:hint="eastAsia" w:ascii="方正黑体简体" w:hAnsi="方正黑体简体" w:eastAsia="方正黑体简体" w:cs="方正黑体简体"/>
          <w:b w:val="0"/>
          <w:bCs/>
          <w:kern w:val="0"/>
          <w:sz w:val="30"/>
          <w:szCs w:val="30"/>
          <w:lang w:val="en-US" w:eastAsia="zh-CN"/>
        </w:rPr>
        <w:t xml:space="preserve">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color w:val="auto"/>
          <w:sz w:val="28"/>
          <w:szCs w:val="28"/>
        </w:rPr>
        <w:t xml:space="preserve">第一条 </w:t>
      </w:r>
      <w:r>
        <w:rPr>
          <w:rFonts w:hint="eastAsia" w:ascii="方正仿宋简体" w:hAnsi="方正仿宋简体" w:eastAsia="方正仿宋简体" w:cs="方正仿宋简体"/>
          <w:b/>
          <w:color w:val="auto"/>
          <w:sz w:val="28"/>
          <w:szCs w:val="28"/>
          <w:lang w:val="en-US" w:eastAsia="zh-CN"/>
        </w:rPr>
        <w:t xml:space="preserve"> </w:t>
      </w:r>
      <w:r>
        <w:rPr>
          <w:rFonts w:hint="eastAsia" w:ascii="方正仿宋简体" w:hAnsi="方正仿宋简体" w:eastAsia="方正仿宋简体" w:cs="方正仿宋简体"/>
          <w:color w:val="auto"/>
          <w:sz w:val="28"/>
          <w:szCs w:val="28"/>
        </w:rPr>
        <w:t>质量、健康、安全、环保是企业的基础工作，是企业实现效益的根本保证，为了加强公司安全生产管理工作，必须坚持“安全第一、预防为主、综合治理”的安全生产方针，坚持 “有感领导、属地管理、直线责任”的原则和</w:t>
      </w:r>
      <w:r>
        <w:rPr>
          <w:rFonts w:hint="eastAsia" w:ascii="方正仿宋简体" w:eastAsia="方正仿宋简体"/>
          <w:color w:val="auto"/>
          <w:sz w:val="28"/>
          <w:szCs w:val="28"/>
        </w:rPr>
        <w:t>“一岗双责”、“管行业必须管安全、管业务必须管安全、管生产经营必须管安全”</w:t>
      </w:r>
      <w:r>
        <w:rPr>
          <w:rFonts w:hint="eastAsia" w:ascii="方正仿宋简体" w:hAnsi="方正仿宋简体" w:eastAsia="方正仿宋简体" w:cs="方正仿宋简体"/>
          <w:color w:val="auto"/>
          <w:sz w:val="28"/>
          <w:szCs w:val="28"/>
        </w:rPr>
        <w:t>安全生产责任制度，最大限度地保障员工、企业和第三方在生产作业过程中的人身安全、健康和企业财产不受损失，建立健全</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color w:val="auto"/>
          <w:sz w:val="28"/>
          <w:szCs w:val="28"/>
        </w:rPr>
        <w:t>管理体系，并予以全面推行和持续改进，建立和健全生产激励约束机制，全面落实安全生产责任制，公司根据国家、地方相关法律法规、上级相关文件要求，结合公司实际，特制定本制度，并在工作中严格执行。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color w:val="auto"/>
          <w:sz w:val="28"/>
          <w:szCs w:val="28"/>
        </w:rPr>
        <w:t>第二条</w:t>
      </w:r>
      <w:r>
        <w:rPr>
          <w:rFonts w:hint="eastAsia" w:ascii="方正仿宋简体" w:hAnsi="方正仿宋简体" w:eastAsia="方正仿宋简体" w:cs="方正仿宋简体"/>
          <w:b/>
          <w:color w:val="auto"/>
          <w:sz w:val="28"/>
          <w:szCs w:val="28"/>
          <w:lang w:val="en-US" w:eastAsia="zh-CN"/>
        </w:rPr>
        <w:t xml:space="preserve"> </w:t>
      </w:r>
      <w:r>
        <w:rPr>
          <w:rFonts w:hint="eastAsia" w:ascii="方正仿宋简体" w:hAnsi="方正仿宋简体" w:eastAsia="方正仿宋简体" w:cs="方正仿宋简体"/>
          <w:color w:val="auto"/>
          <w:sz w:val="28"/>
          <w:szCs w:val="28"/>
        </w:rPr>
        <w:t xml:space="preserve"> 本制度所称安全生产工作，包括生产经营安全、消防安全、交通安全等。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color w:val="auto"/>
          <w:sz w:val="28"/>
          <w:szCs w:val="28"/>
        </w:rPr>
        <w:t>第三条</w:t>
      </w:r>
      <w:r>
        <w:rPr>
          <w:rFonts w:hint="eastAsia" w:ascii="方正仿宋简体" w:hAnsi="方正仿宋简体" w:eastAsia="方正仿宋简体" w:cs="方正仿宋简体"/>
          <w:color w:val="auto"/>
          <w:sz w:val="28"/>
          <w:szCs w:val="28"/>
        </w:rPr>
        <w:t xml:space="preserve"> </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本制度适用于公司</w:t>
      </w:r>
      <w:r>
        <w:rPr>
          <w:rFonts w:hint="eastAsia" w:ascii="方正仿宋简体" w:hAnsi="方正仿宋简体" w:eastAsia="方正仿宋简体" w:cs="方正仿宋简体"/>
          <w:color w:val="auto"/>
          <w:sz w:val="28"/>
          <w:szCs w:val="28"/>
          <w:lang w:eastAsia="zh-CN"/>
        </w:rPr>
        <w:t>领导、</w:t>
      </w:r>
      <w:r>
        <w:rPr>
          <w:rFonts w:hint="eastAsia" w:ascii="方正仿宋简体" w:hAnsi="方正仿宋简体" w:eastAsia="方正仿宋简体" w:cs="方正仿宋简体"/>
          <w:color w:val="auto"/>
          <w:sz w:val="28"/>
          <w:szCs w:val="28"/>
        </w:rPr>
        <w:t>所属各单位、部室、班组、岗位员工以及进入公司进行技术、服务的承包商的安全管理。</w:t>
      </w:r>
    </w:p>
    <w:p>
      <w:pPr>
        <w:spacing w:line="560" w:lineRule="exact"/>
        <w:ind w:firstLine="560" w:firstLineChars="200"/>
        <w:rPr>
          <w:rFonts w:hint="eastAsia" w:ascii="方正仿宋简体" w:hAnsi="方正仿宋简体" w:eastAsia="方正仿宋简体" w:cs="方正仿宋简体"/>
          <w:sz w:val="28"/>
          <w:szCs w:val="28"/>
        </w:rPr>
      </w:pPr>
    </w:p>
    <w:p>
      <w:pPr>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kern w:val="0"/>
          <w:sz w:val="30"/>
          <w:szCs w:val="30"/>
          <w:lang w:eastAsia="zh-CN"/>
        </w:rPr>
      </w:pPr>
      <w:r>
        <w:rPr>
          <w:rFonts w:hint="eastAsia" w:ascii="方正黑体简体" w:hAnsi="方正黑体简体" w:eastAsia="方正黑体简体" w:cs="方正黑体简体"/>
          <w:b w:val="0"/>
          <w:bCs/>
          <w:kern w:val="0"/>
          <w:sz w:val="30"/>
          <w:szCs w:val="30"/>
          <w:lang w:eastAsia="zh-CN"/>
        </w:rPr>
        <w:t>第二章  QHSE管理机构与安全职责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公司成立</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管理领导小组，是本单位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管理体系的最高决策机构，统一指挥</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管理工作。</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领导小组人员组成如下：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组  长：由公司经理担任；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副组长：由公司党委书记和公司其他副经理担任；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成  员：各单位、部室第一责任人组成。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管理领导小组办公室设在</w:t>
      </w:r>
      <w:r>
        <w:rPr>
          <w:rFonts w:hint="eastAsia" w:ascii="方正仿宋简体" w:hAnsi="方正仿宋简体" w:eastAsia="方正仿宋简体" w:cs="方正仿宋简体"/>
          <w:sz w:val="28"/>
          <w:szCs w:val="28"/>
          <w:lang w:eastAsia="zh-CN"/>
        </w:rPr>
        <w:t>质量安全环保部</w:t>
      </w:r>
      <w:r>
        <w:rPr>
          <w:rFonts w:hint="eastAsia" w:ascii="方正仿宋简体" w:hAnsi="方正仿宋简体" w:eastAsia="方正仿宋简体" w:cs="方正仿宋简体"/>
          <w:sz w:val="28"/>
          <w:szCs w:val="28"/>
        </w:rPr>
        <w:t>，同时作为专职的安全管理机构负责</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日常事务</w:t>
      </w:r>
    </w:p>
    <w:p>
      <w:pPr>
        <w:spacing w:line="460" w:lineRule="exact"/>
        <w:ind w:firstLine="3080" w:firstLineChars="1100"/>
        <w:jc w:val="left"/>
        <w:rPr>
          <w:rFonts w:ascii="宋体" w:hAnsi="宋体"/>
          <w:sz w:val="28"/>
          <w:szCs w:val="28"/>
        </w:rPr>
      </w:pPr>
    </w:p>
    <w:p>
      <w:pPr>
        <w:spacing w:line="460" w:lineRule="exact"/>
        <w:ind w:firstLine="3080" w:firstLineChars="1100"/>
        <w:jc w:val="left"/>
        <w:rPr>
          <w:rFonts w:hint="eastAsia" w:ascii="宋体" w:hAnsi="宋体"/>
          <w:sz w:val="28"/>
          <w:szCs w:val="28"/>
        </w:rPr>
      </w:pPr>
      <w:r>
        <w:rPr>
          <w:rFonts w:hint="eastAsia" w:ascii="宋体" w:hAnsi="宋体"/>
          <w:sz w:val="28"/>
          <w:szCs w:val="28"/>
          <w:lang w:eastAsia="zh-CN"/>
        </w:rPr>
        <w:t>QHSE</w:t>
      </w:r>
      <w:r>
        <w:rPr>
          <w:rFonts w:hint="eastAsia" w:ascii="宋体" w:hAnsi="宋体"/>
          <w:sz w:val="28"/>
          <w:szCs w:val="28"/>
        </w:rPr>
        <w:t>监督网络图</w:t>
      </w:r>
    </w:p>
    <w:p>
      <w:pPr>
        <w:spacing w:line="460" w:lineRule="exact"/>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764736" behindDoc="0" locked="0" layoutInCell="1" allowOverlap="1">
                <wp:simplePos x="0" y="0"/>
                <wp:positionH relativeFrom="column">
                  <wp:posOffset>1547495</wp:posOffset>
                </wp:positionH>
                <wp:positionV relativeFrom="paragraph">
                  <wp:posOffset>78740</wp:posOffset>
                </wp:positionV>
                <wp:extent cx="2286000" cy="265430"/>
                <wp:effectExtent l="5080" t="4445" r="7620" b="9525"/>
                <wp:wrapNone/>
                <wp:docPr id="64" name="矩形 13"/>
                <wp:cNvGraphicFramePr/>
                <a:graphic xmlns:a="http://schemas.openxmlformats.org/drawingml/2006/main">
                  <a:graphicData uri="http://schemas.microsoft.com/office/word/2010/wordprocessingShape">
                    <wps:wsp>
                      <wps:cNvSpPr/>
                      <wps:spPr>
                        <a:xfrm>
                          <a:off x="0" y="0"/>
                          <a:ext cx="2286000" cy="2654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决策层</w:t>
                            </w:r>
                            <w:r>
                              <w:rPr>
                                <w:rFonts w:hint="eastAsia"/>
                                <w:sz w:val="24"/>
                                <w:lang w:eastAsia="zh-CN"/>
                              </w:rPr>
                              <w:t>或</w:t>
                            </w:r>
                            <w:r>
                              <w:rPr>
                                <w:rFonts w:hint="eastAsia"/>
                                <w:sz w:val="24"/>
                              </w:rPr>
                              <w:t>公司经理</w:t>
                            </w:r>
                          </w:p>
                        </w:txbxContent>
                      </wps:txbx>
                      <wps:bodyPr vert="horz" anchor="t" upright="1"/>
                    </wps:wsp>
                  </a:graphicData>
                </a:graphic>
              </wp:anchor>
            </w:drawing>
          </mc:Choice>
          <mc:Fallback>
            <w:pict>
              <v:rect id="矩形 13" o:spid="_x0000_s1026" o:spt="1" style="position:absolute;left:0pt;margin-left:121.85pt;margin-top:6.2pt;height:20.9pt;width:180pt;z-index:251764736;mso-width-relative:page;mso-height-relative:page;" fillcolor="#FFFFFF" filled="t" stroked="t" coordsize="21600,21600" o:gfxdata="UEsDBAoAAAAAAIdO4kAAAAAAAAAAAAAAAAAEAAAAZHJzL1BLAwQUAAAACACHTuJAKDzo4NcAAAAJ&#10;AQAADwAAAGRycy9kb3ducmV2LnhtbE2PwU7DMAyG70i8Q2QkbixZVwaUpjuAhsRx6y7c0sa0hcap&#10;mnQrPD3eaRzt/9Pvz/lmdr044hg6TxqWCwUCqfa2o0bDodzePYII0ZA1vSfU8IMBNsX1VW4y60+0&#10;w+M+NoJLKGRGQxvjkEkZ6hadCQs/IHH26UdnIo9jI+1oTlzuepkotZbOdMQXWjPgS4v1935yGqou&#10;OZjfXfmm3NN2Fd/n8mv6eNX69mapnkFEnOMFhrM+q0PBTpWfyAbRa0jS1QOjHCQpCAbW6ryoNNyn&#10;Ccgil/8/KP4AUEsDBBQAAAAIAIdO4kDzDaBU/wEAAAIEAAAOAAAAZHJzL2Uyb0RvYy54bWytU0uO&#10;EzEQ3SNxB8t70p2eSTS00pkFIWwQjDRwgIo/3Zb8k+1Jd7gMEjsOwXEQ16DshJABFgjRC3fZLj+/&#10;98q1up2MJnsRonK2o/NZTYmwzHFl+46+f7d9dkNJTGA5aGdFRw8i0tv10yer0beicYPTXASCIDa2&#10;o+/okJJvqyqyQRiIM+eFxU3pgoGE09BXPMCI6EZXTV0vq9EF7oNjIkZc3Rw36brgSylYeitlFIno&#10;jiK3VMZQxl0eq/UK2j6AHxQ70YB/YGFAWbz0DLWBBOQhqN+gjGLBRSfTjDlTOSkVE0UDqpnXv6i5&#10;H8CLogXNif5sU/x/sOzN/i4QxTu6vKbEgsEaffv4+euXT2R+ld0ZfWwx6d7fhdMsYpilTjKY/EcR&#10;ZCqOHs6OiikRhotNc7OsazSe4V6zXFxfFcurn6d9iOmVcIbkoKMBK1aMhP3rmPBGTP2Rki+LTiu+&#10;VVqXSeh3L3Qge8DqbsuXKeORR2nakrGjzxfNAnkAPjKpIWFoPMqOti/3PToRL4GRf5bwB+BMbANx&#10;OBIoCDkNWqOSyHZBOwjgLy0n6eDRWYs9QDMZIzglWmDL5KhkJlD6bzJRnbYZWpTnfXIpl+lYmByl&#10;aTchaA53jh+wwtii6O7gwgdKwDIMOooePPig+gF35kVfPoAPrVh4aor8ki/nGF+27v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Dzo4NcAAAAJAQAADwAAAAAAAAABACAAAAAiAAAAZHJzL2Rvd25y&#10;ZXYueG1sUEsBAhQAFAAAAAgAh07iQPMNoFT/AQAAAgQAAA4AAAAAAAAAAQAgAAAAJgEAAGRycy9l&#10;Mm9Eb2MueG1sUEsFBgAAAAAGAAYAWQEAAJcFAAAAAA==&#10;">
                <v:fill on="t" focussize="0,0"/>
                <v:stroke color="#000000" joinstyle="miter"/>
                <v:imagedata o:title=""/>
                <o:lock v:ext="edit" aspectratio="f"/>
                <v:textbox>
                  <w:txbxContent>
                    <w:p>
                      <w:pPr>
                        <w:jc w:val="center"/>
                        <w:rPr>
                          <w:sz w:val="24"/>
                        </w:rPr>
                      </w:pPr>
                      <w:r>
                        <w:rPr>
                          <w:rFonts w:hint="eastAsia"/>
                          <w:sz w:val="24"/>
                        </w:rPr>
                        <w:t>决策层</w:t>
                      </w:r>
                      <w:r>
                        <w:rPr>
                          <w:rFonts w:hint="eastAsia"/>
                          <w:sz w:val="24"/>
                          <w:lang w:eastAsia="zh-CN"/>
                        </w:rPr>
                        <w:t>或</w:t>
                      </w:r>
                      <w:r>
                        <w:rPr>
                          <w:rFonts w:hint="eastAsia"/>
                          <w:sz w:val="24"/>
                        </w:rPr>
                        <w:t>公司经理</w:t>
                      </w:r>
                    </w:p>
                  </w:txbxContent>
                </v:textbox>
              </v:rect>
            </w:pict>
          </mc:Fallback>
        </mc:AlternateContent>
      </w:r>
      <w:r>
        <w:rPr>
          <w:rFonts w:hint="eastAsia" w:ascii="宋体" w:hAnsi="宋体"/>
          <w:sz w:val="28"/>
          <w:szCs w:val="28"/>
        </w:rPr>
        <mc:AlternateContent>
          <mc:Choice Requires="wps">
            <w:drawing>
              <wp:anchor distT="0" distB="0" distL="114300" distR="114300" simplePos="0" relativeHeight="251766784" behindDoc="0" locked="0" layoutInCell="1" allowOverlap="1">
                <wp:simplePos x="0" y="0"/>
                <wp:positionH relativeFrom="column">
                  <wp:posOffset>2589530</wp:posOffset>
                </wp:positionH>
                <wp:positionV relativeFrom="paragraph">
                  <wp:posOffset>315595</wp:posOffset>
                </wp:positionV>
                <wp:extent cx="129540" cy="265430"/>
                <wp:effectExtent l="13335" t="6350" r="22225" b="7620"/>
                <wp:wrapNone/>
                <wp:docPr id="65" name="上下箭头 6"/>
                <wp:cNvGraphicFramePr/>
                <a:graphic xmlns:a="http://schemas.openxmlformats.org/drawingml/2006/main">
                  <a:graphicData uri="http://schemas.microsoft.com/office/word/2010/wordprocessingShape">
                    <wps:wsp>
                      <wps:cNvSpPr/>
                      <wps:spPr>
                        <a:xfrm>
                          <a:off x="0" y="0"/>
                          <a:ext cx="129540" cy="265430"/>
                        </a:xfrm>
                        <a:prstGeom prst="upDownArrow">
                          <a:avLst>
                            <a:gd name="adj1" fmla="val 50000"/>
                            <a:gd name="adj2" fmla="val 40980"/>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6" o:spid="_x0000_s1026" o:spt="70" type="#_x0000_t70" style="position:absolute;left:0pt;margin-left:203.9pt;margin-top:24.85pt;height:20.9pt;width:10.2pt;z-index:251766784;mso-width-relative:page;mso-height-relative:page;" fillcolor="#FFFFFF" filled="t" stroked="t" coordsize="21600,21600" o:gfxdata="UEsDBAoAAAAAAIdO4kAAAAAAAAAAAAAAAAAEAAAAZHJzL1BLAwQUAAAACACHTuJA4ZU+d9kAAAAJ&#10;AQAADwAAAGRycy9kb3ducmV2LnhtbE2PS0/DMBCE70j8B2uRuFE7UUmaEKdSkTigXkpB4rqJTRzq&#10;R4jdB/+e5QS3He1o5ptmfXGWnfQcx+AlZAsBTPs+qNEPEt5en+5WwGJCr9AGryV86wjr9vqqwVqF&#10;s3/Rp30aGIX4WKMEk9JUcx57ox3GRZi0p99HmB0mkvPA1YxnCneW50IU3OHoqcHgpB+N7g/7o5Ow&#10;wbH43H5ti3JnOyN2z5v36mCkvL3JxAOwpC/pzwy/+IQOLTF14ehVZFbCUpSEnuioSmBkWOarHFgn&#10;ocrugbcN/7+g/QFQSwMEFAAAAAgAh07iQHiy87AqAgAAVQQAAA4AAABkcnMvZTJvRG9jLnhtbK1U&#10;zY7TMBC+I/EOlu80aWirbdV0hSjlgmClBe5T22mM/CfbbdpXgNfgCicO+0CLeA3GbrbbXS4I4YMz&#10;tsfffPONJ/PLvVZkJ3yQ1tR0OCgpEYZZLs2mph/er55dUBIiGA7KGlHTgwj0cvH0ybxzM1HZ1iou&#10;PEEQE2adq2kbo5sVRWCt0BAG1gmDh431GiIu/abgHjpE16qoynJSdNZz5y0TIeDu8nhIFxm/aQSL&#10;75omiEhUTZFbzLPP8zrNxWIOs40H10rW04B/YKFBGgx6glpCBLL18g8oLZm3wTZxwKwubNNIJnIO&#10;mM2wfJTNdQtO5FxQnOBOMoX/B8ve7q48kbymkzElBjTW6Pbm8+3Nl1/fv/38+oNMkkSdCzP0vHZX&#10;vl8FNFO++8br9MVMyD7LejjJKvaRMNwcVtPxCMVneFRNxqPnWfbi/rLzIb4WVpNk1HTrlrYzL7y3&#10;XdYUdm9CzOLyniHwT0NKGq2wVjtQZFzi6Gt55lOd+4zK6cVd4B4RKdyFTvDBKslXUqm88Jv1S+UJ&#10;wtd0lUcKgFceuClDuppOxxWqxwAfcKMgoqkdShrMJifw4EY4B068j8wfAydiSwjtkUBGOCaoZRSp&#10;CjBrBfBXhpN4cFg1g/1FExktOCVKYDsmK3tGkOpvPJGEMgla5NZB2VPKqfrHeidrbfkBnwz2PJZK&#10;wEf8UgKGtRbbCs2t83LT4tkw65Wu4NvNyvV9lprjfJ1D3P8N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ZU+d9kAAAAJAQAADwAAAAAAAAABACAAAAAiAAAAZHJzL2Rvd25yZXYueG1sUEsBAhQA&#10;FAAAAAgAh07iQHiy87AqAgAAVQQAAA4AAAAAAAAAAQAgAAAAKAEAAGRycy9lMm9Eb2MueG1sUEsF&#10;BgAAAAAGAAYAWQEAAMQFAAAAAA==&#10;" adj="5400,4319">
                <v:fill on="t" focussize="0,0"/>
                <v:stroke color="#000000" joinstyle="miter"/>
                <v:imagedata o:title=""/>
                <o:lock v:ext="edit" aspectratio="f"/>
                <v:textbox style="layout-flow:vertical-ideographic;"/>
              </v:shape>
            </w:pict>
          </mc:Fallback>
        </mc:AlternateContent>
      </w:r>
    </w:p>
    <w:p>
      <w:pPr>
        <w:spacing w:line="460" w:lineRule="exact"/>
        <w:rPr>
          <w:rFonts w:hint="eastAsia" w:ascii="宋体" w:hAnsi="宋体"/>
          <w:sz w:val="28"/>
          <w:szCs w:val="28"/>
        </w:rPr>
      </w:pPr>
    </w:p>
    <w:p>
      <w:pPr>
        <w:spacing w:line="460" w:lineRule="exact"/>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765760" behindDoc="0" locked="0" layoutInCell="1" allowOverlap="1">
                <wp:simplePos x="0" y="0"/>
                <wp:positionH relativeFrom="column">
                  <wp:posOffset>1490345</wp:posOffset>
                </wp:positionH>
                <wp:positionV relativeFrom="paragraph">
                  <wp:posOffset>6350</wp:posOffset>
                </wp:positionV>
                <wp:extent cx="2311400" cy="394970"/>
                <wp:effectExtent l="4445" t="4445" r="8255" b="6985"/>
                <wp:wrapNone/>
                <wp:docPr id="66" name="矩形 11"/>
                <wp:cNvGraphicFramePr/>
                <a:graphic xmlns:a="http://schemas.openxmlformats.org/drawingml/2006/main">
                  <a:graphicData uri="http://schemas.microsoft.com/office/word/2010/wordprocessingShape">
                    <wps:wsp>
                      <wps:cNvSpPr/>
                      <wps:spPr>
                        <a:xfrm>
                          <a:off x="0" y="0"/>
                          <a:ext cx="2311400"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公司</w:t>
                            </w:r>
                            <w:r>
                              <w:rPr>
                                <w:rFonts w:hint="eastAsia"/>
                                <w:sz w:val="24"/>
                                <w:lang w:eastAsia="zh-CN"/>
                              </w:rPr>
                              <w:t>QHSE</w:t>
                            </w:r>
                            <w:r>
                              <w:rPr>
                                <w:rFonts w:hint="eastAsia"/>
                                <w:sz w:val="24"/>
                              </w:rPr>
                              <w:t>监督部门</w:t>
                            </w:r>
                          </w:p>
                        </w:txbxContent>
                      </wps:txbx>
                      <wps:bodyPr vert="horz" anchor="t" upright="1"/>
                    </wps:wsp>
                  </a:graphicData>
                </a:graphic>
              </wp:anchor>
            </w:drawing>
          </mc:Choice>
          <mc:Fallback>
            <w:pict>
              <v:rect id="矩形 11" o:spid="_x0000_s1026" o:spt="1" style="position:absolute;left:0pt;margin-left:117.35pt;margin-top:0.5pt;height:31.1pt;width:182pt;z-index:251765760;mso-width-relative:page;mso-height-relative:page;" fillcolor="#FFFFFF" filled="t" stroked="t" coordsize="21600,21600" o:gfxdata="UEsDBAoAAAAAAIdO4kAAAAAAAAAAAAAAAAAEAAAAZHJzL1BLAwQUAAAACACHTuJAxzzQodUAAAAI&#10;AQAADwAAAGRycy9kb3ducmV2LnhtbE2PvU7DMBSFdyTewbpIbNRuAqUNcTqAisTYpgubE1+SQHwd&#10;xU4beHouUxmPvqPzk29n14sTjqHzpGG5UCCQam87ajQcy93dGkSIhqzpPaGGbwywLa6vcpNZf6Y9&#10;ng6xERxCITMa2hiHTMpQt+hMWPgBidmHH52JLMdG2tGcOdz1MlFqJZ3piBtaM+Bzi/XXYXIaqi45&#10;mp99+arcZpfGt7n8nN5ftL69WaonEBHneDHD33yeDgVvqvxENoheQ5LeP7KVAV9i/rBZs640rNIE&#10;ZJHL/weKX1BLAwQUAAAACACHTuJAdDvxUP4BAAACBAAADgAAAGRycy9lMm9Eb2MueG1srVPNjhMx&#10;DL4j8Q5R7nRmuj/QUad7oJQLgpUWHsDNz0yk/CnJdqa8DBI3HoLHQbzGOmkpXeCAEHPI2In92f5s&#10;L28mo8lOhKic7WgzqykRljmubN/RD+83z15QEhNYDtpZ0dG9iPRm9fTJcvStmLvBaS4CQRAb29F3&#10;dEjJt1UV2SAMxJnzwuKjdMFAQjX0FQ8wIrrR1byur6vRBe6DYyJGvF0fHumq4EspWHonZRSJ6I5i&#10;bqmcoZzbfFarJbR9AD8odkwD/iELA8pi0BPUGhKQ+6B+gzKKBRedTDPmTOWkVEyUGrCapv6lmrsB&#10;vCi1IDnRn2iK/w+Wvd3dBqJ4R6+vKbFgsEffP3359vUzaZrMzuhji0Z3/jYctYhiLnWSweQ/FkGm&#10;wuj+xKiYEmF4Ob9omssaiWf4drG4XDwvlFc/vX2I6bVwhmShowE7VoiE3ZuYMCKa/jDJwaLTim+U&#10;1kUJ/falDmQH2N1N+XLK6PLITFsydnRxNb/CPACHTGpIKBqPZUfbl3iPPOI5cF2+PwHnxNYQh0MC&#10;BSGbQWtUEpkuaAcB/JXlJO09MmtxB2hOxghOiRa4MlkqlgmU/htLrE7bDC3KeB9Zym06NCZLadpO&#10;CJrFreN77DCuKLI7uPCRErAMhY4iB/c+qH7Al9LrKjvgoBUKj0uRJ/lcR/l8dVc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zzQodUAAAAIAQAADwAAAAAAAAABACAAAAAiAAAAZHJzL2Rvd25yZXYu&#10;eG1sUEsBAhQAFAAAAAgAh07iQHQ78VD+AQAAAgQAAA4AAAAAAAAAAQAgAAAAJAEAAGRycy9lMm9E&#10;b2MueG1sUEsFBgAAAAAGAAYAWQEAAJQFAAAAAA==&#10;">
                <v:fill on="t" focussize="0,0"/>
                <v:stroke color="#000000" joinstyle="miter"/>
                <v:imagedata o:title=""/>
                <o:lock v:ext="edit" aspectratio="f"/>
                <v:textbox>
                  <w:txbxContent>
                    <w:p>
                      <w:pPr>
                        <w:jc w:val="center"/>
                        <w:rPr>
                          <w:sz w:val="24"/>
                        </w:rPr>
                      </w:pPr>
                      <w:r>
                        <w:rPr>
                          <w:rFonts w:hint="eastAsia"/>
                          <w:sz w:val="24"/>
                        </w:rPr>
                        <w:t>公司</w:t>
                      </w:r>
                      <w:r>
                        <w:rPr>
                          <w:rFonts w:hint="eastAsia"/>
                          <w:sz w:val="24"/>
                          <w:lang w:eastAsia="zh-CN"/>
                        </w:rPr>
                        <w:t>QHSE</w:t>
                      </w:r>
                      <w:r>
                        <w:rPr>
                          <w:rFonts w:hint="eastAsia"/>
                          <w:sz w:val="24"/>
                        </w:rPr>
                        <w:t>监督部门</w:t>
                      </w:r>
                    </w:p>
                  </w:txbxContent>
                </v:textbox>
              </v:rect>
            </w:pict>
          </mc:Fallback>
        </mc:AlternateContent>
      </w:r>
    </w:p>
    <w:p>
      <w:pPr>
        <w:spacing w:line="460" w:lineRule="exact"/>
        <w:rPr>
          <w:rFonts w:hint="eastAsia" w:ascii="宋体" w:hAnsi="宋体"/>
          <w:sz w:val="28"/>
          <w:szCs w:val="28"/>
        </w:rPr>
      </w:pPr>
      <w:r>
        <w:rPr>
          <w:rFonts w:ascii="宋体" w:hAnsi="宋体"/>
          <w:b/>
          <w:bCs/>
          <w:sz w:val="28"/>
          <w:szCs w:val="28"/>
        </w:rPr>
        <mc:AlternateContent>
          <mc:Choice Requires="wps">
            <w:drawing>
              <wp:anchor distT="0" distB="0" distL="114300" distR="114300" simplePos="0" relativeHeight="251755520" behindDoc="0" locked="0" layoutInCell="1" allowOverlap="1">
                <wp:simplePos x="0" y="0"/>
                <wp:positionH relativeFrom="column">
                  <wp:posOffset>3467100</wp:posOffset>
                </wp:positionH>
                <wp:positionV relativeFrom="paragraph">
                  <wp:posOffset>132080</wp:posOffset>
                </wp:positionV>
                <wp:extent cx="143510" cy="292735"/>
                <wp:effectExtent l="13335" t="6350" r="20955" b="5715"/>
                <wp:wrapNone/>
                <wp:docPr id="67" name="上下箭头 10"/>
                <wp:cNvGraphicFramePr/>
                <a:graphic xmlns:a="http://schemas.openxmlformats.org/drawingml/2006/main">
                  <a:graphicData uri="http://schemas.microsoft.com/office/word/2010/wordprocessingShape">
                    <wps:wsp>
                      <wps:cNvSpPr/>
                      <wps:spPr>
                        <a:xfrm>
                          <a:off x="0" y="0"/>
                          <a:ext cx="143510" cy="292735"/>
                        </a:xfrm>
                        <a:prstGeom prst="upDownArrow">
                          <a:avLst>
                            <a:gd name="adj1" fmla="val 50000"/>
                            <a:gd name="adj2" fmla="val 40796"/>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10" o:spid="_x0000_s1026" o:spt="70" type="#_x0000_t70" style="position:absolute;left:0pt;margin-left:273pt;margin-top:10.4pt;height:23.05pt;width:11.3pt;z-index:251755520;mso-width-relative:page;mso-height-relative:page;" fillcolor="#FFFFFF" filled="t" stroked="t" coordsize="21600,21600" o:gfxdata="UEsDBAoAAAAAAIdO4kAAAAAAAAAAAAAAAAAEAAAAZHJzL1BLAwQUAAAACACHTuJAOuD3v9gAAAAJ&#10;AQAADwAAAGRycy9kb3ducmV2LnhtbE2Py07DMBBF90j8gzVI7Kjdipo2xKlUJBaom1KQ2E4SE4fa&#10;4xC7D/6eYUWXo7m695xydQ5eHO2Y+kgGphMFwlIT2546A+9vz3cLECkjtegjWQM/NsGqur4qsWjj&#10;iV7tcZc7wSWUCjTgch4KKVPjbMA0iYMl/n3GMWDmc+xkO+KJy4OXM6W0DNgTLzgc7JOzzX53CAbW&#10;2OuvzfdGP2x97dT2Zf2x3Dtjbm+m6hFEtuf8H4Y/fEaHipnqeKA2CW9gfq/ZJRuYKVbgwFwvNIja&#10;gNZLkFUpLw2qX1BLAwQUAAAACACHTuJAP9Tq5SoCAABWBAAADgAAAGRycy9lMm9Eb2MueG1srVTL&#10;jtMwFN0j8Q+W9zSPmbY0ajpClLJBMNIAe9d2EiO/ZLtN+wvwG2xhxWI+aBC/wbUb+oANQmThXMfX&#10;x+ec65v5zU5JtOXOC6NrXIxyjLimhgnd1vjd29WTpxj5QDQj0mhe4z33+Gbx+NG8txUvTWck4w4B&#10;iPZVb2vchWCrLPO044r4kbFcw2JjnCIBpq7NmCM9oCuZlXk+yXrjmHWGcu/h6/KwiBcJv2k4DW+a&#10;xvOAZI2BW0ijS+M6jtliTqrWEdsJOtAg/8BCEaHh0CPUkgSCNk78AaUEdcabJoyoUZlpGkF50gBq&#10;ivw3NXcdsTxpAXO8Pdrk/x8sfb29dUiwGk+mGGmioEYP9x8f7j/9+Prl++dvqEge9dZXkHpnbx04&#10;Fmcewih41zgV3yAF7ZKv+6OvfBcQhY/F9dUYcBCFpXJWTq/G0ffstNk6H15yo1AMaryxS9PrZ86Z&#10;PplKtq98SO6ygSJhHwqMGiWhWFsi0TiHZyjmWU55nnOdT2eT4eABESj8OjrCeyMFWwkp08S16+fS&#10;IYCv8So9w+aLNKlRX+PZuByDPgI3uJEkQKgseOp1mwRc7PDnwJH3gTlwuUiLxJbEdwcCaekgUInA&#10;Xbq3HSfshWYo7C2UTUOD4UhGcYaR5NCPMUqZgQj5N5lAQuqonqfeAdtjoU71jtHasD3cGWh6KBUn&#10;7+GNEdG0M9BXEG6sE20Ha0XyK26By5vqPTRa7I7zeTri9DtY/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4Pe/2AAAAAkBAAAPAAAAAAAAAAEAIAAAACIAAABkcnMvZG93bnJldi54bWxQSwECFAAU&#10;AAAACACHTuJAP9Tq5SoCAABWBAAADgAAAAAAAAABACAAAAAnAQAAZHJzL2Uyb0RvYy54bWxQSwUG&#10;AAAAAAYABgBZAQAAwwUAAAAA&#10;" adj="5400,4319">
                <v:fill on="t" focussize="0,0"/>
                <v:stroke color="#000000" joinstyle="miter"/>
                <v:imagedata o:title=""/>
                <o:lock v:ext="edit" aspectratio="f"/>
                <v:textbox style="layout-flow:vertical-ideographic;"/>
              </v:shape>
            </w:pict>
          </mc:Fallback>
        </mc:AlternateContent>
      </w:r>
      <w:r>
        <w:rPr>
          <w:rFonts w:ascii="宋体" w:hAnsi="宋体"/>
          <w:b/>
          <w:bCs/>
          <w:sz w:val="28"/>
          <w:szCs w:val="28"/>
        </w:rPr>
        <mc:AlternateContent>
          <mc:Choice Requires="wps">
            <w:drawing>
              <wp:anchor distT="0" distB="0" distL="114300" distR="114300" simplePos="0" relativeHeight="251759616" behindDoc="0" locked="0" layoutInCell="1" allowOverlap="1">
                <wp:simplePos x="0" y="0"/>
                <wp:positionH relativeFrom="column">
                  <wp:posOffset>1728470</wp:posOffset>
                </wp:positionH>
                <wp:positionV relativeFrom="paragraph">
                  <wp:posOffset>132080</wp:posOffset>
                </wp:positionV>
                <wp:extent cx="143510" cy="292735"/>
                <wp:effectExtent l="13335" t="6350" r="20955" b="5715"/>
                <wp:wrapNone/>
                <wp:docPr id="68" name="上下箭头 7"/>
                <wp:cNvGraphicFramePr/>
                <a:graphic xmlns:a="http://schemas.openxmlformats.org/drawingml/2006/main">
                  <a:graphicData uri="http://schemas.microsoft.com/office/word/2010/wordprocessingShape">
                    <wps:wsp>
                      <wps:cNvSpPr/>
                      <wps:spPr>
                        <a:xfrm>
                          <a:off x="0" y="0"/>
                          <a:ext cx="143510" cy="292735"/>
                        </a:xfrm>
                        <a:prstGeom prst="upDownArrow">
                          <a:avLst>
                            <a:gd name="adj1" fmla="val 50000"/>
                            <a:gd name="adj2" fmla="val 40796"/>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7" o:spid="_x0000_s1026" o:spt="70" type="#_x0000_t70" style="position:absolute;left:0pt;margin-left:136.1pt;margin-top:10.4pt;height:23.05pt;width:11.3pt;z-index:251759616;mso-width-relative:page;mso-height-relative:page;" fillcolor="#FFFFFF" filled="t" stroked="t" coordsize="21600,21600" o:gfxdata="UEsDBAoAAAAAAIdO4kAAAAAAAAAAAAAAAAAEAAAAZHJzL1BLAwQUAAAACACHTuJANFMT0dcAAAAJ&#10;AQAADwAAAGRycy9kb3ducmV2LnhtbE2PS0/DMBCE70j8B2uRuFG7EXJJiFOpSBxQL6VF4rqJ3Tit&#10;HyF2H/x7lhPcZrSfZmfq5dU7djZTGmJQMJ8JYCZ0UQ+hV/Cxe314ApYyBo0uBqPg2yRYNrc3NVY6&#10;XsK7OW9zzygkpAoV2JzHivPUWeMxzeJoAt32cfKYyU491xNeKNw7Xgghucch0AeLo3mxpjtuT17B&#10;Cgd5WH+t5WLjWis2b6vP8miVur+bi2dg2VzzHwy/9ak6NNSpjaegE3MKikVREEpC0AQCivKRRKtA&#10;yhJ4U/P/C5ofUEsDBBQAAAAIAIdO4kDSG4CPKgIAAFUEAAAOAAAAZHJzL2Uyb0RvYy54bWytVEuO&#10;EzEQ3SNxB8t70p+ZZEiUzggRwgbBSAPsHX+6jfyT7aSTK8A12MKKxRxoENeg7DSZBDYI0Qt3uV1+&#10;fvWeq+fXO63QlvsgrWlwNSox4oZaJk3b4HdvV0+eYhQiMYwoa3iD9zzg68XjR/PezXhtO6sY9whA&#10;TJj1rsFdjG5WFIF2XJMwso4bWBTWaxJh6tuCedIDulZFXZaToreeOW8pDwG+Lg+LeJHxheA0vhEi&#10;8IhUg4FbzKPP4zqNxWJOZq0nrpN0oEH+gYUm0sChR6gliQRtvPwDSkvqbbAijqjVhRVCUp5rgGqq&#10;8rdqbjvieK4FxAnuKFP4f7D09fbGI8kaPAGnDNHg0f3dx/u7Tz++fvn++Ru6ShL1Lswg89bd+GEW&#10;IEz17oTX6Q2VoF2WdX+Ule8iovCxurwYVyA+haV6Wl9djBNm8bDZ+RBfcqtRChq8cUvbm2fe2z5r&#10;SravQszisoEhYR8qjIRW4NWWKDQu4Rm8PMmpT3Muy6vpZDh4QAQKv45O8MEqyVZSqTzx7fq58gjg&#10;G7zKz7D5LE0Z1Dd4Oq7HUB+BCywUiRBqB5IG0+YCznaEU+DE+8AcuJylJWJLEroDgbx0KFDLyH2+&#10;th0n7IVhKO4duGagv3AioznDSHFoxxTlzEik+ptMIKFMqp7n1gHZk1HJ/YPfKVpbtocrAz0PVnHy&#10;Ht4YEUM7C20F4cZ52XawVmW90ha4u9nvoc9Sc5zO8xEPf4P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RTE9HXAAAACQEAAA8AAAAAAAAAAQAgAAAAIgAAAGRycy9kb3ducmV2LnhtbFBLAQIUABQA&#10;AAAIAIdO4kDSG4CPKgIAAFUEAAAOAAAAAAAAAAEAIAAAACYBAABkcnMvZTJvRG9jLnhtbFBLBQYA&#10;AAAABgAGAFkBAADCBQAAAAA=&#10;" adj="5400,4319">
                <v:fill on="t" focussize="0,0"/>
                <v:stroke color="#000000" joinstyle="miter"/>
                <v:imagedata o:title=""/>
                <o:lock v:ext="edit" aspectratio="f"/>
                <v:textbox style="layout-flow:vertical-ideographic;"/>
              </v:shape>
            </w:pict>
          </mc:Fallback>
        </mc:AlternateContent>
      </w:r>
    </w:p>
    <w:p>
      <w:pPr>
        <w:spacing w:line="460" w:lineRule="exact"/>
        <w:rPr>
          <w:rFonts w:hint="eastAsia" w:ascii="宋体" w:hAnsi="宋体"/>
          <w:sz w:val="28"/>
          <w:szCs w:val="28"/>
        </w:rPr>
      </w:pPr>
      <w:r>
        <w:rPr>
          <w:rFonts w:ascii="宋体" w:hAnsi="宋体"/>
          <w:b/>
          <w:bCs/>
          <w:sz w:val="28"/>
          <w:szCs w:val="28"/>
        </w:rPr>
        <mc:AlternateContent>
          <mc:Choice Requires="wps">
            <w:drawing>
              <wp:anchor distT="0" distB="0" distL="114300" distR="114300" simplePos="0" relativeHeight="251754496" behindDoc="0" locked="0" layoutInCell="1" allowOverlap="1">
                <wp:simplePos x="0" y="0"/>
                <wp:positionH relativeFrom="column">
                  <wp:posOffset>2867025</wp:posOffset>
                </wp:positionH>
                <wp:positionV relativeFrom="paragraph">
                  <wp:posOffset>183515</wp:posOffset>
                </wp:positionV>
                <wp:extent cx="2210435" cy="374015"/>
                <wp:effectExtent l="4445" t="4445" r="7620" b="15240"/>
                <wp:wrapNone/>
                <wp:docPr id="69" name="矩形 12"/>
                <wp:cNvGraphicFramePr/>
                <a:graphic xmlns:a="http://schemas.openxmlformats.org/drawingml/2006/main">
                  <a:graphicData uri="http://schemas.microsoft.com/office/word/2010/wordprocessingShape">
                    <wps:wsp>
                      <wps:cNvSpPr/>
                      <wps:spPr>
                        <a:xfrm>
                          <a:off x="0" y="0"/>
                          <a:ext cx="2210435" cy="374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lang w:eastAsia="zh-CN"/>
                              </w:rPr>
                            </w:pPr>
                            <w:r>
                              <w:rPr>
                                <w:rFonts w:hint="eastAsia"/>
                                <w:sz w:val="24"/>
                              </w:rPr>
                              <w:t>各班班组长</w:t>
                            </w:r>
                            <w:r>
                              <w:rPr>
                                <w:rFonts w:hint="eastAsia"/>
                                <w:sz w:val="24"/>
                                <w:lang w:eastAsia="zh-CN"/>
                              </w:rPr>
                              <w:t>（兼职安全管理员）</w:t>
                            </w:r>
                          </w:p>
                        </w:txbxContent>
                      </wps:txbx>
                      <wps:bodyPr vert="horz" anchor="t" upright="1"/>
                    </wps:wsp>
                  </a:graphicData>
                </a:graphic>
              </wp:anchor>
            </w:drawing>
          </mc:Choice>
          <mc:Fallback>
            <w:pict>
              <v:rect id="矩形 12" o:spid="_x0000_s1026" o:spt="1" style="position:absolute;left:0pt;margin-left:225.75pt;margin-top:14.45pt;height:29.45pt;width:174.05pt;z-index:251754496;mso-width-relative:page;mso-height-relative:page;" fillcolor="#FFFFFF" filled="t" stroked="t" coordsize="21600,21600" o:gfxdata="UEsDBAoAAAAAAIdO4kAAAAAAAAAAAAAAAAAEAAAAZHJzL1BLAwQUAAAACACHTuJAAyqKhtgAAAAJ&#10;AQAADwAAAGRycy9kb3ducmV2LnhtbE2PQU+DQBCF7yb+h82YeLMLaFtAlh40NfHY0ou3gR0BZWcJ&#10;u7Tor3c96XHyvrz3TbFbzCDONLnesoJ4FYEgbqzuuVVwqvZ3KQjnkTUOlknBFznYlddXBebaXvhA&#10;56NvRShhl6OCzvsxl9I1HRl0KzsSh+zdTgZ9OKdW6gkvodwMMomijTTYc1jocKSnjprP42wU1H1y&#10;wu9D9RKZbH/vX5fqY357Vur2Jo4eQXha/B8Mv/pBHcrgVNuZtRODgod1vA6ogiTNQARgm2UbELWC&#10;dJuCLAv5/4PyB1BLAwQUAAAACACHTuJAm2h6c/sBAAACBAAADgAAAGRycy9lMm9Eb2MueG1srVNL&#10;jhMxEN0jcQfLe9KfmQxMK51ZEMIGwUgDB6jY7m5L/sn2pDtcBokdh+A4iGtM2WlCBlggRC/cr1zl&#10;56pXrtXNpBXZCx+kNS2tFiUlwjDLpelb+uH99tkLSkIEw0FZI1p6EIHerJ8+WY2uEbUdrOLCEyQx&#10;oRldS4cYXVMUgQ1CQ1hYJww6O+s1RDR9X3API7JrVdRleVWM1nPnLRMh4O7m6KTrzN91gsV3XRdE&#10;JKqlmFvMq8/rLq3FegVN78ENks1pwD9koUEavPREtYEI5N7L36i0ZN4G28UFs7qwXSeZyDVgNVX5&#10;SzV3AziRa0FxgjvJFP4fLXu7v/VE8pZeXVNiQGOPvn/68u3rZ1LVSZ3RhQaD7tytn62AMJU6dV6n&#10;PxZBpqzo4aSomCJhuFnXVXl5saSEoe/i+WVZLRNp8fO08yG+FlaTBFrqsWNZSNi/CfEY+iMkXRas&#10;knwrlcqG73cvlSd7wO5u8zezPwpThowtvV7WKQ/AR9YpiAi1w7KD6fN9j06Ec+Iyf38iToltIAzH&#10;BDJDCoNGyyh8RoMA/spwEg8OlTU4AzQlowWnRAkcmYRyZASp/iYStVMmXSLy855VSm06NiahOO0m&#10;JE1wZ/kBO4wjiuoO1n+kBAxD0FLU4N552Q/oqXJ96QA+tNygeSjSSz63EZ+P7v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yqKhtgAAAAJAQAADwAAAAAAAAABACAAAAAiAAAAZHJzL2Rvd25yZXYu&#10;eG1sUEsBAhQAFAAAAAgAh07iQJtoenP7AQAAAgQAAA4AAAAAAAAAAQAgAAAAJwEAAGRycy9lMm9E&#10;b2MueG1sUEsFBgAAAAAGAAYAWQEAAJQFAAAAAA==&#10;">
                <v:fill on="t" focussize="0,0"/>
                <v:stroke color="#000000" joinstyle="miter"/>
                <v:imagedata o:title=""/>
                <o:lock v:ext="edit" aspectratio="f"/>
                <v:textbox>
                  <w:txbxContent>
                    <w:p>
                      <w:pPr>
                        <w:jc w:val="both"/>
                        <w:rPr>
                          <w:rFonts w:hint="eastAsia" w:eastAsia="宋体"/>
                          <w:lang w:eastAsia="zh-CN"/>
                        </w:rPr>
                      </w:pPr>
                      <w:r>
                        <w:rPr>
                          <w:rFonts w:hint="eastAsia"/>
                          <w:sz w:val="24"/>
                        </w:rPr>
                        <w:t>各班班组长</w:t>
                      </w:r>
                      <w:r>
                        <w:rPr>
                          <w:rFonts w:hint="eastAsia"/>
                          <w:sz w:val="24"/>
                          <w:lang w:eastAsia="zh-CN"/>
                        </w:rPr>
                        <w:t>（兼职安全管理员）</w:t>
                      </w:r>
                    </w:p>
                  </w:txbxContent>
                </v:textbox>
              </v:rect>
            </w:pict>
          </mc:Fallback>
        </mc:AlternateContent>
      </w:r>
      <w:r>
        <w:rPr>
          <w:rFonts w:ascii="宋体" w:hAnsi="宋体"/>
          <w:b/>
          <w:bCs/>
          <w:sz w:val="28"/>
          <w:szCs w:val="28"/>
        </w:rPr>
        <mc:AlternateContent>
          <mc:Choice Requires="wps">
            <w:drawing>
              <wp:anchor distT="0" distB="0" distL="114300" distR="114300" simplePos="0" relativeHeight="251753472" behindDoc="0" locked="0" layoutInCell="1" allowOverlap="1">
                <wp:simplePos x="0" y="0"/>
                <wp:positionH relativeFrom="column">
                  <wp:posOffset>895350</wp:posOffset>
                </wp:positionH>
                <wp:positionV relativeFrom="paragraph">
                  <wp:posOffset>158115</wp:posOffset>
                </wp:positionV>
                <wp:extent cx="1714500" cy="372745"/>
                <wp:effectExtent l="4445" t="4445" r="8255" b="16510"/>
                <wp:wrapNone/>
                <wp:docPr id="70" name="矩形 9"/>
                <wp:cNvGraphicFramePr/>
                <a:graphic xmlns:a="http://schemas.openxmlformats.org/drawingml/2006/main">
                  <a:graphicData uri="http://schemas.microsoft.com/office/word/2010/wordprocessingShape">
                    <wps:wsp>
                      <wps:cNvSpPr/>
                      <wps:spPr>
                        <a:xfrm>
                          <a:off x="0" y="0"/>
                          <a:ext cx="1714500" cy="372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sz w:val="24"/>
                              </w:rPr>
                            </w:pPr>
                            <w:r>
                              <w:rPr>
                                <w:rFonts w:hint="eastAsia"/>
                                <w:sz w:val="24"/>
                              </w:rPr>
                              <w:t>公司</w:t>
                            </w:r>
                            <w:r>
                              <w:rPr>
                                <w:rFonts w:hint="eastAsia" w:ascii="宋体" w:hAnsi="宋体"/>
                                <w:color w:val="000000"/>
                                <w:sz w:val="28"/>
                                <w:szCs w:val="28"/>
                                <w:lang w:eastAsia="zh-CN"/>
                              </w:rPr>
                              <w:t>QHSE</w:t>
                            </w:r>
                            <w:r>
                              <w:rPr>
                                <w:rFonts w:hint="eastAsia"/>
                                <w:sz w:val="24"/>
                              </w:rPr>
                              <w:t>监督管理员</w:t>
                            </w:r>
                          </w:p>
                          <w:p>
                            <w:pPr>
                              <w:jc w:val="center"/>
                              <w:rPr>
                                <w:rFonts w:hint="eastAsia"/>
                              </w:rPr>
                            </w:pPr>
                            <w:r>
                              <w:rPr>
                                <w:rFonts w:hint="eastAsia"/>
                                <w:sz w:val="24"/>
                              </w:rPr>
                              <w:t>员</w:t>
                            </w:r>
                          </w:p>
                        </w:txbxContent>
                      </wps:txbx>
                      <wps:bodyPr vert="horz" anchor="t" upright="1"/>
                    </wps:wsp>
                  </a:graphicData>
                </a:graphic>
              </wp:anchor>
            </w:drawing>
          </mc:Choice>
          <mc:Fallback>
            <w:pict>
              <v:rect id="矩形 9" o:spid="_x0000_s1026" o:spt="1" style="position:absolute;left:0pt;margin-left:70.5pt;margin-top:12.45pt;height:29.35pt;width:135pt;z-index:251753472;mso-width-relative:page;mso-height-relative:page;" fillcolor="#FFFFFF" filled="t" stroked="t" coordsize="21600,21600" o:gfxdata="UEsDBAoAAAAAAIdO4kAAAAAAAAAAAAAAAAAEAAAAZHJzL1BLAwQUAAAACACHTuJAURvJX9cAAAAJ&#10;AQAADwAAAGRycy9kb3ducmV2LnhtbE2PwW6DMBBE75X6D9ZW6q0xEBQlFJNDq1TqMSGX3Ba8BRK8&#10;RtgktF9f59QeZ3Y0+ybfzqYXVxpdZ1lBvIhAENdWd9woOJa7lzUI55E19pZJwTc52BaPDzlm2t54&#10;T9eDb0QoYZehgtb7IZPS1S0ZdAs7EIfblx0N+iDHRuoRb6Hc9DKJopU02HH40OJAby3Vl8NkFFRd&#10;csSfffkRmc1u6T/n8jyd3pV6foqjVxCeZv8Xhjt+QIciMFV2Yu1EH3Qahy1eQZJuQIRAGt+NSsF6&#10;uQJZ5PL/guIXUEsDBBQAAAAIAIdO4kCnWqkO+gEAAAEEAAAOAAAAZHJzL2Uyb0RvYy54bWytU0uO&#10;EzEQ3SNxB8t70p0wIUwrnVkQwgbBSAMHqPjTbck/2Z50h8sgseMQHAdxDcpOEzLAAiF64X7lKj9X&#10;vXKtb0ajyUGEqJxt6XxWUyIsc1zZrqXv3+2ePKckJrActLOipUcR6c3m8aP14BuxcL3TXASCJDY2&#10;g29pn5JvqiqyXhiIM+eFRad0wUBCM3QVDzAgu9HVoq6fVYML3AfHRIy4uz056abwSylYeitlFIno&#10;lmJuqayhrPu8Vps1NF0A3ys2pQH/kIUBZfHSM9UWEpD7oH6jMooFF51MM+ZM5aRUTJQasJp5/Us1&#10;dz14UWpBcaI/yxT/Hy17c7gNRPGWrlAeCwZ79O3j569fPpHrLM7gY4Mxd/42TFZEmCsdZTD5jzWQ&#10;sQh6PAsqxkQYbs5X86tljcQMfU9Xi9XVMpNWP0/7ENMr4QzJoKUBG1Z0hMPrmE6hP0LyZdFpxXdK&#10;62KEbv9CB3IAbO6ufBP7gzBtydDS6+ViiXkAvjGpISE0HquOtiv3PTgRL4nr8v2JOCe2hdifEigM&#10;OQwao5IIBfUC+EvLSTp6FNbiCNCcjBGcEi1wYjIqkQmU/ptI1E7bfIkor3tSKbfp1JiM0rgfkTTD&#10;veNHbDBOKKrbu/CBErAMQUtRg3sfVNejZ17qywfwnZUGTTORH/Kljfhycjf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byV/XAAAACQEAAA8AAAAAAAAAAQAgAAAAIgAAAGRycy9kb3ducmV2Lnht&#10;bFBLAQIUABQAAAAIAIdO4kCnWqkO+gEAAAEEAAAOAAAAAAAAAAEAIAAAACYBAABkcnMvZTJvRG9j&#10;LnhtbFBLBQYAAAAABgAGAFkBAACSBQAAAAA=&#10;">
                <v:fill on="t" focussize="0,0"/>
                <v:stroke color="#000000" joinstyle="miter"/>
                <v:imagedata o:title=""/>
                <o:lock v:ext="edit" aspectratio="f"/>
                <v:textbox>
                  <w:txbxContent>
                    <w:p>
                      <w:pPr>
                        <w:jc w:val="both"/>
                        <w:rPr>
                          <w:rFonts w:hint="eastAsia"/>
                          <w:sz w:val="24"/>
                        </w:rPr>
                      </w:pPr>
                      <w:r>
                        <w:rPr>
                          <w:rFonts w:hint="eastAsia"/>
                          <w:sz w:val="24"/>
                        </w:rPr>
                        <w:t>公司</w:t>
                      </w:r>
                      <w:r>
                        <w:rPr>
                          <w:rFonts w:hint="eastAsia" w:ascii="宋体" w:hAnsi="宋体"/>
                          <w:color w:val="000000"/>
                          <w:sz w:val="28"/>
                          <w:szCs w:val="28"/>
                          <w:lang w:eastAsia="zh-CN"/>
                        </w:rPr>
                        <w:t>QHSE</w:t>
                      </w:r>
                      <w:r>
                        <w:rPr>
                          <w:rFonts w:hint="eastAsia"/>
                          <w:sz w:val="24"/>
                        </w:rPr>
                        <w:t>监督管理员</w:t>
                      </w:r>
                    </w:p>
                    <w:p>
                      <w:pPr>
                        <w:jc w:val="center"/>
                        <w:rPr>
                          <w:rFonts w:hint="eastAsia"/>
                        </w:rPr>
                      </w:pPr>
                      <w:r>
                        <w:rPr>
                          <w:rFonts w:hint="eastAsia"/>
                          <w:sz w:val="24"/>
                        </w:rPr>
                        <w:t>员</w:t>
                      </w:r>
                    </w:p>
                  </w:txbxContent>
                </v:textbox>
              </v:rect>
            </w:pict>
          </mc:Fallback>
        </mc:AlternateContent>
      </w:r>
    </w:p>
    <w:p>
      <w:pPr>
        <w:spacing w:line="460" w:lineRule="exact"/>
        <w:rPr>
          <w:rFonts w:hint="eastAsia" w:ascii="宋体" w:hAnsi="宋体"/>
          <w:sz w:val="28"/>
          <w:szCs w:val="28"/>
        </w:rPr>
      </w:pPr>
    </w:p>
    <w:p>
      <w:pPr>
        <w:spacing w:line="460" w:lineRule="exact"/>
        <w:rPr>
          <w:rFonts w:ascii="宋体" w:hAnsi="宋体"/>
          <w:sz w:val="28"/>
          <w:szCs w:val="28"/>
        </w:rPr>
      </w:pPr>
      <w:r>
        <w:rPr>
          <w:rFonts w:ascii="宋体" w:hAnsi="宋体"/>
          <w:b/>
          <w:bCs/>
          <w:sz w:val="28"/>
          <w:szCs w:val="28"/>
        </w:rPr>
        <mc:AlternateContent>
          <mc:Choice Requires="wps">
            <w:drawing>
              <wp:anchor distT="0" distB="0" distL="114300" distR="114300" simplePos="0" relativeHeight="251760640" behindDoc="0" locked="0" layoutInCell="1" allowOverlap="1">
                <wp:simplePos x="0" y="0"/>
                <wp:positionH relativeFrom="column">
                  <wp:posOffset>3314700</wp:posOffset>
                </wp:positionH>
                <wp:positionV relativeFrom="paragraph">
                  <wp:posOffset>17145</wp:posOffset>
                </wp:positionV>
                <wp:extent cx="143510" cy="292735"/>
                <wp:effectExtent l="13335" t="6350" r="20955" b="5715"/>
                <wp:wrapNone/>
                <wp:docPr id="71" name="上下箭头 8"/>
                <wp:cNvGraphicFramePr/>
                <a:graphic xmlns:a="http://schemas.openxmlformats.org/drawingml/2006/main">
                  <a:graphicData uri="http://schemas.microsoft.com/office/word/2010/wordprocessingShape">
                    <wps:wsp>
                      <wps:cNvSpPr/>
                      <wps:spPr>
                        <a:xfrm>
                          <a:off x="0" y="0"/>
                          <a:ext cx="143510" cy="292735"/>
                        </a:xfrm>
                        <a:prstGeom prst="upDownArrow">
                          <a:avLst>
                            <a:gd name="adj1" fmla="val 50000"/>
                            <a:gd name="adj2" fmla="val 40796"/>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8" o:spid="_x0000_s1026" o:spt="70" type="#_x0000_t70" style="position:absolute;left:0pt;margin-left:261pt;margin-top:1.35pt;height:23.05pt;width:11.3pt;z-index:251760640;mso-width-relative:page;mso-height-relative:page;" fillcolor="#FFFFFF" filled="t" stroked="t" coordsize="21600,21600" o:gfxdata="UEsDBAoAAAAAAIdO4kAAAAAAAAAAAAAAAAAEAAAAZHJzL1BLAwQUAAAACACHTuJA48ACzdgAAAAI&#10;AQAADwAAAGRycy9kb3ducmV2LnhtbE2PzU7DMBCE70i8g7VI3KjdKE3TkE2lInFAvZSCxNWJ3TjU&#10;XofY/eHtMSc4jmY08029vjrLznoKgyeE+UwA09R5NVCP8P72/FACC1GSktaTRvjWAdbN7U0tK+Uv&#10;9KrP+9izVEKhkggmxrHiPHRGOxlmftSUvIOfnIxJTj1Xk7ykcmd5JkTBnRwoLRg56ieju+P+5BA2&#10;cig+t1/bYrmzrRG7l83H6mgQ7+/m4hFY1Nf4F4Zf/IQOTWJq/YlUYBZhkWXpS0TIlsCSv8jzAliL&#10;kJcl8Kbm/w80P1BLAwQUAAAACACHTuJA6yMWcisCAABVBAAADgAAAGRycy9lMm9Eb2MueG1srVTL&#10;bhMxFN0j8Q+W92QebdomyqRChLBBUKnA3vFjxsgv2U4m+QX4DbZ0xaIfVMRvcO0MaQIbhJiF53p8&#10;fXzOub4zu95qhTbcB2lNg6tRiRE31DJp2ga/f7d8doVRiMQwoqzhDd7xgK/nT5/Mejflte2sYtwj&#10;ADFh2rsGdzG6aVEE2nFNwsg6bmBRWK9JhKlvC+ZJD+haFXVZXhS99cx5S3kI8HWxX8TzjC8Ep/Gt&#10;EIFHpBoM3GIefR5XaSzmMzJtPXGdpAMN8g8sNJEGDj1ALUgkaO3lH1BaUm+DFXFErS6sEJLyrAHU&#10;VOVvam474njWAuYEd7Ap/D9Y+mZz45FkDb6sMDJEQ40e7j893H/+cff1+5dv6CpZ1Lswhcxbd+OH&#10;WYAw6d0Kr9MblKBttnV3sJVvI6LwsTo/G1dgPoWlelJfno0TZvG42fkQX3GrUQoavHYL25vn3ts+&#10;e0o2r0PM5rKBIWEfga3QCmq1IQqNS3iGWh7l1Mc55+Xl5GI4eEAECr+OTvDBKsmWUqk88e3qhfII&#10;4Bu8zM+w+SRNGdQ3eDKux6CPwAUWikQItQNLg2mzgJMd4Rg48d4zBy4naYnYgoRuTyAv7QVqGbnP&#10;17bjhL00DMWdg6oZ6C+cyGjOMFIc2jFFOTMSqf4mE0gok9Tz3DpgeypUqv6+3ilaWbaDKwM9D6Xi&#10;5AO8MSKGdhbaCsK187LtYK3KfqUtcHdzvYc+S81xPM9HPP4N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8ACzdgAAAAIAQAADwAAAAAAAAABACAAAAAiAAAAZHJzL2Rvd25yZXYueG1sUEsBAhQA&#10;FAAAAAgAh07iQOsjFnIrAgAAVQQAAA4AAAAAAAAAAQAgAAAAJwEAAGRycy9lMm9Eb2MueG1sUEsF&#10;BgAAAAAGAAYAWQEAAMQFAAAAAA==&#10;" adj="5400,4319">
                <v:fill on="t" focussize="0,0"/>
                <v:stroke color="#000000" joinstyle="miter"/>
                <v:imagedata o:title=""/>
                <o:lock v:ext="edit" aspectratio="f"/>
                <v:textbox style="layout-flow:vertical-ideographic;"/>
              </v:shape>
            </w:pict>
          </mc:Fallback>
        </mc:AlternateContent>
      </w:r>
      <w:r>
        <w:rPr>
          <w:rFonts w:ascii="宋体" w:hAnsi="宋体"/>
          <w:b/>
          <w:bCs/>
          <w:sz w:val="28"/>
          <w:szCs w:val="28"/>
        </w:rPr>
        <mc:AlternateContent>
          <mc:Choice Requires="wps">
            <w:drawing>
              <wp:anchor distT="0" distB="0" distL="114300" distR="114300" simplePos="0" relativeHeight="251761664" behindDoc="0" locked="0" layoutInCell="1" allowOverlap="1">
                <wp:simplePos x="0" y="0"/>
                <wp:positionH relativeFrom="column">
                  <wp:posOffset>1814195</wp:posOffset>
                </wp:positionH>
                <wp:positionV relativeFrom="paragraph">
                  <wp:posOffset>17145</wp:posOffset>
                </wp:positionV>
                <wp:extent cx="143510" cy="292735"/>
                <wp:effectExtent l="13335" t="6350" r="20955" b="5715"/>
                <wp:wrapNone/>
                <wp:docPr id="72" name="上下箭头 14"/>
                <wp:cNvGraphicFramePr/>
                <a:graphic xmlns:a="http://schemas.openxmlformats.org/drawingml/2006/main">
                  <a:graphicData uri="http://schemas.microsoft.com/office/word/2010/wordprocessingShape">
                    <wps:wsp>
                      <wps:cNvSpPr/>
                      <wps:spPr>
                        <a:xfrm>
                          <a:off x="0" y="0"/>
                          <a:ext cx="143510" cy="292735"/>
                        </a:xfrm>
                        <a:prstGeom prst="upDownArrow">
                          <a:avLst>
                            <a:gd name="adj1" fmla="val 50000"/>
                            <a:gd name="adj2" fmla="val 40796"/>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14" o:spid="_x0000_s1026" o:spt="70" type="#_x0000_t70" style="position:absolute;left:0pt;margin-left:142.85pt;margin-top:1.35pt;height:23.05pt;width:11.3pt;z-index:251761664;mso-width-relative:page;mso-height-relative:page;" fillcolor="#FFFFFF" filled="t" stroked="t" coordsize="21600,21600" o:gfxdata="UEsDBAoAAAAAAIdO4kAAAAAAAAAAAAAAAAAEAAAAZHJzL1BLAwQUAAAACACHTuJA0ij/69gAAAAI&#10;AQAADwAAAGRycy9kb3ducmV2LnhtbE2PS0/DMBCE70j8B2uRuFG7LaQmxKlUJA6ol1KQuG5iE4f6&#10;EWL3wb/v9gSn3dWMZr+plifv2MGMqY9BwXQigJnQRt2HTsHH+8udBJYyBo0uBqPg1yRY1tdXFZY6&#10;HsObOWxzxygkpBIV2JyHkvPUWuMxTeJgAmlfcfSY6Rw7rkc8Urh3fCZEwT32gT5YHMyzNe1uu/cK&#10;VtgX3+ufdbHYuMaKzevq83Fnlbq9mYonYNmc8p8ZLviEDjUxNXEfdGJOwUw+LMhKCw3S50LOgTUK&#10;7qUEXlf8f4H6DFBLAwQUAAAACACHTuJA/MRcECwCAABWBAAADgAAAGRycy9lMm9Eb2MueG1srVTL&#10;jtMwFN0j8Q+W9zSPaac0ajpClLJBMNIAe9d2EiO/ZLtN+wvwG2xhxWI+aBC/wbUb+oANQmThXMfX&#10;x+ec65v5zU5JtOXOC6NrXIxyjLimhgnd1vjd29WTpxj5QDQj0mhe4z33+Gbx+NG8txUvTWck4w4B&#10;iPZVb2vchWCrLPO044r4kbFcw2JjnCIBpq7NmCM9oCuZlXl+nfXGMesM5d7D1+VhES8SftNwGt40&#10;jecByRoDt5BGl8Z1HLPFnFStI7YTdKBB/oGFIkLDoUeoJQkEbZz4A0oJ6ow3TRhRozLTNILypAHU&#10;FPlvau46YnnSAuZ4e7TJ/z9Y+np765BgNZ6WGGmioEYP9x8f7j/9+Prl++dvqBhHj3rrK0i9s7du&#10;mHkIo+Bd41R8gxS0S77uj77yXUAUPhbjq0kB7lNYKmfl9GoSMbPTZut8eMmNQjGo8cYuTa+fOWf6&#10;ZCrZvvIhucsGioR9KDBqlIRibYlEkxyeoZhnOSDplDPOp7Pr4eABESj8OjrCeyMFWwkp08S16+fS&#10;IYCv8So9w+aLNKlRX+PZpJyAPgI3uJEkQKgseOp1mwRc7PDnwJH3gTlwuUiLxJbEdwcCaekgUInA&#10;Xbq3HSfshWYo7C2UTUOD4UhGcYaR5NCPMUqZgQj5N5lAQuqonqfeAdtjoWL1D/WO0dqwPdwZaHoo&#10;FSfv4Y0R0bQz0FcQbqwTbQdrRfIrboHLm+o9NFrsjvN5OuL0O1j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Io/+vYAAAACAEAAA8AAAAAAAAAAQAgAAAAIgAAAGRycy9kb3ducmV2LnhtbFBLAQIU&#10;ABQAAAAIAIdO4kD8xFwQLAIAAFYEAAAOAAAAAAAAAAEAIAAAACcBAABkcnMvZTJvRG9jLnhtbFBL&#10;BQYAAAAABgAGAFkBAADFBQAAAAA=&#10;" adj="5400,4319">
                <v:fill on="t" focussize="0,0"/>
                <v:stroke color="#000000" joinstyle="miter"/>
                <v:imagedata o:title=""/>
                <o:lock v:ext="edit" aspectratio="f"/>
                <v:textbox style="layout-flow:vertical-ideographic;"/>
              </v:shape>
            </w:pict>
          </mc:Fallback>
        </mc:AlternateContent>
      </w:r>
    </w:p>
    <w:p>
      <w:pPr>
        <w:spacing w:line="460" w:lineRule="exact"/>
        <w:rPr>
          <w:rFonts w:ascii="宋体" w:hAnsi="宋体"/>
          <w:sz w:val="28"/>
          <w:szCs w:val="28"/>
        </w:rPr>
      </w:pPr>
      <w:r>
        <w:rPr>
          <w:rFonts w:ascii="宋体" w:hAnsi="宋体"/>
          <w:b/>
          <w:bCs/>
          <w:sz w:val="28"/>
          <w:szCs w:val="28"/>
        </w:rPr>
        <mc:AlternateContent>
          <mc:Choice Requires="wps">
            <w:drawing>
              <wp:anchor distT="0" distB="0" distL="114300" distR="114300" simplePos="0" relativeHeight="251762688" behindDoc="0" locked="0" layoutInCell="1" allowOverlap="1">
                <wp:simplePos x="0" y="0"/>
                <wp:positionH relativeFrom="column">
                  <wp:posOffset>1690370</wp:posOffset>
                </wp:positionH>
                <wp:positionV relativeFrom="paragraph">
                  <wp:posOffset>40640</wp:posOffset>
                </wp:positionV>
                <wp:extent cx="2057400" cy="297180"/>
                <wp:effectExtent l="4445" t="4445" r="8255" b="15875"/>
                <wp:wrapNone/>
                <wp:docPr id="73" name="矩形 15"/>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rPr>
                            </w:pPr>
                            <w:r>
                              <w:rPr>
                                <w:rFonts w:hint="eastAsia"/>
                                <w:sz w:val="24"/>
                              </w:rPr>
                              <w:t>员   工</w:t>
                            </w:r>
                          </w:p>
                        </w:txbxContent>
                      </wps:txbx>
                      <wps:bodyPr vert="horz" anchor="t" upright="1"/>
                    </wps:wsp>
                  </a:graphicData>
                </a:graphic>
              </wp:anchor>
            </w:drawing>
          </mc:Choice>
          <mc:Fallback>
            <w:pict>
              <v:rect id="矩形 15" o:spid="_x0000_s1026" o:spt="1" style="position:absolute;left:0pt;margin-left:133.1pt;margin-top:3.2pt;height:23.4pt;width:162pt;z-index:251762688;mso-width-relative:page;mso-height-relative:page;" fillcolor="#FFFFFF" filled="t" stroked="t" coordsize="21600,21600" o:gfxdata="UEsDBAoAAAAAAIdO4kAAAAAAAAAAAAAAAAAEAAAAZHJzL1BLAwQUAAAACACHTuJArc/uQNYAAAAI&#10;AQAADwAAAGRycy9kb3ducmV2LnhtbE2PwU7DMBBE70j8g7VI3KjdFCIa4vQAKhLHNr1w28QmCcTr&#10;KHbatF/PcqK3Hc1o9k2+mV0vjnYMnScNy4UCYan2pqNGw6HcPjyDCBHJYO/JajjbAJvi9ibHzPgT&#10;7exxHxvBJRQy1NDGOGRShrq1DsPCD5bY+/Kjw8hybKQZ8cTlrpeJUql02BF/aHGwr62tf/aT01B1&#10;yQEvu/JdufV2FT/m8nv6fNP6/m6pXkBEO8f/MPzhMzoUzFT5iUwQvYYkTROOakgfQbD/tFasKz5W&#10;Ccgil9cDil9QSwMEFAAAAAgAh07iQISxbIj+AQAAAgQAAA4AAABkcnMvZTJvRG9jLnhtbK1TS44T&#10;MRDdI3EHy3vSnYaQmVY6syCEDYKRBg5Q8afbkn+yPekOl0FixyE4DuIalJ0QMsACIXrhrrLLr+q9&#10;cq1uJqPJXoSonO3ofFZTIixzXNm+o+/fbZ9cURITWA7aWdHRg4j0Zv340Wr0rWjc4DQXgSCIje3o&#10;Ozqk5NuqimwQBuLMeWHxULpgIKEb+ooHGBHd6Kqp6+fV6AL3wTERI+5ujod0XfClFCy9lTKKRHRH&#10;sbZU1lDWXV6r9QraPoAfFDuVAf9QhQFlMekZagMJyH1Qv0EZxYKLTqYZc6ZyUiomCgdkM69/YXM3&#10;gBeFC4oT/Vmm+P9g2Zv9bSCKd3T5lBILBnv07ePnr18+kfkiqzP62GLQnb8NJy+imalOMpj8RxJk&#10;KooezoqKKRGGm029WD6rUXiGZ831cn5VJK9+3vYhplfCGZKNjgbsWBES9q9jwowY+iMkJ4tOK75V&#10;Whcn9LsXOpA9YHe35csl45UHYdqSsaPXi2aBdQA+MqkhoWk80o62L/ke3IiXwHX5/gScC9tAHI4F&#10;FIQcBq1RSWS5oB0E8JeWk3TwqKzFGaC5GCM4JVrgyGSrRCZQ+m8ikZ22GVqU531SKbfp2JhspWk3&#10;IWg2d44fsMM4oqju4MIHSsAyNDqKGtz7oPoBT+aFX76AD61IeBqK/JIvfbQvR3f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3P7kDWAAAACAEAAA8AAAAAAAAAAQAgAAAAIgAAAGRycy9kb3ducmV2&#10;LnhtbFBLAQIUABQAAAAIAIdO4kCEsWyI/gEAAAIEAAAOAAAAAAAAAAEAIAAAACUBAABkcnMvZTJv&#10;RG9jLnhtbFBLBQYAAAAABgAGAFkBAACVBQAAAAA=&#10;">
                <v:fill on="t" focussize="0,0"/>
                <v:stroke color="#000000" joinstyle="miter"/>
                <v:imagedata o:title=""/>
                <o:lock v:ext="edit" aspectratio="f"/>
                <v:textbox>
                  <w:txbxContent>
                    <w:p>
                      <w:pPr>
                        <w:jc w:val="center"/>
                        <w:rPr>
                          <w:rFonts w:hint="eastAsia"/>
                          <w:sz w:val="24"/>
                        </w:rPr>
                      </w:pPr>
                      <w:r>
                        <w:rPr>
                          <w:rFonts w:hint="eastAsia"/>
                          <w:sz w:val="24"/>
                        </w:rPr>
                        <w:t>员   工</w:t>
                      </w:r>
                    </w:p>
                  </w:txbxContent>
                </v:textbox>
              </v:rect>
            </w:pict>
          </mc:Fallback>
        </mc:AlternateContent>
      </w:r>
    </w:p>
    <w:p>
      <w:pPr>
        <w:spacing w:line="460" w:lineRule="exact"/>
        <w:ind w:firstLine="3348" w:firstLineChars="1196"/>
        <w:rPr>
          <w:rFonts w:ascii="宋体" w:hAnsi="宋体"/>
          <w:sz w:val="28"/>
          <w:szCs w:val="28"/>
        </w:rPr>
      </w:pPr>
    </w:p>
    <w:p>
      <w:pPr>
        <w:spacing w:line="460" w:lineRule="exact"/>
        <w:ind w:firstLine="3348" w:firstLineChars="1196"/>
        <w:rPr>
          <w:rFonts w:ascii="宋体" w:hAnsi="宋体"/>
          <w:sz w:val="28"/>
          <w:szCs w:val="28"/>
        </w:rPr>
      </w:pPr>
    </w:p>
    <w:p>
      <w:pPr>
        <w:spacing w:line="460" w:lineRule="exact"/>
        <w:ind w:firstLine="3348" w:firstLineChars="1196"/>
        <w:rPr>
          <w:rFonts w:hint="eastAsia" w:ascii="宋体" w:hAnsi="宋体"/>
          <w:sz w:val="28"/>
          <w:szCs w:val="28"/>
        </w:rPr>
      </w:pPr>
      <w:r>
        <w:rPr>
          <w:rFonts w:hint="eastAsia" w:ascii="宋体" w:hAnsi="宋体"/>
          <w:sz w:val="28"/>
          <w:szCs w:val="28"/>
          <w:lang w:eastAsia="zh-CN"/>
        </w:rPr>
        <w:t>QHSE</w:t>
      </w:r>
      <w:r>
        <w:rPr>
          <w:rFonts w:hint="eastAsia" w:ascii="宋体" w:hAnsi="宋体"/>
          <w:sz w:val="28"/>
          <w:szCs w:val="28"/>
        </w:rPr>
        <w:t>管理网络图</w:t>
      </w:r>
    </w:p>
    <w:p>
      <w:pPr>
        <w:spacing w:line="460" w:lineRule="exact"/>
        <w:rPr>
          <w:rFonts w:ascii="宋体" w:hAnsi="宋体"/>
          <w:sz w:val="28"/>
          <w:szCs w:val="28"/>
        </w:rPr>
      </w:pPr>
      <w:r>
        <w:rPr>
          <w:rFonts w:ascii="宋体" w:hAnsi="宋体"/>
          <w:sz w:val="28"/>
          <w:szCs w:val="28"/>
        </w:rPr>
        <mc:AlternateContent>
          <mc:Choice Requires="wps">
            <w:drawing>
              <wp:anchor distT="0" distB="0" distL="114300" distR="114300" simplePos="0" relativeHeight="251767808" behindDoc="0" locked="0" layoutInCell="1" allowOverlap="1">
                <wp:simplePos x="0" y="0"/>
                <wp:positionH relativeFrom="column">
                  <wp:posOffset>1893570</wp:posOffset>
                </wp:positionH>
                <wp:positionV relativeFrom="paragraph">
                  <wp:posOffset>83820</wp:posOffset>
                </wp:positionV>
                <wp:extent cx="1780540" cy="304800"/>
                <wp:effectExtent l="4445" t="4445" r="5715" b="8255"/>
                <wp:wrapNone/>
                <wp:docPr id="74" name="矩形 3"/>
                <wp:cNvGraphicFramePr/>
                <a:graphic xmlns:a="http://schemas.openxmlformats.org/drawingml/2006/main">
                  <a:graphicData uri="http://schemas.microsoft.com/office/word/2010/wordprocessingShape">
                    <wps:wsp>
                      <wps:cNvSpPr/>
                      <wps:spPr>
                        <a:xfrm>
                          <a:off x="0" y="0"/>
                          <a:ext cx="178054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r>
                              <w:rPr>
                                <w:rFonts w:hint="eastAsia"/>
                                <w:sz w:val="24"/>
                              </w:rPr>
                              <w:t>决策层</w:t>
                            </w:r>
                          </w:p>
                          <w:p>
                            <w:pPr>
                              <w:jc w:val="center"/>
                              <w:rPr>
                                <w:sz w:val="24"/>
                              </w:rPr>
                            </w:pPr>
                            <w:r>
                              <w:rPr>
                                <w:rFonts w:hint="eastAsia"/>
                                <w:sz w:val="24"/>
                              </w:rPr>
                              <w:t>公司经理</w:t>
                            </w:r>
                          </w:p>
                        </w:txbxContent>
                      </wps:txbx>
                      <wps:bodyPr vert="horz" anchor="t" upright="1"/>
                    </wps:wsp>
                  </a:graphicData>
                </a:graphic>
              </wp:anchor>
            </w:drawing>
          </mc:Choice>
          <mc:Fallback>
            <w:pict>
              <v:rect id="矩形 3" o:spid="_x0000_s1026" o:spt="1" style="position:absolute;left:0pt;margin-left:149.1pt;margin-top:6.6pt;height:24pt;width:140.2pt;z-index:251767808;mso-width-relative:page;mso-height-relative:page;" fillcolor="#FFFFFF" filled="t" stroked="t" coordsize="21600,21600" o:gfxdata="UEsDBAoAAAAAAIdO4kAAAAAAAAAAAAAAAAAEAAAAZHJzL1BLAwQUAAAACACHTuJAQIPjnNgAAAAJ&#10;AQAADwAAAGRycy9kb3ducmV2LnhtbE2PsU7DMBCGdyTewTokNmrHFSFN43QAFYmxTRc2JzZJSnyO&#10;YqcNPD3HBNPp9H/677tit7iBXewUeo8KkpUAZrHxpsdWwanaP2TAQtRo9ODRKviyAXbl7U2hc+Ov&#10;eLCXY2wZlWDItYIuxjHnPDSddTqs/GiRsg8/OR1pnVpuJn2lcjdwKUTKne6RLnR6tM+dbT6Ps1NQ&#10;9/Kkvw/Vq3Cb/Tq+LdV5fn9R6v4uEVtg0S7xD4ZffVKHkpxqP6MJbFAgN5kklII1TQIen7IUWK0g&#10;TSTwsuD/Pyh/AFBLAwQUAAAACACHTuJAarFGZv4BAAABBAAADgAAAGRycy9lMm9Eb2MueG1srVNL&#10;jhMxEN0jcQfLe9KdTMKEVjqzIIQNgpEGDlDxp9uSf7I96Q6XQWLHITgO4hpTdkLIAAuE6IW7yi6/&#10;qvfKtboZjSZ7EaJytqXTSU2JsMxxZbuWfni/fbakJCawHLSzoqUHEenN+umT1eAbMXO901wEgiA2&#10;NoNvaZ+Sb6oqsl4YiBPnhcVD6YKBhG7oKh5gQHSjq1ldP68GF7gPjokYcXdzPKTrgi+lYOmdlFEk&#10;oluKtaWyhrLu8lqtV9B0AXyv2KkM+IcqDCiLSc9QG0hA7oP6DcooFlx0Mk2YM5WTUjFROCCbaf0L&#10;m7sevChcUJzozzLF/wfL3u5vA1G8pddzSiwY7NH3T1++ff1MrrI4g48Nxtz523DyIpqZ6SiDyX/k&#10;QMYi6OEsqBgTYbg5vV7WiznqzvDsqp4v66J49fO2DzG9Fs6QbLQ0YMOKjrB/ExNmxNAfITlZdFrx&#10;rdK6OKHbvdSB7AGbuy1fLhmvPArTlgwtfbGYLbAOwDcmNSQ0jUfW0XYl36Mb8RK4Lt+fgHNhG4j9&#10;sYCCkMOgMSqJLBc0vQD+ynKSDh6FtTgCNBdjBKdEC5yYbJXIBEr/TSSy0zZDi/K6TyrlNh0bk600&#10;7kYEzebO8QM2GCcU1e1d+EgJWIZGS1GDex9U1+PJtPDLF/CdFQlPM5Ef8qWP9uXkr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IPjnNgAAAAJAQAADwAAAAAAAAABACAAAAAiAAAAZHJzL2Rvd25y&#10;ZXYueG1sUEsBAhQAFAAAAAgAh07iQGqxRmb+AQAAAQQAAA4AAAAAAAAAAQAgAAAAJwEAAGRycy9l&#10;Mm9Eb2MueG1sUEsFBgAAAAAGAAYAWQEAAJcFAAAAAA==&#10;">
                <v:fill on="t" focussize="0,0"/>
                <v:stroke color="#000000" joinstyle="miter"/>
                <v:imagedata o:title=""/>
                <o:lock v:ext="edit" aspectratio="f"/>
                <v:textbox>
                  <w:txbxContent>
                    <w:p>
                      <w:pPr>
                        <w:jc w:val="center"/>
                        <w:rPr>
                          <w:sz w:val="24"/>
                        </w:rPr>
                      </w:pPr>
                      <w:r>
                        <w:rPr>
                          <w:rFonts w:hint="eastAsia"/>
                          <w:sz w:val="24"/>
                        </w:rPr>
                        <w:t>决策层</w:t>
                      </w:r>
                    </w:p>
                    <w:p>
                      <w:pPr>
                        <w:jc w:val="center"/>
                        <w:rPr>
                          <w:sz w:val="24"/>
                        </w:rPr>
                      </w:pPr>
                      <w:r>
                        <w:rPr>
                          <w:rFonts w:hint="eastAsia"/>
                          <w:sz w:val="24"/>
                        </w:rPr>
                        <w:t>公司经理</w:t>
                      </w:r>
                    </w:p>
                  </w:txbxContent>
                </v:textbox>
              </v:rect>
            </w:pict>
          </mc:Fallback>
        </mc:AlternateContent>
      </w:r>
    </w:p>
    <w:p>
      <w:pPr>
        <w:spacing w:line="460" w:lineRule="exact"/>
        <w:rPr>
          <w:rFonts w:hint="eastAsia" w:ascii="宋体" w:hAnsi="宋体"/>
          <w:sz w:val="28"/>
          <w:szCs w:val="28"/>
        </w:rPr>
      </w:pPr>
      <w:r>
        <w:rPr>
          <w:rFonts w:ascii="宋体" w:hAnsi="宋体"/>
          <w:sz w:val="28"/>
          <w:szCs w:val="28"/>
        </w:rPr>
        <mc:AlternateContent>
          <mc:Choice Requires="wps">
            <w:drawing>
              <wp:anchor distT="0" distB="0" distL="114300" distR="114300" simplePos="0" relativeHeight="251758592" behindDoc="0" locked="0" layoutInCell="1" allowOverlap="1">
                <wp:simplePos x="0" y="0"/>
                <wp:positionH relativeFrom="column">
                  <wp:posOffset>2730500</wp:posOffset>
                </wp:positionH>
                <wp:positionV relativeFrom="paragraph">
                  <wp:posOffset>123825</wp:posOffset>
                </wp:positionV>
                <wp:extent cx="101600" cy="537210"/>
                <wp:effectExtent l="7620" t="11430" r="17780" b="22860"/>
                <wp:wrapNone/>
                <wp:docPr id="75" name="上下箭头 1"/>
                <wp:cNvGraphicFramePr/>
                <a:graphic xmlns:a="http://schemas.openxmlformats.org/drawingml/2006/main">
                  <a:graphicData uri="http://schemas.microsoft.com/office/word/2010/wordprocessingShape">
                    <wps:wsp>
                      <wps:cNvSpPr/>
                      <wps:spPr>
                        <a:xfrm>
                          <a:off x="0" y="0"/>
                          <a:ext cx="101600" cy="537210"/>
                        </a:xfrm>
                        <a:prstGeom prst="upDownArrow">
                          <a:avLst>
                            <a:gd name="adj1" fmla="val 50000"/>
                            <a:gd name="adj2" fmla="val 105750"/>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1" o:spid="_x0000_s1026" o:spt="70" type="#_x0000_t70" style="position:absolute;left:0pt;margin-left:215pt;margin-top:9.75pt;height:42.3pt;width:8pt;z-index:251758592;mso-width-relative:page;mso-height-relative:page;" fillcolor="#FFFFFF" filled="t" stroked="t" coordsize="21600,21600" o:gfxdata="UEsDBAoAAAAAAIdO4kAAAAAAAAAAAAAAAAAEAAAAZHJzL1BLAwQUAAAACACHTuJAv9xosdcAAAAK&#10;AQAADwAAAGRycy9kb3ducmV2LnhtbE1Py07DMBC8I/UfrK3EjdqBtKIhTgVIXChU9CG4uvGSBOJ1&#10;FLtt+HuWEz3uvHYmXwyuFUfsQ+NJQzJRIJBKbxuqNOy2T1e3IEI0ZE3rCTX8YIBFMbrITWb9idZ4&#10;3MRKcAiFzGioY+wyKUNZozNh4jsk5j5970zks6+k7c2Jw10rr5WaSWca4g+16fCxxvJ7c3BcY2nn&#10;9y/JchXehvf1tPoanl8/HrS+HCfqDkTEIf6L4a8+e6DgTnt/IBtEqyG9UbwlMjGfgmBBms4Y2DOg&#10;0gRkkcvzCcUvUEsDBBQAAAAIAIdO4kDgwOA9KQIAAFYEAAAOAAAAZHJzL2Uyb0RvYy54bWytVM2O&#10;0zAQviPxDpbvNElRdyFqukKUckGw0gL3qe0kRv6T7TbtK8BrcIUTh32gRbwGYzfb7S4XhPDBGdvj&#10;b775xpP5xU4rshU+SGsaWk1KSoRhlkvTNfTD+9WTZ5SECIaDskY0dC8CvVg8fjQfXC2mtreKC08Q&#10;xIR6cA3tY3R1UQTWCw1hYp0weNharyHi0ncF9zAgulbFtCzPisF67rxlIgTcXR4O6SLjt61g8V3b&#10;BhGJaihyi3n2eV6nuVjMoe48uF6ykQb8AwsN0mDQI9QSIpCNl39Aacm8DbaNE2Z1YdtWMpFzwGyq&#10;8kE2Vz04kXNBcYI7yhT+Hyx7u730RPKGns8oMaCxRjfXn2+uv/z6/u3n1x+kShINLtToeeUu/bgK&#10;aKZ8d63X6YuZkF2WdX+UVewiYbhZldVZieIzPJo9PZ9WWfbi7rLzIb4WVpNkNHTjlnYwL7y3Q9YU&#10;tm9CzOLykSHwTxUlrVZYqy0oMitxjLU88Zme+lTl7Hx2G3mERA63sRN+sErylVQqL3y3fqk8QfyG&#10;rvJIEfDKPTdlyNDQ57MpyscAX3CrIKKpHWoaTJczuHcjnAIn4gfqD4ETsSWE/kAgIxwy1DKKVAao&#10;ewH8leEk7h2WzWCD0URGC06JEtiPycqeEaT6G08koUyCFrl3UPeUcir/oeDJWlu+xzeDTY+1EvAR&#10;v5SAYb3FvkJz47zsejzLTydfxseblRsbLXXH6TqHuPsd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9xosdcAAAAKAQAADwAAAAAAAAABACAAAAAiAAAAZHJzL2Rvd25yZXYueG1sUEsBAhQAFAAA&#10;AAgAh07iQODA4D0pAgAAVgQAAA4AAAAAAAAAAQAgAAAAJgEAAGRycy9lMm9Eb2MueG1sUEsFBgAA&#10;AAAGAAYAWQEAAMEFAAAAAA==&#10;" adj="5400,4320">
                <v:fill on="t" focussize="0,0"/>
                <v:stroke color="#000000" joinstyle="miter"/>
                <v:imagedata o:title=""/>
                <o:lock v:ext="edit" aspectratio="f"/>
                <v:textbox style="layout-flow:vertical-ideographic;"/>
              </v:shape>
            </w:pict>
          </mc:Fallback>
        </mc:AlternateContent>
      </w:r>
    </w:p>
    <w:p>
      <w:pPr>
        <w:spacing w:line="460" w:lineRule="exact"/>
        <w:rPr>
          <w:rFonts w:ascii="宋体" w:hAnsi="宋体"/>
          <w:sz w:val="28"/>
          <w:szCs w:val="28"/>
        </w:rPr>
      </w:pPr>
    </w:p>
    <w:p>
      <w:pPr>
        <w:spacing w:line="460" w:lineRule="exact"/>
        <w:rPr>
          <w:rFonts w:ascii="宋体" w:hAnsi="宋体"/>
          <w:sz w:val="28"/>
          <w:szCs w:val="28"/>
        </w:rPr>
      </w:pPr>
      <w:r>
        <w:rPr>
          <w:rFonts w:ascii="宋体" w:hAnsi="宋体"/>
          <w:sz w:val="28"/>
          <w:szCs w:val="28"/>
        </w:rPr>
        <mc:AlternateContent>
          <mc:Choice Requires="wps">
            <w:drawing>
              <wp:anchor distT="0" distB="0" distL="114300" distR="114300" simplePos="0" relativeHeight="251756544" behindDoc="0" locked="0" layoutInCell="1" allowOverlap="1">
                <wp:simplePos x="0" y="0"/>
                <wp:positionH relativeFrom="column">
                  <wp:posOffset>1714500</wp:posOffset>
                </wp:positionH>
                <wp:positionV relativeFrom="paragraph">
                  <wp:posOffset>127635</wp:posOffset>
                </wp:positionV>
                <wp:extent cx="2057400" cy="482600"/>
                <wp:effectExtent l="4445" t="4445" r="8255" b="8255"/>
                <wp:wrapNone/>
                <wp:docPr id="76" name="矩形 4"/>
                <wp:cNvGraphicFramePr/>
                <a:graphic xmlns:a="http://schemas.openxmlformats.org/drawingml/2006/main">
                  <a:graphicData uri="http://schemas.microsoft.com/office/word/2010/wordprocessingShape">
                    <wps:wsp>
                      <wps:cNvSpPr/>
                      <wps:spPr>
                        <a:xfrm>
                          <a:off x="0" y="0"/>
                          <a:ext cx="2057400" cy="482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rPr>
                            </w:pPr>
                            <w:r>
                              <w:rPr>
                                <w:rFonts w:hint="eastAsia"/>
                                <w:sz w:val="24"/>
                              </w:rPr>
                              <w:t xml:space="preserve">指挥层 </w:t>
                            </w:r>
                            <w:r>
                              <w:rPr>
                                <w:rFonts w:hint="eastAsia"/>
                                <w:color w:val="000000"/>
                                <w:sz w:val="24"/>
                              </w:rPr>
                              <w:t xml:space="preserve"> </w:t>
                            </w:r>
                            <w:r>
                              <w:rPr>
                                <w:rFonts w:hint="eastAsia" w:ascii="宋体" w:hAnsi="宋体"/>
                                <w:color w:val="000000"/>
                                <w:sz w:val="28"/>
                                <w:szCs w:val="28"/>
                                <w:lang w:eastAsia="zh-CN"/>
                              </w:rPr>
                              <w:t>QHSE</w:t>
                            </w:r>
                            <w:r>
                              <w:rPr>
                                <w:rFonts w:hint="eastAsia"/>
                                <w:sz w:val="24"/>
                              </w:rPr>
                              <w:t>监督</w:t>
                            </w:r>
                          </w:p>
                        </w:txbxContent>
                      </wps:txbx>
                      <wps:bodyPr vert="horz" anchor="t" upright="1"/>
                    </wps:wsp>
                  </a:graphicData>
                </a:graphic>
              </wp:anchor>
            </w:drawing>
          </mc:Choice>
          <mc:Fallback>
            <w:pict>
              <v:rect id="矩形 4" o:spid="_x0000_s1026" o:spt="1" style="position:absolute;left:0pt;margin-left:135pt;margin-top:10.05pt;height:38pt;width:162pt;z-index:251756544;mso-width-relative:page;mso-height-relative:page;" fillcolor="#FFFFFF" filled="t" stroked="t" coordsize="21600,21600" o:gfxdata="UEsDBAoAAAAAAIdO4kAAAAAAAAAAAAAAAAAEAAAAZHJzL1BLAwQUAAAACACHTuJAn5LNstcAAAAJ&#10;AQAADwAAAGRycy9kb3ducmV2LnhtbE2PMU/DMBCFdyT+g3VIbNROgEJCnA6gIjG26cJ2iU0SiM9R&#10;7LSBX88xle3u3tO77xWbxQ3iaKfQe9KQrBQIS403PbUaDtX25hFEiEgGB09Ww7cNsCkvLwrMjT/R&#10;zh73sRUcQiFHDV2MYy5laDrrMKz8aIm1Dz85jLxOrTQTnjjcDTJVai0d9sQfOhztc2ebr/3sNNR9&#10;esCfXfWqXLa9jW9L9Tm/v2h9fZWoJxDRLvFshj98RoeSmWo/kwli0JA+KO4SeVAJCDbcZ3d8qDVk&#10;6wRkWcj/DcpfUEsDBBQAAAAIAIdO4kBtrOZo+gEAAAEEAAAOAAAAZHJzL2Uyb0RvYy54bWytU82O&#10;0zAQviPxDpbvNGnUdpeo6R4o5YJgpYUHmNpOYsl/sr1NyssgceMheBzEazB2Q+mye0CIHJxvPOPP&#10;M9941jejVuQgfJDWNHQ+KykRhlkuTdfQjx92L64pCREMB2WNaOhRBHqzef5sPbhaVLa3igtPkMSE&#10;enAN7WN0dVEE1gsNYWadMOhsrdcQ0fRdwT0MyK5VUZXlqhis585bJkLA3e3JSTeZv20Fi+/bNohI&#10;VEMxt5hXn9d9WovNGurOg+slm9KAf8hCgzR46ZlqCxHIvZePqLRk3gbbxhmzurBtK5nINWA18/KP&#10;au56cCLXguIEd5Yp/D9a9u5w64nkDb1aUWJAY49+fP76/dsXskjiDC7UGHPnbv1kBYSp0rH1Ov2x&#10;BjJmQY9nQcUYCcPNqlxeLUrUnaFvcV2tECNN8fu08yG+EVaTBBrqsWFZRzi8DfEU+iskXRasknwn&#10;lcqG7/avlCcHwObu8jexPwhThgwNfbmslpgH4BtrFUSE2mHVwXT5vgcnwiVxmb+niFNiWwj9KYHM&#10;kMKg1jIKn1EvgL82nMSjQ2ENjgBNyWjBKVECJyahHBlBqr+JRO2USZeI/LonlVKbTo1JKI77EUkT&#10;3Ft+xAbjhKK6vfWfKAHDEDQUNbh3XnY9eua5vnQA31lu0DQT6SFf2ogvJ3f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zbLXAAAACQEAAA8AAAAAAAAAAQAgAAAAIgAAAGRycy9kb3ducmV2Lnht&#10;bFBLAQIUABQAAAAIAIdO4kBtrOZo+gEAAAEEAAAOAAAAAAAAAAEAIAAAACYBAABkcnMvZTJvRG9j&#10;LnhtbFBLBQYAAAAABgAGAFkBAACSBQAAAAA=&#10;">
                <v:fill on="t" focussize="0,0"/>
                <v:stroke color="#000000" joinstyle="miter"/>
                <v:imagedata o:title=""/>
                <o:lock v:ext="edit" aspectratio="f"/>
                <v:textbox>
                  <w:txbxContent>
                    <w:p>
                      <w:pPr>
                        <w:jc w:val="center"/>
                        <w:rPr>
                          <w:rFonts w:hint="eastAsia"/>
                          <w:sz w:val="24"/>
                        </w:rPr>
                      </w:pPr>
                      <w:r>
                        <w:rPr>
                          <w:rFonts w:hint="eastAsia"/>
                          <w:sz w:val="24"/>
                        </w:rPr>
                        <w:t xml:space="preserve">指挥层 </w:t>
                      </w:r>
                      <w:r>
                        <w:rPr>
                          <w:rFonts w:hint="eastAsia"/>
                          <w:color w:val="000000"/>
                          <w:sz w:val="24"/>
                        </w:rPr>
                        <w:t xml:space="preserve"> </w:t>
                      </w:r>
                      <w:r>
                        <w:rPr>
                          <w:rFonts w:hint="eastAsia" w:ascii="宋体" w:hAnsi="宋体"/>
                          <w:color w:val="000000"/>
                          <w:sz w:val="28"/>
                          <w:szCs w:val="28"/>
                          <w:lang w:eastAsia="zh-CN"/>
                        </w:rPr>
                        <w:t>QHSE</w:t>
                      </w:r>
                      <w:r>
                        <w:rPr>
                          <w:rFonts w:hint="eastAsia"/>
                          <w:sz w:val="24"/>
                        </w:rPr>
                        <w:t>监督</w:t>
                      </w:r>
                    </w:p>
                  </w:txbxContent>
                </v:textbox>
              </v:rect>
            </w:pict>
          </mc:Fallback>
        </mc:AlternateContent>
      </w:r>
    </w:p>
    <w:p>
      <w:pPr>
        <w:spacing w:line="460" w:lineRule="exact"/>
        <w:rPr>
          <w:rFonts w:ascii="宋体" w:hAnsi="宋体"/>
          <w:sz w:val="28"/>
          <w:szCs w:val="28"/>
        </w:rPr>
      </w:pPr>
    </w:p>
    <w:p>
      <w:pPr>
        <w:spacing w:line="460" w:lineRule="exact"/>
        <w:rPr>
          <w:rFonts w:hint="eastAsia" w:ascii="宋体" w:hAnsi="宋体"/>
          <w:sz w:val="28"/>
          <w:szCs w:val="28"/>
        </w:rPr>
      </w:pPr>
      <w:r>
        <w:rPr>
          <w:rFonts w:ascii="宋体" w:hAnsi="宋体"/>
          <w:sz w:val="28"/>
          <w:szCs w:val="28"/>
        </w:rPr>
        <mc:AlternateContent>
          <mc:Choice Requires="wps">
            <w:drawing>
              <wp:anchor distT="0" distB="0" distL="114300" distR="114300" simplePos="0" relativeHeight="251763712" behindDoc="0" locked="0" layoutInCell="1" allowOverlap="1">
                <wp:simplePos x="0" y="0"/>
                <wp:positionH relativeFrom="column">
                  <wp:posOffset>2695575</wp:posOffset>
                </wp:positionH>
                <wp:positionV relativeFrom="paragraph">
                  <wp:posOffset>68580</wp:posOffset>
                </wp:positionV>
                <wp:extent cx="101600" cy="537210"/>
                <wp:effectExtent l="7620" t="11430" r="17780" b="22860"/>
                <wp:wrapNone/>
                <wp:docPr id="77" name="上下箭头 5"/>
                <wp:cNvGraphicFramePr/>
                <a:graphic xmlns:a="http://schemas.openxmlformats.org/drawingml/2006/main">
                  <a:graphicData uri="http://schemas.microsoft.com/office/word/2010/wordprocessingShape">
                    <wps:wsp>
                      <wps:cNvSpPr/>
                      <wps:spPr>
                        <a:xfrm>
                          <a:off x="0" y="0"/>
                          <a:ext cx="101600" cy="537210"/>
                        </a:xfrm>
                        <a:prstGeom prst="upDownArrow">
                          <a:avLst>
                            <a:gd name="adj1" fmla="val 50000"/>
                            <a:gd name="adj2" fmla="val 105750"/>
                          </a:avLst>
                        </a:prstGeom>
                        <a:solidFill>
                          <a:srgbClr val="FFFFFF"/>
                        </a:solidFill>
                        <a:ln w="9525" cap="flat" cmpd="sng">
                          <a:solidFill>
                            <a:srgbClr val="000000"/>
                          </a:solidFill>
                          <a:prstDash val="solid"/>
                          <a:miter/>
                          <a:headEnd type="none" w="med" len="med"/>
                          <a:tailEnd type="none" w="med" len="med"/>
                        </a:ln>
                        <a:effectLst/>
                      </wps:spPr>
                      <wps:bodyPr vert="eaVert" anchor="t" upright="1"/>
                    </wps:wsp>
                  </a:graphicData>
                </a:graphic>
              </wp:anchor>
            </w:drawing>
          </mc:Choice>
          <mc:Fallback>
            <w:pict>
              <v:shape id="上下箭头 5" o:spid="_x0000_s1026" o:spt="70" type="#_x0000_t70" style="position:absolute;left:0pt;margin-left:212.25pt;margin-top:5.4pt;height:42.3pt;width:8pt;z-index:251763712;mso-width-relative:page;mso-height-relative:page;" fillcolor="#FFFFFF" filled="t" stroked="t" coordsize="21600,21600" o:gfxdata="UEsDBAoAAAAAAIdO4kAAAAAAAAAAAAAAAAAEAAAAZHJzL1BLAwQUAAAACACHTuJA6RGH/9gAAAAJ&#10;AQAADwAAAGRycy9kb3ducmV2LnhtbE2PQU/DMAyF70j8h8hI3FjSKUWsNJ0AiQuDiQ0E16wxbaFx&#10;qibbyr/HnOBov+fn75XLyffigGPsAhnIZgoEUh1cR42B15f7iysQMVlytg+EBr4xwrI6PSlt4cKR&#10;NnjYpkZwCMXCGmhTGgopY92it3EWBiTWPsLobeJxbKQb7ZHDfS/nSl1KbzviD60d8K7F+mu794yx&#10;coubx2y1js/T2yZvPqeHp/dbY87PMnUNIuGU/szwi883UDHTLuzJRdEb0HOds5UFxRXYoLXixc7A&#10;Itcgq1L+b1D9AFBLAwQUAAAACACHTuJAk6eQoikCAABWBAAADgAAAGRycy9lMm9Eb2MueG1srVTN&#10;jtMwEL4j8Q6W72ySomwharpClHJBsNIC96ntNEb+k+027SvAa3CFE4d9oEW8BmM32+0uF4TIwRnH&#10;48/f940ns4udVmQrfJDWtLQ6KykRhlkuzbqlH94vnzyjJEQwHJQ1oqV7EejF/PGj2eAaMbG9VVx4&#10;giAmNINraR+ja4oisF5oCGfWCYOLnfUaIk79uuAeBkTXqpiU5XkxWM+dt0yEgF8Xh0U6z/hdJ1h8&#10;13VBRKJaitxiHn0eV2ks5jNo1h5cL9lIA/6BhQZp8NAj1AIikI2Xf0BpybwNtotnzOrCdp1kImtA&#10;NVX5QM1VD05kLWhOcEebwv+DZW+3l55I3tLplBIDGmt0c/355vrLr+/ffn79Qepk0eBCg5lX7tKP&#10;s4Bh0rvrvE5vVEJ22db90Vaxi4Thx6qszks0n+FS/XQ6qbLtxd1m50N8LawmKWjpxi3sYF54b4fs&#10;KWzfhJjN5SND4J8qSjqtsFZbUKQu8RlreZIzOc2pynpa3548QiKH27MTfrBK8qVUKk/8evVSeYL4&#10;LV3mJ52AW+6lKUOGlj6vJzUKBLzBnYKIoXboaTDrrODejnAKnIgfqD8ETsQWEPoDgYxwUKhlFKkM&#10;0PQC+CvDSdw7LJvBBqOJjBacEiWwH1OUMyNI9TeZSEKZBC1y76DvSXIq/6HgKVpZvsc7g02PtRLw&#10;Ed+UgGG9xb7CcOO8XPe4VmW/0ha8vNm5sdFSd5zO8xF3v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kRh//YAAAACQEAAA8AAAAAAAAAAQAgAAAAIgAAAGRycy9kb3ducmV2LnhtbFBLAQIUABQA&#10;AAAIAIdO4kCTp5CiKQIAAFYEAAAOAAAAAAAAAAEAIAAAACcBAABkcnMvZTJvRG9jLnhtbFBLBQYA&#10;AAAABgAGAFkBAADCBQAAAAA=&#10;" adj="5400,4320">
                <v:fill on="t" focussize="0,0"/>
                <v:stroke color="#000000" joinstyle="miter"/>
                <v:imagedata o:title=""/>
                <o:lock v:ext="edit" aspectratio="f"/>
                <v:textbox style="layout-flow:vertical-ideographic;"/>
              </v:shape>
            </w:pict>
          </mc:Fallback>
        </mc:AlternateContent>
      </w:r>
    </w:p>
    <w:p>
      <w:pPr>
        <w:spacing w:line="460" w:lineRule="exact"/>
        <w:rPr>
          <w:rFonts w:hint="eastAsia" w:ascii="宋体" w:hAnsi="宋体"/>
          <w:sz w:val="28"/>
          <w:szCs w:val="28"/>
        </w:rPr>
      </w:pPr>
    </w:p>
    <w:p>
      <w:pPr>
        <w:spacing w:line="460" w:lineRule="exact"/>
        <w:rPr>
          <w:rFonts w:ascii="宋体" w:hAnsi="宋体"/>
          <w:sz w:val="28"/>
          <w:szCs w:val="28"/>
        </w:rPr>
      </w:pPr>
      <w:r>
        <w:rPr>
          <w:rFonts w:ascii="宋体" w:hAnsi="宋体"/>
          <w:sz w:val="28"/>
          <w:szCs w:val="28"/>
        </w:rPr>
        <mc:AlternateContent>
          <mc:Choice Requires="wps">
            <w:drawing>
              <wp:anchor distT="0" distB="0" distL="114300" distR="114300" simplePos="0" relativeHeight="251757568" behindDoc="0" locked="0" layoutInCell="1" allowOverlap="1">
                <wp:simplePos x="0" y="0"/>
                <wp:positionH relativeFrom="column">
                  <wp:posOffset>1155700</wp:posOffset>
                </wp:positionH>
                <wp:positionV relativeFrom="paragraph">
                  <wp:posOffset>18415</wp:posOffset>
                </wp:positionV>
                <wp:extent cx="3168650" cy="328295"/>
                <wp:effectExtent l="4445" t="4445" r="14605" b="10160"/>
                <wp:wrapNone/>
                <wp:docPr id="78" name="矩形 2"/>
                <wp:cNvGraphicFramePr/>
                <a:graphic xmlns:a="http://schemas.openxmlformats.org/drawingml/2006/main">
                  <a:graphicData uri="http://schemas.microsoft.com/office/word/2010/wordprocessingShape">
                    <wps:wsp>
                      <wps:cNvSpPr/>
                      <wps:spPr>
                        <a:xfrm>
                          <a:off x="0" y="0"/>
                          <a:ext cx="3168650" cy="328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sz w:val="24"/>
                              </w:rPr>
                              <w:t>执行层 公司各单位、部室、班组、 岗位员工</w:t>
                            </w:r>
                          </w:p>
                        </w:txbxContent>
                      </wps:txbx>
                      <wps:bodyPr vert="horz" anchor="t" upright="1"/>
                    </wps:wsp>
                  </a:graphicData>
                </a:graphic>
              </wp:anchor>
            </w:drawing>
          </mc:Choice>
          <mc:Fallback>
            <w:pict>
              <v:rect id="矩形 2" o:spid="_x0000_s1026" o:spt="1" style="position:absolute;left:0pt;margin-left:91pt;margin-top:1.45pt;height:25.85pt;width:249.5pt;z-index:251757568;mso-width-relative:page;mso-height-relative:page;" fillcolor="#FFFFFF" filled="t" stroked="t" coordsize="21600,21600" o:gfxdata="UEsDBAoAAAAAAIdO4kAAAAAAAAAAAAAAAAAEAAAAZHJzL1BLAwQUAAAACACHTuJAqjS3xdYAAAAI&#10;AQAADwAAAGRycy9kb3ducmV2LnhtbE2PQU+DQBCF7yb+h82YeLO7oBKKLD1oauKxpZfeBpgCyu4S&#10;dmnRX+94sscvb/Lme/lmMYM40+R7ZzVEKwWCbO2a3rYaDuX2IQXhA9oGB2dJwzd52BS3NzlmjbvY&#10;HZ33oRVcYn2GGroQxkxKX3dk0K/cSJazk5sMBsaplc2EFy43g4yVSqTB3vKHDkd67aj+2s9GQ9XH&#10;B/zZle/KrLeP4WMpP+fjm9b3d5F6ARFoCf/H8KfP6lCwU+Vm23gxMKcxbwka4jUIzpM0Yq40PD8l&#10;IItcXg8ofgFQSwMEFAAAAAgAh07iQGjQDST7AQAAAQQAAA4AAABkcnMvZTJvRG9jLnhtbK1TzY7T&#10;MBC+I/EOlu80aVYt3ajpHijlgmClhQeY2k5iyX+yvU3KyyBx4yF4HMRrMHZD6e5yQIgcnG88488z&#10;33jWN6NW5CB8kNY0dD4rKRGGWS5N19CPH3YvVpSECIaDskY09CgCvdk8f7YeXC0q21vFhSdIYkI9&#10;uIb2Mbq6KALrhYYws04YdLbWa4ho+q7gHgZk16qoynJZDNZz5y0TIeDu9uSkm8zftoLF920bRCSq&#10;oZhbzKvP6z6txWYNdefB9ZJNacA/ZKFBGrz0TLWFCOTeyydUWjJvg23jjFld2LaVTOQasJp5+aia&#10;ux6cyLWgOMGdZQr/j5a9O9x6InlDX2KnDGjs0Y/PX79/+0KqJM7gQo0xd+7WT1ZAmCodW6/TH2sg&#10;Yxb0eBZUjJEw3LyaL1fLBerO0HdVrarrRSItfp92PsQ3wmqSQEM9NizrCIe3IZ5Cf4Wky4JVku+k&#10;Utnw3f6V8uQA2Nxd/ib2B2HKkKGh14tqgXkAvrFWQUSoHVYdTJfve3AiXBKX+fsTcUpsC6E/JZAZ&#10;UhjUWkbhM+oF8NeGk3h0KKzBEaApGS04JUrgxCSUIyNI9TeRqJ0y6RKRX/ekUmrTqTEJxXE/ImmC&#10;e8uP2GCcUFS3t/4TJWAYgoaiBvfOy65HzzzXlw7gO8sNmmYiPeRLG/Hl5G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0t8XWAAAACAEAAA8AAAAAAAAAAQAgAAAAIgAAAGRycy9kb3ducmV2Lnht&#10;bFBLAQIUABQAAAAIAIdO4kBo0A0k+wEAAAEEAAAOAAAAAAAAAAEAIAAAACUBAABkcnMvZTJvRG9j&#10;LnhtbFBLBQYAAAAABgAGAFkBAACSBQAAAAA=&#10;">
                <v:fill on="t" focussize="0,0"/>
                <v:stroke color="#000000" joinstyle="miter"/>
                <v:imagedata o:title=""/>
                <o:lock v:ext="edit" aspectratio="f"/>
                <v:textbox>
                  <w:txbxContent>
                    <w:p>
                      <w:pPr>
                        <w:rPr>
                          <w:rFonts w:hint="eastAsia"/>
                        </w:rPr>
                      </w:pPr>
                      <w:r>
                        <w:rPr>
                          <w:rFonts w:hint="eastAsia"/>
                          <w:sz w:val="24"/>
                        </w:rPr>
                        <w:t>执行层 公司各单位、部室、班组、 岗位员工</w:t>
                      </w:r>
                    </w:p>
                  </w:txbxContent>
                </v:textbox>
              </v:rect>
            </w:pict>
          </mc:Fallback>
        </mc:AlternateContent>
      </w:r>
    </w:p>
    <w:p>
      <w:pPr>
        <w:spacing w:line="460" w:lineRule="exact"/>
        <w:rPr>
          <w:rFonts w:hint="eastAsia" w:ascii="宋体" w:hAnsi="宋体"/>
          <w:sz w:val="28"/>
          <w:szCs w:val="28"/>
        </w:rPr>
      </w:pPr>
    </w:p>
    <w:p>
      <w:pPr>
        <w:pStyle w:val="19"/>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szCs w:val="28"/>
        </w:rPr>
      </w:pPr>
      <w:r>
        <w:rPr>
          <w:rFonts w:hint="eastAsia" w:ascii="方正仿宋简体" w:hAnsi="方正仿宋简体" w:eastAsia="方正仿宋简体" w:cs="方正仿宋简体"/>
          <w:b/>
          <w:szCs w:val="28"/>
        </w:rPr>
        <w:t>第五条</w:t>
      </w:r>
      <w:r>
        <w:rPr>
          <w:rFonts w:hint="eastAsia" w:ascii="方正仿宋简体" w:hAnsi="方正仿宋简体" w:eastAsia="方正仿宋简体" w:cs="方正仿宋简体"/>
          <w:b/>
          <w:szCs w:val="28"/>
          <w:lang w:val="en-US" w:eastAsia="zh-CN"/>
        </w:rPr>
        <w:t xml:space="preserve">  </w:t>
      </w:r>
      <w:r>
        <w:rPr>
          <w:rFonts w:hint="eastAsia" w:ascii="方正仿宋简体" w:hAnsi="方正仿宋简体" w:eastAsia="方正仿宋简体" w:cs="方正仿宋简体"/>
          <w:b w:val="0"/>
          <w:bCs/>
          <w:szCs w:val="28"/>
        </w:rPr>
        <w:t>公司</w:t>
      </w:r>
      <w:r>
        <w:rPr>
          <w:rFonts w:hint="eastAsia" w:ascii="方正仿宋简体" w:hAnsi="方正仿宋简体" w:eastAsia="方正仿宋简体" w:cs="方正仿宋简体"/>
          <w:b w:val="0"/>
          <w:bCs/>
          <w:szCs w:val="28"/>
          <w:lang w:eastAsia="zh-CN"/>
        </w:rPr>
        <w:t>QHSE</w:t>
      </w:r>
      <w:r>
        <w:rPr>
          <w:rFonts w:hint="eastAsia" w:ascii="方正仿宋简体" w:hAnsi="方正仿宋简体" w:eastAsia="方正仿宋简体" w:cs="方正仿宋简体"/>
          <w:b w:val="0"/>
          <w:bCs/>
          <w:szCs w:val="28"/>
        </w:rPr>
        <w:t>管理领导小组</w:t>
      </w:r>
      <w:r>
        <w:rPr>
          <w:rFonts w:hint="eastAsia" w:ascii="方正仿宋简体" w:hAnsi="方正仿宋简体" w:eastAsia="方正仿宋简体" w:cs="方正仿宋简体"/>
          <w:b w:val="0"/>
          <w:bCs/>
          <w:szCs w:val="28"/>
          <w:lang w:eastAsia="zh-CN"/>
        </w:rPr>
        <w:t>QHSE</w:t>
      </w:r>
      <w:r>
        <w:rPr>
          <w:rFonts w:hint="eastAsia" w:ascii="方正仿宋简体" w:hAnsi="方正仿宋简体" w:eastAsia="方正仿宋简体" w:cs="方正仿宋简体"/>
          <w:b w:val="0"/>
          <w:bCs/>
          <w:szCs w:val="28"/>
        </w:rPr>
        <w:t>职责</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cs="宋体"/>
          <w:color w:val="auto"/>
          <w:kern w:val="0"/>
          <w:sz w:val="28"/>
          <w:szCs w:val="28"/>
        </w:rPr>
      </w:pPr>
      <w:r>
        <w:rPr>
          <w:rFonts w:hint="eastAsia" w:ascii="方正仿宋简体" w:hAnsi="宋体" w:eastAsia="方正仿宋简体" w:cs="宋体"/>
          <w:color w:val="auto"/>
          <w:kern w:val="0"/>
          <w:sz w:val="28"/>
          <w:szCs w:val="28"/>
        </w:rPr>
        <w:t>1.组织贯彻落实国家、集团公司和公司劳动保护、安全环保、质量健康法律法规、标准、规章制度和要求。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hAnsi="宋体" w:eastAsia="方正仿宋简体" w:cs="宋体"/>
          <w:color w:val="auto"/>
          <w:kern w:val="0"/>
          <w:sz w:val="28"/>
          <w:szCs w:val="28"/>
        </w:rPr>
        <w:t>2.组织建立健全公司质量安全环保节能责任制，加强对质量安全环保节能责任制落实情况的监督考核，保证其落实</w:t>
      </w:r>
      <w:r>
        <w:rPr>
          <w:rFonts w:hint="eastAsia" w:ascii="方正仿宋简体" w:eastAsia="方正仿宋简体"/>
          <w:color w:val="auto"/>
          <w:sz w:val="28"/>
          <w:szCs w:val="28"/>
        </w:rPr>
        <w:t>情况。</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3.审查批准公司的</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管理体系文件、管理标准、技术标准等</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文件，并督促执行。</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4.审定公司年度</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工作计划，定期组织开展本单位安全生产检查，督促整改和消除重大事故隐患；组织制定、审定安全措施经费计划，提供资源保障，保证安全投入的有效实施。</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5.落实上级</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管理体系推进工作情况，持续改进公司</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管理工作。</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6.组织召开公司</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领导小组会议，决定质量安全环保生产重要事宜，建立健全质量安全环保生产专兼职监督队伍；及时对相关安全生产、职业健康、清洁生产、节能减排的重大事项做出决策。</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7.组织制定并实施本单位应急救援预案，督促所属单位定期组织演练，定期检查应急救援预案的落实情况。</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8.组织审查公司范围各专业上报的质量安全环保隐患，并对隐患的治理情况进行跟踪。</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9.组织建立公司安全环保节能激励约束机制，对安全环保表现突出的集体和个人进行表彰。</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10.督促本单位有关部门按规定及时、如实报告各类事故，组织并参与事故现场抢救及调查处理，对事故单位和相关责任人进行处理。</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11.组织实施本单位安全教育与培训计划。</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12.负责组织对公司的安全投入进行审查审批，保障公司的安全生产投入的有效实施。</w:t>
      </w:r>
    </w:p>
    <w:p>
      <w:pPr>
        <w:spacing w:line="560" w:lineRule="exact"/>
        <w:jc w:val="center"/>
        <w:rPr>
          <w:rFonts w:hint="eastAsia" w:ascii="方正仿宋简体" w:hAnsi="方正仿宋简体" w:eastAsia="方正仿宋简体" w:cs="方正仿宋简体"/>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rPr>
      </w:pPr>
      <w:r>
        <w:rPr>
          <w:rFonts w:hint="eastAsia" w:ascii="方正黑体简体" w:hAnsi="方正黑体简体" w:eastAsia="方正黑体简体" w:cs="方正黑体简体"/>
          <w:b w:val="0"/>
          <w:bCs/>
          <w:color w:val="auto"/>
          <w:sz w:val="30"/>
          <w:szCs w:val="30"/>
          <w:lang w:eastAsia="zh-CN"/>
        </w:rPr>
        <w:t>第三章</w:t>
      </w:r>
      <w:r>
        <w:rPr>
          <w:rFonts w:hint="eastAsia" w:ascii="方正黑体简体" w:hAnsi="方正黑体简体" w:eastAsia="方正黑体简体" w:cs="方正黑体简体"/>
          <w:b w:val="0"/>
          <w:bCs/>
          <w:color w:val="auto"/>
          <w:sz w:val="30"/>
          <w:szCs w:val="30"/>
          <w:lang w:val="en-US" w:eastAsia="zh-CN"/>
        </w:rPr>
        <w:t xml:space="preserve">  </w:t>
      </w:r>
      <w:r>
        <w:rPr>
          <w:rFonts w:hint="eastAsia" w:ascii="方正黑体简体" w:hAnsi="方正黑体简体" w:eastAsia="方正黑体简体" w:cs="方正黑体简体"/>
          <w:b w:val="0"/>
          <w:bCs/>
          <w:color w:val="auto"/>
          <w:sz w:val="30"/>
          <w:szCs w:val="30"/>
          <w:lang w:eastAsia="zh-CN"/>
        </w:rPr>
        <w:t>公司领导、</w:t>
      </w:r>
      <w:r>
        <w:rPr>
          <w:rFonts w:hint="eastAsia" w:ascii="方正黑体简体" w:hAnsi="方正黑体简体" w:eastAsia="方正黑体简体" w:cs="方正黑体简体"/>
          <w:b w:val="0"/>
          <w:bCs/>
          <w:color w:val="auto"/>
          <w:sz w:val="30"/>
          <w:szCs w:val="30"/>
        </w:rPr>
        <w:t>机关部门、基层单位及</w:t>
      </w:r>
      <w:r>
        <w:rPr>
          <w:rFonts w:hint="eastAsia" w:ascii="方正黑体简体" w:hAnsi="方正黑体简体" w:eastAsia="方正黑体简体" w:cs="方正黑体简体"/>
          <w:b w:val="0"/>
          <w:bCs/>
          <w:color w:val="auto"/>
          <w:sz w:val="30"/>
          <w:szCs w:val="30"/>
          <w:lang w:eastAsia="zh-CN"/>
        </w:rPr>
        <w:t>岗位员工QHSE</w:t>
      </w:r>
      <w:r>
        <w:rPr>
          <w:rFonts w:hint="eastAsia" w:ascii="方正黑体简体" w:hAnsi="方正黑体简体" w:eastAsia="方正黑体简体" w:cs="方正黑体简体"/>
          <w:b w:val="0"/>
          <w:bCs/>
          <w:color w:val="auto"/>
          <w:sz w:val="30"/>
          <w:szCs w:val="30"/>
        </w:rPr>
        <w:t>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bCs w:val="0"/>
          <w:color w:val="auto"/>
          <w:kern w:val="2"/>
          <w:sz w:val="28"/>
          <w:szCs w:val="28"/>
          <w:lang w:val="en-US" w:eastAsia="zh-CN" w:bidi="ar-SA"/>
        </w:rPr>
        <w:t>第六条</w:t>
      </w:r>
      <w:r>
        <w:rPr>
          <w:rFonts w:hint="eastAsia" w:ascii="方正仿宋简体" w:hAnsi="方正仿宋简体" w:eastAsia="方正仿宋简体" w:cs="方正仿宋简体"/>
          <w:b w:val="0"/>
          <w:bCs/>
          <w:color w:val="auto"/>
          <w:kern w:val="2"/>
          <w:sz w:val="28"/>
          <w:szCs w:val="28"/>
          <w:lang w:val="en-US" w:eastAsia="zh-CN" w:bidi="ar-SA"/>
        </w:rPr>
        <w:t xml:space="preserve">  公司经理QHSE职责</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贯彻执行安全生产方针、国家政策、法律、法规、标准、规程及上级各项安全生产要求，确定公司安全生产年度或远期工作目标，并组织实施。合理配置资源，完成安全工作和生产经营的各项考核指标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rPr>
        <w:t>（二）组织建立、健全公司安全生产责任制，并定期检查和考核落实情况，组织制定和审查公司安全生产管理规章制度、操作规程</w:t>
      </w:r>
      <w:r>
        <w:rPr>
          <w:rFonts w:hint="eastAsia" w:ascii="方正仿宋简体" w:eastAsia="方正仿宋简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（三）负责建立健全安全管理机构，并为安全管理体系的有效运行提供资源保障。定期主持召开HSE管理领导小组例会，研究、部署公司安全生产工作，及时组织解决安全生产中的重大问题。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（四）负责督促、检查公司的安全生产工作，及时消除生产安全事故隐患。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rPr>
        <w:t>（五）负责落实安全技术措施经费和安全奖励基金，保证安全生产投入</w:t>
      </w:r>
      <w:r>
        <w:rPr>
          <w:rFonts w:hint="eastAsia" w:ascii="方正仿宋简体" w:eastAsia="方正仿宋简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（六）组织制定并实施本单位的生产安全事故应急救援预案。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（七）负责及时、如实报告安全环保事故。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color w:val="auto"/>
          <w:kern w:val="2"/>
          <w:sz w:val="28"/>
          <w:szCs w:val="28"/>
          <w:lang w:val="en-US" w:eastAsia="zh-CN" w:bidi="ar-SA"/>
        </w:rPr>
        <w:t xml:space="preserve">第七条  </w:t>
      </w:r>
      <w:r>
        <w:rPr>
          <w:rFonts w:hint="eastAsia" w:ascii="方正仿宋简体" w:hAnsi="方正仿宋简体" w:eastAsia="方正仿宋简体" w:cs="方正仿宋简体"/>
          <w:b w:val="0"/>
          <w:bCs/>
          <w:color w:val="auto"/>
          <w:kern w:val="2"/>
          <w:sz w:val="28"/>
          <w:szCs w:val="28"/>
          <w:lang w:val="en-US" w:eastAsia="zh-CN" w:bidi="ar-SA"/>
        </w:rPr>
        <w:t>公司党委书记QHSE职责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b w:val="0"/>
          <w:bCs/>
          <w:color w:val="auto"/>
          <w:sz w:val="28"/>
          <w:szCs w:val="28"/>
          <w:lang w:eastAsia="zh-CN"/>
        </w:rPr>
        <w:t>（一）宣传贯彻党和国家的安全生</w:t>
      </w:r>
      <w:r>
        <w:rPr>
          <w:rFonts w:hint="eastAsia" w:ascii="方正仿宋简体" w:eastAsia="方正仿宋简体"/>
          <w:color w:val="auto"/>
          <w:sz w:val="28"/>
          <w:szCs w:val="28"/>
          <w:lang w:eastAsia="zh-CN"/>
        </w:rPr>
        <w:t>产方针、政策。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lang w:eastAsia="zh-CN"/>
        </w:rPr>
        <w:t>（二）</w:t>
      </w:r>
      <w:r>
        <w:rPr>
          <w:rFonts w:hint="eastAsia" w:ascii="方正仿宋简体" w:eastAsia="方正仿宋简体"/>
          <w:color w:val="auto"/>
          <w:sz w:val="28"/>
          <w:szCs w:val="28"/>
        </w:rPr>
        <w:t>自觉执行国家安全生产法律法规，协助经理搞好安全生产方针、政策、法律、法规、制度等的宣传教育，提高干部员工的安全意识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（三）</w:t>
      </w:r>
      <w:r>
        <w:rPr>
          <w:rFonts w:hint="eastAsia" w:ascii="方正仿宋简体" w:hAnsi="ˎ̥" w:eastAsia="方正仿宋简体"/>
          <w:color w:val="auto"/>
          <w:sz w:val="32"/>
          <w:szCs w:val="32"/>
        </w:rPr>
        <w:t>组织制定本单位安全生产规章制度和操作规程。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（四）督促、检查本单位的安全生产工作，及时消除生产安全事故隐患。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（五）组织制定并实施本单位的生产安全事故应急预案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（六）发挥公司党组织在企业安全生产中的保证监督作用，发动群众民主管理安全生产，切实保护员工生命安全。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（七）对公司基层和部门负责人履行安全职责情况进行检查考核、责任追究。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方正仿宋简体" w:eastAsia="方正仿宋简体"/>
          <w:color w:val="auto"/>
          <w:sz w:val="28"/>
          <w:szCs w:val="28"/>
          <w:lang w:val="en-US" w:eastAsia="zh-CN"/>
        </w:rPr>
      </w:pPr>
      <w:r>
        <w:rPr>
          <w:rFonts w:hint="eastAsia" w:ascii="方正仿宋简体" w:eastAsia="方正仿宋简体"/>
          <w:color w:val="auto"/>
          <w:sz w:val="28"/>
          <w:szCs w:val="28"/>
          <w:lang w:eastAsia="zh-CN"/>
        </w:rPr>
        <w:t>（八）对公司健康、安全与环境项目的实施、及新、改、扩建项目“三同时”制度的执行、员工劳动保护等工作实行有效监督，改善员工劳动条件和工作环境。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eastAsia="方正仿宋简体"/>
          <w:color w:val="auto"/>
          <w:sz w:val="28"/>
          <w:szCs w:val="28"/>
          <w:lang w:eastAsia="zh-CN"/>
        </w:rPr>
      </w:pPr>
      <w:r>
        <w:rPr>
          <w:rFonts w:hint="eastAsia" w:ascii="方正仿宋简体" w:eastAsia="方正仿宋简体"/>
          <w:color w:val="auto"/>
          <w:sz w:val="28"/>
          <w:szCs w:val="28"/>
          <w:lang w:eastAsia="zh-CN"/>
        </w:rPr>
        <w:t>（九）主持工会、团委开展安全生产劳动竞赛、评比活动。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b/>
          <w:color w:val="auto"/>
          <w:kern w:val="2"/>
          <w:sz w:val="28"/>
          <w:szCs w:val="28"/>
          <w:lang w:val="en-US" w:eastAsia="zh-CN" w:bidi="ar-SA"/>
        </w:rPr>
      </w:pPr>
      <w:r>
        <w:rPr>
          <w:rFonts w:hint="eastAsia" w:ascii="方正仿宋简体" w:hAnsi="方正仿宋简体" w:eastAsia="方正仿宋简体" w:cs="方正仿宋简体"/>
          <w:b/>
          <w:color w:val="auto"/>
          <w:kern w:val="2"/>
          <w:sz w:val="28"/>
          <w:szCs w:val="28"/>
          <w:lang w:val="en-US" w:eastAsia="zh-CN" w:bidi="ar-SA"/>
        </w:rPr>
        <w:t xml:space="preserve">第八条  </w:t>
      </w:r>
      <w:r>
        <w:rPr>
          <w:rFonts w:hint="eastAsia" w:ascii="方正仿宋简体" w:hAnsi="方正仿宋简体" w:eastAsia="方正仿宋简体" w:cs="方正仿宋简体"/>
          <w:b w:val="0"/>
          <w:bCs/>
          <w:color w:val="auto"/>
          <w:kern w:val="2"/>
          <w:sz w:val="28"/>
          <w:szCs w:val="28"/>
          <w:lang w:val="en-US" w:eastAsia="zh-CN" w:bidi="ar-SA"/>
        </w:rPr>
        <w:t>分管安全环保工作的副经理QHSE职责：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（一）组织贯彻执行国家质量安全环保节能法律法规和上级单位质量安全环保管理的方针政策、规范和标准，对公司质量安全环保工作负综合监督管理领导责任。负责公司QHSE委员会日常工作。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（二）</w:t>
      </w:r>
      <w:r>
        <w:rPr>
          <w:rFonts w:hint="default" w:ascii="方正仿宋简体" w:hAnsi="方正仿宋简体" w:eastAsia="方正仿宋简体" w:cs="方正仿宋简体"/>
          <w:b w:val="0"/>
          <w:bCs/>
          <w:color w:val="auto"/>
          <w:kern w:val="2"/>
          <w:sz w:val="28"/>
          <w:szCs w:val="28"/>
          <w:lang w:val="en-US" w:eastAsia="zh-CN" w:bidi="ar-SA"/>
        </w:rPr>
        <w:t>组织制定质量安全环保管理责任制，组织制定公司质量安全环保规章制度，并督促检查制度执行情况</w:t>
      </w:r>
      <w:r>
        <w:rPr>
          <w:rFonts w:hint="eastAsia" w:ascii="方正仿宋简体" w:hAnsi="方正仿宋简体" w:eastAsia="方正仿宋简体" w:cs="方正仿宋简体"/>
          <w:b w:val="0"/>
          <w:bCs/>
          <w:color w:val="auto"/>
          <w:kern w:val="2"/>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（三）</w:t>
      </w:r>
      <w:r>
        <w:rPr>
          <w:rFonts w:hint="default" w:ascii="方正仿宋简体" w:hAnsi="方正仿宋简体" w:eastAsia="方正仿宋简体" w:cs="方正仿宋简体"/>
          <w:b w:val="0"/>
          <w:bCs/>
          <w:color w:val="auto"/>
          <w:kern w:val="2"/>
          <w:sz w:val="28"/>
          <w:szCs w:val="28"/>
          <w:lang w:val="en-US" w:eastAsia="zh-CN" w:bidi="ar-SA"/>
        </w:rPr>
        <w:t>督促公司隐患排查制度及安全环保隐患治理计划的落实。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（四）</w:t>
      </w:r>
      <w:r>
        <w:rPr>
          <w:rFonts w:hint="default" w:ascii="方正仿宋简体" w:hAnsi="方正仿宋简体" w:eastAsia="方正仿宋简体" w:cs="方正仿宋简体"/>
          <w:b w:val="0"/>
          <w:bCs/>
          <w:color w:val="auto"/>
          <w:kern w:val="2"/>
          <w:sz w:val="28"/>
          <w:szCs w:val="28"/>
          <w:lang w:val="en-US" w:eastAsia="zh-CN" w:bidi="ar-SA"/>
        </w:rPr>
        <w:t>负责分管业务范围内的应急管理工作，制定公司综合应急预案并组织演练。组织开展分管业务范围内的事故、事件的抢险救援及恢复工作，组织或者参与事故调查分析和处理。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（五）负责公司质量安全环保的日常管理工作，定期组织分析公司质量安全环保工作，研究解决存在的问题。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（六）组织分管业务范围内的安全环保风险评估，组织重大风险防范措施的落实。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（七）负责分管业务范围内的重大安全环保问题或者隐患整改的落实。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（八）组织分管业务范围内的质量安全环保分析活动，组织开展分管业务范围内质量安全环保监督检查。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（九）HSE体系工具方法应用。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（十）组织公司岗位危害因素辨识、督促落实重大危险源的安全管理措施。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color w:val="auto"/>
          <w:kern w:val="2"/>
          <w:sz w:val="28"/>
          <w:szCs w:val="28"/>
          <w:lang w:val="en-US" w:eastAsia="zh-CN" w:bidi="ar-SA"/>
        </w:rPr>
        <w:t xml:space="preserve">第九条  </w:t>
      </w:r>
      <w:r>
        <w:rPr>
          <w:rFonts w:hint="eastAsia" w:ascii="方正仿宋简体" w:hAnsi="方正仿宋简体" w:eastAsia="方正仿宋简体" w:cs="方正仿宋简体"/>
          <w:b w:val="0"/>
          <w:bCs/>
          <w:color w:val="auto"/>
          <w:kern w:val="2"/>
          <w:sz w:val="28"/>
          <w:szCs w:val="28"/>
          <w:lang w:val="en-US" w:eastAsia="zh-CN" w:bidi="ar-SA"/>
        </w:rPr>
        <w:t>分管客户副经理QHSE职责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（一）贯彻执行国家、行业的安全生产方针、政策、法律、法规、标准、规程及上级各项安全生产要求。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（二）组织分管系统建立健全业务相关安全管理制度、安全规程、安全责任制，制订远期以及年度/月度安全目标、计划，并督促检查、评价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（三）督促指导分管业务的危害因素辨识及风险评价。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 xml:space="preserve">（四）督促指导分管系统的隐患排查及整改落实。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（五）督促指导分管业务安全教育培训和考核。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（六）考核分管业务部门安全环保履职情况。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（七）负责分管业务突发事件的应急处置，协助分管业务突发事件的调查处理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bCs w:val="0"/>
          <w:color w:val="auto"/>
          <w:kern w:val="2"/>
          <w:sz w:val="28"/>
          <w:szCs w:val="28"/>
          <w:lang w:val="en-US" w:eastAsia="zh-CN" w:bidi="ar-SA"/>
        </w:rPr>
        <w:t>第十条</w:t>
      </w:r>
      <w:r>
        <w:rPr>
          <w:rFonts w:hint="eastAsia" w:ascii="方正仿宋简体" w:hAnsi="方正仿宋简体" w:eastAsia="方正仿宋简体" w:cs="方正仿宋简体"/>
          <w:b w:val="0"/>
          <w:bCs/>
          <w:color w:val="auto"/>
          <w:kern w:val="2"/>
          <w:sz w:val="28"/>
          <w:szCs w:val="28"/>
          <w:lang w:val="en-US" w:eastAsia="zh-CN" w:bidi="ar-SA"/>
        </w:rPr>
        <w:t xml:space="preserve">  分管管道副经理QHSE职责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（一）贯彻执行国家、行业的安全生产方针、法律法规和上级部门有关质量健康安全环保工作的要求。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（二）协助经理建立健全安全生产责任制。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（三）组织分管业务的危害因素辨识风险评价及风险控制措施的制定。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（四）组织制定分管业务的HSE督促计划的编制并组织实施。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（五）组织分管业务的安全隐患排查，下达安全隐患整治计划并督促实施。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（六）及时、如实报告生产安全事故，参与事故事件的调查与处理。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（七）定期向经理办公会和QHSE管理领导小组通报分管业务的QHSE体系运行情况。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default"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bCs w:val="0"/>
          <w:color w:val="auto"/>
          <w:kern w:val="2"/>
          <w:sz w:val="28"/>
          <w:szCs w:val="28"/>
          <w:lang w:val="en-US" w:eastAsia="zh-CN" w:bidi="ar-SA"/>
        </w:rPr>
        <w:t>第十一条</w:t>
      </w:r>
      <w:r>
        <w:rPr>
          <w:rFonts w:hint="eastAsia" w:ascii="方正仿宋简体" w:hAnsi="方正仿宋简体" w:eastAsia="方正仿宋简体" w:cs="方正仿宋简体"/>
          <w:b w:val="0"/>
          <w:bCs/>
          <w:color w:val="auto"/>
          <w:kern w:val="2"/>
          <w:sz w:val="28"/>
          <w:szCs w:val="28"/>
          <w:lang w:val="en-US" w:eastAsia="zh-CN" w:bidi="ar-SA"/>
        </w:rPr>
        <w:t xml:space="preserve">  分管财务副经理QHSE职责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（一）贯彻执行国家、行业的安全生产方针、法律法规和上级部门有关质量健康安全环保工作的要求。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（二）具体负责分管范围内全过程的安全管理。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（三）具体负责分管系统的安全制度、规程、安全责任制的建立、健全，以及年度和远期安全目标、计划，并定期检查、评价和考核履职情况。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（四）具体负责公司生产安全经费的筹措。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（五）具体负责分管范围内安全技术措施计划的编制和安全应急预案的建立健全，发生重大事故应及时到现场组织抢险，制订防范措施，参与事故调查。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（六）具体负责组织分管范围内的安全检查和落实隐患整改。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（七）具体负责督促分管系统的安全教育培训和考核。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outlineLvl w:val="9"/>
        <w:rPr>
          <w:rFonts w:hint="default"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val="0"/>
          <w:bCs/>
          <w:color w:val="auto"/>
          <w:kern w:val="2"/>
          <w:sz w:val="28"/>
          <w:szCs w:val="28"/>
          <w:lang w:val="en-US" w:eastAsia="zh-CN" w:bidi="ar-SA"/>
        </w:rPr>
        <w:t>（八）定期向经理办公会和HSE管理领导小组通报分管系统的安全情况。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color w:val="auto"/>
          <w:kern w:val="2"/>
          <w:sz w:val="28"/>
          <w:szCs w:val="28"/>
          <w:lang w:val="en-US" w:eastAsia="zh-CN" w:bidi="ar-SA"/>
        </w:rPr>
      </w:pPr>
      <w:r>
        <w:rPr>
          <w:rFonts w:hint="eastAsia" w:ascii="方正仿宋简体" w:hAnsi="方正仿宋简体" w:eastAsia="方正仿宋简体" w:cs="方正仿宋简体"/>
          <w:b/>
          <w:color w:val="auto"/>
          <w:kern w:val="2"/>
          <w:sz w:val="28"/>
          <w:szCs w:val="28"/>
          <w:lang w:val="en-US" w:eastAsia="zh-CN" w:bidi="ar-SA"/>
        </w:rPr>
        <w:t xml:space="preserve">第十二条  </w:t>
      </w:r>
      <w:r>
        <w:rPr>
          <w:rFonts w:hint="eastAsia" w:ascii="方正仿宋简体" w:hAnsi="方正仿宋简体" w:eastAsia="方正仿宋简体" w:cs="方正仿宋简体"/>
          <w:b w:val="0"/>
          <w:bCs/>
          <w:color w:val="auto"/>
          <w:kern w:val="2"/>
          <w:sz w:val="28"/>
          <w:szCs w:val="28"/>
          <w:lang w:val="en-US" w:eastAsia="zh-CN" w:bidi="ar-SA"/>
        </w:rPr>
        <w:t>综合办公室QHSE职责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（一）贯彻落实国家质量安全环保节能法律法规、上级公司质量安全环保方针政策、规范和标准，负责业务范围内的</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管理，纳入业务管理制度并监督、检查、实施。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color w:val="auto"/>
          <w:sz w:val="28"/>
          <w:szCs w:val="28"/>
        </w:rPr>
      </w:pPr>
      <w:r>
        <w:rPr>
          <w:rFonts w:hint="eastAsia" w:ascii="方正仿宋简体" w:eastAsia="方正仿宋简体"/>
          <w:color w:val="auto"/>
          <w:sz w:val="28"/>
          <w:szCs w:val="28"/>
        </w:rPr>
        <w:t>（二）负责业务范围内安全环保风险识别、隐患排查，制定隐患整改计划及风险削减措施并组织落实，组织或参与业务范围内质量安全环保事故事件的调查。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color w:val="auto"/>
          <w:sz w:val="28"/>
          <w:szCs w:val="28"/>
        </w:rPr>
      </w:pPr>
      <w:r>
        <w:rPr>
          <w:rFonts w:hint="eastAsia" w:ascii="方正仿宋简体" w:eastAsia="方正仿宋简体"/>
          <w:color w:val="auto"/>
          <w:sz w:val="28"/>
          <w:szCs w:val="28"/>
        </w:rPr>
        <w:t>（三）负责将</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考核纳入全员绩效考核管理，并监督实施。负责组织本部门人员签订《</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责任书》，制定、督促本部门人员落实岗位</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职责要求，建立考核清单，并对其</w:t>
      </w:r>
      <w:r>
        <w:rPr>
          <w:rFonts w:hint="eastAsia" w:ascii="方正仿宋简体" w:eastAsia="方正仿宋简体"/>
          <w:color w:val="auto"/>
          <w:sz w:val="28"/>
          <w:szCs w:val="28"/>
          <w:lang w:eastAsia="zh-CN"/>
        </w:rPr>
        <w:t>QHSE</w:t>
      </w:r>
      <w:r>
        <w:rPr>
          <w:rFonts w:hint="eastAsia" w:ascii="方正仿宋简体" w:eastAsia="方正仿宋简体"/>
          <w:color w:val="auto"/>
          <w:sz w:val="28"/>
          <w:szCs w:val="28"/>
        </w:rPr>
        <w:t>履职情况进行考核，考核结果纳入员工综合绩效。</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hAnsi="??" w:eastAsia="方正仿宋简体"/>
          <w:color w:val="auto"/>
          <w:sz w:val="28"/>
          <w:szCs w:val="28"/>
          <w:highlight w:val="none"/>
        </w:rPr>
      </w:pPr>
      <w:r>
        <w:rPr>
          <w:rFonts w:hint="eastAsia" w:ascii="方正仿宋简体" w:hAnsi="??" w:eastAsia="方正仿宋简体"/>
          <w:color w:val="auto"/>
          <w:sz w:val="28"/>
          <w:szCs w:val="28"/>
        </w:rPr>
        <w:t>（四）负责向川港公司总经理办公室报送</w:t>
      </w:r>
      <w:r>
        <w:rPr>
          <w:rFonts w:hint="eastAsia" w:ascii="方正仿宋简体" w:hAnsi="??" w:eastAsia="方正仿宋简体"/>
          <w:color w:val="auto"/>
          <w:sz w:val="28"/>
          <w:szCs w:val="28"/>
          <w:highlight w:val="none"/>
          <w:lang w:eastAsia="zh-CN"/>
        </w:rPr>
        <w:t>较大</w:t>
      </w:r>
      <w:r>
        <w:rPr>
          <w:rFonts w:hint="eastAsia" w:ascii="方正仿宋简体" w:hAnsi="??" w:eastAsia="方正仿宋简体"/>
          <w:color w:val="auto"/>
          <w:sz w:val="28"/>
          <w:szCs w:val="28"/>
          <w:highlight w:val="none"/>
        </w:rPr>
        <w:t>及以上安全环保事故信息和相关的舆情监控工作。</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hAnsi="??" w:eastAsia="方正仿宋简体"/>
          <w:color w:val="auto"/>
          <w:sz w:val="28"/>
          <w:szCs w:val="28"/>
          <w:highlight w:val="none"/>
        </w:rPr>
      </w:pPr>
      <w:r>
        <w:rPr>
          <w:rFonts w:hint="eastAsia" w:ascii="方正仿宋简体" w:hAnsi="??" w:eastAsia="方正仿宋简体"/>
          <w:color w:val="auto"/>
          <w:sz w:val="28"/>
          <w:szCs w:val="28"/>
          <w:highlight w:val="none"/>
        </w:rPr>
        <w:t>（五）负责突发事件的信息接收、报送、应急协调及其培训，参与公司综合应急预案体系建设和应急演练，根据公司综合应急预案分工，参与突发事件应急处置。</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hAnsi="??" w:eastAsia="方正仿宋简体"/>
          <w:color w:val="auto"/>
          <w:sz w:val="28"/>
          <w:szCs w:val="28"/>
          <w:highlight w:val="none"/>
        </w:rPr>
      </w:pPr>
      <w:r>
        <w:rPr>
          <w:rFonts w:hint="eastAsia" w:ascii="方正仿宋简体" w:hAnsi="??" w:eastAsia="方正仿宋简体"/>
          <w:color w:val="auto"/>
          <w:sz w:val="28"/>
          <w:szCs w:val="28"/>
          <w:highlight w:val="none"/>
        </w:rPr>
        <w:t>（六）负责组织宣传国家质量安全环保法律法规、集团公司质量安全环保理念及公司质量安全环保规章制度和要求。</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hint="eastAsia" w:ascii="方正仿宋简体" w:eastAsia="方正仿宋简体"/>
          <w:sz w:val="28"/>
          <w:szCs w:val="28"/>
          <w:highlight w:val="none"/>
        </w:rPr>
      </w:pPr>
      <w:r>
        <w:rPr>
          <w:rFonts w:hint="eastAsia" w:ascii="方正仿宋简体" w:eastAsia="方正仿宋简体"/>
          <w:color w:val="auto"/>
          <w:sz w:val="28"/>
          <w:szCs w:val="28"/>
          <w:highlight w:val="none"/>
        </w:rPr>
        <w:t>（七）负责组织员工参加公司</w:t>
      </w:r>
      <w:r>
        <w:rPr>
          <w:rFonts w:hint="eastAsia" w:ascii="方正仿宋简体" w:eastAsia="方正仿宋简体"/>
          <w:color w:val="auto"/>
          <w:sz w:val="28"/>
          <w:szCs w:val="28"/>
          <w:highlight w:val="none"/>
          <w:lang w:eastAsia="zh-CN"/>
        </w:rPr>
        <w:t>QHSE</w:t>
      </w:r>
      <w:r>
        <w:rPr>
          <w:rFonts w:hint="eastAsia" w:ascii="方正仿宋简体" w:eastAsia="方正仿宋简体"/>
          <w:color w:val="auto"/>
          <w:sz w:val="28"/>
          <w:szCs w:val="28"/>
          <w:highlight w:val="none"/>
        </w:rPr>
        <w:t>管理工作的民主管</w:t>
      </w:r>
      <w:r>
        <w:rPr>
          <w:rFonts w:hint="eastAsia" w:ascii="方正仿宋简体" w:eastAsia="方正仿宋简体"/>
          <w:sz w:val="28"/>
          <w:szCs w:val="28"/>
          <w:highlight w:val="none"/>
        </w:rPr>
        <w:t>理和民主监督，维护员工在健康、安全和环境方面的合法权益；负责组织开展</w:t>
      </w:r>
      <w:r>
        <w:rPr>
          <w:rFonts w:hint="eastAsia" w:ascii="方正仿宋简体" w:eastAsia="方正仿宋简体"/>
          <w:sz w:val="28"/>
          <w:szCs w:val="28"/>
          <w:highlight w:val="none"/>
          <w:lang w:eastAsia="zh-CN"/>
        </w:rPr>
        <w:t>QHSE</w:t>
      </w:r>
      <w:r>
        <w:rPr>
          <w:rFonts w:hint="eastAsia" w:ascii="方正仿宋简体" w:eastAsia="方正仿宋简体"/>
          <w:sz w:val="28"/>
          <w:szCs w:val="28"/>
          <w:highlight w:val="none"/>
        </w:rPr>
        <w:t>方面的劳动竞赛，组织开展群众劳动安全教育活动。</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hAnsi="??" w:eastAsia="方正仿宋简体"/>
          <w:sz w:val="28"/>
          <w:szCs w:val="28"/>
          <w:highlight w:val="none"/>
        </w:rPr>
      </w:pPr>
      <w:r>
        <w:rPr>
          <w:rFonts w:hint="eastAsia" w:ascii="方正仿宋简体" w:eastAsia="方正仿宋简体"/>
          <w:sz w:val="28"/>
          <w:szCs w:val="28"/>
          <w:highlight w:val="none"/>
        </w:rPr>
        <w:t>（八）负责</w:t>
      </w:r>
      <w:r>
        <w:rPr>
          <w:rFonts w:hint="eastAsia" w:ascii="方正仿宋简体" w:hAnsi="??" w:eastAsia="方正仿宋简体"/>
          <w:sz w:val="28"/>
          <w:szCs w:val="28"/>
          <w:highlight w:val="none"/>
        </w:rPr>
        <w:t>将</w:t>
      </w:r>
      <w:r>
        <w:rPr>
          <w:rFonts w:hint="eastAsia" w:ascii="方正仿宋简体" w:eastAsia="方正仿宋简体"/>
          <w:sz w:val="28"/>
          <w:szCs w:val="28"/>
          <w:highlight w:val="none"/>
          <w:lang w:eastAsia="zh-CN"/>
        </w:rPr>
        <w:t>QHSE</w:t>
      </w:r>
      <w:r>
        <w:rPr>
          <w:rFonts w:hint="eastAsia" w:ascii="方正仿宋简体" w:hAnsi="??" w:eastAsia="方正仿宋简体"/>
          <w:sz w:val="28"/>
          <w:szCs w:val="28"/>
          <w:highlight w:val="none"/>
        </w:rPr>
        <w:t>培训纳入公司培训体系统筹管理，指导监督各单位</w:t>
      </w:r>
      <w:r>
        <w:rPr>
          <w:rFonts w:hint="eastAsia" w:ascii="方正仿宋简体" w:hAnsi="??" w:eastAsia="方正仿宋简体"/>
          <w:sz w:val="28"/>
          <w:szCs w:val="28"/>
          <w:highlight w:val="none"/>
          <w:lang w:eastAsia="zh-CN"/>
        </w:rPr>
        <w:t>QHSE</w:t>
      </w:r>
      <w:r>
        <w:rPr>
          <w:rFonts w:hint="eastAsia" w:ascii="方正仿宋简体" w:hAnsi="??" w:eastAsia="方正仿宋简体"/>
          <w:sz w:val="28"/>
          <w:szCs w:val="28"/>
          <w:highlight w:val="none"/>
        </w:rPr>
        <w:t>培训、职业技能鉴定及持证上岗工作。</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sz w:val="28"/>
          <w:szCs w:val="28"/>
          <w:highlight w:val="none"/>
        </w:rPr>
      </w:pPr>
      <w:r>
        <w:rPr>
          <w:rFonts w:hint="eastAsia" w:ascii="方正仿宋简体" w:eastAsia="方正仿宋简体"/>
          <w:sz w:val="28"/>
          <w:szCs w:val="28"/>
          <w:highlight w:val="none"/>
        </w:rPr>
        <w:t>（九）负责员工工伤保险业务管理指导，参与公司伤亡事故和侵害员工健康安全环境权益事件的调查处理。</w:t>
      </w:r>
    </w:p>
    <w:p>
      <w:pPr>
        <w:pStyle w:val="23"/>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hAnsi="??" w:eastAsia="方正仿宋简体"/>
          <w:sz w:val="28"/>
          <w:szCs w:val="28"/>
          <w:highlight w:val="none"/>
        </w:rPr>
      </w:pPr>
      <w:r>
        <w:rPr>
          <w:rFonts w:hint="eastAsia" w:ascii="方正仿宋简体" w:hAnsi="??" w:eastAsia="方正仿宋简体"/>
          <w:sz w:val="28"/>
          <w:szCs w:val="28"/>
          <w:highlight w:val="none"/>
        </w:rPr>
        <w:t>（十）</w:t>
      </w:r>
      <w:r>
        <w:rPr>
          <w:rFonts w:hint="eastAsia" w:ascii="方正仿宋简体" w:eastAsia="方正仿宋简体"/>
          <w:sz w:val="28"/>
          <w:szCs w:val="28"/>
          <w:highlight w:val="none"/>
        </w:rPr>
        <w:t>组织做好公司有关综合性会议和重要公务接待工作的安全环保管理。</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highlight w:val="none"/>
        </w:rPr>
      </w:pPr>
      <w:r>
        <w:rPr>
          <w:rFonts w:hint="eastAsia" w:ascii="方正仿宋简体" w:hAnsi="??" w:eastAsia="方正仿宋简体"/>
          <w:sz w:val="28"/>
          <w:szCs w:val="28"/>
          <w:highlight w:val="none"/>
        </w:rPr>
        <w:t>（十一）参与组织和协调公司基层建设、安全文化建设的质量安全环保工作，组织、参与应急情况下的媒体沟通协调工作。</w:t>
      </w:r>
    </w:p>
    <w:p>
      <w:pPr>
        <w:keepNext w:val="0"/>
        <w:keepLines w:val="0"/>
        <w:pageBreakBefore w:val="0"/>
        <w:widowControl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b/>
          <w:bCs/>
          <w:sz w:val="28"/>
          <w:szCs w:val="28"/>
          <w:highlight w:val="none"/>
        </w:rPr>
        <w:t>第</w:t>
      </w:r>
      <w:r>
        <w:rPr>
          <w:rFonts w:hint="eastAsia" w:ascii="方正仿宋简体" w:hAnsi="??" w:eastAsia="方正仿宋简体"/>
          <w:b/>
          <w:bCs/>
          <w:sz w:val="28"/>
          <w:szCs w:val="28"/>
          <w:highlight w:val="none"/>
          <w:lang w:eastAsia="zh-CN"/>
        </w:rPr>
        <w:t>十三</w:t>
      </w:r>
      <w:r>
        <w:rPr>
          <w:rFonts w:hint="eastAsia" w:ascii="方正仿宋简体" w:hAnsi="??" w:eastAsia="方正仿宋简体"/>
          <w:b/>
          <w:bCs/>
          <w:sz w:val="28"/>
          <w:szCs w:val="28"/>
          <w:highlight w:val="none"/>
        </w:rPr>
        <w:t>条</w:t>
      </w:r>
      <w:r>
        <w:rPr>
          <w:rFonts w:hint="eastAsia" w:ascii="方正仿宋简体" w:hAnsi="??" w:eastAsia="方正仿宋简体"/>
          <w:sz w:val="28"/>
          <w:szCs w:val="28"/>
          <w:highlight w:val="none"/>
        </w:rPr>
        <w:t xml:space="preserve"> </w:t>
      </w:r>
      <w:r>
        <w:rPr>
          <w:rFonts w:hint="eastAsia" w:ascii="方正仿宋简体" w:hAnsi="??" w:eastAsia="方正仿宋简体"/>
          <w:sz w:val="28"/>
          <w:szCs w:val="28"/>
          <w:highlight w:val="none"/>
          <w:lang w:val="en-US" w:eastAsia="zh-CN"/>
        </w:rPr>
        <w:t xml:space="preserve"> </w:t>
      </w:r>
      <w:r>
        <w:rPr>
          <w:rFonts w:hint="eastAsia" w:ascii="方正仿宋简体" w:hAnsi="??" w:eastAsia="方正仿宋简体"/>
          <w:sz w:val="28"/>
          <w:szCs w:val="28"/>
          <w:highlight w:val="none"/>
          <w:lang w:eastAsia="zh-CN"/>
        </w:rPr>
        <w:t>生产运行</w:t>
      </w:r>
      <w:r>
        <w:rPr>
          <w:rFonts w:hint="eastAsia" w:ascii="方正仿宋简体" w:hAnsi="??" w:eastAsia="方正仿宋简体"/>
          <w:sz w:val="28"/>
          <w:szCs w:val="28"/>
          <w:highlight w:val="none"/>
        </w:rPr>
        <w:t>部</w:t>
      </w:r>
      <w:r>
        <w:rPr>
          <w:rFonts w:hint="eastAsia" w:ascii="方正仿宋简体" w:hAnsi="??" w:eastAsia="方正仿宋简体"/>
          <w:sz w:val="28"/>
          <w:szCs w:val="28"/>
          <w:highlight w:val="none"/>
          <w:lang w:eastAsia="zh-CN"/>
        </w:rPr>
        <w:t>QHSE</w:t>
      </w:r>
      <w:r>
        <w:rPr>
          <w:rFonts w:hint="eastAsia" w:ascii="方正仿宋简体" w:hAnsi="??" w:eastAsia="方正仿宋简体"/>
          <w:sz w:val="28"/>
          <w:szCs w:val="28"/>
          <w:highlight w:val="none"/>
        </w:rPr>
        <w:t>职责</w:t>
      </w:r>
    </w:p>
    <w:p>
      <w:pPr>
        <w:keepNext w:val="0"/>
        <w:keepLines w:val="0"/>
        <w:pageBreakBefore w:val="0"/>
        <w:widowControl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1.</w:t>
      </w:r>
      <w:r>
        <w:rPr>
          <w:rFonts w:hint="eastAsia" w:ascii="方正仿宋简体" w:hAnsi="??" w:eastAsia="方正仿宋简体"/>
          <w:sz w:val="28"/>
          <w:szCs w:val="28"/>
          <w:highlight w:val="none"/>
        </w:rPr>
        <w:t>贯彻落实国家质量健康安全环保法律法规、集团公司及分公司质量健康安全环保管理的方针政策、规范和标准,负责生产运行管理、计量、设备资产、设计评审及质量管理等业务范围内的质量健康安全环保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2.</w:t>
      </w:r>
      <w:r>
        <w:rPr>
          <w:rFonts w:hint="eastAsia" w:ascii="方正仿宋简体" w:hAnsi="??" w:eastAsia="方正仿宋简体"/>
          <w:sz w:val="28"/>
          <w:szCs w:val="28"/>
          <w:highlight w:val="none"/>
        </w:rPr>
        <w:t>组织制（修）订本部门业务范围内的质量健康安全环保管理规章制度、操作规程。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3.</w:t>
      </w:r>
      <w:r>
        <w:rPr>
          <w:rFonts w:hint="eastAsia" w:ascii="方正仿宋简体" w:hAnsi="??" w:eastAsia="方正仿宋简体"/>
          <w:sz w:val="28"/>
          <w:szCs w:val="28"/>
          <w:highlight w:val="none"/>
        </w:rPr>
        <w:t>负责计划、实施、检查本部门分管业务工作时，同时计划、实施、检查质量健康安全环保工作。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4.</w:t>
      </w:r>
      <w:r>
        <w:rPr>
          <w:rFonts w:hint="eastAsia" w:ascii="方正仿宋简体" w:hAnsi="??" w:eastAsia="方正仿宋简体"/>
          <w:sz w:val="28"/>
          <w:szCs w:val="28"/>
          <w:highlight w:val="none"/>
        </w:rPr>
        <w:t>组织开展本部门业务范围内危害因素的辨识、评价，制定和落实风险控制措施。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5.</w:t>
      </w:r>
      <w:r>
        <w:rPr>
          <w:rFonts w:hint="eastAsia" w:ascii="方正仿宋简体" w:hAnsi="??" w:eastAsia="方正仿宋简体"/>
          <w:sz w:val="28"/>
          <w:szCs w:val="28"/>
          <w:highlight w:val="none"/>
        </w:rPr>
        <w:t>组织清理排查本部门业务范围内隐患，制定隐患整改计划和措施，并组织实施。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6.</w:t>
      </w:r>
      <w:r>
        <w:rPr>
          <w:rFonts w:hint="eastAsia" w:ascii="方正仿宋简体" w:hAnsi="??" w:eastAsia="方正仿宋简体"/>
          <w:sz w:val="28"/>
          <w:szCs w:val="28"/>
          <w:highlight w:val="none"/>
        </w:rPr>
        <w:t>负责组织本部门人员签订《</w:t>
      </w:r>
      <w:r>
        <w:rPr>
          <w:rFonts w:hint="eastAsia" w:ascii="方正仿宋简体" w:hAnsi="??" w:eastAsia="方正仿宋简体"/>
          <w:sz w:val="28"/>
          <w:szCs w:val="28"/>
          <w:highlight w:val="none"/>
          <w:lang w:eastAsia="zh-CN"/>
        </w:rPr>
        <w:t>QHSE</w:t>
      </w:r>
      <w:r>
        <w:rPr>
          <w:rFonts w:hint="eastAsia" w:ascii="方正仿宋简体" w:hAnsi="??" w:eastAsia="方正仿宋简体"/>
          <w:sz w:val="28"/>
          <w:szCs w:val="28"/>
          <w:highlight w:val="none"/>
        </w:rPr>
        <w:t>责任书》，制定并督促本部门人员落实岗位的质量健康安全环保职责。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rPr>
        <w:t>7.参与公司《突发事件综合应急处置预案》、《岗位应急处置卡》编制、修订和演练工作，负责分管业务范围内的应急预案编制、修订与演练工作。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8.</w:t>
      </w:r>
      <w:r>
        <w:rPr>
          <w:rFonts w:hint="eastAsia" w:ascii="方正仿宋简体" w:hAnsi="??" w:eastAsia="方正仿宋简体"/>
          <w:sz w:val="28"/>
          <w:szCs w:val="28"/>
          <w:highlight w:val="none"/>
        </w:rPr>
        <w:t>组织公司突发事件的应急处置，负责突发事件应急指定的上传下达工作、参与现场处置方案的制定和有关的协调工作，根据指令参加其他应急处置工作。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lang w:val="en-US" w:eastAsia="zh-CN"/>
        </w:rPr>
        <w:t>9.</w:t>
      </w:r>
      <w:r>
        <w:rPr>
          <w:rFonts w:hint="eastAsia" w:ascii="方正仿宋简体" w:hAnsi="??" w:eastAsia="方正仿宋简体"/>
          <w:sz w:val="28"/>
          <w:szCs w:val="28"/>
          <w:highlight w:val="none"/>
        </w:rPr>
        <w:t>负责本部门业务范围内的承包商质量安全健康环保监督管理，开展质量健康安全环保监督检查。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rPr>
        <w:t>10.负责识别本部门人员的质量健康安全环保培训需求，组织部门人员学习掌握质量健康安全环保规章制度及有关知识。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rPr>
        <w:t>11.负责本部门办公区域的</w:t>
      </w:r>
      <w:r>
        <w:rPr>
          <w:rFonts w:hint="eastAsia" w:ascii="方正仿宋简体" w:hAnsi="??" w:eastAsia="方正仿宋简体"/>
          <w:sz w:val="28"/>
          <w:szCs w:val="28"/>
          <w:highlight w:val="none"/>
          <w:lang w:eastAsia="zh-CN"/>
        </w:rPr>
        <w:t>QHSE</w:t>
      </w:r>
      <w:r>
        <w:rPr>
          <w:rFonts w:hint="eastAsia" w:ascii="方正仿宋简体" w:hAnsi="??" w:eastAsia="方正仿宋简体"/>
          <w:sz w:val="28"/>
          <w:szCs w:val="28"/>
          <w:highlight w:val="none"/>
        </w:rPr>
        <w:t>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 w:eastAsia="方正仿宋简体"/>
          <w:sz w:val="28"/>
          <w:szCs w:val="28"/>
          <w:highlight w:val="none"/>
        </w:rPr>
      </w:pPr>
      <w:r>
        <w:rPr>
          <w:rFonts w:hint="eastAsia" w:ascii="方正仿宋简体" w:hAnsi="??" w:eastAsia="方正仿宋简体"/>
          <w:sz w:val="28"/>
          <w:szCs w:val="28"/>
          <w:highlight w:val="none"/>
        </w:rPr>
        <w:t>12.负责本部门岗位</w:t>
      </w:r>
      <w:r>
        <w:rPr>
          <w:rFonts w:hint="eastAsia" w:ascii="方正仿宋简体" w:hAnsi="??" w:eastAsia="方正仿宋简体"/>
          <w:sz w:val="28"/>
          <w:szCs w:val="28"/>
          <w:highlight w:val="none"/>
          <w:lang w:eastAsia="zh-CN"/>
        </w:rPr>
        <w:t>QHSE</w:t>
      </w:r>
      <w:r>
        <w:rPr>
          <w:rFonts w:hint="eastAsia" w:ascii="方正仿宋简体" w:hAnsi="??" w:eastAsia="方正仿宋简体"/>
          <w:sz w:val="28"/>
          <w:szCs w:val="28"/>
          <w:highlight w:val="none"/>
        </w:rPr>
        <w:t>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bCs/>
          <w:sz w:val="28"/>
          <w:szCs w:val="28"/>
          <w:lang w:eastAsia="zh-CN"/>
        </w:rPr>
        <w:t>十四</w:t>
      </w:r>
      <w:r>
        <w:rPr>
          <w:rFonts w:hint="eastAsia" w:ascii="方正仿宋简体" w:hAnsi="方正仿宋简体" w:eastAsia="方正仿宋简体" w:cs="方正仿宋简体"/>
          <w:b/>
          <w:bCs/>
          <w:sz w:val="28"/>
          <w:szCs w:val="28"/>
        </w:rPr>
        <w:t xml:space="preserve">条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val="0"/>
          <w:bCs w:val="0"/>
          <w:color w:val="auto"/>
          <w:sz w:val="28"/>
          <w:szCs w:val="28"/>
          <w:lang w:val="en-US" w:eastAsia="zh-CN"/>
        </w:rPr>
        <w:t>工程技术</w:t>
      </w:r>
      <w:r>
        <w:rPr>
          <w:rFonts w:hint="eastAsia" w:ascii="方正仿宋简体" w:hAnsi="方正仿宋简体" w:eastAsia="方正仿宋简体" w:cs="方正仿宋简体"/>
          <w:b w:val="0"/>
          <w:bCs w:val="0"/>
          <w:color w:val="auto"/>
          <w:sz w:val="28"/>
          <w:szCs w:val="28"/>
        </w:rPr>
        <w:t>部</w:t>
      </w:r>
      <w:r>
        <w:rPr>
          <w:rFonts w:hint="eastAsia" w:ascii="方正仿宋简体" w:hAnsi="方正仿宋简体" w:eastAsia="方正仿宋简体" w:cs="方正仿宋简体"/>
          <w:b w:val="0"/>
          <w:bCs w:val="0"/>
          <w:color w:val="auto"/>
          <w:sz w:val="28"/>
          <w:szCs w:val="28"/>
          <w:lang w:eastAsia="zh-CN"/>
        </w:rPr>
        <w:t>QHSE</w:t>
      </w:r>
      <w:r>
        <w:rPr>
          <w:rFonts w:hint="eastAsia" w:ascii="方正仿宋简体" w:hAnsi="方正仿宋简体" w:eastAsia="方正仿宋简体" w:cs="方正仿宋简体"/>
          <w:b w:val="0"/>
          <w:bCs w:val="0"/>
          <w:color w:val="auto"/>
          <w:sz w:val="28"/>
          <w:szCs w:val="28"/>
        </w:rPr>
        <w:t>职责</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bCs/>
          <w:sz w:val="28"/>
          <w:szCs w:val="28"/>
        </w:rPr>
        <w:t>贯彻落实国家质量健康安全环保法律法规、集团公司及分公司质量健康安全环保管理的方针政策、规范和标</w:t>
      </w:r>
      <w:r>
        <w:rPr>
          <w:rFonts w:hint="eastAsia" w:ascii="方正仿宋简体" w:hAnsi="方正仿宋简体" w:eastAsia="方正仿宋简体" w:cs="方正仿宋简体"/>
          <w:bCs/>
          <w:color w:val="auto"/>
          <w:sz w:val="28"/>
          <w:szCs w:val="28"/>
        </w:rPr>
        <w:t>准,负责</w:t>
      </w:r>
      <w:r>
        <w:rPr>
          <w:rFonts w:hint="eastAsia" w:ascii="方正仿宋简体" w:hAnsi="方正仿宋简体" w:eastAsia="方正仿宋简体" w:cs="方正仿宋简体"/>
          <w:bCs/>
          <w:color w:val="auto"/>
          <w:sz w:val="28"/>
          <w:szCs w:val="28"/>
          <w:lang w:eastAsia="zh-CN"/>
        </w:rPr>
        <w:t>工程建设项目</w:t>
      </w:r>
      <w:r>
        <w:rPr>
          <w:rFonts w:hint="eastAsia" w:ascii="方正仿宋简体" w:hAnsi="方正仿宋简体" w:eastAsia="方正仿宋简体" w:cs="方正仿宋简体"/>
          <w:bCs/>
          <w:color w:val="auto"/>
          <w:sz w:val="28"/>
          <w:szCs w:val="28"/>
        </w:rPr>
        <w:t>、设计评审及</w:t>
      </w:r>
      <w:r>
        <w:rPr>
          <w:rFonts w:hint="eastAsia" w:ascii="方正仿宋简体" w:hAnsi="方正仿宋简体" w:eastAsia="方正仿宋简体" w:cs="方正仿宋简体"/>
          <w:bCs/>
          <w:color w:val="auto"/>
          <w:sz w:val="28"/>
          <w:szCs w:val="28"/>
          <w:lang w:eastAsia="zh-CN"/>
        </w:rPr>
        <w:t>工程</w:t>
      </w:r>
      <w:r>
        <w:rPr>
          <w:rFonts w:hint="eastAsia" w:ascii="方正仿宋简体" w:hAnsi="方正仿宋简体" w:eastAsia="方正仿宋简体" w:cs="方正仿宋简体"/>
          <w:bCs/>
          <w:color w:val="auto"/>
          <w:sz w:val="28"/>
          <w:szCs w:val="28"/>
        </w:rPr>
        <w:t>质量管理等业务范围内的质量健康安全环保管理工作。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2.</w:t>
      </w:r>
      <w:r>
        <w:rPr>
          <w:rFonts w:hint="eastAsia" w:ascii="方正仿宋简体" w:hAnsi="方正仿宋简体" w:eastAsia="方正仿宋简体" w:cs="方正仿宋简体"/>
          <w:bCs/>
          <w:color w:val="auto"/>
          <w:sz w:val="28"/>
          <w:szCs w:val="28"/>
        </w:rPr>
        <w:t>组织制（修）订本部门业务范围内的质量健康安全环保管理规章制度、操作规程。</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3.</w:t>
      </w:r>
      <w:r>
        <w:rPr>
          <w:rFonts w:hint="eastAsia" w:ascii="方正仿宋简体" w:hAnsi="方正仿宋简体" w:eastAsia="方正仿宋简体" w:cs="方正仿宋简体"/>
          <w:bCs/>
          <w:sz w:val="28"/>
          <w:szCs w:val="28"/>
        </w:rPr>
        <w:t>负责计划、实施、检查本部门分管业务工作时，同时计划、实施、检查质量健康安全环保工作。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4.</w:t>
      </w:r>
      <w:r>
        <w:rPr>
          <w:rFonts w:hint="eastAsia" w:ascii="方正仿宋简体" w:hAnsi="方正仿宋简体" w:eastAsia="方正仿宋简体" w:cs="方正仿宋简体"/>
          <w:bCs/>
          <w:sz w:val="28"/>
          <w:szCs w:val="28"/>
        </w:rPr>
        <w:t>组织开展本部门业务范围内危害因素的辨识、评价，制定和落实风险控制措施。</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5.</w:t>
      </w:r>
      <w:r>
        <w:rPr>
          <w:rFonts w:hint="eastAsia" w:ascii="方正仿宋简体" w:hAnsi="方正仿宋简体" w:eastAsia="方正仿宋简体" w:cs="方正仿宋简体"/>
          <w:bCs/>
          <w:sz w:val="28"/>
          <w:szCs w:val="28"/>
        </w:rPr>
        <w:t>组织清理排查本部门业务范围内隐患，制定隐患整改计划和措施，并组织实施。</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6.</w:t>
      </w:r>
      <w:r>
        <w:rPr>
          <w:rFonts w:hint="eastAsia" w:ascii="方正仿宋简体" w:hAnsi="方正仿宋简体" w:eastAsia="方正仿宋简体" w:cs="方正仿宋简体"/>
          <w:bCs/>
          <w:sz w:val="28"/>
          <w:szCs w:val="28"/>
        </w:rPr>
        <w:t>负责组织本部门人员签订《</w:t>
      </w:r>
      <w:r>
        <w:rPr>
          <w:rFonts w:hint="eastAsia" w:ascii="方正仿宋简体" w:hAnsi="方正仿宋简体" w:eastAsia="方正仿宋简体" w:cs="方正仿宋简体"/>
          <w:bCs/>
          <w:sz w:val="28"/>
          <w:szCs w:val="28"/>
          <w:lang w:eastAsia="zh-CN"/>
        </w:rPr>
        <w:t>QHSE</w:t>
      </w:r>
      <w:r>
        <w:rPr>
          <w:rFonts w:hint="eastAsia" w:ascii="方正仿宋简体" w:hAnsi="方正仿宋简体" w:eastAsia="方正仿宋简体" w:cs="方正仿宋简体"/>
          <w:bCs/>
          <w:sz w:val="28"/>
          <w:szCs w:val="28"/>
        </w:rPr>
        <w:t>责任书》，制定并督促本部门人员落实岗位的质量健康安全环保职责。</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7.参与公司《突发事件综合应急处置预案》、《岗位应急处置卡》编制、修订和演练工作，负责分管业务范围内的应急预案编制、修订与演练工作。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8.</w:t>
      </w:r>
      <w:r>
        <w:rPr>
          <w:rFonts w:hint="eastAsia" w:ascii="方正仿宋简体" w:hAnsi="方正仿宋简体" w:eastAsia="方正仿宋简体" w:cs="方正仿宋简体"/>
          <w:bCs/>
          <w:sz w:val="28"/>
          <w:szCs w:val="28"/>
        </w:rPr>
        <w:t>组织公司突发事件的应急处置，负责突发事件应急指定的上传下达工作、参与现场处置方案的制定和有关的协调工作，根据指令参加其他应急处置工作。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lang w:val="en-US" w:eastAsia="zh-CN"/>
        </w:rPr>
        <w:t>9.</w:t>
      </w:r>
      <w:r>
        <w:rPr>
          <w:rFonts w:hint="eastAsia" w:ascii="方正仿宋简体" w:hAnsi="方正仿宋简体" w:eastAsia="方正仿宋简体" w:cs="方正仿宋简体"/>
          <w:bCs/>
          <w:sz w:val="28"/>
          <w:szCs w:val="28"/>
        </w:rPr>
        <w:t>负责本部门业务范围内的承包商质量安全健康环保监督管理，开展质量健康安全环保监督检查。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10.负责识别本部门人员的质量健康安全环保培训需求，组织部门人员学习掌握质量健康安全环保规章制度及有关知识。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11.负责本部门办公区域的QHSE管理。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left="0" w:leftChars="0" w:firstLine="560" w:firstLineChars="200"/>
        <w:jc w:val="both"/>
        <w:textAlignment w:val="auto"/>
        <w:outlineLvl w:val="9"/>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12.负责本部门岗位QHSE管理职责描述与绩效考核。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b/>
          <w:bCs/>
          <w:color w:val="auto"/>
          <w:sz w:val="28"/>
          <w:szCs w:val="28"/>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bCs/>
          <w:sz w:val="28"/>
          <w:szCs w:val="28"/>
          <w:lang w:eastAsia="zh-CN"/>
        </w:rPr>
        <w:t>十五</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
          <w:bCs/>
          <w:color w:val="auto"/>
          <w:sz w:val="28"/>
          <w:szCs w:val="28"/>
        </w:rPr>
        <w:t xml:space="preserve"> </w:t>
      </w:r>
      <w:r>
        <w:rPr>
          <w:rFonts w:hint="eastAsia" w:ascii="方正仿宋简体" w:hAnsi="方正仿宋简体" w:eastAsia="方正仿宋简体" w:cs="方正仿宋简体"/>
          <w:b/>
          <w:bCs/>
          <w:color w:val="auto"/>
          <w:sz w:val="28"/>
          <w:szCs w:val="28"/>
          <w:lang w:val="en-US" w:eastAsia="zh-CN"/>
        </w:rPr>
        <w:t xml:space="preserve"> </w:t>
      </w:r>
      <w:r>
        <w:rPr>
          <w:rFonts w:hint="eastAsia" w:ascii="方正仿宋简体" w:hAnsi="方正仿宋简体" w:eastAsia="方正仿宋简体" w:cs="方正仿宋简体"/>
          <w:b w:val="0"/>
          <w:bCs w:val="0"/>
          <w:color w:val="auto"/>
          <w:sz w:val="28"/>
          <w:szCs w:val="28"/>
          <w:lang w:eastAsia="zh-CN"/>
        </w:rPr>
        <w:t>质量安全环保部QHSE</w:t>
      </w:r>
      <w:r>
        <w:rPr>
          <w:rFonts w:hint="eastAsia" w:ascii="方正仿宋简体" w:hAnsi="方正仿宋简体" w:eastAsia="方正仿宋简体" w:cs="方正仿宋简体"/>
          <w:b w:val="0"/>
          <w:bCs w:val="0"/>
          <w:color w:val="auto"/>
          <w:sz w:val="28"/>
          <w:szCs w:val="28"/>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w:t>
      </w:r>
      <w:r>
        <w:rPr>
          <w:rFonts w:hint="eastAsia" w:ascii="方正仿宋简体" w:hAnsi="方正仿宋简体" w:eastAsia="方正仿宋简体" w:cs="方正仿宋简体"/>
          <w:bCs/>
          <w:color w:val="auto"/>
          <w:sz w:val="28"/>
          <w:szCs w:val="28"/>
        </w:rPr>
        <w:t>贯彻落实国家质量健康安全环保法律法规、集团公司及分公司质量健康安全环保管理的方针政策、规范和标准, 负责公司</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管理</w:t>
      </w:r>
      <w:r>
        <w:rPr>
          <w:rFonts w:hint="eastAsia" w:ascii="方正仿宋简体" w:hAnsi="方正仿宋简体" w:eastAsia="方正仿宋简体" w:cs="方正仿宋简体"/>
          <w:bCs/>
          <w:color w:val="auto"/>
          <w:sz w:val="28"/>
          <w:szCs w:val="28"/>
          <w:lang w:eastAsia="zh-CN"/>
        </w:rPr>
        <w:t>委员会和</w:t>
      </w:r>
      <w:r>
        <w:rPr>
          <w:rFonts w:hint="eastAsia" w:ascii="方正仿宋简体" w:hAnsi="方正仿宋简体" w:eastAsia="方正仿宋简体" w:cs="方正仿宋简体"/>
          <w:bCs/>
          <w:color w:val="auto"/>
          <w:sz w:val="28"/>
          <w:szCs w:val="28"/>
          <w:lang w:val="en-US" w:eastAsia="zh-CN"/>
        </w:rPr>
        <w:t>QHSE管理</w:t>
      </w:r>
      <w:r>
        <w:rPr>
          <w:rFonts w:hint="eastAsia" w:ascii="方正仿宋简体" w:hAnsi="方正仿宋简体" w:eastAsia="方正仿宋简体" w:cs="方正仿宋简体"/>
          <w:bCs/>
          <w:color w:val="auto"/>
          <w:sz w:val="28"/>
          <w:szCs w:val="28"/>
        </w:rPr>
        <w:t>体系的日常工作，组织</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管理体系的建设、推行、实施、保持和持续改进工作。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2.</w:t>
      </w:r>
      <w:r>
        <w:rPr>
          <w:rFonts w:hint="eastAsia" w:ascii="方正仿宋简体" w:hAnsi="方正仿宋简体" w:eastAsia="方正仿宋简体" w:cs="方正仿宋简体"/>
          <w:bCs/>
          <w:color w:val="auto"/>
          <w:sz w:val="28"/>
          <w:szCs w:val="28"/>
        </w:rPr>
        <w:t>组织或参与制（修）订公司及本部门业务范围内的质量健康安全环保管理规章制度、操作规程。</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3.</w:t>
      </w:r>
      <w:r>
        <w:rPr>
          <w:rFonts w:hint="eastAsia" w:ascii="方正仿宋简体" w:hAnsi="方正仿宋简体" w:eastAsia="方正仿宋简体" w:cs="方正仿宋简体"/>
          <w:bCs/>
          <w:color w:val="auto"/>
          <w:sz w:val="28"/>
          <w:szCs w:val="28"/>
        </w:rPr>
        <w:t>负责编制公司年度</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重点工作计划，督促指导各单位实施。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4.</w:t>
      </w:r>
      <w:r>
        <w:rPr>
          <w:rFonts w:hint="eastAsia" w:ascii="方正仿宋简体" w:hAnsi="方正仿宋简体" w:eastAsia="方正仿宋简体" w:cs="方正仿宋简体"/>
          <w:bCs/>
          <w:color w:val="auto"/>
          <w:sz w:val="28"/>
          <w:szCs w:val="28"/>
        </w:rPr>
        <w:t>组织公司危害因素辨识工作，指导各部门对业务范围内危害因素的辨识、评价，制定和落实风险控制措施</w:t>
      </w:r>
      <w:r>
        <w:rPr>
          <w:rFonts w:hint="eastAsia" w:ascii="方正仿宋简体" w:hAnsi="方正仿宋简体" w:eastAsia="方正仿宋简体" w:cs="方正仿宋简体"/>
          <w:bCs/>
          <w:color w:val="auto"/>
          <w:sz w:val="28"/>
          <w:szCs w:val="28"/>
          <w:lang w:eastAsia="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color w:val="auto"/>
          <w:sz w:val="28"/>
          <w:szCs w:val="28"/>
          <w:lang w:val="en-US" w:eastAsia="zh-CN"/>
        </w:rPr>
        <w:t>5.</w:t>
      </w:r>
      <w:r>
        <w:rPr>
          <w:rFonts w:hint="eastAsia" w:ascii="方正仿宋简体" w:hAnsi="方正仿宋简体" w:eastAsia="方正仿宋简体" w:cs="方正仿宋简体"/>
          <w:color w:val="auto"/>
          <w:sz w:val="28"/>
          <w:szCs w:val="28"/>
        </w:rPr>
        <w:t>组织安全生产综合检查，</w:t>
      </w:r>
      <w:r>
        <w:rPr>
          <w:rFonts w:hint="eastAsia" w:ascii="方正仿宋简体" w:hAnsi="方正仿宋简体" w:eastAsia="方正仿宋简体" w:cs="方正仿宋简体"/>
          <w:color w:val="auto"/>
          <w:sz w:val="28"/>
          <w:szCs w:val="28"/>
          <w:lang w:eastAsia="zh-CN"/>
        </w:rPr>
        <w:t>及时排查生产安全事故隐患，提出改进安全生产管理的建议。</w:t>
      </w:r>
      <w:r>
        <w:rPr>
          <w:rFonts w:hint="eastAsia" w:ascii="方正仿宋简体" w:hAnsi="方正仿宋简体" w:eastAsia="方正仿宋简体" w:cs="方正仿宋简体"/>
          <w:color w:val="auto"/>
          <w:sz w:val="28"/>
          <w:szCs w:val="28"/>
        </w:rPr>
        <w:t>制止和纠正违章指挥、强令他人冒险作业、违反操作规程的行为。负责公司安全环保隐患动态管理，负责督促指导隐患管理工作，定期做好隐患整改台帐登记及更新</w:t>
      </w:r>
      <w:r>
        <w:rPr>
          <w:rFonts w:hint="eastAsia" w:ascii="方正仿宋简体" w:hAnsi="方正仿宋简体" w:eastAsia="方正仿宋简体" w:cs="方正仿宋简体"/>
          <w:bCs/>
          <w:color w:val="auto"/>
          <w:sz w:val="28"/>
          <w:szCs w:val="28"/>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6.</w:t>
      </w:r>
      <w:r>
        <w:rPr>
          <w:rFonts w:hint="eastAsia" w:ascii="方正仿宋简体" w:hAnsi="方正仿宋简体" w:eastAsia="方正仿宋简体" w:cs="方正仿宋简体"/>
          <w:bCs/>
          <w:color w:val="auto"/>
          <w:sz w:val="28"/>
          <w:szCs w:val="28"/>
        </w:rPr>
        <w:t>组织公司各单位、岗位员工签订《</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目标责任书》。</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7.在公司主要负责人的组织下，负责《突发事件综合应急处置预案》编制工作、指导各单位对分管业务内的预案进行编制、修订和演练工作。</w:t>
      </w:r>
      <w:r>
        <w:rPr>
          <w:rFonts w:hint="eastAsia" w:ascii="方正仿宋简体" w:hAnsi="方正仿宋简体" w:eastAsia="方正仿宋简体" w:cs="方正仿宋简体"/>
          <w:bCs/>
          <w:color w:val="auto"/>
          <w:sz w:val="28"/>
          <w:szCs w:val="28"/>
          <w:lang w:eastAsia="zh-CN"/>
        </w:rPr>
        <w:t>组织或</w:t>
      </w:r>
      <w:r>
        <w:rPr>
          <w:rFonts w:hint="eastAsia" w:ascii="方正仿宋简体" w:hAnsi="方正仿宋简体" w:eastAsia="方正仿宋简体" w:cs="方正仿宋简体"/>
          <w:bCs/>
          <w:color w:val="auto"/>
          <w:sz w:val="28"/>
          <w:szCs w:val="28"/>
        </w:rPr>
        <w:t>参与公司突发事件的应急救援及演练工作。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8.负责承包商施工安全合同、HSE准入资质和年度安全业绩等内容的审查考核工作，对业务范围内的承包商开展质量健康安全环保管理和监督检查工作。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left="137"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9.负责对作业许可执行情况进行独立的符合性审核，对审核结果进行分析，提出改进建议；</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10.负责公司职业健康和劳动保护管理工作。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11.组织或参加各类事故、事件的调查、分析和处理工作，参与认定工伤事故的管理工作。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12.督促对新建、扩建、改建项目及在役生产设施、装置、装备的安全评价，参与新建、扩建、改建及大修、技改工程中有关质量健康安全环保的设计方案审查。</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13.</w:t>
      </w:r>
      <w:r>
        <w:rPr>
          <w:rFonts w:hint="eastAsia" w:ascii="方正仿宋简体" w:hAnsi="方正仿宋简体" w:eastAsia="方正仿宋简体" w:cs="方正仿宋简体"/>
          <w:bCs/>
          <w:color w:val="auto"/>
          <w:sz w:val="28"/>
          <w:szCs w:val="28"/>
          <w:lang w:eastAsia="zh-CN"/>
        </w:rPr>
        <w:t>组织或</w:t>
      </w:r>
      <w:r>
        <w:rPr>
          <w:rFonts w:hint="eastAsia" w:ascii="方正仿宋简体" w:hAnsi="方正仿宋简体" w:eastAsia="方正仿宋简体" w:cs="方正仿宋简体"/>
          <w:bCs/>
          <w:color w:val="auto"/>
          <w:sz w:val="28"/>
          <w:szCs w:val="28"/>
        </w:rPr>
        <w:t>参与重大危险源的辩识、评价工作，督促落实本单位重大危险源的安全管理措施。</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14.参与指导有关部门对员工进行安全教育和培训、新入厂员工三级安全教育和转岗员工的安全教育，如实记录安全生产教育和培训情况。监督检查特种作业人员培训、持证上岗情况。</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15.负责</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管理信息系统的日常维护和管理工作。</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16.负责识别本部门人员的质量健康安全环保培训需求，组织部门人员学习掌握质量健康安全环保规章制度及有关知识。</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17.负责公司消防综合管理。</w:t>
      </w:r>
    </w:p>
    <w:p>
      <w:pPr>
        <w:keepNext w:val="0"/>
        <w:keepLines w:val="0"/>
        <w:pageBreakBefore w:val="0"/>
        <w:widowControl w:val="0"/>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rPr>
        <w:t>18.负责本部门岗位</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管理职责描述与绩效考核，负责本部门办公区域的安全环保管理。</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rPr>
      </w:pPr>
      <w:r>
        <w:rPr>
          <w:rFonts w:hint="eastAsia" w:ascii="方正仿宋简体" w:hAnsi="方正仿宋简体" w:eastAsia="方正仿宋简体" w:cs="方正仿宋简体"/>
          <w:b/>
          <w:bCs/>
          <w:color w:val="auto"/>
          <w:sz w:val="28"/>
          <w:szCs w:val="28"/>
        </w:rPr>
        <w:t>第</w:t>
      </w:r>
      <w:r>
        <w:rPr>
          <w:rFonts w:hint="eastAsia" w:ascii="方正仿宋简体" w:hAnsi="方正仿宋简体" w:eastAsia="方正仿宋简体" w:cs="方正仿宋简体"/>
          <w:b/>
          <w:bCs/>
          <w:color w:val="auto"/>
          <w:sz w:val="28"/>
          <w:szCs w:val="28"/>
          <w:lang w:eastAsia="zh-CN"/>
        </w:rPr>
        <w:t>十六</w:t>
      </w:r>
      <w:r>
        <w:rPr>
          <w:rFonts w:hint="eastAsia" w:ascii="方正仿宋简体" w:hAnsi="方正仿宋简体" w:eastAsia="方正仿宋简体" w:cs="方正仿宋简体"/>
          <w:b/>
          <w:bCs/>
          <w:color w:val="auto"/>
          <w:sz w:val="28"/>
          <w:szCs w:val="28"/>
        </w:rPr>
        <w:t xml:space="preserve">条 </w:t>
      </w:r>
      <w:r>
        <w:rPr>
          <w:rFonts w:hint="eastAsia" w:ascii="方正仿宋简体" w:hAnsi="方正仿宋简体" w:eastAsia="方正仿宋简体" w:cs="方正仿宋简体"/>
          <w:b/>
          <w:bCs/>
          <w:color w:val="auto"/>
          <w:sz w:val="28"/>
          <w:szCs w:val="28"/>
          <w:lang w:val="en-US" w:eastAsia="zh-CN"/>
        </w:rPr>
        <w:t xml:space="preserve"> </w:t>
      </w:r>
      <w:r>
        <w:rPr>
          <w:rFonts w:hint="eastAsia" w:ascii="方正仿宋简体" w:hAnsi="方正仿宋简体" w:eastAsia="方正仿宋简体" w:cs="方正仿宋简体"/>
          <w:b w:val="0"/>
          <w:bCs w:val="0"/>
          <w:color w:val="auto"/>
          <w:sz w:val="28"/>
          <w:szCs w:val="28"/>
          <w:lang w:eastAsia="zh-CN"/>
        </w:rPr>
        <w:t>财务资产部QHSE</w:t>
      </w:r>
      <w:r>
        <w:rPr>
          <w:rFonts w:hint="eastAsia" w:ascii="方正仿宋简体" w:hAnsi="方正仿宋简体" w:eastAsia="方正仿宋简体" w:cs="方正仿宋简体"/>
          <w:b w:val="0"/>
          <w:bCs w:val="0"/>
          <w:color w:val="auto"/>
          <w:sz w:val="28"/>
          <w:szCs w:val="28"/>
        </w:rPr>
        <w:t>职责</w:t>
      </w:r>
    </w:p>
    <w:p>
      <w:pPr>
        <w:pStyle w:val="145"/>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1.贯彻落实国家质量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安全环保法律法规、集团公司及分公司质量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安全环保管理的方针政策、规范和标准,负责货币资金管理、财务基础工作管理、税务及发票管理等业务范围内的质量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安全环保管理工作。</w:t>
      </w:r>
    </w:p>
    <w:p>
      <w:pPr>
        <w:pStyle w:val="145"/>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2.组织制（修）订本部门业务范围内的质量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安全环保管理规章制度。</w:t>
      </w:r>
    </w:p>
    <w:p>
      <w:pPr>
        <w:pStyle w:val="145"/>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3.组织开展本部门业务范围内危害因素的辨识、评价，制定和落实风险控制措施。</w:t>
      </w:r>
    </w:p>
    <w:p>
      <w:pPr>
        <w:pStyle w:val="145"/>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4.组织清理排查本部门业务范围内隐患，制定隐患整改计划和措施，并组织实施。</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5.负责组织本部门人员签订《</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color w:val="auto"/>
          <w:sz w:val="28"/>
          <w:szCs w:val="28"/>
        </w:rPr>
        <w:t>责任书》，制定并督促本部门人员落实岗位的质量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安全环保职责。</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6.负责参与公司《突发事件综合应急处置预案》演练工作。</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7.参与公司突发事件的应急处置，参与突发事件信息收集报送工作、处置现场的接待、媒体沟通和有关的协调工作，根据指令参加其他应急处置工作。</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8.负责本部门业务范围内的承包商质量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安全环保监督管理，开展质量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安全环保监督检查。</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9</w:t>
      </w:r>
      <w:r>
        <w:rPr>
          <w:rFonts w:hint="eastAsia" w:ascii="方正仿宋简体" w:hAnsi="方正仿宋简体" w:eastAsia="方正仿宋简体" w:cs="方正仿宋简体"/>
          <w:color w:val="auto"/>
          <w:sz w:val="28"/>
          <w:szCs w:val="28"/>
          <w:lang w:val="en-US" w:eastAsia="zh-CN"/>
        </w:rPr>
        <w:t>.</w:t>
      </w:r>
      <w:r>
        <w:rPr>
          <w:rFonts w:hint="eastAsia" w:ascii="方正仿宋简体" w:hAnsi="方正仿宋简体" w:eastAsia="方正仿宋简体" w:cs="方正仿宋简体"/>
          <w:color w:val="auto"/>
          <w:sz w:val="28"/>
          <w:szCs w:val="28"/>
        </w:rPr>
        <w:t>负责识别本部门人员的质量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安全环保培训需求，组织部门人员学习掌握质量</w:t>
      </w:r>
      <w:r>
        <w:rPr>
          <w:rFonts w:hint="eastAsia" w:ascii="方正仿宋简体" w:hAnsi="方正仿宋简体" w:eastAsia="方正仿宋简体" w:cs="方正仿宋简体"/>
          <w:bCs/>
          <w:color w:val="auto"/>
          <w:sz w:val="28"/>
          <w:szCs w:val="28"/>
        </w:rPr>
        <w:t>健康</w:t>
      </w:r>
      <w:r>
        <w:rPr>
          <w:rFonts w:hint="eastAsia" w:ascii="方正仿宋简体" w:hAnsi="方正仿宋简体" w:eastAsia="方正仿宋简体" w:cs="方正仿宋简体"/>
          <w:color w:val="auto"/>
          <w:sz w:val="28"/>
          <w:szCs w:val="28"/>
        </w:rPr>
        <w:t>安全环保规章制度及有关知识。</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10.负责本部门办公区域的</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color w:val="auto"/>
          <w:sz w:val="28"/>
          <w:szCs w:val="28"/>
        </w:rPr>
        <w:t>管理。</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w:t>
      </w:r>
      <w:r>
        <w:rPr>
          <w:rFonts w:hint="eastAsia" w:ascii="方正仿宋简体" w:hAnsi="方正仿宋简体" w:eastAsia="方正仿宋简体" w:cs="方正仿宋简体"/>
          <w:color w:val="auto"/>
          <w:sz w:val="28"/>
          <w:szCs w:val="28"/>
          <w:lang w:val="en-US" w:eastAsia="zh-CN"/>
        </w:rPr>
        <w:t>1.</w:t>
      </w:r>
      <w:r>
        <w:rPr>
          <w:rFonts w:hint="eastAsia" w:ascii="方正仿宋简体" w:hAnsi="方正仿宋简体" w:eastAsia="方正仿宋简体" w:cs="方正仿宋简体"/>
          <w:color w:val="auto"/>
          <w:sz w:val="28"/>
          <w:szCs w:val="28"/>
        </w:rPr>
        <w:t>负责本部门岗位</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color w:val="auto"/>
          <w:sz w:val="28"/>
          <w:szCs w:val="28"/>
        </w:rPr>
        <w:t>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color w:val="auto"/>
          <w:sz w:val="28"/>
          <w:szCs w:val="28"/>
        </w:rPr>
      </w:pPr>
      <w:r>
        <w:rPr>
          <w:rFonts w:hint="eastAsia" w:ascii="方正仿宋简体" w:hAnsi="方正仿宋简体" w:eastAsia="方正仿宋简体" w:cs="方正仿宋简体"/>
          <w:b/>
          <w:bCs/>
          <w:color w:val="auto"/>
          <w:sz w:val="28"/>
          <w:szCs w:val="28"/>
        </w:rPr>
        <w:t>第十</w:t>
      </w:r>
      <w:r>
        <w:rPr>
          <w:rFonts w:hint="eastAsia" w:ascii="方正仿宋简体" w:hAnsi="方正仿宋简体" w:eastAsia="方正仿宋简体" w:cs="方正仿宋简体"/>
          <w:b/>
          <w:bCs/>
          <w:color w:val="auto"/>
          <w:sz w:val="28"/>
          <w:szCs w:val="28"/>
          <w:lang w:eastAsia="zh-CN"/>
        </w:rPr>
        <w:t>七</w:t>
      </w:r>
      <w:r>
        <w:rPr>
          <w:rFonts w:hint="eastAsia" w:ascii="方正仿宋简体" w:hAnsi="方正仿宋简体" w:eastAsia="方正仿宋简体" w:cs="方正仿宋简体"/>
          <w:b/>
          <w:bCs/>
          <w:color w:val="auto"/>
          <w:sz w:val="28"/>
          <w:szCs w:val="28"/>
        </w:rPr>
        <w:t>条</w:t>
      </w:r>
      <w:r>
        <w:rPr>
          <w:rFonts w:hint="eastAsia" w:ascii="方正仿宋简体" w:hAnsi="方正仿宋简体" w:eastAsia="方正仿宋简体" w:cs="方正仿宋简体"/>
          <w:b/>
          <w:bCs/>
          <w:color w:val="auto"/>
          <w:sz w:val="28"/>
          <w:szCs w:val="28"/>
          <w:lang w:val="en-US" w:eastAsia="zh-CN"/>
        </w:rPr>
        <w:t xml:space="preserve"> </w:t>
      </w:r>
      <w:r>
        <w:rPr>
          <w:rFonts w:hint="eastAsia" w:ascii="方正仿宋简体" w:hAnsi="方正仿宋简体" w:eastAsia="方正仿宋简体" w:cs="方正仿宋简体"/>
          <w:b/>
          <w:bCs/>
          <w:color w:val="auto"/>
          <w:sz w:val="28"/>
          <w:szCs w:val="28"/>
        </w:rPr>
        <w:t xml:space="preserve"> </w:t>
      </w:r>
      <w:r>
        <w:rPr>
          <w:rFonts w:hint="eastAsia" w:ascii="方正仿宋简体" w:hAnsi="方正仿宋简体" w:eastAsia="方正仿宋简体" w:cs="方正仿宋简体"/>
          <w:b w:val="0"/>
          <w:bCs w:val="0"/>
          <w:color w:val="auto"/>
          <w:sz w:val="28"/>
          <w:szCs w:val="28"/>
          <w:lang w:eastAsia="zh-CN"/>
        </w:rPr>
        <w:t>市场经营</w:t>
      </w:r>
      <w:r>
        <w:rPr>
          <w:rFonts w:hint="eastAsia" w:ascii="方正仿宋简体" w:hAnsi="方正仿宋简体" w:eastAsia="方正仿宋简体" w:cs="方正仿宋简体"/>
          <w:b w:val="0"/>
          <w:bCs w:val="0"/>
          <w:color w:val="auto"/>
          <w:sz w:val="28"/>
          <w:szCs w:val="28"/>
        </w:rPr>
        <w:t>发展部</w:t>
      </w:r>
      <w:r>
        <w:rPr>
          <w:rFonts w:hint="eastAsia" w:ascii="方正仿宋简体" w:hAnsi="方正仿宋简体" w:eastAsia="方正仿宋简体" w:cs="方正仿宋简体"/>
          <w:b w:val="0"/>
          <w:bCs w:val="0"/>
          <w:color w:val="auto"/>
          <w:sz w:val="28"/>
          <w:szCs w:val="28"/>
          <w:lang w:eastAsia="zh-CN"/>
        </w:rPr>
        <w:t>QHSE</w:t>
      </w:r>
      <w:r>
        <w:rPr>
          <w:rFonts w:hint="eastAsia" w:ascii="方正仿宋简体" w:hAnsi="方正仿宋简体" w:eastAsia="方正仿宋简体" w:cs="方正仿宋简体"/>
          <w:b w:val="0"/>
          <w:bCs w:val="0"/>
          <w:color w:val="auto"/>
          <w:sz w:val="28"/>
          <w:szCs w:val="28"/>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w:t>
      </w:r>
      <w:r>
        <w:rPr>
          <w:rFonts w:hint="eastAsia" w:ascii="方正仿宋简体" w:hAnsi="方正仿宋简体" w:eastAsia="方正仿宋简体" w:cs="方正仿宋简体"/>
          <w:bCs/>
          <w:color w:val="auto"/>
          <w:sz w:val="28"/>
          <w:szCs w:val="28"/>
        </w:rPr>
        <w:t>贯彻落实国家质量健康安全环保法律法规、集团公司及分公司质量健康安全环保管理的方针政策、规范和标准,负责合同、招投标、营销和工程造价管理等本部门业务范围内的质量健康安全环保管理工作。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2.</w:t>
      </w:r>
      <w:r>
        <w:rPr>
          <w:rFonts w:hint="eastAsia" w:ascii="方正仿宋简体" w:hAnsi="方正仿宋简体" w:eastAsia="方正仿宋简体" w:cs="方正仿宋简体"/>
          <w:bCs/>
          <w:color w:val="auto"/>
          <w:sz w:val="28"/>
          <w:szCs w:val="28"/>
        </w:rPr>
        <w:t>组织制（修）订本部门业务范围内的质量健康安全环保管理规章制度。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3.</w:t>
      </w:r>
      <w:r>
        <w:rPr>
          <w:rFonts w:hint="eastAsia" w:ascii="方正仿宋简体" w:hAnsi="方正仿宋简体" w:eastAsia="方正仿宋简体" w:cs="方正仿宋简体"/>
          <w:bCs/>
          <w:color w:val="auto"/>
          <w:sz w:val="28"/>
          <w:szCs w:val="28"/>
        </w:rPr>
        <w:t>负责计划、实施、检查本部门分管业务工作时，同时计划、实施、检查质量健康安全环保工作。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4.</w:t>
      </w:r>
      <w:r>
        <w:rPr>
          <w:rFonts w:hint="eastAsia" w:ascii="方正仿宋简体" w:hAnsi="方正仿宋简体" w:eastAsia="方正仿宋简体" w:cs="方正仿宋简体"/>
          <w:bCs/>
          <w:color w:val="auto"/>
          <w:sz w:val="28"/>
          <w:szCs w:val="28"/>
        </w:rPr>
        <w:t>组织开展本部门业务范围内危害因素的辨识、评价，制定和落实风险控制措施。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5.</w:t>
      </w:r>
      <w:r>
        <w:rPr>
          <w:rFonts w:hint="eastAsia" w:ascii="方正仿宋简体" w:hAnsi="方正仿宋简体" w:eastAsia="方正仿宋简体" w:cs="方正仿宋简体"/>
          <w:bCs/>
          <w:color w:val="auto"/>
          <w:sz w:val="28"/>
          <w:szCs w:val="28"/>
        </w:rPr>
        <w:t>组织清理排查本部门业务范围内隐患，制定隐患整改计划和措施，并组织实施。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6.</w:t>
      </w:r>
      <w:r>
        <w:rPr>
          <w:rFonts w:hint="eastAsia" w:ascii="方正仿宋简体" w:hAnsi="方正仿宋简体" w:eastAsia="方正仿宋简体" w:cs="方正仿宋简体"/>
          <w:bCs/>
          <w:color w:val="auto"/>
          <w:sz w:val="28"/>
          <w:szCs w:val="28"/>
        </w:rPr>
        <w:t>负责组织本部门人员签订《</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责任书》，制定并督促本部门人员落实岗位的质量健康安全环保职责。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7.</w:t>
      </w:r>
      <w:r>
        <w:rPr>
          <w:rFonts w:hint="eastAsia" w:ascii="方正仿宋简体" w:hAnsi="方正仿宋简体" w:eastAsia="方正仿宋简体" w:cs="方正仿宋简体"/>
          <w:bCs/>
          <w:color w:val="auto"/>
          <w:sz w:val="28"/>
          <w:szCs w:val="28"/>
        </w:rPr>
        <w:t>参与公司《突发事件综合应急处置预案》的编制、修订和演练工作。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8.</w:t>
      </w:r>
      <w:r>
        <w:rPr>
          <w:rFonts w:hint="eastAsia" w:ascii="方正仿宋简体" w:hAnsi="方正仿宋简体" w:eastAsia="方正仿宋简体" w:cs="方正仿宋简体"/>
          <w:bCs/>
          <w:color w:val="auto"/>
          <w:sz w:val="28"/>
          <w:szCs w:val="28"/>
        </w:rPr>
        <w:t>参与公司突发事件的应急处置及根据指令参加其他应急处置工作。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9.</w:t>
      </w:r>
      <w:r>
        <w:rPr>
          <w:rFonts w:hint="eastAsia" w:ascii="方正仿宋简体" w:hAnsi="方正仿宋简体" w:eastAsia="方正仿宋简体" w:cs="方正仿宋简体"/>
          <w:bCs/>
          <w:color w:val="auto"/>
          <w:sz w:val="28"/>
          <w:szCs w:val="28"/>
        </w:rPr>
        <w:t>负责本部门业务范围内的承包商质量健康安全环保监督管理，开展质量健康安全环保监督检查。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10.</w:t>
      </w:r>
      <w:r>
        <w:rPr>
          <w:rFonts w:hint="eastAsia" w:ascii="方正仿宋简体" w:hAnsi="方正仿宋简体" w:eastAsia="方正仿宋简体" w:cs="方正仿宋简体"/>
          <w:bCs/>
          <w:color w:val="auto"/>
          <w:sz w:val="28"/>
          <w:szCs w:val="28"/>
        </w:rPr>
        <w:t>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11.</w:t>
      </w:r>
      <w:r>
        <w:rPr>
          <w:rFonts w:hint="eastAsia" w:ascii="方正仿宋简体" w:hAnsi="方正仿宋简体" w:eastAsia="方正仿宋简体" w:cs="方正仿宋简体"/>
          <w:bCs/>
          <w:color w:val="auto"/>
          <w:sz w:val="28"/>
          <w:szCs w:val="28"/>
        </w:rPr>
        <w:t>负责本部门办公区域的</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bCs/>
          <w:color w:val="auto"/>
          <w:sz w:val="28"/>
          <w:szCs w:val="28"/>
        </w:rPr>
        <w:t>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12.</w:t>
      </w:r>
      <w:r>
        <w:rPr>
          <w:rFonts w:hint="eastAsia" w:ascii="方正仿宋简体" w:hAnsi="方正仿宋简体" w:eastAsia="方正仿宋简体" w:cs="方正仿宋简体"/>
          <w:bCs/>
          <w:color w:val="auto"/>
          <w:sz w:val="28"/>
          <w:szCs w:val="28"/>
        </w:rPr>
        <w:t>负责本部门岗位</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管理职责描述与绩效考核。</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
          <w:bCs w:val="0"/>
          <w:color w:val="auto"/>
          <w:sz w:val="28"/>
          <w:szCs w:val="28"/>
        </w:rPr>
        <w:t>第十</w:t>
      </w:r>
      <w:r>
        <w:rPr>
          <w:rFonts w:hint="eastAsia" w:ascii="方正仿宋简体" w:hAnsi="方正仿宋简体" w:eastAsia="方正仿宋简体" w:cs="方正仿宋简体"/>
          <w:b/>
          <w:bCs w:val="0"/>
          <w:color w:val="auto"/>
          <w:sz w:val="28"/>
          <w:szCs w:val="28"/>
          <w:lang w:eastAsia="zh-CN"/>
        </w:rPr>
        <w:t>八</w:t>
      </w:r>
      <w:r>
        <w:rPr>
          <w:rFonts w:hint="eastAsia" w:ascii="方正仿宋简体" w:hAnsi="方正仿宋简体" w:eastAsia="方正仿宋简体" w:cs="方正仿宋简体"/>
          <w:b/>
          <w:bCs w:val="0"/>
          <w:color w:val="auto"/>
          <w:sz w:val="28"/>
          <w:szCs w:val="28"/>
        </w:rPr>
        <w:t>条</w:t>
      </w:r>
      <w:r>
        <w:rPr>
          <w:rFonts w:hint="eastAsia" w:ascii="方正仿宋简体" w:hAnsi="方正仿宋简体" w:eastAsia="方正仿宋简体" w:cs="方正仿宋简体"/>
          <w:bCs/>
          <w:color w:val="auto"/>
          <w:sz w:val="28"/>
          <w:szCs w:val="28"/>
        </w:rPr>
        <w:t xml:space="preserve"> </w:t>
      </w:r>
      <w:r>
        <w:rPr>
          <w:rFonts w:hint="eastAsia" w:ascii="方正仿宋简体" w:hAnsi="方正仿宋简体" w:eastAsia="方正仿宋简体" w:cs="方正仿宋简体"/>
          <w:bCs/>
          <w:color w:val="auto"/>
          <w:sz w:val="28"/>
          <w:szCs w:val="28"/>
          <w:lang w:val="en-US" w:eastAsia="zh-CN"/>
        </w:rPr>
        <w:t xml:space="preserve"> 管道管理部</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w:t>
      </w:r>
      <w:r>
        <w:rPr>
          <w:rFonts w:hint="eastAsia" w:ascii="方正仿宋简体" w:hAnsi="方正仿宋简体" w:eastAsia="方正仿宋简体" w:cs="方正仿宋简体"/>
          <w:bCs/>
          <w:color w:val="auto"/>
          <w:sz w:val="28"/>
          <w:szCs w:val="28"/>
        </w:rPr>
        <w:t>贯彻落实国家质量健康安全环保法律法规、集团公司及分公司质量健康安全环保管理的方针政策、规范和标准,负责</w:t>
      </w:r>
      <w:r>
        <w:rPr>
          <w:rFonts w:hint="eastAsia" w:ascii="方正仿宋简体" w:hAnsi="方正仿宋简体" w:eastAsia="方正仿宋简体" w:cs="方正仿宋简体"/>
          <w:bCs/>
          <w:color w:val="auto"/>
          <w:sz w:val="28"/>
          <w:szCs w:val="28"/>
          <w:lang w:eastAsia="zh-CN"/>
        </w:rPr>
        <w:t>管理</w:t>
      </w:r>
      <w:r>
        <w:rPr>
          <w:rFonts w:hint="eastAsia" w:ascii="方正仿宋简体" w:hAnsi="方正仿宋简体" w:eastAsia="方正仿宋简体" w:cs="方正仿宋简体"/>
          <w:bCs/>
          <w:color w:val="auto"/>
          <w:sz w:val="28"/>
          <w:szCs w:val="28"/>
        </w:rPr>
        <w:t>管理等本部门业务范围内的质量健康安全环保管理工作。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2.</w:t>
      </w:r>
      <w:r>
        <w:rPr>
          <w:rFonts w:hint="eastAsia" w:ascii="方正仿宋简体" w:hAnsi="方正仿宋简体" w:eastAsia="方正仿宋简体" w:cs="方正仿宋简体"/>
          <w:bCs/>
          <w:color w:val="auto"/>
          <w:sz w:val="28"/>
          <w:szCs w:val="28"/>
        </w:rPr>
        <w:t>组织制（修）订本部门业务范围内的质量健康安全环保管理规章制度。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3.</w:t>
      </w:r>
      <w:r>
        <w:rPr>
          <w:rFonts w:hint="eastAsia" w:ascii="方正仿宋简体" w:hAnsi="方正仿宋简体" w:eastAsia="方正仿宋简体" w:cs="方正仿宋简体"/>
          <w:bCs/>
          <w:color w:val="auto"/>
          <w:sz w:val="28"/>
          <w:szCs w:val="28"/>
        </w:rPr>
        <w:t>负责计划、实施、检查本部门分管业务工作时，同时计划、实施、检查质量健康安全环保工作。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4.</w:t>
      </w:r>
      <w:r>
        <w:rPr>
          <w:rFonts w:hint="eastAsia" w:ascii="方正仿宋简体" w:hAnsi="方正仿宋简体" w:eastAsia="方正仿宋简体" w:cs="方正仿宋简体"/>
          <w:bCs/>
          <w:color w:val="auto"/>
          <w:sz w:val="28"/>
          <w:szCs w:val="28"/>
        </w:rPr>
        <w:t>组织开展本部门业务范围内危害因素的辨识、评价，制定和落实风险控制措施。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5.</w:t>
      </w:r>
      <w:r>
        <w:rPr>
          <w:rFonts w:hint="eastAsia" w:ascii="方正仿宋简体" w:hAnsi="方正仿宋简体" w:eastAsia="方正仿宋简体" w:cs="方正仿宋简体"/>
          <w:bCs/>
          <w:color w:val="auto"/>
          <w:sz w:val="28"/>
          <w:szCs w:val="28"/>
        </w:rPr>
        <w:t>组织清理排查本部门业务范围内隐患，制定隐患整改计划和措施，并组织实施。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6.</w:t>
      </w:r>
      <w:r>
        <w:rPr>
          <w:rFonts w:hint="eastAsia" w:ascii="方正仿宋简体" w:hAnsi="方正仿宋简体" w:eastAsia="方正仿宋简体" w:cs="方正仿宋简体"/>
          <w:bCs/>
          <w:color w:val="auto"/>
          <w:sz w:val="28"/>
          <w:szCs w:val="28"/>
        </w:rPr>
        <w:t>负责组织本部门人员签订《</w:t>
      </w:r>
      <w:r>
        <w:rPr>
          <w:rFonts w:hint="eastAsia" w:ascii="方正仿宋简体" w:hAnsi="方正仿宋简体" w:eastAsia="方正仿宋简体" w:cs="方正仿宋简体"/>
          <w:bCs/>
          <w:color w:val="auto"/>
          <w:sz w:val="28"/>
          <w:szCs w:val="28"/>
          <w:lang w:eastAsia="zh-CN"/>
        </w:rPr>
        <w:t>QHSE</w:t>
      </w:r>
      <w:r>
        <w:rPr>
          <w:rFonts w:hint="eastAsia" w:ascii="方正仿宋简体" w:hAnsi="方正仿宋简体" w:eastAsia="方正仿宋简体" w:cs="方正仿宋简体"/>
          <w:bCs/>
          <w:color w:val="auto"/>
          <w:sz w:val="28"/>
          <w:szCs w:val="28"/>
        </w:rPr>
        <w:t>责任书》，制定并督促本部门人员落实岗位的质量健康安全环保职责。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7.</w:t>
      </w:r>
      <w:r>
        <w:rPr>
          <w:rFonts w:hint="eastAsia" w:ascii="方正仿宋简体" w:hAnsi="方正仿宋简体" w:eastAsia="方正仿宋简体" w:cs="方正仿宋简体"/>
          <w:bCs/>
          <w:color w:val="auto"/>
          <w:sz w:val="28"/>
          <w:szCs w:val="28"/>
        </w:rPr>
        <w:t>参与公司《突发事件综合应急处置预案》的编制、修订和演练工作。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8.</w:t>
      </w:r>
      <w:r>
        <w:rPr>
          <w:rFonts w:hint="eastAsia" w:ascii="方正仿宋简体" w:hAnsi="方正仿宋简体" w:eastAsia="方正仿宋简体" w:cs="方正仿宋简体"/>
          <w:bCs/>
          <w:color w:val="auto"/>
          <w:sz w:val="28"/>
          <w:szCs w:val="28"/>
        </w:rPr>
        <w:t>参与公司突发事件的应急处置及根据指令参加其他应急处置工作。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9.</w:t>
      </w:r>
      <w:r>
        <w:rPr>
          <w:rFonts w:hint="eastAsia" w:ascii="方正仿宋简体" w:hAnsi="方正仿宋简体" w:eastAsia="方正仿宋简体" w:cs="方正仿宋简体"/>
          <w:bCs/>
          <w:color w:val="auto"/>
          <w:sz w:val="28"/>
          <w:szCs w:val="28"/>
        </w:rPr>
        <w:t>负责本部门业务范围内的承包商质量健康安全环保监督管理，开展质量健康安全环保监督检查。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10.负责识别本部门人员的质量健康安全环保培训需求，组织部门人员学习掌握质量健康安全环保规章制度及有关知识。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11.负责本部门办公区域的QHSE管理。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rPr>
      </w:pPr>
      <w:r>
        <w:rPr>
          <w:rFonts w:hint="eastAsia" w:ascii="方正仿宋简体" w:hAnsi="方正仿宋简体" w:eastAsia="方正仿宋简体" w:cs="方正仿宋简体"/>
          <w:bCs/>
          <w:color w:val="auto"/>
          <w:sz w:val="28"/>
          <w:szCs w:val="28"/>
          <w:lang w:val="en-US" w:eastAsia="zh-CN"/>
        </w:rPr>
        <w:t>12.负责本部门岗位QHSE管理职责描述与绩效考核。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rPr>
      </w:pPr>
      <w:r>
        <w:rPr>
          <w:rFonts w:hint="eastAsia" w:ascii="方正仿宋简体" w:hAnsi="方正仿宋简体" w:eastAsia="方正仿宋简体" w:cs="方正仿宋简体"/>
          <w:b/>
          <w:bCs/>
          <w:color w:val="auto"/>
          <w:sz w:val="28"/>
          <w:szCs w:val="28"/>
        </w:rPr>
        <w:t>第十</w:t>
      </w:r>
      <w:r>
        <w:rPr>
          <w:rFonts w:hint="eastAsia" w:ascii="方正仿宋简体" w:hAnsi="方正仿宋简体" w:eastAsia="方正仿宋简体" w:cs="方正仿宋简体"/>
          <w:b/>
          <w:bCs/>
          <w:color w:val="auto"/>
          <w:sz w:val="28"/>
          <w:szCs w:val="28"/>
          <w:lang w:eastAsia="zh-CN"/>
        </w:rPr>
        <w:t>九</w:t>
      </w:r>
      <w:r>
        <w:rPr>
          <w:rFonts w:hint="eastAsia" w:ascii="方正仿宋简体" w:hAnsi="方正仿宋简体" w:eastAsia="方正仿宋简体" w:cs="方正仿宋简体"/>
          <w:b/>
          <w:bCs/>
          <w:color w:val="auto"/>
          <w:sz w:val="28"/>
          <w:szCs w:val="28"/>
        </w:rPr>
        <w:t>条</w:t>
      </w:r>
      <w:r>
        <w:rPr>
          <w:rFonts w:hint="eastAsia" w:ascii="方正仿宋简体" w:hAnsi="方正仿宋简体" w:eastAsia="方正仿宋简体" w:cs="方正仿宋简体"/>
          <w:b/>
          <w:bCs/>
          <w:color w:val="auto"/>
          <w:sz w:val="28"/>
          <w:szCs w:val="28"/>
          <w:lang w:val="en-US" w:eastAsia="zh-CN"/>
        </w:rPr>
        <w:t xml:space="preserve"> </w:t>
      </w:r>
      <w:r>
        <w:rPr>
          <w:rFonts w:hint="eastAsia" w:ascii="方正仿宋简体" w:hAnsi="方正仿宋简体" w:eastAsia="方正仿宋简体" w:cs="方正仿宋简体"/>
          <w:b/>
          <w:bCs/>
          <w:color w:val="auto"/>
          <w:sz w:val="28"/>
          <w:szCs w:val="28"/>
        </w:rPr>
        <w:t xml:space="preserve"> </w:t>
      </w:r>
      <w:r>
        <w:rPr>
          <w:rFonts w:hint="eastAsia" w:ascii="方正仿宋简体" w:hAnsi="方正仿宋简体" w:eastAsia="方正仿宋简体" w:cs="方正仿宋简体"/>
          <w:b w:val="0"/>
          <w:bCs w:val="0"/>
          <w:color w:val="auto"/>
          <w:sz w:val="28"/>
          <w:szCs w:val="28"/>
        </w:rPr>
        <w:t>客户服务中心</w:t>
      </w:r>
      <w:r>
        <w:rPr>
          <w:rFonts w:hint="eastAsia" w:ascii="方正仿宋简体" w:hAnsi="方正仿宋简体" w:eastAsia="方正仿宋简体" w:cs="方正仿宋简体"/>
          <w:b w:val="0"/>
          <w:bCs w:val="0"/>
          <w:color w:val="auto"/>
          <w:sz w:val="28"/>
          <w:szCs w:val="28"/>
          <w:lang w:eastAsia="zh-CN"/>
        </w:rPr>
        <w:t>QHSE</w:t>
      </w:r>
      <w:r>
        <w:rPr>
          <w:rFonts w:hint="eastAsia" w:ascii="方正仿宋简体" w:hAnsi="方正仿宋简体" w:eastAsia="方正仿宋简体" w:cs="方正仿宋简体"/>
          <w:b w:val="0"/>
          <w:bCs w:val="0"/>
          <w:color w:val="auto"/>
          <w:sz w:val="28"/>
          <w:szCs w:val="28"/>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1.贯彻落实国家质量QHSE安全环保法律法规、集团公司及分公司质量安全环保管理的方针政策、规范和标准,负责入户安全检查、用户安全管理等业务范围内的质量健康安全环保管理工作。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 xml:space="preserve">2.组织制（修）订本部门业务范围内的质量健康安全环保管理规章制度。 </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3.负责计划、实施、检查本部门分管业务工作时，同时计划、实施、检查质量健康安全环保工作。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4.组织开展本部门业务范围内危害因素的辨识、评价，制定和落实风险控制措施。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5.组织清理排查本部门业务范围内隐患，制定隐患整改计划和措施，并组织实施。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6.负责组织本部门人员签订《QHSE责任书》，制定并督促本部门人员落实岗位的质量健康安全环保职责。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7.参与公司《突发事件综合应急处置预案》的编制、修订和演练工作，负责分管业务范围内的应急预案的编制、修订与演练工作。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8.参与公司突发事件的应急处置，负责组织燃气用户设施突发事件现场处置工作，根据指令参加其他应急处置工作。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9.负责本部门业务范围内的承包商质量健康安全环保监督管理，开展质量安全环保监督检查。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10.负责识别本部门人员的质量健康安全环保培训需求，组织部门人员学习掌握质量健康安全环保规章制度及有关知识。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11.负责本部门办公区域的QHSE管理。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12.负责本部门岗位QHSE管理职责描述与绩效考核。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bCs/>
          <w:sz w:val="28"/>
          <w:szCs w:val="28"/>
        </w:rPr>
        <w:t>第</w:t>
      </w:r>
      <w:r>
        <w:rPr>
          <w:rFonts w:hint="eastAsia" w:ascii="方正仿宋简体" w:hAnsi="方正仿宋简体" w:eastAsia="方正仿宋简体" w:cs="方正仿宋简体"/>
          <w:b/>
          <w:bCs/>
          <w:sz w:val="28"/>
          <w:szCs w:val="28"/>
          <w:lang w:eastAsia="zh-CN"/>
        </w:rPr>
        <w:t>二十</w:t>
      </w:r>
      <w:r>
        <w:rPr>
          <w:rFonts w:hint="eastAsia" w:ascii="方正仿宋简体" w:hAnsi="方正仿宋简体" w:eastAsia="方正仿宋简体" w:cs="方正仿宋简体"/>
          <w:b/>
          <w:bCs/>
          <w:sz w:val="28"/>
          <w:szCs w:val="28"/>
        </w:rPr>
        <w:t>条</w:t>
      </w:r>
      <w:r>
        <w:rPr>
          <w:rFonts w:hint="eastAsia" w:ascii="方正仿宋简体" w:hAnsi="方正仿宋简体" w:eastAsia="方正仿宋简体" w:cs="方正仿宋简体"/>
          <w:b/>
          <w:bCs/>
          <w:color w:val="auto"/>
          <w:sz w:val="28"/>
          <w:szCs w:val="28"/>
          <w:highlight w:val="none"/>
        </w:rPr>
        <w:t xml:space="preserve">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 w:val="0"/>
          <w:bCs w:val="0"/>
          <w:color w:val="auto"/>
          <w:sz w:val="28"/>
          <w:szCs w:val="28"/>
          <w:highlight w:val="none"/>
          <w:lang w:eastAsia="zh-CN"/>
        </w:rPr>
        <w:t>生产保障中心QHSE</w:t>
      </w:r>
      <w:r>
        <w:rPr>
          <w:rFonts w:hint="eastAsia" w:ascii="方正仿宋简体" w:hAnsi="方正仿宋简体" w:eastAsia="方正仿宋简体" w:cs="方正仿宋简体"/>
          <w:b w:val="0"/>
          <w:bCs w:val="0"/>
          <w:color w:val="auto"/>
          <w:sz w:val="28"/>
          <w:szCs w:val="28"/>
          <w:highlight w:val="none"/>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贯彻落实国家质量健康安全环保法律法规、集团公司及分公司质量健康安全环保管理的方针政策、规范和标准,负责燃气抢维修管理、燃气管道及设施管理、车辆运输、物质采购及收发存、后勤服务等业务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2.组织制（修）订本部门业务范围内的质量健康安全环保管理规章制度。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3.负责计划、实施、检查本部门分管业务工作时，同时计划、实施、检查质量健康安全环保工作。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4.组织开展本部门业务范围内危害因素的辨识、评价，制定和落实风险控制措施。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5.负责燃气工程项目建设质量健康安全环保工作，组织监督检查，组织清理排查本部门业务范围内隐患，制定隐患整改计划和措施，并组织实施。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6.负责组织本部门人员签订《QHSE责任书》，制定并督促本部门人员落实岗位的质量健康安全环保职责。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7.负责本部门业务范围内的质量健康安全环境风险管理、应急工作和公司应急物资的管理。负责本部门业务范围内的危害因素辨识、评价及制定相应的控制措施。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8.参与公司《突发事件综合应急处置预案》的编制、修订和演练工作，负责分管业务范围内的应急预案的编制、修订与演练工作。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9.参与公司突发事件的应急处置，负责公司燃气管道设施突发事件现场处置、根据调度指令参加应急处置工作。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10.负责公司燃气管网的设备设施完整性管理，城镇燃气管道及其附属设施的巡检、维护、保养及隐患治理工作。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11.负责本部门业务范围内的承包商质量健康安全环保监督管理，开展质量健康安全环保监督检查。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12.负责识别本部门人员的质量健康安全环保培训需求，组织部门人员学习掌握质量健康安全环保规章制度及有关知识。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13.负责本部门办公区域的QHSE管理。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14.负责本部门岗位QHSE管理职责描述与绩效考核。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b/>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w:t>
      </w:r>
      <w:r>
        <w:rPr>
          <w:rFonts w:hint="eastAsia" w:ascii="方正仿宋简体" w:hAnsi="方正仿宋简体" w:eastAsia="方正仿宋简体" w:cs="方正仿宋简体"/>
          <w:b/>
          <w:bCs/>
          <w:color w:val="auto"/>
          <w:sz w:val="28"/>
          <w:szCs w:val="28"/>
          <w:highlight w:val="none"/>
          <w:lang w:eastAsia="zh-CN"/>
        </w:rPr>
        <w:t>二十一</w:t>
      </w:r>
      <w:r>
        <w:rPr>
          <w:rFonts w:hint="eastAsia" w:ascii="方正仿宋简体" w:hAnsi="方正仿宋简体" w:eastAsia="方正仿宋简体" w:cs="方正仿宋简体"/>
          <w:b/>
          <w:bCs/>
          <w:color w:val="auto"/>
          <w:sz w:val="28"/>
          <w:szCs w:val="28"/>
          <w:highlight w:val="none"/>
        </w:rPr>
        <w:t xml:space="preserve">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 w:val="0"/>
          <w:bCs w:val="0"/>
          <w:color w:val="auto"/>
          <w:sz w:val="28"/>
          <w:szCs w:val="28"/>
          <w:highlight w:val="none"/>
        </w:rPr>
        <w:t>输配</w:t>
      </w:r>
      <w:r>
        <w:rPr>
          <w:rFonts w:hint="eastAsia" w:ascii="方正仿宋简体" w:hAnsi="方正仿宋简体" w:eastAsia="方正仿宋简体" w:cs="方正仿宋简体"/>
          <w:b w:val="0"/>
          <w:bCs w:val="0"/>
          <w:color w:val="auto"/>
          <w:sz w:val="28"/>
          <w:szCs w:val="28"/>
          <w:highlight w:val="none"/>
          <w:lang w:eastAsia="zh-CN"/>
        </w:rPr>
        <w:t>中心</w:t>
      </w:r>
      <w:r>
        <w:rPr>
          <w:rFonts w:hint="eastAsia" w:ascii="方正仿宋简体" w:hAnsi="方正仿宋简体" w:eastAsia="方正仿宋简体" w:cs="方正仿宋简体"/>
          <w:b w:val="0"/>
          <w:bCs w:val="0"/>
          <w:color w:val="auto"/>
          <w:sz w:val="28"/>
          <w:szCs w:val="28"/>
          <w:highlight w:val="none"/>
        </w:rPr>
        <w:t>站</w:t>
      </w:r>
      <w:r>
        <w:rPr>
          <w:rFonts w:hint="eastAsia" w:ascii="方正仿宋简体" w:hAnsi="方正仿宋简体" w:eastAsia="方正仿宋简体" w:cs="方正仿宋简体"/>
          <w:b w:val="0"/>
          <w:bCs w:val="0"/>
          <w:color w:val="auto"/>
          <w:sz w:val="28"/>
          <w:szCs w:val="28"/>
          <w:highlight w:val="none"/>
          <w:lang w:eastAsia="zh-CN"/>
        </w:rPr>
        <w:t>QHSE</w:t>
      </w:r>
      <w:r>
        <w:rPr>
          <w:rFonts w:hint="eastAsia" w:ascii="方正仿宋简体" w:hAnsi="方正仿宋简体" w:eastAsia="方正仿宋简体" w:cs="方正仿宋简体"/>
          <w:b w:val="0"/>
          <w:bCs w:val="0"/>
          <w:color w:val="auto"/>
          <w:sz w:val="28"/>
          <w:szCs w:val="28"/>
          <w:highlight w:val="none"/>
        </w:rPr>
        <w:t>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贯彻落实国家质量健康安全环保法律法规、集团公司及分公司质量健康安全环保管理的方针政策、规范和标准,负责储配气站生产运行及所属设备设施的安全管理、所辖管网管理、燃气表的检定、天然气计量仪表的检测等业务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lang w:val="en-US" w:eastAsia="zh-CN"/>
        </w:rPr>
        <w:t>2.组织制（修）订本部门业务范围内的质量健康安全环保管理规章制</w:t>
      </w:r>
      <w:r>
        <w:rPr>
          <w:rFonts w:hint="eastAsia" w:ascii="方正仿宋简体" w:hAnsi="方正仿宋简体" w:eastAsia="方正仿宋简体" w:cs="方正仿宋简体"/>
          <w:bCs/>
          <w:color w:val="auto"/>
          <w:sz w:val="28"/>
          <w:szCs w:val="28"/>
          <w:highlight w:val="none"/>
        </w:rPr>
        <w:t>度。</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3.负责计划、实施、检查本部门分管业务工作时，同时计划、实施、检查质量健康安全环保工作。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4.组织开展本部门业务范围内危害因素的辨识、评价，制定和落实风险控制措施。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5.组织清理排查本部门业务范围内隐患，制定隐患整改计划和措施，并组织实施。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6.负责组织本部门人员签订《QHSE责任书》，制定并督促本部门人员落实岗位的质量健康安全环保职责。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7.负责本部门业务范围内的质量健康安全环境风险管理、应急工作。负责本部门业务范围内的危害因素辨识、评价及制定相应的控制措施。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8.参与公司《突发事件综合应急处置预案》的编制、修订和演练工作，负责分管业务范围内的应急预案的编制、修订与演练工作。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9.参与公司突发事件的应急处置，负责储配气场站等突发事件的现场处理工作、根据调度指令参加应急处置工作。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10.负责所辖燃气管道的巡检、维护、保养工作。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11.负责本部门办公区域的QHSE管理。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12.负责本部门业务范围内的承包商质量健康安全环保监督管理，开展质量安全环保监督检查。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13.负责识别本部门人员的质量健康安全环保培训需求，组织部门人员学习掌握质量健康安全环保规章制度及有关知识。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14.负责本部门岗位QHSE管理职责描述与绩效考核。</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
          <w:bCs w:val="0"/>
          <w:color w:val="auto"/>
          <w:sz w:val="28"/>
          <w:szCs w:val="28"/>
          <w:lang w:val="en-US" w:eastAsia="zh-CN"/>
        </w:rPr>
        <w:t>第二十二条</w:t>
      </w:r>
      <w:r>
        <w:rPr>
          <w:rFonts w:hint="eastAsia" w:ascii="方正仿宋简体" w:hAnsi="方正仿宋简体" w:eastAsia="方正仿宋简体" w:cs="方正仿宋简体"/>
          <w:bCs/>
          <w:color w:val="auto"/>
          <w:sz w:val="28"/>
          <w:szCs w:val="28"/>
          <w:lang w:val="en-US" w:eastAsia="zh-CN"/>
        </w:rPr>
        <w:t xml:space="preserve">  恩阳分公司QHSE职责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1.贯彻落实国家质量健康安全环保法律法规、集团公司及分公司质量健康安全环保管理的方针政策、规范和标准,负责恩阳分公司生产、经营、安全范围内的质量健康安全环保管理工作。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2.组织制（修）订本单位业务范围内的质量健康安全环保管理规章制度、操作规程。</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3.负责计划、实施、检查本单位分管业务工作时，同时计划、实施、检查质量健康安全环保工作。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4.组织开展本单位业务范围内危害因素的辨识、评价，制定和落实风险控制措施。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5.组织清理排查本单位业务范围内隐患，制定隐患整改计划和措施，并组织实施。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6.负责组织本单位人员签订《QHSE责任书》，制定并督促本单位人员落实岗位的质量健康安全环保职责。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7.负责恩阳分公司应急预案和岗位应急处置卡的制定和演练工作。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8.负责恩阳分公司业务范围内的应急处置，根据指令参加其他应急处置工作。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9.负责所辖燃气管道设施的巡检、维护、保养工作。</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10.负责本单位业务范围内的承包商质量健康安全环保监督管理，开展质量健康安全环保监督检查。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11.负责识别本单位人员的质量健康安全环保培训需求，组织部门人员学习掌握质量健康安全环保规章制度及有关知识。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12.负责本单位办公区域的QHSE管理。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13.负责本单位岗位QHSE管理职责描述与绩效考核。</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
          <w:bCs w:val="0"/>
          <w:color w:val="auto"/>
          <w:sz w:val="28"/>
          <w:szCs w:val="28"/>
          <w:lang w:val="en-US" w:eastAsia="zh-CN"/>
        </w:rPr>
        <w:t>第二十三条</w:t>
      </w:r>
      <w:r>
        <w:rPr>
          <w:rFonts w:hint="eastAsia" w:ascii="方正仿宋简体" w:hAnsi="方正仿宋简体" w:eastAsia="方正仿宋简体" w:cs="方正仿宋简体"/>
          <w:bCs/>
          <w:color w:val="auto"/>
          <w:sz w:val="28"/>
          <w:szCs w:val="28"/>
          <w:lang w:val="en-US" w:eastAsia="zh-CN"/>
        </w:rPr>
        <w:t xml:space="preserve">  员工岗位QHSE职责</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公司员工QHSE职责具体内容参见公司最新发布的岗位职责描述，各员工岗位QHSE职责由所属单位、部门组织编制，应符合《中华人民共和国安全生产法》等法律法规要求，同时满足以下要求。</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（一）各级领导和管理人员质量安全环保职责至少包括以下方面：</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1.贯彻落实国家有关安全环保法律法规和上级部门有关安全环保工作的要求；</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2.安排部署本岗位业务工作的同时落实安全环保责任；</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3.合理配置资源，落实安全环保措施；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4.参与危害因素辨识、应急管理、安全检查；</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5.整改事故隐患，及时报告各类事故；</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6.对直接下级履行质量安全环保责任进行培训、检查和考核。</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（二）操作、服务岗位质量安全环保职责应当至少包括以下内容：</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1.认真学习和严格遵守本单位的安全环保规章制度和操作规程，服从管理；</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2.掌握本职工作所需的安全环保知识，熟练本岗位操作技能，具备事故预防和应急处理能力；</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3.掌握了解作业现场、工作岗位存在的危害因素、防范措施和事故应急措施；</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4.按规定进行交接班检查和巡回检查，发现事故隐患或者其他不安全因素，应当立即向现场安全环保管理人员或者本单位负责人报告；</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5.正确佩戴和使用劳动防护用品；</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lang w:val="en-US" w:eastAsia="zh-CN"/>
        </w:rPr>
      </w:pPr>
      <w:r>
        <w:rPr>
          <w:rFonts w:hint="eastAsia" w:ascii="方正仿宋简体" w:hAnsi="方正仿宋简体" w:eastAsia="方正仿宋简体" w:cs="方正仿宋简体"/>
          <w:bCs/>
          <w:color w:val="auto"/>
          <w:sz w:val="28"/>
          <w:szCs w:val="28"/>
          <w:lang w:val="en-US" w:eastAsia="zh-CN"/>
        </w:rPr>
        <w:t>6.参加相关QHSE培训和QHSE活动。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仿宋简体" w:hAnsi="方正仿宋简体" w:eastAsia="方正仿宋简体" w:cs="方正仿宋简体"/>
          <w:b/>
          <w:bCs/>
          <w:color w:val="auto"/>
          <w:sz w:val="28"/>
          <w:szCs w:val="28"/>
          <w:highlight w:val="none"/>
        </w:rPr>
      </w:pPr>
      <w:r>
        <w:rPr>
          <w:rFonts w:hint="eastAsia" w:ascii="方正黑体简体" w:hAnsi="方正黑体简体" w:eastAsia="方正黑体简体" w:cs="方正黑体简体"/>
          <w:b w:val="0"/>
          <w:bCs w:val="0"/>
          <w:color w:val="auto"/>
          <w:sz w:val="30"/>
          <w:szCs w:val="30"/>
          <w:highlight w:val="none"/>
        </w:rPr>
        <w:t xml:space="preserve">第四章  附 </w:t>
      </w:r>
      <w:r>
        <w:rPr>
          <w:rFonts w:hint="eastAsia" w:ascii="方正黑体简体" w:hAnsi="方正黑体简体" w:eastAsia="方正黑体简体" w:cs="方正黑体简体"/>
          <w:b w:val="0"/>
          <w:bCs w:val="0"/>
          <w:color w:val="auto"/>
          <w:sz w:val="30"/>
          <w:szCs w:val="30"/>
          <w:highlight w:val="none"/>
          <w:lang w:val="en-US" w:eastAsia="zh-CN"/>
        </w:rPr>
        <w:t xml:space="preserve"> </w:t>
      </w:r>
      <w:r>
        <w:rPr>
          <w:rFonts w:hint="eastAsia" w:ascii="方正黑体简体" w:hAnsi="方正黑体简体" w:eastAsia="方正黑体简体" w:cs="方正黑体简体"/>
          <w:b w:val="0"/>
          <w:bCs w:val="0"/>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第</w:t>
      </w:r>
      <w:r>
        <w:rPr>
          <w:rFonts w:hint="eastAsia" w:ascii="方正仿宋简体" w:hAnsi="方正仿宋简体" w:eastAsia="方正仿宋简体" w:cs="方正仿宋简体"/>
          <w:b/>
          <w:color w:val="auto"/>
          <w:sz w:val="28"/>
          <w:szCs w:val="28"/>
          <w:highlight w:val="none"/>
          <w:lang w:eastAsia="zh-CN"/>
        </w:rPr>
        <w:t>二十四</w:t>
      </w:r>
      <w:r>
        <w:rPr>
          <w:rFonts w:hint="eastAsia" w:ascii="方正仿宋简体" w:hAnsi="方正仿宋简体" w:eastAsia="方正仿宋简体" w:cs="方正仿宋简体"/>
          <w:b/>
          <w:color w:val="auto"/>
          <w:sz w:val="28"/>
          <w:szCs w:val="28"/>
          <w:highlight w:val="none"/>
        </w:rPr>
        <w:t xml:space="preserve">条  </w:t>
      </w:r>
      <w:r>
        <w:rPr>
          <w:rFonts w:hint="eastAsia" w:ascii="方正仿宋简体" w:hAnsi="方正仿宋简体" w:eastAsia="方正仿宋简体" w:cs="方正仿宋简体"/>
          <w:color w:val="auto"/>
          <w:sz w:val="28"/>
          <w:szCs w:val="28"/>
          <w:highlight w:val="none"/>
        </w:rPr>
        <w:t>本制度由</w:t>
      </w:r>
      <w:r>
        <w:rPr>
          <w:rFonts w:hint="eastAsia" w:ascii="方正仿宋简体" w:hAnsi="方正仿宋简体" w:eastAsia="方正仿宋简体" w:cs="方正仿宋简体"/>
          <w:color w:val="auto"/>
          <w:sz w:val="28"/>
          <w:szCs w:val="28"/>
          <w:highlight w:val="none"/>
          <w:lang w:eastAsia="zh-CN"/>
        </w:rPr>
        <w:t>质量安全环保</w:t>
      </w:r>
      <w:r>
        <w:rPr>
          <w:rFonts w:hint="eastAsia" w:ascii="方正仿宋简体" w:hAnsi="方正仿宋简体" w:eastAsia="方正仿宋简体" w:cs="方正仿宋简体"/>
          <w:color w:val="auto"/>
          <w:sz w:val="28"/>
          <w:szCs w:val="28"/>
          <w:highlight w:val="none"/>
        </w:rPr>
        <w:t>部负责解释。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w:t>
      </w:r>
      <w:r>
        <w:rPr>
          <w:rFonts w:hint="eastAsia" w:ascii="方正仿宋简体" w:hAnsi="方正仿宋简体" w:eastAsia="方正仿宋简体" w:cs="方正仿宋简体"/>
          <w:b/>
          <w:color w:val="auto"/>
          <w:sz w:val="28"/>
          <w:szCs w:val="28"/>
          <w:highlight w:val="none"/>
          <w:lang w:eastAsia="zh-CN"/>
        </w:rPr>
        <w:t>二十五</w:t>
      </w:r>
      <w:r>
        <w:rPr>
          <w:rFonts w:hint="eastAsia" w:ascii="方正仿宋简体" w:hAnsi="方正仿宋简体" w:eastAsia="方正仿宋简体" w:cs="方正仿宋简体"/>
          <w:b/>
          <w:color w:val="auto"/>
          <w:sz w:val="28"/>
          <w:szCs w:val="28"/>
          <w:highlight w:val="none"/>
        </w:rPr>
        <w:t xml:space="preserve">条  </w:t>
      </w:r>
      <w:r>
        <w:rPr>
          <w:rFonts w:hint="eastAsia" w:ascii="方正仿宋简体" w:hAnsi="方正仿宋简体" w:eastAsia="方正仿宋简体" w:cs="方正仿宋简体"/>
          <w:color w:val="auto"/>
          <w:sz w:val="28"/>
          <w:szCs w:val="28"/>
          <w:highlight w:val="none"/>
        </w:rPr>
        <w:t>本制度自发布之日起施行。</w:t>
      </w:r>
      <w:bookmarkStart w:id="534" w:name="_Toc7817"/>
      <w:bookmarkStart w:id="535" w:name="_Toc32706"/>
      <w:bookmarkStart w:id="536" w:name="_Toc10265"/>
      <w:bookmarkStart w:id="537" w:name="_Toc1433"/>
      <w:bookmarkStart w:id="538" w:name="_Toc24755"/>
      <w:bookmarkStart w:id="539" w:name="_Toc26539"/>
      <w:bookmarkStart w:id="540" w:name="_Toc9567"/>
      <w:bookmarkStart w:id="541" w:name="_Toc13174"/>
      <w:bookmarkStart w:id="542" w:name="_Toc30893"/>
      <w:bookmarkStart w:id="543" w:name="_Toc20002"/>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ind w:left="0" w:leftChars="0"/>
        <w:jc w:val="center"/>
        <w:textAlignment w:val="auto"/>
        <w:outlineLvl w:val="0"/>
        <w:rPr>
          <w:rFonts w:hint="eastAsia" w:ascii="方正小标宋简体" w:eastAsia="方正小标宋简体"/>
          <w:b w:val="0"/>
          <w:bCs w:val="0"/>
          <w:sz w:val="36"/>
          <w:szCs w:val="36"/>
          <w:lang w:eastAsia="zh-CN"/>
        </w:rPr>
      </w:pPr>
      <w:bookmarkStart w:id="544" w:name="_Toc15920"/>
      <w:bookmarkStart w:id="545" w:name="_Toc12474"/>
      <w:bookmarkStart w:id="546" w:name="_Toc23822"/>
      <w:bookmarkStart w:id="547" w:name="_Toc3962"/>
      <w:bookmarkStart w:id="548" w:name="_Toc22364"/>
      <w:bookmarkStart w:id="549" w:name="_Toc2300"/>
      <w:bookmarkStart w:id="550" w:name="_Toc10784"/>
      <w:bookmarkStart w:id="551" w:name="_Toc24774"/>
      <w:bookmarkStart w:id="552" w:name="_Toc4669"/>
      <w:bookmarkStart w:id="553" w:name="_Toc2202"/>
      <w:r>
        <w:rPr>
          <w:rFonts w:hint="eastAsia" w:ascii="方正小标宋简体" w:eastAsia="方正小标宋简体"/>
          <w:b w:val="0"/>
          <w:bCs w:val="0"/>
          <w:color w:val="auto"/>
          <w:sz w:val="36"/>
          <w:szCs w:val="36"/>
          <w:highlight w:val="none"/>
        </w:rPr>
        <w:t>中油南充燃气有限责任公司</w:t>
      </w:r>
      <w:r>
        <w:rPr>
          <w:rFonts w:hint="eastAsia" w:ascii="方正小标宋简体" w:eastAsia="方正小标宋简体"/>
          <w:b w:val="0"/>
          <w:bCs w:val="0"/>
          <w:color w:val="auto"/>
          <w:sz w:val="36"/>
          <w:szCs w:val="36"/>
          <w:highlight w:val="none"/>
          <w:lang w:eastAsia="zh-CN"/>
        </w:rPr>
        <w:t>生产安全事故</w:t>
      </w:r>
      <w:r>
        <w:rPr>
          <w:rFonts w:hint="eastAsia" w:ascii="方正小标宋简体" w:eastAsia="方正小标宋简体"/>
          <w:b w:val="0"/>
          <w:bCs w:val="0"/>
          <w:color w:val="auto"/>
          <w:sz w:val="36"/>
          <w:szCs w:val="36"/>
          <w:highlight w:val="none"/>
        </w:rPr>
        <w:t>应急预案</w:t>
      </w:r>
      <w:bookmarkEnd w:id="534"/>
      <w:bookmarkEnd w:id="535"/>
      <w:bookmarkEnd w:id="536"/>
      <w:bookmarkEnd w:id="537"/>
      <w:bookmarkEnd w:id="538"/>
      <w:bookmarkEnd w:id="539"/>
      <w:bookmarkEnd w:id="540"/>
      <w:bookmarkEnd w:id="541"/>
      <w:bookmarkEnd w:id="542"/>
      <w:bookmarkEnd w:id="543"/>
      <w:bookmarkEnd w:id="544"/>
      <w:bookmarkEnd w:id="545"/>
      <w:bookmarkEnd w:id="546"/>
      <w:r>
        <w:rPr>
          <w:rFonts w:hint="eastAsia" w:ascii="方正小标宋简体" w:eastAsia="方正小标宋简体"/>
          <w:b w:val="0"/>
          <w:bCs w:val="0"/>
          <w:color w:val="auto"/>
          <w:sz w:val="36"/>
          <w:szCs w:val="36"/>
          <w:highlight w:val="none"/>
          <w:lang w:eastAsia="zh-CN"/>
        </w:rPr>
        <w:t>和应急体系管理</w:t>
      </w:r>
      <w:bookmarkEnd w:id="547"/>
      <w:bookmarkEnd w:id="548"/>
      <w:bookmarkEnd w:id="549"/>
      <w:bookmarkEnd w:id="550"/>
      <w:bookmarkEnd w:id="551"/>
      <w:bookmarkEnd w:id="552"/>
      <w:r>
        <w:rPr>
          <w:rFonts w:hint="eastAsia" w:ascii="方正小标宋简体" w:eastAsia="方正小标宋简体"/>
          <w:b w:val="0"/>
          <w:bCs w:val="0"/>
          <w:color w:val="auto"/>
          <w:sz w:val="36"/>
          <w:szCs w:val="36"/>
          <w:highlight w:val="none"/>
          <w:lang w:eastAsia="zh-CN"/>
        </w:rPr>
        <w:t>制度</w:t>
      </w:r>
      <w:bookmarkEnd w:id="553"/>
    </w:p>
    <w:p>
      <w:pPr>
        <w:keepNext w:val="0"/>
        <w:keepLines w:val="0"/>
        <w:pageBreakBefore w:val="0"/>
        <w:widowControl w:val="0"/>
        <w:kinsoku/>
        <w:wordWrap/>
        <w:overflowPunct/>
        <w:topLinePunct w:val="0"/>
        <w:autoSpaceDE/>
        <w:autoSpaceDN/>
        <w:bidi w:val="0"/>
        <w:adjustRightInd/>
        <w:snapToGrid/>
        <w:spacing w:line="640" w:lineRule="exact"/>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宋体" w:hAnsi="宋体" w:cs="Arial Unicode MS"/>
          <w:b w:val="0"/>
          <w:bCs w:val="0"/>
          <w:sz w:val="30"/>
          <w:szCs w:val="30"/>
        </w:rPr>
      </w:pPr>
      <w:r>
        <w:rPr>
          <w:rFonts w:hint="eastAsia" w:ascii="方正黑体简体" w:hAnsi="方正黑体简体" w:eastAsia="方正黑体简体" w:cs="方正黑体简体"/>
          <w:b w:val="0"/>
          <w:bCs w:val="0"/>
          <w:sz w:val="30"/>
          <w:szCs w:val="30"/>
        </w:rPr>
        <w:t xml:space="preserve">第一章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总</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kern w:val="0"/>
          <w:sz w:val="28"/>
          <w:szCs w:val="28"/>
        </w:rPr>
        <w:t>为了规范</w:t>
      </w:r>
      <w:r>
        <w:rPr>
          <w:rFonts w:hint="eastAsia" w:ascii="方正仿宋简体" w:hAnsi="方正仿宋简体" w:eastAsia="方正仿宋简体" w:cs="方正仿宋简体"/>
          <w:sz w:val="28"/>
          <w:szCs w:val="28"/>
        </w:rPr>
        <w:t>公司各项</w:t>
      </w:r>
      <w:r>
        <w:rPr>
          <w:rFonts w:hint="eastAsia" w:ascii="方正仿宋简体" w:hAnsi="方正仿宋简体" w:eastAsia="方正仿宋简体" w:cs="方正仿宋简体"/>
          <w:kern w:val="0"/>
          <w:sz w:val="28"/>
          <w:szCs w:val="28"/>
        </w:rPr>
        <w:t>安全生产应急救援预案（以下简称应急救援预案）管理，根据《中华人民共和国突发事件应对法》《中华人民共和国安全生产法》和《生产安全事故应急预案管理办法》等法律法规，</w:t>
      </w:r>
      <w:r>
        <w:rPr>
          <w:rFonts w:hint="eastAsia" w:ascii="方正仿宋简体" w:hAnsi="方正仿宋简体" w:eastAsia="方正仿宋简体" w:cs="方正仿宋简体"/>
          <w:sz w:val="28"/>
          <w:szCs w:val="28"/>
        </w:rPr>
        <w:t>结合公司实际，特制定本办法。</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第二条</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kern w:val="0"/>
          <w:sz w:val="28"/>
          <w:szCs w:val="28"/>
        </w:rPr>
        <w:t>应急救援预案管理遵循直线责任、属地管理和归口管理的原则。</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各归口管理部室（单位）及所属安全生产应急救援力量负责各自业务所对应专项应急救援预案的实施和综合监督管理。 公司主要负责人负责组织编制和实施本单位的应急预案。</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第三条</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kern w:val="0"/>
          <w:sz w:val="28"/>
          <w:szCs w:val="28"/>
        </w:rPr>
        <w:t xml:space="preserve"> 本办法适用于公司各类应急救援预案的编制、评审、公布、备案、宣传、教育、培训、演练、评估、修订等工作。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 xml:space="preserve">第二章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应急救援预案的编制</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第四条</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kern w:val="0"/>
          <w:sz w:val="28"/>
          <w:szCs w:val="28"/>
        </w:rPr>
        <w:t xml:space="preserve"> 编制应急预案应当成立编制工作小组，由本单位有关负责人任组长，吸收与应急预案有关的职能部门和单位的人员，以及有现场处置经验的人员参加。</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第五条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应急救援预案应满足以下要求：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（一）有关法律、法规、规章和标准的规定；</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（二）本地区、本单位的安全生产实际情况；</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（三）本地区、本单位的危险性分析情况；</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（四）应急组织和人员的职责分工明确，并有具体的落实措施；</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（五）有明确、具体的应急程序和处置措施，并与其应急能力相适应；</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（六）有明确的应急保障措施，满足本单位的应急工作需要；</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（七）应急预案基本要素齐全、完整，应急预案附件提供的信息准确；</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（八）应急预案内容与相关应急预案相互衔接。</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第六条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编制应急预案前，编制单位应当进行事故风险评估和应急资源调查。</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事故风险评估，是指针对不同事故种类及特点，识别存在的危险危害因素，分析事故可能产生的直接后果以及次生、衍生后果，评估各种后果的危害程度和影响范围，提出防范和控制事故风险措施的过程。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应急资源调查，是指全面调查本地区、本单位第一时间可以调用的应急资源状况和合作区域内可以请求援助的应急资源状况，并结合事故风险评估结论制定应急措施的过程。</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第七条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按照《生产经营单位生产安全事故应急预案编制导则》（</w:t>
      </w:r>
      <w:r>
        <w:rPr>
          <w:rFonts w:hint="eastAsia" w:ascii="方正仿宋简体" w:hAnsi="方正仿宋简体" w:eastAsia="方正仿宋简体" w:cs="方正仿宋简体"/>
          <w:b w:val="0"/>
          <w:bCs w:val="0"/>
          <w:kern w:val="0"/>
          <w:sz w:val="28"/>
          <w:szCs w:val="28"/>
        </w:rPr>
        <w:t>GB/T29639-20</w:t>
      </w:r>
      <w:r>
        <w:rPr>
          <w:rFonts w:hint="eastAsia" w:ascii="方正仿宋简体" w:hAnsi="方正仿宋简体" w:eastAsia="方正仿宋简体" w:cs="方正仿宋简体"/>
          <w:b w:val="0"/>
          <w:bCs w:val="0"/>
          <w:kern w:val="0"/>
          <w:sz w:val="28"/>
          <w:szCs w:val="28"/>
          <w:lang w:val="en-US" w:eastAsia="zh-CN"/>
        </w:rPr>
        <w:t>20</w:t>
      </w:r>
      <w:r>
        <w:rPr>
          <w:rFonts w:hint="eastAsia" w:ascii="方正仿宋简体" w:hAnsi="方正仿宋简体" w:eastAsia="方正仿宋简体" w:cs="方正仿宋简体"/>
          <w:b w:val="0"/>
          <w:bCs w:val="0"/>
          <w:kern w:val="0"/>
          <w:sz w:val="28"/>
          <w:szCs w:val="28"/>
        </w:rPr>
        <w:t>）及有关行业标准或要求，公司根据自身的组织体系、管理</w:t>
      </w:r>
      <w:r>
        <w:rPr>
          <w:rFonts w:hint="eastAsia" w:ascii="方正仿宋简体" w:hAnsi="方正仿宋简体" w:eastAsia="方正仿宋简体" w:cs="方正仿宋简体"/>
          <w:kern w:val="0"/>
          <w:sz w:val="28"/>
          <w:szCs w:val="28"/>
        </w:rPr>
        <w:t>模式、风险大小以及生产规模不同，应当组织编制本单位不同层次和种类的综合应急救援预案、专项应急救援预案和现场处置方案，并相互衔接，构成公司的应急救援预案体系。</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各归口管理部室（单位）按照工作职能和分管范围，根据公司以及上级主管部门应急救援预案，结合部室（单位）实际情况制定专项应急救援预案，并与上下级预案相互衔接，形成预案体系。</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各归口管理部室（单位）可根据实际情况编制重大活动应急救援预案和重大事故隐患处置应急救援预案。</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 xml:space="preserve">第三章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应急预案的评审、公布和备案</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第八条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应当对本单位编制的应急预案进行评审，并形成书面评审纪要。参加应急预案评审的人员应当包括有关安全生产及应急管理方面的专家。</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第九条</w:t>
      </w:r>
      <w:r>
        <w:rPr>
          <w:rFonts w:hint="eastAsia" w:ascii="方正仿宋简体" w:hAnsi="方正仿宋简体" w:eastAsia="方正仿宋简体" w:cs="方正仿宋简体"/>
          <w:kern w:val="0"/>
          <w:sz w:val="28"/>
          <w:szCs w:val="28"/>
        </w:rPr>
        <w:t xml:space="preserve">  应急预案的评审应当注重基本要素的完整性、组织体系的合理性、应急处置程序和措施的针对性、应急保障措施的可行性、应急预案的衔接性等内容。</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第十条</w:t>
      </w:r>
      <w:r>
        <w:rPr>
          <w:rFonts w:hint="eastAsia" w:ascii="方正仿宋简体" w:hAnsi="方正仿宋简体" w:eastAsia="方正仿宋简体" w:cs="方正仿宋简体"/>
          <w:kern w:val="0"/>
          <w:sz w:val="28"/>
          <w:szCs w:val="28"/>
        </w:rPr>
        <w:t xml:space="preserve">  应急预案经评审后，由本单位主要负责人签署公布，并及时发放到本单位有关部门、岗位和相关应急救援队伍。</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第十一条</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kern w:val="0"/>
          <w:sz w:val="28"/>
          <w:szCs w:val="28"/>
        </w:rPr>
        <w:t xml:space="preserve"> 生产经营单位应当在应急预案公布之日起20个工作日内，按照分级属地原则，向安全生产监督管理部门和有关部门进行告知性备案。</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smallCaps/>
          <w:kern w:val="0"/>
          <w:sz w:val="28"/>
          <w:szCs w:val="28"/>
        </w:rPr>
      </w:pPr>
      <w:r>
        <w:rPr>
          <w:rFonts w:hint="eastAsia" w:ascii="方正仿宋简体" w:hAnsi="方正仿宋简体" w:eastAsia="方正仿宋简体" w:cs="方正仿宋简体"/>
          <w:b/>
          <w:bCs/>
          <w:smallCaps/>
          <w:kern w:val="0"/>
          <w:sz w:val="28"/>
          <w:szCs w:val="28"/>
        </w:rPr>
        <w:t>第十二条</w:t>
      </w:r>
      <w:r>
        <w:rPr>
          <w:rFonts w:hint="eastAsia" w:ascii="方正仿宋简体" w:hAnsi="方正仿宋简体" w:eastAsia="方正仿宋简体" w:cs="方正仿宋简体"/>
          <w:bCs/>
          <w:smallCaps/>
          <w:kern w:val="0"/>
          <w:sz w:val="28"/>
          <w:szCs w:val="28"/>
        </w:rPr>
        <w:t xml:space="preserve"> </w:t>
      </w:r>
      <w:r>
        <w:rPr>
          <w:rFonts w:hint="eastAsia" w:ascii="方正仿宋简体" w:hAnsi="方正仿宋简体" w:eastAsia="方正仿宋简体" w:cs="方正仿宋简体"/>
          <w:bCs/>
          <w:smallCaps/>
          <w:kern w:val="0"/>
          <w:sz w:val="28"/>
          <w:szCs w:val="28"/>
          <w:lang w:val="en-US" w:eastAsia="zh-CN"/>
        </w:rPr>
        <w:t xml:space="preserve"> </w:t>
      </w:r>
      <w:r>
        <w:rPr>
          <w:rFonts w:hint="eastAsia" w:ascii="方正仿宋简体" w:hAnsi="方正仿宋简体" w:eastAsia="方正仿宋简体" w:cs="方正仿宋简体"/>
          <w:bCs/>
          <w:smallCaps/>
          <w:kern w:val="0"/>
          <w:sz w:val="28"/>
          <w:szCs w:val="28"/>
        </w:rPr>
        <w:t>申报应急预案备案，应当提交下列材料：</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mallCaps/>
          <w:kern w:val="0"/>
          <w:sz w:val="28"/>
          <w:szCs w:val="28"/>
        </w:rPr>
      </w:pPr>
      <w:r>
        <w:rPr>
          <w:rFonts w:hint="eastAsia" w:ascii="方正仿宋简体" w:hAnsi="方正仿宋简体" w:eastAsia="方正仿宋简体" w:cs="方正仿宋简体"/>
          <w:bCs/>
          <w:smallCaps/>
          <w:kern w:val="0"/>
          <w:sz w:val="28"/>
          <w:szCs w:val="28"/>
        </w:rPr>
        <w:t>（一）应急预案备案申报表；</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mallCaps/>
          <w:kern w:val="0"/>
          <w:sz w:val="28"/>
          <w:szCs w:val="28"/>
        </w:rPr>
      </w:pPr>
      <w:r>
        <w:rPr>
          <w:rFonts w:hint="eastAsia" w:ascii="方正仿宋简体" w:hAnsi="方正仿宋简体" w:eastAsia="方正仿宋简体" w:cs="方正仿宋简体"/>
          <w:bCs/>
          <w:smallCaps/>
          <w:kern w:val="0"/>
          <w:sz w:val="28"/>
          <w:szCs w:val="28"/>
        </w:rPr>
        <w:t>（二）应急预案评审或者论证意见；</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mallCaps/>
          <w:kern w:val="0"/>
          <w:sz w:val="28"/>
          <w:szCs w:val="28"/>
        </w:rPr>
      </w:pPr>
      <w:r>
        <w:rPr>
          <w:rFonts w:hint="eastAsia" w:ascii="方正仿宋简体" w:hAnsi="方正仿宋简体" w:eastAsia="方正仿宋简体" w:cs="方正仿宋简体"/>
          <w:bCs/>
          <w:smallCaps/>
          <w:kern w:val="0"/>
          <w:sz w:val="28"/>
          <w:szCs w:val="28"/>
        </w:rPr>
        <w:t>（三）应急预案文本及电子文档；</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smallCaps/>
          <w:kern w:val="0"/>
          <w:sz w:val="28"/>
          <w:szCs w:val="28"/>
        </w:rPr>
      </w:pPr>
      <w:r>
        <w:rPr>
          <w:rFonts w:hint="eastAsia" w:ascii="方正仿宋简体" w:hAnsi="方正仿宋简体" w:eastAsia="方正仿宋简体" w:cs="方正仿宋简体"/>
          <w:bCs/>
          <w:smallCaps/>
          <w:kern w:val="0"/>
          <w:sz w:val="28"/>
          <w:szCs w:val="28"/>
        </w:rPr>
        <w:t>（四）风险评估结果和应急资源调查清单。</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第四章  应急预案的实施</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第十三条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各归口管理部室（单位）采取多种形式开展应急预案的宣传教育，普及生产安全事故避险、自救和互救知识，提高从业人员和社会公众的安全意识与应急处置技能。</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第十四条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各归口管理部室（单位）组织开展本单位的应急预案、应急知识、自救互救和避险逃生技能的培训活动，使有关人员了解应急预案内容，熟悉应急职责、应急处置程序和措施。应急培训的时间、地点、内容、师资、参加人员和考核结果等情况应当如实记入本单位的安全生产教育和培训档案。</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 xml:space="preserve">第十五条  </w:t>
      </w:r>
      <w:r>
        <w:rPr>
          <w:rFonts w:hint="eastAsia" w:ascii="方正仿宋简体" w:hAnsi="方正仿宋简体" w:eastAsia="方正仿宋简体" w:cs="方正仿宋简体"/>
          <w:kern w:val="0"/>
          <w:sz w:val="28"/>
          <w:szCs w:val="28"/>
        </w:rPr>
        <w:t>各归口管理部室（单位）、生产班组应根据应急救援预案，针对所属职责范围制定切实可行的措施，确保应急救援体系实施迅速、有效。</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第十六条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各归口管理部室（单位）应当制定应急救援预案演练计划，定期组织应急救援预案演练。应急救援预案演练频率为：公司每季度进行一次、生产班组每月进行一次，后辅班组每季度进行一次。公司应每年举行一次较大的燃气突发紧急事件应急救援演练，可邀请下列单位参加：消防部门、市区安监局、110、120急救中心、建设局。以检验公司对燃气突发紧急事件的反应处置能力，以及与地方依托关系的协作能力。</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mallCaps/>
          <w:kern w:val="0"/>
          <w:sz w:val="28"/>
          <w:szCs w:val="28"/>
        </w:rPr>
        <w:t>第十七条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应急预案演练结束后，应急预案演练组织单位应当对应急预案演练效果进行评估，撰写应急预案演练评估报告，分析存在的问题，并对应急预案提出修订意见。</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第十八条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应当每三年进行一次应急预案评估。对预案内容的针对性和实用性进行分析，并对应急预案是否需要修订作出结论。</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b/>
          <w:bCs/>
          <w:smallCaps/>
          <w:kern w:val="0"/>
          <w:sz w:val="28"/>
          <w:szCs w:val="28"/>
        </w:rPr>
        <w:t xml:space="preserve">第十九条 </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smallCaps/>
          <w:kern w:val="0"/>
          <w:sz w:val="28"/>
          <w:szCs w:val="28"/>
        </w:rPr>
        <w:t>有下列情形之一的，应急预案应当及时修订并归档：</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（一）依据的法律、法规、规章、标准及上位预案中的有关规定发生重大变化的；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（二）应急指挥机构及其职责发生调整的；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（三）面临的事故风险发生重大变化的；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（四）重要应急资源发生重大变化的；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（五）预案中的其他重要信息发生变化的；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（六）在应急演练和事故应急救援中发现问题需要修订的；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smallCaps/>
          <w:kern w:val="0"/>
          <w:sz w:val="28"/>
          <w:szCs w:val="28"/>
        </w:rPr>
        <w:t>（七）编制单位认为应当修订的其他情况。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mallCaps/>
          <w:kern w:val="0"/>
          <w:sz w:val="28"/>
          <w:szCs w:val="28"/>
        </w:rPr>
        <w:t>第二十条</w:t>
      </w:r>
      <w:r>
        <w:rPr>
          <w:rFonts w:hint="eastAsia" w:ascii="方正仿宋简体" w:hAnsi="方正仿宋简体" w:eastAsia="方正仿宋简体" w:cs="方正仿宋简体"/>
          <w:sz w:val="28"/>
          <w:szCs w:val="28"/>
        </w:rPr>
        <w:t xml:space="preserve">  应急预案修订涉及组织指挥体系与职责、应急处置程序、主要处置措施、应急响应分级等内容变更的，修订工作应当参照本办法规定的应急预案编制程序进行，并按照有关应急预案报备程序重新备案。其他内容有变化的应及时修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mallCaps/>
          <w:kern w:val="0"/>
          <w:sz w:val="28"/>
          <w:szCs w:val="28"/>
        </w:rPr>
        <w:t>第二十一条</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sz w:val="28"/>
          <w:szCs w:val="28"/>
        </w:rPr>
        <w:t xml:space="preserve"> 应当按照应急预案的规定，落实应急指挥体系、应急救援队伍、应急物资及装备，建立应急物资、装备配备及其使用档案，并对应急物资、装备进行定期检测和维护，使其处于适用状态。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mallCaps/>
          <w:kern w:val="0"/>
          <w:sz w:val="28"/>
          <w:szCs w:val="28"/>
        </w:rPr>
        <w:t>第二十二条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发生事故时，应当第一时间启动应急响应，组织有关力量进行救援，并按照规定将事故信息及应急响应启动情况报告安全生产监督管理部门和其他负有安全生产监督管理职责的部门。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mallCaps/>
          <w:kern w:val="0"/>
          <w:sz w:val="28"/>
          <w:szCs w:val="28"/>
        </w:rPr>
      </w:pPr>
      <w:r>
        <w:rPr>
          <w:rFonts w:hint="eastAsia" w:ascii="方正仿宋简体" w:hAnsi="方正仿宋简体" w:eastAsia="方正仿宋简体" w:cs="方正仿宋简体"/>
          <w:b/>
          <w:bCs/>
          <w:smallCaps/>
          <w:kern w:val="0"/>
          <w:sz w:val="28"/>
          <w:szCs w:val="28"/>
        </w:rPr>
        <w:t xml:space="preserve">第二十三条 </w:t>
      </w:r>
      <w:r>
        <w:rPr>
          <w:rFonts w:hint="eastAsia" w:ascii="方正仿宋简体" w:hAnsi="方正仿宋简体" w:eastAsia="方正仿宋简体" w:cs="方正仿宋简体"/>
          <w:b/>
          <w:bCs/>
          <w:smallCaps/>
          <w:kern w:val="0"/>
          <w:sz w:val="28"/>
          <w:szCs w:val="28"/>
          <w:lang w:val="en-US" w:eastAsia="zh-CN"/>
        </w:rPr>
        <w:t xml:space="preserve"> </w:t>
      </w:r>
      <w:r>
        <w:rPr>
          <w:rFonts w:hint="eastAsia" w:ascii="方正仿宋简体" w:hAnsi="方正仿宋简体" w:eastAsia="方正仿宋简体" w:cs="方正仿宋简体"/>
          <w:smallCaps/>
          <w:kern w:val="0"/>
          <w:sz w:val="28"/>
          <w:szCs w:val="28"/>
        </w:rPr>
        <w:t>安全事故应急处置和应急救援结束后，事故发生单位应当对应急预案实施情况进行总结评估。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mallCaps/>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 xml:space="preserve">第五章  附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rPr>
      </w:pPr>
      <w:r>
        <w:rPr>
          <w:rFonts w:hint="eastAsia" w:ascii="方正仿宋简体" w:hAnsi="方正仿宋简体" w:eastAsia="方正仿宋简体" w:cs="方正仿宋简体"/>
          <w:b/>
          <w:color w:val="auto"/>
          <w:sz w:val="28"/>
          <w:szCs w:val="28"/>
        </w:rPr>
        <w:t xml:space="preserve">第二十四条  </w:t>
      </w:r>
      <w:r>
        <w:rPr>
          <w:rFonts w:hint="eastAsia" w:ascii="方正仿宋简体" w:hAnsi="方正仿宋简体" w:eastAsia="方正仿宋简体" w:cs="方正仿宋简体"/>
          <w:color w:val="auto"/>
          <w:sz w:val="28"/>
          <w:szCs w:val="28"/>
        </w:rPr>
        <w:t>本办法由</w:t>
      </w:r>
      <w:r>
        <w:rPr>
          <w:rFonts w:hint="eastAsia" w:ascii="方正仿宋简体" w:hAnsi="方正仿宋简体" w:eastAsia="方正仿宋简体" w:cs="方正仿宋简体"/>
          <w:color w:val="auto"/>
          <w:sz w:val="28"/>
          <w:szCs w:val="28"/>
          <w:lang w:val="en-US" w:eastAsia="zh-CN"/>
        </w:rPr>
        <w:t>质量安全环保</w:t>
      </w:r>
      <w:r>
        <w:rPr>
          <w:rFonts w:hint="eastAsia" w:ascii="方正仿宋简体" w:hAnsi="方正仿宋简体" w:eastAsia="方正仿宋简体" w:cs="方正仿宋简体"/>
          <w:color w:val="auto"/>
          <w:sz w:val="28"/>
          <w:szCs w:val="28"/>
        </w:rPr>
        <w:t>部负责解释。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rPr>
      </w:pPr>
      <w:r>
        <w:rPr>
          <w:rFonts w:hint="eastAsia" w:ascii="方正仿宋简体" w:hAnsi="方正仿宋简体" w:eastAsia="方正仿宋简体" w:cs="方正仿宋简体"/>
          <w:b/>
          <w:color w:val="auto"/>
          <w:sz w:val="28"/>
          <w:szCs w:val="28"/>
        </w:rPr>
        <w:t xml:space="preserve">第二十五条  </w:t>
      </w:r>
      <w:r>
        <w:rPr>
          <w:rFonts w:hint="eastAsia" w:ascii="方正仿宋简体" w:hAnsi="方正仿宋简体" w:eastAsia="方正仿宋简体" w:cs="方正仿宋简体"/>
          <w:color w:val="auto"/>
          <w:sz w:val="28"/>
          <w:szCs w:val="28"/>
        </w:rPr>
        <w:t>本办法自发布之日起施行。</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sz w:val="36"/>
          <w:szCs w:val="36"/>
          <w:lang w:eastAsia="zh-CN"/>
        </w:rPr>
      </w:pPr>
      <w:r>
        <w:rPr>
          <w:rFonts w:hint="eastAsia" w:ascii="方正仿宋简体" w:hAnsi="方正仿宋简体" w:eastAsia="方正仿宋简体" w:cs="方正仿宋简体"/>
          <w:color w:val="auto"/>
          <w:sz w:val="28"/>
          <w:szCs w:val="28"/>
        </w:rPr>
        <w:br w:type="page"/>
      </w:r>
      <w:bookmarkStart w:id="554" w:name="_Toc3438"/>
      <w:bookmarkStart w:id="555" w:name="_Toc30818"/>
      <w:bookmarkStart w:id="556" w:name="_Toc16251"/>
      <w:bookmarkStart w:id="557" w:name="_Toc1130"/>
      <w:bookmarkStart w:id="558" w:name="_Toc4508"/>
      <w:bookmarkStart w:id="559" w:name="_Toc31999"/>
      <w:bookmarkStart w:id="560" w:name="_Toc3544"/>
      <w:bookmarkStart w:id="561" w:name="_Toc3605"/>
      <w:bookmarkStart w:id="562" w:name="_Toc8702"/>
      <w:bookmarkStart w:id="563" w:name="_Toc11947"/>
      <w:bookmarkStart w:id="564" w:name="_Toc615"/>
      <w:bookmarkStart w:id="565" w:name="_Toc8352"/>
      <w:bookmarkStart w:id="566" w:name="_Toc5533"/>
      <w:bookmarkStart w:id="567" w:name="_Toc4078"/>
      <w:bookmarkStart w:id="568" w:name="_Toc4696"/>
      <w:bookmarkStart w:id="569" w:name="_Toc4428"/>
      <w:bookmarkStart w:id="570" w:name="_Toc24153"/>
      <w:bookmarkStart w:id="571" w:name="_Toc28442"/>
      <w:r>
        <w:rPr>
          <w:rFonts w:hint="eastAsia" w:ascii="方正小标宋简体" w:eastAsia="方正小标宋简体"/>
          <w:sz w:val="36"/>
          <w:szCs w:val="36"/>
        </w:rPr>
        <w:t>中油南充燃气有限责任公司安全生产</w:t>
      </w:r>
      <w:bookmarkEnd w:id="554"/>
      <w:bookmarkEnd w:id="555"/>
      <w:bookmarkEnd w:id="556"/>
      <w:bookmarkEnd w:id="557"/>
      <w:bookmarkEnd w:id="558"/>
      <w:bookmarkEnd w:id="559"/>
      <w:bookmarkEnd w:id="560"/>
      <w:bookmarkEnd w:id="561"/>
      <w:bookmarkEnd w:id="562"/>
      <w:bookmarkEnd w:id="563"/>
      <w:r>
        <w:rPr>
          <w:rFonts w:hint="eastAsia" w:ascii="方正小标宋简体" w:eastAsia="方正小标宋简体"/>
          <w:sz w:val="36"/>
          <w:szCs w:val="36"/>
          <w:lang w:eastAsia="zh-CN"/>
        </w:rPr>
        <w:t>管理实施细则</w:t>
      </w:r>
      <w:bookmarkEnd w:id="564"/>
      <w:bookmarkEnd w:id="565"/>
      <w:bookmarkEnd w:id="566"/>
      <w:bookmarkEnd w:id="567"/>
      <w:bookmarkEnd w:id="568"/>
      <w:bookmarkEnd w:id="569"/>
      <w:bookmarkEnd w:id="570"/>
      <w:bookmarkEnd w:id="571"/>
    </w:p>
    <w:p>
      <w:pPr>
        <w:keepNext w:val="0"/>
        <w:keepLines w:val="0"/>
        <w:pageBreakBefore w:val="0"/>
        <w:widowControl w:val="0"/>
        <w:kinsoku/>
        <w:wordWrap/>
        <w:overflowPunct/>
        <w:topLinePunct w:val="0"/>
        <w:autoSpaceDE/>
        <w:autoSpaceDN/>
        <w:bidi w:val="0"/>
        <w:adjustRightInd/>
        <w:snapToGrid/>
        <w:spacing w:line="640" w:lineRule="exact"/>
        <w:ind w:firstLine="720" w:firstLineChars="200"/>
        <w:jc w:val="both"/>
        <w:textAlignment w:val="auto"/>
        <w:outlineLvl w:val="9"/>
        <w:rPr>
          <w:rFonts w:hint="eastAsia" w:ascii="方正小标宋简体" w:eastAsia="方正小标宋简体"/>
          <w:sz w:val="36"/>
          <w:szCs w:val="36"/>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第一章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第一条</w:t>
      </w:r>
      <w:r>
        <w:rPr>
          <w:rFonts w:hint="eastAsia" w:ascii="方正仿宋简体" w:hAnsi="方正仿宋简体" w:eastAsia="方正仿宋简体" w:cs="方正仿宋简体"/>
          <w:sz w:val="28"/>
          <w:szCs w:val="28"/>
        </w:rPr>
        <w:t xml:space="preserve">  为加强中油南充燃气有限责任公司(以下简称公司)的安全生产工作，建立安全生产长效机制，防止和减少事故发生，切实保护员工在生产经营活动中的安全与健康，依据国家《安全生产法》、《职业病防治法》等法律、法规和中石油安全生产管理的有关规定，结合本公司生产、经营情况，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第二条</w:t>
      </w:r>
      <w:r>
        <w:rPr>
          <w:rFonts w:hint="eastAsia" w:ascii="方正仿宋简体" w:hAnsi="方正仿宋简体" w:eastAsia="方正仿宋简体" w:cs="方正仿宋简体"/>
          <w:sz w:val="28"/>
          <w:szCs w:val="28"/>
        </w:rPr>
        <w:t xml:space="preserve">  公司及所属各单位(以下简称各单位)应遵守国家有关安全生产法律、法规，坚持“安全第一、预防为主、综合治理”的基本方针和“环保优先、安全第一、质量至上、以人为本”的安全理念，按照“管工作必须管安全”、“谁主管、谁负责”、“谁投资、谁负责”的原则，实施安全生产目标管理，落实安全生产责任制，完善安全监督机制，采用先进安全技术、装备，抓好安全生产培训教育，坚持安全生产检查，保证安全生产投入，加大事故隐患整改和重点要害部位的监控力度，全面提高安全生产管理水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第三条</w:t>
      </w:r>
      <w:r>
        <w:rPr>
          <w:rFonts w:hint="eastAsia" w:ascii="方正仿宋简体" w:hAnsi="方正仿宋简体" w:eastAsia="方正仿宋简体" w:cs="方正仿宋简体"/>
          <w:sz w:val="28"/>
          <w:szCs w:val="28"/>
        </w:rPr>
        <w:t xml:space="preserve">  各级管理者要切实保障员工在安全生产方面的各项权利，员工应履行在安全生产方面的各项义务。在生产作业过程中，员工应遵守劳动纪律，执行各项安全生产规章制度和操作规程，服从管理，正确穿戴和使用各种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第四条</w:t>
      </w:r>
      <w:r>
        <w:rPr>
          <w:rFonts w:hint="eastAsia" w:ascii="方正仿宋简体" w:hAnsi="方正仿宋简体" w:eastAsia="方正仿宋简体" w:cs="方正仿宋简体"/>
          <w:sz w:val="28"/>
          <w:szCs w:val="28"/>
        </w:rPr>
        <w:t xml:space="preserve">  各单位要在本办法的基础上，结合本单位实际情况，完善本单位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管理，加强风险管理，有效防止和减少各类事故发生。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第五条</w:t>
      </w:r>
      <w:r>
        <w:rPr>
          <w:rFonts w:hint="eastAsia" w:ascii="方正仿宋简体" w:hAnsi="方正仿宋简体" w:eastAsia="方正仿宋简体" w:cs="方正仿宋简体"/>
          <w:sz w:val="28"/>
          <w:szCs w:val="28"/>
        </w:rPr>
        <w:t xml:space="preserve">  本办法适用于公司各管理层次及岗位员工。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b w:val="0"/>
          <w:bCs w:val="0"/>
          <w:sz w:val="30"/>
          <w:szCs w:val="30"/>
        </w:rPr>
        <w:t>第二章  组织及职责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第六条</w:t>
      </w:r>
      <w:r>
        <w:rPr>
          <w:rFonts w:hint="eastAsia" w:ascii="方正仿宋简体" w:hAnsi="方正仿宋简体" w:eastAsia="方正仿宋简体" w:cs="方正仿宋简体"/>
          <w:b w:val="0"/>
          <w:bCs w:val="0"/>
          <w:sz w:val="28"/>
          <w:szCs w:val="28"/>
        </w:rPr>
        <w:t xml:space="preserve">  公司主要负责人是公司安全生产第一责任人，对公司安全生产工作全面负责；公司分管安全、生产的领导负主管责任，其他领导负分管责任；各职能管理部门应在各自的业务范围内，对安全生产负管理责任；各部室（单位）的主要负责人是本单位的安全生产第一责任人，对本部室（单位）安全生产工作全面负责；员工对本岗位属地的安全生产工作负直接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b w:val="0"/>
          <w:bCs w:val="0"/>
          <w:sz w:val="28"/>
          <w:szCs w:val="28"/>
        </w:rPr>
        <w:t xml:space="preserve">  公司成立</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管理委员会，统一协调、指导公司生产安全、消防安全、交通安全和职业健康等各项工作。公司主要领导任主任，公司其他领导任副主任，成员由各部门主要负责人及相关人员组成。公司每月召开一次</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管理委员会会议。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bCs/>
          <w:sz w:val="28"/>
          <w:szCs w:val="28"/>
        </w:rPr>
        <w:t>第八条</w:t>
      </w:r>
      <w:r>
        <w:rPr>
          <w:rFonts w:hint="eastAsia" w:ascii="方正仿宋简体" w:hAnsi="方正仿宋简体" w:eastAsia="方正仿宋简体" w:cs="方正仿宋简体"/>
          <w:b w:val="0"/>
          <w:bCs w:val="0"/>
          <w:sz w:val="28"/>
          <w:szCs w:val="28"/>
        </w:rPr>
        <w:t xml:space="preserve">  公司</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管理委员会主要职责：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bookmarkStart w:id="572" w:name="_Toc508016763"/>
      <w:r>
        <w:rPr>
          <w:rFonts w:hint="eastAsia" w:ascii="方正仿宋简体" w:hAnsi="方正仿宋简体" w:eastAsia="方正仿宋简体" w:cs="方正仿宋简体"/>
          <w:b w:val="0"/>
          <w:bCs w:val="0"/>
          <w:sz w:val="28"/>
          <w:szCs w:val="28"/>
        </w:rPr>
        <w:t>（一）认真落实集团公司《</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管理原则》，严格执行西南油气田公司、川港公司、本公司</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管理规章制度，践行有感领导、履行直线责任、落实属地管理，全面负责公司</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管理工作。</w:t>
      </w:r>
      <w:bookmarkEnd w:id="57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bookmarkStart w:id="573" w:name="_Toc508016764"/>
      <w:r>
        <w:rPr>
          <w:rFonts w:hint="eastAsia" w:ascii="方正仿宋简体" w:hAnsi="方正仿宋简体" w:eastAsia="方正仿宋简体" w:cs="方正仿宋简体"/>
          <w:b w:val="0"/>
          <w:bCs w:val="0"/>
          <w:sz w:val="28"/>
          <w:szCs w:val="28"/>
        </w:rPr>
        <w:t>（二）负责制订公司</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管理工作计划，并组织实施。负责定期总结分析公司的</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管理工作，研究解决公司的健康安全环境问题，确保计划的完成。</w:t>
      </w:r>
      <w:bookmarkEnd w:id="57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bookmarkStart w:id="574" w:name="_Toc508016765"/>
      <w:r>
        <w:rPr>
          <w:rFonts w:hint="eastAsia" w:ascii="方正仿宋简体" w:hAnsi="方正仿宋简体" w:eastAsia="方正仿宋简体" w:cs="方正仿宋简体"/>
          <w:b w:val="0"/>
          <w:bCs w:val="0"/>
          <w:sz w:val="28"/>
          <w:szCs w:val="28"/>
        </w:rPr>
        <w:t>（三）负责公司工艺安全和行为安全管理工作，组织制修订公司的</w:t>
      </w:r>
      <w:r>
        <w:rPr>
          <w:rFonts w:hint="eastAsia" w:ascii="方正仿宋简体" w:hAnsi="方正仿宋简体" w:eastAsia="方正仿宋简体" w:cs="方正仿宋简体"/>
          <w:b w:val="0"/>
          <w:bCs w:val="0"/>
          <w:sz w:val="28"/>
          <w:szCs w:val="28"/>
          <w:lang w:eastAsia="zh-CN"/>
        </w:rPr>
        <w:t>QHSE</w:t>
      </w:r>
      <w:r>
        <w:rPr>
          <w:rFonts w:hint="eastAsia" w:ascii="方正仿宋简体" w:hAnsi="方正仿宋简体" w:eastAsia="方正仿宋简体" w:cs="方正仿宋简体"/>
          <w:b w:val="0"/>
          <w:bCs w:val="0"/>
          <w:sz w:val="28"/>
          <w:szCs w:val="28"/>
        </w:rPr>
        <w:t>管理规章制度、技术标准和操作规程，并组织培训和对执行情况进行监督检查。</w:t>
      </w:r>
      <w:bookmarkEnd w:id="57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 w:val="0"/>
          <w:bCs w:val="0"/>
          <w:sz w:val="28"/>
          <w:szCs w:val="28"/>
        </w:rPr>
      </w:pPr>
      <w:bookmarkStart w:id="575" w:name="_Toc508016766"/>
      <w:r>
        <w:rPr>
          <w:rFonts w:hint="eastAsia" w:ascii="方正仿宋简体" w:hAnsi="方正仿宋简体" w:eastAsia="方正仿宋简体" w:cs="方正仿宋简体"/>
          <w:b w:val="0"/>
          <w:bCs w:val="0"/>
          <w:sz w:val="28"/>
          <w:szCs w:val="28"/>
        </w:rPr>
        <w:t>（四）负责公司健康、安全、环境风险管理。开展危害因素识别、评估，制订落实风险控制措施；组织清理排查隐患、建立台帐、制订整改计划，并组织实施。</w:t>
      </w:r>
      <w:bookmarkEnd w:id="57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bookmarkStart w:id="576" w:name="_Toc508016767"/>
      <w:r>
        <w:rPr>
          <w:rFonts w:hint="eastAsia" w:ascii="方正仿宋简体" w:hAnsi="方正仿宋简体" w:eastAsia="方正仿宋简体" w:cs="方正仿宋简体"/>
          <w:sz w:val="28"/>
          <w:szCs w:val="28"/>
        </w:rPr>
        <w:t>（五）负责公司业务范围内的承包商</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监督管理。</w:t>
      </w:r>
      <w:bookmarkEnd w:id="57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bookmarkStart w:id="577" w:name="_Toc508016768"/>
      <w:r>
        <w:rPr>
          <w:rFonts w:hint="eastAsia" w:ascii="方正仿宋简体" w:hAnsi="方正仿宋简体" w:eastAsia="方正仿宋简体" w:cs="方正仿宋简体"/>
          <w:sz w:val="28"/>
          <w:szCs w:val="28"/>
        </w:rPr>
        <w:t>（六）组织开展</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监督检查。</w:t>
      </w:r>
      <w:bookmarkEnd w:id="57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（七）负责定期总结分析公司安全文化建设工作，研究解决安全文化建设存在的问题，部署安排安全文化建设工作。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（八）负责公司的应急管理工作。组织公司总体应急预案和各专项应急预案的编制修订工作，并组织演练；负责组织公司事故、事件的抢险救援及恢复工作。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第九条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管理委员会办公室设在公司质量安全环保部，负责处理日常工作。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管理委员会办公室的主要职责：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(一)负责向公司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 xml:space="preserve">管理委员会提出年度安全工作计划建议。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(二)协调有关部门的安全管理工作。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(三)组织实施安全生产综合检查工作。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(四)负责考核领导干部的个人安全行动计划编制实施情况、定点联系安全生产联系点的工作情况、行为安全观察与沟通活动开展情况。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(五)掌握安全生产动态，通报安全信息，遇重大问题，及时向公司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 xml:space="preserve">管理委员会汇报。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(六)负责各类事故的报告以及工业生产伤亡、火灾、交通事故报表的汇总上报。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(七)组织、协调调查处理安全事故。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(八)完成</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管理委员会交办的其它任务。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b w:val="0"/>
          <w:bCs w:val="0"/>
          <w:sz w:val="30"/>
          <w:szCs w:val="30"/>
        </w:rPr>
        <w:t>第三章  安全生产责任制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第十条</w:t>
      </w:r>
      <w:r>
        <w:rPr>
          <w:rFonts w:hint="eastAsia" w:ascii="方正仿宋简体" w:hAnsi="方正仿宋简体" w:eastAsia="方正仿宋简体" w:cs="方正仿宋简体"/>
          <w:sz w:val="28"/>
          <w:szCs w:val="28"/>
        </w:rPr>
        <w:t xml:space="preserve">  公司应建立健全公司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管理委员会、公司领导、机关职能部室和管理人员的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职责，真正做到“管工作必须管安全”、“谁主管、谁负责”；公司领导和机关部室职能分工有重大调整时，应及时对</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职责进行修订，并形成文件。公司应对各单位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职责建立、履行情况进行定期指导和考核。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sz w:val="28"/>
          <w:szCs w:val="28"/>
        </w:rPr>
        <w:t xml:space="preserve">  各部室（单位）应按照履行直线责任、落实属地管理的原则，建立本部室（单位）领导干部、管理部门、管理人员及岗位员工的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职责制定范围应覆盖本部室（单位）所有组织、管理部门和岗位；制定</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职责应简练、实用，符合岗位要求，具有针对性和可操作性。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第十二条</w:t>
      </w:r>
      <w:r>
        <w:rPr>
          <w:rFonts w:hint="eastAsia" w:ascii="方正仿宋简体" w:hAnsi="方正仿宋简体" w:eastAsia="方正仿宋简体" w:cs="方正仿宋简体"/>
          <w:sz w:val="28"/>
          <w:szCs w:val="28"/>
        </w:rPr>
        <w:t xml:space="preserve">  各单位的岗位操作员工，其</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职责至少应包括以下内容：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（一）严格执行</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相关的法律法规、规章制度和岗位操作规程，遵守劳动纪律；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（二）对自己所管辖区域内人员的安全、设备设施的完好、作业过程的安全、工作环境的整洁承担属地责任；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（三）熟练掌握岗位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操作技能和故障排除方法，按规定巡回检查，及时发现、报告和消除事故隐患；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（四）清楚本岗位存在的危害因素、风险控制防范措施及事故应急预案；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（五）有权拒绝违章指挥和强令冒险作业并可越级汇报，有权制止、纠正他人的不安全行为；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（六）上岗时应按规定穿戴好劳动防护用品，正确维护和保养岗位安全防护装置及设施；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（七）积极参加各项</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活动，接受</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培训，对</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工作提出建议。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第十三条</w:t>
      </w:r>
      <w:r>
        <w:rPr>
          <w:rFonts w:hint="eastAsia" w:ascii="方正仿宋简体" w:hAnsi="方正仿宋简体" w:eastAsia="方正仿宋简体" w:cs="方正仿宋简体"/>
          <w:sz w:val="28"/>
          <w:szCs w:val="28"/>
        </w:rPr>
        <w:t xml:space="preserve">  公司及各单位的各级领导干部、管理部门、岗位员工都必须认真履行各自的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职责；公司及各单位应将</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履职情况纳入年度绩效考核体系中，定期进行考核奖惩；公司建立各级领导安全生产工作述职报告制度，实行下级向上级述职，将履行</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职责情况作为干部考核的重要内容。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第四章  安全技术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sz w:val="28"/>
          <w:szCs w:val="28"/>
        </w:rPr>
        <w:t xml:space="preserve">  公司重视安全科技工作，加强安全科技研究与开发，大力推广和应用先进安全科技成果，提高本质安全。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第十五条</w:t>
      </w:r>
      <w:r>
        <w:rPr>
          <w:rFonts w:hint="eastAsia" w:ascii="方正仿宋简体" w:hAnsi="方正仿宋简体" w:eastAsia="方正仿宋简体" w:cs="方正仿宋简体"/>
          <w:sz w:val="28"/>
          <w:szCs w:val="28"/>
        </w:rPr>
        <w:t xml:space="preserve">  各部室（单位）按照公司项目管理规定和程序，对新建、改建、扩建项目(工程)必须按国家规定进行安全预评价和安全验收评价；安全设施，当登记建档，定期检测、评估、监控，制定应急预案，作好检测、评估、监控记录；必须与主体工程同时设计，同时施工，同时投产使用；对安全设施进行经常性维护、保养，定期检测并作好记录，保证正常运转；特种设备，必须按照国家有关规定，由专业生产单位生产，并经具有专业资质的检测、检验机构检测、检验合格，取得安全使用证或者安全标志，方可投入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第十六条</w:t>
      </w:r>
      <w:r>
        <w:rPr>
          <w:rFonts w:hint="eastAsia" w:ascii="方正仿宋简体" w:hAnsi="方正仿宋简体" w:eastAsia="方正仿宋简体" w:cs="方正仿宋简体"/>
          <w:sz w:val="28"/>
          <w:szCs w:val="28"/>
        </w:rPr>
        <w:t xml:space="preserve">  对在役生产装置、设备要进行定期安全评价和评估，及时解决存在问题，了解和掌握剩余安全使用寿命和剩余安全强度，做到定期维修保养，防止超期服役。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第十七条</w:t>
      </w:r>
      <w:r>
        <w:rPr>
          <w:rFonts w:hint="eastAsia" w:ascii="方正仿宋简体" w:hAnsi="方正仿宋简体" w:eastAsia="方正仿宋简体" w:cs="方正仿宋简体"/>
          <w:sz w:val="28"/>
          <w:szCs w:val="28"/>
        </w:rPr>
        <w:t xml:space="preserve">  开展重大危险源调查并建立管理档案和动态监测数据台帐，对重大危险源定期检测、评估，实施有效监控，确保重大危险源处于受控状态。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第十八条</w:t>
      </w:r>
      <w:r>
        <w:rPr>
          <w:rFonts w:hint="eastAsia" w:ascii="方正仿宋简体" w:hAnsi="方正仿宋简体" w:eastAsia="方正仿宋简体" w:cs="方正仿宋简体"/>
          <w:sz w:val="28"/>
          <w:szCs w:val="28"/>
        </w:rPr>
        <w:t xml:space="preserve">  鼓励和引导员工参与安全技术革新，广泛开展小改小革和提合理化建议活动。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outlineLvl w:val="9"/>
        <w:rPr>
          <w:rFonts w:hint="eastAsia" w:ascii="方正黑体简体" w:hAnsi="方正黑体简体" w:eastAsia="方正黑体简体" w:cs="方正黑体简体"/>
          <w:b w:val="0"/>
          <w:bCs w:val="0"/>
          <w:sz w:val="30"/>
          <w:szCs w:val="30"/>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第五章  安全教育培训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第十九条</w:t>
      </w:r>
      <w:r>
        <w:rPr>
          <w:rFonts w:hint="eastAsia" w:ascii="方正仿宋简体" w:hAnsi="方正仿宋简体" w:eastAsia="方正仿宋简体" w:cs="方正仿宋简体"/>
          <w:sz w:val="28"/>
          <w:szCs w:val="28"/>
        </w:rPr>
        <w:t xml:space="preserve">  坚持“安全第一，预防为主，综合治理”的方针，对从业人员进行安全生产教育和培训，保证从业人员具备必要的安全生产知识，熟悉有关的安全生产规章制度和安全操作规程，掌握本岗位的安全操作技能。公司应通过各种途径，采取多种措施，对员工进行安全生产教育和培训，如自办刊物、宣传栏、条幅、消防演练、集中培训、班组安全学习等，提高员工安全技术素质和防范事故的能力，保证员工具备必要的安全生产技能。未经安全生产培训考核合格的员工，不得上岗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安全教育学习制度参加人员及学习内容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一、公司领导、机关各部室、基层各单位、各班组全体员工。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二、公司车辆驾驶员由生产保障中心安排学习《道路交通安全法》、《道路交通管理条例》及上级相关交通法律法规、文件精神。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三、安全教育学习制度学习内容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1、安全教育学习包括：</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思想教育、</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知识学习、</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技能学习；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2、安全教育分为三级教育：公司领导和专业技术管理人员的有关安全生产的安全教育、部室（单位）的安全教育、班组的安全教育；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部室（单位）安全教育包括：劳动安全卫生法律法规，如《安全生产法》、《劳动法》；燃气行业标准及相关法规、管理办法《城镇燃气管理条例》《城镇燃气设计规范》、《四川省燃气管理条例》、《城市燃气施工及验收规范》；通用的安全技术；劳动卫生和安全文化的基本知识；公司劳动安全卫生规章制度、劳动纪律；生产中主要的危害因素；预防工伤事故和职业病的主要措施；有关事故案例；应急预案及事故应急处置；上级文件精神；国家的正式新闻媒体发布的有关安全生产的重要信息；党和国家领导人及国家安全生产管理部门对安全生产的重要指示精神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班组安全教育内容包括：公司的规章制度及劳动纪律、岗位安全操作规程、岗位间工作衔接配合的安全卫生事项、典型事故案例、劳动防护用品的正确使用、危险点源的识别和控制措施及岗位应急处置、上级文件精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第二十一条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安全教育方式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培训的形式，以分散在岗培训、辅导为主，集中脱产培训为辅。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一、日常安全教育：采用多种形式宣讲事故案例教训，告知工作岗位存在的危险因素和防范措施，开展安全竞赛活动；分配工作或下达指令进行安全教育，使从业人员领会操作方法，养成良好的安全习惯；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二、专项安全教育：对采用新工艺、新技术、新材料，使用新设备的作业人员和转岗员工必须重新进行安全教育培训，使其了解掌握岗位的安全技术特性，采取有效的防护措施。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第二十二条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员工安全教育应按照下列要求进行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新入厂员工必须经过厂、车间（队）和班组三级安全知识和安全技能教育，各级教育时间不少于24学时，使其熟悉正确操作生产设备和作业工序的一般知识，了解安全操作注意事项，经过考试合格后方能独立上岗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二、对转岗员工及新设备、新工艺操作工必须经过车间（队）和班组两级教育，时间不少于8学时，经考试合格后方能上岗工作；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三、特种作业人员必须按照国家有关规定，到指定地点经专门的安全作业培训和考核，取得国家认可的、相关部门制发的特种作业操作证后上岗，同时操作证应按规定定期复审；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四、参加培训的员工，在培训期间必须严格遵守培训班的相关规定和要求，认真参加培训和教育，如有违反相关规定的员工，将按照国家和公司规定进行处理；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公司负责人和安全生产管理人员，必须经过有关部门的安全管理培训，明确安全生产管理职责，具备与本单位所从事的生产经营活动相应的安全生产知识和管理能力；公司的主要负责人、安全生产管理人员，应当按国家有关部门要求，经具有国家安全培训资质的培训机构进行培训，并取得安全管理任职资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六、参加培训的员工要认真学习有关安全知识，其培训成绩将与日常工作的考核挂钩。参加培训的员工在培训结束后，将培训证书复印件交于公司质量安全环保部备案；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七、安全教育学习活动应有完整的安全活动记录。字迹工整，条理清析，应有具体的主题。其内容应有：主持人、地点、记录人、学习(活动)内容、参加人等要素。记录应保存完好以备查。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八、各单位加强对临时雇用人员和外来施工人员安全教育，并做好教育活动记录。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九、各单位采用新工艺、新技术、新材料和使用新设备前，必须上报公司生产运行部、质量安全环保部等部门，组织对相关人员进行专门的操作技能和安全技术培训，考核合格后方可使用和操作。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十、公司和各部室（单位）要分级建立继续教育制度和全员的安全培训目标，制定安全培训计划。应注重员工的操作技能、应急能力培训，对在岗的员工进行规范性安全生产培训教育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第二十三条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安全教育学习的考核制度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一、安全教育学习的目的在于指导安全生产，安全教育学习纳入员工</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考核指标中，作为月度业绩考核项目；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二、安全教育学习记录不完整，无具体内容的扣班组、部室负责人当月奖金总额的5%；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三、对无故不参加安全教育学习活动的，扣当事人当月工资总额的4%；</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五、对某些重要的安全生产信息、材料等，组织学习后仍无所知，给公司造成不良影响的，扣当事人当月工资总额的5%。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第六章  安全检查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第二十四条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安全管理人员应遵守下列规定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一、各级安全管理人员应随时注意生产、施工作业现场的安全状况，如有异常情况，及时逐层汇报；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二、各级安全管理人员必须随时注意员工执行安全生产规章制度、标准情况，如有异常，应及时阻止和教育；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三、各级安全管理人员应随时注意新、改、扩建工程项目的安全“三同时”落实情况，并将情况及时上报；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四、各站的安全管理人员应掌握压力容器等特种设备的安装、检验、维修、使用情况，并将情况如实汇报；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五、各级安全管理人员应掌握员工的安全教育培训情况（包括特种作业人员的培训、取证情况）；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六、各级安全管理人员应对安全技术措施计划的制定和执行情况进行掌握，并将情况如实、及时汇报；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七、各班组的安全管理人员应对外聘施工人员中安全生产条款履行情况进行掌握；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八、各班组应重视员工的劳动用品发放工作；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九、各班组的安全管理人员应掌握设备、器材的配备、运行情况，并及时进行汇报；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十、各班组的安全管理人员应掌握事故的调查与处理情况。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第二十五条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安全检查要求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班组级安全检查：每日由班组长</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班组安全员在交接班前或生产经营过程中，检查</w:t>
      </w:r>
      <w:r>
        <w:rPr>
          <w:rFonts w:hint="eastAsia" w:ascii="方正仿宋简体" w:hAnsi="方正仿宋简体" w:eastAsia="方正仿宋简体" w:cs="方正仿宋简体"/>
          <w:sz w:val="28"/>
          <w:szCs w:val="28"/>
          <w:lang w:eastAsia="zh-CN"/>
        </w:rPr>
        <w:t>站场</w:t>
      </w:r>
      <w:r>
        <w:rPr>
          <w:rFonts w:hint="eastAsia" w:ascii="方正仿宋简体" w:hAnsi="方正仿宋简体" w:eastAsia="方正仿宋简体" w:cs="方正仿宋简体"/>
          <w:sz w:val="28"/>
          <w:szCs w:val="28"/>
        </w:rPr>
        <w:t>工艺设备</w:t>
      </w:r>
      <w:r>
        <w:rPr>
          <w:rFonts w:hint="eastAsia" w:ascii="方正仿宋简体" w:hAnsi="方正仿宋简体" w:eastAsia="方正仿宋简体" w:cs="方正仿宋简体"/>
          <w:sz w:val="28"/>
          <w:szCs w:val="28"/>
          <w:lang w:eastAsia="zh-CN"/>
        </w:rPr>
        <w:t>、施工</w:t>
      </w:r>
      <w:r>
        <w:rPr>
          <w:rFonts w:hint="eastAsia" w:ascii="方正仿宋简体" w:hAnsi="方正仿宋简体" w:eastAsia="方正仿宋简体" w:cs="方正仿宋简体"/>
          <w:sz w:val="28"/>
          <w:szCs w:val="28"/>
        </w:rPr>
        <w:t>作业场所</w:t>
      </w:r>
      <w:r>
        <w:rPr>
          <w:rFonts w:hint="eastAsia" w:ascii="方正仿宋简体" w:hAnsi="方正仿宋简体" w:eastAsia="方正仿宋简体" w:cs="方正仿宋简体"/>
          <w:sz w:val="28"/>
          <w:szCs w:val="28"/>
          <w:lang w:eastAsia="zh-CN"/>
        </w:rPr>
        <w:t>、燃气管网设施、生产经营场所</w:t>
      </w:r>
      <w:r>
        <w:rPr>
          <w:rFonts w:hint="eastAsia" w:ascii="方正仿宋简体" w:hAnsi="方正仿宋简体" w:eastAsia="方正仿宋简体" w:cs="方正仿宋简体"/>
          <w:sz w:val="28"/>
          <w:szCs w:val="28"/>
        </w:rPr>
        <w:t>的安全控制状况，检查员工是否遵守安全操作规程，</w:t>
      </w:r>
      <w:r>
        <w:rPr>
          <w:rFonts w:hint="eastAsia" w:ascii="方正仿宋简体" w:hAnsi="方正仿宋简体" w:eastAsia="方正仿宋简体" w:cs="方正仿宋简体"/>
          <w:sz w:val="28"/>
          <w:szCs w:val="28"/>
          <w:lang w:eastAsia="zh-CN"/>
        </w:rPr>
        <w:t>机</w:t>
      </w:r>
      <w:r>
        <w:rPr>
          <w:rFonts w:hint="eastAsia" w:ascii="方正仿宋简体" w:hAnsi="方正仿宋简体" w:eastAsia="方正仿宋简体" w:cs="方正仿宋简体"/>
          <w:sz w:val="28"/>
          <w:szCs w:val="28"/>
        </w:rPr>
        <w:t>器设备运转是否正常</w:t>
      </w:r>
      <w:r>
        <w:rPr>
          <w:rFonts w:hint="eastAsia" w:ascii="方正仿宋简体" w:hAnsi="方正仿宋简体" w:eastAsia="方正仿宋简体" w:cs="方正仿宋简体"/>
          <w:sz w:val="28"/>
          <w:szCs w:val="28"/>
          <w:lang w:eastAsia="zh-CN"/>
        </w:rPr>
        <w:t>、燃气设施及工艺管线是否正常、安全设施是否完好</w:t>
      </w:r>
      <w:r>
        <w:rPr>
          <w:rFonts w:hint="eastAsia" w:ascii="方正仿宋简体" w:hAnsi="方正仿宋简体" w:eastAsia="方正仿宋简体" w:cs="方正仿宋简体"/>
          <w:sz w:val="28"/>
          <w:szCs w:val="28"/>
        </w:rPr>
        <w:t>，发现并排除隐患，避免事故；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二、基层单位级安全检查：每月由基层单位负责人组织对所属范围的重点部位，安全装置与设施的可靠性，消防设施以及安全标志和员工的操作情况进行检查；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公司级安全检查：每月由公司分管安全的领导和公司安全机构管理人员，以“查领导，查思想，查制度，查管理，查隐患”为主要检查内容，对公司安全生产经营的总体状况做全面检查，不断改进和完善公司安全管理体系及各项管理制度、职责的运作，保障公司生产经营和安全工作正常运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四、安全联系检查：领导干部应定期对自己负责安全生产联系的单位和联系点进行安全检查。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五、季节性安全检查：根据季节特点对公司安全工作的影响，进行春秋季防火，雨季防雷击、防触电、防洪汛，夏季防高温、防中暑，冬季防冻保暖为主要内容的安全检查；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六、专业性检查：由技术人员和安全管理员对容易发生事故的设备、场所、原辅材料存放点或操作工序等重点部位、重点危险源，进行不定期的安全检查；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lang w:eastAsia="zh-CN"/>
        </w:rPr>
      </w:pPr>
      <w:r>
        <w:rPr>
          <w:rFonts w:hint="eastAsia" w:ascii="方正仿宋简体" w:hAnsi="方正仿宋简体" w:eastAsia="方正仿宋简体" w:cs="方正仿宋简体"/>
          <w:sz w:val="28"/>
          <w:szCs w:val="28"/>
          <w:lang w:eastAsia="zh-CN"/>
        </w:rPr>
        <w:t>七、节假日安全检查：根据节假日特点对安全生产的影响，进行法定节假日前后的安全检查，如国庆、元旦、春节前后开展输气站场、燃气管网、燃气用户、风险作业全履盖性安全检查。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第二十六条</w:t>
      </w:r>
      <w:r>
        <w:rPr>
          <w:rFonts w:hint="eastAsia" w:ascii="方正仿宋简体" w:hAnsi="方正仿宋简体" w:eastAsia="方正仿宋简体" w:cs="方正仿宋简体"/>
          <w:sz w:val="28"/>
          <w:szCs w:val="28"/>
        </w:rPr>
        <w:t xml:space="preserve">  安全检查时，检查人员应按闭环管理的相关规定，将检查的时间、地点、内容、发现的问题及其处理情况，做出书面记录，并按规定报告、督促整改和复查。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第二十七条</w:t>
      </w:r>
      <w:r>
        <w:rPr>
          <w:rFonts w:hint="eastAsia" w:ascii="方正仿宋简体" w:hAnsi="方正仿宋简体" w:eastAsia="方正仿宋简体" w:cs="方正仿宋简体"/>
          <w:sz w:val="28"/>
          <w:szCs w:val="28"/>
        </w:rPr>
        <w:t xml:space="preserve">  检查人员对检查中发现的安全生产“三违”行为，应当场出示“STOP”卡予以制止或要求及时纠正；对违反十条禁令的行为严格按照《西南油气田公司反违章十条禁令实施细则》进行处罚，其它违章行为按本单位制定的违章处罚管理办法进行处理；对发现的“三违”行为要及时报告质量安全环保部，质量安全环保部应及时将信息录入到《员工“三违”处罚台账》或《承包商“三违”处罚台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第二十八条</w:t>
      </w:r>
      <w:r>
        <w:rPr>
          <w:rFonts w:hint="eastAsia" w:ascii="方正仿宋简体" w:hAnsi="方正仿宋简体" w:eastAsia="方正仿宋简体" w:cs="方正仿宋简体"/>
          <w:sz w:val="28"/>
          <w:szCs w:val="28"/>
        </w:rPr>
        <w:t xml:space="preserve">  检查人员对检查中发现的事故隐患，应当责令立即排除，重大事故隐患排除前或在排除过程中无法保证安全的，应当责令作业人员从危险区域内撤出，责令暂时停产停业或者停止使用；重大事故隐患排除后，经审查同意，方可恢复生产经营和使用；对检查中发现的不能立即排除的事故隐患，应制定防范和监控措施，在评估的基础上，按管理权限制定整改计划，保证整改经费的投入，并按期完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第二十九条</w:t>
      </w:r>
      <w:r>
        <w:rPr>
          <w:rFonts w:hint="eastAsia" w:ascii="方正仿宋简体" w:hAnsi="方正仿宋简体" w:eastAsia="方正仿宋简体" w:cs="方正仿宋简体"/>
          <w:sz w:val="28"/>
          <w:szCs w:val="28"/>
        </w:rPr>
        <w:t xml:space="preserve">  对于政府和上级单位安全检查人员依照法律和相关规定履行监督检查职责时，各单位应当予以配合，不得拒绝、阻挠。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val="0"/>
          <w:sz w:val="30"/>
          <w:szCs w:val="30"/>
        </w:rPr>
        <w:t>第七章  安全技术措施和事故隐患治理计划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第三十条</w:t>
      </w:r>
      <w:r>
        <w:rPr>
          <w:rFonts w:hint="eastAsia" w:ascii="方正仿宋简体" w:hAnsi="方正仿宋简体" w:eastAsia="方正仿宋简体" w:cs="方正仿宋简体"/>
          <w:sz w:val="28"/>
          <w:szCs w:val="28"/>
        </w:rPr>
        <w:t xml:space="preserve">  公司相关部门应按规定编制安全技术措施和事故隐患治理计划，并按计划实施。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技术措施计划的编制，由公司生产运行部牵头，质量安全环保部和管道管理部、工程技术部、生产保障中心、客服服务中心、输配中心站、恩阳分公司等参与编制。由立项后确定的责任部室（单位）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(二)市场营销部和财务资产部应将安全技术措施经费和事故隐患治理计划纳入公司预算，落实资金投入。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安全技术措施和事故隐患治理计划由分管生产、技术领导组织有关部室（单位）进行审查和汇总，由公司生产运行部负责编入生产计划之中或单独编制计划下达，由立项后确定的责任单位组织实施。质量安全环保部、生产运行部负责检查、督促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(四)安全技术措施和事故隐患治理计划实行项目管理,对已经完成的安全技术措施计划和隐患治理项目，由相关职能部门组织专家进行竣工验收。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第三十一条</w:t>
      </w:r>
      <w:r>
        <w:rPr>
          <w:rFonts w:hint="eastAsia" w:ascii="方正仿宋简体" w:hAnsi="方正仿宋简体" w:eastAsia="方正仿宋简体" w:cs="方正仿宋简体"/>
          <w:sz w:val="28"/>
          <w:szCs w:val="28"/>
        </w:rPr>
        <w:t xml:space="preserve">  安全技术措施计划项目的主要范围包括：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技术及措施：各种机器设备的防护、保险、信号、报警装置；安全起动和紧急停车设施；生产作业区域内危险场所、有关设施、设备的指示及警告标志；有毒有害作业点的检测、检查仪器配备；对繁重费力或人工操作有危险的作业所采取的辅助机械化措施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(二)职业健康：生产作业区域的通风换气和采光照明装置；为减轻或消除工作中的噪声、震动等的防护设施；生产作业区域内应增设或改善的防寒取暖设施等。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(三)辅助房屋及设施：职工食堂及其相应的设施等。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宣传教育：包括安全技术、劳动保护的研究及其所需的工作仪器；为企业员工建立的“劳动安全教育室”；购置或编印安全技术、劳动保护管理所使用的辅助器材、书籍、刊物、画片、规章制度宣传材料、幻灯片、录像带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val="0"/>
          <w:sz w:val="30"/>
          <w:szCs w:val="30"/>
        </w:rPr>
        <w:t>第八章  消防安全管理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第三十二条</w:t>
      </w:r>
      <w:r>
        <w:rPr>
          <w:rFonts w:hint="eastAsia" w:ascii="方正仿宋简体" w:hAnsi="方正仿宋简体" w:eastAsia="方正仿宋简体" w:cs="方正仿宋简体"/>
          <w:sz w:val="28"/>
          <w:szCs w:val="28"/>
        </w:rPr>
        <w:t xml:space="preserve">  各部室（单位）要加强单位内部的消防安全管理工作，将消防安全工作纳入安全生产工作的整体部署，落实防火安全责任制。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第三十三条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各部室（单位）要坚持“预防为主、防消结合”的方针，加强消防宣传教育，将防火、防爆工作纳入单位日常安全检查和专项安全检查的重要内容，及时消除火灾隐患。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第三十四条</w:t>
      </w:r>
      <w:r>
        <w:rPr>
          <w:rFonts w:hint="eastAsia" w:ascii="方正仿宋简体" w:hAnsi="方正仿宋简体" w:eastAsia="方正仿宋简体" w:cs="方正仿宋简体"/>
          <w:sz w:val="28"/>
          <w:szCs w:val="28"/>
        </w:rPr>
        <w:t xml:space="preserve">  按照《消防法》规定，公司建立义务消防队伍，强化义务消防队员的基础训练和专项技能训练，配齐配足所需要的消防器材和设施。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val="0"/>
          <w:sz w:val="30"/>
          <w:szCs w:val="30"/>
        </w:rPr>
        <w:t>第九章  职业健康和劳动防护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第三十五条</w:t>
      </w:r>
      <w:r>
        <w:rPr>
          <w:rFonts w:hint="eastAsia" w:ascii="方正仿宋简体" w:hAnsi="方正仿宋简体" w:eastAsia="方正仿宋简体" w:cs="方正仿宋简体"/>
          <w:sz w:val="28"/>
          <w:szCs w:val="28"/>
        </w:rPr>
        <w:t xml:space="preserve">  公司各部室（单位）应认真搞好职业健康和劳动防护工作,积极治理职业危害场所，为员工创造健康、安全的作业环境。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第三十六条</w:t>
      </w:r>
      <w:r>
        <w:rPr>
          <w:rFonts w:hint="eastAsia" w:ascii="方正仿宋简体" w:hAnsi="方正仿宋简体" w:eastAsia="方正仿宋简体" w:cs="方正仿宋简体"/>
          <w:sz w:val="28"/>
          <w:szCs w:val="28"/>
        </w:rPr>
        <w:t xml:space="preserve">  要认真贯彻执行国家有关职业健康和劳动防护的政策、法规，制定职业健康及劳动防护计划和实施方案。在进行各项生产建设时，应采取积极有效措施改善作业条件，减少职业病危害。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(一)建立工作场所职业危害因素监测及评价制度，建立、健全职业健康档案和员工健康档案。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(二)定期对职业危害作业场所进行监测和评价，达不到国家标准的应采取积极措施进行整治。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(三)对生产过程中产生职业病危害的设备，要采取密闭或除尘净化措施，其排放物质要符合国家规定标准。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(四)作业场所的噪声、振动、高温超过国家标准的，要采取消音、隔音、防震、降温及个人防护措施。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第三十七条</w:t>
      </w:r>
      <w:r>
        <w:rPr>
          <w:rFonts w:hint="eastAsia" w:ascii="方正仿宋简体" w:hAnsi="方正仿宋简体" w:eastAsia="方正仿宋简体" w:cs="方正仿宋简体"/>
          <w:sz w:val="28"/>
          <w:szCs w:val="28"/>
        </w:rPr>
        <w:t xml:space="preserve">  生产作业场所和员工宿舍应当设有符合紧急疏散要求、标志明显、保持畅通的出口。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第三十八条</w:t>
      </w:r>
      <w:r>
        <w:rPr>
          <w:rFonts w:hint="eastAsia" w:ascii="方正仿宋简体" w:hAnsi="方正仿宋简体" w:eastAsia="方正仿宋简体" w:cs="方正仿宋简体"/>
          <w:sz w:val="28"/>
          <w:szCs w:val="28"/>
        </w:rPr>
        <w:t xml:space="preserve">  作业场所应保持清洁卫生，其道路、照明、采光、饮用水、排污道均应符合国家规定，并根据需要设置卫生辅助设施。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第三十九条</w:t>
      </w:r>
      <w:r>
        <w:rPr>
          <w:rFonts w:hint="eastAsia" w:ascii="方正仿宋简体" w:hAnsi="方正仿宋简体" w:eastAsia="方正仿宋简体" w:cs="方正仿宋简体"/>
          <w:sz w:val="28"/>
          <w:szCs w:val="28"/>
        </w:rPr>
        <w:t xml:space="preserve">  按照国家和上级有关部门规定，为上岗员工提供符合安全生产要求的劳动防护用品、防暑降温物品和用具。劳动防护服装实行性能、款式、颜色、标识四统一。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第四十条</w:t>
      </w:r>
      <w:r>
        <w:rPr>
          <w:rFonts w:hint="eastAsia" w:ascii="方正仿宋简体" w:hAnsi="方正仿宋简体" w:eastAsia="方正仿宋简体" w:cs="方正仿宋简体"/>
          <w:sz w:val="28"/>
          <w:szCs w:val="28"/>
        </w:rPr>
        <w:t xml:space="preserve">  对从事有职业病危害的作业和特种作业的人员要按规定进行上岗前、在岗期间、离岗时的职业健康检查。对从事有职业病危害作业的人员，应根据特殊规定和需要，发放相应的防护用品，发给保健食品或保健费。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第四十一条</w:t>
      </w:r>
      <w:r>
        <w:rPr>
          <w:rFonts w:hint="eastAsia" w:ascii="方正仿宋简体" w:hAnsi="方正仿宋简体" w:eastAsia="方正仿宋简体" w:cs="方正仿宋简体"/>
          <w:sz w:val="28"/>
          <w:szCs w:val="28"/>
        </w:rPr>
        <w:t xml:space="preserve">  做好女职工特殊劳动保护工作。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第四十二条</w:t>
      </w:r>
      <w:r>
        <w:rPr>
          <w:rFonts w:hint="eastAsia" w:ascii="方正仿宋简体" w:hAnsi="方正仿宋简体" w:eastAsia="方正仿宋简体" w:cs="方正仿宋简体"/>
          <w:sz w:val="28"/>
          <w:szCs w:val="28"/>
        </w:rPr>
        <w:t xml:space="preserve">  公司综合办公室要牵头办理公司工伤社会保险，为从业人员缴纳保险费。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val="0"/>
          <w:sz w:val="30"/>
          <w:szCs w:val="30"/>
        </w:rPr>
        <w:t>第十章  承包、租赁经营行为的安全管理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第四十三条</w:t>
      </w:r>
      <w:r>
        <w:rPr>
          <w:rFonts w:hint="eastAsia" w:ascii="方正仿宋简体" w:hAnsi="方正仿宋简体" w:eastAsia="方正仿宋简体" w:cs="方正仿宋简体"/>
          <w:sz w:val="28"/>
          <w:szCs w:val="28"/>
        </w:rPr>
        <w:t xml:space="preserve">  各部室（单位）应加强对承包、租赁经营行为安全管理。在发包和签订的各种承包或租赁合同的同时，必须签订</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合同，明确相关方的安全生产管理责任。不得将生产经营项目、场所、设备发包或出租给不具备安全生产条件或相应资质的单位或个人，也不得租赁不符合安全生产条件的场所和设备从事生产经营活动。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第四十四条</w:t>
      </w:r>
      <w:r>
        <w:rPr>
          <w:rFonts w:hint="eastAsia" w:ascii="方正仿宋简体" w:hAnsi="方正仿宋简体" w:eastAsia="方正仿宋简体" w:cs="方正仿宋简体"/>
          <w:sz w:val="28"/>
          <w:szCs w:val="28"/>
        </w:rPr>
        <w:t xml:space="preserve">  各工程项目的建设单位与承包单位签订</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合同时，必须明确各自的安全生产管理职责和应当采取的安全措施，并指定安全管理人员或安全监督人员进行安全检查、监督和协调。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30"/>
          <w:szCs w:val="30"/>
        </w:rPr>
      </w:pPr>
      <w:r>
        <w:rPr>
          <w:rFonts w:hint="eastAsia" w:ascii="方正黑体简体" w:hAnsi="方正黑体简体" w:eastAsia="方正黑体简体" w:cs="方正黑体简体"/>
          <w:b w:val="0"/>
          <w:bCs w:val="0"/>
          <w:sz w:val="30"/>
          <w:szCs w:val="30"/>
        </w:rPr>
        <w:t>第十一章  突发事件应急管理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第四十五条</w:t>
      </w:r>
      <w:r>
        <w:rPr>
          <w:rFonts w:hint="eastAsia" w:ascii="方正仿宋简体" w:hAnsi="方正仿宋简体" w:eastAsia="方正仿宋简体" w:cs="方正仿宋简体"/>
          <w:sz w:val="28"/>
          <w:szCs w:val="28"/>
        </w:rPr>
        <w:t xml:space="preserve">  公司各部室（单位）要制定处置突发事件的应急预案体系，组建事故应急救援组织，储备必要的应急救援物资。加强与当地政府、周边相关方的沟通，建立起预警、接警、救援和恢复的联动机制，增强应对各类突发事件和重大事故的应急抢险救援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第四十六条</w:t>
      </w:r>
      <w:r>
        <w:rPr>
          <w:rFonts w:hint="eastAsia" w:ascii="方正仿宋简体" w:hAnsi="方正仿宋简体" w:eastAsia="方正仿宋简体" w:cs="方正仿宋简体"/>
          <w:sz w:val="28"/>
          <w:szCs w:val="28"/>
        </w:rPr>
        <w:t xml:space="preserve">  应急管理要坚持“预防为主、预防与应急相结合”的原则，做到“早发现、早报告、早处置”。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第四十七条</w:t>
      </w:r>
      <w:r>
        <w:rPr>
          <w:rFonts w:hint="eastAsia" w:ascii="方正仿宋简体" w:hAnsi="方正仿宋简体" w:eastAsia="方正仿宋简体" w:cs="方正仿宋简体"/>
          <w:sz w:val="28"/>
          <w:szCs w:val="28"/>
        </w:rPr>
        <w:t xml:space="preserve">  公司各部室（单位）应分类、分级编制事故应急预案。事故应急管理重点是城镇燃气管网设施、燃气用户、配气站、施工作业现场等各类突发险情。应急预案内容应详细、齐全，要充分考虑对周边地区相关方造成的危害，与当地政府、周边相关方建立预警救援机制，要按规定搞好应急预案培训和演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第四十八条</w:t>
      </w:r>
      <w:r>
        <w:rPr>
          <w:rFonts w:hint="eastAsia" w:ascii="方正仿宋简体" w:hAnsi="方正仿宋简体" w:eastAsia="方正仿宋简体" w:cs="方正仿宋简体"/>
          <w:sz w:val="28"/>
          <w:szCs w:val="28"/>
        </w:rPr>
        <w:t xml:space="preserve">  应对突发事件要坚持“企业负责、区域联动、属地管理、分级落实”的原则，自觉接受当地政府主管部门的监督管理和检查。处置突发事件要做到“反应迅捷、职责明确、指挥统一、救人优先”，把事故造成的危害减小到最低限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第四十九条</w:t>
      </w:r>
      <w:r>
        <w:rPr>
          <w:rFonts w:hint="eastAsia" w:ascii="方正仿宋简体" w:hAnsi="方正仿宋简体" w:eastAsia="方正仿宋简体" w:cs="方正仿宋简体"/>
          <w:sz w:val="28"/>
          <w:szCs w:val="28"/>
        </w:rPr>
        <w:t xml:space="preserve">  公司制订的突发事件综合应急处置预案，应上报给抢险救援的相关部门及其他相关方，并报上级主管部门和地方政府备案，一旦发生突发事件，要立即按程序启动应急预案。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ascii="??????" w:hAnsi="??????" w:eastAsia="Times New Roman" w:cs="??????"/>
          <w:b/>
          <w:bCs/>
          <w:sz w:val="28"/>
          <w:szCs w:val="28"/>
        </w:rPr>
      </w:pPr>
      <w:r>
        <w:rPr>
          <w:rFonts w:hint="eastAsia" w:ascii="方正黑体简体" w:hAnsi="方正黑体简体" w:eastAsia="方正黑体简体" w:cs="方正黑体简体"/>
          <w:b w:val="0"/>
          <w:bCs w:val="0"/>
          <w:sz w:val="30"/>
          <w:szCs w:val="30"/>
        </w:rPr>
        <w:t>第十二章  事故事件管理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第五十条</w:t>
      </w:r>
      <w:r>
        <w:rPr>
          <w:rFonts w:hint="eastAsia" w:ascii="方正仿宋简体" w:hAnsi="方正仿宋简体" w:eastAsia="方正仿宋简体" w:cs="方正仿宋简体"/>
          <w:sz w:val="28"/>
          <w:szCs w:val="28"/>
        </w:rPr>
        <w:t xml:space="preserve">  按照事故处理“四不放过”的原则，加强事故管理工作；按照事故责任追究的有关制度，追究有关人员的责任。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第五十一条</w:t>
      </w:r>
      <w:r>
        <w:rPr>
          <w:rFonts w:hint="eastAsia" w:ascii="方正仿宋简体" w:hAnsi="方正仿宋简体" w:eastAsia="方正仿宋简体" w:cs="方正仿宋简体"/>
          <w:sz w:val="28"/>
          <w:szCs w:val="28"/>
        </w:rPr>
        <w:t xml:space="preserve">  有关事故报告、事故调查、事故处理、事故汇报、事故统计与建档和事故的分类分级等规定，严格按照《西南油气田公司生产安全事故管理办法》执行。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第五十二条</w:t>
      </w:r>
      <w:r>
        <w:rPr>
          <w:rFonts w:hint="eastAsia" w:ascii="方正仿宋简体" w:hAnsi="方正仿宋简体" w:eastAsia="方正仿宋简体" w:cs="方正仿宋简体"/>
          <w:sz w:val="28"/>
          <w:szCs w:val="28"/>
        </w:rPr>
        <w:t xml:space="preserve">  工伤管理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（一）公司应按照《工伤保险条例》，为全体员工（含各种用工形式的人员）办理工伤保险。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（二）工伤的认定、伤者劳动能力的鉴定及工伤保险待遇等，均按照《工伤保险条例》的规定执行。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（三）对工伤事故的责任者（含伤者本人），必须按照事故管理的相关规定进行处理。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sz w:val="28"/>
          <w:szCs w:val="28"/>
        </w:rPr>
      </w:pPr>
      <w:r>
        <w:rPr>
          <w:rFonts w:hint="eastAsia" w:ascii="方正黑体简体" w:hAnsi="方正黑体简体" w:eastAsia="方正黑体简体" w:cs="方正黑体简体"/>
          <w:b w:val="0"/>
          <w:bCs w:val="0"/>
          <w:sz w:val="30"/>
          <w:szCs w:val="30"/>
        </w:rPr>
        <w:t>第十三章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 xml:space="preserve"> </w:t>
      </w:r>
      <w:r>
        <w:rPr>
          <w:rFonts w:hint="eastAsia" w:ascii="方正黑体简体" w:hAnsi="方正黑体简体" w:eastAsia="方正黑体简体" w:cs="方正黑体简体"/>
          <w:b w:val="0"/>
          <w:bCs w:val="0"/>
          <w:sz w:val="30"/>
          <w:szCs w:val="30"/>
          <w:lang w:eastAsia="zh-CN"/>
        </w:rPr>
        <w:t>QHSE</w:t>
      </w:r>
      <w:r>
        <w:rPr>
          <w:rFonts w:hint="eastAsia" w:ascii="方正黑体简体" w:hAnsi="方正黑体简体" w:eastAsia="方正黑体简体" w:cs="方正黑体简体"/>
          <w:b w:val="0"/>
          <w:bCs w:val="0"/>
          <w:sz w:val="30"/>
          <w:szCs w:val="30"/>
        </w:rPr>
        <w:t>会议制度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按照“安全第一、预防为主、综合治理”的工作方针，以及“谁主管、谁负责”和“管生产必须管安全”的原则，践行有感领导、强化管理、落实责任，营造良好的安全环保氛围。结合公司实际，特制定《中油南充燃气有限责任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会议制度》。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会议制度，按层次划分为：公司级和班组级。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第五十三条</w:t>
      </w:r>
      <w:r>
        <w:rPr>
          <w:rFonts w:hint="eastAsia" w:ascii="方正仿宋简体" w:hAnsi="方正仿宋简体" w:eastAsia="方正仿宋简体" w:cs="方正仿宋简体"/>
          <w:sz w:val="28"/>
          <w:szCs w:val="28"/>
        </w:rPr>
        <w:t xml:space="preserve">  公司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会议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领导小组会（专题会）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1、学习、传达贯彻上级有关安全会议精神，落实有关指示和要求。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2、审定本单位年度、阶段性安全环保目标及活动计划。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3、根据本单位阶段性安全环保形势，研究、分析安全环保管理中的不足或薄弱环节，解决存在的主要问题或隐患，制定下步工作重点。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4、及时研究、分析本单位的有关安全生产事故和未遂事件，讨论处理事故责任单位和严重违章责任人，总结吸取教训，并采取有效预防措施，防止同类事故发生。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暨安全生产分</w:t>
      </w:r>
      <w:r>
        <w:rPr>
          <w:rFonts w:hint="eastAsia" w:ascii="方正仿宋简体" w:hAnsi="方正仿宋简体" w:eastAsia="方正仿宋简体" w:cs="方正仿宋简体"/>
          <w:sz w:val="28"/>
          <w:szCs w:val="28"/>
          <w:lang w:eastAsia="zh-CN"/>
        </w:rPr>
        <w:t>析</w:t>
      </w:r>
      <w:r>
        <w:rPr>
          <w:rFonts w:hint="eastAsia" w:ascii="方正仿宋简体" w:hAnsi="方正仿宋简体" w:eastAsia="方正仿宋简体" w:cs="方正仿宋简体"/>
          <w:sz w:val="28"/>
          <w:szCs w:val="28"/>
        </w:rPr>
        <w:t>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1、学习、传达贯彻上级有关安全会议精神，落实有关指示和要求。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2、分析本单位安全环保形势，布置下步工作。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3、定期召开会议，分析、总结本单位上一阶段安全生产工作，并布置下步安全生产工作。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4、制定本单位特殊时段、季节安全环保的重点工作并落实相应措施。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5、针对机关部门、基层单位或班组反映的突出问题，研究、协调落实处理措施。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第五十四条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班组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会议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一、班前会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1、分析本班安全生产现状、设备运行情况。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2、针对特殊时段、季节特点和设备运行状况，落实本班组的安全防护措施。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3、安排布置本班的具体工作任务，同时交待安全工作重点。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4、班前会每天一次，由班组长组织，班组成员参加。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二、班组会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1、学习本单位下发的安全文件、安全环保规章制度、事故案例等，并组织开展讨论。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2、按巡检制度，开展安全自检自查活动。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3、开展岗位风险识别及落实控制措施，及时发现并组织消除隐患。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4、组织全班人员开展岗位应知应会和安全技能的培训。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5、按设备维护保养的“十字”作业要求，组织全班人员对本班组设备及其附属设施开展维护保养活动。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6、定期组织全班人员开展应急演练活动。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7、开展安全经验分享活动。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8、班组会每周一次，由班组长组织，班组成员参加。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第五十五条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其他要求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1、特殊情况下可不定期、不定时地召开各级、各部门安全环保工作会议。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领导小组会议议定事项由综合办公室负责督办，质量安全环保部负责监督完成。同时记录在本单位</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活动记录本。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3、在</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活动记录本上记录本井站（班组）所开展的各项</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第十四章  安全生产考核与奖惩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第五十六条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安全管理工作实行目标管理，公司的安全目标由董事会确定，公司逐级签订</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 xml:space="preserve">目标责任书和岗位责任书，明确责、权、利。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一、目标考核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1、生产安全事故等级划分：</w:t>
      </w:r>
    </w:p>
    <w:tbl>
      <w:tblPr>
        <w:tblStyle w:val="51"/>
        <w:tblW w:w="906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733"/>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序号</w:t>
            </w:r>
          </w:p>
        </w:tc>
        <w:tc>
          <w:tcPr>
            <w:tcW w:w="1733"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事故等级</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工业生产事故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w:t>
            </w:r>
          </w:p>
        </w:tc>
        <w:tc>
          <w:tcPr>
            <w:tcW w:w="1733"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特别重大事故</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30人以上死亡，或者100人以上重伤（包括急性工业中毒，下同），或者1亿元以上直接经济损失。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二</w:t>
            </w:r>
          </w:p>
        </w:tc>
        <w:tc>
          <w:tcPr>
            <w:tcW w:w="1733"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重大事故</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10人以上30人以下死亡，或者50人以上100人以下重伤，或者5000万元以上1亿元以下直接经济损失。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三</w:t>
            </w:r>
          </w:p>
        </w:tc>
        <w:tc>
          <w:tcPr>
            <w:tcW w:w="1733"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较大事故</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3人以上10人以下死亡，或者10人以上50人以下重伤，或者1000万元以上5000万元以下直接经济损失。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四</w:t>
            </w:r>
          </w:p>
        </w:tc>
        <w:tc>
          <w:tcPr>
            <w:tcW w:w="1733"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一般事故</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3人以下死亡，或者10人以下重伤，或者1000万元以下直接经济损失。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w:t>
            </w:r>
          </w:p>
        </w:tc>
        <w:tc>
          <w:tcPr>
            <w:tcW w:w="1733" w:type="dxa"/>
            <w:vAlign w:val="center"/>
          </w:tcPr>
          <w:p>
            <w:pPr>
              <w:spacing w:line="560" w:lineRule="exact"/>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一般事故 A级</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3人以下死亡，或者3人以上10人以下重伤，或者10人以上轻伤，或者100万元以上1000万元以下直接经济损失。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w:t>
            </w:r>
          </w:p>
        </w:tc>
        <w:tc>
          <w:tcPr>
            <w:tcW w:w="1733" w:type="dxa"/>
            <w:vAlign w:val="center"/>
          </w:tcPr>
          <w:p>
            <w:pPr>
              <w:spacing w:line="560" w:lineRule="exact"/>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一般事故 B级</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3人以下重伤，或者3人以上10人以下轻伤，或者10万元以上100万元以下直接经济损失。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57" w:type="dxa"/>
            <w:vAlign w:val="center"/>
          </w:tcPr>
          <w:p>
            <w:pPr>
              <w:spacing w:line="560" w:lineRule="exact"/>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w:t>
            </w:r>
          </w:p>
        </w:tc>
        <w:tc>
          <w:tcPr>
            <w:tcW w:w="1733" w:type="dxa"/>
            <w:vAlign w:val="center"/>
          </w:tcPr>
          <w:p>
            <w:pPr>
              <w:spacing w:line="560" w:lineRule="exact"/>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一般事故 C级</w:t>
            </w:r>
          </w:p>
        </w:tc>
        <w:tc>
          <w:tcPr>
            <w:tcW w:w="6570" w:type="dxa"/>
            <w:vAlign w:val="center"/>
          </w:tcPr>
          <w:p>
            <w:pPr>
              <w:spacing w:line="560" w:lineRule="exact"/>
              <w:ind w:firstLine="420" w:firstLineChars="200"/>
              <w:jc w:val="both"/>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3人以下轻伤，或者10万元以下1000元以上直接经济损失。</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2、环境污染事故等级划分：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（1）一般污染事故：责任赔、罚款1000～10000元（不含1万元）；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（2）较大污染事故：责任赔、罚款1万元～5万元（不含5万元）；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（3）重大污染事故：责任赔、罚款5万元～10万元（不含10万元）；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（4）特大污染事故：责任赔、罚款10万元以上。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3、凡发生安全一般B级以上事故、较大事故、重大事故、特大事故、环境污染较大事故对事故单位和个人、主管、分管领导评先创优实行一票否决。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4、凡发生工业死亡事故、交通有责死亡事故、安全重大责任事故、环境污染较大责任事故，全额扣罚单位安全风险抵押金，事故经济损失大于安全风险抵押金时，参照相关条款再予追加扣罚。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发生一般事故，如重伤事故、群伤事故、火灾爆炸事故、性质恶劣或经济损失巨大的事故，按事故责任大小、经济损失多少扣罚安全风险抵押金，事故经济损失大于安全风险抵押金时，参照相关条款再予追加扣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6、全年事故损失（含上年移至当年结案的事故经济损失）超出安全风险抵押金，按超出额度的50％扣罚（如季度考核扣罚金额超过事故损失额，则不再扣罚）。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7、发生环境污染事故，根据污染事故，根据事故等级和责任大小按污染赔偿和罚款额的10～50％承担赔罚款和按比例扣罚安全风险抵押金部分。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8、如以上要求与每年度签订的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目标责任书冲突，以</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目标责任书为准。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二、基础工作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在考核健康、安全，环保工作目标的同时，逐级考核</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基础工作。基础工作实行记分制考核，各部门（单位）每月进行一次员工考核，各部门（单位）由业务分管领导每月考核一次。员工的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考核指标由各部门（单位）编制，各部门（单位）的</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考核指标由公司统一制定。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三、安全生产考核与经济责任制考核同步进行，与效益工资挂钩，按安全目标责任书下达的事故核定指标进行考核，未实现目标的按安全所占绩效考核的权重扣发效益工资。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四、对发生事故的责任人还将按相关的法律法规进行处理。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第五十七条</w:t>
      </w:r>
      <w:r>
        <w:rPr>
          <w:rFonts w:hint="eastAsia" w:ascii="方正仿宋简体" w:hAnsi="方正仿宋简体" w:eastAsia="方正仿宋简体" w:cs="方正仿宋简体"/>
          <w:sz w:val="28"/>
          <w:szCs w:val="28"/>
        </w:rPr>
        <w:t xml:space="preserve">  对以下情况的职工，公司将给予奖励：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(一)模范遵守安全生产法令、遵章守纪，认真贯彻执行本规定，在安全、文明生产方面做出显著成绩的。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(二)发现事故预兆，及时采取措施和向上级报告或抵制违章指挥行为避免重大事故和重大经济损失的。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(三)积极组织事故抢险，对减少人员伤亡有突出贡献的。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(四)在安全科学技术、安全管理及学术研究，标准、规定的制定和修订等方面取得重要成果或效果显著的。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(五)有效出示STOP卡，制止三违行为的。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(六)提出合理化建议，进行安全技术革新，取得显著经济效益的。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lang w:eastAsia="zh-CN"/>
        </w:rPr>
        <w:t>第十五章</w:t>
      </w:r>
      <w:r>
        <w:rPr>
          <w:rFonts w:hint="eastAsia" w:ascii="方正黑体简体" w:hAnsi="方正黑体简体" w:eastAsia="方正黑体简体" w:cs="方正黑体简体"/>
          <w:b w:val="0"/>
          <w:bCs w:val="0"/>
          <w:sz w:val="30"/>
          <w:szCs w:val="30"/>
        </w:rPr>
        <w:t xml:space="preserve">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第五十八条</w:t>
      </w:r>
      <w:r>
        <w:rPr>
          <w:rFonts w:hint="eastAsia" w:ascii="方正仿宋简体" w:hAnsi="方正仿宋简体" w:eastAsia="方正仿宋简体" w:cs="方正仿宋简体"/>
          <w:sz w:val="28"/>
          <w:szCs w:val="28"/>
        </w:rPr>
        <w:t xml:space="preserve">  本办法由质量安全环保部负责解释。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第五十九条</w:t>
      </w:r>
      <w:r>
        <w:rPr>
          <w:rFonts w:hint="eastAsia" w:ascii="方正仿宋简体" w:hAnsi="方正仿宋简体" w:eastAsia="方正仿宋简体" w:cs="方正仿宋简体"/>
          <w:sz w:val="28"/>
          <w:szCs w:val="28"/>
        </w:rPr>
        <w:t xml:space="preserve">  本办法自发布之日起施行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spacing w:line="560" w:lineRule="exact"/>
        <w:ind w:firstLine="560" w:firstLineChars="200"/>
        <w:rPr>
          <w:rFonts w:hint="eastAsia" w:ascii="方正仿宋简体" w:hAnsi="方正仿宋简体" w:eastAsia="方正仿宋简体" w:cs="方正仿宋简体"/>
          <w:sz w:val="28"/>
          <w:szCs w:val="28"/>
        </w:rPr>
      </w:pPr>
    </w:p>
    <w:p>
      <w:pPr>
        <w:spacing w:line="560" w:lineRule="exact"/>
        <w:ind w:firstLine="560" w:firstLineChars="200"/>
        <w:rPr>
          <w:rFonts w:hint="eastAsia" w:ascii="方正仿宋简体" w:hAnsi="方正仿宋简体" w:eastAsia="方正仿宋简体" w:cs="方正仿宋简体"/>
          <w:sz w:val="28"/>
          <w:szCs w:val="28"/>
        </w:rPr>
      </w:pPr>
    </w:p>
    <w:p>
      <w:pPr>
        <w:spacing w:line="560" w:lineRule="exact"/>
        <w:ind w:firstLine="560" w:firstLineChars="200"/>
        <w:rPr>
          <w:rFonts w:hint="eastAsia" w:ascii="方正仿宋简体" w:hAnsi="方正仿宋简体" w:eastAsia="方正仿宋简体" w:cs="方正仿宋简体"/>
          <w:sz w:val="28"/>
          <w:szCs w:val="28"/>
        </w:rPr>
      </w:pPr>
    </w:p>
    <w:p>
      <w:pPr>
        <w:spacing w:line="560" w:lineRule="exact"/>
        <w:rPr>
          <w:rFonts w:ascii="??????" w:hAnsi="??????" w:eastAsia="Times New Roman" w:cs="??????"/>
          <w:sz w:val="28"/>
          <w:szCs w:val="28"/>
          <w:u w:val="single"/>
        </w:rPr>
      </w:pPr>
    </w:p>
    <w:p/>
    <w:p>
      <w:pPr>
        <w:spacing w:line="560" w:lineRule="exact"/>
        <w:outlineLvl w:val="9"/>
        <w:rPr>
          <w:rFonts w:hint="eastAsia" w:ascii="方正仿宋简体" w:hAnsi="方正仿宋简体" w:eastAsia="方正仿宋简体" w:cs="方正仿宋简体"/>
          <w:sz w:val="28"/>
          <w:szCs w:val="28"/>
          <w:u w:val="single"/>
        </w:rPr>
      </w:pPr>
    </w:p>
    <w:p>
      <w:pPr>
        <w:spacing w:line="560" w:lineRule="exact"/>
        <w:outlineLvl w:val="9"/>
        <w:rPr>
          <w:rFonts w:hint="eastAsia" w:ascii="方正仿宋简体" w:hAnsi="方正仿宋简体" w:eastAsia="方正仿宋简体" w:cs="方正仿宋简体"/>
          <w:sz w:val="28"/>
          <w:szCs w:val="28"/>
          <w:u w:val="single"/>
        </w:rPr>
      </w:pPr>
    </w:p>
    <w:p>
      <w:pPr>
        <w:spacing w:line="560" w:lineRule="exact"/>
        <w:outlineLvl w:val="9"/>
        <w:rPr>
          <w:rFonts w:hint="eastAsia" w:ascii="方正仿宋简体" w:hAnsi="方正仿宋简体" w:eastAsia="方正仿宋简体" w:cs="方正仿宋简体"/>
          <w:sz w:val="28"/>
          <w:szCs w:val="28"/>
          <w:u w:val="single"/>
        </w:rPr>
      </w:pPr>
    </w:p>
    <w:p>
      <w:pPr>
        <w:spacing w:line="560" w:lineRule="exact"/>
        <w:outlineLvl w:val="9"/>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spacing w:line="560" w:lineRule="exact"/>
        <w:rPr>
          <w:rFonts w:hint="eastAsia" w:ascii="方正仿宋简体" w:hAnsi="方正仿宋简体" w:eastAsia="方正仿宋简体" w:cs="方正仿宋简体"/>
          <w:sz w:val="28"/>
          <w:szCs w:val="28"/>
          <w:u w:val="singl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578" w:name="_Toc825"/>
      <w:bookmarkStart w:id="579" w:name="_Toc2412"/>
      <w:bookmarkStart w:id="580" w:name="_Toc22987"/>
      <w:bookmarkStart w:id="581" w:name="_Toc15313"/>
      <w:bookmarkStart w:id="582" w:name="_Toc14919"/>
      <w:bookmarkStart w:id="583" w:name="_Toc29926"/>
      <w:bookmarkStart w:id="584" w:name="_Toc23983"/>
      <w:bookmarkStart w:id="585" w:name="_Toc7940"/>
      <w:bookmarkStart w:id="586" w:name="_Toc29552"/>
      <w:bookmarkStart w:id="587" w:name="_Toc31171"/>
      <w:bookmarkStart w:id="588" w:name="_Toc10211"/>
      <w:bookmarkStart w:id="589" w:name="_Toc31044"/>
      <w:bookmarkStart w:id="590" w:name="_Toc15082"/>
      <w:bookmarkStart w:id="591" w:name="_Toc20565"/>
      <w:bookmarkStart w:id="592" w:name="_Toc20450"/>
      <w:bookmarkStart w:id="593" w:name="_Toc4307"/>
      <w:bookmarkStart w:id="594" w:name="_Toc3589"/>
      <w:bookmarkStart w:id="595" w:name="_Toc30924"/>
      <w:bookmarkStart w:id="596" w:name="_Toc8892"/>
      <w:r>
        <w:rPr>
          <w:rFonts w:hint="eastAsia" w:ascii="方正小标宋简体" w:eastAsia="方正小标宋简体"/>
          <w:b w:val="0"/>
          <w:bCs w:val="0"/>
          <w:sz w:val="36"/>
          <w:szCs w:val="36"/>
        </w:rPr>
        <w:t>中油南充燃气有限责任公司重大危险源</w:t>
      </w:r>
      <w:bookmarkEnd w:id="578"/>
      <w:bookmarkEnd w:id="579"/>
      <w:bookmarkEnd w:id="580"/>
      <w:bookmarkEnd w:id="581"/>
      <w:bookmarkEnd w:id="582"/>
      <w:bookmarkEnd w:id="583"/>
      <w:bookmarkEnd w:id="584"/>
      <w:bookmarkEnd w:id="585"/>
      <w:bookmarkEnd w:id="586"/>
      <w:bookmarkEnd w:id="587"/>
      <w:r>
        <w:rPr>
          <w:rFonts w:hint="eastAsia" w:ascii="方正小标宋简体" w:eastAsia="方正小标宋简体"/>
          <w:b w:val="0"/>
          <w:bCs w:val="0"/>
          <w:sz w:val="36"/>
          <w:szCs w:val="36"/>
          <w:lang w:eastAsia="zh-CN"/>
        </w:rPr>
        <w:t>安全管理制度</w:t>
      </w:r>
      <w:bookmarkEnd w:id="588"/>
      <w:bookmarkEnd w:id="589"/>
      <w:bookmarkEnd w:id="590"/>
      <w:bookmarkEnd w:id="591"/>
      <w:bookmarkEnd w:id="592"/>
      <w:bookmarkEnd w:id="593"/>
      <w:bookmarkEnd w:id="594"/>
      <w:bookmarkEnd w:id="595"/>
      <w:bookmarkEnd w:id="596"/>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宋体" w:hAnsi="宋体" w:cs="Arial Unicode MS"/>
          <w:sz w:val="30"/>
          <w:szCs w:val="30"/>
        </w:rPr>
      </w:pPr>
      <w:r>
        <w:rPr>
          <w:rFonts w:hint="eastAsia" w:ascii="方正黑体简体" w:hAnsi="方正黑体简体" w:eastAsia="方正黑体简体" w:cs="方正黑体简体"/>
          <w:b w:val="0"/>
          <w:bCs w:val="0"/>
          <w:sz w:val="30"/>
          <w:szCs w:val="30"/>
        </w:rPr>
        <w:t xml:space="preserve">第一章  总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sz w:val="28"/>
          <w:szCs w:val="28"/>
        </w:rPr>
        <w:t>第一条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kern w:val="0"/>
          <w:sz w:val="28"/>
          <w:szCs w:val="28"/>
        </w:rPr>
        <w:t>为了规范</w:t>
      </w:r>
      <w:r>
        <w:rPr>
          <w:rFonts w:hint="eastAsia" w:ascii="方正仿宋简体" w:hAnsi="方正仿宋简体" w:eastAsia="方正仿宋简体" w:cs="方正仿宋简体"/>
          <w:sz w:val="28"/>
          <w:szCs w:val="28"/>
        </w:rPr>
        <w:t>公司</w:t>
      </w:r>
      <w:r>
        <w:rPr>
          <w:rFonts w:hint="eastAsia" w:ascii="方正仿宋简体" w:hAnsi="方正仿宋简体" w:eastAsia="方正仿宋简体" w:cs="方正仿宋简体"/>
          <w:bCs/>
          <w:kern w:val="0"/>
          <w:sz w:val="28"/>
          <w:szCs w:val="28"/>
        </w:rPr>
        <w:t>重大危险源监控管理</w:t>
      </w:r>
      <w:r>
        <w:rPr>
          <w:rFonts w:hint="eastAsia" w:ascii="方正仿宋简体" w:hAnsi="方正仿宋简体" w:eastAsia="方正仿宋简体" w:cs="方正仿宋简体"/>
          <w:kern w:val="0"/>
          <w:sz w:val="28"/>
          <w:szCs w:val="28"/>
        </w:rPr>
        <w:t>，根据《中华人民共和国安全生产法》、《四川省安全生产条例》和《危险化学品重大危险源辨识》（GB18218-20</w:t>
      </w:r>
      <w:r>
        <w:rPr>
          <w:rFonts w:hint="eastAsia" w:ascii="方正仿宋简体" w:hAnsi="方正仿宋简体" w:eastAsia="方正仿宋简体" w:cs="方正仿宋简体"/>
          <w:kern w:val="0"/>
          <w:sz w:val="28"/>
          <w:szCs w:val="28"/>
          <w:lang w:val="en-US" w:eastAsia="zh-CN"/>
        </w:rPr>
        <w:t>18</w:t>
      </w:r>
      <w:r>
        <w:rPr>
          <w:rFonts w:hint="eastAsia" w:ascii="方正仿宋简体" w:hAnsi="方正仿宋简体" w:eastAsia="方正仿宋简体" w:cs="方正仿宋简体"/>
          <w:kern w:val="0"/>
          <w:sz w:val="28"/>
          <w:szCs w:val="28"/>
        </w:rPr>
        <w:t>）等法律法规和标准，</w:t>
      </w:r>
      <w:r>
        <w:rPr>
          <w:rFonts w:hint="eastAsia" w:ascii="方正仿宋简体" w:hAnsi="方正仿宋简体" w:eastAsia="方正仿宋简体" w:cs="方正仿宋简体"/>
          <w:sz w:val="28"/>
          <w:szCs w:val="28"/>
        </w:rPr>
        <w:t>结合公司实际，特制定本办法。</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sz w:val="28"/>
          <w:szCs w:val="28"/>
        </w:rPr>
        <w:t>第二条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kern w:val="0"/>
          <w:sz w:val="28"/>
          <w:szCs w:val="28"/>
        </w:rPr>
        <w:t>本办法所称重大危险源，是指长期或者临时搬运、使用或者储存危险物品，且危险物品的数量等于或者超过临界量的生产装置、设施或场所。</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b/>
          <w:bCs/>
          <w:smallCaps/>
          <w:kern w:val="0"/>
          <w:sz w:val="28"/>
          <w:szCs w:val="28"/>
        </w:rPr>
        <w:t>第三条</w:t>
      </w:r>
      <w:r>
        <w:rPr>
          <w:rFonts w:hint="eastAsia" w:ascii="方正仿宋简体" w:hAnsi="方正仿宋简体" w:eastAsia="方正仿宋简体" w:cs="方正仿宋简体"/>
          <w:kern w:val="0"/>
          <w:sz w:val="28"/>
          <w:szCs w:val="28"/>
        </w:rPr>
        <w:t xml:space="preserve"> </w:t>
      </w:r>
      <w:r>
        <w:rPr>
          <w:rFonts w:hint="eastAsia" w:ascii="方正仿宋简体" w:hAnsi="方正仿宋简体" w:eastAsia="方正仿宋简体" w:cs="方正仿宋简体"/>
          <w:kern w:val="0"/>
          <w:sz w:val="28"/>
          <w:szCs w:val="28"/>
          <w:lang w:val="en-US" w:eastAsia="zh-CN"/>
        </w:rPr>
        <w:t xml:space="preserve"> </w:t>
      </w:r>
      <w:r>
        <w:rPr>
          <w:rFonts w:hint="eastAsia" w:ascii="方正仿宋简体" w:hAnsi="方正仿宋简体" w:eastAsia="方正仿宋简体" w:cs="方正仿宋简体"/>
          <w:bCs/>
          <w:kern w:val="0"/>
          <w:sz w:val="28"/>
          <w:szCs w:val="28"/>
        </w:rPr>
        <w:t>重大危险源监控管理</w:t>
      </w:r>
      <w:r>
        <w:rPr>
          <w:rFonts w:hint="eastAsia" w:ascii="方正仿宋简体" w:hAnsi="方正仿宋简体" w:eastAsia="方正仿宋简体" w:cs="方正仿宋简体"/>
          <w:kern w:val="0"/>
          <w:sz w:val="28"/>
          <w:szCs w:val="28"/>
        </w:rPr>
        <w:t>管理遵循直线责任、属地管理和归口管理的原则。</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kern w:val="0"/>
          <w:sz w:val="28"/>
          <w:szCs w:val="28"/>
        </w:rPr>
        <w:t>各相关部室（单位）负责各自业务所对应的</w:t>
      </w:r>
      <w:r>
        <w:rPr>
          <w:rFonts w:hint="eastAsia" w:ascii="方正仿宋简体" w:hAnsi="方正仿宋简体" w:eastAsia="方正仿宋简体" w:cs="方正仿宋简体"/>
          <w:bCs/>
          <w:kern w:val="0"/>
          <w:sz w:val="28"/>
          <w:szCs w:val="28"/>
        </w:rPr>
        <w:t>重大危险源监控管理</w:t>
      </w:r>
      <w:r>
        <w:rPr>
          <w:rFonts w:hint="eastAsia" w:ascii="方正仿宋简体" w:hAnsi="方正仿宋简体" w:eastAsia="方正仿宋简体" w:cs="方正仿宋简体"/>
          <w:kern w:val="0"/>
          <w:sz w:val="28"/>
          <w:szCs w:val="28"/>
        </w:rPr>
        <w:t>的实施和综合监督管理。</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kern w:val="0"/>
          <w:sz w:val="28"/>
          <w:szCs w:val="28"/>
        </w:rPr>
        <w:t>公</w:t>
      </w:r>
      <w:r>
        <w:rPr>
          <w:rFonts w:hint="eastAsia" w:ascii="方正仿宋简体" w:hAnsi="方正仿宋简体" w:eastAsia="方正仿宋简体" w:cs="方正仿宋简体"/>
          <w:color w:val="auto"/>
          <w:kern w:val="0"/>
          <w:sz w:val="28"/>
          <w:szCs w:val="28"/>
          <w:highlight w:val="none"/>
        </w:rPr>
        <w:t>司生产</w:t>
      </w:r>
      <w:r>
        <w:rPr>
          <w:rFonts w:hint="eastAsia" w:ascii="方正仿宋简体" w:hAnsi="方正仿宋简体" w:eastAsia="方正仿宋简体" w:cs="方正仿宋简体"/>
          <w:color w:val="auto"/>
          <w:kern w:val="0"/>
          <w:sz w:val="28"/>
          <w:szCs w:val="28"/>
          <w:highlight w:val="none"/>
          <w:lang w:eastAsia="zh-CN"/>
        </w:rPr>
        <w:t>运行</w:t>
      </w:r>
      <w:r>
        <w:rPr>
          <w:rFonts w:hint="eastAsia" w:ascii="方正仿宋简体" w:hAnsi="方正仿宋简体" w:eastAsia="方正仿宋简体" w:cs="方正仿宋简体"/>
          <w:color w:val="auto"/>
          <w:kern w:val="0"/>
          <w:sz w:val="28"/>
          <w:szCs w:val="28"/>
          <w:highlight w:val="none"/>
        </w:rPr>
        <w:t>部同时负责公司</w:t>
      </w:r>
      <w:r>
        <w:rPr>
          <w:rFonts w:hint="eastAsia" w:ascii="方正仿宋简体" w:hAnsi="方正仿宋简体" w:eastAsia="方正仿宋简体" w:cs="方正仿宋简体"/>
          <w:bCs/>
          <w:color w:val="auto"/>
          <w:kern w:val="0"/>
          <w:sz w:val="28"/>
          <w:szCs w:val="28"/>
          <w:highlight w:val="none"/>
        </w:rPr>
        <w:t>重大危险源监控管理</w:t>
      </w:r>
      <w:r>
        <w:rPr>
          <w:rFonts w:hint="eastAsia" w:ascii="方正仿宋简体" w:hAnsi="方正仿宋简体" w:eastAsia="方正仿宋简体" w:cs="方正仿宋简体"/>
          <w:color w:val="auto"/>
          <w:kern w:val="0"/>
          <w:sz w:val="28"/>
          <w:szCs w:val="28"/>
          <w:highlight w:val="none"/>
        </w:rPr>
        <w:t>的实施，</w:t>
      </w:r>
      <w:r>
        <w:rPr>
          <w:rFonts w:hint="eastAsia" w:ascii="方正仿宋简体" w:hAnsi="方正仿宋简体" w:eastAsia="方正仿宋简体" w:cs="方正仿宋简体"/>
          <w:color w:val="auto"/>
          <w:kern w:val="0"/>
          <w:sz w:val="28"/>
          <w:szCs w:val="28"/>
          <w:highlight w:val="none"/>
          <w:lang w:val="en-US" w:eastAsia="zh-CN"/>
        </w:rPr>
        <w:t>质量</w:t>
      </w:r>
      <w:r>
        <w:rPr>
          <w:rFonts w:hint="eastAsia" w:ascii="方正仿宋简体" w:hAnsi="方正仿宋简体" w:eastAsia="方正仿宋简体" w:cs="方正仿宋简体"/>
          <w:color w:val="auto"/>
          <w:kern w:val="0"/>
          <w:sz w:val="28"/>
          <w:szCs w:val="28"/>
          <w:highlight w:val="none"/>
        </w:rPr>
        <w:t>安全</w:t>
      </w:r>
      <w:r>
        <w:rPr>
          <w:rFonts w:hint="eastAsia" w:ascii="方正仿宋简体" w:hAnsi="方正仿宋简体" w:eastAsia="方正仿宋简体" w:cs="方正仿宋简体"/>
          <w:color w:val="auto"/>
          <w:kern w:val="0"/>
          <w:sz w:val="28"/>
          <w:szCs w:val="28"/>
          <w:highlight w:val="none"/>
          <w:lang w:val="en-US" w:eastAsia="zh-CN"/>
        </w:rPr>
        <w:t>环保</w:t>
      </w:r>
      <w:r>
        <w:rPr>
          <w:rFonts w:hint="eastAsia" w:ascii="方正仿宋简体" w:hAnsi="方正仿宋简体" w:eastAsia="方正仿宋简体" w:cs="方正仿宋简体"/>
          <w:color w:val="auto"/>
          <w:kern w:val="0"/>
          <w:sz w:val="28"/>
          <w:szCs w:val="28"/>
          <w:highlight w:val="none"/>
        </w:rPr>
        <w:t>部负责监督管理工作。</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bCs/>
          <w:smallCaps/>
          <w:color w:val="auto"/>
          <w:kern w:val="0"/>
          <w:sz w:val="28"/>
          <w:szCs w:val="28"/>
          <w:highlight w:val="none"/>
        </w:rPr>
        <w:t>第四条</w:t>
      </w:r>
      <w:r>
        <w:rPr>
          <w:rFonts w:hint="eastAsia" w:ascii="方正仿宋简体" w:hAnsi="方正仿宋简体" w:eastAsia="方正仿宋简体" w:cs="方正仿宋简体"/>
          <w:b/>
          <w:bCs/>
          <w:smallCaps/>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 xml:space="preserve"> 本办法适用于公司</w:t>
      </w:r>
      <w:r>
        <w:rPr>
          <w:rFonts w:hint="eastAsia" w:ascii="方正仿宋简体" w:hAnsi="方正仿宋简体" w:eastAsia="方正仿宋简体" w:cs="方正仿宋简体"/>
          <w:bCs/>
          <w:color w:val="auto"/>
          <w:kern w:val="0"/>
          <w:sz w:val="28"/>
          <w:szCs w:val="28"/>
          <w:highlight w:val="none"/>
        </w:rPr>
        <w:t>重大危险源监控管理</w:t>
      </w:r>
      <w:r>
        <w:rPr>
          <w:rFonts w:hint="eastAsia" w:ascii="方正仿宋简体" w:hAnsi="方正仿宋简体" w:eastAsia="方正仿宋简体" w:cs="方正仿宋简体"/>
          <w:color w:val="auto"/>
          <w:kern w:val="0"/>
          <w:sz w:val="28"/>
          <w:szCs w:val="28"/>
          <w:highlight w:val="none"/>
        </w:rPr>
        <w:t>工作。</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第二章  重大危险源监控管理工作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为了保障企业、员工和人民群众生命财产安全。必须加强对公司重大危险源的监督管理，预防事故发生。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公司主要负责人全面负责本单位重大危险源的安全管理与监控工作。</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 xml:space="preserve">第七条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对重大危险源存在的事故隐患以及在安全生产方面的违法违规行为，各部室（单位）或者个人均有权向公司或</w:t>
      </w:r>
      <w:r>
        <w:rPr>
          <w:rFonts w:hint="eastAsia" w:ascii="方正仿宋简体" w:hAnsi="方正仿宋简体" w:eastAsia="方正仿宋简体" w:cs="方正仿宋简体"/>
          <w:color w:val="auto"/>
          <w:kern w:val="0"/>
          <w:sz w:val="28"/>
          <w:szCs w:val="28"/>
          <w:highlight w:val="none"/>
          <w:lang w:eastAsia="zh-CN"/>
        </w:rPr>
        <w:t>质量安全环保部</w:t>
      </w:r>
      <w:r>
        <w:rPr>
          <w:rFonts w:hint="eastAsia" w:ascii="方正仿宋简体" w:hAnsi="方正仿宋简体" w:eastAsia="方正仿宋简体" w:cs="方正仿宋简体"/>
          <w:color w:val="auto"/>
          <w:kern w:val="0"/>
          <w:sz w:val="28"/>
          <w:szCs w:val="28"/>
          <w:highlight w:val="none"/>
        </w:rPr>
        <w:t>举报。</w:t>
      </w:r>
    </w:p>
    <w:p>
      <w:pPr>
        <w:pStyle w:val="19"/>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Cs w:val="28"/>
          <w:highlight w:val="none"/>
        </w:rPr>
      </w:pPr>
      <w:r>
        <w:rPr>
          <w:rFonts w:hint="eastAsia" w:ascii="方正仿宋简体" w:hAnsi="方正仿宋简体" w:eastAsia="方正仿宋简体" w:cs="方正仿宋简体"/>
          <w:b/>
          <w:color w:val="auto"/>
          <w:szCs w:val="28"/>
          <w:highlight w:val="none"/>
        </w:rPr>
        <w:t>第八条</w:t>
      </w:r>
      <w:r>
        <w:rPr>
          <w:rFonts w:hint="eastAsia" w:ascii="方正仿宋简体" w:hAnsi="方正仿宋简体" w:eastAsia="方正仿宋简体" w:cs="方正仿宋简体"/>
          <w:b/>
          <w:color w:val="auto"/>
          <w:szCs w:val="28"/>
          <w:highlight w:val="none"/>
          <w:lang w:val="en-US" w:eastAsia="zh-CN"/>
        </w:rPr>
        <w:t xml:space="preserve"> </w:t>
      </w:r>
      <w:r>
        <w:rPr>
          <w:rFonts w:hint="eastAsia" w:ascii="方正仿宋简体" w:hAnsi="方正仿宋简体" w:eastAsia="方正仿宋简体" w:cs="方正仿宋简体"/>
          <w:color w:val="auto"/>
          <w:szCs w:val="28"/>
          <w:highlight w:val="none"/>
        </w:rPr>
        <w:t xml:space="preserve"> </w:t>
      </w:r>
      <w:r>
        <w:rPr>
          <w:rFonts w:hint="eastAsia" w:ascii="方正仿宋简体" w:hAnsi="方正仿宋简体" w:eastAsia="方正仿宋简体" w:cs="方正仿宋简体"/>
          <w:color w:val="auto"/>
          <w:kern w:val="0"/>
          <w:szCs w:val="28"/>
          <w:highlight w:val="none"/>
        </w:rPr>
        <w:t>生产</w:t>
      </w:r>
      <w:r>
        <w:rPr>
          <w:rFonts w:hint="eastAsia" w:ascii="方正仿宋简体" w:hAnsi="方正仿宋简体" w:eastAsia="方正仿宋简体" w:cs="方正仿宋简体"/>
          <w:color w:val="auto"/>
          <w:kern w:val="0"/>
          <w:szCs w:val="28"/>
          <w:highlight w:val="none"/>
          <w:lang w:eastAsia="zh-CN"/>
        </w:rPr>
        <w:t>运行</w:t>
      </w:r>
      <w:r>
        <w:rPr>
          <w:rFonts w:hint="eastAsia" w:ascii="方正仿宋简体" w:hAnsi="方正仿宋简体" w:eastAsia="方正仿宋简体" w:cs="方正仿宋简体"/>
          <w:color w:val="auto"/>
          <w:kern w:val="0"/>
          <w:szCs w:val="28"/>
          <w:highlight w:val="none"/>
        </w:rPr>
        <w:t>部应当根据现行《危险化学品重大危险源辨识》（GB18218-20</w:t>
      </w:r>
      <w:r>
        <w:rPr>
          <w:rFonts w:hint="eastAsia" w:ascii="方正仿宋简体" w:hAnsi="方正仿宋简体" w:eastAsia="方正仿宋简体" w:cs="方正仿宋简体"/>
          <w:color w:val="auto"/>
          <w:kern w:val="0"/>
          <w:szCs w:val="28"/>
          <w:highlight w:val="none"/>
          <w:lang w:val="en-US" w:eastAsia="zh-CN"/>
        </w:rPr>
        <w:t>18</w:t>
      </w:r>
      <w:r>
        <w:rPr>
          <w:rFonts w:hint="eastAsia" w:ascii="方正仿宋简体" w:hAnsi="方正仿宋简体" w:eastAsia="方正仿宋简体" w:cs="方正仿宋简体"/>
          <w:color w:val="auto"/>
          <w:kern w:val="0"/>
          <w:szCs w:val="28"/>
          <w:highlight w:val="none"/>
        </w:rPr>
        <w:t>）等有关标准和国家安全生产监督管理部门的有关规定，对本公司各生产装置、设施或场所进行辨识，属于重大危险源的，应当进行登记，并建立重大危险源安全管理档案。</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（一）贮罐区；</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（二）生产场所；</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（三）压力管道；</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重大危险源安全管理档案应当包括以下内容：</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（一）重大危险源安全评估报告；</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（二）重大危险源安全管理制度；</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（三）重大危险源安全管理与监控实施方案；</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（四）重大危险源监控检查表；</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（五）重大危险源应急救援预案和演练方案；</w:t>
      </w:r>
    </w:p>
    <w:p>
      <w:pPr>
        <w:pStyle w:val="19"/>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szCs w:val="28"/>
          <w:highlight w:val="none"/>
        </w:rPr>
      </w:pPr>
      <w:r>
        <w:rPr>
          <w:rFonts w:hint="eastAsia" w:ascii="方正仿宋简体" w:hAnsi="方正仿宋简体" w:eastAsia="方正仿宋简体" w:cs="方正仿宋简体"/>
          <w:color w:val="auto"/>
          <w:szCs w:val="28"/>
          <w:highlight w:val="none"/>
        </w:rPr>
        <w:t>（六）重大危险源报表。</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公司应按时对重大危险源组织安全评估，国家对评估期限另有规定的，从其规定。</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安全评估工作可以由公司组织具有国家规定资格条件的安全评估人员进行，也可以委托具备国家规定资质条件的中介机构进行，评估工作结束后，应当出具《重大危险源安全评估报告》。《重大危险源安全评估报告》应当数据准确，内容完整，建议措施具体可行，结论客观公正。</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第十二条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《重大危险源安全评估报告》应当包括以下内容：</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（一）安全评估的主要依据；</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（二）重大危险源的基本情况；</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（三）危险、有害因素辨识；</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（四）可能发生的事故种类及严重程度；</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（五）重大危险源等级；</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（六）防范事故的对策措施；</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（七）应急救援预案的评价；</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（八）评估结论与建议等。</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在与重大危险源相关的生产过程、材料、工艺、设备、防护措施和环境等因素发生重大变化，或者国家有关法律法规、标准发生变化时，公司应当对重大危险源重新进行安全评估，并将《重大危险源安全评估报告》及时报送安全生产监督管理部门备案。</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kern w:val="0"/>
          <w:sz w:val="28"/>
          <w:szCs w:val="28"/>
          <w:highlight w:val="none"/>
        </w:rPr>
        <w:t>对新产生的重大危险源，公司应当及时报送上级相关部门和地方安全生产监督管理部门备案；对已不构成重大危险源的，公司应当及时报告上级相关部门和地方安全生产监督管理部门核销。</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按照重大危险源的种类和能量在意外状态下可能发生事故的最严重后果，重大危险源分为以下四级：</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一级重大危险源：可能造成特别重大事故的；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二级重大危险源：可能造成特大事故的；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三级重大危险源：可能造成重大事故的；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四级重大危险源：可能造成一般事故的。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重大危险源的具体等级认定按照国家有关标准执行。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成立重大危险源安全管理组织机构，建立健全重大危险源安全管理规章制度，落实重大危险源安全管理与监控责任制度，明确各部室（单位）和有关人员对重大危险源日常安全管理与监控职责，制定重大危险源安全管理与监控实施方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公司主要负责人应当保证重大危险源安全管理与监控所需资金的投入。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公司应当对从业人员进行安全教育和技术培训，使其全面掌握本岗位的安全操作技能和在紧急情况下应当采取的应急措施。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第十九条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公司应当将重大危险源可能发生事故的应急措施、避险方法书面告知相关部室（单位）和人员。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公司应当在重大危险源现场设置明显的安全警示标志，并加强对重大危险源的监控和对有关设备、设施的安全管理。</w:t>
      </w:r>
    </w:p>
    <w:p>
      <w:pPr>
        <w:pStyle w:val="19"/>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Cs w:val="28"/>
          <w:highlight w:val="none"/>
        </w:rPr>
      </w:pPr>
      <w:r>
        <w:rPr>
          <w:rFonts w:hint="eastAsia" w:ascii="方正仿宋简体" w:hAnsi="方正仿宋简体" w:eastAsia="方正仿宋简体" w:cs="方正仿宋简体"/>
          <w:b/>
          <w:color w:val="auto"/>
          <w:szCs w:val="28"/>
          <w:highlight w:val="none"/>
        </w:rPr>
        <w:t>第二十一条</w:t>
      </w:r>
      <w:r>
        <w:rPr>
          <w:rFonts w:hint="eastAsia" w:ascii="方正仿宋简体" w:hAnsi="方正仿宋简体" w:eastAsia="方正仿宋简体" w:cs="方正仿宋简体"/>
          <w:color w:val="auto"/>
          <w:szCs w:val="28"/>
          <w:highlight w:val="none"/>
        </w:rPr>
        <w:t xml:space="preserve"> </w:t>
      </w:r>
      <w:r>
        <w:rPr>
          <w:rFonts w:hint="eastAsia" w:ascii="方正仿宋简体" w:hAnsi="方正仿宋简体" w:eastAsia="方正仿宋简体" w:cs="方正仿宋简体"/>
          <w:color w:val="auto"/>
          <w:szCs w:val="28"/>
          <w:highlight w:val="none"/>
          <w:lang w:val="en-US" w:eastAsia="zh-CN"/>
        </w:rPr>
        <w:t xml:space="preserve"> </w:t>
      </w:r>
      <w:r>
        <w:rPr>
          <w:rFonts w:hint="eastAsia" w:ascii="方正仿宋简体" w:hAnsi="方正仿宋简体" w:eastAsia="方正仿宋简体" w:cs="方正仿宋简体"/>
          <w:color w:val="auto"/>
          <w:kern w:val="0"/>
          <w:szCs w:val="28"/>
          <w:highlight w:val="none"/>
        </w:rPr>
        <w:t>公司应当对重大危险源中的工艺参数、危险物质进行定期检测，对重要的设备、设施进行经常性的检测、检验，并做好检测、检验记录。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公司应当对重大危险源的安全状况和防护措施落实情况进行定期检查，做好检查记录，并按季度将检查情况报送安全生产监督管理部门。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对存在事故隐患的重大危险源，公司必须立即整改；对不能立即整改的，必须采取切实可行的安全措施，防止事故发生，并及时报告安全生产监督管理部门。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公司应当制定重大危险源应急救援预案，并报安全生产监督管理部门备案。应急救援预案应当包括以下内容：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（一）重大危险源基本情况及周边环境概况；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（二）应急机构人员及其职责；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（三）危险辩识与评价；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（四）应急设备与设施；</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（五）应急能力评价与资源；</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（六）应急响应、报警、通讯联络方式；</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（七）事故应急程序与行动方案；</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（八）事故后的恢复与程序；</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（九）培训与演练。</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公司应当根据应急救援预案制定演练方案和演练计划，每两年进行一次实战演练或模拟演练，并于演练10日前通知安全生产监督管理部门。</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w:t>
      </w:r>
      <w:r>
        <w:rPr>
          <w:rFonts w:hint="eastAsia" w:ascii="方正仿宋简体" w:hAnsi="方正仿宋简体" w:eastAsia="方正仿宋简体" w:cs="方正仿宋简体"/>
          <w:color w:val="auto"/>
          <w:kern w:val="0"/>
          <w:sz w:val="28"/>
          <w:szCs w:val="28"/>
          <w:highlight w:val="none"/>
          <w:lang w:eastAsia="zh-CN"/>
        </w:rPr>
        <w:t>质量安全环保</w:t>
      </w:r>
      <w:r>
        <w:rPr>
          <w:rFonts w:hint="eastAsia" w:ascii="方正仿宋简体" w:hAnsi="方正仿宋简体" w:eastAsia="方正仿宋简体" w:cs="方正仿宋简体"/>
          <w:color w:val="auto"/>
          <w:kern w:val="0"/>
          <w:sz w:val="28"/>
          <w:szCs w:val="28"/>
          <w:highlight w:val="none"/>
        </w:rPr>
        <w:t>部应当定期对重大危险源进行专项监督检查。监督检查的内容包括：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（一）贯彻执行国家有关法律法规、规章和标准情况；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（二）预防生产安全事故措施落实情况；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（三）重大危险源的登记建档情况；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（四）重大危险源的安全评估、检测、监控情况；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（五）重大危险源设备维护、保养和定期检测情况；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（六）重大危险源现场安全警示标志设置情况；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（七）从业人员的安全培训教育情况；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（八）应急救援组织建设和人员配备情况；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（九）应急救援预案和演练工作情况；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（十）应急救援器材、设备的配备及维护、保养情况；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（十一）重大危险源日常管理情况；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kern w:val="0"/>
          <w:sz w:val="28"/>
          <w:szCs w:val="28"/>
          <w:highlight w:val="none"/>
        </w:rPr>
        <w:t>（十二）法律法规、规章规定的其他事项。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w:t>
      </w:r>
      <w:r>
        <w:rPr>
          <w:rFonts w:hint="eastAsia" w:ascii="方正仿宋简体" w:hAnsi="方正仿宋简体" w:eastAsia="方正仿宋简体" w:cs="方正仿宋简体"/>
          <w:color w:val="auto"/>
          <w:kern w:val="0"/>
          <w:sz w:val="28"/>
          <w:szCs w:val="28"/>
          <w:highlight w:val="none"/>
          <w:lang w:eastAsia="zh-CN"/>
        </w:rPr>
        <w:t>质量安全环保部</w:t>
      </w:r>
      <w:r>
        <w:rPr>
          <w:rFonts w:hint="eastAsia" w:ascii="方正仿宋简体" w:hAnsi="方正仿宋简体" w:eastAsia="方正仿宋简体" w:cs="方正仿宋简体"/>
          <w:color w:val="auto"/>
          <w:kern w:val="0"/>
          <w:sz w:val="28"/>
          <w:szCs w:val="28"/>
          <w:highlight w:val="none"/>
        </w:rPr>
        <w:t>对重大危险源进行定期或不定期的安全检查并作好记录，发现隐患及时填写和发送限期整改通知单，并督促相关部室（单位）落实整改防范措施。</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公司相关各部室（单位）应当相互配合、互通情况，对重大危险源实施有效的管理与监控。</w:t>
      </w: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30"/>
          <w:szCs w:val="30"/>
          <w:highlight w:val="none"/>
        </w:rPr>
      </w:pPr>
      <w:r>
        <w:rPr>
          <w:rFonts w:hint="eastAsia" w:ascii="方正黑体简体" w:hAnsi="方正黑体简体" w:eastAsia="方正黑体简体" w:cs="方正黑体简体"/>
          <w:b w:val="0"/>
          <w:bCs w:val="0"/>
          <w:sz w:val="30"/>
          <w:szCs w:val="30"/>
        </w:rPr>
        <w:t xml:space="preserve">第三章  附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第二十九条  </w:t>
      </w:r>
      <w:r>
        <w:rPr>
          <w:rFonts w:hint="eastAsia" w:ascii="方正仿宋简体" w:hAnsi="方正仿宋简体" w:eastAsia="方正仿宋简体" w:cs="方正仿宋简体"/>
          <w:color w:val="auto"/>
          <w:sz w:val="28"/>
          <w:szCs w:val="28"/>
          <w:highlight w:val="none"/>
        </w:rPr>
        <w:t>本办法由</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第三十条  </w:t>
      </w:r>
      <w:r>
        <w:rPr>
          <w:rFonts w:hint="eastAsia" w:ascii="方正仿宋简体" w:hAnsi="方正仿宋简体" w:eastAsia="方正仿宋简体" w:cs="方正仿宋简体"/>
          <w:color w:val="auto"/>
          <w:sz w:val="28"/>
          <w:szCs w:val="28"/>
          <w:highlight w:val="none"/>
        </w:rPr>
        <w:t>本办法自发布之日起施行。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color w:val="auto"/>
          <w:highlight w:val="none"/>
        </w:rPr>
      </w:pPr>
    </w:p>
    <w:p>
      <w:pPr>
        <w:pStyle w:val="2"/>
        <w:jc w:val="both"/>
        <w:rPr>
          <w:rFonts w:hint="eastAsia" w:ascii="方正小标宋简体" w:eastAsia="方正小标宋简体"/>
          <w:color w:val="auto"/>
          <w:sz w:val="36"/>
          <w:szCs w:val="36"/>
          <w:highlight w:val="none"/>
        </w:rPr>
      </w:pPr>
      <w:bookmarkStart w:id="597" w:name="_Toc4599"/>
      <w:bookmarkStart w:id="598" w:name="_Toc21108"/>
      <w:bookmarkStart w:id="599" w:name="_Toc3899"/>
      <w:bookmarkStart w:id="600" w:name="_Toc11155"/>
      <w:bookmarkStart w:id="601" w:name="_Toc12724"/>
      <w:bookmarkStart w:id="602" w:name="_Toc26302"/>
      <w:bookmarkStart w:id="603" w:name="_Toc31701"/>
      <w:bookmarkStart w:id="604" w:name="_Toc32185"/>
      <w:bookmarkStart w:id="605" w:name="_Toc27212"/>
      <w:bookmarkStart w:id="606" w:name="_Toc25996"/>
    </w:p>
    <w:p>
      <w:pPr>
        <w:pStyle w:val="2"/>
        <w:jc w:val="both"/>
        <w:rPr>
          <w:rFonts w:hint="eastAsia" w:ascii="方正小标宋简体" w:eastAsia="方正小标宋简体"/>
          <w:color w:val="auto"/>
          <w:sz w:val="36"/>
          <w:szCs w:val="36"/>
          <w:highlight w:val="none"/>
        </w:rPr>
      </w:pPr>
    </w:p>
    <w:p>
      <w:pPr>
        <w:pStyle w:val="2"/>
        <w:jc w:val="both"/>
        <w:rPr>
          <w:rFonts w:hint="eastAsia" w:ascii="方正小标宋简体" w:eastAsia="方正小标宋简体"/>
          <w:color w:val="auto"/>
          <w:sz w:val="36"/>
          <w:szCs w:val="36"/>
          <w:highlight w:val="none"/>
        </w:rPr>
      </w:pPr>
    </w:p>
    <w:p>
      <w:pPr>
        <w:pStyle w:val="2"/>
        <w:jc w:val="both"/>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607" w:name="_Toc25800"/>
      <w:bookmarkStart w:id="608" w:name="_Toc6638"/>
      <w:bookmarkStart w:id="609" w:name="_Toc13353"/>
      <w:bookmarkStart w:id="610" w:name="_Toc18951"/>
      <w:bookmarkStart w:id="611" w:name="_Toc11633"/>
      <w:bookmarkStart w:id="612" w:name="_Toc29562"/>
      <w:bookmarkStart w:id="613" w:name="_Toc26584"/>
      <w:bookmarkStart w:id="614" w:name="_Toc17356"/>
      <w:bookmarkStart w:id="615" w:name="_Toc17030"/>
      <w:r>
        <w:rPr>
          <w:rFonts w:hint="eastAsia" w:ascii="方正小标宋简体" w:eastAsia="方正小标宋简体"/>
          <w:b w:val="0"/>
          <w:bCs w:val="0"/>
          <w:color w:val="auto"/>
          <w:sz w:val="36"/>
          <w:szCs w:val="36"/>
          <w:highlight w:val="none"/>
        </w:rPr>
        <w:t>中油南充燃气有限责任公司用户</w:t>
      </w:r>
      <w:r>
        <w:rPr>
          <w:rFonts w:hint="eastAsia" w:ascii="方正小标宋简体" w:eastAsia="方正小标宋简体"/>
          <w:b w:val="0"/>
          <w:bCs w:val="0"/>
          <w:color w:val="auto"/>
          <w:sz w:val="36"/>
          <w:szCs w:val="36"/>
          <w:highlight w:val="none"/>
          <w:lang w:val="en-US" w:eastAsia="zh-CN"/>
        </w:rPr>
        <w:t>燃气设施</w:t>
      </w:r>
      <w:r>
        <w:rPr>
          <w:rFonts w:hint="eastAsia" w:ascii="方正小标宋简体" w:eastAsia="方正小标宋简体"/>
          <w:b w:val="0"/>
          <w:bCs w:val="0"/>
          <w:color w:val="auto"/>
          <w:sz w:val="36"/>
          <w:szCs w:val="36"/>
          <w:highlight w:val="none"/>
        </w:rPr>
        <w:t>安全管理办法</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9"/>
        <w:rPr>
          <w:rFonts w:hint="eastAsia"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宋体" w:hAnsi="宋体"/>
          <w:color w:val="auto"/>
          <w:sz w:val="24"/>
          <w:highlight w:val="none"/>
        </w:rPr>
      </w:pPr>
      <w:r>
        <w:rPr>
          <w:rFonts w:hint="eastAsia" w:ascii="方正黑体简体" w:hAnsi="方正黑体简体" w:eastAsia="方正黑体简体" w:cs="方正黑体简体"/>
          <w:b w:val="0"/>
          <w:bCs w:val="0"/>
          <w:sz w:val="30"/>
          <w:szCs w:val="30"/>
        </w:rPr>
        <w:t>第一章  总</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 xml:space="preserve">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第一条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为认真贯彻《城镇燃气管理条例》相关规定，根据城镇燃气设施运行、维护和抢修安全技术规程》（CJJ51）等法律、法规的要求，为进一步加强和改进公司燃气用户安全管理工作，落实安全责任，建立公司用户安全管理体系，预防和减少各类用户安全事故的发生，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本办法所指用户安全隐患是指公司所辖居民、集体、商业、工业等各类用气性质用户存在可能导致人身伤亡、财产损失或造成重大社会影响的用气设施、管线和用户环境等方面的缺陷和问题。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第三条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结合公司实际，对用户安全隐患级别分为A、B两类类。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A级：公司人员或用户能够立即整改处置的，如户内细微漏气，涉及小型维修处理，需紧固、加垫、加生料带。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B级：不能够立即整改处置的，如发现用户存在：接分表、私拉乱接、用气设施圈闭、转供燃气、灶具、热水器安装不规范、通风不良等，必须发放安全整改通知，要求用户限期整改。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简体" w:hAnsi="方正仿宋简体" w:eastAsia="方正仿宋简体" w:cs="方正仿宋简体"/>
          <w:color w:val="auto"/>
          <w:kern w:val="0"/>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default" w:ascii="方正黑体简体" w:hAnsi="方正黑体简体" w:eastAsia="方正黑体简体" w:cs="方正黑体简体"/>
          <w:b w:val="0"/>
          <w:bCs w:val="0"/>
          <w:sz w:val="30"/>
          <w:szCs w:val="30"/>
          <w:lang w:val="en-US" w:eastAsia="zh-CN"/>
        </w:rPr>
      </w:pPr>
      <w:r>
        <w:rPr>
          <w:rFonts w:hint="eastAsia" w:ascii="方正黑体简体" w:hAnsi="方正黑体简体" w:eastAsia="方正黑体简体" w:cs="方正黑体简体"/>
          <w:b w:val="0"/>
          <w:bCs w:val="0"/>
          <w:sz w:val="30"/>
          <w:szCs w:val="30"/>
          <w:lang w:eastAsia="zh-CN"/>
        </w:rPr>
        <w:t>第二章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rPr>
        <w:t>组织机构与职责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第四条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公司用户安全管理实行属地管理与专业管理相结合的管理方式。属地单位对的用户安全隐患全面负责。其他单位（部室）根据自身职责协同属地单位完成隐患处置工作。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第五条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lang w:eastAsia="zh-CN"/>
        </w:rPr>
        <w:t>质量安全环保部</w:t>
      </w:r>
      <w:r>
        <w:rPr>
          <w:rFonts w:hint="eastAsia" w:ascii="方正仿宋简体" w:hAnsi="方正仿宋简体" w:eastAsia="方正仿宋简体" w:cs="方正仿宋简体"/>
          <w:color w:val="auto"/>
          <w:kern w:val="0"/>
          <w:sz w:val="28"/>
          <w:szCs w:val="28"/>
          <w:highlight w:val="none"/>
        </w:rPr>
        <w:t>负责对公司用户安全管理进行指导和监督，同时要配合属地单位对用户重大安全隐患的协调整改工作。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第六条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lang w:eastAsia="zh-CN"/>
        </w:rPr>
        <w:t>生产运行部</w:t>
      </w:r>
      <w:r>
        <w:rPr>
          <w:rFonts w:hint="eastAsia" w:ascii="方正仿宋简体" w:hAnsi="方正仿宋简体" w:eastAsia="方正仿宋简体" w:cs="方正仿宋简体"/>
          <w:color w:val="auto"/>
          <w:kern w:val="0"/>
          <w:sz w:val="28"/>
          <w:szCs w:val="28"/>
          <w:highlight w:val="none"/>
        </w:rPr>
        <w:t>负责组织相关单位制定较为复杂的用户安全隐患的整改方案，提出用户安全隐患治理的年度投资计划。同时在工程管理的设计评审、竣工验收等各环节严格把关减少和预防用户安全隐患产生。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第七条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lang w:eastAsia="zh-CN"/>
        </w:rPr>
        <w:t>生产保障中心</w:t>
      </w:r>
      <w:r>
        <w:rPr>
          <w:rFonts w:hint="eastAsia" w:ascii="方正仿宋简体" w:hAnsi="方正仿宋简体" w:eastAsia="方正仿宋简体" w:cs="方正仿宋简体"/>
          <w:color w:val="auto"/>
          <w:kern w:val="0"/>
          <w:sz w:val="28"/>
          <w:szCs w:val="28"/>
          <w:highlight w:val="none"/>
        </w:rPr>
        <w:t>负责组织公司业务范围内的用户安全隐患的施工组织、质量保证、安全施工等工作。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第八条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客户中心负责所辖范围内用户安全检查和隐患全程的处置管理工作。收集相关基础资料，建立用户隐患台帐，定期更新、上报。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第九条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公司办负责组织大型的用户安全宣传活动。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其它各单位按安全生产职责要求，负责分管范围内安全环保隐患整改的相关工作。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val="0"/>
          <w:sz w:val="30"/>
          <w:szCs w:val="30"/>
          <w:lang w:eastAsia="zh-CN"/>
        </w:rPr>
        <w:t>第三章  用户安全检查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第十一条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检查对象。各天然气终端销售公司所辖居民、集体、商业、工业等各类用气性质用户（签有特殊协议的客户按协议执行）。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第十二条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检查频次。居民用户每2年入户安全检查不少于1次；工业、商业及集体用户每年检查1次；所在地政府部门有特别频次要求时应执行当地政府规定。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第十三条</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 xml:space="preserve"> 入户内安全检查人员职责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1.负责责任区内用户的入户安全检查。检查确认用户设施（用户燃气管道、阀门、计量器具等）是否完好，用气设备安装、使用是否符合规定，有无违章用气行为。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2.负责责任区内用户的安全用气宣传。发放安全用气宣传资料、提醒有关安全注意事项。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3.负责户内燃气设施重大安全隐患的报告和整改督促。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4.负责入户安全检查资料的填写、发放、整理、统计和归档。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5.负责抄表稽核工作。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第十四条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安全检查内容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（一）供气单位维护管理部分（室内立管、支管及居民用气表，室外短桩、引入管）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1.安装燃气管道、气表的房间是否当作卧室或浴室。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2.燃气管道、气表是否补拆除、迁改或覆盖。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3.燃气管道、设施是否严重锈蚀。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4.燃气管道、气表上有无重物或电线搭挂。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5.阀门、气表及保护装置是否完好、有效。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6.有无燃气漏气现象。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（二）用户产权部分（气表后管道、阀门、用气设备、安全设施，非居民用计量设备）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1.安装使用灶具、热水器等用气设备的房间不能当作卧室或浴室。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2.用气房间自然通风良好，如为暗厨房、开敞式厨房或地下室、半地下室等密闭房间，其安全设施（机械通风系统、燃气报警系统、防爆电气等）是否满足国家规范要求，是否完好有效。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（三）用气设备安装、使用是否符合规定。重点检查以下项目：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1.用气设备与可燃材料、电气的间距是否满足防火安全要求。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2.烟道式热水器是否安装独立且通向室外的烟道，并不得与公共排烟道共用。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3.嵌入式灶具是否按规定安装，厨柜（灶台）的正（侧）面板上是否留有足够面积（以灶具说明书为准）的进、排风口。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4.特定条件下（暗厨房、开敞式厨房或地下室、半地下室，商业、工业用气）用气设备的安全保护装置及措施是否符合规范要求。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5.非居民用计量设备及保护装置是否完好、有效。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6.燃气管道是否严重锈蚀，阀门是否完好。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7.燃气软管长度是否超过2.0米，软管两端是否用管箍等安装牢固，是否老化需更换。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8.有无偷气、漏气现象。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（四）入户安全检查工作流程</w:t>
      </w: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mc:AlternateContent>
          <mc:Choice Requires="wpg">
            <w:drawing>
              <wp:anchor distT="0" distB="0" distL="114300" distR="114300" simplePos="0" relativeHeight="251692032" behindDoc="0" locked="0" layoutInCell="1" allowOverlap="1">
                <wp:simplePos x="0" y="0"/>
                <wp:positionH relativeFrom="column">
                  <wp:posOffset>590550</wp:posOffset>
                </wp:positionH>
                <wp:positionV relativeFrom="paragraph">
                  <wp:posOffset>0</wp:posOffset>
                </wp:positionV>
                <wp:extent cx="4829175" cy="4953635"/>
                <wp:effectExtent l="4445" t="4445" r="5080" b="7620"/>
                <wp:wrapNone/>
                <wp:docPr id="61" name="组合 103"/>
                <wp:cNvGraphicFramePr/>
                <a:graphic xmlns:a="http://schemas.openxmlformats.org/drawingml/2006/main">
                  <a:graphicData uri="http://schemas.microsoft.com/office/word/2010/wordprocessingGroup">
                    <wpg:wgp>
                      <wpg:cNvGrpSpPr/>
                      <wpg:grpSpPr>
                        <a:xfrm>
                          <a:off x="0" y="0"/>
                          <a:ext cx="4829175" cy="4953635"/>
                          <a:chOff x="0" y="0"/>
                          <a:chExt cx="7605" cy="7801"/>
                        </a:xfrm>
                      </wpg:grpSpPr>
                      <wps:wsp>
                        <wps:cNvPr id="28" name="直线 134"/>
                        <wps:cNvCnPr/>
                        <wps:spPr>
                          <a:xfrm>
                            <a:off x="7605" y="3275"/>
                            <a:ext cx="0" cy="2964"/>
                          </a:xfrm>
                          <a:prstGeom prst="line">
                            <a:avLst/>
                          </a:prstGeom>
                          <a:ln w="9525" cap="flat" cmpd="sng">
                            <a:solidFill>
                              <a:srgbClr val="000000"/>
                            </a:solidFill>
                            <a:prstDash val="solid"/>
                            <a:headEnd type="none" w="med" len="med"/>
                            <a:tailEnd type="none" w="med" len="med"/>
                          </a:ln>
                        </wps:spPr>
                        <wps:bodyPr upright="1"/>
                      </wps:wsp>
                      <wpg:grpSp>
                        <wpg:cNvPr id="60" name="组合 105"/>
                        <wpg:cNvGrpSpPr/>
                        <wpg:grpSpPr>
                          <a:xfrm>
                            <a:off x="0" y="0"/>
                            <a:ext cx="7605" cy="7801"/>
                            <a:chOff x="0" y="0"/>
                            <a:chExt cx="7605" cy="7801"/>
                          </a:xfrm>
                        </wpg:grpSpPr>
                        <wpg:grpSp>
                          <wpg:cNvPr id="44" name="组合 106"/>
                          <wpg:cNvGrpSpPr/>
                          <wpg:grpSpPr>
                            <a:xfrm>
                              <a:off x="0" y="0"/>
                              <a:ext cx="2144" cy="7801"/>
                              <a:chOff x="0" y="0"/>
                              <a:chExt cx="2144" cy="7801"/>
                            </a:xfrm>
                          </wpg:grpSpPr>
                          <wps:wsp>
                            <wps:cNvPr id="29" name="矩形 137"/>
                            <wps:cNvSpPr/>
                            <wps:spPr>
                              <a:xfrm>
                                <a:off x="45" y="0"/>
                                <a:ext cx="2099"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发放安检通知</w:t>
                                  </w:r>
                                </w:p>
                              </w:txbxContent>
                            </wps:txbx>
                            <wps:bodyPr wrap="square" upright="1"/>
                          </wps:wsp>
                          <wps:wsp>
                            <wps:cNvPr id="30" name="矩形 138"/>
                            <wps:cNvSpPr/>
                            <wps:spPr>
                              <a:xfrm>
                                <a:off x="45" y="1092"/>
                                <a:ext cx="20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入户安检</w:t>
                                  </w:r>
                                </w:p>
                              </w:txbxContent>
                            </wps:txbx>
                            <wps:bodyPr wrap="square" upright="1"/>
                          </wps:wsp>
                          <wps:wsp>
                            <wps:cNvPr id="31" name="矩形 139"/>
                            <wps:cNvSpPr/>
                            <wps:spPr>
                              <a:xfrm>
                                <a:off x="45" y="2028"/>
                                <a:ext cx="20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讲解安全用气知识</w:t>
                                  </w:r>
                                </w:p>
                              </w:txbxContent>
                            </wps:txbx>
                            <wps:bodyPr wrap="square" upright="1"/>
                          </wps:wsp>
                          <wps:wsp>
                            <wps:cNvPr id="32" name="矩形 140"/>
                            <wps:cNvSpPr/>
                            <wps:spPr>
                              <a:xfrm>
                                <a:off x="45" y="3121"/>
                                <a:ext cx="2099"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检查有无隐患</w:t>
                                  </w:r>
                                </w:p>
                              </w:txbxContent>
                            </wps:txbx>
                            <wps:bodyPr wrap="square" upright="1"/>
                          </wps:wsp>
                          <wps:wsp>
                            <wps:cNvPr id="33" name="矩形 141"/>
                            <wps:cNvSpPr/>
                            <wps:spPr>
                              <a:xfrm>
                                <a:off x="0" y="4056"/>
                                <a:ext cx="20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签字确认</w:t>
                                  </w:r>
                                </w:p>
                              </w:txbxContent>
                            </wps:txbx>
                            <wps:bodyPr wrap="square" upright="1"/>
                          </wps:wsp>
                          <wps:wsp>
                            <wps:cNvPr id="34" name="矩形 142"/>
                            <wps:cNvSpPr/>
                            <wps:spPr>
                              <a:xfrm>
                                <a:off x="45" y="4992"/>
                                <a:ext cx="20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安检资料整理</w:t>
                                  </w:r>
                                </w:p>
                              </w:txbxContent>
                            </wps:txbx>
                            <wps:bodyPr wrap="square" upright="1"/>
                          </wps:wsp>
                          <wps:wsp>
                            <wps:cNvPr id="35" name="矩形 143"/>
                            <wps:cNvSpPr/>
                            <wps:spPr>
                              <a:xfrm>
                                <a:off x="45" y="6085"/>
                                <a:ext cx="2099"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安检资料归档</w:t>
                                  </w:r>
                                </w:p>
                              </w:txbxContent>
                            </wps:txbx>
                            <wps:bodyPr wrap="square" upright="1"/>
                          </wps:wsp>
                          <wps:wsp>
                            <wps:cNvPr id="36" name="矩形 144"/>
                            <wps:cNvSpPr/>
                            <wps:spPr>
                              <a:xfrm>
                                <a:off x="45" y="7332"/>
                                <a:ext cx="2099"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月、年度安检总结</w:t>
                                  </w:r>
                                </w:p>
                              </w:txbxContent>
                            </wps:txbx>
                            <wps:bodyPr wrap="square" upright="1"/>
                          </wps:wsp>
                          <wps:wsp>
                            <wps:cNvPr id="37" name="直线 145"/>
                            <wps:cNvCnPr/>
                            <wps:spPr>
                              <a:xfrm>
                                <a:off x="990" y="467"/>
                                <a:ext cx="0" cy="625"/>
                              </a:xfrm>
                              <a:prstGeom prst="line">
                                <a:avLst/>
                              </a:prstGeom>
                              <a:ln w="9525" cap="flat" cmpd="sng">
                                <a:solidFill>
                                  <a:srgbClr val="000000"/>
                                </a:solidFill>
                                <a:prstDash val="solid"/>
                                <a:headEnd type="none" w="med" len="med"/>
                                <a:tailEnd type="triangle" w="med" len="med"/>
                              </a:ln>
                            </wps:spPr>
                            <wps:bodyPr upright="1"/>
                          </wps:wsp>
                          <wps:wsp>
                            <wps:cNvPr id="38" name="直线 146"/>
                            <wps:cNvCnPr/>
                            <wps:spPr>
                              <a:xfrm>
                                <a:off x="990" y="1560"/>
                                <a:ext cx="0" cy="468"/>
                              </a:xfrm>
                              <a:prstGeom prst="line">
                                <a:avLst/>
                              </a:prstGeom>
                              <a:ln w="9525" cap="flat" cmpd="sng">
                                <a:solidFill>
                                  <a:srgbClr val="000000"/>
                                </a:solidFill>
                                <a:prstDash val="solid"/>
                                <a:headEnd type="none" w="med" len="med"/>
                                <a:tailEnd type="triangle" w="med" len="med"/>
                              </a:ln>
                            </wps:spPr>
                            <wps:bodyPr upright="1"/>
                          </wps:wsp>
                          <wps:wsp>
                            <wps:cNvPr id="39" name="直线 147"/>
                            <wps:cNvCnPr/>
                            <wps:spPr>
                              <a:xfrm>
                                <a:off x="990" y="2496"/>
                                <a:ext cx="1" cy="625"/>
                              </a:xfrm>
                              <a:prstGeom prst="line">
                                <a:avLst/>
                              </a:prstGeom>
                              <a:ln w="9525" cap="flat" cmpd="sng">
                                <a:solidFill>
                                  <a:srgbClr val="000000"/>
                                </a:solidFill>
                                <a:prstDash val="solid"/>
                                <a:headEnd type="none" w="med" len="med"/>
                                <a:tailEnd type="triangle" w="med" len="med"/>
                              </a:ln>
                            </wps:spPr>
                            <wps:bodyPr upright="1"/>
                          </wps:wsp>
                          <wps:wsp>
                            <wps:cNvPr id="40" name="直线 148"/>
                            <wps:cNvCnPr/>
                            <wps:spPr>
                              <a:xfrm>
                                <a:off x="990" y="3588"/>
                                <a:ext cx="0" cy="468"/>
                              </a:xfrm>
                              <a:prstGeom prst="line">
                                <a:avLst/>
                              </a:prstGeom>
                              <a:ln w="9525" cap="flat" cmpd="sng">
                                <a:solidFill>
                                  <a:srgbClr val="000000"/>
                                </a:solidFill>
                                <a:prstDash val="solid"/>
                                <a:headEnd type="none" w="med" len="med"/>
                                <a:tailEnd type="triangle" w="med" len="med"/>
                              </a:ln>
                            </wps:spPr>
                            <wps:bodyPr upright="1"/>
                          </wps:wsp>
                          <wps:wsp>
                            <wps:cNvPr id="41" name="直线 149"/>
                            <wps:cNvCnPr/>
                            <wps:spPr>
                              <a:xfrm>
                                <a:off x="990" y="4524"/>
                                <a:ext cx="0" cy="468"/>
                              </a:xfrm>
                              <a:prstGeom prst="line">
                                <a:avLst/>
                              </a:prstGeom>
                              <a:ln w="9525" cap="flat" cmpd="sng">
                                <a:solidFill>
                                  <a:srgbClr val="000000"/>
                                </a:solidFill>
                                <a:prstDash val="solid"/>
                                <a:headEnd type="none" w="med" len="med"/>
                                <a:tailEnd type="triangle" w="med" len="med"/>
                              </a:ln>
                            </wps:spPr>
                            <wps:bodyPr upright="1"/>
                          </wps:wsp>
                          <wps:wsp>
                            <wps:cNvPr id="42" name="直线 150"/>
                            <wps:cNvCnPr/>
                            <wps:spPr>
                              <a:xfrm>
                                <a:off x="990" y="5460"/>
                                <a:ext cx="0" cy="625"/>
                              </a:xfrm>
                              <a:prstGeom prst="line">
                                <a:avLst/>
                              </a:prstGeom>
                              <a:ln w="9525" cap="flat" cmpd="sng">
                                <a:solidFill>
                                  <a:srgbClr val="000000"/>
                                </a:solidFill>
                                <a:prstDash val="solid"/>
                                <a:headEnd type="none" w="med" len="med"/>
                                <a:tailEnd type="triangle" w="med" len="med"/>
                              </a:ln>
                            </wps:spPr>
                            <wps:bodyPr upright="1"/>
                          </wps:wsp>
                          <wps:wsp>
                            <wps:cNvPr id="43" name="直线 151"/>
                            <wps:cNvCnPr/>
                            <wps:spPr>
                              <a:xfrm>
                                <a:off x="990" y="6552"/>
                                <a:ext cx="0" cy="780"/>
                              </a:xfrm>
                              <a:prstGeom prst="line">
                                <a:avLst/>
                              </a:prstGeom>
                              <a:ln w="9525" cap="flat" cmpd="sng">
                                <a:solidFill>
                                  <a:srgbClr val="000000"/>
                                </a:solidFill>
                                <a:prstDash val="solid"/>
                                <a:headEnd type="none" w="med" len="med"/>
                                <a:tailEnd type="triangle" w="med" len="med"/>
                              </a:ln>
                            </wps:spPr>
                            <wps:bodyPr upright="1"/>
                          </wps:wsp>
                        </wpg:grpSp>
                        <wpg:grpSp>
                          <wpg:cNvPr id="59" name="组合 122"/>
                          <wpg:cNvGrpSpPr/>
                          <wpg:grpSpPr>
                            <a:xfrm>
                              <a:off x="2144" y="780"/>
                              <a:ext cx="5461" cy="5459"/>
                              <a:chOff x="0" y="0"/>
                              <a:chExt cx="5461" cy="5459"/>
                            </a:xfrm>
                          </wpg:grpSpPr>
                          <wps:wsp>
                            <wps:cNvPr id="45" name="矩形 153"/>
                            <wps:cNvSpPr/>
                            <wps:spPr>
                              <a:xfrm>
                                <a:off x="2416" y="312"/>
                                <a:ext cx="20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张贴联系通知</w:t>
                                  </w:r>
                                </w:p>
                              </w:txbxContent>
                            </wps:txbx>
                            <wps:bodyPr wrap="square" upright="1"/>
                          </wps:wsp>
                          <wps:wsp>
                            <wps:cNvPr id="46" name="矩形 154"/>
                            <wps:cNvSpPr/>
                            <wps:spPr>
                              <a:xfrm>
                                <a:off x="2416" y="2341"/>
                                <a:ext cx="2206"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能否现场维修</w:t>
                                  </w:r>
                                </w:p>
                              </w:txbxContent>
                            </wps:txbx>
                            <wps:bodyPr wrap="square" upright="1"/>
                          </wps:wsp>
                          <wps:wsp>
                            <wps:cNvPr id="47" name="矩形 155"/>
                            <wps:cNvSpPr/>
                            <wps:spPr>
                              <a:xfrm>
                                <a:off x="2311" y="3432"/>
                                <a:ext cx="2416" cy="7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方正仿宋简体" w:eastAsia="方正仿宋简体"/>
                                    </w:rPr>
                                  </w:pPr>
                                  <w:r>
                                    <w:rPr>
                                      <w:rFonts w:hint="eastAsia" w:ascii="方正仿宋简体" w:eastAsia="方正仿宋简体"/>
                                      <w:szCs w:val="21"/>
                                    </w:rPr>
                                    <w:t>宣传整改隐患的必要性</w:t>
                                  </w:r>
                                  <w:r>
                                    <w:rPr>
                                      <w:rFonts w:hint="eastAsia" w:ascii="方正仿宋简体" w:eastAsia="方正仿宋简体"/>
                                    </w:rPr>
                                    <w:t>并要求用户报修</w:t>
                                  </w:r>
                                </w:p>
                              </w:txbxContent>
                            </wps:txbx>
                            <wps:bodyPr wrap="square" upright="1"/>
                          </wps:wsp>
                          <wps:wsp>
                            <wps:cNvPr id="48" name="直线 156"/>
                            <wps:cNvCnPr/>
                            <wps:spPr>
                              <a:xfrm>
                                <a:off x="0" y="624"/>
                                <a:ext cx="2417" cy="2"/>
                              </a:xfrm>
                              <a:prstGeom prst="line">
                                <a:avLst/>
                              </a:prstGeom>
                              <a:ln w="9525" cap="flat" cmpd="sng">
                                <a:solidFill>
                                  <a:srgbClr val="000000"/>
                                </a:solidFill>
                                <a:prstDash val="solid"/>
                                <a:headEnd type="none" w="med" len="med"/>
                                <a:tailEnd type="triangle" w="med" len="med"/>
                              </a:ln>
                            </wps:spPr>
                            <wps:bodyPr upright="1"/>
                          </wps:wsp>
                          <wps:wsp>
                            <wps:cNvPr id="49" name="直线 157"/>
                            <wps:cNvCnPr/>
                            <wps:spPr>
                              <a:xfrm>
                                <a:off x="0" y="2600"/>
                                <a:ext cx="2416" cy="1"/>
                              </a:xfrm>
                              <a:prstGeom prst="line">
                                <a:avLst/>
                              </a:prstGeom>
                              <a:ln w="9525" cap="flat" cmpd="sng">
                                <a:solidFill>
                                  <a:srgbClr val="000000"/>
                                </a:solidFill>
                                <a:prstDash val="solid"/>
                                <a:headEnd type="none" w="med" len="med"/>
                                <a:tailEnd type="triangle" w="med" len="med"/>
                              </a:ln>
                            </wps:spPr>
                            <wps:bodyPr upright="1"/>
                          </wps:wsp>
                          <wps:wsp>
                            <wps:cNvPr id="50" name="直线 158"/>
                            <wps:cNvCnPr/>
                            <wps:spPr>
                              <a:xfrm>
                                <a:off x="4622" y="2495"/>
                                <a:ext cx="838" cy="2"/>
                              </a:xfrm>
                              <a:prstGeom prst="line">
                                <a:avLst/>
                              </a:prstGeom>
                              <a:ln w="9525" cap="flat" cmpd="sng">
                                <a:solidFill>
                                  <a:srgbClr val="000000"/>
                                </a:solidFill>
                                <a:prstDash val="solid"/>
                                <a:headEnd type="none" w="med" len="med"/>
                                <a:tailEnd type="none" w="med" len="med"/>
                              </a:ln>
                            </wps:spPr>
                            <wps:bodyPr upright="1"/>
                          </wps:wsp>
                          <wps:wsp>
                            <wps:cNvPr id="51" name="直线 159"/>
                            <wps:cNvCnPr/>
                            <wps:spPr>
                              <a:xfrm flipH="1">
                                <a:off x="1366" y="5459"/>
                                <a:ext cx="4095" cy="0"/>
                              </a:xfrm>
                              <a:prstGeom prst="line">
                                <a:avLst/>
                              </a:prstGeom>
                              <a:ln w="9525" cap="flat" cmpd="sng">
                                <a:solidFill>
                                  <a:srgbClr val="000000"/>
                                </a:solidFill>
                                <a:prstDash val="solid"/>
                                <a:headEnd type="none" w="med" len="med"/>
                                <a:tailEnd type="none" w="med" len="med"/>
                              </a:ln>
                            </wps:spPr>
                            <wps:bodyPr upright="1"/>
                          </wps:wsp>
                          <wps:wsp>
                            <wps:cNvPr id="52" name="直线 160"/>
                            <wps:cNvCnPr/>
                            <wps:spPr>
                              <a:xfrm flipV="1">
                                <a:off x="1366" y="3588"/>
                                <a:ext cx="2" cy="1871"/>
                              </a:xfrm>
                              <a:prstGeom prst="line">
                                <a:avLst/>
                              </a:prstGeom>
                              <a:ln w="9525" cap="flat" cmpd="sng">
                                <a:solidFill>
                                  <a:srgbClr val="000000"/>
                                </a:solidFill>
                                <a:prstDash val="solid"/>
                                <a:headEnd type="none" w="med" len="med"/>
                                <a:tailEnd type="none" w="med" len="med"/>
                              </a:ln>
                            </wps:spPr>
                            <wps:bodyPr upright="1"/>
                          </wps:wsp>
                          <wps:wsp>
                            <wps:cNvPr id="53" name="直线 161"/>
                            <wps:cNvCnPr/>
                            <wps:spPr>
                              <a:xfrm flipH="1">
                                <a:off x="0" y="3588"/>
                                <a:ext cx="2312" cy="2"/>
                              </a:xfrm>
                              <a:prstGeom prst="line">
                                <a:avLst/>
                              </a:prstGeom>
                              <a:ln w="9525" cap="flat" cmpd="sng">
                                <a:solidFill>
                                  <a:srgbClr val="000000"/>
                                </a:solidFill>
                                <a:prstDash val="solid"/>
                                <a:headEnd type="none" w="med" len="med"/>
                                <a:tailEnd type="triangle" w="med" len="med"/>
                              </a:ln>
                            </wps:spPr>
                            <wps:bodyPr upright="1"/>
                          </wps:wsp>
                          <wps:wsp>
                            <wps:cNvPr id="54" name="矩形 162"/>
                            <wps:cNvSpPr/>
                            <wps:spPr>
                              <a:xfrm>
                                <a:off x="736" y="0"/>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无人</w:t>
                                  </w:r>
                                </w:p>
                              </w:txbxContent>
                            </wps:txbx>
                            <wps:bodyPr wrap="square" upright="1"/>
                          </wps:wsp>
                          <wps:wsp>
                            <wps:cNvPr id="55" name="矩形 163"/>
                            <wps:cNvSpPr/>
                            <wps:spPr>
                              <a:xfrm>
                                <a:off x="841" y="2007"/>
                                <a:ext cx="735"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有</w:t>
                                  </w:r>
                                </w:p>
                              </w:txbxContent>
                            </wps:txbx>
                            <wps:bodyPr wrap="square" upright="1"/>
                          </wps:wsp>
                          <wps:wsp>
                            <wps:cNvPr id="56" name="矩形 164"/>
                            <wps:cNvSpPr/>
                            <wps:spPr>
                              <a:xfrm>
                                <a:off x="4727" y="1872"/>
                                <a:ext cx="524"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能</w:t>
                                  </w:r>
                                </w:p>
                              </w:txbxContent>
                            </wps:txbx>
                            <wps:bodyPr wrap="square" upright="1"/>
                          </wps:wsp>
                          <wps:wsp>
                            <wps:cNvPr id="57" name="直线 165"/>
                            <wps:cNvCnPr/>
                            <wps:spPr>
                              <a:xfrm flipH="1">
                                <a:off x="3571" y="2808"/>
                                <a:ext cx="1" cy="624"/>
                              </a:xfrm>
                              <a:prstGeom prst="line">
                                <a:avLst/>
                              </a:prstGeom>
                              <a:ln w="9525" cap="flat" cmpd="sng">
                                <a:solidFill>
                                  <a:srgbClr val="000000"/>
                                </a:solidFill>
                                <a:prstDash val="solid"/>
                                <a:headEnd type="none" w="med" len="med"/>
                                <a:tailEnd type="triangle" w="med" len="med"/>
                              </a:ln>
                            </wps:spPr>
                            <wps:bodyPr upright="1"/>
                          </wps:wsp>
                          <wps:wsp>
                            <wps:cNvPr id="58" name="矩形 166"/>
                            <wps:cNvSpPr/>
                            <wps:spPr>
                              <a:xfrm>
                                <a:off x="3781" y="2964"/>
                                <a:ext cx="52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方正仿宋简体" w:eastAsia="方正仿宋简体"/>
                                      <w:szCs w:val="21"/>
                                    </w:rPr>
                                  </w:pPr>
                                  <w:r>
                                    <w:rPr>
                                      <w:rFonts w:hint="eastAsia" w:ascii="方正仿宋简体" w:eastAsia="方正仿宋简体"/>
                                      <w:szCs w:val="21"/>
                                    </w:rPr>
                                    <w:t>否</w:t>
                                  </w:r>
                                </w:p>
                              </w:txbxContent>
                            </wps:txbx>
                            <wps:bodyPr wrap="square" upright="1"/>
                          </wps:wsp>
                        </wpg:grpSp>
                      </wpg:grpSp>
                    </wpg:wgp>
                  </a:graphicData>
                </a:graphic>
              </wp:anchor>
            </w:drawing>
          </mc:Choice>
          <mc:Fallback>
            <w:pict>
              <v:group id="组合 103" o:spid="_x0000_s1026" o:spt="203" style="position:absolute;left:0pt;margin-left:46.5pt;margin-top:0pt;height:390.05pt;width:380.25pt;z-index:251692032;mso-width-relative:page;mso-height-relative:page;" coordsize="7605,7801" o:gfxdata="UEsDBAoAAAAAAIdO4kAAAAAAAAAAAAAAAAAEAAAAZHJzL1BLAwQUAAAACACHTuJAmJcuZdgAAAAH&#10;AQAADwAAAGRycy9kb3ducmV2LnhtbE2PQUvDQBCF74L/YRnBm92NIRpjNkWKeipCW0G8bbPTJDQ7&#10;G7LbpP33jie9DDze471vyuXZ9WLCMXSeNCQLBQKp9rajRsPn7u0uBxGiIWt6T6jhggGW1fVVaQrr&#10;Z9rgtI2N4BIKhdHQxjgUUoa6RWfCwg9I7B386ExkOTbSjmbmctfLe6UepDMd8UJrBly1WB+3J6fh&#10;fTbzS5q8TuvjYXX53mUfX+sEtb69SdQziIjn+BeGX3xGh4qZ9v5ENohew1PKr0QNfNnNszQDsdfw&#10;mKsEZFXK//zVD1BLAwQUAAAACACHTuJAzWGpdpkGAADzRwAADgAAAGRycy9lMm9Eb2MueG1s7Vy7&#10;buNGFO0D5B8I9rH4GL4Ey1us104RJAtskn5MURIBvjKkLbtPkTJ9igXSpU+VIMjXLPY3cufBh0jJ&#10;pBxLS6/GhUzxMeTcOXPuvWeueP7qPo6Uu4DkYZrMVP1MU5Ug8dN5mCxn6g/fX33lqkpe4GSOozQJ&#10;ZupDkKuvLr784nydTQMjXaXRPCAKNJLk03U2U1dFkU0nk9xfBTHOz9IsSODgIiUxLuArWU7mBK+h&#10;9TiaGJpmT9YpmWck9YM8h72X/KB6wdpfLAK/+G6xyINCiWYqPFvBPgn7vKGfk4tzPF0SnK1CXzwG&#10;fsJTxDhM4KZVU5e4wMotCTtNxaFP0jxdFGd+Gk/SxSL0A9YH6I2utXpzTdLbjPVlOV0vs8pMYNqW&#10;nZ7crP/t3VuihPOZauuqkuAYxujj3z9/+PUXRddMap51tpzCWdcke5e9JWLHkn+jPb5fkJj+h74o&#10;98ywD5Vhg/tC8WEncg1PdyxV8eEY8izTNi1uen8F49O5zl+9EVc6tiYuc1xNp9dMyltO6JNVD7LO&#10;AEB5baP8/9no3QpnATN9TnsvbGQAmoWNfvvz41//KrqJuI3YWa8TYaB8moOttliHdweMYBpgDga+&#10;0kaATmodw7NZk1U38TQjeXEdpLFCN2ZqFCb0yfAU332TF9wi5Sl0d5Qo65nqWQY1HIY5tYhwAZtx&#10;BqOcJ0t2bZ5G4fwqjCJ6RU6WN68jotxhOkvYn7D0xmn0Jpc4X/Hz2CHehVWA52+SuVI8ZACfBCa6&#10;Sh8hDuaqEgXAC3SLdbbAYTTkTOh9lMBY01HlpqRbN+n8AUbiNiPhcgWW4HgQI8+RyvBw4IkCI9Wa&#10;KGwon2OidOGOp884RcR8Oax9EOrYx6aj/xz2MXTaOp0nJR3026d7TTW3PgWFeJV13v/x4Z/fgUIc&#10;bh1GIRXHlrgv2a4iWATTGvovXFfJHobmQcOMXm3WXtXHDn8QcIqP8cfGnN+ghiv2R58WWt847fic&#10;E4dFQBinHIt9ivubewbjiojWEDcApf50iwkw3m5aOoJnMmtSKmHlPgVWuuYZ9Do83YYs1qRE1nP7&#10;tXEjq44LS2R5T0GWoUH0JJFFJGeV0bRptF0hYl6NBnQQcw92haZusEhwO2dJb3iQWHzcnGV2kMUQ&#10;MhhZ4E0hxkKaxSLX7cCSzvAEgVXnNsIZIhYuDQaWiN6RJ8MsGcA3pSUQxEpVoUSWkN/2c4a25raE&#10;JZkaHlyYGrcztDvIaoqWg8Msx4SAbWcAz3ICmRqeVmroVMgScji4N0CI8Ib9crjniUCLa1Z1nAW7&#10;qZZlg4YN7e2G1eejhRckxMky2qGcgwWeoocfQ3jqLIkgofYyvzUcA7pltzRNAQJk90TaEgSPLooc&#10;AwS1qF0SQVPUHg4CA3mtjAvUJ8kEjTW08TIBiDdlBFuCgE3cvb2BabktpVAyweZC6ohBUKvFJQia&#10;avFwJkCWwaLUTkwg3YFYTR8xCGphV4DAagq7w0FgoR0xgQwMxw+CWoMtQdDUYIeDwLasVt4p3AGU&#10;AMjsQFhg/+ygrn04WuWMVYeJosTMEOrpXiVmvKCD14DQ7tcuAvhCxIsWgpuxY33lM91rgFh5UVtt&#10;IlrMReOYg1eYUX1YFBcJGdDaTwY0kA56DxgHVsU2jdPUAXsyKlki0lfKtt35jloHhLy8Da39dMAK&#10;WoaJ2guuhgaty/KjAxY/jhtbtRJY0lZTCezXmA1TB+amtIU6KjNjNIotx5G8dXprrqijMPJV+cG6&#10;AoSLAB67nU8CnQFqKa6Yo6y8fqdgUuqLn1pfRHXgWOYS++mLHAKGrbUkZu7SKAaYQ5MY2B7X9Bbe&#10;HyEyBgmhDF9KDOwnLyIbsg3KBCAyt5bIXRM45qSYYPePNEaMgI62yHO8xx2BsojC7Gs6wWmmKH6l&#10;pJs2z5LqPLGsd0YaoIOB4WTUhRcJho7GyKXCAWD4cRcYugsPcBPmHFznZPzDiwRDR2sEHai3EGEr&#10;M/BIYQsSqJ5yWj7ipZYkWJ0iTVvIjANL6RyTO4dWsOjQGj1KB71LUFI/+wz1M6sjzdr7SbMuqGYs&#10;/tQ0lr3UunUDWbKO7vQUDtAzytRGqGf8N+AilulXz5BjgJRBs1jXaan+dBldkJaE1glCqxZmRdZs&#10;N4XZHauwWyMj04IgmPGXq7Xqc2A/9YtCYpMqyohz6FpMLammWa7ZTzWm4woUiBdV1F6sQTVSpx8V&#10;1dQL2eydGuI1EGIb3izDSqzFW3Doq2ua39lZ9bt6L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mJcuZdgAAAAHAQAADwAAAAAAAAABACAAAAAiAAAAZHJzL2Rvd25yZXYueG1sUEsBAhQAFAAAAAgA&#10;h07iQM1hqXaZBgAA80cAAA4AAAAAAAAAAQAgAAAAJwEAAGRycy9lMm9Eb2MueG1sUEsFBgAAAAAG&#10;AAYAWQEAADIKAAAAAA==&#10;">
                <o:lock v:ext="edit" aspectratio="f"/>
                <v:line id="直线 134" o:spid="_x0000_s1026" o:spt="20" style="position:absolute;left:7605;top:3275;height:2964;width: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105" o:spid="_x0000_s1026" o:spt="203" style="position:absolute;left:0;top:0;height:7801;width:7605;" coordsize="7605,7801"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组合 106" o:spid="_x0000_s1026" o:spt="203" style="position:absolute;left:0;top:0;height:7801;width:2144;" coordsize="2144,780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矩形 137" o:spid="_x0000_s1026" o:spt="1" style="position:absolute;left:45;top:0;height:467;width:2099;"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发放安检通知</w:t>
                            </w:r>
                          </w:p>
                        </w:txbxContent>
                      </v:textbox>
                    </v:rect>
                    <v:rect id="矩形 138" o:spid="_x0000_s1026" o:spt="1" style="position:absolute;left:45;top:1092;height:468;width:2099;"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入户安检</w:t>
                            </w:r>
                          </w:p>
                        </w:txbxContent>
                      </v:textbox>
                    </v:rect>
                    <v:rect id="矩形 139" o:spid="_x0000_s1026" o:spt="1" style="position:absolute;left:45;top:2028;height:468;width:2099;"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讲解安全用气知识</w:t>
                            </w:r>
                          </w:p>
                        </w:txbxContent>
                      </v:textbox>
                    </v:rect>
                    <v:rect id="矩形 140" o:spid="_x0000_s1026" o:spt="1" style="position:absolute;left:45;top:3121;height:467;width:2099;" fillcolor="#FFFFFF" filled="t" stroked="t" coordsize="21600,21600"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检查有无隐患</w:t>
                            </w:r>
                          </w:p>
                        </w:txbxContent>
                      </v:textbox>
                    </v:rect>
                    <v:rect id="矩形 141" o:spid="_x0000_s1026" o:spt="1" style="position:absolute;left:0;top:4056;height:468;width:2099;" fillcolor="#FFFFFF" filled="t" stroked="t" coordsize="21600,21600"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签字确认</w:t>
                            </w:r>
                          </w:p>
                        </w:txbxContent>
                      </v:textbox>
                    </v:rect>
                    <v:rect id="矩形 142" o:spid="_x0000_s1026" o:spt="1" style="position:absolute;left:45;top:4992;height:468;width:2099;"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安检资料整理</w:t>
                            </w:r>
                          </w:p>
                        </w:txbxContent>
                      </v:textbox>
                    </v:rect>
                    <v:rect id="矩形 143" o:spid="_x0000_s1026" o:spt="1" style="position:absolute;left:45;top:6085;height:467;width:2099;"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安检资料归档</w:t>
                            </w:r>
                          </w:p>
                        </w:txbxContent>
                      </v:textbox>
                    </v:rect>
                    <v:rect id="矩形 144" o:spid="_x0000_s1026" o:spt="1" style="position:absolute;left:45;top:7332;height:469;width:2099;"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月、年度安检总结</w:t>
                            </w:r>
                          </w:p>
                        </w:txbxContent>
                      </v:textbox>
                    </v:rect>
                    <v:line id="直线 145" o:spid="_x0000_s1026" o:spt="20" style="position:absolute;left:990;top:467;height:625;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46" o:spid="_x0000_s1026" o:spt="20" style="position:absolute;left:990;top:1560;height:468;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47" o:spid="_x0000_s1026" o:spt="20" style="position:absolute;left:990;top:2496;height:625;width:1;"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48" o:spid="_x0000_s1026" o:spt="20" style="position:absolute;left:990;top:3588;height:468;width: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49" o:spid="_x0000_s1026" o:spt="20" style="position:absolute;left:990;top:4524;height:468;width:0;"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50" o:spid="_x0000_s1026" o:spt="20" style="position:absolute;left:990;top:5460;height:625;width:0;"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1" o:spid="_x0000_s1026" o:spt="20" style="position:absolute;left:990;top:6552;height:780;width: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22" o:spid="_x0000_s1026" o:spt="203" style="position:absolute;left:2144;top:780;height:5459;width:5461;" coordsize="5461,5459"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矩形 153" o:spid="_x0000_s1026" o:spt="1" style="position:absolute;left:2416;top:312;height:468;width:2099;"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张贴联系通知</w:t>
                            </w:r>
                          </w:p>
                        </w:txbxContent>
                      </v:textbox>
                    </v:rect>
                    <v:rect id="矩形 154" o:spid="_x0000_s1026" o:spt="1" style="position:absolute;left:2416;top:2341;height:467;width:2206;"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能否现场维修</w:t>
                            </w:r>
                          </w:p>
                        </w:txbxContent>
                      </v:textbox>
                    </v:rect>
                    <v:rect id="矩形 155" o:spid="_x0000_s1026" o:spt="1" style="position:absolute;left:2311;top:3432;height:778;width:2416;"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方正仿宋简体" w:eastAsia="方正仿宋简体"/>
                              </w:rPr>
                            </w:pPr>
                            <w:r>
                              <w:rPr>
                                <w:rFonts w:hint="eastAsia" w:ascii="方正仿宋简体" w:eastAsia="方正仿宋简体"/>
                                <w:szCs w:val="21"/>
                              </w:rPr>
                              <w:t>宣传整改隐患的必要性</w:t>
                            </w:r>
                            <w:r>
                              <w:rPr>
                                <w:rFonts w:hint="eastAsia" w:ascii="方正仿宋简体" w:eastAsia="方正仿宋简体"/>
                              </w:rPr>
                              <w:t>并要求用户报修</w:t>
                            </w:r>
                          </w:p>
                        </w:txbxContent>
                      </v:textbox>
                    </v:rect>
                    <v:line id="直线 156" o:spid="_x0000_s1026" o:spt="20" style="position:absolute;left:0;top:624;height:2;width:2417;"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57" o:spid="_x0000_s1026" o:spt="20" style="position:absolute;left:0;top:2600;height:1;width:2416;"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8" o:spid="_x0000_s1026" o:spt="20" style="position:absolute;left:4622;top:2495;height:2;width:838;"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59" o:spid="_x0000_s1026" o:spt="20" style="position:absolute;left:1366;top:5459;flip:x;height:0;width:4095;"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60" o:spid="_x0000_s1026" o:spt="20" style="position:absolute;left:1366;top:3588;flip:y;height:1871;width:2;"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1" o:spid="_x0000_s1026" o:spt="20" style="position:absolute;left:0;top:3588;flip:x;height:2;width:2312;"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62" o:spid="_x0000_s1026" o:spt="1" style="position:absolute;left:736;top:0;height:468;width:735;"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无人</w:t>
                            </w:r>
                          </w:p>
                        </w:txbxContent>
                      </v:textbox>
                    </v:rect>
                    <v:rect id="矩形 163" o:spid="_x0000_s1026" o:spt="1" style="position:absolute;left:841;top:2007;height:469;width:735;"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有</w:t>
                            </w:r>
                          </w:p>
                        </w:txbxContent>
                      </v:textbox>
                    </v:rect>
                    <v:rect id="矩形 164" o:spid="_x0000_s1026" o:spt="1" style="position:absolute;left:4727;top:1872;height:469;width:524;"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能</w:t>
                            </w:r>
                          </w:p>
                        </w:txbxContent>
                      </v:textbox>
                    </v:rect>
                    <v:line id="直线 165" o:spid="_x0000_s1026" o:spt="20" style="position:absolute;left:3571;top:2808;flip:x;height:624;width:1;" filled="f" stroked="t" coordsize="21600,21600" o:gfxdata="UEsDBAoAAAAAAIdO4kAAAAAAAAAAAAAAAAAEAAAAZHJzL1BLAwQUAAAACACHTuJACvH7w78AAADb&#10;AAAADwAAAGRycy9kb3ducmV2LnhtbEWPQWvCQBSE74X+h+UVequbFG01dfVQKngqVkXw9sg+k9Ts&#10;23T31Vh/fbcg9DjMzDfMdH52rTpRiI1nA/kgA0VcettwZWC7WTyMQUVBtth6JgM/FGE+u72ZYmF9&#10;zx90WkulEoRjgQZqka7QOpY1OYwD3xEn7+CDQ0kyVNoG7BPctfoxy560w4bTQo0dvdZUHtffzsBk&#10;04/8Khx3w7z52l/ePqVbvosx93d59gJK6Cz/4Wt7aQ2Mnu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x+8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66" o:spid="_x0000_s1026" o:spt="1" style="position:absolute;left:3781;top:2964;height:468;width:524;"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ascii="方正仿宋简体" w:eastAsia="方正仿宋简体"/>
                                <w:szCs w:val="21"/>
                              </w:rPr>
                            </w:pPr>
                            <w:r>
                              <w:rPr>
                                <w:rFonts w:hint="eastAsia" w:ascii="方正仿宋简体" w:eastAsia="方正仿宋简体"/>
                                <w:szCs w:val="21"/>
                              </w:rPr>
                              <w:t>否</w:t>
                            </w:r>
                          </w:p>
                        </w:txbxContent>
                      </v:textbox>
                    </v:rect>
                  </v:group>
                </v:group>
              </v:group>
            </w:pict>
          </mc:Fallback>
        </mc:AlternateContent>
      </w: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spacing w:line="560" w:lineRule="exact"/>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（五）入户安全检查操作要求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1.安全检查。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（1）公司每年度都要组织编制下一年度安检工作计划和月度实施计划；年度计划要确保全年安检任务指标的完成，月度实施计划要根据小区、楼幢分布，制订作业次序，确定入户检查路线，实现有序作业管理。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（2）入户安全检查，应提前向小区物管或用户通知或预约。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（3）采取张贴通知或电话通知等形式提前预约入户检查时间，请用户家里留人配合检查；对本次未入户检查的用户应留言约定时间再查。对被检查用户家里无人时，采用摄像、照相、张贴通知等形式留下证据。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（4）检查时要有安全用气知识的宣传、讲解。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（5）检查出的隐患要有处理意见，要向用户发整改通知。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如检查中发现问题和隐患，则填写《户内天然气设施安全隐患整改通知书》。属用户产权或责任的，应耐心向用户解释隐患原因、后果和处理方法；属供气单位维护管理范围的（室外短桩、引入管，室内立管、支管及居民用气表），如发现严重锈蚀、失效等严重隐患，应填写《户内天然气设施隐患报告表》，及时报告安全管理部门督促责任单位及时处理，同时应现场提醒用户有关配合整改及紧急情况注意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（6）安检资料及时整理归档要有标准规范。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2.入户安检人员设施配备。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携带资料，包括：无人在家通知单、安全检查及整改通知书、安全宣传资料或安全宣传手册。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配齐装备，包括：（摄像）照相机、电筒、扳手、可燃气体浓度探测仪（或肥皂粉）、鞋套、胶水、工具包等。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3.入户安检人员上门服务应做到：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（1）按要求着装、带鞋套，配带上门服务工作证。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（2）对用户做到礼貌、谦和、热情、有耐心，语言行为规范。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（3）检查（检修）作业符合安全操作规程，确保安全。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（4）禁止“吃、拿、卡、要”和违规收费行为。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4.每年对未能入户实施安全检查的用户，应告知用户主动与我方联系进户检查，公告资料应存档备案。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（七）入户安全检查资料档案管理。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为确保安检资料的有效性，对重要安检资料，包括安全检查备案书、安全隐患整改通知书等，均应完善用户签字确认手续。对拒绝签字确认安全检查记录的用户，可通过寄挂号信、委托物业公司代交或在用户门上张贴并拍照等方式处理，相关证明资料应存档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2.严格入户安全检查资料的收集、整理和建档工作，建立完善的用户档案资料。入户安全检查人员应做到：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（1）定期整理入户安全检查的资料，每月30日前完成上月资料的清理、装订及分类编装等工作。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（2）入户检查资料，应根据楼栋单元制作卷目或总目，按小区名目录进行分装，编页或封面汇总有该小区总户数和实际入户数。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（3）次月5日前将上月资料移交各公司管理部门，资料归档前应组织审查和相关人员签字。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3.当年安全检查资料于次年一季度前移交各公司档案室存管，移交时应有较完整的交接记录。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入户安全检查资料，存档期限一般不低于两年。涉及地方政府街道、社区、小区物管及用户有关用气安全的告知、通知、公告，信函或相关记录，用户户内隐患整改或督促整改等资料，应列为重要档案单独保存或进入用户档案，保留期限为三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val="0"/>
          <w:sz w:val="30"/>
          <w:szCs w:val="30"/>
          <w:lang w:eastAsia="zh-CN"/>
        </w:rPr>
        <w:t>第四章  用户安全隐患管理程序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第十五条</w:t>
      </w:r>
      <w:r>
        <w:rPr>
          <w:rFonts w:hint="eastAsia" w:ascii="方正仿宋简体" w:hAnsi="方正仿宋简体" w:eastAsia="方正仿宋简体" w:cs="方正仿宋简体"/>
          <w:color w:val="auto"/>
          <w:kern w:val="0"/>
          <w:sz w:val="28"/>
          <w:szCs w:val="28"/>
          <w:highlight w:val="none"/>
        </w:rPr>
        <w:t xml:space="preserve">  在用户燃气设施的设计施工阶段，需要结合用户的实际需求，避免因设计施工不合理造成用户后期使用不便而产生的私拉乱接和其他不安全用气现象。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第十六条</w:t>
      </w:r>
      <w:r>
        <w:rPr>
          <w:rFonts w:hint="eastAsia" w:ascii="方正仿宋简体" w:hAnsi="方正仿宋简体" w:eastAsia="方正仿宋简体" w:cs="方正仿宋简体"/>
          <w:color w:val="auto"/>
          <w:kern w:val="0"/>
          <w:sz w:val="28"/>
          <w:szCs w:val="28"/>
          <w:highlight w:val="none"/>
        </w:rPr>
        <w:t xml:space="preserve">  公司应做好燃气安全宣传工作，开展各类安全宣传，在与用户接触的各个环节进行安全提示，如在入户安检、开停气等环节应制定标准安全宣传用语做到精炼简洁。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第十七条</w:t>
      </w:r>
      <w:r>
        <w:rPr>
          <w:rFonts w:hint="eastAsia" w:ascii="方正仿宋简体" w:hAnsi="方正仿宋简体" w:eastAsia="方正仿宋简体" w:cs="方正仿宋简体"/>
          <w:color w:val="auto"/>
          <w:kern w:val="0"/>
          <w:sz w:val="28"/>
          <w:szCs w:val="28"/>
          <w:highlight w:val="none"/>
        </w:rPr>
        <w:t xml:space="preserve">  在发现用户安全隐患后，应根据隐患类别立即进行处置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1.发现漏气应立即控制。属用户产权的，应告知用户尽快委托专业公司及人员处理，漏气隐患消除前不得使用天然气。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对存在重大安全隐患的用户，属供气单位维护管理范围的应立即报告处置，同时应做好现场安全监护。属用户产权部分的应要求用户立即整改或限期整改，应对其整改情况进行追踪督查。对逾期未整改者可按规定暂停供气，如不能采取暂停气临时措施的，应书面报告当地政府、街道、居委会或政府相关职能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3.重大情况（盗用天然气、严重的私拉乱接和重大安全隐患）应立即报告处理。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第十八条</w:t>
      </w:r>
      <w:r>
        <w:rPr>
          <w:rFonts w:hint="eastAsia" w:ascii="方正仿宋简体" w:hAnsi="方正仿宋简体" w:eastAsia="方正仿宋简体" w:cs="方正仿宋简体"/>
          <w:color w:val="auto"/>
          <w:kern w:val="0"/>
          <w:sz w:val="28"/>
          <w:szCs w:val="28"/>
          <w:highlight w:val="none"/>
        </w:rPr>
        <w:t xml:space="preserve">  在整改维修任务安排后，客户中心负责的抢维修应在一日内完成，有特殊情况时，应进行有效监控。</w:t>
      </w:r>
      <w:r>
        <w:rPr>
          <w:rFonts w:hint="eastAsia" w:ascii="方正仿宋简体" w:hAnsi="方正仿宋简体" w:eastAsia="方正仿宋简体" w:cs="方正仿宋简体"/>
          <w:color w:val="auto"/>
          <w:kern w:val="0"/>
          <w:sz w:val="28"/>
          <w:szCs w:val="28"/>
          <w:highlight w:val="none"/>
          <w:lang w:eastAsia="zh-CN"/>
        </w:rPr>
        <w:t>生产保障中心</w:t>
      </w:r>
      <w:r>
        <w:rPr>
          <w:rFonts w:hint="eastAsia" w:ascii="方正仿宋简体" w:hAnsi="方正仿宋简体" w:eastAsia="方正仿宋简体" w:cs="方正仿宋简体"/>
          <w:color w:val="auto"/>
          <w:kern w:val="0"/>
          <w:sz w:val="28"/>
          <w:szCs w:val="28"/>
          <w:highlight w:val="none"/>
        </w:rPr>
        <w:t>负责的用户安全隐患整改，应在7个工作内日完成。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第十九条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公司</w:t>
      </w:r>
      <w:r>
        <w:rPr>
          <w:rFonts w:hint="eastAsia" w:ascii="方正仿宋简体" w:hAnsi="方正仿宋简体" w:eastAsia="方正仿宋简体" w:cs="方正仿宋简体"/>
          <w:color w:val="auto"/>
          <w:kern w:val="0"/>
          <w:sz w:val="28"/>
          <w:szCs w:val="28"/>
          <w:highlight w:val="none"/>
          <w:lang w:eastAsia="zh-CN"/>
        </w:rPr>
        <w:t>QHSE</w:t>
      </w:r>
      <w:r>
        <w:rPr>
          <w:rFonts w:hint="eastAsia" w:ascii="方正仿宋简体" w:hAnsi="方正仿宋简体" w:eastAsia="方正仿宋简体" w:cs="方正仿宋简体"/>
          <w:color w:val="auto"/>
          <w:kern w:val="0"/>
          <w:sz w:val="28"/>
          <w:szCs w:val="28"/>
          <w:highlight w:val="none"/>
        </w:rPr>
        <w:t>领导小组定期组织</w:t>
      </w:r>
      <w:r>
        <w:rPr>
          <w:rFonts w:hint="eastAsia" w:ascii="方正仿宋简体" w:hAnsi="方正仿宋简体" w:eastAsia="方正仿宋简体" w:cs="方正仿宋简体"/>
          <w:color w:val="auto"/>
          <w:kern w:val="0"/>
          <w:sz w:val="28"/>
          <w:szCs w:val="28"/>
          <w:highlight w:val="none"/>
          <w:lang w:eastAsia="zh-CN"/>
        </w:rPr>
        <w:t>生产运行部</w:t>
      </w:r>
      <w:r>
        <w:rPr>
          <w:rFonts w:hint="eastAsia" w:ascii="方正仿宋简体" w:hAnsi="方正仿宋简体" w:eastAsia="方正仿宋简体" w:cs="方正仿宋简体"/>
          <w:color w:val="auto"/>
          <w:kern w:val="0"/>
          <w:sz w:val="28"/>
          <w:szCs w:val="28"/>
          <w:highlight w:val="none"/>
        </w:rPr>
        <w:t>门、安全环保部门开展对存在的用户安全隐患进行识别评价，对用户安全隐患治理工作进行总体部署安排，确定重大安全隐患由公司出资整改。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30"/>
          <w:szCs w:val="30"/>
          <w:highlight w:val="none"/>
        </w:rPr>
      </w:pPr>
      <w:r>
        <w:rPr>
          <w:rFonts w:hint="eastAsia" w:ascii="方正黑体简体" w:hAnsi="方正黑体简体" w:eastAsia="方正黑体简体" w:cs="方正黑体简体"/>
          <w:b w:val="0"/>
          <w:bCs w:val="0"/>
          <w:sz w:val="30"/>
          <w:szCs w:val="30"/>
          <w:lang w:eastAsia="zh-CN"/>
        </w:rPr>
        <w:t>第五章  考核及奖惩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第二十条</w:t>
      </w:r>
      <w:r>
        <w:rPr>
          <w:rFonts w:hint="eastAsia" w:ascii="方正仿宋简体" w:hAnsi="方正仿宋简体" w:eastAsia="方正仿宋简体" w:cs="方正仿宋简体"/>
          <w:color w:val="auto"/>
          <w:kern w:val="0"/>
          <w:sz w:val="28"/>
          <w:szCs w:val="28"/>
          <w:highlight w:val="none"/>
        </w:rPr>
        <w:t xml:space="preserve">  用户安全管理工作纳入公司对涉及到的单位、班组的年度业绩考核。对用户安全管理工作作出显著成绩的单位和个人，公司给予表彰和奖励。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第二十一条</w:t>
      </w:r>
      <w:r>
        <w:rPr>
          <w:rFonts w:hint="eastAsia" w:ascii="方正仿宋简体" w:hAnsi="方正仿宋简体" w:eastAsia="方正仿宋简体" w:cs="方正仿宋简体"/>
          <w:color w:val="auto"/>
          <w:kern w:val="0"/>
          <w:sz w:val="28"/>
          <w:szCs w:val="28"/>
          <w:highlight w:val="none"/>
        </w:rPr>
        <w:t xml:space="preserve">  违反本办法的有关规定，用户安全隐患超过一个月未处理和汇报的，发现一处扣隐患发生单位年度</w:t>
      </w:r>
      <w:r>
        <w:rPr>
          <w:rFonts w:hint="eastAsia" w:ascii="方正仿宋简体" w:hAnsi="方正仿宋简体" w:eastAsia="方正仿宋简体" w:cs="方正仿宋简体"/>
          <w:color w:val="auto"/>
          <w:kern w:val="0"/>
          <w:sz w:val="28"/>
          <w:szCs w:val="28"/>
          <w:highlight w:val="none"/>
          <w:lang w:eastAsia="zh-CN"/>
        </w:rPr>
        <w:t>QHSE</w:t>
      </w:r>
      <w:r>
        <w:rPr>
          <w:rFonts w:hint="eastAsia" w:ascii="方正仿宋简体" w:hAnsi="方正仿宋简体" w:eastAsia="方正仿宋简体" w:cs="方正仿宋简体"/>
          <w:color w:val="auto"/>
          <w:kern w:val="0"/>
          <w:sz w:val="28"/>
          <w:szCs w:val="28"/>
          <w:highlight w:val="none"/>
        </w:rPr>
        <w:t>业绩考核分0.1分；当年年底仍未整改的，发现一处扣隐患发生单位年度</w:t>
      </w:r>
      <w:r>
        <w:rPr>
          <w:rFonts w:hint="eastAsia" w:ascii="方正仿宋简体" w:hAnsi="方正仿宋简体" w:eastAsia="方正仿宋简体" w:cs="方正仿宋简体"/>
          <w:color w:val="auto"/>
          <w:kern w:val="0"/>
          <w:sz w:val="28"/>
          <w:szCs w:val="28"/>
          <w:highlight w:val="none"/>
          <w:lang w:eastAsia="zh-CN"/>
        </w:rPr>
        <w:t>QHSE</w:t>
      </w:r>
      <w:r>
        <w:rPr>
          <w:rFonts w:hint="eastAsia" w:ascii="方正仿宋简体" w:hAnsi="方正仿宋简体" w:eastAsia="方正仿宋简体" w:cs="方正仿宋简体"/>
          <w:color w:val="auto"/>
          <w:kern w:val="0"/>
          <w:sz w:val="28"/>
          <w:szCs w:val="28"/>
          <w:highlight w:val="none"/>
        </w:rPr>
        <w:t>业绩考核1.0分；由于管理责任而造成公司出资进行整改的，发生单位应承担整改总费用的5%～10%，费用在该单位业绩考核薪酬中扣除，并根据情节轻重和经济损失大小，追究各单位领导、技术干部、巡线工及相关责任人的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第二十二条</w:t>
      </w:r>
      <w:r>
        <w:rPr>
          <w:rFonts w:hint="eastAsia" w:ascii="方正仿宋简体" w:hAnsi="方正仿宋简体" w:eastAsia="方正仿宋简体" w:cs="方正仿宋简体"/>
          <w:color w:val="auto"/>
          <w:kern w:val="0"/>
          <w:sz w:val="28"/>
          <w:szCs w:val="28"/>
          <w:highlight w:val="none"/>
        </w:rPr>
        <w:t xml:space="preserve">  违反本细则的有关规定，致使用户设施发生泄漏、火灾、爆炸等责任事故的，视其情节轻重给予行政处分和经济处罚，直至追究法律责任。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val="0"/>
          <w:sz w:val="30"/>
          <w:szCs w:val="30"/>
          <w:lang w:eastAsia="zh-CN"/>
        </w:rPr>
        <w:t>第六章  附  则</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第二十三条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sz w:val="28"/>
          <w:szCs w:val="28"/>
          <w:highlight w:val="none"/>
        </w:rPr>
        <w:t>本办法由</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第二十四条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sz w:val="28"/>
          <w:szCs w:val="28"/>
          <w:highlight w:val="none"/>
        </w:rPr>
        <w:t>本细则从下发之日起施行。</w:t>
      </w:r>
    </w:p>
    <w:p>
      <w:pPr>
        <w:pStyle w:val="2"/>
        <w:jc w:val="both"/>
        <w:rPr>
          <w:rFonts w:hint="eastAsia" w:ascii="方正小标宋简体" w:eastAsia="方正小标宋简体"/>
          <w:color w:val="auto"/>
          <w:sz w:val="36"/>
          <w:szCs w:val="36"/>
          <w:highlight w:val="none"/>
        </w:rPr>
      </w:pPr>
      <w:bookmarkStart w:id="616" w:name="_Toc2110"/>
      <w:bookmarkStart w:id="617" w:name="_Toc9853"/>
      <w:bookmarkStart w:id="618" w:name="_Toc730"/>
      <w:bookmarkStart w:id="619" w:name="_Toc12269"/>
      <w:bookmarkStart w:id="620" w:name="_Toc29180"/>
      <w:bookmarkStart w:id="621" w:name="_Toc11517"/>
      <w:bookmarkStart w:id="622" w:name="_Toc26008"/>
      <w:bookmarkStart w:id="623" w:name="_Toc12585"/>
      <w:bookmarkStart w:id="624" w:name="_Toc9055"/>
      <w:bookmarkStart w:id="625" w:name="_Toc8940"/>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rPr>
          <w:rFonts w:hint="eastAsia" w:ascii="方正小标宋简体" w:eastAsia="方正小标宋简体"/>
          <w:color w:val="auto"/>
          <w:sz w:val="36"/>
          <w:szCs w:val="36"/>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626" w:name="_Toc9597"/>
      <w:bookmarkStart w:id="627" w:name="_Toc20281"/>
      <w:bookmarkStart w:id="628" w:name="_Toc4778"/>
      <w:bookmarkStart w:id="629" w:name="_Toc9454"/>
      <w:bookmarkStart w:id="630" w:name="_Toc12594"/>
      <w:bookmarkStart w:id="631" w:name="_Toc32191"/>
      <w:bookmarkStart w:id="632" w:name="_Toc14797"/>
      <w:bookmarkStart w:id="633" w:name="_Toc4914"/>
      <w:bookmarkStart w:id="634" w:name="_Toc28162"/>
      <w:r>
        <w:rPr>
          <w:rFonts w:hint="eastAsia" w:ascii="方正小标宋简体" w:eastAsia="方正小标宋简体"/>
          <w:b w:val="0"/>
          <w:bCs w:val="0"/>
          <w:color w:val="auto"/>
          <w:sz w:val="36"/>
          <w:szCs w:val="36"/>
          <w:highlight w:val="none"/>
        </w:rPr>
        <w:t>中油南充燃气有限责任公司环境保护管理办法</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eastAsia="zh-CN"/>
        </w:rPr>
      </w:pPr>
      <w:r>
        <w:rPr>
          <w:rFonts w:hint="eastAsia" w:ascii="方正黑体简体" w:hAnsi="方正黑体简体" w:eastAsia="方正黑体简体" w:cs="方正黑体简体"/>
          <w:b w:val="0"/>
          <w:bCs w:val="0"/>
          <w:sz w:val="30"/>
          <w:szCs w:val="30"/>
          <w:lang w:eastAsia="zh-CN"/>
        </w:rPr>
        <w:t xml:space="preserve">第一章  总 </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lang w:eastAsia="zh-CN"/>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根据为维护公司良好的社会形象，保护和改善生态环境，防止环境污染和其它公害，提高公司的环境保护管理水平。根据《中华人民共和国环境保护法》及其它相关法律法规，结合公司生产经营特点，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本办法适用于公司各所属单位、部门及岗位员工。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val="0"/>
          <w:sz w:val="30"/>
          <w:szCs w:val="30"/>
          <w:lang w:eastAsia="zh-CN"/>
        </w:rPr>
        <w:t>第二章  环境保护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val="0"/>
          <w:bCs/>
          <w:color w:val="auto"/>
          <w:sz w:val="28"/>
          <w:szCs w:val="28"/>
          <w:highlight w:val="none"/>
        </w:rPr>
        <w:t>环境保护管理原则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1、新建项目在选址、定点时要充分考虑环境保护的要求，避开居民集中居住区，水源保护区，噪声敏感区；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2、污染严重的区域，环境敏感的区域一般不再新建、扩建工业项目；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3、新、改、扩建项目要采用新技术、新工艺、新设备，推行清洁无害化生产，减少对环境的污染；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4、公司</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对公司建设项目环境管理进行监督。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第四条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val="0"/>
          <w:bCs/>
          <w:color w:val="auto"/>
          <w:sz w:val="28"/>
          <w:szCs w:val="28"/>
          <w:highlight w:val="none"/>
        </w:rPr>
        <w:t>新建项目的环境管理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1、在项目建设立项阶段或预可行性研究阶段，公司</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要参加项目选址等工作，调查项目地点周围的环境状况，对项目建设过程中和建成投产后可能造成的环境影响作出预测，提出建议，并取得项目所在地环保部门的意见，纳入项目建议书，作为立项的依据；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项目可行性研究阶段(设计任务书阶段)，建设单位根据项目对环境的影响情况和当地环保部门的要求，填写环境影响报告或编制环境影响报告书，报相关部门预审后，报上级、地方环保部门审批。环境影响报告表(书)作为项目设计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项目设计施工阶段，环保工程严格执行“三同时”制度，即污染防治工程必须与主体工程同时设计、同时施工、同时投入使用；执行环保工程竣工验收制度，即环保设施竣工后，必须经当地环保部门验收合格后，方可投入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第五条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val="0"/>
          <w:bCs/>
          <w:color w:val="auto"/>
          <w:sz w:val="28"/>
          <w:szCs w:val="28"/>
          <w:highlight w:val="none"/>
        </w:rPr>
        <w:t>改、扩建项目的环境管理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1、公司</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参与项目前期论证，并对可能出现的环保问题提出意见或建议；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2、改、扩建项目也应执行环境影响评价制度，建设单位在项目可行性研究阶段，须将项目目前生产情况、排污状况、改、扩建规模、目的和投资情况报公司</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，审查后报当地环保部门或上级环保部门；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3、改、扩建项目的污染防治设施必须执行“三同时”制度和竣工验收制度。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4、公司</w:t>
      </w:r>
      <w:r>
        <w:rPr>
          <w:rFonts w:hint="eastAsia" w:ascii="方正仿宋简体" w:hAnsi="方正仿宋简体" w:eastAsia="方正仿宋简体" w:cs="方正仿宋简体"/>
          <w:color w:val="auto"/>
          <w:sz w:val="28"/>
          <w:szCs w:val="28"/>
          <w:highlight w:val="none"/>
          <w:lang w:eastAsia="zh-CN"/>
        </w:rPr>
        <w:t>生产运行部</w:t>
      </w:r>
      <w:r>
        <w:rPr>
          <w:rFonts w:hint="eastAsia" w:ascii="方正仿宋简体" w:hAnsi="方正仿宋简体" w:eastAsia="方正仿宋简体" w:cs="方正仿宋简体"/>
          <w:color w:val="auto"/>
          <w:sz w:val="28"/>
          <w:szCs w:val="28"/>
          <w:highlight w:val="none"/>
        </w:rPr>
        <w:t>、</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w:t>
      </w:r>
      <w:r>
        <w:rPr>
          <w:rFonts w:hint="eastAsia" w:ascii="方正仿宋简体" w:hAnsi="方正仿宋简体" w:eastAsia="方正仿宋简体" w:cs="方正仿宋简体"/>
          <w:color w:val="auto"/>
          <w:sz w:val="28"/>
          <w:szCs w:val="28"/>
          <w:highlight w:val="none"/>
          <w:lang w:eastAsia="zh-CN"/>
        </w:rPr>
        <w:t>市场营销部</w:t>
      </w:r>
      <w:r>
        <w:rPr>
          <w:rFonts w:hint="eastAsia" w:ascii="方正仿宋简体" w:hAnsi="方正仿宋简体" w:eastAsia="方正仿宋简体" w:cs="方正仿宋简体"/>
          <w:color w:val="auto"/>
          <w:sz w:val="28"/>
          <w:szCs w:val="28"/>
          <w:highlight w:val="none"/>
        </w:rPr>
        <w:t>、建设单位有责任对环保工程的设计、环保投资情况进行审查，对施工中的环保工程质量进行监督管理。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项目建设过程中，建设单位要采取或要求施工单位采取相应的环保措施，保护施工现场周围的环境，防止对自然环境造成不应有的破坏；防止和减轻粉尘、噪声对周围环境的污染和危害。项目竣工后，建设单位应采取或要求施工单位采取措施，修整或恢复受到破坏的环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6、办理建设项目环境影响评价报告表(书)及与项目有关的环境监测(本底监测、验收监测等)费用，按上级“建设项目前期工程管理办法”有关要求执行。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建设单位未办理环境保护手续，环保设施未执行“三同时”制度和竣工验收制度，依据国家法律法规不允许施工作业和投产使用，由此而造成不良影响的和经济损失的，公司根据有关规定对单位和责任人给予处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第六条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val="0"/>
          <w:bCs/>
          <w:color w:val="auto"/>
          <w:sz w:val="28"/>
          <w:szCs w:val="28"/>
          <w:highlight w:val="none"/>
        </w:rPr>
        <w:t>生产、经营的环境管理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生产、经营中的有害固废，必须进行妥善的处理，严禁随意丢弃。如无法自行处置的有害固废，如硒鼓、车辆电池等，应交由供应商回收处置。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eastAsia="zh-CN"/>
        </w:rPr>
      </w:pPr>
      <w:r>
        <w:rPr>
          <w:rFonts w:hint="eastAsia" w:ascii="方正黑体简体" w:hAnsi="方正黑体简体" w:eastAsia="方正黑体简体" w:cs="方正黑体简体"/>
          <w:b w:val="0"/>
          <w:bCs w:val="0"/>
          <w:sz w:val="30"/>
          <w:szCs w:val="30"/>
          <w:lang w:eastAsia="zh-CN"/>
        </w:rPr>
        <w:t>第三章  附 则</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第七条 </w:t>
      </w:r>
      <w:r>
        <w:rPr>
          <w:rFonts w:hint="eastAsia" w:ascii="方正仿宋简体" w:hAnsi="方正仿宋简体" w:eastAsia="方正仿宋简体" w:cs="方正仿宋简体"/>
          <w:color w:val="auto"/>
          <w:sz w:val="28"/>
          <w:szCs w:val="28"/>
          <w:highlight w:val="none"/>
        </w:rPr>
        <w:t xml:space="preserve"> 本办法由</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第八条  </w:t>
      </w:r>
      <w:r>
        <w:rPr>
          <w:rFonts w:hint="eastAsia" w:ascii="方正仿宋简体" w:hAnsi="方正仿宋简体" w:eastAsia="方正仿宋简体" w:cs="方正仿宋简体"/>
          <w:color w:val="auto"/>
          <w:sz w:val="28"/>
          <w:szCs w:val="28"/>
          <w:highlight w:val="none"/>
        </w:rPr>
        <w:t>本细则从下发之日起施行。</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spacing w:line="560" w:lineRule="exact"/>
        <w:rPr>
          <w:rFonts w:hint="eastAsia" w:ascii="方正仿宋简体" w:hAnsi="方正仿宋简体" w:eastAsia="方正仿宋简体" w:cs="方正仿宋简体"/>
          <w:color w:val="auto"/>
          <w:sz w:val="28"/>
          <w:szCs w:val="28"/>
          <w:highlight w:val="none"/>
        </w:rPr>
      </w:pPr>
    </w:p>
    <w:p>
      <w:pPr>
        <w:spacing w:line="560" w:lineRule="exact"/>
        <w:rPr>
          <w:rFonts w:hint="eastAsia" w:ascii="方正仿宋简体" w:hAnsi="方正仿宋简体" w:eastAsia="方正仿宋简体" w:cs="方正仿宋简体"/>
          <w:color w:val="auto"/>
          <w:sz w:val="28"/>
          <w:szCs w:val="28"/>
          <w:highlight w:val="none"/>
        </w:rPr>
      </w:pPr>
    </w:p>
    <w:p>
      <w:pPr>
        <w:spacing w:line="560" w:lineRule="exact"/>
        <w:rPr>
          <w:rFonts w:hint="eastAsia" w:ascii="方正仿宋简体" w:hAnsi="方正仿宋简体" w:eastAsia="方正仿宋简体" w:cs="方正仿宋简体"/>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b w:val="0"/>
          <w:bCs w:val="0"/>
          <w:sz w:val="36"/>
          <w:szCs w:val="36"/>
          <w:lang w:val="en-US" w:eastAsia="zh-CN"/>
        </w:rPr>
      </w:pPr>
      <w:bookmarkStart w:id="635" w:name="_Toc23088"/>
      <w:r>
        <w:rPr>
          <w:rFonts w:hint="eastAsia" w:ascii="方正小标宋简体" w:hAnsi="方正小标宋简体" w:eastAsia="方正小标宋简体" w:cs="方正小标宋简体"/>
          <w:b w:val="0"/>
          <w:bCs w:val="0"/>
          <w:sz w:val="36"/>
          <w:szCs w:val="36"/>
          <w:lang w:val="en-US" w:eastAsia="zh-CN"/>
        </w:rPr>
        <w:t>中油南充燃气有限责任公司抢险维修管理制度</w:t>
      </w:r>
      <w:bookmarkEnd w:id="635"/>
    </w:p>
    <w:p>
      <w:pPr>
        <w:keepNext w:val="0"/>
        <w:keepLines w:val="0"/>
        <w:pageBreakBefore w:val="0"/>
        <w:widowControl w:val="0"/>
        <w:kinsoku/>
        <w:wordWrap/>
        <w:overflowPunct/>
        <w:topLinePunct w:val="0"/>
        <w:autoSpaceDE/>
        <w:autoSpaceDN/>
        <w:bidi w:val="0"/>
        <w:adjustRightInd/>
        <w:snapToGrid/>
        <w:spacing w:line="640" w:lineRule="exact"/>
        <w:jc w:val="both"/>
        <w:textAlignment w:val="auto"/>
        <w:outlineLvl w:val="9"/>
        <w:rPr>
          <w:rFonts w:hint="eastAsia" w:ascii="方正小标宋简体" w:hAnsi="Times New Roman" w:eastAsia="方正小标宋简体" w:cs="Times New Roman"/>
          <w:b w:val="0"/>
          <w:bCs w:val="0"/>
          <w:color w:val="auto"/>
          <w:kern w:val="44"/>
          <w:sz w:val="36"/>
          <w:szCs w:val="36"/>
          <w:highlight w:val="none"/>
          <w:lang w:val="en-US" w:eastAsia="zh-CN" w:bidi="ar-SA"/>
        </w:rPr>
      </w:pPr>
    </w:p>
    <w:p>
      <w:pPr>
        <w:keepNext w:val="0"/>
        <w:keepLines w:val="0"/>
        <w:pageBreakBefore w:val="0"/>
        <w:widowControl w:val="0"/>
        <w:numPr>
          <w:ilvl w:val="0"/>
          <w:numId w:val="16"/>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eastAsia="zh-CN"/>
        </w:rPr>
      </w:pPr>
      <w:r>
        <w:rPr>
          <w:rFonts w:hint="eastAsia" w:ascii="方正黑体简体" w:hAnsi="方正黑体简体" w:eastAsia="方正黑体简体" w:cs="方正黑体简体"/>
          <w:b w:val="0"/>
          <w:bCs w:val="0"/>
          <w:sz w:val="30"/>
          <w:szCs w:val="30"/>
          <w:lang w:eastAsia="zh-CN"/>
        </w:rPr>
        <w:t xml:space="preserve"> 总</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lang w:eastAsia="zh-CN"/>
        </w:rPr>
        <w:t>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val="en-US" w:eastAsia="zh-CN"/>
        </w:rPr>
        <w:t>第一条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为确保城镇燃气设施安全、可靠、平稳运行，依据《城镇燃气管理条例》、《城镇燃气设施运行、维护和抢维修安全技术规程CJJ51-2016》并结合公司实际情况，特制定本细则。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第二条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维修管理坚持责任、安全、效率统一的原则。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第三条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本细则适用于中油南充燃气有限责任公司燃气设施的抢险、维修管理。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eastAsia="zh-CN"/>
        </w:rPr>
      </w:pPr>
      <w:r>
        <w:rPr>
          <w:rFonts w:hint="eastAsia" w:ascii="方正黑体简体" w:hAnsi="方正黑体简体" w:eastAsia="方正黑体简体" w:cs="方正黑体简体"/>
          <w:b w:val="0"/>
          <w:bCs w:val="0"/>
          <w:sz w:val="30"/>
          <w:szCs w:val="30"/>
          <w:lang w:eastAsia="zh-CN"/>
        </w:rPr>
        <w:t>第二章</w:t>
      </w:r>
      <w:r>
        <w:rPr>
          <w:rFonts w:hint="eastAsia" w:ascii="方正黑体简体" w:hAnsi="方正黑体简体" w:eastAsia="方正黑体简体" w:cs="方正黑体简体"/>
          <w:b w:val="0"/>
          <w:bCs w:val="0"/>
          <w:sz w:val="30"/>
          <w:szCs w:val="30"/>
          <w:lang w:val="en-US" w:eastAsia="zh-CN"/>
        </w:rPr>
        <w:t xml:space="preserve">  </w:t>
      </w:r>
      <w:r>
        <w:rPr>
          <w:rFonts w:hint="eastAsia" w:ascii="方正黑体简体" w:hAnsi="方正黑体简体" w:eastAsia="方正黑体简体" w:cs="方正黑体简体"/>
          <w:b w:val="0"/>
          <w:bCs w:val="0"/>
          <w:sz w:val="30"/>
          <w:szCs w:val="30"/>
          <w:lang w:eastAsia="zh-CN"/>
        </w:rPr>
        <w:t>管理范围与职责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第四条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公司管辖范围内的燃气设施主要是燃气输配系统设施，包括城区燃气管网、阀井、调压装置、计量装置等。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第五条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燃气设施的巡检及维护为本公司相关各层级机构的管理范围。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lang w:eastAsia="zh-CN"/>
        </w:rPr>
        <w:t>生产运行部</w:t>
      </w:r>
      <w:r>
        <w:rPr>
          <w:rFonts w:hint="eastAsia" w:ascii="方正仿宋简体" w:hAnsi="方正仿宋简体" w:eastAsia="方正仿宋简体" w:cs="方正仿宋简体"/>
          <w:color w:val="auto"/>
          <w:sz w:val="28"/>
          <w:szCs w:val="28"/>
          <w:highlight w:val="none"/>
        </w:rPr>
        <w:t>是燃气设施抢险维修管理的归口管理部门。其职责主要有：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（一）负责贯彻国家有关燃气营运及配套技术工作的方针、政策、法令、法规和有关技术标准、技术规范、操作规程。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（二）负责燃气设施抢险维修管理办法的制定、修订及完善。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（三）负责制定抢险维修的工作质量标准及考核评分细则。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（四）负责组织对抢险维修人员的培训工作。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（五）负责对抢险维修工作的日常受控管理，并建立相应记录。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（六）负责制定抢险维修工作的资料记录模版并印刷制作成册。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（七）负责对抢险维修工作质量的监督抽查，并根据考核细则对</w:t>
      </w:r>
      <w:r>
        <w:rPr>
          <w:rFonts w:hint="eastAsia" w:ascii="方正仿宋简体" w:hAnsi="方正仿宋简体" w:eastAsia="方正仿宋简体" w:cs="方正仿宋简体"/>
          <w:color w:val="auto"/>
          <w:sz w:val="28"/>
          <w:szCs w:val="28"/>
          <w:highlight w:val="none"/>
          <w:lang w:eastAsia="zh-CN"/>
        </w:rPr>
        <w:t>生产保障中心</w:t>
      </w:r>
      <w:r>
        <w:rPr>
          <w:rFonts w:hint="eastAsia" w:ascii="方正仿宋简体" w:hAnsi="方正仿宋简体" w:eastAsia="方正仿宋简体" w:cs="方正仿宋简体"/>
          <w:color w:val="auto"/>
          <w:sz w:val="28"/>
          <w:szCs w:val="28"/>
          <w:highlight w:val="none"/>
        </w:rPr>
        <w:t>抢险维修效果进行考核，建立相关记录。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（八）制定应急预案，建立并完善抢险维修管理、应急实战演练、抢险维修机具、人员日常管理的相关制度和规定。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第七条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是燃气设施抢险维修管理的监督部门。其职责主要有：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负责对日常抽查中要求整改事项的跟踪、监督及落实。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第八条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燃气</w:t>
      </w:r>
      <w:r>
        <w:rPr>
          <w:rFonts w:hint="eastAsia" w:ascii="方正仿宋简体" w:hAnsi="方正仿宋简体" w:eastAsia="方正仿宋简体" w:cs="方正仿宋简体"/>
          <w:color w:val="auto"/>
          <w:sz w:val="28"/>
          <w:szCs w:val="28"/>
          <w:highlight w:val="none"/>
          <w:lang w:eastAsia="zh-CN"/>
        </w:rPr>
        <w:t>生产保障中心</w:t>
      </w:r>
      <w:r>
        <w:rPr>
          <w:rFonts w:hint="eastAsia" w:ascii="方正仿宋简体" w:hAnsi="方正仿宋简体" w:eastAsia="方正仿宋简体" w:cs="方正仿宋简体"/>
          <w:color w:val="auto"/>
          <w:sz w:val="28"/>
          <w:szCs w:val="28"/>
          <w:highlight w:val="none"/>
        </w:rPr>
        <w:t>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（一）严格执行公司有关事故上报程序，设立专门的值班电话（包括移动电话），保证24小时有人接听。建立完善的抢险维修管理体系。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（二）应配备必要的抢险维修车辆、抢险维修设备、通信设备、防护用具、消防器材、检测仪器等装备。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（三）认真贯彻执行公司各项抢险维修管理制度、规定。树立全局意识，接受公司抢险维修资源的统一调动，配合公司完成大型抢险维修任务。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（四）负责抢险维修人员、设备和机具的日常管理，做好抢险维修设备和机具的维护保养工作。负责抢险维修机具的合理改进。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（五）做好抢险维修记录、抢险维修设备和机具台帐、资料、档案等基础工作。准确、及时上报各类统计报表。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负责做好抢险维修记录和资料存档工作。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（六）负责对所辖区域内的抢险维修人员的工作质量进行不定期的抽查，并根据考核细则对</w:t>
      </w:r>
      <w:r>
        <w:rPr>
          <w:rFonts w:hint="eastAsia" w:ascii="方正仿宋简体" w:hAnsi="方正仿宋简体" w:eastAsia="方正仿宋简体" w:cs="方正仿宋简体"/>
          <w:color w:val="auto"/>
          <w:sz w:val="28"/>
          <w:szCs w:val="28"/>
          <w:highlight w:val="none"/>
          <w:lang w:eastAsia="zh-CN"/>
        </w:rPr>
        <w:t>生产保障中心</w:t>
      </w:r>
      <w:r>
        <w:rPr>
          <w:rFonts w:hint="eastAsia" w:ascii="方正仿宋简体" w:hAnsi="方正仿宋简体" w:eastAsia="方正仿宋简体" w:cs="方正仿宋简体"/>
          <w:color w:val="auto"/>
          <w:sz w:val="28"/>
          <w:szCs w:val="28"/>
          <w:highlight w:val="none"/>
        </w:rPr>
        <w:t>班组及相关人员抢险维修效果进行考核，建立相关记录。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（七）根据实际情况对抢险维修人员进行培训，并建立相关培训记录。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（八）负责对日常抽查及</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日常抽查中要求整改事项的跟踪、监督及落实。并将限定期限整改的结果报</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（九）配合地方政府部门做好所辖管道及其附属设施的安全保护工作。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val="en-US" w:eastAsia="zh-CN"/>
        </w:rPr>
        <w:t>第九条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抢险维修班组的职责：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（一）负责对分配的抢险维修任务具体实施。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（二）认真执行上级对抢险维修管理的各类规定，开展抢险维修工作，并承担相应责任。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（三）收集、整理抢险维修工作情况和资料报表，按要求向主管上级汇报。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color w:val="auto"/>
          <w:sz w:val="30"/>
          <w:szCs w:val="30"/>
          <w:highlight w:val="none"/>
        </w:rPr>
      </w:pPr>
      <w:r>
        <w:rPr>
          <w:rFonts w:hint="eastAsia" w:ascii="方正黑体简体" w:hAnsi="方正黑体简体" w:eastAsia="方正黑体简体" w:cs="方正黑体简体"/>
          <w:color w:val="auto"/>
          <w:sz w:val="30"/>
          <w:szCs w:val="30"/>
          <w:highlight w:val="none"/>
          <w:lang w:eastAsia="zh-CN"/>
        </w:rPr>
        <w:t>第三章</w:t>
      </w:r>
      <w:r>
        <w:rPr>
          <w:rFonts w:hint="eastAsia" w:ascii="方正黑体简体" w:hAnsi="方正黑体简体" w:eastAsia="方正黑体简体" w:cs="方正黑体简体"/>
          <w:color w:val="auto"/>
          <w:sz w:val="30"/>
          <w:szCs w:val="30"/>
          <w:highlight w:val="none"/>
          <w:lang w:val="en-US" w:eastAsia="zh-CN"/>
        </w:rPr>
        <w:t xml:space="preserve"> </w:t>
      </w:r>
      <w:r>
        <w:rPr>
          <w:rFonts w:hint="eastAsia" w:ascii="方正黑体简体" w:hAnsi="方正黑体简体" w:eastAsia="方正黑体简体" w:cs="方正黑体简体"/>
          <w:color w:val="auto"/>
          <w:sz w:val="30"/>
          <w:szCs w:val="30"/>
          <w:highlight w:val="none"/>
        </w:rPr>
        <w:t xml:space="preserve"> 抢险维修人员管理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抢险维修人员身体健康状况应良好。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第十一条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严格执行抢险维修人员日常管理的相关制度和规定，明确抢险维修岗位职责、工作标准和工作流程，并制定考核标准。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第十二条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抢险维修人员必须经过相关培训并取得有效的相应操作证件，方可上岗。设备操作人员应做到 “四懂三会”（懂性能、懂原理、懂结构、懂用途；会操作、会保养、会排除故障）。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第十三条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抢险维修人员应坚持开展技术练兵，岗位练兵，并定期参加应急演练。应学会自救和伤员抢救措施。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第十四条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抢险维修人员必须熟悉本工种所使用的设备、机具、工具的性能、技术要求和安全操作要领，熟练操作。同时，提倡一专多能，能使用其他工种抢险维修设备和机具。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第十五条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抢险维修设备、机具操作人员应熟悉各类设备的用油牌号、性能及使用要点，按设备的使用要求对号使用油品，根据季节的要求使用油品。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color w:val="auto"/>
          <w:sz w:val="30"/>
          <w:szCs w:val="30"/>
          <w:highlight w:val="none"/>
          <w:lang w:eastAsia="zh-CN"/>
        </w:rPr>
      </w:pPr>
      <w:r>
        <w:rPr>
          <w:rFonts w:hint="eastAsia" w:ascii="方正黑体简体" w:hAnsi="方正黑体简体" w:eastAsia="方正黑体简体" w:cs="方正黑体简体"/>
          <w:color w:val="auto"/>
          <w:sz w:val="30"/>
          <w:szCs w:val="30"/>
          <w:highlight w:val="none"/>
          <w:lang w:eastAsia="zh-CN"/>
        </w:rPr>
        <w:t>第四章</w:t>
      </w:r>
      <w:r>
        <w:rPr>
          <w:rFonts w:hint="eastAsia" w:ascii="方正黑体简体" w:hAnsi="方正黑体简体" w:eastAsia="方正黑体简体" w:cs="方正黑体简体"/>
          <w:color w:val="auto"/>
          <w:sz w:val="30"/>
          <w:szCs w:val="30"/>
          <w:highlight w:val="none"/>
          <w:lang w:val="en-US" w:eastAsia="zh-CN"/>
        </w:rPr>
        <w:t xml:space="preserve">  </w:t>
      </w:r>
      <w:r>
        <w:rPr>
          <w:rFonts w:hint="eastAsia" w:ascii="方正黑体简体" w:hAnsi="方正黑体简体" w:eastAsia="方正黑体简体" w:cs="方正黑体简体"/>
          <w:color w:val="auto"/>
          <w:sz w:val="30"/>
          <w:szCs w:val="30"/>
          <w:highlight w:val="none"/>
          <w:lang w:eastAsia="zh-CN"/>
        </w:rPr>
        <w:t>燃气设施抢险维修管理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第十六条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抢险维修设备、机具管理</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抢险维修设备、机具、备品、备件实行定库、定人、定责的制度，对号入库。设备要摆放整齐，无抢险维修任务不得随意使用。</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车辆、设备、机具、通讯设施、防护用具、消防器材、检测仪器等装备要定位存放，保证抢险维修的急需。抢险维修设备实行强制保养制度，同时要加强日常维护与保养，定期检查与试运转，使设备始终处于完好状态，随调随用。</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长期停用的抢险维修设备，应每月试运行一次，对试运行中发现的问题及时处理。</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所有抢险维修机具不得对外租借，且不得擅自用于抢险维修及演练以外的作业。</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抢险维修设备在使用过程中坚决杜绝拼设备、少润滑、带故障运转、违章作业等现象。</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执行抢险维修任务动用抢险维修设备、机具、备品、备件时，应报所属各单位相关负责人批准后使用。任务完成返库前，经抢险维修班长检查后，签字确认入库；耗费品应统计上报，由所属各单位及时安排补充。</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执行完抢险维修任务的设备要进行维护检查，达到“一清、二净、三完好”，对查出的问题要及时处理，严格禁止带病设备入库。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第十七条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抢险维修现场、作业管理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（一）燃气设施正常维修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进行燃气设施正常维修时应制定相应操作手册，并严格按照操作手册执行。涉及风险作业的要按照相关规定办理作业票证，并在有关部门的监督下进行。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应按燃气设施的运行状况和燃气设施的维修周期，严格按照计划进行落实。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认真贯彻执行各级维修、保养制度、规程，做好各级维修、保养工作，及时准确填写维修、保养记录。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4</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lang w:eastAsia="zh-CN"/>
        </w:rPr>
        <w:t>生产运行部</w:t>
      </w:r>
      <w:r>
        <w:rPr>
          <w:rFonts w:hint="eastAsia" w:ascii="方正仿宋简体" w:eastAsia="方正仿宋简体"/>
          <w:color w:val="auto"/>
          <w:sz w:val="28"/>
          <w:szCs w:val="28"/>
          <w:highlight w:val="none"/>
        </w:rPr>
        <w:t>负责监督、检查燃气设施维修、保养工作落实和完成情况。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（二）燃气设施抢维修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进行燃气设施抢修时应制定相应方案，并严格按照方案执行。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抢险维修队伍应保证 24 小时有人值班，在接到抢修任务后，应根据得到的险情通知准备机具，在 30 分钟内准备相关机具迅速出动，并根据具体情况联系有关部门协作抢修。抢险维修队伍到达现场后在现场指挥组的指挥下，按照抢修作业方案完成抢修作业。抢修过程应统一指挥，严明纪律，并采取安全防范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抢维修人员应佩戴职责标志。随时监测周围环境的燃气浓度。在警戒区内应管制交通，严禁烟火，严禁无关人员入内。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4</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抢险维修人员到达抢修现场后，在布置现场警戒、控制事态发展的同时，应积极救护受伤人员。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5</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人员在进入作业区域前应按规定穿戴劳动保护用品，并严禁在作业区域内穿脱和摘戴。作业现场应有专人监护，严禁单独操作。进行抢险维修时应采取防爆措施，使用防爆工具，严禁使用能产生火花的铁器等工具进行敲击作业，抢险维修电气设备应切断电源。作业现场应设置安全监测装置和防护装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6</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设施泄漏的抢险维修宜在降低燃气压力或切断气源后进行。抢险维修作业时，与作业相关的控制阀门必须有专人值守和保持通讯畅通，并监视其压力。当抢险维修中暂时无法消除漏气现象或不能切断气源时，应及时通知有关部门，并做好事故现场的安全防护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7</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在警戒区内燃气浓度未降至安全范围时，严禁使用非防爆型的机电设备及仪器、仪表等。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8</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当事故原因未查清或隐患未消除时不得撤离现场,应采取安全措施，直至查清事故原因并消除隐患为止。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9</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修复后，应对夹层、烟道、地下管线和建（构）筑物等场所进行全面检查。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10</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抢险维修施工中做到工完、料净、场地清。抢险维修过程结束后，应组织安排恢复道路、地貌，并清理污染物及废弃物。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11</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抢险维修完成后，管沟回填时应分层回填，尽可能保持作物原有的生长环境。留有适当的堆积层，防止因降水、径流造成地表下陷和水土流失。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12</w:t>
      </w:r>
      <w:r>
        <w:rPr>
          <w:rFonts w:hint="eastAsia" w:ascii="方正仿宋简体" w:hAnsi="方正小标宋简体" w:eastAsia="方正仿宋简体" w:cs="方正小标宋简体"/>
          <w:color w:val="auto"/>
          <w:sz w:val="28"/>
          <w:szCs w:val="28"/>
          <w:highlight w:val="none"/>
        </w:rPr>
        <w:t>.</w:t>
      </w:r>
      <w:r>
        <w:rPr>
          <w:rFonts w:hint="eastAsia" w:ascii="方正仿宋简体" w:eastAsia="方正仿宋简体"/>
          <w:color w:val="auto"/>
          <w:sz w:val="28"/>
          <w:szCs w:val="28"/>
          <w:highlight w:val="none"/>
        </w:rPr>
        <w:t>抢险维修结束后，抢险维修队伍应在现场指挥人员的组织下，对抢险维修作业进行总结，根据总结情况完善预案，针对性地实现技术改进。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color w:val="auto"/>
          <w:sz w:val="30"/>
          <w:szCs w:val="30"/>
          <w:highlight w:val="none"/>
          <w:lang w:eastAsia="zh-CN"/>
        </w:rPr>
      </w:pPr>
      <w:r>
        <w:rPr>
          <w:rFonts w:hint="eastAsia" w:ascii="方正黑体简体" w:hAnsi="方正黑体简体" w:eastAsia="方正黑体简体" w:cs="方正黑体简体"/>
          <w:color w:val="auto"/>
          <w:sz w:val="30"/>
          <w:szCs w:val="30"/>
          <w:highlight w:val="none"/>
          <w:lang w:eastAsia="zh-CN"/>
        </w:rPr>
        <w:t>第五章</w:t>
      </w:r>
      <w:r>
        <w:rPr>
          <w:rFonts w:hint="eastAsia" w:ascii="方正黑体简体" w:hAnsi="方正黑体简体" w:eastAsia="方正黑体简体" w:cs="方正黑体简体"/>
          <w:color w:val="auto"/>
          <w:sz w:val="30"/>
          <w:szCs w:val="30"/>
          <w:highlight w:val="none"/>
          <w:lang w:val="en-US" w:eastAsia="zh-CN"/>
        </w:rPr>
        <w:t xml:space="preserve">  </w:t>
      </w:r>
      <w:r>
        <w:rPr>
          <w:rFonts w:hint="eastAsia" w:ascii="方正黑体简体" w:hAnsi="方正黑体简体" w:eastAsia="方正黑体简体" w:cs="方正黑体简体"/>
          <w:color w:val="auto"/>
          <w:sz w:val="30"/>
          <w:szCs w:val="30"/>
          <w:highlight w:val="none"/>
          <w:lang w:eastAsia="zh-CN"/>
        </w:rPr>
        <w:t>应急处置管理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第十八条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依照中油南充燃气有限责任公司所发布的《抢险维修人员岗位应急处置卡》内容执行。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color w:val="auto"/>
          <w:sz w:val="30"/>
          <w:szCs w:val="30"/>
          <w:highlight w:val="none"/>
          <w:lang w:eastAsia="zh-CN"/>
        </w:rPr>
      </w:pPr>
      <w:r>
        <w:rPr>
          <w:rFonts w:hint="eastAsia" w:ascii="方正黑体简体" w:hAnsi="方正黑体简体" w:eastAsia="方正黑体简体" w:cs="方正黑体简体"/>
          <w:color w:val="auto"/>
          <w:sz w:val="30"/>
          <w:szCs w:val="30"/>
          <w:highlight w:val="none"/>
          <w:lang w:eastAsia="zh-CN"/>
        </w:rPr>
        <w:t>第六章  抢险维修资料管理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第十九条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燃气</w:t>
      </w:r>
      <w:r>
        <w:rPr>
          <w:rFonts w:hint="eastAsia" w:ascii="方正仿宋简体" w:eastAsia="方正仿宋简体"/>
          <w:color w:val="auto"/>
          <w:sz w:val="28"/>
          <w:szCs w:val="28"/>
          <w:highlight w:val="none"/>
          <w:lang w:eastAsia="zh-CN"/>
        </w:rPr>
        <w:t>生产保障中心</w:t>
      </w:r>
      <w:r>
        <w:rPr>
          <w:rFonts w:hint="eastAsia" w:ascii="方正仿宋简体" w:eastAsia="方正仿宋简体"/>
          <w:color w:val="auto"/>
          <w:sz w:val="28"/>
          <w:szCs w:val="28"/>
          <w:highlight w:val="none"/>
        </w:rPr>
        <w:t>应向</w:t>
      </w:r>
      <w:r>
        <w:rPr>
          <w:rFonts w:hint="eastAsia" w:ascii="方正仿宋简体" w:eastAsia="方正仿宋简体"/>
          <w:color w:val="auto"/>
          <w:sz w:val="28"/>
          <w:szCs w:val="28"/>
          <w:highlight w:val="none"/>
          <w:lang w:eastAsia="zh-CN"/>
        </w:rPr>
        <w:t>生产运行部</w:t>
      </w:r>
      <w:r>
        <w:rPr>
          <w:rFonts w:hint="eastAsia" w:ascii="方正仿宋简体" w:eastAsia="方正仿宋简体"/>
          <w:color w:val="auto"/>
          <w:sz w:val="28"/>
          <w:szCs w:val="28"/>
          <w:highlight w:val="none"/>
        </w:rPr>
        <w:t>、</w:t>
      </w:r>
      <w:r>
        <w:rPr>
          <w:rFonts w:hint="eastAsia" w:ascii="方正仿宋简体" w:eastAsia="方正仿宋简体"/>
          <w:color w:val="auto"/>
          <w:sz w:val="28"/>
          <w:szCs w:val="28"/>
          <w:highlight w:val="none"/>
          <w:lang w:eastAsia="zh-CN"/>
        </w:rPr>
        <w:t>质量安全环保部</w:t>
      </w:r>
      <w:r>
        <w:rPr>
          <w:rFonts w:hint="eastAsia" w:ascii="方正仿宋简体" w:eastAsia="方正仿宋简体"/>
          <w:color w:val="auto"/>
          <w:sz w:val="28"/>
          <w:szCs w:val="28"/>
          <w:highlight w:val="none"/>
        </w:rPr>
        <w:t>提交抢险维修工程的资料。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第二十条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抢险维修工程记录应包括下列内容：</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事故报警记录。</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事故发生的时间、地点和原因等。</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事故类别（中毒、火灾、爆炸等）。</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事故造成的损失和人员伤亡情况。</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参加抢险维修的人员情况。</w:t>
      </w:r>
    </w:p>
    <w:p>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抢险维修工程概况及修复日期。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第二十一条</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 xml:space="preserve"> 抢险维修工程资料应包括下列内容：</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事故抢险维修任务单。</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抢险维修方案、应急预案、风险作业票证。</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抢险维修记录（包括图影资料）。</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事故鉴定记录。</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抢险维修工程质量鉴定记录。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简体" w:eastAsia="方正仿宋简体"/>
          <w:color w:val="auto"/>
          <w:sz w:val="32"/>
          <w:szCs w:val="32"/>
          <w:highlight w:val="none"/>
        </w:rPr>
      </w:pPr>
    </w:p>
    <w:p>
      <w:pPr>
        <w:pStyle w:val="2"/>
        <w:jc w:val="center"/>
        <w:rPr>
          <w:rFonts w:hint="eastAsia" w:ascii="方正小标宋简体" w:eastAsia="方正小标宋简体"/>
          <w:color w:val="auto"/>
          <w:sz w:val="36"/>
          <w:szCs w:val="36"/>
          <w:highlight w:val="none"/>
        </w:rPr>
      </w:pPr>
    </w:p>
    <w:p>
      <w:pPr>
        <w:pStyle w:val="2"/>
        <w:jc w:val="center"/>
        <w:rPr>
          <w:rFonts w:hint="eastAsia" w:ascii="方正小标宋简体" w:eastAsia="方正小标宋简体"/>
          <w:color w:val="auto"/>
          <w:sz w:val="36"/>
          <w:szCs w:val="36"/>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lang w:eastAsia="zh-CN"/>
        </w:rPr>
      </w:pPr>
      <w:bookmarkStart w:id="636" w:name="_中油南充燃气有限责任公司事故事件管理办法"/>
      <w:bookmarkEnd w:id="636"/>
      <w:bookmarkStart w:id="637" w:name="_Toc3762"/>
      <w:bookmarkStart w:id="638" w:name="_Toc30483"/>
      <w:bookmarkStart w:id="639" w:name="_Toc22161"/>
      <w:bookmarkStart w:id="640" w:name="_Toc9576"/>
      <w:bookmarkStart w:id="641" w:name="_Toc23938"/>
      <w:bookmarkStart w:id="642" w:name="_Toc16812"/>
      <w:bookmarkStart w:id="643" w:name="_Toc17464"/>
      <w:bookmarkStart w:id="644" w:name="_Toc14489"/>
      <w:bookmarkStart w:id="645" w:name="_Toc2085"/>
      <w:bookmarkStart w:id="646" w:name="_Toc28880"/>
      <w:bookmarkStart w:id="647" w:name="_Toc16097"/>
      <w:bookmarkStart w:id="648" w:name="_Toc28372"/>
      <w:bookmarkStart w:id="649" w:name="_Toc18265"/>
      <w:bookmarkStart w:id="650" w:name="_Toc4659"/>
      <w:bookmarkStart w:id="651" w:name="_Toc29650"/>
      <w:bookmarkStart w:id="652" w:name="_Toc1650"/>
      <w:bookmarkStart w:id="653" w:name="_Toc28630"/>
      <w:bookmarkStart w:id="654" w:name="_Toc21890"/>
      <w:bookmarkStart w:id="655" w:name="_Toc23602"/>
      <w:r>
        <w:rPr>
          <w:rFonts w:hint="eastAsia" w:ascii="方正小标宋简体" w:eastAsia="方正小标宋简体"/>
          <w:b w:val="0"/>
          <w:bCs w:val="0"/>
          <w:color w:val="auto"/>
          <w:sz w:val="36"/>
          <w:szCs w:val="36"/>
          <w:highlight w:val="none"/>
        </w:rPr>
        <w:t>中油南充燃气有限责任公司</w:t>
      </w:r>
      <w:bookmarkEnd w:id="637"/>
      <w:bookmarkEnd w:id="638"/>
      <w:bookmarkEnd w:id="639"/>
      <w:bookmarkEnd w:id="640"/>
      <w:bookmarkEnd w:id="641"/>
      <w:bookmarkEnd w:id="642"/>
      <w:bookmarkEnd w:id="643"/>
      <w:bookmarkEnd w:id="644"/>
      <w:bookmarkEnd w:id="645"/>
      <w:bookmarkEnd w:id="646"/>
      <w:r>
        <w:rPr>
          <w:rFonts w:hint="eastAsia" w:ascii="方正小标宋简体" w:eastAsia="方正小标宋简体"/>
          <w:b w:val="0"/>
          <w:bCs w:val="0"/>
          <w:color w:val="auto"/>
          <w:sz w:val="36"/>
          <w:szCs w:val="36"/>
          <w:highlight w:val="none"/>
          <w:lang w:eastAsia="zh-CN"/>
        </w:rPr>
        <w:t>生产安全事故报告和调查</w:t>
      </w:r>
      <w:bookmarkEnd w:id="647"/>
      <w:bookmarkEnd w:id="648"/>
      <w:bookmarkEnd w:id="649"/>
      <w:bookmarkEnd w:id="650"/>
      <w:bookmarkEnd w:id="651"/>
      <w:bookmarkEnd w:id="652"/>
      <w:bookmarkEnd w:id="653"/>
      <w:bookmarkEnd w:id="654"/>
      <w:bookmarkStart w:id="656" w:name="_Toc23327"/>
      <w:bookmarkStart w:id="657" w:name="_Toc29551"/>
      <w:bookmarkStart w:id="658" w:name="_Toc27620"/>
      <w:bookmarkStart w:id="659" w:name="_Toc3749"/>
      <w:bookmarkStart w:id="660" w:name="_Toc6330"/>
      <w:bookmarkStart w:id="661" w:name="_Toc31555"/>
      <w:bookmarkStart w:id="662" w:name="_Toc11117"/>
      <w:bookmarkStart w:id="663" w:name="_Toc30715"/>
      <w:bookmarkStart w:id="664" w:name="_Toc12213"/>
      <w:r>
        <w:rPr>
          <w:rFonts w:hint="eastAsia" w:ascii="方正小标宋简体" w:eastAsia="方正小标宋简体"/>
          <w:b w:val="0"/>
          <w:bCs w:val="0"/>
          <w:color w:val="auto"/>
          <w:sz w:val="36"/>
          <w:szCs w:val="36"/>
          <w:highlight w:val="none"/>
          <w:lang w:eastAsia="zh-CN"/>
        </w:rPr>
        <w:t>处理制度</w:t>
      </w:r>
      <w:bookmarkEnd w:id="655"/>
      <w:bookmarkEnd w:id="656"/>
      <w:bookmarkEnd w:id="657"/>
      <w:bookmarkEnd w:id="658"/>
      <w:bookmarkEnd w:id="659"/>
      <w:bookmarkEnd w:id="660"/>
      <w:bookmarkEnd w:id="661"/>
      <w:bookmarkEnd w:id="662"/>
      <w:bookmarkEnd w:id="663"/>
      <w:bookmarkEnd w:id="664"/>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黑体简体" w:hAnsi="方正黑体简体" w:eastAsia="方正黑体简体" w:cs="方正黑体简体"/>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b w:val="0"/>
          <w:bCs/>
          <w:color w:val="auto"/>
          <w:sz w:val="30"/>
          <w:szCs w:val="30"/>
          <w:highlight w:val="none"/>
        </w:rPr>
      </w:pPr>
      <w:bookmarkStart w:id="665" w:name="_Toc10169"/>
      <w:bookmarkStart w:id="666" w:name="_Toc508016777"/>
      <w:r>
        <w:rPr>
          <w:rFonts w:hint="eastAsia" w:ascii="方正黑体简体" w:hAnsi="方正黑体简体" w:eastAsia="方正黑体简体" w:cs="方正黑体简体"/>
          <w:b w:val="0"/>
          <w:bCs/>
          <w:color w:val="auto"/>
          <w:sz w:val="30"/>
          <w:szCs w:val="30"/>
          <w:highlight w:val="none"/>
        </w:rPr>
        <w:t>第一章  总 则</w:t>
      </w:r>
      <w:bookmarkEnd w:id="665"/>
      <w:bookmarkEnd w:id="66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第一条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为进一步提高中油南充燃气有限责任公司（以下简称公司）</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管理业绩，规范事故事件管理，减少和预防事故发生。根据《西南油气田分公司事故事件管理规定(试行)》、《四川川港燃气有限责任公司事故事件管理办法》等相关规定，制定本办法。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所有事故事件都必须报告、进行调查和原因分析、制定纠正和预防措施、落实整改、跟踪验证、分享和统计分析。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第三条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本办法适用于公司各部室、基层单位。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第二章  管理职责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第四条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单位行政主要领导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（一）单位行政主要领导是本单位事故事件管理的第一责任人，负责提供事故事件管理资源，组织建立事故事件管理相关制度，并确保得到有效运行。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（二）根据事故事件管理权限，作为事故事件管理负责人或指定事故事件管理负责人代表。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（三）按相关规定组织上报事故事件。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color w:val="auto"/>
          <w:sz w:val="28"/>
          <w:szCs w:val="28"/>
          <w:highlight w:val="none"/>
        </w:rPr>
      </w:pPr>
      <w:bookmarkStart w:id="667" w:name="_Toc335914432"/>
      <w:r>
        <w:rPr>
          <w:rFonts w:hint="eastAsia" w:ascii="方正仿宋简体" w:hAnsi="方正仿宋简体" w:eastAsia="方正仿宋简体" w:cs="方正仿宋简体"/>
          <w:b/>
          <w:bCs/>
          <w:color w:val="auto"/>
          <w:sz w:val="28"/>
          <w:szCs w:val="28"/>
          <w:highlight w:val="none"/>
        </w:rPr>
        <w:t>第五条</w:t>
      </w:r>
      <w:r>
        <w:rPr>
          <w:rFonts w:hint="eastAsia" w:ascii="方正仿宋简体" w:hAnsi="方正仿宋简体" w:eastAsia="方正仿宋简体" w:cs="方正仿宋简体"/>
          <w:b/>
          <w:color w:val="auto"/>
          <w:sz w:val="28"/>
          <w:szCs w:val="28"/>
          <w:highlight w:val="none"/>
        </w:rPr>
        <w:t xml:space="preserve">  </w:t>
      </w:r>
      <w:bookmarkEnd w:id="667"/>
      <w:r>
        <w:rPr>
          <w:rFonts w:hint="eastAsia" w:ascii="方正仿宋简体" w:hAnsi="方正仿宋简体" w:eastAsia="方正仿宋简体" w:cs="方正仿宋简体"/>
          <w:color w:val="auto"/>
          <w:sz w:val="28"/>
          <w:szCs w:val="28"/>
          <w:highlight w:val="none"/>
        </w:rPr>
        <w:t>单位其他领导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（一）根据事故事件管理权限，负责分管业务范围内事故事件的内部调查和管理。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eastAsia="方正仿宋简体" w:cs="仿宋_GB2312"/>
          <w:color w:val="auto"/>
          <w:sz w:val="28"/>
          <w:szCs w:val="28"/>
          <w:highlight w:val="none"/>
        </w:rPr>
      </w:pPr>
      <w:r>
        <w:rPr>
          <w:rFonts w:hint="eastAsia" w:ascii="方正仿宋简体" w:hAnsi="方正仿宋简体" w:eastAsia="方正仿宋简体" w:cs="方正仿宋简体"/>
          <w:color w:val="auto"/>
          <w:sz w:val="28"/>
          <w:szCs w:val="28"/>
          <w:highlight w:val="none"/>
        </w:rPr>
        <w:t>（二）督促检查事故事件管理流程各环节的实施情况，督促指导分管</w:t>
      </w:r>
      <w:r>
        <w:rPr>
          <w:rFonts w:hint="eastAsia" w:ascii="方正仿宋简体" w:eastAsia="方正仿宋简体" w:cs="仿宋_GB2312"/>
          <w:color w:val="auto"/>
          <w:sz w:val="28"/>
          <w:szCs w:val="28"/>
          <w:highlight w:val="none"/>
        </w:rPr>
        <w:t>业务领域内下属单位的事故事件管理。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bookmarkStart w:id="668" w:name="_Toc335914433"/>
      <w:r>
        <w:rPr>
          <w:rFonts w:hint="eastAsia" w:ascii="方正仿宋简体" w:hAnsi="方正仿宋简体" w:eastAsia="方正仿宋简体" w:cs="方正仿宋简体"/>
          <w:b/>
          <w:bCs/>
          <w:color w:val="auto"/>
          <w:sz w:val="28"/>
          <w:szCs w:val="28"/>
          <w:highlight w:val="none"/>
        </w:rPr>
        <w:t>第六条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业务管理部门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（一）按管理权限开展业务范围内事故事件的调查分析。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（二）根据事故事件的原因分析，制订整改措施并组织实施。采取预防措施，防止类似事故重复发生。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（三）监督检查业务范围内事故事件整改措施落实情况，实行闭环管理。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（四）组织开展事故事件案例经验分享。</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第七条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安全环保管理部门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（一）组织事故事件管理制度、工具方法培训。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（二）按规定程序组织或参与事故事件的调查分析。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（三）组织或督促开展事故事件案例经验分享。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（四）按要求将事故事件信息录入HSE管理信息系统。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（五）跟踪事故事件整改措施完成情况。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（六）监督检查事故事件管理情况，提供事故事件分级、报告、调查分析等技术咨询。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（七）收集汇总各部门、基层单位上报的不安全行为和不安全状况卡资料并进行趋势分析。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（八）负责事故事件资料归档管理，建立事故事件管理台帐。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bookmarkStart w:id="669" w:name="_Toc335914435"/>
      <w:r>
        <w:rPr>
          <w:rFonts w:hint="eastAsia" w:ascii="方正仿宋简体" w:hAnsi="方正仿宋简体" w:eastAsia="方正仿宋简体" w:cs="方正仿宋简体"/>
          <w:b/>
          <w:bCs/>
          <w:color w:val="auto"/>
          <w:sz w:val="28"/>
          <w:szCs w:val="28"/>
          <w:highlight w:val="none"/>
        </w:rPr>
        <w:t>第八条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事故事件管理负责人</w:t>
      </w:r>
      <w:bookmarkEnd w:id="66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事故事件管理负责人根据事故分级和事件的风险等级类别确定，由单位主要领导或其指定的分管业务领导担任, 负责对事故事件进行管理直至关闭。</w:t>
      </w:r>
    </w:p>
    <w:p>
      <w:pPr>
        <w:spacing w:line="360" w:lineRule="auto"/>
        <w:ind w:firstLine="560" w:firstLineChars="200"/>
        <w:jc w:val="left"/>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（一）根据事故事件实际严重程度和潜在风险等级组成事故事件调查组。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 xml:space="preserve">（二）确保事故事件调查查明直接原因，间接原因和管理原因。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（三）审批事故事件调查报告／整改措施／实施计划，跟进计划直到计划落实完成。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（四）根据事故事件调查结果确定事故事件最终等级，包括：审核风险矩阵实际严重后果的事故事件等级和潜在风险等级。</w:t>
      </w:r>
    </w:p>
    <w:bookmarkEnd w:id="668"/>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bookmarkStart w:id="670" w:name="_Toc335914436"/>
      <w:r>
        <w:rPr>
          <w:rFonts w:hint="eastAsia" w:ascii="方正仿宋简体" w:hAnsi="方正仿宋简体" w:eastAsia="方正仿宋简体" w:cs="方正仿宋简体"/>
          <w:b/>
          <w:bCs/>
          <w:color w:val="auto"/>
          <w:sz w:val="28"/>
          <w:szCs w:val="28"/>
          <w:highlight w:val="none"/>
        </w:rPr>
        <w:t>第九条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员工</w:t>
      </w:r>
      <w:bookmarkEnd w:id="67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（一）当事故事件发生危及人身安全时，有紧急避险的权利。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（二）在确保安全的前提下,做好事故事件现场初期应急处置。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（三）按规定及时上报事故事件。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（四）事故事件发生后保护事故事件现场。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宋体" w:eastAsia="方正仿宋简体"/>
          <w:b w:val="0"/>
          <w:bCs w:val="0"/>
          <w:color w:val="auto"/>
          <w:sz w:val="30"/>
          <w:szCs w:val="30"/>
          <w:highlight w:val="none"/>
        </w:rPr>
      </w:pPr>
      <w:r>
        <w:rPr>
          <w:rFonts w:hint="eastAsia" w:ascii="方正黑体简体" w:hAnsi="华文中宋" w:eastAsia="方正黑体简体"/>
          <w:b w:val="0"/>
          <w:bCs w:val="0"/>
          <w:color w:val="auto"/>
          <w:sz w:val="30"/>
          <w:szCs w:val="30"/>
          <w:highlight w:val="none"/>
        </w:rPr>
        <w:t xml:space="preserve">第三章 </w:t>
      </w:r>
      <w:r>
        <w:rPr>
          <w:rFonts w:hint="eastAsia" w:ascii="方正黑体简体" w:hAnsi="华文中宋" w:eastAsia="方正黑体简体"/>
          <w:b w:val="0"/>
          <w:bCs w:val="0"/>
          <w:color w:val="auto"/>
          <w:sz w:val="30"/>
          <w:szCs w:val="30"/>
          <w:highlight w:val="none"/>
          <w:lang w:val="en-US" w:eastAsia="zh-CN"/>
        </w:rPr>
        <w:t xml:space="preserve"> </w:t>
      </w:r>
      <w:r>
        <w:rPr>
          <w:rFonts w:hint="eastAsia" w:ascii="方正黑体简体" w:hAnsi="华文中宋" w:eastAsia="方正黑体简体"/>
          <w:b w:val="0"/>
          <w:bCs w:val="0"/>
          <w:color w:val="auto"/>
          <w:sz w:val="30"/>
          <w:szCs w:val="30"/>
          <w:highlight w:val="none"/>
        </w:rPr>
        <w:t>事故事件的分类分级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事故分类为生产安全事故、环境事件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（一）生产安全事故分为工业生产安全事故,道路交通事故,火灾事故。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1、工业生产安全事故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工业生产安全事故是指在生产场所内从事生产经营活动中发生的造成企业员工和企业外人员人身伤亡、急性中毒或者直接经济损失的事故，不包括火灾事故和道路交通事故。工业生产安全事故可分为人员伤亡事故、生产事故、设备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（1）人员伤亡事故：指除火灾、交通事故以外，由于企业的设备和设施不安全、劳动条件和作业环境不良、管理不善及领导指派到企业外从事与本企业有关的活动所发生的人身伤害、急性中毒事故。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生产事故：由于违反操作规程、规定、操作卡，违章指挥、管理原因或其他外因造成停水、停电、停汽(气)、停风、停(减)产、跑料、串料、油气泄漏、化学危险品泄漏且无火灾、爆炸、没有人员伤亡、没有设备损坏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（3）设备事故：在生产过程中，造成机械器具、动力设备、电力通讯设施、仪器仪表、锅炉压力容器、管道及建(构)筑物损坏，但没有人员伤亡的事故。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2、道路交通事故是指公司车辆在道路上因过错或者意外造成的人身伤亡或者财产损失的事故。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火灾事故是指失去控制并对财物和人身造成损害的燃烧现象。以下情况也列入火灾统计范围：民用爆炸物品爆炸引起的火灾；易燃可燃液体、可燃气体、蒸气、粉尘以及其它化学易燃易爆物品爆炸和爆炸引起的火灾；机电设备因内部故障导致外部明火燃烧需要组织扑灭的事故，或者引起其它物件燃烧的事故；车辆以及其它交通工具发生的燃烧事故，或者由此引起的其它物件燃烧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（二）环境污染事件: 在生产作业过程中, 失去控制造成对土壤, 地表地下水,空气污染,严重性在一般环境事件（IV级）及以上的意外情况。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第十一条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事故分级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生产安全事故根据造成的人员伤亡或者直接经济损失,分为以下等级：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（一）特别重大事故，是指造成30人以上死亡，或者100人以上重伤（包括急性工业中毒，下同），或者1亿元以上直接经济损失的事故。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（二）重大事故，是指造成10人以上30人以下死亡，或者50人以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上100人以下重伤，或者5000万元以上1亿元以下直接经济损失的事故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（三）较大事故，是指造成3人以上10人以下死亡，或者10人以上50人以下重伤，或者1000万元以上5000万元以下直接经济损失的事故。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（四）一般事故，是指造成3人以下死亡，或者10人以下重伤，或者1000万元以下直接经济损失的事故。具体细分为三级：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1、一般事故A级，是指造成3人以下死亡，或者3人以上10人以下重伤，或者10人以上轻伤，或者100万元以上1000万元以下直接经济损失的事故。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eastAsia="方正仿宋简体" w:cs="仿宋_GB2312"/>
          <w:color w:val="auto"/>
          <w:sz w:val="28"/>
          <w:szCs w:val="28"/>
          <w:highlight w:val="none"/>
        </w:rPr>
        <w:t>2、一般事故B级，是指造成3人以下重伤，或者3人以上10人以下轻伤</w:t>
      </w:r>
      <w:r>
        <w:rPr>
          <w:rFonts w:hint="eastAsia" w:ascii="方正仿宋简体" w:hAnsi="方正仿宋简体" w:eastAsia="方正仿宋简体" w:cs="方正仿宋简体"/>
          <w:color w:val="auto"/>
          <w:sz w:val="28"/>
          <w:szCs w:val="28"/>
          <w:highlight w:val="none"/>
        </w:rPr>
        <w:t>，或者10万元以上100万元以下直接经济损失的事故。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3、一般事故C级，是指造成3人以下轻伤，或者10万元以下1万元以上直接经济损失的事故。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本条款所称的“以上”包括本数，所称的“以下”不包括本数。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环境污染事件分级按《西南油气田西南油气田公司环境保护管理规定》执行。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第十二条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事件分类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（一）工业生产安全事件：在生产场所内从事生产经营活动中发生的造成人员轻伤以下或直接经济损失小于1万元的情况；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（二）道路交通事件：企业车辆在道路上因过错或者意外造成人员轻伤以下或直接经济损失小于1万元的情况；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hAnsi="方正仿宋简体" w:eastAsia="方正仿宋简体" w:cs="方正仿宋简体"/>
          <w:color w:val="auto"/>
          <w:sz w:val="28"/>
          <w:szCs w:val="28"/>
          <w:highlight w:val="none"/>
        </w:rPr>
        <w:t>（三）火灾事件：在企业生产、办公以及生产辅助场所发生的意外燃烧或燃爆事件，造成人员轻伤以下或</w:t>
      </w:r>
      <w:r>
        <w:rPr>
          <w:rFonts w:hint="eastAsia" w:ascii="方正仿宋简体" w:eastAsia="方正仿宋简体" w:cs="仿宋_GB2312"/>
          <w:color w:val="auto"/>
          <w:sz w:val="28"/>
          <w:szCs w:val="28"/>
          <w:highlight w:val="none"/>
        </w:rPr>
        <w:t>直接经济损失小于1万元的情况；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（四）其他事件：上述三类事件以外的，造成人员轻伤以下或直接经济损失小于1万元的情况。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第十三条</w:t>
      </w:r>
      <w:r>
        <w:rPr>
          <w:rFonts w:hint="eastAsia" w:ascii="方正仿宋简体" w:eastAsia="方正仿宋简体" w:cs="仿宋_GB2312"/>
          <w:b/>
          <w:color w:val="auto"/>
          <w:sz w:val="28"/>
          <w:szCs w:val="28"/>
          <w:highlight w:val="none"/>
        </w:rPr>
        <w:t xml:space="preserve"> </w:t>
      </w:r>
      <w:r>
        <w:rPr>
          <w:rFonts w:hint="eastAsia" w:ascii="方正仿宋简体" w:eastAsia="方正仿宋简体" w:cs="仿宋_GB2312"/>
          <w:b/>
          <w:color w:val="auto"/>
          <w:sz w:val="28"/>
          <w:szCs w:val="28"/>
          <w:highlight w:val="none"/>
          <w:lang w:val="en-US" w:eastAsia="zh-CN"/>
        </w:rPr>
        <w:t xml:space="preserve"> </w:t>
      </w:r>
      <w:r>
        <w:rPr>
          <w:rFonts w:hint="eastAsia" w:ascii="方正仿宋简体" w:eastAsia="方正仿宋简体" w:cs="仿宋_GB2312"/>
          <w:color w:val="auto"/>
          <w:sz w:val="28"/>
          <w:szCs w:val="28"/>
          <w:highlight w:val="none"/>
        </w:rPr>
        <w:t>事件分级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（一）限工事件：人员受伤后下一工作日仍能工作，但不能在整个班次完成所在岗位全部工作，或临时转岗后能在整个班次完成所转岗位全部工作的情况。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（二）医疗事件：人员受伤需要专业医护人员进行治疗，且不影响下一班次工作的情况。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（三）急救箱事件：人员受伤仅需一般性处理，不需要专业医护人员进行治疗，且不影响下一班次工作的情况。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（四）经济损失事件：在企业生产活动中发生，没有造成人员伤害，但导致直接经济损失小于1万元的情况。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（五）未遂事件：已经发生但没有造成人员伤害或直接经济损失的情况。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（六）不安全行为和不安全状况，不安全行为指违反安全条例或与预期行为相背的行为,会增加受伤机率；不安全状况指直接/间接由于员工的行动或不作为所造成，并可能导致事故事件发生的情况。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宋体" w:eastAsia="方正仿宋简体"/>
          <w:b/>
          <w:color w:val="auto"/>
          <w:sz w:val="32"/>
          <w:szCs w:val="32"/>
          <w:highlight w:val="none"/>
        </w:rPr>
      </w:pPr>
      <w:r>
        <w:rPr>
          <w:rFonts w:hint="eastAsia" w:ascii="方正黑体简体" w:hAnsi="华文中宋" w:eastAsia="方正黑体简体"/>
          <w:b w:val="0"/>
          <w:bCs w:val="0"/>
          <w:color w:val="auto"/>
          <w:sz w:val="30"/>
          <w:szCs w:val="30"/>
          <w:highlight w:val="none"/>
        </w:rPr>
        <w:t xml:space="preserve">第四章 </w:t>
      </w:r>
      <w:r>
        <w:rPr>
          <w:rFonts w:hint="eastAsia" w:ascii="方正黑体简体" w:hAnsi="华文中宋" w:eastAsia="方正黑体简体"/>
          <w:b w:val="0"/>
          <w:bCs w:val="0"/>
          <w:color w:val="auto"/>
          <w:sz w:val="30"/>
          <w:szCs w:val="30"/>
          <w:highlight w:val="none"/>
          <w:lang w:val="en-US" w:eastAsia="zh-CN"/>
        </w:rPr>
        <w:t xml:space="preserve"> </w:t>
      </w:r>
      <w:r>
        <w:rPr>
          <w:rFonts w:hint="eastAsia" w:ascii="方正黑体简体" w:hAnsi="华文中宋" w:eastAsia="方正黑体简体"/>
          <w:b w:val="0"/>
          <w:bCs w:val="0"/>
          <w:color w:val="auto"/>
          <w:sz w:val="30"/>
          <w:szCs w:val="30"/>
          <w:highlight w:val="none"/>
        </w:rPr>
        <w:t>事故事件的管理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i w:val="0"/>
          <w:iCs w:val="0"/>
          <w:color w:val="auto"/>
          <w:sz w:val="28"/>
          <w:szCs w:val="28"/>
          <w:highlight w:val="none"/>
        </w:rPr>
        <w:t>第十四条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事故事件管理流程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事故或事件发生后,按照报告-调查安排(调查级别,调查组构成的确定)-调查(证据收集)-原因分析-制定纠正及预防措施-措施的实施与跟踪－事故事件分享－关闭确认进行过程管理。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第十五条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事故事件的报告管理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(一)不安全行为和不安全状况的报告与管理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任何公司员工、承包商员工、访问人员观察到任何不安全行为和不安全状况后，应与相应的人员(作业人员，现场管理人员等)进行沟通交流，甚至叫停不安全行为者的工作,使用《不安全行为不安全状况报告卡》（附件1）进行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属地主管每日收集属地内员工填报的《西南油气田分公司不安全行为/状况报告卡》并通过邮件、传真或电话告知等方式，按照业务范围（生产类、管道类、其他安全类）分别报至生产</w:t>
      </w:r>
      <w:r>
        <w:rPr>
          <w:rFonts w:hint="eastAsia" w:ascii="方正仿宋简体" w:eastAsia="方正仿宋简体" w:cs="仿宋_GB2312"/>
          <w:color w:val="auto"/>
          <w:sz w:val="28"/>
          <w:szCs w:val="28"/>
          <w:highlight w:val="none"/>
          <w:lang w:val="en-US" w:eastAsia="zh-CN"/>
        </w:rPr>
        <w:t>运行部</w:t>
      </w:r>
      <w:r>
        <w:rPr>
          <w:rFonts w:hint="eastAsia" w:ascii="方正仿宋简体" w:eastAsia="方正仿宋简体" w:cs="仿宋_GB2312"/>
          <w:color w:val="auto"/>
          <w:sz w:val="28"/>
          <w:szCs w:val="28"/>
          <w:highlight w:val="none"/>
        </w:rPr>
        <w:t>、</w:t>
      </w:r>
      <w:r>
        <w:rPr>
          <w:rFonts w:hint="eastAsia" w:ascii="方正仿宋简体" w:eastAsia="方正仿宋简体" w:cs="仿宋_GB2312"/>
          <w:color w:val="auto"/>
          <w:sz w:val="28"/>
          <w:szCs w:val="28"/>
          <w:highlight w:val="none"/>
          <w:lang w:val="en-US" w:eastAsia="zh-CN"/>
        </w:rPr>
        <w:t>管道管理部</w:t>
      </w:r>
      <w:r>
        <w:rPr>
          <w:rFonts w:hint="eastAsia" w:ascii="方正仿宋简体" w:eastAsia="方正仿宋简体" w:cs="仿宋_GB2312"/>
          <w:color w:val="auto"/>
          <w:sz w:val="28"/>
          <w:szCs w:val="28"/>
          <w:highlight w:val="none"/>
        </w:rPr>
        <w:t>、</w:t>
      </w:r>
      <w:r>
        <w:rPr>
          <w:rFonts w:hint="eastAsia" w:ascii="方正仿宋简体" w:eastAsia="方正仿宋简体" w:cs="仿宋_GB2312"/>
          <w:color w:val="auto"/>
          <w:sz w:val="28"/>
          <w:szCs w:val="28"/>
          <w:highlight w:val="none"/>
          <w:lang w:val="en-US" w:eastAsia="zh-CN"/>
        </w:rPr>
        <w:t>质量安全环保</w:t>
      </w:r>
      <w:r>
        <w:rPr>
          <w:rFonts w:hint="eastAsia" w:ascii="方正仿宋简体" w:eastAsia="方正仿宋简体" w:cs="仿宋_GB2312"/>
          <w:color w:val="auto"/>
          <w:sz w:val="28"/>
          <w:szCs w:val="28"/>
          <w:highlight w:val="none"/>
        </w:rPr>
        <w:t>部汇总。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lang w:val="en-US" w:eastAsia="zh-CN"/>
        </w:rPr>
        <w:t>生</w:t>
      </w:r>
      <w:r>
        <w:rPr>
          <w:rFonts w:hint="eastAsia" w:ascii="方正仿宋简体" w:eastAsia="方正仿宋简体" w:cs="仿宋_GB2312"/>
          <w:color w:val="auto"/>
          <w:sz w:val="28"/>
          <w:szCs w:val="28"/>
          <w:highlight w:val="none"/>
        </w:rPr>
        <w:t>产</w:t>
      </w:r>
      <w:r>
        <w:rPr>
          <w:rFonts w:hint="eastAsia" w:ascii="方正仿宋简体" w:eastAsia="方正仿宋简体" w:cs="仿宋_GB2312"/>
          <w:color w:val="auto"/>
          <w:sz w:val="28"/>
          <w:szCs w:val="28"/>
          <w:highlight w:val="none"/>
          <w:lang w:val="en-US" w:eastAsia="zh-CN"/>
        </w:rPr>
        <w:t>运行部</w:t>
      </w:r>
      <w:r>
        <w:rPr>
          <w:rFonts w:hint="eastAsia" w:ascii="方正仿宋简体" w:eastAsia="方正仿宋简体" w:cs="仿宋_GB2312"/>
          <w:color w:val="auto"/>
          <w:sz w:val="28"/>
          <w:szCs w:val="28"/>
          <w:highlight w:val="none"/>
        </w:rPr>
        <w:t>、</w:t>
      </w:r>
      <w:r>
        <w:rPr>
          <w:rFonts w:hint="eastAsia" w:ascii="方正仿宋简体" w:eastAsia="方正仿宋简体" w:cs="仿宋_GB2312"/>
          <w:color w:val="auto"/>
          <w:sz w:val="28"/>
          <w:szCs w:val="28"/>
          <w:highlight w:val="none"/>
          <w:lang w:val="en-US" w:eastAsia="zh-CN"/>
        </w:rPr>
        <w:t>管道管理部</w:t>
      </w:r>
      <w:r>
        <w:rPr>
          <w:rFonts w:hint="eastAsia" w:ascii="方正仿宋简体" w:eastAsia="方正仿宋简体" w:cs="仿宋_GB2312"/>
          <w:color w:val="auto"/>
          <w:sz w:val="28"/>
          <w:szCs w:val="28"/>
          <w:highlight w:val="none"/>
        </w:rPr>
        <w:t>、</w:t>
      </w:r>
      <w:r>
        <w:rPr>
          <w:rFonts w:hint="eastAsia" w:ascii="方正仿宋简体" w:eastAsia="方正仿宋简体" w:cs="仿宋_GB2312"/>
          <w:color w:val="auto"/>
          <w:sz w:val="28"/>
          <w:szCs w:val="28"/>
          <w:highlight w:val="none"/>
          <w:lang w:val="en-US" w:eastAsia="zh-CN"/>
        </w:rPr>
        <w:t>质量安全环保</w:t>
      </w:r>
      <w:r>
        <w:rPr>
          <w:rFonts w:hint="eastAsia" w:ascii="方正仿宋简体" w:eastAsia="方正仿宋简体" w:cs="仿宋_GB2312"/>
          <w:color w:val="auto"/>
          <w:sz w:val="28"/>
          <w:szCs w:val="28"/>
          <w:highlight w:val="none"/>
        </w:rPr>
        <w:t>部对收集的不安全行为和不安全状况，填写《不安全行为不安全状况报告汇总表》（附件2），在生产例会上对汇总情况进行通报,并提出整改措施,落实负责人,整改期限，并定期以填写《不安全行为和不安全状况反馈确认单》（附件3）的形式将整改情况反馈给卡片提交人；对潜在后果风险达到风险矩阵级别３以上或认为有必要的,应按事件进行管理,查明原因并针对性地拟定纠正和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lang w:val="en-US" w:eastAsia="zh-CN"/>
        </w:rPr>
        <w:t>质量安全环保</w:t>
      </w:r>
      <w:r>
        <w:rPr>
          <w:rFonts w:hint="eastAsia" w:ascii="方正仿宋简体" w:eastAsia="方正仿宋简体" w:cs="仿宋_GB2312"/>
          <w:color w:val="auto"/>
          <w:sz w:val="28"/>
          <w:szCs w:val="28"/>
          <w:highlight w:val="none"/>
        </w:rPr>
        <w:t>部每周跟踪完成情况并通报，每月进行汇总统计分析,找出突出项作为下步管理工作的重点，制订并实施改进措施，每月上报四川川港燃气有限责任公司（以下简称川港公司）质量安全环保部门。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（二）事件的报告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1、任何公司员工、承包商员工、访问人员发现事件应在不迟于当日下班前向属地主管口头或书面报告。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2、属地主管应及时处置 (包括按照应急处置程序的应急处理),按照《事件报告表》（附件</w:t>
      </w:r>
      <w:r>
        <w:rPr>
          <w:rFonts w:ascii="方正仿宋简体" w:eastAsia="方正仿宋简体" w:cs="仿宋_GB2312"/>
          <w:color w:val="auto"/>
          <w:sz w:val="28"/>
          <w:szCs w:val="28"/>
          <w:highlight w:val="none"/>
        </w:rPr>
        <w:t>4</w:t>
      </w:r>
      <w:r>
        <w:rPr>
          <w:rFonts w:hint="eastAsia" w:ascii="方正仿宋简体" w:eastAsia="方正仿宋简体" w:cs="仿宋_GB2312"/>
          <w:color w:val="auto"/>
          <w:sz w:val="28"/>
          <w:szCs w:val="28"/>
          <w:highlight w:val="none"/>
        </w:rPr>
        <w:t>）和《生产安全事件报告分析单》（附件5）于24小时内同时上报业务管理部门和</w:t>
      </w:r>
      <w:r>
        <w:rPr>
          <w:rFonts w:hint="eastAsia" w:ascii="方正仿宋简体" w:eastAsia="方正仿宋简体" w:cs="仿宋_GB2312"/>
          <w:color w:val="auto"/>
          <w:sz w:val="28"/>
          <w:szCs w:val="28"/>
          <w:highlight w:val="none"/>
          <w:lang w:val="en-US" w:eastAsia="zh-CN"/>
        </w:rPr>
        <w:t>质量安全环保</w:t>
      </w:r>
      <w:r>
        <w:rPr>
          <w:rFonts w:hint="eastAsia" w:ascii="方正仿宋简体" w:eastAsia="方正仿宋简体" w:cs="仿宋_GB2312"/>
          <w:color w:val="auto"/>
          <w:sz w:val="28"/>
          <w:szCs w:val="28"/>
          <w:highlight w:val="none"/>
        </w:rPr>
        <w:t>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（三）事故的报告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1、事故发生后，事故现场有关人员应当立即向公司负责人报告；公司负责人应当立即向川港公司安全及有关部门报告。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2、情况紧急时，事故现场有关人员有权直接向西南油气田公司质量安全环保处及有关部门报告。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3、对承包商发生的生产安全事故,应按上述款规定报告。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发生事故，公司以《事故快报表》（附件6）形式上报上级单位。情况特别紧急时，可用电话初报，随后书面报告。事故情况发生变化的，应当及时续报。自事故发生之日起30日内，事故造成的伤亡人数发生变化的，应当及时补报。道路交通事故、火灾事故自发生之日起7日内，事故造成的伤亡人数发生变化的，应当及时补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（四）信息通报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发生事故后，事故的信息披露按照《西南油气田分公司重要信息报告制度》执行。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第十六条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事故应急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事故发生后，现场和公司应当立即启动相应的应急处置程序和应急预案，组织抢救，防止事态扩大，减少人员伤亡和财产损失。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公司主要领导、业务分管领导、分管安全工作领导和相关职能部门负责人，应当按照以下规定立即赶赴事故现场，组织抢险救援，不得擅离职守。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（一）发生事故时，公司主要领导、业务分管领导、分管安全工作领导和相关职能部门负责人应当赶赴事故现场。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（二）应急过程中, 因抢救人员、防止事故扩大以及疏通交通等原因，需要移动事故现场物件的，应当拍照做出标志、绘出现场简图并做出书面记录，妥善保存现场重要痕迹、物证。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第十七条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事故事件的调查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（一）事故调查分级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1．事故发生后,公司应当积极配合政府和其授权或委托有关部门组织的事故调查组进行事故调查。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2．一般A级及以上事故的调查,按照国家法律法规和集团公司的规定进行，一般事故B级、C级，由西南油气田公司或委托公司进行调查。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3．事故调查组成员应当由安全、生产、人力资源、党群等有关职能部门人员组成。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（二）事件调查分级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事件的调查，根据评估的实际和潜在严重性级别确定调查级别，由公司进行全面调查或简要调查。填写《全面调查表》或《简要调查表》（附件</w:t>
      </w:r>
      <w:r>
        <w:rPr>
          <w:rFonts w:ascii="方正仿宋简体" w:eastAsia="方正仿宋简体" w:cs="仿宋_GB2312"/>
          <w:color w:val="auto"/>
          <w:sz w:val="28"/>
          <w:szCs w:val="28"/>
          <w:highlight w:val="none"/>
        </w:rPr>
        <w:t>7</w:t>
      </w:r>
      <w:r>
        <w:rPr>
          <w:rFonts w:hint="eastAsia" w:ascii="方正仿宋简体" w:eastAsia="方正仿宋简体" w:cs="仿宋_GB2312"/>
          <w:color w:val="auto"/>
          <w:sz w:val="28"/>
          <w:szCs w:val="28"/>
          <w:highlight w:val="none"/>
        </w:rPr>
        <w:t>、</w:t>
      </w:r>
      <w:r>
        <w:rPr>
          <w:rFonts w:ascii="方正仿宋简体" w:eastAsia="方正仿宋简体" w:cs="仿宋_GB2312"/>
          <w:color w:val="auto"/>
          <w:sz w:val="28"/>
          <w:szCs w:val="28"/>
          <w:highlight w:val="none"/>
        </w:rPr>
        <w:t>8</w:t>
      </w:r>
      <w:r>
        <w:rPr>
          <w:rFonts w:hint="eastAsia" w:ascii="方正仿宋简体" w:eastAsia="方正仿宋简体"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（三）事故事件的调查分析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事故事件的调查根据《风险评估矩阵》（附件</w:t>
      </w:r>
      <w:r>
        <w:rPr>
          <w:rFonts w:ascii="方正仿宋简体" w:eastAsia="方正仿宋简体" w:cs="仿宋_GB2312"/>
          <w:color w:val="auto"/>
          <w:sz w:val="28"/>
          <w:szCs w:val="28"/>
          <w:highlight w:val="none"/>
        </w:rPr>
        <w:t>9</w:t>
      </w:r>
      <w:r>
        <w:rPr>
          <w:rFonts w:hint="eastAsia" w:ascii="方正仿宋简体" w:eastAsia="方正仿宋简体" w:cs="仿宋_GB2312"/>
          <w:color w:val="auto"/>
          <w:sz w:val="28"/>
          <w:szCs w:val="28"/>
          <w:highlight w:val="none"/>
        </w:rPr>
        <w:t>）评估的实际后果和潜在后果的严重性级别确定进行全面或简要调查,按照《西南油气田分公司事故事件调查和原因分析指南》（附件</w:t>
      </w:r>
      <w:r>
        <w:rPr>
          <w:rFonts w:ascii="方正仿宋简体" w:eastAsia="方正仿宋简体" w:cs="仿宋_GB2312"/>
          <w:color w:val="auto"/>
          <w:sz w:val="28"/>
          <w:szCs w:val="28"/>
          <w:highlight w:val="none"/>
        </w:rPr>
        <w:t>10</w:t>
      </w:r>
      <w:r>
        <w:rPr>
          <w:rFonts w:hint="eastAsia" w:ascii="方正仿宋简体" w:eastAsia="方正仿宋简体" w:cs="仿宋_GB2312"/>
          <w:color w:val="auto"/>
          <w:sz w:val="28"/>
          <w:szCs w:val="28"/>
          <w:highlight w:val="none"/>
        </w:rPr>
        <w:t>）执行。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1</w:t>
      </w:r>
      <w:r>
        <w:rPr>
          <w:rFonts w:hint="eastAsia" w:ascii="方正仿宋简体" w:eastAsia="方正仿宋简体" w:cs="仿宋_GB2312"/>
          <w:color w:val="auto"/>
          <w:sz w:val="28"/>
          <w:szCs w:val="28"/>
          <w:highlight w:val="none"/>
          <w:lang w:val="en-US" w:eastAsia="zh-CN"/>
        </w:rPr>
        <w:t>.</w:t>
      </w:r>
      <w:r>
        <w:rPr>
          <w:rFonts w:hint="eastAsia" w:ascii="方正仿宋简体" w:eastAsia="方正仿宋简体" w:cs="仿宋_GB2312"/>
          <w:color w:val="auto"/>
          <w:sz w:val="28"/>
          <w:szCs w:val="28"/>
          <w:highlight w:val="none"/>
        </w:rPr>
        <w:t>实际严重级别为4级及以上的配合西南油气田公司组织内部全面调查。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2</w:t>
      </w:r>
      <w:r>
        <w:rPr>
          <w:rFonts w:hint="eastAsia" w:ascii="方正仿宋简体" w:eastAsia="方正仿宋简体" w:cs="仿宋_GB2312"/>
          <w:color w:val="auto"/>
          <w:sz w:val="28"/>
          <w:szCs w:val="28"/>
          <w:highlight w:val="none"/>
          <w:lang w:val="en-US" w:eastAsia="zh-CN"/>
        </w:rPr>
        <w:t>.</w:t>
      </w:r>
      <w:r>
        <w:rPr>
          <w:rFonts w:hint="eastAsia" w:ascii="方正仿宋简体" w:eastAsia="方正仿宋简体" w:cs="仿宋_GB2312"/>
          <w:color w:val="auto"/>
          <w:sz w:val="28"/>
          <w:szCs w:val="28"/>
          <w:highlight w:val="none"/>
        </w:rPr>
        <w:t>实际严重程度为3级或潜在严重级别为3E,4D,4E,5C,5D，5E由川港公司组织全面调查，如上级认为有必要，可以升级为西南油气田公司进行全面调查。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3</w:t>
      </w:r>
      <w:r>
        <w:rPr>
          <w:rFonts w:hint="eastAsia" w:ascii="方正仿宋简体" w:eastAsia="方正仿宋简体" w:cs="仿宋_GB2312"/>
          <w:color w:val="auto"/>
          <w:sz w:val="28"/>
          <w:szCs w:val="28"/>
          <w:highlight w:val="none"/>
          <w:lang w:val="en-US" w:eastAsia="zh-CN"/>
        </w:rPr>
        <w:t>.</w:t>
      </w:r>
      <w:r>
        <w:rPr>
          <w:rFonts w:hint="eastAsia" w:ascii="方正仿宋简体" w:eastAsia="方正仿宋简体" w:cs="仿宋_GB2312"/>
          <w:color w:val="auto"/>
          <w:sz w:val="28"/>
          <w:szCs w:val="28"/>
          <w:highlight w:val="none"/>
        </w:rPr>
        <w:t>实际严重级别为2级或潜在严重级别为2D,2E,3C,3D,4B,4C,5A,5B，由公司进行简要调查，如川港公司认为有必要，也可升级为川港公司组织全面调查。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第十八条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eastAsia="方正仿宋简体" w:cs="仿宋_GB2312"/>
          <w:b/>
          <w:color w:val="auto"/>
          <w:sz w:val="28"/>
          <w:szCs w:val="28"/>
          <w:highlight w:val="none"/>
        </w:rPr>
        <w:t xml:space="preserve"> </w:t>
      </w:r>
      <w:r>
        <w:rPr>
          <w:rFonts w:hint="eastAsia" w:ascii="方正仿宋简体" w:eastAsia="方正仿宋简体" w:cs="仿宋_GB2312"/>
          <w:color w:val="auto"/>
          <w:sz w:val="28"/>
          <w:szCs w:val="28"/>
          <w:highlight w:val="none"/>
        </w:rPr>
        <w:t>纠正及预防措施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s="仿宋_GB2312"/>
          <w:color w:val="auto"/>
          <w:sz w:val="28"/>
          <w:szCs w:val="28"/>
          <w:highlight w:val="none"/>
        </w:rPr>
      </w:pPr>
      <w:r>
        <w:rPr>
          <w:rFonts w:hint="eastAsia" w:ascii="方正仿宋简体" w:eastAsia="方正仿宋简体" w:cs="仿宋_GB2312"/>
          <w:color w:val="auto"/>
          <w:sz w:val="28"/>
          <w:szCs w:val="28"/>
          <w:highlight w:val="none"/>
        </w:rPr>
        <w:t>根据事故事件调查分析出的直接原因，间接原因和管理原因，制定相应的纠正和预防措施，落实责任人和完成时间，以防止类似事故事件的再次发生；纠正和预防措施要具体、量化、可行、具有可操作性。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第十九条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事故事件调查报告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（一）事故调查报告应当包括下列内容：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１</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事故发生单位概况。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２</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事故发生经过和事故救援情况。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３</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事故造成的人员伤亡和直接经济损失。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４</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事故发生的原因和事故性质。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５</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事故责任的认定以及对事故责任者的处理建议。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６</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事故纠正和预防措施。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（二）事件调查报告分全面调查报告和简要调查报告，主要内容包括：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 xml:space="preserve">事件发生背景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事件经过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原因分析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纠正和预防措施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（三）调查报告内容要满足“全面、客观、清楚、简练、确凿、无误”的要求。事故事件调查报告应附相关证据材料，调查人员在报告上签名。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事故事件调查时间要求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事故调查组应当自事故发生之日起60日内提交事故调查报告；特殊情况下，经批准，期限可以适当延长，但增加的期限最长不超过60日。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事件简要调查于15日内完成，全面调查于30日内完成，并形成报告。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第二十一条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跟踪验证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w:t>
      </w:r>
      <w:r>
        <w:rPr>
          <w:rFonts w:hint="eastAsia" w:ascii="方正仿宋简体" w:hAnsi="方正仿宋简体" w:eastAsia="方正仿宋简体" w:cs="方正仿宋简体"/>
          <w:color w:val="auto"/>
          <w:sz w:val="28"/>
          <w:szCs w:val="28"/>
          <w:highlight w:val="none"/>
          <w:lang w:val="en-US" w:eastAsia="zh-CN"/>
        </w:rPr>
        <w:t>生产运行部</w:t>
      </w:r>
      <w:r>
        <w:rPr>
          <w:rFonts w:hint="eastAsia" w:ascii="方正仿宋简体" w:hAnsi="方正仿宋简体" w:eastAsia="方正仿宋简体" w:cs="方正仿宋简体"/>
          <w:color w:val="auto"/>
          <w:sz w:val="28"/>
          <w:szCs w:val="28"/>
          <w:highlight w:val="none"/>
        </w:rPr>
        <w:t>、管道</w:t>
      </w:r>
      <w:r>
        <w:rPr>
          <w:rFonts w:hint="eastAsia" w:ascii="方正仿宋简体" w:hAnsi="方正仿宋简体" w:eastAsia="方正仿宋简体" w:cs="方正仿宋简体"/>
          <w:color w:val="auto"/>
          <w:sz w:val="28"/>
          <w:szCs w:val="28"/>
          <w:highlight w:val="none"/>
          <w:lang w:val="en-US" w:eastAsia="zh-CN"/>
        </w:rPr>
        <w:t>管理</w:t>
      </w:r>
      <w:r>
        <w:rPr>
          <w:rFonts w:hint="eastAsia" w:ascii="方正仿宋简体" w:hAnsi="方正仿宋简体" w:eastAsia="方正仿宋简体" w:cs="方正仿宋简体"/>
          <w:color w:val="auto"/>
          <w:sz w:val="28"/>
          <w:szCs w:val="28"/>
          <w:highlight w:val="none"/>
        </w:rPr>
        <w:t>部、</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对纠正和预防措施落实情况进行督促和验证，建立《事故事件整改措施追踪记录表》（附件11），并在HSE委员（扩大）会议上通报。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对纠正和预防措施落实情况进行督促和跟踪，在</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委员（扩大）会议上通报。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第二十二条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事故事件通报分享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（一）公司事故事件分享。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事件调查分析后在公司内分享。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对一些有典型教育意义的事故事件，也可在公司内分享。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事故事件的分享应保存相关记录或证据。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第二十三条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事故事件统计与趋势分析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公司每季度对事故事件进行统计与趋势分析，并在HSE管理委员会或安全生产会上通报。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第二十四条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执行情况审核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本管理办法的执行情况纳入</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管理体系审核，确保本办法得到有效实施。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w:t>
      </w:r>
      <w:r>
        <w:rPr>
          <w:rFonts w:hint="eastAsia" w:ascii="方正仿宋简体" w:hAnsi="方正仿宋简体" w:eastAsia="方正仿宋简体" w:cs="方正仿宋简体"/>
          <w:b/>
          <w:bCs/>
          <w:color w:val="auto"/>
          <w:sz w:val="28"/>
          <w:szCs w:val="28"/>
          <w:highlight w:val="none"/>
        </w:rPr>
        <w:t>二十五条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事故事件的资料管理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经调查的事故事件，应建立档案或资料，并有效保存。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（一）事件资料由</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保存，并提交川港公司质量安全环保部备案。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（二）一般事故C级事故档案，由川港公司质量安全环保部建立、保存。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（三）一般事故B级及以上事故档案按西南油气田公司要求进行。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（四）事故资料永久保存，事件资料保存期5年。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（五）事故事件发生后，</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将事故事件信息在5个工作日内录入到HSE管理信息系统，对需要后续整改的问题在整改完成工作后及时在系统中补充完善。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第二十六条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（一）公司员工都必须接受事故事件管理知识的培训。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（二）事故事件调查人员必须经过培训,考核合格, 授予资格。公司事故事件调查人员由川港公司安排。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第二十七条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在公司机关观察到的不安全行为不安全状况和发生的事故事件，报告至</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，按本制度流程管理。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宋体" w:eastAsia="方正仿宋简体"/>
          <w:b/>
          <w:color w:val="auto"/>
          <w:sz w:val="32"/>
          <w:szCs w:val="32"/>
          <w:highlight w:val="none"/>
        </w:rPr>
      </w:pPr>
      <w:r>
        <w:rPr>
          <w:rFonts w:hint="eastAsia" w:ascii="方正黑体简体" w:hAnsi="华文中宋" w:eastAsia="方正黑体简体"/>
          <w:color w:val="auto"/>
          <w:sz w:val="30"/>
          <w:szCs w:val="30"/>
          <w:highlight w:val="none"/>
        </w:rPr>
        <w:t>第五章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第二十八条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本规定由公司</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第二十九条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本办法自发布之日起施行。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附件：1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不安全行为不安全状况报告卡</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不安全行为不安全状况报告汇总表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不安全行为和不安全状况反馈信息确认单</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事件报告表</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生产安全事件报告分析单</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事故快报</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全面调查表</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简要调查表</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bookmarkStart w:id="671" w:name="_Toc335914447"/>
      <w:r>
        <w:rPr>
          <w:rFonts w:hint="eastAsia" w:ascii="方正仿宋简体" w:hAnsi="方正仿宋简体" w:eastAsia="方正仿宋简体" w:cs="方正仿宋简体"/>
          <w:color w:val="auto"/>
          <w:sz w:val="28"/>
          <w:szCs w:val="28"/>
          <w:highlight w:val="none"/>
        </w:rPr>
        <w:t>9</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风险评估矩阵</w:t>
      </w:r>
      <w:bookmarkEnd w:id="671"/>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10</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西南油气田分公司事故事件调查及原因分析指南</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事故事件整改措施追踪记录表</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事故调查报告（格式）</w:t>
      </w:r>
    </w:p>
    <w:p>
      <w:pPr>
        <w:keepNext w:val="0"/>
        <w:keepLines w:val="0"/>
        <w:pageBreakBefore w:val="0"/>
        <w:widowControl w:val="0"/>
        <w:kinsoku/>
        <w:wordWrap/>
        <w:overflowPunct/>
        <w:topLinePunct w:val="0"/>
        <w:autoSpaceDE/>
        <w:autoSpaceDN/>
        <w:bidi w:val="0"/>
        <w:adjustRightInd/>
        <w:snapToGrid/>
        <w:spacing w:line="560" w:lineRule="exact"/>
        <w:ind w:firstLine="1388" w:firstLineChars="496"/>
        <w:jc w:val="left"/>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事故事件管理制度执行情况审核检查表</w:t>
      </w: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672" w:name="_Toc2632"/>
      <w:bookmarkStart w:id="673" w:name="_Toc5927"/>
      <w:bookmarkStart w:id="674" w:name="_Toc344"/>
      <w:bookmarkStart w:id="675" w:name="_Toc1574"/>
      <w:bookmarkStart w:id="676" w:name="_Toc17130"/>
      <w:bookmarkStart w:id="677" w:name="_Toc16900"/>
      <w:bookmarkStart w:id="678" w:name="_Toc11288"/>
      <w:bookmarkStart w:id="679" w:name="_Toc15501"/>
      <w:bookmarkStart w:id="680" w:name="_Toc11095"/>
      <w:bookmarkStart w:id="681" w:name="_Toc20999"/>
      <w:bookmarkStart w:id="682" w:name="_Toc7255"/>
      <w:bookmarkStart w:id="683" w:name="_Toc19465"/>
      <w:bookmarkStart w:id="684" w:name="_Toc23790"/>
      <w:bookmarkStart w:id="685" w:name="_Toc20984"/>
      <w:bookmarkStart w:id="686" w:name="_Toc8284"/>
      <w:bookmarkStart w:id="687" w:name="_Toc8135"/>
      <w:bookmarkStart w:id="688" w:name="_Toc31552"/>
      <w:bookmarkStart w:id="689" w:name="_Toc9090"/>
      <w:bookmarkStart w:id="690" w:name="_Toc2876"/>
      <w:r>
        <w:rPr>
          <w:rFonts w:hint="eastAsia" w:ascii="方正小标宋简体" w:eastAsia="方正小标宋简体"/>
          <w:b w:val="0"/>
          <w:bCs w:val="0"/>
          <w:color w:val="auto"/>
          <w:sz w:val="36"/>
          <w:szCs w:val="36"/>
          <w:highlight w:val="none"/>
        </w:rPr>
        <w:t>中油南充燃气有限责任公司节能节水管理办法</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keepNext w:val="0"/>
        <w:keepLines w:val="0"/>
        <w:pageBreakBefore w:val="0"/>
        <w:widowControl w:val="0"/>
        <w:kinsoku/>
        <w:wordWrap/>
        <w:overflowPunct/>
        <w:topLinePunct w:val="0"/>
        <w:autoSpaceDE/>
        <w:autoSpaceDN/>
        <w:bidi w:val="0"/>
        <w:adjustRightInd/>
        <w:snapToGrid/>
        <w:spacing w:line="640" w:lineRule="exact"/>
        <w:ind w:firstLine="0" w:firstLineChars="0"/>
        <w:textAlignment w:val="auto"/>
        <w:outlineLvl w:val="9"/>
        <w:rPr>
          <w:rFonts w:hint="eastAsia"/>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第一章  总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lang w:val="en-US" w:eastAsia="zh-CN"/>
        </w:rPr>
        <w:t xml:space="preserve">第一条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加强公司的节能节水管理，提高能源利用效率，保护环境，依据《中华人民共和国节约能源法》《中国石油天然气集团公司节能节水管理办法》、《西南油气田分公司节能节水管理实施细则》、《四川川港燃气有限责任公司节能节水管理实施细则》，结合公司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所称节能节水（以下简称节能），是指加强用能管理，采取技术上可行、经济上合理以及环境和社会可以承受的措施，从能源生产到消费的各个环节，降低消耗、减少损失和污染物排放、制止浪费，有效、合理地利用能源和水资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公司按照合理用能的原则，加强节能管理，推进高效低耗设备的应用，提高能源利用效率，保护环境。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本办法适用于公司各管理层次及岗位员工。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第二章  节能项目管理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公司节能工作由公司</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管理委员会统一领导，全面负责公司节能工作，对公司节能工作的重大问题进行决策。办公室设在公司</w:t>
      </w: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部，负责其日常工作。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第六条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公司节能工作在分管副总经理的领导下，建立综合归口、共同参与、责任落实的节能管理机制。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质量安全环保</w:t>
      </w:r>
      <w:r>
        <w:rPr>
          <w:rFonts w:hint="eastAsia" w:ascii="方正仿宋简体" w:hAnsi="方正仿宋简体" w:eastAsia="方正仿宋简体" w:cs="方正仿宋简体"/>
          <w:color w:val="auto"/>
          <w:sz w:val="28"/>
          <w:szCs w:val="28"/>
          <w:highlight w:val="none"/>
        </w:rPr>
        <w:t>部是公司节能工作的归口管理部门，其主要职责是：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一、负责公司节能工作的综合管理及日常事务管理；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二、负责宣传贯彻国家有关节能的法律法规规定，负责公司节能管理办法的制定、修改和完善并组织督促实施；有计划有针对性地开展节能节水宣传工作，引导员工合理用能；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三、组织公司节能节水型企业的创建工作，节能先进经验交流和技术推广；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四、参与公司新建、改建、扩建工程、建设项目节能技术改造的技术审查，督促、检查节能技术改造项目的实施进度，组织节能技术改造项目节能效果评价考核；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五、负责指导公司节能新技术、新工艺、新设备、新材料推广应用；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六、负责组织修订、完善主要能耗指标，并对各单位下达的节能指标进行考核；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七、编制下达公司节能计划，组织开展节能目标管理；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八、组织节能项目的申报和评选、总结节能工作、交流节能经验；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九、按要求建立和完善节能基础管理台帐，并不断提高节能基础管理水平和工作质量检查、考核节能计划执行情况；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管理委员会应定期或不定期地召开节能会议，每年不得少于一次，研究、分析、部署、审查节能工作。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第九条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公司应按照国家、行业、集团公司有关规定，配备满足《企业能源计量器具配备和管理导则》、《石油石化行业能源计量器具配备和管理要求》等标准要求和管理需要的能源计量器具。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公司应制定能源计量器具购置、安装、维护和定期检定的管理文件，并严格执行，保证计量数据的准确可靠。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公司计量管理人员负责能源计量器具及数据准确性的管理，节能管理人员应做好能源消耗数据的统计、分析工作。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公司计量管理人员应建立能源计量器具档案、台帐。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节能监测任务所需费用，由公司在生产成本中支列；工程建设项目节能指标考核评价、节能监督等临时性节能监测所需费用，由公司在项目费用或生产成本中解决。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第十四条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节能监测任务由分公司所属的节能监测机构负责，特殊情况确需外委节能监测机构进行节能监测的，承担节能监测的单位除必须具备相应得资质外，还必须上报川港公司安全环保质量部审核批准。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第十五条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节能监测必须按国家、行业、集团公司有关标准组织实施。在接受节能监测时，积极配合监测机构做好监测工作，及时整改监测中发现的问题。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第十六条</w:t>
      </w:r>
      <w:r>
        <w:rPr>
          <w:rFonts w:hint="eastAsia" w:ascii="方正仿宋简体" w:hAnsi="方正仿宋简体" w:eastAsia="方正仿宋简体" w:cs="方正仿宋简体"/>
          <w:color w:val="auto"/>
          <w:sz w:val="28"/>
          <w:szCs w:val="28"/>
          <w:highlight w:val="none"/>
        </w:rPr>
        <w:t xml:space="preserve">  积极推广、应用节能“四新技术”，提高设备的使用效率，延长材料的使用寿命，降低工艺能耗。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第十七条</w:t>
      </w:r>
      <w:r>
        <w:rPr>
          <w:rFonts w:hint="eastAsia" w:ascii="方正仿宋简体" w:hAnsi="方正仿宋简体" w:eastAsia="方正仿宋简体" w:cs="方正仿宋简体"/>
          <w:color w:val="auto"/>
          <w:sz w:val="28"/>
          <w:szCs w:val="28"/>
          <w:highlight w:val="none"/>
        </w:rPr>
        <w:t xml:space="preserve">  新、改、扩建工程项目，必须采用成熟可靠、用能合理的先进工艺、技术和设备，优先选用国家、集团公司、分公司推荐采用的节能技术。严禁采用国家、集团公司明令淘汰的工艺和产品。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第十八条</w:t>
      </w:r>
      <w:r>
        <w:rPr>
          <w:rFonts w:hint="eastAsia" w:ascii="方正仿宋简体" w:hAnsi="方正仿宋简体" w:eastAsia="方正仿宋简体" w:cs="方正仿宋简体"/>
          <w:color w:val="auto"/>
          <w:sz w:val="28"/>
          <w:szCs w:val="28"/>
          <w:highlight w:val="none"/>
        </w:rPr>
        <w:t>公司把节能工作纳入管理和生产经营的各个环节，通过科学管理和先进工艺、技术、设备、材料的应用，促进节能降耗，降低生产成本。</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第十九条 </w:t>
      </w:r>
      <w:r>
        <w:rPr>
          <w:rFonts w:hint="eastAsia" w:ascii="方正仿宋简体" w:hAnsi="方正仿宋简体" w:eastAsia="方正仿宋简体" w:cs="方正仿宋简体"/>
          <w:color w:val="auto"/>
          <w:sz w:val="28"/>
          <w:szCs w:val="28"/>
          <w:highlight w:val="none"/>
        </w:rPr>
        <w:t xml:space="preserve"> 严格执行国家、行业和集团公司节能标准，对不符合节能标准、超过耗能用水限额的，及时进行治理或整改。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第二十条</w:t>
      </w:r>
      <w:r>
        <w:rPr>
          <w:rFonts w:hint="eastAsia" w:ascii="方正仿宋简体" w:hAnsi="方正仿宋简体" w:eastAsia="方正仿宋简体" w:cs="方正仿宋简体"/>
          <w:color w:val="auto"/>
          <w:sz w:val="28"/>
          <w:szCs w:val="28"/>
          <w:highlight w:val="none"/>
        </w:rPr>
        <w:t xml:space="preserve">  合理用水。</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(一)各单位要参照GB/T7119—2006《节水型企业评价导则》制定本单位节约用水具体措施。</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(二)积极开展合理用水分析，实施节水技术改造，确保节水目标的完成。</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(三)加强用水环节管理与要加强用水设备管理，防止用水设备的跑、冒、滴、漏与不合理用水。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第二十一条</w:t>
      </w:r>
      <w:r>
        <w:rPr>
          <w:rFonts w:hint="eastAsia" w:ascii="方正仿宋简体" w:hAnsi="方正仿宋简体" w:eastAsia="方正仿宋简体" w:cs="方正仿宋简体"/>
          <w:color w:val="auto"/>
          <w:sz w:val="28"/>
          <w:szCs w:val="28"/>
          <w:highlight w:val="none"/>
        </w:rPr>
        <w:t xml:space="preserve">  合理用电。</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(一)各单位要贯彻落实《节约用电管理办法》〔国经贸资源</w:t>
      </w:r>
      <w:r>
        <w:rPr>
          <w:rFonts w:hint="eastAsia" w:ascii="宋体" w:hAnsi="宋体" w:cs="宋体"/>
          <w:color w:val="auto"/>
          <w:sz w:val="28"/>
          <w:szCs w:val="28"/>
          <w:highlight w:val="none"/>
        </w:rPr>
        <w:t>﹝</w:t>
      </w:r>
      <w:r>
        <w:rPr>
          <w:rFonts w:hint="eastAsia" w:ascii="方正仿宋简体" w:hAnsi="方正仿宋简体" w:eastAsia="方正仿宋简体" w:cs="方正仿宋简体"/>
          <w:color w:val="auto"/>
          <w:sz w:val="28"/>
          <w:szCs w:val="28"/>
          <w:highlight w:val="none"/>
        </w:rPr>
        <w:t>2000</w:t>
      </w:r>
      <w:r>
        <w:rPr>
          <w:rFonts w:hint="eastAsia" w:ascii="宋体" w:hAnsi="宋体" w:cs="宋体"/>
          <w:color w:val="auto"/>
          <w:sz w:val="28"/>
          <w:szCs w:val="28"/>
          <w:highlight w:val="none"/>
        </w:rPr>
        <w:t>﹞</w:t>
      </w:r>
      <w:r>
        <w:rPr>
          <w:rFonts w:hint="eastAsia" w:ascii="方正仿宋简体" w:hAnsi="方正仿宋简体" w:eastAsia="方正仿宋简体" w:cs="方正仿宋简体"/>
          <w:color w:val="auto"/>
          <w:sz w:val="28"/>
          <w:szCs w:val="28"/>
          <w:highlight w:val="none"/>
        </w:rPr>
        <w:t>1256号〕、《国务院关于进一步加强节油节电工作的通知》〔国发</w:t>
      </w:r>
      <w:r>
        <w:rPr>
          <w:rFonts w:hint="eastAsia" w:ascii="宋体" w:hAnsi="宋体" w:cs="宋体"/>
          <w:color w:val="auto"/>
          <w:sz w:val="28"/>
          <w:szCs w:val="28"/>
          <w:highlight w:val="none"/>
        </w:rPr>
        <w:t>﹝</w:t>
      </w:r>
      <w:r>
        <w:rPr>
          <w:rFonts w:hint="eastAsia" w:ascii="方正仿宋简体" w:hAnsi="方正仿宋简体" w:eastAsia="方正仿宋简体" w:cs="方正仿宋简体"/>
          <w:color w:val="auto"/>
          <w:sz w:val="28"/>
          <w:szCs w:val="28"/>
          <w:highlight w:val="none"/>
        </w:rPr>
        <w:t>2008</w:t>
      </w:r>
      <w:r>
        <w:rPr>
          <w:rFonts w:hint="eastAsia" w:ascii="宋体" w:hAnsi="宋体" w:cs="宋体"/>
          <w:color w:val="auto"/>
          <w:sz w:val="28"/>
          <w:szCs w:val="28"/>
          <w:highlight w:val="none"/>
        </w:rPr>
        <w:t>﹞</w:t>
      </w:r>
      <w:r>
        <w:rPr>
          <w:rFonts w:hint="eastAsia" w:ascii="方正仿宋简体" w:hAnsi="方正仿宋简体" w:eastAsia="方正仿宋简体" w:cs="方正仿宋简体"/>
          <w:color w:val="auto"/>
          <w:sz w:val="28"/>
          <w:szCs w:val="28"/>
          <w:highlight w:val="none"/>
        </w:rPr>
        <w:t>23号〕，参照《评价企业合理用电技术导则》（GB/T3485）、《油气田供配电系统经济运行规范》（SY/T6373）等标准，制定本单位节约用电具体措施。</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(二)加强供配电系统的节能管理，合理配置无功补偿设备，优化运行方式。</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(三)加快淘汰低效照明产品，积极推广高效照明产品；加强照明节能管理，杜绝浪费。</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(四)加强对空调的运行管理，严格控制运行温度和时间。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第二十二条</w:t>
      </w:r>
      <w:r>
        <w:rPr>
          <w:rFonts w:hint="eastAsia" w:ascii="方正仿宋简体" w:hAnsi="方正仿宋简体" w:eastAsia="方正仿宋简体" w:cs="方正仿宋简体"/>
          <w:color w:val="auto"/>
          <w:sz w:val="28"/>
          <w:szCs w:val="28"/>
          <w:highlight w:val="none"/>
        </w:rPr>
        <w:t xml:space="preserve">  生产用油和车辆用油的管理。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(一)严格执行设备、车辆的维护保养规定，确保设备、车辆处于良好运行状态。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(二)实行设备、车辆用油定额管理，建立有效激励约束机制，促进设备操作人员和驾驶员节约用油。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各单位、部室要积极组织宣传国家和集团公司的节能方针、政策、法规、标准，普及节能科学知识，提高全员节能意识。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第二十四条</w:t>
      </w:r>
      <w:r>
        <w:rPr>
          <w:rFonts w:hint="eastAsia" w:ascii="方正仿宋简体" w:hAnsi="方正仿宋简体" w:eastAsia="方正仿宋简体" w:cs="方正仿宋简体"/>
          <w:color w:val="auto"/>
          <w:sz w:val="28"/>
          <w:szCs w:val="28"/>
          <w:highlight w:val="none"/>
        </w:rPr>
        <w:t xml:space="preserve">  各单位、部室在制定年度培训计划时节能知识应纳入员工岗位培训内容。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第二十五条</w:t>
      </w:r>
      <w:r>
        <w:rPr>
          <w:rFonts w:hint="eastAsia" w:ascii="方正仿宋简体" w:hAnsi="方正仿宋简体" w:eastAsia="方正仿宋简体" w:cs="方正仿宋简体"/>
          <w:color w:val="auto"/>
          <w:sz w:val="28"/>
          <w:szCs w:val="28"/>
          <w:highlight w:val="none"/>
        </w:rPr>
        <w:t xml:space="preserve">  鼓励员工开展节能合理化建议活动，对建议人和参加人，视效益大小给予适当奖励。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第二十六条</w:t>
      </w:r>
      <w:r>
        <w:rPr>
          <w:rFonts w:hint="eastAsia" w:ascii="方正仿宋简体" w:hAnsi="方正仿宋简体" w:eastAsia="方正仿宋简体" w:cs="方正仿宋简体"/>
          <w:color w:val="auto"/>
          <w:sz w:val="28"/>
          <w:szCs w:val="28"/>
          <w:highlight w:val="none"/>
        </w:rPr>
        <w:t xml:space="preserve">  违反本办法规定，对公司节能节水工作造成不良影响的予以通报批评；情节严重的，对相关责任人进行处罚。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第二十七条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申报节能单项成果的原则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一、推广应用节能新技术、新工艺、新设备、新材料及经过技改的装置、设备确达到节能效果；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二、节能项目必须立项审批，立项上报时间为上年12月底止；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三、节能单项成果应严格按程序上报，节能单项成果上报时间为本年度12月15日。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第三章  节能统计管理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val="0"/>
          <w:color w:val="auto"/>
          <w:sz w:val="28"/>
          <w:szCs w:val="28"/>
          <w:highlight w:val="none"/>
        </w:rPr>
        <w:t>第二十八</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公司各单位应认真贯彻执行《中华人民共和国节约能源法》、《中华人民共和国统计法》，积极搞好公司能源消耗、主要产品的单耗和利用情况的统计分析工作。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一、节能统计以计量数据为基础，完善计量手段，确保计量数据的准确性；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二、各单位节能统计员必须按月如实将能源报表上报</w:t>
      </w: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部，不得虚报、瞒报、拒报、篡改数据，对上报节能报表的真实性负责；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w:t>
      </w: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部对节能数据进行分类汇总和分析，并编制分析报告；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四、节能统计报表和分析报告上报前，须经分管经理审查签字。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第四章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第二十九条  </w:t>
      </w:r>
      <w:r>
        <w:rPr>
          <w:rFonts w:hint="eastAsia" w:ascii="方正仿宋简体" w:hAnsi="方正仿宋简体" w:eastAsia="方正仿宋简体" w:cs="方正仿宋简体"/>
          <w:color w:val="auto"/>
          <w:sz w:val="28"/>
          <w:szCs w:val="28"/>
          <w:highlight w:val="none"/>
        </w:rPr>
        <w:t>本办法由</w:t>
      </w: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第三十条  </w:t>
      </w:r>
      <w:r>
        <w:rPr>
          <w:rFonts w:hint="eastAsia" w:ascii="方正仿宋简体" w:hAnsi="方正仿宋简体" w:eastAsia="方正仿宋简体" w:cs="方正仿宋简体"/>
          <w:color w:val="auto"/>
          <w:sz w:val="28"/>
          <w:szCs w:val="28"/>
          <w:highlight w:val="none"/>
        </w:rPr>
        <w:t>本办法自发布之日起施行。</w:t>
      </w:r>
    </w:p>
    <w:p>
      <w:pPr>
        <w:spacing w:line="560" w:lineRule="exact"/>
        <w:rPr>
          <w:rFonts w:hint="eastAsia" w:ascii="方正仿宋简体" w:hAnsi="方正仿宋简体" w:eastAsia="方正仿宋简体" w:cs="方正仿宋简体"/>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color w:val="auto"/>
          <w:sz w:val="36"/>
          <w:szCs w:val="36"/>
          <w:highlight w:val="none"/>
          <w:lang w:eastAsia="zh-CN"/>
        </w:rPr>
      </w:pPr>
      <w:bookmarkStart w:id="691" w:name="_Toc22774"/>
      <w:bookmarkStart w:id="692" w:name="_Toc32494"/>
      <w:bookmarkStart w:id="693" w:name="_Toc30958"/>
      <w:bookmarkStart w:id="694" w:name="_Toc27523"/>
      <w:bookmarkStart w:id="695" w:name="_Toc22040"/>
      <w:bookmarkStart w:id="696" w:name="_Toc9876"/>
      <w:bookmarkStart w:id="697" w:name="_Toc11534"/>
      <w:bookmarkStart w:id="698" w:name="_Toc2079"/>
      <w:bookmarkStart w:id="699" w:name="_Toc18350"/>
      <w:bookmarkStart w:id="700" w:name="_Toc13536"/>
      <w:bookmarkStart w:id="701" w:name="_Toc26952"/>
      <w:bookmarkStart w:id="702" w:name="_Toc7402"/>
      <w:bookmarkStart w:id="703" w:name="_Toc14973"/>
      <w:bookmarkStart w:id="704" w:name="_Toc3511"/>
      <w:bookmarkStart w:id="705" w:name="_Toc12377"/>
      <w:bookmarkStart w:id="706" w:name="_Toc23107"/>
      <w:bookmarkStart w:id="707" w:name="_Toc28915"/>
      <w:bookmarkStart w:id="708" w:name="_Toc14984"/>
      <w:bookmarkStart w:id="709" w:name="_Toc1244"/>
      <w:r>
        <w:rPr>
          <w:rFonts w:hint="eastAsia" w:ascii="方正小标宋简体" w:eastAsia="方正小标宋简体"/>
          <w:b w:val="0"/>
          <w:bCs w:val="0"/>
          <w:color w:val="auto"/>
          <w:sz w:val="36"/>
          <w:szCs w:val="36"/>
          <w:highlight w:val="none"/>
        </w:rPr>
        <w:t>中油南充燃气有限责任公司消防安全管理</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Pr>
          <w:rFonts w:hint="eastAsia" w:ascii="方正小标宋简体" w:eastAsia="方正小标宋简体"/>
          <w:b w:val="0"/>
          <w:bCs w:val="0"/>
          <w:color w:val="auto"/>
          <w:sz w:val="36"/>
          <w:szCs w:val="36"/>
          <w:highlight w:val="none"/>
          <w:lang w:eastAsia="zh-CN"/>
        </w:rPr>
        <w:t>制度</w:t>
      </w:r>
      <w:bookmarkEnd w:id="709"/>
    </w:p>
    <w:p>
      <w:pPr>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第一章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为预防和减少火灾事故危害，保护员工人身及企业财产安全，依据《中华人民共和国消防法》、《机关、团体、企业、事业单位消防安全管理规定》等有关法律法规，</w:t>
      </w:r>
      <w:r>
        <w:rPr>
          <w:rFonts w:hint="eastAsia" w:ascii="方正仿宋简体" w:hAnsi="方正仿宋简体" w:eastAsia="方正仿宋简体" w:cs="方正仿宋简体"/>
          <w:color w:val="auto"/>
          <w:sz w:val="28"/>
          <w:szCs w:val="28"/>
          <w:highlight w:val="none"/>
          <w:lang w:eastAsia="zh-CN"/>
        </w:rPr>
        <w:t>根据《西南油气田分公司消防管理规定》《四川川港燃气有限责任公司消防安全管理办法》，</w:t>
      </w:r>
      <w:r>
        <w:rPr>
          <w:rFonts w:hint="eastAsia" w:ascii="方正仿宋简体" w:hAnsi="方正仿宋简体" w:eastAsia="方正仿宋简体" w:cs="方正仿宋简体"/>
          <w:color w:val="auto"/>
          <w:sz w:val="28"/>
          <w:szCs w:val="28"/>
          <w:highlight w:val="none"/>
        </w:rPr>
        <w:t>结合公司实际，制定本办法。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公司消防工作</w:t>
      </w:r>
      <w:r>
        <w:rPr>
          <w:rFonts w:hint="eastAsia" w:ascii="方正仿宋简体" w:hAnsi="方正仿宋简体" w:eastAsia="方正仿宋简体" w:cs="方正仿宋简体"/>
          <w:bCs/>
          <w:color w:val="auto"/>
          <w:sz w:val="28"/>
          <w:szCs w:val="28"/>
          <w:highlight w:val="none"/>
        </w:rPr>
        <w:t>贯彻</w:t>
      </w:r>
      <w:r>
        <w:rPr>
          <w:rFonts w:hint="eastAsia" w:ascii="方正仿宋简体" w:hAnsi="方正仿宋简体" w:eastAsia="方正仿宋简体" w:cs="方正仿宋简体"/>
          <w:color w:val="auto"/>
          <w:sz w:val="28"/>
          <w:szCs w:val="28"/>
          <w:highlight w:val="none"/>
        </w:rPr>
        <w:t>“预防为主，防消结合”的方针，实行分级管理。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第二章  组织管理</w:t>
      </w:r>
      <w:r>
        <w:rPr>
          <w:rFonts w:hint="eastAsia" w:ascii="方正黑体简体" w:hAnsi="方正黑体简体" w:eastAsia="方正黑体简体" w:cs="方正黑体简体"/>
          <w:b w:val="0"/>
          <w:bCs/>
          <w:color w:val="auto"/>
          <w:sz w:val="30"/>
          <w:szCs w:val="30"/>
          <w:highlight w:val="none"/>
          <w:lang w:eastAsia="zh-CN"/>
        </w:rPr>
        <w:t>和消防职责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公司防火领导小组由</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管理领导小组兼任，是公司消防安全管理的最高决策机构，其职责如下：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1．负责贯彻执行国家法律法规及上级部门消防制度、规范及要求。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2.制定公司消防安全管理制度。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3</w:t>
      </w:r>
      <w:r>
        <w:rPr>
          <w:rFonts w:hint="eastAsia" w:ascii="方正仿宋简体" w:hAnsi="方正仿宋简体" w:eastAsia="方正仿宋简体" w:cs="方正仿宋简体"/>
          <w:color w:val="auto"/>
          <w:sz w:val="28"/>
          <w:szCs w:val="28"/>
          <w:highlight w:val="none"/>
        </w:rPr>
        <w:t>．负责组织开展本单位消防安全检查，督促属地单位做好消防重点要害部位巡检。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4</w:t>
      </w:r>
      <w:r>
        <w:rPr>
          <w:rFonts w:hint="eastAsia" w:ascii="方正仿宋简体" w:hAnsi="方正仿宋简体" w:eastAsia="方正仿宋简体" w:cs="方正仿宋简体"/>
          <w:color w:val="auto"/>
          <w:sz w:val="28"/>
          <w:szCs w:val="28"/>
          <w:highlight w:val="none"/>
        </w:rPr>
        <w:t>．负责组建志愿消防队伍，确保本单位消防人员数量达到国家消防法律规定标准。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5</w:t>
      </w:r>
      <w:r>
        <w:rPr>
          <w:rFonts w:hint="eastAsia" w:ascii="方正仿宋简体" w:hAnsi="方正仿宋简体" w:eastAsia="方正仿宋简体" w:cs="方正仿宋简体"/>
          <w:color w:val="auto"/>
          <w:sz w:val="28"/>
          <w:szCs w:val="28"/>
          <w:highlight w:val="none"/>
        </w:rPr>
        <w:t>．负责向消防管理部门申报重点要害单位和部位，确保重点要害单位和部位消防安全的受控管理。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6</w:t>
      </w:r>
      <w:r>
        <w:rPr>
          <w:rFonts w:hint="eastAsia" w:ascii="方正仿宋简体" w:hAnsi="方正仿宋简体" w:eastAsia="方正仿宋简体" w:cs="方正仿宋简体"/>
          <w:color w:val="auto"/>
          <w:sz w:val="28"/>
          <w:szCs w:val="28"/>
          <w:highlight w:val="none"/>
        </w:rPr>
        <w:t>．负责将新、改、扩建工程的消防设计图纸，报上级消防管理部门、公安消防部门审核备案。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7</w:t>
      </w:r>
      <w:r>
        <w:rPr>
          <w:rFonts w:hint="eastAsia" w:ascii="方正仿宋简体" w:hAnsi="方正仿宋简体" w:eastAsia="方正仿宋简体" w:cs="方正仿宋简体"/>
          <w:color w:val="auto"/>
          <w:sz w:val="28"/>
          <w:szCs w:val="28"/>
          <w:highlight w:val="none"/>
        </w:rPr>
        <w:t>．负责将新、改、扩建中存在影响消防抢险救援和火灾扑灭的隐患报送上级单位审查。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8</w:t>
      </w:r>
      <w:r>
        <w:rPr>
          <w:rFonts w:hint="eastAsia" w:ascii="方正仿宋简体" w:hAnsi="方正仿宋简体" w:eastAsia="方正仿宋简体" w:cs="方正仿宋简体"/>
          <w:color w:val="auto"/>
          <w:sz w:val="28"/>
          <w:szCs w:val="28"/>
          <w:highlight w:val="none"/>
        </w:rPr>
        <w:t>．定期召开</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管理领导小组会议，研究、部署、协调公司消防安全问题。研究公司重大消防安全隐患的治理，保证资金落实。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9</w:t>
      </w:r>
      <w:r>
        <w:rPr>
          <w:rFonts w:hint="eastAsia" w:ascii="方正仿宋简体" w:hAnsi="方正仿宋简体" w:eastAsia="方正仿宋简体" w:cs="方正仿宋简体"/>
          <w:color w:val="auto"/>
          <w:sz w:val="28"/>
          <w:szCs w:val="28"/>
          <w:highlight w:val="none"/>
        </w:rPr>
        <w:t xml:space="preserve">．组织人员对初期火灾扑救，做好火灾现场人员疏散及报警，保护火灾现场，并及时将火灾情况向上级部门报告。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10</w:t>
      </w:r>
      <w:r>
        <w:rPr>
          <w:rFonts w:hint="eastAsia" w:ascii="方正仿宋简体" w:hAnsi="方正仿宋简体" w:eastAsia="方正仿宋简体" w:cs="方正仿宋简体"/>
          <w:color w:val="auto"/>
          <w:sz w:val="28"/>
          <w:szCs w:val="28"/>
          <w:highlight w:val="none"/>
        </w:rPr>
        <w:t>．公司分管安全的副职领导负责分管消防安全工作，抓好本单位的日常消防安全管理工作。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质量安全环保部</w:t>
      </w:r>
      <w:r>
        <w:rPr>
          <w:rFonts w:hint="eastAsia" w:ascii="方正仿宋简体" w:hAnsi="方正仿宋简体" w:eastAsia="方正仿宋简体" w:cs="方正仿宋简体"/>
          <w:color w:val="auto"/>
          <w:sz w:val="28"/>
          <w:szCs w:val="28"/>
          <w:highlight w:val="none"/>
        </w:rPr>
        <w:t>是消防安全的归口管理部门。其主要职责：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eastAsia="zh-CN"/>
        </w:rPr>
        <w:t>组织制定公司</w:t>
      </w:r>
      <w:r>
        <w:rPr>
          <w:rFonts w:hint="eastAsia" w:ascii="方正仿宋简体" w:hAnsi="方正仿宋简体" w:eastAsia="方正仿宋简体" w:cs="方正仿宋简体"/>
          <w:color w:val="auto"/>
          <w:sz w:val="28"/>
          <w:szCs w:val="28"/>
          <w:highlight w:val="none"/>
        </w:rPr>
        <w:t>消防安全管理制度，负责日常消防管理工作。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2．掌握主要生产过程的可能发生火灾特点，对生产现场火源管理及消防设施的管理进行监督检查。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3．对员工进行消防知识的宣传和培训情况进行监督。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4．负责配合当地公安消防部门做好本单位消防安全工作。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5．参与新、改、扩建工程等项目防火措施、消防设计的“三同时”审查和验收。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6．组织对关键生产装置和要害生产部位的灭火救援预案审查。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7．负责组织消防安全检查，监督消防隐患整改。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8．组织火灾事故调查、处理，并对处理结果统计上报。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9．负责建立健全本单位消防档案，并作好消防档案归档、备查。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进入公司的工程技术服务商、承包商应当履行下列消防职责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1．贯彻执行《中华人民共和国消防法》，制定消防管理制度，遵守我公司消防安全管理要求。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2．确定本单位、施工班组的消防安全责任人，并在各级安全生产责任制中明确消防管理责任。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3．针对所承揽业务的特点对员工进行消防安全宣传教育，使员工熟悉作业场所存在的消防不安全因素，掌握风险控制措施和应急措施。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4．组织防火检查，及时消除隐患。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5．组织制定关键生产装置和要害生产部位消防应急预案，并定期组织演练。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6．按照国家有关规定配置消防设施和器材，设置消防安全标志，并定期组织检验、维修，确保消防设施和器材完好、有效。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7．保障安全通道及专用消防通道的畅通，并设置消防安全疏散标志。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8．定期分析本单位消防安全管理情况，研究解决存在问题。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第六条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志愿消防队的职责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1．学习宣传消防法规，定期参加消防培训。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eastAsia="方正仿宋简体"/>
          <w:bCs/>
          <w:color w:val="auto"/>
          <w:sz w:val="28"/>
          <w:szCs w:val="28"/>
          <w:highlight w:val="none"/>
        </w:rPr>
        <w:t>贯彻执行消防安全管理制度，进行日常防火巡查</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3．义务消防队员应熟悉本岗位的火灾危险性，熟练掌握灭火器材的使用方法，定期维护保养消防设施和消防器材。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4．扑救初起火灾，协助专职消防队扑救火灾。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公司消防应急救援组织机构及职责，详见《公司突发事件综合应急处置预案》。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第三章  火灾预防</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各种易燃、易爆生产作业场所应符合</w:t>
      </w:r>
      <w:r>
        <w:rPr>
          <w:rFonts w:hint="eastAsia" w:ascii="方正仿宋简体" w:eastAsia="方正仿宋简体"/>
          <w:bCs/>
          <w:color w:val="auto"/>
          <w:sz w:val="28"/>
          <w:szCs w:val="28"/>
          <w:highlight w:val="none"/>
        </w:rPr>
        <w:t>《石油天然气工程设计防火规范》（GB50183）、《石油化工企业设计防火规范》（GB50160）</w:t>
      </w:r>
      <w:r>
        <w:rPr>
          <w:rFonts w:hint="eastAsia" w:ascii="方正仿宋简体" w:hAnsi="方正仿宋简体" w:eastAsia="方正仿宋简体" w:cs="方正仿宋简体"/>
          <w:color w:val="auto"/>
          <w:sz w:val="28"/>
          <w:szCs w:val="28"/>
          <w:highlight w:val="none"/>
        </w:rPr>
        <w:t>要求，</w:t>
      </w:r>
      <w:r>
        <w:rPr>
          <w:rFonts w:hint="eastAsia" w:ascii="方正仿宋简体" w:eastAsia="方正仿宋简体"/>
          <w:bCs/>
          <w:color w:val="auto"/>
          <w:sz w:val="28"/>
          <w:szCs w:val="28"/>
          <w:highlight w:val="none"/>
        </w:rPr>
        <w:t>并在容易发生火灾的部位设置明显的防火安全标志</w:t>
      </w:r>
      <w:r>
        <w:rPr>
          <w:rFonts w:hint="eastAsia" w:ascii="方正仿宋简体" w:hAnsi="方正仿宋简体" w:eastAsia="方正仿宋简体" w:cs="方正仿宋简体"/>
          <w:color w:val="auto"/>
          <w:sz w:val="28"/>
          <w:szCs w:val="28"/>
          <w:highlight w:val="none"/>
        </w:rPr>
        <w:t>，防雷、防静电设施按相应规定应定期进行检测，对检测不合格的要及时组织整改。</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生产、储存、运输、销售、使用和销毁易燃、易爆危险品的单位，必须按《危险化学品安全管理条例》规定执行。</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在易燃易爆场所进行工业动火，必须按照相关法规和规范执行。</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color w:val="auto"/>
          <w:sz w:val="28"/>
          <w:szCs w:val="28"/>
          <w:highlight w:val="none"/>
        </w:rPr>
        <w:t xml:space="preserve">  不得损坏或擅自使用、拆除、停用消防设施、器材，不得埋压、圈占消防栓，不得占用防火间距，不得堵塞安全通道，严禁使用不合格的消防产品。</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w:t>
      </w:r>
      <w:r>
        <w:rPr>
          <w:rFonts w:hint="eastAsia" w:ascii="方正仿宋简体" w:hAnsi="方正仿宋简体" w:eastAsia="方正仿宋简体" w:cs="方正仿宋简体"/>
          <w:b/>
          <w:color w:val="auto"/>
          <w:sz w:val="28"/>
          <w:szCs w:val="28"/>
          <w:highlight w:val="none"/>
          <w:lang w:eastAsia="zh-CN"/>
        </w:rPr>
        <w:t>二</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加强对</w:t>
      </w:r>
      <w:r>
        <w:rPr>
          <w:rFonts w:hint="eastAsia" w:ascii="方正仿宋简体" w:hAnsi="方正仿宋简体" w:eastAsia="方正仿宋简体" w:cs="方正仿宋简体"/>
          <w:color w:val="auto"/>
          <w:sz w:val="28"/>
          <w:szCs w:val="28"/>
          <w:highlight w:val="none"/>
          <w:lang w:eastAsia="zh-CN"/>
        </w:rPr>
        <w:t>消防重点部位</w:t>
      </w:r>
      <w:r>
        <w:rPr>
          <w:rFonts w:hint="eastAsia" w:ascii="方正仿宋简体" w:hAnsi="方正仿宋简体" w:eastAsia="方正仿宋简体" w:cs="方正仿宋简体"/>
          <w:color w:val="auto"/>
          <w:sz w:val="28"/>
          <w:szCs w:val="28"/>
          <w:highlight w:val="none"/>
        </w:rPr>
        <w:t>的消防管理。不符合消防规定要求，禁止使用。</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w:t>
      </w:r>
      <w:r>
        <w:rPr>
          <w:rFonts w:hint="eastAsia" w:ascii="方正仿宋简体" w:hAnsi="方正仿宋简体" w:eastAsia="方正仿宋简体" w:cs="方正仿宋简体"/>
          <w:b/>
          <w:color w:val="auto"/>
          <w:sz w:val="28"/>
          <w:szCs w:val="28"/>
          <w:highlight w:val="none"/>
          <w:lang w:eastAsia="zh-CN"/>
        </w:rPr>
        <w:t>三</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对查出的火险隐患，要逐项登记，落实整改措施和责任人，限期整改。凡本单位暂不能解决的重大隐患，必须采取有效措施保证安全，并报请上一级主管部门解决。</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w:t>
      </w:r>
      <w:r>
        <w:rPr>
          <w:rFonts w:hint="eastAsia" w:ascii="方正仿宋简体" w:hAnsi="方正仿宋简体" w:eastAsia="方正仿宋简体" w:cs="方正仿宋简体"/>
          <w:b/>
          <w:color w:val="auto"/>
          <w:sz w:val="28"/>
          <w:szCs w:val="28"/>
          <w:highlight w:val="none"/>
          <w:lang w:eastAsia="zh-CN"/>
        </w:rPr>
        <w:t>四</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在设备技术改造、大修和大型施工等火灾风险较大作业时，应申请专职消防队现场监护。</w:t>
      </w:r>
    </w:p>
    <w:p>
      <w:pPr>
        <w:spacing w:line="560" w:lineRule="exact"/>
        <w:ind w:firstLine="560" w:firstLineChars="200"/>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eastAsia="方正黑体简体"/>
          <w:bCs/>
          <w:color w:val="auto"/>
          <w:sz w:val="30"/>
          <w:szCs w:val="30"/>
          <w:highlight w:val="none"/>
        </w:rPr>
      </w:pPr>
      <w:r>
        <w:rPr>
          <w:rFonts w:hint="eastAsia" w:ascii="方正黑体简体" w:eastAsia="方正黑体简体"/>
          <w:bCs/>
          <w:color w:val="auto"/>
          <w:sz w:val="30"/>
          <w:szCs w:val="30"/>
          <w:highlight w:val="none"/>
        </w:rPr>
        <w:t xml:space="preserve"> 消防审核及验收</w:t>
      </w:r>
    </w:p>
    <w:p>
      <w:pPr>
        <w:keepNext w:val="0"/>
        <w:keepLines w:val="0"/>
        <w:pageBreakBefore w:val="0"/>
        <w:widowControl w:val="0"/>
        <w:kinsoku/>
        <w:wordWrap/>
        <w:overflowPunct/>
        <w:topLinePunct w:val="0"/>
        <w:autoSpaceDE/>
        <w:autoSpaceDN/>
        <w:bidi w:val="0"/>
        <w:adjustRightInd w:val="0"/>
        <w:snapToGrid/>
        <w:spacing w:line="560" w:lineRule="exact"/>
        <w:ind w:firstLine="562" w:firstLineChars="200"/>
        <w:textAlignment w:val="auto"/>
        <w:outlineLvl w:val="9"/>
        <w:rPr>
          <w:rFonts w:hint="eastAsia" w:ascii="方正仿宋简体" w:eastAsia="方正仿宋简体"/>
          <w:bCs/>
          <w:color w:val="auto"/>
          <w:sz w:val="28"/>
          <w:szCs w:val="28"/>
          <w:highlight w:val="none"/>
        </w:rPr>
      </w:pPr>
      <w:r>
        <w:rPr>
          <w:rFonts w:hint="eastAsia" w:ascii="方正仿宋简体" w:eastAsia="方正仿宋简体"/>
          <w:b/>
          <w:bCs/>
          <w:color w:val="auto"/>
          <w:sz w:val="28"/>
          <w:szCs w:val="28"/>
          <w:highlight w:val="none"/>
        </w:rPr>
        <w:t>第十</w:t>
      </w:r>
      <w:r>
        <w:rPr>
          <w:rFonts w:hint="eastAsia" w:ascii="方正仿宋简体" w:eastAsia="方正仿宋简体"/>
          <w:b/>
          <w:bCs/>
          <w:color w:val="auto"/>
          <w:sz w:val="28"/>
          <w:szCs w:val="28"/>
          <w:highlight w:val="none"/>
          <w:lang w:eastAsia="zh-CN"/>
        </w:rPr>
        <w:t>五</w:t>
      </w:r>
      <w:r>
        <w:rPr>
          <w:rFonts w:hint="eastAsia" w:ascii="方正仿宋简体" w:eastAsia="方正仿宋简体"/>
          <w:b/>
          <w:bCs/>
          <w:color w:val="auto"/>
          <w:sz w:val="28"/>
          <w:szCs w:val="28"/>
          <w:highlight w:val="none"/>
        </w:rPr>
        <w:t>条</w:t>
      </w:r>
      <w:r>
        <w:rPr>
          <w:rFonts w:hint="eastAsia" w:ascii="方正仿宋简体" w:eastAsia="方正仿宋简体"/>
          <w:bCs/>
          <w:color w:val="auto"/>
          <w:sz w:val="28"/>
          <w:szCs w:val="28"/>
          <w:highlight w:val="none"/>
        </w:rPr>
        <w:t xml:space="preserve"> </w:t>
      </w:r>
      <w:r>
        <w:rPr>
          <w:rFonts w:hint="eastAsia" w:ascii="方正仿宋简体" w:eastAsia="方正仿宋简体"/>
          <w:bCs/>
          <w:color w:val="auto"/>
          <w:sz w:val="28"/>
          <w:szCs w:val="28"/>
          <w:highlight w:val="none"/>
          <w:lang w:val="en-US" w:eastAsia="zh-CN"/>
        </w:rPr>
        <w:t xml:space="preserve"> </w:t>
      </w:r>
      <w:r>
        <w:rPr>
          <w:rFonts w:hint="eastAsia" w:ascii="方正仿宋简体" w:eastAsia="方正仿宋简体"/>
          <w:bCs/>
          <w:color w:val="auto"/>
          <w:sz w:val="28"/>
          <w:szCs w:val="28"/>
          <w:highlight w:val="none"/>
        </w:rPr>
        <w:t>建设项目的消防设计必须按照国家有关消防标准、规范进行设计，各单位安全管理部门要参加方案的审查，建设项目管理部门应按规定将工程消防设计图纸及有关资料报送公安消防机构审批。未经审核或审核不合格的，不得施工。</w:t>
      </w:r>
    </w:p>
    <w:p>
      <w:pPr>
        <w:keepNext w:val="0"/>
        <w:keepLines w:val="0"/>
        <w:pageBreakBefore w:val="0"/>
        <w:widowControl w:val="0"/>
        <w:kinsoku/>
        <w:wordWrap/>
        <w:overflowPunct/>
        <w:topLinePunct w:val="0"/>
        <w:autoSpaceDE/>
        <w:autoSpaceDN/>
        <w:bidi w:val="0"/>
        <w:adjustRightInd w:val="0"/>
        <w:snapToGrid/>
        <w:spacing w:line="560" w:lineRule="exact"/>
        <w:ind w:firstLine="562" w:firstLineChars="200"/>
        <w:textAlignment w:val="auto"/>
        <w:outlineLvl w:val="9"/>
        <w:rPr>
          <w:rFonts w:hint="eastAsia" w:ascii="方正仿宋简体" w:eastAsia="方正仿宋简体"/>
          <w:bCs/>
          <w:color w:val="auto"/>
          <w:sz w:val="28"/>
          <w:szCs w:val="28"/>
          <w:highlight w:val="none"/>
        </w:rPr>
      </w:pPr>
      <w:r>
        <w:rPr>
          <w:rFonts w:hint="eastAsia" w:ascii="方正仿宋简体" w:eastAsia="方正仿宋简体"/>
          <w:b/>
          <w:bCs/>
          <w:color w:val="auto"/>
          <w:sz w:val="28"/>
          <w:szCs w:val="28"/>
          <w:highlight w:val="none"/>
        </w:rPr>
        <w:t>第十</w:t>
      </w:r>
      <w:r>
        <w:rPr>
          <w:rFonts w:hint="eastAsia" w:ascii="方正仿宋简体" w:eastAsia="方正仿宋简体"/>
          <w:b/>
          <w:bCs/>
          <w:color w:val="auto"/>
          <w:sz w:val="28"/>
          <w:szCs w:val="28"/>
          <w:highlight w:val="none"/>
          <w:lang w:eastAsia="zh-CN"/>
        </w:rPr>
        <w:t>六</w:t>
      </w:r>
      <w:r>
        <w:rPr>
          <w:rFonts w:hint="eastAsia" w:ascii="方正仿宋简体" w:eastAsia="方正仿宋简体"/>
          <w:b/>
          <w:bCs/>
          <w:color w:val="auto"/>
          <w:sz w:val="28"/>
          <w:szCs w:val="28"/>
          <w:highlight w:val="none"/>
        </w:rPr>
        <w:t>条</w:t>
      </w:r>
      <w:r>
        <w:rPr>
          <w:rFonts w:hint="eastAsia" w:ascii="方正仿宋简体" w:eastAsia="方正仿宋简体"/>
          <w:bCs/>
          <w:color w:val="auto"/>
          <w:sz w:val="28"/>
          <w:szCs w:val="28"/>
          <w:highlight w:val="none"/>
        </w:rPr>
        <w:t xml:space="preserve"> </w:t>
      </w:r>
      <w:r>
        <w:rPr>
          <w:rFonts w:hint="eastAsia" w:ascii="方正仿宋简体" w:eastAsia="方正仿宋简体"/>
          <w:bCs/>
          <w:color w:val="auto"/>
          <w:sz w:val="28"/>
          <w:szCs w:val="28"/>
          <w:highlight w:val="none"/>
          <w:lang w:val="en-US" w:eastAsia="zh-CN"/>
        </w:rPr>
        <w:t xml:space="preserve"> </w:t>
      </w:r>
      <w:r>
        <w:rPr>
          <w:rFonts w:hint="eastAsia" w:ascii="方正仿宋简体" w:eastAsia="方正仿宋简体"/>
          <w:bCs/>
          <w:color w:val="auto"/>
          <w:sz w:val="28"/>
          <w:szCs w:val="28"/>
          <w:highlight w:val="none"/>
        </w:rPr>
        <w:t>建设项目的消防设施应当按照设计要求进行施工，不得随意变更，</w:t>
      </w:r>
      <w:r>
        <w:rPr>
          <w:rFonts w:hint="eastAsia" w:ascii="方正仿宋简体" w:eastAsia="方正仿宋简体"/>
          <w:bCs/>
          <w:color w:val="auto"/>
          <w:sz w:val="28"/>
          <w:szCs w:val="28"/>
          <w:highlight w:val="none"/>
          <w:lang w:eastAsia="zh-CN"/>
        </w:rPr>
        <w:t>质量安全环保部</w:t>
      </w:r>
      <w:r>
        <w:rPr>
          <w:rFonts w:hint="eastAsia" w:ascii="方正仿宋简体" w:eastAsia="方正仿宋简体"/>
          <w:bCs/>
          <w:color w:val="auto"/>
          <w:sz w:val="28"/>
          <w:szCs w:val="28"/>
          <w:highlight w:val="none"/>
        </w:rPr>
        <w:t>负责对消防设施的施工实施监督检查并参与竣工验收。</w:t>
      </w:r>
    </w:p>
    <w:p>
      <w:pPr>
        <w:keepNext w:val="0"/>
        <w:keepLines w:val="0"/>
        <w:pageBreakBefore w:val="0"/>
        <w:widowControl w:val="0"/>
        <w:kinsoku/>
        <w:wordWrap/>
        <w:overflowPunct/>
        <w:topLinePunct w:val="0"/>
        <w:autoSpaceDE/>
        <w:autoSpaceDN/>
        <w:bidi w:val="0"/>
        <w:adjustRightInd w:val="0"/>
        <w:snapToGrid/>
        <w:spacing w:line="560" w:lineRule="exact"/>
        <w:ind w:firstLine="562" w:firstLineChars="200"/>
        <w:textAlignment w:val="auto"/>
        <w:outlineLvl w:val="9"/>
        <w:rPr>
          <w:rFonts w:hint="eastAsia" w:ascii="方正仿宋简体" w:eastAsia="方正仿宋简体"/>
          <w:bCs/>
          <w:color w:val="auto"/>
          <w:sz w:val="28"/>
          <w:szCs w:val="28"/>
          <w:highlight w:val="none"/>
        </w:rPr>
      </w:pPr>
      <w:r>
        <w:rPr>
          <w:rFonts w:hint="eastAsia" w:ascii="方正仿宋简体" w:eastAsia="方正仿宋简体"/>
          <w:b/>
          <w:bCs/>
          <w:color w:val="auto"/>
          <w:sz w:val="28"/>
          <w:szCs w:val="28"/>
          <w:highlight w:val="none"/>
        </w:rPr>
        <w:t>第十</w:t>
      </w:r>
      <w:r>
        <w:rPr>
          <w:rFonts w:hint="eastAsia" w:ascii="方正仿宋简体" w:eastAsia="方正仿宋简体"/>
          <w:b/>
          <w:bCs/>
          <w:color w:val="auto"/>
          <w:sz w:val="28"/>
          <w:szCs w:val="28"/>
          <w:highlight w:val="none"/>
          <w:lang w:eastAsia="zh-CN"/>
        </w:rPr>
        <w:t>七</w:t>
      </w:r>
      <w:r>
        <w:rPr>
          <w:rFonts w:hint="eastAsia" w:ascii="方正仿宋简体" w:eastAsia="方正仿宋简体"/>
          <w:b/>
          <w:bCs/>
          <w:color w:val="auto"/>
          <w:sz w:val="28"/>
          <w:szCs w:val="28"/>
          <w:highlight w:val="none"/>
        </w:rPr>
        <w:t>条</w:t>
      </w:r>
      <w:r>
        <w:rPr>
          <w:rFonts w:hint="eastAsia" w:ascii="方正仿宋简体" w:eastAsia="方正仿宋简体"/>
          <w:bCs/>
          <w:color w:val="auto"/>
          <w:sz w:val="28"/>
          <w:szCs w:val="28"/>
          <w:highlight w:val="none"/>
        </w:rPr>
        <w:t xml:space="preserve"> </w:t>
      </w:r>
      <w:r>
        <w:rPr>
          <w:rFonts w:hint="eastAsia" w:ascii="方正仿宋简体" w:eastAsia="方正仿宋简体"/>
          <w:bCs/>
          <w:color w:val="auto"/>
          <w:sz w:val="28"/>
          <w:szCs w:val="28"/>
          <w:highlight w:val="none"/>
          <w:lang w:val="en-US" w:eastAsia="zh-CN"/>
        </w:rPr>
        <w:t xml:space="preserve"> </w:t>
      </w:r>
      <w:r>
        <w:rPr>
          <w:rFonts w:hint="eastAsia" w:ascii="方正仿宋简体" w:eastAsia="方正仿宋简体"/>
          <w:bCs/>
          <w:color w:val="auto"/>
          <w:sz w:val="28"/>
          <w:szCs w:val="28"/>
          <w:highlight w:val="none"/>
        </w:rPr>
        <w:t>建设工程完工后，地方消防</w:t>
      </w:r>
      <w:r>
        <w:rPr>
          <w:rFonts w:hint="eastAsia" w:ascii="方正仿宋简体" w:eastAsia="方正仿宋简体"/>
          <w:bCs/>
          <w:color w:val="auto"/>
          <w:sz w:val="28"/>
          <w:szCs w:val="28"/>
          <w:highlight w:val="none"/>
          <w:lang w:eastAsia="zh-CN"/>
        </w:rPr>
        <w:t>主管</w:t>
      </w:r>
      <w:r>
        <w:rPr>
          <w:rFonts w:hint="eastAsia" w:ascii="方正仿宋简体" w:eastAsia="方正仿宋简体"/>
          <w:bCs/>
          <w:color w:val="auto"/>
          <w:sz w:val="28"/>
          <w:szCs w:val="28"/>
          <w:highlight w:val="none"/>
        </w:rPr>
        <w:t>部门提出专项消防验收的，验收合格后，方能投入使用。</w:t>
      </w:r>
    </w:p>
    <w:p>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textAlignment w:val="auto"/>
        <w:outlineLvl w:val="9"/>
        <w:rPr>
          <w:rFonts w:hint="eastAsia" w:ascii="方正仿宋简体" w:eastAsia="方正仿宋简体"/>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w:t>
      </w:r>
      <w:r>
        <w:rPr>
          <w:rFonts w:hint="eastAsia" w:ascii="方正黑体简体" w:hAnsi="方正黑体简体" w:eastAsia="方正黑体简体" w:cs="方正黑体简体"/>
          <w:b w:val="0"/>
          <w:bCs/>
          <w:color w:val="auto"/>
          <w:sz w:val="30"/>
          <w:szCs w:val="30"/>
          <w:highlight w:val="none"/>
          <w:lang w:eastAsia="zh-CN"/>
        </w:rPr>
        <w:t>五</w:t>
      </w:r>
      <w:r>
        <w:rPr>
          <w:rFonts w:hint="eastAsia" w:ascii="方正黑体简体" w:hAnsi="方正黑体简体" w:eastAsia="方正黑体简体" w:cs="方正黑体简体"/>
          <w:b w:val="0"/>
          <w:bCs/>
          <w:color w:val="auto"/>
          <w:sz w:val="30"/>
          <w:szCs w:val="30"/>
          <w:highlight w:val="none"/>
        </w:rPr>
        <w:t>章  消防教育培训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w:t>
      </w:r>
      <w:r>
        <w:rPr>
          <w:rFonts w:hint="eastAsia" w:ascii="方正仿宋简体" w:hAnsi="方正仿宋简体" w:eastAsia="方正仿宋简体" w:cs="方正仿宋简体"/>
          <w:b/>
          <w:color w:val="auto"/>
          <w:sz w:val="28"/>
          <w:szCs w:val="28"/>
          <w:highlight w:val="none"/>
          <w:lang w:eastAsia="zh-CN"/>
        </w:rPr>
        <w:t>八</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质量安全环保部</w:t>
      </w:r>
      <w:r>
        <w:rPr>
          <w:rFonts w:hint="eastAsia" w:ascii="方正仿宋简体" w:hAnsi="方正仿宋简体" w:eastAsia="方正仿宋简体" w:cs="方正仿宋简体"/>
          <w:color w:val="auto"/>
          <w:sz w:val="28"/>
          <w:szCs w:val="28"/>
          <w:highlight w:val="none"/>
        </w:rPr>
        <w:t>负责组织集中的消防宣传培训活动，各机关部门和基层单位负责对所属员工开展经常性消防宣传培训。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w:t>
      </w:r>
      <w:r>
        <w:rPr>
          <w:rFonts w:hint="eastAsia" w:ascii="方正仿宋简体" w:hAnsi="方正仿宋简体" w:eastAsia="方正仿宋简体" w:cs="方正仿宋简体"/>
          <w:b/>
          <w:color w:val="auto"/>
          <w:sz w:val="28"/>
          <w:szCs w:val="28"/>
          <w:highlight w:val="none"/>
          <w:lang w:eastAsia="zh-CN"/>
        </w:rPr>
        <w:t>九</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单位消防安全责任人、消防安全机构管理人员、专、兼职消防人员、消防设施维护、管理、操作人员，消防设备操作人员应学习掌握相应的消防安全知识或操作技能，按国家相关规定培训，持证上岗。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w:t>
      </w:r>
      <w:r>
        <w:rPr>
          <w:rFonts w:hint="eastAsia" w:ascii="方正仿宋简体" w:hAnsi="方正仿宋简体" w:eastAsia="方正仿宋简体" w:cs="方正仿宋简体"/>
          <w:b/>
          <w:color w:val="auto"/>
          <w:sz w:val="28"/>
          <w:szCs w:val="28"/>
          <w:highlight w:val="none"/>
          <w:lang w:eastAsia="zh-CN"/>
        </w:rPr>
        <w:t>二十</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对新入厂及转岗员工和进入生产作业场所的各类人员应进行消防安全知识教育。</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lang w:eastAsia="zh-CN"/>
        </w:rPr>
      </w:pPr>
      <w:r>
        <w:rPr>
          <w:rFonts w:hint="eastAsia" w:ascii="方正仿宋简体" w:hAnsi="方正仿宋简体" w:eastAsia="方正仿宋简体" w:cs="方正仿宋简体"/>
          <w:b/>
          <w:color w:val="auto"/>
          <w:sz w:val="28"/>
          <w:szCs w:val="28"/>
          <w:highlight w:val="none"/>
          <w:lang w:eastAsia="zh-CN"/>
        </w:rPr>
        <w:t>第二十一条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eastAsia="方正仿宋简体"/>
          <w:bCs/>
          <w:color w:val="auto"/>
          <w:sz w:val="28"/>
          <w:szCs w:val="28"/>
          <w:highlight w:val="none"/>
          <w:lang w:eastAsia="zh-CN"/>
        </w:rPr>
        <w:t>各单位</w:t>
      </w:r>
      <w:r>
        <w:rPr>
          <w:rFonts w:hint="eastAsia" w:ascii="方正仿宋简体" w:eastAsia="方正仿宋简体"/>
          <w:bCs/>
          <w:color w:val="auto"/>
          <w:sz w:val="28"/>
          <w:szCs w:val="28"/>
          <w:highlight w:val="none"/>
        </w:rPr>
        <w:t>应当通过张贴画报、</w:t>
      </w:r>
      <w:r>
        <w:rPr>
          <w:rFonts w:hint="eastAsia" w:ascii="方正仿宋简体" w:eastAsia="方正仿宋简体"/>
          <w:bCs/>
          <w:color w:val="auto"/>
          <w:sz w:val="28"/>
          <w:szCs w:val="28"/>
          <w:highlight w:val="none"/>
          <w:lang w:eastAsia="zh-CN"/>
        </w:rPr>
        <w:t>发放资料、</w:t>
      </w:r>
      <w:r>
        <w:rPr>
          <w:rFonts w:hint="eastAsia" w:ascii="方正仿宋简体" w:eastAsia="方正仿宋简体"/>
          <w:bCs/>
          <w:color w:val="auto"/>
          <w:sz w:val="28"/>
          <w:szCs w:val="28"/>
          <w:highlight w:val="none"/>
        </w:rPr>
        <w:t>网络等向</w:t>
      </w:r>
      <w:r>
        <w:rPr>
          <w:rFonts w:hint="eastAsia" w:ascii="方正仿宋简体" w:eastAsia="方正仿宋简体"/>
          <w:bCs/>
          <w:color w:val="auto"/>
          <w:sz w:val="28"/>
          <w:szCs w:val="28"/>
          <w:highlight w:val="none"/>
          <w:lang w:eastAsia="zh-CN"/>
        </w:rPr>
        <w:t>员工</w:t>
      </w:r>
      <w:r>
        <w:rPr>
          <w:rFonts w:hint="eastAsia" w:ascii="方正仿宋简体" w:eastAsia="方正仿宋简体"/>
          <w:bCs/>
          <w:color w:val="auto"/>
          <w:sz w:val="28"/>
          <w:szCs w:val="28"/>
          <w:highlight w:val="none"/>
        </w:rPr>
        <w:t>宣传防火、灭火、疏散逃生等常识。每年的11月9日是全国消防宣传日，各单位应组织开展相应的宣传活动。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w:t>
      </w:r>
      <w:r>
        <w:rPr>
          <w:rFonts w:hint="eastAsia" w:ascii="方正黑体简体" w:hAnsi="方正黑体简体" w:eastAsia="方正黑体简体" w:cs="方正黑体简体"/>
          <w:b w:val="0"/>
          <w:bCs/>
          <w:color w:val="auto"/>
          <w:sz w:val="30"/>
          <w:szCs w:val="30"/>
          <w:highlight w:val="none"/>
          <w:lang w:eastAsia="zh-CN"/>
        </w:rPr>
        <w:t>六</w:t>
      </w:r>
      <w:r>
        <w:rPr>
          <w:rFonts w:hint="eastAsia" w:ascii="方正黑体简体" w:hAnsi="方正黑体简体" w:eastAsia="方正黑体简体" w:cs="方正黑体简体"/>
          <w:b w:val="0"/>
          <w:bCs/>
          <w:color w:val="auto"/>
          <w:sz w:val="30"/>
          <w:szCs w:val="30"/>
          <w:highlight w:val="none"/>
        </w:rPr>
        <w:t>章  灭火救援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w:t>
      </w:r>
      <w:r>
        <w:rPr>
          <w:rFonts w:hint="eastAsia" w:ascii="方正仿宋简体" w:hAnsi="方正仿宋简体" w:eastAsia="方正仿宋简体" w:cs="方正仿宋简体"/>
          <w:b/>
          <w:color w:val="auto"/>
          <w:sz w:val="28"/>
          <w:szCs w:val="28"/>
          <w:highlight w:val="none"/>
          <w:lang w:eastAsia="zh-CN"/>
        </w:rPr>
        <w:t>二</w:t>
      </w:r>
      <w:r>
        <w:rPr>
          <w:rFonts w:hint="eastAsia" w:ascii="方正仿宋简体" w:hAnsi="方正仿宋简体" w:eastAsia="方正仿宋简体" w:cs="方正仿宋简体"/>
          <w:b/>
          <w:color w:val="auto"/>
          <w:sz w:val="28"/>
          <w:szCs w:val="28"/>
          <w:highlight w:val="none"/>
        </w:rPr>
        <w:t>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发现火情时，应立即报警。任何人不得阻拦报警，严禁谎报火警。发生火灾的单位必须立即组织控制和扑灭火灾，组织疏散人员。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在组织和指挥火灾现场扑救时，应及时设立临时灭火指挥部，由管安全的负责人或上级负责人任总指挥。灭火总指挥应根据灭火预案决定下列事项：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1．截断电及可燃物质的输送。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2．使用各种水源。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3．划定警戒区，实行局部交通管制。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4．为防止火灾蔓延，拆除比邻火场的建筑物、构筑物。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5．向供水、供电、医疗救护、交通运输等有关单位请求灭火救援。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6．向邻近公安消防部门请求增援。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发生火灾单位应保护现场，如实向事故调查组提供火灾事故的情况。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lang w:eastAsia="zh-CN"/>
        </w:rPr>
        <w:t>第七章</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 消防设施</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消防基础设施建设，必须与本单位生产建设相配套，做到统一规划，同步发展。</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第二十四条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消防基础设施建设装备、器材，应满足国家及有关行业消防法规、标准规范以及科技进步的要求。</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各单位应加强对现有消防设施的管理，确保各种消防设备、设施完整好用。积极采用和推广消防新技术、新产品。</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第二十六条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各单位应从实际出发，按规定配置灭火抢险救援器材、训练器材、检测仪器和防护装备，满足抢险救灾和灭火救援的需要。</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第二十七条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各单位应建立消防设施、器材台帐。负责本单位消防设施检查日常管理、维护和保养工作。</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第二十八条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各单位应对消防设施加强管理，定期检查、维护和保养。任何单位和个人不得擅自拆卸、圈占、挪用和停用消防设施。</w:t>
      </w:r>
    </w:p>
    <w:p>
      <w:pPr>
        <w:keepNext w:val="0"/>
        <w:keepLines w:val="0"/>
        <w:pageBreakBefore w:val="0"/>
        <w:widowControl/>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第二十九条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kern w:val="0"/>
          <w:sz w:val="28"/>
          <w:szCs w:val="28"/>
          <w:highlight w:val="none"/>
        </w:rPr>
        <w:t xml:space="preserve"> </w:t>
      </w:r>
      <w:r>
        <w:rPr>
          <w:rFonts w:hint="eastAsia" w:ascii="方正仿宋简体" w:hAnsi="方正仿宋简体" w:eastAsia="方正仿宋简体" w:cs="方正仿宋简体"/>
          <w:color w:val="auto"/>
          <w:sz w:val="28"/>
          <w:szCs w:val="28"/>
          <w:highlight w:val="none"/>
        </w:rPr>
        <w:t>各属地单位应履行下列消防管理职责：</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1.贯彻执行国家有关消防设施使用、维护保养的法律法规、技术标准和企业规定；</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2.消防设施操作、检查和维护保养工作安排专人负责；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3.组织学习消防设施管理制度和操作规程，开展应急演练，保证岗位员工能够熟练操作；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4.落实维护保养制度，确保消防设施完备好用；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5.定期对消防设施进行检查。重点防火部位（储配场站）应每周对消防设施进行检查维护，并填写在设备设施维护保养记录中，每</w:t>
      </w:r>
      <w:r>
        <w:rPr>
          <w:rFonts w:hint="eastAsia" w:ascii="方正仿宋简体" w:hAnsi="方正仿宋简体" w:eastAsia="方正仿宋简体" w:cs="方正仿宋简体"/>
          <w:color w:val="auto"/>
          <w:sz w:val="28"/>
          <w:szCs w:val="28"/>
          <w:highlight w:val="none"/>
          <w:lang w:val="en-US" w:eastAsia="zh-CN"/>
        </w:rPr>
        <w:t>周</w:t>
      </w:r>
      <w:r>
        <w:rPr>
          <w:rFonts w:hint="eastAsia" w:ascii="方正仿宋简体" w:hAnsi="方正仿宋简体" w:eastAsia="方正仿宋简体" w:cs="方正仿宋简体"/>
          <w:color w:val="auto"/>
          <w:sz w:val="28"/>
          <w:szCs w:val="28"/>
          <w:highlight w:val="none"/>
        </w:rPr>
        <w:t>完善维护保养卡片上相关内容；其他地点的消防设施每月由属地保管人进行维护保养并在维护保养卡片上作好记录。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第三十条</w:t>
      </w:r>
      <w:r>
        <w:rPr>
          <w:rFonts w:hint="eastAsia" w:ascii="方正仿宋简体" w:hAnsi="方正仿宋简体" w:eastAsia="方正仿宋简体" w:cs="方正仿宋简体"/>
          <w:b/>
          <w:color w:val="auto"/>
          <w:kern w:val="0"/>
          <w:sz w:val="28"/>
          <w:szCs w:val="28"/>
          <w:highlight w:val="none"/>
        </w:rPr>
        <w:t xml:space="preserve"> </w:t>
      </w:r>
      <w:r>
        <w:rPr>
          <w:rFonts w:hint="eastAsia" w:ascii="方正仿宋简体" w:hAnsi="方正仿宋简体" w:eastAsia="方正仿宋简体" w:cs="方正仿宋简体"/>
          <w:color w:val="auto"/>
          <w:sz w:val="28"/>
          <w:szCs w:val="28"/>
          <w:highlight w:val="none"/>
        </w:rPr>
        <w:t xml:space="preserve"> 固定消防设施检查内容：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1.消防泵房应有固定灭火系统操作示意图、流程示意图和操作规程，泵房内设施、设备完好；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2.检查消防水罐（池）的蓄水量，保证灭火需要；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3.固定消防灭火系统应定期进行测试，保证系统完好。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第三十一条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消火栓设置应符合规范要求并定期进行检查，冬季要做好保温措施。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按规范配置水带箱并定期进行检查，保证箱内器材完整好用。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配置灭火器应符合规范，每月检查并做好记录。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第三十四条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消防安全标志设置应符合规范要求，标识正确。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第三十五条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消防设施出现故障时应及时组织修复。因改造或检修必须停用时，应事先报上级消防监督部门备案并采取应急措施，确保消防安全。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lang w:eastAsia="zh-CN"/>
        </w:rPr>
        <w:t>第八章</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 消防监督检查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质量安全环保部</w:t>
      </w:r>
      <w:r>
        <w:rPr>
          <w:rFonts w:hint="eastAsia" w:ascii="方正仿宋简体" w:hAnsi="方正仿宋简体" w:eastAsia="方正仿宋简体" w:cs="方正仿宋简体"/>
          <w:color w:val="auto"/>
          <w:sz w:val="28"/>
          <w:szCs w:val="28"/>
          <w:highlight w:val="none"/>
        </w:rPr>
        <w:t>负责组织公司消防安全监督检查。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第三十七条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消防监督的权力与义务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1.持“安全检查证”可进入公司任何生产现场和办公场所进行检查（对进入有要求的，应遵守其规定）；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2.检查中发现火灾隐患，有权要求立即整改或限期整改，有权进行处罚；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3.发现重大火灾隐患时，有权要求被检单位立即停止作业，并将情况向上级主管部门报告；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4.协助被检单位拟定火灾隐患整改措施，制定火灾隐患整改期间的防范措施。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第三十八条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kern w:val="0"/>
          <w:sz w:val="28"/>
          <w:szCs w:val="28"/>
          <w:highlight w:val="none"/>
        </w:rPr>
        <w:t xml:space="preserve">消防监督检查内容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1.防火安全责任制落实情况；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2.消防安全制度和消防安全操作规程制定情况；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3.防火检查、火灾隐患消除（整改）情况；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4.消防宣传教育及岗位员工掌握消防技能的情况；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5.消防设施器材和安全标志设置情况；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6.消防道路、疏散通道、安全出口和应急照明情况；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7.易燃易爆生产场所防火、防爆措施落实情况；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8.电气设备检测（防静电、防雷）情况；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9.“三同时”落实情况；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10.应急预案的培训和演练情况；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11.其它需要检查的内容。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 xml:space="preserve">第三十九条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消防监督检查方法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一、询问单位防火工作开展及员工消防知识掌握等情况；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二、查阅有关消防安全的文件、资料；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三、查看作业现场是否符合消防安全要求；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四、检查消防器材、设施配置是否符合标准；</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五、测试消防设施、设备是否完好。</w:t>
      </w:r>
    </w:p>
    <w:p>
      <w:pPr>
        <w:spacing w:line="560" w:lineRule="exact"/>
        <w:ind w:firstLine="562"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 xml:space="preserve">第四十条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下列情形之一，应确定为重大火灾隐患</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1.影响人员安全疏散或灭火救援行动的；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2.固定消防设施不能正常使用的；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3.擅自改变防火分区、占用防火间距，易导致火势蔓延、扩大的；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4.在人员密集场所违反消防安全规定，使用、储存易燃易爆化学物品的；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5.不符合消防安全布局要求，影响公共安全的；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6.易燃易爆生产场所未按规定设置（采取）防火、防爆措施的；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7.未经审批进行工业动火的；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8.未经消防设计审核擅自施工或者未经消防验收擅自投入使用的建筑工程；</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9.其它可能引起重大损失的火灾隐患。</w:t>
      </w:r>
    </w:p>
    <w:p>
      <w:pPr>
        <w:spacing w:line="560" w:lineRule="exact"/>
        <w:ind w:firstLine="562"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第四十一条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下列隐患应立即整改</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1.违反规定进入生产、储存易燃易爆危险品场所的；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2.违反规定使用明火或在易燃易爆危险场所吸烟、使用手机的；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3.堵塞、封闭安全出口、疏散通道或其他妨碍疏散行为的；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4.占用消防车通道、防火间距或其他妨碍消防车通行的；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5.消防设施、灭火器材被遮挡等妨碍使用或挪作他用的；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6.常闭式防火门处于开启状态或防火卷帘下堆放物品的；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7.违章关闭消防设施、切断消防电源的；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8.消防控制室值班人员不履行职责的；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9.违反工业动火管理规定的；</w:t>
      </w:r>
    </w:p>
    <w:p>
      <w:pPr>
        <w:spacing w:line="560" w:lineRule="exact"/>
        <w:ind w:firstLine="560"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10.它应当立即整改的火灾隐患。</w:t>
      </w:r>
    </w:p>
    <w:p>
      <w:pPr>
        <w:spacing w:line="560" w:lineRule="exact"/>
        <w:ind w:firstLine="562" w:firstLineChars="200"/>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第四十二条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下列隐患应限期整改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1.违章用火、用电，不能立即整改的；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2.堵塞、封闭安全出口、疏散通道或其他妨碍疏散的行为，不能立即改正的；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3.占用消防车通道、防火间距或其他妨碍消防车通行的行为，不能立即改正的；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4.疏散指示标志、应急照明不足、损坏或疏散指示标志标识错误，影响人员安全疏散的；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5.、未按规定设置消火栓、灭火器材或消火栓、灭火器材损坏的；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6.消火栓、消防水池被埋压、圈占、损坏影响正常使用的；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7.固定消防设施损坏，不能立即恢复使用的；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8.其他应当限期整改的行为。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第</w:t>
      </w:r>
      <w:r>
        <w:rPr>
          <w:rFonts w:hint="eastAsia" w:ascii="方正黑体简体" w:hAnsi="方正黑体简体" w:eastAsia="方正黑体简体" w:cs="方正黑体简体"/>
          <w:b w:val="0"/>
          <w:bCs/>
          <w:color w:val="auto"/>
          <w:sz w:val="30"/>
          <w:szCs w:val="30"/>
          <w:highlight w:val="none"/>
          <w:lang w:eastAsia="zh-CN"/>
        </w:rPr>
        <w:t>九</w:t>
      </w:r>
      <w:r>
        <w:rPr>
          <w:rFonts w:hint="eastAsia" w:ascii="方正黑体简体" w:hAnsi="方正黑体简体" w:eastAsia="方正黑体简体" w:cs="方正黑体简体"/>
          <w:b w:val="0"/>
          <w:bCs/>
          <w:color w:val="auto"/>
          <w:sz w:val="30"/>
          <w:szCs w:val="30"/>
          <w:highlight w:val="none"/>
        </w:rPr>
        <w:t>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第四十三条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本办法由</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eastAsia="方正小标宋简体"/>
          <w:b w:val="0"/>
          <w:bCs w:val="0"/>
          <w:color w:val="auto"/>
          <w:sz w:val="36"/>
          <w:szCs w:val="36"/>
          <w:highlight w:val="none"/>
        </w:rPr>
      </w:pPr>
      <w:r>
        <w:rPr>
          <w:rFonts w:hint="eastAsia" w:ascii="方正仿宋简体" w:hAnsi="方正仿宋简体" w:eastAsia="方正仿宋简体" w:cs="方正仿宋简体"/>
          <w:color w:val="auto"/>
          <w:sz w:val="28"/>
          <w:szCs w:val="28"/>
          <w:highlight w:val="none"/>
        </w:rPr>
        <w:br w:type="page"/>
      </w:r>
      <w:bookmarkStart w:id="710" w:name="_Toc5624"/>
      <w:bookmarkStart w:id="711" w:name="_Toc17835"/>
      <w:bookmarkStart w:id="712" w:name="_Toc19780"/>
      <w:bookmarkStart w:id="713" w:name="_Toc28046"/>
      <w:bookmarkStart w:id="714" w:name="_Toc29779"/>
      <w:bookmarkStart w:id="715" w:name="_Toc28416"/>
      <w:r>
        <w:rPr>
          <w:rFonts w:hint="eastAsia" w:ascii="方正小标宋简体" w:eastAsia="方正小标宋简体"/>
          <w:b w:val="0"/>
          <w:bCs w:val="0"/>
          <w:color w:val="auto"/>
          <w:sz w:val="36"/>
          <w:szCs w:val="36"/>
          <w:highlight w:val="none"/>
        </w:rPr>
        <w:t>中油南充燃气有限责任公司交通安全管理办法</w:t>
      </w:r>
      <w:bookmarkEnd w:id="710"/>
      <w:bookmarkEnd w:id="711"/>
      <w:bookmarkEnd w:id="712"/>
      <w:bookmarkEnd w:id="713"/>
      <w:bookmarkEnd w:id="714"/>
      <w:bookmarkEnd w:id="715"/>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eastAsia="方正小标宋简体"/>
          <w:b w:val="0"/>
          <w:bCs w:val="0"/>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baseline"/>
        <w:outlineLvl w:val="9"/>
        <w:rPr>
          <w:rFonts w:ascii="方正黑体简体" w:eastAsia="方正黑体简体"/>
          <w:b w:val="0"/>
          <w:bCs/>
          <w:color w:val="auto"/>
          <w:sz w:val="30"/>
          <w:highlight w:val="none"/>
        </w:rPr>
      </w:pPr>
      <w:r>
        <w:rPr>
          <w:rFonts w:hint="eastAsia" w:ascii="方正黑体简体" w:hAnsi="宋体" w:eastAsia="方正黑体简体"/>
          <w:b w:val="0"/>
          <w:bCs/>
          <w:color w:val="auto"/>
          <w:sz w:val="30"/>
          <w:highlight w:val="none"/>
        </w:rPr>
        <w:t>第一章  总  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第一条 </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kern w:val="2"/>
          <w:sz w:val="28"/>
          <w:szCs w:val="28"/>
          <w:highlight w:val="none"/>
        </w:rPr>
        <w:t>为加强和规范公司车辆的使用和管理，切实贯彻《中华人民共和国道路交通安全法》、《中共中央政治局关于改进工作作风、密切联系群众的八项规定》、《西南油气田分公司反违章十条禁令》、《西南油气田公司道路交通安全管理规定》、《四川川港燃气有限责任公司交通安全管理实施细则》及其实施细则等相关法律及规章制度的要求，提高车辆运行利用效能，降低生产成本费用，保证车辆行驶安全，预防道路交通事故的发生，为公司各项生产经营活动有序开展提供服务保障，结合公司工作实际，特制订本办法。</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交通安全工作坚持“安全第一，预防为主，综合治理”方针，遵循“一岗双责”的要求和“谁主管、谁负责，谁调派、谁负责，谁带车、谁负责”的原则和事故调查处理“四不放过”原则，逐级落实交通安全责任制，确保交通安全受控。</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1"/>
        <w:rPr>
          <w:rFonts w:hint="eastAsia" w:ascii="方正黑体简体" w:hAnsi="方正黑体简体" w:eastAsia="方正黑体简体" w:cs="方正黑体简体"/>
          <w:b w:val="0"/>
          <w:bCs w:val="0"/>
          <w:color w:val="auto"/>
          <w:kern w:val="2"/>
          <w:sz w:val="30"/>
          <w:szCs w:val="30"/>
          <w:highlight w:val="none"/>
        </w:rPr>
      </w:pPr>
      <w:r>
        <w:rPr>
          <w:rFonts w:hint="eastAsia" w:ascii="方正黑体简体" w:hAnsi="方正黑体简体" w:eastAsia="方正黑体简体" w:cs="方正黑体简体"/>
          <w:b w:val="0"/>
          <w:bCs w:val="0"/>
          <w:color w:val="auto"/>
          <w:kern w:val="2"/>
          <w:sz w:val="30"/>
          <w:szCs w:val="30"/>
          <w:highlight w:val="none"/>
        </w:rPr>
        <w:t>第二章</w:t>
      </w:r>
      <w:r>
        <w:rPr>
          <w:rFonts w:hint="eastAsia" w:ascii="方正黑体简体" w:hAnsi="方正黑体简体" w:eastAsia="方正黑体简体" w:cs="方正黑体简体"/>
          <w:b w:val="0"/>
          <w:bCs w:val="0"/>
          <w:color w:val="auto"/>
          <w:kern w:val="2"/>
          <w:sz w:val="30"/>
          <w:szCs w:val="30"/>
          <w:highlight w:val="none"/>
          <w:lang w:val="en-US" w:eastAsia="zh-CN"/>
        </w:rPr>
        <w:t xml:space="preserve">  </w:t>
      </w:r>
      <w:r>
        <w:rPr>
          <w:rFonts w:hint="eastAsia" w:ascii="方正黑体简体" w:hAnsi="方正黑体简体" w:eastAsia="方正黑体简体" w:cs="方正黑体简体"/>
          <w:b w:val="0"/>
          <w:bCs w:val="0"/>
          <w:color w:val="auto"/>
          <w:kern w:val="2"/>
          <w:sz w:val="30"/>
          <w:szCs w:val="30"/>
          <w:highlight w:val="none"/>
        </w:rPr>
        <w:t>管理机构及职责</w:t>
      </w:r>
    </w:p>
    <w:p>
      <w:pPr>
        <w:keepNext w:val="0"/>
        <w:keepLines w:val="0"/>
        <w:pageBreakBefore w:val="0"/>
        <w:widowControl w:val="0"/>
        <w:kinsoku/>
        <w:wordWrap/>
        <w:overflowPunct/>
        <w:topLinePunct w:val="0"/>
        <w:autoSpaceDE/>
        <w:autoSpaceDN/>
        <w:bidi w:val="0"/>
        <w:adjustRightInd/>
        <w:snapToGrid w:val="0"/>
        <w:spacing w:beforeLines="50" w:after="0" w:afterLines="5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公司的主要负责人是本单位道路交通安全的第一责任人，分管领导负责分管业务的道路交通安全管理工作。各业务主管部门（单位）负责所管业务的道路交通安全管理工作。各业务主管部门（单位）应在</w:t>
      </w:r>
      <w:r>
        <w:rPr>
          <w:rFonts w:hint="eastAsia" w:ascii="方正仿宋简体" w:hAnsi="方正仿宋简体" w:eastAsia="方正仿宋简体" w:cs="方正仿宋简体"/>
          <w:color w:val="auto"/>
          <w:kern w:val="2"/>
          <w:sz w:val="28"/>
          <w:szCs w:val="28"/>
          <w:highlight w:val="none"/>
          <w:lang w:eastAsia="zh-CN"/>
        </w:rPr>
        <w:t>QHSE</w:t>
      </w:r>
      <w:r>
        <w:rPr>
          <w:rFonts w:hint="eastAsia" w:ascii="方正仿宋简体" w:hAnsi="方正仿宋简体" w:eastAsia="方正仿宋简体" w:cs="方正仿宋简体"/>
          <w:color w:val="auto"/>
          <w:kern w:val="2"/>
          <w:sz w:val="28"/>
          <w:szCs w:val="28"/>
          <w:highlight w:val="none"/>
        </w:rPr>
        <w:t>管理委员会的统一领导下，将交通安全工作纳入安全生产总体工作之中。</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b/>
          <w:bCs/>
          <w:color w:val="auto"/>
          <w:kern w:val="2"/>
          <w:sz w:val="28"/>
          <w:szCs w:val="28"/>
          <w:highlight w:val="none"/>
          <w:lang w:val="en-US" w:eastAsia="zh-CN"/>
        </w:rPr>
        <w:t>第四条</w:t>
      </w:r>
      <w:r>
        <w:rPr>
          <w:rFonts w:hint="eastAsia" w:ascii="方正仿宋简体" w:hAnsi="方正仿宋简体" w:eastAsia="方正仿宋简体" w:cs="方正仿宋简体"/>
          <w:color w:val="auto"/>
          <w:kern w:val="2"/>
          <w:sz w:val="28"/>
          <w:szCs w:val="28"/>
          <w:highlight w:val="none"/>
          <w:lang w:val="en-US" w:eastAsia="zh-CN"/>
        </w:rPr>
        <w:t xml:space="preserve">  公司是道路交通安全工作的责任主体，应当结合安全生产工作的实际，设置满足道路交通安全监督管理实际需要的组织机构，配备专（兼）职道路交通安全监督管理专业人员，建立与公司管理相适应的道路交通安全管理机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公司各业务主管部门（单位）不得承担剧毒化学品道路运输业务和营运性业务。涉及剧毒化学品销售或采购的各业务主管部门（单位）应以剧毒化学品出库或入库为风险转移节点，特殊情况确需道路运输的，应选择有资质的承运方承运并依法明确双方安全生产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b/>
          <w:bCs/>
          <w:color w:val="auto"/>
          <w:kern w:val="2"/>
          <w:sz w:val="28"/>
          <w:szCs w:val="28"/>
          <w:highlight w:val="none"/>
          <w:lang w:val="en-US" w:eastAsia="zh-CN"/>
        </w:rPr>
        <w:t>第五条</w:t>
      </w:r>
      <w:r>
        <w:rPr>
          <w:rFonts w:hint="eastAsia" w:ascii="方正仿宋简体" w:hAnsi="方正仿宋简体" w:eastAsia="方正仿宋简体" w:cs="方正仿宋简体"/>
          <w:color w:val="auto"/>
          <w:kern w:val="2"/>
          <w:sz w:val="28"/>
          <w:szCs w:val="28"/>
          <w:highlight w:val="none"/>
          <w:lang w:val="en-US" w:eastAsia="zh-CN"/>
        </w:rPr>
        <w:t xml:space="preserve">  公司质量安全环保部是道路交通安全监督管理的归口部门。负责国家道路交通安全法律、法规和标准，以及集团公司道路交通安全管理制度贯彻落实情况的监督；负责制（修）订道路交通安全管理制度并组织落实；负责监督、检查和指导道路交通安全管理工作；负责车辆维修的项目审核；负责道路交通事故内部调查及事故事件管理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b/>
          <w:bCs/>
          <w:color w:val="auto"/>
          <w:kern w:val="2"/>
          <w:sz w:val="28"/>
          <w:szCs w:val="28"/>
          <w:highlight w:val="none"/>
          <w:lang w:val="en-US" w:eastAsia="zh-CN"/>
        </w:rPr>
        <w:t>第六条</w:t>
      </w:r>
      <w:r>
        <w:rPr>
          <w:rFonts w:hint="eastAsia" w:ascii="方正仿宋简体" w:hAnsi="方正仿宋简体" w:eastAsia="方正仿宋简体" w:cs="方正仿宋简体"/>
          <w:color w:val="auto"/>
          <w:kern w:val="2"/>
          <w:sz w:val="28"/>
          <w:szCs w:val="28"/>
          <w:highlight w:val="none"/>
          <w:lang w:val="en-US" w:eastAsia="zh-CN"/>
        </w:rPr>
        <w:t xml:space="preserve">  公司及所属各单位办公室负责公务用车管理；市场销售部负责将道路交通安全资本性支出纳入计划；财务部负责将道路交通安全业务管理各项费用纳入预算并监督使用；经理党委办负责道路交通安全管理机构设置及人员配备，组织开展员工道路交通安全培训；生产保障中心负责职责范围内的车辆完整性管理；其他部门负责职责范围内的道路交通安全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b/>
          <w:bCs/>
          <w:color w:val="auto"/>
          <w:kern w:val="2"/>
          <w:sz w:val="28"/>
          <w:szCs w:val="28"/>
          <w:highlight w:val="none"/>
          <w:lang w:val="en-US" w:eastAsia="zh-CN"/>
        </w:rPr>
        <w:t>第七条</w:t>
      </w:r>
      <w:r>
        <w:rPr>
          <w:rFonts w:hint="eastAsia" w:ascii="方正仿宋简体" w:hAnsi="方正仿宋简体" w:eastAsia="方正仿宋简体" w:cs="方正仿宋简体"/>
          <w:color w:val="auto"/>
          <w:kern w:val="2"/>
          <w:sz w:val="28"/>
          <w:szCs w:val="28"/>
          <w:highlight w:val="none"/>
          <w:lang w:val="en-US" w:eastAsia="zh-CN"/>
        </w:rPr>
        <w:t xml:space="preserve">  生产保障中心是公司公务车辆管理基层单位，设专职交通安全管理岗位。</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1.负责组织对车辆管理人员及驾驶员道路交通安全法律法规的学习宣传贯彻工作。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2.按照西南油气田分公司、川港公司车辆管理办法，在公司业务部门指导检查，负责驾驶员技术档案及车辆技术档案的建立、填写和收集管理。建立健全公司车辆管理的相关基础资料台账，统计、分析和评价及上报，不断完善和持续改进。</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3.根据公司生产经营需要，对公司车辆进行统一管理，调派及临时租用车辆管理。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4.负责做好驾驶员的日常管理，关注驾驶员技能状态、思想动态，身体状态、家庭动态、组织开展驾驶员技能及HSE知识培训考评。</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5.负责车辆入籍、车辆保险、年检年审、报废、维修等车管业务。</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6.协助公司质量安全环保部对公司车辆发生的道路交通事故进行调查，提出处理意见，建立交通事故档案，并负责交通事故的统计报告。</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7.负责GPS监控终端对车辆运行全过程的监督。</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8.配合业务部门组织内部交通安全检查，对事故隐患和交通违法行为进行处罚。</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600" w:firstLineChars="200"/>
        <w:jc w:val="center"/>
        <w:textAlignment w:val="baseline"/>
        <w:outlineLvl w:val="9"/>
        <w:rPr>
          <w:rFonts w:hint="eastAsia" w:ascii="方正黑体简体" w:hAnsi="方正黑体简体" w:eastAsia="方正黑体简体" w:cs="方正黑体简体"/>
          <w:color w:val="auto"/>
          <w:kern w:val="2"/>
          <w:sz w:val="30"/>
          <w:szCs w:val="30"/>
          <w:highlight w:val="none"/>
        </w:rPr>
      </w:pPr>
      <w:r>
        <w:rPr>
          <w:rFonts w:hint="eastAsia" w:ascii="方正黑体简体" w:hAnsi="方正黑体简体" w:eastAsia="方正黑体简体" w:cs="方正黑体简体"/>
          <w:color w:val="auto"/>
          <w:kern w:val="2"/>
          <w:sz w:val="30"/>
          <w:szCs w:val="30"/>
          <w:highlight w:val="none"/>
        </w:rPr>
        <w:t>第三章</w:t>
      </w:r>
      <w:r>
        <w:rPr>
          <w:rFonts w:hint="eastAsia" w:ascii="方正黑体简体" w:hAnsi="方正黑体简体" w:eastAsia="方正黑体简体" w:cs="方正黑体简体"/>
          <w:color w:val="auto"/>
          <w:kern w:val="2"/>
          <w:sz w:val="30"/>
          <w:szCs w:val="30"/>
          <w:highlight w:val="none"/>
          <w:lang w:val="en-US" w:eastAsia="zh-CN"/>
        </w:rPr>
        <w:t xml:space="preserve">  </w:t>
      </w:r>
      <w:r>
        <w:rPr>
          <w:rFonts w:hint="eastAsia" w:ascii="方正黑体简体" w:hAnsi="方正黑体简体" w:eastAsia="方正黑体简体" w:cs="方正黑体简体"/>
          <w:color w:val="auto"/>
          <w:kern w:val="2"/>
          <w:sz w:val="30"/>
          <w:szCs w:val="30"/>
          <w:highlight w:val="none"/>
        </w:rPr>
        <w:t>车辆使用及调派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rPr>
          <w:rFonts w:hint="eastAsia" w:ascii="方正仿宋简体" w:hAnsi="方正仿宋简体" w:eastAsia="方正仿宋简体" w:cs="方正仿宋简体"/>
          <w:color w:val="auto"/>
          <w:kern w:val="2"/>
          <w:sz w:val="28"/>
          <w:szCs w:val="28"/>
          <w:highlight w:val="none"/>
          <w:lang w:val="en-US" w:eastAsia="zh-CN"/>
        </w:rPr>
      </w:pPr>
      <w:r>
        <w:rPr>
          <w:rFonts w:hint="eastAsia" w:ascii="方正仿宋简体" w:hAnsi="方正仿宋简体" w:eastAsia="方正仿宋简体" w:cs="方正仿宋简体"/>
          <w:color w:val="auto"/>
          <w:kern w:val="2"/>
          <w:sz w:val="28"/>
          <w:szCs w:val="28"/>
          <w:highlight w:val="none"/>
          <w:lang w:val="en-US" w:eastAsia="zh-CN"/>
        </w:rPr>
        <w:t>公司指挥车辆使用，由各部室或单位应在用车的前一天下午五点钟前向综合办提出申请，生产保障中心根据综合办提供的任务单进行车辆调派。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第八条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车辆使用遵循以下原则：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1.公司车辆实行定人、定车内部准驾管理，未经批准不得将车辆交给其他人员驾驶。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2.紧密结合公司生产经营活动实际情况，科学合理调派车辆，切实优化行程路线，加强协调，统筹安排，采取“组合用车”等方式。提高车辆运行利用效能。</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3.节日期间未安排值班的车辆严格执行“三交一封”制度（交车辆钥匙、交行驶证、交内部准驾证、定点封存车辆）进行封存，同时交生技部调度岗监管。</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第九条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 xml:space="preserve"> 车辆调派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严禁公车私用。任何车辆、不分长短途，必须经过“申请—审批—调派”程序方可出行。严禁任何单位和个人在执行工作任务时私车公用。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出车前车辆调派人员必须对驾驶员进行执行任务、行车路线、主要风险与削减措施的“三交代”。</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1.市内用车：用车单位（人）填写“西南油气田用车申请调派单”两联单→单位（部门）负责人审核签字→生服站调派。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2.长途用车：用车部门（人）填写“西南油气田用车申请调派单”两联单→单位（部门）负责人审核签字→公司主管领导审核签字同意。用车申请应提前一天填报并交车辆调派部门，申请单应准确填写用车天数、乘车时间地点、行驶路线和乘车安全责任人。</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3.夜间21:00点后、早上7:00点前、原则上不得调派车辆执行任务，确因工作需要执行任务时，车辆调派必须经过公司主管领导批准，生产技术部调度室开具派车单，值班领导在派车单上签字确认，驾驶员要将车辆停放在安全场所，并锁好方向盘和门窗，搞好安全防范，车辆由驾驶员自行管理并承担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4.下班时间值班小车及周末值班小车调派归口生产技术部调度岗统一调派；下班时间值班抢险车及周末值班抢险车调派归口由生产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部调度岗统一调派，生产保障中心将派车单交至生产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调度室并汇报调派车辆情况，值班车辆由驾驶员自行管理并承担责任。（恩阳值班车辆在恩阳值班期间由恩阳分公司第一责任人进行管理并承担管理责任）。因工作需要派长途车，按西南油气田分公司、川港公司车辆调派规定程序派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5.节假日及特殊时期值班小车调派归口生产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部调度岗统一调派；值班抢险车调派归口生产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部调度岗统一调派，生产保障中心将派车单交至生产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调度室并汇报调派车辆情况，值班车辆由驾驶员自行管理并承担责任。（恩阳值班车辆在恩阳值班期间由恩阳分公司第一责任人进行管理并承担管理责任）。节假日及特殊时期启用封存车辆时须经值班领导签字同意后，按西南油气田分公司、川港公司对封存车辆启封的规定执行，由生产</w:t>
      </w:r>
      <w:r>
        <w:rPr>
          <w:rFonts w:hint="eastAsia" w:ascii="方正仿宋简体" w:hAnsi="方正仿宋简体" w:eastAsia="方正仿宋简体" w:cs="方正仿宋简体"/>
          <w:color w:val="auto"/>
          <w:kern w:val="2"/>
          <w:sz w:val="28"/>
          <w:szCs w:val="28"/>
          <w:highlight w:val="none"/>
          <w:lang w:val="en-US" w:eastAsia="zh-CN"/>
        </w:rPr>
        <w:t>运行</w:t>
      </w:r>
      <w:r>
        <w:rPr>
          <w:rFonts w:hint="eastAsia" w:ascii="方正仿宋简体" w:hAnsi="方正仿宋简体" w:eastAsia="方正仿宋简体" w:cs="方正仿宋简体"/>
          <w:color w:val="auto"/>
          <w:kern w:val="2"/>
          <w:sz w:val="28"/>
          <w:szCs w:val="28"/>
          <w:highlight w:val="none"/>
        </w:rPr>
        <w:t>部按西南油气田分公司、川港公司车辆调派规定程序派车。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6.固定使用车辆的部门（包括恩阳分公司）基层队（站），由行政第一责任人负管理责任，短途用车由使用车辆的部门按西南油气田分公司、川港公司车辆调派规定程序自行调派，包括值班安排，并承担安全责任。因工作需要派长途或离开工作属地用车时，按公司规定程序申请，经单位（部门）分管领导签字，由按西南油气田分公司、川港公司车辆调派规定程序调派。（恩阳值班车辆返回南充由恩阳分公司第一责任人在派车单上签字确认，同时将车辆情况汇报给生产保障中心车班调度岗）</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7.用车单位在外如需超路线、超天数用车和夜间21:00点后、早上7:00点前用车的，由乘车人（多人乘车的由车上最高行政职务人）向公司主管领导报告，经同意方可改变行驶路线和延长使用时间，后续由乘车人将调派单交主管领导签字备查。</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8.市内用车在某一地方固定办事（或开会）在1小时以上的，不得压车，必须将车放回公司，待办完事告知生产保障中心车班调度岗，再派车接回。</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9.调度员在派车时要清楚要车人的任务，路线、根据路况、天气、车况，凭定点修理厂出具的《车辆检验合格证》调派车辆。派车原则：组合用车，一车多用。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黑体简体" w:hAnsi="方正黑体简体" w:eastAsia="方正黑体简体" w:cs="方正黑体简体"/>
          <w:color w:val="auto"/>
          <w:kern w:val="2"/>
          <w:sz w:val="30"/>
          <w:szCs w:val="30"/>
          <w:highlight w:val="none"/>
        </w:rPr>
        <w:t>第四章</w:t>
      </w:r>
      <w:r>
        <w:rPr>
          <w:rFonts w:hint="eastAsia" w:ascii="方正黑体简体" w:hAnsi="方正黑体简体" w:eastAsia="方正黑体简体" w:cs="方正黑体简体"/>
          <w:color w:val="auto"/>
          <w:kern w:val="2"/>
          <w:sz w:val="30"/>
          <w:szCs w:val="30"/>
          <w:highlight w:val="none"/>
          <w:lang w:val="en-US" w:eastAsia="zh-CN"/>
        </w:rPr>
        <w:t xml:space="preserve"> </w:t>
      </w:r>
      <w:r>
        <w:rPr>
          <w:rFonts w:hint="eastAsia" w:ascii="方正黑体简体" w:hAnsi="方正黑体简体" w:eastAsia="方正黑体简体" w:cs="方正黑体简体"/>
          <w:color w:val="auto"/>
          <w:kern w:val="2"/>
          <w:sz w:val="30"/>
          <w:szCs w:val="30"/>
          <w:highlight w:val="none"/>
        </w:rPr>
        <w:t xml:space="preserve"> 驾驶人员管理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公司驾驶人员实行内部准驾制度。驾驶人员管理遵照《中国石油西南油气田分公司道路交通安全管理办法》执行。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highlight w:val="none"/>
        </w:rPr>
      </w:pPr>
      <w:r>
        <w:rPr>
          <w:rFonts w:hint="eastAsia" w:ascii="方正黑体简体" w:hAnsi="方正黑体简体" w:eastAsia="方正黑体简体" w:cs="方正黑体简体"/>
          <w:b w:val="0"/>
          <w:bCs w:val="0"/>
          <w:color w:val="auto"/>
          <w:kern w:val="2"/>
          <w:sz w:val="30"/>
          <w:szCs w:val="30"/>
          <w:highlight w:val="none"/>
        </w:rPr>
        <w:t>第五章</w:t>
      </w:r>
      <w:r>
        <w:rPr>
          <w:rFonts w:hint="eastAsia" w:ascii="方正黑体简体" w:hAnsi="方正黑体简体" w:eastAsia="方正黑体简体" w:cs="方正黑体简体"/>
          <w:b w:val="0"/>
          <w:bCs w:val="0"/>
          <w:color w:val="auto"/>
          <w:kern w:val="2"/>
          <w:sz w:val="30"/>
          <w:szCs w:val="30"/>
          <w:highlight w:val="none"/>
          <w:lang w:val="en-US" w:eastAsia="zh-CN"/>
        </w:rPr>
        <w:t xml:space="preserve"> </w:t>
      </w:r>
      <w:r>
        <w:rPr>
          <w:rFonts w:hint="eastAsia" w:ascii="方正黑体简体" w:hAnsi="方正黑体简体" w:eastAsia="方正黑体简体" w:cs="方正黑体简体"/>
          <w:b w:val="0"/>
          <w:bCs w:val="0"/>
          <w:color w:val="auto"/>
          <w:kern w:val="2"/>
          <w:sz w:val="30"/>
          <w:szCs w:val="30"/>
          <w:highlight w:val="none"/>
        </w:rPr>
        <w:t xml:space="preserve"> 车辆安全及运行管理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第十一条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用车安全管理执行西南油气田分公司HSE管理规定。驾驶员为车辆属地管理责任人，负责车辆运行过程中的安全工作，妥善保管随车配备的灭火器、急救包、危险警示标志等应急用品。乘车人应遵守驾驶员安全告知的相关要求。</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第十二条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车辆必须按国家相关规定定期接受安全技术检验。未按规定检验或检验不合格的，禁止调派上路行驶。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公司车辆（含租赁车辆）实行公司定点回场检验制度。回场检验是指在车辆执行任务前，为保证车辆完好备用而进行的车辆运行安全技术条件的专业检验。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车辆回场检验执行“长途趟检、短途周检”规定。检验不合格的车辆一律不得出具回场检验合格证。回场检验合格证有效期为自检验合格之日起一个星期。期间执行长途任务，合格证自长途任务结束立即失效。</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第十三条</w:t>
      </w:r>
      <w:r>
        <w:rPr>
          <w:rFonts w:hint="eastAsia" w:ascii="方正仿宋简体" w:hAnsi="方正仿宋简体" w:eastAsia="方正仿宋简体" w:cs="方正仿宋简体"/>
          <w:b/>
          <w:bCs/>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驾驶员应执行出车前、行车中和收车后“三检制”，认真做好所驾车辆的清洁、补给和安全检视等日常维护工作，发现问题及时整改或上报，确保装备齐全、车况良好、车容整洁。</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第十四条</w:t>
      </w:r>
      <w:r>
        <w:rPr>
          <w:rFonts w:hint="eastAsia" w:ascii="方正仿宋简体" w:hAnsi="方正仿宋简体" w:eastAsia="方正仿宋简体" w:cs="方正仿宋简体"/>
          <w:b/>
          <w:bCs/>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严禁酒后驾车。驾驶员上班、出差期间严禁饮酒。必须在驾驶员出车前对其进行酒精检测，检测不合格驾驶员不得执行任务。如有违反按“反违章禁令”处理。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第十五条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严禁疲劳驾车。驾驶员连续长途驾车超过4小时、高速公路超过2个小时应停车休息，休息时间不得少于20分钟。每日驾车行驶时间累计不得超过8小时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第十六条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严禁超速行驶。车辆在道路上行驶，不得超过下列最高行驶速度：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（一）高速公路上9座（含）以下车辆为每小时120公里，9座以上载客车辆、普通货运车辆为每小时100公里。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（二）非高速道路，不得超过限速标志、标线标明的速度。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（三）没有限速标志、标线的道路上，没有道路中心线的，城市道路为每小时30公里，公路为每小时40公里；同方向只有1条机动车道的道路，城市道路为每小时50公里，公路为每小时70公里。</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第十七条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驾驶员行车途中遇暴雨、浓雾、自然灾害等情况，对安全行车构成影响时，应立即将车辆停靠在安全地带，不得继续行驶。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第十八条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所有机动车辆必须按规定安装、使用卫星定位监控终端及系统，并配备行车记录仪。</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车辆管理部门（单位）建立完善车载GPS监控系统，有效开展系统的维护、升级及运行优化工作，实现对车辆运行全过程的安全管理和动态监控。车辆管理部门（单位）要准确掌握外出车辆运行动态，做好车辆运行过程关键节点受控管理，确保车辆外出期间全过程安全受控。</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第十九条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车辆实行回单位定点停放制度。正常上班时间，未调派外出的车辆必须停放在单位，车辆在完成调派任务返公司后，必须将车辆停放回公司大院内，禁止在公司外乱停乱放。因特殊情况不能回单位停放的，需经公司调派人员同意，但必须确保车辆的安全，如出现车辆损坏、丢失等情况，一切经济损失由驾车人员自负。没有主管领导的指令和调度正常调派的情况下，驾驶员不准私自动用自己所开的车辆，更不能将车钥匙交他人驾驶车辆,如有违者将按相关条款重处。</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外出执行任务时，需临时或长时间（含夜间）停车，应停放在有人值守的停车场（库）。</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生产保障中心与驾驶员签订因公、临时、抢险车在公司指定地点外停车监管责任书，确认监管责任。生产保障中心要掌握在外停车的具体地点。</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国家法定节假日期间，除值班车辆外，其他车辆须封存停驶。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车辆管理部门（单位）要把好关，严格遵守财务制度，保证业务的真实性，有效降低车辆运行成本。同时，车辆使用的安全监护人要对运行过程中发生的相关票据签字确认，作为费用核销的依据。</w:t>
      </w:r>
      <w:bookmarkStart w:id="716" w:name="_Toc351467390"/>
      <w:bookmarkEnd w:id="716"/>
      <w:bookmarkStart w:id="717" w:name="_Toc351466461"/>
      <w:bookmarkEnd w:id="717"/>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highlight w:val="none"/>
        </w:rPr>
      </w:pPr>
      <w:bookmarkStart w:id="718" w:name="_Toc351467391"/>
      <w:bookmarkEnd w:id="718"/>
      <w:bookmarkStart w:id="719" w:name="_Toc351466462"/>
      <w:bookmarkEnd w:id="719"/>
      <w:r>
        <w:rPr>
          <w:rFonts w:hint="eastAsia" w:ascii="方正黑体简体" w:hAnsi="方正黑体简体" w:eastAsia="方正黑体简体" w:cs="方正黑体简体"/>
          <w:b w:val="0"/>
          <w:bCs w:val="0"/>
          <w:color w:val="auto"/>
          <w:kern w:val="2"/>
          <w:sz w:val="30"/>
          <w:szCs w:val="30"/>
          <w:highlight w:val="none"/>
        </w:rPr>
        <w:t>第六章</w:t>
      </w:r>
      <w:r>
        <w:rPr>
          <w:rFonts w:hint="eastAsia" w:ascii="方正黑体简体" w:hAnsi="方正黑体简体" w:eastAsia="方正黑体简体" w:cs="方正黑体简体"/>
          <w:b w:val="0"/>
          <w:bCs w:val="0"/>
          <w:color w:val="auto"/>
          <w:kern w:val="2"/>
          <w:sz w:val="30"/>
          <w:szCs w:val="30"/>
          <w:highlight w:val="none"/>
          <w:lang w:val="en-US" w:eastAsia="zh-CN"/>
        </w:rPr>
        <w:t xml:space="preserve">  </w:t>
      </w:r>
      <w:r>
        <w:rPr>
          <w:rFonts w:hint="eastAsia" w:ascii="方正黑体简体" w:hAnsi="方正黑体简体" w:eastAsia="方正黑体简体" w:cs="方正黑体简体"/>
          <w:b w:val="0"/>
          <w:bCs w:val="0"/>
          <w:color w:val="auto"/>
          <w:kern w:val="2"/>
          <w:sz w:val="30"/>
          <w:szCs w:val="30"/>
          <w:highlight w:val="none"/>
        </w:rPr>
        <w:t>乘车人监护责任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第二十一条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为加强交通安全管理，对驾驶员采取人性化监督，落实“谁用车，谁负责”的用车原则。乘车人负有行车安全监督的职责和义务。每一位乘车人均有相应的职责和义务，发现驾驶员违法违纪行为不及时指出、纠正，造成后果的，也要承担相应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第二十二条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安全监护人有责任监督制止驾驶员的违章行为，督促驾驶员遵守《道路交通安全法》、《反违章“十条禁令”》，发现驾驶员情绪不稳定或疲倦时，要求驾驶员立即停车休息。</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第二十三条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在行车过程中，安全监护人应随时提醒驾驶员注意安全，把安全工作放在首位。如遇道路复杂、路况差、气候恶劣、能见度低等情况，不得强令驾驶员行车。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第二十四条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乘车安全监护人发现车辆行驶途中有异常时，应提醒驾驶员停车检查，并积极协助驾驶员排除故障；发现驾驶员不按交通信号灯、交通标志、交通标线和交警指挥驾驶操作等“十大行车不安全行为”，要及时制止。</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highlight w:val="none"/>
        </w:rPr>
      </w:pPr>
      <w:bookmarkStart w:id="720" w:name="_Toc351467393"/>
      <w:bookmarkEnd w:id="720"/>
      <w:r>
        <w:rPr>
          <w:rFonts w:hint="eastAsia" w:ascii="方正黑体简体" w:hAnsi="方正黑体简体" w:eastAsia="方正黑体简体" w:cs="方正黑体简体"/>
          <w:b w:val="0"/>
          <w:bCs w:val="0"/>
          <w:color w:val="auto"/>
          <w:kern w:val="2"/>
          <w:sz w:val="30"/>
          <w:szCs w:val="30"/>
          <w:highlight w:val="none"/>
        </w:rPr>
        <w:t>第七章</w:t>
      </w:r>
      <w:bookmarkStart w:id="721" w:name="_Toc351466464"/>
      <w:bookmarkEnd w:id="721"/>
      <w:r>
        <w:rPr>
          <w:rFonts w:hint="eastAsia" w:ascii="方正黑体简体" w:hAnsi="方正黑体简体" w:eastAsia="方正黑体简体" w:cs="方正黑体简体"/>
          <w:b w:val="0"/>
          <w:bCs w:val="0"/>
          <w:color w:val="auto"/>
          <w:kern w:val="2"/>
          <w:sz w:val="30"/>
          <w:szCs w:val="30"/>
          <w:highlight w:val="none"/>
          <w:lang w:val="en-US" w:eastAsia="zh-CN"/>
        </w:rPr>
        <w:t xml:space="preserve">  </w:t>
      </w:r>
      <w:r>
        <w:rPr>
          <w:rFonts w:hint="eastAsia" w:ascii="方正黑体简体" w:hAnsi="方正黑体简体" w:eastAsia="方正黑体简体" w:cs="方正黑体简体"/>
          <w:b w:val="0"/>
          <w:bCs w:val="0"/>
          <w:color w:val="auto"/>
          <w:kern w:val="2"/>
          <w:sz w:val="30"/>
          <w:szCs w:val="30"/>
          <w:highlight w:val="none"/>
        </w:rPr>
        <w:t>交通事故管理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第二十五条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公司交通事故管理应按《中油南充燃气有限责任公司事故事件管理办法》执行。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第二十六条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如发生交通事故，应在三十分钟内将事故发生的时间地点，原因、伤亡和其它损失情况及时逐级汇报。</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第二十七条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对交通事故的处理和处罚报公司HSE领导小组审查通过后执行。</w:t>
      </w:r>
      <w:bookmarkStart w:id="722" w:name="_Toc351467394"/>
      <w:bookmarkEnd w:id="722"/>
      <w:bookmarkStart w:id="723" w:name="_Toc351466465"/>
      <w:bookmarkEnd w:id="723"/>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highlight w:val="none"/>
        </w:rPr>
      </w:pPr>
      <w:r>
        <w:rPr>
          <w:rFonts w:hint="eastAsia" w:ascii="方正黑体简体" w:hAnsi="方正黑体简体" w:eastAsia="方正黑体简体" w:cs="方正黑体简体"/>
          <w:b w:val="0"/>
          <w:bCs w:val="0"/>
          <w:color w:val="auto"/>
          <w:kern w:val="2"/>
          <w:sz w:val="30"/>
          <w:szCs w:val="30"/>
          <w:highlight w:val="none"/>
        </w:rPr>
        <w:t>第八章</w:t>
      </w:r>
      <w:r>
        <w:rPr>
          <w:rFonts w:hint="eastAsia" w:ascii="方正黑体简体" w:hAnsi="方正黑体简体" w:eastAsia="方正黑体简体" w:cs="方正黑体简体"/>
          <w:b w:val="0"/>
          <w:bCs w:val="0"/>
          <w:color w:val="auto"/>
          <w:kern w:val="2"/>
          <w:sz w:val="30"/>
          <w:szCs w:val="30"/>
          <w:highlight w:val="none"/>
          <w:lang w:val="en-US" w:eastAsia="zh-CN"/>
        </w:rPr>
        <w:t xml:space="preserve">  </w:t>
      </w:r>
      <w:r>
        <w:rPr>
          <w:rFonts w:hint="eastAsia" w:ascii="方正黑体简体" w:hAnsi="方正黑体简体" w:eastAsia="方正黑体简体" w:cs="方正黑体简体"/>
          <w:b w:val="0"/>
          <w:bCs w:val="0"/>
          <w:color w:val="auto"/>
          <w:kern w:val="2"/>
          <w:sz w:val="30"/>
          <w:szCs w:val="30"/>
          <w:highlight w:val="none"/>
        </w:rPr>
        <w:t>车辆维修管理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第二十八条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为规范车辆修理程序,加强车辆维修过程的管理，确保车辆修理质量,降低修理频率，确保车辆的安全运行。所有车辆的维修原则上采用“定点维修”的方式进行。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车辆到达规定的运行公里数或发生故障，由本车驾驶员向生产保障中心报告对车辆进行相应的保养和维修，生产保障中心根据车辆情况填写外修单，质量安全环保部对车辆外维单的项目进行审查核实，经审查核实后的车辆外修单由公司分管领导签字同意，驾驶员才能凭修理单到约定的修理厂对审定的维修项目及时送修。</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第二十九条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车辆的安全保护装置应齐全、可靠、灵敏，对刹车等重要安全保护装置应定期进行检验、调校，确保安全、可靠。按照国家、企业有关要求，需加装的安全（警示）装置应及时加装（如防雾尾灯）。</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维修时送修车驾驶员应在现场监督修理全过程及质量，对更换的材料和数量逐项核对，并在维修清单上签字确认。驾驶员在维修过程中，不准弄虚作假，擅自增加修理项目，车辆维修后出现因质量返修或机械事故，属驾驶员责任的，由驾驶员承担相应责任，属修理厂责任的，由按合同规定修理厂家承担相应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第三十一条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车辆的应急修理管理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1.车辆在外执行任务时，发生故障，不能再行驶的，由驾驶员报告生产保障中心，根据故障性质和费用情况向公司分管领导汇报，按领导指示在就地修理或采取其它救援措施。</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2.未报告生产保障中心，驾驶员擅自在外修理的，其费用由驾驶员承担。</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3.擅自在外修理而诱发的安全问题或交通事故，按照西南油气田分公司有关安全规定处理。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第三十二条</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车辆修理费用结算管理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1.车辆各项修理任何人均不得以现金结算。其结算程序为：</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2.修理厂每月到公司结算一次修理费。修理厂结算修理费时，应提供所要结算车辆修理的“报修单”、增值税发票，经驾驶员签字确认的材料清单。</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3.生产保障中心对修理厂提供的各种单据进行逐一核实，由生产保障中心主要负责人在费用报修单上签字认可。再由公司分管领导及相关人员签字后，修理厂方可在财务结算费用。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第三十三条</w:t>
      </w:r>
      <w:r>
        <w:rPr>
          <w:rFonts w:hint="eastAsia" w:ascii="方正仿宋简体" w:hAnsi="方正仿宋简体" w:eastAsia="方正仿宋简体" w:cs="方正仿宋简体"/>
          <w:b/>
          <w:bCs/>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 xml:space="preserve"> 车辆燃油管理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1.车辆凭加油卡在定点加油站加油。加油卡实行一车一卡，限车号使用，不得转借挪用。各车驾驶员应爱护保管好加油卡，如有损坏丢失，由驾驶员自己负责补办。</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2.长途车出车前应在定点加油点加满油。在外确需补充油料的，一次补充油料费控制在200元内（大排量或特殊情况应事前报告生产保障中心）。</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color w:val="auto"/>
          <w:kern w:val="2"/>
          <w:sz w:val="28"/>
          <w:szCs w:val="28"/>
          <w:highlight w:val="none"/>
        </w:rPr>
        <w:t>3.驾驶员根据公司制定的油耗标准执行，在合理范围内降低油耗，减少公司油料消耗。</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highlight w:val="none"/>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color w:val="auto"/>
          <w:kern w:val="2"/>
          <w:sz w:val="30"/>
          <w:szCs w:val="30"/>
          <w:highlight w:val="none"/>
        </w:rPr>
      </w:pPr>
      <w:r>
        <w:rPr>
          <w:rFonts w:hint="eastAsia" w:ascii="方正黑体简体" w:hAnsi="方正黑体简体" w:eastAsia="方正黑体简体" w:cs="方正黑体简体"/>
          <w:color w:val="auto"/>
          <w:kern w:val="2"/>
          <w:sz w:val="30"/>
          <w:szCs w:val="30"/>
          <w:highlight w:val="none"/>
        </w:rPr>
        <w:t>第</w:t>
      </w:r>
      <w:r>
        <w:rPr>
          <w:rFonts w:hint="eastAsia" w:ascii="方正黑体简体" w:hAnsi="方正黑体简体" w:eastAsia="方正黑体简体" w:cs="方正黑体简体"/>
          <w:color w:val="auto"/>
          <w:kern w:val="2"/>
          <w:sz w:val="30"/>
          <w:szCs w:val="30"/>
          <w:highlight w:val="none"/>
          <w:lang w:eastAsia="zh-CN"/>
        </w:rPr>
        <w:t>九</w:t>
      </w:r>
      <w:r>
        <w:rPr>
          <w:rFonts w:hint="eastAsia" w:ascii="方正黑体简体" w:hAnsi="方正黑体简体" w:eastAsia="方正黑体简体" w:cs="方正黑体简体"/>
          <w:color w:val="auto"/>
          <w:kern w:val="2"/>
          <w:sz w:val="30"/>
          <w:szCs w:val="30"/>
          <w:highlight w:val="none"/>
        </w:rPr>
        <w:t>章</w:t>
      </w:r>
      <w:r>
        <w:rPr>
          <w:rFonts w:hint="eastAsia" w:ascii="方正黑体简体" w:hAnsi="方正黑体简体" w:eastAsia="方正黑体简体" w:cs="方正黑体简体"/>
          <w:color w:val="auto"/>
          <w:kern w:val="2"/>
          <w:sz w:val="30"/>
          <w:szCs w:val="30"/>
          <w:highlight w:val="none"/>
          <w:lang w:val="en-US" w:eastAsia="zh-CN"/>
        </w:rPr>
        <w:t xml:space="preserve"> </w:t>
      </w:r>
      <w:r>
        <w:rPr>
          <w:rFonts w:hint="eastAsia" w:ascii="方正黑体简体" w:hAnsi="方正黑体简体" w:eastAsia="方正黑体简体" w:cs="方正黑体简体"/>
          <w:color w:val="auto"/>
          <w:kern w:val="2"/>
          <w:sz w:val="30"/>
          <w:szCs w:val="30"/>
          <w:highlight w:val="none"/>
        </w:rPr>
        <w:t xml:space="preserve"> 附</w:t>
      </w:r>
      <w:r>
        <w:rPr>
          <w:rFonts w:hint="eastAsia" w:ascii="方正黑体简体" w:hAnsi="方正黑体简体" w:eastAsia="方正黑体简体" w:cs="方正黑体简体"/>
          <w:color w:val="auto"/>
          <w:kern w:val="2"/>
          <w:sz w:val="30"/>
          <w:szCs w:val="30"/>
          <w:highlight w:val="none"/>
          <w:lang w:val="en-US" w:eastAsia="zh-CN"/>
        </w:rPr>
        <w:t xml:space="preserve"> </w:t>
      </w:r>
      <w:r>
        <w:rPr>
          <w:rFonts w:hint="eastAsia" w:ascii="方正黑体简体" w:hAnsi="方正黑体简体" w:eastAsia="方正黑体简体" w:cs="方正黑体简体"/>
          <w:color w:val="auto"/>
          <w:kern w:val="2"/>
          <w:sz w:val="30"/>
          <w:szCs w:val="30"/>
          <w:highlight w:val="none"/>
        </w:rPr>
        <w:t xml:space="preserve"> 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第三十四条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本办法由质量安全环保部负责解释。</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r>
        <w:rPr>
          <w:rFonts w:hint="eastAsia" w:ascii="方正仿宋简体" w:hAnsi="方正仿宋简体" w:eastAsia="方正仿宋简体" w:cs="方正仿宋简体"/>
          <w:b/>
          <w:bCs/>
          <w:color w:val="auto"/>
          <w:kern w:val="2"/>
          <w:sz w:val="28"/>
          <w:szCs w:val="28"/>
          <w:highlight w:val="none"/>
        </w:rPr>
        <w:t>第三十五条</w:t>
      </w:r>
      <w:r>
        <w:rPr>
          <w:rFonts w:hint="eastAsia" w:ascii="方正仿宋简体" w:hAnsi="方正仿宋简体" w:eastAsia="方正仿宋简体" w:cs="方正仿宋简体"/>
          <w:color w:val="auto"/>
          <w:kern w:val="2"/>
          <w:sz w:val="28"/>
          <w:szCs w:val="28"/>
          <w:highlight w:val="none"/>
        </w:rPr>
        <w:t xml:space="preserve"> </w:t>
      </w:r>
      <w:r>
        <w:rPr>
          <w:rFonts w:hint="eastAsia" w:ascii="方正仿宋简体" w:hAnsi="方正仿宋简体" w:eastAsia="方正仿宋简体" w:cs="方正仿宋简体"/>
          <w:color w:val="auto"/>
          <w:kern w:val="2"/>
          <w:sz w:val="28"/>
          <w:szCs w:val="28"/>
          <w:highlight w:val="none"/>
          <w:lang w:val="en-US" w:eastAsia="zh-CN"/>
        </w:rPr>
        <w:t xml:space="preserve"> </w:t>
      </w:r>
      <w:r>
        <w:rPr>
          <w:rFonts w:hint="eastAsia" w:ascii="方正仿宋简体" w:hAnsi="方正仿宋简体" w:eastAsia="方正仿宋简体" w:cs="方正仿宋简体"/>
          <w:color w:val="auto"/>
          <w:kern w:val="2"/>
          <w:sz w:val="28"/>
          <w:szCs w:val="28"/>
          <w:highlight w:val="none"/>
        </w:rPr>
        <w:t>本办法自发布之日起施行。（2020年5月22日修订）</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highlight w:val="none"/>
        </w:rPr>
      </w:pPr>
    </w:p>
    <w:p>
      <w:pPr>
        <w:spacing w:line="600" w:lineRule="exact"/>
        <w:ind w:firstLine="560" w:firstLineChars="200"/>
        <w:outlineLvl w:val="9"/>
        <w:rPr>
          <w:rFonts w:ascii="方正仿宋简体" w:eastAsia="方正仿宋简体"/>
          <w:color w:val="auto"/>
          <w:sz w:val="28"/>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lang w:eastAsia="zh-CN"/>
        </w:rPr>
      </w:pPr>
      <w:r>
        <w:rPr>
          <w:rFonts w:ascii="宋体" w:hAnsi="宋体"/>
          <w:color w:val="auto"/>
          <w:sz w:val="28"/>
          <w:szCs w:val="28"/>
          <w:highlight w:val="none"/>
        </w:rPr>
        <w:br w:type="page"/>
      </w:r>
      <w:bookmarkStart w:id="724" w:name="_Toc4015"/>
      <w:bookmarkStart w:id="725" w:name="_Toc31863"/>
      <w:bookmarkStart w:id="726" w:name="_Toc1671"/>
      <w:bookmarkStart w:id="727" w:name="_Toc15944"/>
      <w:bookmarkStart w:id="728" w:name="_Toc14546"/>
      <w:bookmarkStart w:id="729" w:name="_Toc8013"/>
      <w:bookmarkStart w:id="730" w:name="_Toc17078"/>
      <w:bookmarkStart w:id="731" w:name="_Toc27453"/>
      <w:bookmarkStart w:id="732" w:name="_Toc17822"/>
      <w:bookmarkStart w:id="733" w:name="_Toc3785"/>
      <w:bookmarkStart w:id="734" w:name="_Toc6487"/>
      <w:bookmarkStart w:id="735" w:name="_Toc12393"/>
      <w:bookmarkStart w:id="736" w:name="_Toc27065"/>
      <w:bookmarkStart w:id="737" w:name="_Toc31299"/>
      <w:bookmarkStart w:id="738" w:name="_Toc11753"/>
      <w:bookmarkStart w:id="739" w:name="_Toc24546"/>
      <w:bookmarkStart w:id="740" w:name="_Toc22918"/>
      <w:bookmarkStart w:id="741" w:name="_Toc29015"/>
      <w:bookmarkStart w:id="742" w:name="_Toc20980"/>
      <w:r>
        <w:rPr>
          <w:rFonts w:hint="eastAsia" w:ascii="方正小标宋简体" w:eastAsia="方正小标宋简体"/>
          <w:b w:val="0"/>
          <w:bCs w:val="0"/>
          <w:color w:val="auto"/>
          <w:sz w:val="36"/>
          <w:szCs w:val="36"/>
          <w:highlight w:val="none"/>
        </w:rPr>
        <w:t>中油南充燃气有限责任公司</w:t>
      </w:r>
      <w:bookmarkEnd w:id="724"/>
      <w:bookmarkEnd w:id="725"/>
      <w:bookmarkEnd w:id="726"/>
      <w:bookmarkEnd w:id="727"/>
      <w:bookmarkEnd w:id="728"/>
      <w:bookmarkEnd w:id="729"/>
      <w:bookmarkEnd w:id="730"/>
      <w:bookmarkEnd w:id="731"/>
      <w:bookmarkEnd w:id="732"/>
      <w:bookmarkEnd w:id="733"/>
      <w:r>
        <w:rPr>
          <w:rFonts w:hint="eastAsia" w:ascii="方正小标宋简体" w:hAnsi="宋体" w:eastAsia="方正小标宋简体"/>
          <w:b w:val="0"/>
          <w:bCs w:val="0"/>
          <w:color w:val="auto"/>
          <w:sz w:val="36"/>
          <w:szCs w:val="36"/>
          <w:highlight w:val="none"/>
          <w:lang w:eastAsia="zh-CN"/>
        </w:rPr>
        <w:t>劳动防护用品使用和管理制度</w:t>
      </w:r>
      <w:bookmarkEnd w:id="734"/>
      <w:bookmarkEnd w:id="735"/>
      <w:bookmarkEnd w:id="736"/>
      <w:bookmarkEnd w:id="737"/>
      <w:bookmarkEnd w:id="738"/>
      <w:bookmarkEnd w:id="739"/>
      <w:bookmarkEnd w:id="740"/>
      <w:bookmarkEnd w:id="741"/>
      <w:bookmarkEnd w:id="742"/>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黑体简体" w:hAnsi="方正黑体简体" w:eastAsia="方正黑体简体" w:cs="方正黑体简体"/>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b/>
          <w:bCs/>
          <w:color w:val="auto"/>
          <w:sz w:val="30"/>
          <w:szCs w:val="30"/>
          <w:highlight w:val="none"/>
        </w:rPr>
      </w:pPr>
      <w:r>
        <w:rPr>
          <w:rFonts w:hint="eastAsia" w:ascii="方正黑体简体" w:hAnsi="华文中宋" w:eastAsia="方正黑体简体"/>
          <w:color w:val="auto"/>
          <w:sz w:val="30"/>
          <w:szCs w:val="30"/>
          <w:highlight w:val="none"/>
          <w:lang w:eastAsia="zh-CN"/>
        </w:rPr>
        <w:t>第一章</w:t>
      </w:r>
      <w:r>
        <w:rPr>
          <w:rFonts w:ascii="方正黑体简体" w:hAnsi="华文中宋" w:eastAsia="方正黑体简体"/>
          <w:color w:val="auto"/>
          <w:sz w:val="30"/>
          <w:szCs w:val="30"/>
          <w:highlight w:val="none"/>
        </w:rPr>
        <w:t xml:space="preserve">  总</w:t>
      </w:r>
      <w:r>
        <w:rPr>
          <w:rFonts w:hint="eastAsia" w:ascii="方正黑体简体" w:hAnsi="华文中宋" w:eastAsia="方正黑体简体"/>
          <w:color w:val="auto"/>
          <w:sz w:val="30"/>
          <w:szCs w:val="30"/>
          <w:highlight w:val="none"/>
          <w:lang w:val="en-US" w:eastAsia="zh-CN"/>
        </w:rPr>
        <w:t xml:space="preserve">  </w:t>
      </w:r>
      <w:r>
        <w:rPr>
          <w:rFonts w:ascii="方正黑体简体" w:hAnsi="华文中宋" w:eastAsia="方正黑体简体"/>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第一条</w:t>
      </w:r>
      <w:r>
        <w:rPr>
          <w:rFonts w:hint="eastAsia" w:ascii="方正仿宋简体" w:hAnsi="方正仿宋简体" w:eastAsia="方正仿宋简体" w:cs="方正仿宋简体"/>
          <w:color w:val="auto"/>
          <w:sz w:val="28"/>
          <w:szCs w:val="30"/>
          <w:highlight w:val="none"/>
        </w:rPr>
        <w:t xml:space="preserve">  为贯彻国家安全生产方针</w:t>
      </w:r>
      <w:r>
        <w:rPr>
          <w:rFonts w:hint="eastAsia" w:ascii="方正仿宋简体" w:hAnsi="方正仿宋简体" w:eastAsia="方正仿宋简体" w:cs="方正仿宋简体"/>
          <w:color w:val="auto"/>
          <w:sz w:val="28"/>
          <w:highlight w:val="none"/>
        </w:rPr>
        <w:t>，</w:t>
      </w:r>
      <w:r>
        <w:rPr>
          <w:rFonts w:hint="eastAsia" w:ascii="方正仿宋简体" w:hAnsi="方正仿宋简体" w:eastAsia="方正仿宋简体" w:cs="方正仿宋简体"/>
          <w:color w:val="auto"/>
          <w:sz w:val="28"/>
          <w:szCs w:val="30"/>
          <w:highlight w:val="none"/>
        </w:rPr>
        <w:t>加强</w:t>
      </w:r>
      <w:r>
        <w:rPr>
          <w:rFonts w:hint="eastAsia" w:ascii="方正仿宋简体" w:hAnsi="方正仿宋简体" w:eastAsia="方正仿宋简体" w:cs="方正仿宋简体"/>
          <w:color w:val="auto"/>
          <w:sz w:val="28"/>
          <w:szCs w:val="30"/>
          <w:highlight w:val="none"/>
          <w:lang w:eastAsia="zh-CN"/>
        </w:rPr>
        <w:t>中油南充</w:t>
      </w:r>
      <w:r>
        <w:rPr>
          <w:rFonts w:hint="eastAsia" w:ascii="方正仿宋简体" w:hAnsi="方正仿宋简体" w:eastAsia="方正仿宋简体" w:cs="方正仿宋简体"/>
          <w:color w:val="auto"/>
          <w:sz w:val="28"/>
          <w:szCs w:val="30"/>
          <w:highlight w:val="none"/>
        </w:rPr>
        <w:t>燃气有限责任公司（以下简称公司）员工个人劳动防护用品管理，依据《</w:t>
      </w:r>
      <w:r>
        <w:rPr>
          <w:rFonts w:hint="eastAsia" w:ascii="方正仿宋简体" w:hAnsi="方正仿宋简体" w:eastAsia="方正仿宋简体" w:cs="方正仿宋简体"/>
          <w:color w:val="auto"/>
          <w:sz w:val="28"/>
          <w:szCs w:val="30"/>
          <w:highlight w:val="none"/>
          <w:lang w:eastAsia="zh-CN"/>
        </w:rPr>
        <w:t>四川川港燃气有限责任公司员工个人劳动防护用品管理实施细则</w:t>
      </w:r>
      <w:r>
        <w:rPr>
          <w:rFonts w:hint="eastAsia" w:ascii="方正仿宋简体" w:hAnsi="方正仿宋简体" w:eastAsia="方正仿宋简体" w:cs="方正仿宋简体"/>
          <w:color w:val="auto"/>
          <w:sz w:val="28"/>
          <w:szCs w:val="30"/>
          <w:highlight w:val="none"/>
        </w:rPr>
        <w:t>》，特制定本实施细则。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第二条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本细则所称劳动防护用品是指配发给员工在生产经营工作时必须随身穿（佩）戴、使用，以免遭受或减轻生产经营过程中事故伤害和预防职业病的用品。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第三条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劳动防护用品分为特种劳动防护用品和一般劳动防护用品。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（一）特种劳动防护用品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1</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头部防护类：包括各种材料制作的安全帽等。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2</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呼吸护具类：包括过滤式防毒面具、滤毒罐（盒）、简易式防尘口罩（不包括纱布口罩）、复式防尘口罩、过滤式防微粒口罩、长管面具、正压式空气呼吸器等。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3</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眼（面）部护具类：包括电焊面罩、焊接眼面防护具、炉窑护目镜、防冲击眼护具等。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4</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听觉器官防护类：包括各种材料制作的降噪声护具等。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5</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防护服装类：包括防静电工作服、防酸碱工作服（除丝、毛面料外，材料应经过特殊处理）、涉水作业服、防水作业服、阻燃防护服等。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6</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手足防护类：包括绝缘、耐油、耐酸手套，绝缘、耐油、耐酸鞋，用各种材料制作的低压绝缘鞋、耐油鞋、防静电鞋、导电鞋、保护足趾安全鞋（靴）和各种劳动防护专用护肤品等。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7</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防坠落类：包括安全带（含差速式自动控制器与缓冲器）、安全网、密目式安全立网等。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8</w:t>
      </w:r>
      <w:r>
        <w:rPr>
          <w:rFonts w:hint="eastAsia" w:ascii="方正仿宋简体" w:hAnsi="方正仿宋简体" w:eastAsia="方正仿宋简体" w:cs="方正仿宋简体"/>
          <w:color w:val="auto"/>
          <w:sz w:val="28"/>
          <w:szCs w:val="30"/>
          <w:highlight w:val="none"/>
          <w:lang w:val="en-US" w:eastAsia="zh-CN"/>
        </w:rPr>
        <w:t>.</w:t>
      </w:r>
      <w:r>
        <w:rPr>
          <w:rFonts w:hint="eastAsia" w:ascii="方正仿宋简体" w:hAnsi="方正仿宋简体" w:eastAsia="方正仿宋简体" w:cs="方正仿宋简体"/>
          <w:color w:val="auto"/>
          <w:sz w:val="28"/>
          <w:szCs w:val="30"/>
          <w:highlight w:val="none"/>
        </w:rPr>
        <w:t>经劳动部门确定的其他特殊护品。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（二）一般防护用品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除上述规定的特种劳动防护用品外的其他劳动防护用品。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第四条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各单位必须按照国家、行业及公司有关规定和标准配发劳动防护用品，员工必须按规定穿（佩）戴、使用和维护好劳动防护用品。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3453" w:leftChars="0"/>
        <w:jc w:val="both"/>
        <w:textAlignment w:val="auto"/>
        <w:outlineLvl w:val="9"/>
        <w:rPr>
          <w:rFonts w:hint="eastAsia" w:ascii="方正仿宋简体" w:eastAsia="方正仿宋简体" w:cs="仿宋_GB2312"/>
          <w:color w:val="auto"/>
          <w:sz w:val="30"/>
          <w:szCs w:val="30"/>
          <w:highlight w:val="none"/>
        </w:rPr>
      </w:pPr>
      <w:r>
        <w:rPr>
          <w:rFonts w:hint="eastAsia" w:ascii="方正黑体简体" w:hAnsi="华文中宋" w:eastAsia="方正黑体简体"/>
          <w:color w:val="auto"/>
          <w:sz w:val="30"/>
          <w:szCs w:val="30"/>
          <w:highlight w:val="none"/>
          <w:lang w:eastAsia="zh-CN"/>
        </w:rPr>
        <w:t>第二章</w:t>
      </w:r>
      <w:r>
        <w:rPr>
          <w:rFonts w:hint="eastAsia" w:ascii="方正黑体简体" w:hAnsi="华文中宋" w:eastAsia="方正黑体简体"/>
          <w:color w:val="auto"/>
          <w:sz w:val="30"/>
          <w:szCs w:val="30"/>
          <w:highlight w:val="none"/>
          <w:lang w:val="en-US" w:eastAsia="zh-CN"/>
        </w:rPr>
        <w:t xml:space="preserve">  </w:t>
      </w:r>
      <w:r>
        <w:rPr>
          <w:rFonts w:hint="eastAsia" w:ascii="方正黑体简体" w:hAnsi="华文中宋" w:eastAsia="方正黑体简体"/>
          <w:color w:val="auto"/>
          <w:sz w:val="30"/>
          <w:szCs w:val="30"/>
          <w:highlight w:val="none"/>
        </w:rPr>
        <w:t>职</w:t>
      </w:r>
      <w:r>
        <w:rPr>
          <w:rFonts w:hint="eastAsia" w:ascii="方正黑体简体" w:hAnsi="华文中宋" w:eastAsia="方正黑体简体"/>
          <w:color w:val="auto"/>
          <w:sz w:val="30"/>
          <w:szCs w:val="30"/>
          <w:highlight w:val="none"/>
          <w:lang w:val="en-US" w:eastAsia="zh-CN"/>
        </w:rPr>
        <w:t xml:space="preserve">  </w:t>
      </w:r>
      <w:r>
        <w:rPr>
          <w:rFonts w:hint="eastAsia" w:ascii="方正黑体简体" w:hAnsi="华文中宋" w:eastAsia="方正黑体简体"/>
          <w:color w:val="auto"/>
          <w:sz w:val="30"/>
          <w:szCs w:val="30"/>
          <w:highlight w:val="none"/>
        </w:rPr>
        <w:t>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w:t>
      </w:r>
      <w:r>
        <w:rPr>
          <w:rFonts w:hint="eastAsia" w:ascii="方正仿宋简体" w:hAnsi="方正仿宋简体" w:eastAsia="方正仿宋简体" w:cs="方正仿宋简体"/>
          <w:b/>
          <w:bCs/>
          <w:color w:val="auto"/>
          <w:sz w:val="28"/>
          <w:szCs w:val="30"/>
          <w:highlight w:val="none"/>
          <w:lang w:eastAsia="zh-CN"/>
        </w:rPr>
        <w:t>五</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公司质量安全环保部是劳动防护用品的归口监督管理部门，其职责是：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（一）负责执行上级有关劳动防护用品的规定，制定公司劳动防护用品管理实施细则，编制公司劳动防护用品（含女工生理保健）购置计划。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（二）与财务、</w:t>
      </w:r>
      <w:r>
        <w:rPr>
          <w:rFonts w:hint="eastAsia" w:ascii="方正仿宋简体" w:hAnsi="方正仿宋简体" w:eastAsia="方正仿宋简体" w:cs="方正仿宋简体"/>
          <w:color w:val="auto"/>
          <w:sz w:val="28"/>
          <w:szCs w:val="30"/>
          <w:highlight w:val="none"/>
          <w:lang w:eastAsia="zh-CN"/>
        </w:rPr>
        <w:t>工会</w:t>
      </w:r>
      <w:r>
        <w:rPr>
          <w:rFonts w:hint="eastAsia" w:ascii="方正仿宋简体" w:hAnsi="方正仿宋简体" w:eastAsia="方正仿宋简体" w:cs="方正仿宋简体"/>
          <w:color w:val="auto"/>
          <w:sz w:val="28"/>
          <w:szCs w:val="30"/>
          <w:highlight w:val="none"/>
        </w:rPr>
        <w:t>一起参与</w:t>
      </w:r>
      <w:r>
        <w:rPr>
          <w:rFonts w:hint="eastAsia" w:ascii="方正仿宋简体" w:hAnsi="方正仿宋简体" w:eastAsia="方正仿宋简体" w:cs="方正仿宋简体"/>
          <w:color w:val="auto"/>
          <w:sz w:val="28"/>
          <w:szCs w:val="30"/>
          <w:highlight w:val="none"/>
          <w:lang w:eastAsia="zh-CN"/>
        </w:rPr>
        <w:t>市场营销部</w:t>
      </w:r>
      <w:r>
        <w:rPr>
          <w:rFonts w:hint="eastAsia" w:ascii="方正仿宋简体" w:hAnsi="方正仿宋简体" w:eastAsia="方正仿宋简体" w:cs="方正仿宋简体"/>
          <w:color w:val="auto"/>
          <w:sz w:val="28"/>
          <w:szCs w:val="30"/>
          <w:highlight w:val="none"/>
        </w:rPr>
        <w:t>对劳动防护用品的采购、验收、发放工作</w:t>
      </w:r>
      <w:r>
        <w:rPr>
          <w:rFonts w:hint="eastAsia" w:ascii="方正仿宋简体" w:hAnsi="方正仿宋简体" w:eastAsia="方正仿宋简体" w:cs="方正仿宋简体"/>
          <w:color w:val="auto"/>
          <w:sz w:val="28"/>
          <w:szCs w:val="30"/>
          <w:highlight w:val="none"/>
          <w:lang w:eastAsia="zh-CN"/>
        </w:rPr>
        <w:t>的过程监督</w:t>
      </w:r>
      <w:r>
        <w:rPr>
          <w:rFonts w:hint="eastAsia" w:ascii="方正仿宋简体" w:hAnsi="方正仿宋简体" w:eastAsia="方正仿宋简体" w:cs="方正仿宋简体"/>
          <w:color w:val="auto"/>
          <w:sz w:val="28"/>
          <w:szCs w:val="30"/>
          <w:highlight w:val="none"/>
        </w:rPr>
        <w:t>，并负责组织对劳动防护用品的使用和管理情况进行监督检查。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（三）组织对岗位员工、承包商劳动防护用品使用、报废、管理情况进行监督检查。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（四）年底向</w:t>
      </w:r>
      <w:r>
        <w:rPr>
          <w:rFonts w:hint="eastAsia" w:ascii="方正仿宋简体" w:hAnsi="方正仿宋简体" w:eastAsia="方正仿宋简体" w:cs="方正仿宋简体"/>
          <w:color w:val="auto"/>
          <w:sz w:val="28"/>
          <w:szCs w:val="30"/>
          <w:highlight w:val="none"/>
          <w:lang w:eastAsia="zh-CN"/>
        </w:rPr>
        <w:t>川港</w:t>
      </w:r>
      <w:r>
        <w:rPr>
          <w:rFonts w:hint="eastAsia" w:ascii="方正仿宋简体" w:hAnsi="方正仿宋简体" w:eastAsia="方正仿宋简体" w:cs="方正仿宋简体"/>
          <w:color w:val="auto"/>
          <w:sz w:val="28"/>
          <w:szCs w:val="30"/>
          <w:highlight w:val="none"/>
        </w:rPr>
        <w:t>质量安全环保</w:t>
      </w:r>
      <w:r>
        <w:rPr>
          <w:rFonts w:hint="eastAsia" w:ascii="方正仿宋简体" w:hAnsi="方正仿宋简体" w:eastAsia="方正仿宋简体" w:cs="方正仿宋简体"/>
          <w:color w:val="auto"/>
          <w:sz w:val="28"/>
          <w:szCs w:val="30"/>
          <w:highlight w:val="none"/>
          <w:lang w:eastAsia="zh-CN"/>
        </w:rPr>
        <w:t>部</w:t>
      </w:r>
      <w:r>
        <w:rPr>
          <w:rFonts w:hint="eastAsia" w:ascii="方正仿宋简体" w:hAnsi="方正仿宋简体" w:eastAsia="方正仿宋简体" w:cs="方正仿宋简体"/>
          <w:color w:val="auto"/>
          <w:sz w:val="28"/>
          <w:szCs w:val="30"/>
          <w:highlight w:val="none"/>
        </w:rPr>
        <w:t>报告劳动防护用品采购、发放、处置、管理、费用开支情况，以及员工对劳动防护用品质量、配发、使用意见。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color w:val="auto"/>
          <w:sz w:val="28"/>
          <w:szCs w:val="30"/>
          <w:highlight w:val="none"/>
        </w:rPr>
        <w:t>（五）</w:t>
      </w:r>
      <w:r>
        <w:rPr>
          <w:rFonts w:hint="eastAsia" w:ascii="方正仿宋简体" w:hAnsi="方正仿宋简体" w:eastAsia="方正仿宋简体" w:cs="方正仿宋简体"/>
          <w:color w:val="auto"/>
          <w:sz w:val="28"/>
          <w:szCs w:val="30"/>
          <w:highlight w:val="none"/>
          <w:lang w:eastAsia="zh-CN"/>
        </w:rPr>
        <w:t>督促建立</w:t>
      </w:r>
      <w:r>
        <w:rPr>
          <w:rFonts w:hint="eastAsia" w:ascii="方正仿宋简体" w:hAnsi="方正仿宋简体" w:eastAsia="方正仿宋简体" w:cs="方正仿宋简体"/>
          <w:color w:val="auto"/>
          <w:sz w:val="28"/>
          <w:szCs w:val="30"/>
          <w:highlight w:val="none"/>
        </w:rPr>
        <w:t>《员工个人劳动防护用品领用登记卡片》。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w:t>
      </w:r>
      <w:r>
        <w:rPr>
          <w:rFonts w:hint="eastAsia" w:ascii="方正仿宋简体" w:hAnsi="方正仿宋简体" w:eastAsia="方正仿宋简体" w:cs="方正仿宋简体"/>
          <w:b/>
          <w:bCs/>
          <w:color w:val="auto"/>
          <w:sz w:val="28"/>
          <w:szCs w:val="30"/>
          <w:highlight w:val="none"/>
          <w:lang w:eastAsia="zh-CN"/>
        </w:rPr>
        <w:t>六</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财务资产部职责是：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s="仿宋_GB2312"/>
          <w:color w:val="auto"/>
          <w:sz w:val="28"/>
          <w:szCs w:val="30"/>
          <w:highlight w:val="none"/>
        </w:rPr>
      </w:pPr>
      <w:r>
        <w:rPr>
          <w:rFonts w:hint="eastAsia" w:ascii="方正仿宋简体" w:eastAsia="方正仿宋简体" w:cs="仿宋_GB2312"/>
          <w:color w:val="auto"/>
          <w:sz w:val="28"/>
          <w:szCs w:val="30"/>
          <w:highlight w:val="none"/>
        </w:rPr>
        <w:t>（一）负责劳动防护用品计划费用审核，保证资金支出。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（二）按劳动防护用品年度计划检查本单位劳动防护用品费用的管理及支出情况。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w:t>
      </w:r>
      <w:r>
        <w:rPr>
          <w:rFonts w:hint="eastAsia" w:ascii="方正仿宋简体" w:hAnsi="方正仿宋简体" w:eastAsia="方正仿宋简体" w:cs="方正仿宋简体"/>
          <w:b/>
          <w:bCs/>
          <w:color w:val="auto"/>
          <w:sz w:val="28"/>
          <w:szCs w:val="28"/>
          <w:highlight w:val="none"/>
          <w:lang w:eastAsia="zh-CN"/>
        </w:rPr>
        <w:t>七</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eastAsia="zh-CN"/>
        </w:rPr>
        <w:t>市场营销</w:t>
      </w:r>
      <w:r>
        <w:rPr>
          <w:rFonts w:hint="eastAsia" w:ascii="方正仿宋简体" w:hAnsi="方正仿宋简体" w:eastAsia="方正仿宋简体" w:cs="方正仿宋简体"/>
          <w:color w:val="auto"/>
          <w:sz w:val="28"/>
          <w:szCs w:val="28"/>
          <w:highlight w:val="none"/>
        </w:rPr>
        <w:t>部职责是：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（一）负责在选择厂商采购劳动防护用品。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（二）按照审批后的劳动防护用品购置计划，负责防护用品的采购、验收、入库、储存保管，保证所购防护用品的型号、质量、款式、颜色、数量等符合物资需求计划提出的相关标准和要求。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（三）组织检查各单位劳动防护物品采购管理工作。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w:t>
      </w:r>
      <w:r>
        <w:rPr>
          <w:rFonts w:hint="eastAsia" w:ascii="方正仿宋简体" w:hAnsi="方正仿宋简体" w:eastAsia="方正仿宋简体" w:cs="方正仿宋简体"/>
          <w:b/>
          <w:bCs/>
          <w:color w:val="auto"/>
          <w:sz w:val="28"/>
          <w:szCs w:val="28"/>
          <w:highlight w:val="none"/>
          <w:lang w:eastAsia="zh-CN"/>
        </w:rPr>
        <w:t>八</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eastAsia="zh-CN"/>
        </w:rPr>
        <w:t>综合办公室</w:t>
      </w:r>
      <w:r>
        <w:rPr>
          <w:rFonts w:hint="eastAsia" w:ascii="方正仿宋简体" w:hAnsi="方正仿宋简体" w:eastAsia="方正仿宋简体" w:cs="方正仿宋简体"/>
          <w:color w:val="auto"/>
          <w:sz w:val="28"/>
          <w:szCs w:val="28"/>
          <w:highlight w:val="none"/>
        </w:rPr>
        <w:t>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（一）对劳动防护用品的质量、配发、使用情况进行监督。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（二）收集、汇总员工对劳动防护用品管理的意见，督促实施改进。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第</w:t>
      </w:r>
      <w:r>
        <w:rPr>
          <w:rFonts w:hint="eastAsia" w:ascii="方正仿宋简体" w:hAnsi="方正仿宋简体" w:eastAsia="方正仿宋简体" w:cs="方正仿宋简体"/>
          <w:b/>
          <w:bCs/>
          <w:color w:val="auto"/>
          <w:sz w:val="28"/>
          <w:szCs w:val="28"/>
          <w:highlight w:val="none"/>
          <w:lang w:eastAsia="zh-CN"/>
        </w:rPr>
        <w:t>九</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各单位的职责是：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（一）编制本</w:t>
      </w:r>
      <w:r>
        <w:rPr>
          <w:rFonts w:hint="eastAsia" w:ascii="方正仿宋简体" w:hAnsi="方正仿宋简体" w:eastAsia="方正仿宋简体" w:cs="方正仿宋简体"/>
          <w:color w:val="auto"/>
          <w:sz w:val="28"/>
          <w:szCs w:val="28"/>
          <w:highlight w:val="none"/>
          <w:lang w:eastAsia="zh-CN"/>
        </w:rPr>
        <w:t>部室、单位</w:t>
      </w:r>
      <w:r>
        <w:rPr>
          <w:rFonts w:hint="eastAsia" w:ascii="方正仿宋简体" w:hAnsi="方正仿宋简体" w:eastAsia="方正仿宋简体" w:cs="方正仿宋简体"/>
          <w:color w:val="auto"/>
          <w:sz w:val="28"/>
          <w:szCs w:val="28"/>
          <w:highlight w:val="none"/>
        </w:rPr>
        <w:t>劳动防护用品（含女工生理保健）购置计划，负责</w:t>
      </w:r>
      <w:r>
        <w:rPr>
          <w:rFonts w:hint="eastAsia" w:ascii="方正仿宋简体" w:hAnsi="方正仿宋简体" w:eastAsia="方正仿宋简体" w:cs="方正仿宋简体"/>
          <w:color w:val="auto"/>
          <w:sz w:val="28"/>
          <w:szCs w:val="28"/>
          <w:highlight w:val="none"/>
          <w:lang w:eastAsia="zh-CN"/>
        </w:rPr>
        <w:t>本部室、单位</w:t>
      </w:r>
      <w:r>
        <w:rPr>
          <w:rFonts w:hint="eastAsia" w:ascii="方正仿宋简体" w:hAnsi="方正仿宋简体" w:eastAsia="方正仿宋简体" w:cs="方正仿宋简体"/>
          <w:color w:val="auto"/>
          <w:sz w:val="28"/>
          <w:szCs w:val="28"/>
          <w:highlight w:val="none"/>
        </w:rPr>
        <w:t>员工劳动防护用品的使用和管理。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（二）负责收集本</w:t>
      </w:r>
      <w:r>
        <w:rPr>
          <w:rFonts w:hint="eastAsia" w:ascii="方正仿宋简体" w:hAnsi="方正仿宋简体" w:eastAsia="方正仿宋简体" w:cs="方正仿宋简体"/>
          <w:color w:val="auto"/>
          <w:sz w:val="28"/>
          <w:szCs w:val="28"/>
          <w:highlight w:val="none"/>
          <w:lang w:eastAsia="zh-CN"/>
        </w:rPr>
        <w:t>部室、</w:t>
      </w:r>
      <w:r>
        <w:rPr>
          <w:rFonts w:hint="eastAsia" w:ascii="方正仿宋简体" w:hAnsi="方正仿宋简体" w:eastAsia="方正仿宋简体" w:cs="方正仿宋简体"/>
          <w:color w:val="auto"/>
          <w:sz w:val="28"/>
          <w:szCs w:val="28"/>
          <w:highlight w:val="none"/>
        </w:rPr>
        <w:t>单位员工对劳动防护用品发放、使用、管理的意见，及时书面向公司质量安全环保部报告。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（三）建立本</w:t>
      </w:r>
      <w:r>
        <w:rPr>
          <w:rFonts w:hint="eastAsia" w:ascii="方正仿宋简体" w:hAnsi="方正仿宋简体" w:eastAsia="方正仿宋简体" w:cs="方正仿宋简体"/>
          <w:color w:val="auto"/>
          <w:sz w:val="28"/>
          <w:szCs w:val="28"/>
          <w:highlight w:val="none"/>
          <w:lang w:eastAsia="zh-CN"/>
        </w:rPr>
        <w:t>部室、</w:t>
      </w:r>
      <w:r>
        <w:rPr>
          <w:rFonts w:hint="eastAsia" w:ascii="方正仿宋简体" w:hAnsi="方正仿宋简体" w:eastAsia="方正仿宋简体" w:cs="方正仿宋简体"/>
          <w:color w:val="auto"/>
          <w:sz w:val="28"/>
          <w:szCs w:val="28"/>
          <w:highlight w:val="none"/>
        </w:rPr>
        <w:t>单位《员工个人劳动防护用品领用登记卡片》。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color w:val="auto"/>
          <w:sz w:val="30"/>
          <w:szCs w:val="30"/>
          <w:highlight w:val="none"/>
        </w:rPr>
      </w:pPr>
      <w:r>
        <w:rPr>
          <w:rFonts w:hint="eastAsia" w:ascii="方正黑体简体" w:hAnsi="方正黑体简体" w:eastAsia="方正黑体简体" w:cs="方正黑体简体"/>
          <w:color w:val="auto"/>
          <w:sz w:val="30"/>
          <w:szCs w:val="30"/>
          <w:highlight w:val="none"/>
        </w:rPr>
        <w:t>第三章  劳动防护用品配备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b/>
          <w:color w:val="auto"/>
          <w:sz w:val="28"/>
          <w:szCs w:val="28"/>
          <w:highlight w:val="none"/>
          <w:lang w:eastAsia="zh-CN"/>
        </w:rPr>
        <w:t>公司</w:t>
      </w:r>
      <w:r>
        <w:rPr>
          <w:rFonts w:hint="eastAsia" w:ascii="方正仿宋简体" w:hAnsi="方正仿宋简体" w:eastAsia="方正仿宋简体" w:cs="方正仿宋简体"/>
          <w:color w:val="auto"/>
          <w:sz w:val="28"/>
          <w:szCs w:val="28"/>
          <w:highlight w:val="none"/>
        </w:rPr>
        <w:t>应为上岗员工配备劳动防护用品。离岗6个月的员工，停止配备劳动防护用品。凡配备国家统一制式服装和其他有关部门统一着装的，不再配备防护服装。</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一</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eastAsia="zh-CN"/>
        </w:rPr>
        <w:t>公司</w:t>
      </w:r>
      <w:r>
        <w:rPr>
          <w:rFonts w:hint="eastAsia" w:ascii="方正仿宋简体" w:hAnsi="方正仿宋简体" w:eastAsia="方正仿宋简体" w:cs="方正仿宋简体"/>
          <w:color w:val="auto"/>
          <w:sz w:val="28"/>
          <w:szCs w:val="28"/>
          <w:highlight w:val="none"/>
        </w:rPr>
        <w:t>必须根据本单位安全生产和防止职业病的要求，按照不同工种、不同劳动环境和条件，发给员工不同防护功能的劳动防护用品。按照《西南油气田分公司员工个人劳动防护用品管理办法》</w:t>
      </w:r>
      <w:r>
        <w:rPr>
          <w:rFonts w:hint="eastAsia" w:ascii="方正仿宋简体" w:hAnsi="方正仿宋简体" w:eastAsia="方正仿宋简体" w:cs="方正仿宋简体"/>
          <w:color w:val="auto"/>
          <w:sz w:val="28"/>
          <w:szCs w:val="28"/>
          <w:highlight w:val="none"/>
          <w:lang w:eastAsia="zh-CN"/>
        </w:rPr>
        <w:t>、《四川川港燃气有限责任公司员工个人劳动防护用品管理实施细则》</w:t>
      </w:r>
      <w:r>
        <w:rPr>
          <w:rFonts w:hint="eastAsia" w:ascii="方正仿宋简体" w:hAnsi="方正仿宋简体" w:eastAsia="方正仿宋简体" w:cs="方正仿宋简体"/>
          <w:color w:val="auto"/>
          <w:sz w:val="28"/>
          <w:szCs w:val="28"/>
          <w:highlight w:val="none"/>
        </w:rPr>
        <w:t>以及其它国家、行业标准按实际需要配发。其中：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对于从事电器安装、检修、金属焊接、起重机械、登高作业、锅炉压力容器作业等特种作业和在特殊生产环境中工作的员工，应根据生产作业及环境条件的需要，为员工配发具有相应的特种防护功能的工服、工鞋（包括绝缘工鞋）和安全帽、手套、护目镜等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（二）对于在易燃易爆、易灼伤、易化学性腐蚀、灼伤、中毒、高温、高湿生产场所工作的员工，必须配发相应的防静电、阻燃、耐腐蚀的工服、工鞋和相应的手套、口罩、护目镜、防护面具等劳动防护用品。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二</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员工第一次配发劳动防护用品时，工服、工鞋同时配备两套。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三</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需配备防护眼镜的员工，凡患有近视等眼疾病者，经医院证明，由公司质量安全环保部批准配购。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四</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应根据生产经营实际情况，为员工每季度配发劳动保护沐浴洗液、洗涤（去污）剂、防晒、防冻、护肤剂、驱蚊剂等防护用品。每季度每个员工配发标准为不超过500元。女员工每季度按不超过200元的标准发放女性生理保健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b/>
          <w:color w:val="auto"/>
          <w:sz w:val="28"/>
          <w:szCs w:val="28"/>
          <w:highlight w:val="none"/>
        </w:rPr>
      </w:pPr>
      <w:r>
        <w:rPr>
          <w:rFonts w:ascii="方正黑体简体" w:hAnsi="华文中宋" w:eastAsia="方正黑体简体"/>
          <w:color w:val="auto"/>
          <w:sz w:val="30"/>
          <w:szCs w:val="30"/>
          <w:highlight w:val="none"/>
        </w:rPr>
        <w:t>第</w:t>
      </w:r>
      <w:r>
        <w:rPr>
          <w:rFonts w:hint="eastAsia" w:ascii="方正黑体简体" w:hAnsi="华文中宋" w:eastAsia="方正黑体简体"/>
          <w:color w:val="auto"/>
          <w:sz w:val="30"/>
          <w:szCs w:val="30"/>
          <w:highlight w:val="none"/>
        </w:rPr>
        <w:t>四</w:t>
      </w:r>
      <w:r>
        <w:rPr>
          <w:rFonts w:ascii="方正黑体简体" w:hAnsi="华文中宋" w:eastAsia="方正黑体简体"/>
          <w:color w:val="auto"/>
          <w:sz w:val="30"/>
          <w:szCs w:val="30"/>
          <w:highlight w:val="none"/>
        </w:rPr>
        <w:t xml:space="preserve">章  </w:t>
      </w:r>
      <w:r>
        <w:rPr>
          <w:rFonts w:hint="eastAsia" w:ascii="方正黑体简体" w:hAnsi="华文中宋" w:eastAsia="方正黑体简体"/>
          <w:color w:val="auto"/>
          <w:sz w:val="30"/>
          <w:szCs w:val="30"/>
          <w:highlight w:val="none"/>
        </w:rPr>
        <w:t>劳动防护用品管理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五</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严禁将劳动防护用品以折合现金或购置其他物品的方式发给员工个人。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六</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各</w:t>
      </w:r>
      <w:r>
        <w:rPr>
          <w:rFonts w:hint="eastAsia" w:ascii="方正仿宋简体" w:hAnsi="方正仿宋简体" w:eastAsia="方正仿宋简体" w:cs="方正仿宋简体"/>
          <w:color w:val="auto"/>
          <w:sz w:val="28"/>
          <w:szCs w:val="28"/>
          <w:highlight w:val="none"/>
          <w:lang w:eastAsia="zh-CN"/>
        </w:rPr>
        <w:t>部室、</w:t>
      </w:r>
      <w:r>
        <w:rPr>
          <w:rFonts w:hint="eastAsia" w:ascii="方正仿宋简体" w:hAnsi="方正仿宋简体" w:eastAsia="方正仿宋简体" w:cs="方正仿宋简体"/>
          <w:color w:val="auto"/>
          <w:sz w:val="28"/>
          <w:szCs w:val="28"/>
          <w:highlight w:val="none"/>
        </w:rPr>
        <w:t>单位必须按照公司统一格式建立健全《员工个人劳动防护用品领用登记卡片》，由劳动防护用品发放部门统一进行管理。员工在公司内部调动时，《员工个人劳动防护用品领用登记卡片》应交由新单位管理。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七</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因公造成报废的劳动防护用品，由</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审批后由物资采购部门补发。非因公造成劳动防护用品损失的，按劳动防护用品使用年限，折价交款后补发。</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w:t>
      </w:r>
      <w:r>
        <w:rPr>
          <w:rFonts w:hint="eastAsia" w:ascii="方正仿宋简体" w:hAnsi="方正仿宋简体" w:eastAsia="方正仿宋简体" w:cs="方正仿宋简体"/>
          <w:b/>
          <w:bCs/>
          <w:color w:val="auto"/>
          <w:sz w:val="28"/>
          <w:szCs w:val="28"/>
          <w:highlight w:val="none"/>
          <w:lang w:eastAsia="zh-CN"/>
        </w:rPr>
        <w:t>八</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应根据风险分析，按照制定的控制措施配备集体应急防护用品（如安全网、救生衣、正压式空气呼吸器等），以满足员工防护所需。其中属安全防护器材的，按照《西南油气田分公司安全防护器材管理规定》配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w:t>
      </w:r>
      <w:r>
        <w:rPr>
          <w:rFonts w:hint="eastAsia" w:ascii="方正仿宋简体" w:hAnsi="方正仿宋简体" w:eastAsia="方正仿宋简体" w:cs="方正仿宋简体"/>
          <w:b/>
          <w:bCs/>
          <w:color w:val="auto"/>
          <w:sz w:val="28"/>
          <w:szCs w:val="28"/>
          <w:highlight w:val="none"/>
          <w:lang w:eastAsia="zh-CN"/>
        </w:rPr>
        <w:t>十九</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所有劳动防护用品必须按有效防护功能最低指标和有效使用期限要求使用，到期进行强制检定或报废。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特殊作业需用的劳动防护用品，由需用单位提出申请，经公司质量安全环保部审批后方可采购配备。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w:t>
      </w:r>
      <w:r>
        <w:rPr>
          <w:rFonts w:hint="eastAsia" w:ascii="方正仿宋简体" w:hAnsi="方正仿宋简体" w:eastAsia="方正仿宋简体" w:cs="方正仿宋简体"/>
          <w:b/>
          <w:bCs/>
          <w:color w:val="auto"/>
          <w:sz w:val="28"/>
          <w:szCs w:val="28"/>
          <w:highlight w:val="none"/>
          <w:lang w:eastAsia="zh-CN"/>
        </w:rPr>
        <w:t>一</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 xml:space="preserve"> 地方部门参观、检查以及分配到本单位的实习人员等按规定穿（佩）戴劳动防护用品。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w:t>
      </w:r>
      <w:r>
        <w:rPr>
          <w:rFonts w:hint="eastAsia" w:ascii="方正仿宋简体" w:hAnsi="方正仿宋简体" w:eastAsia="方正仿宋简体" w:cs="方正仿宋简体"/>
          <w:b/>
          <w:bCs/>
          <w:color w:val="auto"/>
          <w:sz w:val="28"/>
          <w:szCs w:val="28"/>
          <w:highlight w:val="none"/>
          <w:lang w:eastAsia="zh-CN"/>
        </w:rPr>
        <w:t>二</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承包商应根据承揽的作业项目风险情况，按照作业项目计划书的要求为所属员工配备相应的劳动防护用品。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b/>
          <w:color w:val="auto"/>
          <w:sz w:val="30"/>
          <w:szCs w:val="30"/>
          <w:highlight w:val="none"/>
        </w:rPr>
      </w:pPr>
      <w:r>
        <w:rPr>
          <w:rFonts w:ascii="方正黑体简体" w:hAnsi="华文中宋" w:eastAsia="方正黑体简体"/>
          <w:color w:val="auto"/>
          <w:sz w:val="30"/>
          <w:szCs w:val="30"/>
          <w:highlight w:val="none"/>
        </w:rPr>
        <w:t>第</w:t>
      </w:r>
      <w:r>
        <w:rPr>
          <w:rFonts w:hint="eastAsia" w:ascii="方正黑体简体" w:hAnsi="华文中宋" w:eastAsia="方正黑体简体"/>
          <w:color w:val="auto"/>
          <w:sz w:val="30"/>
          <w:szCs w:val="30"/>
          <w:highlight w:val="none"/>
        </w:rPr>
        <w:t>五</w:t>
      </w:r>
      <w:r>
        <w:rPr>
          <w:rFonts w:ascii="方正黑体简体" w:hAnsi="华文中宋" w:eastAsia="方正黑体简体"/>
          <w:color w:val="auto"/>
          <w:sz w:val="30"/>
          <w:szCs w:val="30"/>
          <w:highlight w:val="none"/>
        </w:rPr>
        <w:t xml:space="preserve">章  </w:t>
      </w:r>
      <w:r>
        <w:rPr>
          <w:rFonts w:hint="eastAsia" w:ascii="方正黑体简体" w:hAnsi="华文中宋" w:eastAsia="方正黑体简体"/>
          <w:color w:val="auto"/>
          <w:sz w:val="30"/>
          <w:szCs w:val="30"/>
          <w:highlight w:val="none"/>
        </w:rPr>
        <w:t>劳动防护用品使用与监督检查</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第二十</w:t>
      </w:r>
      <w:r>
        <w:rPr>
          <w:rFonts w:hint="eastAsia" w:ascii="方正仿宋简体" w:hAnsi="方正仿宋简体" w:eastAsia="方正仿宋简体" w:cs="方正仿宋简体"/>
          <w:b/>
          <w:bCs/>
          <w:color w:val="auto"/>
          <w:sz w:val="28"/>
          <w:szCs w:val="30"/>
          <w:highlight w:val="none"/>
          <w:lang w:eastAsia="zh-CN"/>
        </w:rPr>
        <w:t>三</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员工按规定领取劳动防护用品，上岗工作时必须按规定正确穿（佩）戴，不准穿（佩）戴达到报废期限、破损或变形，影响功能的劳动防护用品。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第二十</w:t>
      </w:r>
      <w:r>
        <w:rPr>
          <w:rFonts w:hint="eastAsia" w:ascii="方正仿宋简体" w:hAnsi="方正仿宋简体" w:eastAsia="方正仿宋简体" w:cs="方正仿宋简体"/>
          <w:b/>
          <w:bCs/>
          <w:color w:val="auto"/>
          <w:sz w:val="28"/>
          <w:szCs w:val="30"/>
          <w:highlight w:val="none"/>
          <w:lang w:eastAsia="zh-CN"/>
        </w:rPr>
        <w:t>四</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承包商，参观、学习、实习人员等进入生产作业现场都必须穿（佩）戴相应的劳动防护用品。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cs="仿宋_GB2312"/>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第二十</w:t>
      </w:r>
      <w:r>
        <w:rPr>
          <w:rFonts w:hint="eastAsia" w:ascii="方正仿宋简体" w:hAnsi="方正仿宋简体" w:eastAsia="方正仿宋简体" w:cs="方正仿宋简体"/>
          <w:b/>
          <w:bCs/>
          <w:color w:val="auto"/>
          <w:sz w:val="28"/>
          <w:szCs w:val="30"/>
          <w:highlight w:val="none"/>
          <w:lang w:eastAsia="zh-CN"/>
        </w:rPr>
        <w:t>五</w:t>
      </w:r>
      <w:r>
        <w:rPr>
          <w:rFonts w:hint="eastAsia" w:ascii="方正仿宋简体" w:hAnsi="方正仿宋简体" w:eastAsia="方正仿宋简体" w:cs="方正仿宋简体"/>
          <w:b/>
          <w:bCs/>
          <w:color w:val="auto"/>
          <w:sz w:val="28"/>
          <w:szCs w:val="30"/>
          <w:highlight w:val="none"/>
        </w:rPr>
        <w:t>条</w:t>
      </w:r>
      <w:r>
        <w:rPr>
          <w:rFonts w:ascii="方正仿宋简体" w:eastAsia="方正仿宋简体" w:cs="仿宋_GB2312"/>
          <w:b/>
          <w:color w:val="auto"/>
          <w:sz w:val="28"/>
          <w:szCs w:val="30"/>
          <w:highlight w:val="none"/>
        </w:rPr>
        <w:t xml:space="preserve">  </w:t>
      </w:r>
      <w:r>
        <w:rPr>
          <w:rFonts w:ascii="方正仿宋简体" w:eastAsia="方正仿宋简体" w:cs="仿宋_GB2312"/>
          <w:color w:val="auto"/>
          <w:sz w:val="28"/>
          <w:szCs w:val="30"/>
          <w:highlight w:val="none"/>
        </w:rPr>
        <w:t>各级管理人员在生产、作业场所检查工作时必须监督检查员工</w:t>
      </w:r>
      <w:r>
        <w:rPr>
          <w:rFonts w:hint="eastAsia" w:ascii="方正仿宋简体" w:eastAsia="方正仿宋简体" w:cs="仿宋_GB2312"/>
          <w:color w:val="auto"/>
          <w:sz w:val="28"/>
          <w:szCs w:val="30"/>
          <w:highlight w:val="none"/>
        </w:rPr>
        <w:t>、承包商以及其他外来人员</w:t>
      </w:r>
      <w:r>
        <w:rPr>
          <w:rFonts w:ascii="方正仿宋简体" w:eastAsia="方正仿宋简体" w:cs="仿宋_GB2312"/>
          <w:color w:val="auto"/>
          <w:sz w:val="28"/>
          <w:szCs w:val="30"/>
          <w:highlight w:val="none"/>
        </w:rPr>
        <w:t>穿（佩）戴和</w:t>
      </w:r>
      <w:r>
        <w:rPr>
          <w:rFonts w:hint="eastAsia" w:ascii="方正仿宋简体" w:eastAsia="方正仿宋简体" w:cs="仿宋_GB2312"/>
          <w:color w:val="auto"/>
          <w:sz w:val="28"/>
          <w:szCs w:val="30"/>
          <w:highlight w:val="none"/>
        </w:rPr>
        <w:t>正确</w:t>
      </w:r>
      <w:r>
        <w:rPr>
          <w:rFonts w:ascii="方正仿宋简体" w:eastAsia="方正仿宋简体" w:cs="仿宋_GB2312"/>
          <w:color w:val="auto"/>
          <w:sz w:val="28"/>
          <w:szCs w:val="30"/>
          <w:highlight w:val="none"/>
        </w:rPr>
        <w:t>使用劳动防护用品情况，不符合要求的要给</w:t>
      </w:r>
      <w:r>
        <w:rPr>
          <w:rFonts w:hint="eastAsia" w:ascii="方正仿宋简体" w:eastAsia="方正仿宋简体" w:cs="仿宋_GB2312"/>
          <w:color w:val="auto"/>
          <w:sz w:val="28"/>
          <w:szCs w:val="30"/>
          <w:highlight w:val="none"/>
        </w:rPr>
        <w:t>予</w:t>
      </w:r>
      <w:r>
        <w:rPr>
          <w:rFonts w:ascii="方正仿宋简体" w:eastAsia="方正仿宋简体" w:cs="仿宋_GB2312"/>
          <w:color w:val="auto"/>
          <w:sz w:val="28"/>
          <w:szCs w:val="30"/>
          <w:highlight w:val="none"/>
        </w:rPr>
        <w:t>批评教育或</w:t>
      </w:r>
      <w:r>
        <w:rPr>
          <w:rFonts w:hint="eastAsia" w:ascii="方正仿宋简体" w:eastAsia="方正仿宋简体" w:cs="仿宋_GB2312"/>
          <w:color w:val="auto"/>
          <w:sz w:val="28"/>
          <w:szCs w:val="30"/>
          <w:highlight w:val="none"/>
        </w:rPr>
        <w:t>进行</w:t>
      </w:r>
      <w:r>
        <w:rPr>
          <w:rFonts w:ascii="方正仿宋简体" w:eastAsia="方正仿宋简体" w:cs="仿宋_GB2312"/>
          <w:color w:val="auto"/>
          <w:sz w:val="28"/>
          <w:szCs w:val="30"/>
          <w:highlight w:val="none"/>
        </w:rPr>
        <w:t>相应的</w:t>
      </w:r>
      <w:r>
        <w:rPr>
          <w:rFonts w:hint="eastAsia" w:ascii="方正仿宋简体" w:eastAsia="方正仿宋简体" w:cs="仿宋_GB2312"/>
          <w:color w:val="auto"/>
          <w:sz w:val="28"/>
          <w:szCs w:val="30"/>
          <w:highlight w:val="none"/>
        </w:rPr>
        <w:t>处置</w:t>
      </w:r>
      <w:r>
        <w:rPr>
          <w:rFonts w:ascii="方正仿宋简体" w:eastAsia="方正仿宋简体" w:cs="仿宋_GB2312"/>
          <w:color w:val="auto"/>
          <w:sz w:val="28"/>
          <w:szCs w:val="30"/>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jc w:val="both"/>
        <w:textAlignment w:val="auto"/>
        <w:outlineLvl w:val="9"/>
        <w:rPr>
          <w:rFonts w:hint="eastAsia" w:eastAsia="华文中宋"/>
          <w:b/>
          <w:bCs/>
          <w:color w:val="auto"/>
          <w:sz w:val="32"/>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b w:val="0"/>
          <w:bCs w:val="0"/>
          <w:color w:val="auto"/>
          <w:sz w:val="28"/>
          <w:szCs w:val="28"/>
          <w:highlight w:val="none"/>
        </w:rPr>
      </w:pPr>
      <w:r>
        <w:rPr>
          <w:rFonts w:ascii="方正黑体简体" w:hAnsi="华文中宋" w:eastAsia="方正黑体简体"/>
          <w:b w:val="0"/>
          <w:bCs w:val="0"/>
          <w:color w:val="auto"/>
          <w:sz w:val="30"/>
          <w:szCs w:val="30"/>
          <w:highlight w:val="none"/>
        </w:rPr>
        <w:t>第</w:t>
      </w:r>
      <w:r>
        <w:rPr>
          <w:rFonts w:hint="eastAsia" w:ascii="方正黑体简体" w:hAnsi="华文中宋" w:eastAsia="方正黑体简体"/>
          <w:b w:val="0"/>
          <w:bCs w:val="0"/>
          <w:color w:val="auto"/>
          <w:sz w:val="30"/>
          <w:szCs w:val="30"/>
          <w:highlight w:val="none"/>
        </w:rPr>
        <w:t>六</w:t>
      </w:r>
      <w:r>
        <w:rPr>
          <w:rFonts w:ascii="方正黑体简体" w:hAnsi="华文中宋" w:eastAsia="方正黑体简体"/>
          <w:b w:val="0"/>
          <w:bCs w:val="0"/>
          <w:color w:val="auto"/>
          <w:sz w:val="30"/>
          <w:szCs w:val="30"/>
          <w:highlight w:val="none"/>
        </w:rPr>
        <w:t xml:space="preserve">章  </w:t>
      </w:r>
      <w:r>
        <w:rPr>
          <w:rFonts w:hint="eastAsia" w:ascii="方正黑体简体" w:hAnsi="华文中宋" w:eastAsia="方正黑体简体"/>
          <w:b w:val="0"/>
          <w:bCs w:val="0"/>
          <w:color w:val="auto"/>
          <w:sz w:val="30"/>
          <w:szCs w:val="30"/>
          <w:highlight w:val="none"/>
        </w:rPr>
        <w:t>劳动防护用品报废管理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w:t>
      </w:r>
      <w:r>
        <w:rPr>
          <w:rFonts w:hint="eastAsia" w:ascii="方正仿宋简体" w:hAnsi="方正仿宋简体" w:eastAsia="方正仿宋简体" w:cs="方正仿宋简体"/>
          <w:b/>
          <w:bCs/>
          <w:color w:val="auto"/>
          <w:sz w:val="28"/>
          <w:szCs w:val="28"/>
          <w:highlight w:val="none"/>
          <w:lang w:eastAsia="zh-CN"/>
        </w:rPr>
        <w:t>六</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下列情况之一的劳动防护用品应报废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（一）破损或变形，影响劳动防护用品功能时。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（二）达到报废期限时。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劳动防护用品报废由</w:t>
      </w:r>
      <w:r>
        <w:rPr>
          <w:rFonts w:hint="eastAsia" w:ascii="方正仿宋简体" w:hAnsi="方正仿宋简体" w:eastAsia="方正仿宋简体" w:cs="方正仿宋简体"/>
          <w:color w:val="auto"/>
          <w:sz w:val="28"/>
          <w:szCs w:val="28"/>
          <w:highlight w:val="none"/>
          <w:lang w:eastAsia="zh-CN"/>
        </w:rPr>
        <w:t>质量安全环保部</w:t>
      </w:r>
      <w:r>
        <w:rPr>
          <w:rFonts w:hint="eastAsia" w:ascii="方正仿宋简体" w:hAnsi="方正仿宋简体" w:eastAsia="方正仿宋简体" w:cs="方正仿宋简体"/>
          <w:color w:val="auto"/>
          <w:sz w:val="28"/>
          <w:szCs w:val="28"/>
          <w:highlight w:val="none"/>
        </w:rPr>
        <w:t>组织实施。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第二十</w:t>
      </w:r>
      <w:r>
        <w:rPr>
          <w:rFonts w:hint="eastAsia" w:ascii="方正仿宋简体" w:hAnsi="方正仿宋简体" w:eastAsia="方正仿宋简体" w:cs="方正仿宋简体"/>
          <w:b/>
          <w:bCs/>
          <w:color w:val="auto"/>
          <w:sz w:val="28"/>
          <w:szCs w:val="28"/>
          <w:highlight w:val="none"/>
          <w:lang w:eastAsia="zh-CN"/>
        </w:rPr>
        <w:t>七</w:t>
      </w:r>
      <w:r>
        <w:rPr>
          <w:rFonts w:hint="eastAsia" w:ascii="方正仿宋简体" w:hAnsi="方正仿宋简体" w:eastAsia="方正仿宋简体" w:cs="方正仿宋简体"/>
          <w:b/>
          <w:bCs/>
          <w:color w:val="auto"/>
          <w:sz w:val="28"/>
          <w:szCs w:val="28"/>
          <w:highlight w:val="none"/>
        </w:rPr>
        <w:t>条</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被放射性物质污染的劳动防护用品按照国家有关规定统一处理。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b/>
          <w:bCs/>
          <w:color w:val="auto"/>
          <w:sz w:val="30"/>
          <w:szCs w:val="30"/>
          <w:highlight w:val="none"/>
        </w:rPr>
      </w:pPr>
      <w:r>
        <w:rPr>
          <w:rFonts w:ascii="方正黑体简体" w:hAnsi="华文中宋" w:eastAsia="方正黑体简体"/>
          <w:color w:val="auto"/>
          <w:sz w:val="30"/>
          <w:szCs w:val="30"/>
          <w:highlight w:val="none"/>
        </w:rPr>
        <w:t>第</w:t>
      </w:r>
      <w:r>
        <w:rPr>
          <w:rFonts w:hint="eastAsia" w:ascii="方正黑体简体" w:hAnsi="华文中宋" w:eastAsia="方正黑体简体"/>
          <w:color w:val="auto"/>
          <w:sz w:val="30"/>
          <w:szCs w:val="30"/>
          <w:highlight w:val="none"/>
        </w:rPr>
        <w:t>七</w:t>
      </w:r>
      <w:r>
        <w:rPr>
          <w:rFonts w:ascii="方正黑体简体" w:hAnsi="华文中宋" w:eastAsia="方正黑体简体"/>
          <w:color w:val="auto"/>
          <w:sz w:val="30"/>
          <w:szCs w:val="30"/>
          <w:highlight w:val="none"/>
        </w:rPr>
        <w:t xml:space="preserve">章  </w:t>
      </w:r>
      <w:r>
        <w:rPr>
          <w:rFonts w:hint="eastAsia" w:ascii="方正黑体简体" w:hAnsi="华文中宋" w:eastAsia="方正黑体简体"/>
          <w:color w:val="auto"/>
          <w:sz w:val="30"/>
          <w:szCs w:val="30"/>
          <w:highlight w:val="none"/>
        </w:rPr>
        <w:t>附</w:t>
      </w:r>
      <w:r>
        <w:rPr>
          <w:rFonts w:hint="eastAsia" w:ascii="方正黑体简体" w:hAnsi="华文中宋" w:eastAsia="方正黑体简体"/>
          <w:color w:val="auto"/>
          <w:sz w:val="30"/>
          <w:szCs w:val="30"/>
          <w:highlight w:val="none"/>
          <w:lang w:val="en-US" w:eastAsia="zh-CN"/>
        </w:rPr>
        <w:t xml:space="preserve">  </w:t>
      </w:r>
      <w:r>
        <w:rPr>
          <w:rFonts w:hint="eastAsia" w:ascii="方正黑体简体" w:hAnsi="华文中宋" w:eastAsia="方正黑体简体"/>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第二十</w:t>
      </w:r>
      <w:r>
        <w:rPr>
          <w:rFonts w:hint="eastAsia" w:ascii="方正仿宋简体" w:hAnsi="方正仿宋简体" w:eastAsia="方正仿宋简体" w:cs="方正仿宋简体"/>
          <w:b/>
          <w:bCs/>
          <w:color w:val="auto"/>
          <w:sz w:val="28"/>
          <w:szCs w:val="30"/>
          <w:highlight w:val="none"/>
          <w:lang w:eastAsia="zh-CN"/>
        </w:rPr>
        <w:t>八</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本实施细则由公司质量安全环保部负责解释。</w:t>
      </w:r>
    </w:p>
    <w:p>
      <w:pPr>
        <w:keepNext w:val="0"/>
        <w:keepLines w:val="0"/>
        <w:pageBreakBefore w:val="0"/>
        <w:widowControl w:val="0"/>
        <w:tabs>
          <w:tab w:val="left" w:pos="540"/>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30"/>
          <w:highlight w:val="none"/>
        </w:rPr>
      </w:pPr>
      <w:r>
        <w:rPr>
          <w:rFonts w:hint="eastAsia" w:ascii="方正仿宋简体" w:hAnsi="方正仿宋简体" w:eastAsia="方正仿宋简体" w:cs="方正仿宋简体"/>
          <w:b/>
          <w:bCs/>
          <w:color w:val="auto"/>
          <w:sz w:val="28"/>
          <w:szCs w:val="30"/>
          <w:highlight w:val="none"/>
        </w:rPr>
        <w:t>第</w:t>
      </w:r>
      <w:r>
        <w:rPr>
          <w:rFonts w:hint="eastAsia" w:ascii="方正仿宋简体" w:hAnsi="方正仿宋简体" w:eastAsia="方正仿宋简体" w:cs="方正仿宋简体"/>
          <w:b/>
          <w:bCs/>
          <w:color w:val="auto"/>
          <w:sz w:val="28"/>
          <w:szCs w:val="30"/>
          <w:highlight w:val="none"/>
          <w:lang w:eastAsia="zh-CN"/>
        </w:rPr>
        <w:t>二十九</w:t>
      </w:r>
      <w:r>
        <w:rPr>
          <w:rFonts w:hint="eastAsia" w:ascii="方正仿宋简体" w:hAnsi="方正仿宋简体" w:eastAsia="方正仿宋简体" w:cs="方正仿宋简体"/>
          <w:b/>
          <w:bCs/>
          <w:color w:val="auto"/>
          <w:sz w:val="28"/>
          <w:szCs w:val="30"/>
          <w:highlight w:val="none"/>
        </w:rPr>
        <w:t>条</w:t>
      </w:r>
      <w:r>
        <w:rPr>
          <w:rFonts w:hint="eastAsia" w:ascii="方正仿宋简体" w:hAnsi="方正仿宋简体" w:eastAsia="方正仿宋简体" w:cs="方正仿宋简体"/>
          <w:b/>
          <w:color w:val="auto"/>
          <w:sz w:val="28"/>
          <w:szCs w:val="30"/>
          <w:highlight w:val="none"/>
        </w:rPr>
        <w:t xml:space="preserve">  </w:t>
      </w:r>
      <w:r>
        <w:rPr>
          <w:rFonts w:hint="eastAsia" w:ascii="方正仿宋简体" w:hAnsi="方正仿宋简体" w:eastAsia="方正仿宋简体" w:cs="方正仿宋简体"/>
          <w:color w:val="auto"/>
          <w:sz w:val="28"/>
          <w:szCs w:val="30"/>
          <w:highlight w:val="none"/>
        </w:rPr>
        <w:t>本实施细则自印发之日起执行。</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color w:val="auto"/>
          <w:sz w:val="28"/>
          <w:szCs w:val="30"/>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1399" w:leftChars="266" w:hanging="840" w:hangingChars="300"/>
        <w:jc w:val="left"/>
        <w:textAlignment w:val="auto"/>
        <w:outlineLvl w:val="9"/>
        <w:rPr>
          <w:rFonts w:hint="eastAsia" w:ascii="方正仿宋简体" w:eastAsia="方正仿宋简体" w:cs="仿宋_GB2312"/>
          <w:color w:val="auto"/>
          <w:sz w:val="28"/>
          <w:szCs w:val="30"/>
          <w:highlight w:val="none"/>
        </w:rPr>
      </w:pPr>
      <w:r>
        <w:rPr>
          <w:rFonts w:hint="eastAsia" w:ascii="方正仿宋简体" w:eastAsia="方正仿宋简体" w:cs="仿宋_GB2312"/>
          <w:color w:val="auto"/>
          <w:sz w:val="28"/>
          <w:szCs w:val="30"/>
          <w:highlight w:val="none"/>
          <w:lang w:eastAsia="zh-CN"/>
        </w:rPr>
        <w:t>附件：</w:t>
      </w:r>
      <w:r>
        <w:rPr>
          <w:rFonts w:hint="eastAsia" w:ascii="方正仿宋简体" w:eastAsia="方正仿宋简体" w:cs="仿宋_GB2312"/>
          <w:color w:val="auto"/>
          <w:sz w:val="28"/>
          <w:szCs w:val="30"/>
          <w:highlight w:val="none"/>
        </w:rPr>
        <w:t>1</w:t>
      </w:r>
      <w:r>
        <w:rPr>
          <w:rFonts w:hint="eastAsia" w:ascii="方正仿宋简体" w:eastAsia="方正仿宋简体" w:cs="仿宋_GB2312"/>
          <w:color w:val="auto"/>
          <w:sz w:val="28"/>
          <w:szCs w:val="30"/>
          <w:highlight w:val="none"/>
          <w:lang w:val="en-US" w:eastAsia="zh-CN"/>
        </w:rPr>
        <w:t>.</w:t>
      </w:r>
      <w:r>
        <w:rPr>
          <w:rFonts w:hint="eastAsia" w:ascii="方正仿宋简体" w:eastAsia="方正仿宋简体" w:cs="仿宋_GB2312"/>
          <w:color w:val="auto"/>
          <w:sz w:val="28"/>
          <w:szCs w:val="30"/>
          <w:highlight w:val="none"/>
          <w:lang w:eastAsia="zh-CN"/>
        </w:rPr>
        <w:t>中油南充燃气有限责任公司</w:t>
      </w:r>
      <w:r>
        <w:rPr>
          <w:rFonts w:hint="eastAsia" w:ascii="方正仿宋简体" w:eastAsia="方正仿宋简体" w:cs="仿宋_GB2312"/>
          <w:color w:val="auto"/>
          <w:sz w:val="28"/>
          <w:szCs w:val="30"/>
          <w:highlight w:val="none"/>
        </w:rPr>
        <w:t>员工个人劳动防护用品配发放标准</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left"/>
        <w:textAlignment w:val="auto"/>
        <w:outlineLvl w:val="9"/>
        <w:rPr>
          <w:rFonts w:hint="eastAsia" w:ascii="方正仿宋简体" w:eastAsia="方正仿宋简体" w:cs="仿宋_GB2312"/>
          <w:color w:val="auto"/>
          <w:sz w:val="28"/>
          <w:szCs w:val="30"/>
          <w:highlight w:val="none"/>
        </w:rPr>
      </w:pPr>
      <w:r>
        <w:rPr>
          <w:rFonts w:hint="eastAsia" w:ascii="方正仿宋简体" w:eastAsia="方正仿宋简体" w:cs="仿宋_GB2312"/>
          <w:color w:val="auto"/>
          <w:sz w:val="28"/>
          <w:szCs w:val="30"/>
          <w:highlight w:val="none"/>
        </w:rPr>
        <w:t>2</w:t>
      </w:r>
      <w:r>
        <w:rPr>
          <w:rFonts w:hint="eastAsia" w:ascii="方正仿宋简体" w:eastAsia="方正仿宋简体" w:cs="仿宋_GB2312"/>
          <w:color w:val="auto"/>
          <w:sz w:val="28"/>
          <w:szCs w:val="30"/>
          <w:highlight w:val="none"/>
          <w:lang w:val="en-US" w:eastAsia="zh-CN"/>
        </w:rPr>
        <w:t>.</w:t>
      </w:r>
      <w:r>
        <w:rPr>
          <w:rFonts w:hint="eastAsia" w:ascii="方正仿宋简体" w:eastAsia="方正仿宋简体" w:cs="仿宋_GB2312"/>
          <w:color w:val="auto"/>
          <w:sz w:val="28"/>
          <w:szCs w:val="30"/>
          <w:highlight w:val="none"/>
          <w:lang w:eastAsia="zh-CN"/>
        </w:rPr>
        <w:t>中油南充燃气有限责任公司</w:t>
      </w:r>
      <w:r>
        <w:rPr>
          <w:rFonts w:hint="eastAsia" w:ascii="方正仿宋简体" w:eastAsia="方正仿宋简体" w:cs="仿宋_GB2312"/>
          <w:color w:val="auto"/>
          <w:sz w:val="28"/>
          <w:szCs w:val="30"/>
          <w:highlight w:val="none"/>
        </w:rPr>
        <w:t>员工劳动防护用品领用登记卡</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left"/>
        <w:textAlignment w:val="auto"/>
        <w:outlineLvl w:val="9"/>
        <w:rPr>
          <w:rFonts w:hint="eastAsia" w:ascii="方正仿宋简体" w:eastAsia="方正仿宋简体" w:cs="仿宋_GB2312"/>
          <w:color w:val="auto"/>
          <w:sz w:val="28"/>
          <w:szCs w:val="30"/>
          <w:highlight w:val="none"/>
        </w:rPr>
      </w:pPr>
      <w:r>
        <w:rPr>
          <w:rFonts w:hint="eastAsia" w:ascii="方正仿宋简体" w:eastAsia="方正仿宋简体" w:cs="仿宋_GB2312"/>
          <w:color w:val="auto"/>
          <w:sz w:val="28"/>
          <w:szCs w:val="30"/>
          <w:highlight w:val="none"/>
        </w:rPr>
        <w:t>3</w:t>
      </w:r>
      <w:r>
        <w:rPr>
          <w:rFonts w:hint="eastAsia" w:ascii="方正仿宋简体" w:eastAsia="方正仿宋简体" w:cs="仿宋_GB2312"/>
          <w:color w:val="auto"/>
          <w:sz w:val="28"/>
          <w:szCs w:val="30"/>
          <w:highlight w:val="none"/>
          <w:lang w:val="en-US" w:eastAsia="zh-CN"/>
        </w:rPr>
        <w:t>.</w:t>
      </w:r>
      <w:r>
        <w:rPr>
          <w:rFonts w:hint="eastAsia" w:ascii="方正仿宋简体" w:eastAsia="方正仿宋简体" w:cs="仿宋_GB2312"/>
          <w:color w:val="auto"/>
          <w:sz w:val="28"/>
          <w:szCs w:val="30"/>
          <w:highlight w:val="none"/>
        </w:rPr>
        <w:t>护品技术要求</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outlineLvl w:val="9"/>
        <w:rPr>
          <w:rFonts w:hint="eastAsia" w:ascii="宋体" w:hAnsi="宋体"/>
          <w:b/>
          <w:bCs/>
          <w:color w:val="auto"/>
          <w:sz w:val="32"/>
          <w:szCs w:val="32"/>
          <w:highlight w:val="none"/>
        </w:rPr>
      </w:pPr>
    </w:p>
    <w:p>
      <w:pPr>
        <w:rPr>
          <w:rFonts w:hint="eastAsia" w:ascii="宋体" w:hAnsi="宋体"/>
          <w:b/>
          <w:bCs/>
          <w:color w:val="auto"/>
          <w:sz w:val="32"/>
          <w:szCs w:val="32"/>
          <w:highlight w:val="none"/>
        </w:rPr>
      </w:pPr>
    </w:p>
    <w:p>
      <w:pPr>
        <w:rPr>
          <w:rFonts w:hint="eastAsia" w:ascii="宋体" w:hAnsi="宋体"/>
          <w:b/>
          <w:bCs/>
          <w:color w:val="auto"/>
          <w:sz w:val="32"/>
          <w:szCs w:val="32"/>
          <w:highlight w:val="none"/>
        </w:rPr>
      </w:pPr>
    </w:p>
    <w:p>
      <w:pPr>
        <w:rPr>
          <w:rFonts w:hint="eastAsia" w:ascii="宋体" w:hAnsi="宋体"/>
          <w:b/>
          <w:bCs/>
          <w:color w:val="auto"/>
          <w:sz w:val="32"/>
          <w:szCs w:val="32"/>
          <w:highlight w:val="none"/>
        </w:rPr>
      </w:pPr>
    </w:p>
    <w:p>
      <w:pPr>
        <w:rPr>
          <w:rFonts w:hint="eastAsia" w:ascii="宋体" w:hAnsi="宋体"/>
          <w:b/>
          <w:bCs/>
          <w:color w:val="auto"/>
          <w:sz w:val="32"/>
          <w:szCs w:val="32"/>
          <w:highlight w:val="none"/>
        </w:rPr>
      </w:pPr>
    </w:p>
    <w:p>
      <w:pPr>
        <w:rPr>
          <w:rFonts w:hint="eastAsia" w:ascii="方正黑体简体" w:hAnsi="方正黑体简体" w:eastAsia="方正黑体简体" w:cs="方正黑体简体"/>
          <w:b w:val="0"/>
          <w:bCs w:val="0"/>
          <w:color w:val="auto"/>
          <w:sz w:val="32"/>
          <w:szCs w:val="32"/>
          <w:highlight w:val="none"/>
        </w:rPr>
      </w:pPr>
      <w:r>
        <w:rPr>
          <w:rFonts w:hint="eastAsia" w:ascii="方正黑体简体" w:hAnsi="方正黑体简体" w:eastAsia="方正黑体简体" w:cs="方正黑体简体"/>
          <w:b w:val="0"/>
          <w:bCs w:val="0"/>
          <w:color w:val="auto"/>
          <w:sz w:val="32"/>
          <w:szCs w:val="32"/>
          <w:highlight w:val="none"/>
        </w:rPr>
        <w:t>附表1</w:t>
      </w:r>
    </w:p>
    <w:p>
      <w:pPr>
        <w:ind w:firstLine="2891" w:firstLineChars="900"/>
        <w:rPr>
          <w:rFonts w:hint="eastAsia"/>
          <w:b/>
          <w:color w:val="auto"/>
          <w:sz w:val="32"/>
          <w:szCs w:val="32"/>
          <w:highlight w:val="none"/>
        </w:rPr>
      </w:pPr>
      <w:r>
        <w:rPr>
          <w:rFonts w:hint="eastAsia"/>
          <w:b/>
          <w:color w:val="auto"/>
          <w:sz w:val="32"/>
          <w:szCs w:val="32"/>
          <w:highlight w:val="none"/>
        </w:rPr>
        <w:t>员工个人护品发放标准</w:t>
      </w:r>
    </w:p>
    <w:tbl>
      <w:tblPr>
        <w:tblStyle w:val="51"/>
        <w:tblW w:w="89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6"/>
        <w:gridCol w:w="1094"/>
        <w:gridCol w:w="1094"/>
        <w:gridCol w:w="10"/>
        <w:gridCol w:w="1091"/>
        <w:gridCol w:w="1096"/>
        <w:gridCol w:w="14"/>
        <w:gridCol w:w="1082"/>
        <w:gridCol w:w="10"/>
        <w:gridCol w:w="1087"/>
        <w:gridCol w:w="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2386" w:type="dxa"/>
            <w:vMerge w:val="restart"/>
            <w:vAlign w:val="center"/>
          </w:tcPr>
          <w:p>
            <w:pPr>
              <w:jc w:val="center"/>
              <w:rPr>
                <w:rFonts w:hint="eastAsia"/>
                <w:color w:val="auto"/>
                <w:szCs w:val="21"/>
                <w:highlight w:val="none"/>
              </w:rPr>
            </w:pPr>
            <w:r>
              <w:rPr>
                <w:rFonts w:hint="eastAsia"/>
                <w:color w:val="auto"/>
                <w:szCs w:val="21"/>
                <w:highlight w:val="none"/>
              </w:rPr>
              <w:t>工种名称</w:t>
            </w:r>
          </w:p>
        </w:tc>
        <w:tc>
          <w:tcPr>
            <w:tcW w:w="3289" w:type="dxa"/>
            <w:gridSpan w:val="4"/>
            <w:vAlign w:val="center"/>
          </w:tcPr>
          <w:p>
            <w:pPr>
              <w:jc w:val="center"/>
              <w:rPr>
                <w:rFonts w:hint="eastAsia"/>
                <w:color w:val="auto"/>
                <w:szCs w:val="21"/>
                <w:highlight w:val="none"/>
              </w:rPr>
            </w:pPr>
            <w:r>
              <w:rPr>
                <w:rFonts w:hint="eastAsia"/>
                <w:color w:val="auto"/>
                <w:szCs w:val="21"/>
                <w:highlight w:val="none"/>
              </w:rPr>
              <w:t>防静电工作服</w:t>
            </w:r>
          </w:p>
          <w:p>
            <w:pPr>
              <w:jc w:val="center"/>
              <w:rPr>
                <w:rFonts w:ascii="宋体" w:hAnsi="宋体" w:cs="宋体"/>
                <w:color w:val="auto"/>
                <w:szCs w:val="21"/>
                <w:highlight w:val="none"/>
              </w:rPr>
            </w:pPr>
            <w:r>
              <w:rPr>
                <w:rFonts w:hint="eastAsia"/>
                <w:color w:val="auto"/>
                <w:szCs w:val="21"/>
                <w:highlight w:val="none"/>
              </w:rPr>
              <w:t>（套）</w:t>
            </w:r>
          </w:p>
        </w:tc>
        <w:tc>
          <w:tcPr>
            <w:tcW w:w="2202" w:type="dxa"/>
            <w:gridSpan w:val="4"/>
            <w:vAlign w:val="center"/>
          </w:tcPr>
          <w:p>
            <w:pPr>
              <w:jc w:val="center"/>
              <w:rPr>
                <w:rFonts w:hint="eastAsia" w:ascii="宋体" w:hAnsi="宋体" w:cs="宋体"/>
                <w:color w:val="auto"/>
                <w:spacing w:val="-18"/>
                <w:szCs w:val="21"/>
                <w:highlight w:val="none"/>
              </w:rPr>
            </w:pPr>
            <w:r>
              <w:rPr>
                <w:rFonts w:hint="eastAsia"/>
                <w:color w:val="auto"/>
                <w:spacing w:val="-18"/>
                <w:szCs w:val="21"/>
                <w:highlight w:val="none"/>
              </w:rPr>
              <w:t>防静电、防砸滑刺工作鞋</w:t>
            </w:r>
            <w:r>
              <w:rPr>
                <w:rFonts w:hint="eastAsia" w:ascii="宋体" w:hAnsi="宋体" w:cs="宋体"/>
                <w:color w:val="auto"/>
                <w:spacing w:val="-18"/>
                <w:szCs w:val="21"/>
                <w:highlight w:val="none"/>
              </w:rPr>
              <w:t>（双）</w:t>
            </w:r>
          </w:p>
        </w:tc>
        <w:tc>
          <w:tcPr>
            <w:tcW w:w="1106" w:type="dxa"/>
            <w:gridSpan w:val="2"/>
            <w:vMerge w:val="restart"/>
            <w:vAlign w:val="center"/>
          </w:tcPr>
          <w:p>
            <w:pPr>
              <w:jc w:val="center"/>
              <w:rPr>
                <w:rFonts w:hint="eastAsia" w:ascii="宋体" w:hAnsi="宋体" w:cs="宋体"/>
                <w:color w:val="auto"/>
                <w:spacing w:val="-18"/>
                <w:szCs w:val="21"/>
                <w:highlight w:val="none"/>
              </w:rPr>
            </w:pPr>
            <w:r>
              <w:rPr>
                <w:rFonts w:hint="eastAsia" w:ascii="宋体" w:hAnsi="宋体" w:cs="宋体"/>
                <w:color w:val="auto"/>
                <w:spacing w:val="-18"/>
                <w:szCs w:val="21"/>
                <w:highlight w:val="none"/>
              </w:rPr>
              <w:t>安全帽</w:t>
            </w:r>
          </w:p>
          <w:p>
            <w:pPr>
              <w:jc w:val="center"/>
              <w:rPr>
                <w:rFonts w:hint="eastAsia" w:ascii="宋体" w:hAnsi="宋体" w:cs="宋体"/>
                <w:color w:val="auto"/>
                <w:spacing w:val="-18"/>
                <w:szCs w:val="21"/>
                <w:highlight w:val="none"/>
              </w:rPr>
            </w:pPr>
            <w:r>
              <w:rPr>
                <w:rFonts w:hint="eastAsia" w:ascii="宋体" w:hAnsi="宋体" w:cs="宋体"/>
                <w:color w:val="auto"/>
                <w:spacing w:val="-18"/>
                <w:szCs w:val="21"/>
                <w:highlight w:val="none"/>
              </w:rPr>
              <w:t>（顶</w:t>
            </w:r>
            <w:r>
              <w:rPr>
                <w:rFonts w:ascii="宋体" w:hAnsi="宋体" w:cs="宋体"/>
                <w:color w:val="auto"/>
                <w:spacing w:val="-18"/>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2386" w:type="dxa"/>
            <w:vMerge w:val="continue"/>
            <w:vAlign w:val="center"/>
          </w:tcPr>
          <w:p>
            <w:pPr>
              <w:jc w:val="center"/>
              <w:rPr>
                <w:rFonts w:hint="eastAsia"/>
                <w:color w:val="auto"/>
                <w:szCs w:val="21"/>
                <w:highlight w:val="none"/>
              </w:rPr>
            </w:pPr>
          </w:p>
        </w:tc>
        <w:tc>
          <w:tcPr>
            <w:tcW w:w="1094" w:type="dxa"/>
            <w:vAlign w:val="center"/>
          </w:tcPr>
          <w:p>
            <w:pPr>
              <w:jc w:val="center"/>
              <w:rPr>
                <w:rFonts w:hint="eastAsia"/>
                <w:color w:val="auto"/>
                <w:spacing w:val="-14"/>
                <w:szCs w:val="21"/>
                <w:highlight w:val="none"/>
              </w:rPr>
            </w:pPr>
            <w:r>
              <w:rPr>
                <w:rFonts w:hint="eastAsia"/>
                <w:color w:val="auto"/>
                <w:spacing w:val="-14"/>
                <w:szCs w:val="21"/>
                <w:highlight w:val="none"/>
              </w:rPr>
              <w:t>夏</w:t>
            </w:r>
          </w:p>
        </w:tc>
        <w:tc>
          <w:tcPr>
            <w:tcW w:w="1104" w:type="dxa"/>
            <w:gridSpan w:val="2"/>
            <w:vAlign w:val="center"/>
          </w:tcPr>
          <w:p>
            <w:pPr>
              <w:jc w:val="center"/>
              <w:rPr>
                <w:rFonts w:hint="eastAsia"/>
                <w:color w:val="auto"/>
                <w:spacing w:val="-8"/>
                <w:szCs w:val="21"/>
                <w:highlight w:val="none"/>
              </w:rPr>
            </w:pPr>
            <w:r>
              <w:rPr>
                <w:rFonts w:hint="eastAsia"/>
                <w:color w:val="auto"/>
                <w:spacing w:val="-8"/>
                <w:szCs w:val="21"/>
                <w:highlight w:val="none"/>
              </w:rPr>
              <w:t>春秋</w:t>
            </w:r>
          </w:p>
        </w:tc>
        <w:tc>
          <w:tcPr>
            <w:tcW w:w="1091" w:type="dxa"/>
            <w:vAlign w:val="center"/>
          </w:tcPr>
          <w:p>
            <w:pPr>
              <w:jc w:val="center"/>
              <w:rPr>
                <w:rFonts w:hint="eastAsia"/>
                <w:color w:val="auto"/>
                <w:spacing w:val="-8"/>
                <w:szCs w:val="21"/>
                <w:highlight w:val="none"/>
              </w:rPr>
            </w:pPr>
            <w:r>
              <w:rPr>
                <w:rFonts w:hint="eastAsia"/>
                <w:color w:val="auto"/>
                <w:spacing w:val="-8"/>
                <w:szCs w:val="21"/>
                <w:highlight w:val="none"/>
              </w:rPr>
              <w:t>防寒</w:t>
            </w:r>
          </w:p>
        </w:tc>
        <w:tc>
          <w:tcPr>
            <w:tcW w:w="1110" w:type="dxa"/>
            <w:gridSpan w:val="2"/>
            <w:vAlign w:val="center"/>
          </w:tcPr>
          <w:p>
            <w:pPr>
              <w:jc w:val="center"/>
              <w:rPr>
                <w:rFonts w:hint="eastAsia"/>
                <w:color w:val="auto"/>
                <w:szCs w:val="21"/>
                <w:highlight w:val="none"/>
              </w:rPr>
            </w:pPr>
            <w:r>
              <w:rPr>
                <w:rFonts w:hint="eastAsia"/>
                <w:color w:val="auto"/>
                <w:szCs w:val="21"/>
                <w:highlight w:val="none"/>
              </w:rPr>
              <w:t>单</w:t>
            </w:r>
          </w:p>
        </w:tc>
        <w:tc>
          <w:tcPr>
            <w:tcW w:w="1092" w:type="dxa"/>
            <w:gridSpan w:val="2"/>
            <w:vAlign w:val="center"/>
          </w:tcPr>
          <w:p>
            <w:pPr>
              <w:jc w:val="center"/>
              <w:rPr>
                <w:rFonts w:hint="eastAsia"/>
                <w:color w:val="auto"/>
                <w:szCs w:val="21"/>
                <w:highlight w:val="none"/>
              </w:rPr>
            </w:pPr>
            <w:r>
              <w:rPr>
                <w:rFonts w:hint="eastAsia"/>
                <w:color w:val="auto"/>
                <w:szCs w:val="21"/>
                <w:highlight w:val="none"/>
              </w:rPr>
              <w:t>防寒</w:t>
            </w:r>
          </w:p>
        </w:tc>
        <w:tc>
          <w:tcPr>
            <w:tcW w:w="1106" w:type="dxa"/>
            <w:gridSpan w:val="2"/>
            <w:vMerge w:val="continue"/>
            <w:vAlign w:val="center"/>
          </w:tcPr>
          <w:p>
            <w:pPr>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2386" w:type="dxa"/>
            <w:vMerge w:val="continue"/>
            <w:vAlign w:val="center"/>
          </w:tcPr>
          <w:p>
            <w:pPr>
              <w:jc w:val="center"/>
              <w:rPr>
                <w:rFonts w:hint="eastAsia"/>
                <w:color w:val="auto"/>
                <w:szCs w:val="21"/>
                <w:highlight w:val="none"/>
              </w:rPr>
            </w:pPr>
          </w:p>
        </w:tc>
        <w:tc>
          <w:tcPr>
            <w:tcW w:w="6597" w:type="dxa"/>
            <w:gridSpan w:val="10"/>
            <w:vAlign w:val="center"/>
          </w:tcPr>
          <w:p>
            <w:pPr>
              <w:jc w:val="center"/>
              <w:rPr>
                <w:rFonts w:hint="eastAsia"/>
                <w:color w:val="auto"/>
                <w:szCs w:val="21"/>
                <w:highlight w:val="none"/>
              </w:rPr>
            </w:pPr>
            <w:r>
              <w:rPr>
                <w:rFonts w:hint="eastAsia"/>
                <w:color w:val="auto"/>
                <w:szCs w:val="21"/>
                <w:highlight w:val="none"/>
              </w:rPr>
              <w:t>发放周期，年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输气工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管道保护工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天然气加工操作工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加气站操作工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化验分析工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2</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2</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油气化验工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油气管线安装工</w:t>
            </w:r>
          </w:p>
        </w:tc>
        <w:tc>
          <w:tcPr>
            <w:tcW w:w="1094" w:type="dxa"/>
            <w:vAlign w:val="center"/>
          </w:tcPr>
          <w:p>
            <w:pPr>
              <w:jc w:val="center"/>
              <w:rPr>
                <w:rFonts w:hint="eastAsia"/>
                <w:color w:val="auto"/>
                <w:szCs w:val="21"/>
                <w:highlight w:val="none"/>
              </w:rPr>
            </w:pPr>
            <w:r>
              <w:rPr>
                <w:rFonts w:hint="eastAsia"/>
                <w:color w:val="auto"/>
                <w:szCs w:val="21"/>
                <w:highlight w:val="none"/>
              </w:rPr>
              <w:t>1/2</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2</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仪表工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综合计量工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电工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机械设备维修工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2</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钳工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电（气）焊工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2</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装卸搬运工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2</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安装起重工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2</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仓库保管员</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2</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科研设计人员</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4</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4</w:t>
            </w:r>
          </w:p>
        </w:tc>
        <w:tc>
          <w:tcPr>
            <w:tcW w:w="1096" w:type="dxa"/>
            <w:vAlign w:val="center"/>
          </w:tcPr>
          <w:p>
            <w:pPr>
              <w:jc w:val="center"/>
              <w:rPr>
                <w:rFonts w:hint="eastAsia"/>
                <w:color w:val="auto"/>
                <w:szCs w:val="21"/>
                <w:highlight w:val="none"/>
              </w:rPr>
            </w:pPr>
            <w:r>
              <w:rPr>
                <w:rFonts w:hint="eastAsia"/>
                <w:color w:val="auto"/>
                <w:szCs w:val="21"/>
                <w:highlight w:val="none"/>
              </w:rPr>
              <w:t>2</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汽车驾驶员及修理工</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基层管理人员</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094" w:type="dxa"/>
            <w:vAlign w:val="center"/>
          </w:tcPr>
          <w:p>
            <w:pPr>
              <w:jc w:val="center"/>
              <w:rPr>
                <w:rFonts w:hint="eastAsia"/>
                <w:color w:val="auto"/>
                <w:szCs w:val="21"/>
                <w:highlight w:val="none"/>
              </w:rPr>
            </w:pPr>
            <w:r>
              <w:rPr>
                <w:rFonts w:hint="eastAsia"/>
                <w:color w:val="auto"/>
                <w:szCs w:val="21"/>
                <w:highlight w:val="none"/>
              </w:rPr>
              <w:t>1</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6" w:type="dxa"/>
            <w:vAlign w:val="center"/>
          </w:tcPr>
          <w:p>
            <w:pPr>
              <w:jc w:val="center"/>
              <w:rPr>
                <w:rFonts w:hint="eastAsia"/>
                <w:color w:val="auto"/>
                <w:szCs w:val="21"/>
                <w:highlight w:val="none"/>
              </w:rPr>
            </w:pPr>
            <w:r>
              <w:rPr>
                <w:rFonts w:hint="eastAsia"/>
                <w:color w:val="auto"/>
                <w:szCs w:val="21"/>
                <w:highlight w:val="none"/>
              </w:rPr>
              <w:t>1</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340" w:hRule="atLeast"/>
          <w:tblHeader/>
          <w:jc w:val="center"/>
        </w:trPr>
        <w:tc>
          <w:tcPr>
            <w:tcW w:w="2386" w:type="dxa"/>
            <w:vAlign w:val="center"/>
          </w:tcPr>
          <w:p>
            <w:pPr>
              <w:jc w:val="center"/>
              <w:rPr>
                <w:rFonts w:hint="eastAsia"/>
                <w:color w:val="auto"/>
                <w:szCs w:val="21"/>
                <w:highlight w:val="none"/>
              </w:rPr>
            </w:pPr>
            <w:r>
              <w:rPr>
                <w:rFonts w:hint="eastAsia"/>
                <w:color w:val="auto"/>
                <w:szCs w:val="21"/>
                <w:highlight w:val="none"/>
              </w:rPr>
              <w:t>机关管理人员</w:t>
            </w:r>
          </w:p>
        </w:tc>
        <w:tc>
          <w:tcPr>
            <w:tcW w:w="1094" w:type="dxa"/>
            <w:vAlign w:val="center"/>
          </w:tcPr>
          <w:p>
            <w:pPr>
              <w:jc w:val="center"/>
              <w:rPr>
                <w:rFonts w:hint="eastAsia"/>
                <w:color w:val="auto"/>
                <w:szCs w:val="21"/>
                <w:highlight w:val="none"/>
              </w:rPr>
            </w:pPr>
            <w:r>
              <w:rPr>
                <w:rFonts w:hint="eastAsia"/>
                <w:color w:val="auto"/>
                <w:szCs w:val="21"/>
                <w:highlight w:val="none"/>
              </w:rPr>
              <w:t>2</w:t>
            </w:r>
          </w:p>
        </w:tc>
        <w:tc>
          <w:tcPr>
            <w:tcW w:w="1094" w:type="dxa"/>
            <w:vAlign w:val="center"/>
          </w:tcPr>
          <w:p>
            <w:pPr>
              <w:jc w:val="center"/>
              <w:rPr>
                <w:rFonts w:hint="eastAsia"/>
                <w:color w:val="auto"/>
                <w:szCs w:val="21"/>
                <w:highlight w:val="none"/>
              </w:rPr>
            </w:pPr>
            <w:r>
              <w:rPr>
                <w:rFonts w:hint="eastAsia"/>
                <w:color w:val="auto"/>
                <w:szCs w:val="21"/>
                <w:highlight w:val="none"/>
              </w:rPr>
              <w:t>4</w:t>
            </w:r>
          </w:p>
        </w:tc>
        <w:tc>
          <w:tcPr>
            <w:tcW w:w="1101" w:type="dxa"/>
            <w:gridSpan w:val="2"/>
            <w:vAlign w:val="center"/>
          </w:tcPr>
          <w:p>
            <w:pPr>
              <w:jc w:val="center"/>
              <w:rPr>
                <w:rFonts w:hint="eastAsia"/>
                <w:color w:val="auto"/>
                <w:szCs w:val="21"/>
                <w:highlight w:val="none"/>
              </w:rPr>
            </w:pPr>
            <w:r>
              <w:rPr>
                <w:rFonts w:hint="eastAsia"/>
                <w:color w:val="auto"/>
                <w:szCs w:val="21"/>
                <w:highlight w:val="none"/>
              </w:rPr>
              <w:t>4</w:t>
            </w:r>
          </w:p>
        </w:tc>
        <w:tc>
          <w:tcPr>
            <w:tcW w:w="1096" w:type="dxa"/>
            <w:vAlign w:val="center"/>
          </w:tcPr>
          <w:p>
            <w:pPr>
              <w:jc w:val="center"/>
              <w:rPr>
                <w:rFonts w:hint="eastAsia"/>
                <w:color w:val="auto"/>
                <w:szCs w:val="21"/>
                <w:highlight w:val="none"/>
              </w:rPr>
            </w:pPr>
            <w:r>
              <w:rPr>
                <w:rFonts w:hint="eastAsia"/>
                <w:color w:val="auto"/>
                <w:szCs w:val="21"/>
                <w:highlight w:val="none"/>
              </w:rPr>
              <w:t>2</w:t>
            </w:r>
          </w:p>
        </w:tc>
        <w:tc>
          <w:tcPr>
            <w:tcW w:w="1096" w:type="dxa"/>
            <w:gridSpan w:val="2"/>
            <w:vAlign w:val="center"/>
          </w:tcPr>
          <w:p>
            <w:pPr>
              <w:jc w:val="center"/>
              <w:rPr>
                <w:rFonts w:hint="eastAsia"/>
                <w:color w:val="auto"/>
                <w:szCs w:val="21"/>
                <w:highlight w:val="none"/>
              </w:rPr>
            </w:pPr>
            <w:r>
              <w:rPr>
                <w:rFonts w:hint="eastAsia"/>
                <w:color w:val="auto"/>
                <w:szCs w:val="21"/>
                <w:highlight w:val="none"/>
              </w:rPr>
              <w:t>3</w:t>
            </w:r>
          </w:p>
        </w:tc>
        <w:tc>
          <w:tcPr>
            <w:tcW w:w="1097" w:type="dxa"/>
            <w:gridSpan w:val="2"/>
            <w:vAlign w:val="center"/>
          </w:tcPr>
          <w:p>
            <w:pPr>
              <w:jc w:val="center"/>
              <w:rPr>
                <w:rFonts w:hint="eastAsia"/>
                <w:color w:val="auto"/>
                <w:szCs w:val="21"/>
                <w:highlight w:val="none"/>
              </w:rPr>
            </w:pPr>
            <w:r>
              <w:rPr>
                <w:rFonts w:hint="eastAsia"/>
                <w:color w:val="auto"/>
                <w:szCs w:val="21"/>
                <w:highlight w:val="none"/>
              </w:rPr>
              <w:t>2.5</w:t>
            </w:r>
          </w:p>
        </w:tc>
      </w:tr>
    </w:tbl>
    <w:p>
      <w:pPr>
        <w:spacing w:line="360" w:lineRule="auto"/>
        <w:rPr>
          <w:rFonts w:hint="eastAsia"/>
          <w:color w:val="auto"/>
          <w:szCs w:val="21"/>
          <w:highlight w:val="none"/>
        </w:rPr>
      </w:pPr>
      <w:r>
        <w:rPr>
          <w:rFonts w:hint="eastAsia"/>
          <w:color w:val="auto"/>
          <w:szCs w:val="21"/>
          <w:highlight w:val="none"/>
        </w:rPr>
        <w:t>备注：</w:t>
      </w:r>
      <w:r>
        <w:rPr>
          <w:rFonts w:hint="eastAsia"/>
          <w:color w:val="auto"/>
          <w:szCs w:val="21"/>
          <w:highlight w:val="none"/>
        </w:rPr>
        <w:tab/>
      </w:r>
    </w:p>
    <w:p>
      <w:pPr>
        <w:ind w:firstLine="420" w:firstLineChars="200"/>
        <w:rPr>
          <w:rFonts w:hint="eastAsia"/>
          <w:color w:val="auto"/>
          <w:szCs w:val="21"/>
          <w:highlight w:val="none"/>
        </w:rPr>
      </w:pPr>
      <w:r>
        <w:rPr>
          <w:rFonts w:hint="eastAsia"/>
          <w:color w:val="auto"/>
          <w:szCs w:val="21"/>
          <w:highlight w:val="none"/>
        </w:rPr>
        <w:t>1.防静电衬衣裤、防静电毛衣裤、防寒背心、雨靴、雨衣、防晒帽、防护眼镜、防护耳罩、野外工作鞋、野外背包、高层建筑应急逃生包、防酸碱工作服等劳动防护用品，由各单位根据岗位风险识别确认后配发，督促员工在相应工作场所使用。发放的工种、频率应符合集团公司《员工个人劳动防护用品管理及配备规定》（Q/SY178-2009）或国家、行业相应标准、规范的要求。</w:t>
      </w:r>
    </w:p>
    <w:p>
      <w:pPr>
        <w:ind w:firstLine="420" w:firstLineChars="200"/>
        <w:rPr>
          <w:rFonts w:hint="eastAsia"/>
          <w:color w:val="auto"/>
          <w:szCs w:val="21"/>
          <w:highlight w:val="none"/>
        </w:rPr>
      </w:pPr>
      <w:r>
        <w:rPr>
          <w:rFonts w:hint="eastAsia"/>
          <w:color w:val="auto"/>
          <w:szCs w:val="21"/>
          <w:highlight w:val="none"/>
        </w:rPr>
        <w:t>2.电（气）焊工配置焊接服，夏季1套/年，春秋1套/年，防寒1套/3年。</w:t>
      </w:r>
    </w:p>
    <w:p>
      <w:pPr>
        <w:ind w:firstLine="420" w:firstLineChars="200"/>
        <w:rPr>
          <w:rFonts w:hint="eastAsia"/>
          <w:color w:val="auto"/>
          <w:szCs w:val="21"/>
          <w:highlight w:val="none"/>
        </w:rPr>
      </w:pPr>
      <w:r>
        <w:rPr>
          <w:rFonts w:hint="eastAsia"/>
          <w:color w:val="auto"/>
          <w:szCs w:val="21"/>
          <w:highlight w:val="none"/>
        </w:rPr>
        <w:t>3.电工配置绝缘工作鞋，单工鞋1双/1年，防寒工鞋1双/3年。</w:t>
      </w:r>
    </w:p>
    <w:p>
      <w:pPr>
        <w:ind w:firstLine="420" w:firstLineChars="200"/>
        <w:rPr>
          <w:rFonts w:hint="eastAsia"/>
          <w:color w:val="auto"/>
          <w:szCs w:val="21"/>
          <w:highlight w:val="none"/>
        </w:rPr>
      </w:pPr>
      <w:r>
        <w:rPr>
          <w:rFonts w:hint="eastAsia"/>
          <w:color w:val="auto"/>
          <w:szCs w:val="21"/>
          <w:highlight w:val="none"/>
        </w:rPr>
        <w:t>4.前往生产一线频繁的机关管理人员可根据工作实际，提出增发防静电工作服和</w:t>
      </w:r>
      <w:r>
        <w:rPr>
          <w:rFonts w:hint="eastAsia"/>
          <w:color w:val="auto"/>
          <w:spacing w:val="-18"/>
          <w:szCs w:val="21"/>
          <w:highlight w:val="none"/>
        </w:rPr>
        <w:t>防静电</w:t>
      </w:r>
      <w:r>
        <w:rPr>
          <w:rFonts w:hint="eastAsia"/>
          <w:color w:val="auto"/>
          <w:szCs w:val="21"/>
          <w:highlight w:val="none"/>
        </w:rPr>
        <w:t>、防砸滑刺工作鞋的申请，由同级质量安全环保部门审查后发放。</w:t>
      </w:r>
    </w:p>
    <w:p>
      <w:pPr>
        <w:rPr>
          <w:rFonts w:hint="eastAsia"/>
          <w:color w:val="auto"/>
          <w:szCs w:val="21"/>
          <w:highlight w:val="none"/>
        </w:rPr>
      </w:pPr>
      <w:r>
        <w:rPr>
          <w:rFonts w:hint="eastAsia"/>
          <w:color w:val="auto"/>
          <w:szCs w:val="21"/>
          <w:highlight w:val="none"/>
        </w:rPr>
        <w:tab/>
      </w:r>
      <w:r>
        <w:rPr>
          <w:rFonts w:hint="eastAsia"/>
          <w:color w:val="auto"/>
          <w:szCs w:val="21"/>
          <w:highlight w:val="none"/>
        </w:rPr>
        <w:t xml:space="preserve">5.凡本细则中未列入的工种，以其他专业相近工种标准执行。 </w:t>
      </w:r>
    </w:p>
    <w:p>
      <w:pPr>
        <w:ind w:firstLine="425"/>
        <w:rPr>
          <w:color w:val="auto"/>
          <w:sz w:val="28"/>
          <w:highlight w:val="none"/>
        </w:rPr>
        <w:sectPr>
          <w:headerReference r:id="rId8" w:type="default"/>
          <w:footerReference r:id="rId9" w:type="default"/>
          <w:footerReference r:id="rId10" w:type="even"/>
          <w:pgSz w:w="11907" w:h="16840"/>
          <w:pgMar w:top="1588" w:right="1418" w:bottom="1418" w:left="1418" w:header="851" w:footer="510"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方正黑体简体" w:hAnsi="方正黑体简体" w:eastAsia="方正黑体简体" w:cs="方正黑体简体"/>
          <w:b w:val="0"/>
          <w:bCs w:val="0"/>
          <w:color w:val="auto"/>
          <w:sz w:val="32"/>
          <w:szCs w:val="32"/>
          <w:highlight w:val="none"/>
        </w:rPr>
      </w:pPr>
      <w:r>
        <w:rPr>
          <w:rFonts w:hint="eastAsia" w:ascii="方正黑体简体" w:hAnsi="方正黑体简体" w:eastAsia="方正黑体简体" w:cs="方正黑体简体"/>
          <w:b w:val="0"/>
          <w:bCs w:val="0"/>
          <w:color w:val="auto"/>
          <w:sz w:val="32"/>
          <w:szCs w:val="32"/>
          <w:highlight w:val="none"/>
        </w:rPr>
        <w:t>附件2</w:t>
      </w:r>
    </w:p>
    <w:p>
      <w:pPr>
        <w:spacing w:line="880" w:lineRule="exact"/>
        <w:jc w:val="center"/>
        <w:rPr>
          <w:rFonts w:eastAsia="华文中宋"/>
          <w:b/>
          <w:color w:val="auto"/>
          <w:sz w:val="30"/>
          <w:szCs w:val="30"/>
          <w:highlight w:val="none"/>
        </w:rPr>
      </w:pPr>
      <w:r>
        <w:rPr>
          <w:rFonts w:eastAsia="华文中宋"/>
          <w:b/>
          <w:bCs/>
          <w:color w:val="auto"/>
          <w:sz w:val="32"/>
          <w:szCs w:val="32"/>
          <w:highlight w:val="none"/>
        </w:rPr>
        <w:t>员工劳动防护用品领用</w:t>
      </w:r>
      <w:r>
        <w:rPr>
          <w:rFonts w:eastAsia="华文中宋"/>
          <w:b/>
          <w:color w:val="auto"/>
          <w:sz w:val="30"/>
          <w:szCs w:val="30"/>
          <w:highlight w:val="none"/>
        </w:rPr>
        <w:t>登记卡</w:t>
      </w:r>
    </w:p>
    <w:p>
      <w:pPr>
        <w:rPr>
          <w:rFonts w:hint="eastAsia"/>
          <w:color w:val="auto"/>
          <w:szCs w:val="28"/>
          <w:highlight w:val="none"/>
        </w:rPr>
      </w:pPr>
    </w:p>
    <w:p>
      <w:pPr>
        <w:rPr>
          <w:rFonts w:hint="eastAsia"/>
          <w:color w:val="auto"/>
          <w:sz w:val="28"/>
          <w:szCs w:val="28"/>
          <w:highlight w:val="none"/>
        </w:rPr>
      </w:pPr>
      <w:r>
        <w:rPr>
          <w:color w:val="auto"/>
          <w:sz w:val="28"/>
          <w:szCs w:val="28"/>
          <w:highlight w:val="none"/>
        </w:rPr>
        <w:t xml:space="preserve">单位：        </w:t>
      </w:r>
      <w:r>
        <w:rPr>
          <w:rFonts w:hint="eastAsia"/>
          <w:color w:val="auto"/>
          <w:sz w:val="28"/>
          <w:szCs w:val="28"/>
          <w:highlight w:val="none"/>
          <w:lang w:val="en-US" w:eastAsia="zh-CN"/>
        </w:rPr>
        <w:t xml:space="preserve">         </w:t>
      </w:r>
      <w:r>
        <w:rPr>
          <w:color w:val="auto"/>
          <w:sz w:val="28"/>
          <w:szCs w:val="28"/>
          <w:highlight w:val="none"/>
        </w:rPr>
        <w:t xml:space="preserve">     </w:t>
      </w:r>
      <w:r>
        <w:rPr>
          <w:rFonts w:hint="eastAsia"/>
          <w:color w:val="auto"/>
          <w:sz w:val="28"/>
          <w:szCs w:val="28"/>
          <w:highlight w:val="none"/>
        </w:rPr>
        <w:t xml:space="preserve"> </w:t>
      </w:r>
      <w:r>
        <w:rPr>
          <w:color w:val="auto"/>
          <w:sz w:val="28"/>
          <w:szCs w:val="28"/>
          <w:highlight w:val="none"/>
        </w:rPr>
        <w:t>姓名</w:t>
      </w:r>
      <w:r>
        <w:rPr>
          <w:rFonts w:hint="eastAsia"/>
          <w:color w:val="auto"/>
          <w:sz w:val="28"/>
          <w:szCs w:val="28"/>
          <w:highlight w:val="none"/>
        </w:rPr>
        <w:t>：</w:t>
      </w:r>
      <w:r>
        <w:rPr>
          <w:color w:val="auto"/>
          <w:sz w:val="28"/>
          <w:szCs w:val="28"/>
          <w:highlight w:val="none"/>
        </w:rPr>
        <w:t xml:space="preserve">        工种：       </w:t>
      </w:r>
      <w:r>
        <w:rPr>
          <w:rFonts w:hint="eastAsia"/>
          <w:color w:val="auto"/>
          <w:sz w:val="28"/>
          <w:szCs w:val="28"/>
          <w:highlight w:val="none"/>
        </w:rPr>
        <w:t xml:space="preserve"> </w:t>
      </w:r>
      <w:r>
        <w:rPr>
          <w:color w:val="auto"/>
          <w:sz w:val="28"/>
          <w:szCs w:val="28"/>
          <w:highlight w:val="none"/>
        </w:rPr>
        <w:t>第   页</w:t>
      </w:r>
    </w:p>
    <w:tbl>
      <w:tblPr>
        <w:tblStyle w:val="51"/>
        <w:tblW w:w="908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03"/>
        <w:gridCol w:w="1752"/>
        <w:gridCol w:w="1571"/>
        <w:gridCol w:w="1379"/>
        <w:gridCol w:w="1428"/>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trPr>
        <w:tc>
          <w:tcPr>
            <w:tcW w:w="708" w:type="dxa"/>
            <w:vMerge w:val="restart"/>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序号</w:t>
            </w:r>
          </w:p>
        </w:tc>
        <w:tc>
          <w:tcPr>
            <w:tcW w:w="803" w:type="dxa"/>
            <w:vMerge w:val="restart"/>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品名</w:t>
            </w:r>
          </w:p>
        </w:tc>
        <w:tc>
          <w:tcPr>
            <w:tcW w:w="1752" w:type="dxa"/>
            <w:vMerge w:val="restart"/>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单  位</w:t>
            </w:r>
          </w:p>
        </w:tc>
        <w:tc>
          <w:tcPr>
            <w:tcW w:w="1571" w:type="dxa"/>
            <w:vMerge w:val="restart"/>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使用年限（月）</w:t>
            </w:r>
          </w:p>
        </w:tc>
        <w:tc>
          <w:tcPr>
            <w:tcW w:w="4246" w:type="dxa"/>
            <w:gridSpan w:val="3"/>
            <w:vAlign w:val="center"/>
          </w:tcPr>
          <w:p>
            <w:pPr>
              <w:ind w:firstLine="190" w:firstLineChars="90"/>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领  用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trPr>
        <w:tc>
          <w:tcPr>
            <w:tcW w:w="708" w:type="dxa"/>
            <w:vMerge w:val="continue"/>
            <w:vAlign w:val="center"/>
          </w:tcPr>
          <w:p>
            <w:pPr>
              <w:jc w:val="center"/>
              <w:rPr>
                <w:rFonts w:hint="eastAsia" w:ascii="方正仿宋简体" w:hAnsi="方正仿宋简体" w:eastAsia="方正仿宋简体" w:cs="方正仿宋简体"/>
                <w:b/>
                <w:bCs/>
                <w:color w:val="auto"/>
                <w:sz w:val="21"/>
                <w:szCs w:val="21"/>
                <w:highlight w:val="none"/>
              </w:rPr>
            </w:pPr>
          </w:p>
        </w:tc>
        <w:tc>
          <w:tcPr>
            <w:tcW w:w="803" w:type="dxa"/>
            <w:vMerge w:val="continue"/>
            <w:vAlign w:val="center"/>
          </w:tcPr>
          <w:p>
            <w:pPr>
              <w:jc w:val="center"/>
              <w:rPr>
                <w:rFonts w:hint="eastAsia" w:ascii="方正仿宋简体" w:hAnsi="方正仿宋简体" w:eastAsia="方正仿宋简体" w:cs="方正仿宋简体"/>
                <w:b/>
                <w:bCs/>
                <w:color w:val="auto"/>
                <w:sz w:val="21"/>
                <w:szCs w:val="21"/>
                <w:highlight w:val="none"/>
              </w:rPr>
            </w:pPr>
          </w:p>
        </w:tc>
        <w:tc>
          <w:tcPr>
            <w:tcW w:w="1752" w:type="dxa"/>
            <w:vMerge w:val="continue"/>
            <w:vAlign w:val="center"/>
          </w:tcPr>
          <w:p>
            <w:pPr>
              <w:jc w:val="center"/>
              <w:rPr>
                <w:rFonts w:hint="eastAsia" w:ascii="方正仿宋简体" w:hAnsi="方正仿宋简体" w:eastAsia="方正仿宋简体" w:cs="方正仿宋简体"/>
                <w:b/>
                <w:bCs/>
                <w:color w:val="auto"/>
                <w:sz w:val="21"/>
                <w:szCs w:val="21"/>
                <w:highlight w:val="none"/>
              </w:rPr>
            </w:pPr>
          </w:p>
        </w:tc>
        <w:tc>
          <w:tcPr>
            <w:tcW w:w="1571" w:type="dxa"/>
            <w:vMerge w:val="continue"/>
            <w:vAlign w:val="center"/>
          </w:tcPr>
          <w:p>
            <w:pPr>
              <w:jc w:val="center"/>
              <w:rPr>
                <w:rFonts w:hint="eastAsia" w:ascii="方正仿宋简体" w:hAnsi="方正仿宋简体" w:eastAsia="方正仿宋简体" w:cs="方正仿宋简体"/>
                <w:b/>
                <w:bCs/>
                <w:color w:val="auto"/>
                <w:sz w:val="21"/>
                <w:szCs w:val="21"/>
                <w:highlight w:val="none"/>
              </w:rPr>
            </w:pPr>
          </w:p>
        </w:tc>
        <w:tc>
          <w:tcPr>
            <w:tcW w:w="1379" w:type="dxa"/>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领用日期</w:t>
            </w:r>
          </w:p>
        </w:tc>
        <w:tc>
          <w:tcPr>
            <w:tcW w:w="1428" w:type="dxa"/>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领用人签字</w:t>
            </w:r>
          </w:p>
        </w:tc>
        <w:tc>
          <w:tcPr>
            <w:tcW w:w="1439" w:type="dxa"/>
            <w:vAlign w:val="center"/>
          </w:tcPr>
          <w:p>
            <w:pPr>
              <w:jc w:val="center"/>
              <w:rPr>
                <w:rFonts w:hint="eastAsia" w:ascii="方正仿宋简体" w:hAnsi="方正仿宋简体" w:eastAsia="方正仿宋简体" w:cs="方正仿宋简体"/>
                <w:b/>
                <w:bCs/>
                <w:color w:val="auto"/>
                <w:sz w:val="21"/>
                <w:szCs w:val="21"/>
                <w:highlight w:val="none"/>
              </w:rPr>
            </w:pPr>
            <w:r>
              <w:rPr>
                <w:rFonts w:hint="eastAsia" w:ascii="方正仿宋简体" w:hAnsi="方正仿宋简体" w:eastAsia="方正仿宋简体" w:cs="方正仿宋简体"/>
                <w:b/>
                <w:bCs/>
                <w:color w:val="auto"/>
                <w:sz w:val="21"/>
                <w:szCs w:val="21"/>
                <w:highlight w:val="none"/>
              </w:rPr>
              <w:t>发放人签字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6" w:hRule="atLeast"/>
        </w:trPr>
        <w:tc>
          <w:tcPr>
            <w:tcW w:w="70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803"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752"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571"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37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28" w:type="dxa"/>
            <w:vAlign w:val="top"/>
          </w:tcPr>
          <w:p>
            <w:pPr>
              <w:spacing w:line="480" w:lineRule="exact"/>
              <w:rPr>
                <w:rFonts w:hint="eastAsia" w:ascii="方正仿宋简体" w:hAnsi="方正仿宋简体" w:eastAsia="方正仿宋简体" w:cs="方正仿宋简体"/>
                <w:color w:val="auto"/>
                <w:sz w:val="21"/>
                <w:szCs w:val="21"/>
                <w:highlight w:val="none"/>
              </w:rPr>
            </w:pPr>
          </w:p>
        </w:tc>
        <w:tc>
          <w:tcPr>
            <w:tcW w:w="1439" w:type="dxa"/>
            <w:vAlign w:val="top"/>
          </w:tcPr>
          <w:p>
            <w:pPr>
              <w:spacing w:line="480" w:lineRule="exact"/>
              <w:rPr>
                <w:rFonts w:hint="eastAsia" w:ascii="方正仿宋简体" w:hAnsi="方正仿宋简体" w:eastAsia="方正仿宋简体" w:cs="方正仿宋简体"/>
                <w:color w:val="auto"/>
                <w:sz w:val="21"/>
                <w:szCs w:val="21"/>
                <w:highlight w:val="none"/>
              </w:rPr>
            </w:pPr>
          </w:p>
        </w:tc>
      </w:tr>
    </w:tbl>
    <w:p>
      <w:pPr>
        <w:jc w:val="center"/>
        <w:rPr>
          <w:color w:val="auto"/>
          <w:highlight w:val="none"/>
        </w:rPr>
      </w:pPr>
    </w:p>
    <w:p>
      <w:pPr>
        <w:rPr>
          <w:rFonts w:hint="eastAsia"/>
          <w:color w:val="auto"/>
          <w:sz w:val="28"/>
          <w:szCs w:val="28"/>
          <w:highlight w:val="none"/>
        </w:rPr>
      </w:pPr>
      <w:r>
        <w:rPr>
          <w:color w:val="auto"/>
          <w:highlight w:val="none"/>
        </w:rPr>
        <w:br w:type="page"/>
      </w:r>
      <w:r>
        <w:rPr>
          <w:rFonts w:hint="eastAsia" w:ascii="方正黑体简体" w:hAnsi="方正黑体简体" w:eastAsia="方正黑体简体" w:cs="方正黑体简体"/>
          <w:b w:val="0"/>
          <w:bCs w:val="0"/>
          <w:color w:val="auto"/>
          <w:sz w:val="32"/>
          <w:szCs w:val="32"/>
          <w:highlight w:val="none"/>
        </w:rPr>
        <w:t>附件3</w:t>
      </w:r>
    </w:p>
    <w:p>
      <w:pPr>
        <w:keepNext w:val="0"/>
        <w:keepLines w:val="0"/>
        <w:pageBreakBefore w:val="0"/>
        <w:widowControl w:val="0"/>
        <w:kinsoku/>
        <w:wordWrap/>
        <w:overflowPunct/>
        <w:topLinePunct w:val="0"/>
        <w:autoSpaceDE/>
        <w:autoSpaceDN/>
        <w:bidi w:val="0"/>
        <w:adjustRightInd/>
        <w:snapToGrid/>
        <w:spacing w:line="480" w:lineRule="exact"/>
        <w:ind w:firstLine="720" w:firstLineChars="200"/>
        <w:jc w:val="center"/>
        <w:textAlignment w:val="auto"/>
        <w:outlineLvl w:val="9"/>
        <w:rPr>
          <w:rFonts w:hint="eastAsia" w:ascii="方正小标宋简体" w:hAnsi="方正小标宋简体" w:eastAsia="方正小标宋简体" w:cs="方正小标宋简体"/>
          <w:b w:val="0"/>
          <w:bCs/>
          <w:color w:val="auto"/>
          <w:sz w:val="36"/>
          <w:szCs w:val="36"/>
          <w:highlight w:val="none"/>
        </w:rPr>
      </w:pPr>
      <w:r>
        <w:rPr>
          <w:rFonts w:hint="eastAsia" w:ascii="方正小标宋简体" w:hAnsi="方正小标宋简体" w:eastAsia="方正小标宋简体" w:cs="方正小标宋简体"/>
          <w:b w:val="0"/>
          <w:bCs/>
          <w:color w:val="auto"/>
          <w:sz w:val="36"/>
          <w:szCs w:val="36"/>
          <w:highlight w:val="none"/>
        </w:rPr>
        <w:t>常用劳动防护用品技术要求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1.颜色：白色、红色、黄色。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2.材质：ABS树脂。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3.标识：应用中国石油标识颜色严格执行集团公司统一标识的相关规定；“LA”标志应严格按照国家《特种劳动防护用品安全标志实施细则》要求制作使用。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4.制作标注：性能、加工和检验执行《安全帽》（GB2811-2007）、《安全帽生产与使用管理规范》（Q/SY1129-2011）等相关标准。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5.公司机关、基层单位领导及外来检查、参观人员到生产场所佩戴白色安全帽。基层单位生产指挥、操作人员佩戴红色安全帽。安全监督管理人员佩戴黄色安全帽，新、转岗员工实习期间佩戴蓝色安全帽。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6.集团公司内部承包商员工使用安全帽颜色按照集团公司要求执行。外部承包商员工使用安全帽颜色和标识应与公司员工区别。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（二）防静电工作服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1.颜色：国旗红，潘东色卡18-1662TP。</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2.标识：主体部分制作用线为金黄色线（040色号），标识光芒部分制作用线为标准白色，“中国石油”汉字制作用线为金黄色线（040色号）。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3．制作标准：服装号型、选料、加工、检验等相关要求和规范执行《防静电服》（GB12014-2009）等相关标准。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4.“LA”标志应严格按照国家《特种劳动防护用品安全标志实施细则》要求制作使用。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（三）防静电、防砸滑刺工作鞋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号型、性能、加工和检验执行《安全鞋的一般要求》（ASTMF2413-05）等相关标准，应具备防静电、防砸、防滑、防穿刺和耐油性能。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绝缘工作鞋</w:t>
      </w:r>
    </w:p>
    <w:p>
      <w:pPr>
        <w:keepNext w:val="0"/>
        <w:keepLines w:val="0"/>
        <w:pageBreakBefore w:val="0"/>
        <w:widowControl w:val="0"/>
        <w:kinsoku/>
        <w:wordWrap/>
        <w:overflowPunct/>
        <w:topLinePunct w:val="0"/>
        <w:autoSpaceDE/>
        <w:autoSpaceDN/>
        <w:bidi w:val="0"/>
        <w:adjustRightInd/>
        <w:snapToGrid/>
        <w:spacing w:line="560" w:lineRule="exact"/>
        <w:ind w:left="454" w:leftChars="216"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制作标准执行《足部防护电绝缘鞋》（GB12011-2009）等相关标准。</w:t>
      </w:r>
    </w:p>
    <w:p>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left="0" w:leftChars="0" w:firstLine="560" w:firstLineChars="200"/>
        <w:textAlignment w:val="auto"/>
        <w:outlineLvl w:val="9"/>
        <w:rPr>
          <w:rFonts w:hint="eastAsia" w:ascii="方正仿宋简体" w:hAnsi="方正仿宋简体" w:eastAsia="方正仿宋简体" w:cs="方正仿宋简体"/>
          <w:b w:val="0"/>
          <w:bCs w:val="0"/>
          <w:sz w:val="28"/>
          <w:szCs w:val="28"/>
          <w:lang w:val="en-US" w:eastAsia="zh-CN"/>
        </w:rPr>
      </w:pPr>
      <w:r>
        <w:rPr>
          <w:rFonts w:hint="eastAsia" w:ascii="方正仿宋简体" w:hAnsi="方正仿宋简体" w:eastAsia="方正仿宋简体" w:cs="方正仿宋简体"/>
          <w:b w:val="0"/>
          <w:bCs w:val="0"/>
          <w:sz w:val="28"/>
          <w:szCs w:val="28"/>
          <w:lang w:val="en-US" w:eastAsia="zh-CN"/>
        </w:rPr>
        <w:t>其它劳动防护用品，应执行国家及集团公司相关标准的规定，颜色、款式、标志等应参照集团公司《视觉形象手册》的要求制作。</w:t>
      </w:r>
      <w:bookmarkStart w:id="743" w:name="_Toc12652"/>
      <w:bookmarkStart w:id="744" w:name="_Toc10233"/>
      <w:bookmarkStart w:id="745" w:name="_Toc24610"/>
      <w:bookmarkStart w:id="746" w:name="_Toc13266"/>
      <w:bookmarkStart w:id="747" w:name="_Toc7384"/>
      <w:bookmarkStart w:id="748" w:name="_Toc878"/>
      <w:bookmarkStart w:id="749" w:name="_Toc22768"/>
      <w:bookmarkStart w:id="750" w:name="_Toc120"/>
      <w:bookmarkStart w:id="751" w:name="_Toc30323"/>
      <w:bookmarkStart w:id="752" w:name="_Toc30702"/>
      <w:bookmarkStart w:id="753" w:name="_Toc270347989"/>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p>
    <w:p>
      <w:pPr>
        <w:keepNext/>
        <w:keepLines/>
        <w:pageBreakBefore w:val="0"/>
        <w:widowControl w:val="0"/>
        <w:numPr>
          <w:ilvl w:val="0"/>
          <w:numId w:val="0"/>
        </w:numPr>
        <w:kinsoku/>
        <w:wordWrap/>
        <w:overflowPunct/>
        <w:topLinePunct w:val="0"/>
        <w:autoSpaceDE/>
        <w:autoSpaceDN/>
        <w:bidi w:val="0"/>
        <w:adjustRightInd/>
        <w:snapToGrid/>
        <w:spacing w:before="0" w:after="0" w:line="640" w:lineRule="exact"/>
        <w:jc w:val="center"/>
        <w:textAlignment w:val="auto"/>
        <w:outlineLvl w:val="0"/>
        <w:rPr>
          <w:rStyle w:val="172"/>
          <w:rFonts w:hint="eastAsia" w:ascii="方正小标宋简体" w:hAnsi="方正小标宋简体" w:eastAsia="方正小标宋简体" w:cs="方正小标宋简体"/>
          <w:b w:val="0"/>
          <w:bCs w:val="0"/>
          <w:sz w:val="36"/>
          <w:szCs w:val="36"/>
        </w:rPr>
      </w:pPr>
      <w:bookmarkStart w:id="754" w:name="_Toc4663"/>
      <w:r>
        <w:rPr>
          <w:rStyle w:val="172"/>
          <w:rFonts w:hint="eastAsia" w:ascii="方正小标宋简体" w:hAnsi="方正小标宋简体" w:eastAsia="方正小标宋简体" w:cs="方正小标宋简体"/>
          <w:b w:val="0"/>
          <w:bCs w:val="0"/>
          <w:sz w:val="36"/>
          <w:szCs w:val="36"/>
        </w:rPr>
        <w:t>中油南充燃气有限责任公司安全环保隐患排查治理</w:t>
      </w:r>
      <w:bookmarkStart w:id="755" w:name="_Toc24826"/>
      <w:bookmarkStart w:id="756" w:name="_Toc16182"/>
      <w:bookmarkStart w:id="757" w:name="_Toc26683"/>
      <w:bookmarkStart w:id="758" w:name="_Toc628"/>
      <w:bookmarkStart w:id="759" w:name="_Toc13953"/>
      <w:bookmarkStart w:id="760" w:name="_Toc1554"/>
      <w:bookmarkStart w:id="761" w:name="_Toc10871"/>
      <w:r>
        <w:rPr>
          <w:rStyle w:val="172"/>
          <w:rFonts w:hint="eastAsia" w:ascii="方正小标宋简体" w:hAnsi="方正小标宋简体" w:eastAsia="方正小标宋简体" w:cs="方正小标宋简体"/>
          <w:b w:val="0"/>
          <w:bCs w:val="0"/>
          <w:sz w:val="36"/>
          <w:szCs w:val="36"/>
        </w:rPr>
        <w:t>管理办法</w:t>
      </w:r>
      <w:bookmarkEnd w:id="743"/>
      <w:bookmarkEnd w:id="744"/>
      <w:bookmarkEnd w:id="745"/>
      <w:bookmarkEnd w:id="746"/>
      <w:bookmarkEnd w:id="747"/>
      <w:bookmarkEnd w:id="748"/>
      <w:bookmarkEnd w:id="749"/>
      <w:bookmarkEnd w:id="750"/>
      <w:bookmarkEnd w:id="751"/>
      <w:bookmarkEnd w:id="752"/>
      <w:bookmarkEnd w:id="754"/>
      <w:bookmarkEnd w:id="755"/>
      <w:bookmarkEnd w:id="756"/>
      <w:bookmarkEnd w:id="757"/>
      <w:bookmarkEnd w:id="758"/>
      <w:bookmarkEnd w:id="759"/>
      <w:bookmarkEnd w:id="760"/>
      <w:bookmarkEnd w:id="761"/>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bookmarkEnd w:id="753"/>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lang w:eastAsia="zh-CN"/>
        </w:rPr>
        <w:t>第一章</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总</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为贯彻“安全第一，预防为主，综合治理”的方针，规范公司安全隐患排查治理的职责、流程、要求和方法，特制定本办法。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本办法所提及安全环保隐患是指生产区域、工作场所等，存在可能导致人身伤亡、财产损失或造成重大社会影响的设备、装置、设施、生产系统、环境等方面的缺陷和问题。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对安全环保隐患的分类按类型有以下几类：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按国家安全生产监督管理总局颁布的《安全生产安全环保隐患排查治理暂行规定》：事故隐患分为一般事故隐患和重大事故隐患。一般事故隐患，是指危害和整改难度较小，发现后能够立即整改排除的隐患。重大事故隐患，是指危害和整改难度较大，应当全部或者局部停产停业，并经过一定时间整改治理方能排除的隐患，或者因外部因素影响致使生产经营单位自身难以排除的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结合公司生产实际，对安全环保隐患级别分为A、B、C三类。A级：需立即整改；B级：可暂立项监控，但还是必须短期进行整改；C级：可立项监控，暂可不需立即整改。安全隐患发生在现场、班组或岗位可以立即采取措施消除的隐患，可不分级，不纳入台账统计和分析。班组、部门和公司应分级建立隐患台账进行动态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本办法适用于公司管辖范围内所有站场、管网和工作场所</w:t>
      </w:r>
      <w:r>
        <w:rPr>
          <w:rFonts w:hint="eastAsia" w:ascii="方正仿宋简体" w:hAnsi="方正仿宋简体" w:eastAsia="方正仿宋简体" w:cs="方正仿宋简体"/>
          <w:color w:val="auto"/>
          <w:sz w:val="28"/>
          <w:szCs w:val="28"/>
          <w:highlight w:val="none"/>
          <w:lang w:eastAsia="zh-CN"/>
        </w:rPr>
        <w:t>、用户</w:t>
      </w:r>
      <w:r>
        <w:rPr>
          <w:rFonts w:hint="eastAsia" w:ascii="方正仿宋简体" w:hAnsi="方正仿宋简体" w:eastAsia="方正仿宋简体" w:cs="方正仿宋简体"/>
          <w:color w:val="auto"/>
          <w:sz w:val="28"/>
          <w:szCs w:val="28"/>
          <w:highlight w:val="none"/>
        </w:rPr>
        <w:t>等所涉及的安全环保隐患管理。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第二章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组织机构与职责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第五条 </w:t>
      </w:r>
      <w:r>
        <w:rPr>
          <w:rFonts w:hint="eastAsia" w:ascii="方正仿宋简体" w:hAnsi="方正仿宋简体" w:eastAsia="方正仿宋简体" w:cs="方正仿宋简体"/>
          <w:color w:val="auto"/>
          <w:sz w:val="28"/>
          <w:szCs w:val="28"/>
          <w:highlight w:val="none"/>
        </w:rPr>
        <w:t xml:space="preserve"> 隐患排查治理领导小组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组  长：经理、书记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副组长：公司领导班子成员（副经理）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成  员：各部门、单位负责人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隐患排查治理领导小组由公司领导和各部门、单位负责人组成，负责统筹安排安全隐患排查治理活动，及时研究解决遇到的重大问题。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第六条 </w:t>
      </w:r>
      <w:r>
        <w:rPr>
          <w:rFonts w:hint="eastAsia" w:ascii="方正仿宋简体" w:hAnsi="方正仿宋简体" w:eastAsia="方正仿宋简体" w:cs="方正仿宋简体"/>
          <w:color w:val="auto"/>
          <w:sz w:val="28"/>
          <w:szCs w:val="28"/>
          <w:highlight w:val="none"/>
        </w:rPr>
        <w:t xml:space="preserve"> 各部门、基层单位职责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公司安全环保隐患管理实行专业管理与属地管理相结合的管理方式。机关各部门根据直线责任负责安全环保隐患管理，基层单位按照属地管理职责对属地范围内的安全环保隐患管理全面负责。</w:t>
      </w:r>
    </w:p>
    <w:p>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部是公司安全环保隐患统计汇总归口管理部门，负责督促指导隐患管理工作，每月定期做好全环保隐患台帐登记及更新。负责指导、协助各单位隐患管理工作和建立隐患排查清单，</w:t>
      </w:r>
      <w:r>
        <w:rPr>
          <w:rFonts w:hint="eastAsia" w:ascii="方正仿宋简体" w:hAnsi="方正仿宋简体" w:eastAsia="方正仿宋简体" w:cs="方正仿宋简体"/>
          <w:color w:val="auto"/>
          <w:sz w:val="28"/>
          <w:szCs w:val="28"/>
          <w:highlight w:val="none"/>
          <w:lang w:eastAsia="zh-CN"/>
        </w:rPr>
        <w:t>统筹</w:t>
      </w:r>
      <w:r>
        <w:rPr>
          <w:rFonts w:hint="eastAsia" w:ascii="方正仿宋简体" w:hAnsi="方正仿宋简体" w:eastAsia="方正仿宋简体" w:cs="方正仿宋简体"/>
          <w:color w:val="auto"/>
          <w:sz w:val="28"/>
          <w:szCs w:val="28"/>
          <w:highlight w:val="none"/>
        </w:rPr>
        <w:t>安排公司安全环保隐患治理工作</w:t>
      </w:r>
      <w:r>
        <w:rPr>
          <w:rFonts w:hint="eastAsia" w:ascii="方正仿宋简体" w:hAnsi="方正仿宋简体" w:eastAsia="方正仿宋简体" w:cs="方正仿宋简体"/>
          <w:color w:val="auto"/>
          <w:sz w:val="28"/>
          <w:szCs w:val="28"/>
          <w:highlight w:val="none"/>
          <w:lang w:eastAsia="zh-CN"/>
        </w:rPr>
        <w:t>，负责公司级隐患向地方主管部门报备</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2.生产</w:t>
      </w:r>
      <w:r>
        <w:rPr>
          <w:rFonts w:hint="eastAsia" w:ascii="方正仿宋简体" w:hAnsi="方正仿宋简体" w:eastAsia="方正仿宋简体" w:cs="方正仿宋简体"/>
          <w:color w:val="auto"/>
          <w:sz w:val="28"/>
          <w:szCs w:val="28"/>
          <w:highlight w:val="none"/>
          <w:lang w:val="en-US" w:eastAsia="zh-CN"/>
        </w:rPr>
        <w:t>运行</w:t>
      </w:r>
      <w:r>
        <w:rPr>
          <w:rFonts w:hint="eastAsia" w:ascii="方正仿宋简体" w:hAnsi="方正仿宋简体" w:eastAsia="方正仿宋简体" w:cs="方正仿宋简体"/>
          <w:color w:val="auto"/>
          <w:sz w:val="28"/>
          <w:szCs w:val="28"/>
          <w:highlight w:val="none"/>
        </w:rPr>
        <w:t>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eastAsia="zh-CN"/>
        </w:rPr>
      </w:pPr>
      <w:r>
        <w:rPr>
          <w:rFonts w:hint="eastAsia" w:ascii="方正仿宋简体" w:hAnsi="方正仿宋简体" w:eastAsia="方正仿宋简体" w:cs="方正仿宋简体"/>
          <w:color w:val="auto"/>
          <w:sz w:val="28"/>
          <w:szCs w:val="28"/>
          <w:highlight w:val="none"/>
        </w:rPr>
        <w:t>生产</w:t>
      </w:r>
      <w:r>
        <w:rPr>
          <w:rFonts w:hint="eastAsia" w:ascii="方正仿宋简体" w:hAnsi="方正仿宋简体" w:eastAsia="方正仿宋简体" w:cs="方正仿宋简体"/>
          <w:color w:val="auto"/>
          <w:sz w:val="28"/>
          <w:szCs w:val="28"/>
          <w:highlight w:val="none"/>
          <w:lang w:val="en-US" w:eastAsia="zh-CN"/>
        </w:rPr>
        <w:t>运行</w:t>
      </w:r>
      <w:r>
        <w:rPr>
          <w:rFonts w:hint="eastAsia" w:ascii="方正仿宋简体" w:hAnsi="方正仿宋简体" w:eastAsia="方正仿宋简体" w:cs="方正仿宋简体"/>
          <w:color w:val="auto"/>
          <w:sz w:val="28"/>
          <w:szCs w:val="28"/>
          <w:highlight w:val="none"/>
        </w:rPr>
        <w:t>部是</w:t>
      </w:r>
      <w:r>
        <w:rPr>
          <w:rFonts w:hint="eastAsia" w:ascii="方正仿宋简体" w:hAnsi="方正仿宋简体" w:eastAsia="方正仿宋简体" w:cs="方正仿宋简体"/>
          <w:color w:val="auto"/>
          <w:sz w:val="28"/>
          <w:szCs w:val="28"/>
          <w:highlight w:val="none"/>
          <w:lang w:eastAsia="zh-CN"/>
        </w:rPr>
        <w:t>负责组织</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场站、计量设备设施等业务范围业内的安全隐患排查治理，</w:t>
      </w:r>
      <w:r>
        <w:rPr>
          <w:rFonts w:hint="eastAsia" w:ascii="方正仿宋简体" w:hAnsi="方正仿宋简体" w:eastAsia="方正仿宋简体" w:cs="方正仿宋简体"/>
          <w:color w:val="auto"/>
          <w:sz w:val="28"/>
          <w:szCs w:val="28"/>
          <w:highlight w:val="none"/>
        </w:rPr>
        <w:t>每月定期做好全环保隐患台帐登记及更新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numPr>
          <w:ilvl w:val="0"/>
          <w:numId w:val="0"/>
        </w:numPr>
        <w:tabs>
          <w:tab w:val="left" w:pos="744"/>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3.管道管理部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eastAsia="zh-CN"/>
        </w:rPr>
      </w:pPr>
      <w:r>
        <w:rPr>
          <w:rFonts w:hint="eastAsia" w:ascii="方正仿宋简体" w:hAnsi="方正仿宋简体" w:eastAsia="方正仿宋简体" w:cs="方正仿宋简体"/>
          <w:color w:val="auto"/>
          <w:sz w:val="28"/>
          <w:szCs w:val="28"/>
          <w:highlight w:val="none"/>
          <w:lang w:eastAsia="zh-CN"/>
        </w:rPr>
        <w:t>管道管理</w:t>
      </w:r>
      <w:r>
        <w:rPr>
          <w:rFonts w:hint="eastAsia" w:ascii="方正仿宋简体" w:hAnsi="方正仿宋简体" w:eastAsia="方正仿宋简体" w:cs="方正仿宋简体"/>
          <w:color w:val="auto"/>
          <w:sz w:val="28"/>
          <w:szCs w:val="28"/>
          <w:highlight w:val="none"/>
        </w:rPr>
        <w:t>部是</w:t>
      </w:r>
      <w:r>
        <w:rPr>
          <w:rFonts w:hint="eastAsia" w:ascii="方正仿宋简体" w:hAnsi="方正仿宋简体" w:eastAsia="方正仿宋简体" w:cs="方正仿宋简体"/>
          <w:color w:val="auto"/>
          <w:sz w:val="28"/>
          <w:szCs w:val="28"/>
          <w:highlight w:val="none"/>
          <w:lang w:eastAsia="zh-CN"/>
        </w:rPr>
        <w:t>负责组织</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管道及其附属设施等业务范围业内的安全隐患排查治理，</w:t>
      </w:r>
      <w:r>
        <w:rPr>
          <w:rFonts w:hint="eastAsia" w:ascii="方正仿宋简体" w:hAnsi="方正仿宋简体" w:eastAsia="方正仿宋简体" w:cs="方正仿宋简体"/>
          <w:color w:val="auto"/>
          <w:sz w:val="28"/>
          <w:szCs w:val="28"/>
          <w:highlight w:val="none"/>
        </w:rPr>
        <w:t>每月定期做好全环保隐患台帐登记及更新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4.市场营销部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市场营销</w:t>
      </w:r>
      <w:r>
        <w:rPr>
          <w:rFonts w:hint="eastAsia" w:ascii="方正仿宋简体" w:hAnsi="方正仿宋简体" w:eastAsia="方正仿宋简体" w:cs="方正仿宋简体"/>
          <w:color w:val="auto"/>
          <w:sz w:val="28"/>
          <w:szCs w:val="28"/>
          <w:highlight w:val="none"/>
        </w:rPr>
        <w:t>部是</w:t>
      </w:r>
      <w:r>
        <w:rPr>
          <w:rFonts w:hint="eastAsia" w:ascii="方正仿宋简体" w:hAnsi="方正仿宋简体" w:eastAsia="方正仿宋简体" w:cs="方正仿宋简体"/>
          <w:color w:val="auto"/>
          <w:sz w:val="28"/>
          <w:szCs w:val="28"/>
          <w:highlight w:val="none"/>
          <w:lang w:eastAsia="zh-CN"/>
        </w:rPr>
        <w:t>负责组织</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客户管理业务范围业内的安全隐患排查治理，</w:t>
      </w:r>
      <w:r>
        <w:rPr>
          <w:rFonts w:hint="eastAsia" w:ascii="方正仿宋简体" w:hAnsi="方正仿宋简体" w:eastAsia="方正仿宋简体" w:cs="方正仿宋简体"/>
          <w:color w:val="auto"/>
          <w:sz w:val="28"/>
          <w:szCs w:val="28"/>
          <w:highlight w:val="none"/>
        </w:rPr>
        <w:t>每月定期做好全环保隐患台帐登记及更新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工程技术部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工程技术部负责组织用户隐患进入5.0系统安全隐患设计、整改治理管理，协助各部门对隐患治理项目施工承包商队伍管理。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6.财务资产部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财务资产部负责安全隐患排查治理工作资金的统筹管理与保障。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7</w:t>
      </w:r>
      <w:r>
        <w:rPr>
          <w:rFonts w:hint="eastAsia" w:ascii="方正仿宋简体" w:hAnsi="方正仿宋简体" w:eastAsia="方正仿宋简体" w:cs="方正仿宋简体"/>
          <w:color w:val="auto"/>
          <w:sz w:val="28"/>
          <w:szCs w:val="28"/>
          <w:highlight w:val="none"/>
        </w:rPr>
        <w:t>.其他单位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负责分管范围内</w:t>
      </w:r>
      <w:r>
        <w:rPr>
          <w:rFonts w:hint="eastAsia" w:ascii="方正仿宋简体" w:hAnsi="方正仿宋简体" w:eastAsia="方正仿宋简体" w:cs="方正仿宋简体"/>
          <w:color w:val="auto"/>
          <w:sz w:val="28"/>
          <w:szCs w:val="28"/>
          <w:highlight w:val="none"/>
          <w:lang w:eastAsia="zh-CN"/>
        </w:rPr>
        <w:t>、属地管理范围内</w:t>
      </w:r>
      <w:r>
        <w:rPr>
          <w:rFonts w:hint="eastAsia" w:ascii="方正仿宋简体" w:hAnsi="方正仿宋简体" w:eastAsia="方正仿宋简体" w:cs="方正仿宋简体"/>
          <w:color w:val="auto"/>
          <w:sz w:val="28"/>
          <w:szCs w:val="28"/>
          <w:highlight w:val="none"/>
        </w:rPr>
        <w:t>安全环保隐患排查治理及监控工作，建立相应的隐患排查清单和安全环保隐患台账，</w:t>
      </w:r>
      <w:r>
        <w:rPr>
          <w:rFonts w:hint="eastAsia" w:ascii="方正仿宋简体" w:hAnsi="方正仿宋简体" w:eastAsia="方正仿宋简体" w:cs="方正仿宋简体"/>
          <w:color w:val="auto"/>
          <w:sz w:val="28"/>
          <w:szCs w:val="28"/>
          <w:highlight w:val="none"/>
          <w:lang w:eastAsia="zh-CN"/>
        </w:rPr>
        <w:t>确定纳入公司级隐患并</w:t>
      </w:r>
      <w:r>
        <w:rPr>
          <w:rFonts w:hint="eastAsia" w:ascii="方正仿宋简体" w:hAnsi="方正仿宋简体" w:eastAsia="方正仿宋简体" w:cs="方正仿宋简体"/>
          <w:color w:val="auto"/>
          <w:sz w:val="28"/>
          <w:szCs w:val="28"/>
          <w:highlight w:val="none"/>
        </w:rPr>
        <w:t>定期上报</w:t>
      </w:r>
      <w:r>
        <w:rPr>
          <w:rFonts w:hint="eastAsia" w:ascii="方正仿宋简体" w:hAnsi="方正仿宋简体" w:eastAsia="方正仿宋简体" w:cs="方正仿宋简体"/>
          <w:color w:val="auto"/>
          <w:sz w:val="28"/>
          <w:szCs w:val="28"/>
          <w:highlight w:val="none"/>
          <w:lang w:val="en-US" w:eastAsia="zh-CN"/>
        </w:rPr>
        <w:t>质量安全环保</w:t>
      </w:r>
      <w:r>
        <w:rPr>
          <w:rFonts w:hint="eastAsia" w:ascii="方正仿宋简体" w:hAnsi="方正仿宋简体" w:eastAsia="方正仿宋简体" w:cs="方正仿宋简体"/>
          <w:color w:val="auto"/>
          <w:sz w:val="28"/>
          <w:szCs w:val="28"/>
          <w:highlight w:val="none"/>
        </w:rPr>
        <w:t>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公司每位员工有发现安全环保隐患的义务。岗位员工应严格执行巡检制度，对发现的安全环保隐患及时上报，并作好记录。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after="0" w:afterLines="0" w:line="240" w:lineRule="atLeast"/>
        <w:jc w:val="center"/>
        <w:textAlignment w:val="auto"/>
        <w:outlineLvl w:val="9"/>
        <w:rPr>
          <w:rFonts w:hint="eastAsia"/>
          <w:color w:val="auto"/>
          <w:highlight w:val="none"/>
        </w:rPr>
      </w:pPr>
      <w:bookmarkStart w:id="762" w:name="_Toc508016784"/>
      <w:r>
        <w:rPr>
          <w:rFonts w:hint="eastAsia" w:ascii="方正黑体简体" w:hAnsi="方正黑体简体" w:eastAsia="方正黑体简体" w:cs="方正黑体简体"/>
          <w:b w:val="0"/>
          <w:bCs w:val="0"/>
          <w:color w:val="auto"/>
          <w:sz w:val="30"/>
          <w:szCs w:val="30"/>
          <w:highlight w:val="none"/>
        </w:rPr>
        <w:t>第三章  安全环保隐患管理要求</w:t>
      </w:r>
      <w:bookmarkEnd w:id="762"/>
    </w:p>
    <w:p>
      <w:pPr>
        <w:keepNext w:val="0"/>
        <w:keepLines w:val="0"/>
        <w:pageBreakBefore w:val="0"/>
        <w:widowControl w:val="0"/>
        <w:shd w:val="clea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第七条 </w:t>
      </w:r>
      <w:r>
        <w:rPr>
          <w:rFonts w:hint="eastAsia" w:ascii="方正仿宋简体" w:hAnsi="方正仿宋简体" w:eastAsia="方正仿宋简体" w:cs="方正仿宋简体"/>
          <w:color w:val="auto"/>
          <w:sz w:val="28"/>
          <w:szCs w:val="28"/>
          <w:highlight w:val="none"/>
        </w:rPr>
        <w:t xml:space="preserve"> 各单位应做好属地范围的安全隐患排查工作，重点做好以下工作。</w:t>
      </w:r>
    </w:p>
    <w:p>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1.</w:t>
      </w:r>
      <w:r>
        <w:rPr>
          <w:rFonts w:hint="eastAsia" w:ascii="方正仿宋简体" w:hAnsi="方正仿宋简体" w:eastAsia="方正仿宋简体" w:cs="方正仿宋简体"/>
          <w:bCs/>
          <w:color w:val="auto"/>
          <w:sz w:val="28"/>
          <w:szCs w:val="28"/>
          <w:highlight w:val="none"/>
          <w:lang w:val="en-US" w:eastAsia="zh-CN"/>
        </w:rPr>
        <w:t>生产保障中心：</w:t>
      </w:r>
      <w:r>
        <w:rPr>
          <w:rFonts w:hint="eastAsia" w:ascii="方正仿宋简体" w:hAnsi="方正仿宋简体" w:eastAsia="方正仿宋简体" w:cs="方正仿宋简体"/>
          <w:bCs/>
          <w:color w:val="auto"/>
          <w:sz w:val="28"/>
          <w:szCs w:val="28"/>
          <w:highlight w:val="none"/>
        </w:rPr>
        <w:t>应组织本单位巡线人员对辖区内的地下部分中低压燃气管线（包含庭院燃气管线）、阀井和调压箱</w:t>
      </w:r>
      <w:r>
        <w:rPr>
          <w:rFonts w:hint="eastAsia" w:ascii="方正仿宋简体" w:hAnsi="方正仿宋简体" w:eastAsia="方正仿宋简体" w:cs="方正仿宋简体"/>
          <w:bCs/>
          <w:color w:val="auto"/>
          <w:sz w:val="28"/>
          <w:szCs w:val="28"/>
          <w:highlight w:val="none"/>
          <w:lang w:eastAsia="zh-CN"/>
        </w:rPr>
        <w:t>、</w:t>
      </w:r>
      <w:r>
        <w:rPr>
          <w:rFonts w:hint="eastAsia" w:ascii="方正仿宋简体" w:hAnsi="方正仿宋简体" w:eastAsia="方正仿宋简体" w:cs="方正仿宋简体"/>
          <w:bCs/>
          <w:color w:val="auto"/>
          <w:sz w:val="28"/>
          <w:szCs w:val="28"/>
          <w:highlight w:val="none"/>
        </w:rPr>
        <w:t>户外低压燃气管线锈蚀情况等燃气设施进行专项普查，全面掌握燃气管道和设施的布局走向、途径线路、埋设位置、运行维护等方面的基础资料，建立健全详实的数据库和线路图。同时应根据公司目前燃气管网的基础数据，对辖区内的燃气管道和燃气设施圈围、占压、锈蚀、防腐层破损和管线警示标识设置等情况再次进行调查核实，对查出的隐患逐一登记建档，全面掌握圈围、占压、锈蚀和防腐层破损等隐患的数量、种类、占压长度、占压时间、占压距离、锈蚀破损程度和管线警示标识设置等详实情况。组织人员对公司办公、生活区域、车辆、库房、食堂、出租门面等进行全面隐患排查，排查内容包括防火、防盗、电力</w:t>
      </w:r>
      <w:r>
        <w:rPr>
          <w:rFonts w:hint="eastAsia" w:ascii="方正仿宋简体" w:hAnsi="方正仿宋简体" w:eastAsia="方正仿宋简体" w:cs="方正仿宋简体"/>
          <w:bCs/>
          <w:color w:val="auto"/>
          <w:sz w:val="28"/>
          <w:szCs w:val="28"/>
          <w:highlight w:val="none"/>
          <w:lang w:eastAsia="zh-CN"/>
        </w:rPr>
        <w:t>、燃气、</w:t>
      </w:r>
      <w:r>
        <w:rPr>
          <w:rFonts w:hint="eastAsia" w:ascii="方正仿宋简体" w:hAnsi="方正仿宋简体" w:eastAsia="方正仿宋简体" w:cs="方正仿宋简体"/>
          <w:bCs/>
          <w:color w:val="auto"/>
          <w:sz w:val="28"/>
          <w:szCs w:val="28"/>
          <w:highlight w:val="none"/>
        </w:rPr>
        <w:t>消防设施等，重点是做好公司库房安全管理工作。检查消防器材是否完整有效，在禁止烟火的地段和库区应严禁明火及吸烟，做好对入库人员安全宣传教育、监督。属地负责人应每天上下班前，要检查库房、库区周围是否有不安全因素存在，门窗、锁是否完好，如有异常应立即采取措施消除隐患。</w:t>
      </w:r>
    </w:p>
    <w:p>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治理措施：要对高后果地区、重点问题进行梳理，区分轻重缓急，有计划、有步骤地予以治理清除。对危险程度较大的占压圈围、与市政设施交叉、防腐层破损严重等隐患，如管线隐患在人员密集场所(学校、幼儿园、医院、大型商店等)、居民楼和易燃易爆场所等建(构)筑设施的，应集中力量，优先安排施工队伍进行管线改造，防止发生燃气事故；对新发生管道设施圈占的情况，要及时联系公司相关部门和地方政府予以制止和清理;对投产时间长、未整改的占压管线隐患要加强巡检检测，防止因泄漏引发燃气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2.客服</w:t>
      </w:r>
      <w:r>
        <w:rPr>
          <w:rFonts w:hint="eastAsia" w:ascii="方正仿宋简体" w:hAnsi="方正仿宋简体" w:eastAsia="方正仿宋简体" w:cs="方正仿宋简体"/>
          <w:bCs/>
          <w:color w:val="auto"/>
          <w:sz w:val="28"/>
          <w:szCs w:val="28"/>
          <w:highlight w:val="none"/>
          <w:lang w:val="en-US" w:eastAsia="zh-CN"/>
        </w:rPr>
        <w:t>服务</w:t>
      </w:r>
      <w:r>
        <w:rPr>
          <w:rFonts w:hint="eastAsia" w:ascii="方正仿宋简体" w:hAnsi="方正仿宋简体" w:eastAsia="方正仿宋简体" w:cs="方正仿宋简体"/>
          <w:bCs/>
          <w:color w:val="auto"/>
          <w:sz w:val="28"/>
          <w:szCs w:val="28"/>
          <w:highlight w:val="none"/>
        </w:rPr>
        <w:t>中心：要集中力量对用户户内管道、居民老小区、餐饮、宾馆、学校、医院等公共服务用户进行安全检查工作。应按照相关法律法规和标准规范要求，重点检查、户内管道管件、连接软管、计量器具，以及灶具、热水器等用户设备的安装使用情况，检查户内装修对燃气设施的影响，并进行漏气检测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治理措施：对排查出的漏点、老化及室内硬质管线锈蚀、损坏、超期服役的燃气设备、不符合规范安装、装修密闭包封燃气设施设备、私拉乱接燃气管线、使用不合格燃气器具、用气环境恶劣等隐患应登记造册，鉴于户内安全检查发现的问题种类五花八门，且数量较多，客服</w:t>
      </w:r>
      <w:r>
        <w:rPr>
          <w:rFonts w:hint="eastAsia" w:ascii="方正仿宋简体" w:hAnsi="方正仿宋简体" w:eastAsia="方正仿宋简体" w:cs="方正仿宋简体"/>
          <w:bCs/>
          <w:color w:val="auto"/>
          <w:sz w:val="28"/>
          <w:szCs w:val="28"/>
          <w:highlight w:val="none"/>
          <w:lang w:val="en-US" w:eastAsia="zh-CN"/>
        </w:rPr>
        <w:t>服务</w:t>
      </w:r>
      <w:r>
        <w:rPr>
          <w:rFonts w:hint="eastAsia" w:ascii="方正仿宋简体" w:hAnsi="方正仿宋简体" w:eastAsia="方正仿宋简体" w:cs="方正仿宋简体"/>
          <w:bCs/>
          <w:color w:val="auto"/>
          <w:sz w:val="28"/>
          <w:szCs w:val="28"/>
          <w:highlight w:val="none"/>
        </w:rPr>
        <w:t>中心应建立本单位的隐患台账，按照隐患严重程度进行分级管理，对发现的隐患按照轻重缓急（比如：严重锈蚀燃气管线、漏气、用气环境非常恶劣、热水器安装在浴室或卧室、管线严重锈蚀等问题）应优先安排力量进行整治</w:t>
      </w:r>
      <w:r>
        <w:rPr>
          <w:rFonts w:hint="eastAsia" w:ascii="方正仿宋简体" w:hAnsi="方正仿宋简体" w:eastAsia="方正仿宋简体" w:cs="方正仿宋简体"/>
          <w:bCs/>
          <w:color w:val="auto"/>
          <w:sz w:val="28"/>
          <w:szCs w:val="28"/>
          <w:highlight w:val="none"/>
          <w:lang w:eastAsia="zh-CN"/>
        </w:rPr>
        <w:t>；对私拉乱接隐患和偷盗气进行先期处置，</w:t>
      </w:r>
      <w:r>
        <w:rPr>
          <w:rFonts w:hint="eastAsia" w:ascii="方正仿宋简体" w:hAnsi="方正仿宋简体" w:eastAsia="方正仿宋简体" w:cs="方正仿宋简体"/>
          <w:bCs/>
          <w:color w:val="auto"/>
          <w:sz w:val="28"/>
          <w:szCs w:val="28"/>
          <w:highlight w:val="none"/>
        </w:rPr>
        <w:t>如用户不配合应及时协调联系所在街道办事处、社区，积极寻求他们的帮助和支持，同时在得到街道办事处或社区的许可情况下采取停气等措施，</w:t>
      </w:r>
      <w:r>
        <w:rPr>
          <w:rFonts w:hint="eastAsia" w:ascii="方正仿宋简体" w:hAnsi="方正仿宋简体" w:eastAsia="方正仿宋简体" w:cs="方正仿宋简体"/>
          <w:bCs/>
          <w:color w:val="auto"/>
          <w:sz w:val="28"/>
          <w:szCs w:val="28"/>
          <w:highlight w:val="none"/>
          <w:lang w:eastAsia="zh-CN"/>
        </w:rPr>
        <w:t>同步报稽查班进行再次处理，</w:t>
      </w:r>
      <w:r>
        <w:rPr>
          <w:rFonts w:hint="eastAsia" w:ascii="方正仿宋简体" w:hAnsi="方正仿宋简体" w:eastAsia="方正仿宋简体" w:cs="方正仿宋简体"/>
          <w:bCs/>
          <w:color w:val="auto"/>
          <w:sz w:val="28"/>
          <w:szCs w:val="28"/>
          <w:highlight w:val="none"/>
        </w:rPr>
        <w:t>确保用户安全。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如需用户自行进行整改的问题应书面告知用户留下相关证据和记录，检查结束后应及时录入隐患台账，由单位通过电话回访的形式再次告知用户，同时要对用户的整改情况进行回访。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3.输配</w:t>
      </w:r>
      <w:r>
        <w:rPr>
          <w:rFonts w:hint="eastAsia" w:ascii="方正仿宋简体" w:hAnsi="方正仿宋简体" w:eastAsia="方正仿宋简体" w:cs="方正仿宋简体"/>
          <w:bCs/>
          <w:color w:val="auto"/>
          <w:sz w:val="28"/>
          <w:szCs w:val="28"/>
          <w:highlight w:val="none"/>
          <w:lang w:val="en-US" w:eastAsia="zh-CN"/>
        </w:rPr>
        <w:t>中心</w:t>
      </w:r>
      <w:r>
        <w:rPr>
          <w:rFonts w:hint="eastAsia" w:ascii="方正仿宋简体" w:hAnsi="方正仿宋简体" w:eastAsia="方正仿宋简体" w:cs="方正仿宋简体"/>
          <w:bCs/>
          <w:color w:val="auto"/>
          <w:sz w:val="28"/>
          <w:szCs w:val="28"/>
          <w:highlight w:val="none"/>
        </w:rPr>
        <w:t>站：应组织对辖区内</w:t>
      </w:r>
      <w:r>
        <w:rPr>
          <w:rFonts w:hint="eastAsia" w:ascii="方正仿宋简体" w:hAnsi="方正仿宋简体" w:eastAsia="方正仿宋简体" w:cs="方正仿宋简体"/>
          <w:bCs/>
          <w:color w:val="auto"/>
          <w:sz w:val="28"/>
          <w:szCs w:val="28"/>
          <w:highlight w:val="none"/>
          <w:lang w:eastAsia="zh-CN"/>
        </w:rPr>
        <w:t>计量撬装</w:t>
      </w:r>
      <w:r>
        <w:rPr>
          <w:rFonts w:hint="eastAsia" w:ascii="方正仿宋简体" w:hAnsi="方正仿宋简体" w:eastAsia="方正仿宋简体" w:cs="方正仿宋简体"/>
          <w:bCs/>
          <w:color w:val="auto"/>
          <w:sz w:val="28"/>
          <w:szCs w:val="28"/>
          <w:highlight w:val="none"/>
        </w:rPr>
        <w:t>和场站内压力管道压力容器及阀门、调压设施、各类仪表、避雷设施、报警装置、消防设施设备、加臭装置等安全运行情况进行检查。检查内容：有无本质安全隐患、清洁、有无锈蚀、防腐是否良好、铭牌是否清晰、各转动部件是否灵活、密封是否良好、运行参数是否正常、是否有跑冒滴漏等异常情况。要保证每一个场站的生产装置、设备和工艺都不遗漏地进行了清理和排查，发现异常情况应立即汇报进行整改，及时消除安全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lang w:val="en-US" w:eastAsia="zh-CN"/>
        </w:rPr>
        <w:t>4</w:t>
      </w:r>
      <w:r>
        <w:rPr>
          <w:rFonts w:hint="eastAsia" w:ascii="方正仿宋简体" w:hAnsi="方正仿宋简体" w:eastAsia="方正仿宋简体" w:cs="方正仿宋简体"/>
          <w:bCs/>
          <w:color w:val="auto"/>
          <w:sz w:val="28"/>
          <w:szCs w:val="28"/>
          <w:highlight w:val="none"/>
        </w:rPr>
        <w:t>.恩阳分公司：安全检查应涉及所有的业务。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第八条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突出重点，全力解决管道违章第三方隐患问题。按照“全面排查、全面整改”的原则，有计划、有步骤地实施整治，特别对于人口密集、情况严重、危险性大的占压点，要实行隐患整改督办，组织力量集中整治，彻底消除管道安全隐患，确保管道运行安全，坚决杜绝事故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第九条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畅通信息，要充分发挥媒体舆论监督作用。要加大宣传力度，充分发挥新闻媒体的舆论监督作用，突出燃气安全的重要性、社会性，宣传燃气安全知识，努力形成全社会共同关注燃气安全的局面；要建立情况定期通报和信息共享机制，加强各部门、各单位协作配合，实现信息互通、资源共享，避免产生新的占压和安全隐患；对于重大安全隐患要及时向属地政府和市局报告并跟踪整改进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第十条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公司定期对所属单位开展安全生产检查、安全生产状况评估、评价，查找安全环保隐患，批复隐患整改计划，实施隐患整改工作，全面掌握安全环保隐患治理工作。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第十一条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各单位应监控本单位所辖范围各类安全环保隐患，建立隐患台账，对发现的隐患风险较大，且不能在</w:t>
      </w:r>
      <w:r>
        <w:rPr>
          <w:rFonts w:hint="eastAsia" w:ascii="方正仿宋简体" w:hAnsi="方正仿宋简体" w:eastAsia="方正仿宋简体" w:cs="方正仿宋简体"/>
          <w:color w:val="auto"/>
          <w:sz w:val="28"/>
          <w:szCs w:val="28"/>
          <w:highlight w:val="none"/>
          <w:lang w:eastAsia="zh-CN"/>
        </w:rPr>
        <w:t>短</w:t>
      </w:r>
      <w:r>
        <w:rPr>
          <w:rFonts w:hint="eastAsia" w:ascii="方正仿宋简体" w:hAnsi="方正仿宋简体" w:eastAsia="方正仿宋简体" w:cs="方正仿宋简体"/>
          <w:color w:val="auto"/>
          <w:sz w:val="28"/>
          <w:szCs w:val="28"/>
          <w:highlight w:val="none"/>
        </w:rPr>
        <w:t>时间整改的，按照公司规定隐患台账定格式上报</w:t>
      </w:r>
      <w:r>
        <w:rPr>
          <w:rFonts w:hint="eastAsia" w:ascii="方正仿宋简体" w:hAnsi="方正仿宋简体" w:eastAsia="方正仿宋简体" w:cs="方正仿宋简体"/>
          <w:color w:val="auto"/>
          <w:sz w:val="28"/>
          <w:szCs w:val="28"/>
          <w:highlight w:val="none"/>
          <w:lang w:val="en-US" w:eastAsia="zh-CN"/>
        </w:rPr>
        <w:t>质量</w:t>
      </w:r>
      <w:r>
        <w:rPr>
          <w:rFonts w:hint="eastAsia" w:ascii="方正仿宋简体" w:hAnsi="方正仿宋简体" w:eastAsia="方正仿宋简体" w:cs="方正仿宋简体"/>
          <w:color w:val="auto"/>
          <w:sz w:val="28"/>
          <w:szCs w:val="28"/>
          <w:highlight w:val="none"/>
        </w:rPr>
        <w:t>安全</w:t>
      </w:r>
      <w:r>
        <w:rPr>
          <w:rFonts w:hint="eastAsia" w:ascii="方正仿宋简体" w:hAnsi="方正仿宋简体" w:eastAsia="方正仿宋简体" w:cs="方正仿宋简体"/>
          <w:color w:val="auto"/>
          <w:sz w:val="28"/>
          <w:szCs w:val="28"/>
          <w:highlight w:val="none"/>
          <w:lang w:val="en-US" w:eastAsia="zh-CN"/>
        </w:rPr>
        <w:t>环保</w:t>
      </w:r>
      <w:r>
        <w:rPr>
          <w:rFonts w:hint="eastAsia" w:ascii="方正仿宋简体" w:hAnsi="方正仿宋简体" w:eastAsia="方正仿宋简体" w:cs="方正仿宋简体"/>
          <w:color w:val="auto"/>
          <w:sz w:val="28"/>
          <w:szCs w:val="28"/>
          <w:highlight w:val="none"/>
        </w:rPr>
        <w:t>部，隐患整改后及时对原台帐进行销项处理并提供整改证据，形成该安全环保隐患整改全过程的闭环管理。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tLeast"/>
        <w:jc w:val="center"/>
        <w:textAlignment w:val="auto"/>
        <w:outlineLvl w:val="9"/>
        <w:rPr>
          <w:rFonts w:hint="eastAsia"/>
          <w:color w:val="auto"/>
          <w:highlight w:val="none"/>
        </w:rPr>
      </w:pPr>
      <w:bookmarkStart w:id="763" w:name="_Toc508016785"/>
      <w:r>
        <w:rPr>
          <w:rFonts w:hint="eastAsia" w:ascii="方正黑体简体" w:hAnsi="方正黑体简体" w:eastAsia="方正黑体简体" w:cs="方正黑体简体"/>
          <w:bCs w:val="0"/>
          <w:color w:val="auto"/>
          <w:sz w:val="30"/>
          <w:szCs w:val="30"/>
          <w:highlight w:val="none"/>
          <w:lang w:eastAsia="zh-CN"/>
        </w:rPr>
        <w:t>第四章</w:t>
      </w:r>
      <w:r>
        <w:rPr>
          <w:rFonts w:hint="eastAsia" w:ascii="方正黑体简体" w:hAnsi="方正黑体简体" w:eastAsia="方正黑体简体" w:cs="方正黑体简体"/>
          <w:bCs w:val="0"/>
          <w:color w:val="auto"/>
          <w:sz w:val="30"/>
          <w:szCs w:val="30"/>
          <w:highlight w:val="none"/>
          <w:lang w:val="en-US" w:eastAsia="zh-CN"/>
        </w:rPr>
        <w:t xml:space="preserve">  </w:t>
      </w:r>
      <w:r>
        <w:rPr>
          <w:rFonts w:hint="eastAsia" w:ascii="方正黑体简体" w:hAnsi="方正黑体简体" w:eastAsia="方正黑体简体" w:cs="方正黑体简体"/>
          <w:bCs w:val="0"/>
          <w:color w:val="auto"/>
          <w:sz w:val="30"/>
          <w:szCs w:val="30"/>
          <w:highlight w:val="none"/>
        </w:rPr>
        <w:t>考核及奖惩</w:t>
      </w:r>
      <w:bookmarkEnd w:id="763"/>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第十二条</w:t>
      </w:r>
      <w:r>
        <w:rPr>
          <w:rFonts w:hint="eastAsia" w:ascii="方正仿宋简体" w:hAnsi="方正仿宋简体" w:eastAsia="方正仿宋简体" w:cs="方正仿宋简体"/>
          <w:color w:val="auto"/>
          <w:sz w:val="28"/>
          <w:szCs w:val="28"/>
          <w:highlight w:val="none"/>
        </w:rPr>
        <w:t xml:space="preserve">  安全环保隐患管理工作纳入公司对月度绩效考核中。员工（工作职责和属地范围外）及时发现生产作业、经营等场所存在的事故隐患，同时向生产作业、经营等场所的属地负责人报告，及时消除事故隐患一次奖1分。对安全环保隐患管理工作作出显著成绩的单位和个人，公司给予表彰和奖励。</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color w:val="auto"/>
          <w:sz w:val="28"/>
          <w:szCs w:val="28"/>
          <w:highlight w:val="none"/>
        </w:rPr>
        <w:t xml:space="preserve">  违反本办法的有关规定，未能及时发现生产作业经营等场所存在的事故隐患一次在考核中扣1分；未按要求建立本单位、部门隐患台帐扣1分，未销项管理扣0.5分，在规定时间回复并有效整改</w:t>
      </w:r>
      <w:r>
        <w:rPr>
          <w:rFonts w:hint="eastAsia" w:ascii="方正仿宋简体" w:hAnsi="方正仿宋简体" w:eastAsia="方正仿宋简体" w:cs="方正仿宋简体"/>
          <w:color w:val="auto"/>
          <w:sz w:val="28"/>
          <w:szCs w:val="28"/>
          <w:highlight w:val="none"/>
          <w:lang w:eastAsia="zh-CN"/>
        </w:rPr>
        <w:t>安全隐患的</w:t>
      </w:r>
      <w:r>
        <w:rPr>
          <w:rFonts w:hint="eastAsia" w:ascii="方正仿宋简体" w:hAnsi="方正仿宋简体" w:eastAsia="方正仿宋简体" w:cs="方正仿宋简体"/>
          <w:color w:val="auto"/>
          <w:sz w:val="28"/>
          <w:szCs w:val="28"/>
          <w:highlight w:val="none"/>
        </w:rPr>
        <w:t>一次扣1分。</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第十四条 </w:t>
      </w:r>
      <w:r>
        <w:rPr>
          <w:rFonts w:hint="eastAsia" w:ascii="方正仿宋简体" w:hAnsi="方正仿宋简体" w:eastAsia="方正仿宋简体" w:cs="方正仿宋简体"/>
          <w:color w:val="auto"/>
          <w:sz w:val="28"/>
          <w:szCs w:val="28"/>
          <w:highlight w:val="none"/>
        </w:rPr>
        <w:t xml:space="preserve"> 违反本办法的有关规定，致使公司装置及其附属设施发生泄漏、火灾、爆炸等责任事故的，视其情节轻重给予行政处分和经济处罚，直至追究法律责任。</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after="0" w:afterLines="0" w:line="240" w:lineRule="atLeast"/>
        <w:jc w:val="center"/>
        <w:textAlignment w:val="auto"/>
        <w:outlineLvl w:val="9"/>
        <w:rPr>
          <w:rFonts w:hint="eastAsia"/>
          <w:b w:val="0"/>
          <w:bCs w:val="0"/>
          <w:color w:val="auto"/>
          <w:sz w:val="30"/>
          <w:szCs w:val="30"/>
          <w:highlight w:val="none"/>
        </w:rPr>
      </w:pPr>
      <w:bookmarkStart w:id="764" w:name="_Toc508016786"/>
      <w:bookmarkStart w:id="765" w:name="_Toc270347993"/>
      <w:r>
        <w:rPr>
          <w:rFonts w:hint="eastAsia" w:ascii="方正黑体简体" w:hAnsi="方正黑体简体" w:eastAsia="方正黑体简体" w:cs="方正黑体简体"/>
          <w:b w:val="0"/>
          <w:bCs w:val="0"/>
          <w:color w:val="auto"/>
          <w:sz w:val="30"/>
          <w:szCs w:val="30"/>
          <w:highlight w:val="none"/>
        </w:rPr>
        <w:t xml:space="preserve">第五章  附 </w:t>
      </w:r>
      <w:r>
        <w:rPr>
          <w:rFonts w:hint="eastAsia" w:ascii="方正黑体简体" w:hAnsi="方正黑体简体" w:eastAsia="方正黑体简体" w:cs="方正黑体简体"/>
          <w:b w:val="0"/>
          <w:bCs w:val="0"/>
          <w:color w:val="auto"/>
          <w:sz w:val="30"/>
          <w:szCs w:val="30"/>
          <w:highlight w:val="none"/>
          <w:lang w:val="en-US" w:eastAsia="zh-CN"/>
        </w:rPr>
        <w:t xml:space="preserve"> </w:t>
      </w:r>
      <w:r>
        <w:rPr>
          <w:rFonts w:hint="eastAsia" w:ascii="方正黑体简体" w:hAnsi="方正黑体简体" w:eastAsia="方正黑体简体" w:cs="方正黑体简体"/>
          <w:b w:val="0"/>
          <w:bCs w:val="0"/>
          <w:color w:val="auto"/>
          <w:sz w:val="30"/>
          <w:szCs w:val="30"/>
          <w:highlight w:val="none"/>
        </w:rPr>
        <w:t>则</w:t>
      </w:r>
      <w:bookmarkEnd w:id="764"/>
      <w:bookmarkEnd w:id="765"/>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第十五条</w:t>
      </w:r>
      <w:r>
        <w:rPr>
          <w:rFonts w:hint="eastAsia" w:ascii="方正仿宋简体" w:hAnsi="方正仿宋简体" w:eastAsia="方正仿宋简体" w:cs="方正仿宋简体"/>
          <w:color w:val="auto"/>
          <w:sz w:val="28"/>
          <w:szCs w:val="28"/>
          <w:highlight w:val="none"/>
        </w:rPr>
        <w:t xml:space="preserve">  本办法从下发之日起施行。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第十六条</w:t>
      </w:r>
      <w:r>
        <w:rPr>
          <w:rFonts w:hint="eastAsia" w:ascii="方正仿宋简体" w:hAnsi="方正仿宋简体" w:eastAsia="方正仿宋简体" w:cs="方正仿宋简体"/>
          <w:color w:val="auto"/>
          <w:sz w:val="28"/>
          <w:szCs w:val="28"/>
          <w:highlight w:val="none"/>
        </w:rPr>
        <w:t xml:space="preserve">  本办法的维护及解释由</w:t>
      </w:r>
      <w:r>
        <w:rPr>
          <w:rFonts w:hint="eastAsia" w:ascii="方正仿宋简体" w:hAnsi="方正仿宋简体" w:eastAsia="方正仿宋简体" w:cs="方正仿宋简体"/>
          <w:color w:val="auto"/>
          <w:sz w:val="28"/>
          <w:szCs w:val="28"/>
          <w:highlight w:val="none"/>
          <w:lang w:val="en-US" w:eastAsia="zh-CN"/>
        </w:rPr>
        <w:t>质量</w:t>
      </w:r>
      <w:r>
        <w:rPr>
          <w:rFonts w:hint="eastAsia" w:ascii="方正仿宋简体" w:hAnsi="方正仿宋简体" w:eastAsia="方正仿宋简体" w:cs="方正仿宋简体"/>
          <w:color w:val="auto"/>
          <w:sz w:val="28"/>
          <w:szCs w:val="28"/>
          <w:highlight w:val="none"/>
        </w:rPr>
        <w:t>安全</w:t>
      </w:r>
      <w:r>
        <w:rPr>
          <w:rFonts w:hint="eastAsia" w:ascii="方正仿宋简体" w:hAnsi="方正仿宋简体" w:eastAsia="方正仿宋简体" w:cs="方正仿宋简体"/>
          <w:color w:val="auto"/>
          <w:sz w:val="28"/>
          <w:szCs w:val="28"/>
          <w:highlight w:val="none"/>
          <w:lang w:val="en-US" w:eastAsia="zh-CN"/>
        </w:rPr>
        <w:t>环保</w:t>
      </w:r>
      <w:r>
        <w:rPr>
          <w:rFonts w:hint="eastAsia" w:ascii="方正仿宋简体" w:hAnsi="方正仿宋简体" w:eastAsia="方正仿宋简体" w:cs="方正仿宋简体"/>
          <w:color w:val="auto"/>
          <w:sz w:val="28"/>
          <w:szCs w:val="28"/>
          <w:highlight w:val="none"/>
        </w:rPr>
        <w:t>部负责</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bidi w:val="0"/>
        <w:rPr>
          <w:rFonts w:hint="eastAsia" w:ascii="方正黑体简体" w:hAnsi="方正黑体简体" w:eastAsia="方正黑体简体" w:cs="方正黑体简体"/>
          <w:b w:val="0"/>
          <w:bCs w:val="0"/>
          <w:color w:val="auto"/>
          <w:sz w:val="32"/>
          <w:szCs w:val="32"/>
          <w:highlight w:val="none"/>
          <w:lang w:val="en-US" w:eastAsia="zh-CN"/>
        </w:rPr>
      </w:pPr>
      <w:r>
        <w:rPr>
          <w:rFonts w:hint="eastAsia" w:ascii="方正黑体简体" w:hAnsi="方正黑体简体" w:eastAsia="方正黑体简体" w:cs="方正黑体简体"/>
          <w:b w:val="0"/>
          <w:bCs w:val="0"/>
          <w:color w:val="auto"/>
          <w:sz w:val="32"/>
          <w:szCs w:val="32"/>
          <w:highlight w:val="none"/>
          <w:lang w:val="en-US" w:eastAsia="zh-CN"/>
        </w:rPr>
        <w:t>附件1  公司隐患排查治理流程总图</w:t>
      </w:r>
    </w:p>
    <w:p>
      <w:pPr>
        <w:rPr>
          <w:color w:val="auto"/>
          <w:highlight w:val="none"/>
        </w:rPr>
      </w:pPr>
    </w:p>
    <w:p>
      <w:pP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596890" cy="7211060"/>
            <wp:effectExtent l="0" t="0" r="0" b="0"/>
            <wp:docPr id="83"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CB019B1-382A-4266-B25C-5B523AA43C14-1" descr="qt_temp"/>
                    <pic:cNvPicPr>
                      <a:picLocks noChangeAspect="1"/>
                    </pic:cNvPicPr>
                  </pic:nvPicPr>
                  <pic:blipFill>
                    <a:blip r:embed="rId27"/>
                    <a:srcRect t="4385"/>
                    <a:stretch>
                      <a:fillRect/>
                    </a:stretch>
                  </pic:blipFill>
                  <pic:spPr>
                    <a:xfrm>
                      <a:off x="0" y="0"/>
                      <a:ext cx="5596890" cy="721106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bidi w:val="0"/>
        <w:rPr>
          <w:rFonts w:hint="eastAsia" w:ascii="方正黑体简体" w:hAnsi="方正黑体简体" w:eastAsia="方正黑体简体" w:cs="方正黑体简体"/>
          <w:b w:val="0"/>
          <w:bCs w:val="0"/>
          <w:color w:val="auto"/>
          <w:sz w:val="32"/>
          <w:szCs w:val="32"/>
          <w:highlight w:val="none"/>
          <w:lang w:val="en-US" w:eastAsia="zh-CN"/>
        </w:rPr>
      </w:pPr>
    </w:p>
    <w:p>
      <w:pPr>
        <w:bidi w:val="0"/>
        <w:rPr>
          <w:rFonts w:hint="eastAsia" w:ascii="方正黑体简体" w:hAnsi="方正黑体简体" w:eastAsia="方正黑体简体" w:cs="方正黑体简体"/>
          <w:b w:val="0"/>
          <w:bCs w:val="0"/>
          <w:color w:val="auto"/>
          <w:sz w:val="32"/>
          <w:szCs w:val="32"/>
          <w:highlight w:val="none"/>
          <w:lang w:val="en-US" w:eastAsia="zh-CN"/>
        </w:rPr>
      </w:pPr>
      <w:r>
        <w:rPr>
          <w:rFonts w:hint="eastAsia" w:ascii="方正黑体简体" w:hAnsi="方正黑体简体" w:eastAsia="方正黑体简体" w:cs="方正黑体简体"/>
          <w:b w:val="0"/>
          <w:bCs w:val="0"/>
          <w:color w:val="auto"/>
          <w:sz w:val="32"/>
          <w:szCs w:val="32"/>
          <w:highlight w:val="none"/>
          <w:lang w:val="en-US" w:eastAsia="zh-CN"/>
        </w:rPr>
        <w:t>附件2  公司管道隐患台帐中隐患治理流程图</w:t>
      </w:r>
    </w:p>
    <w:p>
      <w:pPr>
        <w:rPr>
          <w:color w:val="auto"/>
          <w:sz w:val="28"/>
          <w:szCs w:val="28"/>
          <w:highlight w:val="none"/>
        </w:rPr>
      </w:pPr>
      <w:r>
        <w:rPr>
          <w:rFonts w:hint="default"/>
          <w:color w:val="auto"/>
          <w:sz w:val="44"/>
          <w:szCs w:val="44"/>
          <w:highlight w:val="none"/>
          <w:lang w:val="en-US" w:eastAsia="zh-CN"/>
        </w:rPr>
        <w:drawing>
          <wp:inline distT="0" distB="0" distL="114300" distR="114300">
            <wp:extent cx="4933315" cy="8136255"/>
            <wp:effectExtent l="0" t="0" r="0" b="0"/>
            <wp:docPr id="84" name="ECB019B1-382A-4266-B25C-5B523AA43C14-2" descr="C:/Users/32547/AppData/Local/Temp/qt_temp.f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CB019B1-382A-4266-B25C-5B523AA43C14-2" descr="C:/Users/32547/AppData/Local/Temp/qt_temp.f16372qt_temp"/>
                    <pic:cNvPicPr>
                      <a:picLocks noChangeAspect="1"/>
                    </pic:cNvPicPr>
                  </pic:nvPicPr>
                  <pic:blipFill>
                    <a:blip r:embed="rId28"/>
                    <a:srcRect l="325" t="2917" r="5663"/>
                    <a:stretch>
                      <a:fillRect/>
                    </a:stretch>
                  </pic:blipFill>
                  <pic:spPr>
                    <a:xfrm>
                      <a:off x="0" y="0"/>
                      <a:ext cx="4933315" cy="8136255"/>
                    </a:xfrm>
                    <a:prstGeom prst="rect">
                      <a:avLst/>
                    </a:prstGeom>
                    <a:noFill/>
                    <a:ln>
                      <a:noFill/>
                    </a:ln>
                  </pic:spPr>
                </pic:pic>
              </a:graphicData>
            </a:graphic>
          </wp:inline>
        </w:drawing>
      </w:r>
    </w:p>
    <w:p>
      <w:pPr>
        <w:bidi w:val="0"/>
        <w:rPr>
          <w:rFonts w:hint="eastAsia" w:ascii="方正黑体简体" w:hAnsi="方正黑体简体" w:eastAsia="方正黑体简体" w:cs="方正黑体简体"/>
          <w:b w:val="0"/>
          <w:bCs w:val="0"/>
          <w:color w:val="auto"/>
          <w:sz w:val="32"/>
          <w:szCs w:val="32"/>
          <w:highlight w:val="none"/>
          <w:lang w:val="en-US" w:eastAsia="zh-CN"/>
        </w:rPr>
      </w:pPr>
      <w:r>
        <w:rPr>
          <w:rFonts w:hint="eastAsia" w:ascii="方正黑体简体" w:hAnsi="方正黑体简体" w:eastAsia="方正黑体简体" w:cs="方正黑体简体"/>
          <w:b w:val="0"/>
          <w:bCs w:val="0"/>
          <w:color w:val="auto"/>
          <w:sz w:val="32"/>
          <w:szCs w:val="32"/>
          <w:highlight w:val="none"/>
          <w:lang w:val="en-US" w:eastAsia="zh-CN"/>
        </w:rPr>
        <w:t>附件3  用户隐患排查处理流程图</w:t>
      </w:r>
    </w:p>
    <w:p>
      <w:pPr>
        <w:rPr>
          <w:color w:val="auto"/>
          <w:highlight w:val="none"/>
        </w:rPr>
      </w:pPr>
    </w:p>
    <w:p>
      <w:pPr>
        <w:rPr>
          <w:color w:val="auto"/>
          <w:highlight w:val="none"/>
        </w:rPr>
      </w:pPr>
      <w:r>
        <w:rPr>
          <w:rFonts w:hint="default"/>
          <w:color w:val="auto"/>
          <w:sz w:val="44"/>
          <w:szCs w:val="44"/>
          <w:highlight w:val="none"/>
          <w:lang w:val="en-US" w:eastAsia="zh-CN"/>
        </w:rPr>
        <w:drawing>
          <wp:inline distT="0" distB="0" distL="114300" distR="114300">
            <wp:extent cx="6010275" cy="7320280"/>
            <wp:effectExtent l="0" t="0" r="0" b="0"/>
            <wp:docPr id="85" name="ECB019B1-382A-4266-B25C-5B523AA43C14-3" descr="C:/Users/32547/AppData/Local/Temp/qt_temp.J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CB019B1-382A-4266-B25C-5B523AA43C14-3" descr="C:/Users/32547/AppData/Local/Temp/qt_temp.J16372qt_temp"/>
                    <pic:cNvPicPr>
                      <a:picLocks noChangeAspect="1"/>
                    </pic:cNvPicPr>
                  </pic:nvPicPr>
                  <pic:blipFill>
                    <a:blip r:embed="rId29"/>
                    <a:stretch>
                      <a:fillRect/>
                    </a:stretch>
                  </pic:blipFill>
                  <pic:spPr>
                    <a:xfrm>
                      <a:off x="0" y="0"/>
                      <a:ext cx="6010275" cy="732028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bidi w:val="0"/>
        <w:rPr>
          <w:rFonts w:hint="eastAsia" w:ascii="方正黑体简体" w:hAnsi="方正黑体简体" w:eastAsia="方正黑体简体" w:cs="方正黑体简体"/>
          <w:b w:val="0"/>
          <w:bCs w:val="0"/>
          <w:color w:val="auto"/>
          <w:sz w:val="32"/>
          <w:szCs w:val="32"/>
          <w:highlight w:val="none"/>
          <w:lang w:val="en-US" w:eastAsia="zh-CN"/>
        </w:rPr>
      </w:pPr>
      <w:r>
        <w:rPr>
          <w:rFonts w:hint="eastAsia" w:ascii="方正黑体简体" w:hAnsi="方正黑体简体" w:eastAsia="方正黑体简体" w:cs="方正黑体简体"/>
          <w:b w:val="0"/>
          <w:bCs w:val="0"/>
          <w:color w:val="auto"/>
          <w:sz w:val="32"/>
          <w:szCs w:val="32"/>
          <w:highlight w:val="none"/>
          <w:lang w:val="en-US" w:eastAsia="zh-CN"/>
        </w:rPr>
        <w:t>附件4  用户申请隐患整改流程图</w:t>
      </w:r>
    </w:p>
    <w:p>
      <w:pPr>
        <w:rPr>
          <w:rFonts w:hint="default"/>
          <w:color w:val="auto"/>
          <w:sz w:val="44"/>
          <w:szCs w:val="44"/>
          <w:highlight w:val="none"/>
          <w:lang w:val="en-US" w:eastAsia="zh-CN"/>
        </w:rPr>
      </w:pPr>
      <w:r>
        <w:rPr>
          <w:rFonts w:hint="default"/>
          <w:color w:val="auto"/>
          <w:sz w:val="44"/>
          <w:szCs w:val="44"/>
          <w:highlight w:val="none"/>
          <w:lang w:val="en-US" w:eastAsia="zh-CN"/>
        </w:rPr>
        <w:drawing>
          <wp:inline distT="0" distB="0" distL="114300" distR="114300">
            <wp:extent cx="5271770" cy="5775325"/>
            <wp:effectExtent l="0" t="0" r="0" b="0"/>
            <wp:docPr id="86" name="ECB019B1-382A-4266-B25C-5B523AA43C14-4" descr="C:/Users/32547/AppData/Local/Temp/qt_temp.o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CB019B1-382A-4266-B25C-5B523AA43C14-4" descr="C:/Users/32547/AppData/Local/Temp/qt_temp.o16372qt_temp"/>
                    <pic:cNvPicPr>
                      <a:picLocks noChangeAspect="1"/>
                    </pic:cNvPicPr>
                  </pic:nvPicPr>
                  <pic:blipFill>
                    <a:blip r:embed="rId30"/>
                    <a:stretch>
                      <a:fillRect/>
                    </a:stretch>
                  </pic:blipFill>
                  <pic:spPr>
                    <a:xfrm>
                      <a:off x="0" y="0"/>
                      <a:ext cx="5271770" cy="5775325"/>
                    </a:xfrm>
                    <a:prstGeom prst="rect">
                      <a:avLst/>
                    </a:prstGeom>
                    <a:noFill/>
                    <a:ln>
                      <a:noFill/>
                    </a:ln>
                  </pic:spPr>
                </pic:pic>
              </a:graphicData>
            </a:graphic>
          </wp:inline>
        </w:drawing>
      </w: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rPr>
          <w:rFonts w:hint="default"/>
          <w:color w:val="auto"/>
          <w:sz w:val="44"/>
          <w:szCs w:val="44"/>
          <w:highlight w:val="none"/>
          <w:lang w:val="en-US" w:eastAsia="zh-CN"/>
        </w:rPr>
      </w:pPr>
    </w:p>
    <w:p>
      <w:pPr>
        <w:bidi w:val="0"/>
        <w:rPr>
          <w:rFonts w:hint="eastAsia" w:ascii="方正黑体简体" w:hAnsi="方正黑体简体" w:eastAsia="方正黑体简体" w:cs="方正黑体简体"/>
          <w:b w:val="0"/>
          <w:bCs w:val="0"/>
          <w:color w:val="auto"/>
          <w:sz w:val="32"/>
          <w:szCs w:val="32"/>
          <w:highlight w:val="none"/>
          <w:lang w:val="en-US" w:eastAsia="zh-CN"/>
        </w:rPr>
      </w:pPr>
      <w:r>
        <w:rPr>
          <w:rFonts w:hint="eastAsia" w:ascii="方正黑体简体" w:hAnsi="方正黑体简体" w:eastAsia="方正黑体简体" w:cs="方正黑体简体"/>
          <w:b w:val="0"/>
          <w:bCs w:val="0"/>
          <w:color w:val="auto"/>
          <w:sz w:val="32"/>
          <w:szCs w:val="32"/>
          <w:highlight w:val="none"/>
          <w:lang w:val="en-US" w:eastAsia="zh-CN"/>
        </w:rPr>
        <w:t>附件5  站场隐患整改流程</w:t>
      </w:r>
    </w:p>
    <w:p>
      <w:pPr>
        <w:outlineLvl w:val="9"/>
        <w:rPr>
          <w:rFonts w:hint="default"/>
          <w:color w:val="auto"/>
          <w:sz w:val="44"/>
          <w:szCs w:val="44"/>
          <w:highlight w:val="none"/>
          <w:lang w:val="en-US" w:eastAsia="zh-CN"/>
        </w:rPr>
      </w:pPr>
      <w:r>
        <w:rPr>
          <w:rFonts w:hint="default"/>
          <w:color w:val="auto"/>
          <w:sz w:val="44"/>
          <w:szCs w:val="44"/>
          <w:highlight w:val="none"/>
          <w:lang w:val="en-US" w:eastAsia="zh-CN"/>
        </w:rPr>
        <w:drawing>
          <wp:inline distT="0" distB="0" distL="114300" distR="114300">
            <wp:extent cx="4752975" cy="7802880"/>
            <wp:effectExtent l="0" t="0" r="0" b="0"/>
            <wp:docPr id="87" name="ECB019B1-382A-4266-B25C-5B523AA43C14-5" descr="C:/Users/32547/AppData/Local/Temp/qt_temp.r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CB019B1-382A-4266-B25C-5B523AA43C14-5" descr="C:/Users/32547/AppData/Local/Temp/qt_temp.r16372qt_temp"/>
                    <pic:cNvPicPr>
                      <a:picLocks noChangeAspect="1"/>
                    </pic:cNvPicPr>
                  </pic:nvPicPr>
                  <pic:blipFill>
                    <a:blip r:embed="rId31"/>
                    <a:stretch>
                      <a:fillRect/>
                    </a:stretch>
                  </pic:blipFill>
                  <pic:spPr>
                    <a:xfrm>
                      <a:off x="0" y="0"/>
                      <a:ext cx="4752975" cy="7802880"/>
                    </a:xfrm>
                    <a:prstGeom prst="rect">
                      <a:avLst/>
                    </a:prstGeom>
                    <a:noFill/>
                    <a:ln>
                      <a:noFill/>
                    </a:ln>
                  </pic:spPr>
                </pic:pic>
              </a:graphicData>
            </a:graphic>
          </wp:inline>
        </w:drawing>
      </w:r>
    </w:p>
    <w:p>
      <w:pPr>
        <w:spacing w:line="560" w:lineRule="exact"/>
        <w:ind w:firstLine="548" w:firstLineChars="196"/>
        <w:rPr>
          <w:rFonts w:hint="eastAsia" w:ascii="方正仿宋简体" w:hAnsi="方正仿宋简体" w:eastAsia="方正仿宋简体" w:cs="方正仿宋简体"/>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766" w:name="_Toc5419"/>
      <w:bookmarkStart w:id="767" w:name="_Toc11112"/>
      <w:bookmarkStart w:id="768" w:name="_Toc29175"/>
      <w:bookmarkStart w:id="769" w:name="_Toc27914"/>
      <w:bookmarkStart w:id="770" w:name="_Toc26326"/>
      <w:bookmarkStart w:id="771" w:name="_Toc5051"/>
      <w:bookmarkStart w:id="772" w:name="_Toc2964"/>
      <w:bookmarkStart w:id="773" w:name="_Toc17727"/>
      <w:bookmarkStart w:id="774" w:name="_Toc3089"/>
      <w:bookmarkStart w:id="775" w:name="_Toc8007"/>
      <w:bookmarkStart w:id="776" w:name="_Toc8543"/>
      <w:bookmarkStart w:id="777" w:name="_Toc21965"/>
      <w:bookmarkStart w:id="778" w:name="_Toc27173"/>
      <w:bookmarkStart w:id="779" w:name="_Toc14550"/>
      <w:bookmarkStart w:id="780" w:name="_Toc16060"/>
      <w:bookmarkStart w:id="781" w:name="_Toc6719"/>
      <w:bookmarkStart w:id="782" w:name="_Toc5949"/>
      <w:bookmarkStart w:id="783" w:name="_Toc3297"/>
      <w:bookmarkStart w:id="784" w:name="_Toc6776"/>
      <w:r>
        <w:rPr>
          <w:rFonts w:hint="eastAsia" w:ascii="方正小标宋简体" w:eastAsia="方正小标宋简体"/>
          <w:b w:val="0"/>
          <w:bCs w:val="0"/>
          <w:color w:val="auto"/>
          <w:sz w:val="36"/>
          <w:szCs w:val="36"/>
          <w:highlight w:val="none"/>
        </w:rPr>
        <w:t>中油南充燃气有限责任公司安全环保风险控制奖实施细则</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color w:val="auto"/>
          <w:sz w:val="30"/>
          <w:szCs w:val="30"/>
          <w:highlight w:val="none"/>
        </w:rPr>
      </w:pPr>
      <w:r>
        <w:rPr>
          <w:rFonts w:hint="eastAsia" w:ascii="方正黑体简体" w:hAnsi="方正黑体简体" w:eastAsia="方正黑体简体" w:cs="方正黑体简体"/>
          <w:b w:val="0"/>
          <w:bCs w:val="0"/>
          <w:color w:val="auto"/>
          <w:sz w:val="30"/>
          <w:szCs w:val="30"/>
          <w:highlight w:val="none"/>
          <w:lang w:eastAsia="zh-CN"/>
        </w:rPr>
        <w:t>第一章</w:t>
      </w:r>
      <w:r>
        <w:rPr>
          <w:rFonts w:hint="eastAsia" w:ascii="方正黑体简体" w:hAnsi="方正黑体简体" w:eastAsia="方正黑体简体" w:cs="方正黑体简体"/>
          <w:b w:val="0"/>
          <w:bCs w:val="0"/>
          <w:color w:val="auto"/>
          <w:sz w:val="30"/>
          <w:szCs w:val="30"/>
          <w:highlight w:val="none"/>
        </w:rPr>
        <w:t xml:space="preserve">  总  则</w:t>
      </w:r>
    </w:p>
    <w:bookmarkEnd w:id="532"/>
    <w:bookmarkEnd w:id="533"/>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为规范中油南充燃气有限责任公司（以下简称公司）安全环保风险控制奖的实施，根据《中国石油西南油气田分公司安全环保风险控制奖实施办法》（西南司质〔</w:t>
      </w:r>
      <w:r>
        <w:rPr>
          <w:rFonts w:hint="eastAsia" w:ascii="方正仿宋简体" w:hAnsi="方正仿宋简体" w:eastAsia="方正仿宋简体" w:cs="方正仿宋简体"/>
          <w:b/>
          <w:color w:val="auto"/>
          <w:sz w:val="28"/>
          <w:szCs w:val="28"/>
          <w:highlight w:val="none"/>
        </w:rPr>
        <w:t>2017</w:t>
      </w:r>
      <w:r>
        <w:rPr>
          <w:rFonts w:hint="eastAsia" w:ascii="方正仿宋简体" w:hAnsi="方正仿宋简体" w:eastAsia="方正仿宋简体" w:cs="方正仿宋简体"/>
          <w:color w:val="auto"/>
          <w:sz w:val="28"/>
          <w:szCs w:val="28"/>
          <w:highlight w:val="none"/>
        </w:rPr>
        <w:t>〕39号）、《四川川港燃气有限责任公司安全环保风险控制奖实施细则（试行）》（川港司质〔2018〕2号），特制定本细则。</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本细则适用于公司各部室、各单位。</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安全环保风险控制奖的奖励对象为对公司安全环保工作作出贡献的在岗员工。</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ascii="方正仿宋简体" w:hAnsi="方正仿宋简体" w:eastAsia="方正仿宋简体" w:cs="方正仿宋简体"/>
          <w:b w:val="0"/>
          <w:bCs w:val="0"/>
          <w:color w:val="auto"/>
          <w:sz w:val="30"/>
          <w:szCs w:val="30"/>
          <w:highlight w:val="none"/>
        </w:rPr>
      </w:pPr>
      <w:r>
        <w:rPr>
          <w:rFonts w:hint="eastAsia" w:ascii="方正黑体简体" w:hAnsi="方正黑体简体" w:eastAsia="方正黑体简体" w:cs="方正黑体简体"/>
          <w:b w:val="0"/>
          <w:bCs w:val="0"/>
          <w:color w:val="auto"/>
          <w:sz w:val="30"/>
          <w:szCs w:val="30"/>
          <w:highlight w:val="none"/>
        </w:rPr>
        <w:t>第二章  考核与发放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员工个人不缴纳安全环保风险抵押金，次年一季度（春节前）对符合奖励条件的在岗员工奖励。奖励金额按照人均3000元在公司工资总额中列支。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安全环保风险奖采取风险系数与年度</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绩效分相结合的方式实施具体奖励，风险系数结合岗位风险、工作强度等综合信息确定，其中，一类部室（单位）的安全环保风险控制奖系数为1，二类部室（单位）的安全环保风险控制奖系数为0.8。一、二类部室（单位）按照</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绩效考核实施细则中</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风险大小分类执行。具体分类标准如下：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（一）公司领导班子成员及各部室、基层单位正副股室长，生产</w:t>
      </w:r>
      <w:r>
        <w:rPr>
          <w:rFonts w:hint="eastAsia" w:ascii="方正仿宋简体" w:hAnsi="方正仿宋简体" w:eastAsia="方正仿宋简体" w:cs="方正仿宋简体"/>
          <w:color w:val="auto"/>
          <w:sz w:val="28"/>
          <w:szCs w:val="28"/>
          <w:highlight w:val="none"/>
          <w:lang w:val="en-US" w:eastAsia="zh-CN"/>
        </w:rPr>
        <w:t>运行</w:t>
      </w:r>
      <w:r>
        <w:rPr>
          <w:rFonts w:hint="eastAsia" w:ascii="方正仿宋简体" w:hAnsi="方正仿宋简体" w:eastAsia="方正仿宋简体" w:cs="方正仿宋简体"/>
          <w:color w:val="auto"/>
          <w:sz w:val="28"/>
          <w:szCs w:val="28"/>
          <w:highlight w:val="none"/>
        </w:rPr>
        <w:t>部、</w:t>
      </w:r>
      <w:r>
        <w:rPr>
          <w:rFonts w:hint="eastAsia" w:ascii="方正仿宋简体" w:hAnsi="方正仿宋简体" w:eastAsia="方正仿宋简体" w:cs="方正仿宋简体"/>
          <w:color w:val="auto"/>
          <w:sz w:val="28"/>
          <w:szCs w:val="28"/>
          <w:highlight w:val="none"/>
          <w:lang w:eastAsia="zh-CN"/>
        </w:rPr>
        <w:t>工程技术部、</w:t>
      </w:r>
      <w:r>
        <w:rPr>
          <w:rFonts w:hint="eastAsia" w:ascii="方正仿宋简体" w:hAnsi="方正仿宋简体" w:eastAsia="方正仿宋简体" w:cs="方正仿宋简体"/>
          <w:color w:val="auto"/>
          <w:sz w:val="28"/>
          <w:szCs w:val="28"/>
          <w:highlight w:val="none"/>
        </w:rPr>
        <w:t>管道部、</w:t>
      </w:r>
      <w:r>
        <w:rPr>
          <w:rFonts w:hint="eastAsia" w:ascii="方正仿宋简体" w:hAnsi="方正仿宋简体" w:eastAsia="方正仿宋简体" w:cs="方正仿宋简体"/>
          <w:color w:val="auto"/>
          <w:sz w:val="28"/>
          <w:szCs w:val="28"/>
          <w:highlight w:val="none"/>
          <w:lang w:eastAsia="zh-CN"/>
        </w:rPr>
        <w:t>质量安全环保</w:t>
      </w:r>
      <w:r>
        <w:rPr>
          <w:rFonts w:hint="eastAsia" w:ascii="方正仿宋简体" w:hAnsi="方正仿宋简体" w:eastAsia="方正仿宋简体" w:cs="方正仿宋简体"/>
          <w:color w:val="auto"/>
          <w:sz w:val="28"/>
          <w:szCs w:val="28"/>
          <w:highlight w:val="none"/>
        </w:rPr>
        <w:t>部、恩阳分公司、输配</w:t>
      </w:r>
      <w:r>
        <w:rPr>
          <w:rFonts w:hint="eastAsia" w:ascii="方正仿宋简体" w:hAnsi="方正仿宋简体" w:eastAsia="方正仿宋简体" w:cs="方正仿宋简体"/>
          <w:color w:val="auto"/>
          <w:sz w:val="28"/>
          <w:szCs w:val="28"/>
          <w:highlight w:val="none"/>
          <w:lang w:eastAsia="zh-CN"/>
        </w:rPr>
        <w:t>中心</w:t>
      </w:r>
      <w:r>
        <w:rPr>
          <w:rFonts w:hint="eastAsia" w:ascii="方正仿宋简体" w:hAnsi="方正仿宋简体" w:eastAsia="方正仿宋简体" w:cs="方正仿宋简体"/>
          <w:color w:val="auto"/>
          <w:sz w:val="28"/>
          <w:szCs w:val="28"/>
          <w:highlight w:val="none"/>
        </w:rPr>
        <w:t>站、一线班组（驾驶班、电工、开气及安检负责人</w:t>
      </w:r>
      <w:r>
        <w:rPr>
          <w:rFonts w:hint="eastAsia" w:ascii="方正仿宋简体" w:hAnsi="方正仿宋简体" w:eastAsia="方正仿宋简体" w:cs="方正仿宋简体"/>
          <w:color w:val="auto"/>
          <w:sz w:val="28"/>
          <w:szCs w:val="28"/>
          <w:highlight w:val="none"/>
          <w:lang w:eastAsia="zh-CN"/>
        </w:rPr>
        <w:t>、抢维修班</w:t>
      </w:r>
      <w:r>
        <w:rPr>
          <w:rFonts w:hint="eastAsia" w:ascii="方正仿宋简体" w:hAnsi="方正仿宋简体" w:eastAsia="方正仿宋简体" w:cs="方正仿宋简体"/>
          <w:color w:val="auto"/>
          <w:sz w:val="28"/>
          <w:szCs w:val="28"/>
          <w:highlight w:val="none"/>
        </w:rPr>
        <w:t>）为一类部室（单位）。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w:t>
      </w:r>
      <w:r>
        <w:rPr>
          <w:rFonts w:hint="eastAsia" w:ascii="方正仿宋简体" w:hAnsi="方正仿宋简体" w:eastAsia="方正仿宋简体" w:cs="方正仿宋简体"/>
          <w:color w:val="auto"/>
          <w:sz w:val="28"/>
          <w:szCs w:val="28"/>
          <w:highlight w:val="none"/>
          <w:lang w:eastAsia="zh-CN"/>
        </w:rPr>
        <w:t>综合</w:t>
      </w:r>
      <w:r>
        <w:rPr>
          <w:rFonts w:hint="eastAsia" w:ascii="方正仿宋简体" w:hAnsi="方正仿宋简体" w:eastAsia="方正仿宋简体" w:cs="方正仿宋简体"/>
          <w:color w:val="auto"/>
          <w:sz w:val="28"/>
          <w:szCs w:val="28"/>
          <w:highlight w:val="none"/>
        </w:rPr>
        <w:t>办公室、财务</w:t>
      </w:r>
      <w:r>
        <w:rPr>
          <w:rFonts w:hint="eastAsia" w:ascii="方正仿宋简体" w:hAnsi="方正仿宋简体" w:eastAsia="方正仿宋简体" w:cs="方正仿宋简体"/>
          <w:color w:val="auto"/>
          <w:sz w:val="28"/>
          <w:szCs w:val="28"/>
          <w:highlight w:val="none"/>
          <w:lang w:eastAsia="zh-CN"/>
        </w:rPr>
        <w:t>资产</w:t>
      </w:r>
      <w:r>
        <w:rPr>
          <w:rFonts w:hint="eastAsia" w:ascii="方正仿宋简体" w:hAnsi="方正仿宋简体" w:eastAsia="方正仿宋简体" w:cs="方正仿宋简体"/>
          <w:color w:val="auto"/>
          <w:sz w:val="28"/>
          <w:szCs w:val="28"/>
          <w:highlight w:val="none"/>
        </w:rPr>
        <w:t>部、</w:t>
      </w:r>
      <w:r>
        <w:rPr>
          <w:rFonts w:hint="eastAsia" w:ascii="方正仿宋简体" w:hAnsi="方正仿宋简体" w:eastAsia="方正仿宋简体" w:cs="方正仿宋简体"/>
          <w:color w:val="auto"/>
          <w:sz w:val="28"/>
          <w:szCs w:val="28"/>
          <w:highlight w:val="none"/>
          <w:lang w:eastAsia="zh-CN"/>
        </w:rPr>
        <w:t>市场营销</w:t>
      </w:r>
      <w:r>
        <w:rPr>
          <w:rFonts w:hint="eastAsia" w:ascii="方正仿宋简体" w:hAnsi="方正仿宋简体" w:eastAsia="方正仿宋简体" w:cs="方正仿宋简体"/>
          <w:color w:val="auto"/>
          <w:sz w:val="28"/>
          <w:szCs w:val="28"/>
          <w:highlight w:val="none"/>
        </w:rPr>
        <w:t>部、</w:t>
      </w:r>
      <w:r>
        <w:rPr>
          <w:rFonts w:hint="eastAsia" w:ascii="方正仿宋简体" w:hAnsi="方正仿宋简体" w:eastAsia="方正仿宋简体" w:cs="方正仿宋简体"/>
          <w:color w:val="auto"/>
          <w:sz w:val="28"/>
          <w:szCs w:val="28"/>
          <w:highlight w:val="none"/>
          <w:lang w:eastAsia="zh-CN"/>
        </w:rPr>
        <w:t>生产保障中心</w:t>
      </w:r>
      <w:r>
        <w:rPr>
          <w:rFonts w:hint="eastAsia" w:ascii="方正仿宋简体" w:hAnsi="方正仿宋简体" w:eastAsia="方正仿宋简体" w:cs="方正仿宋简体"/>
          <w:color w:val="auto"/>
          <w:sz w:val="28"/>
          <w:szCs w:val="28"/>
          <w:highlight w:val="none"/>
        </w:rPr>
        <w:t>、客</w:t>
      </w:r>
      <w:r>
        <w:rPr>
          <w:rFonts w:hint="eastAsia" w:ascii="方正仿宋简体" w:hAnsi="方正仿宋简体" w:eastAsia="方正仿宋简体" w:cs="方正仿宋简体"/>
          <w:color w:val="auto"/>
          <w:sz w:val="28"/>
          <w:szCs w:val="28"/>
          <w:highlight w:val="none"/>
          <w:lang w:eastAsia="zh-CN"/>
        </w:rPr>
        <w:t>户</w:t>
      </w:r>
      <w:r>
        <w:rPr>
          <w:rFonts w:hint="eastAsia" w:ascii="方正仿宋简体" w:hAnsi="方正仿宋简体" w:eastAsia="方正仿宋简体" w:cs="方正仿宋简体"/>
          <w:color w:val="auto"/>
          <w:sz w:val="28"/>
          <w:szCs w:val="28"/>
          <w:highlight w:val="none"/>
        </w:rPr>
        <w:t>服</w:t>
      </w:r>
      <w:r>
        <w:rPr>
          <w:rFonts w:hint="eastAsia" w:ascii="方正仿宋简体" w:hAnsi="方正仿宋简体" w:eastAsia="方正仿宋简体" w:cs="方正仿宋简体"/>
          <w:color w:val="auto"/>
          <w:sz w:val="28"/>
          <w:szCs w:val="28"/>
          <w:highlight w:val="none"/>
          <w:lang w:eastAsia="zh-CN"/>
        </w:rPr>
        <w:t>务</w:t>
      </w:r>
      <w:r>
        <w:rPr>
          <w:rFonts w:hint="eastAsia" w:ascii="方正仿宋简体" w:hAnsi="方正仿宋简体" w:eastAsia="方正仿宋简体" w:cs="方正仿宋简体"/>
          <w:color w:val="auto"/>
          <w:sz w:val="28"/>
          <w:szCs w:val="28"/>
          <w:highlight w:val="none"/>
        </w:rPr>
        <w:t>中心等部门后辅人员为二类单位。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（三）安全环保风险控制奖计算公式：3000×安全环保风险控制奖系数×安全环保考核系数+单项安全考核奖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（四）单项安全考核奖是指事故事件上报、安全经验分享、安全诊断评估、</w:t>
      </w:r>
      <w:r>
        <w:rPr>
          <w:rFonts w:hint="eastAsia" w:ascii="方正仿宋简体" w:hAnsi="方正仿宋简体" w:eastAsia="方正仿宋简体" w:cs="方正仿宋简体"/>
          <w:color w:val="auto"/>
          <w:sz w:val="28"/>
          <w:szCs w:val="28"/>
          <w:highlight w:val="none"/>
          <w:lang w:eastAsia="zh-CN"/>
        </w:rPr>
        <w:t>安全生产</w:t>
      </w:r>
      <w:r>
        <w:rPr>
          <w:rFonts w:hint="eastAsia" w:ascii="方正仿宋简体" w:hAnsi="方正仿宋简体" w:eastAsia="方正仿宋简体" w:cs="方正仿宋简体"/>
          <w:color w:val="auto"/>
          <w:sz w:val="28"/>
          <w:szCs w:val="28"/>
          <w:highlight w:val="none"/>
        </w:rPr>
        <w:t>标准化建设、</w:t>
      </w:r>
      <w:r>
        <w:rPr>
          <w:rFonts w:hint="eastAsia" w:ascii="方正仿宋简体" w:hAnsi="方正仿宋简体" w:eastAsia="方正仿宋简体" w:cs="方正仿宋简体"/>
          <w:color w:val="auto"/>
          <w:sz w:val="28"/>
          <w:szCs w:val="28"/>
          <w:highlight w:val="none"/>
          <w:lang w:eastAsia="zh-CN"/>
        </w:rPr>
        <w:t>安全</w:t>
      </w:r>
      <w:r>
        <w:rPr>
          <w:rFonts w:hint="eastAsia" w:ascii="方正仿宋简体" w:hAnsi="方正仿宋简体" w:eastAsia="方正仿宋简体" w:cs="方正仿宋简体"/>
          <w:color w:val="auto"/>
          <w:sz w:val="28"/>
          <w:szCs w:val="28"/>
          <w:highlight w:val="none"/>
        </w:rPr>
        <w:t>隐患排查、</w:t>
      </w:r>
      <w:r>
        <w:rPr>
          <w:rFonts w:hint="eastAsia" w:ascii="方正仿宋简体" w:hAnsi="方正仿宋简体" w:eastAsia="方正仿宋简体" w:cs="方正仿宋简体"/>
          <w:color w:val="auto"/>
          <w:sz w:val="28"/>
          <w:szCs w:val="28"/>
          <w:highlight w:val="none"/>
          <w:lang w:eastAsia="zh-CN"/>
        </w:rPr>
        <w:t>安全</w:t>
      </w:r>
      <w:r>
        <w:rPr>
          <w:rFonts w:hint="eastAsia" w:ascii="方正仿宋简体" w:hAnsi="方正仿宋简体" w:eastAsia="方正仿宋简体" w:cs="方正仿宋简体"/>
          <w:color w:val="auto"/>
          <w:sz w:val="28"/>
          <w:szCs w:val="28"/>
          <w:highlight w:val="none"/>
        </w:rPr>
        <w:t>隐患整改、</w:t>
      </w:r>
      <w:r>
        <w:rPr>
          <w:rFonts w:hint="eastAsia" w:ascii="方正仿宋简体" w:hAnsi="方正仿宋简体" w:eastAsia="方正仿宋简体" w:cs="方正仿宋简体"/>
          <w:color w:val="auto"/>
          <w:sz w:val="28"/>
          <w:szCs w:val="28"/>
          <w:highlight w:val="none"/>
          <w:lang w:val="en-US" w:eastAsia="zh-CN"/>
        </w:rPr>
        <w:t>QHSE</w:t>
      </w:r>
      <w:r>
        <w:rPr>
          <w:rFonts w:hint="eastAsia" w:ascii="方正仿宋简体" w:hAnsi="方正仿宋简体" w:eastAsia="方正仿宋简体" w:cs="方正仿宋简体"/>
          <w:color w:val="auto"/>
          <w:sz w:val="28"/>
          <w:szCs w:val="28"/>
          <w:highlight w:val="none"/>
        </w:rPr>
        <w:t>体系审核、作业许可等在安全工作上有重要贡献的业绩。具体考核金额在单项安全考核奖总额中提取，经公司</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管理委员会讨论后明确。其中单项安全考核奖总额=3000×公司在册人数-∑（3000×安全环保风险控制奖系数×安全环保履职考核考核系数）。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（五）安全环保履职考核</w:t>
      </w:r>
      <w:r>
        <w:rPr>
          <w:rFonts w:hint="eastAsia" w:ascii="方正仿宋简体" w:hAnsi="方正仿宋简体" w:eastAsia="方正仿宋简体" w:cs="方正仿宋简体"/>
          <w:color w:val="auto"/>
          <w:sz w:val="28"/>
          <w:szCs w:val="28"/>
          <w:highlight w:val="none"/>
          <w:lang w:eastAsia="zh-CN"/>
        </w:rPr>
        <w:t>系数</w:t>
      </w:r>
      <w:r>
        <w:rPr>
          <w:rFonts w:hint="eastAsia" w:ascii="方正仿宋简体" w:hAnsi="方正仿宋简体" w:eastAsia="方正仿宋简体" w:cs="方正仿宋简体"/>
          <w:color w:val="auto"/>
          <w:sz w:val="28"/>
          <w:szCs w:val="28"/>
          <w:highlight w:val="none"/>
        </w:rPr>
        <w:t>分值为：安全环保履职考核分≥90, 安全环保履职考核</w:t>
      </w:r>
      <w:r>
        <w:rPr>
          <w:rFonts w:hint="eastAsia" w:ascii="方正仿宋简体" w:hAnsi="方正仿宋简体" w:eastAsia="方正仿宋简体" w:cs="方正仿宋简体"/>
          <w:color w:val="auto"/>
          <w:sz w:val="28"/>
          <w:szCs w:val="28"/>
          <w:highlight w:val="none"/>
          <w:lang w:eastAsia="zh-CN"/>
        </w:rPr>
        <w:t>系数为</w:t>
      </w: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eastAsia="zh-CN"/>
        </w:rPr>
        <w:t>，</w:t>
      </w:r>
      <w:r>
        <w:rPr>
          <w:rFonts w:hint="eastAsia" w:ascii="方正仿宋简体" w:hAnsi="方正仿宋简体" w:eastAsia="方正仿宋简体" w:cs="方正仿宋简体"/>
          <w:color w:val="auto"/>
          <w:sz w:val="28"/>
          <w:szCs w:val="28"/>
          <w:highlight w:val="none"/>
        </w:rPr>
        <w:t>安全环保履职考核分＜</w:t>
      </w:r>
      <w:r>
        <w:rPr>
          <w:rFonts w:hint="eastAsia" w:ascii="方正仿宋简体" w:hAnsi="方正仿宋简体" w:eastAsia="方正仿宋简体" w:cs="方正仿宋简体"/>
          <w:color w:val="auto"/>
          <w:sz w:val="28"/>
          <w:szCs w:val="28"/>
          <w:highlight w:val="none"/>
          <w:lang w:val="en-US" w:eastAsia="zh-CN"/>
        </w:rPr>
        <w:t>9</w:t>
      </w:r>
      <w:r>
        <w:rPr>
          <w:rFonts w:hint="eastAsia" w:ascii="方正仿宋简体" w:hAnsi="方正仿宋简体" w:eastAsia="方正仿宋简体" w:cs="方正仿宋简体"/>
          <w:color w:val="auto"/>
          <w:sz w:val="28"/>
          <w:szCs w:val="28"/>
          <w:highlight w:val="none"/>
        </w:rPr>
        <w:t>0，安全环保履职考核</w:t>
      </w:r>
      <w:r>
        <w:rPr>
          <w:rFonts w:hint="eastAsia" w:ascii="方正仿宋简体" w:hAnsi="方正仿宋简体" w:eastAsia="方正仿宋简体" w:cs="方正仿宋简体"/>
          <w:color w:val="auto"/>
          <w:sz w:val="28"/>
          <w:szCs w:val="28"/>
          <w:highlight w:val="none"/>
          <w:lang w:eastAsia="zh-CN"/>
        </w:rPr>
        <w:t>系数</w:t>
      </w:r>
      <w:r>
        <w:rPr>
          <w:rFonts w:hint="eastAsia" w:ascii="方正仿宋简体" w:hAnsi="方正仿宋简体" w:eastAsia="方正仿宋简体" w:cs="方正仿宋简体"/>
          <w:color w:val="auto"/>
          <w:sz w:val="28"/>
          <w:szCs w:val="28"/>
          <w:highlight w:val="none"/>
        </w:rPr>
        <w:t>为0。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各部室（单位）应充分考虑基层岗位风险、工作强度，按照“管好多得、多劳多得”和“公平、公正、公开”的原则对员工全年安全环保工作业绩进行考评，根据考评结果发放安全环保风险控制奖。一线员工个人安全环保风险控制奖最高限额不超过1万元，对因工作失职造成安全环保风险管理失控的员工可不发放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第六条</w:t>
      </w:r>
      <w:r>
        <w:rPr>
          <w:rFonts w:hint="eastAsia" w:ascii="方正仿宋简体" w:hAnsi="方正仿宋简体" w:eastAsia="方正仿宋简体" w:cs="方正仿宋简体"/>
          <w:color w:val="auto"/>
          <w:sz w:val="28"/>
          <w:szCs w:val="28"/>
          <w:highlight w:val="none"/>
        </w:rPr>
        <w:t xml:space="preserve">  公司各部室（单位）的结果性考核指标按以下要求执行：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发生一般A级及以上生产安全事故、一般及以上突发环境事件和环境保护违法违规事件，扣减该部室（单位）全部安全环保风险控制奖；扣减公司主要领导、分管领导、部室负责人全部安全环保风险控制奖；扣减相关事故责任人全部安全环保风险控制奖；扣减安全联系人全部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发生一般安全事故B级且影响恶劣的，扣减该部室（单位）50%安全环保风险控制奖；扣减公司主要领导、分管领导、部室（单位）负责人50%安全环保风险控制奖；扣减相关事故责任人50%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发生一般安全事故C级及典型事件，按照公司事故事件管理要求上报、开展调查、制定控制措施、积极分享的，不扣减安全环保风险控制奖，并对相关报告人、分享人予以300元/起的奖励，由各部室（单位）在安全环保风险控制奖中兑现；未按公司事故事件管理要求主动报告的，扣减该部室（单位）主要负责人、相关责任人30%的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（四）公司对积极报告、分享典型事件案例的部室（单位），在</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绩效考核中予以加分奖励；对不按照公司事故事件管理要求上报、开展调查、制定控制措施、积极分享的部室（单位）在</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绩效考核中扣减相应的分值。</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第七条</w:t>
      </w:r>
      <w:r>
        <w:rPr>
          <w:rFonts w:hint="eastAsia" w:ascii="方正仿宋简体" w:hAnsi="方正仿宋简体" w:eastAsia="方正仿宋简体" w:cs="方正仿宋简体"/>
          <w:color w:val="auto"/>
          <w:sz w:val="28"/>
          <w:szCs w:val="28"/>
          <w:highlight w:val="none"/>
        </w:rPr>
        <w:t xml:space="preserve">  因重组、调动等工作原因工作单位发生变动的，由现工作单位依据原单位提供的考核结果发放；因新增、退休等其它原因在岗不满全年的员工，按实际在岗工作月数考核计发。</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各部室（单位）考核工作应在次年1月15日前完成，考核结果经公司</w:t>
      </w:r>
      <w:r>
        <w:rPr>
          <w:rFonts w:hint="eastAsia" w:ascii="方正仿宋简体" w:hAnsi="方正仿宋简体" w:eastAsia="方正仿宋简体" w:cs="方正仿宋简体"/>
          <w:color w:val="auto"/>
          <w:sz w:val="28"/>
          <w:szCs w:val="28"/>
          <w:highlight w:val="none"/>
          <w:lang w:eastAsia="zh-CN"/>
        </w:rPr>
        <w:t>QHSE</w:t>
      </w:r>
      <w:r>
        <w:rPr>
          <w:rFonts w:hint="eastAsia" w:ascii="方正仿宋简体" w:hAnsi="方正仿宋简体" w:eastAsia="方正仿宋简体" w:cs="方正仿宋简体"/>
          <w:color w:val="auto"/>
          <w:sz w:val="28"/>
          <w:szCs w:val="28"/>
          <w:highlight w:val="none"/>
        </w:rPr>
        <w:t>管理委员会讨论后，以文件形式明确。公司员工安全环保风险控制奖考评结果应公示。</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ascii="方正仿宋简体" w:hAnsi="方正仿宋简体" w:eastAsia="方正仿宋简体" w:cs="方正仿宋简体"/>
          <w:color w:val="auto"/>
          <w:sz w:val="30"/>
          <w:szCs w:val="30"/>
          <w:highlight w:val="none"/>
        </w:rPr>
      </w:pPr>
      <w:r>
        <w:rPr>
          <w:rFonts w:hint="eastAsia" w:ascii="方正黑体简体" w:hAnsi="方正黑体简体" w:eastAsia="方正黑体简体" w:cs="方正黑体简体"/>
          <w:color w:val="auto"/>
          <w:sz w:val="30"/>
          <w:szCs w:val="30"/>
          <w:highlight w:val="none"/>
        </w:rPr>
        <w:t>第三章  附  则</w:t>
      </w:r>
    </w:p>
    <w:p>
      <w:pPr>
        <w:keepNext w:val="0"/>
        <w:keepLines w:val="0"/>
        <w:pageBreakBefore w:val="0"/>
        <w:widowControl w:val="0"/>
        <w:kinsoku/>
        <w:wordWrap/>
        <w:overflowPunct/>
        <w:topLinePunct w:val="0"/>
        <w:autoSpaceDE/>
        <w:autoSpaceDN/>
        <w:bidi w:val="0"/>
        <w:adjustRightInd/>
        <w:snapToGrid/>
        <w:spacing w:line="560" w:lineRule="exact"/>
        <w:ind w:firstLine="551" w:firstLineChars="196"/>
        <w:textAlignment w:val="auto"/>
        <w:outlineLvl w:val="9"/>
        <w:rPr>
          <w:rFonts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本实施细则由公司</w:t>
      </w:r>
      <w:r>
        <w:rPr>
          <w:rFonts w:hint="eastAsia" w:ascii="方正仿宋简体" w:hAnsi="方正仿宋简体" w:eastAsia="方正仿宋简体" w:cs="方正仿宋简体"/>
          <w:color w:val="auto"/>
          <w:sz w:val="28"/>
          <w:szCs w:val="28"/>
          <w:highlight w:val="none"/>
          <w:lang w:eastAsia="zh-CN"/>
        </w:rPr>
        <w:t>质量安全环保</w:t>
      </w:r>
      <w:r>
        <w:rPr>
          <w:rFonts w:hint="eastAsia" w:ascii="方正仿宋简体" w:hAnsi="方正仿宋简体" w:eastAsia="方正仿宋简体" w:cs="方正仿宋简体"/>
          <w:color w:val="auto"/>
          <w:sz w:val="28"/>
          <w:szCs w:val="28"/>
          <w:highlight w:val="none"/>
        </w:rPr>
        <w:t>部、</w:t>
      </w:r>
      <w:r>
        <w:rPr>
          <w:rFonts w:hint="eastAsia" w:ascii="方正仿宋简体" w:hAnsi="方正仿宋简体" w:eastAsia="方正仿宋简体" w:cs="方正仿宋简体"/>
          <w:color w:val="auto"/>
          <w:sz w:val="28"/>
          <w:szCs w:val="28"/>
          <w:highlight w:val="none"/>
          <w:lang w:eastAsia="zh-CN"/>
        </w:rPr>
        <w:t>综合</w:t>
      </w:r>
      <w:r>
        <w:rPr>
          <w:rFonts w:hint="eastAsia" w:ascii="方正仿宋简体" w:hAnsi="方正仿宋简体" w:eastAsia="方正仿宋简体" w:cs="方正仿宋简体"/>
          <w:color w:val="auto"/>
          <w:sz w:val="28"/>
          <w:szCs w:val="28"/>
          <w:highlight w:val="none"/>
        </w:rPr>
        <w:t>办</w:t>
      </w:r>
      <w:r>
        <w:rPr>
          <w:rFonts w:hint="eastAsia" w:ascii="方正仿宋简体" w:hAnsi="方正仿宋简体" w:eastAsia="方正仿宋简体" w:cs="方正仿宋简体"/>
          <w:color w:val="auto"/>
          <w:sz w:val="28"/>
          <w:szCs w:val="28"/>
          <w:highlight w:val="none"/>
          <w:lang w:eastAsia="zh-CN"/>
        </w:rPr>
        <w:t>公室</w:t>
      </w:r>
      <w:r>
        <w:rPr>
          <w:rFonts w:hint="eastAsia" w:ascii="方正仿宋简体" w:hAnsi="方正仿宋简体" w:eastAsia="方正仿宋简体" w:cs="方正仿宋简体"/>
          <w:color w:val="auto"/>
          <w:sz w:val="28"/>
          <w:szCs w:val="28"/>
          <w:highlight w:val="none"/>
        </w:rPr>
        <w:t>（人事）负责解释。安全环保风险管控考核由</w:t>
      </w:r>
      <w:r>
        <w:rPr>
          <w:rFonts w:hint="eastAsia" w:ascii="方正仿宋简体" w:hAnsi="方正仿宋简体" w:eastAsia="方正仿宋简体" w:cs="方正仿宋简体"/>
          <w:color w:val="auto"/>
          <w:sz w:val="28"/>
          <w:szCs w:val="28"/>
          <w:highlight w:val="none"/>
          <w:lang w:eastAsia="zh-CN"/>
        </w:rPr>
        <w:t>质量安全环保</w:t>
      </w:r>
      <w:r>
        <w:rPr>
          <w:rFonts w:hint="eastAsia" w:ascii="方正仿宋简体" w:hAnsi="方正仿宋简体" w:eastAsia="方正仿宋简体" w:cs="方正仿宋简体"/>
          <w:color w:val="auto"/>
          <w:sz w:val="28"/>
          <w:szCs w:val="28"/>
          <w:highlight w:val="none"/>
        </w:rPr>
        <w:t>部负责；奖惩奖金兑现由</w:t>
      </w:r>
      <w:r>
        <w:rPr>
          <w:rFonts w:hint="eastAsia" w:ascii="方正仿宋简体" w:hAnsi="方正仿宋简体" w:eastAsia="方正仿宋简体" w:cs="方正仿宋简体"/>
          <w:color w:val="auto"/>
          <w:sz w:val="28"/>
          <w:szCs w:val="28"/>
          <w:highlight w:val="none"/>
          <w:lang w:eastAsia="zh-CN"/>
        </w:rPr>
        <w:t>综合办公室</w:t>
      </w:r>
      <w:r>
        <w:rPr>
          <w:rFonts w:hint="eastAsia" w:ascii="方正仿宋简体" w:hAnsi="方正仿宋简体" w:eastAsia="方正仿宋简体" w:cs="方正仿宋简体"/>
          <w:color w:val="auto"/>
          <w:sz w:val="28"/>
          <w:szCs w:val="28"/>
          <w:highlight w:val="none"/>
        </w:rPr>
        <w:t>（人事）负责。</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9"/>
        <w:rPr>
          <w:rFonts w:hint="eastAsia" w:ascii="方正小标宋简体" w:eastAsia="方正小标宋简体"/>
          <w:b w:val="0"/>
          <w:bCs w:val="0"/>
          <w:color w:val="auto"/>
          <w:sz w:val="36"/>
          <w:szCs w:val="36"/>
          <w:highlight w:val="none"/>
        </w:rPr>
      </w:pPr>
      <w:r>
        <w:rPr>
          <w:rFonts w:hint="eastAsia" w:ascii="方正仿宋简体" w:hAnsi="方正仿宋简体" w:eastAsia="方正仿宋简体" w:cs="方正仿宋简体"/>
          <w:b/>
          <w:bCs/>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本细则自印发之日起执行。</w:t>
      </w:r>
      <w:r>
        <w:rPr>
          <w:rFonts w:hint="eastAsia" w:ascii="方正大黑简体" w:hAnsi="方正大黑简体" w:eastAsia="方正大黑简体"/>
          <w:color w:val="auto"/>
          <w:sz w:val="36"/>
          <w:highlight w:val="none"/>
        </w:rPr>
        <w:br w:type="page"/>
      </w:r>
      <w:bookmarkStart w:id="785" w:name="_Toc278"/>
      <w:bookmarkStart w:id="786" w:name="_Toc27177"/>
      <w:bookmarkStart w:id="787" w:name="_Toc5702"/>
      <w:bookmarkStart w:id="788" w:name="_Toc5565"/>
      <w:bookmarkStart w:id="789" w:name="_Toc25544"/>
      <w:bookmarkStart w:id="790" w:name="_Toc17043"/>
      <w:bookmarkStart w:id="791" w:name="_Toc1123"/>
      <w:bookmarkStart w:id="792" w:name="_Toc10008"/>
      <w:bookmarkStart w:id="793" w:name="_Toc6161"/>
      <w:bookmarkStart w:id="794" w:name="_Toc508016815"/>
      <w:bookmarkStart w:id="795" w:name="_Toc1212"/>
      <w:r>
        <w:rPr>
          <w:rFonts w:hint="eastAsia" w:ascii="方正小标宋简体" w:eastAsia="方正小标宋简体"/>
          <w:b w:val="0"/>
          <w:bCs w:val="0"/>
          <w:color w:val="auto"/>
          <w:sz w:val="36"/>
          <w:szCs w:val="36"/>
          <w:highlight w:val="none"/>
        </w:rPr>
        <w:t>中油南充燃气有限责任公司规章制度管理办法</w:t>
      </w:r>
      <w:bookmarkEnd w:id="785"/>
      <w:bookmarkEnd w:id="786"/>
      <w:bookmarkEnd w:id="787"/>
      <w:bookmarkEnd w:id="788"/>
      <w:bookmarkEnd w:id="789"/>
      <w:bookmarkEnd w:id="790"/>
      <w:bookmarkEnd w:id="791"/>
      <w:bookmarkEnd w:id="792"/>
      <w:bookmarkEnd w:id="793"/>
      <w:bookmarkEnd w:id="794"/>
      <w:bookmarkEnd w:id="795"/>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b w:val="0"/>
          <w:bCs w:val="0"/>
          <w:color w:val="auto"/>
          <w:sz w:val="30"/>
          <w:szCs w:val="30"/>
          <w:highlight w:val="none"/>
        </w:rPr>
      </w:pPr>
      <w:r>
        <w:rPr>
          <w:rFonts w:hint="eastAsia" w:ascii="方正黑体简体" w:hAnsi="华文中宋" w:eastAsia="方正黑体简体"/>
          <w:b w:val="0"/>
          <w:bCs w:val="0"/>
          <w:color w:val="auto"/>
          <w:sz w:val="30"/>
          <w:szCs w:val="30"/>
          <w:highlight w:val="none"/>
          <w:lang w:eastAsia="zh-CN"/>
        </w:rPr>
        <w:t>第一章</w:t>
      </w:r>
      <w:r>
        <w:rPr>
          <w:rFonts w:hint="eastAsia" w:ascii="方正黑体简体" w:hAnsi="华文中宋" w:eastAsia="方正黑体简体"/>
          <w:b w:val="0"/>
          <w:bCs w:val="0"/>
          <w:color w:val="auto"/>
          <w:sz w:val="30"/>
          <w:szCs w:val="30"/>
          <w:highlight w:val="none"/>
        </w:rPr>
        <w:t xml:space="preserve">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第一条</w:t>
      </w:r>
      <w:r>
        <w:rPr>
          <w:rFonts w:hint="eastAsia" w:ascii="方正仿宋简体" w:eastAsia="方正仿宋简体"/>
          <w:color w:val="auto"/>
          <w:sz w:val="28"/>
          <w:szCs w:val="28"/>
          <w:highlight w:val="none"/>
        </w:rPr>
        <w:t xml:space="preserve">  为了加强中油南充燃气有限责任公司（以下简称“公司”）规章制度的科学、规范、高效管理，根据国家有关法律、法规</w:t>
      </w:r>
      <w:r>
        <w:rPr>
          <w:rFonts w:hint="eastAsia" w:ascii="方正仿宋简体" w:eastAsia="方正仿宋简体"/>
          <w:color w:val="auto"/>
          <w:sz w:val="32"/>
          <w:szCs w:val="32"/>
          <w:highlight w:val="none"/>
        </w:rPr>
        <w:t>以</w:t>
      </w:r>
      <w:r>
        <w:rPr>
          <w:rFonts w:hint="eastAsia" w:ascii="方正仿宋简体" w:eastAsia="方正仿宋简体"/>
          <w:color w:val="auto"/>
          <w:sz w:val="28"/>
          <w:szCs w:val="28"/>
          <w:highlight w:val="none"/>
        </w:rPr>
        <w:t>及股东单位相关管理规定，特制定本管理办法。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第二条</w:t>
      </w:r>
      <w:r>
        <w:rPr>
          <w:rFonts w:hint="eastAsia" w:ascii="方正仿宋简体" w:eastAsia="方正仿宋简体"/>
          <w:color w:val="auto"/>
          <w:sz w:val="28"/>
          <w:szCs w:val="28"/>
          <w:highlight w:val="none"/>
        </w:rPr>
        <w:t xml:space="preserve">  本办法所称规章制度（以下简称“制度”），是指符合本办法规定的立制主体，根据有关法律、法规和上级管理制度的要求，按照规定程序，在内部管理职责或授权范围内自行制定的，用以规范生产经营与日常管理各个领域内所有活动的、在公司范围内具有长期普遍约束力的规范性文件的总称。不包括各类企业标准、技术规范、以及一般性通知、函件、电报等日常应用公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第三条</w:t>
      </w:r>
      <w:r>
        <w:rPr>
          <w:rFonts w:hint="eastAsia" w:ascii="方正仿宋简体" w:eastAsia="方正仿宋简体"/>
          <w:color w:val="auto"/>
          <w:sz w:val="28"/>
          <w:szCs w:val="28"/>
          <w:highlight w:val="none"/>
        </w:rPr>
        <w:t xml:space="preserve">  公司范围内的规章制度的起草、审议、发布、修改、废止、解释、实施、评价和监督，依照本管理办法。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第四条</w:t>
      </w:r>
      <w:r>
        <w:rPr>
          <w:rFonts w:hint="eastAsia" w:ascii="方正仿宋简体" w:eastAsia="方正仿宋简体"/>
          <w:color w:val="auto"/>
          <w:sz w:val="28"/>
          <w:szCs w:val="28"/>
          <w:highlight w:val="none"/>
        </w:rPr>
        <w:t xml:space="preserve">  制度建设必须以公司发展战略为导向，统筹规划，突出重点，持续改进，依照规定的权限和程序，充分结合管理需要和工作实际，注重制度的合理性和相互衔接、配合，构建系统完备、科学规范、运行有效的制度体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第二章  基本原则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制度管理应遵循以下原则：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（一）合规性原则。各项制度必须遵守国家法律、法规的有关规定，符合各公司章程要求和职业道德规范，制度发布之前必须对内容的合规性进行严格审查；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（二）必要性原则。制度的制定必须以实际管理需求为基础，有合理的依据和明确的目标、对象、范围及内容、具有较强的针对性和可操作性；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（三）规范性原则。制度从起草到发布全过程必须遵循统一的管理程序与编制规范；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（四）民主决策原则。制定制度要广泛吸取各方面的意见，重大、重要制度要通过经理办公会或董事会审定，按民主集中制的原则进行审议、决策和发布。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第三章  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公司制度管理实行归口管理与分工负责相结合的方式。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w:t>
      </w:r>
      <w:r>
        <w:rPr>
          <w:rFonts w:hint="eastAsia" w:ascii="方正仿宋简体" w:eastAsia="方正仿宋简体"/>
          <w:color w:val="auto"/>
          <w:sz w:val="28"/>
          <w:szCs w:val="28"/>
          <w:highlight w:val="none"/>
          <w:lang w:eastAsia="zh-CN"/>
        </w:rPr>
        <w:t>市场营销部</w:t>
      </w:r>
      <w:r>
        <w:rPr>
          <w:rFonts w:hint="eastAsia" w:ascii="方正仿宋简体" w:eastAsia="方正仿宋简体"/>
          <w:color w:val="auto"/>
          <w:sz w:val="28"/>
          <w:szCs w:val="28"/>
          <w:highlight w:val="none"/>
        </w:rPr>
        <w:t>是制度的归口管理部门。主要职责为：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（一）负责制度的集中、统筹管理，制定相关的管理制度与规范、管理规划和实施策划方案等；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（二）负责对经理办公会审查并要求的重大制度进行法律论证；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（三）负责对制度草案的形式要件和合法合规性进行归口审查，提出明确的意见；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（四）组织对制度实施进行监督检查，协调处理制度执行中的冲突；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（五）组织对制度进行清理、评价与改进；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（六）不定期对发布的规章制度进行汇编。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机关各部门是制度的专业管理部门，主要职责：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（一）负责建立完善主管业务领域制度体系；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（二）负责主管业务领域制度的宣贯培训、组织实施、监督检查；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（三）负责主管业务领域制度的清理、评价与改进；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（四）负责建立健全主管业务领域内制度建设及管理的基础记录台帐。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九</w:t>
      </w:r>
      <w:r>
        <w:rPr>
          <w:rFonts w:hint="eastAsia" w:ascii="方正仿宋简体" w:eastAsia="方正仿宋简体"/>
          <w:b/>
          <w:color w:val="auto"/>
          <w:sz w:val="28"/>
          <w:szCs w:val="28"/>
          <w:highlight w:val="none"/>
        </w:rPr>
        <w:t xml:space="preserve">条 </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所属单位也应明确各自制度职责范围。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b w:val="0"/>
          <w:bCs w:val="0"/>
          <w:color w:val="auto"/>
          <w:sz w:val="30"/>
          <w:szCs w:val="30"/>
          <w:highlight w:val="none"/>
        </w:rPr>
      </w:pPr>
      <w:r>
        <w:rPr>
          <w:rFonts w:hint="eastAsia" w:ascii="方正黑体简体" w:hAnsi="华文中宋" w:eastAsia="方正黑体简体"/>
          <w:b w:val="0"/>
          <w:bCs w:val="0"/>
          <w:color w:val="auto"/>
          <w:sz w:val="30"/>
          <w:szCs w:val="30"/>
          <w:highlight w:val="none"/>
        </w:rPr>
        <w:t>第四章  立制权限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第十条</w:t>
      </w:r>
      <w:r>
        <w:rPr>
          <w:rFonts w:hint="eastAsia" w:ascii="方正仿宋简体" w:eastAsia="方正仿宋简体"/>
          <w:color w:val="auto"/>
          <w:sz w:val="28"/>
          <w:szCs w:val="28"/>
          <w:highlight w:val="none"/>
        </w:rPr>
        <w:t xml:space="preserve">  公司制度分为公司制度和转化上级单位制度两个类别。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公司制度是指公司机关、所属单位履行管理职能，为规范各类生产经营管理活动而制定，在公司范围内具有效力的制度。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b/>
          <w:color w:val="auto"/>
          <w:sz w:val="28"/>
          <w:szCs w:val="28"/>
          <w:highlight w:val="none"/>
        </w:rPr>
      </w:pPr>
      <w:r>
        <w:rPr>
          <w:rFonts w:hint="eastAsia" w:ascii="方正仿宋简体" w:eastAsia="方正仿宋简体"/>
          <w:color w:val="auto"/>
          <w:sz w:val="28"/>
          <w:szCs w:val="28"/>
          <w:highlight w:val="none"/>
        </w:rPr>
        <w:t>转化上级单位制度是指公司机关、所属单位根据具体情况对公司制度进行细化、转化为本单位的相关管理办法或实施细则。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公司制度根据性质划分为重大制度和一般性制度。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（一）重大制度：指涉及公司发展战略、体制机制等内容的全局性和根本性制度。具体包括：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涉及公司发展战略、组织架构、体制机制、三重一大事项的制度；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涉及多业务或多部门的制度；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涉及职工权益的制度；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4</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规定各业务领域基本规范、基本程序和要求的基础性制度。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（二）一般性管理制度：对专业管理制度进行细化、补充实施程序和工作表单的实施性制度。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公司均不得制定超越上一级制度等级或与上一级制度等级相同的制度。具体为：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（一）第一级为“管理办法”，简称“办法”；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（二）第二级为“实施细则”，简称“细则”。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highlight w:val="none"/>
        </w:rPr>
      </w:pPr>
      <w:r>
        <w:rPr>
          <w:rFonts w:hint="eastAsia" w:ascii="方正仿宋简体" w:eastAsia="方正仿宋简体"/>
          <w:color w:val="auto"/>
          <w:sz w:val="28"/>
          <w:szCs w:val="28"/>
          <w:highlight w:val="none"/>
        </w:rPr>
        <w:t>上级单位已就某一管理事项制定了“实施细则”的，公司原则上不再另行细化；例如上级单位制定的“实施细则</w:t>
      </w:r>
      <w:r>
        <w:rPr>
          <w:rFonts w:hint="eastAsia" w:ascii="方正仿宋简体" w:eastAsia="方正仿宋简体"/>
          <w:color w:val="auto"/>
          <w:sz w:val="28"/>
          <w:highlight w:val="none"/>
        </w:rPr>
        <w:t>”在执行中发现存在缺漏的，由公司相关业务部门向上级业务管理部门反映，并由上级业务管理部门负责完善。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highlight w:val="none"/>
          <w:lang w:eastAsia="zh-CN"/>
        </w:rPr>
        <w:t>第十三条</w:t>
      </w:r>
      <w:r>
        <w:rPr>
          <w:rFonts w:hint="eastAsia" w:ascii="方正仿宋简体" w:eastAsia="方正仿宋简体"/>
          <w:color w:val="auto"/>
          <w:sz w:val="28"/>
          <w:highlight w:val="none"/>
          <w:lang w:val="en-US" w:eastAsia="zh-CN"/>
        </w:rPr>
        <w:t xml:space="preserve"> </w:t>
      </w:r>
      <w:r>
        <w:rPr>
          <w:rFonts w:hint="eastAsia" w:ascii="方正仿宋简体" w:eastAsia="方正仿宋简体"/>
          <w:color w:val="auto"/>
          <w:sz w:val="28"/>
          <w:szCs w:val="28"/>
          <w:highlight w:val="none"/>
        </w:rPr>
        <w:t xml:space="preserve"> 公司可以依据川港公司制度规定，制定实施细则，原则上不具有本办法所称之制度的制定权限，非经授权不得自行制定以“办法”命名的制度。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eastAsia" w:ascii="方正黑体简体" w:hAnsi="华文中宋" w:eastAsia="方正黑体简体"/>
          <w:b w:val="0"/>
          <w:bCs w:val="0"/>
          <w:color w:val="auto"/>
          <w:sz w:val="30"/>
          <w:szCs w:val="30"/>
          <w:highlight w:val="none"/>
        </w:rPr>
      </w:pPr>
      <w:r>
        <w:rPr>
          <w:rFonts w:hint="eastAsia" w:ascii="方正黑体简体" w:hAnsi="华文中宋" w:eastAsia="方正黑体简体"/>
          <w:b w:val="0"/>
          <w:bCs w:val="0"/>
          <w:color w:val="auto"/>
          <w:sz w:val="30"/>
          <w:szCs w:val="30"/>
          <w:highlight w:val="none"/>
        </w:rPr>
        <w:t xml:space="preserve"> 基本程序</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第一节  立项建议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公司应根据业务管理需要和制度评价结果，每一年度结束以前对次年需要开展的制度新建、修订及废止等工作进行计划或论证。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进行制度制修订必要性论证时，应当从公司业务发展需要和管理提升出发，考虑国家法律法规变化，加强制度体系顶层设计，既要弥补缺失、完善制度体系，更要优化内容、提升制度质量，还要简化结构、避免制度庞杂，并与标准、流程及其他管理文件衔接配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涉及多个专业、多个部门的制度，牵头部门应征求相关部门意见，参与征求意见的部门应及时组织审查，明确给予答复。牵头部门在征求意见过程中应注意保留相关实施证据。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制度论证过程中，相关部门对立制的必要性或其他重要内容有分歧的，牵头部门应与其认真磋商，达成共识。经与相关部门协商不能取得一致意见的，按以下规定处理：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（一）拟起草的制度存在命名规则、编辑格式等形式要件方面分歧意见的，由制度归口管理部门组织有关部门会审决定；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（二）拟起草的制度涉及必要性、合理性以及管理职责交叉冲突等实质性要件方面分歧意见的，提交分管领导审定；重大问题须提交总经理办公会审定。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公司机关各部门根据制度立项计划或论证结果，编制本部门、本单位的制度建设立项（建议）计划，向公司提出立项申请。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十九</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申报制度建设计划时，公司机关各部室和所属单位应按要求规范填写《中油南充燃气有限责任公司规章制度建设立项（建议）计划申报表》（见附件1），经部室负责人或所属单位分管领导审查签字并加盖公章后向公司提交。</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第二节  制定计划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第二十条</w:t>
      </w:r>
      <w:r>
        <w:rPr>
          <w:rFonts w:hint="eastAsia" w:ascii="方正仿宋简体" w:eastAsia="方正仿宋简体"/>
          <w:color w:val="auto"/>
          <w:sz w:val="28"/>
          <w:szCs w:val="28"/>
          <w:highlight w:val="none"/>
        </w:rPr>
        <w:t xml:space="preserve">  公司建立健全涵盖两级机关层面的制度计划管理体系。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公司对各部门和所属单位制度建设立项（建议）计划组织审查，编制公司制度建设年度计划，经公司领导批准后，于每年一季度以正式文件下达执行。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正式下达的计划应严肃执行。有特殊原因需调整的，应提出充分理由并填报《中油南充燃气有限责任公司规章制度建设计划调整申请表》（见附件2），经部室负责人或单位分管领导审查签字并加盖公章后，向公司提交，经批准同意后由公司对年度制度建设计划进行相应调整。</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textAlignment w:val="auto"/>
        <w:outlineLvl w:val="9"/>
        <w:rPr>
          <w:rFonts w:hint="eastAsia" w:ascii="方正仿宋简体" w:eastAsia="方正仿宋简体"/>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第三节  起草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三</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业务部门应根据年度制度建设计划的安排，认真组织开展制度起草工作。制度内容涉及两个或两个以上部门管理职责的，由提出制度建设立项（建议）计划的部门为牵头部门，可采取以下方式组织起草：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（一）由牵头部门负责起草并征求相关部门意见；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（二）由牵头部门组织相关部门人员组成联合起草小组共同起草。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业务部门应当对制度的规范事项、管理程序、风险节点、控制措施、管理要求进行梳理，对需要解决的问题和解决方案、管理职责划分和管理部门职责界定等做出充分论证，设计形成制度草案的基本框架。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业务部门编制制度草案内容应当满足以下要求：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（一）符合国家法律法规，不与法律强制性规定相抵触；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（二）体现股东单位的整体意志和管理要求，符合公司和各单位实际；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（三）反映生产经营管理规律，体现先进的管理思想、技术和方法；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（四）具有合理的权力制衡机制，权责明确、程序清晰、内容具体，便于实施；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（五）与相关制度衔接配套，内容不重复、不矛盾。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制度草案体例格式应当统一规范、逻辑严密、文字简洁、表述准确，具备以下基本内容：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（一）规章制度名称；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（二）依据和宗旨；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（四）管理部门及职责；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 xml:space="preserve">（五）管理程序和具体规范；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（六）监督与责任；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（七）解释部门；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（八）颁发生效时间。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业务部门在起草制度时，应对以下情况进行说明：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（一）与现行制度规定不一致的；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（二）需废止的制度或条款。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第四节  会签与审查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第二十</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草案首先分送相关部门或所属单位征求意见。被征求意见的部门或单位应当认真组织研究，并填报《中油南充燃气有限责任公司规章制度审查会签单》（见附件3）。对存在争议的事项，起草部门应当与相关部门或单位充分协商并达成一致；不能达成一致的，由制度归口管理部门组织协调并报请分管领导确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二十九</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制度草案向相关部门和所属单位征求意见或会签后应提交制度归口管理部门审查，并报分管领导审核。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第三十条</w:t>
      </w:r>
      <w:r>
        <w:rPr>
          <w:rFonts w:hint="eastAsia" w:ascii="方正仿宋简体" w:eastAsia="方正仿宋简体"/>
          <w:color w:val="auto"/>
          <w:sz w:val="28"/>
          <w:szCs w:val="28"/>
          <w:highlight w:val="none"/>
        </w:rPr>
        <w:t xml:space="preserve">  业务部门将制度草案提交制度归口管理部门进行审查时，应提供下列文件和材料：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（一）制度草案文本和业务流程草图；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（二）相关部门的意见；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（三）需要说明和协调解决的问题；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（四）其他需要提交的材料。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b/>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制度归口管理部门在收到会签材料后，应对制度草案内容、形式以及相关制度衔接等组织审查。制度的归口审查内容有：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（一）必要性审查。主要审查制度草案是否有合理的依据，是否具有明确的针对性并能够满足管理需要；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（二）合规性审查。主要审查制度草案是否与国家法律法规、相关制度和职业道德规范相抵触；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（三）规范性审查。主要审查制度草案的命名规则、章节设置、主要条款、正文用语、序号排列等形式要件是否符合统一规范；实质要件方面审查职能职责是否交叉重复，前后规定有无冲突等；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（四）适用性审查。主要审查制度草案的适用范围是否明确，与相关制度的衔接情况，是否符合不交叉、不重复的原则，是否符合成本效益的原则并具有较强的可操作性等；</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（五）程序性审查。主要审查制度草案是否严格按照本办法之规定，履行了必要的研究论证、会签等程序。</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经审查，对符合要求的制度草案由制度承办部门呈报审议；对不符合要求的，承办部门按要求补充、修改；对审查认为应当撤销的，报分管领导审批后，予以撤销。</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jc w:val="both"/>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第五节  审议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三</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公司一般制度由制度承办部门呈分管领导审批，重大制度必须经总经理办公会或董事会审议通过。经公司各专业委员会审议通过的制度，视同履行总经理办公会审议程序。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公司涉及员工权益的制度，经总经理办公会或董事会审议后，原则上应当提交职工代表大会或职代会团组长会议审议通过。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制度草案、起草说明和有关书面意见、论证报告等材料应根据安排，提前分送参会人员预先审阅。</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审议制度需提交的资料包括但不限于：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（一）《中油南充燃气有限责任公司规章制度审查会签单》；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（二）制度草案文本；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（三）制度起草说明（由业务部门起草，具体包括草案起草、论证和征求意见情况、制度草案的主要内容、需要说明的问题等）；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（四）涉及员工重要利益的制度需审议通过的相应材料；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（五）其它需要报送的材料。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制度草案经审议通过或原则通过的，起草部门应当按照审议意见修改完善。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制度草案经审议，认为需要进一步深入研究论证的，起草部门应当按审议意见深入论证，修改完善后重新申报审议。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制度草案经审议决定撤销或废止的制度，由制度归口管理部门办理撤销或废止手续。</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第六节  发布与生效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公司制度原则上应以公司文件的形式发布。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第三十八条</w:t>
      </w:r>
      <w:r>
        <w:rPr>
          <w:rFonts w:hint="eastAsia" w:ascii="方正仿宋简体" w:eastAsia="方正仿宋简体"/>
          <w:color w:val="auto"/>
          <w:sz w:val="28"/>
          <w:szCs w:val="28"/>
          <w:highlight w:val="none"/>
        </w:rPr>
        <w:t xml:space="preserve">  公司主页是制度发布的指定方式。除党群系统、保密等有特殊要求并作另行规定的发布方式以外，不得以其他方式替代。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第三十九条</w:t>
      </w:r>
      <w:r>
        <w:rPr>
          <w:rFonts w:hint="eastAsia" w:ascii="方正仿宋简体" w:eastAsia="方正仿宋简体"/>
          <w:color w:val="auto"/>
          <w:sz w:val="28"/>
          <w:szCs w:val="28"/>
          <w:highlight w:val="none"/>
        </w:rPr>
        <w:t xml:space="preserve">  制度的发布同时应满足以下要求：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制度发布应完整、系统，相关附件、附表等必须随制度正文一并提交公文应用系统进行发布。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第四十条</w:t>
      </w:r>
      <w:r>
        <w:rPr>
          <w:rFonts w:hint="eastAsia" w:ascii="方正仿宋简体" w:eastAsia="方正仿宋简体"/>
          <w:color w:val="auto"/>
          <w:sz w:val="28"/>
          <w:szCs w:val="28"/>
          <w:highlight w:val="none"/>
        </w:rPr>
        <w:t xml:space="preserve">  制度明确规定自发布之日起施行的，自发布之日起发生效力。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第四十一条</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制度有特定施行日期的，自该特定日期起发生效力。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第四十二条</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制度有特定施行范围的，在该特定范围内具有效力。</w:t>
      </w: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第七节  备案与解释</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bCs/>
          <w:color w:val="auto"/>
          <w:sz w:val="28"/>
          <w:szCs w:val="28"/>
          <w:highlight w:val="none"/>
          <w:lang w:eastAsia="zh-CN"/>
        </w:rPr>
        <w:t>第四十三条</w:t>
      </w:r>
      <w:r>
        <w:rPr>
          <w:rFonts w:hint="eastAsia" w:ascii="方正仿宋简体" w:eastAsia="方正仿宋简体"/>
          <w:b/>
          <w:bCs/>
          <w:color w:val="auto"/>
          <w:sz w:val="28"/>
          <w:szCs w:val="28"/>
          <w:highlight w:val="none"/>
          <w:lang w:val="en-US" w:eastAsia="zh-CN"/>
        </w:rPr>
        <w:t xml:space="preserve"> </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制度应当在发布后报制度归口管理部门备案。</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制度文本必须明确制度解释部门。需要解释的情况包括：（一）制度的某些内容需要进一步明确具体含义的；</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（二）制度发布后出现新的情况，需要明确适用相关法律法规或相关要求的；</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（三）制度当中相关概念、专业词汇或专用语的定义、管理程序与执行标准等。</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制度涉及管理职责交叉、不同制度之间发生冲突等问题时，由制度归口管理部门会同相关部门解释；制度归口管理部门不能决定的，提交分管领导或总经理办公会审议。</w:t>
      </w:r>
    </w:p>
    <w:p>
      <w:pPr>
        <w:keepNext w:val="0"/>
        <w:keepLines w:val="0"/>
        <w:pageBreakBefore w:val="0"/>
        <w:widowControl w:val="0"/>
        <w:kinsoku/>
        <w:wordWrap/>
        <w:overflowPunct/>
        <w:topLinePunct w:val="0"/>
        <w:autoSpaceDE/>
        <w:autoSpaceDN/>
        <w:bidi w:val="0"/>
        <w:adjustRightInd/>
        <w:snapToGrid/>
        <w:spacing w:line="240" w:lineRule="atLeast"/>
        <w:ind w:firstLine="573"/>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第八节  修订与废止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符合以下情形之一的制度应当予以修订：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（一）制度缺失、不配套的；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（二）内容冲突，相互抵触的；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（三）与其他管理文件要求不一致，需要修订制度的；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（四）依据的法律法规、股东方规定已经调整变化的；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（五）管理机构、职责、权限、程序或要求已经发生变化的；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（六）规定落后于业务发展，内容老化的；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（七）内容虚化，操作性不够，难以执行的；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（八）其他经制度评价认为需要制定或修订的。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制度的修订按照制度的制定程序执行。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符合以下情形之一的制度应当予以废止：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（一）被新的制度取代的；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（二）制度规范的事项已不继续存在的；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（三）制度不符合实际而导致没有实际执行的；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（四）其他经制度评价认为需要废止的。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制度被新制度取代的，应在新制度中宣布废止；其他原因需废止制度的，应参照制定程序，由业务部门行文宣布废止。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制度归口管理部门每年应对当年废止的制度进行汇总统计，发布制度废止目录。</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楷体简体" w:eastAsia="方正楷体简体"/>
          <w:color w:val="auto"/>
          <w:sz w:val="28"/>
          <w:szCs w:val="28"/>
          <w:highlight w:val="none"/>
        </w:rPr>
      </w:pPr>
      <w:r>
        <w:rPr>
          <w:rFonts w:hint="eastAsia" w:ascii="方正楷体简体" w:eastAsia="方正楷体简体"/>
          <w:color w:val="auto"/>
          <w:sz w:val="28"/>
          <w:szCs w:val="28"/>
          <w:highlight w:val="none"/>
        </w:rPr>
        <w:t>第九节  归档与汇编</w:t>
      </w:r>
    </w:p>
    <w:p>
      <w:pPr>
        <w:keepNext w:val="0"/>
        <w:keepLines w:val="0"/>
        <w:pageBreakBefore w:val="0"/>
        <w:widowControl w:val="0"/>
        <w:kinsoku/>
        <w:wordWrap/>
        <w:overflowPunct/>
        <w:topLinePunct w:val="0"/>
        <w:autoSpaceDE/>
        <w:autoSpaceDN/>
        <w:bidi w:val="0"/>
        <w:adjustRightInd/>
        <w:snapToGrid/>
        <w:spacing w:line="560" w:lineRule="exact"/>
        <w:ind w:firstLine="576"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第四十</w:t>
      </w:r>
      <w:r>
        <w:rPr>
          <w:rFonts w:hint="eastAsia" w:ascii="方正仿宋简体" w:eastAsia="方正仿宋简体"/>
          <w:b/>
          <w:color w:val="auto"/>
          <w:sz w:val="28"/>
          <w:szCs w:val="28"/>
          <w:highlight w:val="none"/>
          <w:lang w:eastAsia="zh-CN"/>
        </w:rPr>
        <w:t>九</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已发布的制度均属于归档的范畴，由业务部门按公司关于档案管理的有关规定履行归档程序。</w:t>
      </w:r>
    </w:p>
    <w:p>
      <w:pPr>
        <w:keepNext w:val="0"/>
        <w:keepLines w:val="0"/>
        <w:pageBreakBefore w:val="0"/>
        <w:widowControl w:val="0"/>
        <w:kinsoku/>
        <w:wordWrap/>
        <w:overflowPunct/>
        <w:topLinePunct w:val="0"/>
        <w:autoSpaceDE/>
        <w:autoSpaceDN/>
        <w:bidi w:val="0"/>
        <w:adjustRightInd/>
        <w:snapToGrid/>
        <w:spacing w:line="560" w:lineRule="exact"/>
        <w:ind w:firstLine="576"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五十</w:t>
      </w:r>
      <w:r>
        <w:rPr>
          <w:rFonts w:hint="eastAsia" w:ascii="方正仿宋简体" w:eastAsia="方正仿宋简体"/>
          <w:b/>
          <w:color w:val="auto"/>
          <w:sz w:val="28"/>
          <w:szCs w:val="28"/>
          <w:highlight w:val="none"/>
        </w:rPr>
        <w:t xml:space="preserve">条  </w:t>
      </w:r>
      <w:r>
        <w:rPr>
          <w:rFonts w:hint="eastAsia" w:ascii="方正仿宋简体" w:eastAsia="方正仿宋简体"/>
          <w:color w:val="auto"/>
          <w:sz w:val="28"/>
          <w:szCs w:val="28"/>
          <w:highlight w:val="none"/>
        </w:rPr>
        <w:t>制度汇编的管理：</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（一）本办法所指制度汇编是对某一时间跨度内、一定范围内现行制度的总体情况的全面、客观反映；</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（二）制度汇编一般以年为单位，特殊情况下也可以采用其它时间跨度，但汇编时应予以说明；</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（三）制度汇编的组织按现行制度管理的权限与层级分级进行；</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（四）制度汇编由制度归口管理部门统一负责；其他业务部门根据工作需要开展了本办法所称制度汇编工作的，应及时向制度归口管理部门备案。</w:t>
      </w:r>
    </w:p>
    <w:p>
      <w:pPr>
        <w:keepNext w:val="0"/>
        <w:keepLines w:val="0"/>
        <w:pageBreakBefore w:val="0"/>
        <w:widowControl w:val="0"/>
        <w:kinsoku/>
        <w:wordWrap/>
        <w:overflowPunct/>
        <w:topLinePunct w:val="0"/>
        <w:autoSpaceDE/>
        <w:autoSpaceDN/>
        <w:bidi w:val="0"/>
        <w:adjustRightInd/>
        <w:snapToGrid/>
        <w:spacing w:line="560" w:lineRule="exact"/>
        <w:ind w:firstLine="576" w:firstLineChars="205"/>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公司归口管理部门应建立制度汇编门户专栏，并做好制度门户的建设和维护工作，及时上传正式发布的制度和删除已废止或失效的制度。</w:t>
      </w:r>
    </w:p>
    <w:p>
      <w:pPr>
        <w:keepNext w:val="0"/>
        <w:keepLines w:val="0"/>
        <w:pageBreakBefore w:val="0"/>
        <w:widowControl w:val="0"/>
        <w:kinsoku/>
        <w:wordWrap/>
        <w:overflowPunct/>
        <w:topLinePunct w:val="0"/>
        <w:autoSpaceDE/>
        <w:autoSpaceDN/>
        <w:bidi w:val="0"/>
        <w:adjustRightInd/>
        <w:snapToGrid/>
        <w:spacing w:line="560" w:lineRule="exact"/>
        <w:ind w:firstLine="574" w:firstLineChars="205"/>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第六章  编制规范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制度编制应当结构严谨、条理清晰、概念明确、文字简练规范、标点正确，体现应有的立制技术和文字水平。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三</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制度原则上按照 “管理办法”、“实施细则”命名，其规则如下：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（一）“管理办法”是对公司某一方面或某一专业业务领域管理工作作出的具有可操作性的规定和要求，简称“办法”；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（二）“实施细则”是为更好地贯彻股东或管理单位制订的管理制度，结合实际情况，对其所作的详细、具体的解释和补充，简称“细则”。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对试行、暂行制度应以“制度全称+（试行/暂行）”的形式进行命名，并按以下规定执行：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（一）制度具备现实需求的基础，但因立制条件或技术不完全成熟、需要在执行过程中加以探索、总结和完善的，可以“试行”的形式发布实施，但时效一般不得超过三年；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（二）制度具备现实需求的基础，但预计在执行过程中，立制依据、客观环境以及主要执行要求将发生较大变化的，可以“暂行”的形式发布实施，但时效一般不得超过两年。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制度实行统一的编制格式规范，原则上按下列要求进行：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（一）根据内容需要，可以分章、节、条、款、项、目。必要时，可以有封面、目录、注释、附录、附表、索引等附加部分；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章、节、条的序号用中文数字依次表述，如第一章、第一节、第一条等；款不编序号，不冠数字；项的序号用中文数字加括号依次表述，如（一）、（二）、（三）等；目的序号用阿拉伯数字依次表述，如1、2、3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（三）内容分条文书写，冠以“第某条”字样，每条应当包含一项规则，可以分设款、项、目。条、款、项、目均应当另起一行缩进二字书写。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方正黑体简体" w:hAnsi="华文中宋" w:eastAsia="方正黑体简体"/>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color w:val="auto"/>
          <w:sz w:val="30"/>
          <w:szCs w:val="30"/>
          <w:highlight w:val="none"/>
        </w:rPr>
      </w:pPr>
      <w:r>
        <w:rPr>
          <w:rFonts w:hint="eastAsia" w:ascii="方正黑体简体" w:hAnsi="华文中宋" w:eastAsia="方正黑体简体"/>
          <w:b w:val="0"/>
          <w:bCs w:val="0"/>
          <w:color w:val="auto"/>
          <w:sz w:val="30"/>
          <w:szCs w:val="30"/>
          <w:highlight w:val="none"/>
        </w:rPr>
        <w:t>第七章  制度实施</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 xml:space="preserve">条  </w:t>
      </w:r>
      <w:r>
        <w:rPr>
          <w:rFonts w:hint="eastAsia" w:ascii="方正仿宋简体" w:eastAsia="方正仿宋简体"/>
          <w:color w:val="auto"/>
          <w:sz w:val="28"/>
          <w:szCs w:val="28"/>
          <w:highlight w:val="none"/>
        </w:rPr>
        <w:t>制度颁发后，与制度实施有关的部门、单位和人员应当认真贯彻执行制度，严格按照制度的规定履行工作职责。各级领导干部应带头贯彻制度，带头遵守制度，促进制度的有效执行。</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制度颁发后，业务部门应当对与制度实施有关的部门、单位和人员进行宣贯或培训，使相关岗位人员掌握制度内容。</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 xml:space="preserve">条  </w:t>
      </w:r>
      <w:r>
        <w:rPr>
          <w:rFonts w:hint="eastAsia" w:ascii="方正仿宋简体" w:eastAsia="方正仿宋简体"/>
          <w:color w:val="auto"/>
          <w:sz w:val="28"/>
          <w:szCs w:val="28"/>
          <w:highlight w:val="none"/>
        </w:rPr>
        <w:t>公司机关各部门和所属单位应当将制度培训纳入年度培训计划项目，员工入职培训、业务培训时应当将制度作为培训内容。</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第五十</w:t>
      </w:r>
      <w:r>
        <w:rPr>
          <w:rFonts w:hint="eastAsia" w:ascii="方正仿宋简体" w:eastAsia="方正仿宋简体"/>
          <w:b/>
          <w:color w:val="auto"/>
          <w:sz w:val="28"/>
          <w:szCs w:val="28"/>
          <w:highlight w:val="none"/>
          <w:lang w:eastAsia="zh-CN"/>
        </w:rPr>
        <w:t>九</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有关制度实施的效力问题按以下规定执行：</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（一）适用效力不溯及以往的原则。对于新制度发布以前的有关问题，新制度并无当然的溯及力，有特殊规定的，从其规定；</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（二）适用新制度替代旧制度的原则。对于同一业务类型、同一事项的新旧制度，新的制度与旧的制度规定不一致的，适用新的制度。</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六十</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在改革重组工作中涉及组织机构和管理职责调整的，制度按以下方式处理：</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（一）单位（部门）之间发生合并重组的，被撤销单位（部门）的制度自撤销之日起失效，一律按保留单位或新单位制度规定执行；</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（二）对业务发生部分剥离、拆分、划转的，应对原有制度进行分类，不再从事的相关业务制度自重组之日起失效；</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（三）在以上重组工作中，属于新设立、吸收方的单位（部门）应根据重组后的业务管理实际，及时更新制度。</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制度执行过程中，有关部门和单位发现有冲突、遗漏、管理缺陷等问题，应当以书面形式及时向制度起草或管理部门提出。制度起草或管理部门应当组织研究，对制度存在的缺陷进行修订完善。</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制度实施过程中对有关问题的反馈和纠正按以下规定执行：</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（一）所属单位发现公司制度有问题的，应及时向相关部门反映，或通过本级制度归口管理部门统一向公司制度归口管理部门汇报，由公司制度归口管理部门与业务部门协商，加以纠正；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（二）公司各业务部门发现存在问题的，应及时向公司制度归口管理部门提出处理意见，经确认后加以纠正；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（三）制度归口管理部门发现存在问题的，应及时向业务部门反映并提出处理建议；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（四）制度归口管理部门或业务部门在收到反馈意见并经研究确认后，应及时处理。在处理期间，不影响制度的执行效力。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业务部门应当对制度建设和执行情况进行跟踪检查，将制度建设和执行情况作为工作考核、业绩评价的内容。内部审计、效能监察、内控测试以及其他专业检查可将相关制度的建设和执行情况作为检查内容。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制度建设和执行情况跟踪检查主要对制度是否建立、是否健全完善、是否存在缺陷以及是否得到有效执行、违规行为是否得到及时纠正等进行检查。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三</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对于发现违反制度规定的问题，按照违规责任追究有关规定追究责任人员责任。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第八章  评价与改进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四</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公司采取专业评价与综合评价相结合的方式以及定性、定量分析相结合的方法，组织开展制度年度评价工作。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五</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制度评价范围包括公司范围内的各项制度。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根据工作需要可选择特定专业领域进行专项制度评价。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六</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评价内容及标准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（一）设计层面：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1、系统性。规章制度是否配套完善、覆盖各项业务，是否与其他相关制度或管理文件存在重复、冲突；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2、合规性。规章制度依据的法律法规、股东管理规定是否有调整，是否符合职业道德规范的要求；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3、适用性。规章制度涉及的管理机构、职责、权限、程序或要求是否仍然适用，是否已发生变化；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4、先进性。规章制度是否符合管理规律、满足管理提升的需要，是否存在管理缺陷；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5、有效性。规章制度是否得到有效实施、是否满足执行要求。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（二）实施层面：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1、宣传贯彻情况。主要评价制度发布主体是否进行了必要的宣传、培训以及执行主体对制度的熟悉掌握程度等；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2、执行情况。主要评价制度的执行责任是否落实到位，相关要求是否得到严格执行，制度的控制与规范作用是否得到发挥，执行效果是否得到显现等；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3、监督与整改情况。主要评价制度的执行过程是否得到有效的监督，对已发生的与现行制度不相符的行为是否及时进行了纠正和整改等。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七</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制度年度评价工作由公司制度归口管理部门牵头组织开展，相关部门配合完成。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八</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制度年度评价工作结束以后，公司以及各单位应按照规定的统一模板，编制《制度年度评价报告》（以下简称《报告》）。内容必须包括但不仅限于以下四个方面：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（一）基本情况。包括评价的对象和范围，评价的标准和方式、方法，评价的组织等；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（二）评价结果。对制度年度建设与管理情况进行梳理，对包括制度新建、修订及废止、宣贯培训、设计质量、执行情况等方面的工作进行系统评价；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（三）问题分析。对现行制度设计及执行层面情况进行定性、定量分析，深刻剖析问题根源，提出具有针对性的改进措施和建议；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（四）改进工作安排。编制整改方案，对问题整改工作进行妥善安排，并落实责任部门、责任人及完成期限。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第六十</w:t>
      </w:r>
      <w:r>
        <w:rPr>
          <w:rFonts w:hint="eastAsia" w:ascii="方正仿宋简体" w:eastAsia="方正仿宋简体"/>
          <w:b/>
          <w:color w:val="auto"/>
          <w:sz w:val="28"/>
          <w:szCs w:val="28"/>
          <w:highlight w:val="none"/>
          <w:lang w:eastAsia="zh-CN"/>
        </w:rPr>
        <w:t>九</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公司机关各部门和所属单位通过制度评价，应当提出制度继续有效、新建、修订或废止的意见，结合管理需求形成下一年度制度建设立项（建议）计划。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第九章  监督与责任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w:t>
      </w:r>
      <w:r>
        <w:rPr>
          <w:rFonts w:hint="eastAsia" w:ascii="方正仿宋简体" w:eastAsia="方正仿宋简体"/>
          <w:b/>
          <w:color w:val="auto"/>
          <w:sz w:val="28"/>
          <w:szCs w:val="28"/>
          <w:highlight w:val="none"/>
          <w:lang w:eastAsia="zh-CN"/>
        </w:rPr>
        <w:t>七十</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公司将制度管理工作纳入公司年度考核指标体系，按照公司相关规定进行考核。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第七十</w:t>
      </w:r>
      <w:r>
        <w:rPr>
          <w:rFonts w:hint="eastAsia" w:ascii="方正仿宋简体" w:eastAsia="方正仿宋简体"/>
          <w:b/>
          <w:color w:val="auto"/>
          <w:sz w:val="28"/>
          <w:szCs w:val="28"/>
          <w:highlight w:val="none"/>
          <w:lang w:eastAsia="zh-CN"/>
        </w:rPr>
        <w:t>一</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违反本办法，有下列情形之一的，给予责任部门和单位通报批评；造成严重后果和不良社会影响的，按照违纪违规责任追究有关规定追究责任人员责任。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（一）违反程序、超越权限制定制度的；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（二）违反法律法规强制性规定的；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（三）未按规定履行制度制修订、宣贯培训、监督检查职责的；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（四）未按规定进行制度评价和改进的；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（五）违反本办法的其他行为。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华文中宋" w:eastAsia="方正黑体简体"/>
          <w:color w:val="auto"/>
          <w:sz w:val="30"/>
          <w:szCs w:val="30"/>
          <w:highlight w:val="none"/>
        </w:rPr>
      </w:pPr>
      <w:r>
        <w:rPr>
          <w:rFonts w:hint="eastAsia" w:ascii="方正黑体简体" w:hAnsi="华文中宋" w:eastAsia="方正黑体简体"/>
          <w:color w:val="auto"/>
          <w:sz w:val="30"/>
          <w:szCs w:val="30"/>
          <w:highlight w:val="none"/>
        </w:rPr>
        <w:t>第十章  附  则</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第七十</w:t>
      </w:r>
      <w:r>
        <w:rPr>
          <w:rFonts w:hint="eastAsia" w:ascii="方正仿宋简体" w:eastAsia="方正仿宋简体"/>
          <w:b/>
          <w:color w:val="auto"/>
          <w:sz w:val="28"/>
          <w:szCs w:val="28"/>
          <w:highlight w:val="none"/>
          <w:lang w:eastAsia="zh-CN"/>
        </w:rPr>
        <w:t>二</w:t>
      </w:r>
      <w:r>
        <w:rPr>
          <w:rFonts w:hint="eastAsia" w:ascii="方正仿宋简体" w:eastAsia="方正仿宋简体"/>
          <w:b/>
          <w:color w:val="auto"/>
          <w:sz w:val="28"/>
          <w:szCs w:val="28"/>
          <w:highlight w:val="none"/>
        </w:rPr>
        <w:t xml:space="preserve">条  </w:t>
      </w:r>
      <w:r>
        <w:rPr>
          <w:rFonts w:hint="eastAsia" w:ascii="方正仿宋简体" w:eastAsia="方正仿宋简体"/>
          <w:color w:val="auto"/>
          <w:sz w:val="28"/>
          <w:szCs w:val="28"/>
          <w:highlight w:val="none"/>
        </w:rPr>
        <w:t>本管理办法由公司</w:t>
      </w:r>
      <w:r>
        <w:rPr>
          <w:rFonts w:hint="eastAsia" w:ascii="方正仿宋简体" w:eastAsia="方正仿宋简体"/>
          <w:color w:val="auto"/>
          <w:sz w:val="28"/>
          <w:szCs w:val="28"/>
          <w:highlight w:val="none"/>
          <w:lang w:eastAsia="zh-CN"/>
        </w:rPr>
        <w:t>市场营销部</w:t>
      </w:r>
      <w:r>
        <w:rPr>
          <w:rFonts w:hint="eastAsia" w:ascii="方正仿宋简体" w:eastAsia="方正仿宋简体"/>
          <w:color w:val="auto"/>
          <w:sz w:val="28"/>
          <w:szCs w:val="28"/>
          <w:highlight w:val="none"/>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第七十</w:t>
      </w:r>
      <w:r>
        <w:rPr>
          <w:rFonts w:hint="eastAsia" w:ascii="方正仿宋简体" w:eastAsia="方正仿宋简体"/>
          <w:b/>
          <w:color w:val="auto"/>
          <w:sz w:val="28"/>
          <w:szCs w:val="28"/>
          <w:highlight w:val="none"/>
          <w:lang w:eastAsia="zh-CN"/>
        </w:rPr>
        <w:t>三</w:t>
      </w:r>
      <w:r>
        <w:rPr>
          <w:rFonts w:hint="eastAsia" w:ascii="方正仿宋简体" w:eastAsia="方正仿宋简体"/>
          <w:b/>
          <w:color w:val="auto"/>
          <w:sz w:val="28"/>
          <w:szCs w:val="28"/>
          <w:highlight w:val="none"/>
        </w:rPr>
        <w:t>条</w:t>
      </w:r>
      <w:r>
        <w:rPr>
          <w:rFonts w:hint="eastAsia" w:ascii="方正仿宋简体" w:eastAsia="方正仿宋简体"/>
          <w:color w:val="auto"/>
          <w:sz w:val="28"/>
          <w:szCs w:val="28"/>
          <w:highlight w:val="none"/>
        </w:rPr>
        <w:t xml:space="preserve">  本管理办法自发布之日起施行。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573"/>
        <w:textAlignment w:val="auto"/>
        <w:outlineLvl w:val="9"/>
        <w:rPr>
          <w:rFonts w:hint="eastAsia" w:ascii="方正仿宋简体" w:eastAsia="方正仿宋简体"/>
          <w:color w:val="auto"/>
          <w:sz w:val="28"/>
          <w:szCs w:val="28"/>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98" w:leftChars="237" w:firstLine="0" w:firstLineChars="0"/>
        <w:jc w:val="both"/>
        <w:textAlignment w:val="auto"/>
        <w:outlineLvl w:val="9"/>
        <w:rPr>
          <w:rFonts w:hint="eastAsia" w:ascii="方正仿宋简体" w:eastAsia="方正仿宋简体"/>
          <w:color w:val="auto"/>
          <w:spacing w:val="-20"/>
          <w:sz w:val="28"/>
          <w:szCs w:val="28"/>
          <w:highlight w:val="none"/>
        </w:rPr>
      </w:pPr>
      <w:r>
        <w:rPr>
          <w:rFonts w:hint="eastAsia" w:ascii="方正仿宋简体" w:eastAsia="方正仿宋简体"/>
          <w:color w:val="auto"/>
          <w:spacing w:val="-20"/>
          <w:sz w:val="28"/>
          <w:szCs w:val="28"/>
          <w:highlight w:val="none"/>
          <w:lang w:val="en-US" w:eastAsia="zh-CN"/>
        </w:rPr>
        <w:t>附件：1.</w:t>
      </w:r>
      <w:r>
        <w:rPr>
          <w:rFonts w:hint="eastAsia" w:ascii="方正仿宋简体" w:eastAsia="方正仿宋简体"/>
          <w:color w:val="auto"/>
          <w:spacing w:val="-20"/>
          <w:sz w:val="28"/>
          <w:szCs w:val="28"/>
          <w:highlight w:val="none"/>
        </w:rPr>
        <w:t>中油南充燃气有限责任公司规章制度建设立项（建议）计划申报表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59" w:leftChars="266"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w:t>
      </w:r>
      <w:r>
        <w:rPr>
          <w:rFonts w:hint="eastAsia" w:ascii="方正仿宋简体" w:eastAsia="方正仿宋简体"/>
          <w:color w:val="auto"/>
          <w:spacing w:val="-20"/>
          <w:sz w:val="28"/>
          <w:szCs w:val="28"/>
          <w:highlight w:val="none"/>
        </w:rPr>
        <w:t>中油南充</w:t>
      </w:r>
      <w:r>
        <w:rPr>
          <w:rFonts w:hint="eastAsia" w:ascii="方正仿宋简体" w:eastAsia="方正仿宋简体"/>
          <w:color w:val="auto"/>
          <w:sz w:val="28"/>
          <w:szCs w:val="28"/>
          <w:highlight w:val="none"/>
        </w:rPr>
        <w:t>燃气有限责任公司规章制度建设计划调整申请表</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w:t>
      </w:r>
      <w:r>
        <w:rPr>
          <w:rFonts w:hint="eastAsia" w:ascii="方正仿宋简体" w:eastAsia="方正仿宋简体"/>
          <w:color w:val="auto"/>
          <w:spacing w:val="-20"/>
          <w:sz w:val="28"/>
          <w:szCs w:val="28"/>
          <w:highlight w:val="none"/>
        </w:rPr>
        <w:t>中油南充</w:t>
      </w:r>
      <w:r>
        <w:rPr>
          <w:rFonts w:hint="eastAsia" w:ascii="方正仿宋简体" w:eastAsia="方正仿宋简体"/>
          <w:color w:val="auto"/>
          <w:sz w:val="28"/>
          <w:szCs w:val="28"/>
          <w:highlight w:val="none"/>
        </w:rPr>
        <w:t>燃气有限责任公司规章制度审查会签单</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560" w:firstLineChars="200"/>
        <w:jc w:val="both"/>
        <w:textAlignment w:val="auto"/>
        <w:outlineLvl w:val="9"/>
        <w:rPr>
          <w:rFonts w:ascii="仿宋_GB2312" w:eastAsia="仿宋_GB2312"/>
          <w:color w:val="auto"/>
          <w:sz w:val="28"/>
          <w:szCs w:val="28"/>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titlePg/>
          <w:docGrid w:type="lines" w:linePitch="288" w:charSpace="0"/>
        </w:sectPr>
      </w:pPr>
      <w:r>
        <w:rPr>
          <w:rFonts w:hint="eastAsia" w:ascii="方正仿宋简体" w:eastAsia="方正仿宋简体"/>
          <w:color w:val="auto"/>
          <w:sz w:val="28"/>
          <w:szCs w:val="28"/>
          <w:highlight w:val="none"/>
        </w:rPr>
        <w:t>4.</w:t>
      </w:r>
      <w:r>
        <w:rPr>
          <w:rFonts w:hint="eastAsia" w:ascii="方正仿宋简体" w:eastAsia="方正仿宋简体"/>
          <w:color w:val="auto"/>
          <w:spacing w:val="-20"/>
          <w:sz w:val="28"/>
          <w:szCs w:val="28"/>
          <w:highlight w:val="none"/>
        </w:rPr>
        <w:t>中油南充</w:t>
      </w:r>
      <w:r>
        <w:rPr>
          <w:rFonts w:hint="eastAsia" w:ascii="方正仿宋简体" w:eastAsia="方正仿宋简体"/>
          <w:color w:val="auto"/>
          <w:sz w:val="28"/>
          <w:szCs w:val="28"/>
          <w:highlight w:val="none"/>
        </w:rPr>
        <w:t>燃气有限责任公司规章制度格式</w:t>
      </w:r>
    </w:p>
    <w:p>
      <w:pPr>
        <w:rPr>
          <w:rFonts w:hint="eastAsia" w:ascii="方正黑体简体" w:hAnsi="方正黑体简体" w:eastAsia="方正黑体简体" w:cs="方正黑体简体"/>
          <w:color w:val="auto"/>
          <w:sz w:val="32"/>
          <w:szCs w:val="32"/>
          <w:highlight w:val="none"/>
          <w:lang w:val="en-US" w:eastAsia="zh-CN"/>
        </w:rPr>
      </w:pPr>
      <w:bookmarkStart w:id="796" w:name="_1514120444"/>
      <w:bookmarkEnd w:id="796"/>
      <w:bookmarkStart w:id="797" w:name="_1512807663"/>
      <w:bookmarkEnd w:id="797"/>
      <w:bookmarkStart w:id="798" w:name="_1512807800"/>
      <w:bookmarkEnd w:id="798"/>
      <w:bookmarkStart w:id="799" w:name="_1513084183"/>
      <w:bookmarkEnd w:id="799"/>
      <w:bookmarkStart w:id="800" w:name="_1513408771"/>
      <w:bookmarkEnd w:id="800"/>
      <w:bookmarkStart w:id="801" w:name="_1513408704"/>
      <w:bookmarkEnd w:id="801"/>
      <w:r>
        <w:rPr>
          <w:rFonts w:hint="eastAsia" w:ascii="方正黑体简体" w:hAnsi="方正黑体简体" w:eastAsia="方正黑体简体" w:cs="方正黑体简体"/>
          <w:color w:val="auto"/>
          <w:sz w:val="32"/>
          <w:szCs w:val="32"/>
          <w:highlight w:val="none"/>
          <w:lang w:eastAsia="zh-CN"/>
        </w:rPr>
        <w:t>附件</w:t>
      </w:r>
      <w:r>
        <w:rPr>
          <w:rFonts w:hint="eastAsia" w:ascii="方正黑体简体" w:hAnsi="方正黑体简体" w:eastAsia="方正黑体简体" w:cs="方正黑体简体"/>
          <w:color w:val="auto"/>
          <w:sz w:val="32"/>
          <w:szCs w:val="32"/>
          <w:highlight w:val="none"/>
          <w:lang w:val="en-US" w:eastAsia="zh-CN"/>
        </w:rPr>
        <w:t>1</w:t>
      </w:r>
    </w:p>
    <w:tbl>
      <w:tblPr>
        <w:tblStyle w:val="51"/>
        <w:tblW w:w="13980" w:type="dxa"/>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0"/>
        <w:gridCol w:w="826"/>
        <w:gridCol w:w="1874"/>
        <w:gridCol w:w="964"/>
        <w:gridCol w:w="1363"/>
        <w:gridCol w:w="648"/>
        <w:gridCol w:w="1790"/>
        <w:gridCol w:w="1970"/>
        <w:gridCol w:w="1005"/>
        <w:gridCol w:w="937"/>
        <w:gridCol w:w="1295"/>
        <w:gridCol w:w="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方正小标宋简体" w:hAnsi="方正小标宋简体" w:eastAsia="方正小标宋简体"/>
                <w:b/>
                <w:color w:val="auto"/>
                <w:sz w:val="24"/>
              </w:rPr>
            </w:pPr>
            <w:r>
              <w:rPr>
                <w:rFonts w:hint="eastAsia" w:ascii="方正小标宋简体" w:hAnsi="方正小标宋简体" w:eastAsia="方正小标宋简体"/>
                <w:b/>
                <w:color w:val="auto"/>
                <w:sz w:val="24"/>
              </w:rPr>
              <w:t>中油南充燃气有限责任公司</w:t>
            </w:r>
            <w:r>
              <w:rPr>
                <w:rFonts w:hint="eastAsia" w:ascii="宋体" w:hAnsi="宋体"/>
                <w:b/>
                <w:color w:val="auto"/>
                <w:sz w:val="24"/>
              </w:rPr>
              <w:t>××××</w:t>
            </w:r>
            <w:r>
              <w:rPr>
                <w:rFonts w:hint="eastAsia" w:ascii="方正小标宋简体" w:hAnsi="方正小标宋简体" w:eastAsia="方正小标宋简体"/>
                <w:b/>
                <w:color w:val="auto"/>
                <w:sz w:val="24"/>
              </w:rPr>
              <w:t>年规章制度建设立项（建议）计划申报表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2" w:hRule="atLeast"/>
        </w:trPr>
        <w:tc>
          <w:tcPr>
            <w:tcW w:w="3430" w:type="dxa"/>
            <w:gridSpan w:val="3"/>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left"/>
              <w:rPr>
                <w:rFonts w:hint="eastAsia" w:ascii="黑体" w:hAnsi="黑体" w:eastAsia="黑体"/>
                <w:color w:val="auto"/>
                <w:sz w:val="20"/>
              </w:rPr>
            </w:pPr>
            <w:r>
              <w:rPr>
                <w:rFonts w:hint="eastAsia" w:ascii="黑体" w:hAnsi="黑体" w:eastAsia="黑体"/>
                <w:color w:val="auto"/>
                <w:sz w:val="20"/>
              </w:rPr>
              <w:t xml:space="preserve">   申报单位（部室）名称：</w:t>
            </w:r>
          </w:p>
        </w:tc>
        <w:tc>
          <w:tcPr>
            <w:tcW w:w="964" w:type="dxa"/>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center"/>
              <w:rPr>
                <w:rFonts w:hint="eastAsia" w:ascii="黑体" w:hAnsi="黑体" w:eastAsia="黑体"/>
                <w:color w:val="auto"/>
                <w:sz w:val="20"/>
              </w:rPr>
            </w:pPr>
          </w:p>
        </w:tc>
        <w:tc>
          <w:tcPr>
            <w:tcW w:w="1363" w:type="dxa"/>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right"/>
              <w:rPr>
                <w:rFonts w:hint="eastAsia" w:ascii="黑体" w:hAnsi="黑体" w:eastAsia="黑体"/>
                <w:color w:val="auto"/>
                <w:sz w:val="20"/>
              </w:rPr>
            </w:pPr>
          </w:p>
        </w:tc>
        <w:tc>
          <w:tcPr>
            <w:tcW w:w="648" w:type="dxa"/>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right"/>
              <w:rPr>
                <w:rFonts w:hint="eastAsia" w:ascii="黑体" w:hAnsi="黑体" w:eastAsia="黑体"/>
                <w:color w:val="auto"/>
                <w:sz w:val="20"/>
              </w:rPr>
            </w:pPr>
          </w:p>
        </w:tc>
        <w:tc>
          <w:tcPr>
            <w:tcW w:w="1790" w:type="dxa"/>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right"/>
              <w:rPr>
                <w:rFonts w:hint="eastAsia" w:ascii="黑体" w:hAnsi="黑体" w:eastAsia="黑体"/>
                <w:color w:val="auto"/>
                <w:sz w:val="20"/>
              </w:rPr>
            </w:pPr>
          </w:p>
        </w:tc>
        <w:tc>
          <w:tcPr>
            <w:tcW w:w="5785" w:type="dxa"/>
            <w:gridSpan w:val="5"/>
            <w:tcBorders>
              <w:top w:val="single" w:color="000000" w:sz="2" w:space="0"/>
              <w:left w:val="single" w:color="000000" w:sz="2" w:space="0"/>
              <w:bottom w:val="single" w:color="auto" w:sz="6" w:space="0"/>
              <w:right w:val="single" w:color="000000" w:sz="2" w:space="0"/>
              <w:tl2br w:val="nil"/>
              <w:tr2bl w:val="nil"/>
            </w:tcBorders>
            <w:vAlign w:val="top"/>
          </w:tcPr>
          <w:p>
            <w:pPr>
              <w:spacing w:beforeLines="0" w:afterLines="0"/>
              <w:jc w:val="center"/>
              <w:rPr>
                <w:rFonts w:hint="eastAsia" w:ascii="黑体" w:hAnsi="黑体" w:eastAsia="黑体"/>
                <w:color w:val="auto"/>
                <w:sz w:val="20"/>
              </w:rPr>
            </w:pPr>
            <w:r>
              <w:rPr>
                <w:rFonts w:hint="eastAsia" w:ascii="黑体" w:hAnsi="黑体" w:eastAsia="黑体"/>
                <w:color w:val="auto"/>
                <w:sz w:val="20"/>
              </w:rPr>
              <w:t>填报时间：</w:t>
            </w:r>
            <w:r>
              <w:rPr>
                <w:rFonts w:hint="default" w:ascii="Times New Roman" w:hAnsi="Times New Roman" w:eastAsia="Times New Roman"/>
                <w:color w:val="auto"/>
                <w:sz w:val="20"/>
              </w:rPr>
              <w:t xml:space="preserve">       </w:t>
            </w:r>
            <w:r>
              <w:rPr>
                <w:rFonts w:hint="eastAsia" w:ascii="黑体" w:hAnsi="黑体" w:eastAsia="黑体"/>
                <w:color w:val="auto"/>
                <w:sz w:val="20"/>
              </w:rPr>
              <w:t>年</w:t>
            </w:r>
            <w:r>
              <w:rPr>
                <w:rFonts w:hint="default" w:ascii="Times New Roman" w:hAnsi="Times New Roman" w:eastAsia="Times New Roman"/>
                <w:color w:val="auto"/>
                <w:sz w:val="20"/>
              </w:rPr>
              <w:t xml:space="preserve">    </w:t>
            </w:r>
            <w:r>
              <w:rPr>
                <w:rFonts w:hint="eastAsia" w:ascii="黑体" w:hAnsi="黑体" w:eastAsia="黑体"/>
                <w:color w:val="auto"/>
                <w:sz w:val="20"/>
              </w:rPr>
              <w:t>月</w:t>
            </w:r>
            <w:r>
              <w:rPr>
                <w:rFonts w:hint="default" w:ascii="Times New Roman" w:hAnsi="Times New Roman" w:eastAsia="Times New Roman"/>
                <w:color w:val="auto"/>
                <w:sz w:val="20"/>
              </w:rPr>
              <w:t xml:space="preserve">    </w:t>
            </w:r>
            <w:r>
              <w:rPr>
                <w:rFonts w:hint="eastAsia" w:ascii="黑体" w:hAnsi="黑体" w:eastAsia="黑体"/>
                <w:color w:val="auto"/>
                <w:sz w:val="20"/>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6" w:hRule="atLeast"/>
        </w:trPr>
        <w:tc>
          <w:tcPr>
            <w:tcW w:w="730"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both"/>
              <w:rPr>
                <w:rFonts w:hint="eastAsia" w:ascii="黑体" w:hAnsi="黑体" w:eastAsia="黑体"/>
                <w:color w:val="auto"/>
                <w:sz w:val="16"/>
              </w:rPr>
            </w:pPr>
            <w:r>
              <w:rPr>
                <w:rFonts w:hint="eastAsia" w:ascii="黑体" w:hAnsi="黑体" w:eastAsia="黑体"/>
                <w:color w:val="auto"/>
                <w:sz w:val="16"/>
              </w:rPr>
              <w:t>序号</w:t>
            </w:r>
          </w:p>
        </w:tc>
        <w:tc>
          <w:tcPr>
            <w:tcW w:w="826"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计划    类别</w:t>
            </w:r>
          </w:p>
        </w:tc>
        <w:tc>
          <w:tcPr>
            <w:tcW w:w="1874"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计划项目</w:t>
            </w:r>
          </w:p>
        </w:tc>
        <w:tc>
          <w:tcPr>
            <w:tcW w:w="964"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制度性质</w:t>
            </w:r>
          </w:p>
        </w:tc>
        <w:tc>
          <w:tcPr>
            <w:tcW w:w="1363"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发布层级</w:t>
            </w:r>
          </w:p>
        </w:tc>
        <w:tc>
          <w:tcPr>
            <w:tcW w:w="648"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有效   期限</w:t>
            </w:r>
          </w:p>
        </w:tc>
        <w:tc>
          <w:tcPr>
            <w:tcW w:w="1790"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制度主要内容摘要</w:t>
            </w:r>
          </w:p>
        </w:tc>
        <w:tc>
          <w:tcPr>
            <w:tcW w:w="1970"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检查标准与工作要求</w:t>
            </w:r>
          </w:p>
        </w:tc>
        <w:tc>
          <w:tcPr>
            <w:tcW w:w="1005"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适用范围</w:t>
            </w:r>
          </w:p>
        </w:tc>
        <w:tc>
          <w:tcPr>
            <w:tcW w:w="937"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承办人</w:t>
            </w:r>
          </w:p>
        </w:tc>
        <w:tc>
          <w:tcPr>
            <w:tcW w:w="1295"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计划完成时间</w:t>
            </w:r>
          </w:p>
        </w:tc>
        <w:tc>
          <w:tcPr>
            <w:tcW w:w="578" w:type="dxa"/>
            <w:tcBorders>
              <w:top w:val="single" w:color="auto" w:sz="6" w:space="0"/>
              <w:left w:val="single" w:color="auto" w:sz="6" w:space="0"/>
              <w:bottom w:val="single" w:color="auto" w:sz="6" w:space="0"/>
              <w:right w:val="single" w:color="auto" w:sz="6" w:space="0"/>
              <w:tl2br w:val="nil"/>
              <w:tr2bl w:val="nil"/>
            </w:tcBorders>
            <w:shd w:val="solid" w:color="C0C0C0" w:fill="auto"/>
            <w:vAlign w:val="top"/>
          </w:tcPr>
          <w:p>
            <w:pPr>
              <w:spacing w:beforeLines="0" w:afterLines="0"/>
              <w:jc w:val="center"/>
              <w:rPr>
                <w:rFonts w:hint="eastAsia" w:ascii="黑体" w:hAnsi="黑体" w:eastAsia="黑体"/>
                <w:color w:val="auto"/>
                <w:sz w:val="16"/>
              </w:rPr>
            </w:pPr>
            <w:r>
              <w:rPr>
                <w:rFonts w:hint="eastAsia" w:ascii="黑体" w:hAnsi="黑体" w:eastAsia="黑体"/>
                <w:color w:val="auto"/>
                <w:sz w:val="16"/>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0" w:hRule="atLeast"/>
        </w:trPr>
        <w:tc>
          <w:tcPr>
            <w:tcW w:w="7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82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187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仿宋_GB2312" w:hAnsi="仿宋_GB2312" w:eastAsia="仿宋_GB2312"/>
                <w:color w:val="auto"/>
                <w:sz w:val="16"/>
              </w:rPr>
            </w:pPr>
          </w:p>
        </w:tc>
        <w:tc>
          <w:tcPr>
            <w:tcW w:w="96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1363"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仿宋_GB2312" w:hAnsi="仿宋_GB2312" w:eastAsia="仿宋_GB2312"/>
                <w:color w:val="auto"/>
                <w:sz w:val="16"/>
              </w:rPr>
            </w:pPr>
          </w:p>
        </w:tc>
        <w:tc>
          <w:tcPr>
            <w:tcW w:w="64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179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仿宋_GB2312" w:hAnsi="仿宋_GB2312" w:eastAsia="仿宋_GB2312"/>
                <w:color w:val="auto"/>
                <w:sz w:val="16"/>
              </w:rPr>
            </w:pPr>
          </w:p>
        </w:tc>
        <w:tc>
          <w:tcPr>
            <w:tcW w:w="197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仿宋_GB2312" w:hAnsi="仿宋_GB2312" w:eastAsia="仿宋_GB2312"/>
                <w:color w:val="auto"/>
                <w:sz w:val="16"/>
              </w:rPr>
            </w:pPr>
          </w:p>
        </w:tc>
        <w:tc>
          <w:tcPr>
            <w:tcW w:w="100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仿宋_GB2312" w:hAnsi="仿宋_GB2312" w:eastAsia="仿宋_GB2312"/>
                <w:color w:val="auto"/>
                <w:sz w:val="16"/>
              </w:rPr>
            </w:pPr>
          </w:p>
        </w:tc>
        <w:tc>
          <w:tcPr>
            <w:tcW w:w="937"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129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c>
          <w:tcPr>
            <w:tcW w:w="57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仿宋_GB2312" w:hAnsi="仿宋_GB2312" w:eastAsia="仿宋_GB2312"/>
                <w:color w:val="auto"/>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0" w:hRule="atLeast"/>
        </w:trPr>
        <w:tc>
          <w:tcPr>
            <w:tcW w:w="7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82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87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96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363"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64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79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97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00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937"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29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57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right"/>
              <w:rPr>
                <w:rFonts w:hint="eastAsia" w:ascii="宋体" w:hAnsi="宋体"/>
                <w:color w:val="auto"/>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0" w:hRule="atLeast"/>
        </w:trPr>
        <w:tc>
          <w:tcPr>
            <w:tcW w:w="7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826"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87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964"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363"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64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79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97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00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937"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1295"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16"/>
              </w:rPr>
            </w:pPr>
          </w:p>
        </w:tc>
        <w:tc>
          <w:tcPr>
            <w:tcW w:w="578"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right"/>
              <w:rPr>
                <w:rFonts w:hint="eastAsia" w:ascii="宋体" w:hAnsi="宋体"/>
                <w:color w:val="auto"/>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9" w:hRule="atLeast"/>
        </w:trPr>
        <w:tc>
          <w:tcPr>
            <w:tcW w:w="730"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826"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1874"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964"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1363"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648" w:type="dxa"/>
            <w:tcBorders>
              <w:top w:val="single" w:color="auto" w:sz="6"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6997" w:type="dxa"/>
            <w:gridSpan w:val="5"/>
            <w:tcBorders>
              <w:top w:val="single" w:color="auto" w:sz="6" w:space="0"/>
              <w:left w:val="single" w:color="000000" w:sz="2" w:space="0"/>
              <w:bottom w:val="single" w:color="000000" w:sz="2" w:space="0"/>
              <w:right w:val="nil"/>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单位（部门）领导签字（盖章）：</w:t>
            </w:r>
          </w:p>
        </w:tc>
        <w:tc>
          <w:tcPr>
            <w:tcW w:w="578" w:type="dxa"/>
            <w:tcBorders>
              <w:top w:val="single" w:color="auto" w:sz="6" w:space="0"/>
              <w:left w:val="nil"/>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0165" w:type="dxa"/>
            <w:gridSpan w:val="8"/>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填写说明：1.申报内容应认真填写，填写内容应保证真实、准确、规范、全面。</w:t>
            </w: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2.计划类别”栏分为：新建、修订。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3.“计划项目”栏应填写计划新建、修订和废止的制度名称。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4.“制度性质”栏分为：公司文件，所属单位文件，部室文件。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8195" w:type="dxa"/>
            <w:gridSpan w:val="7"/>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5.“发布层级”栏分为：总经理办公会审议发布，公司分管领导签发，所属单位领导签发。</w:t>
            </w:r>
          </w:p>
        </w:tc>
        <w:tc>
          <w:tcPr>
            <w:tcW w:w="197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8195" w:type="dxa"/>
            <w:gridSpan w:val="7"/>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6.“有效期限”栏分为：长期（有效期在3年以上）；短期（各类暂行、试行制度）。</w:t>
            </w:r>
          </w:p>
        </w:tc>
        <w:tc>
          <w:tcPr>
            <w:tcW w:w="197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7.“制度主要内容摘要”应根据制度规范的内容进行简要概述。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8.“检查标准与工作要求”需提出该项制度执行的有关要求。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4394" w:type="dxa"/>
            <w:gridSpan w:val="4"/>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9.“适用范围”填写制度预计施行的范围。</w:t>
            </w:r>
          </w:p>
        </w:tc>
        <w:tc>
          <w:tcPr>
            <w:tcW w:w="1363"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648"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79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97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5757" w:type="dxa"/>
            <w:gridSpan w:val="5"/>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10.“承办人”需填写该项制度计划具体经办员工。</w:t>
            </w:r>
          </w:p>
        </w:tc>
        <w:tc>
          <w:tcPr>
            <w:tcW w:w="648"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79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970"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trPr>
        <w:tc>
          <w:tcPr>
            <w:tcW w:w="10165" w:type="dxa"/>
            <w:gridSpan w:val="8"/>
            <w:tcBorders>
              <w:top w:val="single" w:color="000000" w:sz="2" w:space="0"/>
              <w:left w:val="single" w:color="000000" w:sz="2" w:space="0"/>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FF0000"/>
                <w:sz w:val="18"/>
                <w:szCs w:val="18"/>
              </w:rPr>
              <w:t xml:space="preserve">          </w:t>
            </w:r>
            <w:r>
              <w:rPr>
                <w:rFonts w:hint="eastAsia" w:ascii="华文仿宋" w:hAnsi="华文仿宋" w:eastAsia="华文仿宋"/>
                <w:color w:val="auto"/>
                <w:sz w:val="18"/>
                <w:szCs w:val="18"/>
              </w:rPr>
              <w:t>11.“备注”栏填写一些例外事项，如：是否联合发文、制度可能根据上级安排进行调整以及其他事项等。</w:t>
            </w:r>
          </w:p>
        </w:tc>
        <w:tc>
          <w:tcPr>
            <w:tcW w:w="100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937"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1295" w:type="dxa"/>
            <w:tcBorders>
              <w:top w:val="single" w:color="000000" w:sz="2" w:space="0"/>
              <w:left w:val="nil"/>
              <w:bottom w:val="single" w:color="000000" w:sz="2" w:space="0"/>
              <w:right w:val="nil"/>
              <w:tl2br w:val="nil"/>
              <w:tr2bl w:val="nil"/>
            </w:tcBorders>
            <w:vAlign w:val="top"/>
          </w:tcPr>
          <w:p>
            <w:pPr>
              <w:spacing w:beforeLines="0" w:afterLines="0"/>
              <w:jc w:val="left"/>
              <w:rPr>
                <w:rFonts w:hint="eastAsia" w:ascii="华文仿宋" w:hAnsi="华文仿宋" w:eastAsia="华文仿宋"/>
                <w:color w:val="auto"/>
                <w:sz w:val="18"/>
                <w:szCs w:val="18"/>
              </w:rPr>
            </w:pPr>
          </w:p>
        </w:tc>
        <w:tc>
          <w:tcPr>
            <w:tcW w:w="578" w:type="dxa"/>
            <w:tcBorders>
              <w:top w:val="single" w:color="000000" w:sz="2" w:space="0"/>
              <w:left w:val="nil"/>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1" w:hRule="atLeast"/>
        </w:trPr>
        <w:tc>
          <w:tcPr>
            <w:tcW w:w="13980" w:type="dxa"/>
            <w:gridSpan w:val="12"/>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left"/>
              <w:rPr>
                <w:rFonts w:hint="eastAsia" w:ascii="华文仿宋" w:hAnsi="华文仿宋" w:eastAsia="华文仿宋"/>
                <w:color w:val="auto"/>
                <w:sz w:val="18"/>
                <w:szCs w:val="18"/>
              </w:rPr>
            </w:pPr>
            <w:r>
              <w:rPr>
                <w:rFonts w:hint="eastAsia" w:ascii="华文仿宋" w:hAnsi="华文仿宋" w:eastAsia="华文仿宋"/>
                <w:color w:val="auto"/>
                <w:sz w:val="18"/>
                <w:szCs w:val="18"/>
              </w:rPr>
              <w:t xml:space="preserve">          12.请于      年       月     日前报企管法规部。联系人：</w:t>
            </w:r>
          </w:p>
        </w:tc>
      </w:tr>
    </w:tbl>
    <w:p>
      <w:pPr>
        <w:rPr>
          <w:rFonts w:ascii="仿宋_GB2312" w:eastAsia="仿宋_GB2312"/>
          <w:color w:val="auto"/>
          <w:sz w:val="28"/>
          <w:szCs w:val="28"/>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titlePg/>
          <w:docGrid w:type="lines" w:linePitch="288" w:charSpace="0"/>
        </w:sectPr>
      </w:pPr>
    </w:p>
    <w:tbl>
      <w:tblPr>
        <w:tblStyle w:val="51"/>
        <w:tblW w:w="8560" w:type="dxa"/>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0"/>
        <w:gridCol w:w="2230"/>
        <w:gridCol w:w="2230"/>
        <w:gridCol w:w="1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5" w:hRule="atLeast"/>
        </w:trPr>
        <w:tc>
          <w:tcPr>
            <w:tcW w:w="8560" w:type="dxa"/>
            <w:gridSpan w:val="4"/>
            <w:tcBorders>
              <w:top w:val="nil"/>
              <w:left w:val="nil"/>
              <w:bottom w:val="single" w:color="000000" w:sz="4" w:space="0"/>
              <w:right w:val="nil"/>
              <w:tl2br w:val="nil"/>
              <w:tr2bl w:val="nil"/>
            </w:tcBorders>
            <w:vAlign w:val="top"/>
          </w:tcPr>
          <w:p>
            <w:pPr>
              <w:spacing w:beforeLines="0" w:afterLines="0"/>
              <w:jc w:val="left"/>
              <w:rPr>
                <w:rFonts w:hint="eastAsia" w:ascii="方正黑体简体" w:hAnsi="方正黑体简体" w:eastAsia="方正黑体简体" w:cs="方正黑体简体"/>
                <w:color w:val="auto"/>
                <w:sz w:val="32"/>
                <w:szCs w:val="32"/>
              </w:rPr>
            </w:pPr>
            <w:bookmarkStart w:id="802" w:name="_1512807822"/>
            <w:bookmarkEnd w:id="802"/>
            <w:bookmarkStart w:id="803" w:name="_1512807547"/>
            <w:bookmarkEnd w:id="803"/>
            <w:bookmarkStart w:id="804" w:name="_1512807905"/>
            <w:bookmarkEnd w:id="804"/>
            <w:bookmarkStart w:id="805" w:name="_1512807947"/>
            <w:bookmarkEnd w:id="805"/>
            <w:bookmarkStart w:id="806" w:name="_1512807868"/>
            <w:bookmarkEnd w:id="806"/>
            <w:bookmarkStart w:id="807" w:name="_1513412555"/>
            <w:bookmarkEnd w:id="807"/>
            <w:bookmarkStart w:id="808" w:name="_1513412917"/>
            <w:bookmarkEnd w:id="808"/>
            <w:bookmarkStart w:id="809" w:name="_1489498052"/>
            <w:bookmarkEnd w:id="809"/>
            <w:bookmarkStart w:id="810" w:name="_1513412704"/>
            <w:bookmarkEnd w:id="810"/>
            <w:bookmarkStart w:id="811" w:name="_1512807357"/>
            <w:bookmarkEnd w:id="811"/>
            <w:bookmarkStart w:id="812" w:name="_1512807836"/>
            <w:bookmarkEnd w:id="812"/>
            <w:bookmarkStart w:id="813" w:name="_1513766349"/>
            <w:bookmarkEnd w:id="813"/>
            <w:bookmarkStart w:id="814" w:name="_1513412676"/>
            <w:bookmarkEnd w:id="814"/>
            <w:bookmarkStart w:id="815" w:name="_1512807999"/>
            <w:bookmarkEnd w:id="815"/>
            <w:bookmarkStart w:id="816" w:name="_1514182949"/>
            <w:bookmarkEnd w:id="816"/>
            <w:bookmarkStart w:id="817" w:name="_1512808085"/>
            <w:bookmarkEnd w:id="817"/>
            <w:bookmarkStart w:id="818" w:name="_1512808054"/>
            <w:bookmarkEnd w:id="818"/>
            <w:bookmarkStart w:id="819" w:name="_1513084227"/>
            <w:bookmarkEnd w:id="819"/>
            <w:bookmarkStart w:id="820" w:name="_1512807400"/>
            <w:bookmarkEnd w:id="820"/>
            <w:bookmarkStart w:id="821" w:name="_1513766320"/>
            <w:bookmarkEnd w:id="821"/>
            <w:bookmarkStart w:id="822" w:name="_1513766325"/>
            <w:bookmarkEnd w:id="822"/>
            <w:bookmarkStart w:id="823" w:name="_1513766377"/>
            <w:bookmarkEnd w:id="823"/>
            <w:bookmarkStart w:id="824" w:name="_1514203804"/>
            <w:bookmarkEnd w:id="824"/>
            <w:r>
              <w:rPr>
                <w:rFonts w:hint="eastAsia" w:ascii="方正黑体简体" w:hAnsi="方正黑体简体" w:eastAsia="方正黑体简体" w:cs="方正黑体简体"/>
                <w:color w:val="auto"/>
                <w:sz w:val="32"/>
                <w:szCs w:val="32"/>
              </w:rPr>
              <w:t>附件2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5" w:hRule="atLeast"/>
        </w:trPr>
        <w:tc>
          <w:tcPr>
            <w:tcW w:w="8560" w:type="dxa"/>
            <w:gridSpan w:val="4"/>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jc w:val="center"/>
              <w:rPr>
                <w:rFonts w:hint="eastAsia" w:ascii="方正小标宋简体" w:hAnsi="方正小标宋简体" w:eastAsia="方正小标宋简体"/>
                <w:b/>
                <w:color w:val="auto"/>
                <w:sz w:val="28"/>
              </w:rPr>
            </w:pPr>
            <w:r>
              <w:rPr>
                <w:rFonts w:hint="eastAsia" w:ascii="方正小标宋简体" w:hAnsi="方正小标宋简体" w:eastAsia="方正小标宋简体"/>
                <w:b/>
                <w:color w:val="auto"/>
                <w:sz w:val="28"/>
              </w:rPr>
              <w:t>中油南充燃气有限责任公司规章制度建设计划调整申请表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2350" w:type="dxa"/>
            <w:tcBorders>
              <w:top w:val="single" w:color="000000" w:sz="4"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申请单位（部门）</w:t>
            </w:r>
          </w:p>
        </w:tc>
        <w:tc>
          <w:tcPr>
            <w:tcW w:w="2230" w:type="dxa"/>
            <w:tcBorders>
              <w:top w:val="single" w:color="000000" w:sz="4" w:space="0"/>
              <w:left w:val="single" w:color="auto" w:sz="6" w:space="0"/>
              <w:bottom w:val="single" w:color="auto" w:sz="6" w:space="0"/>
              <w:right w:val="single" w:color="auto" w:sz="6" w:space="0"/>
              <w:tl2br w:val="nil"/>
              <w:tr2bl w:val="nil"/>
            </w:tcBorders>
            <w:vAlign w:val="top"/>
          </w:tcPr>
          <w:p>
            <w:pPr>
              <w:spacing w:beforeLines="0" w:afterLines="0"/>
              <w:jc w:val="right"/>
              <w:rPr>
                <w:rFonts w:hint="eastAsia" w:ascii="宋体" w:hAnsi="宋体"/>
                <w:color w:val="auto"/>
                <w:sz w:val="20"/>
              </w:rPr>
            </w:pPr>
          </w:p>
        </w:tc>
        <w:tc>
          <w:tcPr>
            <w:tcW w:w="3980" w:type="dxa"/>
            <w:gridSpan w:val="2"/>
            <w:tcBorders>
              <w:top w:val="single" w:color="000000" w:sz="4"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联系人及联系方式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计划调整项目名称</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申请临时调整内容</w:t>
            </w: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调整性质（打√）</w:t>
            </w: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 xml:space="preserve">     新增</w:t>
            </w: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 xml:space="preserve">   删除</w:t>
            </w:r>
          </w:p>
        </w:tc>
        <w:tc>
          <w:tcPr>
            <w:tcW w:w="17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 xml:space="preserve">    延期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调整后计划项目名称</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发布层级</w:t>
            </w: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计划类别</w:t>
            </w:r>
          </w:p>
        </w:tc>
        <w:tc>
          <w:tcPr>
            <w:tcW w:w="17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left"/>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7"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主要内容摘要</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5"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检查标准与工作要求</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适用范围</w:t>
            </w: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承办人</w:t>
            </w:r>
          </w:p>
        </w:tc>
        <w:tc>
          <w:tcPr>
            <w:tcW w:w="17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调整后完成时间</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8" w:hRule="atLeast"/>
        </w:trPr>
        <w:tc>
          <w:tcPr>
            <w:tcW w:w="235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调整理由</w:t>
            </w:r>
          </w:p>
        </w:tc>
        <w:tc>
          <w:tcPr>
            <w:tcW w:w="2230" w:type="dxa"/>
            <w:tcBorders>
              <w:top w:val="single" w:color="auto" w:sz="6" w:space="0"/>
              <w:left w:val="single" w:color="auto" w:sz="6" w:space="0"/>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auto" w:sz="6" w:space="0"/>
              <w:left w:val="nil"/>
              <w:bottom w:val="single" w:color="auto" w:sz="6" w:space="0"/>
              <w:right w:val="nil"/>
              <w:tl2br w:val="nil"/>
              <w:tr2bl w:val="nil"/>
            </w:tcBorders>
            <w:vAlign w:val="top"/>
          </w:tcPr>
          <w:p>
            <w:pPr>
              <w:spacing w:beforeLines="0" w:afterLines="0"/>
              <w:jc w:val="center"/>
              <w:rPr>
                <w:rFonts w:hint="eastAsia" w:ascii="宋体" w:hAnsi="宋体"/>
                <w:color w:val="auto"/>
                <w:sz w:val="20"/>
              </w:rPr>
            </w:pPr>
          </w:p>
        </w:tc>
        <w:tc>
          <w:tcPr>
            <w:tcW w:w="1750" w:type="dxa"/>
            <w:tcBorders>
              <w:top w:val="single" w:color="auto" w:sz="6" w:space="0"/>
              <w:left w:val="nil"/>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0" w:hRule="atLeast"/>
        </w:trPr>
        <w:tc>
          <w:tcPr>
            <w:tcW w:w="6810" w:type="dxa"/>
            <w:gridSpan w:val="3"/>
            <w:tcBorders>
              <w:top w:val="single" w:color="auto" w:sz="6" w:space="0"/>
              <w:left w:val="single" w:color="auto" w:sz="6" w:space="0"/>
              <w:bottom w:val="nil"/>
              <w:right w:val="nil"/>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计划调整                 申报单位（部门）意见</w:t>
            </w:r>
          </w:p>
        </w:tc>
        <w:tc>
          <w:tcPr>
            <w:tcW w:w="1750" w:type="dxa"/>
            <w:tcBorders>
              <w:top w:val="single" w:color="auto" w:sz="6" w:space="0"/>
              <w:left w:val="nil"/>
              <w:bottom w:val="single" w:color="000000" w:sz="2" w:space="0"/>
              <w:right w:val="single" w:color="auto" w:sz="6" w:space="0"/>
              <w:tl2br w:val="nil"/>
              <w:tr2bl w:val="nil"/>
            </w:tcBorders>
            <w:vAlign w:val="top"/>
          </w:tcPr>
          <w:p>
            <w:pPr>
              <w:spacing w:beforeLines="0" w:afterLines="0"/>
              <w:jc w:val="center"/>
              <w:rPr>
                <w:rFonts w:hint="eastAsia" w:ascii="宋体" w:hAnsi="宋体"/>
                <w:color w:val="auto"/>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trPr>
        <w:tc>
          <w:tcPr>
            <w:tcW w:w="2350" w:type="dxa"/>
            <w:tcBorders>
              <w:top w:val="nil"/>
              <w:left w:val="single" w:color="auto" w:sz="6" w:space="0"/>
              <w:bottom w:val="nil"/>
              <w:right w:val="single" w:color="auto" w:sz="6" w:space="0"/>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000000" w:sz="2" w:space="0"/>
              <w:left w:val="single" w:color="auto" w:sz="6"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p>
        </w:tc>
        <w:tc>
          <w:tcPr>
            <w:tcW w:w="2230" w:type="dxa"/>
            <w:tcBorders>
              <w:top w:val="single" w:color="000000" w:sz="2" w:space="0"/>
              <w:left w:val="single" w:color="000000" w:sz="2" w:space="0"/>
              <w:bottom w:val="single" w:color="000000" w:sz="2" w:space="0"/>
              <w:right w:val="single" w:color="000000" w:sz="2"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单位（部门）负责人：</w:t>
            </w:r>
          </w:p>
        </w:tc>
        <w:tc>
          <w:tcPr>
            <w:tcW w:w="1750" w:type="dxa"/>
            <w:tcBorders>
              <w:top w:val="single" w:color="000000" w:sz="2" w:space="0"/>
              <w:left w:val="single" w:color="000000" w:sz="2" w:space="0"/>
              <w:bottom w:val="single" w:color="000000" w:sz="2" w:space="0"/>
              <w:right w:val="single" w:color="auto" w:sz="6" w:space="0"/>
              <w:tl2br w:val="nil"/>
              <w:tr2bl w:val="nil"/>
            </w:tcBorders>
            <w:vAlign w:val="top"/>
          </w:tcPr>
          <w:p>
            <w:pPr>
              <w:spacing w:beforeLines="0" w:afterLines="0"/>
              <w:jc w:val="left"/>
              <w:rPr>
                <w:rFonts w:hint="eastAsia" w:ascii="宋体" w:hAnsi="宋体"/>
                <w:color w:val="auto"/>
                <w:sz w:val="20"/>
              </w:rPr>
            </w:pPr>
            <w:r>
              <w:rPr>
                <w:rFonts w:hint="eastAsia" w:ascii="宋体" w:hAnsi="宋体"/>
                <w:color w:val="auto"/>
                <w:sz w:val="20"/>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3" w:hRule="atLeast"/>
        </w:trPr>
        <w:tc>
          <w:tcPr>
            <w:tcW w:w="2350" w:type="dxa"/>
            <w:tcBorders>
              <w:top w:val="nil"/>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p>
        </w:tc>
        <w:tc>
          <w:tcPr>
            <w:tcW w:w="6210" w:type="dxa"/>
            <w:gridSpan w:val="3"/>
            <w:tcBorders>
              <w:top w:val="single" w:color="000000" w:sz="2" w:space="0"/>
              <w:left w:val="single" w:color="auto" w:sz="6" w:space="0"/>
              <w:bottom w:val="single" w:color="auto" w:sz="6" w:space="0"/>
              <w:right w:val="single" w:color="auto" w:sz="6" w:space="0"/>
              <w:tl2br w:val="nil"/>
              <w:tr2bl w:val="nil"/>
            </w:tcBorders>
            <w:vAlign w:val="top"/>
          </w:tcPr>
          <w:p>
            <w:pPr>
              <w:spacing w:beforeLines="0" w:afterLines="0"/>
              <w:jc w:val="center"/>
              <w:rPr>
                <w:rFonts w:hint="eastAsia" w:ascii="宋体" w:hAnsi="宋体"/>
                <w:color w:val="auto"/>
                <w:sz w:val="20"/>
              </w:rPr>
            </w:pPr>
            <w:r>
              <w:rPr>
                <w:rFonts w:hint="eastAsia" w:ascii="宋体" w:hAnsi="宋体"/>
                <w:color w:val="auto"/>
                <w:sz w:val="20"/>
              </w:rPr>
              <w:t xml:space="preserve">                                       年    月   日</w:t>
            </w:r>
          </w:p>
        </w:tc>
      </w:tr>
    </w:tbl>
    <w:p>
      <w:pPr>
        <w:rPr>
          <w:rFonts w:hint="eastAsia" w:ascii="方正仿宋简体" w:eastAsia="方正仿宋简体"/>
          <w:sz w:val="28"/>
          <w:szCs w:val="28"/>
        </w:rPr>
      </w:pPr>
    </w:p>
    <w:p>
      <w:pPr>
        <w:rPr>
          <w:rFonts w:hint="eastAsia" w:ascii="方正仿宋简体" w:eastAsia="方正仿宋简体"/>
          <w:sz w:val="28"/>
          <w:szCs w:val="28"/>
        </w:rPr>
      </w:pPr>
    </w:p>
    <w:p>
      <w:pPr>
        <w:rPr>
          <w:rFonts w:hint="eastAsia" w:ascii="方正仿宋简体" w:eastAsia="方正仿宋简体"/>
          <w:sz w:val="28"/>
          <w:szCs w:val="28"/>
        </w:rPr>
      </w:pPr>
    </w:p>
    <w:p>
      <w:pPr>
        <w:rPr>
          <w:rFonts w:hint="eastAsia" w:ascii="方正仿宋简体" w:eastAsia="方正仿宋简体"/>
          <w:sz w:val="28"/>
          <w:szCs w:val="28"/>
        </w:rPr>
      </w:pPr>
    </w:p>
    <w:p>
      <w:pP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附件3</w:t>
      </w:r>
    </w:p>
    <w:p>
      <w:pPr>
        <w:jc w:val="center"/>
        <w:rPr>
          <w:rFonts w:hint="eastAsia" w:ascii="方正小标宋简体" w:eastAsia="方正小标宋简体"/>
          <w:sz w:val="32"/>
          <w:szCs w:val="32"/>
        </w:rPr>
      </w:pPr>
      <w:r>
        <w:rPr>
          <w:rFonts w:hint="eastAsia" w:ascii="方正小标宋简体" w:eastAsia="方正小标宋简体"/>
          <w:sz w:val="32"/>
          <w:szCs w:val="32"/>
          <w:lang w:eastAsia="zh-CN"/>
        </w:rPr>
        <w:t>中油南充</w:t>
      </w:r>
      <w:r>
        <w:rPr>
          <w:rFonts w:hint="eastAsia" w:ascii="方正小标宋简体" w:eastAsia="方正小标宋简体"/>
          <w:sz w:val="32"/>
          <w:szCs w:val="32"/>
        </w:rPr>
        <w:t>燃气有限责任公司规章制度</w:t>
      </w:r>
      <w:r>
        <w:rPr>
          <w:rFonts w:hint="eastAsia" w:ascii="方正小标宋简体" w:hAnsi="宋体" w:eastAsia="方正小标宋简体" w:cs="宋体"/>
          <w:kern w:val="0"/>
          <w:sz w:val="32"/>
          <w:szCs w:val="32"/>
        </w:rPr>
        <w:t>审查会签单</w:t>
      </w:r>
    </w:p>
    <w:tbl>
      <w:tblPr>
        <w:tblStyle w:val="51"/>
        <w:tblW w:w="81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8"/>
        <w:gridCol w:w="2519"/>
        <w:gridCol w:w="161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7"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规章制度名称</w:t>
            </w:r>
          </w:p>
        </w:tc>
        <w:tc>
          <w:tcPr>
            <w:tcW w:w="5837" w:type="dxa"/>
            <w:gridSpan w:val="3"/>
            <w:vAlign w:val="center"/>
          </w:tcPr>
          <w:p>
            <w:pPr>
              <w:spacing w:line="360" w:lineRule="exact"/>
              <w:jc w:val="center"/>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9"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起草部门</w:t>
            </w:r>
          </w:p>
        </w:tc>
        <w:tc>
          <w:tcPr>
            <w:tcW w:w="5837" w:type="dxa"/>
            <w:gridSpan w:val="3"/>
            <w:vAlign w:val="center"/>
          </w:tcPr>
          <w:p>
            <w:pPr>
              <w:spacing w:line="360" w:lineRule="exact"/>
              <w:jc w:val="center"/>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6"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联系人</w:t>
            </w:r>
          </w:p>
        </w:tc>
        <w:tc>
          <w:tcPr>
            <w:tcW w:w="2519" w:type="dxa"/>
            <w:vAlign w:val="center"/>
          </w:tcPr>
          <w:p>
            <w:pPr>
              <w:spacing w:line="360" w:lineRule="exact"/>
              <w:jc w:val="center"/>
              <w:rPr>
                <w:rFonts w:hint="eastAsia" w:ascii="方正仿宋简体" w:eastAsia="方正仿宋简体"/>
                <w:color w:val="000000"/>
                <w:sz w:val="28"/>
                <w:szCs w:val="28"/>
              </w:rPr>
            </w:pPr>
          </w:p>
        </w:tc>
        <w:tc>
          <w:tcPr>
            <w:tcW w:w="1619"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联系电话</w:t>
            </w:r>
          </w:p>
        </w:tc>
        <w:tc>
          <w:tcPr>
            <w:tcW w:w="1699" w:type="dxa"/>
            <w:vAlign w:val="center"/>
          </w:tcPr>
          <w:p>
            <w:pPr>
              <w:spacing w:line="360" w:lineRule="exact"/>
              <w:jc w:val="center"/>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50"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制度基本情况</w:t>
            </w:r>
          </w:p>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说明</w:t>
            </w:r>
          </w:p>
        </w:tc>
        <w:tc>
          <w:tcPr>
            <w:tcW w:w="5837" w:type="dxa"/>
            <w:gridSpan w:val="3"/>
            <w:vAlign w:val="center"/>
          </w:tcPr>
          <w:p>
            <w:pPr>
              <w:spacing w:line="360" w:lineRule="exact"/>
              <w:ind w:right="1120"/>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15"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相关部门或单位</w:t>
            </w:r>
          </w:p>
          <w:p>
            <w:pPr>
              <w:spacing w:line="360" w:lineRule="exact"/>
              <w:jc w:val="center"/>
              <w:rPr>
                <w:rFonts w:ascii="方正仿宋简体" w:eastAsia="方正仿宋简体"/>
                <w:color w:val="000000"/>
                <w:sz w:val="28"/>
                <w:szCs w:val="28"/>
              </w:rPr>
            </w:pPr>
            <w:r>
              <w:rPr>
                <w:rFonts w:hint="eastAsia" w:ascii="方正仿宋简体" w:eastAsia="方正仿宋简体"/>
                <w:color w:val="000000"/>
                <w:sz w:val="28"/>
                <w:szCs w:val="28"/>
              </w:rPr>
              <w:t>会签意见</w:t>
            </w:r>
          </w:p>
          <w:p>
            <w:pPr>
              <w:spacing w:line="360" w:lineRule="exact"/>
              <w:ind w:right="560" w:firstLine="2240" w:firstLineChars="800"/>
              <w:rPr>
                <w:rFonts w:ascii="方正仿宋简体" w:eastAsia="方正仿宋简体"/>
                <w:color w:val="000000"/>
                <w:sz w:val="28"/>
                <w:szCs w:val="28"/>
              </w:rPr>
            </w:pPr>
            <w:r>
              <w:rPr>
                <w:rFonts w:hint="eastAsia" w:ascii="方正仿宋简体" w:eastAsia="方正仿宋简体"/>
                <w:color w:val="000000"/>
                <w:sz w:val="28"/>
                <w:szCs w:val="28"/>
              </w:rPr>
              <w:t xml:space="preserve"> </w:t>
            </w:r>
          </w:p>
        </w:tc>
        <w:tc>
          <w:tcPr>
            <w:tcW w:w="5837" w:type="dxa"/>
            <w:gridSpan w:val="3"/>
            <w:vAlign w:val="center"/>
          </w:tcPr>
          <w:p>
            <w:pPr>
              <w:spacing w:line="360" w:lineRule="exact"/>
              <w:ind w:right="1120"/>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60"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制度归口（合规）管理部门</w:t>
            </w:r>
          </w:p>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审查意见</w:t>
            </w:r>
          </w:p>
        </w:tc>
        <w:tc>
          <w:tcPr>
            <w:tcW w:w="5837" w:type="dxa"/>
            <w:gridSpan w:val="3"/>
            <w:vAlign w:val="center"/>
          </w:tcPr>
          <w:p>
            <w:pPr>
              <w:spacing w:line="360" w:lineRule="exact"/>
              <w:ind w:right="1120"/>
              <w:rPr>
                <w:rFonts w:hint="eastAsia" w:ascii="方正仿宋简体"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47" w:hRule="atLeast"/>
        </w:trPr>
        <w:tc>
          <w:tcPr>
            <w:tcW w:w="2268" w:type="dxa"/>
            <w:vAlign w:val="center"/>
          </w:tcPr>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公司分管领导</w:t>
            </w:r>
          </w:p>
          <w:p>
            <w:pPr>
              <w:spacing w:line="360" w:lineRule="exact"/>
              <w:jc w:val="center"/>
              <w:rPr>
                <w:rFonts w:hint="eastAsia" w:ascii="方正仿宋简体" w:eastAsia="方正仿宋简体"/>
                <w:color w:val="000000"/>
                <w:sz w:val="28"/>
                <w:szCs w:val="28"/>
              </w:rPr>
            </w:pPr>
            <w:r>
              <w:rPr>
                <w:rFonts w:hint="eastAsia" w:ascii="方正仿宋简体" w:eastAsia="方正仿宋简体"/>
                <w:color w:val="000000"/>
                <w:sz w:val="28"/>
                <w:szCs w:val="28"/>
              </w:rPr>
              <w:t>审核意见</w:t>
            </w:r>
          </w:p>
        </w:tc>
        <w:tc>
          <w:tcPr>
            <w:tcW w:w="5837" w:type="dxa"/>
            <w:gridSpan w:val="3"/>
            <w:vAlign w:val="center"/>
          </w:tcPr>
          <w:p>
            <w:pPr>
              <w:spacing w:line="360" w:lineRule="exact"/>
              <w:ind w:right="420"/>
              <w:jc w:val="right"/>
              <w:rPr>
                <w:rFonts w:hint="eastAsia" w:ascii="方正仿宋简体" w:eastAsia="方正仿宋简体"/>
                <w:color w:val="000000"/>
                <w:sz w:val="28"/>
                <w:szCs w:val="28"/>
              </w:rPr>
            </w:pPr>
          </w:p>
        </w:tc>
      </w:tr>
    </w:tbl>
    <w:p>
      <w:pPr>
        <w:rPr>
          <w:rFonts w:hint="eastAsia" w:ascii="仿宋_GB2312" w:eastAsia="仿宋_GB2312"/>
          <w:color w:val="auto"/>
          <w:sz w:val="28"/>
          <w:szCs w:val="28"/>
          <w:highlight w:val="none"/>
        </w:rPr>
      </w:pPr>
    </w:p>
    <w:p>
      <w:pPr>
        <w:rPr>
          <w:rFonts w:hint="eastAsia" w:ascii="仿宋_GB2312" w:eastAsia="仿宋_GB2312"/>
          <w:color w:val="auto"/>
          <w:sz w:val="28"/>
          <w:szCs w:val="28"/>
          <w:highlight w:val="none"/>
        </w:rPr>
      </w:pPr>
    </w:p>
    <w:p>
      <w:pPr>
        <w:rPr>
          <w:rFonts w:hint="eastAsia" w:ascii="仿宋_GB2312" w:eastAsia="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outlineLvl w:val="9"/>
        <w:rPr>
          <w:rFonts w:hint="eastAsia" w:ascii="方正黑体简体" w:hAnsi="方正黑体简体" w:eastAsia="方正黑体简体" w:cs="方正黑体简体"/>
          <w:color w:val="auto"/>
          <w:sz w:val="32"/>
          <w:szCs w:val="32"/>
          <w:highlight w:val="none"/>
        </w:rPr>
      </w:pPr>
      <w:r>
        <w:rPr>
          <w:rFonts w:hint="eastAsia" w:ascii="方正黑体简体" w:hAnsi="方正黑体简体" w:eastAsia="方正黑体简体" w:cs="方正黑体简体"/>
          <w:color w:val="auto"/>
          <w:sz w:val="32"/>
          <w:szCs w:val="32"/>
          <w:highlight w:val="none"/>
        </w:rPr>
        <w:t>附件4</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eastAsia="方正小标宋简体"/>
          <w:color w:val="auto"/>
          <w:sz w:val="36"/>
          <w:szCs w:val="36"/>
          <w:highlight w:val="none"/>
        </w:rPr>
      </w:pPr>
      <w:r>
        <w:rPr>
          <w:rFonts w:hint="eastAsia" w:ascii="方正小标宋简体" w:eastAsia="方正小标宋简体"/>
          <w:color w:val="auto"/>
          <w:sz w:val="36"/>
          <w:szCs w:val="36"/>
          <w:highlight w:val="none"/>
        </w:rPr>
        <w:t>中油南充燃气有限责任公司规章制度格式</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一、规章制度体例规定</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各类规章制度均采取章条结构编写。基本格式如下：</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lang w:eastAsia="zh-CN"/>
        </w:rPr>
        <w:t>第一章</w:t>
      </w:r>
      <w:r>
        <w:rPr>
          <w:rFonts w:hint="eastAsia" w:ascii="方正仿宋简体" w:hAnsi="方正仿宋简体" w:eastAsia="方正仿宋简体" w:cs="方正仿宋简体"/>
          <w:b w:val="0"/>
          <w:bCs w:val="0"/>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bCs/>
          <w:color w:val="auto"/>
          <w:sz w:val="28"/>
          <w:szCs w:val="28"/>
          <w:highlight w:val="none"/>
          <w:lang w:eastAsia="zh-CN"/>
        </w:rPr>
        <w:t>第一条</w:t>
      </w:r>
      <w:r>
        <w:rPr>
          <w:rFonts w:hint="eastAsia" w:ascii="方正仿宋简体" w:hAnsi="方正仿宋简体" w:eastAsia="方正仿宋简体" w:cs="方正仿宋简体"/>
          <w:b w:val="0"/>
          <w:bCs w:val="0"/>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第二条</w:t>
      </w:r>
      <w:r>
        <w:rPr>
          <w:rFonts w:hint="eastAsia" w:ascii="方正仿宋简体" w:hAnsi="方正仿宋简体" w:eastAsia="方正仿宋简体" w:cs="方正仿宋简体"/>
          <w:b w:val="0"/>
          <w:bCs w:val="0"/>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lang w:val="en-US" w:eastAsia="zh-CN"/>
        </w:rPr>
      </w:pPr>
      <w:r>
        <w:rPr>
          <w:rFonts w:hint="eastAsia" w:ascii="方正仿宋简体" w:hAnsi="方正仿宋简体" w:eastAsia="方正仿宋简体" w:cs="方正仿宋简体"/>
          <w:b w:val="0"/>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如果某项具体制度内容较多，篇幅较长，也可以采取章、节、条体例。基本格式如下：</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第二章  ×××××××</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第一节  ×××××××</w:t>
      </w:r>
    </w:p>
    <w:p>
      <w:pPr>
        <w:keepNext w:val="0"/>
        <w:keepLines w:val="0"/>
        <w:pageBreakBefore w:val="0"/>
        <w:widowControl w:val="0"/>
        <w:kinsoku/>
        <w:wordWrap/>
        <w:overflowPunct/>
        <w:topLinePunct w:val="0"/>
        <w:autoSpaceDE/>
        <w:autoSpaceDN/>
        <w:bidi w:val="0"/>
        <w:adjustRightInd/>
        <w:snapToGrid/>
        <w:spacing w:line="30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第一条</w:t>
      </w:r>
      <w:r>
        <w:rPr>
          <w:rFonts w:hint="eastAsia" w:ascii="方正仿宋简体" w:hAnsi="方正仿宋简体" w:eastAsia="方正仿宋简体" w:cs="方正仿宋简体"/>
          <w:b w:val="0"/>
          <w:bCs w:val="0"/>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2"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第二条</w:t>
      </w:r>
      <w:r>
        <w:rPr>
          <w:rFonts w:hint="eastAsia" w:ascii="方正仿宋简体" w:hAnsi="方正仿宋简体" w:eastAsia="方正仿宋简体" w:cs="方正仿宋简体"/>
          <w:b w:val="0"/>
          <w:bCs w:val="0"/>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二、规章制度格式规定</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1.规章制度名称</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（1）名称：××公司××管理办法（或：××公司××管理制度）；</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（2）字体：方正小标宋简体；</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（3）字号：小2号；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2．正文</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（1）采用文档：Word文档；</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（2）纸张规格：A4；</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（3）正文字体：方正仿宋简体（不加粗）；</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（4）正文字号：4号；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（5）正文行距：固定值28；</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（6）边距：上2.8厘米，下2.5厘米，左右各2.5厘米；</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（7）正文内章标题字体：方正黑体，小3号；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（8）正文内节标题字体：方正楷体，4号；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（9）正文内章节标题与正文之间行距（小4号）空一行</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3．制度汇编目录</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（1）采用文档：Word文档；</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（2）纸张规格：A4；</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（3）正文字体：方正仿宋简体（不加粗）；</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（4）正文字号：4号；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（5）正文行距：固定值28；</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（6）边距：上2.8厘米，下2.5厘米，左右各2.5厘米</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4．封面</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（1）从纸张上端三分之处：××公司规章制度汇编（字体：方正小标宋简体（加粗），字号：2号）；</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方正仿宋简体" w:hAnsi="方正仿宋简体" w:eastAsia="方正仿宋简体" w:cs="方正仿宋简体"/>
          <w:b w:val="0"/>
          <w:bCs w:val="0"/>
          <w:color w:val="auto"/>
          <w:sz w:val="28"/>
          <w:szCs w:val="28"/>
          <w:highlight w:val="none"/>
        </w:rPr>
      </w:pPr>
      <w:r>
        <w:rPr>
          <w:rFonts w:hint="eastAsia" w:ascii="方正仿宋简体" w:hAnsi="方正仿宋简体" w:eastAsia="方正仿宋简体" w:cs="方正仿宋简体"/>
          <w:b w:val="0"/>
          <w:bCs w:val="0"/>
          <w:color w:val="auto"/>
          <w:sz w:val="28"/>
          <w:szCs w:val="28"/>
          <w:highlight w:val="none"/>
        </w:rPr>
        <w:t>（2）下端居中：××公司；</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both"/>
        <w:textAlignment w:val="auto"/>
        <w:outlineLvl w:val="9"/>
        <w:rPr>
          <w:rFonts w:hint="eastAsia" w:ascii="宋体" w:hAnsi="宋体"/>
          <w:color w:val="auto"/>
          <w:sz w:val="24"/>
          <w:highlight w:val="none"/>
        </w:rPr>
      </w:pPr>
      <w:r>
        <w:rPr>
          <w:rFonts w:hint="eastAsia" w:ascii="方正仿宋简体" w:hAnsi="方正仿宋简体" w:eastAsia="方正仿宋简体" w:cs="方正仿宋简体"/>
          <w:b w:val="0"/>
          <w:bCs w:val="0"/>
          <w:color w:val="auto"/>
          <w:sz w:val="28"/>
          <w:szCs w:val="28"/>
          <w:highlight w:val="none"/>
        </w:rPr>
        <w:t>（3）最下端居中：规章制度汇编日期。日期用阿拉伯数字将年、月、日标全，年份应标全称，月、日不编虚位（即1不编为01）。</w:t>
      </w: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825" w:name="_Toc10114"/>
      <w:bookmarkStart w:id="826" w:name="_Toc26206"/>
      <w:bookmarkStart w:id="827" w:name="_Toc9804"/>
      <w:bookmarkStart w:id="828" w:name="_Toc4494"/>
      <w:bookmarkStart w:id="829" w:name="_Toc29588"/>
      <w:bookmarkStart w:id="830" w:name="_Toc19230"/>
      <w:bookmarkStart w:id="831" w:name="_Toc20839"/>
      <w:bookmarkStart w:id="832" w:name="_Toc6047"/>
      <w:bookmarkStart w:id="833" w:name="_Toc16639"/>
      <w:bookmarkStart w:id="834" w:name="_Toc21232"/>
      <w:bookmarkStart w:id="835" w:name="_Toc21313"/>
      <w:bookmarkStart w:id="836" w:name="_Toc19633"/>
      <w:bookmarkStart w:id="837" w:name="_Toc17648"/>
      <w:bookmarkStart w:id="838" w:name="_Toc16256"/>
      <w:bookmarkStart w:id="839" w:name="_Toc30271"/>
      <w:bookmarkStart w:id="840" w:name="_Toc7927"/>
      <w:bookmarkStart w:id="841" w:name="_Toc14966"/>
      <w:bookmarkStart w:id="842" w:name="_Toc4988"/>
      <w:bookmarkStart w:id="843" w:name="_Toc10115"/>
      <w:r>
        <w:rPr>
          <w:rFonts w:hint="eastAsia" w:ascii="方正小标宋简体" w:eastAsia="方正小标宋简体"/>
          <w:b w:val="0"/>
          <w:bCs w:val="0"/>
          <w:color w:val="auto"/>
          <w:sz w:val="36"/>
          <w:szCs w:val="36"/>
          <w:highlight w:val="none"/>
        </w:rPr>
        <w:t>中油南充燃气有限责任公司公文管理办法</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第一章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总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为加强公司公文管理工作，规范公文处理，提高公文办理质量和效率，参照《国家行政机关公文处理办法》（国发〔2000〕23号），结合公司实际，制定本办法。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本办法适用于公司机关和所属各单位。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公司公文，是具有法定效力和规范体式的公务文书，是传达国家方针、政策，贯彻上级各项决定，发布规章制度，请示和答复问题，指导、布置和洽商工作，报告情况，交流经验的重要工具。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公文处理指公文的办理、管理、整理（立卷）、归档等一系列相互关联、衔接有序的工作。公文处理应当坚持实事求是、精简、高效的原则，做到及时、准确、安全。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公文处理必须严格执行国家保密法律、法规和公司关于商业秘密的管理规定，确保国家秘密、集团公司、股份公司、分公司及公司商业秘密的安全。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公司机关及所属各单位应当高度重视公文处理工作，加强对公文处理工作的领导和检查。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公司经理办公室是公文处理的管理机构，主管公司机关的公文处理工作并指导所属各单位的公文处理工作。各单位综合办公室负责本单位的公文处理工作。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第二章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公文种类和格式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公司的公文种类主要有：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适用于对重要事项或行动做出安排，奖惩有关单位及人员，变更或者撤销下级单位不适当的决定事项等。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（二）通知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适用向所属单位发布规章制度，传达要求所属单位执行、办理、遵守和需要周知的事项，人事任免等。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（三）通报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适用于表彰先进，批评错误，传达重要精神或情况等。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适用于向上级部门或有关主管部门汇报工作，反映情况，请求备案，答复上级部门或有关主管部门的询问等。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（五）请示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适用于向上级部门请求指示、批准。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（六）批复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适用于答复下级单位的请示事项。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适用于对重要问题提出见解和处理办法。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适用于不相隶属单位之间商洽工作，询问和答复问题，向有关主管部门请求批准等。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（九）会议纪要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适用于记载、传达会议情况和议定事项。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公司公文一般由秘密等级、紧急程度、发文单位标识、发文字号、签发人、标题、主送单位、正文、附件说明、成文日期、印章、附注、附件、抄送单位等部分组成。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（一）涉及国家秘密、公司商业秘密的公文，应按规定标明密级。紧急公文应根据紧急程度分别标明“特急”、“急件”。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（二）发文单位标识应当使用发文单位全称；联合行文，主办单位排列在前。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（三）发文字号应当包括单位代字、年份、序号。公司文件字号为：渝燃〔年份〕X号，（年份后“X”为文件序号。下同）；年度应写全称，序号前面按数写不加“o”。联合行文一般只标明主办单位的文号。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（四）会议纪要编号注意区别：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公司领导主持召开的会议，编辑公司会议纪要编号。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机关部室主持召开的会议，编辑专业会议纪要编号。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（五）上行文应当注明签发人姓名。其中，“请示”应当在“附注”处注明联系人的姓名和电话。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（六）公文标题应当准确简要地概括公文的主要内容并标明公文种类。公文标题中除法律法规和公司规章制度名称加书名号外，一般不用标点符号。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（七）主送单位指公文的主要受理单位，应当使用全称或规范化简称、统称。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（八）公文如有附件，应当注明附件顺序和名称。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（九）公文除“会议纪要”外，应当加盖印章。联合上报的公文，由主办单位加盖印章；联合下发的公文，发文单位都应当加盖印章。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（十）成文日期以负责人签发的日期为准，联合行文以最后签发单位负责人的签发日期为准。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（十一）公文如有附注（需要说明的其它事项），应当加括号标注。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（十二）抄送单位指除主送单位外需要执行或知晓公文的其它单位，应当使用全称或者规范化简称、统称。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（十三）文字从左至右横写、横排。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公文中各组成部分的标识规则，参照《国家行政机关公文格式》国家标准执行。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公文用纸采用国际标准A4型（210mm×297mm），左侧装订。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第三章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行文规则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公司机关各部门之间不得互相行文，亦不能直接对外单位行文。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实行一级行文的原则，公司的下属部门不得以部门名义行文。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向上级请示的公文必须一事一文，只能主送一个单位，不能同时主送两个以上单位。向下级发文，需共同办理事项，应指定一个单位主办。</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转发上级的文件，不得同时又抄送上级机关。向上级的请示文件，不抄送同级或下级单位。向下级行文，重要的可以抄送上级，但不能以抄送代请示。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第十六条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公司行文，重要的要抄送董事会；与地方政府及部门有关的要抄送。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第四章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发文处理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第十七条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拟稿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（一）草拟文稿应符合党和国家的法律、法规、规章和政策，维护股东的整体利益。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（二）文稿语言措词力求准确规范，做到情况属实，观点明确，条理清楚，文字精炼，书写工整，标点正确，篇幅简短。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（三）如文稿不符合规定，办公室可提出处理意见，由拟稿部门修改或重新拟稿。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（四）必须明确文稿起草的责任者，起草者必须签名。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第十八条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核稿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一般由起草文稿的业务部门负责人对文稿进行复核，复核后签署姓名。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第十九条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会稿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起草的公文涉及有关业务部门的，必须由拟稿部门将文稿交有关部门会审。会稿结束后，应由拟稿人对会稿意见进行综合整理，并向核稿人汇报。对不能协商一致的问题，要附上双方意见，供领导签发时参考。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审文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审文由公司办公室主任、副主任或指定人员完成。凡未经审核的公文，不得送交领导签发，办公室不编文号，不安排打印，不盖章。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签发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文稿经审文后由办公室送领导签发。文稿一经领导签发定稿后，不得擅自改动。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属于公司综合性、全局性工作的文件，由正职或正职委托副职签发；属于涉及两位或两位以上副职领导人工作内容的文件，应经有关副职审查，由主管副职或主持日常工作的副职签发。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第五章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收文处理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收文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收文实行一个“口”。凡上级机关和下级部门主送给公司的正式公文，一律交公司办公室统一签收、登记、送批或交办。主送公司的公文不得直接寄交部门，也不得直接寄交领导。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（一）凡上级部门、兄弟单位邮寄、交换的文件、信函、资料等，除绝密、领导亲启或有特殊要求的以外，均由公司办公室文书统一签收、登记、分发。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（二）电子邮件和传真的请示、报告等文件，应视作正式文件登记办理。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分办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凡需办理的公文，由公司办公室主任或副主任提出拟办意见，上级来文，先呈送公司领导批示；下级或平级来文，先送交有关职能部门办理，由职能部门提出处理建议后呈公司领导批示。来件的分发要求快速准确，当天的来件原则上当天登记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第二十四条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传递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（一）文件在传阅和阅办过程中要及时、准确，切忌横传。涉及几个领导或部门传阅、阅办的文件，领导和部门在阅后或提出批办意见后，应退交办公室传递。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（二）各部门、各岗位对所经手的文件、信函、重要资料等要承担责任，如发生丢失或泄密，视情节予以严肃处理。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第二十五条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催办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需要办理的文电分送给承办部门签收，分轻重缓急进行催办。紧急公文应按要求时限办理。一般性公文应在收文起2日内（除公休假日）交承办部门或送有关领导，不得无故拖延不办。请示性公文，一般在3日内办结，并由业务部门给请示单位答复。基层单位可在油气矿主页面基层请示督办动态中进行查询。如需会议讨论或其它特殊情况，由承办部门向来文单位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第六章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公文归档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公文办理完毕后，应当根据公司档案工作有关规定及时整理（立卷）、归档。个人不得将应当归档的公文据为己有或者拒绝归档。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归档范围内的公文，应当根据其相互联系、特征和保存价值等进行分类整理（立卷），保证归档公文的齐全、完整，并能正确反映本单位的主要工作情况，便于保管和利用。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第二十八条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联合办理的公文，原件由主办单位整理（立卷）、归档，其它单位保存复制件或其它形式的公文副本。</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第二十九条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本单位负责人兼任其它单位职务，在履行所兼任职务过程中形成的公文，由其兼职单位整理（立卷）、归档。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归档范围内的公文应当确定保管期限，按照有关规定定期向档案部门移交。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拟制、修改和签批公文，所用字迹材料应耐久，不得使用铅笔、圆珠笔、彩笔、纯蓝墨水进行书写，纸张必须符合存档要求。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第七章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公文管理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公文由经理办公室统一收发、审核、用印、归档和销毁。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各单位办公室应当建立健全本单位公文处理的有关制度。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公文除绝密级和注明不准翻印的以外，经单位负责人或办公室负责人批准，可以翻印。翻印时，应当注明翻印的单位、日期、份数和印发范围。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公文复印件作为正式公文使用时，应当加盖复印单位证明章。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第三十六条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公文被撤销，自始不产生效力；公文被废止，自废止之日起不产生效力。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第三十七条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不具备归档和存查价值的公文，经过鉴别并经办公室批准，可以销毁。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销毁秘密公文应当到指定场所由二人以上监销，保证不丢失、不漏销。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机构合并时，全部公文应当随之合并管理。机构撤销时，需要归档的公文整理（立卷）后按有关规定移交档案部门。工作人员调离工作岗位时，应当将本人暂存、借用的公文按照有关规定移交、清退。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第八章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附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第三十九条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公文处理中涉及的电子文件按照电子文件系统运行要求执行。</w:t>
      </w:r>
    </w:p>
    <w:p>
      <w:pPr>
        <w:spacing w:line="560" w:lineRule="exact"/>
        <w:ind w:firstLine="562" w:firstLineChars="200"/>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本办法由公司经理办公室负责解释。 </w:t>
      </w:r>
    </w:p>
    <w:p>
      <w:pPr>
        <w:spacing w:line="560" w:lineRule="exact"/>
        <w:ind w:firstLine="562" w:firstLineChars="200"/>
        <w:rPr>
          <w:rFonts w:hint="eastAsia" w:ascii="黑体" w:hAnsi="宋体" w:eastAsia="黑体"/>
          <w:b/>
          <w:color w:val="auto"/>
          <w:sz w:val="28"/>
          <w:szCs w:val="28"/>
          <w:highlight w:val="none"/>
        </w:rPr>
      </w:pPr>
      <w:r>
        <w:rPr>
          <w:rFonts w:hint="eastAsia" w:ascii="方正仿宋简体" w:hAnsi="方正仿宋简体" w:eastAsia="方正仿宋简体" w:cs="方正仿宋简体"/>
          <w:b/>
          <w:color w:val="auto"/>
          <w:sz w:val="28"/>
          <w:szCs w:val="28"/>
          <w:highlight w:val="none"/>
        </w:rPr>
        <w:t>第四十一条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本办法自发布之日起施行。</w:t>
      </w:r>
    </w:p>
    <w:p>
      <w:pPr>
        <w:rPr>
          <w:rFonts w:hint="eastAsia" w:ascii="宋体" w:hAnsi="宋体"/>
          <w:color w:val="auto"/>
          <w:sz w:val="24"/>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highlight w:val="none"/>
        </w:rPr>
      </w:pPr>
      <w:bookmarkStart w:id="844" w:name="_Toc11459"/>
      <w:bookmarkStart w:id="845" w:name="_Toc29333"/>
      <w:bookmarkStart w:id="846" w:name="_Toc10744"/>
      <w:bookmarkStart w:id="847" w:name="_Toc19647"/>
      <w:bookmarkStart w:id="848" w:name="_Toc22551"/>
      <w:bookmarkStart w:id="849" w:name="_Toc14900"/>
      <w:bookmarkStart w:id="850" w:name="_Toc20771"/>
      <w:bookmarkStart w:id="851" w:name="_Toc9629"/>
      <w:bookmarkStart w:id="852" w:name="_Toc9812"/>
      <w:bookmarkStart w:id="853" w:name="_Toc32686"/>
      <w:bookmarkStart w:id="854" w:name="_Toc31095"/>
      <w:bookmarkStart w:id="855" w:name="_Toc27927"/>
      <w:bookmarkStart w:id="856" w:name="_Toc18519"/>
      <w:bookmarkStart w:id="857" w:name="_Toc10758"/>
      <w:bookmarkStart w:id="858" w:name="_Toc31839"/>
      <w:bookmarkStart w:id="859" w:name="_Toc3248"/>
      <w:bookmarkStart w:id="860" w:name="_Toc13218"/>
      <w:bookmarkStart w:id="861" w:name="_Toc12422"/>
      <w:bookmarkStart w:id="862" w:name="_Toc19499"/>
      <w:r>
        <w:rPr>
          <w:rFonts w:hint="eastAsia" w:ascii="方正小标宋简体" w:eastAsia="方正小标宋简体"/>
          <w:b w:val="0"/>
          <w:bCs w:val="0"/>
          <w:color w:val="auto"/>
          <w:sz w:val="36"/>
          <w:szCs w:val="36"/>
          <w:highlight w:val="none"/>
        </w:rPr>
        <w:t>中油南充燃气有限责任公司档案管理制度</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第一章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总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为加强公司档案管理，充分发挥档案为生产经营工作服务的作用，根据《国营企业档案管理暂行规定》，结合公司实际，制定本制度。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企业档案，是指公司在各项工作活动中形成的全部档案的总和。它包括党群工作、行政管理、经营管理、生产技术管理、科研、基建、会计、人事档案等。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为齐全完整保存公司在各项业务中形成的档案资料，维护公司的合法权益，按照档案管理的有关规定，公司经理办公室负责公司各类档案资料的归档接收工作，各单位、部室指定一名人员负责档案资料管理工作。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第二章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案卷的组织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组卷原则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应遵循文件材料自然形成规律和特点，保持卷内文件材料之间的有机联系，便于保管和利用。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组卷责任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1、各项生产经营等活动中形成的文件材料，由</w:t>
      </w:r>
      <w:r>
        <w:rPr>
          <w:rFonts w:hint="eastAsia" w:ascii="方正仿宋简体" w:hAnsi="方正仿宋简体" w:eastAsia="方正仿宋简体" w:cs="方正仿宋简体"/>
          <w:color w:val="auto"/>
          <w:sz w:val="28"/>
          <w:szCs w:val="28"/>
          <w:highlight w:val="none"/>
          <w:lang w:eastAsia="zh-CN"/>
        </w:rPr>
        <w:t>生产运行部</w:t>
      </w:r>
      <w:r>
        <w:rPr>
          <w:rFonts w:hint="eastAsia" w:ascii="方正仿宋简体" w:hAnsi="方正仿宋简体" w:eastAsia="方正仿宋简体" w:cs="方正仿宋简体"/>
          <w:color w:val="auto"/>
          <w:sz w:val="28"/>
          <w:szCs w:val="28"/>
          <w:highlight w:val="none"/>
        </w:rPr>
        <w:t>及有关项目负责人主持归档。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2、党、政、工、团及经营管理等活动中形成的文件材料，由各相关部门负责立卷归档。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第六条</w:t>
      </w:r>
      <w:r>
        <w:rPr>
          <w:rFonts w:hint="eastAsia" w:ascii="方正仿宋简体" w:hAnsi="方正仿宋简体" w:eastAsia="方正仿宋简体" w:cs="方正仿宋简体"/>
          <w:color w:val="auto"/>
          <w:sz w:val="28"/>
          <w:szCs w:val="28"/>
          <w:highlight w:val="none"/>
        </w:rPr>
        <w:t xml:space="preserve">  组卷程序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分类，在文件材料收集齐全的基础上，按照《川中油气矿档案分类规则》及川中油气矿各类档案管理细则的要求分类和组卷。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排列，将经过组卷后的文件材料进行系统排列、编号、编制卷内目录、拟写案卷标题；以件为单位的整理应逐件编号。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装订，案卷一般采用装订形式，特殊情况需装盒的材料，其卷盒中每份材料也需装订。案卷内不同尺寸的文件材料要按要求折叠成统一幅面，长期保管的档案在装订前应拆除金属物。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案卷封面和脊背编制，按要求逐项填写案卷封面和脊背，最后编制案卷目录。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val="0"/>
          <w:bCs/>
          <w:color w:val="auto"/>
          <w:sz w:val="30"/>
          <w:szCs w:val="30"/>
          <w:highlight w:val="none"/>
        </w:rPr>
      </w:pPr>
      <w:r>
        <w:rPr>
          <w:rFonts w:hint="eastAsia" w:ascii="方正黑体简体" w:hAnsi="方正黑体简体" w:eastAsia="方正黑体简体" w:cs="方正黑体简体"/>
          <w:b w:val="0"/>
          <w:bCs/>
          <w:color w:val="auto"/>
          <w:sz w:val="30"/>
          <w:szCs w:val="30"/>
          <w:highlight w:val="none"/>
        </w:rPr>
        <w:t xml:space="preserve">第三章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档案的归档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第七条</w:t>
      </w:r>
      <w:r>
        <w:rPr>
          <w:rFonts w:hint="eastAsia" w:ascii="方正仿宋简体" w:hAnsi="方正仿宋简体" w:eastAsia="方正仿宋简体" w:cs="方正仿宋简体"/>
          <w:color w:val="auto"/>
          <w:sz w:val="28"/>
          <w:szCs w:val="28"/>
          <w:highlight w:val="none"/>
        </w:rPr>
        <w:t xml:space="preserve">  归档要求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原始文件材料应齐全完整，准确反映公司生产、经营的真实情况，卷(件)质量符合归档要求。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各种载体质量优良，书写工整，审签手续完备，打印清楚。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同时接收与纸质文件材料内容相同的电子文件。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归档范围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基建工程方面：包括集输、长输管线、站场建设（改造）、工业、民用气安装工程设计、竣工资料、员工住宅及办公、经营用房等工程档案资料和管理性文件。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设备仪器方面：设备的随机文件图纸，设备 的购置、安装、调试、运行、维修、改造、报废等文件材料。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企业管理方面：包括党群工作、行政管理、经营管理、生产技木管理、安全管理等文件材料。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会计方面：包括会计凭证、财务帐薄、报表等档案。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员工管理方面：包括干部、工人等档案。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归档时间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各种经营管理活动中形成的纸质文件材料及相关电子文件，于次年６月３０日前归档。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生产活动中形成的文件材料及相关电子文件，一般于任务完成后的３个月内归档。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归档数量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一般性的纸质文件材料归档一份，其电子文件为一式二份。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利用频繁的纸质科技文件材料，可视需要多归档一套。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color w:val="auto"/>
          <w:sz w:val="28"/>
          <w:szCs w:val="28"/>
          <w:highlight w:val="none"/>
        </w:rPr>
        <w:t xml:space="preserve">  归档手续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归档的文件材料，必须按卷（件）逐一填写移交清册（单）一式二份，验收合格后经双方在清册（单）上签字盖章，各自执查。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凡不符合归档要求的文件材料，档案室可不予接收。</w:t>
      </w:r>
    </w:p>
    <w:p>
      <w:pPr>
        <w:spacing w:line="560" w:lineRule="exact"/>
        <w:ind w:firstLine="562" w:firstLineChars="200"/>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方正仿宋简体" w:eastAsia="方正仿宋简体" w:cs="方正仿宋简体"/>
          <w:b/>
          <w:bCs/>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 xml:space="preserve">第四章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档案的借阅</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第十二条</w:t>
      </w:r>
      <w:r>
        <w:rPr>
          <w:rFonts w:hint="eastAsia" w:ascii="方正仿宋简体" w:hAnsi="方正仿宋简体" w:eastAsia="方正仿宋简体" w:cs="方正仿宋简体"/>
          <w:bCs/>
          <w:color w:val="auto"/>
          <w:sz w:val="28"/>
          <w:szCs w:val="28"/>
          <w:highlight w:val="none"/>
        </w:rPr>
        <w:t xml:space="preserve">  档案借阅：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Cs/>
          <w:color w:val="auto"/>
          <w:sz w:val="28"/>
          <w:szCs w:val="28"/>
          <w:highlight w:val="none"/>
        </w:rPr>
        <w:t>（一）</w:t>
      </w:r>
      <w:r>
        <w:rPr>
          <w:rFonts w:hint="eastAsia" w:ascii="方正仿宋简体" w:hAnsi="方正仿宋简体" w:eastAsia="方正仿宋简体" w:cs="方正仿宋简体"/>
          <w:color w:val="auto"/>
          <w:sz w:val="28"/>
          <w:szCs w:val="28"/>
          <w:highlight w:val="none"/>
        </w:rPr>
        <w:t>借阅档案一般在阅览室查阅，确因工作需要借出使用时，必须办理登记手续后方可借出，借出的时间一般不得超过2个月，到期仍需使用时，应及时到档案室办理续借手续。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（二）外单位借阅档案，应持单位介绍信，并由有关人员陪同查阅。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（三）严禁将借出的档案资料转借他人；严禁本单位员工代他人借出档案资料；会计档案不外借。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（四）利用档案，不得丢失、损坏、私自摘抄、翻印、涂改（圈点、划线），抽换转借，未经批准不得复印档案。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（五）档案借出和归还，双方应当面清点，做到安全、完整、整洁。借出登记，归还注销，对到期未归还的档案，督促归还。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仿宋简体" w:hAnsi="方正仿宋简体" w:eastAsia="方正仿宋简体" w:cs="方正仿宋简体"/>
          <w:b w:val="0"/>
          <w:bCs/>
          <w:color w:val="auto"/>
          <w:sz w:val="28"/>
          <w:szCs w:val="28"/>
          <w:highlight w:val="none"/>
        </w:rPr>
      </w:pPr>
      <w:r>
        <w:rPr>
          <w:rFonts w:hint="eastAsia" w:ascii="方正黑体简体" w:hAnsi="方正黑体简体" w:eastAsia="方正黑体简体" w:cs="方正黑体简体"/>
          <w:b w:val="0"/>
          <w:bCs/>
          <w:color w:val="auto"/>
          <w:sz w:val="30"/>
          <w:szCs w:val="30"/>
          <w:highlight w:val="none"/>
        </w:rPr>
        <w:t>第五章</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 xml:space="preserve"> 附 </w:t>
      </w:r>
      <w:r>
        <w:rPr>
          <w:rFonts w:hint="eastAsia" w:ascii="方正黑体简体" w:hAnsi="方正黑体简体" w:eastAsia="方正黑体简体" w:cs="方正黑体简体"/>
          <w:b w:val="0"/>
          <w:bCs/>
          <w:color w:val="auto"/>
          <w:sz w:val="30"/>
          <w:szCs w:val="30"/>
          <w:highlight w:val="none"/>
          <w:lang w:val="en-US" w:eastAsia="zh-CN"/>
        </w:rPr>
        <w:t xml:space="preserve"> </w:t>
      </w:r>
      <w:r>
        <w:rPr>
          <w:rFonts w:hint="eastAsia" w:ascii="方正黑体简体" w:hAnsi="方正黑体简体" w:eastAsia="方正黑体简体" w:cs="方正黑体简体"/>
          <w:b w:val="0"/>
          <w:bCs/>
          <w:color w:val="auto"/>
          <w:sz w:val="30"/>
          <w:szCs w:val="30"/>
          <w:highlight w:val="none"/>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color w:val="auto"/>
          <w:sz w:val="28"/>
          <w:szCs w:val="28"/>
          <w:highlight w:val="none"/>
        </w:rPr>
        <w:t xml:space="preserve"> 本制度由公司经理（党委）办公室负责解释。</w:t>
      </w: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第十四条</w:t>
      </w:r>
      <w:r>
        <w:rPr>
          <w:rFonts w:hint="eastAsia" w:ascii="方正仿宋简体" w:hAnsi="方正仿宋简体" w:eastAsia="方正仿宋简体" w:cs="方正仿宋简体"/>
          <w:color w:val="auto"/>
          <w:sz w:val="28"/>
          <w:szCs w:val="28"/>
          <w:highlight w:val="none"/>
        </w:rPr>
        <w:t xml:space="preserve"> 本制度自发布之日起施行。</w:t>
      </w: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tabs>
          <w:tab w:val="left" w:pos="6075"/>
        </w:tabs>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color w:val="auto"/>
          <w:sz w:val="36"/>
          <w:szCs w:val="36"/>
          <w:highlight w:val="none"/>
          <w:shd w:val="clear" w:color="auto" w:fill="FFFFFF"/>
          <w:lang w:eastAsia="zh-CN"/>
        </w:rPr>
      </w:pPr>
      <w:bookmarkStart w:id="863" w:name="_Toc4025"/>
      <w:bookmarkStart w:id="864" w:name="_Toc8228"/>
      <w:bookmarkStart w:id="865" w:name="_Toc20885"/>
      <w:bookmarkStart w:id="866" w:name="_Toc14390"/>
      <w:bookmarkStart w:id="867" w:name="_Toc28739"/>
      <w:bookmarkStart w:id="868" w:name="_Toc9213"/>
      <w:bookmarkStart w:id="869" w:name="_Toc12366"/>
      <w:bookmarkStart w:id="870" w:name="_Toc20286"/>
      <w:bookmarkStart w:id="871" w:name="_Toc26269"/>
      <w:bookmarkStart w:id="872" w:name="_Toc13169"/>
      <w:bookmarkStart w:id="873" w:name="_Toc5171"/>
      <w:bookmarkStart w:id="874" w:name="_Toc11554"/>
      <w:bookmarkStart w:id="875" w:name="_Toc25597"/>
      <w:bookmarkStart w:id="876" w:name="_Toc15124"/>
      <w:bookmarkStart w:id="877" w:name="_Toc12407"/>
      <w:bookmarkStart w:id="878" w:name="_Toc11094"/>
      <w:bookmarkStart w:id="879" w:name="_Toc30661"/>
      <w:bookmarkStart w:id="880" w:name="_Toc1990"/>
      <w:bookmarkStart w:id="881" w:name="_Toc843"/>
      <w:r>
        <w:rPr>
          <w:rFonts w:hint="eastAsia" w:ascii="方正小标宋简体" w:eastAsia="方正小标宋简体"/>
          <w:b w:val="0"/>
          <w:bCs/>
          <w:color w:val="auto"/>
          <w:sz w:val="36"/>
          <w:szCs w:val="36"/>
          <w:highlight w:val="none"/>
          <w:shd w:val="clear" w:color="auto" w:fill="FFFFFF"/>
          <w:lang w:eastAsia="zh-CN"/>
        </w:rPr>
        <w:t>中油南充燃气有限责任公司</w:t>
      </w:r>
      <w:bookmarkEnd w:id="863"/>
      <w:bookmarkEnd w:id="864"/>
      <w:bookmarkEnd w:id="865"/>
      <w:bookmarkEnd w:id="866"/>
      <w:bookmarkStart w:id="882" w:name="_Toc18677"/>
      <w:bookmarkStart w:id="883" w:name="_Toc5216"/>
      <w:bookmarkStart w:id="884" w:name="_Toc16119"/>
      <w:bookmarkStart w:id="885" w:name="_Toc12954"/>
      <w:r>
        <w:rPr>
          <w:rFonts w:hint="eastAsia" w:ascii="方正小标宋简体" w:eastAsia="方正小标宋简体"/>
          <w:b w:val="0"/>
          <w:bCs/>
          <w:color w:val="auto"/>
          <w:sz w:val="36"/>
          <w:szCs w:val="36"/>
          <w:highlight w:val="none"/>
          <w:shd w:val="clear" w:color="auto" w:fill="FFFFFF"/>
          <w:lang w:eastAsia="zh-CN"/>
        </w:rPr>
        <w:t>作业许可管理办法</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lang w:eastAsia="zh-CN"/>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第一章  总</w:t>
      </w:r>
      <w:r>
        <w:rPr>
          <w:rFonts w:hint="eastAsia" w:ascii="方正黑体简体" w:hAnsi="方正黑体简体" w:eastAsia="方正黑体简体" w:cs="方正黑体简体"/>
          <w:b w:val="0"/>
          <w:bCs/>
          <w:color w:val="auto"/>
          <w:sz w:val="30"/>
          <w:szCs w:val="30"/>
          <w:highlight w:val="none"/>
          <w:shd w:val="clear" w:color="auto" w:fill="FFFFFF"/>
          <w:lang w:val="en-US" w:eastAsia="zh-CN"/>
        </w:rPr>
        <w:t xml:space="preserve">  </w:t>
      </w:r>
      <w:r>
        <w:rPr>
          <w:rFonts w:hint="eastAsia" w:ascii="方正黑体简体" w:hAnsi="方正黑体简体" w:eastAsia="方正黑体简体" w:cs="方正黑体简体"/>
          <w:b w:val="0"/>
          <w:bCs/>
          <w:color w:val="auto"/>
          <w:sz w:val="30"/>
          <w:szCs w:val="30"/>
          <w:highlight w:val="none"/>
          <w:shd w:val="clear" w:color="auto" w:fill="FFFFFF"/>
        </w:rPr>
        <w:t>则</w:t>
      </w:r>
    </w:p>
    <w:p>
      <w:pPr>
        <w:keepNext w:val="0"/>
        <w:keepLines w:val="0"/>
        <w:pageBreakBefore w:val="0"/>
        <w:widowControl w:val="0"/>
        <w:kinsoku/>
        <w:wordWrap/>
        <w:overflowPunct/>
        <w:topLinePunct w:val="0"/>
        <w:bidi w:val="0"/>
        <w:snapToGrid w:val="0"/>
        <w:spacing w:line="560" w:lineRule="exact"/>
        <w:ind w:firstLine="562"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第一条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为规范</w:t>
      </w:r>
      <w:r>
        <w:rPr>
          <w:rFonts w:hint="eastAsia" w:ascii="方正仿宋简体" w:hAnsi="仿宋" w:eastAsia="方正仿宋简体"/>
          <w:color w:val="auto"/>
          <w:sz w:val="28"/>
          <w:szCs w:val="28"/>
          <w:highlight w:val="none"/>
          <w:shd w:val="clear" w:color="auto" w:fill="FFFFFF"/>
          <w:lang w:eastAsia="zh-CN"/>
        </w:rPr>
        <w:t>中油南充</w:t>
      </w:r>
      <w:r>
        <w:rPr>
          <w:rFonts w:hint="eastAsia" w:ascii="方正仿宋简体" w:hAnsi="仿宋" w:eastAsia="方正仿宋简体"/>
          <w:color w:val="auto"/>
          <w:sz w:val="28"/>
          <w:szCs w:val="28"/>
          <w:highlight w:val="none"/>
          <w:shd w:val="clear" w:color="auto" w:fill="FFFFFF"/>
        </w:rPr>
        <w:t>燃气有限责任公司（以下简称公司）作业许可管理，确保作业安全，根据《西南油气田公司作业许可管理规定》</w:t>
      </w:r>
      <w:r>
        <w:rPr>
          <w:rFonts w:hint="eastAsia" w:ascii="方正仿宋简体" w:hAnsi="仿宋" w:eastAsia="方正仿宋简体"/>
          <w:color w:val="auto"/>
          <w:sz w:val="28"/>
          <w:szCs w:val="28"/>
          <w:highlight w:val="none"/>
          <w:shd w:val="clear" w:color="auto" w:fill="FFFFFF"/>
          <w:lang w:eastAsia="zh-CN"/>
        </w:rPr>
        <w:t>及《四川川港燃气有限责任公司作业许可管理办法》</w:t>
      </w:r>
      <w:r>
        <w:rPr>
          <w:rFonts w:hint="eastAsia" w:ascii="方正仿宋简体" w:hAnsi="仿宋" w:eastAsia="方正仿宋简体"/>
          <w:color w:val="auto"/>
          <w:sz w:val="28"/>
          <w:szCs w:val="28"/>
          <w:highlight w:val="none"/>
          <w:shd w:val="clear" w:color="auto" w:fill="FFFFFF"/>
        </w:rPr>
        <w:t>，结合公司实际，特制定本规定。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b/>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第二条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在公司所辖的生产、生活区域内或在已交付的在建装置区域内，开展包括但不限于下列内容的风险作业均应按本规定进行管理：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（一）非计划性维修作业，包括未列入日常维护计划或无程序指导的维修工作。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（二）涉及动火、受限空间等风险较高的计划性检维修作业。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（三）承包商完成的风险作业活动。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（四）交叉作业，以及需要多个部门、单位协作完成的作业。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（五）缺乏安全程序的工作。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（六）屏蔽报警、中断连锁和停用安全应急设备。</w:t>
      </w:r>
    </w:p>
    <w:p>
      <w:pPr>
        <w:keepNext w:val="0"/>
        <w:keepLines w:val="0"/>
        <w:pageBreakBefore w:val="0"/>
        <w:widowControl w:val="0"/>
        <w:kinsoku/>
        <w:wordWrap/>
        <w:overflowPunct/>
        <w:topLinePunct w:val="0"/>
        <w:bidi w:val="0"/>
        <w:snapToGrid w:val="0"/>
        <w:spacing w:line="560" w:lineRule="exact"/>
        <w:ind w:firstLine="562" w:firstLineChars="200"/>
        <w:textAlignment w:val="auto"/>
        <w:outlineLvl w:val="9"/>
        <w:rPr>
          <w:rFonts w:hint="eastAsia"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 xml:space="preserve">第三条 </w:t>
      </w:r>
      <w:r>
        <w:rPr>
          <w:rFonts w:hint="eastAsia" w:ascii="方正仿宋简体" w:hAnsi="仿宋" w:eastAsia="方正仿宋简体"/>
          <w:b/>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本办法适用于公司</w:t>
      </w:r>
      <w:r>
        <w:rPr>
          <w:rFonts w:hint="eastAsia" w:ascii="方正仿宋简体" w:hAnsi="仿宋" w:eastAsia="方正仿宋简体"/>
          <w:color w:val="auto"/>
          <w:sz w:val="28"/>
          <w:szCs w:val="28"/>
          <w:highlight w:val="none"/>
          <w:shd w:val="clear" w:color="auto" w:fill="FFFFFF"/>
          <w:lang w:eastAsia="zh-CN"/>
        </w:rPr>
        <w:t>范围</w:t>
      </w:r>
      <w:r>
        <w:rPr>
          <w:rFonts w:hint="eastAsia" w:ascii="方正仿宋简体" w:hAnsi="仿宋" w:eastAsia="方正仿宋简体"/>
          <w:color w:val="auto"/>
          <w:sz w:val="28"/>
          <w:szCs w:val="28"/>
          <w:highlight w:val="none"/>
          <w:shd w:val="clear" w:color="auto" w:fill="FFFFFF"/>
        </w:rPr>
        <w:t>。</w:t>
      </w:r>
    </w:p>
    <w:p>
      <w:pPr>
        <w:keepNext w:val="0"/>
        <w:keepLines w:val="0"/>
        <w:pageBreakBefore w:val="0"/>
        <w:widowControl w:val="0"/>
        <w:kinsoku/>
        <w:wordWrap/>
        <w:overflowPunct/>
        <w:topLinePunct w:val="0"/>
        <w:bidi w:val="0"/>
        <w:snapToGrid w:val="0"/>
        <w:spacing w:line="560" w:lineRule="exact"/>
        <w:ind w:firstLine="560" w:firstLineChars="200"/>
        <w:textAlignment w:val="auto"/>
        <w:outlineLvl w:val="9"/>
        <w:rPr>
          <w:rFonts w:hint="eastAsia" w:ascii="方正仿宋简体" w:hAnsi="仿宋" w:eastAsia="方正仿宋简体"/>
          <w:color w:val="auto"/>
          <w:sz w:val="28"/>
          <w:szCs w:val="28"/>
          <w:highlight w:val="none"/>
          <w:shd w:val="clear" w:color="auto" w:fill="FFFFFF"/>
        </w:rPr>
      </w:pPr>
    </w:p>
    <w:p>
      <w:pPr>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第二章  作业活动分类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 xml:space="preserve">第四条 </w:t>
      </w:r>
      <w:r>
        <w:rPr>
          <w:rFonts w:hint="eastAsia" w:ascii="方正仿宋简体" w:hAnsi="仿宋" w:eastAsia="方正仿宋简体"/>
          <w:b/>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动火作业、受限空间作业、挖掘作业、高处作业、移动式起重吊装作业、管线与设备打开作业、临时用电作业都应纳入作业许可管理范围。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color w:val="auto"/>
          <w:sz w:val="28"/>
          <w:szCs w:val="28"/>
          <w:highlight w:val="none"/>
          <w:shd w:val="clear" w:color="auto" w:fill="FFFFFF"/>
        </w:rPr>
        <w:t>根据风险大小，作业活动分为A、B、C三类。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Cs/>
          <w:color w:val="auto"/>
          <w:sz w:val="28"/>
          <w:szCs w:val="28"/>
          <w:highlight w:val="none"/>
          <w:shd w:val="clear" w:color="auto" w:fill="FFFFFF"/>
        </w:rPr>
        <w:t>（一）A类作业：</w:t>
      </w:r>
      <w:r>
        <w:rPr>
          <w:rFonts w:hint="eastAsia" w:ascii="方正仿宋简体" w:hAnsi="仿宋" w:eastAsia="方正仿宋简体"/>
          <w:color w:val="auto"/>
          <w:sz w:val="28"/>
          <w:szCs w:val="28"/>
          <w:highlight w:val="none"/>
          <w:shd w:val="clear" w:color="auto" w:fill="FFFFFF"/>
        </w:rPr>
        <w:t>通过风险评估，识别为高风险的作业。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Cs/>
          <w:color w:val="auto"/>
          <w:sz w:val="28"/>
          <w:szCs w:val="28"/>
          <w:highlight w:val="none"/>
          <w:shd w:val="clear" w:color="auto" w:fill="FFFFFF"/>
        </w:rPr>
        <w:t>（二）B类作业：通过风险评估，识别为中等风险的作业。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hint="eastAsia" w:ascii="方正仿宋简体" w:hAnsi="仿宋" w:eastAsia="方正仿宋简体"/>
          <w:bCs/>
          <w:color w:val="auto"/>
          <w:sz w:val="28"/>
          <w:szCs w:val="28"/>
          <w:highlight w:val="none"/>
          <w:shd w:val="clear" w:color="auto" w:fill="FFFFFF"/>
        </w:rPr>
      </w:pPr>
      <w:r>
        <w:rPr>
          <w:rFonts w:hint="eastAsia" w:ascii="方正仿宋简体" w:hAnsi="仿宋" w:eastAsia="方正仿宋简体"/>
          <w:bCs/>
          <w:color w:val="auto"/>
          <w:sz w:val="28"/>
          <w:szCs w:val="28"/>
          <w:highlight w:val="none"/>
          <w:shd w:val="clear" w:color="auto" w:fill="FFFFFF"/>
        </w:rPr>
        <w:t>（三）C类作业：通过风险评估，识别为低风险的作业。该类作业不需要办理作业许可证。</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hint="eastAsia" w:ascii="方正仿宋简体" w:hAnsi="仿宋" w:eastAsia="方正仿宋简体"/>
          <w:bCs/>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第五条</w:t>
      </w:r>
      <w:r>
        <w:rPr>
          <w:rFonts w:hint="eastAsia" w:ascii="方正仿宋简体" w:hAnsi="仿宋" w:eastAsia="方正仿宋简体"/>
          <w:b/>
          <w:color w:val="auto"/>
          <w:sz w:val="28"/>
          <w:szCs w:val="28"/>
          <w:highlight w:val="none"/>
          <w:shd w:val="clear" w:color="auto" w:fill="FFFFFF"/>
          <w:lang w:val="en-US" w:eastAsia="zh-CN"/>
        </w:rPr>
        <w:t xml:space="preserve"> </w:t>
      </w:r>
      <w:r>
        <w:rPr>
          <w:rFonts w:hint="eastAsia" w:ascii="方正仿宋简体" w:hAnsi="仿宋" w:eastAsia="方正仿宋简体"/>
          <w:bCs/>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rPr>
        <w:t>公司</w:t>
      </w:r>
      <w:r>
        <w:rPr>
          <w:rFonts w:hint="eastAsia" w:ascii="方正仿宋简体" w:hAnsi="仿宋" w:eastAsia="方正仿宋简体"/>
          <w:color w:val="auto"/>
          <w:sz w:val="28"/>
          <w:szCs w:val="28"/>
          <w:highlight w:val="none"/>
          <w:shd w:val="clear" w:color="auto" w:fill="FFFFFF"/>
          <w:lang w:eastAsia="zh-CN"/>
        </w:rPr>
        <w:t>工程技术部</w:t>
      </w:r>
      <w:r>
        <w:rPr>
          <w:rFonts w:hint="eastAsia" w:ascii="方正仿宋简体" w:hAnsi="仿宋" w:eastAsia="方正仿宋简体"/>
          <w:color w:val="auto"/>
          <w:sz w:val="28"/>
          <w:szCs w:val="28"/>
          <w:highlight w:val="none"/>
          <w:shd w:val="clear" w:color="auto" w:fill="FFFFFF"/>
        </w:rPr>
        <w:t>按照本规定第五条的要求，盘点、分类、整合本单位所有风险作业活动，组织专业技术人员运用《风险评估矩阵》对作业活动进行风险评估，以文件形式发布本单位《风险作业管理目录》，并报</w:t>
      </w:r>
      <w:r>
        <w:rPr>
          <w:rFonts w:hint="eastAsia" w:ascii="方正仿宋简体" w:hAnsi="仿宋" w:eastAsia="方正仿宋简体"/>
          <w:color w:val="auto"/>
          <w:sz w:val="28"/>
          <w:szCs w:val="28"/>
          <w:highlight w:val="none"/>
          <w:shd w:val="clear" w:color="auto" w:fill="FFFFFF"/>
          <w:lang w:eastAsia="zh-CN"/>
        </w:rPr>
        <w:t>川港</w:t>
      </w:r>
      <w:r>
        <w:rPr>
          <w:rFonts w:hint="eastAsia" w:ascii="方正仿宋简体" w:hAnsi="仿宋" w:eastAsia="方正仿宋简体"/>
          <w:color w:val="auto"/>
          <w:sz w:val="28"/>
          <w:szCs w:val="28"/>
          <w:highlight w:val="none"/>
          <w:shd w:val="clear" w:color="auto" w:fill="FFFFFF"/>
        </w:rPr>
        <w:t>公司质量安全环保</w:t>
      </w:r>
      <w:r>
        <w:rPr>
          <w:rFonts w:hint="eastAsia" w:ascii="方正仿宋简体" w:hAnsi="仿宋" w:eastAsia="方正仿宋简体"/>
          <w:color w:val="auto"/>
          <w:sz w:val="28"/>
          <w:szCs w:val="28"/>
          <w:highlight w:val="none"/>
          <w:shd w:val="clear" w:color="auto" w:fill="FFFFFF"/>
          <w:lang w:eastAsia="zh-CN"/>
        </w:rPr>
        <w:t>部</w:t>
      </w:r>
      <w:r>
        <w:rPr>
          <w:rFonts w:hint="eastAsia" w:ascii="方正仿宋简体" w:hAnsi="仿宋" w:eastAsia="方正仿宋简体"/>
          <w:color w:val="auto"/>
          <w:sz w:val="28"/>
          <w:szCs w:val="28"/>
          <w:highlight w:val="none"/>
          <w:shd w:val="clear" w:color="auto" w:fill="FFFFFF"/>
        </w:rPr>
        <w:t>和业务</w:t>
      </w:r>
      <w:r>
        <w:rPr>
          <w:rFonts w:hint="eastAsia" w:ascii="方正仿宋简体" w:hAnsi="仿宋" w:eastAsia="方正仿宋简体"/>
          <w:color w:val="auto"/>
          <w:sz w:val="28"/>
          <w:szCs w:val="28"/>
          <w:highlight w:val="none"/>
          <w:shd w:val="clear" w:color="auto" w:fill="FFFFFF"/>
          <w:lang w:eastAsia="zh-CN"/>
        </w:rPr>
        <w:t>部室</w:t>
      </w:r>
      <w:r>
        <w:rPr>
          <w:rFonts w:hint="eastAsia" w:ascii="方正仿宋简体" w:hAnsi="仿宋" w:eastAsia="方正仿宋简体"/>
          <w:color w:val="auto"/>
          <w:sz w:val="28"/>
          <w:szCs w:val="28"/>
          <w:highlight w:val="none"/>
          <w:shd w:val="clear" w:color="auto" w:fill="FFFFFF"/>
        </w:rPr>
        <w:t>备案。未列入《风险作业管理目录》的作业活动，在作业前由</w:t>
      </w:r>
      <w:r>
        <w:rPr>
          <w:rFonts w:hint="eastAsia" w:ascii="方正仿宋简体" w:hAnsi="仿宋" w:eastAsia="方正仿宋简体"/>
          <w:color w:val="auto"/>
          <w:sz w:val="28"/>
          <w:szCs w:val="28"/>
          <w:highlight w:val="none"/>
          <w:shd w:val="clear" w:color="auto" w:fill="FFFFFF"/>
          <w:lang w:eastAsia="zh-CN"/>
        </w:rPr>
        <w:t>业务部室</w:t>
      </w:r>
      <w:r>
        <w:rPr>
          <w:rFonts w:hint="eastAsia" w:ascii="方正仿宋简体" w:hAnsi="仿宋" w:eastAsia="方正仿宋简体"/>
          <w:color w:val="auto"/>
          <w:sz w:val="28"/>
          <w:szCs w:val="28"/>
          <w:highlight w:val="none"/>
          <w:shd w:val="clear" w:color="auto" w:fill="FFFFFF"/>
        </w:rPr>
        <w:t>单位负责人组织进行风险识别，并报公司批准，根据实际风险进行分级管理。</w:t>
      </w:r>
    </w:p>
    <w:p>
      <w:pPr>
        <w:keepNext w:val="0"/>
        <w:keepLines w:val="0"/>
        <w:pageBreakBefore w:val="0"/>
        <w:widowControl w:val="0"/>
        <w:kinsoku/>
        <w:wordWrap/>
        <w:overflowPunct/>
        <w:topLinePunct w:val="0"/>
        <w:bidi w:val="0"/>
        <w:snapToGrid w:val="0"/>
        <w:spacing w:line="560" w:lineRule="exact"/>
        <w:ind w:firstLine="562" w:firstLineChars="200"/>
        <w:jc w:val="both"/>
        <w:textAlignment w:val="auto"/>
        <w:outlineLvl w:val="9"/>
        <w:rPr>
          <w:rFonts w:hint="eastAsia" w:ascii="方正仿宋简体" w:hAnsi="仿宋" w:eastAsia="方正仿宋简体"/>
          <w:b/>
          <w:color w:val="auto"/>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第三章  职</w:t>
      </w:r>
      <w:r>
        <w:rPr>
          <w:rFonts w:hint="eastAsia" w:ascii="方正黑体简体" w:hAnsi="方正黑体简体" w:eastAsia="方正黑体简体" w:cs="方正黑体简体"/>
          <w:b w:val="0"/>
          <w:bCs/>
          <w:color w:val="auto"/>
          <w:sz w:val="30"/>
          <w:szCs w:val="30"/>
          <w:highlight w:val="none"/>
          <w:shd w:val="clear" w:color="auto" w:fill="FFFFFF"/>
          <w:lang w:val="en-US" w:eastAsia="zh-CN"/>
        </w:rPr>
        <w:t xml:space="preserve">  </w:t>
      </w:r>
      <w:r>
        <w:rPr>
          <w:rFonts w:hint="eastAsia" w:ascii="方正黑体简体" w:hAnsi="方正黑体简体" w:eastAsia="方正黑体简体" w:cs="方正黑体简体"/>
          <w:b w:val="0"/>
          <w:bCs/>
          <w:color w:val="auto"/>
          <w:sz w:val="30"/>
          <w:szCs w:val="30"/>
          <w:highlight w:val="none"/>
          <w:shd w:val="clear" w:color="auto" w:fill="FFFFFF"/>
        </w:rPr>
        <w:t>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 xml:space="preserve">第六条 </w:t>
      </w:r>
      <w:r>
        <w:rPr>
          <w:rFonts w:hint="eastAsia" w:ascii="方正仿宋简体" w:hAnsi="方正仿宋简体" w:eastAsia="方正仿宋简体" w:cs="方正仿宋简体"/>
          <w:b/>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bCs/>
          <w:color w:val="auto"/>
          <w:sz w:val="28"/>
          <w:szCs w:val="28"/>
          <w:highlight w:val="none"/>
          <w:shd w:val="clear" w:color="auto" w:fill="FFFFFF"/>
        </w:rPr>
        <w:t>质量安全环保部主要职责：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bCs/>
          <w:color w:val="auto"/>
          <w:sz w:val="28"/>
          <w:szCs w:val="28"/>
          <w:highlight w:val="none"/>
          <w:shd w:val="clear" w:color="auto" w:fill="FFFFFF"/>
        </w:rPr>
        <w:t>（一）组织制定作业许可管理制度。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Cs/>
          <w:color w:val="auto"/>
          <w:sz w:val="28"/>
          <w:szCs w:val="28"/>
          <w:highlight w:val="none"/>
          <w:shd w:val="clear" w:color="auto" w:fill="FFFFFF"/>
        </w:rPr>
        <w:t>（二）</w:t>
      </w:r>
      <w:r>
        <w:rPr>
          <w:rFonts w:hint="eastAsia" w:ascii="方正仿宋简体" w:hAnsi="方正仿宋简体" w:eastAsia="方正仿宋简体" w:cs="方正仿宋简体"/>
          <w:color w:val="auto"/>
          <w:kern w:val="0"/>
          <w:sz w:val="28"/>
          <w:szCs w:val="28"/>
          <w:highlight w:val="none"/>
          <w:shd w:val="clear" w:color="auto" w:fill="FFFFFF"/>
        </w:rPr>
        <w:t>组织</w:t>
      </w:r>
      <w:r>
        <w:rPr>
          <w:rFonts w:hint="eastAsia" w:ascii="方正仿宋简体" w:hAnsi="方正仿宋简体" w:eastAsia="方正仿宋简体" w:cs="方正仿宋简体"/>
          <w:color w:val="auto"/>
          <w:kern w:val="0"/>
          <w:sz w:val="28"/>
          <w:szCs w:val="28"/>
          <w:highlight w:val="none"/>
          <w:shd w:val="clear" w:color="auto" w:fill="FFFFFF"/>
          <w:lang w:eastAsia="zh-CN"/>
        </w:rPr>
        <w:t>开展</w:t>
      </w:r>
      <w:r>
        <w:rPr>
          <w:rFonts w:hint="eastAsia" w:ascii="方正仿宋简体" w:hAnsi="方正仿宋简体" w:eastAsia="方正仿宋简体" w:cs="方正仿宋简体"/>
          <w:color w:val="auto"/>
          <w:kern w:val="0"/>
          <w:sz w:val="28"/>
          <w:szCs w:val="28"/>
          <w:highlight w:val="none"/>
          <w:shd w:val="clear" w:color="auto" w:fill="FFFFFF"/>
        </w:rPr>
        <w:t>作业许可培训、考试、考核，并对合格人员进行授权。</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（三）</w:t>
      </w:r>
      <w:r>
        <w:rPr>
          <w:rFonts w:hint="eastAsia" w:ascii="方正仿宋简体" w:hAnsi="方正仿宋简体" w:eastAsia="方正仿宋简体" w:cs="方正仿宋简体"/>
          <w:bCs/>
          <w:color w:val="auto"/>
          <w:sz w:val="28"/>
          <w:szCs w:val="28"/>
          <w:highlight w:val="none"/>
          <w:shd w:val="clear" w:color="auto" w:fill="FFFFFF"/>
        </w:rPr>
        <w:t>监督考核公司作业许可管理。</w:t>
      </w:r>
    </w:p>
    <w:p>
      <w:pPr>
        <w:keepNext w:val="0"/>
        <w:keepLines w:val="0"/>
        <w:pageBreakBefore w:val="0"/>
        <w:widowControl w:val="0"/>
        <w:kinsoku/>
        <w:wordWrap/>
        <w:overflowPunct/>
        <w:topLinePunct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第七条</w:t>
      </w:r>
      <w:r>
        <w:rPr>
          <w:rFonts w:hint="eastAsia" w:ascii="方正仿宋简体" w:hAnsi="方正仿宋简体" w:eastAsia="方正仿宋简体" w:cs="方正仿宋简体"/>
          <w:bCs/>
          <w:color w:val="auto"/>
          <w:kern w:val="0"/>
          <w:sz w:val="28"/>
          <w:szCs w:val="28"/>
          <w:highlight w:val="none"/>
          <w:shd w:val="clear" w:color="auto" w:fill="FFFFFF"/>
        </w:rPr>
        <w:t xml:space="preserve"> </w:t>
      </w:r>
      <w:r>
        <w:rPr>
          <w:rFonts w:hint="eastAsia" w:ascii="方正仿宋简体" w:hAnsi="方正仿宋简体" w:eastAsia="方正仿宋简体" w:cs="方正仿宋简体"/>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sz w:val="28"/>
          <w:szCs w:val="28"/>
          <w:highlight w:val="none"/>
          <w:shd w:val="clear" w:color="auto" w:fill="FFFFFF"/>
          <w:lang w:eastAsia="zh-CN"/>
        </w:rPr>
        <w:t>工程技术</w:t>
      </w:r>
      <w:r>
        <w:rPr>
          <w:rFonts w:hint="eastAsia" w:ascii="方正仿宋简体" w:hAnsi="方正仿宋简体" w:eastAsia="方正仿宋简体" w:cs="方正仿宋简体"/>
          <w:color w:val="auto"/>
          <w:sz w:val="28"/>
          <w:szCs w:val="28"/>
          <w:highlight w:val="none"/>
          <w:shd w:val="clear" w:color="auto" w:fill="FFFFFF"/>
        </w:rPr>
        <w:t>部等业务部门主要职责：</w:t>
      </w:r>
    </w:p>
    <w:p>
      <w:pPr>
        <w:keepNext w:val="0"/>
        <w:keepLines w:val="0"/>
        <w:pageBreakBefore w:val="0"/>
        <w:widowControl w:val="0"/>
        <w:kinsoku/>
        <w:wordWrap/>
        <w:overflowPunct/>
        <w:topLinePunct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color w:val="auto"/>
          <w:sz w:val="28"/>
          <w:szCs w:val="28"/>
          <w:highlight w:val="none"/>
          <w:shd w:val="clear" w:color="auto" w:fill="FFFFFF"/>
        </w:rPr>
        <w:t>（一）组织编制公司《风险作业管理目录》</w:t>
      </w:r>
      <w:r>
        <w:rPr>
          <w:rFonts w:hint="eastAsia" w:ascii="方正仿宋简体" w:hAnsi="方正仿宋简体" w:eastAsia="方正仿宋简体" w:cs="方正仿宋简体"/>
          <w:color w:val="auto"/>
          <w:kern w:val="0"/>
          <w:sz w:val="28"/>
          <w:szCs w:val="28"/>
          <w:highlight w:val="none"/>
          <w:shd w:val="clear" w:color="auto" w:fill="FFFFFF"/>
        </w:rPr>
        <w:t>，目录中应明确风险作业活动，并建立风险作业工作前安全分析（JSA）库，报分管领导审批后发布。</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（二）根据管理权限和风险大小，建立风险作业分级管理机制，明确各层级管理人员、技术人员到风险作业现场管理要求，并按照岗位编制《风险作业人员到现场矩阵》。</w:t>
      </w:r>
    </w:p>
    <w:p>
      <w:pPr>
        <w:keepNext w:val="0"/>
        <w:keepLines w:val="0"/>
        <w:pageBreakBefore w:val="0"/>
        <w:widowControl w:val="0"/>
        <w:kinsoku/>
        <w:wordWrap/>
        <w:overflowPunct/>
        <w:topLinePunct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color w:val="auto"/>
          <w:sz w:val="28"/>
          <w:szCs w:val="28"/>
          <w:highlight w:val="none"/>
          <w:shd w:val="clear" w:color="auto" w:fill="FFFFFF"/>
        </w:rPr>
        <w:t>（三）根据管理权限，按分级管理要求，组织审查业务管理范围内风险作业方案，并督促落实各项控制措施。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第八条</w:t>
      </w:r>
      <w:r>
        <w:rPr>
          <w:rFonts w:hint="eastAsia" w:ascii="方正仿宋简体" w:hAnsi="方正仿宋简体" w:eastAsia="方正仿宋简体" w:cs="方正仿宋简体"/>
          <w:color w:val="auto"/>
          <w:kern w:val="0"/>
          <w:sz w:val="28"/>
          <w:szCs w:val="28"/>
          <w:highlight w:val="none"/>
          <w:shd w:val="clear" w:color="auto" w:fill="FFFFFF"/>
        </w:rPr>
        <w:t xml:space="preserve"> </w:t>
      </w:r>
      <w:r>
        <w:rPr>
          <w:rFonts w:hint="eastAsia" w:ascii="方正仿宋简体" w:hAnsi="方正仿宋简体" w:eastAsia="方正仿宋简体" w:cs="方正仿宋简体"/>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sz w:val="28"/>
          <w:szCs w:val="28"/>
          <w:highlight w:val="none"/>
          <w:shd w:val="clear" w:color="auto" w:fill="FFFFFF"/>
        </w:rPr>
        <w:t>公司各单位主要职责：</w:t>
      </w:r>
    </w:p>
    <w:p>
      <w:pPr>
        <w:keepNext w:val="0"/>
        <w:keepLines w:val="0"/>
        <w:pageBreakBefore w:val="0"/>
        <w:widowControl w:val="0"/>
        <w:kinsoku/>
        <w:wordWrap/>
        <w:overflowPunct/>
        <w:topLinePunct w:val="0"/>
        <w:bidi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color w:val="auto"/>
          <w:sz w:val="28"/>
          <w:szCs w:val="28"/>
          <w:highlight w:val="none"/>
          <w:shd w:val="clear" w:color="auto" w:fill="FFFFFF"/>
        </w:rPr>
        <w:t>（一）公司各单位根据本单位实际情况,明确</w:t>
      </w:r>
      <w:r>
        <w:rPr>
          <w:rFonts w:hint="eastAsia" w:ascii="方正仿宋简体" w:hAnsi="方正仿宋简体" w:eastAsia="方正仿宋简体" w:cs="方正仿宋简体"/>
          <w:color w:val="auto"/>
          <w:sz w:val="28"/>
          <w:szCs w:val="28"/>
          <w:highlight w:val="none"/>
          <w:shd w:val="clear" w:color="auto" w:fill="FFFFFF"/>
          <w:lang w:eastAsia="zh-CN"/>
        </w:rPr>
        <w:t>本单位</w:t>
      </w:r>
      <w:r>
        <w:rPr>
          <w:rFonts w:hint="eastAsia" w:ascii="方正仿宋简体" w:hAnsi="方正仿宋简体" w:eastAsia="方正仿宋简体" w:cs="方正仿宋简体"/>
          <w:color w:val="auto"/>
          <w:sz w:val="28"/>
          <w:szCs w:val="28"/>
          <w:highlight w:val="none"/>
          <w:shd w:val="clear" w:color="auto" w:fill="FFFFFF"/>
        </w:rPr>
        <w:t>在作业许可管理方面的职责权限。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（二）监督检查本单位风险作业管控情况，及时纠正违反本规定的行为。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第九条</w:t>
      </w:r>
      <w:r>
        <w:rPr>
          <w:rFonts w:hint="eastAsia" w:ascii="方正仿宋简体" w:hAnsi="方正仿宋简体" w:eastAsia="方正仿宋简体" w:cs="方正仿宋简体"/>
          <w:b/>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 xml:space="preserve"> 作业许可涉及的作业申请人、作业许可签发人、A类作业批准人、作业项目负责人、属地监督、气体检测员、安全监护、作业许可审核员必须接受培训，经考核合格由公司授予相应资格。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第十条</w:t>
      </w:r>
      <w:r>
        <w:rPr>
          <w:rFonts w:hint="eastAsia" w:ascii="方正仿宋简体" w:hAnsi="方正仿宋简体" w:eastAsia="方正仿宋简体" w:cs="方正仿宋简体"/>
          <w:bCs/>
          <w:color w:val="auto"/>
          <w:kern w:val="0"/>
          <w:sz w:val="28"/>
          <w:szCs w:val="28"/>
          <w:highlight w:val="none"/>
          <w:shd w:val="clear" w:color="auto" w:fill="FFFFFF"/>
        </w:rPr>
        <w:t xml:space="preserve"> </w:t>
      </w:r>
      <w:r>
        <w:rPr>
          <w:rFonts w:hint="eastAsia" w:ascii="方正仿宋简体" w:hAnsi="方正仿宋简体" w:eastAsia="方正仿宋简体" w:cs="方正仿宋简体"/>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作业申请人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作业申请人为该项作业活动的现场负责人，可为本单位员工或承包商员工，其主要职责包括：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（一）做好作业活动计划和各项准备工作。</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（二）现场组织开展本次作业的工作前安全分析。</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（三）负责作业许可申请。</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（四）负责施工作业活动涉及的各类工器具、设备的完整性检查，在醒目位置设置检查合格标识。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（五）开展作业方现场安全技术交底，确保参加作业活动的全体成员理解并遵守作业程序和安全要求。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（六）负责与属地单位进行工作界面交接。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（七）负责确认作业人员资质、能力以及身体状况，确认作业活动过程中设备设施的完好，落实各项安全技术措施。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（八）作业申请人在作业期间不得离开作业区域。</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承包商现场负责人未取得作业申请人资格的，该项作业活动可由属地单位指派本单位具备资格的员工担任作业申请人。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第十一条</w:t>
      </w:r>
      <w:r>
        <w:rPr>
          <w:rFonts w:hint="eastAsia" w:ascii="方正仿宋简体" w:hAnsi="方正仿宋简体" w:eastAsia="方正仿宋简体" w:cs="方正仿宋简体"/>
          <w:b/>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b/>
          <w:bCs/>
          <w:color w:val="auto"/>
          <w:kern w:val="0"/>
          <w:sz w:val="28"/>
          <w:szCs w:val="28"/>
          <w:highlight w:val="none"/>
          <w:shd w:val="clear" w:color="auto" w:fill="FFFFFF"/>
        </w:rPr>
        <w:t xml:space="preserve"> </w:t>
      </w:r>
      <w:r>
        <w:rPr>
          <w:rFonts w:hint="eastAsia" w:ascii="方正仿宋简体" w:hAnsi="方正仿宋简体" w:eastAsia="方正仿宋简体" w:cs="方正仿宋简体"/>
          <w:color w:val="auto"/>
          <w:kern w:val="0"/>
          <w:sz w:val="28"/>
          <w:szCs w:val="28"/>
          <w:highlight w:val="none"/>
          <w:shd w:val="clear" w:color="auto" w:fill="FFFFFF"/>
        </w:rPr>
        <w:t>作业许可签发人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由</w:t>
      </w:r>
      <w:r>
        <w:rPr>
          <w:rFonts w:hint="eastAsia" w:ascii="方正仿宋简体" w:hAnsi="方正仿宋简体" w:eastAsia="方正仿宋简体" w:cs="方正仿宋简体"/>
          <w:color w:val="auto"/>
          <w:kern w:val="0"/>
          <w:sz w:val="28"/>
          <w:szCs w:val="28"/>
          <w:highlight w:val="none"/>
          <w:shd w:val="clear" w:color="auto" w:fill="FFFFFF"/>
          <w:lang w:eastAsia="zh-CN"/>
        </w:rPr>
        <w:t>公司</w:t>
      </w:r>
      <w:r>
        <w:rPr>
          <w:rFonts w:hint="eastAsia" w:ascii="方正仿宋简体" w:hAnsi="方正仿宋简体" w:eastAsia="方正仿宋简体" w:cs="方正仿宋简体"/>
          <w:color w:val="auto"/>
          <w:kern w:val="0"/>
          <w:sz w:val="28"/>
          <w:szCs w:val="28"/>
          <w:highlight w:val="none"/>
          <w:shd w:val="clear" w:color="auto" w:fill="FFFFFF"/>
        </w:rPr>
        <w:t>经培训合格授权的</w:t>
      </w:r>
      <w:r>
        <w:rPr>
          <w:rFonts w:hint="eastAsia" w:ascii="方正仿宋简体" w:hAnsi="方正仿宋简体" w:eastAsia="方正仿宋简体" w:cs="方正仿宋简体"/>
          <w:color w:val="auto"/>
          <w:kern w:val="0"/>
          <w:sz w:val="28"/>
          <w:szCs w:val="28"/>
          <w:highlight w:val="none"/>
          <w:shd w:val="clear" w:color="auto" w:fill="FFFFFF"/>
          <w:lang w:eastAsia="zh-CN"/>
        </w:rPr>
        <w:t>工程技术</w:t>
      </w:r>
      <w:r>
        <w:rPr>
          <w:rFonts w:hint="eastAsia" w:ascii="方正仿宋简体" w:hAnsi="方正仿宋简体" w:eastAsia="方正仿宋简体" w:cs="方正仿宋简体"/>
          <w:color w:val="auto"/>
          <w:kern w:val="0"/>
          <w:sz w:val="28"/>
          <w:szCs w:val="28"/>
          <w:highlight w:val="none"/>
          <w:shd w:val="clear" w:color="auto" w:fill="FFFFFF"/>
        </w:rPr>
        <w:t>部管理人员、技术人员或技师担任，应具备专业技术工作经历，其主要职责包括：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（一）受理作业申请人提交的作业许可证申请。</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（二）进一步开展危害识别和风险分析，审核“工作前安全分析表”，补充、完善安全措施，必要时可要求作业申请人与作业项目负责人再次到现场或亲自到现场核实情况。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（三）审核隔离方案，确定工艺配合措施。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（四）确定作业过程中人员资质、安全措施、监护、监督及劳动保护要求，规定气体检测与监测要求。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（五）指定属地监督，向属地监督明确开工条件确认及监督要求。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（六）签发作业许可证时，与作业申请人沟通作业危害、相关安全要求、措施、应急程序及开工条件。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（七）A类作业应到现场确认控制措施的符合性。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（八）跟踪掌握本单位风险作业活动开展情况。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（九）确认隔离解除条件。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作业许可签发人对作业方案、应急预案不清楚的应联系作业方案或应急预案的批准人获取详细信息，必要时可要求作业方案或应急预案批准人提供专业技术支持和建议。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第十二条</w:t>
      </w:r>
      <w:r>
        <w:rPr>
          <w:rFonts w:hint="eastAsia" w:ascii="方正仿宋简体" w:hAnsi="方正仿宋简体" w:eastAsia="方正仿宋简体" w:cs="方正仿宋简体"/>
          <w:b/>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b/>
          <w:bCs/>
          <w:color w:val="auto"/>
          <w:kern w:val="0"/>
          <w:sz w:val="28"/>
          <w:szCs w:val="28"/>
          <w:highlight w:val="none"/>
          <w:shd w:val="clear" w:color="auto" w:fill="FFFFFF"/>
        </w:rPr>
        <w:t xml:space="preserve"> </w:t>
      </w:r>
      <w:r>
        <w:rPr>
          <w:rFonts w:hint="eastAsia" w:ascii="方正仿宋简体" w:hAnsi="方正仿宋简体" w:eastAsia="方正仿宋简体" w:cs="方正仿宋简体"/>
          <w:bCs/>
          <w:color w:val="auto"/>
          <w:kern w:val="0"/>
          <w:sz w:val="28"/>
          <w:szCs w:val="28"/>
          <w:highlight w:val="none"/>
          <w:shd w:val="clear" w:color="auto" w:fill="FFFFFF"/>
        </w:rPr>
        <w:t>Ａ</w:t>
      </w:r>
      <w:r>
        <w:rPr>
          <w:rFonts w:hint="eastAsia" w:ascii="方正仿宋简体" w:hAnsi="方正仿宋简体" w:eastAsia="方正仿宋简体" w:cs="方正仿宋简体"/>
          <w:color w:val="auto"/>
          <w:kern w:val="0"/>
          <w:sz w:val="28"/>
          <w:szCs w:val="28"/>
          <w:highlight w:val="none"/>
          <w:shd w:val="clear" w:color="auto" w:fill="FFFFFF"/>
        </w:rPr>
        <w:t>类作业批准人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根据作业活动的管理权限由</w:t>
      </w:r>
      <w:r>
        <w:rPr>
          <w:rFonts w:hint="eastAsia" w:ascii="方正仿宋简体" w:hAnsi="方正仿宋简体" w:eastAsia="方正仿宋简体" w:cs="方正仿宋简体"/>
          <w:color w:val="auto"/>
          <w:kern w:val="0"/>
          <w:sz w:val="28"/>
          <w:szCs w:val="28"/>
          <w:highlight w:val="none"/>
          <w:shd w:val="clear" w:color="auto" w:fill="FFFFFF"/>
          <w:lang w:eastAsia="zh-CN"/>
        </w:rPr>
        <w:t>公司</w:t>
      </w:r>
      <w:r>
        <w:rPr>
          <w:rFonts w:hint="eastAsia" w:ascii="方正仿宋简体" w:hAnsi="方正仿宋简体" w:eastAsia="方正仿宋简体" w:cs="方正仿宋简体"/>
          <w:color w:val="auto"/>
          <w:kern w:val="0"/>
          <w:sz w:val="28"/>
          <w:szCs w:val="28"/>
          <w:highlight w:val="none"/>
          <w:shd w:val="clear" w:color="auto" w:fill="FFFFFF"/>
        </w:rPr>
        <w:t>主要领导或分管领导担任，主要职责为审查A类作业活动的必要性、作业安全措施的适应性和实施作业活动的时机。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第十三条</w:t>
      </w:r>
      <w:r>
        <w:rPr>
          <w:rFonts w:hint="eastAsia" w:ascii="方正仿宋简体" w:hAnsi="方正仿宋简体" w:eastAsia="方正仿宋简体" w:cs="方正仿宋简体"/>
          <w:b/>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 xml:space="preserve"> 作业项目负责人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作业项目负责人由项目管理单位或部门指派，可由项目经理、甲方管理人员或技术干部担任，其主要职责包括：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（一）</w:t>
      </w:r>
      <w:r>
        <w:rPr>
          <w:rFonts w:hint="eastAsia" w:ascii="方正仿宋简体" w:hAnsi="方正仿宋简体" w:eastAsia="方正仿宋简体" w:cs="方正仿宋简体"/>
          <w:bCs/>
          <w:color w:val="auto"/>
          <w:sz w:val="28"/>
          <w:szCs w:val="28"/>
          <w:highlight w:val="none"/>
          <w:shd w:val="clear" w:color="auto" w:fill="FFFFFF"/>
        </w:rPr>
        <w:t>组织A类作业首次现场安全技术交底，现场落实审查批准的风险控制措施。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bCs/>
          <w:color w:val="auto"/>
          <w:sz w:val="28"/>
          <w:szCs w:val="28"/>
          <w:highlight w:val="none"/>
          <w:shd w:val="clear" w:color="auto" w:fill="FFFFFF"/>
        </w:rPr>
        <w:t>（二）对作业的安全、质量和进度进行管理和协调，开工前确认工程材料、施工器具、备件符合设计要求，对作业过程质量进行控制，作业结束后确认作业质量合格，并检查确认现场安全状况。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sz w:val="28"/>
          <w:szCs w:val="28"/>
          <w:highlight w:val="none"/>
          <w:shd w:val="clear" w:color="auto" w:fill="FFFFFF"/>
        </w:rPr>
      </w:pPr>
      <w:r>
        <w:rPr>
          <w:rFonts w:hint="eastAsia" w:ascii="方正仿宋简体" w:hAnsi="方正仿宋简体" w:eastAsia="方正仿宋简体" w:cs="方正仿宋简体"/>
          <w:bCs/>
          <w:color w:val="auto"/>
          <w:sz w:val="28"/>
          <w:szCs w:val="28"/>
          <w:highlight w:val="none"/>
          <w:shd w:val="clear" w:color="auto" w:fill="FFFFFF"/>
        </w:rPr>
        <w:t>（三）确认作业完成后是否具备隔离解除条件。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bCs/>
          <w:color w:val="auto"/>
          <w:kern w:val="0"/>
          <w:sz w:val="28"/>
          <w:szCs w:val="28"/>
          <w:highlight w:val="none"/>
          <w:shd w:val="clear" w:color="auto" w:fill="FFFFFF"/>
        </w:rPr>
        <w:t>第十四条</w:t>
      </w:r>
      <w:r>
        <w:rPr>
          <w:rFonts w:hint="eastAsia" w:ascii="方正仿宋简体" w:hAnsi="方正仿宋简体" w:eastAsia="方正仿宋简体" w:cs="方正仿宋简体"/>
          <w:b/>
          <w:bCs/>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 xml:space="preserve"> 属地监督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属地监督即生产单位现场监督人员，一般由作业场所属地主管担任，也可由</w:t>
      </w:r>
      <w:r>
        <w:rPr>
          <w:rFonts w:hint="eastAsia" w:ascii="方正仿宋简体" w:hAnsi="方正仿宋简体" w:eastAsia="方正仿宋简体" w:cs="方正仿宋简体"/>
          <w:color w:val="auto"/>
          <w:kern w:val="0"/>
          <w:sz w:val="28"/>
          <w:szCs w:val="28"/>
          <w:highlight w:val="none"/>
          <w:shd w:val="clear" w:color="auto" w:fill="FFFFFF"/>
          <w:lang w:eastAsia="zh-CN"/>
        </w:rPr>
        <w:t>公司</w:t>
      </w:r>
      <w:r>
        <w:rPr>
          <w:rFonts w:hint="eastAsia" w:ascii="方正仿宋简体" w:hAnsi="方正仿宋简体" w:eastAsia="方正仿宋简体" w:cs="方正仿宋简体"/>
          <w:color w:val="auto"/>
          <w:kern w:val="0"/>
          <w:sz w:val="28"/>
          <w:szCs w:val="28"/>
          <w:highlight w:val="none"/>
          <w:shd w:val="clear" w:color="auto" w:fill="FFFFFF"/>
        </w:rPr>
        <w:t>指派人员担任。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属地监督主要职责包括：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（一）</w:t>
      </w:r>
      <w:r>
        <w:rPr>
          <w:rFonts w:hint="eastAsia" w:ascii="方正仿宋简体" w:hAnsi="方正仿宋简体" w:eastAsia="方正仿宋简体" w:cs="方正仿宋简体"/>
          <w:bCs/>
          <w:color w:val="auto"/>
          <w:kern w:val="0"/>
          <w:sz w:val="28"/>
          <w:szCs w:val="28"/>
          <w:highlight w:val="none"/>
          <w:shd w:val="clear" w:color="auto" w:fill="FFFFFF"/>
        </w:rPr>
        <w:t>参与工作界面交接和现场安全技术交底。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bCs/>
          <w:color w:val="auto"/>
          <w:kern w:val="0"/>
          <w:sz w:val="28"/>
          <w:szCs w:val="28"/>
          <w:highlight w:val="none"/>
          <w:shd w:val="clear" w:color="auto" w:fill="FFFFFF"/>
        </w:rPr>
        <w:t>（二）负责开工条件确认，检查施工单位设备机具已检验合格并设置标识，确认工作前安全分析表和作业许可证上制定的所有安全措施落实到位。</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bCs/>
          <w:color w:val="auto"/>
          <w:kern w:val="0"/>
          <w:sz w:val="28"/>
          <w:szCs w:val="28"/>
          <w:highlight w:val="none"/>
          <w:shd w:val="clear" w:color="auto" w:fill="FFFFFF"/>
        </w:rPr>
        <w:t>（三）对照作业许可证，核实进入现场作业人员身份。确认作业申请人、作业项目负责人以及作业许可证上指定的安全监护等相关人员已到场。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bCs/>
          <w:color w:val="auto"/>
          <w:kern w:val="0"/>
          <w:sz w:val="28"/>
          <w:szCs w:val="28"/>
          <w:highlight w:val="none"/>
          <w:shd w:val="clear" w:color="auto" w:fill="FFFFFF"/>
        </w:rPr>
        <w:t>（四）对A类作业全过程监督，对B类作业巡查监督。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bCs/>
          <w:color w:val="auto"/>
          <w:kern w:val="0"/>
          <w:sz w:val="28"/>
          <w:szCs w:val="28"/>
          <w:highlight w:val="none"/>
          <w:shd w:val="clear" w:color="auto" w:fill="FFFFFF"/>
        </w:rPr>
        <w:t>（五）每日开工条件确认后，向作业许可签发人报告；得到批准后，在作业许可证开工条件确认栏签字确认该班次的作业可以进行。</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rPr>
      </w:pPr>
      <w:r>
        <w:rPr>
          <w:rFonts w:hint="eastAsia" w:ascii="方正仿宋简体" w:hAnsi="方正仿宋简体" w:eastAsia="方正仿宋简体" w:cs="方正仿宋简体"/>
          <w:bCs/>
          <w:color w:val="auto"/>
          <w:kern w:val="0"/>
          <w:sz w:val="28"/>
          <w:szCs w:val="28"/>
          <w:highlight w:val="none"/>
          <w:shd w:val="clear" w:color="auto" w:fill="FFFFFF"/>
        </w:rPr>
        <w:t>（六）每个班次作业完成后，向作业许可签发人报告，并在作业许可证工作界面交接栏签字确认。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bCs/>
          <w:color w:val="auto"/>
          <w:kern w:val="0"/>
          <w:sz w:val="28"/>
          <w:szCs w:val="28"/>
          <w:highlight w:val="none"/>
          <w:shd w:val="clear" w:color="auto" w:fill="FFFFFF"/>
          <w:vertAlign w:val="superscript"/>
        </w:rPr>
      </w:pPr>
      <w:r>
        <w:rPr>
          <w:rFonts w:hint="eastAsia" w:ascii="方正仿宋简体" w:hAnsi="方正仿宋简体" w:eastAsia="方正仿宋简体" w:cs="方正仿宋简体"/>
          <w:bCs/>
          <w:color w:val="auto"/>
          <w:kern w:val="0"/>
          <w:sz w:val="28"/>
          <w:szCs w:val="28"/>
          <w:highlight w:val="none"/>
          <w:shd w:val="clear" w:color="auto" w:fill="FFFFFF"/>
        </w:rPr>
        <w:t>（七）记录向作业许可签发人报告的相关情况。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第十五条</w:t>
      </w:r>
      <w:r>
        <w:rPr>
          <w:rFonts w:hint="eastAsia" w:ascii="方正仿宋简体" w:hAnsi="方正仿宋简体" w:eastAsia="方正仿宋简体" w:cs="方正仿宋简体"/>
          <w:color w:val="auto"/>
          <w:kern w:val="0"/>
          <w:sz w:val="28"/>
          <w:szCs w:val="28"/>
          <w:highlight w:val="none"/>
          <w:shd w:val="clear" w:color="auto" w:fill="FFFFFF"/>
        </w:rPr>
        <w:t xml:space="preserve"> </w:t>
      </w:r>
      <w:r>
        <w:rPr>
          <w:rFonts w:hint="eastAsia" w:ascii="方正仿宋简体" w:hAnsi="方正仿宋简体" w:eastAsia="方正仿宋简体" w:cs="方正仿宋简体"/>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安全监护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安全监护由作业方指派，其主要职责为作业过程中对作业人员实施全程安全监护。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第十六条</w:t>
      </w:r>
      <w:r>
        <w:rPr>
          <w:rFonts w:hint="eastAsia" w:ascii="方正仿宋简体" w:hAnsi="方正仿宋简体" w:eastAsia="方正仿宋简体" w:cs="方正仿宋简体"/>
          <w:b/>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 xml:space="preserve"> 隔离执行人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隔离执行人由属地单位指派，其主要职责包括：</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（一）按方案组织实施能量隔离。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（二）组织作业人员、属地监督进行隔离有效性检测。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（三）按方案组织解除能量隔离。</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隔离完毕后由作业人员、属地人员分别上锁，做到“双锁”锁定。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第十七条</w:t>
      </w:r>
      <w:r>
        <w:rPr>
          <w:rFonts w:hint="eastAsia" w:ascii="方正仿宋简体" w:hAnsi="方正仿宋简体" w:eastAsia="方正仿宋简体" w:cs="方正仿宋简体"/>
          <w:color w:val="auto"/>
          <w:kern w:val="0"/>
          <w:sz w:val="28"/>
          <w:szCs w:val="28"/>
          <w:highlight w:val="none"/>
          <w:shd w:val="clear" w:color="auto" w:fill="FFFFFF"/>
        </w:rPr>
        <w:t xml:space="preserve"> </w:t>
      </w:r>
      <w:r>
        <w:rPr>
          <w:rFonts w:hint="eastAsia" w:ascii="方正仿宋简体" w:hAnsi="方正仿宋简体" w:eastAsia="方正仿宋简体" w:cs="方正仿宋简体"/>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气体检测员</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气体检测员由属地单位人员担任，其主要职责是在作业现场实施作业许可证规定的气体检测与监测。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b/>
          <w:color w:val="auto"/>
          <w:kern w:val="0"/>
          <w:sz w:val="28"/>
          <w:szCs w:val="28"/>
          <w:highlight w:val="none"/>
          <w:shd w:val="clear" w:color="auto" w:fill="FFFFFF"/>
        </w:rPr>
        <w:t>第十八条</w:t>
      </w:r>
      <w:r>
        <w:rPr>
          <w:rFonts w:hint="eastAsia" w:ascii="方正仿宋简体" w:hAnsi="方正仿宋简体" w:eastAsia="方正仿宋简体" w:cs="方正仿宋简体"/>
          <w:color w:val="auto"/>
          <w:kern w:val="0"/>
          <w:sz w:val="28"/>
          <w:szCs w:val="28"/>
          <w:highlight w:val="none"/>
          <w:shd w:val="clear" w:color="auto" w:fill="FFFFFF"/>
        </w:rPr>
        <w:t xml:space="preserve"> </w:t>
      </w:r>
      <w:r>
        <w:rPr>
          <w:rFonts w:hint="eastAsia" w:ascii="方正仿宋简体" w:hAnsi="方正仿宋简体" w:eastAsia="方正仿宋简体" w:cs="方正仿宋简体"/>
          <w:color w:val="auto"/>
          <w:kern w:val="0"/>
          <w:sz w:val="28"/>
          <w:szCs w:val="28"/>
          <w:highlight w:val="none"/>
          <w:shd w:val="clear" w:color="auto" w:fill="FFFFFF"/>
          <w:lang w:val="en-US" w:eastAsia="zh-CN"/>
        </w:rPr>
        <w:t xml:space="preserve"> </w:t>
      </w:r>
      <w:r>
        <w:rPr>
          <w:rFonts w:hint="eastAsia" w:ascii="方正仿宋简体" w:hAnsi="方正仿宋简体" w:eastAsia="方正仿宋简体" w:cs="方正仿宋简体"/>
          <w:color w:val="auto"/>
          <w:kern w:val="0"/>
          <w:sz w:val="28"/>
          <w:szCs w:val="28"/>
          <w:highlight w:val="none"/>
          <w:shd w:val="clear" w:color="auto" w:fill="FFFFFF"/>
        </w:rPr>
        <w:t>作业许可审核员</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rPr>
        <w:t>作业许可独立审核员一般由</w:t>
      </w:r>
      <w:r>
        <w:rPr>
          <w:rFonts w:hint="eastAsia" w:ascii="方正仿宋简体" w:hAnsi="方正仿宋简体" w:eastAsia="方正仿宋简体" w:cs="方正仿宋简体"/>
          <w:color w:val="auto"/>
          <w:kern w:val="0"/>
          <w:sz w:val="28"/>
          <w:szCs w:val="28"/>
          <w:highlight w:val="none"/>
          <w:shd w:val="clear" w:color="auto" w:fill="FFFFFF"/>
          <w:lang w:eastAsia="zh-CN"/>
        </w:rPr>
        <w:t>质量安全环保部</w:t>
      </w:r>
      <w:r>
        <w:rPr>
          <w:rFonts w:hint="eastAsia" w:ascii="方正仿宋简体" w:hAnsi="方正仿宋简体" w:eastAsia="方正仿宋简体" w:cs="方正仿宋简体"/>
          <w:color w:val="auto"/>
          <w:kern w:val="0"/>
          <w:sz w:val="28"/>
          <w:szCs w:val="28"/>
          <w:highlight w:val="none"/>
          <w:shd w:val="clear" w:color="auto" w:fill="FFFFFF"/>
        </w:rPr>
        <w:t>人员担任，其主要职责是对作业许可执行情况进行符合性审核。</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r>
        <w:rPr>
          <w:rFonts w:hint="eastAsia" w:ascii="方正仿宋简体" w:hAnsi="方正仿宋简体" w:eastAsia="方正仿宋简体" w:cs="方正仿宋简体"/>
          <w:color w:val="auto"/>
          <w:kern w:val="0"/>
          <w:sz w:val="28"/>
          <w:szCs w:val="28"/>
          <w:highlight w:val="none"/>
          <w:shd w:val="clear" w:color="auto" w:fill="FFFFFF"/>
          <w:lang w:eastAsia="zh-CN"/>
        </w:rPr>
        <w:t>公司</w:t>
      </w:r>
      <w:r>
        <w:rPr>
          <w:rFonts w:hint="eastAsia" w:ascii="方正仿宋简体" w:hAnsi="方正仿宋简体" w:eastAsia="方正仿宋简体" w:cs="方正仿宋简体"/>
          <w:color w:val="auto"/>
          <w:kern w:val="0"/>
          <w:sz w:val="28"/>
          <w:szCs w:val="28"/>
          <w:highlight w:val="none"/>
          <w:shd w:val="clear" w:color="auto" w:fill="FFFFFF"/>
        </w:rPr>
        <w:t>行政主要领导、分管生产、安全的领导干部应取得审核员资格。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第四章  作业许可申请准备</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第十九条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得到批准的作业方案或派工单是作业许可受理的前置条件。承包商编制了作业方案的复杂作业，属地单位应编制HSE作业计划书并得到审批。</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olor w:val="auto"/>
          <w:sz w:val="32"/>
          <w:szCs w:val="32"/>
          <w:highlight w:val="none"/>
          <w:shd w:val="clear" w:color="auto" w:fill="FFFFFF"/>
        </w:rPr>
      </w:pPr>
      <w:r>
        <w:rPr>
          <w:rFonts w:hint="eastAsia" w:ascii="方正仿宋简体" w:hAnsi="仿宋" w:eastAsia="方正仿宋简体"/>
          <w:b/>
          <w:color w:val="auto"/>
          <w:sz w:val="28"/>
          <w:szCs w:val="28"/>
          <w:highlight w:val="none"/>
          <w:shd w:val="clear" w:color="auto" w:fill="FFFFFF"/>
        </w:rPr>
        <w:t>第二十条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工作前安全分析是作业许可审批的基本条件。编制工作前安全分析表（JSA）时，作业申请人、作业项目负责人应到现场核实情况并选择熟悉工作前安全分析方法的管理人员、技术人员、HSE人员、作业人员、操作人员参与编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第二十一条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涉及能量隔离的作业活动，应编制能量隔离方案，隔离方案应作为作业方案或HSE作业计划书的组成部分一并审查批准。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第二十二条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lang w:eastAsia="zh-CN"/>
        </w:rPr>
        <w:t>在川港公司</w:t>
      </w:r>
      <w:r>
        <w:rPr>
          <w:rFonts w:hint="eastAsia" w:ascii="方正仿宋简体" w:hAnsi="仿宋" w:eastAsia="方正仿宋简体"/>
          <w:color w:val="auto"/>
          <w:sz w:val="28"/>
          <w:szCs w:val="28"/>
          <w:highlight w:val="none"/>
          <w:shd w:val="clear" w:color="auto" w:fill="FFFFFF"/>
        </w:rPr>
        <w:t>质量安全环保部每年第一季度牵头组织对《风险作业管理目录》、《工作前安全分析库》、《风险作业人员到现场矩阵》进行评审并更新发布</w:t>
      </w:r>
      <w:r>
        <w:rPr>
          <w:rFonts w:hint="eastAsia" w:ascii="方正仿宋简体" w:hAnsi="仿宋" w:eastAsia="方正仿宋简体"/>
          <w:color w:val="auto"/>
          <w:sz w:val="28"/>
          <w:szCs w:val="28"/>
          <w:highlight w:val="none"/>
          <w:shd w:val="clear" w:color="auto" w:fill="FFFFFF"/>
          <w:lang w:eastAsia="zh-CN"/>
        </w:rPr>
        <w:t>后，工程技术部按更新后要求执行</w:t>
      </w:r>
      <w:r>
        <w:rPr>
          <w:rFonts w:hint="eastAsia" w:ascii="方正仿宋简体" w:hAnsi="仿宋" w:eastAsia="方正仿宋简体"/>
          <w:color w:val="auto"/>
          <w:sz w:val="28"/>
          <w:szCs w:val="28"/>
          <w:highlight w:val="none"/>
          <w:shd w:val="clear" w:color="auto" w:fill="FFFFFF"/>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strike/>
          <w:color w:val="auto"/>
          <w:kern w:val="0"/>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第五章  作业许可管理流程</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bCs/>
          <w:color w:val="auto"/>
          <w:kern w:val="0"/>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第二十三条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bCs/>
          <w:color w:val="auto"/>
          <w:kern w:val="0"/>
          <w:sz w:val="28"/>
          <w:szCs w:val="28"/>
          <w:highlight w:val="none"/>
          <w:shd w:val="clear" w:color="auto" w:fill="FFFFFF"/>
        </w:rPr>
        <w:t>作业许可证申请</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作业许可证按西南油气田公司作业许可管理流程办理。作业前由作业申请人依据经过审查批准的</w:t>
      </w:r>
      <w:r>
        <w:rPr>
          <w:rFonts w:hint="eastAsia" w:ascii="方正仿宋简体" w:hAnsi="仿宋" w:eastAsia="方正仿宋简体"/>
          <w:color w:val="auto"/>
          <w:sz w:val="28"/>
          <w:szCs w:val="28"/>
          <w:highlight w:val="none"/>
          <w:shd w:val="clear" w:color="auto" w:fill="FFFFFF"/>
        </w:rPr>
        <w:t>作业方案或派工单</w:t>
      </w:r>
      <w:r>
        <w:rPr>
          <w:rFonts w:hint="eastAsia" w:ascii="方正仿宋简体" w:hAnsi="仿宋" w:eastAsia="方正仿宋简体" w:cs="宋体"/>
          <w:color w:val="auto"/>
          <w:kern w:val="0"/>
          <w:sz w:val="28"/>
          <w:szCs w:val="28"/>
          <w:highlight w:val="none"/>
          <w:shd w:val="clear" w:color="auto" w:fill="FFFFFF"/>
        </w:rPr>
        <w:t>提出申请，填写作业许可证申请栏，提供相关资料，这些资料包括但不限于：</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（一）相关附图（如工艺流程示意图、平面布置示意图等）。</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（二）工作前安全分析表。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（三）特种作业人员的资质证书。</w:t>
      </w:r>
    </w:p>
    <w:p>
      <w:pPr>
        <w:keepNext w:val="0"/>
        <w:keepLines w:val="0"/>
        <w:pageBreakBefore w:val="0"/>
        <w:widowControl w:val="0"/>
        <w:kinsoku/>
        <w:wordWrap/>
        <w:overflowPunct/>
        <w:topLinePunct w:val="0"/>
        <w:bidi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（四）其它需要提供的附件，如经过审批的施工方案、应急预案等。</w:t>
      </w:r>
    </w:p>
    <w:p>
      <w:pPr>
        <w:keepNext w:val="0"/>
        <w:keepLines w:val="0"/>
        <w:pageBreakBefore w:val="0"/>
        <w:widowControl w:val="0"/>
        <w:kinsoku/>
        <w:wordWrap/>
        <w:overflowPunct/>
        <w:topLinePunct w:val="0"/>
        <w:bidi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每个作业申请人可以申请多张作业许可证，但同一时间段只能组织一项作业。每张作业许可证只对单项作业活动有效，不允许一张作业许可证同时覆盖多个作业地点。</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黑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 xml:space="preserve">第二十四条 </w:t>
      </w:r>
      <w:r>
        <w:rPr>
          <w:rFonts w:hint="eastAsia" w:ascii="方正仿宋简体" w:hAnsi="仿宋" w:eastAsia="方正仿宋简体"/>
          <w:b/>
          <w:bCs/>
          <w:color w:val="auto"/>
          <w:kern w:val="0"/>
          <w:sz w:val="28"/>
          <w:szCs w:val="28"/>
          <w:highlight w:val="none"/>
          <w:shd w:val="clear" w:color="auto" w:fill="FFFFFF"/>
          <w:lang w:val="en-US" w:eastAsia="zh-CN"/>
        </w:rPr>
        <w:t xml:space="preserve"> </w:t>
      </w:r>
      <w:r>
        <w:rPr>
          <w:rFonts w:hint="eastAsia" w:ascii="方正仿宋简体" w:hAnsi="仿宋" w:eastAsia="方正仿宋简体" w:cs="黑体"/>
          <w:color w:val="auto"/>
          <w:kern w:val="0"/>
          <w:sz w:val="28"/>
          <w:szCs w:val="28"/>
          <w:highlight w:val="none"/>
          <w:shd w:val="clear" w:color="auto" w:fill="FFFFFF"/>
        </w:rPr>
        <w:t>作业许可受理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作业许可签发人负责对作业申请人提交的作业许可申请资料进行审查。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（一）审查工作前安全分析时，作业许可签发人需进一步进行危害识别，补充、完善安全措施，必要时可要求作业申请人与作业项目负责人再次到现场核实，或征求相关专业人员建议。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（二）确认作业方案、HSE作业计划书已得到审批；规定作业过程中应采取的所有安全措施，制定气体检测、监测要求。</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（三）作业活动情况应告知相关方，确认相关方已了解该项作业对本单位的影响，确认相关方已安排人员对该项工作给予关注。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（四）作业涉及到能量隔离应编制隔离方案并得到批准，涉及临时用电的应办理临时用电申请单。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bCs/>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第二十五条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bCs/>
          <w:color w:val="auto"/>
          <w:kern w:val="0"/>
          <w:sz w:val="28"/>
          <w:szCs w:val="28"/>
          <w:highlight w:val="none"/>
          <w:shd w:val="clear" w:color="auto" w:fill="FFFFFF"/>
        </w:rPr>
        <w:t>作业许可签发</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A类作业，作业许可签发人应将受理完毕的作业申请资料呈送Ａ类作业批准人审查，审查通过后再由签发人签发作业许可证。B类作业，签发人受理完毕后签发作业许可证。</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bCs/>
          <w:color w:val="auto"/>
          <w:kern w:val="0"/>
          <w:sz w:val="28"/>
          <w:szCs w:val="28"/>
          <w:highlight w:val="none"/>
          <w:shd w:val="clear" w:color="auto" w:fill="FFFFFF"/>
        </w:rPr>
      </w:pPr>
      <w:r>
        <w:rPr>
          <w:rFonts w:hint="eastAsia" w:ascii="方正仿宋简体" w:hAnsi="仿宋" w:eastAsia="方正仿宋简体" w:cs="宋体"/>
          <w:bCs/>
          <w:color w:val="auto"/>
          <w:kern w:val="0"/>
          <w:sz w:val="28"/>
          <w:szCs w:val="28"/>
          <w:highlight w:val="none"/>
          <w:shd w:val="clear" w:color="auto" w:fill="FFFFFF"/>
        </w:rPr>
        <w:t>签发作业许可时，作业许可签发人应与作业申请人沟通作业危害、相关安全要求、措施、应急程序及开工条件。</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第二十六条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工作界面交接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属地操作人员落实排放、置换、能量隔离、隔离有效性验证、气体检测、上锁挂牌等措施，作业许可签发人或委托的属地监督与作业申请人进行工作界面现场交接。A类作业首次交接，作业许可签发人应到现场核查控制措施符合性，与属地监督共同进行工作界面交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第二十七条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bCs/>
          <w:color w:val="auto"/>
          <w:kern w:val="0"/>
          <w:sz w:val="28"/>
          <w:szCs w:val="28"/>
          <w:highlight w:val="none"/>
          <w:shd w:val="clear" w:color="auto" w:fill="FFFFFF"/>
        </w:rPr>
        <w:t>作业方现场</w:t>
      </w:r>
      <w:r>
        <w:rPr>
          <w:rFonts w:hint="eastAsia" w:ascii="方正仿宋简体" w:hAnsi="仿宋" w:eastAsia="方正仿宋简体" w:cs="宋体"/>
          <w:color w:val="auto"/>
          <w:kern w:val="0"/>
          <w:sz w:val="28"/>
          <w:szCs w:val="28"/>
          <w:highlight w:val="none"/>
          <w:shd w:val="clear" w:color="auto" w:fill="FFFFFF"/>
        </w:rPr>
        <w:t>安全技术交底与开工条件确认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首次开工，作业项目负责人到场，确认材料、备件、施工机具等符合设计要求，并组织A类作业首次现场安全技术交底。A类作业首次开工，作业许可签发人应到现场核查控制措施符合性，与属地监督共同进行开工条件确认。</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每班开工前，作业申请人在属地监督配合下，组织全体作业人员、监护人员在作业地点进行现场安全技术交底，确保作业人员理解并遵守作业程序和安全要求。作业方应逐项落实安全、技术措施以及应急处置措施。属地监督按照作业许可证及工作前安全分析表进行现场条件确认，并</w:t>
      </w:r>
      <w:r>
        <w:rPr>
          <w:rFonts w:hint="eastAsia" w:ascii="方正仿宋简体" w:hAnsi="仿宋" w:eastAsia="方正仿宋简体" w:cs="宋体"/>
          <w:bCs/>
          <w:color w:val="auto"/>
          <w:kern w:val="0"/>
          <w:sz w:val="28"/>
          <w:szCs w:val="28"/>
          <w:highlight w:val="none"/>
          <w:shd w:val="clear" w:color="auto" w:fill="FFFFFF"/>
        </w:rPr>
        <w:t>向作业许可签发人报告，得到批准后</w:t>
      </w:r>
      <w:r>
        <w:rPr>
          <w:rFonts w:hint="eastAsia" w:ascii="方正仿宋简体" w:hAnsi="仿宋" w:eastAsia="方正仿宋简体" w:cs="宋体"/>
          <w:color w:val="auto"/>
          <w:kern w:val="0"/>
          <w:sz w:val="28"/>
          <w:szCs w:val="28"/>
          <w:highlight w:val="none"/>
          <w:shd w:val="clear" w:color="auto" w:fill="FFFFFF"/>
        </w:rPr>
        <w:t>签字确认开工。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bCs/>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现场确认内容包括但不限于：</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（一）已与受影响的相关方进行沟通、确认，或将本次作业的许可证复印件交与受影响的相关方。</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（二）已完成现场安全技术交底。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bCs/>
          <w:color w:val="auto"/>
          <w:kern w:val="0"/>
          <w:sz w:val="28"/>
          <w:szCs w:val="28"/>
          <w:highlight w:val="none"/>
          <w:shd w:val="clear" w:color="auto" w:fill="FFFFFF"/>
        </w:rPr>
      </w:pPr>
      <w:r>
        <w:rPr>
          <w:rFonts w:hint="eastAsia" w:ascii="方正仿宋简体" w:hAnsi="仿宋" w:eastAsia="方正仿宋简体" w:cs="宋体"/>
          <w:bCs/>
          <w:color w:val="auto"/>
          <w:kern w:val="0"/>
          <w:sz w:val="28"/>
          <w:szCs w:val="28"/>
          <w:highlight w:val="none"/>
          <w:shd w:val="clear" w:color="auto" w:fill="FFFFFF"/>
        </w:rPr>
        <w:t>（三）检查机具的完整性和安全性。</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（四）特种作业人员、作业申请人、监护人、作业项目负责人与作业许可证指定人员相符。</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（五）作业许可证其他指定人员到场。</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（六）能量隔离、置换、吹扫、隔离有效性检测合格，完成上锁挂牌。</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（七）作业设备内部、外部环境</w:t>
      </w:r>
      <w:r>
        <w:rPr>
          <w:rFonts w:hint="eastAsia" w:ascii="方正仿宋简体" w:hAnsi="仿宋" w:eastAsia="方正仿宋简体" w:cs="宋体"/>
          <w:bCs/>
          <w:color w:val="auto"/>
          <w:kern w:val="0"/>
          <w:sz w:val="28"/>
          <w:szCs w:val="28"/>
          <w:highlight w:val="none"/>
          <w:shd w:val="clear" w:color="auto" w:fill="FFFFFF"/>
        </w:rPr>
        <w:t>气体检测合格。</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（八）个人防护用品配备齐全。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hint="eastAsia"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（九）作业方案、工作前安全分析表及作业许可证中提出的其他安全措施落实到位。</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第二十八条</w:t>
      </w:r>
      <w:r>
        <w:rPr>
          <w:rFonts w:hint="eastAsia" w:ascii="方正仿宋简体" w:hAnsi="仿宋" w:eastAsia="方正仿宋简体"/>
          <w:b/>
          <w:color w:val="auto"/>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rPr>
        <w:t>作业许可证续签</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作业活动如一个班次不能完成，按以下要求续签：</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（一）在工艺条件、作业环境没有变化的前提下，作业许可签发人确认的控制措施在7个工作日内有效。</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若一个连续作业班次结束时作业未完成，属地监督向作业许可签发人汇报后，与作业申请人进行工作界面交接，作业许可证交回属地监督。下一个班次续签前，属地监督重新确认作业安全条件和设备状态后，请示作业许可签发人同意，与作业申请人进行工作界面交接。</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（三）超过24小时停工，作业项目负责人应到现场重新确认安全条件和设备状态。</w:t>
      </w:r>
    </w:p>
    <w:p>
      <w:pPr>
        <w:keepNext w:val="0"/>
        <w:keepLines w:val="0"/>
        <w:pageBreakBefore w:val="0"/>
        <w:widowControl w:val="0"/>
        <w:kinsoku/>
        <w:wordWrap/>
        <w:overflowPunct/>
        <w:topLinePunct w:val="0"/>
        <w:autoSpaceDE w:val="0"/>
        <w:autoSpaceDN w:val="0"/>
        <w:bidi w:val="0"/>
        <w:adjustRightIn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b/>
          <w:color w:val="auto"/>
          <w:kern w:val="0"/>
          <w:sz w:val="28"/>
          <w:szCs w:val="28"/>
          <w:highlight w:val="none"/>
          <w:shd w:val="clear" w:color="auto" w:fill="FFFFFF"/>
        </w:rPr>
        <w:t>第二十九条</w:t>
      </w:r>
      <w:r>
        <w:rPr>
          <w:rFonts w:hint="eastAsia" w:ascii="方正仿宋简体" w:hAnsi="仿宋" w:eastAsia="方正仿宋简体" w:cs="宋体"/>
          <w:color w:val="auto"/>
          <w:kern w:val="0"/>
          <w:sz w:val="28"/>
          <w:szCs w:val="28"/>
          <w:highlight w:val="none"/>
          <w:shd w:val="clear" w:color="auto" w:fill="FFFFFF"/>
        </w:rPr>
        <w:t xml:space="preserve"> 作业许可证关闭</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作业许可证关闭前，作业申请人签字确认工完、料净、场地清；作业项目负责人签字确认作业质量合格，具备投复运条件。</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由属地监督现场检查合格后报作业许可签发人同意后关闭作业许可证。具备解除隔离条件时，按照“谁同意，谁批准”的原则，由作业许可签发人与作业项目负责人沟通确认后，安排隔离执行人组织锁定人员进行隔离解除并签字确认。</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（二）作业完成、作业取消、作业许可证到期三种情况下均应对当前作业许可票证进行关闭。</w:t>
      </w:r>
    </w:p>
    <w:p>
      <w:pPr>
        <w:keepNext w:val="0"/>
        <w:keepLines w:val="0"/>
        <w:pageBreakBefore w:val="0"/>
        <w:widowControl w:val="0"/>
        <w:kinsoku/>
        <w:wordWrap/>
        <w:overflowPunct/>
        <w:topLinePunct w:val="0"/>
        <w:bidi w:val="0"/>
        <w:snapToGrid w:val="0"/>
        <w:spacing w:line="560" w:lineRule="exact"/>
        <w:ind w:firstLine="562" w:firstLineChars="200"/>
        <w:jc w:val="both"/>
        <w:textAlignment w:val="auto"/>
        <w:outlineLvl w:val="9"/>
        <w:rPr>
          <w:rFonts w:hint="eastAsia" w:ascii="方正仿宋简体" w:hAnsi="仿宋" w:eastAsia="方正仿宋简体" w:cs="宋体"/>
          <w:b/>
          <w:color w:val="auto"/>
          <w:kern w:val="0"/>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kern w:val="0"/>
          <w:sz w:val="30"/>
          <w:szCs w:val="30"/>
          <w:highlight w:val="none"/>
          <w:shd w:val="clear" w:color="auto" w:fill="FFFFFF"/>
        </w:rPr>
      </w:pPr>
      <w:r>
        <w:rPr>
          <w:rFonts w:hint="eastAsia" w:ascii="方正黑体简体" w:hAnsi="方正黑体简体" w:eastAsia="方正黑体简体" w:cs="方正黑体简体"/>
          <w:b w:val="0"/>
          <w:bCs/>
          <w:color w:val="auto"/>
          <w:kern w:val="0"/>
          <w:sz w:val="30"/>
          <w:szCs w:val="30"/>
          <w:highlight w:val="none"/>
          <w:shd w:val="clear" w:color="auto" w:fill="FFFFFF"/>
        </w:rPr>
        <w:t>第六章  安全措施与监督</w:t>
      </w:r>
    </w:p>
    <w:p>
      <w:pPr>
        <w:keepNext w:val="0"/>
        <w:keepLines w:val="0"/>
        <w:pageBreakBefore w:val="0"/>
        <w:kinsoku/>
        <w:wordWrap/>
        <w:overflowPunct/>
        <w:topLinePunct w:val="0"/>
        <w:bidi w:val="0"/>
        <w:snapToGrid w:val="0"/>
        <w:spacing w:line="560" w:lineRule="exact"/>
        <w:ind w:firstLine="562" w:firstLineChars="200"/>
        <w:textAlignment w:val="auto"/>
        <w:outlineLvl w:val="9"/>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涉及到</w:t>
      </w:r>
      <w:r>
        <w:rPr>
          <w:rFonts w:hint="eastAsia" w:ascii="方正仿宋简体" w:hAnsi="仿宋" w:eastAsia="方正仿宋简体"/>
          <w:bCs/>
          <w:color w:val="auto"/>
          <w:sz w:val="28"/>
          <w:szCs w:val="28"/>
          <w:highlight w:val="none"/>
          <w:shd w:val="clear" w:color="auto" w:fill="FFFFFF"/>
        </w:rPr>
        <w:t>《</w:t>
      </w:r>
      <w:r>
        <w:rPr>
          <w:rFonts w:hint="eastAsia" w:ascii="方正仿宋简体" w:hAnsi="仿宋" w:eastAsia="方正仿宋简体" w:cs="方正小标宋简体"/>
          <w:color w:val="auto"/>
          <w:sz w:val="28"/>
          <w:szCs w:val="28"/>
          <w:highlight w:val="none"/>
          <w:lang w:val="zh-CN"/>
        </w:rPr>
        <w:t>动火作业安全管理规范》、</w:t>
      </w:r>
      <w:r>
        <w:rPr>
          <w:rFonts w:hint="eastAsia" w:ascii="方正仿宋简体" w:hAnsi="仿宋" w:eastAsia="方正仿宋简体" w:cs="宋体"/>
          <w:color w:val="auto"/>
          <w:kern w:val="0"/>
          <w:sz w:val="28"/>
          <w:szCs w:val="28"/>
          <w:highlight w:val="none"/>
          <w:shd w:val="clear" w:color="auto" w:fill="FFFFFF"/>
        </w:rPr>
        <w:t>《</w:t>
      </w:r>
      <w:r>
        <w:rPr>
          <w:rFonts w:hint="eastAsia" w:ascii="方正仿宋简体" w:hAnsi="仿宋" w:eastAsia="方正仿宋简体"/>
          <w:bCs/>
          <w:color w:val="auto"/>
          <w:sz w:val="28"/>
          <w:szCs w:val="28"/>
          <w:highlight w:val="none"/>
          <w:shd w:val="clear" w:color="auto" w:fill="FFFFFF"/>
        </w:rPr>
        <w:t>进入受限空间作业安全管理规范》、《</w:t>
      </w:r>
      <w:r>
        <w:rPr>
          <w:rFonts w:hint="eastAsia" w:ascii="方正仿宋简体" w:hAnsi="仿宋" w:eastAsia="方正仿宋简体"/>
          <w:bCs/>
          <w:color w:val="auto"/>
          <w:sz w:val="28"/>
          <w:szCs w:val="28"/>
          <w:highlight w:val="none"/>
        </w:rPr>
        <w:t>管线与设备打开作业安全管理规范》、</w:t>
      </w:r>
      <w:r>
        <w:rPr>
          <w:rFonts w:hint="eastAsia" w:ascii="方正仿宋简体" w:hAnsi="仿宋" w:eastAsia="方正仿宋简体"/>
          <w:bCs/>
          <w:color w:val="auto"/>
          <w:sz w:val="28"/>
          <w:szCs w:val="28"/>
          <w:highlight w:val="none"/>
          <w:shd w:val="clear" w:color="auto" w:fill="FFFFFF"/>
        </w:rPr>
        <w:t>《</w:t>
      </w:r>
      <w:r>
        <w:rPr>
          <w:rFonts w:hint="eastAsia" w:ascii="方正仿宋简体" w:hAnsi="仿宋" w:eastAsia="方正仿宋简体"/>
          <w:color w:val="auto"/>
          <w:sz w:val="28"/>
          <w:szCs w:val="28"/>
          <w:highlight w:val="none"/>
        </w:rPr>
        <w:t>高处作业安全管理规范》</w:t>
      </w:r>
      <w:r>
        <w:rPr>
          <w:rFonts w:hint="eastAsia" w:ascii="方正仿宋简体" w:hAnsi="仿宋" w:eastAsia="方正仿宋简体"/>
          <w:bCs/>
          <w:color w:val="auto"/>
          <w:sz w:val="28"/>
          <w:szCs w:val="28"/>
          <w:highlight w:val="none"/>
          <w:shd w:val="clear" w:color="auto" w:fill="FFFFFF"/>
        </w:rPr>
        <w:t>、</w:t>
      </w:r>
      <w:r>
        <w:rPr>
          <w:rFonts w:hint="eastAsia" w:ascii="方正仿宋简体" w:hAnsi="仿宋" w:eastAsia="方正仿宋简体"/>
          <w:color w:val="auto"/>
          <w:sz w:val="28"/>
          <w:szCs w:val="28"/>
          <w:highlight w:val="none"/>
        </w:rPr>
        <w:t>《临时用电作业安全</w:t>
      </w:r>
      <w:r>
        <w:rPr>
          <w:rFonts w:hint="eastAsia" w:ascii="方正仿宋简体" w:hAnsi="仿宋" w:eastAsia="方正仿宋简体"/>
          <w:bCs/>
          <w:color w:val="auto"/>
          <w:sz w:val="28"/>
          <w:szCs w:val="28"/>
          <w:highlight w:val="none"/>
        </w:rPr>
        <w:t>管理规范》</w:t>
      </w:r>
      <w:r>
        <w:rPr>
          <w:rFonts w:hint="eastAsia" w:ascii="方正仿宋简体" w:hAnsi="仿宋" w:eastAsia="方正仿宋简体"/>
          <w:bCs/>
          <w:color w:val="auto"/>
          <w:sz w:val="28"/>
          <w:szCs w:val="28"/>
          <w:highlight w:val="none"/>
          <w:shd w:val="clear" w:color="auto" w:fill="FFFFFF"/>
        </w:rPr>
        <w:t>、《</w:t>
      </w:r>
      <w:r>
        <w:rPr>
          <w:rFonts w:hint="eastAsia" w:ascii="方正仿宋简体" w:hAnsi="仿宋" w:eastAsia="方正仿宋简体"/>
          <w:color w:val="auto"/>
          <w:sz w:val="28"/>
          <w:szCs w:val="28"/>
          <w:highlight w:val="none"/>
        </w:rPr>
        <w:t>挖掘作业安全管理规范》</w:t>
      </w:r>
      <w:r>
        <w:rPr>
          <w:rFonts w:hint="eastAsia" w:ascii="方正仿宋简体" w:hAnsi="仿宋" w:eastAsia="方正仿宋简体"/>
          <w:bCs/>
          <w:color w:val="auto"/>
          <w:sz w:val="28"/>
          <w:szCs w:val="28"/>
          <w:highlight w:val="none"/>
          <w:shd w:val="clear" w:color="auto" w:fill="FFFFFF"/>
        </w:rPr>
        <w:t>、《移动式起重机</w:t>
      </w:r>
      <w:r>
        <w:rPr>
          <w:rFonts w:hint="eastAsia" w:ascii="方正仿宋简体" w:hAnsi="仿宋" w:eastAsia="方正仿宋简体"/>
          <w:color w:val="auto"/>
          <w:sz w:val="28"/>
          <w:szCs w:val="28"/>
          <w:highlight w:val="none"/>
        </w:rPr>
        <w:t>吊装作业安全管理规范》</w:t>
      </w:r>
      <w:r>
        <w:rPr>
          <w:rFonts w:hint="eastAsia" w:ascii="方正仿宋简体" w:hAnsi="仿宋" w:eastAsia="方正仿宋简体"/>
          <w:bCs/>
          <w:color w:val="auto"/>
          <w:sz w:val="28"/>
          <w:szCs w:val="28"/>
          <w:highlight w:val="none"/>
          <w:shd w:val="clear" w:color="auto" w:fill="FFFFFF"/>
        </w:rPr>
        <w:t>的，按照西南油气田公司相应的管理规范执行。</w:t>
      </w:r>
    </w:p>
    <w:p>
      <w:pPr>
        <w:keepNext w:val="0"/>
        <w:keepLines w:val="0"/>
        <w:pageBreakBefore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bCs/>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第三十一条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bCs/>
          <w:color w:val="auto"/>
          <w:kern w:val="0"/>
          <w:sz w:val="28"/>
          <w:szCs w:val="28"/>
          <w:highlight w:val="none"/>
          <w:shd w:val="clear" w:color="auto" w:fill="FFFFFF"/>
        </w:rPr>
        <w:t>能量隔离按《能量隔离安全管理规范》执行。</w:t>
      </w:r>
    </w:p>
    <w:p>
      <w:pPr>
        <w:keepNext w:val="0"/>
        <w:keepLines w:val="0"/>
        <w:pageBreakBefore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bCs/>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第三十二条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bCs/>
          <w:color w:val="auto"/>
          <w:kern w:val="0"/>
          <w:sz w:val="28"/>
          <w:szCs w:val="28"/>
          <w:highlight w:val="none"/>
          <w:shd w:val="clear" w:color="auto" w:fill="FFFFFF"/>
        </w:rPr>
        <w:t>气体检测与监测</w:t>
      </w:r>
    </w:p>
    <w:p>
      <w:pPr>
        <w:keepNext w:val="0"/>
        <w:keepLines w:val="0"/>
        <w:pageBreakBefore w:val="0"/>
        <w:widowControl/>
        <w:kinsoku/>
        <w:wordWrap/>
        <w:overflowPunct/>
        <w:topLinePunct w:val="0"/>
        <w:bidi w:val="0"/>
        <w:spacing w:line="560" w:lineRule="exact"/>
        <w:ind w:firstLine="560" w:firstLineChars="200"/>
        <w:textAlignment w:val="auto"/>
        <w:outlineLvl w:val="9"/>
        <w:rPr>
          <w:rFonts w:ascii="方正仿宋简体" w:hAnsi="仿宋" w:eastAsia="方正仿宋简体"/>
          <w:color w:val="auto"/>
          <w:sz w:val="28"/>
          <w:szCs w:val="28"/>
          <w:highlight w:val="none"/>
        </w:rPr>
      </w:pPr>
      <w:r>
        <w:rPr>
          <w:rFonts w:hint="eastAsia" w:ascii="方正仿宋简体" w:hAnsi="仿宋" w:eastAsia="方正仿宋简体" w:cs="宋体"/>
          <w:color w:val="auto"/>
          <w:kern w:val="0"/>
          <w:sz w:val="28"/>
          <w:szCs w:val="28"/>
          <w:highlight w:val="none"/>
          <w:shd w:val="clear" w:color="auto" w:fill="FFFFFF"/>
        </w:rPr>
        <w:t>（一）作业许可证签发前，作业许可签发人在作业许可证中注明气体检测和监测要求，包括需进行检测的气体类型、检测标准等。</w:t>
      </w:r>
      <w:r>
        <w:rPr>
          <w:rFonts w:hint="eastAsia" w:ascii="方正仿宋简体" w:hAnsi="仿宋" w:eastAsia="方正仿宋简体"/>
          <w:color w:val="auto"/>
          <w:sz w:val="28"/>
          <w:szCs w:val="28"/>
          <w:highlight w:val="none"/>
        </w:rPr>
        <w:t>动火作业、进入受限空间作业、管线与设备打开作业必须开展气体检测。</w:t>
      </w:r>
    </w:p>
    <w:p>
      <w:pPr>
        <w:keepNext w:val="0"/>
        <w:keepLines w:val="0"/>
        <w:pageBreakBefore w:val="0"/>
        <w:widowControl/>
        <w:kinsoku/>
        <w:wordWrap/>
        <w:overflowPunct/>
        <w:topLinePunct w:val="0"/>
        <w:bidi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（二）工作界面交接前，对可能存在缺氧、富氧、有毒有害气体、易燃易爆气体、粉尘的作业环境，都应由气</w:t>
      </w:r>
      <w:r>
        <w:rPr>
          <w:rFonts w:hint="eastAsia" w:ascii="方正仿宋简体" w:hAnsi="仿宋" w:eastAsia="方正仿宋简体"/>
          <w:color w:val="auto"/>
          <w:sz w:val="28"/>
          <w:szCs w:val="28"/>
          <w:highlight w:val="none"/>
        </w:rPr>
        <w:t>体检测人员按标准和安全</w:t>
      </w:r>
      <w:r>
        <w:rPr>
          <w:rFonts w:hint="eastAsia" w:ascii="方正仿宋简体" w:hAnsi="仿宋" w:eastAsia="方正仿宋简体" w:cs="宋体"/>
          <w:color w:val="auto"/>
          <w:kern w:val="0"/>
          <w:sz w:val="28"/>
          <w:szCs w:val="28"/>
          <w:highlight w:val="none"/>
          <w:shd w:val="clear" w:color="auto" w:fill="FFFFFF"/>
        </w:rPr>
        <w:t>规定进行气体检测。初始气体检测结果30分钟内有效。连续气体监测中断30分钟以上应由气体检测员重新检测。</w:t>
      </w:r>
    </w:p>
    <w:p>
      <w:pPr>
        <w:keepNext w:val="0"/>
        <w:keepLines w:val="0"/>
        <w:pageBreakBefore w:val="0"/>
        <w:tabs>
          <w:tab w:val="left" w:pos="426"/>
        </w:tabs>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（三）对于进入受限空间作业，首次气体检测合格后在受限空间内特定位置悬挂气体检测仪进行连续监测。连续监测位置应在作业方案中予以明确。</w:t>
      </w:r>
    </w:p>
    <w:p>
      <w:pPr>
        <w:keepNext w:val="0"/>
        <w:keepLines w:val="0"/>
        <w:pageBreakBefore w:val="0"/>
        <w:tabs>
          <w:tab w:val="left" w:pos="426"/>
        </w:tabs>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四）在作业实施过程中，对可能存在缺氧、富氧、有毒有害气体、易燃易爆气体、粉尘的作业环境，作业人员佩戴气体检测仪进行连续气体监测，并由具备气体检测资质的人员佩戴气体检测仪进行监测。Ａ类作业连续监测，Ｂ类作业至少每隔２小时复测或连续监测。监测结果每2小时记录一次，并填写在作业许可证中。</w:t>
      </w:r>
    </w:p>
    <w:p>
      <w:pPr>
        <w:keepNext w:val="0"/>
        <w:keepLines w:val="0"/>
        <w:pageBreakBefore w:val="0"/>
        <w:tabs>
          <w:tab w:val="left" w:pos="426"/>
        </w:tabs>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vertAlign w:val="superscript"/>
        </w:rPr>
      </w:pPr>
      <w:r>
        <w:rPr>
          <w:rFonts w:hint="eastAsia" w:ascii="方正仿宋简体" w:hAnsi="仿宋" w:eastAsia="方正仿宋简体" w:cs="宋体"/>
          <w:color w:val="auto"/>
          <w:kern w:val="0"/>
          <w:sz w:val="28"/>
          <w:szCs w:val="28"/>
          <w:highlight w:val="none"/>
          <w:shd w:val="clear" w:color="auto" w:fill="FFFFFF"/>
        </w:rPr>
        <w:t>（五）气体检测、监测应根据作业特点，分别记录系统内及作业点外部环境气体检测数据。</w:t>
      </w:r>
    </w:p>
    <w:p>
      <w:pPr>
        <w:keepNext w:val="0"/>
        <w:keepLines w:val="0"/>
        <w:pageBreakBefore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第三十三条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作业监护</w:t>
      </w:r>
    </w:p>
    <w:p>
      <w:pPr>
        <w:keepNext w:val="0"/>
        <w:keepLines w:val="0"/>
        <w:pageBreakBefore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指定的安全监护不到场，不得开工作业；作业方安全监护在作业期间离开作业地点，作业活动必须暂停。</w:t>
      </w:r>
    </w:p>
    <w:p>
      <w:pPr>
        <w:keepNext w:val="0"/>
        <w:keepLines w:val="0"/>
        <w:pageBreakBefore w:val="0"/>
        <w:kinsoku/>
        <w:wordWrap/>
        <w:overflowPunct/>
        <w:topLinePunct w:val="0"/>
        <w:bidi w:val="0"/>
        <w:snapToGrid w:val="0"/>
        <w:spacing w:line="560" w:lineRule="exact"/>
        <w:ind w:firstLine="562" w:firstLineChars="200"/>
        <w:jc w:val="both"/>
        <w:textAlignment w:val="auto"/>
        <w:outlineLvl w:val="9"/>
        <w:rPr>
          <w:rFonts w:hint="eastAsia" w:ascii="方正仿宋简体" w:hAnsi="仿宋" w:eastAsia="方正仿宋简体"/>
          <w:b/>
          <w:color w:val="auto"/>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kern w:val="0"/>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第七章  作业许可审核</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第三十四条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作业许可审核</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lang w:eastAsia="zh-CN"/>
        </w:rPr>
        <w:t>公司</w:t>
      </w:r>
      <w:r>
        <w:rPr>
          <w:rFonts w:hint="eastAsia" w:ascii="方正仿宋简体" w:hAnsi="仿宋" w:eastAsia="方正仿宋简体" w:cs="宋体"/>
          <w:color w:val="auto"/>
          <w:kern w:val="0"/>
          <w:sz w:val="28"/>
          <w:szCs w:val="28"/>
          <w:highlight w:val="none"/>
          <w:shd w:val="clear" w:color="auto" w:fill="FFFFFF"/>
        </w:rPr>
        <w:t>应对作业许可管理规定执行情况进行审核，以确保与作业许可管理办法有关人员履行各自职责，正确执行作业许可管理办法和其他有关工作标准。审核分日审、月审、季审。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（一）日审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风险作业关键管控环节，由</w:t>
      </w:r>
      <w:r>
        <w:rPr>
          <w:rFonts w:hint="eastAsia" w:ascii="方正仿宋简体" w:hAnsi="仿宋" w:eastAsia="方正仿宋简体" w:cs="宋体"/>
          <w:color w:val="auto"/>
          <w:kern w:val="0"/>
          <w:sz w:val="28"/>
          <w:szCs w:val="28"/>
          <w:highlight w:val="none"/>
          <w:shd w:val="clear" w:color="auto" w:fill="FFFFFF"/>
          <w:lang w:eastAsia="zh-CN"/>
        </w:rPr>
        <w:t>工程技术部</w:t>
      </w:r>
      <w:r>
        <w:rPr>
          <w:rFonts w:hint="eastAsia" w:ascii="方正仿宋简体" w:hAnsi="仿宋" w:eastAsia="方正仿宋简体" w:cs="宋体"/>
          <w:color w:val="auto"/>
          <w:kern w:val="0"/>
          <w:sz w:val="28"/>
          <w:szCs w:val="28"/>
          <w:highlight w:val="none"/>
          <w:shd w:val="clear" w:color="auto" w:fill="FFFFFF"/>
        </w:rPr>
        <w:t>安排到现场的技术人员或管理人员开展安全措施落实情况检查和审核，审核记录当日报送基层单位领导及业务管理部门，由HSE部门存档。</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（二）月审</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lang w:eastAsia="zh-CN"/>
        </w:rPr>
        <w:t>公司质量安全环保部</w:t>
      </w:r>
      <w:r>
        <w:rPr>
          <w:rFonts w:hint="eastAsia" w:ascii="方正仿宋简体" w:hAnsi="仿宋" w:eastAsia="方正仿宋简体" w:cs="宋体"/>
          <w:color w:val="auto"/>
          <w:kern w:val="0"/>
          <w:sz w:val="28"/>
          <w:szCs w:val="28"/>
          <w:highlight w:val="none"/>
          <w:shd w:val="clear" w:color="auto" w:fill="FFFFFF"/>
        </w:rPr>
        <w:t>每月组织独立审核员对本单位作业许可执行情况进行审核，包括书面审核和现场审核，现场审核应选择本单位风险最大的作业活动开展。</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月审覆盖率不低于本月作业活动（本月已关闭并回收的作业票）的30%，基层单位分管生产和安全工作的领导每月至少开展一次审核。</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bCs/>
          <w:color w:val="auto"/>
          <w:kern w:val="0"/>
          <w:sz w:val="28"/>
          <w:szCs w:val="28"/>
          <w:highlight w:val="none"/>
          <w:shd w:val="clear" w:color="auto" w:fill="FFFFFF"/>
        </w:rPr>
      </w:pPr>
      <w:r>
        <w:rPr>
          <w:rFonts w:hint="eastAsia" w:ascii="方正仿宋简体" w:hAnsi="仿宋" w:eastAsia="方正仿宋简体" w:cs="宋体"/>
          <w:b/>
          <w:bCs/>
          <w:color w:val="auto"/>
          <w:kern w:val="0"/>
          <w:sz w:val="28"/>
          <w:szCs w:val="28"/>
          <w:highlight w:val="none"/>
          <w:shd w:val="clear" w:color="auto" w:fill="FFFFFF"/>
        </w:rPr>
        <w:t>第三十五条</w:t>
      </w:r>
      <w:r>
        <w:rPr>
          <w:rFonts w:hint="eastAsia" w:ascii="方正仿宋简体" w:hAnsi="仿宋" w:eastAsia="方正仿宋简体" w:cs="宋体"/>
          <w:b/>
          <w:bCs/>
          <w:color w:val="auto"/>
          <w:kern w:val="0"/>
          <w:sz w:val="28"/>
          <w:szCs w:val="28"/>
          <w:highlight w:val="none"/>
          <w:shd w:val="clear" w:color="auto" w:fill="FFFFFF"/>
          <w:lang w:val="en-US" w:eastAsia="zh-CN"/>
        </w:rPr>
        <w:t xml:space="preserve"> </w:t>
      </w:r>
      <w:r>
        <w:rPr>
          <w:rFonts w:hint="eastAsia" w:ascii="方正仿宋简体" w:hAnsi="仿宋" w:eastAsia="方正仿宋简体" w:cs="宋体"/>
          <w:bCs/>
          <w:color w:val="auto"/>
          <w:kern w:val="0"/>
          <w:sz w:val="28"/>
          <w:szCs w:val="28"/>
          <w:highlight w:val="none"/>
          <w:shd w:val="clear" w:color="auto" w:fill="FFFFFF"/>
        </w:rPr>
        <w:t xml:space="preserve"> 公司</w:t>
      </w:r>
      <w:r>
        <w:rPr>
          <w:rFonts w:hint="eastAsia" w:ascii="方正仿宋简体" w:hAnsi="仿宋" w:eastAsia="方正仿宋简体" w:cs="宋体"/>
          <w:bCs/>
          <w:color w:val="auto"/>
          <w:kern w:val="0"/>
          <w:sz w:val="28"/>
          <w:szCs w:val="28"/>
          <w:highlight w:val="none"/>
          <w:shd w:val="clear" w:color="auto" w:fill="FFFFFF"/>
          <w:lang w:eastAsia="zh-CN"/>
        </w:rPr>
        <w:t>QHSE</w:t>
      </w:r>
      <w:r>
        <w:rPr>
          <w:rFonts w:hint="eastAsia" w:ascii="方正仿宋简体" w:hAnsi="仿宋" w:eastAsia="方正仿宋简体" w:cs="宋体"/>
          <w:bCs/>
          <w:color w:val="auto"/>
          <w:kern w:val="0"/>
          <w:sz w:val="28"/>
          <w:szCs w:val="28"/>
          <w:highlight w:val="none"/>
          <w:shd w:val="clear" w:color="auto" w:fill="FFFFFF"/>
        </w:rPr>
        <w:t>分析会议上应对作业许可管理情况进行分析，提出改进建议。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bCs/>
          <w:color w:val="auto"/>
          <w:kern w:val="0"/>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第八章  作业许可其他规定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第三十六条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当发生下列任何一种情况时，现场所有人员都有责任立即终止作业，取消作业许可证，并告知作业许可签发人作业许可证被取消的原因。</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（一）作业环境和条件发生变化而影响到作业安全时。</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（二）作业内容发生改变。</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（三）实际作业与作业计划的要求发生重大偏离。</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（四）作业许可签发人制定的控制措施无法实施。</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（五）发现有可能发生立即危及生命的违章行为。</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（六）现场发现重大安全隐患。</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（七）作业申请人发生变更。</w:t>
      </w:r>
    </w:p>
    <w:p>
      <w:pPr>
        <w:keepNext w:val="0"/>
        <w:keepLines w:val="0"/>
        <w:pageBreakBefore w:val="0"/>
        <w:widowControl w:val="0"/>
        <w:kinsoku/>
        <w:wordWrap/>
        <w:overflowPunct/>
        <w:topLinePunct w:val="0"/>
        <w:autoSpaceDE w:val="0"/>
        <w:autoSpaceDN w:val="0"/>
        <w:bidi w:val="0"/>
        <w:adjustRightInd w:val="0"/>
        <w:spacing w:line="560" w:lineRule="exact"/>
        <w:ind w:firstLine="560" w:firstLineChars="200"/>
        <w:textAlignment w:val="auto"/>
        <w:outlineLvl w:val="9"/>
        <w:rPr>
          <w:rFonts w:hint="eastAsia" w:ascii="方正仿宋简体" w:hAnsi="仿宋" w:eastAsia="方正仿宋简体"/>
          <w:color w:val="auto"/>
          <w:sz w:val="28"/>
          <w:szCs w:val="28"/>
          <w:highlight w:val="none"/>
          <w:shd w:val="clear" w:color="auto" w:fill="FFFFFF"/>
          <w:vertAlign w:val="superscript"/>
        </w:rPr>
      </w:pPr>
      <w:r>
        <w:rPr>
          <w:rFonts w:hint="eastAsia" w:ascii="方正仿宋简体" w:hAnsi="仿宋" w:eastAsia="方正仿宋简体" w:cs="宋体"/>
          <w:color w:val="auto"/>
          <w:kern w:val="0"/>
          <w:sz w:val="28"/>
          <w:szCs w:val="28"/>
          <w:highlight w:val="none"/>
          <w:shd w:val="clear" w:color="auto" w:fill="FFFFFF"/>
        </w:rPr>
        <w:t>（八）事故状态下。</w:t>
      </w:r>
    </w:p>
    <w:p>
      <w:pPr>
        <w:keepNext w:val="0"/>
        <w:keepLines w:val="0"/>
        <w:pageBreakBefore w:val="0"/>
        <w:widowControl w:val="0"/>
        <w:kinsoku/>
        <w:wordWrap/>
        <w:overflowPunct/>
        <w:topLinePunct w:val="0"/>
        <w:autoSpaceDE w:val="0"/>
        <w:autoSpaceDN w:val="0"/>
        <w:bidi w:val="0"/>
        <w:adjustRightIn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b/>
          <w:color w:val="auto"/>
          <w:kern w:val="0"/>
          <w:sz w:val="28"/>
          <w:szCs w:val="28"/>
          <w:highlight w:val="none"/>
          <w:shd w:val="clear" w:color="auto" w:fill="FFFFFF"/>
        </w:rPr>
        <w:t>第三十七条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当正在进行的工作出现紧急情况或已发出紧急撤离信号时，所有的作业许可证立即失效。作业许可证一旦被取消应立即停止作业，若再开始作业，应重新申请。</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b/>
          <w:color w:val="auto"/>
          <w:kern w:val="0"/>
          <w:sz w:val="28"/>
          <w:szCs w:val="28"/>
          <w:highlight w:val="none"/>
          <w:shd w:val="clear" w:color="auto" w:fill="FFFFFF"/>
          <w:vertAlign w:val="superscript"/>
        </w:rPr>
      </w:pPr>
      <w:r>
        <w:rPr>
          <w:rFonts w:hint="eastAsia" w:ascii="方正仿宋简体" w:hAnsi="仿宋" w:eastAsia="方正仿宋简体"/>
          <w:b/>
          <w:bCs/>
          <w:color w:val="auto"/>
          <w:sz w:val="28"/>
          <w:szCs w:val="28"/>
          <w:highlight w:val="none"/>
          <w:shd w:val="clear" w:color="auto" w:fill="FFFFFF"/>
        </w:rPr>
        <w:t xml:space="preserve">第三十八条 </w:t>
      </w:r>
      <w:r>
        <w:rPr>
          <w:rFonts w:hint="eastAsia" w:ascii="方正仿宋简体" w:hAnsi="仿宋" w:eastAsia="方正仿宋简体"/>
          <w:b/>
          <w:bCs/>
          <w:color w:val="auto"/>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应急处置需要进行风险作业时，由应急总指挥现场确定控制措施，应急处置完成后，做好相关记录。</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b/>
          <w:color w:val="auto"/>
          <w:kern w:val="0"/>
          <w:sz w:val="28"/>
          <w:szCs w:val="28"/>
          <w:highlight w:val="none"/>
          <w:shd w:val="clear" w:color="auto" w:fill="FFFFFF"/>
        </w:rPr>
        <w:t>第三十九条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lang w:eastAsia="zh-CN"/>
        </w:rPr>
        <w:t>公司</w:t>
      </w:r>
      <w:r>
        <w:rPr>
          <w:rFonts w:hint="eastAsia" w:ascii="方正仿宋简体" w:hAnsi="仿宋" w:eastAsia="方正仿宋简体" w:cs="宋体"/>
          <w:color w:val="auto"/>
          <w:kern w:val="0"/>
          <w:sz w:val="28"/>
          <w:szCs w:val="28"/>
          <w:highlight w:val="none"/>
          <w:shd w:val="clear" w:color="auto" w:fill="FFFFFF"/>
        </w:rPr>
        <w:t>应公示次日属地范围内开展的风险作业活动，并将次日风险作业活动报</w:t>
      </w:r>
      <w:r>
        <w:rPr>
          <w:rFonts w:hint="eastAsia" w:ascii="方正仿宋简体" w:hAnsi="仿宋" w:eastAsia="方正仿宋简体" w:cs="宋体"/>
          <w:color w:val="auto"/>
          <w:kern w:val="0"/>
          <w:sz w:val="28"/>
          <w:szCs w:val="28"/>
          <w:highlight w:val="none"/>
          <w:shd w:val="clear" w:color="auto" w:fill="FFFFFF"/>
          <w:lang w:eastAsia="zh-CN"/>
        </w:rPr>
        <w:t>川港</w:t>
      </w:r>
      <w:r>
        <w:rPr>
          <w:rFonts w:hint="eastAsia" w:ascii="方正仿宋简体" w:hAnsi="仿宋" w:eastAsia="方正仿宋简体" w:cs="宋体"/>
          <w:color w:val="auto"/>
          <w:kern w:val="0"/>
          <w:sz w:val="28"/>
          <w:szCs w:val="28"/>
          <w:highlight w:val="none"/>
          <w:shd w:val="clear" w:color="auto" w:fill="FFFFFF"/>
        </w:rPr>
        <w:t>公司生产运行部门。</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第四十条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升级管理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b/>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国家法定节假日、公休日及特殊、重大活动期间原则上不得安排风险作业。若确有必要，B类作业必须升级到A类作业进行管理；A类作业</w:t>
      </w:r>
      <w:r>
        <w:rPr>
          <w:rFonts w:hint="eastAsia" w:ascii="方正仿宋简体" w:hAnsi="仿宋" w:eastAsia="方正仿宋简体" w:cs="宋体"/>
          <w:color w:val="auto"/>
          <w:kern w:val="0"/>
          <w:sz w:val="28"/>
          <w:szCs w:val="28"/>
          <w:highlight w:val="none"/>
          <w:shd w:val="clear" w:color="auto" w:fill="FFFFFF"/>
          <w:lang w:eastAsia="zh-CN"/>
        </w:rPr>
        <w:t>应上报川港公司，</w:t>
      </w:r>
      <w:r>
        <w:rPr>
          <w:rFonts w:hint="eastAsia" w:ascii="方正仿宋简体" w:hAnsi="仿宋" w:eastAsia="方正仿宋简体" w:cs="宋体"/>
          <w:color w:val="auto"/>
          <w:kern w:val="0"/>
          <w:sz w:val="28"/>
          <w:szCs w:val="28"/>
          <w:highlight w:val="none"/>
          <w:shd w:val="clear" w:color="auto" w:fill="FFFFFF"/>
        </w:rPr>
        <w:t>由</w:t>
      </w:r>
      <w:r>
        <w:rPr>
          <w:rFonts w:hint="eastAsia" w:ascii="方正仿宋简体" w:hAnsi="仿宋" w:eastAsia="方正仿宋简体" w:cs="宋体"/>
          <w:color w:val="auto"/>
          <w:kern w:val="0"/>
          <w:sz w:val="28"/>
          <w:szCs w:val="28"/>
          <w:highlight w:val="none"/>
          <w:shd w:val="clear" w:color="auto" w:fill="FFFFFF"/>
          <w:lang w:eastAsia="zh-CN"/>
        </w:rPr>
        <w:t>川港</w:t>
      </w:r>
      <w:r>
        <w:rPr>
          <w:rFonts w:hint="eastAsia" w:ascii="方正仿宋简体" w:hAnsi="仿宋" w:eastAsia="方正仿宋简体" w:cs="宋体"/>
          <w:color w:val="auto"/>
          <w:kern w:val="0"/>
          <w:sz w:val="28"/>
          <w:szCs w:val="28"/>
          <w:highlight w:val="none"/>
          <w:shd w:val="clear" w:color="auto" w:fill="FFFFFF"/>
        </w:rPr>
        <w:t>公司确定作业活动的必要性并批准作业，由</w:t>
      </w:r>
      <w:r>
        <w:rPr>
          <w:rFonts w:hint="eastAsia" w:ascii="方正仿宋简体" w:hAnsi="仿宋" w:eastAsia="方正仿宋简体" w:cs="宋体"/>
          <w:color w:val="auto"/>
          <w:kern w:val="0"/>
          <w:sz w:val="28"/>
          <w:szCs w:val="28"/>
          <w:highlight w:val="none"/>
          <w:shd w:val="clear" w:color="auto" w:fill="FFFFFF"/>
          <w:lang w:eastAsia="zh-CN"/>
        </w:rPr>
        <w:t>川港</w:t>
      </w:r>
      <w:r>
        <w:rPr>
          <w:rFonts w:hint="eastAsia" w:ascii="方正仿宋简体" w:hAnsi="仿宋" w:eastAsia="方正仿宋简体" w:cs="宋体"/>
          <w:color w:val="auto"/>
          <w:kern w:val="0"/>
          <w:sz w:val="28"/>
          <w:szCs w:val="28"/>
          <w:highlight w:val="none"/>
          <w:shd w:val="clear" w:color="auto" w:fill="FFFFFF"/>
        </w:rPr>
        <w:t>公司主管领导或指派业务部门管理人员到现场组织实施。</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作业许可签发人、A类作业批准人或上级单位认为应升级管理的，应实行升级管理。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b/>
          <w:color w:val="auto"/>
          <w:kern w:val="0"/>
          <w:sz w:val="28"/>
          <w:szCs w:val="28"/>
          <w:highlight w:val="none"/>
          <w:shd w:val="clear" w:color="auto" w:fill="FFFFFF"/>
        </w:rPr>
        <w:t>第四十一条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涉及两个及以上单位的作业需由上级单位组织审批HSE作业计划书、施工方案，协调相关作业活动。</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第四十二条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新、改、扩建作业项目</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独立于</w:t>
      </w:r>
      <w:r>
        <w:rPr>
          <w:rFonts w:hint="eastAsia" w:ascii="方正仿宋简体" w:hAnsi="仿宋" w:eastAsia="方正仿宋简体" w:cs="宋体"/>
          <w:color w:val="auto"/>
          <w:kern w:val="0"/>
          <w:sz w:val="28"/>
          <w:szCs w:val="28"/>
          <w:highlight w:val="none"/>
          <w:shd w:val="clear" w:color="auto" w:fill="FFFFFF"/>
          <w:lang w:eastAsia="zh-CN"/>
        </w:rPr>
        <w:t>公司</w:t>
      </w:r>
      <w:r>
        <w:rPr>
          <w:rFonts w:hint="eastAsia" w:ascii="方正仿宋简体" w:hAnsi="仿宋" w:eastAsia="方正仿宋简体" w:cs="宋体"/>
          <w:color w:val="auto"/>
          <w:kern w:val="0"/>
          <w:sz w:val="28"/>
          <w:szCs w:val="28"/>
          <w:highlight w:val="none"/>
          <w:shd w:val="clear" w:color="auto" w:fill="FFFFFF"/>
        </w:rPr>
        <w:t>生产区域或系统外的新、改、扩建作业项目，由相应项目主管部门签发作业许可证，或由项目主管部门委托具备能力的承包商进行作业许可管理，并在项目HSE合同中明确，但委托方应定期对承包商作业许可管理执行情况进行监督、审核。</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2"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第四十三条</w:t>
      </w:r>
      <w:r>
        <w:rPr>
          <w:rFonts w:hint="eastAsia" w:ascii="方正仿宋简体" w:hAnsi="仿宋" w:eastAsia="方正仿宋简体" w:cs="宋体"/>
          <w:color w:val="auto"/>
          <w:kern w:val="0"/>
          <w:sz w:val="28"/>
          <w:szCs w:val="28"/>
          <w:highlight w:val="none"/>
          <w:shd w:val="clear" w:color="auto" w:fill="FFFFFF"/>
        </w:rPr>
        <w:t xml:space="preserve"> </w:t>
      </w:r>
      <w:r>
        <w:rPr>
          <w:rFonts w:hint="eastAsia" w:ascii="方正仿宋简体" w:hAnsi="仿宋" w:eastAsia="方正仿宋简体" w:cs="宋体"/>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特别规定</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（一）</w:t>
      </w:r>
      <w:r>
        <w:rPr>
          <w:rFonts w:hint="eastAsia" w:ascii="方正仿宋简体" w:hAnsi="仿宋" w:eastAsia="方正仿宋简体"/>
          <w:bCs/>
          <w:color w:val="auto"/>
          <w:sz w:val="28"/>
          <w:szCs w:val="28"/>
          <w:highlight w:val="none"/>
          <w:shd w:val="clear" w:color="auto" w:fill="FFFFFF"/>
        </w:rPr>
        <w:t>作业人员不能自我签发作业许可，不能担任属地监督。</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Cs/>
          <w:color w:val="auto"/>
          <w:sz w:val="28"/>
          <w:szCs w:val="28"/>
          <w:highlight w:val="none"/>
          <w:shd w:val="clear" w:color="auto" w:fill="FFFFFF"/>
        </w:rPr>
        <w:t>（二）作业许可证不得随意涂改、代签，作业现场人员不得随意减少技术安全措施，若确需变更，应重新办理或征得作业许可签发人、A类作业批准人同意。</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Cs/>
          <w:color w:val="auto"/>
          <w:sz w:val="28"/>
          <w:szCs w:val="28"/>
          <w:highlight w:val="none"/>
          <w:shd w:val="clear" w:color="auto" w:fill="FFFFFF"/>
        </w:rPr>
        <w:t>（三）作业现场人员认为安全措施不全面、不可靠，有权向作业许可签发人提出异议，有权增加防护措施，有权停止作业。</w:t>
      </w:r>
    </w:p>
    <w:p>
      <w:pPr>
        <w:keepNext w:val="0"/>
        <w:keepLines w:val="0"/>
        <w:pageBreakBefore w:val="0"/>
        <w:widowControl w:val="0"/>
        <w:tabs>
          <w:tab w:val="left" w:pos="426"/>
        </w:tabs>
        <w:kinsoku/>
        <w:wordWrap/>
        <w:overflowPunct/>
        <w:topLinePunct w:val="0"/>
        <w:autoSpaceDE w:val="0"/>
        <w:autoSpaceDN w:val="0"/>
        <w:bidi w:val="0"/>
        <w:adjustRightInd w:val="0"/>
        <w:snapToGrid w:val="0"/>
        <w:spacing w:line="560" w:lineRule="exact"/>
        <w:ind w:firstLine="560" w:firstLineChars="200"/>
        <w:textAlignment w:val="auto"/>
        <w:outlineLvl w:val="9"/>
        <w:rPr>
          <w:rFonts w:ascii="方正仿宋简体" w:hAnsi="仿宋" w:eastAsia="方正仿宋简体"/>
          <w:color w:val="auto"/>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第九章  作业许可证管理</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第四十四条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作业许可证一式三联，应编号。</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第一联：作业时现场展示，以示沟通，让现场有关人员了解现场正在进行的作业。</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第二联：属地保存。</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cs="宋体"/>
          <w:color w:val="auto"/>
          <w:kern w:val="0"/>
          <w:sz w:val="28"/>
          <w:szCs w:val="28"/>
          <w:highlight w:val="none"/>
          <w:shd w:val="clear" w:color="auto" w:fill="FFFFFF"/>
        </w:rPr>
        <w:t>第三联：作业许可签发人保存。</w:t>
      </w:r>
    </w:p>
    <w:p>
      <w:pPr>
        <w:keepNext w:val="0"/>
        <w:keepLines w:val="0"/>
        <w:pageBreakBefore w:val="0"/>
        <w:widowControl w:val="0"/>
        <w:kinsoku/>
        <w:wordWrap/>
        <w:overflowPunct/>
        <w:topLinePunct w:val="0"/>
        <w:bidi w:val="0"/>
        <w:spacing w:line="560" w:lineRule="exact"/>
        <w:ind w:firstLine="562"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r>
        <w:rPr>
          <w:rFonts w:hint="eastAsia" w:ascii="方正仿宋简体" w:hAnsi="仿宋" w:eastAsia="方正仿宋简体"/>
          <w:b/>
          <w:bCs/>
          <w:color w:val="auto"/>
          <w:kern w:val="0"/>
          <w:sz w:val="28"/>
          <w:szCs w:val="28"/>
          <w:highlight w:val="none"/>
          <w:shd w:val="clear" w:color="auto" w:fill="FFFFFF"/>
        </w:rPr>
        <w:t>第四十五条</w:t>
      </w:r>
      <w:r>
        <w:rPr>
          <w:rFonts w:hint="eastAsia" w:ascii="方正仿宋简体" w:hAnsi="仿宋" w:eastAsia="方正仿宋简体"/>
          <w:bCs/>
          <w:color w:val="auto"/>
          <w:kern w:val="0"/>
          <w:sz w:val="28"/>
          <w:szCs w:val="28"/>
          <w:highlight w:val="none"/>
          <w:shd w:val="clear" w:color="auto" w:fill="FFFFFF"/>
        </w:rPr>
        <w:t xml:space="preserve"> </w:t>
      </w:r>
      <w:r>
        <w:rPr>
          <w:rFonts w:hint="eastAsia" w:ascii="方正仿宋简体" w:hAnsi="仿宋" w:eastAsia="方正仿宋简体"/>
          <w:bCs/>
          <w:color w:val="auto"/>
          <w:kern w:val="0"/>
          <w:sz w:val="28"/>
          <w:szCs w:val="28"/>
          <w:highlight w:val="none"/>
          <w:shd w:val="clear" w:color="auto" w:fill="FFFFFF"/>
          <w:lang w:val="en-US" w:eastAsia="zh-CN"/>
        </w:rPr>
        <w:t xml:space="preserve"> </w:t>
      </w:r>
      <w:r>
        <w:rPr>
          <w:rFonts w:hint="eastAsia" w:ascii="方正仿宋简体" w:hAnsi="仿宋" w:eastAsia="方正仿宋简体" w:cs="宋体"/>
          <w:color w:val="auto"/>
          <w:kern w:val="0"/>
          <w:sz w:val="28"/>
          <w:szCs w:val="28"/>
          <w:highlight w:val="none"/>
          <w:shd w:val="clear" w:color="auto" w:fill="FFFFFF"/>
        </w:rPr>
        <w:t>票证签发后，作业许可签发人保留第三联以及作业方案、工作前安全分析、隔离方案和辅助票证等附件的复印件；工作完成后，签字关闭的作业许可证、作业方案、工作前安全分析、隔离方案及辅助票证由作业申请人交作业许可签发人存档。所有资料保存一年。</w:t>
      </w:r>
    </w:p>
    <w:p>
      <w:pPr>
        <w:keepNext w:val="0"/>
        <w:keepLines w:val="0"/>
        <w:pageBreakBefore w:val="0"/>
        <w:widowControl w:val="0"/>
        <w:kinsoku/>
        <w:wordWrap/>
        <w:overflowPunct/>
        <w:topLinePunct w:val="0"/>
        <w:bidi w:val="0"/>
        <w:spacing w:line="560" w:lineRule="exact"/>
        <w:ind w:firstLine="560" w:firstLineChars="200"/>
        <w:jc w:val="both"/>
        <w:textAlignment w:val="auto"/>
        <w:outlineLvl w:val="9"/>
        <w:rPr>
          <w:rFonts w:ascii="方正仿宋简体" w:hAnsi="仿宋" w:eastAsia="方正仿宋简体" w:cs="宋体"/>
          <w:color w:val="auto"/>
          <w:kern w:val="0"/>
          <w:sz w:val="28"/>
          <w:szCs w:val="28"/>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第十章  考核</w:t>
      </w:r>
    </w:p>
    <w:p>
      <w:pPr>
        <w:keepNext w:val="0"/>
        <w:keepLines w:val="0"/>
        <w:pageBreakBefore w:val="0"/>
        <w:widowControl w:val="0"/>
        <w:kinsoku/>
        <w:wordWrap/>
        <w:overflowPunct/>
        <w:topLinePunct w:val="0"/>
        <w:autoSpaceDE/>
        <w:autoSpaceDN/>
        <w:bidi w:val="0"/>
        <w:adjustRightInd/>
        <w:snapToGrid w:val="0"/>
        <w:spacing w:beforeLines="40" w:line="560" w:lineRule="exact"/>
        <w:ind w:firstLine="562" w:firstLineChars="200"/>
        <w:jc w:val="both"/>
        <w:textAlignment w:val="auto"/>
        <w:outlineLvl w:val="9"/>
        <w:rPr>
          <w:rFonts w:ascii="方正仿宋简体" w:hAnsi="仿宋" w:eastAsia="方正仿宋简体"/>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第四十六条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作业许可管理执行情况纳入</w:t>
      </w:r>
      <w:r>
        <w:rPr>
          <w:rFonts w:hint="eastAsia" w:ascii="方正仿宋简体" w:hAnsi="仿宋" w:eastAsia="方正仿宋简体"/>
          <w:color w:val="auto"/>
          <w:sz w:val="28"/>
          <w:szCs w:val="28"/>
          <w:highlight w:val="none"/>
          <w:shd w:val="clear" w:color="auto" w:fill="FFFFFF"/>
          <w:lang w:eastAsia="zh-CN"/>
        </w:rPr>
        <w:t>QHSE</w:t>
      </w:r>
      <w:r>
        <w:rPr>
          <w:rFonts w:hint="eastAsia" w:ascii="方正仿宋简体" w:hAnsi="仿宋" w:eastAsia="方正仿宋简体"/>
          <w:color w:val="auto"/>
          <w:sz w:val="28"/>
          <w:szCs w:val="28"/>
          <w:highlight w:val="none"/>
          <w:shd w:val="clear" w:color="auto" w:fill="FFFFFF"/>
        </w:rPr>
        <w:t>过程考核指标。对违反本规定的人员按《西南油气田公司“反违章十条禁令”实施细则（试行）》予以处罚。</w:t>
      </w:r>
    </w:p>
    <w:p>
      <w:pPr>
        <w:keepNext w:val="0"/>
        <w:keepLines w:val="0"/>
        <w:pageBreakBefore w:val="0"/>
        <w:widowControl w:val="0"/>
        <w:kinsoku/>
        <w:wordWrap/>
        <w:overflowPunct/>
        <w:topLinePunct w:val="0"/>
        <w:autoSpaceDE/>
        <w:autoSpaceDN/>
        <w:bidi w:val="0"/>
        <w:adjustRightInd/>
        <w:snapToGrid w:val="0"/>
        <w:spacing w:line="560" w:lineRule="exact"/>
        <w:textAlignment w:val="auto"/>
        <w:outlineLvl w:val="9"/>
        <w:rPr>
          <w:rFonts w:ascii="方正仿宋简体" w:hAnsi="仿宋" w:eastAsia="方正仿宋简体"/>
          <w:color w:val="auto"/>
          <w:sz w:val="32"/>
          <w:szCs w:val="32"/>
          <w:highlight w:val="none"/>
          <w:shd w:val="clear" w:color="auto" w:fill="FFFFFF"/>
        </w:rPr>
      </w:pPr>
    </w:p>
    <w:p>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outlineLvl w:val="9"/>
        <w:rPr>
          <w:rFonts w:hint="eastAsia" w:ascii="方正黑体简体" w:hAnsi="方正黑体简体" w:eastAsia="方正黑体简体" w:cs="方正黑体简体"/>
          <w:b w:val="0"/>
          <w:bCs/>
          <w:color w:val="auto"/>
          <w:sz w:val="30"/>
          <w:szCs w:val="30"/>
          <w:highlight w:val="none"/>
          <w:shd w:val="clear" w:color="auto" w:fill="FFFFFF"/>
        </w:rPr>
      </w:pPr>
      <w:r>
        <w:rPr>
          <w:rFonts w:hint="eastAsia" w:ascii="方正黑体简体" w:hAnsi="方正黑体简体" w:eastAsia="方正黑体简体" w:cs="方正黑体简体"/>
          <w:b w:val="0"/>
          <w:bCs/>
          <w:color w:val="auto"/>
          <w:sz w:val="30"/>
          <w:szCs w:val="30"/>
          <w:highlight w:val="none"/>
          <w:shd w:val="clear" w:color="auto" w:fill="FFFFFF"/>
        </w:rPr>
        <w:t>第十一章  附则</w:t>
      </w:r>
    </w:p>
    <w:p>
      <w:pPr>
        <w:snapToGrid w:val="0"/>
        <w:spacing w:line="560" w:lineRule="exact"/>
        <w:ind w:firstLine="557" w:firstLineChars="198"/>
        <w:rPr>
          <w:rFonts w:ascii="方正仿宋简体" w:hAnsi="仿宋" w:eastAsia="方正仿宋简体"/>
          <w:bCs/>
          <w:color w:val="auto"/>
          <w:sz w:val="28"/>
          <w:szCs w:val="28"/>
          <w:highlight w:val="none"/>
          <w:shd w:val="clear" w:color="auto" w:fill="FFFFFF"/>
        </w:rPr>
      </w:pPr>
      <w:r>
        <w:rPr>
          <w:rFonts w:hint="eastAsia" w:ascii="方正仿宋简体" w:hAnsi="仿宋" w:eastAsia="方正仿宋简体"/>
          <w:b/>
          <w:color w:val="auto"/>
          <w:sz w:val="28"/>
          <w:szCs w:val="28"/>
          <w:highlight w:val="none"/>
          <w:shd w:val="clear" w:color="auto" w:fill="FFFFFF"/>
        </w:rPr>
        <w:t>第四十七条</w:t>
      </w:r>
      <w:r>
        <w:rPr>
          <w:rFonts w:hint="eastAsia" w:ascii="方正仿宋简体" w:hAnsi="仿宋" w:eastAsia="方正仿宋简体"/>
          <w:color w:val="auto"/>
          <w:sz w:val="28"/>
          <w:szCs w:val="28"/>
          <w:highlight w:val="none"/>
          <w:shd w:val="clear" w:color="auto" w:fill="FFFFFF"/>
        </w:rPr>
        <w:t xml:space="preserve"> </w:t>
      </w:r>
      <w:r>
        <w:rPr>
          <w:rFonts w:hint="eastAsia" w:ascii="方正仿宋简体" w:hAnsi="仿宋" w:eastAsia="方正仿宋简体"/>
          <w:color w:val="auto"/>
          <w:sz w:val="28"/>
          <w:szCs w:val="28"/>
          <w:highlight w:val="none"/>
          <w:shd w:val="clear" w:color="auto" w:fill="FFFFFF"/>
          <w:lang w:val="en-US" w:eastAsia="zh-CN"/>
        </w:rPr>
        <w:t xml:space="preserve"> </w:t>
      </w:r>
      <w:r>
        <w:rPr>
          <w:rFonts w:hint="eastAsia" w:ascii="方正仿宋简体" w:hAnsi="仿宋" w:eastAsia="方正仿宋简体"/>
          <w:color w:val="auto"/>
          <w:sz w:val="28"/>
          <w:szCs w:val="28"/>
          <w:highlight w:val="none"/>
          <w:shd w:val="clear" w:color="auto" w:fill="FFFFFF"/>
        </w:rPr>
        <w:t>本规定由质量安全环保部负责解释</w:t>
      </w:r>
      <w:r>
        <w:rPr>
          <w:rFonts w:hint="eastAsia" w:ascii="方正仿宋简体" w:hAnsi="仿宋" w:eastAsia="方正仿宋简体"/>
          <w:bCs/>
          <w:color w:val="auto"/>
          <w:sz w:val="28"/>
          <w:szCs w:val="28"/>
          <w:highlight w:val="none"/>
          <w:shd w:val="clear" w:color="auto" w:fill="FFFFFF"/>
        </w:rPr>
        <w:t>。</w:t>
      </w:r>
    </w:p>
    <w:p>
      <w:pPr>
        <w:snapToGrid w:val="0"/>
        <w:spacing w:line="560" w:lineRule="exact"/>
        <w:ind w:firstLine="557" w:firstLineChars="198"/>
        <w:rPr>
          <w:rFonts w:hint="eastAsia" w:ascii="方正仿宋简体" w:hAnsi="仿宋" w:eastAsia="方正仿宋简体"/>
          <w:bCs/>
          <w:color w:val="auto"/>
          <w:sz w:val="28"/>
          <w:szCs w:val="28"/>
          <w:highlight w:val="none"/>
          <w:shd w:val="clear" w:color="auto" w:fill="FFFFFF"/>
        </w:rPr>
      </w:pPr>
      <w:r>
        <w:rPr>
          <w:rFonts w:hint="eastAsia" w:ascii="方正仿宋简体" w:hAnsi="仿宋" w:eastAsia="方正仿宋简体"/>
          <w:b/>
          <w:bCs/>
          <w:color w:val="auto"/>
          <w:sz w:val="28"/>
          <w:szCs w:val="28"/>
          <w:highlight w:val="none"/>
          <w:shd w:val="clear" w:color="auto" w:fill="FFFFFF"/>
        </w:rPr>
        <w:t xml:space="preserve">第四十八条  </w:t>
      </w:r>
      <w:r>
        <w:rPr>
          <w:rFonts w:hint="eastAsia" w:ascii="方正仿宋简体" w:hAnsi="仿宋" w:eastAsia="方正仿宋简体"/>
          <w:bCs/>
          <w:color w:val="auto"/>
          <w:sz w:val="28"/>
          <w:szCs w:val="28"/>
          <w:highlight w:val="none"/>
          <w:shd w:val="clear" w:color="auto" w:fill="FFFFFF"/>
        </w:rPr>
        <w:t>本规定自发布之日起实施。</w:t>
      </w:r>
    </w:p>
    <w:p>
      <w:pPr>
        <w:keepNext w:val="0"/>
        <w:keepLines w:val="0"/>
        <w:pageBreakBefore w:val="0"/>
        <w:widowControl w:val="0"/>
        <w:kinsoku/>
        <w:wordWrap/>
        <w:overflowPunct/>
        <w:topLinePunct w:val="0"/>
        <w:autoSpaceDE/>
        <w:autoSpaceDN/>
        <w:bidi w:val="0"/>
        <w:adjustRightInd/>
        <w:snapToGrid w:val="0"/>
        <w:spacing w:line="560" w:lineRule="exact"/>
        <w:ind w:firstLine="554" w:firstLineChars="198"/>
        <w:textAlignment w:val="auto"/>
        <w:outlineLvl w:val="9"/>
        <w:rPr>
          <w:rFonts w:hint="eastAsia" w:ascii="方正仿宋简体" w:hAnsi="仿宋" w:eastAsia="方正仿宋简体"/>
          <w:bCs/>
          <w:color w:val="auto"/>
          <w:sz w:val="28"/>
          <w:szCs w:val="28"/>
          <w:highlight w:val="none"/>
          <w:shd w:val="clear" w:color="auto" w:fill="FFFFFF"/>
        </w:rPr>
      </w:pPr>
    </w:p>
    <w:p>
      <w:pPr>
        <w:pStyle w:val="133"/>
        <w:keepNext w:val="0"/>
        <w:keepLines w:val="0"/>
        <w:pageBreakBefore w:val="0"/>
        <w:widowControl/>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附件：1</w:t>
      </w:r>
      <w:r>
        <w:rPr>
          <w:rFonts w:hint="eastAsia" w:ascii="方正仿宋简体" w:hAnsi="仿宋" w:eastAsia="方正仿宋简体" w:cs="Times New Roman"/>
          <w:b w:val="0"/>
          <w:color w:val="auto"/>
          <w:kern w:val="2"/>
          <w:sz w:val="28"/>
          <w:szCs w:val="28"/>
          <w:highlight w:val="none"/>
          <w:shd w:val="clear" w:color="auto" w:fill="FFFFFF"/>
          <w:lang w:val="en-US"/>
        </w:rPr>
        <w:t>.西南油气田公司能量隔离安全管理规范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left="559" w:leftChars="266" w:firstLine="840" w:firstLineChars="3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2.</w:t>
      </w:r>
      <w:r>
        <w:rPr>
          <w:rFonts w:hint="eastAsia" w:ascii="方正仿宋简体" w:hAnsi="仿宋" w:eastAsia="方正仿宋简体" w:cs="Times New Roman"/>
          <w:b w:val="0"/>
          <w:color w:val="auto"/>
          <w:kern w:val="2"/>
          <w:sz w:val="28"/>
          <w:szCs w:val="28"/>
          <w:highlight w:val="none"/>
          <w:shd w:val="clear" w:color="auto" w:fill="FFFFFF"/>
          <w:lang w:val="en-US"/>
        </w:rPr>
        <w:t>西南油气田公司动火作业安全管理规范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ascii="方正仿宋简体" w:hAnsi="仿宋" w:eastAsia="方正仿宋简体" w:cs="Times New Roman"/>
          <w:b w:val="0"/>
          <w:color w:val="auto"/>
          <w:spacing w:val="-6"/>
          <w:kern w:val="2"/>
          <w:sz w:val="32"/>
          <w:szCs w:val="32"/>
          <w:highlight w:val="none"/>
          <w:shd w:val="clear" w:color="auto" w:fill="FFFFFF"/>
          <w:lang w:val="en-US"/>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3.</w:t>
      </w:r>
      <w:r>
        <w:rPr>
          <w:rFonts w:hint="eastAsia" w:ascii="方正仿宋简体" w:hAnsi="仿宋" w:eastAsia="方正仿宋简体" w:cs="Times New Roman"/>
          <w:b w:val="0"/>
          <w:color w:val="auto"/>
          <w:kern w:val="2"/>
          <w:sz w:val="28"/>
          <w:szCs w:val="28"/>
          <w:highlight w:val="none"/>
          <w:shd w:val="clear" w:color="auto" w:fill="FFFFFF"/>
          <w:lang w:val="en-US"/>
        </w:rPr>
        <w:t>西南油气田公司进入受限空间作业安全管理规</w:t>
      </w:r>
      <w:r>
        <w:rPr>
          <w:rFonts w:hint="eastAsia" w:ascii="方正仿宋简体" w:hAnsi="仿宋" w:eastAsia="方正仿宋简体" w:cs="Times New Roman"/>
          <w:b w:val="0"/>
          <w:color w:val="auto"/>
          <w:kern w:val="2"/>
          <w:sz w:val="32"/>
          <w:szCs w:val="32"/>
          <w:highlight w:val="none"/>
          <w:shd w:val="clear" w:color="auto" w:fill="FFFFFF"/>
          <w:lang w:val="en-US"/>
        </w:rPr>
        <w:t>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eastAsia="zh-CN"/>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4.西南油气田公司管线与设备打开作业安全管理规范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eastAsia="zh-CN"/>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5.西南油气田公司高处作业安全管理规范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eastAsia="zh-CN"/>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6.西南油气田公司临时用电作业安全管理规范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hint="eastAsia" w:ascii="方正仿宋简体" w:hAnsi="仿宋" w:eastAsia="方正仿宋简体" w:cs="Times New Roman"/>
          <w:b w:val="0"/>
          <w:color w:val="auto"/>
          <w:kern w:val="2"/>
          <w:sz w:val="28"/>
          <w:szCs w:val="28"/>
          <w:highlight w:val="none"/>
          <w:shd w:val="clear" w:color="auto" w:fill="FFFFFF"/>
          <w:lang w:val="en-US" w:eastAsia="zh-CN"/>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7.西南油气田公司挖掘作业安全管理规范</w:t>
      </w:r>
    </w:p>
    <w:p>
      <w:pPr>
        <w:pStyle w:val="133"/>
        <w:keepNext w:val="0"/>
        <w:keepLines w:val="0"/>
        <w:pageBreakBefore w:val="0"/>
        <w:widowControl/>
        <w:numPr>
          <w:ilvl w:val="0"/>
          <w:numId w:val="0"/>
        </w:numPr>
        <w:kinsoku/>
        <w:wordWrap/>
        <w:overflowPunct/>
        <w:topLinePunct w:val="0"/>
        <w:autoSpaceDE w:val="0"/>
        <w:autoSpaceDN w:val="0"/>
        <w:bidi w:val="0"/>
        <w:adjustRightInd w:val="0"/>
        <w:snapToGrid/>
        <w:spacing w:line="560" w:lineRule="exact"/>
        <w:ind w:firstLine="1400" w:firstLineChars="500"/>
        <w:jc w:val="both"/>
        <w:textAlignment w:val="auto"/>
        <w:outlineLvl w:val="9"/>
        <w:rPr>
          <w:rFonts w:hint="eastAsia" w:ascii="方正仿宋简体" w:hAnsi="仿宋" w:eastAsia="方正仿宋简体" w:cs="Times New Roman"/>
          <w:b w:val="0"/>
          <w:color w:val="auto"/>
          <w:kern w:val="2"/>
          <w:sz w:val="32"/>
          <w:szCs w:val="32"/>
          <w:highlight w:val="none"/>
          <w:shd w:val="clear" w:color="auto" w:fill="FFFFFF"/>
          <w:lang w:val="en-US"/>
        </w:rPr>
      </w:pPr>
      <w:r>
        <w:rPr>
          <w:rFonts w:hint="eastAsia" w:ascii="方正仿宋简体" w:hAnsi="仿宋" w:eastAsia="方正仿宋简体" w:cs="Times New Roman"/>
          <w:b w:val="0"/>
          <w:color w:val="auto"/>
          <w:kern w:val="2"/>
          <w:sz w:val="28"/>
          <w:szCs w:val="28"/>
          <w:highlight w:val="none"/>
          <w:shd w:val="clear" w:color="auto" w:fill="FFFFFF"/>
          <w:lang w:val="en-US" w:eastAsia="zh-CN"/>
        </w:rPr>
        <w:t>8.西南油气田公司移动式起重机吊装作业安全管理规范</w:t>
      </w:r>
    </w:p>
    <w:p>
      <w:pPr>
        <w:pStyle w:val="133"/>
        <w:rPr>
          <w:rFonts w:hint="eastAsia" w:ascii="方正仿宋简体" w:hAnsi="仿宋" w:eastAsia="方正仿宋简体" w:cs="Times New Roman"/>
          <w:b w:val="0"/>
          <w:color w:val="auto"/>
          <w:kern w:val="2"/>
          <w:sz w:val="32"/>
          <w:szCs w:val="32"/>
          <w:highlight w:val="none"/>
          <w:shd w:val="clear" w:color="auto" w:fill="FFFFFF"/>
          <w:lang w:val="en-US"/>
        </w:rPr>
      </w:pPr>
    </w:p>
    <w:p>
      <w:pPr>
        <w:pStyle w:val="133"/>
        <w:rPr>
          <w:rFonts w:hint="eastAsia" w:ascii="方正仿宋简体" w:hAnsi="仿宋" w:eastAsia="方正仿宋简体" w:cs="Times New Roman"/>
          <w:b w:val="0"/>
          <w:color w:val="auto"/>
          <w:kern w:val="2"/>
          <w:sz w:val="32"/>
          <w:szCs w:val="32"/>
          <w:highlight w:val="none"/>
          <w:shd w:val="clear" w:color="auto" w:fill="FFFFFF"/>
          <w:lang w:val="en-US"/>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bookmarkStart w:id="886" w:name="_Toc28503"/>
      <w:bookmarkStart w:id="887" w:name="_Toc1572"/>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center"/>
        <w:outlineLvl w:val="1"/>
        <w:rPr>
          <w:rFonts w:hint="eastAsia" w:ascii="方正小标宋简体" w:eastAsia="方正小标宋简体"/>
          <w:b/>
          <w:bCs/>
          <w:color w:val="auto"/>
          <w:kern w:val="44"/>
          <w:sz w:val="36"/>
          <w:szCs w:val="36"/>
          <w:highlight w:val="none"/>
          <w:lang w:val="en-US" w:eastAsia="zh-CN" w:bidi="ar-SA"/>
        </w:rPr>
      </w:pPr>
    </w:p>
    <w:p>
      <w:pPr>
        <w:spacing w:line="560" w:lineRule="exact"/>
        <w:jc w:val="left"/>
        <w:outlineLvl w:val="1"/>
        <w:rPr>
          <w:rFonts w:hint="eastAsia" w:ascii="方正小标宋简体" w:hAnsi="华文中宋" w:eastAsia="方正小标宋简体"/>
          <w:color w:val="auto"/>
          <w:sz w:val="44"/>
          <w:szCs w:val="44"/>
          <w:highlight w:val="none"/>
        </w:rPr>
      </w:pPr>
      <w:r>
        <w:rPr>
          <w:rFonts w:hint="eastAsia" w:ascii="方正小标宋简体" w:eastAsia="方正小标宋简体"/>
          <w:b/>
          <w:bCs/>
          <w:color w:val="auto"/>
          <w:kern w:val="44"/>
          <w:sz w:val="36"/>
          <w:szCs w:val="36"/>
          <w:highlight w:val="none"/>
          <w:lang w:val="en-US" w:eastAsia="zh-CN" w:bidi="ar-SA"/>
        </w:rPr>
        <w:br w:type="page"/>
      </w:r>
      <w:bookmarkStart w:id="888" w:name="_Toc8358"/>
      <w:r>
        <w:rPr>
          <w:rFonts w:hint="eastAsia" w:ascii="方正黑体简体" w:hAnsi="方正黑体简体" w:eastAsia="方正黑体简体" w:cs="方正黑体简体"/>
          <w:b w:val="0"/>
          <w:bCs w:val="0"/>
          <w:color w:val="auto"/>
          <w:kern w:val="44"/>
          <w:sz w:val="32"/>
          <w:szCs w:val="32"/>
          <w:highlight w:val="none"/>
          <w:lang w:val="en-US" w:eastAsia="zh-CN" w:bidi="ar-SA"/>
        </w:rPr>
        <w:t>附件1  能量隔离安全管理规范</w:t>
      </w:r>
      <w:bookmarkEnd w:id="886"/>
      <w:bookmarkEnd w:id="887"/>
      <w:bookmarkEnd w:id="888"/>
    </w:p>
    <w:p>
      <w:pPr>
        <w:spacing w:line="560" w:lineRule="exact"/>
        <w:ind w:firstLine="640" w:firstLineChars="200"/>
        <w:jc w:val="center"/>
        <w:rPr>
          <w:rFonts w:hint="eastAsia" w:ascii="方正小标宋简体" w:hAnsi="宋体" w:eastAsia="方正小标宋简体"/>
          <w:color w:val="auto"/>
          <w:sz w:val="32"/>
          <w:szCs w:val="32"/>
          <w:highlight w:val="none"/>
        </w:rPr>
      </w:pP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 xml:space="preserve">第一条 </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为规范西南油气田公司（以下简称公司）能量隔离安全管理，防止设备设施在生产期间或检维修期间能量或物料的意外释放造成的人员伤害或财产损失，结合公司生产实际，特制定本规范。</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2" w:firstLineChars="200"/>
        <w:jc w:val="both"/>
        <w:textAlignment w:val="auto"/>
        <w:outlineLvl w:val="9"/>
        <w:rPr>
          <w:rFonts w:hint="eastAsia" w:ascii="方正仿宋简体" w:eastAsia="方正仿宋简体"/>
          <w:b/>
          <w:color w:val="auto"/>
          <w:sz w:val="28"/>
          <w:szCs w:val="28"/>
          <w:highlight w:val="none"/>
        </w:rPr>
      </w:pPr>
      <w:r>
        <w:rPr>
          <w:rFonts w:hint="eastAsia" w:ascii="方正仿宋简体" w:eastAsia="方正仿宋简体"/>
          <w:b/>
          <w:color w:val="auto"/>
          <w:sz w:val="28"/>
          <w:szCs w:val="28"/>
          <w:highlight w:val="none"/>
        </w:rPr>
        <w:t xml:space="preserve">第二条 </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本规范中的能量主要指电能、机械能、热能、化学能、辐射能等；物料主要指作业过程中的有毒有害危险介质等。隔离指将阀件、电气开关、蓄能配件等设定在合适的位置或借助特定的设施使设备不能运转或危险能量、物料不能释放。</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第三条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所有作业中涉及的能量隔离都必须按本规范执行。</w:t>
      </w:r>
    </w:p>
    <w:p>
      <w:pPr>
        <w:keepNext w:val="0"/>
        <w:keepLines w:val="0"/>
        <w:pageBreakBefore w:val="0"/>
        <w:kinsoku/>
        <w:wordWrap/>
        <w:overflowPunct/>
        <w:topLinePunct w:val="0"/>
        <w:autoSpaceDE/>
        <w:autoSpaceDN/>
        <w:bidi w:val="0"/>
        <w:adjustRightInd/>
        <w:snapToGrid w:val="0"/>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第四条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生产技术管理部门负责组织编制、审核隔离方案，主管领导批准。基层单位应将隔离方案收集、存档形成资料库，二级单位生产技术管理部门应至少每年组织对基层单位隔离方案资料库进行一次审核。</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hAnsi="宋体" w:eastAsia="方正仿宋简体"/>
          <w:b/>
          <w:color w:val="auto"/>
          <w:sz w:val="28"/>
          <w:szCs w:val="28"/>
          <w:highlight w:val="none"/>
        </w:rPr>
        <w:t>第五条</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b/>
          <w:color w:val="auto"/>
          <w:sz w:val="28"/>
          <w:szCs w:val="28"/>
          <w:highlight w:val="none"/>
        </w:rPr>
        <w:t xml:space="preserve"> </w:t>
      </w:r>
      <w:r>
        <w:rPr>
          <w:rFonts w:hint="eastAsia" w:ascii="方正仿宋简体" w:eastAsia="方正仿宋简体"/>
          <w:color w:val="auto"/>
          <w:sz w:val="28"/>
          <w:szCs w:val="28"/>
          <w:highlight w:val="none"/>
        </w:rPr>
        <w:t>隔离或控制能量、物料的方式包括但不限于：</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(一)切断电源或对电容器放电。</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(二)隔离压力源或释放压力。</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(三)停止转动设备并确保它们不再转动；</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(四)释放贮存的能量和物料。</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(五)防止设备可能受外力的影响引起的移动。</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(六)辐射隔离，距离间隔。</w:t>
      </w:r>
    </w:p>
    <w:p>
      <w:pPr>
        <w:pStyle w:val="41"/>
        <w:keepNext w:val="0"/>
        <w:keepLines w:val="0"/>
        <w:pageBreakBefore w:val="0"/>
        <w:kinsoku/>
        <w:wordWrap/>
        <w:overflowPunct/>
        <w:topLinePunct w:val="0"/>
        <w:autoSpaceDE/>
        <w:autoSpaceDN/>
        <w:bidi w:val="0"/>
        <w:adjustRightInd/>
        <w:spacing w:before="0" w:beforeAutospacing="0" w:after="0" w:afterAutospacing="0"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第六条</w:t>
      </w:r>
      <w:r>
        <w:rPr>
          <w:rFonts w:hint="eastAsia" w:ascii="方正仿宋简体" w:eastAsia="方正仿宋简体"/>
          <w:color w:val="auto"/>
          <w:sz w:val="28"/>
          <w:szCs w:val="28"/>
          <w:highlight w:val="none"/>
        </w:rPr>
        <w:t xml:space="preserve">  隔离方式选取原则</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隔离应优先选取截断、加盲板或盲法兰等方式实现有效隔离，偏离此标准的隔离方式应增加有效控制措施并得到批准。</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hAnsi="宋体" w:eastAsia="方正仿宋简体"/>
          <w:b/>
          <w:color w:val="auto"/>
          <w:sz w:val="28"/>
          <w:szCs w:val="28"/>
          <w:highlight w:val="none"/>
        </w:rPr>
        <w:t>第七条</w:t>
      </w:r>
      <w:r>
        <w:rPr>
          <w:rFonts w:hint="eastAsia" w:ascii="方正仿宋简体" w:eastAsia="方正仿宋简体"/>
          <w:color w:val="auto"/>
          <w:sz w:val="28"/>
          <w:szCs w:val="28"/>
          <w:highlight w:val="none"/>
        </w:rPr>
        <w:t xml:space="preserve"> </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隔离技术要求</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作业前，应根据辨识出的危险能量和物料及可能产生的危害，编制隔离方案，隔离方案应明确隔离方式、隔离点、隔离实施及解除的操作步骤、隔离有效性的检测、作业区域警戒设置要求等内容（附件1），根据危险能量和物料性质及隔离方式选择相匹配的断开、隔离装置。</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（一）工艺隔离</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工艺隔离应首先切断物料来源，隔离可采取加装盲板、实现断开、双重隔离或其它有效隔离方式，隔离实施完成后应确认隔离有效，并在作业区域设置警戒，严禁与作业无关人员或车辆进入作业区域。</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隔离要求：</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（1）双阀隔离原则上不适用于动火作业、进入受限空间作业前的有毒、有害介质隔离，当工艺条件限制而采取此类方式进行隔离时，应增加额外的控制措施。</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（2）当使用单阀隔离有毒、有害或压力大于0.4MPa（表压），温度高于闪点或大于六十度的介质时，应增加额外的控制措施。</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（二）电气隔离</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电气设备电源隔离应有明显断开点，电源设备应断开全部电源，对可能存有残余电荷的电气设备应逐相充分放电，确认隔离有效后上锁挂牌。</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隔离要求：</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（1）主电源开关是电气驱动设备主要隔离点，附属的控制设备，如现场启动/停止开关不可作为隔离点。</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（2）若电压低于220V，拔掉电源插头可视为有效隔离，若插头不在作业人员视线范围内，应对插头上锁挂牌，以阻止他人误插。</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（3）回路若是采用保险丝/继电器控制盘供电方式，无法上锁时，应装上假保险丝并加警示标签。</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（4）若必须在裸露的电气导线或组件上工作时，上一级电气开关应由电气专业人员断开。</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（5）具有远程控制功能的用电设备，不能仅依靠现场的启动按钮来测试确认电源是否断开，远程控制端必须置于“就地”或“断开”状态并上锁挂牌。</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（三）确认隔离有效性的方式包括但不限于：</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1</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通过观察压力表、视镜、液位计、低点导淋、高点放空、气体测试等多种方式，综合确认贮存的物料或能量已被彻底去除或已有效的隔离。</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2</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目视确认连接件已断开、设备已停止运行。</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3</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电气隔离时，应在配电装置及作业现场进行验电测试。</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4</w:t>
      </w:r>
      <w:r>
        <w:rPr>
          <w:rFonts w:hint="eastAsia" w:ascii="方正仿宋简体" w:eastAsia="方正仿宋简体"/>
          <w:color w:val="auto"/>
          <w:sz w:val="28"/>
          <w:szCs w:val="28"/>
          <w:highlight w:val="none"/>
          <w:lang w:val="en-US" w:eastAsia="zh-CN"/>
        </w:rPr>
        <w:t>.</w:t>
      </w:r>
      <w:r>
        <w:rPr>
          <w:rFonts w:hint="eastAsia" w:ascii="方正仿宋简体" w:eastAsia="方正仿宋简体"/>
          <w:color w:val="auto"/>
          <w:sz w:val="28"/>
          <w:szCs w:val="28"/>
          <w:highlight w:val="none"/>
        </w:rPr>
        <w:t>有条件时，应进行设备停用状态测试（如按下启动按钮或开关，确认设备不再运转）。</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 xml:space="preserve">第八条 </w:t>
      </w:r>
      <w:r>
        <w:rPr>
          <w:rFonts w:hint="eastAsia" w:ascii="方正仿宋简体" w:eastAsia="方正仿宋简体"/>
          <w:b/>
          <w:color w:val="auto"/>
          <w:sz w:val="28"/>
          <w:szCs w:val="28"/>
          <w:highlight w:val="none"/>
          <w:lang w:val="en-US" w:eastAsia="zh-CN"/>
        </w:rPr>
        <w:t xml:space="preserve"> </w:t>
      </w:r>
      <w:r>
        <w:rPr>
          <w:rFonts w:hint="eastAsia" w:ascii="方正仿宋简体" w:eastAsia="方正仿宋简体"/>
          <w:color w:val="auto"/>
          <w:sz w:val="28"/>
          <w:szCs w:val="28"/>
          <w:highlight w:val="none"/>
        </w:rPr>
        <w:t>隔离装置的选择应考虑</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（一）满足特殊需要的专用危险能量隔离装置。</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（二）安装上锁装置的技术要求。</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（三）按钮、选择开关和其它控制线路装置不能作为危险能量隔离装置。</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（四）控制阀和电磁阀不能单独作为流体隔离装置。</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（五）应使用合适的方法确认危险能量或物料已被去除和完全隔离。</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（六）系统或设备包含贮存能量（如弹簧、飞轮、重力效应或电容器）时，贮存的能量应被释放或使用组件阻塞。</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（七）可移动的动力设备（如燃油发动机、发动机驱动的设备）应用可靠的方法（如去除电池、电缆、火花塞电线或相应措施）使其不能运转。</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eastAsia="方正仿宋简体"/>
          <w:b/>
          <w:color w:val="auto"/>
          <w:sz w:val="28"/>
          <w:szCs w:val="28"/>
          <w:highlight w:val="none"/>
        </w:rPr>
        <w:t xml:space="preserve">第九条 </w:t>
      </w:r>
      <w:r>
        <w:rPr>
          <w:rFonts w:hint="eastAsia" w:ascii="方正仿宋简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隔离方案编制前需确认工艺流程图或ＰＩＤ图与作业现场一致。</w:t>
      </w:r>
      <w:r>
        <w:rPr>
          <w:rFonts w:hint="eastAsia" w:ascii="方正仿宋简体" w:eastAsia="方正仿宋简体"/>
          <w:color w:val="auto"/>
          <w:sz w:val="28"/>
          <w:szCs w:val="28"/>
          <w:highlight w:val="none"/>
        </w:rPr>
        <w:t>若</w:t>
      </w:r>
      <w:r>
        <w:rPr>
          <w:rFonts w:hint="eastAsia" w:ascii="方正仿宋简体" w:hAnsi="宋体" w:eastAsia="方正仿宋简体"/>
          <w:color w:val="auto"/>
          <w:sz w:val="28"/>
          <w:szCs w:val="28"/>
          <w:highlight w:val="none"/>
        </w:rPr>
        <w:t>现场工艺情况发生变更</w:t>
      </w:r>
      <w:r>
        <w:rPr>
          <w:rFonts w:hint="eastAsia" w:ascii="方正仿宋简体" w:eastAsia="方正仿宋简体"/>
          <w:color w:val="auto"/>
          <w:sz w:val="28"/>
          <w:szCs w:val="28"/>
          <w:highlight w:val="none"/>
        </w:rPr>
        <w:t>，应重新制定</w:t>
      </w:r>
      <w:r>
        <w:rPr>
          <w:rFonts w:hint="eastAsia" w:ascii="方正仿宋简体" w:hAnsi="宋体" w:eastAsia="方正仿宋简体"/>
          <w:color w:val="auto"/>
          <w:sz w:val="28"/>
          <w:szCs w:val="28"/>
          <w:highlight w:val="none"/>
        </w:rPr>
        <w:t>隔离方案</w:t>
      </w:r>
      <w:r>
        <w:rPr>
          <w:rFonts w:hint="eastAsia" w:ascii="方正仿宋简体" w:eastAsia="方正仿宋简体"/>
          <w:color w:val="auto"/>
          <w:sz w:val="28"/>
          <w:szCs w:val="28"/>
          <w:highlight w:val="none"/>
        </w:rPr>
        <w:t>。</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b/>
          <w:color w:val="auto"/>
          <w:sz w:val="28"/>
          <w:szCs w:val="28"/>
          <w:highlight w:val="none"/>
        </w:rPr>
        <w:t>第十条</w:t>
      </w:r>
      <w:r>
        <w:rPr>
          <w:rFonts w:hint="eastAsia" w:ascii="方正仿宋简体" w:eastAsia="方正仿宋简体"/>
          <w:color w:val="auto"/>
          <w:sz w:val="28"/>
          <w:szCs w:val="28"/>
          <w:highlight w:val="none"/>
        </w:rPr>
        <w:t xml:space="preserve"> </w:t>
      </w:r>
      <w:r>
        <w:rPr>
          <w:rFonts w:hint="eastAsia" w:ascii="方正仿宋简体" w:eastAsia="方正仿宋简体"/>
          <w:color w:val="auto"/>
          <w:sz w:val="28"/>
          <w:szCs w:val="28"/>
          <w:highlight w:val="none"/>
          <w:lang w:val="en-US" w:eastAsia="zh-CN"/>
        </w:rPr>
        <w:t xml:space="preserve"> </w:t>
      </w:r>
      <w:r>
        <w:rPr>
          <w:rFonts w:hint="eastAsia" w:ascii="方正仿宋简体" w:eastAsia="方正仿宋简体"/>
          <w:color w:val="auto"/>
          <w:sz w:val="28"/>
          <w:szCs w:val="28"/>
          <w:highlight w:val="none"/>
        </w:rPr>
        <w:t>涉及到工艺隔离、电气隔离应办理相应的审批单（附件）。</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hAnsi="宋体" w:eastAsia="方正仿宋简体"/>
          <w:b/>
          <w:color w:val="auto"/>
          <w:sz w:val="28"/>
          <w:szCs w:val="28"/>
          <w:highlight w:val="none"/>
        </w:rPr>
        <w:t>第十一条</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b/>
          <w:color w:val="auto"/>
          <w:sz w:val="28"/>
          <w:szCs w:val="28"/>
          <w:highlight w:val="none"/>
        </w:rPr>
        <w:t xml:space="preserve"> </w:t>
      </w:r>
      <w:r>
        <w:rPr>
          <w:rFonts w:hint="eastAsia" w:ascii="方正仿宋简体" w:eastAsia="方正仿宋简体"/>
          <w:color w:val="auto"/>
          <w:sz w:val="28"/>
          <w:szCs w:val="28"/>
          <w:highlight w:val="none"/>
        </w:rPr>
        <w:t>隔离测试有效后，上锁挂牌要求及程序执行集团公司《上锁挂牌管理规范》（SY/T1421</w:t>
      </w:r>
      <w:r>
        <w:rPr>
          <w:rFonts w:hint="eastAsia" w:ascii="方正仿宋简体" w:hAnsi="宋体" w:eastAsia="方正仿宋简体"/>
          <w:color w:val="auto"/>
          <w:sz w:val="28"/>
          <w:szCs w:val="28"/>
          <w:highlight w:val="none"/>
        </w:rPr>
        <w:t>－</w:t>
      </w:r>
      <w:r>
        <w:rPr>
          <w:rFonts w:hint="eastAsia" w:ascii="方正仿宋简体" w:eastAsia="方正仿宋简体"/>
          <w:color w:val="auto"/>
          <w:sz w:val="28"/>
          <w:szCs w:val="28"/>
          <w:highlight w:val="none"/>
        </w:rPr>
        <w:t>2009）。</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hAnsi="宋体" w:eastAsia="方正仿宋简体"/>
          <w:b/>
          <w:color w:val="auto"/>
          <w:sz w:val="28"/>
          <w:szCs w:val="28"/>
          <w:highlight w:val="none"/>
        </w:rPr>
        <w:t>第十二条</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b/>
          <w:color w:val="auto"/>
          <w:sz w:val="28"/>
          <w:szCs w:val="28"/>
          <w:highlight w:val="none"/>
        </w:rPr>
        <w:t xml:space="preserve"> </w:t>
      </w:r>
      <w:r>
        <w:rPr>
          <w:rFonts w:hint="eastAsia" w:ascii="方正仿宋简体" w:eastAsia="方正仿宋简体"/>
          <w:color w:val="auto"/>
          <w:sz w:val="28"/>
          <w:szCs w:val="28"/>
          <w:highlight w:val="none"/>
        </w:rPr>
        <w:t>现场核查</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highlight w:val="none"/>
        </w:rPr>
        <w:t>属地单位与作业单位在执行工作界面交接时，应对照“隔离方案”共同确认能量已隔离或去除。当任意一方对上锁、隔离的充分性、完整性有疑虑时，均应现场核查隔离方案并确认隔离有效性。</w:t>
      </w:r>
    </w:p>
    <w:p>
      <w:pPr>
        <w:keepNext w:val="0"/>
        <w:keepLines w:val="0"/>
        <w:pageBreakBefore w:val="0"/>
        <w:kinsoku/>
        <w:wordWrap/>
        <w:overflowPunct/>
        <w:topLinePunct w:val="0"/>
        <w:autoSpaceDE/>
        <w:autoSpaceDN/>
        <w:bidi w:val="0"/>
        <w:adjustRightInd/>
        <w:spacing w:line="560" w:lineRule="exact"/>
        <w:ind w:firstLine="562"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第十三条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隔离解除</w:t>
      </w:r>
    </w:p>
    <w:p>
      <w:pPr>
        <w:keepNext w:val="0"/>
        <w:keepLines w:val="0"/>
        <w:pageBreakBefore w:val="0"/>
        <w:kinsoku/>
        <w:wordWrap/>
        <w:overflowPunct/>
        <w:topLinePunct w:val="0"/>
        <w:autoSpaceDE/>
        <w:autoSpaceDN/>
        <w:bidi w:val="0"/>
        <w:adjustRightInd/>
        <w:spacing w:line="560" w:lineRule="exact"/>
        <w:ind w:firstLine="560" w:firstLineChars="200"/>
        <w:jc w:val="both"/>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作业活动结束，作业许可证签发人确认条件具备后，应安排解除隔离。隔离解除后，有关执行人在隔离方案和相关票证上签字确认。</w:t>
      </w: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ind w:firstLine="640" w:firstLineChars="200"/>
        <w:rPr>
          <w:rFonts w:hint="eastAsia" w:ascii="方正仿宋简体" w:eastAsia="方正仿宋简体"/>
          <w:color w:val="auto"/>
          <w:sz w:val="32"/>
          <w:szCs w:val="32"/>
          <w:highlight w:val="none"/>
        </w:rPr>
      </w:pPr>
    </w:p>
    <w:p>
      <w:pPr>
        <w:spacing w:line="560" w:lineRule="exact"/>
        <w:jc w:val="left"/>
        <w:outlineLvl w:val="1"/>
        <w:rPr>
          <w:rFonts w:hint="eastAsia" w:ascii="方正黑体简体" w:hAnsi="方正黑体简体" w:eastAsia="方正黑体简体" w:cs="方正黑体简体"/>
          <w:b w:val="0"/>
          <w:bCs w:val="0"/>
          <w:color w:val="auto"/>
          <w:kern w:val="44"/>
          <w:sz w:val="32"/>
          <w:szCs w:val="32"/>
          <w:highlight w:val="none"/>
          <w:lang w:val="zh-CN" w:eastAsia="zh-CN" w:bidi="ar-SA"/>
        </w:rPr>
      </w:pPr>
      <w:bookmarkStart w:id="889" w:name="_Toc5746"/>
      <w:bookmarkStart w:id="890" w:name="_Toc16350"/>
      <w:bookmarkStart w:id="891" w:name="_Toc7987"/>
      <w:bookmarkStart w:id="892" w:name="_Toc23608"/>
      <w:r>
        <w:rPr>
          <w:rFonts w:hint="eastAsia" w:ascii="方正黑体简体" w:hAnsi="方正黑体简体" w:eastAsia="方正黑体简体" w:cs="方正黑体简体"/>
          <w:b w:val="0"/>
          <w:bCs w:val="0"/>
          <w:color w:val="auto"/>
          <w:kern w:val="44"/>
          <w:sz w:val="32"/>
          <w:szCs w:val="32"/>
          <w:highlight w:val="none"/>
          <w:lang w:val="en-US" w:eastAsia="zh-CN" w:bidi="ar-SA"/>
        </w:rPr>
        <w:t xml:space="preserve">附件2  </w:t>
      </w:r>
      <w:r>
        <w:rPr>
          <w:rFonts w:hint="eastAsia" w:ascii="方正黑体简体" w:hAnsi="方正黑体简体" w:eastAsia="方正黑体简体" w:cs="方正黑体简体"/>
          <w:b w:val="0"/>
          <w:bCs w:val="0"/>
          <w:color w:val="auto"/>
          <w:kern w:val="44"/>
          <w:sz w:val="32"/>
          <w:szCs w:val="32"/>
          <w:highlight w:val="none"/>
          <w:lang w:val="zh-CN" w:eastAsia="zh-CN" w:bidi="ar-SA"/>
        </w:rPr>
        <w:t>动火作业安全管理规范</w:t>
      </w:r>
      <w:bookmarkEnd w:id="889"/>
      <w:bookmarkEnd w:id="890"/>
      <w:bookmarkEnd w:id="891"/>
      <w:bookmarkEnd w:id="892"/>
    </w:p>
    <w:p>
      <w:pPr>
        <w:autoSpaceDE w:val="0"/>
        <w:autoSpaceDN w:val="0"/>
        <w:adjustRightInd w:val="0"/>
        <w:spacing w:line="360" w:lineRule="auto"/>
        <w:jc w:val="center"/>
        <w:rPr>
          <w:rFonts w:ascii="宋体" w:cs="宋体"/>
          <w:color w:val="auto"/>
          <w:sz w:val="32"/>
          <w:szCs w:val="32"/>
          <w:highlight w:val="none"/>
          <w:lang w:val="zh-CN"/>
        </w:rPr>
      </w:pP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为规范西南油气田公司（以下简称公司）动火安全管理，依据《中国石油天然气集团公司动火作业安全管理办法》等有关标准和规定，结合公司生产实际，特制定本规范。</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本规范所称的动火作业是指在具有火灾爆炸危险性的生产或施工作业区域内能直接或间接产生明火的各种临时作业。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动火作业包括但不限于以下方式：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（一）各种气焊、电焊、铅焊、锡焊、塑料焊等各种焊接作业及气割、等离子切割机、砂轮机、磨光机等各种金属切割作业。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（二）使用喷灯、液化气炉、火炉、电炉等明火作业。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（三）烧、烤、煨管线、熬沥青、炒砂子、铁锤击（产生火花）物件、喷砂和产生火花的其他作业。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（四）生产装置、成品油库装卸作业区和罐区联接临时电源并使用非防爆电器设备和电动工具。</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（五）使用雷管、炸药等进行爆破作业。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公司动火作业应按照《西南油气田公司作业许可管理规定》实行作业许可管理。</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作业人员应接受动火作业培训，执行动火作业管理程序。</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b/>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动火作业基本原则：凡是可不动火的作业一律不得动火；凡是可采取其它安全方式代替动火作业的一律不得动火；在易燃易爆危险区域内，动火部件凡是能拆移的，应拆移到易燃易爆区域外的安全地点动火；必须在带有易燃易爆、有毒有害介质的容器、设备和管线上动火时，应当制定有效的安全工作方案及应急预案，采取可行的风险控制措施，达到安全动火条件后方可动火。</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第六条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工作前安全分析要求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申请动火作业前，作业单位应针对动火作业内容、作业环境等方面进行工作前安全分析，制定相应控制措施，具体执行《西南油气田公司工作前安全分析管理规定》。</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第七条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系统隔离按照《西南油气田公司能量隔离安全管理规范》的要求执行。</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气体检测要求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(一)需要动火的塔、罐、容器、槽车等设备和管线，清洗、置换和通风后，要检测可燃气体、有毒有害气体、氧气浓度，达到作业许可安全浓度才能进行作业。</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(二)气体检测应明确检测频率和要求，由培训合格的气体检测人员按标准和安全规定进行气体检测。初始气体检测结果30分钟内有效。连续气体监测中断30分钟以上应由气体检测人员重新检测。</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(三)作业区域的气体检测检测范围应从在动火点延伸到工作点周围15米处；动静密封点的1.5米范围、管道开口端、排放口、阀门的密封件、连接件、盲板、安全阀、泵的密封、管沟等部位应进行重点检测。</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凡进入罐、塔、釜、坑等受限空间动火作业，必须对受限空间内气体进行检测分析。对装置系统内的气体检测应在吹扫置换停止20分钟后开始检测。气体检测点应有代表性（根据介质与空气相对密度的大小确定检测点）。首次气体检测合格后应在受限空间内特定位置悬挂气体检测仪进行连续监测，监测中一旦出现异常，应立即停止作业，人员撤离。如采用气体分析方式进行气体检测的，采样分析样品至少要保留4小时。</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(五)检测设备必须经有检测资质单位检测合格在有效期内，并确定其处于正常工作状态。</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动火作业前，应对作业区域和动火点可燃气体浓度进行检测，使用便携式可燃气体报警仪或其他类似手段进行分析时，被测的可燃气体或可燃液体蒸气浓度应小于其与空气混合爆炸下限的10%(LEL)。且应使用两台设备进行对比检测。使用色谱分析等分析手段时，被测的可燃气体或可燃液体蒸气的爆炸下限大于等于4%(V/V)时，其被测浓度应小于0.5%；当被测的可燃气体或可燃液体蒸气的爆炸下限小于4%时，其被测浓度应小于0.2%(V/V)。</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设备机具要求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（一）设备应定期检修、检查，保持良好的技术性能，并进行目视化标识，不能带病运转和超负荷使用。</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（二）设备上的安全防护装置应完好、可靠，电器设备应有良好的接地装置，并安装漏电保护装置。</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（三）采用电焊进行动火施工的储罐、容器及管道等应在焊点附近安装接地线，其接地电阻应小于10Ω。</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（四）各种施工机械、工具、材料及消防器材应摆放在动火安全措施确定的区域内。</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（五）储存气瓶的场所应通风良好，防止曝晒，应设置相应的消防器材。空瓶与实瓶应分开存放，气瓶应有瓶帽和防震圈。乙炔气瓶储存时应保持直立并有防止倾倒措施。</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六）气瓶使用时，放置地点不得靠近热源，气瓶应防止曝晒、雨淋、水浸。环境温度超过40℃时，应采取遮阳或水喷淋等措施降温；气瓶应立放使用，严禁卧放，特别是乙炔气瓶，并应采取防止倾倒的措施。乙炔气瓶使用前，必须先直立20分钟后，然后连接减压阀使用；气瓶及附件应保持清洁、干燥，防止沾染油脂、腐蚀性介质、灰尘等。氧气瓶阀不得沾有油脂，不得用沾有油脂的工具、手套或油污工作服去接触氧气瓶阀、减压器等。</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（七）用气焊(割)动火作业时，氧气瓶与乙炔气瓶的间隔不小于5米，二者与动火作业地点距离不得小于10米。在封闭空间内实施焊割作业时，气瓶应放置在密闭空间外面。</w:t>
      </w:r>
    </w:p>
    <w:p>
      <w:pPr>
        <w:keepNext w:val="0"/>
        <w:keepLines w:val="0"/>
        <w:pageBreakBefore w:val="0"/>
        <w:widowControl w:val="0"/>
        <w:kinsoku/>
        <w:wordWrap/>
        <w:overflowPunct/>
        <w:topLinePunct w:val="0"/>
        <w:autoSpaceDE w:val="0"/>
        <w:autoSpaceDN w:val="0"/>
        <w:bidi w:val="0"/>
        <w:adjustRightInd/>
        <w:snapToGrid/>
        <w:spacing w:line="53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现场安全要求</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（一）需动火施工的设备、设施和与动火直接有关阀门的隔离由生产单位安排专人执行。</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应清除距动火区域周围5米之内的可燃物质或用阻燃物品隔离，距离动火点30米内不准有液态烃或低闪点油品泄漏；半径15米内不准有其他可燃物泄漏和暴露；距动火点15米内所有的漏斗、排水口、各类井口、排气管、管道、地沟等应封严盖实。以上区域应纳入气体检测范围。</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（三）动火作业人员在动火点的上风作业，应位于避开油气流可能喷射和封堵物射出的方位。但在特殊情况下，可采取围隔作业并控制火花飞溅。</w:t>
      </w:r>
    </w:p>
    <w:p>
      <w:pPr>
        <w:keepNext w:val="0"/>
        <w:keepLines w:val="0"/>
        <w:pageBreakBefore w:val="0"/>
        <w:widowControl w:val="0"/>
        <w:kinsoku/>
        <w:wordWrap/>
        <w:overflowPunct/>
        <w:topLinePunct w:val="0"/>
        <w:autoSpaceDE w:val="0"/>
        <w:autoSpaceDN w:val="0"/>
        <w:bidi w:val="0"/>
        <w:adjustRightInd/>
        <w:snapToGrid/>
        <w:spacing w:line="53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（四）动火施工区域应设置警戒，严禁与动火作业无关人员或车辆进入动火区域，必要时动火现场应配备消防车及医疗救护设备和器材。</w:t>
      </w:r>
    </w:p>
    <w:p>
      <w:pPr>
        <w:keepNext w:val="0"/>
        <w:keepLines w:val="0"/>
        <w:pageBreakBefore w:val="0"/>
        <w:widowControl w:val="0"/>
        <w:kinsoku/>
        <w:wordWrap/>
        <w:overflowPunct/>
        <w:topLinePunct w:val="0"/>
        <w:autoSpaceDE w:val="0"/>
        <w:autoSpaceDN w:val="0"/>
        <w:bidi w:val="0"/>
        <w:adjustRightInd/>
        <w:snapToGrid/>
        <w:spacing w:line="53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第十一条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进入受限空间的动火作业应同时遵守《西南油气田公司进入受限空间安全管理规范》的相关要求。</w:t>
      </w:r>
    </w:p>
    <w:p>
      <w:pPr>
        <w:keepNext w:val="0"/>
        <w:keepLines w:val="0"/>
        <w:pageBreakBefore w:val="0"/>
        <w:widowControl w:val="0"/>
        <w:kinsoku/>
        <w:wordWrap/>
        <w:overflowPunct/>
        <w:topLinePunct w:val="0"/>
        <w:autoSpaceDE w:val="0"/>
        <w:autoSpaceDN w:val="0"/>
        <w:bidi w:val="0"/>
        <w:adjustRightInd/>
        <w:snapToGrid/>
        <w:spacing w:line="53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高处动火作业应同时遵守《西南油气田公司高处作业安全管理规范》的相关要求。</w:t>
      </w:r>
    </w:p>
    <w:p>
      <w:pPr>
        <w:keepNext w:val="0"/>
        <w:keepLines w:val="0"/>
        <w:pageBreakBefore w:val="0"/>
        <w:widowControl w:val="0"/>
        <w:kinsoku/>
        <w:wordWrap/>
        <w:overflowPunct/>
        <w:topLinePunct w:val="0"/>
        <w:autoSpaceDE w:val="0"/>
        <w:autoSpaceDN w:val="0"/>
        <w:bidi w:val="0"/>
        <w:adjustRightInd/>
        <w:snapToGrid/>
        <w:spacing w:line="53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动火作业涉及管线打开应同时遵守《西南油气田公司管线与设备打开作业管理规范》的相关要求。</w:t>
      </w:r>
    </w:p>
    <w:p>
      <w:pPr>
        <w:pStyle w:val="23"/>
        <w:adjustRightInd w:val="0"/>
        <w:snapToGrid w:val="0"/>
        <w:spacing w:line="640" w:lineRule="exact"/>
        <w:jc w:val="left"/>
        <w:outlineLvl w:val="1"/>
        <w:rPr>
          <w:rFonts w:hint="eastAsia" w:ascii="方正黑体简体" w:hAnsi="方正黑体简体" w:eastAsia="方正黑体简体" w:cs="方正黑体简体"/>
          <w:color w:val="auto"/>
          <w:sz w:val="32"/>
          <w:szCs w:val="32"/>
          <w:highlight w:val="none"/>
        </w:rPr>
      </w:pPr>
      <w:bookmarkStart w:id="893" w:name="_Toc15542"/>
      <w:bookmarkStart w:id="894" w:name="_Toc30224"/>
      <w:bookmarkStart w:id="895" w:name="_Toc2525"/>
      <w:r>
        <w:rPr>
          <w:rFonts w:hint="eastAsia" w:ascii="方正黑体简体" w:hAnsi="方正黑体简体" w:eastAsia="方正黑体简体" w:cs="方正黑体简体"/>
          <w:color w:val="auto"/>
          <w:sz w:val="32"/>
          <w:szCs w:val="32"/>
          <w:highlight w:val="none"/>
          <w:lang w:val="en-US" w:eastAsia="zh-CN"/>
        </w:rPr>
        <w:t xml:space="preserve">附件3  </w:t>
      </w:r>
      <w:r>
        <w:rPr>
          <w:rFonts w:hint="eastAsia" w:ascii="方正黑体简体" w:hAnsi="方正黑体简体" w:eastAsia="方正黑体简体" w:cs="方正黑体简体"/>
          <w:color w:val="auto"/>
          <w:sz w:val="32"/>
          <w:szCs w:val="32"/>
          <w:highlight w:val="none"/>
        </w:rPr>
        <w:t>进入受限空间作业安全管理规范</w:t>
      </w:r>
      <w:bookmarkEnd w:id="893"/>
      <w:bookmarkEnd w:id="894"/>
      <w:bookmarkEnd w:id="895"/>
    </w:p>
    <w:p>
      <w:pPr>
        <w:jc w:val="center"/>
        <w:rPr>
          <w:rFonts w:hint="eastAsia" w:ascii="方正小标宋简体" w:hAnsi="宋体" w:eastAsia="方正小标宋简体"/>
          <w:color w:val="auto"/>
          <w:sz w:val="32"/>
          <w:szCs w:val="32"/>
          <w:highlight w:val="none"/>
        </w:rPr>
      </w:pPr>
    </w:p>
    <w:p>
      <w:pPr>
        <w:keepNext w:val="0"/>
        <w:keepLines w:val="0"/>
        <w:pageBreakBefore w:val="0"/>
        <w:widowControl w:val="0"/>
        <w:tabs>
          <w:tab w:val="left" w:pos="1560"/>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规范西南油气田公司（以下简称公司）进入受限空间作业的安全管理，防止发生中毒、窒息、火灾、爆炸、坍塌、触电等事故，依据《中国石油天然气集团公司进入受限空间作业安全管理办法》，特制定本规范。</w:t>
      </w:r>
    </w:p>
    <w:p>
      <w:pPr>
        <w:pStyle w:val="23"/>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本规范所指进入受限空间作业，应符合以下所有物理条件外，还至少存在以下危险特征之一的空间。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（一）物理条件</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有足够的空间，让员工可以进入并进行指定的工作。</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进入和撤离受到限制，不能自如进出。</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并非设计用来给员工长时间在内工作的空间。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（二）危险特征</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存在或可能产生有毒有害气体或机械、电气等危害。</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存在或可能产生掩埋作业人员的物料。</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内部结构可能将作业人员困在其中(如内有固定设备或四壁向内倾斜收拢)。</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进入炉、塔、釜、罐、仓、槽车、管道、烟道、隧道、下水道、沟、坑、井、池、涵洞等封闭或半封闭的空间或场所应纳入受限空间作业管理。</w:t>
      </w:r>
    </w:p>
    <w:p>
      <w:pPr>
        <w:pStyle w:val="23"/>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以下特殊情况下的作业应纳入受限空间作业管理。</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（一）未明确定义为“受限”的空间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有些区域或地点不符合受限空间的定义，但是可能会遇到类似于进入受限空间时发生的潜在危害。如把头伸入30厘米直径的管道、洞口、氮气吹扫过的罐内。</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（二）围堤</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符合下列条件之一的围堤，可视为受限空间：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高于1.2米的垂直墙壁围堤，且围堤内外没有到顶部的台阶。</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在围堤区域内，作业者身体暴露于物理或化学危害之中。</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围堤内可能存在比空气重的有毒有害气体。</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（三）动土或开渠</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符合下列条件之一的动土或开渠，可视为受限空间：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动土或开渠深度大于1.2米，或作业时人员的头部在地面以下的。</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在动土或开渠区域内，身体处于物理或化学危害之中。</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在动土或开渠区域内，可能存在比空气重的有毒有害气体。</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在动土或开渠区域内，没有撤离通道的。</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（三）惰性气体吹扫空间</w:t>
      </w:r>
    </w:p>
    <w:p>
      <w:pPr>
        <w:pStyle w:val="23"/>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b/>
          <w:strike/>
          <w:color w:val="auto"/>
          <w:sz w:val="28"/>
          <w:szCs w:val="28"/>
          <w:highlight w:val="none"/>
        </w:rPr>
      </w:pPr>
      <w:r>
        <w:rPr>
          <w:rFonts w:hint="eastAsia" w:ascii="方正仿宋简体" w:hAnsi="方正仿宋简体" w:eastAsia="方正仿宋简体" w:cs="方正仿宋简体"/>
          <w:color w:val="auto"/>
          <w:sz w:val="28"/>
          <w:szCs w:val="28"/>
          <w:highlight w:val="none"/>
        </w:rPr>
        <w:t>用惰性气体吹扫空间，可能在空间开口处附近产生气体危害，此处可视为受限空间。在进入准备和进入期间，应当进行气体检测，确定空间开口周围危害区域的大小，设置路障和警示标志，防止误入。</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公司受限空间作业应按《西南油气田公司作业许可管理规定》实行作业许可管理。</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作业人员应接受受限空间作业培训，执行受限空间作业管理程序。</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第六条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进入受限空间前准备工作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（一）进入受限空间需要进行系统隔离的，应先编制系统隔离方案，隔离相关能源和物料的外部来源。系统隔离按《西南油气田公司能量隔离安全管理规范》执行。</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进入受限空间作业前，应制定书面应急预案，并组织监护人员、属地监督人员、作业人员等开展应急演练，所有相关人员都应熟悉应急预案，外部救援人员若参与救援活动，应具有相应的资质，并应参加应急演练。</w:t>
      </w:r>
    </w:p>
    <w:p>
      <w:pPr>
        <w:keepNext w:val="0"/>
        <w:keepLines w:val="0"/>
        <w:pageBreakBefore w:val="0"/>
        <w:widowControl w:val="0"/>
        <w:tabs>
          <w:tab w:val="left" w:pos="1335"/>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在作业前，受限空间属地单位及作业单位应指定专人对监护人和作业人员进行现场安全教育和作业环境交底。内容应包括但不限于以下内容：所从事作业的受限空间内部结构和存在的介质及危害；作业风险、安全措施及应急方案；必要的安全知识及救护方法；沟通联络方式和紧急情况撤离方式，出口、报警器和外部应急装备的位置；所用装备和检测仪器的使用方法等，并在作业许可证和工作前安全分析表上签字认可。</w:t>
      </w:r>
    </w:p>
    <w:p>
      <w:pPr>
        <w:keepNext w:val="0"/>
        <w:keepLines w:val="0"/>
        <w:pageBreakBefore w:val="0"/>
        <w:widowControl w:val="0"/>
        <w:tabs>
          <w:tab w:val="left" w:pos="480"/>
          <w:tab w:val="left" w:pos="1008"/>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（四）在有放射源的受限空间内作业，作业前要对放射源进行处理，保证作业人员接触放射源剂量和时间符合国家要求。</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strike/>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第七条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气体检测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（一）检测要求</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1.作业许可证签发前，签发人在作业许可证中注明气体检测和监测要求。气体取样和检测应由授权的气体检测人员按标准和安全规定进行。</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2.凡进入受限空间作业前，都必须用仪器进行气体检测，注明检测时间和结果。初始气体检测结果30分钟内有效。连续气体监测中断30分钟以上应由授权气体检测员重新检测。</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对凡是可能存在缺氧、富氧、有毒有害气体、易燃易爆气体、粉尘的作业环境，初始气体检测合格后，要在受限空间内特定位置悬挂气体检测仪进行连续监测，连续检测仪器应安装在工作位置附近，且便于监护人、作业人员看见或听见。作业过程中，作业人员佩戴气体检测仪进行连续气体监测，并由具备气体检测资质的属地监督佩戴气体检测仪进行监测。在连续监测中，如有一项不合格，应立即停止作业。</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4.气体检测员一般为属地人员，须接受作业许可管理规定、气体检测专项培训，经考核、评估合格后获得气体检测员资格。检测仪器应在校验有效期内，每次使用前应检查</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5.取样分析要有代表性，应特别注重作业人员可能工作的区域，取样点应包括空间顶部、中部和底部，取样时应停止任何气体的吹扫，测试次序应是氧含量、易燃易爆气体、有毒有害气体。</w:t>
      </w:r>
    </w:p>
    <w:p>
      <w:pPr>
        <w:keepNext w:val="0"/>
        <w:keepLines w:val="0"/>
        <w:pageBreakBefore w:val="0"/>
        <w:widowControl w:val="0"/>
        <w:tabs>
          <w:tab w:val="left" w:pos="1036"/>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6.当取样人员在受限空间外无法完成足够取样，需进入空间内进行初始取样时，取样人员应与作业申请人、属地监督一起采取有效控制措施，并经作业签发人批准，获得进入受限空间许可。</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（二）检测标准</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1.受限空间内外的氧浓度应一致。若不一致，在授权进入受限空间之前，应确定偏差的原因，氧浓度应保持在19.5%～23.5%。</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2.不论是否有焊接、敲击等，受限空间内易燃易爆气体或液体挥发物的浓度都应满足以下条件：</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（1）当爆炸下限≥4%时，浓度＜0.5%(体积)。</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（2）当爆炸下限＜4%时，浓度＜0.2%(体积)。</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3.受限空间内有毒、有害物质浓度超过《工作场所有害因素职业接触限值》（GBZ2.1-2007）国家标准规定的职业暴露限值指标的二分之一时，不得进入或应立即停止作业。</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4.进入受限空间前，宜优先采用色谱分析等分析手段进行气体分析。</w:t>
      </w:r>
    </w:p>
    <w:p>
      <w:pPr>
        <w:keepNext w:val="0"/>
        <w:keepLines w:val="0"/>
        <w:pageBreakBefore w:val="0"/>
        <w:widowControl w:val="0"/>
        <w:tabs>
          <w:tab w:val="left" w:pos="1335"/>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进入受限空间作业应指定专人监护，不得在无监护人的情况下作业，作业监护人员不得离开现场或做与监护无关的事情。监护人员和作业人员应明确联络方式并始终保持有效的沟通。进入特别狭小空间作业，作业人员应系安全可靠的保护绳，监护人可通过系在作业人员身上的保护绳进行沟通联络。</w:t>
      </w:r>
    </w:p>
    <w:p>
      <w:pPr>
        <w:keepNext w:val="0"/>
        <w:keepLines w:val="0"/>
        <w:pageBreakBefore w:val="0"/>
        <w:widowControl w:val="0"/>
        <w:tabs>
          <w:tab w:val="left" w:pos="1335"/>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第九条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对于用钥匙、工具打开的或有实物障碍的受限空间，打开时应在进入点附近设置警示标识。无需工具、钥匙就可进入或无实物障碍阻挡进入的受限空间，应设置固定的警示标识。所有警示标识应包括提醒有危险存在和须经授权才允许进入的词语。</w:t>
      </w:r>
    </w:p>
    <w:p>
      <w:pPr>
        <w:keepNext w:val="0"/>
        <w:keepLines w:val="0"/>
        <w:pageBreakBefore w:val="0"/>
        <w:widowControl w:val="0"/>
        <w:tabs>
          <w:tab w:val="left" w:pos="1335"/>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受限空间的出入口内外不得有障碍物，应保证其畅通无阻，便于人员出入和抢救疏散。</w:t>
      </w:r>
    </w:p>
    <w:p>
      <w:pPr>
        <w:keepNext w:val="0"/>
        <w:keepLines w:val="0"/>
        <w:pageBreakBefore w:val="0"/>
        <w:widowControl w:val="0"/>
        <w:tabs>
          <w:tab w:val="left" w:pos="1575"/>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第十一条</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 xml:space="preserve"> 受限空间的温度应控制在不对人员产生危害的安全范围内。</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kern w:val="0"/>
          <w:sz w:val="28"/>
          <w:szCs w:val="28"/>
          <w:highlight w:val="none"/>
        </w:rPr>
        <w:t>第十二条</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为保证受限空间内空气流通和人员呼吸需要，可自然通风，必要时应采取强制通风，并尽可能抽取远离工作区域的新鲜空气，严禁向受限空间通纯氧。进入期间的通风不能代替进入之前的吹扫工作。</w:t>
      </w:r>
    </w:p>
    <w:p>
      <w:pPr>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在特殊情况下，作业人员应佩戴正压式空气呼吸器或长管呼吸器。配戴长管呼吸器时，应仔细检查气密性，并防止通气长管被挤压；吸气口应置于新鲜空气的上风口，并有专人监护。</w:t>
      </w:r>
    </w:p>
    <w:p>
      <w:pPr>
        <w:keepNext w:val="0"/>
        <w:keepLines w:val="0"/>
        <w:pageBreakBefore w:val="0"/>
        <w:widowControl w:val="0"/>
        <w:kinsoku/>
        <w:wordWrap/>
        <w:overflowPunct/>
        <w:topLinePunct w:val="0"/>
        <w:autoSpaceDE w:val="0"/>
        <w:autoSpaceDN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第十三条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对受限空间内阻碍人员移动、对作业人员造成危害，影响救援的设备(如搅拌器)，应采取固定措施，必要时应移出受限空间。</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进入受限空间作业，应有足够的照明。照明灯具应符合防爆要求。使用手持电动工具应有漏电保护装置。</w:t>
      </w:r>
    </w:p>
    <w:p>
      <w:pPr>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进入受限空间作业照明应使用安全电压不大于24V的安全行灯。金属设备内和特别潮湿作业场所作业，其安全行灯电压应为12V且绝缘性能良好。</w:t>
      </w:r>
    </w:p>
    <w:p>
      <w:pPr>
        <w:keepNext w:val="0"/>
        <w:keepLines w:val="0"/>
        <w:pageBreakBefore w:val="0"/>
        <w:widowControl w:val="0"/>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当受限空间原来盛装爆炸性液体、气体等介质的，应使用防爆电筒或电压不大于12V的防爆安全行灯，行灯变压器不应放在容器内或容器上。作业人员应穿戴防静电服装，使用防爆工具、机具。</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第十五条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受限空间内可能会出现坠落或滑跌，应特别注意受限空间中的工作面(包括残留物、工作物料或设备)和到达工作面的路径，并制定预防坠落或滑跌的安全措施。</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第十六条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根据作业中存在的风险种类和风险程度，依据相关防护标准，配备个人防护装备并确保正确穿戴。</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第十七条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为防止静电危害，应对受限空间内或其周围的设备接地，并进行检测。</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第十八条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携入受限空间作业的工具、材料要登记，作业结束后应清点，以防遗留在作业现场。</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第十九条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作业过程中如果安全状况发生变化，应立即停止作业并撤离受限空间，待处理达到作业安全条件后，方可再进入受限空间作业。</w:t>
      </w:r>
    </w:p>
    <w:p>
      <w:pPr>
        <w:keepNext w:val="0"/>
        <w:keepLines w:val="0"/>
        <w:pageBreakBefore w:val="0"/>
        <w:widowControl w:val="0"/>
        <w:tabs>
          <w:tab w:val="left" w:pos="480"/>
          <w:tab w:val="left" w:pos="940"/>
          <w:tab w:val="left" w:pos="1124"/>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strike/>
          <w:color w:val="auto"/>
          <w:sz w:val="28"/>
          <w:szCs w:val="28"/>
          <w:highlight w:val="none"/>
        </w:rPr>
      </w:pPr>
      <w:r>
        <w:rPr>
          <w:rFonts w:hint="eastAsia" w:ascii="方正仿宋简体" w:hAnsi="方正仿宋简体" w:eastAsia="方正仿宋简体" w:cs="方正仿宋简体"/>
          <w:b/>
          <w:color w:val="auto"/>
          <w:kern w:val="0"/>
          <w:sz w:val="28"/>
          <w:szCs w:val="28"/>
          <w:highlight w:val="none"/>
        </w:rPr>
        <w:t>第二十条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进入受限空间内的作业人员，每次工作时间不宜过长，应安排轮换作业或休息。每次进、出受限空间的人员都要清点和登记。</w:t>
      </w:r>
    </w:p>
    <w:p>
      <w:pPr>
        <w:keepNext w:val="0"/>
        <w:keepLines w:val="0"/>
        <w:pageBreakBefore w:val="0"/>
        <w:widowControl w:val="0"/>
        <w:tabs>
          <w:tab w:val="left" w:pos="480"/>
          <w:tab w:val="left" w:pos="940"/>
          <w:tab w:val="left" w:pos="1124"/>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第二十一条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为防止无关人员进入受限空间作业场所，在受限空间外敞面醒目处，要设置警戒线或警戒标志。未经许可，与本作业无关人员不得进入受限空间。作业中途停止时，应对所有的入口进行有效封闭，防止人员误入。</w:t>
      </w:r>
    </w:p>
    <w:p>
      <w:pPr>
        <w:keepNext w:val="0"/>
        <w:keepLines w:val="0"/>
        <w:pageBreakBefore w:val="0"/>
        <w:widowControl w:val="0"/>
        <w:tabs>
          <w:tab w:val="left" w:pos="1335"/>
        </w:tabs>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第二十二条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应急救援</w:t>
      </w:r>
    </w:p>
    <w:p>
      <w:pPr>
        <w:keepNext w:val="0"/>
        <w:keepLines w:val="0"/>
        <w:pageBreakBefore w:val="0"/>
        <w:widowControl w:val="0"/>
        <w:tabs>
          <w:tab w:val="left" w:pos="480"/>
          <w:tab w:val="left" w:pos="940"/>
          <w:tab w:val="left" w:pos="1124"/>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（一）进入受限空间作业前，应制定书面应急预案，并开展应急演练，所有相关人员都应熟悉应急预案。</w:t>
      </w:r>
    </w:p>
    <w:p>
      <w:pPr>
        <w:keepNext w:val="0"/>
        <w:keepLines w:val="0"/>
        <w:pageBreakBefore w:val="0"/>
        <w:widowControl w:val="0"/>
        <w:tabs>
          <w:tab w:val="left" w:pos="480"/>
          <w:tab w:val="left" w:pos="940"/>
          <w:tab w:val="left" w:pos="1124"/>
        </w:tabs>
        <w:kinsoku/>
        <w:wordWrap/>
        <w:overflowPunct/>
        <w:topLinePunct w:val="0"/>
        <w:bidi w:val="0"/>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在进入受限空间进行救援之前，应明确监护人与救援人员的联络方法。获得授权的救援人员均应佩戴安全带、救生索等以便救援，如存在有毒有害气体，应携带气体防护设备，除非该装备可能会阻碍救援或产生更大的危害。</w:t>
      </w:r>
    </w:p>
    <w:p>
      <w:pPr>
        <w:keepNext w:val="0"/>
        <w:keepLines w:val="0"/>
        <w:pageBreakBefore w:val="0"/>
        <w:widowControl w:val="0"/>
        <w:kinsoku/>
        <w:wordWrap/>
        <w:overflowPunct/>
        <w:topLinePunct w:val="0"/>
        <w:bidi w:val="0"/>
        <w:snapToGrid/>
        <w:spacing w:line="560" w:lineRule="exact"/>
        <w:ind w:firstLine="562" w:firstLineChars="200"/>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第二十三条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在其它非生产区域进入受限空间作业，可参照本规范执行。</w:t>
      </w: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left"/>
        <w:outlineLvl w:val="1"/>
        <w:rPr>
          <w:rFonts w:hint="eastAsia" w:ascii="方正黑体简体" w:hAnsi="方正黑体简体" w:eastAsia="方正黑体简体" w:cs="方正黑体简体"/>
          <w:bCs/>
          <w:color w:val="auto"/>
          <w:sz w:val="32"/>
          <w:szCs w:val="32"/>
          <w:highlight w:val="none"/>
        </w:rPr>
      </w:pPr>
      <w:bookmarkStart w:id="896" w:name="_Toc23948"/>
      <w:bookmarkStart w:id="897" w:name="_Toc31581"/>
      <w:bookmarkStart w:id="898" w:name="_Toc25101"/>
      <w:r>
        <w:rPr>
          <w:rFonts w:hint="eastAsia" w:ascii="方正黑体简体" w:hAnsi="方正黑体简体" w:eastAsia="方正黑体简体" w:cs="方正黑体简体"/>
          <w:bCs/>
          <w:color w:val="auto"/>
          <w:sz w:val="32"/>
          <w:szCs w:val="32"/>
          <w:highlight w:val="none"/>
          <w:lang w:val="en-US" w:eastAsia="zh-CN"/>
        </w:rPr>
        <w:t xml:space="preserve">附件4  </w:t>
      </w:r>
      <w:r>
        <w:rPr>
          <w:rFonts w:hint="eastAsia" w:ascii="方正黑体简体" w:hAnsi="方正黑体简体" w:eastAsia="方正黑体简体" w:cs="方正黑体简体"/>
          <w:bCs/>
          <w:color w:val="auto"/>
          <w:sz w:val="32"/>
          <w:szCs w:val="32"/>
          <w:highlight w:val="none"/>
        </w:rPr>
        <w:t>管线与设备打开作业安全管理规范</w:t>
      </w:r>
      <w:bookmarkEnd w:id="896"/>
      <w:bookmarkEnd w:id="897"/>
      <w:bookmarkEnd w:id="898"/>
    </w:p>
    <w:p>
      <w:pPr>
        <w:keepNext w:val="0"/>
        <w:keepLines w:val="0"/>
        <w:pageBreakBefore w:val="0"/>
        <w:widowControl w:val="0"/>
        <w:tabs>
          <w:tab w:val="left" w:pos="8100"/>
        </w:tabs>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p>
    <w:p>
      <w:pPr>
        <w:keepNext w:val="0"/>
        <w:keepLines w:val="0"/>
        <w:pageBreakBefore w:val="0"/>
        <w:widowControl w:val="0"/>
        <w:numPr>
          <w:ilvl w:val="0"/>
          <w:numId w:val="0"/>
        </w:numPr>
        <w:tabs>
          <w:tab w:val="left" w:pos="0"/>
          <w:tab w:val="left" w:pos="1744"/>
        </w:tabs>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val="0"/>
          <w:color w:val="auto"/>
          <w:sz w:val="28"/>
          <w:szCs w:val="28"/>
          <w:highlight w:val="none"/>
          <w:lang w:eastAsia="zh-CN"/>
        </w:rPr>
        <w:t>第一条</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为规范西南油气田公司（以下简称公司）所属各单位在生产、作业区域内任何可能存有介质的封闭管线与设备打开作业，有效预防事故的发生，依据中国石油天然气集团公司《管线打开安全管理规范》(Q/SY1243－2009)，</w:t>
      </w:r>
      <w:r>
        <w:rPr>
          <w:rFonts w:hint="eastAsia" w:ascii="方正仿宋简体" w:hAnsi="方正仿宋简体" w:eastAsia="方正仿宋简体" w:cs="方正仿宋简体"/>
          <w:color w:val="auto"/>
          <w:sz w:val="28"/>
          <w:szCs w:val="28"/>
          <w:highlight w:val="none"/>
        </w:rPr>
        <w:t>结合公司生产实际，</w:t>
      </w:r>
      <w:r>
        <w:rPr>
          <w:rFonts w:hint="eastAsia" w:ascii="方正仿宋简体" w:hAnsi="方正仿宋简体" w:eastAsia="方正仿宋简体" w:cs="方正仿宋简体"/>
          <w:bCs/>
          <w:color w:val="auto"/>
          <w:sz w:val="28"/>
          <w:szCs w:val="28"/>
          <w:highlight w:val="none"/>
        </w:rPr>
        <w:t>特制订本规范。</w:t>
      </w:r>
    </w:p>
    <w:p>
      <w:pPr>
        <w:keepNext w:val="0"/>
        <w:keepLines w:val="0"/>
        <w:pageBreakBefore w:val="0"/>
        <w:widowControl w:val="0"/>
        <w:numPr>
          <w:ilvl w:val="0"/>
          <w:numId w:val="0"/>
        </w:numPr>
        <w:tabs>
          <w:tab w:val="left" w:pos="0"/>
          <w:tab w:val="left" w:pos="1744"/>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val="0"/>
          <w:color w:val="auto"/>
          <w:sz w:val="28"/>
          <w:szCs w:val="28"/>
          <w:highlight w:val="none"/>
          <w:lang w:eastAsia="zh-CN"/>
        </w:rPr>
        <w:t>第二条</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本规范所指的管线与设备打开作业是指采取下列方式（包括但不限于）改变封闭管线与设备及其附件的完整性：</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(一)解开法兰。</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(二)从法兰上去掉一个或多个螺栓。</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(三)打开阀盖或拆除阀门。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(四)调换8字盲板。</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(五)打开管线连接件。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(六)去掉盲板、盲法兰、堵头和管帽。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(七)断开仪表、润滑、控制系统管线，如引压管、润滑油管等。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(八)断开加料和卸料临时管线(包括任何连接方式的软管)。</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(九)用机械方法或其他方法穿透管线。</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(十)开启检查孔。</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(十一)微小调整(如更换阀门填料)。</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44" w:firstLineChars="200"/>
        <w:jc w:val="both"/>
        <w:textAlignment w:val="auto"/>
        <w:outlineLvl w:val="9"/>
        <w:rPr>
          <w:rFonts w:hint="eastAsia" w:ascii="方正仿宋简体" w:hAnsi="方正仿宋简体" w:eastAsia="方正仿宋简体" w:cs="方正仿宋简体"/>
          <w:color w:val="auto"/>
          <w:spacing w:val="-4"/>
          <w:sz w:val="28"/>
          <w:szCs w:val="28"/>
          <w:highlight w:val="none"/>
        </w:rPr>
      </w:pPr>
      <w:r>
        <w:rPr>
          <w:rFonts w:hint="eastAsia" w:ascii="方正仿宋简体" w:hAnsi="方正仿宋简体" w:eastAsia="方正仿宋简体" w:cs="方正仿宋简体"/>
          <w:color w:val="auto"/>
          <w:spacing w:val="-4"/>
          <w:sz w:val="28"/>
          <w:szCs w:val="28"/>
          <w:highlight w:val="none"/>
        </w:rPr>
        <w:t>(十二)其他。</w:t>
      </w:r>
    </w:p>
    <w:p>
      <w:pPr>
        <w:keepNext w:val="0"/>
        <w:keepLines w:val="0"/>
        <w:pageBreakBefore w:val="0"/>
        <w:widowControl w:val="0"/>
        <w:numPr>
          <w:ilvl w:val="0"/>
          <w:numId w:val="0"/>
        </w:numPr>
        <w:tabs>
          <w:tab w:val="left" w:pos="0"/>
          <w:tab w:val="left" w:pos="1744"/>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val="0"/>
          <w:color w:val="auto"/>
          <w:sz w:val="28"/>
          <w:szCs w:val="28"/>
          <w:highlight w:val="none"/>
          <w:lang w:eastAsia="zh-CN"/>
        </w:rPr>
        <w:t>第三条</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公司管线与设备打开作业按《西南油气田公司作业许可管理规定》实行作业许可管理。</w:t>
      </w:r>
    </w:p>
    <w:p>
      <w:pPr>
        <w:keepNext w:val="0"/>
        <w:keepLines w:val="0"/>
        <w:pageBreakBefore w:val="0"/>
        <w:widowControl w:val="0"/>
        <w:tabs>
          <w:tab w:val="left" w:pos="0"/>
          <w:tab w:val="left" w:pos="1744"/>
          <w:tab w:val="left" w:pos="216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第四条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作业人员应接受管线与设备打开作业培训，执行管线与设备打开作业管理程序。</w:t>
      </w:r>
    </w:p>
    <w:p>
      <w:pPr>
        <w:keepNext w:val="0"/>
        <w:keepLines w:val="0"/>
        <w:pageBreakBefore w:val="0"/>
        <w:widowControl w:val="0"/>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第五条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管线与设备打开的作业方案应包括下列主要内容：</w:t>
      </w:r>
    </w:p>
    <w:p>
      <w:pPr>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(一)清理计划，应具体描述关闭的阀门、排空点和上锁点等，必要时应提供示意图。</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(二)安全措施，包括管线与设备打开过程中的冷却、充氮措施和个人防护装备的要求。</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(三)应急、救援、监护等预备人员的要求和职责。</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(四)应急预案。</w:t>
      </w:r>
    </w:p>
    <w:p>
      <w:pPr>
        <w:keepNext w:val="0"/>
        <w:keepLines w:val="0"/>
        <w:pageBreakBefore w:val="0"/>
        <w:widowControl w:val="0"/>
        <w:kinsoku/>
        <w:wordWrap/>
        <w:overflowPunct/>
        <w:topLinePunct w:val="0"/>
        <w:autoSpaceDE w:val="0"/>
        <w:autoSpaceDN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(五)描述管线与设备打开影响的区域，并控制人员进入。</w:t>
      </w:r>
    </w:p>
    <w:p>
      <w:pPr>
        <w:keepNext w:val="0"/>
        <w:keepLines w:val="0"/>
        <w:pageBreakBefore w:val="0"/>
        <w:widowControl w:val="0"/>
        <w:tabs>
          <w:tab w:val="left" w:pos="1744"/>
          <w:tab w:val="left" w:pos="216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第六条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需要打开的管线或设备必须与系统隔离，其中的物料应采用排尽、冲洗、置换、吹扫等方法除尽。清理合格应符合以下要求：</w:t>
      </w:r>
    </w:p>
    <w:p>
      <w:pPr>
        <w:keepNext w:val="0"/>
        <w:keepLines w:val="0"/>
        <w:pageBreakBefore w:val="0"/>
        <w:widowControl w:val="0"/>
        <w:tabs>
          <w:tab w:val="left" w:pos="1744"/>
          <w:tab w:val="left" w:pos="2160"/>
        </w:tabs>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(一)系统温度介于-10℃～60℃之间。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(二)已达到大气压力。</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(三)与气体、蒸汽、雾沫、粉尘的毒性、腐蚀性、易燃性有关的风险已降低到可接受的水平。</w:t>
      </w:r>
    </w:p>
    <w:p>
      <w:pPr>
        <w:keepNext w:val="0"/>
        <w:keepLines w:val="0"/>
        <w:pageBreakBefore w:val="0"/>
        <w:widowControl w:val="0"/>
        <w:tabs>
          <w:tab w:val="left" w:pos="1744"/>
          <w:tab w:val="left" w:pos="216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第七条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 xml:space="preserve">管线与设备打开前并不能完全确认已无危险，应在管线与设备打开之前做以下准备： </w:t>
      </w:r>
    </w:p>
    <w:p>
      <w:pPr>
        <w:keepNext w:val="0"/>
        <w:keepLines w:val="0"/>
        <w:pageBreakBefore w:val="0"/>
        <w:widowControl w:val="0"/>
        <w:tabs>
          <w:tab w:val="left" w:pos="1744"/>
          <w:tab w:val="left" w:pos="2160"/>
        </w:tabs>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(一)确认管线与设备清理合格。采用凝固(固化)工艺介质的方法进行隔离时应充分考虑介质可能重新流动。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(二)如果不能确保管线与设备清理合格，如残存压力或介质在死角截留、未隔离所有压力或介质的来源、未在低点排凝和高点排空等，应停止工作，重新制定工作计划，明确控制措施，消除或控制风险。</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(三)应根据工作前安全分析及作业涉及危险物质特性，结合现场实际落实必要的安全技术措施。</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第八条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管线与设备打开的隔离</w:t>
      </w:r>
      <w:r>
        <w:rPr>
          <w:rFonts w:hint="eastAsia" w:ascii="方正仿宋简体" w:hAnsi="方正仿宋简体" w:eastAsia="方正仿宋简体" w:cs="方正仿宋简体"/>
          <w:bCs/>
          <w:color w:val="auto"/>
          <w:sz w:val="28"/>
          <w:szCs w:val="28"/>
          <w:highlight w:val="none"/>
        </w:rPr>
        <w:t>应按《西南油气田公司能量隔离安全管理规范》要求执行；作业前和作业过程中的气体监测应按《西南油气田公司作业许可管理规定》执行。</w:t>
      </w:r>
    </w:p>
    <w:p>
      <w:pPr>
        <w:keepNext w:val="0"/>
        <w:keepLines w:val="0"/>
        <w:pageBreakBefore w:val="0"/>
        <w:widowControl w:val="0"/>
        <w:tabs>
          <w:tab w:val="left" w:pos="1744"/>
          <w:tab w:val="left" w:pos="216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第九条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管线与设备打开作业时，应明确打开管线与设备的位置。应在受管线与设备打开作业影响的区域设置区域隔离或警戒线，禁止无关人员进入。</w:t>
      </w:r>
    </w:p>
    <w:p>
      <w:pPr>
        <w:keepNext w:val="0"/>
        <w:keepLines w:val="0"/>
        <w:pageBreakBefore w:val="0"/>
        <w:widowControl w:val="0"/>
        <w:tabs>
          <w:tab w:val="left" w:pos="1744"/>
          <w:tab w:val="left" w:pos="216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第十条</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发生任何危险物料泄漏，应立即停止作业并对泄漏进行处置；如果发生不可控泄漏，应立即组织现场人员疏散撤离。</w:t>
      </w:r>
    </w:p>
    <w:p>
      <w:pPr>
        <w:keepNext w:val="0"/>
        <w:keepLines w:val="0"/>
        <w:pageBreakBefore w:val="0"/>
        <w:widowControl w:val="0"/>
        <w:kinsoku/>
        <w:wordWrap/>
        <w:overflowPunct/>
        <w:topLinePunct w:val="0"/>
        <w:autoSpaceDE w:val="0"/>
        <w:autoSpaceDN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第十一条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管线与设备打开作业时应选择和使用合适的个人防护装备，作业人员作业前现场检查合格后方可使用。</w:t>
      </w:r>
    </w:p>
    <w:p>
      <w:pPr>
        <w:keepNext w:val="0"/>
        <w:keepLines w:val="0"/>
        <w:pageBreakBefore w:val="0"/>
        <w:widowControl w:val="0"/>
        <w:tabs>
          <w:tab w:val="left" w:pos="8100"/>
        </w:tabs>
        <w:kinsoku/>
        <w:wordWrap/>
        <w:overflowPunct/>
        <w:topLinePunct w:val="0"/>
        <w:bidi w:val="0"/>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lang w:eastAsia="zh-CN"/>
        </w:rPr>
      </w:pPr>
      <w:r>
        <w:rPr>
          <w:rFonts w:hint="eastAsia" w:ascii="方正仿宋简体" w:hAnsi="方正仿宋简体" w:eastAsia="方正仿宋简体" w:cs="方正仿宋简体"/>
          <w:b/>
          <w:bCs/>
          <w:color w:val="auto"/>
          <w:sz w:val="28"/>
          <w:szCs w:val="28"/>
          <w:highlight w:val="none"/>
        </w:rPr>
        <w:t xml:space="preserve">第十二条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对含有剧毒物料等可能立刻对生命和健康</w:t>
      </w:r>
      <w:r>
        <w:rPr>
          <w:rFonts w:hint="eastAsia" w:ascii="方正仿宋简体" w:hAnsi="方正仿宋简体" w:eastAsia="方正仿宋简体" w:cs="方正仿宋简体"/>
          <w:bCs/>
          <w:color w:val="auto"/>
          <w:sz w:val="28"/>
          <w:szCs w:val="28"/>
          <w:highlight w:val="none"/>
          <w:lang w:eastAsia="zh-CN"/>
        </w:rPr>
        <w:t>产生危害的管线</w:t>
      </w:r>
      <w:r>
        <w:rPr>
          <w:rFonts w:hint="eastAsia" w:ascii="方正仿宋简体" w:hAnsi="方正仿宋简体" w:eastAsia="方正仿宋简体" w:cs="方正仿宋简体"/>
          <w:bCs/>
          <w:color w:val="auto"/>
          <w:sz w:val="28"/>
          <w:szCs w:val="28"/>
          <w:highlight w:val="none"/>
        </w:rPr>
        <w:t>(设备)进行打开作业时</w:t>
      </w:r>
      <w:r>
        <w:rPr>
          <w:rFonts w:hint="eastAsia" w:ascii="方正仿宋简体" w:hAnsi="方正仿宋简体" w:eastAsia="方正仿宋简体" w:cs="方正仿宋简体"/>
          <w:bCs/>
          <w:color w:val="auto"/>
          <w:sz w:val="28"/>
          <w:szCs w:val="28"/>
          <w:highlight w:val="none"/>
          <w:lang w:eastAsia="zh-CN"/>
        </w:rPr>
        <w:t>，</w:t>
      </w:r>
      <w:r>
        <w:rPr>
          <w:rFonts w:hint="eastAsia" w:ascii="方正仿宋简体" w:hAnsi="方正仿宋简体" w:eastAsia="方正仿宋简体" w:cs="方正仿宋简体"/>
          <w:bCs/>
          <w:color w:val="auto"/>
          <w:sz w:val="28"/>
          <w:szCs w:val="28"/>
          <w:highlight w:val="none"/>
        </w:rPr>
        <w:t>所有进入到受管线打开打开影响区域内的人员,包括预备人员应同样穿戴所要求的个人防护装备。</w:t>
      </w:r>
    </w:p>
    <w:p>
      <w:pPr>
        <w:keepNext w:val="0"/>
        <w:keepLines w:val="0"/>
        <w:pageBreakBefore w:val="0"/>
        <w:widowControl w:val="0"/>
        <w:tabs>
          <w:tab w:val="left" w:pos="8100"/>
        </w:tabs>
        <w:kinsoku/>
        <w:wordWrap/>
        <w:overflowPunct/>
        <w:topLinePunct w:val="0"/>
        <w:bidi w:val="0"/>
        <w:snapToGrid/>
        <w:spacing w:line="560" w:lineRule="exact"/>
        <w:ind w:firstLine="880" w:firstLineChars="200"/>
        <w:jc w:val="both"/>
        <w:textAlignment w:val="auto"/>
        <w:outlineLvl w:val="9"/>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tabs>
          <w:tab w:val="left" w:pos="8100"/>
        </w:tabs>
        <w:spacing w:line="640" w:lineRule="exact"/>
        <w:jc w:val="center"/>
        <w:rPr>
          <w:rFonts w:hint="eastAsia" w:ascii="方正小标宋简体" w:hAnsi="华文中宋" w:eastAsia="方正小标宋简体"/>
          <w:bCs/>
          <w:color w:val="auto"/>
          <w:sz w:val="44"/>
          <w:szCs w:val="44"/>
          <w:highlight w:val="none"/>
        </w:rPr>
      </w:pPr>
    </w:p>
    <w:p>
      <w:pPr>
        <w:pStyle w:val="13"/>
        <w:spacing w:line="640" w:lineRule="exact"/>
        <w:jc w:val="both"/>
        <w:outlineLvl w:val="1"/>
        <w:rPr>
          <w:rFonts w:hint="eastAsia" w:ascii="方正小标宋简体" w:hAnsi="宋体" w:eastAsia="方正小标宋简体"/>
          <w:b/>
          <w:color w:val="auto"/>
          <w:sz w:val="36"/>
          <w:szCs w:val="36"/>
          <w:highlight w:val="none"/>
        </w:rPr>
      </w:pPr>
    </w:p>
    <w:p>
      <w:pPr>
        <w:pStyle w:val="13"/>
        <w:spacing w:line="640" w:lineRule="exact"/>
        <w:jc w:val="left"/>
        <w:outlineLvl w:val="1"/>
        <w:rPr>
          <w:rFonts w:hint="eastAsia" w:ascii="方正黑体简体" w:hAnsi="方正黑体简体" w:eastAsia="方正黑体简体" w:cs="方正黑体简体"/>
          <w:b w:val="0"/>
          <w:bCs/>
          <w:color w:val="auto"/>
          <w:sz w:val="32"/>
          <w:szCs w:val="32"/>
          <w:highlight w:val="none"/>
        </w:rPr>
      </w:pPr>
      <w:bookmarkStart w:id="899" w:name="_Toc11344"/>
      <w:bookmarkStart w:id="900" w:name="_Toc24195"/>
      <w:bookmarkStart w:id="901" w:name="_Toc28558"/>
      <w:r>
        <w:rPr>
          <w:rFonts w:hint="eastAsia" w:ascii="方正黑体简体" w:hAnsi="方正黑体简体" w:eastAsia="方正黑体简体" w:cs="方正黑体简体"/>
          <w:b w:val="0"/>
          <w:bCs/>
          <w:color w:val="auto"/>
          <w:sz w:val="32"/>
          <w:szCs w:val="32"/>
          <w:highlight w:val="none"/>
          <w:lang w:val="en-US" w:eastAsia="zh-CN"/>
        </w:rPr>
        <w:t xml:space="preserve">附件5  </w:t>
      </w:r>
      <w:r>
        <w:rPr>
          <w:rFonts w:hint="eastAsia" w:ascii="方正黑体简体" w:hAnsi="方正黑体简体" w:eastAsia="方正黑体简体" w:cs="方正黑体简体"/>
          <w:b w:val="0"/>
          <w:bCs/>
          <w:color w:val="auto"/>
          <w:sz w:val="32"/>
          <w:szCs w:val="32"/>
          <w:highlight w:val="none"/>
        </w:rPr>
        <w:t>高处作业安全管理规范</w:t>
      </w:r>
      <w:bookmarkEnd w:id="899"/>
      <w:bookmarkEnd w:id="900"/>
      <w:bookmarkEnd w:id="901"/>
    </w:p>
    <w:p>
      <w:pPr>
        <w:pStyle w:val="13"/>
        <w:tabs>
          <w:tab w:val="left" w:pos="8127"/>
        </w:tabs>
        <w:jc w:val="center"/>
        <w:rPr>
          <w:rFonts w:hint="eastAsia" w:ascii="方正小标宋简体" w:hAnsi="宋体" w:eastAsia="方正小标宋简体"/>
          <w:b/>
          <w:color w:val="auto"/>
          <w:szCs w:val="32"/>
          <w:highlight w:val="none"/>
        </w:rPr>
      </w:pP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为规范西南油气田公司（以下简称公司）高处作业安全管理，防止发生高处坠落等事故，确保员工生命安全，根据《中国石油天然气集团公司高处作业安全管理办法》，结合公司生产实际，特制定本规范。</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规范所指高处作业是在坠落高度基准面2米以上（含2米）位置进行的作业。主要包括：除按规范设置有护栏的固定设备或平台外，各类梯子、脚手架、机械升降机、斜面房顶、临边和洞口以及平台、安装钢架或安装（更换）房顶、以及管排架上从事的作业等。相关术语和高处作业高度的确定见附件1。</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公司高处作业应按《西南油气田公司作业许可管理规定》实行作业许可管理。</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第四条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高处作业分级按《高处作业分级》（GB/T3608）执行。</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kern w:val="0"/>
          <w:sz w:val="28"/>
          <w:szCs w:val="28"/>
          <w:highlight w:val="none"/>
        </w:rPr>
        <w:t>第五条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高处作业人员的基本要求</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（一）作业人员应身体健康体检合格，凡经医生诊断，患有高血压、心脏病、贫血病、癫痫病、严重关节炎、手脚残废、饮酒或服用嗜睡、兴奋等药物以及其他禁忌高处作业的人员，不得从事高处作业。</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（二）作业人员应熟悉并掌握高处作业的操作技能，并经过培训合格，持证上岗。</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第六条</w:t>
      </w:r>
      <w:r>
        <w:rPr>
          <w:rFonts w:hint="eastAsia" w:ascii="方正仿宋简体" w:hAnsi="方正仿宋简体" w:eastAsia="方正仿宋简体" w:cs="方正仿宋简体"/>
          <w:color w:val="auto"/>
          <w:kern w:val="0"/>
          <w:sz w:val="28"/>
          <w:szCs w:val="28"/>
          <w:highlight w:val="none"/>
        </w:rPr>
        <w:t xml:space="preserve">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高处作业的基本要求：坠落防护应通过采取消除坠落危害、坠落预防和坠落控制等措施来实现。坠落防护措施的优先选择顺序如下：</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（一）尽量选择在地面作业，避免高处作业；</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（二）设置固定的楼梯、护栏、屏障和限制系统；</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（三）使用工作平台，如脚手架或带升降的工作平台等； </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（四）使用边缘限位系索，以避免作业人员的身体靠近高处作业的边缘；</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（五）使用坠落保护装备，如配备缓冲装置的全身式安全带和系索。（安全绳、生命线）</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如果以上防范措施无法实施，不得开始作业。</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第七条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消除坠落危害措施</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（一）在作业计划阶段，应评估工作场所和作业过程高处坠落的可能性，制定作业方案方案时，应选择安全可靠的工程技术措施和作业方式，尽量避免高处作业。</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（二）凡涉及高处作业，尤其是屋顶作业、大型设备的施工、架设钢结构等作业，应制定坠落保护计划。坠落保护计划指南参见附件2。</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第八条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坠落预防措施</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（一）如果不能完全消除坠落危害，应通过改善工作场所的作业环境来预防坠落，如安装楼梯、护栏、屏障、行程限制系统、逃生装置等。</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（二）应避免临边作业，尽可能在地面预制好装设缆绳、护栏等设施的固定点，避免在高处进行作业。如必须进行临边作业时，必须采取可靠的防护措施。</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（三）尽可能采用脚手架、操作平台和升降机等作为安全作业平台。高空电缆桥架作业(安装和放线)应设置作业平台。</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脚手架的搭设必须符合国家有关规程和《脚手架搭设安全管理规范》（Q/SY1246-2009）的要求。搭架人员必须经特殊工种培训并考核合格，作到持证上岗；脚手架必须经过脚手架专业技术人员检查合格并悬挂目视化合格标识后，方可投入使用。高处作业应使用符合有关标准规范的吊架、梯子、脚手板、防护围栏和档脚板等。作业前，脚手架技术负责人应仔细检查作业平台是否坚固、牢靠，安全措施是否落实。</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禁止在不牢固的结构物(如石棉瓦、木板条等)上进行作业，禁止在平台、孔洞边缘、通道或安全网内休息。楼板上的孔洞应设盖板或围栏。禁止在屋架、桁架的上弦、支撑、檩条、挑架、挑梁、砌体、不固定的构件上行走或作业。</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梯子使用前应检查结构是否牢固。踏步间距不得大于300毫米；人字梯应有坚固的铰链和限制跨度的拉链。梯子最上两级严禁站人，并应有明显警示标识。用靠梯时，脚距梯子顶端不得少于四步，用人字梯时不得少于二步。靠梯的高度如超过6米，应在中间设支撑加固。一个梯子上只允许一人站立，严禁带人移动梯子。在梯子上工作时，应避免过度用力、背对梯子工作、身体重心偏离等，以防止身体失去平衡而发生坠落。</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在平滑面上使用的梯子，应采取端部套、绑防滑胶皮等措施。直梯应放置稳定，与地面夹角以60°～70°为宜。在容易滑偏的构件上靠梯时，梯子上端应用绳绑在上方牢固构件上。禁止在吊架上架设梯子。在电路控制箱、高压动力线、电力焊接等有任何漏电危险的场所应使用专用绝缘梯，禁止使用金属梯子。</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第九条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坠落控制</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如不能完全消除和预防坠落危害，应评估工作场所和作业过程的坠落危害，选择安装使用坠落保护设备，如安全带、安全绳、缓冲器、抓绳器、吊绳、锚固点、安全网等。高处作业应系挂全身式双钩安全带。</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个人坠落保护装备包括锚固点、连接器、全身式安全带、吊绳、带有自锁钩的安全绳、抓绳器、缓冲器、缓冲安全绳或其组合。使用前，应对坠落保护装备的所有附件进行检查，坠落保护系统检查清单参见附件3。</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（三）自动收缩式救生索应直接连接到安全带的背部D形环上，一次只能一人使用，严禁与缓冲安全绳一起使用或与其连接。</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（四）在屋顶、脚手架、贮罐、塔、容器、人孔等处作业时，应考虑使用自动收缩式救生索。在攀登垂直固定梯子、移动式梯子及升降平台等设施时，也应考虑使用自动收缩式救生索。</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吊绳应在专业人员的指导下安装和使用。水平吊绳可以充当机动固定点，能够在水平移动的同时提供防坠落保护。垂直吊绳从顶部独立的锚固点上延伸出来，使用期间应该保持垂直状态。安全绳应通过抓绳器装置固定到垂直吊绳上。</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全身式安全带使用前应进行检查，全身式安全带检查清单参见附件4。安全带应系在施工作业处的上方牢固构件上，不得系挂在有尖锐棱角的部位。安全带系挂点下方应有足够的净空，如净空不足可短系使用。安全带应高挂低用，不得采用低于肩部水平的系挂方式。禁止用绳子捆在腰部代替全身式安全带。</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安全网是防止坠落的最后措施。使用时应按《安全网》（GB5725-2009）进行安装和坠落测试，满足要求后方可投入使用。安全网应每周至少检查一次磨损、损坏和老化情况。掉入安全网的材料、构件和工具应及时予以清除。</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sz w:val="28"/>
          <w:szCs w:val="28"/>
          <w:highlight w:val="none"/>
        </w:rPr>
        <w:t xml:space="preserve">第十条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以下作业类型为特殊高处作业，应制定有针对性的安全对策措施，并实行升级管理。</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（一）三级及以上的高处作业；</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（二）阵风风力五级（风速8.0米/s）以上；</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（三）高温作业分级（GB/T4200-2008）规定的II级或II级以上的高温作业；</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（四）平均气温等于或低于5℃的作业环境；接触冷水温度等于或低于12℃的作业；</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（五）作业场所有冰、雪、霜、水、油等易滑物；</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（六）作业场所光线不足，能见度差；</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（七）作业活动范围与危险电压带电体的距离小于</w:t>
      </w:r>
      <w:r>
        <w:rPr>
          <w:rFonts w:hint="eastAsia" w:ascii="方正仿宋简体" w:hAnsi="方正仿宋简体" w:eastAsia="方正仿宋简体" w:cs="方正仿宋简体"/>
          <w:color w:val="auto"/>
          <w:sz w:val="28"/>
          <w:szCs w:val="28"/>
          <w:highlight w:val="none"/>
        </w:rPr>
        <w:t>《高处作业分级》（GB/T3608-2008）规定的；</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（八）摆动、立足处不是平面或只有很小的平面，即任意一边小于500 毫米的矩形平面、直径小于500 毫米的圆形平面或具有类似尺寸的其他形状的平面，致使作业者无法维持正常姿势；</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（九）《体力劳动强度分级》（GB3869-1997）规定的Ⅲ级或Ⅲ级以上的体力劳动强度；</w:t>
      </w:r>
    </w:p>
    <w:p>
      <w:pPr>
        <w:keepNext w:val="0"/>
        <w:keepLines w:val="0"/>
        <w:pageBreakBefore w:val="0"/>
        <w:widowControl w:val="0"/>
        <w:tabs>
          <w:tab w:val="left" w:pos="8127"/>
        </w:tabs>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（十）存在有毒气体或空气中含氧量低于19.5%的作业环境；</w:t>
      </w:r>
    </w:p>
    <w:p>
      <w:pPr>
        <w:keepNext w:val="0"/>
        <w:keepLines w:val="0"/>
        <w:pageBreakBefore w:val="0"/>
        <w:widowControl w:val="0"/>
        <w:tabs>
          <w:tab w:val="left" w:pos="1470"/>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（十一）可能会引起各种灾害事故的作业环境或抢救突然发生的各种灾害事故。</w:t>
      </w:r>
    </w:p>
    <w:p>
      <w:pPr>
        <w:keepNext w:val="0"/>
        <w:keepLines w:val="0"/>
        <w:pageBreakBefore w:val="0"/>
        <w:widowControl w:val="0"/>
        <w:tabs>
          <w:tab w:val="left" w:pos="8127"/>
        </w:tabs>
        <w:kinsoku/>
        <w:wordWrap/>
        <w:overflowPunct/>
        <w:topLinePunct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 xml:space="preserve">第十一条 </w:t>
      </w:r>
      <w:r>
        <w:rPr>
          <w:rFonts w:hint="eastAsia" w:ascii="方正仿宋简体" w:hAnsi="方正仿宋简体" w:eastAsia="方正仿宋简体" w:cs="方正仿宋简体"/>
          <w:b/>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其他安全要求</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（一）高处作业人员必须系好安全带，戴好安全帽，衣着灵便，禁止穿硬底和带钉易滑的鞋，安全带的各种部件不得任意拆除，有损坏的不得使用。安全带和安全帽应符合相关标准要求。</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（二）高处作业应使用符合标准规范的吊架、梯子、脚手板、防护围栏和档脚板等。作业前，作业人员应仔细检查作业平台是否坚固、牢靠。</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（三）高处作业应与架空电线保持安全距离。夜间高处作业应有充足的照明。高处作业人员应与地面保持联系，根据现场需要配备必要的联络工具，并指定专人负责联系。</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（四）高处作业禁止投掷工具、材料和杂物等，工具应采取防坠落措施，作业人员上下时手中不得持物。所用材料应堆放平稳，不妨碍通行和装卸。</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（五）高处作业与其他作业交叉进行时，应按指定的路线上下，不得上下垂直作业。如果需要垂直作业时，应采取可靠的隔离措施。</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六）高处作业使用梯子时应执行《便携式梯子使用安全管理规范》（Q/SY1370—2011）。同一架梯子只允许一个人在上面工作，不准带人移动梯子。外用电梯、罐笼应有可靠的安全装置，非载人电梯、罐笼严禁乘人。作业人员应沿着通道、梯子上下，禁止沿着绳索、立杆或栏杆攀爬。禁止在吊架上架设梯子，如在悬空的板上架设梯子应采取相应的保护措施。</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七）在作业期间，应密切注意、掌握季节气候变化，严禁在六级以上大风和雷电、暴雨、大雾等气象条件下以及40℃及以上高温、-20℃及以下寒冷环境下从事高处作业，在30℃~40℃的高温环境下的高处作业应按《高温作业分级》（GB/T4200—2008）的要求轮换作业。</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（八）夏季做好防暑降温，冬季做好防冻、防寒、防滑工作。</w:t>
      </w:r>
    </w:p>
    <w:p>
      <w:pPr>
        <w:keepNext w:val="0"/>
        <w:keepLines w:val="0"/>
        <w:pageBreakBefore w:val="0"/>
        <w:widowControl w:val="0"/>
        <w:tabs>
          <w:tab w:val="left" w:pos="8127"/>
        </w:tabs>
        <w:kinsoku/>
        <w:wordWrap/>
        <w:overflowPunct/>
        <w:topLinePunct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p>
    <w:p>
      <w:pPr>
        <w:keepNext w:val="0"/>
        <w:keepLines w:val="0"/>
        <w:pageBreakBefore w:val="0"/>
        <w:widowControl w:val="0"/>
        <w:tabs>
          <w:tab w:val="left" w:pos="8127"/>
        </w:tabs>
        <w:kinsoku/>
        <w:wordWrap/>
        <w:overflowPunct/>
        <w:topLinePunct w:val="0"/>
        <w:autoSpaceDE/>
        <w:autoSpaceDN/>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附件</w:t>
      </w:r>
      <w:r>
        <w:rPr>
          <w:rFonts w:hint="eastAsia" w:ascii="方正仿宋简体" w:hAnsi="方正仿宋简体" w:eastAsia="方正仿宋简体" w:cs="方正仿宋简体"/>
          <w:color w:val="auto"/>
          <w:kern w:val="0"/>
          <w:sz w:val="28"/>
          <w:szCs w:val="28"/>
          <w:highlight w:val="none"/>
          <w:lang w:eastAsia="zh-CN"/>
        </w:rPr>
        <w:t>：</w:t>
      </w:r>
      <w:r>
        <w:rPr>
          <w:rFonts w:hint="eastAsia" w:ascii="方正仿宋简体" w:hAnsi="方正仿宋简体" w:eastAsia="方正仿宋简体" w:cs="方正仿宋简体"/>
          <w:color w:val="auto"/>
          <w:kern w:val="0"/>
          <w:sz w:val="28"/>
          <w:szCs w:val="28"/>
          <w:highlight w:val="none"/>
        </w:rPr>
        <w:t>1.相关术语和高处作业高度的确定</w:t>
      </w:r>
    </w:p>
    <w:p>
      <w:pPr>
        <w:keepNext w:val="0"/>
        <w:keepLines w:val="0"/>
        <w:pageBreakBefore w:val="0"/>
        <w:widowControl w:val="0"/>
        <w:tabs>
          <w:tab w:val="left" w:pos="8127"/>
        </w:tabs>
        <w:kinsoku/>
        <w:wordWrap/>
        <w:overflowPunct/>
        <w:topLinePunct w:val="0"/>
        <w:autoSpaceDE/>
        <w:autoSpaceDN/>
        <w:bidi w:val="0"/>
        <w:adjustRightInd w:val="0"/>
        <w:snapToGrid/>
        <w:spacing w:line="560" w:lineRule="exact"/>
        <w:ind w:firstLine="1400" w:firstLineChars="5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2.坠落预防计划指南</w:t>
      </w:r>
    </w:p>
    <w:p>
      <w:pPr>
        <w:keepNext w:val="0"/>
        <w:keepLines w:val="0"/>
        <w:pageBreakBefore w:val="0"/>
        <w:widowControl w:val="0"/>
        <w:tabs>
          <w:tab w:val="left" w:pos="8127"/>
        </w:tabs>
        <w:kinsoku/>
        <w:wordWrap/>
        <w:overflowPunct/>
        <w:topLinePunct w:val="0"/>
        <w:autoSpaceDE/>
        <w:autoSpaceDN/>
        <w:bidi w:val="0"/>
        <w:adjustRightInd w:val="0"/>
        <w:snapToGrid/>
        <w:spacing w:line="560" w:lineRule="exact"/>
        <w:ind w:firstLine="1400" w:firstLineChars="5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3.坠落保护系统检查清单</w:t>
      </w:r>
    </w:p>
    <w:p>
      <w:pPr>
        <w:keepNext w:val="0"/>
        <w:keepLines w:val="0"/>
        <w:pageBreakBefore w:val="0"/>
        <w:widowControl w:val="0"/>
        <w:tabs>
          <w:tab w:val="left" w:pos="8127"/>
        </w:tabs>
        <w:kinsoku/>
        <w:wordWrap/>
        <w:overflowPunct/>
        <w:topLinePunct w:val="0"/>
        <w:autoSpaceDE/>
        <w:autoSpaceDN/>
        <w:bidi w:val="0"/>
        <w:adjustRightInd w:val="0"/>
        <w:snapToGrid/>
        <w:spacing w:line="560" w:lineRule="exact"/>
        <w:ind w:firstLine="1400" w:firstLineChars="5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4.全身式安全带检查清单</w:t>
      </w:r>
    </w:p>
    <w:p>
      <w:pPr>
        <w:keepNext w:val="0"/>
        <w:keepLines w:val="0"/>
        <w:pageBreakBefore w:val="0"/>
        <w:widowControl w:val="0"/>
        <w:kinsoku/>
        <w:wordWrap/>
        <w:overflowPunct/>
        <w:topLinePunct w:val="0"/>
        <w:autoSpaceDE/>
        <w:autoSpaceDN/>
        <w:bidi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sectPr>
          <w:headerReference r:id="rId11" w:type="default"/>
          <w:footerReference r:id="rId12" w:type="default"/>
          <w:footerReference r:id="rId13" w:type="even"/>
          <w:pgSz w:w="11907" w:h="16840"/>
          <w:pgMar w:top="1418" w:right="1701" w:bottom="1418" w:left="1701" w:header="851" w:footer="567" w:gutter="0"/>
          <w:pgBorders>
            <w:top w:val="none" w:sz="0" w:space="0"/>
            <w:left w:val="none" w:sz="0" w:space="0"/>
            <w:bottom w:val="none" w:sz="0" w:space="0"/>
            <w:right w:val="none" w:sz="0" w:space="0"/>
          </w:pgBorders>
          <w:pgNumType w:fmt="decimal"/>
          <w:cols w:space="720" w:num="1"/>
          <w:docGrid w:type="lines" w:linePitch="312" w:charSpace="-4220"/>
        </w:sectPr>
      </w:pPr>
    </w:p>
    <w:p>
      <w:pPr>
        <w:tabs>
          <w:tab w:val="left" w:pos="8127"/>
        </w:tabs>
        <w:adjustRightInd w:val="0"/>
        <w:snapToGrid w:val="0"/>
        <w:spacing w:line="360" w:lineRule="auto"/>
        <w:rPr>
          <w:rFonts w:hint="eastAsia" w:ascii="方正黑体简体" w:hAnsi="方正黑体简体" w:eastAsia="方正黑体简体" w:cs="方正黑体简体"/>
          <w:b w:val="0"/>
          <w:bCs w:val="0"/>
          <w:color w:val="auto"/>
          <w:sz w:val="32"/>
          <w:szCs w:val="32"/>
          <w:highlight w:val="none"/>
        </w:rPr>
      </w:pPr>
      <w:r>
        <w:rPr>
          <w:rFonts w:hint="eastAsia" w:ascii="方正黑体简体" w:hAnsi="方正黑体简体" w:eastAsia="方正黑体简体" w:cs="方正黑体简体"/>
          <w:b w:val="0"/>
          <w:bCs w:val="0"/>
          <w:color w:val="auto"/>
          <w:sz w:val="32"/>
          <w:szCs w:val="32"/>
          <w:highlight w:val="none"/>
        </w:rPr>
        <w:t>附件1</w:t>
      </w:r>
    </w:p>
    <w:p>
      <w:pPr>
        <w:keepNext w:val="0"/>
        <w:keepLines w:val="0"/>
        <w:pageBreakBefore w:val="0"/>
        <w:widowControl w:val="0"/>
        <w:tabs>
          <w:tab w:val="left" w:pos="8127"/>
        </w:tabs>
        <w:kinsoku/>
        <w:wordWrap/>
        <w:overflowPunct/>
        <w:topLinePunct w:val="0"/>
        <w:autoSpaceDE/>
        <w:autoSpaceDN/>
        <w:bidi w:val="0"/>
        <w:adjustRightInd w:val="0"/>
        <w:snapToGrid w:val="0"/>
        <w:spacing w:line="640" w:lineRule="exact"/>
        <w:ind w:firstLine="0" w:firstLineChars="0"/>
        <w:jc w:val="center"/>
        <w:textAlignment w:val="auto"/>
        <w:outlineLvl w:val="9"/>
        <w:rPr>
          <w:rFonts w:hint="eastAsia" w:ascii="方正小标宋简体" w:hAnsi="方正小标宋简体" w:eastAsia="方正小标宋简体" w:cs="方正小标宋简体"/>
          <w:b w:val="0"/>
          <w:bCs/>
          <w:color w:val="auto"/>
          <w:kern w:val="0"/>
          <w:sz w:val="36"/>
          <w:szCs w:val="36"/>
          <w:highlight w:val="none"/>
        </w:rPr>
      </w:pPr>
      <w:r>
        <w:rPr>
          <w:rFonts w:hint="eastAsia" w:ascii="方正小标宋简体" w:hAnsi="方正小标宋简体" w:eastAsia="方正小标宋简体" w:cs="方正小标宋简体"/>
          <w:b w:val="0"/>
          <w:bCs/>
          <w:color w:val="auto"/>
          <w:kern w:val="0"/>
          <w:sz w:val="36"/>
          <w:szCs w:val="36"/>
          <w:highlight w:val="none"/>
        </w:rPr>
        <w:t>相关术语和高处作业高度的确定</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w:t>
      </w:r>
      <w:r>
        <w:rPr>
          <w:rFonts w:hint="eastAsia" w:ascii="方正仿宋简体" w:hAnsi="方正仿宋简体" w:eastAsia="方正仿宋简体" w:cs="方正仿宋简体"/>
          <w:b/>
          <w:color w:val="auto"/>
          <w:kern w:val="0"/>
          <w:sz w:val="28"/>
          <w:szCs w:val="28"/>
          <w:highlight w:val="none"/>
        </w:rPr>
        <w:t>高处作业：</w:t>
      </w:r>
      <w:r>
        <w:rPr>
          <w:rFonts w:hint="eastAsia" w:ascii="方正仿宋简体" w:hAnsi="方正仿宋简体" w:eastAsia="方正仿宋简体" w:cs="方正仿宋简体"/>
          <w:color w:val="auto"/>
          <w:kern w:val="0"/>
          <w:sz w:val="28"/>
          <w:szCs w:val="28"/>
          <w:highlight w:val="none"/>
        </w:rPr>
        <w:t>在距坠落高度基准面2米或2米以上有可能坠落的高处进行的作业。</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w:t>
      </w:r>
      <w:r>
        <w:rPr>
          <w:rFonts w:hint="eastAsia" w:ascii="方正仿宋简体" w:hAnsi="方正仿宋简体" w:eastAsia="方正仿宋简体" w:cs="方正仿宋简体"/>
          <w:b/>
          <w:color w:val="auto"/>
          <w:kern w:val="0"/>
          <w:sz w:val="28"/>
          <w:szCs w:val="28"/>
          <w:highlight w:val="none"/>
        </w:rPr>
        <w:t>坠落高度基准面</w:t>
      </w:r>
      <w:r>
        <w:rPr>
          <w:rFonts w:hint="eastAsia" w:ascii="方正仿宋简体" w:hAnsi="方正仿宋简体" w:eastAsia="方正仿宋简体" w:cs="方正仿宋简体"/>
          <w:color w:val="auto"/>
          <w:kern w:val="0"/>
          <w:sz w:val="28"/>
          <w:szCs w:val="28"/>
          <w:highlight w:val="none"/>
        </w:rPr>
        <w:t>：通过可能坠落范围内最低处的水平面。</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3.</w:t>
      </w:r>
      <w:r>
        <w:rPr>
          <w:rFonts w:hint="eastAsia" w:ascii="方正仿宋简体" w:hAnsi="方正仿宋简体" w:eastAsia="方正仿宋简体" w:cs="方正仿宋简体"/>
          <w:b/>
          <w:color w:val="auto"/>
          <w:kern w:val="0"/>
          <w:sz w:val="28"/>
          <w:szCs w:val="28"/>
          <w:highlight w:val="none"/>
        </w:rPr>
        <w:t>可能坠落范围半径：</w:t>
      </w:r>
      <w:r>
        <w:rPr>
          <w:rFonts w:hint="eastAsia" w:ascii="方正仿宋简体" w:hAnsi="方正仿宋简体" w:eastAsia="方正仿宋简体" w:cs="方正仿宋简体"/>
          <w:color w:val="auto"/>
          <w:kern w:val="0"/>
          <w:sz w:val="28"/>
          <w:szCs w:val="28"/>
          <w:highlight w:val="none"/>
        </w:rPr>
        <w:t>为确定可能坠落范围而规定的相对于作业位置的一段水平距离。其大小取决于与作业现场的地形、地势或建筑物分布等有关的基础高度。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w:t>
      </w:r>
      <w:r>
        <w:rPr>
          <w:rFonts w:hint="eastAsia" w:ascii="方正仿宋简体" w:hAnsi="方正仿宋简体" w:eastAsia="方正仿宋简体" w:cs="方正仿宋简体"/>
          <w:b/>
          <w:color w:val="auto"/>
          <w:kern w:val="0"/>
          <w:sz w:val="28"/>
          <w:szCs w:val="28"/>
          <w:highlight w:val="none"/>
        </w:rPr>
        <w:t>基础高度：</w:t>
      </w:r>
      <w:r>
        <w:rPr>
          <w:rFonts w:hint="eastAsia" w:ascii="方正仿宋简体" w:hAnsi="方正仿宋简体" w:eastAsia="方正仿宋简体" w:cs="方正仿宋简体"/>
          <w:color w:val="auto"/>
          <w:kern w:val="0"/>
          <w:sz w:val="28"/>
          <w:szCs w:val="28"/>
          <w:highlight w:val="none"/>
        </w:rPr>
        <w:t>以作业位置为中心，6米为半径划出一个垂直于水平面的柱形空间此柱形空间内最低处与作业位置间的高度差。</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w:t>
      </w:r>
      <w:r>
        <w:rPr>
          <w:rFonts w:hint="eastAsia" w:ascii="方正仿宋简体" w:hAnsi="方正仿宋简体" w:eastAsia="方正仿宋简体" w:cs="方正仿宋简体"/>
          <w:b/>
          <w:color w:val="auto"/>
          <w:kern w:val="0"/>
          <w:sz w:val="28"/>
          <w:szCs w:val="28"/>
          <w:highlight w:val="none"/>
        </w:rPr>
        <w:t>可能坠落范围：</w:t>
      </w:r>
      <w:r>
        <w:rPr>
          <w:rFonts w:hint="eastAsia" w:ascii="方正仿宋简体" w:hAnsi="方正仿宋简体" w:eastAsia="方正仿宋简体" w:cs="方正仿宋简体"/>
          <w:color w:val="auto"/>
          <w:kern w:val="0"/>
          <w:sz w:val="28"/>
          <w:szCs w:val="28"/>
          <w:highlight w:val="none"/>
        </w:rPr>
        <w:t>以作业位置为中心，可能坠落范围半径为半径划成的与水平面垂直的柱形空间。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（1）可能坠落范围半径分别为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当2米≤h≤5米时，R为3米；</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当5米＜h≤15米时，R为4米；</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当15米＜h≤30米时，R为5米；</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当h为＞30米时，R为6米；</w:t>
      </w:r>
    </w:p>
    <w:p>
      <w:pPr>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kern w:val="0"/>
          <w:sz w:val="28"/>
          <w:szCs w:val="28"/>
          <w:highlight w:val="none"/>
        </w:rPr>
        <w:t>6.</w:t>
      </w:r>
      <w:r>
        <w:rPr>
          <w:rFonts w:hint="eastAsia" w:ascii="方正仿宋简体" w:hAnsi="方正仿宋简体" w:eastAsia="方正仿宋简体" w:cs="方正仿宋简体"/>
          <w:b/>
          <w:color w:val="auto"/>
          <w:kern w:val="0"/>
          <w:sz w:val="28"/>
          <w:szCs w:val="28"/>
          <w:highlight w:val="none"/>
        </w:rPr>
        <w:t>高处作业高度：</w:t>
      </w:r>
      <w:r>
        <w:rPr>
          <w:rFonts w:hint="eastAsia" w:ascii="方正仿宋简体" w:hAnsi="方正仿宋简体" w:eastAsia="方正仿宋简体" w:cs="方正仿宋简体"/>
          <w:color w:val="auto"/>
          <w:kern w:val="0"/>
          <w:sz w:val="28"/>
          <w:szCs w:val="28"/>
          <w:highlight w:val="none"/>
        </w:rPr>
        <w:t>作业区各作业位置至相应坠落高度基准面的垂直距离中的最大值，简称作业高度。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（1）作业高度计算方法如下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第一步确定基础高度h</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第二步确定可能坠落范围半径R</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第三步确定作业高度H</w:t>
      </w:r>
    </w:p>
    <w:p>
      <w:pPr>
        <w:keepNext w:val="0"/>
        <w:keepLines w:val="0"/>
        <w:pageBreakBefore w:val="0"/>
        <w:widowControl w:val="0"/>
        <w:kinsoku/>
        <w:wordWrap/>
        <w:overflowPunct/>
        <w:topLinePunct w:val="0"/>
        <w:bidi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例1：如图1，其中h=20米，R=5米，H=20米。</w:t>
      </w:r>
    </w:p>
    <w:p>
      <w:pPr>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drawing>
          <wp:inline distT="0" distB="0" distL="114300" distR="114300">
            <wp:extent cx="5674995" cy="3590925"/>
            <wp:effectExtent l="0" t="0" r="9525" b="5715"/>
            <wp:docPr id="82" name="图片 8" descr="20053710452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200537104527580"/>
                    <pic:cNvPicPr>
                      <a:picLocks noChangeAspect="1"/>
                    </pic:cNvPicPr>
                  </pic:nvPicPr>
                  <pic:blipFill>
                    <a:blip r:embed="rId32"/>
                    <a:stretch>
                      <a:fillRect/>
                    </a:stretch>
                  </pic:blipFill>
                  <pic:spPr>
                    <a:xfrm>
                      <a:off x="0" y="0"/>
                      <a:ext cx="5674995" cy="3590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left="561" w:leftChars="267" w:firstLine="0" w:firstLineChars="0"/>
        <w:jc w:val="center"/>
        <w:textAlignment w:val="auto"/>
        <w:outlineLvl w:val="9"/>
        <w:rPr>
          <w:rFonts w:hint="eastAsia" w:ascii="方正黑体简体" w:hAnsi="方正黑体简体" w:eastAsia="方正黑体简体" w:cs="方正黑体简体"/>
          <w:b w:val="0"/>
          <w:bCs w:val="0"/>
          <w:color w:val="auto"/>
          <w:kern w:val="0"/>
          <w:sz w:val="30"/>
          <w:szCs w:val="30"/>
          <w:highlight w:val="none"/>
        </w:rPr>
      </w:pPr>
      <w:r>
        <w:rPr>
          <w:rFonts w:hint="eastAsia" w:ascii="方正黑体简体" w:hAnsi="方正黑体简体" w:eastAsia="方正黑体简体" w:cs="方正黑体简体"/>
          <w:b w:val="0"/>
          <w:bCs w:val="0"/>
          <w:color w:val="auto"/>
          <w:kern w:val="0"/>
          <w:sz w:val="30"/>
          <w:szCs w:val="30"/>
          <w:highlight w:val="none"/>
        </w:rPr>
        <w:t>图1</w:t>
      </w:r>
    </w:p>
    <w:p>
      <w:pPr>
        <w:ind w:firstLine="640" w:firstLineChars="200"/>
        <w:rPr>
          <w:rFonts w:hint="eastAsia" w:ascii="方正仿宋简体" w:hAnsi="方正仿宋简体" w:eastAsia="方正仿宋简体" w:cs="方正仿宋简体"/>
          <w:color w:val="auto"/>
          <w:kern w:val="0"/>
          <w:sz w:val="28"/>
          <w:szCs w:val="28"/>
          <w:highlight w:val="none"/>
        </w:rPr>
      </w:pPr>
      <w:r>
        <w:rPr>
          <w:rFonts w:ascii="宋体" w:hAnsi="宋体"/>
          <w:color w:val="auto"/>
          <w:sz w:val="32"/>
          <w:szCs w:val="32"/>
          <w:highlight w:val="none"/>
        </w:rPr>
        <w:drawing>
          <wp:anchor distT="0" distB="0" distL="114300" distR="114300" simplePos="0" relativeHeight="251660288" behindDoc="1" locked="0" layoutInCell="1" allowOverlap="1">
            <wp:simplePos x="0" y="0"/>
            <wp:positionH relativeFrom="column">
              <wp:posOffset>173355</wp:posOffset>
            </wp:positionH>
            <wp:positionV relativeFrom="paragraph">
              <wp:posOffset>358140</wp:posOffset>
            </wp:positionV>
            <wp:extent cx="5478780" cy="3325495"/>
            <wp:effectExtent l="0" t="0" r="7620" b="12065"/>
            <wp:wrapNone/>
            <wp:docPr id="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8"/>
                    <pic:cNvPicPr>
                      <a:picLocks noChangeAspect="1"/>
                    </pic:cNvPicPr>
                  </pic:nvPicPr>
                  <pic:blipFill>
                    <a:blip r:embed="rId33"/>
                    <a:stretch>
                      <a:fillRect/>
                    </a:stretch>
                  </pic:blipFill>
                  <pic:spPr>
                    <a:xfrm>
                      <a:off x="0" y="0"/>
                      <a:ext cx="5478780" cy="3325495"/>
                    </a:xfrm>
                    <a:prstGeom prst="rect">
                      <a:avLst/>
                    </a:prstGeom>
                    <a:noFill/>
                    <a:ln>
                      <a:noFill/>
                    </a:ln>
                  </pic:spPr>
                </pic:pic>
              </a:graphicData>
            </a:graphic>
          </wp:anchor>
        </w:drawing>
      </w:r>
      <w:r>
        <w:rPr>
          <w:rFonts w:hint="eastAsia" w:ascii="方正仿宋简体" w:hAnsi="方正仿宋简体" w:eastAsia="方正仿宋简体" w:cs="方正仿宋简体"/>
          <w:color w:val="auto"/>
          <w:kern w:val="0"/>
          <w:sz w:val="28"/>
          <w:szCs w:val="28"/>
          <w:highlight w:val="none"/>
        </w:rPr>
        <w:t>例2：如图2，其中h=20米，R=5米，H=14米。</w:t>
      </w:r>
    </w:p>
    <w:p>
      <w:pPr>
        <w:ind w:left="1335" w:hanging="775"/>
        <w:rPr>
          <w:rFonts w:hint="eastAsia" w:ascii="宋体" w:hAnsi="宋体"/>
          <w:color w:val="auto"/>
          <w:sz w:val="32"/>
          <w:szCs w:val="32"/>
          <w:highlight w:val="none"/>
        </w:rPr>
      </w:pPr>
    </w:p>
    <w:p>
      <w:pPr>
        <w:ind w:left="1335" w:hanging="775"/>
        <w:rPr>
          <w:rFonts w:ascii="宋体" w:hAnsi="宋体"/>
          <w:color w:val="auto"/>
          <w:sz w:val="32"/>
          <w:szCs w:val="32"/>
          <w:highlight w:val="none"/>
        </w:rPr>
      </w:pPr>
    </w:p>
    <w:p>
      <w:pPr>
        <w:rPr>
          <w:rFonts w:hint="eastAsia" w:ascii="宋体" w:hAnsi="宋体"/>
          <w:color w:val="auto"/>
          <w:sz w:val="32"/>
          <w:szCs w:val="32"/>
          <w:highlight w:val="none"/>
        </w:rPr>
      </w:pPr>
    </w:p>
    <w:p>
      <w:pPr>
        <w:rPr>
          <w:rFonts w:hint="eastAsia" w:ascii="宋体" w:hAnsi="宋体"/>
          <w:color w:val="auto"/>
          <w:sz w:val="32"/>
          <w:szCs w:val="32"/>
          <w:highlight w:val="none"/>
        </w:rPr>
      </w:pPr>
    </w:p>
    <w:p>
      <w:pPr>
        <w:rPr>
          <w:rFonts w:hint="eastAsia" w:ascii="宋体" w:hAnsi="宋体"/>
          <w:color w:val="auto"/>
          <w:sz w:val="32"/>
          <w:szCs w:val="32"/>
          <w:highlight w:val="none"/>
        </w:rPr>
      </w:pPr>
    </w:p>
    <w:p>
      <w:pPr>
        <w:rPr>
          <w:rFonts w:hint="eastAsia" w:ascii="宋体" w:hAnsi="宋体"/>
          <w:color w:val="auto"/>
          <w:sz w:val="32"/>
          <w:szCs w:val="32"/>
          <w:highlight w:val="none"/>
        </w:rPr>
      </w:pPr>
    </w:p>
    <w:p>
      <w:pPr>
        <w:rPr>
          <w:rFonts w:hint="eastAsia" w:ascii="宋体" w:hAnsi="宋体"/>
          <w:color w:val="auto"/>
          <w:sz w:val="32"/>
          <w:szCs w:val="32"/>
          <w:highlight w:val="none"/>
        </w:rPr>
      </w:pPr>
    </w:p>
    <w:p>
      <w:pPr>
        <w:ind w:firstLine="2080" w:firstLineChars="650"/>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图2</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7.</w:t>
      </w:r>
      <w:r>
        <w:rPr>
          <w:rFonts w:hint="eastAsia" w:ascii="方正仿宋简体" w:hAnsi="方正仿宋简体" w:eastAsia="方正仿宋简体" w:cs="方正仿宋简体"/>
          <w:b/>
          <w:bCs/>
          <w:color w:val="auto"/>
          <w:kern w:val="0"/>
          <w:sz w:val="28"/>
          <w:szCs w:val="28"/>
          <w:highlight w:val="none"/>
        </w:rPr>
        <w:t>吊绳</w:t>
      </w:r>
      <w:r>
        <w:rPr>
          <w:rFonts w:hint="eastAsia" w:ascii="方正仿宋简体" w:hAnsi="方正仿宋简体" w:eastAsia="方正仿宋简体" w:cs="方正仿宋简体"/>
          <w:color w:val="auto"/>
          <w:kern w:val="0"/>
          <w:sz w:val="28"/>
          <w:szCs w:val="28"/>
          <w:highlight w:val="none"/>
        </w:rPr>
        <w:t>：一根垂直或水平的绳，固定到一个锚固点上或两个锚固点之间，可以在其上面挂系索或安全带。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8.</w:t>
      </w:r>
      <w:r>
        <w:rPr>
          <w:rFonts w:hint="eastAsia" w:ascii="方正仿宋简体" w:hAnsi="方正仿宋简体" w:eastAsia="方正仿宋简体" w:cs="方正仿宋简体"/>
          <w:b/>
          <w:bCs/>
          <w:color w:val="auto"/>
          <w:kern w:val="0"/>
          <w:sz w:val="28"/>
          <w:szCs w:val="28"/>
          <w:highlight w:val="none"/>
        </w:rPr>
        <w:t>个人坠落保护系统</w:t>
      </w:r>
      <w:r>
        <w:rPr>
          <w:rFonts w:hint="eastAsia" w:ascii="方正仿宋简体" w:hAnsi="方正仿宋简体" w:eastAsia="方正仿宋简体" w:cs="方正仿宋简体"/>
          <w:color w:val="auto"/>
          <w:kern w:val="0"/>
          <w:sz w:val="28"/>
          <w:szCs w:val="28"/>
          <w:highlight w:val="none"/>
        </w:rPr>
        <w:t>：用于阻止从工作高度坠落的一种系统，包括有锚固点、连接器、全身安全带，还可能包括带有自锁钩的安全绳、缓冲器、吊绳或它们的组合。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9.</w:t>
      </w:r>
      <w:r>
        <w:rPr>
          <w:rFonts w:hint="eastAsia" w:ascii="方正仿宋简体" w:hAnsi="方正仿宋简体" w:eastAsia="方正仿宋简体" w:cs="方正仿宋简体"/>
          <w:b/>
          <w:bCs/>
          <w:color w:val="auto"/>
          <w:kern w:val="0"/>
          <w:sz w:val="28"/>
          <w:szCs w:val="28"/>
          <w:highlight w:val="none"/>
        </w:rPr>
        <w:t>锚固点</w:t>
      </w:r>
      <w:r>
        <w:rPr>
          <w:rFonts w:hint="eastAsia" w:ascii="方正仿宋简体" w:hAnsi="方正仿宋简体" w:eastAsia="方正仿宋简体" w:cs="方正仿宋简体"/>
          <w:color w:val="auto"/>
          <w:kern w:val="0"/>
          <w:sz w:val="28"/>
          <w:szCs w:val="28"/>
          <w:highlight w:val="none"/>
        </w:rPr>
        <w:t>：用于其上固定吊绳、引入线或安全绳的固定点。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10.</w:t>
      </w:r>
      <w:r>
        <w:rPr>
          <w:rFonts w:hint="eastAsia" w:ascii="方正仿宋简体" w:hAnsi="方正仿宋简体" w:eastAsia="方正仿宋简体" w:cs="方正仿宋简体"/>
          <w:b/>
          <w:bCs/>
          <w:color w:val="auto"/>
          <w:kern w:val="0"/>
          <w:sz w:val="28"/>
          <w:szCs w:val="28"/>
          <w:highlight w:val="none"/>
        </w:rPr>
        <w:t>安全绳</w:t>
      </w:r>
      <w:r>
        <w:rPr>
          <w:rFonts w:hint="eastAsia" w:ascii="方正仿宋简体" w:hAnsi="方正仿宋简体" w:eastAsia="方正仿宋简体" w:cs="方正仿宋简体"/>
          <w:color w:val="auto"/>
          <w:kern w:val="0"/>
          <w:sz w:val="28"/>
          <w:szCs w:val="28"/>
          <w:highlight w:val="none"/>
        </w:rPr>
        <w:t>：安全带上保护人体不坠落的系绳，用于将安全带和锚固点或吊绳相连接。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11.</w:t>
      </w:r>
      <w:r>
        <w:rPr>
          <w:rFonts w:hint="eastAsia" w:ascii="方正仿宋简体" w:hAnsi="方正仿宋简体" w:eastAsia="方正仿宋简体" w:cs="方正仿宋简体"/>
          <w:b/>
          <w:bCs/>
          <w:color w:val="auto"/>
          <w:kern w:val="0"/>
          <w:sz w:val="28"/>
          <w:szCs w:val="28"/>
          <w:highlight w:val="none"/>
        </w:rPr>
        <w:t>锚固点连接器</w:t>
      </w:r>
      <w:r>
        <w:rPr>
          <w:rFonts w:hint="eastAsia" w:ascii="方正仿宋简体" w:hAnsi="方正仿宋简体" w:eastAsia="方正仿宋简体" w:cs="方正仿宋简体"/>
          <w:color w:val="auto"/>
          <w:kern w:val="0"/>
          <w:sz w:val="28"/>
          <w:szCs w:val="28"/>
          <w:highlight w:val="none"/>
        </w:rPr>
        <w:t>：把坠落保护设施固定到锚固点上的一个部件或装置。</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12.</w:t>
      </w:r>
      <w:r>
        <w:rPr>
          <w:rFonts w:hint="eastAsia" w:ascii="方正仿宋简体" w:hAnsi="方正仿宋简体" w:eastAsia="方正仿宋简体" w:cs="方正仿宋简体"/>
          <w:b/>
          <w:bCs/>
          <w:color w:val="auto"/>
          <w:kern w:val="0"/>
          <w:sz w:val="28"/>
          <w:szCs w:val="28"/>
          <w:highlight w:val="none"/>
        </w:rPr>
        <w:t>缓冲器</w:t>
      </w:r>
      <w:r>
        <w:rPr>
          <w:rFonts w:hint="eastAsia" w:ascii="方正仿宋简体" w:hAnsi="方正仿宋简体" w:eastAsia="方正仿宋简体" w:cs="方正仿宋简体"/>
          <w:color w:val="auto"/>
          <w:kern w:val="0"/>
          <w:sz w:val="28"/>
          <w:szCs w:val="28"/>
          <w:highlight w:val="none"/>
        </w:rPr>
        <w:t>:当人体坠落时，能减少人体受力，吸收坠落过程中产生部分能量的装置，例如抓绳器、可撕缝合安全绳等。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13.</w:t>
      </w:r>
      <w:r>
        <w:rPr>
          <w:rFonts w:hint="eastAsia" w:ascii="方正仿宋简体" w:hAnsi="方正仿宋简体" w:eastAsia="方正仿宋简体" w:cs="方正仿宋简体"/>
          <w:b/>
          <w:bCs/>
          <w:color w:val="auto"/>
          <w:kern w:val="0"/>
          <w:sz w:val="28"/>
          <w:szCs w:val="28"/>
          <w:highlight w:val="none"/>
        </w:rPr>
        <w:t>全身式安全带</w:t>
      </w:r>
      <w:r>
        <w:rPr>
          <w:rFonts w:hint="eastAsia" w:ascii="方正仿宋简体" w:hAnsi="方正仿宋简体" w:eastAsia="方正仿宋简体" w:cs="方正仿宋简体"/>
          <w:color w:val="auto"/>
          <w:kern w:val="0"/>
          <w:sz w:val="28"/>
          <w:szCs w:val="28"/>
          <w:highlight w:val="none"/>
        </w:rPr>
        <w:t>:能够系住人的躯干，把坠落力量分散在大腿的上部、骨盆、胸部和肩部等部位的安全保护装备，包括用于挂在锚固点或吊绳上的两根安全绳。</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14.</w:t>
      </w:r>
      <w:r>
        <w:rPr>
          <w:rFonts w:hint="eastAsia" w:ascii="方正仿宋简体" w:hAnsi="方正仿宋简体" w:eastAsia="方正仿宋简体" w:cs="方正仿宋简体"/>
          <w:b/>
          <w:bCs/>
          <w:color w:val="auto"/>
          <w:kern w:val="0"/>
          <w:sz w:val="28"/>
          <w:szCs w:val="28"/>
          <w:highlight w:val="none"/>
        </w:rPr>
        <w:t>定位系索</w:t>
      </w:r>
      <w:r>
        <w:rPr>
          <w:rFonts w:hint="eastAsia" w:ascii="方正仿宋简体" w:hAnsi="方正仿宋简体" w:eastAsia="方正仿宋简体" w:cs="方正仿宋简体"/>
          <w:color w:val="auto"/>
          <w:kern w:val="0"/>
          <w:sz w:val="28"/>
          <w:szCs w:val="28"/>
          <w:highlight w:val="none"/>
        </w:rPr>
        <w:t>:用来固定人员站立位置，让作业人员腾出双手工作不至于导致坠落的系带。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15.</w:t>
      </w:r>
      <w:r>
        <w:rPr>
          <w:rFonts w:hint="eastAsia" w:ascii="方正仿宋简体" w:hAnsi="方正仿宋简体" w:eastAsia="方正仿宋简体" w:cs="方正仿宋简体"/>
          <w:b/>
          <w:bCs/>
          <w:color w:val="auto"/>
          <w:kern w:val="0"/>
          <w:sz w:val="28"/>
          <w:szCs w:val="28"/>
          <w:highlight w:val="none"/>
        </w:rPr>
        <w:t>自动收缩式救生索</w:t>
      </w:r>
      <w:r>
        <w:rPr>
          <w:rFonts w:hint="eastAsia" w:ascii="方正仿宋简体" w:hAnsi="方正仿宋简体" w:eastAsia="方正仿宋简体" w:cs="方正仿宋简体"/>
          <w:color w:val="auto"/>
          <w:kern w:val="0"/>
          <w:sz w:val="28"/>
          <w:szCs w:val="28"/>
          <w:highlight w:val="none"/>
        </w:rPr>
        <w:t>:一种坠落保护装备，作业人员可以在没有束缚的情况下自由行进，但当坠落发生时会立即锁住。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宋体" w:hAnsi="宋体"/>
          <w:color w:val="auto"/>
          <w:sz w:val="32"/>
          <w:szCs w:val="32"/>
          <w:highlight w:val="none"/>
        </w:rPr>
      </w:pPr>
      <w:r>
        <w:rPr>
          <w:rFonts w:hint="eastAsia" w:ascii="方正仿宋简体" w:hAnsi="方正仿宋简体" w:eastAsia="方正仿宋简体" w:cs="方正仿宋简体"/>
          <w:color w:val="auto"/>
          <w:kern w:val="0"/>
          <w:sz w:val="28"/>
          <w:szCs w:val="28"/>
          <w:highlight w:val="none"/>
        </w:rPr>
        <w:t>16.</w:t>
      </w:r>
      <w:r>
        <w:rPr>
          <w:rFonts w:hint="eastAsia" w:ascii="方正仿宋简体" w:hAnsi="方正仿宋简体" w:eastAsia="方正仿宋简体" w:cs="方正仿宋简体"/>
          <w:b/>
          <w:bCs/>
          <w:color w:val="auto"/>
          <w:kern w:val="0"/>
          <w:sz w:val="28"/>
          <w:szCs w:val="28"/>
          <w:highlight w:val="none"/>
        </w:rPr>
        <w:t>临边</w:t>
      </w:r>
      <w:r>
        <w:rPr>
          <w:rFonts w:hint="eastAsia" w:ascii="方正仿宋简体" w:hAnsi="方正仿宋简体" w:eastAsia="方正仿宋简体" w:cs="方正仿宋简体"/>
          <w:color w:val="auto"/>
          <w:kern w:val="0"/>
          <w:sz w:val="28"/>
          <w:szCs w:val="28"/>
          <w:highlight w:val="none"/>
        </w:rPr>
        <w:t>:地板、甲板或栅格板的边缘。当放置了另外的地板或甲板块时，它会改变位置。</w:t>
      </w:r>
      <w:r>
        <w:rPr>
          <w:rFonts w:hint="eastAsia" w:ascii="方正仿宋简体" w:hAnsi="方正仿宋简体" w:eastAsia="方正仿宋简体" w:cs="方正仿宋简体"/>
          <w:color w:val="auto"/>
          <w:sz w:val="28"/>
          <w:szCs w:val="28"/>
          <w:highlight w:val="none"/>
        </w:rPr>
        <w:br w:type="page"/>
      </w:r>
      <w:r>
        <w:rPr>
          <w:rFonts w:hint="eastAsia" w:ascii="方正黑体简体" w:hAnsi="方正黑体简体" w:eastAsia="方正黑体简体" w:cs="方正黑体简体"/>
          <w:b w:val="0"/>
          <w:bCs w:val="0"/>
          <w:color w:val="auto"/>
          <w:sz w:val="32"/>
          <w:szCs w:val="32"/>
          <w:highlight w:val="none"/>
        </w:rPr>
        <w:t>附件</w:t>
      </w:r>
      <w:r>
        <w:rPr>
          <w:rFonts w:hint="eastAsia" w:ascii="方正黑体简体" w:hAnsi="方正黑体简体" w:eastAsia="方正黑体简体" w:cs="方正黑体简体"/>
          <w:b w:val="0"/>
          <w:bCs w:val="0"/>
          <w:color w:val="auto"/>
          <w:sz w:val="32"/>
          <w:szCs w:val="32"/>
          <w:highlight w:val="none"/>
          <w:lang w:val="en-US" w:eastAsia="zh-CN"/>
        </w:rPr>
        <w:t xml:space="preserve"> </w:t>
      </w:r>
      <w:r>
        <w:rPr>
          <w:rFonts w:hint="eastAsia" w:ascii="方正黑体简体" w:hAnsi="方正黑体简体" w:eastAsia="方正黑体简体" w:cs="方正黑体简体"/>
          <w:b w:val="0"/>
          <w:bCs w:val="0"/>
          <w:color w:val="auto"/>
          <w:sz w:val="32"/>
          <w:szCs w:val="32"/>
          <w:highlight w:val="none"/>
        </w:rPr>
        <w:t>2</w:t>
      </w:r>
    </w:p>
    <w:p>
      <w:pPr>
        <w:spacing w:line="360" w:lineRule="auto"/>
        <w:jc w:val="center"/>
        <w:rPr>
          <w:rFonts w:hint="eastAsia" w:ascii="方正小标宋简体" w:hAnsi="方正小标宋简体" w:eastAsia="方正小标宋简体" w:cs="方正小标宋简体"/>
          <w:b w:val="0"/>
          <w:bCs/>
          <w:color w:val="auto"/>
          <w:sz w:val="36"/>
          <w:szCs w:val="36"/>
          <w:highlight w:val="none"/>
          <w:lang w:val="zh-CN"/>
        </w:rPr>
      </w:pPr>
      <w:r>
        <w:rPr>
          <w:rFonts w:hint="eastAsia" w:ascii="方正小标宋简体" w:hAnsi="方正小标宋简体" w:eastAsia="方正小标宋简体" w:cs="方正小标宋简体"/>
          <w:b w:val="0"/>
          <w:bCs/>
          <w:color w:val="auto"/>
          <w:sz w:val="36"/>
          <w:szCs w:val="36"/>
          <w:highlight w:val="none"/>
        </w:rPr>
        <w:t>坠落预防计划指南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zh-CN"/>
        </w:rPr>
        <w:t>为了作业人员能够确定工作中所存在的坠落危险，并采取有效的坠落预防措施，防止坠落事故的发生，应在作业前制定坠落预防方案。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坠落预防</w:t>
      </w:r>
      <w:r>
        <w:rPr>
          <w:rFonts w:hint="eastAsia" w:ascii="方正仿宋简体" w:hAnsi="方正仿宋简体" w:eastAsia="方正仿宋简体" w:cs="方正仿宋简体"/>
          <w:color w:val="auto"/>
          <w:sz w:val="28"/>
          <w:szCs w:val="28"/>
          <w:highlight w:val="none"/>
          <w:lang w:val="zh-CN"/>
        </w:rPr>
        <w:t>方案</w:t>
      </w:r>
      <w:r>
        <w:rPr>
          <w:rFonts w:hint="eastAsia" w:ascii="方正仿宋简体" w:hAnsi="方正仿宋简体" w:eastAsia="方正仿宋简体" w:cs="方正仿宋简体"/>
          <w:color w:val="auto"/>
          <w:sz w:val="28"/>
          <w:szCs w:val="28"/>
          <w:highlight w:val="none"/>
        </w:rPr>
        <w:t>应由</w:t>
      </w:r>
      <w:r>
        <w:rPr>
          <w:rFonts w:hint="eastAsia" w:ascii="方正仿宋简体" w:hAnsi="方正仿宋简体" w:eastAsia="方正仿宋简体" w:cs="方正仿宋简体"/>
          <w:iCs/>
          <w:color w:val="auto"/>
          <w:sz w:val="28"/>
          <w:szCs w:val="28"/>
          <w:highlight w:val="none"/>
        </w:rPr>
        <w:t>作业负责人组织</w:t>
      </w:r>
      <w:r>
        <w:rPr>
          <w:rFonts w:hint="eastAsia" w:ascii="方正仿宋简体" w:hAnsi="方正仿宋简体" w:eastAsia="方正仿宋简体" w:cs="方正仿宋简体"/>
          <w:color w:val="auto"/>
          <w:sz w:val="28"/>
          <w:szCs w:val="28"/>
          <w:highlight w:val="none"/>
        </w:rPr>
        <w:t>编制并在作业中负责执行。</w:t>
      </w:r>
      <w:r>
        <w:rPr>
          <w:rFonts w:hint="eastAsia" w:ascii="方正仿宋简体" w:hAnsi="方正仿宋简体" w:eastAsia="方正仿宋简体" w:cs="方正仿宋简体"/>
          <w:color w:val="auto"/>
          <w:sz w:val="28"/>
          <w:szCs w:val="28"/>
          <w:highlight w:val="none"/>
          <w:lang w:val="zh-CN"/>
        </w:rPr>
        <w:t>方案</w:t>
      </w:r>
      <w:r>
        <w:rPr>
          <w:rFonts w:hint="eastAsia" w:ascii="方正仿宋简体" w:hAnsi="方正仿宋简体" w:eastAsia="方正仿宋简体" w:cs="方正仿宋简体"/>
          <w:iCs/>
          <w:color w:val="auto"/>
          <w:sz w:val="28"/>
          <w:szCs w:val="28"/>
          <w:highlight w:val="none"/>
        </w:rPr>
        <w:t>中应</w:t>
      </w:r>
      <w:r>
        <w:rPr>
          <w:rFonts w:hint="eastAsia" w:ascii="方正仿宋简体" w:hAnsi="方正仿宋简体" w:eastAsia="方正仿宋简体" w:cs="方正仿宋简体"/>
          <w:color w:val="auto"/>
          <w:sz w:val="28"/>
          <w:szCs w:val="28"/>
          <w:highlight w:val="none"/>
        </w:rPr>
        <w:t>针对现存及潜在的危害，制定坠落预防措施。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zh-CN"/>
        </w:rPr>
        <w:t>坠落预防方案一旦制定，所有作业人员应得到充分培训，并在作业负责人的指导下实施。员工有责任向作业负责人反映所有可能造成伤害的不安全行为或状况。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坠落预防</w:t>
      </w:r>
      <w:r>
        <w:rPr>
          <w:rFonts w:hint="eastAsia" w:ascii="方正仿宋简体" w:hAnsi="方正仿宋简体" w:eastAsia="方正仿宋简体" w:cs="方正仿宋简体"/>
          <w:color w:val="auto"/>
          <w:sz w:val="28"/>
          <w:szCs w:val="28"/>
          <w:highlight w:val="none"/>
          <w:lang w:val="zh-CN"/>
        </w:rPr>
        <w:t>方案</w:t>
      </w:r>
      <w:r>
        <w:rPr>
          <w:rFonts w:hint="eastAsia" w:ascii="方正仿宋简体" w:hAnsi="方正仿宋简体" w:eastAsia="方正仿宋简体" w:cs="方正仿宋简体"/>
          <w:color w:val="auto"/>
          <w:sz w:val="28"/>
          <w:szCs w:val="28"/>
          <w:highlight w:val="none"/>
        </w:rPr>
        <w:t>的任何变更都必须经过批准。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kinsoku/>
        <w:wordWrap/>
        <w:overflowPunct/>
        <w:topLinePunct w:val="0"/>
        <w:autoSpaceDE/>
        <w:autoSpaceDN/>
        <w:bidi w:val="0"/>
        <w:adjustRightInd/>
        <w:snapToGrid/>
        <w:spacing w:line="560" w:lineRule="exact"/>
        <w:ind w:firstLine="720" w:firstLineChars="200"/>
        <w:jc w:val="center"/>
        <w:textAlignment w:val="auto"/>
        <w:outlineLvl w:val="9"/>
        <w:rPr>
          <w:rFonts w:hint="eastAsia" w:ascii="方正小标宋简体" w:hAnsi="方正小标宋简体" w:eastAsia="方正小标宋简体" w:cs="方正小标宋简体"/>
          <w:b w:val="0"/>
          <w:bCs/>
          <w:color w:val="auto"/>
          <w:sz w:val="36"/>
          <w:szCs w:val="36"/>
          <w:highlight w:val="none"/>
        </w:rPr>
      </w:pPr>
      <w:r>
        <w:rPr>
          <w:rFonts w:hint="eastAsia" w:ascii="方正小标宋简体" w:hAnsi="方正小标宋简体" w:eastAsia="方正小标宋简体" w:cs="方正小标宋简体"/>
          <w:b w:val="0"/>
          <w:bCs/>
          <w:color w:val="auto"/>
          <w:sz w:val="36"/>
          <w:szCs w:val="36"/>
          <w:highlight w:val="none"/>
        </w:rPr>
        <w:t>坠落预防计划（示例）</w:t>
      </w:r>
    </w:p>
    <w:p>
      <w:pPr>
        <w:keepNext w:val="0"/>
        <w:keepLines w:val="0"/>
        <w:pageBreakBefore w:val="0"/>
        <w:kinsoku/>
        <w:wordWrap/>
        <w:overflowPunct/>
        <w:topLinePunct w:val="0"/>
        <w:autoSpaceDE/>
        <w:autoSpaceDN/>
        <w:bidi w:val="0"/>
        <w:adjustRightInd/>
        <w:snapToGrid/>
        <w:spacing w:line="560" w:lineRule="exact"/>
        <w:jc w:val="both"/>
        <w:textAlignment w:val="auto"/>
        <w:outlineLvl w:val="9"/>
        <w:rPr>
          <w:rFonts w:hint="default"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rPr>
        <w:t>项目：单位</w:t>
      </w:r>
      <w:r>
        <w:rPr>
          <w:rFonts w:hint="eastAsia" w:ascii="方正仿宋简体" w:hAnsi="方正仿宋简体" w:eastAsia="方正仿宋简体" w:cs="方正仿宋简体"/>
          <w:color w:val="auto"/>
          <w:sz w:val="28"/>
          <w:szCs w:val="28"/>
          <w:highlight w:val="none"/>
          <w:u w:val="single"/>
          <w:lang w:val="en-US" w:eastAsia="zh-CN"/>
        </w:rPr>
        <w:t xml:space="preserve">                      </w:t>
      </w:r>
      <w:r>
        <w:rPr>
          <w:rFonts w:hint="eastAsia" w:ascii="方正仿宋简体" w:hAnsi="方正仿宋简体" w:eastAsia="方正仿宋简体" w:cs="方正仿宋简体"/>
          <w:color w:val="auto"/>
          <w:sz w:val="28"/>
          <w:szCs w:val="28"/>
          <w:highlight w:val="none"/>
        </w:rPr>
        <w:t>作业项目</w:t>
      </w:r>
      <w:r>
        <w:rPr>
          <w:rFonts w:hint="eastAsia" w:ascii="方正仿宋简体" w:hAnsi="方正仿宋简体" w:eastAsia="方正仿宋简体" w:cs="方正仿宋简体"/>
          <w:color w:val="auto"/>
          <w:sz w:val="28"/>
          <w:szCs w:val="28"/>
          <w:highlight w:val="none"/>
          <w:u w:val="single"/>
          <w:lang w:val="en-US" w:eastAsia="zh-CN"/>
        </w:rPr>
        <w:t xml:space="preserve">                         </w:t>
      </w:r>
    </w:p>
    <w:p>
      <w:pPr>
        <w:keepNext w:val="0"/>
        <w:keepLines w:val="0"/>
        <w:pageBreakBefore w:val="0"/>
        <w:widowControl/>
        <w:numPr>
          <w:ilvl w:val="0"/>
          <w:numId w:val="23"/>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工作区域的坠落危险有以下类型：</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①</w:t>
      </w:r>
      <w:r>
        <w:rPr>
          <w:rFonts w:hint="eastAsia" w:ascii="方正仿宋简体" w:hAnsi="方正仿宋简体" w:eastAsia="方正仿宋简体" w:cs="方正仿宋简体"/>
          <w:color w:val="auto"/>
          <w:sz w:val="28"/>
          <w:szCs w:val="28"/>
          <w:highlight w:val="none"/>
        </w:rPr>
        <w:t>高空升降机</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②</w:t>
      </w:r>
      <w:r>
        <w:rPr>
          <w:rFonts w:hint="eastAsia" w:ascii="方正仿宋简体" w:hAnsi="方正仿宋简体" w:eastAsia="方正仿宋简体" w:cs="方正仿宋简体"/>
          <w:color w:val="auto"/>
          <w:sz w:val="28"/>
          <w:szCs w:val="28"/>
          <w:highlight w:val="none"/>
        </w:rPr>
        <w:t>脚手架、梯子</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③</w:t>
      </w:r>
      <w:r>
        <w:rPr>
          <w:rFonts w:hint="eastAsia" w:ascii="方正仿宋简体" w:hAnsi="方正仿宋简体" w:eastAsia="方正仿宋简体" w:cs="方正仿宋简体"/>
          <w:color w:val="auto"/>
          <w:sz w:val="28"/>
          <w:szCs w:val="28"/>
          <w:highlight w:val="none"/>
        </w:rPr>
        <w:t>高空平台</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④</w:t>
      </w:r>
      <w:r>
        <w:rPr>
          <w:rFonts w:hint="eastAsia" w:ascii="方正仿宋简体" w:hAnsi="方正仿宋简体" w:eastAsia="方正仿宋简体" w:cs="方正仿宋简体"/>
          <w:color w:val="auto"/>
          <w:sz w:val="28"/>
          <w:szCs w:val="28"/>
          <w:highlight w:val="none"/>
        </w:rPr>
        <w:t>深坑、洞口边缘</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⑤</w:t>
      </w:r>
      <w:r>
        <w:rPr>
          <w:rFonts w:hint="eastAsia" w:ascii="方正仿宋简体" w:hAnsi="方正仿宋简体" w:eastAsia="方正仿宋简体" w:cs="方正仿宋简体"/>
          <w:color w:val="auto"/>
          <w:sz w:val="28"/>
          <w:szCs w:val="28"/>
          <w:highlight w:val="none"/>
        </w:rPr>
        <w:t>建筑物、设备边缘</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⑥</w:t>
      </w:r>
      <w:r>
        <w:rPr>
          <w:rFonts w:hint="eastAsia" w:ascii="方正仿宋简体" w:hAnsi="方正仿宋简体" w:eastAsia="方正仿宋简体" w:cs="方正仿宋简体"/>
          <w:color w:val="auto"/>
          <w:sz w:val="28"/>
          <w:szCs w:val="28"/>
          <w:highlight w:val="none"/>
        </w:rPr>
        <w:t>其它</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2.</w:t>
      </w:r>
      <w:r>
        <w:rPr>
          <w:rFonts w:hint="eastAsia" w:ascii="方正仿宋简体" w:hAnsi="方正仿宋简体" w:eastAsia="方正仿宋简体" w:cs="方正仿宋简体"/>
          <w:color w:val="auto"/>
          <w:sz w:val="28"/>
          <w:szCs w:val="28"/>
          <w:highlight w:val="none"/>
        </w:rPr>
        <w:t>防坠落装备至少应包括下列物品：</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①</w:t>
      </w:r>
      <w:r>
        <w:rPr>
          <w:rFonts w:hint="eastAsia" w:ascii="方正仿宋简体" w:hAnsi="方正仿宋简体" w:eastAsia="方正仿宋简体" w:cs="方正仿宋简体"/>
          <w:color w:val="auto"/>
          <w:sz w:val="28"/>
          <w:szCs w:val="28"/>
          <w:highlight w:val="none"/>
        </w:rPr>
        <w:t>全身式安全带，配有背上定位的D形环</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②</w:t>
      </w:r>
      <w:r>
        <w:rPr>
          <w:rFonts w:hint="eastAsia" w:ascii="方正仿宋简体" w:hAnsi="方正仿宋简体" w:eastAsia="方正仿宋简体" w:cs="方正仿宋简体"/>
          <w:color w:val="auto"/>
          <w:sz w:val="28"/>
          <w:szCs w:val="28"/>
          <w:highlight w:val="none"/>
        </w:rPr>
        <w:t>单个或两个带有自锁铆钉挂钩的缓冲减震安全绳</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③</w:t>
      </w:r>
      <w:r>
        <w:rPr>
          <w:rFonts w:hint="eastAsia" w:ascii="方正仿宋简体" w:hAnsi="方正仿宋简体" w:eastAsia="方正仿宋简体" w:cs="方正仿宋简体"/>
          <w:color w:val="auto"/>
          <w:sz w:val="28"/>
          <w:szCs w:val="28"/>
          <w:highlight w:val="none"/>
        </w:rPr>
        <w:t>挂钩</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④</w:t>
      </w:r>
      <w:r>
        <w:rPr>
          <w:rFonts w:hint="eastAsia" w:ascii="方正仿宋简体" w:hAnsi="方正仿宋简体" w:eastAsia="方正仿宋简体" w:cs="方正仿宋简体"/>
          <w:color w:val="auto"/>
          <w:sz w:val="28"/>
          <w:szCs w:val="28"/>
          <w:highlight w:val="none"/>
        </w:rPr>
        <w:t>尼龙绳</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⑤</w:t>
      </w:r>
      <w:r>
        <w:rPr>
          <w:rFonts w:hint="eastAsia" w:ascii="方正仿宋简体" w:hAnsi="方正仿宋简体" w:eastAsia="方正仿宋简体" w:cs="方正仿宋简体"/>
          <w:color w:val="auto"/>
          <w:sz w:val="28"/>
          <w:szCs w:val="28"/>
          <w:highlight w:val="none"/>
        </w:rPr>
        <w:t>抓绳器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3.</w:t>
      </w:r>
      <w:r>
        <w:rPr>
          <w:rFonts w:hint="eastAsia" w:ascii="方正仿宋简体" w:hAnsi="方正仿宋简体" w:eastAsia="方正仿宋简体" w:cs="方正仿宋简体"/>
          <w:color w:val="auto"/>
          <w:sz w:val="28"/>
          <w:szCs w:val="28"/>
          <w:highlight w:val="none"/>
        </w:rPr>
        <w:t>检查</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zh-CN"/>
        </w:rPr>
        <w:t>所有设备</w:t>
      </w:r>
      <w:r>
        <w:rPr>
          <w:rFonts w:hint="eastAsia" w:ascii="方正仿宋简体" w:hAnsi="方正仿宋简体" w:eastAsia="方正仿宋简体" w:cs="方正仿宋简体"/>
          <w:color w:val="auto"/>
          <w:sz w:val="28"/>
          <w:szCs w:val="28"/>
          <w:highlight w:val="none"/>
        </w:rPr>
        <w:t>使用前，应进行外观检查。一旦发现有缺陷的坠落防护装备，应停止使用，并立即销毁。</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4.</w:t>
      </w:r>
      <w:r>
        <w:rPr>
          <w:rFonts w:hint="eastAsia" w:ascii="方正仿宋简体" w:hAnsi="方正仿宋简体" w:eastAsia="方正仿宋简体" w:cs="方正仿宋简体"/>
          <w:color w:val="auto"/>
          <w:sz w:val="28"/>
          <w:szCs w:val="28"/>
          <w:highlight w:val="none"/>
        </w:rPr>
        <w:t>头部保护</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lang w:val="zh-CN"/>
        </w:rPr>
      </w:pPr>
      <w:r>
        <w:rPr>
          <w:rFonts w:hint="eastAsia" w:ascii="方正仿宋简体" w:hAnsi="方正仿宋简体" w:eastAsia="方正仿宋简体" w:cs="方正仿宋简体"/>
          <w:color w:val="auto"/>
          <w:sz w:val="28"/>
          <w:szCs w:val="28"/>
          <w:highlight w:val="none"/>
          <w:lang w:val="zh-CN"/>
        </w:rPr>
        <w:t>在高处作业过程中，作业人员应随时正确佩戴安全帽。所有可能伤害头部的危险突出物，均应设置警告标识。</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w:t>
      </w:r>
      <w:r>
        <w:rPr>
          <w:rFonts w:hint="eastAsia" w:ascii="方正仿宋简体" w:hAnsi="方正仿宋简体" w:eastAsia="方正仿宋简体" w:cs="方正仿宋简体"/>
          <w:color w:val="auto"/>
          <w:sz w:val="28"/>
          <w:szCs w:val="28"/>
          <w:highlight w:val="none"/>
          <w:lang w:val="en-US" w:eastAsia="zh-CN"/>
        </w:rPr>
        <w:t>.</w:t>
      </w:r>
      <w:r>
        <w:rPr>
          <w:rFonts w:hint="eastAsia" w:ascii="方正仿宋简体" w:hAnsi="方正仿宋简体" w:eastAsia="方正仿宋简体" w:cs="方正仿宋简体"/>
          <w:color w:val="auto"/>
          <w:sz w:val="28"/>
          <w:szCs w:val="28"/>
          <w:highlight w:val="none"/>
        </w:rPr>
        <w:t xml:space="preserve">急救和救援 </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lang w:val="zh-CN"/>
        </w:rPr>
      </w:pPr>
      <w:r>
        <w:rPr>
          <w:rFonts w:hint="eastAsia" w:ascii="方正仿宋简体" w:hAnsi="方正仿宋简体" w:eastAsia="方正仿宋简体" w:cs="方正仿宋简体"/>
          <w:color w:val="auto"/>
          <w:sz w:val="28"/>
          <w:szCs w:val="28"/>
          <w:highlight w:val="none"/>
          <w:lang w:val="zh-CN"/>
        </w:rPr>
        <w:t>应根据现场需要，制定急救和救援措施，并事先与预定的医疗机构进行联络，做好救援准备。如果现场发生坠落事故，应根据伤情选择由兼职医疗救护人员或预定的医疗机构实施救援。</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lang w:val="zh-CN"/>
        </w:rPr>
      </w:pPr>
      <w:r>
        <w:rPr>
          <w:rFonts w:hint="eastAsia" w:ascii="方正仿宋简体" w:hAnsi="方正仿宋简体" w:eastAsia="方正仿宋简体" w:cs="方正仿宋简体"/>
          <w:color w:val="auto"/>
          <w:sz w:val="28"/>
          <w:szCs w:val="28"/>
          <w:highlight w:val="none"/>
          <w:lang w:val="zh-CN"/>
        </w:rPr>
        <w:t>作业单位应备有急救箱，急救箱位于作业人员方便获取的地方，并在作业前告知所有的作业人员。</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lang w:val="zh-CN"/>
        </w:rPr>
      </w:pPr>
      <w:r>
        <w:rPr>
          <w:rFonts w:hint="eastAsia" w:ascii="方正仿宋简体" w:hAnsi="方正仿宋简体" w:eastAsia="方正仿宋简体" w:cs="方正仿宋简体"/>
          <w:iCs/>
          <w:color w:val="auto"/>
          <w:sz w:val="28"/>
          <w:szCs w:val="28"/>
          <w:highlight w:val="none"/>
        </w:rPr>
        <w:t>6</w:t>
      </w:r>
      <w:r>
        <w:rPr>
          <w:rFonts w:hint="eastAsia" w:ascii="方正仿宋简体" w:hAnsi="方正仿宋简体" w:eastAsia="方正仿宋简体" w:cs="方正仿宋简体"/>
          <w:iCs/>
          <w:color w:val="auto"/>
          <w:sz w:val="28"/>
          <w:szCs w:val="28"/>
          <w:highlight w:val="none"/>
          <w:lang w:val="en-US" w:eastAsia="zh-CN"/>
        </w:rPr>
        <w:t>.</w:t>
      </w:r>
      <w:r>
        <w:rPr>
          <w:rFonts w:hint="eastAsia" w:ascii="方正仿宋简体" w:hAnsi="方正仿宋简体" w:eastAsia="方正仿宋简体" w:cs="方正仿宋简体"/>
          <w:iCs/>
          <w:color w:val="auto"/>
          <w:sz w:val="28"/>
          <w:szCs w:val="28"/>
          <w:highlight w:val="none"/>
        </w:rPr>
        <w:t>援</w:t>
      </w:r>
      <w:r>
        <w:rPr>
          <w:rFonts w:hint="eastAsia" w:ascii="方正仿宋简体" w:hAnsi="方正仿宋简体" w:eastAsia="方正仿宋简体" w:cs="方正仿宋简体"/>
          <w:color w:val="auto"/>
          <w:sz w:val="28"/>
          <w:szCs w:val="28"/>
          <w:highlight w:val="none"/>
          <w:lang w:val="zh-CN"/>
        </w:rPr>
        <w:t>救人员注意事项：</w:t>
      </w:r>
    </w:p>
    <w:p>
      <w:pPr>
        <w:keepNext w:val="0"/>
        <w:keepLines w:val="0"/>
        <w:pageBreakBefore w:val="0"/>
        <w:kinsoku/>
        <w:wordWrap/>
        <w:overflowPunct/>
        <w:topLinePunct w:val="0"/>
        <w:autoSpaceDE/>
        <w:autoSpaceDN/>
        <w:bidi w:val="0"/>
        <w:adjustRightInd/>
        <w:snapToGrid/>
        <w:spacing w:line="40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lang w:val="zh-CN"/>
        </w:rPr>
      </w:pPr>
      <w:r>
        <w:rPr>
          <w:rFonts w:hint="eastAsia" w:ascii="方正仿宋简体" w:hAnsi="方正仿宋简体" w:eastAsia="方正仿宋简体" w:cs="方正仿宋简体"/>
          <w:color w:val="auto"/>
          <w:sz w:val="28"/>
          <w:szCs w:val="28"/>
          <w:highlight w:val="none"/>
          <w:lang w:val="zh-CN"/>
        </w:rPr>
        <w:t>如果发生坠落事故，作业人员应能得到及时的救助或者进行自救，以防止悬空时间过长造成窒息伤害。应对援救人员、梯子、高空升降机或其他援救设备的可用性进行评估。</w:t>
      </w:r>
    </w:p>
    <w:p>
      <w:pPr>
        <w:keepNext w:val="0"/>
        <w:keepLines w:val="0"/>
        <w:pageBreakBefore w:val="0"/>
        <w:kinsoku/>
        <w:wordWrap/>
        <w:overflowPunct/>
        <w:topLinePunct w:val="0"/>
        <w:autoSpaceDE/>
        <w:autoSpaceDN/>
        <w:bidi w:val="0"/>
        <w:adjustRightInd/>
        <w:snapToGrid/>
        <w:spacing w:line="560" w:lineRule="exact"/>
        <w:jc w:val="left"/>
        <w:textAlignment w:val="auto"/>
        <w:outlineLvl w:val="9"/>
        <w:rPr>
          <w:rFonts w:hint="eastAsia" w:ascii="宋体" w:hAnsi="宋体"/>
          <w:color w:val="auto"/>
          <w:sz w:val="32"/>
          <w:szCs w:val="32"/>
          <w:highlight w:val="none"/>
        </w:rPr>
      </w:pPr>
      <w:r>
        <w:rPr>
          <w:rFonts w:ascii="宋体" w:hAnsi="宋体" w:cs="Arial"/>
          <w:b/>
          <w:bCs/>
          <w:color w:val="auto"/>
          <w:kern w:val="44"/>
          <w:sz w:val="32"/>
          <w:szCs w:val="32"/>
          <w:highlight w:val="none"/>
        </w:rPr>
        <w:br w:type="page"/>
      </w:r>
      <w:r>
        <w:rPr>
          <w:rFonts w:hint="eastAsia" w:ascii="方正黑体简体" w:hAnsi="方正黑体简体" w:eastAsia="方正黑体简体" w:cs="方正黑体简体"/>
          <w:color w:val="auto"/>
          <w:sz w:val="32"/>
          <w:szCs w:val="32"/>
          <w:highlight w:val="none"/>
        </w:rPr>
        <w:t>附件3</w:t>
      </w:r>
    </w:p>
    <w:p>
      <w:pPr>
        <w:spacing w:line="360" w:lineRule="auto"/>
        <w:jc w:val="center"/>
        <w:rPr>
          <w:rFonts w:hint="eastAsia" w:ascii="宋体" w:hAnsi="宋体"/>
          <w:b/>
          <w:color w:val="auto"/>
          <w:sz w:val="32"/>
          <w:szCs w:val="32"/>
          <w:highlight w:val="none"/>
        </w:rPr>
      </w:pPr>
      <w:r>
        <w:rPr>
          <w:rFonts w:hint="eastAsia" w:ascii="方正小标宋简体" w:hAnsi="方正小标宋简体" w:eastAsia="方正小标宋简体" w:cs="方正小标宋简体"/>
          <w:b w:val="0"/>
          <w:bCs/>
          <w:color w:val="auto"/>
          <w:sz w:val="36"/>
          <w:szCs w:val="36"/>
          <w:highlight w:val="none"/>
        </w:rPr>
        <w:t>坠落保护系统检查清单</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1.锚固点</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1.1</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对于需要坠落保护或限位设施的每项任务，作业人员是否知道合适的锚固点？</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1.2</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所有锚固点是否能够支撑至少对于固定到上面的每个人各 2268kg的负荷；或者，整体坠落保护设施是否具有至少2.0的安全系数，并经过了合格人员的监督？</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1.3</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用于全身安全带的所有锚固点是否超过位于肩部高度，用于自行自动收缩式吊绳系统的锚固点是否超过位于头顶？</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1.4</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锚固点是否独立于工作表面之外？</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1.5</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作业人员是否能从一个位置移动到另一个位置，或者爬上爬下，而不会有坠落机会？</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1.6</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如果吊绳、安全绳、或自行自动收缩式吊绳没有永久性地固定到高空作业工人区域的锚固点上，那么在垂直和水平移动期间第一个向上的人员或最后一个向下的人员是否能受到保护？</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2.垂直吊绳</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2.1</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吊绳是否按期校验和测试？是否处在有效期内？</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2.2</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吊绳是否具有保护磨损、腐蚀或切割边缘的措施？</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2.3</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当作业人员连接到吊绳上或者从它上面脱开时，系统能否提供坠落保护？</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2.4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吊绳是否正确布置，使得作业人员绝对不会需要握住它来进行平衡？</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2.5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与水平段综合在一起的垂直段能否提供连续坠落保护？</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3</w:t>
      </w:r>
      <w:r>
        <w:rPr>
          <w:rFonts w:hint="eastAsia" w:ascii="方正仿宋简体" w:hAnsi="方正仿宋简体" w:eastAsia="方正仿宋简体" w:cs="方正仿宋简体"/>
          <w:b/>
          <w:color w:val="auto"/>
          <w:kern w:val="0"/>
          <w:sz w:val="28"/>
          <w:szCs w:val="28"/>
          <w:highlight w:val="none"/>
          <w:lang w:val="en-US" w:eastAsia="zh-CN"/>
        </w:rPr>
        <w:t>.</w:t>
      </w:r>
      <w:r>
        <w:rPr>
          <w:rFonts w:hint="eastAsia" w:ascii="方正仿宋简体" w:hAnsi="方正仿宋简体" w:eastAsia="方正仿宋简体" w:cs="方正仿宋简体"/>
          <w:b/>
          <w:color w:val="auto"/>
          <w:kern w:val="0"/>
          <w:sz w:val="28"/>
          <w:szCs w:val="28"/>
          <w:highlight w:val="none"/>
        </w:rPr>
        <w:t>水平吊绳</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3.1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整个水平吊绳是否是由合格人员设计和批准的？</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3.2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用于固定吊绳的锚固点是否是专门为水平吊绳而设计的，并接受了评估？</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3.3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用在水平吊绳上的五金件是否由钢制成？</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3.4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绳子或钢丝绳是否没有磨损或腐蚀迹象？</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3.5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绳子或钢丝绳是否具有要求的初始松驰量？</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3.6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作业人员是否获得关于潜在坠落危害的警告通知？</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4.抓绳器</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4.1</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抓绳器是否能与将要安装或操作的吊绳相匹配？</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4.2</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 xml:space="preserve"> 抓绳器是否处于良好的工作状态？</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4.3</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抓绳器是否配备有切换杠杆，这允许它变成吊绳上的一个固定锚杆？</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4.4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抓绳器是否配备有锁定机构；它能防止装置的意外打开和随后从吊绳上的脱离？</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4.5</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 xml:space="preserve"> 是否合适地标注出抓绳器的“向上”方向，使得设备能够被正确地固定到线路上？</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4.6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抓绳器是否被包括在常规维护程序中？</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5.安全绳</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5.1</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安全绳的长度是否短到符合需要；而且在任何情况下，其长度都不会大于1.8米？</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5.2</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当希望能够收回安全绳的松驰部分时，是否使用了人工可调的安全绳？</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 xml:space="preserve">5.3 </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如果安全绳带有缓冲器，使用者能否轻易看出缓冲器曾经被伸展过？</w:t>
      </w:r>
    </w:p>
    <w:p>
      <w:pPr>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color w:val="auto"/>
          <w:kern w:val="0"/>
          <w:sz w:val="28"/>
          <w:szCs w:val="28"/>
          <w:highlight w:val="none"/>
        </w:rPr>
        <w:t>5.4</w:t>
      </w:r>
      <w:r>
        <w:rPr>
          <w:rFonts w:hint="eastAsia" w:ascii="方正仿宋简体" w:hAnsi="方正仿宋简体" w:eastAsia="方正仿宋简体" w:cs="方正仿宋简体"/>
          <w:color w:val="auto"/>
          <w:kern w:val="0"/>
          <w:sz w:val="28"/>
          <w:szCs w:val="28"/>
          <w:highlight w:val="none"/>
          <w:lang w:val="en-US" w:eastAsia="zh-CN"/>
        </w:rPr>
        <w:t xml:space="preserve">  </w:t>
      </w:r>
      <w:r>
        <w:rPr>
          <w:rFonts w:hint="eastAsia" w:ascii="方正仿宋简体" w:hAnsi="方正仿宋简体" w:eastAsia="方正仿宋简体" w:cs="方正仿宋简体"/>
          <w:color w:val="auto"/>
          <w:kern w:val="0"/>
          <w:sz w:val="28"/>
          <w:szCs w:val="28"/>
          <w:highlight w:val="none"/>
        </w:rPr>
        <w:t>是否需要双重安全绳？</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6.自动收缩式救生索</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6.1</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工人是否受过合适的培训，能正确使用自动收缩式救生索？</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6.2</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自动收缩式救生索是否处于常规维护和检验程序之下？</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6.3</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绳子端部是否合适地穿绳眼？（套环眼垫，回复编织环眼，和楔紧装配／套环？）</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7.弹簧钩</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7.1</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是否已经使用了双重锁定弹簧钩？</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7.2</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弹簧钩是否按照弹簧钩制造商批准的方式固定到D形环、吊环螺栓或其它五金件上？</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7.3</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是否定期检验弹簧钩有无应力、磨损、扭曲和弹簧故障？</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7.4</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弹簧钩布置是否正确，保证它们绝对不会互相连接在一起（不得将它们互相连接在一起）？</w:t>
      </w:r>
    </w:p>
    <w:p>
      <w:pPr>
        <w:keepNext w:val="0"/>
        <w:keepLines w:val="0"/>
        <w:pageBreakBefore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kern w:val="0"/>
          <w:sz w:val="28"/>
          <w:szCs w:val="28"/>
          <w:highlight w:val="none"/>
        </w:rPr>
      </w:pPr>
      <w:r>
        <w:rPr>
          <w:rFonts w:hint="eastAsia" w:ascii="方正仿宋简体" w:hAnsi="方正仿宋简体" w:eastAsia="方正仿宋简体" w:cs="方正仿宋简体"/>
          <w:b/>
          <w:color w:val="auto"/>
          <w:kern w:val="0"/>
          <w:sz w:val="28"/>
          <w:szCs w:val="28"/>
          <w:highlight w:val="none"/>
        </w:rPr>
        <w:t>8.全身式安全带</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8.1</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为具体作业而选择的全身式安全带是否配备所有必要的附着点（用于坠落保护，工作定位，下降控制，营救，或梯子坠落保护系统）？</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8.2</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是否定期检查全身式安全带有无磨损、磨蚀、断裂的缝合？ </w:t>
      </w:r>
    </w:p>
    <w:p>
      <w:pPr>
        <w:pStyle w:val="90"/>
        <w:keepNext w:val="0"/>
        <w:keepLines w:val="0"/>
        <w:pageBreakBefore w:val="0"/>
        <w:kinsoku/>
        <w:wordWrap/>
        <w:overflowPunct/>
        <w:topLinePunct w:val="0"/>
        <w:autoSpaceDE/>
        <w:autoSpaceDN/>
        <w:bidi w:val="0"/>
        <w:adjustRightInd/>
        <w:snapToGrid/>
        <w:spacing w:after="0" w:line="560" w:lineRule="exact"/>
        <w:ind w:left="0"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8.3</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 xml:space="preserve"> 作业人员是否接受过关于全身式安全带／安全带使用和保管的培训？</w:t>
      </w:r>
    </w:p>
    <w:p>
      <w:pPr>
        <w:pStyle w:val="19"/>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方正黑体简体" w:hAnsi="方正黑体简体" w:eastAsia="方正黑体简体" w:cs="方正黑体简体"/>
          <w:color w:val="auto"/>
          <w:sz w:val="32"/>
          <w:szCs w:val="32"/>
          <w:highlight w:val="none"/>
        </w:rPr>
      </w:pPr>
      <w:r>
        <w:rPr>
          <w:rFonts w:hint="eastAsia" w:ascii="方正仿宋简体" w:hAnsi="方正仿宋简体" w:eastAsia="方正仿宋简体" w:cs="方正仿宋简体"/>
          <w:color w:val="auto"/>
          <w:sz w:val="28"/>
          <w:szCs w:val="28"/>
          <w:highlight w:val="none"/>
        </w:rPr>
        <w:br w:type="page"/>
      </w:r>
      <w:r>
        <w:rPr>
          <w:rFonts w:hint="eastAsia" w:ascii="方正黑体简体" w:hAnsi="方正黑体简体" w:eastAsia="方正黑体简体" w:cs="方正黑体简体"/>
          <w:color w:val="auto"/>
          <w:sz w:val="32"/>
          <w:szCs w:val="32"/>
          <w:highlight w:val="none"/>
        </w:rPr>
        <w:t>附件4</w:t>
      </w:r>
    </w:p>
    <w:p>
      <w:pPr>
        <w:pStyle w:val="19"/>
        <w:keepNext w:val="0"/>
        <w:keepLines w:val="0"/>
        <w:pageBreakBefore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方正小标宋简体" w:hAnsi="方正小标宋简体" w:eastAsia="方正小标宋简体" w:cs="方正小标宋简体"/>
          <w:b w:val="0"/>
          <w:bCs/>
          <w:color w:val="auto"/>
          <w:sz w:val="36"/>
          <w:szCs w:val="36"/>
          <w:highlight w:val="none"/>
        </w:rPr>
      </w:pPr>
      <w:r>
        <w:rPr>
          <w:rFonts w:hint="eastAsia" w:ascii="方正小标宋简体" w:hAnsi="方正小标宋简体" w:eastAsia="方正小标宋简体" w:cs="方正小标宋简体"/>
          <w:b w:val="0"/>
          <w:bCs/>
          <w:color w:val="auto"/>
          <w:sz w:val="36"/>
          <w:szCs w:val="36"/>
          <w:highlight w:val="none"/>
        </w:rPr>
        <w:t>全身式安全带检查清单</w:t>
      </w:r>
    </w:p>
    <w:p>
      <w:pPr>
        <w:spacing w:line="360" w:lineRule="auto"/>
        <w:jc w:val="center"/>
        <w:rPr>
          <w:rFonts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方正仿宋简体" w:hAnsi="方正仿宋简体" w:eastAsia="方正仿宋简体" w:cs="方正仿宋简体"/>
          <w:color w:val="auto"/>
          <w:sz w:val="30"/>
          <w:szCs w:val="30"/>
          <w:highlight w:val="none"/>
          <w:lang w:val="en-US" w:eastAsia="zh-CN"/>
        </w:rPr>
        <w:t xml:space="preserve">  </w:t>
      </w:r>
      <w:r>
        <w:rPr>
          <w:rFonts w:hint="eastAsia" w:ascii="方正仿宋简体" w:hAnsi="方正仿宋简体" w:eastAsia="方正仿宋简体" w:cs="方正仿宋简体"/>
          <w:color w:val="auto"/>
          <w:sz w:val="30"/>
          <w:szCs w:val="30"/>
          <w:highlight w:val="none"/>
        </w:rPr>
        <w:t>编号：</w:t>
      </w:r>
    </w:p>
    <w:tbl>
      <w:tblPr>
        <w:tblStyle w:val="51"/>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2670"/>
        <w:gridCol w:w="1623"/>
        <w:gridCol w:w="834"/>
        <w:gridCol w:w="976"/>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作业项目</w:t>
            </w:r>
          </w:p>
        </w:tc>
        <w:tc>
          <w:tcPr>
            <w:tcW w:w="2670"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162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许可证编号</w:t>
            </w:r>
          </w:p>
        </w:tc>
        <w:tc>
          <w:tcPr>
            <w:tcW w:w="2764" w:type="dxa"/>
            <w:gridSpan w:val="3"/>
            <w:vAlign w:val="center"/>
          </w:tcPr>
          <w:p>
            <w:pPr>
              <w:jc w:val="center"/>
              <w:rPr>
                <w:rFonts w:hint="eastAsia" w:ascii="方正仿宋简体" w:hAnsi="方正仿宋简体" w:eastAsia="方正仿宋简体" w:cs="方正仿宋简体"/>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检查人</w:t>
            </w:r>
          </w:p>
        </w:tc>
        <w:tc>
          <w:tcPr>
            <w:tcW w:w="2670"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162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检查日期</w:t>
            </w:r>
          </w:p>
        </w:tc>
        <w:tc>
          <w:tcPr>
            <w:tcW w:w="2764" w:type="dxa"/>
            <w:gridSpan w:val="3"/>
            <w:vAlign w:val="center"/>
          </w:tcPr>
          <w:p>
            <w:pPr>
              <w:jc w:val="center"/>
              <w:rPr>
                <w:rFonts w:hint="eastAsia" w:ascii="方正仿宋简体" w:hAnsi="方正仿宋简体" w:eastAsia="方正仿宋简体" w:cs="方正仿宋简体"/>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部件</w:t>
            </w:r>
          </w:p>
        </w:tc>
        <w:tc>
          <w:tcPr>
            <w:tcW w:w="5127" w:type="dxa"/>
            <w:gridSpan w:val="3"/>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检查内容</w:t>
            </w:r>
          </w:p>
        </w:tc>
        <w:tc>
          <w:tcPr>
            <w:tcW w:w="976"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是</w:t>
            </w:r>
          </w:p>
        </w:tc>
        <w:tc>
          <w:tcPr>
            <w:tcW w:w="954"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吊带安全绳</w:t>
            </w:r>
          </w:p>
        </w:tc>
        <w:tc>
          <w:tcPr>
            <w:tcW w:w="5127" w:type="dxa"/>
            <w:gridSpan w:val="3"/>
            <w:vAlign w:val="center"/>
          </w:tcPr>
          <w:p>
            <w:pPr>
              <w:pStyle w:val="14"/>
              <w:jc w:val="center"/>
              <w:rPr>
                <w:rFonts w:hint="eastAsia" w:ascii="方正仿宋简体" w:hAnsi="方正仿宋简体" w:eastAsia="方正仿宋简体" w:cs="方正仿宋简体"/>
                <w:bCs/>
                <w:color w:val="auto"/>
                <w:sz w:val="28"/>
                <w:szCs w:val="28"/>
                <w:highlight w:val="none"/>
                <w:lang w:eastAsia="zh-CN"/>
              </w:rPr>
            </w:pPr>
            <w:r>
              <w:rPr>
                <w:rFonts w:hint="eastAsia" w:ascii="方正仿宋简体" w:hAnsi="方正仿宋简体" w:eastAsia="方正仿宋简体" w:cs="方正仿宋简体"/>
                <w:bCs/>
                <w:color w:val="auto"/>
                <w:sz w:val="28"/>
                <w:szCs w:val="28"/>
                <w:highlight w:val="none"/>
                <w:lang w:eastAsia="zh-CN"/>
              </w:rPr>
              <w:t>被切割或破裂现象</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摩擦损坏，特别是有金属件连接的地方</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过度拉伸</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由高温、腐蚀或溶剂引起的损坏</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由腐烂、发霉和紫外线的照射引起的损坏</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自动锁扣</w:t>
            </w: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锁或钩的变形</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破裂或锻件卷曲</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磨损</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扳扣能自由活动</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弹簧的断裂、疲劳、易位</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污物（如锈蚀)</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D形环</w:t>
            </w: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D形环没有变形和损坏</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破裂</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锻件的搭接是否有问题</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bCs/>
                <w:color w:val="auto"/>
                <w:sz w:val="28"/>
                <w:szCs w:val="28"/>
                <w:highlight w:val="none"/>
              </w:rPr>
              <w:t>扣子和调节件</w:t>
            </w: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扳扣完好</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螺纹磨损、破损</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安全绳</w:t>
            </w: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磨损</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过度拉伸</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exact"/>
          <w:jc w:val="center"/>
        </w:trPr>
        <w:tc>
          <w:tcPr>
            <w:tcW w:w="1863" w:type="dxa"/>
            <w:vAlign w:val="center"/>
          </w:tcPr>
          <w:p>
            <w:pPr>
              <w:jc w:val="center"/>
              <w:rPr>
                <w:rFonts w:hint="eastAsia" w:ascii="方正仿宋简体" w:hAnsi="方正仿宋简体" w:eastAsia="方正仿宋简体" w:cs="方正仿宋简体"/>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高温、腐蚀或溶剂接触而导致的螺纹损坏</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exact"/>
          <w:jc w:val="center"/>
        </w:trPr>
        <w:tc>
          <w:tcPr>
            <w:tcW w:w="1863" w:type="dxa"/>
            <w:vAlign w:val="center"/>
          </w:tcPr>
          <w:p>
            <w:pPr>
              <w:jc w:val="center"/>
              <w:rPr>
                <w:rFonts w:hint="eastAsia" w:ascii="方正仿宋简体" w:hAnsi="方正仿宋简体" w:eastAsia="方正仿宋简体" w:cs="方正仿宋简体"/>
                <w:color w:val="auto"/>
                <w:sz w:val="28"/>
                <w:szCs w:val="28"/>
                <w:highlight w:val="none"/>
              </w:rPr>
            </w:pPr>
          </w:p>
        </w:tc>
        <w:tc>
          <w:tcPr>
            <w:tcW w:w="5127" w:type="dxa"/>
            <w:gridSpan w:val="3"/>
            <w:vAlign w:val="center"/>
          </w:tcPr>
          <w:p>
            <w:pPr>
              <w:jc w:val="center"/>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发霉和紫外线的照射引起的损坏</w:t>
            </w:r>
          </w:p>
        </w:tc>
        <w:tc>
          <w:tcPr>
            <w:tcW w:w="976" w:type="dxa"/>
            <w:vAlign w:val="center"/>
          </w:tcPr>
          <w:p>
            <w:pPr>
              <w:jc w:val="center"/>
              <w:rPr>
                <w:rFonts w:hint="eastAsia" w:ascii="方正仿宋简体" w:hAnsi="方正仿宋简体" w:eastAsia="方正仿宋简体" w:cs="方正仿宋简体"/>
                <w:color w:val="auto"/>
                <w:sz w:val="28"/>
                <w:szCs w:val="28"/>
                <w:highlight w:val="none"/>
              </w:rPr>
            </w:pPr>
          </w:p>
        </w:tc>
        <w:tc>
          <w:tcPr>
            <w:tcW w:w="954" w:type="dxa"/>
            <w:vAlign w:val="center"/>
          </w:tcPr>
          <w:p>
            <w:pPr>
              <w:jc w:val="center"/>
              <w:rPr>
                <w:rFonts w:hint="eastAsia" w:ascii="方正仿宋简体" w:hAnsi="方正仿宋简体" w:eastAsia="方正仿宋简体" w:cs="方正仿宋简体"/>
                <w:color w:val="auto"/>
                <w:sz w:val="28"/>
                <w:szCs w:val="28"/>
                <w:highlight w:val="none"/>
              </w:rPr>
            </w:pPr>
          </w:p>
        </w:tc>
      </w:tr>
    </w:tbl>
    <w:p>
      <w:pPr>
        <w:spacing w:line="460" w:lineRule="exact"/>
        <w:jc w:val="both"/>
        <w:outlineLvl w:val="1"/>
        <w:rPr>
          <w:rFonts w:hint="eastAsia"/>
          <w:color w:val="auto"/>
          <w:highlight w:val="none"/>
        </w:rPr>
      </w:pPr>
    </w:p>
    <w:p>
      <w:pPr>
        <w:spacing w:line="640" w:lineRule="exact"/>
        <w:jc w:val="both"/>
        <w:outlineLvl w:val="1"/>
        <w:rPr>
          <w:rFonts w:hint="eastAsia" w:ascii="方正黑体简体" w:hAnsi="方正黑体简体" w:eastAsia="方正黑体简体" w:cs="方正黑体简体"/>
          <w:bCs/>
          <w:color w:val="auto"/>
          <w:sz w:val="32"/>
          <w:szCs w:val="32"/>
          <w:highlight w:val="none"/>
          <w:lang w:val="en-US" w:eastAsia="zh-CN"/>
        </w:rPr>
      </w:pPr>
      <w:bookmarkStart w:id="902" w:name="_Toc6280"/>
      <w:bookmarkStart w:id="903" w:name="_Toc27054"/>
      <w:bookmarkStart w:id="904" w:name="_Toc1545"/>
      <w:r>
        <w:rPr>
          <w:rFonts w:hint="eastAsia" w:ascii="方正黑体简体" w:hAnsi="方正黑体简体" w:eastAsia="方正黑体简体" w:cs="方正黑体简体"/>
          <w:bCs/>
          <w:color w:val="auto"/>
          <w:sz w:val="32"/>
          <w:szCs w:val="32"/>
          <w:highlight w:val="none"/>
          <w:lang w:val="en-US" w:eastAsia="zh-CN"/>
        </w:rPr>
        <w:t>附件6</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小标宋简体" w:hAnsi="华文中宋" w:eastAsia="方正小标宋简体"/>
          <w:b w:val="0"/>
          <w:bCs/>
          <w:color w:val="auto"/>
          <w:sz w:val="36"/>
          <w:szCs w:val="36"/>
          <w:highlight w:val="none"/>
        </w:rPr>
      </w:pPr>
      <w:r>
        <w:rPr>
          <w:rFonts w:hint="eastAsia" w:ascii="方正小标宋简体" w:hAnsi="华文中宋" w:eastAsia="方正小标宋简体"/>
          <w:b w:val="0"/>
          <w:bCs/>
          <w:color w:val="auto"/>
          <w:sz w:val="36"/>
          <w:szCs w:val="36"/>
          <w:highlight w:val="none"/>
        </w:rPr>
        <w:t>临时用电作业安全管理规范</w:t>
      </w:r>
      <w:bookmarkEnd w:id="902"/>
      <w:bookmarkEnd w:id="903"/>
      <w:bookmarkEnd w:id="904"/>
    </w:p>
    <w:p>
      <w:pPr>
        <w:jc w:val="center"/>
        <w:rPr>
          <w:rFonts w:hint="eastAsia" w:ascii="方正小标宋简体" w:hAnsi="宋体" w:eastAsia="方正小标宋简体"/>
          <w:color w:val="auto"/>
          <w:sz w:val="32"/>
          <w:szCs w:val="32"/>
          <w:highlight w:val="none"/>
        </w:rPr>
      </w:pP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规范西南油气田公司（以下简称公司）生产或施工作业区域范围内临时用电安全管理，确保生产场所临时用电作业安全，根据《中国石油天然气集团公司临时用电作业安全管理办法》规范，结合公司生产实际，特制定本规范。</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临时用电作业是指在施工、生产、检维修等作业过程中，临时使用非标准配置380V及以下的低压电力系统的作业。超过6个月的用电，不能按照本规范进行管理，应按照相关工程设计规范配置线路。</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第三条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非标准配置的临时用电线路是指除按标准成套配置的，有插头、连线、插座的专用接线排和接线盘以外的，所有其它用于临时性用电的电气线路，包括电缆、电线、配电箱、开关箱、电气开关、设备等。</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
          <w:color w:val="auto"/>
          <w:sz w:val="28"/>
          <w:szCs w:val="28"/>
          <w:highlight w:val="none"/>
        </w:rPr>
      </w:pPr>
      <w:r>
        <w:rPr>
          <w:rFonts w:hint="eastAsia" w:ascii="方正仿宋简体" w:hAnsi="方正仿宋简体" w:eastAsia="方正仿宋简体" w:cs="方正仿宋简体"/>
          <w:b/>
          <w:color w:val="auto"/>
          <w:sz w:val="28"/>
          <w:szCs w:val="28"/>
          <w:highlight w:val="none"/>
        </w:rPr>
        <w:t xml:space="preserve">第四条 </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公司临时用电作业按《西南油气田公司作业许可管理规定》实行作业许可管理，并办理临时用电申请单（附件1）。</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临时用电作业人员</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临时用电作业人员持电工有效资质证上岗；持有经审批有效的作业许可证、《西南油气田公司临时用电申请单》和相关工作前安全分析表进行临时用电作业并应:</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（一）了解作业的内容、地点、时间、要求，熟知作业过程中的危害及控制措施，并严格按照许可证规定的内容进行作业；</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（二）在安全措施未落实时，有权拒绝作业；</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（三）作业过程中如发现情况异常或紧急情况，应告知作业申请人，并迅速撤离现场；</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（四）掌握正确使用个人防护装备的方法。</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第六条</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rPr>
        <w:t>临时用电应执行相关的电气安全管理、设计、安装、验收等标准规范，实行作业许可，办理《西南油气田公司临用电申请单》。</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第七条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安装、维修、拆除临时用电线路的作业，应由临时用电作业人员进行，作业时</w:t>
      </w:r>
      <w:r>
        <w:rPr>
          <w:rFonts w:hint="eastAsia" w:ascii="方正仿宋简体" w:hAnsi="方正仿宋简体" w:eastAsia="方正仿宋简体" w:cs="方正仿宋简体"/>
          <w:bCs/>
          <w:color w:val="auto"/>
          <w:sz w:val="28"/>
          <w:szCs w:val="28"/>
          <w:highlight w:val="none"/>
        </w:rPr>
        <w:t>必须按规定佩戴个人防护装备。</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第八条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在开关上接引、拆除临时用电线路时，其上级开关应断电上锁挂牌。</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第九条</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rPr>
        <w:t>潮湿区域、户外的临时用电设备及临时建筑内的电源插座应安装漏电保护器，在每次使用之前应利用试验按钮进行测试。</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各类移动电源及外部自备电源，不得接入电网。动力和照明线路应分</w:t>
      </w:r>
      <w:r>
        <w:rPr>
          <w:rFonts w:hint="eastAsia" w:ascii="方正仿宋简体" w:hAnsi="方正仿宋简体" w:eastAsia="方正仿宋简体" w:cs="方正仿宋简体"/>
          <w:bCs/>
          <w:color w:val="auto"/>
          <w:sz w:val="28"/>
          <w:szCs w:val="28"/>
          <w:highlight w:val="none"/>
        </w:rPr>
        <w:t>路设置。</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第十一条</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rPr>
        <w:t>临时用电单位不得擅自增加用电负荷，变更用电地点、用途，</w:t>
      </w:r>
      <w:r>
        <w:rPr>
          <w:rFonts w:hint="eastAsia" w:ascii="方正仿宋简体" w:hAnsi="方正仿宋简体" w:eastAsia="方正仿宋简体" w:cs="方正仿宋简体"/>
          <w:bCs/>
          <w:color w:val="auto"/>
          <w:sz w:val="28"/>
          <w:szCs w:val="28"/>
          <w:highlight w:val="none"/>
        </w:rPr>
        <w:t>一旦发生此类现象，生产单位应立即停止供电。</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highlight w:val="none"/>
        </w:rPr>
        <w:t xml:space="preserve">第十二条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在运行的生产装置、罐区和具有火灾爆炸危险场所内使用临时电源时，还应按照动火作业进行管理。</w:t>
      </w:r>
      <w:r>
        <w:rPr>
          <w:rFonts w:hint="eastAsia" w:ascii="方正仿宋简体" w:hAnsi="方正仿宋简体" w:eastAsia="方正仿宋简体" w:cs="方正仿宋简体"/>
          <w:bCs/>
          <w:color w:val="auto"/>
          <w:sz w:val="28"/>
          <w:szCs w:val="28"/>
          <w:highlight w:val="none"/>
        </w:rPr>
        <w:t>临时用电线路和电气设备的设计与选型应满足爆炸危险区域的分类要求。</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bookmarkStart w:id="905" w:name="_Toc199128593"/>
      <w:r>
        <w:rPr>
          <w:rFonts w:hint="eastAsia" w:ascii="方正仿宋简体" w:hAnsi="方正仿宋简体" w:eastAsia="方正仿宋简体" w:cs="方正仿宋简体"/>
          <w:b/>
          <w:bCs/>
          <w:color w:val="auto"/>
          <w:sz w:val="28"/>
          <w:szCs w:val="28"/>
          <w:highlight w:val="none"/>
        </w:rPr>
        <w:t>第十三条</w:t>
      </w:r>
      <w:r>
        <w:rPr>
          <w:rFonts w:hint="eastAsia" w:ascii="方正仿宋简体" w:hAnsi="方正仿宋简体" w:eastAsia="方正仿宋简体" w:cs="方正仿宋简体"/>
          <w:color w:val="auto"/>
          <w:sz w:val="28"/>
          <w:szCs w:val="28"/>
          <w:highlight w:val="none"/>
          <w:lang w:val="zh-CN"/>
        </w:rPr>
        <w:t xml:space="preserve"> </w:t>
      </w:r>
      <w:bookmarkStart w:id="906" w:name="_Toc198692151"/>
      <w:bookmarkStart w:id="907" w:name="_Toc198702118"/>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bCs/>
          <w:color w:val="auto"/>
          <w:sz w:val="28"/>
          <w:szCs w:val="28"/>
          <w:highlight w:val="none"/>
        </w:rPr>
        <w:t>施工组织设计</w:t>
      </w:r>
      <w:bookmarkEnd w:id="905"/>
      <w:bookmarkEnd w:id="906"/>
      <w:bookmarkEnd w:id="90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Cs/>
          <w:color w:val="auto"/>
          <w:sz w:val="28"/>
          <w:szCs w:val="28"/>
          <w:highlight w:val="none"/>
        </w:rPr>
        <w:t>临时用电设备在5台以上(含5台)或设备总容量在50kW以上(含50kW)的，应专门进行临时用电施工组织设计。临时用电施工组织设计应包括以下内容：</w:t>
      </w:r>
    </w:p>
    <w:p>
      <w:pPr>
        <w:keepNext w:val="0"/>
        <w:keepLines w:val="0"/>
        <w:pageBreakBefore w:val="0"/>
        <w:widowControl w:val="0"/>
        <w:kinsoku/>
        <w:wordWrap/>
        <w:overflowPunct/>
        <w:topLinePunct w:val="0"/>
        <w:autoSpaceDE/>
        <w:autoSpaceDN/>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（一）现场勘测。</w:t>
      </w:r>
    </w:p>
    <w:p>
      <w:pPr>
        <w:keepNext w:val="0"/>
        <w:keepLines w:val="0"/>
        <w:pageBreakBefore w:val="0"/>
        <w:widowControl w:val="0"/>
        <w:kinsoku/>
        <w:wordWrap/>
        <w:overflowPunct/>
        <w:topLinePunct w:val="0"/>
        <w:autoSpaceDE/>
        <w:autoSpaceDN/>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（二）确定电源进线，变电所或配电室、配电装置、用电设备位置及线路走向。</w:t>
      </w:r>
    </w:p>
    <w:p>
      <w:pPr>
        <w:keepNext w:val="0"/>
        <w:keepLines w:val="0"/>
        <w:pageBreakBefore w:val="0"/>
        <w:widowControl w:val="0"/>
        <w:kinsoku/>
        <w:wordWrap/>
        <w:overflowPunct/>
        <w:topLinePunct w:val="0"/>
        <w:autoSpaceDE/>
        <w:autoSpaceDN/>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（三）负荷计算。</w:t>
      </w:r>
    </w:p>
    <w:p>
      <w:pPr>
        <w:keepNext w:val="0"/>
        <w:keepLines w:val="0"/>
        <w:pageBreakBefore w:val="0"/>
        <w:widowControl w:val="0"/>
        <w:kinsoku/>
        <w:wordWrap/>
        <w:overflowPunct/>
        <w:topLinePunct w:val="0"/>
        <w:autoSpaceDE/>
        <w:autoSpaceDN/>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（四）选择变压器容量、导线截面、电器的类型和规格。</w:t>
      </w:r>
    </w:p>
    <w:p>
      <w:pPr>
        <w:keepNext w:val="0"/>
        <w:keepLines w:val="0"/>
        <w:pageBreakBefore w:val="0"/>
        <w:widowControl w:val="0"/>
        <w:kinsoku/>
        <w:wordWrap/>
        <w:overflowPunct/>
        <w:topLinePunct w:val="0"/>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（五）设计配电系统，绘制临时用电工程图纸，主要包括用电工程总平面图、配电装置布置图、配电系统接线图、接地装置设计图。</w:t>
      </w:r>
    </w:p>
    <w:p>
      <w:pPr>
        <w:keepNext w:val="0"/>
        <w:keepLines w:val="0"/>
        <w:pageBreakBefore w:val="0"/>
        <w:widowControl w:val="0"/>
        <w:kinsoku/>
        <w:wordWrap/>
        <w:overflowPunct/>
        <w:topLinePunct w:val="0"/>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（六）确定个人防护装备。</w:t>
      </w:r>
    </w:p>
    <w:p>
      <w:pPr>
        <w:keepNext w:val="0"/>
        <w:keepLines w:val="0"/>
        <w:pageBreakBefore w:val="0"/>
        <w:widowControl w:val="0"/>
        <w:kinsoku/>
        <w:wordWrap/>
        <w:overflowPunct/>
        <w:topLinePunct w:val="0"/>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（七）制定临时用电线路设备接线、拆除方案。</w:t>
      </w:r>
    </w:p>
    <w:p>
      <w:pPr>
        <w:keepNext w:val="0"/>
        <w:keepLines w:val="0"/>
        <w:pageBreakBefore w:val="0"/>
        <w:widowControl w:val="0"/>
        <w:kinsoku/>
        <w:wordWrap/>
        <w:overflowPunct/>
        <w:topLinePunct w:val="0"/>
        <w:bidi w:val="0"/>
        <w:adjustRightInd/>
        <w:snapToGrid/>
        <w:spacing w:line="560" w:lineRule="exact"/>
        <w:ind w:right="-105" w:rightChars="-50"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Cs/>
          <w:color w:val="auto"/>
          <w:sz w:val="28"/>
          <w:szCs w:val="28"/>
          <w:highlight w:val="none"/>
        </w:rPr>
        <w:t>（八）制定安全用电技术措施和电气防火、防爆措施。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bookmarkStart w:id="908" w:name="_Toc199128594"/>
      <w:r>
        <w:rPr>
          <w:rFonts w:hint="eastAsia" w:ascii="方正仿宋简体" w:hAnsi="方正仿宋简体" w:eastAsia="方正仿宋简体" w:cs="方正仿宋简体"/>
          <w:b/>
          <w:bCs/>
          <w:color w:val="auto"/>
          <w:sz w:val="28"/>
          <w:szCs w:val="28"/>
          <w:highlight w:val="none"/>
        </w:rPr>
        <w:t xml:space="preserve">第十四条 </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架空和地面走线</w:t>
      </w:r>
      <w:bookmarkEnd w:id="908"/>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使用周期在1个月以上的临时用电线路，应采用架空方式安装，并满足以下要求：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（一）架空线路应架设在专用电杆或支架上，严禁架设在树木、脚手架及临时设施上。架空电杆和支架应固定牢固，防止受风或者其它原因倾覆造成事故。</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Cs/>
          <w:color w:val="auto"/>
          <w:sz w:val="28"/>
          <w:szCs w:val="28"/>
          <w:highlight w:val="none"/>
        </w:rPr>
        <w:t>（二）在架空线路上不得进行接头连接，如果必须接头，则需进行结构支撑，确保接头不承受拉、张力。</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（三）临时架空线最大弧垂与地面距离，在施工现场不低于2.5米，穿越机动车道不低于5米。</w:t>
      </w:r>
    </w:p>
    <w:p>
      <w:pPr>
        <w:keepNext w:val="0"/>
        <w:keepLines w:val="0"/>
        <w:pageBreakBefore w:val="0"/>
        <w:widowControl w:val="0"/>
        <w:tabs>
          <w:tab w:val="left" w:pos="0"/>
        </w:tabs>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（四）在起重机等大型设备进出的区域内不允许使用架空线路。</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
          <w:bCs/>
          <w:color w:val="auto"/>
          <w:sz w:val="28"/>
          <w:szCs w:val="28"/>
          <w:highlight w:val="none"/>
        </w:rPr>
        <w:t>第十五条</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使用周期在1个月以下的临时用电线路，可采用架空或地面走线方式，地面走线应满足以下要求：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（一）所有的地面走线应避免机械损伤和不得阻碍人员、车辆通行，且在醒目位置设置走向标识和安全标识。</w:t>
      </w:r>
    </w:p>
    <w:p>
      <w:pPr>
        <w:keepNext w:val="0"/>
        <w:keepLines w:val="0"/>
        <w:pageBreakBefore w:val="0"/>
        <w:widowControl w:val="0"/>
        <w:kinsoku/>
        <w:wordWrap/>
        <w:overflowPunct/>
        <w:topLinePunct w:val="0"/>
        <w:autoSpaceDE w:val="0"/>
        <w:autoSpaceDN w:val="0"/>
        <w:bidi w:val="0"/>
        <w:adjustRightInd/>
        <w:snapToGrid/>
        <w:spacing w:line="560" w:lineRule="exact"/>
        <w:ind w:left="1"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（二）需要横跨道路或在有重物挤压危险的部位，应加设防护套管，套管应固定；当位于交通繁忙区域或有重型设备经过的区域时，应用混凝土预制件对其进行保护，并设置安全警示标识。</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（三）要避免敷设在可能施工的区域内。</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（四）电线埋地深度不应小于0.7米。</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第十六条</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bCs/>
          <w:color w:val="auto"/>
          <w:sz w:val="28"/>
          <w:szCs w:val="28"/>
          <w:highlight w:val="none"/>
        </w:rPr>
        <w:t>临时用电线路经过有高温、振动、腐蚀、积水及机械损伤等危害的部位，不得有接头，并应采取相应的保护措施。</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bookmarkStart w:id="909" w:name="_Toc199128595"/>
      <w:r>
        <w:rPr>
          <w:rFonts w:hint="eastAsia" w:ascii="方正仿宋简体" w:hAnsi="方正仿宋简体" w:eastAsia="方正仿宋简体" w:cs="方正仿宋简体"/>
          <w:b/>
          <w:bCs/>
          <w:color w:val="auto"/>
          <w:sz w:val="28"/>
          <w:szCs w:val="28"/>
          <w:highlight w:val="none"/>
        </w:rPr>
        <w:t>第十七条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用电线路安全要求</w:t>
      </w:r>
      <w:bookmarkEnd w:id="909"/>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（一）所有的临时用电线路必须采用耐压等级不低于500V的绝缘导线。</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（二）临时用电应设置保护开关，使用前应检查电气装置和保护设施。所有的临时用电都应设置接地保护，接地电阻值应满足</w:t>
      </w:r>
      <w:r>
        <w:rPr>
          <w:rFonts w:hint="eastAsia" w:ascii="方正仿宋简体" w:hAnsi="方正仿宋简体" w:eastAsia="方正仿宋简体" w:cs="方正仿宋简体"/>
          <w:color w:val="auto"/>
          <w:sz w:val="28"/>
          <w:szCs w:val="28"/>
          <w:highlight w:val="none"/>
        </w:rPr>
        <w:t>《施工现场临时用电安全技术规范》（JGJ46-2005）</w:t>
      </w:r>
      <w:r>
        <w:rPr>
          <w:rFonts w:hint="eastAsia" w:ascii="方正仿宋简体" w:hAnsi="方正仿宋简体" w:eastAsia="方正仿宋简体" w:cs="方正仿宋简体"/>
          <w:bCs/>
          <w:color w:val="auto"/>
          <w:sz w:val="28"/>
          <w:szCs w:val="28"/>
          <w:highlight w:val="none"/>
        </w:rPr>
        <w:t>的要求，接地线和接零线应分开设置。</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（三）送电操作顺序为：总配电箱——分配电箱——开关箱(上级过载保护电流应大于下级)。停电操作顺序为：开关箱—分配电箱—总配电箱(出现电气故障的紧急情况除外)。</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（四）配电箱（盘）应保持整洁、接地良好。对配电箱（盘）、开关箱应定期检查、维修。进行检查、维修、接引或拆除临时电路作业时，应将其上一级相应的电源隔离开关分闸断电、上锁、并悬挂警示性标识。</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五）所有的临时配电箱应标上电压标识和危险标识，在其安装区域内应在前方1米处用黄色油漆或警示带做警示。室外的临时用电配电盘、箱应设有安全锁具，有防雨、防潮措施。在距配电箱、开关及电焊机等电气设备15米范围内，不应存放易燃、易爆、腐蚀性等危险物品。</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（六）固定式配电箱、开关箱下底与地面的垂直距离应大于1.4米，小于1.6米；移动式分配电箱、开关箱下底与地面的垂直距离应大于0.8米，小于1.6米。</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（七）所有临时用电线路应由电气专业人员检查合格，贴上标签后方可使用，搬迁或移动后的临时用电线路应再次检查确认，在防爆场所使用的是临时用电线路和电气设备，应达到相应的防爆等级要求。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（八）临时用电线路的自动开关和熔丝(片)应符合安全用电要求，不得随意加大或缩小，不得用其他金属丝代替熔丝。</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（九）临时电源暂停使用时，应在接入点处切断电源。搬迁或移动临时用电线路时，应先切断电源。</w:t>
      </w:r>
    </w:p>
    <w:p>
      <w:pPr>
        <w:keepNext w:val="0"/>
        <w:keepLines w:val="0"/>
        <w:pageBreakBefore w:val="0"/>
        <w:widowControl w:val="0"/>
        <w:kinsoku/>
        <w:wordWrap/>
        <w:overflowPunct/>
        <w:topLinePunct w:val="0"/>
        <w:autoSpaceDE w:val="0"/>
        <w:autoSpaceDN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bCs/>
          <w:color w:val="auto"/>
          <w:sz w:val="28"/>
          <w:szCs w:val="28"/>
          <w:highlight w:val="none"/>
        </w:rPr>
      </w:pPr>
      <w:bookmarkStart w:id="910" w:name="_Toc199128596"/>
      <w:r>
        <w:rPr>
          <w:rFonts w:hint="eastAsia" w:ascii="方正仿宋简体" w:hAnsi="方正仿宋简体" w:eastAsia="方正仿宋简体" w:cs="方正仿宋简体"/>
          <w:b/>
          <w:bCs/>
          <w:color w:val="auto"/>
          <w:sz w:val="28"/>
          <w:szCs w:val="28"/>
          <w:highlight w:val="none"/>
        </w:rPr>
        <w:t>第十八条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用电设备安全使用要求</w:t>
      </w:r>
      <w:bookmarkEnd w:id="910"/>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（一）移动工具、手持工具等用电设备应有各自的电源开关，必须实行“一机一闸”制，严禁两台或两台以上用电设备(含插座)使用同一开关。</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（二）使用电气设备或电动工具作业前，应由电气专业人员对其绝缘进行测试，Ⅰ类工具绝缘电阻不得小于2MΩ，Ⅱ类工具绝缘电阻不得小于7MΩ，合格后方可使用。</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（三）使用潜水泵时应确保电机及接头绝缘良好，潜水泵引出电缆到开关之间不得有接头，并设置非金属材质的提泵拉绳。</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（四）使用手持电动工具应满足如下安全要求：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1.设备外观完好，标牌清晰，各种保护罩(板)齐全；</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2.在一般作业场所，应使用Ⅱ类工具；若使用I类工具时，应装设额定漏电动作电流不大于15mA、动作时间不大于0.1s的漏电保护器.</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3.在潮湿作业场所或金属构架上等导电性能良好的作业场所，应使用Ⅱ类或由安全隔离变压器供电的III类工具.</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4.在狭窄场所，如锅炉、金属管道内，应使用III类工具。若使用Ⅱ类工具应装设额定漏电动作电流不大于15mA、动作时间不大于0.1s的漏电保护电器。</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5.III类工具的安全隔离变压器，Ⅱ类工具的漏电保护器及Ⅱ、III类工具的控制箱和电源联结器等应放在容器外或作业点处，同时应有人监护。</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（五）临时照明应满足以下安全要求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1.现场照明应满足所在区域安全作业亮度、防爆、防水等要求。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2.使用合适的灯具和带护罩的灯座，防止意外接触或破裂。</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3.使用不导电材料悬挂导线。</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4.行灯电源电压不超过36V，灯泡外部有金属保护罩。</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r>
        <w:rPr>
          <w:rFonts w:hint="eastAsia" w:ascii="方正仿宋简体" w:hAnsi="方正仿宋简体" w:eastAsia="方正仿宋简体" w:cs="方正仿宋简体"/>
          <w:bCs/>
          <w:color w:val="auto"/>
          <w:sz w:val="28"/>
          <w:szCs w:val="28"/>
          <w:highlight w:val="none"/>
        </w:rPr>
        <w:t>5.在潮湿和易触及带电体场所的照明电源电压不得大于24V，在特别潮湿场所、导电良好的地面、锅炉或金属容器内的照明电源电压不得大于12V。</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color w:val="auto"/>
          <w:kern w:val="0"/>
          <w:sz w:val="28"/>
          <w:szCs w:val="28"/>
          <w:highlight w:val="none"/>
        </w:rPr>
      </w:pPr>
      <w:bookmarkStart w:id="911" w:name="_Toc199128597"/>
      <w:r>
        <w:rPr>
          <w:rFonts w:hint="eastAsia" w:ascii="方正仿宋简体" w:hAnsi="方正仿宋简体" w:eastAsia="方正仿宋简体" w:cs="方正仿宋简体"/>
          <w:b/>
          <w:bCs/>
          <w:color w:val="auto"/>
          <w:sz w:val="28"/>
          <w:szCs w:val="28"/>
          <w:highlight w:val="none"/>
        </w:rPr>
        <w:t>第十九条</w:t>
      </w:r>
      <w:r>
        <w:rPr>
          <w:rFonts w:hint="eastAsia" w:ascii="方正仿宋简体" w:hAnsi="方正仿宋简体" w:eastAsia="方正仿宋简体" w:cs="方正仿宋简体"/>
          <w:color w:val="auto"/>
          <w:sz w:val="28"/>
          <w:szCs w:val="28"/>
          <w:highlight w:val="none"/>
          <w:lang w:val="zh-CN"/>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bCs/>
          <w:color w:val="auto"/>
          <w:sz w:val="28"/>
          <w:szCs w:val="28"/>
          <w:highlight w:val="none"/>
        </w:rPr>
        <w:t>标签、标识</w:t>
      </w:r>
      <w:bookmarkEnd w:id="911"/>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bCs/>
          <w:color w:val="auto"/>
          <w:sz w:val="28"/>
          <w:szCs w:val="28"/>
          <w:highlight w:val="none"/>
        </w:rPr>
      </w:pPr>
      <w:r>
        <w:rPr>
          <w:rFonts w:hint="eastAsia" w:ascii="方正仿宋简体" w:hAnsi="方正仿宋简体" w:eastAsia="方正仿宋简体" w:cs="方正仿宋简体"/>
          <w:bCs/>
          <w:color w:val="auto"/>
          <w:sz w:val="28"/>
          <w:szCs w:val="28"/>
          <w:highlight w:val="none"/>
        </w:rPr>
        <w:t>所有断开开关应贴有标签，注明供电回路和临时用电设备。所有临时插座都应贴上标签，并注明供电回路和额定电压、电流。</w:t>
      </w: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p>
    <w:p>
      <w:pPr>
        <w:keepNext w:val="0"/>
        <w:keepLines w:val="0"/>
        <w:pageBreakBefore w:val="0"/>
        <w:widowControl w:val="0"/>
        <w:kinsoku/>
        <w:wordWrap/>
        <w:overflowPunct/>
        <w:topLinePunct w:val="0"/>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附件：西南油气田公司临时用电申请单</w:t>
      </w:r>
    </w:p>
    <w:p>
      <w:pPr>
        <w:jc w:val="both"/>
        <w:rPr>
          <w:rFonts w:hint="eastAsia"/>
          <w:b/>
          <w:color w:val="auto"/>
          <w:sz w:val="32"/>
          <w:szCs w:val="32"/>
          <w:highlight w:val="none"/>
        </w:rPr>
      </w:pPr>
      <w:r>
        <w:rPr>
          <w:color w:val="auto"/>
          <w:highlight w:val="none"/>
        </w:rPr>
        <w:br w:type="page"/>
      </w:r>
    </w:p>
    <w:p>
      <w:pPr>
        <w:jc w:val="center"/>
        <w:rPr>
          <w:rFonts w:hint="eastAsia"/>
          <w:b/>
          <w:color w:val="auto"/>
          <w:sz w:val="32"/>
          <w:szCs w:val="32"/>
          <w:highlight w:val="none"/>
        </w:rPr>
      </w:pPr>
      <w:r>
        <w:rPr>
          <w:rFonts w:hint="eastAsia" w:ascii="方正小标宋简体" w:hAnsi="方正小标宋简体" w:eastAsia="方正小标宋简体" w:cs="方正小标宋简体"/>
          <w:b w:val="0"/>
          <w:bCs/>
          <w:color w:val="auto"/>
          <w:sz w:val="36"/>
          <w:szCs w:val="36"/>
          <w:highlight w:val="none"/>
        </w:rPr>
        <w:t>西南油气田公司临时用电申请单</w:t>
      </w:r>
    </w:p>
    <w:p>
      <w:pPr>
        <w:rPr>
          <w:color w:val="auto"/>
          <w:sz w:val="18"/>
          <w:szCs w:val="18"/>
          <w:highlight w:val="none"/>
        </w:rPr>
      </w:pPr>
      <w:r>
        <w:rPr>
          <w:color w:val="auto"/>
          <w:sz w:val="18"/>
          <w:szCs w:val="18"/>
          <w:highlight w:val="none"/>
        </w:rPr>
        <w:t>A:</w:t>
      </w:r>
      <w:r>
        <w:rPr>
          <w:rFonts w:hint="eastAsia"/>
          <w:color w:val="auto"/>
          <w:sz w:val="18"/>
          <w:szCs w:val="18"/>
          <w:highlight w:val="none"/>
        </w:rPr>
        <w:t>临时用电申请（由临时用电申请人填写）</w:t>
      </w:r>
      <w:r>
        <w:rPr>
          <w:color w:val="auto"/>
          <w:sz w:val="18"/>
          <w:szCs w:val="18"/>
          <w:highlight w:val="none"/>
        </w:rPr>
        <w:t xml:space="preserve">                             No.</w:t>
      </w:r>
      <w:r>
        <w:rPr>
          <w:rFonts w:hint="eastAsia"/>
          <w:color w:val="auto"/>
          <w:sz w:val="18"/>
          <w:szCs w:val="18"/>
          <w:highlight w:val="none"/>
        </w:rPr>
        <w:t>：</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940"/>
        <w:gridCol w:w="2126"/>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30" w:type="dxa"/>
            <w:vAlign w:val="top"/>
          </w:tcPr>
          <w:p>
            <w:pPr>
              <w:rPr>
                <w:color w:val="auto"/>
                <w:sz w:val="18"/>
                <w:szCs w:val="18"/>
                <w:highlight w:val="none"/>
              </w:rPr>
            </w:pPr>
            <w:r>
              <w:rPr>
                <w:rFonts w:hint="eastAsia"/>
                <w:color w:val="auto"/>
                <w:sz w:val="18"/>
                <w:szCs w:val="18"/>
                <w:highlight w:val="none"/>
              </w:rPr>
              <w:t>作业项目名称</w:t>
            </w:r>
          </w:p>
        </w:tc>
        <w:tc>
          <w:tcPr>
            <w:tcW w:w="2940" w:type="dxa"/>
            <w:vAlign w:val="top"/>
          </w:tcPr>
          <w:p>
            <w:pPr>
              <w:rPr>
                <w:color w:val="auto"/>
                <w:sz w:val="18"/>
                <w:szCs w:val="18"/>
                <w:highlight w:val="none"/>
              </w:rPr>
            </w:pPr>
          </w:p>
        </w:tc>
        <w:tc>
          <w:tcPr>
            <w:tcW w:w="2126" w:type="dxa"/>
            <w:vAlign w:val="top"/>
          </w:tcPr>
          <w:p>
            <w:pPr>
              <w:rPr>
                <w:color w:val="auto"/>
                <w:sz w:val="18"/>
                <w:szCs w:val="18"/>
                <w:highlight w:val="none"/>
              </w:rPr>
            </w:pPr>
            <w:r>
              <w:rPr>
                <w:rFonts w:hint="eastAsia"/>
                <w:color w:val="auto"/>
                <w:sz w:val="18"/>
                <w:szCs w:val="18"/>
                <w:highlight w:val="none"/>
              </w:rPr>
              <w:t>对应作业许可证编号</w:t>
            </w:r>
          </w:p>
        </w:tc>
        <w:tc>
          <w:tcPr>
            <w:tcW w:w="3532" w:type="dxa"/>
            <w:vAlign w:val="top"/>
          </w:tcPr>
          <w:p>
            <w:pP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30" w:type="dxa"/>
            <w:vAlign w:val="top"/>
          </w:tcPr>
          <w:p>
            <w:pPr>
              <w:rPr>
                <w:color w:val="auto"/>
                <w:sz w:val="18"/>
                <w:szCs w:val="18"/>
                <w:highlight w:val="none"/>
              </w:rPr>
            </w:pPr>
            <w:r>
              <w:rPr>
                <w:rFonts w:hint="eastAsia"/>
                <w:color w:val="auto"/>
                <w:sz w:val="18"/>
                <w:szCs w:val="18"/>
                <w:highlight w:val="none"/>
              </w:rPr>
              <w:t>临时用电设备名称</w:t>
            </w:r>
          </w:p>
          <w:p>
            <w:pPr>
              <w:rPr>
                <w:color w:val="auto"/>
                <w:sz w:val="18"/>
                <w:szCs w:val="18"/>
                <w:highlight w:val="none"/>
              </w:rPr>
            </w:pPr>
          </w:p>
        </w:tc>
        <w:tc>
          <w:tcPr>
            <w:tcW w:w="2940" w:type="dxa"/>
            <w:vAlign w:val="top"/>
          </w:tcPr>
          <w:p>
            <w:pPr>
              <w:rPr>
                <w:color w:val="auto"/>
                <w:sz w:val="18"/>
                <w:szCs w:val="18"/>
                <w:highlight w:val="none"/>
              </w:rPr>
            </w:pPr>
          </w:p>
        </w:tc>
        <w:tc>
          <w:tcPr>
            <w:tcW w:w="2126" w:type="dxa"/>
            <w:vAlign w:val="top"/>
          </w:tcPr>
          <w:p>
            <w:pPr>
              <w:rPr>
                <w:color w:val="auto"/>
                <w:sz w:val="18"/>
                <w:szCs w:val="18"/>
                <w:highlight w:val="none"/>
              </w:rPr>
            </w:pPr>
            <w:r>
              <w:rPr>
                <w:rFonts w:hint="eastAsia"/>
                <w:color w:val="auto"/>
                <w:sz w:val="18"/>
                <w:szCs w:val="18"/>
                <w:highlight w:val="none"/>
              </w:rPr>
              <w:t>临时用电设备电压</w:t>
            </w:r>
          </w:p>
        </w:tc>
        <w:tc>
          <w:tcPr>
            <w:tcW w:w="3532" w:type="dxa"/>
            <w:vAlign w:val="top"/>
          </w:tcPr>
          <w:p>
            <w:pPr>
              <w:rPr>
                <w:color w:val="auto"/>
                <w:sz w:val="18"/>
                <w:szCs w:val="18"/>
                <w:highlight w:val="none"/>
              </w:rPr>
            </w:pPr>
            <w:r>
              <w:rPr>
                <w:rFonts w:hint="eastAsia"/>
                <w:color w:val="auto"/>
                <w:sz w:val="18"/>
                <w:szCs w:val="18"/>
                <w:highlight w:val="none"/>
              </w:rPr>
              <w:t>临时用电设备总功率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30" w:type="dxa"/>
            <w:vAlign w:val="top"/>
          </w:tcPr>
          <w:p>
            <w:pPr>
              <w:rPr>
                <w:color w:val="auto"/>
                <w:sz w:val="18"/>
                <w:szCs w:val="18"/>
                <w:highlight w:val="none"/>
              </w:rPr>
            </w:pPr>
            <w:r>
              <w:rPr>
                <w:rFonts w:hint="eastAsia"/>
                <w:color w:val="auto"/>
                <w:sz w:val="18"/>
                <w:szCs w:val="18"/>
                <w:highlight w:val="none"/>
              </w:rPr>
              <w:t>临时用电设备使用地点</w:t>
            </w:r>
          </w:p>
        </w:tc>
        <w:tc>
          <w:tcPr>
            <w:tcW w:w="2940" w:type="dxa"/>
            <w:vAlign w:val="top"/>
          </w:tcPr>
          <w:p>
            <w:pPr>
              <w:rPr>
                <w:color w:val="auto"/>
                <w:sz w:val="18"/>
                <w:szCs w:val="18"/>
                <w:highlight w:val="none"/>
              </w:rPr>
            </w:pPr>
          </w:p>
        </w:tc>
        <w:tc>
          <w:tcPr>
            <w:tcW w:w="2126" w:type="dxa"/>
            <w:vAlign w:val="top"/>
          </w:tcPr>
          <w:p>
            <w:pPr>
              <w:rPr>
                <w:color w:val="auto"/>
                <w:sz w:val="18"/>
                <w:szCs w:val="18"/>
                <w:highlight w:val="none"/>
              </w:rPr>
            </w:pPr>
            <w:r>
              <w:rPr>
                <w:rFonts w:hint="eastAsia"/>
                <w:color w:val="auto"/>
                <w:sz w:val="18"/>
                <w:szCs w:val="18"/>
                <w:highlight w:val="none"/>
              </w:rPr>
              <w:t>计划临时用电时间</w:t>
            </w:r>
          </w:p>
        </w:tc>
        <w:tc>
          <w:tcPr>
            <w:tcW w:w="3532" w:type="dxa"/>
            <w:vAlign w:val="top"/>
          </w:tcPr>
          <w:p>
            <w:pPr>
              <w:rPr>
                <w:color w:val="auto"/>
                <w:sz w:val="18"/>
                <w:szCs w:val="18"/>
                <w:highlight w:val="none"/>
              </w:rPr>
            </w:pPr>
            <w:r>
              <w:rPr>
                <w:rFonts w:hint="eastAsia"/>
                <w:color w:val="auto"/>
                <w:sz w:val="18"/>
                <w:szCs w:val="18"/>
                <w:highlight w:val="none"/>
              </w:rPr>
              <w:t>从</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p>
            <w:pPr>
              <w:rPr>
                <w:color w:val="auto"/>
                <w:sz w:val="18"/>
                <w:szCs w:val="18"/>
                <w:highlight w:val="none"/>
              </w:rPr>
            </w:pPr>
            <w:r>
              <w:rPr>
                <w:rFonts w:hint="eastAsia"/>
                <w:color w:val="auto"/>
                <w:sz w:val="18"/>
                <w:szCs w:val="18"/>
                <w:highlight w:val="none"/>
              </w:rPr>
              <w:t>至</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0728" w:type="dxa"/>
            <w:gridSpan w:val="4"/>
            <w:vAlign w:val="top"/>
          </w:tcPr>
          <w:p>
            <w:pPr>
              <w:rPr>
                <w:color w:val="auto"/>
                <w:sz w:val="18"/>
                <w:szCs w:val="18"/>
                <w:highlight w:val="none"/>
              </w:rPr>
            </w:pPr>
            <w:r>
              <w:rPr>
                <w:rFonts w:hint="eastAsia"/>
                <w:color w:val="auto"/>
                <w:sz w:val="18"/>
                <w:szCs w:val="18"/>
                <w:highlight w:val="none"/>
              </w:rPr>
              <w:t>本人在此声明：</w:t>
            </w:r>
          </w:p>
          <w:p>
            <w:pPr>
              <w:pStyle w:val="93"/>
              <w:numPr>
                <w:ilvl w:val="0"/>
                <w:numId w:val="24"/>
              </w:numPr>
              <w:ind w:firstLineChars="0"/>
              <w:rPr>
                <w:color w:val="auto"/>
                <w:sz w:val="18"/>
                <w:szCs w:val="18"/>
                <w:highlight w:val="none"/>
              </w:rPr>
            </w:pPr>
            <w:r>
              <w:rPr>
                <w:rFonts w:hint="eastAsia"/>
                <w:color w:val="auto"/>
                <w:sz w:val="18"/>
                <w:szCs w:val="18"/>
                <w:highlight w:val="none"/>
              </w:rPr>
              <w:t>严格按照临时用电设备设施的使用规范和要求使用本项目申请的临时用电设备设施；</w:t>
            </w:r>
          </w:p>
          <w:p>
            <w:pPr>
              <w:pStyle w:val="93"/>
              <w:numPr>
                <w:ilvl w:val="0"/>
                <w:numId w:val="24"/>
              </w:numPr>
              <w:ind w:firstLineChars="0"/>
              <w:rPr>
                <w:color w:val="auto"/>
                <w:sz w:val="18"/>
                <w:szCs w:val="18"/>
                <w:highlight w:val="none"/>
              </w:rPr>
            </w:pPr>
            <w:r>
              <w:rPr>
                <w:rFonts w:hint="eastAsia"/>
                <w:color w:val="auto"/>
                <w:sz w:val="18"/>
                <w:szCs w:val="18"/>
                <w:highlight w:val="none"/>
              </w:rPr>
              <w:t>不任意变更用电地点；</w:t>
            </w:r>
          </w:p>
          <w:p>
            <w:pPr>
              <w:pStyle w:val="93"/>
              <w:numPr>
                <w:ilvl w:val="0"/>
                <w:numId w:val="24"/>
              </w:numPr>
              <w:ind w:firstLineChars="0"/>
              <w:rPr>
                <w:color w:val="auto"/>
                <w:sz w:val="18"/>
                <w:szCs w:val="18"/>
                <w:highlight w:val="none"/>
              </w:rPr>
            </w:pPr>
            <w:r>
              <w:rPr>
                <w:rFonts w:hint="eastAsia"/>
                <w:color w:val="auto"/>
                <w:sz w:val="18"/>
                <w:szCs w:val="18"/>
                <w:highlight w:val="none"/>
              </w:rPr>
              <w:t>易燃易爆场所使用临时用电设备设施时必须办理动火作业票，并有易燃易爆物、气体分析报告；</w:t>
            </w:r>
          </w:p>
          <w:p>
            <w:pPr>
              <w:pStyle w:val="93"/>
              <w:numPr>
                <w:ilvl w:val="0"/>
                <w:numId w:val="24"/>
              </w:numPr>
              <w:ind w:firstLineChars="0"/>
              <w:rPr>
                <w:color w:val="auto"/>
                <w:sz w:val="18"/>
                <w:szCs w:val="18"/>
                <w:highlight w:val="none"/>
              </w:rPr>
            </w:pPr>
            <w:r>
              <w:rPr>
                <w:rFonts w:hint="eastAsia"/>
                <w:color w:val="auto"/>
                <w:sz w:val="18"/>
                <w:szCs w:val="18"/>
                <w:highlight w:val="none"/>
              </w:rPr>
              <w:t>如施工场所因工作要求所用电压超过安全规定，须上报</w:t>
            </w:r>
            <w:r>
              <w:rPr>
                <w:color w:val="auto"/>
                <w:sz w:val="18"/>
                <w:szCs w:val="18"/>
                <w:highlight w:val="none"/>
              </w:rPr>
              <w:t>HSE</w:t>
            </w:r>
            <w:r>
              <w:rPr>
                <w:rFonts w:hint="eastAsia"/>
                <w:color w:val="auto"/>
                <w:sz w:val="18"/>
                <w:szCs w:val="18"/>
                <w:highlight w:val="none"/>
              </w:rPr>
              <w:t>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30" w:type="dxa"/>
            <w:vAlign w:val="top"/>
          </w:tcPr>
          <w:p>
            <w:pPr>
              <w:rPr>
                <w:color w:val="auto"/>
                <w:sz w:val="18"/>
                <w:szCs w:val="18"/>
                <w:highlight w:val="none"/>
              </w:rPr>
            </w:pPr>
            <w:r>
              <w:rPr>
                <w:rFonts w:hint="eastAsia"/>
                <w:color w:val="auto"/>
                <w:sz w:val="18"/>
                <w:szCs w:val="18"/>
                <w:highlight w:val="none"/>
              </w:rPr>
              <w:t>用电申请人签字</w:t>
            </w:r>
          </w:p>
        </w:tc>
        <w:tc>
          <w:tcPr>
            <w:tcW w:w="2940" w:type="dxa"/>
            <w:vAlign w:val="top"/>
          </w:tcPr>
          <w:p>
            <w:pPr>
              <w:rPr>
                <w:color w:val="auto"/>
                <w:sz w:val="18"/>
                <w:szCs w:val="18"/>
                <w:highlight w:val="none"/>
              </w:rPr>
            </w:pPr>
          </w:p>
        </w:tc>
        <w:tc>
          <w:tcPr>
            <w:tcW w:w="5658" w:type="dxa"/>
            <w:gridSpan w:val="2"/>
            <w:vAlign w:val="top"/>
          </w:tcPr>
          <w:p>
            <w:pPr>
              <w:rPr>
                <w:color w:val="auto"/>
                <w:sz w:val="18"/>
                <w:szCs w:val="18"/>
                <w:highlight w:val="none"/>
              </w:rPr>
            </w:pPr>
            <w:r>
              <w:rPr>
                <w:color w:val="auto"/>
                <w:sz w:val="18"/>
                <w:szCs w:val="18"/>
                <w:highlight w:val="none"/>
              </w:rPr>
              <w:t xml:space="preserve"> </w:t>
            </w:r>
            <w:r>
              <w:rPr>
                <w:rFonts w:hint="eastAsia"/>
                <w:color w:val="auto"/>
                <w:sz w:val="18"/>
                <w:szCs w:val="18"/>
                <w:highlight w:val="none"/>
              </w:rPr>
              <w:t xml:space="preserve">             </w:t>
            </w:r>
            <w:r>
              <w:rPr>
                <w:color w:val="auto"/>
                <w:sz w:val="18"/>
                <w:szCs w:val="18"/>
                <w:highlight w:val="none"/>
              </w:rPr>
              <w:t xml:space="preserve"> 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rPr>
          <w:color w:val="auto"/>
          <w:sz w:val="18"/>
          <w:szCs w:val="18"/>
          <w:highlight w:val="none"/>
        </w:rPr>
      </w:pPr>
      <w:r>
        <w:rPr>
          <w:color w:val="auto"/>
          <w:sz w:val="18"/>
          <w:szCs w:val="18"/>
          <w:highlight w:val="none"/>
        </w:rPr>
        <w:t>B</w:t>
      </w:r>
      <w:r>
        <w:rPr>
          <w:rFonts w:hint="eastAsia"/>
          <w:color w:val="auto"/>
          <w:sz w:val="18"/>
          <w:szCs w:val="18"/>
          <w:highlight w:val="none"/>
        </w:rPr>
        <w:t>：临时用电审批（由作业许可签发人填写）</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2992"/>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28" w:type="dxa"/>
            <w:gridSpan w:val="3"/>
            <w:vAlign w:val="top"/>
          </w:tcPr>
          <w:p>
            <w:pPr>
              <w:rPr>
                <w:color w:val="auto"/>
                <w:sz w:val="18"/>
                <w:szCs w:val="18"/>
                <w:highlight w:val="none"/>
              </w:rPr>
            </w:pPr>
            <w:r>
              <w:rPr>
                <w:rFonts w:hint="eastAsia"/>
                <w:color w:val="auto"/>
                <w:sz w:val="18"/>
                <w:szCs w:val="18"/>
                <w:highlight w:val="none"/>
              </w:rPr>
              <w:t>请送、停电人（电工）</w:t>
            </w:r>
            <w:r>
              <w:rPr>
                <w:color w:val="auto"/>
                <w:sz w:val="18"/>
                <w:szCs w:val="18"/>
                <w:highlight w:val="none"/>
              </w:rPr>
              <w:t xml:space="preserve">           </w:t>
            </w:r>
            <w:r>
              <w:rPr>
                <w:rFonts w:hint="eastAsia"/>
                <w:color w:val="auto"/>
                <w:sz w:val="18"/>
                <w:szCs w:val="18"/>
                <w:highlight w:val="none"/>
              </w:rPr>
              <w:t>、</w:t>
            </w:r>
            <w:r>
              <w:rPr>
                <w:color w:val="auto"/>
                <w:sz w:val="18"/>
                <w:szCs w:val="18"/>
                <w:highlight w:val="none"/>
              </w:rPr>
              <w:t xml:space="preserve">             </w:t>
            </w:r>
            <w:r>
              <w:rPr>
                <w:rFonts w:hint="eastAsia"/>
                <w:color w:val="auto"/>
                <w:sz w:val="18"/>
                <w:szCs w:val="18"/>
                <w:highlight w:val="none"/>
              </w:rPr>
              <w:t>到现场，按</w:t>
            </w:r>
            <w:r>
              <w:rPr>
                <w:color w:val="auto"/>
                <w:sz w:val="18"/>
                <w:szCs w:val="18"/>
                <w:highlight w:val="none"/>
              </w:rPr>
              <w:t>D</w:t>
            </w:r>
            <w:r>
              <w:rPr>
                <w:rFonts w:hint="eastAsia"/>
                <w:color w:val="auto"/>
                <w:sz w:val="18"/>
                <w:szCs w:val="18"/>
                <w:highlight w:val="none"/>
              </w:rPr>
              <w:t>表内容检查，并确认全部符合后送电；临时用电结束，在收到拆除临时用电设施申请时，去现场核实无误后，对临时用电线路设施停电。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8" w:type="dxa"/>
            <w:vAlign w:val="top"/>
          </w:tcPr>
          <w:p>
            <w:pPr>
              <w:rPr>
                <w:color w:val="auto"/>
                <w:sz w:val="18"/>
                <w:szCs w:val="18"/>
                <w:highlight w:val="none"/>
              </w:rPr>
            </w:pPr>
            <w:r>
              <w:rPr>
                <w:rFonts w:hint="eastAsia"/>
                <w:color w:val="auto"/>
                <w:sz w:val="18"/>
                <w:szCs w:val="18"/>
                <w:highlight w:val="none"/>
              </w:rPr>
              <w:t>签发人签字</w:t>
            </w:r>
          </w:p>
        </w:tc>
        <w:tc>
          <w:tcPr>
            <w:tcW w:w="2992" w:type="dxa"/>
            <w:vAlign w:val="top"/>
          </w:tcPr>
          <w:p>
            <w:pPr>
              <w:rPr>
                <w:color w:val="auto"/>
                <w:sz w:val="18"/>
                <w:szCs w:val="18"/>
                <w:highlight w:val="none"/>
              </w:rPr>
            </w:pPr>
          </w:p>
        </w:tc>
        <w:tc>
          <w:tcPr>
            <w:tcW w:w="5688" w:type="dxa"/>
            <w:vAlign w:val="top"/>
          </w:tcPr>
          <w:p>
            <w:pPr>
              <w:rPr>
                <w:color w:val="auto"/>
                <w:sz w:val="18"/>
                <w:szCs w:val="18"/>
                <w:highlight w:val="none"/>
              </w:rPr>
            </w:pPr>
            <w:r>
              <w:rPr>
                <w:color w:val="auto"/>
                <w:sz w:val="18"/>
                <w:szCs w:val="18"/>
                <w:highlight w:val="none"/>
              </w:rPr>
              <w:t xml:space="preserve">  </w:t>
            </w:r>
            <w:r>
              <w:rPr>
                <w:rFonts w:hint="eastAsia"/>
                <w:color w:val="auto"/>
                <w:sz w:val="18"/>
                <w:szCs w:val="18"/>
                <w:highlight w:val="none"/>
              </w:rPr>
              <w:t xml:space="preserve">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rPr>
          <w:color w:val="auto"/>
          <w:sz w:val="18"/>
          <w:szCs w:val="18"/>
          <w:highlight w:val="none"/>
        </w:rPr>
      </w:pPr>
      <w:r>
        <w:rPr>
          <w:color w:val="auto"/>
          <w:sz w:val="18"/>
          <w:szCs w:val="18"/>
          <w:highlight w:val="none"/>
        </w:rPr>
        <w:t>C</w:t>
      </w:r>
      <w:r>
        <w:rPr>
          <w:rFonts w:hint="eastAsia"/>
          <w:color w:val="auto"/>
          <w:sz w:val="18"/>
          <w:szCs w:val="18"/>
          <w:highlight w:val="none"/>
        </w:rPr>
        <w:t>：临时用电设施安装（由安装人填写）</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2465"/>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28" w:type="dxa"/>
            <w:gridSpan w:val="3"/>
            <w:vAlign w:val="top"/>
          </w:tcPr>
          <w:p>
            <w:pPr>
              <w:rPr>
                <w:color w:val="auto"/>
                <w:sz w:val="18"/>
                <w:szCs w:val="18"/>
                <w:highlight w:val="none"/>
              </w:rPr>
            </w:pPr>
            <w:r>
              <w:rPr>
                <w:rFonts w:hint="eastAsia"/>
                <w:color w:val="auto"/>
                <w:sz w:val="18"/>
                <w:szCs w:val="18"/>
                <w:highlight w:val="none"/>
              </w:rPr>
              <w:t>本人在此声明：</w:t>
            </w:r>
          </w:p>
          <w:p>
            <w:pPr>
              <w:rPr>
                <w:color w:val="auto"/>
                <w:sz w:val="18"/>
                <w:szCs w:val="18"/>
                <w:highlight w:val="none"/>
              </w:rPr>
            </w:pPr>
            <w:r>
              <w:rPr>
                <w:rFonts w:hint="eastAsia"/>
                <w:color w:val="auto"/>
                <w:sz w:val="18"/>
                <w:szCs w:val="18"/>
                <w:highlight w:val="none"/>
              </w:rPr>
              <w:t>了解</w:t>
            </w:r>
            <w:r>
              <w:rPr>
                <w:color w:val="auto"/>
                <w:sz w:val="18"/>
                <w:szCs w:val="18"/>
                <w:highlight w:val="none"/>
              </w:rPr>
              <w:t>A</w:t>
            </w:r>
            <w:r>
              <w:rPr>
                <w:rFonts w:hint="eastAsia"/>
                <w:color w:val="auto"/>
                <w:sz w:val="18"/>
                <w:szCs w:val="18"/>
                <w:highlight w:val="none"/>
              </w:rPr>
              <w:t>部分临时用电的具体内容和要求，并按有关技术和安全要求执行了临时用电设备设施的安装和施工，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5" w:type="dxa"/>
            <w:vAlign w:val="top"/>
          </w:tcPr>
          <w:p>
            <w:pPr>
              <w:rPr>
                <w:color w:val="auto"/>
                <w:sz w:val="18"/>
                <w:szCs w:val="18"/>
                <w:highlight w:val="none"/>
              </w:rPr>
            </w:pPr>
            <w:r>
              <w:rPr>
                <w:rFonts w:hint="eastAsia"/>
                <w:color w:val="auto"/>
                <w:sz w:val="18"/>
                <w:szCs w:val="18"/>
                <w:highlight w:val="none"/>
              </w:rPr>
              <w:t>临时用电设施安装人签字</w:t>
            </w:r>
          </w:p>
        </w:tc>
        <w:tc>
          <w:tcPr>
            <w:tcW w:w="2465" w:type="dxa"/>
            <w:vAlign w:val="top"/>
          </w:tcPr>
          <w:p>
            <w:pPr>
              <w:rPr>
                <w:color w:val="auto"/>
                <w:sz w:val="18"/>
                <w:szCs w:val="18"/>
                <w:highlight w:val="none"/>
              </w:rPr>
            </w:pPr>
          </w:p>
        </w:tc>
        <w:tc>
          <w:tcPr>
            <w:tcW w:w="5688" w:type="dxa"/>
            <w:vAlign w:val="top"/>
          </w:tcPr>
          <w:p>
            <w:pPr>
              <w:rPr>
                <w:color w:val="auto"/>
                <w:sz w:val="18"/>
                <w:szCs w:val="18"/>
                <w:highlight w:val="none"/>
              </w:rPr>
            </w:pPr>
            <w:r>
              <w:rPr>
                <w:color w:val="auto"/>
                <w:sz w:val="18"/>
                <w:szCs w:val="18"/>
                <w:highlight w:val="none"/>
              </w:rPr>
              <w:t xml:space="preserve"> </w:t>
            </w: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rPr>
          <w:color w:val="auto"/>
          <w:sz w:val="18"/>
          <w:szCs w:val="18"/>
          <w:highlight w:val="none"/>
        </w:rPr>
      </w:pPr>
      <w:r>
        <w:rPr>
          <w:color w:val="auto"/>
          <w:sz w:val="18"/>
          <w:szCs w:val="18"/>
          <w:highlight w:val="none"/>
        </w:rPr>
        <w:t>D</w:t>
      </w:r>
      <w:r>
        <w:rPr>
          <w:rFonts w:hint="eastAsia"/>
          <w:color w:val="auto"/>
          <w:sz w:val="18"/>
          <w:szCs w:val="18"/>
          <w:highlight w:val="none"/>
        </w:rPr>
        <w:t>：临时用电设施安装检查、送电</w:t>
      </w:r>
      <w:r>
        <w:rPr>
          <w:color w:val="auto"/>
          <w:sz w:val="18"/>
          <w:szCs w:val="18"/>
          <w:highlight w:val="none"/>
        </w:rPr>
        <w:t xml:space="preserve"> (</w:t>
      </w:r>
      <w:r>
        <w:rPr>
          <w:rFonts w:hint="eastAsia"/>
          <w:color w:val="auto"/>
          <w:sz w:val="18"/>
          <w:szCs w:val="18"/>
          <w:highlight w:val="none"/>
        </w:rPr>
        <w:t>由送电人填写</w:t>
      </w:r>
      <w:r>
        <w:rPr>
          <w:color w:val="auto"/>
          <w:sz w:val="18"/>
          <w:szCs w:val="18"/>
          <w:highlight w:val="none"/>
        </w:rPr>
        <w:t>)</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10"/>
        <w:gridCol w:w="1980"/>
        <w:gridCol w:w="3223"/>
        <w:gridCol w:w="1134"/>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10728" w:type="dxa"/>
            <w:gridSpan w:val="6"/>
            <w:vAlign w:val="top"/>
          </w:tcPr>
          <w:p>
            <w:pPr>
              <w:jc w:val="center"/>
              <w:rPr>
                <w:color w:val="auto"/>
                <w:sz w:val="18"/>
                <w:szCs w:val="18"/>
                <w:highlight w:val="none"/>
              </w:rPr>
            </w:pPr>
            <w:r>
              <w:rPr>
                <w:rFonts w:hint="eastAsia"/>
                <w:color w:val="auto"/>
                <w:sz w:val="18"/>
                <w:szCs w:val="18"/>
                <w:highlight w:val="none"/>
              </w:rPr>
              <w:t>临时用电安装要求（必须在送电前满足）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rFonts w:hint="eastAsia"/>
                <w:color w:val="auto"/>
                <w:sz w:val="18"/>
                <w:szCs w:val="18"/>
                <w:highlight w:val="none"/>
              </w:rPr>
              <w:t>序号</w:t>
            </w:r>
          </w:p>
        </w:tc>
        <w:tc>
          <w:tcPr>
            <w:tcW w:w="7513" w:type="dxa"/>
            <w:gridSpan w:val="3"/>
            <w:vAlign w:val="top"/>
          </w:tcPr>
          <w:p>
            <w:pPr>
              <w:jc w:val="center"/>
              <w:rPr>
                <w:color w:val="auto"/>
                <w:sz w:val="18"/>
                <w:szCs w:val="18"/>
                <w:highlight w:val="none"/>
              </w:rPr>
            </w:pPr>
            <w:r>
              <w:rPr>
                <w:rFonts w:hint="eastAsia"/>
                <w:color w:val="auto"/>
                <w:sz w:val="18"/>
                <w:szCs w:val="18"/>
                <w:highlight w:val="none"/>
              </w:rPr>
              <w:t>要求及注意事项</w:t>
            </w:r>
          </w:p>
        </w:tc>
        <w:tc>
          <w:tcPr>
            <w:tcW w:w="1134" w:type="dxa"/>
            <w:vAlign w:val="top"/>
          </w:tcPr>
          <w:p>
            <w:pPr>
              <w:jc w:val="center"/>
              <w:rPr>
                <w:color w:val="auto"/>
                <w:sz w:val="18"/>
                <w:szCs w:val="18"/>
                <w:highlight w:val="none"/>
              </w:rPr>
            </w:pPr>
            <w:r>
              <w:rPr>
                <w:rFonts w:hint="eastAsia"/>
                <w:color w:val="auto"/>
                <w:sz w:val="18"/>
                <w:szCs w:val="18"/>
                <w:highlight w:val="none"/>
              </w:rPr>
              <w:t>是</w:t>
            </w:r>
          </w:p>
        </w:tc>
        <w:tc>
          <w:tcPr>
            <w:tcW w:w="1406" w:type="dxa"/>
            <w:vAlign w:val="top"/>
          </w:tcPr>
          <w:p>
            <w:pPr>
              <w:jc w:val="center"/>
              <w:rPr>
                <w:color w:val="auto"/>
                <w:sz w:val="18"/>
                <w:szCs w:val="18"/>
                <w:highlight w:val="none"/>
              </w:rPr>
            </w:pPr>
            <w:r>
              <w:rPr>
                <w:rFonts w:hint="eastAsia"/>
                <w:color w:val="auto"/>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1</w:t>
            </w:r>
          </w:p>
        </w:tc>
        <w:tc>
          <w:tcPr>
            <w:tcW w:w="7513" w:type="dxa"/>
            <w:gridSpan w:val="3"/>
            <w:vAlign w:val="top"/>
          </w:tcPr>
          <w:p>
            <w:pPr>
              <w:rPr>
                <w:color w:val="auto"/>
                <w:sz w:val="18"/>
                <w:szCs w:val="18"/>
                <w:highlight w:val="none"/>
              </w:rPr>
            </w:pPr>
            <w:r>
              <w:rPr>
                <w:rFonts w:hint="eastAsia"/>
                <w:color w:val="auto"/>
                <w:sz w:val="18"/>
                <w:szCs w:val="18"/>
                <w:highlight w:val="none"/>
              </w:rPr>
              <w:t>本人及安装临时用电设备设施的人员有电工从业资格证</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2</w:t>
            </w:r>
          </w:p>
        </w:tc>
        <w:tc>
          <w:tcPr>
            <w:tcW w:w="7513" w:type="dxa"/>
            <w:gridSpan w:val="3"/>
            <w:vAlign w:val="top"/>
          </w:tcPr>
          <w:p>
            <w:pPr>
              <w:rPr>
                <w:color w:val="auto"/>
                <w:sz w:val="18"/>
                <w:szCs w:val="18"/>
                <w:highlight w:val="none"/>
              </w:rPr>
            </w:pPr>
            <w:r>
              <w:rPr>
                <w:rFonts w:hint="eastAsia"/>
                <w:color w:val="auto"/>
                <w:sz w:val="18"/>
                <w:szCs w:val="18"/>
                <w:highlight w:val="none"/>
              </w:rPr>
              <w:t>线路电压等级符合</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3</w:t>
            </w:r>
          </w:p>
        </w:tc>
        <w:tc>
          <w:tcPr>
            <w:tcW w:w="7513" w:type="dxa"/>
            <w:gridSpan w:val="3"/>
            <w:vAlign w:val="top"/>
          </w:tcPr>
          <w:p>
            <w:pPr>
              <w:rPr>
                <w:color w:val="auto"/>
                <w:sz w:val="18"/>
                <w:szCs w:val="18"/>
                <w:highlight w:val="none"/>
              </w:rPr>
            </w:pPr>
            <w:r>
              <w:rPr>
                <w:rFonts w:hint="eastAsia"/>
                <w:color w:val="auto"/>
                <w:sz w:val="18"/>
                <w:szCs w:val="18"/>
                <w:highlight w:val="none"/>
              </w:rPr>
              <w:t>线路架设、支撑和敷设符合要求</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4</w:t>
            </w:r>
          </w:p>
        </w:tc>
        <w:tc>
          <w:tcPr>
            <w:tcW w:w="7513" w:type="dxa"/>
            <w:gridSpan w:val="3"/>
            <w:vAlign w:val="top"/>
          </w:tcPr>
          <w:p>
            <w:pPr>
              <w:rPr>
                <w:color w:val="auto"/>
                <w:sz w:val="18"/>
                <w:szCs w:val="18"/>
                <w:highlight w:val="none"/>
              </w:rPr>
            </w:pPr>
            <w:r>
              <w:rPr>
                <w:rFonts w:hint="eastAsia"/>
                <w:color w:val="auto"/>
                <w:sz w:val="18"/>
                <w:szCs w:val="18"/>
                <w:highlight w:val="none"/>
              </w:rPr>
              <w:t>配电盘、柜有防雨设施并编号，门能可靠锁闭</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5</w:t>
            </w:r>
          </w:p>
        </w:tc>
        <w:tc>
          <w:tcPr>
            <w:tcW w:w="7513" w:type="dxa"/>
            <w:gridSpan w:val="3"/>
            <w:vAlign w:val="top"/>
          </w:tcPr>
          <w:p>
            <w:pPr>
              <w:rPr>
                <w:color w:val="auto"/>
                <w:sz w:val="18"/>
                <w:szCs w:val="18"/>
                <w:highlight w:val="none"/>
              </w:rPr>
            </w:pPr>
            <w:r>
              <w:rPr>
                <w:rFonts w:hint="eastAsia"/>
                <w:color w:val="auto"/>
                <w:sz w:val="18"/>
                <w:szCs w:val="18"/>
                <w:highlight w:val="none"/>
              </w:rPr>
              <w:t>电气回路有漏电保护</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6</w:t>
            </w:r>
          </w:p>
        </w:tc>
        <w:tc>
          <w:tcPr>
            <w:tcW w:w="7513" w:type="dxa"/>
            <w:gridSpan w:val="3"/>
            <w:vAlign w:val="top"/>
          </w:tcPr>
          <w:p>
            <w:pPr>
              <w:rPr>
                <w:color w:val="auto"/>
                <w:sz w:val="18"/>
                <w:szCs w:val="18"/>
                <w:highlight w:val="none"/>
              </w:rPr>
            </w:pPr>
            <w:r>
              <w:rPr>
                <w:rFonts w:hint="eastAsia"/>
                <w:color w:val="auto"/>
                <w:sz w:val="18"/>
                <w:szCs w:val="18"/>
                <w:highlight w:val="none"/>
              </w:rPr>
              <w:t>行灯电压符合要求，采用隔离变压器</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7</w:t>
            </w:r>
          </w:p>
        </w:tc>
        <w:tc>
          <w:tcPr>
            <w:tcW w:w="7513" w:type="dxa"/>
            <w:gridSpan w:val="3"/>
            <w:vAlign w:val="top"/>
          </w:tcPr>
          <w:p>
            <w:pPr>
              <w:rPr>
                <w:color w:val="auto"/>
                <w:sz w:val="18"/>
                <w:szCs w:val="18"/>
                <w:highlight w:val="none"/>
              </w:rPr>
            </w:pPr>
            <w:r>
              <w:rPr>
                <w:rFonts w:hint="eastAsia"/>
                <w:color w:val="auto"/>
                <w:sz w:val="18"/>
                <w:szCs w:val="18"/>
                <w:highlight w:val="none"/>
              </w:rPr>
              <w:t>线路容量、电气元件符合要求</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8</w:t>
            </w:r>
          </w:p>
        </w:tc>
        <w:tc>
          <w:tcPr>
            <w:tcW w:w="7513" w:type="dxa"/>
            <w:gridSpan w:val="3"/>
            <w:vAlign w:val="top"/>
          </w:tcPr>
          <w:p>
            <w:pPr>
              <w:rPr>
                <w:color w:val="auto"/>
                <w:sz w:val="18"/>
                <w:szCs w:val="18"/>
                <w:highlight w:val="none"/>
              </w:rPr>
            </w:pPr>
            <w:r>
              <w:rPr>
                <w:rFonts w:hint="eastAsia"/>
                <w:color w:val="auto"/>
                <w:sz w:val="18"/>
                <w:szCs w:val="18"/>
                <w:highlight w:val="none"/>
              </w:rPr>
              <w:t>用电设备符合要求，并贴有目视化合格标识</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675" w:type="dxa"/>
            <w:vAlign w:val="top"/>
          </w:tcPr>
          <w:p>
            <w:pPr>
              <w:rPr>
                <w:color w:val="auto"/>
                <w:sz w:val="18"/>
                <w:szCs w:val="18"/>
                <w:highlight w:val="none"/>
              </w:rPr>
            </w:pPr>
            <w:r>
              <w:rPr>
                <w:color w:val="auto"/>
                <w:sz w:val="18"/>
                <w:szCs w:val="18"/>
                <w:highlight w:val="none"/>
              </w:rPr>
              <w:t>9</w:t>
            </w:r>
          </w:p>
        </w:tc>
        <w:tc>
          <w:tcPr>
            <w:tcW w:w="7513" w:type="dxa"/>
            <w:gridSpan w:val="3"/>
            <w:vAlign w:val="top"/>
          </w:tcPr>
          <w:p>
            <w:pPr>
              <w:rPr>
                <w:color w:val="auto"/>
                <w:sz w:val="18"/>
                <w:szCs w:val="18"/>
                <w:highlight w:val="none"/>
              </w:rPr>
            </w:pPr>
            <w:r>
              <w:rPr>
                <w:rFonts w:hint="eastAsia"/>
                <w:color w:val="auto"/>
                <w:sz w:val="18"/>
                <w:szCs w:val="18"/>
                <w:highlight w:val="none"/>
              </w:rPr>
              <w:t>超过</w:t>
            </w:r>
            <w:r>
              <w:rPr>
                <w:color w:val="auto"/>
                <w:sz w:val="18"/>
                <w:szCs w:val="18"/>
                <w:highlight w:val="none"/>
              </w:rPr>
              <w:t>5</w:t>
            </w:r>
            <w:r>
              <w:rPr>
                <w:rFonts w:hint="eastAsia"/>
                <w:color w:val="auto"/>
                <w:sz w:val="18"/>
                <w:szCs w:val="18"/>
                <w:highlight w:val="none"/>
              </w:rPr>
              <w:t>台用电设备或总负荷超过</w:t>
            </w:r>
            <w:r>
              <w:rPr>
                <w:color w:val="auto"/>
                <w:sz w:val="18"/>
                <w:szCs w:val="18"/>
                <w:highlight w:val="none"/>
              </w:rPr>
              <w:t>50KW</w:t>
            </w:r>
            <w:r>
              <w:rPr>
                <w:rFonts w:hint="eastAsia"/>
                <w:color w:val="auto"/>
                <w:sz w:val="18"/>
                <w:szCs w:val="18"/>
                <w:highlight w:val="none"/>
              </w:rPr>
              <w:t>时需要临时用电施工组织设计</w:t>
            </w:r>
          </w:p>
        </w:tc>
        <w:tc>
          <w:tcPr>
            <w:tcW w:w="1134" w:type="dxa"/>
            <w:vAlign w:val="top"/>
          </w:tcPr>
          <w:p>
            <w:pPr>
              <w:jc w:val="center"/>
              <w:rPr>
                <w:color w:val="auto"/>
                <w:sz w:val="18"/>
                <w:szCs w:val="18"/>
                <w:highlight w:val="none"/>
              </w:rPr>
            </w:pPr>
          </w:p>
        </w:tc>
        <w:tc>
          <w:tcPr>
            <w:tcW w:w="1406" w:type="dxa"/>
            <w:vAlign w:val="top"/>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10728" w:type="dxa"/>
            <w:gridSpan w:val="6"/>
            <w:vAlign w:val="top"/>
          </w:tcPr>
          <w:p>
            <w:pPr>
              <w:rPr>
                <w:color w:val="auto"/>
                <w:sz w:val="18"/>
                <w:szCs w:val="18"/>
                <w:highlight w:val="none"/>
              </w:rPr>
            </w:pPr>
            <w:r>
              <w:rPr>
                <w:rFonts w:hint="eastAsia"/>
                <w:color w:val="auto"/>
                <w:sz w:val="18"/>
                <w:szCs w:val="18"/>
                <w:highlight w:val="none"/>
              </w:rPr>
              <w:t>补充措施</w:t>
            </w:r>
          </w:p>
          <w:p>
            <w:pP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10728" w:type="dxa"/>
            <w:gridSpan w:val="6"/>
            <w:vAlign w:val="top"/>
          </w:tcPr>
          <w:p>
            <w:pPr>
              <w:rPr>
                <w:color w:val="auto"/>
                <w:sz w:val="18"/>
                <w:szCs w:val="18"/>
                <w:highlight w:val="none"/>
              </w:rPr>
            </w:pPr>
            <w:r>
              <w:rPr>
                <w:rFonts w:hint="eastAsia"/>
                <w:color w:val="auto"/>
                <w:sz w:val="18"/>
                <w:szCs w:val="18"/>
                <w:highlight w:val="none"/>
              </w:rPr>
              <w:t>以上要求已履行，</w:t>
            </w:r>
            <w:r>
              <w:rPr>
                <w:color w:val="auto"/>
                <w:sz w:val="18"/>
                <w:szCs w:val="18"/>
                <w:highlight w:val="none"/>
              </w:rPr>
              <w:t>A</w:t>
            </w:r>
            <w:r>
              <w:rPr>
                <w:rFonts w:hint="eastAsia"/>
                <w:color w:val="auto"/>
                <w:sz w:val="18"/>
                <w:szCs w:val="18"/>
                <w:highlight w:val="none"/>
              </w:rPr>
              <w:t>部分要求的临时用电设备设施可以送电运行。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10728" w:type="dxa"/>
            <w:gridSpan w:val="6"/>
            <w:vAlign w:val="top"/>
          </w:tcPr>
          <w:p>
            <w:pPr>
              <w:rPr>
                <w:color w:val="auto"/>
                <w:sz w:val="18"/>
                <w:szCs w:val="18"/>
                <w:highlight w:val="none"/>
              </w:rPr>
            </w:pPr>
            <w:r>
              <w:rPr>
                <w:rFonts w:hint="eastAsia"/>
                <w:color w:val="auto"/>
                <w:sz w:val="18"/>
                <w:szCs w:val="18"/>
                <w:highlight w:val="none"/>
              </w:rPr>
              <w:t>电源接入点：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985" w:type="dxa"/>
            <w:gridSpan w:val="2"/>
            <w:vAlign w:val="top"/>
          </w:tcPr>
          <w:p>
            <w:pPr>
              <w:rPr>
                <w:color w:val="auto"/>
                <w:sz w:val="18"/>
                <w:szCs w:val="18"/>
                <w:highlight w:val="none"/>
              </w:rPr>
            </w:pPr>
            <w:r>
              <w:rPr>
                <w:rFonts w:hint="eastAsia"/>
                <w:color w:val="auto"/>
                <w:sz w:val="18"/>
                <w:szCs w:val="18"/>
                <w:highlight w:val="none"/>
              </w:rPr>
              <w:t>临时用电设备设施送电人签字</w:t>
            </w:r>
            <w:r>
              <w:rPr>
                <w:color w:val="auto"/>
                <w:sz w:val="18"/>
                <w:szCs w:val="18"/>
                <w:highlight w:val="none"/>
              </w:rPr>
              <w:t xml:space="preserve">                       </w:t>
            </w:r>
          </w:p>
        </w:tc>
        <w:tc>
          <w:tcPr>
            <w:tcW w:w="1980" w:type="dxa"/>
            <w:vAlign w:val="top"/>
          </w:tcPr>
          <w:p>
            <w:pPr>
              <w:rPr>
                <w:color w:val="auto"/>
                <w:sz w:val="18"/>
                <w:szCs w:val="18"/>
                <w:highlight w:val="none"/>
              </w:rPr>
            </w:pPr>
          </w:p>
        </w:tc>
        <w:tc>
          <w:tcPr>
            <w:tcW w:w="5763" w:type="dxa"/>
            <w:gridSpan w:val="3"/>
            <w:vAlign w:val="top"/>
          </w:tcPr>
          <w:p>
            <w:pPr>
              <w:ind w:firstLine="270" w:firstLineChars="150"/>
              <w:rPr>
                <w:rFonts w:hint="eastAsia"/>
                <w:color w:val="auto"/>
                <w:sz w:val="18"/>
                <w:szCs w:val="18"/>
                <w:highlight w:val="none"/>
              </w:rPr>
            </w:pPr>
            <w:r>
              <w:rPr>
                <w:rFonts w:hint="eastAsia"/>
                <w:color w:val="auto"/>
                <w:sz w:val="18"/>
                <w:szCs w:val="18"/>
                <w:highlight w:val="none"/>
              </w:rPr>
              <w:t xml:space="preserve">送电时刻：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rPr>
          <w:color w:val="auto"/>
          <w:sz w:val="18"/>
          <w:szCs w:val="18"/>
          <w:highlight w:val="none"/>
        </w:rPr>
      </w:pPr>
      <w:r>
        <w:rPr>
          <w:rFonts w:hint="eastAsia"/>
          <w:color w:val="auto"/>
          <w:sz w:val="18"/>
          <w:szCs w:val="18"/>
          <w:highlight w:val="none"/>
        </w:rPr>
        <w:t>E：申请临时用电设备设施的拆除（临时用电拆除申请人填写）</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5"/>
        <w:gridCol w:w="1980"/>
        <w:gridCol w:w="5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0728" w:type="dxa"/>
            <w:gridSpan w:val="3"/>
            <w:vAlign w:val="top"/>
          </w:tcPr>
          <w:p>
            <w:pPr>
              <w:pStyle w:val="93"/>
              <w:ind w:firstLine="0" w:firstLineChars="0"/>
              <w:rPr>
                <w:color w:val="auto"/>
                <w:sz w:val="18"/>
                <w:szCs w:val="18"/>
                <w:highlight w:val="none"/>
              </w:rPr>
            </w:pPr>
            <w:r>
              <w:rPr>
                <w:rFonts w:hint="eastAsia"/>
                <w:color w:val="auto"/>
                <w:sz w:val="18"/>
                <w:szCs w:val="18"/>
                <w:highlight w:val="none"/>
              </w:rPr>
              <w:t>本项目所申请使用的临时用电设备设施已经完成使命，不再使用，现申请拆除。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985" w:type="dxa"/>
            <w:vAlign w:val="top"/>
          </w:tcPr>
          <w:p>
            <w:pPr>
              <w:pStyle w:val="93"/>
              <w:ind w:firstLine="0" w:firstLineChars="0"/>
              <w:rPr>
                <w:color w:val="auto"/>
                <w:sz w:val="18"/>
                <w:szCs w:val="18"/>
                <w:highlight w:val="none"/>
              </w:rPr>
            </w:pPr>
            <w:r>
              <w:rPr>
                <w:rFonts w:hint="eastAsia"/>
                <w:color w:val="auto"/>
                <w:sz w:val="18"/>
                <w:szCs w:val="18"/>
                <w:highlight w:val="none"/>
              </w:rPr>
              <w:t>临时用电拆除申请人签字</w:t>
            </w:r>
          </w:p>
        </w:tc>
        <w:tc>
          <w:tcPr>
            <w:tcW w:w="1980" w:type="dxa"/>
            <w:vAlign w:val="top"/>
          </w:tcPr>
          <w:p>
            <w:pPr>
              <w:pStyle w:val="93"/>
              <w:ind w:firstLine="0" w:firstLineChars="0"/>
              <w:rPr>
                <w:color w:val="auto"/>
                <w:sz w:val="18"/>
                <w:szCs w:val="18"/>
                <w:highlight w:val="none"/>
              </w:rPr>
            </w:pPr>
          </w:p>
        </w:tc>
        <w:tc>
          <w:tcPr>
            <w:tcW w:w="5763" w:type="dxa"/>
            <w:vAlign w:val="top"/>
          </w:tcPr>
          <w:p>
            <w:pPr>
              <w:pStyle w:val="93"/>
              <w:ind w:firstLineChars="0"/>
              <w:rPr>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rPr>
          <w:color w:val="auto"/>
          <w:sz w:val="18"/>
          <w:szCs w:val="18"/>
          <w:highlight w:val="none"/>
        </w:rPr>
      </w:pPr>
      <w:r>
        <w:rPr>
          <w:rFonts w:hint="eastAsia"/>
          <w:color w:val="auto"/>
          <w:sz w:val="18"/>
          <w:szCs w:val="18"/>
          <w:highlight w:val="none"/>
        </w:rPr>
        <w:t>F：停止临时用电（由停电人填写）</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980"/>
        <w:gridCol w:w="5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28" w:type="dxa"/>
            <w:gridSpan w:val="3"/>
            <w:vAlign w:val="top"/>
          </w:tcPr>
          <w:p>
            <w:pPr>
              <w:rPr>
                <w:color w:val="auto"/>
                <w:sz w:val="18"/>
                <w:szCs w:val="18"/>
                <w:highlight w:val="none"/>
              </w:rPr>
            </w:pPr>
            <w:r>
              <w:rPr>
                <w:rFonts w:hint="eastAsia"/>
                <w:color w:val="auto"/>
                <w:sz w:val="18"/>
                <w:szCs w:val="18"/>
                <w:highlight w:val="none"/>
              </w:rPr>
              <w:t>我已核实，具备停止供电条件，已停止供电。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8" w:type="dxa"/>
            <w:vAlign w:val="top"/>
          </w:tcPr>
          <w:p>
            <w:pPr>
              <w:rPr>
                <w:color w:val="auto"/>
                <w:sz w:val="18"/>
                <w:szCs w:val="18"/>
                <w:highlight w:val="none"/>
              </w:rPr>
            </w:pPr>
            <w:r>
              <w:rPr>
                <w:rFonts w:hint="eastAsia"/>
                <w:color w:val="auto"/>
                <w:sz w:val="18"/>
                <w:szCs w:val="18"/>
                <w:highlight w:val="none"/>
              </w:rPr>
              <w:t>临时用电设备设施停电人签字</w:t>
            </w:r>
          </w:p>
        </w:tc>
        <w:tc>
          <w:tcPr>
            <w:tcW w:w="1980" w:type="dxa"/>
            <w:vAlign w:val="top"/>
          </w:tcPr>
          <w:p>
            <w:pPr>
              <w:rPr>
                <w:color w:val="auto"/>
                <w:sz w:val="18"/>
                <w:szCs w:val="18"/>
                <w:highlight w:val="none"/>
              </w:rPr>
            </w:pPr>
          </w:p>
        </w:tc>
        <w:tc>
          <w:tcPr>
            <w:tcW w:w="5760" w:type="dxa"/>
            <w:vAlign w:val="top"/>
          </w:tcPr>
          <w:p>
            <w:pPr>
              <w:ind w:firstLine="270" w:firstLineChars="150"/>
              <w:rPr>
                <w:color w:val="auto"/>
                <w:sz w:val="18"/>
                <w:szCs w:val="18"/>
                <w:highlight w:val="none"/>
              </w:rPr>
            </w:pPr>
            <w:r>
              <w:rPr>
                <w:rFonts w:hint="eastAsia"/>
                <w:color w:val="auto"/>
                <w:sz w:val="18"/>
                <w:szCs w:val="18"/>
                <w:highlight w:val="none"/>
              </w:rPr>
              <w:t xml:space="preserve">停电时刻：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ind w:left="-178" w:leftChars="-85" w:firstLine="153" w:firstLineChars="85"/>
        <w:rPr>
          <w:rFonts w:hint="eastAsia"/>
          <w:color w:val="auto"/>
          <w:sz w:val="18"/>
          <w:szCs w:val="18"/>
          <w:highlight w:val="none"/>
        </w:rPr>
      </w:pPr>
      <w:r>
        <w:rPr>
          <w:rFonts w:hint="eastAsia"/>
          <w:color w:val="auto"/>
          <w:sz w:val="18"/>
          <w:szCs w:val="18"/>
          <w:highlight w:val="none"/>
        </w:rPr>
        <w:t>G：实施临时用电设备设施的拆除（临时用电设备设施拆除人填写）</w:t>
      </w:r>
    </w:p>
    <w:tbl>
      <w:tblPr>
        <w:tblStyle w:val="51"/>
        <w:tblW w:w="10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976"/>
        <w:gridCol w:w="5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10728" w:type="dxa"/>
            <w:gridSpan w:val="3"/>
            <w:vAlign w:val="top"/>
          </w:tcPr>
          <w:p>
            <w:pPr>
              <w:rPr>
                <w:color w:val="auto"/>
                <w:sz w:val="18"/>
                <w:szCs w:val="18"/>
                <w:highlight w:val="none"/>
              </w:rPr>
            </w:pPr>
            <w:r>
              <w:rPr>
                <w:rFonts w:hint="eastAsia"/>
                <w:color w:val="auto"/>
                <w:sz w:val="18"/>
                <w:szCs w:val="18"/>
                <w:highlight w:val="none"/>
              </w:rPr>
              <w:t>本人在此声明：</w:t>
            </w:r>
          </w:p>
          <w:p>
            <w:pPr>
              <w:rPr>
                <w:color w:val="auto"/>
                <w:sz w:val="18"/>
                <w:szCs w:val="18"/>
                <w:highlight w:val="none"/>
              </w:rPr>
            </w:pPr>
            <w:r>
              <w:rPr>
                <w:rFonts w:hint="eastAsia"/>
                <w:color w:val="auto"/>
                <w:sz w:val="18"/>
                <w:szCs w:val="18"/>
                <w:highlight w:val="none"/>
              </w:rPr>
              <w:t>已拆除本项目所申请的临时用电设备设施，有关设施如临时电源盘、电缆已回收。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988" w:type="dxa"/>
            <w:vAlign w:val="top"/>
          </w:tcPr>
          <w:p>
            <w:pPr>
              <w:pStyle w:val="93"/>
              <w:ind w:firstLine="0" w:firstLineChars="0"/>
              <w:rPr>
                <w:rFonts w:hint="eastAsia"/>
                <w:color w:val="auto"/>
                <w:sz w:val="18"/>
                <w:szCs w:val="18"/>
                <w:highlight w:val="none"/>
              </w:rPr>
            </w:pPr>
            <w:r>
              <w:rPr>
                <w:rFonts w:hint="eastAsia"/>
                <w:color w:val="auto"/>
                <w:sz w:val="18"/>
                <w:szCs w:val="18"/>
                <w:highlight w:val="none"/>
              </w:rPr>
              <w:t>临时用电设备设施拆除人签字</w:t>
            </w:r>
          </w:p>
        </w:tc>
        <w:tc>
          <w:tcPr>
            <w:tcW w:w="1976" w:type="dxa"/>
            <w:vAlign w:val="top"/>
          </w:tcPr>
          <w:p>
            <w:pPr>
              <w:pStyle w:val="93"/>
              <w:ind w:firstLine="0" w:firstLineChars="0"/>
              <w:rPr>
                <w:rFonts w:hint="eastAsia"/>
                <w:color w:val="auto"/>
                <w:sz w:val="18"/>
                <w:szCs w:val="18"/>
                <w:highlight w:val="none"/>
              </w:rPr>
            </w:pPr>
          </w:p>
        </w:tc>
        <w:tc>
          <w:tcPr>
            <w:tcW w:w="5764" w:type="dxa"/>
            <w:vAlign w:val="top"/>
          </w:tcPr>
          <w:p>
            <w:pPr>
              <w:pStyle w:val="93"/>
              <w:ind w:left="964" w:firstLine="0" w:firstLineChars="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201   </w:t>
            </w:r>
            <w:r>
              <w:rPr>
                <w:rFonts w:hint="eastAsia"/>
                <w:color w:val="auto"/>
                <w:sz w:val="18"/>
                <w:szCs w:val="18"/>
                <w:highlight w:val="none"/>
              </w:rPr>
              <w:t>年</w:t>
            </w:r>
            <w:r>
              <w:rPr>
                <w:color w:val="auto"/>
                <w:sz w:val="18"/>
                <w:szCs w:val="18"/>
                <w:highlight w:val="none"/>
              </w:rPr>
              <w:t xml:space="preserve">     </w:t>
            </w:r>
            <w:r>
              <w:rPr>
                <w:rFonts w:hint="eastAsia"/>
                <w:color w:val="auto"/>
                <w:sz w:val="18"/>
                <w:szCs w:val="18"/>
                <w:highlight w:val="none"/>
              </w:rPr>
              <w:t>月</w:t>
            </w:r>
            <w:r>
              <w:rPr>
                <w:color w:val="auto"/>
                <w:sz w:val="18"/>
                <w:szCs w:val="18"/>
                <w:highlight w:val="none"/>
              </w:rPr>
              <w:t xml:space="preserve">     </w:t>
            </w:r>
            <w:r>
              <w:rPr>
                <w:rFonts w:hint="eastAsia"/>
                <w:color w:val="auto"/>
                <w:sz w:val="18"/>
                <w:szCs w:val="18"/>
                <w:highlight w:val="none"/>
              </w:rPr>
              <w:t>日</w:t>
            </w:r>
            <w:r>
              <w:rPr>
                <w:color w:val="auto"/>
                <w:sz w:val="18"/>
                <w:szCs w:val="18"/>
                <w:highlight w:val="none"/>
              </w:rPr>
              <w:t xml:space="preserve">     </w:t>
            </w:r>
            <w:r>
              <w:rPr>
                <w:rFonts w:hint="eastAsia"/>
                <w:color w:val="auto"/>
                <w:sz w:val="18"/>
                <w:szCs w:val="18"/>
                <w:highlight w:val="none"/>
              </w:rPr>
              <w:t>时</w:t>
            </w:r>
            <w:r>
              <w:rPr>
                <w:color w:val="auto"/>
                <w:sz w:val="18"/>
                <w:szCs w:val="18"/>
                <w:highlight w:val="none"/>
              </w:rPr>
              <w:t xml:space="preserve">     </w:t>
            </w:r>
            <w:r>
              <w:rPr>
                <w:rFonts w:hint="eastAsia"/>
                <w:color w:val="auto"/>
                <w:sz w:val="18"/>
                <w:szCs w:val="18"/>
                <w:highlight w:val="none"/>
              </w:rPr>
              <w:t>分</w:t>
            </w:r>
          </w:p>
        </w:tc>
      </w:tr>
    </w:tbl>
    <w:p>
      <w:pPr>
        <w:ind w:left="-178" w:leftChars="-85" w:firstLine="153" w:firstLineChars="85"/>
        <w:rPr>
          <w:color w:val="auto"/>
          <w:sz w:val="18"/>
          <w:szCs w:val="18"/>
          <w:highlight w:val="none"/>
        </w:rPr>
      </w:pPr>
      <w:r>
        <w:rPr>
          <w:rFonts w:hint="eastAsia"/>
          <w:color w:val="auto"/>
          <w:sz w:val="18"/>
          <w:szCs w:val="18"/>
          <w:highlight w:val="none"/>
        </w:rPr>
        <w:t>本单一式两联，白色联由临时用电申请人员保存，粉色联保存在作业许可签发室</w:t>
      </w:r>
    </w:p>
    <w:p>
      <w:pPr>
        <w:ind w:left="-178" w:leftChars="-85" w:firstLine="178" w:firstLineChars="85"/>
        <w:rPr>
          <w:rFonts w:hint="eastAsia"/>
          <w:color w:val="auto"/>
          <w:highlight w:val="none"/>
        </w:rPr>
      </w:pPr>
    </w:p>
    <w:p>
      <w:pPr>
        <w:ind w:left="-178" w:leftChars="-85" w:firstLine="178" w:firstLineChars="85"/>
        <w:rPr>
          <w:rFonts w:hint="eastAsia"/>
          <w:color w:val="auto"/>
          <w:highlight w:val="none"/>
        </w:rPr>
      </w:pPr>
    </w:p>
    <w:p>
      <w:pPr>
        <w:ind w:left="-178" w:leftChars="-85" w:firstLine="178" w:firstLineChars="85"/>
        <w:rPr>
          <w:rFonts w:hint="eastAsia"/>
          <w:color w:val="auto"/>
          <w:highlight w:val="none"/>
        </w:rPr>
      </w:pPr>
    </w:p>
    <w:p>
      <w:pPr>
        <w:ind w:left="-178" w:leftChars="-85" w:firstLine="178" w:firstLineChars="85"/>
        <w:rPr>
          <w:rFonts w:hint="eastAsia"/>
          <w:color w:val="auto"/>
          <w:highlight w:val="none"/>
        </w:rPr>
      </w:pPr>
    </w:p>
    <w:p>
      <w:pPr>
        <w:ind w:left="-178" w:leftChars="-85" w:firstLine="178" w:firstLineChars="85"/>
        <w:rPr>
          <w:rFonts w:hint="eastAsia"/>
          <w:color w:val="auto"/>
          <w:highlight w:val="none"/>
        </w:rPr>
      </w:pPr>
    </w:p>
    <w:p>
      <w:pPr>
        <w:ind w:left="-178" w:leftChars="-85" w:firstLine="178" w:firstLineChars="85"/>
        <w:rPr>
          <w:rFonts w:hint="eastAsia"/>
          <w:color w:val="auto"/>
          <w:highlight w:val="none"/>
        </w:rPr>
      </w:pPr>
    </w:p>
    <w:p>
      <w:pPr>
        <w:pStyle w:val="13"/>
        <w:spacing w:line="640" w:lineRule="exact"/>
        <w:jc w:val="both"/>
        <w:outlineLvl w:val="1"/>
        <w:rPr>
          <w:rFonts w:hint="eastAsia" w:ascii="方正黑体简体" w:hAnsi="方正黑体简体" w:eastAsia="方正黑体简体" w:cs="方正黑体简体"/>
          <w:b w:val="0"/>
          <w:bCs/>
          <w:color w:val="auto"/>
          <w:sz w:val="32"/>
          <w:szCs w:val="32"/>
          <w:highlight w:val="none"/>
          <w:lang w:val="en-US" w:eastAsia="zh-CN"/>
        </w:rPr>
      </w:pPr>
      <w:bookmarkStart w:id="912" w:name="_Toc11797"/>
      <w:bookmarkStart w:id="913" w:name="_Toc26053"/>
      <w:bookmarkStart w:id="914" w:name="_Toc13447"/>
      <w:r>
        <w:rPr>
          <w:rFonts w:hint="eastAsia" w:ascii="方正黑体简体" w:hAnsi="方正黑体简体" w:eastAsia="方正黑体简体" w:cs="方正黑体简体"/>
          <w:b w:val="0"/>
          <w:bCs/>
          <w:color w:val="auto"/>
          <w:sz w:val="32"/>
          <w:szCs w:val="32"/>
          <w:highlight w:val="none"/>
          <w:lang w:val="en-US" w:eastAsia="zh-CN"/>
        </w:rPr>
        <w:t>附件7</w:t>
      </w:r>
    </w:p>
    <w:p>
      <w:pPr>
        <w:pStyle w:val="13"/>
        <w:spacing w:line="640" w:lineRule="exact"/>
        <w:jc w:val="center"/>
        <w:outlineLvl w:val="1"/>
        <w:rPr>
          <w:rFonts w:hint="eastAsia" w:ascii="方正小标宋简体" w:hAnsi="方正小标宋简体" w:eastAsia="方正小标宋简体" w:cs="方正小标宋简体"/>
          <w:b w:val="0"/>
          <w:bCs/>
          <w:color w:val="auto"/>
          <w:sz w:val="36"/>
          <w:szCs w:val="36"/>
          <w:highlight w:val="none"/>
        </w:rPr>
      </w:pPr>
      <w:r>
        <w:rPr>
          <w:rFonts w:hint="eastAsia" w:ascii="方正小标宋简体" w:hAnsi="方正小标宋简体" w:eastAsia="方正小标宋简体" w:cs="方正小标宋简体"/>
          <w:b w:val="0"/>
          <w:bCs/>
          <w:color w:val="auto"/>
          <w:sz w:val="36"/>
          <w:szCs w:val="36"/>
          <w:highlight w:val="none"/>
        </w:rPr>
        <w:t>挖掘作业安全管理规范</w:t>
      </w:r>
      <w:bookmarkEnd w:id="912"/>
      <w:bookmarkEnd w:id="913"/>
      <w:bookmarkEnd w:id="914"/>
    </w:p>
    <w:p>
      <w:pPr>
        <w:snapToGrid w:val="0"/>
        <w:ind w:firstLine="482" w:firstLineChars="200"/>
        <w:jc w:val="center"/>
        <w:rPr>
          <w:rFonts w:hint="eastAsia" w:ascii="宋体" w:hAnsi="宋体"/>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第一条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为规范西南油气田公司（以下简称公司）生产作业场所内挖掘作业安全管理，消除或削减挖掘作业本身的风险以及挖掘作业对地下隐蔽工程造成的危害，防止挖掘作业本身或者导致隐蔽工程发生事故，依据中国石油天然气集团公司《挖掘作业安全管理规范》(Q/SY1247-2009)，结合公司的生产实际，特制定本规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第二条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本规范中挖掘作业是指在生产作业场所、生活基地及在役油气管道区域使用人工或推土机、挖掘机等施工机械，通过移除泥土形成沟、槽、坑或凹地的挖土、打桩、地锚入土的作业；或建筑物拆除以及在可能存在隐蔽工程的墙壁开槽打眼的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第三条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公司生产作业场所挖掘作业应按《西南油气田公司作业许可管理规定》实行作业许可管理。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第四条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作业人员应接受挖掘作业培训，执行挖掘作业管理程序。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color w:val="auto"/>
          <w:sz w:val="28"/>
          <w:szCs w:val="28"/>
          <w:highlight w:val="none"/>
        </w:rPr>
        <w:t>第五条</w:t>
      </w:r>
      <w:r>
        <w:rPr>
          <w:rFonts w:hint="eastAsia" w:ascii="方正仿宋简体" w:hAnsi="方正仿宋简体" w:eastAsia="方正仿宋简体" w:cs="方正仿宋简体"/>
          <w:color w:val="auto"/>
          <w:sz w:val="28"/>
          <w:szCs w:val="28"/>
          <w:highlight w:val="none"/>
        </w:rPr>
        <w:t xml:space="preserve"> </w:t>
      </w:r>
      <w:r>
        <w:rPr>
          <w:rFonts w:hint="eastAsia" w:ascii="方正仿宋简体" w:hAnsi="方正仿宋简体" w:eastAsia="方正仿宋简体" w:cs="方正仿宋简体"/>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挖掘作业开始前应进行工作前安全分析，必要时制定作业方案，确定应采取的相关措施，工作前安全分析和作业方案应考虑以下内容：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(一)交通状况；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(二)附近的振动源；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(三)隐蔽电气、管网等设施的分布情况；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(四)邻近的建筑结构及其状况；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(五)土质类型；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(六)地表水和地下水；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(七)对土壤和水的污染；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(八)架空的公用设施；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(九)挖出物及施工材料的存放；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(十)有害气体易燃气体、液体排放（泄漏）；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(十一)使用的工器具；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(十二)气候；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(十三)其他。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第六条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挖掘工作开始前，应保证现场相关人员拥有最新的地下设施布置图，明确标注地下设施的位置、走向及可能存在的危害，必要时可采用探测设备进行探测。挖掘范围涉及铁道等第三方设施的，须经其管理部门审核同意。</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第七条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对地下情况复杂、危险性较大的挖掘项目，施工区域主管部门根据情况，组织技术、设备、运行、安全等部门和相关单位联合进行现场地下设施交底，根据施工区域地质、水文、地下管道、埋地电力电缆、永久性标桩、地质和地震部门设置的长期观测孔等情况，向作业单位提出具体要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第八条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作业人员安全要求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(一)在坑、井、沟槽内作业应正确穿戴安全帽、防护鞋、手套等个人防护装备；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(二)熟知作业区域已存在的地下设施（电缆、光缆及油、气水管线等）情况；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(三)不应在坑、沟槽内休息，不得在挖掘设备下或坑、沟槽上端边沿站立、走动；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(四)人工开挖基坑时，操作人员之间要保持安全距离，一般大于2.5米；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(五)作业人员发现异常时，应立即撤离作业现场。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第九条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挖掘安全要求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(一)挖掘作业前对周围环境要认真检查，不能在危险岩石或建筑物下面进行作业。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(二)监督人员对挖掘区域、邻近区域和保护系统进行监督，发现异常危险征兆，应立即停止作业。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(三)挖土要自上而下，逐层进行，不应进行先挖坡脚的危险作业。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(四)对于作业过程中暴露出的线缆、管线或其它不能确认的物品时，应立即停止作业，妥善加以保护，并报告施工区域所在单位，待现场确认，并采取相应的安全保护措施后，方可继续作业。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(五)施工结束后，应根据要求及时回填，并恢复地面设施。若地下隐蔽设施有变化，作业单位应将变化情况向作业区域所在单位通报，以完善地下设施布置图。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第十条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挖掘方式安全要求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(一)当地下情况不明时，严禁使用施工机械进行挖掘作业。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(二)应用手工工具(例如铲子、锹、尖铲，镐只能用来开挖表面)来确认1.2米以内的任何地下设施的正确位置和深度。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(三)开挖作业临近地下隐蔽工程时，应采用人工方式，禁止使用铁钎、铁镐等工具和施工机械进行作业。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(四)采用机械设备开挖时，应确认活动范围内没有障碍物(如架空线路、管架等)。机械挖掘，多台阶同时开挖土方时，应验算边坡的稳定，确定挖土机离边坡的安全距离；多台机械开挖，挖土机间距离应大于10米。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第十一条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保护系统安全要求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(一)对于挖掘深度6米以内的作业，为防止作业面发生坍塌，应根据土质的类别设置斜坡和台阶、支撑和挡板等保护系统。对于挖掘深度超过6米所采取的保护系统，应由有资质的人员设计。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(二)在稳固岩层中挖掘或挖掘深度小于1.5米，且已经过具有地质勘察、建筑工程等专业技术资质的人员检查，认定没有坍塌可能性时，不需要设置保护系统。作业项目负责人应在作业许可证上说明理由。</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应根据现场土质的类型，确定斜坡或台阶的坡度允许值(高宽比)。土质分类及坡度允许值见表1。土质类型及密实度的确定参照《建筑地基基础设计规范》(GB50007－2011)执行。具有地质勘探、建筑工程等专业技术资质的人员设计斜坡或台阶，制定施工方案，并以书面形式保存在作业现场。</w:t>
      </w:r>
    </w:p>
    <w:tbl>
      <w:tblPr>
        <w:tblStyle w:val="51"/>
        <w:tblpPr w:leftFromText="180" w:rightFromText="180" w:vertAnchor="text" w:horzAnchor="page" w:tblpX="1544" w:tblpY="227"/>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620"/>
        <w:gridCol w:w="32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075" w:type="dxa"/>
            <w:vMerge w:val="restart"/>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土质类型</w:t>
            </w:r>
          </w:p>
        </w:tc>
        <w:tc>
          <w:tcPr>
            <w:tcW w:w="1620" w:type="dxa"/>
            <w:vMerge w:val="restart"/>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密实度或状态</w:t>
            </w:r>
          </w:p>
        </w:tc>
        <w:tc>
          <w:tcPr>
            <w:tcW w:w="6300" w:type="dxa"/>
            <w:gridSpan w:val="2"/>
            <w:vAlign w:val="center"/>
          </w:tcPr>
          <w:p>
            <w:pPr>
              <w:ind w:firstLine="420" w:firstLineChars="200"/>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坡度允许值(高宽比)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075" w:type="dxa"/>
            <w:vMerge w:val="continue"/>
            <w:vAlign w:val="center"/>
          </w:tcPr>
          <w:p>
            <w:pPr>
              <w:ind w:firstLine="420" w:firstLineChars="200"/>
              <w:jc w:val="center"/>
              <w:rPr>
                <w:rFonts w:hint="eastAsia" w:ascii="方正仿宋简体" w:hAnsi="宋体" w:eastAsia="方正仿宋简体"/>
                <w:color w:val="auto"/>
                <w:szCs w:val="21"/>
                <w:highlight w:val="none"/>
              </w:rPr>
            </w:pPr>
          </w:p>
        </w:tc>
        <w:tc>
          <w:tcPr>
            <w:tcW w:w="1620" w:type="dxa"/>
            <w:vMerge w:val="continue"/>
            <w:vAlign w:val="center"/>
          </w:tcPr>
          <w:p>
            <w:pPr>
              <w:ind w:firstLine="420" w:firstLineChars="200"/>
              <w:jc w:val="center"/>
              <w:rPr>
                <w:rFonts w:hint="eastAsia" w:ascii="方正仿宋简体" w:hAnsi="宋体" w:eastAsia="方正仿宋简体"/>
                <w:color w:val="auto"/>
                <w:szCs w:val="21"/>
                <w:highlight w:val="none"/>
              </w:rPr>
            </w:pPr>
          </w:p>
        </w:tc>
        <w:tc>
          <w:tcPr>
            <w:tcW w:w="3240" w:type="dxa"/>
            <w:vAlign w:val="center"/>
          </w:tcPr>
          <w:p>
            <w:pPr>
              <w:ind w:firstLine="640"/>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坡高在5米以内</w:t>
            </w:r>
          </w:p>
        </w:tc>
        <w:tc>
          <w:tcPr>
            <w:tcW w:w="3060" w:type="dxa"/>
            <w:vAlign w:val="center"/>
          </w:tcPr>
          <w:p>
            <w:pPr>
              <w:ind w:firstLine="640"/>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坡高在5～10米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075" w:type="dxa"/>
            <w:vMerge w:val="restart"/>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碎石土</w:t>
            </w:r>
          </w:p>
        </w:tc>
        <w:tc>
          <w:tcPr>
            <w:tcW w:w="162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密实</w:t>
            </w:r>
          </w:p>
        </w:tc>
        <w:tc>
          <w:tcPr>
            <w:tcW w:w="324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1：0.35～1：0.50</w:t>
            </w:r>
          </w:p>
        </w:tc>
        <w:tc>
          <w:tcPr>
            <w:tcW w:w="306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1：0.50～1：0.75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5" w:type="dxa"/>
            <w:vMerge w:val="continue"/>
            <w:vAlign w:val="center"/>
          </w:tcPr>
          <w:p>
            <w:pPr>
              <w:ind w:firstLine="420" w:firstLineChars="200"/>
              <w:jc w:val="center"/>
              <w:rPr>
                <w:rFonts w:hint="eastAsia" w:ascii="方正仿宋简体" w:hAnsi="宋体" w:eastAsia="方正仿宋简体"/>
                <w:color w:val="auto"/>
                <w:szCs w:val="21"/>
                <w:highlight w:val="none"/>
              </w:rPr>
            </w:pPr>
          </w:p>
        </w:tc>
        <w:tc>
          <w:tcPr>
            <w:tcW w:w="162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中密</w:t>
            </w:r>
          </w:p>
        </w:tc>
        <w:tc>
          <w:tcPr>
            <w:tcW w:w="324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1：0.50～1：0.75</w:t>
            </w:r>
          </w:p>
        </w:tc>
        <w:tc>
          <w:tcPr>
            <w:tcW w:w="306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1：0.75～1：1.00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5" w:type="dxa"/>
            <w:vMerge w:val="continue"/>
            <w:vAlign w:val="center"/>
          </w:tcPr>
          <w:p>
            <w:pPr>
              <w:ind w:firstLine="420" w:firstLineChars="200"/>
              <w:jc w:val="center"/>
              <w:rPr>
                <w:rFonts w:hint="eastAsia" w:ascii="方正仿宋简体" w:hAnsi="宋体" w:eastAsia="方正仿宋简体"/>
                <w:color w:val="auto"/>
                <w:szCs w:val="21"/>
                <w:highlight w:val="none"/>
              </w:rPr>
            </w:pPr>
          </w:p>
        </w:tc>
        <w:tc>
          <w:tcPr>
            <w:tcW w:w="162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稍密</w:t>
            </w:r>
          </w:p>
        </w:tc>
        <w:tc>
          <w:tcPr>
            <w:tcW w:w="324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1：0.75～1：1.00</w:t>
            </w:r>
          </w:p>
        </w:tc>
        <w:tc>
          <w:tcPr>
            <w:tcW w:w="306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1：1.00～1：1.25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5" w:type="dxa"/>
            <w:vMerge w:val="restart"/>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粘性土</w:t>
            </w:r>
          </w:p>
        </w:tc>
        <w:tc>
          <w:tcPr>
            <w:tcW w:w="162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坚硬</w:t>
            </w:r>
          </w:p>
        </w:tc>
        <w:tc>
          <w:tcPr>
            <w:tcW w:w="324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1：0.75～1：1.00</w:t>
            </w:r>
          </w:p>
        </w:tc>
        <w:tc>
          <w:tcPr>
            <w:tcW w:w="306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1：1.00～1：1.25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5" w:type="dxa"/>
            <w:vMerge w:val="continue"/>
            <w:vAlign w:val="center"/>
          </w:tcPr>
          <w:p>
            <w:pPr>
              <w:ind w:firstLine="420" w:firstLineChars="200"/>
              <w:jc w:val="center"/>
              <w:rPr>
                <w:rFonts w:hint="eastAsia" w:ascii="方正仿宋简体" w:hAnsi="宋体" w:eastAsia="方正仿宋简体"/>
                <w:color w:val="auto"/>
                <w:szCs w:val="21"/>
                <w:highlight w:val="none"/>
              </w:rPr>
            </w:pPr>
          </w:p>
        </w:tc>
        <w:tc>
          <w:tcPr>
            <w:tcW w:w="162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硬塑</w:t>
            </w:r>
          </w:p>
        </w:tc>
        <w:tc>
          <w:tcPr>
            <w:tcW w:w="324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1：1.00～1：1.25</w:t>
            </w:r>
          </w:p>
        </w:tc>
        <w:tc>
          <w:tcPr>
            <w:tcW w:w="3060" w:type="dxa"/>
            <w:vAlign w:val="center"/>
          </w:tcPr>
          <w:p>
            <w:pPr>
              <w:jc w:val="center"/>
              <w:rPr>
                <w:rFonts w:hint="eastAsia" w:ascii="方正仿宋简体" w:hAnsi="宋体" w:eastAsia="方正仿宋简体"/>
                <w:color w:val="auto"/>
                <w:szCs w:val="21"/>
                <w:highlight w:val="none"/>
              </w:rPr>
            </w:pPr>
            <w:r>
              <w:rPr>
                <w:rFonts w:hint="eastAsia" w:ascii="方正仿宋简体" w:hAnsi="宋体" w:eastAsia="方正仿宋简体"/>
                <w:color w:val="auto"/>
                <w:szCs w:val="21"/>
                <w:highlight w:val="none"/>
              </w:rPr>
              <w:t>1：1.25～1：1.50</w:t>
            </w:r>
          </w:p>
        </w:tc>
      </w:tr>
    </w:tbl>
    <w:p>
      <w:pPr>
        <w:spacing w:line="560" w:lineRule="exact"/>
        <w:ind w:firstLine="480" w:firstLineChars="200"/>
        <w:jc w:val="center"/>
        <w:rPr>
          <w:rFonts w:hint="eastAsia" w:ascii="方正仿宋简体" w:hAnsi="宋体" w:eastAsia="方正仿宋简体"/>
          <w:color w:val="auto"/>
          <w:sz w:val="24"/>
          <w:szCs w:val="24"/>
          <w:highlight w:val="none"/>
        </w:rPr>
      </w:pPr>
      <w:r>
        <w:rPr>
          <w:rFonts w:hint="eastAsia" w:ascii="方正仿宋简体" w:hAnsi="宋体" w:eastAsia="方正仿宋简体"/>
          <w:color w:val="auto"/>
          <w:sz w:val="24"/>
          <w:szCs w:val="24"/>
          <w:highlight w:val="none"/>
        </w:rPr>
        <w:t xml:space="preserve">表 1 </w:t>
      </w:r>
      <w:r>
        <w:rPr>
          <w:rFonts w:hint="eastAsia" w:ascii="方正仿宋简体" w:hAnsi="宋体" w:eastAsia="方正仿宋简体"/>
          <w:color w:val="auto"/>
          <w:sz w:val="24"/>
          <w:szCs w:val="24"/>
          <w:highlight w:val="none"/>
          <w:lang w:val="en-US" w:eastAsia="zh-CN"/>
        </w:rPr>
        <w:t xml:space="preserve"> </w:t>
      </w:r>
      <w:r>
        <w:rPr>
          <w:rFonts w:hint="eastAsia" w:ascii="方正仿宋简体" w:hAnsi="宋体" w:eastAsia="方正仿宋简体"/>
          <w:color w:val="auto"/>
          <w:sz w:val="24"/>
          <w:szCs w:val="24"/>
          <w:highlight w:val="none"/>
        </w:rPr>
        <w:t>土质分类及坡度允许值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(四)在挖掘开始之前，应根据土质类型确定是否需要支撑和挡板。在选择液压支撑、沟槽千斤顶和挡板等保护措施时，应遵循制造商的技术要求和建议。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(五)保护性支撑系统的安装应自上而下进行，支撑系统的所有部件应稳固相连。严禁用胶合板制作构件。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(六)如果需要临时拆除个别构件，应先安装新的替代构件，以承担加载在支撑系统上的负荷，再拆除旧的替代构件。工程完成后，应自下而上拆除保护性支撑系统，回填和支撑系统的拆除应同步进行。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七)挖出物应及时运出，如需要临时堆土，或留作回填土，挖出物或其他物料至少应距坑、井、沟槽边沿1米，堆积高度不得超过1.5米，坡度不大于45°，不得堵塞下水道、窨井以及作业现场的逃生通道和消防通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(八)在坑、井、沟槽的上方、附近放置物料和其他重物或操作挖掘机械、起重机、卡车时，应在边沿安装板桩并加以支撑和固定，设置警示标志或障碍物。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bCs/>
          <w:color w:val="auto"/>
          <w:sz w:val="28"/>
          <w:szCs w:val="28"/>
          <w:highlight w:val="none"/>
        </w:rPr>
        <w:t>第十二条</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 xml:space="preserve"> 邻近结构物安全要求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(一)挖掘前应确定附近结构物是否需要临时支撑。必要时由有资质的专业人员对邻近结构物基础进行评价并提出保护措施建议。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(二)如果挖掘作业危及邻近的房屋、墙壁、道路或其他结构物，应当使用支撑系统或其他保护措施，如支撑、加固或托换基础来确保这些结构物的稳固性，并保护员工免受伤害。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(三)不得在邻近建筑物基础的水平面下或挡土墙的底脚下进行挖掘，除非在稳固的岩层上挖掘或已经采取了下列预防措施：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1.提供诸如托换基础的支撑系统；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2.建筑物距挖掘处有足够的距离；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3.挖掘工作不会对员工造成伤害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bCs/>
          <w:color w:val="auto"/>
          <w:sz w:val="28"/>
          <w:szCs w:val="28"/>
          <w:highlight w:val="none"/>
        </w:rPr>
        <w:t>第十三条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进出口安全要求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(一)挖掘深度超过1.2米时，应在合适的距离内提供梯子、台阶或坡道等，用于安全进出。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(二)作业场所不具备设置进出口条件，应设置逃生梯、救生索及机械升降装置等，并安排专人监护作业，始终保持有效的沟通。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(三)当允许员工、设备在挖掘处上方通过时，应提供带有标准栏杆的通道或桥梁，并明确通行限制条件。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bCs/>
          <w:color w:val="auto"/>
          <w:sz w:val="28"/>
          <w:szCs w:val="28"/>
          <w:highlight w:val="none"/>
        </w:rPr>
        <w:t>第十四条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排水安全要求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(一)雷雨天气应停止挖掘作业，雨后复工时，应检查受雨水影响的挖掘现场，监督排水设备的正确使用，检查土壁稳定和支撑牢固情况。发现问题，要及时采取措施，防止骤然崩坍。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(二)如果有积水或正在积水，应采用导流渠，构筑堤防或其他适当的措施，防止地表水或地下水进入挖掘处，并采取适当的措施排水，方可进行挖掘作业。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bCs/>
          <w:color w:val="auto"/>
          <w:sz w:val="28"/>
          <w:szCs w:val="28"/>
          <w:highlight w:val="none"/>
        </w:rPr>
        <w:t>第十五条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危险性气体环境安全要求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(一)对深度超过1.2米，可能存在危险性气体的挖掘现场，应按《西南油气田公司进入受限空间作业安全管理规范》要求进行气体检测。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(二)在填埋区域、危险化学品生产、储存区域等可能产生危险性气体的施工区域挖掘时，应对作业环境进行气体检测，并采取相关措施，如使用呼吸器、通风设备和防爆工具等。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(三)在可能排放有毒有害物质的危险场所挖掘时，要与有关操作人员建立联系，当生产装置放有毒有害物质时，生产装置操作人员应立即通知挖掘作业人员停止作业，迅速撤离现场。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bCs/>
          <w:color w:val="auto"/>
          <w:sz w:val="28"/>
          <w:szCs w:val="28"/>
          <w:highlight w:val="none"/>
        </w:rPr>
        <w:t>第十六条</w:t>
      </w:r>
      <w:r>
        <w:rPr>
          <w:rFonts w:hint="eastAsia" w:ascii="方正仿宋简体" w:hAnsi="宋体" w:eastAsia="方正仿宋简体"/>
          <w:color w:val="auto"/>
          <w:sz w:val="28"/>
          <w:szCs w:val="28"/>
          <w:highlight w:val="none"/>
        </w:rPr>
        <w:t xml:space="preserve"> </w:t>
      </w:r>
      <w:r>
        <w:rPr>
          <w:rFonts w:hint="eastAsia" w:ascii="方正仿宋简体" w:hAnsi="宋体" w:eastAsia="方正仿宋简体"/>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标志与警示要求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(一)挖掘作业现场应设置护栏、盖板和明显的警示标志。在人员密集场所或区域施工时，夜间应悬挂红灯警示。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(二)挖掘作业如果阻断道路，应设置明显的警示和禁行标志，对于确需通行车辆的道路，应铺设临时通行设施，限制通行车辆吨位，并安排专人指挥车辆通行。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(四)采用警示路障时，应将其安置在距开挖边缘至少1.5米之外。如果采用废石堆作为路障，其高度不得低于1米。在道路附近作业时应穿戴警示背心。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center"/>
        <w:outlineLvl w:val="1"/>
        <w:rPr>
          <w:rFonts w:hint="eastAsia" w:ascii="方正小标宋简体" w:hAnsi="华文中宋" w:eastAsia="方正小标宋简体"/>
          <w:color w:val="auto"/>
          <w:sz w:val="32"/>
          <w:szCs w:val="32"/>
          <w:highlight w:val="none"/>
        </w:rPr>
      </w:pPr>
    </w:p>
    <w:p>
      <w:pPr>
        <w:spacing w:line="640" w:lineRule="exact"/>
        <w:jc w:val="both"/>
        <w:outlineLvl w:val="1"/>
        <w:rPr>
          <w:rFonts w:hint="eastAsia" w:ascii="方正小标宋简体" w:hAnsi="华文中宋" w:eastAsia="方正小标宋简体"/>
          <w:color w:val="auto"/>
          <w:sz w:val="32"/>
          <w:szCs w:val="32"/>
          <w:highlight w:val="none"/>
        </w:rPr>
      </w:pPr>
    </w:p>
    <w:p>
      <w:pPr>
        <w:spacing w:line="640" w:lineRule="exact"/>
        <w:jc w:val="both"/>
        <w:outlineLvl w:val="1"/>
        <w:rPr>
          <w:rFonts w:hint="eastAsia" w:ascii="方正黑体简体" w:hAnsi="方正黑体简体" w:eastAsia="方正黑体简体" w:cs="方正黑体简体"/>
          <w:b w:val="0"/>
          <w:bCs w:val="0"/>
          <w:color w:val="auto"/>
          <w:sz w:val="32"/>
          <w:szCs w:val="32"/>
          <w:highlight w:val="none"/>
          <w:lang w:val="en-US" w:eastAsia="zh-CN"/>
        </w:rPr>
      </w:pPr>
      <w:bookmarkStart w:id="915" w:name="_Toc12382"/>
      <w:bookmarkStart w:id="916" w:name="_Toc780"/>
      <w:bookmarkStart w:id="917" w:name="_Toc27951"/>
      <w:r>
        <w:rPr>
          <w:rFonts w:hint="eastAsia" w:ascii="方正黑体简体" w:hAnsi="方正黑体简体" w:eastAsia="方正黑体简体" w:cs="方正黑体简体"/>
          <w:b w:val="0"/>
          <w:bCs w:val="0"/>
          <w:color w:val="auto"/>
          <w:sz w:val="32"/>
          <w:szCs w:val="32"/>
          <w:highlight w:val="none"/>
          <w:lang w:val="en-US" w:eastAsia="zh-CN"/>
        </w:rPr>
        <w:t>附件8</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小标宋简体" w:hAnsi="华文中宋" w:eastAsia="方正小标宋简体"/>
          <w:b w:val="0"/>
          <w:bCs w:val="0"/>
          <w:color w:val="auto"/>
          <w:sz w:val="32"/>
          <w:szCs w:val="32"/>
          <w:highlight w:val="none"/>
        </w:rPr>
      </w:pPr>
      <w:r>
        <w:rPr>
          <w:rFonts w:hint="eastAsia" w:ascii="方正小标宋简体" w:hAnsi="华文中宋" w:eastAsia="方正小标宋简体"/>
          <w:b w:val="0"/>
          <w:bCs w:val="0"/>
          <w:color w:val="auto"/>
          <w:sz w:val="32"/>
          <w:szCs w:val="32"/>
          <w:highlight w:val="none"/>
        </w:rPr>
        <w:t>移动式起重机吊装作业安全管理规范</w:t>
      </w:r>
      <w:bookmarkEnd w:id="915"/>
      <w:bookmarkEnd w:id="916"/>
      <w:bookmarkEnd w:id="917"/>
    </w:p>
    <w:p>
      <w:pPr>
        <w:ind w:firstLine="640" w:firstLineChars="200"/>
        <w:jc w:val="center"/>
        <w:rPr>
          <w:rFonts w:hint="eastAsia" w:ascii="方正小标宋简体" w:hAnsi="宋体" w:eastAsia="方正小标宋简体"/>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第一条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为规范西南油气田公司（以下简称公司）移动式起重机吊装作业安全管理，避免发生吊装伤害，保障员工生命安全、避免企业的财产损失，根据《移动式起重机吊装作业安全管理规范》（Q/SY1248－2009），结合公司生产实际，特制定本规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第二条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本规范所指的移动式起重机是指移动式起重机即自行式起重机，包括履带起重机、轮胎起重机，不包括桥式起重机、龙门式起重机、固定式桅杆起重机、悬挂式伸臂起重机以及额定起重量不超过1吨的起重机。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第三条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公司对移动式起重机吊装作业按《西南油气田公司作业许可管理规定》实行作业许可，任何非固定场所的临时吊装作业必须办理作业许可证。</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第四条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起重指挥人员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接受专业技术培训及考核，持证上岗；严格执行吊装作业计划，按规定的指挥信号进行指挥；监督吊索或吊具的选择；正式起吊前应指挥试吊，确认一切正常，方可正式指挥吊装；及时判断和处理异常情况，发现安全措施落实不完善，有权暂停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第五条</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b/>
          <w:color w:val="auto"/>
          <w:sz w:val="28"/>
          <w:szCs w:val="28"/>
          <w:highlight w:val="none"/>
        </w:rPr>
        <w:t xml:space="preserve"> </w:t>
      </w:r>
      <w:r>
        <w:rPr>
          <w:rFonts w:hint="eastAsia" w:ascii="方正仿宋简体" w:hAnsi="宋体" w:eastAsia="方正仿宋简体"/>
          <w:color w:val="auto"/>
          <w:sz w:val="28"/>
          <w:szCs w:val="28"/>
          <w:highlight w:val="none"/>
        </w:rPr>
        <w:t>司索人员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接受专业技术培训及考核，持证上岗；测算货物重量与起重机额定起重量是否相符；根据货物的重量、体积和形状等情况选择合适的吊具与吊索；检查吊具、吊索与货物的捆绑或吊挂情况。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听从指挥人员的指挥，及时报告险情；熟知作业过程中的危害因素和控制措施。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第六条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起重机司机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接受专业技术培训及考核，持证上岗；参与吊装作业计划的编制；严格执行吊装作业计划，按指挥人员（中间指挥人员）所发出的指挥信号进行操作；对紧急停车信号，不论任何人发出，均应立即执行；熟知作业过程中的危害因素和控制措施；定期对起重机进行检查、维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第七条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移动式起重机吊装作业按吊装重物的重量及吊装方式分为普通吊装和关键性吊装。符合下列条件之一的，应视为关键性吊装作业。凡属关键性吊装作业的，应制定关键性吊装计划，参见附件1制定关键性吊装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（一）货物载荷超过额定起重能力的75%。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（二）货物需要一台以上的起重机联合起吊的。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（三）吊臂和货物与管线、设备或输电线路的距离小于规定的安全距离。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（四）吊臂越过障碍物起吊，操作员无法目视且仅靠指挥信号操作。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（五）起吊偏离制造厂家的要求，如吊臂的组成与说明书中吊臂的组合不同；使用的吊臂长度超过说明书中的规定等。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（六）吊装重物的重量大于等于40吨的吊装作业。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（七）吊装物越过有人的建筑物、运行的设备或装置的。</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b/>
          <w:color w:val="auto"/>
          <w:sz w:val="28"/>
          <w:szCs w:val="28"/>
          <w:highlight w:val="none"/>
        </w:rPr>
        <w:t xml:space="preserve">第八条 </w:t>
      </w:r>
      <w:r>
        <w:rPr>
          <w:rFonts w:hint="eastAsia" w:ascii="方正仿宋简体" w:hAnsi="宋体" w:eastAsia="方正仿宋简体"/>
          <w:b/>
          <w:color w:val="auto"/>
          <w:sz w:val="28"/>
          <w:szCs w:val="28"/>
          <w:highlight w:val="none"/>
          <w:lang w:val="en-US" w:eastAsia="zh-CN"/>
        </w:rPr>
        <w:t xml:space="preserve"> </w:t>
      </w:r>
      <w:r>
        <w:rPr>
          <w:rFonts w:hint="eastAsia" w:ascii="方正仿宋简体" w:hAnsi="宋体" w:eastAsia="方正仿宋简体"/>
          <w:color w:val="auto"/>
          <w:sz w:val="28"/>
          <w:szCs w:val="28"/>
          <w:highlight w:val="none"/>
        </w:rPr>
        <w:t>起重机械的检查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（一）使用前的外观检查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设备技术人员、起重机司机在下列情况下应对起重机进行使用前的外观检查。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1.新购置的。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2.大修、改造后。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3.移动到另一个现场。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4.连续使用时间在一个月以上。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5.因衍架吊臂起重机存在安装、更换、拆除等环节，在检查表中还应增加如下检查内容：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6.起重臂是否有变形、裂缝或严重锈蚀，焊缝有无异常。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7.起重臂的提升绳鼓，钢丝绳松弛后的排列情况。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8.起重臂上的大小销子安装是否正确。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color w:val="auto"/>
          <w:sz w:val="28"/>
          <w:szCs w:val="28"/>
          <w:highlight w:val="none"/>
        </w:rPr>
      </w:pPr>
      <w:r>
        <w:rPr>
          <w:rFonts w:hint="eastAsia" w:ascii="方正仿宋简体" w:hAnsi="宋体" w:eastAsia="方正仿宋简体"/>
          <w:color w:val="auto"/>
          <w:sz w:val="28"/>
          <w:szCs w:val="28"/>
          <w:highlight w:val="none"/>
        </w:rPr>
        <w:t>（二）经常性检查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color w:val="auto"/>
          <w:sz w:val="28"/>
          <w:szCs w:val="28"/>
          <w:highlight w:val="none"/>
        </w:rPr>
        <w:t>起重司机每天工作前应对控制装置、吊钩、钢丝绳（包括端部的固定连接、平衡滑轮等）和安全装置进行检查，发现异常时，应在操作前排除</w:t>
      </w:r>
      <w:r>
        <w:rPr>
          <w:rFonts w:hint="eastAsia" w:ascii="方正仿宋简体" w:hAnsi="宋体" w:eastAsia="方正仿宋简体"/>
          <w:sz w:val="28"/>
          <w:szCs w:val="28"/>
        </w:rPr>
        <w:t>。若使用中发现有安全装置被损坏或失效（如上限位装置、过载装置等），应立即停止使用。每次检查及相应的整改情况均应填写检查表并保存。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（三）定期性检查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起重机拥有单位应对起重机进行定期性检查，检查周期可根据起重机的工作频率、环境条件确定，但不得少于每年一次。检查内容由企业根据起重机的种类、使用年限等情况综合确定。此项检查应由本单位专业维修人员或企业指定维修机构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除此之外，移动式起重机还应接受当地政府指定部门的定期检验。从设备启用到报废，定期检查均应保留检查记录。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（四）闲置、备用起重机的检查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1.对闲置时间在1个月以上6个月以下的起重机，在重新投入使用前由设备技术人员按照经常性检查的要求进行检查。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2.对闲置时间超过6个月的起重机，在重新投入使用前由本单位专业维修人员或企业指定维修机构按定期性检查的要求进行检查。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3.对备用起重机由设备技术人员按经常性检查的要求进行检查，检查至少半年一次。放置在恶劣的环境中的起重机应增加检查频率。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lang w:eastAsia="zh-CN"/>
        </w:rPr>
      </w:pPr>
      <w:r>
        <w:rPr>
          <w:rFonts w:hint="eastAsia" w:ascii="方正仿宋简体" w:hAnsi="宋体" w:eastAsia="方正仿宋简体"/>
          <w:sz w:val="28"/>
          <w:szCs w:val="28"/>
        </w:rPr>
        <w:t>起重机械检查的具体内容详见附件3</w:t>
      </w:r>
      <w:r>
        <w:rPr>
          <w:rFonts w:hint="eastAsia" w:ascii="方正仿宋简体" w:hAnsi="宋体" w:eastAsia="方正仿宋简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b/>
          <w:sz w:val="28"/>
          <w:szCs w:val="28"/>
        </w:rPr>
        <w:t xml:space="preserve">第九条 </w:t>
      </w:r>
      <w:r>
        <w:rPr>
          <w:rFonts w:hint="eastAsia" w:ascii="方正仿宋简体" w:hAnsi="宋体" w:eastAsia="方正仿宋简体"/>
          <w:b/>
          <w:sz w:val="28"/>
          <w:szCs w:val="28"/>
          <w:lang w:val="en-US" w:eastAsia="zh-CN"/>
        </w:rPr>
        <w:t xml:space="preserve"> </w:t>
      </w:r>
      <w:r>
        <w:rPr>
          <w:rFonts w:hint="eastAsia" w:ascii="方正仿宋简体" w:hAnsi="宋体" w:eastAsia="方正仿宋简体"/>
          <w:sz w:val="28"/>
          <w:szCs w:val="28"/>
        </w:rPr>
        <w:t>维护和修理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（一）使用者或单位不得修改或添加移动式起重机安全设施，其最大起重量不允许超过额定起重量。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（二）每一台移动式起重机都应根据使用说明书的要求，制订详细的预防性维护计划并定期实施。维护报告应存档。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（三）应按照制造厂家的要求使用专用或指定的润滑油，定期地对运动部件、钢丝绳和链条进行润滑。应检查强制润滑系统能否进行正确的润滑。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（四）应经常对液压传输控制系统进行维护，防止发生操作事故或液压油泄漏事故。若液压油泄漏，应彻底清除，避免污染环境。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（五）起重机的修理应由厂家或企业指定的专业机构进行。修理时至少应满足以下要求：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1.符合原设备制造厂家的技术要求。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2.更换的零部件应与原零部件的性能和材料相同。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3.结构件需焊修时，焊接质量应达到标准，所用的材料、焊条等应符合原结构件的性能要求。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（六）起重机处于工作状态时，不应进行维护、修理及人工润滑。停机维护时应采取下列安全预防措施：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1.起重机应转移到安全区域，将吊臂下降至地面，在吊臂无法下降的情况下，应尽可能将吊钩滑轮组下降至地面上，否则应将吊钩滑轮组机械固定。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2.将所有控制器置于空档位置并关闭开关，锁定启动器，取下点火钥匙。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3.安装或拆卸吊臂时，应将吊臂垫实或固定牢，严禁人员在吊臂上下方停留或通过。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4.维护时，手、脚、衣服应远离齿轮、绳子、绳鼓和滑轮组。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5.在穿钢丝绳时应使用木棒或铁棍。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6.在重新启动前，应安装好防护装置和面板，并通知周围人员撤离至安全位置。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7.凡2米以上的高处维修作业，必须采取防坠落措施。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8.其他。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七)在起重机的明显位置应配置有金属标牌。标牌的内容包括起重机名称、型号、额定起重能力、制造厂名、出厂日期及其他内容。起重机拥有单位应对本单位的起重机、重要的专用辅具建立设备技术信息档案，主要包括下列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1.起重机出厂技术文件，如产品合格证、图纸、质量证明书、安装和使用说明书等、特种设备检验合格证等；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2.启用时间、日常使用、检查、维护、修理、变更和试验等记录。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3.设备、人身事故记录。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4.设备存在的问题和评价。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如果制造厂家提供的使用规范和最大吊杆起重能力等数据遗失，应送厂家指定或委托的专业机构进行检验、鉴定，鉴定结果应存档。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b/>
          <w:sz w:val="28"/>
          <w:szCs w:val="28"/>
        </w:rPr>
        <w:t>第十条</w:t>
      </w:r>
      <w:r>
        <w:rPr>
          <w:rFonts w:hint="eastAsia" w:ascii="方正仿宋简体" w:hAnsi="宋体" w:eastAsia="方正仿宋简体"/>
          <w:sz w:val="28"/>
          <w:szCs w:val="28"/>
        </w:rPr>
        <w:t xml:space="preserve"> </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起重指挥人员、司索人员（起重工）和起重机械司机属于特种作业人员，必须取得地方主管部门颁发的《特种作业人员操作证》后，方可从事指挥和操作，严禁无证操作。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b/>
          <w:sz w:val="28"/>
          <w:szCs w:val="28"/>
        </w:rPr>
        <w:t>第十一条</w:t>
      </w:r>
      <w:r>
        <w:rPr>
          <w:rFonts w:hint="eastAsia" w:ascii="方正仿宋简体" w:hAnsi="宋体" w:eastAsia="方正仿宋简体"/>
          <w:sz w:val="28"/>
          <w:szCs w:val="28"/>
        </w:rPr>
        <w:t xml:space="preserve"> </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在进行吊装作业时，必须明确指挥人员。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宋体" w:eastAsia="方正仿宋简体"/>
          <w:sz w:val="28"/>
          <w:szCs w:val="28"/>
        </w:rPr>
      </w:pPr>
      <w:r>
        <w:rPr>
          <w:rFonts w:hint="eastAsia" w:ascii="方正仿宋简体" w:hAnsi="宋体" w:eastAsia="方正仿宋简体"/>
          <w:b/>
          <w:sz w:val="28"/>
          <w:szCs w:val="28"/>
        </w:rPr>
        <w:t xml:space="preserve">第十二条 </w:t>
      </w:r>
      <w:r>
        <w:rPr>
          <w:rFonts w:hint="eastAsia" w:ascii="方正仿宋简体" w:hAnsi="宋体" w:eastAsia="方正仿宋简体"/>
          <w:b/>
          <w:sz w:val="28"/>
          <w:szCs w:val="28"/>
          <w:lang w:val="en-US" w:eastAsia="zh-CN"/>
        </w:rPr>
        <w:t xml:space="preserve"> </w:t>
      </w:r>
      <w:r>
        <w:rPr>
          <w:rFonts w:hint="eastAsia" w:ascii="方正仿宋简体" w:hAnsi="宋体" w:eastAsia="方正仿宋简体"/>
          <w:sz w:val="28"/>
          <w:szCs w:val="28"/>
        </w:rPr>
        <w:t>任何人员不得在悬挂的货物下工作、站立、行走，不得随同货物或起重机械升降。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第十三条</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关键性吊装作业，生产单位必须指派专人到作业现场实施全过程监督管理，对吊装作业现场进行管理。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sz w:val="28"/>
          <w:szCs w:val="28"/>
        </w:rPr>
        <w:t xml:space="preserve"> 起重机械司机在吊装作业过程中持续作业一般不超过2小时，如需，则应中途休息或配备双司机轮流作业。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第十五条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起重机安全基本要求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（一）平台和走道应采用防滑表面。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（二）人员可接触的运动件或旋转件应安装有保护罩或面板。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（三）所有排气管道应设置防护装置或隔热层。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（四）起重机驾驶室所有窗户的玻璃应为安全玻璃。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（五）根据起重机型号，出入起重机驾驶室、操作室均应配备梯子（带栏杆或扶手）或台阶。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（六）配置有标尺的油箱应密封良好，避免燃油溅出或溢出。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（七）起重机操作室和驾驶室中应配置灭火器。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（八）所有主臂副臂设置机械式安全停止装置。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（九）如果起重机遭受了异常应力或载荷的冲击，或吊臂出现异常振动、抖动等，在重新投入使用前，应由专业机构进行彻底的检查和修理。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（十）在加油时起重机应熄火，在行驶中钓钩应收回并固定牢固。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（十一）随机备有安全警示牌、使用手册、载荷能力铭牌并根据现场情况设置。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
          <w:sz w:val="28"/>
          <w:szCs w:val="28"/>
        </w:rPr>
        <w:t xml:space="preserve"> </w:t>
      </w:r>
      <w:r>
        <w:rPr>
          <w:rFonts w:hint="eastAsia" w:ascii="方正仿宋简体" w:hAnsi="方正仿宋简体" w:eastAsia="方正仿宋简体" w:cs="方正仿宋简体"/>
          <w:sz w:val="28"/>
          <w:szCs w:val="28"/>
        </w:rPr>
        <w:t>吊装作业安全要求</w:t>
      </w:r>
      <w:r>
        <w:rPr>
          <w:rFonts w:hint="eastAsia" w:ascii="方正仿宋简体" w:hAnsi="方正仿宋简体" w:eastAsia="方正仿宋简体" w:cs="方正仿宋简体"/>
          <w:color w:val="0070C0"/>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（一）进入作业区域之前，应对基础地面及地下土层承载力、作业环境等进行评估。较复杂的吊装作业还应编制吊装作业计划(HSE作业计划书)。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（二）任何情况下，严禁起重机带载行走。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（三）指挥信号明确并符合规定。对紧急停车信号，不论何人发出，都应立即执行。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（四）在可能产生易燃易爆、有毒有害气体的空间或环境中工作时，应进行气体检测。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（五）需在电力线路附近使用起重机时，起重机与电力线路的安全距离应符合相关标准。在没有明确告知的情况下，所有电线电缆均应视为带电电缆。必要时应制定关键性吊装计划并严格实施。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（六）在正式开始吊装作业前，司机应巡视工作场所，确认支腿是否垫枕木，发现问题应及时整改。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（七）起重机司机应与指挥人员保持可靠的沟通，沟通方式的优先顺序如下：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1.视觉联系。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2.有线对讲装置。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3.双向对讲机。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当联络中断时，起重机司机应停止所有操作，直到重新恢复联系。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（八）密切注意货物摆动、提升、下降对起重机稳定性的影响。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（九）严禁起吊超载、重量不清的物货和埋置物件；严禁斜拉斜吊。在大雪、暴雨、大雾等恶劣天气及风力达到六级时应停止起吊作业，并卸下货物，收回吊臂。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（十）起重机吊臂回转范围内应采用警戒带或其他方式隔离，无关人员不得进入该区域内。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（十一）起重机吊钩的防脱钩设施应处于良好状态。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（十二）操作中起重机应处于水平状态。在操作过程中可通过引绳来控制货物的摆动，禁止将引绳缠绕在身体的任何部位。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（十三）在下列情况下，司机不得离开操作室：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1.货物处于悬吊状态。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2.操作手柄未复位。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3.手刹未处于制动状态。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4.起重机未熄火关闭。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5.门锁未锁好。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（十四）在起重机运行时，任何人不得站在起重机上。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（十五）遵循制造厂家规定的最大负荷能力以及最大吊臂长度限定要求。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（十六）严禁在使用钢绳悬吊的载荷上进行焊接；严禁使用钢丝绳、吊带吊装气瓶。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第十七条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在吊装作业中，有下列情况之一者不准吊装：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（一）指挥信号不明、错误或乱指挥不吊。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（二）重量不明，埋入地下或超负荷不吊。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（三）工件捆绑不牢、棱角未包未垫、捆绑方法错误和吊挂重物直接进行加工或焊接时不吊。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（四）吊索具不合格或报废时不吊。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（五）吊物上有人，用人作配重或吊物上有散浮件时不吊。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（六）光线不良，照明不良不吊。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（七）歪接斜吊（大于5％）不吊。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（八）六级以上强风不吊。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（九）起重机电铃、吊钩限位器缺陷时不吊。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（十）制动器等部件不可靠时不吊。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 xml:space="preserve">第十八条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起重作业完毕，作业人员应做好以下工作：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（一）将吊钩和起重臂放到规定的位置，所有控制手柄均应放到零位。对使用电气控制的起重机械，必须将总电源开关切断。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（二）将吊索、吊具收回放置于规定的地方，并对其进行检查、维护。对达到报废标准的要及时更换。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（三）对接替工作人员，应告知设备、设施存在的异常情况及尚未消除的故障。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pStyle w:val="13"/>
        <w:keepNext w:val="0"/>
        <w:keepLines w:val="0"/>
        <w:pageBreakBefore w:val="0"/>
        <w:widowControl w:val="0"/>
        <w:kinsoku/>
        <w:wordWrap/>
        <w:overflowPunct/>
        <w:topLinePunct w:val="0"/>
        <w:autoSpaceDE/>
        <w:autoSpaceDN/>
        <w:bidi w:val="0"/>
        <w:adjustRightInd/>
        <w:snapToGrid/>
        <w:spacing w:line="560" w:lineRule="exact"/>
        <w:ind w:left="1399" w:leftChars="266" w:hanging="840" w:hangingChars="3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附件：1.关键性吊装作业计划</w:t>
      </w:r>
      <w:r>
        <w:rPr>
          <w:rFonts w:hint="eastAsia" w:ascii="方正仿宋简体" w:hAnsi="方正仿宋简体" w:eastAsia="方正仿宋简体" w:cs="方正仿宋简体"/>
          <w:vanish/>
          <w:sz w:val="28"/>
          <w:szCs w:val="28"/>
        </w:rPr>
        <w:cr/>
      </w:r>
      <w:r>
        <w:rPr>
          <w:rFonts w:hint="eastAsia" w:ascii="方正仿宋简体" w:hAnsi="方正仿宋简体" w:eastAsia="方正仿宋简体" w:cs="方正仿宋简体"/>
          <w:sz w:val="28"/>
          <w:szCs w:val="28"/>
        </w:rPr>
        <w:t>2.起重司机的资质和要求</w:t>
      </w:r>
    </w:p>
    <w:p>
      <w:pPr>
        <w:pStyle w:val="13"/>
        <w:keepNext w:val="0"/>
        <w:keepLines w:val="0"/>
        <w:pageBreakBefore w:val="0"/>
        <w:widowControl w:val="0"/>
        <w:kinsoku/>
        <w:wordWrap/>
        <w:overflowPunct/>
        <w:topLinePunct w:val="0"/>
        <w:autoSpaceDE/>
        <w:autoSpaceDN/>
        <w:bidi w:val="0"/>
        <w:adjustRightInd/>
        <w:snapToGrid/>
        <w:spacing w:line="560" w:lineRule="exact"/>
        <w:ind w:firstLine="1400" w:firstLineChars="5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3.起重机外观检查表</w:t>
      </w:r>
    </w:p>
    <w:p>
      <w:pPr>
        <w:spacing w:line="360" w:lineRule="auto"/>
        <w:rPr>
          <w:rFonts w:hint="eastAsia" w:ascii="方正黑体简体" w:hAnsi="方正黑体简体" w:eastAsia="方正黑体简体" w:cs="方正黑体简体"/>
          <w:b w:val="0"/>
          <w:bCs/>
          <w:sz w:val="32"/>
          <w:szCs w:val="32"/>
        </w:rPr>
      </w:pPr>
    </w:p>
    <w:p>
      <w:pPr>
        <w:spacing w:line="360" w:lineRule="auto"/>
        <w:rPr>
          <w:rFonts w:hint="eastAsia" w:ascii="方正黑体简体" w:hAnsi="方正黑体简体" w:eastAsia="方正黑体简体" w:cs="方正黑体简体"/>
          <w:b w:val="0"/>
          <w:bCs/>
          <w:sz w:val="32"/>
          <w:szCs w:val="32"/>
        </w:rPr>
      </w:pPr>
    </w:p>
    <w:p>
      <w:pPr>
        <w:spacing w:line="360" w:lineRule="auto"/>
        <w:rPr>
          <w:rFonts w:hint="eastAsia" w:ascii="方正黑体简体" w:hAnsi="方正黑体简体" w:eastAsia="方正黑体简体" w:cs="方正黑体简体"/>
          <w:b w:val="0"/>
          <w:bCs/>
          <w:sz w:val="32"/>
          <w:szCs w:val="32"/>
        </w:rPr>
      </w:pPr>
    </w:p>
    <w:p>
      <w:pPr>
        <w:spacing w:line="360" w:lineRule="auto"/>
        <w:rPr>
          <w:rFonts w:hint="eastAsia" w:ascii="方正黑体简体" w:hAnsi="方正黑体简体" w:eastAsia="方正黑体简体" w:cs="方正黑体简体"/>
          <w:b w:val="0"/>
          <w:bCs/>
          <w:sz w:val="32"/>
          <w:szCs w:val="32"/>
        </w:rPr>
      </w:pPr>
      <w:r>
        <w:rPr>
          <w:rFonts w:hint="eastAsia" w:ascii="方正黑体简体" w:hAnsi="方正黑体简体" w:eastAsia="方正黑体简体" w:cs="方正黑体简体"/>
          <w:b w:val="0"/>
          <w:bCs/>
          <w:sz w:val="32"/>
          <w:szCs w:val="32"/>
        </w:rPr>
        <w:t>附件1</w:t>
      </w:r>
    </w:p>
    <w:p>
      <w:pPr>
        <w:spacing w:line="360" w:lineRule="auto"/>
        <w:jc w:val="center"/>
        <w:rPr>
          <w:rFonts w:ascii="宋体" w:hAnsi="宋体" w:cs="Arial"/>
          <w:b/>
          <w:sz w:val="36"/>
          <w:szCs w:val="36"/>
        </w:rPr>
      </w:pPr>
      <w:r>
        <w:rPr>
          <w:rFonts w:hint="eastAsia" w:ascii="方正小标宋简体" w:hAnsi="方正小标宋简体" w:eastAsia="方正小标宋简体" w:cs="方正小标宋简体"/>
          <w:b w:val="0"/>
          <w:bCs/>
          <w:sz w:val="36"/>
          <w:szCs w:val="36"/>
        </w:rPr>
        <w:t>关键性吊装作业计划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rPr>
        <w:t>开始日期和时间：</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结束日期和时间：</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作业区域或地点：</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公司名称：</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工作描述：</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该作业项目符合关键性吊装作业条件中的第</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条：</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实际起重量超过额定起重能力的75%；</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货物需要一台以上的起重机起吊的；</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吊臂和货物与管线、设备或输电线路的距离小于规定的安全距离；</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吊臂越过障碍物起吊，操作员无法目视且仅靠指挥信号操作；</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起吊偏离制造商的要求，如吊臂的组成与说明书中吊臂的组合不同；使用的吊臂长度超过说明书中的规定等。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其他。描述：</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A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起吊设备重量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被吊物件净重/空重</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未估算到的材料重量</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盛装或残留液体重量</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其他</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被吊物件总重量</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firstLineChars="200"/>
        <w:jc w:val="both"/>
        <w:textAlignment w:val="auto"/>
        <w:outlineLvl w:val="9"/>
        <w:rPr>
          <w:rFonts w:hint="eastAsia"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lang w:val="en-US" w:eastAsia="zh-CN"/>
        </w:rPr>
        <w:t>6.</w:t>
      </w:r>
      <w:r>
        <w:rPr>
          <w:rFonts w:hint="eastAsia" w:ascii="方正仿宋简体" w:hAnsi="方正仿宋简体" w:eastAsia="方正仿宋简体" w:cs="方正仿宋简体"/>
          <w:sz w:val="28"/>
          <w:szCs w:val="28"/>
        </w:rPr>
        <w:t>被吊物件总重量的确定方法</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2" w:firstLineChars="200"/>
        <w:jc w:val="both"/>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B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吊装数据</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jc w:val="center"/>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主起重机</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辅助起重机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滑轮组重</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辅钩的重量</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扁担的重量</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rPr>
        <w:t xml:space="preserve">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卸扣的重量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rPr>
        <w:t xml:space="preserve">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副臂的重量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起吊绳索的重量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rPr>
        <w:t xml:space="preserve">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起重机总重量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千克</w:t>
      </w:r>
      <w:r>
        <w:rPr>
          <w:rFonts w:hint="eastAsia" w:ascii="方正仿宋简体" w:hAnsi="方正仿宋简体" w:eastAsia="方正仿宋简体" w:cs="方正仿宋简体"/>
          <w:sz w:val="28"/>
          <w:szCs w:val="28"/>
          <w:u w:val="none"/>
        </w:rPr>
        <w:t xml:space="preserve">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val="0"/>
          <w:bCs w:val="0"/>
          <w:sz w:val="28"/>
          <w:szCs w:val="28"/>
          <w:lang w:val="en-US" w:eastAsia="zh-CN"/>
        </w:rPr>
        <w:t>9.</w:t>
      </w:r>
      <w:r>
        <w:rPr>
          <w:rFonts w:hint="eastAsia" w:ascii="方正仿宋简体" w:hAnsi="方正仿宋简体" w:eastAsia="方正仿宋简体" w:cs="方正仿宋简体"/>
          <w:b w:val="0"/>
          <w:bCs w:val="0"/>
          <w:sz w:val="28"/>
          <w:szCs w:val="28"/>
        </w:rPr>
        <w:t>总重量（B8+A5）</w:t>
      </w:r>
      <w:r>
        <w:rPr>
          <w:rFonts w:hint="eastAsia" w:ascii="方正仿宋简体" w:hAnsi="方正仿宋简体" w:eastAsia="方正仿宋简体" w:cs="方正仿宋简体"/>
          <w:b w:val="0"/>
          <w:bCs w:val="0"/>
          <w:sz w:val="28"/>
          <w:szCs w:val="28"/>
          <w:u w:val="single"/>
        </w:rPr>
        <w:t xml:space="preserve">        </w:t>
      </w:r>
      <w:r>
        <w:rPr>
          <w:rFonts w:hint="eastAsia" w:ascii="方正仿宋简体" w:hAnsi="方正仿宋简体" w:eastAsia="方正仿宋简体" w:cs="方正仿宋简体"/>
          <w:b w:val="0"/>
          <w:bCs w:val="0"/>
          <w:sz w:val="28"/>
          <w:szCs w:val="28"/>
        </w:rPr>
        <w:t>千克</w:t>
      </w:r>
      <w:r>
        <w:rPr>
          <w:rFonts w:hint="eastAsia" w:ascii="方正仿宋简体" w:hAnsi="方正仿宋简体" w:eastAsia="方正仿宋简体" w:cs="方正仿宋简体"/>
          <w:b w:val="0"/>
          <w:bCs w:val="0"/>
          <w:sz w:val="28"/>
          <w:szCs w:val="28"/>
          <w:lang w:val="en-US" w:eastAsia="zh-CN"/>
        </w:rPr>
        <w:t xml:space="preserve">    </w:t>
      </w:r>
      <w:r>
        <w:rPr>
          <w:rFonts w:hint="eastAsia" w:ascii="方正仿宋简体" w:hAnsi="方正仿宋简体" w:eastAsia="方正仿宋简体" w:cs="方正仿宋简体"/>
          <w:b w:val="0"/>
          <w:bCs w:val="0"/>
          <w:sz w:val="28"/>
          <w:szCs w:val="28"/>
          <w:u w:val="none"/>
        </w:rPr>
        <w:t xml:space="preserve">   </w:t>
      </w:r>
      <w:r>
        <w:rPr>
          <w:rFonts w:hint="eastAsia" w:ascii="方正仿宋简体" w:hAnsi="方正仿宋简体" w:eastAsia="方正仿宋简体" w:cs="方正仿宋简体"/>
          <w:b w:val="0"/>
          <w:bCs w:val="0"/>
          <w:sz w:val="28"/>
          <w:szCs w:val="28"/>
          <w:u w:val="none"/>
          <w:lang w:val="en-US" w:eastAsia="zh-CN"/>
        </w:rPr>
        <w:t xml:space="preserve">  </w:t>
      </w:r>
      <w:r>
        <w:rPr>
          <w:rFonts w:hint="eastAsia" w:ascii="方正仿宋简体" w:hAnsi="方正仿宋简体" w:eastAsia="方正仿宋简体" w:cs="方正仿宋简体"/>
          <w:b w:val="0"/>
          <w:bCs w:val="0"/>
          <w:sz w:val="28"/>
          <w:szCs w:val="28"/>
          <w:u w:val="single"/>
          <w:lang w:val="en-US" w:eastAsia="zh-CN"/>
        </w:rPr>
        <w:t xml:space="preserve">               </w:t>
      </w:r>
      <w:r>
        <w:rPr>
          <w:rFonts w:hint="eastAsia" w:ascii="方正仿宋简体" w:hAnsi="方正仿宋简体" w:eastAsia="方正仿宋简体" w:cs="方正仿宋简体"/>
          <w:b w:val="0"/>
          <w:bCs w:val="0"/>
          <w:sz w:val="28"/>
          <w:szCs w:val="28"/>
          <w:u w:val="single"/>
        </w:rPr>
        <w:t xml:space="preserve"> </w:t>
      </w:r>
      <w:r>
        <w:rPr>
          <w:rFonts w:hint="eastAsia" w:ascii="方正仿宋简体" w:hAnsi="方正仿宋简体" w:eastAsia="方正仿宋简体" w:cs="方正仿宋简体"/>
          <w:b w:val="0"/>
          <w:bCs w:val="0"/>
          <w:sz w:val="28"/>
          <w:szCs w:val="28"/>
        </w:rPr>
        <w:t>千</w:t>
      </w:r>
      <w:r>
        <w:rPr>
          <w:rFonts w:hint="eastAsia" w:ascii="方正仿宋简体" w:hAnsi="方正仿宋简体" w:eastAsia="方正仿宋简体" w:cs="方正仿宋简体"/>
          <w:sz w:val="28"/>
          <w:szCs w:val="28"/>
        </w:rPr>
        <w:t>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sz w:val="28"/>
          <w:szCs w:val="28"/>
        </w:rPr>
        <w:t xml:space="preserve">C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
          <w:sz w:val="28"/>
          <w:szCs w:val="28"/>
        </w:rPr>
        <w:t>起重机数据</w:t>
      </w:r>
    </w:p>
    <w:p>
      <w:pPr>
        <w:keepNext w:val="0"/>
        <w:keepLines w:val="0"/>
        <w:pageBreakBefore w:val="0"/>
        <w:widowControl w:val="0"/>
        <w:kinsoku/>
        <w:wordWrap/>
        <w:overflowPunct/>
        <w:topLinePunct w:val="0"/>
        <w:autoSpaceDE w:val="0"/>
        <w:autoSpaceDN w:val="0"/>
        <w:bidi w:val="0"/>
        <w:adjustRightInd w:val="0"/>
        <w:snapToGrid/>
        <w:spacing w:line="560" w:lineRule="exact"/>
        <w:jc w:val="both"/>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 xml:space="preserve">   主起重机</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 xml:space="preserve">   辅助起重机</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jc w:val="both"/>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rPr>
        <w:t>型号</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制造厂家</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额定起重量</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起重臂的长度</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起重臂的角度</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工作半径</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占制造商载荷表的百分比</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这种配置下的起吊能力</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w:t>
      </w:r>
      <w:r>
        <w:rPr>
          <w:rFonts w:hint="eastAsia" w:ascii="方正仿宋简体" w:hAnsi="方正仿宋简体" w:eastAsia="方正仿宋简体" w:cs="方正仿宋简体"/>
          <w:sz w:val="28"/>
          <w:szCs w:val="28"/>
          <w:u w:val="none"/>
          <w:lang w:val="en-US" w:eastAsia="zh-CN"/>
        </w:rPr>
        <w:t xml:space="preserve">        </w:t>
      </w:r>
      <w:r>
        <w:rPr>
          <w:rFonts w:hint="eastAsia" w:ascii="方正仿宋简体" w:hAnsi="方正仿宋简体" w:eastAsia="方正仿宋简体" w:cs="方正仿宋简体"/>
          <w:sz w:val="28"/>
          <w:szCs w:val="28"/>
          <w:u w:val="single"/>
        </w:rPr>
        <w:t>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注：每种起重机制造商的负载表必须与关键吊装图相符。</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被吊物尺寸：</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b/>
          <w:sz w:val="28"/>
          <w:szCs w:val="28"/>
          <w:lang w:val="en-US" w:eastAsia="zh-CN"/>
        </w:rPr>
      </w:pPr>
      <w:r>
        <w:rPr>
          <w:rFonts w:hint="eastAsia" w:ascii="方正仿宋简体" w:hAnsi="方正仿宋简体" w:eastAsia="方正仿宋简体" w:cs="方正仿宋简体"/>
          <w:sz w:val="28"/>
          <w:szCs w:val="28"/>
        </w:rPr>
        <w:t>吊装的绑缚点：</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outlineLvl w:val="9"/>
        <w:rPr>
          <w:rFonts w:hint="eastAsia" w:ascii="方正仿宋简体" w:hAnsi="方正仿宋简体" w:eastAsia="方正仿宋简体" w:cs="方正仿宋简体"/>
          <w:b/>
          <w:sz w:val="28"/>
          <w:szCs w:val="28"/>
        </w:rPr>
      </w:pPr>
      <w:r>
        <w:rPr>
          <w:rFonts w:hint="eastAsia" w:ascii="方正仿宋简体" w:hAnsi="方正仿宋简体" w:eastAsia="方正仿宋简体" w:cs="方正仿宋简体"/>
          <w:b/>
          <w:sz w:val="28"/>
          <w:szCs w:val="28"/>
        </w:rPr>
        <w:t xml:space="preserve">D </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b/>
          <w:sz w:val="28"/>
          <w:szCs w:val="28"/>
        </w:rPr>
        <w:t>指挥要求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firstLine="560" w:firstLineChars="200"/>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lang w:val="en-US" w:eastAsia="zh-CN"/>
        </w:rPr>
        <w:t>1.</w:t>
      </w:r>
      <w:r>
        <w:rPr>
          <w:rFonts w:hint="eastAsia" w:ascii="方正仿宋简体" w:hAnsi="方正仿宋简体" w:eastAsia="方正仿宋简体" w:cs="方正仿宋简体"/>
          <w:sz w:val="28"/>
          <w:szCs w:val="28"/>
        </w:rPr>
        <w:t>指定的起重指挥（姓名）：</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textAlignment w:val="auto"/>
        <w:outlineLvl w:val="9"/>
        <w:rPr>
          <w:rFonts w:hint="default"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对讲机（单独频率）</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E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起重机相对于被吊物的站位</w:t>
      </w:r>
    </w:p>
    <w:p>
      <w:pPr>
        <w:keepNext w:val="0"/>
        <w:keepLines w:val="0"/>
        <w:pageBreakBefore w:val="0"/>
        <w:widowControl w:val="0"/>
        <w:kinsoku/>
        <w:wordWrap/>
        <w:overflowPunct/>
        <w:topLinePunct w:val="0"/>
        <w:autoSpaceDE w:val="0"/>
        <w:autoSpaceDN w:val="0"/>
        <w:bidi w:val="0"/>
        <w:adjustRightInd w:val="0"/>
        <w:snapToGrid/>
        <w:spacing w:line="500" w:lineRule="exact"/>
        <w:ind w:firstLine="840" w:firstLineChars="300"/>
        <w:textAlignment w:val="auto"/>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主起重机                               辅助起重机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前</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侧</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后</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前</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侧</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后</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F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起重机相对于被吊物的摆动定位</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bCs/>
          <w:sz w:val="28"/>
          <w:szCs w:val="28"/>
        </w:rPr>
      </w:pPr>
      <w:r>
        <w:rPr>
          <w:rFonts w:hint="eastAsia" w:ascii="方正仿宋简体" w:hAnsi="方正仿宋简体" w:eastAsia="方正仿宋简体" w:cs="方正仿宋简体"/>
          <w:bCs/>
          <w:sz w:val="28"/>
          <w:szCs w:val="28"/>
        </w:rPr>
        <w:t>主起重机                               辅助起重机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前</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侧</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后</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 xml:space="preserve">    前</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侧</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后</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G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起重机的就位</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地面基础情况：</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起重机需要垫板？         是</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否</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垫板尺寸？</w:t>
      </w:r>
      <w:r>
        <w:rPr>
          <w:rFonts w:hint="eastAsia" w:ascii="方正仿宋简体" w:hAnsi="方正仿宋简体" w:eastAsia="方正仿宋简体" w:cs="方正仿宋简体"/>
          <w:b/>
          <w:bCs/>
          <w:sz w:val="28"/>
          <w:szCs w:val="28"/>
          <w:u w:val="single"/>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这个区域有电气危险？     是</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否</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如果有，请描述：</w:t>
      </w:r>
      <w:r>
        <w:rPr>
          <w:rFonts w:hint="eastAsia" w:ascii="方正仿宋简体" w:hAnsi="方正仿宋简体" w:eastAsia="方正仿宋简体" w:cs="方正仿宋简体"/>
          <w:sz w:val="28"/>
          <w:szCs w:val="28"/>
          <w:u w:val="single"/>
        </w:rPr>
        <w:t xml:space="preserve">                                               </w:t>
      </w:r>
    </w:p>
    <w:p>
      <w:pPr>
        <w:keepNext w:val="0"/>
        <w:keepLines w:val="0"/>
        <w:pageBreakBefore w:val="0"/>
        <w:widowControl w:val="0"/>
        <w:numPr>
          <w:ilvl w:val="0"/>
          <w:numId w:val="24"/>
        </w:numPr>
        <w:kinsoku/>
        <w:wordWrap/>
        <w:overflowPunct/>
        <w:topLinePunct w:val="0"/>
        <w:autoSpaceDE w:val="0"/>
        <w:autoSpaceDN w:val="0"/>
        <w:bidi w:val="0"/>
        <w:adjustRightInd w:val="0"/>
        <w:snapToGrid/>
        <w:spacing w:line="560" w:lineRule="exact"/>
        <w:ind w:left="360" w:leftChars="0" w:firstLine="560" w:firstLineChars="200"/>
        <w:textAlignment w:val="auto"/>
        <w:outlineLvl w:val="9"/>
        <w:rPr>
          <w:rFonts w:hint="eastAsia" w:ascii="方正仿宋简体" w:hAnsi="方正仿宋简体" w:eastAsia="方正仿宋简体" w:cs="方正仿宋简体"/>
          <w:sz w:val="28"/>
          <w:szCs w:val="28"/>
          <w:u w:val="single"/>
        </w:rPr>
      </w:pPr>
      <w:r>
        <w:rPr>
          <w:rFonts w:hint="eastAsia" w:ascii="方正仿宋简体" w:hAnsi="方正仿宋简体" w:eastAsia="方正仿宋简体" w:cs="方正仿宋简体"/>
          <w:sz w:val="28"/>
          <w:szCs w:val="28"/>
        </w:rPr>
        <w:t xml:space="preserve">是否有障碍物？   </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是</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否</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Chars="0"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H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吊索选择</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吊索尺寸：</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长度：</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负荷：</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形式：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需要的数量：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总负荷</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需要的卸扣数量：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各个卸扣的负荷：</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u w:val="single"/>
          <w:lang w:val="en-US"/>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吊索的工作状况：垂直</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rPr>
        <w:t>锁吊</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3080" w:firstLineChars="1100"/>
        <w:textAlignment w:val="auto"/>
        <w:outlineLvl w:val="9"/>
        <w:rPr>
          <w:rFonts w:hint="default"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rPr>
        <w:t>篮吊</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双肢</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 xml:space="preserve">I </w:t>
      </w: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吊梁的选择</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吊梁号＃：</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吊梁的负荷：</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吊梁的重量：</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千克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rPr>
        <w:t>吊装作业负责人</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default" w:ascii="方正仿宋简体" w:hAnsi="方正仿宋简体" w:eastAsia="方正仿宋简体" w:cs="方正仿宋简体"/>
          <w:sz w:val="28"/>
          <w:szCs w:val="28"/>
          <w:u w:val="single"/>
          <w:lang w:val="en-US" w:eastAsia="zh-CN"/>
        </w:rPr>
      </w:pPr>
      <w:r>
        <w:rPr>
          <w:rFonts w:hint="eastAsia" w:ascii="方正仿宋简体" w:hAnsi="方正仿宋简体" w:eastAsia="方正仿宋简体" w:cs="方正仿宋简体"/>
          <w:sz w:val="28"/>
          <w:szCs w:val="28"/>
        </w:rPr>
        <w:t>吊装设备技术人员、起重司机：</w:t>
      </w:r>
      <w:r>
        <w:rPr>
          <w:rFonts w:hint="eastAsia" w:ascii="方正仿宋简体" w:hAnsi="方正仿宋简体" w:eastAsia="方正仿宋简体" w:cs="方正仿宋简体"/>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黑体简体" w:hAnsi="方正黑体简体" w:eastAsia="方正黑体简体" w:cs="方正黑体简体"/>
          <w:b w:val="0"/>
          <w:bCs w:val="0"/>
          <w:kern w:val="2"/>
          <w:sz w:val="32"/>
          <w:szCs w:val="32"/>
          <w:lang w:val="en-US" w:eastAsia="zh-CN" w:bidi="ar-SA"/>
        </w:rPr>
      </w:pPr>
      <w:r>
        <w:rPr>
          <w:rFonts w:hint="eastAsia" w:ascii="方正仿宋简体" w:hAnsi="方正仿宋简体" w:eastAsia="方正仿宋简体" w:cs="方正仿宋简体"/>
          <w:sz w:val="28"/>
          <w:szCs w:val="28"/>
        </w:rPr>
        <w:t>批准人或授权批准人</w:t>
      </w:r>
      <w:r>
        <w:rPr>
          <w:rFonts w:hint="eastAsia" w:ascii="方正仿宋简体" w:hAnsi="方正仿宋简体" w:eastAsia="方正仿宋简体" w:cs="方正仿宋简体"/>
          <w:sz w:val="28"/>
          <w:szCs w:val="28"/>
          <w:u w:val="single"/>
        </w:rPr>
        <w:t xml:space="preserve">                                             </w:t>
      </w:r>
      <w:bookmarkStart w:id="918" w:name="_Toc12863"/>
      <w:bookmarkStart w:id="919" w:name="_Toc5588"/>
      <w:bookmarkStart w:id="920" w:name="_Toc16070"/>
      <w:bookmarkStart w:id="921" w:name="_Toc10204"/>
      <w:bookmarkStart w:id="922" w:name="_Toc14099"/>
      <w:bookmarkStart w:id="923" w:name="_Toc11845"/>
    </w:p>
    <w:p>
      <w:pPr>
        <w:keepNext w:val="0"/>
        <w:keepLines w:val="0"/>
        <w:pageBreakBefore w:val="0"/>
        <w:widowControl w:val="0"/>
        <w:kinsoku/>
        <w:wordWrap/>
        <w:overflowPunct/>
        <w:topLinePunct w:val="0"/>
        <w:bidi w:val="0"/>
        <w:snapToGrid/>
        <w:spacing w:before="0" w:after="120" w:line="500" w:lineRule="exact"/>
        <w:ind w:firstLine="0" w:firstLineChars="0"/>
        <w:textAlignment w:val="auto"/>
        <w:outlineLvl w:val="9"/>
        <w:rPr>
          <w:rFonts w:hint="eastAsia" w:ascii="方正黑体简体" w:hAnsi="方正黑体简体" w:eastAsia="方正黑体简体" w:cs="方正黑体简体"/>
          <w:b w:val="0"/>
          <w:bCs w:val="0"/>
          <w:kern w:val="2"/>
          <w:sz w:val="32"/>
          <w:szCs w:val="32"/>
          <w:lang w:val="en-US" w:eastAsia="zh-CN" w:bidi="ar-SA"/>
        </w:rPr>
      </w:pPr>
    </w:p>
    <w:p>
      <w:pPr>
        <w:keepNext w:val="0"/>
        <w:keepLines w:val="0"/>
        <w:pageBreakBefore w:val="0"/>
        <w:widowControl w:val="0"/>
        <w:kinsoku/>
        <w:wordWrap/>
        <w:overflowPunct/>
        <w:topLinePunct w:val="0"/>
        <w:bidi w:val="0"/>
        <w:snapToGrid/>
        <w:spacing w:before="0" w:after="120" w:line="500" w:lineRule="exact"/>
        <w:ind w:firstLine="0" w:firstLineChars="0"/>
        <w:textAlignment w:val="auto"/>
        <w:outlineLvl w:val="9"/>
        <w:rPr>
          <w:rFonts w:hint="eastAsia" w:ascii="方正黑体简体" w:hAnsi="方正黑体简体" w:eastAsia="方正黑体简体" w:cs="方正黑体简体"/>
          <w:b w:val="0"/>
          <w:bCs w:val="0"/>
          <w:kern w:val="2"/>
          <w:sz w:val="32"/>
          <w:szCs w:val="32"/>
          <w:lang w:val="en-US" w:eastAsia="zh-CN" w:bidi="ar-SA"/>
        </w:rPr>
      </w:pPr>
    </w:p>
    <w:p>
      <w:pPr>
        <w:keepNext w:val="0"/>
        <w:keepLines w:val="0"/>
        <w:pageBreakBefore w:val="0"/>
        <w:widowControl w:val="0"/>
        <w:kinsoku/>
        <w:wordWrap/>
        <w:overflowPunct/>
        <w:topLinePunct w:val="0"/>
        <w:bidi w:val="0"/>
        <w:snapToGrid/>
        <w:spacing w:before="0" w:after="120" w:line="500" w:lineRule="exact"/>
        <w:ind w:firstLine="0" w:firstLineChars="0"/>
        <w:textAlignment w:val="auto"/>
        <w:outlineLvl w:val="9"/>
        <w:rPr>
          <w:rFonts w:hint="eastAsia" w:ascii="方正黑体简体" w:hAnsi="方正黑体简体" w:eastAsia="方正黑体简体" w:cs="方正黑体简体"/>
          <w:b w:val="0"/>
          <w:bCs w:val="0"/>
          <w:kern w:val="2"/>
          <w:sz w:val="32"/>
          <w:szCs w:val="32"/>
          <w:lang w:val="en-US" w:eastAsia="zh-CN" w:bidi="ar-SA"/>
        </w:rPr>
      </w:pPr>
    </w:p>
    <w:p>
      <w:pPr>
        <w:keepNext w:val="0"/>
        <w:keepLines w:val="0"/>
        <w:pageBreakBefore w:val="0"/>
        <w:widowControl w:val="0"/>
        <w:kinsoku/>
        <w:wordWrap/>
        <w:overflowPunct/>
        <w:topLinePunct w:val="0"/>
        <w:bidi w:val="0"/>
        <w:snapToGrid/>
        <w:spacing w:before="0" w:after="120" w:line="500" w:lineRule="exact"/>
        <w:ind w:firstLine="0" w:firstLineChars="0"/>
        <w:textAlignment w:val="auto"/>
        <w:outlineLvl w:val="9"/>
        <w:rPr>
          <w:rFonts w:hint="eastAsia" w:ascii="方正仿宋简体" w:hAnsi="方正仿宋简体" w:eastAsia="方正仿宋简体" w:cs="方正仿宋简体"/>
          <w:b w:val="0"/>
          <w:bCs w:val="0"/>
          <w:kern w:val="2"/>
          <w:sz w:val="32"/>
          <w:szCs w:val="32"/>
          <w:lang w:val="en-US" w:eastAsia="zh-CN" w:bidi="ar-SA"/>
        </w:rPr>
      </w:pPr>
      <w:r>
        <w:rPr>
          <w:rFonts w:hint="eastAsia" w:ascii="方正黑体简体" w:hAnsi="方正黑体简体" w:eastAsia="方正黑体简体" w:cs="方正黑体简体"/>
          <w:b w:val="0"/>
          <w:bCs w:val="0"/>
          <w:kern w:val="2"/>
          <w:sz w:val="32"/>
          <w:szCs w:val="32"/>
          <w:lang w:val="en-US" w:eastAsia="zh-CN" w:bidi="ar-SA"/>
        </w:rPr>
        <w:t>附件2</w:t>
      </w:r>
    </w:p>
    <w:p>
      <w:pPr>
        <w:keepNext w:val="0"/>
        <w:keepLines w:val="0"/>
        <w:pageBreakBefore w:val="0"/>
        <w:widowControl w:val="0"/>
        <w:kinsoku/>
        <w:wordWrap/>
        <w:overflowPunct/>
        <w:topLinePunct w:val="0"/>
        <w:autoSpaceDE/>
        <w:autoSpaceDN/>
        <w:bidi w:val="0"/>
        <w:adjustRightInd/>
        <w:snapToGrid/>
        <w:spacing w:before="0" w:after="120" w:line="640" w:lineRule="exact"/>
        <w:ind w:firstLine="0" w:firstLineChars="0"/>
        <w:jc w:val="center"/>
        <w:textAlignment w:val="auto"/>
        <w:outlineLvl w:val="9"/>
        <w:rPr>
          <w:rFonts w:hint="eastAsia" w:ascii="方正小标宋简体" w:hAnsi="方正小标宋简体" w:eastAsia="方正小标宋简体" w:cs="方正小标宋简体"/>
          <w:b w:val="0"/>
          <w:bCs w:val="0"/>
          <w:kern w:val="2"/>
          <w:sz w:val="36"/>
          <w:szCs w:val="36"/>
          <w:lang w:val="en-US" w:eastAsia="zh-CN" w:bidi="ar-SA"/>
        </w:rPr>
      </w:pPr>
      <w:r>
        <w:rPr>
          <w:rFonts w:hint="eastAsia" w:ascii="方正小标宋简体" w:hAnsi="方正小标宋简体" w:eastAsia="方正小标宋简体" w:cs="方正小标宋简体"/>
          <w:b w:val="0"/>
          <w:bCs w:val="0"/>
          <w:kern w:val="2"/>
          <w:sz w:val="36"/>
          <w:szCs w:val="36"/>
          <w:lang w:val="en-US" w:eastAsia="zh-CN" w:bidi="ar-SA"/>
        </w:rPr>
        <w:t>起重司机的资质和要求</w:t>
      </w:r>
      <w:bookmarkEnd w:id="918"/>
      <w:bookmarkEnd w:id="919"/>
      <w:bookmarkEnd w:id="920"/>
      <w:bookmarkEnd w:id="921"/>
      <w:bookmarkEnd w:id="922"/>
      <w:bookmarkEnd w:id="923"/>
    </w:p>
    <w:p>
      <w:pPr>
        <w:keepNext w:val="0"/>
        <w:keepLines w:val="0"/>
        <w:pageBreakBefore w:val="0"/>
        <w:widowControl w:val="0"/>
        <w:kinsoku/>
        <w:wordWrap/>
        <w:overflowPunct/>
        <w:topLinePunct w:val="0"/>
        <w:bidi w:val="0"/>
        <w:snapToGrid/>
        <w:spacing w:before="0" w:after="120" w:line="500" w:lineRule="exact"/>
        <w:ind w:firstLine="0" w:firstLineChars="0"/>
        <w:jc w:val="center"/>
        <w:textAlignment w:val="auto"/>
        <w:outlineLvl w:val="9"/>
        <w:rPr>
          <w:rFonts w:hint="eastAsia" w:ascii="方正小标宋简体" w:hAnsi="方正小标宋简体" w:eastAsia="方正小标宋简体" w:cs="方正小标宋简体"/>
          <w:b w:val="0"/>
          <w:bCs w:val="0"/>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起重机的操作，只应由有资质的起重机司机进行，起重机司机必须具备以下条件和能力。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（1）司机的身体和心理应符合下述条件：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——年满18周岁，身体健康；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——视力（包括矫正视力）在0.7以上，无色盲、花眼等症状。深度感知能力、视野和反应时间正常；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——听力、力量、耐力、敏捷性和协调性以及反应速度应满足要求；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——手的灵巧性、协调性正常；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——违禁药物测试结果应为阴性；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——经体检医生认可该起重机司机无身体缺陷或情绪不稳定的迹象；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——无癫痫病史。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起重机司机应每年进行一次体检，体检应在企业指定的医院进行，体检结果应与该司机的其他资质资料存放在一起。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（2）司机应熟悉下述知识：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——所操作的起重机各部结构和技术性能；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——起重机操作规程及有关法令；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——安全运行要求；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——安全防护装置的性能；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——发动机和电气方面的基本知识；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——指挥信号；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——维护基本知识；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——其他。</w:t>
      </w:r>
    </w:p>
    <w:p>
      <w:pPr>
        <w:pStyle w:val="67"/>
        <w:ind w:firstLine="0" w:firstLineChars="0"/>
        <w:rPr>
          <w:rFonts w:hint="eastAsia" w:ascii="方正黑体简体" w:hAnsi="方正黑体简体" w:eastAsia="方正黑体简体" w:cs="方正黑体简体"/>
          <w:b w:val="0"/>
          <w:bCs w:val="0"/>
          <w:kern w:val="2"/>
          <w:sz w:val="32"/>
          <w:szCs w:val="32"/>
          <w:lang w:val="en-US" w:eastAsia="zh-CN" w:bidi="ar-SA"/>
        </w:rPr>
      </w:pPr>
      <w:r>
        <w:rPr>
          <w:rFonts w:hint="eastAsia" w:ascii="方正黑体简体" w:hAnsi="方正黑体简体" w:eastAsia="方正黑体简体" w:cs="方正黑体简体"/>
          <w:b w:val="0"/>
          <w:bCs w:val="0"/>
          <w:kern w:val="2"/>
          <w:sz w:val="32"/>
          <w:szCs w:val="32"/>
          <w:lang w:val="en-US" w:eastAsia="zh-CN" w:bidi="ar-SA"/>
        </w:rPr>
        <w:t>附件 3</w:t>
      </w:r>
    </w:p>
    <w:p>
      <w:pPr>
        <w:pStyle w:val="67"/>
        <w:ind w:firstLine="0" w:firstLineChars="0"/>
        <w:jc w:val="center"/>
        <w:rPr>
          <w:rFonts w:hint="eastAsia" w:hAnsi="宋体"/>
          <w:b/>
          <w:bCs/>
          <w:kern w:val="44"/>
          <w:szCs w:val="21"/>
        </w:rPr>
      </w:pPr>
      <w:r>
        <w:rPr>
          <w:rFonts w:hint="eastAsia" w:hAnsi="宋体"/>
          <w:b/>
          <w:bCs/>
          <w:kern w:val="44"/>
          <w:szCs w:val="21"/>
        </w:rPr>
        <w:t>3.1  液压移动式起重机外观检查表</w:t>
      </w:r>
    </w:p>
    <w:tbl>
      <w:tblPr>
        <w:tblStyle w:val="51"/>
        <w:tblW w:w="10815" w:type="dxa"/>
        <w:tblInd w:w="-9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521"/>
        <w:gridCol w:w="599"/>
        <w:gridCol w:w="445"/>
        <w:gridCol w:w="3342"/>
        <w:gridCol w:w="1083"/>
        <w:gridCol w:w="521"/>
        <w:gridCol w:w="598"/>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1" w:hRule="atLeast"/>
        </w:trPr>
        <w:tc>
          <w:tcPr>
            <w:tcW w:w="10815" w:type="dxa"/>
            <w:gridSpan w:val="9"/>
            <w:tcBorders>
              <w:top w:val="single" w:color="auto" w:sz="8" w:space="0"/>
              <w:left w:val="single" w:color="auto" w:sz="8" w:space="0"/>
              <w:bottom w:val="single" w:color="auto" w:sz="2" w:space="0"/>
              <w:right w:val="single" w:color="auto" w:sz="8"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起重机名称型号</w:t>
            </w:r>
            <w:r>
              <w:rPr>
                <w:rFonts w:hint="eastAsia" w:ascii="方正仿宋简体" w:hAnsi="方正仿宋简体" w:eastAsia="方正仿宋简体" w:cs="方正仿宋简体"/>
                <w:sz w:val="18"/>
                <w:szCs w:val="18"/>
                <w:u w:val="single"/>
              </w:rPr>
              <w:t xml:space="preserve">                                   </w:t>
            </w:r>
            <w:r>
              <w:rPr>
                <w:rFonts w:hint="eastAsia" w:ascii="方正仿宋简体" w:hAnsi="方正仿宋简体" w:eastAsia="方正仿宋简体" w:cs="方正仿宋简体"/>
                <w:sz w:val="18"/>
                <w:szCs w:val="18"/>
              </w:rPr>
              <w:t>设备编号</w:t>
            </w:r>
            <w:r>
              <w:rPr>
                <w:rFonts w:hint="eastAsia" w:ascii="方正仿宋简体" w:hAnsi="方正仿宋简体" w:eastAsia="方正仿宋简体" w:cs="方正仿宋简体"/>
                <w:sz w:val="18"/>
                <w:szCs w:val="18"/>
                <w:u w:val="single"/>
              </w:rPr>
              <w:t xml:space="preserve">                               </w:t>
            </w:r>
          </w:p>
          <w:p>
            <w:pPr>
              <w:autoSpaceDE w:val="0"/>
              <w:autoSpaceDN w:val="0"/>
              <w:adjustRightInd w:val="0"/>
              <w:spacing w:line="260" w:lineRule="exact"/>
              <w:rPr>
                <w:rFonts w:hint="eastAsia" w:ascii="方正仿宋简体" w:hAnsi="方正仿宋简体" w:eastAsia="方正仿宋简体" w:cs="方正仿宋简体"/>
                <w:sz w:val="18"/>
                <w:szCs w:val="18"/>
                <w:u w:val="single"/>
              </w:rPr>
            </w:pPr>
            <w:r>
              <w:rPr>
                <w:rFonts w:hint="eastAsia" w:ascii="方正仿宋简体" w:hAnsi="方正仿宋简体" w:eastAsia="方正仿宋简体" w:cs="方正仿宋简体"/>
                <w:sz w:val="18"/>
                <w:szCs w:val="18"/>
              </w:rPr>
              <w:t>检查人：</w:t>
            </w:r>
            <w:r>
              <w:rPr>
                <w:rFonts w:hint="eastAsia" w:ascii="方正仿宋简体" w:hAnsi="方正仿宋简体" w:eastAsia="方正仿宋简体" w:cs="方正仿宋简体"/>
                <w:sz w:val="18"/>
                <w:szCs w:val="18"/>
                <w:u w:val="single"/>
              </w:rPr>
              <w:t xml:space="preserve">                                         </w:t>
            </w:r>
            <w:r>
              <w:rPr>
                <w:rFonts w:hint="eastAsia" w:ascii="方正仿宋简体" w:hAnsi="方正仿宋简体" w:eastAsia="方正仿宋简体" w:cs="方正仿宋简体"/>
                <w:sz w:val="18"/>
                <w:szCs w:val="18"/>
              </w:rPr>
              <w:t>检查日期：</w:t>
            </w:r>
            <w:r>
              <w:rPr>
                <w:rFonts w:hint="eastAsia" w:ascii="方正仿宋简体" w:hAnsi="方正仿宋简体" w:eastAsia="方正仿宋简体" w:cs="方正仿宋简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trPr>
        <w:tc>
          <w:tcPr>
            <w:tcW w:w="2655" w:type="dxa"/>
            <w:tcBorders>
              <w:top w:val="single" w:color="auto" w:sz="2" w:space="0"/>
              <w:left w:val="single" w:color="auto" w:sz="8" w:space="0"/>
              <w:bottom w:val="single" w:color="auto" w:sz="2" w:space="0"/>
              <w:right w:val="single" w:color="auto" w:sz="2" w:space="0"/>
            </w:tcBorders>
            <w:vAlign w:val="center"/>
          </w:tcPr>
          <w:p>
            <w:pPr>
              <w:autoSpaceDE w:val="0"/>
              <w:autoSpaceDN w:val="0"/>
              <w:adjustRightInd w:val="0"/>
              <w:spacing w:line="260" w:lineRule="exact"/>
              <w:jc w:val="center"/>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检查内容</w:t>
            </w:r>
          </w:p>
        </w:tc>
        <w:tc>
          <w:tcPr>
            <w:tcW w:w="1565"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60" w:lineRule="exact"/>
              <w:jc w:val="center"/>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检查结果</w:t>
            </w:r>
          </w:p>
        </w:tc>
        <w:tc>
          <w:tcPr>
            <w:tcW w:w="4425" w:type="dxa"/>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60" w:lineRule="exact"/>
              <w:jc w:val="center"/>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检查内容</w:t>
            </w:r>
          </w:p>
        </w:tc>
        <w:tc>
          <w:tcPr>
            <w:tcW w:w="2170" w:type="dxa"/>
            <w:gridSpan w:val="3"/>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pacing w:line="260" w:lineRule="exact"/>
              <w:jc w:val="center"/>
              <w:rPr>
                <w:rFonts w:hint="eastAsia" w:ascii="方正仿宋简体" w:hAnsi="方正仿宋简体" w:eastAsia="方正仿宋简体" w:cs="方正仿宋简体"/>
                <w:bCs/>
                <w:sz w:val="18"/>
                <w:szCs w:val="18"/>
              </w:rPr>
            </w:pPr>
            <w:r>
              <w:rPr>
                <w:rFonts w:hint="eastAsia" w:ascii="方正仿宋简体" w:hAnsi="方正仿宋简体" w:eastAsia="方正仿宋简体" w:cs="方正仿宋简体"/>
                <w:bCs/>
                <w:sz w:val="18"/>
                <w:szCs w:val="18"/>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655" w:type="dxa"/>
            <w:tcBorders>
              <w:top w:val="single" w:color="auto" w:sz="2" w:space="0"/>
              <w:left w:val="single" w:color="auto" w:sz="8" w:space="0"/>
              <w:bottom w:val="single" w:color="auto" w:sz="2" w:space="0"/>
              <w:right w:val="single" w:color="auto" w:sz="2"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行驶系统</w:t>
            </w:r>
          </w:p>
        </w:tc>
        <w:tc>
          <w:tcPr>
            <w:tcW w:w="521"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合格</w:t>
            </w:r>
          </w:p>
        </w:tc>
        <w:tc>
          <w:tcPr>
            <w:tcW w:w="599"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不合格</w:t>
            </w:r>
          </w:p>
        </w:tc>
        <w:tc>
          <w:tcPr>
            <w:tcW w:w="445"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问题</w:t>
            </w:r>
          </w:p>
        </w:tc>
        <w:tc>
          <w:tcPr>
            <w:tcW w:w="4425" w:type="dxa"/>
            <w:gridSpan w:val="2"/>
            <w:tcBorders>
              <w:top w:val="single" w:color="auto" w:sz="2" w:space="0"/>
              <w:left w:val="single" w:color="auto" w:sz="2" w:space="0"/>
              <w:bottom w:val="single" w:color="auto" w:sz="2" w:space="0"/>
              <w:right w:val="single" w:color="auto" w:sz="2" w:space="0"/>
            </w:tcBorders>
            <w:vAlign w:val="center"/>
          </w:tcPr>
          <w:p>
            <w:pPr>
              <w:pStyle w:val="29"/>
              <w:pBdr>
                <w:bottom w:val="none" w:color="auto" w:sz="0" w:space="0"/>
              </w:pBdr>
              <w:tabs>
                <w:tab w:val="clear" w:pos="4153"/>
                <w:tab w:val="clear" w:pos="8306"/>
              </w:tabs>
              <w:autoSpaceDE w:val="0"/>
              <w:autoSpaceDN w:val="0"/>
              <w:adjustRightInd w:val="0"/>
              <w:snapToGrid/>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起重机</w:t>
            </w:r>
          </w:p>
        </w:tc>
        <w:tc>
          <w:tcPr>
            <w:tcW w:w="521" w:type="dxa"/>
            <w:tcBorders>
              <w:top w:val="single" w:color="auto" w:sz="2" w:space="0"/>
              <w:left w:val="single" w:color="auto" w:sz="2" w:space="0"/>
              <w:bottom w:val="single" w:color="auto" w:sz="2" w:space="0"/>
              <w:right w:val="single" w:color="auto" w:sz="2" w:space="0"/>
            </w:tcBorders>
            <w:vAlign w:val="center"/>
          </w:tcPr>
          <w:p>
            <w:pPr>
              <w:pStyle w:val="27"/>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合格</w:t>
            </w:r>
          </w:p>
        </w:tc>
        <w:tc>
          <w:tcPr>
            <w:tcW w:w="598"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不合格</w:t>
            </w:r>
          </w:p>
        </w:tc>
        <w:tc>
          <w:tcPr>
            <w:tcW w:w="1051" w:type="dxa"/>
            <w:tcBorders>
              <w:top w:val="single" w:color="auto" w:sz="2" w:space="0"/>
              <w:left w:val="single" w:color="auto" w:sz="2" w:space="0"/>
              <w:bottom w:val="single" w:color="auto" w:sz="2" w:space="0"/>
              <w:right w:val="single" w:color="auto" w:sz="8" w:space="0"/>
            </w:tcBorders>
            <w:vAlign w:val="center"/>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 驾驶室</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 液压系统</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numPr>
                <w:ilvl w:val="0"/>
                <w:numId w:val="25"/>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窗户</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2 转盘（检查轴承间距，螺栓、螺母安装是否到位。）</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numPr>
                <w:ilvl w:val="0"/>
                <w:numId w:val="25"/>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踏板</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3 平台和走道的防滑表面</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numPr>
                <w:ilvl w:val="0"/>
                <w:numId w:val="25"/>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转向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4 起重臂中心销（检查裂缝和润滑）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numPr>
                <w:ilvl w:val="0"/>
                <w:numId w:val="25"/>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喇叭</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5 绳鼓总成（检查裂缝和润滑）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2 轮子</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6 上臂油缸（检查裂缝和润滑）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1）轮胎（裂缝，腐蚀）</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7 下臂油缸（检查裂缝和润滑）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2）轮毂（裂缝）</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8 导向滑轮（检查裂缝和润滑）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3）螺栓（是否完整，是否拧紧）</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9 滑轮组（检查裂缝和润滑）</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3 转向与刹车系统操作检查</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10 滑轮组吊钩（检查裂缝，变形和安全销）</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4 倒车报警器</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11 辅钩吊钩（检查裂缝，安全销和变形）</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5 支腿</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12 起重臂（检查弯曲部分或凹陷）</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jc w:val="lef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1）固定销</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13 主辅钩钢丝绳</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jc w:val="lef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2）支腿垫板（检查裂缝和变形）</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1）直径、滑轮磨损检查</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6 驱动系统</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2）末端连接</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操作检查</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6"/>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楔座尺寸</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7 灭火器</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6"/>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长端上无绳夹</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jc w:val="lef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3）无绞扭或永久性弯曲</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jc w:val="lef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4）一个绳节距上的断丝不超过6个，或一个绳节距的一股上不超过3个断丝</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5）当起重臂伸长到最大长度，臂角为最大，吊钩在最低工作点时，绳鼓上的钢丝绳至少有三圈。</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14 操作室</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7"/>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窗户</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7"/>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喇叭</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7"/>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通道</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7"/>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载荷表</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numPr>
                <w:ilvl w:val="0"/>
                <w:numId w:val="27"/>
              </w:num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起重机司机手册</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15 灭火器</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16 转动部件防护罩</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2655" w:type="dxa"/>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9"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5"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4425" w:type="dxa"/>
            <w:gridSpan w:val="2"/>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17 配重-不超过制造商的规范</w:t>
            </w:r>
          </w:p>
        </w:tc>
        <w:tc>
          <w:tcPr>
            <w:tcW w:w="521"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598"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c>
          <w:tcPr>
            <w:tcW w:w="1051" w:type="dxa"/>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0815" w:type="dxa"/>
            <w:gridSpan w:val="9"/>
            <w:tcBorders>
              <w:top w:val="single" w:color="auto" w:sz="2" w:space="0"/>
              <w:left w:val="single" w:color="auto" w:sz="8" w:space="0"/>
              <w:bottom w:val="single" w:color="auto" w:sz="2" w:space="0"/>
              <w:right w:val="single" w:color="auto" w:sz="8" w:space="0"/>
            </w:tcBorders>
            <w:vAlign w:val="top"/>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问  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4220" w:type="dxa"/>
            <w:gridSpan w:val="4"/>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项  目</w:t>
            </w:r>
          </w:p>
        </w:tc>
        <w:tc>
          <w:tcPr>
            <w:tcW w:w="3342"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整改日期</w:t>
            </w:r>
          </w:p>
        </w:tc>
        <w:tc>
          <w:tcPr>
            <w:tcW w:w="3253" w:type="dxa"/>
            <w:gridSpan w:val="4"/>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0" w:lineRule="atLeast"/>
              <w:jc w:val="center"/>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整改负责人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4220" w:type="dxa"/>
            <w:gridSpan w:val="4"/>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342"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253" w:type="dxa"/>
            <w:gridSpan w:val="4"/>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4220" w:type="dxa"/>
            <w:gridSpan w:val="4"/>
            <w:tcBorders>
              <w:top w:val="single" w:color="auto" w:sz="2" w:space="0"/>
              <w:left w:val="single" w:color="auto" w:sz="8" w:space="0"/>
              <w:bottom w:val="single" w:color="auto" w:sz="2"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342" w:type="dxa"/>
            <w:tcBorders>
              <w:top w:val="single" w:color="auto" w:sz="2" w:space="0"/>
              <w:left w:val="single" w:color="auto" w:sz="2" w:space="0"/>
              <w:bottom w:val="single" w:color="auto" w:sz="2"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253" w:type="dxa"/>
            <w:gridSpan w:val="4"/>
            <w:tcBorders>
              <w:top w:val="single" w:color="auto" w:sz="2" w:space="0"/>
              <w:left w:val="single" w:color="auto" w:sz="2" w:space="0"/>
              <w:bottom w:val="single" w:color="auto" w:sz="2" w:space="0"/>
              <w:right w:val="single" w:color="auto" w:sz="8"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4220" w:type="dxa"/>
            <w:gridSpan w:val="4"/>
            <w:tcBorders>
              <w:top w:val="single" w:color="auto" w:sz="2" w:space="0"/>
              <w:left w:val="single" w:color="auto" w:sz="8" w:space="0"/>
              <w:bottom w:val="single" w:color="auto" w:sz="8"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342" w:type="dxa"/>
            <w:tcBorders>
              <w:top w:val="single" w:color="auto" w:sz="2" w:space="0"/>
              <w:left w:val="single" w:color="auto" w:sz="2" w:space="0"/>
              <w:bottom w:val="single" w:color="auto" w:sz="8" w:space="0"/>
              <w:right w:val="single" w:color="auto" w:sz="2"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c>
          <w:tcPr>
            <w:tcW w:w="3253" w:type="dxa"/>
            <w:gridSpan w:val="4"/>
            <w:tcBorders>
              <w:top w:val="single" w:color="auto" w:sz="2" w:space="0"/>
              <w:left w:val="single" w:color="auto" w:sz="2" w:space="0"/>
              <w:bottom w:val="single" w:color="auto" w:sz="8" w:space="0"/>
              <w:right w:val="single" w:color="auto" w:sz="8" w:space="0"/>
            </w:tcBorders>
            <w:vAlign w:val="top"/>
          </w:tcPr>
          <w:p>
            <w:pPr>
              <w:autoSpaceDE w:val="0"/>
              <w:autoSpaceDN w:val="0"/>
              <w:adjustRightInd w:val="0"/>
              <w:spacing w:line="260" w:lineRule="exact"/>
              <w:rPr>
                <w:rFonts w:hint="eastAsia" w:ascii="方正仿宋简体" w:hAnsi="方正仿宋简体" w:eastAsia="方正仿宋简体" w:cs="方正仿宋简体"/>
                <w:sz w:val="18"/>
                <w:szCs w:val="18"/>
              </w:rPr>
            </w:pPr>
          </w:p>
        </w:tc>
      </w:tr>
    </w:tbl>
    <w:p>
      <w:pPr>
        <w:pStyle w:val="67"/>
        <w:ind w:firstLine="0" w:firstLineChars="0"/>
        <w:jc w:val="both"/>
        <w:outlineLvl w:val="9"/>
        <w:rPr>
          <w:rFonts w:hint="eastAsia" w:hAnsi="宋体"/>
          <w:b/>
          <w:bCs/>
          <w:kern w:val="44"/>
          <w:szCs w:val="21"/>
          <w:lang w:val="en-US" w:eastAsia="zh-CN"/>
        </w:rPr>
      </w:pPr>
      <w:bookmarkStart w:id="924" w:name="_Toc23443"/>
      <w:bookmarkStart w:id="925" w:name="_Toc32063"/>
      <w:bookmarkStart w:id="926" w:name="_Toc32087"/>
      <w:bookmarkStart w:id="927" w:name="_Toc4055"/>
      <w:bookmarkStart w:id="928" w:name="_Toc1240"/>
      <w:bookmarkStart w:id="929" w:name="_Toc30868"/>
    </w:p>
    <w:p>
      <w:pPr>
        <w:pStyle w:val="67"/>
        <w:ind w:firstLine="0" w:firstLineChars="0"/>
        <w:jc w:val="both"/>
        <w:outlineLvl w:val="9"/>
        <w:rPr>
          <w:rFonts w:hint="eastAsia" w:hAnsi="宋体"/>
          <w:b/>
          <w:bCs/>
          <w:kern w:val="44"/>
          <w:szCs w:val="21"/>
          <w:lang w:val="en-US" w:eastAsia="zh-CN"/>
        </w:rPr>
      </w:pPr>
    </w:p>
    <w:p>
      <w:pPr>
        <w:pStyle w:val="67"/>
        <w:ind w:firstLine="0" w:firstLineChars="0"/>
        <w:jc w:val="both"/>
        <w:outlineLvl w:val="9"/>
        <w:rPr>
          <w:rFonts w:hint="eastAsia" w:hAnsi="宋体"/>
          <w:b/>
          <w:bCs/>
          <w:kern w:val="44"/>
          <w:szCs w:val="21"/>
          <w:lang w:val="en-US" w:eastAsia="zh-CN"/>
        </w:rPr>
      </w:pPr>
    </w:p>
    <w:p>
      <w:pPr>
        <w:pStyle w:val="67"/>
        <w:ind w:firstLine="0" w:firstLineChars="0"/>
        <w:jc w:val="both"/>
        <w:outlineLvl w:val="9"/>
        <w:rPr>
          <w:rFonts w:hint="eastAsia" w:hAnsi="宋体"/>
          <w:b/>
          <w:bCs/>
          <w:kern w:val="44"/>
          <w:szCs w:val="21"/>
          <w:lang w:val="en-US" w:eastAsia="zh-CN"/>
        </w:rPr>
      </w:pPr>
    </w:p>
    <w:p>
      <w:pPr>
        <w:pStyle w:val="67"/>
        <w:ind w:firstLine="0" w:firstLineChars="0"/>
        <w:jc w:val="both"/>
        <w:outlineLvl w:val="9"/>
        <w:rPr>
          <w:rFonts w:hint="eastAsia" w:hAnsi="宋体"/>
          <w:b/>
          <w:bCs/>
          <w:kern w:val="44"/>
          <w:szCs w:val="21"/>
          <w:lang w:val="en-US" w:eastAsia="zh-CN"/>
        </w:rPr>
      </w:pPr>
    </w:p>
    <w:p>
      <w:pPr>
        <w:pStyle w:val="67"/>
        <w:ind w:firstLine="0" w:firstLineChars="0"/>
        <w:jc w:val="both"/>
        <w:outlineLvl w:val="9"/>
        <w:rPr>
          <w:rFonts w:hint="eastAsia" w:hAnsi="宋体"/>
          <w:b/>
          <w:bCs/>
          <w:kern w:val="44"/>
          <w:szCs w:val="21"/>
          <w:lang w:val="en-US" w:eastAsia="zh-CN"/>
        </w:rPr>
      </w:pPr>
    </w:p>
    <w:p>
      <w:pPr>
        <w:pStyle w:val="67"/>
        <w:ind w:firstLine="0" w:firstLineChars="0"/>
        <w:jc w:val="both"/>
        <w:outlineLvl w:val="9"/>
        <w:rPr>
          <w:rFonts w:hint="eastAsia" w:hAnsi="宋体"/>
          <w:b/>
          <w:bCs/>
          <w:kern w:val="44"/>
          <w:szCs w:val="21"/>
          <w:lang w:val="en-US" w:eastAsia="zh-CN"/>
        </w:rPr>
      </w:pPr>
    </w:p>
    <w:p>
      <w:pPr>
        <w:pStyle w:val="67"/>
        <w:ind w:firstLine="0" w:firstLineChars="0"/>
        <w:jc w:val="center"/>
        <w:outlineLvl w:val="9"/>
        <w:rPr>
          <w:rFonts w:hint="eastAsia" w:hAnsi="宋体"/>
          <w:b/>
          <w:bCs/>
          <w:kern w:val="44"/>
          <w:szCs w:val="21"/>
          <w:lang w:val="en-US" w:eastAsia="zh-CN"/>
        </w:rPr>
      </w:pPr>
      <w:r>
        <w:rPr>
          <w:rFonts w:hint="eastAsia" w:hAnsi="宋体"/>
          <w:b/>
          <w:bCs/>
          <w:kern w:val="44"/>
          <w:szCs w:val="21"/>
          <w:lang w:val="en-US" w:eastAsia="zh-CN"/>
        </w:rPr>
        <w:t>3.2  机械移动式起重机外观检查表</w:t>
      </w:r>
      <w:bookmarkEnd w:id="924"/>
      <w:bookmarkEnd w:id="925"/>
      <w:bookmarkEnd w:id="926"/>
      <w:bookmarkEnd w:id="927"/>
      <w:bookmarkEnd w:id="928"/>
      <w:bookmarkEnd w:id="929"/>
    </w:p>
    <w:tbl>
      <w:tblPr>
        <w:tblStyle w:val="51"/>
        <w:tblW w:w="9380" w:type="dxa"/>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446"/>
        <w:gridCol w:w="508"/>
        <w:gridCol w:w="87"/>
        <w:gridCol w:w="453"/>
        <w:gridCol w:w="2587"/>
        <w:gridCol w:w="1375"/>
        <w:gridCol w:w="446"/>
        <w:gridCol w:w="641"/>
        <w:gridCol w:w="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atLeast"/>
        </w:trPr>
        <w:tc>
          <w:tcPr>
            <w:tcW w:w="9380" w:type="dxa"/>
            <w:gridSpan w:val="10"/>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起重机名称型号</w:t>
            </w:r>
            <w:r>
              <w:rPr>
                <w:rFonts w:ascii="宋体" w:hAnsi="宋体"/>
                <w:sz w:val="18"/>
                <w:szCs w:val="18"/>
                <w:u w:val="single"/>
              </w:rPr>
              <w:t xml:space="preserve">                                   </w:t>
            </w:r>
            <w:r>
              <w:rPr>
                <w:rFonts w:hint="eastAsia" w:ascii="宋体" w:hAnsi="宋体"/>
                <w:sz w:val="18"/>
                <w:szCs w:val="18"/>
              </w:rPr>
              <w:t>设备编号</w:t>
            </w:r>
            <w:r>
              <w:rPr>
                <w:rFonts w:ascii="宋体" w:hAnsi="宋体"/>
                <w:sz w:val="18"/>
                <w:szCs w:val="18"/>
                <w:u w:val="single"/>
              </w:rPr>
              <w:t xml:space="preserve">                               </w:t>
            </w:r>
          </w:p>
          <w:p>
            <w:pPr>
              <w:autoSpaceDE w:val="0"/>
              <w:autoSpaceDN w:val="0"/>
              <w:adjustRightInd w:val="0"/>
              <w:spacing w:line="260" w:lineRule="exact"/>
              <w:rPr>
                <w:rFonts w:hint="eastAsia" w:ascii="宋体" w:hAnsi="宋体"/>
                <w:sz w:val="18"/>
                <w:szCs w:val="18"/>
                <w:u w:val="single"/>
              </w:rPr>
            </w:pPr>
            <w:r>
              <w:rPr>
                <w:rFonts w:hint="eastAsia" w:ascii="宋体" w:hAnsi="宋体"/>
                <w:sz w:val="18"/>
                <w:szCs w:val="18"/>
              </w:rPr>
              <w:t>检查人：</w:t>
            </w:r>
            <w:r>
              <w:rPr>
                <w:rFonts w:ascii="宋体" w:hAnsi="宋体"/>
                <w:sz w:val="18"/>
                <w:szCs w:val="18"/>
                <w:u w:val="single"/>
              </w:rPr>
              <w:t xml:space="preserve">                                   </w:t>
            </w:r>
            <w:r>
              <w:rPr>
                <w:rFonts w:hint="eastAsia" w:ascii="宋体" w:hAnsi="宋体"/>
                <w:sz w:val="18"/>
                <w:szCs w:val="18"/>
                <w:u w:val="single"/>
              </w:rPr>
              <w:t xml:space="preserve">   </w:t>
            </w:r>
            <w:r>
              <w:rPr>
                <w:rFonts w:hint="eastAsia" w:ascii="宋体" w:hAnsi="宋体"/>
                <w:sz w:val="18"/>
                <w:szCs w:val="18"/>
              </w:rPr>
              <w:t>检查日期：</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trPr>
        <w:tc>
          <w:tcPr>
            <w:tcW w:w="2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hint="eastAsia" w:ascii="宋体" w:hAnsi="宋体"/>
                <w:sz w:val="18"/>
                <w:szCs w:val="18"/>
              </w:rPr>
            </w:pPr>
            <w:r>
              <w:rPr>
                <w:rFonts w:hint="eastAsia" w:ascii="宋体" w:hAnsi="宋体"/>
                <w:sz w:val="18"/>
                <w:szCs w:val="18"/>
              </w:rPr>
              <w:t>检查内容</w:t>
            </w:r>
          </w:p>
        </w:tc>
        <w:tc>
          <w:tcPr>
            <w:tcW w:w="149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检查结果</w:t>
            </w:r>
          </w:p>
        </w:tc>
        <w:tc>
          <w:tcPr>
            <w:tcW w:w="396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hint="eastAsia" w:ascii="宋体" w:hAnsi="宋体"/>
                <w:sz w:val="18"/>
                <w:szCs w:val="18"/>
              </w:rPr>
            </w:pPr>
            <w:r>
              <w:rPr>
                <w:rFonts w:hint="eastAsia" w:ascii="宋体" w:hAnsi="宋体"/>
                <w:sz w:val="18"/>
                <w:szCs w:val="18"/>
              </w:rPr>
              <w:t>检查内容</w:t>
            </w:r>
          </w:p>
        </w:tc>
        <w:tc>
          <w:tcPr>
            <w:tcW w:w="146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460" w:type="dxa"/>
            <w:tcBorders>
              <w:top w:val="single" w:color="auto" w:sz="4" w:space="0"/>
              <w:left w:val="single" w:color="auto" w:sz="4" w:space="0"/>
              <w:bottom w:val="single" w:color="auto" w:sz="4" w:space="0"/>
              <w:right w:val="single" w:color="auto" w:sz="4" w:space="0"/>
            </w:tcBorders>
            <w:vAlign w:val="center"/>
          </w:tcPr>
          <w:p>
            <w:pPr>
              <w:pStyle w:val="29"/>
              <w:pBdr>
                <w:bottom w:val="none" w:color="auto" w:sz="0" w:space="0"/>
              </w:pBdr>
              <w:tabs>
                <w:tab w:val="clear" w:pos="4153"/>
                <w:tab w:val="clear" w:pos="8306"/>
              </w:tabs>
              <w:autoSpaceDE w:val="0"/>
              <w:autoSpaceDN w:val="0"/>
              <w:adjustRightInd w:val="0"/>
              <w:snapToGrid/>
              <w:spacing w:line="260" w:lineRule="exact"/>
              <w:rPr>
                <w:rFonts w:ascii="宋体" w:hAnsi="宋体"/>
              </w:rPr>
            </w:pPr>
            <w:r>
              <w:rPr>
                <w:rFonts w:hint="eastAsia" w:ascii="宋体" w:hAnsi="宋体"/>
              </w:rPr>
              <w:t>行走装置</w:t>
            </w:r>
          </w:p>
        </w:tc>
        <w:tc>
          <w:tcPr>
            <w:tcW w:w="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合格</w:t>
            </w:r>
          </w:p>
        </w:tc>
        <w:tc>
          <w:tcPr>
            <w:tcW w:w="5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5"/>
                <w:szCs w:val="18"/>
              </w:rPr>
            </w:pPr>
            <w:r>
              <w:rPr>
                <w:rFonts w:hint="eastAsia" w:ascii="宋体" w:hAnsi="宋体"/>
                <w:sz w:val="15"/>
                <w:szCs w:val="18"/>
              </w:rPr>
              <w:t>不合格</w:t>
            </w:r>
          </w:p>
        </w:tc>
        <w:tc>
          <w:tcPr>
            <w:tcW w:w="4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问题</w:t>
            </w:r>
          </w:p>
        </w:tc>
        <w:tc>
          <w:tcPr>
            <w:tcW w:w="3962" w:type="dxa"/>
            <w:gridSpan w:val="2"/>
            <w:tcBorders>
              <w:top w:val="single" w:color="auto" w:sz="4" w:space="0"/>
              <w:left w:val="single" w:color="auto" w:sz="4" w:space="0"/>
              <w:bottom w:val="single" w:color="auto" w:sz="4" w:space="0"/>
              <w:right w:val="single" w:color="auto" w:sz="4" w:space="0"/>
            </w:tcBorders>
            <w:vAlign w:val="center"/>
          </w:tcPr>
          <w:p>
            <w:pPr>
              <w:pStyle w:val="27"/>
              <w:autoSpaceDE w:val="0"/>
              <w:autoSpaceDN w:val="0"/>
              <w:adjustRightInd w:val="0"/>
              <w:spacing w:line="260" w:lineRule="exact"/>
              <w:jc w:val="center"/>
              <w:rPr>
                <w:rFonts w:ascii="宋体" w:hAnsi="宋体"/>
              </w:rPr>
            </w:pPr>
            <w:r>
              <w:rPr>
                <w:rFonts w:hint="eastAsia" w:ascii="宋体" w:hAnsi="宋体"/>
              </w:rPr>
              <w:t>起重机</w:t>
            </w:r>
          </w:p>
        </w:tc>
        <w:tc>
          <w:tcPr>
            <w:tcW w:w="4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合格</w:t>
            </w:r>
          </w:p>
        </w:tc>
        <w:tc>
          <w:tcPr>
            <w:tcW w:w="64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不合格</w:t>
            </w:r>
          </w:p>
        </w:tc>
        <w:tc>
          <w:tcPr>
            <w:tcW w:w="3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1</w:t>
            </w:r>
            <w:r>
              <w:rPr>
                <w:rFonts w:hint="eastAsia" w:ascii="宋体" w:hAnsi="宋体"/>
                <w:sz w:val="18"/>
                <w:szCs w:val="18"/>
              </w:rPr>
              <w:t xml:space="preserve"> 驾驶室</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 xml:space="preserve">1 </w:t>
            </w:r>
            <w:r>
              <w:rPr>
                <w:rFonts w:hint="eastAsia" w:ascii="宋体" w:hAnsi="宋体"/>
                <w:sz w:val="18"/>
                <w:szCs w:val="18"/>
              </w:rPr>
              <w:t>刹车和离合器检查：</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——窗户</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1）绳鼓的刹车鼓与刹带间隙检查</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——踏板</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2）不均匀的磨损</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——转向</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3）刹车板上是否有油脂</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——喇叭</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4）连接装置</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2</w:t>
            </w:r>
            <w:r>
              <w:rPr>
                <w:rFonts w:ascii="宋体" w:hAnsi="宋体"/>
                <w:sz w:val="18"/>
                <w:szCs w:val="18"/>
              </w:rPr>
              <w:t xml:space="preserve"> </w:t>
            </w:r>
            <w:r>
              <w:rPr>
                <w:rFonts w:hint="eastAsia" w:ascii="宋体" w:hAnsi="宋体"/>
                <w:sz w:val="18"/>
                <w:szCs w:val="18"/>
              </w:rPr>
              <w:t>刹车操作检查</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 xml:space="preserve">2 </w:t>
            </w:r>
            <w:r>
              <w:rPr>
                <w:rFonts w:hint="eastAsia" w:ascii="宋体" w:hAnsi="宋体"/>
                <w:sz w:val="18"/>
                <w:szCs w:val="18"/>
              </w:rPr>
              <w:t>导向滑轮（检查裂缝，润滑）</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3</w:t>
            </w:r>
            <w:r>
              <w:rPr>
                <w:rFonts w:ascii="宋体" w:hAnsi="宋体"/>
                <w:sz w:val="18"/>
                <w:szCs w:val="18"/>
              </w:rPr>
              <w:t xml:space="preserve"> </w:t>
            </w:r>
            <w:r>
              <w:rPr>
                <w:rFonts w:hint="eastAsia" w:ascii="宋体" w:hAnsi="宋体"/>
                <w:sz w:val="18"/>
                <w:szCs w:val="18"/>
              </w:rPr>
              <w:t>倒车报警器</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3</w:t>
            </w:r>
            <w:r>
              <w:rPr>
                <w:rFonts w:hint="eastAsia" w:ascii="宋体" w:hAnsi="宋体"/>
                <w:sz w:val="18"/>
                <w:szCs w:val="18"/>
              </w:rPr>
              <w:t xml:space="preserve"> 滑轮组（检查裂缝，润滑）</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4</w:t>
            </w:r>
            <w:r>
              <w:rPr>
                <w:rFonts w:ascii="宋体" w:hAnsi="宋体"/>
                <w:sz w:val="18"/>
                <w:szCs w:val="18"/>
              </w:rPr>
              <w:t xml:space="preserve"> </w:t>
            </w:r>
            <w:r>
              <w:rPr>
                <w:rFonts w:hint="eastAsia" w:ascii="宋体" w:hAnsi="宋体"/>
                <w:sz w:val="18"/>
                <w:szCs w:val="18"/>
              </w:rPr>
              <w:t>车轮</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4 A</w:t>
            </w:r>
            <w:r>
              <w:rPr>
                <w:rFonts w:hint="eastAsia" w:ascii="宋体" w:hAnsi="宋体"/>
                <w:sz w:val="18"/>
                <w:szCs w:val="18"/>
              </w:rPr>
              <w:t>型架滑轮（检查裂缝、润滑）</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轮胎（裂缝，腐蚀）</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 xml:space="preserve">5 </w:t>
            </w:r>
            <w:r>
              <w:rPr>
                <w:rFonts w:hint="eastAsia" w:ascii="宋体" w:hAnsi="宋体"/>
                <w:sz w:val="18"/>
                <w:szCs w:val="18"/>
              </w:rPr>
              <w:t>吊钩（检查裂缝，变形，安全销、舌片）</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轮毂（裂缝）</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6</w:t>
            </w:r>
            <w:r>
              <w:rPr>
                <w:rFonts w:ascii="宋体" w:hAnsi="宋体"/>
                <w:sz w:val="18"/>
                <w:szCs w:val="18"/>
              </w:rPr>
              <w:t xml:space="preserve"> </w:t>
            </w:r>
            <w:r>
              <w:rPr>
                <w:rFonts w:hint="eastAsia" w:ascii="宋体" w:hAnsi="宋体" w:cs="宋体"/>
                <w:sz w:val="18"/>
                <w:szCs w:val="18"/>
              </w:rPr>
              <w:t>辅钩</w:t>
            </w:r>
            <w:r>
              <w:rPr>
                <w:rFonts w:hint="eastAsia" w:ascii="宋体" w:hAnsi="宋体"/>
                <w:sz w:val="18"/>
                <w:szCs w:val="18"/>
              </w:rPr>
              <w:t>吊钩（检查裂缝，变形，安全销）</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螺栓（是否完整、拧紧）</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7</w:t>
            </w:r>
            <w:r>
              <w:rPr>
                <w:rFonts w:ascii="宋体" w:hAnsi="宋体"/>
                <w:sz w:val="18"/>
                <w:szCs w:val="18"/>
              </w:rPr>
              <w:t xml:space="preserve"> </w:t>
            </w:r>
            <w:r>
              <w:rPr>
                <w:rFonts w:hint="eastAsia" w:ascii="宋体" w:hAnsi="宋体"/>
                <w:sz w:val="18"/>
                <w:szCs w:val="18"/>
              </w:rPr>
              <w:t>起重臂（检查钢索是否弯曲、变形）</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 xml:space="preserve">5 </w:t>
            </w:r>
            <w:r>
              <w:rPr>
                <w:rFonts w:hint="eastAsia" w:ascii="宋体" w:hAnsi="宋体"/>
                <w:sz w:val="18"/>
                <w:szCs w:val="18"/>
              </w:rPr>
              <w:t>支腿</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ascii="宋体" w:hAnsi="宋体"/>
                <w:sz w:val="18"/>
                <w:szCs w:val="18"/>
              </w:rPr>
            </w:pPr>
            <w:r>
              <w:rPr>
                <w:rFonts w:hint="eastAsia" w:ascii="宋体" w:hAnsi="宋体"/>
                <w:sz w:val="18"/>
                <w:szCs w:val="18"/>
              </w:rPr>
              <w:t>8</w:t>
            </w:r>
            <w:r>
              <w:rPr>
                <w:rFonts w:ascii="宋体" w:hAnsi="宋体"/>
                <w:sz w:val="18"/>
                <w:szCs w:val="18"/>
              </w:rPr>
              <w:t xml:space="preserve"> </w:t>
            </w:r>
            <w:r>
              <w:rPr>
                <w:rFonts w:hint="eastAsia" w:ascii="宋体" w:hAnsi="宋体"/>
                <w:sz w:val="18"/>
                <w:szCs w:val="18"/>
              </w:rPr>
              <w:t>钢丝绳导辊（自由转动）</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垫板（检查裂缝和变形）</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ascii="宋体" w:hAnsi="宋体"/>
                <w:sz w:val="18"/>
                <w:szCs w:val="18"/>
              </w:rPr>
            </w:pPr>
            <w:r>
              <w:rPr>
                <w:rFonts w:hint="eastAsia" w:ascii="宋体" w:hAnsi="宋体"/>
                <w:sz w:val="18"/>
                <w:szCs w:val="18"/>
              </w:rPr>
              <w:t>9</w:t>
            </w:r>
            <w:r>
              <w:rPr>
                <w:rFonts w:ascii="宋体" w:hAnsi="宋体"/>
                <w:sz w:val="18"/>
                <w:szCs w:val="18"/>
              </w:rPr>
              <w:t xml:space="preserve"> </w:t>
            </w:r>
            <w:r>
              <w:rPr>
                <w:rFonts w:hint="eastAsia" w:ascii="宋体" w:hAnsi="宋体"/>
                <w:sz w:val="18"/>
                <w:szCs w:val="18"/>
              </w:rPr>
              <w:t>导辊（自由转动）</w:t>
            </w:r>
            <w:r>
              <w:rPr>
                <w:rFonts w:ascii="宋体" w:hAnsi="宋体"/>
                <w:sz w:val="18"/>
                <w:szCs w:val="18"/>
              </w:rPr>
              <w:t xml:space="preserve"> </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 xml:space="preserve">6 </w:t>
            </w:r>
            <w:r>
              <w:rPr>
                <w:rFonts w:hint="eastAsia" w:ascii="宋体" w:hAnsi="宋体"/>
                <w:sz w:val="18"/>
                <w:szCs w:val="18"/>
              </w:rPr>
              <w:t>驱动机构操作检查</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ascii="宋体" w:hAnsi="宋体"/>
                <w:sz w:val="18"/>
                <w:szCs w:val="18"/>
              </w:rPr>
            </w:pPr>
            <w:r>
              <w:rPr>
                <w:rFonts w:hint="eastAsia" w:ascii="宋体" w:hAnsi="宋体"/>
                <w:sz w:val="18"/>
                <w:szCs w:val="18"/>
              </w:rPr>
              <w:t>10</w:t>
            </w:r>
            <w:r>
              <w:rPr>
                <w:rFonts w:ascii="宋体" w:hAnsi="宋体"/>
                <w:sz w:val="18"/>
                <w:szCs w:val="18"/>
              </w:rPr>
              <w:t xml:space="preserve"> </w:t>
            </w:r>
            <w:r>
              <w:rPr>
                <w:rFonts w:hint="eastAsia" w:ascii="宋体" w:hAnsi="宋体"/>
                <w:sz w:val="18"/>
                <w:szCs w:val="18"/>
              </w:rPr>
              <w:t>前臂钢缆（端部不得有断丝）</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7</w:t>
            </w:r>
            <w:r>
              <w:rPr>
                <w:rFonts w:hint="eastAsia" w:ascii="宋体" w:hAnsi="宋体"/>
                <w:sz w:val="18"/>
                <w:szCs w:val="18"/>
              </w:rPr>
              <w:t xml:space="preserve"> 灭火器</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ascii="宋体" w:hAnsi="宋体"/>
                <w:sz w:val="18"/>
                <w:szCs w:val="18"/>
              </w:rPr>
            </w:pPr>
            <w:r>
              <w:rPr>
                <w:rFonts w:ascii="宋体" w:hAnsi="宋体"/>
                <w:sz w:val="18"/>
                <w:szCs w:val="18"/>
              </w:rPr>
              <w:t>1</w:t>
            </w:r>
            <w:r>
              <w:rPr>
                <w:rFonts w:hint="eastAsia" w:ascii="宋体" w:hAnsi="宋体"/>
                <w:sz w:val="18"/>
                <w:szCs w:val="18"/>
              </w:rPr>
              <w:t>1 主臂起降钢丝绳</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ascii="宋体" w:hAnsi="宋体"/>
                <w:sz w:val="18"/>
                <w:szCs w:val="18"/>
              </w:rPr>
            </w:pPr>
            <w:r>
              <w:rPr>
                <w:rFonts w:ascii="宋体" w:hAnsi="宋体"/>
                <w:sz w:val="18"/>
                <w:szCs w:val="18"/>
              </w:rPr>
              <w:t>1</w:t>
            </w:r>
            <w:r>
              <w:rPr>
                <w:rFonts w:hint="eastAsia" w:ascii="宋体" w:hAnsi="宋体"/>
                <w:sz w:val="18"/>
                <w:szCs w:val="18"/>
              </w:rPr>
              <w:t>2 主辅钩钢丝绳</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hint="eastAsia" w:ascii="宋体" w:hAnsi="宋体"/>
                <w:sz w:val="18"/>
                <w:szCs w:val="18"/>
              </w:rPr>
            </w:pPr>
            <w:r>
              <w:rPr>
                <w:rFonts w:hint="eastAsia" w:ascii="宋体" w:hAnsi="宋体"/>
                <w:sz w:val="18"/>
                <w:szCs w:val="18"/>
              </w:rPr>
              <w:t>1）直径是否满足负荷要求，图表和滑轮</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hint="eastAsia" w:ascii="宋体" w:hAnsi="宋体"/>
                <w:sz w:val="18"/>
                <w:szCs w:val="18"/>
              </w:rPr>
            </w:pPr>
            <w:r>
              <w:rPr>
                <w:rFonts w:hint="eastAsia" w:ascii="宋体" w:hAnsi="宋体"/>
                <w:sz w:val="18"/>
                <w:szCs w:val="18"/>
              </w:rPr>
              <w:t>2）正确地连接</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hint="eastAsia" w:ascii="宋体" w:hAnsi="宋体"/>
                <w:sz w:val="18"/>
                <w:szCs w:val="18"/>
              </w:rPr>
            </w:pPr>
            <w:r>
              <w:rPr>
                <w:rFonts w:hint="eastAsia" w:ascii="宋体" w:hAnsi="宋体"/>
                <w:sz w:val="18"/>
                <w:szCs w:val="18"/>
              </w:rPr>
              <w:t>楔形插座尺寸</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40" w:lineRule="exact"/>
              <w:rPr>
                <w:rFonts w:hint="eastAsia" w:ascii="宋体" w:hAnsi="宋体"/>
                <w:sz w:val="18"/>
                <w:szCs w:val="18"/>
              </w:rPr>
            </w:pPr>
            <w:r>
              <w:rPr>
                <w:rFonts w:hint="eastAsia" w:ascii="宋体" w:hAnsi="宋体"/>
                <w:sz w:val="18"/>
                <w:szCs w:val="18"/>
              </w:rPr>
              <w:t>钢丝绳夹不得夹到钢丝绳长端</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hint="eastAsia" w:ascii="宋体" w:hAnsi="宋体"/>
                <w:sz w:val="18"/>
                <w:szCs w:val="18"/>
              </w:rPr>
              <w:t>3）无绞扭或永久性弯曲</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0" w:lineRule="atLeast"/>
              <w:rPr>
                <w:rFonts w:ascii="宋体" w:hAnsi="宋体"/>
                <w:sz w:val="18"/>
                <w:szCs w:val="18"/>
              </w:rPr>
            </w:pPr>
            <w:r>
              <w:rPr>
                <w:rFonts w:hint="eastAsia" w:ascii="宋体" w:hAnsi="宋体"/>
                <w:sz w:val="18"/>
                <w:szCs w:val="18"/>
              </w:rPr>
              <w:t>4）一个绳节距上的断丝不超过</w:t>
            </w:r>
            <w:r>
              <w:rPr>
                <w:rFonts w:ascii="宋体" w:hAnsi="宋体"/>
                <w:sz w:val="18"/>
                <w:szCs w:val="18"/>
              </w:rPr>
              <w:t>6</w:t>
            </w:r>
            <w:r>
              <w:rPr>
                <w:rFonts w:hint="eastAsia" w:ascii="宋体" w:hAnsi="宋体"/>
                <w:sz w:val="18"/>
                <w:szCs w:val="18"/>
              </w:rPr>
              <w:t>个，或一个绳节距的一股上不超过</w:t>
            </w:r>
            <w:r>
              <w:rPr>
                <w:rFonts w:ascii="宋体" w:hAnsi="宋体"/>
                <w:sz w:val="18"/>
                <w:szCs w:val="18"/>
              </w:rPr>
              <w:t>3</w:t>
            </w:r>
            <w:r>
              <w:rPr>
                <w:rFonts w:hint="eastAsia" w:ascii="宋体" w:hAnsi="宋体"/>
                <w:sz w:val="18"/>
                <w:szCs w:val="18"/>
              </w:rPr>
              <w:t>个断丝</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0" w:lineRule="atLeast"/>
              <w:rPr>
                <w:rFonts w:ascii="宋体" w:hAnsi="宋体"/>
                <w:sz w:val="18"/>
                <w:szCs w:val="18"/>
              </w:rPr>
            </w:pPr>
            <w:r>
              <w:rPr>
                <w:rFonts w:hint="eastAsia" w:ascii="宋体" w:hAnsi="宋体"/>
                <w:sz w:val="18"/>
                <w:szCs w:val="18"/>
              </w:rPr>
              <w:t>5）当起重臂伸长到最大长度，臂角为最大，吊钩在最低工作点时，绳鼓上的钢丝绳至少有三圈。</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1</w:t>
            </w:r>
            <w:r>
              <w:rPr>
                <w:rFonts w:hint="eastAsia" w:ascii="宋体" w:hAnsi="宋体"/>
                <w:sz w:val="18"/>
                <w:szCs w:val="18"/>
              </w:rPr>
              <w:t>3 操作室</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numPr>
                <w:ilvl w:val="0"/>
                <w:numId w:val="28"/>
              </w:numPr>
              <w:autoSpaceDE w:val="0"/>
              <w:autoSpaceDN w:val="0"/>
              <w:adjustRightInd w:val="0"/>
              <w:spacing w:line="260" w:lineRule="exact"/>
              <w:rPr>
                <w:rFonts w:ascii="宋体" w:hAnsi="宋体"/>
                <w:sz w:val="18"/>
                <w:szCs w:val="18"/>
              </w:rPr>
            </w:pPr>
            <w:r>
              <w:rPr>
                <w:rFonts w:hint="eastAsia" w:ascii="宋体" w:hAnsi="宋体"/>
                <w:sz w:val="18"/>
                <w:szCs w:val="18"/>
              </w:rPr>
              <w:t>窗户</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numPr>
                <w:ilvl w:val="0"/>
                <w:numId w:val="28"/>
              </w:numPr>
              <w:autoSpaceDE w:val="0"/>
              <w:autoSpaceDN w:val="0"/>
              <w:adjustRightInd w:val="0"/>
              <w:spacing w:line="260" w:lineRule="exact"/>
              <w:rPr>
                <w:rFonts w:ascii="宋体" w:hAnsi="宋体"/>
                <w:sz w:val="18"/>
                <w:szCs w:val="18"/>
              </w:rPr>
            </w:pPr>
            <w:r>
              <w:rPr>
                <w:rFonts w:hint="eastAsia" w:ascii="宋体" w:hAnsi="宋体"/>
                <w:sz w:val="18"/>
                <w:szCs w:val="18"/>
              </w:rPr>
              <w:t>喇叭</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numPr>
                <w:ilvl w:val="0"/>
                <w:numId w:val="28"/>
              </w:numPr>
              <w:autoSpaceDE w:val="0"/>
              <w:autoSpaceDN w:val="0"/>
              <w:adjustRightInd w:val="0"/>
              <w:spacing w:line="260" w:lineRule="exact"/>
              <w:rPr>
                <w:rFonts w:ascii="宋体" w:hAnsi="宋体"/>
                <w:sz w:val="18"/>
                <w:szCs w:val="18"/>
              </w:rPr>
            </w:pPr>
            <w:r>
              <w:rPr>
                <w:rFonts w:hint="eastAsia" w:ascii="宋体" w:hAnsi="宋体"/>
                <w:sz w:val="18"/>
                <w:szCs w:val="18"/>
              </w:rPr>
              <w:t>通道</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numPr>
                <w:ilvl w:val="0"/>
                <w:numId w:val="28"/>
              </w:numPr>
              <w:autoSpaceDE w:val="0"/>
              <w:autoSpaceDN w:val="0"/>
              <w:adjustRightInd w:val="0"/>
              <w:spacing w:line="260" w:lineRule="exact"/>
              <w:rPr>
                <w:rFonts w:ascii="宋体" w:hAnsi="宋体"/>
                <w:sz w:val="18"/>
                <w:szCs w:val="18"/>
              </w:rPr>
            </w:pPr>
            <w:r>
              <w:rPr>
                <w:rFonts w:hint="eastAsia" w:ascii="宋体" w:hAnsi="宋体"/>
                <w:sz w:val="18"/>
                <w:szCs w:val="18"/>
              </w:rPr>
              <w:t>载荷表</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numPr>
                <w:ilvl w:val="0"/>
                <w:numId w:val="28"/>
              </w:numPr>
              <w:autoSpaceDE w:val="0"/>
              <w:autoSpaceDN w:val="0"/>
              <w:adjustRightInd w:val="0"/>
              <w:spacing w:line="260" w:lineRule="exact"/>
              <w:rPr>
                <w:rFonts w:ascii="宋体" w:hAnsi="宋体"/>
                <w:sz w:val="18"/>
                <w:szCs w:val="18"/>
              </w:rPr>
            </w:pPr>
            <w:r>
              <w:rPr>
                <w:rFonts w:hint="eastAsia" w:ascii="宋体" w:hAnsi="宋体"/>
                <w:sz w:val="18"/>
                <w:szCs w:val="18"/>
              </w:rPr>
              <w:t>起重机司机手册</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1</w:t>
            </w:r>
            <w:r>
              <w:rPr>
                <w:rFonts w:hint="eastAsia" w:ascii="宋体" w:hAnsi="宋体"/>
                <w:sz w:val="18"/>
                <w:szCs w:val="18"/>
              </w:rPr>
              <w:t>4</w:t>
            </w:r>
            <w:r>
              <w:rPr>
                <w:rFonts w:ascii="宋体" w:hAnsi="宋体"/>
                <w:sz w:val="18"/>
                <w:szCs w:val="18"/>
              </w:rPr>
              <w:t xml:space="preserve"> </w:t>
            </w:r>
            <w:r>
              <w:rPr>
                <w:rFonts w:hint="eastAsia" w:ascii="宋体" w:hAnsi="宋体"/>
                <w:sz w:val="18"/>
                <w:szCs w:val="18"/>
              </w:rPr>
              <w:t>灭火器</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1</w:t>
            </w:r>
            <w:r>
              <w:rPr>
                <w:rFonts w:hint="eastAsia" w:ascii="宋体" w:hAnsi="宋体"/>
                <w:sz w:val="18"/>
                <w:szCs w:val="18"/>
              </w:rPr>
              <w:t>5 转动部件防护罩</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46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595"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453"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96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r>
              <w:rPr>
                <w:rFonts w:ascii="宋体" w:hAnsi="宋体"/>
                <w:sz w:val="18"/>
                <w:szCs w:val="18"/>
              </w:rPr>
              <w:t>1</w:t>
            </w:r>
            <w:r>
              <w:rPr>
                <w:rFonts w:hint="eastAsia" w:ascii="宋体" w:hAnsi="宋体"/>
                <w:sz w:val="18"/>
                <w:szCs w:val="18"/>
              </w:rPr>
              <w:t>6 平台和走道的防滑表面</w:t>
            </w:r>
          </w:p>
        </w:tc>
        <w:tc>
          <w:tcPr>
            <w:tcW w:w="446"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641"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77"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9380" w:type="dxa"/>
            <w:gridSpan w:val="10"/>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问                 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3414" w:type="dxa"/>
            <w:gridSpan w:val="3"/>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项</w:t>
            </w:r>
            <w:r>
              <w:rPr>
                <w:rFonts w:ascii="宋体" w:hAnsi="宋体"/>
                <w:sz w:val="18"/>
                <w:szCs w:val="18"/>
              </w:rPr>
              <w:t xml:space="preserve">    </w:t>
            </w:r>
            <w:r>
              <w:rPr>
                <w:rFonts w:hint="eastAsia" w:ascii="宋体" w:hAnsi="宋体"/>
                <w:sz w:val="18"/>
                <w:szCs w:val="18"/>
              </w:rPr>
              <w:t>目</w:t>
            </w:r>
          </w:p>
        </w:tc>
        <w:tc>
          <w:tcPr>
            <w:tcW w:w="3127" w:type="dxa"/>
            <w:gridSpan w:val="3"/>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jc w:val="center"/>
              <w:rPr>
                <w:rFonts w:ascii="宋体" w:hAnsi="宋体"/>
                <w:sz w:val="18"/>
                <w:szCs w:val="18"/>
              </w:rPr>
            </w:pPr>
            <w:r>
              <w:rPr>
                <w:rFonts w:hint="eastAsia" w:ascii="宋体" w:hAnsi="宋体"/>
                <w:sz w:val="18"/>
                <w:szCs w:val="18"/>
              </w:rPr>
              <w:t>整改日期</w:t>
            </w:r>
          </w:p>
        </w:tc>
        <w:tc>
          <w:tcPr>
            <w:tcW w:w="2839" w:type="dxa"/>
            <w:gridSpan w:val="4"/>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jc w:val="center"/>
              <w:rPr>
                <w:rFonts w:hint="eastAsia" w:ascii="宋体" w:hAnsi="宋体"/>
                <w:sz w:val="18"/>
                <w:szCs w:val="18"/>
              </w:rPr>
            </w:pPr>
            <w:r>
              <w:rPr>
                <w:rFonts w:hint="eastAsia" w:ascii="宋体" w:hAnsi="宋体"/>
                <w:sz w:val="18"/>
                <w:szCs w:val="18"/>
              </w:rPr>
              <w:t>整改负责人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14" w:type="dxa"/>
            <w:gridSpan w:val="3"/>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3127" w:type="dxa"/>
            <w:gridSpan w:val="3"/>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c>
          <w:tcPr>
            <w:tcW w:w="2839" w:type="dxa"/>
            <w:gridSpan w:val="4"/>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pacing w:line="260" w:lineRule="exact"/>
              <w:rPr>
                <w:rFonts w:ascii="宋体" w:hAnsi="宋体"/>
                <w:sz w:val="18"/>
                <w:szCs w:val="18"/>
              </w:rPr>
            </w:pPr>
          </w:p>
        </w:tc>
      </w:tr>
    </w:tbl>
    <w:p>
      <w:pPr>
        <w:pStyle w:val="67"/>
        <w:ind w:left="0" w:leftChars="0" w:firstLine="0" w:firstLineChars="0"/>
        <w:rPr>
          <w:rFonts w:hint="eastAsia" w:hAnsi="宋体"/>
          <w:bCs/>
          <w:color w:val="000000"/>
          <w:kern w:val="2"/>
          <w:szCs w:val="24"/>
        </w:rPr>
      </w:pPr>
    </w:p>
    <w:p>
      <w:pPr>
        <w:pStyle w:val="67"/>
        <w:ind w:firstLine="0" w:firstLineChars="0"/>
        <w:jc w:val="center"/>
        <w:rPr>
          <w:rFonts w:hint="eastAsia" w:hAnsi="宋体"/>
          <w:b/>
          <w:bCs/>
          <w:color w:val="000000"/>
          <w:szCs w:val="21"/>
        </w:rPr>
      </w:pPr>
      <w:r>
        <w:rPr>
          <w:rFonts w:hint="eastAsia" w:hAnsi="宋体"/>
          <w:b/>
          <w:bCs/>
          <w:szCs w:val="21"/>
        </w:rPr>
        <w:t>3</w:t>
      </w:r>
      <w:r>
        <w:rPr>
          <w:rFonts w:hint="eastAsia" w:hAnsi="宋体"/>
          <w:b/>
          <w:bCs/>
          <w:kern w:val="2"/>
          <w:szCs w:val="21"/>
        </w:rPr>
        <w:t>.3</w:t>
      </w:r>
      <w:r>
        <w:rPr>
          <w:rFonts w:hint="eastAsia" w:hAnsi="宋体"/>
          <w:b/>
          <w:bCs/>
          <w:kern w:val="2"/>
          <w:szCs w:val="21"/>
          <w:lang w:val="en-US" w:eastAsia="zh-CN"/>
        </w:rPr>
        <w:t xml:space="preserve">  </w:t>
      </w:r>
      <w:r>
        <w:rPr>
          <w:rFonts w:hint="eastAsia" w:hAnsi="宋体"/>
          <w:b/>
          <w:bCs/>
          <w:color w:val="000000"/>
          <w:kern w:val="2"/>
          <w:szCs w:val="21"/>
        </w:rPr>
        <w:t>钢丝绳和吊</w:t>
      </w:r>
      <w:r>
        <w:rPr>
          <w:rFonts w:hint="eastAsia" w:hAnsi="宋体" w:cs="Arial"/>
          <w:b/>
          <w:bCs/>
          <w:szCs w:val="21"/>
        </w:rPr>
        <w:t>钩检查表</w:t>
      </w:r>
    </w:p>
    <w:p>
      <w:pPr>
        <w:pStyle w:val="67"/>
        <w:ind w:firstLine="0" w:firstLineChars="0"/>
        <w:jc w:val="center"/>
        <w:rPr>
          <w:rFonts w:hint="eastAsia" w:ascii="黑体" w:eastAsia="黑体"/>
          <w:bCs/>
          <w:color w:val="000000"/>
        </w:rPr>
      </w:pPr>
      <w:r>
        <w:drawing>
          <wp:anchor distT="0" distB="0" distL="114300" distR="114300" simplePos="0" relativeHeight="251671552" behindDoc="1" locked="0" layoutInCell="1" allowOverlap="1">
            <wp:simplePos x="0" y="0"/>
            <wp:positionH relativeFrom="column">
              <wp:posOffset>38100</wp:posOffset>
            </wp:positionH>
            <wp:positionV relativeFrom="paragraph">
              <wp:posOffset>162560</wp:posOffset>
            </wp:positionV>
            <wp:extent cx="5908040" cy="1231900"/>
            <wp:effectExtent l="0" t="0" r="5080" b="2540"/>
            <wp:wrapNone/>
            <wp:docPr id="14" name="图片 160" descr="ph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0" descr="ph8437"/>
                    <pic:cNvPicPr>
                      <a:picLocks noChangeAspect="1"/>
                    </pic:cNvPicPr>
                  </pic:nvPicPr>
                  <pic:blipFill>
                    <a:blip r:embed="rId34"/>
                    <a:stretch>
                      <a:fillRect/>
                    </a:stretch>
                  </pic:blipFill>
                  <pic:spPr>
                    <a:xfrm>
                      <a:off x="0" y="0"/>
                      <a:ext cx="5908040" cy="1231900"/>
                    </a:xfrm>
                    <a:prstGeom prst="rect">
                      <a:avLst/>
                    </a:prstGeom>
                    <a:noFill/>
                    <a:ln>
                      <a:noFill/>
                    </a:ln>
                  </pic:spPr>
                </pic:pic>
              </a:graphicData>
            </a:graphic>
          </wp:anchor>
        </w:drawing>
      </w:r>
    </w:p>
    <w:p>
      <w:pPr>
        <w:autoSpaceDE w:val="0"/>
        <w:autoSpaceDN w:val="0"/>
        <w:adjustRightInd w:val="0"/>
      </w:pPr>
    </w:p>
    <w:p>
      <w:pPr>
        <w:autoSpaceDE w:val="0"/>
        <w:autoSpaceDN w:val="0"/>
        <w:adjustRightInd w:val="0"/>
      </w:pPr>
    </w:p>
    <w:p>
      <w:pPr>
        <w:autoSpaceDE w:val="0"/>
        <w:autoSpaceDN w:val="0"/>
        <w:adjustRightInd w:val="0"/>
      </w:pPr>
    </w:p>
    <w:p>
      <w:pPr>
        <w:autoSpaceDE w:val="0"/>
        <w:autoSpaceDN w:val="0"/>
        <w:adjustRightInd w:val="0"/>
        <w:ind w:firstLine="2940" w:firstLineChars="1400"/>
      </w:pPr>
      <w:r>
        <w:t>1</w:t>
      </w:r>
      <w:r>
        <w:rPr>
          <w:rFonts w:hint="eastAsia"/>
        </w:rPr>
        <w:t>绳节距</w:t>
      </w:r>
    </w:p>
    <w:p>
      <w:pPr>
        <w:autoSpaceDE w:val="0"/>
        <w:autoSpaceDN w:val="0"/>
        <w:adjustRightInd w:val="0"/>
        <w:ind w:firstLine="2310" w:firstLineChars="1100"/>
      </w:pPr>
      <w:r>
        <w:rPr>
          <w:rFonts w:hint="eastAsia"/>
        </w:rPr>
        <w:t>直径</w:t>
      </w:r>
    </w:p>
    <w:p>
      <w:pPr>
        <w:autoSpaceDE w:val="0"/>
        <w:autoSpaceDN w:val="0"/>
        <w:adjustRightInd w:val="0"/>
      </w:pPr>
    </w:p>
    <w:p>
      <w:pPr>
        <w:autoSpaceDE w:val="0"/>
        <w:autoSpaceDN w:val="0"/>
        <w:adjustRightInd w:val="0"/>
      </w:pPr>
    </w:p>
    <w:p>
      <w:pPr>
        <w:autoSpaceDE w:val="0"/>
        <w:autoSpaceDN w:val="0"/>
        <w:adjustRightInd w:val="0"/>
        <w:rPr>
          <w:rFonts w:hint="eastAsia" w:ascii="方正仿宋简体" w:hAnsi="方正仿宋简体" w:eastAsia="方正仿宋简体" w:cs="方正仿宋简体"/>
          <w:sz w:val="28"/>
          <w:szCs w:val="28"/>
        </w:rPr>
      </w:pPr>
    </w:p>
    <w:p>
      <w:pPr>
        <w:autoSpaceDE w:val="0"/>
        <w:autoSpaceDN w:val="0"/>
        <w:adjustRightInd w:val="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检查人</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 xml:space="preserve"> 日期</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起重机编号</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p>
      <w:pPr>
        <w:autoSpaceDE w:val="0"/>
        <w:autoSpaceDN w:val="0"/>
        <w:adjustRightInd w:val="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使用单位</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rPr>
        <w:t>作业区域</w:t>
      </w:r>
      <w:r>
        <w:rPr>
          <w:rFonts w:hint="eastAsia" w:ascii="方正仿宋简体" w:hAnsi="方正仿宋简体" w:eastAsia="方正仿宋简体" w:cs="方正仿宋简体"/>
          <w:sz w:val="28"/>
          <w:szCs w:val="28"/>
          <w:u w:val="single"/>
        </w:rPr>
        <w:t xml:space="preserve">   </w:t>
      </w:r>
      <w:r>
        <w:rPr>
          <w:rFonts w:hint="eastAsia" w:ascii="方正仿宋简体" w:hAnsi="方正仿宋简体" w:eastAsia="方正仿宋简体" w:cs="方正仿宋简体"/>
          <w:sz w:val="28"/>
          <w:szCs w:val="28"/>
          <w:u w:val="single"/>
          <w:lang w:val="en-US" w:eastAsia="zh-CN"/>
        </w:rPr>
        <w:t xml:space="preserve">      </w:t>
      </w:r>
      <w:r>
        <w:rPr>
          <w:rFonts w:hint="eastAsia" w:ascii="方正仿宋简体" w:hAnsi="方正仿宋简体" w:eastAsia="方正仿宋简体" w:cs="方正仿宋简体"/>
          <w:sz w:val="28"/>
          <w:szCs w:val="28"/>
          <w:u w:val="single"/>
        </w:rPr>
        <w:t xml:space="preserve">       </w:t>
      </w:r>
    </w:p>
    <w:tbl>
      <w:tblPr>
        <w:tblStyle w:val="51"/>
        <w:tblpPr w:leftFromText="180" w:rightFromText="180" w:vertAnchor="text" w:horzAnchor="page" w:tblpX="1635" w:tblpY="102"/>
        <w:tblOverlap w:val="never"/>
        <w:tblW w:w="9120" w:type="dxa"/>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685"/>
        <w:gridCol w:w="2344"/>
        <w:gridCol w:w="1367"/>
        <w:gridCol w:w="1951"/>
        <w:gridCol w:w="177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656" w:hRule="atLeast"/>
        </w:trPr>
        <w:tc>
          <w:tcPr>
            <w:tcW w:w="1685"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钢丝绳检查项目</w:t>
            </w:r>
          </w:p>
        </w:tc>
        <w:tc>
          <w:tcPr>
            <w:tcW w:w="2344"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实测直径</w:t>
            </w:r>
          </w:p>
          <w:p>
            <w:pPr>
              <w:autoSpaceDE w:val="0"/>
              <w:autoSpaceDN w:val="0"/>
              <w:adjustRightInd w:val="0"/>
              <w:jc w:val="center"/>
              <w:rPr>
                <w:rFonts w:ascii="宋体" w:hAnsi="宋体"/>
                <w:sz w:val="18"/>
                <w:szCs w:val="21"/>
              </w:rPr>
            </w:pPr>
            <w:r>
              <w:rPr>
                <w:rFonts w:hint="eastAsia" w:ascii="宋体" w:hAnsi="宋体"/>
                <w:sz w:val="18"/>
                <w:szCs w:val="21"/>
              </w:rPr>
              <w:t>mm</w:t>
            </w:r>
          </w:p>
        </w:tc>
        <w:tc>
          <w:tcPr>
            <w:tcW w:w="1367"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断丝</w:t>
            </w:r>
          </w:p>
          <w:p>
            <w:pPr>
              <w:autoSpaceDE w:val="0"/>
              <w:autoSpaceDN w:val="0"/>
              <w:adjustRightInd w:val="0"/>
              <w:jc w:val="center"/>
              <w:rPr>
                <w:rFonts w:ascii="宋体" w:hAnsi="宋体"/>
                <w:color w:val="FF0000"/>
                <w:sz w:val="18"/>
                <w:szCs w:val="21"/>
              </w:rPr>
            </w:pPr>
            <w:r>
              <w:rPr>
                <w:rFonts w:hint="eastAsia" w:ascii="宋体" w:hAnsi="宋体"/>
                <w:sz w:val="18"/>
                <w:szCs w:val="21"/>
              </w:rPr>
              <w:t>根</w:t>
            </w:r>
          </w:p>
        </w:tc>
        <w:tc>
          <w:tcPr>
            <w:tcW w:w="3724" w:type="dxa"/>
            <w:gridSpan w:val="2"/>
            <w:vAlign w:val="center"/>
          </w:tcPr>
          <w:p>
            <w:pPr>
              <w:pStyle w:val="27"/>
              <w:autoSpaceDE w:val="0"/>
              <w:autoSpaceDN w:val="0"/>
              <w:adjustRightInd w:val="0"/>
              <w:jc w:val="center"/>
              <w:rPr>
                <w:rFonts w:ascii="宋体" w:hAnsi="宋体"/>
                <w:szCs w:val="21"/>
              </w:rPr>
            </w:pPr>
            <w:r>
              <w:rPr>
                <w:rFonts w:hint="eastAsia" w:ascii="宋体" w:hAnsi="宋体"/>
                <w:szCs w:val="21"/>
              </w:rPr>
              <w:t>受损情况</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13"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sz w:val="18"/>
                <w:szCs w:val="21"/>
              </w:rPr>
              <w:t>前臂钢丝绳</w:t>
            </w:r>
          </w:p>
        </w:tc>
        <w:tc>
          <w:tcPr>
            <w:tcW w:w="2344" w:type="dxa"/>
            <w:vAlign w:val="center"/>
          </w:tcPr>
          <w:p>
            <w:pPr>
              <w:autoSpaceDE w:val="0"/>
              <w:autoSpaceDN w:val="0"/>
              <w:adjustRightInd w:val="0"/>
              <w:jc w:val="center"/>
              <w:rPr>
                <w:rFonts w:ascii="宋体" w:hAnsi="宋体"/>
                <w:sz w:val="18"/>
                <w:szCs w:val="21"/>
              </w:rPr>
            </w:pPr>
          </w:p>
        </w:tc>
        <w:tc>
          <w:tcPr>
            <w:tcW w:w="1367" w:type="dxa"/>
            <w:vAlign w:val="center"/>
          </w:tcPr>
          <w:p>
            <w:pPr>
              <w:pStyle w:val="27"/>
              <w:autoSpaceDE w:val="0"/>
              <w:autoSpaceDN w:val="0"/>
              <w:adjustRightInd w:val="0"/>
              <w:jc w:val="center"/>
              <w:rPr>
                <w:rFonts w:ascii="宋体" w:hAnsi="宋体"/>
                <w:szCs w:val="21"/>
              </w:rPr>
            </w:pPr>
          </w:p>
        </w:tc>
        <w:tc>
          <w:tcPr>
            <w:tcW w:w="3724" w:type="dxa"/>
            <w:gridSpan w:val="2"/>
            <w:vAlign w:val="center"/>
          </w:tcPr>
          <w:p>
            <w:pPr>
              <w:pStyle w:val="29"/>
              <w:pBdr>
                <w:bottom w:val="none" w:color="auto" w:sz="0" w:space="0"/>
              </w:pBdr>
              <w:tabs>
                <w:tab w:val="clear" w:pos="4153"/>
                <w:tab w:val="clear" w:pos="8306"/>
              </w:tabs>
              <w:autoSpaceDE w:val="0"/>
              <w:autoSpaceDN w:val="0"/>
              <w:adjustRightInd w:val="0"/>
              <w:snapToGrid/>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13"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sz w:val="18"/>
                <w:szCs w:val="21"/>
              </w:rPr>
              <w:t>副臂钢丝绳</w:t>
            </w:r>
          </w:p>
        </w:tc>
        <w:tc>
          <w:tcPr>
            <w:tcW w:w="2344" w:type="dxa"/>
            <w:vAlign w:val="center"/>
          </w:tcPr>
          <w:p>
            <w:pPr>
              <w:autoSpaceDE w:val="0"/>
              <w:autoSpaceDN w:val="0"/>
              <w:adjustRightInd w:val="0"/>
              <w:jc w:val="center"/>
              <w:rPr>
                <w:rFonts w:ascii="宋体" w:hAnsi="宋体"/>
                <w:sz w:val="18"/>
                <w:szCs w:val="21"/>
              </w:rPr>
            </w:pPr>
          </w:p>
        </w:tc>
        <w:tc>
          <w:tcPr>
            <w:tcW w:w="1367" w:type="dxa"/>
            <w:vAlign w:val="center"/>
          </w:tcPr>
          <w:p>
            <w:pPr>
              <w:autoSpaceDE w:val="0"/>
              <w:autoSpaceDN w:val="0"/>
              <w:adjustRightInd w:val="0"/>
              <w:jc w:val="center"/>
              <w:rPr>
                <w:rFonts w:ascii="宋体" w:hAnsi="宋体"/>
                <w:sz w:val="18"/>
                <w:szCs w:val="21"/>
              </w:rPr>
            </w:pPr>
          </w:p>
        </w:tc>
        <w:tc>
          <w:tcPr>
            <w:tcW w:w="3724" w:type="dxa"/>
            <w:gridSpan w:val="2"/>
            <w:vAlign w:val="center"/>
          </w:tcPr>
          <w:p>
            <w:pPr>
              <w:autoSpaceDE w:val="0"/>
              <w:autoSpaceDN w:val="0"/>
              <w:adjustRightInd w:val="0"/>
              <w:jc w:val="center"/>
              <w:rPr>
                <w:rFonts w:ascii="宋体" w:hAnsi="宋体"/>
                <w:sz w:val="18"/>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13"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sz w:val="18"/>
                <w:szCs w:val="21"/>
              </w:rPr>
              <w:t>主臂钢丝绳</w:t>
            </w:r>
          </w:p>
        </w:tc>
        <w:tc>
          <w:tcPr>
            <w:tcW w:w="2344" w:type="dxa"/>
            <w:vAlign w:val="center"/>
          </w:tcPr>
          <w:p>
            <w:pPr>
              <w:autoSpaceDE w:val="0"/>
              <w:autoSpaceDN w:val="0"/>
              <w:adjustRightInd w:val="0"/>
              <w:jc w:val="center"/>
              <w:rPr>
                <w:rFonts w:ascii="宋体" w:hAnsi="宋体"/>
                <w:sz w:val="18"/>
                <w:szCs w:val="21"/>
              </w:rPr>
            </w:pPr>
          </w:p>
        </w:tc>
        <w:tc>
          <w:tcPr>
            <w:tcW w:w="1367" w:type="dxa"/>
            <w:vAlign w:val="center"/>
          </w:tcPr>
          <w:p>
            <w:pPr>
              <w:autoSpaceDE w:val="0"/>
              <w:autoSpaceDN w:val="0"/>
              <w:adjustRightInd w:val="0"/>
              <w:jc w:val="center"/>
              <w:rPr>
                <w:rFonts w:ascii="宋体" w:hAnsi="宋体"/>
                <w:sz w:val="18"/>
                <w:szCs w:val="21"/>
              </w:rPr>
            </w:pPr>
          </w:p>
        </w:tc>
        <w:tc>
          <w:tcPr>
            <w:tcW w:w="3724" w:type="dxa"/>
            <w:gridSpan w:val="2"/>
            <w:vAlign w:val="center"/>
          </w:tcPr>
          <w:p>
            <w:pPr>
              <w:autoSpaceDE w:val="0"/>
              <w:autoSpaceDN w:val="0"/>
              <w:adjustRightInd w:val="0"/>
              <w:jc w:val="center"/>
              <w:rPr>
                <w:rFonts w:ascii="宋体" w:hAnsi="宋体"/>
                <w:sz w:val="18"/>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610"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sz w:val="18"/>
                <w:szCs w:val="21"/>
              </w:rPr>
              <w:t>吊钩检查项目</w:t>
            </w:r>
          </w:p>
        </w:tc>
        <w:tc>
          <w:tcPr>
            <w:tcW w:w="2344"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实测开口尺寸</w:t>
            </w:r>
          </w:p>
          <w:p>
            <w:pPr>
              <w:autoSpaceDE w:val="0"/>
              <w:autoSpaceDN w:val="0"/>
              <w:adjustRightInd w:val="0"/>
              <w:jc w:val="center"/>
              <w:rPr>
                <w:rFonts w:ascii="宋体" w:hAnsi="宋体"/>
                <w:sz w:val="18"/>
                <w:szCs w:val="21"/>
              </w:rPr>
            </w:pPr>
            <w:r>
              <w:rPr>
                <w:rFonts w:hint="eastAsia" w:ascii="宋体" w:hAnsi="宋体"/>
                <w:sz w:val="18"/>
                <w:szCs w:val="21"/>
              </w:rPr>
              <w:t>mm</w:t>
            </w:r>
          </w:p>
        </w:tc>
        <w:tc>
          <w:tcPr>
            <w:tcW w:w="1367"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直径</w:t>
            </w:r>
          </w:p>
          <w:p>
            <w:pPr>
              <w:autoSpaceDE w:val="0"/>
              <w:autoSpaceDN w:val="0"/>
              <w:adjustRightInd w:val="0"/>
              <w:jc w:val="center"/>
              <w:rPr>
                <w:rFonts w:hint="eastAsia" w:ascii="宋体" w:hAnsi="宋体"/>
                <w:sz w:val="18"/>
                <w:szCs w:val="21"/>
              </w:rPr>
            </w:pPr>
            <w:r>
              <w:rPr>
                <w:rFonts w:hint="eastAsia" w:ascii="宋体" w:hAnsi="宋体"/>
                <w:sz w:val="18"/>
                <w:szCs w:val="21"/>
              </w:rPr>
              <w:t>mm</w:t>
            </w:r>
          </w:p>
        </w:tc>
        <w:tc>
          <w:tcPr>
            <w:tcW w:w="1951" w:type="dxa"/>
            <w:vAlign w:val="center"/>
          </w:tcPr>
          <w:p>
            <w:pPr>
              <w:autoSpaceDE w:val="0"/>
              <w:autoSpaceDN w:val="0"/>
              <w:adjustRightInd w:val="0"/>
              <w:jc w:val="center"/>
              <w:rPr>
                <w:rFonts w:ascii="宋体" w:hAnsi="宋体"/>
                <w:sz w:val="18"/>
                <w:szCs w:val="21"/>
              </w:rPr>
            </w:pPr>
            <w:r>
              <w:rPr>
                <w:rFonts w:hint="eastAsia" w:ascii="宋体" w:hAnsi="宋体"/>
                <w:sz w:val="18"/>
                <w:szCs w:val="21"/>
              </w:rPr>
              <w:t>是否有安全销</w:t>
            </w:r>
          </w:p>
        </w:tc>
        <w:tc>
          <w:tcPr>
            <w:tcW w:w="1773" w:type="dxa"/>
            <w:vAlign w:val="center"/>
          </w:tcPr>
          <w:p>
            <w:pPr>
              <w:autoSpaceDE w:val="0"/>
              <w:autoSpaceDN w:val="0"/>
              <w:adjustRightInd w:val="0"/>
              <w:jc w:val="center"/>
              <w:rPr>
                <w:rFonts w:hint="eastAsia" w:ascii="宋体" w:hAnsi="宋体"/>
                <w:sz w:val="18"/>
                <w:szCs w:val="21"/>
              </w:rPr>
            </w:pPr>
            <w:r>
              <w:rPr>
                <w:rFonts w:hint="eastAsia" w:ascii="宋体" w:hAnsi="宋体"/>
                <w:sz w:val="18"/>
                <w:szCs w:val="21"/>
              </w:rPr>
              <w:t>是否变形</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13"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sz w:val="18"/>
                <w:szCs w:val="21"/>
              </w:rPr>
              <w:t>主钩</w:t>
            </w:r>
          </w:p>
        </w:tc>
        <w:tc>
          <w:tcPr>
            <w:tcW w:w="2344" w:type="dxa"/>
            <w:vAlign w:val="center"/>
          </w:tcPr>
          <w:p>
            <w:pPr>
              <w:autoSpaceDE w:val="0"/>
              <w:autoSpaceDN w:val="0"/>
              <w:adjustRightInd w:val="0"/>
              <w:jc w:val="center"/>
              <w:rPr>
                <w:rFonts w:hint="eastAsia" w:ascii="宋体" w:hAnsi="宋体"/>
                <w:b/>
                <w:bCs/>
                <w:sz w:val="18"/>
                <w:szCs w:val="21"/>
              </w:rPr>
            </w:pPr>
          </w:p>
        </w:tc>
        <w:tc>
          <w:tcPr>
            <w:tcW w:w="1367" w:type="dxa"/>
            <w:vAlign w:val="center"/>
          </w:tcPr>
          <w:p>
            <w:pPr>
              <w:autoSpaceDE w:val="0"/>
              <w:autoSpaceDN w:val="0"/>
              <w:adjustRightInd w:val="0"/>
              <w:jc w:val="center"/>
              <w:rPr>
                <w:rFonts w:hint="eastAsia" w:ascii="宋体" w:hAnsi="宋体"/>
                <w:b/>
                <w:bCs/>
                <w:sz w:val="18"/>
                <w:szCs w:val="21"/>
              </w:rPr>
            </w:pPr>
          </w:p>
        </w:tc>
        <w:tc>
          <w:tcPr>
            <w:tcW w:w="1951" w:type="dxa"/>
            <w:vAlign w:val="center"/>
          </w:tcPr>
          <w:p>
            <w:pPr>
              <w:autoSpaceDE w:val="0"/>
              <w:autoSpaceDN w:val="0"/>
              <w:adjustRightInd w:val="0"/>
              <w:jc w:val="center"/>
              <w:rPr>
                <w:rFonts w:hint="eastAsia" w:ascii="宋体" w:hAnsi="宋体"/>
                <w:b/>
                <w:bCs/>
                <w:sz w:val="18"/>
                <w:szCs w:val="21"/>
              </w:rPr>
            </w:pPr>
          </w:p>
        </w:tc>
        <w:tc>
          <w:tcPr>
            <w:tcW w:w="1773" w:type="dxa"/>
            <w:vAlign w:val="center"/>
          </w:tcPr>
          <w:p>
            <w:pPr>
              <w:autoSpaceDE w:val="0"/>
              <w:autoSpaceDN w:val="0"/>
              <w:adjustRightInd w:val="0"/>
              <w:jc w:val="center"/>
              <w:rPr>
                <w:rFonts w:hint="eastAsia" w:ascii="宋体" w:hAnsi="宋体"/>
                <w:b/>
                <w:bCs/>
                <w:sz w:val="18"/>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Ex>
        <w:trPr>
          <w:trHeight w:val="374" w:hRule="atLeast"/>
        </w:trPr>
        <w:tc>
          <w:tcPr>
            <w:tcW w:w="1685" w:type="dxa"/>
            <w:vAlign w:val="center"/>
          </w:tcPr>
          <w:p>
            <w:pPr>
              <w:autoSpaceDE w:val="0"/>
              <w:autoSpaceDN w:val="0"/>
              <w:adjustRightInd w:val="0"/>
              <w:jc w:val="center"/>
              <w:rPr>
                <w:rFonts w:ascii="宋体" w:hAnsi="宋体"/>
                <w:sz w:val="18"/>
                <w:szCs w:val="21"/>
              </w:rPr>
            </w:pPr>
            <w:r>
              <w:rPr>
                <w:rFonts w:hint="eastAsia" w:ascii="宋体" w:hAnsi="宋体" w:cs="宋体"/>
                <w:sz w:val="18"/>
                <w:szCs w:val="21"/>
              </w:rPr>
              <w:t>辅钩</w:t>
            </w:r>
          </w:p>
        </w:tc>
        <w:tc>
          <w:tcPr>
            <w:tcW w:w="2344" w:type="dxa"/>
            <w:vAlign w:val="center"/>
          </w:tcPr>
          <w:p>
            <w:pPr>
              <w:autoSpaceDE w:val="0"/>
              <w:autoSpaceDN w:val="0"/>
              <w:adjustRightInd w:val="0"/>
              <w:jc w:val="center"/>
              <w:rPr>
                <w:rFonts w:hint="eastAsia" w:ascii="宋体" w:hAnsi="宋体"/>
                <w:b/>
                <w:bCs/>
                <w:sz w:val="18"/>
                <w:szCs w:val="21"/>
              </w:rPr>
            </w:pPr>
          </w:p>
        </w:tc>
        <w:tc>
          <w:tcPr>
            <w:tcW w:w="1367" w:type="dxa"/>
            <w:vAlign w:val="center"/>
          </w:tcPr>
          <w:p>
            <w:pPr>
              <w:autoSpaceDE w:val="0"/>
              <w:autoSpaceDN w:val="0"/>
              <w:adjustRightInd w:val="0"/>
              <w:jc w:val="center"/>
              <w:rPr>
                <w:rFonts w:hint="eastAsia" w:ascii="宋体" w:hAnsi="宋体"/>
                <w:b/>
                <w:bCs/>
                <w:sz w:val="18"/>
                <w:szCs w:val="21"/>
              </w:rPr>
            </w:pPr>
          </w:p>
        </w:tc>
        <w:tc>
          <w:tcPr>
            <w:tcW w:w="1951" w:type="dxa"/>
            <w:vAlign w:val="center"/>
          </w:tcPr>
          <w:p>
            <w:pPr>
              <w:autoSpaceDE w:val="0"/>
              <w:autoSpaceDN w:val="0"/>
              <w:adjustRightInd w:val="0"/>
              <w:jc w:val="center"/>
              <w:rPr>
                <w:rFonts w:hint="eastAsia" w:ascii="宋体" w:hAnsi="宋体"/>
                <w:b/>
                <w:bCs/>
                <w:sz w:val="18"/>
                <w:szCs w:val="21"/>
              </w:rPr>
            </w:pPr>
          </w:p>
        </w:tc>
        <w:tc>
          <w:tcPr>
            <w:tcW w:w="1773" w:type="dxa"/>
            <w:vAlign w:val="center"/>
          </w:tcPr>
          <w:p>
            <w:pPr>
              <w:autoSpaceDE w:val="0"/>
              <w:autoSpaceDN w:val="0"/>
              <w:adjustRightInd w:val="0"/>
              <w:jc w:val="center"/>
              <w:rPr>
                <w:rFonts w:hint="eastAsia" w:ascii="宋体" w:hAnsi="宋体"/>
                <w:b/>
                <w:bCs/>
                <w:sz w:val="18"/>
                <w:szCs w:val="21"/>
              </w:rPr>
            </w:pPr>
          </w:p>
        </w:tc>
      </w:tr>
    </w:tbl>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line="560" w:lineRule="exact"/>
        <w:ind w:firstLine="562" w:firstLineChars="200"/>
        <w:textAlignment w:val="auto"/>
        <w:outlineLvl w:val="9"/>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钢丝绳和吊钩状况检查说明</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如果出现下列任意一种情况，应更换钢丝绳或吊钩：</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1.</w:t>
      </w:r>
      <w:r>
        <w:rPr>
          <w:rFonts w:hint="eastAsia" w:ascii="方正仿宋简体" w:hAnsi="方正仿宋简体" w:eastAsia="方正仿宋简体" w:cs="方正仿宋简体"/>
          <w:sz w:val="28"/>
          <w:szCs w:val="28"/>
        </w:rPr>
        <w:t>一个绳节距上有六个断丝或一个绳节距内一个绳股上有三个断丝；</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2.</w:t>
      </w:r>
      <w:r>
        <w:rPr>
          <w:rFonts w:hint="eastAsia" w:ascii="方正仿宋简体" w:hAnsi="方正仿宋简体" w:eastAsia="方正仿宋简体" w:cs="方正仿宋简体"/>
          <w:sz w:val="28"/>
          <w:szCs w:val="28"/>
        </w:rPr>
        <w:t>钢丝绳外径磨损量达到三分之一；</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3.</w:t>
      </w:r>
      <w:r>
        <w:rPr>
          <w:rFonts w:hint="eastAsia" w:ascii="方正仿宋简体" w:hAnsi="方正仿宋简体" w:eastAsia="方正仿宋简体" w:cs="方正仿宋简体"/>
          <w:sz w:val="28"/>
          <w:szCs w:val="28"/>
        </w:rPr>
        <w:t>扭结、压扁、鸟笼或其他结构性损坏；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4.</w:t>
      </w:r>
      <w:r>
        <w:rPr>
          <w:rFonts w:hint="eastAsia" w:ascii="方正仿宋简体" w:hAnsi="方正仿宋简体" w:eastAsia="方正仿宋简体" w:cs="方正仿宋简体"/>
          <w:sz w:val="28"/>
          <w:szCs w:val="28"/>
        </w:rPr>
        <w:t>有热损坏的迹象：</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1)直径19mm以下（含）的钢丝绳，直径减少超过1.2mm；</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2)直径22mm～30mm（含）的钢丝绳直径减少超过1.5mm；</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3)直径32mm～38mm（含）以上的钢丝绳直径减少超过2.4mm。</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5.</w:t>
      </w:r>
      <w:r>
        <w:rPr>
          <w:rFonts w:hint="eastAsia" w:ascii="方正仿宋简体" w:hAnsi="方正仿宋简体" w:eastAsia="方正仿宋简体" w:cs="方正仿宋简体"/>
          <w:sz w:val="28"/>
          <w:szCs w:val="28"/>
        </w:rPr>
        <w:t>在吊钩最狭窄的位置上测量，开口拉伸量超过正常开口15%以上。</w:t>
      </w:r>
    </w:p>
    <w:p>
      <w:pPr>
        <w:keepNext w:val="0"/>
        <w:keepLines w:val="0"/>
        <w:pageBreakBefore w:val="0"/>
        <w:widowControl w:val="0"/>
        <w:kinsoku/>
        <w:wordWrap/>
        <w:overflowPunct/>
        <w:topLinePunct w:val="0"/>
        <w:autoSpaceDE w:val="0"/>
        <w:autoSpaceDN w:val="0"/>
        <w:bidi w:val="0"/>
        <w:adjustRightInd w:val="0"/>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b w:val="0"/>
          <w:bCs w:val="0"/>
          <w:sz w:val="36"/>
          <w:szCs w:val="36"/>
          <w:lang w:val="en-US" w:eastAsia="zh-CN"/>
        </w:rPr>
      </w:pPr>
      <w:bookmarkStart w:id="930" w:name="_Toc29726"/>
      <w:bookmarkStart w:id="931" w:name="_Toc14332"/>
      <w:bookmarkStart w:id="932" w:name="_Toc7033"/>
      <w:bookmarkStart w:id="933" w:name="_Toc17828"/>
      <w:bookmarkStart w:id="934" w:name="_Toc29050"/>
      <w:bookmarkStart w:id="935" w:name="_Toc15336"/>
      <w:bookmarkStart w:id="936" w:name="_Toc6422"/>
      <w:bookmarkStart w:id="937" w:name="_Toc5454"/>
      <w:r>
        <w:rPr>
          <w:rFonts w:hint="eastAsia" w:ascii="方正小标宋简体" w:hAnsi="方正小标宋简体" w:eastAsia="方正小标宋简体" w:cs="方正小标宋简体"/>
          <w:b w:val="0"/>
          <w:bCs w:val="0"/>
          <w:sz w:val="36"/>
          <w:szCs w:val="36"/>
          <w:lang w:val="en-US" w:eastAsia="zh-CN"/>
        </w:rPr>
        <w:t>中油南充燃气有限责任公司机关领导干部“三联系”管理</w:t>
      </w:r>
      <w:bookmarkEnd w:id="930"/>
      <w:bookmarkEnd w:id="931"/>
      <w:bookmarkEnd w:id="932"/>
      <w:bookmarkEnd w:id="933"/>
      <w:bookmarkEnd w:id="934"/>
      <w:bookmarkEnd w:id="935"/>
      <w:bookmarkEnd w:id="936"/>
      <w:bookmarkStart w:id="938" w:name="_Toc8510"/>
      <w:bookmarkStart w:id="939" w:name="_Toc19175"/>
      <w:bookmarkStart w:id="940" w:name="_Toc29826"/>
      <w:bookmarkStart w:id="941" w:name="_Toc16201"/>
      <w:bookmarkStart w:id="942" w:name="_Toc7750"/>
      <w:bookmarkStart w:id="943" w:name="_Toc27244"/>
      <w:bookmarkStart w:id="944" w:name="_Toc21400"/>
      <w:r>
        <w:rPr>
          <w:rFonts w:hint="eastAsia" w:ascii="方正小标宋简体" w:hAnsi="方正小标宋简体" w:eastAsia="方正小标宋简体" w:cs="方正小标宋简体"/>
          <w:b w:val="0"/>
          <w:bCs w:val="0"/>
          <w:sz w:val="36"/>
          <w:szCs w:val="36"/>
          <w:lang w:val="en-US" w:eastAsia="zh-CN"/>
        </w:rPr>
        <w:t>实施办法</w:t>
      </w:r>
      <w:bookmarkEnd w:id="937"/>
      <w:bookmarkEnd w:id="938"/>
      <w:bookmarkEnd w:id="939"/>
      <w:bookmarkEnd w:id="940"/>
      <w:bookmarkEnd w:id="941"/>
      <w:bookmarkEnd w:id="942"/>
      <w:bookmarkEnd w:id="943"/>
      <w:bookmarkEnd w:id="944"/>
    </w:p>
    <w:p>
      <w:pPr>
        <w:keepNext w:val="0"/>
        <w:keepLines w:val="0"/>
        <w:pageBreakBefore w:val="0"/>
        <w:widowControl w:val="0"/>
        <w:kinsoku/>
        <w:wordWrap/>
        <w:overflowPunct/>
        <w:topLinePunct w:val="0"/>
        <w:autoSpaceDE/>
        <w:autoSpaceDN/>
        <w:bidi w:val="0"/>
        <w:adjustRightInd/>
        <w:snapToGrid w:val="0"/>
        <w:spacing w:line="640" w:lineRule="exact"/>
        <w:jc w:val="both"/>
        <w:textAlignment w:val="auto"/>
        <w:outlineLvl w:val="9"/>
        <w:rPr>
          <w:rFonts w:hint="eastAsia" w:ascii="黑体" w:eastAsia="黑体"/>
          <w:b w:val="0"/>
          <w:bCs w:val="0"/>
          <w:color w:val="000000"/>
          <w:sz w:val="36"/>
          <w:szCs w:val="36"/>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eastAsia="方正黑体简体"/>
          <w:b w:val="0"/>
          <w:bCs/>
          <w:color w:val="000000"/>
          <w:sz w:val="30"/>
          <w:szCs w:val="30"/>
        </w:rPr>
      </w:pPr>
      <w:r>
        <w:rPr>
          <w:rFonts w:hint="eastAsia" w:ascii="方正黑体简体" w:eastAsia="方正黑体简体"/>
          <w:b w:val="0"/>
          <w:bCs/>
          <w:color w:val="000000"/>
          <w:sz w:val="30"/>
          <w:szCs w:val="30"/>
        </w:rPr>
        <w:t>第一章  总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第一条</w:t>
      </w:r>
      <w:r>
        <w:rPr>
          <w:rFonts w:hint="eastAsia" w:ascii="方正仿宋简体" w:hAnsi="方正仿宋简体" w:eastAsia="方正仿宋简体" w:cs="方正仿宋简体"/>
          <w:sz w:val="28"/>
        </w:rPr>
        <w:t xml:space="preserve">  为践行党的群众路线，切实转变领导干部工作作风，统筹完善领导干部联系基层、服务群众的长效机制，充分发扬党的“三大作风”和中国石油“三个面向、五到现场”的优良传统，增强领导干部的服务意识、群众观念和廉洁意识，提高联系基层实效，减轻基层负担，解决基层实际问题，依据公司安全生产责任联系、党建联系和基层建设联系（以下简称“三联系”）的有关规定和要求，结合</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燃气有限责任公司(以下简称公司)实际，制定本办法。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第二条</w:t>
      </w:r>
      <w:r>
        <w:rPr>
          <w:rFonts w:hint="eastAsia" w:ascii="方正仿宋简体" w:hAnsi="方正仿宋简体" w:eastAsia="方正仿宋简体" w:cs="方正仿宋简体"/>
          <w:sz w:val="28"/>
        </w:rPr>
        <w:t xml:space="preserve">  公司实行安全生产联系与党建联系、基层建设联系相结合的方式，领导干部的安全生产联系点与党建联系点、基层建设工作联系点保持一致，工作一并开展。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第三条</w:t>
      </w:r>
      <w:r>
        <w:rPr>
          <w:rFonts w:hint="eastAsia" w:ascii="方正仿宋简体" w:hAnsi="方正仿宋简体" w:eastAsia="方正仿宋简体" w:cs="方正仿宋简体"/>
          <w:sz w:val="28"/>
        </w:rPr>
        <w:t xml:space="preserve">  本办法所称联系点是指公司所属基层单位、配气站(含有人值守撬装站)</w:t>
      </w:r>
      <w:r>
        <w:rPr>
          <w:rFonts w:hint="eastAsia" w:ascii="方正仿宋简体" w:hAnsi="方正仿宋简体" w:eastAsia="方正仿宋简体" w:cs="方正仿宋简体"/>
          <w:sz w:val="28"/>
          <w:lang w:eastAsia="zh-CN"/>
        </w:rPr>
        <w:t>、燃气管网片区</w:t>
      </w:r>
      <w:r>
        <w:rPr>
          <w:rFonts w:hint="eastAsia" w:ascii="方正仿宋简体" w:hAnsi="方正仿宋简体" w:eastAsia="方正仿宋简体" w:cs="方正仿宋简体"/>
          <w:sz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本办法所称联系人是指对安全生产联系点、党建联系点和基层建设联系点进行定期联系的</w:t>
      </w:r>
      <w:r>
        <w:rPr>
          <w:rFonts w:hint="eastAsia" w:ascii="方正仿宋简体" w:hAnsi="方正仿宋简体" w:eastAsia="方正仿宋简体" w:cs="方正仿宋简体"/>
          <w:sz w:val="28"/>
          <w:lang w:eastAsia="zh-CN"/>
        </w:rPr>
        <w:t>以</w:t>
      </w:r>
      <w:r>
        <w:rPr>
          <w:rFonts w:hint="eastAsia" w:ascii="方正仿宋简体" w:hAnsi="方正仿宋简体" w:eastAsia="方正仿宋简体" w:cs="方正仿宋简体"/>
          <w:sz w:val="28"/>
        </w:rPr>
        <w:t>科级（含副科级）领导</w:t>
      </w:r>
      <w:r>
        <w:rPr>
          <w:rFonts w:hint="eastAsia" w:ascii="方正仿宋简体" w:hAnsi="方正仿宋简体" w:eastAsia="方正仿宋简体" w:cs="方正仿宋简体"/>
          <w:sz w:val="28"/>
          <w:lang w:eastAsia="zh-CN"/>
        </w:rPr>
        <w:t>干部</w:t>
      </w:r>
      <w:r>
        <w:rPr>
          <w:rFonts w:hint="eastAsia" w:ascii="方正仿宋简体" w:hAnsi="方正仿宋简体" w:eastAsia="方正仿宋简体" w:cs="方正仿宋简体"/>
          <w:sz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lang w:eastAsia="zh-CN"/>
        </w:rPr>
        <w:t>第四条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本办法适用于</w:t>
      </w:r>
      <w:r>
        <w:rPr>
          <w:rFonts w:hint="eastAsia" w:ascii="方正仿宋简体" w:hAnsi="方正仿宋简体" w:eastAsia="方正仿宋简体" w:cs="方正仿宋简体"/>
          <w:sz w:val="28"/>
          <w:lang w:eastAsia="zh-CN"/>
        </w:rPr>
        <w:t>中油南充燃气有限责任公司</w:t>
      </w:r>
      <w:r>
        <w:rPr>
          <w:rFonts w:hint="eastAsia" w:ascii="方正仿宋简体" w:hAnsi="方正仿宋简体" w:eastAsia="方正仿宋简体" w:cs="方正仿宋简体"/>
          <w:sz w:val="28"/>
        </w:rPr>
        <w:t>领导干部。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第二章  联系人职责及工作要求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第五条</w:t>
      </w:r>
      <w:r>
        <w:rPr>
          <w:rFonts w:hint="eastAsia" w:ascii="方正仿宋简体" w:hAnsi="方正仿宋简体" w:eastAsia="方正仿宋简体" w:cs="方正仿宋简体"/>
          <w:sz w:val="28"/>
        </w:rPr>
        <w:t xml:space="preserve">  “三联系”频次规定：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lang w:eastAsia="zh-CN"/>
        </w:rPr>
      </w:pPr>
      <w:r>
        <w:rPr>
          <w:rFonts w:hint="eastAsia" w:ascii="方正仿宋简体" w:hAnsi="方正仿宋简体" w:eastAsia="方正仿宋简体" w:cs="方正仿宋简体"/>
          <w:sz w:val="28"/>
          <w:lang w:eastAsia="zh-CN"/>
        </w:rPr>
        <w:t>联</w:t>
      </w:r>
      <w:r>
        <w:rPr>
          <w:rFonts w:hint="eastAsia" w:ascii="方正仿宋简体" w:hAnsi="方正仿宋简体" w:eastAsia="方正仿宋简体" w:cs="方正仿宋简体"/>
          <w:sz w:val="28"/>
        </w:rPr>
        <w:t>系人每</w:t>
      </w:r>
      <w:r>
        <w:rPr>
          <w:rFonts w:hint="eastAsia" w:ascii="方正仿宋简体" w:hAnsi="方正仿宋简体" w:eastAsia="方正仿宋简体" w:cs="方正仿宋简体"/>
          <w:sz w:val="28"/>
          <w:lang w:eastAsia="zh-CN"/>
        </w:rPr>
        <w:t>月</w:t>
      </w:r>
      <w:r>
        <w:rPr>
          <w:rFonts w:hint="eastAsia" w:ascii="方正仿宋简体" w:hAnsi="方正仿宋简体" w:eastAsia="方正仿宋简体" w:cs="方正仿宋简体"/>
          <w:sz w:val="28"/>
        </w:rPr>
        <w:t>至少开展1次联系工作；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第六条</w:t>
      </w:r>
      <w:r>
        <w:rPr>
          <w:rFonts w:hint="eastAsia" w:ascii="方正仿宋简体" w:hAnsi="方正仿宋简体" w:eastAsia="方正仿宋简体" w:cs="方正仿宋简体"/>
          <w:sz w:val="28"/>
        </w:rPr>
        <w:t xml:space="preserve">  联系基层的工作以联系小组的方式开展，联系小组成员由多个部门</w:t>
      </w:r>
      <w:r>
        <w:rPr>
          <w:rFonts w:hint="eastAsia" w:ascii="方正仿宋简体" w:hAnsi="方正仿宋简体" w:eastAsia="方正仿宋简体" w:cs="方正仿宋简体"/>
          <w:sz w:val="28"/>
          <w:lang w:eastAsia="zh-CN"/>
        </w:rPr>
        <w:t>单位管理人员</w:t>
      </w:r>
      <w:r>
        <w:rPr>
          <w:rFonts w:hint="eastAsia" w:ascii="方正仿宋简体" w:hAnsi="方正仿宋简体" w:eastAsia="方正仿宋简体" w:cs="方正仿宋简体"/>
          <w:sz w:val="28"/>
        </w:rPr>
        <w:t>搭配组成。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第七条</w:t>
      </w:r>
      <w:r>
        <w:rPr>
          <w:rFonts w:hint="eastAsia" w:ascii="方正仿宋简体" w:hAnsi="方正仿宋简体" w:eastAsia="方正仿宋简体" w:cs="方正仿宋简体"/>
          <w:sz w:val="28"/>
          <w:szCs w:val="28"/>
        </w:rPr>
        <w:t xml:space="preserve">  机关党员领导干部在制定个人联系基层行动计划时，应将安全联系与党建联系、基层建设联系紧密结合，统筹安排；机关非党员领导干部在制定个人联系基层行动计划时，应将安全联系与基层建设联系有机结合。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第八条</w:t>
      </w:r>
      <w:r>
        <w:rPr>
          <w:rFonts w:hint="eastAsia" w:ascii="方正仿宋简体" w:hAnsi="方正仿宋简体" w:eastAsia="方正仿宋简体" w:cs="方正仿宋简体"/>
          <w:sz w:val="28"/>
          <w:szCs w:val="28"/>
        </w:rPr>
        <w:t xml:space="preserve">  公司质量安全环保部、</w:t>
      </w:r>
      <w:r>
        <w:rPr>
          <w:rFonts w:hint="eastAsia" w:ascii="方正仿宋简体" w:hAnsi="方正仿宋简体" w:eastAsia="方正仿宋简体" w:cs="方正仿宋简体"/>
          <w:sz w:val="28"/>
          <w:szCs w:val="28"/>
          <w:lang w:eastAsia="zh-CN"/>
        </w:rPr>
        <w:t>综合办公室等</w:t>
      </w:r>
      <w:r>
        <w:rPr>
          <w:rFonts w:hint="eastAsia" w:ascii="方正仿宋简体" w:hAnsi="方正仿宋简体" w:eastAsia="方正仿宋简体" w:cs="方正仿宋简体"/>
          <w:sz w:val="28"/>
          <w:szCs w:val="28"/>
        </w:rPr>
        <w:t>责任部门，每年年初应对联系人和联系点进行一次确认，采用适当方式公布并书面告知联系点基层单位。联系点或联系人发生变更时，应及时进行调整。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第九条</w:t>
      </w:r>
      <w:r>
        <w:rPr>
          <w:rFonts w:hint="eastAsia" w:ascii="方正仿宋简体" w:hAnsi="方正仿宋简体" w:eastAsia="方正仿宋简体" w:cs="方正仿宋简体"/>
          <w:sz w:val="28"/>
          <w:szCs w:val="28"/>
        </w:rPr>
        <w:t xml:space="preserve">  各单位联系点应按公司有关部门要求统一制作和悬挂联系牌，标明联系点名称、联系人姓名和职务。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第十条</w:t>
      </w:r>
      <w:r>
        <w:rPr>
          <w:rFonts w:hint="eastAsia" w:ascii="方正仿宋简体" w:hAnsi="方正仿宋简体" w:eastAsia="方正仿宋简体" w:cs="方正仿宋简体"/>
          <w:sz w:val="28"/>
          <w:szCs w:val="28"/>
        </w:rPr>
        <w:t xml:space="preserve">  联系人应深入联系点现场开展联系工作，不得通过电话、传真、电子邮件等形式从联系点获取信息来填写联系记录；不得将全年应到联系点的活动次数集中安排在某一时段内完成；不得委托他人代替。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第十一条</w:t>
      </w:r>
      <w:r>
        <w:rPr>
          <w:rFonts w:hint="eastAsia" w:ascii="方正仿宋简体" w:hAnsi="方正仿宋简体" w:eastAsia="方正仿宋简体" w:cs="方正仿宋简体"/>
          <w:sz w:val="28"/>
          <w:szCs w:val="28"/>
        </w:rPr>
        <w:t xml:space="preserve">  联系人在联系活动中，发现有重大隐患，危及生命、财产安全的，有权责令其停产进行整改，待整改验收合格后，方能继续生产。联系人到联系点活动后，应及时将发现的问题或隐患通报所在单位，对所在单位不能自行整改或处理，需要上一级单位协调处理的，应及时将信息反馈到相关业务部门，协调解决基层实际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第十二条</w:t>
      </w:r>
      <w:r>
        <w:rPr>
          <w:rFonts w:hint="eastAsia" w:ascii="方正仿宋简体" w:hAnsi="方正仿宋简体" w:eastAsia="方正仿宋简体" w:cs="方正仿宋简体"/>
          <w:sz w:val="28"/>
          <w:szCs w:val="28"/>
        </w:rPr>
        <w:t xml:space="preserve">  联系人完成“三联系”工作后，应亲自填写《</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燃气有限责任公司领导干部“三联系”记录表》，联系单位负责人应确认签字。联系记录表一式三联，一联交联系点单位、一联本人保存、一联交质量安全环保部。涉及党建或基层建设方面的内容，由质量安全环保部转交</w:t>
      </w:r>
      <w:r>
        <w:rPr>
          <w:rFonts w:hint="eastAsia" w:ascii="方正仿宋简体" w:hAnsi="方正仿宋简体" w:eastAsia="方正仿宋简体" w:cs="方正仿宋简体"/>
          <w:sz w:val="28"/>
          <w:szCs w:val="28"/>
          <w:lang w:val="en-US" w:eastAsia="zh-CN"/>
        </w:rPr>
        <w:t>综合办公室</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第十三条</w:t>
      </w:r>
      <w:r>
        <w:rPr>
          <w:rFonts w:hint="eastAsia" w:ascii="方正仿宋简体" w:hAnsi="方正仿宋简体" w:eastAsia="方正仿宋简体" w:cs="方正仿宋简体"/>
          <w:sz w:val="28"/>
          <w:szCs w:val="28"/>
        </w:rPr>
        <w:t xml:space="preserve">  联系人完成当年联系工作后，应于当年12月10日前形成并提交《</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气有限责任公司领导干部“三联系”工作述职报告》，报告内容涵盖安全生产、党的建设和基层建设工作，报告一式三</w:t>
      </w:r>
      <w:r>
        <w:rPr>
          <w:rFonts w:hint="eastAsia" w:ascii="方正仿宋简体" w:hAnsi="方正仿宋简体" w:eastAsia="方正仿宋简体" w:cs="方正仿宋简体"/>
          <w:sz w:val="28"/>
          <w:szCs w:val="28"/>
          <w:lang w:eastAsia="zh-CN"/>
        </w:rPr>
        <w:t>联</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eastAsia="zh-CN"/>
        </w:rPr>
        <w:t>一联交联系点单位、</w:t>
      </w:r>
      <w:r>
        <w:rPr>
          <w:rFonts w:hint="eastAsia" w:ascii="方正仿宋简体" w:hAnsi="方正仿宋简体" w:eastAsia="方正仿宋简体" w:cs="方正仿宋简体"/>
          <w:sz w:val="28"/>
          <w:szCs w:val="28"/>
        </w:rPr>
        <w:t>一</w:t>
      </w:r>
      <w:r>
        <w:rPr>
          <w:rFonts w:hint="eastAsia" w:ascii="方正仿宋简体" w:hAnsi="方正仿宋简体" w:eastAsia="方正仿宋简体" w:cs="方正仿宋简体"/>
          <w:sz w:val="28"/>
          <w:szCs w:val="28"/>
          <w:lang w:eastAsia="zh-CN"/>
        </w:rPr>
        <w:t>联</w:t>
      </w:r>
      <w:r>
        <w:rPr>
          <w:rFonts w:hint="eastAsia" w:ascii="方正仿宋简体" w:hAnsi="方正仿宋简体" w:eastAsia="方正仿宋简体" w:cs="方正仿宋简体"/>
          <w:sz w:val="28"/>
          <w:szCs w:val="28"/>
        </w:rPr>
        <w:t>交质量安全环保部，</w:t>
      </w:r>
      <w:r>
        <w:rPr>
          <w:rFonts w:hint="eastAsia" w:ascii="方正仿宋简体" w:hAnsi="方正仿宋简体" w:eastAsia="方正仿宋简体" w:cs="方正仿宋简体"/>
          <w:sz w:val="28"/>
          <w:szCs w:val="28"/>
          <w:lang w:eastAsia="zh-CN"/>
        </w:rPr>
        <w:t>一联本人本人保留</w:t>
      </w:r>
      <w:r>
        <w:rPr>
          <w:rFonts w:hint="eastAsia" w:ascii="方正仿宋简体" w:hAnsi="方正仿宋简体" w:eastAsia="方正仿宋简体" w:cs="方正仿宋简体"/>
          <w:sz w:val="28"/>
          <w:szCs w:val="28"/>
        </w:rPr>
        <w:t>。述职报告由质量安全环保部呈送公司分管领导、主要领导批阅，批阅结束后，由质量安全环保部按领导批示意见进行办理，通知联系人、联系单位后存档。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第三章  安全生产联系工作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第十四条</w:t>
      </w:r>
      <w:r>
        <w:rPr>
          <w:rFonts w:hint="eastAsia" w:ascii="方正仿宋简体" w:hAnsi="方正仿宋简体" w:eastAsia="方正仿宋简体" w:cs="方正仿宋简体"/>
          <w:sz w:val="28"/>
          <w:szCs w:val="28"/>
        </w:rPr>
        <w:t xml:space="preserve">  联系人在安全生产方面的联系内容：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（一）安全生产责任制的落实情况，安全生产规章规定和操作规程、工艺纪律的执行情况；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（二）上级安全文件、安全工作指示的贯彻落实情况；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（三）HSE管理体系的运行实施情况和反“三违”活动的开展情况；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（四）易燃易爆场所、压力容器和重大危险源的监控措施及危险化学品管理措施的落实情况；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（五）设备安装、管理和使用情况，以及运转部位、危险部位安全防护设施的齐全完好情况；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（六）员工劳动防护用品、用具的发放、使用和正确穿戴情况，特种作业人员持证上岗情况；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（七）应急预案制定、培训演练及应急物资管理情况；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（八）联系点存在问题和隐患的整改完成情况；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（九）员工安全技术操作能力、行为规范约束能力、突发情况应急处置能力、培训教育工作开展及特殊工种作业人员持证上岗情况；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（十）新、改、扩建工程项目安全、环保、职业卫生设施“三同时”管理执行情况；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（十一）原始报表、记录和安全基础资料的填写及保管情况等；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（十二）其他与安全生产有关的内容。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第十五条</w:t>
      </w:r>
      <w:r>
        <w:rPr>
          <w:rFonts w:hint="eastAsia" w:ascii="方正仿宋简体" w:hAnsi="方正仿宋简体" w:eastAsia="方正仿宋简体" w:cs="方正仿宋简体"/>
          <w:sz w:val="28"/>
          <w:szCs w:val="28"/>
        </w:rPr>
        <w:t xml:space="preserve">  联系人可采取以下联系方式开展活动：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（一）行为安全观察与沟通；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（二）安全经验分享；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（三）安全培训与技能互动展示；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（四）安全隐患排查；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（五）预案演练点评；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（六）作业许可审核。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第四章  党建联系工作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第十六条</w:t>
      </w:r>
      <w:r>
        <w:rPr>
          <w:rFonts w:hint="eastAsia" w:ascii="方正仿宋简体" w:hAnsi="方正仿宋简体" w:eastAsia="方正仿宋简体" w:cs="方正仿宋简体"/>
          <w:sz w:val="28"/>
          <w:szCs w:val="28"/>
        </w:rPr>
        <w:t xml:space="preserve">  公司机关每名党员领导干部应按照联系基层党组织的要求做好党建联系工作，使联系点成为党员和党员干部的责任区，成为党建工作的示范点和研究解决新问题的实践点。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第十七条</w:t>
      </w:r>
      <w:r>
        <w:rPr>
          <w:rFonts w:hint="eastAsia" w:ascii="方正仿宋简体" w:hAnsi="方正仿宋简体" w:eastAsia="方正仿宋简体" w:cs="方正仿宋简体"/>
          <w:sz w:val="28"/>
          <w:szCs w:val="28"/>
        </w:rPr>
        <w:t xml:space="preserve">  联系人在党的建设方面的主要联系内容：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（一）宣传有关党的建设方面的文件、会议精神；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（二）督促、检查联系点“四好”班子和“六个一”党支部创建活动等党建相关工作，帮助基层解决实际困难，构建良好党建工作机制。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（三）指导、帮助联系点深入开展反腐倡廉建设工作，重点检查指导领导班子党风廉政建设责任制和“三重一大”决策制度的落实情况，适时抽查党风廉洁教育的实际效果；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（四）了解掌握联系点党员和员工学习、工作、生活情况与思想动态，指导基层总结基层党建工作先进经验和做法，及时发现、培育和宣传先进典型；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（五）听取联系点党员和员工的意见与建议，并向有关部门反馈；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（六）参加联系点党组织民主生活会或组织生活。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第五章  基层建设联系工作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第十八条</w:t>
      </w:r>
      <w:r>
        <w:rPr>
          <w:rFonts w:hint="eastAsia" w:ascii="方正仿宋简体" w:hAnsi="方正仿宋简体" w:eastAsia="方正仿宋简体" w:cs="方正仿宋简体"/>
          <w:sz w:val="28"/>
          <w:szCs w:val="28"/>
        </w:rPr>
        <w:t xml:space="preserve">  联系人在开展安全联系工作的同时，应督促、检查和指导联系点的基层建设工作，及时了解和掌握联系点的基层建设工作动态，分析存在的问题，协调解决基层单位发展中的突出矛盾和问题，为公司决策提供参考依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第十九条</w:t>
      </w:r>
      <w:r>
        <w:rPr>
          <w:rFonts w:hint="eastAsia" w:ascii="方正仿宋简体" w:hAnsi="方正仿宋简体" w:eastAsia="方正仿宋简体" w:cs="方正仿宋简体"/>
          <w:sz w:val="28"/>
          <w:szCs w:val="28"/>
        </w:rPr>
        <w:t xml:space="preserve">  联系人在基层建设方面的主要联系内容：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（一）宣传上级有关基层建设工作文件、会议、工作指示精神，了解联系点的贯彻落实情况；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（二）了解联系点员工队伍建设情况，帮助基层单位提高员工综合素质；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（三）了解联系点质量、计量、标准化、制度、流程及基础资料等基础性管理工作情况，帮助基层规范基础管理，提升管理水平；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（四）督促、指导联系点深化“五型班组”创建活动，提高基层班组建设整体水平；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（五）督促、指导联系点加强思想政治工作和企业文化建设工作，创新文化建设及活动载体，增强企业的凝聚力和员工的归属感；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（六）了解联系点基层民主管理、民主监督和员工工作生活条件等方面的情况；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（七）发现和宣传联系点在基层建设方面的经验及做法，发挥典型示范引领作用；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（八）听取联系点对基层建设工作的意见和建议，及时向有关部门反馈。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第六章  考核及奖惩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第二十条</w:t>
      </w:r>
      <w:r>
        <w:rPr>
          <w:rFonts w:hint="eastAsia" w:ascii="方正仿宋简体" w:hAnsi="方正仿宋简体" w:eastAsia="方正仿宋简体" w:cs="方正仿宋简体"/>
          <w:sz w:val="28"/>
          <w:szCs w:val="28"/>
        </w:rPr>
        <w:t xml:space="preserve">  机关领导干部到联系点开展工作，应轻车简从，严格遵守党风廉政建设有关规定，不参加有损党员干部形象的活动，不做违背群众意愿、侵害群众利益以及有违当地风俗习惯的事情；坚持求真务实，杜绝形式主义，自觉接受监督，做到为民、务实、清廉，为联系点党员干部树立良好的作风和形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第二十一条</w:t>
      </w:r>
      <w:r>
        <w:rPr>
          <w:rFonts w:hint="eastAsia" w:ascii="方正仿宋简体" w:hAnsi="方正仿宋简体" w:eastAsia="方正仿宋简体" w:cs="方正仿宋简体"/>
          <w:sz w:val="28"/>
          <w:szCs w:val="28"/>
        </w:rPr>
        <w:t xml:space="preserve">  公司每年结合</w:t>
      </w:r>
      <w:r>
        <w:rPr>
          <w:rFonts w:hint="eastAsia" w:ascii="方正仿宋简体" w:hAnsi="方正仿宋简体" w:eastAsia="方正仿宋简体" w:cs="方正仿宋简体"/>
          <w:sz w:val="28"/>
          <w:szCs w:val="28"/>
          <w:lang w:eastAsia="zh-CN"/>
        </w:rPr>
        <w:t>QHSE</w:t>
      </w:r>
      <w:r>
        <w:rPr>
          <w:rFonts w:hint="eastAsia" w:ascii="方正仿宋简体" w:hAnsi="方正仿宋简体" w:eastAsia="方正仿宋简体" w:cs="方正仿宋简体"/>
          <w:sz w:val="28"/>
          <w:szCs w:val="28"/>
        </w:rPr>
        <w:t>管理委员会等会议，研究解决联系工作中发现的问题，督促检查机关领导干部执行本办法情况，对联系基层工作成绩突出的予以表彰，对思想不重视、工作不得力的提出批评，限期整改。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第二十二条</w:t>
      </w:r>
      <w:r>
        <w:rPr>
          <w:rFonts w:hint="eastAsia" w:ascii="方正仿宋简体" w:hAnsi="方正仿宋简体" w:eastAsia="方正仿宋简体" w:cs="方正仿宋简体"/>
          <w:sz w:val="28"/>
          <w:szCs w:val="28"/>
        </w:rPr>
        <w:t xml:space="preserve">  公司将把联系基层工作落实情况与成效作为机关领导干部年度考核的重要内容，以及评先选优、提拔任用的重要依据。其中安全生产联系情况，由质量安全环保部为负责牵头考核；党建联系情况，由公司</w:t>
      </w:r>
      <w:r>
        <w:rPr>
          <w:rFonts w:hint="eastAsia" w:ascii="方正仿宋简体" w:hAnsi="方正仿宋简体" w:eastAsia="方正仿宋简体" w:cs="方正仿宋简体"/>
          <w:sz w:val="28"/>
          <w:szCs w:val="28"/>
          <w:lang w:eastAsia="zh-CN"/>
        </w:rPr>
        <w:t>综合办公室</w:t>
      </w:r>
      <w:r>
        <w:rPr>
          <w:rFonts w:hint="eastAsia" w:ascii="方正仿宋简体" w:hAnsi="方正仿宋简体" w:eastAsia="方正仿宋简体" w:cs="方正仿宋简体"/>
          <w:sz w:val="28"/>
          <w:szCs w:val="28"/>
        </w:rPr>
        <w:t>负责牵头考核；基层建设联系情况，由</w:t>
      </w:r>
      <w:r>
        <w:rPr>
          <w:rFonts w:hint="eastAsia" w:ascii="方正仿宋简体" w:hAnsi="方正仿宋简体" w:eastAsia="方正仿宋简体" w:cs="方正仿宋简体"/>
          <w:sz w:val="28"/>
          <w:szCs w:val="28"/>
          <w:lang w:eastAsia="zh-CN"/>
        </w:rPr>
        <w:t>综合办公室</w:t>
      </w:r>
      <w:r>
        <w:rPr>
          <w:rFonts w:hint="eastAsia" w:ascii="方正仿宋简体" w:hAnsi="方正仿宋简体" w:eastAsia="方正仿宋简体" w:cs="方正仿宋简体"/>
          <w:sz w:val="28"/>
          <w:szCs w:val="28"/>
        </w:rPr>
        <w:t>负责牵头考核。考核的主要内容有：联系人是否按规定时间到联系点开展活动；联系人是否按时按要求提交《</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燃气有限责任公司领导干部“三联系”记录表》；联系人是否按时按要求提交《</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燃气有限责任公司领导干部“三联系”工作述职报告》；联系点的党建、基层建设情况，事故情况、隐患整改情况及全年安全生产情况等。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 xml:space="preserve">第二十三条 </w:t>
      </w:r>
      <w:r>
        <w:rPr>
          <w:rFonts w:hint="eastAsia" w:ascii="方正仿宋简体" w:hAnsi="方正仿宋简体" w:eastAsia="方正仿宋简体" w:cs="方正仿宋简体"/>
          <w:sz w:val="28"/>
          <w:szCs w:val="28"/>
        </w:rPr>
        <w:t xml:space="preserve"> 公司将领导干部联系基层纳入《西南油气田分公司安全环保风险控制奖实施细则》（西南司质〔2015〕54号）管理，对联系工作履职不到位的领导干部，将扣减一定比例安全环保风险控制奖。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rPr>
        <w:t>第二十四条</w:t>
      </w:r>
      <w:r>
        <w:rPr>
          <w:rFonts w:hint="eastAsia" w:ascii="方正仿宋简体" w:hAnsi="方正仿宋简体" w:eastAsia="方正仿宋简体" w:cs="方正仿宋简体"/>
          <w:sz w:val="28"/>
          <w:szCs w:val="28"/>
        </w:rPr>
        <w:t xml:space="preserve">  扣奖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（一）联系点发生较大安全事故及以上、Ⅱ级环境突发事件及以上，扣减全部安全环保风险控制奖；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（二）联系点领导班子成员违纪违规，受到党纪政纪处理的，扣减全部安全环保风险控制奖；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（三）联系点发生一般安全事故A级和Ⅲ级环境突发事件，扣减50%安全环保风险控制奖；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四）对联系点的安全生产、党的建设、基层建设和反腐倡廉等工作检查指导不力，一年内未联系、也未进行督促检查，联系点安全隐患或违纪违规等突出问题长期得不到治理或整改的，扣减50%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（五）联系点发生一般生产安全事故B级，扣减25%安全环保风险控制奖；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（六）未按规定频次到联系点履行职责，或未按时上报《</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燃气有限责任公司领导干部“三联系”记录表》回执和《</w:t>
      </w:r>
      <w:r>
        <w:rPr>
          <w:rFonts w:hint="eastAsia" w:ascii="方正仿宋简体" w:hAnsi="方正仿宋简体" w:eastAsia="方正仿宋简体" w:cs="方正仿宋简体"/>
          <w:sz w:val="28"/>
          <w:szCs w:val="28"/>
          <w:lang w:eastAsia="zh-CN"/>
        </w:rPr>
        <w:t>中油南充</w:t>
      </w:r>
      <w:r>
        <w:rPr>
          <w:rFonts w:hint="eastAsia" w:ascii="方正仿宋简体" w:hAnsi="方正仿宋简体" w:eastAsia="方正仿宋简体" w:cs="方正仿宋简体"/>
          <w:sz w:val="28"/>
          <w:szCs w:val="28"/>
        </w:rPr>
        <w:t>燃气有限责任公司领导干部“三联系”工作述职报告》的，扣减25%安全环保风险控制奖。</w:t>
      </w:r>
    </w:p>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第七章  附  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szCs w:val="28"/>
        </w:rPr>
        <w:t>第二十五条</w:t>
      </w:r>
      <w:r>
        <w:rPr>
          <w:rFonts w:hint="eastAsia" w:ascii="方正仿宋简体" w:hAnsi="方正仿宋简体" w:eastAsia="方正仿宋简体" w:cs="方正仿宋简体"/>
          <w:sz w:val="28"/>
        </w:rPr>
        <w:t xml:space="preserve">  本办法由公司质量安全环保部、</w:t>
      </w:r>
      <w:r>
        <w:rPr>
          <w:rFonts w:hint="eastAsia" w:ascii="方正仿宋简体" w:hAnsi="方正仿宋简体" w:eastAsia="方正仿宋简体" w:cs="方正仿宋简体"/>
          <w:sz w:val="28"/>
          <w:lang w:eastAsia="zh-CN"/>
        </w:rPr>
        <w:t>综合办公室</w:t>
      </w:r>
      <w:r>
        <w:rPr>
          <w:rFonts w:hint="eastAsia" w:ascii="方正仿宋简体" w:hAnsi="方正仿宋简体" w:eastAsia="方正仿宋简体" w:cs="方正仿宋简体"/>
          <w:sz w:val="28"/>
        </w:rPr>
        <w:t>负责解释。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附件：1.</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燃气有限责任公司领导干部“三联系”记录表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燃气有限责任公司安全观察与沟通报告表</w:t>
      </w:r>
    </w:p>
    <w:p>
      <w:pPr>
        <w:keepNext w:val="0"/>
        <w:keepLines w:val="0"/>
        <w:pageBreakBefore w:val="0"/>
        <w:widowControl w:val="0"/>
        <w:kinsoku/>
        <w:wordWrap/>
        <w:overflowPunct/>
        <w:topLinePunct w:val="0"/>
        <w:autoSpaceDE/>
        <w:autoSpaceDN/>
        <w:bidi w:val="0"/>
        <w:adjustRightInd/>
        <w:snapToGrid/>
        <w:spacing w:line="560" w:lineRule="exact"/>
        <w:ind w:firstLine="1400" w:firstLineChars="5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港燃气有限责任公司领导干部“三</w:t>
      </w:r>
      <w:r>
        <w:rPr>
          <w:rFonts w:hint="eastAsia" w:ascii="方正仿宋简体" w:hAnsi="方正仿宋简体" w:eastAsia="方正仿宋简体" w:cs="方正仿宋简体"/>
          <w:sz w:val="28"/>
          <w:lang w:eastAsia="zh-CN"/>
        </w:rPr>
        <w:t>联</w:t>
      </w:r>
      <w:r>
        <w:rPr>
          <w:rFonts w:hint="eastAsia" w:ascii="方正仿宋简体" w:hAnsi="方正仿宋简体" w:eastAsia="方正仿宋简体" w:cs="方正仿宋简体"/>
          <w:sz w:val="28"/>
        </w:rPr>
        <w:t>系”工作述职报告</w:t>
      </w: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ind w:firstLine="1600" w:firstLineChars="500"/>
        <w:rPr>
          <w:rFonts w:hint="eastAsia" w:ascii="Arial" w:hAnsi="Arial" w:eastAsia="方正仿宋简体" w:cs="Arial"/>
          <w:bCs/>
          <w:color w:val="000000"/>
          <w:sz w:val="32"/>
          <w:szCs w:val="32"/>
        </w:rPr>
      </w:pPr>
    </w:p>
    <w:p>
      <w:pPr>
        <w:spacing w:line="360" w:lineRule="auto"/>
        <w:rPr>
          <w:rFonts w:hint="eastAsia" w:ascii="方正黑体简体" w:hAnsi="方正黑体简体" w:eastAsia="方正黑体简体" w:cs="方正黑体简体"/>
          <w:b w:val="0"/>
          <w:bCs/>
          <w:color w:val="000000"/>
          <w:sz w:val="32"/>
          <w:szCs w:val="32"/>
        </w:rPr>
      </w:pPr>
    </w:p>
    <w:p>
      <w:pPr>
        <w:spacing w:line="360" w:lineRule="auto"/>
        <w:rPr>
          <w:rFonts w:hint="eastAsia" w:ascii="方正黑体简体" w:hAnsi="方正黑体简体" w:eastAsia="方正黑体简体" w:cs="方正黑体简体"/>
          <w:b w:val="0"/>
          <w:bCs/>
          <w:color w:val="000000"/>
          <w:sz w:val="32"/>
          <w:szCs w:val="32"/>
        </w:rPr>
      </w:pPr>
      <w:r>
        <w:rPr>
          <w:rFonts w:hint="eastAsia" w:ascii="方正黑体简体" w:hAnsi="方正黑体简体" w:eastAsia="方正黑体简体" w:cs="方正黑体简体"/>
          <w:b w:val="0"/>
          <w:bCs/>
          <w:color w:val="000000"/>
          <w:sz w:val="32"/>
          <w:szCs w:val="32"/>
        </w:rPr>
        <w:t>附件1</w:t>
      </w:r>
    </w:p>
    <w:p>
      <w:pPr>
        <w:pStyle w:val="19"/>
        <w:keepNext w:val="0"/>
        <w:keepLines w:val="0"/>
        <w:pageBreakBefore w:val="0"/>
        <w:widowControl w:val="0"/>
        <w:kinsoku/>
        <w:wordWrap/>
        <w:overflowPunct/>
        <w:topLinePunct w:val="0"/>
        <w:autoSpaceDE/>
        <w:autoSpaceDN/>
        <w:bidi w:val="0"/>
        <w:adjustRightInd/>
        <w:snapToGrid w:val="0"/>
        <w:spacing w:before="156" w:beforeLines="50" w:line="640" w:lineRule="exact"/>
        <w:ind w:firstLine="0" w:firstLineChars="0"/>
        <w:jc w:val="center"/>
        <w:textAlignment w:val="auto"/>
        <w:outlineLvl w:val="9"/>
        <w:rPr>
          <w:rFonts w:hint="eastAsia" w:ascii="Arial" w:hAnsi="Arial" w:eastAsia="方正仿宋简体" w:cs="Arial"/>
          <w:b/>
          <w:bCs/>
          <w:color w:val="000000"/>
          <w:sz w:val="32"/>
          <w:szCs w:val="32"/>
        </w:rPr>
      </w:pPr>
      <w:r>
        <w:rPr>
          <w:rFonts w:hint="eastAsia" w:ascii="方正小标宋简体" w:hAnsi="方正小标宋简体" w:eastAsia="方正小标宋简体" w:cs="方正小标宋简体"/>
          <w:b/>
          <w:bCs/>
          <w:color w:val="000000"/>
          <w:sz w:val="36"/>
          <w:szCs w:val="36"/>
          <w:lang w:eastAsia="zh-CN"/>
        </w:rPr>
        <w:t>中油南充</w:t>
      </w:r>
      <w:r>
        <w:rPr>
          <w:rFonts w:hint="eastAsia" w:ascii="方正小标宋简体" w:hAnsi="方正小标宋简体" w:eastAsia="方正小标宋简体" w:cs="方正小标宋简体"/>
          <w:b/>
          <w:bCs/>
          <w:color w:val="000000"/>
          <w:sz w:val="36"/>
          <w:szCs w:val="36"/>
        </w:rPr>
        <w:t>燃气有限责任公司领导干部“三联系”记录表</w:t>
      </w:r>
    </w:p>
    <w:p>
      <w:pPr>
        <w:pStyle w:val="19"/>
        <w:snapToGrid w:val="0"/>
        <w:spacing w:before="156" w:beforeLines="50" w:line="360" w:lineRule="auto"/>
        <w:ind w:firstLine="420" w:firstLineChars="150"/>
        <w:rPr>
          <w:rFonts w:hint="eastAsia" w:ascii="方正仿宋简体" w:hAnsi="方正仿宋简体" w:eastAsia="方正仿宋简体" w:cs="方正仿宋简体"/>
          <w:color w:val="000000"/>
          <w:sz w:val="28"/>
          <w:szCs w:val="28"/>
        </w:rPr>
      </w:pPr>
      <w:r>
        <w:rPr>
          <w:rFonts w:hint="eastAsia" w:ascii="方正仿宋简体" w:hAnsi="方正仿宋简体" w:eastAsia="方正仿宋简体" w:cs="方正仿宋简体"/>
          <w:color w:val="000000"/>
          <w:sz w:val="28"/>
          <w:szCs w:val="28"/>
        </w:rPr>
        <w:t xml:space="preserve">联系单位：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年  </w:t>
      </w:r>
      <w:r>
        <w:rPr>
          <w:rFonts w:hint="eastAsia" w:ascii="方正仿宋简体" w:hAnsi="方正仿宋简体" w:eastAsia="方正仿宋简体" w:cs="方正仿宋简体"/>
          <w:color w:val="000000"/>
          <w:sz w:val="28"/>
          <w:szCs w:val="28"/>
          <w:lang w:val="en-US" w:eastAsia="zh-CN"/>
        </w:rPr>
        <w:t xml:space="preserve"> </w:t>
      </w:r>
      <w:r>
        <w:rPr>
          <w:rFonts w:hint="eastAsia" w:ascii="方正仿宋简体" w:hAnsi="方正仿宋简体" w:eastAsia="方正仿宋简体" w:cs="方正仿宋简体"/>
          <w:color w:val="000000"/>
          <w:sz w:val="28"/>
          <w:szCs w:val="28"/>
        </w:rPr>
        <w:t xml:space="preserve"> 第   次</w:t>
      </w:r>
    </w:p>
    <w:tbl>
      <w:tblPr>
        <w:tblStyle w:val="51"/>
        <w:tblW w:w="933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068"/>
        <w:gridCol w:w="7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1" w:hRule="atLeast"/>
        </w:trPr>
        <w:tc>
          <w:tcPr>
            <w:tcW w:w="1584" w:type="dxa"/>
            <w:gridSpan w:val="2"/>
            <w:vAlign w:val="center"/>
          </w:tcPr>
          <w:p>
            <w:pPr>
              <w:snapToGrid w:val="0"/>
              <w:spacing w:line="360" w:lineRule="auto"/>
              <w:jc w:val="both"/>
              <w:rPr>
                <w:rFonts w:ascii="方正仿宋简体" w:eastAsia="方正仿宋简体"/>
                <w:color w:val="000000"/>
                <w:szCs w:val="21"/>
              </w:rPr>
            </w:pPr>
            <w:r>
              <w:rPr>
                <w:rFonts w:hint="eastAsia" w:ascii="方正仿宋简体" w:eastAsia="方正仿宋简体"/>
                <w:color w:val="000000"/>
                <w:szCs w:val="21"/>
              </w:rPr>
              <w:t>本次联系内容</w:t>
            </w:r>
          </w:p>
          <w:p>
            <w:pPr>
              <w:snapToGrid w:val="0"/>
              <w:spacing w:line="360" w:lineRule="auto"/>
              <w:rPr>
                <w:rFonts w:hint="eastAsia" w:ascii="方正仿宋简体" w:eastAsia="方正仿宋简体"/>
                <w:color w:val="000000"/>
                <w:szCs w:val="21"/>
              </w:rPr>
            </w:pPr>
          </w:p>
        </w:tc>
        <w:tc>
          <w:tcPr>
            <w:tcW w:w="7752" w:type="dxa"/>
            <w:vAlign w:val="top"/>
          </w:tcPr>
          <w:p>
            <w:pPr>
              <w:snapToGrid w:val="0"/>
              <w:spacing w:line="360" w:lineRule="auto"/>
              <w:jc w:val="left"/>
              <w:rPr>
                <w:rFonts w:hint="eastAsia" w:ascii="宋体" w:hAnsi="宋体"/>
                <w:color w:val="000000"/>
                <w:szCs w:val="21"/>
              </w:rPr>
            </w:pPr>
            <w:r>
              <w:rPr>
                <w:rFonts w:hint="eastAsia" w:ascii="宋体" w:hAnsi="宋体"/>
                <w:color w:val="000000"/>
                <w:szCs w:val="21"/>
              </w:rPr>
              <w:t>1、对上次联系发现问题整改跟踪情况：</w:t>
            </w:r>
          </w:p>
          <w:p>
            <w:pPr>
              <w:snapToGrid w:val="0"/>
              <w:spacing w:line="360" w:lineRule="auto"/>
              <w:jc w:val="left"/>
              <w:rPr>
                <w:rFonts w:hint="eastAsia" w:ascii="仿宋_GB2312" w:eastAsia="仿宋_GB2312"/>
                <w:color w:val="000000"/>
                <w:szCs w:val="21"/>
              </w:rPr>
            </w:pPr>
            <w:r>
              <w:rPr>
                <w:rFonts w:hint="eastAsia" w:ascii="宋体" w:hAnsi="宋体"/>
                <w:color w:val="000000"/>
                <w:szCs w:val="21"/>
              </w:rPr>
              <w:t>2、按照“三联系”办法规定的内容（按实填写）：</w:t>
            </w:r>
          </w:p>
          <w:p>
            <w:pPr>
              <w:snapToGrid w:val="0"/>
              <w:spacing w:line="360" w:lineRule="auto"/>
              <w:rPr>
                <w:rFonts w:hint="eastAsia" w:ascii="仿宋_GB2312" w:eastAsia="仿宋_GB2312"/>
                <w:color w:val="000000"/>
                <w:szCs w:val="21"/>
              </w:rPr>
            </w:pPr>
          </w:p>
          <w:p>
            <w:pPr>
              <w:snapToGrid w:val="0"/>
              <w:spacing w:line="360" w:lineRule="auto"/>
              <w:rPr>
                <w:rFonts w:hint="eastAsia" w:ascii="仿宋_GB2312" w:eastAsia="仿宋_GB2312"/>
                <w:color w:val="000000"/>
                <w:szCs w:val="21"/>
              </w:rPr>
            </w:pPr>
          </w:p>
          <w:p>
            <w:pPr>
              <w:snapToGrid w:val="0"/>
              <w:spacing w:line="360" w:lineRule="auto"/>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0" w:hRule="atLeast"/>
        </w:trPr>
        <w:tc>
          <w:tcPr>
            <w:tcW w:w="516" w:type="dxa"/>
            <w:vMerge w:val="restart"/>
            <w:vAlign w:val="center"/>
          </w:tcPr>
          <w:p>
            <w:pPr>
              <w:snapToGrid w:val="0"/>
              <w:spacing w:line="360" w:lineRule="auto"/>
              <w:jc w:val="center"/>
              <w:rPr>
                <w:rFonts w:hint="eastAsia" w:ascii="方正仿宋简体" w:eastAsia="方正仿宋简体"/>
                <w:color w:val="000000"/>
                <w:szCs w:val="21"/>
              </w:rPr>
            </w:pPr>
            <w:r>
              <w:rPr>
                <w:rFonts w:hint="eastAsia" w:ascii="方正仿宋简体" w:eastAsia="方正仿宋简体"/>
                <w:color w:val="000000"/>
                <w:szCs w:val="21"/>
              </w:rPr>
              <w:t>发现问题及整改建议</w:t>
            </w:r>
          </w:p>
        </w:tc>
        <w:tc>
          <w:tcPr>
            <w:tcW w:w="1068" w:type="dxa"/>
            <w:vAlign w:val="center"/>
          </w:tcPr>
          <w:p>
            <w:pPr>
              <w:snapToGrid w:val="0"/>
              <w:spacing w:line="360" w:lineRule="auto"/>
              <w:jc w:val="center"/>
              <w:rPr>
                <w:rFonts w:hint="eastAsia" w:ascii="方正仿宋简体" w:eastAsia="方正仿宋简体"/>
                <w:color w:val="000000"/>
                <w:szCs w:val="21"/>
              </w:rPr>
            </w:pPr>
            <w:r>
              <w:rPr>
                <w:rFonts w:hint="eastAsia" w:ascii="方正仿宋简体" w:eastAsia="方正仿宋简体"/>
                <w:color w:val="000000"/>
                <w:szCs w:val="21"/>
              </w:rPr>
              <w:t>安全生产</w:t>
            </w:r>
          </w:p>
        </w:tc>
        <w:tc>
          <w:tcPr>
            <w:tcW w:w="7752" w:type="dxa"/>
            <w:vAlign w:val="top"/>
          </w:tcPr>
          <w:p>
            <w:pPr>
              <w:snapToGrid w:val="0"/>
              <w:spacing w:line="360" w:lineRule="auto"/>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5" w:hRule="atLeast"/>
        </w:trPr>
        <w:tc>
          <w:tcPr>
            <w:tcW w:w="516" w:type="dxa"/>
            <w:vMerge w:val="continue"/>
            <w:vAlign w:val="center"/>
          </w:tcPr>
          <w:p>
            <w:pPr>
              <w:snapToGrid w:val="0"/>
              <w:spacing w:line="360" w:lineRule="auto"/>
              <w:jc w:val="center"/>
              <w:rPr>
                <w:rFonts w:hint="eastAsia" w:ascii="方正仿宋简体" w:eastAsia="方正仿宋简体"/>
                <w:color w:val="000000"/>
                <w:szCs w:val="21"/>
              </w:rPr>
            </w:pPr>
          </w:p>
        </w:tc>
        <w:tc>
          <w:tcPr>
            <w:tcW w:w="1068" w:type="dxa"/>
            <w:vAlign w:val="center"/>
          </w:tcPr>
          <w:p>
            <w:pPr>
              <w:snapToGrid w:val="0"/>
              <w:spacing w:line="360" w:lineRule="auto"/>
              <w:jc w:val="center"/>
              <w:rPr>
                <w:rFonts w:hint="eastAsia" w:ascii="方正仿宋简体" w:eastAsia="方正仿宋简体"/>
                <w:color w:val="000000"/>
                <w:szCs w:val="21"/>
              </w:rPr>
            </w:pPr>
            <w:r>
              <w:rPr>
                <w:rFonts w:hint="eastAsia" w:ascii="方正仿宋简体" w:eastAsia="方正仿宋简体"/>
                <w:color w:val="000000"/>
                <w:szCs w:val="21"/>
              </w:rPr>
              <w:t>党建工作</w:t>
            </w:r>
          </w:p>
        </w:tc>
        <w:tc>
          <w:tcPr>
            <w:tcW w:w="7752" w:type="dxa"/>
            <w:vAlign w:val="top"/>
          </w:tcPr>
          <w:p>
            <w:pPr>
              <w:snapToGrid w:val="0"/>
              <w:spacing w:line="360" w:lineRule="auto"/>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4" w:hRule="atLeast"/>
        </w:trPr>
        <w:tc>
          <w:tcPr>
            <w:tcW w:w="516" w:type="dxa"/>
            <w:vMerge w:val="continue"/>
            <w:vAlign w:val="center"/>
          </w:tcPr>
          <w:p>
            <w:pPr>
              <w:snapToGrid w:val="0"/>
              <w:spacing w:line="360" w:lineRule="auto"/>
              <w:jc w:val="center"/>
              <w:rPr>
                <w:rFonts w:hint="eastAsia" w:ascii="方正仿宋简体" w:eastAsia="方正仿宋简体"/>
                <w:color w:val="000000"/>
                <w:szCs w:val="21"/>
              </w:rPr>
            </w:pPr>
          </w:p>
        </w:tc>
        <w:tc>
          <w:tcPr>
            <w:tcW w:w="1068" w:type="dxa"/>
            <w:vAlign w:val="center"/>
          </w:tcPr>
          <w:p>
            <w:pPr>
              <w:snapToGrid w:val="0"/>
              <w:spacing w:line="360" w:lineRule="auto"/>
              <w:jc w:val="center"/>
              <w:rPr>
                <w:rFonts w:hint="eastAsia" w:ascii="方正仿宋简体" w:eastAsia="方正仿宋简体"/>
                <w:color w:val="000000"/>
                <w:szCs w:val="21"/>
              </w:rPr>
            </w:pPr>
            <w:r>
              <w:rPr>
                <w:rFonts w:hint="eastAsia" w:ascii="方正仿宋简体" w:eastAsia="方正仿宋简体"/>
                <w:color w:val="000000"/>
                <w:szCs w:val="21"/>
              </w:rPr>
              <w:t>基层建议</w:t>
            </w:r>
          </w:p>
        </w:tc>
        <w:tc>
          <w:tcPr>
            <w:tcW w:w="7752" w:type="dxa"/>
            <w:vAlign w:val="top"/>
          </w:tcPr>
          <w:p>
            <w:pPr>
              <w:snapToGrid w:val="0"/>
              <w:spacing w:line="360" w:lineRule="auto"/>
              <w:rPr>
                <w:rFonts w:hint="eastAsia" w:ascii="方正仿宋简体" w:eastAsia="方正仿宋简体"/>
                <w:color w:val="000000"/>
                <w:szCs w:val="21"/>
              </w:rPr>
            </w:pPr>
          </w:p>
          <w:p>
            <w:pPr>
              <w:snapToGrid w:val="0"/>
              <w:spacing w:line="360" w:lineRule="auto"/>
              <w:ind w:firstLine="4725" w:firstLineChars="2250"/>
              <w:rPr>
                <w:rFonts w:hint="eastAsia" w:ascii="方正仿宋简体" w:eastAsia="方正仿宋简体"/>
                <w:color w:val="000000"/>
                <w:szCs w:val="21"/>
              </w:rPr>
            </w:pPr>
            <w:r>
              <w:rPr>
                <w:rFonts w:hint="eastAsia" w:ascii="方正仿宋简体" w:eastAsia="方正仿宋简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9336" w:type="dxa"/>
            <w:gridSpan w:val="3"/>
            <w:vAlign w:val="center"/>
          </w:tcPr>
          <w:p>
            <w:pPr>
              <w:snapToGrid w:val="0"/>
              <w:spacing w:line="360" w:lineRule="auto"/>
              <w:rPr>
                <w:rFonts w:hint="eastAsia" w:ascii="方正仿宋简体" w:eastAsia="方正仿宋简体"/>
                <w:color w:val="000000"/>
                <w:szCs w:val="21"/>
              </w:rPr>
            </w:pPr>
            <w:r>
              <w:rPr>
                <w:rFonts w:hint="eastAsia" w:ascii="方正仿宋简体" w:eastAsia="方正仿宋简体"/>
                <w:color w:val="000000"/>
                <w:szCs w:val="21"/>
              </w:rPr>
              <w:t xml:space="preserve">联系单位负责人：     </w:t>
            </w:r>
            <w:r>
              <w:rPr>
                <w:rFonts w:hint="eastAsia" w:ascii="方正仿宋简体" w:eastAsia="方正仿宋简体"/>
                <w:color w:val="000000"/>
                <w:szCs w:val="21"/>
                <w:lang w:val="en-US" w:eastAsia="zh-CN"/>
              </w:rPr>
              <w:t xml:space="preserve">            </w:t>
            </w:r>
            <w:r>
              <w:rPr>
                <w:rFonts w:hint="eastAsia" w:ascii="方正仿宋简体" w:eastAsia="方正仿宋简体"/>
                <w:color w:val="000000"/>
                <w:szCs w:val="21"/>
              </w:rPr>
              <w:t xml:space="preserve">   联系人：                           年     月    日</w:t>
            </w:r>
          </w:p>
        </w:tc>
      </w:tr>
    </w:tbl>
    <w:p>
      <w:pPr>
        <w:spacing w:line="400" w:lineRule="exact"/>
        <w:ind w:firstLine="480" w:firstLineChars="200"/>
        <w:rPr>
          <w:rFonts w:hint="eastAsia" w:ascii="方正仿宋简体" w:hAnsi="方正仿宋简体" w:eastAsia="方正仿宋简体" w:cs="方正仿宋简体"/>
          <w:color w:val="000000"/>
          <w:sz w:val="24"/>
          <w:szCs w:val="24"/>
        </w:rPr>
      </w:pPr>
      <w:r>
        <w:rPr>
          <w:rFonts w:hint="eastAsia" w:ascii="方正仿宋简体" w:hAnsi="方正仿宋简体" w:eastAsia="方正仿宋简体" w:cs="方正仿宋简体"/>
          <w:color w:val="000000"/>
          <w:sz w:val="24"/>
          <w:szCs w:val="24"/>
        </w:rPr>
        <w:t>注：联系记录表一式三联，第一联交联系点单位、第二联交质量安全环保部、第三联本人保存，党建和基层建设主管部门需要联系资料时，由安全环保部转交。</w:t>
      </w:r>
    </w:p>
    <w:p>
      <w:pPr>
        <w:spacing w:line="400" w:lineRule="exact"/>
        <w:ind w:firstLine="480" w:firstLineChars="200"/>
        <w:rPr>
          <w:rFonts w:hint="eastAsia" w:ascii="方正仿宋简体" w:hAnsi="方正仿宋简体" w:eastAsia="方正仿宋简体" w:cs="方正仿宋简体"/>
          <w:color w:val="000000"/>
          <w:sz w:val="24"/>
          <w:szCs w:val="24"/>
        </w:rPr>
      </w:pPr>
    </w:p>
    <w:p>
      <w:pPr>
        <w:pStyle w:val="19"/>
        <w:snapToGrid w:val="0"/>
        <w:spacing w:before="156" w:beforeLines="50" w:line="360" w:lineRule="auto"/>
        <w:ind w:firstLine="0" w:firstLineChars="0"/>
        <w:rPr>
          <w:rFonts w:hint="eastAsia" w:ascii="方正黑体简体" w:hAnsi="方正黑体简体" w:eastAsia="方正黑体简体" w:cs="方正黑体简体"/>
          <w:b w:val="0"/>
          <w:bCs w:val="0"/>
          <w:color w:val="000000"/>
          <w:sz w:val="32"/>
          <w:szCs w:val="32"/>
        </w:rPr>
      </w:pPr>
      <w:r>
        <w:rPr>
          <w:rFonts w:hint="eastAsia" w:ascii="方正黑体简体" w:hAnsi="方正黑体简体" w:eastAsia="方正黑体简体" w:cs="方正黑体简体"/>
          <w:b w:val="0"/>
          <w:bCs w:val="0"/>
          <w:color w:val="000000"/>
          <w:sz w:val="32"/>
          <w:szCs w:val="32"/>
        </w:rPr>
        <w:t>附件2</w:t>
      </w:r>
    </w:p>
    <w:p>
      <w:pPr>
        <w:pStyle w:val="19"/>
        <w:keepNext w:val="0"/>
        <w:keepLines w:val="0"/>
        <w:pageBreakBefore w:val="0"/>
        <w:widowControl w:val="0"/>
        <w:kinsoku/>
        <w:wordWrap/>
        <w:overflowPunct/>
        <w:topLinePunct w:val="0"/>
        <w:autoSpaceDE/>
        <w:autoSpaceDN/>
        <w:bidi w:val="0"/>
        <w:adjustRightInd/>
        <w:snapToGrid w:val="0"/>
        <w:spacing w:line="640" w:lineRule="exact"/>
        <w:ind w:firstLine="0" w:firstLineChars="0"/>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lang w:eastAsia="zh-CN"/>
        </w:rPr>
        <w:t>中油南充</w:t>
      </w:r>
      <w:r>
        <w:rPr>
          <w:rFonts w:hint="eastAsia" w:ascii="方正小标宋简体" w:hAnsi="方正小标宋简体" w:eastAsia="方正小标宋简体" w:cs="方正小标宋简体"/>
          <w:b w:val="0"/>
          <w:bCs w:val="0"/>
          <w:color w:val="000000"/>
          <w:sz w:val="36"/>
          <w:szCs w:val="36"/>
        </w:rPr>
        <w:t>燃气有限责任公司安全观察与沟通报告表</w:t>
      </w:r>
    </w:p>
    <w:p>
      <w:pPr>
        <w:pStyle w:val="19"/>
        <w:snapToGrid w:val="0"/>
        <w:spacing w:before="156" w:beforeLines="50" w:line="360" w:lineRule="auto"/>
        <w:ind w:firstLine="225" w:firstLineChars="150"/>
        <w:jc w:val="both"/>
        <w:rPr>
          <w:rFonts w:hint="eastAsia" w:ascii="Arial" w:hAnsi="Arial" w:eastAsia="方正仿宋简体" w:cs="Arial"/>
          <w:b/>
          <w:bCs/>
          <w:color w:val="000000"/>
          <w:sz w:val="15"/>
          <w:szCs w:val="15"/>
        </w:rPr>
      </w:pPr>
      <w:r>
        <w:rPr>
          <w:rFonts w:hint="eastAsia"/>
          <w:color w:val="000000"/>
          <w:kern w:val="0"/>
          <w:sz w:val="15"/>
          <w:szCs w:val="15"/>
        </w:rPr>
        <w:t>单位：</w:t>
      </w:r>
      <w:r>
        <w:rPr>
          <w:rFonts w:hint="eastAsia"/>
          <w:color w:val="000000"/>
          <w:kern w:val="0"/>
          <w:sz w:val="15"/>
          <w:szCs w:val="15"/>
          <w:u w:val="single"/>
        </w:rPr>
        <w:t xml:space="preserve">  </w:t>
      </w:r>
      <w:r>
        <w:rPr>
          <w:rFonts w:hint="eastAsia"/>
          <w:color w:val="000000"/>
          <w:kern w:val="0"/>
          <w:sz w:val="15"/>
          <w:szCs w:val="15"/>
          <w:u w:val="single"/>
          <w:lang w:val="en-US" w:eastAsia="zh-CN"/>
        </w:rPr>
        <w:t xml:space="preserve">        </w:t>
      </w:r>
      <w:r>
        <w:rPr>
          <w:rFonts w:hint="eastAsia"/>
          <w:color w:val="000000"/>
          <w:kern w:val="0"/>
          <w:sz w:val="15"/>
          <w:szCs w:val="15"/>
          <w:u w:val="single"/>
        </w:rPr>
        <w:t xml:space="preserve">           </w:t>
      </w:r>
      <w:r>
        <w:rPr>
          <w:rFonts w:hint="eastAsia"/>
          <w:color w:val="000000"/>
          <w:kern w:val="0"/>
          <w:sz w:val="15"/>
          <w:szCs w:val="15"/>
        </w:rPr>
        <w:t xml:space="preserve">  观察区域:</w:t>
      </w:r>
      <w:r>
        <w:rPr>
          <w:rFonts w:hint="eastAsia"/>
          <w:color w:val="000000"/>
          <w:kern w:val="0"/>
          <w:sz w:val="15"/>
          <w:szCs w:val="15"/>
          <w:u w:val="single"/>
        </w:rPr>
        <w:t xml:space="preserve">            </w:t>
      </w:r>
      <w:r>
        <w:rPr>
          <w:rFonts w:hint="eastAsia"/>
          <w:color w:val="000000"/>
          <w:kern w:val="0"/>
          <w:sz w:val="15"/>
          <w:szCs w:val="15"/>
        </w:rPr>
        <w:t xml:space="preserve">  观察日期:</w:t>
      </w:r>
      <w:r>
        <w:rPr>
          <w:rFonts w:hint="eastAsia"/>
          <w:color w:val="000000"/>
          <w:kern w:val="0"/>
          <w:sz w:val="15"/>
          <w:szCs w:val="15"/>
          <w:u w:val="single"/>
        </w:rPr>
        <w:t xml:space="preserve">         </w:t>
      </w:r>
      <w:r>
        <w:rPr>
          <w:rFonts w:hint="eastAsia"/>
          <w:color w:val="000000"/>
          <w:kern w:val="0"/>
          <w:sz w:val="15"/>
          <w:szCs w:val="15"/>
        </w:rPr>
        <w:t xml:space="preserve"> 观察时间:</w:t>
      </w:r>
      <w:r>
        <w:rPr>
          <w:rFonts w:hint="eastAsia"/>
          <w:color w:val="000000"/>
          <w:kern w:val="0"/>
          <w:sz w:val="15"/>
          <w:szCs w:val="15"/>
          <w:u w:val="single"/>
        </w:rPr>
        <w:t xml:space="preserve">      时</w:t>
      </w:r>
      <w:r>
        <w:rPr>
          <w:rFonts w:hint="eastAsia"/>
          <w:color w:val="000000"/>
          <w:kern w:val="0"/>
          <w:sz w:val="15"/>
          <w:szCs w:val="15"/>
        </w:rPr>
        <w:t xml:space="preserve">  观察人(签名):</w:t>
      </w:r>
      <w:r>
        <w:rPr>
          <w:rFonts w:hint="eastAsia"/>
          <w:color w:val="000000"/>
          <w:kern w:val="0"/>
          <w:sz w:val="15"/>
          <w:szCs w:val="15"/>
          <w:u w:val="single"/>
        </w:rPr>
        <w:t xml:space="preserve">      </w:t>
      </w:r>
      <w:r>
        <w:rPr>
          <w:rFonts w:hint="eastAsia"/>
          <w:color w:val="000000"/>
          <w:kern w:val="0"/>
          <w:sz w:val="15"/>
          <w:szCs w:val="15"/>
          <w:u w:val="single"/>
          <w:lang w:val="en-US" w:eastAsia="zh-CN"/>
        </w:rPr>
        <w:t xml:space="preserve">        </w:t>
      </w:r>
      <w:r>
        <w:rPr>
          <w:rFonts w:hint="eastAsia"/>
          <w:color w:val="000000"/>
          <w:kern w:val="0"/>
          <w:sz w:val="15"/>
          <w:szCs w:val="15"/>
          <w:u w:val="single"/>
        </w:rPr>
        <w:t xml:space="preserve">     </w:t>
      </w:r>
    </w:p>
    <w:p>
      <w:pPr>
        <w:spacing w:line="120" w:lineRule="exact"/>
        <w:rPr>
          <w:rFonts w:hint="eastAsia" w:ascii="仿宋_GB2312" w:eastAsia="仿宋_GB2312"/>
          <w:color w:val="000000"/>
          <w:kern w:val="0"/>
          <w:sz w:val="18"/>
          <w:szCs w:val="18"/>
          <w:u w:val="single"/>
        </w:rPr>
      </w:pPr>
    </w:p>
    <w:tbl>
      <w:tblPr>
        <w:tblStyle w:val="51"/>
        <w:tblW w:w="944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2418"/>
        <w:gridCol w:w="2367"/>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2225" w:type="dxa"/>
            <w:vAlign w:val="center"/>
          </w:tcPr>
          <w:p>
            <w:pPr>
              <w:spacing w:line="16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员  工  的  反  应 A</w:t>
            </w:r>
          </w:p>
        </w:tc>
        <w:tc>
          <w:tcPr>
            <w:tcW w:w="4785" w:type="dxa"/>
            <w:gridSpan w:val="2"/>
            <w:vAlign w:val="center"/>
          </w:tcPr>
          <w:p>
            <w:pPr>
              <w:spacing w:line="16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员  工  的  位  置 B</w:t>
            </w:r>
          </w:p>
        </w:tc>
        <w:tc>
          <w:tcPr>
            <w:tcW w:w="2430" w:type="dxa"/>
            <w:vAlign w:val="center"/>
          </w:tcPr>
          <w:p>
            <w:pPr>
              <w:spacing w:line="16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个 人 防 护 装 备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4" w:hRule="atLeast"/>
        </w:trPr>
        <w:tc>
          <w:tcPr>
            <w:tcW w:w="2225" w:type="dxa"/>
            <w:vAlign w:val="top"/>
          </w:tcPr>
          <w:p>
            <w:pPr>
              <w:autoSpaceDE w:val="0"/>
              <w:autoSpaceDN w:val="0"/>
              <w:adjustRightInd w:val="0"/>
              <w:spacing w:line="200" w:lineRule="exact"/>
              <w:rPr>
                <w:rFonts w:hint="eastAsia" w:ascii="仿宋_GB2312" w:hAnsi="宋体" w:eastAsia="仿宋_GB2312"/>
                <w:b/>
                <w:color w:val="000000"/>
                <w:kern w:val="0"/>
                <w:sz w:val="18"/>
                <w:szCs w:val="18"/>
              </w:rPr>
            </w:pPr>
            <w:r>
              <w:rPr>
                <w:rFonts w:hint="eastAsia" w:ascii="仿宋_GB2312" w:hAnsi="宋体" w:eastAsia="仿宋_GB2312" w:cs="Arial"/>
                <w:b/>
                <w:bCs/>
                <w:color w:val="000000"/>
                <w:kern w:val="0"/>
                <w:sz w:val="18"/>
                <w:szCs w:val="18"/>
              </w:rPr>
              <w:t>观察到的人员的</w:t>
            </w:r>
            <w:r>
              <w:rPr>
                <w:rFonts w:hint="eastAsia" w:ascii="仿宋_GB2312" w:hAnsi="宋体" w:eastAsia="仿宋_GB2312"/>
                <w:b/>
                <w:color w:val="000000"/>
                <w:kern w:val="0"/>
                <w:sz w:val="18"/>
                <w:szCs w:val="18"/>
              </w:rPr>
              <w:t>异常反应</w:t>
            </w:r>
          </w:p>
          <w:p>
            <w:pPr>
              <w:numPr>
                <w:ilvl w:val="0"/>
                <w:numId w:val="29"/>
              </w:numPr>
              <w:tabs>
                <w:tab w:val="left" w:pos="180"/>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调整个人防护装备</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改变原来的位置</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重新安排工作</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停止工作</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接上地线</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上锁挂牌</w:t>
            </w:r>
          </w:p>
          <w:p>
            <w:pPr>
              <w:numPr>
                <w:ilvl w:val="0"/>
                <w:numId w:val="29"/>
              </w:numPr>
              <w:tabs>
                <w:tab w:val="left" w:pos="180"/>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其他</w:t>
            </w:r>
          </w:p>
          <w:p>
            <w:pPr>
              <w:spacing w:line="200" w:lineRule="exact"/>
              <w:rPr>
                <w:rFonts w:hint="eastAsia" w:ascii="仿宋_GB2312" w:eastAsia="仿宋_GB2312"/>
                <w:color w:val="000000"/>
                <w:sz w:val="18"/>
                <w:szCs w:val="18"/>
              </w:rPr>
            </w:pPr>
          </w:p>
        </w:tc>
        <w:tc>
          <w:tcPr>
            <w:tcW w:w="4785" w:type="dxa"/>
            <w:gridSpan w:val="2"/>
            <w:vAlign w:val="top"/>
          </w:tcPr>
          <w:p>
            <w:pPr>
              <w:autoSpaceDE w:val="0"/>
              <w:autoSpaceDN w:val="0"/>
              <w:adjustRightInd w:val="0"/>
              <w:spacing w:line="200" w:lineRule="exact"/>
              <w:jc w:val="left"/>
              <w:rPr>
                <w:rFonts w:hint="eastAsia" w:ascii="仿宋_GB2312" w:hAnsi="宋体" w:eastAsia="仿宋_GB2312"/>
                <w:color w:val="000000"/>
                <w:kern w:val="0"/>
                <w:sz w:val="18"/>
                <w:szCs w:val="18"/>
              </w:rPr>
            </w:pPr>
            <w:r>
              <w:rPr>
                <w:rFonts w:hint="eastAsia" w:ascii="仿宋_GB2312" w:hAnsi="宋体" w:eastAsia="仿宋_GB2312" w:cs="Arial"/>
                <w:b/>
                <w:bCs/>
                <w:color w:val="000000"/>
                <w:kern w:val="0"/>
                <w:sz w:val="18"/>
                <w:szCs w:val="18"/>
              </w:rPr>
              <w:t>可能导致的后果</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w:t>
            </w:r>
            <w:r>
              <w:rPr>
                <w:rFonts w:hint="eastAsia" w:ascii="仿宋_GB2312" w:hAnsi="宋体" w:eastAsia="仿宋_GB2312"/>
                <w:color w:val="000000"/>
                <w:kern w:val="0"/>
                <w:sz w:val="18"/>
                <w:szCs w:val="18"/>
              </w:rPr>
              <w:t>被撞击</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2.</w:t>
            </w:r>
            <w:r>
              <w:rPr>
                <w:rFonts w:hint="eastAsia" w:ascii="仿宋_GB2312" w:hAnsi="宋体" w:eastAsia="仿宋_GB2312"/>
                <w:color w:val="000000"/>
                <w:kern w:val="0"/>
                <w:sz w:val="18"/>
                <w:szCs w:val="18"/>
              </w:rPr>
              <w:t>被夹住</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3.</w:t>
            </w:r>
            <w:r>
              <w:rPr>
                <w:rFonts w:hint="eastAsia" w:ascii="仿宋_GB2312" w:hAnsi="宋体" w:eastAsia="仿宋_GB2312"/>
                <w:color w:val="000000"/>
                <w:kern w:val="0"/>
                <w:sz w:val="18"/>
                <w:szCs w:val="18"/>
              </w:rPr>
              <w:t>高处坠落</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4.</w:t>
            </w:r>
            <w:r>
              <w:rPr>
                <w:rFonts w:hint="eastAsia" w:ascii="仿宋_GB2312" w:hAnsi="宋体" w:eastAsia="仿宋_GB2312"/>
                <w:color w:val="000000"/>
                <w:kern w:val="0"/>
                <w:sz w:val="18"/>
                <w:szCs w:val="18"/>
              </w:rPr>
              <w:t>绊倒或滑倒</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5.</w:t>
            </w:r>
            <w:r>
              <w:rPr>
                <w:rFonts w:hint="eastAsia" w:ascii="仿宋_GB2312" w:hAnsi="宋体" w:eastAsia="仿宋_GB2312"/>
                <w:color w:val="000000"/>
                <w:kern w:val="0"/>
                <w:sz w:val="18"/>
                <w:szCs w:val="18"/>
              </w:rPr>
              <w:t>接触极端温度的物体</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6.</w:t>
            </w:r>
            <w:r>
              <w:rPr>
                <w:rFonts w:hint="eastAsia" w:ascii="仿宋_GB2312" w:hAnsi="宋体" w:eastAsia="仿宋_GB2312"/>
                <w:color w:val="000000"/>
                <w:kern w:val="0"/>
                <w:sz w:val="18"/>
                <w:szCs w:val="18"/>
              </w:rPr>
              <w:t>触电</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7.</w:t>
            </w:r>
            <w:r>
              <w:rPr>
                <w:rFonts w:hint="eastAsia" w:ascii="仿宋_GB2312" w:hAnsi="宋体" w:eastAsia="仿宋_GB2312"/>
                <w:color w:val="000000"/>
                <w:kern w:val="0"/>
                <w:sz w:val="18"/>
                <w:szCs w:val="18"/>
              </w:rPr>
              <w:t>接触、吸入或吞食有害物质</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8.</w:t>
            </w:r>
            <w:r>
              <w:rPr>
                <w:rFonts w:hint="eastAsia" w:ascii="仿宋_GB2312" w:hAnsi="宋体" w:eastAsia="仿宋_GB2312"/>
                <w:color w:val="000000"/>
                <w:kern w:val="0"/>
                <w:sz w:val="18"/>
                <w:szCs w:val="18"/>
              </w:rPr>
              <w:t>不合理的姿势</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9.</w:t>
            </w:r>
            <w:r>
              <w:rPr>
                <w:rFonts w:hint="eastAsia" w:ascii="仿宋_GB2312" w:hAnsi="宋体" w:eastAsia="仿宋_GB2312"/>
                <w:color w:val="000000"/>
                <w:kern w:val="0"/>
                <w:sz w:val="18"/>
                <w:szCs w:val="18"/>
              </w:rPr>
              <w:t>接触转动设备</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10.</w:t>
            </w:r>
            <w:r>
              <w:rPr>
                <w:rFonts w:hint="eastAsia" w:ascii="仿宋_GB2312" w:hAnsi="宋体" w:eastAsia="仿宋_GB2312"/>
                <w:color w:val="000000"/>
                <w:kern w:val="0"/>
                <w:sz w:val="18"/>
                <w:szCs w:val="18"/>
              </w:rPr>
              <w:t>搬运负荷过重</w:t>
            </w:r>
          </w:p>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11.</w:t>
            </w:r>
            <w:r>
              <w:rPr>
                <w:rFonts w:hint="eastAsia" w:ascii="仿宋_GB2312" w:hAnsi="宋体" w:eastAsia="仿宋_GB2312"/>
                <w:color w:val="000000"/>
                <w:kern w:val="0"/>
                <w:sz w:val="18"/>
                <w:szCs w:val="18"/>
              </w:rPr>
              <w:t>接触振动设备</w:t>
            </w:r>
          </w:p>
          <w:p>
            <w:pPr>
              <w:numPr>
                <w:ilvl w:val="0"/>
                <w:numId w:val="0"/>
              </w:numPr>
              <w:tabs>
                <w:tab w:val="left" w:pos="61"/>
                <w:tab w:val="left" w:pos="241"/>
              </w:tabs>
              <w:spacing w:line="200" w:lineRule="exact"/>
              <w:jc w:val="left"/>
              <w:rPr>
                <w:rFonts w:hint="eastAsia" w:ascii="仿宋_GB2312" w:eastAsia="仿宋_GB2312"/>
                <w:color w:val="000000"/>
                <w:sz w:val="18"/>
                <w:szCs w:val="18"/>
              </w:rPr>
            </w:pPr>
            <w:r>
              <w:rPr>
                <w:rFonts w:hint="eastAsia" w:ascii="仿宋_GB2312" w:hAnsi="宋体" w:eastAsia="仿宋_GB2312"/>
                <w:color w:val="000000"/>
                <w:sz w:val="18"/>
                <w:szCs w:val="18"/>
                <w:lang w:val="en-US" w:eastAsia="zh-CN"/>
              </w:rPr>
              <w:t>12.</w:t>
            </w:r>
            <w:r>
              <w:rPr>
                <w:rFonts w:hint="eastAsia" w:ascii="仿宋_GB2312" w:hAnsi="宋体" w:eastAsia="仿宋_GB2312"/>
                <w:color w:val="000000"/>
                <w:sz w:val="18"/>
                <w:szCs w:val="18"/>
              </w:rPr>
              <w:t>其他</w:t>
            </w:r>
          </w:p>
        </w:tc>
        <w:tc>
          <w:tcPr>
            <w:tcW w:w="2430" w:type="dxa"/>
            <w:vAlign w:val="top"/>
          </w:tcPr>
          <w:p>
            <w:pPr>
              <w:autoSpaceDE w:val="0"/>
              <w:autoSpaceDN w:val="0"/>
              <w:adjustRightInd w:val="0"/>
              <w:spacing w:line="200" w:lineRule="exact"/>
              <w:rPr>
                <w:rFonts w:hint="eastAsia" w:ascii="仿宋_GB2312" w:hAnsi="宋体" w:eastAsia="仿宋_GB2312" w:cs="Arial"/>
                <w:b/>
                <w:bCs/>
                <w:color w:val="000000"/>
                <w:kern w:val="0"/>
                <w:sz w:val="18"/>
                <w:szCs w:val="18"/>
              </w:rPr>
            </w:pPr>
            <w:r>
              <w:rPr>
                <w:rFonts w:hint="eastAsia" w:ascii="仿宋_GB2312" w:hAnsi="宋体" w:eastAsia="仿宋_GB2312" w:cs="Arial"/>
                <w:b/>
                <w:bCs/>
                <w:color w:val="000000"/>
                <w:kern w:val="0"/>
                <w:sz w:val="18"/>
                <w:szCs w:val="18"/>
              </w:rPr>
              <w:t>未使用或未正确使用；是否完好</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眼睛和脸部</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耳部</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头部</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手和手臂</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脚和腿部</w:t>
            </w:r>
          </w:p>
          <w:p>
            <w:pPr>
              <w:numPr>
                <w:ilvl w:val="0"/>
                <w:numId w:val="30"/>
              </w:numPr>
              <w:tabs>
                <w:tab w:val="left" w:pos="260"/>
              </w:tabs>
              <w:autoSpaceDE w:val="0"/>
              <w:autoSpaceDN w:val="0"/>
              <w:adjustRightInd w:val="0"/>
              <w:spacing w:line="200" w:lineRule="exact"/>
              <w:ind w:left="0" w:right="265" w:rightChars="126"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呼吸系统</w:t>
            </w:r>
          </w:p>
          <w:p>
            <w:pPr>
              <w:numPr>
                <w:ilvl w:val="0"/>
                <w:numId w:val="30"/>
              </w:numPr>
              <w:tabs>
                <w:tab w:val="left" w:pos="260"/>
              </w:tabs>
              <w:autoSpaceDE w:val="0"/>
              <w:autoSpaceDN w:val="0"/>
              <w:adjustRightInd w:val="0"/>
              <w:spacing w:line="200" w:lineRule="exact"/>
              <w:ind w:left="0" w:firstLine="0"/>
              <w:rPr>
                <w:rFonts w:hint="eastAsia" w:ascii="仿宋_GB2312" w:hAnsi="宋体" w:eastAsia="仿宋_GB2312" w:cs="Arial"/>
                <w:color w:val="000000"/>
                <w:kern w:val="0"/>
                <w:sz w:val="18"/>
                <w:szCs w:val="18"/>
              </w:rPr>
            </w:pPr>
            <w:r>
              <w:rPr>
                <w:rFonts w:hint="eastAsia" w:ascii="仿宋_GB2312" w:hAnsi="宋体" w:eastAsia="仿宋_GB2312"/>
                <w:color w:val="000000"/>
                <w:kern w:val="0"/>
                <w:sz w:val="18"/>
                <w:szCs w:val="18"/>
              </w:rPr>
              <w:t>躯干</w:t>
            </w:r>
          </w:p>
          <w:p>
            <w:pPr>
              <w:numPr>
                <w:ilvl w:val="0"/>
                <w:numId w:val="30"/>
              </w:numPr>
              <w:tabs>
                <w:tab w:val="left" w:pos="260"/>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其他</w:t>
            </w:r>
          </w:p>
          <w:p>
            <w:pPr>
              <w:spacing w:line="200" w:lineRule="exact"/>
              <w:rPr>
                <w:rFonts w:hint="eastAsia" w:ascii="仿宋_GB2312"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25" w:type="dxa"/>
            <w:vAlign w:val="center"/>
          </w:tcPr>
          <w:p>
            <w:pPr>
              <w:spacing w:line="20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工 具 和 设 备 D</w:t>
            </w:r>
          </w:p>
        </w:tc>
        <w:tc>
          <w:tcPr>
            <w:tcW w:w="2418" w:type="dxa"/>
            <w:vAlign w:val="center"/>
          </w:tcPr>
          <w:p>
            <w:pPr>
              <w:spacing w:line="20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程   序   E</w:t>
            </w:r>
          </w:p>
        </w:tc>
        <w:tc>
          <w:tcPr>
            <w:tcW w:w="2367" w:type="dxa"/>
            <w:vAlign w:val="center"/>
          </w:tcPr>
          <w:p>
            <w:pPr>
              <w:spacing w:line="20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人 体 工 效 学 F</w:t>
            </w:r>
          </w:p>
        </w:tc>
        <w:tc>
          <w:tcPr>
            <w:tcW w:w="2430" w:type="dxa"/>
            <w:vAlign w:val="center"/>
          </w:tcPr>
          <w:p>
            <w:pPr>
              <w:spacing w:line="200" w:lineRule="exact"/>
              <w:jc w:val="center"/>
              <w:rPr>
                <w:rFonts w:hint="eastAsia" w:ascii="仿宋_GB2312" w:eastAsia="仿宋_GB2312"/>
                <w:b/>
                <w:color w:val="000000"/>
                <w:sz w:val="18"/>
                <w:szCs w:val="18"/>
              </w:rPr>
            </w:pPr>
            <w:r>
              <w:rPr>
                <w:rFonts w:hint="eastAsia" w:ascii="仿宋_GB2312" w:eastAsia="仿宋_GB2312"/>
                <w:b/>
                <w:color w:val="000000"/>
                <w:sz w:val="18"/>
                <w:szCs w:val="18"/>
              </w:rPr>
              <w:t>整   洁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4" w:hRule="atLeast"/>
        </w:trPr>
        <w:tc>
          <w:tcPr>
            <w:tcW w:w="2225" w:type="dxa"/>
            <w:vAlign w:val="top"/>
          </w:tcPr>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不适合该作业</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未正确使用</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工具和设备本身不安全</w:t>
            </w:r>
          </w:p>
          <w:p>
            <w:pPr>
              <w:numPr>
                <w:ilvl w:val="0"/>
                <w:numId w:val="29"/>
              </w:numPr>
              <w:tabs>
                <w:tab w:val="left" w:pos="180"/>
                <w:tab w:val="left" w:pos="544"/>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其他</w:t>
            </w:r>
          </w:p>
          <w:p>
            <w:pPr>
              <w:spacing w:line="200" w:lineRule="exact"/>
              <w:rPr>
                <w:rFonts w:hint="eastAsia" w:ascii="仿宋_GB2312" w:eastAsia="仿宋_GB2312"/>
                <w:b/>
                <w:color w:val="000000"/>
                <w:sz w:val="18"/>
                <w:szCs w:val="18"/>
              </w:rPr>
            </w:pPr>
          </w:p>
        </w:tc>
        <w:tc>
          <w:tcPr>
            <w:tcW w:w="2418" w:type="dxa"/>
            <w:vAlign w:val="top"/>
          </w:tcPr>
          <w:p>
            <w:pPr>
              <w:numPr>
                <w:ilvl w:val="0"/>
                <w:numId w:val="30"/>
              </w:numPr>
              <w:tabs>
                <w:tab w:val="left" w:pos="0"/>
                <w:tab w:val="left" w:pos="104"/>
                <w:tab w:val="left" w:pos="28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没有建立</w:t>
            </w:r>
          </w:p>
          <w:p>
            <w:pPr>
              <w:numPr>
                <w:ilvl w:val="0"/>
                <w:numId w:val="30"/>
              </w:numPr>
              <w:tabs>
                <w:tab w:val="left" w:pos="0"/>
                <w:tab w:val="left" w:pos="104"/>
                <w:tab w:val="left" w:pos="28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不适用</w:t>
            </w:r>
          </w:p>
          <w:p>
            <w:pPr>
              <w:numPr>
                <w:ilvl w:val="0"/>
                <w:numId w:val="30"/>
              </w:numPr>
              <w:tabs>
                <w:tab w:val="left" w:pos="0"/>
                <w:tab w:val="left" w:pos="104"/>
                <w:tab w:val="left" w:pos="28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不可获取</w:t>
            </w:r>
          </w:p>
          <w:p>
            <w:pPr>
              <w:numPr>
                <w:ilvl w:val="0"/>
                <w:numId w:val="30"/>
              </w:numPr>
              <w:tabs>
                <w:tab w:val="left" w:pos="0"/>
                <w:tab w:val="left" w:pos="104"/>
                <w:tab w:val="left" w:pos="28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员工不知道或不理解</w:t>
            </w:r>
          </w:p>
          <w:p>
            <w:pPr>
              <w:numPr>
                <w:ilvl w:val="0"/>
                <w:numId w:val="30"/>
              </w:numPr>
              <w:tabs>
                <w:tab w:val="left" w:pos="0"/>
                <w:tab w:val="left" w:pos="104"/>
                <w:tab w:val="left" w:pos="280"/>
              </w:tabs>
              <w:autoSpaceDE w:val="0"/>
              <w:autoSpaceDN w:val="0"/>
              <w:adjustRightInd w:val="0"/>
              <w:spacing w:line="200" w:lineRule="exact"/>
              <w:ind w:left="0" w:firstLine="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没有遵照执行</w:t>
            </w:r>
          </w:p>
          <w:p>
            <w:pPr>
              <w:numPr>
                <w:ilvl w:val="0"/>
                <w:numId w:val="30"/>
              </w:numPr>
              <w:tabs>
                <w:tab w:val="left" w:pos="0"/>
                <w:tab w:val="left" w:pos="104"/>
                <w:tab w:val="left" w:pos="280"/>
              </w:tabs>
              <w:spacing w:line="200" w:lineRule="exact"/>
              <w:ind w:left="0" w:firstLine="0"/>
              <w:rPr>
                <w:rFonts w:hint="eastAsia" w:ascii="仿宋_GB2312" w:hAnsi="宋体" w:eastAsia="仿宋_GB2312"/>
                <w:color w:val="000000"/>
                <w:sz w:val="18"/>
                <w:szCs w:val="18"/>
              </w:rPr>
            </w:pPr>
            <w:r>
              <w:rPr>
                <w:rFonts w:hint="eastAsia" w:ascii="仿宋_GB2312" w:hAnsi="宋体" w:eastAsia="仿宋_GB2312"/>
                <w:color w:val="000000"/>
                <w:sz w:val="18"/>
                <w:szCs w:val="18"/>
              </w:rPr>
              <w:t>其他</w:t>
            </w:r>
          </w:p>
          <w:p>
            <w:pPr>
              <w:spacing w:line="200" w:lineRule="exact"/>
              <w:rPr>
                <w:rFonts w:hint="eastAsia" w:ascii="仿宋_GB2312" w:eastAsia="仿宋_GB2312"/>
                <w:b/>
                <w:color w:val="000000"/>
                <w:sz w:val="18"/>
                <w:szCs w:val="18"/>
              </w:rPr>
            </w:pPr>
          </w:p>
        </w:tc>
        <w:tc>
          <w:tcPr>
            <w:tcW w:w="2367" w:type="dxa"/>
            <w:vAlign w:val="top"/>
          </w:tcPr>
          <w:p>
            <w:pPr>
              <w:spacing w:line="200" w:lineRule="exact"/>
              <w:rPr>
                <w:rFonts w:hint="eastAsia" w:ascii="仿宋_GB2312" w:hAnsi="宋体" w:eastAsia="仿宋_GB2312" w:cs="宋体"/>
                <w:b/>
                <w:color w:val="000000"/>
                <w:sz w:val="18"/>
                <w:szCs w:val="18"/>
                <w:lang w:val="zh-CN"/>
              </w:rPr>
            </w:pPr>
            <w:r>
              <w:rPr>
                <w:rFonts w:hint="eastAsia" w:ascii="仿宋_GB2312" w:hAnsi="宋体" w:eastAsia="仿宋_GB2312" w:cs="宋体"/>
                <w:b/>
                <w:color w:val="000000"/>
                <w:sz w:val="18"/>
                <w:szCs w:val="18"/>
                <w:lang w:val="zh-CN"/>
              </w:rPr>
              <w:t>办公室、操作</w:t>
            </w:r>
            <w:r>
              <w:rPr>
                <w:rFonts w:hint="eastAsia" w:ascii="仿宋_GB2312" w:hAnsi="宋体" w:eastAsia="仿宋_GB2312"/>
                <w:b/>
                <w:color w:val="000000"/>
                <w:sz w:val="18"/>
                <w:szCs w:val="18"/>
              </w:rPr>
              <w:t>和</w:t>
            </w:r>
            <w:r>
              <w:rPr>
                <w:rFonts w:hint="eastAsia" w:ascii="仿宋_GB2312" w:hAnsi="宋体" w:eastAsia="仿宋_GB2312" w:cs="宋体"/>
                <w:b/>
                <w:color w:val="000000"/>
                <w:sz w:val="18"/>
                <w:szCs w:val="18"/>
                <w:lang w:val="zh-CN"/>
              </w:rPr>
              <w:t>检维修环境</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15.</w:t>
            </w:r>
            <w:r>
              <w:rPr>
                <w:rFonts w:hint="eastAsia" w:ascii="仿宋_GB2312" w:hAnsi="宋体" w:eastAsia="仿宋_GB2312"/>
                <w:color w:val="000000"/>
                <w:kern w:val="0"/>
                <w:sz w:val="18"/>
                <w:szCs w:val="18"/>
              </w:rPr>
              <w:t>是否符合人体工效学原则</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16.</w:t>
            </w:r>
            <w:r>
              <w:rPr>
                <w:rFonts w:hint="eastAsia" w:ascii="仿宋_GB2312" w:hAnsi="宋体" w:eastAsia="仿宋_GB2312"/>
                <w:color w:val="000000"/>
                <w:kern w:val="0"/>
                <w:sz w:val="18"/>
                <w:szCs w:val="18"/>
              </w:rPr>
              <w:t>重复的动作</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17.</w:t>
            </w:r>
            <w:r>
              <w:rPr>
                <w:rFonts w:hint="eastAsia" w:ascii="仿宋_GB2312" w:hAnsi="宋体" w:eastAsia="仿宋_GB2312"/>
                <w:color w:val="000000"/>
                <w:kern w:val="0"/>
                <w:sz w:val="18"/>
                <w:szCs w:val="18"/>
              </w:rPr>
              <w:t>躯体位置</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18.</w:t>
            </w:r>
            <w:r>
              <w:rPr>
                <w:rFonts w:hint="eastAsia" w:ascii="仿宋_GB2312" w:hAnsi="宋体" w:eastAsia="仿宋_GB2312"/>
                <w:color w:val="000000"/>
                <w:kern w:val="0"/>
                <w:sz w:val="18"/>
                <w:szCs w:val="18"/>
              </w:rPr>
              <w:t>姿势</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19.</w:t>
            </w:r>
            <w:r>
              <w:rPr>
                <w:rFonts w:hint="eastAsia" w:ascii="仿宋_GB2312" w:hAnsi="宋体" w:eastAsia="仿宋_GB2312"/>
                <w:color w:val="000000"/>
                <w:kern w:val="0"/>
                <w:sz w:val="18"/>
                <w:szCs w:val="18"/>
              </w:rPr>
              <w:t>工作场所</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20.</w:t>
            </w:r>
            <w:r>
              <w:rPr>
                <w:rFonts w:hint="eastAsia" w:ascii="仿宋_GB2312" w:hAnsi="宋体" w:eastAsia="仿宋_GB2312"/>
                <w:color w:val="000000"/>
                <w:kern w:val="0"/>
                <w:sz w:val="18"/>
                <w:szCs w:val="18"/>
              </w:rPr>
              <w:t>工作区域设计</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21.</w:t>
            </w:r>
            <w:r>
              <w:rPr>
                <w:rFonts w:hint="eastAsia" w:ascii="仿宋_GB2312" w:hAnsi="宋体" w:eastAsia="仿宋_GB2312"/>
                <w:color w:val="000000"/>
                <w:kern w:val="0"/>
                <w:sz w:val="18"/>
                <w:szCs w:val="18"/>
              </w:rPr>
              <w:t xml:space="preserve">工具和把手 </w:t>
            </w:r>
          </w:p>
          <w:p>
            <w:pPr>
              <w:numPr>
                <w:ilvl w:val="0"/>
                <w:numId w:val="0"/>
              </w:numPr>
              <w:tabs>
                <w:tab w:val="left" w:pos="189"/>
              </w:tabs>
              <w:autoSpaceDE w:val="0"/>
              <w:autoSpaceDN w:val="0"/>
              <w:adjustRightInd w:val="0"/>
              <w:spacing w:line="200" w:lineRule="exact"/>
              <w:ind w:leftChars="0"/>
              <w:rPr>
                <w:rFonts w:hint="eastAsia" w:ascii="仿宋_GB2312" w:hAnsi="宋体" w:eastAsia="仿宋_GB2312"/>
                <w:color w:val="000000"/>
                <w:kern w:val="0"/>
                <w:sz w:val="18"/>
                <w:szCs w:val="18"/>
              </w:rPr>
            </w:pPr>
          </w:p>
        </w:tc>
        <w:tc>
          <w:tcPr>
            <w:tcW w:w="2430" w:type="dxa"/>
            <w:vAlign w:val="top"/>
          </w:tcPr>
          <w:p>
            <w:pPr>
              <w:numPr>
                <w:ilvl w:val="0"/>
                <w:numId w:val="0"/>
              </w:numPr>
              <w:tabs>
                <w:tab w:val="left" w:pos="147"/>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21.</w:t>
            </w:r>
            <w:r>
              <w:rPr>
                <w:rFonts w:hint="eastAsia" w:ascii="仿宋_GB2312" w:hAnsi="宋体" w:eastAsia="仿宋_GB2312"/>
                <w:color w:val="000000"/>
                <w:kern w:val="0"/>
                <w:sz w:val="18"/>
                <w:szCs w:val="18"/>
              </w:rPr>
              <w:t>作业区域是否整洁有序</w:t>
            </w:r>
          </w:p>
          <w:p>
            <w:pPr>
              <w:numPr>
                <w:ilvl w:val="0"/>
                <w:numId w:val="0"/>
              </w:numPr>
              <w:tabs>
                <w:tab w:val="left" w:pos="147"/>
              </w:tabs>
              <w:autoSpaceDE w:val="0"/>
              <w:autoSpaceDN w:val="0"/>
              <w:adjustRightInd w:val="0"/>
              <w:spacing w:line="200" w:lineRule="exact"/>
              <w:ind w:leftChars="0"/>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lang w:val="en-US" w:eastAsia="zh-CN"/>
              </w:rPr>
              <w:t>22.</w:t>
            </w:r>
            <w:r>
              <w:rPr>
                <w:rFonts w:hint="eastAsia" w:ascii="仿宋_GB2312" w:hAnsi="宋体" w:eastAsia="仿宋_GB2312"/>
                <w:color w:val="000000"/>
                <w:kern w:val="0"/>
                <w:sz w:val="18"/>
                <w:szCs w:val="18"/>
              </w:rPr>
              <w:t>工作场所是否井然有序</w:t>
            </w:r>
          </w:p>
          <w:p>
            <w:pPr>
              <w:numPr>
                <w:ilvl w:val="0"/>
                <w:numId w:val="0"/>
              </w:numPr>
              <w:tabs>
                <w:tab w:val="left" w:pos="147"/>
              </w:tabs>
              <w:autoSpaceDE w:val="0"/>
              <w:autoSpaceDN w:val="0"/>
              <w:adjustRightInd w:val="0"/>
              <w:spacing w:line="200" w:lineRule="exact"/>
              <w:ind w:leftChars="0"/>
              <w:rPr>
                <w:rFonts w:hint="eastAsia" w:ascii="仿宋_GB2312" w:hAnsi="宋体" w:eastAsia="仿宋_GB2312"/>
                <w:color w:val="000000"/>
                <w:sz w:val="18"/>
                <w:szCs w:val="18"/>
              </w:rPr>
            </w:pPr>
            <w:r>
              <w:rPr>
                <w:rFonts w:hint="eastAsia" w:ascii="仿宋_GB2312" w:hAnsi="宋体" w:eastAsia="仿宋_GB2312"/>
                <w:color w:val="000000"/>
                <w:kern w:val="0"/>
                <w:sz w:val="18"/>
                <w:szCs w:val="18"/>
                <w:lang w:val="en-US" w:eastAsia="zh-CN"/>
              </w:rPr>
              <w:t>23.</w:t>
            </w:r>
            <w:r>
              <w:rPr>
                <w:rFonts w:hint="eastAsia" w:ascii="仿宋_GB2312" w:hAnsi="宋体" w:eastAsia="仿宋_GB2312"/>
                <w:color w:val="000000"/>
                <w:kern w:val="0"/>
                <w:sz w:val="18"/>
                <w:szCs w:val="18"/>
              </w:rPr>
              <w:t>材料及工具的摆放是否适当</w:t>
            </w:r>
          </w:p>
          <w:p>
            <w:pPr>
              <w:numPr>
                <w:ilvl w:val="0"/>
                <w:numId w:val="0"/>
              </w:numPr>
              <w:tabs>
                <w:tab w:val="left" w:pos="147"/>
              </w:tabs>
              <w:spacing w:line="200" w:lineRule="exact"/>
              <w:ind w:leftChars="0"/>
              <w:rPr>
                <w:rFonts w:hint="eastAsia" w:ascii="仿宋_GB2312" w:hAnsi="宋体" w:eastAsia="仿宋_GB2312"/>
                <w:color w:val="000000"/>
                <w:sz w:val="18"/>
                <w:szCs w:val="18"/>
              </w:rPr>
            </w:pPr>
            <w:r>
              <w:rPr>
                <w:rFonts w:hint="eastAsia" w:ascii="仿宋_GB2312" w:hAnsi="宋体" w:eastAsia="仿宋_GB2312"/>
                <w:color w:val="000000"/>
                <w:sz w:val="18"/>
                <w:szCs w:val="18"/>
                <w:lang w:val="en-US" w:eastAsia="zh-CN"/>
              </w:rPr>
              <w:t>24.</w:t>
            </w:r>
            <w:r>
              <w:rPr>
                <w:rFonts w:hint="eastAsia" w:ascii="仿宋_GB2312" w:hAnsi="宋体" w:eastAsia="仿宋_GB2312"/>
                <w:color w:val="000000"/>
                <w:sz w:val="18"/>
                <w:szCs w:val="18"/>
              </w:rPr>
              <w:t>其他</w:t>
            </w:r>
          </w:p>
          <w:p>
            <w:pPr>
              <w:spacing w:line="200" w:lineRule="exact"/>
              <w:rPr>
                <w:rFonts w:hint="eastAsia" w:ascii="仿宋_GB2312" w:eastAsia="仿宋_GB2312"/>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10" w:type="dxa"/>
            <w:gridSpan w:val="3"/>
            <w:vAlign w:val="center"/>
          </w:tcPr>
          <w:p>
            <w:pPr>
              <w:numPr>
                <w:ilvl w:val="0"/>
                <w:numId w:val="0"/>
              </w:numPr>
              <w:tabs>
                <w:tab w:val="left" w:pos="61"/>
                <w:tab w:val="left" w:pos="241"/>
              </w:tabs>
              <w:autoSpaceDE w:val="0"/>
              <w:autoSpaceDN w:val="0"/>
              <w:adjustRightInd w:val="0"/>
              <w:spacing w:line="200" w:lineRule="exact"/>
              <w:ind w:leftChars="0"/>
              <w:jc w:val="center"/>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观                 察</w:t>
            </w:r>
          </w:p>
        </w:tc>
        <w:tc>
          <w:tcPr>
            <w:tcW w:w="2430" w:type="dxa"/>
            <w:vMerge w:val="restart"/>
            <w:vAlign w:val="center"/>
          </w:tcPr>
          <w:p>
            <w:pPr>
              <w:numPr>
                <w:ilvl w:val="0"/>
                <w:numId w:val="0"/>
              </w:numPr>
              <w:tabs>
                <w:tab w:val="left" w:pos="61"/>
                <w:tab w:val="left" w:pos="241"/>
              </w:tabs>
              <w:autoSpaceDE w:val="0"/>
              <w:autoSpaceDN w:val="0"/>
              <w:adjustRightInd w:val="0"/>
              <w:spacing w:line="200" w:lineRule="exact"/>
              <w:ind w:leftChars="0"/>
              <w:jc w:val="center"/>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可能造成的伤害</w:t>
            </w:r>
          </w:p>
          <w:p>
            <w:pPr>
              <w:numPr>
                <w:ilvl w:val="0"/>
                <w:numId w:val="0"/>
              </w:numPr>
              <w:tabs>
                <w:tab w:val="left" w:pos="61"/>
                <w:tab w:val="left" w:pos="241"/>
              </w:tabs>
              <w:autoSpaceDE w:val="0"/>
              <w:autoSpaceDN w:val="0"/>
              <w:adjustRightInd w:val="0"/>
              <w:spacing w:line="200" w:lineRule="exact"/>
              <w:ind w:leftChars="0"/>
              <w:jc w:val="center"/>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(轻伤/重伤/死亡)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2225" w:type="dxa"/>
            <w:vAlign w:val="center"/>
          </w:tcPr>
          <w:p>
            <w:pPr>
              <w:numPr>
                <w:ilvl w:val="0"/>
                <w:numId w:val="0"/>
              </w:numPr>
              <w:tabs>
                <w:tab w:val="left" w:pos="61"/>
                <w:tab w:val="left" w:pos="241"/>
              </w:tabs>
              <w:autoSpaceDE w:val="0"/>
              <w:autoSpaceDN w:val="0"/>
              <w:adjustRightInd w:val="0"/>
              <w:spacing w:line="200" w:lineRule="exact"/>
              <w:ind w:leftChars="0"/>
              <w:jc w:val="center"/>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观察区域</w:t>
            </w:r>
          </w:p>
        </w:tc>
        <w:tc>
          <w:tcPr>
            <w:tcW w:w="2418"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不安全行为或状况的描述</w:t>
            </w:r>
          </w:p>
        </w:tc>
        <w:tc>
          <w:tcPr>
            <w:tcW w:w="2367"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不安全行为或状态的类别</w:t>
            </w:r>
          </w:p>
        </w:tc>
        <w:tc>
          <w:tcPr>
            <w:tcW w:w="2430" w:type="dxa"/>
            <w:vMerge w:val="continue"/>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25"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18"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367"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30"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25"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18"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367"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30"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25"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18"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367"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c>
          <w:tcPr>
            <w:tcW w:w="2430" w:type="dxa"/>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center"/>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安      全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C类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D类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E类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F类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40" w:type="dxa"/>
            <w:gridSpan w:val="4"/>
            <w:vAlign w:val="center"/>
          </w:tcPr>
          <w:p>
            <w:pPr>
              <w:numPr>
                <w:ilvl w:val="0"/>
                <w:numId w:val="0"/>
              </w:numPr>
              <w:tabs>
                <w:tab w:val="left" w:pos="61"/>
                <w:tab w:val="left" w:pos="241"/>
              </w:tabs>
              <w:autoSpaceDE w:val="0"/>
              <w:autoSpaceDN w:val="0"/>
              <w:adjustRightInd w:val="0"/>
              <w:spacing w:line="200" w:lineRule="exact"/>
              <w:ind w:leftChars="0"/>
              <w:jc w:val="lef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G类</w:t>
            </w:r>
          </w:p>
        </w:tc>
      </w:tr>
    </w:tbl>
    <w:p>
      <w:pPr>
        <w:spacing w:line="360" w:lineRule="auto"/>
        <w:rPr>
          <w:rFonts w:hint="eastAsia" w:ascii="方正黑体简体" w:hAnsi="方正黑体简体" w:eastAsia="方正黑体简体" w:cs="方正黑体简体"/>
          <w:b w:val="0"/>
          <w:bCs w:val="0"/>
          <w:color w:val="000000"/>
          <w:sz w:val="32"/>
          <w:szCs w:val="32"/>
        </w:rPr>
      </w:pPr>
      <w:r>
        <w:rPr>
          <w:rFonts w:hint="eastAsia" w:ascii="方正黑体简体" w:hAnsi="方正黑体简体" w:eastAsia="方正黑体简体" w:cs="方正黑体简体"/>
          <w:b w:val="0"/>
          <w:bCs w:val="0"/>
          <w:color w:val="000000"/>
          <w:sz w:val="32"/>
          <w:szCs w:val="32"/>
        </w:rPr>
        <w:t>附件3</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lang w:eastAsia="zh-CN"/>
        </w:rPr>
        <w:t>中油南充</w:t>
      </w:r>
      <w:r>
        <w:rPr>
          <w:rFonts w:hint="eastAsia" w:ascii="方正小标宋简体" w:hAnsi="方正小标宋简体" w:eastAsia="方正小标宋简体" w:cs="方正小标宋简体"/>
          <w:b w:val="0"/>
          <w:bCs w:val="0"/>
          <w:color w:val="000000"/>
          <w:sz w:val="36"/>
          <w:szCs w:val="36"/>
        </w:rPr>
        <w:t>燃气有限责任公司领导干部“三联系”工作</w:t>
      </w:r>
    </w:p>
    <w:p>
      <w:pPr>
        <w:spacing w:line="360" w:lineRule="auto"/>
        <w:jc w:val="center"/>
        <w:rPr>
          <w:rFonts w:hint="eastAsia" w:ascii="方正仿宋简体" w:eastAsia="方正仿宋简体"/>
          <w:b/>
          <w:bCs/>
          <w:color w:val="000000"/>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小标宋简体" w:hAnsi="方正小标宋简体" w:eastAsia="方正小标宋简体" w:cs="方正小标宋简体"/>
          <w:b/>
          <w:bCs/>
          <w:color w:val="000000"/>
          <w:sz w:val="32"/>
          <w:szCs w:val="32"/>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rPr>
        <w:t>述</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rPr>
        <w:t>职</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rPr>
        <w:t>报</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color w:val="000000"/>
          <w:sz w:val="36"/>
          <w:szCs w:val="36"/>
        </w:rPr>
      </w:pPr>
      <w:r>
        <w:rPr>
          <w:rFonts w:hint="eastAsia" w:ascii="方正小标宋简体" w:hAnsi="方正小标宋简体" w:eastAsia="方正小标宋简体" w:cs="方正小标宋简体"/>
          <w:b w:val="0"/>
          <w:bCs w:val="0"/>
          <w:color w:val="000000"/>
          <w:sz w:val="36"/>
          <w:szCs w:val="36"/>
        </w:rPr>
        <w:t>告</w:t>
      </w:r>
    </w:p>
    <w:p>
      <w:pPr>
        <w:spacing w:line="360" w:lineRule="auto"/>
        <w:jc w:val="center"/>
        <w:rPr>
          <w:rFonts w:hint="eastAsia" w:ascii="方正仿宋简体" w:eastAsia="方正仿宋简体"/>
          <w:b/>
          <w:bCs/>
          <w:color w:val="000000"/>
          <w:sz w:val="28"/>
          <w:szCs w:val="28"/>
        </w:rPr>
      </w:pPr>
    </w:p>
    <w:p>
      <w:pPr>
        <w:spacing w:line="360" w:lineRule="auto"/>
        <w:jc w:val="center"/>
        <w:rPr>
          <w:rFonts w:hint="eastAsia" w:ascii="方正仿宋简体" w:eastAsia="方正仿宋简体"/>
          <w:b/>
          <w:bCs/>
          <w:color w:val="000000"/>
          <w:sz w:val="28"/>
          <w:szCs w:val="28"/>
        </w:rPr>
      </w:pPr>
    </w:p>
    <w:p>
      <w:pPr>
        <w:spacing w:line="360" w:lineRule="auto"/>
        <w:rPr>
          <w:rFonts w:hint="eastAsia" w:ascii="方正仿宋简体" w:eastAsia="方正仿宋简体"/>
          <w:b/>
          <w:bCs/>
          <w:color w:val="000000"/>
          <w:sz w:val="28"/>
          <w:szCs w:val="28"/>
        </w:rPr>
      </w:pPr>
    </w:p>
    <w:p>
      <w:pPr>
        <w:spacing w:line="360" w:lineRule="auto"/>
        <w:ind w:firstLine="3040" w:firstLineChars="950"/>
        <w:rPr>
          <w:rFonts w:hint="eastAsia" w:ascii="方正仿宋简体" w:hAnsi="方正仿宋简体" w:eastAsia="方正仿宋简体" w:cs="方正仿宋简体"/>
          <w:bCs/>
          <w:color w:val="000000"/>
          <w:sz w:val="32"/>
          <w:szCs w:val="32"/>
          <w:u w:val="single"/>
        </w:rPr>
      </w:pPr>
      <w:r>
        <w:rPr>
          <w:rFonts w:hint="eastAsia" w:ascii="方正仿宋简体" w:hAnsi="方正仿宋简体" w:eastAsia="方正仿宋简体" w:cs="方正仿宋简体"/>
          <w:bCs/>
          <w:color w:val="000000"/>
          <w:sz w:val="32"/>
          <w:szCs w:val="32"/>
        </w:rPr>
        <w:t xml:space="preserve">单 位 </w:t>
      </w:r>
      <w:r>
        <w:rPr>
          <w:rFonts w:hint="eastAsia" w:ascii="方正仿宋简体" w:hAnsi="方正仿宋简体" w:eastAsia="方正仿宋简体" w:cs="方正仿宋简体"/>
          <w:color w:val="000000"/>
          <w:sz w:val="32"/>
          <w:szCs w:val="32"/>
          <w:u w:val="single"/>
        </w:rPr>
        <w:t xml:space="preserve">            </w:t>
      </w:r>
    </w:p>
    <w:p>
      <w:pPr>
        <w:spacing w:line="360" w:lineRule="auto"/>
        <w:ind w:firstLine="3040" w:firstLineChars="950"/>
        <w:rPr>
          <w:rFonts w:hint="eastAsia" w:ascii="方正仿宋简体" w:hAnsi="方正仿宋简体" w:eastAsia="方正仿宋简体" w:cs="方正仿宋简体"/>
          <w:color w:val="000000"/>
          <w:sz w:val="32"/>
          <w:szCs w:val="32"/>
          <w:u w:val="single"/>
        </w:rPr>
      </w:pPr>
      <w:r>
        <w:rPr>
          <w:rFonts w:hint="eastAsia" w:ascii="方正仿宋简体" w:hAnsi="方正仿宋简体" w:eastAsia="方正仿宋简体" w:cs="方正仿宋简体"/>
          <w:bCs/>
          <w:color w:val="000000"/>
          <w:sz w:val="32"/>
          <w:szCs w:val="32"/>
        </w:rPr>
        <w:t xml:space="preserve">姓 名 </w:t>
      </w:r>
      <w:r>
        <w:rPr>
          <w:rFonts w:hint="eastAsia" w:ascii="方正仿宋简体" w:hAnsi="方正仿宋简体" w:eastAsia="方正仿宋简体" w:cs="方正仿宋简体"/>
          <w:color w:val="000000"/>
          <w:sz w:val="32"/>
          <w:szCs w:val="32"/>
          <w:u w:val="single"/>
        </w:rPr>
        <w:t xml:space="preserve">            </w:t>
      </w:r>
    </w:p>
    <w:p>
      <w:pPr>
        <w:spacing w:line="360" w:lineRule="auto"/>
        <w:ind w:firstLine="3040" w:firstLineChars="950"/>
        <w:rPr>
          <w:rFonts w:hint="eastAsia" w:ascii="方正仿宋简体" w:hAnsi="方正仿宋简体" w:eastAsia="方正仿宋简体" w:cs="方正仿宋简体"/>
          <w:color w:val="000000"/>
          <w:sz w:val="32"/>
          <w:szCs w:val="32"/>
          <w:u w:val="single"/>
        </w:rPr>
      </w:pPr>
      <w:r>
        <w:rPr>
          <w:rFonts w:hint="eastAsia" w:ascii="方正仿宋简体" w:hAnsi="方正仿宋简体" w:eastAsia="方正仿宋简体" w:cs="方正仿宋简体"/>
          <w:bCs/>
          <w:color w:val="000000"/>
          <w:sz w:val="32"/>
          <w:szCs w:val="32"/>
        </w:rPr>
        <w:t xml:space="preserve">职 务 </w:t>
      </w:r>
      <w:r>
        <w:rPr>
          <w:rFonts w:hint="eastAsia" w:ascii="方正仿宋简体" w:hAnsi="方正仿宋简体" w:eastAsia="方正仿宋简体" w:cs="方正仿宋简体"/>
          <w:color w:val="000000"/>
          <w:sz w:val="32"/>
          <w:szCs w:val="32"/>
          <w:u w:val="single"/>
        </w:rPr>
        <w:t xml:space="preserve">            </w:t>
      </w:r>
    </w:p>
    <w:p>
      <w:pPr>
        <w:spacing w:line="360" w:lineRule="auto"/>
        <w:ind w:firstLine="3040" w:firstLineChars="950"/>
        <w:rPr>
          <w:rFonts w:hint="eastAsia" w:ascii="方正仿宋简体" w:hAnsi="方正仿宋简体" w:eastAsia="方正仿宋简体" w:cs="方正仿宋简体"/>
          <w:bCs/>
          <w:color w:val="000000"/>
          <w:sz w:val="32"/>
          <w:szCs w:val="32"/>
        </w:rPr>
      </w:pPr>
      <w:r>
        <w:rPr>
          <w:rFonts w:hint="eastAsia" w:ascii="方正仿宋简体" w:hAnsi="方正仿宋简体" w:eastAsia="方正仿宋简体" w:cs="方正仿宋简体"/>
          <w:bCs/>
          <w:color w:val="000000"/>
          <w:sz w:val="32"/>
          <w:szCs w:val="32"/>
        </w:rPr>
        <w:t xml:space="preserve">时 间 </w:t>
      </w:r>
      <w:r>
        <w:rPr>
          <w:rFonts w:hint="eastAsia" w:ascii="方正仿宋简体" w:hAnsi="方正仿宋简体" w:eastAsia="方正仿宋简体" w:cs="方正仿宋简体"/>
          <w:bCs/>
          <w:color w:val="000000"/>
          <w:sz w:val="32"/>
          <w:szCs w:val="32"/>
          <w:u w:val="single"/>
        </w:rPr>
        <w:t xml:space="preserve">            </w:t>
      </w:r>
    </w:p>
    <w:p>
      <w:pPr>
        <w:spacing w:line="360" w:lineRule="auto"/>
        <w:jc w:val="center"/>
        <w:rPr>
          <w:rFonts w:hint="eastAsia" w:ascii="方正黑体简体" w:eastAsia="方正黑体简体"/>
          <w:bCs/>
          <w:color w:val="000000"/>
          <w:sz w:val="28"/>
          <w:szCs w:val="28"/>
        </w:rPr>
      </w:pPr>
    </w:p>
    <w:p>
      <w:pPr>
        <w:spacing w:line="360" w:lineRule="auto"/>
        <w:jc w:val="center"/>
        <w:rPr>
          <w:rFonts w:hint="eastAsia" w:ascii="方正小标宋简体" w:hAnsi="宋体" w:eastAsia="方正小标宋简体"/>
          <w:sz w:val="36"/>
          <w:szCs w:val="36"/>
          <w:lang w:eastAsia="zh-CN"/>
        </w:rPr>
      </w:pPr>
      <w:r>
        <w:rPr>
          <w:rFonts w:hint="eastAsia" w:ascii="方正仿宋简体" w:eastAsia="方正仿宋简体"/>
          <w:b w:val="0"/>
          <w:bCs/>
          <w:color w:val="000000"/>
          <w:sz w:val="28"/>
          <w:szCs w:val="28"/>
          <w:lang w:eastAsia="zh-CN"/>
        </w:rPr>
        <w:t>中油南充</w:t>
      </w:r>
      <w:r>
        <w:rPr>
          <w:rFonts w:hint="eastAsia" w:ascii="方正仿宋简体" w:eastAsia="方正仿宋简体"/>
          <w:b w:val="0"/>
          <w:bCs/>
          <w:color w:val="000000"/>
          <w:sz w:val="28"/>
          <w:szCs w:val="28"/>
        </w:rPr>
        <w:t>燃气有限责任公司  制</w:t>
      </w:r>
    </w:p>
    <w:p>
      <w:pPr>
        <w:spacing w:line="560" w:lineRule="exact"/>
        <w:jc w:val="both"/>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sectPr>
          <w:headerReference r:id="rId14" w:type="default"/>
          <w:footerReference r:id="rId15" w:type="default"/>
          <w:pgSz w:w="11906" w:h="16838"/>
          <w:pgMar w:top="1077" w:right="1077" w:bottom="1440" w:left="1440" w:header="737" w:footer="992" w:gutter="0"/>
          <w:pgBorders>
            <w:top w:val="none" w:sz="0" w:space="0"/>
            <w:left w:val="none" w:sz="0" w:space="0"/>
            <w:bottom w:val="none" w:sz="0" w:space="0"/>
            <w:right w:val="none" w:sz="0" w:space="0"/>
          </w:pgBorders>
          <w:pgNumType w:fmt="decimal"/>
          <w:cols w:space="720" w:num="1"/>
          <w:docGrid w:linePitch="312" w:charSpace="0"/>
        </w:sectPr>
      </w:pPr>
    </w:p>
    <w:tbl>
      <w:tblPr>
        <w:tblStyle w:val="51"/>
        <w:tblW w:w="9360"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一、在主管业务工作中安全职责、党的建设和基层建设责任制的履行情况：</w:t>
            </w:r>
          </w:p>
          <w:p>
            <w:pPr>
              <w:spacing w:line="360" w:lineRule="auto"/>
              <w:rPr>
                <w:rFonts w:hint="eastAsia" w:ascii="方正仿宋简体" w:eastAsia="方正仿宋简体"/>
                <w:color w:val="000000"/>
                <w:sz w:val="24"/>
              </w:rPr>
            </w:pPr>
          </w:p>
          <w:p>
            <w:pPr>
              <w:spacing w:line="360" w:lineRule="auto"/>
              <w:rPr>
                <w:rFonts w:hint="eastAsia" w:ascii="方正仿宋简体"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二、全年联系活动情况：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三、</w:t>
            </w:r>
            <w:r>
              <w:rPr>
                <w:rFonts w:hint="eastAsia" w:ascii="方正仿宋简体" w:eastAsia="方正仿宋简体"/>
                <w:color w:val="auto"/>
                <w:sz w:val="24"/>
              </w:rPr>
              <w:t>对联系点安全管</w:t>
            </w:r>
            <w:r>
              <w:rPr>
                <w:rFonts w:hint="eastAsia" w:ascii="方正仿宋简体" w:eastAsia="方正仿宋简体"/>
                <w:color w:val="000000"/>
                <w:sz w:val="24"/>
              </w:rPr>
              <w:t>理现状评价：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四、对联</w:t>
            </w:r>
            <w:r>
              <w:rPr>
                <w:rFonts w:hint="eastAsia" w:ascii="方正仿宋简体" w:eastAsia="方正仿宋简体"/>
                <w:color w:val="auto"/>
                <w:sz w:val="24"/>
              </w:rPr>
              <w:t>系点</w:t>
            </w:r>
            <w:r>
              <w:rPr>
                <w:rFonts w:hint="eastAsia" w:ascii="方正仿宋简体" w:eastAsia="方正仿宋简体"/>
                <w:color w:val="000000"/>
                <w:sz w:val="24"/>
              </w:rPr>
              <w:t>党建工作现状评价：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五、对联系</w:t>
            </w:r>
            <w:r>
              <w:rPr>
                <w:rFonts w:hint="eastAsia" w:ascii="方正仿宋简体" w:eastAsia="方正仿宋简体"/>
                <w:color w:val="auto"/>
                <w:sz w:val="24"/>
              </w:rPr>
              <w:t>点</w:t>
            </w:r>
            <w:r>
              <w:rPr>
                <w:rFonts w:hint="eastAsia" w:ascii="方正仿宋简体" w:eastAsia="方正仿宋简体"/>
                <w:color w:val="000000"/>
                <w:sz w:val="24"/>
              </w:rPr>
              <w:t>基层建设工作现状评价：</w:t>
            </w:r>
          </w:p>
          <w:p>
            <w:pPr>
              <w:spacing w:line="360" w:lineRule="auto"/>
              <w:rPr>
                <w:rFonts w:hint="eastAsia" w:ascii="方正仿宋简体"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六、对联系点安全生产工作的建议：</w:t>
            </w:r>
          </w:p>
          <w:p>
            <w:pPr>
              <w:spacing w:line="360" w:lineRule="auto"/>
              <w:rPr>
                <w:rFonts w:hint="eastAsia" w:ascii="方正仿宋简体" w:eastAsia="方正仿宋简体"/>
                <w:color w:val="000000"/>
                <w:sz w:val="24"/>
              </w:rPr>
            </w:pPr>
          </w:p>
          <w:p>
            <w:pPr>
              <w:spacing w:line="360" w:lineRule="auto"/>
              <w:rPr>
                <w:rFonts w:hint="eastAsia" w:ascii="方正仿宋简体"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3"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七、对联系点党建工作的建议：</w:t>
            </w:r>
          </w:p>
          <w:p>
            <w:pPr>
              <w:spacing w:line="360" w:lineRule="auto"/>
              <w:rPr>
                <w:rFonts w:hint="eastAsia" w:ascii="方正仿宋简体" w:eastAsia="方正仿宋简体"/>
                <w:color w:val="000000"/>
                <w:sz w:val="24"/>
              </w:rPr>
            </w:pPr>
          </w:p>
          <w:p>
            <w:pPr>
              <w:spacing w:line="360" w:lineRule="auto"/>
              <w:rPr>
                <w:rFonts w:hint="eastAsia" w:ascii="方正仿宋简体"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9360" w:type="dxa"/>
            <w:vAlign w:val="top"/>
          </w:tcPr>
          <w:p>
            <w:pPr>
              <w:spacing w:line="360" w:lineRule="auto"/>
              <w:rPr>
                <w:rFonts w:hint="eastAsia" w:ascii="方正仿宋简体" w:eastAsia="方正仿宋简体"/>
                <w:color w:val="000000"/>
                <w:sz w:val="24"/>
              </w:rPr>
            </w:pPr>
            <w:r>
              <w:rPr>
                <w:rFonts w:hint="eastAsia" w:ascii="方正仿宋简体" w:eastAsia="方正仿宋简体"/>
                <w:color w:val="000000"/>
                <w:sz w:val="24"/>
              </w:rPr>
              <w:t>八、对联系点基层建设工作的建议：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7" w:hRule="atLeast"/>
        </w:trPr>
        <w:tc>
          <w:tcPr>
            <w:tcW w:w="9360" w:type="dxa"/>
            <w:vAlign w:val="top"/>
          </w:tcPr>
          <w:p>
            <w:pPr>
              <w:spacing w:line="360" w:lineRule="auto"/>
              <w:rPr>
                <w:rFonts w:hint="eastAsia" w:ascii="方正仿宋简体" w:eastAsia="方正仿宋简体"/>
                <w:b/>
                <w:bCs/>
                <w:color w:val="000000"/>
                <w:sz w:val="24"/>
              </w:rPr>
            </w:pPr>
            <w:r>
              <w:rPr>
                <w:rFonts w:hint="eastAsia" w:ascii="方正仿宋简体" w:eastAsia="方正仿宋简体"/>
                <w:color w:val="000000"/>
                <w:sz w:val="24"/>
              </w:rPr>
              <w:t>九、领导批阅：</w:t>
            </w:r>
          </w:p>
          <w:p>
            <w:pPr>
              <w:spacing w:line="360" w:lineRule="auto"/>
              <w:rPr>
                <w:rFonts w:hint="eastAsia" w:ascii="方正仿宋简体" w:eastAsia="方正仿宋简体"/>
                <w:color w:val="000000"/>
                <w:sz w:val="24"/>
              </w:rPr>
            </w:pPr>
            <w:r>
              <w:rPr>
                <w:rFonts w:hint="eastAsia" w:ascii="方正仿宋简体" w:eastAsia="方正仿宋简体"/>
                <w:b/>
                <w:bCs/>
                <w:color w:val="000000"/>
                <w:sz w:val="24"/>
              </w:rPr>
              <w:t xml:space="preserve">                                                </w:t>
            </w:r>
            <w:r>
              <w:rPr>
                <w:rFonts w:hint="eastAsia" w:ascii="方正仿宋简体" w:eastAsia="方正仿宋简体"/>
                <w:color w:val="000000"/>
                <w:sz w:val="24"/>
              </w:rPr>
              <w:t>领导签字：</w:t>
            </w:r>
          </w:p>
          <w:p>
            <w:pPr>
              <w:spacing w:line="360" w:lineRule="auto"/>
              <w:rPr>
                <w:rFonts w:hint="eastAsia" w:ascii="方正仿宋简体" w:eastAsia="方正仿宋简体"/>
                <w:color w:val="000000"/>
                <w:sz w:val="24"/>
              </w:rPr>
            </w:pPr>
            <w:r>
              <w:rPr>
                <w:rFonts w:hint="eastAsia" w:ascii="方正仿宋简体" w:eastAsia="方正仿宋简体"/>
                <w:b/>
                <w:bCs/>
                <w:color w:val="000000"/>
                <w:sz w:val="24"/>
              </w:rPr>
              <w:t xml:space="preserve">                                                     </w:t>
            </w:r>
            <w:r>
              <w:rPr>
                <w:rFonts w:hint="eastAsia" w:ascii="方正仿宋简体" w:eastAsia="方正仿宋简体"/>
                <w:color w:val="000000"/>
                <w:sz w:val="24"/>
              </w:rPr>
              <w:t>年   月   日</w:t>
            </w:r>
          </w:p>
        </w:tc>
      </w:tr>
    </w:tbl>
    <w:p>
      <w:pPr>
        <w:spacing w:line="560" w:lineRule="exact"/>
        <w:jc w:val="both"/>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b w:val="0"/>
          <w:bCs w:val="0"/>
          <w:sz w:val="36"/>
          <w:szCs w:val="36"/>
          <w:lang w:eastAsia="zh-CN"/>
        </w:rPr>
      </w:pPr>
      <w:bookmarkStart w:id="945" w:name="_Toc28415"/>
      <w:bookmarkStart w:id="946" w:name="_Toc6178"/>
      <w:bookmarkStart w:id="947" w:name="_Toc865"/>
      <w:bookmarkStart w:id="948" w:name="_Toc16527"/>
      <w:bookmarkStart w:id="949" w:name="_Toc11317"/>
      <w:bookmarkStart w:id="950" w:name="_Toc14527"/>
      <w:bookmarkStart w:id="951" w:name="_Toc10770"/>
      <w:bookmarkStart w:id="952" w:name="_Toc19308"/>
      <w:bookmarkStart w:id="953" w:name="_Toc14793"/>
      <w:bookmarkStart w:id="954" w:name="_Toc22984"/>
      <w:bookmarkStart w:id="955" w:name="_Toc12099"/>
      <w:bookmarkStart w:id="956" w:name="_Toc32345"/>
      <w:bookmarkStart w:id="957" w:name="_Toc1293"/>
      <w:r>
        <w:rPr>
          <w:rFonts w:hint="eastAsia" w:ascii="方正小标宋简体" w:hAnsi="方正小标宋简体" w:eastAsia="方正小标宋简体" w:cs="方正小标宋简体"/>
          <w:b w:val="0"/>
          <w:bCs w:val="0"/>
          <w:sz w:val="36"/>
          <w:szCs w:val="36"/>
          <w:lang w:eastAsia="zh-CN"/>
        </w:rPr>
        <w:t>中油南充</w:t>
      </w:r>
      <w:r>
        <w:rPr>
          <w:rFonts w:hint="eastAsia" w:ascii="方正小标宋简体" w:hAnsi="方正小标宋简体" w:eastAsia="方正小标宋简体" w:cs="方正小标宋简体"/>
          <w:b w:val="0"/>
          <w:bCs w:val="0"/>
          <w:sz w:val="36"/>
          <w:szCs w:val="36"/>
        </w:rPr>
        <w:t>燃气有限责任公司</w:t>
      </w:r>
      <w:bookmarkEnd w:id="945"/>
      <w:bookmarkEnd w:id="946"/>
      <w:bookmarkEnd w:id="947"/>
      <w:bookmarkEnd w:id="948"/>
      <w:bookmarkEnd w:id="949"/>
      <w:r>
        <w:rPr>
          <w:rFonts w:hint="eastAsia" w:ascii="方正小标宋简体" w:hAnsi="方正小标宋简体" w:eastAsia="方正小标宋简体" w:cs="方正小标宋简体"/>
          <w:b w:val="0"/>
          <w:bCs w:val="0"/>
          <w:sz w:val="36"/>
          <w:szCs w:val="36"/>
          <w:lang w:eastAsia="zh-CN"/>
        </w:rPr>
        <w:t>建设项目安全设施“三同时”</w:t>
      </w:r>
      <w:bookmarkEnd w:id="950"/>
      <w:bookmarkEnd w:id="951"/>
      <w:bookmarkEnd w:id="952"/>
      <w:bookmarkEnd w:id="953"/>
      <w:bookmarkEnd w:id="954"/>
      <w:bookmarkStart w:id="958" w:name="_Toc14770"/>
      <w:bookmarkStart w:id="959" w:name="_Toc27376"/>
      <w:bookmarkStart w:id="960" w:name="_Toc25805"/>
      <w:bookmarkStart w:id="961" w:name="_Toc16281"/>
      <w:bookmarkStart w:id="962" w:name="_Toc20495"/>
      <w:r>
        <w:rPr>
          <w:rFonts w:hint="eastAsia" w:ascii="方正小标宋简体" w:hAnsi="方正小标宋简体" w:eastAsia="方正小标宋简体" w:cs="方正小标宋简体"/>
          <w:b w:val="0"/>
          <w:bCs w:val="0"/>
          <w:sz w:val="36"/>
          <w:szCs w:val="36"/>
          <w:lang w:eastAsia="zh-CN"/>
        </w:rPr>
        <w:t>管理</w:t>
      </w:r>
      <w:bookmarkEnd w:id="955"/>
      <w:bookmarkEnd w:id="956"/>
      <w:bookmarkEnd w:id="958"/>
      <w:bookmarkEnd w:id="959"/>
      <w:bookmarkEnd w:id="960"/>
      <w:bookmarkEnd w:id="961"/>
      <w:bookmarkEnd w:id="962"/>
      <w:r>
        <w:rPr>
          <w:rFonts w:hint="eastAsia" w:ascii="方正小标宋简体" w:hAnsi="方正小标宋简体" w:eastAsia="方正小标宋简体" w:cs="方正小标宋简体"/>
          <w:b w:val="0"/>
          <w:bCs w:val="0"/>
          <w:sz w:val="36"/>
          <w:szCs w:val="36"/>
          <w:lang w:eastAsia="zh-CN"/>
        </w:rPr>
        <w:t>制度</w:t>
      </w:r>
      <w:bookmarkEnd w:id="957"/>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小标宋简体" w:hAnsi="宋体" w:eastAsia="方正小标宋简体"/>
          <w:b w:val="0"/>
          <w:bCs w:val="0"/>
          <w:sz w:val="36"/>
          <w:szCs w:val="36"/>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第一章  总则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sz w:val="28"/>
          <w:szCs w:val="28"/>
        </w:rPr>
        <w:t xml:space="preserve">第一条  </w:t>
      </w:r>
      <w:r>
        <w:rPr>
          <w:rFonts w:hint="eastAsia" w:ascii="方正仿宋简体" w:hAnsi="方正仿宋简体" w:eastAsia="方正仿宋简体" w:cs="方正仿宋简体"/>
          <w:sz w:val="28"/>
        </w:rPr>
        <w:t>为加强</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燃气有限责任公司（以下简称公司）建设项目安全管理，预防和减少生产安全事故，保障人员生命和财产安全，根据《中华人民共和国安全生产法》、《</w:t>
      </w:r>
      <w:r>
        <w:rPr>
          <w:rFonts w:hint="eastAsia" w:ascii="方正仿宋简体" w:hAnsi="方正仿宋简体" w:eastAsia="方正仿宋简体" w:cs="方正仿宋简体"/>
          <w:sz w:val="28"/>
        </w:rPr>
        <w:fldChar w:fldCharType="begin"/>
      </w:r>
      <w:r>
        <w:rPr>
          <w:rFonts w:hint="eastAsia" w:ascii="方正仿宋简体" w:hAnsi="方正仿宋简体" w:eastAsia="方正仿宋简体" w:cs="方正仿宋简体"/>
          <w:sz w:val="28"/>
        </w:rPr>
        <w:instrText xml:space="preserve"> HYPERLINK "http://www.jxmkaqjc.gov.cn/2004-7/2004711204722.htm" \t "_blank" </w:instrText>
      </w:r>
      <w:r>
        <w:rPr>
          <w:rFonts w:hint="eastAsia" w:ascii="方正仿宋简体" w:hAnsi="方正仿宋简体" w:eastAsia="方正仿宋简体" w:cs="方正仿宋简体"/>
          <w:sz w:val="28"/>
        </w:rPr>
        <w:fldChar w:fldCharType="separate"/>
      </w:r>
      <w:r>
        <w:rPr>
          <w:rFonts w:hint="eastAsia" w:ascii="方正仿宋简体" w:hAnsi="方正仿宋简体" w:eastAsia="方正仿宋简体" w:cs="方正仿宋简体"/>
          <w:sz w:val="28"/>
        </w:rPr>
        <w:t>安全评价通则</w:t>
      </w:r>
      <w:r>
        <w:rPr>
          <w:rFonts w:hint="eastAsia" w:ascii="方正仿宋简体" w:hAnsi="方正仿宋简体" w:eastAsia="方正仿宋简体" w:cs="方正仿宋简体"/>
          <w:sz w:val="28"/>
        </w:rPr>
        <w:fldChar w:fldCharType="end"/>
      </w:r>
      <w:r>
        <w:rPr>
          <w:rFonts w:hint="eastAsia" w:ascii="方正仿宋简体" w:hAnsi="方正仿宋简体" w:eastAsia="方正仿宋简体" w:cs="方正仿宋简体"/>
          <w:sz w:val="28"/>
        </w:rPr>
        <w:t>》AQ8001-2007等法律、行政法规和规定，制定本办法。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第二条</w:t>
      </w:r>
      <w:r>
        <w:rPr>
          <w:rFonts w:hint="eastAsia" w:ascii="方正仿宋简体" w:hAnsi="方正仿宋简体" w:eastAsia="方正仿宋简体" w:cs="方正仿宋简体"/>
          <w:sz w:val="28"/>
        </w:rPr>
        <w:t xml:space="preserve">  本办法所称的建设项目安全设施，是指公司在生产经营活动中用于预防生产安全事故的设备、设施、装置、构（建）筑物和其他技术措施的总称。建设项目安全设施必须与主体工程同时设计、同时施工、同时投入生产和使用（以下简称“三同时”）。安全设施投资应当纳入建设项目概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lang w:eastAsia="zh-CN"/>
        </w:rPr>
      </w:pPr>
      <w:r>
        <w:rPr>
          <w:rFonts w:hint="eastAsia" w:ascii="方正仿宋简体" w:hAnsi="方正仿宋简体" w:eastAsia="方正仿宋简体" w:cs="方正仿宋简体"/>
          <w:b/>
          <w:bCs/>
          <w:sz w:val="28"/>
        </w:rPr>
        <w:t>第三条</w:t>
      </w:r>
      <w:r>
        <w:rPr>
          <w:rFonts w:hint="eastAsia" w:ascii="方正仿宋简体" w:hAnsi="方正仿宋简体" w:eastAsia="方正仿宋简体" w:cs="方正仿宋简体"/>
          <w:sz w:val="28"/>
        </w:rPr>
        <w:t xml:space="preserve">  本办法适用于公司</w:t>
      </w:r>
      <w:r>
        <w:rPr>
          <w:rFonts w:hint="eastAsia" w:ascii="方正仿宋简体" w:hAnsi="方正仿宋简体" w:eastAsia="方正仿宋简体" w:cs="方正仿宋简体"/>
          <w:sz w:val="28"/>
          <w:lang w:eastAsia="zh-CN"/>
        </w:rPr>
        <w:t>所有建设项目。</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30"/>
          <w:szCs w:val="30"/>
        </w:rPr>
      </w:pPr>
      <w:r>
        <w:rPr>
          <w:rFonts w:hint="eastAsia" w:ascii="方正黑体简体" w:hAnsi="华文中宋" w:eastAsia="方正黑体简体"/>
          <w:b w:val="0"/>
          <w:bCs w:val="0"/>
          <w:sz w:val="30"/>
          <w:szCs w:val="30"/>
          <w:lang w:eastAsia="zh-CN"/>
        </w:rPr>
        <w:t>第二章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第四条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质量安全环保部是建设项目安全设施“三同时”工作的综合管理部门</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负责建设项目安全设施“三同时”业务的组织和协调，依照国家和地方相关职能管理部门的规定程序办理 “三同时”手续，参加评价报告的审查，并负责建设项目“三同时”相关文件和资料的归档保存。公司质量安全环保部负责对各单位建设项目安全 “三同时”管理工作进行监督、指导。</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第五条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市场营销</w:t>
      </w:r>
      <w:r>
        <w:rPr>
          <w:rFonts w:hint="eastAsia" w:ascii="方正仿宋简体" w:hAnsi="方正仿宋简体" w:eastAsia="方正仿宋简体" w:cs="方正仿宋简体"/>
          <w:sz w:val="28"/>
        </w:rPr>
        <w:t>部负责投资建设项目“三同时”前期工作计划安排和投资计划安排，负责核算建设项目安全设施“三同时”工作所需资金费用，确保安全设施“三同时”工作的开展，并负责组织建设项目设计审查和竣工验收。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第六条</w:t>
      </w:r>
      <w:r>
        <w:rPr>
          <w:rFonts w:hint="eastAsia" w:ascii="方正仿宋简体" w:hAnsi="方正仿宋简体" w:eastAsia="方正仿宋简体" w:cs="方正仿宋简体"/>
          <w:sz w:val="28"/>
        </w:rPr>
        <w:t xml:space="preserve">  财务资产部负责确保建设项目安全设施“三同时”的资金投入，对未按规定程序开展“三同时”工作的建设项目不予结算付款。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第七条</w:t>
      </w:r>
      <w:r>
        <w:rPr>
          <w:rFonts w:hint="eastAsia" w:ascii="方正仿宋简体" w:hAnsi="方正仿宋简体" w:eastAsia="方正仿宋简体" w:cs="方正仿宋简体"/>
          <w:sz w:val="28"/>
        </w:rPr>
        <w:t xml:space="preserve">  生产</w:t>
      </w:r>
      <w:r>
        <w:rPr>
          <w:rFonts w:hint="eastAsia" w:ascii="方正仿宋简体" w:hAnsi="方正仿宋简体" w:eastAsia="方正仿宋简体" w:cs="方正仿宋简体"/>
          <w:sz w:val="28"/>
          <w:lang w:eastAsia="zh-CN"/>
        </w:rPr>
        <w:t>运行</w:t>
      </w:r>
      <w:r>
        <w:rPr>
          <w:rFonts w:hint="eastAsia" w:ascii="方正仿宋简体" w:hAnsi="方正仿宋简体" w:eastAsia="方正仿宋简体" w:cs="方正仿宋简体"/>
          <w:sz w:val="28"/>
        </w:rPr>
        <w:t>部</w:t>
      </w:r>
      <w:r>
        <w:rPr>
          <w:rFonts w:hint="eastAsia" w:ascii="方正仿宋简体" w:hAnsi="方正仿宋简体" w:eastAsia="方正仿宋简体" w:cs="方正仿宋简体"/>
          <w:sz w:val="28"/>
          <w:lang w:eastAsia="zh-CN"/>
        </w:rPr>
        <w:t>、工程技术部</w:t>
      </w:r>
      <w:r>
        <w:rPr>
          <w:rFonts w:hint="eastAsia" w:ascii="方正仿宋简体" w:hAnsi="方正仿宋简体" w:eastAsia="方正仿宋简体" w:cs="方正仿宋简体"/>
          <w:sz w:val="28"/>
        </w:rPr>
        <w:t>负责将“三同时”的具体要求在项目实施中予以落实。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rPr>
      </w:pPr>
      <w:r>
        <w:rPr>
          <w:rFonts w:hint="eastAsia" w:ascii="方正黑体简体" w:hAnsi="华文中宋" w:eastAsia="方正黑体简体"/>
          <w:b w:val="0"/>
          <w:bCs w:val="0"/>
          <w:sz w:val="30"/>
          <w:szCs w:val="30"/>
          <w:lang w:eastAsia="zh-CN"/>
        </w:rPr>
        <w:t>第三章  建设项目安全条件论证与安全预评价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第八条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下列建设项目在进行可行性研究时，应当分别对其安全生产条件进行论证和安全预评价：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（1）危险化学品建设项目：</w:t>
      </w:r>
      <w:r>
        <w:rPr>
          <w:rFonts w:hint="eastAsia" w:ascii="方正仿宋简体" w:hAnsi="方正仿宋简体" w:eastAsia="方正仿宋简体" w:cs="方正仿宋简体"/>
          <w:sz w:val="28"/>
          <w:lang w:eastAsia="zh-CN"/>
        </w:rPr>
        <w:t>输配场</w:t>
      </w:r>
      <w:r>
        <w:rPr>
          <w:rFonts w:hint="eastAsia" w:ascii="方正仿宋简体" w:hAnsi="方正仿宋简体" w:eastAsia="方正仿宋简体" w:cs="方正仿宋简体"/>
          <w:sz w:val="28"/>
        </w:rPr>
        <w:t>站新改扩建项目；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（2）长输管道建设项目；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（3）地方安全生产监督管理部门确认的其它危险、危害后果较大的建设项目。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第九条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应当委托具有相应资质的安全评价机构，对其建设项目进行安全预评价，并编制安全预评价报告。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 xml:space="preserve">第十条 </w:t>
      </w:r>
      <w:r>
        <w:rPr>
          <w:rFonts w:hint="eastAsia" w:ascii="方正仿宋简体" w:hAnsi="方正仿宋简体" w:eastAsia="方正仿宋简体" w:cs="方正仿宋简体"/>
          <w:sz w:val="28"/>
        </w:rPr>
        <w:t xml:space="preserve"> 本办法第八条规定以外的其他建设项目，</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应当对其安全生产条件和设施进行综合分析，形成书面报告，并按照规定报当地安全生产监督管理部门备案。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 xml:space="preserve">第四章 </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建设项目安全设施设计审查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第十一条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在建设项目初步设计时，应当委托有相应资质的设计单位对建设项目安全设施进行设计，编制安全专篇。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安全设施设计必须符合有关法律、法规、规章和国家标准或者行业标准、技术规范的规定，并尽可能采用先进适用的工艺、技术和可靠的设备、设施。本办法第</w:t>
      </w:r>
      <w:r>
        <w:rPr>
          <w:rFonts w:hint="eastAsia" w:ascii="方正仿宋简体" w:hAnsi="方正仿宋简体" w:eastAsia="方正仿宋简体" w:cs="方正仿宋简体"/>
          <w:sz w:val="28"/>
          <w:lang w:eastAsia="zh-CN"/>
        </w:rPr>
        <w:t>八</w:t>
      </w:r>
      <w:r>
        <w:rPr>
          <w:rFonts w:hint="eastAsia" w:ascii="方正仿宋简体" w:hAnsi="方正仿宋简体" w:eastAsia="方正仿宋简体" w:cs="方正仿宋简体"/>
          <w:sz w:val="28"/>
        </w:rPr>
        <w:t>条规定的建设项目安全设施设计还应当充分考虑建设项目安全预评价报告提出的安全对策措施。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安全设施设计单位、设计人应当对其编制的设计文件负责。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第十二条</w:t>
      </w:r>
      <w:r>
        <w:rPr>
          <w:rFonts w:hint="eastAsia" w:ascii="方正仿宋简体" w:hAnsi="方正仿宋简体" w:eastAsia="方正仿宋简体" w:cs="方正仿宋简体"/>
          <w:sz w:val="28"/>
        </w:rPr>
        <w:t xml:space="preserve">  本办法第八条规定的建设项目安全设施设计完成后，</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应当按照规定向当地安全生产监督管理部门提出审查申请，并提交文件资料。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第十三条</w:t>
      </w:r>
      <w:r>
        <w:rPr>
          <w:rFonts w:hint="eastAsia" w:ascii="方正仿宋简体" w:hAnsi="方正仿宋简体" w:eastAsia="方正仿宋简体" w:cs="方正仿宋简体"/>
          <w:sz w:val="28"/>
        </w:rPr>
        <w:t xml:space="preserve">  本办法第八条规定以外的建设项目安全设施设计，由</w:t>
      </w:r>
      <w:r>
        <w:rPr>
          <w:rFonts w:hint="eastAsia" w:ascii="方正仿宋简体" w:hAnsi="方正仿宋简体" w:eastAsia="方正仿宋简体" w:cs="方正仿宋简体"/>
          <w:sz w:val="28"/>
          <w:lang w:eastAsia="zh-CN"/>
        </w:rPr>
        <w:t>公司项目负责部门</w:t>
      </w:r>
      <w:r>
        <w:rPr>
          <w:rFonts w:hint="eastAsia" w:ascii="方正仿宋简体" w:hAnsi="方正仿宋简体" w:eastAsia="方正仿宋简体" w:cs="方正仿宋简体"/>
          <w:sz w:val="28"/>
        </w:rPr>
        <w:t>组织审查，形成书面报告，并按照规定报当地安全生产监督管理部门备案。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rPr>
      </w:pPr>
      <w:r>
        <w:rPr>
          <w:rFonts w:hint="eastAsia" w:ascii="方正黑体简体" w:hAnsi="华文中宋" w:eastAsia="方正黑体简体"/>
          <w:b w:val="0"/>
          <w:bCs w:val="0"/>
          <w:sz w:val="30"/>
          <w:szCs w:val="30"/>
          <w:lang w:eastAsia="zh-CN"/>
        </w:rPr>
        <w:t>第五章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 xml:space="preserve"> 建设项目安全设施施工和竣工验收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第十四条</w:t>
      </w:r>
      <w:r>
        <w:rPr>
          <w:rFonts w:hint="eastAsia" w:ascii="方正仿宋简体" w:hAnsi="方正仿宋简体" w:eastAsia="方正仿宋简体" w:cs="方正仿宋简体"/>
          <w:sz w:val="28"/>
        </w:rPr>
        <w:t xml:space="preserve">  建设项目安全设施的施工应当由取得相应资质的施工单位进行，并与建设项目主体工程同时施工。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施工单位应当在施工组织设计中编制安全技术措施和施工现场临时用电方案，同时对危险性较大的分部分项工程依法编制专项施工方案，并附具安全验算结果，经施工单位技术负责人、总监理工程师签字后实施。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施工单位应当严格按照安全设施设计和相关施工技术标准、规范施工，并对安全设施的工程质量负责。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第十五条</w:t>
      </w:r>
      <w:r>
        <w:rPr>
          <w:rFonts w:hint="eastAsia" w:ascii="方正仿宋简体" w:hAnsi="方正仿宋简体" w:eastAsia="方正仿宋简体" w:cs="方正仿宋简体"/>
          <w:sz w:val="28"/>
        </w:rPr>
        <w:t xml:space="preserve">  施工单位发现安全设施设计文件有错漏的，应当及时向</w:t>
      </w:r>
      <w:r>
        <w:rPr>
          <w:rFonts w:hint="eastAsia" w:ascii="方正仿宋简体" w:hAnsi="方正仿宋简体" w:eastAsia="方正仿宋简体" w:cs="方正仿宋简体"/>
          <w:sz w:val="28"/>
          <w:lang w:eastAsia="zh-CN"/>
        </w:rPr>
        <w:t>公司项目负责部门</w:t>
      </w:r>
      <w:r>
        <w:rPr>
          <w:rFonts w:hint="eastAsia" w:ascii="方正仿宋简体" w:hAnsi="方正仿宋简体" w:eastAsia="方正仿宋简体" w:cs="方正仿宋简体"/>
          <w:sz w:val="28"/>
        </w:rPr>
        <w:t>、设计单位提出。</w:t>
      </w:r>
      <w:r>
        <w:rPr>
          <w:rFonts w:hint="eastAsia" w:ascii="方正仿宋简体" w:hAnsi="方正仿宋简体" w:eastAsia="方正仿宋简体" w:cs="方正仿宋简体"/>
          <w:sz w:val="28"/>
          <w:lang w:eastAsia="zh-CN"/>
        </w:rPr>
        <w:t>公司项目负责部门</w:t>
      </w:r>
      <w:r>
        <w:rPr>
          <w:rFonts w:hint="eastAsia" w:ascii="方正仿宋简体" w:hAnsi="方正仿宋简体" w:eastAsia="方正仿宋简体" w:cs="方正仿宋简体"/>
          <w:sz w:val="28"/>
        </w:rPr>
        <w:t>、设计单位应当及时处理。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施工单位发现安全设施存在重大事故隐患时，应当立即停止施工并报告</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进行整改。整改合格后，方可恢复施工。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第十六条</w:t>
      </w:r>
      <w:r>
        <w:rPr>
          <w:rFonts w:hint="eastAsia" w:ascii="方正仿宋简体" w:hAnsi="方正仿宋简体" w:eastAsia="方正仿宋简体" w:cs="方正仿宋简体"/>
          <w:sz w:val="28"/>
        </w:rPr>
        <w:t xml:space="preserve">  工程监理单位应当审查施工组织设计中的安全技术措施或者专项施工方案是否符合工程建设强制性标准。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工程监理单位在实施监理过程中，发现存在事故隐患的，应当要求施工单位整改；情况严重的，应当要求施工单位暂时停止施工，并及时报告</w:t>
      </w:r>
      <w:r>
        <w:rPr>
          <w:rFonts w:hint="eastAsia" w:ascii="方正仿宋简体" w:hAnsi="方正仿宋简体" w:eastAsia="方正仿宋简体" w:cs="方正仿宋简体"/>
          <w:sz w:val="28"/>
          <w:lang w:eastAsia="zh-CN"/>
        </w:rPr>
        <w:t>公司项目负责部门</w:t>
      </w:r>
      <w:r>
        <w:rPr>
          <w:rFonts w:hint="eastAsia" w:ascii="方正仿宋简体" w:hAnsi="方正仿宋简体" w:eastAsia="方正仿宋简体" w:cs="方正仿宋简体"/>
          <w:sz w:val="28"/>
        </w:rPr>
        <w:t>。施工单位拒不整改或者不停止施工的，工程监理单位应当及时向有关主管部门报告。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工程监理单位、监理人员应当按照法律、法规和工程建设强制性标准实施监理，并对安全设施工程的工程质量承担监理责任。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第十七条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生产技</w:t>
      </w:r>
      <w:r>
        <w:rPr>
          <w:rFonts w:hint="eastAsia" w:ascii="方正仿宋简体" w:hAnsi="方正仿宋简体" w:eastAsia="方正仿宋简体" w:cs="方正仿宋简体"/>
          <w:sz w:val="28"/>
          <w:lang w:eastAsia="zh-CN"/>
        </w:rPr>
        <w:t>运行部、工程技术部</w:t>
      </w:r>
      <w:r>
        <w:rPr>
          <w:rFonts w:hint="eastAsia" w:ascii="方正仿宋简体" w:hAnsi="方正仿宋简体" w:eastAsia="方正仿宋简体" w:cs="方正仿宋简体"/>
          <w:sz w:val="28"/>
        </w:rPr>
        <w:t>负责将安全设施设计、消防设计在施工阶段予以落实；质量安全环保部负责组织对实施情况进行监督检查，对发现的问题及时整改。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第十八条</w:t>
      </w:r>
      <w:r>
        <w:rPr>
          <w:rFonts w:hint="eastAsia" w:ascii="方正仿宋简体" w:hAnsi="方正仿宋简体" w:eastAsia="方正仿宋简体" w:cs="方正仿宋简体"/>
          <w:sz w:val="28"/>
        </w:rPr>
        <w:t xml:space="preserve">  本办法第八条规定的建设项目竣工后，根据规定建设项目需要试运行（包括生产、使用</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下同）的，应当在正式投入生产或者使用前进行试运行。试运行时间应当不少于30日，最长不得超过180日，国家有关部门有规定的除外。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试运行完成后，</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应当委托具有相应资质的安全评价机构对安全设施进行验收评价，并编制建设项目安全验收评价报告。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建设项目竣工投入生产或者使用前，</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应当按照规定向当地安全生产监督管理部门申请安全设施竣工验收，并提交文件资料。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第十九条</w:t>
      </w:r>
      <w:r>
        <w:rPr>
          <w:rFonts w:hint="eastAsia" w:ascii="方正仿宋简体" w:hAnsi="方正仿宋简体" w:eastAsia="方正仿宋简体" w:cs="方正仿宋简体"/>
          <w:sz w:val="28"/>
        </w:rPr>
        <w:t xml:space="preserve">  建设项目的安全设施有下列情形之一的，竣工验收不合格，并不得投入生产或者使用：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（一）未选择具有相应资质的施工单位施工的；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（二）未按照建设项目安全设施设计文件施工或者施工质量未达到建设项目安全设施设计文件要求的；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（三）建设项目安全设施的施工不符合国家有关施工技术标准的；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（四）未选择具有相应资质的安全评价机构进行安全验收评价或者安全验收评价不合格的；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（五）安全设施和安全生产条件不符合有关安全生产法律、法规、规章和国家标准或者行业标准、技术规范规定的；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（六）发现建设项目试运行期间存在事故隐患未整改的；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（七）未依法设置安全生产管理机构或者配备安全生产管理人员的；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（八）从业人员未经过安全教育培训或者不具备相应资格的；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（九）不符合法律、行政法规规定的其他条件的。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建设项目安全设施竣工验收未通过的，</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经过整改后可以向原验收部门再次申请验收。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小标宋简体" w:hAnsi="宋体" w:eastAsia="方正小标宋简体"/>
          <w:sz w:val="36"/>
          <w:szCs w:val="36"/>
          <w:lang w:eastAsia="zh-CN"/>
        </w:rPr>
      </w:pPr>
      <w:r>
        <w:rPr>
          <w:rFonts w:hint="eastAsia" w:ascii="方正仿宋简体" w:hAnsi="方正仿宋简体" w:eastAsia="方正仿宋简体" w:cs="方正仿宋简体"/>
          <w:b/>
          <w:bCs/>
          <w:sz w:val="28"/>
        </w:rPr>
        <w:t>第二十条</w:t>
      </w:r>
      <w:r>
        <w:rPr>
          <w:rFonts w:hint="eastAsia" w:ascii="方正仿宋简体" w:hAnsi="方正仿宋简体" w:eastAsia="方正仿宋简体" w:cs="方正仿宋简体"/>
          <w:sz w:val="28"/>
        </w:rPr>
        <w:t xml:space="preserve">  本办法第八条规定以外的</w:t>
      </w:r>
    </w:p>
    <w:p>
      <w:pPr>
        <w:keepNext w:val="0"/>
        <w:keepLines w:val="0"/>
        <w:pageBreakBefore w:val="0"/>
        <w:widowControl w:val="0"/>
        <w:kinsoku/>
        <w:wordWrap/>
        <w:overflowPunct/>
        <w:topLinePunct w:val="0"/>
        <w:autoSpaceDE/>
        <w:autoSpaceDN/>
        <w:bidi w:val="0"/>
        <w:adjustRightInd/>
        <w:snapToGrid/>
        <w:spacing w:line="560" w:lineRule="exact"/>
        <w:ind w:firstLine="720" w:firstLineChars="200"/>
        <w:jc w:val="both"/>
        <w:textAlignment w:val="auto"/>
        <w:outlineLvl w:val="9"/>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center"/>
        <w:rPr>
          <w:rFonts w:hint="eastAsia" w:ascii="方正小标宋简体" w:hAnsi="宋体" w:eastAsia="方正小标宋简体"/>
          <w:sz w:val="36"/>
          <w:szCs w:val="36"/>
          <w:lang w:eastAsia="zh-CN"/>
        </w:rPr>
      </w:pPr>
    </w:p>
    <w:p>
      <w:pPr>
        <w:spacing w:line="560" w:lineRule="exact"/>
        <w:jc w:val="both"/>
        <w:rPr>
          <w:rFonts w:hint="eastAsia" w:ascii="方正小标宋简体" w:hAnsi="宋体" w:eastAsia="方正小标宋简体"/>
          <w:sz w:val="36"/>
          <w:szCs w:val="36"/>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963" w:name="_Toc19052"/>
      <w:bookmarkStart w:id="964" w:name="_Toc3226"/>
      <w:bookmarkStart w:id="965" w:name="_Toc25525"/>
      <w:bookmarkStart w:id="966" w:name="_Toc6385"/>
      <w:bookmarkStart w:id="967" w:name="_Toc22538"/>
      <w:bookmarkStart w:id="968" w:name="_Toc12920"/>
      <w:bookmarkStart w:id="969" w:name="_Toc19317"/>
      <w:bookmarkStart w:id="970" w:name="_Toc28071"/>
      <w:bookmarkStart w:id="971" w:name="_Toc22450"/>
      <w:bookmarkStart w:id="972" w:name="_Toc23082"/>
      <w:bookmarkStart w:id="973" w:name="_Toc1691"/>
      <w:bookmarkStart w:id="974" w:name="_Toc5190"/>
      <w:bookmarkStart w:id="975" w:name="_Toc8356"/>
      <w:r>
        <w:rPr>
          <w:rFonts w:hint="eastAsia" w:ascii="方正小标宋简体" w:eastAsia="方正小标宋简体"/>
          <w:b w:val="0"/>
          <w:bCs w:val="0"/>
          <w:kern w:val="44"/>
          <w:sz w:val="36"/>
          <w:szCs w:val="36"/>
          <w:lang w:val="en-US" w:eastAsia="zh-CN" w:bidi="ar-SA"/>
        </w:rPr>
        <w:t>中油南充燃气有限责任公司</w:t>
      </w:r>
      <w:bookmarkEnd w:id="963"/>
      <w:bookmarkEnd w:id="964"/>
      <w:bookmarkEnd w:id="965"/>
      <w:bookmarkEnd w:id="966"/>
      <w:bookmarkEnd w:id="967"/>
      <w:r>
        <w:rPr>
          <w:rFonts w:hint="eastAsia" w:ascii="方正小标宋简体" w:eastAsia="方正小标宋简体"/>
          <w:b w:val="0"/>
          <w:bCs w:val="0"/>
          <w:kern w:val="44"/>
          <w:sz w:val="36"/>
          <w:szCs w:val="36"/>
          <w:lang w:val="en-US" w:eastAsia="zh-CN" w:bidi="ar-SA"/>
        </w:rPr>
        <w:t>职业卫生管理制度</w:t>
      </w:r>
      <w:bookmarkEnd w:id="968"/>
      <w:bookmarkEnd w:id="969"/>
      <w:bookmarkEnd w:id="970"/>
      <w:bookmarkEnd w:id="971"/>
      <w:bookmarkEnd w:id="972"/>
      <w:bookmarkEnd w:id="973"/>
      <w:bookmarkEnd w:id="974"/>
      <w:bookmarkEnd w:id="975"/>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rPr>
      </w:pPr>
      <w:r>
        <w:rPr>
          <w:rFonts w:hint="eastAsia" w:ascii="方正黑体简体" w:hAnsi="华文中宋" w:eastAsia="方正黑体简体"/>
          <w:b w:val="0"/>
          <w:bCs w:val="0"/>
          <w:sz w:val="30"/>
          <w:szCs w:val="30"/>
          <w:lang w:eastAsia="zh-CN"/>
        </w:rPr>
        <w:t>第一章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总</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第一条</w:t>
      </w:r>
      <w:r>
        <w:rPr>
          <w:rFonts w:hint="eastAsia" w:ascii="方正仿宋简体" w:hAnsi="方正仿宋简体" w:eastAsia="方正仿宋简体" w:cs="方正仿宋简体"/>
          <w:sz w:val="28"/>
        </w:rPr>
        <w:t xml:space="preserve">  为加强</w:t>
      </w:r>
      <w:r>
        <w:rPr>
          <w:rFonts w:hint="eastAsia" w:ascii="方正仿宋简体" w:hAnsi="方正仿宋简体" w:eastAsia="方正仿宋简体" w:cs="方正仿宋简体"/>
          <w:sz w:val="28"/>
          <w:lang w:eastAsia="zh-CN"/>
        </w:rPr>
        <w:t>中油南充</w:t>
      </w:r>
      <w:r>
        <w:rPr>
          <w:rFonts w:hint="eastAsia" w:ascii="方正仿宋简体" w:hAnsi="方正仿宋简体" w:eastAsia="方正仿宋简体" w:cs="方正仿宋简体"/>
          <w:sz w:val="28"/>
        </w:rPr>
        <w:t>燃气有限责任（以下简称公司）公司健康管理工作，预防、控制和消除职业危害，保护员工健康，依据《中华人民共和国职业病防治法》以及国家、集团公司、分公司有关规定，特制定本办法。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第二条</w:t>
      </w:r>
      <w:r>
        <w:rPr>
          <w:rFonts w:hint="eastAsia" w:ascii="方正仿宋简体" w:hAnsi="方正仿宋简体" w:eastAsia="方正仿宋简体" w:cs="方正仿宋简体"/>
          <w:sz w:val="28"/>
        </w:rPr>
        <w:t xml:space="preserve">  本办法中的健康管理包括建设项目职业卫生、工业场所职业卫生、员工健康监护、职业病防治、职业卫生教育培训等工作。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第三条</w:t>
      </w:r>
      <w:r>
        <w:rPr>
          <w:rFonts w:hint="eastAsia" w:ascii="方正仿宋简体" w:hAnsi="方正仿宋简体" w:eastAsia="方正仿宋简体" w:cs="方正仿宋简体"/>
          <w:sz w:val="28"/>
        </w:rPr>
        <w:t xml:space="preserve">  公司健康管理工作始终坚持“预防为主、防治结合”的方针，并实行分级管理，创造有利于员工健康的良好工作条件和环境。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第四条</w:t>
      </w:r>
      <w:r>
        <w:rPr>
          <w:rFonts w:hint="eastAsia" w:ascii="方正仿宋简体" w:hAnsi="方正仿宋简体" w:eastAsia="方正仿宋简体" w:cs="方正仿宋简体"/>
          <w:sz w:val="28"/>
        </w:rPr>
        <w:t xml:space="preserve">  本办法适用于公司</w:t>
      </w:r>
      <w:r>
        <w:rPr>
          <w:rFonts w:hint="eastAsia" w:ascii="方正仿宋简体" w:hAnsi="方正仿宋简体" w:eastAsia="方正仿宋简体" w:cs="方正仿宋简体"/>
          <w:sz w:val="28"/>
          <w:lang w:eastAsia="zh-CN"/>
        </w:rPr>
        <w:t>范围内</w:t>
      </w:r>
      <w:r>
        <w:rPr>
          <w:rFonts w:hint="eastAsia" w:ascii="方正仿宋简体" w:hAnsi="方正仿宋简体" w:eastAsia="方正仿宋简体" w:cs="方正仿宋简体"/>
          <w:sz w:val="28"/>
        </w:rPr>
        <w:t>实施。</w:t>
      </w:r>
    </w:p>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第二章  管理职责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第五条</w:t>
      </w:r>
      <w:r>
        <w:rPr>
          <w:rFonts w:hint="eastAsia" w:ascii="方正仿宋简体" w:hAnsi="方正仿宋简体" w:eastAsia="方正仿宋简体" w:cs="方正仿宋简体"/>
          <w:sz w:val="28"/>
        </w:rPr>
        <w:t xml:space="preserve">  公司</w:t>
      </w:r>
      <w:r>
        <w:rPr>
          <w:rFonts w:hint="eastAsia" w:ascii="方正仿宋简体" w:hAnsi="方正仿宋简体" w:eastAsia="方正仿宋简体" w:cs="方正仿宋简体"/>
          <w:sz w:val="28"/>
          <w:lang w:eastAsia="zh-CN"/>
        </w:rPr>
        <w:t>QHSE</w:t>
      </w:r>
      <w:r>
        <w:rPr>
          <w:rFonts w:hint="eastAsia" w:ascii="方正仿宋简体" w:hAnsi="方正仿宋简体" w:eastAsia="方正仿宋简体" w:cs="方正仿宋简体"/>
          <w:sz w:val="28"/>
        </w:rPr>
        <w:t>管理委员会对健康管理工作实施领导决策。质量安全环保部是健康管理工作的归口部门，负责指导、监督所属各单位的健康管理工作。</w:t>
      </w:r>
      <w:r>
        <w:rPr>
          <w:rFonts w:hint="eastAsia" w:ascii="方正仿宋简体" w:hAnsi="方正仿宋简体" w:eastAsia="方正仿宋简体" w:cs="方正仿宋简体"/>
          <w:sz w:val="28"/>
          <w:lang w:eastAsia="zh-CN"/>
        </w:rPr>
        <w:t>各部室单位</w:t>
      </w:r>
      <w:r>
        <w:rPr>
          <w:rFonts w:hint="eastAsia" w:ascii="方正仿宋简体" w:hAnsi="方正仿宋简体" w:eastAsia="方正仿宋简体" w:cs="方正仿宋简体"/>
          <w:sz w:val="28"/>
        </w:rPr>
        <w:t>负责本单位健康管理工作的具体管理和实施。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第三章  建设项目职业卫生管理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第六条</w:t>
      </w:r>
      <w:r>
        <w:rPr>
          <w:rFonts w:hint="eastAsia" w:ascii="方正仿宋简体" w:hAnsi="方正仿宋简体" w:eastAsia="方正仿宋简体" w:cs="方正仿宋简体"/>
          <w:sz w:val="28"/>
        </w:rPr>
        <w:t xml:space="preserve">  建设项目职业卫生防护设施必须与主体工程同时设计、同时施工、同时投入生产和使用。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第七条</w:t>
      </w:r>
      <w:r>
        <w:rPr>
          <w:rFonts w:hint="eastAsia" w:ascii="方正仿宋简体" w:hAnsi="方正仿宋简体" w:eastAsia="方正仿宋简体" w:cs="方正仿宋简体"/>
          <w:sz w:val="28"/>
        </w:rPr>
        <w:t xml:space="preserve">  对可能产生职业病危害的建设项目，应按照国家安全生产监督管理总局的相关规定，开展职业卫生“三同时”的备案、审核、审查和竣工验收。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职业病危害一般的建设项目，其职业病危害预评价报告应当向安全生产监督管理部门备案，职业病防护设施由建设单位自行组织竣工验收，并将验收情况报安全生产监督部门备案。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职业病危害较重的建设项目，其职业病危害预评价报告应当报安全生产监督管理部门审核，职业病防护设施竣工后，由安全生产监督部门组织验收。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职业病危害严重的建设项目，其职业病危害预评价报告应当报安全生产监督管理部门审核，职业病防护设施设计应当报安全生产监督管理部门审查，职业病防护设施竣工后，由安全生产监督部门组织验收。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第八条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对需要开展职业卫生评价的工程项目，建设单位必须提前向质量安全环保部提交《建设项目职业卫生“三同时”申报表》，经审查同意后，选择具备相应资质和条件的职业卫生技术服务机构开展相关评价工作。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val="0"/>
          <w:bCs w:val="0"/>
          <w:sz w:val="28"/>
        </w:rPr>
        <w:t>第九条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建设项目的选址、生产规模、工艺或者职业病危害因素种类、职业病防护设施等发生重大变更的，应对变更内容重新进行职业病危害预评价，办理相应的备案或者审核手续。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rPr>
      </w:pPr>
      <w:r>
        <w:rPr>
          <w:rFonts w:hint="eastAsia" w:ascii="方正黑体简体" w:hAnsi="华文中宋" w:eastAsia="方正黑体简体"/>
          <w:b w:val="0"/>
          <w:bCs w:val="0"/>
          <w:sz w:val="30"/>
          <w:szCs w:val="30"/>
          <w:lang w:eastAsia="zh-CN"/>
        </w:rPr>
        <w:t>第四章  工作场所职业卫生管理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第十条</w:t>
      </w:r>
      <w:r>
        <w:rPr>
          <w:rFonts w:hint="eastAsia" w:ascii="方正仿宋简体" w:hAnsi="方正仿宋简体" w:eastAsia="方正仿宋简体" w:cs="方正仿宋简体"/>
          <w:sz w:val="28"/>
        </w:rPr>
        <w:t xml:space="preserve">  各单位对存在有职业危害的生产装置、设施和设备，必须配备符合国家工业卫生标准的防护设备或采取对应的防护措施；对易散发有毒有害物质的工艺设备，要杜绝跑、冒、滴、漏、窜；对噪声源要采取隔音消噪措施；对粉尘作业场所应采取有效的综合治理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对尘、毒、射线、噪声等职业卫生防护设备要进行经常性维护和检修，并定期检测防护效果，确保其正常使用，不得擅自拆除或停止使用。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第十一条</w:t>
      </w:r>
      <w:r>
        <w:rPr>
          <w:rFonts w:hint="eastAsia" w:ascii="方正仿宋简体" w:hAnsi="方正仿宋简体" w:eastAsia="方正仿宋简体" w:cs="方正仿宋简体"/>
          <w:sz w:val="28"/>
        </w:rPr>
        <w:t xml:space="preserve">  各单位应当为从事接触职业危害作业的员工提供符合国家职业卫生标准的职业病防护用品，并督促、指导劳动者按照使用规则正确佩戴和使用。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第十二条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在可能发生急性职业损伤的有毒、有害工作场所，应当设置报警装置，配置现场急救用品、冲洗设备、应急撤离通道，并进行经常性的维护、检修和保养，定期检测其性能和效果。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第十三条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各单位发生急性职业病危害事故，应及时向</w:t>
      </w:r>
      <w:r>
        <w:rPr>
          <w:rFonts w:hint="eastAsia" w:ascii="方正仿宋简体" w:hAnsi="方正仿宋简体" w:eastAsia="方正仿宋简体" w:cs="方正仿宋简体"/>
          <w:sz w:val="28"/>
          <w:lang w:eastAsia="zh-CN"/>
        </w:rPr>
        <w:t>公司质量安全环保部汇报，由质量安全环保部向</w:t>
      </w:r>
      <w:r>
        <w:rPr>
          <w:rFonts w:hint="eastAsia" w:ascii="方正仿宋简体" w:hAnsi="方正仿宋简体" w:eastAsia="方正仿宋简体" w:cs="方正仿宋简体"/>
          <w:sz w:val="28"/>
        </w:rPr>
        <w:t>所在地安全生产监督管理部门和有关部门报告，并采取有效措施，及时组织救治、进行健康检查和医学观察，防止事故扩大。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第十四条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存在或者产生有职业病危害的工作场所、作业岗位、设备、设施，各单位应按照《工作场所职业病危害警示标识》（GBZ158）的规定，在醒目位置设置警示标识和警示说明。警示说明应当明确产生职业病危害的种类、后果、预防和应急处置措施等内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第十五条</w:t>
      </w:r>
      <w:r>
        <w:rPr>
          <w:rFonts w:hint="eastAsia" w:ascii="方正仿宋简体" w:hAnsi="方正仿宋简体" w:eastAsia="方正仿宋简体" w:cs="方正仿宋简体"/>
          <w:sz w:val="28"/>
        </w:rPr>
        <w:t xml:space="preserve">  对存在或产生高毒物品的作业岗位，各单位应当按照《高毒物品作业岗位职业病危害告知规范》（GBZ/T203）的规定，在醒目位置设置高毒物品告知卡，告知卡应当明确高毒物品的名称、理化特性、健康危害、防护措施及应急处理等告知内容与警示标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第十六条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存在职业病目录所列职业病危害因素位，应当按照国家《职业病危害项目申报办法》的规定，及时、如实填报《职业病危害危害项目申报表》，向设区的市级人民政府安全生产监督管理部门申报职业病危害项目。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进行新建、改建、扩建、技术改造或者技术引进建设项目的，自建设项目竣工验收之日起30日内进行申报；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因技术、工艺、设备或者材料等发生变化导致原申报的职业病危害因素及其相关内容发生重大变化的，自发生变化之日起15日内进行申报；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第十七条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lang w:eastAsia="zh-CN"/>
        </w:rPr>
        <w:t>各单位</w:t>
      </w:r>
      <w:r>
        <w:rPr>
          <w:rFonts w:hint="eastAsia" w:ascii="方正仿宋简体" w:hAnsi="方正仿宋简体" w:eastAsia="方正仿宋简体" w:cs="方正仿宋简体"/>
          <w:sz w:val="28"/>
        </w:rPr>
        <w:t>应当</w:t>
      </w:r>
      <w:r>
        <w:rPr>
          <w:rFonts w:hint="eastAsia" w:ascii="方正仿宋简体" w:hAnsi="方正仿宋简体" w:eastAsia="方正仿宋简体" w:cs="方正仿宋简体"/>
          <w:sz w:val="28"/>
          <w:lang w:eastAsia="zh-CN"/>
        </w:rPr>
        <w:t>配备专职或</w:t>
      </w:r>
      <w:r>
        <w:rPr>
          <w:rFonts w:hint="eastAsia" w:ascii="方正仿宋简体" w:hAnsi="方正仿宋简体" w:eastAsia="方正仿宋简体" w:cs="方正仿宋简体"/>
          <w:sz w:val="28"/>
        </w:rPr>
        <w:t>兼职的职业卫生管理人员</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主要负责人、分管领导及职业卫生管理人员应当具备与本单位所从事的生产经营活动相适应的职业卫生知识和管理能力，并接受职业卫生培训。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第十八条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各单位应当对员工进行上岗前及在岗期间的职业卫生培训，普及职业卫生知识，督促员工遵守职业病防治法律、法规、规章、国家职业卫生标准和操作规程。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第十九条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各单位与员工签订劳动合同时，应当将工作过程中可能产生的职业病危害及其后果、职业病防护措施和待遇等如实告知劳动者，并在劳动合同中写明，不得隐瞒或欺骗。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仿宋简体" w:hAnsi="方正仿宋简体" w:eastAsia="方正仿宋简体" w:cs="方正仿宋简体"/>
          <w:sz w:val="28"/>
        </w:rPr>
      </w:pPr>
      <w:r>
        <w:rPr>
          <w:rFonts w:hint="eastAsia" w:ascii="方正黑体简体" w:hAnsi="华文中宋" w:eastAsia="方正黑体简体"/>
          <w:b w:val="0"/>
          <w:bCs w:val="0"/>
          <w:sz w:val="30"/>
          <w:szCs w:val="30"/>
          <w:lang w:eastAsia="zh-CN"/>
        </w:rPr>
        <w:t>第五章  员工健康监护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员工健康监护主要通过对监护对象进行健康检查并对健康检查结果进行评定来完成。员工健康监护分非职业性健康监护和职业性健康监护。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第二十一条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各单位应每年为员工安排一次非职业健康体检，体检费用参照《中国石油天然气集团公司两级机关员工非职业健康体检费用标准》执行。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第二十二条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各单位负责组织对本单位从事接触职业危害的作业人员进行职业性健康检查：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上岗前职业健康检查。对拟从事接触职业危害作业的新录用人员（包括转岗员工），或者拟从事有特殊健康要求作业的劳动者，应在其从业前针对可能接触的职业危害因素进行健康检查，经检查有职业禁忌症的员工不得从事所禁忌的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在岗期间的职业健康检查。对从事接触职业危害作业人员按一定间隔时间（周期）及规定的项目进行健康检查。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应急职业健康检查。工作场所发生危害员工健康的紧急情况时，要立即组织同一工作场所的员工进行应急职业性健康检查，并采取相应处理措施。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离岗时职业健康检查。对准备脱离所从事的职业病危害作业或者岗位的员工，各单位应当在其离岗前30日内进行离岗时的职业健康检查。员工在离岗前90日内的在岗期间的职业健康检查可以视为离岗时的职业健康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第二十三条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职业性健康检查项目和周期按照《职业健康监护技术规范》（GBZ188-2007）执行，应急职业健康检查项目要以职业危害因素可能对员工健康造成的危害为依据进行确定。</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第二十四条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职业性健康检查及评定由取得相应资格的职业卫生机构承担。</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第二十五条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健康检查结束时，各单位应组织进行员工个体健康评定，并将评定结果进入员工职业健康监护档案；各单位应当每4年组织一次群体健康评定，评定结果上报公司质量安全环保部备案。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个体健康评定的内容包括明确的健康改变（接触职业危害因素的要评定两者的关系）、诊断结论及处理意见。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群体健康评定是在个体健康评定的基础上，通过疾病的罹患率、发病率、死亡率及疾病构成比例统计分析，提出综合评价和防治措施的书面报告。</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第二十六条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健康检查结果及处理意见，应及时反馈到员工本人。各单位在职业健康检查中发现可疑职业病例时，应及时上报公司，由公司统一组织可疑职业病患者在职业病诊断机构进行复诊。</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第二十七条</w:t>
      </w:r>
      <w:r>
        <w:rPr>
          <w:rFonts w:hint="eastAsia" w:ascii="方正仿宋简体" w:hAnsi="方正仿宋简体" w:eastAsia="方正仿宋简体" w:cs="方正仿宋简体"/>
          <w:sz w:val="28"/>
        </w:rPr>
        <w:t xml:space="preserve">  对诊断为职业病的患者以及职业禁忌症人员要采取治疗、疗养、调换工作等措施，并做好动态观察。</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第二十八条</w:t>
      </w:r>
      <w:r>
        <w:rPr>
          <w:rFonts w:hint="eastAsia" w:ascii="方正仿宋简体" w:hAnsi="方正仿宋简体" w:eastAsia="方正仿宋简体" w:cs="方正仿宋简体"/>
          <w:sz w:val="28"/>
        </w:rPr>
        <w:t xml:space="preserve">  在职业性健康检查中发现群体反应，疑似与职业危害相关时，应立即上报公司，同时组织进行作业环境卫生学调查、评价并提出改进和处理意见。</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第二十九条</w:t>
      </w:r>
      <w:r>
        <w:rPr>
          <w:rFonts w:hint="eastAsia" w:ascii="方正仿宋简体" w:hAnsi="方正仿宋简体" w:eastAsia="方正仿宋简体" w:cs="方正仿宋简体"/>
          <w:sz w:val="28"/>
        </w:rPr>
        <w:t xml:space="preserve">  从事接触职业危害作业的员工在接受职业性健康检查或住院期间，按正常出勤处理。</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第三十条</w:t>
      </w:r>
      <w:r>
        <w:rPr>
          <w:rFonts w:hint="eastAsia" w:ascii="方正仿宋简体" w:hAnsi="方正仿宋简体" w:eastAsia="方正仿宋简体" w:cs="方正仿宋简体"/>
          <w:sz w:val="28"/>
        </w:rPr>
        <w:t xml:space="preserve">  职业病诊断由取得相应资格的职业卫生机构确诊。</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第三十一条</w:t>
      </w:r>
      <w:r>
        <w:rPr>
          <w:rFonts w:hint="eastAsia" w:ascii="方正仿宋简体" w:hAnsi="方正仿宋简体" w:eastAsia="方正仿宋简体" w:cs="方正仿宋简体"/>
          <w:sz w:val="28"/>
        </w:rPr>
        <w:t xml:space="preserve">  被确诊患有职业病的员工，享受国家规定的待遇。疑似职业病人需要住院鉴别诊断的，其住院鉴别诊断期间享受职业病待遇。</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第三十二条</w:t>
      </w:r>
      <w:r>
        <w:rPr>
          <w:rFonts w:hint="eastAsia" w:ascii="方正仿宋简体" w:hAnsi="方正仿宋简体" w:eastAsia="方正仿宋简体" w:cs="方正仿宋简体"/>
          <w:sz w:val="28"/>
        </w:rPr>
        <w:t xml:space="preserve">  女员工在孕期、哺乳期间，不得从事接触职业危害的作业。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atLeast"/>
        <w:ind w:left="0" w:leftChars="0"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 xml:space="preserve"> 防护经费及档案管理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jc w:val="both"/>
        <w:textAlignment w:val="auto"/>
        <w:outlineLvl w:val="1"/>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第三十三条</w:t>
      </w:r>
      <w:r>
        <w:rPr>
          <w:rFonts w:hint="eastAsia" w:ascii="方正仿宋简体" w:hAnsi="方正仿宋简体" w:eastAsia="方正仿宋简体" w:cs="方正仿宋简体"/>
          <w:sz w:val="28"/>
        </w:rPr>
        <w:t xml:space="preserve">  健康防护经费</w:t>
      </w:r>
      <w:r>
        <w:rPr>
          <w:rFonts w:hint="eastAsia" w:ascii="方正仿宋简体" w:hAnsi="方正仿宋简体" w:eastAsia="方正仿宋简体" w:cs="方正仿宋简体"/>
          <w:sz w:val="28"/>
          <w:lang w:eastAsia="zh-CN"/>
        </w:rPr>
        <w:t>应</w:t>
      </w:r>
      <w:r>
        <w:rPr>
          <w:rFonts w:hint="eastAsia" w:ascii="方正仿宋简体" w:hAnsi="方正仿宋简体" w:eastAsia="方正仿宋简体" w:cs="方正仿宋简体"/>
          <w:sz w:val="28"/>
        </w:rPr>
        <w:t>列入</w:t>
      </w:r>
      <w:r>
        <w:rPr>
          <w:rFonts w:hint="eastAsia" w:ascii="方正仿宋简体" w:hAnsi="方正仿宋简体" w:eastAsia="方正仿宋简体" w:cs="方正仿宋简体"/>
          <w:sz w:val="28"/>
          <w:lang w:eastAsia="zh-CN"/>
        </w:rPr>
        <w:t>公司</w:t>
      </w:r>
      <w:r>
        <w:rPr>
          <w:rFonts w:hint="eastAsia" w:ascii="方正仿宋简体" w:hAnsi="方正仿宋简体" w:eastAsia="方正仿宋简体" w:cs="方正仿宋简体"/>
          <w:sz w:val="28"/>
        </w:rPr>
        <w:t>年度预算，并做到专款专用。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第三十四条</w:t>
      </w:r>
      <w:r>
        <w:rPr>
          <w:rFonts w:hint="eastAsia" w:ascii="方正仿宋简体" w:hAnsi="方正仿宋简体" w:eastAsia="方正仿宋简体" w:cs="方正仿宋简体"/>
          <w:sz w:val="28"/>
        </w:rPr>
        <w:t xml:space="preserve">  健康防护经费用于以下方面：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职业危害治理、控制、消除；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开展作业场所职业危害因素检测；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员工健康监护、职业性健康监护及女职工劳动保护；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改善不符合卫生标准和要求的工作环境或工作条件；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职业卫生宣传和培训等；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有毒有害作业保健津贴的发放。发放标准按照西南油气田分公司有毒有害作业保健津贴管理规定执行（西南司质〔2005〕61号）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第三十五条</w:t>
      </w:r>
      <w:r>
        <w:rPr>
          <w:rFonts w:hint="eastAsia" w:ascii="方正仿宋简体" w:hAnsi="方正仿宋简体" w:eastAsia="方正仿宋简体" w:cs="方正仿宋简体"/>
          <w:sz w:val="28"/>
        </w:rPr>
        <w:t xml:space="preserve">  各单位应当建立《员工职业健康监护档案》，并妥善保存。职业健康监护档案应包括以下内容：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员工姓名、性别、年龄、籍贯、婚姻、文化程度、嗜好等情况；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员工职业史、既往病史和职业病危害接触史；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历次职业健康检查结果及处理情况；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职业病诊疗资料；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需要存入职业健康监护档案的其他有关资料。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第七章  监督检查与奖惩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第三十六条</w:t>
      </w:r>
      <w:r>
        <w:rPr>
          <w:rFonts w:hint="eastAsia" w:ascii="方正仿宋简体" w:hAnsi="方正仿宋简体" w:eastAsia="方正仿宋简体" w:cs="方正仿宋简体"/>
          <w:sz w:val="28"/>
        </w:rPr>
        <w:t xml:space="preserve">  公司根据年度健康管理工作考评情况，组织评选先进单位和先进个人，并对先进单位和先进个人予以表彰奖励。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第三十七条</w:t>
      </w:r>
      <w:r>
        <w:rPr>
          <w:rFonts w:hint="eastAsia" w:ascii="方正仿宋简体" w:hAnsi="方正仿宋简体" w:eastAsia="方正仿宋简体" w:cs="方正仿宋简体"/>
          <w:sz w:val="28"/>
        </w:rPr>
        <w:t xml:space="preserve">  对违反本办法造成职业危害加重以及员工健康损害的有关责任单位、人员，视情节进行处理。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第八章  附则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第三十八条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本办法由公司质量安全环保部负责解释。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第三十九条</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sz w:val="28"/>
        </w:rPr>
        <w:t>本办法自印发之日起施行。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附件</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sz w:val="28"/>
          <w:szCs w:val="28"/>
        </w:rPr>
      </w:pPr>
      <w:r>
        <w:rPr>
          <w:rFonts w:hint="eastAsia" w:ascii="方正仿宋简体" w:hAnsi="方正仿宋简体" w:eastAsia="方正仿宋简体" w:cs="方正仿宋简体"/>
          <w:sz w:val="28"/>
        </w:rPr>
        <w:t>建设项目职业卫生“三同时”申报表</w:t>
      </w:r>
    </w:p>
    <w:p>
      <w:pPr>
        <w:jc w:val="center"/>
        <w:rPr>
          <w:rFonts w:hint="eastAsia"/>
          <w:sz w:val="44"/>
          <w:szCs w:val="44"/>
        </w:rPr>
      </w:pPr>
      <w:r>
        <w:rPr>
          <w:rFonts w:hint="eastAsia"/>
          <w:sz w:val="44"/>
          <w:szCs w:val="44"/>
        </w:rPr>
        <mc:AlternateContent>
          <mc:Choice Requires="wps">
            <w:drawing>
              <wp:anchor distT="0" distB="0" distL="114300" distR="114300" simplePos="0" relativeHeight="251672576" behindDoc="1" locked="0" layoutInCell="1" allowOverlap="1">
                <wp:simplePos x="0" y="0"/>
                <wp:positionH relativeFrom="column">
                  <wp:posOffset>-3810</wp:posOffset>
                </wp:positionH>
                <wp:positionV relativeFrom="paragraph">
                  <wp:posOffset>135255</wp:posOffset>
                </wp:positionV>
                <wp:extent cx="5924550" cy="7999095"/>
                <wp:effectExtent l="4445" t="4445" r="14605" b="12700"/>
                <wp:wrapNone/>
                <wp:docPr id="15" name="矩形 161"/>
                <wp:cNvGraphicFramePr/>
                <a:graphic xmlns:a="http://schemas.openxmlformats.org/drawingml/2006/main">
                  <a:graphicData uri="http://schemas.microsoft.com/office/word/2010/wordprocessingShape">
                    <wps:wsp>
                      <wps:cNvSpPr/>
                      <wps:spPr>
                        <a:xfrm>
                          <a:off x="0" y="0"/>
                          <a:ext cx="5924550" cy="799909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161" o:spid="_x0000_s1026" o:spt="1" style="position:absolute;left:0pt;margin-left:-0.3pt;margin-top:10.65pt;height:629.85pt;width:466.5pt;z-index:-251643904;mso-width-relative:page;mso-height-relative:page;" fillcolor="#FFFFFF" filled="t" stroked="t" coordsize="21600,21600" o:gfxdata="UEsDBAoAAAAAAIdO4kAAAAAAAAAAAAAAAAAEAAAAZHJzL1BLAwQUAAAACACHTuJAIWo65dcAAAAJ&#10;AQAADwAAAGRycy9kb3ducmV2LnhtbE2PMU/DMBCFdyT+g3VIbK0dB1VtiNMBVCTGNl3YnORIAvE5&#10;ip028Os5JhhP79N73+X7xQ3iglPoPRlI1goEUu2bnloD5/Kw2oII0VJjB09o4AsD7Ivbm9xmjb/S&#10;ES+n2AouoZBZA12MYyZlqDt0Nqz9iMTZu5+cjXxOrWwme+VyN0it1EY62xMvdHbEpw7rz9PsDFS9&#10;PtvvY/mi3O6Qxtel/Jjfno25v0vUI4iIS/yD4Vef1aFgp8rP1AQxGFhtGDSgkxQEx7tUP4ComNPb&#10;RIEscvn/g+IHUEsDBBQAAAAIAIdO4kCJ0APS6wEAAOIDAAAOAAAAZHJzL2Uyb0RvYy54bWytU0uO&#10;EzEQ3SNxB8t70p2IHuhWOrMghA2CkWY4QMWfbkv+YTvp5DRI7DgEx0Fcg7ITMjPAAiF64a6yy6/q&#10;vSovrw9Gk70IUTnb0/mspkRY5riyQ08/3G2evaQkJrActLOip0cR6fXq6ZPl5DuxcKPTXASCIDZ2&#10;k+/pmJLvqiqyURiIM+eFxUPpgoGEbhgqHmBCdKOrRV1fVZML3AfHRIy4uz4d0lXBl1Kw9F7KKBLR&#10;PcXaUllDWbd5rVZL6IYAflTsXAb8QxUGlMWkF6g1JCC7oH6DMooFF51MM+ZM5aRUTBQOyGZe/8Lm&#10;dgQvChcUJ/qLTPH/wbJ3+5tAFMfeNZRYMNij75++fPv6mcyv5lmeyccOo279TTh7Ec3M9SCDyX9k&#10;QQ5F0uNFUnFIhOFm0y6eNw0qz/DsRdu2ddtk1Or+ug8xvRHOkGz0NGDPipSwfxvTKfRnSM4WnVZ8&#10;o7QuThi2r3Qge8D+bsp3Rn8Upi2Zeto2C+TIAMdMakhoGo/Eox1Kvkc34kPgunx/As6FrSGOpwIK&#10;Qg6DzqgkQrFGAfy15SQdPWpr8RXQXIwRnBIt8NFkq0QmUPpvIlE7bVHC3JlTL7K1dfyIrZxwlpHT&#10;xx0ETLTzQQ0jqlpaWW7gIBX5z0OfJ/WhX3Dvn+bq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Fq&#10;OuXXAAAACQEAAA8AAAAAAAAAAQAgAAAAIgAAAGRycy9kb3ducmV2LnhtbFBLAQIUABQAAAAIAIdO&#10;4kCJ0APS6wEAAOIDAAAOAAAAAAAAAAEAIAAAACYBAABkcnMvZTJvRG9jLnhtbFBLBQYAAAAABgAG&#10;AFkBAACDBQAAAAA=&#10;">
                <v:fill on="t" focussize="0,0"/>
                <v:stroke color="#000000" joinstyle="miter"/>
                <v:imagedata o:title=""/>
                <o:lock v:ext="edit" aspectratio="f"/>
              </v:rect>
            </w:pict>
          </mc:Fallback>
        </mc:AlternateContent>
      </w:r>
    </w:p>
    <w:p>
      <w:pPr>
        <w:jc w:val="center"/>
        <w:rPr>
          <w:rFonts w:hint="eastAsia"/>
          <w:sz w:val="40"/>
          <w:szCs w:val="44"/>
        </w:rPr>
      </w:pPr>
      <w:r>
        <w:rPr>
          <w:rFonts w:hint="eastAsia"/>
          <w:sz w:val="40"/>
          <w:szCs w:val="44"/>
        </w:rPr>
        <w:t>西南油气田分公司建设项目职业卫生“三同时”</w:t>
      </w:r>
    </w:p>
    <w:p>
      <w:pPr>
        <w:jc w:val="center"/>
        <w:rPr>
          <w:rFonts w:hint="eastAsia"/>
          <w:sz w:val="44"/>
          <w:szCs w:val="44"/>
        </w:rPr>
      </w:pPr>
    </w:p>
    <w:p>
      <w:pPr>
        <w:jc w:val="center"/>
        <w:rPr>
          <w:rFonts w:hint="eastAsia"/>
          <w:sz w:val="44"/>
          <w:szCs w:val="44"/>
        </w:rPr>
      </w:pPr>
      <w:r>
        <w:rPr>
          <w:rFonts w:hint="eastAsia"/>
          <w:sz w:val="44"/>
          <w:szCs w:val="44"/>
        </w:rPr>
        <w:t>申  报  表</w:t>
      </w:r>
    </w:p>
    <w:p>
      <w:pPr>
        <w:jc w:val="center"/>
        <w:rPr>
          <w:rFonts w:hint="eastAsia"/>
          <w:sz w:val="36"/>
          <w:szCs w:val="36"/>
        </w:rPr>
      </w:pPr>
    </w:p>
    <w:p>
      <w:pPr>
        <w:rPr>
          <w:rFonts w:hint="eastAsia"/>
        </w:rPr>
      </w:pPr>
    </w:p>
    <w:p>
      <w:pPr>
        <w:rPr>
          <w:rFonts w:hint="eastAsia"/>
        </w:rPr>
      </w:pPr>
    </w:p>
    <w:p>
      <w:pPr>
        <w:rPr>
          <w:rFonts w:hint="eastAsia"/>
        </w:rPr>
      </w:pPr>
    </w:p>
    <w:p>
      <w:pPr>
        <w:rPr>
          <w:rFonts w:hint="eastAsia"/>
        </w:rPr>
      </w:pPr>
    </w:p>
    <w:p>
      <w:pPr>
        <w:spacing w:line="960" w:lineRule="auto"/>
        <w:ind w:firstLine="640" w:firstLineChars="200"/>
        <w:rPr>
          <w:rFonts w:hint="eastAsia"/>
          <w:sz w:val="32"/>
          <w:szCs w:val="32"/>
          <w:u w:val="single"/>
        </w:rPr>
      </w:pPr>
      <w:r>
        <w:rPr>
          <w:rFonts w:hint="eastAsia"/>
          <w:sz w:val="32"/>
          <w:szCs w:val="32"/>
        </w:rPr>
        <w:t>建设项目名称：</w:t>
      </w:r>
      <w:r>
        <w:rPr>
          <w:rFonts w:hint="eastAsia"/>
          <w:sz w:val="32"/>
          <w:szCs w:val="32"/>
          <w:u w:val="single"/>
        </w:rPr>
        <w:t xml:space="preserve">                                </w:t>
      </w:r>
    </w:p>
    <w:p>
      <w:pPr>
        <w:spacing w:line="960" w:lineRule="auto"/>
        <w:ind w:firstLine="640" w:firstLineChars="200"/>
        <w:rPr>
          <w:rFonts w:hint="eastAsia"/>
          <w:sz w:val="32"/>
          <w:szCs w:val="32"/>
          <w:u w:val="single"/>
        </w:rPr>
      </w:pPr>
      <w:r>
        <w:rPr>
          <w:rFonts w:hint="eastAsia"/>
          <w:sz w:val="32"/>
          <w:szCs w:val="32"/>
        </w:rPr>
        <w:t xml:space="preserve">主管部门：    </w:t>
      </w:r>
      <w:r>
        <w:rPr>
          <w:rFonts w:hint="eastAsia"/>
          <w:sz w:val="32"/>
          <w:szCs w:val="32"/>
          <w:u w:val="single"/>
        </w:rPr>
        <w:t xml:space="preserve">                                </w:t>
      </w:r>
    </w:p>
    <w:p>
      <w:pPr>
        <w:spacing w:line="960" w:lineRule="auto"/>
        <w:ind w:firstLine="640" w:firstLineChars="200"/>
        <w:rPr>
          <w:rFonts w:hint="eastAsia"/>
          <w:sz w:val="32"/>
          <w:szCs w:val="32"/>
          <w:u w:val="single"/>
        </w:rPr>
      </w:pPr>
      <w:r>
        <w:rPr>
          <w:rFonts w:hint="eastAsia"/>
          <w:sz w:val="32"/>
          <w:szCs w:val="32"/>
        </w:rPr>
        <w:t>建设单位（盖章）：</w:t>
      </w:r>
      <w:r>
        <w:rPr>
          <w:rFonts w:hint="eastAsia"/>
          <w:sz w:val="32"/>
          <w:szCs w:val="32"/>
          <w:u w:val="single"/>
        </w:rPr>
        <w:t xml:space="preserve">                             </w:t>
      </w:r>
    </w:p>
    <w:p>
      <w:pPr>
        <w:rPr>
          <w:rFonts w:hint="eastAsia"/>
        </w:rPr>
      </w:pPr>
    </w:p>
    <w:p>
      <w:pPr>
        <w:rPr>
          <w:rFonts w:hint="eastAsia"/>
        </w:rPr>
      </w:pPr>
    </w:p>
    <w:p/>
    <w:p/>
    <w:p/>
    <w:p/>
    <w:p/>
    <w:p>
      <w:pPr>
        <w:rPr>
          <w:rFonts w:hint="eastAsia"/>
        </w:rPr>
      </w:pPr>
    </w:p>
    <w:p>
      <w:pPr>
        <w:rPr>
          <w:rFonts w:hint="eastAsia"/>
        </w:rPr>
      </w:pPr>
    </w:p>
    <w:p/>
    <w:p/>
    <w:p>
      <w:pPr>
        <w:ind w:firstLine="600" w:firstLineChars="200"/>
        <w:jc w:val="center"/>
        <w:rPr>
          <w:rFonts w:hint="eastAsia"/>
          <w:sz w:val="30"/>
          <w:szCs w:val="30"/>
        </w:rPr>
      </w:pPr>
      <w:r>
        <w:rPr>
          <w:rFonts w:hint="eastAsia"/>
          <w:sz w:val="30"/>
          <w:szCs w:val="30"/>
        </w:rPr>
        <w:t>西南油气田分公司</w:t>
      </w:r>
    </w:p>
    <w:p>
      <w:pPr>
        <w:ind w:firstLine="600" w:firstLineChars="200"/>
        <w:jc w:val="center"/>
        <w:rPr>
          <w:rFonts w:hint="eastAsia"/>
          <w:sz w:val="30"/>
          <w:szCs w:val="30"/>
        </w:rPr>
      </w:pPr>
      <w:r>
        <w:rPr>
          <w:rFonts w:hint="eastAsia"/>
          <w:sz w:val="30"/>
          <w:szCs w:val="30"/>
        </w:rPr>
        <w:t xml:space="preserve"> 年   月   日</w:t>
      </w:r>
    </w:p>
    <w:p>
      <w:pPr>
        <w:jc w:val="both"/>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tbl>
      <w:tblPr>
        <w:tblStyle w:val="51"/>
        <w:tblpPr w:leftFromText="180" w:rightFromText="180" w:vertAnchor="text" w:horzAnchor="page" w:tblpX="1672" w:tblpY="78"/>
        <w:tblOverlap w:val="never"/>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459"/>
        <w:gridCol w:w="2060"/>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2415" w:type="dxa"/>
            <w:vAlign w:val="top"/>
          </w:tcPr>
          <w:p>
            <w:pPr>
              <w:spacing w:line="360" w:lineRule="auto"/>
              <w:jc w:val="left"/>
              <w:rPr>
                <w:rFonts w:hint="eastAsia"/>
                <w:sz w:val="28"/>
                <w:szCs w:val="28"/>
              </w:rPr>
            </w:pPr>
            <w:r>
              <w:rPr>
                <w:rFonts w:hint="eastAsia"/>
                <w:sz w:val="28"/>
                <w:szCs w:val="28"/>
              </w:rPr>
              <w:t>建设性质</w:t>
            </w:r>
          </w:p>
        </w:tc>
        <w:tc>
          <w:tcPr>
            <w:tcW w:w="1459" w:type="dxa"/>
            <w:vAlign w:val="top"/>
          </w:tcPr>
          <w:p>
            <w:pPr>
              <w:spacing w:line="360" w:lineRule="auto"/>
              <w:jc w:val="left"/>
              <w:rPr>
                <w:rFonts w:hint="eastAsia"/>
                <w:sz w:val="28"/>
                <w:szCs w:val="28"/>
              </w:rPr>
            </w:pPr>
          </w:p>
        </w:tc>
        <w:tc>
          <w:tcPr>
            <w:tcW w:w="2060" w:type="dxa"/>
            <w:vAlign w:val="top"/>
          </w:tcPr>
          <w:p>
            <w:pPr>
              <w:spacing w:line="360" w:lineRule="auto"/>
              <w:jc w:val="left"/>
              <w:rPr>
                <w:rFonts w:hint="eastAsia"/>
                <w:sz w:val="28"/>
                <w:szCs w:val="28"/>
              </w:rPr>
            </w:pPr>
            <w:r>
              <w:rPr>
                <w:rFonts w:hint="eastAsia"/>
                <w:sz w:val="28"/>
                <w:szCs w:val="28"/>
              </w:rPr>
              <w:t>总投资（万元）</w:t>
            </w:r>
          </w:p>
        </w:tc>
        <w:tc>
          <w:tcPr>
            <w:tcW w:w="3026" w:type="dxa"/>
            <w:vAlign w:val="top"/>
          </w:tcPr>
          <w:p>
            <w:pPr>
              <w:spacing w:line="360" w:lineRule="auto"/>
              <w:jc w:val="left"/>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415" w:type="dxa"/>
            <w:vAlign w:val="top"/>
          </w:tcPr>
          <w:p>
            <w:pPr>
              <w:spacing w:line="360" w:lineRule="auto"/>
              <w:jc w:val="left"/>
              <w:rPr>
                <w:rFonts w:hint="eastAsia"/>
                <w:sz w:val="28"/>
                <w:szCs w:val="28"/>
              </w:rPr>
            </w:pPr>
            <w:r>
              <w:rPr>
                <w:rFonts w:hint="eastAsia"/>
                <w:sz w:val="28"/>
                <w:szCs w:val="28"/>
              </w:rPr>
              <w:t>建设地址</w:t>
            </w:r>
          </w:p>
        </w:tc>
        <w:tc>
          <w:tcPr>
            <w:tcW w:w="1459" w:type="dxa"/>
            <w:vAlign w:val="top"/>
          </w:tcPr>
          <w:p>
            <w:pPr>
              <w:spacing w:line="360" w:lineRule="auto"/>
              <w:jc w:val="left"/>
              <w:rPr>
                <w:rFonts w:hint="eastAsia"/>
                <w:sz w:val="28"/>
                <w:szCs w:val="28"/>
              </w:rPr>
            </w:pPr>
          </w:p>
        </w:tc>
        <w:tc>
          <w:tcPr>
            <w:tcW w:w="2060" w:type="dxa"/>
            <w:vAlign w:val="top"/>
          </w:tcPr>
          <w:p>
            <w:pPr>
              <w:spacing w:line="360" w:lineRule="auto"/>
              <w:jc w:val="left"/>
              <w:rPr>
                <w:rFonts w:hint="eastAsia"/>
                <w:sz w:val="28"/>
                <w:szCs w:val="28"/>
              </w:rPr>
            </w:pPr>
            <w:r>
              <w:rPr>
                <w:rFonts w:hint="eastAsia"/>
                <w:sz w:val="28"/>
                <w:szCs w:val="28"/>
              </w:rPr>
              <w:t>邮政编码</w:t>
            </w:r>
          </w:p>
        </w:tc>
        <w:tc>
          <w:tcPr>
            <w:tcW w:w="3026" w:type="dxa"/>
            <w:vAlign w:val="top"/>
          </w:tcPr>
          <w:p>
            <w:pPr>
              <w:spacing w:line="360" w:lineRule="auto"/>
              <w:jc w:val="left"/>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2415" w:type="dxa"/>
            <w:vAlign w:val="center"/>
          </w:tcPr>
          <w:p>
            <w:pPr>
              <w:spacing w:line="360" w:lineRule="auto"/>
              <w:jc w:val="left"/>
              <w:rPr>
                <w:rFonts w:hint="eastAsia"/>
                <w:sz w:val="28"/>
                <w:szCs w:val="28"/>
              </w:rPr>
            </w:pPr>
            <w:r>
              <w:rPr>
                <w:rFonts w:hint="eastAsia"/>
                <w:sz w:val="28"/>
                <w:szCs w:val="28"/>
              </w:rPr>
              <w:t>建设单位名称</w:t>
            </w:r>
          </w:p>
        </w:tc>
        <w:tc>
          <w:tcPr>
            <w:tcW w:w="1459" w:type="dxa"/>
            <w:vAlign w:val="top"/>
          </w:tcPr>
          <w:p>
            <w:pPr>
              <w:spacing w:line="360" w:lineRule="auto"/>
              <w:jc w:val="left"/>
              <w:rPr>
                <w:rFonts w:hint="eastAsia"/>
                <w:sz w:val="28"/>
                <w:szCs w:val="28"/>
              </w:rPr>
            </w:pPr>
          </w:p>
        </w:tc>
        <w:tc>
          <w:tcPr>
            <w:tcW w:w="2060" w:type="dxa"/>
            <w:vAlign w:val="center"/>
          </w:tcPr>
          <w:p>
            <w:pPr>
              <w:spacing w:line="360" w:lineRule="auto"/>
              <w:jc w:val="left"/>
              <w:rPr>
                <w:rFonts w:hint="eastAsia"/>
                <w:sz w:val="28"/>
                <w:szCs w:val="28"/>
              </w:rPr>
            </w:pPr>
            <w:r>
              <w:rPr>
                <w:rFonts w:hint="eastAsia"/>
                <w:sz w:val="28"/>
                <w:szCs w:val="28"/>
              </w:rPr>
              <w:t>立项审批部门</w:t>
            </w:r>
          </w:p>
        </w:tc>
        <w:tc>
          <w:tcPr>
            <w:tcW w:w="3026" w:type="dxa"/>
            <w:vAlign w:val="center"/>
          </w:tcPr>
          <w:p>
            <w:pPr>
              <w:spacing w:line="360" w:lineRule="auto"/>
              <w:jc w:val="left"/>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2415" w:type="dxa"/>
            <w:vAlign w:val="top"/>
          </w:tcPr>
          <w:p>
            <w:pPr>
              <w:spacing w:line="360" w:lineRule="auto"/>
              <w:jc w:val="left"/>
              <w:rPr>
                <w:rFonts w:hint="eastAsia"/>
                <w:sz w:val="28"/>
                <w:szCs w:val="28"/>
              </w:rPr>
            </w:pPr>
            <w:r>
              <w:rPr>
                <w:rFonts w:hint="eastAsia"/>
                <w:sz w:val="28"/>
                <w:szCs w:val="28"/>
              </w:rPr>
              <w:t>建设单位经办人</w:t>
            </w:r>
          </w:p>
        </w:tc>
        <w:tc>
          <w:tcPr>
            <w:tcW w:w="1459" w:type="dxa"/>
            <w:vAlign w:val="top"/>
          </w:tcPr>
          <w:p>
            <w:pPr>
              <w:spacing w:line="360" w:lineRule="auto"/>
              <w:jc w:val="left"/>
              <w:rPr>
                <w:rFonts w:hint="eastAsia"/>
                <w:sz w:val="28"/>
                <w:szCs w:val="28"/>
              </w:rPr>
            </w:pPr>
          </w:p>
        </w:tc>
        <w:tc>
          <w:tcPr>
            <w:tcW w:w="2060" w:type="dxa"/>
            <w:vAlign w:val="top"/>
          </w:tcPr>
          <w:p>
            <w:pPr>
              <w:spacing w:line="360" w:lineRule="auto"/>
              <w:jc w:val="left"/>
              <w:rPr>
                <w:rFonts w:hint="eastAsia"/>
                <w:sz w:val="28"/>
                <w:szCs w:val="28"/>
              </w:rPr>
            </w:pPr>
            <w:r>
              <w:rPr>
                <w:rFonts w:hint="eastAsia"/>
                <w:sz w:val="28"/>
                <w:szCs w:val="28"/>
              </w:rPr>
              <w:t>联系电话</w:t>
            </w:r>
          </w:p>
        </w:tc>
        <w:tc>
          <w:tcPr>
            <w:tcW w:w="3026" w:type="dxa"/>
            <w:vAlign w:val="top"/>
          </w:tcPr>
          <w:p>
            <w:pPr>
              <w:spacing w:line="360" w:lineRule="auto"/>
              <w:jc w:val="left"/>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2" w:hRule="atLeast"/>
        </w:trPr>
        <w:tc>
          <w:tcPr>
            <w:tcW w:w="8960" w:type="dxa"/>
            <w:gridSpan w:val="4"/>
            <w:vAlign w:val="top"/>
          </w:tcPr>
          <w:p>
            <w:pPr>
              <w:spacing w:line="360" w:lineRule="auto"/>
              <w:rPr>
                <w:rFonts w:hint="eastAsia"/>
                <w:sz w:val="28"/>
                <w:szCs w:val="28"/>
              </w:rPr>
            </w:pPr>
            <w:r>
              <w:rPr>
                <w:rFonts w:hint="eastAsia"/>
                <w:sz w:val="28"/>
                <w:szCs w:val="28"/>
              </w:rPr>
              <w:t>一、建设内容，生产工艺流程、项目位置和平面布置（附简图），主要产品与原材料：</w:t>
            </w:r>
          </w:p>
          <w:p>
            <w:pPr>
              <w:spacing w:line="360" w:lineRule="auto"/>
              <w:rPr>
                <w:rFonts w:hint="eastAsia"/>
                <w:sz w:val="28"/>
                <w:szCs w:val="28"/>
              </w:rPr>
            </w:pPr>
          </w:p>
          <w:p>
            <w:pPr>
              <w:spacing w:line="360" w:lineRule="auto"/>
              <w:rPr>
                <w:rFonts w:hint="eastAsia"/>
                <w:sz w:val="28"/>
                <w:szCs w:val="28"/>
              </w:rPr>
            </w:pPr>
            <w:r>
              <w:rPr>
                <w:rFonts w:hint="eastAsia"/>
                <w:sz w:val="28"/>
                <w:szCs w:val="28"/>
              </w:rPr>
              <w:t>二、主要职业病危害因素描述：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6" w:hRule="atLeast"/>
        </w:trPr>
        <w:tc>
          <w:tcPr>
            <w:tcW w:w="8960" w:type="dxa"/>
            <w:gridSpan w:val="4"/>
            <w:vAlign w:val="top"/>
          </w:tcPr>
          <w:p>
            <w:pPr>
              <w:numPr>
                <w:ilvl w:val="0"/>
                <w:numId w:val="31"/>
              </w:numPr>
              <w:rPr>
                <w:rFonts w:hint="eastAsia"/>
                <w:sz w:val="28"/>
                <w:szCs w:val="28"/>
              </w:rPr>
            </w:pPr>
            <w:r>
              <w:rPr>
                <w:rFonts w:hint="eastAsia"/>
                <w:sz w:val="28"/>
                <w:szCs w:val="28"/>
              </w:rPr>
              <w:t>建设单位申报意见：</w:t>
            </w: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spacing w:line="360" w:lineRule="auto"/>
              <w:ind w:firstLine="560" w:firstLineChars="200"/>
              <w:rPr>
                <w:rFonts w:hint="eastAsia"/>
                <w:sz w:val="28"/>
                <w:szCs w:val="28"/>
              </w:rPr>
            </w:pPr>
            <w:r>
              <w:rPr>
                <w:rFonts w:hint="eastAsia"/>
                <w:sz w:val="28"/>
                <w:szCs w:val="28"/>
              </w:rPr>
              <w:t>经办人：                        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4" w:hRule="atLeast"/>
        </w:trPr>
        <w:tc>
          <w:tcPr>
            <w:tcW w:w="8960" w:type="dxa"/>
            <w:gridSpan w:val="4"/>
            <w:tcBorders>
              <w:bottom w:val="single" w:color="auto" w:sz="4" w:space="0"/>
            </w:tcBorders>
            <w:vAlign w:val="top"/>
          </w:tcPr>
          <w:p>
            <w:pPr>
              <w:jc w:val="left"/>
              <w:rPr>
                <w:rFonts w:hint="eastAsia"/>
                <w:sz w:val="28"/>
                <w:szCs w:val="28"/>
              </w:rPr>
            </w:pPr>
            <w:r>
              <w:rPr>
                <w:rFonts w:hint="eastAsia"/>
                <w:sz w:val="28"/>
                <w:szCs w:val="28"/>
              </w:rPr>
              <w:t>质量安全环保处审查意见：</w:t>
            </w:r>
          </w:p>
          <w:p>
            <w:pPr>
              <w:rPr>
                <w:rFonts w:hint="eastAsia"/>
                <w:sz w:val="28"/>
                <w:szCs w:val="28"/>
              </w:rPr>
            </w:pPr>
          </w:p>
          <w:p>
            <w:pPr>
              <w:rPr>
                <w:rFonts w:hint="eastAsia"/>
                <w:sz w:val="28"/>
                <w:szCs w:val="28"/>
              </w:rPr>
            </w:pPr>
          </w:p>
          <w:p>
            <w:pPr>
              <w:tabs>
                <w:tab w:val="left" w:pos="6648"/>
              </w:tabs>
              <w:ind w:firstLine="4200" w:firstLineChars="1500"/>
              <w:rPr>
                <w:sz w:val="28"/>
                <w:szCs w:val="28"/>
              </w:rPr>
            </w:pPr>
            <w:r>
              <w:rPr>
                <w:rFonts w:hint="eastAsia"/>
                <w:sz w:val="28"/>
                <w:szCs w:val="28"/>
              </w:rPr>
              <w:t>签字（盖章）：</w:t>
            </w:r>
          </w:p>
          <w:p>
            <w:pPr>
              <w:ind w:right="919" w:firstLine="4200" w:firstLineChars="1500"/>
              <w:rPr>
                <w:rFonts w:hint="eastAsia"/>
                <w:sz w:val="28"/>
                <w:szCs w:val="28"/>
              </w:rPr>
            </w:pPr>
          </w:p>
          <w:p>
            <w:pPr>
              <w:ind w:right="919" w:firstLine="5040" w:firstLineChars="1800"/>
              <w:rPr>
                <w:sz w:val="28"/>
                <w:szCs w:val="28"/>
              </w:rPr>
            </w:pPr>
            <w:r>
              <w:rPr>
                <w:rFonts w:hint="eastAsia"/>
                <w:sz w:val="28"/>
                <w:szCs w:val="28"/>
              </w:rPr>
              <w:t>年    月    日</w:t>
            </w:r>
          </w:p>
        </w:tc>
      </w:tr>
    </w:tbl>
    <w:p>
      <w:pPr>
        <w:jc w:val="both"/>
        <w:rPr>
          <w:rFonts w:hint="eastAsia"/>
          <w:sz w:val="36"/>
          <w:szCs w:val="36"/>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仿宋简体" w:hAnsi="方正仿宋简体" w:eastAsia="方正仿宋简体" w:cs="方正仿宋简体"/>
          <w:b w:val="0"/>
          <w:bCs w:val="0"/>
          <w:sz w:val="28"/>
        </w:rPr>
      </w:pPr>
      <w:r>
        <w:rPr>
          <w:rFonts w:hint="eastAsia" w:ascii="方正黑体简体" w:hAnsi="华文中宋" w:eastAsia="方正黑体简体"/>
          <w:b w:val="0"/>
          <w:bCs w:val="0"/>
          <w:sz w:val="30"/>
          <w:szCs w:val="30"/>
          <w:lang w:eastAsia="zh-CN"/>
        </w:rPr>
        <w:t>说     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rPr>
      </w:pPr>
      <w:r>
        <w:rPr>
          <w:rFonts w:hint="eastAsia" w:ascii="方正仿宋简体" w:hAnsi="方正仿宋简体" w:eastAsia="方正仿宋简体" w:cs="方正仿宋简体"/>
          <w:b w:val="0"/>
          <w:bCs w:val="0"/>
          <w:sz w:val="28"/>
        </w:rPr>
        <w:t>一、本表所称建设项目系指新建、改建、扩建建设项目和技术改造、技术引进项目，或可能造成职业危害的其它项目。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rPr>
      </w:pPr>
      <w:r>
        <w:rPr>
          <w:rFonts w:hint="eastAsia" w:ascii="方正仿宋简体" w:hAnsi="方正仿宋简体" w:eastAsia="方正仿宋简体" w:cs="方正仿宋简体"/>
          <w:b w:val="0"/>
          <w:bCs w:val="0"/>
          <w:sz w:val="28"/>
        </w:rPr>
        <w:t>二、建设项目职业卫生“三同时”申报表一式2份，用钢笔或签字笔填写。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lang w:eastAsia="zh-CN"/>
        </w:rPr>
      </w:pPr>
      <w:r>
        <w:rPr>
          <w:rFonts w:hint="eastAsia" w:ascii="方正仿宋简体" w:hAnsi="方正仿宋简体" w:eastAsia="方正仿宋简体" w:cs="方正仿宋简体"/>
          <w:b w:val="0"/>
          <w:bCs w:val="0"/>
          <w:sz w:val="28"/>
        </w:rPr>
        <w:t>三、建设单位申报登记的项目其性质、规模、建设地点或生产工艺发生重大变化，需重新申报登记。</w:t>
      </w:r>
    </w:p>
    <w:p>
      <w:pPr>
        <w:keepNext w:val="0"/>
        <w:keepLines w:val="0"/>
        <w:pageBreakBefore w:val="0"/>
        <w:widowControl w:val="0"/>
        <w:kinsoku/>
        <w:wordWrap/>
        <w:overflowPunct/>
        <w:topLinePunct w:val="0"/>
        <w:autoSpaceDE/>
        <w:autoSpaceDN/>
        <w:bidi w:val="0"/>
        <w:adjustRightInd w:val="0"/>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976" w:name="_Toc9300"/>
      <w:bookmarkStart w:id="977" w:name="_Toc13677"/>
      <w:bookmarkStart w:id="978" w:name="_Toc21782"/>
      <w:bookmarkStart w:id="979" w:name="_Toc28626"/>
      <w:bookmarkStart w:id="980" w:name="_Toc3234"/>
      <w:bookmarkStart w:id="981" w:name="_Toc23993"/>
      <w:bookmarkStart w:id="982" w:name="_Toc8975"/>
      <w:bookmarkStart w:id="983" w:name="_Toc28091"/>
      <w:bookmarkStart w:id="984" w:name="_Toc3282"/>
      <w:bookmarkStart w:id="985" w:name="_Toc11024"/>
      <w:bookmarkStart w:id="986" w:name="_Toc20962"/>
      <w:bookmarkStart w:id="987" w:name="_Toc10467"/>
      <w:bookmarkStart w:id="988" w:name="_Toc14547"/>
      <w:r>
        <w:rPr>
          <w:rFonts w:hint="eastAsia" w:ascii="方正小标宋简体" w:eastAsia="方正小标宋简体"/>
          <w:b w:val="0"/>
          <w:bCs w:val="0"/>
          <w:kern w:val="44"/>
          <w:sz w:val="36"/>
          <w:szCs w:val="36"/>
          <w:lang w:val="en-US" w:eastAsia="zh-CN" w:bidi="ar-SA"/>
        </w:rPr>
        <w:t>中油南充燃气有限责任公司生产安全风险防控管理实施细则</w:t>
      </w:r>
      <w:bookmarkEnd w:id="976"/>
      <w:bookmarkEnd w:id="977"/>
      <w:bookmarkEnd w:id="978"/>
      <w:bookmarkEnd w:id="979"/>
      <w:bookmarkEnd w:id="980"/>
      <w:bookmarkEnd w:id="981"/>
      <w:bookmarkEnd w:id="982"/>
      <w:bookmarkEnd w:id="983"/>
      <w:bookmarkEnd w:id="984"/>
      <w:bookmarkEnd w:id="985"/>
      <w:bookmarkEnd w:id="986"/>
      <w:bookmarkEnd w:id="987"/>
      <w:bookmarkEnd w:id="988"/>
    </w:p>
    <w:p>
      <w:pPr>
        <w:keepNext w:val="0"/>
        <w:keepLines w:val="0"/>
        <w:pageBreakBefore w:val="0"/>
        <w:widowControl w:val="0"/>
        <w:kinsoku/>
        <w:wordWrap/>
        <w:overflowPunct/>
        <w:topLinePunct w:val="0"/>
        <w:autoSpaceDE/>
        <w:autoSpaceDN/>
        <w:bidi w:val="0"/>
        <w:adjustRightInd w:val="0"/>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第一章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总</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第一条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为加强</w:t>
      </w:r>
      <w:r>
        <w:rPr>
          <w:rFonts w:hint="eastAsia" w:ascii="方正仿宋简体" w:hAnsi="方正仿宋简体" w:eastAsia="方正仿宋简体" w:cs="方正仿宋简体"/>
          <w:sz w:val="28"/>
          <w:lang w:eastAsia="zh-CN"/>
        </w:rPr>
        <w:t>中油南充燃气有限责任公</w:t>
      </w:r>
      <w:r>
        <w:rPr>
          <w:rFonts w:hint="eastAsia" w:ascii="方正仿宋简体" w:hAnsi="方正仿宋简体" w:eastAsia="方正仿宋简体" w:cs="方正仿宋简体"/>
          <w:sz w:val="28"/>
        </w:rPr>
        <w:t>司（以下简称公司）生产安全风险防控管理，增强风险防控能力，预防和减少生产安全事故，依据《中华人民共和国安全生产法》等法律法规、标准规范和《中国石油天然气集团公司安全生产风险防控管理办法》</w:t>
      </w:r>
      <w:r>
        <w:rPr>
          <w:rFonts w:hint="eastAsia" w:ascii="方正仿宋简体" w:hAnsi="方正仿宋简体" w:eastAsia="方正仿宋简体" w:cs="方正仿宋简体"/>
          <w:sz w:val="28"/>
          <w:lang w:eastAsia="zh-CN"/>
        </w:rPr>
        <w:t>、《西南油气田公司生产安全风险防控管理实施细则》，</w:t>
      </w:r>
      <w:r>
        <w:rPr>
          <w:rFonts w:hint="eastAsia" w:ascii="方正仿宋简体" w:hAnsi="方正仿宋简体" w:eastAsia="方正仿宋简体" w:cs="方正仿宋简体"/>
          <w:sz w:val="28"/>
        </w:rPr>
        <w:t>制定本实施细则。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本办法适用于公司</w:t>
      </w:r>
      <w:r>
        <w:rPr>
          <w:rFonts w:hint="eastAsia" w:ascii="方正仿宋简体" w:hAnsi="方正仿宋简体" w:eastAsia="方正仿宋简体" w:cs="方正仿宋简体"/>
          <w:sz w:val="28"/>
          <w:lang w:eastAsia="zh-CN"/>
        </w:rPr>
        <w:t>各部室及单位生产安全风险防控管理</w:t>
      </w:r>
      <w:r>
        <w:rPr>
          <w:rFonts w:hint="eastAsia" w:ascii="方正仿宋简体" w:hAnsi="方正仿宋简体" w:eastAsia="方正仿宋简体" w:cs="方正仿宋简体"/>
          <w:sz w:val="28"/>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实施细则所称生产安全风险防控是指在危害因素辨识和风险评估的基础上，预先采取措施消除或者控制生产安全风险的过程。〔1〕</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第四条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按照公司机关</w:t>
      </w:r>
      <w:r>
        <w:rPr>
          <w:rFonts w:hint="eastAsia" w:ascii="方正仿宋简体" w:hAnsi="方正仿宋简体" w:eastAsia="方正仿宋简体" w:cs="方正仿宋简体"/>
          <w:sz w:val="28"/>
          <w:lang w:eastAsia="zh-CN"/>
        </w:rPr>
        <w:t>部室</w:t>
      </w:r>
      <w:r>
        <w:rPr>
          <w:rFonts w:hint="eastAsia" w:ascii="方正仿宋简体" w:hAnsi="方正仿宋简体" w:eastAsia="方正仿宋简体" w:cs="方正仿宋简体"/>
          <w:sz w:val="28"/>
        </w:rPr>
        <w:t>、</w:t>
      </w:r>
      <w:r>
        <w:rPr>
          <w:rFonts w:hint="eastAsia" w:ascii="方正仿宋简体" w:hAnsi="方正仿宋简体" w:eastAsia="方正仿宋简体" w:cs="方正仿宋简体"/>
          <w:sz w:val="28"/>
          <w:lang w:eastAsia="zh-CN"/>
        </w:rPr>
        <w:t>基屋</w:t>
      </w:r>
      <w:r>
        <w:rPr>
          <w:rFonts w:hint="eastAsia" w:ascii="方正仿宋简体" w:hAnsi="方正仿宋简体" w:eastAsia="方正仿宋简体" w:cs="方正仿宋简体"/>
          <w:sz w:val="28"/>
        </w:rPr>
        <w:t>单位</w:t>
      </w:r>
      <w:r>
        <w:rPr>
          <w:rFonts w:hint="eastAsia" w:ascii="方正仿宋简体" w:hAnsi="方正仿宋简体" w:eastAsia="方正仿宋简体" w:cs="方正仿宋简体"/>
          <w:sz w:val="28"/>
          <w:lang w:eastAsia="zh-CN"/>
        </w:rPr>
        <w:t>、班组三</w:t>
      </w:r>
      <w:r>
        <w:rPr>
          <w:rFonts w:hint="eastAsia" w:ascii="方正仿宋简体" w:hAnsi="方正仿宋简体" w:eastAsia="方正仿宋简体" w:cs="方正仿宋简体"/>
          <w:sz w:val="28"/>
        </w:rPr>
        <w:t>个层级，根据危害因素识别和风险评估，对应各层级生产安全风险防控重点，逐级落实生产安全风险防控责任，建立健全生产安全风险防控机制。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 xml:space="preserve">第五条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公司生产安全风险防控工作应按照能岗匹配、因地制宜、有效管控的工作思路，遵循以下原则：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（一）分层管理、分级防控。将生产安全风险防控的责任划分到各个管理层级，每一层级对照专业领域、业务流程，评估并确定生产安全风险防控重点，落实防控责任。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（二）直线责任、属地管理。将生产安全风险防控的职责落实到规划计划、人事培训、生产组织、工艺技术、设备设施、安全环保、物资采购、工程建设等职能部门和属地管理岗位，实现管工作必须管风险。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（三）过程控制、逐级落实。从设计、施工、投产、运行等生产经营的全过程和各环节进行生产安全风险防控，逐级落实生产安全风险防控措施。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第二章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第六条</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sz w:val="28"/>
        </w:rPr>
        <w:t xml:space="preserve"> 公司质量安全环保处是生产安全风险防控工作的综合管理部门，主要履行以下职责：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（一）负责执行集团公司、</w:t>
      </w:r>
      <w:r>
        <w:rPr>
          <w:rFonts w:hint="eastAsia" w:ascii="方正仿宋简体" w:hAnsi="方正仿宋简体" w:eastAsia="方正仿宋简体" w:cs="方正仿宋简体"/>
          <w:sz w:val="28"/>
          <w:lang w:eastAsia="zh-CN"/>
        </w:rPr>
        <w:t>西南油气田公司及</w:t>
      </w:r>
      <w:r>
        <w:rPr>
          <w:rFonts w:hint="eastAsia" w:ascii="方正仿宋简体" w:hAnsi="方正仿宋简体" w:eastAsia="方正仿宋简体" w:cs="方正仿宋简体"/>
          <w:sz w:val="28"/>
        </w:rPr>
        <w:t>公司生产安全风险防控管理规章制度。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（二）负责本单位生产安全风险防控工作的指导、协调、监督和考核。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（三）组织各业务部门开展业务范围内的危害因素辨识和风险评估分级工作。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（四）依据本单位危害因素辨识和风险评估结果，明确对应层级生产安全风险防控工作，确定本单位各层级重点防控的生产安全风险，制定实施风险防控措施和应急预案。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（五）组织运行维护本单位生产安全风险防控信息库。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（六）组织研究、引进和推广生产安全风险防控技术。</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第七条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w:t>
      </w:r>
      <w:r>
        <w:rPr>
          <w:rFonts w:hint="eastAsia" w:ascii="方正仿宋简体" w:hAnsi="方正仿宋简体" w:eastAsia="方正仿宋简体" w:cs="方正仿宋简体"/>
          <w:sz w:val="28"/>
          <w:lang w:eastAsia="zh-CN"/>
        </w:rPr>
        <w:t>部室单位</w:t>
      </w:r>
      <w:r>
        <w:rPr>
          <w:rFonts w:hint="eastAsia" w:ascii="方正仿宋简体" w:hAnsi="方正仿宋简体" w:eastAsia="方正仿宋简体" w:cs="方正仿宋简体"/>
          <w:sz w:val="28"/>
        </w:rPr>
        <w:t>按照“业务主导”原则，依据职责分工，组织、</w:t>
      </w:r>
      <w:r>
        <w:rPr>
          <w:rFonts w:hint="eastAsia" w:ascii="方正仿宋简体" w:hAnsi="方正仿宋简体" w:eastAsia="方正仿宋简体" w:cs="方正仿宋简体"/>
          <w:sz w:val="28"/>
          <w:lang w:eastAsia="zh-CN"/>
        </w:rPr>
        <w:t>开展</w:t>
      </w:r>
      <w:r>
        <w:rPr>
          <w:rFonts w:hint="eastAsia" w:ascii="方正仿宋简体" w:hAnsi="方正仿宋简体" w:eastAsia="方正仿宋简体" w:cs="方正仿宋简体"/>
          <w:sz w:val="28"/>
        </w:rPr>
        <w:t>业务范围内的生产安全风险防控工作，</w:t>
      </w:r>
      <w:r>
        <w:rPr>
          <w:rFonts w:hint="eastAsia" w:ascii="方正仿宋简体" w:hAnsi="方正仿宋简体" w:eastAsia="方正仿宋简体" w:cs="方正仿宋简体"/>
          <w:sz w:val="28"/>
          <w:lang w:eastAsia="zh-CN"/>
        </w:rPr>
        <w:t>开展本业务范围内</w:t>
      </w:r>
      <w:r>
        <w:rPr>
          <w:rFonts w:hint="eastAsia" w:ascii="方正仿宋简体" w:hAnsi="方正仿宋简体" w:eastAsia="方正仿宋简体" w:cs="方正仿宋简体"/>
          <w:sz w:val="28"/>
        </w:rPr>
        <w:t>危害因素辨识，明确防控业务范围内重点生产安全风险，对业务范围内生产安全风险防控工作进行考核</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协调解决业务范围内生产安全风险防控工作中的重大问题。其中：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（一）生产</w:t>
      </w:r>
      <w:r>
        <w:rPr>
          <w:rFonts w:hint="eastAsia" w:ascii="方正仿宋简体" w:hAnsi="方正仿宋简体" w:eastAsia="方正仿宋简体" w:cs="方正仿宋简体"/>
          <w:sz w:val="28"/>
          <w:lang w:eastAsia="zh-CN"/>
        </w:rPr>
        <w:t>运行部</w:t>
      </w:r>
      <w:r>
        <w:rPr>
          <w:rFonts w:hint="eastAsia" w:ascii="方正仿宋简体" w:hAnsi="方正仿宋简体" w:eastAsia="方正仿宋简体" w:cs="方正仿宋简体"/>
          <w:sz w:val="28"/>
        </w:rPr>
        <w:t>负责公司天然气调度、</w:t>
      </w:r>
      <w:r>
        <w:rPr>
          <w:rFonts w:hint="eastAsia" w:ascii="方正仿宋简体" w:hAnsi="方正仿宋简体" w:eastAsia="方正仿宋简体" w:cs="方正仿宋简体"/>
          <w:sz w:val="28"/>
          <w:lang w:eastAsia="zh-CN"/>
        </w:rPr>
        <w:t>生产运</w:t>
      </w:r>
      <w:r>
        <w:rPr>
          <w:rFonts w:hint="eastAsia" w:ascii="方正仿宋简体" w:hAnsi="方正仿宋简体" w:eastAsia="方正仿宋简体" w:cs="方正仿宋简体"/>
          <w:sz w:val="28"/>
        </w:rPr>
        <w:t>行</w:t>
      </w:r>
      <w:r>
        <w:rPr>
          <w:rFonts w:hint="eastAsia" w:ascii="方正仿宋简体" w:hAnsi="方正仿宋简体" w:eastAsia="方正仿宋简体" w:cs="方正仿宋简体"/>
          <w:sz w:val="28"/>
          <w:lang w:eastAsia="zh-CN"/>
        </w:rPr>
        <w:t>、设备管理、</w:t>
      </w:r>
      <w:r>
        <w:rPr>
          <w:rFonts w:hint="eastAsia" w:ascii="方正仿宋简体" w:hAnsi="方正仿宋简体" w:eastAsia="方正仿宋简体" w:cs="方正仿宋简体"/>
          <w:sz w:val="28"/>
        </w:rPr>
        <w:t>信息</w:t>
      </w:r>
      <w:r>
        <w:rPr>
          <w:rFonts w:hint="eastAsia" w:ascii="方正仿宋简体" w:hAnsi="方正仿宋简体" w:eastAsia="方正仿宋简体" w:cs="方正仿宋简体"/>
          <w:sz w:val="28"/>
          <w:lang w:eastAsia="zh-CN"/>
        </w:rPr>
        <w:t>管理、抢维修、</w:t>
      </w:r>
      <w:r>
        <w:rPr>
          <w:rFonts w:hint="eastAsia" w:ascii="方正仿宋简体" w:hAnsi="方正仿宋简体" w:eastAsia="方正仿宋简体" w:cs="方正仿宋简体"/>
          <w:sz w:val="28"/>
        </w:rPr>
        <w:t>自然灾害防治业务的生产安全风险防控工作。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（二）工程技术</w:t>
      </w:r>
      <w:r>
        <w:rPr>
          <w:rFonts w:hint="eastAsia" w:ascii="方正仿宋简体" w:hAnsi="方正仿宋简体" w:eastAsia="方正仿宋简体" w:cs="方正仿宋简体"/>
          <w:sz w:val="28"/>
          <w:lang w:eastAsia="zh-CN"/>
        </w:rPr>
        <w:t>部</w:t>
      </w:r>
      <w:r>
        <w:rPr>
          <w:rFonts w:hint="eastAsia" w:ascii="方正仿宋简体" w:hAnsi="方正仿宋简体" w:eastAsia="方正仿宋简体" w:cs="方正仿宋简体"/>
          <w:sz w:val="28"/>
        </w:rPr>
        <w:t>负责公司</w:t>
      </w:r>
      <w:r>
        <w:rPr>
          <w:rFonts w:hint="eastAsia" w:ascii="方正仿宋简体" w:hAnsi="方正仿宋简体" w:eastAsia="方正仿宋简体" w:cs="方正仿宋简体"/>
          <w:sz w:val="28"/>
          <w:lang w:eastAsia="zh-CN"/>
        </w:rPr>
        <w:t>工程建设业务</w:t>
      </w:r>
      <w:r>
        <w:rPr>
          <w:rFonts w:hint="eastAsia" w:ascii="方正仿宋简体" w:hAnsi="方正仿宋简体" w:eastAsia="方正仿宋简体" w:cs="方正仿宋简体"/>
          <w:sz w:val="28"/>
        </w:rPr>
        <w:t>的生产安全风险防控工作。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w:t>
      </w:r>
      <w:r>
        <w:rPr>
          <w:rFonts w:hint="eastAsia" w:ascii="方正仿宋简体" w:hAnsi="方正仿宋简体" w:eastAsia="方正仿宋简体" w:cs="方正仿宋简体"/>
          <w:sz w:val="28"/>
          <w:lang w:eastAsia="zh-CN"/>
        </w:rPr>
        <w:t>市场营销部负责公司市场开发、客户服务中</w:t>
      </w:r>
      <w:r>
        <w:rPr>
          <w:rFonts w:hint="eastAsia" w:ascii="方正仿宋简体" w:hAnsi="方正仿宋简体" w:eastAsia="方正仿宋简体" w:cs="方正仿宋简体"/>
          <w:sz w:val="28"/>
        </w:rPr>
        <w:t>的风险防控工作。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w:t>
      </w:r>
      <w:r>
        <w:rPr>
          <w:rFonts w:hint="eastAsia" w:ascii="方正仿宋简体" w:hAnsi="方正仿宋简体" w:eastAsia="方正仿宋简体" w:cs="方正仿宋简体"/>
          <w:sz w:val="28"/>
          <w:lang w:eastAsia="zh-CN"/>
        </w:rPr>
        <w:t>四</w:t>
      </w:r>
      <w:r>
        <w:rPr>
          <w:rFonts w:hint="eastAsia" w:ascii="方正仿宋简体" w:hAnsi="方正仿宋简体" w:eastAsia="方正仿宋简体" w:cs="方正仿宋简体"/>
          <w:sz w:val="28"/>
        </w:rPr>
        <w:t>）管道管理部负责公司输气管道</w:t>
      </w:r>
      <w:r>
        <w:rPr>
          <w:rFonts w:hint="eastAsia" w:ascii="方正仿宋简体" w:hAnsi="方正仿宋简体" w:eastAsia="方正仿宋简体" w:cs="方正仿宋简体"/>
          <w:sz w:val="28"/>
          <w:lang w:eastAsia="zh-CN"/>
        </w:rPr>
        <w:t>业务</w:t>
      </w:r>
      <w:r>
        <w:rPr>
          <w:rFonts w:hint="eastAsia" w:ascii="方正仿宋简体" w:hAnsi="方正仿宋简体" w:eastAsia="方正仿宋简体" w:cs="方正仿宋简体"/>
          <w:sz w:val="28"/>
        </w:rPr>
        <w:t>的风险防控工作。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公司</w:t>
      </w:r>
      <w:r>
        <w:rPr>
          <w:rFonts w:hint="eastAsia" w:ascii="方正仿宋简体" w:hAnsi="方正仿宋简体" w:eastAsia="方正仿宋简体" w:cs="方正仿宋简体"/>
          <w:sz w:val="28"/>
          <w:lang w:eastAsia="zh-CN"/>
        </w:rPr>
        <w:t>部</w:t>
      </w:r>
      <w:r>
        <w:rPr>
          <w:rFonts w:hint="eastAsia" w:ascii="方正仿宋简体" w:hAnsi="方正仿宋简体" w:eastAsia="方正仿宋简体" w:cs="方正仿宋简体"/>
          <w:sz w:val="28"/>
        </w:rPr>
        <w:t>室依据管理职责，按照“直线责任”要求，做好业务范围内的风险分级防控工作。〔2〕</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第八条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w:t>
      </w:r>
      <w:r>
        <w:rPr>
          <w:rFonts w:hint="eastAsia" w:ascii="方正仿宋简体" w:hAnsi="方正仿宋简体" w:eastAsia="方正仿宋简体" w:cs="方正仿宋简体"/>
          <w:sz w:val="28"/>
          <w:lang w:eastAsia="zh-CN"/>
        </w:rPr>
        <w:t>基层</w:t>
      </w:r>
      <w:r>
        <w:rPr>
          <w:rFonts w:hint="eastAsia" w:ascii="方正仿宋简体" w:hAnsi="方正仿宋简体" w:eastAsia="方正仿宋简体" w:cs="方正仿宋简体"/>
          <w:sz w:val="28"/>
        </w:rPr>
        <w:t>单位是生产安全风险防控的责任主体，主要领导是生产安全风险防控工作第一责任人，全面负责本单位的生产安全风险防控工作，明确生产安全风险防控任务</w:t>
      </w:r>
      <w:r>
        <w:rPr>
          <w:rFonts w:hint="eastAsia" w:ascii="方正仿宋简体" w:hAnsi="方正仿宋简体" w:eastAsia="方正仿宋简体" w:cs="方正仿宋简体"/>
          <w:sz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第三章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危害因素辨识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w:t>
      </w:r>
      <w:r>
        <w:rPr>
          <w:rFonts w:hint="eastAsia" w:ascii="方正仿宋简体" w:hAnsi="方正仿宋简体" w:eastAsia="方正仿宋简体" w:cs="方正仿宋简体"/>
          <w:b/>
          <w:bCs/>
          <w:sz w:val="28"/>
          <w:lang w:eastAsia="zh-CN"/>
        </w:rPr>
        <w:t>九</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各单位应当选择适当的方法</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对生产经营过程中的危害因素每年至少组织一次全面辨识，同时组织重大危险源辨识和安全环保事故隐患排查。在生产作业开始前应当进行动态危害因素辨识。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结合实际，选用现场观察、工作前安全分析（JSA）、安全检查表（SCL）、危险与可操作性分析（HAZOP）、故障树分析（FTA）、事件树分析（ETA）等方法，从“人、物、环、管”四个方面入手，进行危害因素辨识，辨识结果应当形成记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一</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危害因素辨识的范围应当涵盖项目设计、施工作业、生产运行、检维修、废弃处置等全过程，包括作业人员与活动、设备设施、物料、工艺技术、作业环境等。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涉及环境影响时，应当按照国家环境保护法律法规要求开展环境因素辨识和风险评估。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二</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eastAsia="zh-CN"/>
        </w:rPr>
        <w:t>各部室</w:t>
      </w:r>
      <w:r>
        <w:rPr>
          <w:rFonts w:hint="eastAsia" w:ascii="方正仿宋简体" w:hAnsi="方正仿宋简体" w:eastAsia="方正仿宋简体" w:cs="方正仿宋简体"/>
          <w:sz w:val="28"/>
        </w:rPr>
        <w:t>按照职责分工开展危害因素辨识。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三</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基层单位应当根据工作任务，对岗位设置、设备设施、工艺流程和工作区域等进行梳理，确定危害因素辨识基本单元。按照基本单元，运用适当方法开展危害因素辨识。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四</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班组各基层岗位应当根据作业活动细分操作步骤，针对操作行为和设备设施、作业环境等辨识危害因素。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五</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各级岗位员工应当参与危害因素辨识活动。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六</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当作业环境、作业内容、作业人员发生改变，或者工艺技术、设备设施等发生变更时，应当重新进行危害因素辨识。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七</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各单位应当对辨识出的危害因素进行分级分类登记并报公司备案。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第四章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风险评估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第十</w:t>
      </w:r>
      <w:r>
        <w:rPr>
          <w:rFonts w:hint="eastAsia" w:ascii="方正仿宋简体" w:hAnsi="方正仿宋简体" w:eastAsia="方正仿宋简体" w:cs="方正仿宋简体"/>
          <w:b/>
          <w:bCs/>
          <w:sz w:val="28"/>
          <w:lang w:eastAsia="zh-CN"/>
        </w:rPr>
        <w:t>八</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各单位应当结合生产实际和作业条件，参照本实施细则附件所示风险等级划分方法，制定本单位风险等级划分标准，进行风险分级，明确本单位生产作业活动中可接受和不可接受的风险。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w:t>
      </w:r>
      <w:r>
        <w:rPr>
          <w:rFonts w:hint="eastAsia" w:ascii="方正仿宋简体" w:hAnsi="方正仿宋简体" w:eastAsia="方正仿宋简体" w:cs="方正仿宋简体"/>
          <w:b/>
          <w:bCs/>
          <w:sz w:val="28"/>
          <w:lang w:eastAsia="zh-CN"/>
        </w:rPr>
        <w:t>十九</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各单位应当依照国家和集团公司有关规定对重大危险源进行风险评估。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各部门应当结合实际，参照风险评估矩阵（RAM）进行风险评估，也可结合专业风险特点和管理要求使用对应的风险评估工具进行评估，如作业条件危险分析（LEC）等。风险分析与评估结果应当形成记录或报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一</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公司业务部室及各</w:t>
      </w:r>
      <w:r>
        <w:rPr>
          <w:rFonts w:hint="eastAsia" w:ascii="方正仿宋简体" w:hAnsi="方正仿宋简体" w:eastAsia="方正仿宋简体" w:cs="方正仿宋简体"/>
          <w:sz w:val="28"/>
          <w:lang w:eastAsia="zh-CN"/>
        </w:rPr>
        <w:t>基层</w:t>
      </w:r>
      <w:r>
        <w:rPr>
          <w:rFonts w:hint="eastAsia" w:ascii="方正仿宋简体" w:hAnsi="方正仿宋简体" w:eastAsia="方正仿宋简体" w:cs="方正仿宋简体"/>
          <w:sz w:val="28"/>
        </w:rPr>
        <w:t>单位应当依据风险评估结果形成的清单，按照以下要求确定重点防控的生产安全风险：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（一）公司部室应当对各单位风险评估结果进行分析，结合业务范围内生产作业活动所涉及的业务、重点单位，确定业务范围内重点防控的生产安全风险。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（二）</w:t>
      </w:r>
      <w:r>
        <w:rPr>
          <w:rFonts w:hint="eastAsia" w:ascii="方正仿宋简体" w:hAnsi="方正仿宋简体" w:eastAsia="方正仿宋简体" w:cs="方正仿宋简体"/>
          <w:sz w:val="28"/>
          <w:lang w:eastAsia="zh-CN"/>
        </w:rPr>
        <w:t>基层</w:t>
      </w:r>
      <w:r>
        <w:rPr>
          <w:rFonts w:hint="eastAsia" w:ascii="方正仿宋简体" w:hAnsi="方正仿宋简体" w:eastAsia="方正仿宋简体" w:cs="方正仿宋简体"/>
          <w:sz w:val="28"/>
        </w:rPr>
        <w:t>单位应当根据单位和岗位风险评估结果，结合重点领域、关键装置、要害部位，以及承包商、变更管理、作业许可等方面，确定本单位重点防控的生产安全风险。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（三）基层单位应当根据辨识出的危害因素进行风险评估、分级，结合每项生产作业活动的生产组织、设备设施和关键作业等方面，确定</w:t>
      </w:r>
      <w:r>
        <w:rPr>
          <w:rFonts w:hint="eastAsia" w:ascii="方正仿宋简体" w:hAnsi="方正仿宋简体" w:eastAsia="方正仿宋简体" w:cs="方正仿宋简体"/>
          <w:sz w:val="28"/>
          <w:lang w:eastAsia="zh-CN"/>
        </w:rPr>
        <w:t>需</w:t>
      </w:r>
      <w:r>
        <w:rPr>
          <w:rFonts w:hint="eastAsia" w:ascii="方正仿宋简体" w:hAnsi="方正仿宋简体" w:eastAsia="方正仿宋简体" w:cs="方正仿宋简体"/>
          <w:sz w:val="28"/>
        </w:rPr>
        <w:t>防控的生产安全风险。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w:t>
      </w:r>
      <w:r>
        <w:rPr>
          <w:rFonts w:hint="eastAsia" w:ascii="方正仿宋简体" w:hAnsi="方正仿宋简体" w:eastAsia="方正仿宋简体" w:cs="方正仿宋简体"/>
          <w:sz w:val="28"/>
          <w:lang w:eastAsia="zh-CN"/>
        </w:rPr>
        <w:t>班组</w:t>
      </w:r>
      <w:r>
        <w:rPr>
          <w:rFonts w:hint="eastAsia" w:ascii="方正仿宋简体" w:hAnsi="方正仿宋简体" w:eastAsia="方正仿宋简体" w:cs="方正仿宋简体"/>
          <w:sz w:val="28"/>
        </w:rPr>
        <w:t>基层岗位应当根据操作活动所涉及的危害因素，确定本岗位防控的生产安全风险。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二</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在采用新技术、新工艺、新设备、新材料前，公司</w:t>
      </w:r>
      <w:r>
        <w:rPr>
          <w:rFonts w:hint="eastAsia" w:ascii="方正仿宋简体" w:hAnsi="方正仿宋简体" w:eastAsia="方正仿宋简体" w:cs="方正仿宋简体"/>
          <w:sz w:val="28"/>
          <w:lang w:eastAsia="zh-CN"/>
        </w:rPr>
        <w:t>相关部</w:t>
      </w:r>
      <w:r>
        <w:rPr>
          <w:rFonts w:hint="eastAsia" w:ascii="方正仿宋简体" w:hAnsi="方正仿宋简体" w:eastAsia="方正仿宋简体" w:cs="方正仿宋简体"/>
          <w:sz w:val="28"/>
        </w:rPr>
        <w:t>室</w:t>
      </w:r>
      <w:r>
        <w:rPr>
          <w:rFonts w:hint="eastAsia" w:ascii="方正仿宋简体" w:hAnsi="方正仿宋简体" w:eastAsia="方正仿宋简体" w:cs="方正仿宋简体"/>
          <w:sz w:val="28"/>
          <w:lang w:eastAsia="zh-CN"/>
        </w:rPr>
        <w:t>单位</w:t>
      </w:r>
      <w:r>
        <w:rPr>
          <w:rFonts w:hint="eastAsia" w:ascii="方正仿宋简体" w:hAnsi="方正仿宋简体" w:eastAsia="方正仿宋简体" w:cs="方正仿宋简体"/>
          <w:sz w:val="28"/>
        </w:rPr>
        <w:t>应当组织开展专项风险评估。</w:t>
      </w:r>
    </w:p>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第五章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风险控制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三</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根据风险评估结果，针对不同级别的风险采取相应的防控措施。对于确定为重点防控的生产安全风险，应当明确风险防控责任，确定分层防控责任部门和负责人，制定和落实风险控制措施，并对风险实施有效的动态监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四</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公司部室应当依据业务范围内的风险评估结果，进一步健全完善规章制度、操作规程和应急处置程序，制定岗位培训矩阵，将生产安全风险防控工作融入到各级管理流程和操作活动中。</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五</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w:t>
      </w:r>
      <w:r>
        <w:rPr>
          <w:rFonts w:hint="eastAsia" w:ascii="方正仿宋简体" w:hAnsi="方正仿宋简体" w:eastAsia="方正仿宋简体" w:cs="方正仿宋简体"/>
          <w:sz w:val="28"/>
          <w:lang w:eastAsia="zh-CN"/>
        </w:rPr>
        <w:t>各单位</w:t>
      </w:r>
      <w:r>
        <w:rPr>
          <w:rFonts w:hint="eastAsia" w:ascii="方正仿宋简体" w:hAnsi="方正仿宋简体" w:eastAsia="方正仿宋简体" w:cs="方正仿宋简体"/>
          <w:sz w:val="28"/>
        </w:rPr>
        <w:t>应当按照直线责任，负责业务范围内作业许可、上锁挂牌、安全目视化、工艺和设备变更管理、应急处置卡等风险管理工具的推广应用，并培训员工掌握工具的使用方法。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六</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各单位应当对生产作业现场存在的风险进行提示和告知，并设置安全警示标志。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七</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在设备设施采购、安装、操作、检查、维护及保养等环节中，</w:t>
      </w:r>
      <w:r>
        <w:rPr>
          <w:rFonts w:hint="eastAsia" w:ascii="方正仿宋简体" w:hAnsi="方正仿宋简体" w:eastAsia="方正仿宋简体" w:cs="方正仿宋简体"/>
          <w:sz w:val="28"/>
          <w:lang w:eastAsia="zh-CN"/>
        </w:rPr>
        <w:t>各业务部室单位</w:t>
      </w:r>
      <w:r>
        <w:rPr>
          <w:rFonts w:hint="eastAsia" w:ascii="方正仿宋简体" w:hAnsi="方正仿宋简体" w:eastAsia="方正仿宋简体" w:cs="方正仿宋简体"/>
          <w:sz w:val="28"/>
        </w:rPr>
        <w:t>应当落实生产安全风险防控措施。应当按照国家和集团公司有关规定对关键设备设施进行监测和检验，及时发现并消除隐患。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第二十</w:t>
      </w:r>
      <w:r>
        <w:rPr>
          <w:rFonts w:hint="eastAsia" w:ascii="方正仿宋简体" w:hAnsi="方正仿宋简体" w:eastAsia="方正仿宋简体" w:cs="方正仿宋简体"/>
          <w:b/>
          <w:bCs/>
          <w:sz w:val="28"/>
          <w:lang w:eastAsia="zh-CN"/>
        </w:rPr>
        <w:t>八</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涉及重大危险源的</w:t>
      </w:r>
      <w:r>
        <w:rPr>
          <w:rFonts w:hint="eastAsia" w:ascii="方正仿宋简体" w:hAnsi="方正仿宋简体" w:eastAsia="方正仿宋简体" w:cs="方正仿宋简体"/>
          <w:sz w:val="28"/>
          <w:lang w:eastAsia="zh-CN"/>
        </w:rPr>
        <w:t>基层</w:t>
      </w:r>
      <w:r>
        <w:rPr>
          <w:rFonts w:hint="eastAsia" w:ascii="方正仿宋简体" w:hAnsi="方正仿宋简体" w:eastAsia="方正仿宋简体" w:cs="方正仿宋简体"/>
          <w:sz w:val="28"/>
        </w:rPr>
        <w:t>单位，应当按照国家和集团公司有关规定，落实重大危险源分级监控措施，登记建档，</w:t>
      </w:r>
      <w:r>
        <w:rPr>
          <w:rFonts w:hint="eastAsia" w:ascii="方正仿宋简体" w:hAnsi="方正仿宋简体" w:eastAsia="方正仿宋简体" w:cs="方正仿宋简体"/>
          <w:sz w:val="28"/>
          <w:lang w:eastAsia="zh-CN"/>
        </w:rPr>
        <w:t>并报相关部室备案，由质量安全环保部</w:t>
      </w:r>
      <w:r>
        <w:rPr>
          <w:rFonts w:hint="eastAsia" w:ascii="方正仿宋简体" w:hAnsi="方正仿宋简体" w:eastAsia="方正仿宋简体" w:cs="方正仿宋简体"/>
          <w:sz w:val="28"/>
        </w:rPr>
        <w:t>报地方政府安全生产监督管理部门和上级主管部门备案。</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w:t>
      </w:r>
      <w:r>
        <w:rPr>
          <w:rFonts w:hint="eastAsia" w:ascii="方正仿宋简体" w:hAnsi="方正仿宋简体" w:eastAsia="方正仿宋简体" w:cs="方正仿宋简体"/>
          <w:b/>
          <w:bCs/>
          <w:sz w:val="28"/>
          <w:lang w:eastAsia="zh-CN"/>
        </w:rPr>
        <w:t>二十九</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各单位按照公司管理制度要求开展安全环保隐患的排查治理工作，及时消除各类隐患。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各单位应当根据基层岗位培训矩阵对员工进行培训，使其具备风险防控能力和应急处置救援能力。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一</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在风险失控且发生生产安全突发事件时，各单位应当按规定及时报告，启动应急预案，进行现场应急处置，实施应急救援。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第六章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监督与责任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二</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公司将生产安全风险防控工作作为年度安全生产考核的重点内容，将对各单位工作开展情况严格进行考核。</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三</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公司部室应当定期对业务范围内生产安全风险防控工作进行检查考核，考核结果纳入年度各项先进评比。</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四</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w:t>
      </w:r>
      <w:r>
        <w:rPr>
          <w:rFonts w:hint="eastAsia" w:ascii="方正仿宋简体" w:hAnsi="方正仿宋简体" w:eastAsia="方正仿宋简体" w:cs="方正仿宋简体"/>
          <w:sz w:val="28"/>
          <w:lang w:eastAsia="zh-CN"/>
        </w:rPr>
        <w:t>质量安全环保部</w:t>
      </w:r>
      <w:r>
        <w:rPr>
          <w:rFonts w:hint="eastAsia" w:ascii="方正仿宋简体" w:hAnsi="方正仿宋简体" w:eastAsia="方正仿宋简体" w:cs="方正仿宋简体"/>
          <w:sz w:val="28"/>
        </w:rPr>
        <w:t>要将各单位安全生产防控工作开展情况进行监督检查，对在生产安全风险防控工作中表现突出或者发现重大风险，避免事故发生和损失扩大的单位和个人，给予表彰奖励。〔13〕</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五</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rPr>
        <w:t xml:space="preserve">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对违反本办法规定造成事故的单位和个人，按照公司生产安全事故与环境事件责任人员行政处分等有关规定追究相关人员责任。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华文中宋" w:eastAsia="方正黑体简体"/>
          <w:b w:val="0"/>
          <w:bCs w:val="0"/>
          <w:sz w:val="30"/>
          <w:szCs w:val="30"/>
          <w:lang w:eastAsia="zh-CN"/>
        </w:rPr>
      </w:pPr>
      <w:r>
        <w:rPr>
          <w:rFonts w:hint="eastAsia" w:ascii="方正黑体简体" w:hAnsi="华文中宋" w:eastAsia="方正黑体简体"/>
          <w:b w:val="0"/>
          <w:bCs w:val="0"/>
          <w:sz w:val="30"/>
          <w:szCs w:val="30"/>
          <w:lang w:eastAsia="zh-CN"/>
        </w:rPr>
        <w:t>第七章</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附</w:t>
      </w:r>
      <w:r>
        <w:rPr>
          <w:rFonts w:hint="eastAsia" w:ascii="方正黑体简体" w:hAnsi="华文中宋" w:eastAsia="方正黑体简体"/>
          <w:b w:val="0"/>
          <w:bCs w:val="0"/>
          <w:sz w:val="30"/>
          <w:szCs w:val="30"/>
          <w:lang w:val="en-US" w:eastAsia="zh-CN"/>
        </w:rPr>
        <w:t xml:space="preserve">  </w:t>
      </w:r>
      <w:r>
        <w:rPr>
          <w:rFonts w:hint="eastAsia" w:ascii="方正黑体简体" w:hAnsi="华文中宋" w:eastAsia="方正黑体简体"/>
          <w:b w:val="0"/>
          <w:bCs w:val="0"/>
          <w:sz w:val="30"/>
          <w:szCs w:val="30"/>
          <w:lang w:eastAsia="zh-CN"/>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w:t>
      </w:r>
      <w:r>
        <w:rPr>
          <w:rFonts w:hint="eastAsia" w:ascii="方正仿宋简体" w:hAnsi="方正仿宋简体" w:eastAsia="方正仿宋简体" w:cs="方正仿宋简体"/>
          <w:b/>
          <w:bCs/>
          <w:sz w:val="28"/>
          <w:lang w:eastAsia="zh-CN"/>
        </w:rPr>
        <w:t>六</w:t>
      </w:r>
      <w:r>
        <w:rPr>
          <w:rFonts w:hint="eastAsia" w:ascii="方正仿宋简体" w:hAnsi="方正仿宋简体" w:eastAsia="方正仿宋简体" w:cs="方正仿宋简体"/>
          <w:b/>
          <w:bCs/>
          <w:sz w:val="28"/>
        </w:rPr>
        <w:t>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本办法由质量安全环保处负责解释。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第三十九条</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本办法自印发之日起施行。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黑体简体" w:eastAsia="方正黑体简体"/>
        </w:rPr>
      </w:pPr>
      <w:r>
        <w:rPr>
          <w:rFonts w:hint="eastAsia" w:ascii="方正仿宋简体" w:hAnsi="方正仿宋简体" w:eastAsia="方正仿宋简体" w:cs="方正仿宋简体"/>
          <w:sz w:val="28"/>
        </w:rPr>
        <w:t>附件：风险防控与等级划分方法</w:t>
      </w:r>
    </w:p>
    <w:p>
      <w:pPr>
        <w:adjustRightInd w:val="0"/>
        <w:spacing w:line="560" w:lineRule="atLeast"/>
        <w:ind w:firstLine="420" w:firstLineChars="200"/>
        <w:rPr>
          <w:rFonts w:hint="eastAsia" w:ascii="方正黑体简体" w:eastAsia="方正黑体简体"/>
        </w:rPr>
      </w:pPr>
    </w:p>
    <w:p>
      <w:pPr>
        <w:adjustRightInd w:val="0"/>
        <w:spacing w:line="640" w:lineRule="exact"/>
        <w:jc w:val="center"/>
        <w:rPr>
          <w:rFonts w:hint="eastAsia" w:ascii="方正小标宋简体" w:eastAsia="方正小标宋简体"/>
          <w:bCs/>
          <w:kern w:val="32"/>
          <w:sz w:val="32"/>
          <w:szCs w:val="32"/>
        </w:rPr>
      </w:pPr>
    </w:p>
    <w:p>
      <w:pPr>
        <w:adjustRightInd w:val="0"/>
        <w:spacing w:line="640" w:lineRule="exact"/>
        <w:jc w:val="center"/>
        <w:rPr>
          <w:rFonts w:hint="eastAsia" w:ascii="方正小标宋简体" w:eastAsia="方正小标宋简体"/>
          <w:bCs/>
          <w:kern w:val="32"/>
          <w:sz w:val="32"/>
          <w:szCs w:val="32"/>
        </w:rPr>
      </w:pPr>
    </w:p>
    <w:p>
      <w:pPr>
        <w:adjustRightInd w:val="0"/>
        <w:spacing w:line="640" w:lineRule="exact"/>
        <w:jc w:val="both"/>
        <w:rPr>
          <w:rFonts w:hint="eastAsia" w:ascii="方正小标宋简体" w:eastAsia="方正小标宋简体"/>
          <w:bCs/>
          <w:kern w:val="32"/>
          <w:sz w:val="32"/>
          <w:szCs w:val="32"/>
        </w:rPr>
      </w:pPr>
    </w:p>
    <w:p>
      <w:pPr>
        <w:keepNext w:val="0"/>
        <w:keepLines w:val="0"/>
        <w:pageBreakBefore w:val="0"/>
        <w:widowControl w:val="0"/>
        <w:kinsoku/>
        <w:wordWrap/>
        <w:overflowPunct/>
        <w:topLinePunct w:val="0"/>
        <w:autoSpaceDE/>
        <w:autoSpaceDN/>
        <w:bidi w:val="0"/>
        <w:adjustRightInd w:val="0"/>
        <w:snapToGrid/>
        <w:spacing w:line="560" w:lineRule="exact"/>
        <w:ind w:firstLine="0" w:firstLineChars="0"/>
        <w:jc w:val="left"/>
        <w:textAlignment w:val="auto"/>
        <w:outlineLvl w:val="9"/>
        <w:rPr>
          <w:rFonts w:hint="eastAsia" w:ascii="方正黑体简体" w:hAnsi="方正黑体简体" w:eastAsia="方正黑体简体" w:cs="方正黑体简体"/>
          <w:bCs/>
          <w:kern w:val="32"/>
          <w:sz w:val="32"/>
          <w:szCs w:val="32"/>
          <w:lang w:eastAsia="zh-CN"/>
        </w:rPr>
      </w:pPr>
      <w:r>
        <w:rPr>
          <w:rFonts w:hint="eastAsia" w:ascii="方正黑体简体" w:hAnsi="方正黑体简体" w:eastAsia="方正黑体简体" w:cs="方正黑体简体"/>
          <w:bCs/>
          <w:kern w:val="32"/>
          <w:sz w:val="32"/>
          <w:szCs w:val="32"/>
          <w:lang w:eastAsia="zh-CN"/>
        </w:rPr>
        <w:t>附件</w:t>
      </w:r>
    </w:p>
    <w:p>
      <w:pPr>
        <w:keepNext w:val="0"/>
        <w:keepLines w:val="0"/>
        <w:pageBreakBefore w:val="0"/>
        <w:widowControl w:val="0"/>
        <w:kinsoku/>
        <w:wordWrap/>
        <w:overflowPunct/>
        <w:topLinePunct w:val="0"/>
        <w:autoSpaceDE/>
        <w:autoSpaceDN/>
        <w:bidi w:val="0"/>
        <w:adjustRightInd w:val="0"/>
        <w:snapToGrid/>
        <w:spacing w:line="640" w:lineRule="exact"/>
        <w:ind w:firstLine="0" w:firstLineChars="0"/>
        <w:jc w:val="center"/>
        <w:textAlignment w:val="auto"/>
        <w:outlineLvl w:val="9"/>
        <w:rPr>
          <w:rFonts w:hint="eastAsia" w:ascii="方正小标宋简体" w:eastAsia="方正小标宋简体"/>
          <w:bCs/>
          <w:kern w:val="32"/>
          <w:sz w:val="36"/>
          <w:szCs w:val="36"/>
        </w:rPr>
      </w:pPr>
      <w:r>
        <w:rPr>
          <w:rFonts w:hint="eastAsia" w:ascii="方正小标宋简体" w:eastAsia="方正小标宋简体"/>
          <w:bCs/>
          <w:kern w:val="32"/>
          <w:sz w:val="36"/>
          <w:szCs w:val="36"/>
        </w:rPr>
        <w:t>风险防控与等级划分方法</w:t>
      </w:r>
    </w:p>
    <w:p>
      <w:pPr>
        <w:keepNext w:val="0"/>
        <w:keepLines w:val="0"/>
        <w:pageBreakBefore w:val="0"/>
        <w:widowControl w:val="0"/>
        <w:kinsoku/>
        <w:wordWrap/>
        <w:overflowPunct/>
        <w:topLinePunct w:val="0"/>
        <w:autoSpaceDE/>
        <w:autoSpaceDN/>
        <w:bidi w:val="0"/>
        <w:adjustRightInd w:val="0"/>
        <w:snapToGrid/>
        <w:spacing w:line="640" w:lineRule="exact"/>
        <w:ind w:firstLine="0" w:firstLineChars="0"/>
        <w:jc w:val="center"/>
        <w:textAlignment w:val="auto"/>
        <w:outlineLvl w:val="9"/>
        <w:rPr>
          <w:rFonts w:hint="eastAsia" w:ascii="方正黑体简体" w:eastAsia="方正黑体简体"/>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一、风险防控常用方法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bookmarkStart w:id="989" w:name="_Toc31643"/>
      <w:bookmarkStart w:id="990" w:name="_Toc22319"/>
      <w:bookmarkStart w:id="991" w:name="_Toc8054"/>
      <w:bookmarkStart w:id="992" w:name="_Toc21875"/>
      <w:bookmarkStart w:id="993" w:name="_Toc4504"/>
      <w:r>
        <w:rPr>
          <w:rFonts w:hint="eastAsia" w:ascii="方正仿宋简体" w:hAnsi="方正仿宋简体" w:eastAsia="方正仿宋简体" w:cs="方正仿宋简体"/>
          <w:sz w:val="28"/>
        </w:rPr>
        <w:t>（一）常用危害因素辨识和风险评估方法</w:t>
      </w:r>
      <w:bookmarkEnd w:id="989"/>
      <w:bookmarkEnd w:id="990"/>
      <w:bookmarkEnd w:id="991"/>
      <w:bookmarkEnd w:id="992"/>
      <w:bookmarkEnd w:id="99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现场观察：是一种通过检视生产作业区域所处地理环境、周边自然条件、场内功能区划分、设施布局、作业环境等来辨识存在危害因素的方法。开展现场观察的人员应具有较全面的安全技术知识和职业安全卫生法规标准知识，对现场观察出的问题要做好记录，规范整理后填写相应的危害因素辨识清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工作前安全分析（JSA）：是指事先或定期对某项工作任务进行风险评价，并根据评价结果制定和实施相应的控制措施，达到最大限度消除或控制风险的方法。新工作任务开始前，理论上均应进行安全分析。若工作任务风险低且有胜任能力的人员完成，以前做过分析或已有操作规程的可不再进行安全分析，但应进行有效性检查，并判断工作环境是否变化及环境变化是否导致工作任务风险和控制措施改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安全检查表（SCL）：为检查某一系统、设备以及操作管理和组织措施中的不安全因素，事先对检查对象加以剖析和分解，并根据理论知识、实践经验、有关标准规范和事故信息等确定检查的项目和要点，以提问的方式将检查项目和要点按系统编制成表，在设计或检查时，按规定项目进行检查和评价以辨识危害因素。安全检查表对照有关标准、法规或依靠分析人员的观察能力，借助其经验和判断能力，直观的对评价对象的危害因素进行分析。安全检查表一般由序号、检查项目、检查内容、检查依据、检查结果和备注等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危险与可操作性分析（HAZOP）：是指在开展工艺危险性分析时，通过使用指导语句和标准格式分析工艺过程中偏离正常工况的各种情形，从而发现危害因素和操作问题的一种系统性方法，是对工艺过程中的危害因素实行严格审查和控制的技术。HAZOP分析的对象是工艺或操作的特殊点（称为“分析节点”，可以是工艺单元，也可以是操作步骤），通过分析每个工艺单元或操作步骤，由引导词引出并识别具有潜在危险的偏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故障树分析（FTA）：是通过对可能造成系统失效的各种因素（包括硬件、软件、环境、人为因素等）进行分析，画出逻辑框图（故障树），从而确定系统失效原因的各种可能组合方式及其发生概率的一种演绎推理方法。故障树根据系统可能发生的事故或已经发生的事故结果，寻找与该事故发生有关的原因、条件和规律，同时辨识系统中可能导致事故发生的危害因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事件树分析（ETA）：是根据规则用图形来表示由初因事件可能引起的多事件链，以追踪事件破坏的过程及各事件链发生的概率的一种归纳分析法。事件树从给定的初始事件原因开始，按时间进程追踪，对构成系统的各要素（事件）状态（成功或失败）逐项进行二选一的逻辑分析，分析初始条件的事故原因可能导致的时间序列的结果，将会造成什么样的状态，从而定性与定量地评价系统的安全性，并由此获得正确决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作业条件危险分析（LEC）：是针对在具有潜在危险性环境中的作业，用与风险有关的三种因素之积（D=LEC）来评价操作人员伤亡风险大小的一种风险评估方法，D值大，说明系统危险性大，需要增加安全措施，或改变发生事故的可能性（L），或减小人体暴露于危险环境中的频繁程度（E），或减轻事故损失（C），直至调整到允许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8</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风险评估矩阵（RAM）：是基于对以往发生的事故事件的经验总结，通过解释事故事件发生的可能性和后果严重性来预测风险大小，并确定风险等级的一种风险评估方法。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bookmarkStart w:id="994" w:name="_Toc1000"/>
      <w:bookmarkStart w:id="995" w:name="_Toc31092"/>
      <w:bookmarkStart w:id="996" w:name="_Toc29777"/>
      <w:bookmarkStart w:id="997" w:name="_Toc18711"/>
      <w:bookmarkStart w:id="998" w:name="_Toc3811"/>
      <w:r>
        <w:rPr>
          <w:rFonts w:hint="eastAsia" w:ascii="方正仿宋简体" w:hAnsi="方正仿宋简体" w:eastAsia="方正仿宋简体" w:cs="方正仿宋简体"/>
          <w:sz w:val="28"/>
        </w:rPr>
        <w:t>（二）常用风险控制方法</w:t>
      </w:r>
      <w:bookmarkEnd w:id="994"/>
      <w:bookmarkEnd w:id="995"/>
      <w:bookmarkEnd w:id="996"/>
      <w:bookmarkEnd w:id="997"/>
      <w:bookmarkEnd w:id="99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作业许可：是针对危险性作业的一种风险管理手段和管理制度。为有效控制生产过程中的非常规作业、关键作业、缺乏程序的作业以及其他危险性较大作业的风险，其组织者或作业者需要事前提出作业申请，经有关主管人员对作业过程、作业风险及风险控制措施予以核查和批准，并取得作业许可证方可开展作业，成为作业许可制度。包括对进入受限空间、动土作业、高处作业、移动式吊装作业、管线与设备打开、临时用电、动火作业等作业，均需要施行作业许可。作业许可本身不能保证作业的安全，只是对作业之前和作业过程中所必须严格遵守的规则及所满足的条件作出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上锁挂牌：是指在作业过程中为避免设备设施或系统区域内蓄积危险能量或物料的意外释放，对所有危险能量和物料的隔离设施进行锁闭和悬挂标牌的一种现场安全管理方法。上锁挂牌可从本质上解决设备因误操作引发的安全问题，但关键还是需要人的操作，要对相关人员进行安全培训，以解决人的行为习惯养成问题，同时还要加强人员换班时的沟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安全目视化：是通过使用安全色、标签、标牌等方式，明确人员的资质和身份、工器具和设备设施的使用状态，以及生产作业区域的危险状态的一种现场安全管理方法。安全目视化以视觉信号为基本手段，以公开化的和透明化为基本原则，尽可能地将管理者的要求和意图让大家都看得见，将潜在的风险予以明示，借以提示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工艺和设备变更管理：是指涉及工艺技术、设备设施及工艺参数等超出现有设计范围的改变（如压力等级改变、压力报警值改变等）的一种安全管理方法。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lang w:eastAsia="zh-CN"/>
        </w:rPr>
      </w:pPr>
      <w:r>
        <w:rPr>
          <w:rFonts w:hint="eastAsia" w:ascii="方正仿宋简体" w:hAnsi="方正仿宋简体" w:eastAsia="方正仿宋简体" w:cs="方正仿宋简体"/>
          <w:sz w:val="28"/>
        </w:rPr>
        <w:t>5</w:t>
      </w:r>
      <w:r>
        <w:rPr>
          <w:rFonts w:hint="eastAsia" w:ascii="方正仿宋简体" w:hAnsi="方正仿宋简体" w:eastAsia="方正仿宋简体" w:cs="方正仿宋简体"/>
          <w:sz w:val="28"/>
          <w:lang w:eastAsia="zh-CN"/>
        </w:rPr>
        <w:t>.</w:t>
      </w:r>
      <w:r>
        <w:rPr>
          <w:rFonts w:hint="eastAsia" w:ascii="方正仿宋简体" w:hAnsi="方正仿宋简体" w:eastAsia="方正仿宋简体" w:cs="方正仿宋简体"/>
          <w:sz w:val="28"/>
        </w:rPr>
        <w:t>应急处置卡：是指在岗位员工职责范围内，将应急处置规定的程序步骤写在卡片上，当作业现场或工作场所出现意外紧急情况时，提示岗位员工采取必要的紧急措施，把事故险情控制在第一现场和第一时间的一种现场安全管理方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b/>
          <w:bCs/>
          <w:sz w:val="28"/>
        </w:rPr>
        <w:t>二、风险等级划分方法</w:t>
      </w:r>
      <w:r>
        <w:rPr>
          <w:rFonts w:hint="eastAsia" w:ascii="方正仿宋简体" w:hAnsi="方正仿宋简体" w:eastAsia="方正仿宋简体" w:cs="方正仿宋简体"/>
          <w:sz w:val="28"/>
        </w:rPr>
        <w:tab/>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风险等级划分以风险评估矩阵法为例。风险矩阵是基于以往发生的事故事件总结出来的经验并用以预测将来风险.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lang w:val="en-US" w:eastAsia="zh-CN"/>
        </w:rPr>
      </w:pPr>
      <w:r>
        <w:rPr>
          <w:rFonts w:hint="eastAsia" w:ascii="方正仿宋简体" w:hAnsi="方正仿宋简体" w:eastAsia="方正仿宋简体" w:cs="方正仿宋简体"/>
          <w:sz w:val="28"/>
          <w:lang w:val="en-US" w:eastAsia="zh-CN"/>
        </w:rPr>
        <w:t>1.风险评估矩阵</w:t>
      </w:r>
    </w:p>
    <w:tbl>
      <w:tblPr>
        <w:tblStyle w:val="51"/>
        <w:tblpPr w:leftFromText="180" w:rightFromText="180" w:vertAnchor="text" w:horzAnchor="page" w:tblpX="1677" w:tblpY="150"/>
        <w:tblOverlap w:val="never"/>
        <w:tblW w:w="9100" w:type="dxa"/>
        <w:tblInd w:w="0" w:type="dxa"/>
        <w:tblLayout w:type="fixed"/>
        <w:tblCellMar>
          <w:top w:w="0" w:type="dxa"/>
          <w:left w:w="0" w:type="dxa"/>
          <w:bottom w:w="0" w:type="dxa"/>
          <w:right w:w="0" w:type="dxa"/>
        </w:tblCellMar>
      </w:tblPr>
      <w:tblGrid>
        <w:gridCol w:w="560"/>
        <w:gridCol w:w="908"/>
        <w:gridCol w:w="909"/>
        <w:gridCol w:w="907"/>
        <w:gridCol w:w="908"/>
        <w:gridCol w:w="908"/>
        <w:gridCol w:w="908"/>
        <w:gridCol w:w="908"/>
        <w:gridCol w:w="1087"/>
        <w:gridCol w:w="1097"/>
      </w:tblGrid>
      <w:tr>
        <w:tblPrEx>
          <w:tblLayout w:type="fixed"/>
          <w:tblCellMar>
            <w:top w:w="0" w:type="dxa"/>
            <w:left w:w="0" w:type="dxa"/>
            <w:bottom w:w="0" w:type="dxa"/>
            <w:right w:w="0" w:type="dxa"/>
          </w:tblCellMar>
        </w:tblPrEx>
        <w:trPr>
          <w:trHeight w:val="501" w:hRule="atLeast"/>
        </w:trPr>
        <w:tc>
          <w:tcPr>
            <w:tcW w:w="560"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序号</w:t>
            </w:r>
          </w:p>
        </w:tc>
        <w:tc>
          <w:tcPr>
            <w:tcW w:w="3632" w:type="dxa"/>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后果的严重性</w:t>
            </w:r>
          </w:p>
        </w:tc>
        <w:tc>
          <w:tcPr>
            <w:tcW w:w="4908" w:type="dxa"/>
            <w:gridSpan w:val="5"/>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后果的可能</w:t>
            </w:r>
          </w:p>
        </w:tc>
      </w:tr>
      <w:tr>
        <w:tblPrEx>
          <w:tblLayout w:type="fixed"/>
          <w:tblCellMar>
            <w:top w:w="0" w:type="dxa"/>
            <w:left w:w="0" w:type="dxa"/>
            <w:bottom w:w="0" w:type="dxa"/>
            <w:right w:w="0" w:type="dxa"/>
          </w:tblCellMar>
        </w:tblPrEx>
        <w:trPr>
          <w:trHeight w:val="513" w:hRule="atLeast"/>
        </w:trPr>
        <w:tc>
          <w:tcPr>
            <w:tcW w:w="560"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8"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人员</w:t>
            </w:r>
          </w:p>
        </w:tc>
        <w:tc>
          <w:tcPr>
            <w:tcW w:w="909"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资产</w:t>
            </w:r>
          </w:p>
        </w:tc>
        <w:tc>
          <w:tcPr>
            <w:tcW w:w="907"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环境</w:t>
            </w:r>
          </w:p>
        </w:tc>
        <w:tc>
          <w:tcPr>
            <w:tcW w:w="908"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声誉</w:t>
            </w: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A</w:t>
            </w: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B</w:t>
            </w: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C</w:t>
            </w:r>
          </w:p>
        </w:tc>
        <w:tc>
          <w:tcPr>
            <w:tcW w:w="1087"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D</w:t>
            </w:r>
          </w:p>
        </w:tc>
        <w:tc>
          <w:tcPr>
            <w:tcW w:w="1097"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E</w:t>
            </w:r>
          </w:p>
        </w:tc>
      </w:tr>
      <w:tr>
        <w:tblPrEx>
          <w:tblLayout w:type="fixed"/>
          <w:tblCellMar>
            <w:top w:w="0" w:type="dxa"/>
            <w:left w:w="0" w:type="dxa"/>
            <w:bottom w:w="0" w:type="dxa"/>
            <w:right w:w="0" w:type="dxa"/>
          </w:tblCellMar>
        </w:tblPrEx>
        <w:trPr>
          <w:trHeight w:val="1324" w:hRule="atLeast"/>
        </w:trPr>
        <w:tc>
          <w:tcPr>
            <w:tcW w:w="560"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8"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9"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7"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8"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exact"/>
              <w:jc w:val="center"/>
              <w:rPr>
                <w:rFonts w:hint="eastAsia" w:ascii="方正仿宋简体" w:hAnsi="宋体" w:eastAsia="方正仿宋简体"/>
                <w:b/>
                <w:color w:val="000000"/>
                <w:sz w:val="13"/>
                <w:szCs w:val="13"/>
              </w:rPr>
            </w:pP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全球石油化工行业从未听说过</w:t>
            </w: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全球石油化工行业内曾经有所闻</w:t>
            </w:r>
          </w:p>
        </w:tc>
        <w:tc>
          <w:tcPr>
            <w:tcW w:w="90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rPr>
                <w:rFonts w:hint="eastAsia" w:ascii="方正仿宋简体" w:hAnsi="宋体" w:eastAsia="方正仿宋简体"/>
                <w:b/>
                <w:bCs/>
                <w:color w:val="000000"/>
                <w:sz w:val="13"/>
                <w:szCs w:val="13"/>
              </w:rPr>
            </w:pPr>
            <w:r>
              <w:rPr>
                <w:rFonts w:hint="eastAsia" w:ascii="方正仿宋简体" w:hAnsi="宋体" w:eastAsia="方正仿宋简体"/>
                <w:b/>
                <w:bCs/>
                <w:color w:val="000000"/>
                <w:sz w:val="13"/>
                <w:szCs w:val="13"/>
              </w:rPr>
              <w:t>中石油企业内曾经发生过类似事件</w:t>
            </w:r>
          </w:p>
        </w:tc>
        <w:tc>
          <w:tcPr>
            <w:tcW w:w="1087"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pStyle w:val="74"/>
              <w:autoSpaceDE w:val="0"/>
              <w:autoSpaceDN w:val="0"/>
              <w:adjustRightInd w:val="0"/>
              <w:snapToGrid w:val="0"/>
              <w:spacing w:after="0" w:line="240" w:lineRule="exact"/>
              <w:ind w:left="0"/>
              <w:rPr>
                <w:rFonts w:hint="eastAsia" w:ascii="方正仿宋简体" w:hAnsi="宋体" w:eastAsia="方正仿宋简体"/>
                <w:b/>
                <w:bCs/>
                <w:color w:val="000000"/>
                <w:sz w:val="13"/>
                <w:szCs w:val="13"/>
              </w:rPr>
            </w:pPr>
            <w:r>
              <w:rPr>
                <w:rFonts w:hint="eastAsia" w:ascii="方正仿宋简体" w:hAnsi="宋体" w:eastAsia="方正仿宋简体"/>
                <w:b/>
                <w:bCs/>
                <w:color w:val="000000"/>
                <w:sz w:val="13"/>
                <w:szCs w:val="13"/>
              </w:rPr>
              <w:t>西南油气田分公司一年发生过一起类似事件</w:t>
            </w:r>
          </w:p>
        </w:tc>
        <w:tc>
          <w:tcPr>
            <w:tcW w:w="1097"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40" w:lineRule="exact"/>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西南油气田分公司一年发生过多起类似事件</w:t>
            </w:r>
          </w:p>
        </w:tc>
      </w:tr>
      <w:tr>
        <w:tblPrEx>
          <w:tblLayout w:type="fixed"/>
          <w:tblCellMar>
            <w:top w:w="0" w:type="dxa"/>
            <w:left w:w="0" w:type="dxa"/>
            <w:bottom w:w="0" w:type="dxa"/>
            <w:right w:w="0" w:type="dxa"/>
          </w:tblCellMar>
        </w:tblPrEx>
        <w:trPr>
          <w:trHeight w:val="646"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0</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没有受伤或健康影响</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没有损失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没有影响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没有影响</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1087"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1097"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r>
      <w:tr>
        <w:tblPrEx>
          <w:tblLayout w:type="fixed"/>
          <w:tblCellMar>
            <w:top w:w="0" w:type="dxa"/>
            <w:left w:w="0" w:type="dxa"/>
            <w:bottom w:w="0" w:type="dxa"/>
            <w:right w:w="0" w:type="dxa"/>
          </w:tblCellMar>
        </w:tblPrEx>
        <w:trPr>
          <w:trHeight w:val="646"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1</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微伤或影响健康</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轻微损失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微少影响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轻微影响</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1087"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1097"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r>
      <w:tr>
        <w:tblPrEx>
          <w:tblLayout w:type="fixed"/>
          <w:tblCellMar>
            <w:top w:w="0" w:type="dxa"/>
            <w:left w:w="0" w:type="dxa"/>
            <w:bottom w:w="0" w:type="dxa"/>
            <w:right w:w="0" w:type="dxa"/>
          </w:tblCellMar>
        </w:tblPrEx>
        <w:trPr>
          <w:trHeight w:val="646"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2</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240" w:lineRule="exact"/>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较小受伤或 影响健康</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少量损失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轻度影响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轻度影响</w:t>
            </w:r>
          </w:p>
        </w:tc>
        <w:tc>
          <w:tcPr>
            <w:tcW w:w="908" w:type="dxa"/>
            <w:tcBorders>
              <w:top w:val="single" w:color="000000" w:sz="8" w:space="0"/>
              <w:left w:val="single" w:color="000000" w:sz="8" w:space="0"/>
              <w:bottom w:val="single" w:color="000000" w:sz="8" w:space="0"/>
              <w:right w:val="single" w:color="000000" w:sz="8" w:space="0"/>
            </w:tcBorders>
            <w:shd w:val="clear" w:color="auto" w:fill="8DB3E2"/>
            <w:tcMar>
              <w:top w:w="15" w:type="dxa"/>
              <w:left w:w="108" w:type="dxa"/>
              <w:bottom w:w="0" w:type="dxa"/>
              <w:right w:w="108" w:type="dxa"/>
            </w:tcMar>
            <w:vAlign w:val="center"/>
          </w:tcPr>
          <w:p>
            <w:pPr>
              <w:jc w:val="center"/>
              <w:rPr>
                <w:rFonts w:hint="eastAsia" w:ascii="方正仿宋简体" w:hAnsi="宋体" w:eastAsia="方正仿宋简体"/>
                <w:b/>
                <w:color w:val="FFFFFF"/>
                <w:sz w:val="13"/>
                <w:szCs w:val="13"/>
              </w:rPr>
            </w:pPr>
            <w:r>
              <w:rPr>
                <w:rFonts w:hint="eastAsia" w:ascii="方正仿宋简体" w:hAnsi="宋体" w:eastAsia="方正仿宋简体"/>
                <w:b/>
                <w:color w:val="FFFFFF"/>
                <w:kern w:val="0"/>
                <w:sz w:val="13"/>
                <w:szCs w:val="13"/>
              </w:rPr>
              <w:t>I</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1087"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1097"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r>
      <w:tr>
        <w:tblPrEx>
          <w:tblLayout w:type="fixed"/>
          <w:tblCellMar>
            <w:top w:w="0" w:type="dxa"/>
            <w:left w:w="0" w:type="dxa"/>
            <w:bottom w:w="0" w:type="dxa"/>
            <w:right w:w="0" w:type="dxa"/>
          </w:tblCellMar>
        </w:tblPrEx>
        <w:trPr>
          <w:trHeight w:val="646"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3</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较大受伤或影响健康</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一般损失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一般影响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一般影响</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908"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1087"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1097"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hAnsi="宋体" w:eastAsia="方正仿宋简体"/>
                <w:b/>
                <w:color w:val="FFFFFF"/>
                <w:sz w:val="13"/>
                <w:szCs w:val="13"/>
              </w:rPr>
            </w:pPr>
            <w:r>
              <w:rPr>
                <w:rFonts w:hint="eastAsia" w:ascii="方正仿宋简体" w:hAnsi="宋体" w:eastAsia="方正仿宋简体"/>
                <w:b/>
                <w:color w:val="FFFFFF"/>
                <w:kern w:val="0"/>
                <w:sz w:val="13"/>
                <w:szCs w:val="13"/>
              </w:rPr>
              <w:t>IV</w:t>
            </w:r>
          </w:p>
        </w:tc>
      </w:tr>
      <w:tr>
        <w:tblPrEx>
          <w:tblLayout w:type="fixed"/>
          <w:tblCellMar>
            <w:top w:w="0" w:type="dxa"/>
            <w:left w:w="0" w:type="dxa"/>
            <w:bottom w:w="0" w:type="dxa"/>
            <w:right w:w="0" w:type="dxa"/>
          </w:tblCellMar>
        </w:tblPrEx>
        <w:trPr>
          <w:trHeight w:val="646"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４</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伤残或死亡少于３人</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大量损失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严重影响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严重影响</w:t>
            </w:r>
          </w:p>
        </w:tc>
        <w:tc>
          <w:tcPr>
            <w:tcW w:w="908" w:type="dxa"/>
            <w:tcBorders>
              <w:top w:val="single" w:color="000000" w:sz="8" w:space="0"/>
              <w:left w:val="single" w:color="000000" w:sz="8" w:space="0"/>
              <w:bottom w:val="single" w:color="000000" w:sz="8" w:space="0"/>
              <w:right w:val="single" w:color="000000" w:sz="8" w:space="0"/>
            </w:tcBorders>
            <w:shd w:val="clear" w:color="auto" w:fill="0070C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II</w:t>
            </w:r>
          </w:p>
        </w:tc>
        <w:tc>
          <w:tcPr>
            <w:tcW w:w="908"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908"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1087"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IV</w:t>
            </w:r>
          </w:p>
        </w:tc>
        <w:tc>
          <w:tcPr>
            <w:tcW w:w="1097"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IV</w:t>
            </w:r>
          </w:p>
        </w:tc>
      </w:tr>
      <w:tr>
        <w:tblPrEx>
          <w:tblLayout w:type="fixed"/>
          <w:tblCellMar>
            <w:top w:w="0" w:type="dxa"/>
            <w:left w:w="0" w:type="dxa"/>
            <w:bottom w:w="0" w:type="dxa"/>
            <w:right w:w="0" w:type="dxa"/>
          </w:tblCellMar>
        </w:tblPrEx>
        <w:trPr>
          <w:trHeight w:val="708" w:hRule="exact"/>
        </w:trPr>
        <w:tc>
          <w:tcPr>
            <w:tcW w:w="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５</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死亡人数超过３人</w:t>
            </w:r>
          </w:p>
        </w:tc>
        <w:tc>
          <w:tcPr>
            <w:tcW w:w="90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重大损失</w:t>
            </w:r>
          </w:p>
        </w:tc>
        <w:tc>
          <w:tcPr>
            <w:tcW w:w="907"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重大影响</w:t>
            </w:r>
          </w:p>
        </w:tc>
        <w:tc>
          <w:tcPr>
            <w:tcW w:w="9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hint="eastAsia" w:ascii="方正仿宋简体" w:hAnsi="宋体" w:eastAsia="方正仿宋简体"/>
                <w:b/>
                <w:color w:val="000000"/>
                <w:sz w:val="13"/>
                <w:szCs w:val="13"/>
              </w:rPr>
            </w:pPr>
            <w:r>
              <w:rPr>
                <w:rFonts w:hint="eastAsia" w:ascii="方正仿宋简体" w:hAnsi="宋体" w:eastAsia="方正仿宋简体"/>
                <w:b/>
                <w:bCs/>
                <w:color w:val="000000"/>
                <w:sz w:val="13"/>
                <w:szCs w:val="13"/>
              </w:rPr>
              <w:t>重大影响</w:t>
            </w:r>
          </w:p>
        </w:tc>
        <w:tc>
          <w:tcPr>
            <w:tcW w:w="908"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908" w:type="dxa"/>
            <w:tcBorders>
              <w:top w:val="single" w:color="000000" w:sz="8" w:space="0"/>
              <w:left w:val="single" w:color="000000" w:sz="8" w:space="0"/>
              <w:bottom w:val="single" w:color="000000" w:sz="8" w:space="0"/>
              <w:right w:val="single" w:color="000000" w:sz="8" w:space="0"/>
            </w:tcBorders>
            <w:shd w:val="clear" w:color="auto" w:fill="FFFF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spacing w:val="-4"/>
                <w:kern w:val="0"/>
                <w:sz w:val="13"/>
                <w:szCs w:val="13"/>
              </w:rPr>
              <w:t>III</w:t>
            </w:r>
          </w:p>
        </w:tc>
        <w:tc>
          <w:tcPr>
            <w:tcW w:w="908"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IV</w:t>
            </w:r>
          </w:p>
        </w:tc>
        <w:tc>
          <w:tcPr>
            <w:tcW w:w="1087"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IV</w:t>
            </w:r>
          </w:p>
        </w:tc>
        <w:tc>
          <w:tcPr>
            <w:tcW w:w="1097" w:type="dxa"/>
            <w:tcBorders>
              <w:top w:val="single" w:color="000000" w:sz="8" w:space="0"/>
              <w:left w:val="single" w:color="000000" w:sz="8" w:space="0"/>
              <w:bottom w:val="single" w:color="000000" w:sz="8" w:space="0"/>
              <w:right w:val="single" w:color="000000" w:sz="8" w:space="0"/>
            </w:tcBorders>
            <w:shd w:val="clear" w:color="auto" w:fill="FF0000"/>
            <w:tcMar>
              <w:top w:w="15" w:type="dxa"/>
              <w:left w:w="108" w:type="dxa"/>
              <w:bottom w:w="0" w:type="dxa"/>
              <w:right w:w="108" w:type="dxa"/>
            </w:tcMar>
            <w:vAlign w:val="center"/>
          </w:tcPr>
          <w:p>
            <w:pPr>
              <w:jc w:val="center"/>
              <w:rPr>
                <w:rFonts w:hint="eastAsia" w:ascii="方正仿宋简体" w:eastAsia="方正仿宋简体"/>
                <w:b/>
                <w:color w:val="FFFFFF"/>
                <w:sz w:val="13"/>
                <w:szCs w:val="13"/>
              </w:rPr>
            </w:pPr>
            <w:r>
              <w:rPr>
                <w:rFonts w:hint="eastAsia" w:ascii="方正仿宋简体" w:hAnsi="宋体" w:eastAsia="方正仿宋简体"/>
                <w:b/>
                <w:color w:val="FFFFFF"/>
                <w:kern w:val="0"/>
                <w:sz w:val="13"/>
                <w:szCs w:val="13"/>
              </w:rPr>
              <w:t>IV</w:t>
            </w:r>
          </w:p>
        </w:tc>
      </w:tr>
    </w:tbl>
    <w:p>
      <w:pPr>
        <w:pStyle w:val="74"/>
        <w:ind w:left="0" w:leftChars="0" w:firstLine="0" w:firstLineChars="0"/>
        <w:rPr>
          <w:rFonts w:hint="eastAsia" w:ascii="方正仿宋简体" w:eastAsia="方正仿宋简体"/>
          <w:color w:val="000000"/>
          <w:sz w:val="32"/>
          <w:szCs w:val="32"/>
        </w:rPr>
      </w:pPr>
    </w:p>
    <w:p>
      <w:pPr>
        <w:pStyle w:val="74"/>
        <w:rPr>
          <w:rFonts w:hint="eastAsia" w:ascii="方正仿宋简体" w:eastAsia="方正仿宋简体"/>
          <w:color w:val="000000"/>
          <w:sz w:val="28"/>
          <w:szCs w:val="28"/>
        </w:rPr>
      </w:pPr>
      <w:r>
        <w:rPr>
          <w:rFonts w:hint="eastAsia" w:ascii="方正仿宋简体" w:eastAsia="方正仿宋简体"/>
          <w:color w:val="000000"/>
          <w:sz w:val="28"/>
          <w:szCs w:val="28"/>
        </w:rPr>
        <w:t>2.风险等级划分标准</w:t>
      </w:r>
    </w:p>
    <w:tbl>
      <w:tblPr>
        <w:tblStyle w:val="51"/>
        <w:tblpPr w:leftFromText="180" w:rightFromText="180" w:vertAnchor="text" w:horzAnchor="page" w:tblpX="1716" w:tblpY="85"/>
        <w:tblOverlap w:val="never"/>
        <w:tblW w:w="90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63"/>
        <w:gridCol w:w="3440"/>
        <w:gridCol w:w="28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204" w:type="dxa"/>
            <w:vAlign w:val="center"/>
          </w:tcPr>
          <w:p>
            <w:pPr>
              <w:widowControl/>
              <w:jc w:val="center"/>
              <w:rPr>
                <w:rFonts w:hint="eastAsia" w:ascii="方正仿宋简体" w:hAnsi="宋体" w:eastAsia="方正仿宋简体"/>
                <w:b/>
                <w:bCs/>
                <w:color w:val="000000"/>
                <w:kern w:val="0"/>
                <w:sz w:val="18"/>
                <w:szCs w:val="18"/>
              </w:rPr>
            </w:pPr>
            <w:r>
              <w:rPr>
                <w:rFonts w:hint="eastAsia" w:ascii="方正仿宋简体" w:hAnsi="宋体" w:eastAsia="方正仿宋简体"/>
                <w:b/>
                <w:bCs/>
                <w:color w:val="000000"/>
                <w:kern w:val="0"/>
                <w:sz w:val="18"/>
                <w:szCs w:val="18"/>
              </w:rPr>
              <w:t>风险等级</w:t>
            </w:r>
          </w:p>
        </w:tc>
        <w:tc>
          <w:tcPr>
            <w:tcW w:w="1563" w:type="dxa"/>
            <w:vAlign w:val="center"/>
          </w:tcPr>
          <w:p>
            <w:pPr>
              <w:widowControl/>
              <w:jc w:val="center"/>
              <w:rPr>
                <w:rFonts w:hint="eastAsia" w:ascii="方正仿宋简体" w:hAnsi="宋体" w:eastAsia="方正仿宋简体"/>
                <w:b/>
                <w:bCs/>
                <w:color w:val="000000"/>
                <w:kern w:val="0"/>
                <w:sz w:val="18"/>
                <w:szCs w:val="18"/>
              </w:rPr>
            </w:pPr>
            <w:r>
              <w:rPr>
                <w:rFonts w:hint="eastAsia" w:ascii="方正仿宋简体" w:hAnsi="宋体" w:eastAsia="方正仿宋简体"/>
                <w:b/>
                <w:bCs/>
                <w:color w:val="000000"/>
                <w:kern w:val="0"/>
                <w:sz w:val="18"/>
                <w:szCs w:val="18"/>
              </w:rPr>
              <w:t>描述</w:t>
            </w:r>
          </w:p>
        </w:tc>
        <w:tc>
          <w:tcPr>
            <w:tcW w:w="3440" w:type="dxa"/>
            <w:vAlign w:val="center"/>
          </w:tcPr>
          <w:p>
            <w:pPr>
              <w:widowControl/>
              <w:jc w:val="center"/>
              <w:rPr>
                <w:rFonts w:hint="eastAsia" w:ascii="方正仿宋简体" w:hAnsi="宋体" w:eastAsia="方正仿宋简体"/>
                <w:b/>
                <w:bCs/>
                <w:color w:val="000000"/>
                <w:kern w:val="0"/>
                <w:sz w:val="18"/>
                <w:szCs w:val="18"/>
              </w:rPr>
            </w:pPr>
            <w:r>
              <w:rPr>
                <w:rFonts w:hint="eastAsia" w:ascii="方正仿宋简体" w:hAnsi="宋体" w:eastAsia="方正仿宋简体"/>
                <w:b/>
                <w:bCs/>
                <w:color w:val="000000"/>
                <w:kern w:val="0"/>
                <w:sz w:val="18"/>
                <w:szCs w:val="18"/>
              </w:rPr>
              <w:t>需要的行动</w:t>
            </w:r>
          </w:p>
        </w:tc>
        <w:tc>
          <w:tcPr>
            <w:tcW w:w="2873" w:type="dxa"/>
            <w:vAlign w:val="center"/>
          </w:tcPr>
          <w:p>
            <w:pPr>
              <w:widowControl/>
              <w:jc w:val="center"/>
              <w:rPr>
                <w:rFonts w:hint="eastAsia" w:ascii="方正仿宋简体" w:hAnsi="宋体" w:eastAsia="方正仿宋简体"/>
                <w:b/>
                <w:bCs/>
                <w:color w:val="000000"/>
                <w:kern w:val="0"/>
                <w:sz w:val="18"/>
                <w:szCs w:val="18"/>
              </w:rPr>
            </w:pPr>
            <w:r>
              <w:rPr>
                <w:rFonts w:hint="eastAsia" w:ascii="方正仿宋简体" w:hAnsi="宋体" w:eastAsia="方正仿宋简体"/>
                <w:b/>
                <w:bCs/>
                <w:color w:val="000000"/>
                <w:kern w:val="0"/>
                <w:sz w:val="18"/>
                <w:szCs w:val="18"/>
              </w:rPr>
              <w:t>改进建议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204"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IV级风险</w:t>
            </w:r>
          </w:p>
        </w:tc>
        <w:tc>
          <w:tcPr>
            <w:tcW w:w="1563"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严重风险</w:t>
            </w:r>
          </w:p>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（绝对不能容忍）</w:t>
            </w:r>
          </w:p>
        </w:tc>
        <w:tc>
          <w:tcPr>
            <w:tcW w:w="3440"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必须通过工程和/或管理、技术上的专门措施，限期（不超过六个月内）把风险降低到级别II或以下。</w:t>
            </w:r>
          </w:p>
        </w:tc>
        <w:tc>
          <w:tcPr>
            <w:tcW w:w="2873"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需要并制定专门的管理方案予以削减。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trPr>
        <w:tc>
          <w:tcPr>
            <w:tcW w:w="1204" w:type="dxa"/>
            <w:vAlign w:val="center"/>
          </w:tcPr>
          <w:p>
            <w:pPr>
              <w:widowControl/>
              <w:snapToGrid w:val="0"/>
              <w:jc w:val="center"/>
              <w:rPr>
                <w:rFonts w:hint="eastAsia" w:ascii="方正仿宋简体" w:hAnsi="宋体" w:eastAsia="方正仿宋简体"/>
                <w:spacing w:val="-4"/>
                <w:kern w:val="0"/>
                <w:sz w:val="18"/>
                <w:szCs w:val="18"/>
              </w:rPr>
            </w:pPr>
            <w:r>
              <w:rPr>
                <w:rFonts w:hint="eastAsia" w:ascii="方正仿宋简体" w:hAnsi="宋体" w:eastAsia="方正仿宋简体"/>
                <w:spacing w:val="-4"/>
                <w:kern w:val="0"/>
                <w:sz w:val="18"/>
                <w:szCs w:val="18"/>
              </w:rPr>
              <w:t>III级风险</w:t>
            </w:r>
          </w:p>
        </w:tc>
        <w:tc>
          <w:tcPr>
            <w:tcW w:w="1563"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高度风险</w:t>
            </w:r>
          </w:p>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（难以容忍）</w:t>
            </w:r>
          </w:p>
        </w:tc>
        <w:tc>
          <w:tcPr>
            <w:tcW w:w="3440"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应当通过工程和/或管理、技术上的控制措施，在一个具体的时间段（12个月）内，把风险降低到级别II或以下。</w:t>
            </w:r>
          </w:p>
        </w:tc>
        <w:tc>
          <w:tcPr>
            <w:tcW w:w="2873"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需要并制定专门的管理方案予以削减。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1" w:hRule="atLeast"/>
        </w:trPr>
        <w:tc>
          <w:tcPr>
            <w:tcW w:w="1204"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II级风险</w:t>
            </w:r>
          </w:p>
        </w:tc>
        <w:tc>
          <w:tcPr>
            <w:tcW w:w="1563"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中度风险</w:t>
            </w:r>
          </w:p>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（在控制措施落实的条件下可以容忍）</w:t>
            </w:r>
          </w:p>
        </w:tc>
        <w:tc>
          <w:tcPr>
            <w:tcW w:w="3440"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具体依据成本情况采取措施。需要确认程序和控制措施已经落实，强调对它们的维护工作。</w:t>
            </w:r>
          </w:p>
        </w:tc>
        <w:tc>
          <w:tcPr>
            <w:tcW w:w="2873"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个案评估。评估现有控制措施是否均有效。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trPr>
        <w:tc>
          <w:tcPr>
            <w:tcW w:w="1204"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I级风险</w:t>
            </w:r>
          </w:p>
        </w:tc>
        <w:tc>
          <w:tcPr>
            <w:tcW w:w="1563" w:type="dxa"/>
            <w:vAlign w:val="center"/>
          </w:tcPr>
          <w:p>
            <w:pPr>
              <w:widowControl/>
              <w:snapToGrid w:val="0"/>
              <w:jc w:val="center"/>
              <w:rPr>
                <w:rFonts w:hint="eastAsia" w:ascii="方正仿宋简体" w:hAnsi="宋体" w:eastAsia="方正仿宋简体"/>
                <w:kern w:val="0"/>
                <w:sz w:val="18"/>
                <w:szCs w:val="18"/>
              </w:rPr>
            </w:pPr>
            <w:r>
              <w:rPr>
                <w:rFonts w:hint="eastAsia" w:ascii="方正仿宋简体" w:hAnsi="宋体" w:eastAsia="方正仿宋简体"/>
                <w:kern w:val="0"/>
                <w:sz w:val="18"/>
                <w:szCs w:val="18"/>
              </w:rPr>
              <w:t>可以接受</w:t>
            </w:r>
          </w:p>
        </w:tc>
        <w:tc>
          <w:tcPr>
            <w:tcW w:w="3440"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不需要采取进一步措施降低风险。</w:t>
            </w:r>
          </w:p>
        </w:tc>
        <w:tc>
          <w:tcPr>
            <w:tcW w:w="2873" w:type="dxa"/>
            <w:vAlign w:val="center"/>
          </w:tcPr>
          <w:p>
            <w:pPr>
              <w:widowControl/>
              <w:snapToGrid w:val="0"/>
              <w:rPr>
                <w:rFonts w:hint="eastAsia" w:ascii="方正仿宋简体" w:hAnsi="宋体" w:eastAsia="方正仿宋简体"/>
                <w:kern w:val="0"/>
                <w:sz w:val="18"/>
                <w:szCs w:val="18"/>
              </w:rPr>
            </w:pPr>
            <w:r>
              <w:rPr>
                <w:rFonts w:hint="eastAsia" w:ascii="方正仿宋简体" w:hAnsi="宋体" w:eastAsia="方正仿宋简体"/>
                <w:kern w:val="0"/>
                <w:sz w:val="18"/>
                <w:szCs w:val="18"/>
              </w:rPr>
              <w:t>不需要。可适当考虑提高安全水平的机会。（在工艺危害分析范围之外）</w:t>
            </w:r>
          </w:p>
        </w:tc>
      </w:tr>
    </w:tbl>
    <w:p>
      <w:pPr>
        <w:pStyle w:val="74"/>
        <w:ind w:left="0" w:leftChars="0" w:firstLine="0" w:firstLineChars="0"/>
        <w:rPr>
          <w:rFonts w:hint="eastAsia" w:ascii="方正仿宋简体" w:eastAsia="方正仿宋简体"/>
          <w:color w:val="000000"/>
          <w:sz w:val="28"/>
          <w:szCs w:val="28"/>
        </w:rPr>
      </w:pPr>
    </w:p>
    <w:p>
      <w:pPr>
        <w:pStyle w:val="74"/>
        <w:rPr>
          <w:rFonts w:hint="eastAsia" w:ascii="方正仿宋简体" w:eastAsia="方正仿宋简体"/>
          <w:color w:val="000000"/>
          <w:sz w:val="28"/>
          <w:szCs w:val="28"/>
        </w:rPr>
      </w:pPr>
    </w:p>
    <w:p>
      <w:pPr>
        <w:pStyle w:val="74"/>
        <w:rPr>
          <w:rFonts w:hint="eastAsia" w:ascii="方正仿宋简体" w:eastAsia="方正仿宋简体"/>
          <w:color w:val="000000"/>
          <w:sz w:val="28"/>
          <w:szCs w:val="28"/>
        </w:rPr>
      </w:pPr>
      <w:r>
        <w:rPr>
          <w:rFonts w:hint="eastAsia" w:ascii="方正仿宋简体" w:eastAsia="方正仿宋简体"/>
          <w:color w:val="000000"/>
          <w:sz w:val="28"/>
          <w:szCs w:val="28"/>
        </w:rPr>
        <w:t>3.后果的严重性解释</w:t>
      </w:r>
    </w:p>
    <w:tbl>
      <w:tblPr>
        <w:tblStyle w:val="51"/>
        <w:tblpPr w:leftFromText="180" w:rightFromText="180" w:vertAnchor="text" w:horzAnchor="page" w:tblpX="643" w:tblpY="82"/>
        <w:tblOverlap w:val="never"/>
        <w:tblW w:w="109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5"/>
        <w:gridCol w:w="2625"/>
        <w:gridCol w:w="1845"/>
        <w:gridCol w:w="3855"/>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blHeader/>
        </w:trPr>
        <w:tc>
          <w:tcPr>
            <w:tcW w:w="915" w:type="dxa"/>
            <w:vMerge w:val="restart"/>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严重性</w:t>
            </w:r>
          </w:p>
        </w:tc>
        <w:tc>
          <w:tcPr>
            <w:tcW w:w="10080" w:type="dxa"/>
            <w:gridSpan w:val="4"/>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blHeader/>
        </w:trPr>
        <w:tc>
          <w:tcPr>
            <w:tcW w:w="915" w:type="dxa"/>
            <w:vMerge w:val="continue"/>
            <w:vAlign w:val="center"/>
          </w:tcPr>
          <w:p>
            <w:pPr>
              <w:spacing w:line="240" w:lineRule="exact"/>
              <w:contextualSpacing/>
              <w:jc w:val="center"/>
              <w:rPr>
                <w:rFonts w:hint="eastAsia" w:ascii="方正仿宋简体" w:eastAsia="方正仿宋简体"/>
                <w:b/>
                <w:color w:val="000000"/>
                <w:sz w:val="18"/>
                <w:szCs w:val="18"/>
              </w:rPr>
            </w:pPr>
          </w:p>
        </w:tc>
        <w:tc>
          <w:tcPr>
            <w:tcW w:w="2625" w:type="dxa"/>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人员</w:t>
            </w:r>
          </w:p>
        </w:tc>
        <w:tc>
          <w:tcPr>
            <w:tcW w:w="1845" w:type="dxa"/>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财产</w:t>
            </w:r>
          </w:p>
        </w:tc>
        <w:tc>
          <w:tcPr>
            <w:tcW w:w="3855" w:type="dxa"/>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环境</w:t>
            </w:r>
          </w:p>
        </w:tc>
        <w:tc>
          <w:tcPr>
            <w:tcW w:w="1755" w:type="dxa"/>
            <w:vAlign w:val="center"/>
          </w:tcPr>
          <w:p>
            <w:pPr>
              <w:spacing w:line="240" w:lineRule="exact"/>
              <w:contextualSpacing/>
              <w:jc w:val="center"/>
              <w:rPr>
                <w:rFonts w:hint="eastAsia" w:ascii="方正仿宋简体" w:eastAsia="方正仿宋简体"/>
                <w:b/>
                <w:color w:val="000000"/>
                <w:sz w:val="18"/>
                <w:szCs w:val="18"/>
              </w:rPr>
            </w:pPr>
            <w:r>
              <w:rPr>
                <w:rFonts w:hint="eastAsia" w:ascii="方正仿宋简体" w:eastAsia="方正仿宋简体"/>
                <w:b/>
                <w:color w:val="000000"/>
                <w:sz w:val="18"/>
                <w:szCs w:val="18"/>
              </w:rPr>
              <w:t>社会影响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3" w:hRule="atLeast"/>
        </w:trPr>
        <w:tc>
          <w:tcPr>
            <w:tcW w:w="915" w:type="dxa"/>
            <w:vAlign w:val="center"/>
          </w:tcPr>
          <w:p>
            <w:pPr>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0</w:t>
            </w:r>
          </w:p>
        </w:tc>
        <w:tc>
          <w:tcPr>
            <w:tcW w:w="2625" w:type="dxa"/>
            <w:vAlign w:val="center"/>
          </w:tcPr>
          <w:p>
            <w:pPr>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没有人员受伤或健康影响</w:t>
            </w:r>
          </w:p>
        </w:tc>
        <w:tc>
          <w:tcPr>
            <w:tcW w:w="1845" w:type="dxa"/>
            <w:vAlign w:val="center"/>
          </w:tcPr>
          <w:p>
            <w:pPr>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没有损失</w:t>
            </w:r>
          </w:p>
        </w:tc>
        <w:tc>
          <w:tcPr>
            <w:tcW w:w="3855" w:type="dxa"/>
            <w:vAlign w:val="center"/>
          </w:tcPr>
          <w:p>
            <w:pPr>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没有影响</w:t>
            </w:r>
          </w:p>
        </w:tc>
        <w:tc>
          <w:tcPr>
            <w:tcW w:w="1755" w:type="dxa"/>
            <w:vAlign w:val="center"/>
          </w:tcPr>
          <w:p>
            <w:pPr>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没有影响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trPr>
        <w:tc>
          <w:tcPr>
            <w:tcW w:w="915" w:type="dxa"/>
            <w:vAlign w:val="center"/>
          </w:tcPr>
          <w:p>
            <w:pPr>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1</w:t>
            </w:r>
          </w:p>
        </w:tc>
        <w:tc>
          <w:tcPr>
            <w:tcW w:w="262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轻微受伤或健康影响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没有医疗处理或急救事件</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疾病导致可感觉到不适，轻微刺激或停止暴露后能迅速复原</w:t>
            </w:r>
          </w:p>
        </w:tc>
        <w:tc>
          <w:tcPr>
            <w:tcW w:w="184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轻微损失</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损失少于1000元人民币</w:t>
            </w:r>
          </w:p>
        </w:tc>
        <w:tc>
          <w:tcPr>
            <w:tcW w:w="38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轻微影响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 xml:space="preserve">轻微环境破坏 </w:t>
            </w: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企业内部可控，例如</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工艺区或罐区小型泄漏容易消散</w:t>
            </w:r>
          </w:p>
        </w:tc>
        <w:tc>
          <w:tcPr>
            <w:tcW w:w="1755" w:type="dxa"/>
            <w:vAlign w:val="center"/>
          </w:tcPr>
          <w:p>
            <w:pPr>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轻微影响</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当地公众不知道</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没有媒体报道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915" w:type="dxa"/>
            <w:vAlign w:val="center"/>
          </w:tcPr>
          <w:p>
            <w:pPr>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2</w:t>
            </w:r>
          </w:p>
        </w:tc>
        <w:tc>
          <w:tcPr>
            <w:tcW w:w="262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较小受伤或健康影响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急救箱，医疗处理，限工事件</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可恢复性的健康疾病事件如食物中毒和皮疹</w:t>
            </w:r>
          </w:p>
        </w:tc>
        <w:tc>
          <w:tcPr>
            <w:tcW w:w="184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较小损失</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损失介于1千至1万元人民币</w:t>
            </w:r>
          </w:p>
        </w:tc>
        <w:tc>
          <w:tcPr>
            <w:tcW w:w="38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较小影响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较小环境破坏，但没有持续影响例如：</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无毒、易降解废物轻微泄漏</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无毒、易降解废物少量进入非饮用水源</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10人以下投诉</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中、低含硫废气少量泄漏或无组织排放</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噪声污染</w:t>
            </w:r>
          </w:p>
        </w:tc>
        <w:tc>
          <w:tcPr>
            <w:tcW w:w="1755" w:type="dxa"/>
            <w:vAlign w:val="center"/>
          </w:tcPr>
          <w:p>
            <w:pPr>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较小影响</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当地公众关注</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未出现媒体报道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03" w:hRule="atLeast"/>
        </w:trPr>
        <w:tc>
          <w:tcPr>
            <w:tcW w:w="915" w:type="dxa"/>
            <w:vAlign w:val="center"/>
          </w:tcPr>
          <w:p>
            <w:pPr>
              <w:autoSpaceDE w:val="0"/>
              <w:autoSpaceDN w:val="0"/>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3</w:t>
            </w:r>
          </w:p>
        </w:tc>
        <w:tc>
          <w:tcPr>
            <w:tcW w:w="262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较大受伤或健康影响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损失工作日及以上事件</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不可逆健康疾病，如嗅觉、听力、慢性脊柱不适或重复性劳损</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由于压力产生的可恢复性精神疾病</w:t>
            </w:r>
          </w:p>
        </w:tc>
        <w:tc>
          <w:tcPr>
            <w:tcW w:w="184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中等损失</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损失介于1万-100万元人民币之间</w:t>
            </w:r>
          </w:p>
        </w:tc>
        <w:tc>
          <w:tcPr>
            <w:tcW w:w="38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中等影响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对环境的破坏有限必须或根据需要进行简单清理</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例如</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从管线泄漏到荒地、滩涂、非自然保护区等低敏感区域，要求对大量的泥沙进行清除和处理</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野生环境影响和破坏，例如轻微污染农田、鱼塘、自然保护区、饮用水源等高敏感区域，但不造成恶劣影响和持续性效果</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社区、组织投诉（或10人以上个体投诉）</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中、低含硫废气持续泄漏或无组织排放，高含硫废气少量泄漏或无组织排放，但不造成人员伤亡的</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轻度地下水污染</w:t>
            </w:r>
          </w:p>
        </w:tc>
        <w:tc>
          <w:tcPr>
            <w:tcW w:w="17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 xml:space="preserve">中等影响 </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区域公众关注</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当地利益相关方、如社区，行业和政府知悉</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当地媒体广泛关注。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trPr>
        <w:tc>
          <w:tcPr>
            <w:tcW w:w="915" w:type="dxa"/>
            <w:vAlign w:val="center"/>
          </w:tcPr>
          <w:p>
            <w:pPr>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4</w:t>
            </w:r>
          </w:p>
        </w:tc>
        <w:tc>
          <w:tcPr>
            <w:tcW w:w="262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 xml:space="preserve"> 永久性完全伤残，10人以下重伤,3人及以下死亡</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不可复原性健康疾病如石棉和矽肺</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癌症</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压力引起的不可复原性精神疾病</w:t>
            </w:r>
          </w:p>
        </w:tc>
        <w:tc>
          <w:tcPr>
            <w:tcW w:w="184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较大损失</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损失介于1百万-1千万元人民币之间</w:t>
            </w:r>
          </w:p>
        </w:tc>
        <w:tc>
          <w:tcPr>
            <w:tcW w:w="38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较大影响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 xml:space="preserve"> 对环境造成较大破坏必须采取多种措施来恢复环境：例如</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污染居民饮用水源造成持续效果或恶劣影响，大面积污染农田、鱼塘、自然保护区等高敏感区域</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重大地下水污染</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来自当地社区、组织、或政府的投诉</w:t>
            </w:r>
          </w:p>
        </w:tc>
        <w:tc>
          <w:tcPr>
            <w:tcW w:w="1755" w:type="dxa"/>
            <w:vAlign w:val="center"/>
          </w:tcPr>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b/>
                <w:color w:val="000000"/>
                <w:sz w:val="18"/>
                <w:szCs w:val="18"/>
              </w:rPr>
              <w:t>较大影响</w:t>
            </w:r>
            <w:r>
              <w:rPr>
                <w:rFonts w:hint="eastAsia" w:ascii="方正仿宋简体" w:hAnsi="宋体" w:eastAsia="方正仿宋简体"/>
                <w:color w:val="000000"/>
                <w:sz w:val="18"/>
                <w:szCs w:val="18"/>
              </w:rPr>
              <w:t xml:space="preserve"> - 可能对中石油的声誉产生影响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国内公众关注</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影响与当地和国家利益相关方的关系，如政府介入</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国家媒体广泛关注，部分国际媒体报道</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可能产生法律行动导致限产或影响生产许可证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5" w:hRule="atLeast"/>
        </w:trPr>
        <w:tc>
          <w:tcPr>
            <w:tcW w:w="915" w:type="dxa"/>
            <w:vAlign w:val="center"/>
          </w:tcPr>
          <w:p>
            <w:pPr>
              <w:autoSpaceDE w:val="0"/>
              <w:autoSpaceDN w:val="0"/>
              <w:spacing w:line="240" w:lineRule="exact"/>
              <w:contextualSpacing/>
              <w:jc w:val="center"/>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5</w:t>
            </w:r>
          </w:p>
        </w:tc>
        <w:tc>
          <w:tcPr>
            <w:tcW w:w="262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3人以上死亡或10人以上重伤</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多个不可复原健康影响病例由单一暴露引起的多个石棉肺案例</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暴露人群中大量癌症病例</w:t>
            </w:r>
          </w:p>
        </w:tc>
        <w:tc>
          <w:tcPr>
            <w:tcW w:w="184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 xml:space="preserve">重大损失 </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损失超过1千万元人民币</w:t>
            </w:r>
          </w:p>
        </w:tc>
        <w:tc>
          <w:tcPr>
            <w:tcW w:w="3855" w:type="dxa"/>
            <w:vAlign w:val="center"/>
          </w:tcPr>
          <w:p>
            <w:pPr>
              <w:autoSpaceDE w:val="0"/>
              <w:autoSpaceDN w:val="0"/>
              <w:spacing w:line="240" w:lineRule="exact"/>
              <w:contextualSpacing/>
              <w:rPr>
                <w:rFonts w:hint="eastAsia" w:ascii="方正仿宋简体" w:hAnsi="宋体" w:eastAsia="方正仿宋简体"/>
                <w:b/>
                <w:color w:val="000000"/>
                <w:sz w:val="18"/>
                <w:szCs w:val="18"/>
              </w:rPr>
            </w:pPr>
            <w:r>
              <w:rPr>
                <w:rFonts w:hint="eastAsia" w:ascii="方正仿宋简体" w:hAnsi="宋体" w:eastAsia="方正仿宋简体"/>
                <w:b/>
                <w:color w:val="000000"/>
                <w:sz w:val="18"/>
                <w:szCs w:val="18"/>
              </w:rPr>
              <w:t>重大影响</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持续严重环境破坏将导致失去商机</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color w:val="000000"/>
                <w:sz w:val="18"/>
                <w:szCs w:val="18"/>
              </w:rPr>
              <w:t>广阔野外环境无法使用或自然资源灭绝，例如</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大量排放高含硫废气造成重大损失</w:t>
            </w:r>
          </w:p>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违法排放、倾倒、处置有放射性废物、含传染性病原体废物和有毒物质，造成环境不可逆影响.</w:t>
            </w:r>
          </w:p>
          <w:p>
            <w:pPr>
              <w:autoSpaceDE w:val="0"/>
              <w:autoSpaceDN w:val="0"/>
              <w:spacing w:line="240" w:lineRule="exact"/>
              <w:contextualSpacing/>
              <w:rPr>
                <w:rFonts w:hint="eastAsia" w:ascii="方正仿宋简体" w:hAnsi="宋体" w:eastAsia="方正仿宋简体"/>
                <w:color w:val="000000"/>
                <w:sz w:val="18"/>
                <w:szCs w:val="18"/>
              </w:rPr>
            </w:pPr>
          </w:p>
        </w:tc>
        <w:tc>
          <w:tcPr>
            <w:tcW w:w="1755" w:type="dxa"/>
            <w:vAlign w:val="center"/>
          </w:tcPr>
          <w:p>
            <w:pPr>
              <w:autoSpaceDE w:val="0"/>
              <w:autoSpaceDN w:val="0"/>
              <w:spacing w:line="240" w:lineRule="exact"/>
              <w:contextualSpacing/>
              <w:rPr>
                <w:rFonts w:hint="eastAsia" w:ascii="方正仿宋简体" w:hAnsi="宋体" w:eastAsia="方正仿宋简体"/>
                <w:color w:val="000000"/>
                <w:sz w:val="18"/>
                <w:szCs w:val="18"/>
              </w:rPr>
            </w:pPr>
            <w:r>
              <w:rPr>
                <w:rFonts w:hint="eastAsia" w:ascii="方正仿宋简体" w:hAnsi="宋体" w:eastAsia="方正仿宋简体"/>
                <w:b/>
                <w:color w:val="000000"/>
                <w:sz w:val="18"/>
                <w:szCs w:val="18"/>
              </w:rPr>
              <w:t>重大影响</w:t>
            </w:r>
            <w:r>
              <w:rPr>
                <w:rFonts w:hint="eastAsia" w:ascii="方正仿宋简体" w:hAnsi="宋体" w:eastAsia="方正仿宋简体"/>
                <w:color w:val="000000"/>
                <w:sz w:val="18"/>
                <w:szCs w:val="18"/>
              </w:rPr>
              <w:t>，严重影响中石油声誉</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国际公众关注</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政府高层关注</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国际媒体关注</w:t>
            </w:r>
          </w:p>
          <w:p>
            <w:pPr>
              <w:spacing w:line="240" w:lineRule="exact"/>
              <w:contextualSpacing/>
              <w:rPr>
                <w:rFonts w:hint="eastAsia" w:ascii="方正仿宋简体" w:hAnsi="宋体" w:eastAsia="方正仿宋简体"/>
                <w:color w:val="000000"/>
                <w:sz w:val="18"/>
                <w:szCs w:val="18"/>
              </w:rPr>
            </w:pPr>
            <w:r>
              <w:rPr>
                <w:rFonts w:hint="eastAsia" w:ascii="宋体" w:hAnsi="宋体" w:cs="宋体"/>
                <w:color w:val="000000"/>
                <w:sz w:val="18"/>
                <w:szCs w:val="18"/>
              </w:rPr>
              <w:t>•</w:t>
            </w:r>
            <w:r>
              <w:rPr>
                <w:rFonts w:hint="eastAsia" w:ascii="方正仿宋简体" w:hAnsi="宋体" w:eastAsia="方正仿宋简体"/>
                <w:color w:val="000000"/>
                <w:sz w:val="18"/>
                <w:szCs w:val="18"/>
              </w:rPr>
              <w:t xml:space="preserve">  对国家或国际标准将产生重大影响，影响进入新区块、政府津贴和/或税收立法</w:t>
            </w:r>
          </w:p>
        </w:tc>
      </w:tr>
    </w:tbl>
    <w:p>
      <w:pPr>
        <w:pStyle w:val="74"/>
        <w:numPr>
          <w:ilvl w:val="0"/>
          <w:numId w:val="0"/>
        </w:numPr>
        <w:autoSpaceDE w:val="0"/>
        <w:autoSpaceDN w:val="0"/>
        <w:adjustRightInd w:val="0"/>
        <w:spacing w:before="120"/>
        <w:rPr>
          <w:rFonts w:hint="eastAsia" w:ascii="方正仿宋简体" w:eastAsia="方正仿宋简体"/>
          <w:color w:val="000000"/>
          <w:sz w:val="28"/>
          <w:szCs w:val="28"/>
          <w:lang w:val="en-US" w:eastAsia="zh-CN"/>
        </w:rPr>
      </w:pPr>
    </w:p>
    <w:p>
      <w:pPr>
        <w:pStyle w:val="74"/>
        <w:numPr>
          <w:ilvl w:val="0"/>
          <w:numId w:val="0"/>
        </w:numPr>
        <w:autoSpaceDE w:val="0"/>
        <w:autoSpaceDN w:val="0"/>
        <w:adjustRightInd w:val="0"/>
        <w:spacing w:before="120"/>
        <w:ind w:firstLine="560" w:firstLineChars="200"/>
        <w:rPr>
          <w:rFonts w:hint="eastAsia" w:ascii="方正仿宋简体" w:eastAsia="方正仿宋简体"/>
          <w:color w:val="000000"/>
          <w:sz w:val="28"/>
          <w:szCs w:val="28"/>
        </w:rPr>
      </w:pPr>
      <w:r>
        <w:rPr>
          <w:rFonts w:hint="eastAsia" w:ascii="方正仿宋简体" w:eastAsia="方正仿宋简体"/>
          <w:color w:val="000000"/>
          <w:sz w:val="28"/>
          <w:szCs w:val="28"/>
          <w:lang w:val="en-US" w:eastAsia="zh-CN"/>
        </w:rPr>
        <w:t>4.</w:t>
      </w:r>
      <w:r>
        <w:rPr>
          <w:rFonts w:hint="eastAsia" w:ascii="方正仿宋简体" w:eastAsia="方正仿宋简体"/>
          <w:color w:val="000000"/>
          <w:sz w:val="28"/>
          <w:szCs w:val="28"/>
        </w:rPr>
        <w:t>产生后果的可能性的解释</w:t>
      </w:r>
    </w:p>
    <w:p>
      <w:pPr>
        <w:pStyle w:val="74"/>
        <w:numPr>
          <w:ilvl w:val="0"/>
          <w:numId w:val="0"/>
        </w:numPr>
        <w:autoSpaceDE w:val="0"/>
        <w:autoSpaceDN w:val="0"/>
        <w:adjustRightInd w:val="0"/>
        <w:spacing w:before="120"/>
        <w:ind w:leftChars="200"/>
        <w:rPr>
          <w:rFonts w:hint="eastAsia" w:ascii="方正仿宋简体" w:eastAsia="方正仿宋简体"/>
          <w:color w:val="000000"/>
          <w:sz w:val="28"/>
          <w:szCs w:val="28"/>
        </w:rPr>
      </w:pPr>
    </w:p>
    <w:tbl>
      <w:tblPr>
        <w:tblStyle w:val="51"/>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877"/>
        <w:gridCol w:w="1544"/>
        <w:gridCol w:w="1731"/>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8760" w:type="dxa"/>
            <w:gridSpan w:val="5"/>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b/>
                <w:color w:val="000000"/>
                <w:sz w:val="21"/>
                <w:szCs w:val="21"/>
              </w:rPr>
            </w:pPr>
            <w:r>
              <w:rPr>
                <w:rFonts w:hint="eastAsia" w:ascii="方正仿宋简体" w:hAnsi="宋体" w:eastAsia="方正仿宋简体"/>
                <w:b/>
                <w:color w:val="000000"/>
                <w:sz w:val="21"/>
                <w:szCs w:val="21"/>
              </w:rPr>
              <w:t>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878" w:type="dxa"/>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A</w:t>
            </w:r>
          </w:p>
        </w:tc>
        <w:tc>
          <w:tcPr>
            <w:tcW w:w="1877" w:type="dxa"/>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B</w:t>
            </w:r>
          </w:p>
        </w:tc>
        <w:tc>
          <w:tcPr>
            <w:tcW w:w="1544" w:type="dxa"/>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C</w:t>
            </w:r>
          </w:p>
        </w:tc>
        <w:tc>
          <w:tcPr>
            <w:tcW w:w="1731" w:type="dxa"/>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D</w:t>
            </w:r>
          </w:p>
        </w:tc>
        <w:tc>
          <w:tcPr>
            <w:tcW w:w="1730" w:type="dxa"/>
            <w:vAlign w:val="top"/>
          </w:tcPr>
          <w:p>
            <w:pPr>
              <w:pStyle w:val="74"/>
              <w:autoSpaceDE w:val="0"/>
              <w:autoSpaceDN w:val="0"/>
              <w:adjustRightInd w:val="0"/>
              <w:snapToGrid w:val="0"/>
              <w:spacing w:before="100" w:beforeAutospacing="1" w:after="100" w:afterAutospacing="1" w:line="240" w:lineRule="auto"/>
              <w:ind w:left="0"/>
              <w:jc w:val="center"/>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1" w:hRule="atLeast"/>
          <w:jc w:val="center"/>
        </w:trPr>
        <w:tc>
          <w:tcPr>
            <w:tcW w:w="1878" w:type="dxa"/>
            <w:vAlign w:val="center"/>
          </w:tcPr>
          <w:p>
            <w:pPr>
              <w:pStyle w:val="74"/>
              <w:autoSpaceDE w:val="0"/>
              <w:autoSpaceDN w:val="0"/>
              <w:adjustRightInd w:val="0"/>
              <w:snapToGrid w:val="0"/>
              <w:spacing w:before="100" w:beforeAutospacing="1" w:after="100" w:afterAutospacing="1" w:line="240" w:lineRule="auto"/>
              <w:ind w:left="0"/>
              <w:jc w:val="both"/>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全球石油化工行业从未听说过</w:t>
            </w:r>
          </w:p>
        </w:tc>
        <w:tc>
          <w:tcPr>
            <w:tcW w:w="1877" w:type="dxa"/>
            <w:vAlign w:val="center"/>
          </w:tcPr>
          <w:p>
            <w:pPr>
              <w:pStyle w:val="74"/>
              <w:autoSpaceDE w:val="0"/>
              <w:autoSpaceDN w:val="0"/>
              <w:adjustRightInd w:val="0"/>
              <w:snapToGrid w:val="0"/>
              <w:spacing w:before="100" w:beforeAutospacing="1" w:after="100" w:afterAutospacing="1" w:line="240" w:lineRule="auto"/>
              <w:ind w:left="0"/>
              <w:jc w:val="both"/>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全球石油化工行业内曾经有所闻</w:t>
            </w:r>
          </w:p>
        </w:tc>
        <w:tc>
          <w:tcPr>
            <w:tcW w:w="1544" w:type="dxa"/>
            <w:vAlign w:val="center"/>
          </w:tcPr>
          <w:p>
            <w:pPr>
              <w:pStyle w:val="74"/>
              <w:autoSpaceDE w:val="0"/>
              <w:autoSpaceDN w:val="0"/>
              <w:adjustRightInd w:val="0"/>
              <w:snapToGrid w:val="0"/>
              <w:spacing w:before="100" w:beforeAutospacing="1" w:after="100" w:afterAutospacing="1" w:line="240" w:lineRule="auto"/>
              <w:ind w:left="0"/>
              <w:jc w:val="both"/>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中石油企业内曾经发生过类似事件</w:t>
            </w:r>
          </w:p>
        </w:tc>
        <w:tc>
          <w:tcPr>
            <w:tcW w:w="1731" w:type="dxa"/>
            <w:vAlign w:val="center"/>
          </w:tcPr>
          <w:p>
            <w:pPr>
              <w:pStyle w:val="74"/>
              <w:autoSpaceDE w:val="0"/>
              <w:autoSpaceDN w:val="0"/>
              <w:adjustRightInd w:val="0"/>
              <w:snapToGrid w:val="0"/>
              <w:spacing w:before="100" w:beforeAutospacing="1" w:after="100" w:afterAutospacing="1" w:line="240" w:lineRule="auto"/>
              <w:ind w:left="0"/>
              <w:jc w:val="both"/>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西南油气田分公司一年发生过一起类似事件</w:t>
            </w:r>
          </w:p>
        </w:tc>
        <w:tc>
          <w:tcPr>
            <w:tcW w:w="1730" w:type="dxa"/>
            <w:vAlign w:val="center"/>
          </w:tcPr>
          <w:p>
            <w:pPr>
              <w:pStyle w:val="74"/>
              <w:autoSpaceDE w:val="0"/>
              <w:autoSpaceDN w:val="0"/>
              <w:adjustRightInd w:val="0"/>
              <w:snapToGrid w:val="0"/>
              <w:spacing w:before="100" w:beforeAutospacing="1" w:after="100" w:afterAutospacing="1" w:line="240" w:lineRule="auto"/>
              <w:ind w:left="0"/>
              <w:jc w:val="both"/>
              <w:rPr>
                <w:rFonts w:hint="eastAsia" w:ascii="方正仿宋简体" w:hAnsi="宋体" w:eastAsia="方正仿宋简体"/>
                <w:color w:val="000000"/>
                <w:sz w:val="21"/>
                <w:szCs w:val="21"/>
              </w:rPr>
            </w:pPr>
            <w:r>
              <w:rPr>
                <w:rFonts w:hint="eastAsia" w:ascii="方正仿宋简体" w:hAnsi="宋体" w:eastAsia="方正仿宋简体"/>
                <w:color w:val="000000"/>
                <w:sz w:val="21"/>
                <w:szCs w:val="21"/>
              </w:rPr>
              <w:t>西南油气田分公司一年发生过多起类似事件</w:t>
            </w:r>
          </w:p>
        </w:tc>
      </w:tr>
    </w:tbl>
    <w:p>
      <w:pPr>
        <w:pStyle w:val="74"/>
        <w:rPr>
          <w:rFonts w:hint="eastAsia" w:ascii="方正仿宋简体" w:hAnsi="Arial" w:eastAsia="方正仿宋简体" w:cs="Arial"/>
          <w:color w:val="000000"/>
          <w:sz w:val="28"/>
          <w:szCs w:val="28"/>
        </w:rPr>
      </w:pPr>
    </w:p>
    <w:p>
      <w:pPr>
        <w:pStyle w:val="74"/>
        <w:rPr>
          <w:rFonts w:hint="eastAsia" w:ascii="方正仿宋简体" w:hAnsi="Arial" w:eastAsia="方正仿宋简体" w:cs="Arial"/>
          <w:color w:val="000000"/>
          <w:sz w:val="28"/>
          <w:szCs w:val="28"/>
        </w:rPr>
      </w:pPr>
      <w:r>
        <w:rPr>
          <w:rFonts w:hint="eastAsia" w:ascii="方正仿宋简体" w:hAnsi="Arial" w:eastAsia="方正仿宋简体" w:cs="Arial"/>
          <w:color w:val="000000"/>
          <w:sz w:val="28"/>
          <w:szCs w:val="28"/>
        </w:rPr>
        <w:t>5.RAM评估包含4个主要步骤:</w:t>
      </w:r>
    </w:p>
    <w:p>
      <w:pPr>
        <w:pStyle w:val="74"/>
        <w:spacing w:after="0" w:line="240" w:lineRule="auto"/>
        <w:ind w:left="0" w:leftChars="0" w:firstLine="560" w:firstLineChars="200"/>
        <w:rPr>
          <w:rFonts w:hint="eastAsia" w:ascii="方正仿宋简体" w:hAnsi="Arial" w:eastAsia="方正仿宋简体" w:cs="Arial"/>
          <w:color w:val="000000"/>
          <w:sz w:val="28"/>
          <w:szCs w:val="28"/>
        </w:rPr>
      </w:pPr>
      <w:r>
        <w:rPr>
          <w:rFonts w:hint="eastAsia" w:ascii="方正仿宋简体" w:hAnsi="Arial" w:eastAsia="方正仿宋简体" w:cs="Arial"/>
          <w:color w:val="000000"/>
          <w:sz w:val="28"/>
          <w:szCs w:val="28"/>
        </w:rPr>
        <w:t>--识别潜在的后果</w:t>
      </w:r>
    </w:p>
    <w:p>
      <w:pPr>
        <w:ind w:firstLine="560" w:firstLineChars="200"/>
        <w:rPr>
          <w:rFonts w:hint="eastAsia" w:ascii="方正仿宋简体" w:hAnsi="Arial" w:eastAsia="方正仿宋简体" w:cs="Arial"/>
          <w:color w:val="000000"/>
          <w:sz w:val="28"/>
          <w:szCs w:val="28"/>
        </w:rPr>
      </w:pPr>
      <w:r>
        <w:rPr>
          <w:rFonts w:hint="eastAsia" w:ascii="方正仿宋简体" w:hAnsi="Arial" w:eastAsia="方正仿宋简体" w:cs="Arial"/>
          <w:color w:val="000000"/>
          <w:sz w:val="28"/>
          <w:szCs w:val="28"/>
        </w:rPr>
        <w:t xml:space="preserve">--评估每个潜在后果的严重性 </w:t>
      </w:r>
    </w:p>
    <w:p>
      <w:pPr>
        <w:ind w:firstLine="560" w:firstLineChars="200"/>
        <w:rPr>
          <w:rFonts w:hint="eastAsia" w:ascii="方正仿宋简体" w:hAnsi="Arial" w:eastAsia="方正仿宋简体" w:cs="Arial"/>
          <w:color w:val="000000"/>
          <w:sz w:val="28"/>
          <w:szCs w:val="28"/>
        </w:rPr>
      </w:pPr>
      <w:r>
        <w:rPr>
          <w:rFonts w:hint="eastAsia" w:ascii="方正仿宋简体" w:hAnsi="Arial" w:eastAsia="方正仿宋简体" w:cs="Arial"/>
          <w:color w:val="000000"/>
          <w:sz w:val="28"/>
          <w:szCs w:val="28"/>
        </w:rPr>
        <w:t>--评估发生的可能性</w:t>
      </w:r>
    </w:p>
    <w:p>
      <w:pPr>
        <w:ind w:firstLine="560" w:firstLineChars="200"/>
        <w:rPr>
          <w:rFonts w:hint="eastAsia" w:ascii="方正仿宋简体" w:hAnsi="Arial" w:eastAsia="方正仿宋简体" w:cs="Arial"/>
          <w:color w:val="000000"/>
          <w:sz w:val="28"/>
          <w:szCs w:val="28"/>
        </w:rPr>
      </w:pPr>
      <w:r>
        <w:rPr>
          <w:rFonts w:hint="eastAsia" w:ascii="方正仿宋简体" w:hAnsi="Arial" w:eastAsia="方正仿宋简体" w:cs="Arial"/>
          <w:color w:val="000000"/>
          <w:sz w:val="28"/>
          <w:szCs w:val="28"/>
        </w:rPr>
        <w:t>--评估风险级别</w:t>
      </w:r>
    </w:p>
    <w:p>
      <w:pPr>
        <w:spacing w:line="360" w:lineRule="auto"/>
        <w:ind w:firstLine="560" w:firstLineChars="200"/>
        <w:rPr>
          <w:rFonts w:hint="eastAsia" w:ascii="方正仿宋简体" w:eastAsia="方正仿宋简体" w:cs="仿宋_GB2312"/>
          <w:sz w:val="28"/>
          <w:szCs w:val="30"/>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center"/>
        <w:rPr>
          <w:rFonts w:hint="eastAsia" w:ascii="方正小标宋简体" w:eastAsia="方正小标宋简体"/>
          <w:sz w:val="44"/>
          <w:szCs w:val="44"/>
          <w:lang w:val="en-US" w:eastAsia="zh-CN"/>
        </w:rPr>
      </w:pPr>
    </w:p>
    <w:p>
      <w:pPr>
        <w:pStyle w:val="145"/>
        <w:autoSpaceDN w:val="0"/>
        <w:spacing w:line="640" w:lineRule="exact"/>
        <w:jc w:val="both"/>
        <w:rPr>
          <w:rFonts w:hint="eastAsia" w:ascii="方正小标宋简体" w:eastAsia="方正小标宋简体"/>
          <w:sz w:val="44"/>
          <w:szCs w:val="44"/>
          <w:lang w:val="en-US" w:eastAsia="zh-CN"/>
        </w:rPr>
      </w:pPr>
    </w:p>
    <w:p>
      <w:pPr>
        <w:pStyle w:val="145"/>
        <w:keepNext w:val="0"/>
        <w:keepLines w:val="0"/>
        <w:pageBreakBefore w:val="0"/>
        <w:widowControl/>
        <w:kinsoku/>
        <w:wordWrap/>
        <w:overflowPunct/>
        <w:topLinePunct w:val="0"/>
        <w:autoSpaceDE/>
        <w:autoSpaceDN w:val="0"/>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999" w:name="_Toc23242"/>
      <w:bookmarkStart w:id="1000" w:name="_Toc29686"/>
      <w:bookmarkStart w:id="1001" w:name="_Toc23623"/>
      <w:bookmarkStart w:id="1002" w:name="_Toc12629"/>
      <w:bookmarkStart w:id="1003" w:name="_Toc6811"/>
      <w:bookmarkStart w:id="1004" w:name="_Toc26162"/>
      <w:bookmarkStart w:id="1005" w:name="_Toc11362"/>
      <w:bookmarkStart w:id="1006" w:name="_Toc14751"/>
      <w:bookmarkStart w:id="1007" w:name="_Toc19105"/>
      <w:bookmarkStart w:id="1008" w:name="_Toc29088"/>
      <w:bookmarkStart w:id="1009" w:name="_Toc22684"/>
      <w:bookmarkStart w:id="1010" w:name="_Toc1338"/>
      <w:bookmarkStart w:id="1011" w:name="_Toc27932"/>
      <w:r>
        <w:rPr>
          <w:rFonts w:hint="eastAsia" w:ascii="方正小标宋简体" w:eastAsia="方正小标宋简体"/>
          <w:b w:val="0"/>
          <w:bCs w:val="0"/>
          <w:kern w:val="44"/>
          <w:sz w:val="36"/>
          <w:szCs w:val="36"/>
          <w:lang w:val="en-US" w:eastAsia="zh-CN" w:bidi="ar-SA"/>
        </w:rPr>
        <w:t>中油南充燃气有限责任公司安全环保履职考评管理办法</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pPr>
        <w:pStyle w:val="145"/>
        <w:keepNext w:val="0"/>
        <w:keepLines w:val="0"/>
        <w:pageBreakBefore w:val="0"/>
        <w:widowControl/>
        <w:kinsoku/>
        <w:wordWrap/>
        <w:overflowPunct/>
        <w:topLinePunct w:val="0"/>
        <w:autoSpaceDE/>
        <w:autoSpaceDN/>
        <w:bidi w:val="0"/>
        <w:adjustRightInd/>
        <w:snapToGrid/>
        <w:spacing w:line="640" w:lineRule="exact"/>
        <w:jc w:val="center"/>
        <w:textAlignment w:val="auto"/>
        <w:outlineLvl w:val="9"/>
        <w:rPr>
          <w:rFonts w:ascii="方正小标宋简体" w:eastAsia="方正小标宋简体"/>
          <w:sz w:val="36"/>
          <w:szCs w:val="36"/>
        </w:rPr>
      </w:pPr>
    </w:p>
    <w:p>
      <w:pPr>
        <w:pStyle w:val="145"/>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ascii="方正黑体简体" w:eastAsia="方正黑体简体"/>
          <w:sz w:val="30"/>
          <w:szCs w:val="30"/>
        </w:rPr>
      </w:pPr>
      <w:r>
        <w:rPr>
          <w:rFonts w:hint="eastAsia" w:ascii="方正黑体简体" w:eastAsia="方正黑体简体"/>
          <w:sz w:val="30"/>
          <w:szCs w:val="30"/>
        </w:rPr>
        <w:t>第一章  总  则</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第一条</w:t>
      </w:r>
      <w:r>
        <w:rPr>
          <w:rFonts w:hint="eastAsia" w:ascii="方正仿宋简体" w:hAnsi="方正仿宋简体" w:eastAsia="方正仿宋简体" w:cs="方正仿宋简体"/>
          <w:kern w:val="2"/>
          <w:sz w:val="28"/>
          <w:szCs w:val="22"/>
          <w:lang w:val="en-US" w:eastAsia="zh-CN" w:bidi="ar-SA"/>
        </w:rPr>
        <w:t xml:space="preserve">  为规范开展员工安全环保履职考评工作，实行安全生产责任清单式管理，形成安全管理层层负责、各负其责、履职尽责的工作格局，依据《中国石油天然气股份有限公司员工安全环保履职考评管理办法》、《西南油气田公司安全环保履职考评管理办法》的通知等有关规定，制定本办法。</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第二条</w:t>
      </w:r>
      <w:r>
        <w:rPr>
          <w:rFonts w:hint="eastAsia" w:ascii="方正仿宋简体" w:hAnsi="方正仿宋简体" w:eastAsia="方正仿宋简体" w:cs="方正仿宋简体"/>
          <w:kern w:val="2"/>
          <w:sz w:val="28"/>
          <w:szCs w:val="22"/>
          <w:lang w:val="en-US" w:eastAsia="zh-CN" w:bidi="ar-SA"/>
        </w:rPr>
        <w:t xml:space="preserve">  安全环保履职考评包括安全环保履职考核和安全环保履职能力评估。安全环保履职考核，是指对员工在岗期间履行安全环保职责情况进行测评，测评结果纳入业绩考核内容。安全环保履职能力评估，是指对员工是否具备相应岗位所要求的安全环保能力进行评估，评估结果作为上岗考察依据。</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第三条</w:t>
      </w:r>
      <w:r>
        <w:rPr>
          <w:rFonts w:hint="eastAsia" w:ascii="方正仿宋简体" w:hAnsi="方正仿宋简体" w:eastAsia="方正仿宋简体" w:cs="方正仿宋简体"/>
          <w:kern w:val="2"/>
          <w:sz w:val="28"/>
          <w:szCs w:val="22"/>
          <w:lang w:val="en-US" w:eastAsia="zh-CN" w:bidi="ar-SA"/>
        </w:rPr>
        <w:t xml:space="preserve">  安全环保履职考评按领导人员和一般员工两类人员分别组织。领导人员是指按照管理层级由本级组织直接管理的干部，一般员工指各级一般管理人员、专业技术人员和操作服务人员。</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第四条</w:t>
      </w:r>
      <w:r>
        <w:rPr>
          <w:rFonts w:hint="eastAsia" w:ascii="方正仿宋简体" w:hAnsi="方正仿宋简体" w:eastAsia="方正仿宋简体" w:cs="方正仿宋简体"/>
          <w:kern w:val="2"/>
          <w:sz w:val="28"/>
          <w:szCs w:val="22"/>
          <w:lang w:val="en-US" w:eastAsia="zh-CN" w:bidi="ar-SA"/>
        </w:rPr>
        <w:t xml:space="preserve">  安全环保履职考评应遵循“统一领导、分级负责、逐级考评、全员覆盖”的原则。</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第五条</w:t>
      </w:r>
      <w:r>
        <w:rPr>
          <w:rFonts w:hint="eastAsia" w:ascii="方正仿宋简体" w:hAnsi="方正仿宋简体" w:eastAsia="方正仿宋简体" w:cs="方正仿宋简体"/>
          <w:kern w:val="2"/>
          <w:sz w:val="28"/>
          <w:szCs w:val="22"/>
          <w:lang w:val="en-US" w:eastAsia="zh-CN" w:bidi="ar-SA"/>
        </w:rPr>
        <w:t xml:space="preserve">  本办法适用于公司各部室单位。</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p>
    <w:p>
      <w:pPr>
        <w:pStyle w:val="145"/>
        <w:keepNext w:val="0"/>
        <w:keepLines w:val="0"/>
        <w:pageBreakBefore w:val="0"/>
        <w:widowControl/>
        <w:kinsoku/>
        <w:wordWrap/>
        <w:overflowPunct/>
        <w:topLinePunct w:val="0"/>
        <w:autoSpaceDE/>
        <w:autoSpaceDN/>
        <w:bidi w:val="0"/>
        <w:adjustRightInd/>
        <w:snapToGrid/>
        <w:spacing w:line="240" w:lineRule="atLeast"/>
        <w:jc w:val="center"/>
        <w:textAlignment w:val="auto"/>
        <w:outlineLvl w:val="9"/>
        <w:rPr>
          <w:rFonts w:hint="eastAsia" w:ascii="方正黑体简体" w:eastAsia="方正黑体简体"/>
          <w:sz w:val="30"/>
          <w:szCs w:val="30"/>
          <w:lang w:val="en-US" w:eastAsia="zh-CN"/>
        </w:rPr>
      </w:pPr>
      <w:r>
        <w:rPr>
          <w:rFonts w:hint="eastAsia" w:ascii="方正黑体简体" w:eastAsia="方正黑体简体"/>
          <w:sz w:val="30"/>
          <w:szCs w:val="30"/>
          <w:lang w:val="en-US" w:eastAsia="zh-CN"/>
        </w:rPr>
        <w:t>第二章  管理职责</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第六条</w:t>
      </w:r>
      <w:r>
        <w:rPr>
          <w:rFonts w:hint="eastAsia" w:ascii="方正仿宋简体" w:hAnsi="方正仿宋简体" w:eastAsia="方正仿宋简体" w:cs="方正仿宋简体"/>
          <w:kern w:val="2"/>
          <w:sz w:val="28"/>
          <w:szCs w:val="22"/>
          <w:lang w:val="en-US" w:eastAsia="zh-CN" w:bidi="ar-SA"/>
        </w:rPr>
        <w:t xml:space="preserve">  公司主要领导是公司安全环保履职考评工作的第一责任人，负责为考核、评估工作提供资源保障，并负责对班子副职、各单位主要领导的安全环保履职情况进行考核。</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第七条</w:t>
      </w:r>
      <w:r>
        <w:rPr>
          <w:rFonts w:hint="eastAsia" w:ascii="方正仿宋简体" w:hAnsi="方正仿宋简体" w:eastAsia="方正仿宋简体" w:cs="方正仿宋简体"/>
          <w:kern w:val="2"/>
          <w:sz w:val="28"/>
          <w:szCs w:val="22"/>
          <w:lang w:val="en-US" w:eastAsia="zh-CN" w:bidi="ar-SA"/>
        </w:rPr>
        <w:t xml:space="preserve">  公司分管领导负责对分管部门负责人进行安全环保履职考核。</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第八条</w:t>
      </w:r>
      <w:r>
        <w:rPr>
          <w:rFonts w:hint="eastAsia" w:ascii="方正仿宋简体" w:hAnsi="方正仿宋简体" w:eastAsia="方正仿宋简体" w:cs="方正仿宋简体"/>
          <w:kern w:val="2"/>
          <w:sz w:val="28"/>
          <w:szCs w:val="22"/>
          <w:lang w:val="en-US" w:eastAsia="zh-CN" w:bidi="ar-SA"/>
        </w:rPr>
        <w:t xml:space="preserve">  综合办公室劳资部门负责将安全环保履职考评纳入整体考核管理工作之中，并将考评结果与奖惩、任用、晋级等挂钩。</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第九条</w:t>
      </w:r>
      <w:r>
        <w:rPr>
          <w:rFonts w:hint="eastAsia" w:ascii="方正仿宋简体" w:hAnsi="方正仿宋简体" w:eastAsia="方正仿宋简体" w:cs="方正仿宋简体"/>
          <w:kern w:val="2"/>
          <w:sz w:val="28"/>
          <w:szCs w:val="22"/>
          <w:lang w:val="en-US" w:eastAsia="zh-CN" w:bidi="ar-SA"/>
        </w:rPr>
        <w:t xml:space="preserve">  质量安全环保部及业务主管部门负责为安全环保履职考评工作提供培训辅导和技术支持，并参与考评工作。</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第十条</w:t>
      </w:r>
      <w:r>
        <w:rPr>
          <w:rFonts w:hint="eastAsia" w:ascii="方正仿宋简体" w:hAnsi="方正仿宋简体" w:eastAsia="方正仿宋简体" w:cs="方正仿宋简体"/>
          <w:kern w:val="2"/>
          <w:sz w:val="28"/>
          <w:szCs w:val="22"/>
          <w:lang w:val="en-US" w:eastAsia="zh-CN" w:bidi="ar-SA"/>
        </w:rPr>
        <w:t xml:space="preserve">  综合办公室负责对安全环保履职考评工作进行督察，确保考核、评估结果公平、公正。</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第十一条</w:t>
      </w:r>
      <w:r>
        <w:rPr>
          <w:rFonts w:hint="eastAsia" w:ascii="方正仿宋简体" w:hAnsi="方正仿宋简体" w:eastAsia="方正仿宋简体" w:cs="方正仿宋简体"/>
          <w:kern w:val="2"/>
          <w:sz w:val="28"/>
          <w:szCs w:val="22"/>
          <w:lang w:val="en-US" w:eastAsia="zh-CN" w:bidi="ar-SA"/>
        </w:rPr>
        <w:t xml:space="preserve">  各部室、各单位负责对本部室单位人员进行安全环保履职考核及履职能力评估；部室、基层单位正职负责对本部室副职、基层单位副职进行安全环保履职考核。</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第十二条</w:t>
      </w:r>
      <w:r>
        <w:rPr>
          <w:rFonts w:hint="eastAsia" w:ascii="方正仿宋简体" w:hAnsi="方正仿宋简体" w:eastAsia="方正仿宋简体" w:cs="方正仿宋简体"/>
          <w:kern w:val="2"/>
          <w:sz w:val="28"/>
          <w:szCs w:val="22"/>
          <w:lang w:val="en-US" w:eastAsia="zh-CN" w:bidi="ar-SA"/>
        </w:rPr>
        <w:t xml:space="preserve">  所有员工应认真履行岗位安全环保职责，并接受安全环保履职考核及履职能力评估。</w:t>
      </w:r>
    </w:p>
    <w:p>
      <w:pPr>
        <w:pStyle w:val="145"/>
        <w:keepNext w:val="0"/>
        <w:keepLines w:val="0"/>
        <w:pageBreakBefore w:val="0"/>
        <w:widowControl/>
        <w:kinsoku/>
        <w:wordWrap/>
        <w:overflowPunct/>
        <w:topLinePunct w:val="0"/>
        <w:autoSpaceDE/>
        <w:autoSpaceDN/>
        <w:bidi w:val="0"/>
        <w:adjustRightInd/>
        <w:snapToGrid/>
        <w:spacing w:line="560" w:lineRule="exact"/>
        <w:ind w:firstLine="635"/>
        <w:textAlignment w:val="auto"/>
        <w:outlineLvl w:val="9"/>
        <w:rPr>
          <w:rFonts w:hint="eastAsia" w:ascii="方正仿宋简体" w:hAnsi="方正仿宋简体" w:eastAsia="方正仿宋简体" w:cs="方正仿宋简体"/>
          <w:kern w:val="2"/>
          <w:sz w:val="28"/>
          <w:szCs w:val="22"/>
          <w:lang w:val="en-US" w:eastAsia="zh-CN" w:bidi="ar-SA"/>
        </w:rPr>
      </w:pPr>
    </w:p>
    <w:p>
      <w:pPr>
        <w:pStyle w:val="145"/>
        <w:keepNext w:val="0"/>
        <w:keepLines w:val="0"/>
        <w:pageBreakBefore w:val="0"/>
        <w:widowControl/>
        <w:kinsoku/>
        <w:wordWrap/>
        <w:overflowPunct/>
        <w:topLinePunct w:val="0"/>
        <w:autoSpaceDE/>
        <w:autoSpaceDN/>
        <w:bidi w:val="0"/>
        <w:adjustRightInd/>
        <w:snapToGrid/>
        <w:spacing w:line="240" w:lineRule="atLeast"/>
        <w:ind w:firstLine="0"/>
        <w:jc w:val="center"/>
        <w:textAlignment w:val="auto"/>
        <w:outlineLvl w:val="9"/>
        <w:rPr>
          <w:rFonts w:hint="eastAsia" w:ascii="方正仿宋简体" w:hAnsi="方正仿宋简体" w:eastAsia="方正仿宋简体" w:cs="方正仿宋简体"/>
          <w:kern w:val="2"/>
          <w:sz w:val="30"/>
          <w:szCs w:val="30"/>
          <w:lang w:val="en-US" w:eastAsia="zh-CN" w:bidi="ar-SA"/>
        </w:rPr>
      </w:pPr>
      <w:r>
        <w:rPr>
          <w:rFonts w:hint="eastAsia" w:ascii="方正黑体简体" w:eastAsia="方正黑体简体"/>
          <w:sz w:val="30"/>
          <w:szCs w:val="30"/>
          <w:lang w:val="en-US" w:eastAsia="zh-CN"/>
        </w:rPr>
        <w:t>第三章  安全环保履职考核</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第十四条</w:t>
      </w:r>
      <w:r>
        <w:rPr>
          <w:rFonts w:hint="eastAsia" w:ascii="方正仿宋简体" w:hAnsi="方正仿宋简体" w:eastAsia="方正仿宋简体" w:cs="方正仿宋简体"/>
          <w:kern w:val="2"/>
          <w:sz w:val="28"/>
          <w:szCs w:val="22"/>
          <w:lang w:val="en-US" w:eastAsia="zh-CN" w:bidi="ar-SA"/>
        </w:rPr>
        <w:t xml:space="preserve">  安全环保履职考核主要是对员工的安全环保工作绩效和工作表现等方面情况进行综合评价。</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第十五条</w:t>
      </w:r>
      <w:r>
        <w:rPr>
          <w:rFonts w:hint="eastAsia" w:ascii="方正仿宋简体" w:hAnsi="方正仿宋简体" w:eastAsia="方正仿宋简体" w:cs="方正仿宋简体"/>
          <w:kern w:val="2"/>
          <w:sz w:val="28"/>
          <w:szCs w:val="22"/>
          <w:lang w:val="en-US" w:eastAsia="zh-CN" w:bidi="ar-SA"/>
        </w:rPr>
        <w:t xml:space="preserve">  各部室、各单位应当按照“一岗双责”要求，制定岗位安全环保职责和安全生产责任清单，形成明职知责、履职尽责、考职问责、失职追责的全员安全生产责任体系。</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第十六条</w:t>
      </w:r>
      <w:r>
        <w:rPr>
          <w:rFonts w:hint="eastAsia" w:ascii="方正仿宋简体" w:hAnsi="方正仿宋简体" w:eastAsia="方正仿宋简体" w:cs="方正仿宋简体"/>
          <w:kern w:val="2"/>
          <w:sz w:val="28"/>
          <w:szCs w:val="22"/>
          <w:lang w:val="en-US" w:eastAsia="zh-CN" w:bidi="ar-SA"/>
        </w:rPr>
        <w:t xml:space="preserve">  各部室、各单位应围绕年度QHSE目标指标和工作计划安排，依据岗位安全环保职责和安全生产责任清单，逐级分解确定各岗位的安全环保履职考核项目，形成岗位QHSE责任书。</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第十七条</w:t>
      </w:r>
      <w:r>
        <w:rPr>
          <w:rFonts w:hint="eastAsia" w:ascii="方正仿宋简体" w:hAnsi="方正仿宋简体" w:eastAsia="方正仿宋简体" w:cs="方正仿宋简体"/>
          <w:kern w:val="2"/>
          <w:sz w:val="28"/>
          <w:szCs w:val="22"/>
          <w:lang w:val="en-US" w:eastAsia="zh-CN" w:bidi="ar-SA"/>
        </w:rPr>
        <w:t xml:space="preserve">  安全环保履职考核原则上以年度为考核周期，岗位变化时必须履行考核。必要时，可根据员工所在岗位性质及层级，组织月度、季度、半年考核。</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第十八条</w:t>
      </w:r>
      <w:r>
        <w:rPr>
          <w:rFonts w:hint="eastAsia" w:ascii="方正仿宋简体" w:hAnsi="方正仿宋简体" w:eastAsia="方正仿宋简体" w:cs="方正仿宋简体"/>
          <w:kern w:val="2"/>
          <w:sz w:val="28"/>
          <w:szCs w:val="22"/>
          <w:lang w:val="en-US" w:eastAsia="zh-CN" w:bidi="ar-SA"/>
        </w:rPr>
        <w:t xml:space="preserve">  领导人员安全环保履职考核遵循以下程序和方法：</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1.成立人事、劳资、纪委、安全环保及相关专业人员等组成的考核小组，明确职责和分工；</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2.编制考核方案；</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3.被考核人提交履行安全环保职责的报告；</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4.召开考核测评会议；</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5.被考核人进行安全环保工作述职；</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6.考核组成员对被考核人进行测评打分；</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7.履职测评结果计算，结果纳入业绩考核系统。</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第十九条</w:t>
      </w:r>
      <w:r>
        <w:rPr>
          <w:rFonts w:hint="eastAsia" w:ascii="方正仿宋简体" w:hAnsi="方正仿宋简体" w:eastAsia="方正仿宋简体" w:cs="方正仿宋简体"/>
          <w:kern w:val="2"/>
          <w:sz w:val="28"/>
          <w:szCs w:val="22"/>
          <w:lang w:val="en-US" w:eastAsia="zh-CN" w:bidi="ar-SA"/>
        </w:rPr>
        <w:t xml:space="preserve">  一般员工安全环保履职考核遵循以下程序和方法：</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1.成立劳资、安全环保及相关专业人员等组成考核小组，明确职责和分工；</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2.编制考核方案；</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3.依据员工签订的QHSE责任书，对员工进行考核；</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4.被考核人收集履职情况信息资料，并填写自评成绩；</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5.查阅被考核员工事故、违章等记录；</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6.直线领导根据被考核员工平时工作表现及相关记录进行考核评分，将考核结果提交考核小组；</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7.汇总考核结果，报劳资部门审核兑现。</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p>
    <w:p>
      <w:pPr>
        <w:pStyle w:val="145"/>
        <w:keepNext w:val="0"/>
        <w:keepLines w:val="0"/>
        <w:pageBreakBefore w:val="0"/>
        <w:widowControl/>
        <w:kinsoku/>
        <w:wordWrap/>
        <w:overflowPunct/>
        <w:topLinePunct w:val="0"/>
        <w:autoSpaceDE/>
        <w:autoSpaceDN/>
        <w:bidi w:val="0"/>
        <w:adjustRightInd/>
        <w:snapToGrid/>
        <w:spacing w:line="240" w:lineRule="atLeast"/>
        <w:ind w:firstLine="0"/>
        <w:jc w:val="center"/>
        <w:textAlignment w:val="auto"/>
        <w:outlineLvl w:val="9"/>
        <w:rPr>
          <w:rFonts w:hint="eastAsia" w:ascii="方正黑体简体" w:eastAsia="方正黑体简体"/>
          <w:sz w:val="30"/>
          <w:szCs w:val="30"/>
          <w:lang w:val="en-US" w:eastAsia="zh-CN"/>
        </w:rPr>
      </w:pPr>
      <w:r>
        <w:rPr>
          <w:rFonts w:hint="eastAsia" w:ascii="方正黑体简体" w:eastAsia="方正黑体简体"/>
          <w:sz w:val="30"/>
          <w:szCs w:val="30"/>
          <w:lang w:val="en-US" w:eastAsia="zh-CN"/>
        </w:rPr>
        <w:t>第四章  安全环保履职能力评估</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第二十条</w:t>
      </w:r>
      <w:r>
        <w:rPr>
          <w:rFonts w:hint="eastAsia" w:ascii="方正仿宋简体" w:hAnsi="方正仿宋简体" w:eastAsia="方正仿宋简体" w:cs="方正仿宋简体"/>
          <w:kern w:val="2"/>
          <w:sz w:val="28"/>
          <w:szCs w:val="22"/>
          <w:lang w:val="en-US" w:eastAsia="zh-CN" w:bidi="ar-SA"/>
        </w:rPr>
        <w:t xml:space="preserve">  拟调整或提拔到生产、安全等关键岗位的领导人员，应及时进行安全环保履职能力评估。</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第二十一条</w:t>
      </w:r>
      <w:r>
        <w:rPr>
          <w:rFonts w:hint="eastAsia" w:ascii="方正仿宋简体" w:hAnsi="方正仿宋简体" w:eastAsia="方正仿宋简体" w:cs="方正仿宋简体"/>
          <w:kern w:val="2"/>
          <w:sz w:val="28"/>
          <w:szCs w:val="22"/>
          <w:lang w:val="en-US" w:eastAsia="zh-CN" w:bidi="ar-SA"/>
        </w:rPr>
        <w:t xml:space="preserve">  一般员工新入厂、转岗和重新上岗前，应依据新岗位的安全环保能力要求进行培训，并进行入职前安全环保履职能力评估。</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第二十二条</w:t>
      </w:r>
      <w:r>
        <w:rPr>
          <w:rFonts w:hint="eastAsia" w:ascii="方正仿宋简体" w:hAnsi="方正仿宋简体" w:eastAsia="方正仿宋简体" w:cs="方正仿宋简体"/>
          <w:kern w:val="2"/>
          <w:sz w:val="28"/>
          <w:szCs w:val="22"/>
          <w:lang w:val="en-US" w:eastAsia="zh-CN" w:bidi="ar-SA"/>
        </w:rPr>
        <w:t xml:space="preserve">  在职领导人员，至少每三年进行一次安全环保履职能力评估，履职能力评估可结合本单位的QHSE体系审核同步开展。</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第二十三条</w:t>
      </w:r>
      <w:r>
        <w:rPr>
          <w:rFonts w:hint="eastAsia" w:ascii="方正仿宋简体" w:hAnsi="方正仿宋简体" w:eastAsia="方正仿宋简体" w:cs="方正仿宋简体"/>
          <w:kern w:val="2"/>
          <w:sz w:val="28"/>
          <w:szCs w:val="22"/>
          <w:lang w:val="en-US" w:eastAsia="zh-CN" w:bidi="ar-SA"/>
        </w:rPr>
        <w:t xml:space="preserve">  安全环保履职能力评估内容应突出岗位特点和风险防控要求，结合岗位的安全生产责任清单分专业、分层级确定。</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第二十四条</w:t>
      </w:r>
      <w:r>
        <w:rPr>
          <w:rFonts w:hint="eastAsia" w:ascii="方正仿宋简体" w:hAnsi="方正仿宋简体" w:eastAsia="方正仿宋简体" w:cs="方正仿宋简体"/>
          <w:kern w:val="2"/>
          <w:sz w:val="28"/>
          <w:szCs w:val="22"/>
          <w:lang w:val="en-US" w:eastAsia="zh-CN" w:bidi="ar-SA"/>
        </w:rPr>
        <w:t xml:space="preserve">  领导人员的安全环保履职能力评估内容应包括安全领导能力、风险掌控能力、安全基本能力及应急指挥能力等方面，同时要关注个人的安全意愿。</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第二十五条</w:t>
      </w:r>
      <w:r>
        <w:rPr>
          <w:rFonts w:hint="eastAsia" w:ascii="方正仿宋简体" w:hAnsi="方正仿宋简体" w:eastAsia="方正仿宋简体" w:cs="方正仿宋简体"/>
          <w:kern w:val="2"/>
          <w:sz w:val="28"/>
          <w:szCs w:val="22"/>
          <w:lang w:val="en-US" w:eastAsia="zh-CN" w:bidi="ar-SA"/>
        </w:rPr>
        <w:t xml:space="preserve">  一般员工的安全环保履职能力评估内容包括HSE表现、HSE技能、业务技能和应急处置能力等方面。</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第二十六条</w:t>
      </w:r>
      <w:r>
        <w:rPr>
          <w:rFonts w:hint="eastAsia" w:ascii="方正仿宋简体" w:hAnsi="方正仿宋简体" w:eastAsia="方正仿宋简体" w:cs="方正仿宋简体"/>
          <w:kern w:val="2"/>
          <w:sz w:val="28"/>
          <w:szCs w:val="22"/>
          <w:lang w:val="en-US" w:eastAsia="zh-CN" w:bidi="ar-SA"/>
        </w:rPr>
        <w:t xml:space="preserve">  履职能力评估可采用日常表现与现场考察、沟通访谈、知识测试及员工感知度调查等定性评价与定量打分相结合的方式进行。</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第二十七条</w:t>
      </w:r>
      <w:r>
        <w:rPr>
          <w:rFonts w:hint="eastAsia" w:ascii="方正仿宋简体" w:hAnsi="方正仿宋简体" w:eastAsia="方正仿宋简体" w:cs="方正仿宋简体"/>
          <w:kern w:val="2"/>
          <w:sz w:val="28"/>
          <w:szCs w:val="22"/>
          <w:lang w:val="en-US" w:eastAsia="zh-CN" w:bidi="ar-SA"/>
        </w:rPr>
        <w:t xml:space="preserve">  领导人员安全环保履职能力评估工作可按照以下程序和方法进行：</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1.成立人事、劳资、纪委、安全环保及相关专业人员等组成的评估小组，明确职责和分工；</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2.编制评估方案；</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3.依据拟入职岗位的安全环保能力要求制定评估标准；</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4.选用评估工具，包括建立测试题库，准备员工感知度调查问卷和编制访谈清单；</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5.采取访谈、测试、资料验证、向下属员工和同级人员发放调查问卷等方式开展能力评估；</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6.评估结果分析，对被评估人员进行综合评价；</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7.评估组对被评估人员进行反馈。</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第二十八条</w:t>
      </w:r>
      <w:r>
        <w:rPr>
          <w:rFonts w:hint="eastAsia" w:ascii="方正仿宋简体" w:hAnsi="方正仿宋简体" w:eastAsia="方正仿宋简体" w:cs="方正仿宋简体"/>
          <w:kern w:val="2"/>
          <w:sz w:val="28"/>
          <w:szCs w:val="22"/>
          <w:lang w:val="en-US" w:eastAsia="zh-CN" w:bidi="ar-SA"/>
        </w:rPr>
        <w:t xml:space="preserve">  一般员工安全环保履职能力评估可按照以下程序和方法进行：</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1.成立人事、劳资、纪委、安全环保及相关专业人员等组成的评估小组，明确职责和分工；</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2.编制评估方案；</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3.依据拟入职岗位的安全环保能力要求制定评估标准；</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4.采取观察、访谈、沟通、笔试、口试、实际或模拟操作、网上答题等方式开展能力评估；</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5.查阅被评估员工事故、违章等记录；</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6.评估结果分析，对被评估人员进行综合评价；</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7.直线评估人员对被评估人员进行反馈。</w:t>
      </w:r>
    </w:p>
    <w:p>
      <w:pPr>
        <w:pStyle w:val="145"/>
        <w:spacing w:line="560" w:lineRule="exact"/>
        <w:ind w:firstLine="637"/>
        <w:rPr>
          <w:rFonts w:hint="eastAsia" w:ascii="方正仿宋简体" w:hAnsi="方正仿宋简体" w:eastAsia="方正仿宋简体" w:cs="方正仿宋简体"/>
          <w:kern w:val="2"/>
          <w:sz w:val="28"/>
          <w:szCs w:val="22"/>
          <w:lang w:val="en-US" w:eastAsia="zh-CN" w:bidi="ar-SA"/>
        </w:rPr>
      </w:pPr>
    </w:p>
    <w:p>
      <w:pPr>
        <w:pStyle w:val="145"/>
        <w:keepNext w:val="0"/>
        <w:keepLines w:val="0"/>
        <w:pageBreakBefore w:val="0"/>
        <w:widowControl/>
        <w:kinsoku/>
        <w:wordWrap/>
        <w:overflowPunct/>
        <w:topLinePunct w:val="0"/>
        <w:autoSpaceDE/>
        <w:autoSpaceDN/>
        <w:bidi w:val="0"/>
        <w:adjustRightInd/>
        <w:snapToGrid/>
        <w:spacing w:line="240" w:lineRule="atLeast"/>
        <w:ind w:firstLine="0"/>
        <w:jc w:val="center"/>
        <w:textAlignment w:val="auto"/>
        <w:outlineLvl w:val="9"/>
        <w:rPr>
          <w:rFonts w:hint="eastAsia" w:ascii="方正黑体简体" w:eastAsia="方正黑体简体"/>
          <w:sz w:val="30"/>
          <w:szCs w:val="30"/>
          <w:lang w:val="en-US" w:eastAsia="zh-CN"/>
        </w:rPr>
      </w:pPr>
      <w:r>
        <w:rPr>
          <w:rFonts w:hint="eastAsia" w:ascii="方正黑体简体" w:eastAsia="方正黑体简体"/>
          <w:sz w:val="30"/>
          <w:szCs w:val="30"/>
          <w:lang w:val="en-US" w:eastAsia="zh-CN"/>
        </w:rPr>
        <w:t>第五章  结果运用</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第二十九条</w:t>
      </w:r>
      <w:r>
        <w:rPr>
          <w:rFonts w:hint="eastAsia" w:ascii="方正仿宋简体" w:hAnsi="方正仿宋简体" w:eastAsia="方正仿宋简体" w:cs="方正仿宋简体"/>
          <w:kern w:val="2"/>
          <w:sz w:val="28"/>
          <w:szCs w:val="22"/>
          <w:lang w:val="en-US" w:eastAsia="zh-CN" w:bidi="ar-SA"/>
        </w:rPr>
        <w:t xml:space="preserve">  按照《西南油气田分公司绩效管理办法》，安全环保履职考核结果分为优秀、良好、合格、待改进四个档次，并按绩效合同约定纳入员工综合绩效考核。</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第三十条</w:t>
      </w:r>
      <w:r>
        <w:rPr>
          <w:rFonts w:hint="eastAsia" w:ascii="方正仿宋简体" w:hAnsi="方正仿宋简体" w:eastAsia="方正仿宋简体" w:cs="方正仿宋简体"/>
          <w:kern w:val="2"/>
          <w:sz w:val="28"/>
          <w:szCs w:val="22"/>
          <w:lang w:val="en-US" w:eastAsia="zh-CN" w:bidi="ar-SA"/>
        </w:rPr>
        <w:t xml:space="preserve">  安全环保履职考核结果应用包括绩效奖金兑现、职级升降、岗位调整、岗位退出、培训发展、评先选优等。</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（一）对安全环保履职考核结果为“待改进”的人员，应进行培训、通报批评或诫勉谈话；</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（二）安全环保履职考核结果为“良好”及以上的人员，方可兑现安全环保风险控制奖；</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kern w:val="2"/>
          <w:sz w:val="28"/>
          <w:szCs w:val="22"/>
          <w:lang w:val="en-US" w:eastAsia="zh-CN" w:bidi="ar-SA"/>
        </w:rPr>
        <w:t>（三）安全环保履职考核结果为“优秀”的人员，方可参与单位安全环保先进评比。</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第三十一条</w:t>
      </w:r>
      <w:r>
        <w:rPr>
          <w:rFonts w:hint="eastAsia" w:ascii="方正仿宋简体" w:hAnsi="方正仿宋简体" w:eastAsia="方正仿宋简体" w:cs="方正仿宋简体"/>
          <w:kern w:val="2"/>
          <w:sz w:val="28"/>
          <w:szCs w:val="22"/>
          <w:lang w:val="en-US" w:eastAsia="zh-CN" w:bidi="ar-SA"/>
        </w:rPr>
        <w:t xml:space="preserve">  按照《西南油气田分公司所属领导班子和管理人员综合考核评价办法》，安全环保履职能力评估结果分为优秀、良好、一般、较差四个档次。</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第三十二条</w:t>
      </w:r>
      <w:r>
        <w:rPr>
          <w:rFonts w:hint="eastAsia" w:ascii="方正仿宋简体" w:hAnsi="方正仿宋简体" w:eastAsia="方正仿宋简体" w:cs="方正仿宋简体"/>
          <w:kern w:val="2"/>
          <w:sz w:val="28"/>
          <w:szCs w:val="22"/>
          <w:lang w:val="en-US" w:eastAsia="zh-CN" w:bidi="ar-SA"/>
        </w:rPr>
        <w:t xml:space="preserve">  安全环保履职能力评估结果为“一般”和“较差”的拟提拔或调整人员，不得调整或提拔任用。评估结果为 “较差”的员工不得上岗或转岗。不合格人员需接受再培训和学习，评估合格后方能调整、提拔任用或上岗。</w:t>
      </w:r>
    </w:p>
    <w:p>
      <w:pPr>
        <w:pStyle w:val="145"/>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第三十三条</w:t>
      </w:r>
      <w:r>
        <w:rPr>
          <w:rFonts w:hint="eastAsia" w:ascii="方正仿宋简体" w:hAnsi="方正仿宋简体" w:eastAsia="方正仿宋简体" w:cs="方正仿宋简体"/>
          <w:kern w:val="2"/>
          <w:sz w:val="28"/>
          <w:szCs w:val="22"/>
          <w:lang w:val="en-US" w:eastAsia="zh-CN" w:bidi="ar-SA"/>
        </w:rPr>
        <w:t xml:space="preserve">  安全环保履职能力评估发现的改进项，由被评估人制定切实可行的措施和计划予以改进，直线领导对下属的改进实施情况进行跟踪与督导。</w:t>
      </w:r>
    </w:p>
    <w:p>
      <w:pPr>
        <w:pStyle w:val="145"/>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kern w:val="2"/>
          <w:sz w:val="28"/>
          <w:szCs w:val="22"/>
          <w:lang w:val="en-US" w:eastAsia="zh-CN" w:bidi="ar-SA"/>
        </w:rPr>
      </w:pPr>
    </w:p>
    <w:p>
      <w:pPr>
        <w:pStyle w:val="145"/>
        <w:keepNext w:val="0"/>
        <w:keepLines w:val="0"/>
        <w:pageBreakBefore w:val="0"/>
        <w:widowControl/>
        <w:kinsoku/>
        <w:wordWrap/>
        <w:overflowPunct/>
        <w:topLinePunct w:val="0"/>
        <w:autoSpaceDE/>
        <w:autoSpaceDN/>
        <w:bidi w:val="0"/>
        <w:adjustRightInd/>
        <w:snapToGrid/>
        <w:spacing w:line="240" w:lineRule="atLeast"/>
        <w:ind w:firstLine="0"/>
        <w:jc w:val="center"/>
        <w:textAlignment w:val="auto"/>
        <w:outlineLvl w:val="9"/>
        <w:rPr>
          <w:rFonts w:hint="eastAsia" w:ascii="方正仿宋简体" w:hAnsi="方正仿宋简体" w:eastAsia="方正仿宋简体" w:cs="方正仿宋简体"/>
          <w:kern w:val="2"/>
          <w:sz w:val="30"/>
          <w:szCs w:val="30"/>
          <w:lang w:val="en-US" w:eastAsia="zh-CN" w:bidi="ar-SA"/>
        </w:rPr>
      </w:pPr>
      <w:r>
        <w:rPr>
          <w:rFonts w:hint="eastAsia" w:ascii="方正黑体简体" w:eastAsia="方正黑体简体"/>
          <w:sz w:val="30"/>
          <w:szCs w:val="30"/>
          <w:lang w:val="en-US" w:eastAsia="zh-CN"/>
        </w:rPr>
        <w:t>第六章  附  则</w:t>
      </w:r>
    </w:p>
    <w:p>
      <w:pPr>
        <w:pStyle w:val="145"/>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第三十四条</w:t>
      </w:r>
      <w:r>
        <w:rPr>
          <w:rFonts w:hint="eastAsia" w:ascii="方正仿宋简体" w:hAnsi="方正仿宋简体" w:eastAsia="方正仿宋简体" w:cs="方正仿宋简体"/>
          <w:kern w:val="2"/>
          <w:sz w:val="28"/>
          <w:szCs w:val="22"/>
          <w:lang w:val="en-US" w:eastAsia="zh-CN" w:bidi="ar-SA"/>
        </w:rPr>
        <w:t xml:space="preserve">  本办法由质量安全环保部负责解释。</w:t>
      </w:r>
    </w:p>
    <w:p>
      <w:pPr>
        <w:pStyle w:val="145"/>
        <w:keepNext w:val="0"/>
        <w:keepLines w:val="0"/>
        <w:pageBreakBefore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kern w:val="2"/>
          <w:sz w:val="28"/>
          <w:szCs w:val="22"/>
          <w:lang w:val="en-US" w:eastAsia="zh-CN" w:bidi="ar-SA"/>
        </w:rPr>
      </w:pPr>
      <w:r>
        <w:rPr>
          <w:rFonts w:hint="eastAsia" w:ascii="方正仿宋简体" w:hAnsi="方正仿宋简体" w:eastAsia="方正仿宋简体" w:cs="方正仿宋简体"/>
          <w:b/>
          <w:bCs/>
          <w:kern w:val="2"/>
          <w:sz w:val="28"/>
          <w:szCs w:val="22"/>
          <w:lang w:val="en-US" w:eastAsia="zh-CN" w:bidi="ar-SA"/>
        </w:rPr>
        <w:t>第三十五条</w:t>
      </w:r>
      <w:r>
        <w:rPr>
          <w:rFonts w:hint="eastAsia" w:ascii="方正仿宋简体" w:hAnsi="方正仿宋简体" w:eastAsia="方正仿宋简体" w:cs="方正仿宋简体"/>
          <w:kern w:val="2"/>
          <w:sz w:val="28"/>
          <w:szCs w:val="22"/>
          <w:lang w:val="en-US" w:eastAsia="zh-CN" w:bidi="ar-SA"/>
        </w:rPr>
        <w:t xml:space="preserve">  本办法自印发之日起实施。</w:t>
      </w: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rPr>
          <w:rFonts w:hint="eastAsia" w:ascii="方正仿宋简体" w:hAnsi="方正仿宋简体" w:eastAsia="方正仿宋简体" w:cs="方正仿宋简体"/>
          <w:b/>
          <w:kern w:val="2"/>
          <w:sz w:val="28"/>
          <w:szCs w:val="28"/>
          <w:lang w:val="en-US" w:eastAsia="zh-CN" w:bidi="ar-SA"/>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Times New Roman" w:eastAsia="方正小标宋简体"/>
          <w:b w:val="0"/>
          <w:bCs w:val="0"/>
          <w:kern w:val="44"/>
          <w:sz w:val="36"/>
          <w:szCs w:val="36"/>
          <w:lang w:val="en-US" w:eastAsia="zh-CN" w:bidi="ar-SA"/>
        </w:rPr>
      </w:pPr>
      <w:bookmarkStart w:id="1012" w:name="_Toc26797"/>
      <w:bookmarkStart w:id="1013" w:name="_Toc23000"/>
      <w:bookmarkStart w:id="1014" w:name="_Toc4857"/>
      <w:bookmarkStart w:id="1015" w:name="_Toc17099"/>
      <w:bookmarkStart w:id="1016" w:name="_Toc31031"/>
      <w:bookmarkStart w:id="1017" w:name="_Toc31116"/>
      <w:bookmarkStart w:id="1018" w:name="_Toc27061"/>
      <w:bookmarkStart w:id="1019" w:name="_Toc16906"/>
      <w:bookmarkStart w:id="1020" w:name="_Toc31913"/>
      <w:bookmarkStart w:id="1021" w:name="_Toc6702"/>
      <w:bookmarkStart w:id="1022" w:name="_Toc25967"/>
      <w:bookmarkStart w:id="1023" w:name="_Toc8155"/>
      <w:bookmarkStart w:id="1024" w:name="_Toc23802"/>
      <w:bookmarkStart w:id="1025" w:name="_Toc21463"/>
      <w:bookmarkStart w:id="1026" w:name="_Toc17693"/>
      <w:bookmarkStart w:id="1027" w:name="_Toc32713"/>
      <w:r>
        <w:rPr>
          <w:rFonts w:hint="eastAsia" w:ascii="方正小标宋简体" w:hAnsi="Times New Roman" w:eastAsia="方正小标宋简体"/>
          <w:b w:val="0"/>
          <w:bCs w:val="0"/>
          <w:kern w:val="44"/>
          <w:sz w:val="36"/>
          <w:szCs w:val="36"/>
          <w:lang w:val="en-US" w:eastAsia="zh-CN" w:bidi="ar-SA"/>
        </w:rPr>
        <w:t>中油南充燃气有限责任公司工伤保险管理制度</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1 目的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为增强员工的安全生产意识，规范工伤管理程序，最大限度地降低公司和员工的工伤事故风险，特制定本制度。</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2 适用范围</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本制度适用于公司所有员工的工伤保险管理。</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3 工伤的界定</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 员工有下列情形之一的，应当认定为工伤：</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3.1.1 在工作时间和工作场所内，因工作原因受到事故伤害的。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3.1.2 工作时间前后在工作场所内，从事与工作有关的预备性或者收尾性工作受到事故伤害的。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3.1.3 在工作时间和工作场所内，因履行工作职责受到暴力等意外伤害的。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3.1.4 患职业病的。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3.1.5 因工外出期间，由于工作原因受到伤害或者发生事故下落不明的。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3.1.6 在上下班途中，受到非本人主要责任的交通事故或者城市轨道交通、客运轮渡、火车事故伤害的。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3.1.7 法律、行政法规规定应当认定</w:t>
      </w:r>
      <w:r>
        <w:rPr>
          <w:rFonts w:hint="eastAsia" w:ascii="方正仿宋简体" w:hAnsi="方正仿宋简体" w:eastAsia="方正仿宋简体" w:cs="方正仿宋简体"/>
          <w:kern w:val="2"/>
          <w:sz w:val="28"/>
          <w:szCs w:val="28"/>
          <w:lang w:val="en-US" w:eastAsia="zh-CN" w:bidi="ar-SA"/>
        </w:rPr>
        <w:t>为工伤的其他情形。</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3.2 员工有下列情形之一的，视同工伤：</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3.2.1 在工作时间和工作岗位，突发疾病死亡或者在48小时之内经抢救无效死亡的。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3.2.2 在抢险救灾等维护国家利益、公共利益活动中受到伤害的。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3.2.3 职工原在军队服役，因战、因公负伤致残，已取得革命伤残军人证，到用人单位后旧伤复发的。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职工有前款第3.2.1项、第3.2.2项情形的，按照本条例的有关规定享受工伤保险待遇；职工有前款第3.2.3项情形的，按照本条例的有关规定享受除一次性伤残补助金以外的工伤保险待遇。</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3.3 职工符合本制度第3.1条、第3.2条的规定，但是有下列情形之一的，不得认定为工伤或者视同工伤：</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3.3.1 故意犯罪的。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3.3.2 醉酒或者吸毒的。</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3.3.3 自残或者自杀的。</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4 职责划分</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4.1 综合办公室</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负责本公司工伤员工的救护组织、现场保护，事故上报相关部门和领导，救治费用垫付、后期治疗借款手续办理、工伤员工住院期间的陪护，事故的调查、分析、处理以及24小时内出具公司级事故分析报告。</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负责本公司参保人员名单的提供、更新。</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负责提供事故分析报告、事故发生详细经过、报险所需的各种证明及票据。</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负责受伤员工的就医、转院等医疗管理及出院后保险理赔、评残、安置、复工的管理。</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default"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4.2 质量安全环保部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负责事故现场的救护组织、现场勘察、上报公司领导、事故的调查、分析、处理以及出具公司级事故分析报告。</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负责协助公司内交通、火灾事故的调查分析和处理工作。</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5 工伤管理程序</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5.1 办理投保</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5.1.1 公司为所有从业人员购买工伤保险，由办公室进行统计，财务资产部统一进行缴纳。</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5.2 事故处理</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5.2.1 当发生工伤事故时，事故现场作业人员必须及时向部门主管领导汇报，同时保护好事故现场。</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5.2.2 部门主管领导接到汇报后应第一时间到达现场组织救护，同时通知安全生产领导小组和办公室主管领导，并向公司经理汇报。</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5.2.3 现场简单救护处理后，根据工伤情况，及时将伤员送至指定医院进行治疗。先期的治疗费用由工伤员工所在部门垫付。</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5.2.4 治疗期间的费用以工伤员工所在部门名义，经综合办公室主任签字后报请执行经理审批后办理借款手续。</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5.3 责任追究</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参照公司相关事故考核办法执行。</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5.4 报险程序</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5.4.1 为保证事故发生后48小时内能及时报险，确保报险的有效性，员工个人及各部门发生工伤事故后须在24小时内向办公室报险，具体要求如下：</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5.4.1.1 公司内事故</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事故发生后，工伤员工所在部门负责人第一时间内电话告知安全员，并在24小时内将事故发生情况详细经过及工伤员工初诊医院诊断证明报送办公室，以确保办公室48小时内向保险公司及时报险。</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如公司内因履行工作职责受到暴力伤害或发生交通事故，须由办公室及时与公安/交通管理部门交涉，25日内提供公安/交通管理部门责任认定书；工伤员工所在部门在24小时内将事故发生情况详细经过及工伤员工初诊医院诊断证明报送办公室。</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5.4.1.2 公司外工伤事故</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b w:val="0"/>
          <w:bCs w:val="0"/>
          <w:kern w:val="2"/>
          <w:sz w:val="28"/>
          <w:szCs w:val="28"/>
          <w:lang w:val="en-US" w:eastAsia="zh-CN" w:bidi="ar-SA"/>
        </w:rPr>
      </w:pPr>
      <w:r>
        <w:rPr>
          <w:rFonts w:hint="eastAsia" w:ascii="方正仿宋简体" w:hAnsi="方正仿宋简体" w:eastAsia="方正仿宋简体" w:cs="方正仿宋简体"/>
          <w:b w:val="0"/>
          <w:bCs w:val="0"/>
          <w:kern w:val="2"/>
          <w:sz w:val="28"/>
          <w:szCs w:val="28"/>
          <w:lang w:val="en-US" w:eastAsia="zh-CN" w:bidi="ar-SA"/>
        </w:rPr>
        <w:t>员工因工外出期间，因工作原因受到暴力伤害或机动车伤害，须由员工所在部门及时告知办公室，且在24小时内将工伤员工初诊医院诊断证明报送办公室，并在25日内提供公安/交通管理部门的责任认定书。</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 除上述事故报告、《诊断证明》及相关责任认定书外，员工治疗结束后，工伤员工或工伤员工所在部门须提供：</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5.4.2.1 门诊治疗的须提供</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5.4.2.1.1 县级以上医院《工伤职工门诊、住院、转诊申报表》。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5.4.2.1.2 《门诊病历》。</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5.4.2.1.3 《用药明细》及发票。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5.4.2.1.4 《检验报告单》。</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5.4.2.2 住院治疗的提供</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5.4.2.2.1 县级以上医院《工伤职工门诊、住院、转诊申报表》。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5.4.2.2.2 《住院病历》（含出院记录）。</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5.4.2.2.3 《用药明细》及发票。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5.4.2.2.4 《检验报告单》。</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5.4.2.3 注意事项</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5.4.2.3.1 因各部门上报不及时、瞒报或提供上述材料不完整而造成无法及时报险的，所发生一切费用均由工伤员工所在部门承担，并视情节严重给予部门负责人500—2000元罚款；员工上下班出现的工伤事故，如因工伤员工个人汇报不及时或提供上述材料不完整，造成无法及时报险的，所发生一切费用均由员工个人承担。</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5.4.2.3.2 严禁各部门将员工工伤治疗费用以工资或奖金方式补贴给出资人。</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5.4.2.3.3 无论部门安排人员或工伤员工本人在办理门诊或住院手续时，务必确保院方出具的各项单据中的名字与工伤员工身份证中的名字书写一致，且各项单据加盖医院专用章。</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5.4.2.3.4 各项费用单据、材料须经办公室核准后，方可在财务资产部门进行冲账或办理报销手续。</w:t>
      </w:r>
    </w:p>
    <w:p>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outlineLvl w:val="9"/>
        <w:rPr>
          <w:rFonts w:hint="eastAsia" w:ascii="方正仿宋简体" w:hAnsi="方正仿宋简体" w:eastAsia="方正仿宋简体" w:cs="方正仿宋简体"/>
          <w:b/>
          <w:bCs/>
          <w:kern w:val="2"/>
          <w:sz w:val="28"/>
          <w:szCs w:val="28"/>
          <w:lang w:val="en-US" w:eastAsia="zh-CN" w:bidi="ar-SA"/>
        </w:rPr>
      </w:pPr>
      <w:r>
        <w:rPr>
          <w:rFonts w:hint="eastAsia" w:ascii="方正仿宋简体" w:hAnsi="方正仿宋简体" w:eastAsia="方正仿宋简体" w:cs="方正仿宋简体"/>
          <w:b/>
          <w:bCs/>
          <w:kern w:val="2"/>
          <w:sz w:val="28"/>
          <w:szCs w:val="28"/>
          <w:lang w:val="en-US" w:eastAsia="zh-CN" w:bidi="ar-SA"/>
        </w:rPr>
        <w:t>6 相关文件和记录</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outlineLvl w:val="9"/>
        <w:rPr>
          <w:rFonts w:hint="eastAsia" w:ascii="方正仿宋简体" w:hAnsi="方正仿宋简体" w:eastAsia="方正仿宋简体" w:cs="方正仿宋简体"/>
          <w:kern w:val="2"/>
          <w:sz w:val="28"/>
          <w:szCs w:val="28"/>
          <w:lang w:val="en-US" w:eastAsia="zh-CN" w:bidi="ar-SA"/>
        </w:rPr>
      </w:pPr>
      <w:r>
        <w:rPr>
          <w:rFonts w:hint="eastAsia" w:ascii="方正仿宋简体" w:hAnsi="方正仿宋简体" w:eastAsia="方正仿宋简体" w:cs="方正仿宋简体"/>
          <w:kern w:val="2"/>
          <w:sz w:val="28"/>
          <w:szCs w:val="28"/>
          <w:lang w:val="en-US" w:eastAsia="zh-CN" w:bidi="ar-SA"/>
        </w:rPr>
        <w:t>6.1 工伤事故简易处理表</w:t>
      </w:r>
    </w:p>
    <w:p>
      <w:pPr>
        <w:rPr>
          <w:rFonts w:hint="eastAsia" w:ascii="方正仿宋简体" w:hAnsi="方正仿宋简体" w:eastAsia="方正仿宋简体" w:cs="方正仿宋简体"/>
          <w:sz w:val="36"/>
          <w:szCs w:val="36"/>
          <w:lang w:val="en-US" w:eastAsia="zh-CN"/>
        </w:rPr>
      </w:pPr>
      <w:bookmarkStart w:id="1028" w:name="_Toc26754"/>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rPr>
          <w:rFonts w:hint="eastAsia" w:ascii="方正仿宋简体" w:hAnsi="方正仿宋简体" w:eastAsia="方正仿宋简体" w:cs="方正仿宋简体"/>
          <w:sz w:val="36"/>
          <w:szCs w:val="36"/>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Times New Roman" w:eastAsia="方正小标宋简体"/>
          <w:b w:val="0"/>
          <w:bCs w:val="0"/>
          <w:kern w:val="44"/>
          <w:sz w:val="36"/>
          <w:szCs w:val="36"/>
          <w:lang w:val="en-US" w:eastAsia="zh-CN" w:bidi="ar-SA"/>
        </w:rPr>
      </w:pPr>
      <w:bookmarkStart w:id="1029" w:name="_Toc17172"/>
      <w:bookmarkStart w:id="1030" w:name="_Toc22219"/>
      <w:bookmarkStart w:id="1031" w:name="_Toc30651"/>
      <w:bookmarkStart w:id="1032" w:name="_Toc4636"/>
      <w:bookmarkStart w:id="1033" w:name="_Toc2295"/>
      <w:bookmarkStart w:id="1034" w:name="_Toc27493"/>
      <w:bookmarkStart w:id="1035" w:name="_Toc24543"/>
      <w:bookmarkStart w:id="1036" w:name="_Toc27849"/>
      <w:bookmarkStart w:id="1037" w:name="_Toc29537"/>
      <w:r>
        <w:rPr>
          <w:rFonts w:hint="eastAsia" w:ascii="方正小标宋简体" w:hAnsi="Times New Roman" w:eastAsia="方正小标宋简体"/>
          <w:b w:val="0"/>
          <w:bCs w:val="0"/>
          <w:kern w:val="44"/>
          <w:sz w:val="36"/>
          <w:szCs w:val="36"/>
          <w:lang w:val="en-US" w:eastAsia="zh-CN" w:bidi="ar-SA"/>
        </w:rPr>
        <w:t>中油南充燃气有限责任公司安全</w:t>
      </w:r>
      <w:r>
        <w:rPr>
          <w:rFonts w:hint="eastAsia" w:ascii="方正小标宋简体" w:eastAsia="方正小标宋简体"/>
          <w:b w:val="0"/>
          <w:bCs w:val="0"/>
          <w:kern w:val="44"/>
          <w:sz w:val="36"/>
          <w:szCs w:val="36"/>
          <w:lang w:val="en-US" w:eastAsia="zh-CN" w:bidi="ar-SA"/>
        </w:rPr>
        <w:t>生产</w:t>
      </w:r>
      <w:r>
        <w:rPr>
          <w:rFonts w:hint="eastAsia" w:ascii="方正小标宋简体" w:hAnsi="Times New Roman" w:eastAsia="方正小标宋简体"/>
          <w:b w:val="0"/>
          <w:bCs w:val="0"/>
          <w:kern w:val="44"/>
          <w:sz w:val="36"/>
          <w:szCs w:val="36"/>
          <w:lang w:val="en-US" w:eastAsia="zh-CN" w:bidi="ar-SA"/>
        </w:rPr>
        <w:t>教育培训管理</w:t>
      </w:r>
      <w:r>
        <w:rPr>
          <w:rFonts w:hint="eastAsia" w:ascii="方正小标宋简体" w:eastAsia="方正小标宋简体"/>
          <w:b w:val="0"/>
          <w:bCs w:val="0"/>
          <w:kern w:val="44"/>
          <w:sz w:val="36"/>
          <w:szCs w:val="36"/>
          <w:lang w:val="en-US" w:eastAsia="zh-CN" w:bidi="ar-SA"/>
        </w:rPr>
        <w:t>考核</w:t>
      </w:r>
      <w:r>
        <w:rPr>
          <w:rFonts w:hint="eastAsia" w:ascii="方正小标宋简体" w:hAnsi="Times New Roman" w:eastAsia="方正小标宋简体"/>
          <w:b w:val="0"/>
          <w:bCs w:val="0"/>
          <w:kern w:val="44"/>
          <w:sz w:val="36"/>
          <w:szCs w:val="36"/>
          <w:lang w:val="en-US" w:eastAsia="zh-CN" w:bidi="ar-SA"/>
        </w:rPr>
        <w:t>制度</w:t>
      </w:r>
      <w:bookmarkEnd w:id="1028"/>
      <w:bookmarkEnd w:id="1029"/>
      <w:bookmarkEnd w:id="1030"/>
      <w:bookmarkEnd w:id="1031"/>
      <w:bookmarkEnd w:id="1032"/>
      <w:bookmarkEnd w:id="1033"/>
      <w:bookmarkEnd w:id="1034"/>
      <w:bookmarkEnd w:id="1035"/>
      <w:bookmarkEnd w:id="1036"/>
      <w:bookmarkEnd w:id="1037"/>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为了进一步贯彻落实安全生产法，依法加强安全教育培训和安全资格证的管理，建立良好的安全生产秩序，保证员工的生命安全和身体健康，促使其掌握安全生产技术知识，提高安全生产技术素质和防范事故的能力，实现安全生产,特制定本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本制度适用于公司安全培训教育。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3.1</w:t>
      </w:r>
      <w:r>
        <w:rPr>
          <w:rFonts w:hint="eastAsia" w:ascii="方正仿宋简体" w:hAnsi="方正仿宋简体" w:eastAsia="方正仿宋简体" w:cs="方正仿宋简体"/>
          <w:sz w:val="28"/>
          <w:szCs w:val="28"/>
          <w:lang w:val="en-US" w:eastAsia="zh-CN"/>
        </w:rPr>
        <w:t xml:space="preserve"> 综合办公室</w:t>
      </w:r>
      <w:r>
        <w:rPr>
          <w:rFonts w:hint="eastAsia" w:ascii="方正仿宋简体" w:hAnsi="方正仿宋简体" w:eastAsia="方正仿宋简体" w:cs="方正仿宋简体"/>
          <w:sz w:val="28"/>
          <w:szCs w:val="28"/>
        </w:rPr>
        <w:t>负责公司所有的安全培训计划、执行管理</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lang w:val="en-US" w:eastAsia="zh-CN"/>
        </w:rPr>
        <w:t>员工的安全教育培训经费使用</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w:t>
      </w:r>
      <w:r>
        <w:rPr>
          <w:rFonts w:hint="eastAsia" w:ascii="方正仿宋简体" w:hAnsi="方正仿宋简体" w:eastAsia="方正仿宋简体" w:cs="方正仿宋简体"/>
          <w:sz w:val="28"/>
          <w:szCs w:val="28"/>
          <w:lang w:val="en-US" w:eastAsia="zh-CN"/>
        </w:rPr>
        <w:t xml:space="preserve"> 质量安全环保部</w:t>
      </w:r>
      <w:r>
        <w:rPr>
          <w:rFonts w:hint="eastAsia" w:ascii="方正仿宋简体" w:hAnsi="方正仿宋简体" w:eastAsia="方正仿宋简体" w:cs="方正仿宋简体"/>
          <w:sz w:val="28"/>
          <w:szCs w:val="28"/>
        </w:rPr>
        <w:t>负责对安全培训的情况进行监督管理。</w:t>
      </w:r>
      <w:r>
        <w:rPr>
          <w:rFonts w:hint="eastAsia" w:ascii="方正仿宋简体" w:hAnsi="方正仿宋简体" w:eastAsia="方正仿宋简体" w:cs="方正仿宋简体"/>
          <w:sz w:val="28"/>
          <w:szCs w:val="28"/>
          <w:lang w:eastAsia="zh-CN"/>
        </w:rPr>
        <w:t>负责组织公司的主要负责人、安全管理人员及特种作业人员的安全教育培训取证工作</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3.3 公司所属各职能部门单位按照各业务范围知识和技能开展岗位员工安全培训。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工作程序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各级管理人员的安全培训教育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依照《安全生产法》的规定，主要负责人、安全管理人员的安全教育培训由安全生产监督管理部门进行培训，必须经培训取得合格培训证书后，方可任职，并定期进行知识更新的学习和再培训。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各部门负责人、班组长及班组人员的培训，由各级专兼职安全员负责组织实施。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生产岗位员工安全培训教育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新进职工培训教育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4.2.1.1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新进职工到办公室进行登记，进行公司级培训。经公司级培训考核合格后到</w:t>
      </w:r>
      <w:r>
        <w:rPr>
          <w:rFonts w:hint="eastAsia" w:ascii="方正仿宋简体" w:hAnsi="方正仿宋简体" w:eastAsia="方正仿宋简体" w:cs="方正仿宋简体"/>
          <w:sz w:val="28"/>
          <w:szCs w:val="28"/>
          <w:lang w:val="en-US" w:eastAsia="zh-CN"/>
        </w:rPr>
        <w:t>各</w:t>
      </w:r>
      <w:r>
        <w:rPr>
          <w:rFonts w:hint="eastAsia" w:ascii="方正仿宋简体" w:hAnsi="方正仿宋简体" w:eastAsia="方正仿宋简体" w:cs="方正仿宋简体"/>
          <w:sz w:val="28"/>
          <w:szCs w:val="28"/>
        </w:rPr>
        <w:t>部</w:t>
      </w:r>
      <w:r>
        <w:rPr>
          <w:rFonts w:hint="eastAsia" w:ascii="方正仿宋简体" w:hAnsi="方正仿宋简体" w:eastAsia="方正仿宋简体" w:cs="方正仿宋简体"/>
          <w:sz w:val="28"/>
          <w:szCs w:val="28"/>
          <w:lang w:val="en-US" w:eastAsia="zh-CN"/>
        </w:rPr>
        <w:t>门单位</w:t>
      </w:r>
      <w:r>
        <w:rPr>
          <w:rFonts w:hint="eastAsia" w:ascii="方正仿宋简体" w:hAnsi="方正仿宋简体" w:eastAsia="方正仿宋简体" w:cs="方正仿宋简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4.2.1.2</w:t>
      </w:r>
      <w:r>
        <w:rPr>
          <w:rFonts w:hint="eastAsia" w:ascii="方正仿宋简体" w:hAnsi="方正仿宋简体" w:eastAsia="方正仿宋简体" w:cs="方正仿宋简体"/>
          <w:sz w:val="28"/>
          <w:szCs w:val="28"/>
          <w:lang w:val="en-US" w:eastAsia="zh-CN"/>
        </w:rPr>
        <w:t xml:space="preserve"> 各</w:t>
      </w:r>
      <w:r>
        <w:rPr>
          <w:rFonts w:hint="eastAsia" w:ascii="方正仿宋简体" w:hAnsi="方正仿宋简体" w:eastAsia="方正仿宋简体" w:cs="方正仿宋简体"/>
          <w:sz w:val="28"/>
          <w:szCs w:val="28"/>
        </w:rPr>
        <w:t>部</w:t>
      </w:r>
      <w:r>
        <w:rPr>
          <w:rFonts w:hint="eastAsia" w:ascii="方正仿宋简体" w:hAnsi="方正仿宋简体" w:eastAsia="方正仿宋简体" w:cs="方正仿宋简体"/>
          <w:sz w:val="28"/>
          <w:szCs w:val="28"/>
          <w:lang w:val="en-US" w:eastAsia="zh-CN"/>
        </w:rPr>
        <w:t>门单位</w:t>
      </w:r>
      <w:r>
        <w:rPr>
          <w:rFonts w:hint="eastAsia" w:ascii="方正仿宋简体" w:hAnsi="方正仿宋简体" w:eastAsia="方正仿宋简体" w:cs="方正仿宋简体"/>
          <w:sz w:val="28"/>
          <w:szCs w:val="28"/>
        </w:rPr>
        <w:t>进行部门级培训，培训合格后分配到岗位上，进行班组级培训，培训合格后指定带领师傅，由师父带领上岗。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“转岗”“复工”“四新”安全培训教育。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4.2.2.1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员工调整工作岗位（转岗）或离岗1年以上，重新上岗（复岗）时，应实行相应的部门级、班组级安全教育培训考核后，方可上岗；离岗1年以下,试其情况,应进行部门级、班组级安全教育培训。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4.2.2.2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非本公司职工调入，无论是否改变工种，应按新工人进行安全教育。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使用新工艺、新技术、新设备、新材料在投产以前，应及时制定安全操作规程和安全管理规章制度，并对岗位职工进行有针对性的安全教育培训。掌握一定操作技能经考核合格后，方可上岗作业。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4.2.4</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部门级安全教育由部门安全员负责并实施。教育内容是部门生产特点和生产流程及设备配置情况、部门安全规章制度和安全生产技术规程、作业场所和工作岗位存在的危险因素、防范措施及事故应急措施；事故案例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4.2.5</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班组（岗位）安全教育由班组长负责，班组安全员组织实施，教育内容是：本岗位安全操作规程、班组生产流程及设备配置情况、生产设备、安全装置、劳动防护用品（用具）的性能及正确使用方法、事故案例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特种作业人员安全培训教育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从事电工、</w:t>
      </w:r>
      <w:r>
        <w:rPr>
          <w:rFonts w:hint="eastAsia" w:ascii="方正仿宋简体" w:hAnsi="方正仿宋简体" w:eastAsia="方正仿宋简体" w:cs="方正仿宋简体"/>
          <w:sz w:val="28"/>
          <w:szCs w:val="28"/>
          <w:lang w:eastAsia="zh-CN"/>
        </w:rPr>
        <w:t>压力容器操作工</w:t>
      </w:r>
      <w:r>
        <w:rPr>
          <w:rFonts w:hint="eastAsia" w:ascii="方正仿宋简体" w:hAnsi="方正仿宋简体" w:eastAsia="方正仿宋简体" w:cs="方正仿宋简体"/>
          <w:sz w:val="28"/>
          <w:szCs w:val="28"/>
        </w:rPr>
        <w:t>、电（气）焊工</w:t>
      </w:r>
      <w:r>
        <w:rPr>
          <w:rFonts w:hint="eastAsia" w:ascii="方正仿宋简体" w:hAnsi="方正仿宋简体" w:eastAsia="方正仿宋简体" w:cs="方正仿宋简体"/>
          <w:sz w:val="28"/>
          <w:szCs w:val="28"/>
          <w:lang w:eastAsia="zh-CN"/>
        </w:rPr>
        <w:t>、高处作业工</w:t>
      </w:r>
      <w:r>
        <w:rPr>
          <w:rFonts w:hint="eastAsia" w:ascii="方正仿宋简体" w:hAnsi="方正仿宋简体" w:eastAsia="方正仿宋简体" w:cs="方正仿宋简体"/>
          <w:sz w:val="28"/>
          <w:szCs w:val="28"/>
        </w:rPr>
        <w:t>等特种作业人员，必须经过专门的安全知识学习与安全技能培训并经考试，取得特种作业操作证（定期复审）方可上岗操作，严禁无证上岗。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特种作业人员的取证，复审培训工作</w:t>
      </w:r>
      <w:r>
        <w:rPr>
          <w:rFonts w:hint="eastAsia" w:ascii="方正仿宋简体" w:hAnsi="方正仿宋简体" w:eastAsia="方正仿宋简体" w:cs="方正仿宋简体"/>
          <w:sz w:val="28"/>
          <w:szCs w:val="28"/>
          <w:lang w:val="en-US" w:eastAsia="zh-CN"/>
        </w:rPr>
        <w:t>质量安全环保部</w:t>
      </w:r>
      <w:r>
        <w:rPr>
          <w:rFonts w:hint="eastAsia" w:ascii="方正仿宋简体" w:hAnsi="方正仿宋简体" w:eastAsia="方正仿宋简体" w:cs="方正仿宋简体"/>
          <w:sz w:val="28"/>
          <w:szCs w:val="28"/>
        </w:rPr>
        <w:t>负责统一开展工作，各单位要认真组织、积极配合参加培训。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4.3.3</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特种作业人员按计划参加学习、培训、和复审，未按期参加复审教育考试者原操作证作废，不得继续作业。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color w:val="auto"/>
          <w:sz w:val="28"/>
          <w:szCs w:val="28"/>
        </w:rPr>
        <w:t>4.</w:t>
      </w:r>
      <w:r>
        <w:rPr>
          <w:rFonts w:hint="eastAsia" w:ascii="方正仿宋简体" w:hAnsi="方正仿宋简体" w:eastAsia="方正仿宋简体" w:cs="方正仿宋简体"/>
          <w:color w:val="auto"/>
          <w:sz w:val="28"/>
          <w:szCs w:val="28"/>
          <w:lang w:val="en-US" w:eastAsia="zh-CN"/>
        </w:rPr>
        <w:t xml:space="preserve">4 </w:t>
      </w:r>
      <w:r>
        <w:rPr>
          <w:rFonts w:hint="eastAsia" w:ascii="方正仿宋简体" w:hAnsi="方正仿宋简体" w:eastAsia="方正仿宋简体" w:cs="方正仿宋简体"/>
          <w:color w:val="auto"/>
          <w:sz w:val="28"/>
          <w:szCs w:val="28"/>
        </w:rPr>
        <w:t>外来施</w:t>
      </w:r>
      <w:r>
        <w:rPr>
          <w:rFonts w:hint="eastAsia" w:ascii="方正仿宋简体" w:hAnsi="方正仿宋简体" w:eastAsia="方正仿宋简体" w:cs="方正仿宋简体"/>
          <w:sz w:val="28"/>
          <w:szCs w:val="28"/>
        </w:rPr>
        <w:t>工人员安全培训教育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属地管理和外来施工人员管理单位</w:t>
      </w:r>
      <w:r>
        <w:rPr>
          <w:rFonts w:hint="eastAsia" w:ascii="方正仿宋简体" w:hAnsi="方正仿宋简体" w:eastAsia="方正仿宋简体" w:cs="方正仿宋简体"/>
          <w:sz w:val="28"/>
          <w:szCs w:val="28"/>
        </w:rPr>
        <w:t>负</w:t>
      </w:r>
      <w:r>
        <w:rPr>
          <w:rFonts w:hint="eastAsia" w:ascii="方正仿宋简体" w:hAnsi="方正仿宋简体" w:eastAsia="方正仿宋简体" w:cs="方正仿宋简体"/>
          <w:sz w:val="28"/>
          <w:szCs w:val="28"/>
          <w:lang w:val="en-US" w:eastAsia="zh-CN"/>
        </w:rPr>
        <w:t>责</w:t>
      </w:r>
      <w:r>
        <w:rPr>
          <w:rFonts w:hint="eastAsia" w:ascii="方正仿宋简体" w:hAnsi="方正仿宋简体" w:eastAsia="方正仿宋简体" w:cs="方正仿宋简体"/>
          <w:sz w:val="28"/>
          <w:szCs w:val="28"/>
        </w:rPr>
        <w:t>对外来施工人员进行安全教育,培训内容应包括公司的的安全管理制度及有关各项安全规定。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4.5 安全教育培训费用管理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4.5.1 员工的安全教育培训经费由综合办公室负责管理并安排使用，其管理使用原则是：统筹规划，突出重点，量入为出。培训经费的报销由公司财务室负责。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4.5.2 经公司批准参加上级或地方专业培训机构组织的专项培训，由公司报销培训费。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4.6  安全培训考核与奖惩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4.6.1 安全</w:t>
      </w:r>
      <w:r>
        <w:rPr>
          <w:rFonts w:hint="eastAsia" w:ascii="方正仿宋简体" w:hAnsi="方正仿宋简体" w:eastAsia="方正仿宋简体" w:cs="方正仿宋简体"/>
          <w:color w:val="auto"/>
          <w:sz w:val="28"/>
          <w:szCs w:val="28"/>
        </w:rPr>
        <w:t>培训工作</w:t>
      </w:r>
      <w:r>
        <w:rPr>
          <w:rFonts w:hint="eastAsia" w:ascii="方正仿宋简体" w:hAnsi="方正仿宋简体" w:eastAsia="方正仿宋简体" w:cs="方正仿宋简体"/>
          <w:color w:val="auto"/>
          <w:sz w:val="28"/>
          <w:szCs w:val="28"/>
          <w:lang w:eastAsia="zh-CN"/>
        </w:rPr>
        <w:t>开展情况</w:t>
      </w:r>
      <w:r>
        <w:rPr>
          <w:rFonts w:hint="eastAsia" w:ascii="方正仿宋简体" w:hAnsi="方正仿宋简体" w:eastAsia="方正仿宋简体" w:cs="方正仿宋简体"/>
          <w:color w:val="auto"/>
          <w:sz w:val="28"/>
          <w:szCs w:val="28"/>
        </w:rPr>
        <w:t>纳入过程考核，</w:t>
      </w:r>
      <w:r>
        <w:rPr>
          <w:rFonts w:hint="eastAsia" w:ascii="方正仿宋简体" w:hAnsi="方正仿宋简体" w:eastAsia="方正仿宋简体" w:cs="方正仿宋简体"/>
          <w:color w:val="auto"/>
          <w:sz w:val="28"/>
          <w:szCs w:val="28"/>
          <w:lang w:eastAsia="zh-CN"/>
        </w:rPr>
        <w:t>各部门不按计划开展安全生产教育培训的，一次扣</w:t>
      </w:r>
      <w:r>
        <w:rPr>
          <w:rFonts w:hint="eastAsia" w:ascii="方正仿宋简体" w:hAnsi="方正仿宋简体" w:eastAsia="方正仿宋简体" w:cs="方正仿宋简体"/>
          <w:color w:val="auto"/>
          <w:sz w:val="28"/>
          <w:szCs w:val="28"/>
          <w:lang w:val="en-US" w:eastAsia="zh-CN"/>
        </w:rPr>
        <w:t>1分。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lang w:eastAsia="zh-CN"/>
        </w:rPr>
      </w:pPr>
      <w:r>
        <w:rPr>
          <w:rFonts w:hint="eastAsia" w:ascii="方正仿宋简体" w:hAnsi="方正仿宋简体" w:eastAsia="方正仿宋简体" w:cs="方正仿宋简体"/>
          <w:color w:val="auto"/>
          <w:sz w:val="28"/>
          <w:szCs w:val="28"/>
          <w:lang w:val="en-US" w:eastAsia="zh-CN"/>
        </w:rPr>
        <w:t xml:space="preserve">4.6.2 </w:t>
      </w:r>
      <w:r>
        <w:rPr>
          <w:rFonts w:hint="eastAsia" w:ascii="方正仿宋简体" w:hAnsi="方正仿宋简体" w:eastAsia="方正仿宋简体" w:cs="方正仿宋简体"/>
          <w:color w:val="auto"/>
          <w:sz w:val="28"/>
          <w:szCs w:val="28"/>
        </w:rPr>
        <w:t>参训人员不得无故缺席和迟到，且没有特殊原因不得请假。无故不参加</w:t>
      </w:r>
      <w:r>
        <w:rPr>
          <w:rFonts w:hint="eastAsia" w:ascii="方正仿宋简体" w:hAnsi="方正仿宋简体" w:eastAsia="方正仿宋简体" w:cs="方正仿宋简体"/>
          <w:color w:val="auto"/>
          <w:sz w:val="28"/>
          <w:szCs w:val="28"/>
          <w:lang w:eastAsia="zh-CN"/>
        </w:rPr>
        <w:t>安全培训的</w:t>
      </w:r>
      <w:r>
        <w:rPr>
          <w:rFonts w:hint="eastAsia" w:ascii="方正仿宋简体" w:hAnsi="方正仿宋简体" w:eastAsia="方正仿宋简体" w:cs="方正仿宋简体"/>
          <w:color w:val="auto"/>
          <w:sz w:val="28"/>
          <w:szCs w:val="28"/>
        </w:rPr>
        <w:t>，扣罚相关人员200元/次，迟到\早退或培训期间干与培训无关的其它事情，表现极差的，扣罚相关人员100元/次</w:t>
      </w:r>
      <w:r>
        <w:rPr>
          <w:rFonts w:hint="eastAsia" w:ascii="方正仿宋简体" w:hAnsi="方正仿宋简体" w:eastAsia="方正仿宋简体" w:cs="方正仿宋简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val="en-US" w:eastAsia="zh-CN"/>
        </w:rPr>
        <w:t>4.6.3 安全教育培训</w:t>
      </w:r>
      <w:r>
        <w:rPr>
          <w:rFonts w:hint="eastAsia" w:ascii="方正仿宋简体" w:hAnsi="方正仿宋简体" w:eastAsia="方正仿宋简体" w:cs="方正仿宋简体"/>
          <w:color w:val="auto"/>
          <w:sz w:val="28"/>
          <w:szCs w:val="28"/>
        </w:rPr>
        <w:t>考试考核不合格</w:t>
      </w:r>
      <w:r>
        <w:rPr>
          <w:rFonts w:hint="eastAsia" w:ascii="方正仿宋简体" w:hAnsi="方正仿宋简体" w:eastAsia="方正仿宋简体" w:cs="方正仿宋简体"/>
          <w:color w:val="auto"/>
          <w:sz w:val="28"/>
          <w:szCs w:val="28"/>
          <w:lang w:eastAsia="zh-CN"/>
        </w:rPr>
        <w:t>的</w:t>
      </w:r>
      <w:r>
        <w:rPr>
          <w:rFonts w:hint="eastAsia" w:ascii="方正仿宋简体" w:hAnsi="方正仿宋简体" w:eastAsia="方正仿宋简体" w:cs="方正仿宋简体"/>
          <w:color w:val="auto"/>
          <w:sz w:val="28"/>
          <w:szCs w:val="28"/>
        </w:rPr>
        <w:t>，视为不能胜任岗位工作，</w:t>
      </w:r>
      <w:r>
        <w:rPr>
          <w:rFonts w:hint="eastAsia" w:ascii="方正仿宋简体" w:hAnsi="方正仿宋简体" w:eastAsia="方正仿宋简体" w:cs="方正仿宋简体"/>
          <w:color w:val="auto"/>
          <w:sz w:val="28"/>
          <w:szCs w:val="28"/>
          <w:lang w:eastAsia="zh-CN"/>
        </w:rPr>
        <w:t>不</w:t>
      </w:r>
      <w:r>
        <w:rPr>
          <w:rFonts w:hint="eastAsia" w:ascii="方正仿宋简体" w:hAnsi="方正仿宋简体" w:eastAsia="方正仿宋简体" w:cs="方正仿宋简体"/>
          <w:color w:val="auto"/>
          <w:sz w:val="28"/>
          <w:szCs w:val="28"/>
        </w:rPr>
        <w:t>经过公司讨论决定，安排2至3个月的跟班培训，期间业绩奖金发放50%，跟班培训考试不合格者，公司可调整其岗位，仍不能胜任工作的，按程序上报上级单位建议解除劳动合同。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val="en-US" w:eastAsia="zh-CN"/>
        </w:rPr>
        <w:t xml:space="preserve">4.6.4 </w:t>
      </w:r>
      <w:r>
        <w:rPr>
          <w:rFonts w:hint="eastAsia" w:ascii="方正仿宋简体" w:hAnsi="方正仿宋简体" w:eastAsia="方正仿宋简体" w:cs="方正仿宋简体"/>
          <w:color w:val="auto"/>
          <w:sz w:val="28"/>
          <w:szCs w:val="28"/>
        </w:rPr>
        <w:t>员工参加上级单位或燃气协会或地方部门组织的</w:t>
      </w:r>
      <w:r>
        <w:rPr>
          <w:rFonts w:hint="eastAsia" w:ascii="方正仿宋简体" w:hAnsi="方正仿宋简体" w:eastAsia="方正仿宋简体" w:cs="方正仿宋简体"/>
          <w:color w:val="auto"/>
          <w:sz w:val="28"/>
          <w:szCs w:val="28"/>
          <w:lang w:eastAsia="zh-CN"/>
        </w:rPr>
        <w:t>安全培训</w:t>
      </w:r>
      <w:r>
        <w:rPr>
          <w:rFonts w:hint="eastAsia" w:ascii="方正仿宋简体" w:hAnsi="方正仿宋简体" w:eastAsia="方正仿宋简体" w:cs="方正仿宋简体"/>
          <w:color w:val="auto"/>
          <w:sz w:val="28"/>
          <w:szCs w:val="28"/>
        </w:rPr>
        <w:t>考核考试，名列参与考试考核人员前三名或前10%的，给予500~2000元的奖励，主办单位已奖励的，不再重复奖励。</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bookmarkStart w:id="1038" w:name="_Toc363829786"/>
      <w:bookmarkStart w:id="1039" w:name="_Toc1122"/>
      <w:bookmarkStart w:id="1040" w:name="_Toc15555"/>
      <w:bookmarkStart w:id="1041" w:name="_Toc21104"/>
      <w:bookmarkStart w:id="1042" w:name="_Toc16106"/>
      <w:r>
        <w:rPr>
          <w:rFonts w:hint="eastAsia" w:ascii="方正小标宋简体" w:eastAsia="方正小标宋简体"/>
          <w:b/>
          <w:bCs/>
          <w:kern w:val="44"/>
          <w:sz w:val="36"/>
          <w:szCs w:val="36"/>
          <w:lang w:val="en-US" w:eastAsia="zh-CN" w:bidi="ar-SA"/>
        </w:rPr>
        <w:br w:type="page"/>
      </w:r>
      <w:bookmarkStart w:id="1043" w:name="_Toc1681"/>
      <w:bookmarkStart w:id="1044" w:name="_Toc25890"/>
      <w:bookmarkStart w:id="1045" w:name="_Toc30819"/>
      <w:bookmarkStart w:id="1046" w:name="_Toc30404"/>
      <w:bookmarkStart w:id="1047" w:name="_Toc12814"/>
      <w:bookmarkStart w:id="1048" w:name="_Toc17804"/>
      <w:bookmarkStart w:id="1049" w:name="_Toc32291"/>
      <w:bookmarkStart w:id="1050" w:name="_Toc19886"/>
      <w:bookmarkStart w:id="1051" w:name="_Toc10940"/>
      <w:r>
        <w:rPr>
          <w:rFonts w:hint="eastAsia" w:ascii="方正小标宋简体" w:eastAsia="方正小标宋简体"/>
          <w:b w:val="0"/>
          <w:bCs w:val="0"/>
          <w:kern w:val="44"/>
          <w:sz w:val="36"/>
          <w:szCs w:val="36"/>
          <w:lang w:val="en-US" w:eastAsia="zh-CN" w:bidi="ar-SA"/>
        </w:rPr>
        <w:t>中油南充燃气有限责任公司生产设备设施验收管理制度</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 xml:space="preserve">1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为了加强对我公司设备、设施验收过程的管理，确保设备的安全附件合格有效，符合国家相关安全标准，特制订本制度。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适用于公司所有生产设备设施的验收管理。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验收的内容及标准：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设备外观、包装情况、设备名称、型号规格、数量等是否符合要求。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装箱清单是否与实物相符，以及其他资料是否齐全，有无缺损。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设备验收：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设备到达物资库或现场后，安全生产部应及时通知部门相关人员联合设备采购人员参加设备的开箱验收。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员工接到通知后，应及时到指定地点进行验收。首先检查设备包装情况，确认设备包装完整无损的情况下即可开箱验收。开箱后依据装箱单明细逐件核对设备的合格证、产品说明书等技术资料，如发现资料短缺，应由供销部负责追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若在验收过程中发现设备破损、生锈、变形等外观质量不合格时，验收人员应暂停验收，并责成设备供销部门督促设备供货公司家返修或更换。返修或更换后再行验收。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开箱设备验收合格后，设备采购人员填写设备验收单，由参与验收人员签字确认。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4.5</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于设备完成安装进入调试阶段后，员工对调试中发现的问题，应及时报与安全生产部负责人，由负责人联系设备供销部门督促设备供货公司家及时进行返修，直至符合质量要求和安全要求为止。对无法现场返修的或安全附件无效的由供货公司家应予以更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4.6</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若设备在质保期中出现问题，由安全生产部联系供销部门督促公司家直至解决。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4.7</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对进公司设备中的安全装置在验收中必须注明完好与否，并要所有人员进行确认。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4.8</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对对重要的安全设备、设施的验收，要求请安全员参加并建档。</w:t>
      </w:r>
    </w:p>
    <w:p>
      <w:pPr>
        <w:spacing w:line="360" w:lineRule="auto"/>
        <w:ind w:firstLine="560" w:firstLineChars="200"/>
        <w:rPr>
          <w:rFonts w:hint="eastAsia" w:ascii="方正仿宋简体" w:hAnsi="方正仿宋简体" w:eastAsia="方正仿宋简体" w:cs="方正仿宋简体"/>
          <w:sz w:val="28"/>
        </w:rPr>
      </w:pPr>
    </w:p>
    <w:p>
      <w:pPr>
        <w:spacing w:line="360" w:lineRule="auto"/>
        <w:ind w:firstLine="560" w:firstLineChars="200"/>
        <w:rPr>
          <w:rFonts w:hint="eastAsia" w:ascii="方正仿宋简体" w:hAnsi="方正仿宋简体" w:eastAsia="方正仿宋简体" w:cs="方正仿宋简体"/>
          <w:sz w:val="28"/>
        </w:rPr>
      </w:pPr>
    </w:p>
    <w:p>
      <w:pPr>
        <w:spacing w:line="360" w:lineRule="auto"/>
        <w:ind w:firstLine="560" w:firstLineChars="200"/>
        <w:rPr>
          <w:rFonts w:hint="eastAsia" w:ascii="方正仿宋简体" w:hAnsi="方正仿宋简体" w:eastAsia="方正仿宋简体" w:cs="方正仿宋简体"/>
          <w:sz w:val="28"/>
        </w:rPr>
      </w:pPr>
    </w:p>
    <w:p>
      <w:pPr>
        <w:spacing w:line="360" w:lineRule="auto"/>
        <w:ind w:firstLine="560" w:firstLineChars="200"/>
        <w:rPr>
          <w:rFonts w:hint="eastAsia" w:ascii="方正仿宋简体" w:hAnsi="方正仿宋简体" w:eastAsia="方正仿宋简体" w:cs="方正仿宋简体"/>
          <w:sz w:val="28"/>
        </w:rPr>
      </w:pPr>
      <w:bookmarkStart w:id="1052" w:name="_Toc356303801"/>
    </w:p>
    <w:p>
      <w:pPr>
        <w:spacing w:line="360" w:lineRule="auto"/>
        <w:ind w:firstLine="560" w:firstLineChars="200"/>
        <w:rPr>
          <w:rFonts w:hint="eastAsia" w:ascii="方正仿宋简体" w:hAnsi="方正仿宋简体" w:eastAsia="方正仿宋简体" w:cs="方正仿宋简体"/>
          <w:sz w:val="28"/>
        </w:rPr>
      </w:pPr>
    </w:p>
    <w:p>
      <w:pPr>
        <w:spacing w:line="360" w:lineRule="auto"/>
        <w:ind w:firstLine="560" w:firstLineChars="200"/>
        <w:rPr>
          <w:rFonts w:hint="eastAsia" w:ascii="方正仿宋简体" w:hAnsi="方正仿宋简体" w:eastAsia="方正仿宋简体" w:cs="方正仿宋简体"/>
          <w:sz w:val="28"/>
        </w:rPr>
      </w:pPr>
    </w:p>
    <w:p>
      <w:pPr>
        <w:spacing w:line="360" w:lineRule="auto"/>
        <w:ind w:firstLine="880" w:firstLineChars="200"/>
        <w:jc w:val="center"/>
        <w:rPr>
          <w:rFonts w:hint="eastAsia" w:ascii="方正仿宋简体" w:hAnsi="方正仿宋简体" w:eastAsia="方正仿宋简体" w:cs="方正仿宋简体"/>
          <w:sz w:val="44"/>
          <w:szCs w:val="44"/>
        </w:rPr>
      </w:pPr>
      <w:bookmarkStart w:id="1053" w:name="_Toc360615855"/>
      <w:bookmarkStart w:id="1054" w:name="_Toc30744"/>
      <w:bookmarkStart w:id="1055" w:name="_Toc360615058"/>
      <w:bookmarkStart w:id="1056" w:name="_Toc14011"/>
      <w:bookmarkStart w:id="1057" w:name="_Toc22710"/>
      <w:bookmarkStart w:id="1058" w:name="_Toc7718"/>
      <w:bookmarkStart w:id="1059" w:name="_Toc262"/>
      <w:bookmarkStart w:id="1060" w:name="_Toc32021"/>
      <w:bookmarkStart w:id="1061" w:name="_Toc31238"/>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bookmarkStart w:id="1062" w:name="_Toc5544"/>
      <w:bookmarkStart w:id="1063" w:name="_Toc4312"/>
      <w:bookmarkStart w:id="1064" w:name="_Toc6453"/>
      <w:bookmarkStart w:id="1065" w:name="_Toc31679"/>
      <w:r>
        <w:rPr>
          <w:rFonts w:hint="eastAsia" w:ascii="方正小标宋简体" w:eastAsia="方正小标宋简体"/>
          <w:b/>
          <w:bCs/>
          <w:kern w:val="44"/>
          <w:sz w:val="36"/>
          <w:szCs w:val="36"/>
          <w:lang w:val="en-US" w:eastAsia="zh-CN" w:bidi="ar-SA"/>
        </w:rPr>
        <w:br w:type="page"/>
      </w:r>
      <w:bookmarkStart w:id="1066" w:name="_Toc3554"/>
      <w:bookmarkStart w:id="1067" w:name="_Toc16243"/>
      <w:bookmarkStart w:id="1068" w:name="_Toc7571"/>
      <w:bookmarkStart w:id="1069" w:name="_Toc26127"/>
      <w:bookmarkStart w:id="1070" w:name="_Toc14327"/>
      <w:bookmarkStart w:id="1071" w:name="_Toc9793"/>
      <w:bookmarkStart w:id="1072" w:name="_Toc21784"/>
      <w:bookmarkStart w:id="1073" w:name="_Toc26611"/>
      <w:bookmarkStart w:id="1074" w:name="_Toc49"/>
      <w:r>
        <w:rPr>
          <w:rFonts w:hint="eastAsia" w:ascii="方正小标宋简体" w:eastAsia="方正小标宋简体"/>
          <w:b w:val="0"/>
          <w:bCs w:val="0"/>
          <w:kern w:val="44"/>
          <w:sz w:val="36"/>
          <w:szCs w:val="36"/>
          <w:lang w:val="en-US" w:eastAsia="zh-CN" w:bidi="ar-SA"/>
        </w:rPr>
        <w:t>中油南充燃气有限责任公司生产设备设施报废管理</w:t>
      </w:r>
      <w:bookmarkEnd w:id="1052"/>
      <w:bookmarkEnd w:id="1053"/>
      <w:bookmarkEnd w:id="1054"/>
      <w:bookmarkEnd w:id="1055"/>
      <w:bookmarkEnd w:id="1056"/>
      <w:bookmarkEnd w:id="1057"/>
      <w:bookmarkEnd w:id="1058"/>
      <w:bookmarkEnd w:id="1059"/>
      <w:bookmarkEnd w:id="1060"/>
      <w:bookmarkEnd w:id="1061"/>
      <w:r>
        <w:rPr>
          <w:rFonts w:hint="eastAsia" w:ascii="方正小标宋简体" w:eastAsia="方正小标宋简体"/>
          <w:b w:val="0"/>
          <w:bCs w:val="0"/>
          <w:kern w:val="44"/>
          <w:sz w:val="36"/>
          <w:szCs w:val="36"/>
          <w:lang w:val="en-US" w:eastAsia="zh-CN" w:bidi="ar-SA"/>
        </w:rPr>
        <w:t>制度</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64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为了加强对我公司设备、设施报废管理，切实杜绝报废设备和报废作业过程中的事故发生，特制定本制度。</w:t>
      </w:r>
    </w:p>
    <w:p>
      <w:pPr>
        <w:keepNext w:val="0"/>
        <w:keepLines w:val="0"/>
        <w:pageBreakBefore w:val="0"/>
        <w:widowControl w:val="0"/>
        <w:kinsoku/>
        <w:wordWrap/>
        <w:overflowPunct/>
        <w:topLinePunct w:val="0"/>
        <w:autoSpaceDE/>
        <w:autoSpaceDN/>
        <w:bidi w:val="0"/>
        <w:adjustRightInd/>
        <w:snapToGrid/>
        <w:spacing w:line="64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范围</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适用于公司所有生产设备设施的报废管理。</w:t>
      </w:r>
    </w:p>
    <w:p>
      <w:pPr>
        <w:keepNext w:val="0"/>
        <w:keepLines w:val="0"/>
        <w:pageBreakBefore w:val="0"/>
        <w:widowControl w:val="0"/>
        <w:kinsoku/>
        <w:wordWrap/>
        <w:overflowPunct/>
        <w:topLinePunct w:val="0"/>
        <w:autoSpaceDE/>
        <w:autoSpaceDN/>
        <w:bidi w:val="0"/>
        <w:adjustRightInd/>
        <w:snapToGrid/>
        <w:spacing w:line="64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设备、设施报废标准</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符合下列条件之一时，各部门方可申请设备、设施报废：</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经过预测继续大修后技术性能仍不能满足工艺要求和保证产品质量的。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设备老化，技术性能落后，耗能高，效率低，经济效益差的。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大修理虽能恢复精度，但不如更新经济的。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因磨损、腐蚀、事故或其他灾害使设备遭受严重损坏无修复价值的。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3.5</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严重污染环境，危害人身安全与健康，进行改造又不经济的。</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3.6</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国家明文规定淘汰的。</w:t>
      </w:r>
    </w:p>
    <w:p>
      <w:pPr>
        <w:keepNext w:val="0"/>
        <w:keepLines w:val="0"/>
        <w:pageBreakBefore w:val="0"/>
        <w:widowControl w:val="0"/>
        <w:kinsoku/>
        <w:wordWrap/>
        <w:overflowPunct/>
        <w:topLinePunct w:val="0"/>
        <w:autoSpaceDE/>
        <w:autoSpaceDN/>
        <w:bidi w:val="0"/>
        <w:adjustRightInd/>
        <w:snapToGrid/>
        <w:spacing w:line="64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设备、设施报废的审批</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凡符合报废条件的固定资产设备、设施应由安全生产部向总经理出报废申请，安全生产部、安全员等相关人员现场鉴定，填写《设备设施报废申请表》，经总经理批准后，方可报废。</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未经批准报废前，任何部门不得拆卸、挪用其零部件和自行报废处理。</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设备、设施报废审批表中，必须写清楚该设备存在的危险和控制措施，并明确责任人，由安全员负责监督检查；</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对于特种设备、危险性较大的设备的报废，还需要</w:t>
      </w:r>
      <w:r>
        <w:rPr>
          <w:rFonts w:hint="eastAsia" w:ascii="方正仿宋简体" w:hAnsi="方正仿宋简体" w:eastAsia="方正仿宋简体" w:cs="方正仿宋简体"/>
          <w:sz w:val="28"/>
          <w:lang w:val="en-US" w:eastAsia="zh-CN"/>
        </w:rPr>
        <w:t>生产运行</w:t>
      </w:r>
      <w:r>
        <w:rPr>
          <w:rFonts w:hint="eastAsia" w:ascii="方正仿宋简体" w:hAnsi="方正仿宋简体" w:eastAsia="方正仿宋简体" w:cs="方正仿宋简体"/>
          <w:sz w:val="28"/>
        </w:rPr>
        <w:t>部组织制定报废方案，明确责任机构、职责，过程执行明细，安全措施及报废后的上报、注销工作，经相关部门批准后执行。</w:t>
      </w:r>
    </w:p>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r>
        <w:rPr>
          <w:rFonts w:hint="eastAsia" w:ascii="方正仿宋简体" w:hAnsi="方正仿宋简体" w:eastAsia="方正仿宋简体" w:cs="方正仿宋简体"/>
          <w:sz w:val="28"/>
        </w:rPr>
        <w:br w:type="page"/>
      </w:r>
      <w:bookmarkStart w:id="1075" w:name="_Toc2314"/>
      <w:bookmarkStart w:id="1076" w:name="_Toc1593"/>
      <w:bookmarkStart w:id="1077" w:name="_Toc15915"/>
      <w:bookmarkStart w:id="1078" w:name="_Toc21560"/>
      <w:bookmarkStart w:id="1079" w:name="_Toc1822"/>
      <w:bookmarkStart w:id="1080" w:name="_Toc26731"/>
      <w:bookmarkStart w:id="1081" w:name="_Toc11545"/>
      <w:bookmarkStart w:id="1082" w:name="_Toc11159"/>
      <w:bookmarkStart w:id="1083" w:name="_Toc24731"/>
      <w:bookmarkStart w:id="1084" w:name="_Toc590"/>
      <w:bookmarkStart w:id="1085" w:name="_Toc4625"/>
      <w:bookmarkStart w:id="1086" w:name="_Toc8918"/>
      <w:bookmarkStart w:id="1087" w:name="_Toc14196"/>
      <w:r>
        <w:rPr>
          <w:rFonts w:hint="eastAsia" w:ascii="方正小标宋简体" w:eastAsia="方正小标宋简体"/>
          <w:b w:val="0"/>
          <w:bCs w:val="0"/>
          <w:kern w:val="44"/>
          <w:sz w:val="36"/>
          <w:szCs w:val="36"/>
          <w:lang w:val="en-US" w:eastAsia="zh-CN" w:bidi="ar-SA"/>
        </w:rPr>
        <w:t>中油南充燃气有限责任公司相关方及外用工管理制度</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为进一步规范和完善对外来施工、承包和租赁方的安全管理，落实各项安全管理制度，确保安全生产，制定本规定。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 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公司对承包商和外用工的管理。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3管理职责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工程技术部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工程技术部在签订施工合同时，负责落实签订安全生产管理协议书，并对相关方各类证件和资格进行审验。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负责对相关方及其作业现场进行日常安全检查和管理。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负责督促相关方对作业人员的安全教育，并把公司安全管理制度和相关要求传达到相关方。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方正仿宋简体" w:hAnsi="方正仿宋简体" w:eastAsia="方正仿宋简体" w:cs="方正仿宋简体"/>
          <w:sz w:val="28"/>
          <w:lang w:val="en-US" w:eastAsia="zh-CN"/>
        </w:rPr>
      </w:pPr>
      <w:r>
        <w:rPr>
          <w:rFonts w:hint="eastAsia" w:ascii="方正仿宋简体" w:hAnsi="方正仿宋简体" w:eastAsia="方正仿宋简体" w:cs="方正仿宋简体"/>
          <w:sz w:val="28"/>
        </w:rPr>
        <w:t>3.2</w:t>
      </w:r>
      <w:r>
        <w:rPr>
          <w:rFonts w:hint="eastAsia" w:ascii="方正仿宋简体" w:hAnsi="方正仿宋简体" w:eastAsia="方正仿宋简体" w:cs="方正仿宋简体"/>
          <w:sz w:val="28"/>
          <w:lang w:val="en-US" w:eastAsia="zh-CN"/>
        </w:rPr>
        <w:t xml:space="preserve"> 质量安全环保部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负责对相关方的安全资质进行鉴定审核。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负责监督责任部门并组织、监督与相关方签订安全生产管理协议。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负责监督检查相关方的安全教育培训工作。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负责对安全生产管理协议的执行情况进行监督检查。</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 工程发包管理规定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公司的工程需要对外发包工程项目，发包单位必须严格审核承包单位的经营资质、技术水平及安全资质，对不符合条件的单位，不得对其发包工程。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对符合条件的承包单位，在签订承包合同的同时，还必须签订安全生产管理协议，并经总经理审核批准。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承包方签订安全生产管理协议后，安全员负责对承包方的安全教育和培训进行监督检查，向承包方介绍本企业各项安全管理制度。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发包方负责对承包方进行作业现场及环境进行安全技术交流，明确安全技术要求，提供安全施工条件，落实安全措施。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4.5</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承包方开工前，必须落实安全生产管理制度、制定各级管理人员的安全生产责任制及施工安全措施。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4.6</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未签订承包合同的其它施工作业等项目，发包单位与承包单位也必须签订由公司统一印制的安全生产管理协议书，严禁口头安排。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4.7</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工程在实施过程中，发包单位要对承包方的安全施工情况经常进行检查监督，发现不安全隐患，要及时督促承包单位进行整改。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4.8</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承包方在现场作业中，必须严格执行公司规定的安全生产管理制度。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4.9</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现场工作人员应接受发包方和安全员的安全监督和检查，对违章人员或妨碍企业安全生产的作业，企业有权令其纠正或停止作业。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4.10</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承包单位在本公司范围内，违反公司安全生产规章制度的，一经发现，发包方除对其进行教育外，并按双方的有关协议条款追究承包方的相关责任。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5</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承包单位须提供以下安全资质资料：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施工企业相关安全资质证。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企业法人营业执照。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现场负责人安全职责及授权书。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有关承包劳务合同（协议）。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特种作业人员操作证。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施工、服务人员劳动合同书或授权委托书。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施工安全管理制度。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施工设备、设施台账。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项目经理、安全管理人员等上岗资格证。</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1088" w:name="_Toc5977"/>
      <w:bookmarkStart w:id="1089" w:name="_Toc956"/>
      <w:bookmarkStart w:id="1090" w:name="_Toc11712"/>
      <w:bookmarkStart w:id="1091" w:name="_Toc17610"/>
      <w:r>
        <w:rPr>
          <w:rFonts w:hint="eastAsia" w:ascii="方正小标宋简体" w:eastAsia="方正小标宋简体"/>
          <w:b/>
          <w:bCs/>
          <w:kern w:val="44"/>
          <w:sz w:val="36"/>
          <w:szCs w:val="36"/>
          <w:lang w:val="en-US" w:eastAsia="zh-CN" w:bidi="ar-SA"/>
        </w:rPr>
        <w:br w:type="page"/>
      </w:r>
      <w:bookmarkStart w:id="1092" w:name="_Toc23244"/>
      <w:bookmarkStart w:id="1093" w:name="_Toc30109"/>
      <w:bookmarkStart w:id="1094" w:name="_Toc16553"/>
      <w:bookmarkStart w:id="1095" w:name="_Toc28754"/>
      <w:bookmarkStart w:id="1096" w:name="_Toc18486"/>
      <w:bookmarkStart w:id="1097" w:name="_Toc20409"/>
      <w:bookmarkStart w:id="1098" w:name="_Toc24332"/>
      <w:bookmarkStart w:id="1099" w:name="_Toc18523"/>
      <w:bookmarkStart w:id="1100" w:name="_Toc11318"/>
      <w:r>
        <w:rPr>
          <w:rFonts w:hint="eastAsia" w:ascii="方正小标宋简体" w:eastAsia="方正小标宋简体"/>
          <w:b w:val="0"/>
          <w:bCs w:val="0"/>
          <w:kern w:val="44"/>
          <w:sz w:val="36"/>
          <w:szCs w:val="36"/>
          <w:lang w:val="en-US" w:eastAsia="zh-CN" w:bidi="ar-SA"/>
        </w:rPr>
        <w:t>中油南充燃气有限责任公司供应商管理制度</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为了确保公司所选定的供应商提供的产品符合国家标准的要求，减少供应服务中的风险。</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本制度适用于公司对供应商的管理。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 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市场营销部</w:t>
      </w:r>
      <w:r>
        <w:rPr>
          <w:rFonts w:hint="eastAsia" w:ascii="方正仿宋简体" w:hAnsi="方正仿宋简体" w:eastAsia="方正仿宋简体" w:cs="方正仿宋简体"/>
          <w:sz w:val="28"/>
        </w:rPr>
        <w:t>负责对供应商的相关资料进行审核，汇总所有相关资料报</w:t>
      </w:r>
      <w:r>
        <w:rPr>
          <w:rFonts w:hint="eastAsia" w:ascii="方正仿宋简体" w:hAnsi="方正仿宋简体" w:eastAsia="方正仿宋简体" w:cs="方正仿宋简体"/>
          <w:sz w:val="28"/>
          <w:lang w:val="en-US" w:eastAsia="zh-CN"/>
        </w:rPr>
        <w:t>公司</w:t>
      </w:r>
      <w:r>
        <w:rPr>
          <w:rFonts w:hint="eastAsia" w:ascii="方正仿宋简体" w:hAnsi="方正仿宋简体" w:eastAsia="方正仿宋简体" w:cs="方正仿宋简体"/>
          <w:sz w:val="28"/>
        </w:rPr>
        <w:t>经理审批确定。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工程技术</w:t>
      </w:r>
      <w:r>
        <w:rPr>
          <w:rFonts w:hint="eastAsia" w:ascii="方正仿宋简体" w:hAnsi="方正仿宋简体" w:eastAsia="方正仿宋简体" w:cs="方正仿宋简体"/>
          <w:sz w:val="28"/>
        </w:rPr>
        <w:t>部负责对所提供产品的初步检验，发生问题后</w:t>
      </w:r>
      <w:r>
        <w:rPr>
          <w:rFonts w:hint="eastAsia" w:ascii="方正仿宋简体" w:hAnsi="方正仿宋简体" w:eastAsia="方正仿宋简体" w:cs="方正仿宋简体"/>
          <w:sz w:val="28"/>
          <w:lang w:val="en-US" w:eastAsia="zh-CN"/>
        </w:rPr>
        <w:t>市场营销</w:t>
      </w:r>
      <w:r>
        <w:rPr>
          <w:rFonts w:hint="eastAsia" w:ascii="方正仿宋简体" w:hAnsi="方正仿宋简体" w:eastAsia="方正仿宋简体" w:cs="方正仿宋简体"/>
          <w:sz w:val="28"/>
        </w:rPr>
        <w:t>部与供应商协商解决问题的联系工作。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val="en-US" w:eastAsia="zh-CN"/>
        </w:rPr>
        <w:t xml:space="preserve"> 市场营销部</w:t>
      </w:r>
      <w:r>
        <w:rPr>
          <w:rFonts w:hint="eastAsia" w:ascii="方正仿宋简体" w:hAnsi="方正仿宋简体" w:eastAsia="方正仿宋简体" w:cs="方正仿宋简体"/>
          <w:sz w:val="28"/>
        </w:rPr>
        <w:t>负责供应商的文件资料归档管理。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 xml:space="preserve">4 </w:t>
      </w:r>
      <w:r>
        <w:rPr>
          <w:rFonts w:hint="eastAsia" w:ascii="方正仿宋简体" w:hAnsi="方正仿宋简体" w:eastAsia="方正仿宋简体" w:cs="方正仿宋简体"/>
          <w:b/>
          <w:bCs/>
          <w:sz w:val="28"/>
        </w:rPr>
        <w:t>工作程序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供应商的选择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.1.1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对供应商的资质进行考核，要求各供应商根据实际情况提供相关的资料（供应危险化学品的供应商需要提供：安全生产许可证或危险品经营许可证、营业执照、安全技术指导说明书、危险品标签等证明材料）。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2 </w:t>
      </w:r>
      <w:r>
        <w:rPr>
          <w:rFonts w:hint="eastAsia" w:ascii="方正仿宋简体" w:hAnsi="方正仿宋简体" w:eastAsia="方正仿宋简体" w:cs="方正仿宋简体"/>
          <w:sz w:val="28"/>
        </w:rPr>
        <w:t>根据该产品的质量、性能，使用情况，安全特点、相关资质证明、价格和售后服务等方面进行确认，选定合格供应商，签订供应合同。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3 </w:t>
      </w:r>
      <w:r>
        <w:rPr>
          <w:rFonts w:hint="eastAsia" w:ascii="方正仿宋简体" w:hAnsi="方正仿宋简体" w:eastAsia="方正仿宋简体" w:cs="方正仿宋简体"/>
          <w:sz w:val="28"/>
        </w:rPr>
        <w:t>把确定好的各供应商分门别类的归档管理，建立合格供应商档案，纳入《合格供应商名录》。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4 </w:t>
      </w:r>
      <w:r>
        <w:rPr>
          <w:rFonts w:hint="eastAsia" w:ascii="方正仿宋简体" w:hAnsi="方正仿宋简体" w:eastAsia="方正仿宋简体" w:cs="方正仿宋简体"/>
          <w:sz w:val="28"/>
        </w:rPr>
        <w:t>供应商档案至少包括以下内容：供应商的营业执照；税务登记证；危险化学品经营许可证及其他行政许可证件。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合格供应商的续用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.2.1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从该单位确定为合格供应商开始，每年年底进行一次综合评价，由安全生产部、技术部、供销部联合对该供应商进行评价，进行动态管理。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.2.2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不符合标准的，取消其合格供应商的资格；能符合公司要求的，给予续用；最后报</w:t>
      </w:r>
      <w:r>
        <w:rPr>
          <w:rFonts w:hint="eastAsia" w:ascii="方正仿宋简体" w:hAnsi="方正仿宋简体" w:eastAsia="方正仿宋简体" w:cs="方正仿宋简体"/>
          <w:sz w:val="28"/>
          <w:lang w:val="en-US" w:eastAsia="zh-CN"/>
        </w:rPr>
        <w:t>公司</w:t>
      </w:r>
      <w:r>
        <w:rPr>
          <w:rFonts w:hint="eastAsia" w:ascii="方正仿宋简体" w:hAnsi="方正仿宋简体" w:eastAsia="方正仿宋简体" w:cs="方正仿宋简体"/>
          <w:sz w:val="28"/>
        </w:rPr>
        <w:t>经理批准，确定下一年的供应商名录。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4</w:t>
      </w:r>
      <w:r>
        <w:rPr>
          <w:rFonts w:hint="eastAsia" w:ascii="方正仿宋简体" w:hAnsi="方正仿宋简体" w:eastAsia="方正仿宋简体" w:cs="方正仿宋简体"/>
          <w:sz w:val="28"/>
        </w:rPr>
        <w:t>.2.3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根据公司生产的要求，可以增加合格供应商或取消不符合条件的供应商。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i w:val="0"/>
          <w:iCs w:val="0"/>
          <w:sz w:val="28"/>
        </w:rPr>
      </w:pPr>
      <w:r>
        <w:rPr>
          <w:rFonts w:hint="eastAsia" w:ascii="方正仿宋简体" w:hAnsi="方正仿宋简体" w:eastAsia="方正仿宋简体" w:cs="方正仿宋简体"/>
          <w:b/>
          <w:bCs/>
          <w:i w:val="0"/>
          <w:iCs w:val="0"/>
          <w:sz w:val="28"/>
          <w:lang w:val="en-US" w:eastAsia="zh-CN"/>
        </w:rPr>
        <w:t xml:space="preserve">5 </w:t>
      </w:r>
      <w:r>
        <w:rPr>
          <w:rFonts w:hint="eastAsia" w:ascii="方正仿宋简体" w:hAnsi="方正仿宋简体" w:eastAsia="方正仿宋简体" w:cs="方正仿宋简体"/>
          <w:b/>
          <w:bCs/>
          <w:i w:val="0"/>
          <w:iCs w:val="0"/>
          <w:sz w:val="28"/>
        </w:rPr>
        <w:t>采购程序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5</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采购各类产品时，要求供应商提供相关的说明、合格证等材料，以确保产品符合安全要求。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5</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进行技术初步检验以后，不符合条件的可要求供应商提供资料或选择退货；符合条件的才可以办理相关验收手续。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5</w:t>
      </w: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供销部发现采购的产品存在问题是，应及时与供应商联系，把信息及时反馈给供应商，以最大限度地降低采购风险，确保采购的产品符合要求。</w:t>
      </w:r>
    </w:p>
    <w:p>
      <w:pPr>
        <w:spacing w:line="360" w:lineRule="auto"/>
        <w:ind w:firstLine="560" w:firstLineChars="200"/>
        <w:jc w:val="center"/>
        <w:rPr>
          <w:rFonts w:hint="eastAsia" w:ascii="方正小标宋简体" w:eastAsia="方正小标宋简体"/>
          <w:b w:val="0"/>
          <w:bCs w:val="0"/>
          <w:kern w:val="44"/>
          <w:sz w:val="36"/>
          <w:szCs w:val="36"/>
          <w:lang w:val="en-US" w:eastAsia="zh-CN" w:bidi="ar-SA"/>
        </w:rPr>
      </w:pPr>
      <w:r>
        <w:rPr>
          <w:rFonts w:hint="eastAsia" w:ascii="方正仿宋简体" w:hAnsi="方正仿宋简体" w:eastAsia="方正仿宋简体" w:cs="方正仿宋简体"/>
          <w:sz w:val="28"/>
        </w:rPr>
        <w:br w:type="page"/>
      </w:r>
      <w:r>
        <w:rPr>
          <w:rFonts w:hint="eastAsia" w:ascii="方正小标宋简体" w:eastAsia="方正小标宋简体"/>
          <w:b w:val="0"/>
          <w:bCs w:val="0"/>
          <w:kern w:val="44"/>
          <w:sz w:val="36"/>
          <w:szCs w:val="36"/>
          <w:lang w:val="en-US" w:eastAsia="zh-CN" w:bidi="ar-SA"/>
        </w:rPr>
        <w:t>供应商评估表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方正仿宋简体" w:hAnsi="方正仿宋简体" w:eastAsia="方正仿宋简体" w:cs="方正仿宋简体"/>
          <w:sz w:val="28"/>
          <w:lang w:val="en-US" w:eastAsia="zh-CN"/>
        </w:rPr>
      </w:pPr>
      <w:r>
        <w:rPr>
          <w:rFonts w:hint="eastAsia" w:ascii="方正仿宋简体" w:hAnsi="方正仿宋简体" w:eastAsia="方正仿宋简体" w:cs="方正仿宋简体"/>
          <w:sz w:val="28"/>
        </w:rPr>
        <w:t xml:space="preserve">                                          日期：</w:t>
      </w:r>
      <w:r>
        <w:rPr>
          <w:rFonts w:hint="eastAsia" w:ascii="方正仿宋简体" w:hAnsi="方正仿宋简体" w:eastAsia="方正仿宋简体" w:cs="方正仿宋简体"/>
          <w:sz w:val="28"/>
          <w:lang w:val="en-US" w:eastAsia="zh-CN"/>
        </w:rPr>
        <w:t xml:space="preserve">               </w:t>
      </w:r>
    </w:p>
    <w:tbl>
      <w:tblPr>
        <w:tblStyle w:val="51"/>
        <w:tblW w:w="10980" w:type="dxa"/>
        <w:tblInd w:w="-8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7"/>
        <w:gridCol w:w="1034"/>
        <w:gridCol w:w="1658"/>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7229" w:type="dxa"/>
            <w:gridSpan w:val="3"/>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企业名称：</w:t>
            </w:r>
          </w:p>
        </w:tc>
        <w:tc>
          <w:tcPr>
            <w:tcW w:w="3751" w:type="dxa"/>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企业性质：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7229" w:type="dxa"/>
            <w:gridSpan w:val="3"/>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地    址：</w:t>
            </w:r>
          </w:p>
        </w:tc>
        <w:tc>
          <w:tcPr>
            <w:tcW w:w="3751" w:type="dxa"/>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成立时间：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4537" w:type="dxa"/>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法人代表：</w:t>
            </w:r>
          </w:p>
        </w:tc>
        <w:tc>
          <w:tcPr>
            <w:tcW w:w="2692"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负责人：</w:t>
            </w:r>
          </w:p>
        </w:tc>
        <w:tc>
          <w:tcPr>
            <w:tcW w:w="3751" w:type="dxa"/>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4537" w:type="dxa"/>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公司电话：</w:t>
            </w:r>
          </w:p>
        </w:tc>
        <w:tc>
          <w:tcPr>
            <w:tcW w:w="2692"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联系人：</w:t>
            </w:r>
          </w:p>
        </w:tc>
        <w:tc>
          <w:tcPr>
            <w:tcW w:w="3751" w:type="dxa"/>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主要产品：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职工总数：            名（其中：管理人员      名；技术人员      名；工人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4537" w:type="dxa"/>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年产值：              万元</w:t>
            </w:r>
          </w:p>
        </w:tc>
        <w:tc>
          <w:tcPr>
            <w:tcW w:w="6443" w:type="dxa"/>
            <w:gridSpan w:val="3"/>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月生产能力（产量）：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4537" w:type="dxa"/>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样品供货周期：</w:t>
            </w:r>
          </w:p>
        </w:tc>
        <w:tc>
          <w:tcPr>
            <w:tcW w:w="6443" w:type="dxa"/>
            <w:gridSpan w:val="3"/>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批量供货周期：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生产特点：□成批生产   □流水线大量生产   □单台生产    □部分外购    □全部外购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rPr>
        <w:tc>
          <w:tcPr>
            <w:tcW w:w="4537" w:type="dxa"/>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主要生产设备：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台</w:t>
            </w:r>
          </w:p>
        </w:tc>
        <w:tc>
          <w:tcPr>
            <w:tcW w:w="6443" w:type="dxa"/>
            <w:gridSpan w:val="3"/>
            <w:vAlign w:val="bottom"/>
          </w:tcPr>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流水线：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主要客户（公司/行业）：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公司各部门使用标准名称和编号：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使用或依据的产品、质量标准：     □国家标准  □行业标准  □企业标准   □无标准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主要检测设备及数量：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工艺文件：    □齐备  □有一部分 □没有  </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工艺员：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检验/检测部门：</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专职检验/检测人员：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进料检验文件：□齐备  □有一部分 □没有</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过程检验文件：□齐备  □有一部分  □没有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最终检验文件：□齐备  □有一部分 □没有</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检验记录：    □齐备  □有一部分  □没有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检测设备：    □齐备  □有一部分 □没有</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检验工具：    □齐备  □有一部分  □没有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5571" w:type="dxa"/>
            <w:gridSpan w:val="2"/>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产品外观接受标准：</w:t>
            </w:r>
          </w:p>
        </w:tc>
        <w:tc>
          <w:tcPr>
            <w:tcW w:w="5409" w:type="dxa"/>
            <w:gridSpan w:val="2"/>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产品标识：    □齐备  □有一部分  □没有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测试设备校准状况：      □有计量室       □全部委托外部计量机构       □无检测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是否通过产品或体系认证：□ 是（指出具体内容）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新产品开发能力：□能自行设计开发新产品    □只能开发简单产品   □没有自行开发能力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国际合作经验：  □给外资提供产品          □无对外合作经验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职工培训情况：  □经常、正规地进行        □不经常开展培训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工公司消防与安全：□很好       □较好       □一般       □较差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bottom"/>
          </w:tcPr>
          <w:p>
            <w:pPr>
              <w:spacing w:line="360" w:lineRule="auto"/>
              <w:rPr>
                <w:rFonts w:hint="eastAsia" w:ascii="仿宋" w:hAnsi="仿宋" w:eastAsia="仿宋" w:cs="仿宋"/>
                <w:sz w:val="24"/>
                <w:szCs w:val="24"/>
              </w:rPr>
            </w:pPr>
            <w:r>
              <w:rPr>
                <w:rFonts w:hint="eastAsia" w:ascii="仿宋" w:hAnsi="仿宋" w:eastAsia="仿宋" w:cs="仿宋"/>
                <w:sz w:val="24"/>
                <w:szCs w:val="24"/>
              </w:rPr>
              <w:t>企业环境状况：  □很好       □较好       □一般       □较差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评 估  等 级：  □一类       □二类       □三类       □四类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7" w:hRule="atLeast"/>
        </w:trPr>
        <w:tc>
          <w:tcPr>
            <w:tcW w:w="10980" w:type="dxa"/>
            <w:gridSpan w:val="4"/>
            <w:tcMar>
              <w:top w:w="15" w:type="dxa"/>
              <w:left w:w="15" w:type="dxa"/>
              <w:bottom w:w="0" w:type="dxa"/>
              <w:right w:w="15" w:type="dxa"/>
            </w:tcMar>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评       估：                                                日期：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3" w:hRule="atLeast"/>
        </w:trPr>
        <w:tc>
          <w:tcPr>
            <w:tcW w:w="10980" w:type="dxa"/>
            <w:gridSpan w:val="4"/>
            <w:tcMar>
              <w:top w:w="15" w:type="dxa"/>
              <w:left w:w="15" w:type="dxa"/>
              <w:bottom w:w="0" w:type="dxa"/>
              <w:right w:w="15" w:type="dxa"/>
            </w:tcMar>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审       核：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日期：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p>
        </w:tc>
      </w:tr>
    </w:tbl>
    <w:p>
      <w:pPr>
        <w:spacing w:line="360" w:lineRule="auto"/>
        <w:ind w:firstLine="560"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9"/>
        <w:rPr>
          <w:rFonts w:hint="eastAsia" w:ascii="方正小标宋简体" w:eastAsia="方正小标宋简体"/>
          <w:b w:val="0"/>
          <w:bCs w:val="0"/>
          <w:kern w:val="44"/>
          <w:sz w:val="36"/>
          <w:szCs w:val="36"/>
          <w:lang w:val="en-US" w:eastAsia="zh-CN" w:bidi="ar-SA"/>
        </w:rPr>
      </w:pPr>
      <w:r>
        <w:rPr>
          <w:rFonts w:hint="eastAsia" w:ascii="方正仿宋简体" w:hAnsi="方正仿宋简体" w:eastAsia="方正仿宋简体" w:cs="方正仿宋简体"/>
          <w:sz w:val="28"/>
        </w:rPr>
        <w:br w:type="page"/>
      </w:r>
      <w:r>
        <w:rPr>
          <w:rFonts w:hint="eastAsia" w:ascii="方正小标宋简体" w:eastAsia="方正小标宋简体"/>
          <w:b w:val="0"/>
          <w:bCs w:val="0"/>
          <w:kern w:val="44"/>
          <w:sz w:val="36"/>
          <w:szCs w:val="36"/>
          <w:lang w:val="en-US" w:eastAsia="zh-CN" w:bidi="ar-SA"/>
        </w:rPr>
        <w:t>合格供应商名录</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 xml:space="preserve">登记时间：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登记人  </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 xml:space="preserve">        </w:t>
      </w:r>
    </w:p>
    <w:tbl>
      <w:tblPr>
        <w:tblStyle w:val="51"/>
        <w:tblW w:w="1007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240"/>
        <w:gridCol w:w="2997"/>
        <w:gridCol w:w="1751"/>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blHeader/>
        </w:trPr>
        <w:tc>
          <w:tcPr>
            <w:tcW w:w="732" w:type="dxa"/>
            <w:vAlign w:val="center"/>
          </w:tcPr>
          <w:p>
            <w:pPr>
              <w:spacing w:line="360" w:lineRule="auto"/>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序号</w:t>
            </w:r>
          </w:p>
        </w:tc>
        <w:tc>
          <w:tcPr>
            <w:tcW w:w="2240" w:type="dxa"/>
            <w:vAlign w:val="center"/>
          </w:tcPr>
          <w:p>
            <w:pPr>
              <w:spacing w:line="360" w:lineRule="auto"/>
              <w:ind w:firstLine="420" w:firstLineChars="20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供应商名称</w:t>
            </w:r>
          </w:p>
        </w:tc>
        <w:tc>
          <w:tcPr>
            <w:tcW w:w="2997" w:type="dxa"/>
            <w:vAlign w:val="center"/>
          </w:tcPr>
          <w:p>
            <w:pPr>
              <w:spacing w:line="360" w:lineRule="auto"/>
              <w:ind w:firstLine="420" w:firstLineChars="20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供应产品范围</w:t>
            </w:r>
          </w:p>
        </w:tc>
        <w:tc>
          <w:tcPr>
            <w:tcW w:w="1751" w:type="dxa"/>
            <w:vAlign w:val="center"/>
          </w:tcPr>
          <w:p>
            <w:pPr>
              <w:spacing w:line="360" w:lineRule="auto"/>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联系人</w:t>
            </w:r>
          </w:p>
        </w:tc>
        <w:tc>
          <w:tcPr>
            <w:tcW w:w="2359" w:type="dxa"/>
            <w:vAlign w:val="center"/>
          </w:tcPr>
          <w:p>
            <w:pPr>
              <w:spacing w:line="360" w:lineRule="auto"/>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732"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240"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997"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1751" w:type="dxa"/>
            <w:vAlign w:val="center"/>
          </w:tcPr>
          <w:p>
            <w:pPr>
              <w:spacing w:line="360" w:lineRule="auto"/>
              <w:ind w:firstLine="560" w:firstLineChars="200"/>
              <w:rPr>
                <w:rFonts w:hint="eastAsia" w:ascii="方正仿宋简体" w:hAnsi="方正仿宋简体" w:eastAsia="方正仿宋简体" w:cs="方正仿宋简体"/>
                <w:sz w:val="28"/>
              </w:rPr>
            </w:pPr>
          </w:p>
        </w:tc>
        <w:tc>
          <w:tcPr>
            <w:tcW w:w="2359" w:type="dxa"/>
            <w:vAlign w:val="center"/>
          </w:tcPr>
          <w:p>
            <w:pPr>
              <w:spacing w:line="360" w:lineRule="auto"/>
              <w:ind w:firstLine="560" w:firstLineChars="200"/>
              <w:rPr>
                <w:rFonts w:hint="eastAsia" w:ascii="方正仿宋简体" w:hAnsi="方正仿宋简体" w:eastAsia="方正仿宋简体" w:cs="方正仿宋简体"/>
                <w:sz w:val="28"/>
              </w:rPr>
            </w:pPr>
          </w:p>
        </w:tc>
      </w:tr>
    </w:tbl>
    <w:p>
      <w:pPr>
        <w:spacing w:line="360" w:lineRule="auto"/>
        <w:ind w:firstLine="560" w:firstLineChars="200"/>
        <w:jc w:val="left"/>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（供应商相关证照文书附后）</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1101" w:name="_Toc1602"/>
      <w:bookmarkStart w:id="1102" w:name="_Toc21844"/>
      <w:bookmarkStart w:id="1103" w:name="_Toc26629"/>
      <w:bookmarkStart w:id="1104" w:name="_Toc23806"/>
      <w:r>
        <w:rPr>
          <w:rFonts w:hint="eastAsia" w:ascii="方正小标宋简体" w:eastAsia="方正小标宋简体"/>
          <w:b/>
          <w:bCs/>
          <w:kern w:val="44"/>
          <w:sz w:val="36"/>
          <w:szCs w:val="36"/>
          <w:lang w:val="en-US" w:eastAsia="zh-CN" w:bidi="ar-SA"/>
        </w:rPr>
        <w:br w:type="page"/>
      </w:r>
      <w:bookmarkStart w:id="1105" w:name="_Toc17314"/>
      <w:bookmarkStart w:id="1106" w:name="_Toc27803"/>
      <w:bookmarkStart w:id="1107" w:name="_Toc18439"/>
      <w:bookmarkStart w:id="1108" w:name="_Toc28419"/>
      <w:bookmarkStart w:id="1109" w:name="_Toc26325"/>
      <w:bookmarkStart w:id="1110" w:name="_Toc10227"/>
      <w:bookmarkStart w:id="1111" w:name="_Toc5425"/>
      <w:bookmarkStart w:id="1112" w:name="_Toc17038"/>
      <w:bookmarkStart w:id="1113" w:name="_Toc31230"/>
      <w:r>
        <w:rPr>
          <w:rFonts w:hint="eastAsia" w:ascii="方正小标宋简体" w:eastAsia="方正小标宋简体"/>
          <w:b w:val="0"/>
          <w:bCs w:val="0"/>
          <w:kern w:val="44"/>
          <w:sz w:val="36"/>
          <w:szCs w:val="36"/>
          <w:lang w:val="en-US" w:eastAsia="zh-CN" w:bidi="ar-SA"/>
        </w:rPr>
        <w:t>中油南充燃气有限责任公司警示标志和安全防护管理制度</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 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规范公司安全警示标志管理，充分发挥安全警示标志在安全生产中的作用，避免事故的发生，依据《安全标志及其使用导则》（GB2897－2008）和《安全色》（GB2893－2008）的有关要求，结合公司实际情况，制订本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 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本规定适用于公司所有生产、办公场所。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 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安全警示标志必须符合国家标准。所需安全警示标志由各单位根据风险评价结果向</w:t>
      </w:r>
      <w:r>
        <w:rPr>
          <w:rFonts w:hint="eastAsia" w:ascii="方正仿宋简体" w:hAnsi="方正仿宋简体" w:eastAsia="方正仿宋简体" w:cs="方正仿宋简体"/>
          <w:sz w:val="28"/>
          <w:lang w:val="en-US" w:eastAsia="zh-CN"/>
        </w:rPr>
        <w:t>质量安全环保部</w:t>
      </w:r>
      <w:r>
        <w:rPr>
          <w:rFonts w:hint="eastAsia" w:ascii="方正仿宋简体" w:hAnsi="方正仿宋简体" w:eastAsia="方正仿宋简体" w:cs="方正仿宋简体"/>
          <w:sz w:val="28"/>
        </w:rPr>
        <w:t>提交使用计划，由</w:t>
      </w:r>
      <w:r>
        <w:rPr>
          <w:rFonts w:hint="eastAsia" w:ascii="方正仿宋简体" w:hAnsi="方正仿宋简体" w:eastAsia="方正仿宋简体" w:cs="方正仿宋简体"/>
          <w:sz w:val="28"/>
          <w:lang w:val="en-US" w:eastAsia="zh-CN"/>
        </w:rPr>
        <w:t>分管领导</w:t>
      </w:r>
      <w:r>
        <w:rPr>
          <w:rFonts w:hint="eastAsia" w:ascii="方正仿宋简体" w:hAnsi="方正仿宋简体" w:eastAsia="方正仿宋简体" w:cs="方正仿宋简体"/>
          <w:sz w:val="28"/>
        </w:rPr>
        <w:t>负责审批，并报经</w:t>
      </w:r>
      <w:r>
        <w:rPr>
          <w:rFonts w:hint="eastAsia" w:ascii="方正仿宋简体" w:hAnsi="方正仿宋简体" w:eastAsia="方正仿宋简体" w:cs="方正仿宋简体"/>
          <w:sz w:val="28"/>
          <w:lang w:val="en-US" w:eastAsia="zh-CN"/>
        </w:rPr>
        <w:t xml:space="preserve">公呞 </w:t>
      </w:r>
      <w:r>
        <w:rPr>
          <w:rFonts w:hint="eastAsia" w:ascii="方正仿宋简体" w:hAnsi="方正仿宋简体" w:eastAsia="方正仿宋简体" w:cs="方正仿宋简体"/>
          <w:sz w:val="28"/>
        </w:rPr>
        <w:t>经理批准后统一购置，由公司</w:t>
      </w:r>
      <w:r>
        <w:rPr>
          <w:rFonts w:hint="eastAsia" w:ascii="方正仿宋简体" w:hAnsi="方正仿宋简体" w:eastAsia="方正仿宋简体" w:cs="方正仿宋简体"/>
          <w:sz w:val="28"/>
          <w:lang w:val="en-US" w:eastAsia="zh-CN"/>
        </w:rPr>
        <w:t>质量安全环保部</w:t>
      </w:r>
      <w:r>
        <w:rPr>
          <w:rFonts w:hint="eastAsia" w:ascii="方正仿宋简体" w:hAnsi="方正仿宋简体" w:eastAsia="方正仿宋简体" w:cs="方正仿宋简体"/>
          <w:sz w:val="28"/>
        </w:rPr>
        <w:t>负责实施。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警示标志的维护与管理。各使用单位应建立安全警示标志档案，做好安全警示标志档案，做好安全警示标志使用、维护、和管理，并列入日常检查内容；如发现有变形、破损、褪色等不符合要求的标志应及时修整或更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 安全警示标志的分类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方正仿宋简体" w:hAnsi="方正仿宋简体" w:eastAsia="方正仿宋简体" w:cs="方正仿宋简体"/>
          <w:sz w:val="28"/>
        </w:rPr>
      </w:pPr>
      <w:r>
        <w:rPr>
          <w:rFonts w:hint="default" w:ascii="方正仿宋简体" w:hAnsi="方正仿宋简体" w:eastAsia="方正仿宋简体" w:cs="方正仿宋简体"/>
          <w:sz w:val="28"/>
        </w:rPr>
        <w:t>4.1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在不准或制止人们的某种行为的场所必须设置禁止标志。其含义是禁止人们不安全行为的图形标志。禁止标志的基本形式是带斜杠的园边框，白底红字。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在提示注意可能发生危险的场所必须设置警告标志。其含义是提醒人们对周围环境引起注意，以避免可能发生危险的标志。其基本形状为正三角形边框，黄底黑字。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在必须遵守的场所必须设置指令标志。其含义是强制人们必须作出某种动作或采取防范措施的图形标志。其基本形状为圆形边框。蓝底白字。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在示意目标方向的场所必须设置提示标志。其含义是向人们提供某种信息（如表明安全设施或场所）的图形标志。基本形状为正方形边框，绿底白字。</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5 安全警示标志设置原则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5.1 安全警示标志应按照能够起到提示、提醒的目的，安全警示标识应设置在醒目的地方和它所指示的目标物附近（如易燃、易爆、有毒、高压等危险场所），使进入现场人员易于识别，引起警惕，预防事故的发生。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5.2 各单位在设置安全警示标志的同时，根据公共场所和生产环境的不同，设置相应的公共信息标志，如紧急出口、注意安全等。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5.3 安全警示标志的设置要与环境相谐调，应设置在醒目的地方，并保证标志有足够的亮度和照明；有灯光的，其照明不应是有色光。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5.4 安全警示标志的设置应避免滥设和不规范使用，在同一地域内，要避免设置内容相互矛盾和内容相近的标志。用适量的标志达到提醒人们注意安全的目的，设置图形符号必须符合国家标准的规定。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5.5 安全警示标志设置应牢固可靠，不宜设在门窗等可移动的物体上，不得妨碍正常作业和避免造成新的隐患。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6 安全警示标志的设置方式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6.1 附着式：将标志直接附着在建筑物等设施上。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6.2 悬挂式：将标志悬挂在固定牢靠的物体上。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6.3 柱式：将标志固定在柱杆上。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7 其他要求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7.1 安全警示标志是公司公有财产，每位员工都有义务加以爱护，有责任对损坏其行为加以制止。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7.2安全警示标志的配置使用应列入各级安全检查的内容，生技部负责安装，各部门负责日常维护，保持整洁，防止沾污和损伤。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7.3 地表安全警示标志由于不可抗力（风 雨 雷 电）损坏请各单位告知安全管理办，生技部将对其修缮或更换。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7.4安全警示标志的使用、发放、回收由安全管理办归口负责并做好发放记录，作废回收的标识，尽可能地再利用，不能利用，可作废品处理。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7.5 地表区域划分：以卫生分担区为基础，各自卫生分担区的安全警示标志各自负责。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8</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安全告知牌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8.1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安全告知牌由公司安全员通过对各部门、场所进行风险评价后，依据评价结果，将危险性较高场所的危害特性、预防措施、应急处置等信息以挂牌方式进行告知。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8.2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安全告知牌所在单位，是安全告知牌的维护负责单位，需指定专人负责维护工作。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9</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职业危害告知牌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9.1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职业危害告知牌由公司安全员通过对各部门、场所进行职业危害辨识后，依据辨识结果，将职业危害较高场所的职业危害类别、造成的影响、控制措施、应急处置等信息以挂牌方式进行告知。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9.2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职业危害告知牌所在单位，是职业危害告知牌的维护负责单位，需指定专人负责维护工作。</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10</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其他要求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10.1 安全警示标志是公司公有财产，每位员工都有义务加以爱护，有责任对损坏其行为加以制止。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10.2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安全警示标志的配置使用应列入各级安全检查的内容，生产安全生产领导小组负责安装，各部门负责日常维护，保持整洁，防止沾污和损伤。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10.3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安全警示标志由于不可抗力（风、雨、雷电等）损坏请各单位告知供销部，对其维修或更换。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方正仿宋简体" w:hAnsi="方正仿宋简体" w:eastAsia="方正仿宋简体" w:cs="方正仿宋简体"/>
          <w:sz w:val="28"/>
        </w:rPr>
        <w:sectPr>
          <w:pgSz w:w="11906" w:h="16838"/>
          <w:pgMar w:top="1077" w:right="1077" w:bottom="1440" w:left="1440" w:header="737"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方正仿宋简体" w:hAnsi="方正仿宋简体" w:eastAsia="方正仿宋简体" w:cs="方正仿宋简体"/>
          <w:sz w:val="28"/>
        </w:rPr>
        <w:t>10.4 地表区域划分：以卫生分担区为基础，各自卫生分担区的安全警示标志各自负责。</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bookmarkStart w:id="1114" w:name="_Toc6480"/>
      <w:bookmarkStart w:id="1115" w:name="_Toc19617"/>
      <w:bookmarkStart w:id="1116" w:name="_Toc8146"/>
      <w:bookmarkStart w:id="1117" w:name="_Toc356303812"/>
      <w:bookmarkStart w:id="1118" w:name="_Toc349810935"/>
      <w:bookmarkStart w:id="1119" w:name="_Toc18108"/>
      <w:bookmarkStart w:id="1120" w:name="_Toc5315"/>
      <w:bookmarkStart w:id="1121" w:name="_Toc13639"/>
      <w:bookmarkStart w:id="1122" w:name="_Toc14257"/>
      <w:bookmarkStart w:id="1123" w:name="_Toc456037434"/>
      <w:bookmarkStart w:id="1124" w:name="_Toc9871"/>
      <w:bookmarkStart w:id="1125" w:name="_Toc25916"/>
      <w:bookmarkStart w:id="1126" w:name="_Toc31398"/>
      <w:bookmarkStart w:id="1127" w:name="_Toc10780"/>
      <w:bookmarkStart w:id="1128" w:name="_Toc360615667"/>
      <w:bookmarkStart w:id="1129" w:name="_Toc360616464"/>
      <w:bookmarkStart w:id="1130" w:name="_Toc17633"/>
      <w:bookmarkStart w:id="1131" w:name="_Toc21416"/>
      <w:bookmarkStart w:id="1132" w:name="_Toc13710"/>
      <w:bookmarkStart w:id="1133" w:name="_Toc14584"/>
      <w:bookmarkStart w:id="1134" w:name="_Toc23716"/>
      <w:bookmarkStart w:id="1135" w:name="_Toc28233"/>
      <w:bookmarkStart w:id="1136" w:name="_Toc24877"/>
      <w:bookmarkStart w:id="1137" w:name="_Toc3027"/>
      <w:bookmarkStart w:id="1138" w:name="_Toc22892"/>
      <w:r>
        <w:rPr>
          <w:rFonts w:hint="eastAsia" w:ascii="方正小标宋简体" w:eastAsia="方正小标宋简体"/>
          <w:b w:val="0"/>
          <w:bCs w:val="0"/>
          <w:kern w:val="44"/>
          <w:sz w:val="36"/>
          <w:szCs w:val="36"/>
          <w:lang w:val="en-US" w:eastAsia="zh-CN" w:bidi="ar-SA"/>
        </w:rPr>
        <w:t>中油南充燃气有限责任公司变更管理制度</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规范本公司安全生产的变更管理，消除或减少由于变更而引起的潜在事故隐患。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本制度适用于公司生产过程中工艺技术、设备设施及管理等永久性或暂时性的变化。</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.1变更申请人负责提出书面变更申请。</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.2各部门负责归口部门的变更审核。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.3变更的审核部门负责对变更情况进行验收。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工作程序</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变更分类</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工艺技术变更包括以下内容：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①原料介质变更；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②工艺流程及操作条件的重大变更；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③工艺设备的改进和变更；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④操作规程的变更；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⑤工艺参数的变更；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⑥公用工程的水、电、气等的变更等。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设备设施变更包括以内容：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①设备设施的更新改造；</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②安全设施的变更；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③更换与原设备不同的设备或配件；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④设备材料代用变更；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⑤临时的电气设备变更等；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⑥监控、测量仪表的变更；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⑦生产控制专用计算机及其软件的变更。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管理变更包括以下内容：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①法律、法规和标准的变化；</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②重点岗位人员的变更；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③管理机构的较大变更；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④管理职责的变更；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变更的程序</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变更申请人提出变更申请，说明变更及其技术依据，并对变更的风险情况进行分析，变更申请部门负责人签字认可，安全员对变更的风险分析和控制措施进行审核。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申请变更部门将书面变更申请报至变更审核部门，审核部门负责人对变更的情况进行审核。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审核后报至分管副总处，进行变更审批。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变更审批后，变更申请部门组织相关部门进行变更的实施。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4.2.5</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变更实施前，变更的实施部门针对变更实施过程进行风险分析，落实控制措施，由安全员进行监督。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4.2.6</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变更审核部门对变更的实施结果进行验收。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变更的验收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凡是涉及工艺、技术的变更、设备设施的变更以及设计变更都需要进行变更验收，评价变更后的效果、影响及存在的各种风险等.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由于变更而产生的各项资料均应交安全员存档。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公司鼓励员工在工作中通过发挥个人的主观能动性，发现问题，提出相应的变更建议；积极地学习、消化、吸收国内、国外同行业中先进的经验与技术，提出改进和优化现有工艺技术或参数或操作方法的变更意见。并对采纳的部门给予一定奖励。</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val="0"/>
          <w:bCs w:val="0"/>
          <w:sz w:val="28"/>
        </w:rPr>
      </w:pPr>
      <w:r>
        <w:rPr>
          <w:rFonts w:hint="eastAsia" w:ascii="方正仿宋简体" w:hAnsi="方正仿宋简体" w:eastAsia="方正仿宋简体" w:cs="方正仿宋简体"/>
          <w:b w:val="0"/>
          <w:bCs w:val="0"/>
          <w:sz w:val="28"/>
          <w:lang w:val="en-US" w:eastAsia="zh-CN"/>
        </w:rPr>
        <w:t>4.</w:t>
      </w:r>
      <w:r>
        <w:rPr>
          <w:rFonts w:hint="eastAsia" w:ascii="方正仿宋简体" w:hAnsi="方正仿宋简体" w:eastAsia="方正仿宋简体" w:cs="方正仿宋简体"/>
          <w:b w:val="0"/>
          <w:bCs w:val="0"/>
          <w:sz w:val="28"/>
        </w:rPr>
        <w:t>5</w:t>
      </w:r>
      <w:r>
        <w:rPr>
          <w:rFonts w:hint="eastAsia" w:ascii="方正仿宋简体" w:hAnsi="方正仿宋简体" w:eastAsia="方正仿宋简体" w:cs="方正仿宋简体"/>
          <w:b w:val="0"/>
          <w:bCs w:val="0"/>
          <w:sz w:val="28"/>
          <w:lang w:val="en-US" w:eastAsia="zh-CN"/>
        </w:rPr>
        <w:t xml:space="preserve"> </w:t>
      </w:r>
      <w:r>
        <w:rPr>
          <w:rFonts w:hint="eastAsia" w:ascii="方正仿宋简体" w:hAnsi="方正仿宋简体" w:eastAsia="方正仿宋简体" w:cs="方正仿宋简体"/>
          <w:b w:val="0"/>
          <w:bCs w:val="0"/>
          <w:sz w:val="28"/>
        </w:rPr>
        <w:t>任何员工在未得到许可的条件下，不得擅自进行任何变更，否则公司将视为违章作业，严肃处理。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 xml:space="preserve">5 </w:t>
      </w:r>
      <w:r>
        <w:rPr>
          <w:rFonts w:hint="eastAsia" w:ascii="方正仿宋简体" w:hAnsi="方正仿宋简体" w:eastAsia="方正仿宋简体" w:cs="方正仿宋简体"/>
          <w:b/>
          <w:bCs/>
          <w:sz w:val="28"/>
        </w:rPr>
        <w:t>相关文件和记录</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5</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变更申请表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5</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变更验收表</w:t>
      </w:r>
    </w:p>
    <w:p>
      <w:pPr>
        <w:spacing w:line="360" w:lineRule="auto"/>
        <w:ind w:firstLine="552" w:firstLineChars="200"/>
        <w:rPr>
          <w:rFonts w:hint="eastAsia" w:ascii="方正仿宋简体" w:hAnsi="方正仿宋简体" w:eastAsia="方正仿宋简体" w:cs="方正仿宋简体"/>
          <w:sz w:val="28"/>
        </w:r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lang w:val="en-US" w:eastAsia="zh-CN"/>
        </w:rPr>
      </w:pPr>
      <w:bookmarkStart w:id="1139" w:name="_Toc14806"/>
      <w:bookmarkStart w:id="1140" w:name="_Toc14381"/>
      <w:bookmarkStart w:id="1141" w:name="_Toc4436"/>
      <w:bookmarkStart w:id="1142" w:name="_Toc4128"/>
      <w:r>
        <w:rPr>
          <w:rFonts w:hint="eastAsia" w:ascii="方正仿宋简体" w:hAnsi="方正仿宋简体" w:eastAsia="方正仿宋简体" w:cs="方正仿宋简体"/>
          <w:szCs w:val="30"/>
        </w:rPr>
        <w:br w:type="page"/>
      </w:r>
      <w:bookmarkEnd w:id="1139"/>
      <w:bookmarkEnd w:id="1140"/>
      <w:bookmarkEnd w:id="1141"/>
      <w:bookmarkEnd w:id="1142"/>
      <w:bookmarkStart w:id="1143" w:name="_Toc13593"/>
      <w:bookmarkStart w:id="1144" w:name="_Toc4214"/>
      <w:bookmarkStart w:id="1145" w:name="_Toc22699"/>
      <w:bookmarkStart w:id="1146" w:name="_Toc26392"/>
      <w:bookmarkStart w:id="1147" w:name="_Toc9901"/>
      <w:bookmarkStart w:id="1148" w:name="_Toc31079"/>
      <w:bookmarkStart w:id="1149" w:name="_Toc5464"/>
      <w:bookmarkStart w:id="1150" w:name="_Toc7124"/>
      <w:bookmarkStart w:id="1151" w:name="_Toc3075"/>
      <w:bookmarkStart w:id="1152" w:name="_Toc25219"/>
      <w:bookmarkStart w:id="1153" w:name="_Toc14326"/>
      <w:bookmarkStart w:id="1154" w:name="_Toc10365"/>
      <w:bookmarkStart w:id="1155" w:name="_Toc14852"/>
      <w:r>
        <w:rPr>
          <w:rFonts w:hint="eastAsia" w:ascii="方正小标宋简体" w:hAnsi="方正小标宋简体" w:eastAsia="方正小标宋简体" w:cs="方正小标宋简体"/>
          <w:b w:val="0"/>
          <w:bCs w:val="0"/>
          <w:sz w:val="36"/>
          <w:szCs w:val="36"/>
          <w:lang w:val="en-US" w:eastAsia="zh-CN"/>
        </w:rPr>
        <w:t>中油南充燃气有限责任公司安全标准化绩效评定管理</w:t>
      </w:r>
      <w:bookmarkEnd w:id="1143"/>
      <w:bookmarkEnd w:id="1144"/>
      <w:bookmarkEnd w:id="1145"/>
      <w:bookmarkEnd w:id="1146"/>
      <w:bookmarkEnd w:id="1147"/>
      <w:bookmarkEnd w:id="1148"/>
      <w:bookmarkEnd w:id="1149"/>
      <w:bookmarkStart w:id="1156" w:name="_Toc7416"/>
      <w:bookmarkStart w:id="1157" w:name="_Toc18985"/>
      <w:bookmarkStart w:id="1158" w:name="_Toc20964"/>
      <w:bookmarkStart w:id="1159" w:name="_Toc7385"/>
      <w:bookmarkStart w:id="1160" w:name="_Toc12798"/>
      <w:bookmarkStart w:id="1161" w:name="_Toc9691"/>
      <w:bookmarkStart w:id="1162" w:name="_Toc25084"/>
      <w:r>
        <w:rPr>
          <w:rFonts w:hint="eastAsia" w:ascii="方正小标宋简体" w:hAnsi="方正小标宋简体" w:eastAsia="方正小标宋简体" w:cs="方正小标宋简体"/>
          <w:b w:val="0"/>
          <w:bCs w:val="0"/>
          <w:sz w:val="36"/>
          <w:szCs w:val="36"/>
          <w:lang w:val="en-US" w:eastAsia="zh-CN"/>
        </w:rPr>
        <w:t>制度</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小标宋简体" w:eastAsia="方正小标宋简体"/>
          <w:b w:val="0"/>
          <w:bCs w:val="0"/>
          <w:kern w:val="44"/>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 目的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为了确保公司安全生产标准化的适宜性、充分性和有效性，按照安全生产标准化体系的要求进行自评，保证安全生产标准化持续有效的正常运行。</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 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2</w:t>
      </w:r>
      <w:r>
        <w:rPr>
          <w:rFonts w:hint="eastAsia" w:ascii="方正仿宋简体" w:hAnsi="方正仿宋简体" w:eastAsia="方正仿宋简体" w:cs="方正仿宋简体"/>
          <w:sz w:val="28"/>
        </w:rPr>
        <w:t>.1经理：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a.组织管理自评活动，主持管理自评会议，审批管理自评计划、建立自评小组和管理自评报告；</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b.决定在特殊情况时增加自评频次。</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2</w:t>
      </w:r>
      <w:r>
        <w:rPr>
          <w:rFonts w:hint="eastAsia" w:ascii="方正仿宋简体" w:hAnsi="方正仿宋简体" w:eastAsia="方正仿宋简体" w:cs="方正仿宋简体"/>
          <w:sz w:val="28"/>
        </w:rPr>
        <w:t>.2自评组组长：</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a.经理报告安全生产标准化管理体系运行情况；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b.管理自评计划的落实及组织协调工作；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c.编制自评报告，督促自评后改进工作的落实和验证工作。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d.安全生产领导小组负责保管自评记录等相关材料。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2</w:t>
      </w:r>
      <w:r>
        <w:rPr>
          <w:rFonts w:hint="eastAsia" w:ascii="方正仿宋简体" w:hAnsi="方正仿宋简体" w:eastAsia="方正仿宋简体" w:cs="方正仿宋简体"/>
          <w:sz w:val="28"/>
        </w:rPr>
        <w:t>.3各相关部门负责提供与本部门有关的自评材料，落实自评中提出的纠正预防措施的实施工作。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2</w:t>
      </w: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val="en-US" w:eastAsia="zh-CN"/>
        </w:rPr>
        <w:t>质量安全环保</w:t>
      </w:r>
      <w:r>
        <w:rPr>
          <w:rFonts w:hint="eastAsia" w:ascii="方正仿宋简体" w:hAnsi="方正仿宋简体" w:eastAsia="方正仿宋简体" w:cs="方正仿宋简体"/>
          <w:sz w:val="28"/>
        </w:rPr>
        <w:t>部协助自评小组做好自评的准备，负责文件的分发和相关会议的组织。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3</w:t>
      </w:r>
      <w:r>
        <w:rPr>
          <w:rFonts w:hint="eastAsia" w:ascii="方正仿宋简体" w:hAnsi="方正仿宋简体" w:eastAsia="方正仿宋简体" w:cs="方正仿宋简体"/>
          <w:b/>
          <w:bCs/>
          <w:sz w:val="28"/>
        </w:rPr>
        <w:t xml:space="preserve"> 工作程序</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工作流程图</w:t>
      </w:r>
    </w:p>
    <w:p>
      <w:pPr>
        <w:spacing w:line="360" w:lineRule="auto"/>
        <w:ind w:firstLine="552" w:firstLineChars="200"/>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mc:AlternateContent>
          <mc:Choice Requires="wpg">
            <w:drawing>
              <wp:inline distT="0" distB="0" distL="114300" distR="114300">
                <wp:extent cx="5980430" cy="746760"/>
                <wp:effectExtent l="0" t="0" r="0" b="0"/>
                <wp:docPr id="10" name="Group 4"/>
                <wp:cNvGraphicFramePr/>
                <a:graphic xmlns:a="http://schemas.openxmlformats.org/drawingml/2006/main">
                  <a:graphicData uri="http://schemas.microsoft.com/office/word/2010/wordprocessingGroup">
                    <wpg:wgp>
                      <wpg:cNvGrpSpPr>
                        <a:grpSpLocks noRot="1"/>
                      </wpg:cNvGrpSpPr>
                      <wpg:grpSpPr>
                        <a:xfrm>
                          <a:off x="0" y="0"/>
                          <a:ext cx="5980430" cy="746760"/>
                          <a:chOff x="0" y="0"/>
                          <a:chExt cx="8280" cy="936"/>
                        </a:xfrm>
                      </wpg:grpSpPr>
                      <wps:wsp>
                        <wps:cNvPr id="17" name="Picture 5"/>
                        <wps:cNvSpPr>
                          <a:spLocks noChangeAspect="1" noTextEdit="1"/>
                        </wps:cNvSpPr>
                        <wps:spPr>
                          <a:xfrm>
                            <a:off x="0" y="0"/>
                            <a:ext cx="8280" cy="936"/>
                          </a:xfrm>
                          <a:prstGeom prst="rect">
                            <a:avLst/>
                          </a:prstGeom>
                          <a:noFill/>
                          <a:ln>
                            <a:noFill/>
                          </a:ln>
                        </wps:spPr>
                        <wps:bodyPr wrap="square" upright="1"/>
                      </wps:wsp>
                      <wps:wsp>
                        <wps:cNvPr id="18" name="Text Box 6"/>
                        <wps:cNvSpPr txBox="1"/>
                        <wps:spPr>
                          <a:xfrm>
                            <a:off x="180" y="156"/>
                            <a:ext cx="10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sz w:val="24"/>
                                </w:rPr>
                                <w:t>策 划</w:t>
                              </w:r>
                            </w:p>
                          </w:txbxContent>
                        </wps:txbx>
                        <wps:bodyPr wrap="square" lIns="91440" tIns="90000" rIns="91440" bIns="90000" upright="1"/>
                      </wps:wsp>
                      <wps:wsp>
                        <wps:cNvPr id="19" name="Line 7"/>
                        <wps:cNvCnPr/>
                        <wps:spPr>
                          <a:xfrm>
                            <a:off x="1260" y="468"/>
                            <a:ext cx="540" cy="1"/>
                          </a:xfrm>
                          <a:prstGeom prst="line">
                            <a:avLst/>
                          </a:prstGeom>
                          <a:ln w="9525" cap="flat" cmpd="sng">
                            <a:solidFill>
                              <a:srgbClr val="000000"/>
                            </a:solidFill>
                            <a:prstDash val="solid"/>
                            <a:headEnd type="none" w="med" len="med"/>
                            <a:tailEnd type="triangle" w="med" len="med"/>
                          </a:ln>
                        </wps:spPr>
                        <wps:bodyPr upright="1"/>
                      </wps:wsp>
                      <wps:wsp>
                        <wps:cNvPr id="20" name="Text Box 8"/>
                        <wps:cNvSpPr txBox="1"/>
                        <wps:spPr>
                          <a:xfrm>
                            <a:off x="1800" y="156"/>
                            <a:ext cx="10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sz w:val="24"/>
                                </w:rPr>
                                <w:t>计 划</w:t>
                              </w:r>
                            </w:p>
                          </w:txbxContent>
                        </wps:txbx>
                        <wps:bodyPr wrap="square" lIns="91440" tIns="90000" rIns="91440" bIns="90000" upright="1"/>
                      </wps:wsp>
                      <wps:wsp>
                        <wps:cNvPr id="21" name="Line 9"/>
                        <wps:cNvCnPr/>
                        <wps:spPr>
                          <a:xfrm>
                            <a:off x="2880" y="468"/>
                            <a:ext cx="540" cy="1"/>
                          </a:xfrm>
                          <a:prstGeom prst="line">
                            <a:avLst/>
                          </a:prstGeom>
                          <a:ln w="9525" cap="flat" cmpd="sng">
                            <a:solidFill>
                              <a:srgbClr val="000000"/>
                            </a:solidFill>
                            <a:prstDash val="solid"/>
                            <a:headEnd type="none" w="med" len="med"/>
                            <a:tailEnd type="triangle" w="med" len="med"/>
                          </a:ln>
                        </wps:spPr>
                        <wps:bodyPr upright="1"/>
                      </wps:wsp>
                      <wps:wsp>
                        <wps:cNvPr id="22" name="Text Box 10"/>
                        <wps:cNvSpPr txBox="1"/>
                        <wps:spPr>
                          <a:xfrm>
                            <a:off x="3420" y="156"/>
                            <a:ext cx="10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sz w:val="24"/>
                                </w:rPr>
                                <w:t>实  施</w:t>
                              </w:r>
                            </w:p>
                          </w:txbxContent>
                        </wps:txbx>
                        <wps:bodyPr wrap="square" lIns="91440" tIns="90000" rIns="91440" bIns="90000" upright="1"/>
                      </wps:wsp>
                      <wps:wsp>
                        <wps:cNvPr id="23" name="Line 11"/>
                        <wps:cNvCnPr/>
                        <wps:spPr>
                          <a:xfrm>
                            <a:off x="4500" y="468"/>
                            <a:ext cx="540" cy="1"/>
                          </a:xfrm>
                          <a:prstGeom prst="line">
                            <a:avLst/>
                          </a:prstGeom>
                          <a:ln w="9525" cap="flat" cmpd="sng">
                            <a:solidFill>
                              <a:srgbClr val="000000"/>
                            </a:solidFill>
                            <a:prstDash val="solid"/>
                            <a:headEnd type="none" w="med" len="med"/>
                            <a:tailEnd type="triangle" w="med" len="med"/>
                          </a:ln>
                        </wps:spPr>
                        <wps:bodyPr upright="1"/>
                      </wps:wsp>
                      <wps:wsp>
                        <wps:cNvPr id="24" name="Text Box 12"/>
                        <wps:cNvSpPr txBox="1"/>
                        <wps:spPr>
                          <a:xfrm>
                            <a:off x="5040" y="156"/>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sz w:val="24"/>
                                </w:rPr>
                                <w:t>纠正措施</w:t>
                              </w:r>
                            </w:p>
                          </w:txbxContent>
                        </wps:txbx>
                        <wps:bodyPr wrap="square" lIns="91440" tIns="90000" rIns="91440" bIns="90000" upright="1"/>
                      </wps:wsp>
                      <wps:wsp>
                        <wps:cNvPr id="25" name="Line 13"/>
                        <wps:cNvCnPr/>
                        <wps:spPr>
                          <a:xfrm>
                            <a:off x="6480" y="468"/>
                            <a:ext cx="540" cy="1"/>
                          </a:xfrm>
                          <a:prstGeom prst="line">
                            <a:avLst/>
                          </a:prstGeom>
                          <a:ln w="9525" cap="flat" cmpd="sng">
                            <a:solidFill>
                              <a:srgbClr val="000000"/>
                            </a:solidFill>
                            <a:prstDash val="solid"/>
                            <a:headEnd type="none" w="med" len="med"/>
                            <a:tailEnd type="triangle" w="med" len="med"/>
                          </a:ln>
                        </wps:spPr>
                        <wps:bodyPr upright="1"/>
                      </wps:wsp>
                      <wps:wsp>
                        <wps:cNvPr id="26" name="Text Box 14"/>
                        <wps:cNvSpPr txBox="1"/>
                        <wps:spPr>
                          <a:xfrm>
                            <a:off x="7020" y="156"/>
                            <a:ext cx="10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sz w:val="24"/>
                                </w:rPr>
                                <w:t>验 证</w:t>
                              </w:r>
                            </w:p>
                          </w:txbxContent>
                        </wps:txbx>
                        <wps:bodyPr wrap="square" lIns="91440" tIns="90000" rIns="91440" bIns="90000" upright="1"/>
                      </wps:wsp>
                    </wpg:wgp>
                  </a:graphicData>
                </a:graphic>
              </wp:inline>
            </w:drawing>
          </mc:Choice>
          <mc:Fallback>
            <w:pict>
              <v:group id="Group 4" o:spid="_x0000_s1026" o:spt="203" style="height:58.8pt;width:470.9pt;" coordsize="8280,936" o:gfxdata="UEsDBAoAAAAAAIdO4kAAAAAAAAAAAAAAAAAEAAAAZHJzL1BLAwQUAAAACACHTuJAYZgLcNYAAAAF&#10;AQAADwAAAGRycy9kb3ducmV2LnhtbE2PT0vDQBDF74LfYRnBm92sf2qN2RQp6qkUbIXibZpMk9Ds&#10;bMhuk/bbO3rRy8DjPd78XjY/uVYN1IfGswUzSUARF75suLLwuXm7mYEKEbnE1jNZOFOAeX55kWFa&#10;+pE/aFjHSkkJhxQt1DF2qdahqMlhmPiOWLy97x1GkX2lyx5HKXetvk2SqXbYsHyosaNFTcVhfXQW&#10;3kccX+7M67A87Bfnr83Dars0ZO31lUmeQUU6xb8w/OALOuTCtPNHLoNqLciQ+HvFe7o3MmMnIfM4&#10;BZ1n+j99/g1QSwMEFAAAAAgAh07iQAXaOt/JAwAAhBkAAA4AAABkcnMvZTJvRG9jLnhtbO1Z246k&#10;NhB9j5R/sPyeaaDpG5qeVTI3RRolo+zmA9xgwArYju0eev4+VQb6Mtu9Oz0r7WoieEAG7KLq1PGh&#10;bC4/bOqKPHFjhZJLGl4ElHCZqkzIYkn//nT3y5wS65jMWKUkX9JnbumHq59/umx0wiNVqirjhoAR&#10;aZNGL2npnE5GI5uWvGb2Qmku4WGuTM0cXJpilBnWgPW6GkVBMB01ymTaqJRbC3dv2of0ytvPc566&#10;P/PcckeqJQXfnD8bf17heXR1yZLCMF2KtHODvcGLmgkJL92aumGOkbURn5mqRWqUVbm7SFU9Unku&#10;Uu5jgGjC4EU090attY+lSJpCb2ECaF/g9Gaz6R9Pj4aIDHIH8EhWQ478a0mM2DS6SKDLvdEf9aNp&#10;A4Tmg0r/sUSqvxQAGmLH0cueeF3shm1yU+NwiJhsPPzPW/j5xpEUbk4W8yAegxspPJvF09m0y09a&#10;QhI/G5aWt93AeTTvRi3GU+8NS9oXere2bjQaSGZ3ONpvw/FjyTT36bEIUo/jrMfxUaRubTiZtEj6&#10;Tj2MdovhdclkwX+1GriKYAKsnwCR20zsYbs3FoOwXTJeg+ppcFiijXX3XNUEG0tqwAXPYvb0YB1m&#10;ddcFkyfVnagqP2UqeXADOuIdgLt3DlsrlT0DKg1MryW1/66Z4ZSstRFFeRAb5ASp9j2SA3LUkhwx&#10;Jr+pDfGEwZdDCjE7xG3gdkfrXTw9o7YUDpFzQNRw4i2wpKdxGPRsnEZ+EgE4faLOBNyqSmSIOYJt&#10;TbG6rgx5YqBld/7ouH7QrZKkWdLFJJrARELg84o5aNY6gyTIwif4YMSB4cAfxwyj7zfMlq0D3gJ2&#10;Y0ktHDe+VXKW3cqMuGcNOiJB8Sk6U/OMkorDBwJbvqdjonpNz+PEcpvVBsyc5Fj1u4S5vQjjGHLk&#10;2guMixKz/2S1/+TH8nLR8/JBSE5mCFLHyWv5iOB+iYkRCCVSMZ7OW3R7Kk4wflTTVqNP8rCCl35p&#10;4n9/Tr2VSc4IkNPqBO+Os6mTqR9KgAgS9UKYfC47EpwpTC0dBmUalOmMavN4ORNhReLLQq9Mi7OU&#10;KZp3H8lBmei7VaaoJ8C2ZIKlwu77dI40jWPUuaFoGoqmi7NWrCekadwz00tT6IucV1dN8QTrwaFq&#10;wkr93WpT3DNgp03RG7VpEmCxfFSb/DICy+hhQXeisGbJsKBrtxC6XSBcfe+VTeF4j5VfX9FN46Fu&#10;6ncR3q02TXsG7LSp21M9e69pFgx1U7dx9P9e0vn9atjq91uv3W8J/Jewf+23WXc/T6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GGYC3DWAAAABQEAAA8AAAAAAAAAAQAgAAAAIgAAAGRycy9kb3du&#10;cmV2LnhtbFBLAQIUABQAAAAIAIdO4kAF2jrfyQMAAIQZAAAOAAAAAAAAAAEAIAAAACUBAABkcnMv&#10;ZTJvRG9jLnhtbFBLBQYAAAAABgAGAFkBAABgBwAAAAA=&#10;">
                <o:lock v:ext="edit" rotation="t" aspectratio="f"/>
                <v:rect id="Picture 5" o:spid="_x0000_s1026" o:spt="1" style="position:absolute;left:0;top:0;height:936;width:8280;" filled="f" stroked="f" coordsize="21600,21600" o:gfxdata="UEsDBAoAAAAAAIdO4kAAAAAAAAAAAAAAAAAEAAAAZHJzL1BLAwQUAAAACACHTuJAn9Y8ZLsAAADb&#10;AAAADwAAAGRycy9kb3ducmV2LnhtbEVPTYvCMBC9C/6HMMJeRFM9rFKNHgTZIguyrXoemrEtNpPa&#10;ZFv992Zhwds83uestw9Ti45aV1lWMJtGIIhzqysuFJyy/WQJwnlkjbVlUvAkB9vNcLDGWNuef6hL&#10;fSFCCLsYFZTeN7GULi/JoJvahjhwV9sa9AG2hdQt9iHc1HIeRZ/SYMWhocSGdiXlt/TXKOjzY3fJ&#10;vr/kcXxJLN+T+y49H5T6GM2iFQhPD/8W/7sTHeYv4O+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Y8ZLsAAADb&#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 o:spid="_x0000_s1026" o:spt="202" type="#_x0000_t202" style="position:absolute;left:180;top:156;height:624;width:1080;" fillcolor="#FFFFFF" filled="t" stroked="t" coordsize="21600,21600" o:gfxdata="UEsDBAoAAAAAAIdO4kAAAAAAAAAAAAAAAAAEAAAAZHJzL1BLAwQUAAAACACHTuJAqrFSa7wAAADb&#10;AAAADwAAAGRycy9kb3ducmV2LnhtbEWPP2/CQAzF90p8h5ORupVLGCqUcjDwR7CStAOblTNJSs4X&#10;ckeSfvt6qNTN1nt+7+f1dnKtGqgPjWcD6SIBRVx623Bl4LM4vq1AhYhssfVMBn4owHYze1ljZv3I&#10;FxryWCkJ4ZChgTrGLtM6lDU5DAvfEYt2873DKGtfadvjKOGu1cskedcOG5aGGjva1VTe86czcEjT&#10;r9tqtNc7Ft/dadyfDvRgY17nafIBKtIU/81/12cr+AIrv8gAe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xUm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2.5mm,2.54mm,2.5mm">
                    <w:txbxContent>
                      <w:p>
                        <w:pPr>
                          <w:jc w:val="center"/>
                          <w:rPr>
                            <w:sz w:val="24"/>
                          </w:rPr>
                        </w:pPr>
                        <w:r>
                          <w:rPr>
                            <w:sz w:val="24"/>
                          </w:rPr>
                          <w:t>策 划</w:t>
                        </w:r>
                      </w:p>
                    </w:txbxContent>
                  </v:textbox>
                </v:shape>
                <v:line id="Line 7" o:spid="_x0000_s1026" o:spt="20" style="position:absolute;left:1260;top:468;height:1;width:54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8" o:spid="_x0000_s1026" o:spt="202" type="#_x0000_t202" style="position:absolute;left:1800;top:156;height:624;width:1080;" fillcolor="#FFFFFF" filled="t" stroked="t" coordsize="21600,21600" o:gfxdata="UEsDBAoAAAAAAIdO4kAAAAAAAAAAAAAAAAAEAAAAZHJzL1BLAwQUAAAACACHTuJAmquU0LUAAADb&#10;AAAADwAAAGRycy9kb3ducmV2LnhtbEVPuw6CMBTdTfyH5pq4acHBGLQy+Iiuvga3G3oFhN4iraJ/&#10;bwcTx5PzXqRvU4sXta60rCAeRyCIM6tLzhWcT9vRDITzyBpry6TgQw7SZb+3wETbjg/0OvpchBB2&#10;CSoovG8SKV1WkEE3tg1x4G62NegDbHOpW+xCuKnlJIqm0mDJoaHAhlYFZdXxaRRs4vhym3X6WuHp&#10;3uy69W5DD1ZqOIijOQhPb/8X/9x7rWAS1ocv4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quU0LUAAADbAAAADwAA&#10;AAAAAAABACAAAAAiAAAAZHJzL2Rvd25yZXYueG1sUEsBAhQAFAAAAAgAh07iQDMvBZ47AAAAOQAA&#10;ABAAAAAAAAAAAQAgAAAABAEAAGRycy9zaGFwZXhtbC54bWxQSwUGAAAAAAYABgBbAQAArgMAAAAA&#10;">
                  <v:fill on="t" focussize="0,0"/>
                  <v:stroke color="#000000" joinstyle="miter"/>
                  <v:imagedata o:title=""/>
                  <o:lock v:ext="edit" aspectratio="f"/>
                  <v:textbox inset="2.54mm,2.5mm,2.54mm,2.5mm">
                    <w:txbxContent>
                      <w:p>
                        <w:pPr>
                          <w:jc w:val="center"/>
                          <w:rPr>
                            <w:sz w:val="24"/>
                          </w:rPr>
                        </w:pPr>
                        <w:r>
                          <w:rPr>
                            <w:sz w:val="24"/>
                          </w:rPr>
                          <w:t>计 划</w:t>
                        </w:r>
                      </w:p>
                    </w:txbxContent>
                  </v:textbox>
                </v:shape>
                <v:line id="Line 9" o:spid="_x0000_s1026" o:spt="20" style="position:absolute;left:2880;top:468;height:1;width:54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0" o:spid="_x0000_s1026" o:spt="202" type="#_x0000_t202" style="position:absolute;left:3420;top:156;height:624;width:1080;" fillcolor="#FFFFFF" filled="t" stroked="t" coordsize="21600,21600" o:gfxdata="UEsDBAoAAAAAAIdO4kAAAAAAAAAAAAAAAAAEAAAAZHJzL1BLAwQUAAAACACHTuJABTWvPLgAAADb&#10;AAAADwAAAGRycy9kb3ducmV2LnhtbEWPSwvCMBCE74L/IazgTdP2IFKNHnygV18Hb0uzttVmU5to&#10;9d8bQfA4zMw3zHT+MpV4UuNKywriYQSCOLO65FzB8bAejEE4j6yxskwK3uRgPut2pphq2/KOnnuf&#10;iwBhl6KCwvs6ldJlBRl0Q1sTB+9iG4M+yCaXusE2wE0lkygaSYMlh4UCa1oUlN32D6NgFceny7jV&#10;5xservWmXW5WdGel+r04moDw9PL/8K+91QqSBL5fwg+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TWvP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5mm,2.54mm,2.5mm">
                    <w:txbxContent>
                      <w:p>
                        <w:pPr>
                          <w:jc w:val="center"/>
                          <w:rPr>
                            <w:sz w:val="24"/>
                          </w:rPr>
                        </w:pPr>
                        <w:r>
                          <w:rPr>
                            <w:sz w:val="24"/>
                          </w:rPr>
                          <w:t>实  施</w:t>
                        </w:r>
                      </w:p>
                    </w:txbxContent>
                  </v:textbox>
                </v:shape>
                <v:line id="Line 11" o:spid="_x0000_s1026" o:spt="20" style="position:absolute;left:4500;top:468;height:1;width:54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2" o:spid="_x0000_s1026" o:spt="202" type="#_x0000_t202" style="position:absolute;left:5040;top:156;height:624;width:1440;" fillcolor="#FFFFFF" filled="t" stroked="t" coordsize="21600,21600" o:gfxdata="UEsDBAoAAAAAAIdO4kAAAAAAAAAAAAAAAAAEAAAAZHJzL1BLAwQUAAAACACHTuJA5ZCS07gAAADb&#10;AAAADwAAAGRycy9kb3ducmV2LnhtbEWPSwvCMBCE74L/IazgTdOKiFSjBx/o1dfB29KsbbXZ1CZa&#10;/fdGEDwOM/MNM52/TCmeVLvCsoK4H4EgTq0uOFNwPKx7YxDOI2ssLZOCNzmYz9qtKSbaNryj595n&#10;IkDYJagg975KpHRpTgZd31bEwbvY2qAPss6krrEJcFPKQRSNpMGCw0KOFS1ySm/7h1GwiuPTZdzo&#10;8w0P12rTLDcrurNS3U4cTUB4evl/+NfeagWDIXy/hB8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CS0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5mm,2.54mm,2.5mm">
                    <w:txbxContent>
                      <w:p>
                        <w:pPr>
                          <w:jc w:val="center"/>
                          <w:rPr>
                            <w:sz w:val="24"/>
                          </w:rPr>
                        </w:pPr>
                        <w:r>
                          <w:rPr>
                            <w:sz w:val="24"/>
                          </w:rPr>
                          <w:t>纠正措施</w:t>
                        </w:r>
                      </w:p>
                    </w:txbxContent>
                  </v:textbox>
                </v:shape>
                <v:line id="Line 13" o:spid="_x0000_s1026" o:spt="20" style="position:absolute;left:6480;top:468;height:1;width:54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4" o:spid="_x0000_s1026" o:spt="202" type="#_x0000_t202" style="position:absolute;left:7020;top:156;height:624;width:1080;" fillcolor="#FFFFFF" filled="t" stroked="t" coordsize="21600,21600" o:gfxdata="UEsDBAoAAAAAAIdO4kAAAAAAAAAAAAAAAAAEAAAAZHJzL1BLAwQUAAAACACHTuJAeg6pP7gAAADb&#10;AAAADwAAAGRycy9kb3ducmV2LnhtbEWPSwvCMBCE74L/Iazgzab1IFKNHnygV18Hb0uzttVmU5to&#10;9d8bQfA4zMw3zHT+MpV4UuNKywqSKAZBnFldcq7geFgPxiCcR9ZYWSYFb3Iwn3U7U0y1bXlHz73P&#10;RYCwS1FB4X2dSumyggy6yNbEwbvYxqAPssmlbrANcFPJYRyPpMGSw0KBNS0Kym77h1GwSpLTZdzq&#10;8w0P13rTLjcrurNS/V4ST0B4evl/+NfeagXDEXy/hB8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g6pP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2.54mm,2.5mm,2.54mm,2.5mm">
                    <w:txbxContent>
                      <w:p>
                        <w:pPr>
                          <w:jc w:val="center"/>
                          <w:rPr>
                            <w:sz w:val="24"/>
                          </w:rPr>
                        </w:pPr>
                        <w:r>
                          <w:rPr>
                            <w:sz w:val="24"/>
                          </w:rPr>
                          <w:t>验 证</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自评时机</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.2.1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自评一般每年进行一次，通常安排在每年12月进行。</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3</w:t>
      </w:r>
      <w:r>
        <w:rPr>
          <w:rFonts w:hint="eastAsia" w:ascii="方正仿宋简体" w:hAnsi="方正仿宋简体" w:eastAsia="方正仿宋简体" w:cs="方正仿宋简体"/>
          <w:sz w:val="28"/>
        </w:rPr>
        <w:t>.2.2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在下列情况下，可以增加自评次数：</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a.公司组织结构、资源配置发生重大变化时；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b.重要的安全管理人员、重要的危险源发生重大变化时；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c.当法律、法规、标准及其他要求有重大变化时；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d.出现重大安全事故时；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e.企业安全生产方针和目标修改时；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f.安全标准化自评不达标时；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g.上级主管部门提出额外自评要求时。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4</w:t>
      </w:r>
      <w:r>
        <w:rPr>
          <w:rFonts w:hint="eastAsia" w:ascii="方正仿宋简体" w:hAnsi="方正仿宋简体" w:eastAsia="方正仿宋简体" w:cs="方正仿宋简体"/>
          <w:b/>
          <w:bCs/>
          <w:sz w:val="28"/>
        </w:rPr>
        <w:t xml:space="preserve"> 自评范围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应覆盖公司安全生产标准化管理体系运行的相关部门及其管理活动。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5</w:t>
      </w:r>
      <w:r>
        <w:rPr>
          <w:rFonts w:hint="eastAsia" w:ascii="方正仿宋简体" w:hAnsi="方正仿宋简体" w:eastAsia="方正仿宋简体" w:cs="方正仿宋简体"/>
          <w:b/>
          <w:bCs/>
          <w:sz w:val="28"/>
        </w:rPr>
        <w:t xml:space="preserve"> 自评评分的依据</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《四川省城镇燃气经营企业企业安全生产标准化评审标准（试行）》</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 xml:space="preserve">6 </w:t>
      </w:r>
      <w:r>
        <w:rPr>
          <w:rFonts w:hint="eastAsia" w:ascii="方正仿宋简体" w:hAnsi="方正仿宋简体" w:eastAsia="方正仿宋简体" w:cs="方正仿宋简体"/>
          <w:b/>
          <w:bCs/>
          <w:sz w:val="28"/>
        </w:rPr>
        <w:t>自评的运行</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每年12月的上旬，公司建立自评小组和自评工作计划，并发文公布。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各部门将本部门的安全标准化运行材料汇总。</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.3</w:t>
      </w:r>
      <w:r>
        <w:rPr>
          <w:rFonts w:hint="eastAsia" w:ascii="方正仿宋简体" w:hAnsi="方正仿宋简体" w:eastAsia="方正仿宋简体" w:cs="方正仿宋简体"/>
          <w:sz w:val="28"/>
          <w:lang w:val="en-US" w:eastAsia="zh-CN"/>
        </w:rPr>
        <w:t xml:space="preserve"> 公司经</w:t>
      </w:r>
      <w:r>
        <w:rPr>
          <w:rFonts w:hint="eastAsia" w:ascii="方正仿宋简体" w:hAnsi="方正仿宋简体" w:eastAsia="方正仿宋简体" w:cs="方正仿宋简体"/>
          <w:sz w:val="28"/>
        </w:rPr>
        <w:t>理组织公司各部门负责人和部门相关人员召开安全标准化自评首次会议，对自评工作进行分工，确定自评时间、自评准则及相关的要求。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.4</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自评小组根据首次会议中对自评的要求进行自评，通过面谈、提问、查阅文件、现场查看、测试等方式来收集客观证据，并记录自评结果。自评小组成员应按评分检查表的项目逐项检查，收集证据应采取随机抽样的方法进行，保证所抽取的样本具有代表性，并认真做好记录。</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w:t>
      </w:r>
      <w:r>
        <w:rPr>
          <w:rFonts w:hint="eastAsia" w:ascii="方正仿宋简体" w:hAnsi="方正仿宋简体" w:eastAsia="方正仿宋简体" w:cs="方正仿宋简体"/>
          <w:sz w:val="28"/>
          <w:lang w:val="en-US" w:eastAsia="zh-CN"/>
        </w:rPr>
        <w:t xml:space="preserve">5 </w:t>
      </w:r>
      <w:r>
        <w:rPr>
          <w:rFonts w:hint="eastAsia" w:ascii="方正仿宋简体" w:hAnsi="方正仿宋简体" w:eastAsia="方正仿宋简体" w:cs="方正仿宋简体"/>
          <w:sz w:val="28"/>
        </w:rPr>
        <w:t>自评小组自评检查结束后，应立即汇总检查情况，根据《冶金等工贸企业安全生产标准化评定标准》，计算出自评总分，并分类总结出自评中的扣分项。完成以上工作后，向执行总经理申请召开安全标准化自评末次会议。</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w:t>
      </w:r>
      <w:r>
        <w:rPr>
          <w:rFonts w:hint="eastAsia" w:ascii="方正仿宋简体" w:hAnsi="方正仿宋简体" w:eastAsia="方正仿宋简体" w:cs="方正仿宋简体"/>
          <w:sz w:val="28"/>
          <w:lang w:val="en-US" w:eastAsia="zh-CN"/>
        </w:rPr>
        <w:t xml:space="preserve">6 </w:t>
      </w:r>
      <w:r>
        <w:rPr>
          <w:rFonts w:hint="eastAsia" w:ascii="方正仿宋简体" w:hAnsi="方正仿宋简体" w:eastAsia="方正仿宋简体" w:cs="方正仿宋简体"/>
          <w:sz w:val="28"/>
        </w:rPr>
        <w:t>经理组织公司各部门负责人和部门相关人员召开安全标准化自评末次会议，自评小组组长在会议上首先对自评工作情况进行总结，然后宣布自评结果和重要的自评扣分项目。各部门负责人在听取以上内容后，进行工作总结，提出对扣分项的完善措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lang w:val="en-US" w:eastAsia="zh-CN"/>
        </w:rPr>
        <w:t>6</w:t>
      </w:r>
      <w:r>
        <w:rPr>
          <w:rFonts w:hint="eastAsia" w:ascii="方正仿宋简体" w:hAnsi="方正仿宋简体" w:eastAsia="方正仿宋简体" w:cs="方正仿宋简体"/>
          <w:sz w:val="28"/>
        </w:rPr>
        <w:t>.</w:t>
      </w:r>
      <w:r>
        <w:rPr>
          <w:rFonts w:hint="eastAsia" w:ascii="方正仿宋简体" w:hAnsi="方正仿宋简体" w:eastAsia="方正仿宋简体" w:cs="方正仿宋简体"/>
          <w:sz w:val="28"/>
          <w:lang w:val="en-US" w:eastAsia="zh-CN"/>
        </w:rPr>
        <w:t xml:space="preserve">7 </w:t>
      </w:r>
      <w:r>
        <w:rPr>
          <w:rFonts w:hint="eastAsia" w:ascii="方正仿宋简体" w:hAnsi="方正仿宋简体" w:eastAsia="方正仿宋简体" w:cs="方正仿宋简体"/>
          <w:sz w:val="28"/>
        </w:rPr>
        <w:t>末次会议结束后，安全小组编制年度自评报告，进一步完善措施计划，送总经理审核，经总经理审核后发布到各部门，由安全小组督促各部门进行整改，并进行跟踪验证整改情况。</w:t>
      </w:r>
    </w:p>
    <w:p>
      <w:pPr>
        <w:spacing w:line="360" w:lineRule="auto"/>
        <w:ind w:firstLine="872" w:firstLineChars="200"/>
        <w:jc w:val="center"/>
        <w:rPr>
          <w:rFonts w:hint="eastAsia" w:ascii="方正仿宋简体" w:hAnsi="方正仿宋简体" w:eastAsia="方正仿宋简体" w:cs="方正仿宋简体"/>
          <w:sz w:val="44"/>
          <w:szCs w:val="44"/>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Style w:val="172"/>
          <w:rFonts w:hint="eastAsia" w:ascii="方正小标宋简体" w:hAnsi="方正小标宋简体" w:eastAsia="方正小标宋简体" w:cs="方正小标宋简体"/>
          <w:b w:val="0"/>
          <w:bCs w:val="0"/>
          <w:sz w:val="36"/>
          <w:szCs w:val="36"/>
        </w:rPr>
      </w:pPr>
      <w:bookmarkStart w:id="1163" w:name="_Toc715"/>
      <w:bookmarkStart w:id="1164" w:name="_Toc28171"/>
      <w:bookmarkStart w:id="1165" w:name="_Toc30396"/>
      <w:bookmarkStart w:id="1166" w:name="_Toc26555"/>
      <w:r>
        <w:rPr>
          <w:rFonts w:hint="eastAsia" w:ascii="方正仿宋简体" w:hAnsi="方正仿宋简体" w:eastAsia="方正仿宋简体" w:cs="方正仿宋简体"/>
          <w:sz w:val="44"/>
          <w:szCs w:val="44"/>
          <w:lang w:val="en-US" w:eastAsia="zh-CN"/>
        </w:rPr>
        <w:br w:type="page"/>
      </w:r>
      <w:bookmarkStart w:id="1167" w:name="_Toc18793"/>
      <w:bookmarkStart w:id="1168" w:name="_Toc17411"/>
      <w:bookmarkStart w:id="1169" w:name="_Toc11903"/>
      <w:bookmarkStart w:id="1170" w:name="_Toc26750"/>
      <w:bookmarkStart w:id="1171" w:name="_Toc24282"/>
      <w:bookmarkStart w:id="1172" w:name="_Toc26930"/>
      <w:bookmarkStart w:id="1173" w:name="_Toc13621"/>
      <w:bookmarkStart w:id="1174" w:name="_Toc13543"/>
      <w:bookmarkStart w:id="1175" w:name="_Toc20486"/>
      <w:r>
        <w:rPr>
          <w:rStyle w:val="172"/>
          <w:rFonts w:hint="eastAsia" w:ascii="方正小标宋简体" w:hAnsi="方正小标宋简体" w:eastAsia="方正小标宋简体" w:cs="方正小标宋简体"/>
          <w:b w:val="0"/>
          <w:bCs w:val="0"/>
          <w:sz w:val="36"/>
          <w:szCs w:val="36"/>
          <w:lang w:val="en-US" w:eastAsia="zh-CN"/>
        </w:rPr>
        <w:t>中油南充燃气有限责任公司</w:t>
      </w:r>
      <w:r>
        <w:rPr>
          <w:rStyle w:val="172"/>
          <w:rFonts w:hint="eastAsia" w:ascii="方正小标宋简体" w:hAnsi="方正小标宋简体" w:eastAsia="方正小标宋简体" w:cs="方正小标宋简体"/>
          <w:b w:val="0"/>
          <w:bCs w:val="0"/>
          <w:sz w:val="36"/>
          <w:szCs w:val="36"/>
        </w:rPr>
        <w:t>安全管理机构</w:t>
      </w:r>
      <w:r>
        <w:rPr>
          <w:rStyle w:val="172"/>
          <w:rFonts w:hint="eastAsia" w:ascii="方正小标宋简体" w:hAnsi="方正小标宋简体" w:eastAsia="方正小标宋简体" w:cs="方正小标宋简体"/>
          <w:b w:val="0"/>
          <w:bCs w:val="0"/>
          <w:sz w:val="36"/>
          <w:szCs w:val="36"/>
          <w:lang w:val="en-US" w:eastAsia="zh-CN"/>
        </w:rPr>
        <w:t>与</w:t>
      </w:r>
      <w:r>
        <w:rPr>
          <w:rStyle w:val="172"/>
          <w:rFonts w:hint="eastAsia" w:ascii="方正小标宋简体" w:hAnsi="方正小标宋简体" w:eastAsia="方正小标宋简体" w:cs="方正小标宋简体"/>
          <w:b w:val="0"/>
          <w:bCs w:val="0"/>
          <w:sz w:val="36"/>
          <w:szCs w:val="36"/>
        </w:rPr>
        <w:t>安全</w:t>
      </w:r>
      <w:r>
        <w:rPr>
          <w:rStyle w:val="172"/>
          <w:rFonts w:hint="eastAsia" w:ascii="方正小标宋简体" w:hAnsi="方正小标宋简体" w:eastAsia="方正小标宋简体" w:cs="方正小标宋简体"/>
          <w:b w:val="0"/>
          <w:bCs w:val="0"/>
          <w:sz w:val="36"/>
          <w:szCs w:val="36"/>
          <w:lang w:eastAsia="zh-CN"/>
        </w:rPr>
        <w:t>管</w:t>
      </w:r>
      <w:r>
        <w:rPr>
          <w:rStyle w:val="172"/>
          <w:rFonts w:hint="eastAsia" w:ascii="方正小标宋简体" w:hAnsi="方正小标宋简体" w:eastAsia="方正小标宋简体" w:cs="方正小标宋简体"/>
          <w:b w:val="0"/>
          <w:bCs w:val="0"/>
          <w:sz w:val="36"/>
          <w:szCs w:val="36"/>
        </w:rPr>
        <w:t>理人员管理制度</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keepNext w:val="0"/>
        <w:keepLines w:val="0"/>
        <w:pageBreakBefore w:val="0"/>
        <w:widowControl w:val="0"/>
        <w:tabs>
          <w:tab w:val="left" w:pos="3903"/>
        </w:tabs>
        <w:kinsoku/>
        <w:wordWrap/>
        <w:overflowPunct/>
        <w:topLinePunct w:val="0"/>
        <w:autoSpaceDE/>
        <w:autoSpaceDN/>
        <w:bidi w:val="0"/>
        <w:adjustRightInd/>
        <w:snapToGrid/>
        <w:spacing w:line="640" w:lineRule="exact"/>
        <w:ind w:firstLine="0" w:firstLineChars="0"/>
        <w:jc w:val="both"/>
        <w:textAlignment w:val="auto"/>
        <w:outlineLvl w:val="9"/>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ab/>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一、目的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为进一步规范公司安全管理人员配备，全面落实安全生产主体责任，根据《安全生产法》等法律法规的规定，结合本公司的实际情况，特制定本制度。</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二、适用范围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本制度适用于本公司。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本制度所称专职安全管理人员是指公司从事安全生产管理工作的专职（兼职）人员。</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三、配备要求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公司安全生产管理机构专职安全生产管理人员的配备应严格按照国家有关法律法规要求配备。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w:t>
      </w:r>
      <w:r>
        <w:rPr>
          <w:rFonts w:hint="eastAsia" w:ascii="方正仿宋简体" w:hAnsi="方正仿宋简体" w:eastAsia="方正仿宋简体" w:cs="方正仿宋简体"/>
          <w:sz w:val="28"/>
          <w:szCs w:val="28"/>
        </w:rPr>
        <w:t>各部门要求设置一名兼职安全管理人员，原则上由本部门技术员或班组长兼职担任。</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四、职责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安全生产管理委员会的主要职责：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贯彻落实国家有关安全生产法律法规和标准；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组织制定安全生产管理制度并监督实施；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编制生产安全事故应急救援预案并组织演练；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1.4</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保证安全生产费用的有效使用；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1.5</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定期组织召开安全生产例会；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1.6</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开展安全教育培训；</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1.7</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组织实施安全检查和隐患排查并监督整改；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1.8</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建立安全生产管理档案；</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1.9</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及时、如实报告安全生产事故。</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专职安全生产管理人员主要职责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负责安全生产日常检查并做好检查记录；</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对作业人员违规违章行为有权予以纠正或查处；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对生产作业现场存在的安全隐患有权责令立即整改；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2.4</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对于发现的重大安全隐患，应向安全生产管理机构报告；</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2.5</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对于不能解决的安全隐患或问题，应立即向上级安全生产管理机构报告；</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2.6</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按照程序报告生产安全事故情况。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部门兼职安全生产管理人员主要职责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3.1</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负责所属部门现场安全生产日常检查并做好记录；</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对本部门作业人员的违章违规行为有权予以纠正或查处；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对本部门生产作业现场存在的安全隐患有权责令立即整改；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3.4</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对于发现的安全隐患，应向部门领导报告，并协调整改；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3.5</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对于本部门不能解决的安全隐患或问题，应立即向安全生产部报告；</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3.6</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按照程序报告生产安全事故情况；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3.7</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组织建立本部门安全管理档案资料；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jc w:val="both"/>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3.8</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部门兼职安全员每月定期向安全员书面报告所在部门安全生产实际情况的简要总结。</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hAnsi="方正小标宋简体" w:eastAsia="方正小标宋简体" w:cs="方正小标宋简体"/>
          <w:sz w:val="36"/>
          <w:szCs w:val="36"/>
        </w:rPr>
      </w:pPr>
      <w:bookmarkStart w:id="1176" w:name="_Toc16434"/>
      <w:bookmarkStart w:id="1177" w:name="_Toc8564"/>
      <w:bookmarkStart w:id="1178" w:name="_Toc5279"/>
      <w:bookmarkStart w:id="1179" w:name="_Toc27607"/>
      <w:r>
        <w:rPr>
          <w:rFonts w:hint="eastAsia" w:ascii="方正仿宋简体" w:hAnsi="方正仿宋简体" w:eastAsia="方正仿宋简体" w:cs="方正仿宋简体"/>
          <w:sz w:val="28"/>
          <w:szCs w:val="28"/>
          <w:lang w:val="en-US" w:eastAsia="zh-CN"/>
        </w:rPr>
        <w:br w:type="page"/>
      </w:r>
      <w:bookmarkStart w:id="1180" w:name="_Toc24482"/>
      <w:bookmarkStart w:id="1181" w:name="_Toc9787"/>
      <w:bookmarkStart w:id="1182" w:name="_Toc27424"/>
      <w:bookmarkStart w:id="1183" w:name="_Toc13963"/>
      <w:bookmarkStart w:id="1184" w:name="_Toc27086"/>
      <w:bookmarkStart w:id="1185" w:name="_Toc13872"/>
      <w:bookmarkStart w:id="1186" w:name="_Toc29772"/>
      <w:bookmarkStart w:id="1187" w:name="_Toc15574"/>
      <w:bookmarkStart w:id="1188" w:name="_Toc2389"/>
      <w:r>
        <w:rPr>
          <w:rFonts w:hint="eastAsia" w:ascii="方正小标宋简体" w:hAnsi="方正小标宋简体" w:eastAsia="方正小标宋简体" w:cs="方正小标宋简体"/>
          <w:sz w:val="36"/>
          <w:szCs w:val="36"/>
          <w:lang w:val="en-US" w:eastAsia="zh-CN"/>
        </w:rPr>
        <w:t>中油南充燃气有限责任公司</w:t>
      </w:r>
      <w:r>
        <w:rPr>
          <w:rFonts w:hint="eastAsia" w:ascii="方正小标宋简体" w:hAnsi="方正小标宋简体" w:eastAsia="方正小标宋简体" w:cs="方正小标宋简体"/>
          <w:sz w:val="36"/>
          <w:szCs w:val="36"/>
        </w:rPr>
        <w:t>燃气质量管理制度</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0"/>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lang w:val="en-US" w:eastAsia="zh-CN"/>
        </w:rPr>
        <w:t xml:space="preserve">1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城镇燃气在进入输配管网和供给用户前，都应满足热值相对稳定、毒性小、杂质少等基本要求，并且达到一定的质量指标，这对于保障城镇燃气系统和用户用气的安全、减少管道腐蚀与堵塞以及降低对环境的污染等都具有重要意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公司经营范围内的输配管道燃气。</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主要杂质与质量要求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1.天然气中的主要杂质及有害要求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（1）焦油与尘</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焦油、尘的主要危害是影响燃气的正常输送与使用。天然气中的尘是因管道腐蚀而产生的氧化铁尘粒，输送天然气过程中由于尘粒所引起的故障，多发生在远离气源的用户端。</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（2）硫化物</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燃气中的硫化物分为有机硫和无机硫。无机硫指硫化氢、有机硫有二硫化碳、硫化羰、硫醇、硫醚等。燃气中的硫化物有90%～95%为无机硫。</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硫化氢及其氧化物二氧化硫都具有强烈的刺鼻气味，对眼黏膜和呼吸道有损害作用。空气中的硫化氢浓度大于910mg/m³（约0.06%体积分数）时，人呼吸一小时，就会严重中毒。当空气中含有0.05%（体积分数）二氧化硫时，短时间呼吸就有生命危险。</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硫化氢又是一种活性腐蚀剂。在高温、高压以及在燃气中含有水分时，腐蚀作用就会加剧。燃气中的二氧化碳及氧也是腐蚀剂，当它们与硫化氢同时存在，对管道和设备更为有害。</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（3）一氧化碳</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一氧化碳是无色、无味、有剧毒的气体，通常在人工煤气中含有一氧化碳。如果空气中含有0.1%（体积分数）的一氧化碳，人呼吸一小时就会引起头痛和呕吐，含量达0.5%（体积分数）时，人呼吸约20～30min，就有生命危险。</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（4）氧化氮</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燃烧产物中的氧化氮对人身体有害，空气中含有0.01%（体积分数）的氧化氮时，短时间呼吸后，支气管将受刺激，长时间呼吸会危机生命。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（5）水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水和水蒸气与燃气中的烃类气体会生成固态水合物，造成管道、设备及仪表等的堵塞。液态水会加剧硫化氢和二氧化碳等酸性气体对金属管道及设备的腐蚀，特别是水蒸气在管道和管件内表面冷凝时形成水膜，造成的腐蚀更为严重。</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2.城镇燃气的质量指标应符合要求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（1）城镇燃气（应按基准气分类）的发热量和组分的波动应符合城镇燃气互换的要求。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（2）天然气的质量标准还应符合下列规定：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①天然气发热量、总硫和硫化氢含量、水露点指标应符合现行国家标准《天然气》GB17820的一类气或二类气的规定；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②在天然气交接点的压力和温度条件下：</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A</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天然气的烃露点应比最低环境温度低5℃；</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B</w:t>
      </w:r>
      <w:r>
        <w:rPr>
          <w:rFonts w:hint="eastAsia" w:ascii="方正仿宋简体" w:hAnsi="方正仿宋简体" w:eastAsia="方正仿宋简体" w:cs="方正仿宋简体"/>
          <w:sz w:val="28"/>
          <w:lang w:val="en-US" w:eastAsia="zh-CN"/>
        </w:rPr>
        <w:t>.</w:t>
      </w:r>
      <w:r>
        <w:rPr>
          <w:rFonts w:hint="eastAsia" w:ascii="方正仿宋简体" w:hAnsi="方正仿宋简体" w:eastAsia="方正仿宋简体" w:cs="方正仿宋简体"/>
          <w:sz w:val="28"/>
        </w:rPr>
        <w:t>天然气中不应有固态、液态或胶状物质；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（3）城镇燃气应具有可以察觉的臭味，燃气中的加臭剂的最小量应符合下列规定：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①无毒燃气泄漏在空气中，达到爆炸下限的20%时应能察觉；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②有毒燃气泄漏在空气中，达到对人体允许的有害的浓度时，应能察觉；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③对于以一氧化碳为有毒成分的燃气，空气中一氧化碳含量达到0.02%（体积分数）时，应能察觉；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（4）城镇燃气加臭剂应符合下列要求：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①加臭剂和燃气混合在一起后应具有特殊的臭味；</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②加臭剂不应对人体、管道或与其接触的材料有害；</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③加臭剂的燃烧产物不应对人体呼吸有害，并不应腐蚀或伤害与此燃烧产物经常接触的材料；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④加臭剂溶解于水的程度不应大于2.5%（质量分数）；</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⑤加臭剂应有在空气中应能察觉的加臭剂含量指标。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检测</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（1）每年至少1次向气源单位索取天然气气体质量证明文件；</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（2）若对气源单位证明文件存在异议，公司将定期进行检查。</w:t>
      </w: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Times New Roman" w:eastAsia="方正小标宋简体"/>
          <w:b w:val="0"/>
          <w:bCs w:val="0"/>
          <w:kern w:val="44"/>
          <w:sz w:val="36"/>
          <w:szCs w:val="36"/>
          <w:lang w:val="en-US" w:eastAsia="zh-CN" w:bidi="ar-SA"/>
        </w:rPr>
      </w:pPr>
      <w:r>
        <w:rPr>
          <w:rFonts w:hint="eastAsia" w:ascii="方正小标宋简体" w:eastAsia="方正小标宋简体"/>
          <w:color w:val="000000"/>
          <w:sz w:val="36"/>
          <w:szCs w:val="36"/>
        </w:rPr>
        <w:br w:type="page"/>
      </w:r>
      <w:bookmarkStart w:id="1189" w:name="_Toc9631"/>
      <w:bookmarkStart w:id="1190" w:name="_Toc5166"/>
      <w:bookmarkStart w:id="1191" w:name="_Toc19076"/>
      <w:bookmarkStart w:id="1192" w:name="_Toc36"/>
      <w:bookmarkStart w:id="1193" w:name="_Toc7901"/>
      <w:bookmarkStart w:id="1194" w:name="_Toc16988"/>
      <w:bookmarkStart w:id="1195" w:name="_Toc16608"/>
      <w:bookmarkStart w:id="1196" w:name="_Toc19960"/>
      <w:bookmarkStart w:id="1197" w:name="_Toc8422"/>
      <w:bookmarkStart w:id="1198" w:name="_Toc17239"/>
      <w:r>
        <w:rPr>
          <w:rFonts w:hint="eastAsia" w:ascii="方正小标宋简体" w:hAnsi="Times New Roman" w:eastAsia="方正小标宋简体"/>
          <w:b w:val="0"/>
          <w:bCs w:val="0"/>
          <w:kern w:val="44"/>
          <w:sz w:val="36"/>
          <w:szCs w:val="36"/>
          <w:lang w:val="en-US" w:eastAsia="zh-CN" w:bidi="ar-SA"/>
        </w:rPr>
        <w:t>中油南充燃气有限责任公司安全生产目标管理</w:t>
      </w:r>
      <w:r>
        <w:rPr>
          <w:rFonts w:hint="eastAsia" w:ascii="方正小标宋简体" w:eastAsia="方正小标宋简体"/>
          <w:b w:val="0"/>
          <w:bCs w:val="0"/>
          <w:kern w:val="44"/>
          <w:sz w:val="36"/>
          <w:szCs w:val="36"/>
          <w:lang w:val="en-US" w:eastAsia="zh-CN" w:bidi="ar-SA"/>
        </w:rPr>
        <w:t>和责任</w:t>
      </w:r>
      <w:bookmarkEnd w:id="1189"/>
      <w:bookmarkEnd w:id="1190"/>
      <w:bookmarkEnd w:id="1191"/>
      <w:bookmarkEnd w:id="1192"/>
      <w:bookmarkEnd w:id="1193"/>
      <w:bookmarkEnd w:id="1194"/>
      <w:bookmarkEnd w:id="1195"/>
      <w:bookmarkEnd w:id="1196"/>
      <w:bookmarkStart w:id="1199" w:name="_Toc13390"/>
      <w:bookmarkStart w:id="1200" w:name="_Toc19797"/>
      <w:bookmarkStart w:id="1201" w:name="_Toc3102"/>
      <w:bookmarkStart w:id="1202" w:name="_Toc15189"/>
      <w:bookmarkStart w:id="1203" w:name="_Toc3673"/>
      <w:bookmarkStart w:id="1204" w:name="_Toc2011"/>
      <w:bookmarkStart w:id="1205" w:name="_Toc13805"/>
      <w:bookmarkStart w:id="1206" w:name="_Toc7641"/>
      <w:r>
        <w:rPr>
          <w:rFonts w:hint="eastAsia" w:ascii="方正小标宋简体" w:eastAsia="方正小标宋简体"/>
          <w:b w:val="0"/>
          <w:bCs w:val="0"/>
          <w:kern w:val="44"/>
          <w:sz w:val="36"/>
          <w:szCs w:val="36"/>
          <w:lang w:val="en-US" w:eastAsia="zh-CN" w:bidi="ar-SA"/>
        </w:rPr>
        <w:t>追究</w:t>
      </w:r>
      <w:r>
        <w:rPr>
          <w:rFonts w:hint="eastAsia" w:ascii="方正小标宋简体" w:hAnsi="Times New Roman" w:eastAsia="方正小标宋简体"/>
          <w:b w:val="0"/>
          <w:bCs w:val="0"/>
          <w:kern w:val="44"/>
          <w:sz w:val="36"/>
          <w:szCs w:val="36"/>
          <w:lang w:val="en-US" w:eastAsia="zh-CN" w:bidi="ar-SA"/>
        </w:rPr>
        <w:t>制度</w:t>
      </w:r>
      <w:bookmarkEnd w:id="1197"/>
      <w:bookmarkEnd w:id="1198"/>
      <w:bookmarkEnd w:id="1199"/>
      <w:bookmarkEnd w:id="1200"/>
      <w:bookmarkEnd w:id="1201"/>
      <w:bookmarkEnd w:id="1202"/>
      <w:bookmarkEnd w:id="1203"/>
      <w:bookmarkEnd w:id="1204"/>
      <w:bookmarkEnd w:id="1205"/>
      <w:bookmarkEnd w:id="1206"/>
    </w:p>
    <w:p>
      <w:pPr>
        <w:keepNext w:val="0"/>
        <w:keepLines w:val="0"/>
        <w:pageBreakBefore w:val="0"/>
        <w:widowControl w:val="0"/>
        <w:kinsoku/>
        <w:wordWrap/>
        <w:overflowPunct/>
        <w:topLinePunct w:val="0"/>
        <w:autoSpaceDE/>
        <w:autoSpaceDN/>
        <w:bidi w:val="0"/>
        <w:adjustRightInd/>
        <w:snapToGrid/>
        <w:spacing w:line="640" w:lineRule="exact"/>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1</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目的</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为了明确安全生产任务，将安全生产融入到日常工作中去，提高员工的安全生产意识和责任，特制定本制度。</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2</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本制度适用于公司安全生产目标与指标的制定、分解、实施和考核。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3</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主要负责人</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负责组织制定和修改总体和年度安全生产目标。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3.1.2</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组织实施安全生产目标，并对安全生产目标实施情况进行考核。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w:t>
      </w:r>
      <w:r>
        <w:rPr>
          <w:rFonts w:hint="eastAsia" w:ascii="方正仿宋简体" w:hAnsi="方正仿宋简体" w:eastAsia="方正仿宋简体" w:cs="方正仿宋简体"/>
          <w:sz w:val="28"/>
          <w:lang w:val="en-US" w:eastAsia="zh-CN"/>
        </w:rPr>
        <w:t xml:space="preserve"> 质量安全环保</w:t>
      </w:r>
      <w:r>
        <w:rPr>
          <w:rFonts w:hint="eastAsia" w:ascii="方正仿宋简体" w:hAnsi="方正仿宋简体" w:eastAsia="方正仿宋简体" w:cs="方正仿宋简体"/>
          <w:sz w:val="28"/>
        </w:rPr>
        <w:t>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3.2.1</w:t>
      </w:r>
      <w:r>
        <w:rPr>
          <w:rFonts w:hint="eastAsia" w:ascii="方正仿宋简体" w:hAnsi="方正仿宋简体" w:eastAsia="方正仿宋简体" w:cs="方正仿宋简体"/>
          <w:sz w:val="28"/>
          <w:lang w:val="en-US" w:eastAsia="zh-CN"/>
        </w:rPr>
        <w:t xml:space="preserve"> </w:t>
      </w:r>
      <w:r>
        <w:rPr>
          <w:rFonts w:hint="eastAsia" w:ascii="方正仿宋简体" w:hAnsi="方正仿宋简体" w:eastAsia="方正仿宋简体" w:cs="方正仿宋简体"/>
          <w:sz w:val="28"/>
        </w:rPr>
        <w:t>负责将年度安全生产目标分解到相关职能部门，并制定年度安全生产目标与指标实施计划和考核办法。</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3.2.2负责安全生产目标和指标及安全生产目标和指标实施计划和考核办法的分发、宣传、教育和培训。</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3.3相关职能部门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3.3.1负责落实安全生产目标与指标实施计划。</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3.3.2负责安全生产目标和指标及安全生产目标和指标实施计划和考核办法的分发、宣传、教育和培训。</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b/>
          <w:bCs/>
          <w:sz w:val="28"/>
        </w:rPr>
      </w:pPr>
      <w:r>
        <w:rPr>
          <w:rFonts w:hint="eastAsia" w:ascii="方正仿宋简体" w:hAnsi="方正仿宋简体" w:eastAsia="方正仿宋简体" w:cs="方正仿宋简体"/>
          <w:b/>
          <w:bCs/>
          <w:sz w:val="28"/>
        </w:rPr>
        <w:t>4</w:t>
      </w:r>
      <w:r>
        <w:rPr>
          <w:rFonts w:hint="eastAsia" w:ascii="方正仿宋简体" w:hAnsi="方正仿宋简体" w:eastAsia="方正仿宋简体" w:cs="方正仿宋简体"/>
          <w:b/>
          <w:bCs/>
          <w:sz w:val="28"/>
          <w:lang w:val="en-US" w:eastAsia="zh-CN"/>
        </w:rPr>
        <w:t xml:space="preserve"> </w:t>
      </w:r>
      <w:r>
        <w:rPr>
          <w:rFonts w:hint="eastAsia" w:ascii="方正仿宋简体" w:hAnsi="方正仿宋简体" w:eastAsia="方正仿宋简体" w:cs="方正仿宋简体"/>
          <w:b/>
          <w:bCs/>
          <w:sz w:val="28"/>
        </w:rPr>
        <w:t>运作程序</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4.1安全生产目标的制定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4.1.1总体和年度安全生产目标由主要负责人组织公司安全生产领导小组根据历年和上年安全生产执行情况制定。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4.1.2年度安全生产目标应包括隐患排查治理、员工教育培训、作业规范、事故伤害等指标。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4.1.3安全生产目标的制定不能高于行业和安监部门规定的目标指标，不能高于上年度安全生产目标指标，要体现持续改善的原则。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4.1.4依据年度安全生产目标评估考核的结果，主要负责人应在每年1月份组织安全生产领导小组成员召开会议，重新修订年度安全生产目标。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4.1.5总体和年度安全生产目标经主要负责人批准后，由</w:t>
      </w:r>
      <w:r>
        <w:rPr>
          <w:rFonts w:hint="eastAsia" w:ascii="方正仿宋简体" w:hAnsi="方正仿宋简体" w:eastAsia="方正仿宋简体" w:cs="方正仿宋简体"/>
          <w:sz w:val="28"/>
          <w:lang w:val="en-US" w:eastAsia="zh-CN"/>
        </w:rPr>
        <w:t>质量安全环保部</w:t>
      </w:r>
      <w:r>
        <w:rPr>
          <w:rFonts w:hint="eastAsia" w:ascii="方正仿宋简体" w:hAnsi="方正仿宋简体" w:eastAsia="方正仿宋简体" w:cs="方正仿宋简体"/>
          <w:sz w:val="28"/>
        </w:rPr>
        <w:t>分发到每个职能部门。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4.1.6公司在显耀位置向公司员工宣传公司总体和年度安全生产目标，并在年度安全教育培训和“公司级”安全教育培训时对全体员工进行培训。</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4.2年度安全生产目标的分解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4.2.1公司年度安全生产目标制定/修订后，</w:t>
      </w:r>
      <w:r>
        <w:rPr>
          <w:rFonts w:hint="eastAsia" w:ascii="方正仿宋简体" w:hAnsi="方正仿宋简体" w:eastAsia="方正仿宋简体" w:cs="方正仿宋简体"/>
          <w:sz w:val="28"/>
          <w:lang w:val="en-US" w:eastAsia="zh-CN"/>
        </w:rPr>
        <w:t>质量安全环保部</w:t>
      </w:r>
      <w:r>
        <w:rPr>
          <w:rFonts w:hint="eastAsia" w:ascii="方正仿宋简体" w:hAnsi="方正仿宋简体" w:eastAsia="方正仿宋简体" w:cs="方正仿宋简体"/>
          <w:sz w:val="28"/>
        </w:rPr>
        <w:t>负责将年度安全生产目标分解成安全指标，分配到各相应的职能部门，并形成文件经主要负责人批准后，分发到相关职能部门。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4.2.2各部门负责人应通过例会或“部门级”安全教育培训，向本部员工宣传教育与本部门相关的安全生产目标和指标。</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4.3安全生产目标与指标的实施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4.3.1</w:t>
      </w:r>
      <w:r>
        <w:rPr>
          <w:rFonts w:hint="eastAsia" w:ascii="方正仿宋简体" w:hAnsi="方正仿宋简体" w:eastAsia="方正仿宋简体" w:cs="方正仿宋简体"/>
          <w:sz w:val="28"/>
          <w:lang w:val="en-US" w:eastAsia="zh-CN"/>
        </w:rPr>
        <w:t>质量安全环保</w:t>
      </w:r>
      <w:r>
        <w:rPr>
          <w:rFonts w:hint="eastAsia" w:ascii="方正仿宋简体" w:hAnsi="方正仿宋简体" w:eastAsia="方正仿宋简体" w:cs="方正仿宋简体"/>
          <w:sz w:val="28"/>
        </w:rPr>
        <w:t>部负责组织相关职能部门制定年度安全生产目标与指标实施计划，经主要负责人批准后，连同年度安全生产目标与指标一起，分发到相关职能部门。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4.3.2安全生产部应依据年度安全生产目标与指标实施计划评估考核结果，及时调整安全生产目标和指标实施计划，并形成文件印发和保存。</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4.3.3各部门负责人通过例会或部门级安全培训，向本部门员工宣传教育安全生产目标与指标，及其实施计划。</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4.3.4各部门负责人组织落实与本部门相关安全生产目标与指标实施计划。</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4.4安全生产目标与指标的评审和考核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4.4.1安全生产部每月30日前统计和监测各职能部门上月的安全生产目标和指标完成情况，并向主要负责人和安全生产委员会汇报。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4.4.2若发现不符合情况时，要求相关部门分析原因，制定整改措施及时整改，以防目标和指标产生过度偏差。</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4.4.3主要负责人在每季度安全生产专题会上，对上季度安全生产目标与指标实施计划落实情况进行小结，及时指出存在的问题，采取相应的整改措施。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4.4.4主要负责人每年组织对安全生产目标指标及其实施计划进行考核和评估，并将考核和评估的结果填入《安全生产目标与指标实施情况监测记录表》中，并按《安全生产目标、指标实施计划和考核办法》执行奖罚措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sz w:val="28"/>
        </w:rPr>
      </w:pPr>
      <w:r>
        <w:rPr>
          <w:rFonts w:hint="eastAsia" w:ascii="方正仿宋简体" w:hAnsi="方正仿宋简体" w:eastAsia="方正仿宋简体" w:cs="方正仿宋简体"/>
          <w:sz w:val="28"/>
        </w:rPr>
        <w:t>4.4.5根据安全生产目标指标及其实施计划进行考核和评估的结果，若需要对安全生产目标指标及其实施计划进调整或修改，由安全员分发到相关部门，并重新组织宣传教育和培训。</w:t>
      </w:r>
    </w:p>
    <w:p>
      <w:pPr>
        <w:spacing w:line="360" w:lineRule="auto"/>
        <w:ind w:firstLine="552" w:firstLineChars="200"/>
        <w:rPr>
          <w:rFonts w:hint="eastAsia" w:ascii="方正仿宋简体" w:hAnsi="方正仿宋简体" w:eastAsia="方正仿宋简体" w:cs="方正仿宋简体"/>
          <w:sz w:val="28"/>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eastAsia="方正小标宋简体"/>
          <w:color w:val="000000"/>
          <w:sz w:val="36"/>
          <w:szCs w:val="36"/>
        </w:rPr>
      </w:pPr>
      <w:r>
        <w:rPr>
          <w:rFonts w:hint="eastAsia" w:ascii="方正小标宋简体" w:eastAsia="方正小标宋简体"/>
          <w:color w:val="000000"/>
          <w:sz w:val="36"/>
          <w:szCs w:val="36"/>
        </w:rPr>
        <w:br w:type="page"/>
      </w:r>
      <w:bookmarkStart w:id="1207" w:name="_Toc21923"/>
      <w:bookmarkStart w:id="1208" w:name="_Toc22438"/>
      <w:bookmarkStart w:id="1209" w:name="_Toc22694"/>
      <w:bookmarkStart w:id="1210" w:name="_Toc9419"/>
      <w:bookmarkStart w:id="1211" w:name="_Toc29906"/>
      <w:bookmarkStart w:id="1212" w:name="_Toc5736"/>
      <w:bookmarkStart w:id="1213" w:name="_Toc21653"/>
      <w:bookmarkStart w:id="1214" w:name="_Toc16969"/>
      <w:bookmarkStart w:id="1215" w:name="_Toc7087"/>
      <w:r>
        <w:rPr>
          <w:rFonts w:hint="eastAsia" w:ascii="方正小标宋简体" w:eastAsia="方正小标宋简体"/>
          <w:color w:val="000000"/>
          <w:sz w:val="36"/>
          <w:szCs w:val="36"/>
        </w:rPr>
        <w:t>中油南充燃气有限责任公司入户安全检查实施细则</w:t>
      </w:r>
      <w:bookmarkEnd w:id="1207"/>
      <w:bookmarkEnd w:id="1208"/>
      <w:bookmarkEnd w:id="1209"/>
      <w:bookmarkEnd w:id="1210"/>
      <w:bookmarkEnd w:id="1211"/>
      <w:bookmarkEnd w:id="1212"/>
      <w:bookmarkEnd w:id="1213"/>
      <w:bookmarkEnd w:id="1214"/>
      <w:bookmarkEnd w:id="1215"/>
    </w:p>
    <w:p>
      <w:pPr>
        <w:spacing w:line="560" w:lineRule="exact"/>
        <w:jc w:val="both"/>
        <w:rPr>
          <w:rFonts w:hint="eastAsia" w:ascii="方正小标宋简体" w:eastAsia="方正小标宋简体"/>
          <w:color w:val="000000"/>
          <w:sz w:val="36"/>
          <w:szCs w:val="36"/>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黑体" w:eastAsia="方正黑体简体"/>
          <w:color w:val="000000"/>
          <w:sz w:val="30"/>
          <w:szCs w:val="30"/>
        </w:rPr>
      </w:pPr>
      <w:r>
        <w:rPr>
          <w:rFonts w:hint="eastAsia" w:ascii="方正黑体简体" w:hAnsi="黑体" w:eastAsia="方正黑体简体"/>
          <w:color w:val="000000"/>
          <w:sz w:val="30"/>
          <w:szCs w:val="30"/>
          <w:lang w:eastAsia="zh-CN"/>
        </w:rPr>
        <w:t>第一章</w:t>
      </w:r>
      <w:r>
        <w:rPr>
          <w:rFonts w:hint="eastAsia" w:ascii="方正黑体简体" w:hAnsi="黑体" w:eastAsia="方正黑体简体"/>
          <w:color w:val="000000"/>
          <w:sz w:val="30"/>
          <w:szCs w:val="30"/>
        </w:rPr>
        <w:t xml:space="preserve">  总  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第一条</w:t>
      </w:r>
      <w:r>
        <w:rPr>
          <w:rFonts w:hint="eastAsia" w:ascii="方正仿宋简体" w:hAnsi="方正仿宋简体" w:eastAsia="方正仿宋简体" w:cs="方正仿宋简体"/>
          <w:color w:val="auto"/>
          <w:sz w:val="28"/>
          <w:szCs w:val="28"/>
        </w:rPr>
        <w:t xml:space="preserve">  为规范中油南充燃气有限责任公司（以下简称公司）的入户安全检查管理工作，实现有效监督和保障用户的安全用气，根据《燃气服务导则》等标准规范，参照《西南油气田分公司天然气终端销售公司生产技术管理指导意见》</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四川川港燃气有限责任公司入户安全检查管理办法（修订）</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等相关规定，特制定本管理</w:t>
      </w:r>
      <w:r>
        <w:rPr>
          <w:rFonts w:hint="eastAsia" w:ascii="方正仿宋简体" w:hAnsi="方正仿宋简体" w:eastAsia="方正仿宋简体" w:cs="方正仿宋简体"/>
          <w:color w:val="auto"/>
          <w:sz w:val="28"/>
          <w:szCs w:val="28"/>
          <w:lang w:val="en-US" w:eastAsia="zh-CN"/>
        </w:rPr>
        <w:t>实施细则</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第二条</w:t>
      </w:r>
      <w:r>
        <w:rPr>
          <w:rFonts w:hint="eastAsia" w:ascii="方正仿宋简体" w:hAnsi="方正仿宋简体" w:eastAsia="方正仿宋简体" w:cs="方正仿宋简体"/>
          <w:color w:val="auto"/>
          <w:sz w:val="28"/>
          <w:szCs w:val="28"/>
        </w:rPr>
        <w:t xml:space="preserve">  入户安全检查的定义。本办法涉及的入户安全检查是指：</w:t>
      </w:r>
      <w:r>
        <w:rPr>
          <w:rFonts w:hint="eastAsia" w:ascii="方正仿宋简体" w:hAnsi="方正仿宋简体" w:eastAsia="方正仿宋简体" w:cs="方正仿宋简体"/>
          <w:color w:val="auto"/>
          <w:sz w:val="28"/>
          <w:szCs w:val="28"/>
          <w:lang w:val="en-US" w:eastAsia="zh-CN"/>
        </w:rPr>
        <w:t>中油南充燃气有限责任公司</w:t>
      </w:r>
      <w:r>
        <w:rPr>
          <w:rFonts w:hint="eastAsia" w:ascii="方正仿宋简体" w:hAnsi="方正仿宋简体" w:eastAsia="方正仿宋简体" w:cs="方正仿宋简体"/>
          <w:color w:val="auto"/>
          <w:sz w:val="28"/>
          <w:szCs w:val="28"/>
        </w:rPr>
        <w:t>（以下简称</w:t>
      </w:r>
      <w:r>
        <w:rPr>
          <w:rFonts w:hint="eastAsia" w:ascii="方正仿宋简体" w:hAnsi="方正仿宋简体" w:eastAsia="方正仿宋简体" w:cs="方正仿宋简体"/>
          <w:color w:val="auto"/>
          <w:sz w:val="28"/>
          <w:szCs w:val="28"/>
          <w:lang w:val="en-US" w:eastAsia="zh-CN"/>
        </w:rPr>
        <w:t>公司</w:t>
      </w:r>
      <w:r>
        <w:rPr>
          <w:rFonts w:hint="eastAsia" w:ascii="方正仿宋简体" w:hAnsi="方正仿宋简体" w:eastAsia="方正仿宋简体" w:cs="方正仿宋简体"/>
          <w:color w:val="auto"/>
          <w:sz w:val="28"/>
          <w:szCs w:val="28"/>
        </w:rPr>
        <w:t>）对户内燃气</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管线及</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设施定期进行检查，并对用户进行安全用气的宣传。</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第三条</w:t>
      </w:r>
      <w:r>
        <w:rPr>
          <w:rFonts w:hint="eastAsia" w:ascii="方正仿宋简体" w:hAnsi="方正仿宋简体" w:eastAsia="方正仿宋简体" w:cs="方正仿宋简体"/>
          <w:color w:val="auto"/>
          <w:sz w:val="28"/>
          <w:szCs w:val="28"/>
        </w:rPr>
        <w:t xml:space="preserve">  入户安全检查的范围。管理</w:t>
      </w:r>
      <w:r>
        <w:rPr>
          <w:rFonts w:hint="eastAsia" w:ascii="方正仿宋简体" w:hAnsi="方正仿宋简体" w:eastAsia="方正仿宋简体" w:cs="方正仿宋简体"/>
          <w:color w:val="auto"/>
          <w:sz w:val="28"/>
          <w:szCs w:val="28"/>
          <w:lang w:val="en-US" w:eastAsia="zh-CN"/>
        </w:rPr>
        <w:t>实施细则</w:t>
      </w:r>
      <w:r>
        <w:rPr>
          <w:rFonts w:hint="eastAsia" w:ascii="方正仿宋简体" w:hAnsi="方正仿宋简体" w:eastAsia="方正仿宋简体" w:cs="方正仿宋简体"/>
          <w:color w:val="auto"/>
          <w:sz w:val="28"/>
          <w:szCs w:val="28"/>
        </w:rPr>
        <w:t>的入户安全检查范围涉及居民</w:t>
      </w:r>
      <w:r>
        <w:rPr>
          <w:rFonts w:hint="eastAsia" w:ascii="方正仿宋简体" w:hAnsi="方正仿宋简体" w:eastAsia="方正仿宋简体" w:cs="方正仿宋简体"/>
          <w:color w:val="auto"/>
          <w:sz w:val="28"/>
          <w:szCs w:val="28"/>
          <w:lang w:val="en-US" w:eastAsia="zh-CN"/>
        </w:rPr>
        <w:t>客户</w:t>
      </w:r>
      <w:r>
        <w:rPr>
          <w:rFonts w:hint="eastAsia" w:ascii="方正仿宋简体" w:hAnsi="方正仿宋简体" w:eastAsia="方正仿宋简体" w:cs="方正仿宋简体"/>
          <w:color w:val="auto"/>
          <w:sz w:val="28"/>
          <w:szCs w:val="28"/>
        </w:rPr>
        <w:t>、</w:t>
      </w:r>
      <w:r>
        <w:rPr>
          <w:rFonts w:hint="eastAsia" w:ascii="方正仿宋简体" w:hAnsi="方正仿宋简体" w:eastAsia="方正仿宋简体" w:cs="方正仿宋简体"/>
          <w:color w:val="auto"/>
          <w:sz w:val="28"/>
          <w:szCs w:val="28"/>
          <w:lang w:val="en-US" w:eastAsia="zh-CN"/>
        </w:rPr>
        <w:t>商业及集体客户</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val="en-US" w:eastAsia="zh-CN"/>
        </w:rPr>
        <w:t>（一）</w:t>
      </w:r>
      <w:r>
        <w:rPr>
          <w:rFonts w:hint="eastAsia" w:ascii="方正仿宋简体" w:hAnsi="方正仿宋简体" w:eastAsia="方正仿宋简体" w:cs="方正仿宋简体"/>
          <w:color w:val="auto"/>
          <w:sz w:val="28"/>
          <w:szCs w:val="28"/>
        </w:rPr>
        <w:t>居民</w:t>
      </w:r>
      <w:r>
        <w:rPr>
          <w:rFonts w:hint="eastAsia" w:ascii="方正仿宋简体" w:hAnsi="方正仿宋简体" w:eastAsia="方正仿宋简体" w:cs="方正仿宋简体"/>
          <w:color w:val="auto"/>
          <w:sz w:val="28"/>
          <w:szCs w:val="28"/>
          <w:lang w:val="en-US" w:eastAsia="zh-CN"/>
        </w:rPr>
        <w:t>客户</w:t>
      </w:r>
      <w:r>
        <w:rPr>
          <w:rFonts w:hint="eastAsia" w:ascii="方正仿宋简体" w:hAnsi="方正仿宋简体" w:eastAsia="方正仿宋简体" w:cs="方正仿宋简体"/>
          <w:color w:val="auto"/>
          <w:sz w:val="28"/>
          <w:szCs w:val="28"/>
        </w:rPr>
        <w:t>的入户安全检查范围是指：居民入户立管或水平管穿墙入户之后的户内低压燃气管道及附属设备设施。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二</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商业及集体客户</w:t>
      </w:r>
      <w:r>
        <w:rPr>
          <w:rFonts w:hint="eastAsia" w:ascii="方正仿宋简体" w:hAnsi="方正仿宋简体" w:eastAsia="方正仿宋简体" w:cs="方正仿宋简体"/>
          <w:color w:val="auto"/>
          <w:sz w:val="28"/>
          <w:szCs w:val="28"/>
        </w:rPr>
        <w:t>的入户安全检查范围是指：</w:t>
      </w:r>
      <w:r>
        <w:rPr>
          <w:rFonts w:hint="eastAsia" w:ascii="方正仿宋简体" w:hAnsi="方正仿宋简体" w:eastAsia="方正仿宋简体" w:cs="方正仿宋简体"/>
          <w:color w:val="auto"/>
          <w:sz w:val="28"/>
          <w:szCs w:val="28"/>
          <w:lang w:val="en-US" w:eastAsia="zh-CN"/>
        </w:rPr>
        <w:t>商业及集体客户</w:t>
      </w:r>
      <w:r>
        <w:rPr>
          <w:rFonts w:hint="eastAsia" w:ascii="方正仿宋简体" w:hAnsi="方正仿宋简体" w:eastAsia="方正仿宋简体" w:cs="方正仿宋简体"/>
          <w:color w:val="auto"/>
          <w:sz w:val="28"/>
          <w:szCs w:val="28"/>
        </w:rPr>
        <w:t>用户交接计量表（含表及调压计量撬、柜、箱）后的户内燃气管道及其附属设施。</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第四条</w:t>
      </w:r>
      <w:r>
        <w:rPr>
          <w:rFonts w:hint="eastAsia" w:ascii="方正仿宋简体" w:hAnsi="方正仿宋简体" w:eastAsia="方正仿宋简体" w:cs="方正仿宋简体"/>
          <w:color w:val="auto"/>
          <w:sz w:val="28"/>
          <w:szCs w:val="28"/>
        </w:rPr>
        <w:t xml:space="preserve">  入户安全检查是由燃气经营单位为用户提供的免费服务。</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第五条</w:t>
      </w:r>
      <w:r>
        <w:rPr>
          <w:rFonts w:hint="eastAsia" w:ascii="方正仿宋简体" w:hAnsi="方正仿宋简体" w:eastAsia="方正仿宋简体" w:cs="方正仿宋简体"/>
          <w:color w:val="auto"/>
          <w:sz w:val="28"/>
          <w:szCs w:val="28"/>
        </w:rPr>
        <w:t xml:space="preserve">  本办法</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适用于公司及恩阳分公司。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eastAsia="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黑体" w:eastAsia="方正黑体简体"/>
          <w:color w:val="auto"/>
          <w:sz w:val="30"/>
          <w:szCs w:val="30"/>
        </w:rPr>
      </w:pPr>
      <w:r>
        <w:rPr>
          <w:rFonts w:hint="eastAsia" w:ascii="方正黑体简体" w:hAnsi="黑体" w:eastAsia="方正黑体简体"/>
          <w:color w:val="auto"/>
          <w:sz w:val="30"/>
          <w:szCs w:val="30"/>
        </w:rPr>
        <w:t>第二章  组织机构及职责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highlight w:val="none"/>
        </w:rPr>
        <w:t>第六条</w:t>
      </w:r>
      <w:r>
        <w:rPr>
          <w:rFonts w:hint="eastAsia" w:ascii="方正仿宋简体" w:hAnsi="方正仿宋简体" w:eastAsia="方正仿宋简体" w:cs="方正仿宋简体"/>
          <w:color w:val="auto"/>
          <w:sz w:val="28"/>
          <w:szCs w:val="28"/>
          <w:highlight w:val="none"/>
        </w:rPr>
        <w:t xml:space="preserve">  公司为入户安全检查管理工作的责任主体，其主要职责为</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一</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应明确入户安全检查的业务主管部门（或单位）和职责，并配备足够的入户安全检查管理人员。</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二</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应组织编制年度安检工作计划和月度安检工作实施计划，并按计划组织实施入户安全检查工作。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三</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应结合自身实际情况梳理安检工作流程、问题分析归类及处置流程。</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四</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实行入户安全检查业务外包时，应与承包商签订正式的承包合同，合同内容应包含但不仅限于：业务内容、双方责任（含</w:t>
      </w:r>
      <w:r>
        <w:rPr>
          <w:rFonts w:hint="eastAsia" w:ascii="方正仿宋简体" w:hAnsi="方正仿宋简体" w:eastAsia="方正仿宋简体" w:cs="方正仿宋简体"/>
          <w:color w:val="auto"/>
          <w:sz w:val="28"/>
          <w:szCs w:val="28"/>
          <w:lang w:eastAsia="zh-CN"/>
        </w:rPr>
        <w:t>QHSE</w:t>
      </w:r>
      <w:r>
        <w:rPr>
          <w:rFonts w:hint="eastAsia" w:ascii="方正仿宋简体" w:hAnsi="方正仿宋简体" w:eastAsia="方正仿宋简体" w:cs="方正仿宋简体"/>
          <w:color w:val="auto"/>
          <w:sz w:val="28"/>
          <w:szCs w:val="28"/>
        </w:rPr>
        <w:t>职责）、考核和惩处措施、违约法律责任、费用结算等。对合同执行情况应有监督制度和措施，防止弄虚作假或执行不实的情况。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五</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每年至少应开展一次安全用气知识宣传，可采取电视台、小区摆摊设点、政府安全宣传、安全月活动、小区安全宣传告知牌、安全宣传手册等多种方式。</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六</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加强和地方政府职能部门或单位的沟通协调工作，每年向其汇报安检工作情况至少一次，取得地方政府职能部门对入户安检工作的支持和协助。</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七</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负责入户安检人员上岗培训和安全常识培训，安检人员必须经培训并考核合格后，方可上岗。</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八</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负责入户安全检查业务外包单位的市场准入和考核，以及合同规范和法律咨询。</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九</w:t>
      </w: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rPr>
        <w:t>上级单位安排的其他工作事项。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第七条</w:t>
      </w:r>
      <w:r>
        <w:rPr>
          <w:rFonts w:hint="eastAsia" w:ascii="方正仿宋简体" w:hAnsi="方正仿宋简体" w:eastAsia="方正仿宋简体" w:cs="方正仿宋简体"/>
          <w:color w:val="auto"/>
          <w:sz w:val="28"/>
          <w:szCs w:val="28"/>
        </w:rPr>
        <w:t xml:space="preserve">  公司入户安全检查归口管理部门为</w:t>
      </w:r>
      <w:r>
        <w:rPr>
          <w:rFonts w:hint="eastAsia" w:ascii="方正仿宋简体" w:hAnsi="方正仿宋简体" w:eastAsia="方正仿宋简体" w:cs="方正仿宋简体"/>
          <w:color w:val="auto"/>
          <w:sz w:val="28"/>
          <w:szCs w:val="28"/>
          <w:lang w:val="en-US" w:eastAsia="zh-CN"/>
        </w:rPr>
        <w:t>市场营销部</w:t>
      </w:r>
      <w:r>
        <w:rPr>
          <w:rFonts w:hint="eastAsia" w:ascii="方正仿宋简体" w:hAnsi="方正仿宋简体" w:eastAsia="方正仿宋简体" w:cs="方正仿宋简体"/>
          <w:color w:val="auto"/>
          <w:sz w:val="28"/>
          <w:szCs w:val="28"/>
        </w:rPr>
        <w:t>，其它相关部门按照业务分工负责其分管范围内的入户安全检查管理工作。各部门、单位相关职责如下：</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rPr>
        <w:t>1.</w:t>
      </w:r>
      <w:r>
        <w:rPr>
          <w:rFonts w:hint="eastAsia" w:ascii="方正仿宋简体" w:hAnsi="方正仿宋简体" w:eastAsia="方正仿宋简体" w:cs="方正仿宋简体"/>
          <w:color w:val="auto"/>
          <w:sz w:val="28"/>
          <w:szCs w:val="28"/>
          <w:lang w:val="en-US" w:eastAsia="zh-CN"/>
        </w:rPr>
        <w:t>质量安全环保</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（1）负责公司入户安全检查工作的监督检查,并负责督促指导入户安全检查</w:t>
      </w:r>
      <w:r>
        <w:rPr>
          <w:rFonts w:hint="eastAsia" w:ascii="方正仿宋简体" w:hAnsi="方正仿宋简体" w:eastAsia="方正仿宋简体" w:cs="方正仿宋简体"/>
          <w:color w:val="auto"/>
          <w:sz w:val="28"/>
          <w:szCs w:val="28"/>
          <w:lang w:eastAsia="zh-CN"/>
        </w:rPr>
        <w:t>开展</w:t>
      </w:r>
      <w:r>
        <w:rPr>
          <w:rFonts w:hint="eastAsia" w:ascii="方正仿宋简体" w:hAnsi="方正仿宋简体" w:eastAsia="方正仿宋简体" w:cs="方正仿宋简体"/>
          <w:color w:val="auto"/>
          <w:sz w:val="28"/>
          <w:szCs w:val="28"/>
        </w:rPr>
        <w:t>相关工作。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rPr>
        <w:t>（2）组</w:t>
      </w:r>
      <w:r>
        <w:rPr>
          <w:rFonts w:hint="eastAsia" w:ascii="方正仿宋简体" w:hAnsi="方正仿宋简体" w:eastAsia="方正仿宋简体" w:cs="方正仿宋简体"/>
          <w:color w:val="auto"/>
          <w:sz w:val="28"/>
          <w:szCs w:val="28"/>
          <w:highlight w:val="none"/>
        </w:rPr>
        <w:t>织编制、修订及宣贯公司入户安全检查实施细则。</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w:t>
      </w:r>
      <w:r>
        <w:rPr>
          <w:rFonts w:hint="eastAsia" w:ascii="方正仿宋简体" w:hAnsi="方正仿宋简体" w:eastAsia="方正仿宋简体" w:cs="方正仿宋简体"/>
          <w:color w:val="auto"/>
          <w:sz w:val="28"/>
          <w:szCs w:val="28"/>
          <w:highlight w:val="none"/>
          <w:lang w:val="en-US" w:eastAsia="zh-CN"/>
        </w:rPr>
        <w:t>3</w:t>
      </w:r>
      <w:r>
        <w:rPr>
          <w:rFonts w:hint="eastAsia" w:ascii="方正仿宋简体" w:hAnsi="方正仿宋简体" w:eastAsia="方正仿宋简体" w:cs="方正仿宋简体"/>
          <w:color w:val="auto"/>
          <w:sz w:val="28"/>
          <w:szCs w:val="28"/>
          <w:highlight w:val="none"/>
        </w:rPr>
        <w:t>）组织事故事件的调查分析及资料上报。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w:t>
      </w:r>
      <w:r>
        <w:rPr>
          <w:rFonts w:hint="eastAsia" w:ascii="方正仿宋简体" w:hAnsi="方正仿宋简体" w:eastAsia="方正仿宋简体" w:cs="方正仿宋简体"/>
          <w:color w:val="auto"/>
          <w:sz w:val="28"/>
          <w:szCs w:val="28"/>
          <w:lang w:val="en-US" w:eastAsia="zh-CN"/>
        </w:rPr>
        <w:t>工程技术</w:t>
      </w:r>
      <w:r>
        <w:rPr>
          <w:rFonts w:hint="eastAsia" w:ascii="方正仿宋简体" w:hAnsi="方正仿宋简体" w:eastAsia="方正仿宋简体" w:cs="方正仿宋简体"/>
          <w:color w:val="auto"/>
          <w:sz w:val="28"/>
          <w:szCs w:val="28"/>
        </w:rPr>
        <w:t>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（1）负责公司户内安装工程设计、施工和验收工作，并负责督促指导各单位严格按设计施工，规范户内安装。</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（2）负责组织公司入户安全检查的相关技术培训工作,并负责督促指导各单位开展入户安全检查的相关技术培训工作。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rPr>
        <w:t>（3）安排需进行设计的用户安全隐患整改的设计及审批</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w:t>
      </w:r>
      <w:r>
        <w:rPr>
          <w:rFonts w:hint="eastAsia" w:ascii="方正仿宋简体" w:hAnsi="方正仿宋简体" w:eastAsia="方正仿宋简体" w:cs="方正仿宋简体"/>
          <w:color w:val="auto"/>
          <w:sz w:val="28"/>
          <w:szCs w:val="28"/>
          <w:lang w:val="en-US" w:eastAsia="zh-CN"/>
        </w:rPr>
        <w:t>市场营销</w:t>
      </w:r>
      <w:r>
        <w:rPr>
          <w:rFonts w:hint="eastAsia" w:ascii="方正仿宋简体" w:hAnsi="方正仿宋简体" w:eastAsia="方正仿宋简体" w:cs="方正仿宋简体"/>
          <w:color w:val="auto"/>
          <w:sz w:val="28"/>
          <w:szCs w:val="28"/>
        </w:rPr>
        <w:t>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（1）负责入户安全检查业务的合同规范和法律咨询。</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（2）负责入户安全检查业务外包单位的市场准入和考核。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3）负责入户安全检查业务</w:t>
      </w:r>
      <w:r>
        <w:rPr>
          <w:rFonts w:hint="eastAsia" w:ascii="方正仿宋简体" w:hAnsi="方正仿宋简体" w:eastAsia="方正仿宋简体" w:cs="方正仿宋简体"/>
          <w:color w:val="auto"/>
          <w:sz w:val="28"/>
          <w:szCs w:val="28"/>
        </w:rPr>
        <w:t>协调各单位开展入户安全检查相关工作。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lang w:val="en-US" w:eastAsia="zh-CN"/>
        </w:rPr>
      </w:pPr>
      <w:r>
        <w:rPr>
          <w:rFonts w:hint="eastAsia" w:ascii="方正仿宋简体" w:hAnsi="方正仿宋简体" w:eastAsia="方正仿宋简体" w:cs="方正仿宋简体"/>
          <w:color w:val="auto"/>
          <w:sz w:val="28"/>
          <w:szCs w:val="28"/>
          <w:lang w:eastAsia="zh-CN"/>
        </w:rPr>
        <w:t>（</w:t>
      </w:r>
      <w:r>
        <w:rPr>
          <w:rFonts w:hint="eastAsia" w:ascii="方正仿宋简体" w:hAnsi="方正仿宋简体" w:eastAsia="方正仿宋简体" w:cs="方正仿宋简体"/>
          <w:color w:val="auto"/>
          <w:sz w:val="28"/>
          <w:szCs w:val="28"/>
          <w:lang w:val="en-US" w:eastAsia="zh-CN"/>
        </w:rPr>
        <w:t>4）负责督促客户中心入户安全检查隐患问题闭环管理。确认需纳入公司台帐的重大隐患。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highlight w:val="none"/>
        </w:rPr>
        <w:t>（5）组织公司相关部门指导、督</w:t>
      </w:r>
      <w:r>
        <w:rPr>
          <w:rFonts w:hint="eastAsia" w:ascii="方正仿宋简体" w:hAnsi="方正仿宋简体" w:eastAsia="方正仿宋简体" w:cs="方正仿宋简体"/>
          <w:color w:val="auto"/>
          <w:sz w:val="28"/>
          <w:szCs w:val="28"/>
        </w:rPr>
        <w:t>促和检查入户安全检查的执行情况。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w:t>
      </w:r>
      <w:r>
        <w:rPr>
          <w:rFonts w:hint="eastAsia" w:ascii="方正仿宋简体" w:hAnsi="方正仿宋简体" w:eastAsia="方正仿宋简体" w:cs="方正仿宋简体"/>
          <w:color w:val="auto"/>
          <w:sz w:val="28"/>
          <w:szCs w:val="28"/>
          <w:highlight w:val="none"/>
          <w:lang w:val="en-US" w:eastAsia="zh-CN"/>
        </w:rPr>
        <w:t>6</w:t>
      </w:r>
      <w:r>
        <w:rPr>
          <w:rFonts w:hint="eastAsia" w:ascii="方正仿宋简体" w:hAnsi="方正仿宋简体" w:eastAsia="方正仿宋简体" w:cs="方正仿宋简体"/>
          <w:color w:val="auto"/>
          <w:sz w:val="28"/>
          <w:szCs w:val="28"/>
          <w:highlight w:val="none"/>
        </w:rPr>
        <w:t>）组织对入户安全检查工作进行年度考核。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4.燃气客户服务中心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（1）负责贯彻执行上级和公司有关入户安全检查管理的方针、政策及相关的管理规定。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rPr>
        <w:t>（2）</w:t>
      </w:r>
      <w:r>
        <w:rPr>
          <w:rFonts w:hint="eastAsia" w:ascii="方正仿宋简体" w:hAnsi="方正仿宋简体" w:eastAsia="方正仿宋简体" w:cs="方正仿宋简体"/>
          <w:color w:val="auto"/>
          <w:sz w:val="28"/>
          <w:szCs w:val="28"/>
          <w:highlight w:val="none"/>
        </w:rPr>
        <w:t>负责本部入户安全检查工作的计划安排</w:t>
      </w:r>
      <w:r>
        <w:rPr>
          <w:rFonts w:hint="eastAsia" w:ascii="方正仿宋简体" w:hAnsi="方正仿宋简体" w:eastAsia="方正仿宋简体" w:cs="方正仿宋简体"/>
          <w:color w:val="auto"/>
          <w:sz w:val="28"/>
          <w:szCs w:val="28"/>
          <w:highlight w:val="none"/>
          <w:lang w:eastAsia="zh-CN"/>
        </w:rPr>
        <w:t>及实施情况</w:t>
      </w:r>
      <w:r>
        <w:rPr>
          <w:rFonts w:hint="eastAsia" w:ascii="方正仿宋简体" w:hAnsi="方正仿宋简体" w:eastAsia="方正仿宋简体" w:cs="方正仿宋简体"/>
          <w:color w:val="auto"/>
          <w:sz w:val="28"/>
          <w:szCs w:val="28"/>
          <w:highlight w:val="none"/>
        </w:rPr>
        <w:t>并报</w:t>
      </w:r>
      <w:r>
        <w:rPr>
          <w:rFonts w:hint="eastAsia" w:ascii="方正仿宋简体" w:hAnsi="方正仿宋简体" w:eastAsia="方正仿宋简体" w:cs="方正仿宋简体"/>
          <w:color w:val="auto"/>
          <w:sz w:val="28"/>
          <w:szCs w:val="28"/>
          <w:highlight w:val="none"/>
          <w:lang w:val="en-US" w:eastAsia="zh-CN"/>
        </w:rPr>
        <w:t>质量安全环保和市场营销部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（3）负责本部入户安检情况报表的汇总统计和上报。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（4）负责组织本部入户安全检查的具体执行和日常管理。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（5）负责需停气整改的远传用户实施停气。</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（6）负责入户安检检查发现的问题、隐患的台账建立、跟踪及闭环管理。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eastAsia="zh-CN"/>
        </w:rPr>
        <w:t>（</w:t>
      </w:r>
      <w:r>
        <w:rPr>
          <w:rFonts w:hint="eastAsia" w:ascii="方正仿宋简体" w:hAnsi="方正仿宋简体" w:eastAsia="方正仿宋简体" w:cs="方正仿宋简体"/>
          <w:color w:val="auto"/>
          <w:sz w:val="28"/>
          <w:szCs w:val="28"/>
          <w:highlight w:val="none"/>
          <w:lang w:val="en-US" w:eastAsia="zh-CN"/>
        </w:rPr>
        <w:t>7）负责将入户安检检查发现的用户整改的问题报物业、社区备案。</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rPr>
        <w:t>5、</w:t>
      </w:r>
      <w:r>
        <w:rPr>
          <w:rFonts w:hint="eastAsia" w:ascii="方正仿宋简体" w:hAnsi="方正仿宋简体" w:eastAsia="方正仿宋简体" w:cs="方正仿宋简体"/>
          <w:color w:val="auto"/>
          <w:sz w:val="28"/>
          <w:szCs w:val="28"/>
          <w:highlight w:val="none"/>
          <w:lang w:val="en-US" w:eastAsia="zh-CN"/>
        </w:rPr>
        <w:t>生产保障中心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（1）负责业务范围内线下的维修整改工作。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green"/>
        </w:rPr>
      </w:pPr>
      <w:r>
        <w:rPr>
          <w:rFonts w:hint="eastAsia" w:ascii="方正仿宋简体" w:hAnsi="方正仿宋简体" w:eastAsia="方正仿宋简体" w:cs="方正仿宋简体"/>
          <w:color w:val="auto"/>
          <w:sz w:val="28"/>
          <w:szCs w:val="28"/>
          <w:highlight w:val="none"/>
        </w:rPr>
        <w:t>（2）负责根据停气程序对需现场停气的燃气用户进行停气处理。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6、恩阳分公司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（1）负责贯彻执行上级和公司有关入户安全检查管理的方针、政策及相关的管理规定。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（2）负责恩阳分公司入户安全检查工作的计划安排并报</w:t>
      </w:r>
      <w:r>
        <w:rPr>
          <w:rFonts w:hint="eastAsia" w:ascii="方正仿宋简体" w:hAnsi="方正仿宋简体" w:eastAsia="方正仿宋简体" w:cs="方正仿宋简体"/>
          <w:color w:val="auto"/>
          <w:sz w:val="28"/>
          <w:szCs w:val="28"/>
          <w:lang w:val="en-US" w:eastAsia="zh-CN"/>
        </w:rPr>
        <w:t>质量安全环保部</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（3）负责恩阳分公司入户安检情况报表的汇总统计和上报。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（4）负责组织恩阳分公司入户安全检查的具体执行和日常管理。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（5）负责入户安检检查发现的问题、隐患的处理和台账建立及闭环跟踪管理。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第八条</w:t>
      </w:r>
      <w:r>
        <w:rPr>
          <w:rFonts w:hint="eastAsia" w:ascii="方正仿宋简体" w:hAnsi="方正仿宋简体" w:eastAsia="方正仿宋简体" w:cs="方正仿宋简体"/>
          <w:color w:val="auto"/>
          <w:sz w:val="28"/>
          <w:szCs w:val="28"/>
        </w:rPr>
        <w:t xml:space="preserve">  入户安全检查人员职责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1.负责责任区内用户的入户安全检查。检查确认户内燃气管线及设施（用户燃气管道、阀门、计量器具等）是否完好，用气设备安装、使用是否符合相关规定，有无违章用气行为。</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2.负责责任区内用户的安全用气宣传。发放安全用气宣传资料、提醒有关安全注意事项。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3.负责户内燃气设施安全隐患的报告、整改督促</w:t>
      </w:r>
      <w:r>
        <w:rPr>
          <w:rFonts w:hint="eastAsia" w:ascii="方正仿宋简体" w:hAnsi="方正仿宋简体" w:eastAsia="方正仿宋简体" w:cs="方正仿宋简体"/>
          <w:color w:val="auto"/>
          <w:sz w:val="28"/>
          <w:szCs w:val="28"/>
          <w:highlight w:val="none"/>
        </w:rPr>
        <w:t>及现场</w:t>
      </w:r>
      <w:r>
        <w:rPr>
          <w:rFonts w:hint="eastAsia" w:ascii="方正仿宋简体" w:hAnsi="方正仿宋简体" w:eastAsia="方正仿宋简体" w:cs="方正仿宋简体"/>
          <w:color w:val="auto"/>
          <w:sz w:val="28"/>
          <w:szCs w:val="28"/>
        </w:rPr>
        <w:t>回访。</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4.负责入户安全检查资料（含取证照片、摄像）的填写、发放、整理、统计和归档。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5.公司安排的其他工作事项。</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仿宋简体" w:hAnsi="宋体" w:eastAsia="方正仿宋简体"/>
          <w:b/>
          <w:color w:val="auto"/>
          <w:sz w:val="30"/>
          <w:szCs w:val="30"/>
        </w:rPr>
      </w:pPr>
      <w:r>
        <w:rPr>
          <w:rFonts w:hint="eastAsia" w:ascii="方正黑体简体" w:hAnsi="黑体" w:eastAsia="方正黑体简体"/>
          <w:color w:val="auto"/>
          <w:sz w:val="30"/>
          <w:szCs w:val="30"/>
        </w:rPr>
        <w:t>第三章</w:t>
      </w:r>
      <w:r>
        <w:rPr>
          <w:rFonts w:hint="eastAsia" w:ascii="方正仿宋简体" w:hAnsi="宋体" w:eastAsia="方正仿宋简体"/>
          <w:b/>
          <w:color w:val="auto"/>
          <w:sz w:val="30"/>
          <w:szCs w:val="30"/>
        </w:rPr>
        <w:t xml:space="preserve">  </w:t>
      </w:r>
      <w:r>
        <w:rPr>
          <w:rFonts w:hint="eastAsia" w:ascii="方正黑体简体" w:hAnsi="黑体" w:eastAsia="方正黑体简体"/>
          <w:color w:val="auto"/>
          <w:sz w:val="30"/>
          <w:szCs w:val="30"/>
        </w:rPr>
        <w:t>一般管理规定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eastAsia="方正仿宋简体"/>
          <w:color w:val="auto"/>
          <w:sz w:val="28"/>
          <w:szCs w:val="28"/>
        </w:rPr>
      </w:pPr>
      <w:r>
        <w:rPr>
          <w:rFonts w:hint="eastAsia" w:ascii="方正楷体简体" w:eastAsia="方正楷体简体"/>
          <w:b/>
          <w:bCs/>
          <w:color w:val="auto"/>
          <w:sz w:val="28"/>
          <w:szCs w:val="28"/>
        </w:rPr>
        <w:t>第九条</w:t>
      </w:r>
      <w:r>
        <w:rPr>
          <w:rFonts w:hint="eastAsia" w:ascii="方正楷体简体" w:eastAsia="方正楷体简体"/>
          <w:color w:val="auto"/>
          <w:sz w:val="28"/>
          <w:szCs w:val="28"/>
        </w:rPr>
        <w:t xml:space="preserve"> </w:t>
      </w:r>
      <w:r>
        <w:rPr>
          <w:rFonts w:hint="eastAsia" w:ascii="方正仿宋简体" w:eastAsia="方正仿宋简体"/>
          <w:color w:val="auto"/>
          <w:sz w:val="28"/>
          <w:szCs w:val="28"/>
        </w:rPr>
        <w:t xml:space="preserve"> 入入户安全检查应符合以下频次要求：对居民</w:t>
      </w:r>
      <w:r>
        <w:rPr>
          <w:rFonts w:hint="eastAsia" w:ascii="方正仿宋简体" w:eastAsia="方正仿宋简体"/>
          <w:color w:val="auto"/>
          <w:sz w:val="28"/>
          <w:szCs w:val="28"/>
          <w:lang w:eastAsia="zh-CN"/>
        </w:rPr>
        <w:t>客户</w:t>
      </w:r>
      <w:r>
        <w:rPr>
          <w:rFonts w:hint="eastAsia" w:ascii="方正仿宋简体" w:eastAsia="方正仿宋简体"/>
          <w:color w:val="auto"/>
          <w:sz w:val="28"/>
          <w:szCs w:val="28"/>
        </w:rPr>
        <w:t>每2年入户安全检查不少于1次；对商业及集体</w:t>
      </w:r>
      <w:r>
        <w:rPr>
          <w:rFonts w:hint="eastAsia" w:ascii="方正仿宋简体" w:eastAsia="方正仿宋简体"/>
          <w:color w:val="auto"/>
          <w:sz w:val="28"/>
          <w:szCs w:val="28"/>
          <w:lang w:eastAsia="zh-CN"/>
        </w:rPr>
        <w:t>客户</w:t>
      </w:r>
      <w:r>
        <w:rPr>
          <w:rFonts w:hint="eastAsia" w:ascii="方正仿宋简体" w:eastAsia="方正仿宋简体"/>
          <w:color w:val="auto"/>
          <w:sz w:val="28"/>
          <w:szCs w:val="28"/>
        </w:rPr>
        <w:t>每年检查不少于1次；若所在地政府部门有特别频次要求时应执行当地政府规定；若有特别约定的</w:t>
      </w:r>
      <w:r>
        <w:rPr>
          <w:rFonts w:hint="eastAsia" w:ascii="方正仿宋简体" w:eastAsia="方正仿宋简体"/>
          <w:color w:val="auto"/>
          <w:sz w:val="28"/>
          <w:szCs w:val="28"/>
          <w:lang w:eastAsia="zh-CN"/>
        </w:rPr>
        <w:t>客户</w:t>
      </w:r>
      <w:r>
        <w:rPr>
          <w:rFonts w:hint="eastAsia" w:ascii="方正仿宋简体" w:eastAsia="方正仿宋简体"/>
          <w:color w:val="auto"/>
          <w:sz w:val="28"/>
          <w:szCs w:val="28"/>
        </w:rPr>
        <w:t>，按签订的协议执行。</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楷体简体" w:eastAsia="方正楷体简体"/>
          <w:b/>
          <w:bCs/>
          <w:color w:val="auto"/>
          <w:sz w:val="28"/>
          <w:szCs w:val="28"/>
        </w:rPr>
        <w:t>第十条</w:t>
      </w:r>
      <w:r>
        <w:rPr>
          <w:rFonts w:hint="eastAsia" w:ascii="方正仿宋简体" w:eastAsia="方正仿宋简体"/>
          <w:color w:val="auto"/>
          <w:sz w:val="28"/>
          <w:szCs w:val="28"/>
        </w:rPr>
        <w:t xml:space="preserve">  公司的考核指标为：非居民用户年度安全检查率100%，居民用户年度安全检查率不低于50%（2年1次），2年内实现安检率达100%,安全检查率=当年度已安检户数/上一年度末在用通气用户数×100%(连</w:t>
      </w:r>
      <w:r>
        <w:rPr>
          <w:rFonts w:hint="eastAsia" w:ascii="方正仿宋简体" w:hAnsi="方正仿宋简体" w:eastAsia="方正仿宋简体" w:cs="方正仿宋简体"/>
          <w:color w:val="auto"/>
          <w:sz w:val="28"/>
          <w:szCs w:val="28"/>
        </w:rPr>
        <w:t>续6个月未使用燃气的通气用户，不纳入在用通气用户的统计)。两年内重复进行安全检查的居民用户不纳入“安全检查率”指标统计，确保燃气用户安全检查的全覆盖。</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第十一条</w:t>
      </w:r>
      <w:r>
        <w:rPr>
          <w:rFonts w:hint="eastAsia" w:ascii="方正仿宋简体" w:hAnsi="方正仿宋简体" w:eastAsia="方正仿宋简体" w:cs="方正仿宋简体"/>
          <w:color w:val="auto"/>
          <w:sz w:val="28"/>
          <w:szCs w:val="28"/>
        </w:rPr>
        <w:t xml:space="preserve">  燃气客户服务中心应提前组织编制下一年度的安检工作计划和下一月度实施计划，当年度的安检计划应在上一年度12月10日前完成，不得跨年；月度实施计划应实现有序作业管理。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第十二条</w:t>
      </w:r>
      <w:r>
        <w:rPr>
          <w:rFonts w:hint="eastAsia" w:ascii="方正仿宋简体" w:hAnsi="方正仿宋简体" w:eastAsia="方正仿宋简体" w:cs="方正仿宋简体"/>
          <w:color w:val="auto"/>
          <w:sz w:val="28"/>
          <w:szCs w:val="28"/>
        </w:rPr>
        <w:t xml:space="preserve">  燃气客户服务中心、恩阳分公司应落实专人负责填报入户安检统计周报，每周上报给公司</w:t>
      </w:r>
      <w:r>
        <w:rPr>
          <w:rFonts w:hint="eastAsia" w:ascii="方正仿宋简体" w:hAnsi="方正仿宋简体" w:eastAsia="方正仿宋简体" w:cs="方正仿宋简体"/>
          <w:color w:val="auto"/>
          <w:sz w:val="28"/>
          <w:szCs w:val="28"/>
          <w:lang w:val="en-US" w:eastAsia="zh-CN"/>
        </w:rPr>
        <w:t>质量安全环保部</w:t>
      </w:r>
      <w:r>
        <w:rPr>
          <w:rFonts w:hint="eastAsia" w:ascii="方正仿宋简体" w:hAnsi="方正仿宋简体" w:eastAsia="方正仿宋简体" w:cs="方正仿宋简体"/>
          <w:color w:val="auto"/>
          <w:sz w:val="28"/>
          <w:szCs w:val="28"/>
        </w:rPr>
        <w:t>、</w:t>
      </w:r>
      <w:r>
        <w:rPr>
          <w:rFonts w:hint="eastAsia" w:ascii="方正仿宋简体" w:hAnsi="方正仿宋简体" w:eastAsia="方正仿宋简体" w:cs="方正仿宋简体"/>
          <w:color w:val="auto"/>
          <w:sz w:val="28"/>
          <w:szCs w:val="28"/>
          <w:lang w:val="en-US" w:eastAsia="zh-CN"/>
        </w:rPr>
        <w:t>市场营销</w:t>
      </w:r>
      <w:r>
        <w:rPr>
          <w:rFonts w:hint="eastAsia" w:ascii="方正仿宋简体" w:hAnsi="方正仿宋简体" w:eastAsia="方正仿宋简体" w:cs="方正仿宋简体"/>
          <w:color w:val="auto"/>
          <w:sz w:val="28"/>
          <w:szCs w:val="28"/>
        </w:rPr>
        <w:t>部，每周五前由</w:t>
      </w:r>
      <w:r>
        <w:rPr>
          <w:rFonts w:hint="eastAsia" w:ascii="方正仿宋简体" w:hAnsi="方正仿宋简体" w:eastAsia="方正仿宋简体" w:cs="方正仿宋简体"/>
          <w:color w:val="auto"/>
          <w:sz w:val="28"/>
          <w:szCs w:val="28"/>
          <w:lang w:val="en-US" w:eastAsia="zh-CN"/>
        </w:rPr>
        <w:t>质量安全环保部</w:t>
      </w:r>
      <w:r>
        <w:rPr>
          <w:rFonts w:hint="eastAsia" w:ascii="方正仿宋简体" w:hAnsi="方正仿宋简体" w:eastAsia="方正仿宋简体" w:cs="方正仿宋简体"/>
          <w:color w:val="auto"/>
          <w:sz w:val="28"/>
          <w:szCs w:val="28"/>
        </w:rPr>
        <w:t>、</w:t>
      </w:r>
      <w:r>
        <w:rPr>
          <w:rFonts w:hint="eastAsia" w:ascii="方正仿宋简体" w:hAnsi="方正仿宋简体" w:eastAsia="方正仿宋简体" w:cs="方正仿宋简体"/>
          <w:color w:val="auto"/>
          <w:sz w:val="28"/>
          <w:szCs w:val="28"/>
          <w:lang w:val="en-US" w:eastAsia="zh-CN"/>
        </w:rPr>
        <w:t>市场营销</w:t>
      </w:r>
      <w:r>
        <w:rPr>
          <w:rFonts w:hint="eastAsia" w:ascii="方正仿宋简体" w:hAnsi="方正仿宋简体" w:eastAsia="方正仿宋简体" w:cs="方正仿宋简体"/>
          <w:color w:val="auto"/>
          <w:sz w:val="28"/>
          <w:szCs w:val="28"/>
        </w:rPr>
        <w:t>部分别向川港公司质安部、营销部汇报（见附件1）。当上级单位主管业务部门调整时，再随之进行调整。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第十三条</w:t>
      </w:r>
      <w:r>
        <w:rPr>
          <w:rFonts w:hint="eastAsia" w:ascii="方正仿宋简体" w:hAnsi="方正仿宋简体" w:eastAsia="方正仿宋简体" w:cs="方正仿宋简体"/>
          <w:color w:val="auto"/>
          <w:sz w:val="28"/>
          <w:szCs w:val="28"/>
        </w:rPr>
        <w:t xml:space="preserve">  燃气客户服务中心、恩阳分公司应将用户区域进行分片划分，并安排专人负责以下工作：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1.对入户安检开展质量检查工作。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2.对入户安检开展考核工作。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3.对隐患用户闭环情况开展抽检工作。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4.对入户安检资料完成情况开展抽检与考核工作。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rPr>
        <w:t>第十四条</w:t>
      </w:r>
      <w:r>
        <w:rPr>
          <w:rFonts w:hint="eastAsia" w:ascii="方正仿宋简体" w:hAnsi="方正仿宋简体" w:eastAsia="方正仿宋简体" w:cs="方正仿宋简体"/>
          <w:color w:val="auto"/>
          <w:sz w:val="28"/>
          <w:szCs w:val="28"/>
        </w:rPr>
        <w:t xml:space="preserve">  燃气客户服务中心以抽检为手段对安检工作开展质量进行监督，每月对上月实施安全检查的用户进行抽检，抽检可采用电话回访与现场抽检的方式进行</w:t>
      </w:r>
      <w:r>
        <w:rPr>
          <w:rFonts w:hint="eastAsia" w:ascii="方正仿宋简体" w:hAnsi="方正仿宋简体" w:eastAsia="方正仿宋简体" w:cs="方正仿宋简体"/>
          <w:color w:val="auto"/>
          <w:sz w:val="28"/>
          <w:szCs w:val="28"/>
          <w:highlight w:val="none"/>
        </w:rPr>
        <w:t>，有安全隐患的用户要求100%现场回访，抽检比例要求如下：居民用户抽检率不低于3%，其中现场抽检不低于1%；商业集体用户抽检率不低于10%，其中现场抽检比例不低于3%；工业用户抽检率不低于30%，其中现场抽检比例不低于10%。燃气稽查对客户中心入户安检及抽检工作开展情况进行抽查（相关要求另行规定）。</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第十五条</w:t>
      </w:r>
      <w:r>
        <w:rPr>
          <w:rFonts w:hint="eastAsia" w:ascii="方正仿宋简体" w:hAnsi="方正仿宋简体" w:eastAsia="方正仿宋简体" w:cs="方正仿宋简体"/>
          <w:color w:val="auto"/>
          <w:sz w:val="28"/>
          <w:szCs w:val="28"/>
        </w:rPr>
        <w:t xml:space="preserve">  到访不遇和拒绝检查的后续处理。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若到访时用户不在家，必须留下“安检到访不遇留言单”留下安检业务工作（人员）的联系方式，做好拍照等相关记录。在条件允许的情况下，并通过电话、短信或网络等多种方式通知客户联系预约下次入户安检时间，如客户主动联系预约检查时间，安检人员应按时进行入户安检。</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若遇客户拒绝检查，安检人员应向客户解释进户检查的用意和存在用气安全隐患的后果，如客户坚持拒绝或闭门不见，安检人员必须留下“拒绝检查留言单”，做好拍照等相关记录。在条件允许的情况下，并通过电话、短信或网络等多种方式通知客户联系预约下次入户安检时间。</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经连续3次（且从第1次到访不遇或拒绝入户安检开始，时间超过6个月）入户安检到访不遇或拒绝检查的用户，安检人员应告知小区物业、当地居委会、政府等相关职能部门并取得相应证据，同时做好相关记录资料存档备查工作后，可纳入安全检查率的统计和计算。</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黑体" w:eastAsia="方正黑体简体"/>
          <w:color w:val="auto"/>
          <w:sz w:val="30"/>
          <w:szCs w:val="30"/>
        </w:rPr>
      </w:pPr>
      <w:r>
        <w:rPr>
          <w:rFonts w:hint="eastAsia" w:ascii="方正黑体简体" w:hAnsi="黑体" w:eastAsia="方正黑体简体"/>
          <w:color w:val="auto"/>
          <w:sz w:val="30"/>
          <w:szCs w:val="30"/>
        </w:rPr>
        <w:t>第四章  安检作业工作要求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第十六条</w:t>
      </w:r>
      <w:r>
        <w:rPr>
          <w:rFonts w:hint="eastAsia" w:ascii="方正仿宋简体" w:hAnsi="方正仿宋简体" w:eastAsia="方正仿宋简体" w:cs="方正仿宋简体"/>
          <w:color w:val="auto"/>
          <w:sz w:val="28"/>
          <w:szCs w:val="28"/>
        </w:rPr>
        <w:t xml:space="preserve">  入户安全检查操作要求</w:t>
      </w:r>
      <w:bookmarkStart w:id="1216" w:name="_Toc351466443"/>
      <w:r>
        <w:rPr>
          <w:rFonts w:hint="eastAsia" w:ascii="方正仿宋简体" w:hAnsi="方正仿宋简体" w:eastAsia="方正仿宋简体" w:cs="方正仿宋简体"/>
          <w:color w:val="auto"/>
          <w:sz w:val="28"/>
          <w:szCs w:val="28"/>
        </w:rPr>
        <w:t>：</w:t>
      </w:r>
    </w:p>
    <w:bookmarkEnd w:id="1216"/>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1.入户检查的月度实施计划应根据小区、楼栋分布等情况确定入户检查的路线。</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2.入户安全检查前，应提前向小区物管或用户进行通知或者预约，请用户家里留人配合检查。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3.检查时要有安全用气知识的宣传、讲解。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bookmarkStart w:id="1217" w:name="_Toc351466444"/>
      <w:r>
        <w:rPr>
          <w:rFonts w:hint="eastAsia" w:ascii="方正仿宋简体" w:hAnsi="方正仿宋简体" w:eastAsia="方正仿宋简体" w:cs="方正仿宋简体"/>
          <w:color w:val="auto"/>
          <w:sz w:val="28"/>
          <w:szCs w:val="28"/>
        </w:rPr>
        <w:t>4.对到访不遇的情况应张贴《到访不遇留言单》并以照片、摄像等方式进行采证，留言单上应明确联系方式以便用户预约再查。</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5.对拒绝检查的用户应首先做好解释工作，并现场取证上报，由单位重点督办。</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6.对照安全检查内容，逐一进行各项检查，据实填写《用户安全检查表》，由检查人员和用户共同签字确认。</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rPr>
        <w:t>7.对</w:t>
      </w:r>
      <w:r>
        <w:rPr>
          <w:rFonts w:hint="eastAsia" w:ascii="方正仿宋简体" w:hAnsi="方正仿宋简体" w:eastAsia="方正仿宋简体" w:cs="方正仿宋简体"/>
          <w:color w:val="auto"/>
          <w:sz w:val="28"/>
          <w:szCs w:val="28"/>
          <w:highlight w:val="none"/>
        </w:rPr>
        <w:t>检查发现的隐患能够立即整改的应立即进行整改，无法立即整改的按照《中油南充燃气有限责任公司入户安检及隐患整改通知单》的要求和时间督促责任主体按时进行整改，安检员负责跟踪隐患整改及闭环管理。用户拒绝整改或无法整改的，由客户服务中心每月向</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汇报，</w:t>
      </w:r>
      <w:r>
        <w:rPr>
          <w:rFonts w:hint="eastAsia" w:ascii="方正仿宋简体" w:hAnsi="方正仿宋简体" w:eastAsia="方正仿宋简体" w:cs="方正仿宋简体"/>
          <w:color w:val="auto"/>
          <w:sz w:val="28"/>
          <w:szCs w:val="28"/>
          <w:highlight w:val="none"/>
          <w:lang w:val="en-US" w:eastAsia="zh-CN"/>
        </w:rPr>
        <w:t>质量安全环保部</w:t>
      </w:r>
      <w:r>
        <w:rPr>
          <w:rFonts w:hint="eastAsia" w:ascii="方正仿宋简体" w:hAnsi="方正仿宋简体" w:eastAsia="方正仿宋简体" w:cs="方正仿宋简体"/>
          <w:color w:val="auto"/>
          <w:sz w:val="28"/>
          <w:szCs w:val="28"/>
          <w:highlight w:val="none"/>
        </w:rPr>
        <w:t>收集整理向地方相关职能部门书面汇报，客户中心予以配合。需要立即停气处理时，由工程</w:t>
      </w:r>
      <w:r>
        <w:rPr>
          <w:rFonts w:hint="eastAsia" w:ascii="方正仿宋简体" w:hAnsi="方正仿宋简体" w:eastAsia="方正仿宋简体" w:cs="方正仿宋简体"/>
          <w:color w:val="auto"/>
          <w:sz w:val="28"/>
          <w:szCs w:val="28"/>
          <w:highlight w:val="none"/>
          <w:lang w:val="en-US" w:eastAsia="zh-CN"/>
        </w:rPr>
        <w:t>技术部</w:t>
      </w:r>
      <w:r>
        <w:rPr>
          <w:rFonts w:hint="eastAsia" w:ascii="方正仿宋简体" w:hAnsi="方正仿宋简体" w:eastAsia="方正仿宋简体" w:cs="方正仿宋简体"/>
          <w:color w:val="auto"/>
          <w:sz w:val="28"/>
          <w:szCs w:val="28"/>
          <w:highlight w:val="none"/>
        </w:rPr>
        <w:t>、</w:t>
      </w:r>
      <w:r>
        <w:rPr>
          <w:rFonts w:hint="eastAsia" w:ascii="方正仿宋简体" w:hAnsi="方正仿宋简体" w:eastAsia="方正仿宋简体" w:cs="方正仿宋简体"/>
          <w:color w:val="auto"/>
          <w:sz w:val="28"/>
          <w:szCs w:val="28"/>
          <w:highlight w:val="none"/>
          <w:lang w:eastAsia="zh-CN"/>
        </w:rPr>
        <w:t>客户服务中心</w:t>
      </w:r>
      <w:r>
        <w:rPr>
          <w:rFonts w:hint="eastAsia" w:ascii="方正仿宋简体" w:hAnsi="方正仿宋简体" w:eastAsia="方正仿宋简体" w:cs="方正仿宋简体"/>
          <w:color w:val="auto"/>
          <w:sz w:val="28"/>
          <w:szCs w:val="28"/>
          <w:highlight w:val="none"/>
        </w:rPr>
        <w:t>立即按规定处理，其中</w:t>
      </w:r>
      <w:r>
        <w:rPr>
          <w:rFonts w:hint="eastAsia" w:ascii="方正仿宋简体" w:hAnsi="方正仿宋简体" w:eastAsia="方正仿宋简体" w:cs="方正仿宋简体"/>
          <w:color w:val="auto"/>
          <w:sz w:val="28"/>
          <w:szCs w:val="28"/>
          <w:highlight w:val="none"/>
          <w:lang w:eastAsia="zh-CN"/>
        </w:rPr>
        <w:t>客户服务中心</w:t>
      </w:r>
      <w:r>
        <w:rPr>
          <w:rFonts w:hint="eastAsia" w:ascii="方正仿宋简体" w:hAnsi="方正仿宋简体" w:eastAsia="方正仿宋简体" w:cs="方正仿宋简体"/>
          <w:color w:val="auto"/>
          <w:sz w:val="28"/>
          <w:szCs w:val="28"/>
          <w:highlight w:val="none"/>
        </w:rPr>
        <w:t>负责远程停气，工程</w:t>
      </w:r>
      <w:r>
        <w:rPr>
          <w:rFonts w:hint="eastAsia" w:ascii="方正仿宋简体" w:hAnsi="方正仿宋简体" w:eastAsia="方正仿宋简体" w:cs="方正仿宋简体"/>
          <w:color w:val="auto"/>
          <w:sz w:val="28"/>
          <w:szCs w:val="28"/>
          <w:highlight w:val="none"/>
          <w:lang w:val="en-US" w:eastAsia="zh-CN"/>
        </w:rPr>
        <w:t>技术部</w:t>
      </w:r>
      <w:r>
        <w:rPr>
          <w:rFonts w:hint="eastAsia" w:ascii="方正仿宋简体" w:hAnsi="方正仿宋简体" w:eastAsia="方正仿宋简体" w:cs="方正仿宋简体"/>
          <w:color w:val="auto"/>
          <w:sz w:val="28"/>
          <w:szCs w:val="28"/>
          <w:highlight w:val="none"/>
        </w:rPr>
        <w:t>负责现场停气。（附安全隐患停气流程图）</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rPr>
        <w:t>8.做好资料的取证、保留以及归档工作。</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第十七条</w:t>
      </w:r>
      <w:r>
        <w:rPr>
          <w:rFonts w:hint="eastAsia" w:ascii="方正仿宋简体" w:hAnsi="方正仿宋简体" w:eastAsia="方正仿宋简体" w:cs="方正仿宋简体"/>
          <w:color w:val="auto"/>
          <w:sz w:val="28"/>
          <w:szCs w:val="28"/>
        </w:rPr>
        <w:t xml:space="preserve">  入户安检人员工作要求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安检人员上门服务，严格遵守公司服务规范要求：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1.按要求着装、带鞋套，配带工作证。</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2.对用户做到礼貌、谦和、热情、有耐心，语言行为规范。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3.检查（检修）作业符合安全操作规程，确保安全。</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4.入户安全检查工作为公司免费为用户提供的服务业务，禁止“吃、拿、卡、要”和违规收费行为。</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第十八条</w:t>
      </w:r>
      <w:r>
        <w:rPr>
          <w:rFonts w:hint="eastAsia" w:ascii="方正仿宋简体" w:hAnsi="方正仿宋简体" w:eastAsia="方正仿宋简体" w:cs="方正仿宋简体"/>
          <w:color w:val="auto"/>
          <w:sz w:val="28"/>
          <w:szCs w:val="28"/>
        </w:rPr>
        <w:t xml:space="preserve">  入户安检人员工具配备</w:t>
      </w:r>
      <w:bookmarkEnd w:id="1217"/>
      <w:r>
        <w:rPr>
          <w:rFonts w:hint="eastAsia" w:ascii="方正仿宋简体" w:hAnsi="方正仿宋简体" w:eastAsia="方正仿宋简体" w:cs="方正仿宋简体"/>
          <w:color w:val="auto"/>
          <w:sz w:val="28"/>
          <w:szCs w:val="28"/>
        </w:rPr>
        <w:t>要求：</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rPr>
        <w:t>1.携带资料，应包括：到访不遇留</w:t>
      </w:r>
      <w:r>
        <w:rPr>
          <w:rFonts w:hint="eastAsia" w:ascii="方正仿宋简体" w:hAnsi="方正仿宋简体" w:eastAsia="方正仿宋简体" w:cs="方正仿宋简体"/>
          <w:color w:val="auto"/>
          <w:sz w:val="28"/>
          <w:szCs w:val="28"/>
          <w:highlight w:val="none"/>
        </w:rPr>
        <w:t>言单、入户安全检查表及安全隐患整改告知书、安全宣传资料等。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color w:val="auto"/>
          <w:sz w:val="28"/>
          <w:szCs w:val="28"/>
        </w:rPr>
        <w:t>2.配备装备，宜包括：照相机、电筒、扳手、可燃气体浓度探测仪（或肥皂粉）、鞋套、胶水、工具包等。</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黑体简体" w:hAnsi="黑体" w:eastAsia="方正黑体简体"/>
          <w:color w:val="auto"/>
          <w:sz w:val="30"/>
          <w:szCs w:val="30"/>
        </w:rPr>
      </w:pPr>
      <w:r>
        <w:rPr>
          <w:rFonts w:hint="eastAsia" w:ascii="方正黑体简体" w:hAnsi="黑体" w:eastAsia="方正黑体简体"/>
          <w:color w:val="auto"/>
          <w:sz w:val="30"/>
          <w:szCs w:val="30"/>
        </w:rPr>
        <w:t>第五章  隐患的分类及处理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第十九条</w:t>
      </w:r>
      <w:r>
        <w:rPr>
          <w:rFonts w:hint="eastAsia" w:ascii="方正仿宋简体" w:hAnsi="方正仿宋简体" w:eastAsia="方正仿宋简体" w:cs="方正仿宋简体"/>
          <w:color w:val="auto"/>
          <w:sz w:val="28"/>
          <w:szCs w:val="28"/>
        </w:rPr>
        <w:t xml:space="preserve">  一般隐患。安检人员能现场维修处理或立即督促整改的问题，如用户违规在管道上搭挂重物、发现户内细微漏气、燃气软管老化等，通过紧固、加垫、加生料带等方式即可解决的问题，必须及时在现场做好处理。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第二十条</w:t>
      </w:r>
      <w:r>
        <w:rPr>
          <w:rFonts w:hint="eastAsia" w:ascii="方正仿宋简体" w:hAnsi="方正仿宋简体" w:eastAsia="方正仿宋简体" w:cs="方正仿宋简体"/>
          <w:color w:val="auto"/>
          <w:sz w:val="28"/>
          <w:szCs w:val="28"/>
        </w:rPr>
        <w:t xml:space="preserve">  较大隐患。安检人员现场无法立即处理或者需要向单位报告的重要问题，如检查中发现用户室内存在：私自安装改造、私拉乱接、用气设施密闭、通风不良、用气性质改变、用气设施安装不规范、燃气用具超期等，必须发放《安全隐患告知书》，要求用户限期进行整改并进行督促。</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rPr>
        <w:t>第二十一条</w:t>
      </w:r>
      <w:r>
        <w:rPr>
          <w:rFonts w:hint="eastAsia" w:ascii="方正仿宋简体" w:hAnsi="方正仿宋简体" w:eastAsia="方正仿宋简体" w:cs="方正仿宋简体"/>
          <w:color w:val="auto"/>
          <w:sz w:val="28"/>
          <w:szCs w:val="28"/>
        </w:rPr>
        <w:t xml:space="preserve">  重大隐患。对于无法现场处理的漏气、盗用天然气、严重的私拉乱接和存在重大安全风险的重大问题，安检人员应立即进行应急处理并现场取证，同</w:t>
      </w:r>
      <w:r>
        <w:rPr>
          <w:rFonts w:hint="eastAsia" w:ascii="方正仿宋简体" w:hAnsi="方正仿宋简体" w:eastAsia="方正仿宋简体" w:cs="方正仿宋简体"/>
          <w:color w:val="auto"/>
          <w:sz w:val="28"/>
          <w:szCs w:val="28"/>
          <w:highlight w:val="none"/>
        </w:rPr>
        <w:t>时报告公司热线并请示公司立即处理。公司将指令下达至相关部门，相关部门接报后应立即到现场处置。</w:t>
      </w:r>
    </w:p>
    <w:p>
      <w:pPr>
        <w:spacing w:line="560" w:lineRule="atLeast"/>
        <w:ind w:firstLine="552" w:firstLineChars="200"/>
        <w:rPr>
          <w:rFonts w:hint="eastAsia" w:ascii="方正仿宋简体" w:eastAsia="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黑体" w:eastAsia="方正黑体简体"/>
          <w:color w:val="auto"/>
          <w:sz w:val="30"/>
          <w:szCs w:val="30"/>
        </w:rPr>
      </w:pPr>
      <w:r>
        <w:rPr>
          <w:rFonts w:hint="eastAsia" w:ascii="方正黑体简体" w:hAnsi="黑体" w:eastAsia="方正黑体简体"/>
          <w:color w:val="auto"/>
          <w:sz w:val="30"/>
          <w:szCs w:val="30"/>
        </w:rPr>
        <w:t>第六章  资料管理</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第二十二条</w:t>
      </w:r>
      <w:r>
        <w:rPr>
          <w:rFonts w:hint="eastAsia" w:ascii="方正仿宋简体" w:hAnsi="方正仿宋简体" w:eastAsia="方正仿宋简体" w:cs="方正仿宋简体"/>
          <w:color w:val="auto"/>
          <w:sz w:val="28"/>
          <w:szCs w:val="28"/>
        </w:rPr>
        <w:t xml:space="preserve">  为确保安检资料的有效性，对重要安检资料，均应完善用户签字确认手续。代签者应签本人姓名并注明与用户的关系；对拒绝签字确认安全检查记录的用户，应采取有效措施取证并存档备案，确保每户有入户安检资料存档。</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第二十三条</w:t>
      </w:r>
      <w:r>
        <w:rPr>
          <w:rFonts w:hint="eastAsia" w:ascii="方正仿宋简体" w:hAnsi="方正仿宋简体" w:eastAsia="方正仿宋简体" w:cs="方正仿宋简体"/>
          <w:color w:val="auto"/>
          <w:sz w:val="28"/>
          <w:szCs w:val="28"/>
        </w:rPr>
        <w:t xml:space="preserve">  严格</w:t>
      </w:r>
      <w:r>
        <w:rPr>
          <w:rFonts w:hint="eastAsia" w:ascii="方正仿宋简体" w:hAnsi="方正仿宋简体" w:eastAsia="方正仿宋简体" w:cs="方正仿宋简体"/>
          <w:color w:val="auto"/>
          <w:sz w:val="28"/>
          <w:szCs w:val="28"/>
          <w:highlight w:val="none"/>
        </w:rPr>
        <w:t>入户安全检查资料的收集、立卷等过程管理，每月10日前整理完成上月的入户</w:t>
      </w:r>
      <w:r>
        <w:rPr>
          <w:rFonts w:hint="eastAsia" w:ascii="方正仿宋简体" w:hAnsi="方正仿宋简体" w:eastAsia="方正仿宋简体" w:cs="方正仿宋简体"/>
          <w:color w:val="auto"/>
          <w:sz w:val="28"/>
          <w:szCs w:val="28"/>
        </w:rPr>
        <w:t>安全检查的资料，建立较为完备的用户资料档案。</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第二十四条</w:t>
      </w:r>
      <w:r>
        <w:rPr>
          <w:rFonts w:hint="eastAsia" w:ascii="方正仿宋简体" w:hAnsi="方正仿宋简体" w:eastAsia="方正仿宋简体" w:cs="方正仿宋简体"/>
          <w:color w:val="auto"/>
          <w:sz w:val="28"/>
          <w:szCs w:val="28"/>
        </w:rPr>
        <w:t xml:space="preserve">  入户安全检查资料，</w:t>
      </w:r>
      <w:r>
        <w:rPr>
          <w:rFonts w:hint="eastAsia" w:ascii="方正仿宋简体" w:hAnsi="方正仿宋简体" w:eastAsia="方正仿宋简体" w:cs="方正仿宋简体"/>
          <w:color w:val="auto"/>
          <w:sz w:val="28"/>
          <w:szCs w:val="28"/>
          <w:highlight w:val="none"/>
        </w:rPr>
        <w:t>存档期限至少四年。涉及地方政府街道、社区、小区物管及用户有关用气安全的告知、通知、公告，信函或相关记录，用户户内隐患整改或督促整改等资料，应列为重要档案单独保存或进入用户档案，保留期限为五年</w:t>
      </w:r>
      <w:r>
        <w:rPr>
          <w:rFonts w:hint="eastAsia" w:ascii="方正仿宋简体" w:hAnsi="方正仿宋简体" w:eastAsia="方正仿宋简体" w:cs="方正仿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ascii="方正黑体简体" w:hAnsi="黑体" w:eastAsia="方正黑体简体"/>
          <w:b w:val="0"/>
          <w:bCs w:val="0"/>
          <w:color w:val="auto"/>
          <w:sz w:val="30"/>
          <w:szCs w:val="30"/>
        </w:rPr>
      </w:pPr>
      <w:r>
        <w:rPr>
          <w:rFonts w:hint="eastAsia" w:ascii="方正黑体简体" w:hAnsi="黑体" w:eastAsia="方正黑体简体"/>
          <w:b w:val="0"/>
          <w:bCs w:val="0"/>
          <w:color w:val="auto"/>
          <w:sz w:val="30"/>
          <w:szCs w:val="30"/>
        </w:rPr>
        <w:t>第七章  奖励与考核</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第二十五条</w:t>
      </w:r>
      <w:r>
        <w:rPr>
          <w:rFonts w:hint="eastAsia" w:ascii="方正仿宋简体" w:hAnsi="方正仿宋简体" w:eastAsia="方正仿宋简体" w:cs="方正仿宋简体"/>
          <w:color w:val="auto"/>
          <w:sz w:val="28"/>
          <w:szCs w:val="28"/>
        </w:rPr>
        <w:t xml:space="preserve">  公司对各单位的考核指标为：1.年度安检工作计划完成率100%达标。2.当年实际入户率不得低于年度考核指标（实际入户率=当年实际入户检查户数/（当年入户安检计划户数-连续6个月未使用燃气的通气户数）*100%）。</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bCs/>
          <w:color w:val="auto"/>
          <w:sz w:val="28"/>
          <w:szCs w:val="28"/>
        </w:rPr>
        <w:t>第二十六条</w:t>
      </w:r>
      <w:r>
        <w:rPr>
          <w:rFonts w:hint="eastAsia" w:ascii="方正仿宋简体" w:hAnsi="方正仿宋简体" w:eastAsia="方正仿宋简体" w:cs="方正仿宋简体"/>
          <w:color w:val="auto"/>
          <w:sz w:val="28"/>
          <w:szCs w:val="28"/>
        </w:rPr>
        <w:t xml:space="preserve">  </w:t>
      </w:r>
      <w:r>
        <w:rPr>
          <w:rFonts w:hint="eastAsia" w:ascii="方正仿宋简体" w:hAnsi="方正仿宋简体" w:eastAsia="方正仿宋简体" w:cs="方正仿宋简体"/>
          <w:color w:val="auto"/>
          <w:sz w:val="28"/>
          <w:szCs w:val="28"/>
          <w:highlight w:val="none"/>
        </w:rPr>
        <w:t>公司将</w:t>
      </w:r>
      <w:r>
        <w:rPr>
          <w:rFonts w:hint="eastAsia" w:ascii="方正仿宋简体" w:hAnsi="方正仿宋简体" w:eastAsia="方正仿宋简体" w:cs="方正仿宋简体"/>
          <w:color w:val="auto"/>
          <w:sz w:val="28"/>
          <w:szCs w:val="28"/>
        </w:rPr>
        <w:t>采取审查基础资料、电话回访用户、抽查等方法对入户安检工作进行考核。对违反法律法规、管理制度、玩忽职守的单位或个人，</w:t>
      </w:r>
      <w:r>
        <w:rPr>
          <w:rFonts w:hint="eastAsia" w:ascii="方正仿宋简体" w:hAnsi="方正仿宋简体" w:eastAsia="方正仿宋简体" w:cs="方正仿宋简体"/>
          <w:color w:val="auto"/>
          <w:sz w:val="28"/>
          <w:szCs w:val="28"/>
          <w:highlight w:val="none"/>
        </w:rPr>
        <w:t>公司视情节轻重，分别给予教育、罚款、行政处分或解除其劳动合同，对劳务承包商采取追究合同违约责任、解除合同等法律手段。</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bCs/>
          <w:color w:val="auto"/>
          <w:sz w:val="28"/>
          <w:szCs w:val="28"/>
        </w:rPr>
        <w:t>第二十七条</w:t>
      </w:r>
      <w:r>
        <w:rPr>
          <w:rFonts w:hint="eastAsia" w:ascii="方正仿宋简体" w:hAnsi="方正仿宋简体" w:eastAsia="方正仿宋简体" w:cs="方正仿宋简体"/>
          <w:color w:val="auto"/>
          <w:sz w:val="28"/>
          <w:szCs w:val="28"/>
        </w:rPr>
        <w:t xml:space="preserve">  公司对在入户安检工作中做出突出成绩的部门（单位）和个人，应予以表彰和奖励。</w:t>
      </w: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hAnsi="方正仿宋简体" w:eastAsia="方正仿宋简体" w:cs="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方正黑体简体" w:hAnsi="黑体" w:eastAsia="方正黑体简体"/>
          <w:color w:val="auto"/>
          <w:sz w:val="30"/>
          <w:szCs w:val="30"/>
        </w:rPr>
      </w:pPr>
      <w:r>
        <w:rPr>
          <w:rFonts w:hint="eastAsia" w:ascii="方正黑体简体" w:hAnsi="黑体" w:eastAsia="方正黑体简体"/>
          <w:color w:val="auto"/>
          <w:sz w:val="30"/>
          <w:szCs w:val="30"/>
        </w:rPr>
        <w:t>第八章  附  则</w:t>
      </w:r>
    </w:p>
    <w:p>
      <w:pPr>
        <w:spacing w:line="560" w:lineRule="atLeast"/>
        <w:ind w:firstLine="552" w:firstLineChars="200"/>
        <w:rPr>
          <w:rFonts w:hint="eastAsia" w:ascii="方正仿宋简体" w:eastAsia="方正仿宋简体"/>
          <w:color w:val="auto"/>
          <w:sz w:val="28"/>
          <w:szCs w:val="28"/>
        </w:rPr>
      </w:pPr>
      <w:r>
        <w:rPr>
          <w:rFonts w:hint="eastAsia" w:ascii="方正楷体简体" w:eastAsia="方正楷体简体"/>
          <w:b/>
          <w:bCs/>
          <w:color w:val="auto"/>
          <w:sz w:val="28"/>
          <w:szCs w:val="28"/>
        </w:rPr>
        <w:t>第二十八条</w:t>
      </w:r>
      <w:r>
        <w:rPr>
          <w:rFonts w:hint="eastAsia" w:ascii="方正仿宋简体" w:eastAsia="方正仿宋简体"/>
          <w:color w:val="auto"/>
          <w:sz w:val="28"/>
          <w:szCs w:val="28"/>
        </w:rPr>
        <w:t xml:space="preserve">  本细则办法由公司</w:t>
      </w:r>
      <w:r>
        <w:rPr>
          <w:rFonts w:hint="eastAsia" w:ascii="方正仿宋简体" w:eastAsia="方正仿宋简体"/>
          <w:color w:val="auto"/>
          <w:sz w:val="28"/>
          <w:szCs w:val="28"/>
          <w:lang w:val="en-US" w:eastAsia="zh-CN"/>
        </w:rPr>
        <w:t>质量安全环保</w:t>
      </w:r>
      <w:r>
        <w:rPr>
          <w:rFonts w:hint="eastAsia" w:ascii="方正仿宋简体" w:eastAsia="方正仿宋简体"/>
          <w:color w:val="auto"/>
          <w:sz w:val="28"/>
          <w:szCs w:val="28"/>
        </w:rPr>
        <w:t>部负责解释。</w:t>
      </w:r>
    </w:p>
    <w:p>
      <w:pPr>
        <w:spacing w:line="560" w:lineRule="atLeast"/>
        <w:ind w:firstLine="552" w:firstLineChars="200"/>
        <w:rPr>
          <w:rFonts w:hint="eastAsia" w:ascii="方正仿宋简体" w:eastAsia="方正仿宋简体"/>
          <w:color w:val="auto"/>
          <w:sz w:val="28"/>
          <w:szCs w:val="28"/>
        </w:rPr>
      </w:pPr>
      <w:r>
        <w:rPr>
          <w:rFonts w:hint="eastAsia" w:ascii="方正楷体简体" w:eastAsia="方正楷体简体"/>
          <w:b/>
          <w:bCs/>
          <w:color w:val="auto"/>
          <w:sz w:val="28"/>
          <w:szCs w:val="28"/>
        </w:rPr>
        <w:t>第二十九条</w:t>
      </w:r>
      <w:r>
        <w:rPr>
          <w:rFonts w:hint="eastAsia" w:ascii="方正仿宋简体" w:eastAsia="方正仿宋简体"/>
          <w:color w:val="auto"/>
          <w:sz w:val="28"/>
          <w:szCs w:val="28"/>
        </w:rPr>
        <w:t xml:space="preserve">  本办法自发布之日起执行。</w:t>
      </w:r>
    </w:p>
    <w:p>
      <w:pPr>
        <w:spacing w:line="560" w:lineRule="atLeast"/>
        <w:ind w:firstLine="552" w:firstLineChars="200"/>
        <w:rPr>
          <w:rFonts w:hint="eastAsia" w:ascii="方正仿宋简体" w:eastAsia="方正仿宋简体"/>
          <w:color w:val="auto"/>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lang w:eastAsia="zh-CN"/>
        </w:rPr>
        <w:t>附件</w:t>
      </w:r>
      <w:r>
        <w:rPr>
          <w:rFonts w:hint="eastAsia" w:ascii="方正仿宋简体" w:eastAsia="方正仿宋简体"/>
          <w:color w:val="auto"/>
          <w:sz w:val="28"/>
          <w:szCs w:val="28"/>
        </w:rPr>
        <w:t>1.入户安检情况统计周报</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2.入户安检岗位危害辨识与风险控制措施</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3.设备设施风险等级划分及处理措施</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4.入户安检资料模板</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rPr>
      </w:pPr>
      <w:r>
        <w:rPr>
          <w:rFonts w:hint="eastAsia" w:ascii="方正仿宋简体" w:eastAsia="方正仿宋简体"/>
          <w:color w:val="auto"/>
          <w:sz w:val="28"/>
          <w:szCs w:val="28"/>
        </w:rPr>
        <w:t>5.入户安全检查工作流程</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highlight w:val="none"/>
        </w:rPr>
      </w:pPr>
      <w:r>
        <w:rPr>
          <w:rFonts w:hint="eastAsia" w:ascii="方正仿宋简体" w:eastAsia="方正仿宋简体"/>
          <w:color w:val="auto"/>
          <w:sz w:val="28"/>
          <w:szCs w:val="28"/>
        </w:rPr>
        <w:t>6</w:t>
      </w:r>
      <w:r>
        <w:rPr>
          <w:rFonts w:hint="eastAsia" w:ascii="方正仿宋简体" w:eastAsia="方正仿宋简体"/>
          <w:color w:val="auto"/>
          <w:sz w:val="28"/>
          <w:szCs w:val="28"/>
          <w:lang w:val="en-US" w:eastAsia="zh-CN"/>
        </w:rPr>
        <w:t>.</w:t>
      </w:r>
      <w:r>
        <w:rPr>
          <w:rFonts w:hint="eastAsia" w:ascii="方正仿宋简体" w:eastAsia="方正仿宋简体"/>
          <w:color w:val="auto"/>
          <w:sz w:val="28"/>
          <w:szCs w:val="28"/>
          <w:highlight w:val="none"/>
        </w:rPr>
        <w:t>安全隐患停气流程图</w:t>
      </w:r>
    </w:p>
    <w:p>
      <w:pPr>
        <w:keepNext w:val="0"/>
        <w:keepLines w:val="0"/>
        <w:pageBreakBefore w:val="0"/>
        <w:widowControl w:val="0"/>
        <w:kinsoku/>
        <w:wordWrap/>
        <w:overflowPunct/>
        <w:topLinePunct w:val="0"/>
        <w:autoSpaceDE/>
        <w:autoSpaceDN/>
        <w:bidi w:val="0"/>
        <w:adjustRightInd/>
        <w:snapToGrid/>
        <w:spacing w:line="560" w:lineRule="exact"/>
        <w:ind w:firstLine="1242" w:firstLineChars="450"/>
        <w:textAlignment w:val="auto"/>
        <w:outlineLvl w:val="9"/>
        <w:rPr>
          <w:rFonts w:hint="eastAsia" w:ascii="方正仿宋简体" w:eastAsia="方正仿宋简体"/>
          <w:color w:val="auto"/>
          <w:sz w:val="28"/>
          <w:szCs w:val="28"/>
          <w:highlight w:val="none"/>
        </w:rPr>
        <w:sectPr>
          <w:footerReference r:id="rId19" w:type="first"/>
          <w:footerReference r:id="rId17" w:type="default"/>
          <w:headerReference r:id="rId16" w:type="even"/>
          <w:footerReference r:id="rId18" w:type="even"/>
          <w:pgSz w:w="11906" w:h="16838"/>
          <w:pgMar w:top="2098" w:right="1474" w:bottom="1985" w:left="1588" w:header="851" w:footer="1474" w:gutter="0"/>
          <w:pgBorders>
            <w:top w:val="none" w:sz="0" w:space="0"/>
            <w:left w:val="none" w:sz="0" w:space="0"/>
            <w:bottom w:val="none" w:sz="0" w:space="0"/>
            <w:right w:val="none" w:sz="0" w:space="0"/>
          </w:pgBorders>
          <w:pgNumType w:fmt="decimal"/>
          <w:cols w:space="720" w:num="1"/>
          <w:docGrid w:type="linesAndChars" w:linePitch="579" w:charSpace="-849"/>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color w:val="auto"/>
          <w:sz w:val="36"/>
          <w:szCs w:val="36"/>
          <w:lang w:eastAsia="zh-CN"/>
        </w:rPr>
      </w:pPr>
      <w:bookmarkStart w:id="1218" w:name="_Toc508016783"/>
      <w:bookmarkStart w:id="1219" w:name="_Toc3"/>
      <w:bookmarkStart w:id="1220" w:name="_Toc16399"/>
      <w:bookmarkStart w:id="1221" w:name="_Toc32158"/>
      <w:bookmarkStart w:id="1222" w:name="_Toc21448"/>
      <w:bookmarkStart w:id="1223" w:name="_Toc10882"/>
      <w:bookmarkStart w:id="1224" w:name="_Toc31196"/>
      <w:bookmarkStart w:id="1225" w:name="_Toc13147"/>
      <w:bookmarkStart w:id="1226" w:name="_Toc31892"/>
      <w:bookmarkStart w:id="1227" w:name="_Toc5883"/>
      <w:r>
        <w:rPr>
          <w:rFonts w:hint="eastAsia" w:ascii="方正小标宋简体" w:eastAsia="方正小标宋简体"/>
          <w:b w:val="0"/>
          <w:bCs w:val="0"/>
          <w:sz w:val="36"/>
          <w:szCs w:val="36"/>
        </w:rPr>
        <w:t>中油南充燃气有限责任公</w:t>
      </w:r>
      <w:r>
        <w:rPr>
          <w:rFonts w:hint="eastAsia" w:ascii="方正小标宋简体" w:eastAsia="方正小标宋简体"/>
          <w:b w:val="0"/>
          <w:bCs w:val="0"/>
          <w:color w:val="auto"/>
          <w:sz w:val="36"/>
          <w:szCs w:val="36"/>
        </w:rPr>
        <w:t>司安全</w:t>
      </w:r>
      <w:r>
        <w:rPr>
          <w:rFonts w:hint="eastAsia" w:ascii="方正小标宋简体" w:eastAsia="方正小标宋简体"/>
          <w:b w:val="0"/>
          <w:bCs w:val="0"/>
          <w:color w:val="auto"/>
          <w:sz w:val="36"/>
          <w:szCs w:val="36"/>
          <w:lang w:eastAsia="zh-CN"/>
        </w:rPr>
        <w:t>生产检查及</w:t>
      </w:r>
      <w:r>
        <w:rPr>
          <w:rFonts w:hint="eastAsia" w:ascii="方正小标宋简体" w:eastAsia="方正小标宋简体"/>
          <w:b w:val="0"/>
          <w:bCs w:val="0"/>
          <w:color w:val="auto"/>
          <w:sz w:val="36"/>
          <w:szCs w:val="36"/>
        </w:rPr>
        <w:t>事故隐患排查</w:t>
      </w:r>
      <w:bookmarkEnd w:id="1218"/>
      <w:r>
        <w:rPr>
          <w:rFonts w:hint="eastAsia" w:ascii="方正小标宋简体" w:eastAsia="方正小标宋简体"/>
          <w:b w:val="0"/>
          <w:bCs w:val="0"/>
          <w:color w:val="auto"/>
          <w:sz w:val="36"/>
          <w:szCs w:val="36"/>
          <w:lang w:eastAsia="zh-CN"/>
        </w:rPr>
        <w:t>整改制度</w:t>
      </w:r>
      <w:bookmarkEnd w:id="1219"/>
      <w:bookmarkEnd w:id="1220"/>
      <w:bookmarkEnd w:id="1221"/>
      <w:bookmarkEnd w:id="1222"/>
      <w:bookmarkEnd w:id="1223"/>
      <w:bookmarkEnd w:id="1224"/>
      <w:bookmarkEnd w:id="1225"/>
      <w:bookmarkEnd w:id="1226"/>
      <w:bookmarkEnd w:id="1227"/>
    </w:p>
    <w:p>
      <w:pPr>
        <w:keepNext w:val="0"/>
        <w:keepLines w:val="0"/>
        <w:pageBreakBefore w:val="0"/>
        <w:widowControl w:val="0"/>
        <w:kinsoku/>
        <w:wordWrap/>
        <w:overflowPunct/>
        <w:topLinePunct w:val="0"/>
        <w:autoSpaceDE/>
        <w:autoSpaceDN/>
        <w:bidi w:val="0"/>
        <w:adjustRightInd/>
        <w:snapToGrid/>
        <w:spacing w:line="640" w:lineRule="exact"/>
        <w:jc w:val="both"/>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rPr>
      </w:pPr>
      <w:r>
        <w:rPr>
          <w:rFonts w:hint="eastAsia" w:ascii="方正黑体简体" w:hAnsi="方正黑体简体" w:eastAsia="方正黑体简体" w:cs="方正黑体简体"/>
          <w:b w:val="0"/>
          <w:bCs/>
          <w:color w:val="auto"/>
          <w:sz w:val="30"/>
          <w:szCs w:val="30"/>
          <w:lang w:eastAsia="zh-CN"/>
        </w:rPr>
        <w:t>第一章</w:t>
      </w:r>
      <w:r>
        <w:rPr>
          <w:rFonts w:hint="eastAsia" w:ascii="方正黑体简体" w:hAnsi="方正黑体简体" w:eastAsia="方正黑体简体" w:cs="方正黑体简体"/>
          <w:b w:val="0"/>
          <w:bCs/>
          <w:color w:val="auto"/>
          <w:sz w:val="30"/>
          <w:szCs w:val="30"/>
          <w:lang w:val="en-US" w:eastAsia="zh-CN"/>
        </w:rPr>
        <w:t xml:space="preserve">  </w:t>
      </w:r>
      <w:r>
        <w:rPr>
          <w:rFonts w:hint="eastAsia" w:ascii="方正黑体简体" w:hAnsi="方正黑体简体" w:eastAsia="方正黑体简体" w:cs="方正黑体简体"/>
          <w:b w:val="0"/>
          <w:bCs/>
          <w:color w:val="auto"/>
          <w:sz w:val="30"/>
          <w:szCs w:val="30"/>
        </w:rPr>
        <w:t>总</w:t>
      </w:r>
      <w:r>
        <w:rPr>
          <w:rFonts w:hint="eastAsia" w:ascii="方正黑体简体" w:hAnsi="方正黑体简体" w:eastAsia="方正黑体简体" w:cs="方正黑体简体"/>
          <w:b w:val="0"/>
          <w:bCs/>
          <w:color w:val="auto"/>
          <w:sz w:val="30"/>
          <w:szCs w:val="30"/>
          <w:lang w:val="en-US" w:eastAsia="zh-CN"/>
        </w:rPr>
        <w:t xml:space="preserve">  </w:t>
      </w:r>
      <w:r>
        <w:rPr>
          <w:rFonts w:hint="eastAsia" w:ascii="方正黑体简体" w:hAnsi="方正黑体简体" w:eastAsia="方正黑体简体" w:cs="方正黑体简体"/>
          <w:b w:val="0"/>
          <w:bCs/>
          <w:color w:val="auto"/>
          <w:sz w:val="30"/>
          <w:szCs w:val="30"/>
        </w:rPr>
        <w:t>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color w:val="auto"/>
          <w:sz w:val="28"/>
          <w:szCs w:val="28"/>
        </w:rPr>
        <w:t>第一条</w:t>
      </w:r>
      <w:r>
        <w:rPr>
          <w:rFonts w:hint="eastAsia" w:ascii="方正仿宋简体" w:hAnsi="方正仿宋简体" w:eastAsia="方正仿宋简体" w:cs="方正仿宋简体"/>
          <w:b/>
          <w:color w:val="auto"/>
          <w:sz w:val="28"/>
          <w:szCs w:val="28"/>
          <w:lang w:val="en-US" w:eastAsia="zh-CN"/>
        </w:rPr>
        <w:t xml:space="preserve">  </w:t>
      </w:r>
      <w:r>
        <w:rPr>
          <w:rFonts w:hint="eastAsia" w:ascii="方正仿宋简体" w:hAnsi="方正仿宋简体" w:eastAsia="方正仿宋简体" w:cs="方正仿宋简体"/>
          <w:color w:val="auto"/>
          <w:sz w:val="28"/>
          <w:szCs w:val="28"/>
        </w:rPr>
        <w:t>为贯彻“安全第一，预防为主，综合治理”的方针，规范公司</w:t>
      </w:r>
      <w:r>
        <w:rPr>
          <w:rFonts w:hint="eastAsia" w:ascii="方正仿宋简体" w:hAnsi="方正仿宋简体" w:eastAsia="方正仿宋简体" w:cs="方正仿宋简体"/>
          <w:color w:val="auto"/>
          <w:sz w:val="28"/>
          <w:szCs w:val="28"/>
          <w:lang w:eastAsia="zh-CN"/>
        </w:rPr>
        <w:t>安全生产事故</w:t>
      </w:r>
      <w:r>
        <w:rPr>
          <w:rFonts w:hint="eastAsia" w:ascii="方正仿宋简体" w:hAnsi="方正仿宋简体" w:eastAsia="方正仿宋简体" w:cs="方正仿宋简体"/>
          <w:color w:val="auto"/>
          <w:sz w:val="28"/>
          <w:szCs w:val="28"/>
        </w:rPr>
        <w:t>隐患排查治理的职责、流程、要求和方法，特制定本办法。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rPr>
      </w:pPr>
      <w:r>
        <w:rPr>
          <w:rFonts w:hint="eastAsia" w:ascii="方正仿宋简体" w:hAnsi="方正仿宋简体" w:eastAsia="方正仿宋简体" w:cs="方正仿宋简体"/>
          <w:b/>
          <w:color w:val="auto"/>
          <w:sz w:val="28"/>
          <w:szCs w:val="28"/>
        </w:rPr>
        <w:t>第二条</w:t>
      </w:r>
      <w:r>
        <w:rPr>
          <w:rFonts w:hint="eastAsia" w:ascii="方正仿宋简体" w:hAnsi="方正仿宋简体" w:eastAsia="方正仿宋简体" w:cs="方正仿宋简体"/>
          <w:color w:val="auto"/>
          <w:sz w:val="28"/>
          <w:szCs w:val="28"/>
        </w:rPr>
        <w:t xml:space="preserve"> </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本办法所提及</w:t>
      </w:r>
      <w:r>
        <w:rPr>
          <w:rFonts w:hint="eastAsia" w:ascii="方正仿宋简体" w:hAnsi="方正仿宋简体" w:eastAsia="方正仿宋简体" w:cs="方正仿宋简体"/>
          <w:color w:val="auto"/>
          <w:sz w:val="28"/>
          <w:szCs w:val="28"/>
          <w:lang w:eastAsia="zh-CN"/>
        </w:rPr>
        <w:t>安全生产事故隐患</w:t>
      </w:r>
      <w:r>
        <w:rPr>
          <w:rFonts w:hint="eastAsia" w:ascii="方正仿宋简体" w:hAnsi="方正仿宋简体" w:eastAsia="方正仿宋简体" w:cs="方正仿宋简体"/>
          <w:color w:val="auto"/>
          <w:sz w:val="28"/>
          <w:szCs w:val="28"/>
        </w:rPr>
        <w:t>是指生产区域、工作场所等，存在可能导致人身伤亡、财产损失或造成重大社会影响的设备、装置、设施、生产系统、环境等方面的缺陷和问题。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color w:val="auto"/>
          <w:sz w:val="28"/>
          <w:szCs w:val="28"/>
        </w:rPr>
        <w:t>第三条</w:t>
      </w:r>
      <w:r>
        <w:rPr>
          <w:rFonts w:hint="eastAsia" w:ascii="方正仿宋简体" w:hAnsi="方正仿宋简体" w:eastAsia="方正仿宋简体" w:cs="方正仿宋简体"/>
          <w:color w:val="auto"/>
          <w:sz w:val="28"/>
          <w:szCs w:val="28"/>
        </w:rPr>
        <w:t xml:space="preserve"> </w:t>
      </w:r>
      <w:r>
        <w:rPr>
          <w:rFonts w:hint="eastAsia" w:ascii="方正仿宋简体" w:hAnsi="方正仿宋简体" w:eastAsia="方正仿宋简体" w:cs="方正仿宋简体"/>
          <w:color w:val="auto"/>
          <w:sz w:val="28"/>
          <w:szCs w:val="28"/>
          <w:lang w:val="en-US" w:eastAsia="zh-CN"/>
        </w:rPr>
        <w:t xml:space="preserve"> </w:t>
      </w:r>
      <w:r>
        <w:rPr>
          <w:rFonts w:hint="eastAsia" w:ascii="方正仿宋简体" w:hAnsi="方正仿宋简体" w:eastAsia="方正仿宋简体" w:cs="方正仿宋简体"/>
          <w:color w:val="auto"/>
          <w:sz w:val="28"/>
          <w:szCs w:val="28"/>
        </w:rPr>
        <w:t>对</w:t>
      </w:r>
      <w:r>
        <w:rPr>
          <w:rFonts w:hint="eastAsia" w:ascii="方正仿宋简体" w:hAnsi="方正仿宋简体" w:eastAsia="方正仿宋简体" w:cs="方正仿宋简体"/>
          <w:color w:val="auto"/>
          <w:sz w:val="28"/>
          <w:szCs w:val="28"/>
          <w:lang w:eastAsia="zh-CN"/>
        </w:rPr>
        <w:t>安全生产事故隐患</w:t>
      </w:r>
      <w:r>
        <w:rPr>
          <w:rFonts w:hint="eastAsia" w:ascii="方正仿宋简体" w:hAnsi="方正仿宋简体" w:eastAsia="方正仿宋简体" w:cs="方正仿宋简体"/>
          <w:color w:val="auto"/>
          <w:sz w:val="28"/>
          <w:szCs w:val="28"/>
        </w:rPr>
        <w:t>的分类按类型有</w:t>
      </w:r>
      <w:r>
        <w:rPr>
          <w:rFonts w:hint="eastAsia" w:ascii="方正仿宋简体" w:hAnsi="方正仿宋简体" w:eastAsia="方正仿宋简体" w:cs="方正仿宋简体"/>
          <w:sz w:val="28"/>
          <w:szCs w:val="28"/>
        </w:rPr>
        <w:t>以下几类：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按国家安全生产监督管理总局颁布的《</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排查治理暂行规定》：事故隐患分为一般事故隐患和重大事故隐患。一般事故隐患，是指危害和整改难度较小，发现后能够立即整改排除的隐患。重大事故隐患，是指危害和整改难度较大，应当全部或者局部停产停业，并经过一定时间整改治理方能排除的隐患，或者因外部因素影响致使生产经营单位自身难以排除的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w:t>
      </w:r>
      <w:r>
        <w:rPr>
          <w:rFonts w:hint="eastAsia" w:ascii="方正仿宋简体" w:hAnsi="方正仿宋简体" w:eastAsia="方正仿宋简体" w:cs="方正仿宋简体"/>
          <w:sz w:val="28"/>
          <w:szCs w:val="28"/>
          <w:lang w:eastAsia="zh-CN"/>
        </w:rPr>
        <w:t>.</w:t>
      </w:r>
      <w:r>
        <w:rPr>
          <w:rFonts w:hint="eastAsia" w:ascii="方正仿宋简体" w:hAnsi="方正仿宋简体" w:eastAsia="方正仿宋简体" w:cs="方正仿宋简体"/>
          <w:sz w:val="28"/>
          <w:szCs w:val="28"/>
        </w:rPr>
        <w:t>结合公司生产实际，对</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级别分为A、B、C三类。A级：需立即整改；B级：可暂立项监控，但还是必须短期进行整改；C级：可立项监控，暂可不需立即整改。安全隐患发生在现场、班组或岗位可以立即采取措施消除的隐患，可不分级，不纳入台账统计和分析。班组、部门和公司应分级建立隐患台账进行动态管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第四条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 xml:space="preserve"> 本办法适用于公司管辖范围内所有站场、管网和工作场所</w:t>
      </w:r>
      <w:r>
        <w:rPr>
          <w:rFonts w:hint="eastAsia" w:ascii="方正仿宋简体" w:hAnsi="方正仿宋简体" w:eastAsia="方正仿宋简体" w:cs="方正仿宋简体"/>
          <w:sz w:val="28"/>
          <w:szCs w:val="28"/>
          <w:lang w:eastAsia="zh-CN"/>
        </w:rPr>
        <w:t>、用户</w:t>
      </w:r>
      <w:r>
        <w:rPr>
          <w:rFonts w:hint="eastAsia" w:ascii="方正仿宋简体" w:hAnsi="方正仿宋简体" w:eastAsia="方正仿宋简体" w:cs="方正仿宋简体"/>
          <w:sz w:val="28"/>
          <w:szCs w:val="28"/>
        </w:rPr>
        <w:t>等所涉及的</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lang w:eastAsia="zh-CN"/>
        </w:rPr>
      </w:pPr>
      <w:r>
        <w:rPr>
          <w:rFonts w:hint="eastAsia" w:ascii="方正黑体简体" w:hAnsi="方正黑体简体" w:eastAsia="方正黑体简体" w:cs="方正黑体简体"/>
          <w:b w:val="0"/>
          <w:bCs/>
          <w:color w:val="auto"/>
          <w:sz w:val="30"/>
          <w:szCs w:val="30"/>
          <w:lang w:eastAsia="zh-CN"/>
        </w:rPr>
        <w:t xml:space="preserve">第二章 </w:t>
      </w:r>
      <w:r>
        <w:rPr>
          <w:rFonts w:hint="eastAsia" w:ascii="方正黑体简体" w:hAnsi="方正黑体简体" w:eastAsia="方正黑体简体" w:cs="方正黑体简体"/>
          <w:b w:val="0"/>
          <w:bCs/>
          <w:color w:val="auto"/>
          <w:sz w:val="30"/>
          <w:szCs w:val="30"/>
          <w:lang w:val="en-US" w:eastAsia="zh-CN"/>
        </w:rPr>
        <w:t xml:space="preserve"> </w:t>
      </w:r>
      <w:r>
        <w:rPr>
          <w:rFonts w:hint="eastAsia" w:ascii="方正黑体简体" w:hAnsi="方正黑体简体" w:eastAsia="方正黑体简体" w:cs="方正黑体简体"/>
          <w:b w:val="0"/>
          <w:bCs/>
          <w:color w:val="auto"/>
          <w:sz w:val="30"/>
          <w:szCs w:val="30"/>
          <w:lang w:eastAsia="zh-CN"/>
        </w:rPr>
        <w:t>组织机构与职责</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第五条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隐患排查治理领导小组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组  长：经理、书记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副组长：公司领导班子成员（副经理）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成  员：各部门、单位负责人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隐患排查治理领导小组由公司领导和各部门、单位负责人组成，负责统筹安排安全隐患排查治理活动，及时研究解决遇到的重大问题。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第六条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各部门、基层单位职责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公司</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管理实行专业管理与属地管理相结合的管理方式。机关各部门根据直线责任负责</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管理，基层单位按照属地管理职责对属地范围内的</w:t>
      </w:r>
      <w:r>
        <w:rPr>
          <w:rFonts w:hint="eastAsia" w:ascii="方正仿宋简体" w:hAnsi="方正仿宋简体" w:eastAsia="方正仿宋简体" w:cs="方正仿宋简体"/>
          <w:sz w:val="28"/>
          <w:szCs w:val="28"/>
          <w:lang w:eastAsia="zh-CN"/>
        </w:rPr>
        <w:t>安全生产事故隐患</w:t>
      </w:r>
      <w:r>
        <w:rPr>
          <w:rFonts w:hint="eastAsia" w:ascii="方正仿宋简体" w:hAnsi="方正仿宋简体" w:eastAsia="方正仿宋简体" w:cs="方正仿宋简体"/>
          <w:sz w:val="28"/>
          <w:szCs w:val="28"/>
        </w:rPr>
        <w:t>管理全面负责。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1.质量安全环保</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质量安全环保</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部是公司</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w:t>
      </w:r>
      <w:r>
        <w:rPr>
          <w:rFonts w:hint="eastAsia" w:ascii="方正仿宋简体" w:hAnsi="方正仿宋简体" w:eastAsia="方正仿宋简体" w:cs="方正仿宋简体"/>
          <w:color w:val="auto"/>
          <w:sz w:val="28"/>
          <w:szCs w:val="28"/>
          <w:highlight w:val="none"/>
          <w:lang w:eastAsia="zh-CN"/>
        </w:rPr>
        <w:t>故隐患</w:t>
      </w:r>
      <w:r>
        <w:rPr>
          <w:rFonts w:hint="eastAsia" w:ascii="方正仿宋简体" w:hAnsi="方正仿宋简体" w:eastAsia="方正仿宋简体" w:cs="方正仿宋简体"/>
          <w:color w:val="auto"/>
          <w:sz w:val="28"/>
          <w:szCs w:val="28"/>
          <w:highlight w:val="none"/>
        </w:rPr>
        <w:t>统计汇总归口管理部门，负责督促指导隐患管理工作，每月定期做好</w:t>
      </w:r>
      <w:r>
        <w:rPr>
          <w:rFonts w:hint="eastAsia" w:ascii="方正仿宋简体" w:hAnsi="方正仿宋简体" w:eastAsia="方正仿宋简体" w:cs="方正仿宋简体"/>
          <w:color w:val="auto"/>
          <w:sz w:val="28"/>
          <w:szCs w:val="28"/>
          <w:highlight w:val="none"/>
          <w:lang w:eastAsia="zh-CN"/>
        </w:rPr>
        <w:t>安全生产事故</w:t>
      </w:r>
      <w:r>
        <w:rPr>
          <w:rFonts w:hint="eastAsia" w:ascii="方正仿宋简体" w:hAnsi="方正仿宋简体" w:eastAsia="方正仿宋简体" w:cs="方正仿宋简体"/>
          <w:color w:val="auto"/>
          <w:sz w:val="28"/>
          <w:szCs w:val="28"/>
          <w:highlight w:val="none"/>
        </w:rPr>
        <w:t>隐患台帐登记及更新。负责指导、协助各单位隐患管理工作和建立隐患排查清单，</w:t>
      </w:r>
      <w:r>
        <w:rPr>
          <w:rFonts w:hint="eastAsia" w:ascii="方正仿宋简体" w:hAnsi="方正仿宋简体" w:eastAsia="方正仿宋简体" w:cs="方正仿宋简体"/>
          <w:color w:val="auto"/>
          <w:sz w:val="28"/>
          <w:szCs w:val="28"/>
          <w:highlight w:val="none"/>
          <w:lang w:eastAsia="zh-CN"/>
        </w:rPr>
        <w:t>统筹</w:t>
      </w:r>
      <w:r>
        <w:rPr>
          <w:rFonts w:hint="eastAsia" w:ascii="方正仿宋简体" w:hAnsi="方正仿宋简体" w:eastAsia="方正仿宋简体" w:cs="方正仿宋简体"/>
          <w:color w:val="auto"/>
          <w:sz w:val="28"/>
          <w:szCs w:val="28"/>
          <w:highlight w:val="none"/>
        </w:rPr>
        <w:t>安排公司</w:t>
      </w:r>
      <w:r>
        <w:rPr>
          <w:rFonts w:hint="eastAsia" w:ascii="方正仿宋简体" w:hAnsi="方正仿宋简体" w:eastAsia="方正仿宋简体" w:cs="方正仿宋简体"/>
          <w:color w:val="auto"/>
          <w:sz w:val="28"/>
          <w:szCs w:val="28"/>
          <w:highlight w:val="none"/>
          <w:lang w:eastAsia="zh-CN"/>
        </w:rPr>
        <w:t>安全生产事故隐患</w:t>
      </w:r>
      <w:r>
        <w:rPr>
          <w:rFonts w:hint="eastAsia" w:ascii="方正仿宋简体" w:hAnsi="方正仿宋简体" w:eastAsia="方正仿宋简体" w:cs="方正仿宋简体"/>
          <w:color w:val="auto"/>
          <w:sz w:val="28"/>
          <w:szCs w:val="28"/>
          <w:highlight w:val="none"/>
        </w:rPr>
        <w:t>治理工作</w:t>
      </w:r>
      <w:r>
        <w:rPr>
          <w:rFonts w:hint="eastAsia" w:ascii="方正仿宋简体" w:hAnsi="方正仿宋简体" w:eastAsia="方正仿宋简体" w:cs="方正仿宋简体"/>
          <w:color w:val="auto"/>
          <w:sz w:val="28"/>
          <w:szCs w:val="28"/>
          <w:highlight w:val="none"/>
          <w:lang w:eastAsia="zh-CN"/>
        </w:rPr>
        <w:t>，</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负责公司级隐患向地方主管部门报备</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2.生产</w:t>
      </w: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运行</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eastAsia="zh-CN"/>
        </w:rPr>
      </w:pP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生产</w:t>
      </w: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运行</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部是</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负责组织</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公司</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场站、计量设备设施等业务范围业内的</w:t>
      </w:r>
      <w:r>
        <w:rPr>
          <w:rFonts w:hint="eastAsia" w:ascii="方正仿宋简体" w:hAnsi="方正仿宋简体" w:eastAsia="方正仿宋简体" w:cs="方正仿宋简体"/>
          <w:color w:val="auto"/>
          <w:sz w:val="28"/>
          <w:szCs w:val="28"/>
          <w:highlight w:val="none"/>
          <w:lang w:eastAsia="zh-CN"/>
        </w:rPr>
        <w:t>安全生产事故隐患排查治理，</w:t>
      </w:r>
      <w:r>
        <w:rPr>
          <w:rFonts w:hint="eastAsia" w:ascii="方正仿宋简体" w:hAnsi="方正仿宋简体" w:eastAsia="方正仿宋简体" w:cs="方正仿宋简体"/>
          <w:color w:val="auto"/>
          <w:sz w:val="28"/>
          <w:szCs w:val="28"/>
          <w:highlight w:val="none"/>
        </w:rPr>
        <w:t>每月定期做好</w:t>
      </w:r>
      <w:r>
        <w:rPr>
          <w:rFonts w:hint="eastAsia" w:ascii="方正仿宋简体" w:hAnsi="方正仿宋简体" w:eastAsia="方正仿宋简体" w:cs="方正仿宋简体"/>
          <w:color w:val="auto"/>
          <w:sz w:val="28"/>
          <w:szCs w:val="28"/>
          <w:highlight w:val="none"/>
          <w:lang w:eastAsia="zh-CN"/>
        </w:rPr>
        <w:t>安全生产事故</w:t>
      </w:r>
      <w:r>
        <w:rPr>
          <w:rFonts w:hint="eastAsia" w:ascii="方正仿宋简体" w:hAnsi="方正仿宋简体" w:eastAsia="方正仿宋简体" w:cs="方正仿宋简体"/>
          <w:color w:val="auto"/>
          <w:sz w:val="28"/>
          <w:szCs w:val="28"/>
          <w:highlight w:val="none"/>
        </w:rPr>
        <w:t>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3.管道管理部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eastAsia="zh-CN"/>
        </w:rPr>
      </w:pPr>
      <w:r>
        <w:rPr>
          <w:rFonts w:hint="eastAsia" w:ascii="方正仿宋简体" w:hAnsi="方正仿宋简体" w:eastAsia="方正仿宋简体" w:cs="方正仿宋简体"/>
          <w:color w:val="auto"/>
          <w:sz w:val="28"/>
          <w:szCs w:val="28"/>
          <w:highlight w:val="none"/>
          <w:lang w:eastAsia="zh-CN"/>
        </w:rPr>
        <w:t>管道管理</w:t>
      </w:r>
      <w:r>
        <w:rPr>
          <w:rFonts w:hint="eastAsia" w:ascii="方正仿宋简体" w:hAnsi="方正仿宋简体" w:eastAsia="方正仿宋简体" w:cs="方正仿宋简体"/>
          <w:color w:val="auto"/>
          <w:sz w:val="28"/>
          <w:szCs w:val="28"/>
          <w:highlight w:val="none"/>
        </w:rPr>
        <w:t>部是</w:t>
      </w:r>
      <w:r>
        <w:rPr>
          <w:rFonts w:hint="eastAsia" w:ascii="方正仿宋简体" w:hAnsi="方正仿宋简体" w:eastAsia="方正仿宋简体" w:cs="方正仿宋简体"/>
          <w:color w:val="auto"/>
          <w:sz w:val="28"/>
          <w:szCs w:val="28"/>
          <w:highlight w:val="none"/>
          <w:lang w:eastAsia="zh-CN"/>
        </w:rPr>
        <w:t>负责组织</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管道及其附属设施等业务范围业内的安全生产事故隐患排查治理，</w:t>
      </w:r>
      <w:r>
        <w:rPr>
          <w:rFonts w:hint="eastAsia" w:ascii="方正仿宋简体" w:hAnsi="方正仿宋简体" w:eastAsia="方正仿宋简体" w:cs="方正仿宋简体"/>
          <w:color w:val="auto"/>
          <w:sz w:val="28"/>
          <w:szCs w:val="28"/>
          <w:highlight w:val="none"/>
        </w:rPr>
        <w:t>每月定期做好</w:t>
      </w:r>
      <w:r>
        <w:rPr>
          <w:rFonts w:hint="eastAsia" w:ascii="方正仿宋简体" w:hAnsi="方正仿宋简体" w:eastAsia="方正仿宋简体" w:cs="方正仿宋简体"/>
          <w:color w:val="auto"/>
          <w:sz w:val="28"/>
          <w:szCs w:val="28"/>
          <w:highlight w:val="none"/>
          <w:lang w:eastAsia="zh-CN"/>
        </w:rPr>
        <w:t>安全生产事故</w:t>
      </w:r>
      <w:r>
        <w:rPr>
          <w:rFonts w:hint="eastAsia" w:ascii="方正仿宋简体" w:hAnsi="方正仿宋简体" w:eastAsia="方正仿宋简体" w:cs="方正仿宋简体"/>
          <w:color w:val="auto"/>
          <w:sz w:val="28"/>
          <w:szCs w:val="28"/>
          <w:highlight w:val="none"/>
        </w:rPr>
        <w:t>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4.客户服务管理部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eastAsia="zh-CN"/>
        </w:rPr>
        <w:t>客户服务管理部</w:t>
      </w:r>
      <w:r>
        <w:rPr>
          <w:rFonts w:hint="eastAsia" w:ascii="方正仿宋简体" w:hAnsi="方正仿宋简体" w:eastAsia="方正仿宋简体" w:cs="方正仿宋简体"/>
          <w:color w:val="auto"/>
          <w:sz w:val="28"/>
          <w:szCs w:val="28"/>
          <w:highlight w:val="none"/>
        </w:rPr>
        <w:t>是</w:t>
      </w:r>
      <w:r>
        <w:rPr>
          <w:rFonts w:hint="eastAsia" w:ascii="方正仿宋简体" w:hAnsi="方正仿宋简体" w:eastAsia="方正仿宋简体" w:cs="方正仿宋简体"/>
          <w:color w:val="auto"/>
          <w:sz w:val="28"/>
          <w:szCs w:val="28"/>
          <w:highlight w:val="none"/>
          <w:lang w:eastAsia="zh-CN"/>
        </w:rPr>
        <w:t>负责组织</w:t>
      </w:r>
      <w:r>
        <w:rPr>
          <w:rFonts w:hint="eastAsia" w:ascii="方正仿宋简体" w:hAnsi="方正仿宋简体" w:eastAsia="方正仿宋简体" w:cs="方正仿宋简体"/>
          <w:color w:val="auto"/>
          <w:sz w:val="28"/>
          <w:szCs w:val="28"/>
          <w:highlight w:val="none"/>
        </w:rPr>
        <w:t>公司</w:t>
      </w:r>
      <w:r>
        <w:rPr>
          <w:rFonts w:hint="eastAsia" w:ascii="方正仿宋简体" w:hAnsi="方正仿宋简体" w:eastAsia="方正仿宋简体" w:cs="方正仿宋简体"/>
          <w:color w:val="auto"/>
          <w:sz w:val="28"/>
          <w:szCs w:val="28"/>
          <w:highlight w:val="none"/>
          <w:lang w:eastAsia="zh-CN"/>
        </w:rPr>
        <w:t>客户管理业务范围业内的安全生产事故隐患排查治理，</w:t>
      </w:r>
      <w:r>
        <w:rPr>
          <w:rFonts w:hint="eastAsia" w:ascii="方正仿宋简体" w:hAnsi="方正仿宋简体" w:eastAsia="方正仿宋简体" w:cs="方正仿宋简体"/>
          <w:color w:val="auto"/>
          <w:sz w:val="28"/>
          <w:szCs w:val="28"/>
          <w:highlight w:val="none"/>
        </w:rPr>
        <w:t>每月定期做好</w:t>
      </w:r>
      <w:r>
        <w:rPr>
          <w:rFonts w:hint="eastAsia" w:ascii="方正仿宋简体" w:hAnsi="方正仿宋简体" w:eastAsia="方正仿宋简体" w:cs="方正仿宋简体"/>
          <w:color w:val="auto"/>
          <w:sz w:val="28"/>
          <w:szCs w:val="28"/>
          <w:highlight w:val="none"/>
          <w:lang w:eastAsia="zh-CN"/>
        </w:rPr>
        <w:t>安全生产事故</w:t>
      </w:r>
      <w:r>
        <w:rPr>
          <w:rFonts w:hint="eastAsia" w:ascii="方正仿宋简体" w:hAnsi="方正仿宋简体" w:eastAsia="方正仿宋简体" w:cs="方正仿宋简体"/>
          <w:color w:val="auto"/>
          <w:sz w:val="28"/>
          <w:szCs w:val="28"/>
          <w:highlight w:val="none"/>
        </w:rPr>
        <w:t>隐患台帐登记及更新</w:t>
      </w:r>
      <w:r>
        <w:rPr>
          <w:rFonts w:hint="eastAsia" w:ascii="方正仿宋简体" w:hAnsi="方正仿宋简体" w:eastAsia="方正仿宋简体" w:cs="方正仿宋简体"/>
          <w:color w:val="auto"/>
          <w:sz w:val="28"/>
          <w:szCs w:val="28"/>
          <w:highlight w:val="none"/>
          <w:lang w:eastAsia="zh-CN"/>
        </w:rPr>
        <w:t>，确定纳入公司级隐患并报质量安全环保部</w:t>
      </w:r>
      <w:r>
        <w:rPr>
          <w:rFonts w:hint="eastAsia" w:ascii="方正仿宋简体" w:hAnsi="方正仿宋简体" w:eastAsia="方正仿宋简体" w:cs="方正仿宋简体"/>
          <w:color w:val="auto"/>
          <w:sz w:val="28"/>
          <w:szCs w:val="28"/>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5.工程技术部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工程技术部负责组织用户隐患进入5.0系统安全生产事故隐患设计、整改治理管理，协助各部门对隐患治理项目施工承包商队伍管理。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6.财务资产部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lang w:val="en-US" w:eastAsia="zh-CN"/>
        </w:rPr>
      </w:pPr>
      <w:r>
        <w:rPr>
          <w:rFonts w:hint="eastAsia" w:ascii="方正仿宋简体" w:hAnsi="方正仿宋简体" w:eastAsia="方正仿宋简体" w:cs="方正仿宋简体"/>
          <w:color w:val="auto"/>
          <w:sz w:val="28"/>
          <w:szCs w:val="28"/>
          <w:highlight w:val="none"/>
          <w:lang w:val="en-US" w:eastAsia="zh-CN"/>
        </w:rPr>
        <w:t>财务资产部负责安全隐患排查治理工作资金的统筹管理与保障。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color w:val="auto"/>
          <w:sz w:val="28"/>
          <w:szCs w:val="28"/>
          <w:highlight w:val="none"/>
          <w:lang w:val="en-US" w:eastAsia="zh-CN"/>
        </w:rPr>
        <w:t>7</w:t>
      </w:r>
      <w:r>
        <w:rPr>
          <w:rFonts w:hint="eastAsia" w:ascii="方正仿宋简体" w:hAnsi="方正仿宋简体" w:eastAsia="方正仿宋简体" w:cs="方正仿宋简体"/>
          <w:color w:val="auto"/>
          <w:sz w:val="28"/>
          <w:szCs w:val="28"/>
          <w:highlight w:val="none"/>
        </w:rPr>
        <w:t>.其他</w:t>
      </w:r>
      <w:r>
        <w:rPr>
          <w:rFonts w:hint="eastAsia" w:ascii="方正仿宋简体" w:hAnsi="方正仿宋简体" w:eastAsia="方正仿宋简体" w:cs="方正仿宋简体"/>
          <w:color w:val="auto"/>
          <w:sz w:val="28"/>
          <w:szCs w:val="28"/>
          <w:highlight w:val="none"/>
          <w:lang w:eastAsia="zh-CN"/>
        </w:rPr>
        <w:t>部室</w:t>
      </w:r>
      <w:r>
        <w:rPr>
          <w:rFonts w:hint="eastAsia" w:ascii="方正仿宋简体" w:hAnsi="方正仿宋简体" w:eastAsia="方正仿宋简体" w:cs="方正仿宋简体"/>
          <w:color w:val="auto"/>
          <w:sz w:val="28"/>
          <w:szCs w:val="28"/>
          <w:highlight w:val="none"/>
        </w:rPr>
        <w:t>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color w:val="auto"/>
          <w:sz w:val="28"/>
          <w:szCs w:val="28"/>
          <w:highlight w:val="none"/>
        </w:rPr>
        <w:t>负责分管范围内</w:t>
      </w:r>
      <w:r>
        <w:rPr>
          <w:rFonts w:hint="eastAsia" w:ascii="方正仿宋简体" w:hAnsi="方正仿宋简体" w:eastAsia="方正仿宋简体" w:cs="方正仿宋简体"/>
          <w:color w:val="auto"/>
          <w:sz w:val="28"/>
          <w:szCs w:val="28"/>
          <w:highlight w:val="none"/>
          <w:lang w:eastAsia="zh-CN"/>
        </w:rPr>
        <w:t>、属地管理范围内安全生产事故隐患</w:t>
      </w:r>
      <w:r>
        <w:rPr>
          <w:rFonts w:hint="eastAsia" w:ascii="方正仿宋简体" w:hAnsi="方正仿宋简体" w:eastAsia="方正仿宋简体" w:cs="方正仿宋简体"/>
          <w:color w:val="auto"/>
          <w:sz w:val="28"/>
          <w:szCs w:val="28"/>
          <w:highlight w:val="none"/>
        </w:rPr>
        <w:t>排查治理</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及监控工作，建立相应的隐患排查清单和</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台账，</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确定纳入公司级隐患并</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定期上报</w:t>
      </w: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质量安全环保</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8.</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公司每位员工有发现</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的义务。岗位员工应严格执行巡检制度，对发现的</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及时上报，并作好记录。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color w:val="auto"/>
          <w:sz w:val="30"/>
          <w:szCs w:val="30"/>
          <w:lang w:eastAsia="zh-CN"/>
        </w:rPr>
      </w:pPr>
      <w:r>
        <w:rPr>
          <w:rFonts w:hint="eastAsia" w:ascii="方正黑体简体" w:hAnsi="方正黑体简体" w:eastAsia="方正黑体简体" w:cs="方正黑体简体"/>
          <w:b w:val="0"/>
          <w:bCs/>
          <w:color w:val="auto"/>
          <w:sz w:val="30"/>
          <w:szCs w:val="30"/>
          <w:lang w:eastAsia="zh-CN"/>
        </w:rPr>
        <w:t>第三章</w:t>
      </w:r>
      <w:r>
        <w:rPr>
          <w:rFonts w:hint="eastAsia" w:ascii="方正黑体简体" w:hAnsi="方正黑体简体" w:eastAsia="方正黑体简体" w:cs="方正黑体简体"/>
          <w:b w:val="0"/>
          <w:bCs/>
          <w:color w:val="auto"/>
          <w:sz w:val="30"/>
          <w:szCs w:val="30"/>
          <w:lang w:val="en-US" w:eastAsia="zh-CN"/>
        </w:rPr>
        <w:t xml:space="preserve">  </w:t>
      </w:r>
      <w:r>
        <w:rPr>
          <w:rFonts w:hint="eastAsia" w:ascii="方正黑体简体" w:hAnsi="方正黑体简体" w:eastAsia="方正黑体简体" w:cs="方正黑体简体"/>
          <w:b w:val="0"/>
          <w:bCs/>
          <w:color w:val="auto"/>
          <w:sz w:val="30"/>
          <w:szCs w:val="30"/>
          <w:lang w:eastAsia="zh-CN"/>
        </w:rPr>
        <w:t>安全生产事故隐患管理要求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pPr>
      <w:r>
        <w:rPr>
          <w:rFonts w:hint="eastAsia" w:ascii="方正仿宋简体" w:hAnsi="方正仿宋简体" w:eastAsia="方正仿宋简体" w:cs="方正仿宋简体"/>
          <w:b/>
          <w:color w:val="000000" w:themeColor="text1"/>
          <w:sz w:val="28"/>
          <w:szCs w:val="28"/>
          <w:highlight w:val="none"/>
          <w14:textFill>
            <w14:solidFill>
              <w14:schemeClr w14:val="tx1"/>
            </w14:solidFill>
          </w14:textFill>
        </w:rPr>
        <w:t>第七条</w:t>
      </w:r>
      <w:r>
        <w:rPr>
          <w:rFonts w:hint="eastAsia" w:ascii="方正仿宋简体" w:hAnsi="方正仿宋简体" w:eastAsia="方正仿宋简体" w:cs="方正仿宋简体"/>
          <w:b/>
          <w:color w:val="000000" w:themeColor="text1"/>
          <w:sz w:val="28"/>
          <w:szCs w:val="28"/>
          <w:highlight w:val="none"/>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各单位应做好属地范围的安全隐患排查工作，重点做好以下工作</w:t>
      </w:r>
    </w:p>
    <w:p>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1.</w:t>
      </w:r>
      <w:r>
        <w:rPr>
          <w:rFonts w:hint="eastAsia"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t>生产保障中心</w:t>
      </w:r>
      <w:r>
        <w:rPr>
          <w:rFonts w:hint="default"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t>:</w:t>
      </w:r>
      <w:r>
        <w:rPr>
          <w:rFonts w:hint="eastAsia"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t>应</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组织本单位巡线人员对辖区内的地下部分中低压燃气管线（包含庭院燃气管线）、阀井和调压箱</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户外低压燃气管线锈蚀情况等燃气设施进行专项普查，全面掌握燃气管道和设施的布局走向、途径线路、埋设位置、运行维护等方面的基础资料，建立健全详实的数据库和线路图。同时应根据公司目前燃气管网的基础数据，对辖区内的燃气管道和燃气设施圈围、占压、锈蚀、防腐层破损和管线警示标识设置等情况再次进行调查核实，对查出的隐患逐一登记建档，全面掌握圈围、占压、锈蚀和防腐层破损等隐患的数量、种类、占压长度、占压时间、占压距离、锈蚀破损程度和管线警示标识设置等详实情况。组织人员对公司办公、生活区域、车辆、库房、食堂、出租门面等进行全面隐患排查，排查内容包括防火、防盗、电力</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、燃气、</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消防设施等，重点是做好公司库房安全管理工作。检查消防器材是否完整有效，在禁止烟火的地段和库区应严禁明火及吸烟，做好对入库人员安全宣传教育、监督。属地负责人应每天上下班前，要检查库房、库区周围是否有不安全因素存在，门窗、锁是否完好，如有异常应立即采取措施消除隐患。</w:t>
      </w:r>
    </w:p>
    <w:p>
      <w:pPr>
        <w:keepNext w:val="0"/>
        <w:keepLines w:val="0"/>
        <w:pageBreakBefore w:val="0"/>
        <w:widowControl w:val="0"/>
        <w:shd w:val="clea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治理措施：要对高后果地区、重点问题进行梳理，区分轻重缓急，有计划、有步骤地予以治理清除。对危险程度较大的占压圈围、与市政设施交叉、防腐层破损严重等隐患，如管线隐患在人员密集场所(学校、幼儿园、医院、大型商店等)、居民楼和易燃易爆场所等建(构)筑设施的，应集中力量，优先安排施工队伍进行管线改造，防止发生燃气事故；对新发生管道设施圈占的情况，要及时联系公司相关部门和地方政府予以制止和清理;对投产时间长、未整改的占压管线隐患要加强巡检检测，防止因泄漏引发燃气事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auto"/>
          <w:sz w:val="28"/>
          <w:szCs w:val="28"/>
          <w:highlight w:val="none"/>
        </w:rPr>
        <w:t>2.</w:t>
      </w:r>
      <w:r>
        <w:rPr>
          <w:rFonts w:hint="eastAsia" w:ascii="方正仿宋简体" w:hAnsi="方正仿宋简体" w:eastAsia="方正仿宋简体" w:cs="方正仿宋简体"/>
          <w:bCs/>
          <w:color w:val="auto"/>
          <w:sz w:val="28"/>
          <w:szCs w:val="28"/>
          <w:highlight w:val="none"/>
          <w:lang w:eastAsia="zh-CN"/>
        </w:rPr>
        <w:t>顺庆分公司、临江分公司、高坪分公司</w:t>
      </w:r>
      <w:r>
        <w:rPr>
          <w:rFonts w:hint="eastAsia" w:ascii="方正仿宋简体" w:hAnsi="方正仿宋简体" w:eastAsia="方正仿宋简体" w:cs="方正仿宋简体"/>
          <w:bCs/>
          <w:color w:val="auto"/>
          <w:sz w:val="28"/>
          <w:szCs w:val="28"/>
          <w:highlight w:val="none"/>
        </w:rPr>
        <w:t>：要集中力量对</w:t>
      </w:r>
      <w:r>
        <w:rPr>
          <w:rFonts w:hint="eastAsia" w:ascii="方正仿宋简体" w:hAnsi="方正仿宋简体" w:eastAsia="方正仿宋简体" w:cs="方正仿宋简体"/>
          <w:bCs/>
          <w:color w:val="auto"/>
          <w:sz w:val="28"/>
          <w:szCs w:val="28"/>
          <w:highlight w:val="none"/>
          <w:lang w:eastAsia="zh-CN"/>
        </w:rPr>
        <w:t>管理属地范围内</w:t>
      </w:r>
      <w:r>
        <w:rPr>
          <w:rFonts w:hint="eastAsia" w:ascii="方正仿宋简体" w:hAnsi="方正仿宋简体" w:eastAsia="方正仿宋简体" w:cs="方正仿宋简体"/>
          <w:bCs/>
          <w:color w:val="auto"/>
          <w:sz w:val="28"/>
          <w:szCs w:val="28"/>
          <w:highlight w:val="none"/>
        </w:rPr>
        <w:t>用户户内管道、居民老小区、餐饮、宾馆、学校、医院等公共服务用户进行安全检查工作。应按照相关法律法规和标准规范要求，重点检查、户内管道管件、连接软管、计量器具，以及灶具</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、热水器等用户设备的安装使用情况，检查户内装修对燃气设施的影响，并进行漏气检测等。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治理措施：对排查出的漏点、老化及室内硬质管线锈蚀、损坏、超期服役的燃气设备、不符合规范安装、装修密闭包封燃气设施设备、私拉乱接燃气管线、使用不合格燃气器具、用气环境恶劣等隐患应登记造册，鉴于户内安全检查发现的问题种类五花八门，且数量较多，</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各单位</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应建立本单位的隐患台账，按照隐患严重程度进行分级管理，对发现的隐患按照轻重缓急（比如：严重锈蚀燃气管线、漏气、用气环境非常恶劣、热水器安装在浴室或卧室、管线严重锈蚀等问题）应优先安排力量进行整治</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；对私拉乱接隐患和偷盗气进行先期处置，</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如用户不配合应及时协调联系所在街道办事处、社区，积极寻求他们的帮助和支持，同时在得到街道办事处或社区的许可情况下采取停气等措施，</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同步报稽查班进行再次处理，</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确保用户安全。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如需用户自行进行整改的问题应书面告知用户留下相关证据和记录，检查结束后应及时录入隐患台账，由单位通过电话回访的形式再次告知用户，同时要对用户的整改情况进行回访。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3.输配</w:t>
      </w:r>
      <w:r>
        <w:rPr>
          <w:rFonts w:hint="eastAsia"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t>中心</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站：应组织对辖区内</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计量撬装</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和场站内压力管道压力容器及阀门、调压设施、各类仪表、避雷设施、报警装置、消防设施设备、加臭装置等安全运行情况进行检查。检查内容：有无本质安全隐患、清洁、有无锈蚀、防腐是否良好、铭牌是否清晰、各</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传</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动部件是否灵活、密封是否良好、运行参数是否正常、是否有跑</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冒</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滴</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漏等异常情况。要保证每一个场站的生产装置、设备和工艺都不遗漏地进行了清理和排查，发现异常情况应立即汇报进行整改，及时消除安全隐患。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Cs/>
          <w:color w:val="000000" w:themeColor="text1"/>
          <w:sz w:val="28"/>
          <w:szCs w:val="28"/>
          <w:highlight w:val="none"/>
          <w:lang w:val="en-US" w:eastAsia="zh-CN"/>
          <w14:textFill>
            <w14:solidFill>
              <w14:schemeClr w14:val="tx1"/>
            </w14:solidFill>
          </w14:textFill>
        </w:rPr>
        <w:t>4</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.恩阳分公司：安全检查应涉及所有的业务。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
          <w:color w:val="000000" w:themeColor="text1"/>
          <w:sz w:val="28"/>
          <w:szCs w:val="28"/>
          <w:highlight w:val="none"/>
          <w14:textFill>
            <w14:solidFill>
              <w14:schemeClr w14:val="tx1"/>
            </w14:solidFill>
          </w14:textFill>
        </w:rPr>
        <w:t>第八条</w:t>
      </w:r>
      <w:r>
        <w:rPr>
          <w:rFonts w:hint="eastAsia" w:ascii="方正仿宋简体" w:hAnsi="方正仿宋简体" w:eastAsia="方正仿宋简体" w:cs="方正仿宋简体"/>
          <w:b/>
          <w:color w:val="000000" w:themeColor="text1"/>
          <w:sz w:val="28"/>
          <w:szCs w:val="28"/>
          <w:highlight w:val="none"/>
          <w:lang w:val="en-US" w:eastAsia="zh-CN"/>
          <w14:textFill>
            <w14:solidFill>
              <w14:schemeClr w14:val="tx1"/>
            </w14:solidFill>
          </w14:textFill>
        </w:rPr>
        <w:t xml:space="preserve"> </w:t>
      </w:r>
      <w:r>
        <w:rPr>
          <w:rFonts w:hint="eastAsia" w:ascii="方正仿宋简体" w:hAnsi="方正仿宋简体" w:eastAsia="方正仿宋简体" w:cs="方正仿宋简体"/>
          <w:b/>
          <w:color w:val="000000" w:themeColor="text1"/>
          <w:sz w:val="28"/>
          <w:szCs w:val="28"/>
          <w:highlight w:val="none"/>
          <w14:textFill>
            <w14:solidFill>
              <w14:schemeClr w14:val="tx1"/>
            </w14:solidFill>
          </w14:textFill>
        </w:rPr>
        <w:t xml:space="preserve"> </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突出重点，全力解决管道违章第三方隐患问题。按照“全面排查、全面整改”的原则，有计划、有步骤地实施整治，特别对于人口密集、情况严重、危险性大的占压点，要实行隐患整改督办，组织力量集中整治，彻底消除管道安全隐患，确保管道运行安全，坚决杜绝事故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
          <w:color w:val="000000" w:themeColor="text1"/>
          <w:sz w:val="28"/>
          <w:szCs w:val="28"/>
          <w:highlight w:val="none"/>
          <w14:textFill>
            <w14:solidFill>
              <w14:schemeClr w14:val="tx1"/>
            </w14:solidFill>
          </w14:textFill>
        </w:rPr>
        <w:t>第九条</w:t>
      </w:r>
      <w:r>
        <w:rPr>
          <w:rFonts w:hint="eastAsia" w:ascii="方正仿宋简体" w:hAnsi="方正仿宋简体" w:eastAsia="方正仿宋简体" w:cs="方正仿宋简体"/>
          <w:b/>
          <w:color w:val="000000" w:themeColor="text1"/>
          <w:sz w:val="28"/>
          <w:szCs w:val="28"/>
          <w:highlight w:val="none"/>
          <w:lang w:val="en-US" w:eastAsia="zh-CN"/>
          <w14:textFill>
            <w14:solidFill>
              <w14:schemeClr w14:val="tx1"/>
            </w14:solidFill>
          </w14:textFill>
        </w:rPr>
        <w:t xml:space="preserve"> </w:t>
      </w:r>
      <w:r>
        <w:rPr>
          <w:rFonts w:hint="eastAsia" w:ascii="方正仿宋简体" w:hAnsi="方正仿宋简体" w:eastAsia="方正仿宋简体" w:cs="方正仿宋简体"/>
          <w:b/>
          <w:color w:val="000000" w:themeColor="text1"/>
          <w:sz w:val="28"/>
          <w:szCs w:val="28"/>
          <w:highlight w:val="none"/>
          <w14:textFill>
            <w14:solidFill>
              <w14:schemeClr w14:val="tx1"/>
            </w14:solidFill>
          </w14:textFill>
        </w:rPr>
        <w:t xml:space="preserve"> </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畅通信息，充分发挥</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新闻</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媒体舆论监督作用。</w:t>
      </w:r>
      <w:r>
        <w:rPr>
          <w:rFonts w:hint="eastAsia" w:ascii="方正仿宋简体" w:hAnsi="方正仿宋简体" w:eastAsia="方正仿宋简体" w:cs="方正仿宋简体"/>
          <w:bCs/>
          <w:color w:val="000000" w:themeColor="text1"/>
          <w:sz w:val="28"/>
          <w:szCs w:val="28"/>
          <w:highlight w:val="none"/>
          <w:lang w:eastAsia="zh-CN"/>
          <w14:textFill>
            <w14:solidFill>
              <w14:schemeClr w14:val="tx1"/>
            </w14:solidFill>
          </w14:textFill>
        </w:rPr>
        <w:t>要</w:t>
      </w:r>
      <w:r>
        <w:rPr>
          <w:rFonts w:hint="eastAsia" w:ascii="方正仿宋简体" w:hAnsi="方正仿宋简体" w:eastAsia="方正仿宋简体" w:cs="方正仿宋简体"/>
          <w:bCs/>
          <w:color w:val="000000" w:themeColor="text1"/>
          <w:sz w:val="28"/>
          <w:szCs w:val="28"/>
          <w:highlight w:val="none"/>
          <w14:textFill>
            <w14:solidFill>
              <w14:schemeClr w14:val="tx1"/>
            </w14:solidFill>
          </w14:textFill>
        </w:rPr>
        <w:t>加大宣传力度，突出燃气安全的重要性、社会性，宣传燃气安全知识，努力形成全社会共同关注燃气安全的局面；要建立情况定期通报和信息共享机制，加强各部门、各单位协作配合，实现信息互通、资源共享，避免产生新的占压和安全隐患；对于重大安全隐患要及时向属地政府和市局报告并跟踪整改进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28"/>
          <w:szCs w:val="28"/>
          <w:highlight w:val="none"/>
          <w14:textFill>
            <w14:solidFill>
              <w14:schemeClr w14:val="tx1"/>
            </w14:solidFill>
          </w14:textFill>
        </w:rPr>
        <w:t>第十条</w:t>
      </w:r>
      <w:r>
        <w:rPr>
          <w:rFonts w:hint="eastAsia" w:ascii="方正仿宋简体" w:hAnsi="方正仿宋简体" w:eastAsia="方正仿宋简体" w:cs="方正仿宋简体"/>
          <w:b/>
          <w:bCs/>
          <w:color w:val="000000" w:themeColor="text1"/>
          <w:sz w:val="28"/>
          <w:szCs w:val="28"/>
          <w:highlight w:val="none"/>
          <w:lang w:val="en-US" w:eastAsia="zh-CN"/>
          <w14:textFill>
            <w14:solidFill>
              <w14:schemeClr w14:val="tx1"/>
            </w14:solidFill>
          </w14:textFill>
        </w:rPr>
        <w:t xml:space="preserve">  </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公司定期</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组织</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开展安全生产检查</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，并对</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安全生产状况</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进行</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评估、评价</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w:t>
      </w:r>
      <w:r>
        <w:rPr>
          <w:rFonts w:hint="eastAsia" w:ascii="方正仿宋简体" w:hAnsi="方正仿宋简体" w:eastAsia="方正仿宋简体" w:cs="方正仿宋简体"/>
          <w:color w:val="auto"/>
          <w:sz w:val="28"/>
          <w:szCs w:val="28"/>
          <w:highlight w:val="none"/>
          <w:lang w:eastAsia="zh-CN"/>
        </w:rPr>
        <w:t>安全生产检查分为公司级、基层单位级、班组级安全检查。其中公司级安全检查每月由公司分管安全的领导和公司安全机构管理人员组织开展，基层单位级安全检查每月由基层单位负责人组织开展对属地范围内进行检查，班组级安全检查每日由班组组织岗位人员开展对属地设备设施运行状况进行检查。针对日常特点、季节特点、专业特点、节假日特点开展日常性检查、季节性检查、专业性检查、节假日检查和综合性检查，公司级安全检查可以与安全联系检查形式一并开展。针对</w:t>
      </w:r>
      <w:r>
        <w:rPr>
          <w:rFonts w:hint="eastAsia" w:ascii="方正仿宋简体" w:hAnsi="方正仿宋简体" w:eastAsia="方正仿宋简体" w:cs="方正仿宋简体"/>
          <w:color w:val="auto"/>
          <w:sz w:val="28"/>
          <w:szCs w:val="28"/>
          <w:highlight w:val="none"/>
        </w:rPr>
        <w:t>查找</w:t>
      </w:r>
      <w:r>
        <w:rPr>
          <w:rFonts w:hint="eastAsia" w:ascii="方正仿宋简体" w:hAnsi="方正仿宋简体" w:eastAsia="方正仿宋简体" w:cs="方正仿宋简体"/>
          <w:color w:val="auto"/>
          <w:sz w:val="28"/>
          <w:szCs w:val="28"/>
          <w:highlight w:val="none"/>
          <w:lang w:eastAsia="zh-CN"/>
        </w:rPr>
        <w:t>出的安全生产事故隐患，应制定</w:t>
      </w:r>
      <w:r>
        <w:rPr>
          <w:rFonts w:hint="eastAsia" w:ascii="方正仿宋简体" w:hAnsi="方正仿宋简体" w:eastAsia="方正仿宋简体" w:cs="方正仿宋简体"/>
          <w:color w:val="auto"/>
          <w:sz w:val="28"/>
          <w:szCs w:val="28"/>
          <w:highlight w:val="none"/>
        </w:rPr>
        <w:t>隐患整改计</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划，实施隐患整改工作，全面掌握</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治理工作。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r>
        <w:rPr>
          <w:rFonts w:hint="eastAsia" w:ascii="方正仿宋简体" w:hAnsi="方正仿宋简体" w:eastAsia="方正仿宋简体" w:cs="方正仿宋简体"/>
          <w:b/>
          <w:bCs/>
          <w:color w:val="auto"/>
          <w:sz w:val="28"/>
          <w:szCs w:val="28"/>
          <w:highlight w:val="none"/>
          <w:lang w:eastAsia="zh-CN"/>
        </w:rPr>
        <w:t>第十一条</w:t>
      </w:r>
      <w:r>
        <w:rPr>
          <w:rFonts w:hint="eastAsia" w:ascii="方正仿宋简体" w:hAnsi="方正仿宋简体" w:eastAsia="方正仿宋简体" w:cs="方正仿宋简体"/>
          <w:b/>
          <w:bCs/>
          <w:color w:val="auto"/>
          <w:sz w:val="28"/>
          <w:szCs w:val="28"/>
          <w:highlight w:val="none"/>
          <w:lang w:val="en-US" w:eastAsia="zh-CN"/>
        </w:rPr>
        <w:t xml:space="preserve"> </w:t>
      </w:r>
      <w:r>
        <w:rPr>
          <w:rFonts w:hint="eastAsia" w:ascii="方正仿宋简体" w:hAnsi="方正仿宋简体" w:eastAsia="方正仿宋简体" w:cs="方正仿宋简体"/>
          <w:color w:val="FF0000"/>
          <w:sz w:val="28"/>
          <w:szCs w:val="28"/>
          <w:highlight w:val="none"/>
          <w:lang w:val="en-US" w:eastAsia="zh-CN"/>
        </w:rPr>
        <w:t xml:space="preserve"> </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各单位应监控本单位所辖范围各类</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，建立隐患台账，对发现的较大隐患风险，且不能在</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短</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时间整改的，按照公司规定隐患台账定格式上报</w:t>
      </w: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质量</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安全</w:t>
      </w:r>
      <w:r>
        <w:rPr>
          <w:rFonts w:hint="eastAsia" w:ascii="方正仿宋简体" w:hAnsi="方正仿宋简体" w:eastAsia="方正仿宋简体" w:cs="方正仿宋简体"/>
          <w:color w:val="000000" w:themeColor="text1"/>
          <w:sz w:val="28"/>
          <w:szCs w:val="28"/>
          <w:highlight w:val="none"/>
          <w:lang w:val="en-US" w:eastAsia="zh-CN"/>
          <w14:textFill>
            <w14:solidFill>
              <w14:schemeClr w14:val="tx1"/>
            </w14:solidFill>
          </w14:textFill>
        </w:rPr>
        <w:t>环保</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部，隐患整改后及时对原台帐进行销项处理并提供整改证据，形成该</w:t>
      </w:r>
      <w:r>
        <w:rPr>
          <w:rFonts w:hint="eastAsia" w:ascii="方正仿宋简体" w:hAnsi="方正仿宋简体" w:eastAsia="方正仿宋简体" w:cs="方正仿宋简体"/>
          <w:color w:val="000000" w:themeColor="text1"/>
          <w:sz w:val="28"/>
          <w:szCs w:val="28"/>
          <w:highlight w:val="none"/>
          <w:lang w:eastAsia="zh-CN"/>
          <w14:textFill>
            <w14:solidFill>
              <w14:schemeClr w14:val="tx1"/>
            </w14:solidFill>
          </w14:textFill>
        </w:rPr>
        <w:t>安全生产事故隐患</w:t>
      </w:r>
      <w:r>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t>整改全过程的闭环管理。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color w:val="000000" w:themeColor="text1"/>
          <w:sz w:val="28"/>
          <w:szCs w:val="28"/>
          <w:highlight w:val="none"/>
          <w14:textFill>
            <w14:solidFill>
              <w14:schemeClr w14:val="tx1"/>
            </w14:solidFill>
          </w14:textFill>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afterLines="0" w:line="240" w:lineRule="atLeast"/>
        <w:jc w:val="center"/>
        <w:textAlignment w:val="auto"/>
        <w:outlineLvl w:val="1"/>
        <w:rPr>
          <w:rFonts w:hint="eastAsia"/>
          <w:b w:val="0"/>
          <w:bCs/>
          <w:sz w:val="30"/>
          <w:szCs w:val="30"/>
        </w:rPr>
      </w:pPr>
      <w:bookmarkStart w:id="1228" w:name="_Toc24625"/>
      <w:r>
        <w:rPr>
          <w:rFonts w:hint="eastAsia" w:ascii="方正黑体简体" w:hAnsi="方正黑体简体" w:eastAsia="方正黑体简体" w:cs="方正黑体简体"/>
          <w:b w:val="0"/>
          <w:bCs/>
          <w:sz w:val="30"/>
          <w:szCs w:val="30"/>
          <w:lang w:eastAsia="zh-CN"/>
        </w:rPr>
        <w:t>第四章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考核及奖惩</w:t>
      </w:r>
      <w:bookmarkEnd w:id="1228"/>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b/>
          <w:sz w:val="28"/>
          <w:szCs w:val="28"/>
        </w:rPr>
        <w:t>第十二条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highlight w:val="none"/>
          <w:lang w:eastAsia="zh-CN"/>
        </w:rPr>
        <w:t>安全生产事故隐患</w:t>
      </w:r>
      <w:r>
        <w:rPr>
          <w:rFonts w:hint="eastAsia" w:ascii="方正仿宋简体" w:hAnsi="方正仿宋简体" w:eastAsia="方正仿宋简体" w:cs="方正仿宋简体"/>
          <w:sz w:val="28"/>
          <w:szCs w:val="28"/>
          <w:highlight w:val="none"/>
        </w:rPr>
        <w:t>管理工作纳入公司月度绩效考核中。员工（工作职责和属地范围外）及时发现生产作业、经营等场所存在的事故隐患，同时向生产作业、经营等场所的属地负责人报告，及时消除事故隐患一次奖1分。对</w:t>
      </w:r>
      <w:r>
        <w:rPr>
          <w:rFonts w:hint="eastAsia" w:ascii="方正仿宋简体" w:hAnsi="方正仿宋简体" w:eastAsia="方正仿宋简体" w:cs="方正仿宋简体"/>
          <w:sz w:val="28"/>
          <w:szCs w:val="28"/>
          <w:highlight w:val="none"/>
          <w:lang w:eastAsia="zh-CN"/>
        </w:rPr>
        <w:t>安全生产事故隐患</w:t>
      </w:r>
      <w:r>
        <w:rPr>
          <w:rFonts w:hint="eastAsia" w:ascii="方正仿宋简体" w:hAnsi="方正仿宋简体" w:eastAsia="方正仿宋简体" w:cs="方正仿宋简体"/>
          <w:sz w:val="28"/>
          <w:szCs w:val="28"/>
          <w:highlight w:val="none"/>
        </w:rPr>
        <w:t>管理工作作出显著成绩的单位和个人，公司给予表彰和奖励。</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color w:val="auto"/>
          <w:sz w:val="28"/>
          <w:szCs w:val="28"/>
          <w:highlight w:val="none"/>
        </w:rPr>
      </w:pPr>
      <w:r>
        <w:rPr>
          <w:rFonts w:hint="eastAsia" w:ascii="方正仿宋简体" w:hAnsi="方正仿宋简体" w:eastAsia="方正仿宋简体" w:cs="方正仿宋简体"/>
          <w:b/>
          <w:sz w:val="28"/>
          <w:szCs w:val="28"/>
          <w:highlight w:val="none"/>
        </w:rPr>
        <w:t>第十三条</w:t>
      </w:r>
      <w:r>
        <w:rPr>
          <w:rFonts w:hint="eastAsia" w:ascii="方正仿宋简体" w:hAnsi="方正仿宋简体" w:eastAsia="方正仿宋简体" w:cs="方正仿宋简体"/>
          <w:b/>
          <w:sz w:val="28"/>
          <w:szCs w:val="28"/>
          <w:highlight w:val="none"/>
          <w:lang w:val="en-US" w:eastAsia="zh-CN"/>
        </w:rPr>
        <w:t xml:space="preserve"> </w:t>
      </w:r>
      <w:r>
        <w:rPr>
          <w:rFonts w:hint="eastAsia" w:ascii="方正仿宋简体" w:hAnsi="方正仿宋简体" w:eastAsia="方正仿宋简体" w:cs="方正仿宋简体"/>
          <w:sz w:val="28"/>
          <w:szCs w:val="28"/>
          <w:highlight w:val="none"/>
        </w:rPr>
        <w:t xml:space="preserve"> 违反本办法的有关规定，未能及时发现生产作业经营等场所存在的事故隐患在考核中</w:t>
      </w:r>
      <w:r>
        <w:rPr>
          <w:rFonts w:hint="eastAsia" w:ascii="方正仿宋简体" w:hAnsi="方正仿宋简体" w:eastAsia="方正仿宋简体" w:cs="方正仿宋简体"/>
          <w:sz w:val="28"/>
          <w:szCs w:val="28"/>
          <w:highlight w:val="none"/>
          <w:lang w:eastAsia="zh-CN"/>
        </w:rPr>
        <w:t>一次</w:t>
      </w:r>
      <w:r>
        <w:rPr>
          <w:rFonts w:hint="eastAsia" w:ascii="方正仿宋简体" w:hAnsi="方正仿宋简体" w:eastAsia="方正仿宋简体" w:cs="方正仿宋简体"/>
          <w:color w:val="auto"/>
          <w:sz w:val="28"/>
          <w:szCs w:val="28"/>
          <w:highlight w:val="none"/>
        </w:rPr>
        <w:t>扣1分；未按要求建立本单位、部门隐患台帐扣1分</w:t>
      </w:r>
      <w:r>
        <w:rPr>
          <w:rFonts w:hint="eastAsia" w:ascii="方正仿宋简体" w:hAnsi="方正仿宋简体" w:eastAsia="方正仿宋简体" w:cs="方正仿宋简体"/>
          <w:color w:val="auto"/>
          <w:sz w:val="28"/>
          <w:szCs w:val="28"/>
          <w:highlight w:val="none"/>
          <w:lang w:eastAsia="zh-CN"/>
        </w:rPr>
        <w:t>；</w:t>
      </w:r>
      <w:r>
        <w:rPr>
          <w:rFonts w:hint="eastAsia" w:ascii="方正仿宋简体" w:hAnsi="方正仿宋简体" w:eastAsia="方正仿宋简体" w:cs="方正仿宋简体"/>
          <w:color w:val="auto"/>
          <w:sz w:val="28"/>
          <w:szCs w:val="28"/>
          <w:highlight w:val="none"/>
        </w:rPr>
        <w:t>未销项管理扣0.5分</w:t>
      </w:r>
      <w:r>
        <w:rPr>
          <w:rFonts w:hint="eastAsia" w:ascii="方正仿宋简体" w:hAnsi="方正仿宋简体" w:eastAsia="方正仿宋简体" w:cs="方正仿宋简体"/>
          <w:color w:val="auto"/>
          <w:sz w:val="28"/>
          <w:szCs w:val="28"/>
          <w:highlight w:val="none"/>
          <w:lang w:eastAsia="zh-CN"/>
        </w:rPr>
        <w:t>；</w:t>
      </w:r>
      <w:r>
        <w:rPr>
          <w:rFonts w:hint="eastAsia" w:ascii="方正仿宋简体" w:hAnsi="方正仿宋简体" w:eastAsia="方正仿宋简体" w:cs="方正仿宋简体"/>
          <w:color w:val="auto"/>
          <w:sz w:val="28"/>
          <w:szCs w:val="28"/>
          <w:highlight w:val="none"/>
        </w:rPr>
        <w:t>在规定时间</w:t>
      </w:r>
      <w:r>
        <w:rPr>
          <w:rFonts w:hint="eastAsia" w:ascii="方正仿宋简体" w:hAnsi="方正仿宋简体" w:eastAsia="方正仿宋简体" w:cs="方正仿宋简体"/>
          <w:color w:val="auto"/>
          <w:sz w:val="28"/>
          <w:szCs w:val="28"/>
          <w:highlight w:val="none"/>
          <w:lang w:eastAsia="zh-CN"/>
        </w:rPr>
        <w:t>未</w:t>
      </w:r>
      <w:r>
        <w:rPr>
          <w:rFonts w:hint="eastAsia" w:ascii="方正仿宋简体" w:hAnsi="方正仿宋简体" w:eastAsia="方正仿宋简体" w:cs="方正仿宋简体"/>
          <w:color w:val="auto"/>
          <w:sz w:val="28"/>
          <w:szCs w:val="28"/>
          <w:highlight w:val="none"/>
        </w:rPr>
        <w:t>回复并</w:t>
      </w:r>
      <w:r>
        <w:rPr>
          <w:rFonts w:hint="eastAsia" w:ascii="方正仿宋简体" w:hAnsi="方正仿宋简体" w:eastAsia="方正仿宋简体" w:cs="方正仿宋简体"/>
          <w:color w:val="auto"/>
          <w:sz w:val="28"/>
          <w:szCs w:val="28"/>
          <w:highlight w:val="none"/>
          <w:lang w:eastAsia="zh-CN"/>
        </w:rPr>
        <w:t>未有效</w:t>
      </w:r>
      <w:r>
        <w:rPr>
          <w:rFonts w:hint="eastAsia" w:ascii="方正仿宋简体" w:hAnsi="方正仿宋简体" w:eastAsia="方正仿宋简体" w:cs="方正仿宋简体"/>
          <w:color w:val="auto"/>
          <w:sz w:val="28"/>
          <w:szCs w:val="28"/>
          <w:highlight w:val="none"/>
        </w:rPr>
        <w:t>整改</w:t>
      </w:r>
      <w:r>
        <w:rPr>
          <w:rFonts w:hint="eastAsia" w:ascii="方正仿宋简体" w:hAnsi="方正仿宋简体" w:eastAsia="方正仿宋简体" w:cs="方正仿宋简体"/>
          <w:color w:val="auto"/>
          <w:sz w:val="28"/>
          <w:szCs w:val="28"/>
          <w:highlight w:val="none"/>
          <w:lang w:eastAsia="zh-CN"/>
        </w:rPr>
        <w:t>安全隐患的</w:t>
      </w:r>
      <w:r>
        <w:rPr>
          <w:rFonts w:hint="eastAsia" w:ascii="方正仿宋简体" w:hAnsi="方正仿宋简体" w:eastAsia="方正仿宋简体" w:cs="方正仿宋简体"/>
          <w:color w:val="auto"/>
          <w:sz w:val="28"/>
          <w:szCs w:val="28"/>
          <w:highlight w:val="none"/>
        </w:rPr>
        <w:t>一次扣1分。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color w:val="auto"/>
          <w:sz w:val="28"/>
          <w:szCs w:val="28"/>
          <w:highlight w:val="none"/>
        </w:rPr>
        <w:t>第十四条</w:t>
      </w:r>
      <w:r>
        <w:rPr>
          <w:rFonts w:hint="eastAsia" w:ascii="方正仿宋简体" w:hAnsi="方正仿宋简体" w:eastAsia="方正仿宋简体" w:cs="方正仿宋简体"/>
          <w:b/>
          <w:color w:val="auto"/>
          <w:sz w:val="28"/>
          <w:szCs w:val="28"/>
          <w:highlight w:val="none"/>
          <w:lang w:val="en-US" w:eastAsia="zh-CN"/>
        </w:rPr>
        <w:t xml:space="preserve">  </w:t>
      </w:r>
      <w:r>
        <w:rPr>
          <w:rFonts w:hint="eastAsia" w:ascii="方正仿宋简体" w:hAnsi="方正仿宋简体" w:eastAsia="方正仿宋简体" w:cs="方正仿宋简体"/>
          <w:color w:val="auto"/>
          <w:sz w:val="28"/>
          <w:szCs w:val="28"/>
          <w:highlight w:val="none"/>
        </w:rPr>
        <w:t>违反本办法的有关规定，致使公司装置及其附</w:t>
      </w:r>
      <w:r>
        <w:rPr>
          <w:rFonts w:hint="eastAsia" w:ascii="方正仿宋简体" w:hAnsi="方正仿宋简体" w:eastAsia="方正仿宋简体" w:cs="方正仿宋简体"/>
          <w:sz w:val="28"/>
          <w:szCs w:val="28"/>
        </w:rPr>
        <w:t>属设施发生泄漏、火灾、爆炸等责任事故的，视其情节轻重给予行政处分和经济处罚，直至追究法律责任。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afterLines="0" w:line="240" w:lineRule="atLeast"/>
        <w:jc w:val="center"/>
        <w:textAlignment w:val="auto"/>
        <w:outlineLvl w:val="1"/>
        <w:rPr>
          <w:rFonts w:hint="eastAsia" w:ascii="方正黑体简体" w:hAnsi="方正黑体简体" w:eastAsia="方正黑体简体" w:cs="方正黑体简体"/>
          <w:b w:val="0"/>
          <w:bCs/>
          <w:sz w:val="30"/>
          <w:szCs w:val="30"/>
          <w:lang w:eastAsia="zh-CN"/>
        </w:rPr>
      </w:pPr>
      <w:bookmarkStart w:id="1229" w:name="_Toc26149"/>
      <w:r>
        <w:rPr>
          <w:rFonts w:hint="eastAsia" w:ascii="方正黑体简体" w:hAnsi="方正黑体简体" w:eastAsia="方正黑体简体" w:cs="方正黑体简体"/>
          <w:b w:val="0"/>
          <w:bCs/>
          <w:sz w:val="30"/>
          <w:szCs w:val="30"/>
          <w:lang w:eastAsia="zh-CN"/>
        </w:rPr>
        <w:t>第五章  附 则</w:t>
      </w:r>
      <w:bookmarkEnd w:id="122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val="0"/>
          <w:sz w:val="28"/>
          <w:szCs w:val="28"/>
        </w:rPr>
        <w:t>第十五条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 xml:space="preserve"> 本办法从下发之日起施行。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sz w:val="28"/>
          <w:szCs w:val="28"/>
        </w:rPr>
        <w:t>第十六条</w:t>
      </w:r>
      <w:r>
        <w:rPr>
          <w:rFonts w:hint="eastAsia" w:ascii="方正仿宋简体" w:hAnsi="方正仿宋简体" w:eastAsia="方正仿宋简体" w:cs="方正仿宋简体"/>
          <w:b/>
          <w:sz w:val="28"/>
          <w:szCs w:val="28"/>
          <w:lang w:val="en-US" w:eastAsia="zh-CN"/>
        </w:rPr>
        <w:t xml:space="preserve"> </w:t>
      </w:r>
      <w:r>
        <w:rPr>
          <w:rFonts w:hint="eastAsia" w:ascii="方正仿宋简体" w:hAnsi="方正仿宋简体" w:eastAsia="方正仿宋简体" w:cs="方正仿宋简体"/>
          <w:sz w:val="28"/>
          <w:szCs w:val="28"/>
        </w:rPr>
        <w:t xml:space="preserve"> 本办法的维护及解释由</w:t>
      </w:r>
      <w:r>
        <w:rPr>
          <w:rFonts w:hint="eastAsia" w:ascii="方正仿宋简体" w:hAnsi="方正仿宋简体" w:eastAsia="方正仿宋简体" w:cs="方正仿宋简体"/>
          <w:color w:val="000000" w:themeColor="text1"/>
          <w:sz w:val="28"/>
          <w:szCs w:val="28"/>
          <w:lang w:val="en-US" w:eastAsia="zh-CN"/>
          <w14:textFill>
            <w14:solidFill>
              <w14:schemeClr w14:val="tx1"/>
            </w14:solidFill>
          </w14:textFill>
        </w:rPr>
        <w:t>质量</w:t>
      </w:r>
      <w:r>
        <w:rPr>
          <w:rFonts w:hint="eastAsia" w:ascii="方正仿宋简体" w:hAnsi="方正仿宋简体" w:eastAsia="方正仿宋简体" w:cs="方正仿宋简体"/>
          <w:color w:val="000000" w:themeColor="text1"/>
          <w:sz w:val="28"/>
          <w:szCs w:val="28"/>
          <w14:textFill>
            <w14:solidFill>
              <w14:schemeClr w14:val="tx1"/>
            </w14:solidFill>
          </w14:textFill>
        </w:rPr>
        <w:t>安全</w:t>
      </w:r>
      <w:r>
        <w:rPr>
          <w:rFonts w:hint="eastAsia" w:ascii="方正仿宋简体" w:hAnsi="方正仿宋简体" w:eastAsia="方正仿宋简体" w:cs="方正仿宋简体"/>
          <w:color w:val="000000" w:themeColor="text1"/>
          <w:sz w:val="28"/>
          <w:szCs w:val="28"/>
          <w:lang w:val="en-US" w:eastAsia="zh-CN"/>
          <w14:textFill>
            <w14:solidFill>
              <w14:schemeClr w14:val="tx1"/>
            </w14:solidFill>
          </w14:textFill>
        </w:rPr>
        <w:t>环保</w:t>
      </w:r>
      <w:r>
        <w:rPr>
          <w:rFonts w:hint="eastAsia" w:ascii="方正仿宋简体" w:hAnsi="方正仿宋简体" w:eastAsia="方正仿宋简体" w:cs="方正仿宋简体"/>
          <w:color w:val="000000" w:themeColor="text1"/>
          <w:sz w:val="28"/>
          <w:szCs w:val="28"/>
          <w14:textFill>
            <w14:solidFill>
              <w14:schemeClr w14:val="tx1"/>
            </w14:solidFill>
          </w14:textFill>
        </w:rPr>
        <w:t>部负</w:t>
      </w:r>
      <w:r>
        <w:rPr>
          <w:rFonts w:hint="eastAsia" w:ascii="方正仿宋简体" w:hAnsi="方正仿宋简体" w:eastAsia="方正仿宋简体" w:cs="方正仿宋简体"/>
          <w:sz w:val="28"/>
          <w:szCs w:val="28"/>
        </w:rPr>
        <w:t>责</w:t>
      </w:r>
    </w:p>
    <w:p>
      <w:pPr>
        <w:bidi w:val="0"/>
        <w:rPr>
          <w:rFonts w:hint="eastAsia" w:ascii="方正黑体简体" w:hAnsi="方正黑体简体" w:eastAsia="方正黑体简体" w:cs="方正黑体简体"/>
          <w:sz w:val="32"/>
          <w:szCs w:val="32"/>
          <w:lang w:val="en-US" w:eastAsia="zh-CN"/>
        </w:rPr>
      </w:pPr>
    </w:p>
    <w:p>
      <w:pPr>
        <w:bidi w:val="0"/>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附件1  公司隐患排查治理流程总图</w:t>
      </w:r>
    </w:p>
    <w:p/>
    <w:p>
      <w:pPr>
        <w:rPr>
          <w:rFonts w:hint="eastAsia" w:eastAsiaTheme="minorEastAsia"/>
          <w:lang w:eastAsia="zh-CN"/>
        </w:rPr>
      </w:pPr>
      <w:r>
        <w:rPr>
          <w:rFonts w:hint="eastAsia" w:eastAsiaTheme="minorEastAsia"/>
          <w:lang w:eastAsia="zh-CN"/>
        </w:rPr>
        <w:drawing>
          <wp:inline distT="0" distB="0" distL="114300" distR="114300">
            <wp:extent cx="5596890" cy="6715760"/>
            <wp:effectExtent l="0" t="0" r="0" b="0"/>
            <wp:docPr id="5" name="ECB019B1-382A-4266-B25C-5B523AA43C14-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6" descr="qt_temp"/>
                    <pic:cNvPicPr>
                      <a:picLocks noChangeAspect="1"/>
                    </pic:cNvPicPr>
                  </pic:nvPicPr>
                  <pic:blipFill>
                    <a:blip r:embed="rId27"/>
                    <a:srcRect t="4385"/>
                    <a:stretch>
                      <a:fillRect/>
                    </a:stretch>
                  </pic:blipFill>
                  <pic:spPr>
                    <a:xfrm>
                      <a:off x="0" y="0"/>
                      <a:ext cx="5596890" cy="6715760"/>
                    </a:xfrm>
                    <a:prstGeom prst="rect">
                      <a:avLst/>
                    </a:prstGeom>
                  </pic:spPr>
                </pic:pic>
              </a:graphicData>
            </a:graphic>
          </wp:inline>
        </w:drawing>
      </w:r>
    </w:p>
    <w:p/>
    <w:p/>
    <w:p/>
    <w:p>
      <w:pPr>
        <w:rPr>
          <w:rFonts w:hint="eastAsia"/>
          <w:sz w:val="28"/>
          <w:szCs w:val="28"/>
          <w:lang w:val="en-US" w:eastAsia="zh-CN"/>
        </w:rPr>
      </w:pPr>
    </w:p>
    <w:p>
      <w:pP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附件2  公司管道隐患台帐隐患治理流程图</w:t>
      </w:r>
    </w:p>
    <w:p>
      <w:pPr>
        <w:rPr>
          <w:sz w:val="28"/>
          <w:szCs w:val="28"/>
        </w:rPr>
      </w:pPr>
      <w:r>
        <w:rPr>
          <w:rFonts w:hint="default"/>
          <w:sz w:val="44"/>
          <w:szCs w:val="44"/>
          <w:lang w:val="en-US" w:eastAsia="zh-CN"/>
        </w:rPr>
        <w:drawing>
          <wp:inline distT="0" distB="0" distL="114300" distR="114300">
            <wp:extent cx="4933315" cy="8136255"/>
            <wp:effectExtent l="0" t="0" r="0" b="0"/>
            <wp:docPr id="7" name="ECB019B1-382A-4266-B25C-5B523AA43C14-7" descr="C:/Users/32547/AppData/Local/Temp/qt_temp.f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7" descr="C:/Users/32547/AppData/Local/Temp/qt_temp.f16372qt_temp"/>
                    <pic:cNvPicPr>
                      <a:picLocks noChangeAspect="1"/>
                    </pic:cNvPicPr>
                  </pic:nvPicPr>
                  <pic:blipFill>
                    <a:blip r:embed="rId28"/>
                    <a:srcRect l="325" t="2917" r="5662"/>
                    <a:stretch>
                      <a:fillRect/>
                    </a:stretch>
                  </pic:blipFill>
                  <pic:spPr>
                    <a:xfrm>
                      <a:off x="0" y="0"/>
                      <a:ext cx="4933315" cy="8136255"/>
                    </a:xfrm>
                    <a:prstGeom prst="rect">
                      <a:avLst/>
                    </a:prstGeom>
                  </pic:spPr>
                </pic:pic>
              </a:graphicData>
            </a:graphic>
          </wp:inline>
        </w:drawing>
      </w:r>
    </w:p>
    <w:p>
      <w:pPr>
        <w:widowControl w:val="0"/>
        <w:numPr>
          <w:ilvl w:val="0"/>
          <w:numId w:val="0"/>
        </w:numPr>
        <w:ind w:leftChars="0"/>
        <w:jc w:val="both"/>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附件3  用户隐患排查处理流程图</w:t>
      </w:r>
    </w:p>
    <w:p/>
    <w:p>
      <w:pPr>
        <w:rPr>
          <w:rFonts w:hint="eastAsia" w:eastAsia="宋体"/>
          <w:lang w:eastAsia="zh-CN"/>
        </w:rPr>
      </w:pPr>
      <w:r>
        <w:rPr>
          <w:rFonts w:hint="eastAsia" w:eastAsia="宋体"/>
          <w:lang w:eastAsia="zh-CN"/>
        </w:rPr>
        <w:drawing>
          <wp:inline distT="0" distB="0" distL="114300" distR="114300">
            <wp:extent cx="5281295" cy="7920355"/>
            <wp:effectExtent l="0" t="0" r="6985" b="4445"/>
            <wp:docPr id="4" name="图片 4" descr="隐患处理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隐患处理流程图2"/>
                    <pic:cNvPicPr>
                      <a:picLocks noChangeAspect="1"/>
                    </pic:cNvPicPr>
                  </pic:nvPicPr>
                  <pic:blipFill>
                    <a:blip r:embed="rId35"/>
                    <a:stretch>
                      <a:fillRect/>
                    </a:stretch>
                  </pic:blipFill>
                  <pic:spPr>
                    <a:xfrm>
                      <a:off x="0" y="0"/>
                      <a:ext cx="5281295" cy="7920355"/>
                    </a:xfrm>
                    <a:prstGeom prst="rect">
                      <a:avLst/>
                    </a:prstGeom>
                  </pic:spPr>
                </pic:pic>
              </a:graphicData>
            </a:graphic>
          </wp:inline>
        </w:drawing>
      </w:r>
    </w:p>
    <w:p/>
    <w:p/>
    <w:p/>
    <w:p/>
    <w:p>
      <w:pPr>
        <w:widowControl w:val="0"/>
        <w:numPr>
          <w:ilvl w:val="0"/>
          <w:numId w:val="0"/>
        </w:numPr>
        <w:ind w:leftChars="0"/>
        <w:jc w:val="both"/>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附件4  用户申请隐患整改流程图</w:t>
      </w:r>
    </w:p>
    <w:p>
      <w:pPr>
        <w:rPr>
          <w:rFonts w:hint="default"/>
          <w:sz w:val="44"/>
          <w:szCs w:val="44"/>
          <w:lang w:val="en-US" w:eastAsia="zh-CN"/>
        </w:rPr>
      </w:pPr>
      <w:r>
        <w:rPr>
          <w:rFonts w:hint="default"/>
          <w:sz w:val="44"/>
          <w:szCs w:val="44"/>
          <w:lang w:val="en-US" w:eastAsia="zh-CN"/>
        </w:rPr>
        <w:drawing>
          <wp:inline distT="0" distB="0" distL="114300" distR="114300">
            <wp:extent cx="5273040" cy="7456805"/>
            <wp:effectExtent l="0" t="0" r="0" b="10795"/>
            <wp:docPr id="6" name="图片 6" descr="隐患处理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隐患处理流程图1"/>
                    <pic:cNvPicPr>
                      <a:picLocks noChangeAspect="1"/>
                    </pic:cNvPicPr>
                  </pic:nvPicPr>
                  <pic:blipFill>
                    <a:blip r:embed="rId36"/>
                    <a:stretch>
                      <a:fillRect/>
                    </a:stretch>
                  </pic:blipFill>
                  <pic:spPr>
                    <a:xfrm>
                      <a:off x="0" y="0"/>
                      <a:ext cx="5273040" cy="7456805"/>
                    </a:xfrm>
                    <a:prstGeom prst="rect">
                      <a:avLst/>
                    </a:prstGeom>
                  </pic:spPr>
                </pic:pic>
              </a:graphicData>
            </a:graphic>
          </wp:inline>
        </w:drawing>
      </w:r>
    </w:p>
    <w:p>
      <w:pPr>
        <w:widowControl w:val="0"/>
        <w:numPr>
          <w:ilvl w:val="0"/>
          <w:numId w:val="0"/>
        </w:numPr>
        <w:ind w:leftChars="0"/>
        <w:jc w:val="both"/>
        <w:rPr>
          <w:rFonts w:hint="eastAsia"/>
          <w:sz w:val="28"/>
          <w:szCs w:val="28"/>
          <w:lang w:val="en-US" w:eastAsia="zh-CN"/>
        </w:rPr>
      </w:pPr>
    </w:p>
    <w:p>
      <w:pPr>
        <w:widowControl w:val="0"/>
        <w:numPr>
          <w:ilvl w:val="0"/>
          <w:numId w:val="0"/>
        </w:numPr>
        <w:ind w:leftChars="0"/>
        <w:jc w:val="both"/>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附件5  站场隐患整改流程</w:t>
      </w:r>
    </w:p>
    <w:p>
      <w:pPr>
        <w:rPr>
          <w:rFonts w:hint="default"/>
          <w:sz w:val="44"/>
          <w:szCs w:val="44"/>
          <w:lang w:val="en-US" w:eastAsia="zh-CN"/>
        </w:rPr>
      </w:pPr>
      <w:r>
        <w:rPr>
          <w:rFonts w:hint="default"/>
          <w:sz w:val="44"/>
          <w:szCs w:val="44"/>
          <w:lang w:val="en-US" w:eastAsia="zh-CN"/>
        </w:rPr>
        <w:drawing>
          <wp:inline distT="0" distB="0" distL="114300" distR="114300">
            <wp:extent cx="4752975" cy="7802880"/>
            <wp:effectExtent l="0" t="0" r="0" b="0"/>
            <wp:docPr id="8" name="ECB019B1-382A-4266-B25C-5B523AA43C14-8" descr="C:/Users/32547/AppData/Local/Temp/qt_temp.r16372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8" descr="C:/Users/32547/AppData/Local/Temp/qt_temp.r16372qt_temp"/>
                    <pic:cNvPicPr>
                      <a:picLocks noChangeAspect="1"/>
                    </pic:cNvPicPr>
                  </pic:nvPicPr>
                  <pic:blipFill>
                    <a:blip r:embed="rId31"/>
                    <a:stretch>
                      <a:fillRect/>
                    </a:stretch>
                  </pic:blipFill>
                  <pic:spPr>
                    <a:xfrm>
                      <a:off x="0" y="0"/>
                      <a:ext cx="4752975" cy="7802880"/>
                    </a:xfrm>
                    <a:prstGeom prst="rect">
                      <a:avLst/>
                    </a:prstGeom>
                  </pic:spPr>
                </pic:pic>
              </a:graphicData>
            </a:graphic>
          </wp:inline>
        </w:drawing>
      </w:r>
    </w:p>
    <w:p>
      <w:pPr>
        <w:rPr>
          <w:rFonts w:hint="eastAsia"/>
          <w:lang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ind w:leftChars="0"/>
        <w:jc w:val="both"/>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mc:AlternateContent>
          <mc:Choice Requires="wps">
            <w:drawing>
              <wp:anchor distT="0" distB="0" distL="114300" distR="114300" simplePos="0" relativeHeight="1625159680" behindDoc="0" locked="0" layoutInCell="1" allowOverlap="1">
                <wp:simplePos x="0" y="0"/>
                <wp:positionH relativeFrom="column">
                  <wp:posOffset>4144645</wp:posOffset>
                </wp:positionH>
                <wp:positionV relativeFrom="paragraph">
                  <wp:posOffset>78105</wp:posOffset>
                </wp:positionV>
                <wp:extent cx="1576070" cy="328930"/>
                <wp:effectExtent l="4445" t="4445" r="19685" b="17145"/>
                <wp:wrapNone/>
                <wp:docPr id="9" name="AutoShape 98"/>
                <wp:cNvGraphicFramePr/>
                <a:graphic xmlns:a="http://schemas.openxmlformats.org/drawingml/2006/main">
                  <a:graphicData uri="http://schemas.microsoft.com/office/word/2010/wordprocessingShape">
                    <wps:wsp>
                      <wps:cNvSpPr/>
                      <wps:spPr>
                        <a:xfrm>
                          <a:off x="0" y="0"/>
                          <a:ext cx="1576070" cy="32893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default" w:eastAsia="宋体"/>
                                <w:sz w:val="20"/>
                                <w:szCs w:val="18"/>
                                <w:lang w:val="en-US" w:eastAsia="zh-CN"/>
                              </w:rPr>
                            </w:pPr>
                            <w:r>
                              <w:rPr>
                                <w:rFonts w:hint="eastAsia"/>
                                <w:sz w:val="20"/>
                                <w:szCs w:val="18"/>
                              </w:rPr>
                              <w:t>组长</w:t>
                            </w:r>
                            <w:r>
                              <w:rPr>
                                <w:rFonts w:hint="eastAsia"/>
                                <w:sz w:val="20"/>
                                <w:szCs w:val="18"/>
                                <w:lang w:eastAsia="zh-CN"/>
                              </w:rPr>
                              <w:t>（经理、</w:t>
                            </w:r>
                            <w:r>
                              <w:rPr>
                                <w:rFonts w:hint="eastAsia"/>
                                <w:sz w:val="20"/>
                                <w:szCs w:val="18"/>
                                <w:lang w:val="en-US" w:eastAsia="zh-CN"/>
                              </w:rPr>
                              <w:t>书记</w:t>
                            </w:r>
                            <w:r>
                              <w:rPr>
                                <w:rFonts w:hint="eastAsia"/>
                                <w:sz w:val="20"/>
                                <w:szCs w:val="18"/>
                                <w:lang w:eastAsia="zh-CN"/>
                              </w:rPr>
                              <w:t>）</w:t>
                            </w:r>
                          </w:p>
                        </w:txbxContent>
                      </wps:txbx>
                      <wps:bodyPr upright="1"/>
                    </wps:wsp>
                  </a:graphicData>
                </a:graphic>
              </wp:anchor>
            </w:drawing>
          </mc:Choice>
          <mc:Fallback>
            <w:pict>
              <v:shape id="AutoShape 98" o:spid="_x0000_s1026" o:spt="109" type="#_x0000_t109" style="position:absolute;left:0pt;margin-left:326.35pt;margin-top:6.15pt;height:25.9pt;width:124.1pt;z-index:1625159680;mso-width-relative:page;mso-height-relative:page;" fillcolor="#CCFFFF" filled="t" stroked="t" coordsize="21600,21600" o:gfxdata="UEsDBAoAAAAAAIdO4kAAAAAAAAAAAAAAAAAEAAAAZHJzL1BLAwQUAAAACACHTuJAFrVC3dYAAAAJ&#10;AQAADwAAAGRycy9kb3ducmV2LnhtbE2Py07DMBBF90j8gzVI7KidAKVJ43SBVIkFCyhUbJ1kmkTE&#10;48iPtvw9w4ouR+fo3jvV5mwncUQfRkcasoUCgdS6bqRew+fH9m4FIkRDnZkcoYYfDLCpr68qU3bu&#10;RO943MVecAiF0mgYYpxLKUM7oDVh4WYkZgfnrYl8+l523pw43E4yV2oprRmJGwYz4/OA7fcuWU5J&#10;6U0W+9cmoXmR29bTfiW/tL69ydQaRMRz/Jfhbz5Ph5o3NS5RF8SkYfmYP7HKIL8HwUKhVAGiYfKQ&#10;gawreflB/QtQSwMEFAAAAAgAh07iQHXQBc7tAQAA+QMAAA4AAABkcnMvZTJvRG9jLnhtbK1T247T&#10;MBB9R+IfLL/TpF11t42arlBLeUFQaeEDpr4klnyT7Tbp3zN2S+kCDwiRB2fGHp+Zc2a8eh6NJicR&#10;onK2pdNJTYmwzHFlu5Z++7p7t6AkJrActLOipWcR6fP67ZvV4Bsxc73TXASCIDY2g29pn5Jvqiqy&#10;XhiIE+eFxUPpgoGEbugqHmBAdKOrWV0/VoML3AfHRIy4u70c0nXBl1Kw9EXKKBLRLcXaUllDWQ95&#10;rdYraLoAvlfsWgb8QxUGlMWkN6gtJCDHoH6DMooFF51ME+ZM5aRUTBQOyGZa/8LmpQcvChcUJ/qb&#10;TPH/wbLPp30gird0SYkFgy16f0yuZCbLRdZn8LHBsBe/D1cvopnJjjKY/EcaZCyanm+aijERhpvT&#10;+dNj/YTSMzx7mC2WD0X06udtH2L6KJwh2Wip1G7Y9BDS/tLVIiucPsWE2fHaj/CcODqt+E5pXZzQ&#10;HTY6kBNgrzebHX65fLzyKkxbMiDb+WyONQGOnNSQ0DQeRYi2K/le3Yj3wHX5/gScC9tC7C8FFIQc&#10;Bo1RSWTpoOkF8A+Wk3T2KLTFF0FzMUZwSrTAB5StEplA6b+JRHbaZmhRhv2qUm7ZpUnZSuNhRNBs&#10;Hhw/Y7+PPqiuR7GnhUg+wfkqWl3fQh7gex/t+xe7/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tULd1gAAAAkBAAAPAAAAAAAAAAEAIAAAACIAAABkcnMvZG93bnJldi54bWxQSwECFAAUAAAACACH&#10;TuJAddAFzu0BAAD5AwAADgAAAAAAAAABACAAAAAlAQAAZHJzL2Uyb0RvYy54bWxQSwUGAAAAAAYA&#10;BgBZAQAAhAUAAAAA&#10;">
                <v:fill on="t" focussize="0,0"/>
                <v:stroke color="#000000" joinstyle="miter"/>
                <v:imagedata o:title=""/>
                <o:lock v:ext="edit" aspectratio="f"/>
                <v:textbox>
                  <w:txbxContent>
                    <w:p>
                      <w:pPr>
                        <w:jc w:val="center"/>
                        <w:rPr>
                          <w:rFonts w:hint="default" w:eastAsia="宋体"/>
                          <w:sz w:val="20"/>
                          <w:szCs w:val="18"/>
                          <w:lang w:val="en-US" w:eastAsia="zh-CN"/>
                        </w:rPr>
                      </w:pPr>
                      <w:r>
                        <w:rPr>
                          <w:rFonts w:hint="eastAsia"/>
                          <w:sz w:val="20"/>
                          <w:szCs w:val="18"/>
                        </w:rPr>
                        <w:t>组长</w:t>
                      </w:r>
                      <w:r>
                        <w:rPr>
                          <w:rFonts w:hint="eastAsia"/>
                          <w:sz w:val="20"/>
                          <w:szCs w:val="18"/>
                          <w:lang w:eastAsia="zh-CN"/>
                        </w:rPr>
                        <w:t>（经理、</w:t>
                      </w:r>
                      <w:r>
                        <w:rPr>
                          <w:rFonts w:hint="eastAsia"/>
                          <w:sz w:val="20"/>
                          <w:szCs w:val="18"/>
                          <w:lang w:val="en-US" w:eastAsia="zh-CN"/>
                        </w:rPr>
                        <w:t>书记</w:t>
                      </w:r>
                      <w:r>
                        <w:rPr>
                          <w:rFonts w:hint="eastAsia"/>
                          <w:sz w:val="20"/>
                          <w:szCs w:val="18"/>
                          <w:lang w:eastAsia="zh-CN"/>
                        </w:rPr>
                        <w:t>）</w:t>
                      </w:r>
                    </w:p>
                  </w:txbxContent>
                </v:textbox>
              </v:shape>
            </w:pict>
          </mc:Fallback>
        </mc:AlternateContent>
      </w:r>
      <w:r>
        <w:rPr>
          <w:rFonts w:hint="eastAsia" w:ascii="方正黑体简体" w:hAnsi="方正黑体简体" w:eastAsia="方正黑体简体" w:cs="方正黑体简体"/>
          <w:sz w:val="32"/>
          <w:szCs w:val="32"/>
          <w:lang w:val="en-US" w:eastAsia="zh-CN"/>
        </w:rPr>
        <w:t>附件6  隐患管理网格图</w:t>
      </w:r>
    </w:p>
    <w:p>
      <w:r>
        <mc:AlternateContent>
          <mc:Choice Requires="wps">
            <w:drawing>
              <wp:anchor distT="0" distB="0" distL="114300" distR="114300" simplePos="0" relativeHeight="1625168896" behindDoc="0" locked="0" layoutInCell="1" allowOverlap="1">
                <wp:simplePos x="0" y="0"/>
                <wp:positionH relativeFrom="column">
                  <wp:posOffset>4932680</wp:posOffset>
                </wp:positionH>
                <wp:positionV relativeFrom="paragraph">
                  <wp:posOffset>3175</wp:posOffset>
                </wp:positionV>
                <wp:extent cx="7620" cy="519430"/>
                <wp:effectExtent l="52705" t="0" r="61595" b="64135"/>
                <wp:wrapNone/>
                <wp:docPr id="11" name="AutoShape 136"/>
                <wp:cNvGraphicFramePr/>
                <a:graphic xmlns:a="http://schemas.openxmlformats.org/drawingml/2006/main">
                  <a:graphicData uri="http://schemas.microsoft.com/office/word/2010/wordprocessingShape">
                    <wps:wsp>
                      <wps:cNvCnPr/>
                      <wps:spPr>
                        <a:xfrm>
                          <a:off x="0" y="0"/>
                          <a:ext cx="7620" cy="519430"/>
                        </a:xfrm>
                        <a:prstGeom prst="straightConnector1">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AutoShape 136" o:spid="_x0000_s1026" o:spt="32" type="#_x0000_t32" style="position:absolute;left:0pt;margin-left:388.4pt;margin-top:0.25pt;height:40.9pt;width:0.6pt;z-index:1625168896;mso-width-relative:page;mso-height-relative:page;" filled="f" stroked="t" coordsize="21600,21600" o:gfxdata="UEsDBAoAAAAAAIdO4kAAAAAAAAAAAAAAAAAEAAAAZHJzL1BLAwQUAAAACACHTuJAI4RMs9YAAAAH&#10;AQAADwAAAGRycy9kb3ducmV2LnhtbE3PwUrEMBAG4LvgO4QRvLnpVtyU2umCC4LetCuot2wTm7LN&#10;pDTZbX17x5Meh3/455tqu/hBnO0U+0AI61UGwlIbTE8dwtv+8aYAEZMmo4dAFuHbRtjWlxeVLk2Y&#10;6dWem9QJLqFYagSX0lhKGVtnvY6rMFri7CtMXicep06aSc9c7geZZ9lGet0TX3B6tDtn22Nz8gih&#10;mPfN89NH8+LS5y5X6uGo3hfE66t1dg8i2SX9LcMvn+lQs+kQTmSiGBCU2jA9IdyB4Fipgl87IBT5&#10;Lci6kv/99Q9QSwMEFAAAAAgAh07iQHVwatMeAgAAWgQAAA4AAABkcnMvZTJvRG9jLnhtbK1UTY/T&#10;MBC9I/EfLN9pmnZblqrpCrUsFwQVC+I8tZ3Ekr80dpv23zN2u6WAkBAiB8fjGc/Me/OS5cPRGnZQ&#10;GLV3Da9HY86UE15q1zX865fHV/ecxQROgvFONfykIn9YvXyxHMJCTXzvjVTIKImLiyE0vE8pLKoq&#10;il5ZiCMflCNn69FCIhO7SiIMlN2aajIez6vBowzohYqRTjdnJ1+V/G2rRPrUtlElZhpOvaWyYll3&#10;ea1WS1h0CKHX4tIG/EMXFrSjotdUG0jA9qh/S2W1QB99m0bC28q3rRaqYCA09fgXNE89BFWwEDkx&#10;XGmK/y+t+HjYItOSZldz5sDSjN7uky+lWT2dZ4aGEBcUuHZbvFgxbDHDPbZo85uAsGNh9XRlVR0T&#10;E3T4ej4h5gU5ZvWbu2nhvPpxNWBM75W3LG8aHhOC7vq09s7R9DzWhVc4fIiJitPF5wu5rvOP2pgy&#10;ROPY0PDpfT3O1YC01BpItLWB0EXXcQamI5GKhCVl9EbLfD0nitjt1gbZAbJQypORU7mfwnLtDcT+&#10;HFdcZwn1CuQ7J1k6BWLQkdZ5bscqyZlRVDXvSp8JtPmbSCptXG5NFRkT/EL0Pil86uXAdmaPn4Gg&#10;3eVuOZM60zeZXgzS+Kx4yIU+fdOpLzPN4/kT4HwOJvRwhjed5VwXFs78FEb8cw/FummvykI5SyPv&#10;dl6eimLKOQm4xF8+tvyF3Nq0v/0lrL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4RMs9YAAAAH&#10;AQAADwAAAAAAAAABACAAAAAiAAAAZHJzL2Rvd25yZXYueG1sUEsBAhQAFAAAAAgAh07iQHVwatMe&#10;AgAAWgQAAA4AAAAAAAAAAQAgAAAAJQEAAGRycy9lMm9Eb2MueG1sUEsFBgAAAAAGAAYAWQEAALUF&#10;AAAAAA==&#10;">
                <v:fill on="f" focussize="0,0"/>
                <v:stroke weight="3pt" color="#000000 [3200]" joinstyle="round"/>
                <v:imagedata o:title=""/>
                <o:lock v:ext="edit" aspectratio="f"/>
                <v:shadow on="t" color="#000000" opacity="22937f" offset="0pt,1.81102362204724pt" origin="0f,32768f" matrix="65536f,0f,0f,65536f"/>
              </v:shape>
            </w:pict>
          </mc:Fallback>
        </mc:AlternateContent>
      </w:r>
    </w:p>
    <w:p/>
    <w:p/>
    <w:p>
      <w:r>
        <mc:AlternateContent>
          <mc:Choice Requires="wps">
            <w:drawing>
              <wp:anchor distT="0" distB="0" distL="114300" distR="114300" simplePos="0" relativeHeight="1625160704" behindDoc="0" locked="0" layoutInCell="1" allowOverlap="1">
                <wp:simplePos x="0" y="0"/>
                <wp:positionH relativeFrom="column">
                  <wp:posOffset>3466465</wp:posOffset>
                </wp:positionH>
                <wp:positionV relativeFrom="paragraph">
                  <wp:posOffset>635</wp:posOffset>
                </wp:positionV>
                <wp:extent cx="2964180" cy="327660"/>
                <wp:effectExtent l="4445" t="4445" r="18415" b="18415"/>
                <wp:wrapNone/>
                <wp:docPr id="12" name="AutoShape 104"/>
                <wp:cNvGraphicFramePr/>
                <a:graphic xmlns:a="http://schemas.openxmlformats.org/drawingml/2006/main">
                  <a:graphicData uri="http://schemas.microsoft.com/office/word/2010/wordprocessingShape">
                    <wps:wsp>
                      <wps:cNvSpPr/>
                      <wps:spPr>
                        <a:xfrm>
                          <a:off x="0" y="0"/>
                          <a:ext cx="2964180" cy="32766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0"/>
                                <w:szCs w:val="18"/>
                                <w:lang w:eastAsia="zh-CN"/>
                              </w:rPr>
                            </w:pPr>
                            <w:r>
                              <w:rPr>
                                <w:rFonts w:hint="eastAsia"/>
                                <w:sz w:val="20"/>
                                <w:szCs w:val="18"/>
                              </w:rPr>
                              <w:t>副组长</w:t>
                            </w:r>
                            <w:r>
                              <w:rPr>
                                <w:rFonts w:hint="eastAsia"/>
                                <w:sz w:val="20"/>
                                <w:szCs w:val="18"/>
                                <w:lang w:eastAsia="zh-CN"/>
                              </w:rPr>
                              <w:t>（副书记、副经理、</w:t>
                            </w:r>
                            <w:r>
                              <w:rPr>
                                <w:rFonts w:hint="eastAsia"/>
                                <w:sz w:val="20"/>
                                <w:szCs w:val="18"/>
                                <w:lang w:val="en-US" w:eastAsia="zh-CN"/>
                              </w:rPr>
                              <w:t>财务总监</w:t>
                            </w:r>
                            <w:r>
                              <w:rPr>
                                <w:rFonts w:hint="eastAsia"/>
                                <w:sz w:val="20"/>
                                <w:szCs w:val="18"/>
                                <w:lang w:eastAsia="zh-CN"/>
                              </w:rPr>
                              <w:t>）</w:t>
                            </w:r>
                          </w:p>
                        </w:txbxContent>
                      </wps:txbx>
                      <wps:bodyPr upright="1"/>
                    </wps:wsp>
                  </a:graphicData>
                </a:graphic>
              </wp:anchor>
            </w:drawing>
          </mc:Choice>
          <mc:Fallback>
            <w:pict>
              <v:shape id="AutoShape 104" o:spid="_x0000_s1026" o:spt="109" type="#_x0000_t109" style="position:absolute;left:0pt;margin-left:272.95pt;margin-top:0.05pt;height:25.8pt;width:233.4pt;z-index:1625160704;mso-width-relative:page;mso-height-relative:page;" fillcolor="#CCFFFF" filled="t" stroked="t" coordsize="21600,21600" o:gfxdata="UEsDBAoAAAAAAIdO4kAAAAAAAAAAAAAAAAAEAAAAZHJzL1BLAwQUAAAACACHTuJAlpCFOdQAAAAI&#10;AQAADwAAAGRycy9kb3ducmV2LnhtbE2Py07DMBBF90j8gzVI7KiditI2xOkCqRILFlCo2DrxkETE&#10;48iPtvw9kxUsR+fq3DvV7uJGccIQB08aioUCgdR6O1Cn4eN9f7cBEZMha0ZPqOEHI+zq66vKlNaf&#10;6Q1Ph9QJllAsjYY+pamUMrY9OhMXfkJi9uWDM4nP0EkbzJnlbpRLpR6kMwNxQ28mfOqx/T5kx5ac&#10;X+X2+NJkNM9y3wY6buSn1rc3hXoEkfCS/sIwz+fpUPOmxmeyUYwaVverLUdnIGasiuUaRMOgWIOs&#10;K/n/gfoXUEsDBBQAAAAIAIdO4kCTMpLQ7wEAAPsDAAAOAAAAZHJzL2Uyb0RvYy54bWytU82OEzEM&#10;viPxDlHudKbDbtkddbpCLeWCoNLCA7j5mYmUPyVpZ/r2OGkpXeCAEHPI2In92f5sL58mo8lRhKic&#10;7eh8VlMiLHNc2b6j375u3zxQEhNYDtpZ0dGTiPRp9frVcvStaNzgNBeBIIiN7eg7OqTk26qKbBAG&#10;4sx5YfFRumAgoRr6igcYEd3oqqnrRTW6wH1wTMSIt5vzI10VfCkFS1+kjCIR3VHMLZUzlHOfz2q1&#10;hLYP4AfFLmnAP2RhQFkMeoXaQAJyCOo3KKNYcNHJNGPOVE5KxUSpAauZ179U8zyAF6UWJCf6K03x&#10;/8Gyz8ddIIpj7xpKLBjs0ftDciU0mdd3maHRxxYNn/0uXLSIYi53ksHkPxZCpsLq6cqqmBJheNk8&#10;Lu7mD0g+w7e3zbvFotBe/fT2IaaPwhmShY5K7cb1ACHtzn0txMLxU0wYHd1+mOfA0WnFt0rrooR+&#10;v9aBHAG7vV5v8cvpo8sLM23J2NHH++YecwIcOqkhoWg80hBtX+K98Ii3wHX5/gScE9tAHM4JFIRs&#10;Bq1RSWTqoB0E8A+Wk3TyyLTFnaA5GSM4JVrgCmWpWCZQ+m8ssTptM7Qo435hKbfs3KQspWk/IWgW&#10;946fsOMHH1Q/INnzUkh+wQkrXF22IY/wrY7y7c6u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kIU51AAAAAgBAAAPAAAAAAAAAAEAIAAAACIAAABkcnMvZG93bnJldi54bWxQSwECFAAUAAAACACH&#10;TuJAkzKS0O8BAAD7AwAADgAAAAAAAAABACAAAAAjAQAAZHJzL2Uyb0RvYy54bWxQSwUGAAAAAAYA&#10;BgBZAQAAhAUAAAAA&#10;">
                <v:fill on="t" focussize="0,0"/>
                <v:stroke color="#000000" joinstyle="miter"/>
                <v:imagedata o:title=""/>
                <o:lock v:ext="edit" aspectratio="f"/>
                <v:textbox>
                  <w:txbxContent>
                    <w:p>
                      <w:pPr>
                        <w:jc w:val="center"/>
                        <w:rPr>
                          <w:rFonts w:hint="eastAsia" w:eastAsia="宋体"/>
                          <w:sz w:val="20"/>
                          <w:szCs w:val="18"/>
                          <w:lang w:eastAsia="zh-CN"/>
                        </w:rPr>
                      </w:pPr>
                      <w:r>
                        <w:rPr>
                          <w:rFonts w:hint="eastAsia"/>
                          <w:sz w:val="20"/>
                          <w:szCs w:val="18"/>
                        </w:rPr>
                        <w:t>副组长</w:t>
                      </w:r>
                      <w:r>
                        <w:rPr>
                          <w:rFonts w:hint="eastAsia"/>
                          <w:sz w:val="20"/>
                          <w:szCs w:val="18"/>
                          <w:lang w:eastAsia="zh-CN"/>
                        </w:rPr>
                        <w:t>（副书记、副经理、</w:t>
                      </w:r>
                      <w:r>
                        <w:rPr>
                          <w:rFonts w:hint="eastAsia"/>
                          <w:sz w:val="20"/>
                          <w:szCs w:val="18"/>
                          <w:lang w:val="en-US" w:eastAsia="zh-CN"/>
                        </w:rPr>
                        <w:t>财务总监</w:t>
                      </w:r>
                      <w:r>
                        <w:rPr>
                          <w:rFonts w:hint="eastAsia"/>
                          <w:sz w:val="20"/>
                          <w:szCs w:val="18"/>
                          <w:lang w:eastAsia="zh-CN"/>
                        </w:rPr>
                        <w:t>）</w:t>
                      </w:r>
                    </w:p>
                  </w:txbxContent>
                </v:textbox>
              </v:shape>
            </w:pict>
          </mc:Fallback>
        </mc:AlternateContent>
      </w:r>
    </w:p>
    <w:p/>
    <w:p>
      <w:r>
        <mc:AlternateContent>
          <mc:Choice Requires="wps">
            <w:drawing>
              <wp:anchor distT="0" distB="0" distL="114300" distR="114300" simplePos="0" relativeHeight="1627886592" behindDoc="0" locked="0" layoutInCell="1" allowOverlap="1">
                <wp:simplePos x="0" y="0"/>
                <wp:positionH relativeFrom="column">
                  <wp:posOffset>4948555</wp:posOffset>
                </wp:positionH>
                <wp:positionV relativeFrom="paragraph">
                  <wp:posOffset>-67945</wp:posOffset>
                </wp:positionV>
                <wp:extent cx="20320" cy="1850390"/>
                <wp:effectExtent l="52705" t="10795" r="64135" b="59055"/>
                <wp:wrapNone/>
                <wp:docPr id="13" name="AutoShape 136"/>
                <wp:cNvGraphicFramePr/>
                <a:graphic xmlns:a="http://schemas.openxmlformats.org/drawingml/2006/main">
                  <a:graphicData uri="http://schemas.microsoft.com/office/word/2010/wordprocessingShape">
                    <wps:wsp>
                      <wps:cNvCnPr>
                        <a:stCxn id="12" idx="2"/>
                      </wps:cNvCnPr>
                      <wps:spPr>
                        <a:xfrm>
                          <a:off x="0" y="0"/>
                          <a:ext cx="20320" cy="1850390"/>
                        </a:xfrm>
                        <a:prstGeom prst="straightConnector1">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AutoShape 136" o:spid="_x0000_s1026" o:spt="32" type="#_x0000_t32" style="position:absolute;left:0pt;margin-left:389.65pt;margin-top:-5.35pt;height:145.7pt;width:1.6pt;z-index:1627886592;mso-width-relative:page;mso-height-relative:page;" filled="f" stroked="t" coordsize="21600,21600" o:gfxdata="UEsDBAoAAAAAAIdO4kAAAAAAAAAAAAAAAAAEAAAAZHJzL1BLAwQUAAAACACHTuJAHKmcytkAAAAL&#10;AQAADwAAAGRycy9kb3ducmV2LnhtbE2PwU7DMAyG70i8Q2QkblvSIkgpdScxCQlu0CEBt6wJTbXG&#10;qZpsLW9POI2j7U+/v7/aLG5gJzOF3hNCthbADLVe99QhvO+eVgWwEBVpNXgyCD8mwKa+vKhUqf1M&#10;b+bUxI6lEAqlQrAxjiXnobXGqbD2o6F0+/aTUzGNU8f1pOYU7gaeC3HHneopfbBqNFtr2kNzdAi+&#10;mHfNy/Nn82rj1zaX8vEgPxbE66tMPACLZolnGP70kzrUyWnvj6QDGxCkvL9JKMIqExJYImSR3wLb&#10;I+RF2vC64v871L9QSwMEFAAAAAgAh07iQLEvNJMwAgAAgwQAAA4AAABkcnMvZTJvRG9jLnhtbK1U&#10;TY/TMBC9I/EfLN9p0oSuStR0hVqWC4KKBXGexk5iybEt223af8+M05YCQkKIHlJP5vO9N87q8TRo&#10;dpQ+KGtqPp/lnEnTWKFMV/OvX55eLTkLEYwAbY2s+VkG/rh++WI1ukoWtrdaSM+wiAnV6Grex+iq&#10;LAtNLwcIM+ukQWdr/QARTd9lwsOI1QedFXn+kI3WC+dtI0PAt9vJydepftvKJn5q2yAj0zXH2WJ6&#10;+vTc0zNbr6DqPLheNZcx4B+mGEAZbHortYUI7ODVb6UG1XgbbBtnjR0y27aqkQkDopnnv6B57sHJ&#10;hAXJCe5GU/h/ZZuPx51nSqB2JWcGBtTo7SHa1JrNywdiaHShwsCN2XnCGOLmZKacguP/qeYFhWU/&#10;xZER3JRxav1AmYiXYTQKcb6RL0+RNVQiLwt0NOiZLxd5+SaJk0F1TXY+xPfSDowONQ/Rg+r6uLHG&#10;oMzWz5MAcPwQIg0D1TWBOhv7pLROamvDxpqXy3lO7QCXrtUQ8Tg4pCGYjjPQHW5zE30qGaxWgtIT&#10;eN/tN9qzI9BGpV/CjrTch1HvLYR+ikuuadd6CeKdESyeHVJt8FJwGmeQgjMtsSud0pwRlP6bSESq&#10;DY0m074j/ET1IUr/3IuR7fXBfwaE9pqm5Uwooq8oLwZehkXyoMvb+E3FPolPAv0JML0H7XqY4JUL&#10;qjWRHiZ+kgD2OkOy7sZLmzItB63J3orzzlM+WbjpKf5yK+kq3dsp6se3Y/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KmcytkAAAALAQAADwAAAAAAAAABACAAAAAiAAAAZHJzL2Rvd25yZXYueG1s&#10;UEsBAhQAFAAAAAgAh07iQLEvNJMwAgAAgwQAAA4AAAAAAAAAAQAgAAAAKAEAAGRycy9lMm9Eb2Mu&#10;eG1sUEsFBgAAAAAGAAYAWQEAAMoFAAAAAA==&#10;">
                <v:fill on="f" focussize="0,0"/>
                <v:stroke weight="3pt" color="#000000 [3200]" joinstyle="round"/>
                <v:imagedata o:title=""/>
                <o:lock v:ext="edit" aspectratio="f"/>
                <v:shadow on="t" color="#000000" opacity="22937f" offset="0pt,1.81102362204724pt" origin="0f,32768f" matrix="65536f,0f,0f,65536f"/>
              </v:shape>
            </w:pict>
          </mc:Fallback>
        </mc:AlternateContent>
      </w:r>
    </w:p>
    <w:p>
      <w:r>
        <mc:AlternateContent>
          <mc:Choice Requires="wps">
            <w:drawing>
              <wp:anchor distT="0" distB="0" distL="114300" distR="114300" simplePos="0" relativeHeight="1628024832" behindDoc="0" locked="0" layoutInCell="1" allowOverlap="1">
                <wp:simplePos x="0" y="0"/>
                <wp:positionH relativeFrom="column">
                  <wp:posOffset>2299335</wp:posOffset>
                </wp:positionH>
                <wp:positionV relativeFrom="paragraph">
                  <wp:posOffset>182245</wp:posOffset>
                </wp:positionV>
                <wp:extent cx="635" cy="190500"/>
                <wp:effectExtent l="9525" t="0" r="20320" b="7620"/>
                <wp:wrapNone/>
                <wp:docPr id="16" name="AutoShape 130"/>
                <wp:cNvGraphicFramePr/>
                <a:graphic xmlns:a="http://schemas.openxmlformats.org/drawingml/2006/main">
                  <a:graphicData uri="http://schemas.microsoft.com/office/word/2010/wordprocessingShape">
                    <wps:wsp>
                      <wps:cNvCnPr/>
                      <wps:spPr>
                        <a:xfrm flipV="1">
                          <a:off x="0" y="0"/>
                          <a:ext cx="635" cy="1905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181.05pt;margin-top:14.35pt;height:15pt;width:0.05pt;z-index:1628024832;mso-width-relative:page;mso-height-relative:page;" filled="f" stroked="t" coordsize="21600,21600" o:gfxdata="UEsDBAoAAAAAAIdO4kAAAAAAAAAAAAAAAAAEAAAAZHJzL1BLAwQUAAAACACHTuJABjAvd9gAAAAJ&#10;AQAADwAAAGRycy9kb3ducmV2LnhtbE2PPU/DMBCGdyT+g3WV2KidVKRVyKUDVQekDrRlYHTjI4ka&#10;26ntfsCv55hgvPcevfdctbzZQVwoxN47hGyqQJBrvOldi/C+Xz8uQMSkndGDd4TwRRGW9f1dpUvj&#10;r25Ll11qBZe4WGqELqWxlDI2HVkdp34kx7tPH6xOPIZWmqCvXG4HmStVSKt7xxc6PdJLR81xd7YI&#10;Kp62m42fnz6K2evwZvvVehW+ER8mmXoGkeiW/mD41Wd1qNnp4M/ORDEgzIo8YxQhX8xBMMBBDuKA&#10;8MSBrCv5/4P6B1BLAwQUAAAACACHTuJAUwoIVdEBAACvAwAADgAAAGRycy9lMm9Eb2MueG1srVNL&#10;b9swDL4P2H8QdF/stGiwGXGKIll3GbYAe9wZPWwBekFU4+Tfj5KzrNsuw1AfBFIiP5IfP6/vT86y&#10;o0pogu/5ctFyprwI0vih59++Pr55yxlm8BJs8KrnZ4X8fvP61XqKnboJY7BSJUYgHrsp9nzMOXZN&#10;g2JUDnARovL0qENykMlNQyMTTITubHPTtqtmCknGFIRCpNvd/Mg3FV9rJfJnrVFlZntOveV6pnoe&#10;ytls1tANCeJoxKUN+I8uHBhPRa9QO8jAnpL5C8oZkQIGnRciuCZobYSqM9A0y/aPab6MEFWdhcjB&#10;eKUJXw5WfDruEzOSdrfizIOjHT085VBLs+VtZWiK2FHg1u8T8VU8jPtUxj3p5Ji2Jn4ngEoAjcRO&#10;ld/zlV91ykzQ5er2jjNB98t37V1boZsZo2DFhPmDCo4Vo+eYE5hhzNvgPa0xpBkfjh8xUxeU+DOh&#10;JFvPpgsulQBSkraQyXSRZkM/1OYwWCMfjbUlBdNw2NrEjlC0Ub8iBwL+LaxU2QGOc1x9mlUzKpDv&#10;vWT5HIk0T/LmpQenJGdW0d9QrKqvDMb+SySVtr60pqpyL4P+4rtYhyDPdQ1N8UgVteOLgovsnvtk&#10;P//PN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jAvd9gAAAAJAQAADwAAAAAAAAABACAAAAAi&#10;AAAAZHJzL2Rvd25yZXYueG1sUEsBAhQAFAAAAAgAh07iQFMKCFXRAQAArwMAAA4AAAAAAAAAAQAg&#10;AAAAJwEAAGRycy9lMm9Eb2MueG1sUEsFBgAAAAAGAAYAWQEAAGoFA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391422976" behindDoc="0" locked="0" layoutInCell="1" allowOverlap="1">
                <wp:simplePos x="0" y="0"/>
                <wp:positionH relativeFrom="column">
                  <wp:posOffset>3401060</wp:posOffset>
                </wp:positionH>
                <wp:positionV relativeFrom="paragraph">
                  <wp:posOffset>175260</wp:posOffset>
                </wp:positionV>
                <wp:extent cx="0" cy="198120"/>
                <wp:effectExtent l="52705" t="10795" r="53975" b="65405"/>
                <wp:wrapNone/>
                <wp:docPr id="27" name="直接连接符 27"/>
                <wp:cNvGraphicFramePr/>
                <a:graphic xmlns:a="http://schemas.openxmlformats.org/drawingml/2006/main">
                  <a:graphicData uri="http://schemas.microsoft.com/office/word/2010/wordprocessingShape">
                    <wps:wsp>
                      <wps:cNvCnPr/>
                      <wps:spPr>
                        <a:xfrm>
                          <a:off x="4542790" y="2705100"/>
                          <a:ext cx="0" cy="1981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67.8pt;margin-top:13.8pt;height:15.6pt;width:0pt;z-index:-1903544320;mso-width-relative:page;mso-height-relative:page;" filled="f" stroked="t" coordsize="21600,21600" o:gfxdata="UEsDBAoAAAAAAIdO4kAAAAAAAAAAAAAAAAAEAAAAZHJzL1BLAwQUAAAACACHTuJAXTe8P9QAAAAJ&#10;AQAADwAAAGRycy9kb3ducmV2LnhtbE2Py07DMBBF90j8gzVI7KjdVilRiFPxEKyhpKzdeEgi4nEU&#10;Ow/+nkEs6GpeV/eeyfeL68SEQ2g9aVivFAikytuWag3l+/NNCiJEQ9Z0nlDDNwbYF5cXucmsn+kN&#10;p0OsBZtQyIyGJsY+kzJUDToTVr5H4tunH5yJPA61tIOZ2dx1cqPUTjrTEic0psfHBquvw+g0zB/z&#10;dizTl6NakuP4Wt5PTw9+0vr6aq3uQERc4r8YfvEZHQpmOvmRbBCdhmSb7FiqYXPLlQV/ixM3aQqy&#10;yOX5B8UPUEsDBBQAAAAIAIdO4kBhrpUjEQIAAAYEAAAOAAAAZHJzL2Uyb0RvYy54bWytU8GO0zAQ&#10;vSPxD5bvNGnast2o6R62Wi4IViyI89RxGkuObdlu0/4EP4DEDU4c987fsHwGM24oBcQFkcPE45m8&#10;eW9msrjad5rtpA/KmoqPRzln0ghbK7Op+JvXN0/mnIUIpgZtjaz4QQZ+tXz8aNG7Uha2tbqWniGI&#10;CWXvKt7G6MosC6KVHYSRddJgsLG+g4iu32S1hx7RO50Vef40662vnbdChoC3q2OQLxN+00gRXzZN&#10;kJHpiiO3mKxPdk02Wy6g3HhwrRIDDfgHFh0og0VPUCuIwLZe/QHVKeFtsE0cCdtltmmUkEkDqhnn&#10;v6m5a8HJpAWbE9ypTeH/wYoXu1vPVF3x4oIzAx3O6OH9/dd3H799+YD24fMnhhFsU+9CidnX5tYP&#10;XnC3njTvG9/RG9WwfcWns2lxcYnNPhBoPhvnQ5vlPjKBCRgSGBtfzsdFCmU/MZwP8Zm0HaNDxbUy&#10;1AAoYfc8RKyLqT9S6NrYG6V1GqI2rK/4ZE7lmADcpUZDxGPnUF0wG85Ab3BJRfQJMlitavqcgILf&#10;rK+1ZzugRUkPicZyv6RR7RWE9piXQkOaNgQj08ohVXLsNkp/19Y9W+utfwVIY0rInNWKxBWTwcF9&#10;nKUIhryNb1Vs0+ipVX8jR/egXQtHKpMZYQ2Mj1oS+xOH5J3Ry2iexwnSaW3rQxpsusdlS/nDj0Hb&#10;fO7j+fz3XX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Te8P9QAAAAJAQAADwAAAAAAAAABACAA&#10;AAAiAAAAZHJzL2Rvd25yZXYueG1sUEsBAhQAFAAAAAgAh07iQGGulSMRAgAABgQAAA4AAAAAAAAA&#10;AQAgAAAAIwEAAGRycy9lMm9Eb2MueG1sUEsFBgAAAAAGAAYAWQEAAKYFAAAAAA==&#10;">
                <v:fill on="f" focussize="0,0"/>
                <v:stroke weight="3pt" color="#000000 [3200]" joinstyle="round"/>
                <v:imagedata o:title=""/>
                <o:lock v:ext="edit" aspectratio="f"/>
                <v:shadow on="t" color="#000000" opacity="22937f" offset="0pt,1.81102362204724pt" origin="0f,32768f" matrix="65536f,0f,0f,65536f"/>
              </v:line>
            </w:pict>
          </mc:Fallback>
        </mc:AlternateContent>
      </w:r>
      <w:r>
        <mc:AlternateContent>
          <mc:Choice Requires="wps">
            <w:drawing>
              <wp:anchor distT="0" distB="0" distL="114300" distR="114300" simplePos="0" relativeHeight="2543209472" behindDoc="0" locked="0" layoutInCell="1" allowOverlap="1">
                <wp:simplePos x="0" y="0"/>
                <wp:positionH relativeFrom="column">
                  <wp:posOffset>8876665</wp:posOffset>
                </wp:positionH>
                <wp:positionV relativeFrom="paragraph">
                  <wp:posOffset>181610</wp:posOffset>
                </wp:positionV>
                <wp:extent cx="0" cy="196850"/>
                <wp:effectExtent l="9525" t="0" r="20955" b="1270"/>
                <wp:wrapNone/>
                <wp:docPr id="63" name="AutoShape 130"/>
                <wp:cNvGraphicFramePr/>
                <a:graphic xmlns:a="http://schemas.openxmlformats.org/drawingml/2006/main">
                  <a:graphicData uri="http://schemas.microsoft.com/office/word/2010/wordprocessingShape">
                    <wps:wsp>
                      <wps:cNvCnPr/>
                      <wps:spPr>
                        <a:xfrm flipV="1">
                          <a:off x="0" y="0"/>
                          <a:ext cx="0" cy="19685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698.95pt;margin-top:14.3pt;height:15.5pt;width:0pt;z-index:-1751757824;mso-width-relative:page;mso-height-relative:page;" filled="f" stroked="t" coordsize="21600,21600" o:gfxdata="UEsDBAoAAAAAAIdO4kAAAAAAAAAAAAAAAAAEAAAAZHJzL1BLAwQUAAAACACHTuJA6QnVctkAAAAL&#10;AQAADwAAAGRycy9kb3ducmV2LnhtbE2PPW/CMBCG90r8B+uQuhUbUANJ4zCAGCoxFNqho4mvSYR9&#10;Drb5aH99jTrQ8b179N5z5eJqDTujD50jCeORAIZUO91RI+Hjff00BxaiIq2MI5TwjQEW1eChVIV2&#10;F9rieRcblkooFEpCG2NfcB7qFq0KI9cjpd2X81bFFH3DtVeXVG4NnwiRcas6Shda1eOyxfqwO1kJ&#10;Ihy3m42bHT+z6at5s91qvfI/Uj4Ox+IFWMRrvMNw00/qUCWnvTuRDsykPM1neWIlTOYZsBvxN9lL&#10;eM4z4FXJ//9Q/QJQSwMEFAAAAAgAh07iQGYvwEfQAQAArQMAAA4AAABkcnMvZTJvRG9jLnhtbK1T&#10;S2/bMAy+D9h/EHRf7LRY0BlxiiJZdxm2AHvcGT1sAXpBVOPk34+Ss6zbLsNQHwRSIj+SHz+v70/O&#10;sqNKaILv+XLRcqa8CNL4oeffvj6+ueMMM3gJNnjV87NCfr95/Wo9xU7dhDFYqRIjEI/dFHs+5hy7&#10;pkExKge4CFF5etQhOcjkpqGRCSZCd7a5adtVM4UkYwpCIdLtbn7km4qvtRL5s9aoMrM9p95yPVM9&#10;D+VsNmvohgRxNOLSBvxHFw6Mp6JXqB1kYE/J/AXljEgBg84LEVwTtDZC1RlommX7xzRfRoiqzkLk&#10;YLzShC8HKz4d94kZ2fPVLWceHO3o4SmHWpotbytDU8SOArd+n4iv4mHcpzLuSSfHtDXxOy2/EkAj&#10;sVPl93zlV50yE/OloNvlu9Xd2wrczAgFKSbMH1RwrBg9x5zADGPeBu9piSHN6HD8iJl6oMSfCSXZ&#10;ejYV3JZgmQDSkbaQyXSRJkM/1NYwWCMfjbUlBdNw2NrEjlCUUb8iBgL+LaxU2QGOc1x9mjUzKpDv&#10;vWT5HIkyT+LmpQenJGdW0b9QrKquDMb+SySVtr60pqpuL4P+YrtYhyDPdQlN8UgTteOLfovonvtk&#10;P//LN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QnVctkAAAALAQAADwAAAAAAAAABACAAAAAi&#10;AAAAZHJzL2Rvd25yZXYueG1sUEsBAhQAFAAAAAgAh07iQGYvwEfQAQAArQMAAA4AAAAAAAAAAQAg&#10;AAAAKAEAAGRycy9lMm9Eb2MueG1sUEsFBgAAAAAGAAYAWQEAAGo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25174016" behindDoc="0" locked="0" layoutInCell="1" allowOverlap="1">
                <wp:simplePos x="0" y="0"/>
                <wp:positionH relativeFrom="column">
                  <wp:posOffset>100965</wp:posOffset>
                </wp:positionH>
                <wp:positionV relativeFrom="paragraph">
                  <wp:posOffset>193675</wp:posOffset>
                </wp:positionV>
                <wp:extent cx="8782050" cy="0"/>
                <wp:effectExtent l="0" t="9525" r="11430" b="13335"/>
                <wp:wrapNone/>
                <wp:docPr id="92" name="AutoShape 129"/>
                <wp:cNvGraphicFramePr/>
                <a:graphic xmlns:a="http://schemas.openxmlformats.org/drawingml/2006/main">
                  <a:graphicData uri="http://schemas.microsoft.com/office/word/2010/wordprocessingShape">
                    <wps:wsp>
                      <wps:cNvCnPr/>
                      <wps:spPr>
                        <a:xfrm>
                          <a:off x="0" y="0"/>
                          <a:ext cx="878205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29" o:spid="_x0000_s1026" o:spt="32" type="#_x0000_t32" style="position:absolute;left:0pt;margin-left:7.95pt;margin-top:15.25pt;height:0pt;width:691.5pt;z-index:1625174016;mso-width-relative:page;mso-height-relative:page;" filled="f" stroked="t" coordsize="21600,21600" o:gfxdata="UEsDBAoAAAAAAIdO4kAAAAAAAAAAAAAAAAAEAAAAZHJzL1BLAwQUAAAACACHTuJADb/1VtMAAAAJ&#10;AQAADwAAAGRycy9kb3ducmV2LnhtbE2PTU7DMBCF90jcwRokNojapWqVpnG6QGLFglA4wCQ2SdR4&#10;HMVOY27PVCxg+X705pvimNwgLnYKvScN65UCYanxpqdWw+fHy2MGIkQkg4Mnq+HbBjiWtzcF5sYv&#10;9G4vp9gKHqGQo4YuxjGXMjSddRhWfrTE2ZefHEaWUyvNhAuPu0E+KbWTDnviCx2O9rmzzfk0Ow3p&#10;bUcxVVmqF5pfQ/ZQJXSV1vd3a3UAEW2Kf2W44jM6lMxU+5lMEAPr7Z6bGjZqC+Kab/YZO/WvI8tC&#10;/v+g/AFQSwMEFAAAAAgAh07iQH3rPSbKAQAApAMAAA4AAABkcnMvZTJvRG9jLnhtbK1T247TMBB9&#10;R+IfLL/TpJGANmq6Qi3LC4JKLB8wtZ3Ekm/yeJv27xk73bLAC1ptHpzxZc7MOT7e3J2tYScVUXvX&#10;8eWi5kw54aV2Q8d/Pty/W3GGCZwE453q+EUhv9u+fbOZQqsaP3ojVWQE4rCdQsfHlEJbVShGZQEX&#10;PihHm72PFhJN41DJCBOhW1M1df2hmnyUIXqhEGl1P2/ybcHveyXS975HlZjpOPWWyhjLeMxjtd1A&#10;O0QIoxbXNuAFXVjQjoreoPaQgD1G/Q+U1SJ69H1aCG8r3/daqMKB2Czrv9j8GCGowoXEwXCTCV8P&#10;Vnw7HSLTsuPrhjMHlu7o02PypTRbNuus0BSwpYM7d4jXGYZDzHTPfbT5T0TYuah6uamqzokJWlx9&#10;XDX1exJfPO1VvxNDxPRFecty0HFMEfQwpp13ju7Ox2VRFU5fMVFpSnxKyFWNYxOZbj2jA9mnN5Co&#10;kA1ECN1QktEbLe+1MTkF43DcmchOkA1RvsyQgP84lqvsAcf5XNmarTIqkJ+dZOkSSClHnua5B6sk&#10;Z0bRE8gRAUKbQJv/OUmljcsJqtj1SjRLPouco6OXl6J9lWdkhdLx1bbZa8/nFD9/XN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b/1VtMAAAAJAQAADwAAAAAAAAABACAAAAAiAAAAZHJzL2Rvd25y&#10;ZXYueG1sUEsBAhQAFAAAAAgAh07iQH3rPSbKAQAApAMAAA4AAAAAAAAAAQAgAAAAIgEAAGRycy9l&#10;Mm9Eb2MueG1sUEsFBgAAAAAGAAYAWQEAAF4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27978752" behindDoc="0" locked="0" layoutInCell="1" allowOverlap="1">
                <wp:simplePos x="0" y="0"/>
                <wp:positionH relativeFrom="column">
                  <wp:posOffset>5789295</wp:posOffset>
                </wp:positionH>
                <wp:positionV relativeFrom="paragraph">
                  <wp:posOffset>194310</wp:posOffset>
                </wp:positionV>
                <wp:extent cx="635" cy="190500"/>
                <wp:effectExtent l="9525" t="0" r="20320" b="7620"/>
                <wp:wrapNone/>
                <wp:docPr id="93" name="AutoShape 130"/>
                <wp:cNvGraphicFramePr/>
                <a:graphic xmlns:a="http://schemas.openxmlformats.org/drawingml/2006/main">
                  <a:graphicData uri="http://schemas.microsoft.com/office/word/2010/wordprocessingShape">
                    <wps:wsp>
                      <wps:cNvCnPr/>
                      <wps:spPr>
                        <a:xfrm flipV="1">
                          <a:off x="0" y="0"/>
                          <a:ext cx="635" cy="1905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455.85pt;margin-top:15.3pt;height:15pt;width:0.05pt;z-index:1627978752;mso-width-relative:page;mso-height-relative:page;" filled="f" stroked="t" coordsize="21600,21600" o:gfxdata="UEsDBAoAAAAAAIdO4kAAAAAAAAAAAAAAAAAEAAAAZHJzL1BLAwQUAAAACACHTuJAhDwtZdYAAAAJ&#10;AQAADwAAAGRycy9kb3ducmV2LnhtbE2PPU/DMBCGdyT+g3VIbNQOlVJIc+lA1QGpA20ZGN34mkT4&#10;I7XdD/j1HBOM996j96NeXJ0VZ4ppCB6hmCgQ5NtgBt8hvO9WD08gUtbeaBs8IXxRgkVze1PryoSL&#10;39B5mzvBJj5VGqHPeaykTG1PTqdJGMnz7xCi05nP2EkT9YXNnZWPSpXS6cFzQq9Heump/dyeHIJK&#10;x816HWbHj3L6at/csFwt4zfi/V2h5iAyXfMfDL/1uTo03GkfTt4kYRGei2LGKMJUlSAYYIG37BFK&#10;FmRTy/8Lmh9QSwMEFAAAAAgAh07iQELT26XRAQAArwMAAA4AAABkcnMvZTJvRG9jLnhtbK1TTY8T&#10;MQy9I/EfotzpTLfaFTvqdIValguCSizc3XzMRMqX4myn/fc4mVIWuCDEHCI7sZ/t5zfrh5Oz7KgS&#10;muB7vly0nCkvgjR+6PnXp8c3bznDDF6CDV71/KyQP2xev1pPsVM3YQxWqsQIxGM3xZ6POceuaVCM&#10;ygEuQlSeHnVIDjK5aWhkgonQnW1u2vaumUKSMQWhEOl2Nz/yTcXXWon8WWtUmdmeU2+5nqmeh3I2&#10;mzV0Q4I4GnFpA/6hCwfGU9Er1A4ysOdk/oByRqSAQeeFCK4JWhuh6gw0zbL9bZovI0RVZyFyMF5p&#10;wv8HKz4d94kZ2fP7FWceHO3o3XMOtTRbripDU8SOArd+n4iv4mHcpzLuSSfHtDXxGy2/EkAjsVPl&#10;93zlV50yE3R5t7rlTND98r69bSt0M2MUrJgwf1DBsWL0HHMCM4x5G7ynNYY048PxI2bqghJ/JJRk&#10;69l0waUSQErSFjKZLtJs6IfaHAZr5KOxtqRgGg5bm9gRijbqV+RAwL+ElSo7wHGOq0+zakYF8r2X&#10;LJ8jkeZJ3rz04JTkzCr6G4pV9ZXB2L+JpNLWl9ZUVe5l0J98F+sQ5LmuoSkeqaJ2fFFwkd1Ln+yX&#10;/9nm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Q8LWXWAAAACQEAAA8AAAAAAAAAAQAgAAAAIgAA&#10;AGRycy9kb3ducmV2LnhtbFBLAQIUABQAAAAIAIdO4kBC09ul0QEAAK8DAAAOAAAAAAAAAAEAIAAA&#10;ACUBAABkcnMvZTJvRG9jLnhtbFBLBQYAAAAABgAGAFkBAABoBQAAAAA=&#10;">
                <v:fill on="f" focussize="0,0"/>
                <v:stroke weight="1.5pt" color="#000000" joinstyle="round"/>
                <v:imagedata o:title=""/>
                <o:lock v:ext="edit" aspectratio="f"/>
              </v:shape>
            </w:pict>
          </mc:Fallback>
        </mc:AlternateContent>
      </w:r>
    </w:p>
    <w:p>
      <w:r>
        <mc:AlternateContent>
          <mc:Choice Requires="wps">
            <w:drawing>
              <wp:anchor distT="0" distB="0" distL="114300" distR="114300" simplePos="0" relativeHeight="2694999040" behindDoc="0" locked="0" layoutInCell="1" allowOverlap="1">
                <wp:simplePos x="0" y="0"/>
                <wp:positionH relativeFrom="column">
                  <wp:posOffset>98425</wp:posOffset>
                </wp:positionH>
                <wp:positionV relativeFrom="paragraph">
                  <wp:posOffset>4445</wp:posOffset>
                </wp:positionV>
                <wp:extent cx="3175" cy="198120"/>
                <wp:effectExtent l="9525" t="0" r="17780" b="0"/>
                <wp:wrapNone/>
                <wp:docPr id="94" name="AutoShape 130"/>
                <wp:cNvGraphicFramePr/>
                <a:graphic xmlns:a="http://schemas.openxmlformats.org/drawingml/2006/main">
                  <a:graphicData uri="http://schemas.microsoft.com/office/word/2010/wordprocessingShape">
                    <wps:wsp>
                      <wps:cNvCnPr/>
                      <wps:spPr>
                        <a:xfrm flipV="1">
                          <a:off x="0" y="0"/>
                          <a:ext cx="3175" cy="19812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7.75pt;margin-top:0.35pt;height:15.6pt;width:0.25pt;z-index:-1599968256;mso-width-relative:page;mso-height-relative:page;" filled="f" stroked="t" coordsize="21600,21600" o:gfxdata="UEsDBAoAAAAAAIdO4kAAAAAAAAAAAAAAAAAEAAAAZHJzL1BLAwQUAAAACACHTuJALTFaNNUAAAAF&#10;AQAADwAAAGRycy9kb3ducmV2LnhtbE2PP0/DMBTEdyS+g/WQ2KgdqqYQ4nSg6oDUgRYGRjd+JBH2&#10;c2q7f+DT8zrBeLrT3e/qxdk7ccSYhkAaiokCgdQGO1Cn4f1tdfcAImVD1rhAqOEbEyya66vaVDac&#10;aIPHbe4El1CqjIY+57GSMrU9epMmYURi7zNEbzLL2EkbzYnLvZP3SpXSm4F4oTcjPvfYfm0PXoNK&#10;+816Heb7j3L64l79sFwt44/WtzeFegKR8Zz/wnDBZ3RomGkXDmSTcKxnM05qmIO4uCUf22mYFo8g&#10;m1r+p29+AVBLAwQUAAAACACHTuJA43xkadYBAACwAwAADgAAAGRycy9lMm9Eb2MueG1srVNNbxMx&#10;EL0j8R8s38lmUwrtKpsKJZQLgkhQ7hN/7FrylzxuNvn3jJ00FHpBiD1YMzueNzNvnpd3B2fZXiU0&#10;wfe8nc05U14EafzQ84fv929uOMMMXoINXvX8qJDfrV6/Wk6xU4swBitVYgTisZtiz8ecY9c0KEbl&#10;AGchKk9BHZKDTG4aGplgInRnm8V8/q6ZQpIxBaEQ6e/mFOSriq+1Evmr1qgysz2n3nI9Uz135WxW&#10;S+iGBHE04twG/EMXDoynoheoDWRgj8m8gHJGpIBB55kIrglaG6HqDDRNO/9jmm8jRFVnIXIwXmjC&#10;/wcrvuy3iRnZ89u3nHlwtKMPjznU0qy9qgxNETu6uPbbRHwVD+M2lXEPOjmmrYk/aPmVABqJHSq/&#10;xwu/6pCZoJ9X7ftrzgQF2tubdlGxmxNIAYsJ8ycVHCtGzzEnMMOY18F72mNIpwKw/4yZ2qDEp4SS&#10;bD2bCu78mtYsgKSkLWQyXaTh0A+1OwzWyHtjbUnBNOzWNrE9FHHUr+iBgH+7VqpsAMfTvRo6yWZU&#10;ID96yfIxEmue9M1LD05Jzqyi51CsKrAMxv7NTSptfWlNVemeB/1FeLF2QR7rHprikSxqx2cJF909&#10;98l+/tB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MVo01QAAAAUBAAAPAAAAAAAAAAEAIAAA&#10;ACIAAABkcnMvZG93bnJldi54bWxQSwECFAAUAAAACACHTuJA43xkadYBAACwAwAADgAAAAAAAAAB&#10;ACAAAAAkAQAAZHJzL2Uyb0RvYy54bWxQSwUGAAAAAAYABgBZAQAAbAU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27994112" behindDoc="0" locked="0" layoutInCell="1" allowOverlap="1">
                <wp:simplePos x="0" y="0"/>
                <wp:positionH relativeFrom="column">
                  <wp:posOffset>4471670</wp:posOffset>
                </wp:positionH>
                <wp:positionV relativeFrom="paragraph">
                  <wp:posOffset>21590</wp:posOffset>
                </wp:positionV>
                <wp:extent cx="635" cy="190500"/>
                <wp:effectExtent l="9525" t="0" r="20320" b="7620"/>
                <wp:wrapNone/>
                <wp:docPr id="95" name="AutoShape 130"/>
                <wp:cNvGraphicFramePr/>
                <a:graphic xmlns:a="http://schemas.openxmlformats.org/drawingml/2006/main">
                  <a:graphicData uri="http://schemas.microsoft.com/office/word/2010/wordprocessingShape">
                    <wps:wsp>
                      <wps:cNvCnPr/>
                      <wps:spPr>
                        <a:xfrm flipV="1">
                          <a:off x="0" y="0"/>
                          <a:ext cx="635" cy="1905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352.1pt;margin-top:1.7pt;height:15pt;width:0.05pt;z-index:1627994112;mso-width-relative:page;mso-height-relative:page;" filled="f" stroked="t" coordsize="21600,21600" o:gfxdata="UEsDBAoAAAAAAIdO4kAAAAAAAAAAAAAAAAAEAAAAZHJzL1BLAwQUAAAACACHTuJAfFikO9YAAAAI&#10;AQAADwAAAGRycy9kb3ducmV2LnhtbE2PvW4CMRCE+0h5B2sjpQs2HILocj6KIIpIFAFSpDTn5e6E&#10;vT5s85M8fTZVUn47o9mZanHzTlwwpj6QhvFIgUBqgu2p1fCxWz09g0jZkDUuEGr4wgSL+v6uMqUN&#10;V9rgZZtbwSGUSqOhy3kopUxNh96kURiQWDuE6E1mjK200Vw53Ds5UWomvemJP3RmwNcOm+P27DWo&#10;dNqs12F++pwVb+7d98vVMn5r/fgwVi8gMt7ynxl+63N1qLnTPpzJJuE0zNV0wlYNxRQE68wFiD0z&#10;H2Rdyf8D6h9QSwMEFAAAAAgAh07iQO8x0RHRAQAArwMAAA4AAABkcnMvZTJvRG9jLnhtbK1TTW/b&#10;MAy9D9h/EHRf7LRosRpxiiFZdxm2AOt2Z/RhC9AXRDVO/v0oOcu67TIU9UEgJfKRfHxe3R+dZQeV&#10;0ATf8+Wi5Ux5EaTxQ8+/Pz68e88ZZvASbPCq5yeF/H799s1qip26CmOwUiVGIB67KfZ8zDl2TYNi&#10;VA5wEaLy9KhDcpDJTUMjE0yE7mxz1ba3zRSSjCkIhUi32/mRryu+1krkr1qjysz2nHrL9Uz13Jez&#10;Wa+gGxLE0YhzG/CCLhwYT0UvUFvIwJ6S+QfKGZECBp0XIrgmaG2EqjPQNMv2r2m+jRBVnYXIwXih&#10;CV8PVnw57BIzsud3N5x5cLSjD0851NJseV0ZmiJ2FLjxu0R8FQ/jLpVxjzo5pq2JP2j5lQAaiR0r&#10;v6cLv+qYmaDL22uqIeh+edfetBW6mTEKVkyYP6ngWDF6jjmBGca8Cd7TGkOa8eHwGTN1QYm/Ekqy&#10;9Ww641IJICVpC5lMF2k29ENtDoM18sFYW1IwDfuNTewARRv1K3Ig4D/CSpUt4DjH1adZNaMC+dFL&#10;lk+RSPMkb156cEpyZhX9DcWq+spg7P9EUmnrS2uqKvc86G++i7UP8lTX0BSPVFE7Piu4yO65T/bz&#10;/2z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xYpDvWAAAACAEAAA8AAAAAAAAAAQAgAAAAIgAA&#10;AGRycy9kb3ducmV2LnhtbFBLAQIUABQAAAAIAIdO4kDvMdER0QEAAK8DAAAOAAAAAAAAAAEAIAAA&#10;ACUBAABkcnMvZTJvRG9jLnhtbFBLBQYAAAAABgAGAFkBAABo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27963392" behindDoc="0" locked="0" layoutInCell="1" allowOverlap="1">
                <wp:simplePos x="0" y="0"/>
                <wp:positionH relativeFrom="column">
                  <wp:posOffset>7385050</wp:posOffset>
                </wp:positionH>
                <wp:positionV relativeFrom="paragraph">
                  <wp:posOffset>37465</wp:posOffset>
                </wp:positionV>
                <wp:extent cx="635" cy="190500"/>
                <wp:effectExtent l="9525" t="0" r="20320" b="7620"/>
                <wp:wrapNone/>
                <wp:docPr id="104" name="AutoShape 130"/>
                <wp:cNvGraphicFramePr/>
                <a:graphic xmlns:a="http://schemas.openxmlformats.org/drawingml/2006/main">
                  <a:graphicData uri="http://schemas.microsoft.com/office/word/2010/wordprocessingShape">
                    <wps:wsp>
                      <wps:cNvCnPr/>
                      <wps:spPr>
                        <a:xfrm flipV="1">
                          <a:off x="0" y="0"/>
                          <a:ext cx="635" cy="1905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581.5pt;margin-top:2.95pt;height:15pt;width:0.05pt;z-index:1627963392;mso-width-relative:page;mso-height-relative:page;" filled="f" stroked="t" coordsize="21600,21600" o:gfxdata="UEsDBAoAAAAAAIdO4kAAAAAAAAAAAAAAAAAEAAAAZHJzL1BLAwQUAAAACACHTuJA6yBxCdcAAAAK&#10;AQAADwAAAGRycy9kb3ducmV2LnhtbE2PzU7DMBCE70i8g7VI3KgdIgKEOD1Q9YDUAy0cOLrxkkTY&#10;69R2f+Dp2Z7gOLOj2W+a+ck7ccCYxkAaipkCgdQFO1Kv4f1tefMAImVD1rhAqOEbE8zby4vG1DYc&#10;aY2HTe4Fl1CqjYYh56mWMnUDepNmYULi22eI3mSWsZc2miOXeydvlaqkNyPxh8FM+Dxg97XZew0q&#10;7darVbjffVTli3v142K5iD9aX18V6glExlP+C8MZn9GhZaZt2JNNwrEuqpLHZA13jyDOATYKEFsN&#10;JTuybeT/Ce0vUEsDBBQAAAAIAIdO4kBRHKBo0gEAALADAAAOAAAAZHJzL2Uyb0RvYy54bWytU01v&#10;EzEQvSPxHyzfyW5aWsEqmwollAuCSAXuE3/sWvKXPG42+feMvWkocKkQe7Bm7Jk3M2/eru6OzrKD&#10;SmiC7/ly0XKmvAjS+KHn37/dv3nHGWbwEmzwqucnhfxu/frVaoqdugpjsFIlRiAeuyn2fMw5dk2D&#10;YlQOcBGi8vSoQ3KQyU1DIxNMhO5sc9W2t80UkowpCIVIt9v5ka8rvtZK5K9ao8rM9px6y/VM9dyX&#10;s1mvoBsSxNGIcxvwD104MJ6KXqC2kIE9JvMXlDMiBQw6L0RwTdDaCFVnoGmW7R/TPIwQVZ2FyMF4&#10;oQn/H6z4ctglZiTtrn3LmQdHS/rwmEOtzZbXlaIpYkeRG79LRFjxMO5Smfeok2PamviDECoDNBM7&#10;VoJPF4LVMTNBl7fXN5wJul++b2/aCt3MGAUrJsyfVHCsGD3HnMAMY94E72mPIc34cPiMmbqgxKeE&#10;kmw9m864VAJIStpCJtNFGg79UJvDYI28N9aWFEzDfmMTO0ARR/2KHgj4t7BSZQs4znH1aZbNqEB+&#10;9JLlUyTSPOmblx6ckpxZRb9DsarAMhj7kkgqbX1pTVXpngf9xXex9kGe6hqa4pEsasdnCRfdPffJ&#10;fv6jr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yBxCdcAAAAKAQAADwAAAAAAAAABACAAAAAi&#10;AAAAZHJzL2Rvd25yZXYueG1sUEsBAhQAFAAAAAgAh07iQFEcoGjSAQAAsAMAAA4AAAAAAAAAAQAg&#10;AAAAJgEAAGRycy9lMm9Eb2MueG1sUEsFBgAAAAAGAAYAWQEAAGo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25172992" behindDoc="0" locked="0" layoutInCell="1" allowOverlap="1">
                <wp:simplePos x="0" y="0"/>
                <wp:positionH relativeFrom="column">
                  <wp:posOffset>1321435</wp:posOffset>
                </wp:positionH>
                <wp:positionV relativeFrom="paragraph">
                  <wp:posOffset>5715</wp:posOffset>
                </wp:positionV>
                <wp:extent cx="635" cy="190500"/>
                <wp:effectExtent l="9525" t="0" r="20320" b="7620"/>
                <wp:wrapNone/>
                <wp:docPr id="105" name="AutoShape 130"/>
                <wp:cNvGraphicFramePr/>
                <a:graphic xmlns:a="http://schemas.openxmlformats.org/drawingml/2006/main">
                  <a:graphicData uri="http://schemas.microsoft.com/office/word/2010/wordprocessingShape">
                    <wps:wsp>
                      <wps:cNvCnPr/>
                      <wps:spPr>
                        <a:xfrm flipV="1">
                          <a:off x="0" y="0"/>
                          <a:ext cx="635" cy="1905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104.05pt;margin-top:0.45pt;height:15pt;width:0.05pt;z-index:1625172992;mso-width-relative:page;mso-height-relative:page;" filled="f" stroked="t" coordsize="21600,21600" o:gfxdata="UEsDBAoAAAAAAIdO4kAAAAAAAAAAAAAAAAAEAAAAZHJzL1BLAwQUAAAACACHTuJA7yw/YtYAAAAH&#10;AQAADwAAAGRycy9kb3ducmV2LnhtbE2OPU/DMBRFdyT+g/WQ2KidVCptyEsHqg5IHWjLwOjGjyTC&#10;fk5t9wN+PWaC8epenXvq5dVZcaYQB88IxUSBIG69GbhDeNuvH+YgYtJstPVMCF8UYdnc3tS6Mv7C&#10;WzrvUicyhGOlEfqUxkrK2PbkdJz4kTh3Hz44nXIMnTRBXzLcWVkqNZNOD5wfej3Sc0/t5+7kEFQ8&#10;bjcb/3h8n01f7KsbVutV+Ea8vyvUE4hE1/Q3hl/9rA5Ndjr4E5soLEKp5kWeIixA5DrHEsQBYaoW&#10;IJta/vdvfgBQSwMEFAAAAAgAh07iQINNywXRAQAAsAMAAA4AAABkcnMvZTJvRG9jLnhtbK1TS2/b&#10;MAy+F9h/EHRf7LRo0RpxiiFZdxnWAHvcGT1sAXpBVOPk34+Ss6zbLsMwHwRSIj+SHz+vHo/OsoNK&#10;aILv+XLRcqa8CNL4oedfvzy9vecMM3gJNnjV85NC/rh+c7WaYqeuwxisVIkRiMduij0fc45d06AY&#10;lQNchKg8PeqQHGRy09DIBBOhO9tct+1dM4UkYwpCIdLtdn7k64qvtRL5WWtUmdmeU2+5nqme+3I2&#10;6xV0Q4I4GnFuA/6hCwfGU9EL1BYysJdk/oByRqSAQeeFCK4JWhuh6gw0zbL9bZrPI0RVZyFyMF5o&#10;wv8HKz4ddokZSbtrbznz4GhJ715yqLXZ8qZSNEXsKHLjd4kIKx7GXSrzHnVyTFsTvxFCZYBmYsdK&#10;8OlCsDpmJujy7oZqCLpfPrS3bYVuZoyCFRPmDyo4VoyeY05ghjFvgve0x5BmfDh8xExdUOKPhJJs&#10;PZvOuFQCSEraQibTRRoO/VCbw2CNfDLWlhRMw35jEztAEUf9ih4I+JewUmULOM5x9WmWzahAvveS&#10;5VMk0jzpm5cenJKcWUW/Q7GqwDIY+zeRVNr60pqq0j0P+pPvYu2DPNU1NMUjWdSOzxIuunvtk/36&#10;R1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8sP2LWAAAABwEAAA8AAAAAAAAAAQAgAAAAIgAA&#10;AGRycy9kb3ducmV2LnhtbFBLAQIUABQAAAAIAIdO4kCDTcsF0QEAALADAAAOAAAAAAAAAAEAIAAA&#10;ACUBAABkcnMvZTJvRG9jLnhtbFBLBQYAAAAABgAGAFkBAABo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932401664" behindDoc="0" locked="0" layoutInCell="1" allowOverlap="1">
                <wp:simplePos x="0" y="0"/>
                <wp:positionH relativeFrom="column">
                  <wp:posOffset>8325485</wp:posOffset>
                </wp:positionH>
                <wp:positionV relativeFrom="paragraph">
                  <wp:posOffset>197485</wp:posOffset>
                </wp:positionV>
                <wp:extent cx="1139825" cy="335280"/>
                <wp:effectExtent l="4445" t="4445" r="13970" b="10795"/>
                <wp:wrapNone/>
                <wp:docPr id="106" name="AutoShape 142"/>
                <wp:cNvGraphicFramePr/>
                <a:graphic xmlns:a="http://schemas.openxmlformats.org/drawingml/2006/main">
                  <a:graphicData uri="http://schemas.microsoft.com/office/word/2010/wordprocessingShape">
                    <wps:wsp>
                      <wps:cNvSpPr/>
                      <wps:spPr>
                        <a:xfrm>
                          <a:off x="0" y="0"/>
                          <a:ext cx="1139825" cy="33528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财务资产部</w:t>
                            </w:r>
                          </w:p>
                          <w:p>
                            <w:pPr>
                              <w:jc w:val="center"/>
                              <w:rPr>
                                <w:rFonts w:hint="default"/>
                                <w:sz w:val="20"/>
                                <w:szCs w:val="18"/>
                                <w:lang w:val="en-US" w:eastAsia="zh-CN"/>
                              </w:rPr>
                            </w:pP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655.55pt;margin-top:15.55pt;height:26.4pt;width:89.75pt;z-index:1932401664;mso-width-relative:page;mso-height-relative:page;" fillcolor="#CCFFFF" filled="t" stroked="t" coordsize="21600,21600" o:gfxdata="UEsDBAoAAAAAAIdO4kAAAAAAAAAAAAAAAAAEAAAAZHJzL1BLAwQUAAAACACHTuJA0dxuntYAAAAL&#10;AQAADwAAAGRycy9kb3ducmV2LnhtbE2PTU/DMAyG70j8h8hI3FhShqa2NN0BaRIHDjCYuKaNaSsa&#10;p8rHNv493glufuVXjx8327ObxRFDnDxpKFYKBFLv7USDho/33V0JIiZD1syeUMMPRti211eNqa0/&#10;0Rse92kQDKFYGw1jSkstZexHdCau/ILEuy8fnEkcwyBtMCeGu1neK7WRzkzEF0az4NOI/fc+O6bk&#10;/Cqrw0uX0TzLXR/oUMpPrW9vCvUIIuE5/ZXhos/q0LJT5zPZKGbO66IouKuBBxCXxkOlNiA6DeW6&#10;Atk28v8P7S9QSwMEFAAAAAgAh07iQBXtbMHvAQAA/AMAAA4AAABkcnMvZTJvRG9jLnhtbK1T247T&#10;MBB9R+IfLL/TXEpX3ajpCrWUFwSVFj5gajuJJd9ku03694zd0u0CDwiRB2fGHp85c2a8epq0Iifh&#10;g7SmpdWspEQYZrk0fUu/f9u9W1ISIhgOyhrR0rMI9Gn99s1qdI2o7WAVF54giAnN6Fo6xOiaoghs&#10;EBrCzDph8LCzXkNE1/cF9zAiulZFXZYPxWg9d94yEQLubi+HdJ3xu06w+LXrgohEtRS5xbz6vB7S&#10;WqxX0PQe3CDZlQb8AwsN0mDSG9QWIpCjl79Bacm8DbaLM2Z1YbtOMpFrwGqq8pdqngdwIteC4gR3&#10;kyn8P1j25bT3RHLsXflAiQGNTfpwjDbnJtX7Okk0utBg5LPb+6sX0Ez1Tp3X6Y+VkCnLer7JKqZI&#10;GG5W1fxxWS8oYXg2ny/qZda9eLntfIifhNUkGS3tlB03A/i4vzQ2KwunzyFidrz2MzwlDlZJvpNK&#10;Zcf3h43y5ATY7s1mh1+ij1dehSlDxpY+LjInwKnrFESkpx3qEEyf8726Ee6By/z9CTgR20IYLgQy&#10;QgqDRssoknTQDAL4R8NJPDtU2uCjoImMFpwSJfANJStHRpDqbyKxOmUStMjzflUptezSpGTF6TAh&#10;aDIPlp+x5UfnZT+g2FUuJJ3giGWtrs8hzfC9j/b9o1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Hcbp7WAAAACwEAAA8AAAAAAAAAAQAgAAAAIgAAAGRycy9kb3ducmV2LnhtbFBLAQIUABQAAAAI&#10;AIdO4kAV7WzB7wEAAPwDAAAOAAAAAAAAAAEAIAAAACUBAABkcnMvZTJvRG9jLnhtbFBLBQYAAAAA&#10;BgAGAFkBAACGBQ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财务资产部</w:t>
                      </w:r>
                    </w:p>
                    <w:p>
                      <w:pPr>
                        <w:jc w:val="center"/>
                        <w:rPr>
                          <w:rFonts w:hint="default"/>
                          <w:sz w:val="20"/>
                          <w:szCs w:val="18"/>
                          <w:lang w:val="en-US" w:eastAsia="zh-CN"/>
                        </w:rPr>
                      </w:pPr>
                    </w:p>
                    <w:p>
                      <w:pPr>
                        <w:jc w:val="center"/>
                        <w:rPr>
                          <w:sz w:val="20"/>
                          <w:szCs w:val="18"/>
                        </w:rPr>
                      </w:pPr>
                    </w:p>
                  </w:txbxContent>
                </v:textbox>
              </v:shape>
            </w:pict>
          </mc:Fallback>
        </mc:AlternateContent>
      </w:r>
    </w:p>
    <w:p>
      <w:r>
        <mc:AlternateContent>
          <mc:Choice Requires="wps">
            <w:drawing>
              <wp:anchor distT="0" distB="0" distL="114300" distR="114300" simplePos="0" relativeHeight="1625285632" behindDoc="0" locked="0" layoutInCell="1" allowOverlap="1">
                <wp:simplePos x="0" y="0"/>
                <wp:positionH relativeFrom="column">
                  <wp:posOffset>862330</wp:posOffset>
                </wp:positionH>
                <wp:positionV relativeFrom="paragraph">
                  <wp:posOffset>12700</wp:posOffset>
                </wp:positionV>
                <wp:extent cx="882015" cy="334010"/>
                <wp:effectExtent l="5080" t="4445" r="12065" b="12065"/>
                <wp:wrapNone/>
                <wp:docPr id="107" name="AutoShape 142"/>
                <wp:cNvGraphicFramePr/>
                <a:graphic xmlns:a="http://schemas.openxmlformats.org/drawingml/2006/main">
                  <a:graphicData uri="http://schemas.microsoft.com/office/word/2010/wordprocessingShape">
                    <wps:wsp>
                      <wps:cNvSpPr/>
                      <wps:spPr>
                        <a:xfrm>
                          <a:off x="0" y="0"/>
                          <a:ext cx="882015" cy="33401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sz w:val="20"/>
                                <w:szCs w:val="18"/>
                              </w:rPr>
                            </w:pPr>
                            <w:r>
                              <w:rPr>
                                <w:rFonts w:hint="eastAsia"/>
                                <w:sz w:val="20"/>
                                <w:szCs w:val="18"/>
                                <w:lang w:eastAsia="zh-CN"/>
                              </w:rPr>
                              <w:t>生产运行部</w:t>
                            </w:r>
                          </w:p>
                          <w:p>
                            <w:pPr>
                              <w:jc w:val="center"/>
                              <w:rPr>
                                <w:rFonts w:hint="default" w:eastAsia="宋体"/>
                                <w:sz w:val="20"/>
                                <w:szCs w:val="18"/>
                                <w:lang w:val="en-US" w:eastAsia="zh-CN"/>
                              </w:rPr>
                            </w:pP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67.9pt;margin-top:1pt;height:26.3pt;width:69.45pt;z-index:1625285632;mso-width-relative:page;mso-height-relative:page;" fillcolor="#CCFFFF" filled="t" stroked="t" coordsize="21600,21600" o:gfxdata="UEsDBAoAAAAAAIdO4kAAAAAAAAAAAAAAAAAEAAAAZHJzL1BLAwQUAAAACACHTuJAQhha5NUAAAAI&#10;AQAADwAAAGRycy9kb3ducmV2LnhtbE2Pu07DQBBFeyT+YTVIdGQdkxfG6xRIkSgoIBDRju3BtvDO&#10;WvtIwt8zVKS8uqMz55bbsx3VkXwYHBuYzzJQxI1rB+4MfLzv7jagQkRucXRMBn4owLa6viqxaN2J&#10;3+i4j50SCIcCDfQxToXWoenJYpi5iVi6L+ctRom+063Hk8DtqPMsW2mLA8uHHid66qn53icrlJRe&#10;9cPhpU6Ez3rXeD5s9Kcxtzfz7BFUpHP8P4Y/fVGHSpxql7gNapR8vxT1aCCXSdLn68UaVG1guViB&#10;rkp9OaD6BVBLAwQUAAAACACHTuJARhCNmuoBAAD7AwAADgAAAGRycy9lMm9Eb2MueG1srVPbjtMw&#10;EH1H4h8sv9Ok3V0oUdMVaikvCCotfMDUl8SSb7LdJv17xk63dIEHhMiDM+MZn5lzxl49jkaTkwhR&#10;OdvS+aymRFjmuLJdS79/271ZUhITWA7aWdHSs4j0cf361WrwjVi43mkuAkEQG5vBt7RPyTdVFVkv&#10;DMSZ88JiULpgIKEbuooHGBDd6GpR12+rwQXug2MiRtzdTkG6LvhSCpa+ShlFIrql2FsqayjrIa/V&#10;egVNF8D3il3agH/owoCyWPQKtYUE5BjUb1BGseCik2nGnKmclIqJwgHZzOtf2Dz14EXhguJEf5Up&#10;/j9Y9uW0D0RxnF39jhILBof04ZhcqU3m94ss0eBjg5lPfh8uXkQz8x1lMPmPTMhYZD1fZRVjIgw3&#10;l0vk9kAJw9Dd3T3yzJjVz8M+xPRJOEOy0VKp3bDpIaT9NNciLJw+xzQde07PdaPTiu+U1sUJ3WGj&#10;AzkBTnuz2eF3qfQiTVsytPT9wyL3BHjppIaEpvEoQ7RdqffiRLwFrsv3J+Dc2BZiPzVQEHIaNEYl&#10;EYrVC+AfLSfp7FFoi2+C5maM4JRogU8oWyUzgdJ/k4k6apuLiHLdLyrliU0zylYaDyOCZvPg+Bkn&#10;fvRBdT2KPS9EcgRvWJnK5TXkK3zro337Z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IYWuTV&#10;AAAACAEAAA8AAAAAAAAAAQAgAAAAIgAAAGRycy9kb3ducmV2LnhtbFBLAQIUABQAAAAIAIdO4kBG&#10;EI2a6gEAAPsDAAAOAAAAAAAAAAEAIAAAACQBAABkcnMvZTJvRG9jLnhtbFBLBQYAAAAABgAGAFkB&#10;AACABQAAAAA=&#10;">
                <v:fill on="t" focussize="0,0"/>
                <v:stroke color="#000000" joinstyle="miter"/>
                <v:imagedata o:title=""/>
                <o:lock v:ext="edit" aspectratio="f"/>
                <v:textbox>
                  <w:txbxContent>
                    <w:p>
                      <w:pPr>
                        <w:jc w:val="center"/>
                        <w:rPr>
                          <w:sz w:val="20"/>
                          <w:szCs w:val="18"/>
                        </w:rPr>
                      </w:pPr>
                      <w:r>
                        <w:rPr>
                          <w:rFonts w:hint="eastAsia"/>
                          <w:sz w:val="20"/>
                          <w:szCs w:val="18"/>
                          <w:lang w:eastAsia="zh-CN"/>
                        </w:rPr>
                        <w:t>生产运行部</w:t>
                      </w:r>
                    </w:p>
                    <w:p>
                      <w:pPr>
                        <w:jc w:val="center"/>
                        <w:rPr>
                          <w:rFonts w:hint="default" w:eastAsia="宋体"/>
                          <w:sz w:val="20"/>
                          <w:szCs w:val="18"/>
                          <w:lang w:val="en-US" w:eastAsia="zh-CN"/>
                        </w:rPr>
                      </w:pPr>
                    </w:p>
                    <w:p>
                      <w:pPr>
                        <w:jc w:val="center"/>
                        <w:rPr>
                          <w:sz w:val="20"/>
                          <w:szCs w:val="18"/>
                        </w:rPr>
                      </w:pPr>
                    </w:p>
                  </w:txbxContent>
                </v:textbox>
              </v:shape>
            </w:pict>
          </mc:Fallback>
        </mc:AlternateContent>
      </w:r>
      <w:r>
        <mc:AlternateContent>
          <mc:Choice Requires="wps">
            <w:drawing>
              <wp:anchor distT="0" distB="0" distL="114300" distR="114300" simplePos="0" relativeHeight="1626098688" behindDoc="0" locked="0" layoutInCell="1" allowOverlap="1">
                <wp:simplePos x="0" y="0"/>
                <wp:positionH relativeFrom="column">
                  <wp:posOffset>4021455</wp:posOffset>
                </wp:positionH>
                <wp:positionV relativeFrom="paragraph">
                  <wp:posOffset>47625</wp:posOffset>
                </wp:positionV>
                <wp:extent cx="875665" cy="285750"/>
                <wp:effectExtent l="5080" t="4445" r="18415" b="14605"/>
                <wp:wrapNone/>
                <wp:docPr id="108" name="AutoShape 142"/>
                <wp:cNvGraphicFramePr/>
                <a:graphic xmlns:a="http://schemas.openxmlformats.org/drawingml/2006/main">
                  <a:graphicData uri="http://schemas.microsoft.com/office/word/2010/wordprocessingShape">
                    <wps:wsp>
                      <wps:cNvSpPr/>
                      <wps:spPr>
                        <a:xfrm>
                          <a:off x="0" y="0"/>
                          <a:ext cx="875665" cy="28575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0"/>
                                <w:szCs w:val="18"/>
                                <w:lang w:eastAsia="zh-CN"/>
                              </w:rPr>
                            </w:pPr>
                            <w:r>
                              <w:rPr>
                                <w:rFonts w:hint="eastAsia"/>
                                <w:sz w:val="20"/>
                                <w:szCs w:val="18"/>
                                <w:lang w:eastAsia="zh-CN"/>
                              </w:rPr>
                              <w:t>工程技术部</w:t>
                            </w:r>
                          </w:p>
                        </w:txbxContent>
                      </wps:txbx>
                      <wps:bodyPr upright="1"/>
                    </wps:wsp>
                  </a:graphicData>
                </a:graphic>
              </wp:anchor>
            </w:drawing>
          </mc:Choice>
          <mc:Fallback>
            <w:pict>
              <v:shape id="AutoShape 142" o:spid="_x0000_s1026" o:spt="109" type="#_x0000_t109" style="position:absolute;left:0pt;margin-left:316.65pt;margin-top:3.75pt;height:22.5pt;width:68.95pt;z-index:1626098688;mso-width-relative:page;mso-height-relative:page;" fillcolor="#CCFFFF" filled="t" stroked="t" coordsize="21600,21600" o:gfxdata="UEsDBAoAAAAAAIdO4kAAAAAAAAAAAAAAAAAEAAAAZHJzL1BLAwQUAAAACACHTuJAOyslgdcAAAAI&#10;AQAADwAAAGRycy9kb3ducmV2LnhtbE2Py07DMBBF90j8gzVI7OjkoTQljdMFUiUWLKBQsXXiaRIR&#10;j6PYbsvfY1awHN2rc8/Uu6uZxJkWN1qWkK4SEMSd1SP3Ej7e9w8bEM4r1mqyTBK+ycGuub2pVaXt&#10;hd/ofPC9iBB2lZIweD9XiK4byCi3sjNxzE52McrHc+lRL+oS4WbCLEnWaNTIcWFQMz0N1H0dgomU&#10;EF7x8fjSBlLPuO8WPm7wU8r7uzTZgvB09X9l+NWP6tBEp9YG1k5MEtZ5nseqhLIAEfOyTDMQrYQi&#10;KwCbGv8/0PwAUEsDBBQAAAAIAIdO4kAbeWm07gEAAPsDAAAOAAAAZHJzL2Uyb0RvYy54bWytU82O&#10;EzEMviPxDlHudKYV7ZZRpyvUUi4IKi08gJufmUj5U5J2pm+Pk5bShT2sEHPI2In92f5srx5Ho8lJ&#10;hKicbel0UlMiLHNc2a6lP77v3i0piQksB+2saOlZRPq4fvtmNfhGzFzvNBeBIIiNzeBb2qfkm6qK&#10;rBcG4sR5YfFRumAgoRq6igcYEN3oalbXi2pwgfvgmIgRb7eXR7ou+FIKlr5JGUUiuqWYWypnKOch&#10;n9V6BU0XwPeKXdOAf8jCgLIY9Aa1hQTkGNRfUEax4KKTacKcqZyUiolSA1Yzrf+o5qkHL0otSE70&#10;N5ri/4NlX0/7QBTH3tXYKgsGm/TxmFyJTabvZ5miwccGLZ/8Ply1iGKud5TB5D9WQsZC6/lGqxgT&#10;YXi5fJgvFnNKGD7NlvOHeaG9+u3sQ0yfhTMkCy2V2g2bHkLaX/paiIXTl5gwOLr9Ms9xo9OK75TW&#10;RQndYaMDOQF2e7PZ4ZezR5dnZtqSoaUf5rOcE+DQSQ0JReORhmi7Eu+ZR7wHrsv3EnBObAuxvyRQ&#10;ELIZNEYlkZmDphfAP1lO0tkj0RZ3guZkjOCUaIErlKVimUDp11hiddpmaFHG/cpS7tilR1lK42FE&#10;0CweHD9jx48+qK5HsqelkPyCE1a4um5DHuF7HeX7nV3/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srJYHXAAAACAEAAA8AAAAAAAAAAQAgAAAAIgAAAGRycy9kb3ducmV2LnhtbFBLAQIUABQAAAAI&#10;AIdO4kAbeWm07gEAAPsDAAAOAAAAAAAAAAEAIAAAACYBAABkcnMvZTJvRG9jLnhtbFBLBQYAAAAA&#10;BgAGAFkBAACGBQAAAAA=&#10;">
                <v:fill on="t" focussize="0,0"/>
                <v:stroke color="#000000" joinstyle="miter"/>
                <v:imagedata o:title=""/>
                <o:lock v:ext="edit" aspectratio="f"/>
                <v:textbox>
                  <w:txbxContent>
                    <w:p>
                      <w:pPr>
                        <w:jc w:val="center"/>
                        <w:rPr>
                          <w:rFonts w:hint="eastAsia" w:eastAsia="宋体"/>
                          <w:sz w:val="20"/>
                          <w:szCs w:val="18"/>
                          <w:lang w:eastAsia="zh-CN"/>
                        </w:rPr>
                      </w:pPr>
                      <w:r>
                        <w:rPr>
                          <w:rFonts w:hint="eastAsia"/>
                          <w:sz w:val="20"/>
                          <w:szCs w:val="18"/>
                          <w:lang w:eastAsia="zh-CN"/>
                        </w:rPr>
                        <w:t>工程技术部</w:t>
                      </w:r>
                    </w:p>
                  </w:txbxContent>
                </v:textbox>
              </v:shape>
            </w:pict>
          </mc:Fallback>
        </mc:AlternateContent>
      </w:r>
      <w:r>
        <w:rPr>
          <w:sz w:val="21"/>
        </w:rPr>
        <mc:AlternateContent>
          <mc:Choice Requires="wps">
            <w:drawing>
              <wp:anchor distT="0" distB="0" distL="114300" distR="114300" simplePos="0" relativeHeight="2391421952" behindDoc="0" locked="0" layoutInCell="1" allowOverlap="1">
                <wp:simplePos x="0" y="0"/>
                <wp:positionH relativeFrom="column">
                  <wp:posOffset>2845435</wp:posOffset>
                </wp:positionH>
                <wp:positionV relativeFrom="paragraph">
                  <wp:posOffset>31115</wp:posOffset>
                </wp:positionV>
                <wp:extent cx="1104900" cy="312420"/>
                <wp:effectExtent l="4445" t="4445" r="18415" b="18415"/>
                <wp:wrapNone/>
                <wp:docPr id="109" name="文本框 109"/>
                <wp:cNvGraphicFramePr/>
                <a:graphic xmlns:a="http://schemas.openxmlformats.org/drawingml/2006/main">
                  <a:graphicData uri="http://schemas.microsoft.com/office/word/2010/wordprocessingShape">
                    <wps:wsp>
                      <wps:cNvSpPr txBox="1"/>
                      <wps:spPr>
                        <a:xfrm>
                          <a:off x="4683125" y="3070860"/>
                          <a:ext cx="1104900" cy="312420"/>
                        </a:xfrm>
                        <a:prstGeom prst="rect">
                          <a:avLst/>
                        </a:prstGeom>
                        <a:solidFill>
                          <a:srgbClr val="C3F7F7"/>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0"/>
                                <w:lang w:eastAsia="zh-CN"/>
                              </w:rPr>
                            </w:pPr>
                            <w:r>
                              <w:rPr>
                                <w:rFonts w:hint="eastAsia"/>
                                <w:sz w:val="20"/>
                                <w:szCs w:val="20"/>
                                <w:lang w:eastAsia="zh-CN"/>
                              </w:rPr>
                              <w:t>客户服务管理部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05pt;margin-top:2.45pt;height:24.6pt;width:87pt;z-index:-1903545344;mso-width-relative:page;mso-height-relative:page;" fillcolor="#C3F7F7" filled="t" stroked="t" coordsize="21600,21600" o:gfxdata="UEsDBAoAAAAAAIdO4kAAAAAAAAAAAAAAAAAEAAAAZHJzL1BLAwQUAAAACACHTuJAYYARxtkAAAAI&#10;AQAADwAAAGRycy9kb3ducmV2LnhtbE2PzU7DMBCE70i8g7VIXFBrJ4RQQpwKVQK1HBAtiPM2dpNA&#10;vI5i94e3ZznBbUczmv2mnJ9cLw52DJ0nDclUgbBUe9NRo+H97XEyAxEiksHek9XwbQPMq/OzEgvj&#10;j7S2h01sBJdQKFBDG+NQSBnq1joMUz9YYm/nR4eR5dhIM+KRy10vU6Vy6bAj/tDiYBetrb82e6fh&#10;+iG/xcXHard8unpZPiui9POVtL68SNQ9iGhP8S8Mv/iMDhUzbf2eTBC9hiybJRzl4w4E+3mast5q&#10;uMkSkFUp/w+ofgBQSwMEFAAAAAgAh07iQFwqZzFNAgAAeQQAAA4AAABkcnMvZTJvRG9jLnhtbK1U&#10;zY7TMBC+I/EOlu80Sf9bNV2VroqQVuxKBXF2HKeNcDzGdpuUB4A34MSFO8/V52Dspt0uywlxcccz&#10;Xz/PfDOT2U1TSbIXxpagUpp0YkqE4pCXapPSD+9Xr8aUWMdUziQokdKDsPRm/vLFrNZT0YUtyFwY&#10;giTKTmud0q1zehpFlm9FxWwHtFAYLMBUzOHVbKLcsBrZKxl143gY1WBybYALa9F7ewrSeeAvCsHd&#10;fVFY4YhMKebmwmnCmfkzms/YdGOY3pa8TYP9QxYVKxU+eqG6ZY6RnSmfUVUlN2ChcB0OVQRFUXIR&#10;asBqkviPatZbpkWoBcWx+iKT/X+0/N3+wZAyx97FE0oUq7BJx+/fjj9+HX9+Jd6JEtXaThG51oh1&#10;zWtoEH72W3T6ypvCVP4XayIY7w/HvaQ7oOSQ0l48isfDVmzROMI9QRL3JzH2hHtE0u13AyB6ZNLG&#10;ujcCKuKNlBpsZtCY7e+sw6wQeob4hy3IMl+VUoaL2WRLacieYeOXvdVoNfIJ41+ewKQidUqHvUEc&#10;mJ/EPPeFIpOMf3rOgHxSIa0X6CSEt1yTNa1qGeQHFM3AafKs5qsSee+YdQ/M4KihALg+7h6PQgIm&#10;A61FyRbMl7/5PR4nAKOU1Di6KbWfd8wISuRbhbMxSfp9P+vh0h+MUFhiriPZdUTtqiWgSAkuqubB&#10;9Hgnz2ZhoPqIW7bwr2KIKY5vp9SdzaU7LRRuKReLRQDhdGvm7tRac0/tW6JgsXNQlKF1XqaTNq16&#10;ON+hPe0u+gW6vgfU4xdj/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gBHG2QAAAAgBAAAPAAAA&#10;AAAAAAEAIAAAACIAAABkcnMvZG93bnJldi54bWxQSwECFAAUAAAACACHTuJAXCpnMU0CAAB5BAAA&#10;DgAAAAAAAAABACAAAAAoAQAAZHJzL2Uyb0RvYy54bWxQSwUGAAAAAAYABgBZAQAA5wUAAAAA&#10;">
                <v:fill on="t" focussize="0,0"/>
                <v:stroke weight="0.5pt" color="#000000 [3204]" joinstyle="round"/>
                <v:imagedata o:title=""/>
                <o:lock v:ext="edit" aspectratio="f"/>
                <v:textbox>
                  <w:txbxContent>
                    <w:p>
                      <w:pPr>
                        <w:rPr>
                          <w:rFonts w:hint="eastAsia" w:eastAsia="宋体"/>
                          <w:sz w:val="20"/>
                          <w:szCs w:val="20"/>
                          <w:lang w:eastAsia="zh-CN"/>
                        </w:rPr>
                      </w:pPr>
                      <w:r>
                        <w:rPr>
                          <w:rFonts w:hint="eastAsia"/>
                          <w:sz w:val="20"/>
                          <w:szCs w:val="20"/>
                          <w:lang w:eastAsia="zh-CN"/>
                        </w:rPr>
                        <w:t>客户服务管理部</w:t>
                      </w:r>
                    </w:p>
                  </w:txbxContent>
                </v:textbox>
              </v:shape>
            </w:pict>
          </mc:Fallback>
        </mc:AlternateContent>
      </w:r>
      <w:r>
        <mc:AlternateContent>
          <mc:Choice Requires="wps">
            <w:drawing>
              <wp:anchor distT="0" distB="0" distL="114300" distR="114300" simplePos="0" relativeHeight="1625842688" behindDoc="0" locked="0" layoutInCell="1" allowOverlap="1">
                <wp:simplePos x="0" y="0"/>
                <wp:positionH relativeFrom="column">
                  <wp:posOffset>1887220</wp:posOffset>
                </wp:positionH>
                <wp:positionV relativeFrom="paragraph">
                  <wp:posOffset>17145</wp:posOffset>
                </wp:positionV>
                <wp:extent cx="868045" cy="332740"/>
                <wp:effectExtent l="4445" t="4445" r="11430" b="13335"/>
                <wp:wrapNone/>
                <wp:docPr id="110" name="AutoShape 142"/>
                <wp:cNvGraphicFramePr/>
                <a:graphic xmlns:a="http://schemas.openxmlformats.org/drawingml/2006/main">
                  <a:graphicData uri="http://schemas.microsoft.com/office/word/2010/wordprocessingShape">
                    <wps:wsp>
                      <wps:cNvSpPr/>
                      <wps:spPr>
                        <a:xfrm>
                          <a:off x="0" y="0"/>
                          <a:ext cx="868045" cy="33274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市场营销部</w:t>
                            </w:r>
                          </w:p>
                          <w:p>
                            <w:pPr>
                              <w:jc w:val="center"/>
                              <w:rPr>
                                <w:rFonts w:hint="default"/>
                                <w:sz w:val="20"/>
                                <w:szCs w:val="18"/>
                                <w:lang w:val="en-US" w:eastAsia="zh-CN"/>
                              </w:rPr>
                            </w:pPr>
                          </w:p>
                          <w:p>
                            <w:pPr>
                              <w:jc w:val="center"/>
                              <w:rPr>
                                <w:sz w:val="20"/>
                                <w:szCs w:val="18"/>
                              </w:rPr>
                            </w:pP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148.6pt;margin-top:1.35pt;height:26.2pt;width:68.35pt;z-index:1625842688;mso-width-relative:page;mso-height-relative:page;" fillcolor="#CCFFFF" filled="t" stroked="t" coordsize="21600,21600" o:gfxdata="UEsDBAoAAAAAAIdO4kAAAAAAAAAAAAAAAAAEAAAAZHJzL1BLAwQUAAAACACHTuJAO1DXvNYAAAAI&#10;AQAADwAAAGRycy9kb3ducmV2LnhtbE2PPU/DMBCGdyT+g3VIbNRJSmkT4nRAqsTAAIWK1YmPJCI+&#10;R/5oy7/nmOh2p/fVc8/V27OdxBF9GB0pyBcZCKTOmZF6BR/vu7sNiBA1GT05QgU/GGDbXF/VujLu&#10;RG943MdeMIRCpRUMMc6VlKEb0OqwcDMSZ1/OWx159b00Xp8YbidZZNmDtHokvjDoGZ8G7L73yTIl&#10;pVdZHl7ahPpZ7jpPh438VOr2Js8eQUQ8x/8y/OmzOjTs1LpEJohJQVGuC67ysAbB+f1yWYJoFaxW&#10;OcimlpcPNL9QSwMEFAAAAAgAh07iQCricKXuAQAA+wMAAA4AAABkcnMvZTJvRG9jLnhtbK1TzY4T&#10;MQy+I/EOUe50pt3u0h11ukIt5YKg0rIP4OZnJlL+lKSd6dvjpKV0gQNCzCFjJ/Zn+7O9fBqNJkcR&#10;onK2pdNJTYmwzHFlu5a+fNu+W1ASE1gO2lnR0pOI9Gn19s1y8I2Yud5pLgJBEBubwbe0T8k3VRVZ&#10;LwzEifPC4qN0wUBCNXQVDzAgutHVrK4fqsEF7oNjIka83Zwf6argSylY+iplFInolmJuqZyhnPt8&#10;VqslNF0A3yt2SQP+IQsDymLQK9QGEpBDUL9BGcWCi06mCXOmclIqJkoNWM20/qWa5x68KLUgOdFf&#10;aYr/D5Z9Oe4CURx7N0V+LBhs0odDciU2mc5nmaLBxwYtn/0uXLSIYq53lMHkP1ZCxkLr6UqrGBNh&#10;eLl4WNTze0oYPt3dzd7PC+3VT2cfYvoknCFZaKnUblj3ENLu3NdCLBw/x4TB0e2HeY4bnVZ8q7Qu&#10;Suj2ax3IEbDb6/UWv5w9urwy05YMLX28n+WcAIdOakgoGo80RNuVeK884i1wXb4/AefENhD7cwIF&#10;IZtBY1QSmTloegH8o+UknTwSbXEnaE7GCE6JFrhCWSqWCZT+G0usTtsMLcq4X1jKHTv3KEtp3I8I&#10;msW94yfs+MEH1fVI9rQUkl9wwgpXl23II3yro3y7s6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1DXvNYAAAAIAQAADwAAAAAAAAABACAAAAAiAAAAZHJzL2Rvd25yZXYueG1sUEsBAhQAFAAAAAgA&#10;h07iQCricKXuAQAA+wMAAA4AAAAAAAAAAQAgAAAAJQEAAGRycy9lMm9Eb2MueG1sUEsFBgAAAAAG&#10;AAYAWQEAAIUFA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市场营销部</w:t>
                      </w:r>
                    </w:p>
                    <w:p>
                      <w:pPr>
                        <w:jc w:val="center"/>
                        <w:rPr>
                          <w:rFonts w:hint="default"/>
                          <w:sz w:val="20"/>
                          <w:szCs w:val="18"/>
                          <w:lang w:val="en-US" w:eastAsia="zh-CN"/>
                        </w:rPr>
                      </w:pPr>
                    </w:p>
                    <w:p>
                      <w:pPr>
                        <w:jc w:val="center"/>
                        <w:rPr>
                          <w:sz w:val="20"/>
                          <w:szCs w:val="18"/>
                        </w:rPr>
                      </w:pPr>
                    </w:p>
                    <w:p>
                      <w:pPr>
                        <w:jc w:val="center"/>
                        <w:rPr>
                          <w:sz w:val="20"/>
                          <w:szCs w:val="18"/>
                        </w:rPr>
                      </w:pPr>
                    </w:p>
                  </w:txbxContent>
                </v:textbox>
              </v:shape>
            </w:pict>
          </mc:Fallback>
        </mc:AlternateContent>
      </w:r>
      <w:r>
        <mc:AlternateContent>
          <mc:Choice Requires="wps">
            <w:drawing>
              <wp:anchor distT="0" distB="0" distL="114300" distR="114300" simplePos="0" relativeHeight="2391419904" behindDoc="0" locked="0" layoutInCell="1" allowOverlap="1">
                <wp:simplePos x="0" y="0"/>
                <wp:positionH relativeFrom="column">
                  <wp:posOffset>-459105</wp:posOffset>
                </wp:positionH>
                <wp:positionV relativeFrom="paragraph">
                  <wp:posOffset>11430</wp:posOffset>
                </wp:positionV>
                <wp:extent cx="992505" cy="325120"/>
                <wp:effectExtent l="4445" t="4445" r="8890" b="5715"/>
                <wp:wrapNone/>
                <wp:docPr id="111" name="AutoShape 142"/>
                <wp:cNvGraphicFramePr/>
                <a:graphic xmlns:a="http://schemas.openxmlformats.org/drawingml/2006/main">
                  <a:graphicData uri="http://schemas.microsoft.com/office/word/2010/wordprocessingShape">
                    <wps:wsp>
                      <wps:cNvSpPr/>
                      <wps:spPr>
                        <a:xfrm>
                          <a:off x="0" y="0"/>
                          <a:ext cx="992505" cy="32512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综合办公室</w:t>
                            </w:r>
                          </w:p>
                        </w:txbxContent>
                      </wps:txbx>
                      <wps:bodyPr upright="1"/>
                    </wps:wsp>
                  </a:graphicData>
                </a:graphic>
              </wp:anchor>
            </w:drawing>
          </mc:Choice>
          <mc:Fallback>
            <w:pict>
              <v:shape id="AutoShape 142" o:spid="_x0000_s1026" o:spt="109" type="#_x0000_t109" style="position:absolute;left:0pt;margin-left:-36.15pt;margin-top:0.9pt;height:25.6pt;width:78.15pt;z-index:-1903547392;mso-width-relative:page;mso-height-relative:page;" fillcolor="#CCFFFF" filled="t" stroked="t" coordsize="21600,21600" o:gfxdata="UEsDBAoAAAAAAIdO4kAAAAAAAAAAAAAAAAAEAAAAZHJzL1BLAwQUAAAACACHTuJA+2nbBtQAAAAH&#10;AQAADwAAAGRycy9kb3ducmV2LnhtbE2Py07DMBBF90j8gzVI7Fq7LY80xOkCqRILFlCounXiIYmI&#10;x5Efbfl7hhVdju7VmXOrzdmN4oghDp40LOYKBFLr7UCdhs+P7awAEZMha0ZPqOEHI2zq66vKlNaf&#10;6B2Pu9QJhlAsjYY+pamUMrY9OhPnfkLi7MsHZxKfoZM2mBPD3SiXSj1IZwbiD72Z8LnH9nuXHVNy&#10;fpPr/WuT0bzIbRtoX8iD1rc3C/UEIuE5/ZfhT5/VoWanxmeyUYwaZo/LFVc54AWcF3c8rdFwv1Ig&#10;60pe+te/UEsDBBQAAAAIAIdO4kA05sig7AEAAPsDAAAOAAAAZHJzL2Uyb0RvYy54bWytU8uu0zAQ&#10;3SPxD5b3NA8o4kZNr1BL2SCodOEDpn4klvyS7Tbp3zN2S+kFFgiRhTNjj8+cOTNePc5Gk5MIUTnb&#10;02ZRUyIsc1zZoaffvu5evaMkJrActLOip2cR6eP65YvV5DvRutFpLgJBEBu7yfd0TMl3VRXZKAzE&#10;hfPC4qF0wUBCNwwVDzAhutFVW9dvq8kF7oNjIkbc3V4O6brgSylY+iJlFInoniK3VNZQ1kNeq/UK&#10;uiGAHxW70oB/YGFAWUx6g9pCAnIM6jcoo1hw0cm0YM5UTkrFRKkBq2nqX6p5GsGLUguKE/1Npvj/&#10;YNnn0z4QxbF3TUOJBYNNen9MruQmzZs2SzT52GHkk9+HqxfRzPXOMpj8x0rIXGQ932QVcyIMNx8e&#10;2mW9pITh0et22bRF9urnZR9i+iicIdnoqdRu2owQ0v7S1yIsnD7FhMnx2o/wnDc6rfhOaV2cMBw2&#10;OpATYLc3mx1+mT1eeRamLZmQ1bLNnACHTmpIaBqPMkQ7lHzPbsR74Lp8fwLOxLYQxwuBgpDDoDMq&#10;iawcdKMA/sFyks4ehbb4JmgmYwSnRAt8QtkqkQmU/ptIrE7bDC3KuF9Vyh279ChbaT7MCJrNg+Nn&#10;7PjRBzWMKHZTCsknOGFFq+tryCN876N9/2bX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adsG&#10;1AAAAAcBAAAPAAAAAAAAAAEAIAAAACIAAABkcnMvZG93bnJldi54bWxQSwECFAAUAAAACACHTuJA&#10;NObIoOwBAAD7AwAADgAAAAAAAAABACAAAAAjAQAAZHJzL2Uyb0RvYy54bWxQSwUGAAAAAAYABgBZ&#10;AQAAgQU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综合办公室</w:t>
                      </w:r>
                    </w:p>
                  </w:txbxContent>
                </v:textbox>
              </v:shape>
            </w:pict>
          </mc:Fallback>
        </mc:AlternateContent>
      </w:r>
      <w:r>
        <mc:AlternateContent>
          <mc:Choice Requires="wps">
            <w:drawing>
              <wp:anchor distT="0" distB="0" distL="114300" distR="114300" simplePos="0" relativeHeight="1625166848" behindDoc="0" locked="0" layoutInCell="1" allowOverlap="1">
                <wp:simplePos x="0" y="0"/>
                <wp:positionH relativeFrom="column">
                  <wp:posOffset>5099685</wp:posOffset>
                </wp:positionH>
                <wp:positionV relativeFrom="paragraph">
                  <wp:posOffset>14605</wp:posOffset>
                </wp:positionV>
                <wp:extent cx="1508760" cy="314325"/>
                <wp:effectExtent l="4445" t="4445" r="10795" b="16510"/>
                <wp:wrapNone/>
                <wp:docPr id="112" name="AutoShape 138"/>
                <wp:cNvGraphicFramePr/>
                <a:graphic xmlns:a="http://schemas.openxmlformats.org/drawingml/2006/main">
                  <a:graphicData uri="http://schemas.microsoft.com/office/word/2010/wordprocessingShape">
                    <wps:wsp>
                      <wps:cNvSpPr/>
                      <wps:spPr>
                        <a:xfrm>
                          <a:off x="0" y="0"/>
                          <a:ext cx="1508760" cy="314325"/>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0"/>
                                <w:szCs w:val="18"/>
                                <w:lang w:eastAsia="zh-CN"/>
                              </w:rPr>
                            </w:pPr>
                            <w:r>
                              <w:rPr>
                                <w:rFonts w:hint="eastAsia"/>
                                <w:sz w:val="20"/>
                                <w:szCs w:val="18"/>
                              </w:rPr>
                              <w:t>质量安全环</w:t>
                            </w:r>
                            <w:r>
                              <w:rPr>
                                <w:rFonts w:hint="eastAsia"/>
                                <w:sz w:val="20"/>
                                <w:szCs w:val="18"/>
                                <w:lang w:eastAsia="zh-CN"/>
                              </w:rPr>
                              <w:t>保部</w:t>
                            </w:r>
                          </w:p>
                          <w:p>
                            <w:pPr>
                              <w:jc w:val="center"/>
                              <w:rPr>
                                <w:sz w:val="20"/>
                                <w:szCs w:val="18"/>
                              </w:rPr>
                            </w:pPr>
                          </w:p>
                        </w:txbxContent>
                      </wps:txbx>
                      <wps:bodyPr upright="1"/>
                    </wps:wsp>
                  </a:graphicData>
                </a:graphic>
              </wp:anchor>
            </w:drawing>
          </mc:Choice>
          <mc:Fallback>
            <w:pict>
              <v:shape id="AutoShape 138" o:spid="_x0000_s1026" o:spt="109" type="#_x0000_t109" style="position:absolute;left:0pt;margin-left:401.55pt;margin-top:1.15pt;height:24.75pt;width:118.8pt;z-index:1625166848;mso-width-relative:page;mso-height-relative:page;" fillcolor="#CCFFFF" filled="t" stroked="t" coordsize="21600,21600" o:gfxdata="UEsDBAoAAAAAAIdO4kAAAAAAAAAAAAAAAAAEAAAAZHJzL1BLAwQUAAAACACHTuJAq5b1qtYAAAAJ&#10;AQAADwAAAGRycy9kb3ducmV2LnhtbE2Py07DMBBF90j8gzVI7Og4LY8Q4nSBVIkFCyhUbJ14SCLi&#10;ceRHW/4ed0WXo3t17pl6fbST2JMPo2MFxUKCIO6cGblX8PmxuSlBhKjZ6MkxKfilAOvm8qLWlXEH&#10;fqf9NvYiQzhUWsEQ41whhm4gq8PCzcQ5+3be6phP36Px+pDhdsKllPdo9ch5YdAzPQ/U/WyTzZSU&#10;3vBx99om0i+46TzvSvxS6vqqkE8gIh3jfxlO+lkdmuzUusQmiElBKVdFripYrkCccnkrH0C0Cu6K&#10;ErCp8fyD5g9QSwMEFAAAAAgAh07iQAF2x2vsAQAA/AMAAA4AAABkcnMvZTJvRG9jLnhtbK1T3a7T&#10;MAy+R+Idotyzths7jGrdEdoYNwgmHXgAL0nbSPlTkq3d2+OkO2MHuECIXqR27Hy2P9vrx1ErchY+&#10;SGsaWs1KSoRhlkvTNfT7t/2bFSUhguGgrBENvYhAHzevX60HV4u57a3iwhMEMaEeXEP7GF1dFIH1&#10;QkOYWScMGlvrNURUfVdwDwOia1XMy/KhGKznzlsmQsDb3WSkm4zftoLFr20bRCSqoZhbzKfP5zGd&#10;xWYNdefB9ZJd04B/yEKDNBj0BrWDCOTk5W9QWjJvg23jjFld2LaVTOQasJqq/KWapx6cyLUgOcHd&#10;aAr/D5Z9OR88kRx7V80pMaCxSR9O0ebYpFqsEkWDCzV6PrmDv2oBxVTv2Hqd/lgJGTOtlxutYoyE&#10;4WW1LFfvHpB9hrZF9XYxXybQ4udr50P8JKwmSWhoq+yw7cHHw9TYzCycP4c4PXt2T4GDVZLvpVJZ&#10;8d1xqzw5A7Z7u93jd430wk0ZMjT0/RLzIAxw6loFEUXtkIdguhzvxYtwD1zm70/AKbEdhH5KICMk&#10;N6i1jMJnqRfAPxpO4sUh0waXgqZktOCUKIE7lKTsGUGqv/FEHpVJQUSe9ytLqWVTk5IUx+OIoEk8&#10;Wn7Blp+cl12PZFe5kGTBEctdua5DmuF7HeX7pd3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uW&#10;9arWAAAACQEAAA8AAAAAAAAAAQAgAAAAIgAAAGRycy9kb3ducmV2LnhtbFBLAQIUABQAAAAIAIdO&#10;4kABdsdr7AEAAPwDAAAOAAAAAAAAAAEAIAAAACUBAABkcnMvZTJvRG9jLnhtbFBLBQYAAAAABgAG&#10;AFkBAACDBQAAAAA=&#10;">
                <v:fill on="t" focussize="0,0"/>
                <v:stroke color="#000000" joinstyle="miter"/>
                <v:imagedata o:title=""/>
                <o:lock v:ext="edit" aspectratio="f"/>
                <v:textbox>
                  <w:txbxContent>
                    <w:p>
                      <w:pPr>
                        <w:jc w:val="center"/>
                        <w:rPr>
                          <w:rFonts w:hint="eastAsia" w:eastAsia="宋体"/>
                          <w:sz w:val="20"/>
                          <w:szCs w:val="18"/>
                          <w:lang w:eastAsia="zh-CN"/>
                        </w:rPr>
                      </w:pPr>
                      <w:r>
                        <w:rPr>
                          <w:rFonts w:hint="eastAsia"/>
                          <w:sz w:val="20"/>
                          <w:szCs w:val="18"/>
                        </w:rPr>
                        <w:t>质量安全环</w:t>
                      </w:r>
                      <w:r>
                        <w:rPr>
                          <w:rFonts w:hint="eastAsia"/>
                          <w:sz w:val="20"/>
                          <w:szCs w:val="18"/>
                          <w:lang w:eastAsia="zh-CN"/>
                        </w:rPr>
                        <w:t>保部</w:t>
                      </w:r>
                    </w:p>
                    <w:p>
                      <w:pPr>
                        <w:jc w:val="center"/>
                        <w:rPr>
                          <w:sz w:val="20"/>
                          <w:szCs w:val="18"/>
                        </w:rPr>
                      </w:pPr>
                    </w:p>
                  </w:txbxContent>
                </v:textbox>
              </v:shape>
            </w:pict>
          </mc:Fallback>
        </mc:AlternateContent>
      </w:r>
      <w:r>
        <mc:AlternateContent>
          <mc:Choice Requires="wps">
            <w:drawing>
              <wp:anchor distT="0" distB="0" distL="114300" distR="114300" simplePos="0" relativeHeight="1628853248" behindDoc="0" locked="0" layoutInCell="1" allowOverlap="1">
                <wp:simplePos x="0" y="0"/>
                <wp:positionH relativeFrom="column">
                  <wp:posOffset>6710680</wp:posOffset>
                </wp:positionH>
                <wp:positionV relativeFrom="paragraph">
                  <wp:posOffset>22225</wp:posOffset>
                </wp:positionV>
                <wp:extent cx="1273810" cy="335280"/>
                <wp:effectExtent l="4445" t="4445" r="17145" b="10795"/>
                <wp:wrapNone/>
                <wp:docPr id="113" name="AutoShape 142"/>
                <wp:cNvGraphicFramePr/>
                <a:graphic xmlns:a="http://schemas.openxmlformats.org/drawingml/2006/main">
                  <a:graphicData uri="http://schemas.microsoft.com/office/word/2010/wordprocessingShape">
                    <wps:wsp>
                      <wps:cNvSpPr/>
                      <wps:spPr>
                        <a:xfrm>
                          <a:off x="0" y="0"/>
                          <a:ext cx="1273810" cy="33528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管道管理部</w:t>
                            </w: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528.4pt;margin-top:1.75pt;height:26.4pt;width:100.3pt;z-index:1628853248;mso-width-relative:page;mso-height-relative:page;" fillcolor="#CCFFFF" filled="t" stroked="t" coordsize="21600,21600" o:gfxdata="UEsDBAoAAAAAAIdO4kAAAAAAAAAAAAAAAAAEAAAAZHJzL1BLAwQUAAAACACHTuJA/JELt9cAAAAK&#10;AQAADwAAAGRycy9kb3ducmV2LnhtbE2PMU/DMBCFdyT+g3VIbNRuS0Ib4nRAqsTAAIWK1YmvSUR8&#10;jmK7Lf+e60THp3v63nfl5uwGccQp9J40zGcKBFLjbU+thq/P7cMKRIiGrBk8oYZfDLCpbm9KU1h/&#10;og887mIrGEKhMBq6GMdCytB06EyY+RGJbwc/ORM5Tq20kzkx3A1yoVQunemJFzoz4kuHzc8uOaak&#10;9C7X+7c6oXmV22ai/Up+a31/N1fPICKe438ZLvqsDhU71T6RDWLgrLKc3aOGZQbiUlhkT48gag1Z&#10;vgRZlfL6heoPUEsDBBQAAAAIAIdO4kD89yCL7gEAAPwDAAAOAAAAZHJzL2Uyb0RvYy54bWytU92u&#10;0zAMvkfiHaLcc7p2DEa17ghtjBsEkw48gJefNlL+lGRr9/Y42Rg7wAVC9CK1E/uz/dlePU5Gk5MI&#10;UTnb0fphRomwzHFl+45++7p7taQkJrActLOio2cR6eP65YvV6FvRuMFpLgJBEBvb0Xd0SMm3VRXZ&#10;IAzEB+eFxUfpgoGEaugrHmBEdKOrZjZ7U40ucB8cEzHi7fbySNcFX0rB0hcpo0hEdxRzS+UM5Tzk&#10;s1qvoO0D+EGxaxrwD1kYUBaD3qC2kIAcg/oNyigWXHQyPTBnKielYqLUgNXUs1+qeRrAi1ILkhP9&#10;jab4/2DZ59M+EMWxd/WcEgsGm/T+mFyJTerXTaZo9LFFyye/D1ctopjrnWQw+Y+VkKnQer7RKqZE&#10;GF7Wzdv5skb2Gb7N54tmWXivfnr7ENNH4QzJQkelduNmgJD2l8YWZuH0KSaMjm4/zHPg6LTiO6V1&#10;UUJ/2OhAToDt3mx2+OX00eWZmbZk7Oi7RbPAnACnTmpIKBqPPETbl3jPPOI98Kx8fwLOiW0hDpcE&#10;CkI2g9aoJDJ10A4C+AfLSTp7ZNriUtCcjBGcEi1wh7JULBMo/TeWWJ22GVqUeb+ylFt2aVKW0nSY&#10;EDSLB8fP2PKjD6ofkOy6FJJfcMQKV9d1yDN8r6N8v7T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RC7fXAAAACgEAAA8AAAAAAAAAAQAgAAAAIgAAAGRycy9kb3ducmV2LnhtbFBLAQIUABQAAAAI&#10;AIdO4kD89yCL7gEAAPwDAAAOAAAAAAAAAAEAIAAAACYBAABkcnMvZTJvRG9jLnhtbFBLBQYAAAAA&#10;BgAGAFkBAACGBQ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管道管理部</w:t>
                      </w:r>
                    </w:p>
                    <w:p>
                      <w:pPr>
                        <w:jc w:val="center"/>
                        <w:rPr>
                          <w:sz w:val="20"/>
                          <w:szCs w:val="18"/>
                        </w:rPr>
                      </w:pPr>
                    </w:p>
                  </w:txbxContent>
                </v:textbox>
              </v:shape>
            </w:pict>
          </mc:Fallback>
        </mc:AlternateContent>
      </w:r>
    </w:p>
    <w:p/>
    <w:p>
      <w:pPr>
        <w:tabs>
          <w:tab w:val="left" w:pos="7940"/>
        </w:tabs>
      </w:pPr>
    </w:p>
    <w:p/>
    <w:p/>
    <w:p>
      <w:r>
        <mc:AlternateContent>
          <mc:Choice Requires="wps">
            <w:drawing>
              <wp:anchor distT="0" distB="0" distL="114300" distR="114300" simplePos="0" relativeHeight="1655899136" behindDoc="0" locked="0" layoutInCell="1" allowOverlap="1">
                <wp:simplePos x="0" y="0"/>
                <wp:positionH relativeFrom="column">
                  <wp:posOffset>4452620</wp:posOffset>
                </wp:positionH>
                <wp:positionV relativeFrom="paragraph">
                  <wp:posOffset>194945</wp:posOffset>
                </wp:positionV>
                <wp:extent cx="3175" cy="261620"/>
                <wp:effectExtent l="0" t="0" r="0" b="0"/>
                <wp:wrapNone/>
                <wp:docPr id="114" name="AutoShape 130"/>
                <wp:cNvGraphicFramePr/>
                <a:graphic xmlns:a="http://schemas.openxmlformats.org/drawingml/2006/main">
                  <a:graphicData uri="http://schemas.microsoft.com/office/word/2010/wordprocessingShape">
                    <wps:wsp>
                      <wps:cNvCnPr>
                        <a:stCxn id="125" idx="0"/>
                      </wps:cNvCnPr>
                      <wps:spPr>
                        <a:xfrm flipH="1" flipV="1">
                          <a:off x="0" y="0"/>
                          <a:ext cx="3175" cy="26162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x y;margin-left:350.6pt;margin-top:15.35pt;height:20.6pt;width:0.25pt;z-index:1655899136;mso-width-relative:page;mso-height-relative:page;" filled="f" stroked="t" coordsize="21600,21600" o:gfxdata="UEsDBAoAAAAAAIdO4kAAAAAAAAAAAAAAAAAEAAAAZHJzL1BLAwQUAAAACACHTuJAsey0pdcAAAAJ&#10;AQAADwAAAGRycy9kb3ducmV2LnhtbE2PMW/CMBCF90r9D9ZV6lIVO1AVSOMwIMFYCejQ0cTXOBCf&#10;o9gktL+e69Ru7+49vfuuWF19KwbsYxNIQzZRIJCqYBuqNXwcNs8LEDEZsqYNhBq+McKqvL8rTG7D&#10;SDsc9qkWXEIxNxpcSl0uZawcehMnoUNi7yv03iQe+1ra3oxc7ls5VepVetMQX3Cmw7XD6ry/eA3v&#10;0X0OT4vtadwN5+5Hen96WW61fnzI1BuIhNf0F4ZffEaHkpmO4UI2ilbDXGVTjmqYqTkIDvCCxZFF&#10;tgRZFvL/B+UNUEsDBBQAAAAIAIdO4kAJ+foj6QEAAOMDAAAOAAAAZHJzL2Uyb0RvYy54bWytU0uP&#10;0zAQviPxHyzfaR7LFoiarlDLwgFBJR73qR+JJb9ke5v03zN2SpeFC0LkYM3EM998M/N5czcbTU4i&#10;ROVsT5tVTYmwzHFlh55++3r/4jUlMYHloJ0VPT2LSO+2z59tJt+J1o1OcxEIgtjYTb6nY0q+q6rI&#10;RmEgrpwXFi+lCwYSumGoeIAJ0Y2u2rpeV5ML3AfHRIz4d79c0m3Bl1Kw9FnKKBLRPUVuqZyhnMd8&#10;VtsNdEMAPyp2oQH/wMKAslj0CrWHBOQhqD+gjGLBRSfTijlTOSkVE6UH7Kapf+vmywhelF5wONFf&#10;xxT/Hyz7dDoEojjurnlJiQWDS3r7kFypTZqbMqLJxw4jd/YQcpMx7Wa7JLW3FI35MsrqSWB2ol9S&#10;ZhkMkVr5D1iJFut7tjIcToEUBHK+rkTMiTD8edO8wgoML9p1s24Lmwq6DJdTfYjpvXCGZKOnMQVQ&#10;w5h2zlpcvQtLATh9jAk3jYk/E3KytmRCDm/qW1QGA1Sf1JDQNB7nEe1Q2EWnFb9XWpfOw3Dc6UBO&#10;kPVUviwhBH4SlqvsIY5LXLlalDYK4O8sJ+nscc4WnwTNHIzglGiBLyhbRZMJlP6bSCytbaYmitov&#10;jT6OPltHx8+HkHlmD5VUGF9Un6X6q1+iHt/m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7LSl&#10;1wAAAAkBAAAPAAAAAAAAAAEAIAAAACIAAABkcnMvZG93bnJldi54bWxQSwECFAAUAAAACACHTuJA&#10;Cfn6I+kBAADjAwAADgAAAAAAAAABACAAAAAmAQAAZHJzL2Uyb0RvYy54bWxQSwUGAAAAAAYABgBZ&#10;AQAAgQU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391428096" behindDoc="0" locked="0" layoutInCell="1" allowOverlap="1">
                <wp:simplePos x="0" y="0"/>
                <wp:positionH relativeFrom="column">
                  <wp:posOffset>246380</wp:posOffset>
                </wp:positionH>
                <wp:positionV relativeFrom="paragraph">
                  <wp:posOffset>194945</wp:posOffset>
                </wp:positionV>
                <wp:extent cx="2369820" cy="0"/>
                <wp:effectExtent l="33655" t="14605" r="34925" b="76835"/>
                <wp:wrapNone/>
                <wp:docPr id="115" name="直接连接符 115"/>
                <wp:cNvGraphicFramePr/>
                <a:graphic xmlns:a="http://schemas.openxmlformats.org/drawingml/2006/main">
                  <a:graphicData uri="http://schemas.microsoft.com/office/word/2010/wordprocessingShape">
                    <wps:wsp>
                      <wps:cNvCnPr/>
                      <wps:spPr>
                        <a:xfrm>
                          <a:off x="850265" y="3974465"/>
                          <a:ext cx="23698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9.4pt;margin-top:15.35pt;height:0pt;width:186.6pt;z-index:-1903539200;mso-width-relative:page;mso-height-relative:page;" filled="f" stroked="t" coordsize="21600,21600" o:gfxdata="UEsDBAoAAAAAAIdO4kAAAAAAAAAAAAAAAAAEAAAAZHJzL1BLAwQUAAAACACHTuJA66mPxNUAAAAI&#10;AQAADwAAAGRycy9kb3ducmV2LnhtbE2PS0/DMBCE70j8B2uRuFE7LY8ojVPxEJyhpJzdeJtExOso&#10;dh78exZxgNNqd0az3+S7xXViwiG0njQkKwUCqfK2pVpD+f58lYII0ZA1nSfU8IUBdsX5WW4y62d6&#10;w2kfa8EhFDKjoYmxz6QMVYPOhJXvkVg7+cGZyOtQSzuYmcNdJ9dK3UpnWuIPjenxscHqcz86DfPH&#10;vBnL9OWglpvD+FreT08PftL68iJRWxARl/hnhh98RoeCmY5+JBtEp2GTMnnkqe5AsH6drLnb8fcg&#10;i1z+L1B8A1BLAwQUAAAACACHTuJApGQ1oRMCAAAIBAAADgAAAGRycy9lMm9Eb2MueG1srVPNjtMw&#10;EL4j8Q6W7zRp+kM3arqHrZYLgooFcZ46TmLJf7Ldpn0JXgCJG5w47p23YXkMxm4oBcQFkcNkxjP5&#10;/H0zk+X1QUmy584Loys6HuWUcM1MLXRb0Tevb58sKPEBdA3SaF7RI/f0evX40bK3JS9MZ2TNHUEQ&#10;7cveVrQLwZZZ5lnHFfiRsVxjsjFOQcDQtVntoEd0JbMiz+dZb1xtnWHcezxdn5J0lfCbhrPwsmk8&#10;D0RWFLmFZF2y22iz1RLK1oHtBBtowD+wUCA0XnqGWkMAsnPiDyglmDPeNGHEjMpM0wjGkwZUM85/&#10;U3PXgeVJCzbH23Ob/P+DZS/2G0dEjbMbzyjRoHBID+/vv777+O3LB7QPnz+RmMJG9daXWH+jN26I&#10;vN24qPrQOBXfqIccKrqY5cUc0Y4VnVw9nU7RT33mh0AY5ovJ/GpR4DgYVqQZZD8xrPPhGTeKRKei&#10;UujYAihh/9wHhMHSHyXxWJtbIWWCl5r0eONinEdowG1qJAR0lUV9XreUgGxxTVlwCdIbKer4eQTy&#10;rt3eSEf2EFclPZE1XvdLWbx7Db471aXUUCZ1hOFp6ZBqDMwucHfX1T3Zyp17BUhjGpEpqUUUV0yG&#10;ADdyljKYcia8FaFLw4/t+Ru5eA7SdnCiMplFrIHxSUtif+aQogt6WZznaYLR25r6mAabznHdUv3w&#10;a8R9vozRv/yBV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6mPxNUAAAAIAQAADwAAAAAAAAAB&#10;ACAAAAAiAAAAZHJzL2Rvd25yZXYueG1sUEsBAhQAFAAAAAgAh07iQKRkNaETAgAACAQAAA4AAAAA&#10;AAAAAQAgAAAAJAEAAGRycy9lMm9Eb2MueG1sUEsFBgAAAAAGAAYAWQEAAKkFAAAAAA==&#10;">
                <v:fill on="f" focussize="0,0"/>
                <v:stroke weight="3pt" color="#000000 [3200]" joinstyle="round"/>
                <v:imagedata o:title=""/>
                <o:lock v:ext="edit" aspectratio="f"/>
                <v:shadow on="t" color="#000000" opacity="22937f" offset="0pt,1.81102362204724pt" origin="0f,32768f" matrix="65536f,0f,0f,65536f"/>
              </v:line>
            </w:pict>
          </mc:Fallback>
        </mc:AlternateContent>
      </w:r>
      <w:r>
        <mc:AlternateContent>
          <mc:Choice Requires="wps">
            <w:drawing>
              <wp:anchor distT="0" distB="0" distL="114300" distR="114300" simplePos="0" relativeHeight="1629298688" behindDoc="0" locked="0" layoutInCell="1" allowOverlap="1">
                <wp:simplePos x="0" y="0"/>
                <wp:positionH relativeFrom="column">
                  <wp:posOffset>2573655</wp:posOffset>
                </wp:positionH>
                <wp:positionV relativeFrom="paragraph">
                  <wp:posOffset>197485</wp:posOffset>
                </wp:positionV>
                <wp:extent cx="5288280" cy="7620"/>
                <wp:effectExtent l="0" t="0" r="0" b="0"/>
                <wp:wrapNone/>
                <wp:docPr id="116" name="AutoShape 129"/>
                <wp:cNvGraphicFramePr/>
                <a:graphic xmlns:a="http://schemas.openxmlformats.org/drawingml/2006/main">
                  <a:graphicData uri="http://schemas.microsoft.com/office/word/2010/wordprocessingShape">
                    <wps:wsp>
                      <wps:cNvCnPr/>
                      <wps:spPr>
                        <a:xfrm>
                          <a:off x="0" y="0"/>
                          <a:ext cx="5288280" cy="762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29" o:spid="_x0000_s1026" o:spt="32" type="#_x0000_t32" style="position:absolute;left:0pt;margin-left:202.65pt;margin-top:15.55pt;height:0.6pt;width:416.4pt;z-index:1629298688;mso-width-relative:page;mso-height-relative:page;" filled="f" stroked="t" coordsize="21600,21600" o:gfxdata="UEsDBAoAAAAAAIdO4kAAAAAAAAAAAAAAAAAEAAAAZHJzL1BLAwQUAAAACACHTuJAJ1J3ptUAAAAK&#10;AQAADwAAAGRycy9kb3ducmV2LnhtbE2Py07DMBBF90j8gzWV2CDqPKCKQpwukFixIBQ+YBKbJGo8&#10;jmKnMX/PdAW7eRzdOVMdo53ExSx+dKQg3ScgDHVOj9Qr+Pp8fShA+ICkcXJkFPwYD8f69qbCUruN&#10;PszlFHrBIeRLVDCEMJdS+m4wFv3ezYZ49+0Wi4HbpZd6wY3D7SSzJDlIiyPxhQFn8zKY7nxarYL4&#10;fqAQmyK2G61vvrhvItpGqbtdmjyDCCaGPxiu+qwONTu1biXtxaTgMXnKGVWQpymIK5DlBVctT7Ic&#10;ZF3J/y/Uv1BLAwQUAAAACACHTuJATuxOus8BAACoAwAADgAAAGRycy9lMm9Eb2MueG1srVPbjtMw&#10;EH1H4h8sv9NcpC3dqOkKtSwvCCoBHzC1ncSSb/J4m/bvGbulu8ALQpsHZ8ae2zk+Xj+crGFHFVF7&#10;1/NmUXOmnPBSu7HnP74/vltxhgmcBOOd6vlZIX/YvH2znkOnWj95I1VkVMRhN4eeTymFrqpQTMoC&#10;LnxQjg4HHy0kcuNYyQgzVbemaut6Wc0+yhC9UIi0u7sc8k2pPwxKpK/DgCox03OaLZU1lvWQ12qz&#10;hm6MECYtrmPAf0xhQTtqeiu1gwTsKeq/Slktokc/pIXwtvLDoIUqGAhNU/+B5tsEQRUsRA6GG034&#10;emXFl+M+Mi3p7polZw4sXdKHp+RLb9a095miOWBHkVu3j1cPwz5mvKch2vwnJOxUaD3faFWnxARt&#10;3rWrVbsi9gWdvV+2hfXqOTdETJ+UtywbPccUQY9T2nrn6P58bAqzcPyMibpT4q+E3Ng4NtPw9/Vd&#10;bgAkocFAItMGAoVuLMnojZaP2picgnE8bE1kR8iiKF8GSYV/C8tddoDTJa4cXeQyKZAfnWTpHIgs&#10;R7rmeQarJGdG0TPIFhWELoE2/xJJrY3LCapI9go0s37hOVsHL8+F/ip7JIcy8VW6WW8vfbJfPrD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dSd6bVAAAACgEAAA8AAAAAAAAAAQAgAAAAIgAAAGRy&#10;cy9kb3ducmV2LnhtbFBLAQIUABQAAAAIAIdO4kBO7E66zwEAAKgDAAAOAAAAAAAAAAEAIAAAACQB&#10;AABkcnMvZTJvRG9jLnhtbFBLBQYAAAAABgAGAFkBAABlBQAAAAA=&#10;">
                <v:fill on="f" focussize="0,0"/>
                <v:stroke weight="1.5pt" color="#000000" joinstyle="round"/>
                <v:imagedata o:title=""/>
                <o:lock v:ext="edit" aspectratio="f"/>
              </v:shape>
            </w:pict>
          </mc:Fallback>
        </mc:AlternateContent>
      </w:r>
    </w:p>
    <w:p>
      <w:r>
        <w:rPr>
          <w:sz w:val="21"/>
        </w:rPr>
        <mc:AlternateContent>
          <mc:Choice Requires="wps">
            <w:drawing>
              <wp:anchor distT="0" distB="0" distL="114300" distR="114300" simplePos="0" relativeHeight="2391429120" behindDoc="0" locked="0" layoutInCell="1" allowOverlap="1">
                <wp:simplePos x="0" y="0"/>
                <wp:positionH relativeFrom="column">
                  <wp:posOffset>246380</wp:posOffset>
                </wp:positionH>
                <wp:positionV relativeFrom="paragraph">
                  <wp:posOffset>4445</wp:posOffset>
                </wp:positionV>
                <wp:extent cx="7620" cy="251460"/>
                <wp:effectExtent l="52705" t="0" r="61595" b="57150"/>
                <wp:wrapNone/>
                <wp:docPr id="117" name="直接连接符 117"/>
                <wp:cNvGraphicFramePr/>
                <a:graphic xmlns:a="http://schemas.openxmlformats.org/drawingml/2006/main">
                  <a:graphicData uri="http://schemas.microsoft.com/office/word/2010/wordprocessingShape">
                    <wps:wsp>
                      <wps:cNvCnPr/>
                      <wps:spPr>
                        <a:xfrm flipH="1">
                          <a:off x="1391285" y="4088765"/>
                          <a:ext cx="7620" cy="2514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19.4pt;margin-top:0.35pt;height:19.8pt;width:0.6pt;z-index:-1903538176;mso-width-relative:page;mso-height-relative:page;" filled="f" stroked="t" coordsize="21600,21600" o:gfxdata="UEsDBAoAAAAAAIdO4kAAAAAAAAAAAAAAAAAEAAAAZHJzL1BLAwQUAAAACACHTuJAbnftztMAAAAF&#10;AQAADwAAAGRycy9kb3ducmV2LnhtbE2PwU7DMBBE70j8g7VIXBC1S4BWIU4PSEhwg5IPcONtYhGv&#10;I9tp0r9ne4LTajSjmbfVbvGDOGFMLpCG9UqBQGqDddRpaL7f7rcgUjZkzRAINZwxwa6+vqpMacNM&#10;X3ja505wCaXSaOhzHkspU9ujN2kVRiT2jiF6k1nGTtpoZi73g3xQ6ll644gXejPia4/tz37yGj6n&#10;OCv/7s4fvr1b3FPRyNE1Wt/erNULiIxL/gvDBZ/RoWamQ5jIJjFoKLZMnjVsQLD7qPixw+UWIOtK&#10;/qevfwFQSwMEFAAAAAgAh07iQF8il8AeAgAAFQQAAA4AAABkcnMvZTJvRG9jLnhtbK1TzY7TMBC+&#10;I/EOlu80P/0larqHrRYOCFYsiLPrOIklx7Zst2lfghdA4ganPXLnbVgegxknVAXEBZGD5fFMPn/f&#10;zOf11bFT5CCcl0aXNJuklAjNTSV1U9K3b26erCjxgemKKaNFSU/C06vN40fr3hYiN61RlXAEQLQv&#10;elvSNgRbJInnreiYnxgrNCRr4zoWIHRNUjnWA3qnkjxNF0lvXGWd4cJ7ON0OSbqJ+HUteHhV114E&#10;okoK3EJcXVx3uCabNSsax2wr+UiD/QOLjkkNl56htiwwsnfyD6hOcme8qcOEmy4xdS25iBpATZb+&#10;puauZVZELdAcb89t8v8Plr883DoiK5hdtqREsw6G9PDhy7f3n75//Qjrw/1ngiloVG99AfXX+taN&#10;kbe3DlUfa9eRWkn7HHBiH0AZOUIwfZrlqzklp5LO0tVquZgPLRfHQDgULBc5jIVDOp9ns0UcSDIA&#10;IrB1PjwTpiO4KamSGvvBCnZ44QOQgNKfJXiszY1UKs5UadKXdLrKUsRnYK1asQDbzoJYrxtKmGrA&#10;szy4COmNkhX+jkDeNbtr5ciBoW/ih7zhul/K8O4t8+1QF1NjmdIII6IDgSoGZh+Eu2urnuzU3r1m&#10;QGOGyJRUEsXl0zEAe85jBlLOhHcytNEJ6Ne/kcNzpmzLBirTOWKNjActkf2ZQ4wu6CU43GGcuNuZ&#10;6hSnHM/Be7F+fCdo7ssY9pevef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nftztMAAAAFAQAA&#10;DwAAAAAAAAABACAAAAAiAAAAZHJzL2Rvd25yZXYueG1sUEsBAhQAFAAAAAgAh07iQF8il8AeAgAA&#10;FQQAAA4AAAAAAAAAAQAgAAAAIgEAAGRycy9lMm9Eb2MueG1sUEsFBgAAAAAGAAYAWQEAALIFAAAA&#10;AA==&#10;">
                <v:fill on="f" focussize="0,0"/>
                <v:stroke weight="3pt" color="#000000 [3200]" joinstyle="round"/>
                <v:imagedata o:title=""/>
                <o:lock v:ext="edit" aspectratio="f"/>
                <v:shadow on="t" color="#000000" opacity="22937f" offset="0pt,1.81102362204724pt" origin="0f,32768f" matrix="65536f,0f,0f,65536f"/>
              </v:line>
            </w:pict>
          </mc:Fallback>
        </mc:AlternateContent>
      </w:r>
      <w:r>
        <mc:AlternateContent>
          <mc:Choice Requires="wps">
            <w:drawing>
              <wp:anchor distT="0" distB="0" distL="114300" distR="114300" simplePos="0" relativeHeight="1632135168" behindDoc="0" locked="0" layoutInCell="1" allowOverlap="1">
                <wp:simplePos x="0" y="0"/>
                <wp:positionH relativeFrom="column">
                  <wp:posOffset>2661920</wp:posOffset>
                </wp:positionH>
                <wp:positionV relativeFrom="paragraph">
                  <wp:posOffset>4445</wp:posOffset>
                </wp:positionV>
                <wp:extent cx="0" cy="236220"/>
                <wp:effectExtent l="9525" t="0" r="20955" b="7620"/>
                <wp:wrapNone/>
                <wp:docPr id="118" name="AutoShape 130"/>
                <wp:cNvGraphicFramePr/>
                <a:graphic xmlns:a="http://schemas.openxmlformats.org/drawingml/2006/main">
                  <a:graphicData uri="http://schemas.microsoft.com/office/word/2010/wordprocessingShape">
                    <wps:wsp>
                      <wps:cNvCnPr/>
                      <wps:spPr>
                        <a:xfrm flipV="1">
                          <a:off x="0" y="0"/>
                          <a:ext cx="0" cy="23622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209.6pt;margin-top:0.35pt;height:18.6pt;width:0pt;z-index:1632135168;mso-width-relative:page;mso-height-relative:page;" filled="f" stroked="t" coordsize="21600,21600" o:gfxdata="UEsDBAoAAAAAAIdO4kAAAAAAAAAAAAAAAAAEAAAAZHJzL1BLAwQUAAAACACHTuJAZxp9+9YAAAAH&#10;AQAADwAAAGRycy9kb3ducmV2LnhtbE2OPU/DMBRFdyT+g/WQ2KiTFjVtyEsHqg5IHWhhYHTj1yTC&#10;fk5t9wN+PUYMZby6V+eeanGxRpzIh94xQj7KQBA3TvfcIry/rR5mIEJUrJVxTAhfFGBR395UqtTu&#10;zBs6bWMrEoRDqRC6GIdSytB0ZFUYuYE4dXvnrYop+lZqr84Jbo0cZ9lUWtVzeujUQM8dNZ/bo0XI&#10;wmGzXrvi8DGdvJhX2y9XS/+NeH+XZ08gIl3idQy/+kkd6uS0c0fWQRiEx3w+TlOEAkSq/+IOYVLM&#10;QdaV/O9f/wBQSwMEFAAAAAgAh07iQJ2hfu7RAQAArgMAAA4AAABkcnMvZTJvRG9jLnhtbK1TTY/T&#10;MBC9I/EfLN9p2qxYQdR0hVqWC4JKLNyn/kgs+Useb9P+e8ZOKQtc0GpzsMb2zPObNy/ru5Oz7KgS&#10;muB7vlosOVNeBGn80PPvD/dv3nGGGbwEG7zq+Vkhv9u8frWeYqfaMAYrVWIE4rGbYs/HnGPXNChG&#10;5QAXISpPlzokB5m2aWhkgonQnW3a5fK2mUKSMQWhEOl0N1/yTcXXWon8VWtUmdmeE7dc11TXQ1mb&#10;zRq6IUEcjbjQgGewcGA8PXqF2kEG9pjMP1DOiBQw6LwQwTVBayNU7YG6WS3/6ubbCFHVXkgcjFeZ&#10;8OVgxZfjPjEjaXYrGpUHR0P68JhDfZutbqpEU8SOMrd+n0iwssO4T6Xfk06OaWviD0KoClBP7FQF&#10;Pl8FVqfMxHwo6LS9uW3bCtzMCAUpJsyfVHCsBD3HnMAMY94G72mKIc3ocPyMmThQ4a+CUmw9m4jA&#10;++VbGrIAMpK2kCl0kVpDP1RqGKyR98baUoJpOGxtYkco1qhfcQMB/5FWXtkBjnNevZpNMyqQH71k&#10;+RxJMk/u5oWDU5Izq+hnKFG1VwZj/yeTnra+UFPVuJdGf6tdokOQ5zqEpuzIFJXxxcDFdU/3FD/9&#10;zT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caffvWAAAABwEAAA8AAAAAAAAAAQAgAAAAIgAA&#10;AGRycy9kb3ducmV2LnhtbFBLAQIUABQAAAAIAIdO4kCdoX7u0QEAAK4DAAAOAAAAAAAAAAEAIAAA&#10;ACUBAABkcnMvZTJvRG9jLnhtbFBLBQYAAAAABgAGAFkBAABoBQAAAAA=&#10;">
                <v:fill on="f" focussize="0,0"/>
                <v:stroke weight="1.5pt" color="#000000" joinstyle="round"/>
                <v:imagedata o:title=""/>
                <o:lock v:ext="edit" aspectratio="f"/>
              </v:shape>
            </w:pict>
          </mc:Fallback>
        </mc:AlternateContent>
      </w:r>
      <w:r>
        <w:rPr>
          <w:sz w:val="21"/>
        </w:rPr>
        <mc:AlternateContent>
          <mc:Choice Requires="wps">
            <w:drawing>
              <wp:anchor distT="0" distB="0" distL="114300" distR="114300" simplePos="0" relativeHeight="2391430144" behindDoc="0" locked="0" layoutInCell="1" allowOverlap="1">
                <wp:simplePos x="0" y="0"/>
                <wp:positionH relativeFrom="column">
                  <wp:posOffset>1381760</wp:posOffset>
                </wp:positionH>
                <wp:positionV relativeFrom="paragraph">
                  <wp:posOffset>12065</wp:posOffset>
                </wp:positionV>
                <wp:extent cx="0" cy="236220"/>
                <wp:effectExtent l="52705" t="0" r="53975" b="57785"/>
                <wp:wrapNone/>
                <wp:docPr id="119" name="直接连接符 119"/>
                <wp:cNvGraphicFramePr/>
                <a:graphic xmlns:a="http://schemas.openxmlformats.org/drawingml/2006/main">
                  <a:graphicData uri="http://schemas.microsoft.com/office/word/2010/wordprocessingShape">
                    <wps:wsp>
                      <wps:cNvCnPr/>
                      <wps:spPr>
                        <a:xfrm>
                          <a:off x="2519045" y="4096385"/>
                          <a:ext cx="0" cy="236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08.8pt;margin-top:0.95pt;height:18.6pt;width:0pt;z-index:-1903537152;mso-width-relative:page;mso-height-relative:page;" filled="f" stroked="t" coordsize="21600,21600" o:gfxdata="UEsDBAoAAAAAAIdO4kAAAAAAAAAAAAAAAAAEAAAAZHJzL1BLAwQUAAAACACHTuJAr2RartQAAAAI&#10;AQAADwAAAGRycy9kb3ducmV2LnhtbE2Py07DMBBF90j8gzVI7KidVpQ2xKl4CNZQUtZuPE2ixuMo&#10;dh78PYNYwPLqXN05k+1m14oR+9B40pAsFAik0tuGKg3Fx8vNBkSIhqxpPaGGLwywyy8vMpNaP9E7&#10;jvtYCR6hkBoNdYxdKmUoa3QmLHyHxOzke2cix76StjcTj7tWLpVaS2ca4gu16fCpxvK8H5yG6XNa&#10;DcXm9aDm28PwVjyMz49+1Pr6KlH3ICLO8a8MP/qsDjk7Hf1ANohWwzK5W3OVwRYE89981LDaJiDz&#10;TP5/IP8GUEsDBBQAAAAIAIdO4kA9x/zdFAIAAAgEAAAOAAAAZHJzL2Uyb0RvYy54bWytU8uu0zAQ&#10;3SPxD5b3NI8+1EZN7+JWlw2Cigti7TpOYsmxLdtt2p/gB5DYwYole/6Gy2cw44RSQGwQWTgez+T4&#10;nDmT9c2pU+QonJdGlzSbpJQIzU0ldVPS16/uniwp8YHpiimjRUnPwtObzeNH694WIjetUZVwBEC0&#10;L3pb0jYEWySJ563omJ8YKzQka+M6FiB0TVI51gN6p5I8TRdJb1xlneHCezjdDkm6ifh1LXh4Udde&#10;BKJKCtxCXF1c97gmmzUrGsdsK/lIg/0Di45JDZdeoLYsMHJw8g+oTnJnvKnDhJsuMXUtuYgaQE2W&#10;/qbmvmVWRC3QHG8vbfL/D5Y/P+4ckRV4l60o0awDkx7eff769sO3L+9hffj0kWAKGtVbX0D9rd65&#10;MfJ251D1qXYdvkEPOZU0n2erdDan5FzSWbpaTJfzodHiFAiHAnCCQy6fLvI8epD8xLDOh6fCdAQ3&#10;JVVSYwtYwY7PfIB7ofRHCR5rcyeVijYqTfqSTpdZivgMpqlWLMC2s6DP64YSphoYUx5chPRGyQo/&#10;RyDvmv2tcuTIcFTig6Thul/K8O4t8+1QF1NjmdIII+LQAVUMzCEId99WPdmrg3vJgMYMkSmpJIrL&#10;p2MAEzmPGUg5E97I0EbzsVV/I4fnTNmWDVSmc8QaGQ9aIvsLhxhd0UvQz8FB3O1NdY7GxnMYt1g/&#10;/ho4z9cx7K9/4M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2RartQAAAAIAQAADwAAAAAAAAAB&#10;ACAAAAAiAAAAZHJzL2Rvd25yZXYueG1sUEsBAhQAFAAAAAgAh07iQD3H/N0UAgAACAQAAA4AAAAA&#10;AAAAAQAgAAAAIwEAAGRycy9lMm9Eb2MueG1sUEsFBgAAAAAGAAYAWQEAAKkFAAAAAA==&#10;">
                <v:fill on="f" focussize="0,0"/>
                <v:stroke weight="3pt" color="#000000 [3200]" joinstyle="round"/>
                <v:imagedata o:title=""/>
                <o:lock v:ext="edit" aspectratio="f"/>
                <v:shadow on="t" color="#000000" opacity="22937f" offset="0pt,1.81102362204724pt" origin="0f,32768f" matrix="65536f,0f,0f,65536f"/>
              </v:line>
            </w:pict>
          </mc:Fallback>
        </mc:AlternateContent>
      </w:r>
      <w:r>
        <mc:AlternateContent>
          <mc:Choice Requires="wps">
            <w:drawing>
              <wp:anchor distT="0" distB="0" distL="114300" distR="114300" simplePos="0" relativeHeight="1641944064" behindDoc="0" locked="0" layoutInCell="1" allowOverlap="1">
                <wp:simplePos x="0" y="0"/>
                <wp:positionH relativeFrom="column">
                  <wp:posOffset>7854950</wp:posOffset>
                </wp:positionH>
                <wp:positionV relativeFrom="paragraph">
                  <wp:posOffset>4445</wp:posOffset>
                </wp:positionV>
                <wp:extent cx="5080" cy="238125"/>
                <wp:effectExtent l="9525" t="0" r="15875" b="5080"/>
                <wp:wrapNone/>
                <wp:docPr id="120" name="AutoShape 130"/>
                <wp:cNvGraphicFramePr/>
                <a:graphic xmlns:a="http://schemas.openxmlformats.org/drawingml/2006/main">
                  <a:graphicData uri="http://schemas.microsoft.com/office/word/2010/wordprocessingShape">
                    <wps:wsp>
                      <wps:cNvCnPr/>
                      <wps:spPr>
                        <a:xfrm flipV="1">
                          <a:off x="0" y="0"/>
                          <a:ext cx="5080" cy="238125"/>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618.5pt;margin-top:0.35pt;height:18.75pt;width:0.4pt;z-index:1641944064;mso-width-relative:page;mso-height-relative:page;" filled="f" stroked="t" coordsize="21600,21600" o:gfxdata="UEsDBAoAAAAAAIdO4kAAAAAAAAAAAAAAAAAEAAAAZHJzL1BLAwQUAAAACACHTuJAA7qcxtcAAAAJ&#10;AQAADwAAAGRycy9kb3ducmV2LnhtbE2PPW/CMBCG90r9D9ZV6lYcEomgNA5DEUMlBqAMHU18TaLa&#10;52Cbj/Lre0zt+Oo9vfc89eLqrDhjiIMnBdNJBgKp9WagTsH+Y/UyBxGTJqOtJ1TwgxEWzeNDrSvj&#10;L7TF8y51gkcoVlpBn9JYSRnbHp2OEz8icfflg9OJY+ikCfrC487KPMtm0umB+EOvR3zrsf3enZyC&#10;LB6367Uvj5+z4t1u3LBcLcNNqeenafYKIuE1/R3DHZ/RoWGmgz+RicJyzouSZZKCEsS958wuBwXF&#10;PAfZ1PK/QfMLUEsDBBQAAAAIAIdO4kBkKHMs0gEAALEDAAAOAAAAZHJzL2Uyb0RvYy54bWytU0uP&#10;EzEMviPxH6Lc6Uy7KipVp6tVy3JBUInH3c1jJlJeirOd9t/jZEpZ4ILQziGyx/Fn+/OXzf3ZWXZS&#10;CU3wHZ/PWs6UF0Ea33f829fHNyvOMIOXYINXHb8o5Pfb1682Y1yrRRiClSoxAvG4HmPHh5zjumlQ&#10;DMoBzkJUnoI6JAeZ3NQ3MsFI6M42i7Z924whyZiCUIj0dz8F+bbia61E/qw1qsxsx6m3XM9Uz2M5&#10;m+0G1n2COBhxbQP+owsHxlPRG9QeMrCnZP6CckakgEHnmQiuCVoboeoMNM28/WOaLwNEVWchcjDe&#10;aMKXgxWfTofEjKTdLYgfD46W9PCUQ63N5neVojHimm7u/CERYcXDeEhl3rNOjmlr4ndCqAzQTOxc&#10;Cb7cCFbnzAT9XLYrKiIosLhbzRfLQn8zgRSwmDB/UMGxYnQccwLTD3kXvKdFhjQVgNNHzFPiz4SS&#10;bD0bqYd37bKUANKStpDJdJGmQ9/X7jBYIx+NtSUFU3/c2cROUNRRv2tHv10rVfaAw3SvhibdDArk&#10;ey9ZvkRizZPAeenBKcmZVfQeilUVlsHYf7lJZFhfWlNVu9dBfxFerGOQl7qHpniki8rhVcNFeM99&#10;sp+/tO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qcxtcAAAAJAQAADwAAAAAAAAABACAAAAAi&#10;AAAAZHJzL2Rvd25yZXYueG1sUEsBAhQAFAAAAAgAh07iQGQocyzSAQAAsQMAAA4AAAAAAAAAAQAg&#10;AAAAJgEAAGRycy9lMm9Eb2MueG1sUEsFBgAAAAAGAAYAWQEAAGo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48921600" behindDoc="0" locked="0" layoutInCell="1" allowOverlap="1">
                <wp:simplePos x="0" y="0"/>
                <wp:positionH relativeFrom="column">
                  <wp:posOffset>6248400</wp:posOffset>
                </wp:positionH>
                <wp:positionV relativeFrom="paragraph">
                  <wp:posOffset>7620</wp:posOffset>
                </wp:positionV>
                <wp:extent cx="1270" cy="241935"/>
                <wp:effectExtent l="9525" t="0" r="19685" b="1905"/>
                <wp:wrapNone/>
                <wp:docPr id="121" name="AutoShape 130"/>
                <wp:cNvGraphicFramePr/>
                <a:graphic xmlns:a="http://schemas.openxmlformats.org/drawingml/2006/main">
                  <a:graphicData uri="http://schemas.microsoft.com/office/word/2010/wordprocessingShape">
                    <wps:wsp>
                      <wps:cNvCnPr/>
                      <wps:spPr>
                        <a:xfrm flipV="1">
                          <a:off x="0" y="0"/>
                          <a:ext cx="1270" cy="241935"/>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492pt;margin-top:0.6pt;height:19.05pt;width:0.1pt;z-index:1648921600;mso-width-relative:page;mso-height-relative:page;" filled="f" stroked="t" coordsize="21600,21600" o:gfxdata="UEsDBAoAAAAAAIdO4kAAAAAAAAAAAAAAAAAEAAAAZHJzL1BLAwQUAAAACACHTuJAOBURRdcAAAAI&#10;AQAADwAAAGRycy9kb3ducmV2LnhtbE2PvU4DMRCEeyTewVokOmInh0JynC8FUQqkFEmgoHTOy90J&#10;e32xnR94+iwVdDv6RrMz1eLinThhTH0gDeORAoHUBNtTq+H9bfUwA5GyIWtcINTwjQkW9e1NZUob&#10;zrTF0y63gkMolUZDl/NQSpmaDr1JozAgMfsM0ZvMMrbSRnPmcO/kRKmp9KYn/tCZAV86bL52R69B&#10;pcN2vQ5Ph49p8eo2vl+ulvFH6/u7sXoGkfGS/8zwW5+rQ82d9uFINgmnYT575C2ZwQQEc9Z87DUU&#10;8wJkXcn/A+orUEsDBBQAAAAIAIdO4kBY1U+i0wEAALEDAAAOAAAAZHJzL2Uyb0RvYy54bWytU0uP&#10;EzEMviPxH6Lc6XS6LLCjTleoZbkgqMTj7uYxEykvxdlO++9xMqUscEGIOUT2OP5sf/6yvj85y44q&#10;oQm+5+1iyZnyIkjjh55//fLw4g1nmMFLsMGrnp8V8vvN82frKXZqFcZgpUqMQDx2U+z5mHPsmgbF&#10;qBzgIkTlKahDcpDJTUMjE0yE7myzWi5fNVNIMqYgFCL93c1Bvqn4WiuRP2mNKjPbc+ot1zPV81DO&#10;ZrOGbkgQRyMubcA/dOHAeCp6hdpBBvaYzB9QzogUMOi8EME1QWsjVJ2BpmmXv03zeYSo6ixEDsYr&#10;Tfj/YMXH4z4xI2l3q5YzD46W9PYxh1qbtTeVoiliRze3fp+IsOJh3Kcy70knx7Q18RshVAZoJnaq&#10;BJ+vBKtTZoJ+tqvXtARBgdXL9u7mttDfzCAFLCbM71VwrBg9x5zADGPeBu9pkSHNBeD4AfOc+COh&#10;JFvPJqpwt7wtJYC0pC1kMl2k6dAPtTsM1sgHY21JwTQctjaxIxR11O/S0S/XSpUd4Djfq6FZN6MC&#10;+c5Lls+RWPMkcF56cEpyZhW9h2JVhWUw9m9uEhnWl9ZU1e5l0J+EF+sQ5LnuoSke6aJyeNFwEd5T&#10;n+ynL23z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gVEUXXAAAACAEAAA8AAAAAAAAAAQAgAAAA&#10;IgAAAGRycy9kb3ducmV2LnhtbFBLAQIUABQAAAAIAIdO4kBY1U+i0wEAALEDAAAOAAAAAAAAAAEA&#10;IAAAACYBAABkcnMvZTJvRG9jLnhtbFBLBQYAAAAABgAGAFkBAABrBQAAAAA=&#10;">
                <v:fill on="f" focussize="0,0"/>
                <v:stroke weight="1.5pt" color="#000000" joinstyle="round"/>
                <v:imagedata o:title=""/>
                <o:lock v:ext="edit" aspectratio="f"/>
              </v:shape>
            </w:pict>
          </mc:Fallback>
        </mc:AlternateContent>
      </w:r>
    </w:p>
    <w:p>
      <w:r>
        <w:rPr>
          <w:sz w:val="21"/>
        </w:rPr>
        <mc:AlternateContent>
          <mc:Choice Requires="wps">
            <w:drawing>
              <wp:anchor distT="0" distB="0" distL="114300" distR="114300" simplePos="0" relativeHeight="2391427072" behindDoc="0" locked="0" layoutInCell="1" allowOverlap="1">
                <wp:simplePos x="0" y="0"/>
                <wp:positionH relativeFrom="column">
                  <wp:posOffset>-165100</wp:posOffset>
                </wp:positionH>
                <wp:positionV relativeFrom="paragraph">
                  <wp:posOffset>96520</wp:posOffset>
                </wp:positionV>
                <wp:extent cx="892175" cy="288925"/>
                <wp:effectExtent l="4445" t="4445" r="17780" b="11430"/>
                <wp:wrapNone/>
                <wp:docPr id="122" name="文本框 122"/>
                <wp:cNvGraphicFramePr/>
                <a:graphic xmlns:a="http://schemas.openxmlformats.org/drawingml/2006/main">
                  <a:graphicData uri="http://schemas.microsoft.com/office/word/2010/wordprocessingShape">
                    <wps:wsp>
                      <wps:cNvSpPr txBox="1"/>
                      <wps:spPr>
                        <a:xfrm>
                          <a:off x="1475105" y="4576445"/>
                          <a:ext cx="892175" cy="288925"/>
                        </a:xfrm>
                        <a:prstGeom prst="rect">
                          <a:avLst/>
                        </a:prstGeom>
                        <a:solidFill>
                          <a:srgbClr val="C0EFED"/>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高坪分公司</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3pt;margin-top:7.6pt;height:22.75pt;width:70.25pt;z-index:-1903540224;mso-width-relative:page;mso-height-relative:page;" fillcolor="#C0EFED" filled="t" stroked="t" coordsize="21600,21600" o:gfxdata="UEsDBAoAAAAAAIdO4kAAAAAAAAAAAAAAAAAEAAAAZHJzL1BLAwQUAAAACACHTuJA4NEfLNkAAAAJ&#10;AQAADwAAAGRycy9kb3ducmV2LnhtbE2PwU7DMBBE70j8g7VI3Fo7EU1RiFMJpIoj0EaC3tx4SSLs&#10;dbCdtvTrcU9wHM1o5k21OlnDDujD4EhCNhfAkFqnB+okNNv17B5YiIq0Mo5Qwg8GWNXXV5UqtTvS&#10;Gx42sWOphEKpJPQxjiXnoe3RqjB3I1LyPp23KibpO669OqZya3guRMGtGigt9GrEpx7br81kJTyv&#10;v8/vu6n98C8mW/Jm15xfH4WUtzeZeAAW8RT/wnDBT+hQJ6a9m0gHZiTM8iJ9iclY5MAugexuAWwv&#10;oRBL4HXF/z+ofwFQSwMEFAAAAAgAh07iQC40RSRUAgAAhAQAAA4AAABkcnMvZTJvRG9jLnhtbK1U&#10;wW4TMRC9I/EPlu9kN0uSplE3VUgbhBTRSgVxdrzerIXXY2wnu+EDyh9w4sKd7+p3MPYmaUo5IS7O&#10;jOftG8+bmVxctrUiW2GdBJ3Tfi+lRGgOhdTrnH78sHg1psR5pgumQIuc7oSjl9OXLy4aMxEZVKAK&#10;YQmSaDdpTE4r780kSRyvRM1cD4zQGCzB1syja9dJYVmD7LVKsjQdJQ3Ywljgwjm8veqCdBr5y1Jw&#10;f1OWTniicopv8/G08VyFM5lesMnaMlNJvn8G+4dX1ExqTHqkumKekY2Vz6hqyS04KH2PQ51AWUou&#10;Yg1YTT/9o5q7ihkRa0FxnDnK5P4fLX+/vbVEFti7LKNEsxqb9PD928OPXw8/70m4RIka4yaIvDOI&#10;9e0baBF+uHd4GSpvS1uHX6yJhPjgbNhPh5TscjoYno0Gg2Entmg94QgYn2f9M4xzBGRj9GI8eSQy&#10;1vm3AmoSjJxa7GWUmG2XzuOjEHqAhLwOlCwWUqno2PVqrizZMuz7PL1eXF+F7PjJE5jSpMnp6PUw&#10;jcxPYoH7SLFSjH9+zoB8SiNt0KfTIVi+XbV70VZQ7FAzC93gOcMXEnmXzPlbZnHScCZxe/wNHqUC&#10;fAzsLUoqsF//dh/wOAAYpaTByc2p+7JhVlCi3mkcjfP+YBBGPToofYaOPY2sTiN6U88BRerjnhoe&#10;zYD36mCWFupPuGSzkBVDTHPMnVN/MOe+2ydcUi5mswjaGCvXVfcBDrphfqnvDA9pQns0zDYeShnb&#10;GCTrdNoriaMeW7Vfy7BLp35EPf55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NEfLNkAAAAJ&#10;AQAADwAAAAAAAAABACAAAAAiAAAAZHJzL2Rvd25yZXYueG1sUEsBAhQAFAAAAAgAh07iQC40RSRU&#10;AgAAhAQAAA4AAAAAAAAAAQAgAAAAKAEAAGRycy9lMm9Eb2MueG1sUEsFBgAAAAAGAAYAWQEAAO4F&#10;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高坪分公司</w:t>
                      </w:r>
                    </w:p>
                  </w:txbxContent>
                </v:textbox>
              </v:shape>
            </w:pict>
          </mc:Fallback>
        </mc:AlternateContent>
      </w:r>
      <w:r>
        <w:rPr>
          <w:sz w:val="21"/>
        </w:rPr>
        <mc:AlternateContent>
          <mc:Choice Requires="wps">
            <w:drawing>
              <wp:anchor distT="0" distB="0" distL="114300" distR="114300" simplePos="0" relativeHeight="2391425024" behindDoc="0" locked="0" layoutInCell="1" allowOverlap="1">
                <wp:simplePos x="0" y="0"/>
                <wp:positionH relativeFrom="column">
                  <wp:posOffset>916940</wp:posOffset>
                </wp:positionH>
                <wp:positionV relativeFrom="paragraph">
                  <wp:posOffset>96520</wp:posOffset>
                </wp:positionV>
                <wp:extent cx="914400" cy="280035"/>
                <wp:effectExtent l="5080" t="4445" r="10160" b="5080"/>
                <wp:wrapNone/>
                <wp:docPr id="123" name="文本框 123"/>
                <wp:cNvGraphicFramePr/>
                <a:graphic xmlns:a="http://schemas.openxmlformats.org/drawingml/2006/main">
                  <a:graphicData uri="http://schemas.microsoft.com/office/word/2010/wordprocessingShape">
                    <wps:wsp>
                      <wps:cNvSpPr txBox="1"/>
                      <wps:spPr>
                        <a:xfrm>
                          <a:off x="2412365" y="4675505"/>
                          <a:ext cx="914400" cy="280035"/>
                        </a:xfrm>
                        <a:prstGeom prst="rect">
                          <a:avLst/>
                        </a:prstGeom>
                        <a:solidFill>
                          <a:srgbClr val="B1ECF0">
                            <a:lumMod val="60000"/>
                            <a:lumOff val="4000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临江分公司</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72.2pt;margin-top:7.6pt;height:22.05pt;width:72pt;z-index:-1903542272;mso-width-relative:page;mso-height-relative:page;" fillcolor="#D0F4F6" filled="t" stroked="t" coordsize="21600,21600" o:gfxdata="UEsDBAoAAAAAAIdO4kAAAAAAAAAAAAAAAAAEAAAAZHJzL1BLAwQUAAAACACHTuJAywD0NdcAAAAJ&#10;AQAADwAAAGRycy9kb3ducmV2LnhtbE2PzU7DMBCE70i8g7VI3KjTkEBI4/RAhcSlBxoewLG3SSBe&#10;R7H7k7dnOcFtZ3c0+021vbpRnHEOgycF61UCAsl4O1Cn4LN5eyhAhKjJ6tETKlgwwLa+val0af2F&#10;PvB8iJ3gEAqlVtDHOJVSBtOj02HlJyS+Hf3sdGQ5d9LO+sLhbpRpkjxJpwfiD72e8LVH8304OQVm&#10;337l4X23mN3z0u3TvolZbJS6v1snGxARr/HPDL/4jA41M7X+RDaIkXWWZWzlIU9BsCEtCl60CvKX&#10;R5B1Jf83qH8AUEsDBBQAAAAIAIdO4kAdVUhZbwIAAL0EAAAOAAAAZHJzL2Uyb0RvYy54bWytVM1u&#10;EzEQviPxDpbvdDdpkpaomypNCUIqtFJBnB2vN7vCaxvbyW77APAGnLhw57n6HHy2k/4AJ0QOznhm&#10;/M3MNzN7ctq3kmyFdY1WBR0c5JQIxXXZqHVBP7xfvjimxHmmSia1EgW9EY6ezp4/O+nMVAx1rWUp&#10;LAGIctPOFLT23kyzzPFatMwdaCMUjJW2LfO42nVWWtYBvZXZMM8nWadtaazmwjloz5ORziJ+VQnu&#10;L6vKCU9kQZGbj6eN5yqc2eyETdeWmbrhuzTYP2TRskYh6D3UOfOMbGzzB1TbcKudrvwB122mq6rh&#10;ItaAagb5b9Vc18yIWAvIceaeJvf/YPm77ZUlTYneDQ8pUaxFk+6+fb37/vPuxxcSlKCoM24Kz2sD&#10;X9+f6R7ue72DMlTeV7YN/6iJwD4c4e1kTMlNQUeTo/E4HyeyRe8Jh8PLwWiUoyUcDsPjPD+M9uwB&#10;yFjnXwvdkiAU1KKXkWK2vXAeScF17xLiOi2bctlIGS92vVpIS7YMfT8bvFos8/hWbtq3ukzqSY5f&#10;yglqjElSI6mkBr5LMDHWE3ypSFfQyeE4wT6xhaTuY68k459CkID2kCFuUkEZiE0EBsn3q37H9kqX&#10;NyDb6jSxzvBlA9wL5vwVsxhRMIe185c4KqmRjN5JlNTa3v5NH/wxObBS0mHkC+o+b5gVlMg3CjMV&#10;O4IdiZfR+GiIGPaxZfXYojbtQoPdARbc8CgGfy/3YmV1+xHbOQ9RYWKKI3ZB/V5c+LSI2G4u5vPo&#10;tDG2WdfpATbEMH+hrg0PYUJflZ5vvK6a2P9AWeJpxyR2JBK92+ewhI/v0evhqzP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sA9DXXAAAACQEAAA8AAAAAAAAAAQAgAAAAIgAAAGRycy9kb3ducmV2&#10;LnhtbFBLAQIUABQAAAAIAIdO4kAdVUhZbwIAAL0EAAAOAAAAAAAAAAEAIAAAACYBAABkcnMvZTJv&#10;RG9jLnhtbFBLBQYAAAAABgAGAFkBAAAHBg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临江分公司</w:t>
                      </w:r>
                    </w:p>
                  </w:txbxContent>
                </v:textbox>
              </v:shape>
            </w:pict>
          </mc:Fallback>
        </mc:AlternateContent>
      </w:r>
      <w:r>
        <mc:AlternateContent>
          <mc:Choice Requires="wps">
            <w:drawing>
              <wp:anchor distT="0" distB="0" distL="114300" distR="114300" simplePos="0" relativeHeight="1625714688" behindDoc="0" locked="0" layoutInCell="1" allowOverlap="1">
                <wp:simplePos x="0" y="0"/>
                <wp:positionH relativeFrom="column">
                  <wp:posOffset>2034540</wp:posOffset>
                </wp:positionH>
                <wp:positionV relativeFrom="paragraph">
                  <wp:posOffset>97155</wp:posOffset>
                </wp:positionV>
                <wp:extent cx="1224915" cy="280035"/>
                <wp:effectExtent l="5080" t="4445" r="4445" b="5080"/>
                <wp:wrapNone/>
                <wp:docPr id="124" name="AutoShape 142"/>
                <wp:cNvGraphicFramePr/>
                <a:graphic xmlns:a="http://schemas.openxmlformats.org/drawingml/2006/main">
                  <a:graphicData uri="http://schemas.microsoft.com/office/word/2010/wordprocessingShape">
                    <wps:wsp>
                      <wps:cNvSpPr/>
                      <wps:spPr>
                        <a:xfrm>
                          <a:off x="0" y="0"/>
                          <a:ext cx="1224915" cy="280035"/>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sz w:val="20"/>
                                <w:szCs w:val="18"/>
                              </w:rPr>
                            </w:pPr>
                            <w:r>
                              <w:rPr>
                                <w:rFonts w:hint="eastAsia"/>
                                <w:sz w:val="20"/>
                                <w:szCs w:val="18"/>
                                <w:lang w:eastAsia="zh-CN"/>
                              </w:rPr>
                              <w:t>顺庆分公司</w:t>
                            </w:r>
                          </w:p>
                        </w:txbxContent>
                      </wps:txbx>
                      <wps:bodyPr upright="1"/>
                    </wps:wsp>
                  </a:graphicData>
                </a:graphic>
              </wp:anchor>
            </w:drawing>
          </mc:Choice>
          <mc:Fallback>
            <w:pict>
              <v:shape id="AutoShape 142" o:spid="_x0000_s1026" o:spt="109" type="#_x0000_t109" style="position:absolute;left:0pt;margin-left:160.2pt;margin-top:7.65pt;height:22.05pt;width:96.45pt;z-index:1625714688;mso-width-relative:page;mso-height-relative:page;" fillcolor="#CCFFFF" filled="t" stroked="t" coordsize="21600,21600" o:gfxdata="UEsDBAoAAAAAAIdO4kAAAAAAAAAAAAAAAAAEAAAAZHJzL1BLAwQUAAAACACHTuJAYIPH/NYAAAAJ&#10;AQAADwAAAGRycy9kb3ducmV2LnhtbE2PzU7DMBCE70i8g7VI3KidpkVtiNMDUiUOHKBQcXXiJYmI&#10;15F/2vL2LCe4zWo+zc7Uu4ubxAlDHD1pKBYKBFLn7Ui9hve3/d0GREyGrJk8oYZvjLBrrq9qU1l/&#10;plc8HVIvOIRiZTQMKc2VlLEb0Jm48DMSe58+OJP4DL20wZw53E1yqdS9dGYk/jCYGR8H7L4O2XFK&#10;zi9ye3xuM5onue8CHTfyQ+vbm0I9gEh4SX8w/Nbn6tBwp9ZnslFMGsqlWjHKxroEwcC6KFm0LLYr&#10;kE0t/y9ofgBQSwMEFAAAAAgAh07iQK6gr6jrAQAA/AMAAA4AAABkcnMvZTJvRG9jLnhtbK1T3a7T&#10;MAy+R+Idotyz/rChc6p1R2hj3CCYdOABvCRtI+VPSbZ2b4+TjrEDXCBEL1I7dj7bn+3106QVOQsf&#10;pDUtrRYlJcIwy6XpW/rt6/7NAyUhguGgrBEtvYhAnzavX61H14jaDlZx4QmCmNCMrqVDjK4pisAG&#10;oSEsrBMGjZ31GiKqvi+4hxHRtSrqsnxXjNZz5y0TIeDtbjbSTcbvOsHil64LIhLVUswt5tPn85jO&#10;YrOGpvfgBsmuacA/ZKFBGgx6g9pBBHLy8jcoLZm3wXZxwawubNdJJnINWE1V/lLN8wBO5FqQnOBu&#10;NIX/B8s+nw+eSI69q5eUGNDYpPenaHNsUi3rRNHoQoOez+7gr1pAMdU7dV6nP1ZCpkzr5UarmCJh&#10;eFnV9fKxWlHC0FY/lOXbVQItfr52PsSPwmqShJZ2yo7bAXw8zI3NzML5U4jzsx/uKXCwSvK9VCor&#10;vj9ulSdnwHZvt3v8rpFeuClDxpY+ruqUE+DUdQoiitohD8H0Od6LF+EeuMzfn4BTYjsIw5xARkhu&#10;0GgZhc/SIIB/MJzEi0OmDS4FTclowSlRAncoSdkzglR/44k8KpOCiDzvV5ZSy+YmJSlOxwlBk3i0&#10;/IItPzkv+wHJrnIhyYIjlrtyXYc0w/c6yvdLu/k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IPH&#10;/NYAAAAJAQAADwAAAAAAAAABACAAAAAiAAAAZHJzL2Rvd25yZXYueG1sUEsBAhQAFAAAAAgAh07i&#10;QK6gr6jrAQAA/AMAAA4AAAAAAAAAAQAgAAAAJQEAAGRycy9lMm9Eb2MueG1sUEsFBgAAAAAGAAYA&#10;WQEAAIIFAAAAAA==&#10;">
                <v:fill on="t" focussize="0,0"/>
                <v:stroke color="#000000" joinstyle="miter"/>
                <v:imagedata o:title=""/>
                <o:lock v:ext="edit" aspectratio="f"/>
                <v:textbox>
                  <w:txbxContent>
                    <w:p>
                      <w:pPr>
                        <w:jc w:val="center"/>
                        <w:rPr>
                          <w:sz w:val="20"/>
                          <w:szCs w:val="18"/>
                        </w:rPr>
                      </w:pPr>
                      <w:r>
                        <w:rPr>
                          <w:rFonts w:hint="eastAsia"/>
                          <w:sz w:val="20"/>
                          <w:szCs w:val="18"/>
                          <w:lang w:eastAsia="zh-CN"/>
                        </w:rPr>
                        <w:t>顺庆分公司</w:t>
                      </w:r>
                    </w:p>
                  </w:txbxContent>
                </v:textbox>
              </v:shape>
            </w:pict>
          </mc:Fallback>
        </mc:AlternateContent>
      </w:r>
      <w:r>
        <mc:AlternateContent>
          <mc:Choice Requires="wps">
            <w:drawing>
              <wp:anchor distT="0" distB="0" distL="114300" distR="114300" simplePos="0" relativeHeight="1625458688" behindDoc="0" locked="0" layoutInCell="1" allowOverlap="1">
                <wp:simplePos x="0" y="0"/>
                <wp:positionH relativeFrom="column">
                  <wp:posOffset>3860165</wp:posOffset>
                </wp:positionH>
                <wp:positionV relativeFrom="paragraph">
                  <wp:posOffset>60325</wp:posOffset>
                </wp:positionV>
                <wp:extent cx="1191260" cy="276860"/>
                <wp:effectExtent l="4445" t="4445" r="8255" b="8255"/>
                <wp:wrapNone/>
                <wp:docPr id="125" name="AutoShape 142"/>
                <wp:cNvGraphicFramePr/>
                <a:graphic xmlns:a="http://schemas.openxmlformats.org/drawingml/2006/main">
                  <a:graphicData uri="http://schemas.microsoft.com/office/word/2010/wordprocessingShape">
                    <wps:wsp>
                      <wps:cNvSpPr/>
                      <wps:spPr>
                        <a:xfrm>
                          <a:off x="0" y="0"/>
                          <a:ext cx="1191260" cy="27686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sz w:val="20"/>
                                <w:szCs w:val="18"/>
                              </w:rPr>
                            </w:pPr>
                            <w:r>
                              <w:rPr>
                                <w:rFonts w:hint="eastAsia"/>
                                <w:sz w:val="20"/>
                                <w:szCs w:val="18"/>
                                <w:lang w:eastAsia="zh-CN"/>
                              </w:rPr>
                              <w:t>输配中心站</w:t>
                            </w: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303.95pt;margin-top:4.75pt;height:21.8pt;width:93.8pt;z-index:1625458688;mso-width-relative:page;mso-height-relative:page;" fillcolor="#CCFFFF" filled="t" stroked="t" coordsize="21600,21600" o:gfxdata="UEsDBAoAAAAAAIdO4kAAAAAAAAAAAAAAAAAEAAAAZHJzL1BLAwQUAAAACACHTuJAGKaxwtYAAAAI&#10;AQAADwAAAGRycy9kb3ducmV2LnhtbE2PwU7DMAyG70i8Q2QkbiwpqNvaNd0BaRIHDrAxcU0br61o&#10;nKpJtvH2mBPcbP2/Pn+utlc3ijPOYfCkIVsoEEittwN1Gj4Ou4c1iBANWTN6Qg3fGGBb395UprT+&#10;Qu943sdOMIRCaTT0MU6llKHt0Zmw8BMSZyc/OxN5nTtpZ3NhuBvlo1JL6cxAfKE3Ez732H7tk2NK&#10;Sm+yOL42Cc2L3LUzHdfyU+v7u0xtQES8xr8y/OqzOtTs1PhENohRw1KtCq5qKHIQnK+KnIdGQ/6U&#10;gawr+f+B+gdQSwMEFAAAAAgAh07iQMjrY+TrAQAA/AMAAA4AAABkcnMvZTJvRG9jLnhtbK1T247T&#10;MBB9R+IfLL/TNBFbdqOmK9RSXhBUWviAqS+JJd9ku03694zdUrrAw2pFHpwznvGZmTP28nEymhxF&#10;iMrZjtazOSXCMseV7Tv64/v23T0lMYHloJ0VHT2JSB9Xb98sR9+Kxg1OcxEIktjYjr6jQ0q+rarI&#10;BmEgzpwXFp3SBQMJzdBXPMCI7EZXzXy+qEYXuA+OiRhxd3N20lXhl1Kw9E3KKBLRHcXaUllDWfd5&#10;rVZLaPsAflDsUga8ogoDymLSK9UGEpBDUH9RGcWCi06mGXOmclIqJkoP2E09/6ObpwG8KL2gONFf&#10;ZYr/j5Z9Pe4CURxn19xRYsHgkD4ekiu5Sf2+yRKNPrYY+eR34WJFhLnfSQaT/9gJmYqsp6usYkqE&#10;4WZdP9TNAtVn6Gs+LO4RI031+7QPMX0WzpAMOiq1G9cDhLQ7D7YoC8cvMZ2P/QrPiaPTim+V1sUI&#10;/X6tAzkCjnu93uJ3yfQsTFsydvThLnfMAG+d1JAQGo86RNuXfM9OxFviefn+RZwL20AczgUUhhwG&#10;rVFJhIIGAfyT5SSdPCpt8VHQXIwRnBIt8A1lVCITKP2SSNRR25xElPt+USmP7DykjNK0n5A0w73j&#10;Jxz5wQfVDyh2XRrJHrxiZSqX55Dv8K2N+PbRr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Kax&#10;wtYAAAAIAQAADwAAAAAAAAABACAAAAAiAAAAZHJzL2Rvd25yZXYueG1sUEsBAhQAFAAAAAgAh07i&#10;QMjrY+TrAQAA/AMAAA4AAAAAAAAAAQAgAAAAJQEAAGRycy9lMm9Eb2MueG1sUEsFBgAAAAAGAAYA&#10;WQEAAIIFAAAAAA==&#10;">
                <v:fill on="t" focussize="0,0"/>
                <v:stroke color="#000000" joinstyle="miter"/>
                <v:imagedata o:title=""/>
                <o:lock v:ext="edit" aspectratio="f"/>
                <v:textbox>
                  <w:txbxContent>
                    <w:p>
                      <w:pPr>
                        <w:jc w:val="center"/>
                        <w:rPr>
                          <w:sz w:val="20"/>
                          <w:szCs w:val="18"/>
                        </w:rPr>
                      </w:pPr>
                      <w:r>
                        <w:rPr>
                          <w:rFonts w:hint="eastAsia"/>
                          <w:sz w:val="20"/>
                          <w:szCs w:val="18"/>
                          <w:lang w:eastAsia="zh-CN"/>
                        </w:rPr>
                        <w:t>输配中心站</w:t>
                      </w:r>
                    </w:p>
                    <w:p>
                      <w:pPr>
                        <w:jc w:val="center"/>
                        <w:rPr>
                          <w:sz w:val="20"/>
                          <w:szCs w:val="18"/>
                        </w:rPr>
                      </w:pPr>
                    </w:p>
                  </w:txbxContent>
                </v:textbox>
              </v:shape>
            </w:pict>
          </mc:Fallback>
        </mc:AlternateContent>
      </w:r>
      <w:r>
        <mc:AlternateContent>
          <mc:Choice Requires="wps">
            <w:drawing>
              <wp:anchor distT="0" distB="0" distL="114300" distR="114300" simplePos="0" relativeHeight="1629282304" behindDoc="0" locked="0" layoutInCell="1" allowOverlap="1">
                <wp:simplePos x="0" y="0"/>
                <wp:positionH relativeFrom="column">
                  <wp:posOffset>7339330</wp:posOffset>
                </wp:positionH>
                <wp:positionV relativeFrom="paragraph">
                  <wp:posOffset>47625</wp:posOffset>
                </wp:positionV>
                <wp:extent cx="1198880" cy="334645"/>
                <wp:effectExtent l="5080" t="4445" r="15240" b="11430"/>
                <wp:wrapNone/>
                <wp:docPr id="126" name="AutoShape 142"/>
                <wp:cNvGraphicFramePr/>
                <a:graphic xmlns:a="http://schemas.openxmlformats.org/drawingml/2006/main">
                  <a:graphicData uri="http://schemas.microsoft.com/office/word/2010/wordprocessingShape">
                    <wps:wsp>
                      <wps:cNvSpPr/>
                      <wps:spPr>
                        <a:xfrm>
                          <a:off x="0" y="0"/>
                          <a:ext cx="1198880" cy="334645"/>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val="en-US" w:eastAsia="zh-CN"/>
                              </w:rPr>
                            </w:pPr>
                            <w:r>
                              <w:rPr>
                                <w:rFonts w:hint="eastAsia"/>
                                <w:sz w:val="20"/>
                                <w:szCs w:val="18"/>
                                <w:lang w:val="en-US" w:eastAsia="zh-CN"/>
                              </w:rPr>
                              <w:t>恩阳分公司</w:t>
                            </w:r>
                          </w:p>
                          <w:p>
                            <w:pPr>
                              <w:jc w:val="center"/>
                              <w:rPr>
                                <w:rFonts w:hint="eastAsia"/>
                                <w:sz w:val="20"/>
                                <w:szCs w:val="18"/>
                                <w:lang w:val="en-US" w:eastAsia="zh-CN"/>
                              </w:rPr>
                            </w:pPr>
                          </w:p>
                        </w:txbxContent>
                      </wps:txbx>
                      <wps:bodyPr upright="1"/>
                    </wps:wsp>
                  </a:graphicData>
                </a:graphic>
              </wp:anchor>
            </w:drawing>
          </mc:Choice>
          <mc:Fallback>
            <w:pict>
              <v:shape id="AutoShape 142" o:spid="_x0000_s1026" o:spt="109" type="#_x0000_t109" style="position:absolute;left:0pt;margin-left:577.9pt;margin-top:3.75pt;height:26.35pt;width:94.4pt;z-index:1629282304;mso-width-relative:page;mso-height-relative:page;" fillcolor="#CCFFFF" filled="t" stroked="t" coordsize="21600,21600" o:gfxdata="UEsDBAoAAAAAAIdO4kAAAAAAAAAAAAAAAAAEAAAAZHJzL1BLAwQUAAAACACHTuJAoI13EtcAAAAK&#10;AQAADwAAAGRycy9kb3ducmV2LnhtbE2PMU/DMBCFdyT+g3VIbNROaUIJcTogVWJggELFeomPJCI+&#10;R7Hdln+PO9Hx6Z6+9121OdlRHGj2g2MN2UKBIG6dGbjT8PmxvVuD8AHZ4OiYNPySh019fVVhadyR&#10;3+mwC51IEPYlauhDmEopfduTRb9wE3G6fbvZYkhx7qSZ8ZjgdpRLpQppceC00ONEzz21P7toEyXG&#10;N/m4f20i4YvctjPv1/JL69ubTD2BCHQK/2U46yd1qJNT4yIbL8aUszxP7kHDQw7iXLhfrQoQjYZC&#10;LUHWlbx8of4DUEsDBBQAAAAIAIdO4kDecxK/7QEAAPwDAAAOAAAAZHJzL2Uyb0RvYy54bWytU82O&#10;EzEMviPxDlHudDrdtuqOOl2hlnJBsNLCA7j5mYmUPyVpZ/r2OGkpXeCAEHPI2LHz2f5sr59Go8lJ&#10;hKicbWk9mVIiLHNc2a6l377u360oiQksB+2saOlZRPq0eftmPfhGzFzvNBeBIIiNzeBb2qfkm6qK&#10;rBcG4sR5YdEoXTCQUA1dxQMMiG50NZtOl9XgAvfBMREj3u4uRrop+FIKlr5IGUUiuqWYWypnKOch&#10;n9VmDU0XwPeKXdOAf8jCgLIY9Aa1gwTkGNRvUEax4KKTacKcqZyUiolSA1ZTT3+p5qUHL0otSE70&#10;N5ri/4Nln0/PgSiOvZstKbFgsEnvj8mV2KSezzJFg48Ner7453DVIoq53lEGk/9YCRkLrecbrWJM&#10;hOFlXT+uVitkn6Ht4WG+nC8yaPXztQ8xfRTOkCy0VGo3bHsI6fnS2MIsnD7FdHn2wz0Hjk4rvlda&#10;FyV0h60O5ATY7u12j9810is3bcnQ0sfFbIE5AU6d1JBQNB55iLYr8V69iPfA0/L9CTgntoPYXxIo&#10;CNkNGqOSCEXqBfAPlpN09si0xaWgORkjOCVa4A5lqXgmUPpvPJFHbXMQUeb9ylJu2aVJWUrjYUTQ&#10;LB4cP2PLjz6orkey61JItuCIla5c1yHP8L2O8v3Sbr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I13EtcAAAAKAQAADwAAAAAAAAABACAAAAAiAAAAZHJzL2Rvd25yZXYueG1sUEsBAhQAFAAAAAgA&#10;h07iQN5zEr/tAQAA/AMAAA4AAAAAAAAAAQAgAAAAJgEAAGRycy9lMm9Eb2MueG1sUEsFBgAAAAAG&#10;AAYAWQEAAIUFAAAAAA==&#10;">
                <v:fill on="t" focussize="0,0"/>
                <v:stroke color="#000000" joinstyle="miter"/>
                <v:imagedata o:title=""/>
                <o:lock v:ext="edit" aspectratio="f"/>
                <v:textbox>
                  <w:txbxContent>
                    <w:p>
                      <w:pPr>
                        <w:jc w:val="center"/>
                        <w:rPr>
                          <w:rFonts w:hint="eastAsia"/>
                          <w:sz w:val="20"/>
                          <w:szCs w:val="18"/>
                          <w:lang w:val="en-US" w:eastAsia="zh-CN"/>
                        </w:rPr>
                      </w:pPr>
                      <w:r>
                        <w:rPr>
                          <w:rFonts w:hint="eastAsia"/>
                          <w:sz w:val="20"/>
                          <w:szCs w:val="18"/>
                          <w:lang w:val="en-US" w:eastAsia="zh-CN"/>
                        </w:rPr>
                        <w:t>恩阳分公司</w:t>
                      </w:r>
                    </w:p>
                    <w:p>
                      <w:pPr>
                        <w:jc w:val="center"/>
                        <w:rPr>
                          <w:rFonts w:hint="eastAsia"/>
                          <w:sz w:val="20"/>
                          <w:szCs w:val="18"/>
                          <w:lang w:val="en-US" w:eastAsia="zh-CN"/>
                        </w:rPr>
                      </w:pPr>
                    </w:p>
                  </w:txbxContent>
                </v:textbox>
              </v:shape>
            </w:pict>
          </mc:Fallback>
        </mc:AlternateContent>
      </w:r>
      <w:r>
        <mc:AlternateContent>
          <mc:Choice Requires="wps">
            <w:drawing>
              <wp:anchor distT="0" distB="0" distL="114300" distR="114300" simplePos="0" relativeHeight="1625586688" behindDoc="0" locked="0" layoutInCell="1" allowOverlap="1">
                <wp:simplePos x="0" y="0"/>
                <wp:positionH relativeFrom="column">
                  <wp:posOffset>5687695</wp:posOffset>
                </wp:positionH>
                <wp:positionV relativeFrom="paragraph">
                  <wp:posOffset>65405</wp:posOffset>
                </wp:positionV>
                <wp:extent cx="1200150" cy="309245"/>
                <wp:effectExtent l="4445" t="4445" r="14605" b="6350"/>
                <wp:wrapNone/>
                <wp:docPr id="127" name="AutoShape 142"/>
                <wp:cNvGraphicFramePr/>
                <a:graphic xmlns:a="http://schemas.openxmlformats.org/drawingml/2006/main">
                  <a:graphicData uri="http://schemas.microsoft.com/office/word/2010/wordprocessingShape">
                    <wps:wsp>
                      <wps:cNvSpPr/>
                      <wps:spPr>
                        <a:xfrm>
                          <a:off x="0" y="0"/>
                          <a:ext cx="1200150" cy="309245"/>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sz w:val="20"/>
                                <w:szCs w:val="18"/>
                              </w:rPr>
                            </w:pPr>
                            <w:r>
                              <w:rPr>
                                <w:rFonts w:hint="eastAsia"/>
                                <w:sz w:val="20"/>
                                <w:szCs w:val="18"/>
                                <w:lang w:eastAsia="zh-CN"/>
                              </w:rPr>
                              <w:t>生产保障中心</w:t>
                            </w:r>
                          </w:p>
                        </w:txbxContent>
                      </wps:txbx>
                      <wps:bodyPr upright="1"/>
                    </wps:wsp>
                  </a:graphicData>
                </a:graphic>
              </wp:anchor>
            </w:drawing>
          </mc:Choice>
          <mc:Fallback>
            <w:pict>
              <v:shape id="AutoShape 142" o:spid="_x0000_s1026" o:spt="109" type="#_x0000_t109" style="position:absolute;left:0pt;margin-left:447.85pt;margin-top:5.15pt;height:24.35pt;width:94.5pt;z-index:1625586688;mso-width-relative:page;mso-height-relative:page;" fillcolor="#CCFFFF" filled="t" stroked="t" coordsize="21600,21600" o:gfxdata="UEsDBAoAAAAAAIdO4kAAAAAAAAAAAAAAAAAEAAAAZHJzL1BLAwQUAAAACACHTuJAlFrPNtYAAAAK&#10;AQAADwAAAGRycy9kb3ducmV2LnhtbE2PTU/DMAyG70j8h8hI3FgyYNCWpjsgTeLAAQYT17QxbUXj&#10;VPnYxr/HO7Gj/b56/LheH90k9hji6EnDcqFAIHXejtRr+PzY3BQgYjJkzeQJNfxihHVzeVGbyvoD&#10;veN+m3rBEIqV0TCkNFdSxm5AZ+LCz0icffvgTOIx9NIGc2C4m+StUg/SmZH4wmBmfB6w+9lmx5Sc&#10;32S5e20zmhe56QLtCvml9fXVUj2BSHhM/2U46bM6NOzU+kw2iklDUa4eucqBugNxKqjinjethlWp&#10;QDa1PH+h+QNQSwMEFAAAAAgAh07iQIOcZknrAQAA/AMAAA4AAABkcnMvZTJvRG9jLnhtbK1T247T&#10;MBB9R+IfLL+zubAFNmq6Qi3lBUGlhQ+Y+pJY8k2226R/z9gtpQs8IEQenBnP+MzMOfbycTaaHEWI&#10;ytmeNnc1JcIyx5Udevrt6/bVO0piAstBOyt6ehKRPq5evlhOvhOtG53mIhAEsbGbfE/HlHxXVZGN&#10;wkC8c15YDEoXDCR0w1DxABOiG121df2mmlzgPjgmYsTdzTlIVwVfSsHSFymjSET3FHtLZQ1l3ee1&#10;Wi2hGwL4UbFLG/APXRhQFoteoTaQgByC+g3KKBZcdDLdMWcqJ6ViosyA0zT1L9M8jeBFmQXJif5K&#10;U/x/sOzzcReI4qhd+5YSCwZFen9IrtQmzX2bKZp87DDzye/CxYto5nlnGUz+4yRkLrSerrSKORGG&#10;mw0K1SyQfYax1/VDe7/IoNXP0z7E9FE4Q7LRU6ndtB4hpN1Z2MIsHD/FdD72Iz0Xjk4rvlVaFycM&#10;+7UO5Ago93q9xe9S6VmatmTq6cOiXWBPgLdOakhoGo88RDuUes9OxFvgunx/As6NbSCO5wYKQk6D&#10;zqgkQrFGAfyD5SSdPDJt8VHQ3IwRnBIt8A1lq2QmUPpvMpFHbXMRUe77haUs2VmkbKV5PyNoNveO&#10;n1Dygw9qGJHspgySI3jFiiqX55Dv8K2P9u2jXX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FrP&#10;NtYAAAAKAQAADwAAAAAAAAABACAAAAAiAAAAZHJzL2Rvd25yZXYueG1sUEsBAhQAFAAAAAgAh07i&#10;QIOcZknrAQAA/AMAAA4AAAAAAAAAAQAgAAAAJQEAAGRycy9lMm9Eb2MueG1sUEsFBgAAAAAGAAYA&#10;WQEAAIIFAAAAAA==&#10;">
                <v:fill on="t" focussize="0,0"/>
                <v:stroke color="#000000" joinstyle="miter"/>
                <v:imagedata o:title=""/>
                <o:lock v:ext="edit" aspectratio="f"/>
                <v:textbox>
                  <w:txbxContent>
                    <w:p>
                      <w:pPr>
                        <w:jc w:val="center"/>
                        <w:rPr>
                          <w:sz w:val="20"/>
                          <w:szCs w:val="18"/>
                        </w:rPr>
                      </w:pPr>
                      <w:r>
                        <w:rPr>
                          <w:rFonts w:hint="eastAsia"/>
                          <w:sz w:val="20"/>
                          <w:szCs w:val="18"/>
                          <w:lang w:eastAsia="zh-CN"/>
                        </w:rPr>
                        <w:t>生产保障中心</w:t>
                      </w:r>
                    </w:p>
                  </w:txbxContent>
                </v:textbox>
              </v:shape>
            </w:pict>
          </mc:Fallback>
        </mc:AlternateContent>
      </w:r>
    </w:p>
    <w:p/>
    <w:p>
      <w:r>
        <mc:AlternateContent>
          <mc:Choice Requires="wps">
            <w:drawing>
              <wp:anchor distT="0" distB="0" distL="114300" distR="114300" simplePos="0" relativeHeight="1684707328" behindDoc="0" locked="0" layoutInCell="1" allowOverlap="1">
                <wp:simplePos x="0" y="0"/>
                <wp:positionH relativeFrom="column">
                  <wp:posOffset>4455795</wp:posOffset>
                </wp:positionH>
                <wp:positionV relativeFrom="paragraph">
                  <wp:posOffset>-59055</wp:posOffset>
                </wp:positionV>
                <wp:extent cx="8255" cy="584200"/>
                <wp:effectExtent l="9525" t="0" r="12700" b="10160"/>
                <wp:wrapNone/>
                <wp:docPr id="128" name="AutoShape 130"/>
                <wp:cNvGraphicFramePr/>
                <a:graphic xmlns:a="http://schemas.openxmlformats.org/drawingml/2006/main">
                  <a:graphicData uri="http://schemas.microsoft.com/office/word/2010/wordprocessingShape">
                    <wps:wsp>
                      <wps:cNvCnPr>
                        <a:endCxn id="125" idx="2"/>
                      </wps:cNvCnPr>
                      <wps:spPr>
                        <a:xfrm flipH="1" flipV="1">
                          <a:off x="0" y="0"/>
                          <a:ext cx="8255" cy="58420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x y;margin-left:350.85pt;margin-top:-4.65pt;height:46pt;width:0.65pt;z-index:1684707328;mso-width-relative:page;mso-height-relative:page;" filled="f" stroked="t" coordsize="21600,21600" o:gfxdata="UEsDBAoAAAAAAIdO4kAAAAAAAAAAAAAAAAAEAAAAZHJzL1BLAwQUAAAACACHTuJAVrZGfNkAAAAJ&#10;AQAADwAAAGRycy9kb3ducmV2LnhtbE2PMU/DMBCFdyT+g3WVWFBrp0UkTeN0QKIjUlsGRjc+krTx&#10;OYrdpPDrOSYYT/fpve8V25vrxIhDaD1pSBYKBFLlbUu1hvfj6zwDEaIhazpPqOELA2zL+7vC5NZP&#10;tMfxEGvBIRRyo6GJsc+lDFWDzoSF75H49+kHZyKfQy3tYCYOd51cKvUsnWmJGxrT40uD1eVwdRre&#10;QvMxPma787QfL/23dO78tN5p/TBL1AZExFv8g+FXn9WhZKeTv5INotOQqiRlVMN8vQLBQKpWPO6k&#10;IVumIMtC/l9Q/gBQSwMEFAAAAAgAh07iQMWjMyHnAQAA5AMAAA4AAABkcnMvZTJvRG9jLnhtbK1T&#10;TY8TMQy9I/EfotzptIWiMup0hVoWDggqwXJ38zETKV+Ks5323+OkpWXhskLMIXLG9vOzn7O6OzrL&#10;DiqhCb7js8mUM+VFkMb3HX/4fv9qyRlm8BJs8KrjJ4X8bv3yxWqMrZqHIVipEiMQj+0YOz7kHNum&#10;QTEoBzgJUXly6pAcZLqmvpEJRkJ3tplPp2+bMSQZUxAKkf5uz06+rvhaK5G/ao0qM9tx4pbrmeq5&#10;L2ezXkHbJ4iDERca8A8sHBhPRa9QW8jAHpP5C8oZkQIGnSciuCZobYSqPVA3s+kf3XwbIKraCw0H&#10;43VM+P9gxZfDLjEjSbs5SeXBkUjvH3OotdnsdR3RGLGlyI3fpdKk8nJz9JesBSfj2PF5mWXzJLJc&#10;MJ5zjjo5pq2Jn6gUr9aPYhU8GgMjBNLndNVEHTMT9HM5X1AFQY7F8g0pXqtAW+BKakyYP6rgWDE6&#10;jjmB6Ye8Cd6T9iGdC8DhM+ZC75ZQkq1nI3F4N11QaQG0ftpCJtNFGgj6vrLDYI28N9aWFEz9fmMT&#10;O0BZqPpdGD0JK2y2gMM5rrrOqzYokB+8ZPkUadCe3gQvHJySnFlFT6hYdSkzGPucSOrJ+kJN1XW/&#10;NHobfbH2QZ526Zc+tEp1FJe1L7v6+72qeHuc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tkZ8&#10;2QAAAAkBAAAPAAAAAAAAAAEAIAAAACIAAABkcnMvZG93bnJldi54bWxQSwECFAAUAAAACACHTuJA&#10;xaMzIecBAADkAwAADgAAAAAAAAABACAAAAAoAQAAZHJzL2Uyb0RvYy54bWxQSwUGAAAAAAYABgBZ&#10;AQAAgQUAAAAA&#10;">
                <v:fill on="f" focussize="0,0"/>
                <v:stroke weight="1.5pt" color="#000000" joinstyle="round"/>
                <v:imagedata o:title=""/>
                <o:lock v:ext="edit" aspectratio="f"/>
              </v:shape>
            </w:pict>
          </mc:Fallback>
        </mc:AlternateContent>
      </w:r>
    </w:p>
    <w:p/>
    <w:p>
      <w:r>
        <mc:AlternateContent>
          <mc:Choice Requires="wps">
            <w:drawing>
              <wp:anchor distT="0" distB="0" distL="114300" distR="114300" simplePos="0" relativeHeight="1746190336" behindDoc="0" locked="0" layoutInCell="1" allowOverlap="1">
                <wp:simplePos x="0" y="0"/>
                <wp:positionH relativeFrom="column">
                  <wp:posOffset>6395720</wp:posOffset>
                </wp:positionH>
                <wp:positionV relativeFrom="paragraph">
                  <wp:posOffset>141605</wp:posOffset>
                </wp:positionV>
                <wp:extent cx="0" cy="198120"/>
                <wp:effectExtent l="9525" t="0" r="20955" b="0"/>
                <wp:wrapNone/>
                <wp:docPr id="129" name="AutoShape 130"/>
                <wp:cNvGraphicFramePr/>
                <a:graphic xmlns:a="http://schemas.openxmlformats.org/drawingml/2006/main">
                  <a:graphicData uri="http://schemas.microsoft.com/office/word/2010/wordprocessingShape">
                    <wps:wsp>
                      <wps:cNvCnPr/>
                      <wps:spPr>
                        <a:xfrm flipV="1">
                          <a:off x="0" y="0"/>
                          <a:ext cx="0" cy="19812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503.6pt;margin-top:11.15pt;height:15.6pt;width:0pt;z-index:1746190336;mso-width-relative:page;mso-height-relative:page;" filled="f" stroked="t" coordsize="21600,21600" o:gfxdata="UEsDBAoAAAAAAIdO4kAAAAAAAAAAAAAAAAAEAAAAZHJzL1BLAwQUAAAACACHTuJAg+30FtgAAAAL&#10;AQAADwAAAGRycy9kb3ducmV2LnhtbE2PPW/CMBCGdyT+g3VI3YpNIqBK4zAUMVRiKNCho4mPJMI+&#10;B9t8tL++Rh3K+N49eu+5cnGzhl3Qh86RhMlYAEOqne6okfC5Wz2/AAtRkVbGEUr4xgCLajgoVaHd&#10;lTZ42caGpRIKhZLQxtgXnIe6RavC2PVIaXdw3qqYom+49uqayq3hmRAzblVH6UKrenxrsT5uz1aC&#10;CKfNeu3mp69Z/m4+bLdcLf2PlE+jiXgFFvEW/2G46yd1qJLT3p1JB2ZSFmKeJVZCluXA7sTfZC9h&#10;mk+BVyV//KH6BVBLAwQUAAAACACHTuJAnyXu19ABAACuAwAADgAAAGRycy9lMm9Eb2MueG1srVNN&#10;jxMxDL0j8R+i3Ol0ikC7o05XqGW5IKjEwt3Nx0ykfCnOdtp/j5MpZYELWu0cIjuxn+3nN+u7k7Ps&#10;qBKa4HveLpacKS+CNH7o+feH+zc3nGEGL8EGr3p+VsjvNq9frafYqVUYg5UqMQLx2E2x52POsWsa&#10;FKNygIsQladHHZKDTG4aGplgInRnm9Vy+b6ZQpIxBaEQ6XY3P/JNxddaifxVa1SZ2Z5Tb7meqZ6H&#10;cjabNXRDgjgacWkDntGFA+Op6BVqBxnYYzL/QDkjUsCg80IE1wStjVB1BpqmXf41zbcRoqqzEDkY&#10;rzThy8GKL8d9YkbS7la3nHlwtKQPjznU2qx9WymaInYUufX7RIQVD+M+lXlPOjmmrYk/CKEyQDOx&#10;UyX4fCVYnTIT86Wg2/b2pl1V4GZGKEgxYf6kgmPF6DnmBGYY8zZ4T1sMaUaH42fM1AMl/kooydaz&#10;qeAu39GSBZCQtIVMpos0GvqhtobBGnlvrC0pmIbD1iZ2hCKN+hU1EPAfYaXKDnCc4+rTLJpRgfzo&#10;JcvnSJR5UjcvPTglObOKfoZiVXllMPZ/Iqm09aU1VYV7GfQ328U6BHmuS2iKR6KoHV8EXFT31Cf7&#10;6W+2+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7fQW2AAAAAsBAAAPAAAAAAAAAAEAIAAAACIA&#10;AABkcnMvZG93bnJldi54bWxQSwECFAAUAAAACACHTuJAnyXu19ABAACuAwAADgAAAAAAAAABACAA&#10;AAAnAQAAZHJzL2Uyb0RvYy54bWxQSwUGAAAAAAYABgBZAQAAaQU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776931840" behindDoc="0" locked="0" layoutInCell="1" allowOverlap="1">
                <wp:simplePos x="0" y="0"/>
                <wp:positionH relativeFrom="column">
                  <wp:posOffset>3017520</wp:posOffset>
                </wp:positionH>
                <wp:positionV relativeFrom="paragraph">
                  <wp:posOffset>141605</wp:posOffset>
                </wp:positionV>
                <wp:extent cx="2540" cy="250825"/>
                <wp:effectExtent l="9525" t="0" r="18415" b="8255"/>
                <wp:wrapNone/>
                <wp:docPr id="130" name="AutoShape 130"/>
                <wp:cNvGraphicFramePr/>
                <a:graphic xmlns:a="http://schemas.openxmlformats.org/drawingml/2006/main">
                  <a:graphicData uri="http://schemas.microsoft.com/office/word/2010/wordprocessingShape">
                    <wps:wsp>
                      <wps:cNvCnPr/>
                      <wps:spPr>
                        <a:xfrm flipV="1">
                          <a:off x="0" y="0"/>
                          <a:ext cx="2540" cy="250825"/>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y;margin-left:237.6pt;margin-top:11.15pt;height:19.75pt;width:0.2pt;z-index:1776931840;mso-width-relative:page;mso-height-relative:page;" filled="f" stroked="t" coordsize="21600,21600" o:gfxdata="UEsDBAoAAAAAAIdO4kAAAAAAAAAAAAAAAAAEAAAAZHJzL1BLAwQUAAAACACHTuJAasy3ItkAAAAJ&#10;AQAADwAAAGRycy9kb3ducmV2LnhtbE2PPU/DMBCGdyT+g3VIbNROCmmVxulA1QGpAy0MjG58TSLi&#10;c2q7H/DrOSYY7+7Re89bLa9uEGcMsfekIZsoEEiNtz21Gt7f1g9zEDEZsmbwhBq+MMKyvr2pTGn9&#10;hbZ43qVWcAjF0mjoUhpLKWPToTNx4kckvh18cCbxGFppg7lwuBtkrlQhnemJP3RmxOcOm8/dyWlQ&#10;8bjdbPzs+FFMX4ZX16/Wq/Ct9f1dphYgEl7THwy/+qwONTvt/YlsFIOGx9lTzqiGPJ+CYIAXBYi9&#10;hiKbg6wr+b9B/QNQSwMEFAAAAAgAh07iQK4Tl63SAQAAsQMAAA4AAABkcnMvZTJvRG9jLnhtbK1T&#10;TY8TMQy9I/EfotzpzBaKllGnK9SyXBBUWti7m4+ZSPlSnO20/x4nU6oFLmjFHCI7tp/9Xjzru5Oz&#10;7KgSmuB7frNoOVNeBGn80PMf3+/f3HKGGbwEG7zq+Vkhv9u8frWeYqeWYQxWqsQIxGM3xZ6POceu&#10;aVCMygEuQlSegjokB5ncNDQywUTozjbLtn3fTCHJmIJQiHS7m4N8U/G1ViJ/0xpVZrbnNFuuZ6rn&#10;oZzNZg3dkCCORlzGgBdM4cB4anqF2kEG9pTMX1DOiBQw6LwQwTVBayNU5UBsbto/2DyMEFXlQuJg&#10;vMqE/w9WfD3uEzOS3u4t6ePB0SN9fMqh9mblkiSaInaUufX7dPEw7lPhe9LJMW1NfCSEqgBxYqcq&#10;8PkqsDplJuhyuXpHTQQFlqv2drkq2M0MUsBiwvxZBceK0XPMCcww5m3wnh4ypLkBHL9gngt/FZRi&#10;69lEM3xoV6UF0C5pC5lMF4kd+qFOh8EaeW+sLSWYhsPWJnaEsh31u0z0W1rpsgMc57waKmnQjQrk&#10;Jy9ZPkdSzdOC8zKDU5Izq+h/KFbNzGDsv2SSGNYXaFV390K0yD8LXqxDkOf6Dk3xaC+qhpcdLov3&#10;3Cf7+Z+2+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zLci2QAAAAkBAAAPAAAAAAAAAAEAIAAA&#10;ACIAAABkcnMvZG93bnJldi54bWxQSwECFAAUAAAACACHTuJArhOXrdIBAACxAwAADgAAAAAAAAAB&#10;ACAAAAAoAQAAZHJzL2Uyb0RvYy54bWxQSwUGAAAAAAYABgBZAQAAbAU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715448832" behindDoc="0" locked="0" layoutInCell="1" allowOverlap="1">
                <wp:simplePos x="0" y="0"/>
                <wp:positionH relativeFrom="column">
                  <wp:posOffset>4457065</wp:posOffset>
                </wp:positionH>
                <wp:positionV relativeFrom="paragraph">
                  <wp:posOffset>123825</wp:posOffset>
                </wp:positionV>
                <wp:extent cx="3175" cy="289560"/>
                <wp:effectExtent l="0" t="0" r="0" b="0"/>
                <wp:wrapNone/>
                <wp:docPr id="131" name="AutoShape 130"/>
                <wp:cNvGraphicFramePr/>
                <a:graphic xmlns:a="http://schemas.openxmlformats.org/drawingml/2006/main">
                  <a:graphicData uri="http://schemas.microsoft.com/office/word/2010/wordprocessingShape">
                    <wps:wsp>
                      <wps:cNvCnPr/>
                      <wps:spPr>
                        <a:xfrm flipH="1" flipV="1">
                          <a:off x="0" y="0"/>
                          <a:ext cx="3175" cy="28956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30" o:spid="_x0000_s1026" o:spt="32" type="#_x0000_t32" style="position:absolute;left:0pt;flip:x y;margin-left:350.95pt;margin-top:9.75pt;height:22.8pt;width:0.25pt;z-index:1715448832;mso-width-relative:page;mso-height-relative:page;" filled="f" stroked="t" coordsize="21600,21600" o:gfxdata="UEsDBAoAAAAAAIdO4kAAAAAAAAAAAAAAAAAEAAAAZHJzL1BLAwQUAAAACACHTuJAb9aGVdgAAAAJ&#10;AQAADwAAAGRycy9kb3ducmV2LnhtbE2Py07DMBBF90j8gzVIbBC1U/WVEKcLJLpEamHB0o2HOG08&#10;jmI3KXw9wwqWo3t075lye/WdGHGIbSAN2UyBQKqDbanR8P728rgBEZMha7pAqOELI2yr25vSFDZM&#10;tMfxkBrBJRQLo8Gl1BdSxtqhN3EWeiTOPsPgTeJzaKQdzMTlvpNzpVbSm5Z4wZkenx3W58PFa3iN&#10;7mN82OxO034899/S+9Mi32l9f5epJxAJr+kPhl99VoeKnY7hQjaKTsNaZTmjHORLEAys1XwB4qhh&#10;tcxAVqX8/0H1A1BLAwQUAAAACACHTuJAOCmU8dsBAAC7AwAADgAAAGRycy9lMm9Eb2MueG1srVNL&#10;jxMxDL4j8R+i3On0oS67o05XqGXhgKASLHc3j5lIeSnOdtp/j5OWssBlhZhDZI/jz5/tL6v7o7Ps&#10;oBKa4Ds+m0w5U14EaXzf8cdvD29uOcMMXoINXnX8pJDfr1+/Wo2xVfMwBCtVYgTisR1jx4ecY9s0&#10;KAblACchKk9BHZKDTG7qG5lgJHRnm/l0etOMIcmYglCI9Hd7DvJ1xddaifxFa1SZ2Y4Tt1zPVM99&#10;OZv1Cto+QRyMuNCAf2DhwHgqeoXaQgb2lMxfUM6IFDDoPBHBNUFrI1TtgbqZTf/o5usAUdVeaDgY&#10;r2PC/wcrPh92iRlJu1vMOPPgaEnvnnKotdlsUUc0Rmzp5sbvEg2seBh3qfR71MkxbU38SAi8Wt+L&#10;VWLUHTvWUZ+uo1bHzAT9XMzeLjkTFJjf3i1vapXmDFdSY8L8QQXHitFxzAlMP+RN8J5WGtK5ABw+&#10;YSZClPgzoSRbz0bicDdd0sYFkKq0hUymi9Qn+r6yw2CNfDDWlhRM/X5jEztA0Un9ijQI+LdrpcoW&#10;cDjfq6GzggYF8r2XLJ8izc+T1Hnh4JTkzCp6GcWqWstg7EtuUmnrCzVVVXxp9Nfoi7UP8lQ30hSP&#10;FFIZX9RcJPjcJ/v5m1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WhlXYAAAACQEAAA8AAAAA&#10;AAAAAQAgAAAAIgAAAGRycy9kb3ducmV2LnhtbFBLAQIUABQAAAAIAIdO4kA4KZTx2wEAALsDAAAO&#10;AAAAAAAAAAEAIAAAACcBAABkcnMvZTJvRG9jLnhtbFBLBQYAAAAABgAGAFkBAAB0BQ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1660943360" behindDoc="0" locked="0" layoutInCell="1" allowOverlap="1">
                <wp:simplePos x="0" y="0"/>
                <wp:positionH relativeFrom="column">
                  <wp:posOffset>2992755</wp:posOffset>
                </wp:positionH>
                <wp:positionV relativeFrom="paragraph">
                  <wp:posOffset>133985</wp:posOffset>
                </wp:positionV>
                <wp:extent cx="3397885" cy="0"/>
                <wp:effectExtent l="0" t="9525" r="635" b="13335"/>
                <wp:wrapNone/>
                <wp:docPr id="132" name="AutoShape 129"/>
                <wp:cNvGraphicFramePr/>
                <a:graphic xmlns:a="http://schemas.openxmlformats.org/drawingml/2006/main">
                  <a:graphicData uri="http://schemas.microsoft.com/office/word/2010/wordprocessingShape">
                    <wps:wsp>
                      <wps:cNvCnPr/>
                      <wps:spPr>
                        <a:xfrm>
                          <a:off x="0" y="0"/>
                          <a:ext cx="3397885"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AutoShape 129" o:spid="_x0000_s1026" o:spt="32" type="#_x0000_t32" style="position:absolute;left:0pt;margin-left:235.65pt;margin-top:10.55pt;height:0pt;width:267.55pt;z-index:1660943360;mso-width-relative:page;mso-height-relative:page;" filled="f" stroked="t" coordsize="21600,21600" o:gfxdata="UEsDBAoAAAAAAIdO4kAAAAAAAAAAAAAAAAAEAAAAZHJzL1BLAwQUAAAACACHTuJAgvRnl9QAAAAK&#10;AQAADwAAAGRycy9kb3ducmV2LnhtbE2PwU7DMAyG70i8Q2QkLoilGdOoStMdkDhxoGw8gNuYtqJx&#10;qiZdw9uTiQMcbX/6/8/lIdpRnGn2g2MNapOBIG6dGbjT8HF6uc9B+IBscHRMGr7Jw6G6viqxMG7l&#10;dzofQydSCPsCNfQhTIWUvu3Jot+4iTjdPt1sMaRx7qSZcU3hdpTbLNtLiwOnhh4neu6p/TouVkN8&#10;23OIdR6blZdXn9/VEW2t9e2Nyp5ABIrhD4aLflKHKjk1bmHjxahh96geEqphqxSIC5DqdiCa342s&#10;Svn/heoHUEsDBBQAAAAIAIdO4kB+BubyzAEAAKUDAAAOAAAAZHJzL2Uyb0RvYy54bWytU8mOEzEQ&#10;vSPxD5bvpLNoIGmlM0IJwwVBJOADKl66LXmTy5NO/p6yk8kMcEFo+uCucq3vVXl9f3KWHVVCE3zH&#10;Z5MpZ8qLII3vO/7zx8O7JWeYwUuwwauOnxXy+83bN+sxtmoehmClSoySeGzH2PEh59g2DYpBOcBJ&#10;iMqTUYfkIJOa+kYmGCm7s818On3fjCHJmIJQiHS7uxj5pubXWon8TWtUmdmOU2+5nqmeh3I2mzW0&#10;fYI4GHFtA/6jCwfGU9Fbqh1kYI/J/JXKGZECBp0nIrgmaG2EqhgIzWz6B5rvA0RVsRA5GG804eul&#10;FV+P+8SMpNkt5px5cDSkj4851NpsNl8VisaILXlu/T5dNYz7VPCedHLlT0jYqdJ6vtGqTpkJulws&#10;Vh+WyzvOxJOteQ6MCfNnFRwrQscxJzD9kLfBexpeSLNKKxy/YKbSFPgUUKpaz0bqfDW9o9kKoP3R&#10;FjKJLhIi9H0NxmCNfDDWlhBM/WFrEztC2Yj6FYSU+De3UmUHOFz8qumyK4MC+clLls+RmPK01Lz0&#10;4JTkzCp6A0WihNBmMPZfPKm09SVA1X29Ai2UX0gu0iHIc+W+KRrtQu34urdl2V7qJL98XZ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vRnl9QAAAAKAQAADwAAAAAAAAABACAAAAAiAAAAZHJzL2Rv&#10;d25yZXYueG1sUEsBAhQAFAAAAAgAh07iQH4G5vLMAQAApQMAAA4AAAAAAAAAAQAgAAAAIwEAAGRy&#10;cy9lMm9Eb2MueG1sUEsFBgAAAAAGAAYAWQEAAGEFAAAAAA==&#10;">
                <v:fill on="f" focussize="0,0"/>
                <v:stroke weight="1.5pt" color="#000000" joinstyle="round"/>
                <v:imagedata o:title=""/>
                <o:lock v:ext="edit" aspectratio="f"/>
              </v:shape>
            </w:pict>
          </mc:Fallback>
        </mc:AlternateContent>
      </w:r>
    </w:p>
    <w:p>
      <w:pPr>
        <w:rPr>
          <w:b/>
          <w:sz w:val="13"/>
          <w:szCs w:val="13"/>
        </w:rPr>
      </w:pPr>
      <w:r>
        <w:rPr>
          <w:sz w:val="24"/>
          <w:szCs w:val="24"/>
        </w:rPr>
        <mc:AlternateContent>
          <mc:Choice Requires="wps">
            <w:drawing>
              <wp:anchor distT="0" distB="0" distL="114300" distR="114300" simplePos="0" relativeHeight="1656802304" behindDoc="0" locked="0" layoutInCell="1" allowOverlap="1">
                <wp:simplePos x="0" y="0"/>
                <wp:positionH relativeFrom="column">
                  <wp:posOffset>5517515</wp:posOffset>
                </wp:positionH>
                <wp:positionV relativeFrom="paragraph">
                  <wp:posOffset>198120</wp:posOffset>
                </wp:positionV>
                <wp:extent cx="1105535" cy="325120"/>
                <wp:effectExtent l="4445" t="4445" r="17780" b="5715"/>
                <wp:wrapNone/>
                <wp:docPr id="133" name="AutoShape 142"/>
                <wp:cNvGraphicFramePr/>
                <a:graphic xmlns:a="http://schemas.openxmlformats.org/drawingml/2006/main">
                  <a:graphicData uri="http://schemas.microsoft.com/office/word/2010/wordprocessingShape">
                    <wps:wsp>
                      <wps:cNvSpPr/>
                      <wps:spPr>
                        <a:xfrm>
                          <a:off x="0" y="0"/>
                          <a:ext cx="1105535" cy="32512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高坪站</w:t>
                            </w: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434.45pt;margin-top:15.6pt;height:25.6pt;width:87.05pt;z-index:1656802304;mso-width-relative:page;mso-height-relative:page;" fillcolor="#CCFFFF" filled="t" stroked="t" coordsize="21600,21600" o:gfxdata="UEsDBAoAAAAAAIdO4kAAAAAAAAAAAAAAAAAEAAAAZHJzL1BLAwQUAAAACACHTuJAjUN0stcAAAAK&#10;AQAADwAAAGRycy9kb3ducmV2LnhtbE2PMU/DMBCFdyT+g3WV2KidtKrSEKcDUiUGBihUrE58JFHj&#10;c2Q7bfn3XCcYT+/pu+9Vu6sbxRlDHDxpyJYKBFLr7UCdhs+P/WMBIiZD1oyeUMMPRtjV93eVKa2/&#10;0DueD6kTDKFYGg19SlMpZWx7dCYu/YTE2bcPziQ+QydtMBeGu1HmSm2kMwPxh95M+NxjezrMjinz&#10;/Ca3x9dmRvMi922gYyG/tH5YZOoJRMJr+ivDTZ/VoWanxs9koxg1FJtiy1UNqywHcSuo9YrXNRzl&#10;a5B1Jf9PqH8BUEsDBBQAAAAIAIdO4kAD3YUu7QEAAPwDAAAOAAAAZHJzL2Uyb0RvYy54bWytU8uu&#10;EzEM3SPxD1H2dB6lCEadXqGWskFwpQsf4OYxEykvJWln+vc4aSm9wAIhZpGxE/vYPrbXD7PR5CRC&#10;VM72tFnUlAjLHFd26Om3r/tXbymJCSwH7azo6VlE+rB5+WI9+U60bnSai0AQxMZu8j0dU/JdVUU2&#10;CgNx4byw+ChdMJBQDUPFA0yIbnTV1vWbanKB++CYiBFvd5dHuin4UgqWvkgZRSK6p5hbKmco5yGf&#10;1WYN3RDAj4pd04B/yMKAshj0BrWDBOQY1G9QRrHgopNpwZypnJSKiVIDVtPUv1TzNIIXpRYkJ/ob&#10;TfH/wbLPp8dAFMfeLZeUWDDYpPfH5Eps0rxuM0WTjx1aPvnHcNUiirneWQaT/1gJmQut5xutYk6E&#10;4WXT1KvVckUJw7dlu2rawnv109uHmD4KZ0gWeiq1m7YjhPR4aWxhFk6fYsLo6PbDPAeOTiu+V1oX&#10;JQyHrQ7kBNju7XaPX04fXZ6ZaUumnr5btTknwKmTGhKKxiMP0Q4l3jOPeA9cl+9PwDmxHcTxkkBB&#10;yGbQGZVEpg66UQD/YDlJZ49MW1wKmpMxglOiBe5QloplAqX/xhKr0zZDizLvV5Zyyy5NylKaDzOC&#10;ZvHg+BlbfvRBDSOS3ZRC8guOWOHqug55hu91lO+Xdv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UN0stcAAAAKAQAADwAAAAAAAAABACAAAAAiAAAAZHJzL2Rvd25yZXYueG1sUEsBAhQAFAAAAAgA&#10;h07iQAPdhS7tAQAA/AMAAA4AAAAAAAAAAQAgAAAAJgEAAGRycy9lMm9Eb2MueG1sUEsFBgAAAAAG&#10;AAYAWQEAAIUFA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高坪站</w:t>
                      </w:r>
                    </w:p>
                    <w:p>
                      <w:pPr>
                        <w:jc w:val="center"/>
                        <w:rPr>
                          <w:sz w:val="20"/>
                          <w:szCs w:val="18"/>
                        </w:rPr>
                      </w:pPr>
                    </w:p>
                  </w:txbxContent>
                </v:textbox>
              </v:shape>
            </w:pict>
          </mc:Fallback>
        </mc:AlternateContent>
      </w:r>
      <w:r>
        <w:rPr>
          <w:sz w:val="24"/>
          <w:szCs w:val="24"/>
        </w:rPr>
        <mc:AlternateContent>
          <mc:Choice Requires="wps">
            <w:drawing>
              <wp:anchor distT="0" distB="0" distL="114300" distR="114300" simplePos="0" relativeHeight="1656501248" behindDoc="0" locked="0" layoutInCell="1" allowOverlap="1">
                <wp:simplePos x="0" y="0"/>
                <wp:positionH relativeFrom="column">
                  <wp:posOffset>3974465</wp:posOffset>
                </wp:positionH>
                <wp:positionV relativeFrom="paragraph">
                  <wp:posOffset>198755</wp:posOffset>
                </wp:positionV>
                <wp:extent cx="1191260" cy="325120"/>
                <wp:effectExtent l="4445" t="4445" r="8255" b="5715"/>
                <wp:wrapNone/>
                <wp:docPr id="134" name="AutoShape 142"/>
                <wp:cNvGraphicFramePr/>
                <a:graphic xmlns:a="http://schemas.openxmlformats.org/drawingml/2006/main">
                  <a:graphicData uri="http://schemas.microsoft.com/office/word/2010/wordprocessingShape">
                    <wps:wsp>
                      <wps:cNvSpPr/>
                      <wps:spPr>
                        <a:xfrm>
                          <a:off x="0" y="0"/>
                          <a:ext cx="1191260" cy="325120"/>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储配二站</w:t>
                            </w:r>
                          </w:p>
                          <w:p>
                            <w:pPr>
                              <w:jc w:val="center"/>
                              <w:rPr>
                                <w:sz w:val="20"/>
                                <w:szCs w:val="18"/>
                              </w:rPr>
                            </w:pP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312.95pt;margin-top:15.65pt;height:25.6pt;width:93.8pt;z-index:1656501248;mso-width-relative:page;mso-height-relative:page;" fillcolor="#CCFFFF" filled="t" stroked="t" coordsize="21600,21600" o:gfxdata="UEsDBAoAAAAAAIdO4kAAAAAAAAAAAAAAAAAEAAAAZHJzL1BLAwQUAAAACACHTuJAcy5wCdcAAAAJ&#10;AQAADwAAAGRycy9kb3ducmV2LnhtbE2Py07DMBBF90j8gzVI7KjzUKo0xOkCqRILFqW0YuvEQxIR&#10;j6PY7uPvGVawm9FcnTm33l7tJM64+NGRgnSVgEDqnBmpV3D82D2VIHzQZPTkCBXc0MO2ub+rdWXc&#10;hd7xfAi9YAj5SisYQpgrKX03oNV+5WYkvn25xerA69JLs+gLw+0ksyRZS6tH4g+DnvFlwO77EC1T&#10;YtzLzemtjahf5a5b6FTKT6UeH9LkGUTAa/gLw68+q0PDTq2LZLyYFKyzYsNRBXmag+BAmeYFiJaH&#10;rADZ1PJ/g+YHUEsDBBQAAAAIAIdO4kD4/ldR7wEAAPwDAAAOAAAAZHJzL2Uyb0RvYy54bWytU82O&#10;EzEMviPxDlHudDqz2xU76nSFWsoFQaWFB3DzMxMpf0rSzvTtcdLS7QIHhJhDxk7sz/Zne/k0GU2O&#10;IkTlbEfr2ZwSYZnjyvYd/f5t++49JTGB5aCdFR09iUifVm/fLEffisYNTnMRCILY2I6+o0NKvq2q&#10;yAZhIM6cFxYfpQsGEqqhr3iAEdGNrpr5/KEaXeA+OCZixNvN+ZGuCr6UgqWvUkaRiO4o5pbKGcq5&#10;z2e1WkLbB/CDYpc04B+yMKAsBr1CbSABOQT1G5RRLLjoZJoxZyonpWKi1IDV1PNfqnkewItSC5IT&#10;/ZWm+P9g2ZfjLhDFsXd395RYMNikD4fkSmxS3zeZotHHFi2f/S5ctIhirneSweQ/VkKmQuvpSquY&#10;EmF4WdePdfOA7DN8u2sWdVN4r168fYjpk3CGZKGjUrtxPUBIu3NjC7Nw/BwTRke3n+Y5cHRa8a3S&#10;uiih3691IEfAdq/XW/xy+ujyykxbMnb0cdEsMCfAqZMaEorGIw/R9iXeK494Czwv35+Ac2IbiMM5&#10;gYKQzaA1KolMHbSDAP7RcpJOHpm2uBQ0J2MEp0QL3KEsFcsESv+NJVanbYYWZd4vLOWWnZuUpTTt&#10;JwTN4t7xE7b84IPqByS7LoXkFxyxwtVlHfIM3+oo3y7t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LnAJ1wAAAAkBAAAPAAAAAAAAAAEAIAAAACIAAABkcnMvZG93bnJldi54bWxQSwECFAAUAAAA&#10;CACHTuJA+P5XUe8BAAD8AwAADgAAAAAAAAABACAAAAAmAQAAZHJzL2Uyb0RvYy54bWxQSwUGAAAA&#10;AAYABgBZAQAAhwU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储配二站</w:t>
                      </w:r>
                    </w:p>
                    <w:p>
                      <w:pPr>
                        <w:jc w:val="center"/>
                        <w:rPr>
                          <w:sz w:val="20"/>
                          <w:szCs w:val="18"/>
                        </w:rPr>
                      </w:pPr>
                    </w:p>
                    <w:p>
                      <w:pPr>
                        <w:jc w:val="center"/>
                        <w:rPr>
                          <w:sz w:val="20"/>
                          <w:szCs w:val="18"/>
                        </w:rPr>
                      </w:pPr>
                    </w:p>
                  </w:txbxContent>
                </v:textbox>
              </v:shape>
            </w:pict>
          </mc:Fallback>
        </mc:AlternateContent>
      </w:r>
    </w:p>
    <w:p>
      <w:pPr>
        <w:jc w:val="center"/>
        <w:rPr>
          <w:rFonts w:hint="eastAsia"/>
          <w:sz w:val="32"/>
          <w:szCs w:val="32"/>
          <w:lang w:eastAsia="zh-CN"/>
        </w:rPr>
      </w:pPr>
      <w:r>
        <w:rPr>
          <w:sz w:val="24"/>
          <w:szCs w:val="24"/>
        </w:rPr>
        <mc:AlternateContent>
          <mc:Choice Requires="wps">
            <w:drawing>
              <wp:anchor distT="0" distB="0" distL="114300" distR="114300" simplePos="0" relativeHeight="1656200192" behindDoc="0" locked="0" layoutInCell="1" allowOverlap="1">
                <wp:simplePos x="0" y="0"/>
                <wp:positionH relativeFrom="column">
                  <wp:posOffset>2496185</wp:posOffset>
                </wp:positionH>
                <wp:positionV relativeFrom="paragraph">
                  <wp:posOffset>22225</wp:posOffset>
                </wp:positionV>
                <wp:extent cx="1163320" cy="316865"/>
                <wp:effectExtent l="4445" t="4445" r="5715" b="13970"/>
                <wp:wrapNone/>
                <wp:docPr id="135" name="AutoShape 142"/>
                <wp:cNvGraphicFramePr/>
                <a:graphic xmlns:a="http://schemas.openxmlformats.org/drawingml/2006/main">
                  <a:graphicData uri="http://schemas.microsoft.com/office/word/2010/wordprocessingShape">
                    <wps:wsp>
                      <wps:cNvSpPr/>
                      <wps:spPr>
                        <a:xfrm>
                          <a:off x="0" y="0"/>
                          <a:ext cx="1163320" cy="316865"/>
                        </a:xfrm>
                        <a:prstGeom prst="flowChartProcess">
                          <a:avLst/>
                        </a:prstGeom>
                        <a:solidFill>
                          <a:srgbClr val="CC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18"/>
                                <w:lang w:eastAsia="zh-CN"/>
                              </w:rPr>
                            </w:pPr>
                            <w:r>
                              <w:rPr>
                                <w:rFonts w:hint="eastAsia"/>
                                <w:sz w:val="20"/>
                                <w:szCs w:val="18"/>
                                <w:lang w:eastAsia="zh-CN"/>
                              </w:rPr>
                              <w:t>储配一站</w:t>
                            </w:r>
                          </w:p>
                          <w:p>
                            <w:pPr>
                              <w:jc w:val="center"/>
                              <w:rPr>
                                <w:sz w:val="20"/>
                                <w:szCs w:val="18"/>
                              </w:rPr>
                            </w:pPr>
                          </w:p>
                        </w:txbxContent>
                      </wps:txbx>
                      <wps:bodyPr upright="1"/>
                    </wps:wsp>
                  </a:graphicData>
                </a:graphic>
              </wp:anchor>
            </w:drawing>
          </mc:Choice>
          <mc:Fallback>
            <w:pict>
              <v:shape id="AutoShape 142" o:spid="_x0000_s1026" o:spt="109" type="#_x0000_t109" style="position:absolute;left:0pt;margin-left:196.55pt;margin-top:1.75pt;height:24.95pt;width:91.6pt;z-index:1656200192;mso-width-relative:page;mso-height-relative:page;" fillcolor="#CCFFFF" filled="t" stroked="t" coordsize="21600,21600" o:gfxdata="UEsDBAoAAAAAAIdO4kAAAAAAAAAAAAAAAAAEAAAAZHJzL1BLAwQUAAAACACHTuJAjvG1GtUAAAAI&#10;AQAADwAAAGRycy9kb3ducmV2LnhtbE2PwU7DMBBE70j8g7VI3OgmhJY2xOkBqRIHDlCouDrxkkTE&#10;6yi22/L3LCe4zWpGb2eq7dmN6khzGDxryBcZKOLW24E7De9vu5s1qBANWzN6Jg3fFGBbX15UprT+&#10;xK903MdOCYRDaTT0MU4lYmh7ciYs/EQs3qefnYlyzh3a2ZwE7ka8zbIVOjOwfOjNRI89tV/75ISS&#10;0gtuDs9NIvOEu3bmwxo/tL6+yrMHUJHO8S8Mv/WlOtTSqfGJbVCjhmJT5BIVsQQl/vJ+VYBqRBR3&#10;gHWF/wfUP1BLAwQUAAAACACHTuJAcCVxx+wBAAD8AwAADgAAAGRycy9lMm9Eb2MueG1srVPNjhMx&#10;DL4j8Q5R7nQ6La2WUacr1FIuCCotPICbn5lI+VOSdqZvj5OW0oU9rBBzyNix89n+bK8eR6PJSYSo&#10;nG1pPZlSIixzXNmupT++7949UBITWA7aWdHSs4j0cf32zWrwjZi53mkuAkEQG5vBt7RPyTdVFVkv&#10;DMSJ88KiUbpgIKEauooHGBDd6Go2nS6rwQXug2MiRrzdXox0XfClFCx9kzKKRHRLMbdUzlDOQz6r&#10;9QqaLoDvFbumAf+QhQFlMegNagsJyDGov6CMYsFFJ9OEOVM5KRUTpQaspp7+Uc1TD16UWpCc6G80&#10;xf8Hy76e9oEojr2bLyixYLBJH4/Jldikfj/LFA0+Nuj55PfhqkUUc72jDCb/sRIyFlrPN1rFmAjD&#10;y7pezuczZJ+hbV4vH5aLDFr9fu1DTJ+FMyQLLZXaDZseQtpfGluYhdOXmC7PfrnnwNFpxXdK66KE&#10;7rDRgZwA273Z7PC7Rnrmpi0ZWvphMcOKGeDUSQ0JReORh2i7Eu/Zi3gPPC3fS8A5sS3E/pJAQchu&#10;0BiVRChSL4B/spyks0emLS4FzckYwSnRAncoS8UzgdKv8UQetc1BRJn3K0u5ZZcmZSmNhxFBs3hw&#10;/IwtP/qguh7Jrksh2YIjVrpyXYc8w/c6yvdLu/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vG1&#10;GtUAAAAIAQAADwAAAAAAAAABACAAAAAiAAAAZHJzL2Rvd25yZXYueG1sUEsBAhQAFAAAAAgAh07i&#10;QHAlccfsAQAA/AMAAA4AAAAAAAAAAQAgAAAAJAEAAGRycy9lMm9Eb2MueG1sUEsFBgAAAAAGAAYA&#10;WQEAAIIFAAAAAA==&#10;">
                <v:fill on="t" focussize="0,0"/>
                <v:stroke color="#000000" joinstyle="miter"/>
                <v:imagedata o:title=""/>
                <o:lock v:ext="edit" aspectratio="f"/>
                <v:textbox>
                  <w:txbxContent>
                    <w:p>
                      <w:pPr>
                        <w:jc w:val="center"/>
                        <w:rPr>
                          <w:rFonts w:hint="eastAsia"/>
                          <w:sz w:val="20"/>
                          <w:szCs w:val="18"/>
                          <w:lang w:eastAsia="zh-CN"/>
                        </w:rPr>
                      </w:pPr>
                      <w:r>
                        <w:rPr>
                          <w:rFonts w:hint="eastAsia"/>
                          <w:sz w:val="20"/>
                          <w:szCs w:val="18"/>
                          <w:lang w:eastAsia="zh-CN"/>
                        </w:rPr>
                        <w:t>储配一站</w:t>
                      </w:r>
                    </w:p>
                    <w:p>
                      <w:pPr>
                        <w:jc w:val="center"/>
                        <w:rPr>
                          <w:sz w:val="20"/>
                          <w:szCs w:val="18"/>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eastAsia="方正仿宋简体"/>
          <w:color w:val="auto"/>
          <w:sz w:val="28"/>
          <w:szCs w:val="28"/>
          <w:highlight w:val="none"/>
        </w:rPr>
        <w:sectPr>
          <w:pgSz w:w="16838" w:h="11906" w:orient="landscape"/>
          <w:pgMar w:top="1440" w:right="1803" w:bottom="1440" w:left="1803" w:header="851" w:footer="992" w:gutter="0"/>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eastAsia="方正小标宋简体"/>
          <w:b w:val="0"/>
          <w:bCs w:val="0"/>
          <w:sz w:val="36"/>
          <w:szCs w:val="36"/>
          <w:lang w:eastAsia="zh-CN"/>
        </w:rPr>
      </w:pPr>
      <w:bookmarkStart w:id="1230" w:name="_Toc31659"/>
      <w:bookmarkStart w:id="1231" w:name="_Toc3320"/>
      <w:bookmarkStart w:id="1232" w:name="_Toc10524"/>
      <w:bookmarkStart w:id="1233" w:name="_Toc233"/>
      <w:bookmarkStart w:id="1234" w:name="_Toc12109"/>
      <w:bookmarkStart w:id="1235" w:name="_Toc20381"/>
      <w:bookmarkStart w:id="1236" w:name="_Toc10850"/>
      <w:bookmarkStart w:id="1237" w:name="_Toc508016717"/>
      <w:bookmarkStart w:id="1238" w:name="_Toc1069"/>
      <w:bookmarkStart w:id="1239" w:name="_Toc4560"/>
      <w:r>
        <w:rPr>
          <w:rFonts w:hint="eastAsia" w:ascii="方正小标宋简体" w:eastAsia="方正小标宋简体"/>
          <w:b w:val="0"/>
          <w:bCs w:val="0"/>
          <w:sz w:val="36"/>
          <w:szCs w:val="36"/>
        </w:rPr>
        <w:t>中油南充燃气有限责任公司投资建设项目管理</w:t>
      </w:r>
      <w:bookmarkEnd w:id="1230"/>
      <w:bookmarkEnd w:id="1231"/>
      <w:bookmarkEnd w:id="1232"/>
      <w:bookmarkEnd w:id="1233"/>
      <w:bookmarkEnd w:id="1234"/>
      <w:bookmarkEnd w:id="1235"/>
      <w:bookmarkEnd w:id="1236"/>
      <w:bookmarkEnd w:id="1237"/>
      <w:bookmarkEnd w:id="1238"/>
      <w:r>
        <w:rPr>
          <w:rFonts w:hint="eastAsia" w:ascii="方正小标宋简体" w:eastAsia="方正小标宋简体"/>
          <w:b w:val="0"/>
          <w:bCs w:val="0"/>
          <w:sz w:val="36"/>
          <w:szCs w:val="36"/>
          <w:lang w:eastAsia="zh-CN"/>
        </w:rPr>
        <w:t>制度</w:t>
      </w:r>
      <w:bookmarkEnd w:id="1239"/>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rPr>
      </w:pPr>
      <w:bookmarkStart w:id="1240" w:name="_Toc447704623"/>
      <w:bookmarkStart w:id="1241" w:name="_Toc508016718"/>
      <w:r>
        <w:rPr>
          <w:rFonts w:hint="eastAsia" w:ascii="方正黑体简体" w:hAnsi="方正黑体简体" w:eastAsia="方正黑体简体" w:cs="方正黑体简体"/>
          <w:b w:val="0"/>
          <w:bCs/>
          <w:sz w:val="30"/>
          <w:szCs w:val="30"/>
          <w:lang w:eastAsia="zh-CN"/>
        </w:rPr>
        <w:t>第一章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总  则</w:t>
      </w:r>
      <w:bookmarkEnd w:id="1240"/>
      <w:bookmarkEnd w:id="1241"/>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为了进一步加强中油南充燃气有限责任公司（以下简称公司）工程项目管理水平，实现对质量、安全、工期、投资和环保等各项建设指标的有效控制，按照《建设工程质量管理条例》（中华人民共和国国务院令第279号）、《建设工程安全生产管理条例》（中华人民共和国国务院令第393号）等相关法律法规和国家基本建设程序，结合公司实际情况，特制定本办法。</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本办法中的工程项目是指由公司投资的新（改、扩）建项目，包括天然气输送管道项目、输配气站场项目、信息化建设项目、建筑与装饰装修项目等。</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 xml:space="preserve">本办法适用于公司及各基层单位。 </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公司工程项目实行分级管理。所属单位的工程项目投资规模在300（含300）万元以上的为限上项目，规模在300万元以下的为限下项目。</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工程项目分为前期阶段、建设阶段和竣工阶段。项目立项、可行性研究报告到初步设计的批复为前期阶段；初步设计批复后至工程进行完工交接前为建设阶段；完工交接、投产试运行、考核、竣工验收和项目后评估为竣工阶段。</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公司生产技术部是公司工程项目建设的归口管理部门，归口管理公司工程项目的建设阶段工作和竣工阶段的完工交接、投产试运行工作，参与工程项目前期阶段和竣工阶段的其它管理工作。</w:t>
      </w:r>
      <w:bookmarkStart w:id="1242" w:name="_Toc352687834"/>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公司工程项目建设实行项目管理，推行项目经理负责制。执行项目经理、副经理和项目主要管理人员应持证上岗，具体实施工程建设、HSE和质量监督等目标管理。</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公司工程项目建设实行工程监理、第三方检测和第三方质量监督制度。投资规模在300（含300）万元以上的工程项目建设必须向西南油气田石油天然气川渝工程质量监督站申报质量监督。</w:t>
      </w:r>
    </w:p>
    <w:p>
      <w:pPr>
        <w:keepNext w:val="0"/>
        <w:keepLines w:val="0"/>
        <w:pageBreakBefore w:val="0"/>
        <w:widowControl w:val="0"/>
        <w:numPr>
          <w:ilvl w:val="0"/>
          <w:numId w:val="32"/>
        </w:numPr>
        <w:tabs>
          <w:tab w:val="left" w:pos="0"/>
          <w:tab w:val="left" w:pos="360"/>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工程项目建设按照实施步骤分为项目管理机构、施工图设计、招投标、物资供应、合同、总体部署、开工报告、施工、监理、质量、HSE、计划统计、投资控制、变更、完工交接、试运行、项目结算与竣工审计、档案资料及竣工验收及奖励考核等阶段，其中招投标、物资供应、合同、项目结算与竣工审计和档案资料及竣工验收等阶段的工作按照公司相关管理办法执行，其余部分按照本办法执行。</w:t>
      </w:r>
    </w:p>
    <w:p>
      <w:pPr>
        <w:tabs>
          <w:tab w:val="left" w:pos="0"/>
          <w:tab w:val="left" w:pos="360"/>
        </w:tabs>
        <w:spacing w:line="560" w:lineRule="exact"/>
        <w:jc w:val="left"/>
        <w:rPr>
          <w:rFonts w:ascii="方正仿宋简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lang w:eastAsia="zh-CN"/>
        </w:rPr>
      </w:pPr>
      <w:bookmarkStart w:id="1243" w:name="_Toc508016719"/>
      <w:bookmarkStart w:id="1244" w:name="_Toc447704624"/>
      <w:r>
        <w:rPr>
          <w:rFonts w:hint="eastAsia" w:ascii="方正黑体简体" w:hAnsi="方正黑体简体" w:eastAsia="方正黑体简体" w:cs="方正黑体简体"/>
          <w:b w:val="0"/>
          <w:bCs/>
          <w:sz w:val="30"/>
          <w:szCs w:val="30"/>
          <w:lang w:eastAsia="zh-CN"/>
        </w:rPr>
        <w:t>第二章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职  责</w:t>
      </w:r>
      <w:bookmarkEnd w:id="1243"/>
      <w:bookmarkEnd w:id="1244"/>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val="en-US" w:eastAsia="zh-CN"/>
        </w:rPr>
        <w:t>第十条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公司生产技术部主要职责</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（一）负责工程项目新工艺、新技术、新设备、新材料技术应用和推广。</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w:t>
      </w:r>
      <w:r>
        <w:rPr>
          <w:rFonts w:hint="eastAsia" w:ascii="方正仿宋简体" w:hAnsi="宋体" w:eastAsia="方正仿宋简体"/>
          <w:spacing w:val="-6"/>
          <w:sz w:val="28"/>
          <w:szCs w:val="28"/>
        </w:rPr>
        <w:t>负责审批限上项目的项目管理机构。</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36" w:firstLineChars="200"/>
        <w:jc w:val="both"/>
        <w:textAlignment w:val="auto"/>
        <w:outlineLvl w:val="9"/>
        <w:rPr>
          <w:rFonts w:ascii="方正仿宋简体" w:hAnsi="宋体" w:eastAsia="方正仿宋简体"/>
          <w:spacing w:val="-6"/>
          <w:sz w:val="28"/>
          <w:szCs w:val="28"/>
        </w:rPr>
      </w:pPr>
      <w:r>
        <w:rPr>
          <w:rFonts w:hint="eastAsia" w:ascii="方正仿宋简体" w:hAnsi="宋体" w:eastAsia="方正仿宋简体"/>
          <w:spacing w:val="-6"/>
          <w:sz w:val="28"/>
          <w:szCs w:val="28"/>
        </w:rPr>
        <w:t>（三）</w:t>
      </w:r>
      <w:r>
        <w:rPr>
          <w:rFonts w:hint="eastAsia" w:ascii="方正仿宋简体" w:hAnsi="宋体" w:eastAsia="方正仿宋简体"/>
          <w:sz w:val="28"/>
          <w:szCs w:val="28"/>
        </w:rPr>
        <w:t>负责施工图设计管理，组织限上项目施工图会审，对限下项目施工图会审情况进行监督检查。</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（四）负责组织项目管理机构向西南油气田石油天然气川渝工程质量监督站申报质量监督申请。</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（五）参与</w:t>
      </w:r>
      <w:r>
        <w:rPr>
          <w:rFonts w:hint="eastAsia" w:ascii="方正仿宋简体" w:hAnsi="宋体" w:eastAsia="方正仿宋简体"/>
          <w:spacing w:val="-6"/>
          <w:sz w:val="28"/>
          <w:szCs w:val="28"/>
        </w:rPr>
        <w:t>编制及上报</w:t>
      </w:r>
      <w:r>
        <w:rPr>
          <w:rFonts w:hint="eastAsia" w:ascii="方正仿宋简体" w:hAnsi="宋体" w:eastAsia="方正仿宋简体"/>
          <w:sz w:val="28"/>
          <w:szCs w:val="28"/>
        </w:rPr>
        <w:t>限上项目的开工报告和总体部署</w:t>
      </w:r>
      <w:r>
        <w:rPr>
          <w:rFonts w:hint="eastAsia" w:ascii="方正仿宋简体" w:hAnsi="宋体" w:eastAsia="方正仿宋简体"/>
          <w:spacing w:val="-6"/>
          <w:sz w:val="28"/>
          <w:szCs w:val="28"/>
        </w:rPr>
        <w:t>。</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pacing w:val="-6"/>
          <w:sz w:val="28"/>
          <w:szCs w:val="28"/>
        </w:rPr>
      </w:pPr>
      <w:r>
        <w:rPr>
          <w:rFonts w:hint="eastAsia" w:ascii="方正仿宋简体" w:hAnsi="宋体" w:eastAsia="方正仿宋简体"/>
          <w:sz w:val="28"/>
          <w:szCs w:val="28"/>
        </w:rPr>
        <w:t>（六）负责工程项目线路走向调整、施工方式改变、土石方比例调整、工作量调整等施工图设计内容的重大变更管理。</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（七）负责组织工程项目完工交接，督促项目管理机构落实整改完工交接过程中发现的问题。</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（八）负责组织项目投产试运方案审查、生产准备和现场指导。</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（九）负责项目停气碰口施工方案的审查和现场指导。</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（十）负责对建设单位、设计单位、施工单位、监理单位、检测单位和分包单位的考核。</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（十一）负责项目项目可行性研究报告、初步设计编制、审查。</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1、负责项目可行性研究，重点审查选址、设计规模、工艺、功能设置、线路路由、大（中）型穿（跨）越、工程投资估算等方面；</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2、负责项目初步设计，重点审查选址、设计规模、主要工程量、标准化、规范化、工艺、功能设置、材质选择、主要设备选型、线路路由、大（中）型穿（跨）越位置和方式、特殊地段处理、站场总图及建筑、公用工程、主要设备表、材料表、技术标准和概算等方面。</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（十二）参与物资供应管理</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1、参与采购选商、招标、合同谈判；</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2、参与物资供应商的年度考核。</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（十三）参与招标管理</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1、参与承包商、供应商市场准入审查；</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2、参与招标文件的审查，负责招标文件的技术标审查；</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3、参与项目的开标、评标工作；</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4、参与工程技术服务单位的年度考核。</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（十四）负责项目竣工验收。</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firstLine="560"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（十五）按职责范围，参与工程项目的其它工作，并对相关业务进行指导、监督、管理和协调工作。</w:t>
      </w:r>
    </w:p>
    <w:p>
      <w:pPr>
        <w:pStyle w:val="23"/>
        <w:keepNext w:val="0"/>
        <w:keepLines w:val="0"/>
        <w:pageBreakBefore w:val="0"/>
        <w:widowControl w:val="0"/>
        <w:tabs>
          <w:tab w:val="right" w:pos="8306"/>
        </w:tabs>
        <w:kinsoku/>
        <w:wordWrap/>
        <w:overflowPunct/>
        <w:topLinePunct w:val="0"/>
        <w:autoSpaceDE/>
        <w:autoSpaceDN/>
        <w:bidi w:val="0"/>
        <w:adjustRightInd/>
        <w:snapToGrid/>
        <w:spacing w:line="560" w:lineRule="exact"/>
        <w:ind w:left="0" w:hanging="560" w:hangingChars="200"/>
        <w:jc w:val="both"/>
        <w:textAlignment w:val="auto"/>
        <w:outlineLvl w:val="9"/>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sz w:val="30"/>
          <w:szCs w:val="30"/>
        </w:rPr>
      </w:pPr>
      <w:bookmarkStart w:id="1245" w:name="_Toc508016720"/>
      <w:bookmarkStart w:id="1246" w:name="_Toc447704625"/>
      <w:r>
        <w:rPr>
          <w:rFonts w:hint="eastAsia" w:ascii="方正黑体简体" w:hAnsi="方正黑体简体" w:eastAsia="方正黑体简体" w:cs="方正黑体简体"/>
          <w:b w:val="0"/>
          <w:bCs/>
          <w:sz w:val="30"/>
          <w:szCs w:val="30"/>
          <w:lang w:eastAsia="zh-CN"/>
        </w:rPr>
        <w:t>第三章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项目管理</w:t>
      </w:r>
      <w:bookmarkEnd w:id="1242"/>
      <w:r>
        <w:rPr>
          <w:rFonts w:hint="eastAsia" w:ascii="方正黑体简体" w:hAnsi="方正黑体简体" w:eastAsia="方正黑体简体" w:cs="方正黑体简体"/>
          <w:b w:val="0"/>
          <w:bCs/>
          <w:sz w:val="30"/>
          <w:szCs w:val="30"/>
          <w:lang w:eastAsia="zh-CN"/>
        </w:rPr>
        <w:t>机构</w:t>
      </w:r>
      <w:bookmarkEnd w:id="1245"/>
      <w:bookmarkEnd w:id="1246"/>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val="en-US" w:eastAsia="zh-CN"/>
        </w:rPr>
        <w:t>第十一条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项目管理机构在可研报告（或初步设计代可研）批复后5个工作日内，由公司下达成立。</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val="en-US" w:eastAsia="zh-CN"/>
        </w:rPr>
        <w:t>第十二条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项目组成员原则上所属单位组成。主要成员包括：项目经理、副经理、专业技术（含工程、安全、造价、财务、物资采购和档案管理等）负责人、现场管理人员等。（详见附件1：项目管理机构申报表）</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val="en-US" w:eastAsia="zh-CN"/>
        </w:rPr>
        <w:t>第十三条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项目管理机构的有效期起于项目管理机构成立，止于竣工验收。在项目管理机构有效期内，项目负责人及主要管理人员发生变动的，需报公司生产技术部备案。</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val="en-US" w:eastAsia="zh-CN"/>
        </w:rPr>
        <w:t>第十四条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项目经理和项目副经理任职条件：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（一）项目经理应由建设单位（公司或所属单位）主管领导或分管工程建设的领导担任；投资较小的工程，项目经理可由从事工程建设的部门领导或业务骨干担任。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项目经理、副经理，必须熟悉国家及地方关于基本建设的方针、政策和各项法律法规，遵守基本建设程序；熟悉公司颁发的与工程建设有关的规定；熟悉项目管理基本理论；具有丰富的工程技术、业务知识和组织工程建设的经验；善于分析问题，具有较强的综合组织和处理问题的应变能力；以身作则，能调动项目团队的积极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（三）项目经理、副经理应执证上岗。没有获得认证证书或证书未按要求年审的人员，以及过去三年工程管理上有不良记录的人员，不得担任以上职务。</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项目管理机构主要职责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（一）项目管理机构是项目建设工作的执行者，对项目的质量、安全、工期、投资和环保等各类目标负责。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（二）负责工程项目各项资料的收集、整理，保证项目管理资料的完整性；负责竣工资料的收集整理、组卷及归档。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（三）根据工程项目需要，可在工程建设现场设立固定办公地点，配备办公、通讯设备，派驻现场管理人员，对工程建设全过程实施控制管理。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（四）负责协调地方关系，包括规划、林业、交通、电力、水利、国土、安全、环保、水土保持、消防、技监等手续的办理。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（五）参与初步设计审查；组织限下项目施工图会审；组织限上项目施工图预审，并上报施工图会审申请和预审意见。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（六）参与招标文件的编制、招标活动和评标工作。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（七）组织限下项目现场技术及HSE交底；参与限上项目现场技术及安全交底。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（八）负责收集整理申报质量监督的相关资料，并按要求上报生产技术部；负责审批限下项目开工报告，上报限上项目开工报告。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（九）负责拟定物资采购需求计划并上报；参与设备、材料采购的招标，审查技术规格书；参与合同签订；组织设备材料入场验收。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负责协调、监督和检查参建单位包括设计、监理、检测、施工等的各项工作，及时上报重大设计变更；参与隐蔽工程检查验收等工作，组织工程中间交接；编制上报工程建设周报、月报，通报工程建设信息；报告工程质量事故，组织、参加工程质量事故处理方案的审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（十一）负责施工作业票证、特种作业票证、作业方案、施工组织设计、安全预案等审查与管理；负责施工现场管理、施工协调与赔偿处理工作。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（十二）协助做好完工交接，负责问题整改；参与工程停气碰口方案、生产试运行方案编制及审查；参与生产试运行。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三）编制工程用款计划、管理费用计划（建设单位管理费是指建设单位从项目开工之日起至办理竣工财务决算之日止发生的管理性质的开支。建设单位管理费实行总额控制）；确认工程进度款、设备材料款、工程结算款的拨付额度；进行工程成本分析，控制投资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（十四）协助做好消防、安全、环保等专项验收，以及竣工验收和后评估工作；协助做好工程竣工决算审计及转产工作。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（十五）负责对建设单位、设计单位、施工单位、监理单位、检测单位和分包单位的考核，并出具考核意见。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rPr>
      </w:pPr>
      <w:bookmarkStart w:id="1247" w:name="_Toc447704626"/>
      <w:bookmarkStart w:id="1248" w:name="_Toc508016721"/>
      <w:bookmarkStart w:id="1249" w:name="_Toc352687835"/>
      <w:r>
        <w:rPr>
          <w:rFonts w:hint="eastAsia" w:ascii="方正黑体简体" w:hAnsi="方正黑体简体" w:eastAsia="方正黑体简体" w:cs="方正黑体简体"/>
          <w:b w:val="0"/>
          <w:bCs/>
          <w:sz w:val="30"/>
          <w:szCs w:val="30"/>
          <w:lang w:eastAsia="zh-CN"/>
        </w:rPr>
        <w:t>第四章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施工图设计</w:t>
      </w:r>
      <w:bookmarkEnd w:id="1247"/>
      <w:bookmarkEnd w:id="1248"/>
      <w:bookmarkEnd w:id="1249"/>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公司生产技术部负责归口管理施工图设计的监督、检查和协调工作。</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施工图勘察设计委托应在初步设计批复后进行，并以初步设计批复为依据。施工图勘察设计委托时应至少明确以下内容：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（一）施工图勘察设计范围、建设水平和设计遵循的原则；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（二）勘察设计文件编制规定和编审质量要求；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（三）参与勘察设计文件预审或会审的专业及人员数量要求；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（四）勘察设计文件和设备材料技术规格书的交付时间、数量、地点及对象，以及需提前或分批交付的设计文件等要求；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（五）勘察设计文件审查回复和设计现场服务要求等；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（六）勘察设计考核条款和违约责任追究等。</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施工图设计未经会审的，不得进行施工作业。</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施工图设计应遵循初步设计批准的原则和范围，并对初步设计进行细化、优化。</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承担施工图设计任务的设计单位应具有合格的资质证书和满足要求的业务范围，原则上应在公司已准入的设计单位中选择，若需要在准入单位外选择，应按公司相关办法办理“一事一准入”手续后方能委托。</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设计单位应对施工图设计进行内审，并在施工图设计文件预审或会审时提交内审意见和修改情况。</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施工图设计会审实施分级管理，限上项目由川港公司生产技术部组织施工图设计会审及审批。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限下项目由公司项目管理机构组织施工图设计会审。</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对于涉及专业面广、技术难度大、投资高的项目施工图设计会审，可委托咨询公司组织专家会审。</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限上项目施工图设计会审需分期实施的项目，项目管理机构应将施工图设计分期会审计划报公司生产部审批。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参与审查工作的专业人员应包括但不限于以下专业：安全环保、工艺（储运、加工）、防腐、自控、通信、电气、总图、建筑、公用工程、造价等。</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施工图预审和会审文件应包括：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（一）初步设计及概算的批复文件复印件5份，审定的初步设计和概算书各5套。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（二）施工图设计文件（总说明、工艺流程图、工艺平面布置图、设备材料表、总平面布置图、建筑图等）不少于5套。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（三）附承担施工图设计单位的资质证复印件1份；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（四）规划部门对线路、站场选址的批复文件1份。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（五）工程地质、水文地质勘察报告书1份；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（六）用水、用电、用地等意向性协议文件1份；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（七）环境影响评价报告书（表）、水土保持方案报告书（表）、安全评价报告及批准文件各1份；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（八）公路、铁路、河流、电缆（光缆）、管道等穿跨越许可意见；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（九）施工图设计文件同初设主要差异说明文件和对照表，主要包括：施工图设计与初步设计确定的原则、工作量、主要设备材料选型、数量、费用变化等。</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施工图设计预审和会审的内容一般包括：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（一）是否符合国家有关工程建设的方针、政策、法律法规和各项技术标准规范。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（二）是否符合工程初步设计批复的范围。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（三）是否满足标准化设计要求。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（四）工艺流程、设备布置、设备选型、材料选用、建筑结构、厂站布置等是否合理。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（五）场站、线路、穿（跨）越工程土石方工作量是否与工程地质吻合。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（六）设计的主要基础资料、数据是否齐全、准确。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（七）建设项目的综合利用、三废治理、环境保护、职业卫生、节能、消防等是否符合有关标准规定，配套设施的外部协作条件是否落实。</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第二十九条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项目管理机构应严格按施工图设计会审纪要要求，跟踪、监督和检查设计单位执行情况。</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因设计失误、漏项等造成投资增加、延误工程工期、不符合HSE管理规定等情况，按照相关管理办法对设计单位进行考核，并按合同约定追究经济责任。</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第三十一条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经审定的施工图设计不得随意修改。确需修改的，修改内容须上报，上报批准后才能修改。</w:t>
      </w:r>
      <w:bookmarkStart w:id="1250" w:name="_Toc352687838"/>
    </w:p>
    <w:p>
      <w:pPr>
        <w:tabs>
          <w:tab w:val="left" w:pos="0"/>
          <w:tab w:val="left" w:pos="360"/>
        </w:tabs>
        <w:spacing w:line="560" w:lineRule="exact"/>
        <w:jc w:val="left"/>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val="0"/>
          <w:bCs/>
          <w:sz w:val="30"/>
          <w:szCs w:val="30"/>
        </w:rPr>
      </w:pPr>
      <w:bookmarkStart w:id="1251" w:name="_Toc447704627"/>
      <w:bookmarkStart w:id="1252" w:name="_Toc508016722"/>
      <w:r>
        <w:rPr>
          <w:rFonts w:hint="eastAsia" w:ascii="方正黑体简体" w:hAnsi="方正黑体简体" w:eastAsia="方正黑体简体" w:cs="方正黑体简体"/>
          <w:b w:val="0"/>
          <w:bCs/>
          <w:sz w:val="30"/>
          <w:szCs w:val="30"/>
          <w:lang w:eastAsia="zh-CN"/>
        </w:rPr>
        <w:t>第五章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总体部署</w:t>
      </w:r>
      <w:bookmarkEnd w:id="1251"/>
      <w:bookmarkEnd w:id="1252"/>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第三十二条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施工总体部署是实施项目管理的重要指导性文件，公司工程项目应按本办法编制总体部署。</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施工总体部署应在工程项目可行性研究报告（或初步设计代可研）批复后，并以此为依据，根据项目实际情况即刻进行编制。施工总体部署应制订明确的质量、工期、投资以及HSE等控制指标。</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第三十四条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总体部署主要包括前言、总论、设计管理、物资采购管理、工程施工管理、工程检测、工程监理、HSE目标、工程质量监督、生产准备及试运投产、建设资金管理等章节。（详见附件2：工程项目施工总体部署编制纲要）</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施工总体部署由项目管理机构组织编制。限下项目由公司自行审批，限上项目作为开工报告附件随开工报告一起上报审批。</w:t>
      </w:r>
    </w:p>
    <w:p>
      <w:pPr>
        <w:tabs>
          <w:tab w:val="left" w:pos="0"/>
          <w:tab w:val="left" w:pos="360"/>
        </w:tabs>
        <w:spacing w:line="560" w:lineRule="exact"/>
        <w:jc w:val="left"/>
        <w:rPr>
          <w:rFonts w:ascii="方正仿宋简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lang w:eastAsia="zh-CN"/>
        </w:rPr>
      </w:pPr>
      <w:bookmarkStart w:id="1253" w:name="_Toc447704628"/>
      <w:bookmarkStart w:id="1254" w:name="_Toc508016723"/>
      <w:r>
        <w:rPr>
          <w:rFonts w:hint="eastAsia" w:ascii="方正黑体简体" w:hAnsi="方正黑体简体" w:eastAsia="方正黑体简体" w:cs="方正黑体简体"/>
          <w:b w:val="0"/>
          <w:bCs/>
          <w:sz w:val="30"/>
          <w:szCs w:val="30"/>
          <w:lang w:eastAsia="zh-CN"/>
        </w:rPr>
        <w:t>第六章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开工报告</w:t>
      </w:r>
      <w:bookmarkEnd w:id="1250"/>
      <w:bookmarkEnd w:id="1253"/>
      <w:bookmarkEnd w:id="1254"/>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项目必须在开工报告审批后，才能开工建设。限上项目开工报告由项目管理机构填报，经川港公司生产部技术审查后，报川港公司审批。限下项目由项目管理机构填报，经公司负责人审批，同时报公司生产部技术备案。开工报告一式三份。（详见附件4：开工报告）</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开工报告申报应具备以下条件：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（一）初步设计批准文件；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（二）项目管理机构批复文件，人员已经到位；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（三）已完成施工图设计会审；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（四）编制完成的工程建设施工总体部署。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（五）施工组织设计、监理规划及细则、质量检验计划等已经获得批准；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（六）已完成施工、监理、检测等参建单位的招标工作，并签订施工合同和安全合同；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（七）质量监督申报材料准备齐全(</w:t>
      </w:r>
      <w:r>
        <w:rPr>
          <w:rFonts w:hint="eastAsia" w:ascii="方正仿宋简体" w:hAnsi="宋体" w:eastAsia="方正仿宋简体"/>
          <w:sz w:val="28"/>
          <w:szCs w:val="28"/>
        </w:rPr>
        <w:t>详见附件3：工程项目审查报备表）</w:t>
      </w:r>
      <w:r>
        <w:rPr>
          <w:rFonts w:hint="eastAsia" w:ascii="方正仿宋简体" w:hAnsi="宋体" w:eastAsia="方正仿宋简体"/>
          <w:snapToGrid w:val="0"/>
          <w:kern w:val="0"/>
          <w:sz w:val="28"/>
          <w:szCs w:val="28"/>
        </w:rPr>
        <w:t xml:space="preserve">，办理完成质量监督申报手续，并取得受理文件；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（八）已办理开工前审计手续（大型或重点工程项目）。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（九）已办理工程征（用）地、管道走向许可、供电、供水等相关协议，已办理消防建审手续，已取得施工许可；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（十）工程参建单位已进驻现场，施工机具运抵现场</w:t>
      </w:r>
      <w:r>
        <w:rPr>
          <w:rFonts w:ascii="方正仿宋简体" w:hAnsi="宋体" w:eastAsia="方正仿宋简体"/>
          <w:snapToGrid w:val="0"/>
          <w:kern w:val="0"/>
          <w:sz w:val="28"/>
          <w:szCs w:val="28"/>
        </w:rPr>
        <w:t>,</w:t>
      </w:r>
      <w:r>
        <w:rPr>
          <w:rFonts w:hint="eastAsia" w:ascii="方正仿宋简体" w:hAnsi="宋体" w:eastAsia="方正仿宋简体"/>
          <w:snapToGrid w:val="0"/>
          <w:kern w:val="0"/>
          <w:sz w:val="28"/>
          <w:szCs w:val="28"/>
        </w:rPr>
        <w:t>项目主体工程施工准备工作已经完成，具备连续施工的条件；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（十一）建设项目需要的主要设备、材料已经订货，项目所需建筑材料已经落实，能满足现场连续施工要求；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（十二）法律、法规规定的其他条件。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napToGrid w:val="0"/>
          <w:kern w:val="0"/>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lang w:eastAsia="zh-CN"/>
        </w:rPr>
      </w:pPr>
      <w:bookmarkStart w:id="1255" w:name="_Toc352687841"/>
      <w:bookmarkStart w:id="1256" w:name="_Toc447704629"/>
      <w:bookmarkStart w:id="1257" w:name="_Toc508016724"/>
      <w:r>
        <w:rPr>
          <w:rFonts w:hint="eastAsia" w:ascii="方正黑体简体" w:hAnsi="方正黑体简体" w:eastAsia="方正黑体简体" w:cs="方正黑体简体"/>
          <w:b w:val="0"/>
          <w:bCs/>
          <w:sz w:val="30"/>
          <w:szCs w:val="30"/>
          <w:lang w:eastAsia="zh-CN"/>
        </w:rPr>
        <w:t>第七章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施工</w:t>
      </w:r>
      <w:bookmarkEnd w:id="1255"/>
      <w:r>
        <w:rPr>
          <w:rFonts w:hint="eastAsia" w:ascii="方正黑体简体" w:hAnsi="方正黑体简体" w:eastAsia="方正黑体简体" w:cs="方正黑体简体"/>
          <w:b w:val="0"/>
          <w:bCs/>
          <w:sz w:val="30"/>
          <w:szCs w:val="30"/>
          <w:lang w:eastAsia="zh-CN"/>
        </w:rPr>
        <w:t>管理</w:t>
      </w:r>
      <w:bookmarkEnd w:id="1256"/>
      <w:bookmarkEnd w:id="1257"/>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eastAsia="方正仿宋简体"/>
          <w:b/>
          <w:bCs/>
          <w:sz w:val="28"/>
          <w:szCs w:val="28"/>
          <w:lang w:eastAsia="zh-CN"/>
        </w:rPr>
        <w:t>第三十八条</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具备开工条件，开工报告得到批复后才能正式开工建设。</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第三十九条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项目管理机构在开工前应组织施工图设计交底、建设项目启动交底和安全技术交底，并做好交底记录。</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eastAsia="zh-CN"/>
        </w:rPr>
        <w:t>第四十条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承担工程建设的施工单位应根据《工程项目施工总体部署》、施工图设计和已签订的合同要求编制详细的《施工组织设计》，内容涉及施工方案、施工进度计划、施工人员及机具设备安排、施工风险及应急预案、HSE管理、吹扫试压方案、停气碰头方案、安全技术措施和施工现场临时用电方案等。重大的施工方案（如大型设备吊装、大中型河流穿越，涉及新技术、新施工工艺等内容）应单独编制。</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eastAsia="zh-CN"/>
        </w:rPr>
        <w:t>第四十一条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工程开工前5个工作日内，施工单位应将《施工组织设计》、《安全应急预案》等报项目管理机构审查，项目管理机构要组织监理、设计等单位对其进行详细审查，或委托监理单位组织审查。</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eastAsia="zh-CN"/>
        </w:rPr>
        <w:t>第四十二条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施工单位现场管理机构及要求。施工单位应设立包含项目经理、技术负责人、施工现场代表和安全负责人等人员组成的现场管理机构。施工单位项目经理、技术人员、安全人员必须持有相关资质证书，并且应具备三年以上施工管理经验。</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napToGrid w:val="0"/>
          <w:kern w:val="0"/>
          <w:sz w:val="28"/>
          <w:szCs w:val="28"/>
          <w:lang w:eastAsia="zh-CN"/>
        </w:rPr>
        <w:t>第四十三条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施工单位应当建立健全安全生产责任制度和安全生产教育培训制度，制定安全生产规章制度和操作规程，保证安全生产条件所需的资金投入，进行定期和专项安全检查和教育培训工作检查，并做好检查记录。</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第四十四条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项目管理机构应在开工前组织第一次工地会议，主要内容应符合《建设工程监理规范》要求。第一次工地会议纪要应由监理机构负责起草，并经与会各方代表会签。</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第四十五条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单位应建立和完善工程设备、材料入场检查验收制度。所有工程设备、材料在安装使用前应进行入场前的检查验收，并作好记录。对不合格的设备、材料应分类存放、明确标识，并及时向项目监理机构和建设单位现场管理组汇报。未经检验或检验不合格的设备材料严禁使用。</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第四十六条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单位应严格按照技术标准、设计文件和相关规定收有关要求收集整理各种质保资料、隐蔽工程资料，绘制竣工图，编制好竣工资料。竣工资料应与工程建设进度同步，与工程建设实际情况相符，及时、真实、准确、详尽地反映工程建设情况。</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eastAsia="方正仿宋简体"/>
          <w:b/>
          <w:bCs/>
          <w:sz w:val="28"/>
          <w:szCs w:val="28"/>
          <w:lang w:eastAsia="zh-CN"/>
        </w:rPr>
        <w:t>第四十七条</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严格执行现场签证制度，签证前，签字人员必须到现场认真检查，保证签证的准确性，保证签证内容同现场实际情况的一致性，保证签证工作的及时性。签证必须有明确意见，杜绝事后签证、随意签证等违规行为的发生。</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eastAsia="方正仿宋简体"/>
          <w:b/>
          <w:bCs/>
          <w:sz w:val="28"/>
          <w:szCs w:val="28"/>
          <w:lang w:eastAsia="zh-CN"/>
        </w:rPr>
        <w:t>第四十八条</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施工单位应严格工序管理，作好隐蔽工程的质量检查和影像、资料记录。隐蔽工程在隐蔽前，施工单位应当及时通知项目管理机构、监理单位、设计单位和质量监督部门，由项目管理机构组织或委托监理单位组织有关单位进行隐蔽前检查和签证工作。</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第四十九条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施工前，项目管理机构应将拟进行的特种设备安装、制造、维修情况书面告知当地特种设备安全监督管理部门，得到批复认可后才能施工。</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eastAsia="zh-CN"/>
        </w:rPr>
        <w:t>第五十条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抓好施工现场管理，做到科学、精细化施工：</w:t>
      </w:r>
    </w:p>
    <w:p>
      <w:pPr>
        <w:keepNext w:val="0"/>
        <w:keepLines w:val="0"/>
        <w:pageBreakBefore w:val="0"/>
        <w:widowControl w:val="0"/>
        <w:kinsoku/>
        <w:wordWrap/>
        <w:overflowPunct/>
        <w:topLinePunct w:val="0"/>
        <w:autoSpaceDE/>
        <w:autoSpaceDN/>
        <w:bidi w:val="0"/>
        <w:adjustRightInd/>
        <w:snapToGrid/>
        <w:spacing w:line="560" w:lineRule="exact"/>
        <w:ind w:firstLine="544" w:firstLineChars="200"/>
        <w:jc w:val="both"/>
        <w:textAlignment w:val="auto"/>
        <w:outlineLvl w:val="9"/>
        <w:rPr>
          <w:rFonts w:ascii="方正仿宋简体" w:hAnsi="宋体" w:eastAsia="方正仿宋简体"/>
          <w:snapToGrid w:val="0"/>
          <w:spacing w:val="-4"/>
          <w:kern w:val="0"/>
          <w:sz w:val="28"/>
          <w:szCs w:val="28"/>
        </w:rPr>
      </w:pPr>
      <w:r>
        <w:rPr>
          <w:rFonts w:hint="eastAsia" w:ascii="方正仿宋简体" w:hAnsi="宋体" w:eastAsia="方正仿宋简体"/>
          <w:snapToGrid w:val="0"/>
          <w:spacing w:val="-4"/>
          <w:kern w:val="0"/>
          <w:sz w:val="28"/>
          <w:szCs w:val="28"/>
        </w:rPr>
        <w:t>（一）施工现场管理严格按照《西南油气田分公司油气田地面建设工程施工现场规范化管理实施细则（试行）》（西南司建</w:t>
      </w:r>
      <w:r>
        <w:rPr>
          <w:rFonts w:hint="eastAsia" w:ascii="方正仿宋简体" w:eastAsia="方正仿宋简体"/>
          <w:spacing w:val="-4"/>
          <w:sz w:val="28"/>
          <w:szCs w:val="28"/>
        </w:rPr>
        <w:t>〔</w:t>
      </w:r>
      <w:r>
        <w:rPr>
          <w:rFonts w:hint="eastAsia" w:ascii="方正仿宋简体" w:hAnsi="宋体" w:eastAsia="方正仿宋简体"/>
          <w:snapToGrid w:val="0"/>
          <w:spacing w:val="-4"/>
          <w:kern w:val="0"/>
          <w:sz w:val="28"/>
          <w:szCs w:val="28"/>
        </w:rPr>
        <w:t>2012</w:t>
      </w:r>
      <w:r>
        <w:rPr>
          <w:rFonts w:hint="eastAsia" w:ascii="方正仿宋简体" w:eastAsia="方正仿宋简体"/>
          <w:spacing w:val="-4"/>
          <w:sz w:val="28"/>
          <w:szCs w:val="28"/>
        </w:rPr>
        <w:t>〕</w:t>
      </w:r>
      <w:r>
        <w:rPr>
          <w:rFonts w:hint="eastAsia" w:ascii="方正仿宋简体" w:hAnsi="宋体" w:eastAsia="方正仿宋简体"/>
          <w:snapToGrid w:val="0"/>
          <w:spacing w:val="-4"/>
          <w:kern w:val="0"/>
          <w:sz w:val="28"/>
          <w:szCs w:val="28"/>
        </w:rPr>
        <w:t>14号）执行。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（二）在施工现场应设置施工项目管理部，配备必要办公设备，建立各项管理制度。制订详细《施工作业计划》，对不同施工阶段的施工人员、机具等进行合理安排，确保工程建设的工期和质量。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三）对于首次使用的新材料、不同材质以及同种材质不同钢级的焊接，应按标准规范和设计文件等要求委托有资质的单位开展焊接工艺评定，制定焊接工艺规程（指导书）。施工过程中，严格按照焊接工艺规程（指导书）组焊。施工单位应编制焊评方案，并报项目管理机构审批后实施。焊评方案应明确需新开展焊评或引用焊评等内容。引用焊接工艺评定应经原焊评单位同意，施工单位技术负责人批准，且符合相关管理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四）针对高空作业、大型吊装作业、有限空间作业、高坡陡坎、易滑坡地段、大（中）型河流穿（跨）越、铁路（公路）穿越、林区穿越等特殊地段施工，必须制订有针对性的施工方案和安全预案，组织施工人员进行安全事故演练并做好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（五）严格按照《施工组织设计》中的施工现场临时用电方案做好现场施工用电管理，现场发电机、电缆、电线等必须符合各项用电管理规定要求，并按期进行检查，杜绝用电伤人的情况发生。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（六）加强对农民工的管理和教育工作，农民工进场施工前，必须进行各项管理制度和安全教育，并做好记录。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（七）若现场有炸药、雷管等爆炸品和其他危险源物品，应有专门的管理规定，并落实专人管理。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（八）在施工现场入口、高坡陡坎、大（中）型穿（跨）越、易滑坡地带、穿越林区、爆破物及有害气体和液体存放处等危险部位，应设置明显的安全警示标志。安全警示标志必须醒目并符合国家和行业标准。</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（九）施工人员进入新的施工现场前，应当接受安全生产教育培训。未经教育培训或教育培训考核不合格人员，不得上岗作业。特种作业人员必须持证上岗。</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napToGrid w:val="0"/>
          <w:kern w:val="0"/>
          <w:sz w:val="28"/>
          <w:szCs w:val="28"/>
        </w:rPr>
        <w:t>（十）</w:t>
      </w:r>
      <w:r>
        <w:rPr>
          <w:rFonts w:hint="eastAsia" w:ascii="方正仿宋简体" w:hAnsi="宋体" w:eastAsia="方正仿宋简体"/>
          <w:sz w:val="28"/>
          <w:szCs w:val="28"/>
        </w:rPr>
        <w:t>凡工程质量验收不合格的单位（项）工程或分部分项工程，不得进行工程签证，且对工程质量不合格部分的整改工作量不得列入工程签证范围；凡已列入工程施工承包合同范围或因施工单位原因造成工程量增加的，不得进行工程签证。</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检测单位应做好以下方面工作：</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（一）检测单位和人员应具有相应资质和资格，并在资质和资格规定的范围和有效期内开展检测工作。</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（二）严禁转包或违法分包检测业务，对其检测数据和检测报告的真实性和准确性负责。</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（三）检测人员不得同时受聘于两个或者两个以上的检测机构。检测人员只能从事与其资格证书所规定的项目及与级别相适应的检测工作。</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hAnsi="宋体" w:eastAsia="方正仿宋简体"/>
          <w:sz w:val="28"/>
          <w:szCs w:val="28"/>
        </w:rPr>
        <w:t>（四）检测人员应严格执行工作程序规定，保证检测数据科学、客观、公正、准确。检测人员应秉公办事，不得以检测为手段谋取私利，并对检测结果承担法律责任。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（五）</w:t>
      </w:r>
      <w:r>
        <w:rPr>
          <w:rFonts w:hint="eastAsia" w:ascii="方正仿宋简体" w:hAnsi="宋体" w:eastAsia="方正仿宋简体"/>
          <w:sz w:val="28"/>
          <w:szCs w:val="28"/>
        </w:rPr>
        <w:t>应严格按照监理单位下达的检测指令开展无损检测工作，并在检测指令规定的时间内按时出具检测报告。</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（六）检测单位出具的检测报告应符合有关规定，检测报告审核人必须经检测单位授权，并持有相应的资格证书；检测报告授权签发人必须是检测单位技术负责人。</w:t>
      </w:r>
      <w:bookmarkStart w:id="1258" w:name="_Toc352687842"/>
    </w:p>
    <w:p>
      <w:pPr>
        <w:tabs>
          <w:tab w:val="left" w:pos="1474"/>
        </w:tabs>
        <w:spacing w:line="560" w:lineRule="exact"/>
        <w:jc w:val="left"/>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val="0"/>
          <w:bCs/>
          <w:sz w:val="30"/>
          <w:szCs w:val="30"/>
        </w:rPr>
      </w:pPr>
      <w:bookmarkStart w:id="1259" w:name="_Toc447704630"/>
      <w:bookmarkStart w:id="1260" w:name="_Toc508016725"/>
      <w:r>
        <w:rPr>
          <w:rFonts w:hint="eastAsia" w:ascii="方正黑体简体" w:hAnsi="方正黑体简体" w:eastAsia="方正黑体简体" w:cs="方正黑体简体"/>
          <w:b w:val="0"/>
          <w:bCs/>
          <w:sz w:val="30"/>
          <w:szCs w:val="30"/>
          <w:lang w:eastAsia="zh-CN"/>
        </w:rPr>
        <w:t>第八章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监理</w:t>
      </w:r>
      <w:bookmarkEnd w:id="1258"/>
      <w:r>
        <w:rPr>
          <w:rFonts w:hint="eastAsia" w:ascii="方正黑体简体" w:hAnsi="方正黑体简体" w:eastAsia="方正黑体简体" w:cs="方正黑体简体"/>
          <w:b w:val="0"/>
          <w:bCs/>
          <w:sz w:val="30"/>
          <w:szCs w:val="30"/>
        </w:rPr>
        <w:t>管理</w:t>
      </w:r>
      <w:bookmarkEnd w:id="1259"/>
      <w:bookmarkEnd w:id="1260"/>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与监理单位签订建设工程监理合同，合同中应明确监理单位对建设工程质量、投资、进度、安全等进行全面控制和管理。工程监理单位不得转让监理业务。监理单位代表项目管理机构对建设过程实施全面监理，并对施工质量、安全、环保、进度、投资等承担监理责任。</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项目监理人员包括总监理工程师、专业监理工程师和监理员，必要时可设置总监理工程师代表。监理人员必须持证上岗并按证书许可范围执业。持证监理人员应按照有关规定参加继续教育培训。</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第五十四条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应根据建设项目规模、特点制订详细《监理规划》和《监理实施细则》，拟派的总监、副总监、专业监理、现场监理等人员名单必须报项目管理机构审查认可。项目管理机构有权要求更换不符合要求的总监和监理人员。</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总监理工程师应由具有三年以上同类工程监理工作经验的人员担任。一名总监理工程师宜担任一项委托监理合同的项目总监理工程师工作，当需要同时担任多项委托监理合同的项目总监理工程师工作时，须经建设单位同意，且最多不得超过三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人员应持证上岗，监理单位必须做好上岗人员的岗前业务培训。根据工程项目需要和项目管理机构要求，在工程施工现场成立监理项目部和监造组，配备各类专业人员，并指定现场监理负责人。现场监理人员的专业、数量和设备配备必须满足工程建设需要，现场监理人员必须熟悉相关法律、法规、标准规范、项目建设有关管理规定、《监理规划》和《监理实施细则》。</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监理单位必须认真审查《施工组织设计》，对《施工组织设计》中安全技术措施和专项施工方案是否符合工程建设强制性标准和工程实际情况，提出明确审查意见，并经总监理工程师签认后报建设单位审批。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开工前，监理单位应对施工单位资质进行确认，对特种作业人员的资格进行审查。杜绝资格不符合、证照不全、资格年检不合格的人员上岗。在工程建设过程中开展对参建人员资质的不定期检查工作，并作好记录。发现不符合要求的人员要立即责令其停止工作，清退出场并及时向项目管理机构汇报。</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第五十九条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监理单位应建立完善的设备、材料入场检查验收制度。严格按照相关规范和设计要求对设备、材料等进行入场前的检查验收工作，并作好记录。对不合格的设备、材料坚决清退出场并及时向项目管理机构汇报。</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在工程开工后，应每周组织召开工地例会，并按时向项目管理机构上报监理周报。周报内容应准确、详细，能充分反映工程当前建设情况，重点要突出监理单位在现场处理的问题、针对问题采取的措施及下一步工作计划和安排。</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应按照《施工组织设计》和HSE管理规定监督参建单位严格执行，对发现的问题必须要求有关单位及时整改。当监理人员发现施工中存在重大质量、安全隐患，可能造成质量、安全事故时，应及时通过总监签署停工令，并报项目管理机构审批同意后实施，强制要求施工单位停工整改。整改完毕后，应经监理人员复查，在符合规定要求后，报项目管理机构审批同意，总监可签署工程复工令。</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现场监理人员应认真填写监理日志。监理日志应真实反映工程建设情况和监理工作的开展情况。总监理工程师要定期对监理人员的监理日志进行检查、签认。</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bookmarkStart w:id="1261" w:name="_Toc352687843"/>
      <w:r>
        <w:rPr>
          <w:rFonts w:hint="eastAsia" w:ascii="方正仿宋简体" w:hAnsi="宋体" w:eastAsia="方正仿宋简体"/>
          <w:b/>
          <w:bCs/>
          <w:sz w:val="28"/>
          <w:szCs w:val="28"/>
          <w:lang w:eastAsia="zh-CN"/>
        </w:rPr>
        <w:t>第六十三条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监理公司要负责组织好隐蔽工程的检查、影像资料录取工作。隐蔽工程必须按相关规定在经过有关单位现场检查，达到相关规范的设计要求，确认方可后进入下一步工序。</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第六十四条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协助项目管理机构做好现场工作量变更的签证工作。负责通知参建单位到现场对变更工作量进行现场检查、核实，确保签证工作量和现场实际发生变更工作量的一致性，保证签证工作的准确性和及时性。</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第六十五条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监理公司应协助项目管理机构对工程建设余料的清理和回收工作。工程完工后，将工程余料资料清单和实物移交建设项目管理机构。</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第六十六条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监理公司应当协助项目管理机构对工程建设的竣工资料进行收集、整理和归档工作。</w:t>
      </w:r>
    </w:p>
    <w:p>
      <w:pPr>
        <w:pStyle w:val="74"/>
        <w:spacing w:line="560" w:lineRule="exact"/>
        <w:ind w:firstLine="0" w:firstLineChars="0"/>
        <w:outlineLvl w:val="0"/>
        <w:rPr>
          <w:rFonts w:hint="eastAsia" w:ascii="方正仿宋简体" w:hAnsi="宋体" w:eastAsia="方正仿宋简体"/>
          <w:b/>
          <w:sz w:val="28"/>
          <w:szCs w:val="28"/>
        </w:rPr>
      </w:pPr>
      <w:bookmarkStart w:id="1262" w:name="_Toc508016726"/>
      <w:bookmarkStart w:id="1263" w:name="_Toc447704631"/>
    </w:p>
    <w:p>
      <w:pPr>
        <w:pStyle w:val="74"/>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outlineLvl w:val="1"/>
        <w:rPr>
          <w:rFonts w:hint="eastAsia" w:ascii="方正黑体简体" w:hAnsi="方正黑体简体" w:eastAsia="方正黑体简体" w:cs="方正黑体简体"/>
          <w:b w:val="0"/>
          <w:bCs/>
          <w:sz w:val="30"/>
          <w:szCs w:val="30"/>
        </w:rPr>
      </w:pPr>
      <w:r>
        <w:rPr>
          <w:rFonts w:hint="eastAsia" w:ascii="方正黑体简体" w:hAnsi="方正黑体简体" w:eastAsia="方正黑体简体" w:cs="方正黑体简体"/>
          <w:b w:val="0"/>
          <w:bCs/>
          <w:sz w:val="30"/>
          <w:szCs w:val="30"/>
        </w:rPr>
        <w:t>第九章  质量管理</w:t>
      </w:r>
      <w:bookmarkEnd w:id="1261"/>
      <w:bookmarkEnd w:id="1262"/>
      <w:bookmarkEnd w:id="1263"/>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严格执行《建设工程质量管理条例》，实行工程建设监理、质量监督和第三方质量检测制度。</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严格执行基本建设程序，坚持先勘察、后设计、再施工的原则。</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第六十九条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项目管理机构应在申请开工前到质量监督机构办理质量监督申报手续，依法接受工程质量监督机构的监督。</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eastAsia="方正仿宋简体"/>
          <w:b/>
          <w:bCs/>
          <w:sz w:val="28"/>
          <w:szCs w:val="28"/>
          <w:lang w:eastAsia="zh-CN"/>
        </w:rPr>
        <w:t>第七十条</w:t>
      </w:r>
      <w:r>
        <w:rPr>
          <w:rFonts w:hint="eastAsia" w:ascii="方正仿宋简体" w:eastAsia="方正仿宋简体"/>
          <w:sz w:val="28"/>
          <w:szCs w:val="28"/>
          <w:lang w:val="en-US" w:eastAsia="zh-CN"/>
        </w:rPr>
        <w:t xml:space="preserve">  </w:t>
      </w:r>
      <w:r>
        <w:rPr>
          <w:rFonts w:hint="eastAsia" w:ascii="方正仿宋简体" w:eastAsia="方正仿宋简体"/>
          <w:sz w:val="28"/>
          <w:szCs w:val="28"/>
        </w:rPr>
        <w:t>工程主体结构不允许分包，禁止转包。其他允许分包的工程必须得到公司主管部门及项目管理机构批准。项目管理机构必须对分包商的资质、信誉和能力等方面进行全面审查。严禁承包商将工程分包给不符合要求的分包商。分包单位应当按照分包合同的约定对其分包工程的质量向总承包单位负责，总承包单位与分包单位对分包工程的质量和安全承担连带责任。施工单位严禁将分包的内容再转包或者违法分包。</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造单位应依据规范和监造合同要求，成立由总监理工程师和专业监理工程师组成的项目监造机构。项目监造机构应进驻设备制造现场，严格按照设备材料制造加工设计文件、相关技术标准和建设工程监理规范开展监造工作。总监理工程师应组织专业监理工程师参加设备制造过程中的调试、整体性能测试和验证，符合要求后予以签认。</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项目管理机构和勘察、设计、施工、检测、监理、监造、咨询评估等承包商及有关人员，在工程设计合理使用年限内对工程建设项目质量各负其责。物资采购单位和供应商对工程建设项目采购物资的质量负责。</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项目管理机构主要工作</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（一）对勘察、设计、监理、施工、检测、预制、运输等参建单位质量工作提出具体要求，并在合同中应给予明确。</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（二）应向勘察、设计、施工、监理等单位提供与工程项目有关的原始资料，原始资料应真实、准确、齐全。</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（三）应严格按合同约定和公司质量管理相关规定对质量问题责任单位进行违约责任追究。</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（四）按公司有关规定及时上报工程项目质量事故，组织各参建单位认真开展质量事故的原因分析、制定整改措施、督促整改及验收，形成闭环管理；参与质量事故的调查与责任追究。</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勘察、设计单位的质量责任和义务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（一）应依照工程建设有关标准、规范进行勘察、设计，并对其勘察、设计的质量负责。勘察单位提供的地质、岩土、测量、水文等勘察成果应真实、准确。</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（二）勘察、设计单位应当就审查合格的施工图设计文件向监理、施工、检测等单位进行现场设计技术交底，并对影响工程质量的因素和环节进行重点说明。</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（三）勘察、设计单位应当参与建设工程质量事故分析，并对因工程勘察、设计造成的质量事故，提出相应的技术处理方案。对工程质量承担勘察、设计责任。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（四）设计单位应根据不同施工阶段，及时派驻相关专业设计人员，解决施工过程中存在的质量问题。</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施工单位的质量责任和义务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（一）施工单位对建设项目的施工质量负责，严禁转包或违法分包工程。</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（二）根据工程施工承包合同和工程质量管理目标要求，结合工程建设的实际情况，建立完善质量管理体系与质量责任制，认真落实工程质量责任，制定有针对性的施工方案和质量保证措施，并严格执行。</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（三）建立健全施工质量检验制度，严格执行工程质量“三检”制，作好隐蔽工程的质量检查和记录。</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（四）施工单位应严格按设计文件和有关标准规范进行施工，不得偷工减料，降低质量标准。</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（五）工程施工、试运行及质保期内出现的施工质量问题，施工单位应负责整改。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监理单位的质量责任和义务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（一）应当依照法律、法规、有关技术标准、设计文件和工程监理合同，受项目管理机构委托，代表项目管理机构对工程质量实施监理，并对工程质量承担监理责任。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（二）未经监理工程师签字，建筑材料、建筑构配件和设备不得在工程上使用或者安装，施工单位不得进行下一道工序的施工。</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（三）按照监理规范的要求，采取旁站、巡视和平行检验等形式，对工程质量实施监理。</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（四）组织隐蔽工程隐蔽前验收。</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（五）组织施工质量分析，组织制定质量纠偏措施。</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检测单位的质量责任和义务：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（一）检测单位对工程项目检测工作质量负责，严禁转包或违法分包检测业务。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（二）严格按照设计文件、有关技术标准、施工技术要求和监理指令开展检测工作。</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（三）定期开展检测机具校验，检测质量结果复查和质量问题原因分析。</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第七十八条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施工台班（人员）连续3道口不合格，该台班（人员）应立即停工整顿，重新进行过关口考试，考试合格后才能重新上岗。再次出现类似情况，清退出场。</w:t>
      </w:r>
      <w:bookmarkStart w:id="1264" w:name="_Toc352687844"/>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napToGrid w:val="0"/>
          <w:kern w:val="0"/>
          <w:sz w:val="28"/>
          <w:szCs w:val="28"/>
        </w:rPr>
      </w:pPr>
      <w:r>
        <w:rPr>
          <w:rFonts w:hint="eastAsia" w:ascii="方正仿宋简体" w:hAnsi="宋体" w:eastAsia="方正仿宋简体"/>
          <w:b/>
          <w:bCs/>
          <w:snapToGrid w:val="0"/>
          <w:kern w:val="0"/>
          <w:sz w:val="28"/>
          <w:szCs w:val="28"/>
          <w:lang w:eastAsia="zh-CN"/>
        </w:rPr>
        <w:t>第七十九条</w:t>
      </w:r>
      <w:r>
        <w:rPr>
          <w:rFonts w:hint="eastAsia" w:ascii="方正仿宋简体" w:hAnsi="宋体" w:eastAsia="方正仿宋简体"/>
          <w:snapToGrid w:val="0"/>
          <w:kern w:val="0"/>
          <w:sz w:val="28"/>
          <w:szCs w:val="28"/>
          <w:lang w:val="en-US" w:eastAsia="zh-CN"/>
        </w:rPr>
        <w:t xml:space="preserve">  </w:t>
      </w:r>
      <w:r>
        <w:rPr>
          <w:rFonts w:hint="eastAsia" w:ascii="方正仿宋简体" w:hAnsi="宋体" w:eastAsia="方正仿宋简体"/>
          <w:snapToGrid w:val="0"/>
          <w:kern w:val="0"/>
          <w:sz w:val="28"/>
          <w:szCs w:val="28"/>
        </w:rPr>
        <w:t>施工单位在向建设单位提交工程竣工验收报告时，应当同时向建设单位出具质量保修书，质量保修书中应当明确建设工程的保修范围、保修期限和保修责任等。电气管线、给排水管道、设备安装和装修工程，保修期为2年。其他项目的保修期限由发包方与承包方约定。建设工程的保修期，自竣工验收合格之日起算。建设工程在保修范围和保修期限内发生质量问题的，施工单位应当履行保修义务，并对造成的损失承担赔偿责任。若施工单位拒不履行保修义务，建设单位有权安排其他施工单位代为整改，发生的费用从原施工单位质量保证金中支出。</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宋体" w:eastAsia="方正仿宋简体"/>
          <w:snapToGrid w:val="0"/>
          <w:kern w:val="0"/>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sz w:val="30"/>
          <w:szCs w:val="30"/>
        </w:rPr>
      </w:pPr>
      <w:bookmarkStart w:id="1265" w:name="_Toc508016727"/>
      <w:bookmarkStart w:id="1266" w:name="_Toc447704632"/>
      <w:r>
        <w:rPr>
          <w:rFonts w:hint="eastAsia" w:ascii="方正黑体简体" w:hAnsi="方正黑体简体" w:eastAsia="方正黑体简体" w:cs="方正黑体简体"/>
          <w:b w:val="0"/>
          <w:bCs/>
          <w:sz w:val="30"/>
          <w:szCs w:val="30"/>
          <w:lang w:eastAsia="zh-CN"/>
        </w:rPr>
        <w:t>第十章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rPr>
        <w:t>HSE管理</w:t>
      </w:r>
      <w:bookmarkEnd w:id="1264"/>
      <w:bookmarkEnd w:id="1265"/>
      <w:bookmarkEnd w:id="1266"/>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贯彻落实“环保优先、安全第一、质量至上、以人为本”的HSE管理理念。建设项目中的</w:t>
      </w:r>
      <w:bookmarkStart w:id="1267" w:name="OLE_LINK3"/>
      <w:r>
        <w:rPr>
          <w:rFonts w:hint="eastAsia" w:ascii="方正仿宋简体" w:hAnsi="宋体" w:eastAsia="方正仿宋简体"/>
          <w:sz w:val="28"/>
          <w:szCs w:val="28"/>
        </w:rPr>
        <w:t>安全设施、消防设施、环保设施和职业卫生设施</w:t>
      </w:r>
      <w:bookmarkEnd w:id="1267"/>
      <w:r>
        <w:rPr>
          <w:rFonts w:hint="eastAsia" w:ascii="方正仿宋简体" w:hAnsi="宋体" w:eastAsia="方正仿宋简体"/>
          <w:sz w:val="28"/>
          <w:szCs w:val="28"/>
        </w:rPr>
        <w:t>应同主体工程同时设计、同时施工、同时投入生产使用。</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严格执行《中国石油天然气集团公司健康安全环境（HSE）管理原则》、《西南油气田公司反违章十条禁令》和《西南油气田公司停止作业（STOP）卡使用管理规定》等管理规定，预防、制止和杜绝“三违”行为。</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各参建单位应建立健全HSE管理体系，设置HSE管理机构和专职HSE管理人员，责任落实到人。</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严格按照《西南油气田公司油气田地面建设工程风险作业安全管理实施细则（试行）》实施工程项目风险作业。</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各参建单位新进现场作业人员应当接受HSE培训。未经培训或者培训考核不合格者，不得上岗作业。特种作业人员应持有效操作证上岗。</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各参建单位应当将施工现场的办公、生活区和作业区分开设置，并保持安全距离。办公、生活区的选址应当符合安全环保要求，应避开滑坡及泥石流等地质灾害易发区。职工的膳食、饮水、休息场所等应当符合卫生标准。不得在尚未竣工的建筑物内设置员工集体宿舍或临设休息点。施工现场临时搭建的建筑物应当符合安全环保使用要求，装配式活动房屋应当具有产品合格证。</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施工、检测单位的HSE管理责任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（一）施工、检测单位主要负责人依法对本单位的HSE工作全面负责，并建立健全HSE管理责任制度和教育培训制度，组织编制风险防控措施，消除事故隐患，及时、如实报告各类事故。</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（二）列入施工图预算的HSE措施费应专项使用，不得挪作他用。</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（三）配备专职HSE管理人员，明确管理人员职责。</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（四）《施工组织设计》应当编制HSE专篇，对于穿（跨）越、不良地质地段、高坡陡坎、林区施工等特殊地段施工，大型设备吊装和施工现场临时用电、放射源管理等风险作业应编制专项施工方案和应急预案。</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（五）识别、评价施工过程中HSE风险，制定风险控制措施。</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六）应当遵守有关环境保护法律、法规的规定，在施工现场采取防护措施，防止或减少粉尘、废气、废水、固体废物、噪声、振动和施工照明对人和环境的危害和污染。坚持文明施工，做到工完、料尽、场地清。</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（七）应当向作业人员提供安全防护用具和安全防护服装，并书面告知危险岗位的操作规程。</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八）在公司所辖生产、生活、施工区域内的进入受限空间作业、动土作业、高处作业、移动式起重作业、临时用电作业、动火作业、管线与设备打开等A类和B类风险作业，作业前应按公司有关作业许可管理规定办理相应作业许可证。入场作业前应进行工作前安全分析（JSA）、安全培训，并做好记录。应服从属地管理，接受生产管理单位的HSE教育和事故应急演练。</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（九）施工现场应按照公司生产与作业场所安全目视化管理要求，做好人员、工器具、设备设施、生产、生活区域目视化管理。</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十）射线检测人员应按规定进行身体检查，并符合要求。现场进行X射线检测时，应按规定划定控制区和管理区、设置警告标志。现场进行γ射线检测时，应按规定划定控制区和监督区、设置警告标志。检测作业时，应围绕控制区边界测定辐射水平。现场检测时，检测工作人员应佩带个人剂量计，并携带剂量报警仪。</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勘察、设计单位HSE管理责任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（一）勘察、设计单位应取得公司市场准入，并在资质等级范围承揽业务。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勘察单位应当依照法律、法规和工程建设强制性标准进行勘察，提供的勘察资料应当真实、准确，满足工程安全生产需要。勘察单位在勘察作业时，应当严格执行操作规程，采取措施保证各类管线、设施和周边建筑物、构筑物的安全。</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（三）采用新工艺、新技术、新设备、新材料的工程，设计文件中应提出保障施工安全和预防安全事故的措施建议。</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（四）设计单位应当考虑施工安全操作和防护的需要，对涉及施工安全的重点部位和环节在设计文件中注明，并对防范生产安全事故提出指导意见。</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第八十八条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监理单位HSE管理责任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（一）监理单位应对现场监理人员开展开工前HSE培训并做好记录。培训不合格的监理人员不能入场开展监理业务。</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（二）监理机构应当监督检查施工作业单位的HSE管理措施是否到位。</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（三）现场监理机构应当按照法律、法规、标准规范和设计文件实施监理，并对建设工程HSE管理承担监理责任。</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（四）监理人员在实施监理过程中，发现存在安全、环保等事故隐患的，应当要求施工单位整改；情况严重的，应当立即要求施工单位停止施工，并及时报告项目现场管理组。</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（五）现场监理机构应对风险作业许可进行监督检查，并检查各项HSE管理措施的落实情况。</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（六）在监理例会中应专题分析施工现场HSE管理存在的问题，落实改进措施，并监督执行。</w:t>
      </w:r>
    </w:p>
    <w:p>
      <w:pPr>
        <w:tabs>
          <w:tab w:val="left" w:pos="1474"/>
        </w:tabs>
        <w:spacing w:line="560" w:lineRule="exact"/>
        <w:jc w:val="left"/>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sz w:val="30"/>
          <w:szCs w:val="30"/>
        </w:rPr>
      </w:pPr>
      <w:bookmarkStart w:id="1268" w:name="_Toc447704633"/>
      <w:r>
        <w:rPr>
          <w:rFonts w:hint="eastAsia" w:ascii="方正黑体简体" w:hAnsi="方正黑体简体" w:eastAsia="方正黑体简体" w:cs="方正黑体简体"/>
          <w:b w:val="0"/>
          <w:bCs/>
          <w:sz w:val="30"/>
          <w:szCs w:val="30"/>
          <w:lang w:eastAsia="zh-CN"/>
        </w:rPr>
        <w:t>第十一章</w:t>
      </w:r>
      <w:r>
        <w:rPr>
          <w:rFonts w:hint="eastAsia" w:ascii="方正黑体简体" w:hAnsi="方正黑体简体" w:eastAsia="方正黑体简体" w:cs="方正黑体简体"/>
          <w:b w:val="0"/>
          <w:bCs/>
          <w:sz w:val="30"/>
          <w:szCs w:val="30"/>
        </w:rPr>
        <w:t xml:space="preserve">  </w:t>
      </w:r>
      <w:bookmarkStart w:id="1269" w:name="_Toc508016728"/>
      <w:r>
        <w:rPr>
          <w:rFonts w:hint="eastAsia" w:ascii="方正黑体简体" w:hAnsi="方正黑体简体" w:eastAsia="方正黑体简体" w:cs="方正黑体简体"/>
          <w:b w:val="0"/>
          <w:bCs/>
          <w:sz w:val="30"/>
          <w:szCs w:val="30"/>
        </w:rPr>
        <w:t>计划统计管理</w:t>
      </w:r>
      <w:bookmarkEnd w:id="1268"/>
      <w:bookmarkEnd w:id="1269"/>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第八十九条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项目应建立相应的工程统计周报、月报等统计制度，并按要求上报，如实反映工程建设动态。项目管理机构应当根据工程建设统计的需要，督察设计、监理、施工、检测等单位建立相应的统计报表制度。（详见附件5：重点项目周报）</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指派专人负责收集、整理和上报有关工程建设进展情况，并及时汇报、处理工程建设中的重大问题。需要公司协调解决的重大问题，应及时上报公司有关部门。任何弄虚作假、隐瞒不报、对工程建设造成损失的行为都将追究有关责任人的责任。</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项目管理机构应做好项目运作计划管理工作，进度安排、资金管理都要做到有计划性，项目管理机构制定月度工作计划，并对工作计划与实际进度的情况进行总结。</w:t>
      </w:r>
    </w:p>
    <w:p>
      <w:pPr>
        <w:keepNext w:val="0"/>
        <w:keepLines w:val="0"/>
        <w:pageBreakBefore w:val="0"/>
        <w:widowControl w:val="0"/>
        <w:tabs>
          <w:tab w:val="left" w:pos="0"/>
          <w:tab w:val="left" w:pos="360"/>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lang w:eastAsia="zh-CN"/>
        </w:rPr>
      </w:pPr>
      <w:bookmarkStart w:id="1270" w:name="_Toc447704634"/>
      <w:r>
        <w:rPr>
          <w:rFonts w:hint="eastAsia" w:ascii="方正黑体简体" w:hAnsi="方正黑体简体" w:eastAsia="方正黑体简体" w:cs="方正黑体简体"/>
          <w:b w:val="0"/>
          <w:bCs/>
          <w:sz w:val="30"/>
          <w:szCs w:val="30"/>
          <w:lang w:eastAsia="zh-CN"/>
        </w:rPr>
        <w:t xml:space="preserve">第十二章  </w:t>
      </w:r>
      <w:bookmarkStart w:id="1271" w:name="_Toc508016729"/>
      <w:r>
        <w:rPr>
          <w:rFonts w:hint="eastAsia" w:ascii="方正黑体简体" w:hAnsi="方正黑体简体" w:eastAsia="方正黑体简体" w:cs="方正黑体简体"/>
          <w:b w:val="0"/>
          <w:bCs/>
          <w:sz w:val="30"/>
          <w:szCs w:val="30"/>
          <w:lang w:eastAsia="zh-CN"/>
        </w:rPr>
        <w:t>投资控制管理</w:t>
      </w:r>
      <w:bookmarkEnd w:id="1270"/>
      <w:bookmarkEnd w:id="1271"/>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eastAsia="zh-CN"/>
        </w:rPr>
        <w:t>第九十二条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初步设计批复概算为工程投资控制的标准，所有工程建设投资应严格按照初步设计批复概算进行控制。动用工程预备费必须严格按有关规定执行。</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工程建设各环节应采用招标、询价等方式，引入竞争机制，合理控制工程建设各环节的投资费用。</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工程项目的工艺水平、设备水平、建筑物水平等要严格控制在初步设计批复范围内。</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项目管理机构应指定专人负责工程建设投资管理，并明确其责任和义务。</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项目管理机构要严格执行工作量变更签证制度，工作量变更签证必须签署完整，超过投资额±5%的重大工程量变更必须按有关要求上报公司批准。</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格按施工进度拨款，施工单位每月按时向项目管理机构上报本月施工进度和下月计划安排，项目管理机构对本月工作量进行核实、确认后按公司财务管理规定向施工单位支付当月进度款。投资项目的预付工程款及工程进度款总付款额控制在批复投资概算规模的70%以内，在竣工验收后决算审计前，不再付款，此时按实际已付款投资数进行预转资。待竣工验收合格并完成投资结算审查及决算审计后，按最终决算审计额支付余款，扣除其中5%作为质保金，但关联交易项目执行定额质保金制度。施工合同中有对进度款专门约定的，按合同约定执行。</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第九十八条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工程结算完成后，项目管理机构应当进行本工程投资执行情况分析总结，为今后类似工程的投资控制提供依据。</w:t>
      </w:r>
    </w:p>
    <w:p>
      <w:pPr>
        <w:tabs>
          <w:tab w:val="left" w:pos="0"/>
          <w:tab w:val="left" w:pos="360"/>
        </w:tabs>
        <w:spacing w:line="560" w:lineRule="exact"/>
        <w:jc w:val="left"/>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sz w:val="28"/>
          <w:szCs w:val="28"/>
        </w:rPr>
      </w:pPr>
      <w:bookmarkStart w:id="1272" w:name="_Toc352687847"/>
      <w:bookmarkStart w:id="1273" w:name="_Toc447704635"/>
      <w:r>
        <w:rPr>
          <w:rFonts w:hint="eastAsia" w:ascii="方正黑体简体" w:hAnsi="方正黑体简体" w:eastAsia="方正黑体简体" w:cs="方正黑体简体"/>
          <w:b w:val="0"/>
          <w:bCs/>
          <w:sz w:val="30"/>
          <w:szCs w:val="30"/>
          <w:lang w:eastAsia="zh-CN"/>
        </w:rPr>
        <w:t xml:space="preserve">第十三章  </w:t>
      </w:r>
      <w:bookmarkStart w:id="1274" w:name="_Toc508016730"/>
      <w:r>
        <w:rPr>
          <w:rFonts w:hint="eastAsia" w:ascii="方正黑体简体" w:hAnsi="方正黑体简体" w:eastAsia="方正黑体简体" w:cs="方正黑体简体"/>
          <w:b w:val="0"/>
          <w:bCs/>
          <w:sz w:val="30"/>
          <w:szCs w:val="30"/>
          <w:lang w:eastAsia="zh-CN"/>
        </w:rPr>
        <w:t>变更管理</w:t>
      </w:r>
      <w:bookmarkEnd w:id="1272"/>
      <w:bookmarkEnd w:id="1273"/>
      <w:bookmarkEnd w:id="1274"/>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第九十九条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项目管理机构在工程实施中不得擅自授意设计、施工等单位对工程量进行修改、增减，不得擅自提高或降低工程建设的水平。</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第一百条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单位应严格按施工图设计文件及批准的《施工组织设计》和《专项施工方案》施工，不得擅自修改工程设计，要按照合同要求保证工程质量和施工进度。施工单位应按照投标文件或批准的《施工组织设计》中承诺的施工管理人员、特殊作业人员的资格和数量以及设备机具配备到位，若发生变化应报现场管理组（或各单位项目组）批准后方能实施。</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第一百零一条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项目管理机构、施工单位、设计单位、监理单位和检测单位人员变更应按下列规定执行：</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总监监理工程师、总监理工程师代表、专业监理工程师等发生人员变更前，应报项目管理机构批准。其他人员变更应及时书面告知项目管理机构和参建单位，人员变更后现场监理人员的专业和数量应满足工程建设需要。</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（二）设计单位、施工单位、检测单位项目经理（副）经理、安全总监、技术负责人等发生人员变更前，应报项目管理机构批准。新进场人员资格应经监理单位批准。</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第一百零二条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在工程建设过程中，因设计原因造成的变更不得以施工联络单的形式进行修改。</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第一百零三条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对施工过程中确需发生的工程变更，应按下列规定执行：</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（一）根据实际情况设计变更建议可由项目管理机构、原设计单位、施工单位、监理单位提出。</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 xml:space="preserve">（二）提出设计变更的建议应采用书面形式，项目管理机构、原设计单位、监理单位提出设计变更建议，应采用设计变更申请单；施工单位提出设计变更建议，采用施工联络单；项目管理机构或项目前期工作归口管理部门组织设计单位、监理单位、工程项目归口管理部门等相关部门对设计变更申请进行审查，并签署相应的审查意见。 </w:t>
      </w:r>
    </w:p>
    <w:p>
      <w:pPr>
        <w:keepNext w:val="0"/>
        <w:keepLines w:val="0"/>
        <w:pageBreakBefore w:val="0"/>
        <w:widowControl w:val="0"/>
        <w:tabs>
          <w:tab w:val="left" w:pos="1474"/>
        </w:tabs>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sz w:val="28"/>
          <w:szCs w:val="28"/>
        </w:rPr>
        <w:t>（三）设计变更必须按权限审批。限上项目的设计变更由川港公司规划计划部审批；限下项目的设计变更由公司自行审批，并报川港公司规划计划部备案。</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eastAsia="方正仿宋简体"/>
          <w:sz w:val="28"/>
          <w:szCs w:val="28"/>
        </w:rPr>
      </w:pPr>
      <w:r>
        <w:rPr>
          <w:rFonts w:hint="eastAsia" w:ascii="方正仿宋简体" w:hAnsi="宋体" w:eastAsia="方正仿宋简体"/>
          <w:b/>
          <w:bCs/>
          <w:sz w:val="28"/>
          <w:szCs w:val="28"/>
          <w:lang w:eastAsia="zh-CN"/>
        </w:rPr>
        <w:t>第一百零四条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严禁任何单位和个人擅自修改经审查批准的工程变更。否则，由此造成的损失将按照合同和公司有关规定依法追究相关单位或个人的责任。</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eastAsia="zh-CN"/>
        </w:rPr>
        <w:t>第一百零五条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已审查批准的施工组织设计或专项施工方案，确因施工现场条件或生产情况发生变化，需进行较大调整时，必须经原审批单位或部门重新审查批准后才能实施。</w:t>
      </w:r>
      <w:bookmarkStart w:id="1275" w:name="_Toc447704636"/>
      <w:bookmarkStart w:id="1276" w:name="_Toc352687848"/>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hint="eastAsia" w:ascii="方正黑体简体" w:hAnsi="方正黑体简体" w:eastAsia="方正黑体简体" w:cs="方正黑体简体"/>
          <w:b w:val="0"/>
          <w:bCs/>
          <w:sz w:val="30"/>
          <w:szCs w:val="30"/>
          <w:lang w:eastAsia="zh-CN"/>
        </w:rPr>
      </w:pPr>
      <w:bookmarkStart w:id="1277" w:name="_Toc508016731"/>
      <w:r>
        <w:rPr>
          <w:rFonts w:hint="eastAsia" w:ascii="方正黑体简体" w:hAnsi="方正黑体简体" w:eastAsia="方正黑体简体" w:cs="方正黑体简体"/>
          <w:b w:val="0"/>
          <w:bCs/>
          <w:sz w:val="30"/>
          <w:szCs w:val="30"/>
          <w:lang w:eastAsia="zh-CN"/>
        </w:rPr>
        <w:t>第十四章</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完工交接</w:t>
      </w:r>
      <w:bookmarkEnd w:id="1275"/>
      <w:bookmarkEnd w:id="1276"/>
      <w:bookmarkEnd w:id="1277"/>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第一百零六条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生产技术部是工程项目完工交接工作的归口管理部门。工程项目完工交接是指工程按设计文件所规定的范围全部完成，管道和站场（阀室）吹扫试压合格，设备、电气和仪表调试合格后，施工单位和建设单位所作的交接工作，标志着工程施工结束。</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第一百零七条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工程完工交接是装置、设备保管、使用责任的移交，不解除施工单位对工程质量、验收应负的责任。</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第一百零八条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（一）工程全部工作量按设计文件完成后，组织设计、施工、监理、检测和质量监督单位对工程进行全面自检，对存在的问题提出整改措施，落实整改负责人和整改期限，限期整改。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（二）整改工作完成后，组织复检，达到设计文件和各项施工验收规范要求。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（三）向川港公司生产技术部上报完工交接申请。</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第一百零九条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完工交接条件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（一）线路、站场工艺、电气和仪表安装完成，工艺部分试压合格，电气和仪表调试合格；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（二）土建、总图工作量按设计文件完成；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（三）通过项目管理机构组织的完工交接前的自检，发现的问题已整改完成；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hAnsi="宋体" w:eastAsia="方正仿宋简体"/>
          <w:snapToGrid w:val="0"/>
          <w:kern w:val="0"/>
          <w:sz w:val="28"/>
          <w:szCs w:val="28"/>
        </w:rPr>
      </w:pPr>
      <w:r>
        <w:rPr>
          <w:rFonts w:hint="eastAsia" w:ascii="方正仿宋简体" w:hAnsi="宋体" w:eastAsia="方正仿宋简体"/>
          <w:snapToGrid w:val="0"/>
          <w:kern w:val="0"/>
          <w:sz w:val="28"/>
          <w:szCs w:val="28"/>
        </w:rPr>
        <w:t>（四）各项移交资料和专用工具准备完毕。</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施工单位“工程完工证书”准备完毕。</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eastAsia="zh-CN"/>
        </w:rPr>
        <w:t>第一百一十一条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完工交接实施细则另行制定。</w:t>
      </w:r>
    </w:p>
    <w:p>
      <w:pPr>
        <w:numPr>
          <w:ilvl w:val="0"/>
          <w:numId w:val="0"/>
        </w:numPr>
        <w:tabs>
          <w:tab w:val="left" w:pos="0"/>
          <w:tab w:val="left" w:pos="360"/>
        </w:tabs>
        <w:spacing w:line="560" w:lineRule="exact"/>
        <w:ind w:leftChars="0"/>
        <w:jc w:val="left"/>
        <w:rPr>
          <w:rFonts w:hint="eastAsia"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sz w:val="28"/>
          <w:szCs w:val="28"/>
        </w:rPr>
      </w:pPr>
      <w:bookmarkStart w:id="1278" w:name="_Toc447704637"/>
      <w:bookmarkStart w:id="1279" w:name="_Toc352687849"/>
      <w:r>
        <w:rPr>
          <w:rFonts w:hint="eastAsia" w:ascii="方正黑体简体" w:hAnsi="方正黑体简体" w:eastAsia="方正黑体简体" w:cs="方正黑体简体"/>
          <w:b w:val="0"/>
          <w:bCs/>
          <w:sz w:val="30"/>
          <w:szCs w:val="30"/>
          <w:lang w:eastAsia="zh-CN"/>
        </w:rPr>
        <w:t xml:space="preserve">第十五章  </w:t>
      </w:r>
      <w:bookmarkStart w:id="1280" w:name="_Toc508016732"/>
      <w:r>
        <w:rPr>
          <w:rFonts w:hint="eastAsia" w:ascii="方正黑体简体" w:hAnsi="方正黑体简体" w:eastAsia="方正黑体简体" w:cs="方正黑体简体"/>
          <w:b w:val="0"/>
          <w:bCs/>
          <w:sz w:val="30"/>
          <w:szCs w:val="30"/>
          <w:lang w:eastAsia="zh-CN"/>
        </w:rPr>
        <w:t>工程试运行</w:t>
      </w:r>
      <w:bookmarkEnd w:id="1278"/>
      <w:bookmarkEnd w:id="1280"/>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公司生产技术部是工程项目试运行工作的归口管理和监督部门，相关部门参与工程试运行期间的工作。所属各单位生产技术部门具体组织试运行工作。</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项目管理机构应组织好各参建单位在工程试运行期间的保镖工作，保镖单位要落实专人负责保镖，并确保人员和机具的齐备。</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项目管理机构应配合生产单位做好生产人员的上岗前培训工作。</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eastAsia="zh-CN"/>
        </w:rPr>
        <w:t>第一百一十五条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试运行期结束后，工程各项运行指标应达到设计文件要求。</w:t>
      </w:r>
    </w:p>
    <w:p>
      <w:pPr>
        <w:numPr>
          <w:ilvl w:val="0"/>
          <w:numId w:val="0"/>
        </w:numPr>
        <w:tabs>
          <w:tab w:val="left" w:pos="0"/>
          <w:tab w:val="left" w:pos="360"/>
        </w:tabs>
        <w:spacing w:line="560" w:lineRule="exact"/>
        <w:ind w:leftChars="0"/>
        <w:jc w:val="left"/>
        <w:rPr>
          <w:rFonts w:hint="eastAsia"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sz w:val="28"/>
          <w:szCs w:val="28"/>
        </w:rPr>
      </w:pPr>
      <w:bookmarkStart w:id="1281" w:name="_Toc447704638"/>
      <w:r>
        <w:rPr>
          <w:rFonts w:hint="eastAsia" w:ascii="方正黑体简体" w:hAnsi="方正黑体简体" w:eastAsia="方正黑体简体" w:cs="方正黑体简体"/>
          <w:b w:val="0"/>
          <w:bCs/>
          <w:sz w:val="30"/>
          <w:szCs w:val="30"/>
          <w:lang w:eastAsia="zh-CN"/>
        </w:rPr>
        <w:t xml:space="preserve">第十六章  </w:t>
      </w:r>
      <w:bookmarkStart w:id="1282" w:name="_Toc508016733"/>
      <w:r>
        <w:rPr>
          <w:rFonts w:hint="eastAsia" w:ascii="方正黑体简体" w:hAnsi="方正黑体简体" w:eastAsia="方正黑体简体" w:cs="方正黑体简体"/>
          <w:b w:val="0"/>
          <w:bCs/>
          <w:sz w:val="30"/>
          <w:szCs w:val="30"/>
          <w:lang w:eastAsia="zh-CN"/>
        </w:rPr>
        <w:t>档案资料及竣工验收</w:t>
      </w:r>
      <w:bookmarkEnd w:id="1281"/>
      <w:bookmarkEnd w:id="1282"/>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第一百一十六条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项目管理机构按照《中国石油天然气股份有限公司工程建设工程（项目）竣工验收手册》和设计文件要求以及公司相关规定，编制竣工文件，作好竣工验收的各项准备工作（包括固定资产的清点、移交工作）。</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第一百一十七条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项目竣工资料包括从立项、审批、勘察、设计、施工、试运行至竣工验收，全过程的文字、图表、电子文档、影像等不同载体形式的全部文件资料。竣工资料应按“谁执行、谁负责、谁归档”原则及有关规定，在试运期结束后，系统整理、装订成册（原件必须齐全）。除项目管理机构应建档保存外，还应向川港公司规划计划部及档案管理部门分别提交一份存档。</w:t>
      </w:r>
    </w:p>
    <w:p>
      <w:pPr>
        <w:keepNext w:val="0"/>
        <w:keepLines w:val="0"/>
        <w:pageBreakBefore w:val="0"/>
        <w:widowControl w:val="0"/>
        <w:tabs>
          <w:tab w:val="left" w:pos="360"/>
          <w:tab w:val="left" w:pos="720"/>
        </w:tabs>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sz w:val="28"/>
          <w:szCs w:val="28"/>
        </w:rPr>
        <w:t>凡竣工档案资料未通过验收的，不予进行工程项目的竣工验收。</w:t>
      </w:r>
    </w:p>
    <w:p>
      <w:pPr>
        <w:tabs>
          <w:tab w:val="left" w:pos="360"/>
          <w:tab w:val="left" w:pos="720"/>
        </w:tabs>
        <w:spacing w:line="560" w:lineRule="exact"/>
        <w:ind w:firstLine="560" w:firstLineChars="200"/>
        <w:jc w:val="left"/>
        <w:rPr>
          <w:rFonts w:hint="eastAsia" w:ascii="方正仿宋简体" w:hAnsi="宋体" w:eastAsia="方正仿宋简体"/>
          <w:sz w:val="28"/>
          <w:szCs w:val="28"/>
        </w:rPr>
      </w:pPr>
    </w:p>
    <w:bookmarkEnd w:id="1279"/>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sz w:val="28"/>
          <w:szCs w:val="28"/>
        </w:rPr>
      </w:pPr>
      <w:bookmarkStart w:id="1283" w:name="_Toc447704639"/>
      <w:r>
        <w:rPr>
          <w:rFonts w:hint="eastAsia" w:ascii="方正黑体简体" w:hAnsi="方正黑体简体" w:eastAsia="方正黑体简体" w:cs="方正黑体简体"/>
          <w:b w:val="0"/>
          <w:bCs/>
          <w:sz w:val="30"/>
          <w:szCs w:val="30"/>
          <w:lang w:eastAsia="zh-CN"/>
        </w:rPr>
        <w:t xml:space="preserve">第十七章  </w:t>
      </w:r>
      <w:bookmarkStart w:id="1284" w:name="_Toc508016734"/>
      <w:r>
        <w:rPr>
          <w:rFonts w:hint="eastAsia" w:ascii="方正黑体简体" w:hAnsi="方正黑体简体" w:eastAsia="方正黑体简体" w:cs="方正黑体简体"/>
          <w:b w:val="0"/>
          <w:bCs/>
          <w:sz w:val="30"/>
          <w:szCs w:val="30"/>
          <w:lang w:eastAsia="zh-CN"/>
        </w:rPr>
        <w:t>奖励考核</w:t>
      </w:r>
      <w:bookmarkEnd w:id="1283"/>
      <w:bookmarkEnd w:id="1284"/>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第一百一十八条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为完善项目管理制度，在保证工程建设工期、质量和HSE管理基础上，有效控制工程造价，努力提高投资回报，激励各项目管理机构切实抓好工程建设投资控制工作，公司对工程项目管理机构进行工程节余奖励考核管理。另行制定奖励考核细则。</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第一百一十九条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项目经理在工程竣工验收后需编写述职报告，由公司生产部会同有关职能部门进行考核。项目管理机构其他成员工作业绩由项目经理考核，并出具书面考核意见。</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第一百二十条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对出现结算超概、非客观因素拖延工期、非客观因素造成质量问题或安全事故的工程，不能提取工程奖励金。</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第一百二十一条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工程项目投资节余额必须经公司有关部门审查并经审计确认。剩余的投资节约必须按照原渠道上缴，不得虚列投资额。</w:t>
      </w:r>
    </w:p>
    <w:p>
      <w:pPr>
        <w:tabs>
          <w:tab w:val="left" w:pos="0"/>
          <w:tab w:val="left" w:pos="360"/>
        </w:tabs>
        <w:spacing w:line="560" w:lineRule="exact"/>
        <w:jc w:val="left"/>
        <w:rPr>
          <w:rFonts w:ascii="方正仿宋简体" w:hAnsi="宋体" w:eastAsia="方正仿宋简体"/>
          <w:sz w:val="28"/>
          <w:szCs w:val="28"/>
        </w:rPr>
      </w:pPr>
    </w:p>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0"/>
        <w:jc w:val="center"/>
        <w:textAlignment w:val="auto"/>
        <w:outlineLvl w:val="1"/>
        <w:rPr>
          <w:rFonts w:ascii="方正仿宋简体" w:hAnsi="宋体" w:eastAsia="方正仿宋简体"/>
          <w:b/>
          <w:sz w:val="28"/>
          <w:szCs w:val="28"/>
        </w:rPr>
      </w:pPr>
      <w:bookmarkStart w:id="1285" w:name="_Toc352687850"/>
      <w:bookmarkStart w:id="1286" w:name="_Toc447704640"/>
      <w:r>
        <w:rPr>
          <w:rFonts w:hint="eastAsia" w:ascii="方正黑体简体" w:hAnsi="方正黑体简体" w:eastAsia="方正黑体简体" w:cs="方正黑体简体"/>
          <w:b w:val="0"/>
          <w:bCs/>
          <w:sz w:val="30"/>
          <w:szCs w:val="30"/>
          <w:lang w:eastAsia="zh-CN"/>
        </w:rPr>
        <w:t xml:space="preserve">第十八章  </w:t>
      </w:r>
      <w:bookmarkStart w:id="1287" w:name="_Toc508016735"/>
      <w:r>
        <w:rPr>
          <w:rFonts w:hint="eastAsia" w:ascii="方正黑体简体" w:hAnsi="方正黑体简体" w:eastAsia="方正黑体简体" w:cs="方正黑体简体"/>
          <w:b w:val="0"/>
          <w:bCs/>
          <w:sz w:val="30"/>
          <w:szCs w:val="30"/>
          <w:lang w:eastAsia="zh-CN"/>
        </w:rPr>
        <w:t>附</w:t>
      </w:r>
      <w:r>
        <w:rPr>
          <w:rFonts w:hint="eastAsia" w:ascii="方正黑体简体" w:hAnsi="方正黑体简体" w:eastAsia="方正黑体简体" w:cs="方正黑体简体"/>
          <w:b w:val="0"/>
          <w:bCs/>
          <w:sz w:val="30"/>
          <w:szCs w:val="30"/>
          <w:lang w:val="en-US" w:eastAsia="zh-CN"/>
        </w:rPr>
        <w:t xml:space="preserve">  </w:t>
      </w:r>
      <w:r>
        <w:rPr>
          <w:rFonts w:hint="eastAsia" w:ascii="方正黑体简体" w:hAnsi="方正黑体简体" w:eastAsia="方正黑体简体" w:cs="方正黑体简体"/>
          <w:b w:val="0"/>
          <w:bCs/>
          <w:sz w:val="30"/>
          <w:szCs w:val="30"/>
          <w:lang w:eastAsia="zh-CN"/>
        </w:rPr>
        <w:t>则</w:t>
      </w:r>
      <w:bookmarkEnd w:id="1285"/>
      <w:bookmarkEnd w:id="1286"/>
      <w:bookmarkEnd w:id="1287"/>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第一百二十二条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各工程项目管理机构应严格按照本办法进行项目管理，并可依据本办法制订具体实施细则并报公司生产技术部备案。</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第一百二十三条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本办法未包括事宜，按国家、地方政府及中油集团有关规定执行。</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ascii="方正仿宋简体" w:hAnsi="宋体" w:eastAsia="方正仿宋简体"/>
          <w:sz w:val="28"/>
          <w:szCs w:val="28"/>
        </w:rPr>
      </w:pPr>
      <w:r>
        <w:rPr>
          <w:rFonts w:hint="eastAsia" w:ascii="方正仿宋简体" w:hAnsi="宋体" w:eastAsia="方正仿宋简体"/>
          <w:b/>
          <w:bCs/>
          <w:sz w:val="28"/>
          <w:szCs w:val="28"/>
          <w:lang w:eastAsia="zh-CN"/>
        </w:rPr>
        <w:t>第一百二十四条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本办法由公司生产技术部负责解释。</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2" w:firstLineChars="200"/>
        <w:jc w:val="both"/>
        <w:textAlignment w:val="auto"/>
        <w:outlineLvl w:val="9"/>
        <w:rPr>
          <w:rFonts w:hint="eastAsia" w:ascii="方正仿宋简体" w:hAnsi="宋体" w:eastAsia="方正仿宋简体"/>
          <w:sz w:val="28"/>
          <w:szCs w:val="28"/>
        </w:rPr>
      </w:pPr>
      <w:r>
        <w:rPr>
          <w:rFonts w:hint="eastAsia" w:ascii="方正仿宋简体" w:hAnsi="宋体" w:eastAsia="方正仿宋简体"/>
          <w:b/>
          <w:bCs/>
          <w:sz w:val="28"/>
          <w:szCs w:val="28"/>
          <w:lang w:eastAsia="zh-CN"/>
        </w:rPr>
        <w:t>第一百二十五条</w:t>
      </w:r>
      <w:r>
        <w:rPr>
          <w:rFonts w:hint="eastAsia" w:ascii="方正仿宋简体" w:hAnsi="宋体" w:eastAsia="方正仿宋简体"/>
          <w:sz w:val="28"/>
          <w:szCs w:val="28"/>
          <w:lang w:val="en-US" w:eastAsia="zh-CN"/>
        </w:rPr>
        <w:t xml:space="preserve">  </w:t>
      </w:r>
      <w:r>
        <w:rPr>
          <w:rFonts w:hint="eastAsia" w:ascii="方正仿宋简体" w:hAnsi="宋体" w:eastAsia="方正仿宋简体"/>
          <w:sz w:val="28"/>
          <w:szCs w:val="28"/>
        </w:rPr>
        <w:t>本办法自下发之日起执行。</w:t>
      </w:r>
    </w:p>
    <w:p>
      <w:pPr>
        <w:keepNext w:val="0"/>
        <w:keepLines w:val="0"/>
        <w:pageBreakBefore w:val="0"/>
        <w:widowControl w:val="0"/>
        <w:numPr>
          <w:ilvl w:val="0"/>
          <w:numId w:val="0"/>
        </w:numPr>
        <w:tabs>
          <w:tab w:val="left" w:pos="0"/>
          <w:tab w:val="left" w:pos="360"/>
        </w:tabs>
        <w:kinsoku/>
        <w:wordWrap/>
        <w:overflowPunct/>
        <w:topLinePunct w:val="0"/>
        <w:autoSpaceDE/>
        <w:autoSpaceDN/>
        <w:bidi w:val="0"/>
        <w:adjustRightInd/>
        <w:snapToGrid/>
        <w:spacing w:line="560" w:lineRule="exact"/>
        <w:ind w:leftChars="0" w:firstLine="560" w:firstLineChars="200"/>
        <w:jc w:val="both"/>
        <w:textAlignment w:val="auto"/>
        <w:outlineLvl w:val="9"/>
        <w:rPr>
          <w:rFonts w:hint="eastAsia" w:ascii="方正仿宋简体" w:hAnsi="宋体" w:eastAsia="方正仿宋简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0" w:firstLineChars="0"/>
        <w:jc w:val="both"/>
        <w:textAlignment w:val="auto"/>
        <w:outlineLvl w:val="9"/>
        <w:rPr>
          <w:rFonts w:ascii="方正仿宋简体" w:eastAsia="方正仿宋简体"/>
          <w:sz w:val="28"/>
          <w:szCs w:val="28"/>
        </w:rPr>
      </w:pPr>
      <w:r>
        <w:rPr>
          <w:rFonts w:hint="eastAsia" w:ascii="方正仿宋简体" w:eastAsia="方正仿宋简体"/>
          <w:sz w:val="28"/>
          <w:szCs w:val="28"/>
          <w:lang w:eastAsia="zh-CN"/>
        </w:rPr>
        <w:t>附件：</w:t>
      </w:r>
      <w:r>
        <w:rPr>
          <w:rFonts w:hint="eastAsia" w:ascii="方正仿宋简体" w:eastAsia="方正仿宋简体"/>
          <w:sz w:val="28"/>
          <w:szCs w:val="28"/>
        </w:rPr>
        <w:t>1</w:t>
      </w:r>
      <w:r>
        <w:rPr>
          <w:rFonts w:hint="eastAsia" w:ascii="方正仿宋简体" w:eastAsia="方正仿宋简体"/>
          <w:sz w:val="28"/>
          <w:szCs w:val="28"/>
          <w:lang w:val="en-US" w:eastAsia="zh-CN"/>
        </w:rPr>
        <w:t>.</w:t>
      </w:r>
      <w:r>
        <w:rPr>
          <w:rFonts w:hint="eastAsia" w:ascii="方正仿宋简体" w:hAnsi="宋体" w:eastAsia="方正仿宋简体"/>
          <w:sz w:val="28"/>
          <w:szCs w:val="28"/>
        </w:rPr>
        <w:t>项目管理机构申报表</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both"/>
        <w:textAlignment w:val="auto"/>
        <w:outlineLvl w:val="9"/>
        <w:rPr>
          <w:rFonts w:ascii="方正仿宋简体" w:eastAsia="方正仿宋简体"/>
          <w:sz w:val="28"/>
          <w:szCs w:val="28"/>
        </w:rPr>
      </w:pPr>
      <w:r>
        <w:rPr>
          <w:rFonts w:hint="eastAsia" w:ascii="方正仿宋简体" w:eastAsia="方正仿宋简体"/>
          <w:sz w:val="28"/>
          <w:szCs w:val="28"/>
        </w:rPr>
        <w:t>2</w:t>
      </w:r>
      <w:r>
        <w:rPr>
          <w:rFonts w:hint="eastAsia" w:ascii="方正仿宋简体" w:eastAsia="方正仿宋简体"/>
          <w:sz w:val="28"/>
          <w:szCs w:val="28"/>
          <w:lang w:val="en-US" w:eastAsia="zh-CN"/>
        </w:rPr>
        <w:t>.</w:t>
      </w:r>
      <w:r>
        <w:rPr>
          <w:rFonts w:hint="eastAsia" w:ascii="方正仿宋简体" w:hAnsi="宋体" w:eastAsia="方正仿宋简体"/>
          <w:sz w:val="28"/>
          <w:szCs w:val="28"/>
        </w:rPr>
        <w:t>工程项目施工总体部署编制纲要</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both"/>
        <w:textAlignment w:val="auto"/>
        <w:outlineLvl w:val="9"/>
        <w:rPr>
          <w:rFonts w:ascii="方正仿宋简体" w:eastAsia="方正仿宋简体"/>
          <w:sz w:val="28"/>
          <w:szCs w:val="28"/>
        </w:rPr>
      </w:pPr>
      <w:r>
        <w:rPr>
          <w:rFonts w:hint="eastAsia" w:ascii="方正仿宋简体" w:eastAsia="方正仿宋简体"/>
          <w:sz w:val="28"/>
          <w:szCs w:val="28"/>
        </w:rPr>
        <w:t>3</w:t>
      </w:r>
      <w:r>
        <w:rPr>
          <w:rFonts w:hint="eastAsia" w:ascii="方正仿宋简体" w:eastAsia="方正仿宋简体"/>
          <w:sz w:val="28"/>
          <w:szCs w:val="28"/>
          <w:lang w:val="en-US" w:eastAsia="zh-CN"/>
        </w:rPr>
        <w:t>.</w:t>
      </w:r>
      <w:r>
        <w:rPr>
          <w:rFonts w:hint="eastAsia" w:ascii="方正仿宋简体" w:eastAsia="方正仿宋简体"/>
          <w:sz w:val="28"/>
          <w:szCs w:val="28"/>
        </w:rPr>
        <w:t>工程项目</w:t>
      </w:r>
      <w:r>
        <w:rPr>
          <w:rFonts w:hint="eastAsia" w:ascii="方正仿宋简体" w:hAnsi="宋体" w:eastAsia="方正仿宋简体"/>
          <w:sz w:val="28"/>
          <w:szCs w:val="28"/>
        </w:rPr>
        <w:t>审查报备表</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both"/>
        <w:textAlignment w:val="auto"/>
        <w:outlineLvl w:val="9"/>
        <w:rPr>
          <w:rFonts w:ascii="方正仿宋简体" w:eastAsia="方正仿宋简体"/>
          <w:sz w:val="28"/>
          <w:szCs w:val="28"/>
        </w:rPr>
      </w:pPr>
      <w:r>
        <w:rPr>
          <w:rFonts w:hint="eastAsia" w:ascii="方正仿宋简体" w:eastAsia="方正仿宋简体"/>
          <w:sz w:val="28"/>
          <w:szCs w:val="28"/>
        </w:rPr>
        <w:t>4</w:t>
      </w:r>
      <w:r>
        <w:rPr>
          <w:rFonts w:hint="eastAsia" w:ascii="方正仿宋简体" w:eastAsia="方正仿宋简体"/>
          <w:sz w:val="28"/>
          <w:szCs w:val="28"/>
          <w:lang w:val="en-US" w:eastAsia="zh-CN"/>
        </w:rPr>
        <w:t>.</w:t>
      </w:r>
      <w:r>
        <w:rPr>
          <w:rFonts w:hint="eastAsia" w:ascii="方正仿宋简体" w:hAnsi="宋体" w:eastAsia="方正仿宋简体"/>
          <w:sz w:val="28"/>
          <w:szCs w:val="28"/>
        </w:rPr>
        <w:t>工程项目开工报告</w:t>
      </w:r>
    </w:p>
    <w:p>
      <w:pPr>
        <w:keepNext w:val="0"/>
        <w:keepLines w:val="0"/>
        <w:pageBreakBefore w:val="0"/>
        <w:widowControl w:val="0"/>
        <w:kinsoku/>
        <w:wordWrap/>
        <w:overflowPunct/>
        <w:topLinePunct w:val="0"/>
        <w:autoSpaceDE/>
        <w:autoSpaceDN/>
        <w:bidi w:val="0"/>
        <w:adjustRightInd/>
        <w:snapToGrid/>
        <w:spacing w:line="560" w:lineRule="exact"/>
        <w:ind w:left="559" w:leftChars="266" w:firstLine="840" w:firstLineChars="300"/>
        <w:jc w:val="both"/>
        <w:textAlignment w:val="auto"/>
        <w:outlineLvl w:val="9"/>
        <w:rPr>
          <w:rFonts w:ascii="方正仿宋简体" w:eastAsia="方正仿宋简体"/>
          <w:sz w:val="28"/>
          <w:szCs w:val="28"/>
        </w:rPr>
      </w:pPr>
      <w:r>
        <w:rPr>
          <w:rFonts w:hint="eastAsia" w:ascii="方正仿宋简体" w:eastAsia="方正仿宋简体"/>
          <w:sz w:val="28"/>
          <w:szCs w:val="28"/>
        </w:rPr>
        <w:t>5</w:t>
      </w:r>
      <w:r>
        <w:rPr>
          <w:rFonts w:hint="eastAsia" w:ascii="方正仿宋简体" w:eastAsia="方正仿宋简体"/>
          <w:sz w:val="28"/>
          <w:szCs w:val="28"/>
          <w:lang w:val="en-US" w:eastAsia="zh-CN"/>
        </w:rPr>
        <w:t>.</w:t>
      </w:r>
      <w:r>
        <w:rPr>
          <w:rFonts w:hint="eastAsia" w:ascii="方正仿宋简体" w:hAnsi="宋体" w:eastAsia="方正仿宋简体"/>
          <w:sz w:val="28"/>
          <w:szCs w:val="28"/>
        </w:rPr>
        <w:t>重点项目周报</w:t>
      </w:r>
    </w:p>
    <w:p>
      <w:pPr>
        <w:spacing w:line="560" w:lineRule="exact"/>
        <w:jc w:val="left"/>
        <w:rPr>
          <w:rFonts w:ascii="方正仿宋简体" w:eastAsia="方正仿宋简体"/>
          <w:sz w:val="28"/>
          <w:szCs w:val="28"/>
        </w:rPr>
      </w:pPr>
    </w:p>
    <w:p>
      <w:pPr>
        <w:spacing w:line="560" w:lineRule="exact"/>
        <w:jc w:val="left"/>
        <w:rPr>
          <w:rFonts w:ascii="方正仿宋简体" w:eastAsia="方正仿宋简体"/>
          <w:sz w:val="28"/>
          <w:szCs w:val="28"/>
        </w:rPr>
      </w:pPr>
    </w:p>
    <w:p>
      <w:pPr>
        <w:spacing w:line="560" w:lineRule="exact"/>
        <w:jc w:val="left"/>
        <w:rPr>
          <w:rFonts w:ascii="方正仿宋简体" w:eastAsia="方正仿宋简体"/>
          <w:sz w:val="28"/>
          <w:szCs w:val="28"/>
        </w:rPr>
      </w:pPr>
    </w:p>
    <w:p>
      <w:pPr>
        <w:spacing w:line="560" w:lineRule="exact"/>
        <w:jc w:val="left"/>
        <w:rPr>
          <w:rFonts w:ascii="方正仿宋简体" w:eastAsia="方正仿宋简体"/>
          <w:sz w:val="28"/>
          <w:szCs w:val="28"/>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ascii="方正仿宋简体" w:eastAsia="方正仿宋简体"/>
          <w:sz w:val="32"/>
        </w:rPr>
      </w:pPr>
    </w:p>
    <w:p>
      <w:pPr>
        <w:jc w:val="left"/>
        <w:rPr>
          <w:rFonts w:hint="eastAsia" w:ascii="方正黑体简体" w:hAnsi="方正黑体简体" w:eastAsia="方正黑体简体" w:cs="方正黑体简体"/>
          <w:b w:val="0"/>
          <w:bCs w:val="0"/>
          <w:sz w:val="32"/>
        </w:rPr>
      </w:pPr>
      <w:r>
        <w:rPr>
          <w:rFonts w:hint="eastAsia" w:ascii="方正黑体简体" w:hAnsi="方正黑体简体" w:eastAsia="方正黑体简体" w:cs="方正黑体简体"/>
          <w:b w:val="0"/>
          <w:bCs w:val="0"/>
          <w:sz w:val="32"/>
        </w:rPr>
        <w:t>附件1</w:t>
      </w:r>
      <w:r>
        <w:rPr>
          <w:rFonts w:hint="eastAsia" w:ascii="方正黑体简体" w:hAnsi="方正黑体简体" w:eastAsia="方正黑体简体" w:cs="方正黑体简体"/>
          <w:b w:val="0"/>
          <w:bCs w:val="0"/>
          <w:sz w:val="32"/>
          <w:lang w:val="en-US" w:eastAsia="zh-CN"/>
        </w:rPr>
        <w:t xml:space="preserve">  </w:t>
      </w:r>
      <w:r>
        <w:rPr>
          <w:rFonts w:hint="eastAsia" w:ascii="方正黑体简体" w:hAnsi="方正黑体简体" w:eastAsia="方正黑体简体" w:cs="方正黑体简体"/>
          <w:b w:val="0"/>
          <w:bCs w:val="0"/>
          <w:sz w:val="32"/>
        </w:rPr>
        <w:t>项目管理机构申报表</w:t>
      </w:r>
    </w:p>
    <w:p>
      <w:pPr>
        <w:jc w:val="center"/>
        <w:rPr>
          <w:rFonts w:ascii="方正仿宋简体" w:hAnsi="宋体" w:eastAsia="方正仿宋简体"/>
          <w:sz w:val="32"/>
        </w:rPr>
      </w:pPr>
      <w:r>
        <w:rPr>
          <w:rFonts w:hint="eastAsia" w:ascii="方正仿宋简体" w:hAnsi="宋体" w:eastAsia="方正仿宋简体"/>
          <w:sz w:val="28"/>
          <w:szCs w:val="28"/>
          <w:lang w:eastAsia="zh-CN"/>
        </w:rPr>
        <w:t>表</w:t>
      </w:r>
      <w:r>
        <w:rPr>
          <w:rFonts w:hint="eastAsia" w:ascii="方正仿宋简体" w:hAnsi="宋体" w:eastAsia="方正仿宋简体"/>
          <w:sz w:val="28"/>
          <w:szCs w:val="28"/>
          <w:lang w:val="en-US" w:eastAsia="zh-CN"/>
        </w:rPr>
        <w:t xml:space="preserve">1 </w:t>
      </w:r>
      <w:r>
        <w:rPr>
          <w:rFonts w:hint="eastAsia" w:ascii="方正仿宋简体" w:hAnsi="宋体" w:eastAsia="方正仿宋简体"/>
          <w:sz w:val="28"/>
          <w:szCs w:val="28"/>
        </w:rPr>
        <w:t>管理机构的划分（示意图）</w:t>
      </w:r>
    </w:p>
    <w:p>
      <w:pPr>
        <w:rPr>
          <w:rFonts w:ascii="方正仿宋简体" w:eastAsia="方正仿宋简体"/>
          <w:sz w:val="32"/>
        </w:rPr>
      </w:pPr>
      <w:r>
        <w:rPr>
          <w:rFonts w:ascii="方正仿宋简体" w:eastAsia="方正仿宋简体"/>
          <w:sz w:val="32"/>
        </w:rPr>
        <mc:AlternateContent>
          <mc:Choice Requires="wpg">
            <w:drawing>
              <wp:anchor distT="0" distB="0" distL="114300" distR="114300" simplePos="0" relativeHeight="2391506944" behindDoc="0" locked="0" layoutInCell="1" allowOverlap="1">
                <wp:simplePos x="0" y="0"/>
                <wp:positionH relativeFrom="column">
                  <wp:posOffset>160655</wp:posOffset>
                </wp:positionH>
                <wp:positionV relativeFrom="paragraph">
                  <wp:posOffset>151765</wp:posOffset>
                </wp:positionV>
                <wp:extent cx="5490210" cy="5244465"/>
                <wp:effectExtent l="5080" t="4445" r="6350" b="8890"/>
                <wp:wrapNone/>
                <wp:docPr id="162" name="组合 162"/>
                <wp:cNvGraphicFramePr/>
                <a:graphic xmlns:a="http://schemas.openxmlformats.org/drawingml/2006/main">
                  <a:graphicData uri="http://schemas.microsoft.com/office/word/2010/wordprocessingGroup">
                    <wpg:wgp>
                      <wpg:cNvGrpSpPr/>
                      <wpg:grpSpPr>
                        <a:xfrm rot="0">
                          <a:off x="0" y="0"/>
                          <a:ext cx="5490210" cy="5244465"/>
                          <a:chOff x="0" y="0"/>
                          <a:chExt cx="8334" cy="7492"/>
                        </a:xfrm>
                      </wpg:grpSpPr>
                      <wps:wsp>
                        <wps:cNvPr id="136" name="矩形 136"/>
                        <wps:cNvSpPr/>
                        <wps:spPr>
                          <a:xfrm>
                            <a:off x="2896" y="0"/>
                            <a:ext cx="2520" cy="62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7" name="直接连接符 137"/>
                        <wps:cNvCnPr/>
                        <wps:spPr>
                          <a:xfrm>
                            <a:off x="4083" y="640"/>
                            <a:ext cx="0" cy="468"/>
                          </a:xfrm>
                          <a:prstGeom prst="line">
                            <a:avLst/>
                          </a:prstGeom>
                          <a:ln w="9525" cap="flat" cmpd="sng">
                            <a:solidFill>
                              <a:srgbClr val="000000"/>
                            </a:solidFill>
                            <a:prstDash val="solid"/>
                            <a:headEnd type="none" w="med" len="med"/>
                            <a:tailEnd type="none" w="med" len="med"/>
                          </a:ln>
                        </wps:spPr>
                        <wps:bodyPr upright="1"/>
                      </wps:wsp>
                      <wps:wsp>
                        <wps:cNvPr id="138" name="矩形 138"/>
                        <wps:cNvSpPr/>
                        <wps:spPr>
                          <a:xfrm>
                            <a:off x="0" y="2020"/>
                            <a:ext cx="900" cy="62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9" name="矩形 139"/>
                        <wps:cNvSpPr/>
                        <wps:spPr>
                          <a:xfrm>
                            <a:off x="2415" y="2044"/>
                            <a:ext cx="900" cy="62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0" name="矩形 140"/>
                        <wps:cNvSpPr/>
                        <wps:spPr>
                          <a:xfrm>
                            <a:off x="4950" y="2068"/>
                            <a:ext cx="900" cy="62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1" name="矩形 141"/>
                        <wps:cNvSpPr/>
                        <wps:spPr>
                          <a:xfrm>
                            <a:off x="7434" y="2044"/>
                            <a:ext cx="900" cy="62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2" name="直接连接符 142"/>
                        <wps:cNvCnPr/>
                        <wps:spPr>
                          <a:xfrm>
                            <a:off x="376" y="1116"/>
                            <a:ext cx="7560" cy="0"/>
                          </a:xfrm>
                          <a:prstGeom prst="line">
                            <a:avLst/>
                          </a:prstGeom>
                          <a:ln w="9525" cap="flat" cmpd="sng">
                            <a:solidFill>
                              <a:srgbClr val="000000"/>
                            </a:solidFill>
                            <a:prstDash val="solid"/>
                            <a:headEnd type="none" w="med" len="med"/>
                            <a:tailEnd type="none" w="med" len="med"/>
                          </a:ln>
                        </wps:spPr>
                        <wps:bodyPr upright="1"/>
                      </wps:wsp>
                      <wps:wsp>
                        <wps:cNvPr id="143" name="直接连接符 143"/>
                        <wps:cNvCnPr/>
                        <wps:spPr>
                          <a:xfrm>
                            <a:off x="378" y="1120"/>
                            <a:ext cx="0" cy="900"/>
                          </a:xfrm>
                          <a:prstGeom prst="line">
                            <a:avLst/>
                          </a:prstGeom>
                          <a:ln w="9525" cap="flat" cmpd="sng">
                            <a:solidFill>
                              <a:srgbClr val="000000"/>
                            </a:solidFill>
                            <a:prstDash val="solid"/>
                            <a:headEnd type="none" w="med" len="med"/>
                            <a:tailEnd type="none" w="med" len="med"/>
                          </a:ln>
                        </wps:spPr>
                        <wps:bodyPr upright="1"/>
                      </wps:wsp>
                      <wps:wsp>
                        <wps:cNvPr id="144" name="直接连接符 144"/>
                        <wps:cNvCnPr/>
                        <wps:spPr>
                          <a:xfrm>
                            <a:off x="2868" y="1132"/>
                            <a:ext cx="0" cy="900"/>
                          </a:xfrm>
                          <a:prstGeom prst="line">
                            <a:avLst/>
                          </a:prstGeom>
                          <a:ln w="9525" cap="flat" cmpd="sng">
                            <a:solidFill>
                              <a:srgbClr val="000000"/>
                            </a:solidFill>
                            <a:prstDash val="solid"/>
                            <a:headEnd type="none" w="med" len="med"/>
                            <a:tailEnd type="none" w="med" len="med"/>
                          </a:ln>
                        </wps:spPr>
                        <wps:bodyPr upright="1"/>
                      </wps:wsp>
                      <wps:wsp>
                        <wps:cNvPr id="145" name="直接连接符 145"/>
                        <wps:cNvCnPr/>
                        <wps:spPr>
                          <a:xfrm>
                            <a:off x="7917" y="1120"/>
                            <a:ext cx="0" cy="900"/>
                          </a:xfrm>
                          <a:prstGeom prst="line">
                            <a:avLst/>
                          </a:prstGeom>
                          <a:ln w="9525" cap="flat" cmpd="sng">
                            <a:solidFill>
                              <a:srgbClr val="000000"/>
                            </a:solidFill>
                            <a:prstDash val="solid"/>
                            <a:headEnd type="none" w="med" len="med"/>
                            <a:tailEnd type="none" w="med" len="med"/>
                          </a:ln>
                        </wps:spPr>
                        <wps:bodyPr upright="1"/>
                      </wps:wsp>
                      <wps:wsp>
                        <wps:cNvPr id="146" name="直接连接符 146"/>
                        <wps:cNvCnPr/>
                        <wps:spPr>
                          <a:xfrm>
                            <a:off x="5403" y="1120"/>
                            <a:ext cx="0" cy="900"/>
                          </a:xfrm>
                          <a:prstGeom prst="line">
                            <a:avLst/>
                          </a:prstGeom>
                          <a:ln w="9525" cap="flat" cmpd="sng">
                            <a:solidFill>
                              <a:srgbClr val="000000"/>
                            </a:solidFill>
                            <a:prstDash val="solid"/>
                            <a:headEnd type="none" w="med" len="med"/>
                            <a:tailEnd type="none" w="med" len="med"/>
                          </a:ln>
                        </wps:spPr>
                        <wps:bodyPr upright="1"/>
                      </wps:wsp>
                      <wps:wsp>
                        <wps:cNvPr id="147" name="直接连接符 147"/>
                        <wps:cNvCnPr/>
                        <wps:spPr>
                          <a:xfrm>
                            <a:off x="378" y="2656"/>
                            <a:ext cx="0" cy="900"/>
                          </a:xfrm>
                          <a:prstGeom prst="line">
                            <a:avLst/>
                          </a:prstGeom>
                          <a:ln w="9525" cap="flat" cmpd="sng">
                            <a:solidFill>
                              <a:srgbClr val="000000"/>
                            </a:solidFill>
                            <a:prstDash val="solid"/>
                            <a:headEnd type="none" w="med" len="med"/>
                            <a:tailEnd type="none" w="med" len="med"/>
                          </a:ln>
                        </wps:spPr>
                        <wps:bodyPr upright="1"/>
                      </wps:wsp>
                      <wps:wsp>
                        <wps:cNvPr id="148" name="直接连接符 148"/>
                        <wps:cNvCnPr/>
                        <wps:spPr>
                          <a:xfrm>
                            <a:off x="5409" y="2692"/>
                            <a:ext cx="0" cy="900"/>
                          </a:xfrm>
                          <a:prstGeom prst="line">
                            <a:avLst/>
                          </a:prstGeom>
                          <a:ln w="9525" cap="flat" cmpd="sng">
                            <a:solidFill>
                              <a:srgbClr val="000000"/>
                            </a:solidFill>
                            <a:prstDash val="solid"/>
                            <a:headEnd type="none" w="med" len="med"/>
                            <a:tailEnd type="none" w="med" len="med"/>
                          </a:ln>
                        </wps:spPr>
                        <wps:bodyPr upright="1"/>
                      </wps:wsp>
                      <wps:wsp>
                        <wps:cNvPr id="149" name="直接连接符 149"/>
                        <wps:cNvCnPr/>
                        <wps:spPr>
                          <a:xfrm>
                            <a:off x="2865" y="2644"/>
                            <a:ext cx="0" cy="900"/>
                          </a:xfrm>
                          <a:prstGeom prst="line">
                            <a:avLst/>
                          </a:prstGeom>
                          <a:ln w="9525" cap="flat" cmpd="sng">
                            <a:solidFill>
                              <a:srgbClr val="000000"/>
                            </a:solidFill>
                            <a:prstDash val="solid"/>
                            <a:headEnd type="none" w="med" len="med"/>
                            <a:tailEnd type="none" w="med" len="med"/>
                          </a:ln>
                        </wps:spPr>
                        <wps:bodyPr upright="1"/>
                      </wps:wsp>
                      <wps:wsp>
                        <wps:cNvPr id="150" name="直接连接符 150"/>
                        <wps:cNvCnPr/>
                        <wps:spPr>
                          <a:xfrm>
                            <a:off x="7905" y="2680"/>
                            <a:ext cx="0" cy="900"/>
                          </a:xfrm>
                          <a:prstGeom prst="line">
                            <a:avLst/>
                          </a:prstGeom>
                          <a:ln w="9525" cap="flat" cmpd="sng">
                            <a:solidFill>
                              <a:srgbClr val="000000"/>
                            </a:solidFill>
                            <a:prstDash val="solid"/>
                            <a:headEnd type="none" w="med" len="med"/>
                            <a:tailEnd type="none" w="med" len="med"/>
                          </a:ln>
                        </wps:spPr>
                        <wps:bodyPr upright="1"/>
                      </wps:wsp>
                      <wps:wsp>
                        <wps:cNvPr id="151" name="直接连接符 151"/>
                        <wps:cNvCnPr/>
                        <wps:spPr>
                          <a:xfrm>
                            <a:off x="370" y="3552"/>
                            <a:ext cx="7560" cy="0"/>
                          </a:xfrm>
                          <a:prstGeom prst="line">
                            <a:avLst/>
                          </a:prstGeom>
                          <a:ln w="9525" cap="flat" cmpd="sng">
                            <a:solidFill>
                              <a:srgbClr val="000000"/>
                            </a:solidFill>
                            <a:prstDash val="solid"/>
                            <a:headEnd type="none" w="med" len="med"/>
                            <a:tailEnd type="none" w="med" len="med"/>
                          </a:ln>
                        </wps:spPr>
                        <wps:bodyPr upright="1"/>
                      </wps:wsp>
                      <wps:wsp>
                        <wps:cNvPr id="152" name="直接连接符 152"/>
                        <wps:cNvCnPr/>
                        <wps:spPr>
                          <a:xfrm>
                            <a:off x="369" y="3556"/>
                            <a:ext cx="0" cy="900"/>
                          </a:xfrm>
                          <a:prstGeom prst="line">
                            <a:avLst/>
                          </a:prstGeom>
                          <a:ln w="9525" cap="flat" cmpd="sng">
                            <a:solidFill>
                              <a:srgbClr val="000000"/>
                            </a:solidFill>
                            <a:prstDash val="solid"/>
                            <a:headEnd type="none" w="med" len="med"/>
                            <a:tailEnd type="none" w="med" len="med"/>
                          </a:ln>
                        </wps:spPr>
                        <wps:bodyPr upright="1"/>
                      </wps:wsp>
                      <wps:wsp>
                        <wps:cNvPr id="153" name="直接连接符 153"/>
                        <wps:cNvCnPr/>
                        <wps:spPr>
                          <a:xfrm>
                            <a:off x="3990" y="3568"/>
                            <a:ext cx="0" cy="900"/>
                          </a:xfrm>
                          <a:prstGeom prst="line">
                            <a:avLst/>
                          </a:prstGeom>
                          <a:ln w="9525" cap="flat" cmpd="sng">
                            <a:solidFill>
                              <a:srgbClr val="000000"/>
                            </a:solidFill>
                            <a:prstDash val="solid"/>
                            <a:headEnd type="none" w="med" len="med"/>
                            <a:tailEnd type="none" w="med" len="med"/>
                          </a:ln>
                        </wps:spPr>
                        <wps:bodyPr upright="1"/>
                      </wps:wsp>
                      <wps:wsp>
                        <wps:cNvPr id="154" name="直接连接符 154"/>
                        <wps:cNvCnPr/>
                        <wps:spPr>
                          <a:xfrm>
                            <a:off x="2070" y="3556"/>
                            <a:ext cx="0" cy="900"/>
                          </a:xfrm>
                          <a:prstGeom prst="line">
                            <a:avLst/>
                          </a:prstGeom>
                          <a:ln w="9525" cap="flat" cmpd="sng">
                            <a:solidFill>
                              <a:srgbClr val="000000"/>
                            </a:solidFill>
                            <a:prstDash val="solid"/>
                            <a:headEnd type="none" w="med" len="med"/>
                            <a:tailEnd type="none" w="med" len="med"/>
                          </a:ln>
                        </wps:spPr>
                        <wps:bodyPr upright="1"/>
                      </wps:wsp>
                      <wps:wsp>
                        <wps:cNvPr id="155" name="直接连接符 155"/>
                        <wps:cNvCnPr/>
                        <wps:spPr>
                          <a:xfrm>
                            <a:off x="7896" y="3580"/>
                            <a:ext cx="0" cy="900"/>
                          </a:xfrm>
                          <a:prstGeom prst="line">
                            <a:avLst/>
                          </a:prstGeom>
                          <a:ln w="9525" cap="flat" cmpd="sng">
                            <a:solidFill>
                              <a:srgbClr val="000000"/>
                            </a:solidFill>
                            <a:prstDash val="solid"/>
                            <a:headEnd type="none" w="med" len="med"/>
                            <a:tailEnd type="none" w="med" len="med"/>
                          </a:ln>
                        </wps:spPr>
                        <wps:bodyPr upright="1"/>
                      </wps:wsp>
                      <wps:wsp>
                        <wps:cNvPr id="156" name="直接连接符 156"/>
                        <wps:cNvCnPr/>
                        <wps:spPr>
                          <a:xfrm>
                            <a:off x="5994" y="3568"/>
                            <a:ext cx="0" cy="900"/>
                          </a:xfrm>
                          <a:prstGeom prst="line">
                            <a:avLst/>
                          </a:prstGeom>
                          <a:ln w="9525" cap="flat" cmpd="sng">
                            <a:solidFill>
                              <a:srgbClr val="000000"/>
                            </a:solidFill>
                            <a:prstDash val="solid"/>
                            <a:headEnd type="none" w="med" len="med"/>
                            <a:tailEnd type="none" w="med" len="med"/>
                          </a:ln>
                        </wps:spPr>
                        <wps:bodyPr upright="1"/>
                      </wps:wsp>
                      <wps:wsp>
                        <wps:cNvPr id="157" name="矩形 157"/>
                        <wps:cNvSpPr/>
                        <wps:spPr>
                          <a:xfrm>
                            <a:off x="66" y="4456"/>
                            <a:ext cx="531" cy="3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58" name="矩形 158"/>
                        <wps:cNvSpPr/>
                        <wps:spPr>
                          <a:xfrm>
                            <a:off x="7641" y="4492"/>
                            <a:ext cx="531" cy="3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59" name="矩形 159"/>
                        <wps:cNvSpPr/>
                        <wps:spPr>
                          <a:xfrm>
                            <a:off x="5745" y="4480"/>
                            <a:ext cx="531" cy="3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0" name="矩形 160"/>
                        <wps:cNvSpPr/>
                        <wps:spPr>
                          <a:xfrm>
                            <a:off x="3753" y="4468"/>
                            <a:ext cx="531" cy="3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1" name="矩形 161"/>
                        <wps:cNvSpPr/>
                        <wps:spPr>
                          <a:xfrm>
                            <a:off x="1830" y="4468"/>
                            <a:ext cx="531" cy="3000"/>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2.65pt;margin-top:11.95pt;height:412.95pt;width:432.3pt;z-index:-1903460352;mso-width-relative:page;mso-height-relative:page;" coordsize="8334,7492" o:gfxdata="UEsDBAoAAAAAAIdO4kAAAAAAAAAAAAAAAAAEAAAAZHJzL1BLAwQUAAAACACHTuJAwAbYHNkAAAAJ&#10;AQAADwAAAGRycy9kb3ducmV2LnhtbE2PQUvDQBCF74L/YZmCN7tJYyVJsylS1FMR2gribZudJqHZ&#10;2ZDdJu2/dzzpad7wHm++KdZX24kRB986UhDPIxBIlTMt1Qo+D2+PKQgfNBndOUIFN/SwLu/vCp0b&#10;N9EOx32oBZeQz7WCJoQ+l9JXDVrt565HYu/kBqsDr0MtzaAnLredXETRs7S6Jb7Q6B43DVbn/cUq&#10;eJ/09JLEr+P2fNrcvg/Lj69tjEo9zOJoBSLgNfyF4Ref0aFkpqO7kPGiU7BYJpzkmWQg2E/TjMWR&#10;xVOWgiwL+f+D8gdQSwMEFAAAAAgAh07iQF6OD4szBQAAHzoAAA4AAABkcnMvZTJvRG9jLnhtbO1b&#10;y47kNBTdI/EPUfZ05WEnlairZjE93RsEIw18gDtvKS/Z6a7uPQtWiD0SSCOBhMSSHUJ8zTB8BteO&#10;U0mnJpOqQRqqVK5FVEkcx74+Off6+Pry2UORa/cRZVlVrnTzwtC1qAyqMCuTlf71V9efLXWNNaQM&#10;SV6V0Up/jJj+bP3pJ5eb2o+sKq3yMKIaVFIyf1Ov9LRpan+xYEEaFYRdVHVUws24ogVp4JQmi5CS&#10;DdRe5AvLMJzFpqJhTasgYgyuXrU39bWoP46joPkyjlnUaPlKh7Y14kjF8ZYfF+tL4ieU1GkWyGaQ&#10;D2hFQbISXrqt6oo0RLuj2U5VRRbQilVxcxFUxaKK4yyIRB+gN6Yx6s0Nre5q0ZfE3yT11kxg2pGd&#10;Prja4Iv7l1TLQhg7x9K1khQwSG//+ObN999q/ArYZ1MnPhS7ofWr+iWVF5L2jHf5IaaFRithWn4O&#10;ndIehIUftxaOHhotgIsYeYZlwkAEcA9bCCEHt2MQpDBQO88F6Qv55NK2UfuYizzRrkX76vXlgrdw&#10;26BNDUhivbHYfzPWq5TUkRgDxq3QGct2tsb66dc3f77WTLgibCOKbS3FfAZG68w0MI+19KCKXQtZ&#10;2JLmcSzEa9x2k/g1Zc1NVBUa/7PSKaBbgI7cf86atmhXhL+JVXkWXmd5Lk5ocvs8p9o9gS/hWvxk&#10;7U+K5aW2WeketjAYm8AHGeekgb9FDRBhZSLe9+QJNqzYEL93VcwbdkVY2jZA1MCLEb/ImoiKf2lE&#10;whdlqDWPNYCwBL7QeWOKKNS1PAJ64f9EyYZk+T4lwXZ5KQDSjQNHx20VPsI43tU0S1KwoynaK3HD&#10;8f5RAORuAfTD739/9/M/f/0Ix7e//QJIcnmDeDMAcM9L+c11PehQv/3QkLG0BZIcJPms+9okkJCz&#10;FD3sn+xQIoGUZ2BqPhYTQPr4oDgvKICPlMTbcYkYMImAeS6BcQYisQxgDvF5dOPvGYpKzoFKvB38&#10;eAMGmcePhUygewEhJHwO8RWEzoqCwHOMKKj1JXtTEPJwx0Ktt1EQIv55QcjcgZAIrPaGkIt4hK9Y&#10;6HxjYtTPQMcxMdw6JCa23XZyZZqmmJb1bORiRwZFIlianl2poPh/nR8hmNPIoHgHC/aBWID4GmjF&#10;NMfxsQQCD5MBXAoKRzpVhph0EgoiXN17qmwtIThpsWALQul5QWGhF1iOWDZBMFGZogWhJO6NBdcz&#10;QYJRvDAjth0zFnoNdsdFDMXYeQkNI6OV0JSPeJ/wesxYmJZT0WFyqu22LsJy8Ch0VC7iNFxEL6fu&#10;0MJQV92LFkBa4zNSp11yUuHCu9ZjjpkWeml0BwtDjXQeCxA6So3UGWukihdOghe4QDkROsKtQ9QF&#10;1zM6LCxHSy4KC6eBhV6sHPMCHqqW87xguzDk4CJsjEczSqU0Ddbsj9hHwLhN8sKBqqPThguABRU6&#10;TqZvHDMUpkVHfKDo6HkdL4zXw5SLOA0XMa064gNVR6P3EYoXTpIXplVHfKDq2KX92ViFjtMpfsfs&#10;I6ZVx9br761AY89rF7xtrHzEaWKhVx1l5h4eio3zmVdOu0yN0DhgxDbMUHiStA0Zte9fnVRpwHMJ&#10;w8fMJr1Y2SFoqFHOI8h1ECAFgIJkWnyvUSoMnUcqOe5Fzg5DQ21zHkPY5cuqAkPjoERh6DwwxJOi&#10;nuagw5VeE53HkO3CDLnF0DiYURg6Ewz1oqrkIWeopc5jyFzarWgC28KEF1S+DJJBjySLWOyyg12I&#10;IlFO7pjk2xyH52KrVb+v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wAbYHNkAAAAJAQAADwAA&#10;AAAAAAABACAAAAAiAAAAZHJzL2Rvd25yZXYueG1sUEsBAhQAFAAAAAgAh07iQF6OD4szBQAAHzoA&#10;AA4AAAAAAAAAAQAgAAAAKAEAAGRycy9lMm9Eb2MueG1sUEsFBgAAAAAGAAYAWQEAAM0IAAAAAA==&#10;">
                <o:lock v:ext="edit" aspectratio="f"/>
                <v:rect id="_x0000_s1026" o:spid="_x0000_s1026" o:spt="1" style="position:absolute;left:2896;top:0;height:624;width:2520;"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_x0000_s1026" o:spid="_x0000_s1026" o:spt="20" style="position:absolute;left:4083;top:640;height:468;width: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0;top:2020;height:624;width:900;"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2415;top:2044;height:624;width:900;"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4950;top:2068;height:624;width:900;" fillcolor="#FFFFFF" filled="t" stroked="t" coordsize="21600,21600"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7434;top:2044;height:624;width:900;"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line id="_x0000_s1026" o:spid="_x0000_s1026" o:spt="20" style="position:absolute;left:376;top:1116;height:0;width:7560;"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78;top:1120;height:900;width:0;" filled="f" stroked="t" coordsize="21600,21600" o:gfxdata="UEsDBAoAAAAAAIdO4kAAAAAAAAAAAAAAAAAEAAAAZHJzL1BLAwQUAAAACACHTuJAgkW+kL0AAADc&#10;AAAADwAAAGRycy9kb3ducmV2LnhtbEVPTWvCQBC9C/6HZYRexOyaS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b6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868;top:1132;height:900;width:0;"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917;top:1120;height:900;width:0;"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403;top:1120;height:900;width: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78;top:2656;height:900;width: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409;top:2692;height:900;width:0;"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2865;top:2644;height:900;width:0;"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905;top:2680;height:900;width:0;"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370;top:3552;height:0;width:756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69;top:3556;height:900;width:0;"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990;top:3568;height:900;width:0;"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70;top:3556;height:900;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896;top:3580;height:900;width:0;"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994;top:3568;height:900;width:0;"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_x0000_s1026" o:spid="_x0000_s1026" o:spt="1" style="position:absolute;left:66;top:4456;height:3000;width:531;"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_x0000_s1026" o:spid="_x0000_s1026" o:spt="1" style="position:absolute;left:7641;top:4492;height:3000;width:531;"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5745;top:4480;height:3000;width:531;"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3753;top:4468;height:3000;width:531;" fillcolor="#FFFFFF" filled="t" stroked="t" coordsize="21600,21600" o:gfxdata="UEsDBAoAAAAAAIdO4kAAAAAAAAAAAAAAAAAEAAAAZHJzL1BLAwQUAAAACACHTuJAXS6dv70AAADc&#10;AAAADwAAAGRycy9kb3ducmV2LnhtbEWPQW/CMAyF75P4D5GRuI0EJqGtEDiAQOMI5bKbaby2o3Gq&#10;JkDh18+HSbvZes/vfV6set+oG3WxDmxhMjagiIvgai4tnPLt6zuomJAdNoHJwoMirJaDlwVmLtz5&#10;QLdjKpWEcMzQQpVSm2kdi4o8xnFoiUX7Dp3HJGtXatfhXcJ9o6fGzLT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p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830;top:4468;height:3000;width:531;"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w:pict>
          </mc:Fallback>
        </mc:AlternateContent>
      </w: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32"/>
        </w:rPr>
      </w:pPr>
    </w:p>
    <w:p>
      <w:pPr>
        <w:rPr>
          <w:rFonts w:ascii="方正仿宋简体" w:eastAsia="方正仿宋简体"/>
          <w:sz w:val="28"/>
          <w:szCs w:val="28"/>
        </w:rPr>
      </w:pPr>
      <w:r>
        <w:rPr>
          <w:rFonts w:hint="eastAsia" w:ascii="方正仿宋简体" w:eastAsia="方正仿宋简体"/>
          <w:sz w:val="28"/>
          <w:szCs w:val="28"/>
        </w:rPr>
        <w:t>注：方框内填报机构名称和负责人姓名</w:t>
      </w:r>
    </w:p>
    <w:p>
      <w:pPr>
        <w:jc w:val="left"/>
        <w:rPr>
          <w:rFonts w:ascii="方正仿宋简体" w:eastAsia="方正仿宋简体"/>
          <w:sz w:val="32"/>
        </w:rPr>
      </w:pPr>
    </w:p>
    <w:p>
      <w:pPr>
        <w:jc w:val="left"/>
        <w:rPr>
          <w:rFonts w:ascii="方正仿宋简体" w:eastAsia="方正仿宋简体"/>
          <w:sz w:val="32"/>
        </w:rPr>
      </w:pPr>
    </w:p>
    <w:p>
      <w:pPr>
        <w:jc w:val="center"/>
        <w:rPr>
          <w:rFonts w:ascii="方正仿宋简体" w:hAnsi="宋体" w:eastAsia="方正仿宋简体"/>
          <w:sz w:val="28"/>
          <w:szCs w:val="28"/>
        </w:rPr>
      </w:pPr>
      <w:r>
        <w:rPr>
          <w:rFonts w:hint="eastAsia" w:ascii="方正仿宋简体" w:hAnsi="宋体" w:eastAsia="方正仿宋简体"/>
          <w:sz w:val="28"/>
          <w:szCs w:val="28"/>
        </w:rPr>
        <w:t>表2 管理机构干部情况一览表</w:t>
      </w:r>
    </w:p>
    <w:tbl>
      <w:tblPr>
        <w:tblStyle w:val="51"/>
        <w:tblpPr w:leftFromText="180" w:rightFromText="180" w:vertAnchor="text" w:horzAnchor="page" w:tblpX="1855" w:tblpY="671"/>
        <w:tblOverlap w:val="never"/>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41"/>
        <w:gridCol w:w="607"/>
        <w:gridCol w:w="986"/>
        <w:gridCol w:w="844"/>
        <w:gridCol w:w="1126"/>
        <w:gridCol w:w="844"/>
        <w:gridCol w:w="985"/>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6" w:hRule="atLeast"/>
        </w:trPr>
        <w:tc>
          <w:tcPr>
            <w:tcW w:w="48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序</w:t>
            </w:r>
          </w:p>
          <w:p>
            <w:pPr>
              <w:snapToGrid w:val="0"/>
              <w:jc w:val="center"/>
              <w:rPr>
                <w:rFonts w:ascii="方正仿宋简体" w:eastAsia="方正仿宋简体"/>
                <w:b/>
              </w:rPr>
            </w:pPr>
            <w:r>
              <w:rPr>
                <w:rFonts w:hint="eastAsia" w:ascii="方正仿宋简体" w:eastAsia="方正仿宋简体"/>
                <w:b/>
              </w:rPr>
              <w:t>号</w:t>
            </w:r>
          </w:p>
        </w:tc>
        <w:tc>
          <w:tcPr>
            <w:tcW w:w="94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姓名</w:t>
            </w:r>
          </w:p>
        </w:tc>
        <w:tc>
          <w:tcPr>
            <w:tcW w:w="6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性</w:t>
            </w:r>
          </w:p>
          <w:p>
            <w:pPr>
              <w:snapToGrid w:val="0"/>
              <w:jc w:val="center"/>
              <w:rPr>
                <w:rFonts w:ascii="方正仿宋简体" w:eastAsia="方正仿宋简体"/>
                <w:b/>
              </w:rPr>
            </w:pPr>
            <w:r>
              <w:rPr>
                <w:rFonts w:hint="eastAsia" w:ascii="方正仿宋简体" w:eastAsia="方正仿宋简体"/>
                <w:b/>
              </w:rPr>
              <w:t>别</w:t>
            </w:r>
          </w:p>
        </w:tc>
        <w:tc>
          <w:tcPr>
            <w:tcW w:w="9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出生</w:t>
            </w:r>
          </w:p>
          <w:p>
            <w:pPr>
              <w:snapToGrid w:val="0"/>
              <w:jc w:val="center"/>
              <w:rPr>
                <w:rFonts w:ascii="方正仿宋简体" w:eastAsia="方正仿宋简体"/>
                <w:b/>
              </w:rPr>
            </w:pPr>
            <w:r>
              <w:rPr>
                <w:rFonts w:hint="eastAsia" w:ascii="方正仿宋简体" w:eastAsia="方正仿宋简体"/>
                <w:b/>
              </w:rPr>
              <w:t>日期</w:t>
            </w:r>
          </w:p>
        </w:tc>
        <w:tc>
          <w:tcPr>
            <w:tcW w:w="84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职务</w:t>
            </w:r>
          </w:p>
        </w:tc>
        <w:tc>
          <w:tcPr>
            <w:tcW w:w="112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专业</w:t>
            </w:r>
          </w:p>
        </w:tc>
        <w:tc>
          <w:tcPr>
            <w:tcW w:w="84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职称</w:t>
            </w:r>
          </w:p>
        </w:tc>
        <w:tc>
          <w:tcPr>
            <w:tcW w:w="9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项目管理培训证书号</w:t>
            </w: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所在单位名称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trPr>
        <w:tc>
          <w:tcPr>
            <w:tcW w:w="48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60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26"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523"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bl>
    <w:p>
      <w:pPr>
        <w:ind w:firstLine="5565"/>
        <w:rPr>
          <w:rFonts w:ascii="方正仿宋简体" w:eastAsia="方正仿宋简体"/>
          <w:sz w:val="32"/>
        </w:rPr>
      </w:pPr>
    </w:p>
    <w:p>
      <w:pPr>
        <w:snapToGrid w:val="0"/>
        <w:ind w:firstLine="5562"/>
        <w:rPr>
          <w:rFonts w:ascii="方正仿宋简体" w:eastAsia="方正仿宋简体"/>
          <w:sz w:val="32"/>
        </w:rPr>
      </w:pPr>
      <w:r>
        <w:rPr>
          <w:rFonts w:hint="eastAsia" w:ascii="方正仿宋简体" w:eastAsia="方正仿宋简体"/>
          <w:sz w:val="32"/>
        </w:rPr>
        <w:t>单位：（盖章）</w:t>
      </w:r>
    </w:p>
    <w:p>
      <w:pPr>
        <w:snapToGrid w:val="0"/>
        <w:ind w:firstLine="5562"/>
        <w:rPr>
          <w:rFonts w:ascii="方正仿宋简体" w:eastAsia="方正仿宋简体"/>
          <w:sz w:val="32"/>
        </w:rPr>
      </w:pPr>
      <w:r>
        <w:rPr>
          <w:rFonts w:hint="eastAsia" w:ascii="方正仿宋简体" w:eastAsia="方正仿宋简体"/>
          <w:sz w:val="32"/>
        </w:rPr>
        <w:t>日期：</w:t>
      </w:r>
    </w:p>
    <w:p>
      <w:pPr>
        <w:jc w:val="center"/>
        <w:rPr>
          <w:rFonts w:ascii="方正仿宋简体" w:hAnsi="宋体" w:eastAsia="方正仿宋简体"/>
          <w:sz w:val="32"/>
        </w:rPr>
      </w:pPr>
      <w:r>
        <w:rPr>
          <w:rFonts w:ascii="方正仿宋简体" w:eastAsia="方正仿宋简体"/>
          <w:sz w:val="32"/>
        </w:rPr>
        <w:br w:type="page"/>
      </w:r>
      <w:r>
        <w:rPr>
          <w:rFonts w:hint="eastAsia" w:ascii="方正仿宋简体" w:hAnsi="宋体" w:eastAsia="方正仿宋简体"/>
          <w:sz w:val="28"/>
          <w:szCs w:val="28"/>
        </w:rPr>
        <w:t>表3 项目机构成员及职责表</w:t>
      </w:r>
    </w:p>
    <w:tbl>
      <w:tblPr>
        <w:tblStyle w:val="51"/>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310"/>
        <w:gridCol w:w="1142"/>
        <w:gridCol w:w="3709"/>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序号</w:t>
            </w:r>
          </w:p>
        </w:tc>
        <w:tc>
          <w:tcPr>
            <w:tcW w:w="131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姓名</w:t>
            </w:r>
          </w:p>
        </w:tc>
        <w:tc>
          <w:tcPr>
            <w:tcW w:w="1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职务</w:t>
            </w:r>
          </w:p>
        </w:tc>
        <w:tc>
          <w:tcPr>
            <w:tcW w:w="3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职责及质量责任</w:t>
            </w:r>
          </w:p>
        </w:tc>
        <w:tc>
          <w:tcPr>
            <w:tcW w:w="16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项目管理培训</w:t>
            </w:r>
          </w:p>
          <w:p>
            <w:pPr>
              <w:snapToGrid w:val="0"/>
              <w:jc w:val="center"/>
              <w:rPr>
                <w:rFonts w:ascii="方正仿宋简体" w:eastAsia="方正仿宋简体"/>
                <w:b/>
              </w:rPr>
            </w:pPr>
            <w:r>
              <w:rPr>
                <w:rFonts w:hint="eastAsia" w:ascii="方正仿宋简体" w:eastAsia="方正仿宋简体"/>
                <w:b/>
              </w:rPr>
              <w:t>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3709"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eastAsia="方正仿宋简体"/>
                <w:sz w:val="32"/>
              </w:rPr>
            </w:pPr>
          </w:p>
        </w:tc>
      </w:tr>
    </w:tbl>
    <w:p>
      <w:pPr>
        <w:snapToGrid w:val="0"/>
        <w:ind w:firstLine="4872" w:firstLineChars="1740"/>
        <w:rPr>
          <w:rFonts w:ascii="方正仿宋简体" w:eastAsia="方正仿宋简体"/>
          <w:sz w:val="28"/>
          <w:szCs w:val="28"/>
        </w:rPr>
      </w:pPr>
      <w:r>
        <w:rPr>
          <w:rFonts w:hint="eastAsia" w:ascii="方正仿宋简体" w:eastAsia="方正仿宋简体"/>
          <w:sz w:val="28"/>
          <w:szCs w:val="28"/>
        </w:rPr>
        <w:t>单位：（盖章）</w:t>
      </w:r>
    </w:p>
    <w:p>
      <w:pPr>
        <w:snapToGrid w:val="0"/>
        <w:ind w:firstLine="4872" w:firstLineChars="1740"/>
        <w:rPr>
          <w:rFonts w:ascii="方正仿宋简体" w:eastAsia="方正仿宋简体"/>
          <w:sz w:val="28"/>
          <w:szCs w:val="28"/>
        </w:rPr>
      </w:pPr>
      <w:r>
        <w:rPr>
          <w:rFonts w:hint="eastAsia" w:ascii="方正仿宋简体" w:eastAsia="方正仿宋简体"/>
          <w:sz w:val="28"/>
          <w:szCs w:val="28"/>
        </w:rPr>
        <w:t>日期：</w:t>
      </w:r>
    </w:p>
    <w:p>
      <w:pPr>
        <w:jc w:val="center"/>
        <w:rPr>
          <w:rFonts w:ascii="方正仿宋简体" w:hAnsi="宋体" w:eastAsia="方正仿宋简体"/>
          <w:sz w:val="28"/>
          <w:szCs w:val="28"/>
        </w:rPr>
      </w:pPr>
      <w:r>
        <w:rPr>
          <w:rFonts w:ascii="方正仿宋简体" w:eastAsia="方正仿宋简体"/>
          <w:sz w:val="32"/>
        </w:rPr>
        <w:br w:type="page"/>
      </w:r>
      <w:r>
        <w:rPr>
          <w:rFonts w:hint="eastAsia" w:ascii="方正仿宋简体" w:hAnsi="宋体" w:eastAsia="方正仿宋简体"/>
          <w:sz w:val="28"/>
          <w:szCs w:val="28"/>
        </w:rPr>
        <w:t>表4 项目经理、副项目经理情况简表</w:t>
      </w:r>
    </w:p>
    <w:tbl>
      <w:tblPr>
        <w:tblStyle w:val="51"/>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70"/>
        <w:gridCol w:w="825"/>
        <w:gridCol w:w="782"/>
        <w:gridCol w:w="68"/>
        <w:gridCol w:w="870"/>
        <w:gridCol w:w="122"/>
        <w:gridCol w:w="426"/>
        <w:gridCol w:w="850"/>
        <w:gridCol w:w="284"/>
        <w:gridCol w:w="567"/>
        <w:gridCol w:w="560"/>
        <w:gridCol w:w="99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姓名</w:t>
            </w:r>
          </w:p>
        </w:tc>
        <w:tc>
          <w:tcPr>
            <w:tcW w:w="1095"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78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性别</w:t>
            </w:r>
          </w:p>
        </w:tc>
        <w:tc>
          <w:tcPr>
            <w:tcW w:w="93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54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出生日期</w:t>
            </w:r>
          </w:p>
        </w:tc>
        <w:tc>
          <w:tcPr>
            <w:tcW w:w="8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851"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原单位名称</w:t>
            </w:r>
          </w:p>
        </w:tc>
        <w:tc>
          <w:tcPr>
            <w:tcW w:w="2506"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职称</w:t>
            </w:r>
          </w:p>
        </w:tc>
        <w:tc>
          <w:tcPr>
            <w:tcW w:w="1095"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学历及</w:t>
            </w:r>
          </w:p>
          <w:p>
            <w:pPr>
              <w:snapToGrid w:val="0"/>
              <w:jc w:val="center"/>
              <w:rPr>
                <w:rFonts w:ascii="方正仿宋简体" w:eastAsia="方正仿宋简体"/>
                <w:b/>
              </w:rPr>
            </w:pPr>
            <w:r>
              <w:rPr>
                <w:rFonts w:hint="eastAsia" w:ascii="方正仿宋简体" w:eastAsia="方正仿宋简体"/>
                <w:b/>
              </w:rPr>
              <w:t>证件号</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c>
          <w:tcPr>
            <w:tcW w:w="1560"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项目管理培训资质证书号</w:t>
            </w:r>
          </w:p>
        </w:tc>
        <w:tc>
          <w:tcPr>
            <w:tcW w:w="112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99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申报资质等级</w:t>
            </w:r>
          </w:p>
        </w:tc>
        <w:tc>
          <w:tcPr>
            <w:tcW w:w="94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106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联系地址及电话号</w:t>
            </w:r>
          </w:p>
        </w:tc>
        <w:tc>
          <w:tcPr>
            <w:tcW w:w="7300" w:type="dxa"/>
            <w:gridSpan w:val="12"/>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360" w:type="dxa"/>
            <w:gridSpan w:val="14"/>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ind w:firstLine="105"/>
              <w:jc w:val="left"/>
              <w:rPr>
                <w:rFonts w:ascii="方正仿宋简体" w:eastAsia="方正仿宋简体"/>
                <w:b/>
              </w:rPr>
            </w:pPr>
            <w:r>
              <w:rPr>
                <w:rFonts w:hint="eastAsia" w:ascii="方正仿宋简体" w:eastAsia="方正仿宋简体"/>
                <w:b/>
              </w:rPr>
              <w:t>业绩：</w:t>
            </w: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both"/>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both"/>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ind w:firstLine="5755" w:firstLineChars="2730"/>
              <w:rPr>
                <w:rFonts w:ascii="方正仿宋简体" w:eastAsia="方正仿宋简体"/>
                <w:b/>
              </w:rPr>
            </w:pPr>
            <w:r>
              <w:rPr>
                <w:rFonts w:hint="eastAsia" w:ascii="方正仿宋简体" w:eastAsia="方正仿宋简体"/>
                <w:b/>
              </w:rPr>
              <w:t>本人签章：</w:t>
            </w:r>
          </w:p>
          <w:p>
            <w:pPr>
              <w:snapToGrid w:val="0"/>
              <w:ind w:firstLine="5260"/>
              <w:jc w:val="center"/>
              <w:rPr>
                <w:rFonts w:ascii="方正仿宋简体" w:eastAsia="方正仿宋简体"/>
                <w:b/>
              </w:rPr>
            </w:pPr>
          </w:p>
          <w:p>
            <w:pPr>
              <w:snapToGrid w:val="0"/>
              <w:ind w:firstLine="4980"/>
              <w:jc w:val="center"/>
              <w:rPr>
                <w:rFonts w:ascii="方正仿宋简体" w:eastAsia="方正仿宋简体"/>
                <w:b/>
              </w:rPr>
            </w:pPr>
            <w:r>
              <w:rPr>
                <w:rFonts w:hint="eastAsia" w:ascii="方正仿宋简体" w:eastAsia="方正仿宋简体"/>
                <w:b/>
              </w:rPr>
              <w:t xml:space="preserve"> 年 月 日</w:t>
            </w:r>
          </w:p>
          <w:p>
            <w:pPr>
              <w:snapToGrid w:val="0"/>
              <w:jc w:val="center"/>
              <w:rPr>
                <w:rFonts w:ascii="方正仿宋简体" w:eastAsia="方正仿宋简体"/>
                <w:b/>
              </w:rPr>
            </w:pPr>
          </w:p>
          <w:p>
            <w:pPr>
              <w:snapToGrid w:val="0"/>
              <w:jc w:val="center"/>
              <w:rPr>
                <w:rFonts w:ascii="方正仿宋简体" w:eastAsia="方正仿宋简体"/>
                <w:b/>
              </w:rPr>
            </w:pPr>
          </w:p>
        </w:tc>
      </w:tr>
    </w:tbl>
    <w:p>
      <w:pPr>
        <w:jc w:val="center"/>
        <w:rPr>
          <w:rFonts w:ascii="方正仿宋简体" w:hAnsi="宋体" w:eastAsia="方正仿宋简体"/>
          <w:sz w:val="32"/>
        </w:rPr>
      </w:pPr>
      <w:r>
        <w:rPr>
          <w:rFonts w:ascii="方正仿宋简体" w:eastAsia="方正仿宋简体"/>
          <w:sz w:val="32"/>
        </w:rPr>
        <w:br w:type="page"/>
      </w:r>
      <w:r>
        <w:rPr>
          <w:rFonts w:hint="eastAsia" w:ascii="方正仿宋简体" w:hAnsi="宋体" w:eastAsia="方正仿宋简体"/>
          <w:sz w:val="28"/>
          <w:szCs w:val="28"/>
        </w:rPr>
        <w:t>表5 各专业负责人情况简表</w:t>
      </w:r>
    </w:p>
    <w:tbl>
      <w:tblPr>
        <w:tblStyle w:val="51"/>
        <w:tblW w:w="83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792"/>
        <w:gridCol w:w="268"/>
        <w:gridCol w:w="528"/>
        <w:gridCol w:w="181"/>
        <w:gridCol w:w="425"/>
        <w:gridCol w:w="497"/>
        <w:gridCol w:w="70"/>
        <w:gridCol w:w="851"/>
        <w:gridCol w:w="189"/>
        <w:gridCol w:w="661"/>
        <w:gridCol w:w="419"/>
        <w:gridCol w:w="126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5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姓名</w:t>
            </w:r>
          </w:p>
        </w:tc>
        <w:tc>
          <w:tcPr>
            <w:tcW w:w="106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52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性别</w:t>
            </w:r>
          </w:p>
        </w:tc>
        <w:tc>
          <w:tcPr>
            <w:tcW w:w="606"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56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出生日期</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850"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原单位名称</w:t>
            </w:r>
          </w:p>
        </w:tc>
        <w:tc>
          <w:tcPr>
            <w:tcW w:w="3359"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54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职称</w:t>
            </w:r>
          </w:p>
        </w:tc>
        <w:tc>
          <w:tcPr>
            <w:tcW w:w="7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p>
        </w:tc>
        <w:tc>
          <w:tcPr>
            <w:tcW w:w="97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学历及</w:t>
            </w:r>
          </w:p>
          <w:p>
            <w:pPr>
              <w:snapToGrid w:val="0"/>
              <w:jc w:val="center"/>
              <w:rPr>
                <w:rFonts w:ascii="方正仿宋简体" w:eastAsia="方正仿宋简体"/>
                <w:b/>
              </w:rPr>
            </w:pPr>
            <w:r>
              <w:rPr>
                <w:rFonts w:hint="eastAsia" w:ascii="方正仿宋简体" w:eastAsia="方正仿宋简体"/>
                <w:b/>
              </w:rPr>
              <w:t>证件号</w:t>
            </w:r>
          </w:p>
        </w:tc>
        <w:tc>
          <w:tcPr>
            <w:tcW w:w="922"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c>
          <w:tcPr>
            <w:tcW w:w="1110"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r>
              <w:rPr>
                <w:rFonts w:hint="eastAsia" w:ascii="方正仿宋简体" w:eastAsia="方正仿宋简体"/>
                <w:b/>
              </w:rPr>
              <w:t>项目管</w:t>
            </w:r>
          </w:p>
          <w:p>
            <w:pPr>
              <w:snapToGrid w:val="0"/>
              <w:jc w:val="center"/>
              <w:rPr>
                <w:rFonts w:ascii="方正仿宋简体" w:eastAsia="方正仿宋简体"/>
                <w:b/>
              </w:rPr>
            </w:pPr>
            <w:r>
              <w:rPr>
                <w:rFonts w:hint="eastAsia" w:ascii="方正仿宋简体" w:eastAsia="方正仿宋简体"/>
                <w:b/>
              </w:rPr>
              <w:t>理培训</w:t>
            </w:r>
          </w:p>
          <w:p>
            <w:pPr>
              <w:snapToGrid w:val="0"/>
              <w:jc w:val="center"/>
              <w:rPr>
                <w:rFonts w:ascii="方正仿宋简体" w:eastAsia="方正仿宋简体"/>
                <w:b/>
              </w:rPr>
            </w:pPr>
            <w:r>
              <w:rPr>
                <w:rFonts w:hint="eastAsia" w:ascii="方正仿宋简体" w:eastAsia="方正仿宋简体"/>
                <w:b/>
              </w:rPr>
              <w:t>证书号</w:t>
            </w:r>
          </w:p>
        </w:tc>
        <w:tc>
          <w:tcPr>
            <w:tcW w:w="108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c>
          <w:tcPr>
            <w:tcW w:w="12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jc w:val="center"/>
              <w:rPr>
                <w:rFonts w:ascii="方正仿宋简体" w:eastAsia="方正仿宋简体"/>
                <w:b/>
              </w:rPr>
            </w:pPr>
            <w:r>
              <w:rPr>
                <w:rFonts w:hint="eastAsia" w:ascii="方正仿宋简体" w:eastAsia="方正仿宋简体"/>
                <w:b/>
              </w:rPr>
              <w:t>联系地址</w:t>
            </w:r>
          </w:p>
          <w:p>
            <w:pPr>
              <w:snapToGrid w:val="0"/>
              <w:jc w:val="center"/>
              <w:rPr>
                <w:rFonts w:ascii="方正仿宋简体" w:eastAsia="方正仿宋简体"/>
                <w:b/>
              </w:rPr>
            </w:pPr>
            <w:r>
              <w:rPr>
                <w:rFonts w:hint="eastAsia" w:ascii="方正仿宋简体" w:eastAsia="方正仿宋简体"/>
                <w:b/>
              </w:rPr>
              <w:t>及电话号</w:t>
            </w: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364" w:type="dxa"/>
            <w:gridSpan w:val="14"/>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ind w:firstLine="105"/>
              <w:jc w:val="left"/>
              <w:rPr>
                <w:rFonts w:ascii="方正仿宋简体" w:eastAsia="方正仿宋简体"/>
                <w:b/>
              </w:rPr>
            </w:pPr>
            <w:r>
              <w:rPr>
                <w:rFonts w:hint="eastAsia" w:ascii="方正仿宋简体" w:eastAsia="方正仿宋简体"/>
                <w:b/>
              </w:rPr>
              <w:t>工作简历：</w:t>
            </w: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both"/>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jc w:val="center"/>
              <w:rPr>
                <w:rFonts w:ascii="方正仿宋简体" w:eastAsia="方正仿宋简体"/>
                <w:b/>
              </w:rPr>
            </w:pPr>
          </w:p>
          <w:p>
            <w:pPr>
              <w:snapToGrid w:val="0"/>
              <w:ind w:firstLine="5473" w:firstLineChars="2596"/>
              <w:rPr>
                <w:rFonts w:ascii="方正仿宋简体" w:eastAsia="方正仿宋简体"/>
                <w:b/>
              </w:rPr>
            </w:pPr>
            <w:r>
              <w:rPr>
                <w:rFonts w:hint="eastAsia" w:ascii="方正仿宋简体" w:eastAsia="方正仿宋简体"/>
                <w:b/>
              </w:rPr>
              <w:t>本人签章：</w:t>
            </w:r>
          </w:p>
          <w:p>
            <w:pPr>
              <w:snapToGrid w:val="0"/>
              <w:ind w:firstLine="5260"/>
              <w:jc w:val="center"/>
              <w:rPr>
                <w:rFonts w:ascii="方正仿宋简体" w:eastAsia="方正仿宋简体"/>
                <w:b/>
              </w:rPr>
            </w:pPr>
          </w:p>
          <w:p>
            <w:pPr>
              <w:snapToGrid w:val="0"/>
              <w:ind w:firstLine="4980"/>
              <w:jc w:val="center"/>
              <w:rPr>
                <w:rFonts w:ascii="方正仿宋简体" w:eastAsia="方正仿宋简体"/>
                <w:b/>
              </w:rPr>
            </w:pPr>
            <w:r>
              <w:rPr>
                <w:rFonts w:hint="eastAsia" w:ascii="方正仿宋简体" w:eastAsia="方正仿宋简体"/>
                <w:b/>
              </w:rPr>
              <w:t>年  月  日</w:t>
            </w:r>
          </w:p>
          <w:p>
            <w:pPr>
              <w:snapToGrid w:val="0"/>
              <w:jc w:val="center"/>
              <w:rPr>
                <w:rFonts w:ascii="方正仿宋简体" w:eastAsia="方正仿宋简体"/>
                <w:b/>
              </w:rPr>
            </w:pPr>
          </w:p>
          <w:p>
            <w:pPr>
              <w:snapToGrid w:val="0"/>
              <w:jc w:val="center"/>
              <w:rPr>
                <w:rFonts w:ascii="方正仿宋简体" w:eastAsia="方正仿宋简体"/>
                <w:b/>
              </w:rPr>
            </w:pPr>
          </w:p>
        </w:tc>
      </w:tr>
    </w:tbl>
    <w:p>
      <w:pPr>
        <w:jc w:val="left"/>
        <w:rPr>
          <w:rFonts w:hint="eastAsia" w:ascii="方正黑体简体" w:hAnsi="方正黑体简体" w:eastAsia="方正黑体简体" w:cs="方正黑体简体"/>
          <w:b w:val="0"/>
          <w:bCs w:val="0"/>
          <w:sz w:val="32"/>
        </w:rPr>
      </w:pPr>
      <w:bookmarkStart w:id="1288" w:name="_Toc346886255"/>
    </w:p>
    <w:p>
      <w:pPr>
        <w:jc w:val="left"/>
        <w:rPr>
          <w:rFonts w:hint="eastAsia" w:ascii="方正黑体简体" w:hAnsi="方正黑体简体" w:eastAsia="方正黑体简体" w:cs="方正黑体简体"/>
          <w:b w:val="0"/>
          <w:bCs w:val="0"/>
          <w:sz w:val="32"/>
        </w:rPr>
      </w:pPr>
    </w:p>
    <w:p>
      <w:pPr>
        <w:jc w:val="left"/>
        <w:rPr>
          <w:rFonts w:hint="eastAsia" w:ascii="方正黑体简体" w:hAnsi="方正黑体简体" w:eastAsia="方正黑体简体" w:cs="方正黑体简体"/>
          <w:b w:val="0"/>
          <w:bCs w:val="0"/>
          <w:sz w:val="32"/>
        </w:rPr>
      </w:pPr>
    </w:p>
    <w:p>
      <w:pPr>
        <w:jc w:val="left"/>
        <w:rPr>
          <w:rFonts w:hint="eastAsia" w:ascii="方正小标宋简体" w:hAnsi="方正小标宋简体" w:eastAsia="方正小标宋简体" w:cs="方正小标宋简体"/>
          <w:sz w:val="36"/>
          <w:szCs w:val="36"/>
        </w:rPr>
      </w:pPr>
      <w:r>
        <w:rPr>
          <w:rFonts w:hint="eastAsia" w:ascii="方正黑体简体" w:hAnsi="方正黑体简体" w:eastAsia="方正黑体简体" w:cs="方正黑体简体"/>
          <w:b w:val="0"/>
          <w:bCs w:val="0"/>
          <w:sz w:val="32"/>
        </w:rPr>
        <w:t>附件2</w:t>
      </w:r>
      <w:bookmarkEnd w:id="1288"/>
    </w:p>
    <w:p>
      <w:pPr>
        <w:pStyle w:val="23"/>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黑体简体" w:hAnsi="方正黑体简体" w:eastAsia="方正黑体简体" w:cs="方正黑体简体"/>
          <w:sz w:val="36"/>
          <w:szCs w:val="36"/>
        </w:rPr>
      </w:pPr>
      <w:bookmarkStart w:id="1289" w:name="_Toc20528"/>
      <w:bookmarkStart w:id="1290" w:name="_Toc7980"/>
      <w:bookmarkStart w:id="1291" w:name="_Toc30239"/>
      <w:bookmarkStart w:id="1292" w:name="_Toc15130"/>
      <w:bookmarkStart w:id="1293" w:name="_Toc18260"/>
      <w:r>
        <w:rPr>
          <w:rFonts w:hint="eastAsia" w:ascii="方正黑体简体" w:hAnsi="方正黑体简体" w:eastAsia="方正黑体简体" w:cs="方正黑体简体"/>
          <w:sz w:val="36"/>
          <w:szCs w:val="36"/>
        </w:rPr>
        <w:t>中油南充燃气有限责任公司工程项目施工总体部署编制</w:t>
      </w:r>
      <w:bookmarkEnd w:id="1289"/>
      <w:bookmarkEnd w:id="1290"/>
      <w:bookmarkEnd w:id="1291"/>
      <w:bookmarkEnd w:id="1292"/>
      <w:bookmarkEnd w:id="1293"/>
    </w:p>
    <w:p>
      <w:pPr>
        <w:pStyle w:val="23"/>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黑体简体" w:hAnsi="方正黑体简体" w:eastAsia="方正黑体简体" w:cs="方正黑体简体"/>
          <w:sz w:val="36"/>
          <w:szCs w:val="36"/>
        </w:rPr>
      </w:pPr>
      <w:bookmarkStart w:id="1294" w:name="_Toc14295"/>
      <w:bookmarkStart w:id="1295" w:name="_Toc26098"/>
      <w:bookmarkStart w:id="1296" w:name="_Toc12102"/>
      <w:bookmarkStart w:id="1297" w:name="_Toc27023"/>
      <w:bookmarkStart w:id="1298" w:name="_Toc14393"/>
      <w:r>
        <w:rPr>
          <w:rFonts w:hint="eastAsia" w:ascii="方正黑体简体" w:hAnsi="方正黑体简体" w:eastAsia="方正黑体简体" w:cs="方正黑体简体"/>
          <w:sz w:val="36"/>
          <w:szCs w:val="36"/>
        </w:rPr>
        <w:t>纲要</w:t>
      </w:r>
      <w:bookmarkEnd w:id="1294"/>
      <w:bookmarkEnd w:id="1295"/>
      <w:bookmarkEnd w:id="1296"/>
      <w:bookmarkEnd w:id="1297"/>
      <w:bookmarkEnd w:id="1298"/>
    </w:p>
    <w:p>
      <w:pPr>
        <w:pStyle w:val="23"/>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1"/>
        <w:rPr>
          <w:rFonts w:hint="eastAsia" w:ascii="方正黑体简体" w:hAnsi="方正黑体简体" w:eastAsia="方正黑体简体" w:cs="方正黑体简体"/>
          <w:sz w:val="36"/>
          <w:szCs w:val="36"/>
        </w:rPr>
      </w:pPr>
    </w:p>
    <w:p>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1"/>
        <w:rPr>
          <w:rFonts w:hint="eastAsia" w:ascii="方正黑体简体" w:hAnsi="方正黑体简体" w:eastAsia="方正黑体简体" w:cs="方正黑体简体"/>
          <w:b w:val="0"/>
          <w:bCs w:val="0"/>
          <w:sz w:val="30"/>
          <w:szCs w:val="30"/>
        </w:rPr>
      </w:pPr>
      <w:r>
        <w:rPr>
          <w:rFonts w:hint="eastAsia" w:ascii="方正黑体简体" w:hAnsi="方正黑体简体" w:eastAsia="方正黑体简体" w:cs="方正黑体简体"/>
          <w:b w:val="0"/>
          <w:bCs w:val="0"/>
          <w:sz w:val="30"/>
          <w:szCs w:val="30"/>
        </w:rPr>
        <w:t>目   录</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前言</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1．总论</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1.1  工程概论</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1.2  指导思想及管理目标</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1.3  项目管理机构</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l.4  工期管理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1.5  质量管理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1.6  投资管理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1.7  HSE管理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l.8  外部条件</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2．设计管理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2.l  概况</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2.2  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3．物资采购管理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3.l  概况</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3.2  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3.3  接、保、检、运</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4．工程施工管理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4.1  施工任务落实</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4.2  施工进度控制</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4.3  技术措施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4.4  施工质量管理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4.5  施工现场签证控制措施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5．工程检测</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5.l  本工程主要检测方法和检测工作主要工作量</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5.2  对检测单位的选择原则及实施办法</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5.3  检测力量安排计划</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5.4  雨季、高温、高空、有限空间等特殊施工环境下的检测工作保证措施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5.5  检测工作与施工的协调控制措施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6．工程监理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6.1  监理任务</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6.2  监理计划</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6.3  质量目标和主要监理措施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6.4  工期目标和主要监理措施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6.5  投资目标和主要监理措施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7．HSE目标</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7.l  HSE控制目标和管理方针</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7.2  HSE控制要素和控制程序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7.3  HSE控制措施</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8．工程质量监督</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8.1  质量监督计划</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8.2  质量监督管理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9．生产准备及试运投产</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9.1  生产准备</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9.2  试运投产</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10．建设资金管理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10.l  概况</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10.2  管理</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11．外事管理（若有此项）</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11.1  引进工作程序</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11.2  外方人员现场服务要求</w:t>
      </w:r>
    </w:p>
    <w:p>
      <w:pPr>
        <w:pStyle w:val="23"/>
        <w:keepNext w:val="0"/>
        <w:keepLines w:val="0"/>
        <w:pageBreakBefore w:val="0"/>
        <w:widowControl w:val="0"/>
        <w:kinsoku/>
        <w:wordWrap/>
        <w:overflowPunct/>
        <w:topLinePunct w:val="0"/>
        <w:autoSpaceDE/>
        <w:autoSpaceDN/>
        <w:bidi w:val="0"/>
        <w:adjustRightInd/>
        <w:snapToGrid/>
        <w:spacing w:line="560" w:lineRule="exact"/>
        <w:ind w:left="560" w:hanging="560" w:hanging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11.3  外文技术资料翻译与管理</w:t>
      </w:r>
    </w:p>
    <w:p>
      <w:pPr>
        <w:pStyle w:val="23"/>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lang w:val="en-US" w:eastAsia="zh-CN"/>
        </w:rPr>
        <w:t>11.4</w:t>
      </w:r>
      <w:r>
        <w:rPr>
          <w:rFonts w:hint="eastAsia" w:ascii="方正仿宋简体" w:hAnsi="方正仿宋简体" w:eastAsia="方正仿宋简体" w:cs="方正仿宋简体"/>
          <w:sz w:val="28"/>
          <w:szCs w:val="28"/>
        </w:rPr>
        <w:t>出国培训业务管理（若有此项）</w:t>
      </w:r>
      <w:r>
        <w:rPr>
          <w:rFonts w:hint="eastAsia" w:ascii="方正仿宋简体" w:hAnsi="方正仿宋简体" w:eastAsia="方正仿宋简体" w:cs="方正仿宋简体"/>
          <w:sz w:val="28"/>
          <w:szCs w:val="28"/>
        </w:rPr>
        <w:br w:type="page"/>
      </w:r>
      <w:bookmarkStart w:id="1299" w:name="_Toc281402024"/>
      <w:r>
        <w:rPr>
          <w:rFonts w:hint="eastAsia" w:ascii="方正仿宋简体" w:hAnsi="方正仿宋简体" w:eastAsia="方正仿宋简体" w:cs="方正仿宋简体"/>
          <w:sz w:val="28"/>
          <w:szCs w:val="28"/>
        </w:rPr>
        <w:t>前   言</w:t>
      </w:r>
      <w:bookmarkEnd w:id="1299"/>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阐述编制依据、目的、原则以及需要说明的重大问题。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0" w:name="_Toc281402025"/>
      <w:r>
        <w:rPr>
          <w:rFonts w:hint="eastAsia" w:ascii="方正仿宋简体" w:hAnsi="方正仿宋简体" w:eastAsia="方正仿宋简体" w:cs="方正仿宋简体"/>
          <w:sz w:val="28"/>
          <w:szCs w:val="28"/>
        </w:rPr>
        <w:t>l  总论</w:t>
      </w:r>
      <w:bookmarkEnd w:id="1300"/>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  工程概况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1.1.l  建设依据：国家、或公司批准的可行性研究报告或任务书等批准立项文件。</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1.1.2  建设目的和意义：对公司的经济意义，对国家、地方的社会意义。</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1.1.3  工程现场条件：地理位置、气象条件、工程及水文地质、水电气来源、交通运输条件以及社会依托条件。</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1.1.4  环境影响及保护：主要污染源、污染程度、控制指标以及监测、控制措施等。</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1.1.5  工程建设主要内容、主要实物工程量及技术经济指标。</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1.1.6  工程建设特点：包括建设组织、设计、施工、外界环境和社会依托等方面。</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1.2  指导思想及管理目标</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1.2.1  工程建设指导思想。</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1.2.2  以工期、质量、投资、HSE等控制指标为主要内容的管理目标。</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l.3  项目管理机构</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1.3.l  项目管理机构资质审批情况。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l.3.2  项目管理机构的组织形式及职责划分。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1.3.3  项目管理机构目标管理及风险抵押承包制度落实情况。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1.4  工期管理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1.4.1  工期安排原则的说明。</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1.4.2  工期进度计划和工期进度横道图。</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1.4.3  保证工期措施。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1.5  质量管理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1.5.1  工程质量目标及质量保证体系。</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1.5.2  质量控制措施。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1.6  投资管理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1.6.1  按批准概算控制投资的目标及措施。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l.6.2  资金使用计划。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1.7   HSE管理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l.7.1  HSE管理目标。</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1.8  外部条件</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1.8.1  工程建设中需要地方和有关部门协调解决的重大问题。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1" w:name="_Toc281402026"/>
      <w:r>
        <w:rPr>
          <w:rFonts w:hint="eastAsia" w:ascii="方正仿宋简体" w:hAnsi="方正仿宋简体" w:eastAsia="方正仿宋简体" w:cs="方正仿宋简体"/>
          <w:sz w:val="28"/>
          <w:szCs w:val="28"/>
        </w:rPr>
        <w:t>2  设计管理</w:t>
      </w:r>
      <w:bookmarkEnd w:id="1301"/>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2.l  概况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2.1.1  可行性研究报告批复情况。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2.1.2  初步设计审批情况，与可研报告相比有哪些重大变化。</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2.l.3  施工图设计进度安排。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  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2.2.l  对设计文件质量、进度的要求及控制措施。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2.2.2  对施工图设计预审查工作的安排情况。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2.2.3  对设计现场交底的时间安全及要求。</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2.2.4  对设计配合施工的要求及控制措施。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2.2.5  对施工过程中可能出现的设计变更的要求。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2" w:name="_Toc281402027"/>
      <w:r>
        <w:rPr>
          <w:rFonts w:hint="eastAsia" w:ascii="方正仿宋简体" w:hAnsi="方正仿宋简体" w:eastAsia="方正仿宋简体" w:cs="方正仿宋简体"/>
          <w:sz w:val="28"/>
          <w:szCs w:val="28"/>
        </w:rPr>
        <w:t>3  物资采购管理</w:t>
      </w:r>
      <w:bookmarkEnd w:id="1302"/>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3.l  概况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3.l.l  概述本工程物资采购总量。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3.1.2  预采购的管材、主要设备、材料表（包括名称、规格型号、数量等方面内容）。</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3.1.3  预采购的管材、主要设备、材料订货采购时间安排及到货时同要求。</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  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3.2.1  物资采购的工作程序及采购网络。</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3.2.2  物资采购方式及标书编制预计完成时间安排。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3.2.3  合同签订及执行过程中保证交货期的控制措施。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3.2.4  合同签订及执行过程中保证交货质量的控制措施。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3.2.5  合同签订及执行过程中投资的控制措施。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3.2.6  其他管理措施。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  接、保、检、运</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3.3.l  材料、设备检验。</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3.3.1.1  检验机构组成及职责。</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3.3.l.2  检验工作程序。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3.3.1.3  检验工作制度（包括驻厂监造制度）。</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3.3.1.4  检验工作执行标准。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3.3.1.5  检验不合格产品处理办法。</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3.3.2  材料、设备出厂、运输、保管及分配措施。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3" w:name="_Toc281402028"/>
      <w:r>
        <w:rPr>
          <w:rFonts w:hint="eastAsia" w:ascii="方正仿宋简体" w:hAnsi="方正仿宋简体" w:eastAsia="方正仿宋简体" w:cs="方正仿宋简体"/>
          <w:sz w:val="28"/>
          <w:szCs w:val="28"/>
        </w:rPr>
        <w:t>4  工程施工管理</w:t>
      </w:r>
      <w:bookmarkEnd w:id="1303"/>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  施工任务落实</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4.1.1  工程建设主要工程量、特殊地段及施工难点描述。</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4.1.2  施工队伍选择原则及建议。</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4.1.3  工程量划分建议。</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  施工进度控制</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4.2.l  施工总体计划编制原则、管理目标及关键控制点描述。</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4.2.2  施工总体进度计划网络图。</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4.2.3  施工力量预安林情况。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  技术措施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4.3.l  工程施工难点及相应的施工技术措施。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4.3.2  拟采用的新技术、新工艺、新材料的技术保证措施。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4.3.3  特殊施工机械需求及初步落实情况。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4.3.4  雨季、高温、高空、有限空间等特殊施工环境下的施工技术保证措施。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4.3.5  现场文明施工措施。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4.4  施工质量管理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4.4.l  质量管理目标和方针。</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4.4.2  质量保证体系、质量控制要素和控制程序。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4.5  施工现场签证控制措施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4.5.l  施工现场签证程序、签证时间要求和各方责任。</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4.5.2  施工现场签证原则和控制措施。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4.5.3  设计施工方案调整和重大工程量签证的处理办法。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4" w:name="_Toc281402029"/>
      <w:r>
        <w:rPr>
          <w:rFonts w:hint="eastAsia" w:ascii="方正仿宋简体" w:hAnsi="方正仿宋简体" w:eastAsia="方正仿宋简体" w:cs="方正仿宋简体"/>
          <w:sz w:val="28"/>
          <w:szCs w:val="28"/>
        </w:rPr>
        <w:t>5  工程检测</w:t>
      </w:r>
      <w:bookmarkEnd w:id="1304"/>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5.l  本工程主要检测方法和检测工作主要工作量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5.2  对检测单位的选择原则及实施办法</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5.3  检测力量安排计划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5.4  雨季、高温、高空、有限空间等特殊施工环境下的检测工作保证措施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5.5  检测工作与施工的协调控制措施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5" w:name="_Toc281402030"/>
      <w:r>
        <w:rPr>
          <w:rFonts w:hint="eastAsia" w:ascii="方正仿宋简体" w:hAnsi="方正仿宋简体" w:eastAsia="方正仿宋简体" w:cs="方正仿宋简体"/>
          <w:sz w:val="28"/>
          <w:szCs w:val="28"/>
        </w:rPr>
        <w:t>6  工程监理</w:t>
      </w:r>
      <w:bookmarkEnd w:id="1305"/>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6.1  监理任务</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6.1.1  主要监理工作量和特点。</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6.1.2  监理队伍选择原则及实施办法。</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6.1.3  监理任务落实情况。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6.2  监理计划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6.2.l  监理大纲编制原则、管理目标及关键控制点。</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6.2.2  监理细则编制原则。</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6.2.3  监理力量安排部署情况。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6.3  质量目标和主要监理措施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6.3.3  质量控制目标和管理方针。</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6.3.2  质量控制要素和控制程序。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6.3.3  质量控制措施。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6.4  工期目标和主要监理措施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6.4.1  工期控制目标和管理方针。</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6.4.2  工期控制要素和控制程序。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6.4.3  投资控制措施。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6.5  投资目标和主要监理措施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6.5.l  投资控制目标和管理方针。</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6.5.2  投资控制要素和控制程序。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6.5.3  投资控制措施。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6" w:name="_Toc281402031"/>
      <w:r>
        <w:rPr>
          <w:rFonts w:hint="eastAsia" w:ascii="方正仿宋简体" w:hAnsi="方正仿宋简体" w:eastAsia="方正仿宋简体" w:cs="方正仿宋简体"/>
          <w:sz w:val="28"/>
          <w:szCs w:val="28"/>
        </w:rPr>
        <w:t>7  HSE目标</w:t>
      </w:r>
      <w:bookmarkEnd w:id="1306"/>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7.1  HSE控制目标和管理方针</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7.2  HSE控制要素和控制程序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7.3  HSE控制措施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7.3.l  员工健康控制措施。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7.3.2  施工环境保护措施。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7.3.3  现场施工HSE管理主要措施。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7.4  试运投产期间安全保证的主要措施及应急方案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7" w:name="_Toc281402032"/>
      <w:r>
        <w:rPr>
          <w:rFonts w:hint="eastAsia" w:ascii="方正仿宋简体" w:hAnsi="方正仿宋简体" w:eastAsia="方正仿宋简体" w:cs="方正仿宋简体"/>
          <w:sz w:val="28"/>
          <w:szCs w:val="28"/>
        </w:rPr>
        <w:t>8  质量监督</w:t>
      </w:r>
      <w:bookmarkEnd w:id="1307"/>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8.l  质量监督计划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8.1.l  质量监督工作量和特点。</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8.1.1  质量监督工作，总体计划编制原则和关键控制点。</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8.2  质量监督管理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8.2.l  质量监督管理方针、监督控制要素。</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8.2.2  质量监督控制措施。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8" w:name="_Toc281402033"/>
      <w:r>
        <w:rPr>
          <w:rFonts w:hint="eastAsia" w:ascii="方正仿宋简体" w:hAnsi="方正仿宋简体" w:eastAsia="方正仿宋简体" w:cs="方正仿宋简体"/>
          <w:sz w:val="28"/>
          <w:szCs w:val="28"/>
        </w:rPr>
        <w:t>9  生产准备和试运技产</w:t>
      </w:r>
      <w:bookmarkEnd w:id="1308"/>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  生产准备</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9.1.1  组织机构及定员。</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9.1.2  人员培训计划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9.1.3  生产单位提前介入设计、物资采购、施工的安排。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9.1.4  生产物资准备情况。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9.1.5  控制生产准备费用的措施。</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9.2  试运投产</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9.2.l  试运投产方案的编制。</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9.2.2  试运投产安排意见。</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9.2.3  试运投产安全保护措施及紧急防范预案。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09" w:name="_Toc281402034"/>
      <w:r>
        <w:rPr>
          <w:rFonts w:hint="eastAsia" w:ascii="方正仿宋简体" w:hAnsi="方正仿宋简体" w:eastAsia="方正仿宋简体" w:cs="方正仿宋简体"/>
          <w:sz w:val="28"/>
          <w:szCs w:val="28"/>
        </w:rPr>
        <w:t>10  建设资金管理</w:t>
      </w:r>
      <w:bookmarkEnd w:id="1309"/>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10.l概况</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10.1.1  概算总投资及构成。</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10.1.2  年度建设资金需求计划。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10.1.3  建设资金来源、拨款进度计划。</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10.2  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10.2.1  资金管理机构、人员编制及职责。</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10.2.2  资金管理工作程序。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10.2.3  资金分解控制指标、责任人及控制措施。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bookmarkStart w:id="1310" w:name="_Toc281402035"/>
      <w:r>
        <w:rPr>
          <w:rFonts w:hint="eastAsia" w:ascii="方正仿宋简体" w:hAnsi="方正仿宋简体" w:eastAsia="方正仿宋简体" w:cs="方正仿宋简体"/>
          <w:sz w:val="28"/>
          <w:szCs w:val="28"/>
        </w:rPr>
        <w:t>11  外事管理（如果有）</w:t>
      </w:r>
      <w:bookmarkEnd w:id="1310"/>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11.1  引进工作程序</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11.2  外方人员现场服务要求</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11.3  外文技术资料翻译与管理</w:t>
      </w:r>
    </w:p>
    <w:p>
      <w:pPr>
        <w:pStyle w:val="23"/>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11.4  出国培训业务管理</w:t>
      </w:r>
    </w:p>
    <w:p>
      <w:pPr>
        <w:jc w:val="left"/>
        <w:rPr>
          <w:rFonts w:ascii="方正仿宋简体" w:eastAsia="方正仿宋简体"/>
          <w:sz w:val="32"/>
        </w:rPr>
      </w:pPr>
    </w:p>
    <w:p>
      <w:pPr>
        <w:jc w:val="left"/>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附件3</w:t>
      </w:r>
      <w:r>
        <w:rPr>
          <w:rFonts w:hint="eastAsia" w:ascii="方正黑体简体" w:hAnsi="方正黑体简体" w:eastAsia="方正黑体简体" w:cs="方正黑体简体"/>
          <w:b w:val="0"/>
          <w:bCs w:val="0"/>
          <w:sz w:val="32"/>
          <w:szCs w:val="32"/>
          <w:lang w:val="en-US" w:eastAsia="zh-CN"/>
        </w:rPr>
        <w:t xml:space="preserve">  </w:t>
      </w:r>
      <w:r>
        <w:rPr>
          <w:rFonts w:hint="eastAsia" w:ascii="方正黑体简体" w:hAnsi="方正黑体简体" w:eastAsia="方正黑体简体" w:cs="方正黑体简体"/>
          <w:b w:val="0"/>
          <w:bCs w:val="0"/>
          <w:sz w:val="32"/>
          <w:szCs w:val="32"/>
        </w:rPr>
        <w:t>工程项目审查报备表</w:t>
      </w:r>
    </w:p>
    <w:p>
      <w:pPr>
        <w:jc w:val="center"/>
        <w:rPr>
          <w:rFonts w:ascii="方正仿宋简体" w:eastAsia="方正仿宋简体"/>
          <w:sz w:val="32"/>
        </w:rPr>
      </w:pPr>
      <w:r>
        <w:rPr>
          <w:rFonts w:hint="eastAsia" w:ascii="方正仿宋简体" w:eastAsia="方正仿宋简体"/>
          <w:sz w:val="32"/>
        </w:rPr>
        <w:t>工程项目审查报备表</w:t>
      </w:r>
    </w:p>
    <w:tbl>
      <w:tblPr>
        <w:tblStyle w:val="51"/>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4"/>
        <w:gridCol w:w="1201"/>
        <w:gridCol w:w="1170"/>
        <w:gridCol w:w="156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申请报备单位</w:t>
            </w:r>
          </w:p>
        </w:tc>
        <w:tc>
          <w:tcPr>
            <w:tcW w:w="2905" w:type="dxa"/>
            <w:gridSpan w:val="2"/>
            <w:tcBorders>
              <w:top w:val="single" w:color="auto" w:sz="4" w:space="0"/>
              <w:left w:val="single" w:color="auto" w:sz="4" w:space="0"/>
              <w:bottom w:val="single" w:color="auto" w:sz="4" w:space="0"/>
              <w:right w:val="single" w:color="auto" w:sz="4" w:space="0"/>
            </w:tcBorders>
            <w:vAlign w:val="center"/>
          </w:tcPr>
          <w:p>
            <w:pPr>
              <w:snapToGrid w:val="0"/>
              <w:rPr>
                <w:rFonts w:ascii="方正仿宋简体" w:eastAsia="方正仿宋简体"/>
                <w:b/>
              </w:rPr>
            </w:pP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报备人</w:t>
            </w:r>
          </w:p>
        </w:tc>
        <w:tc>
          <w:tcPr>
            <w:tcW w:w="3284" w:type="dxa"/>
            <w:gridSpan w:val="2"/>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授权经办人</w:t>
            </w:r>
          </w:p>
        </w:tc>
        <w:tc>
          <w:tcPr>
            <w:tcW w:w="7359" w:type="dxa"/>
            <w:gridSpan w:val="5"/>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工程名称</w:t>
            </w:r>
          </w:p>
        </w:tc>
        <w:tc>
          <w:tcPr>
            <w:tcW w:w="2905" w:type="dxa"/>
            <w:gridSpan w:val="2"/>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工程地点</w:t>
            </w:r>
          </w:p>
        </w:tc>
        <w:tc>
          <w:tcPr>
            <w:tcW w:w="3284" w:type="dxa"/>
            <w:gridSpan w:val="2"/>
            <w:tcBorders>
              <w:top w:val="single" w:color="auto" w:sz="4" w:space="0"/>
              <w:left w:val="single" w:color="auto" w:sz="4" w:space="0"/>
              <w:bottom w:val="single" w:color="auto" w:sz="4" w:space="0"/>
              <w:right w:val="single" w:color="auto" w:sz="4" w:space="0"/>
            </w:tcBorders>
            <w:vAlign w:val="top"/>
          </w:tcPr>
          <w:p>
            <w:pPr>
              <w:snapToGrid w:val="0"/>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3"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投资批复</w:t>
            </w:r>
          </w:p>
        </w:tc>
        <w:tc>
          <w:tcPr>
            <w:tcW w:w="1704" w:type="dxa"/>
            <w:tcBorders>
              <w:top w:val="single" w:color="auto" w:sz="4" w:space="0"/>
              <w:left w:val="single" w:color="auto" w:sz="4" w:space="0"/>
              <w:bottom w:val="single" w:color="auto" w:sz="4" w:space="0"/>
              <w:right w:val="single" w:color="auto" w:sz="4" w:space="0"/>
            </w:tcBorders>
            <w:vAlign w:val="top"/>
          </w:tcPr>
          <w:p>
            <w:pPr>
              <w:snapToGrid w:val="0"/>
              <w:rPr>
                <w:rFonts w:ascii="方正仿宋简体" w:eastAsia="方正仿宋简体"/>
                <w:b/>
              </w:rPr>
            </w:pPr>
          </w:p>
        </w:tc>
        <w:tc>
          <w:tcPr>
            <w:tcW w:w="1201"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建设性质</w:t>
            </w:r>
          </w:p>
        </w:tc>
        <w:tc>
          <w:tcPr>
            <w:tcW w:w="4454"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□新建□扩建□改建□技术改造□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检查内容</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检查结果</w:t>
            </w: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签字</w:t>
            </w: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r>
              <w:rPr>
                <w:rFonts w:hint="eastAsia" w:ascii="方正仿宋简体" w:eastAsia="方正仿宋简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可行性研究报告、初步设计文件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项目机构、任命文件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勘察设计资质文件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施工单位资质、审查文件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监理资质、审查文件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检测资质、审查文件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3"/>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r>
              <w:rPr>
                <w:rFonts w:hint="eastAsia" w:ascii="方正仿宋简体" w:eastAsia="方正仿宋简体"/>
                <w:b/>
              </w:rPr>
              <w:t>图纸审查文件</w:t>
            </w:r>
          </w:p>
        </w:tc>
        <w:tc>
          <w:tcPr>
            <w:tcW w:w="1170"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方正仿宋简体" w:eastAsia="方正仿宋简体"/>
                <w:b/>
              </w:rPr>
            </w:pPr>
          </w:p>
        </w:tc>
        <w:tc>
          <w:tcPr>
            <w:tcW w:w="1560"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c>
          <w:tcPr>
            <w:tcW w:w="1724" w:type="dxa"/>
            <w:tcBorders>
              <w:top w:val="single" w:color="auto" w:sz="4" w:space="0"/>
              <w:left w:val="single" w:color="auto" w:sz="4" w:space="0"/>
              <w:bottom w:val="single" w:color="auto" w:sz="4" w:space="0"/>
              <w:right w:val="single" w:color="auto" w:sz="4" w:space="0"/>
            </w:tcBorders>
            <w:vAlign w:val="top"/>
          </w:tcPr>
          <w:p>
            <w:pPr>
              <w:spacing w:line="360" w:lineRule="auto"/>
              <w:rPr>
                <w:rFonts w:ascii="方正仿宋简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trPr>
        <w:tc>
          <w:tcPr>
            <w:tcW w:w="9062" w:type="dxa"/>
            <w:gridSpan w:val="6"/>
            <w:tcBorders>
              <w:top w:val="single" w:color="auto" w:sz="4" w:space="0"/>
              <w:left w:val="single" w:color="auto" w:sz="4" w:space="0"/>
              <w:bottom w:val="single" w:color="auto" w:sz="4" w:space="0"/>
              <w:right w:val="single" w:color="auto" w:sz="4" w:space="0"/>
            </w:tcBorders>
            <w:vAlign w:val="top"/>
          </w:tcPr>
          <w:p>
            <w:pPr>
              <w:spacing w:line="360" w:lineRule="auto"/>
              <w:ind w:firstLine="422" w:firstLineChars="200"/>
              <w:rPr>
                <w:rFonts w:ascii="方正仿宋简体" w:eastAsia="方正仿宋简体"/>
                <w:b/>
              </w:rPr>
            </w:pPr>
            <w:r>
              <w:rPr>
                <w:rFonts w:hint="eastAsia" w:ascii="方正仿宋简体" w:eastAsia="方正仿宋简体"/>
                <w:b/>
                <w:u w:val="single"/>
              </w:rPr>
              <w:t xml:space="preserve">                              </w:t>
            </w:r>
            <w:r>
              <w:rPr>
                <w:rFonts w:hint="eastAsia" w:ascii="方正仿宋简体" w:eastAsia="方正仿宋简体"/>
                <w:b/>
              </w:rPr>
              <w:t>工程经过审查，并已备案，符合报监要求，同意向西南油气田石油天然气川渝工程质量监督站进行监督注册。</w:t>
            </w:r>
          </w:p>
          <w:p>
            <w:pPr>
              <w:spacing w:line="360" w:lineRule="auto"/>
              <w:rPr>
                <w:rFonts w:ascii="方正仿宋简体" w:eastAsia="方正仿宋简体"/>
                <w:b/>
              </w:rPr>
            </w:pPr>
          </w:p>
          <w:p>
            <w:pPr>
              <w:spacing w:line="360" w:lineRule="auto"/>
              <w:rPr>
                <w:rFonts w:ascii="方正仿宋简体" w:eastAsia="方正仿宋简体"/>
                <w:b/>
              </w:rPr>
            </w:pPr>
          </w:p>
          <w:p>
            <w:pPr>
              <w:spacing w:line="360" w:lineRule="auto"/>
              <w:rPr>
                <w:rFonts w:ascii="方正仿宋简体" w:eastAsia="方正仿宋简体"/>
                <w:b/>
              </w:rPr>
            </w:pPr>
          </w:p>
          <w:p>
            <w:pPr>
              <w:spacing w:line="360" w:lineRule="auto"/>
              <w:rPr>
                <w:rFonts w:ascii="方正仿宋简体" w:eastAsia="方正仿宋简体"/>
                <w:b/>
              </w:rPr>
            </w:pPr>
          </w:p>
          <w:p>
            <w:pPr>
              <w:spacing w:line="360" w:lineRule="auto"/>
              <w:rPr>
                <w:rFonts w:ascii="方正仿宋简体" w:eastAsia="方正仿宋简体"/>
                <w:b/>
              </w:rPr>
            </w:pPr>
            <w:r>
              <w:rPr>
                <w:rFonts w:hint="eastAsia" w:ascii="方正仿宋简体" w:eastAsia="方正仿宋简体"/>
                <w:b/>
              </w:rPr>
              <w:t xml:space="preserve">                                            </w:t>
            </w:r>
          </w:p>
          <w:p>
            <w:pPr>
              <w:spacing w:line="360" w:lineRule="auto"/>
              <w:ind w:firstLine="5979" w:firstLineChars="2836"/>
              <w:rPr>
                <w:rFonts w:ascii="方正仿宋简体" w:eastAsia="方正仿宋简体"/>
                <w:b/>
              </w:rPr>
            </w:pPr>
            <w:r>
              <w:rPr>
                <w:rFonts w:hint="eastAsia" w:ascii="方正仿宋简体" w:eastAsia="方正仿宋简体"/>
                <w:b/>
              </w:rPr>
              <w:t>签字:</w:t>
            </w:r>
          </w:p>
          <w:p>
            <w:pPr>
              <w:spacing w:line="360" w:lineRule="auto"/>
              <w:rPr>
                <w:rFonts w:ascii="方正仿宋简体" w:eastAsia="方正仿宋简体"/>
                <w:b/>
              </w:rPr>
            </w:pPr>
            <w:r>
              <w:rPr>
                <w:rFonts w:hint="eastAsia" w:ascii="方正仿宋简体" w:eastAsia="方正仿宋简体"/>
                <w:b/>
              </w:rPr>
              <w:t xml:space="preserve">                                                         盖章:</w:t>
            </w:r>
          </w:p>
          <w:p>
            <w:pPr>
              <w:spacing w:line="360" w:lineRule="auto"/>
              <w:rPr>
                <w:rFonts w:ascii="方正仿宋简体" w:eastAsia="方正仿宋简体"/>
                <w:b/>
              </w:rPr>
            </w:pPr>
            <w:r>
              <w:rPr>
                <w:rFonts w:hint="eastAsia" w:ascii="方正仿宋简体" w:eastAsia="方正仿宋简体"/>
                <w:b/>
              </w:rPr>
              <w:t xml:space="preserve">                                                         时间:      年  月  日</w:t>
            </w:r>
          </w:p>
          <w:p>
            <w:pPr>
              <w:rPr>
                <w:rFonts w:ascii="方正仿宋简体" w:eastAsia="方正仿宋简体"/>
                <w:b/>
              </w:rPr>
            </w:pPr>
          </w:p>
        </w:tc>
      </w:tr>
    </w:tbl>
    <w:p>
      <w:pPr>
        <w:jc w:val="left"/>
        <w:rPr>
          <w:rFonts w:hint="eastAsia" w:ascii="方正黑体简体" w:hAnsi="方正黑体简体" w:eastAsia="方正黑体简体" w:cs="方正黑体简体"/>
          <w:b w:val="0"/>
          <w:bCs w:val="0"/>
          <w:sz w:val="32"/>
          <w:szCs w:val="32"/>
        </w:rPr>
      </w:pPr>
    </w:p>
    <w:p>
      <w:pPr>
        <w:jc w:val="left"/>
        <w:rPr>
          <w:rFonts w:hint="eastAsia" w:ascii="方正黑体简体" w:hAnsi="方正黑体简体" w:eastAsia="方正黑体简体" w:cs="方正黑体简体"/>
          <w:b w:val="0"/>
          <w:bCs w:val="0"/>
          <w:sz w:val="32"/>
          <w:szCs w:val="32"/>
        </w:rPr>
      </w:pPr>
    </w:p>
    <w:p>
      <w:pPr>
        <w:jc w:val="left"/>
        <w:rPr>
          <w:rFonts w:hint="default"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附件4：开工报告</w:t>
      </w:r>
    </w:p>
    <w:p>
      <w:pPr>
        <w:pStyle w:val="132"/>
        <w:snapToGrid w:val="0"/>
        <w:spacing w:before="0" w:beforeLines="0" w:after="0" w:afterLines="0" w:line="640" w:lineRule="exact"/>
        <w:rPr>
          <w:rFonts w:hint="default" w:ascii="方正仿宋简体" w:eastAsia="方正仿宋简体"/>
          <w:sz w:val="32"/>
        </w:rPr>
      </w:pPr>
    </w:p>
    <w:p>
      <w:pPr>
        <w:pStyle w:val="132"/>
        <w:snapToGrid w:val="0"/>
        <w:spacing w:before="0" w:beforeLines="0" w:after="0" w:afterLines="0" w:line="640" w:lineRule="exact"/>
        <w:rPr>
          <w:rFonts w:hint="default" w:ascii="方正仿宋简体" w:hAnsi="宋体" w:eastAsia="方正仿宋简体"/>
          <w:sz w:val="32"/>
        </w:rPr>
      </w:pPr>
      <w:r>
        <w:rPr>
          <w:rFonts w:ascii="方正仿宋简体" w:hAnsi="宋体" w:eastAsia="方正仿宋简体"/>
          <w:sz w:val="32"/>
        </w:rPr>
        <w:t>中油南充燃气有限责任公司</w:t>
      </w:r>
    </w:p>
    <w:p>
      <w:pPr>
        <w:pStyle w:val="132"/>
        <w:snapToGrid w:val="0"/>
        <w:spacing w:before="0" w:beforeLines="0" w:after="0" w:afterLines="0" w:line="640" w:lineRule="exact"/>
        <w:rPr>
          <w:rFonts w:hint="default" w:ascii="方正仿宋简体" w:hAnsi="宋体" w:eastAsia="方正仿宋简体"/>
          <w:sz w:val="32"/>
        </w:rPr>
      </w:pPr>
      <w:r>
        <w:rPr>
          <w:rFonts w:ascii="方正仿宋简体" w:hAnsi="宋体" w:eastAsia="方正仿宋简体"/>
          <w:sz w:val="32"/>
        </w:rPr>
        <w:t>工程项目开工报告</w:t>
      </w:r>
    </w:p>
    <w:p>
      <w:pPr>
        <w:snapToGrid w:val="0"/>
        <w:spacing w:line="640" w:lineRule="exact"/>
        <w:rPr>
          <w:rFonts w:ascii="方正仿宋简体" w:hAnsi="宋体" w:eastAsia="方正仿宋简体"/>
          <w:sz w:val="32"/>
        </w:rPr>
      </w:pPr>
    </w:p>
    <w:p>
      <w:pPr>
        <w:snapToGrid w:val="0"/>
        <w:spacing w:line="640" w:lineRule="exact"/>
        <w:rPr>
          <w:rFonts w:ascii="方正仿宋简体" w:hAnsi="宋体" w:eastAsia="方正仿宋简体"/>
          <w:sz w:val="32"/>
        </w:rPr>
      </w:pPr>
    </w:p>
    <w:p>
      <w:pPr>
        <w:snapToGrid w:val="0"/>
        <w:spacing w:line="640" w:lineRule="exact"/>
        <w:rPr>
          <w:rFonts w:ascii="方正仿宋简体" w:hAnsi="宋体" w:eastAsia="方正仿宋简体"/>
          <w:sz w:val="32"/>
        </w:rPr>
      </w:pPr>
    </w:p>
    <w:p>
      <w:pPr>
        <w:snapToGrid w:val="0"/>
        <w:spacing w:line="640" w:lineRule="exact"/>
        <w:ind w:firstLine="1132" w:firstLineChars="354"/>
        <w:rPr>
          <w:rFonts w:ascii="方正仿宋简体" w:hAnsi="宋体" w:eastAsia="方正仿宋简体"/>
          <w:sz w:val="32"/>
          <w:u w:val="single"/>
        </w:rPr>
      </w:pPr>
      <w:r>
        <w:rPr>
          <w:rFonts w:hint="eastAsia" w:ascii="方正仿宋简体" w:hAnsi="宋体" w:eastAsia="方正仿宋简体"/>
          <w:sz w:val="32"/>
        </w:rPr>
        <w:t>报告编号</w:t>
      </w:r>
      <w:r>
        <w:rPr>
          <w:rFonts w:hint="eastAsia" w:ascii="方正仿宋简体" w:hAnsi="宋体" w:eastAsia="方正仿宋简体"/>
          <w:sz w:val="32"/>
          <w:u w:val="single"/>
        </w:rPr>
        <w:t xml:space="preserve">         Ⅰ             </w:t>
      </w:r>
    </w:p>
    <w:p>
      <w:pPr>
        <w:snapToGrid w:val="0"/>
        <w:spacing w:line="640" w:lineRule="exact"/>
        <w:ind w:firstLine="1132" w:firstLineChars="354"/>
        <w:rPr>
          <w:rFonts w:ascii="方正仿宋简体" w:hAnsi="宋体" w:eastAsia="方正仿宋简体"/>
          <w:sz w:val="32"/>
        </w:rPr>
      </w:pPr>
    </w:p>
    <w:p>
      <w:pPr>
        <w:snapToGrid w:val="0"/>
        <w:spacing w:line="640" w:lineRule="exact"/>
        <w:ind w:firstLine="1132" w:firstLineChars="354"/>
        <w:rPr>
          <w:rFonts w:ascii="方正仿宋简体" w:hAnsi="宋体" w:eastAsia="方正仿宋简体"/>
          <w:sz w:val="32"/>
          <w:u w:val="single"/>
        </w:rPr>
      </w:pPr>
      <w:r>
        <w:rPr>
          <w:rFonts w:hint="eastAsia" w:ascii="方正仿宋简体" w:hAnsi="宋体" w:eastAsia="方正仿宋简体"/>
          <w:sz w:val="32"/>
        </w:rPr>
        <w:t>工程类别</w:t>
      </w:r>
      <w:r>
        <w:rPr>
          <w:rFonts w:hint="eastAsia" w:ascii="方正仿宋简体" w:hAnsi="宋体" w:eastAsia="方正仿宋简体"/>
          <w:sz w:val="32"/>
          <w:u w:val="single"/>
        </w:rPr>
        <w:t xml:space="preserve">         Ⅱ             </w:t>
      </w:r>
    </w:p>
    <w:p>
      <w:pPr>
        <w:snapToGrid w:val="0"/>
        <w:spacing w:line="640" w:lineRule="exact"/>
        <w:ind w:firstLine="1132" w:firstLineChars="354"/>
        <w:rPr>
          <w:rFonts w:ascii="方正仿宋简体" w:hAnsi="宋体" w:eastAsia="方正仿宋简体"/>
          <w:sz w:val="32"/>
        </w:rPr>
      </w:pPr>
    </w:p>
    <w:p>
      <w:pPr>
        <w:snapToGrid w:val="0"/>
        <w:spacing w:line="640" w:lineRule="exact"/>
        <w:ind w:firstLine="1132" w:firstLineChars="354"/>
        <w:rPr>
          <w:rFonts w:ascii="方正仿宋简体" w:hAnsi="宋体" w:eastAsia="方正仿宋简体"/>
          <w:sz w:val="32"/>
          <w:u w:val="single"/>
        </w:rPr>
      </w:pPr>
      <w:r>
        <w:rPr>
          <w:rFonts w:hint="eastAsia" w:ascii="方正仿宋简体" w:hAnsi="宋体" w:eastAsia="方正仿宋简体"/>
          <w:sz w:val="32"/>
        </w:rPr>
        <w:t>工程名称</w:t>
      </w:r>
      <w:r>
        <w:rPr>
          <w:rFonts w:hint="eastAsia" w:ascii="方正仿宋简体" w:hAnsi="宋体" w:eastAsia="方正仿宋简体"/>
          <w:sz w:val="32"/>
          <w:u w:val="single"/>
        </w:rPr>
        <w:t xml:space="preserve">         Ⅲ             </w:t>
      </w:r>
    </w:p>
    <w:p>
      <w:pPr>
        <w:snapToGrid w:val="0"/>
        <w:spacing w:line="640" w:lineRule="exact"/>
        <w:ind w:firstLine="1132" w:firstLineChars="354"/>
        <w:rPr>
          <w:rFonts w:ascii="方正仿宋简体" w:hAnsi="宋体" w:eastAsia="方正仿宋简体"/>
          <w:sz w:val="32"/>
        </w:rPr>
      </w:pPr>
    </w:p>
    <w:p>
      <w:pPr>
        <w:snapToGrid w:val="0"/>
        <w:spacing w:line="640" w:lineRule="exact"/>
        <w:ind w:firstLine="1132" w:firstLineChars="354"/>
        <w:rPr>
          <w:rFonts w:ascii="方正仿宋简体" w:hAnsi="宋体" w:eastAsia="方正仿宋简体"/>
          <w:sz w:val="32"/>
        </w:rPr>
      </w:pPr>
      <w:r>
        <w:rPr>
          <w:rFonts w:hint="eastAsia" w:ascii="方正仿宋简体" w:hAnsi="宋体" w:eastAsia="方正仿宋简体"/>
          <w:sz w:val="32"/>
        </w:rPr>
        <w:t>建设单位</w:t>
      </w:r>
      <w:r>
        <w:rPr>
          <w:rFonts w:hint="eastAsia" w:ascii="方正仿宋简体" w:hAnsi="宋体" w:eastAsia="方正仿宋简体"/>
          <w:sz w:val="32"/>
          <w:u w:val="single"/>
        </w:rPr>
        <w:t xml:space="preserve">         Ⅳ             </w:t>
      </w:r>
    </w:p>
    <w:p>
      <w:pPr>
        <w:snapToGrid w:val="0"/>
        <w:spacing w:line="640" w:lineRule="exact"/>
        <w:ind w:firstLine="1132" w:firstLineChars="354"/>
        <w:rPr>
          <w:rFonts w:ascii="方正仿宋简体" w:hAnsi="宋体" w:eastAsia="方正仿宋简体"/>
          <w:sz w:val="32"/>
        </w:rPr>
      </w:pPr>
      <w:r>
        <w:rPr>
          <w:rFonts w:hint="eastAsia" w:ascii="方正仿宋简体" w:hAnsi="宋体" w:eastAsia="方正仿宋简体"/>
          <w:sz w:val="32"/>
        </w:rPr>
        <w:t xml:space="preserve">   </w:t>
      </w:r>
    </w:p>
    <w:p>
      <w:pPr>
        <w:snapToGrid w:val="0"/>
        <w:spacing w:line="640" w:lineRule="exact"/>
        <w:jc w:val="center"/>
        <w:rPr>
          <w:rFonts w:ascii="方正仿宋简体" w:hAnsi="宋体" w:eastAsia="方正仿宋简体"/>
          <w:sz w:val="32"/>
        </w:rPr>
      </w:pPr>
    </w:p>
    <w:p>
      <w:pPr>
        <w:snapToGrid w:val="0"/>
        <w:spacing w:line="640" w:lineRule="exact"/>
        <w:jc w:val="center"/>
        <w:rPr>
          <w:rFonts w:ascii="方正仿宋简体" w:hAnsi="宋体" w:eastAsia="方正仿宋简体"/>
          <w:sz w:val="32"/>
        </w:rPr>
      </w:pPr>
    </w:p>
    <w:p>
      <w:pPr>
        <w:snapToGrid w:val="0"/>
        <w:spacing w:line="640" w:lineRule="exact"/>
        <w:jc w:val="center"/>
        <w:rPr>
          <w:rFonts w:ascii="方正仿宋简体" w:hAnsi="宋体" w:eastAsia="方正仿宋简体"/>
          <w:sz w:val="32"/>
        </w:rPr>
      </w:pPr>
      <w:r>
        <w:rPr>
          <w:rFonts w:hint="eastAsia" w:ascii="方正仿宋简体" w:hAnsi="宋体" w:eastAsia="方正仿宋简体"/>
          <w:sz w:val="32"/>
        </w:rPr>
        <w:t>XXXX年XX月XX日</w:t>
      </w:r>
    </w:p>
    <w:p>
      <w:pPr>
        <w:snapToGrid w:val="0"/>
        <w:spacing w:line="640" w:lineRule="exact"/>
        <w:jc w:val="center"/>
        <w:rPr>
          <w:rFonts w:ascii="方正仿宋简体" w:eastAsia="方正仿宋简体"/>
          <w:sz w:val="32"/>
        </w:rPr>
      </w:pPr>
    </w:p>
    <w:p>
      <w:pPr>
        <w:snapToGrid w:val="0"/>
        <w:spacing w:line="640" w:lineRule="exact"/>
        <w:jc w:val="center"/>
        <w:rPr>
          <w:rFonts w:ascii="方正仿宋简体" w:eastAsia="方正仿宋简体"/>
          <w:sz w:val="32"/>
        </w:rPr>
      </w:pPr>
    </w:p>
    <w:p>
      <w:pPr>
        <w:snapToGrid w:val="0"/>
        <w:spacing w:line="640" w:lineRule="exact"/>
        <w:jc w:val="center"/>
        <w:rPr>
          <w:rFonts w:ascii="方正仿宋简体" w:eastAsia="方正仿宋简体"/>
          <w:sz w:val="32"/>
        </w:rPr>
      </w:pPr>
    </w:p>
    <w:tbl>
      <w:tblPr>
        <w:tblStyle w:val="51"/>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842"/>
        <w:gridCol w:w="1953"/>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工程项目名称</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工程项目建设地址</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项目管理机构</w:t>
            </w:r>
          </w:p>
          <w:p>
            <w:pPr>
              <w:pStyle w:val="54"/>
              <w:spacing w:line="300" w:lineRule="exact"/>
              <w:rPr>
                <w:rFonts w:hint="default" w:ascii="方正仿宋简体" w:hAnsi="宋体" w:eastAsia="方正仿宋简体"/>
                <w:b/>
                <w:sz w:val="21"/>
              </w:rPr>
            </w:pPr>
            <w:r>
              <w:rPr>
                <w:rFonts w:ascii="方正仿宋简体" w:hAnsi="宋体" w:eastAsia="方正仿宋简体"/>
                <w:b/>
                <w:sz w:val="21"/>
              </w:rPr>
              <w:t>资质等级</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项目经理</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联系电话</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可研及初步</w:t>
            </w:r>
          </w:p>
          <w:p>
            <w:pPr>
              <w:pStyle w:val="54"/>
              <w:spacing w:line="300" w:lineRule="exact"/>
              <w:rPr>
                <w:rFonts w:hint="default" w:ascii="方正仿宋简体" w:hAnsi="宋体" w:eastAsia="方正仿宋简体"/>
                <w:b/>
                <w:sz w:val="21"/>
              </w:rPr>
            </w:pPr>
            <w:r>
              <w:rPr>
                <w:rFonts w:ascii="方正仿宋简体" w:hAnsi="宋体" w:eastAsia="方正仿宋简体"/>
                <w:b/>
                <w:sz w:val="21"/>
              </w:rPr>
              <w:t>设计单位</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项目负责人</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施工图</w:t>
            </w:r>
          </w:p>
          <w:p>
            <w:pPr>
              <w:pStyle w:val="54"/>
              <w:spacing w:line="300" w:lineRule="exact"/>
              <w:rPr>
                <w:rFonts w:hint="default" w:ascii="方正仿宋简体" w:hAnsi="宋体" w:eastAsia="方正仿宋简体"/>
                <w:b/>
                <w:sz w:val="21"/>
              </w:rPr>
            </w:pPr>
            <w:r>
              <w:rPr>
                <w:rFonts w:ascii="方正仿宋简体" w:hAnsi="宋体" w:eastAsia="方正仿宋简体"/>
                <w:b/>
                <w:sz w:val="21"/>
              </w:rPr>
              <w:t>设计单位</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项目负责人</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监理单位</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总监理工程师</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施工单位（EPC总承包单位）</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项目经理</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无损检测</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项目经理</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质量监督单位</w:t>
            </w:r>
          </w:p>
        </w:tc>
        <w:tc>
          <w:tcPr>
            <w:tcW w:w="1842"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p>
        </w:tc>
        <w:tc>
          <w:tcPr>
            <w:tcW w:w="1953" w:type="dxa"/>
            <w:tcBorders>
              <w:top w:val="single" w:color="auto" w:sz="4" w:space="0"/>
              <w:left w:val="single" w:color="auto" w:sz="4" w:space="0"/>
              <w:bottom w:val="single" w:color="auto" w:sz="4" w:space="0"/>
              <w:right w:val="single" w:color="auto" w:sz="4" w:space="0"/>
            </w:tcBorders>
            <w:vAlign w:val="center"/>
          </w:tcPr>
          <w:p>
            <w:pPr>
              <w:pStyle w:val="54"/>
              <w:spacing w:line="300" w:lineRule="exact"/>
              <w:rPr>
                <w:rFonts w:hint="default" w:ascii="方正仿宋简体" w:hAnsi="宋体" w:eastAsia="方正仿宋简体"/>
                <w:b/>
                <w:sz w:val="21"/>
              </w:rPr>
            </w:pPr>
            <w:r>
              <w:rPr>
                <w:rFonts w:ascii="方正仿宋简体" w:hAnsi="宋体" w:eastAsia="方正仿宋简体"/>
                <w:b/>
                <w:sz w:val="21"/>
              </w:rPr>
              <w:t>负责人</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设计规模或能力</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可行性研究报告批准文号</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初步设计</w:t>
            </w:r>
          </w:p>
          <w:p>
            <w:pPr>
              <w:snapToGrid w:val="0"/>
              <w:jc w:val="center"/>
              <w:rPr>
                <w:rFonts w:ascii="方正仿宋简体" w:hAnsi="宋体" w:eastAsia="方正仿宋简体"/>
                <w:b/>
              </w:rPr>
            </w:pPr>
            <w:r>
              <w:rPr>
                <w:rFonts w:hint="eastAsia" w:ascii="方正仿宋简体" w:hAnsi="宋体" w:eastAsia="方正仿宋简体"/>
                <w:b/>
              </w:rPr>
              <w:t>批准文号</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设计概算</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施工图预算</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当年计划投资</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三材需用量</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钢材（t）</w:t>
            </w: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木材（m</w:t>
            </w:r>
            <w:r>
              <w:rPr>
                <w:rFonts w:hint="eastAsia" w:ascii="方正仿宋简体" w:hAnsi="宋体" w:eastAsia="方正仿宋简体"/>
                <w:b/>
                <w:vertAlign w:val="superscript"/>
              </w:rPr>
              <w:t>3</w:t>
            </w:r>
            <w:r>
              <w:rPr>
                <w:rFonts w:hint="eastAsia" w:ascii="方正仿宋简体" w:hAnsi="宋体" w:eastAsia="方正仿宋简体"/>
                <w:b/>
              </w:rPr>
              <w:t>）</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水泥（t）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开工前审计情况</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Ⅴ</w:t>
            </w: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建设工程</w:t>
            </w:r>
          </w:p>
          <w:p>
            <w:pPr>
              <w:snapToGrid w:val="0"/>
              <w:jc w:val="center"/>
              <w:rPr>
                <w:rFonts w:ascii="方正仿宋简体" w:hAnsi="宋体" w:eastAsia="方正仿宋简体"/>
                <w:b/>
              </w:rPr>
            </w:pPr>
            <w:r>
              <w:rPr>
                <w:rFonts w:hint="eastAsia" w:ascii="方正仿宋简体" w:hAnsi="宋体" w:eastAsia="方正仿宋简体"/>
                <w:b/>
              </w:rPr>
              <w:t>规划许可证</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招投标情况</w:t>
            </w:r>
          </w:p>
        </w:tc>
        <w:tc>
          <w:tcPr>
            <w:tcW w:w="661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质监申报</w:t>
            </w:r>
          </w:p>
          <w:p>
            <w:pPr>
              <w:snapToGrid w:val="0"/>
              <w:jc w:val="center"/>
              <w:rPr>
                <w:rFonts w:ascii="方正仿宋简体" w:hAnsi="宋体" w:eastAsia="方正仿宋简体"/>
                <w:b/>
              </w:rPr>
            </w:pPr>
            <w:r>
              <w:rPr>
                <w:rFonts w:hint="eastAsia" w:ascii="方正仿宋简体" w:hAnsi="宋体" w:eastAsia="方正仿宋简体"/>
                <w:b/>
              </w:rPr>
              <w:t>受理情况</w:t>
            </w:r>
          </w:p>
        </w:tc>
        <w:tc>
          <w:tcPr>
            <w:tcW w:w="18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Ⅶ</w:t>
            </w:r>
          </w:p>
        </w:tc>
        <w:tc>
          <w:tcPr>
            <w:tcW w:w="19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监理合同</w:t>
            </w:r>
          </w:p>
        </w:tc>
        <w:tc>
          <w:tcPr>
            <w:tcW w:w="28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方正仿宋简体" w:hAnsi="宋体" w:eastAsia="方正仿宋简体"/>
                <w:b/>
              </w:rPr>
            </w:pPr>
            <w:r>
              <w:rPr>
                <w:rFonts w:hint="eastAsia" w:ascii="方正仿宋简体" w:hAnsi="宋体" w:eastAsia="方正仿宋简体"/>
                <w:b/>
              </w:rPr>
              <w:t>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0"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主要工程内容及工程量：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主要设备需用量、定货、到货情况：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主要材料需要量、订货、到货情况：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施工前准备情况：（国土使用、施工组织设计、“三通一平”等）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施工单位及施工队伍落实情况：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监理单位及监理人员落实情况：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4"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设计单位及施工图落实情况：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9"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施工现场指挥机构组织情况：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6"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建设单位意见：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6"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四川川港燃气有限责任公司生产技术部意见：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6" w:hRule="atLeast"/>
          <w:jc w:val="center"/>
        </w:trPr>
        <w:tc>
          <w:tcPr>
            <w:tcW w:w="8771" w:type="dxa"/>
            <w:gridSpan w:val="4"/>
            <w:tcBorders>
              <w:top w:val="single" w:color="auto" w:sz="4" w:space="0"/>
              <w:left w:val="single" w:color="auto" w:sz="4" w:space="0"/>
              <w:bottom w:val="single" w:color="auto" w:sz="4" w:space="0"/>
              <w:right w:val="single" w:color="auto" w:sz="4" w:space="0"/>
            </w:tcBorders>
            <w:vAlign w:val="top"/>
          </w:tcPr>
          <w:p>
            <w:pPr>
              <w:snapToGrid w:val="0"/>
              <w:rPr>
                <w:rFonts w:ascii="方正仿宋简体" w:hAnsi="宋体" w:eastAsia="方正仿宋简体"/>
                <w:b/>
              </w:rPr>
            </w:pPr>
            <w:r>
              <w:rPr>
                <w:rFonts w:hint="eastAsia" w:ascii="方正仿宋简体" w:hAnsi="宋体" w:eastAsia="方正仿宋简体"/>
                <w:b/>
              </w:rPr>
              <w:t>四川川港燃气有限责任公司主管领导意见：</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填表说明：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一、Ⅰ处：限下项目开工报告由所属单位自编文号，限上项目开工报告由公司生产技术部编制文号。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二、Ⅱ处：按工程主要工程量类别填写新建、改建或扩建工程。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三、Ⅲ处：按批复初步设计中的工程名称填写。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四、Ⅳ处：填写项目所在所属单位名称。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五、Ⅴ处：填写开工前审计受理文号。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六、Ⅵ处：填写施工、监理、检测单位招标的中标情况。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七、Ⅶ处：填写质量监督站受理文号。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八、Ⅷ处：填写已签订的监理合同编号。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方正黑体简体" w:hAnsi="方正黑体简体" w:eastAsia="方正黑体简体" w:cs="方正黑体简体"/>
          <w:b w:val="0"/>
          <w:bCs w:val="0"/>
          <w:sz w:val="32"/>
        </w:rPr>
        <w:sectPr>
          <w:pgSz w:w="11906" w:h="16838"/>
          <w:pgMar w:top="1803" w:right="1440" w:bottom="1803" w:left="1440" w:header="851" w:footer="992" w:gutter="0"/>
          <w:cols w:space="0" w:num="1"/>
          <w:rtlGutter w:val="0"/>
          <w:docGrid w:type="lines" w:linePitch="312" w:charSpace="0"/>
        </w:sectPr>
      </w:pPr>
      <w:r>
        <w:rPr>
          <w:rFonts w:hint="eastAsia" w:ascii="方正仿宋简体" w:eastAsia="方正仿宋简体"/>
          <w:sz w:val="28"/>
          <w:szCs w:val="28"/>
        </w:rPr>
        <w:t>九、Ⅸ由建设项目经理填写意见，签名，并盖建设项目部（或建设单位）</w:t>
      </w:r>
    </w:p>
    <w:tbl>
      <w:tblPr>
        <w:tblStyle w:val="51"/>
        <w:tblpPr w:leftFromText="180" w:rightFromText="180" w:vertAnchor="text" w:horzAnchor="page" w:tblpX="2001" w:tblpY="173"/>
        <w:tblOverlap w:val="never"/>
        <w:tblW w:w="13431" w:type="dxa"/>
        <w:tblInd w:w="0" w:type="dxa"/>
        <w:tblLayout w:type="fixed"/>
        <w:tblCellMar>
          <w:top w:w="0" w:type="dxa"/>
          <w:left w:w="108" w:type="dxa"/>
          <w:bottom w:w="0" w:type="dxa"/>
          <w:right w:w="108" w:type="dxa"/>
        </w:tblCellMar>
      </w:tblPr>
      <w:tblGrid>
        <w:gridCol w:w="660"/>
        <w:gridCol w:w="1548"/>
        <w:gridCol w:w="750"/>
        <w:gridCol w:w="481"/>
        <w:gridCol w:w="11"/>
        <w:gridCol w:w="13"/>
        <w:gridCol w:w="344"/>
        <w:gridCol w:w="110"/>
        <w:gridCol w:w="129"/>
        <w:gridCol w:w="239"/>
        <w:gridCol w:w="360"/>
        <w:gridCol w:w="8"/>
        <w:gridCol w:w="572"/>
        <w:gridCol w:w="8"/>
        <w:gridCol w:w="360"/>
        <w:gridCol w:w="167"/>
        <w:gridCol w:w="750"/>
        <w:gridCol w:w="750"/>
        <w:gridCol w:w="750"/>
        <w:gridCol w:w="750"/>
        <w:gridCol w:w="1155"/>
        <w:gridCol w:w="1020"/>
        <w:gridCol w:w="541"/>
        <w:gridCol w:w="368"/>
        <w:gridCol w:w="481"/>
        <w:gridCol w:w="738"/>
        <w:gridCol w:w="64"/>
        <w:gridCol w:w="304"/>
      </w:tblGrid>
      <w:tr>
        <w:tblPrEx>
          <w:tblLayout w:type="fixed"/>
          <w:tblCellMar>
            <w:top w:w="0" w:type="dxa"/>
            <w:left w:w="108" w:type="dxa"/>
            <w:bottom w:w="0" w:type="dxa"/>
            <w:right w:w="108" w:type="dxa"/>
          </w:tblCellMar>
        </w:tblPrEx>
        <w:trPr>
          <w:trHeight w:val="90" w:hRule="atLeast"/>
        </w:trPr>
        <w:tc>
          <w:tcPr>
            <w:tcW w:w="13431" w:type="dxa"/>
            <w:gridSpan w:val="28"/>
            <w:tcBorders>
              <w:top w:val="nil"/>
              <w:left w:val="nil"/>
              <w:bottom w:val="nil"/>
              <w:right w:val="nil"/>
            </w:tcBorders>
            <w:vAlign w:val="center"/>
          </w:tcPr>
          <w:p>
            <w:pPr>
              <w:widowControl/>
              <w:snapToGrid w:val="0"/>
              <w:jc w:val="center"/>
              <w:rPr>
                <w:rFonts w:ascii="方正仿宋简体" w:hAnsi="宋体" w:eastAsia="方正仿宋简体"/>
                <w:b/>
                <w:kern w:val="0"/>
              </w:rPr>
            </w:pPr>
            <w:r>
              <w:rPr>
                <w:rFonts w:hint="eastAsia" w:ascii="方正仿宋简体" w:hAnsi="宋体" w:eastAsia="方正仿宋简体"/>
                <w:b/>
                <w:kern w:val="0"/>
              </w:rPr>
              <w:t xml:space="preserve">中油南充燃气有限责任公司重点项目周报                                                 </w:t>
            </w:r>
            <w:r>
              <w:rPr>
                <w:rFonts w:hint="eastAsia" w:ascii="方正仿宋简体" w:hAnsi="宋体" w:eastAsia="方正仿宋简体"/>
                <w:b/>
                <w:kern w:val="0"/>
                <w:lang w:val="en-US" w:eastAsia="zh-CN"/>
              </w:rPr>
              <w:t xml:space="preserve">                      </w:t>
            </w:r>
            <w:r>
              <w:rPr>
                <w:rFonts w:hint="eastAsia" w:ascii="方正仿宋简体" w:hAnsi="宋体" w:eastAsia="方正仿宋简体"/>
                <w:b/>
                <w:kern w:val="0"/>
              </w:rPr>
              <w:t xml:space="preserve">               201X年第X期（XXX公司）</w:t>
            </w:r>
          </w:p>
        </w:tc>
      </w:tr>
      <w:tr>
        <w:tblPrEx>
          <w:tblLayout w:type="fixed"/>
          <w:tblCellMar>
            <w:top w:w="0" w:type="dxa"/>
            <w:left w:w="108" w:type="dxa"/>
            <w:bottom w:w="0" w:type="dxa"/>
            <w:right w:w="108" w:type="dxa"/>
          </w:tblCellMar>
        </w:tblPrEx>
        <w:trPr>
          <w:gridAfter w:val="1"/>
          <w:wAfter w:w="304" w:type="dxa"/>
          <w:trHeight w:val="90" w:hRule="atLeast"/>
        </w:trPr>
        <w:tc>
          <w:tcPr>
            <w:tcW w:w="4046" w:type="dxa"/>
            <w:gridSpan w:val="9"/>
            <w:tcBorders>
              <w:top w:val="nil"/>
              <w:left w:val="nil"/>
              <w:bottom w:val="single" w:color="auto" w:sz="4" w:space="0"/>
              <w:right w:val="nil"/>
            </w:tcBorders>
            <w:vAlign w:val="center"/>
          </w:tcPr>
          <w:p>
            <w:pPr>
              <w:widowControl/>
              <w:jc w:val="left"/>
              <w:rPr>
                <w:rFonts w:ascii="方正仿宋简体" w:hAnsi="宋体" w:eastAsia="方正仿宋简体"/>
                <w:b/>
                <w:kern w:val="0"/>
              </w:rPr>
            </w:pPr>
            <w:r>
              <w:rPr>
                <w:rFonts w:hint="eastAsia" w:ascii="方正仿宋简体" w:hAnsi="宋体" w:eastAsia="方正仿宋简体"/>
                <w:b/>
                <w:kern w:val="0"/>
              </w:rPr>
              <w:t xml:space="preserve">填报单位： </w:t>
            </w:r>
          </w:p>
        </w:tc>
        <w:tc>
          <w:tcPr>
            <w:tcW w:w="1187" w:type="dxa"/>
            <w:gridSpan w:val="5"/>
            <w:tcBorders>
              <w:top w:val="nil"/>
              <w:left w:val="nil"/>
              <w:bottom w:val="single" w:color="auto" w:sz="4" w:space="0"/>
              <w:right w:val="nil"/>
            </w:tcBorders>
            <w:vAlign w:val="center"/>
          </w:tcPr>
          <w:p>
            <w:pPr>
              <w:widowControl/>
              <w:jc w:val="center"/>
              <w:rPr>
                <w:rFonts w:ascii="方正仿宋简体" w:hAnsi="宋体" w:eastAsia="方正仿宋简体"/>
                <w:b/>
                <w:kern w:val="0"/>
              </w:rPr>
            </w:pPr>
            <w:r>
              <w:rPr>
                <w:rFonts w:hint="eastAsia" w:ascii="方正仿宋简体" w:hAnsi="宋体" w:eastAsia="方正仿宋简体"/>
                <w:b/>
                <w:kern w:val="0"/>
              </w:rPr>
              <w:t>填报人：</w:t>
            </w:r>
          </w:p>
        </w:tc>
        <w:tc>
          <w:tcPr>
            <w:tcW w:w="527" w:type="dxa"/>
            <w:gridSpan w:val="2"/>
            <w:tcBorders>
              <w:top w:val="nil"/>
              <w:left w:val="nil"/>
              <w:bottom w:val="nil"/>
              <w:right w:val="nil"/>
            </w:tcBorders>
            <w:vAlign w:val="center"/>
          </w:tcPr>
          <w:p>
            <w:pPr>
              <w:widowControl/>
              <w:jc w:val="left"/>
              <w:rPr>
                <w:rFonts w:ascii="方正仿宋简体" w:hAnsi="宋体" w:eastAsia="方正仿宋简体"/>
                <w:b/>
                <w:kern w:val="0"/>
              </w:rPr>
            </w:pPr>
          </w:p>
        </w:tc>
        <w:tc>
          <w:tcPr>
            <w:tcW w:w="1500" w:type="dxa"/>
            <w:gridSpan w:val="2"/>
            <w:tcBorders>
              <w:top w:val="nil"/>
              <w:left w:val="nil"/>
              <w:bottom w:val="nil"/>
              <w:right w:val="nil"/>
            </w:tcBorders>
            <w:vAlign w:val="center"/>
          </w:tcPr>
          <w:p>
            <w:pPr>
              <w:widowControl/>
              <w:jc w:val="left"/>
              <w:rPr>
                <w:rFonts w:ascii="方正仿宋简体" w:hAnsi="宋体" w:eastAsia="方正仿宋简体"/>
                <w:b/>
                <w:kern w:val="0"/>
              </w:rPr>
            </w:pPr>
          </w:p>
        </w:tc>
        <w:tc>
          <w:tcPr>
            <w:tcW w:w="2655" w:type="dxa"/>
            <w:gridSpan w:val="3"/>
            <w:tcBorders>
              <w:top w:val="nil"/>
              <w:left w:val="nil"/>
              <w:bottom w:val="single" w:color="auto" w:sz="4" w:space="0"/>
              <w:right w:val="nil"/>
            </w:tcBorders>
            <w:vAlign w:val="center"/>
          </w:tcPr>
          <w:p>
            <w:pPr>
              <w:widowControl/>
              <w:jc w:val="left"/>
              <w:rPr>
                <w:rFonts w:ascii="方正仿宋简体" w:hAnsi="宋体" w:eastAsia="方正仿宋简体"/>
                <w:b/>
                <w:kern w:val="0"/>
              </w:rPr>
            </w:pPr>
            <w:r>
              <w:rPr>
                <w:rFonts w:hint="eastAsia" w:ascii="方正仿宋简体" w:hAnsi="宋体" w:eastAsia="方正仿宋简体"/>
                <w:b/>
                <w:kern w:val="0"/>
              </w:rPr>
              <w:t xml:space="preserve">联系电话： </w:t>
            </w:r>
          </w:p>
        </w:tc>
        <w:tc>
          <w:tcPr>
            <w:tcW w:w="1020" w:type="dxa"/>
            <w:tcBorders>
              <w:top w:val="nil"/>
              <w:left w:val="nil"/>
              <w:bottom w:val="nil"/>
              <w:right w:val="nil"/>
            </w:tcBorders>
            <w:vAlign w:val="center"/>
          </w:tcPr>
          <w:p>
            <w:pPr>
              <w:widowControl/>
              <w:jc w:val="left"/>
              <w:rPr>
                <w:rFonts w:ascii="方正仿宋简体" w:hAnsi="宋体" w:eastAsia="方正仿宋简体"/>
                <w:b/>
                <w:kern w:val="0"/>
              </w:rPr>
            </w:pPr>
          </w:p>
        </w:tc>
        <w:tc>
          <w:tcPr>
            <w:tcW w:w="2192" w:type="dxa"/>
            <w:gridSpan w:val="5"/>
            <w:tcBorders>
              <w:top w:val="nil"/>
              <w:left w:val="nil"/>
              <w:bottom w:val="nil"/>
              <w:right w:val="nil"/>
            </w:tcBorders>
            <w:vAlign w:val="center"/>
          </w:tcPr>
          <w:p>
            <w:pPr>
              <w:widowControl/>
              <w:jc w:val="left"/>
              <w:rPr>
                <w:rFonts w:ascii="方正仿宋简体" w:hAnsi="宋体" w:eastAsia="方正仿宋简体"/>
                <w:b/>
                <w:kern w:val="0"/>
              </w:rPr>
            </w:pPr>
            <w:r>
              <w:rPr>
                <w:rFonts w:hint="eastAsia" w:ascii="方正仿宋简体" w:hAnsi="宋体" w:eastAsia="方正仿宋简体"/>
                <w:b/>
                <w:kern w:val="0"/>
              </w:rPr>
              <w:t xml:space="preserve">填报日期： </w:t>
            </w:r>
          </w:p>
        </w:tc>
      </w:tr>
      <w:tr>
        <w:tblPrEx>
          <w:tblLayout w:type="fixed"/>
          <w:tblCellMar>
            <w:top w:w="0" w:type="dxa"/>
            <w:left w:w="108" w:type="dxa"/>
            <w:bottom w:w="0" w:type="dxa"/>
            <w:right w:w="108" w:type="dxa"/>
          </w:tblCellMar>
        </w:tblPrEx>
        <w:trPr>
          <w:trHeight w:val="176" w:hRule="atLeast"/>
        </w:trPr>
        <w:tc>
          <w:tcPr>
            <w:tcW w:w="660" w:type="dxa"/>
            <w:vMerge w:val="restart"/>
            <w:tcBorders>
              <w:top w:val="nil"/>
              <w:left w:val="single" w:color="auto" w:sz="4" w:space="0"/>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一</w:t>
            </w:r>
            <w:r>
              <w:rPr>
                <w:rFonts w:ascii="方正仿宋简体" w:hAnsi="宋体" w:eastAsia="方正仿宋简体"/>
                <w:b/>
                <w:kern w:val="0"/>
                <w:sz w:val="15"/>
              </w:rPr>
              <w:t>.</w:t>
            </w:r>
            <w:r>
              <w:rPr>
                <w:rFonts w:hint="eastAsia" w:ascii="方正仿宋简体" w:hAnsi="宋体" w:eastAsia="方正仿宋简体"/>
                <w:b/>
                <w:kern w:val="0"/>
                <w:sz w:val="15"/>
              </w:rPr>
              <w:t>概况</w:t>
            </w:r>
          </w:p>
        </w:tc>
        <w:tc>
          <w:tcPr>
            <w:tcW w:w="2298" w:type="dxa"/>
            <w:gridSpan w:val="2"/>
            <w:tcBorders>
              <w:top w:val="single" w:color="auto" w:sz="4" w:space="0"/>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工程名称</w:t>
            </w:r>
          </w:p>
        </w:tc>
        <w:tc>
          <w:tcPr>
            <w:tcW w:w="505"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批复文号</w:t>
            </w:r>
          </w:p>
        </w:tc>
        <w:tc>
          <w:tcPr>
            <w:tcW w:w="583"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总投资</w:t>
            </w:r>
          </w:p>
        </w:tc>
        <w:tc>
          <w:tcPr>
            <w:tcW w:w="599"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实施单位</w:t>
            </w:r>
          </w:p>
        </w:tc>
        <w:tc>
          <w:tcPr>
            <w:tcW w:w="58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项目经理</w:t>
            </w:r>
          </w:p>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及副经理</w:t>
            </w:r>
          </w:p>
        </w:tc>
        <w:tc>
          <w:tcPr>
            <w:tcW w:w="527" w:type="dxa"/>
            <w:gridSpan w:val="2"/>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监理单位</w:t>
            </w:r>
          </w:p>
        </w:tc>
        <w:tc>
          <w:tcPr>
            <w:tcW w:w="750"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设计单位</w:t>
            </w:r>
          </w:p>
        </w:tc>
        <w:tc>
          <w:tcPr>
            <w:tcW w:w="750"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施工单位</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检测单位</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其它单位</w:t>
            </w:r>
          </w:p>
        </w:tc>
        <w:tc>
          <w:tcPr>
            <w:tcW w:w="1155"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计划开工日期　</w:t>
            </w:r>
          </w:p>
        </w:tc>
        <w:tc>
          <w:tcPr>
            <w:tcW w:w="1020"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计划完工日期</w:t>
            </w:r>
          </w:p>
        </w:tc>
        <w:tc>
          <w:tcPr>
            <w:tcW w:w="2496" w:type="dxa"/>
            <w:gridSpan w:val="6"/>
            <w:tcBorders>
              <w:top w:val="single" w:color="auto" w:sz="4" w:space="0"/>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主要工作量</w:t>
            </w: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2298" w:type="dxa"/>
            <w:gridSpan w:val="2"/>
            <w:tcBorders>
              <w:top w:val="single" w:color="auto" w:sz="4" w:space="0"/>
              <w:left w:val="nil"/>
              <w:bottom w:val="nil"/>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05"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83"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99"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8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27"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155"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02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2496" w:type="dxa"/>
            <w:gridSpan w:val="6"/>
            <w:tcBorders>
              <w:top w:val="single" w:color="auto" w:sz="4" w:space="0"/>
              <w:left w:val="nil"/>
              <w:bottom w:val="nil"/>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r>
      <w:tr>
        <w:tblPrEx>
          <w:tblLayout w:type="fixed"/>
          <w:tblCellMar>
            <w:top w:w="0" w:type="dxa"/>
            <w:left w:w="108" w:type="dxa"/>
            <w:bottom w:w="0" w:type="dxa"/>
            <w:right w:w="108" w:type="dxa"/>
          </w:tblCellMar>
        </w:tblPrEx>
        <w:trPr>
          <w:trHeight w:val="118" w:hRule="atLeast"/>
        </w:trPr>
        <w:tc>
          <w:tcPr>
            <w:tcW w:w="660" w:type="dxa"/>
            <w:vMerge w:val="restart"/>
            <w:tcBorders>
              <w:top w:val="nil"/>
              <w:left w:val="single" w:color="auto" w:sz="4" w:space="0"/>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二</w:t>
            </w:r>
            <w:r>
              <w:rPr>
                <w:rFonts w:ascii="方正仿宋简体" w:hAnsi="宋体" w:eastAsia="方正仿宋简体"/>
                <w:b/>
                <w:kern w:val="0"/>
                <w:sz w:val="15"/>
              </w:rPr>
              <w:t>.</w:t>
            </w:r>
            <w:r>
              <w:rPr>
                <w:rFonts w:hint="eastAsia" w:ascii="方正仿宋简体" w:hAnsi="宋体" w:eastAsia="方正仿宋简体"/>
                <w:b/>
                <w:kern w:val="0"/>
                <w:sz w:val="15"/>
              </w:rPr>
              <w:t>实施情况</w:t>
            </w:r>
          </w:p>
        </w:tc>
        <w:tc>
          <w:tcPr>
            <w:tcW w:w="154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1.准备情况</w:t>
            </w:r>
          </w:p>
        </w:tc>
        <w:tc>
          <w:tcPr>
            <w:tcW w:w="750"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土地手续</w:t>
            </w:r>
          </w:p>
        </w:tc>
        <w:tc>
          <w:tcPr>
            <w:tcW w:w="505"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规划手续</w:t>
            </w:r>
          </w:p>
        </w:tc>
        <w:tc>
          <w:tcPr>
            <w:tcW w:w="583"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安评</w:t>
            </w:r>
          </w:p>
        </w:tc>
        <w:tc>
          <w:tcPr>
            <w:tcW w:w="599"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环评</w:t>
            </w:r>
          </w:p>
        </w:tc>
        <w:tc>
          <w:tcPr>
            <w:tcW w:w="58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施工图</w:t>
            </w:r>
          </w:p>
        </w:tc>
        <w:tc>
          <w:tcPr>
            <w:tcW w:w="527"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物资采购</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招标</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合同</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总体部署</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开工报告</w:t>
            </w:r>
          </w:p>
        </w:tc>
        <w:tc>
          <w:tcPr>
            <w:tcW w:w="1155"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质监受理</w:t>
            </w:r>
          </w:p>
        </w:tc>
        <w:tc>
          <w:tcPr>
            <w:tcW w:w="102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施工许可</w:t>
            </w:r>
          </w:p>
        </w:tc>
        <w:tc>
          <w:tcPr>
            <w:tcW w:w="541"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用水</w:t>
            </w:r>
          </w:p>
        </w:tc>
        <w:tc>
          <w:tcPr>
            <w:tcW w:w="368"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用电</w:t>
            </w:r>
          </w:p>
        </w:tc>
        <w:tc>
          <w:tcPr>
            <w:tcW w:w="481"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赔偿</w:t>
            </w:r>
          </w:p>
        </w:tc>
        <w:tc>
          <w:tcPr>
            <w:tcW w:w="738" w:type="dxa"/>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开工日期</w:t>
            </w:r>
          </w:p>
        </w:tc>
        <w:tc>
          <w:tcPr>
            <w:tcW w:w="368" w:type="dxa"/>
            <w:gridSpan w:val="2"/>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技术交底</w:t>
            </w: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nil"/>
              <w:right w:val="single" w:color="auto" w:sz="4" w:space="0"/>
            </w:tcBorders>
            <w:vAlign w:val="center"/>
          </w:tcPr>
          <w:p>
            <w:pPr>
              <w:widowControl/>
              <w:snapToGrid w:val="0"/>
              <w:jc w:val="left"/>
              <w:rPr>
                <w:rFonts w:ascii="方正仿宋简体" w:hAnsi="宋体" w:eastAsia="方正仿宋简体"/>
                <w:b/>
                <w:kern w:val="0"/>
                <w:sz w:val="15"/>
              </w:rPr>
            </w:pPr>
          </w:p>
        </w:tc>
        <w:tc>
          <w:tcPr>
            <w:tcW w:w="750" w:type="dxa"/>
            <w:tcBorders>
              <w:top w:val="nil"/>
              <w:left w:val="nil"/>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r>
              <w:rPr>
                <w:rFonts w:hint="eastAsia" w:ascii="方正仿宋简体" w:hAnsi="宋体" w:eastAsia="方正仿宋简体"/>
                <w:b/>
                <w:kern w:val="0"/>
                <w:sz w:val="15"/>
              </w:rPr>
              <w:t>　</w:t>
            </w:r>
          </w:p>
        </w:tc>
        <w:tc>
          <w:tcPr>
            <w:tcW w:w="505" w:type="dxa"/>
            <w:gridSpan w:val="3"/>
            <w:tcBorders>
              <w:top w:val="nil"/>
              <w:left w:val="nil"/>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r>
              <w:rPr>
                <w:rFonts w:hint="eastAsia" w:ascii="方正仿宋简体" w:hAnsi="宋体" w:eastAsia="方正仿宋简体"/>
                <w:b/>
                <w:kern w:val="0"/>
                <w:sz w:val="15"/>
              </w:rPr>
              <w:t>　</w:t>
            </w:r>
          </w:p>
        </w:tc>
        <w:tc>
          <w:tcPr>
            <w:tcW w:w="583"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99"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88" w:type="dxa"/>
            <w:gridSpan w:val="3"/>
            <w:tcBorders>
              <w:top w:val="nil"/>
              <w:left w:val="nil"/>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r>
              <w:rPr>
                <w:rFonts w:hint="eastAsia" w:ascii="方正仿宋简体" w:hAnsi="宋体" w:eastAsia="方正仿宋简体"/>
                <w:b/>
                <w:kern w:val="0"/>
                <w:sz w:val="15"/>
              </w:rPr>
              <w:t>　</w:t>
            </w:r>
          </w:p>
        </w:tc>
        <w:tc>
          <w:tcPr>
            <w:tcW w:w="527"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155"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02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41"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81"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738"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r>
      <w:tr>
        <w:tblPrEx>
          <w:tblLayout w:type="fixed"/>
          <w:tblCellMar>
            <w:top w:w="0" w:type="dxa"/>
            <w:left w:w="108" w:type="dxa"/>
            <w:bottom w:w="0" w:type="dxa"/>
            <w:right w:w="108" w:type="dxa"/>
          </w:tblCellMar>
        </w:tblPrEx>
        <w:trPr>
          <w:trHeight w:val="176"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2.完成情况</w:t>
            </w:r>
          </w:p>
        </w:tc>
        <w:tc>
          <w:tcPr>
            <w:tcW w:w="7707" w:type="dxa"/>
            <w:gridSpan w:val="19"/>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线路</w:t>
            </w:r>
          </w:p>
        </w:tc>
        <w:tc>
          <w:tcPr>
            <w:tcW w:w="102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特种设备备案</w:t>
            </w:r>
          </w:p>
        </w:tc>
        <w:tc>
          <w:tcPr>
            <w:tcW w:w="909" w:type="dxa"/>
            <w:gridSpan w:val="2"/>
            <w:tcBorders>
              <w:top w:val="nil"/>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重大设计变更</w:t>
            </w:r>
          </w:p>
        </w:tc>
        <w:tc>
          <w:tcPr>
            <w:tcW w:w="1587" w:type="dxa"/>
            <w:gridSpan w:val="4"/>
            <w:tcBorders>
              <w:top w:val="single" w:color="auto" w:sz="4" w:space="0"/>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其它</w:t>
            </w: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2077" w:type="dxa"/>
            <w:gridSpan w:val="8"/>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穿跨越</w:t>
            </w:r>
          </w:p>
        </w:tc>
        <w:tc>
          <w:tcPr>
            <w:tcW w:w="368" w:type="dxa"/>
            <w:gridSpan w:val="2"/>
            <w:vMerge w:val="restart"/>
            <w:tcBorders>
              <w:top w:val="nil"/>
              <w:left w:val="single" w:color="auto" w:sz="4" w:space="0"/>
              <w:bottom w:val="single" w:color="000000"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本周</w:t>
            </w:r>
          </w:p>
        </w:tc>
        <w:tc>
          <w:tcPr>
            <w:tcW w:w="572" w:type="dxa"/>
            <w:vMerge w:val="restart"/>
            <w:tcBorders>
              <w:top w:val="nil"/>
              <w:left w:val="single" w:color="auto" w:sz="4" w:space="0"/>
              <w:bottom w:val="single" w:color="000000"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累计</w:t>
            </w:r>
          </w:p>
        </w:tc>
        <w:tc>
          <w:tcPr>
            <w:tcW w:w="368" w:type="dxa"/>
            <w:gridSpan w:val="2"/>
            <w:vMerge w:val="restart"/>
            <w:tcBorders>
              <w:top w:val="nil"/>
              <w:left w:val="single" w:color="auto" w:sz="4" w:space="0"/>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进度</w:t>
            </w:r>
          </w:p>
        </w:tc>
        <w:tc>
          <w:tcPr>
            <w:tcW w:w="4322" w:type="dxa"/>
            <w:gridSpan w:val="6"/>
            <w:vMerge w:val="restart"/>
            <w:tcBorders>
              <w:top w:val="single" w:color="auto" w:sz="4" w:space="0"/>
              <w:left w:val="single" w:color="auto" w:sz="4" w:space="0"/>
              <w:bottom w:val="single" w:color="000000"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进度滞后原因及分析</w:t>
            </w:r>
          </w:p>
        </w:tc>
        <w:tc>
          <w:tcPr>
            <w:tcW w:w="1020" w:type="dxa"/>
            <w:vMerge w:val="restart"/>
            <w:tcBorders>
              <w:top w:val="nil"/>
              <w:left w:val="single" w:color="auto" w:sz="4" w:space="0"/>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909" w:type="dxa"/>
            <w:gridSpan w:val="2"/>
            <w:vMerge w:val="restart"/>
            <w:tcBorders>
              <w:top w:val="nil"/>
              <w:left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587" w:type="dxa"/>
            <w:gridSpan w:val="4"/>
            <w:vMerge w:val="restart"/>
            <w:tcBorders>
              <w:top w:val="single" w:color="auto" w:sz="4" w:space="0"/>
              <w:left w:val="single" w:color="000000" w:sz="4" w:space="0"/>
              <w:right w:val="single" w:color="000000" w:sz="4" w:space="0"/>
            </w:tcBorders>
            <w:vAlign w:val="center"/>
          </w:tcPr>
          <w:p>
            <w:pPr>
              <w:widowControl/>
              <w:snapToGrid w:val="0"/>
              <w:jc w:val="center"/>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公路</w:t>
            </w:r>
          </w:p>
        </w:tc>
        <w:tc>
          <w:tcPr>
            <w:tcW w:w="481"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铁路</w:t>
            </w:r>
          </w:p>
        </w:tc>
        <w:tc>
          <w:tcPr>
            <w:tcW w:w="36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河流</w:t>
            </w:r>
          </w:p>
        </w:tc>
        <w:tc>
          <w:tcPr>
            <w:tcW w:w="47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林区</w:t>
            </w:r>
          </w:p>
        </w:tc>
        <w:tc>
          <w:tcPr>
            <w:tcW w:w="368" w:type="dxa"/>
            <w:gridSpan w:val="2"/>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572"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368" w:type="dxa"/>
            <w:gridSpan w:val="2"/>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4322" w:type="dxa"/>
            <w:gridSpan w:val="6"/>
            <w:vMerge w:val="continue"/>
            <w:tcBorders>
              <w:top w:val="single" w:color="auto" w:sz="4" w:space="0"/>
              <w:left w:val="single" w:color="auto" w:sz="4" w:space="0"/>
              <w:bottom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02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909" w:type="dxa"/>
            <w:gridSpan w:val="2"/>
            <w:vMerge w:val="continue"/>
            <w:tcBorders>
              <w:left w:val="single" w:color="auto"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587" w:type="dxa"/>
            <w:gridSpan w:val="4"/>
            <w:vMerge w:val="continue"/>
            <w:tcBorders>
              <w:left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81"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78"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72"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322" w:type="dxa"/>
            <w:gridSpan w:val="6"/>
            <w:tcBorders>
              <w:top w:val="single" w:color="auto" w:sz="4" w:space="0"/>
              <w:left w:val="nil"/>
              <w:bottom w:val="nil"/>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02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909" w:type="dxa"/>
            <w:gridSpan w:val="2"/>
            <w:vMerge w:val="continue"/>
            <w:tcBorders>
              <w:left w:val="single" w:color="auto"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587" w:type="dxa"/>
            <w:gridSpan w:val="4"/>
            <w:vMerge w:val="continue"/>
            <w:tcBorders>
              <w:left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7707" w:type="dxa"/>
            <w:gridSpan w:val="19"/>
            <w:tcBorders>
              <w:top w:val="single" w:color="auto" w:sz="4" w:space="0"/>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站场</w:t>
            </w:r>
          </w:p>
        </w:tc>
        <w:tc>
          <w:tcPr>
            <w:tcW w:w="102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909" w:type="dxa"/>
            <w:gridSpan w:val="2"/>
            <w:vMerge w:val="continue"/>
            <w:tcBorders>
              <w:left w:val="single" w:color="auto"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587" w:type="dxa"/>
            <w:gridSpan w:val="4"/>
            <w:vMerge w:val="continue"/>
            <w:tcBorders>
              <w:left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118"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总图建筑</w:t>
            </w:r>
          </w:p>
        </w:tc>
        <w:tc>
          <w:tcPr>
            <w:tcW w:w="492"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检验和验槽</w:t>
            </w:r>
          </w:p>
        </w:tc>
        <w:tc>
          <w:tcPr>
            <w:tcW w:w="467"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大型吊装</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设备防腐</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本周</w:t>
            </w:r>
          </w:p>
        </w:tc>
        <w:tc>
          <w:tcPr>
            <w:tcW w:w="572"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累计</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进度</w:t>
            </w:r>
          </w:p>
        </w:tc>
        <w:tc>
          <w:tcPr>
            <w:tcW w:w="4322" w:type="dxa"/>
            <w:gridSpan w:val="6"/>
            <w:tcBorders>
              <w:top w:val="single" w:color="auto" w:sz="4" w:space="0"/>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进度滞后原因及分析</w:t>
            </w:r>
          </w:p>
        </w:tc>
        <w:tc>
          <w:tcPr>
            <w:tcW w:w="102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909" w:type="dxa"/>
            <w:gridSpan w:val="2"/>
            <w:vMerge w:val="continue"/>
            <w:tcBorders>
              <w:left w:val="single" w:color="auto"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587" w:type="dxa"/>
            <w:gridSpan w:val="4"/>
            <w:vMerge w:val="continue"/>
            <w:tcBorders>
              <w:left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90" w:hRule="atLeast"/>
        </w:trPr>
        <w:tc>
          <w:tcPr>
            <w:tcW w:w="66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750"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92"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67" w:type="dxa"/>
            <w:gridSpan w:val="3"/>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572" w:type="dxa"/>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368" w:type="dxa"/>
            <w:gridSpan w:val="2"/>
            <w:tcBorders>
              <w:top w:val="nil"/>
              <w:left w:val="nil"/>
              <w:bottom w:val="single" w:color="auto"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4322" w:type="dxa"/>
            <w:gridSpan w:val="6"/>
            <w:tcBorders>
              <w:top w:val="nil"/>
              <w:left w:val="nil"/>
              <w:bottom w:val="single" w:color="auto" w:sz="4" w:space="0"/>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c>
          <w:tcPr>
            <w:tcW w:w="1020"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方正仿宋简体" w:hAnsi="宋体" w:eastAsia="方正仿宋简体"/>
                <w:b/>
                <w:kern w:val="0"/>
                <w:sz w:val="15"/>
              </w:rPr>
            </w:pPr>
          </w:p>
        </w:tc>
        <w:tc>
          <w:tcPr>
            <w:tcW w:w="909" w:type="dxa"/>
            <w:gridSpan w:val="2"/>
            <w:vMerge w:val="continue"/>
            <w:tcBorders>
              <w:left w:val="single" w:color="auto" w:sz="4" w:space="0"/>
              <w:bottom w:val="single" w:color="auto" w:sz="4" w:space="0"/>
              <w:right w:val="single" w:color="000000" w:sz="4" w:space="0"/>
            </w:tcBorders>
            <w:vAlign w:val="center"/>
          </w:tcPr>
          <w:p>
            <w:pPr>
              <w:widowControl/>
              <w:snapToGrid w:val="0"/>
              <w:jc w:val="left"/>
              <w:rPr>
                <w:rFonts w:ascii="方正仿宋简体" w:hAnsi="宋体" w:eastAsia="方正仿宋简体"/>
                <w:b/>
                <w:kern w:val="0"/>
                <w:sz w:val="15"/>
              </w:rPr>
            </w:pPr>
          </w:p>
        </w:tc>
        <w:tc>
          <w:tcPr>
            <w:tcW w:w="1587" w:type="dxa"/>
            <w:gridSpan w:val="4"/>
            <w:vMerge w:val="continue"/>
            <w:tcBorders>
              <w:left w:val="single" w:color="000000" w:sz="4" w:space="0"/>
              <w:bottom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312" w:hRule="atLeast"/>
        </w:trPr>
        <w:tc>
          <w:tcPr>
            <w:tcW w:w="660" w:type="dxa"/>
            <w:vMerge w:val="restart"/>
            <w:tcBorders>
              <w:top w:val="nil"/>
              <w:left w:val="single" w:color="auto" w:sz="4" w:space="0"/>
              <w:bottom w:val="nil"/>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三</w:t>
            </w:r>
            <w:r>
              <w:rPr>
                <w:rFonts w:ascii="方正仿宋简体" w:hAnsi="宋体" w:eastAsia="方正仿宋简体"/>
                <w:b/>
                <w:kern w:val="0"/>
                <w:sz w:val="15"/>
              </w:rPr>
              <w:t>.</w:t>
            </w:r>
            <w:r>
              <w:rPr>
                <w:rFonts w:hint="eastAsia" w:ascii="方正仿宋简体" w:hAnsi="宋体" w:eastAsia="方正仿宋简体"/>
                <w:b/>
                <w:kern w:val="0"/>
                <w:sz w:val="15"/>
              </w:rPr>
              <w:t>问题和困难</w:t>
            </w:r>
          </w:p>
        </w:tc>
        <w:tc>
          <w:tcPr>
            <w:tcW w:w="12771" w:type="dxa"/>
            <w:gridSpan w:val="27"/>
            <w:vMerge w:val="restart"/>
            <w:tcBorders>
              <w:top w:val="single" w:color="auto" w:sz="4" w:space="0"/>
              <w:left w:val="single" w:color="auto" w:sz="4" w:space="0"/>
              <w:bottom w:val="nil"/>
              <w:right w:val="single" w:color="000000"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　</w:t>
            </w:r>
          </w:p>
        </w:tc>
      </w:tr>
      <w:tr>
        <w:tblPrEx>
          <w:tblLayout w:type="fixed"/>
          <w:tblCellMar>
            <w:top w:w="0" w:type="dxa"/>
            <w:left w:w="108" w:type="dxa"/>
            <w:bottom w:w="0" w:type="dxa"/>
            <w:right w:w="108" w:type="dxa"/>
          </w:tblCellMar>
        </w:tblPrEx>
        <w:trPr>
          <w:trHeight w:val="312" w:hRule="atLeast"/>
        </w:trPr>
        <w:tc>
          <w:tcPr>
            <w:tcW w:w="660" w:type="dxa"/>
            <w:vMerge w:val="continue"/>
            <w:tcBorders>
              <w:top w:val="nil"/>
              <w:left w:val="single" w:color="auto" w:sz="4" w:space="0"/>
              <w:bottom w:val="nil"/>
              <w:right w:val="single" w:color="auto" w:sz="4" w:space="0"/>
            </w:tcBorders>
            <w:vAlign w:val="center"/>
          </w:tcPr>
          <w:p>
            <w:pPr>
              <w:widowControl/>
              <w:snapToGrid w:val="0"/>
              <w:jc w:val="left"/>
              <w:rPr>
                <w:rFonts w:ascii="方正仿宋简体" w:hAnsi="宋体" w:eastAsia="方正仿宋简体"/>
                <w:b/>
                <w:kern w:val="0"/>
                <w:sz w:val="15"/>
              </w:rPr>
            </w:pPr>
          </w:p>
        </w:tc>
        <w:tc>
          <w:tcPr>
            <w:tcW w:w="12771" w:type="dxa"/>
            <w:gridSpan w:val="27"/>
            <w:vMerge w:val="continue"/>
            <w:tcBorders>
              <w:top w:val="single" w:color="auto" w:sz="4" w:space="0"/>
              <w:left w:val="single" w:color="auto" w:sz="4" w:space="0"/>
              <w:bottom w:val="nil"/>
              <w:right w:val="single" w:color="000000" w:sz="4" w:space="0"/>
            </w:tcBorders>
            <w:vAlign w:val="center"/>
          </w:tcPr>
          <w:p>
            <w:pPr>
              <w:widowControl/>
              <w:snapToGrid w:val="0"/>
              <w:jc w:val="left"/>
              <w:rPr>
                <w:rFonts w:ascii="方正仿宋简体" w:hAnsi="宋体" w:eastAsia="方正仿宋简体"/>
                <w:b/>
                <w:kern w:val="0"/>
                <w:sz w:val="15"/>
              </w:rPr>
            </w:pPr>
          </w:p>
        </w:tc>
      </w:tr>
      <w:tr>
        <w:tblPrEx>
          <w:tblLayout w:type="fixed"/>
          <w:tblCellMar>
            <w:top w:w="0" w:type="dxa"/>
            <w:left w:w="108" w:type="dxa"/>
            <w:bottom w:w="0" w:type="dxa"/>
            <w:right w:w="108" w:type="dxa"/>
          </w:tblCellMar>
        </w:tblPrEx>
        <w:trPr>
          <w:trHeight w:val="312" w:hRule="atLeast"/>
        </w:trPr>
        <w:tc>
          <w:tcPr>
            <w:tcW w:w="660" w:type="dxa"/>
            <w:vMerge w:val="restart"/>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ascii="方正仿宋简体" w:hAnsi="宋体" w:eastAsia="方正仿宋简体"/>
                <w:b/>
                <w:kern w:val="0"/>
                <w:sz w:val="15"/>
              </w:rPr>
            </w:pPr>
            <w:r>
              <w:rPr>
                <w:rFonts w:hint="eastAsia" w:ascii="方正仿宋简体" w:hAnsi="宋体" w:eastAsia="方正仿宋简体"/>
                <w:b/>
                <w:kern w:val="0"/>
                <w:sz w:val="15"/>
              </w:rPr>
              <w:t>四</w:t>
            </w:r>
            <w:r>
              <w:rPr>
                <w:rFonts w:ascii="方正仿宋简体" w:hAnsi="宋体" w:eastAsia="方正仿宋简体"/>
                <w:b/>
                <w:kern w:val="0"/>
                <w:sz w:val="15"/>
              </w:rPr>
              <w:t>.</w:t>
            </w:r>
            <w:r>
              <w:rPr>
                <w:rFonts w:hint="eastAsia" w:ascii="方正仿宋简体" w:hAnsi="宋体" w:eastAsia="方正仿宋简体"/>
                <w:b/>
                <w:kern w:val="0"/>
                <w:sz w:val="15"/>
              </w:rPr>
              <w:t>下一步工作安排</w:t>
            </w:r>
          </w:p>
        </w:tc>
        <w:tc>
          <w:tcPr>
            <w:tcW w:w="12771" w:type="dxa"/>
            <w:gridSpan w:val="27"/>
            <w:vMerge w:val="restart"/>
            <w:tcBorders>
              <w:top w:val="single" w:color="auto" w:sz="4" w:space="0"/>
              <w:left w:val="single" w:color="auto" w:sz="4" w:space="0"/>
              <w:bottom w:val="single" w:color="000000" w:sz="4" w:space="0"/>
              <w:right w:val="single" w:color="000000" w:sz="4" w:space="0"/>
            </w:tcBorders>
            <w:vAlign w:val="center"/>
          </w:tcPr>
          <w:p>
            <w:pPr>
              <w:widowControl/>
              <w:snapToGrid w:val="0"/>
              <w:jc w:val="left"/>
              <w:rPr>
                <w:rFonts w:ascii="方正仿宋简体" w:hAnsi="宋体" w:eastAsia="方正仿宋简体"/>
                <w:b/>
                <w:kern w:val="0"/>
                <w:sz w:val="15"/>
              </w:rPr>
            </w:pPr>
            <w:r>
              <w:rPr>
                <w:rFonts w:hint="eastAsia" w:ascii="方正仿宋简体" w:hAnsi="宋体" w:eastAsia="方正仿宋简体"/>
                <w:b/>
                <w:kern w:val="0"/>
                <w:sz w:val="15"/>
              </w:rPr>
              <w:t>　</w:t>
            </w:r>
          </w:p>
        </w:tc>
      </w:tr>
      <w:tr>
        <w:tblPrEx>
          <w:tblLayout w:type="fixed"/>
          <w:tblCellMar>
            <w:top w:w="0" w:type="dxa"/>
            <w:left w:w="108" w:type="dxa"/>
            <w:bottom w:w="0" w:type="dxa"/>
            <w:right w:w="108" w:type="dxa"/>
          </w:tblCellMar>
        </w:tblPrEx>
        <w:trPr>
          <w:trHeight w:val="312" w:hRule="atLeast"/>
        </w:trPr>
        <w:tc>
          <w:tcPr>
            <w:tcW w:w="6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方正仿宋简体" w:hAnsi="宋体" w:eastAsia="方正仿宋简体"/>
                <w:b/>
                <w:kern w:val="0"/>
              </w:rPr>
            </w:pPr>
          </w:p>
        </w:tc>
        <w:tc>
          <w:tcPr>
            <w:tcW w:w="12771" w:type="dxa"/>
            <w:gridSpan w:val="27"/>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方正仿宋简体" w:hAnsi="宋体" w:eastAsia="方正仿宋简体"/>
                <w:b/>
                <w:kern w:val="0"/>
              </w:rPr>
            </w:pPr>
          </w:p>
        </w:tc>
      </w:tr>
    </w:tbl>
    <w:p>
      <w:pPr>
        <w:jc w:val="left"/>
        <w:rPr>
          <w:rFonts w:hint="eastAsia" w:ascii="方正黑体简体" w:hAnsi="方正黑体简体" w:eastAsia="方正黑体简体" w:cs="方正黑体简体"/>
          <w:b w:val="0"/>
          <w:bCs w:val="0"/>
          <w:sz w:val="32"/>
        </w:rPr>
      </w:pPr>
    </w:p>
    <w:p>
      <w:pPr>
        <w:jc w:val="left"/>
        <w:rPr>
          <w:rFonts w:hint="eastAsia" w:ascii="方正黑体简体" w:hAnsi="方正黑体简体" w:eastAsia="方正黑体简体" w:cs="方正黑体简体"/>
          <w:b w:val="0"/>
          <w:bCs w:val="0"/>
          <w:sz w:val="32"/>
        </w:rPr>
        <w:sectPr>
          <w:pgSz w:w="16838" w:h="11906" w:orient="landscape"/>
          <w:pgMar w:top="1440" w:right="1803" w:bottom="1440" w:left="1803" w:header="851" w:footer="992" w:gutter="0"/>
          <w:cols w:space="0" w:num="1"/>
          <w:rtlGutter w:val="0"/>
          <w:docGrid w:type="lines" w:linePitch="312" w:charSpace="0"/>
        </w:sectPr>
      </w:pPr>
    </w:p>
    <w:p>
      <w:pPr>
        <w:jc w:val="left"/>
        <w:rPr>
          <w:rFonts w:hint="eastAsia" w:ascii="方正黑体简体" w:hAnsi="方正黑体简体" w:eastAsia="方正黑体简体" w:cs="方正黑体简体"/>
          <w:b w:val="0"/>
          <w:bCs w:val="0"/>
          <w:sz w:val="32"/>
          <w:lang w:val="en-US" w:eastAsia="zh-CN"/>
        </w:rPr>
      </w:pPr>
      <w:r>
        <w:rPr>
          <w:rFonts w:hint="eastAsia" w:ascii="方正黑体简体" w:hAnsi="方正黑体简体" w:eastAsia="方正黑体简体" w:cs="方正黑体简体"/>
          <w:b w:val="0"/>
          <w:bCs w:val="0"/>
          <w:sz w:val="32"/>
        </w:rPr>
        <w:t>附件5</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重点项目周报</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rPr>
      </w:pP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一、总体要求：填报内容既需简明扼要，又应真实反映工程实际情况，且对重大事项以及在小框内不方便填写的情况，应在“其它”里面进行详细描述</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二、工程概况</w:t>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1、工程项目名称、批复文号和投资总额、实施单位（如遂宁分公司）及组织机构（项目经理及主要负责项目副经理）、计划开工和完工日期、主要工作量。</w:t>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2、参建单位：监理、设计、施工、检测以及相关配套工作单位，包括自控防腐等，单位名称填简称。</w:t>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r>
        <w:rPr>
          <w:rFonts w:ascii="方正仿宋简体" w:eastAsia="方正仿宋简体"/>
          <w:sz w:val="28"/>
          <w:szCs w:val="28"/>
        </w:rPr>
        <w:tab/>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三、工程实施情况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1、土地和规划手续以及安、环评完成及批复情况。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（1）已完成的，需注明完成时间以及完成的内容，如取得建设工程规划许可证或者取得线路规划路由批复（两者性质不同，注意区分）；</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outlineLvl w:val="9"/>
        <w:rPr>
          <w:rFonts w:ascii="方正仿宋简体" w:eastAsia="方正仿宋简体"/>
          <w:sz w:val="28"/>
          <w:szCs w:val="28"/>
        </w:rPr>
      </w:pPr>
      <w:r>
        <w:rPr>
          <w:rFonts w:hint="eastAsia" w:ascii="方正仿宋简体" w:eastAsia="方正仿宋简体"/>
          <w:sz w:val="28"/>
          <w:szCs w:val="28"/>
        </w:rPr>
        <w:t>（2）未完成注明原因、未完成进度情况以及预计完成时间，如安评资料正在编制、安评资料已完成上报或安监局正在公示等。</w:t>
      </w:r>
      <w:r>
        <w:rPr>
          <w:rFonts w:ascii="方正仿宋简体" w:eastAsia="方正仿宋简体"/>
          <w:sz w:val="28"/>
          <w:szCs w:val="28"/>
        </w:rPr>
        <w:tab/>
      </w:r>
      <w:r>
        <w:rPr>
          <w:rFonts w:ascii="方正仿宋简体" w:eastAsia="方正仿宋简体"/>
          <w:sz w:val="28"/>
          <w:szCs w:val="28"/>
        </w:rPr>
        <w:tab/>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2、施工图完成及审查情况。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（1）已完成的，需注明完成时间以及完成的内容，如限上项目所属单位已完成预审或公司审查完成；</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（2）未完成注明原因、未完成进度情况以及预计完成时间，如限上项目所属单位已完成预审已上报公司待审查。</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3、物资采购、招标、合同完成情况。</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（1）已完成的，需注明完成时间以及完成的内容；</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（2）未完成注明原因、未完成进度情况以及预计完成时间。</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4、总体部署、开工报告、质监受理情况。</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（1）已完成的，需注明完成时间以及完成的内容，开工报告、质监受理情况已完成应填写编号；</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（2）未完成注明原因、未完成进度情况以及预计完成时间。</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5、地方手续完成情况，包括施工许可、用水用电以及赔偿等。</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（1）已完成的，需注明完成时间以及完成的内容；</w:t>
      </w:r>
    </w:p>
    <w:p>
      <w:pPr>
        <w:keepNext w:val="0"/>
        <w:keepLines w:val="0"/>
        <w:pageBreakBefore w:val="0"/>
        <w:widowControl w:val="0"/>
        <w:kinsoku/>
        <w:wordWrap/>
        <w:overflowPunct/>
        <w:topLinePunct w:val="0"/>
        <w:autoSpaceDE/>
        <w:autoSpaceDN/>
        <w:bidi w:val="0"/>
        <w:adjustRightInd/>
        <w:snapToGrid w:val="0"/>
        <w:spacing w:line="560" w:lineRule="exact"/>
        <w:ind w:left="281" w:leftChars="134"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（2）未完成注明原因、未完成进度情况以及预计完成时间。</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6、工程完成情况。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（1）开工日期、技术交底等情况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 xml:space="preserve">①已完成的，需注明完成时间以及完成的内容； </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②未完成注明原因、未完成进度情况以及预计完成时间。</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（2）线路完成情况，重点环节包括穿跨越（公路、铁路、河流、林区）、特殊地段等情况，本周、累计、形象进度百分比，对比总体部署进度是否滞后、滞后原因及分析；</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（3）站场完成情况，重点环节包括总图建筑、检验和验槽、大型吊装、设备防腐，包括本周、累计、形象进度百分比，对比总体部署进度是否滞后、滞后原因及分析；</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（4）特种设备地方备案情况；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 xml:space="preserve">（5）重大设计变更情况； </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（6）完工交接准备及完成情况；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（7）项目结算情况；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（8）竣工验收准备及完成情况。</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7、其它：未尽事宜应在此处进行详细描述。</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四、存在的问题和困难</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ascii="方正仿宋简体" w:eastAsia="方正仿宋简体"/>
          <w:sz w:val="28"/>
          <w:szCs w:val="28"/>
        </w:rPr>
      </w:pPr>
      <w:r>
        <w:rPr>
          <w:rFonts w:hint="eastAsia" w:ascii="方正仿宋简体" w:eastAsia="方正仿宋简体"/>
          <w:sz w:val="28"/>
          <w:szCs w:val="28"/>
        </w:rPr>
        <w:t>本节主要针对较大的问题和困难，非填报单位独立解决的或对项目进度、质量以及投资有较大影响的困难和问题。</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方正仿宋简体" w:eastAsia="方正仿宋简体"/>
          <w:sz w:val="28"/>
          <w:szCs w:val="28"/>
        </w:rPr>
      </w:pPr>
      <w:r>
        <w:rPr>
          <w:rFonts w:hint="eastAsia" w:ascii="方正仿宋简体" w:eastAsia="方正仿宋简体"/>
          <w:sz w:val="28"/>
          <w:szCs w:val="28"/>
        </w:rPr>
        <w:t>五、下一步工作安排</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eastAsia" w:ascii="方正仿宋简体" w:eastAsia="方正仿宋简体"/>
          <w:sz w:val="28"/>
          <w:szCs w:val="28"/>
        </w:rPr>
      </w:pPr>
      <w:r>
        <w:rPr>
          <w:rFonts w:hint="eastAsia" w:ascii="方正仿宋简体" w:eastAsia="方正仿宋简体"/>
          <w:sz w:val="28"/>
          <w:szCs w:val="28"/>
        </w:rPr>
        <w:t>本节内容包括下周工作安排，近期工作计划包括实际工作量以及相关协调工作等，预计完成时间。</w:t>
      </w:r>
    </w:p>
    <w:p>
      <w:pPr>
        <w:rPr>
          <w:rFonts w:hint="eastAsia" w:ascii="方正黑体简体" w:hAnsi="方正黑体简体" w:eastAsia="方正黑体简体" w:cs="方正黑体简体"/>
          <w:b w:val="0"/>
          <w:bCs w:val="0"/>
          <w:sz w:val="32"/>
        </w:rPr>
        <w:sectPr>
          <w:pgSz w:w="11906" w:h="16838"/>
          <w:pgMar w:top="1803" w:right="1440" w:bottom="1803" w:left="1440" w:header="851" w:footer="992" w:gutter="0"/>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b w:val="0"/>
          <w:bCs w:val="0"/>
          <w:sz w:val="36"/>
          <w:szCs w:val="36"/>
          <w:lang w:eastAsia="zh-CN"/>
        </w:rPr>
      </w:pPr>
      <w:bookmarkStart w:id="1311" w:name="_Toc11799"/>
      <w:r>
        <w:rPr>
          <w:rFonts w:hint="eastAsia" w:ascii="方正小标宋简体" w:hAnsi="方正小标宋简体" w:eastAsia="方正小标宋简体" w:cs="方正小标宋简体"/>
          <w:b w:val="0"/>
          <w:bCs w:val="0"/>
          <w:sz w:val="36"/>
          <w:szCs w:val="36"/>
        </w:rPr>
        <w:t>中油南充燃气有限责任公司交通</w:t>
      </w:r>
      <w:r>
        <w:rPr>
          <w:rFonts w:hint="eastAsia" w:ascii="方正小标宋简体" w:hAnsi="方正小标宋简体" w:eastAsia="方正小标宋简体" w:cs="方正小标宋简体"/>
          <w:b w:val="0"/>
          <w:bCs w:val="0"/>
          <w:sz w:val="36"/>
          <w:szCs w:val="36"/>
          <w:lang w:eastAsia="zh-CN"/>
        </w:rPr>
        <w:t>运输</w:t>
      </w:r>
      <w:r>
        <w:rPr>
          <w:rFonts w:hint="eastAsia" w:ascii="方正小标宋简体" w:hAnsi="方正小标宋简体" w:eastAsia="方正小标宋简体" w:cs="方正小标宋简体"/>
          <w:b w:val="0"/>
          <w:bCs w:val="0"/>
          <w:sz w:val="36"/>
          <w:szCs w:val="36"/>
        </w:rPr>
        <w:t>安全管理</w:t>
      </w:r>
      <w:r>
        <w:rPr>
          <w:rFonts w:hint="eastAsia" w:ascii="方正小标宋简体" w:hAnsi="方正小标宋简体" w:eastAsia="方正小标宋简体" w:cs="方正小标宋简体"/>
          <w:b w:val="0"/>
          <w:bCs w:val="0"/>
          <w:sz w:val="36"/>
          <w:szCs w:val="36"/>
          <w:lang w:eastAsia="zh-CN"/>
        </w:rPr>
        <w:t>制度</w:t>
      </w:r>
      <w:bookmarkEnd w:id="1311"/>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val="0"/>
        <w:spacing w:after="0" w:line="240" w:lineRule="atLeast"/>
        <w:jc w:val="center"/>
        <w:textAlignment w:val="baseline"/>
        <w:outlineLvl w:val="9"/>
        <w:rPr>
          <w:rFonts w:hint="eastAsia" w:ascii="方正黑体简体" w:hAnsi="方正黑体简体" w:eastAsia="方正黑体简体" w:cs="方正黑体简体"/>
          <w:b w:val="0"/>
          <w:bCs w:val="0"/>
          <w:kern w:val="2"/>
          <w:sz w:val="30"/>
          <w:szCs w:val="30"/>
        </w:rPr>
      </w:pPr>
      <w:r>
        <w:rPr>
          <w:rFonts w:hint="eastAsia" w:ascii="方正黑体简体" w:hAnsi="方正黑体简体" w:eastAsia="方正黑体简体" w:cs="方正黑体简体"/>
          <w:b w:val="0"/>
          <w:bCs w:val="0"/>
          <w:kern w:val="2"/>
          <w:sz w:val="30"/>
          <w:szCs w:val="30"/>
        </w:rPr>
        <w:t>第一章</w:t>
      </w:r>
      <w:r>
        <w:rPr>
          <w:rFonts w:hint="eastAsia" w:ascii="方正黑体简体" w:hAnsi="方正黑体简体" w:eastAsia="方正黑体简体" w:cs="方正黑体简体"/>
          <w:b w:val="0"/>
          <w:bCs w:val="0"/>
          <w:kern w:val="2"/>
          <w:sz w:val="30"/>
          <w:szCs w:val="30"/>
          <w:lang w:val="en-US" w:eastAsia="zh-CN"/>
        </w:rPr>
        <w:t xml:space="preserve">  </w:t>
      </w:r>
      <w:r>
        <w:rPr>
          <w:rFonts w:hint="eastAsia" w:ascii="方正黑体简体" w:hAnsi="方正黑体简体" w:eastAsia="方正黑体简体" w:cs="方正黑体简体"/>
          <w:b w:val="0"/>
          <w:bCs w:val="0"/>
          <w:kern w:val="2"/>
          <w:sz w:val="30"/>
          <w:szCs w:val="30"/>
        </w:rPr>
        <w:t>总</w:t>
      </w:r>
      <w:r>
        <w:rPr>
          <w:rFonts w:hint="eastAsia" w:ascii="方正黑体简体" w:hAnsi="方正黑体简体" w:eastAsia="方正黑体简体" w:cs="方正黑体简体"/>
          <w:b w:val="0"/>
          <w:bCs w:val="0"/>
          <w:kern w:val="2"/>
          <w:sz w:val="30"/>
          <w:szCs w:val="30"/>
          <w:lang w:val="en-US" w:eastAsia="zh-CN"/>
        </w:rPr>
        <w:t xml:space="preserve">  </w:t>
      </w:r>
      <w:r>
        <w:rPr>
          <w:rFonts w:hint="eastAsia" w:ascii="方正黑体简体" w:hAnsi="方正黑体简体" w:eastAsia="方正黑体简体" w:cs="方正黑体简体"/>
          <w:b w:val="0"/>
          <w:bCs w:val="0"/>
          <w:kern w:val="2"/>
          <w:sz w:val="30"/>
          <w:szCs w:val="30"/>
        </w:rPr>
        <w:t>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kern w:val="2"/>
          <w:sz w:val="28"/>
          <w:szCs w:val="28"/>
        </w:rPr>
        <w:t>第一条</w:t>
      </w:r>
      <w:r>
        <w:rPr>
          <w:rFonts w:hint="eastAsia" w:ascii="方正仿宋简体" w:hAnsi="方正仿宋简体" w:eastAsia="方正仿宋简体" w:cs="方正仿宋简体"/>
          <w:kern w:val="2"/>
          <w:sz w:val="28"/>
          <w:szCs w:val="28"/>
          <w:lang w:val="en-US" w:eastAsia="zh-CN"/>
        </w:rPr>
        <w:t xml:space="preserve"> </w:t>
      </w:r>
      <w:r>
        <w:rPr>
          <w:rFonts w:hint="eastAsia" w:ascii="方正仿宋简体" w:hAnsi="方正仿宋简体" w:eastAsia="方正仿宋简体" w:cs="方正仿宋简体"/>
          <w:kern w:val="2"/>
          <w:sz w:val="28"/>
          <w:szCs w:val="28"/>
        </w:rPr>
        <w:t xml:space="preserve"> 为加强和规范公司车辆的使用和管理，切实贯彻</w:t>
      </w:r>
      <w:r>
        <w:rPr>
          <w:rFonts w:hint="eastAsia" w:ascii="方正仿宋简体" w:hAnsi="方正仿宋简体" w:eastAsia="方正仿宋简体" w:cs="方正仿宋简体"/>
          <w:color w:val="auto"/>
          <w:kern w:val="2"/>
          <w:sz w:val="28"/>
          <w:szCs w:val="28"/>
        </w:rPr>
        <w:t>《中华人民共和国道路交通安全法》、《中共中央政治局关于改进工作作风、密切联系群众的八项规定》、《西南油气田分公司反违章十条禁令》、《西南油气田公司道路交通安全管理规定》、《四川川港燃气有限责任公司交通安全管理实施细则》及其实施细则等相关法律及规章制度的要求，提高车辆运行利用效能，降低生产成本费用，保证车辆行驶安全，预防道路交通事故的发生，为公司各项生产经营活动有序开展提供服务保障，结合公司工作实际，特制订本办法。</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auto"/>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kern w:val="2"/>
          <w:sz w:val="28"/>
          <w:szCs w:val="28"/>
        </w:rPr>
        <w:t>第二条</w:t>
      </w:r>
      <w:r>
        <w:rPr>
          <w:rFonts w:hint="eastAsia" w:ascii="方正仿宋简体" w:hAnsi="方正仿宋简体" w:eastAsia="方正仿宋简体" w:cs="方正仿宋简体"/>
          <w:b/>
          <w:bCs/>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公司交通安全工作坚持“安全第一，预防为主，综合治理”方针，遵循“一岗双责”的要求和“谁主管、谁负责，谁调派、谁负责，谁带车、谁负责”的原则和事故调查处理“四不放过”原则，逐级落实交通安全责任制，确保交通安全受控。</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auto"/>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jc w:val="center"/>
        <w:textAlignment w:val="baseline"/>
        <w:outlineLvl w:val="9"/>
        <w:rPr>
          <w:rFonts w:hint="eastAsia" w:ascii="方正黑体简体" w:hAnsi="方正黑体简体" w:eastAsia="方正黑体简体" w:cs="方正黑体简体"/>
          <w:b w:val="0"/>
          <w:bCs w:val="0"/>
          <w:kern w:val="2"/>
          <w:sz w:val="30"/>
          <w:szCs w:val="30"/>
        </w:rPr>
      </w:pPr>
      <w:r>
        <w:rPr>
          <w:rFonts w:hint="eastAsia" w:ascii="方正黑体简体" w:hAnsi="方正黑体简体" w:eastAsia="方正黑体简体" w:cs="方正黑体简体"/>
          <w:b w:val="0"/>
          <w:bCs w:val="0"/>
          <w:kern w:val="2"/>
          <w:sz w:val="30"/>
          <w:szCs w:val="30"/>
        </w:rPr>
        <w:t>第二章</w:t>
      </w:r>
      <w:r>
        <w:rPr>
          <w:rFonts w:hint="eastAsia" w:ascii="方正黑体简体" w:hAnsi="方正黑体简体" w:eastAsia="方正黑体简体" w:cs="方正黑体简体"/>
          <w:b w:val="0"/>
          <w:bCs w:val="0"/>
          <w:kern w:val="2"/>
          <w:sz w:val="30"/>
          <w:szCs w:val="30"/>
          <w:lang w:val="en-US" w:eastAsia="zh-CN"/>
        </w:rPr>
        <w:t xml:space="preserve"> </w:t>
      </w:r>
      <w:r>
        <w:rPr>
          <w:rFonts w:hint="eastAsia" w:ascii="方正黑体简体" w:hAnsi="方正黑体简体" w:eastAsia="方正黑体简体" w:cs="方正黑体简体"/>
          <w:b w:val="0"/>
          <w:bCs w:val="0"/>
          <w:kern w:val="2"/>
          <w:sz w:val="30"/>
          <w:szCs w:val="30"/>
        </w:rPr>
        <w:t xml:space="preserve"> 管理机构及职责</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kern w:val="2"/>
          <w:sz w:val="28"/>
          <w:szCs w:val="28"/>
        </w:rPr>
        <w:t>第三条</w:t>
      </w:r>
      <w:r>
        <w:rPr>
          <w:rFonts w:hint="eastAsia" w:ascii="方正仿宋简体" w:hAnsi="方正仿宋简体" w:eastAsia="方正仿宋简体" w:cs="方正仿宋简体"/>
          <w:b/>
          <w:bCs/>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公司的主要负责人是本单位道路交通安全的第一责任人，分管领导负责分管业务的道路交通安全管理工作。各业务主管部门（单位）负责所管业务的道路交通安全管理工作。各业务主管部门（单位）应在QHSE管理委员会的统一领导下，将交通安全工作纳入安全生产总体工作之中。</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b/>
          <w:bCs/>
          <w:color w:val="auto"/>
          <w:kern w:val="2"/>
          <w:sz w:val="28"/>
          <w:szCs w:val="28"/>
          <w:lang w:val="en-US" w:eastAsia="zh-CN"/>
        </w:rPr>
        <w:t>第四条</w:t>
      </w:r>
      <w:r>
        <w:rPr>
          <w:rFonts w:hint="eastAsia" w:ascii="方正仿宋简体" w:hAnsi="方正仿宋简体" w:eastAsia="方正仿宋简体" w:cs="方正仿宋简体"/>
          <w:color w:val="auto"/>
          <w:kern w:val="2"/>
          <w:sz w:val="28"/>
          <w:szCs w:val="28"/>
          <w:lang w:val="en-US" w:eastAsia="zh-CN"/>
        </w:rPr>
        <w:t xml:space="preserve">  公司是道路交通安全工作的责任主体，应当结合安全生产工作的实际，设置满足道路交通安全监督管理实际需要的组织机构，配备专（兼）职道路交通安全监督管理专业人员，建立与公司管理相适应的道路交通安全管理机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公司各业务主管部门（单位）不得承担剧毒化学品道路运输业务和营运性业务。涉及剧毒化学品销售或采购的各业务主管部门（单位）应以剧毒化学品出库或入库为风险转移节点，特殊情况确需道路运输的，应选择有资质的承运方承运并依法明确双方安全生产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b/>
          <w:bCs/>
          <w:color w:val="auto"/>
          <w:kern w:val="2"/>
          <w:sz w:val="28"/>
          <w:szCs w:val="28"/>
          <w:lang w:val="en-US" w:eastAsia="zh-CN"/>
        </w:rPr>
        <w:t>第五条</w:t>
      </w:r>
      <w:r>
        <w:rPr>
          <w:rFonts w:hint="eastAsia" w:ascii="方正仿宋简体" w:hAnsi="方正仿宋简体" w:eastAsia="方正仿宋简体" w:cs="方正仿宋简体"/>
          <w:color w:val="auto"/>
          <w:kern w:val="2"/>
          <w:sz w:val="28"/>
          <w:szCs w:val="28"/>
          <w:lang w:val="en-US" w:eastAsia="zh-CN"/>
        </w:rPr>
        <w:t xml:space="preserve">  公司质量安全环保部是道路交通安全监督管理的归口部门。负责国家道路交通安全法律、法规和标准，以及集团公司道路交通安全管理制度贯彻落实情况的监督；负责制（修）订道路交通安全管理制度并组织落实；负责监督、检查和指导道路交通安全管理工作；负责车辆维修的项目审核；负责道路交通事故内部调查及事故事件管理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b/>
          <w:bCs/>
          <w:color w:val="auto"/>
          <w:kern w:val="2"/>
          <w:sz w:val="28"/>
          <w:szCs w:val="28"/>
          <w:lang w:val="en-US" w:eastAsia="zh-CN"/>
        </w:rPr>
        <w:t>第六条</w:t>
      </w:r>
      <w:r>
        <w:rPr>
          <w:rFonts w:hint="eastAsia" w:ascii="方正仿宋简体" w:hAnsi="方正仿宋简体" w:eastAsia="方正仿宋简体" w:cs="方正仿宋简体"/>
          <w:color w:val="auto"/>
          <w:kern w:val="2"/>
          <w:sz w:val="28"/>
          <w:szCs w:val="28"/>
          <w:lang w:val="en-US" w:eastAsia="zh-CN"/>
        </w:rPr>
        <w:t xml:space="preserve">  公司及所属各单位办公室负责公务用车管理；市场销售部负责将道路交通安全资本性支出纳入计划；财务部负责将道路交通安全业务管理各项费用纳入预算并监督使用；经理党委办负责道路交通安全管理机构设置及人员配备，组织开展员工道路交通安全培训；生产保障中心负责职责范围内的车辆完整性管理；其他部门负责职责范围内的道路交通安全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b/>
          <w:bCs/>
          <w:color w:val="auto"/>
          <w:kern w:val="2"/>
          <w:sz w:val="28"/>
          <w:szCs w:val="28"/>
          <w:lang w:val="en-US" w:eastAsia="zh-CN"/>
        </w:rPr>
        <w:t>第七条</w:t>
      </w:r>
      <w:r>
        <w:rPr>
          <w:rFonts w:hint="eastAsia" w:ascii="方正仿宋简体" w:hAnsi="方正仿宋简体" w:eastAsia="方正仿宋简体" w:cs="方正仿宋简体"/>
          <w:color w:val="auto"/>
          <w:kern w:val="2"/>
          <w:sz w:val="28"/>
          <w:szCs w:val="28"/>
          <w:lang w:val="en-US" w:eastAsia="zh-CN"/>
        </w:rPr>
        <w:t xml:space="preserve">  生产保障中心是公司公务车辆管理基层单位，设专职交通安全管理岗位。</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1.负责组织对车辆管理人员及驾驶员道路交通安全法律法规的学习宣传贯彻工作。</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2.按照西南油气田分公司、川港公司车辆管理办法，在公司业务部门指导检查，负责驾驶员技术档案及车辆技术档案的建立、填写和收集管理。建立健全公司车辆管理的相关基础资料台账，统计、分析和评价及上报，不断完善和持续改进。</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3.根据公司生产经营需要，对公司车辆进行统一管理，调派及临时租用车辆管理。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4.负责做好驾驶员的日常管理，关注驾驶员技能状态、思想动态，身体状态、家庭动态、组织开展驾驶员技能及HSE知识培训考评。</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5.负责车辆入籍、车辆保险、年检年审、报废、维修等车管业务。</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6.协助公司质量安全环保部对公司车辆发生的道路交通事故进行调查，提出处理意见，建立交通事故档案，并负责交通事故的统计报告。</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7.负责GPS监控终端对车辆运行全过程的监督。</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8.配合业务部门组织内部交通安全检查，对事故隐患和交通违法行为进行处罚。</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第三章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车辆使用及调派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lang w:val="en-US" w:eastAsia="zh-CN"/>
        </w:rPr>
      </w:pPr>
      <w:r>
        <w:rPr>
          <w:rFonts w:hint="eastAsia" w:ascii="方正仿宋简体" w:hAnsi="方正仿宋简体" w:eastAsia="方正仿宋简体" w:cs="方正仿宋简体"/>
          <w:color w:val="auto"/>
          <w:kern w:val="2"/>
          <w:sz w:val="28"/>
          <w:szCs w:val="28"/>
          <w:lang w:val="en-US" w:eastAsia="zh-CN"/>
        </w:rPr>
        <w:t>公司指挥车辆使用，由各部室或单位应在用车的前一天下午五点钟前向综合办提出申请，生产保障中心根据综合办提供的任务单进行车辆调派。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第八条</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车辆使用遵循以下原则：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1.公司车辆实行定人、定车内部准驾管理，未经批准不得将车辆交给其他人员驾驶。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2.紧密结合公司生产经营活动实际情况，科学合理调派车辆，切实优化行程路线，加强协调，统筹安排，采取“组合用车”等方式。提高车辆运行利用效能。</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3.节日期间未安排值班的车辆严格执行“三交一封”制度（交车辆钥匙、交行驶证、交内部准驾证、定点封存车辆）进行封存，同时交生技部调度岗监管。</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第九条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严禁公车私用。任何车辆、不分长短途，必须经过“申请—审批—调派”程序方可出行。严禁任何单位和个人在执行工作任务时私车公用。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出车前车辆调派人员必须对驾驶员进行执行任务、行车路线、主要风险与削减措施的“三交代”。</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1.市内用车：用车单位（人）填写“西南油气田用车申请调派单”两联单→单位（部门）负责人审核签字→生服站调派。</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2.长途用车：用车部门（人）填写“西南油气田用车申请调派单”两联单→单位（部门）负责人审核签字→公司主管领导审核签字同意。用车申请应提前一天填报并交车辆调派部门，申请单应准确填写用车天数、乘车时间地点、行驶路线和乘车安全责任人。</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3.夜间21:00点后、早上7:00点前、原则上不得调派车辆执行任务，确因工作需要执行任务时，车辆调派必须经过公司主管领导批准，生产技术部调度室开具派车单，值班领导在派车单上签字确认，驾驶员要将车辆停放在安全场所，并锁好方向盘和门窗，搞好安全防范，车辆由驾驶员自行管理并承担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4.下班时间值班小车及周末值班小车调派归口生产技术部调度岗统一调派；下班时间值班抢险车及周末值班抢险车调派归口由生产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部调度岗统一调派，生产保障中心将派车单交至生产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调度室并汇报调派车辆情况，值班车辆由驾驶员自行管理并承担责任。（恩阳值班车辆在恩阳值班期间由恩阳分公司第一责任人进行管理并承担管理责任）。因工作需要派长途车，按西南油气田分公司、川港公司车辆调派规定程序派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5.节假日及特殊时期值班小车调派归口生产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部调度岗统一调派；值班抢险车调派归口生产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部调度岗统一调派，生产保障中心将派车单交至生产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调度室并汇报调派车辆情况，值班车辆由驾驶员自行管理并承担责任。（恩阳值班车辆在恩阳值班期间由恩阳分公司第一责任人进行管理并承担管理责任）。节假日及特殊时期启用封存车辆时须经值班领导签字同意后，按西南油气田分公司、川港公司对封存车辆启封的规定执行，由生产</w:t>
      </w:r>
      <w:r>
        <w:rPr>
          <w:rFonts w:hint="eastAsia" w:ascii="方正仿宋简体" w:hAnsi="方正仿宋简体" w:eastAsia="方正仿宋简体" w:cs="方正仿宋简体"/>
          <w:color w:val="auto"/>
          <w:kern w:val="2"/>
          <w:sz w:val="28"/>
          <w:szCs w:val="28"/>
          <w:lang w:val="en-US" w:eastAsia="zh-CN"/>
        </w:rPr>
        <w:t>运行</w:t>
      </w:r>
      <w:r>
        <w:rPr>
          <w:rFonts w:hint="eastAsia" w:ascii="方正仿宋简体" w:hAnsi="方正仿宋简体" w:eastAsia="方正仿宋简体" w:cs="方正仿宋简体"/>
          <w:color w:val="auto"/>
          <w:kern w:val="2"/>
          <w:sz w:val="28"/>
          <w:szCs w:val="28"/>
        </w:rPr>
        <w:t>部按西南油气田分公司、川港公司车辆调派规定程序派车。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6.固定使用车辆的部门（包括恩阳分公司）基层队（站），由行政第一责任人负管理责任，短途用车由使用车辆的部门按西南油气田分公司、川港公司车辆调派规定程序自行调派，包括值班安排，并承担安全责任。因工作需要派长途或离开工作属地用车时，按公司规定程序申请，经单位（部门）分管领导签字，由按西南油气田分公司、川港公司车辆调派规定程序调派。（恩阳值班车辆返回南充由恩阳分公司第一责任人在派车单上签字确认，同时将车辆情况汇报给生产保障中心车班调度岗）</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7.用车单位在外如需超路线、超天数用车和夜间21:00点后、早上7:00点前用车的，由乘车人（多人乘车的由车上最高行政职务人）向公司主管领导报告，经同意方可改变行驶路线和延长使用时间，后续由乘车人将调派单交主管领导签字备查。</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8.市内用车在某一地方固定办事（或开会）在1小时以上的，不得压车，必须将车放回公司，待办完事告知生产保障中心车班调度岗，再派车接回。</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9.调度员在派车时要清楚要车人的任务，路线、根据路况、天气、车况，凭定点修理厂出具的《车辆检验合格证》调派车辆。派车原则：组合用车，一车多用。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第四章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 xml:space="preserve"> 驾驶人员管理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公司驾驶人员实行内部准驾制度。驾驶人员管理遵照《中国石油西南油气田分公司道路交通安全管理办法》执行。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第五章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 xml:space="preserve"> 车辆安全及运行管理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b w:val="0"/>
          <w:bCs w:val="0"/>
          <w:color w:val="auto"/>
          <w:kern w:val="2"/>
          <w:sz w:val="28"/>
          <w:szCs w:val="28"/>
        </w:rPr>
      </w:pPr>
      <w:r>
        <w:rPr>
          <w:rFonts w:hint="eastAsia" w:ascii="方正仿宋简体" w:hAnsi="方正仿宋简体" w:eastAsia="方正仿宋简体" w:cs="方正仿宋简体"/>
          <w:b/>
          <w:bCs/>
          <w:color w:val="auto"/>
          <w:kern w:val="2"/>
          <w:sz w:val="28"/>
          <w:szCs w:val="28"/>
        </w:rPr>
        <w:t>第十一条</w:t>
      </w:r>
      <w:r>
        <w:rPr>
          <w:rFonts w:hint="eastAsia" w:ascii="方正仿宋简体" w:hAnsi="方正仿宋简体" w:eastAsia="方正仿宋简体" w:cs="方正仿宋简体"/>
          <w:b w:val="0"/>
          <w:bCs w:val="0"/>
          <w:color w:val="auto"/>
          <w:kern w:val="2"/>
          <w:sz w:val="28"/>
          <w:szCs w:val="28"/>
        </w:rPr>
        <w:t xml:space="preserve"> </w:t>
      </w:r>
      <w:r>
        <w:rPr>
          <w:rFonts w:hint="eastAsia" w:ascii="方正仿宋简体" w:hAnsi="方正仿宋简体" w:eastAsia="方正仿宋简体" w:cs="方正仿宋简体"/>
          <w:b w:val="0"/>
          <w:bCs w:val="0"/>
          <w:color w:val="auto"/>
          <w:kern w:val="2"/>
          <w:sz w:val="28"/>
          <w:szCs w:val="28"/>
          <w:lang w:val="en-US" w:eastAsia="zh-CN"/>
        </w:rPr>
        <w:t xml:space="preserve"> </w:t>
      </w:r>
      <w:r>
        <w:rPr>
          <w:rFonts w:hint="eastAsia" w:ascii="方正仿宋简体" w:hAnsi="方正仿宋简体" w:eastAsia="方正仿宋简体" w:cs="方正仿宋简体"/>
          <w:b w:val="0"/>
          <w:bCs w:val="0"/>
          <w:color w:val="auto"/>
          <w:kern w:val="2"/>
          <w:sz w:val="28"/>
          <w:szCs w:val="28"/>
        </w:rPr>
        <w:t>公司用车安全管理执行西南油气田分公司HSE管理规定。驾驶员为车辆属地管理责任人，负责车辆运行过程中的安全工作，妥善保管随车配备的灭火器、急救包、危险警示标志等应急用品。乘车人应遵守驾驶员安全告知的相关要求。</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b w:val="0"/>
          <w:bCs w:val="0"/>
          <w:color w:val="auto"/>
          <w:kern w:val="2"/>
          <w:sz w:val="28"/>
          <w:szCs w:val="28"/>
        </w:rPr>
      </w:pPr>
      <w:r>
        <w:rPr>
          <w:rFonts w:hint="eastAsia" w:ascii="方正仿宋简体" w:hAnsi="方正仿宋简体" w:eastAsia="方正仿宋简体" w:cs="方正仿宋简体"/>
          <w:b/>
          <w:bCs/>
          <w:color w:val="auto"/>
          <w:kern w:val="2"/>
          <w:sz w:val="28"/>
          <w:szCs w:val="28"/>
        </w:rPr>
        <w:t>第十二条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b w:val="0"/>
          <w:bCs w:val="0"/>
          <w:color w:val="auto"/>
          <w:kern w:val="2"/>
          <w:sz w:val="28"/>
          <w:szCs w:val="28"/>
        </w:rPr>
        <w:t>车辆必须按国家相关规定定期接受安全技术检验。未按规定检验或检验不合格的，禁止调派上路行驶。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b w:val="0"/>
          <w:bCs w:val="0"/>
          <w:color w:val="auto"/>
          <w:kern w:val="2"/>
          <w:sz w:val="28"/>
          <w:szCs w:val="28"/>
        </w:rPr>
      </w:pPr>
      <w:r>
        <w:rPr>
          <w:rFonts w:hint="eastAsia" w:ascii="方正仿宋简体" w:hAnsi="方正仿宋简体" w:eastAsia="方正仿宋简体" w:cs="方正仿宋简体"/>
          <w:b w:val="0"/>
          <w:bCs w:val="0"/>
          <w:color w:val="auto"/>
          <w:kern w:val="2"/>
          <w:sz w:val="28"/>
          <w:szCs w:val="28"/>
        </w:rPr>
        <w:t>公司车辆（含租赁车辆）实行公司定点回场检验制度。回场检验是指在车辆执行任务前，为保证车辆完好备用而进行的车辆运行安全技术条件的专业检验。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车辆回场检验执行“长途趟检、短途周检”规定。检验不合格的车辆一律不得出具回场检验合格证。回场检验合格证有效期为自检验合格之日起一个星期。期间执行长途任务，合格证自长途任务结束立即失效。</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第十三条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驾驶员应执行出车前、行车中和收车后“三检制”，认真做好所驾车辆的清洁、补给和安全检视等日常维护工作，发现问题及时整改或上报，确保装备齐全、车况良好、车容整洁。</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第十四条</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严禁酒后驾车。驾驶员上班、出差期间严禁饮酒。必须在驾驶员出车前对其进行酒精检测，检测不合格驾驶员不得执行任务。如有违反按“反违章禁令”处理。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第十五条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严禁疲劳驾车。驾驶员连续长途驾车超过4小时、高速公路超过2个小时应停车休息，休息时间不得少于20分钟。每日驾车行驶时间累计不得超过8小时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第十六条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严禁超速行驶。车辆在道路上行驶，不得超过下列最高行驶速度：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（一）高速公路上9座（含）以下车辆为每小时120公里，9座以上载客车辆、普通货运车辆为每小时100公里。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（二）非高速道路，不得超过限速标志、标线标明的速度。</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（三）没有限速标志、标线的道路上，没有道路中心线的，城市道路为每小时30公里，公路为每小时40公里；同方向只有1条机动车道的道路，城市道路为每小时50公里，公路为每小时70公里。</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第十七条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驾驶员行车途中遇暴雨、浓雾、自然灾害等情况，对安全行车构成影响时，应立即将车辆停靠在安全地带，不得继续行驶。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第十八条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所有机动车辆必须按规定安装、使用卫星定位监控终端及系统，并配备行车记录仪。</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车辆管理部门（单位）建立完善车载GPS监控系统，有效开展系统的维护、升级及运行优化工作，实现对车辆运行全过程的安全管理和动态监控。车辆管理部门（单位）要准确掌握外出车辆运行动态，做好车辆运行过程关键节点受控管理，确保车辆外出期间全过程安全受控。</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第十九条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公司车辆实行回单位定点停放制度。正常上班时间，未调派外出的车辆必须停放在单位，车辆在完成调派任务返公司后，必须将车辆停放回公司大院内，禁止在公司外乱停乱放。因特殊情况不能回单位停放的，需经公司调派人员同意，但必须确保车辆的安全，如出现车辆损坏、丢失等情况，一切经济损失由驾车人员自负。没有主管领导的指令和调度正常调派的情况下，驾驶员不准私自动用自己所开的车辆，更不能将车钥匙交他人驾驶车辆,如有违者将按相关条款重处。</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外出执行任务时，需临时或长时间（含夜间）停车，应停放在有人值守的停车场（库）。</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生产保障中心与驾驶员签订因公、临时、抢险车在公司指定地点外停车监管责任书，确认监管责任。生产保障中心要掌握在外停车的具体地点。</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国家法定节假日期间，除值班车辆外，其他车辆须封存停驶。</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车辆管理部门（单位）要把好关，严格遵守财务制度，保证业务的真实性，有效降低车辆运行成本。同时，车辆使用的安全监护人要对运行过程中发生的相关票据签字确认，作为费用核销的依据。</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第六章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 xml:space="preserve"> 乘车人监护责任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第二十一条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为加强交通安全管理，对驾驶员采取人性化监督，落实“谁用车，谁负责”的用车原则。乘车人负有行车安全监督的职责和义务。每一位乘车人均有相应的职责和义务，发现驾驶员违法违纪行为不及时指出、纠正，造成后果的，也要承担相应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第二十二条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安全监护人有责任监督制止驾驶员的违章行为，督促驾驶员遵守《道路交通安全法》、《反违章“十条禁令”》，发现驾驶员情绪不稳定或疲倦时，要求驾驶员立即停车休息。</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第二十三条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在行车过程中，安全监护人应随时提醒驾驶员注意安全，把安全工作放在首位。如遇道路复杂、路况差、气候恶劣、能见度低等情况，不得强令驾驶员行车。</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第二十四条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乘车安全监护人发现车辆行驶途中有异常时，应提醒驾驶员停车检查，并积极协助驾驶员排除故障；发现驾驶员不按交通信号灯、交通标志、交通标线和交警指挥驾驶操作等“十大行车不安全行为”，要及时制止。</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第七章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交通事故管理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第二十五条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公司交通事故管理应按《中油南充燃气有限责任公司事故事件管理办法》执行。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第二十六条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如发生交通事故，应在三十分钟内将事故发生的时间地点，原因、伤亡和其它损失情况及时逐级汇报。</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第二十七条</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对交通事故的处理和处罚报公司HSE领导小组审查通过后执行。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b w:val="0"/>
          <w:bCs w:val="0"/>
          <w:color w:val="auto"/>
          <w:kern w:val="2"/>
          <w:sz w:val="30"/>
          <w:szCs w:val="30"/>
        </w:rPr>
      </w:pPr>
      <w:r>
        <w:rPr>
          <w:rFonts w:hint="eastAsia" w:ascii="方正黑体简体" w:hAnsi="方正黑体简体" w:eastAsia="方正黑体简体" w:cs="方正黑体简体"/>
          <w:b w:val="0"/>
          <w:bCs w:val="0"/>
          <w:color w:val="auto"/>
          <w:kern w:val="2"/>
          <w:sz w:val="30"/>
          <w:szCs w:val="30"/>
        </w:rPr>
        <w:t>第八章</w:t>
      </w:r>
      <w:r>
        <w:rPr>
          <w:rFonts w:hint="eastAsia" w:ascii="方正黑体简体" w:hAnsi="方正黑体简体" w:eastAsia="方正黑体简体" w:cs="方正黑体简体"/>
          <w:b w:val="0"/>
          <w:bCs w:val="0"/>
          <w:color w:val="auto"/>
          <w:kern w:val="2"/>
          <w:sz w:val="30"/>
          <w:szCs w:val="30"/>
          <w:lang w:val="en-US" w:eastAsia="zh-CN"/>
        </w:rPr>
        <w:t xml:space="preserve"> </w:t>
      </w:r>
      <w:r>
        <w:rPr>
          <w:rFonts w:hint="eastAsia" w:ascii="方正黑体简体" w:hAnsi="方正黑体简体" w:eastAsia="方正黑体简体" w:cs="方正黑体简体"/>
          <w:b w:val="0"/>
          <w:bCs w:val="0"/>
          <w:color w:val="auto"/>
          <w:kern w:val="2"/>
          <w:sz w:val="30"/>
          <w:szCs w:val="30"/>
        </w:rPr>
        <w:t xml:space="preserve"> 车辆维修管理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第二十八条</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为规范车辆修理程序,加强车辆维修过程的管理，确保车辆修理质量,降低修理频率，确保车辆的安全运行。所有车辆的维修原则上采用“定点维修”的方式进行。</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车辆到达规定的运行公里数或发生故障，由本车驾驶员向生产保障中心报告对车辆进行相应的保养和维修，生产保障中心根据车辆情况填写外修单，质量安全环保部对车辆外维单的项目进行审查核实，经审查核实后的车辆外修单由公司分管领导签字同意，驾驶员才能凭修理单到约定的修理厂对审定的维修项目及时送修。</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第二十九条</w:t>
      </w:r>
      <w:r>
        <w:rPr>
          <w:rFonts w:hint="eastAsia" w:ascii="方正仿宋简体" w:hAnsi="方正仿宋简体" w:eastAsia="方正仿宋简体" w:cs="方正仿宋简体"/>
          <w:b/>
          <w:bCs/>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 xml:space="preserve"> 车辆的安全保护装置应齐全、可靠、灵敏，对刹车等重要安全保护装置应定期进行检验、调校，确保安全、可靠。按照国家、企业有关要求，需加装的安全（警示）装置应及时加装（如防雾尾灯）。</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维修时送修车驾驶员应在现场监督修理全过程及质量，对更换的材料和数量逐项核对，并在维修清单上签字确认。驾驶员在维修过程中，不准弄虚作假，擅自增加修理项目，车辆维修后出现因质量返修或机械事故，属驾驶员责任的，由驾驶员承担相应责任，属修理厂责任的，由按合同规定修理厂家承担相应责任。</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第三十一条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车辆的应急修理管理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1.车辆在外执行任务时，发生故障，不能再行驶的，由驾驶员报告生产保障中心，根据故障性质和费用情况向公司分管领导汇报，按领导指示在就地修理或采取其它救援措施。</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2.未报告生产保障中心，驾驶员擅自在外修理的，其费用由驾驶员承担。</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3.擅自在外修理而诱发的安全问题或交通事故，按照西南油气田分公司有关安全规定处理。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第三十二条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车辆修理费用结算管理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1.车辆各项修理任何人均不得以现金结算。其结算程序为：</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2.修理厂每月到公司结算一次修理费。修理厂结算修理费时，应提供所要结算车辆修理的“报修单”、增值税发票，经驾驶员签字确认的材料清单。</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3.生产保障中心对修理厂提供的各种单据进行逐一核实，由生产保障中心主要负责人在费用报修单上签字认可。再由公司分管领导及相关人员签字后，修理厂方可在财务结算费用。</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第三十三条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车辆燃油管理</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1.车辆凭加油卡在定点加油站加油。加油卡实行一车一卡，限车号使用，不得转借挪用。各车驾驶员应爱护保管好加油卡，如有损坏丢失，由驾驶员自己负责补办。</w:t>
      </w:r>
    </w:p>
    <w:p>
      <w:pPr>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2.长途车出车前应在定点加油点加满油。在外确需补充油料的，一次补充油料费控制在200元内（大排量或特殊情况应事前报告生产保障中心）。</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color w:val="auto"/>
          <w:kern w:val="2"/>
          <w:sz w:val="28"/>
          <w:szCs w:val="28"/>
        </w:rPr>
        <w:t>3.驾驶员根据公司制定的油耗标准执行，在合理范围内降低油耗，减少公司油料消耗。</w:t>
      </w:r>
    </w:p>
    <w:p>
      <w:pPr>
        <w:keepNext w:val="0"/>
        <w:keepLines w:val="0"/>
        <w:pageBreakBefore w:val="0"/>
        <w:widowControl w:val="0"/>
        <w:kinsoku/>
        <w:wordWrap/>
        <w:overflowPunct/>
        <w:topLinePunct w:val="0"/>
        <w:autoSpaceDE/>
        <w:autoSpaceDN/>
        <w:bidi w:val="0"/>
        <w:adjustRightInd/>
        <w:snapToGrid w:val="0"/>
        <w:spacing w:after="0" w:line="240" w:lineRule="atLeast"/>
        <w:ind w:firstLine="0" w:firstLineChars="0"/>
        <w:jc w:val="center"/>
        <w:textAlignment w:val="baseline"/>
        <w:outlineLvl w:val="9"/>
        <w:rPr>
          <w:rFonts w:hint="eastAsia" w:ascii="方正黑体简体" w:hAnsi="方正黑体简体" w:eastAsia="方正黑体简体" w:cs="方正黑体简体"/>
          <w:color w:val="auto"/>
          <w:kern w:val="2"/>
          <w:sz w:val="30"/>
          <w:szCs w:val="30"/>
        </w:rPr>
      </w:pPr>
      <w:r>
        <w:rPr>
          <w:rFonts w:hint="eastAsia" w:ascii="方正黑体简体" w:hAnsi="方正黑体简体" w:eastAsia="方正黑体简体" w:cs="方正黑体简体"/>
          <w:color w:val="auto"/>
          <w:kern w:val="2"/>
          <w:sz w:val="30"/>
          <w:szCs w:val="30"/>
        </w:rPr>
        <w:t>第八章</w:t>
      </w:r>
      <w:r>
        <w:rPr>
          <w:rFonts w:hint="eastAsia" w:ascii="方正黑体简体" w:hAnsi="方正黑体简体" w:eastAsia="方正黑体简体" w:cs="方正黑体简体"/>
          <w:color w:val="auto"/>
          <w:kern w:val="2"/>
          <w:sz w:val="30"/>
          <w:szCs w:val="30"/>
          <w:lang w:val="en-US" w:eastAsia="zh-CN"/>
        </w:rPr>
        <w:t xml:space="preserve"> </w:t>
      </w:r>
      <w:r>
        <w:rPr>
          <w:rFonts w:hint="eastAsia" w:ascii="方正黑体简体" w:hAnsi="方正黑体简体" w:eastAsia="方正黑体简体" w:cs="方正黑体简体"/>
          <w:color w:val="auto"/>
          <w:kern w:val="2"/>
          <w:sz w:val="30"/>
          <w:szCs w:val="30"/>
        </w:rPr>
        <w:t xml:space="preserve"> 附 </w:t>
      </w:r>
      <w:r>
        <w:rPr>
          <w:rFonts w:hint="eastAsia" w:ascii="方正黑体简体" w:hAnsi="方正黑体简体" w:eastAsia="方正黑体简体" w:cs="方正黑体简体"/>
          <w:color w:val="auto"/>
          <w:kern w:val="2"/>
          <w:sz w:val="30"/>
          <w:szCs w:val="30"/>
          <w:lang w:val="en-US" w:eastAsia="zh-CN"/>
        </w:rPr>
        <w:t xml:space="preserve"> </w:t>
      </w:r>
      <w:r>
        <w:rPr>
          <w:rFonts w:hint="eastAsia" w:ascii="方正黑体简体" w:hAnsi="方正黑体简体" w:eastAsia="方正黑体简体" w:cs="方正黑体简体"/>
          <w:color w:val="auto"/>
          <w:kern w:val="2"/>
          <w:sz w:val="30"/>
          <w:szCs w:val="30"/>
        </w:rPr>
        <w:t>则</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第三十四条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本办法由质量安全环保部负责解释。</w:t>
      </w:r>
    </w:p>
    <w:p>
      <w:pPr>
        <w:keepNext w:val="0"/>
        <w:keepLines w:val="0"/>
        <w:pageBreakBefore w:val="0"/>
        <w:widowControl w:val="0"/>
        <w:kinsoku/>
        <w:wordWrap/>
        <w:overflowPunct/>
        <w:topLinePunct w:val="0"/>
        <w:autoSpaceDE/>
        <w:autoSpaceDN/>
        <w:bidi w:val="0"/>
        <w:adjustRightInd/>
        <w:snapToGrid w:val="0"/>
        <w:spacing w:after="0" w:line="560" w:lineRule="exact"/>
        <w:ind w:firstLine="562" w:firstLineChars="200"/>
        <w:jc w:val="both"/>
        <w:textAlignment w:val="baseline"/>
        <w:outlineLvl w:val="9"/>
        <w:rPr>
          <w:rFonts w:hint="eastAsia" w:ascii="方正仿宋简体" w:hAnsi="方正仿宋简体" w:eastAsia="方正仿宋简体" w:cs="方正仿宋简体"/>
          <w:color w:val="auto"/>
          <w:kern w:val="2"/>
          <w:sz w:val="28"/>
          <w:szCs w:val="28"/>
        </w:rPr>
      </w:pPr>
      <w:r>
        <w:rPr>
          <w:rFonts w:hint="eastAsia" w:ascii="方正仿宋简体" w:hAnsi="方正仿宋简体" w:eastAsia="方正仿宋简体" w:cs="方正仿宋简体"/>
          <w:b/>
          <w:bCs/>
          <w:color w:val="auto"/>
          <w:kern w:val="2"/>
          <w:sz w:val="28"/>
          <w:szCs w:val="28"/>
        </w:rPr>
        <w:t>第三十五条</w:t>
      </w:r>
      <w:r>
        <w:rPr>
          <w:rFonts w:hint="eastAsia" w:ascii="方正仿宋简体" w:hAnsi="方正仿宋简体" w:eastAsia="方正仿宋简体" w:cs="方正仿宋简体"/>
          <w:color w:val="auto"/>
          <w:kern w:val="2"/>
          <w:sz w:val="28"/>
          <w:szCs w:val="28"/>
        </w:rPr>
        <w:t xml:space="preserve"> </w:t>
      </w:r>
      <w:r>
        <w:rPr>
          <w:rFonts w:hint="eastAsia" w:ascii="方正仿宋简体" w:hAnsi="方正仿宋简体" w:eastAsia="方正仿宋简体" w:cs="方正仿宋简体"/>
          <w:color w:val="auto"/>
          <w:kern w:val="2"/>
          <w:sz w:val="28"/>
          <w:szCs w:val="28"/>
          <w:lang w:val="en-US" w:eastAsia="zh-CN"/>
        </w:rPr>
        <w:t xml:space="preserve"> </w:t>
      </w:r>
      <w:r>
        <w:rPr>
          <w:rFonts w:hint="eastAsia" w:ascii="方正仿宋简体" w:hAnsi="方正仿宋简体" w:eastAsia="方正仿宋简体" w:cs="方正仿宋简体"/>
          <w:color w:val="auto"/>
          <w:kern w:val="2"/>
          <w:sz w:val="28"/>
          <w:szCs w:val="28"/>
        </w:rPr>
        <w:t>本办法自发布之日起施行。（2020年5月22日修订）</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eastAsia="方正仿宋简体"/>
          <w:color w:val="auto"/>
          <w:sz w:val="28"/>
          <w:szCs w:val="28"/>
          <w:highlight w:val="none"/>
        </w:rPr>
        <w:sectPr>
          <w:pgSz w:w="11906" w:h="16838"/>
          <w:pgMar w:top="1803" w:right="1440" w:bottom="1803" w:left="1440" w:header="851" w:footer="992" w:gutter="0"/>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outlineLvl w:val="0"/>
        <w:rPr>
          <w:rFonts w:hint="eastAsia" w:ascii="方正小标宋简体" w:hAnsi="方正小标宋简体" w:eastAsia="方正小标宋简体" w:cs="方正小标宋简体"/>
          <w:b w:val="0"/>
          <w:bCs w:val="0"/>
          <w:sz w:val="36"/>
          <w:szCs w:val="36"/>
          <w:lang w:eastAsia="zh-CN"/>
        </w:rPr>
      </w:pPr>
      <w:bookmarkStart w:id="1312" w:name="_Toc31258"/>
      <w:r>
        <w:rPr>
          <w:rFonts w:hint="eastAsia" w:ascii="方正小标宋简体" w:hAnsi="方正小标宋简体" w:eastAsia="方正小标宋简体" w:cs="方正小标宋简体"/>
          <w:b w:val="0"/>
          <w:bCs w:val="0"/>
          <w:sz w:val="36"/>
          <w:szCs w:val="36"/>
          <w:lang w:eastAsia="zh-CN"/>
        </w:rPr>
        <w:t>中油南充燃气有限责任公司安全生产会议管理制度</w:t>
      </w:r>
      <w:bookmarkEnd w:id="1312"/>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hint="eastAsia"/>
          <w:lang w:eastAsia="zh-CN"/>
        </w:rPr>
      </w:pPr>
    </w:p>
    <w:p>
      <w:pPr>
        <w:keepNext w:val="0"/>
        <w:keepLines w:val="0"/>
        <w:pageBreakBefore w:val="0"/>
        <w:widowControl w:val="0"/>
        <w:numPr>
          <w:ilvl w:val="0"/>
          <w:numId w:val="33"/>
        </w:numPr>
        <w:kinsoku/>
        <w:wordWrap/>
        <w:overflowPunct/>
        <w:topLinePunct w:val="0"/>
        <w:autoSpaceDE/>
        <w:autoSpaceDN/>
        <w:bidi w:val="0"/>
        <w:adjustRightInd/>
        <w:snapToGrid/>
        <w:spacing w:line="240" w:lineRule="atLeast"/>
        <w:ind w:firstLine="0" w:firstLineChars="0"/>
        <w:jc w:val="center"/>
        <w:textAlignment w:val="auto"/>
        <w:outlineLvl w:val="9"/>
        <w:rPr>
          <w:rFonts w:hint="eastAsia" w:ascii="方正黑体简体" w:hAnsi="方正黑体简体" w:eastAsia="方正黑体简体" w:cs="方正黑体简体"/>
          <w:b w:val="0"/>
          <w:bCs w:val="0"/>
          <w:sz w:val="30"/>
          <w:szCs w:val="30"/>
          <w:lang w:val="en-US" w:eastAsia="zh-CN"/>
        </w:rPr>
      </w:pPr>
      <w:r>
        <w:rPr>
          <w:rFonts w:hint="eastAsia" w:ascii="方正黑体简体" w:hAnsi="方正黑体简体" w:eastAsia="方正黑体简体" w:cs="方正黑体简体"/>
          <w:b w:val="0"/>
          <w:bCs w:val="0"/>
          <w:sz w:val="30"/>
          <w:szCs w:val="30"/>
          <w:lang w:val="en-US" w:eastAsia="zh-CN"/>
        </w:rPr>
        <w:t>总  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按照“安全第一、预防为主、综合治理”的工作方针，以及“谁主管、谁负责”和“管生产必须管安全”的原则，践行有感领导、强化管理、落实责任，营造良好的安全环保氛围。结合公司实际，特制定《中油南充燃气有限责任公司</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会议制度》。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r>
        <w:rPr>
          <w:rFonts w:hint="eastAsia" w:ascii="方正仿宋简体" w:hAnsi="方正仿宋简体" w:eastAsia="方正仿宋简体" w:cs="方正仿宋简体"/>
          <w:b w:val="0"/>
          <w:bCs w:val="0"/>
          <w:sz w:val="28"/>
          <w:szCs w:val="28"/>
        </w:rPr>
        <w:t>公司</w:t>
      </w:r>
      <w:r>
        <w:rPr>
          <w:rFonts w:hint="eastAsia" w:ascii="方正仿宋简体" w:hAnsi="方正仿宋简体" w:eastAsia="方正仿宋简体" w:cs="方正仿宋简体"/>
          <w:b w:val="0"/>
          <w:bCs w:val="0"/>
          <w:sz w:val="28"/>
          <w:szCs w:val="28"/>
          <w:lang w:eastAsia="zh-CN"/>
        </w:rPr>
        <w:t>安全生产</w:t>
      </w:r>
      <w:r>
        <w:rPr>
          <w:rFonts w:hint="eastAsia" w:ascii="方正仿宋简体" w:hAnsi="方正仿宋简体" w:eastAsia="方正仿宋简体" w:cs="方正仿宋简体"/>
          <w:b w:val="0"/>
          <w:bCs w:val="0"/>
          <w:sz w:val="28"/>
          <w:szCs w:val="28"/>
        </w:rPr>
        <w:t>会议制度，按层次划分为：公司级和班组级。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b w:val="0"/>
          <w:bCs w:val="0"/>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val="en-US" w:eastAsia="zh-CN"/>
        </w:rPr>
      </w:pPr>
      <w:r>
        <w:rPr>
          <w:rFonts w:hint="eastAsia" w:ascii="方正黑体简体" w:hAnsi="方正黑体简体" w:eastAsia="方正黑体简体" w:cs="方正黑体简体"/>
          <w:b w:val="0"/>
          <w:bCs w:val="0"/>
          <w:sz w:val="30"/>
          <w:szCs w:val="30"/>
          <w:lang w:val="en-US" w:eastAsia="zh-CN"/>
        </w:rPr>
        <w:t>第二章  安全生产会议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第一条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领导小组会（专题会）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1、学习、传达贯彻上级有关安全会议精神，落实有关指示和要求。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2、审定本单位年度、阶段性安全环保目标及活动计划。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3、根据本单位阶段性安全环保形势，研究、分析安全环保管理中的不足或薄弱环节，解决存在的主要问题或隐患，制定下步工作重点。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4、及时研究、分析本单位的有关安全生产事故和未遂事件，讨论处理事故责任单位和严重违章责任人，总结吸取教训，并采取有效预防措施，防止同类事故发生。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第二条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安全生产分</w:t>
      </w:r>
      <w:r>
        <w:rPr>
          <w:rFonts w:hint="eastAsia" w:ascii="方正仿宋简体" w:hAnsi="方正仿宋简体" w:eastAsia="方正仿宋简体" w:cs="方正仿宋简体"/>
          <w:sz w:val="28"/>
          <w:szCs w:val="28"/>
          <w:lang w:eastAsia="zh-CN"/>
        </w:rPr>
        <w:t>析</w:t>
      </w:r>
      <w:r>
        <w:rPr>
          <w:rFonts w:hint="eastAsia" w:ascii="方正仿宋简体" w:hAnsi="方正仿宋简体" w:eastAsia="方正仿宋简体" w:cs="方正仿宋简体"/>
          <w:sz w:val="28"/>
          <w:szCs w:val="28"/>
        </w:rPr>
        <w:t>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1、学习、传达贯彻上级有关安全会议精神，落实有关指示和要求。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2、分析本单位安全环保形势，布置下步工作。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3、定期召开会议，分析、总结本单位上一阶段安全生产工作，并布置下步安全生产工作。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4、制定本单位特殊时段、季节安全环保的重点工作并落实相应措施。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5、针对机关部门、基层单位或班组反映的突出问题，研究、协调落实处理措施。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val="en-US" w:eastAsia="zh-CN"/>
        </w:rPr>
      </w:pPr>
      <w:r>
        <w:rPr>
          <w:rFonts w:hint="eastAsia" w:ascii="方正黑体简体" w:hAnsi="方正黑体简体" w:eastAsia="方正黑体简体" w:cs="方正黑体简体"/>
          <w:b w:val="0"/>
          <w:bCs w:val="0"/>
          <w:sz w:val="30"/>
          <w:szCs w:val="30"/>
          <w:lang w:val="en-US" w:eastAsia="zh-CN"/>
        </w:rPr>
        <w:t>第三章  班组安全生产会议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第三条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班前会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1、分析本班安全生产现状、设备运行情况。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2、针对特殊时段、季节特点和设备运行状况，落实本班组的安全防护措施。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3、安排布置本班的具体工作任务，同时交待安全工作重点。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4、班前会每天一次，由班组长组织，班组成员参加。</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第四条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班组会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1、学习本单位下发的安全文件、安全环保规章制度、事故案例等，并组织开展讨论。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2、按巡检制度，开展安全自检自查活动。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3、开展岗位风险识别及落实控制措施，及时发现并组织消除隐患。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4、组织全班人员开展岗位应知应会和安全技能的培训。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5、按设备维护保养的“十字”作业要求，组织全班人员对本班组设备及其附属设施开展维护保养活动。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6、定期组织全班人员开展应急演练活动。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7、开展安全经验分享活动。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8、班组会每周一次，由班组长组织，班组成员参加。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outlineLvl w:val="9"/>
        <w:rPr>
          <w:rFonts w:hint="eastAsia" w:ascii="方正黑体简体" w:hAnsi="方正黑体简体" w:eastAsia="方正黑体简体" w:cs="方正黑体简体"/>
          <w:b w:val="0"/>
          <w:bCs w:val="0"/>
          <w:sz w:val="30"/>
          <w:szCs w:val="30"/>
          <w:lang w:val="en-US" w:eastAsia="zh-CN"/>
        </w:rPr>
      </w:pPr>
      <w:r>
        <w:rPr>
          <w:rFonts w:hint="eastAsia" w:ascii="方正黑体简体" w:hAnsi="方正黑体简体" w:eastAsia="方正黑体简体" w:cs="方正黑体简体"/>
          <w:b w:val="0"/>
          <w:bCs w:val="0"/>
          <w:sz w:val="30"/>
          <w:szCs w:val="30"/>
          <w:lang w:val="en-US" w:eastAsia="zh-CN"/>
        </w:rPr>
        <w:t>第四章  其他要求</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第五条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特殊情况下可不定期、不定时地召开各级、各部门安全环保工作会议。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sz w:val="28"/>
          <w:szCs w:val="28"/>
          <w:lang w:eastAsia="zh-CN"/>
        </w:rPr>
        <w:t>第六条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领导小组会议议定事项由综合办公室负责督办，质量安全环保部负责监督完成。同时记录在本单位</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活动记录本。</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
          <w:bCs/>
          <w:i w:val="0"/>
          <w:iCs w:val="0"/>
          <w:sz w:val="28"/>
          <w:szCs w:val="28"/>
          <w:lang w:eastAsia="zh-CN"/>
        </w:rPr>
        <w:t>第七条</w:t>
      </w:r>
      <w:r>
        <w:rPr>
          <w:rFonts w:hint="eastAsia" w:ascii="方正仿宋简体" w:hAnsi="方正仿宋简体" w:eastAsia="方正仿宋简体" w:cs="方正仿宋简体"/>
          <w:sz w:val="28"/>
          <w:szCs w:val="28"/>
          <w:lang w:val="en-US" w:eastAsia="zh-CN"/>
        </w:rPr>
        <w:t xml:space="preserve">  </w:t>
      </w:r>
      <w:r>
        <w:rPr>
          <w:rFonts w:hint="eastAsia" w:ascii="方正仿宋简体" w:hAnsi="方正仿宋简体" w:eastAsia="方正仿宋简体" w:cs="方正仿宋简体"/>
          <w:sz w:val="28"/>
          <w:szCs w:val="28"/>
        </w:rPr>
        <w:t>在</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活动记录本上记录本井站（班组）所开展的各项</w:t>
      </w:r>
      <w:r>
        <w:rPr>
          <w:rFonts w:hint="eastAsia" w:ascii="方正仿宋简体" w:hAnsi="方正仿宋简体" w:eastAsia="方正仿宋简体" w:cs="方正仿宋简体"/>
          <w:sz w:val="28"/>
          <w:szCs w:val="28"/>
          <w:lang w:eastAsia="zh-CN"/>
        </w:rPr>
        <w:t>安全生产</w:t>
      </w:r>
      <w:r>
        <w:rPr>
          <w:rFonts w:hint="eastAsia" w:ascii="方正仿宋简体" w:hAnsi="方正仿宋简体" w:eastAsia="方正仿宋简体" w:cs="方正仿宋简体"/>
          <w:sz w:val="28"/>
          <w:szCs w:val="28"/>
        </w:rPr>
        <w:t>活动。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eastAsia="方正仿宋简体"/>
          <w:color w:val="auto"/>
          <w:sz w:val="28"/>
          <w:szCs w:val="28"/>
          <w:highlight w:val="none"/>
        </w:rPr>
        <w:sectPr>
          <w:pgSz w:w="11906" w:h="16838"/>
          <w:pgMar w:top="1803" w:right="1440" w:bottom="1803" w:left="1440" w:header="851" w:footer="992" w:gutter="0"/>
          <w:cols w:space="0" w:num="1"/>
          <w:rtlGutter w:val="0"/>
          <w:docGrid w:type="lines" w:linePitch="312" w:charSpace="0"/>
        </w:sectPr>
      </w:pP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640" w:lineRule="exact"/>
        <w:ind w:right="0"/>
        <w:jc w:val="center"/>
        <w:textAlignment w:val="baseline"/>
        <w:outlineLvl w:val="0"/>
        <w:rPr>
          <w:rFonts w:hint="eastAsia" w:ascii="方正小标宋简体" w:hAnsi="方正小标宋简体" w:eastAsia="方正小标宋简体" w:cs="方正小标宋简体"/>
          <w:b w:val="0"/>
          <w:bCs/>
          <w:color w:val="auto"/>
          <w:sz w:val="44"/>
          <w:szCs w:val="44"/>
          <w:highlight w:val="none"/>
          <w:shd w:val="clear"/>
          <w:lang w:val="en-US" w:eastAsia="zh-CN"/>
        </w:rPr>
      </w:pPr>
      <w:bookmarkStart w:id="1313" w:name="_Toc7676"/>
      <w:r>
        <w:rPr>
          <w:rFonts w:hint="eastAsia" w:ascii="方正小标宋简体" w:hAnsi="方正小标宋简体" w:eastAsia="方正小标宋简体" w:cs="方正小标宋简体"/>
          <w:b w:val="0"/>
          <w:bCs/>
          <w:sz w:val="44"/>
          <w:szCs w:val="44"/>
          <w:lang w:val="en-US" w:eastAsia="zh-CN"/>
        </w:rPr>
        <w:t>安全生</w:t>
      </w:r>
      <w:r>
        <w:rPr>
          <w:rFonts w:hint="eastAsia" w:ascii="方正小标宋简体" w:hAnsi="方正小标宋简体" w:eastAsia="方正小标宋简体" w:cs="方正小标宋简体"/>
          <w:b w:val="0"/>
          <w:bCs/>
          <w:color w:val="auto"/>
          <w:sz w:val="44"/>
          <w:szCs w:val="44"/>
          <w:highlight w:val="none"/>
          <w:lang w:val="en-US" w:eastAsia="zh-CN"/>
        </w:rPr>
        <w:t>产规章制</w:t>
      </w:r>
      <w:r>
        <w:rPr>
          <w:rFonts w:hint="eastAsia" w:ascii="方正小标宋简体" w:hAnsi="方正小标宋简体" w:eastAsia="方正小标宋简体" w:cs="方正小标宋简体"/>
          <w:b w:val="0"/>
          <w:bCs/>
          <w:color w:val="auto"/>
          <w:sz w:val="44"/>
          <w:szCs w:val="44"/>
          <w:highlight w:val="none"/>
          <w:shd w:val="clear"/>
          <w:lang w:val="en-US" w:eastAsia="zh-CN"/>
        </w:rPr>
        <w:t>度清单名称对照表</w:t>
      </w:r>
      <w:bookmarkEnd w:id="1313"/>
    </w:p>
    <w:tbl>
      <w:tblPr>
        <w:tblStyle w:val="51"/>
        <w:tblW w:w="15756" w:type="dxa"/>
        <w:tblInd w:w="-791" w:type="dxa"/>
        <w:shd w:val="clear" w:color="auto" w:fill="auto"/>
        <w:tblLayout w:type="fixed"/>
        <w:tblCellMar>
          <w:top w:w="0" w:type="dxa"/>
          <w:left w:w="0" w:type="dxa"/>
          <w:bottom w:w="0" w:type="dxa"/>
          <w:right w:w="0" w:type="dxa"/>
        </w:tblCellMar>
      </w:tblPr>
      <w:tblGrid>
        <w:gridCol w:w="600"/>
        <w:gridCol w:w="3972"/>
        <w:gridCol w:w="5544"/>
        <w:gridCol w:w="5640"/>
      </w:tblGrid>
      <w:tr>
        <w:tblPrEx>
          <w:shd w:val="clear" w:color="auto" w:fill="auto"/>
          <w:tblLayout w:type="fixed"/>
          <w:tblCellMar>
            <w:top w:w="0" w:type="dxa"/>
            <w:left w:w="0" w:type="dxa"/>
            <w:bottom w:w="0" w:type="dxa"/>
            <w:right w:w="0" w:type="dxa"/>
          </w:tblCellMar>
        </w:tblPrEx>
        <w:trPr>
          <w:trHeight w:val="922"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bCs w:val="0"/>
                <w:i w:val="0"/>
                <w:color w:val="auto"/>
                <w:sz w:val="18"/>
                <w:szCs w:val="18"/>
                <w:u w:val="none"/>
              </w:rPr>
            </w:pPr>
            <w:r>
              <w:rPr>
                <w:rFonts w:hint="eastAsia" w:ascii="方正仿宋简体" w:hAnsi="方正仿宋简体" w:eastAsia="方正仿宋简体" w:cs="方正仿宋简体"/>
                <w:b/>
                <w:bCs w:val="0"/>
                <w:i w:val="0"/>
                <w:color w:val="auto"/>
                <w:kern w:val="0"/>
                <w:sz w:val="18"/>
                <w:szCs w:val="18"/>
                <w:u w:val="none"/>
                <w:lang w:val="en-US" w:eastAsia="zh-CN" w:bidi="ar"/>
              </w:rPr>
              <w:t>序号</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bCs w:val="0"/>
                <w:i w:val="0"/>
                <w:color w:val="auto"/>
                <w:sz w:val="21"/>
                <w:szCs w:val="21"/>
                <w:highlight w:val="none"/>
                <w:u w:val="none"/>
              </w:rPr>
            </w:pPr>
            <w:r>
              <w:rPr>
                <w:rFonts w:hint="eastAsia" w:ascii="方正仿宋简体" w:hAnsi="方正仿宋简体" w:eastAsia="方正仿宋简体" w:cs="方正仿宋简体"/>
                <w:b/>
                <w:bCs w:val="0"/>
                <w:i w:val="0"/>
                <w:color w:val="auto"/>
                <w:kern w:val="0"/>
                <w:sz w:val="21"/>
                <w:szCs w:val="21"/>
                <w:highlight w:val="none"/>
                <w:u w:val="none"/>
                <w:lang w:val="en-US" w:eastAsia="zh-CN" w:bidi="ar"/>
              </w:rPr>
              <w:t>《四川省生产经营单位安全生产责任规定》要求企业建立的16项安全生产规章制度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bCs w:val="0"/>
                <w:i w:val="0"/>
                <w:color w:val="auto"/>
                <w:kern w:val="0"/>
                <w:sz w:val="21"/>
                <w:szCs w:val="21"/>
                <w:highlight w:val="none"/>
                <w:u w:val="none"/>
                <w:lang w:val="en-US" w:eastAsia="zh-CN" w:bidi="ar"/>
              </w:rPr>
            </w:pPr>
            <w:r>
              <w:rPr>
                <w:rFonts w:hint="eastAsia" w:ascii="方正仿宋简体" w:hAnsi="方正仿宋简体" w:eastAsia="方正仿宋简体" w:cs="方正仿宋简体"/>
                <w:b/>
                <w:bCs w:val="0"/>
                <w:i w:val="0"/>
                <w:color w:val="auto"/>
                <w:kern w:val="0"/>
                <w:sz w:val="21"/>
                <w:szCs w:val="21"/>
                <w:highlight w:val="none"/>
                <w:u w:val="none"/>
                <w:lang w:val="en-US" w:eastAsia="zh-CN" w:bidi="ar"/>
              </w:rPr>
              <w:t>中油南充燃气有限责任公司安全生产规章</w:t>
            </w:r>
            <w:r>
              <w:rPr>
                <w:rFonts w:hint="eastAsia" w:ascii="方正仿宋简体" w:hAnsi="方正仿宋简体" w:eastAsia="方正仿宋简体" w:cs="方正仿宋简体"/>
                <w:b/>
                <w:bCs w:val="0"/>
                <w:i w:val="0"/>
                <w:color w:val="auto"/>
                <w:kern w:val="0"/>
                <w:sz w:val="21"/>
                <w:szCs w:val="21"/>
                <w:highlight w:val="none"/>
                <w:u w:val="none"/>
                <w:shd w:val="clear"/>
                <w:lang w:val="en-US" w:eastAsia="zh-CN" w:bidi="ar"/>
              </w:rPr>
              <w:t>制度汇编中名称</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bCs w:val="0"/>
                <w:i w:val="0"/>
                <w:color w:val="auto"/>
                <w:sz w:val="21"/>
                <w:szCs w:val="21"/>
                <w:highlight w:val="none"/>
                <w:u w:val="none"/>
              </w:rPr>
            </w:pPr>
            <w:r>
              <w:rPr>
                <w:rFonts w:hint="eastAsia" w:ascii="方正仿宋简体" w:hAnsi="方正仿宋简体" w:eastAsia="方正仿宋简体" w:cs="方正仿宋简体"/>
                <w:b/>
                <w:bCs w:val="0"/>
                <w:i w:val="0"/>
                <w:color w:val="auto"/>
                <w:kern w:val="0"/>
                <w:sz w:val="21"/>
                <w:szCs w:val="21"/>
                <w:highlight w:val="none"/>
                <w:u w:val="none"/>
                <w:lang w:val="en-US" w:eastAsia="zh-CN" w:bidi="ar"/>
              </w:rPr>
              <w:t>中油南充燃气有限责任公司规章制度汇编中名称</w:t>
            </w:r>
          </w:p>
        </w:tc>
      </w:tr>
      <w:tr>
        <w:tblPrEx>
          <w:shd w:val="clear" w:color="auto" w:fill="auto"/>
          <w:tblLayout w:type="fixed"/>
          <w:tblCellMar>
            <w:top w:w="0" w:type="dxa"/>
            <w:left w:w="0" w:type="dxa"/>
            <w:bottom w:w="0" w:type="dxa"/>
            <w:right w:w="0" w:type="dxa"/>
          </w:tblCellMar>
        </w:tblPrEx>
        <w:trPr>
          <w:trHeight w:val="63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安全生产投入保障制度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《中油南充燃气有限责任公司安全生产投入保障制度》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《中油南充燃气有限责任公司安全生产费用提取和使用管理办法》</w:t>
            </w:r>
          </w:p>
        </w:tc>
      </w:tr>
      <w:tr>
        <w:tblPrEx>
          <w:shd w:val="clear" w:color="auto" w:fill="auto"/>
          <w:tblLayout w:type="fixed"/>
          <w:tblCellMar>
            <w:top w:w="0" w:type="dxa"/>
            <w:left w:w="0" w:type="dxa"/>
            <w:bottom w:w="0" w:type="dxa"/>
            <w:right w:w="0" w:type="dxa"/>
          </w:tblCellMar>
        </w:tblPrEx>
        <w:trPr>
          <w:trHeight w:val="780" w:hRule="atLeast"/>
        </w:trPr>
        <w:tc>
          <w:tcPr>
            <w:tcW w:w="60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2</w:t>
            </w:r>
          </w:p>
        </w:tc>
        <w:tc>
          <w:tcPr>
            <w:tcW w:w="397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新建、改建、扩建工程项目的安全论证、评价和管理制度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《中油南充燃气有限责任公司建设项目安全设施“三同时”管理制度》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《中油南充燃气有限责任公司建设项目安全设施“三同时”管理办法》</w:t>
            </w:r>
          </w:p>
        </w:tc>
      </w:tr>
      <w:tr>
        <w:tblPrEx>
          <w:shd w:val="clear" w:color="auto" w:fill="auto"/>
          <w:tblLayout w:type="fixed"/>
          <w:tblCellMar>
            <w:top w:w="0" w:type="dxa"/>
            <w:left w:w="0" w:type="dxa"/>
            <w:bottom w:w="0" w:type="dxa"/>
            <w:right w:w="0" w:type="dxa"/>
          </w:tblCellMar>
        </w:tblPrEx>
        <w:trPr>
          <w:trHeight w:val="536" w:hRule="atLeast"/>
        </w:trPr>
        <w:tc>
          <w:tcPr>
            <w:tcW w:w="60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p>
        </w:tc>
        <w:tc>
          <w:tcPr>
            <w:tcW w:w="3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《中油南充燃气有限责任公司投资建设项目管理制度》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《中油南充燃气有限责任公司投资建设项目管理办法》</w:t>
            </w:r>
          </w:p>
        </w:tc>
      </w:tr>
      <w:tr>
        <w:tblPrEx>
          <w:shd w:val="clear" w:color="auto" w:fill="auto"/>
          <w:tblLayout w:type="fixed"/>
          <w:tblCellMar>
            <w:top w:w="0" w:type="dxa"/>
            <w:left w:w="0" w:type="dxa"/>
            <w:bottom w:w="0" w:type="dxa"/>
            <w:right w:w="0" w:type="dxa"/>
          </w:tblCellMar>
        </w:tblPrEx>
        <w:trPr>
          <w:trHeight w:val="612" w:hRule="atLeast"/>
        </w:trPr>
        <w:tc>
          <w:tcPr>
            <w:tcW w:w="60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p>
        </w:tc>
        <w:tc>
          <w:tcPr>
            <w:tcW w:w="397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《中油南充燃气有限责任公司资产大修项目管理制度》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《中油南充燃气有限责任公司资产大修项目管理办法》</w:t>
            </w:r>
          </w:p>
        </w:tc>
      </w:tr>
      <w:tr>
        <w:tblPrEx>
          <w:shd w:val="clear" w:color="auto" w:fill="auto"/>
          <w:tblLayout w:type="fixed"/>
          <w:tblCellMar>
            <w:top w:w="0" w:type="dxa"/>
            <w:left w:w="0" w:type="dxa"/>
            <w:bottom w:w="0" w:type="dxa"/>
            <w:right w:w="0" w:type="dxa"/>
          </w:tblCellMar>
        </w:tblPrEx>
        <w:trPr>
          <w:trHeight w:val="656" w:hRule="atLeast"/>
        </w:trPr>
        <w:tc>
          <w:tcPr>
            <w:tcW w:w="60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3</w:t>
            </w:r>
          </w:p>
        </w:tc>
        <w:tc>
          <w:tcPr>
            <w:tcW w:w="397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设施、设备综合安全管理制度以及安全设施、设备维护、保养和检修、维修制度</w:t>
            </w:r>
          </w:p>
        </w:tc>
        <w:tc>
          <w:tcPr>
            <w:tcW w:w="5544"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《中油南充燃气有限责任公司设施设备维护保养管理制度》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《中油南充燃气有限责任公司设备设施维护保养管理办法》</w:t>
            </w:r>
          </w:p>
        </w:tc>
      </w:tr>
      <w:tr>
        <w:tblPrEx>
          <w:shd w:val="clear" w:color="auto" w:fill="auto"/>
          <w:tblLayout w:type="fixed"/>
          <w:tblCellMar>
            <w:top w:w="0" w:type="dxa"/>
            <w:left w:w="0" w:type="dxa"/>
            <w:bottom w:w="0" w:type="dxa"/>
            <w:right w:w="0" w:type="dxa"/>
          </w:tblCellMar>
        </w:tblPrEx>
        <w:trPr>
          <w:trHeight w:val="559" w:hRule="atLeast"/>
        </w:trPr>
        <w:tc>
          <w:tcPr>
            <w:tcW w:w="60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p>
        </w:tc>
        <w:tc>
          <w:tcPr>
            <w:tcW w:w="3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p>
        </w:tc>
        <w:tc>
          <w:tcPr>
            <w:tcW w:w="5544"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《中油南充燃气有限责任公司设施设备综合安全管理制度》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《中油南充燃气有限责任公司设备管理办法》</w:t>
            </w:r>
          </w:p>
        </w:tc>
      </w:tr>
      <w:tr>
        <w:tblPrEx>
          <w:shd w:val="clear" w:color="auto" w:fill="auto"/>
          <w:tblLayout w:type="fixed"/>
          <w:tblCellMar>
            <w:top w:w="0" w:type="dxa"/>
            <w:left w:w="0" w:type="dxa"/>
            <w:bottom w:w="0" w:type="dxa"/>
            <w:right w:w="0" w:type="dxa"/>
          </w:tblCellMar>
        </w:tblPrEx>
        <w:trPr>
          <w:trHeight w:val="676" w:hRule="atLeast"/>
        </w:trPr>
        <w:tc>
          <w:tcPr>
            <w:tcW w:w="60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《中油南充燃气有限责任公司抢险维修管理制度》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《中油南充燃气有限责任公司抢险维修管理实施细则》</w:t>
            </w:r>
          </w:p>
        </w:tc>
      </w:tr>
      <w:tr>
        <w:tblPrEx>
          <w:shd w:val="clear" w:color="auto" w:fill="auto"/>
          <w:tblLayout w:type="fixed"/>
          <w:tblCellMar>
            <w:top w:w="0" w:type="dxa"/>
            <w:left w:w="0" w:type="dxa"/>
            <w:bottom w:w="0" w:type="dxa"/>
            <w:right w:w="0" w:type="dxa"/>
          </w:tblCellMar>
        </w:tblPrEx>
        <w:trPr>
          <w:trHeight w:val="510" w:hRule="atLeast"/>
        </w:trPr>
        <w:tc>
          <w:tcPr>
            <w:tcW w:w="60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zh-CN" w:eastAsia="zh-CN" w:bidi="ar"/>
              </w:rPr>
              <w:t>《</w:t>
            </w: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中油南充燃气有限责任公司管道安全管理制度》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zh-CN" w:eastAsia="zh-CN" w:bidi="ar"/>
              </w:rPr>
              <w:t>《</w:t>
            </w: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中油南充燃气有限责任公司管道管理办法》</w:t>
            </w:r>
          </w:p>
        </w:tc>
      </w:tr>
      <w:tr>
        <w:tblPrEx>
          <w:shd w:val="clear" w:color="auto" w:fill="auto"/>
          <w:tblLayout w:type="fixed"/>
          <w:tblCellMar>
            <w:top w:w="0" w:type="dxa"/>
            <w:left w:w="0" w:type="dxa"/>
            <w:bottom w:w="0" w:type="dxa"/>
            <w:right w:w="0" w:type="dxa"/>
          </w:tblCellMar>
        </w:tblPrEx>
        <w:trPr>
          <w:trHeight w:val="510" w:hRule="atLeast"/>
        </w:trPr>
        <w:tc>
          <w:tcPr>
            <w:tcW w:w="600" w:type="dxa"/>
            <w:vMerge w:val="continue"/>
            <w:tcBorders>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《中油南充燃气有限责任公司燃气应急抢修管理制度》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《中油南充燃气有限责任公司燃气应急抢修管理办法》</w:t>
            </w:r>
          </w:p>
        </w:tc>
      </w:tr>
      <w:tr>
        <w:tblPrEx>
          <w:shd w:val="clear" w:color="auto" w:fill="auto"/>
          <w:tblLayout w:type="fixed"/>
          <w:tblCellMar>
            <w:top w:w="0" w:type="dxa"/>
            <w:left w:w="0" w:type="dxa"/>
            <w:bottom w:w="0" w:type="dxa"/>
            <w:right w:w="0" w:type="dxa"/>
          </w:tblCellMar>
        </w:tblPrEx>
        <w:trPr>
          <w:trHeight w:val="510" w:hRule="atLeast"/>
        </w:trPr>
        <w:tc>
          <w:tcPr>
            <w:tcW w:w="600"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4</w:t>
            </w:r>
          </w:p>
        </w:tc>
        <w:tc>
          <w:tcPr>
            <w:tcW w:w="3972" w:type="dxa"/>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有较大危险、危害因素的生产经营场所、设施、设备安全管理制度</w:t>
            </w:r>
          </w:p>
        </w:tc>
        <w:tc>
          <w:tcPr>
            <w:tcW w:w="5544"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《中油南充燃气有限责任公司电力安全管理制度》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《中油南充燃气有限责任公司电力管理办法》</w:t>
            </w:r>
          </w:p>
        </w:tc>
      </w:tr>
      <w:tr>
        <w:tblPrEx>
          <w:shd w:val="clear" w:color="auto" w:fill="auto"/>
          <w:tblLayout w:type="fixed"/>
          <w:tblCellMar>
            <w:top w:w="0" w:type="dxa"/>
            <w:left w:w="0" w:type="dxa"/>
            <w:bottom w:w="0" w:type="dxa"/>
            <w:right w:w="0" w:type="dxa"/>
          </w:tblCellMar>
        </w:tblPrEx>
        <w:trPr>
          <w:trHeight w:val="508" w:hRule="atLeast"/>
        </w:trPr>
        <w:tc>
          <w:tcPr>
            <w:tcW w:w="600" w:type="dxa"/>
            <w:vMerge w:val="continue"/>
            <w:tcBorders>
              <w:top w:val="single" w:color="auto"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top w:val="single" w:color="auto"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w:t>
            </w:r>
            <w:r>
              <w:rPr>
                <w:rFonts w:hint="eastAsia" w:ascii="方正仿宋简体" w:hAnsi="方正仿宋简体" w:eastAsia="方正仿宋简体" w:cs="方正仿宋简体"/>
                <w:b w:val="0"/>
                <w:bCs/>
                <w:i w:val="0"/>
                <w:color w:val="auto"/>
                <w:kern w:val="0"/>
                <w:sz w:val="18"/>
                <w:szCs w:val="18"/>
                <w:highlight w:val="none"/>
                <w:u w:val="none"/>
                <w:shd w:val="clear"/>
                <w:lang w:val="en-US" w:eastAsia="zh-CN" w:bidi="ar"/>
              </w:rPr>
              <w:t>责任公司特种设备安全管理制度》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《中油南充燃气有限责任公司特种设备安全管理办法》</w:t>
            </w:r>
          </w:p>
        </w:tc>
      </w:tr>
      <w:tr>
        <w:tblPrEx>
          <w:shd w:val="clear" w:color="auto" w:fill="auto"/>
          <w:tblLayout w:type="fixed"/>
          <w:tblCellMar>
            <w:top w:w="0" w:type="dxa"/>
            <w:left w:w="0" w:type="dxa"/>
            <w:bottom w:w="0" w:type="dxa"/>
            <w:right w:w="0" w:type="dxa"/>
          </w:tblCellMar>
        </w:tblPrEx>
        <w:trPr>
          <w:trHeight w:val="519" w:hRule="atLeast"/>
        </w:trPr>
        <w:tc>
          <w:tcPr>
            <w:tcW w:w="600"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5</w:t>
            </w:r>
          </w:p>
        </w:tc>
        <w:tc>
          <w:tcPr>
            <w:tcW w:w="3972"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重大危险源安全管理制度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《中油南充燃气有限责任公司重大危险源安全管理制度》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《中油南充燃气有限责任公司重大危险源监控管理办法》</w:t>
            </w:r>
          </w:p>
        </w:tc>
      </w:tr>
      <w:tr>
        <w:tblPrEx>
          <w:shd w:val="clear" w:color="auto" w:fill="auto"/>
          <w:tblLayout w:type="fixed"/>
          <w:tblCellMar>
            <w:top w:w="0" w:type="dxa"/>
            <w:left w:w="0" w:type="dxa"/>
            <w:bottom w:w="0" w:type="dxa"/>
            <w:right w:w="0" w:type="dxa"/>
          </w:tblCellMar>
        </w:tblPrEx>
        <w:trPr>
          <w:trHeight w:val="569"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6</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职业卫生管理制度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《中油南充燃气有限责任公司职业卫生管理制度》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《中油南充燃气有限责任公司健康管理办法》</w:t>
            </w:r>
          </w:p>
        </w:tc>
      </w:tr>
      <w:tr>
        <w:tblPrEx>
          <w:shd w:val="clear" w:color="auto" w:fill="auto"/>
          <w:tblLayout w:type="fixed"/>
          <w:tblCellMar>
            <w:top w:w="0" w:type="dxa"/>
            <w:left w:w="0" w:type="dxa"/>
            <w:bottom w:w="0" w:type="dxa"/>
            <w:right w:w="0" w:type="dxa"/>
          </w:tblCellMar>
        </w:tblPrEx>
        <w:trPr>
          <w:trHeight w:val="55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7</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劳动防护用品使用和管理制度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《中油南充燃气有限责任公司劳动防护用品使用和管理制度》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《中油南充燃气有限责任公司员工个人劳动防护用品管理实施细则》</w:t>
            </w:r>
          </w:p>
        </w:tc>
      </w:tr>
      <w:tr>
        <w:tblPrEx>
          <w:shd w:val="clear" w:color="auto" w:fill="auto"/>
          <w:tblLayout w:type="fixed"/>
          <w:tblCellMar>
            <w:top w:w="0" w:type="dxa"/>
            <w:left w:w="0" w:type="dxa"/>
            <w:bottom w:w="0" w:type="dxa"/>
            <w:right w:w="0" w:type="dxa"/>
          </w:tblCellMar>
        </w:tblPrEx>
        <w:trPr>
          <w:trHeight w:val="51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8</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安全生产检查及事故隐患排查、整改制度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《中油南充燃气有限责任公司安全生产检查及事故隐患排查整改制度》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《中油南充燃气有限责任公司安全生产事故隐患排查治理管理办法》</w:t>
            </w:r>
          </w:p>
        </w:tc>
      </w:tr>
      <w:tr>
        <w:tblPrEx>
          <w:shd w:val="clear" w:color="auto" w:fill="auto"/>
          <w:tblLayout w:type="fixed"/>
          <w:tblCellMar>
            <w:top w:w="0" w:type="dxa"/>
            <w:left w:w="0" w:type="dxa"/>
            <w:bottom w:w="0" w:type="dxa"/>
            <w:right w:w="0" w:type="dxa"/>
          </w:tblCellMar>
        </w:tblPrEx>
        <w:trPr>
          <w:trHeight w:val="49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9</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安全生产目标管理和责任追究制度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《中油南充燃气有限责任公司安全生产目标管理和责任追究制度》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lang w:eastAsia="zh-CN"/>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《中油南充燃气有限责任公司安全生产目标管理和责任追究制度》</w:t>
            </w:r>
          </w:p>
        </w:tc>
      </w:tr>
      <w:tr>
        <w:tblPrEx>
          <w:shd w:val="clear" w:color="auto" w:fill="auto"/>
          <w:tblLayout w:type="fixed"/>
          <w:tblCellMar>
            <w:top w:w="0" w:type="dxa"/>
            <w:left w:w="0" w:type="dxa"/>
            <w:bottom w:w="0" w:type="dxa"/>
            <w:right w:w="0" w:type="dxa"/>
          </w:tblCellMar>
        </w:tblPrEx>
        <w:trPr>
          <w:trHeight w:val="62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10</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安全生产教育培训管理考核制度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《中油南充燃气有限责任公司安全生产教育培训管理考核制度》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《中油南充燃气有限责任公司安全教育培训管理制度》</w:t>
            </w:r>
          </w:p>
        </w:tc>
      </w:tr>
      <w:tr>
        <w:tblPrEx>
          <w:shd w:val="clear" w:color="auto" w:fill="auto"/>
          <w:tblLayout w:type="fixed"/>
          <w:tblCellMar>
            <w:top w:w="0" w:type="dxa"/>
            <w:left w:w="0" w:type="dxa"/>
            <w:bottom w:w="0" w:type="dxa"/>
            <w:right w:w="0" w:type="dxa"/>
          </w:tblCellMar>
        </w:tblPrEx>
        <w:trPr>
          <w:trHeight w:val="64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11</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特种作业人员管理制度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《中油南充燃气有限责任公司特种作业人员管理制度》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《中油南充燃气有限责任公司特种作业人员管理办法》</w:t>
            </w:r>
          </w:p>
        </w:tc>
      </w:tr>
      <w:tr>
        <w:tblPrEx>
          <w:shd w:val="clear" w:color="auto" w:fill="auto"/>
          <w:tblLayout w:type="fixed"/>
          <w:tblCellMar>
            <w:top w:w="0" w:type="dxa"/>
            <w:left w:w="0" w:type="dxa"/>
            <w:bottom w:w="0" w:type="dxa"/>
            <w:right w:w="0" w:type="dxa"/>
          </w:tblCellMar>
        </w:tblPrEx>
        <w:trPr>
          <w:trHeight w:val="608"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12</w:t>
            </w:r>
          </w:p>
        </w:tc>
        <w:tc>
          <w:tcPr>
            <w:tcW w:w="397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现场安全管理和岗位安全生产标准化操作制度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《中油南充燃气有限责任公司输配气站安全生产管理和安全生产标准化操作制度》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《中油南充燃气有限责任公司输配气站生产技术管理办法》</w:t>
            </w:r>
          </w:p>
        </w:tc>
      </w:tr>
      <w:tr>
        <w:tblPrEx>
          <w:shd w:val="clear" w:color="auto" w:fill="auto"/>
          <w:tblLayout w:type="fixed"/>
          <w:tblCellMar>
            <w:top w:w="0" w:type="dxa"/>
            <w:left w:w="0" w:type="dxa"/>
            <w:bottom w:w="0" w:type="dxa"/>
            <w:right w:w="0" w:type="dxa"/>
          </w:tblCellMar>
        </w:tblPrEx>
        <w:trPr>
          <w:trHeight w:val="62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《中油南充燃气有限责任公司生产运行及维护管理制度》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《中油南充燃气有限责任公司生产运行及维护管理办法》</w:t>
            </w:r>
          </w:p>
        </w:tc>
      </w:tr>
      <w:tr>
        <w:tblPrEx>
          <w:shd w:val="clear" w:color="auto" w:fill="auto"/>
          <w:tblLayout w:type="fixed"/>
          <w:tblCellMar>
            <w:top w:w="0" w:type="dxa"/>
            <w:left w:w="0" w:type="dxa"/>
            <w:bottom w:w="0" w:type="dxa"/>
            <w:right w:w="0" w:type="dxa"/>
          </w:tblCellMar>
        </w:tblPrEx>
        <w:trPr>
          <w:trHeight w:val="64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13</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安全生产会议管理制度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《中油南充燃气有限责任公司安全会议管理制度》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《中油南充燃气有限责任公司安全会议管理制度》</w:t>
            </w:r>
          </w:p>
        </w:tc>
      </w:tr>
      <w:tr>
        <w:tblPrEx>
          <w:shd w:val="clear" w:color="auto" w:fill="auto"/>
          <w:tblLayout w:type="fixed"/>
          <w:tblCellMar>
            <w:top w:w="0" w:type="dxa"/>
            <w:left w:w="0" w:type="dxa"/>
            <w:bottom w:w="0" w:type="dxa"/>
            <w:right w:w="0" w:type="dxa"/>
          </w:tblCellMar>
        </w:tblPrEx>
        <w:trPr>
          <w:trHeight w:val="548"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14</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应急救援预案和应急体系管理制度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《中油南充燃气有限责任公司生产安全事故应急预案和应急体系管理制度》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《中油南充燃气有限责任公司生产安全事故应急预案管理办法》</w:t>
            </w:r>
          </w:p>
        </w:tc>
      </w:tr>
      <w:tr>
        <w:tblPrEx>
          <w:shd w:val="clear" w:color="auto" w:fill="auto"/>
          <w:tblLayout w:type="fixed"/>
          <w:tblCellMar>
            <w:top w:w="0" w:type="dxa"/>
            <w:left w:w="0" w:type="dxa"/>
            <w:bottom w:w="0" w:type="dxa"/>
            <w:right w:w="0" w:type="dxa"/>
          </w:tblCellMar>
        </w:tblPrEx>
        <w:trPr>
          <w:trHeight w:val="534"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15</w:t>
            </w:r>
          </w:p>
        </w:tc>
        <w:tc>
          <w:tcPr>
            <w:tcW w:w="3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生产安全事故报告和调查处理制度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u w:val="none"/>
                <w:lang w:val="en-US" w:eastAsia="zh-CN" w:bidi="ar"/>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《中油南充燃气有限责任公司生产安全事故报告和调查处理制度》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《中油南充燃气有限责任公司事故事件管理办法》</w:t>
            </w:r>
          </w:p>
        </w:tc>
      </w:tr>
      <w:tr>
        <w:tblPrEx>
          <w:shd w:val="clear" w:color="auto" w:fill="auto"/>
          <w:tblLayout w:type="fixed"/>
          <w:tblCellMar>
            <w:top w:w="0" w:type="dxa"/>
            <w:left w:w="0" w:type="dxa"/>
            <w:bottom w:w="0" w:type="dxa"/>
            <w:right w:w="0" w:type="dxa"/>
          </w:tblCellMar>
        </w:tblPrEx>
        <w:trPr>
          <w:trHeight w:val="546"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u w:val="none"/>
              </w:rPr>
            </w:pPr>
            <w:r>
              <w:rPr>
                <w:rFonts w:hint="eastAsia" w:ascii="方正仿宋简体" w:hAnsi="方正仿宋简体" w:eastAsia="方正仿宋简体" w:cs="方正仿宋简体"/>
                <w:b w:val="0"/>
                <w:bCs/>
                <w:i w:val="0"/>
                <w:color w:val="auto"/>
                <w:kern w:val="0"/>
                <w:sz w:val="18"/>
                <w:szCs w:val="18"/>
                <w:u w:val="none"/>
                <w:lang w:val="en-US" w:eastAsia="zh-CN" w:bidi="ar"/>
              </w:rPr>
              <w:t>16</w:t>
            </w:r>
          </w:p>
        </w:tc>
        <w:tc>
          <w:tcPr>
            <w:tcW w:w="397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消防、运输、储存、防灾等其他安全生产规章制度</w:t>
            </w: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《中油南充燃气有限责任公司消防安全管理制度》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《中油南充燃气有限责任公司消防安全管理办法》</w:t>
            </w:r>
          </w:p>
        </w:tc>
      </w:tr>
      <w:tr>
        <w:tblPrEx>
          <w:shd w:val="clear" w:color="auto" w:fill="auto"/>
          <w:tblLayout w:type="fixed"/>
          <w:tblCellMar>
            <w:top w:w="0" w:type="dxa"/>
            <w:left w:w="0" w:type="dxa"/>
            <w:bottom w:w="0" w:type="dxa"/>
            <w:right w:w="0" w:type="dxa"/>
          </w:tblCellMar>
        </w:tblPrEx>
        <w:trPr>
          <w:trHeight w:val="70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《中油南充燃气有限责任公司交通运输安全管理制度》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《中油南充燃气有限责任公司交通安全管理办法》</w:t>
            </w:r>
          </w:p>
        </w:tc>
      </w:tr>
      <w:tr>
        <w:tblPrEx>
          <w:shd w:val="clear" w:color="auto" w:fill="auto"/>
          <w:tblLayout w:type="fixed"/>
          <w:tblCellMar>
            <w:top w:w="0" w:type="dxa"/>
            <w:left w:w="0" w:type="dxa"/>
            <w:bottom w:w="0" w:type="dxa"/>
            <w:right w:w="0" w:type="dxa"/>
          </w:tblCellMar>
        </w:tblPrEx>
        <w:trPr>
          <w:trHeight w:val="70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Style w:val="194"/>
                <w:rFonts w:hint="eastAsia" w:ascii="方正仿宋简体" w:hAnsi="方正仿宋简体" w:eastAsia="方正仿宋简体" w:cs="方正仿宋简体"/>
                <w:b w:val="0"/>
                <w:bCs/>
                <w:color w:val="auto"/>
                <w:sz w:val="18"/>
                <w:szCs w:val="18"/>
                <w:highlight w:val="none"/>
                <w:lang w:val="en-US" w:eastAsia="zh-CN" w:bidi="ar"/>
              </w:rPr>
            </w:pPr>
            <w:r>
              <w:rPr>
                <w:rStyle w:val="194"/>
                <w:rFonts w:hint="eastAsia" w:ascii="方正仿宋简体" w:hAnsi="方正仿宋简体" w:eastAsia="方正仿宋简体" w:cs="方正仿宋简体"/>
                <w:b w:val="0"/>
                <w:bCs/>
                <w:color w:val="auto"/>
                <w:sz w:val="18"/>
                <w:szCs w:val="18"/>
                <w:highlight w:val="none"/>
                <w:lang w:val="en-US" w:eastAsia="zh-CN" w:bidi="ar"/>
              </w:rPr>
              <w:t>《中油南充燃气有限责任公司突发事件应急物资储备管理制度》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Style w:val="194"/>
                <w:rFonts w:hint="eastAsia" w:ascii="方正仿宋简体" w:hAnsi="方正仿宋简体" w:eastAsia="方正仿宋简体" w:cs="方正仿宋简体"/>
                <w:b w:val="0"/>
                <w:bCs/>
                <w:color w:val="auto"/>
                <w:sz w:val="18"/>
                <w:szCs w:val="18"/>
                <w:highlight w:val="none"/>
                <w:lang w:val="en-US" w:eastAsia="zh-CN" w:bidi="ar"/>
              </w:rPr>
              <w:t>《中油南充燃气有限责任公司突发事件应急物资储备管理实施细则》</w:t>
            </w:r>
          </w:p>
        </w:tc>
      </w:tr>
      <w:tr>
        <w:tblPrEx>
          <w:shd w:val="clear" w:color="auto" w:fill="auto"/>
          <w:tblLayout w:type="fixed"/>
          <w:tblCellMar>
            <w:top w:w="0" w:type="dxa"/>
            <w:left w:w="0" w:type="dxa"/>
            <w:bottom w:w="0" w:type="dxa"/>
            <w:right w:w="0" w:type="dxa"/>
          </w:tblCellMar>
        </w:tblPrEx>
        <w:trPr>
          <w:trHeight w:val="508"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u w:val="none"/>
              </w:rPr>
            </w:pPr>
          </w:p>
        </w:tc>
        <w:tc>
          <w:tcPr>
            <w:tcW w:w="3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方正仿宋简体" w:hAnsi="方正仿宋简体" w:eastAsia="方正仿宋简体" w:cs="方正仿宋简体"/>
                <w:b w:val="0"/>
                <w:bCs/>
                <w:i w:val="0"/>
                <w:color w:val="auto"/>
                <w:sz w:val="18"/>
                <w:szCs w:val="18"/>
                <w:highlight w:val="none"/>
                <w:u w:val="none"/>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kern w:val="0"/>
                <w:sz w:val="18"/>
                <w:szCs w:val="18"/>
                <w:highlight w:val="none"/>
                <w:u w:val="none"/>
                <w:lang w:val="en-US" w:eastAsia="zh-CN" w:bidi="ar"/>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《中油南充燃气有限责任公司自然灾害防治管理制度》</w:t>
            </w:r>
          </w:p>
        </w:tc>
        <w:tc>
          <w:tcPr>
            <w:tcW w:w="56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方正仿宋简体" w:hAnsi="方正仿宋简体" w:eastAsia="方正仿宋简体" w:cs="方正仿宋简体"/>
                <w:b w:val="0"/>
                <w:bCs/>
                <w:i w:val="0"/>
                <w:color w:val="auto"/>
                <w:sz w:val="18"/>
                <w:szCs w:val="18"/>
                <w:highlight w:val="none"/>
                <w:u w:val="none"/>
              </w:rPr>
            </w:pPr>
            <w:r>
              <w:rPr>
                <w:rFonts w:hint="eastAsia" w:ascii="方正仿宋简体" w:hAnsi="方正仿宋简体" w:eastAsia="方正仿宋简体" w:cs="方正仿宋简体"/>
                <w:b w:val="0"/>
                <w:bCs/>
                <w:i w:val="0"/>
                <w:color w:val="auto"/>
                <w:kern w:val="0"/>
                <w:sz w:val="18"/>
                <w:szCs w:val="18"/>
                <w:highlight w:val="none"/>
                <w:u w:val="none"/>
                <w:lang w:val="en-US" w:eastAsia="zh-CN" w:bidi="ar"/>
              </w:rPr>
              <w:t>《中油南充燃气有限责任公司自然灾害防治管理办法》</w:t>
            </w:r>
          </w:p>
        </w:tc>
      </w:tr>
    </w:tbl>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textAlignment w:val="baseline"/>
        <w:outlineLvl w:val="9"/>
        <w:rPr>
          <w:rFonts w:hint="eastAsia" w:ascii="方正仿宋简体" w:hAnsi="方正仿宋简体" w:eastAsia="方正仿宋简体" w:cs="方正仿宋简体"/>
          <w:b w:val="0"/>
          <w:bCs/>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简体" w:eastAsia="方正仿宋简体"/>
          <w:color w:val="auto"/>
          <w:sz w:val="28"/>
          <w:szCs w:val="28"/>
          <w:highlight w:val="none"/>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CG Times (WN)">
    <w:altName w:val="Times New Roman"/>
    <w:panose1 w:val="00000000000000000000"/>
    <w:charset w:val="00"/>
    <w:family w:val="roma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大黑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18030">
    <w:altName w:val="宋体"/>
    <w:panose1 w:val="02010609060101010101"/>
    <w:charset w:val="86"/>
    <w:family w:val="modern"/>
    <w:pitch w:val="default"/>
    <w:sig w:usb0="00000000" w:usb1="00000000" w:usb2="000A005E" w:usb3="00000000" w:csb0="00040001" w:csb1="00000000"/>
  </w:font>
  <w:font w:name="方正书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
    <w:altName w:val="Segoe Print"/>
    <w:panose1 w:val="00000000000000000000"/>
    <w:charset w:val="00"/>
    <w:family w:val="auto"/>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9"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amqMcBAABuAwAADgAAAGRycy9lMm9Eb2MueG1srVPBjtMwEL0j8Q+W&#10;7zTZoEXdqOkKtFqEhABp4QNcx24s2R5r7DYpHwB/wIkLd76r38HYbboIboiLM/bMvHlvZrK6nZxl&#10;e4XRgO/41aLmTHkJvfHbjn/6eP9syVlMwvfCglcdP6jIb9dPn6zG0KoGBrC9QkYgPrZj6PiQUmir&#10;KspBOREXEJQnpwZ0ItEVt1WPYiR0Z6umrl9UI2AfEKSKkV7vTk6+LvhaK5neax1VYrbjxC2VE8u5&#10;yWe1Xol2iyIMRp5piH9g4YTxVPQCdSeSYDs0f0E5IxEi6LSQ4CrQ2khVNJCaq/oPNQ+DCKpooebE&#10;cGlT/H+w8t3+AzLT0+zqhjMvHA3p+O3r8fvP448v7PlN7tAYYkuBD4FC0/QKJoqe3yM9ZuGTRpe/&#10;JImRn3p9uPRXTYnJnLRslsuaXJJ884Xwq8f0gDG9VuBYNjqONMDSV7F/G9MpdA7J1TzcG2vLEK1n&#10;Y8dvrpvrknDxELj1VCOLOJHNVpo201nZBvoDCaMlpoID4GfORlqIjnvaWM7sG0/9zrszGzgbm9kQ&#10;XlJixxNnu4BmO5Q9ywRjeLlLRLJwz4VP1c58aKhF/XkB89b8fi9Rj7/J+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tamqMcBAABuAwAADgAAAAAAAAABACAAAAAeAQAAZHJzL2Uyb0RvYy54&#10;bWxQSwUGAAAAAAYABgBZAQAAVwU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475</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Style w:val="46"/>
        <w:rFonts w:hint="eastAsia" w:ascii="宋体" w:hAnsi="宋体"/>
        <w:sz w:val="28"/>
        <w:szCs w:val="28"/>
      </w:rPr>
    </w:pPr>
    <w:r>
      <w:rPr>
        <w:sz w:val="2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RgTccBAABuAwAADgAAAGRycy9lMm9Eb2MueG1srVPBjtMwEL0j8Q+W&#10;7zTZwqIS1V2BVouQECAtfIDrOI0l22ON3SblA+APOHHhznf1Oxi7TbtaboiLM/bMvHlvZrK8GZ1l&#10;O43RgBf8alZzpr2C1viN4F8+3z1bcBaT9K204LXgex35zerpk+UQGj2HHmyrkRGIj80QBO9TCk1V&#10;RdVrJ+MMgvbk7ACdTHTFTdWiHAjd2Wpe1y+rAbANCErHSK+3RydfFfyu0yp97LqoE7OCE7dUTizn&#10;Op/VaimbDcrQG3WiIf+BhZPGU9Ez1K1Mkm3R/AXljEKI0KWZAldB1xmliwZSc1U/UnPfy6CLFmpO&#10;DOc2xf8Hqz7sPiEzLc2ufs6Zl46GdPjx/fDz9+HXN/aidGgIsaHA+0ChaXwDI0XnzuX3SI9Z+Nih&#10;y1+SxMhPvd6f+6vHxFROWswXi5pcinzThXCqS3rAmN5qcCwbgiMNsPRV7t7HdAydQnI1D3fG2jJE&#10;69kg+Kvr+XVJOHsI3HqqcSGbrTSux5OCNbR7EkZLTAV7wK+cDbQQgnvaWM7sO0/9zrszGTgZ68mQ&#10;XlGi4ImzbUCz6cueZYIxvN4mIlm458LHaic+NNSi/rSAeWse3kvU5Td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TtRgTccBAABuAwAADgAAAAAAAAABACAAAAAeAQAAZHJzL2Uyb0RvYy54&#10;bWxQSwUGAAAAAAYABgBZAQAAVwU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605</w:t>
                    </w:r>
                    <w:r>
                      <w:rPr>
                        <w:rFonts w:hint="eastAsia"/>
                        <w:lang w:eastAsia="zh-CN"/>
                      </w:rPr>
                      <w:fldChar w:fldCharType="end"/>
                    </w:r>
                  </w:p>
                </w:txbxContent>
              </v:textbox>
            </v:shape>
          </w:pict>
        </mc:Fallback>
      </mc:AlternateContent>
    </w:r>
  </w:p>
  <w:p>
    <w:pPr>
      <w:pStyle w:val="28"/>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Style w:val="46"/>
      </w:rPr>
    </w:pPr>
    <w:r>
      <w:rPr>
        <w:rFonts w:hint="eastAsia"/>
        <w:sz w:val="22"/>
      </w:rPr>
      <w:t>·</w:t>
    </w:r>
    <w:r>
      <w:rPr>
        <w:b/>
        <w:bCs/>
        <w:sz w:val="22"/>
      </w:rPr>
      <w:fldChar w:fldCharType="begin"/>
    </w:r>
    <w:r>
      <w:rPr>
        <w:rStyle w:val="46"/>
        <w:b/>
        <w:bCs/>
        <w:sz w:val="22"/>
      </w:rPr>
      <w:instrText xml:space="preserve">PAGE  </w:instrText>
    </w:r>
    <w:r>
      <w:rPr>
        <w:b/>
        <w:bCs/>
        <w:sz w:val="22"/>
      </w:rPr>
      <w:fldChar w:fldCharType="separate"/>
    </w:r>
    <w:r>
      <w:rPr>
        <w:rStyle w:val="46"/>
        <w:b/>
        <w:bCs/>
        <w:sz w:val="22"/>
      </w:rPr>
      <w:t>2072</w:t>
    </w:r>
    <w:r>
      <w:rPr>
        <w:b/>
        <w:bCs/>
        <w:sz w:val="22"/>
      </w:rPr>
      <w:fldChar w:fldCharType="end"/>
    </w:r>
    <w:r>
      <w:rPr>
        <w:rFonts w:hint="eastAsia"/>
        <w:sz w:val="22"/>
      </w:rPr>
      <w:t>·</w:t>
    </w:r>
  </w:p>
  <w:p>
    <w:pPr>
      <w:pStyle w:val="28"/>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Style w:val="46"/>
      </w:rPr>
    </w:pPr>
    <w:r>
      <w:fldChar w:fldCharType="begin"/>
    </w:r>
    <w:r>
      <w:rPr>
        <w:rStyle w:val="46"/>
      </w:rPr>
      <w:instrText xml:space="preserve">PAGE  </w:instrText>
    </w:r>
    <w:r>
      <w:fldChar w:fldCharType="separate"/>
    </w:r>
    <w:r>
      <w:rPr>
        <w:rStyle w:val="46"/>
      </w:rPr>
      <w:t>5</w:t>
    </w:r>
    <w: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tJZMgBAABtAwAADgAAAGRycy9lMm9Eb2MueG1srVPBbhMxEL0j8Q+W&#10;72S3qVqFVTYVqCpCQoBU+ADHa2ct2R5r7GQ3fAD8AScu3PmufEfHTjZF9FZx8Y49M2/em5ld3ozO&#10;sp3CaMC3/GJWc6a8hM74Tcu/frl7teAsJuE7YcGrlu9V5Derly+WQ2jUHHqwnUJGID42Q2h5n1Jo&#10;qirKXjkRZxCUJ6cGdCLRFTdVh2IgdGereV1fVwNgFxCkipFeb49Ovir4WiuZPmkdVWK25cQtlRPL&#10;uc5ntVqKZoMi9EaeaIhnsHDCeCp6hroVSbAtmidQzkiECDrNJLgKtDZSFQ2k5qL+R819L4IqWqg5&#10;MZzbFP8frPy4+4zMdC1/fc2ZF45mdPj54/Drz+H3d3Z5mRs0hNhQ3H2gyDS+hZEGPb1Hesy6R40u&#10;f0kRIz+1en9urxoTkzlpMV8sanJJ8k0Xwq8e0wPG9E6BY9loOdL8SlvF7kNMx9ApJFfzcGesLTO0&#10;ng0k4mp+VRLOHgK3nmpkEUey2UrjejwpW0O3J2G0w1SwB/zG2UD70HJPC8uZfe+p3Xl1JgMnYz0Z&#10;wktKbHnibBvQbPqyZplgDG+2iUgW7rnwsdqJD820qD/tX16av+8l6vEvWT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hrSWTIAQAAbQMAAA4AAAAAAAAAAQAgAAAAHgEAAGRycy9lMm9Eb2Mu&#10;eG1sUEsFBgAAAAAGAAYAWQEAAFgFA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GrccgBAABtAwAADgAAAGRycy9lMm9Eb2MueG1srVPBjtMwEL0j8Q+W&#10;7zTZwkI3qrsCrRYhIUBa+ADXcRpLtscau03KB8AfcOLCfb+r38HYbboruCEuztgz8+a9mcnyenSW&#10;7TRGA17wi1nNmfYKWuM3gn/5fPtswVlM0rfSgteC73Xk16unT5ZDaPQcerCtRkYgPjZDELxPKTRV&#10;FVWvnYwzCNqTswN0MtEVN1WLciB0Z6t5Xb+sBsA2ICgdI73eHJ18VfC7Tqv0seuiTswKTtxSObGc&#10;63xWq6VsNihDb9SJhvwHFk4aT0XPUDcySbZF8xeUMwohQpdmClwFXWeULhpIzUX9h5q7XgZdtFBz&#10;Yji3Kf4/WPVh9wmZaQW/esWZl45mdPjx/fDz/vDrG3v+IjdoCLGhuLtAkWl8AyMNenqP9Jh1jx26&#10;/CVFjPzU6v25vXpMTOWkxXyxqMmlyDddCL96SA8Y01sNjmVDcKT5lbbK3fuYjqFTSK7m4dZYW2Zo&#10;PRtIxOX8siScPQRuPdXIIo5ks5XG9XhStoZ2T8Joh6lgD/iVs4H2QXBPC8uZfeep3Xl1JgMnYz0Z&#10;0itKFDxxtg1oNn1Zs0wwhtfbRCQL91z4WO3Eh2Za1J/2Ly/N43uJevhL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IRq3HIAQAAbQMAAA4AAAAAAAAAAQAgAAAAHgEAAGRycy9lMm9Eb2Mu&#10;eG1sUEsFBgAAAAAGAAYAWQEAAFgFA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NGC8cBAABtAwAADgAAAGRycy9lMm9Eb2MueG1srVPBjtMwEL0j8Q+W&#10;7zTZoqISNV2BVouQECAtfIDr2I0l22ON3SblA+APOHHhznf1O3bsNl3E3lZcnLFn5s17M5PV9egs&#10;2yuMBnzLr2Y1Z8pL6Izftvzrl9sXS85iEr4TFrxq+UFFfr1+/mw1hEbNoQfbKWQE4mMzhJb3KYWm&#10;qqLslRNxBkF5cmpAJxJdcVt1KAZCd7aa1/WragDsAoJUMdLrzcnJ1wVfayXTJ62jSsy2nLilcmI5&#10;N/ms1ivRbFGE3sgzDfEEFk4YT0UvUDciCbZD8wjKGYkQQaeZBFeB1kaqooHUXNX/qLnrRVBFCzUn&#10;hkub4v+DlR/3n5GZruWvaVJeOJrR8eeP468/x9/f2ctFbtAQYkNxd4Ei0/gWRhr09B7pMeseNbr8&#10;JUWM/NTqw6W9akxM5qTlfLmsySXJN10Iv3pIDxjTOwWOZaPlSPMrbRX7DzGdQqeQXM3DrbG2zNB6&#10;NpCIxXxREi4eAreeamQRJ7LZSuNmPCvbQHcgYbTDVLAH/MbZQPvQck8Ly5l976ndeXUmAydjMxnC&#10;S0pseeJsF9Bs+7JmmWAMb3aJSBbuufCp2pkPzbSoP+9fXpq/7yXq4S9Z3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4eNGC8cBAABtAwAADgAAAAAAAAABACAAAAAeAQAAZHJzL2Uyb0RvYy54&#10;bWxQSwUGAAAAAAYABgBZAQAAVwU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eastAsia="Times New Roman"/>
        <w:sz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Z/bcgBAABtAwAADgAAAGRycy9lMm9Eb2MueG1srVPBbhMxEL0j8Q+W&#10;72S3Qa3SVZwKVBUhIUAqfIDj9WYt2R5r7GQ3fAD8AScu3PmufEfHTjZF9FZx8Y49M2/em5ld3ozO&#10;sp3GaMALfjGrOdNeQWv8RvCvX+5eLTiLSfpWWvBa8L2O/Gb18sVyCI2eQw+21cgIxMdmCIL3KYWm&#10;qqLqtZNxBkF7cnaATia64qZqUQ6E7mw1r+uragBsA4LSMdLr7dHJVwW/67RKn7ou6sSs4MQtlRPL&#10;uc5ntVrKZoMy9EadaMhnsHDSeCp6hrqVSbItmidQziiECF2aKXAVdJ1RumggNRf1P2ruexl00ULN&#10;ieHcpvj/YNXH3WdkphX8+pozLx3N6PDzx+HXn8Pv7+z1VW7QEGJDcfeBItP4FkYa9PQe6THrHjt0&#10;+UuKGPmp1ftze/WYmMpJi/liUZNLkW+6EH71mB4wpncaHMuG4EjzK22Vuw8xHUOnkFzNw52xtszQ&#10;ejaQiMv5ZUk4ewjceqqRRRzJZiuN6/GkbA3tnoTRDlPBHvAbZwPtg+CeFpYz+95Tu/PqTAZOxnoy&#10;pFeUKHjibBvQbPqyZplgDG+2iUgW7rnwsdqJD820qD/tX16av+8l6vEvWT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52f23IAQAAbQMAAA4AAAAAAAAAAQAgAAAAHgEAAGRycy9lMm9Eb2Mu&#10;eG1sUEsFBgAAAAAGAAYAWQEAAFgFA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iNig8cBAABuAwAADgAAAGRycy9lMm9Eb2MueG1srVPBjtMwEL0j8Q+W&#10;7zTZrhZKVHfFarWrlRAgLXyA6ziNJdtjjd0m5QPgDzhx4c539TsYu00XwQ1xccaemTfvzUyW16Oz&#10;bKcxGvCCX8xqzrRX0Bq/EfzTx7sXC85ikr6VFrwWfK8jv149f7YcQqPn0INtNTIC8bEZguB9SqGp&#10;qqh67WScQdCenB2gk4muuKlalAOhO1vN6/plNQC2AUHpGOn19ujkq4LfdVql910XdWJWcOKWyonl&#10;XOezWi1ls0EZeqNONOQ/sHDSeCp6hrqVSbItmr+gnFEIEbo0U+Aq6DqjdNFAai7qP9Q89jLoooWa&#10;E8O5TfH/wap3uw/ITEuzq6k/Xjoa0uHb18P3n4cfX9jlq9yhIcSGAh8DhabxBkaKnt4jPWbhY4cu&#10;f0kSIz9h7c/91WNiKict5otFLqPIN10Iv3pKDxjTvQbHsiE40gBLX+XubUzH0CkkV/NwZ6wtQ7Se&#10;DYK/vppflYSzh8CtpxpZxJFsttK4Hk/K1tDuSRgtMRXsAT9zNtBCCO5pYzmzD576nXdnMnAy1pMh&#10;vaJEwRNn24Bm05c9ywRjeLNNRLJwz4WP1U58aKhF/WkB89b8fi9RT7/J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BiNig8cBAABuAwAADgAAAAAAAAABACAAAAAeAQAAZHJzL2Uyb0RvYy54&#10;bWxQSwUGAAAAAAYABgBZAQAAVwU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fldChar w:fldCharType="begin"/>
    </w:r>
    <w:r>
      <w:rPr>
        <w:rStyle w:val="46"/>
      </w:rPr>
      <w:instrText xml:space="preserve">PAGE  </w:instrText>
    </w:r>
    <w:r>
      <w:fldChar w:fldCharType="end"/>
    </w:r>
  </w:p>
  <w:p>
    <w:pPr>
      <w:pStyle w:val="2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Y3ccgBAABuAwAADgAAAGRycy9lMm9Eb2MueG1srVPNbhMxEL4j8Q6W&#10;72Q3qYqWVZyKqipCQoBUeADHa2ct+U9jJ7vhAeANOHHhznPlOTp2smnV3iou3rFn5pvvm5ldXo3W&#10;kJ2EqL1jdD6rKZFO+E67DaPfv92+aSiJibuOG+8ko3sZ6dXq9avlEFq58L03nQSCIC62Q2C0Tym0&#10;VRVFLy2PMx+kQ6fyYHnCK2yqDviA6NZUi7p+Ww0eugBeyBjx9ebopKuCr5QU6YtSUSZiGEVuqZxQ&#10;znU+q9WStxvgodfiRIO/gIXl2mHRM9QNT5xsQT+DslqAj16lmfC28kppIYsGVDOvn6i563mQRQs2&#10;J4Zzm+L/gxWfd1+B6A5nV88pcdzikA6/fx3+/Dv8/UkumtyhIcQWA+8Chqbx2o8YPb1HfMzCRwU2&#10;f1ESQT/2en/urxwTETmpWTRNjS6BvumC+NVDeoCYPkhvSTYYBRxg6SvffYrpGDqF5GrO32pjyhCN&#10;IwOj7y4XlyXh7EFw47BGFnEkm600rseTsrXv9igMlxgL9h5+UDLgQjDqcGMpMR8d9jvvzmTAZKwn&#10;gzuBiYwmSrYB9KYve5YJxvB+m5Bk4Z4LH6ud+OBQi/rTAuateXwvUQ+/ye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aGN3HIAQAAbgMAAA4AAAAAAAAAAQAgAAAAHgEAAGRycy9lMm9Eb2Mu&#10;eG1sUEsFBgAAAAAGAAYAWQEAAFgFAAAAAA==&#10;">
              <v:fill on="f" focussize="0,0"/>
              <v:stroke on="f"/>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412</w:t>
                    </w:r>
                    <w:r>
                      <w:rPr>
                        <w:rFonts w:hint="eastAsia"/>
                        <w:lang w:eastAsia="zh-CN"/>
                      </w:rPr>
                      <w:fldChar w:fldCharType="end"/>
                    </w:r>
                  </w:p>
                </w:txbxContent>
              </v:textbox>
            </v:shape>
          </w:pict>
        </mc:Fallback>
      </mc:AlternateContent>
    </w:r>
  </w:p>
  <w:p>
    <w:pPr>
      <w:pStyle w:val="2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fldChar w:fldCharType="begin"/>
    </w:r>
    <w:r>
      <w:rPr>
        <w:rStyle w:val="46"/>
      </w:rPr>
      <w:instrText xml:space="preserve">PAGE  </w:instrText>
    </w:r>
    <w:r>
      <w:fldChar w:fldCharType="separate"/>
    </w:r>
    <w:r>
      <w:rPr>
        <w:rStyle w:val="46"/>
      </w:rPr>
      <w:t>3</w:t>
    </w:r>
    <w:r>
      <w:fldChar w:fldCharType="end"/>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97155</wp:posOffset>
              </wp:positionV>
              <wp:extent cx="5760085" cy="184150"/>
              <wp:effectExtent l="0" t="0" r="0" b="0"/>
              <wp:wrapNone/>
              <wp:docPr id="90" name="组合 1"/>
              <wp:cNvGraphicFramePr/>
              <a:graphic xmlns:a="http://schemas.openxmlformats.org/drawingml/2006/main">
                <a:graphicData uri="http://schemas.microsoft.com/office/word/2010/wordprocessingGroup">
                  <wpg:wgp>
                    <wpg:cNvGrpSpPr/>
                    <wpg:grpSpPr>
                      <a:xfrm>
                        <a:off x="0" y="0"/>
                        <a:ext cx="5760085" cy="184150"/>
                        <a:chOff x="1418" y="1291"/>
                        <a:chExt cx="9071" cy="290"/>
                      </a:xfrm>
                    </wpg:grpSpPr>
                    <wps:wsp>
                      <wps:cNvPr id="88" name="矩形 2"/>
                      <wps:cNvSpPr/>
                      <wps:spPr>
                        <a:xfrm>
                          <a:off x="2262" y="1291"/>
                          <a:ext cx="7596" cy="290"/>
                        </a:xfrm>
                        <a:prstGeom prst="rect">
                          <a:avLst/>
                        </a:prstGeom>
                        <a:noFill/>
                        <a:ln>
                          <a:noFill/>
                        </a:ln>
                      </wps:spPr>
                      <wps:txbx>
                        <w:txbxContent>
                          <w:p>
                            <w:pPr>
                              <w:pStyle w:val="140"/>
                              <w:spacing w:line="240" w:lineRule="auto"/>
                              <w:rPr>
                                <w:rFonts w:ascii="Times New Roman" w:hAnsi="Times New Roman"/>
                              </w:rPr>
                            </w:pPr>
                            <w:r>
                              <w:rPr>
                                <w:rFonts w:hint="eastAsia" w:ascii="Times New Roman" w:hAnsi="Times New Roman"/>
                              </w:rPr>
                              <w:t>重大危险源管理办法</w:t>
                            </w:r>
                          </w:p>
                        </w:txbxContent>
                      </wps:txbx>
                      <wps:bodyPr wrap="square" lIns="54000" tIns="0" rIns="54000" bIns="0" upright="1"/>
                    </wps:wsp>
                    <wps:wsp>
                      <wps:cNvPr id="89" name="直线 3"/>
                      <wps:cNvCnPr/>
                      <wps:spPr>
                        <a:xfrm>
                          <a:off x="1418" y="1581"/>
                          <a:ext cx="9071" cy="0"/>
                        </a:xfrm>
                        <a:prstGeom prst="line">
                          <a:avLst/>
                        </a:prstGeom>
                        <a:ln w="15875"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0pt;margin-top:7.65pt;height:14.5pt;width:453.55pt;z-index:251658240;mso-width-relative:page;mso-height-relative:page;" coordorigin="1418,1291" coordsize="9071,290" o:gfxdata="UEsDBAoAAAAAAIdO4kAAAAAAAAAAAAAAAAAEAAAAZHJzL1BLAwQUAAAACACHTuJAjnqP+tcAAAAG&#10;AQAADwAAAGRycy9kb3ducmV2LnhtbE2PzU7DMBCE70i8g7VI3Kht0vIT4lSoAk4VEi0S4ubG2yRq&#10;vI5iN2nfnuUEx50ZzXxbLE++EyMOsQ1kQM8UCKQquJZqA5/b15sHEDFZcrYLhAbOGGFZXl4UNndh&#10;og8cN6kWXEIxtwaalPpcylg16G2chR6JvX0YvE18DrV0g5243HfyVqk76W1LvNDYHlcNVofN0Rt4&#10;m+z0nOmXcX3Yr87f28X711qjMddXWj2BSHhKf2H4xWd0KJlpF47kougM8COJ1UUGgt1Hda9B7AzM&#10;5xnIspD/8csfUEsDBBQAAAAIAIdO4kB2ailkrwIAAGAGAAAOAAAAZHJzL2Uyb0RvYy54bWy9Vctu&#10;EzEU3SPxD5b3dB508hh10kVfQkJQqfABjsfzkDy2sZ1MsmfBkj0LpO7YswIhvqbqb3DtzEyatJVQ&#10;kcjCsa+vr+8951zP0fGq4WjJtKmlyHB0EGLEBJV5LcoMv393/mKCkbFE5IRLwTK8ZgYfz54/O2pV&#10;ymJZSZ4zjSCIMGmrMlxZq9IgMLRiDTEHUjEBm4XUDbGw1GWQa9JC9IYHcRiOglbqXGlJmTFgPd1s&#10;4pmPXxSM2rdFYZhFPMOQm/Wj9uPcjcHsiKSlJqqqaZcGeUIWDakFXDqEOiWWoIWu74VqaqqlkYU9&#10;oLIJZFHUlPkaoJoo3KvmQsuF8rWUaVuqASaAdg+nJ4elb5aXGtV5hqcAjyANcHT78+PN508ocuC0&#10;qkzB50KrK3WpO0O5Wbl6V4Vu3D9UglYe1vUAK1tZRMGYjEdhOEkworAXTQ6jpMOdVkCOOxYdRqAT&#10;txtP/bUkpdVZd3wajqPN2RhyhBSC/trAZTck0yqQkNmiZP4NpauKKObBNw6BDqUJ5Nmh9PXbza9r&#10;FG9Q8j4DRCY1gNYD+MTxKN4rtEdpnExHD5dJUqWNvWCyQW6SYQ2y9mojy9fGbhDpXdylQp7XnIOd&#10;pFzsGAA6ZwHg+hTdzK7mK0+tSecyX0OpLXREhs2HBdEMI/5KAJjJYRi6FvILmOi71nlvXShdlxUk&#10;6Xn0FwEpTkj/g53pwM6X77c/fqOXd9g5EZ2A+9J7GQ3q3cowmXQy7NnZinBXgve44bVwqiHpI9xw&#10;gVoAJ5mMXUM4lAtOLEwbBU1oROkPG8nr3JHoIhldzk+4RkviHjH/69pgx80p4JSYauPnt5wbSStG&#10;8jORI7tW0N0C3mHscmhYDtQyeLbdzHtaUvO/8XxYRp12HlOA71Z4xnwDd0+ueyfvrr00tx+G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Oeo/61wAAAAYBAAAPAAAAAAAAAAEAIAAAACIAAABkcnMv&#10;ZG93bnJldi54bWxQSwECFAAUAAAACACHTuJAdmopZK8CAABgBgAADgAAAAAAAAABACAAAAAmAQAA&#10;ZHJzL2Uyb0RvYy54bWxQSwUGAAAAAAYABgBZAQAARwYAAAAA&#10;">
              <o:lock v:ext="edit" aspectratio="f"/>
              <v:rect id="矩形 2" o:spid="_x0000_s1026" o:spt="1" style="position:absolute;left:2262;top:1291;height:290;width:7596;" filled="f" stroked="f" coordsize="21600,21600" o:gfxdata="UEsDBAoAAAAAAIdO4kAAAAAAAAAAAAAAAAAEAAAAZHJzL1BLAwQUAAAACACHTuJAfTikK7kAAADb&#10;AAAADwAAAGRycy9kb3ducmV2LnhtbEVPz2vCMBS+D/wfwhN2GTZ1Aym1UXBsULytK3h9NM+m2LzU&#10;Jtr63y8HYceP73exn20v7jT6zrGCdZKCIG6c7rhVUP9+rzIQPiBr7B2Tggd52O8WLwXm2k38Q/cq&#10;tCKGsM9RgQlhyKX0jSGLPnEDceTObrQYIhxbqUecYrjt5XuabqTFjmODwYE+DTWX6mYVXOvm7XHB&#10;TfXx5Y716VCSn81NqdflOt2CCDSHf/HTXWoFWRwbv8Qf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4pCu5AAAA2wAA&#10;AA8AAAAAAAAAAQAgAAAAIgAAAGRycy9kb3ducmV2LnhtbFBLAQIUABQAAAAIAIdO4kAzLwWeOwAA&#10;ADkAAAAQAAAAAAAAAAEAIAAAAAgBAABkcnMvc2hhcGV4bWwueG1sUEsFBgAAAAAGAAYAWwEAALID&#10;AAAAAA==&#10;">
                <v:fill on="f" focussize="0,0"/>
                <v:stroke on="f"/>
                <v:imagedata o:title=""/>
                <o:lock v:ext="edit" aspectratio="f"/>
                <v:textbox inset="1.5mm,0mm,1.5mm,0mm">
                  <w:txbxContent>
                    <w:p>
                      <w:pPr>
                        <w:pStyle w:val="140"/>
                        <w:spacing w:line="240" w:lineRule="auto"/>
                        <w:rPr>
                          <w:rFonts w:ascii="Times New Roman" w:hAnsi="Times New Roman"/>
                        </w:rPr>
                      </w:pPr>
                      <w:r>
                        <w:rPr>
                          <w:rFonts w:hint="eastAsia" w:ascii="Times New Roman" w:hAnsi="Times New Roman"/>
                        </w:rPr>
                        <w:t>重大危险源管理办法</w:t>
                      </w:r>
                    </w:p>
                  </w:txbxContent>
                </v:textbox>
              </v:rect>
              <v:line id="直线 3" o:spid="_x0000_s1026" o:spt="20" style="position:absolute;left:1418;top:1581;height:0;width:9071;" filled="f" stroked="t" coordsize="21600,21600" o:gfxdata="UEsDBAoAAAAAAIdO4kAAAAAAAAAAAAAAAAAEAAAAZHJzL1BLAwQUAAAACACHTuJAgv/GuLoAAADb&#10;AAAADwAAAGRycy9kb3ducmV2LnhtbEWPzQrCMBCE74LvEFbwpqki/lSjiCB4UbH6AEuztsVmU5r4&#10;U5/eCILHYWa+YRarlynFg2pXWFYw6EcgiFOrC84UXM7b3hSE88gaS8ukoCEHq2W7tcBY2yef6JH4&#10;TAQIuxgV5N5XsZQuzcmg69uKOHhXWxv0QdaZ1DU+A9yUchhFY2mw4LCQY0WbnNJbcjcKTht7mKyr&#10;0XF38Pvr5P1uKM0apbqdQTQH4enl/+Ffe6cVTGf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8a4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E64A1"/>
    <w:multiLevelType w:val="singleLevel"/>
    <w:tmpl w:val="898E64A1"/>
    <w:lvl w:ilvl="0" w:tentative="0">
      <w:start w:val="1"/>
      <w:numFmt w:val="decimal"/>
      <w:lvlText w:val="%1."/>
      <w:lvlJc w:val="left"/>
      <w:pPr>
        <w:tabs>
          <w:tab w:val="left" w:pos="312"/>
        </w:tabs>
      </w:pPr>
    </w:lvl>
  </w:abstractNum>
  <w:abstractNum w:abstractNumId="1">
    <w:nsid w:val="A33A6549"/>
    <w:multiLevelType w:val="singleLevel"/>
    <w:tmpl w:val="A33A6549"/>
    <w:lvl w:ilvl="0" w:tentative="0">
      <w:start w:val="1"/>
      <w:numFmt w:val="chineseCounting"/>
      <w:suff w:val="space"/>
      <w:lvlText w:val="第%1节"/>
      <w:lvlJc w:val="left"/>
      <w:rPr>
        <w:rFonts w:hint="eastAsia"/>
      </w:rPr>
    </w:lvl>
  </w:abstractNum>
  <w:abstractNum w:abstractNumId="2">
    <w:nsid w:val="ABC67065"/>
    <w:multiLevelType w:val="singleLevel"/>
    <w:tmpl w:val="ABC67065"/>
    <w:lvl w:ilvl="0" w:tentative="0">
      <w:start w:val="1"/>
      <w:numFmt w:val="chineseCounting"/>
      <w:suff w:val="space"/>
      <w:lvlText w:val="第%1章"/>
      <w:lvlJc w:val="left"/>
      <w:rPr>
        <w:rFonts w:hint="eastAsia"/>
      </w:rPr>
    </w:lvl>
  </w:abstractNum>
  <w:abstractNum w:abstractNumId="3">
    <w:nsid w:val="C245FAC8"/>
    <w:multiLevelType w:val="singleLevel"/>
    <w:tmpl w:val="C245FAC8"/>
    <w:lvl w:ilvl="0" w:tentative="0">
      <w:start w:val="1"/>
      <w:numFmt w:val="chineseCounting"/>
      <w:suff w:val="space"/>
      <w:lvlText w:val="第%1章"/>
      <w:lvlJc w:val="left"/>
      <w:rPr>
        <w:rFonts w:hint="eastAsia"/>
      </w:rPr>
    </w:lvl>
  </w:abstractNum>
  <w:abstractNum w:abstractNumId="4">
    <w:nsid w:val="F0CA4F30"/>
    <w:multiLevelType w:val="singleLevel"/>
    <w:tmpl w:val="F0CA4F30"/>
    <w:lvl w:ilvl="0" w:tentative="0">
      <w:start w:val="1"/>
      <w:numFmt w:val="chineseCounting"/>
      <w:suff w:val="nothing"/>
      <w:lvlText w:val="（%1）"/>
      <w:lvlJc w:val="left"/>
      <w:rPr>
        <w:rFonts w:hint="eastAsia"/>
      </w:rPr>
    </w:lvl>
  </w:abstractNum>
  <w:abstractNum w:abstractNumId="5">
    <w:nsid w:val="FC4168A7"/>
    <w:multiLevelType w:val="singleLevel"/>
    <w:tmpl w:val="FC4168A7"/>
    <w:lvl w:ilvl="0" w:tentative="0">
      <w:start w:val="4"/>
      <w:numFmt w:val="chineseCounting"/>
      <w:suff w:val="space"/>
      <w:lvlText w:val="第%1章"/>
      <w:lvlJc w:val="left"/>
      <w:rPr>
        <w:rFonts w:hint="eastAsia"/>
      </w:rPr>
    </w:lvl>
  </w:abstractNum>
  <w:abstractNum w:abstractNumId="6">
    <w:nsid w:val="00000005"/>
    <w:multiLevelType w:val="multilevel"/>
    <w:tmpl w:val="00000005"/>
    <w:lvl w:ilvl="0" w:tentative="0">
      <w:start w:val="1"/>
      <w:numFmt w:val="decimal"/>
      <w:suff w:val="nothing"/>
      <w:lvlText w:val="%1、"/>
      <w:lvlJc w:val="left"/>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06"/>
    <w:multiLevelType w:val="multilevel"/>
    <w:tmpl w:val="00000006"/>
    <w:lvl w:ilvl="0" w:tentative="0">
      <w:start w:val="1"/>
      <w:numFmt w:val="decimal"/>
      <w:lvlText w:val="%1."/>
      <w:lvlJc w:val="left"/>
      <w:pPr>
        <w:ind w:left="1130"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8">
    <w:nsid w:val="0000000F"/>
    <w:multiLevelType w:val="singleLevel"/>
    <w:tmpl w:val="0000000F"/>
    <w:lvl w:ilvl="0" w:tentative="0">
      <w:start w:val="2"/>
      <w:numFmt w:val="decimal"/>
      <w:suff w:val="nothing"/>
      <w:lvlText w:val="%1."/>
      <w:lvlJc w:val="left"/>
    </w:lvl>
  </w:abstractNum>
  <w:abstractNum w:abstractNumId="9">
    <w:nsid w:val="00000012"/>
    <w:multiLevelType w:val="singleLevel"/>
    <w:tmpl w:val="00000012"/>
    <w:lvl w:ilvl="0" w:tentative="0">
      <w:start w:val="1"/>
      <w:numFmt w:val="decimal"/>
      <w:suff w:val="nothing"/>
      <w:lvlText w:val="%1."/>
      <w:lvlJc w:val="left"/>
    </w:lvl>
  </w:abstractNum>
  <w:abstractNum w:abstractNumId="10">
    <w:nsid w:val="00000017"/>
    <w:multiLevelType w:val="singleLevel"/>
    <w:tmpl w:val="00000017"/>
    <w:lvl w:ilvl="0" w:tentative="0">
      <w:start w:val="6"/>
      <w:numFmt w:val="chineseCounting"/>
      <w:suff w:val="space"/>
      <w:lvlText w:val="第%1章"/>
      <w:lvlJc w:val="left"/>
    </w:lvl>
  </w:abstractNum>
  <w:abstractNum w:abstractNumId="11">
    <w:nsid w:val="0000001D"/>
    <w:multiLevelType w:val="multilevel"/>
    <w:tmpl w:val="0000001D"/>
    <w:lvl w:ilvl="0" w:tentative="0">
      <w:start w:val="1"/>
      <w:numFmt w:val="chineseCountingThousand"/>
      <w:pStyle w:val="87"/>
      <w:lvlText w:val="第%1条"/>
      <w:lvlJc w:val="left"/>
      <w:pPr>
        <w:tabs>
          <w:tab w:val="left" w:pos="333"/>
        </w:tabs>
        <w:ind w:left="333" w:firstLine="567"/>
      </w:pPr>
      <w:rPr>
        <w:rFonts w:hint="eastAsia"/>
        <w:b/>
        <w:i w:val="0"/>
        <w:lang w:val="en-US"/>
      </w:rPr>
    </w:lvl>
    <w:lvl w:ilvl="1" w:tentative="0">
      <w:start w:val="1"/>
      <w:numFmt w:val="japaneseCounting"/>
      <w:pStyle w:val="26"/>
      <w:lvlText w:val="（%2）"/>
      <w:lvlJc w:val="left"/>
      <w:pPr>
        <w:tabs>
          <w:tab w:val="left" w:pos="1980"/>
        </w:tabs>
        <w:ind w:left="1980" w:hanging="720"/>
      </w:pPr>
      <w:rPr>
        <w:rFonts w:hint="default"/>
        <w:b/>
        <w:i w:val="0"/>
        <w:lang w:val="en-US"/>
      </w:rPr>
    </w:lvl>
    <w:lvl w:ilvl="2" w:tentative="0">
      <w:start w:val="1"/>
      <w:numFmt w:val="lowerRoman"/>
      <w:lvlText w:val="%3."/>
      <w:lvlJc w:val="right"/>
      <w:pPr>
        <w:tabs>
          <w:tab w:val="left" w:pos="1260"/>
        </w:tabs>
        <w:ind w:left="1260" w:hanging="420"/>
      </w:pPr>
    </w:lvl>
    <w:lvl w:ilvl="3" w:tentative="0">
      <w:start w:val="1"/>
      <w:numFmt w:val="chineseCountingThousand"/>
      <w:pStyle w:val="86"/>
      <w:lvlText w:val="（%4）"/>
      <w:lvlJc w:val="left"/>
      <w:pPr>
        <w:tabs>
          <w:tab w:val="left" w:pos="1980"/>
        </w:tabs>
        <w:ind w:left="1680" w:hanging="420"/>
      </w:pPr>
      <w:rPr>
        <w:rFonts w:hint="eastAsia"/>
      </w:rPr>
    </w:lvl>
    <w:lvl w:ilvl="4" w:tentative="0">
      <w:start w:val="3"/>
      <w:numFmt w:val="japaneseCounting"/>
      <w:lvlText w:val="第%5章"/>
      <w:lvlJc w:val="left"/>
      <w:pPr>
        <w:tabs>
          <w:tab w:val="left" w:pos="3330"/>
        </w:tabs>
        <w:ind w:left="3330" w:hanging="1650"/>
      </w:pPr>
      <w:rPr>
        <w:rFonts w:hint="eastAsia"/>
      </w:rPr>
    </w:lvl>
    <w:lvl w:ilvl="5" w:tentative="0">
      <w:start w:val="1"/>
      <w:numFmt w:val="decimal"/>
      <w:lvlText w:val="%6、"/>
      <w:lvlJc w:val="left"/>
      <w:pPr>
        <w:tabs>
          <w:tab w:val="left" w:pos="2820"/>
        </w:tabs>
        <w:ind w:left="2820" w:hanging="720"/>
      </w:pPr>
      <w:rPr>
        <w:rFonts w:hint="eastAsia"/>
      </w:rPr>
    </w:lvl>
    <w:lvl w:ilvl="6" w:tentative="0">
      <w:start w:val="1"/>
      <w:numFmt w:val="decimal"/>
      <w:pStyle w:val="97"/>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E"/>
    <w:multiLevelType w:val="multilevel"/>
    <w:tmpl w:val="0000001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5"/>
    <w:multiLevelType w:val="singleLevel"/>
    <w:tmpl w:val="00000025"/>
    <w:lvl w:ilvl="0" w:tentative="0">
      <w:start w:val="1"/>
      <w:numFmt w:val="chineseCounting"/>
      <w:suff w:val="nothing"/>
      <w:lvlText w:val="（%1）"/>
      <w:lvlJc w:val="left"/>
    </w:lvl>
  </w:abstractNum>
  <w:abstractNum w:abstractNumId="14">
    <w:nsid w:val="0000002A"/>
    <w:multiLevelType w:val="multilevel"/>
    <w:tmpl w:val="0000002A"/>
    <w:lvl w:ilvl="0" w:tentative="0">
      <w:start w:val="1"/>
      <w:numFmt w:val="japaneseCounting"/>
      <w:lvlText w:val="（%1）"/>
      <w:lvlJc w:val="left"/>
      <w:pPr>
        <w:tabs>
          <w:tab w:val="left" w:pos="1415"/>
        </w:tabs>
        <w:ind w:left="1415" w:hanging="855"/>
      </w:pPr>
      <w:rPr>
        <w:rFonts w:hint="default"/>
      </w:rPr>
    </w:lvl>
    <w:lvl w:ilvl="1" w:tentative="0">
      <w:start w:val="1"/>
      <w:numFmt w:val="lowerLetter"/>
      <w:pStyle w:val="66"/>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5">
    <w:nsid w:val="0000002B"/>
    <w:multiLevelType w:val="singleLevel"/>
    <w:tmpl w:val="0000002B"/>
    <w:lvl w:ilvl="0" w:tentative="0">
      <w:start w:val="1"/>
      <w:numFmt w:val="chineseCounting"/>
      <w:suff w:val="nothing"/>
      <w:lvlText w:val="（%1）"/>
      <w:lvlJc w:val="left"/>
    </w:lvl>
  </w:abstractNum>
  <w:abstractNum w:abstractNumId="16">
    <w:nsid w:val="00000039"/>
    <w:multiLevelType w:val="multilevel"/>
    <w:tmpl w:val="00000039"/>
    <w:lvl w:ilvl="0" w:tentative="0">
      <w:start w:val="1"/>
      <w:numFmt w:val="chineseCountingThousand"/>
      <w:suff w:val="space"/>
      <w:lvlText w:val="第%1条"/>
      <w:lvlJc w:val="left"/>
      <w:pPr>
        <w:ind w:left="680" w:hanging="260"/>
      </w:pPr>
      <w:rPr>
        <w:rFonts w:hint="default" w:ascii="方正仿宋简体" w:hAnsi="宋体" w:eastAsia="方正仿宋简体"/>
        <w:b/>
        <w:color w:val="auto"/>
        <w:sz w:val="28"/>
        <w:u w:val="none" w:color="auto"/>
        <w:lang w:val="en-US"/>
      </w:rPr>
    </w:lvl>
    <w:lvl w:ilvl="1" w:tentative="0">
      <w:start w:val="1"/>
      <w:numFmt w:val="lowerLetter"/>
      <w:lvlText w:val="%2)"/>
      <w:lvlJc w:val="left"/>
      <w:pPr>
        <w:ind w:left="1260" w:hanging="420"/>
      </w:pPr>
      <w:rPr>
        <w:rFonts w:hint="default" w:ascii="Times New Roman"/>
        <w:u w:val="none" w:color="auto"/>
      </w:rPr>
    </w:lvl>
    <w:lvl w:ilvl="2" w:tentative="0">
      <w:start w:val="1"/>
      <w:numFmt w:val="lowerRoman"/>
      <w:lvlText w:val="%3."/>
      <w:lvlJc w:val="right"/>
      <w:pPr>
        <w:ind w:left="1680" w:hanging="420"/>
      </w:pPr>
      <w:rPr>
        <w:rFonts w:hint="default" w:ascii="Times New Roman"/>
        <w:u w:val="none" w:color="auto"/>
      </w:rPr>
    </w:lvl>
    <w:lvl w:ilvl="3" w:tentative="0">
      <w:start w:val="1"/>
      <w:numFmt w:val="decimal"/>
      <w:lvlText w:val="%4."/>
      <w:lvlJc w:val="left"/>
      <w:pPr>
        <w:ind w:left="2100" w:hanging="420"/>
      </w:pPr>
      <w:rPr>
        <w:rFonts w:hint="default" w:ascii="Times New Roman"/>
        <w:u w:val="none" w:color="auto"/>
      </w:rPr>
    </w:lvl>
    <w:lvl w:ilvl="4" w:tentative="0">
      <w:start w:val="1"/>
      <w:numFmt w:val="lowerLetter"/>
      <w:lvlText w:val="%5)"/>
      <w:lvlJc w:val="left"/>
      <w:pPr>
        <w:ind w:left="2520" w:hanging="420"/>
      </w:pPr>
      <w:rPr>
        <w:rFonts w:hint="default" w:ascii="Times New Roman"/>
        <w:u w:val="none" w:color="auto"/>
      </w:rPr>
    </w:lvl>
    <w:lvl w:ilvl="5" w:tentative="0">
      <w:start w:val="1"/>
      <w:numFmt w:val="lowerRoman"/>
      <w:lvlText w:val="%6."/>
      <w:lvlJc w:val="right"/>
      <w:pPr>
        <w:ind w:left="2940" w:hanging="420"/>
      </w:pPr>
      <w:rPr>
        <w:rFonts w:hint="default" w:ascii="Times New Roman"/>
        <w:u w:val="none" w:color="auto"/>
      </w:rPr>
    </w:lvl>
    <w:lvl w:ilvl="6" w:tentative="0">
      <w:start w:val="1"/>
      <w:numFmt w:val="decimal"/>
      <w:lvlText w:val="%7."/>
      <w:lvlJc w:val="left"/>
      <w:pPr>
        <w:ind w:left="3360" w:hanging="420"/>
      </w:pPr>
      <w:rPr>
        <w:rFonts w:hint="default" w:ascii="Times New Roman"/>
        <w:u w:val="none" w:color="auto"/>
      </w:rPr>
    </w:lvl>
    <w:lvl w:ilvl="7" w:tentative="0">
      <w:start w:val="1"/>
      <w:numFmt w:val="lowerLetter"/>
      <w:lvlText w:val="%8)"/>
      <w:lvlJc w:val="left"/>
      <w:pPr>
        <w:ind w:left="3780" w:hanging="420"/>
      </w:pPr>
      <w:rPr>
        <w:rFonts w:hint="default" w:ascii="Times New Roman"/>
        <w:u w:val="none" w:color="auto"/>
      </w:rPr>
    </w:lvl>
    <w:lvl w:ilvl="8" w:tentative="0">
      <w:start w:val="1"/>
      <w:numFmt w:val="lowerRoman"/>
      <w:lvlText w:val="%9."/>
      <w:lvlJc w:val="right"/>
      <w:pPr>
        <w:ind w:left="4200" w:hanging="420"/>
      </w:pPr>
      <w:rPr>
        <w:rFonts w:hint="default" w:ascii="Times New Roman"/>
        <w:u w:val="none" w:color="auto"/>
      </w:rPr>
    </w:lvl>
  </w:abstractNum>
  <w:abstractNum w:abstractNumId="17">
    <w:nsid w:val="0000003E"/>
    <w:multiLevelType w:val="singleLevel"/>
    <w:tmpl w:val="0000003E"/>
    <w:lvl w:ilvl="0" w:tentative="0">
      <w:start w:val="1"/>
      <w:numFmt w:val="chineseCounting"/>
      <w:suff w:val="nothing"/>
      <w:lvlText w:val="（%1）"/>
      <w:lvlJc w:val="left"/>
    </w:lvl>
  </w:abstractNum>
  <w:abstractNum w:abstractNumId="18">
    <w:nsid w:val="00000048"/>
    <w:multiLevelType w:val="singleLevel"/>
    <w:tmpl w:val="00000048"/>
    <w:lvl w:ilvl="0" w:tentative="0">
      <w:start w:val="1"/>
      <w:numFmt w:val="decimal"/>
      <w:suff w:val="nothing"/>
      <w:lvlText w:val="%1."/>
      <w:lvlJc w:val="left"/>
    </w:lvl>
  </w:abstractNum>
  <w:abstractNum w:abstractNumId="19">
    <w:nsid w:val="08182CAE"/>
    <w:multiLevelType w:val="multilevel"/>
    <w:tmpl w:val="08182CA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9D14E49"/>
    <w:multiLevelType w:val="singleLevel"/>
    <w:tmpl w:val="09D14E49"/>
    <w:lvl w:ilvl="0" w:tentative="0">
      <w:start w:val="3"/>
      <w:numFmt w:val="chineseCounting"/>
      <w:suff w:val="space"/>
      <w:lvlText w:val="第%1章"/>
      <w:lvlJc w:val="left"/>
      <w:rPr>
        <w:rFonts w:hint="eastAsia"/>
      </w:rPr>
    </w:lvl>
  </w:abstractNum>
  <w:abstractNum w:abstractNumId="21">
    <w:nsid w:val="166265DA"/>
    <w:multiLevelType w:val="multilevel"/>
    <w:tmpl w:val="166265D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67094D6"/>
    <w:multiLevelType w:val="singleLevel"/>
    <w:tmpl w:val="267094D6"/>
    <w:lvl w:ilvl="0" w:tentative="0">
      <w:start w:val="5"/>
      <w:numFmt w:val="decimal"/>
      <w:lvlText w:val="%1."/>
      <w:lvlJc w:val="left"/>
      <w:pPr>
        <w:tabs>
          <w:tab w:val="left" w:pos="312"/>
        </w:tabs>
      </w:pPr>
    </w:lvl>
  </w:abstractNum>
  <w:abstractNum w:abstractNumId="23">
    <w:nsid w:val="27E5A7C4"/>
    <w:multiLevelType w:val="singleLevel"/>
    <w:tmpl w:val="27E5A7C4"/>
    <w:lvl w:ilvl="0" w:tentative="0">
      <w:start w:val="3"/>
      <w:numFmt w:val="chineseCounting"/>
      <w:suff w:val="nothing"/>
      <w:lvlText w:val="%1、"/>
      <w:lvlJc w:val="left"/>
      <w:rPr>
        <w:rFonts w:hint="eastAsia"/>
      </w:rPr>
    </w:lvl>
  </w:abstractNum>
  <w:abstractNum w:abstractNumId="24">
    <w:nsid w:val="3FE31E23"/>
    <w:multiLevelType w:val="singleLevel"/>
    <w:tmpl w:val="3FE31E23"/>
    <w:lvl w:ilvl="0" w:tentative="0">
      <w:start w:val="2"/>
      <w:numFmt w:val="decimal"/>
      <w:suff w:val="nothing"/>
      <w:lvlText w:val="（%1）"/>
      <w:lvlJc w:val="left"/>
    </w:lvl>
  </w:abstractNum>
  <w:abstractNum w:abstractNumId="25">
    <w:nsid w:val="486041F1"/>
    <w:multiLevelType w:val="multilevel"/>
    <w:tmpl w:val="486041F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1992CF6"/>
    <w:multiLevelType w:val="multilevel"/>
    <w:tmpl w:val="51992CF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ADB5F41"/>
    <w:multiLevelType w:val="multilevel"/>
    <w:tmpl w:val="5ADB5F4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8">
    <w:nsid w:val="657D3FBC"/>
    <w:multiLevelType w:val="multilevel"/>
    <w:tmpl w:val="657D3FBC"/>
    <w:lvl w:ilvl="0" w:tentative="0">
      <w:start w:val="1"/>
      <w:numFmt w:val="upperLetter"/>
      <w:pStyle w:val="55"/>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8EB6E9E"/>
    <w:multiLevelType w:val="singleLevel"/>
    <w:tmpl w:val="68EB6E9E"/>
    <w:lvl w:ilvl="0" w:tentative="0">
      <w:start w:val="6"/>
      <w:numFmt w:val="chineseCounting"/>
      <w:suff w:val="space"/>
      <w:lvlText w:val="第%1章"/>
      <w:lvlJc w:val="left"/>
      <w:rPr>
        <w:rFonts w:hint="eastAsia"/>
      </w:rPr>
    </w:lvl>
  </w:abstractNum>
  <w:abstractNum w:abstractNumId="30">
    <w:nsid w:val="6997C996"/>
    <w:multiLevelType w:val="singleLevel"/>
    <w:tmpl w:val="6997C996"/>
    <w:lvl w:ilvl="0" w:tentative="0">
      <w:start w:val="1"/>
      <w:numFmt w:val="decimal"/>
      <w:lvlText w:val="%1."/>
      <w:lvlJc w:val="left"/>
      <w:pPr>
        <w:tabs>
          <w:tab w:val="left" w:pos="312"/>
        </w:tabs>
      </w:pPr>
    </w:lvl>
  </w:abstractNum>
  <w:abstractNum w:abstractNumId="31">
    <w:nsid w:val="6E8B1671"/>
    <w:multiLevelType w:val="singleLevel"/>
    <w:tmpl w:val="6E8B1671"/>
    <w:lvl w:ilvl="0" w:tentative="0">
      <w:start w:val="1"/>
      <w:numFmt w:val="chineseCounting"/>
      <w:suff w:val="space"/>
      <w:lvlText w:val="第%1章"/>
      <w:lvlJc w:val="left"/>
      <w:rPr>
        <w:rFonts w:hint="eastAsia"/>
      </w:rPr>
    </w:lvl>
  </w:abstractNum>
  <w:abstractNum w:abstractNumId="32">
    <w:nsid w:val="6EFAF081"/>
    <w:multiLevelType w:val="singleLevel"/>
    <w:tmpl w:val="6EFAF081"/>
    <w:lvl w:ilvl="0" w:tentative="0">
      <w:start w:val="2"/>
      <w:numFmt w:val="decimal"/>
      <w:lvlText w:val="%1."/>
      <w:lvlJc w:val="left"/>
      <w:pPr>
        <w:tabs>
          <w:tab w:val="left" w:pos="312"/>
        </w:tabs>
      </w:pPr>
    </w:lvl>
  </w:abstractNum>
  <w:num w:numId="1">
    <w:abstractNumId w:val="11"/>
  </w:num>
  <w:num w:numId="2">
    <w:abstractNumId w:val="28"/>
  </w:num>
  <w:num w:numId="3">
    <w:abstractNumId w:val="14"/>
  </w:num>
  <w:num w:numId="4">
    <w:abstractNumId w:val="20"/>
  </w:num>
  <w:num w:numId="5">
    <w:abstractNumId w:val="1"/>
  </w:num>
  <w:num w:numId="6">
    <w:abstractNumId w:val="29"/>
  </w:num>
  <w:num w:numId="7">
    <w:abstractNumId w:val="2"/>
  </w:num>
  <w:num w:numId="8">
    <w:abstractNumId w:val="32"/>
  </w:num>
  <w:num w:numId="9">
    <w:abstractNumId w:val="24"/>
  </w:num>
  <w:num w:numId="10">
    <w:abstractNumId w:val="18"/>
  </w:num>
  <w:num w:numId="11">
    <w:abstractNumId w:val="9"/>
  </w:num>
  <w:num w:numId="12">
    <w:abstractNumId w:val="8"/>
  </w:num>
  <w:num w:numId="13">
    <w:abstractNumId w:val="10"/>
  </w:num>
  <w:num w:numId="14">
    <w:abstractNumId w:val="12"/>
  </w:num>
  <w:num w:numId="15">
    <w:abstractNumId w:val="4"/>
  </w:num>
  <w:num w:numId="16">
    <w:abstractNumId w:val="31"/>
  </w:num>
  <w:num w:numId="17">
    <w:abstractNumId w:val="17"/>
  </w:num>
  <w:num w:numId="18">
    <w:abstractNumId w:val="13"/>
  </w:num>
  <w:num w:numId="19">
    <w:abstractNumId w:val="15"/>
  </w:num>
  <w:num w:numId="20">
    <w:abstractNumId w:val="5"/>
  </w:num>
  <w:num w:numId="21">
    <w:abstractNumId w:val="0"/>
  </w:num>
  <w:num w:numId="22">
    <w:abstractNumId w:val="22"/>
  </w:num>
  <w:num w:numId="23">
    <w:abstractNumId w:val="30"/>
  </w:num>
  <w:num w:numId="24">
    <w:abstractNumId w:val="27"/>
  </w:num>
  <w:num w:numId="25">
    <w:abstractNumId w:val="26"/>
  </w:num>
  <w:num w:numId="26">
    <w:abstractNumId w:val="19"/>
  </w:num>
  <w:num w:numId="27">
    <w:abstractNumId w:val="21"/>
  </w:num>
  <w:num w:numId="28">
    <w:abstractNumId w:val="25"/>
  </w:num>
  <w:num w:numId="29">
    <w:abstractNumId w:val="6"/>
  </w:num>
  <w:num w:numId="30">
    <w:abstractNumId w:val="7"/>
  </w:num>
  <w:num w:numId="31">
    <w:abstractNumId w:val="23"/>
  </w:num>
  <w:num w:numId="32">
    <w:abstractNumId w:val="1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3E7F"/>
    <w:rsid w:val="00503446"/>
    <w:rsid w:val="00661F61"/>
    <w:rsid w:val="006E00AC"/>
    <w:rsid w:val="007166FE"/>
    <w:rsid w:val="00757C93"/>
    <w:rsid w:val="00B4447A"/>
    <w:rsid w:val="00CD0C18"/>
    <w:rsid w:val="00D06063"/>
    <w:rsid w:val="00E103C7"/>
    <w:rsid w:val="00FD52A9"/>
    <w:rsid w:val="015D17D5"/>
    <w:rsid w:val="0194682E"/>
    <w:rsid w:val="01BD536C"/>
    <w:rsid w:val="02194D32"/>
    <w:rsid w:val="02244EF4"/>
    <w:rsid w:val="02271244"/>
    <w:rsid w:val="02274E21"/>
    <w:rsid w:val="02447033"/>
    <w:rsid w:val="02860242"/>
    <w:rsid w:val="02BB4F76"/>
    <w:rsid w:val="02C205B6"/>
    <w:rsid w:val="02D00417"/>
    <w:rsid w:val="02EA693F"/>
    <w:rsid w:val="033C700B"/>
    <w:rsid w:val="035F5A78"/>
    <w:rsid w:val="037E0499"/>
    <w:rsid w:val="03B16020"/>
    <w:rsid w:val="03CD5A04"/>
    <w:rsid w:val="041A7998"/>
    <w:rsid w:val="04214E3C"/>
    <w:rsid w:val="042934B8"/>
    <w:rsid w:val="04490422"/>
    <w:rsid w:val="04991570"/>
    <w:rsid w:val="04E74198"/>
    <w:rsid w:val="05157BAE"/>
    <w:rsid w:val="053402D4"/>
    <w:rsid w:val="056C1CFE"/>
    <w:rsid w:val="058A0996"/>
    <w:rsid w:val="05F6530D"/>
    <w:rsid w:val="05F92C29"/>
    <w:rsid w:val="0607519A"/>
    <w:rsid w:val="060B104C"/>
    <w:rsid w:val="064E2AED"/>
    <w:rsid w:val="066316D5"/>
    <w:rsid w:val="066E79A3"/>
    <w:rsid w:val="06783B7A"/>
    <w:rsid w:val="06826528"/>
    <w:rsid w:val="06B60BDF"/>
    <w:rsid w:val="06D36EB1"/>
    <w:rsid w:val="070D7D44"/>
    <w:rsid w:val="07172919"/>
    <w:rsid w:val="073A7334"/>
    <w:rsid w:val="074D50E0"/>
    <w:rsid w:val="0768624E"/>
    <w:rsid w:val="082F4FAA"/>
    <w:rsid w:val="08BC6488"/>
    <w:rsid w:val="08F10EAC"/>
    <w:rsid w:val="09604C38"/>
    <w:rsid w:val="0969735D"/>
    <w:rsid w:val="09711D30"/>
    <w:rsid w:val="09966C2C"/>
    <w:rsid w:val="099F2B6A"/>
    <w:rsid w:val="09EF1587"/>
    <w:rsid w:val="0A4C3888"/>
    <w:rsid w:val="0A70570C"/>
    <w:rsid w:val="0AD6431C"/>
    <w:rsid w:val="0AF414C8"/>
    <w:rsid w:val="0B2A5925"/>
    <w:rsid w:val="0B5C0F71"/>
    <w:rsid w:val="0B5C48E1"/>
    <w:rsid w:val="0B7767A2"/>
    <w:rsid w:val="0B8105AA"/>
    <w:rsid w:val="0B885D1A"/>
    <w:rsid w:val="0BA21AF2"/>
    <w:rsid w:val="0BA8796E"/>
    <w:rsid w:val="0BB32AE8"/>
    <w:rsid w:val="0BD16CB3"/>
    <w:rsid w:val="0BD3369E"/>
    <w:rsid w:val="0BEF4D3B"/>
    <w:rsid w:val="0C0A343C"/>
    <w:rsid w:val="0C162BC6"/>
    <w:rsid w:val="0C2B1A61"/>
    <w:rsid w:val="0C322B0A"/>
    <w:rsid w:val="0C715F54"/>
    <w:rsid w:val="0CC85250"/>
    <w:rsid w:val="0CF148F4"/>
    <w:rsid w:val="0D08109D"/>
    <w:rsid w:val="0D54075C"/>
    <w:rsid w:val="0D6D152C"/>
    <w:rsid w:val="0D9D4B18"/>
    <w:rsid w:val="0DA13DE4"/>
    <w:rsid w:val="0DB613DC"/>
    <w:rsid w:val="0DEF0C0F"/>
    <w:rsid w:val="0DFD3E81"/>
    <w:rsid w:val="0DFF65B4"/>
    <w:rsid w:val="0E081426"/>
    <w:rsid w:val="0E0F5767"/>
    <w:rsid w:val="0E1F6CEA"/>
    <w:rsid w:val="0E4051AA"/>
    <w:rsid w:val="0E4402E5"/>
    <w:rsid w:val="0E6D2865"/>
    <w:rsid w:val="0EBD52B2"/>
    <w:rsid w:val="0EE55018"/>
    <w:rsid w:val="0F4507BF"/>
    <w:rsid w:val="0F56282C"/>
    <w:rsid w:val="0F766ABB"/>
    <w:rsid w:val="0F78133F"/>
    <w:rsid w:val="0FAC03EF"/>
    <w:rsid w:val="0FCC595F"/>
    <w:rsid w:val="0FCD527B"/>
    <w:rsid w:val="0FD375F1"/>
    <w:rsid w:val="10F72E79"/>
    <w:rsid w:val="110D5B7E"/>
    <w:rsid w:val="110E1AF7"/>
    <w:rsid w:val="11134CCA"/>
    <w:rsid w:val="119128C6"/>
    <w:rsid w:val="11DD68C5"/>
    <w:rsid w:val="11FD0DC2"/>
    <w:rsid w:val="12170BB0"/>
    <w:rsid w:val="1224607E"/>
    <w:rsid w:val="129D1FF5"/>
    <w:rsid w:val="129F3602"/>
    <w:rsid w:val="12B25367"/>
    <w:rsid w:val="12D62379"/>
    <w:rsid w:val="12DC1D65"/>
    <w:rsid w:val="12EB23DD"/>
    <w:rsid w:val="131C1315"/>
    <w:rsid w:val="138A1209"/>
    <w:rsid w:val="13C2497C"/>
    <w:rsid w:val="13F318DA"/>
    <w:rsid w:val="145507FC"/>
    <w:rsid w:val="14707988"/>
    <w:rsid w:val="14733544"/>
    <w:rsid w:val="14751FBA"/>
    <w:rsid w:val="149B036F"/>
    <w:rsid w:val="14F63C5D"/>
    <w:rsid w:val="150E00B3"/>
    <w:rsid w:val="1549635F"/>
    <w:rsid w:val="154A0E64"/>
    <w:rsid w:val="155F2746"/>
    <w:rsid w:val="15741C72"/>
    <w:rsid w:val="15890F04"/>
    <w:rsid w:val="15920330"/>
    <w:rsid w:val="15A65EB2"/>
    <w:rsid w:val="15E832A4"/>
    <w:rsid w:val="161B1016"/>
    <w:rsid w:val="164A10FF"/>
    <w:rsid w:val="16655BD2"/>
    <w:rsid w:val="169450F0"/>
    <w:rsid w:val="16E9644A"/>
    <w:rsid w:val="16F521EE"/>
    <w:rsid w:val="16F668D5"/>
    <w:rsid w:val="17173980"/>
    <w:rsid w:val="175625A3"/>
    <w:rsid w:val="175D4E59"/>
    <w:rsid w:val="182F14AC"/>
    <w:rsid w:val="18603035"/>
    <w:rsid w:val="18646729"/>
    <w:rsid w:val="18AD6464"/>
    <w:rsid w:val="18C97FE9"/>
    <w:rsid w:val="18E8269F"/>
    <w:rsid w:val="18F60E22"/>
    <w:rsid w:val="18F87F02"/>
    <w:rsid w:val="192B337B"/>
    <w:rsid w:val="19BA1058"/>
    <w:rsid w:val="19C835DC"/>
    <w:rsid w:val="19D8471F"/>
    <w:rsid w:val="19EF60E7"/>
    <w:rsid w:val="1A383CFD"/>
    <w:rsid w:val="1A60556B"/>
    <w:rsid w:val="1A7965E9"/>
    <w:rsid w:val="1A7F5FDE"/>
    <w:rsid w:val="1A900D76"/>
    <w:rsid w:val="1AB91E52"/>
    <w:rsid w:val="1B6A0CDD"/>
    <w:rsid w:val="1B77069C"/>
    <w:rsid w:val="1B9530FB"/>
    <w:rsid w:val="1B953317"/>
    <w:rsid w:val="1BA455F4"/>
    <w:rsid w:val="1BFB4F68"/>
    <w:rsid w:val="1C1E1AF2"/>
    <w:rsid w:val="1CA5178F"/>
    <w:rsid w:val="1CBF57B5"/>
    <w:rsid w:val="1D472D6A"/>
    <w:rsid w:val="1D5A24F1"/>
    <w:rsid w:val="1DDB0589"/>
    <w:rsid w:val="1DE34E67"/>
    <w:rsid w:val="1E5C67B0"/>
    <w:rsid w:val="1EB320E4"/>
    <w:rsid w:val="1EC252FB"/>
    <w:rsid w:val="1EC82D11"/>
    <w:rsid w:val="1F136ABD"/>
    <w:rsid w:val="1F255324"/>
    <w:rsid w:val="1F5D0767"/>
    <w:rsid w:val="1FA17627"/>
    <w:rsid w:val="1FA34537"/>
    <w:rsid w:val="1FB67067"/>
    <w:rsid w:val="1FD91717"/>
    <w:rsid w:val="1FEB12DF"/>
    <w:rsid w:val="1FF53E4A"/>
    <w:rsid w:val="20340C80"/>
    <w:rsid w:val="203A69CC"/>
    <w:rsid w:val="205135FB"/>
    <w:rsid w:val="205B486A"/>
    <w:rsid w:val="208860D6"/>
    <w:rsid w:val="20E751A2"/>
    <w:rsid w:val="20EE3927"/>
    <w:rsid w:val="21395D14"/>
    <w:rsid w:val="21501D74"/>
    <w:rsid w:val="21872F39"/>
    <w:rsid w:val="21CA22AB"/>
    <w:rsid w:val="21E64BD6"/>
    <w:rsid w:val="22392550"/>
    <w:rsid w:val="223E5359"/>
    <w:rsid w:val="223F0932"/>
    <w:rsid w:val="227F6861"/>
    <w:rsid w:val="22BC2B78"/>
    <w:rsid w:val="22D918A1"/>
    <w:rsid w:val="22DC6BD8"/>
    <w:rsid w:val="23002DAE"/>
    <w:rsid w:val="2333231D"/>
    <w:rsid w:val="23511A82"/>
    <w:rsid w:val="23886E63"/>
    <w:rsid w:val="23920F6C"/>
    <w:rsid w:val="23D671F4"/>
    <w:rsid w:val="23E91849"/>
    <w:rsid w:val="240828B0"/>
    <w:rsid w:val="240B14B6"/>
    <w:rsid w:val="24187DBB"/>
    <w:rsid w:val="24361C06"/>
    <w:rsid w:val="246273C3"/>
    <w:rsid w:val="24637EC8"/>
    <w:rsid w:val="24787CE7"/>
    <w:rsid w:val="24B63293"/>
    <w:rsid w:val="24E77C24"/>
    <w:rsid w:val="24F85DC2"/>
    <w:rsid w:val="25236B72"/>
    <w:rsid w:val="25250244"/>
    <w:rsid w:val="257B7F1A"/>
    <w:rsid w:val="25922D23"/>
    <w:rsid w:val="25B96790"/>
    <w:rsid w:val="25E01A0F"/>
    <w:rsid w:val="264003F5"/>
    <w:rsid w:val="26AB16C3"/>
    <w:rsid w:val="26EE5ECF"/>
    <w:rsid w:val="27584A99"/>
    <w:rsid w:val="278A2CB6"/>
    <w:rsid w:val="27DB2FFE"/>
    <w:rsid w:val="283D0395"/>
    <w:rsid w:val="28747AA0"/>
    <w:rsid w:val="287A047E"/>
    <w:rsid w:val="28B61144"/>
    <w:rsid w:val="28CB0589"/>
    <w:rsid w:val="28CD2AE2"/>
    <w:rsid w:val="29135C94"/>
    <w:rsid w:val="29486A62"/>
    <w:rsid w:val="29560671"/>
    <w:rsid w:val="29DC68AC"/>
    <w:rsid w:val="29E10532"/>
    <w:rsid w:val="2A11315D"/>
    <w:rsid w:val="2A364AC2"/>
    <w:rsid w:val="2A5D331A"/>
    <w:rsid w:val="2A6F05EB"/>
    <w:rsid w:val="2A6F50C9"/>
    <w:rsid w:val="2A9A5991"/>
    <w:rsid w:val="2AD43989"/>
    <w:rsid w:val="2B245A32"/>
    <w:rsid w:val="2B627783"/>
    <w:rsid w:val="2B9C68EC"/>
    <w:rsid w:val="2BE50B13"/>
    <w:rsid w:val="2C0F4349"/>
    <w:rsid w:val="2C1039FA"/>
    <w:rsid w:val="2C252438"/>
    <w:rsid w:val="2C5D3EB7"/>
    <w:rsid w:val="2C676271"/>
    <w:rsid w:val="2C7109E3"/>
    <w:rsid w:val="2C795748"/>
    <w:rsid w:val="2C9E150E"/>
    <w:rsid w:val="2CC36C38"/>
    <w:rsid w:val="2CC864CD"/>
    <w:rsid w:val="2CCA705F"/>
    <w:rsid w:val="2CF156CC"/>
    <w:rsid w:val="2CFD5A8B"/>
    <w:rsid w:val="2D615EE1"/>
    <w:rsid w:val="2D6B4CB5"/>
    <w:rsid w:val="2D6B61B8"/>
    <w:rsid w:val="2D872789"/>
    <w:rsid w:val="2DAE3F78"/>
    <w:rsid w:val="2DC774F4"/>
    <w:rsid w:val="2DCC0E2B"/>
    <w:rsid w:val="2DE106B1"/>
    <w:rsid w:val="2DF07C22"/>
    <w:rsid w:val="2E383351"/>
    <w:rsid w:val="2EC2578F"/>
    <w:rsid w:val="2EFB298F"/>
    <w:rsid w:val="2F154299"/>
    <w:rsid w:val="2F420B36"/>
    <w:rsid w:val="2F4512AF"/>
    <w:rsid w:val="2F4C6C14"/>
    <w:rsid w:val="2F513A42"/>
    <w:rsid w:val="2FB3480A"/>
    <w:rsid w:val="2FC6267C"/>
    <w:rsid w:val="2FCA09DC"/>
    <w:rsid w:val="2FF9111E"/>
    <w:rsid w:val="303F621B"/>
    <w:rsid w:val="30992BD1"/>
    <w:rsid w:val="312203EF"/>
    <w:rsid w:val="31265D3D"/>
    <w:rsid w:val="312B657C"/>
    <w:rsid w:val="31B13F41"/>
    <w:rsid w:val="31E901AA"/>
    <w:rsid w:val="321B64C5"/>
    <w:rsid w:val="32243C4A"/>
    <w:rsid w:val="322C7A01"/>
    <w:rsid w:val="325516CC"/>
    <w:rsid w:val="32F36267"/>
    <w:rsid w:val="32F5368E"/>
    <w:rsid w:val="331101AB"/>
    <w:rsid w:val="332B36CE"/>
    <w:rsid w:val="33477CBC"/>
    <w:rsid w:val="340373A1"/>
    <w:rsid w:val="340D323E"/>
    <w:rsid w:val="341A5975"/>
    <w:rsid w:val="341F410A"/>
    <w:rsid w:val="342F569D"/>
    <w:rsid w:val="3437280C"/>
    <w:rsid w:val="34462650"/>
    <w:rsid w:val="346A60A6"/>
    <w:rsid w:val="34834961"/>
    <w:rsid w:val="349D63DB"/>
    <w:rsid w:val="34CE424E"/>
    <w:rsid w:val="34FF44B7"/>
    <w:rsid w:val="35643F0A"/>
    <w:rsid w:val="357C6CF4"/>
    <w:rsid w:val="35A041E6"/>
    <w:rsid w:val="35AC3423"/>
    <w:rsid w:val="35B1012B"/>
    <w:rsid w:val="35B40B9A"/>
    <w:rsid w:val="35C30BA8"/>
    <w:rsid w:val="35DD7986"/>
    <w:rsid w:val="36974FB0"/>
    <w:rsid w:val="36C43ECB"/>
    <w:rsid w:val="36F93681"/>
    <w:rsid w:val="36FC146E"/>
    <w:rsid w:val="37095F79"/>
    <w:rsid w:val="370E3929"/>
    <w:rsid w:val="3713195B"/>
    <w:rsid w:val="372B5D63"/>
    <w:rsid w:val="37E775CD"/>
    <w:rsid w:val="37E8396B"/>
    <w:rsid w:val="3810002B"/>
    <w:rsid w:val="383A7C87"/>
    <w:rsid w:val="385642EC"/>
    <w:rsid w:val="387E4485"/>
    <w:rsid w:val="39303F32"/>
    <w:rsid w:val="39605D8F"/>
    <w:rsid w:val="396876F5"/>
    <w:rsid w:val="398B7221"/>
    <w:rsid w:val="39A55D0E"/>
    <w:rsid w:val="39CE2F87"/>
    <w:rsid w:val="3A116FD5"/>
    <w:rsid w:val="3A4B1F14"/>
    <w:rsid w:val="3A8151AC"/>
    <w:rsid w:val="3A9C5386"/>
    <w:rsid w:val="3AA904F4"/>
    <w:rsid w:val="3AAB7DA1"/>
    <w:rsid w:val="3ADA5542"/>
    <w:rsid w:val="3AF94543"/>
    <w:rsid w:val="3B052B73"/>
    <w:rsid w:val="3B0B196C"/>
    <w:rsid w:val="3BA55C3B"/>
    <w:rsid w:val="3BC61EDD"/>
    <w:rsid w:val="3C1D32B5"/>
    <w:rsid w:val="3C8D4BD5"/>
    <w:rsid w:val="3D347D42"/>
    <w:rsid w:val="3D4F0475"/>
    <w:rsid w:val="3D7E3953"/>
    <w:rsid w:val="3D964A6C"/>
    <w:rsid w:val="3DF73DE8"/>
    <w:rsid w:val="3E694109"/>
    <w:rsid w:val="3E920C72"/>
    <w:rsid w:val="3EDF1CD6"/>
    <w:rsid w:val="3EE14F7B"/>
    <w:rsid w:val="3F697354"/>
    <w:rsid w:val="3F7903AF"/>
    <w:rsid w:val="3F9F7D01"/>
    <w:rsid w:val="3FA40D78"/>
    <w:rsid w:val="3FF55DBE"/>
    <w:rsid w:val="4015455F"/>
    <w:rsid w:val="404477C0"/>
    <w:rsid w:val="405627B8"/>
    <w:rsid w:val="406B295D"/>
    <w:rsid w:val="40CF753E"/>
    <w:rsid w:val="414D7E35"/>
    <w:rsid w:val="41E300C8"/>
    <w:rsid w:val="41EA4CC8"/>
    <w:rsid w:val="41FB1934"/>
    <w:rsid w:val="42124E3C"/>
    <w:rsid w:val="42177058"/>
    <w:rsid w:val="4247465E"/>
    <w:rsid w:val="425D2A86"/>
    <w:rsid w:val="42654A5B"/>
    <w:rsid w:val="4265653E"/>
    <w:rsid w:val="426D2723"/>
    <w:rsid w:val="4289597D"/>
    <w:rsid w:val="429F6A7D"/>
    <w:rsid w:val="43262A49"/>
    <w:rsid w:val="432F1C68"/>
    <w:rsid w:val="432F3EF2"/>
    <w:rsid w:val="43531264"/>
    <w:rsid w:val="43671368"/>
    <w:rsid w:val="43FD11CA"/>
    <w:rsid w:val="440360EC"/>
    <w:rsid w:val="443A4E9D"/>
    <w:rsid w:val="444865D7"/>
    <w:rsid w:val="447F6BE0"/>
    <w:rsid w:val="44895E7E"/>
    <w:rsid w:val="44A34791"/>
    <w:rsid w:val="44A350C9"/>
    <w:rsid w:val="44A43862"/>
    <w:rsid w:val="44AB71B2"/>
    <w:rsid w:val="44CE017F"/>
    <w:rsid w:val="45422A52"/>
    <w:rsid w:val="457E54C5"/>
    <w:rsid w:val="458D7D0F"/>
    <w:rsid w:val="45A32B26"/>
    <w:rsid w:val="45DC04AB"/>
    <w:rsid w:val="45E158D7"/>
    <w:rsid w:val="463034AF"/>
    <w:rsid w:val="46597C9F"/>
    <w:rsid w:val="46753A16"/>
    <w:rsid w:val="46944E3F"/>
    <w:rsid w:val="46A46172"/>
    <w:rsid w:val="46AC13DA"/>
    <w:rsid w:val="46D70B59"/>
    <w:rsid w:val="46E14104"/>
    <w:rsid w:val="470124AF"/>
    <w:rsid w:val="47305346"/>
    <w:rsid w:val="47575020"/>
    <w:rsid w:val="47993A36"/>
    <w:rsid w:val="47B40FED"/>
    <w:rsid w:val="47CA468E"/>
    <w:rsid w:val="47ED4A99"/>
    <w:rsid w:val="482E272E"/>
    <w:rsid w:val="482F5CC4"/>
    <w:rsid w:val="48502BFF"/>
    <w:rsid w:val="488D3B6B"/>
    <w:rsid w:val="48AF0BDB"/>
    <w:rsid w:val="48B10622"/>
    <w:rsid w:val="48B3601F"/>
    <w:rsid w:val="48D8231B"/>
    <w:rsid w:val="48F547C9"/>
    <w:rsid w:val="490A603B"/>
    <w:rsid w:val="49321EB2"/>
    <w:rsid w:val="49961CB4"/>
    <w:rsid w:val="49966B33"/>
    <w:rsid w:val="49A50B4E"/>
    <w:rsid w:val="49BA413E"/>
    <w:rsid w:val="49C72676"/>
    <w:rsid w:val="49D50FD1"/>
    <w:rsid w:val="49D72450"/>
    <w:rsid w:val="49DB1F07"/>
    <w:rsid w:val="49E2077D"/>
    <w:rsid w:val="49F86E9F"/>
    <w:rsid w:val="4A0A27DA"/>
    <w:rsid w:val="4AA43635"/>
    <w:rsid w:val="4AD514C5"/>
    <w:rsid w:val="4AE22F54"/>
    <w:rsid w:val="4AF541F9"/>
    <w:rsid w:val="4AFB1008"/>
    <w:rsid w:val="4AFE1610"/>
    <w:rsid w:val="4B044E29"/>
    <w:rsid w:val="4B2A17D8"/>
    <w:rsid w:val="4B4A455B"/>
    <w:rsid w:val="4BA93B79"/>
    <w:rsid w:val="4BBE1135"/>
    <w:rsid w:val="4C2E36B0"/>
    <w:rsid w:val="4C3C54F3"/>
    <w:rsid w:val="4C542D00"/>
    <w:rsid w:val="4CAB48E6"/>
    <w:rsid w:val="4CEF6DA9"/>
    <w:rsid w:val="4D1A5675"/>
    <w:rsid w:val="4D5D76B9"/>
    <w:rsid w:val="4D664E37"/>
    <w:rsid w:val="4D7B7836"/>
    <w:rsid w:val="4D805D50"/>
    <w:rsid w:val="4D8F73C0"/>
    <w:rsid w:val="4DB11852"/>
    <w:rsid w:val="4E396E8B"/>
    <w:rsid w:val="4EBD555F"/>
    <w:rsid w:val="4EE5590A"/>
    <w:rsid w:val="4F096623"/>
    <w:rsid w:val="4F6A1238"/>
    <w:rsid w:val="4F9309AE"/>
    <w:rsid w:val="504A4F55"/>
    <w:rsid w:val="506350A2"/>
    <w:rsid w:val="50A3305A"/>
    <w:rsid w:val="50C87E3E"/>
    <w:rsid w:val="51D57F57"/>
    <w:rsid w:val="51DF6498"/>
    <w:rsid w:val="522C1FA0"/>
    <w:rsid w:val="5241165C"/>
    <w:rsid w:val="527D6B92"/>
    <w:rsid w:val="529857A8"/>
    <w:rsid w:val="52B93F34"/>
    <w:rsid w:val="52C415F1"/>
    <w:rsid w:val="534E5CFB"/>
    <w:rsid w:val="53A03E35"/>
    <w:rsid w:val="540C4A1B"/>
    <w:rsid w:val="542204AA"/>
    <w:rsid w:val="54544B3E"/>
    <w:rsid w:val="54754572"/>
    <w:rsid w:val="547577BE"/>
    <w:rsid w:val="548F2280"/>
    <w:rsid w:val="54976790"/>
    <w:rsid w:val="54A81F04"/>
    <w:rsid w:val="54AF6632"/>
    <w:rsid w:val="54D76050"/>
    <w:rsid w:val="54E5266C"/>
    <w:rsid w:val="55003E45"/>
    <w:rsid w:val="5517708F"/>
    <w:rsid w:val="5564065E"/>
    <w:rsid w:val="557958CE"/>
    <w:rsid w:val="55DA29CE"/>
    <w:rsid w:val="55F32FDE"/>
    <w:rsid w:val="55FE0D55"/>
    <w:rsid w:val="56155506"/>
    <w:rsid w:val="564868F4"/>
    <w:rsid w:val="56647C7E"/>
    <w:rsid w:val="56997AD3"/>
    <w:rsid w:val="56BE1324"/>
    <w:rsid w:val="56C659E7"/>
    <w:rsid w:val="573328F4"/>
    <w:rsid w:val="575F3A12"/>
    <w:rsid w:val="5779442E"/>
    <w:rsid w:val="57937FE2"/>
    <w:rsid w:val="57AA7D0C"/>
    <w:rsid w:val="57C318A7"/>
    <w:rsid w:val="57D53417"/>
    <w:rsid w:val="57DC19FA"/>
    <w:rsid w:val="58123BE8"/>
    <w:rsid w:val="58590AD2"/>
    <w:rsid w:val="58B27F85"/>
    <w:rsid w:val="58B7142F"/>
    <w:rsid w:val="5A0E4CF9"/>
    <w:rsid w:val="5A232509"/>
    <w:rsid w:val="5A7E37A1"/>
    <w:rsid w:val="5A8B5A7D"/>
    <w:rsid w:val="5AB11E66"/>
    <w:rsid w:val="5AB329D1"/>
    <w:rsid w:val="5AB83874"/>
    <w:rsid w:val="5ACD4B53"/>
    <w:rsid w:val="5AFE4F6A"/>
    <w:rsid w:val="5B20309A"/>
    <w:rsid w:val="5B3A762D"/>
    <w:rsid w:val="5B554EA6"/>
    <w:rsid w:val="5BFE1D5B"/>
    <w:rsid w:val="5C0F68B1"/>
    <w:rsid w:val="5C476125"/>
    <w:rsid w:val="5C593D07"/>
    <w:rsid w:val="5C6F597E"/>
    <w:rsid w:val="5C953D9C"/>
    <w:rsid w:val="5D020874"/>
    <w:rsid w:val="5D4C4906"/>
    <w:rsid w:val="5D4E5E44"/>
    <w:rsid w:val="5D9D2E1D"/>
    <w:rsid w:val="5DA6458E"/>
    <w:rsid w:val="5DAD309A"/>
    <w:rsid w:val="5DB02805"/>
    <w:rsid w:val="5DD218CF"/>
    <w:rsid w:val="5DE109B3"/>
    <w:rsid w:val="5DE7422F"/>
    <w:rsid w:val="5DEB0232"/>
    <w:rsid w:val="5EB9323A"/>
    <w:rsid w:val="5ED40B9C"/>
    <w:rsid w:val="5ED856C6"/>
    <w:rsid w:val="5EE67278"/>
    <w:rsid w:val="5F0A3B44"/>
    <w:rsid w:val="5F110E48"/>
    <w:rsid w:val="5F282F32"/>
    <w:rsid w:val="5F7C6D3B"/>
    <w:rsid w:val="600C0254"/>
    <w:rsid w:val="601F0AC8"/>
    <w:rsid w:val="60792242"/>
    <w:rsid w:val="60827D88"/>
    <w:rsid w:val="609801D3"/>
    <w:rsid w:val="60FF3162"/>
    <w:rsid w:val="61062B72"/>
    <w:rsid w:val="61067949"/>
    <w:rsid w:val="61303B91"/>
    <w:rsid w:val="613228AD"/>
    <w:rsid w:val="613E6B4D"/>
    <w:rsid w:val="629827D8"/>
    <w:rsid w:val="62A241A2"/>
    <w:rsid w:val="62B6475D"/>
    <w:rsid w:val="62B86D63"/>
    <w:rsid w:val="62C5402F"/>
    <w:rsid w:val="6306589B"/>
    <w:rsid w:val="634F31F1"/>
    <w:rsid w:val="635857A9"/>
    <w:rsid w:val="63660E66"/>
    <w:rsid w:val="63FB6BDB"/>
    <w:rsid w:val="64443A4D"/>
    <w:rsid w:val="64C842AE"/>
    <w:rsid w:val="64D84A84"/>
    <w:rsid w:val="64F42EE5"/>
    <w:rsid w:val="651263D7"/>
    <w:rsid w:val="65262AD0"/>
    <w:rsid w:val="653D5294"/>
    <w:rsid w:val="65CC78DC"/>
    <w:rsid w:val="65FE5B63"/>
    <w:rsid w:val="660C77D5"/>
    <w:rsid w:val="662708B5"/>
    <w:rsid w:val="663449A6"/>
    <w:rsid w:val="663C7E15"/>
    <w:rsid w:val="664261BC"/>
    <w:rsid w:val="664B09C7"/>
    <w:rsid w:val="666457D4"/>
    <w:rsid w:val="66FE4544"/>
    <w:rsid w:val="67090E60"/>
    <w:rsid w:val="672E534B"/>
    <w:rsid w:val="67303FFF"/>
    <w:rsid w:val="673A261F"/>
    <w:rsid w:val="673E4788"/>
    <w:rsid w:val="67E47777"/>
    <w:rsid w:val="682D053C"/>
    <w:rsid w:val="6849527C"/>
    <w:rsid w:val="6899321B"/>
    <w:rsid w:val="68A203A9"/>
    <w:rsid w:val="68D30DA8"/>
    <w:rsid w:val="68E67946"/>
    <w:rsid w:val="690B150E"/>
    <w:rsid w:val="69384CB8"/>
    <w:rsid w:val="696B49EA"/>
    <w:rsid w:val="699F66E4"/>
    <w:rsid w:val="69B1771A"/>
    <w:rsid w:val="69EC09F8"/>
    <w:rsid w:val="69F9755F"/>
    <w:rsid w:val="6A251D80"/>
    <w:rsid w:val="6A422BFE"/>
    <w:rsid w:val="6A510CFA"/>
    <w:rsid w:val="6A582825"/>
    <w:rsid w:val="6A7E4985"/>
    <w:rsid w:val="6A931964"/>
    <w:rsid w:val="6A9D046E"/>
    <w:rsid w:val="6AE35A51"/>
    <w:rsid w:val="6AEB65D4"/>
    <w:rsid w:val="6AF0208C"/>
    <w:rsid w:val="6B993AE9"/>
    <w:rsid w:val="6BA325BC"/>
    <w:rsid w:val="6BB07358"/>
    <w:rsid w:val="6BE732A1"/>
    <w:rsid w:val="6C470964"/>
    <w:rsid w:val="6C6B73E2"/>
    <w:rsid w:val="6C8A1CBC"/>
    <w:rsid w:val="6CC0037C"/>
    <w:rsid w:val="6CDF37F5"/>
    <w:rsid w:val="6D08593E"/>
    <w:rsid w:val="6DAE1202"/>
    <w:rsid w:val="6DB6313D"/>
    <w:rsid w:val="6E19086F"/>
    <w:rsid w:val="6E240113"/>
    <w:rsid w:val="6EAA41C1"/>
    <w:rsid w:val="6F057CA0"/>
    <w:rsid w:val="6F120214"/>
    <w:rsid w:val="6F402DD1"/>
    <w:rsid w:val="6F593646"/>
    <w:rsid w:val="6F997B22"/>
    <w:rsid w:val="70225C5B"/>
    <w:rsid w:val="705A0E01"/>
    <w:rsid w:val="70850E64"/>
    <w:rsid w:val="70973EEE"/>
    <w:rsid w:val="70995A74"/>
    <w:rsid w:val="709C6DF6"/>
    <w:rsid w:val="70E442EA"/>
    <w:rsid w:val="711C71A4"/>
    <w:rsid w:val="71207567"/>
    <w:rsid w:val="71234BC7"/>
    <w:rsid w:val="712A7F85"/>
    <w:rsid w:val="71704EAB"/>
    <w:rsid w:val="717C5DB3"/>
    <w:rsid w:val="71D8671D"/>
    <w:rsid w:val="721D07CA"/>
    <w:rsid w:val="723547E7"/>
    <w:rsid w:val="72373173"/>
    <w:rsid w:val="72692E75"/>
    <w:rsid w:val="72B2207C"/>
    <w:rsid w:val="72C20733"/>
    <w:rsid w:val="72EB4860"/>
    <w:rsid w:val="73096E40"/>
    <w:rsid w:val="73246B2D"/>
    <w:rsid w:val="736A5D6B"/>
    <w:rsid w:val="73A22C9E"/>
    <w:rsid w:val="73B9619D"/>
    <w:rsid w:val="73E02C72"/>
    <w:rsid w:val="7418457D"/>
    <w:rsid w:val="744A6F28"/>
    <w:rsid w:val="74E119FB"/>
    <w:rsid w:val="755C2EFD"/>
    <w:rsid w:val="75B8033C"/>
    <w:rsid w:val="76006FCF"/>
    <w:rsid w:val="76161C59"/>
    <w:rsid w:val="7637644F"/>
    <w:rsid w:val="769A25EE"/>
    <w:rsid w:val="76AB4EC6"/>
    <w:rsid w:val="76BF00DB"/>
    <w:rsid w:val="77724491"/>
    <w:rsid w:val="77817347"/>
    <w:rsid w:val="77AB4D0D"/>
    <w:rsid w:val="77B45F80"/>
    <w:rsid w:val="77D8483C"/>
    <w:rsid w:val="77D946E1"/>
    <w:rsid w:val="77DA6CD3"/>
    <w:rsid w:val="782C3D85"/>
    <w:rsid w:val="783758CD"/>
    <w:rsid w:val="786D2CF6"/>
    <w:rsid w:val="7918362D"/>
    <w:rsid w:val="79337482"/>
    <w:rsid w:val="79480A2B"/>
    <w:rsid w:val="794D77F8"/>
    <w:rsid w:val="795A1A61"/>
    <w:rsid w:val="797D5F5D"/>
    <w:rsid w:val="7A24382D"/>
    <w:rsid w:val="7A3E4A5D"/>
    <w:rsid w:val="7A402794"/>
    <w:rsid w:val="7A441FEA"/>
    <w:rsid w:val="7AB23CC6"/>
    <w:rsid w:val="7B2C635C"/>
    <w:rsid w:val="7B54580C"/>
    <w:rsid w:val="7B675CB3"/>
    <w:rsid w:val="7B8D1FB5"/>
    <w:rsid w:val="7B9A1E2B"/>
    <w:rsid w:val="7BA73E4B"/>
    <w:rsid w:val="7BB24BCF"/>
    <w:rsid w:val="7C5666DB"/>
    <w:rsid w:val="7C8A5980"/>
    <w:rsid w:val="7C8C2D6B"/>
    <w:rsid w:val="7CA36DD8"/>
    <w:rsid w:val="7D2262F4"/>
    <w:rsid w:val="7D3967B3"/>
    <w:rsid w:val="7D8F0794"/>
    <w:rsid w:val="7DC9414E"/>
    <w:rsid w:val="7DCE1868"/>
    <w:rsid w:val="7DD32C7D"/>
    <w:rsid w:val="7DFB33C2"/>
    <w:rsid w:val="7E5534DC"/>
    <w:rsid w:val="7E6A2F07"/>
    <w:rsid w:val="7E706EAE"/>
    <w:rsid w:val="7E8A1972"/>
    <w:rsid w:val="7EC86DAF"/>
    <w:rsid w:val="7FF6382D"/>
    <w:rsid w:val="7FF95DC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2"/>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184"/>
    <w:qFormat/>
    <w:uiPriority w:val="0"/>
    <w:pPr>
      <w:keepNext/>
      <w:keepLines/>
      <w:spacing w:before="260" w:beforeLines="0" w:after="260" w:afterLines="0" w:line="416" w:lineRule="auto"/>
      <w:outlineLvl w:val="1"/>
    </w:pPr>
    <w:rPr>
      <w:rFonts w:ascii="Cambria" w:hAnsi="Cambria"/>
      <w:b/>
      <w:bCs/>
      <w:kern w:val="0"/>
      <w:sz w:val="32"/>
      <w:szCs w:val="32"/>
    </w:rPr>
  </w:style>
  <w:style w:type="paragraph" w:styleId="4">
    <w:name w:val="heading 3"/>
    <w:basedOn w:val="1"/>
    <w:next w:val="1"/>
    <w:link w:val="182"/>
    <w:qFormat/>
    <w:uiPriority w:val="0"/>
    <w:pPr>
      <w:keepNext/>
      <w:keepLines/>
      <w:spacing w:before="260" w:beforeLines="0" w:after="260" w:afterLines="0" w:line="416" w:lineRule="auto"/>
      <w:outlineLvl w:val="2"/>
    </w:pPr>
    <w:rPr>
      <w:b/>
      <w:bCs/>
      <w:kern w:val="0"/>
      <w:sz w:val="32"/>
      <w:szCs w:val="32"/>
    </w:rPr>
  </w:style>
  <w:style w:type="paragraph" w:styleId="5">
    <w:name w:val="heading 4"/>
    <w:basedOn w:val="1"/>
    <w:next w:val="1"/>
    <w:link w:val="177"/>
    <w:qFormat/>
    <w:uiPriority w:val="0"/>
    <w:pPr>
      <w:keepNext/>
      <w:keepLines/>
      <w:spacing w:before="280" w:beforeLines="0" w:after="290" w:afterLines="0" w:line="376" w:lineRule="auto"/>
      <w:outlineLvl w:val="3"/>
    </w:pPr>
    <w:rPr>
      <w:rFonts w:ascii="Cambria" w:hAnsi="Cambria"/>
      <w:b/>
      <w:bCs/>
      <w:kern w:val="0"/>
      <w:sz w:val="28"/>
      <w:szCs w:val="28"/>
    </w:rPr>
  </w:style>
  <w:style w:type="paragraph" w:styleId="6">
    <w:name w:val="heading 5"/>
    <w:basedOn w:val="1"/>
    <w:next w:val="1"/>
    <w:qFormat/>
    <w:uiPriority w:val="0"/>
    <w:pPr>
      <w:keepNext/>
      <w:keepLines/>
      <w:spacing w:before="280" w:beforeLines="0" w:after="290" w:afterLines="0" w:line="376" w:lineRule="auto"/>
      <w:outlineLvl w:val="4"/>
    </w:pPr>
    <w:rPr>
      <w:b/>
      <w:bCs/>
      <w:sz w:val="28"/>
      <w:szCs w:val="28"/>
    </w:rPr>
  </w:style>
  <w:style w:type="paragraph" w:styleId="7">
    <w:name w:val="heading 6"/>
    <w:basedOn w:val="1"/>
    <w:next w:val="1"/>
    <w:qFormat/>
    <w:uiPriority w:val="0"/>
    <w:pPr>
      <w:keepNext/>
      <w:keepLines/>
      <w:spacing w:before="240" w:beforeLines="0" w:after="64" w:afterLines="0" w:line="320" w:lineRule="auto"/>
      <w:outlineLvl w:val="5"/>
    </w:pPr>
    <w:rPr>
      <w:rFonts w:ascii="Cambria" w:hAnsi="Cambria" w:eastAsia="宋体" w:cs="Times New Roman"/>
      <w:b/>
      <w:bCs/>
      <w:sz w:val="24"/>
      <w:szCs w:val="24"/>
    </w:rPr>
  </w:style>
  <w:style w:type="paragraph" w:styleId="8">
    <w:name w:val="heading 7"/>
    <w:basedOn w:val="1"/>
    <w:next w:val="1"/>
    <w:qFormat/>
    <w:uiPriority w:val="0"/>
    <w:pPr>
      <w:keepNext/>
      <w:keepLines/>
      <w:spacing w:before="240" w:beforeLines="0" w:after="64" w:afterLines="0" w:line="320" w:lineRule="auto"/>
      <w:outlineLvl w:val="6"/>
    </w:pPr>
    <w:rPr>
      <w:b/>
      <w:bCs/>
      <w:sz w:val="24"/>
      <w:szCs w:val="24"/>
    </w:rPr>
  </w:style>
  <w:style w:type="paragraph" w:styleId="9">
    <w:name w:val="heading 8"/>
    <w:basedOn w:val="1"/>
    <w:next w:val="1"/>
    <w:qFormat/>
    <w:uiPriority w:val="0"/>
    <w:pPr>
      <w:keepNext/>
      <w:keepLines/>
      <w:spacing w:before="240" w:beforeLines="0" w:after="64" w:afterLines="0" w:line="320" w:lineRule="auto"/>
      <w:outlineLvl w:val="7"/>
    </w:pPr>
    <w:rPr>
      <w:rFonts w:ascii="Cambria" w:hAnsi="Cambria" w:eastAsia="宋体" w:cs="Times New Roman"/>
      <w:sz w:val="24"/>
      <w:szCs w:val="24"/>
    </w:rPr>
  </w:style>
  <w:style w:type="paragraph" w:styleId="10">
    <w:name w:val="heading 9"/>
    <w:basedOn w:val="1"/>
    <w:next w:val="1"/>
    <w:qFormat/>
    <w:uiPriority w:val="0"/>
    <w:pPr>
      <w:keepNext/>
      <w:keepLines/>
      <w:spacing w:before="240" w:beforeLines="0" w:after="64" w:afterLines="0" w:line="320" w:lineRule="auto"/>
      <w:outlineLvl w:val="8"/>
    </w:pPr>
    <w:rPr>
      <w:rFonts w:ascii="Cambria" w:hAnsi="Cambria" w:eastAsia="宋体" w:cs="Times New Roman"/>
      <w:szCs w:val="21"/>
    </w:rPr>
  </w:style>
  <w:style w:type="character" w:default="1" w:styleId="44">
    <w:name w:val="Default Paragraph Font"/>
    <w:qFormat/>
    <w:uiPriority w:val="0"/>
  </w:style>
  <w:style w:type="table" w:default="1" w:styleId="51">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Body Text First Indent"/>
    <w:basedOn w:val="13"/>
    <w:link w:val="166"/>
    <w:qFormat/>
    <w:uiPriority w:val="0"/>
    <w:pPr>
      <w:spacing w:after="120" w:afterLines="0"/>
      <w:ind w:firstLine="420" w:firstLineChars="100"/>
    </w:pPr>
  </w:style>
  <w:style w:type="paragraph" w:styleId="13">
    <w:name w:val="Body Text"/>
    <w:basedOn w:val="1"/>
    <w:link w:val="167"/>
    <w:qFormat/>
    <w:uiPriority w:val="0"/>
    <w:rPr>
      <w:sz w:val="24"/>
    </w:rPr>
  </w:style>
  <w:style w:type="paragraph" w:styleId="14">
    <w:name w:val="E-mail Signature"/>
    <w:basedOn w:val="1"/>
    <w:qFormat/>
    <w:uiPriority w:val="0"/>
    <w:pPr>
      <w:widowControl/>
      <w:jc w:val="left"/>
    </w:pPr>
    <w:rPr>
      <w:kern w:val="0"/>
      <w:sz w:val="20"/>
      <w:lang w:val="en-GB" w:eastAsia="en-US"/>
    </w:rPr>
  </w:style>
  <w:style w:type="paragraph" w:styleId="15">
    <w:name w:val="Normal Indent"/>
    <w:basedOn w:val="1"/>
    <w:qFormat/>
    <w:uiPriority w:val="0"/>
    <w:pPr>
      <w:ind w:firstLine="420" w:firstLineChars="200"/>
    </w:pPr>
  </w:style>
  <w:style w:type="paragraph" w:styleId="16">
    <w:name w:val="Document Map"/>
    <w:basedOn w:val="1"/>
    <w:link w:val="190"/>
    <w:qFormat/>
    <w:uiPriority w:val="0"/>
    <w:pPr>
      <w:shd w:val="clear" w:color="auto" w:fill="000080"/>
    </w:pPr>
    <w:rPr>
      <w:rFonts w:hint="eastAsia"/>
      <w:kern w:val="0"/>
      <w:sz w:val="20"/>
      <w:szCs w:val="20"/>
    </w:rPr>
  </w:style>
  <w:style w:type="paragraph" w:styleId="17">
    <w:name w:val="annotation text"/>
    <w:basedOn w:val="1"/>
    <w:link w:val="192"/>
    <w:qFormat/>
    <w:uiPriority w:val="0"/>
    <w:pPr>
      <w:jc w:val="left"/>
    </w:pPr>
    <w:rPr>
      <w:rFonts w:ascii="Times New Roman" w:hAnsi="Times New Roman"/>
      <w:szCs w:val="24"/>
    </w:rPr>
  </w:style>
  <w:style w:type="paragraph" w:styleId="18">
    <w:name w:val="Body Text 3"/>
    <w:basedOn w:val="1"/>
    <w:link w:val="174"/>
    <w:qFormat/>
    <w:uiPriority w:val="0"/>
    <w:pPr>
      <w:jc w:val="center"/>
    </w:pPr>
    <w:rPr>
      <w:rFonts w:ascii="宋体" w:hAnsi="宋体"/>
      <w:kern w:val="0"/>
      <w:sz w:val="22"/>
    </w:rPr>
  </w:style>
  <w:style w:type="paragraph" w:styleId="19">
    <w:name w:val="Body Text Indent"/>
    <w:basedOn w:val="1"/>
    <w:link w:val="176"/>
    <w:qFormat/>
    <w:uiPriority w:val="0"/>
    <w:pPr>
      <w:ind w:firstLine="840" w:firstLineChars="300"/>
    </w:pPr>
    <w:rPr>
      <w:rFonts w:ascii="仿宋_GB2312" w:eastAsia="仿宋_GB2312"/>
      <w:sz w:val="28"/>
    </w:rPr>
  </w:style>
  <w:style w:type="paragraph" w:styleId="20">
    <w:name w:val="List 2"/>
    <w:basedOn w:val="1"/>
    <w:qFormat/>
    <w:uiPriority w:val="0"/>
    <w:pPr>
      <w:ind w:left="100" w:leftChars="200" w:hanging="200" w:hangingChars="200"/>
    </w:pPr>
    <w:rPr>
      <w:rFonts w:ascii="Times New Roman" w:hAnsi="Times New Roman"/>
      <w:szCs w:val="24"/>
    </w:rPr>
  </w:style>
  <w:style w:type="paragraph" w:styleId="21">
    <w:name w:val="toc 5"/>
    <w:basedOn w:val="1"/>
    <w:next w:val="1"/>
    <w:qFormat/>
    <w:uiPriority w:val="0"/>
    <w:pPr>
      <w:ind w:left="1680" w:leftChars="800"/>
    </w:pPr>
  </w:style>
  <w:style w:type="paragraph" w:styleId="22">
    <w:name w:val="toc 3"/>
    <w:basedOn w:val="1"/>
    <w:next w:val="1"/>
    <w:qFormat/>
    <w:uiPriority w:val="0"/>
    <w:pPr>
      <w:ind w:left="840" w:leftChars="400"/>
    </w:pPr>
  </w:style>
  <w:style w:type="paragraph" w:styleId="23">
    <w:name w:val="Plain Text"/>
    <w:basedOn w:val="1"/>
    <w:link w:val="169"/>
    <w:qFormat/>
    <w:uiPriority w:val="0"/>
    <w:rPr>
      <w:rFonts w:ascii="宋体" w:hAnsi="Courier New" w:cs="Courier New"/>
      <w:szCs w:val="21"/>
    </w:rPr>
  </w:style>
  <w:style w:type="paragraph" w:styleId="24">
    <w:name w:val="toc 8"/>
    <w:basedOn w:val="1"/>
    <w:next w:val="1"/>
    <w:qFormat/>
    <w:uiPriority w:val="0"/>
    <w:pPr>
      <w:ind w:left="2940" w:leftChars="1400"/>
    </w:pPr>
  </w:style>
  <w:style w:type="paragraph" w:styleId="25">
    <w:name w:val="Date"/>
    <w:basedOn w:val="1"/>
    <w:next w:val="1"/>
    <w:qFormat/>
    <w:uiPriority w:val="0"/>
    <w:pPr>
      <w:ind w:leftChars="2500"/>
    </w:pPr>
    <w:rPr>
      <w:sz w:val="28"/>
    </w:rPr>
  </w:style>
  <w:style w:type="paragraph" w:styleId="26">
    <w:name w:val="Body Text Indent 2"/>
    <w:basedOn w:val="1"/>
    <w:qFormat/>
    <w:uiPriority w:val="0"/>
    <w:pPr>
      <w:numPr>
        <w:ilvl w:val="1"/>
        <w:numId w:val="1"/>
      </w:numPr>
      <w:tabs>
        <w:tab w:val="left" w:pos="1680"/>
        <w:tab w:val="clear" w:pos="1980"/>
      </w:tabs>
    </w:pPr>
    <w:rPr>
      <w:rFonts w:ascii="仿宋_GB2312" w:eastAsia="仿宋_GB2312"/>
      <w:sz w:val="28"/>
    </w:rPr>
  </w:style>
  <w:style w:type="paragraph" w:styleId="27">
    <w:name w:val="Balloon Text"/>
    <w:basedOn w:val="1"/>
    <w:qFormat/>
    <w:uiPriority w:val="0"/>
    <w:rPr>
      <w:sz w:val="18"/>
      <w:szCs w:val="18"/>
    </w:rPr>
  </w:style>
  <w:style w:type="paragraph" w:styleId="28">
    <w:name w:val="footer"/>
    <w:basedOn w:val="1"/>
    <w:qFormat/>
    <w:uiPriority w:val="0"/>
    <w:pPr>
      <w:tabs>
        <w:tab w:val="center" w:pos="4153"/>
        <w:tab w:val="right" w:pos="8306"/>
      </w:tabs>
      <w:snapToGrid w:val="0"/>
      <w:jc w:val="left"/>
    </w:pPr>
    <w:rPr>
      <w:sz w:val="18"/>
      <w:szCs w:val="18"/>
    </w:rPr>
  </w:style>
  <w:style w:type="paragraph" w:styleId="29">
    <w:name w:val="header"/>
    <w:basedOn w:val="1"/>
    <w:qFormat/>
    <w:uiPriority w:val="0"/>
    <w:pPr>
      <w:pBdr>
        <w:bottom w:val="single" w:color="auto" w:sz="4" w:space="1"/>
      </w:pBdr>
      <w:tabs>
        <w:tab w:val="center" w:pos="4153"/>
        <w:tab w:val="right" w:pos="8306"/>
      </w:tabs>
      <w:snapToGrid w:val="0"/>
      <w:jc w:val="center"/>
    </w:pPr>
    <w:rPr>
      <w:sz w:val="18"/>
      <w:szCs w:val="18"/>
    </w:rPr>
  </w:style>
  <w:style w:type="paragraph" w:styleId="30">
    <w:name w:val="toc 1"/>
    <w:basedOn w:val="1"/>
    <w:next w:val="1"/>
    <w:qFormat/>
    <w:uiPriority w:val="0"/>
    <w:pPr>
      <w:shd w:val="pct5" w:color="auto" w:fill="auto"/>
      <w:tabs>
        <w:tab w:val="left" w:leader="dot" w:pos="8850"/>
        <w:tab w:val="left" w:leader="dot" w:pos="9059"/>
      </w:tabs>
      <w:spacing w:before="100" w:beforeLines="0" w:beforeAutospacing="1" w:after="100" w:afterLines="0" w:afterAutospacing="1" w:line="360" w:lineRule="auto"/>
      <w:ind w:left="168" w:leftChars="80"/>
    </w:pPr>
    <w:rPr>
      <w:rFonts w:ascii="宋体" w:hAnsi="宋体" w:eastAsia="华文中宋"/>
      <w:b/>
      <w:bCs/>
      <w:caps/>
      <w:color w:val="000000"/>
      <w:sz w:val="30"/>
      <w:szCs w:val="28"/>
    </w:rPr>
  </w:style>
  <w:style w:type="paragraph" w:styleId="31">
    <w:name w:val="toc 4"/>
    <w:basedOn w:val="1"/>
    <w:next w:val="1"/>
    <w:qFormat/>
    <w:uiPriority w:val="0"/>
    <w:pPr>
      <w:ind w:left="1260" w:leftChars="600"/>
    </w:pPr>
  </w:style>
  <w:style w:type="paragraph" w:styleId="32">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33">
    <w:name w:val="List"/>
    <w:basedOn w:val="1"/>
    <w:qFormat/>
    <w:uiPriority w:val="0"/>
    <w:pPr>
      <w:ind w:left="200" w:hanging="200" w:hangingChars="200"/>
      <w:contextualSpacing/>
    </w:pPr>
  </w:style>
  <w:style w:type="paragraph" w:styleId="34">
    <w:name w:val="footnote text"/>
    <w:basedOn w:val="1"/>
    <w:link w:val="175"/>
    <w:qFormat/>
    <w:uiPriority w:val="0"/>
    <w:pPr>
      <w:widowControl/>
      <w:jc w:val="left"/>
    </w:pPr>
    <w:rPr>
      <w:rFonts w:ascii="Times New Roman" w:hAnsi="Times New Roman" w:eastAsia="Times New Roman"/>
      <w:kern w:val="0"/>
      <w:sz w:val="20"/>
      <w:szCs w:val="20"/>
      <w:lang w:val="en-GB" w:eastAsia="en-US"/>
    </w:rPr>
  </w:style>
  <w:style w:type="paragraph" w:styleId="35">
    <w:name w:val="toc 6"/>
    <w:basedOn w:val="1"/>
    <w:next w:val="1"/>
    <w:qFormat/>
    <w:uiPriority w:val="0"/>
    <w:pPr>
      <w:ind w:left="2100" w:leftChars="1000"/>
    </w:pPr>
  </w:style>
  <w:style w:type="paragraph" w:styleId="36">
    <w:name w:val="Body Text Indent 3"/>
    <w:basedOn w:val="1"/>
    <w:qFormat/>
    <w:uiPriority w:val="0"/>
    <w:pPr>
      <w:spacing w:after="120" w:afterLines="0"/>
      <w:ind w:left="420" w:leftChars="200"/>
    </w:pPr>
    <w:rPr>
      <w:sz w:val="16"/>
      <w:szCs w:val="16"/>
    </w:rPr>
  </w:style>
  <w:style w:type="paragraph" w:styleId="37">
    <w:name w:val="toc 2"/>
    <w:basedOn w:val="1"/>
    <w:next w:val="1"/>
    <w:qFormat/>
    <w:uiPriority w:val="0"/>
    <w:pPr>
      <w:tabs>
        <w:tab w:val="left" w:leader="dot" w:pos="8750"/>
        <w:tab w:val="right" w:leader="dot" w:pos="9060"/>
      </w:tabs>
      <w:spacing w:before="100" w:beforeLines="0" w:beforeAutospacing="1" w:after="100" w:afterLines="0" w:afterAutospacing="1" w:line="420" w:lineRule="exact"/>
      <w:ind w:left="210" w:leftChars="100"/>
      <w:jc w:val="left"/>
    </w:pPr>
    <w:rPr>
      <w:rFonts w:ascii="宋体" w:hAnsi="宋体"/>
      <w:bCs/>
      <w:smallCaps/>
      <w:color w:val="000000"/>
      <w:sz w:val="28"/>
      <w:szCs w:val="28"/>
    </w:rPr>
  </w:style>
  <w:style w:type="paragraph" w:styleId="38">
    <w:name w:val="toc 9"/>
    <w:basedOn w:val="1"/>
    <w:next w:val="1"/>
    <w:qFormat/>
    <w:uiPriority w:val="0"/>
    <w:pPr>
      <w:ind w:left="3360" w:leftChars="1600"/>
    </w:pPr>
  </w:style>
  <w:style w:type="paragraph" w:styleId="39">
    <w:name w:val="Body Text 2"/>
    <w:basedOn w:val="1"/>
    <w:qFormat/>
    <w:uiPriority w:val="0"/>
    <w:pPr>
      <w:jc w:val="center"/>
    </w:pPr>
    <w:rPr>
      <w:b/>
      <w:bCs/>
    </w:r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42">
    <w:name w:val="index 1"/>
    <w:basedOn w:val="1"/>
    <w:next w:val="1"/>
    <w:qFormat/>
    <w:uiPriority w:val="0"/>
    <w:rPr>
      <w:rFonts w:ascii="Times New Roman" w:hAnsi="Times New Roman"/>
      <w:szCs w:val="24"/>
    </w:rPr>
  </w:style>
  <w:style w:type="paragraph" w:styleId="43">
    <w:name w:val="Title"/>
    <w:basedOn w:val="1"/>
    <w:next w:val="1"/>
    <w:link w:val="181"/>
    <w:qFormat/>
    <w:uiPriority w:val="0"/>
    <w:pPr>
      <w:spacing w:before="240" w:beforeLines="0" w:after="60" w:afterLines="0"/>
      <w:jc w:val="center"/>
      <w:outlineLvl w:val="0"/>
    </w:pPr>
    <w:rPr>
      <w:rFonts w:ascii="Cambria" w:hAnsi="Cambria"/>
      <w:b/>
      <w:bCs/>
      <w:kern w:val="0"/>
      <w:sz w:val="32"/>
      <w:szCs w:val="32"/>
    </w:rPr>
  </w:style>
  <w:style w:type="character" w:styleId="45">
    <w:name w:val="Strong"/>
    <w:qFormat/>
    <w:uiPriority w:val="0"/>
    <w:rPr>
      <w:b/>
      <w:bCs/>
    </w:rPr>
  </w:style>
  <w:style w:type="character" w:styleId="46">
    <w:name w:val="page number"/>
    <w:basedOn w:val="44"/>
    <w:qFormat/>
    <w:uiPriority w:val="0"/>
    <w:rPr>
      <w:rFonts w:hint="default" w:ascii="Times New Roman"/>
    </w:rPr>
  </w:style>
  <w:style w:type="character" w:styleId="47">
    <w:name w:val="FollowedHyperlink"/>
    <w:qFormat/>
    <w:uiPriority w:val="0"/>
    <w:rPr>
      <w:color w:val="800080"/>
      <w:u w:val="single"/>
    </w:rPr>
  </w:style>
  <w:style w:type="character" w:styleId="48">
    <w:name w:val="Emphasis"/>
    <w:qFormat/>
    <w:uiPriority w:val="0"/>
    <w:rPr>
      <w:i/>
      <w:iCs/>
    </w:rPr>
  </w:style>
  <w:style w:type="character" w:styleId="49">
    <w:name w:val="line number"/>
    <w:basedOn w:val="44"/>
    <w:qFormat/>
    <w:uiPriority w:val="0"/>
  </w:style>
  <w:style w:type="character" w:styleId="50">
    <w:name w:val="Hyperlink"/>
    <w:qFormat/>
    <w:uiPriority w:val="0"/>
    <w:rPr>
      <w:rFonts w:hint="default" w:ascii="Times New Roman"/>
      <w:color w:val="0000FF"/>
      <w:u w:val="single"/>
    </w:rPr>
  </w:style>
  <w:style w:type="table" w:styleId="52">
    <w:name w:val="Table Grid"/>
    <w:basedOn w:val="5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3">
    <w:name w:val="前言、引言标题"/>
    <w:next w:val="1"/>
    <w:qFormat/>
    <w:uiPriority w:val="0"/>
    <w:pPr>
      <w:shd w:val="clear" w:color="FFFFFF" w:fill="FFFFFF"/>
      <w:spacing w:before="640" w:after="560"/>
      <w:jc w:val="center"/>
      <w:outlineLvl w:val="0"/>
    </w:pPr>
    <w:rPr>
      <w:rFonts w:ascii="黑体" w:hAnsi="Times New Roman" w:eastAsia="黑体" w:cs="Times New Roman"/>
      <w:kern w:val="2"/>
      <w:sz w:val="32"/>
      <w:szCs w:val="22"/>
      <w:lang w:val="en-US" w:eastAsia="zh-CN" w:bidi="ar-SA"/>
    </w:rPr>
  </w:style>
  <w:style w:type="paragraph" w:customStyle="1" w:styleId="54">
    <w:name w:val="表文"/>
    <w:basedOn w:val="1"/>
    <w:qFormat/>
    <w:uiPriority w:val="0"/>
    <w:pPr>
      <w:jc w:val="center"/>
    </w:pPr>
    <w:rPr>
      <w:rFonts w:hint="eastAsia"/>
      <w:sz w:val="15"/>
    </w:rPr>
  </w:style>
  <w:style w:type="paragraph" w:customStyle="1" w:styleId="55">
    <w:name w:val="附录标识"/>
    <w:basedOn w:val="1"/>
    <w:qFormat/>
    <w:uiPriority w:val="0"/>
    <w:pPr>
      <w:widowControl/>
      <w:numPr>
        <w:ilvl w:val="0"/>
        <w:numId w:val="2"/>
      </w:numPr>
      <w:shd w:val="clear" w:color="FFFFFF" w:fill="FFFFFF"/>
      <w:tabs>
        <w:tab w:val="left" w:pos="6405"/>
      </w:tabs>
      <w:spacing w:before="640" w:after="200"/>
      <w:jc w:val="center"/>
      <w:outlineLvl w:val="0"/>
    </w:pPr>
    <w:rPr>
      <w:rFonts w:ascii="黑体" w:eastAsia="黑体"/>
      <w:kern w:val="0"/>
      <w:szCs w:val="20"/>
    </w:rPr>
  </w:style>
  <w:style w:type="paragraph" w:customStyle="1" w:styleId="56">
    <w:name w:val="Table Text"/>
    <w:basedOn w:val="1"/>
    <w:qFormat/>
    <w:uiPriority w:val="0"/>
    <w:pPr>
      <w:widowControl/>
      <w:jc w:val="left"/>
    </w:pPr>
    <w:rPr>
      <w:rFonts w:ascii="Times New Roman" w:hAnsi="Times New Roman"/>
      <w:kern w:val="0"/>
      <w:sz w:val="24"/>
      <w:szCs w:val="20"/>
      <w:lang w:eastAsia="en-US"/>
    </w:rPr>
  </w:style>
  <w:style w:type="paragraph" w:customStyle="1" w:styleId="5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6"/>
      <w:szCs w:val="16"/>
    </w:rPr>
  </w:style>
  <w:style w:type="paragraph" w:customStyle="1" w:styleId="58">
    <w:name w:val="_Style 56"/>
    <w:basedOn w:val="2"/>
    <w:next w:val="1"/>
    <w:qFormat/>
    <w:uiPriority w:val="0"/>
    <w:pPr>
      <w:outlineLvl w:val="9"/>
    </w:pPr>
  </w:style>
  <w:style w:type="paragraph" w:customStyle="1" w:styleId="59">
    <w:name w:val=" Char Char Char Char"/>
    <w:basedOn w:val="1"/>
    <w:qFormat/>
    <w:uiPriority w:val="0"/>
    <w:rPr>
      <w:szCs w:val="20"/>
    </w:rPr>
  </w:style>
  <w:style w:type="paragraph" w:customStyle="1" w:styleId="60">
    <w:name w:val="1"/>
    <w:basedOn w:val="1"/>
    <w:qFormat/>
    <w:uiPriority w:val="0"/>
    <w:pPr>
      <w:widowControl/>
      <w:spacing w:after="160" w:afterLines="0" w:line="240" w:lineRule="exact"/>
      <w:jc w:val="left"/>
    </w:pPr>
    <w:rPr>
      <w:rFonts w:ascii="Verdana" w:hAnsi="Verdana" w:eastAsia="仿宋_GB2312"/>
      <w:kern w:val="0"/>
      <w:sz w:val="20"/>
      <w:szCs w:val="20"/>
      <w:lang w:eastAsia="en-US"/>
    </w:rPr>
  </w:style>
  <w:style w:type="paragraph" w:customStyle="1" w:styleId="61">
    <w:name w:val="五级条标题"/>
    <w:basedOn w:val="62"/>
    <w:next w:val="67"/>
    <w:qFormat/>
    <w:uiPriority w:val="0"/>
    <w:pPr>
      <w:tabs>
        <w:tab w:val="left" w:pos="1400"/>
      </w:tabs>
      <w:outlineLvl w:val="6"/>
    </w:pPr>
  </w:style>
  <w:style w:type="paragraph" w:customStyle="1" w:styleId="62">
    <w:name w:val="四级条标题"/>
    <w:basedOn w:val="63"/>
    <w:next w:val="67"/>
    <w:qFormat/>
    <w:uiPriority w:val="0"/>
    <w:pPr>
      <w:tabs>
        <w:tab w:val="left" w:pos="1400"/>
      </w:tabs>
      <w:outlineLvl w:val="5"/>
    </w:pPr>
  </w:style>
  <w:style w:type="paragraph" w:customStyle="1" w:styleId="63">
    <w:name w:val="三级条标题"/>
    <w:basedOn w:val="64"/>
    <w:next w:val="67"/>
    <w:qFormat/>
    <w:uiPriority w:val="0"/>
    <w:pPr>
      <w:tabs>
        <w:tab w:val="left" w:pos="1400"/>
      </w:tabs>
      <w:outlineLvl w:val="4"/>
    </w:pPr>
  </w:style>
  <w:style w:type="paragraph" w:customStyle="1" w:styleId="64">
    <w:name w:val="二级条标题"/>
    <w:basedOn w:val="65"/>
    <w:next w:val="67"/>
    <w:qFormat/>
    <w:uiPriority w:val="0"/>
    <w:pPr>
      <w:tabs>
        <w:tab w:val="left" w:pos="1400"/>
      </w:tabs>
      <w:ind w:left="180"/>
      <w:outlineLvl w:val="3"/>
    </w:pPr>
  </w:style>
  <w:style w:type="paragraph" w:customStyle="1" w:styleId="65">
    <w:name w:val="一级条标题"/>
    <w:basedOn w:val="66"/>
    <w:next w:val="67"/>
    <w:qFormat/>
    <w:uiPriority w:val="0"/>
    <w:pPr>
      <w:numPr>
        <w:ilvl w:val="1"/>
        <w:numId w:val="0"/>
      </w:numPr>
      <w:tabs>
        <w:tab w:val="left" w:pos="1400"/>
      </w:tabs>
      <w:spacing w:before="0" w:beforeLines="0" w:after="0" w:afterLines="0"/>
      <w:outlineLvl w:val="2"/>
    </w:pPr>
    <w:rPr>
      <w:rFonts w:hAnsi="Times New Roman"/>
      <w:kern w:val="0"/>
      <w:szCs w:val="20"/>
    </w:rPr>
  </w:style>
  <w:style w:type="paragraph" w:customStyle="1" w:styleId="66">
    <w:name w:val="章标题"/>
    <w:next w:val="67"/>
    <w:qFormat/>
    <w:uiPriority w:val="0"/>
    <w:pPr>
      <w:numPr>
        <w:ilvl w:val="1"/>
        <w:numId w:val="3"/>
      </w:numPr>
      <w:spacing w:before="156" w:beforeLines="50" w:after="156" w:afterLines="50"/>
      <w:jc w:val="both"/>
      <w:outlineLvl w:val="1"/>
    </w:pPr>
    <w:rPr>
      <w:rFonts w:ascii="黑体" w:hAnsi="Times New Roman" w:eastAsia="黑体" w:cs="Times New Roman"/>
      <w:kern w:val="2"/>
      <w:sz w:val="21"/>
      <w:szCs w:val="22"/>
      <w:lang w:val="en-US" w:eastAsia="zh-CN" w:bidi="ar-SA"/>
    </w:rPr>
  </w:style>
  <w:style w:type="paragraph" w:customStyle="1" w:styleId="67">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6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6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宋体" w:hAnsi="宋体" w:cs="宋体"/>
      <w:color w:val="000000"/>
      <w:kern w:val="0"/>
      <w:sz w:val="24"/>
      <w:szCs w:val="24"/>
    </w:rPr>
  </w:style>
  <w:style w:type="paragraph" w:customStyle="1" w:styleId="70">
    <w:name w:val="样式 宋体 小四 行距: 固定值 28 磅 首行缩进:  2 字符"/>
    <w:basedOn w:val="1"/>
    <w:qFormat/>
    <w:uiPriority w:val="0"/>
    <w:pPr>
      <w:spacing w:line="560" w:lineRule="exact"/>
      <w:ind w:firstLine="200" w:firstLineChars="200"/>
    </w:pPr>
    <w:rPr>
      <w:rFonts w:ascii="宋体" w:hAnsi="宋体"/>
      <w:sz w:val="24"/>
      <w:szCs w:val="24"/>
    </w:rPr>
  </w:style>
  <w:style w:type="paragraph" w:customStyle="1" w:styleId="71">
    <w:name w:val="样式 标题 2 + 居中"/>
    <w:basedOn w:val="3"/>
    <w:qFormat/>
    <w:uiPriority w:val="0"/>
    <w:pPr>
      <w:jc w:val="center"/>
    </w:pPr>
    <w:rPr>
      <w:rFonts w:ascii="Arial" w:hAnsi="Arial" w:cs="宋体"/>
      <w:szCs w:val="20"/>
    </w:rPr>
  </w:style>
  <w:style w:type="paragraph" w:customStyle="1" w:styleId="72">
    <w:name w:val="中文正文"/>
    <w:basedOn w:val="1"/>
    <w:link w:val="170"/>
    <w:qFormat/>
    <w:uiPriority w:val="0"/>
    <w:pPr>
      <w:shd w:val="clear" w:color="auto" w:fill="FFFFFF"/>
      <w:spacing w:after="156" w:afterLines="50"/>
      <w:ind w:firstLine="200" w:firstLineChars="200"/>
    </w:pPr>
    <w:rPr>
      <w:rFonts w:ascii="宋体" w:hAnsi="宋体"/>
      <w:spacing w:val="-1"/>
      <w:sz w:val="24"/>
      <w:szCs w:val="24"/>
      <w:lang w:val="zh-CN"/>
    </w:rPr>
  </w:style>
  <w:style w:type="paragraph" w:customStyle="1" w:styleId="73">
    <w:name w:val="Char Char Char Char Char Char Char Char Char Char Char Char Char Char Char Char Char Char Char Char1 Char Char Char Char"/>
    <w:basedOn w:val="1"/>
    <w:qFormat/>
    <w:uiPriority w:val="0"/>
    <w:rPr>
      <w:rFonts w:ascii="Times New Roman" w:hAnsi="Times New Roman"/>
      <w:szCs w:val="24"/>
    </w:rPr>
  </w:style>
  <w:style w:type="paragraph" w:styleId="74">
    <w:name w:val="List Paragraph"/>
    <w:basedOn w:val="1"/>
    <w:qFormat/>
    <w:uiPriority w:val="0"/>
    <w:pPr>
      <w:ind w:firstLine="420" w:firstLineChars="200"/>
    </w:pPr>
  </w:style>
  <w:style w:type="paragraph" w:customStyle="1" w:styleId="75">
    <w:name w:val="正文（合同）"/>
    <w:basedOn w:val="1"/>
    <w:qFormat/>
    <w:uiPriority w:val="0"/>
    <w:pPr>
      <w:spacing w:line="520" w:lineRule="exact"/>
      <w:jc w:val="center"/>
    </w:pPr>
    <w:rPr>
      <w:rFonts w:ascii="宋体" w:hAnsi="宋体" w:cs="宋体"/>
      <w:sz w:val="30"/>
      <w:szCs w:val="30"/>
    </w:rPr>
  </w:style>
  <w:style w:type="paragraph" w:customStyle="1" w:styleId="76">
    <w:name w:val="Normal (Web)"/>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77">
    <w:name w:val="Char Char2"/>
    <w:basedOn w:val="1"/>
    <w:qFormat/>
    <w:uiPriority w:val="0"/>
    <w:pPr>
      <w:widowControl/>
      <w:adjustRightInd w:val="0"/>
      <w:spacing w:after="160" w:afterLines="0" w:line="240" w:lineRule="exact"/>
      <w:jc w:val="left"/>
    </w:pPr>
    <w:rPr>
      <w:rFonts w:ascii="Verdana" w:hAnsi="Verdana"/>
      <w:kern w:val="0"/>
      <w:sz w:val="20"/>
      <w:szCs w:val="20"/>
      <w:lang w:eastAsia="en-US"/>
    </w:rPr>
  </w:style>
  <w:style w:type="paragraph" w:customStyle="1" w:styleId="78">
    <w:name w:val="xl42"/>
    <w:basedOn w:val="1"/>
    <w:qFormat/>
    <w:uiPriority w:val="0"/>
    <w:pPr>
      <w:widowControl/>
      <w:pBdr>
        <w:lef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79">
    <w:name w:val="xl27"/>
    <w:basedOn w:val="1"/>
    <w:qFormat/>
    <w:uiPriority w:val="0"/>
    <w:pPr>
      <w:widowControl/>
      <w:pBdr>
        <w:bottom w:val="single" w:color="auto" w:sz="4" w:space="0"/>
      </w:pBdr>
      <w:spacing w:before="100" w:beforeLines="0" w:beforeAutospacing="1" w:after="100" w:afterLines="0" w:afterAutospacing="1"/>
      <w:jc w:val="center"/>
      <w:textAlignment w:val="center"/>
    </w:pPr>
    <w:rPr>
      <w:rFonts w:ascii="Arial Unicode MS" w:hAnsi="Arial Unicode MS" w:eastAsia="Arial Unicode MS" w:cs="Arial Unicode MS"/>
      <w:b/>
      <w:bCs/>
      <w:kern w:val="0"/>
      <w:sz w:val="32"/>
      <w:szCs w:val="32"/>
    </w:rPr>
  </w:style>
  <w:style w:type="paragraph" w:customStyle="1" w:styleId="80">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Arial Unicode MS" w:eastAsia="仿宋_GB2312" w:cs="Arial Unicode MS"/>
      <w:kern w:val="0"/>
      <w:sz w:val="24"/>
    </w:rPr>
  </w:style>
  <w:style w:type="paragraph" w:customStyle="1" w:styleId="81">
    <w:name w:val="xl37"/>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ascii="Arial Unicode MS" w:hAnsi="Arial Unicode MS"/>
      <w:kern w:val="0"/>
      <w:sz w:val="24"/>
    </w:rPr>
  </w:style>
  <w:style w:type="paragraph" w:customStyle="1" w:styleId="82">
    <w:name w:val="第一章"/>
    <w:basedOn w:val="1"/>
    <w:qFormat/>
    <w:uiPriority w:val="0"/>
    <w:pPr>
      <w:adjustRightInd w:val="0"/>
      <w:spacing w:before="360" w:beforeLines="0" w:after="280" w:afterLines="0" w:line="313" w:lineRule="exact"/>
      <w:jc w:val="center"/>
    </w:pPr>
    <w:rPr>
      <w:rFonts w:ascii="Times New Roman" w:hAnsi="Times New Roman" w:eastAsia="黑体"/>
      <w:sz w:val="28"/>
      <w:szCs w:val="20"/>
    </w:rPr>
  </w:style>
  <w:style w:type="paragraph" w:customStyle="1" w:styleId="83">
    <w:name w:val="规范 - 附录 - 序号"/>
    <w:basedOn w:val="1"/>
    <w:next w:val="1"/>
    <w:qFormat/>
    <w:uiPriority w:val="0"/>
    <w:pPr>
      <w:spacing w:line="560" w:lineRule="exact"/>
    </w:pPr>
    <w:rPr>
      <w:rFonts w:ascii="方正仿宋简体" w:hAnsi="宋体" w:eastAsia="方正仿宋简体" w:cs="Arial"/>
      <w:sz w:val="32"/>
      <w:szCs w:val="32"/>
    </w:rPr>
  </w:style>
  <w:style w:type="paragraph" w:customStyle="1" w:styleId="84">
    <w:name w:val="font6"/>
    <w:basedOn w:val="1"/>
    <w:qFormat/>
    <w:uiPriority w:val="0"/>
    <w:pPr>
      <w:widowControl/>
      <w:spacing w:before="100" w:beforeLines="0" w:beforeAutospacing="1" w:after="100" w:afterLines="0" w:afterAutospacing="1"/>
      <w:jc w:val="left"/>
    </w:pPr>
    <w:rPr>
      <w:kern w:val="0"/>
      <w:sz w:val="24"/>
    </w:rPr>
  </w:style>
  <w:style w:type="paragraph" w:customStyle="1" w:styleId="85">
    <w:name w:val="Balloon Text"/>
    <w:basedOn w:val="1"/>
    <w:link w:val="179"/>
    <w:qFormat/>
    <w:uiPriority w:val="0"/>
    <w:rPr>
      <w:kern w:val="0"/>
      <w:sz w:val="18"/>
      <w:szCs w:val="18"/>
    </w:rPr>
  </w:style>
  <w:style w:type="paragraph" w:customStyle="1" w:styleId="86">
    <w:name w:val="正文列表"/>
    <w:basedOn w:val="87"/>
    <w:qFormat/>
    <w:uiPriority w:val="0"/>
    <w:pPr>
      <w:numPr>
        <w:ilvl w:val="3"/>
        <w:numId w:val="1"/>
      </w:numPr>
      <w:tabs>
        <w:tab w:val="left" w:pos="0"/>
        <w:tab w:val="left" w:pos="1800"/>
        <w:tab w:val="left" w:pos="1890"/>
        <w:tab w:val="left" w:pos="2160"/>
        <w:tab w:val="left" w:pos="2700"/>
        <w:tab w:val="left" w:pos="3240"/>
        <w:tab w:val="clear" w:pos="1980"/>
      </w:tabs>
      <w:ind w:left="0" w:firstLine="560"/>
    </w:pPr>
  </w:style>
  <w:style w:type="paragraph" w:customStyle="1" w:styleId="87">
    <w:name w:val="一级正文"/>
    <w:basedOn w:val="1"/>
    <w:qFormat/>
    <w:uiPriority w:val="0"/>
    <w:pPr>
      <w:numPr>
        <w:ilvl w:val="0"/>
        <w:numId w:val="1"/>
      </w:numPr>
      <w:tabs>
        <w:tab w:val="left" w:pos="0"/>
        <w:tab w:val="left" w:pos="1800"/>
        <w:tab w:val="left" w:pos="1980"/>
        <w:tab w:val="left" w:pos="2160"/>
        <w:tab w:val="left" w:pos="2700"/>
        <w:tab w:val="left" w:pos="3240"/>
        <w:tab w:val="clear" w:pos="333"/>
      </w:tabs>
      <w:ind w:left="360" w:firstLine="540"/>
    </w:pPr>
    <w:rPr>
      <w:rFonts w:ascii="方正仿宋简体" w:hAnsi="宋体" w:eastAsia="方正仿宋简体"/>
      <w:sz w:val="32"/>
      <w:szCs w:val="32"/>
    </w:rPr>
  </w:style>
  <w:style w:type="paragraph" w:customStyle="1" w:styleId="8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2"/>
      <w:szCs w:val="22"/>
    </w:rPr>
  </w:style>
  <w:style w:type="paragraph" w:customStyle="1" w:styleId="8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24"/>
      <w:szCs w:val="24"/>
    </w:rPr>
  </w:style>
  <w:style w:type="paragraph" w:customStyle="1" w:styleId="90">
    <w:name w:val="itemnum"/>
    <w:basedOn w:val="1"/>
    <w:qFormat/>
    <w:uiPriority w:val="0"/>
    <w:pPr>
      <w:widowControl/>
      <w:spacing w:after="120"/>
      <w:ind w:left="360" w:hanging="360"/>
      <w:jc w:val="left"/>
    </w:pPr>
    <w:rPr>
      <w:kern w:val="0"/>
      <w:sz w:val="20"/>
    </w:rPr>
  </w:style>
  <w:style w:type="paragraph" w:customStyle="1" w:styleId="9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0"/>
      <w:szCs w:val="20"/>
    </w:rPr>
  </w:style>
  <w:style w:type="paragraph" w:customStyle="1" w:styleId="92">
    <w:name w:val="H"/>
    <w:basedOn w:val="1"/>
    <w:qFormat/>
    <w:uiPriority w:val="0"/>
    <w:pPr>
      <w:tabs>
        <w:tab w:val="left" w:pos="1702"/>
      </w:tabs>
      <w:autoSpaceDE w:val="0"/>
      <w:autoSpaceDN w:val="0"/>
      <w:adjustRightInd w:val="0"/>
      <w:jc w:val="left"/>
      <w:textAlignment w:val="baseline"/>
    </w:pPr>
    <w:rPr>
      <w:rFonts w:ascii="MingLiU" w:hAnsi="CG Times (WN)" w:eastAsia="PMingLiU"/>
      <w:kern w:val="0"/>
      <w:sz w:val="24"/>
      <w:szCs w:val="20"/>
      <w:lang w:eastAsia="zh-TW"/>
    </w:rPr>
  </w:style>
  <w:style w:type="paragraph" w:customStyle="1" w:styleId="93">
    <w:name w:val="List Paragraph1"/>
    <w:basedOn w:val="1"/>
    <w:qFormat/>
    <w:uiPriority w:val="0"/>
    <w:pPr>
      <w:ind w:firstLine="420" w:firstLineChars="200"/>
    </w:pPr>
  </w:style>
  <w:style w:type="paragraph" w:customStyle="1" w:styleId="9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4"/>
      <w:szCs w:val="24"/>
    </w:rPr>
  </w:style>
  <w:style w:type="paragraph" w:customStyle="1" w:styleId="9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24"/>
      <w:szCs w:val="24"/>
    </w:rPr>
  </w:style>
  <w:style w:type="paragraph" w:customStyle="1" w:styleId="96">
    <w:name w:val="lan"/>
    <w:basedOn w:val="1"/>
    <w:qFormat/>
    <w:uiPriority w:val="0"/>
    <w:pPr>
      <w:widowControl/>
      <w:spacing w:before="100" w:beforeLines="0" w:beforeAutospacing="1" w:after="100" w:afterLines="0" w:afterAutospacing="1" w:line="320" w:lineRule="atLeast"/>
      <w:jc w:val="left"/>
    </w:pPr>
    <w:rPr>
      <w:rFonts w:ascii="宋体" w:hAnsi="宋体" w:cs="宋体"/>
      <w:color w:val="003399"/>
      <w:kern w:val="0"/>
      <w:sz w:val="18"/>
      <w:szCs w:val="18"/>
    </w:rPr>
  </w:style>
  <w:style w:type="paragraph" w:customStyle="1" w:styleId="97">
    <w:name w:val="二级正文列表"/>
    <w:basedOn w:val="1"/>
    <w:qFormat/>
    <w:uiPriority w:val="0"/>
    <w:pPr>
      <w:numPr>
        <w:ilvl w:val="6"/>
        <w:numId w:val="1"/>
      </w:numPr>
      <w:tabs>
        <w:tab w:val="left" w:pos="840"/>
        <w:tab w:val="left" w:pos="3720"/>
        <w:tab w:val="clear" w:pos="2940"/>
      </w:tabs>
      <w:spacing w:after="156" w:afterLines="50"/>
      <w:ind w:left="840" w:hanging="1200"/>
    </w:pPr>
  </w:style>
  <w:style w:type="paragraph" w:customStyle="1" w:styleId="98">
    <w:name w:val="字元 字元 Char Char"/>
    <w:basedOn w:val="16"/>
    <w:qFormat/>
    <w:uiPriority w:val="0"/>
    <w:pPr>
      <w:adjustRightInd w:val="0"/>
      <w:spacing w:line="436" w:lineRule="exact"/>
      <w:ind w:left="357"/>
      <w:jc w:val="left"/>
      <w:outlineLvl w:val="3"/>
    </w:pPr>
    <w:rPr>
      <w:rFonts w:hint="default" w:ascii="Tahoma" w:hAnsi="Tahoma"/>
      <w:b/>
      <w:sz w:val="24"/>
      <w:szCs w:val="20"/>
    </w:rPr>
  </w:style>
  <w:style w:type="paragraph" w:customStyle="1" w:styleId="99">
    <w:name w:val="font0"/>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0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b/>
      <w:bCs/>
      <w:color w:val="000000"/>
      <w:kern w:val="0"/>
      <w:sz w:val="24"/>
      <w:szCs w:val="24"/>
    </w:rPr>
  </w:style>
  <w:style w:type="paragraph" w:customStyle="1" w:styleId="101">
    <w:name w:val=" Char1"/>
    <w:basedOn w:val="1"/>
    <w:qFormat/>
    <w:uiPriority w:val="0"/>
  </w:style>
  <w:style w:type="paragraph" w:customStyle="1" w:styleId="102">
    <w:name w:val="字元 字元 Char Char1"/>
    <w:basedOn w:val="16"/>
    <w:qFormat/>
    <w:uiPriority w:val="0"/>
    <w:pPr>
      <w:adjustRightInd w:val="0"/>
      <w:spacing w:line="436" w:lineRule="exact"/>
      <w:ind w:left="357"/>
      <w:jc w:val="left"/>
      <w:outlineLvl w:val="3"/>
    </w:pPr>
    <w:rPr>
      <w:rFonts w:hint="default" w:ascii="Tahoma" w:hAnsi="Tahoma"/>
      <w:b/>
      <w:sz w:val="24"/>
      <w:szCs w:val="20"/>
    </w:rPr>
  </w:style>
  <w:style w:type="paragraph" w:customStyle="1" w:styleId="103">
    <w:name w:val="Char Char Char Char Char Char Char"/>
    <w:basedOn w:val="1"/>
    <w:qFormat/>
    <w:uiPriority w:val="0"/>
    <w:rPr>
      <w:szCs w:val="21"/>
    </w:rPr>
  </w:style>
  <w:style w:type="paragraph" w:customStyle="1" w:styleId="104">
    <w:name w:val="xl25"/>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cs="宋体"/>
      <w:kern w:val="0"/>
      <w:sz w:val="24"/>
    </w:rPr>
  </w:style>
  <w:style w:type="paragraph" w:customStyle="1" w:styleId="10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0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bottom"/>
    </w:pPr>
    <w:rPr>
      <w:rFonts w:ascii="宋体" w:hAnsi="宋体" w:cs="宋体"/>
      <w:kern w:val="0"/>
      <w:sz w:val="24"/>
    </w:rPr>
  </w:style>
  <w:style w:type="paragraph" w:customStyle="1" w:styleId="107">
    <w:name w:val="第一节"/>
    <w:basedOn w:val="1"/>
    <w:qFormat/>
    <w:uiPriority w:val="0"/>
    <w:pPr>
      <w:adjustRightInd w:val="0"/>
      <w:spacing w:before="120" w:beforeLines="0" w:after="120" w:afterLines="0" w:line="313" w:lineRule="exact"/>
      <w:jc w:val="center"/>
    </w:pPr>
    <w:rPr>
      <w:rFonts w:ascii="Times New Roman" w:hAnsi="Times New Roman" w:eastAsia="黑体"/>
      <w:szCs w:val="20"/>
    </w:rPr>
  </w:style>
  <w:style w:type="paragraph" w:customStyle="1" w:styleId="108">
    <w:name w:val="Char Char Char Char1"/>
    <w:basedOn w:val="1"/>
    <w:qFormat/>
    <w:uiPriority w:val="0"/>
    <w:rPr>
      <w:rFonts w:ascii="Times New Roman" w:hAnsi="Times New Roman"/>
      <w:szCs w:val="21"/>
    </w:rPr>
  </w:style>
  <w:style w:type="paragraph" w:customStyle="1" w:styleId="109">
    <w:name w:val="xl38"/>
    <w:basedOn w:val="1"/>
    <w:qFormat/>
    <w:uiPriority w:val="0"/>
    <w:pPr>
      <w:widowControl/>
      <w:pBdr>
        <w:left w:val="single" w:color="auto" w:sz="4" w:space="0"/>
        <w:right w:val="single" w:color="auto" w:sz="4" w:space="0"/>
      </w:pBdr>
      <w:spacing w:before="100" w:beforeLines="0" w:beforeAutospacing="1" w:after="100" w:afterLines="0" w:afterAutospacing="1"/>
      <w:jc w:val="left"/>
    </w:pPr>
    <w:rPr>
      <w:rFonts w:ascii="宋体" w:hAnsi="宋体" w:cs="宋体"/>
      <w:kern w:val="0"/>
      <w:sz w:val="24"/>
    </w:rPr>
  </w:style>
  <w:style w:type="paragraph" w:customStyle="1" w:styleId="11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rPr>
  </w:style>
  <w:style w:type="paragraph" w:customStyle="1" w:styleId="111">
    <w:name w:val="Char1"/>
    <w:basedOn w:val="1"/>
    <w:qFormat/>
    <w:uiPriority w:val="0"/>
    <w:rPr>
      <w:rFonts w:ascii="Times New Roman" w:hAnsi="Times New Roman"/>
      <w:szCs w:val="24"/>
    </w:rPr>
  </w:style>
  <w:style w:type="paragraph" w:customStyle="1" w:styleId="112">
    <w:name w:val=" Char Char Char Char Char Char Char"/>
    <w:basedOn w:val="1"/>
    <w:qFormat/>
    <w:uiPriority w:val="0"/>
    <w:rPr>
      <w:szCs w:val="21"/>
    </w:rPr>
  </w:style>
  <w:style w:type="paragraph" w:customStyle="1" w:styleId="1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24"/>
      <w:szCs w:val="24"/>
    </w:rPr>
  </w:style>
  <w:style w:type="paragraph" w:customStyle="1" w:styleId="11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115">
    <w:name w:val="xl77"/>
    <w:basedOn w:val="1"/>
    <w:qFormat/>
    <w:uiPriority w:val="0"/>
    <w:pPr>
      <w:widowControl/>
      <w:pBdr>
        <w:top w:val="single" w:color="auto" w:sz="4" w:space="0"/>
      </w:pBdr>
      <w:spacing w:before="100" w:beforeLines="0" w:beforeAutospacing="1" w:after="100" w:afterLines="0" w:afterAutospacing="1"/>
      <w:jc w:val="left"/>
    </w:pPr>
    <w:rPr>
      <w:rFonts w:ascii="宋体" w:hAnsi="宋体" w:cs="宋体"/>
      <w:kern w:val="0"/>
      <w:sz w:val="24"/>
      <w:szCs w:val="24"/>
    </w:rPr>
  </w:style>
  <w:style w:type="paragraph" w:customStyle="1" w:styleId="116">
    <w:name w:val="Char"/>
    <w:basedOn w:val="1"/>
    <w:qFormat/>
    <w:uiPriority w:val="0"/>
    <w:rPr>
      <w:szCs w:val="21"/>
    </w:rPr>
  </w:style>
  <w:style w:type="paragraph" w:customStyle="1" w:styleId="117">
    <w:name w:val="_Style 8"/>
    <w:basedOn w:val="1"/>
    <w:qFormat/>
    <w:uiPriority w:val="0"/>
    <w:rPr>
      <w:szCs w:val="20"/>
    </w:rPr>
  </w:style>
  <w:style w:type="paragraph" w:customStyle="1" w:styleId="118">
    <w:name w:val="图表脚注"/>
    <w:next w:val="67"/>
    <w:qFormat/>
    <w:uiPriority w:val="0"/>
    <w:pPr>
      <w:jc w:val="both"/>
    </w:pPr>
    <w:rPr>
      <w:rFonts w:ascii="宋体" w:hAnsi="Times New Roman" w:eastAsia="宋体" w:cs="Times New Roman"/>
      <w:kern w:val="2"/>
      <w:sz w:val="18"/>
      <w:szCs w:val="22"/>
      <w:lang w:val="en-US" w:eastAsia="zh-CN" w:bidi="ar-SA"/>
    </w:rPr>
  </w:style>
  <w:style w:type="paragraph" w:customStyle="1" w:styleId="119">
    <w:name w:val="样式"/>
    <w:qFormat/>
    <w:uiPriority w:val="0"/>
    <w:pPr>
      <w:widowControl w:val="0"/>
      <w:autoSpaceDE w:val="0"/>
      <w:autoSpaceDN w:val="0"/>
      <w:adjustRightInd w:val="0"/>
    </w:pPr>
    <w:rPr>
      <w:rFonts w:ascii="宋体" w:hAnsi="Times New Roman" w:eastAsia="宋体" w:cs="宋体"/>
      <w:kern w:val="2"/>
      <w:sz w:val="24"/>
      <w:szCs w:val="24"/>
      <w:lang w:val="en-US" w:eastAsia="zh-CN" w:bidi="ar-SA"/>
    </w:rPr>
  </w:style>
  <w:style w:type="paragraph" w:customStyle="1" w:styleId="120">
    <w:name w:val="正文(首缩进)"/>
    <w:basedOn w:val="1"/>
    <w:qFormat/>
    <w:uiPriority w:val="0"/>
    <w:pPr>
      <w:spacing w:before="78" w:beforeLines="25" w:after="78" w:afterLines="25" w:line="420" w:lineRule="auto"/>
      <w:ind w:firstLine="200" w:firstLineChars="200"/>
    </w:pPr>
    <w:rPr>
      <w:rFonts w:ascii="宋体" w:hAnsi="Times New Roman"/>
      <w:sz w:val="28"/>
      <w:szCs w:val="20"/>
    </w:rPr>
  </w:style>
  <w:style w:type="paragraph" w:customStyle="1" w:styleId="121">
    <w:name w:val="样式1"/>
    <w:basedOn w:val="3"/>
    <w:qFormat/>
    <w:uiPriority w:val="0"/>
    <w:pPr>
      <w:numPr>
        <w:ilvl w:val="0"/>
        <w:numId w:val="0"/>
      </w:numPr>
      <w:tabs>
        <w:tab w:val="left" w:pos="1260"/>
      </w:tabs>
      <w:spacing w:after="260" w:afterLines="0" w:line="416" w:lineRule="auto"/>
    </w:pPr>
    <w:rPr>
      <w:rFonts w:ascii="宋体" w:hAnsi="宋体" w:eastAsia="宋体"/>
      <w:szCs w:val="36"/>
    </w:rPr>
  </w:style>
  <w:style w:type="paragraph" w:customStyle="1" w:styleId="122">
    <w:name w:val="第 1 条"/>
    <w:basedOn w:val="1"/>
    <w:qFormat/>
    <w:uiPriority w:val="0"/>
    <w:pPr>
      <w:tabs>
        <w:tab w:val="left" w:pos="1275"/>
      </w:tabs>
      <w:ind w:left="1275" w:hanging="1275"/>
    </w:pPr>
    <w:rPr>
      <w:rFonts w:ascii="Times New Roman" w:hAnsi="Times New Roman"/>
      <w:szCs w:val="24"/>
    </w:rPr>
  </w:style>
  <w:style w:type="paragraph" w:customStyle="1" w:styleId="123">
    <w:name w:val="H0"/>
    <w:basedOn w:val="1"/>
    <w:qFormat/>
    <w:uiPriority w:val="0"/>
    <w:pPr>
      <w:autoSpaceDE w:val="0"/>
      <w:autoSpaceDN w:val="0"/>
      <w:adjustRightInd w:val="0"/>
      <w:ind w:left="1702" w:right="146"/>
      <w:jc w:val="left"/>
      <w:textAlignment w:val="baseline"/>
    </w:pPr>
    <w:rPr>
      <w:rFonts w:ascii="PMingLiU" w:hAnsi="PMingLiU" w:eastAsia="PMingLiU"/>
      <w:kern w:val="0"/>
      <w:sz w:val="24"/>
      <w:szCs w:val="20"/>
      <w:lang w:eastAsia="zh-TW"/>
    </w:rPr>
  </w:style>
  <w:style w:type="paragraph" w:customStyle="1" w:styleId="124">
    <w:name w:val="规范 - 附录 - 序号级别2"/>
    <w:basedOn w:val="1"/>
    <w:qFormat/>
    <w:uiPriority w:val="0"/>
    <w:pPr>
      <w:spacing w:line="560" w:lineRule="exact"/>
      <w:ind w:firstLine="640" w:firstLineChars="200"/>
      <w:jc w:val="left"/>
    </w:pPr>
    <w:rPr>
      <w:rFonts w:ascii="方正仿宋简体" w:hAnsi="宋体" w:eastAsia="方正仿宋简体" w:cs="Arial"/>
      <w:sz w:val="32"/>
      <w:szCs w:val="32"/>
    </w:rPr>
  </w:style>
  <w:style w:type="paragraph" w:customStyle="1" w:styleId="125">
    <w:name w:val="规范 - 附录 - 表格 - 标题"/>
    <w:basedOn w:val="1"/>
    <w:qFormat/>
    <w:uiPriority w:val="0"/>
    <w:pPr>
      <w:spacing w:line="560" w:lineRule="exact"/>
      <w:jc w:val="center"/>
    </w:pPr>
    <w:rPr>
      <w:rFonts w:ascii="方正小标宋简体" w:hAnsi="宋体" w:eastAsia="方正小标宋简体"/>
      <w:color w:val="000000"/>
      <w:sz w:val="32"/>
      <w:szCs w:val="32"/>
    </w:rPr>
  </w:style>
  <w:style w:type="paragraph" w:customStyle="1" w:styleId="126">
    <w:name w:val="目次、标准名称标题"/>
    <w:basedOn w:val="53"/>
    <w:next w:val="67"/>
    <w:qFormat/>
    <w:uiPriority w:val="0"/>
    <w:pPr>
      <w:spacing w:line="460" w:lineRule="exact"/>
    </w:pPr>
  </w:style>
  <w:style w:type="paragraph" w:customStyle="1" w:styleId="127">
    <w:name w:val="Char Char Char"/>
    <w:basedOn w:val="1"/>
    <w:qFormat/>
    <w:uiPriority w:val="0"/>
    <w:rPr>
      <w:rFonts w:hint="eastAsia"/>
    </w:rPr>
  </w:style>
  <w:style w:type="paragraph" w:customStyle="1" w:styleId="128">
    <w:name w:val="规范 - 附录 - 性质"/>
    <w:basedOn w:val="1"/>
    <w:qFormat/>
    <w:uiPriority w:val="0"/>
    <w:pPr>
      <w:jc w:val="center"/>
    </w:pPr>
    <w:rPr>
      <w:rFonts w:ascii="黑体" w:hAnsi="宋体" w:eastAsia="黑体"/>
      <w:color w:val="000000"/>
      <w:sz w:val="24"/>
      <w:szCs w:val="21"/>
    </w:rPr>
  </w:style>
  <w:style w:type="paragraph" w:customStyle="1" w:styleId="129">
    <w:name w:val="实施日期"/>
    <w:basedOn w:val="1"/>
    <w:qFormat/>
    <w:uiPriority w:val="0"/>
    <w:pPr>
      <w:widowControl/>
      <w:ind w:left="3570"/>
      <w:jc w:val="right"/>
    </w:pPr>
    <w:rPr>
      <w:rFonts w:ascii="Times New Roman" w:hAnsi="Times New Roman" w:eastAsia="黑体"/>
      <w:kern w:val="0"/>
      <w:sz w:val="28"/>
      <w:szCs w:val="20"/>
    </w:rPr>
  </w:style>
  <w:style w:type="paragraph" w:customStyle="1" w:styleId="130">
    <w:name w:val="Char Char1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131">
    <w:name w:val="font5"/>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132">
    <w:name w:val="附表头"/>
    <w:basedOn w:val="1"/>
    <w:qFormat/>
    <w:uiPriority w:val="0"/>
    <w:pPr>
      <w:spacing w:before="520" w:beforeLines="0" w:after="480" w:afterLines="0" w:line="313" w:lineRule="exact"/>
      <w:jc w:val="center"/>
    </w:pPr>
    <w:rPr>
      <w:rFonts w:hint="eastAsia" w:eastAsia="方正小标宋简体"/>
      <w:sz w:val="28"/>
    </w:rPr>
  </w:style>
  <w:style w:type="paragraph" w:customStyle="1" w:styleId="133">
    <w:name w:val="RCD_TITLE_LEFT"/>
    <w:basedOn w:val="1"/>
    <w:qFormat/>
    <w:uiPriority w:val="99"/>
    <w:pPr>
      <w:widowControl/>
      <w:autoSpaceDE w:val="0"/>
      <w:autoSpaceDN w:val="0"/>
      <w:adjustRightInd w:val="0"/>
      <w:jc w:val="left"/>
    </w:pPr>
    <w:rPr>
      <w:rFonts w:ascii="Arial" w:hAnsi="Arial" w:cs="Arial"/>
      <w:b/>
      <w:bCs/>
      <w:color w:val="000000"/>
      <w:kern w:val="0"/>
      <w:sz w:val="28"/>
      <w:szCs w:val="28"/>
      <w:lang w:val="zh-CN"/>
    </w:rPr>
  </w:style>
  <w:style w:type="paragraph" w:customStyle="1" w:styleId="134">
    <w:name w:val="Char11"/>
    <w:basedOn w:val="1"/>
    <w:qFormat/>
    <w:uiPriority w:val="0"/>
    <w:rPr>
      <w:rFonts w:ascii="Times New Roman" w:hAnsi="Times New Roman"/>
      <w:szCs w:val="24"/>
    </w:rPr>
  </w:style>
  <w:style w:type="paragraph" w:customStyle="1" w:styleId="135">
    <w:name w:val="默认段落字体 Para Char Char Char Char Char Char Char Char Char Char Char Char Char Char Char Char Char Char Char"/>
    <w:basedOn w:val="4"/>
    <w:qFormat/>
    <w:uiPriority w:val="0"/>
    <w:pPr>
      <w:tabs>
        <w:tab w:val="left" w:pos="851"/>
        <w:tab w:val="left" w:pos="900"/>
      </w:tabs>
      <w:snapToGrid w:val="0"/>
      <w:spacing w:before="120" w:beforeLines="0" w:after="120" w:afterLines="0" w:line="360" w:lineRule="auto"/>
      <w:ind w:left="542" w:leftChars="-12" w:firstLine="200" w:firstLineChars="200"/>
      <w:jc w:val="left"/>
    </w:pPr>
    <w:rPr>
      <w:rFonts w:ascii="Times New Roman" w:hAnsi="Times New Roman" w:eastAsia="黑体"/>
      <w:b w:val="0"/>
      <w:bCs w:val="0"/>
      <w:sz w:val="24"/>
      <w:szCs w:val="24"/>
    </w:rPr>
  </w:style>
  <w:style w:type="paragraph" w:customStyle="1" w:styleId="13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4"/>
    </w:rPr>
  </w:style>
  <w:style w:type="paragraph" w:customStyle="1" w:styleId="137">
    <w:name w:val="样式8"/>
    <w:basedOn w:val="1"/>
    <w:qFormat/>
    <w:uiPriority w:val="0"/>
    <w:pPr>
      <w:adjustRightInd w:val="0"/>
      <w:snapToGrid w:val="0"/>
      <w:spacing w:line="320" w:lineRule="exact"/>
      <w:ind w:firstLine="160" w:firstLineChars="160"/>
    </w:pPr>
    <w:rPr>
      <w:rFonts w:ascii="Times New Roman" w:hAnsi="Times New Roman"/>
      <w:color w:val="000000"/>
      <w:szCs w:val="21"/>
    </w:rPr>
  </w:style>
  <w:style w:type="paragraph" w:customStyle="1" w:styleId="138">
    <w:name w:val=" Char2"/>
    <w:basedOn w:val="1"/>
    <w:qFormat/>
    <w:uiPriority w:val="0"/>
    <w:rPr>
      <w:szCs w:val="20"/>
    </w:rPr>
  </w:style>
  <w:style w:type="paragraph" w:customStyle="1" w:styleId="139">
    <w:name w:val="正文 + 仿宋_GB2312"/>
    <w:basedOn w:val="1"/>
    <w:qFormat/>
    <w:uiPriority w:val="0"/>
    <w:pPr>
      <w:spacing w:line="560" w:lineRule="exact"/>
      <w:ind w:firstLine="560" w:firstLineChars="200"/>
    </w:pPr>
    <w:rPr>
      <w:rFonts w:ascii="仿宋_GB2312" w:hAnsi="Times New Roman" w:eastAsia="仿宋_GB2312"/>
      <w:color w:val="000000"/>
      <w:sz w:val="28"/>
      <w:szCs w:val="28"/>
    </w:rPr>
  </w:style>
  <w:style w:type="paragraph" w:customStyle="1" w:styleId="140">
    <w:name w:val="样式1 表标"/>
    <w:basedOn w:val="1"/>
    <w:qFormat/>
    <w:uiPriority w:val="0"/>
    <w:pPr>
      <w:adjustRightInd w:val="0"/>
      <w:snapToGrid w:val="0"/>
      <w:spacing w:line="300" w:lineRule="auto"/>
      <w:jc w:val="center"/>
    </w:pPr>
    <w:rPr>
      <w:rFonts w:ascii="宋体" w:hAnsi="宋体" w:eastAsia="黑体"/>
    </w:rPr>
  </w:style>
  <w:style w:type="paragraph" w:customStyle="1" w:styleId="141">
    <w:name w:val="xl71"/>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24"/>
      <w:szCs w:val="24"/>
    </w:rPr>
  </w:style>
  <w:style w:type="paragraph" w:customStyle="1" w:styleId="142">
    <w:name w:val="Default"/>
    <w:qFormat/>
    <w:uiPriority w:val="0"/>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143">
    <w:name w:val="xl74"/>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24"/>
      <w:szCs w:val="24"/>
    </w:rPr>
  </w:style>
  <w:style w:type="paragraph" w:customStyle="1" w:styleId="144">
    <w:name w:val="Body Text Indent 21"/>
    <w:basedOn w:val="1"/>
    <w:qFormat/>
    <w:uiPriority w:val="0"/>
    <w:pPr>
      <w:widowControl/>
      <w:ind w:left="-142"/>
      <w:jc w:val="left"/>
    </w:pPr>
    <w:rPr>
      <w:rFonts w:ascii="Arial" w:hAnsi="Arial"/>
      <w:kern w:val="0"/>
      <w:sz w:val="24"/>
      <w:szCs w:val="24"/>
      <w:lang w:eastAsia="en-US"/>
    </w:rPr>
  </w:style>
  <w:style w:type="paragraph" w:customStyle="1" w:styleId="145">
    <w:name w:val="p0"/>
    <w:basedOn w:val="1"/>
    <w:qFormat/>
    <w:uiPriority w:val="0"/>
    <w:pPr>
      <w:widowControl/>
    </w:pPr>
    <w:rPr>
      <w:kern w:val="0"/>
      <w:szCs w:val="21"/>
    </w:rPr>
  </w:style>
  <w:style w:type="paragraph" w:customStyle="1" w:styleId="146">
    <w:name w:val="规范 - 附录 - 序号级别1 图"/>
    <w:basedOn w:val="1"/>
    <w:qFormat/>
    <w:uiPriority w:val="0"/>
    <w:pPr>
      <w:spacing w:line="560" w:lineRule="exact"/>
      <w:ind w:firstLine="640" w:firstLineChars="200"/>
      <w:jc w:val="center"/>
    </w:pPr>
    <w:rPr>
      <w:rFonts w:ascii="方正仿宋简体" w:hAnsi="宋体" w:eastAsia="黑体" w:cs="Arial"/>
      <w:sz w:val="32"/>
      <w:szCs w:val="32"/>
    </w:rPr>
  </w:style>
  <w:style w:type="paragraph" w:customStyle="1" w:styleId="147">
    <w:name w:val="xl73"/>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宋体" w:hAnsi="宋体" w:cs="宋体"/>
      <w:color w:val="000000"/>
      <w:kern w:val="0"/>
      <w:sz w:val="24"/>
      <w:szCs w:val="24"/>
    </w:rPr>
  </w:style>
  <w:style w:type="paragraph" w:customStyle="1" w:styleId="148">
    <w:name w:val="0"/>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49">
    <w:name w:val="xl75"/>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24"/>
      <w:szCs w:val="24"/>
    </w:rPr>
  </w:style>
  <w:style w:type="paragraph" w:customStyle="1" w:styleId="150">
    <w:name w:val="xl76"/>
    <w:basedOn w:val="1"/>
    <w:qFormat/>
    <w:uiPriority w:val="0"/>
    <w:pPr>
      <w:widowControl/>
      <w:pBdr>
        <w:bottom w:val="single" w:color="auto" w:sz="4" w:space="0"/>
      </w:pBdr>
      <w:spacing w:before="100" w:beforeLines="0" w:beforeAutospacing="1" w:after="100" w:afterLines="0" w:afterAutospacing="1"/>
      <w:jc w:val="left"/>
    </w:pPr>
    <w:rPr>
      <w:rFonts w:ascii="宋体" w:hAnsi="宋体" w:cs="宋体"/>
      <w:b/>
      <w:bCs/>
      <w:color w:val="000000"/>
      <w:kern w:val="0"/>
      <w:sz w:val="32"/>
      <w:szCs w:val="32"/>
    </w:rPr>
  </w:style>
  <w:style w:type="paragraph" w:customStyle="1" w:styleId="151">
    <w:name w:val="xl6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152">
    <w:name w:val="2"/>
    <w:basedOn w:val="1"/>
    <w:next w:val="19"/>
    <w:qFormat/>
    <w:uiPriority w:val="0"/>
    <w:pPr>
      <w:ind w:left="1600" w:hanging="1600" w:hangingChars="500"/>
    </w:pPr>
    <w:rPr>
      <w:rFonts w:ascii="Times New Roman" w:hAnsi="Times New Roman" w:eastAsia="仿宋_GB2312"/>
      <w:sz w:val="32"/>
      <w:szCs w:val="24"/>
    </w:rPr>
  </w:style>
  <w:style w:type="paragraph" w:customStyle="1" w:styleId="153">
    <w:name w:val="Table Header Text"/>
    <w:basedOn w:val="56"/>
    <w:qFormat/>
    <w:uiPriority w:val="0"/>
    <w:pPr>
      <w:jc w:val="center"/>
    </w:pPr>
    <w:rPr>
      <w:b/>
    </w:rPr>
  </w:style>
  <w:style w:type="paragraph" w:customStyle="1" w:styleId="154">
    <w:name w:val="封面标准名称"/>
    <w:qFormat/>
    <w:uiPriority w:val="0"/>
    <w:pPr>
      <w:widowControl w:val="0"/>
      <w:spacing w:line="680" w:lineRule="exact"/>
      <w:jc w:val="center"/>
      <w:textAlignment w:val="center"/>
    </w:pPr>
    <w:rPr>
      <w:rFonts w:ascii="黑体" w:hAnsi="Times New Roman" w:eastAsia="黑体" w:cs="Times New Roman"/>
      <w:kern w:val="2"/>
      <w:sz w:val="52"/>
      <w:szCs w:val="22"/>
      <w:lang w:val="en-US" w:eastAsia="zh-CN" w:bidi="ar-SA"/>
    </w:rPr>
  </w:style>
  <w:style w:type="paragraph" w:customStyle="1" w:styleId="155">
    <w:name w:val="xl88"/>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宋体" w:hAnsi="宋体" w:cs="宋体"/>
      <w:b/>
      <w:bCs/>
      <w:kern w:val="0"/>
      <w:sz w:val="24"/>
      <w:szCs w:val="24"/>
    </w:rPr>
  </w:style>
  <w:style w:type="paragraph" w:customStyle="1" w:styleId="156">
    <w:name w:val=" Char Char2 Char Char Char Char Char"/>
    <w:basedOn w:val="1"/>
    <w:qFormat/>
    <w:uiPriority w:val="0"/>
    <w:rPr>
      <w:szCs w:val="21"/>
    </w:rPr>
  </w:style>
  <w:style w:type="paragraph" w:customStyle="1" w:styleId="15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bottom"/>
    </w:pPr>
    <w:rPr>
      <w:rFonts w:ascii="宋体" w:hAnsi="宋体" w:cs="宋体"/>
      <w:kern w:val="0"/>
      <w:sz w:val="20"/>
      <w:szCs w:val="20"/>
    </w:rPr>
  </w:style>
  <w:style w:type="paragraph" w:customStyle="1" w:styleId="158">
    <w:name w:val="报告正文"/>
    <w:basedOn w:val="1"/>
    <w:qFormat/>
    <w:uiPriority w:val="0"/>
    <w:pPr>
      <w:spacing w:line="420" w:lineRule="exact"/>
      <w:ind w:firstLine="200" w:firstLineChars="200"/>
    </w:pPr>
    <w:rPr>
      <w:rFonts w:ascii="Times" w:hAnsi="Times"/>
      <w:sz w:val="24"/>
      <w:szCs w:val="20"/>
    </w:rPr>
  </w:style>
  <w:style w:type="paragraph" w:customStyle="1" w:styleId="159">
    <w:name w:val="列出段落1"/>
    <w:basedOn w:val="1"/>
    <w:qFormat/>
    <w:uiPriority w:val="0"/>
    <w:pPr>
      <w:ind w:firstLine="420" w:firstLineChars="200"/>
    </w:pPr>
    <w:rPr>
      <w:rFonts w:ascii="Calibri" w:hAnsi="Calibri"/>
      <w:szCs w:val="22"/>
    </w:rPr>
  </w:style>
  <w:style w:type="paragraph" w:customStyle="1" w:styleId="160">
    <w:name w:val="Char Char1"/>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161">
    <w:name w:val=" Char"/>
    <w:basedOn w:val="1"/>
    <w:qFormat/>
    <w:uiPriority w:val="0"/>
  </w:style>
  <w:style w:type="paragraph" w:customStyle="1" w:styleId="16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bottom"/>
    </w:pPr>
    <w:rPr>
      <w:kern w:val="0"/>
      <w:sz w:val="24"/>
    </w:rPr>
  </w:style>
  <w:style w:type="paragraph" w:customStyle="1" w:styleId="163">
    <w:name w:val="xl40"/>
    <w:basedOn w:val="1"/>
    <w:qFormat/>
    <w:uiPriority w:val="0"/>
    <w:pPr>
      <w:widowControl/>
      <w:spacing w:before="100" w:beforeLines="0" w:beforeAutospacing="1" w:after="100" w:afterLines="0" w:afterAutospacing="1"/>
      <w:jc w:val="left"/>
      <w:textAlignment w:val="bottom"/>
    </w:pPr>
    <w:rPr>
      <w:rFonts w:ascii="宋体" w:hAnsi="宋体" w:cs="宋体"/>
      <w:kern w:val="0"/>
      <w:sz w:val="24"/>
    </w:rPr>
  </w:style>
  <w:style w:type="paragraph" w:customStyle="1" w:styleId="164">
    <w:name w:val="xl62"/>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165">
    <w:name w:val="正文不缩进 Char"/>
    <w:basedOn w:val="1"/>
    <w:qFormat/>
    <w:uiPriority w:val="0"/>
    <w:pPr>
      <w:spacing w:line="360" w:lineRule="auto"/>
    </w:pPr>
    <w:rPr>
      <w:rFonts w:ascii="Times New Roman" w:hAnsi="Times New Roman"/>
      <w:sz w:val="24"/>
      <w:szCs w:val="24"/>
    </w:rPr>
  </w:style>
  <w:style w:type="character" w:customStyle="1" w:styleId="166">
    <w:name w:val="正文首行缩进 Char"/>
    <w:basedOn w:val="167"/>
    <w:link w:val="12"/>
    <w:qFormat/>
    <w:uiPriority w:val="0"/>
  </w:style>
  <w:style w:type="character" w:customStyle="1" w:styleId="167">
    <w:name w:val="正文文本 Char"/>
    <w:link w:val="13"/>
    <w:qFormat/>
    <w:uiPriority w:val="0"/>
    <w:rPr>
      <w:kern w:val="2"/>
      <w:sz w:val="24"/>
      <w:szCs w:val="22"/>
    </w:rPr>
  </w:style>
  <w:style w:type="character" w:customStyle="1" w:styleId="168">
    <w:name w:val="页脚 字符"/>
    <w:qFormat/>
    <w:uiPriority w:val="0"/>
    <w:rPr>
      <w:sz w:val="18"/>
      <w:szCs w:val="18"/>
    </w:rPr>
  </w:style>
  <w:style w:type="character" w:customStyle="1" w:styleId="169">
    <w:name w:val="纯文本 Char"/>
    <w:link w:val="23"/>
    <w:qFormat/>
    <w:uiPriority w:val="0"/>
    <w:rPr>
      <w:rFonts w:ascii="宋体" w:hAnsi="Courier New" w:eastAsia="宋体" w:cs="Courier New"/>
      <w:kern w:val="2"/>
      <w:sz w:val="21"/>
      <w:szCs w:val="21"/>
      <w:lang w:val="en-US" w:eastAsia="zh-CN" w:bidi="ar-SA"/>
    </w:rPr>
  </w:style>
  <w:style w:type="character" w:customStyle="1" w:styleId="170">
    <w:name w:val="中文正文 Char Char"/>
    <w:link w:val="72"/>
    <w:qFormat/>
    <w:uiPriority w:val="0"/>
    <w:rPr>
      <w:rFonts w:ascii="宋体" w:hAnsi="宋体" w:eastAsia="宋体"/>
      <w:spacing w:val="-1"/>
      <w:kern w:val="2"/>
      <w:sz w:val="24"/>
      <w:szCs w:val="24"/>
      <w:lang w:val="zh-CN" w:bidi="ar-SA"/>
    </w:rPr>
  </w:style>
  <w:style w:type="character" w:customStyle="1" w:styleId="171">
    <w:name w:val="t_tag"/>
    <w:basedOn w:val="44"/>
    <w:qFormat/>
    <w:uiPriority w:val="0"/>
  </w:style>
  <w:style w:type="character" w:customStyle="1" w:styleId="172">
    <w:name w:val="标题 1 Char"/>
    <w:link w:val="2"/>
    <w:qFormat/>
    <w:uiPriority w:val="0"/>
    <w:rPr>
      <w:rFonts w:eastAsia="宋体"/>
      <w:b/>
      <w:bCs/>
      <w:kern w:val="44"/>
      <w:sz w:val="44"/>
      <w:szCs w:val="44"/>
      <w:lang w:val="en-US" w:eastAsia="zh-CN" w:bidi="ar-SA"/>
    </w:rPr>
  </w:style>
  <w:style w:type="character" w:customStyle="1" w:styleId="173">
    <w:name w:val="普通文字 Char Char"/>
    <w:qFormat/>
    <w:uiPriority w:val="0"/>
    <w:rPr>
      <w:rFonts w:ascii="宋体" w:hAnsi="Courier New" w:eastAsia="宋体" w:cs="Courier New"/>
      <w:kern w:val="2"/>
      <w:sz w:val="21"/>
      <w:szCs w:val="21"/>
      <w:lang w:val="en-US" w:eastAsia="zh-CN" w:bidi="ar-SA"/>
    </w:rPr>
  </w:style>
  <w:style w:type="character" w:customStyle="1" w:styleId="174">
    <w:name w:val="正文文本 3 Char"/>
    <w:link w:val="18"/>
    <w:qFormat/>
    <w:uiPriority w:val="0"/>
    <w:rPr>
      <w:rFonts w:ascii="宋体" w:hAnsi="宋体"/>
      <w:sz w:val="22"/>
      <w:szCs w:val="22"/>
    </w:rPr>
  </w:style>
  <w:style w:type="character" w:customStyle="1" w:styleId="175">
    <w:name w:val="脚注文本 Char"/>
    <w:link w:val="34"/>
    <w:qFormat/>
    <w:uiPriority w:val="0"/>
    <w:rPr>
      <w:rFonts w:ascii="Times New Roman" w:hAnsi="Times New Roman" w:eastAsia="Times New Roman"/>
      <w:lang w:val="en-GB" w:eastAsia="en-US"/>
    </w:rPr>
  </w:style>
  <w:style w:type="character" w:customStyle="1" w:styleId="176">
    <w:name w:val="正文文本缩进 Char"/>
    <w:link w:val="19"/>
    <w:qFormat/>
    <w:uiPriority w:val="0"/>
    <w:rPr>
      <w:rFonts w:ascii="仿宋_GB2312" w:eastAsia="仿宋_GB2312"/>
      <w:kern w:val="2"/>
      <w:sz w:val="28"/>
      <w:szCs w:val="22"/>
    </w:rPr>
  </w:style>
  <w:style w:type="character" w:customStyle="1" w:styleId="177">
    <w:name w:val="标题 4 Char"/>
    <w:link w:val="5"/>
    <w:qFormat/>
    <w:uiPriority w:val="0"/>
    <w:rPr>
      <w:rFonts w:ascii="Cambria" w:hAnsi="Cambria" w:eastAsia="宋体" w:cs="Times New Roman"/>
      <w:b/>
      <w:bCs/>
      <w:sz w:val="28"/>
      <w:szCs w:val="28"/>
    </w:rPr>
  </w:style>
  <w:style w:type="character" w:customStyle="1" w:styleId="178">
    <w:name w:val=" Char Char1"/>
    <w:qFormat/>
    <w:uiPriority w:val="0"/>
    <w:rPr>
      <w:rFonts w:ascii="Arial" w:hAnsi="Arial" w:eastAsia="黑体"/>
      <w:b/>
      <w:bCs/>
      <w:kern w:val="2"/>
      <w:sz w:val="32"/>
      <w:szCs w:val="28"/>
      <w:lang w:val="en-US" w:eastAsia="zh-CN" w:bidi="ar-SA"/>
    </w:rPr>
  </w:style>
  <w:style w:type="character" w:customStyle="1" w:styleId="179">
    <w:name w:val="批注框文本 Char Char"/>
    <w:link w:val="85"/>
    <w:qFormat/>
    <w:uiPriority w:val="0"/>
    <w:rPr>
      <w:sz w:val="18"/>
      <w:szCs w:val="18"/>
    </w:rPr>
  </w:style>
  <w:style w:type="character" w:customStyle="1" w:styleId="180">
    <w:name w:val="标题 2 Char Char"/>
    <w:qFormat/>
    <w:uiPriority w:val="0"/>
    <w:rPr>
      <w:rFonts w:ascii="Cambria" w:hAnsi="Cambria" w:eastAsia="宋体" w:cs="Times New Roman"/>
      <w:b/>
      <w:bCs/>
      <w:sz w:val="32"/>
      <w:szCs w:val="32"/>
    </w:rPr>
  </w:style>
  <w:style w:type="character" w:customStyle="1" w:styleId="181">
    <w:name w:val="标题 Char"/>
    <w:link w:val="43"/>
    <w:qFormat/>
    <w:uiPriority w:val="0"/>
    <w:rPr>
      <w:rFonts w:ascii="Cambria" w:hAnsi="Cambria" w:eastAsia="宋体" w:cs="Times New Roman"/>
      <w:b/>
      <w:bCs/>
      <w:sz w:val="32"/>
      <w:szCs w:val="32"/>
    </w:rPr>
  </w:style>
  <w:style w:type="character" w:customStyle="1" w:styleId="182">
    <w:name w:val="标题 3 Char"/>
    <w:link w:val="4"/>
    <w:qFormat/>
    <w:uiPriority w:val="0"/>
    <w:rPr>
      <w:b/>
      <w:bCs/>
      <w:sz w:val="32"/>
      <w:szCs w:val="32"/>
    </w:rPr>
  </w:style>
  <w:style w:type="character" w:customStyle="1" w:styleId="183">
    <w:name w:val=" Char Char Char"/>
    <w:qFormat/>
    <w:uiPriority w:val="0"/>
    <w:rPr>
      <w:rFonts w:ascii="Arial" w:hAnsi="Arial" w:eastAsia="黑体"/>
      <w:b/>
      <w:bCs/>
      <w:kern w:val="2"/>
      <w:sz w:val="32"/>
      <w:szCs w:val="28"/>
      <w:lang w:val="en-US" w:eastAsia="zh-CN" w:bidi="ar-SA"/>
    </w:rPr>
  </w:style>
  <w:style w:type="character" w:customStyle="1" w:styleId="184">
    <w:name w:val="标题 2 Char"/>
    <w:link w:val="3"/>
    <w:qFormat/>
    <w:uiPriority w:val="0"/>
    <w:rPr>
      <w:rFonts w:ascii="Cambria" w:hAnsi="Cambria" w:eastAsia="宋体" w:cs="Times New Roman"/>
      <w:b/>
      <w:bCs/>
      <w:sz w:val="32"/>
      <w:szCs w:val="32"/>
    </w:rPr>
  </w:style>
  <w:style w:type="character" w:customStyle="1" w:styleId="185">
    <w:name w:val="hl"/>
    <w:basedOn w:val="44"/>
    <w:qFormat/>
    <w:uiPriority w:val="0"/>
  </w:style>
  <w:style w:type="character" w:customStyle="1" w:styleId="186">
    <w:name w:val="page number"/>
    <w:basedOn w:val="44"/>
    <w:qFormat/>
    <w:uiPriority w:val="0"/>
  </w:style>
  <w:style w:type="character" w:customStyle="1" w:styleId="187">
    <w:name w:val="zwSpaces"/>
    <w:qFormat/>
    <w:uiPriority w:val="0"/>
    <w:rPr>
      <w:rFonts w:hint="default" w:ascii="Times New Roman" w:hAnsi="Times New Roman" w:cs="Times New Roman"/>
      <w:sz w:val="2"/>
    </w:rPr>
  </w:style>
  <w:style w:type="character" w:customStyle="1" w:styleId="188">
    <w:name w:val="Char Char21"/>
    <w:qFormat/>
    <w:uiPriority w:val="0"/>
    <w:rPr>
      <w:rFonts w:ascii="宋体" w:hAnsi="Courier New" w:eastAsia="宋体" w:cs="Courier New"/>
      <w:kern w:val="2"/>
      <w:sz w:val="21"/>
      <w:szCs w:val="21"/>
      <w:lang w:val="en-US" w:eastAsia="zh-CN" w:bidi="ar-SA"/>
    </w:rPr>
  </w:style>
  <w:style w:type="character" w:customStyle="1" w:styleId="189">
    <w:name w:val="一级正文 Char Char"/>
    <w:qFormat/>
    <w:uiPriority w:val="0"/>
    <w:rPr>
      <w:rFonts w:ascii="方正仿宋简体" w:hAnsi="宋体" w:eastAsia="方正仿宋简体"/>
      <w:kern w:val="2"/>
      <w:sz w:val="32"/>
      <w:szCs w:val="32"/>
      <w:lang w:val="en-US" w:eastAsia="zh-CN" w:bidi="ar-SA"/>
    </w:rPr>
  </w:style>
  <w:style w:type="character" w:customStyle="1" w:styleId="190">
    <w:name w:val="文档结构图 Char"/>
    <w:link w:val="16"/>
    <w:qFormat/>
    <w:uiPriority w:val="0"/>
    <w:rPr>
      <w:rFonts w:hint="eastAsia"/>
    </w:rPr>
  </w:style>
  <w:style w:type="character" w:customStyle="1" w:styleId="191">
    <w:name w:val="未处理的提及"/>
    <w:qFormat/>
    <w:uiPriority w:val="0"/>
    <w:rPr>
      <w:color w:val="808080"/>
      <w:shd w:val="clear" w:color="auto" w:fill="E6E6E6"/>
    </w:rPr>
  </w:style>
  <w:style w:type="character" w:customStyle="1" w:styleId="192">
    <w:name w:val="批注文字 Char"/>
    <w:link w:val="17"/>
    <w:qFormat/>
    <w:uiPriority w:val="0"/>
    <w:rPr>
      <w:rFonts w:ascii="Times New Roman" w:hAnsi="Times New Roman"/>
      <w:kern w:val="2"/>
      <w:sz w:val="21"/>
      <w:szCs w:val="24"/>
    </w:rPr>
  </w:style>
  <w:style w:type="character" w:customStyle="1" w:styleId="193">
    <w:name w:val="页眉 字符"/>
    <w:qFormat/>
    <w:uiPriority w:val="0"/>
    <w:rPr>
      <w:sz w:val="18"/>
      <w:szCs w:val="18"/>
    </w:rPr>
  </w:style>
  <w:style w:type="character" w:customStyle="1" w:styleId="194">
    <w:name w:val="font11"/>
    <w:basedOn w:val="44"/>
    <w:qFormat/>
    <w:uiPriority w:val="0"/>
    <w:rPr>
      <w:rFonts w:hint="eastAsia" w:ascii="方正仿宋简体" w:hAnsi="方正仿宋简体" w:eastAsia="方正仿宋简体" w:cs="方正仿宋简体"/>
      <w:b/>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3NzMyMzA1NjMyNiIsCiAgICJHcm91cElkIiA6ICI1MTU4OTQ4ODgiLAogICAiSW1hZ2UiIDogImlWQk9SdzBLR2dvQUFBQU5TVWhFVWdBQUF4d0FBQVdxQ0FZQUFBQjFSR1phQUFBQUNYQklXWE1BQUFzVEFBQUxFd0VBbXB3WUFBQWdBRWxFUVZSNG5PemRlWHhjWmIwLzhNK1pmVjh5bWV5WjdFbmJkRXRTbFFKNkN5SWc2cjBxS0NySTVnOUYwWHNGRVZmZ2lpQ0NpcmlnNGdMb0ZVVVdSZHhRQWV1OUNDaHRXdHFtVGJObjB1eVQyYmN6Mi9uOWtVdzZtY3hrYVpPbXRKLzM2OVZYWjU3em5ITytaMllLNTN1ZURT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mFNM0lBeXJVT1lnRXFBSnExRG9JV1ZReWdjSzJESUNJaUlqclZsV2kxMnNxMURtSTVpb3VMUDdsMTY5WmdVVkhSeDFiaitNM056WjJ0cmEzU2F1N2YydG9xTlRjM2Q2N1VPWmQ3L2p6a1pyUDVMVXVwYUxWYTMxRmZYLzhYZzhHdzR4ak9zMnJNWnZNbFdFS3laekFZTm03ZXZIbXFxYW5weGFYVVg0UkNyVmJYSCtjeGlJam9OVWl4MWdFUW5TejBldjJtNnVycTMweE1UTnczT1RuNTNYUzUyV3crdjdhMjlnOGVqK2NYQXdNRFZ5N2xXR2F6K2Z5S2lvcHZyMVJzOFhqYzA5WFZ0UjJZdmxGV3E5Vk51ZXAxZFhXZEV3d0dkd0lvS1NrcCtSSUFLUkFJL0hhbDRpQ2dzckx5NjNhNy9aTlRVMVAvTXpnNGVEMkFRSjZxUWtsSnlSMWFyWGF6eStYNndVckc0SEE0bG5XOFJDSXhOakl5OHQ4QVVGQlE4TjdxNnVwZkJZUEJsN3U2dXQ0SllEemZmc0ZnOEdBMEd1MHdHQXh2cksydGZhaXZyKy85aTV4S0JzQ3UwK25LVkNwVnRVcWxxdE5xdGVzMUdzMUdyVmE3Q1VCcTc5Njk1dWJtNW81OHYrRnNvaWdlN3Vqb1dKZFp0bEpKNTBMbklDS2lsY09FZzJoR2NYSHhyV3ExdWs2dFZqc3l5MzArM3o5U3FWVFlhclcrYjJ4czdOWm9ORHE0aE1PWmxucER0UlJ5dVh3cXU4emo4VHlTZnEzVmF0czBHczI2WkRJcEFrQlZWZFhYNUhLNUtSd090MXV0MW11dFZ1dThZeWFUU2UvNCtQaDkrYzY1MUp1NnhlcWQ2SnU1a3BLU1R5c1VpdkxGNmlrVWlpSUFxS2lveVBzWlpEcHk1TWduQVdCOGZQeUhScVB4Zkp2TjlrR0R3WEJtZjMvL2U4UGhjSHQyZlp2TjlrR3RWcnM1RUFnODUvVjZmNzJVY3hpTnhyTWJHaHIrTDkvMmFEVGFjZkRnd1kyRmhZVWZXY3J4MGtSUlBKeE9PTnh1OTFNV2krVUppOFZ5eWNhTkcxL3E3dTYrVUJURnJqeTdwZ1lIQnorMGZ2MzZ2WWxFUWdSZ1JQNEVDeWFUNllMNit2by9aaFZMb2lnT0JnS0J2MFlpa2IzSWFDbHh1VndQTEJUM1F0Y3BTVklzRm92MUw3VC9VcXprdjFNaUlzcU5DUWNSQUtQUmVLYkZZcmtrbVV6NmpodzVjay9XNXBETDVicS91TGo0YzhYRnhYY01EZzUrY0xIaitYeStKOXJiMjRXVmlDM2ZEWDEvZi8vbDZkZnIxcTFyajhmakk1Rkk1RjhtaytraW04MTJPUURvZExwV25VN1htbXYvV0N3MnVGRENBUUNKUkdMSzVYSjlOOWUyd3NMQ2p5c1VDdHZZMk5pWDh1MWZVbEp5MjBMSFh3MFdpK1V5blU2M1phbjFpNHFLL21zcDlkSUpSeXdXTzNUdzRNRTMxTmJXUG15eFdDNXVhbXA2c2JlMzk5MSt2ei96UnR0WVZsYjJWVW1TWWs2bjgvck00eGdNaG5QMGV2M1c4Zkh4YjJhZkl4YUxUV1Fta2xhcjliSmtNdW4zKy8yL0F3QlJGSWZTMjdJVHVYVExWL2J2THNmdko5YlgxM2VwdytGNHNMQ3c4TXFtcHFaL0hENTgrTXptNXVaOFNRY0FvTEN3OE1yQ3dzSzhMWHp0N2UyQzMrLy8yL2o0K0wyeFdHeEFGTVhlK3ZyNlA0aWkySlV2NFhRNm5kY3RjczY4Q1Vjc0Z1dlBkVnlielhhRnlXUTZmM1IwOU5ab05OcTMwUEdCbFc4dElTS2krWmh3RUFIS2lvcUtCd0JnZEhUMHl3QmMyUldHaDRlL1pyUFpQbXl6MlM3M2VEdy85L3Y5Zno3aFVlWmhNQmcyNm5TNmx0SFIwVHZWYW5WdFRVM05MeEtKaEt1N3U3c3RFb2s0czZwcm01cWFudFByOWRzbkppYStzOWl4azhta0svMWtQSnZWYW4yZlFxR3c1ZHNPekU4NHlzdkx2MjYxV2k4QkFLVlNXUTRBR3pkdUhBQUFwOVA1VWFQUmVKN0ZZbm5iWW5GbGp1c0FnRlFxSlI0NmRHZ0xBSFIyZG03TnQ1OWFyVzZvcmExOVVpNlhtMlF5bVU2aFVOakQ0ZkF1dFZyZE9EUTBkSVBiN1g1d3NYUFBDUGIxOWIybnRMVDBkcXZWZXJIZjczOHhjNlBENGJoVHFWU1dqbzJOM1M2SzR1R01UVUpGUmNYWGRUcmQxbEFvdEdlbSs5c3NVUlM3TWhOSnE5VjZXU0tSR00wc1d5RXBwOU41alNBSWNybGNyaEZGc1M4clRnQ0FRcUVvU1NRU1k4czRiblI0ZVBoVEt4am5zdWoxK2syVmxaWGZUeVFTNDRJZ3hBRlk4bFJOWW9HV0dpSWlXbGxNT09pMFYxNWUvaVd0VnJzeEVvbnNtNWlZK0ZhZWFwNGpSNDU4dXJxNitzSHE2dXFmemR6TUh6bWhnZVpoTnB1dkJwRHkrLzJQMTlYVi9WWW1rMm03dTd2L1BVZXlJYXV0cmYyRlhxL2ZQanc4L0lXSmlZbHZMSFpzdVZ4ZVdGWlc5dC81dGdGQXZ1MjVwRktwYUNxVkNxYmZ6cFFGQVVBUWhJUktwU3BmU2hlWDdEcVNKSW1MN0NJVUZoWitxTHk4L0J1aUtQYjI5ZldkV1ZOVDg3eENvYkIzZG5hZTdYQTR2bFZkWGYyVGdvS0M5NHlPanQ0Y0NvWDJMK0Z5cE5IUjBWdEdSMGZ2QWhCT0Z4b01oamNWRmhaK1BCcU5kb3lNak55WnZjL1EwTkRWalkyTnU2cXJxMzk2NE1DQkxRQzhTempYYWtnTkRnNWVoZWx4RjhuczFvS2lvcUliS3lvcXZ1RjJ1eDhhR2hxNllVMGlYQWFOUmxOVlcxdjdqRXdtMDZsVXFwcjE2OWRuLy81bnBidW1uY2o0aUloT1owdzQ2TFJtTXBrdUxDNHUvb3drU2ZIQndjRnJBQ1R5MVhXNzNROVpMSlozV0N5V2QxVlhWLy9oMEtGRE93QjRzdXV0UkJjTlVSUjdPem82bGpLamo4cG1zMTNoOC9tZU1SZ01PelFhelhwUkZIc2JHeHYvdnRCTzVlWGxkNWFYbDk4NWM2NjhZeXdVQ29WdHNXNVJ5K2syTlRvNitzWFIwZEV2QWtlN0FHWGUrUGw4dnIvMjkvZS9MLzArMzJlNW5PNXFCb05oUjBWRnhUMDZuZTUxTHBmckIwNm44d1lBMFl3cW90UHB2RzVxYXVxSjZ1cnFCNXFhbXZhNjNlNWZUVXhNM0JzT2gzZGxIVTVqdDlzL05EazUrVU1BOFpteWNNWjJlMDFOelNPU0pDWDcrL3V2QVJETGppY1VDdTJibUpqNFduRng4ZWVycTZ2dkh4Z1l1R3lwMTVKSnJWWTM1ZnA4RnZ2OUdReUdjNExCNEM1TVArRlB6dnladzJxMXZxK2lvdUxyb2lnT1RFMU5mUzM3MUNVbEpaOVJxOVhWTS85bWp0bHlCNy9ubzFhcm0rcnI2LytzVkNyTHBxYW1maDRLaFhMOS9vWGk0dUxQcTlYcTZsQW85UEpLbkplSWlKYUdDUWVkdGxRcTFZYWFtcHBIQWNoR1IwYy9IdzZIZHkrMlQxOWYzelViTm14WXI5VnFONjlidCs0dm5aMmRGd0dZekt5VHEydktjb21pdUpTQjZiQmFyWmNvRklyQ3ljbko3L245L2o5TGtpUVBoOE43VFNiVG01YXkvMExKZ3RmcmZUSVdpdzBmT1hJazV4aUhmR01HTXRYVzFqNFJpOFdHbHhMTENsTmFMSlozRkJVVmZkcGdNSndoaW1KM1YxZlhtNFBCNFBQNWRnaUZRczkyZEhSc0tDb3F1cjZrcE9SekJRVUY3dytIdysxVFUxTVBCd0tCcDZQUjZHQmxaZVhYN0hiN3gyMDIyelY5ZlgwZmpNVmlCek1Pb1d0b2FIaE1xVlJXakkyTjNSNkpSUDZWZFFvNUFCMEFnOWZyZmN4bXMxMVhVRkR3QVovUDk2akg0L25kY2k4d2tVaTRwNmFtSGtxL3Q5bHNWeXNVaW9MeDhmRTVMVmZGeGNXelhaeU1SdU5aOWZYMWY0bkZZa2VjVHVjSEE0SEFDOW5IdGRsc1Z6b2NqaC9INC9IUm5wNmV0NGlpT0pKVlJUS1pURHNNQnNNNTRYQjR6K1RrNUd6WFBJZkQ4WVBzY1JmWmlWSG03Mlc1Zzk5ek1adk5iNm1xcXZxbElBaUtVQ2owb3NWaWVmdkV4TVIzSTVISVB6T3FxUndPeHcvVmFuVzExK3Q5YW5CdzhLUEhlMTRpSWxvNkpoeDBXdEpvTk5VTkRRMS9rY3ZsWnEvWCs1dXhzYkhzZ2VMNWVQdjYrdDdhME5Ed2drNm4yOWJjM1B6U3dNREF4YUZRNk5WMGhSTTVJNVBWYW4wSEFLUlNxVUVBaVltSmlYc0JZS0ViNjB3TEpSeDlmWDJYSEc5OEszR01aYkpXVkZUY1ZsQlE4QUdGUW1GUEpCSVRRME5EL3pVNU9ma0RaTFUyakkrUDM2ZFVLck1YdEJNbkppYnVuWmlZZU1CdXQxOWRWRlQwaWNyS3ltOEQrTGJYNjMyeXI2L3ZJMnExdXRGa01wMi9ZY09HVjV4TzV5ZmNidmVER28ybXVyYTI5bzhhaldZOUFGZ3Nsb3V0VnV1bGdpRG9aREtaWGhBRW5Wd3V6N21PUlhsNStmMGVqK2R2QUlLNXR1ZVRUQ1luaDRlSGIwcS90MWdzYjFjb0ZBV1paY0RjaENNUUNQelQ1WEw5d0c2M2Y3eSt2bjduMk5qWWJhT2pvMThCSUFHUWxaYVdmcTYwdFBUTHNWak0yZFBUYzY0b2lwbURyZ1ZNenpDbEhSZ1krRVJUVTlOZkt5b3F2aEVLaFY0T2g4T3ZBTk10Vk1sa01nZ0FPcDJ1eldnMDdzaE9qREl0MWxLMVdHdU5WcXV0cUttcGVTcVJTTGo2Ky92ZkhncUZlaHNiRy8vYzFOVDB2TlBwL0UrMzIvMFR2VjYveGVGd1BLelZhcmRPVGs1K2QyaG82SlBJMGFwRFJFU3Jod2tIblhiVWFuVjlmWDM5YzBxbHNqd2NEdS9xNit1N0F0TTNYR25LNHVMaW04Ykh4eDhHTUpxOWZ6UWFIZWpxNnZxM2hvYUc1OVZxZFYxOWZmM0xZMk5qbnhzZkgvOE9UdkNOelBqNCtGMW1zL21Tc3JLeSs3dTZ1djROQURRYVRZMUtwVHF1cVQ0WG01NDEwMUs2a0xXM3Q5dVJZekQrREcxeGNmRW5BNEhBbjNOTkw3dE1mcFBKZEVFc0Z1czdjdVRJWjB0TFM3OVFXVm41cmNyS3lueGpjMUJhV3ZybGZOdG1CbkYvd0c2M1h6ODhQUHhaQUZNOVBUMXZyYWlvdUx1b3FPaW02dXJxbjhUajhlNUFJUENTVENhYlRTalVhblZESXBGd0pSSUpkeXdXRzBnbWs1NUVJdUZMcFZLQlpETHBUeWFUZ1ZRcUZUU2J6VzgxbVV3WE9oeU9yemlkenY4RWdKcWFtcDlueHFCUUtFclRaYUZRNkI4VEV4UGZQNDdQSnpFME5QU0phRFRhV1ZsWitlM1MwdEk3UkZFY2RidmREelkyTnY3ZFlEQ2NEUUF5bVV4WFgxLy92Q0FJR3BsTXBwSEpaQnBCRU5TNURsaFRVL05JUjBkSEM0Q1F6K2Q3MHVmelBUbFQvaXRnZm1JRUFCMGRIYTJZSGp1eW9QYjJkaU5teHZya0VvbEVqdlQyOWw0WUNBUU9BNWdBZ0s2dXJyYzRISTd2VjFkWC83aWtwT1FHdFZxOUxwbE1lZ2NHQmk1MXU5MlBMZTFqSWlLaWxjU0VnMDRyV3EzMmpJYUdocWNWQ29VOUdvMTJ6SFNKbXZOa3VhaW82TnJ5OHZLdkZCY1gzN1J2Mzc2cTdPM0E5QmlMQXdjT25MRnUzYnJmNlhTNnR2THk4bSttVXFuVTVPVGs3R0ovOWZYMWYxYXIxVlZMalUwVXhjR2VucDRMbG5NOW9WQm9uOHZsK3BIZGJ2K293V0E0TnhnTVBtODJteTh0THkrL2F6bkh5U2NjRHUveCsvMVA1OXEybEdseEN3b0tybEdwVkF1dTBMNXAwNlp1cFZKWjN0L2YzMTlZV0hpdDBXZzhaN0c0c21lcEdoMGR2YzN0ZHY4S1FQTGd3WVBiQUlRQW9MUzA5R1lBbUpxYStzbGl4OHhtczlrK0JFRHllRHkvOUhnOHY4ellsRHB5NU1pbncrSHdRYjFlM3hvSUJQNFBBSHA3ZXk5VEtCVHlRQ0J3RUlCN0tlY0lCb08vTmhnTVhWYXI5U3FuMDNrN0FKZlZhcDB6cGtNdWw1dXl5bzRuNFFBQVRFNU8zaCtQeDRldFZ1djczVzczd3dBUWpVYjNwQk1PaFVKaEI0QlVLaFZPcFZMQldDem1TaWFUd1ZRcU5mc25rVWdFTlJxTncyQXduT053T081ek9wM1hacHhDYVRLWk1uL0xlc3g4SndVRkJWZnI5ZnEyNWNZOE5EVDA4VnpsNmM5L2hzMW1zNzFkcFZLVkE0QkdvMm1lS1plTVJ1T0ZraVNwd3VId1N6TXRONXdPbDRqb0JHSENRYWNWaFVLaEVBUkJGWWxFOWg0NmRPZ0NaSTIvQUdCTWR6T2FtSmk0Qnd0M2N4bnQ3T3g4bzhQaHVFK3RWdGRscms0T0FET0xDTll0Sjd4bDFKMDFNVEZ4bjkxdS82ak5acnM2R0F3K1B6NCsvdU5RS1BUN3BlemIyTmk0NEd4TWtVaWsvWGlteFRVWURPZmxTRGgweGNYRjF5cVZ5Z29Ba01sa3R2SHg4WHM5SHMrekJRVUZseC9MTEZVeW1TeHpaY05RZHYzQndjSC90OWd4czgwa0hIbTUzZTZIM0c3M2JGZWhTQ1R5MG5MUEVZbEVqZ3dORFgwMEdBeStnSmtXb014dVJxMnRyVksrUWYzSE9tZzh6ZXYxUHVYMWVwOUt2M2M2bmJkN1BKNUhFNG5FVUNRUzhXSDZ0NSszZFdHR2ZzT0dEZjhVUmJFanM5QmlzVndrbDh0TkFDQ1h5d3VhbTV0Zm5acWFlbUJzYk94clpyUDVBcXZWZXVsU1lzeVVKK0d3bWt5bU00eEc0OWw2dmY1Y3ZWNy9Pa0VRNURNemhOMDhOamIyVTVQSjFGWlFVSEM1eFdLNXhHYXpYUTBBeVdUU0g0MUdPMGRHUms3NjJiZUlpRTRGVERqb3RCSUlCRjdvN3U1K2N6Z2M3a0tPZWZqTHlzbytyMUFvaXFMUmFPZlkyTmk5U3poa3hPbDBmZ1NBQ25sdXpwWXlvOUx4ekd3bGltS1hLSW85SnBOcHgweVJLeGdNNXV1K3RDeGFyYmIxZUtiRlZhbFVjMVp0THk0dS9xL2k0dUpiRkFxRkxWM1czZDFkRnc2SFJ3Q2d0N2YzN1puMVYyS1dxcFBkMU5UVVQ0OWx2MlF5NmZWNFBMOUt2N2RhclpmSzVYSkw5dXJkeXhpWTdRb0VBcDVObXpZTngyS3h6c09IRCs4QWdNYkd4djlUcTlVTisvZnZMMGxYekV5RURoNDh1QlZaczd2TkpMLy9OQmdNWjBpU0ZBY2dsSldWM1IyTlJudjYrL3ZmbHprVFdkckdqUnNIVkNwVjFYSysyK0xpNGl2THk4dS9DUUNSU0dUditQajRIZUZ3K0ZXdjEvc1h6Q1NlZnIvL1QzNi8vMDhBMUNhVGFZZlpiTDVBcjllZnExYXJhd0tCd1BGMjRTTWlvaVZnd2tHbm5YeXpVYW5WNnZyaTR1SWJNTDFXd3JVNE91MXBtZ3o1bi9qT20vNzBSSXBHbzExbXMva2lBTXF5c3JJdnJOUnhkVHBkaTA2bmExbW96bktteGRYcjlXK1d5K1dHeWNuSjcxb3NsbmNxbGNxS2RMS3htbFpqTmVtWjM0cG1mSHo4UjVocG5ValAzTFdjNHh4TDhqUTJOdmFsZUR6dXlteFZNeHFOTytSeXVTVjc5ZTVFSWpFV2o4Zm5KYUEybSsxS2xVclY0UEY0Zmh5TlJnZG1pdFZLcGJJNEhvL1B6aXltVkNydFNxV3llSUZ3NWlRYkdvMm14bVF5dlgxNGVQaG1nOEZ3UmlxVkNuUjNkMSs4WWNPR2w2dXJxLytudTd2N3pGQW90Rys1MTV6TCtQajQ5Mk94bU12ajhUd0xZQXlBWXN1V0xaTzF0YlhtZUR3K0hJMUdPMFZSUEJRT2h3OUdvOUdEZnIvLzVZeEZPMVZZNDMrM1JFU25DeVljUkRNcUt5dnZGd1JCUFRrNStiM3M2VUx0ZHZ2SGk0cUsvck9qbytPTkFNYlhLTVM4QkVGSTM3UnFsNU1BTEdacWF1b24rYm9qTFdWYTNNYkd4aGNNQnNOWjZmY2VqK2RIbzZPakg0OUVJazZUeWZTV2xZcHpNZGxQL1pkaXNaWUJxOVY2dVU2bmF4VkZzZFByOWY0bWM1dkg0M2xrc2VPYlRLWjNwTHNkTGRkQzNkaVdXdGRzTnIvVFlyRzhVeFRGM21nMG11NGFaZ1NBVkNvVk9aYTRBS0NvcU9obUFLbUppWWxIS2lvcXZnRUFzVmlzbzcrLy8ycUh3L0h0ZUR5ZW5jZ2ZEOUhqOFdRT3N0ZU9qWTE5U2ExV3I5TnF0ZXUwV3UxbW85RjRYbnBqYjIvdmUzdyszeE16YjVsc0VCR2RJRXc0aUREOXROZGtNcDBmaThYNmg0YUdQcHU5WGFWU1ZhdlY2b2I2K3ZwZjlQVDB2QVdMOTIxZmRTYVQ2VzJwVkNxa1VxbHFqRWJqbTJmVy8vRFBKQUJLVEsvN0VMVllMTy9XNi9Wbnpjd1VOT2RKZjBWRnhYM3hlSHhlQWhVSUJGNmNtU0VvNTgxaGFXbnBIVDZmNzJsUkZQT3U1Z3hNenhnMEUwY1FBSTVsdlltVmtQM1VmeWtXU1RnS2RUcGRTeXFWQ25tOTNtZXlOL2IzOTErKzJQR2JtNXM3anlYaEtDNHUvcVJPcDl1V1hhNVFLRXFCK2JOYzVZc3BuUWlHdytHL3BjdjBlbjBKQUNRU2lZbmx4Z1ZNanl1eDJXd2Zta25BNXZ5dWZEN2ZFL3YzNzM4V2dMZWlvdUsrN0gzbGNua0JNUDJiek43bTkvdi80dmY3LzdqQXFiV1lUcFlteHNmSHMvY3ZOWmxNVzdSYTdWYWZ6L2VYNVY0VEVSRWRQeVljZE5yVGFyV09pb3FLYndGSURRNE9Yb2tjWXp1R2g0ZS9ZREtaM21JeW1jNHRLU241NHRqWTJPMG5QdEs1ckZicnhlbEJzQUNrMGRIUjIydzIyNVZUVTFOUDE5VFVmTWRxdFY3VzN0NHU2UFg2TTR1TGkyK1V5V1RDME5EUWplbjkxV3AxdlZhcjNaaTVjRnVhVnFzdFV5Z1VXd09Cd0xNQVVGVlY5YUJLcFhKMGQzZWZaelFhenlvdExmMkNKRW1KeWNuSmV6RjlzNWZ6aWJqVmFyMVlMcGRyWFM3WGp4YTdudVYwUjhyVlJXcHdjUERxcWFtcGgzUFZyNnFxK3ZGU2pydFVOcHZ0SWdDQzMrOS9Cbm11ZlpVVUdneUdIV2F6K1QveVZjaWU1U290TStGUXFWVHJGQXFGWFJURmdZenVWRkNwVk9zQklKRklIRmxtWERvQTRZcUtpbnNFUVZCT1RFemtteVhOQ3dCRlJVVTVGNVBNdHkyWlRBWVhTamdLQ2dvK1VGMWQvZU5rTXVrVFJiRTdHbzEyeDJLeHJrZ2swaFdMeFRyOGZ2L2ZacjRySWlKYUEwdzQ2SFNuZERnY2o4cmxjdlBZMk5qZFdWTnNaaEtkVHVmbGpZMk51MHBMUzI4TmhVTFA1MXFsT1pmVkdEOEFBQzZYNjl1aUtCNmV1Umw3Umk2WFc5ZXRXL2VLVENhYk01dlA4UER3elRxZGJvdmRicjhoR0F5MmV6eWVuOC9jMkNkME90M3I2dXJxZm4vdzRNRXpBUGpTKzFpdDFtdExTa3B1SFI4ZnYzZDRlUGhUQm9QaHpIUXlFQWdFL3RIZjMvL0J5c3JLKzRxS2ltNDJtODN2SGhnWXVHUm04VU5aYlczdFV4NlA1MUdQeC9OY1pXWGx0K1J5dVNrYWpYWUZnOEcvTDNROVdZdk1BWmcvRzFWRzNYbXJ1U2VUU1YrdXVzRGlNMDR0bDlsc2ZnY0FlRHllM3l4VzkzakpaREpUUlVYRjE4eG04Ny9INC9ISnJxNnVzM1BWVzBvWHR6U1R5WFEyTUgrQnlQUzB1TUZnY085eVlxeXBxWGxJSnBOcFlySFlzTmZyZlNJVUNpMjRmNjRZajJYUWVGb2lrUmgxdVZ3UGFEU2FSclZhM1pqZEFpUkpVa0lVeGU1SUpISWdFb25zSHhzYit3cTQrQjhSMFFuRGhJTk9aMEpWVmRYMzlYcjk5bEFvOU5MSXlNZ1hGNm9jQ29YMmo0Mk4zVjVhV25wSFZWWFZJd2NPSE5nRXdML1lTWExkSE9lcE43akV1TlB4N00yOHNhdXNyUHpPVEt2RFl3YURZWHRHMWRUdzhQQ1ZkcnY5anBrdVRZcm01dVpEVTFOVER6dWR6by9VMU5UOHNyYTI5c0crdnI2TForb0xWcXYxY2dDWW5Kek0yVExnOFhoKzd2RjQvbHBYVi9lZ1JxTnBDSVZDZzhEMEN1NFdpK1VkT3AxdWk4ZmpxZXJ2NzcreW9hSGg2ZHJhMnNlN3U3dGJJcEhJY0s3akFVQlBUODlGMldYNWtyWGxydVorTERleEN5U0tXcFBKZEtFa1NYR1B4L09INVI1M0VYcTlYci9kYkRhL3lXZzB2Z2tBbEVwbGFWRlIwVTJTSkluaGNIaFppVUErNlRVeWdzSGd6b3hpbzlWcWZSOEFLUndPTDJtbCtqUzVYRzdWNi9XdjcrbnBlVk1xbGZLdVJJekw0ZmY3LzVqVkFtTFdhclViOUhyOVJxMVcyNkxUNmJacXRkcXRHbzFtdlZLcHJCd2JHOHU3MkNNUkVhMDhKaHgwV2xLcjFYVVZGUlhmbnBuWkNlRncrSi9GeGNVM3llVnlyVXdtMHdtQ29CTUVRU2VYeTNVeW1Vd3ZrOG4wY3JuY0lKZkx6Y0QwZEs5VlZWWGZIUndjdkdLeGN5MzM1amlMYnVidnhjYU1sTnBzdG10bVp1Q1pUS1ZTNmZveUFLbHdPRHd5T0RoNERUQ2RGQUFRVXFsVTFPUHhQR3F4V041cHRWb3ZOWnZORi90OHZpZU5SdVBiMUdwMWJUQVkvTjlZTEhZSUFDUkpTajhObHVQb2srSHgzdDdldHdHd1lhYXJUUHJKY2pBWS9BY0FCQUtCMzQrUGo5OWJYRno4cWNyS3lsOTFkWFh0UU5hc1JxdXB1N3Y3blVxbFVyTjR6Zm02dXJvMnhlTnhNYnZjYkRaZkpKUEpERFBkelZiMDVycWdvT0I5MWRYVnMwbWVLSXBkZnIvL2p6NmY3eTkrdjM4blZxYjdsc3BvTkY0QUFPRndlR2U2ME9Gd2ZFT2hVTmo4ZnY4em1kMnNsa0twVkpiRTQvR1JsWnA5YWdYNElwSElTMWxyb3lqMGV2MUdjTUUvSXFJVGpna0huWllzRnN2YjA4a0dBTmp0OWs4dXNvczBzOUp5UUJURnd5cVZxdFptczMzUTUvTTk1ZlY2ZjUxcmg2R2hvWThMZ21CWVlraHlBR29BNGN4Q3U5Mysvd0Fna1Voa0wxQTRSMlZsNVMweW1VdzNQajcrZFFCSUpwTmpBR0MxV3QrV05WRGJhcmZiUHdVQXdXRHcvd0NndjcvL2VwL1A5MWVmei9kckFFSkZSY1dkQURBK1BuNW5lcWRZTEhaRW85RnNLQ3dzL0pETDVYb1ljMmY0bVFJZ3FOWHErcUtpb2s4RGdNL25tMzNhUERQKzVYeTVYRzVXcVZUMXNWaXNCNEJkb1ZDVVNwSzA0ak1GWmE5Q3ZsSWlrVWhYWDEvZnY5dHN0dmNEMHd2bjVhdDdyTjNvM0c3M2J3b0tDajR3azJUOFRoVEZyb3pOaG53RHdvSEZCNDBEMCtNNHpHYnpEcmxjYmhSRnNTOFNpUXdCVURzY2ptOFhGaFplbTB3bUEwNm44OFo4KzZjbGswbXZRcUVveG5STGdrbWowVFQ1Zkw0L0w3YWZTcVZhWDF4Y2ZIMnViZWxCNDVXVmxkL050UjJZdS9pZlNxV3FXYTN2bW9pSVZoWVREam90alkrUC82Q2dvT0NhUkNJeEVZMUd1NVBKNUdROEhwOUtKQkx1WkRMcGxpVEpLNHFpVnk2WCt5S1JTQURUQThsbmJ5TEx5c3ErVkZKU2NtdGxaZVgzdkY3dnM4alJ0V3FaZzFUTnJhMnRMZ0JTS3BXS1NwSWtDb0tna3Nsa2VnRHdlcjBMenU0ME9UbDVkeXdXTzVMdUl1TjJ1eCsxMiswMzFOVFVQRjFUVXpPdnZpaUtYUjZQNTdjemI2ZmNidmRQQUVDajBkVEtaREpUS0JUNmUrYU1QbTYzKzhjbWsrbDhoOFB4Z01QaFdIQ0syWEE0L0lySDQza3M4M1FEQXdOdmowUWlFdzBORGIvTG5LWTBGQXE5dU9DbmNneVd1dzdHVWttU2xBQlFrQjYvRVF3RzgzNG54ekV0cnJ1bnArZk5lWGJSNUJzUW5tbWhPdjM5L1plYlRLWjAvSDlYcTlWTjlmWDF2MWVyMWZYSlpETFEwOVB6N25TcjFrSUNnY0N6Rm92bGt0YlcxdGtXSHIvZnYranE5aHFOcHNwdXQrZE1PTklXMnA2WmNBaUNvRnF0NzVxSWlGWVdFdzQ2WFltSERoM2FjcXc3ajR5TWZNVmdNSncvT1RsNVA1WXdqbU1KM0pGSVpMOUtwYW9ScHFrQVNQRjRmTmpyOVQ2MTJMb0wwV2gwTUJxTmZpWDlQaHdPdDNkMWRXMHpHQXdYcGJ1QkFkTTN6ZkY0Zk5EbGNqMkdyTmFVbWVQMGRYUjBOQUlvbkJPYzIvMTRMQlk3eDJ3MnYwT2hVQlRKWkxJNVl5SlNxWlNVU3FYOG9WQ28zZTEyL3dKWmF4eEVJaEVuTUoxZ3FGU3FXa21TeEVna3NuOWtaR1RGRmlsTVc4MVZ5TFZhYllYYjdYNU1xOVUycEs4cGwxV2FGdGUxRXRmbTgvbitvRlFxU3dLQndET2lLUGJFNC9HaGVEenVHaGdZdUNaWHNqRTFOZldnWEM0dnlpenI2K3Y3ZjJWbFpYTWlGQzhBQUNBQVNVUkJWQWVWU21XdEpFbkphRFQ2VDVmTHRlaE1ZSDYvLzVtVituN1NLNTBmNzNGV2ExSUhJaUlpb3Rjc3JWWmJQak1PNDNSZ3djeGlkRE9NTTJWclRaNnIwR3cybjI4Mm15OVp5Z0dXVTNlVm1RR3NTcEttMSt2UDAycTEyeGV2dVR3Nm5XNmJTcVZxUHRtT1JVUkVSRVJFUkVSRVJFUkVSRVJFUkVSRVJFUkVSRVJFUkVSRVJFUkVSRVJFUkVSRVJFUkVSRVJFUkVSRVJFUkVSRVJFUkVSRVJFUkVSRVJFUkVSRVJFUkVSRVJFUkVSRVJFUkVSRVJFUkVSRVJFUkVSRVJFUkVSRVJFUkVSRVJFUkVSRVJFUkVSRVJFUkVSRVJFUkVSRVJFUkVSRVJFUkVSRVJFUkVSRVJFUkVSRVJFdENxRXRRNWdKYlcwdFB4VEVJVFhyM1VjUktjclNaSjI3dG16NTV5MWpvT0lpSWhPSHJLMURtQWxNZGtnV2x1Q0lPeFk2eGlJaUlqbzVLSlk2d0JXdzlrL2ExM3JFSWhPT3k5YzBiN1dJUkFSRWRGSjZKUnE0U0FpSWlJaW9wTUxFdzRpSWlJaUlsbzFURGlJaUlpSWlHalZNT0VnSWlJaUlxSlZ3NFNEaUlpSWlJaFdEUk1PSWlJaUlpSmFOVXc0aUlpSWlJaG8xVERoSUNJaUlpS2lWY09FZzRpSWlJaUlWZzBURGlJaUlpSWlXalZNT0lpSWlJaUlhTlV3NFNBaUlpSWlvbFhEaElPSWlJaUlpRllORXc0aUlpSWlJbG8xVERoT1lvbHdFdjd1WU01dGNYOEMvcTdjMnhZbExiMnE2eFV2ZkozSGVKN2o0TjdyUTFKTXpTbExpaWw0OXZubnZWNnF6dnY3a1FnbGppbWVzWjJ1T1o5RDFCV0RsRnpHQjdrQ1l0NDR1bjQ0aUVRNGVVejcrdzRGa0lxbEZxOUlSRVJFdElJVWF4M0F5ZXlsYS9kaTY1ZlhRMXVpbnJkTlNrbDQrU092b3VYTzlkQVV6ZC8rd2hYdHl6N2YyVDlybmZQZWZ6aUl3OS9yUi9QTjlUQTFHREpPRG5UOWNBREIvakJhN2xnUGxWV1pNNzY5dDNTaS9rTU9HR3YxcytWamYzUEI5VThQbWo5ZEQwRXVMQmhQY0NDTXp1LzJZZE5uRzVaMmN5MEFndXpvTVpmNkdiVGR2UUhhVXMyY3NvUDM5czRyajdsajZQaDZEODcrV2V1YzEwdmwrcWNITmUrdmdFSy9jTDFrSklrOXQzU2k2YnBxR091bkt3ODlOWXJTODR0Z1hqZjlQZlE4NkVUY0gwZmpoNnVoZDJobjkwMGxKRWlKK1o5VnpCUEQ3czhjekh2T3pHdk4vdHpzWnhhZzZicHFEUDl4SElsZ0FncWRmRW5YbTIzL1hkMDVQMnNpSWlLaTFjU0VJNHQ3cnc4SDcrMmRmYi83NW80RjYrKzY2ZWoyN0p2ZnpWOXNoS1o0ZmpLU0xUb3VZdDhkWGZQS0Mxck1LTCtvR04wL0drVHJWemZNM3N3UFBUMEdmM2NJbXo3YmtEUFpBQUJmWnhEaDBTaDBXVGVYNW5VRzlQL2lDUHAvT1l6YXl5dnl4aVFsSmZRODZBU2s2UnZWcGRDVmE5QjYxNFk1WmMwMzFVTmpWK1hkWjZHYjhHUFIvOHRoRFA5cFBPLzJWejY1UCsrMjlQYzMrVThQRXFFazlGWFRpVVFpbklUb2prTmZlVFN4MlBESld2UThQSVJYLzdzVFRkZlh3TlptQVRDZGlFeThNRFh2MkcxM2I1anpkNlpjbjhHV1c1dWd0cXZROHhNbnRNVnFpSzRZUnArZFJDb2h6VXRJNnE5eG9HUkg0ZXo3cUN1R1hUY2V5SG1OK1Q3dmJmZHVoS1l3Ly9kRVJFUkVkS3lZY0dRcDJHTEdXUSsxQUFEK2NmVWV0TjYxSVhjTGh3UzhlTTBldE4yOUlXY0xCd0FvalFxb3pMa1Rna3pKckM0eWtkSG92QnZEZjF5MVo5NStlMi9ybkgyZG5leE12dWlHWllNUmlVZ0tNVzk4enJhU2N3cVJTa3FJakVibmxHYysrZTUvZEJpSlVBTGJ2dFlNUWJtMG5uZXlIQS9lTlhiVnNwNm9SOFpFU0luVTdHdVpTZ2FaUWtBaW5FUjBNamEvZnNZMXFLd3FWTCtuREk1M2xjNldTWWtVZWg1eUl1WlB3SDg0Q0dPOUhuS05IUFZYVlVKcHl2M2RqRDN2UXNtLzJTQ2J1ZTdnUUJnQVlLelJIYjFXbFF5Tkg2NkN1Y2tBYzlQUjFxZTZLeXBSOC81eVJNZEZ2SHI3WWJ6aC9zMEFnRVJ3dWl1WHRsUURTRUFxa1pvOWZpNUtvd0lLclJ5K3pnQnEzbCtPM3Y4WlF0bUZ4YWgrYjlsc25kSG5KdEgveTJGWTFodHpIaVA3Ti9IQ0ZlMDVXemlPcFRXT2lJaUlhS21ZY0dRVE1LZXIwWjViRG1HaGprZUNUTWpiTlNrZVNFQ3VpK2ZjbGwwdmw5ZC9aOU9jOS8vNnhQNTVyU2E1V2tjUzRTUW1YL2FnNFVNTzlQeGtFSjc5dWNjNmpQNTFjczc3OUEzcThKL0dNZnJjSkRaOXJnRXl6ZEtTRFpWSmlRVS9xQ1hxL3ZFZ29wUGk5T3NIbmJCdU1rR21GREQyTjFmTytwbUoyZnIvcW9XdHpRSzVZam9RLytFZ2VoNTJRbU5Yby9tbWVyeDA3VjQwWFZjTjU2OUhzZWVXVHBSZldJVFM4K3hRR3VmK013Z09oQkVjQ09QSUgrZTJsTHo4c1gyNVkvN0o5TjhsNXhTaS9tb0g1QnJaYklLUlBuYjZQUUJFeHFZVHlzVzZnN24zK3FBdDBTRFFHNEo3cncrMWx4MXRrWW9IRWhoOFlnUlZGNWZtYlVYTGxVaXNkSXNTRVJFUjBXS1ljQ3lpOWM3MU9aL1FTMGtKLzdoNmZxdERwbHpkcEhJUlpBSVVodmxmaFRKSG1VS3ZtRk9lQ000ZlFEejYxMG1rWWlrWXFuV3dieTlZOE55cDJNeVQ5cGxrd1hjb2dJRmZqYURwK2hxSWt6SHMrL0xTcm1IN0Exc2cxODV2NGhDblluUEdkU3htOHhjYkFVemZMRy8rZk1Qc1oxOS90U05ueTArdW0zWmZaeEJIZmo4Rzc4RUFITzhzUmVVN1NtYXZUMURJMEhoZE5VYWZtOFRBbzhNNDhyc3hGTFJaWUd1MW9LREZCTGxHUHEvYlUrZDMrMkdvMWFIaW91SUZZei9Xc1JYNVRMem9SdEZaQlpqYTdZT3R6VEtuKzE1YS95K0gwZi9MWVFCSFB3dVpRb0N4VG84dHR6WE5xWnV2aGVQVkx4MkdUTEVDMlNJUkVSRlJEa3c0RnRIK2hZVmJPQlp5dkFOMGN5VTA3WjliK0FsMUlwekU4RE56bjh3UFBqbUNaQ1NWYzh5Rzg2bFJUTzN5b3UzdVprQUF6T3VOMlB6RlJoanI5Umg0YkJpV2pTWnN2TGtld1BUNGhJS3RaaFMwbW1mMzkzWUVjT0R1YnNoVXVWdENEdHpUcytoMXJwUlVRc0tydDNVaU5CU0JvVnFIalordWg2NUNpL2hNNjBLNmUxTThrRURoNjYwdzF1a3grUGdJWFAveXdQVXZEN1o5clJseWpYenVRSFZ2SEtFakVkUmQ1VmpTZDVrSUoyZkhmQURUNHltTzVXWmVrb0JBZHdpbGI3YWo5RHo3Z2dQOHM4ZHNxQ3pLZWNuR1FwWlRsNGlJaUdpNW1IQXM0bGhhT0RKbmRFcUVFa2psbUxVb1c2NnhIdHQvdUhYTys1Yyt2QmRiYjE4SGJjblJlQ0pqVWV5OTllaFlqc0VuUmlCWHk1RUlIVzM1MEJacjBQZnpJVlMvcjN6ZXphOW5uMzk2SnFhTTR2VE1UQ0ZuQlBxS28rY3lOUmx3Nkx0OXFQMUFCVXJQc3dNQVV2RVVCUG44Ym1YcHo2RHRudWFjWTJEU0Zoby80TzhLd2IzSEIvdVpCVWhHRmhuRElRalFscWhSZGtFUjFEWVZEdHpkdmVUQjd0dSszZ3gvZHlqbldKeUpGOTJBQk96Nzh1RzgreHVxZGRoNit6b0F3TWlmSitEOHplanN0bDAzSG9DeFRvL0dEMWZObGlWanFVVzdud2tDVVBuT1VndytPUUxycG5XSWVlTFk5YW5jQThHemYxMmVmWDUwZkQxM29wZXZTMVh6VGZXd2JqWXRIQlFSRVJIUk1XRENrU1Y3K2xjcE5iOE1tSDRDUGIxZG10MmV2dWxPcjNVZ0tHVG8rSG92QXIyaFJjK2JxMnRRVXB6ZlhTb1ZTODBwejF4WElSVkxZWHluQzAzWDErRFF0L3BteTIzYnpPaDV5QW5QWGg5czJ5eXo1YUk3anBBemd1cjNsaDg5WnlTSitFeXlFaHFLd054a1FOUTFmYU52YWpLZytyM2xrT3ZrczJYaVZBd3lwV3oyZlhxbW8xUjgrak5aOXROOUNmQWVEQUFBK2g0NUFzZTdTekh3MkVqT21aK0FvemZRQ3AwY1oveGdDNHJmWkp2ZHRsZ0xVM1JjeEs1UGQwQnRVNkVvUjdJaHBTU01QVHM1M2EycDNZZld1elpBcHB4N1BRZSsyZzFEN2RIQjVJNTNsY0x4cnRMWjdsL3A3elZ6Y0hzeW5JUk1zZmpZbUpJZE5qaWZIRUZ3SUF4RHRRNW5QdGlTK3pweXpFcWxMZFhNNnhxV3Iwc1Z4M1VRRVJIUmFtTENrU1c3MVdLeExreVpOMnRiYm0yQ3NWNlB1SCs2QzQ5Q0x6K3U3aXIvK3NUOEtWd1hHaGNpVThuUStKSHEyU2xhMCtRYU9heGJUSmg4eVQwbjRmRHM5VUZoVU1EU2ZIU1dvL0gvblVMZkkwZG0zdzg4UG9LQngwY1dqVFY5dzV1K3dVNUdwcE9XZURDeHJBWHk5dDdhQ1drbW05djh4Y2JaTlM0YVAxeTE1REVjYWNkN0l6MzVvaHVKY0JKMVYxWkNkTVhnZXRtTjhveHhISk12ZXhBWkY3SGhocnBsSFRjeUprS21Yanpoa0NsbE1OYnA0ZThPd1ZDdFc3VCtuSE9NUmpsb25JaUlpRTRLVERpeXpON0FTa0RQdzA3NHU0TFkvTVVtS1BUeTJTZkVhcHNLQis3cGdjcXFST08xVmZQR0wwVEdSY2kxY3ZUOS9FamVKL081RkoxdFErT0hxNkRReVZGNm5oMTFWMVRPMlo3ckNYWGNGNGZ6dDJPejd3dmZZTTE1N01KdEZuUS82RVF5bW9KOFp1YXBxZDFlRkw3ZU1xYzdWTmtGUlNpN29BaSt6aUQyMzlXRjdUL2NDcmxhQmlrcG9mdEhneWk3c0dqT3plL29jNU1ZK2ZNRTJ1NXBubk0rMFQzZDRwSFozV3NwbXE2dmdiWkVqUmV1YUovWG1yQmNXLzk3SFRRTGRPZUtUb3JZZTB2dStKTFJGQWFmR0VYNVc0c2cxOGhSYzFrRjl0L1ZEVk9UQWNZNlBjTERVZlErN0VUMWU4dWdYc0w2RlFxZEhDWG5USytWNFRzY2hFd3A0SlViRCtCMTkyNUV3N1ZWVU9hWlBsbXVreU1aVG1Eb3QyTVlmSEx4eEMrTkxSeEVSRVIwc21EQ2tVUGNGOGZoQndZaFRzV3c2Yk1OVU9qbnpqNGtVOG5RZkZNOU91L3Z4OTViTzFGM2xXTjJCV29BQ1BTRm9LL1FvdmJ5Q2xSZk9yMXVncjh6aU03djlhUG0wbkxZejVxZU9TbzBHSmxkWEE3QW5LNUo1UmNWejc3T0pMcmo4OWJGU05kVkdoU3p5VVEyNjFZenBLUUV6NnMrRkw3QmlrUW9DZS9CQURaK3BpRm4vZkJRQkJxN0d2S1pKL0dDWElDbVNJMTlkM1JoM2NkclVMQjFldUI0VWt4QnJway9PMU5vS0pMenBqZGI5bFA0N1BFZVl6dGQwd3NRTG1ILzdDUXRzN3RiVHZON3JNMGErTlV3QkJsbVd6UU0xVHBVdjZjTUhWL3JRZFY3eXVCOGFneUZyN2VpN1B5aS9BZkI5T3JtbzgrNzBIUmROZXF2ZGlBZVNNQzkyNHVTYysyekN4UVd2OUVHZDdzUGxvM0cyZVIxN085VGtGSVNQSHQ5c0o5aGhhM05BcVZaZ2NKdEZuVDljQkMxbDFYTVRvY2I5eWN3dHZQb3RNR1dEVWEwM0xrZXdQU2dmbE9EZm5xaHh3OVd6aG4vazlaOFkxM2V0V1NJaUlpSWpoY1RqZ3hTU3NMWTMxd1lmSElVQlp0TmtKSVNYcmxoYnQvNDlzOGRtdk8rOW9NVjZQeHVIM1RsV2pSZVd3VjFvUXFlZlg1WU5oaG5wa21WSSthSm8rOFhSMUN5bzNEMkJqWVJTcURyZ1FFVXZzR0t1ZzlXemc0aWZ2bTZWeGVNOGNEZCtRZENOMXhiaGVJMzJuSnVtMzNDUGpORjdkUXVMMVJteFp4RjZ6S0Zqa1NnS1ZJajVqdTZqa2pKbXdzaHBTVElsTExaOHJnM0RrRWhJT2FMUTZhVXpVNE42OW5uaDdGMmVkMkFjaWw4dlhVMnh1aGtiTjVnNk15RUpudGEybGR2enovUWV5R1RMN2t4OWpjWE5uNjJZYzdpZk1YL1pvUHJYeDcwL25RSTZrTFZuRVg0MGxLeEZMd2RBVXkrN0FZQWREMHdnSUlXODJ4clRlL1BocUMycTFGMGRzR2NGZEg3ZnpXTWtvbENsRjg0bmNBb0RYS0VSNktvdWF3QzdqMCtUTDNpeGNTTGJoUzBtR0dvMWVIQVBkMW91WE05VW1JS1E3OGJ4OVJ1TDByT0tZVFNxTURJczVQdzd2ZWorZFAxT0hCM045cnUzZ0JqZ3g2OUR3L0IzZTdGaGh2cUlFbkE4Qi9IVWZSR0cvWis2VEJxTDZ0QTBWa0xUNkZNUkVSRWRDeVljR1FRWkFJVVdqazJmcm9laHByNU44c3ZYTkdPMXJ2bXoxcFYvQ1lidlBzRFVCZXFFQjZPSXRBVFF0MlYwMC9hUlhjTUIrL3RoYkZHTjFzR1RLK24wZnpwZWh6NGFqZFNzUlFhUGxRRkNBdVBTY2pYSldhcE1wLytUN3pvUnVFYkN2TE9scFFJSitFOTRNODVqbVRvNmJGNVpmLzZ4UDdaTG1FeFR4enVQVDZzKzBUdHdnR2xHeCtFL0YybkZEcjVndXRiNVBzc3JKdE1xUDlRRmRRRitWZDZqM25qNkhuUU9XZWRFUGRlSDdwK05Bakh1MHRuVzYzQ3cxRk12T2pHK1A5T1FhNlJvZjVxQjhiKzVzS3VtenBROUVZYmlzNHFtTzFtMXYzalFVeSs3SUdoU29lNkt5cGgzMTRBaFY0T0tTV2g5NmREOE83M1kvTXRUUkN5R3FJU29RU1VwcVAvSEcxdEZwUmZwRVlpbkVUL0w0WlJkMFhsOUl4WkFCei9VUXA5cFJaeWpSeTdQM01RamRkV0lkQVhRdGNQQjlIOHFUcE12REFGZTFiWHVxSXpDMkNzMWNQZDdvVk1KVU93UHd6bmIwWlIrRG9MYWo5UWpwNkhuREJVNjZBclAvWnBuSW1JaUloeVljS1J4ZHhzekhtVG5aYXZ2L3VHRzZjSERnOCtNUUpUZ3g2R0toM0VxUmgyZitZZ1VyRVVJbU1pWHZyd3E1QlNFaURObmZscS9IK25JTWdFMUYvaldObUx3Y0xUenZvT0JlWThaVi8zaVZvVXZtNTZVUG02NjJ1QTYydm03Uk9kRUpFSUp5RlR5WkFJekxUU25GRXc1MmwvLzZOSG9MR3JVTEIxL2pTcmNWOGNpVWdLTXBVQXp6NC9CTGtBbGZub3p6QTRHRVl5Y25TV3IrTzUzbGMrbWY5N25MUFBsZFA3YkxtMUNhSEJNRXJQS1VURjI0b3g4S3RodVBmNEVCNkp3bENsUTgybFpiQnZMNEFnRjFDeW94Q1RMN3N4OU5zeGpQeDVBaXFyRW5VZnJFVDVSY1VvZjFzeERGVkhFOWJJYUJUZFAzWWlPaUZpNDJjYW9DdlhJT2FkYmlFSzlvY2hTUkxpZ1FTME9ibzFEZjlwSEJxN0N2YnRWdlQrYkFpUmtTaVVCZ1VLdHBvUjZBa2g3a3RBNzlCaC9TZHFNZnE4QzFPN3ZJaU1pYk96ZGNtMWNuZzdBcERyNUpCclpiQ2ZWUURSSGNQbzg1TlFtcFhRbFd1aHE5REM5Uzh2cG5aNW9Tc3ZXZlpuVGtSRVJMUVFKaHhaVkdZbHpub285L1NqQzBrL0pUYzI2R0dhV2NkQ2JWT2gvbW9IMUFYSzZScyt0Unh5dFF3eXBRQkJJVXp2SXhQZzJldkQyRTRYa3BGa3p0VzZqMFU2bnNYR1VHUlNXZk8zQnFSNTl2blIrN09oNlhQSUJaZ2FEYlBkZ0lEcG0ydlhLMTZzLzgvYW5DdU1ldzRFMFBYQUFBQkFycGFoNnVLeU9kZmMrZTAraU80NGJLM20yU2wybDJQYnZSdVh2VStheXFLRXNXNzZ1NE13L2YxWnQ1alJlRjMxL0ZtaUJNQyt2UUQyTXdyZzdmRERleWlJZ2xienZHc09PU1BZZTFzbkxCdE4ySHJIdXRuMVZsUVdKWXJPTEpqdDltVnJzOHhPcjJ0cU1NeU81U2c5eno2YjVKUy90UWdkWCs5RktqNmRrTWxVTWxTOHZYaTJaYVRxNGxKNER3WlEvWjZ5MlVIb2puZVZZdUN4NGRudkxQUGE2cTg2MnBWdi9YL1dRdUJxNDBSRVJMUUtUcWs3ak5iV1ZnbFl1RnZTYTluVWJpOHN6YWE4QThOUG1Ka1dHa0V1NVB3RlJTZkVSUWNoU3lrcFowS3k0RDVKQ1RGZkF1b0M1WnpYSjd0Z1gzak9XaDJucW5UclVudDcreW4xM3hVaUlpSTZQbXpoZUEzSlhsOWp6UWhZOEduNFVtWThXbTZ5QVV5M3FLUVRqTXpYSjd2VElka2dJaUlpeW1lTkg1VVRFUkVSRWRHcGpBa0hFUkVSRVJHdEdpWWNSRVJFUkVTMGFwaHdFQkVSRVJIUnFtSENRVVJFUkVSRXE0WUpCeEVSRVJFUnJSb21IRVJFUkVSRXRHcVljQkFSRVJFUjBhcGh3a0ZFUkVSRVJLdUdDUWNSRVJFUkVhMGFKaHhFUkVSRVJMUnFtSEFRRVJFUkVkR3FZY0pCUkVSRVJFU3JSckhXQWF5R0Y2NW9YK3NRaUlpSWlJZ0lwMWdMaHlSSk85YzZCcUxUR2Y4TkVoRVJFZEZKcTdXMVZXcHRiWlhXT2c0aUlpSWlXam1uVkFzSEVSRVJFUkdkWEpod0VCRVJFUkhScW1IQ1FVUkVSRVJFcTRZSkJ4RVJFUkVSclJvbUhFUkVSRVJFdEdxWWNCQVJFUkVSMGFwaHdrRkVSRVJFUkt1R0NRY1JFUkVSRWEwYUpoeEVSRVJFUkxScW1IQVFFUkVSRWRHcVljSkJSRVJFUkVTcmhna0hFUkVSRVJHdEdpWWNSRVJFUkVTMGFwaHdFQkVSRVJIUnFtSENRVVJFUkVSRXE0WUpCeEVSRVJFUnJSb21IRVJFUkVSRXRHcUV0UTZBVGs5dGJXME9TWkx1elNxK2VPYnZKek1MNVhMNURhKzg4c3JRaVltTWlJaUlpRllTRXc1YUs3TFcxbFluZ1BLRktnbUNjR1QzN3QxVkFGSW5KaXdpSWlJaVdrbnNVa1ZySlNVSXdxOFhyWlJLL1JwTU5vaUlpSWhlczVodzBKcEpwVkpQTGw0TFM2bERSRVJFUkNjcEpoeTBadXJyNjE4QU1MRkFsWW42K3ZwL25LaDRpSWlJaUdqbHlkYzZBRHA5SFR4NFVDb3RMVzBBMEphbnlzK2ZlKzY1MzUzSW1JaUlpSWhvWmJHRmc5YVVJQWg1dTB6SlpESjJweUlpSWlKNmpXUENRV3Z0YndBOE9jbzlraVR0UE1HeEVCRVJFZEVLWThKQmEycjM3dDF4U1pLZXpySHB0N3QzNzQ2ZjhJQ0lpSWlJYUVVeDRhQTFsNmRiRmJ0VEVSRVJFWjBDbUhEUW1qT1pUSDhGRU13b0N2ajkvcit1VlR4RVJFUkV0SEtZY05DYTI3bHpaeFRBNzlQdkJVSDRmVTlQajdpR0lSRVJFUkhSQ21IQ1FTY0ZTWkptdTFBdGNVRkFJaUlpSW5vTllNSkJKNFZrTXZtbmpOZlByR1VzUkVSRVJMUnltSERRU1dIZnZuMGhBTDhHOE9UTWF5SWlJaUk2QlNqV09nQ2lORW1TbmdBZ3JYVWNSRVJFUkxSeW1IRFFTVU9sVXYxQm9WQXc0U0FpSWlJaUlpSWlJaUlpSWlJaUlpSWlJaUlpSWlJaUlpSWlJaUlpV2daaHJRTWd5cVd0cmMwc1NkSTNBVndOb0ZNUWhETjI3OTd0Vyt1NGlJaUlpR2g1dUE0SG5XeUVscGFXOTB1UzFJbnBaQU1BMWttUzFOblMwdkkrTUVrbUlpSWllazNoelJ1ZE5MWnUzZG9nazhtK0IrQThBRERVNkZDeW94QmpPMTBJOW9mVDFaNU5wVklmMjd0M2IvZWFCVXBFUkVSRVM4YUVnOWJjamgwN05INi8vN01BUGdkQUpkZktVZjNlTXBTZWE1LytoVXJBNkhPVEdIaDhHTWxJQ2dCRUFIZVpUS2E3ZCs3Y0dWM0wySW1JaUlob1lVdzRhRTIxdGJXZEwwblMvUURxQWNDKzNZcmFEMVJDYVo2L0ptWGNsMERmTDRZdytaSW5YZFFqazhrK3RtdlhycitldUlpSmlJaUlhRG1ZY05DYWFHbHBLUk1FNFY0QWx3S0F0bFNEdWlzcVlXazJMcnF2OTRBZnZUODdnc2pZYk9QR280SWczTGg3OSs3UjFZdVlpSWlJaUk2RmZLMERvTlBMZTk3ekhybGFyZjY0SUFpL0FkQXFVOHJnZUZjcEdqOVNCVzJKWmtuSDBCU3BVYnFqRURLRkRJR2VFS1NVdEJIQXRhV2xwY0d6eno1Nzk4R0RCNlZWdlFnaUlpSWlXaksyY05BSjA5TFNzazBRaEI4QWFBTUE2eVlUYXErb2hMWllmY3pIakl5TDZQMnBFOTREZ1hUUmJrbVNydHV6WjgrdTQ0K1lpSWlJaUk0WEV3NWFkVnUzYnJYSVpMSTdBSHdNZ0tDeUtGRjdlU1VLWDJkWm1WK2dCTGorNVVIZkkwY1E4OFpuU3ZBOVFSQyt3TFU3aUlpSWlOWVdFdzVhVFVKYlc5djdVNm5VdllJZ0ZBc3lBYVhuMlZGMWNSbmsycFZmQWlZWlNXSGdpV0dNUGVlQ2xKSUFZRXlTcEJ2MzdObnpLS2FURUNJaUlpSTZ3Wmh3MEtyWXNtVkxvMXd1L3g2QU53T0FvVmFIK3FzY01GVHJWdjNjd1lFd2VoOGVRcUF2bEM1NkxwbE1mdXpWVjEvdFd2V1RFeEVSRWRFY1REaG9SZTNZc1VQajgvaytKd2pDWjVGZVUrUFNNcFNlWXoreHZ6WUpHUHViQy8yL0drWXlrZ1NBbUNSSlh6V2J6WGR4N1E0aUlpS2lFNGNKQjYyWTF0YldDd0RjRDZBT0FJck9MRUROQnlxZ05NMWZVK05FaWZzUzZQdmxFVXkrNkU0WDlRaUNjUDN1M2J2L3NtWkJFUkVSRVoxR21IRFFjWnRaVStPYkFONExUSytwVVg5bEpjd2JGbDlUNDBUeGRnVFErN01oUkVabkd6Y2VreVRwaGoxNzlveXNaVnhFUkVSRXB6b21ISFRNZHV6WW9RZ0VBaCtUSk9rT0FFWkJJY0R4SHlVb3Y2Z1lNdVhLRHdvL1hxbDRDc04vbk1EUTAyTkl4Vk1BRUJBRTRZdTF0YlgzUC83NDQ4bTFqbytJaUlqb1ZNU0VnNDdKdG0zYlhwOUtwWDRBb0FVQXJKdE5xTHVpRXBxaVkxOVQ0MFNKVG9qby9ka1FQUHY4NmFMMlZDcDEzZDY5ZTE5Wnk3aUlpSWlJVGtWTU9HaFp0bTdkYWhFRTRTdUNJRndIUUZCWmxhaTlyQUtGcjdPK3RuNU5FdUI2eFl1K1I0WVE4OHl1M2ZIOVZDcjFoYjE3OTNyWE9EbzZ6YlcwdFB4VEVJVFhyM1VjZEpRa1NUdjM3Tmx6emxySFFVVDBXdlJhdWtXa3RTVzB0clorQU1DOUFJb0VtWURTdDloUjllN1ZXVlBqUkVsR1VoaDhjZ1NqejA1Q1NrbVFKR2xjRUlSUHRiZTMvd0pjdTRQV1NHdHJLMzk3SjZIMjluYitQNU9JNkJqd1A1NjBxRzNidGpXbFVxbnZBVGdYQUl4MWV0UmY1WUMrU3J2R2thMmMwR0FFM1E4Tkl0Z1hUaGM5TDVQSlByWnIxNjdEYXhrWHpTRUhjRnFNdFVrbkhHZi9ySFd0UXlFQUwxelJEb0FKQnhIUnNYcnRQcHFtVmJkOSszWnRXMXZibDFPcDFENEE1eXAwY3RSZjVjRG1XeHBQcVdRREFQUlZXbXk5YlIzcXJxcUVRaWNIZ0hOVHFkUytscGFXMjdkdjMzNXFYZXhyazlEUTBQQnNUVTNObzlrYnRGcHRlWE56YzZkV3E4M3VnaVNmK1VORVJFUnJpQWtINWRUYTJucWhLSW9ISkVuNklnQlYwVmtGYUx1bkdTWG5Ga0tRbmFJUCtRU2c5Rnc3MnU1cFJ0R1pCUUNnRWdUaEZsRVVEN1MydGw2NDF1R2R6Z29MQ3o5aU1Cak9kcmxjM3dZQXRWcGRsOTRtU1pKU3JWWTN5ZVh5MldYc3pXYnp4UnMyYkRoUVVsTHlxYldJbDRpSWlJNWl3a0Z6Yk5teXBieXRyZTF4QUg4Q1VLc3QxV0RUNXhyUitKSHFOVjNBNzBSU21oUm92SzRhbXo3YkFHMkpHZ0JxQWZ5cHRiWDFzUzFidHBTdmNYaW5IWlZLdGFHaW91SWJJeU1qdHdRQ2dSZTFXdTMyRFJzMkhEWVlESE1HOE1wa01yWE5acnRxM2JwMWUrdnE2cDZJeFdLRG9WRG9IMnNWTnhFUkVVMDdQZTRnYVZFemEycGNMMG5TSFpJa0dRU0ZBTWU3U2xIKzFtTElGS2RvaThZaXpCdU1hTGx6UFliL05BSG5VNk9RRXRKNzVITDVoVzF0YmJjWWpjYjdkKzdjbVZqckdFOTFHbzJtcXI2Ky92YytuKzhQNCtQalh3V0FTQ1R5a3NmamVheW1wdWFSL2Z2M2IwN1hyYW1wZVVvbWs4azlIcy9qVHFmem1uQTQzQW5nNUZsOWtvaUk2RFRGRmc1Q1cxdmJHd0tCd0N1U0pOMEh3R0RkWWtiYjNjMm9mRWZKYVp0c3BNbVVNbFQrZXduYTdtNkdkWXNaQUl5U0pOM245L3YvMWRiVzlvYTFqdTlVVjFOVDh6dVZTbFVqQ0lLc3RyYjI2YWFtcG44ME56Y2ZOcHZOYjFNcWxhVzF0YlhmU2RkMXU5MFA3ZG16eHpFd01IQlpPQnh1MSt2MURTMHRMVWNNQnNQR3Rid0dJaUtpMHgxYk9FNWptelp0c3FwVXFxOUlrdlFSQUlMYXFrTE41ZVVvM1BZYVcxUGpCTkRZVldpK3NRNnVYUjcwL2Z3SVlwNTRpeVJKTDdXMXRUMFFpOFUrdjMvL2ZzOWF4M2dxY3J2ZEQrcjErbk9UeWFRM2tVaE1CSU5CVnpLWmRNWGo4U21kVHRkY1ZsYjJWYmZiL1VzQThIZzhUd0FZUys4cmw4dExCVUZRQklQQnFUVzdBQ0lpSW1MQ2Nab1NXbHRiTHdQd0RVbVNpaUFBNVJjVXdmSHVNc2cxYlBUS1N3QUtYMmVGZFpNWnpsK1BZT1F2azRLVWtxNVRLcFh2Ym0xdC9WUjdlL3NqNE5vZEsycDhmUHcrbFVyMVRLNXQwV2kwTHhRS3ZSZ0lCUFlEU0ZtdDFrc2tTWElEMHdQSjdYYjdkWWxFWWhMQTZJbU1tWWlJaU9aaXduR2FhV3RyV3lkSjB2Y0FuQU1BeHZxWk5UVWNuUGwxcWVRYUdXbytVQUg3V1FYb2ZYZ0lnZDVRRVlEL2FXMXR2VVlRaEkvdDNyMjdjNjFqUEpWczNManhrQ1JKb2lSSm1XTm1aREtaVE52UjBkRUF3RGM2T25wYlVWSFJ6WGE3L2FNejIxT2lLRHFQSERseS9ScUVURVJFUkJtWWNKd210bS9mcmhWRjhRdVNKTjBNUUtuUUsxRDkzaklVLzV2dDFKM21kcFVacW5UWWZFc2p4bmRPWWVDeFlTVEN5WE1rU2RyWDJ0cDZqMXF0dnZPbGwxNktySFdNcHdxbjAzbmQxTlRVdytuM1JxUHg3SWFHaHYrYmVhdngrWHpQakk2T2ZoTkFhRTBDSkNJaW9yellmK1kwc0czYnRvdGlzVmdIZ0M4QVVCYWZiVVBiM2V0UmNzNHB2S2JHQ1NMSUJKU2NXNGkySGFnaHN3QUFJQUJKUkVGVWV6YWcrR3diQUNnQmZFRVV4UU10TFMxdlhlUHdUaG1DSUtnQkdOSi9aRExaYkpPY1NxV3FYcmR1M1N0YXJYWlQ1ajU2dlg2ejFXcDkzd2tPbFlpSWlMS3doZU1VdG5uejVncUZRbkZmS3BXNkdBQjBaUnJVWFZVSjh6ck9GTHJTbENZbEdqNWNoYUkzMmREemtCT1IwV2l0SUFoL2JHdHJleUtSU0h6eTFWZGZIVjdyR0YvTEhBN0gvMmZ2dnNQYktzLytnWCtmbzJWYnRtUmIzdHV4blRqT3NvNlNzR2w0KzdhRkRzcW04Q3ZyYldrcG8xQ2dCVnBhb05CQm9aU1dGdEpKeWlwbEYwcWhFOHFHV0xLZDRTekhkcnoza0pka1NlZjUvU0hMaVdNbmNZWXRTLzUrcml2WDVYUE9jNDV1WGJIa2M1OW4zT3Z6OHZMV3o2Q3BMaWtwNmRNMm0rMWFpOFh5U1ovUDE5SFgxL2MzQU83WmpwR0lpSWlteDRRakNxMWJ0MDd2ZHJ1dkEvQjlBUEZDTDVCL2RoYXl6a2hiOE12Y3pqWnJhZng0N1k0T05MN1lCdW1YNStsMHV0TlZWZjJleFdKNWlMVTdqc3llUFh1dU9NaVFLZ0JBWm1ibU44MW04L0U2bmM3cWRydGZyNnVyTzdlL3YvOVZBTjY1anBlSWlJajJZc0lSWlZSVlBkN3RkcThIc0FvQWtsWlpVSFJwTG1KU1RXR09iT0ZROUFLNW44dEE2dkhKMlAxWUkvcXEzZkVBSG5DNzNaZXBxbnFWeStYNklOd3hScHI4L1B4SDgvUHpIejFZRzAzVHZIdjI3TG5TN1hiL0I0QUhRR1pCUWNFZk9qbzZiaGtkSFcyZW0waUppSWhvZjB3NG9zUUpKNXlRN1BWNmZ3VGdTZ0RDbEd6RW9pL213T1pJWkUyTk1Bblc3aWhHajdNZmRVODB3OXM3dGdyQWU2cXEvc2JuODkzRzJoMHoxOWpZZUZWM2QvZVRvVzJyMVhwQ1VWSFJQL1p0MDlIUjhZdlIwZEdKWkM0K1B0NlduSng4Y1dkbjV3TUFtSENFVzJqQmFINGZFUkV0T0p3MEh2bUUzVzYvMU92MWJnZndGUWlJN0RQU29QNTRLV3lybVd5RW5RQnNxeE9oL3JnTTJXZWtBd0lDd0ZjTkJzTU91OTErQ2ZnL05DTlNTaStBb2RBL1RkTW1WZ0FUUWtnQTBPdjF1djNPeVFDQWtaR1JCWmRzakxaNXB2eVRXdkNPZjNEM01DcHUzQUpQOTloUnZjWTdsN293MnVhWldXTUpiUHRGSGJZOVZBZHRURHVxMXlVaW9zakRIbzRJcHFycVVpbmx3MEtJZFFCZ0tUYWo2SW84bUhOWlUyTyswY1VvS0x3b0cya25KYU4yUXlNR2E0ZFRoUkNQMmUzMi94TkNYTzF5dWJhRk84WklZREtabGdnaFBHYXorVFFBOEhxOUF4aC9jSktZbUhpeDMrOFBBSUJlcjFkU1UxT3Y4dmw4SFFBNndoZHhlRGh2cVpteWIrMURLMkMwR0ZEM1pETk00ME1zOTAwNkZKMkFNY2t3NWJ5REpTYmVYaCtFWWZyblZqRXB4cjBiQWtnN09SazdmbFdQelQvY2hXVTNGOEhiNjBQbDdUUDd0VC81TVJXYVgyS3MzemZ0OGZvbm10RGpHcGpSZFlpSWFPNHg0WWhBRG9jalR0TzAyd0hjTElRSTF0UzRNQXZwcDdLbXhueG56b3ZGeXRzWG8rT3RIalQ4dVJYK1lmODZBTldxcXQ0bmhQaUIwK2tjQ1hlTTgxbDJkdlo5VnF2MURFM1RScnE3dXg4QzBBVUFIUjBkUDAxTlRiMDZOVFgxNmxCYm44L1gwdExTY2wzWWdnMHp4NzFsaU0yTVFmdWIzV2g4c1ExR2l3R3QvK2pFWUcyd1ZFbkZqVnNtdFRmbnhjSit6OUlwMTltLzNiNjIzTHZyZ01mMnY3bTNPUkt4OUlZaWJIdHdOeHIvMG82Q0M3UGh1TGZzb08raHAzSUFEVThIRjNnYmJoaEI5ZmQzVE50dTdjOVhvT0RDQUFCQTgwbFUzN2tkV2FlbklmMFUyMEd2VDBSRWM0TUpSNFJ4T0J5ZmtWTCtVZ2hSQUFTZkdoWmVsQU5EQXY4ckk0VlFCRExXcGNEbVNFVDluNXJSK1U2dkFjQzNBVnkwZXZYcWF5c3FLdjRXN2hqbms1cWFta0tQeDlNTkFIVjFkV2RPMTZhbHBlWG1scGFXbStjMnNzalErVzR2MGsreFliaHBGQTEvYnNIaXIrUWo3ZVM5TitMRFRhT291bU03VXRZa0h2QWFvZVJsWCs5YzZwcDIvMmliWjBvUGkvT1dHaFJja0FXYkl4RXJ2N2NFNXR4WUNKMllPTmMvNU1mR2IyekJtcDh0aHo1KzczZVpzWDV2L3AxUVpNYUp2eThIQUx6M3BTb1VYNTZIdEZPU0FRQ0tRVUd3QkE3UTZ4cUE1cGRJUDhVMkpUWWlJZ29QM3FWR2lEVnIxdVFHQW9FSHBaVG5BRUJjZGd5S0xzdUR0VFErM0tIUkVUSWs2TEg0S3dWSVA5V0czUnVhTU5McUtaUlN2cXFxNmd0K3YvLzZUWnMyTGJpNUI5UHhlRHdONFk0aFVuazZ2SER2SEVMQitWbW9lWEEzRWtyaVlTbE4yRHRNU2dJN2Y5MEFjM1lzVWs5SWhxZDdES1lrQTRSdWNrL3BkRU8wRHJaL2Y2TnRIdmhIZ2owUThRVnhVNDVMQ1FTOEdxU2NjbWd2RVVvc3hpbjdiWS9yL3FnUGNUbXhURGFJaU9ZUkpoenpuTVBoTUFENGVpQVF1QXVBV1RFSTVKMmRoYXpUV1ZNaldsaExFMUIrejFLMHZ0Nkp4aGRib2Zua09YcTkvcE4ydS8wT3E5WDZDOWJ1b0NQVi90OGVKSllsSU9EUllMSVpNZHc0ZXNBaFVoVTNid1V3ZlcvRzhsdEtFSk0rZVdudGlodTNUTHZmMCtFOTZGQ3JzWUdwOHpEOFE4Rmt4T2YyVDB4dTE1bDBVOW9kU21BMGdCN1hBSExQeWpqc2M0bUlhUFl3NFpqSDdIYjdDVkxLOVFCV0FrQnl1UldMTHNsaFRZMG9wT2dGY2o2YmpwVGpFbEgzZURONnF3YmloUkEvZGJ2ZGw5cnQ5cTlWVmxhK0grNFlLZklNMUF6Q3N0aU1wSlVXSkM1TG1OSnpzYjkzTG5WTjJwWUJpUlczbGNDWVpEekFHVk9aYkVhc3VLMEVNaUNuZmIyUHJ0dDh3SE5kdCszdE1jazdPM05TTWpNMjRKdDBidTBmR2xIN2gwWW9lb0VULzJBSEVFeXdaRUNpNWRVT3hOaU1FSG9CbThyVitvaUl3bzBKeHp3MFhsUGp4d2pXMUlBcDJZQkZsK1RCcGxyNWh6UEt4YVNhVVBhTkl2UzRCbEQzZUJPOHZXT3JoQkR2cWFyNkc1UEpkTnY3NzcvZkcrNFlLWExrbjUrRnJUK3RSZVluMHhDVFlrVEZ6VnZoNlp4NTRmWFJOZzgyLytqQXZSVUg2OGxRZjdnVWNUbFRWOHc3ZnYycVNkc3lJTEhsM2wwWWJoekY2dnVYVGN6aFVBd0MzUnY3SjlvWkV2UVRrOHlkdDlRZy85d3NwS3hOQkVUd1MxRnFFbTMvNkVUYVNjbG9mN01iSTIwZXRMemFnZHl6TXBIem1mUVp2MmNpSWpyMm1IRE1MOExoY0Z6cTlYcnZCNUFDQVdTZm5vYThzek9oaXpuODRRVVVvUVJnYzFpUnVDd2VqUysyb2VYMVRrRGlLMTZ2OTJ5SHcvRk5wOVA1R1BhV1VTTTZvTVJsQ1VoWVpFYmJQenBSZUhFT3l1OHFuUml5TkowUHI5azBaWjlRQkU3YVlKK3kvMENUeGdIZzNjc3JEL2dhK3JqSjMyWDFmMnFaU0lKMHNib3B4L2VOWTkvWE1sajFrN1k3Mys2RnAyY01XWjlLUS91YjNURFpqQ2k0SUJ0MVR6VWpjVm5DdEhOSGlJaG9iakRobUNmc2RudVpFT0lSS2VXcEFHQXBpVWZSNWJtc3FiR0E2V0owS0x3b0Iya24yN0Q3MFVhNGE0ZFRwWlFiVkZXOVFrcDVkV1ZsNWN4bTdOS0NsbHh1UWVlN3ZTaVVnR0lVT0pKdTBnUFY0amhZSFk2WmFIK3pHeTJ2ZDJEeGxRWFkrWnVHSTc1T3dCTkF3M090U0QwK0NYSFplNU9RelA5TlJYZEZQM1k4MGdENzNhVlFqS3gxUzBRVURrdzR3bXk4cHNaM2hSQTNBOURyelRvVWZDRWI2YWV3cGdZRm1YTmpzZUwyeGVoOHV4ZjFUemZEUHh6NG1CQ2kybTYzMzZjb3lqMnMzVUVIWTB3MllxemZoNzdOYm15OXYvYXd6NWVhUE9CRTg0TU5xVHFVbm9wKzdON1FoTnpQWlNCcGxlV3d6dzk0TlBSV0RXQzAzUXRmdncvK1lUL3l6OG1hM0VnQUpWL0tnK3UyYldoNHRoV0wvbC9PRWNkTFJFUkhqZ2xIR0ttcStsa3A1VU9obWhycHA5cFFjR0UyYTJyUUZFSVJTUCtZRGNtcUZmVlB0NkR6N1I2OUVPSTJLZVZGRG9maldxZlQrV3E0WTZUNVphaGhCUDdSQUhvMjlzTm9OU0N4TEFGckgxb3hjYnpsdFU2a25aZ01nM1h2OTAzZEU4MlRobThhazR3b3ZpSVBHYWVsVExxMmU5Y1FPdC91UmY1NVdUQllwbjVmdGIvUmZkQ0o1cDN2OVdMWGIvWWc1YmhFNUorYkJkL1FEQlppazhCUS9RaDZxNE1WeGV1ZmFvYlFDNWlTamZCMmp5SG5zK2xUVnN3Q2dKZzBFM0krbTQ3R2w5cVFzallKbGhMem9WK0xpSWlPS2ZZdmg0SEQ0Y2hUVmZWRkFLOEFLRERueEdMbGR4YWo1TXY1VERib29Bd0plaXkrTWg4cnZyMDROSFNrUUVyNVYxVlZYMWl6WmsxdXVPT2orYU43WXorcTc5eUJnVzJEeVAxOEpqcmU3b0ZRQkZ5MzFFRDZKTnc3aDdEN2o0MHd4T3RodEJyZ0gvUkRINnVETWRFd2NRMXRUSVBSYWdCa2NQaFV6UU83QVFSWGlCcllQZ2hQMTlRSjZQNlJBTHc5WTlERlRQUG5SUUpOZjJuRHpsODN3T2F3WXZGWENtWTh3cXZyZ3o1VTNia2R6YTkyd09aSXhKS3JDdUQ0eVRKSXYwUk1taEc1Wng1NEtkeWN6NllqTnQyRWtlYlJtYjBZRVJFZFUwdzQ1cERENFRBNEhJNmJwWlExQU01U2pBb0tMc3hHK2QybHNDeGhBVCthT1d0cFBNcnZYb3FDQzdLZ0dBUUFuQjBJQkxZNUhJNmJ4bXUzMEFLWGQzWW1qdnZWU2h6MzhFb0FFZzNQdEVDSVlFSUFSYUQwMmtVWWJmZGlzSFlZdlpVREdPMGNRMi9WQUpwZWJwKzRSc2RiM2RqOWVCTUFRUE1HMEZzVjdGMVlkbk14ZEhFNmJQN0JUbmk2Z3ZNN2R2K3hDVFUvMjQyQUo0QzJmM2VoL3VtV0tURzEvYWNMZTU1dlEvb3BOaXk1dXZDUXkvVHVLNkhFak5KckNuSGNyMVppNmZXTGtIcGlNdlJ4T2xqTEVyRGthNFVIbloraEdCU1UzNzEwU2svTlhMTGI3ZmxoZTNFaW9qRGo0L1E1VWw1ZWZ1SjRUWTBWQUdCVEU3SG9pemt3cGN4OGZYdWlmUVZyZDJRZzViZ2sxRDNSak43S0FiT1U4bjRBbDVXWGwxOVZWVlgxWHJoanBQQlI5R0tpeDdUMW4xMUlQVDU1MGdSdlU3SUJqdnVXUVIrbnc2N2Y3b0htMDFCMFdTNjIvN0llU2VVV21ITmowZkYyTDlKT1NwN1NDMkd5R2JIeU80c3hzRzBJTWFuQjc3Q2hQU01JakFaZ1NqYWk2SkpjN0ZqZmdNU2xDVWhXclJQblpaeVdBcjFaajlUamt5QTFpWkVXRDNRbUJYMmIzSUFBZEtiOWtnWU5FNjhkazJKRXpIN2ZsL280SFJaL1pXYjM4Vk91UFFkVVZTMldVcDRMNEJ3aHhGcHdZWE1pV3FDWWNNeXl0V3ZYMmdLQndMMVN5aThCb1pvYXViQTVFc01kR2tXSmlkb2R6djd4MmgyK0ZZcWl2R3UzMjM5bk1CaHUvZWlqajNyQ0hTT0Z6OEMyUVF6Vmp3UjdBUXdDaWtGQnI3TWZpY3NUQUFERGUwYlF0OW1Obk0rbVR3eFZNdWZFb3VPdEhuaDd4cER4UDhGZUFVT0NIaEJBeDFzOUUvTWdZbEtOR0czellLaGhCRU4xSThqOFJDb0FJUFhFWkhSOTBJZmhwdEZKQ1lkUUJGS1BUd3IrTEFTcTd0Z09iVXlEVUFTeVA1VUdvUlBRZkJvZ3g2dUdPL3NSWTR1c2h6SjJ1NzFNVVpUenhoT05sVUl3eHlBaVlzSXhlNFNxcXBmNy9mNzdBTmlFQW1TZG5vNjhzekpZVTRObWhjMlJpTVJsQ1doOHFSMHRyM1ZBUUh6WjcvZWZwYXJxTjEwdTF4L0IyaDBMa25WcEF1ejNMSjNvaWNqOWZBWWFubW1COW1UdzEwSG9CU3lMNDVGK2lnMEFrSEpjTUNHSVNUTWgvL3dzbUpLRDUrbmo5Y2c3T3hOMVR6UWo0QWxNZWczRnFDQnhoUVY1bjk4N2oyTHBEWXNPdnRLZUFFNzhYVGxrUUFJaW1JenMvRTBET3QvWlc5dFNGNk5EeVpYemZpU1NjRGdjOWxCUEJvQlNLZmxSSXlMYUZ4Kzl6SUpWcTFZdDArbDBqd0E0QlFBc2krTlJmSGtlNG5LbUZzaGFLSHdEUGloR0JiclkyVXUyWkVBZTFwandhRGJTUElwZGp6WmljTmR3YU5mYmdVRGdhOVhWMVZ2REdSZk5qS3FxRWdCT2Zrdzlvdk03Myt1RnpXNmQxYy9iYkFoNHRPQWNFeTJZaEJpdEJnaDkrRC9UNzF6cUFnQzRYSzVRTUlxcXFtdWxsT2NwaW5LT2xMSndKdGZaNTN3aW9nV0ZYMzdIME1xVks4MEdnK0c3VXNxYkFPajE4VG9VZmlFSGFTY25SMFZOalk2M2VoQmZHSGRFeFFpMy9LUVd3M3RHNExpM0RQcjRJKzlZTzFCMVkvK1FIeHR2M0lMeXUwcW5yWHc4RXdGUEFDMnZkU0pqWFFxTVNaRS83MXBxRXAzdjlLTCtUODN3RHdjQXdDK2x2RjlSbEx0WnUyTitPOXFFZzQ2dFVNSWhwZnpZK0hDcGN3QmtoemNxSWdEQURvUEJzUGJERHo5MGh6c1Fvb1Boa0twanhHNjNueW1FK0lXVU1oK0l2cG9hL21FL2FoOXRSTzduTXc0NzRXajdWeGY2dDdpUjgrbDA2T1AxOFBiNnNQR0d6WWM4NytUSFZIeHdWWFh3aWVjK25MZlVUR25YdDhrTlk1THhnTW1HMUNROEhWT1g4QVF3Y1U1UFJUK2FYbTVIeHJyd3JXUnpMQWxGSVAxVUc1THRWalQ4dVFVZGIvWG9oUkMzU2lrdlVsWDFPcGZMOVVxNFl5U0tKRUlJcVdtYVZCUkZjdGdVelJOTEFvRkFLWUNQd2gwSTBjRkV4OTF3R0RrY2pqd0F2NUJTZmg0QTRuSmlVSHg1SGl5TEkzdVoyOUUyejZUdG5vcCtTRTNDV3BvdzVWaUl3V3FBUG03eUVJNkI3VU9vZTdJWkNjVm01SjhYckFKc3RPcmh1TGRzUm5Hc2ZtRDVwTzBQcnFwRytaMmxpTW1ZWE9DcjY0TStqTFo1SnA1RTdtdlY5NWJBbEdxY2txaUVoSjRpZDc3Ymk5VGprcUtpZDJOZmhnUTlTcjZjai9SVGJkaTlvUW5EemFQNUFGNVdWZlVsSWNUMVRxZXpNZHd4UmlxNzNaNWZXVm01Sjl4eDBOeHd1Vnh2QTNnYndEY2NEc2NhS2VWNVFvaHpPYVNLd2tGVjFlMEFsa2dwMmJ0Qjh4NFRqaVBrY0RnTVVzb2JwSlIzQW9oVGpBcnl6OGxFMXZoS0s1SHVRRGZubTMrNDg0RG5GRitlTjdHaURRQU0xWTJnNW1lN1liVHFzZlRyaXliR1lndWRtUEd3SjMyY0R1OWVYamxwWC9YM2QwemFkdHkzREwzVkF5aThLQnUyTmNFSnI4MnZ0S1ByL1Q2VWY3OFVwaFFqRkwyWU1qeWw0KzBlN1BwdDhGN1IwK2xGZjgwZ0lJUGozNmVUZTJiR1JOSVVpU3lMNDFGK2R5bGEvOTZKUFMrMFFSdlR6cEpTZnRMaGNOd0I0T2RPcDlNWDdoZ2pqUkNpd1c2M2Z5U0VlRjRJOGJ6VDZkd2Q3cGhvVG1oT3AvTkRBQjhDK05icTFhdkxOVTA3RjhDNUFFckRHeG9SMGZ6RGhPTUlPQnlPazZXVWp3QllEZ1JYQjFyMHhSeVlJbXo1eGtQWlA0RTRtUDE3RnZvMnViSDlsM1ZRREFxV2Zhc0Vpa0hCdGwvVW9lQ0NiTVR1MXp0eEtGS1RXSDNmTXNTa20vRE9wUzZvUDFxSzJNd1llRHE4cVBqbVZqUy8wbzdrY2l2Y080YVFmVVk2QU1DOWN3aHBKeWZQK0xWYS85bUYrUHc0TFBsYXdhVDlsZC9aaHB6UFpTRDErS1NqbW5zeVh3aWRRUGFuMDVHeU5nbDFUemFqeDlrZko2VzhEOEJscTFldnZxcWlvdUxkY01jWWFjYnJLNnlWVXQ2cnFtcTFFT0o1VGRPZXI2eXNuRDVycDJnakt5b3FLZ0ZVQXJoOWZGbmNjOGRYclZvVjV0aUlpT1lGVmhvL0RBNkhJMFZWMWQ5TEtkOEdzTnhrTTJMcERZdXc5UHBGVVpkc0hLM2g1bEhvVERvc3Y3VUVjVmt4MlBOY0szb3ErakhTTW5yTVg4czM2TWVTcXdzeDFEaUs0YVpSOUc5eFk2emZoOXg5bHVnOEdQK1FIeDF2ZGlQZzFSQ2JHVFB4ejJBeFFQTkxtUE5pZzl0Uk1oOEhBRXdwUml5OWZoR1czakR4dTd0YzA3UjNIQTdINzlhdVhXc0xkM3dSYkpXVTh2dENpSzJxcW01VFZmV2UxYXRYMnhHaEMzUm9mZ25YYlRVWWF0aTd4b0IvSkRCcFdHWGZKamZldWRRRjM2Qi9ZdCtCNWtzdEJKV1ZsVFZPcC9OdWw4dFZMb1FvQm5DTGxKTGo2NGxvUVl1ZU82aFpwcXJxMlZMS0Z3QkFLRUQycHpPUSsvbU1zRlN2blN0akE3NER6dGM0bEl4MUtVaFpuWWlZTkJQY3U0YlEva1kzMGsreElibmNlbGpYak0yTWdUa3ZGcTd2YkFzV0JFTnd1SmRRQklSZXdKd1hpOUpyQ3lGMEFvdXZ6TWV1Mys1QndCUEE0cThXd0dpZDJWeU1wcGZiQVNIZzZmQkM4MmxReHFzeGo3WUg0NHhKUGJ3ZW1VaGlVeE9SdU15Q3BwZmEwUEphQjZRbXYrVDMrNytrcXVvNUxwZnJ4WERIRitGS0FYeEgwN1R2T0J5T2Vpbmw4d0NlZDdsY0h5RllRM3ZlNjl2a2hyZDdiRkpQWWNPZlc5QmJOWUJWZHl5WnFOR3hyOUUyRHlxL3V4M0ZWK1FoN2FUa2ljL3QvdXFlYUViN0c5MHppaU5TVitzYUgyTDNFd0Evc2R2dDg3NmdDQkhSYkdIQ01VTkNpSitHVmlWWi9MVkNwSTRYeDRwbWpTKzJvZkhGdGlNNlZ4K25nejVPaDhCb0FEc2ZhVUJjZGd5S0xzdUZ0ODkzd1BraDB6bjVNUlgyZTVhaWYrc2dlcXNHMFByM1RoaVRERERaak1nN094TkpLeXdBQU9tWDZLMGNDRDZKRmNFa1F0RUxKQzZ6VER4Ym5tNUNPUUFNTjN0UWNHRVc2cDVveGxERENDd2x3UW4vdzAyajQvTk5vamZoQUFDZFNVSEJoZGt3RjhSaHg2L3FRN3Z2VjFYMWhYREdGVTNHSnhYZkRPQm1WVlZiaEJBdmFKcjJYSEZ4OGJ2UFB2dHM0RkRuaDB2SGY3dVJ1TnlDc1Q0ZmdPQVVuNElMc3VEZU9ZUnREOVpoNVhjWFQyb2Y4R3JZL3N0NnhHWEZJR1ZOSWdEZ3ZTOVZUWHZ0TlE4c1IvYnBhUlBibmUvMW9la3ZiVmg1KytLbzZrME00ZUlDUkxTUVJkKzMraXdacjYzeEFnRHNmS1Fld3cwanlEMHJNNnA3T0k1bURnY1FMTVMzL1pmMThIU1BvZkFMMlZDTUNtSlNqTk0rclJ5c0hVYjE5M2RnK1MwbFNGeVdNTEYvdUdrVVRTOEZrNTRsWHl0RTY5ODdVZkxsZlBRNCsxSHp3RzdZVkN0U1QwekdubWRiTWRycFJjbVg4MkZNTktEMjBVWnMrVWt0WWxLTVdQYk40b2xKNmdYblo4RzJPbmdqMUZQUmo0Wm5XN0hrYXdYUW0zVm9mNk1iL1ZzSEp4SU85ODVoeEdYSFRQUjRSS3VBVjBQamkyMW9mYjFqWXA4UTRpWXBKWHM0WmtGb2FWVWh4THhlVjNXMDNZdmVxZ0ZBQWozTy9vbjlheDVjZ2RMckZxSDZqdTNvclhKUCtnNXNlS1lGZ2RFQVZ0NnhCSW94dUQrMDBselBSMzJvZjdwbFl0dGtNMDRhYU9ZZjhzT1laSWo0RmY2SWlHZ3FKaHd6NUhLNVhseTdkbTFLSUJDNFYycnlTODJ2ZHFEcmd6NHN1aVFITmpVeDNPSE5PMUtUMlBYN1J2UnZIVHppYTNnNnZLaThmUnR5UHBPQmd2T3pKbTVPWWxLTUtMNDhEOW1mU29QUDdVZlRLKzBRZW9GVjMxdUMrSUk0QUlEakoyWG9lS3NIUS9VamsxYkVNaVFhSnJhdFpRbkkvTi9VaWFlcGljc3Q2S25vUjk1Wm1ZQUUramU3a1hwQ2RQZGs5VGo3VWZkRU03dzlZd0FBS2VYdkRBYkRyUjk5OUZFUEluVGV3VndLRmVpYmdUb0FvWldzTm1KOFNKWExOWDJ2MjN6UTlISTcwayt4b2VUTDA0MEVNc0J4M3pJWUV3M28yN1IzUmM2OHN6S1IvY20wU2NNWlkxS0N3NjcwNDUrejBMYlVKRHp0ZStkNkROWVBJellqWnNxUVM1UE5PSkc4RUJGUlpHTENjUmpHYjhLK3ZIcjE2a2MxVFZ2djdSbGJ2dTNCT3RqVThWV3FVcUpyNHZqUnpPR29lNklabmUvMllQR1ZCZGo1bTRZanVrWk11Z25sZDVYQ21HU0FaL3lHMkhGdkdZUmVnYWQ3RE1LZ3dHZ3pJditjTE9qamRZQWk0T2tlbXpnL2FaVVZtUjlQUGVEMUU0ck1TQ2d5VDJ5bnJFNUV5OTg2TUZRM0F0K1FIMk1EUHFTc2pjNkV3OXM5aHJvbm10SGptbmh5dlZsUmxLOXhsYXBqYXBzUTR2bEFJUEI4VlZWVk5ZQjUzYU94cjRCWFE0K3pIMHV2WHpUcE84Q1VZb1MzZTJ6YVlaRWZYck5wMHJiajNyS0RMbi90SHc1TWU1Mzk5NjI4ZlRGN1BZaUlJaHdUamlOUVVWSHhyc1BoVUFGY0w2VzhxOGZWSDllM3hZMjhzek9SZlhwMDFPRUFqbTRPaHprM0ZvdS9Vb0MwazVLUE9PRUFnUGlDT0d5NmV5ZmN1NGFPNlB6RG1XeWFVR3lHT1M4V2pTKzF3VDhTZ0RrM0ZnbkY1a09mR0VGa1FLTGw5VTQwdnRnR2JVd0RnR0VoeEIwQWZsRlJVY0U2SEVkSkNGR2xhZHJ6UW9qblhTN1h0bkRIYzZSMEpnVkx2bHFBTFQvZU5XbC8rVjJsME1VRWV4c09Wcnp6Y09acGxkMVloT1J5NjVUOW9XV3ZpWWdvOGpIaE9FTGpSZEx1ZHpnY3owZ3BmNjZOYVdjMS9Ma0ZuZS8yUkVXbGNlRG81bkJrbkRhejgyWWlOREcxYjVNYmxpWHhrOGFNdjNPcDY1QlBVZzlrck0rSHBwZmJrWDkrMWtTRjlJSUxzckgxL2xvQXdSdWhhT0xlTVlUZGYyekNjUFBFMHNTc05INE1TQ2svRWtJOEo0UjRJWm9LL3lXclZwejhtRHJsTXhicThUaVN6OXpCakEzNHNPbnVuVmo4MVFKWVNxSXIwU2NpV3VpWWNCeWw4WnUxczFWVi9SeUFoMGFhUGZtYjd0bUo5Rk50S0xnd095cFhXd21YcmZmWFRwdGNUUGMwVlIrdngvRVByNXoyT3Q3ZU1iVDhyUlB0YjNSREY2TWcrL1MwaVlSall2aUlBRFJ2Ukt4Y2VraStRVDhhL3R5Q2pyZDZRcnYyQUxqVzVYTDlOWXhoUlFVcFpjRkNYWDNvU0lkYkhvZ01BSjVPYjZqbmpZaUlvZ2p2aG84Umw4djF5c3FWSy8rajArbHVGMExjM1BGV2o3N0gyWStDTDJRai9SUWJoQklkdzZ4bXk0SFc2cCtKNWJlVUlDWjk4dEsxWXI4NXBvSHg1S0gxOVU3VS9xRVIramdkOHM3T1JPWW5VcUV6S2ZBTitySDdqMDNvL3FnUGFTY25RL05xMlA1d1BiSjJEaUgvL0N6b1luUkhIRis0U0UyaTQrMGVORHpkQXY5d0FBRDhVc3I3RlVXNTIrbDBqaHpxZkRxMGFFNDI5azBvUEYxNzUwYko4WS9xNFF5YklpS2loWTBKeHpHMGFkT21ZUUMzclZxMTZnbWRUdmVJZnpod1N1M3ZHOUh4Vmc5S3JzaERYRTVzdUVNOExMVWJHbEc3WWZaRzJ6UysyQllzNEtjVDZLa0lUbDdldjBkbzMwbmdBT0R0OVVITVlKbGFxZTA5MTVSb3dGRGRjUEI2WFdQSVBUTUQyV2VrUVJlalE4QVRRUE5mMjlIODF3NW9ZeG9LTDg1Qjl1bHBrSnBFN0l0dGFIcTVIVjBmOUNIclUybEkvNWh0eHNVRXcyMmtlUlMxanpidE8vZmxyVUFnY0hWMWRUVUh4ZE9NN0p0UWhJWVpBc0NLMjBvQUhIeCsxSUZxM2h4TXFHZEQwZlBoREJGUnRHSENNUXZHYitvK3BxcnFaUUR1Rzl3MW5PTDZ6alprbjU2R3ZMTXpJK1pwZWQ3Wm1VZzlmbWFyTkIzSjA4NitUVzRNN2c0bUFrSW5rSDZxRGVhOHlVbFp4WTFiSm0xdnVYZnlKTllEN2R0WCtWMmxTQ2cySS8wVUcvSXZ5SnBJR2tiYnZhaStjenY4SXdFa3JiUmcwUmR6SnlvcUMwVWcvOXdzMk5SRTdINjhDWHVlYTRVcHhZaTBFNU1QKzMzT3BZQW5nTVlYMjlEeWVtZG9UYVJ1SWNUTlRxZnpNVVRRS2trVWZxR0U0a0J6T0k2S1JLalhiWUszTi9pQXdKZ1VHVWs5RVJITkhCT08yU05kTHRlR3RXdlh2dUx6K1g0c0lMN2M4bG9udWovc3c2SkxjbUZ6ek8vYUhla2ZzOEc2TkdIR0UwUFRQMlpEYk5iMGJjdHVMRUxjTk1kVzNiRUVrTUdoUDBJUjAxWjlPSnhWcGc2bDVNcko5UVJpTTB3b3VEQWJjVGt4RThYKzloZGZHSWRWMzF1Q29ZYVJpUm9mODVJRWVsd0RxSHU4RWQ3ZWljV21mcXZYNjI4Ylg4Nlo2Smc2bkY0TUdaRGoxY3FCbWdkMnc3MXphS0lBWjRoNyt4RDBaajFpVWszVFhZS0lpQ0lZRTQ1Wk5uNnpkMlY1ZWZtamlxS3M5L2I2Vm16N2VSMlM3VllVWFpJN2IydDNsSHhwdW1KZlI5Wit1aVV2SndpRWRSbmhtYTZtTlorVERVK1hGM1dQTndlclFnZHQwalR0YTFWVlZlK0ZNeTZLTWhMbzN0ZzNNVFIwSnN2aWp2WDVzTzJoT2d6dkdZWG0weVlXWjhnNU13T1dFak42S3ZvaGRBTCtZVC9hL3QwRmJTeFk5VDc3TSttQUlxQ1AwM0grR3hGUkZHRENNVWVxcXFyZWN6Z2NEZ0JmbDFMZTFWczVZTzRmcjkyUmRYbzZ4eTNUWWRQOEVxMnZkNkx4eFZab1Bna0F3MUxLNzFtdDFsKzgrZWFiL25ESFIxRmdmQkJlajJzQVhlL1hZN2h4Rkt2dVhBSmdac3ZpR2hNTk1ObU1TRm1iQk92U2VNVG54VTNxeVR4Ky9TcjRoL3lvZVdBM3BBVHl6czFFODh2dDZIaXJHd1ZmeU1IeDYxZk54cnNpSXFJNXhvUmpEbzNYN3ZqcG1qVnJuZ2tFQWovWGZQTHNobWRhMGZsdUw0b3V5NE8xTlBKcmQ5RGNHTmcraE4xL2JNUkl5OFI0K2hkME90ME5HemR1YkFwblhCUmQrcmNOQWdBYS90eUNoR0l6eW00c2dqNTI2aHcwNlpjUTR3OU5oaHVEZFY1Q3d5UkxyeW1jL3VJUzZQcGFqWVFvQUFBZ0FFbEVRVlNnRi9WUHQwQWJrMWgyVTFGd3J0Vkp5YWo3VXd0MlBGeVBqcmQ2VVB4L2VZaVpwejNCUkVRME0wdzR3bUQ4cHZBY2g4UHhHU25sTDBkYVBBV2JmN2dUYWFmWVVQZ0YxdTZnQS9NTitsSC9kQXM2MzU2WWx0RWdoTGpXNlhTK0dzNjRLRG9aclFiRVpzYWc0SUtzaVhsbjAwMGEzLzFFRTlyZjZJWmlVS0NOYVRBbUdRNDZYTFR6blY0MHZ0UUdUNmNYeWVWV0ZGMldDNU10Mk41Z05XREpWUVZJV1pPSTJqODBZdE5kTzdENmdXVlFackE2SFJFUnpVKzhzdzBqcDlQNXFzUGhlRVBUdE51RkVEZDN2dDFqNkhYMW8vQUxPVWc3SlpsamwybUMxQ1E2M3VwQnc1OWI0Ui8yQTRBUHdIMUNpQit3cGdiTmxyanNHRGgrWERacEdKUStYbys4c3pNbnRjdjhlQ3JpOCtPZytTV0VFcHkzZGJDNVdURnBSaVFVbWJIa3FnSWtGRTlmVmR6bVNFUkNrUm5EZTBhWWJCQVJSVGdtSEdFMmZyUDRiYnZkL29RUTRoSC9jT0RVWGIvZmc0Ny9kcVBvaWp5WWN5T3JkZ2NkZThOTm85ajlhQ1BjdGNPaFhmOEY4RFdYeTdVdGpHSFJRckZmM21CSW1KcHdtSE5qRCt1N3lySTRIcGJGaHg1Q2FrdzB3Smg0a0VVbmlJZ29JakRobUNjcUt5dHJBS3l6MisyWENDRis2cTRkVHFtOFBmSnFkOUN4TTAxTmpTNHA1YzJWbFpXUGd6VTFpSWlJS0VLd24zcCtrWldWbFkrWlRLWWxBSDREQ2JTODFnblhyZHZRNCt6bkxlWkNJWUVlWno5Y3QyNUR5MnNUeWNhdlRTWlRhV1ZsSlF2NEVSRVJVVVJoRDhjODlQNzc3L2NDK0tyZGJ0OGdoRmp2N1IxYnVlM25kVWhhWlVIUnBia3NqQlhGUEYxZTdINnNDWDNWN3RDdWFnQlh1Vnl1RDhJWUZoRVJFZEVSWXcvSFBGWlpXZm0reFdKeFNDbHZBakRjVisyRzY5WWFOTC9TQWMzUGg5elJSUE5MTkwvU0FkZXROYUZrWXdqQWpSYUxaVFdURFNJaUlvcGs3T0dZNThZTHVEMndjdVhLWi9SNi9ZT2FUNTdiOEd3TE90L3RRZEhsdWJDV0pvUTdSRHBLQTlzSHNYdERFMFphSjVZYmZkN3Y5OSt3YWRPbTVuREdSVVJFUkhRc01PR0lFT00zbitldFhyMzYwMUxLWDQ2MGVnbzMvM0FYMGsrMm9lQUxXVEJZRE9FT2tRNlR6KzFEdzlPdDZIZ25XRk5EQ0ZFdmhMaTJvcUxpYjJFT2pZaUlpT2lZNFpDcUNETitNN29jd0E4QitEcmU2WUh6bG0xb2Y2TWJVdU13cTBnZ05ZbjJON3JodkdWYktObndBZmdCZ09WTU5vaUlpQ2phc0ljakFvM1g3dmlPcXFwUFNDa2Y5Zy83MTlVKzJvak90M3RRZEhrZXpIbXMzVEZmRFRlT29uWkRJd2JIYTJwSUtkOFVRbHpObWhwRVJFUVVyWmh3UkxEeG05VC9zZHZ0WHh5djNaRmErZDF0eUQ0OWZieDJCenV3NW91QVIwUGpDNjFvK2Z2ZW1ob0FicXlzckh3U1hPYVdpSWlJb2hqdlNDT2ZyS3lzZk56bjh5MEI4R3RJeUpiWE91QzZwUWJkRy90NEt4dHVFdWplMkFmWExUV2hBbjVTQ0xIZTUvTXRjYmxjVDREL1EwUkVSQlRsMk1NUkpUWnYzdHdINENwVlZUY0FXTy90RzF1MS9hRjZKSzNxWWUyT01QRjBqWTNYMUJnQUFBZ2hxZ0JjNVhRNlB3eHZaRVJFUkVSemh3bEhsSEc1WEIrc1c3ZHV0ZHZ0dmhiQTNYM1Y3bmpuTFRYSU96c1QyV2VrUTlHTGNJY1k5VFNmaHBiWE90SDRVaHRrc0Y3S0VJRHZKaVFrL0hKOG1XT2lHWG5uVWxlNFF5QWlJanBxVERpaTBQaE43WU9yVnExNlZxL1hQeWo5OHJ3OXo3YWk2OTFlRkYyZUIydHBmTGhEakZvRDI0ZFErMmdqUnRzbWFtbzhHd2dFdmxGZFhkMFN6cmdvc293dkpyQXUzSEhRWGxMS2o4SWRBeEZScE9MajdnWEFicmVmb1NqS3I2U1VoUUNRZGxJeUNpL0tadTJPWThqbjlxSCtUeTNvZkxjM3RLc093RFV1bCt2MU1JWkZSRVJSU2xYVjdRQ1dDQ0dXT3AzTzdlR09oK2hnT0dsOEFhaXNySHpOYURRdUUwTGNBOERYK1c0dm5OK3FRZnQvV0x2amFFbE5vdjAvM1hCK3F5YVViUGlFRVBlWVRLYmxURGFJaUlpSTJNT3g0RGdjamxJcDVjTUFUZ09BaEdJemlpN0xSWHgrWEpnaml6eERlMGF3ZTBNVEJuY1BoM2I5UjFHVXF5c3FLbmFFTXk0aUlvcCs3T0dnU01LRVkyRVNxcXBlRE9BQkFHbENFY2o4UkNyeXo4MWk3WTRaQ0hnMDdIbStGVzMvN0FyMUVIVUN1TkhsY2owRkxuTkxSRVJ6Z0FrSFJSTGVYUzVNMHVWeVBlbnorVXFGRU91bEptWHIzenVEdFRzK1l1Mk9BNUpBOTBkOWNONnlGYTEvNzRUVXBKUlNQdUx6K1VwZExoY0wrQkVSRVJGTmd6MGNCSWZEY1p5VThoRUFkZ0JJV21VZHI5MWhESE5rODRlbjB4dXNxYkhKSGRwVnFTaktWUlVWRlZ5NWhvaUk1aHg3T0NpU3NJZUQ0SFE2UDdSWUxHdUZFRGNBR095ckhvRHpscTFvZXJrZG1rOExkM2hocGZrME5QMmxEYzViYTBMSnhxQVE0bnFMeGJLV3lRWVJFUkhSb2JHSGd5Wlp0V3BWdGs2bit4bUE4d0VnTnNPRTRpdnlZVjI2OEdwM0ROUU1vblpESTBiYnZhRmR6MGdwdjFGWldka2F6cmlJaUlqWXcwR1JoQWtIVFV0VjFkTUIvQXJBSWdCSU96RVpoUmZud0dDSi9scVJQcmNmZFU4MW8rdTlpWm9hdXhHc3FmSDNNSVpGUkVRMGdRa0hSUklPcWFKcHVWeXUxMDBtMDNJcDVkMEF4anJmNjRYelcxdlI5cCt1NkszZElZSDIvM1NqNHB0YlE4bkdtSlR5K3lhVGFRV1REU0lpSXFJand4NE9PcVRWcTFjdjBUVHRZUUQvQXdEeGkrSlFja1UrelBteFlZN3MyQmxxR0VIdGhrWU0xWTJFZHYwN0VBaGNYVjFkdlRPY2NSRVJFVTJIUFJ3VVNaaHcwRXdKaDhOeGtaVHlad2pWN3ZqZjhkb2RzWkhiVVJZWTFkRHdYQXZhL3gyc3VpNmw3RkFVNVVhbjAva25jSmxiSWlLYXA1aHdVQ1NKM0R0Rm1tdlM2WFErcFduYUVnQVBTMDNLMW45MHdubnJWblIvMUI5NXQrWVM2UDR3V0ZOanZJQ2ZCUEFyS1dXcDArbGtBVDhpSWlLaVk0UTlISFJFeXN2TDF5aUtzaDZBQ2dCSkt5M0IyaDFwcGpCSGRtaWVUaTkyLzdFSmZac25hbXE0TkUyN3FxcXFhbU00NHlJaUlwb3A5bkJRSkdFUEJ4MlJxcXFxalVWRlJXdWxsRjhITU5pM3lRM25yVFZvK3N2OHJkMmgrVFEwdmRRTzEyM2JRc25Hb0pUeTYwVkZSV3VaYkJBUkVSSE5Edlp3MEZHejIrMVpRb2dIQUZ3SUFMR1pNU2krTEJmV3NvUXdSN1pYLzlaQjdINnNDYU50bnRDdVAwc3BiMlJORFNJaWlrVHM0YUJJd29TRGpobUh3L0ZKS2VYREFJb0FJUFhFWkN3S2MrME8zNEFmZFU4MW9ldjl2dEN1V2lIRU5VNm44eDloQzRxSWlPWVRIWUJBdUlNNFhFdzRLSkp3U0JVZE0wNm44eDhXaTJVNWdMc0FqSFc5MTR1S2IyNUYrMys2NTM0S3RnVGEvdDJGaW05dERTVWJZd0R1c2xnc0s1aHNFQkhST0ZGU1V2S3Z3c0xDcC9jL0VCc2JtNzFzMmJMdHNiR3hhL2M3cEJ2L1IwUXp4SVNEanFrMzMzelQ0M0s1N2d3RUFpc0EvQ3N3R2tEdGhrWlUzN1VEUXcwamh6ei9XQmhxR0VIMVhUdXcrNDlOQ0l3R0FPQmZnVUJnaGN2bHV2UE5OOS8wSE9wOElpSmFHRkpTVXI0YUh4OS9jbmQzOXk4QXdHUXlGWVdPU1NrTkpwTnBpVTZuaXd2dHMxcXQ1NWFWbFczSnlNaTRLUnp4RWtVcUpodzBLNnFycTNlNlhLNVBTaWt2QnRBK1dEZU02anQzWVBmalRRaU16czZrOHNCb0FIVlBOS1A2emgwWXJCc0dnSFlwNVVVdWwrdVRMT0JIUkVUN01ocU5aVGs1T1Q5dGJXMzk3dURnNEh1eHNiRW5sSldWN1lpUGp6OXQzM2FLb3Boc050dmxwYVdsVlVWRlJjK05qWTN0R1I0ZWZqZGNjUk5GSXM3aG9Gbm5jRGlzVXNwN0FGd0RRQmdURFZqMC8zS1FzamJwMlB3R1NxRHJvejdVUDltTXNYN2YrQjc4U2doeHU5UHBIRGdHcjBCRVJGRWtKaVltdjdpNCtJM2g0ZUdLK3ZyNkMwTDdDd29LbmtwSVNGaTNlZlBtbFRFeE1mRmxaV1gxZ1VEQW95aUtycSt2NzluT3pzNmZqb3lNYkFlUUFLQWpmTytBY3pnb3NqRGhvRGxqdDl0WEN5SFdBM0FBUU9MeUJCUmRsb2ZZOUNPdjNUSGE3c0h1eDVyUXYyVXd0TXNwcGJ5cXNyS3k0dWdqSmlLaWFMUjA2ZEpOc2JHeEsvcjcrNThIWURRWUREYTlYcCtpMStzemREcWRwYisvLytuVzF0YmJ5c3JLNnJ1NnVoNXBhbXI2UG9CMkFEQ2J6YXNXTDE1Y3NXdlhMdnZRME5DV2NMMEhKaHdVU1Rpa2l1Wk1aV1ZsUlZGUjBYRUFyZ1BnN3Q4eWlNcHZiMFBUUzRkZnUwUDZKQnBmYkVQbGQ3YUhrZzAzZ0d1TGlvcU9ZN0pCUkVRSDA5dmIrNGYrL3Y1WEFvRkF2OWZyM2RMWDEvZDhlM3Y3RCtycjZ5OXViVzI5SlRFeDhjS1ltSmlWQU5EWDEvY2N4cE1OQU5EcGRKbENDUDNRMEZCUDJONEFVWVJoRHdlRmhjUGh5SlJTUGdEZ0N3QVFteEdEb2t0emtMamNjc2h6KzdlNHNmdXhab3kyQitkL0N5SCtCT0FtcDlQWk5wc3hFeEZSOURBYWphVUhPQ1JNSnBOdGNIQndzNnFxdlYxZFhiL3U3ZTM5RFJDY1NKNlptZmtkczlsODRxWk5tOUxtTU53cDJNTkJrWVFKQjRYVjZ0V3JQNkZwMnNNQWlnRWc5WVR4MmgzV3FiVTdnalUxbXRIMWZtOW8xeTRwNWRXVmxaWC9tcnVJaVlnb0dxaXFLcVdVWGltbGY1L2RpcUlvc1Z1M2JpM3hlcjIxbVptWnQ2ZWxwWDFMcDlPRkt0bHFYcSszc2EydDdWdTl2YjNQaGlQdUVDWWNGRW5DVjVHTkNFQkZSY1UvMTYxYnQ4THRkdDhDNE50ZDcvY2FlNnNHVUhCK0ZqSS9uaHBNaVNYUStxOHU3SG0yQlFHUEJnQmVBRCt5V0N6M2NwbGJJaUk2VW8yTmpWZjE5UFJzQ0cwbkpDU2NYRkpTOHZiNFpzekF3TURyYlcxdFB3TXdISllBaWFJRUV3NEt1L0drNGE3eTh2S25oQkMvQ293R1BySDdzU1owdk4yRGpIVXBhSCtqZTZLR2g1VHluMUxLYTZxcXFuYUZOMm9pSW9wMFFnZ1RnUGpRdHFJb3NhR2ZqVVpqUVdscDZjWnQyN2FkTURvNitrRm92OWxzWG1rMEdzdjYrdnFtRkFza291a3g0YUI1WXp5SitKVGRicjlRQ1BHem9mcVJqTnI2eHREaE5nRGZxS3lzZkFaelg3ZWNpSWlpVUY1ZTN2cTh2THoxTTJpcVMwcEsrclROWnJ2V1lyRjgwdWZ6ZGZUMTlmME53UVZMaU9nUW1IRFFmQ01yS3l1ZmRqZ2Nyd0c0VzByNVpTSEU3d0I4bHpVMWlJam9XTnF6Wjg4VkJ4bFNCUURJek16OHB0bHNQbDZuMDFuZGJ2ZnJkWFYxNS9iMzk3K0s0UEJlSXBvQkpodzBMNDBuRjE5WFZmVTZLZVYxTHBmcjYrR09pWWlJb2t0K2Z2NmorZm41ang2c2phWnAzajE3OWx6cGRydi9BOEFESUxPZ29PQVBIUjBkdDR5T2pqYlBUYVJFa1kwSkJ4RVJFUzFJalkyTlYzVjNkejhaMnJaYXJTY1VGUlg5WTk4MkhSMGR2OWgzRGtkOGZMd3RPVG41NHM3T3pnY0FNT0VnbWdFbUhFUkVSTFFnU1NtOUFJWkMyNXFtallaK0ZrSklBTkRyOWJyOXpza0FnSkdSRVNZYlJEUEVoSU9JaUlnV05KUEp0RVFJNFRHYnphY0JnTmZySFFDZ0FFQmlZdUxGZnI4L0FBQjZ2VjVKVFUyOXl1ZnpkUURvQ0YvRVJKR0ZDUWNSRVJFdGFObloyZmRacmRZek5FMGI2ZTd1ZmdoQUZ3QjBkSFQ4TkRVMTllclUxTlNyUTIxOVBsOUxTMHZMZFdFTGxpZ0NNZUVnSWlLaUJhZW1wcWJRNC9GMEEwQmRYZDJaMDdWcGFXbTV1YVdsNWVhNWpZd28rakRoSUNJaW9nWEg0L0UwaERzR29vVkNDWGNBUkVSRVJFUVV2Wmh3RUJFUkVSSFJyR0hDUVVSRVJFUkVzNFlKQnhFUkVSRVJ6Um9tSEVSRVJFUkVOR3VZY0JBUkVSRVIwYXhod2tGRVJFUkVSTE9HQ1FjUkVSRVJFYzBhSmh4RVJFUkVSRFJybUhBUUVSRVJFZEdzMFljN0FKcFRlbFZWZlVkekFaZkxaUURnUDBieEVCRVJFVkdVWThLeHNQaTNiTm15OUVBSE16TXpiN2JaYkY5cWJtNit1cisvLzQwRFhXT1dZaU1pSWlLaUtNU0VZNEVaR3h2YlBzMXVZMTVlM2tNMm0rMUxmWDE5ejNSMmRqNENRQWNnTU1maEVSRVJFVkdVNFJ5T0JjNW9OQzR0TFMzOUlDVWw1VXFQeDdNMUtTbnBndVRrNUF1WExWdTJJeWtwNlNJQUl0d3hFaEVSRVZIa1lzS3hjSm5TMDlPL1hWWlc1alFhamZsMWRYVm5kWFYxclFlQTN0N2Vmd3dPRHY2dG9LRGdzZExTMGc4VEVoSk9EbmV3UkVSRVJCU1ptSEFzUEVweWN2TDV5NVl0MjVxZG5mMER0OXY5OTAyYk5pM3I3KzkvZVo4MmZZMk5qVi9mdVhPbnFtbmFXRWxKeWR2NStmbVBBOGdJVjlCRVJFUkVGSm1ZY0N3Z0ZvdmxqTEt5c3EwRkJRWFBBUER2MnJYcmMzVjFkV2NEYUordS9mRHc4T2FkTzNlZTB0emNmRTFpWXVMblY2MWF0UzA1T2ZuOHVZMmFpSWlJaUNJWko0MHZJSDYvdngwQUdob2F2dHpiMi9zWWdKa3NrU3M3T3pzZmRydmRmOHZKeWZuTjZPaG80K3hHU1VSRVJFVFJoQW5IQWpJeU1sSlpVMU96RklERmFEUVc3WDk4WUdEZ1h3TURBMHVOUm1QcC9zYzhIazlyYlczdEorY2tVQ0lpSWlLS0drdzRGcUNrcEtRekN3c0xIeitjYytycjZ5L3A2K3Q3WXJaaUlpSWlJcUxveElSakFYTzVYRWtBK2cvUkxGRlYxYjY1aUllSWlJaUlvZzhualJNUkVSRVIwYXhod2tGRVJFUkVSTE9HUTZvV3NKaVltR1NQeDNQUTM0R1ltQmpMWE1WRFJFUkVSTkdIQ2NjQ1ZsWld0anZjTVJBUkVSRlJkR1BDc1lEVjFOUVVlVHdlOThIYXhNVEVXSmlZRUJFUkVkR1JZc0t4QUhtOTNoMWRYVjIvOG5nOGJRQkdEOWJXNC9FTWRYUjAvTlRyOWRiTVVYaEVSRVJFRkVXWWNDeEFJeU1qRzBkR1JqYk9zTG1ucGFYbDVsa05pSWlJaUlpaUZsZXBJaUlpSWlLaVdjT0VnNGlJaUlpSVpnMFREaUlpSWlJaW1qVk1PSWlJaUlpSWFOWXc0U0FpSWlJaW9sbkRoSU9JaUlpSWlHWU5FdzRpSWlJaUlwbzFURGlJaUlpSWlHaldNT0VnSWlJaUlxSlp3NFNEaUlpSWlJaG1EUk1PSWlJaUlpS2FOZnB3QjBBVTRuQTQ4cVNVRDB4M1RGWFY1L2JkMXVsMDM5aTRjV1BUM0VSR1JFUkVSRWVLQ1FmTkcwNm5zMWxWMWVNQlpFOXorTnpRRDBLSTVvMGJON2JNWFdSRVJFVHp6a2NBMmdHTWhEc1Fva05od2tIemlTYUVlRUZLZWQxQkcybmFDd0MwT1lxSmlJaG8zbkE0SEFZQTEwc3BMd0VBS2FVNXpDRVJIUkxuY05DOG9tbmE4ek5vTnBNMlJFUkVVVVZWMWRPbGxKdWtsUGZ0czN1ejNXNy8rUWtubkpBY3RzQ0lEb0VKQjgwcnhjWEY3d0RvUEVpVHp1TGk0bmZuS2g0aUlxSndXNzE2OVJLNzNmNHFnTmNBbE1abW1MRDRxd1hJL045VUNFWG9oQkJmOTNnOHV4d094OVhyMXEzajZCV2FkMFM0QXlEYW42cXF2d2J3bFFNYy9yWEw1YnBxTHVNaElpSUtoL0x5OGtSRlViNEg0RG9BZWwyc0RubG5aeUx6ZjFPaDZJTzNjQ1BOSHRROTFZeitMZTdRYVZ1a2xOK29yS3o4VjVqQ0pwcENGKzRBaVBhWGxaVTFCdUNTNlk0cGl2THQxdGJXdWprT2lZaUlhTTZjZi83NXVwaVltSzhJSVY0QzhIR2hDQ1h6dEZRc3ZXRVJFcGNsUUNoN254Y2JMSHFrblpnTWMwRXNodXBHNEI4T3BBa2hMczNLeXJKblptWld0TFcxOVlidm5SQUZzWWVENWgySHcyR1FVbllBU05ydlVKOFFJdDNwZFByQ0VSY1JFZEZzY3pnY3Awa3BId1N3RWdDc1MrT3g2SXU1TU9mR0h2SmN6YWVoN1o5ZGFIeXBEUUdQQmdBK0FBOGFESVo3UHZ6d1EvY2hUaWVhTlV3NGFGNnkyKzBiaEJDWDdiZDdnOHZsdWlJc0FSRVJFYzJpTld2V0xBb0VBdmNCT0FjQVlsSk5LTHdvR3paSDRtSGZyZm5jZnV4NXRoWHRiM1VERWdEUUthWDhkbkZ4OFlabm4zMDJjS3hqSnpvVUpodzBMNm1xK2prQUwrKzMrM011bCt1djRZaUhpSWhvTnB4MDBra0pJeU1qdHdraGJnSmcxTVhva0h0bUJySS9sUVpoT0xyYnRLR0dFZFE5MlF6M2pxSFFMaGVBRzF3dTE5dEhHVGJSWWVFY0RwcVhsaXhaMHVqMWVtOEFZQnpmTmVoMnU2L3E3ZTNsazVrNVlyZmIvV05qWTl0SFIwZTNUblBNNi9mN08wZEdScHdIdTRiWmJGNXB0VnJQSEJrWmNjMWVwRVJFRVVsUlZmVXl2OS8vRnlIRUdRQjBhYWZZVUhiRElpU3R0RURvanY2WnNESFJnUFJUYklqTGpzRmczUWdDbzRGTUFGZGtabWFXWldSa2JHeHZieDg0NmhjaG1nRXVuVWJ6MHB0dnZ1bFJWZld2QUw0QUFFS0l2OWJXMW5yREhOYUNJb1RRU1NrUHRIUzJvbW5hSWVmU3hNYkdIcCtYbDdkZVVSUjlaMmZuSTBhanNYVDU4dVhiWnZMNlc3WnNXVG8yTnJiOXNJSW1Jb29BNWVYbEp5cUs4bk1BcXdIQVVoS1BSVi9NUVh4aDNMRi9NUUdrSEplRVpOV0tscjkxb09tVkRtaGoyZ1ZDaURQdGR2dDlnVURnM2syYk5nMGYreGNtMm9zSkI4MWJVc3JuaFJCZkFHWmNFSkRtaGhCQzZLV1VZNGRxMk4zZC9SdWowWmlWazVQelM3L2YzenMwTkZRTkJKT0pVQnVkVHBlWWtwTHl4WTZPamwrRzlzMDBLU0VpaWlScjFxekoxVFR0WGlubFJRQmdTamFpNE1Jc3BCNmZQT3VEM0JXRGd0elBaeUx0RkJ2MlBOT0t6dmQ2WTRRUTM5WHI5ZitucXVxdExwZnJLUURhN0VaQkN4VVREcHEzQW9IQWEzcTlQdlR6NjJFT1o2RXpKaVltZmhvQXBKUjZBRENiemVWU3lvbW5ZajZmcjJGNGVMaHEveE5iVzF2dkJJRGg0V0VueHI5ejl1MjVNQnFOcGFtcHFkYzBOVFZkTzd0dmdZZ29QQndPUjV5VThwdUJRT0FXQUxHS1FTRG5zeG5JK1V3NkZPUGMxbUEySlJ1eCtLcGcwY0RkVHpSaHFHNGtHOERqcXFwZW95aks5UlVWRlIvTmFVQzBJSERTT00xcnFxbytEMEM2WEs3endoM0xRcU9xcXF5dnI3K29yNi92YVFBcHFxcDJIYXg5VjFmWHcwMU5UZGNjckUxb1NKWEw1UktxcXNycDJtelpzbVhwOHVYTHQzRklGUkZGQVdHMzJ5OFVRdndFUUM0QXBKNlFqSUlMczJGS05vUTVORUJxRWwzdjk2SGhtUmFNOVFWSHlRb2hIdE0wN2JiS3lzcldNSWRIVVlROUhEU3ZTU21mUTJoUlA1b1RLMWV1N05icjlUWUFLQ3dzL0ZOaFllR2ZYQzZYeGVWeUpRR0F5V1N5TFZ1MnJMYXVydTd6L2YzOWJ3SEEwcVZMM3dJd2FZNk55V1FxRHZXR2pJMk4xUUdZTkFTcnBxYW1FQUIwT2wzUmtpVkwvaFhhSGhzYmE1bnQ5MGhFTk52c2R2dHFBQThLSVU0Q2dQaUNPQlJka291RUVuT1lJOXRMS0FKcEp5WEQ1ckNpK2E4ZGFIbXRFNXBQdTFRSWNhNnFxajh5bVV3UHZQLysrNlBoanBNaUh4TU9tdGVNUnVPcmVyMmVDY2NjMnJGangvRlNTdjN5NWN1M05UYzMzOVRmMy84M0FFTm1zL25qbXFadFE3Q1FGTHhlYnhlQWZnQVFRaGdBR0pLVGs2L283ZTNkQUVBdVdiTGtnMURpTWwxdmhjZmphUUFBbzlFWXMrODJFVkVrVzdObVRVWWdFUGdoZ01zQkNJTlZqNEx6czVGMmN2S2tDdUh6aVM1R2gvenpzcEQrTVJzYS90eUs3by82ekFEdThYcTlWOXJ0OXBzckt5dWZCeC8rMFZGZ3drSHpHaXVqemoydjExc2IrdG5uODdXT0p3cGkwYUpGRzlyYjIzODBNakx5RGdBRUFvSCtVRHRGVVV3QVJINSsvbTk5UHQrdXdjSEJkelp0MnBRQ0JJZG03ZjhhOGZIeHl4Y3ZYcng1MzMwSEdtSkZSQlFKaW91TFRRa0pDVGNFQW9IYkFjUUx2VUQyNlduSVBUTVR1cGk1bmFkeHBHSlNUU2k5dGhBRDIxTlEvMlFMaHZhTTVBc2hubFZWOVMxTjA2NnZxcXFhTWsrUGFDYVljQkRSSVNVa0pKeXMxK3RUdTdxNi9tUTJtMVVBR0JzYm01alRJWVNJOWZsOGU0YUdodDYyV3EzbkR3NE92bk93NncwTkRlMElEYUdhVGxsWldmMnhpNTZJYUZZSlZWWFBBbkEvZ0VVQVlITWtvdkRpSE1Ta0dnOSs1anhsTFUxQStmZEwwZjdmYnV4NXRoVytRZitwaXFLNFZGWDluZC92djMzVHBrMmQ0WTZSSWt0a3BOeEVGRmJKeWNtWER3d012QUtnTnpZMnRsRFR0QkVBM2FIamlxS1lBb0dBeCsxMi95VXBLZWxjSEh4QkNnbkE1L0Y0cHAycndhRlZSQlFwVkZWZHFhcnF2d0c4QUdDUk9UY1dLMjViaktYWEw0cllaR09DQURMV3BXRDEvY3VRZlVZYWhFNElBRmZxOWZwZERvZmpwbVhMbGtYNEc2UzV4QjRPSWpxVWxNVEV4SXNiR2hvK0R3Q3hzYkdyUEI3UGpuMGJLSW9TRndnRVJ0eHU5OXZaMmRrL2k0Mk5QWDUwZFBUOS9TK2sxK3ZqeHBNVkdJM0dvckt5c2luMU5sd3UxL3djNUV4RU5NNXV0NmNxaXZKOUtlVlhBQ2o2ZUIwS3pzdEd4bWtwVWJmK3B5NVdoOEtMY3BCeFdncnEvOVNDM3NvQmk1VHlmcFBKOUZWVlZXOXl1VngvQmVkMzBDRXc0WmlIN0hiN2gwS0l0ZUdPZytZWEtlV2JsWldWcDgzMTYxcXRWdnZZMk5pdWdZR0Jmd0tBeFdJNTNlMTJ2N1pQRTBVSVlaSlNEbnU5M3AxZFhWMi8xT2wwZy90ZFJwZVJrZkZkVGROR2ZUNWYrNzRIUWduRzRWUWhKeUlLQjRmRFlaQlNYZ1BnVGltbFZTaEE1aWZTa0hkV0J2VG02TDZsaXMySVFkazNpdEMvWlJCMVR6WmhwTVZUQXVCbHU5MytUMDNUdmxGZFhiMDEzREhTL0JYZG40NEl4V1NEcGlPRVdCZU8xeDBZR1BqbndNQ0FDa0RHeDhlZmFqS1ppdnI3KzUvZXAwbG9qY2RoQUdocWFycHVuMk54QUZCU1V2S2lYcS9QSFJ3Yy9Ldkg0MWtRZjVUNDRHRCtDbGZ5VHBITmJyZWZJYVg4R1lBbEFKQzB5b0pGRitjZ05qTW16SkhOcmNUbENiRC9ZQ25hL3QyTnhoZmE0Qi8yZjBLbjAxV3JxdnFJeVdTNjQvMzMzKzhOZDR3MC96RGhtTWRPZmt3TmR3ZzBUN3h6cVN2Y0lmZ0JJQ3NyNis2aG9hRVBCZ2NIMzkzbm1Ca0FmRDdmMFA0bjJXeTJDd0JBQ0dIY3RXdlh5UVVGQlkvMTlQVDhadDgyMGJvNkZaT04rU3RjeVR0RkpvZkRVU3FsZkFEQUdRQVFteG1EUlJkbkkybVZOY3lSaFk5UUJMSStrWXEwRTVMUitHSXJXdi9WcFlQRXRSNlA1MkpWVmUrd1dDenIzM3p6VFgrNDQ2VDVnd2tIRWMxSWFtcnFOV2F6K2FUYTJ0cFQ5OTF2TnB2VEFFRFR0Q2xMR0E4TkRiMDNQRHo4M3gwN2RseVFtSmg0a3Nsa0t1bm82UGp6dm0wT3RscFZOT0NEZy9sbEhpVHZGQ0ZXckZpUlpEQVk3aGdmUXFYWHgrbVFkMDRtTWorZUNxR0xzb2thUjBnZnI4T2lTM0tSZmxvSzZwOXNSdi9Xd1dRQUQ3bmQ3cSt0WHIzNmhvcUtpbitHTzBhYUg1aHdFTkVoV2EzV1QrYms1UHkwdmIzOXpzSEJ3ZmRpWTJQWFdpeVdrNlNVbnNURXhJdWxsR01qSXlPMSs1L245WHAzN3RpeFkxMXNiR3hPYm03dXd6MDlQZXNCdEFQQjZ1UGpCUUViQUFpVHlWVHM5WG9INHVMaVZBRFE2WFJUZWt5SWlHYmJ1blhyOUlPRGcxZEtLZThHWUJPS1FQbzZHL0xQellJaGdiZE4wekhueEdMNXQwclFXeldBK3FlYU1kcmhMZE0wN1IrcXFyNmlhZHBOVlZWVnU4SWRJNFVYUHpsRWRFaFdxL1g4cnE2dTlXMXRiZmNBZ0U2bk0yZG5aejhBQUg2L3Y3dXBxZWthQUFNSE9qOCtQdjZjUUNEUTA5alllTnMrdThmMnFUNHVpNHVMLzJFeW1Rb0F3TzEyLzMxMGRMUjVkdDRORWRIMDdIYjd4OTF1OTRNQWxnT0F0U3dCUlYvTVFWeE9iSmdqaXdBQ1NMWmJrYmpDZ3JaL2RxSHh4VllFUE5ybkZFVTUzVzYzLzBKUmxMdWRUdWNCLzA1UWRHT2Y0RHdVR3RQT29SZ1VFaG9HTXBkTHhzYkd4dWFNam83MkFCaEY4THRpdXJrV09nQ0JHVjR5Q1VEZlFZNHJBR0xIWHl2aWV6ZWkvWE1zQS9Lb2g1V005ZmxnVERJY280aG1KaHlmSlpyL0hBNUhrWlR5ZmdCbkFVQk1xaEdGRitmQ3BscDVwM1NFZkc0ZjlqelhodmIvZG9mK2VuUUpJYjY5YU5HaVI1OTk5dG1aL3QyZ0tNSENmMFEwcmZFZWh0SHh6UU5ON0Q2Y1B4b0hTellBUUVOd3BhdUlUemFPdFhjdWRXRzB6WFAwRjVKQTQwdHQ4SFNQSGJDSmU5Y1FXbDd2aEF3Y2VDNy93UFloZkhqZFp2UlZIL25EeWg1blB5cHUyb0x1amYxSGZBMmlvM1hTU1NjbE9CeU9IMHNwYXdDY3BZdlJvZURDYktnL0xvUE53V1RqYUJnc0JoVC9YeDdzMzE4S2EyazhBS1JLS1g5YlYxZFhZYmZiVHozVStSUmRPS1NLaUNqQ2pMWjU0THlsNWxrQjZHUUFBQ0FBU1VSQlZKRHQ5dTlkR1J2d29mUHRIclQvcHh2THZsa01jKzdrWVNMU0wxSDcrMGI0aHZ4SVBTN3BnTDBQOFlWeEVEcUIya2NiNGJodkdSVEQzbWRYWFIvMFljZkQ5VlBPRVlyQVNSdnNFOXZKNVZaWWwxbXc0MWYxMEw2Y0QwdHBQQ3B1M0hMSTkxUjhlUjR5L2lmbGtPMklEa0d4MisyWGo0eU0vRkFJa1E0QnBKOWlROEg1MlRCWWVXdDBMSm56ZzlYWHV6ZjJvZjdwRm5pN3g4cUZFUDkxT0J6UEJRS0JiMVpWVlRXRU8wYWFmZnhVRVJGRktNZTlaZFB1NzYxMm8vNnBxVk5naklrR3JQak9ZbXkrWnljMi8zQVhWbnk3WkZMUzBmaFNHMGJidlZoK1MvR1VaTU0vRW9CdndEZXhiWE5ZNFIvMHczdUEzcEo5WTl2elhDdDZYSk43UTRST1lPbDFoZGo4bytCY1VsT1M0WUR2SjJRbVNSYlJvVGdjanBPbGxBOENjQUJBUW9rWlJaZmtJcjRnTHN5UlJURUJwS3hOUXJMZGlwYlhPdEg4U2pzQ1h1MDhSVkUrcDZycS9WNnY5OGRidDI1bDczWVVZOEpCUkRRUCtmNC9lM2NlMzFoVjl3LzhjN0ozU2RxbVRmZDFPcDJ0c3pXZEFRYkJaMUJSY1VjV1JSSGxKeW91aUtLZ0NDcVA0b0x3UTNodzRmbTVnRGdnaUtPQ2dHektpSXpETEUwNys5SjlYOU9tU1pvOU9iOC9NczEwU1plWmFabzA4M20vWHZPaXVmZmNtMitHWnU3OTNuTys1NHo2RVhDZEdySG1HWngrWXovVGdtT2FkdmUwYlJPSFpDMjdyZ1Nkei9aQkJtVmt1MmZRaDY3bis1Ri9TUTQwbWVySWRsVzZDbXE5Q3RZNkd4cC8xVDd0dkZPSFJLMzhRc1drMklLZUlFWU9PcEMxemhCcFl6L3VSTzlyUTFqeG1US3N2M05GcEJia1hGdEFqUlpYYlcxdHFaVHlIaW5sUndGQWExU2ovSnBpbU03TDR0Q3BSYUpRSzFEeWdYemtYbXhFK3g5N01MQnpXQXZnRHExV2UzMU5UYzAzNit2ckgwZDRlQzBsR1NZY1JFUUpxT09aUHZTK09oaDVmZmkrVTdNT3o5VVRFRTIwM29HRzd4eWJ0cTMzSDRQby9jZXA5eTI2TEE4VjF4UWg3K0pzYUF3cWVBWjhLTGpVTk9tWTFpZTZrTDRzRGFZTHNqRDQ1dVJTbmY3WHJRaDZnaWo1VUg1a20zdkFpOEgvREtQcTA2V1RobU1SeGNMNjlldlRsRXJsYlZMS1d3R2tLTlFDSmU4dlFORjdjcUhROFBjdkhyUlpHcXo0WERrSzNtRkN5K05kY0RTTkZRb2hIak9ielY4RThCV0x4ZkptdkdPa2hjV0VnNGdvQVZWZVY0TEs2MHJnYkhPaDRUdkhVSHZQbWtnUHdIanZ3MHlGNUQ2YmY5cTJtV2JMNm55bUQrM2JlL0NXUjJzZ0ZMTS81bFZvRkdqZTFnbVZYZ1hUQlZrQWdPSDZVWFMvT0lDMXR5MmYxbDZHSkhwZUdrQjJiU2IweTlKbVBUZFJESWphMnRwckFOd2pwU3dHQU5PRlJwUmZYUWl0VVJQbjBBZ0E5SlZwV0gvbkNneTlPWUsycDNyZ0hmR2REMkNYMld6ZUZnd0d2N2wvLy83dWVNZElDNE1KQnhGUkFodDZjK2JKdlJhbXBpRThHNVVRYzQ4cHlWaXRSK0dsdVJnOTZvRHBnaXo0Ui8xby9FMDdDaTQxSVhPdFlWcjdvVDAyZUlmOXFMNjFhQUhpSkpxL2pSczNibFlvRkE5S0tiY0FnSDVaR2lxdUxZWmhPUlBmUkNNVUFxWUxqVERXWnFMcnVUNTBQZDhQR1pEWEtwWEtEOWZXMXY1WW85SGN0MnZYcnVualJHbEpZY0pCUkpTZ1F2NFErdjl0QlFCMFBkOFAvYkswU1RNMHpkUnJNZE5NVWRISW1XZS9uV1I4L1lweGZhOE5SWDd1ZldVUXZhK0VoMkV0LzFScFpMdmY3Z2NrTUhyTWdaUjg3ZnplaU9nczFOVFVGQUw0b1JEaWswQjRvb1R5cTR0Z3VqQnJ6aDQ4aWkrbFZvR3lLd3FSLzE4NWFIMnlHME43UmxLbGxOL3plcjJmTnB2TnQxa3NscWN4OHhUdGxPQ1ljQkFSSmFpK2Z3NUJrNldHM3hHQUxsZUxsc2U3WUc4YVE5RzdjMC9yUEZQcktpWWE2M0FEQWhqY1BYTWJuVWt6NzdvUlo1c3I4blBoTzNNQkNUUTkwZ0d0VVlPczlkTjdRWWdXd3RhdFczVU9oK09yVXNvN0FLUXAxQW9VdlRzWHhlL1BnMUtuakhkNGRCcTBPUnFzK2xJRjdNZE5hTjdXaWJGMmR4bUFwOHhtODVjVUNzWE4rL2J0cTQ5M2pIVDZtSEFRRVNXZ2dET0F6bWY3VUhabElab2U2VURPNWt3WVZxYWo5UTlkTTA1Rk81UDU5SGJNMWliM29teXMrR3padk43TE9XV0dyTUozNWNMZU5JYm14enF4NmQ1cXpnWkVDMDNVMU5SODJPRnczQ3VsckFDQW5NMVpLUDlvSVhRbTlxb3RaWWFWNmFqNTNtcjB2VDZFOXFkNzRiZjdMdzZGUW5XMXRiVy9WYWxVZCt6ZXZicy8zakhTL0RIaElDSktRRzEvN0lGUUNlUmVaRVRUSXgwQWdJeVY2ZGg0MTZwSXNmalVZVTR6bVdub1ZjZ2Z3cDZiRGlMZ0NxTDA4Z0tVWGw0dzYzbm1lcitaM3FmNHNqdzAzSFVNempZWDBpdTQxZ0V0akpxYW1nMEFIaEJDYkpWU0lxMGtCY3MrVVRLK3FqVWxBd0hrLzFjT1RPY1owZkZNTDNwZUdoQXlLRC90OS91dk5wdk4zN2ZiN2YvVDFOVGtqWGVZTkRjbUhCUVgvbEUvMUJuUlZ6RmVERElvSTNQL255bmZpSC9HbFppSnpwWXVUNHZ5anhUTk9tM3M2Uzc4TjFYZlA0Y1FjQVZoMnBLRnJ1ZjdZZHBpbkxQV292cnJ5NkV6VFo3aHh6UG9telJ0NzFTNmsrZjBqdmlSWGpGbldFU3pxcW1wTVFraDdnWndBd0NGV3E5QzJaV0Z5TithazNROWFBdHhyVW9HeWhRRktqNWFoUHhMY3REMlpEZXNkVFk5Z0o4WURJYlBiZHk0OFdzTkRRM1BndlVkQ1kwVFVDZTVrWVAyeU5OUklIeVQzUFJJQjhZNjV6L2h3OUgvYVVIbk0zMExGbFBmamlIc3ZlWHdqRk42enFUbnBRRWNmYUFab1VEMGYxTUdkNDNnOEgxTkNIcG5Yek5vOUpnVHUyODZpSkg5bzdPMm00MjF6b1o5WHpzMGJkRXpvb1ZTOFBZYzVGNW9uTFZOU29FdTZoOU41dHlKc0t2YmcvYnRQVENhTTFEMTZUSm9qV29jZmJBWmdiSGdyTWZwVEpwcDd6YzFBWm5LMHg5K0FLbE81MWg2T25QVjFkV2FtcHFhVzRRUWpRQStLeFJRRkYyV2g5cDdxNUYveWRKTk50NjR6aEwxZWhod0J2RG01L2VmOXJWeW9xQW5pSTYvOU1JM01uMnE3S1VvSlUrTDFUY3Z3OXJibGlPdE9BVUFLaFVLeFYvTlp2UExtelp0V2h2ditHaG03T0ZJY21QdEx2UzlOb1RsMTRkbmpnbU1CZEQzMmhDTU5SbElLMG1aOC9qQlhTT3c3clBCc0NKOXpuLzBWR2txcUExei8wcmxiTTVFMjFQZGFQeHRCOWJmc1dKZW44UFo2a0xyazkwb3Vpd1hnYkhBcEgxS3JRSVFBcTFQZGlHOUxCVkJUeEJCejZtYkpvVktBVlhhcVJ1ZDlJcFVDS1ZBMHlNZHFMMjNldElUNUpsbTl4RUtnYmM4V2hONWJkeVlnWXhxQTQ3L3ZCV2hHOHBnV0pXT2ZiY2Ntdk56TFA5VTZhUlpob2htRXN0Q1YxZVhHNGQrMGdSbGloTExQMVVLaFVhQmxWK293SUc3VCtEQUQwNmcrcFpLYUhQT2JwMkM3aGY2NFdoMVFhbFR3SGJRQVUyV21tdHgwSmtTdGJXMTd3Rnd2NVJ5QlJEK043amltcUlsdVRyOW16ZnVSOEExT2JHZk9zWDFSWStaTVhMQURrMldac2JQS0VNeWtzeFBOWDZNZFo4Tm5jLzJoWHQva2tqbVdnTTIzcTFIMzJ0RGFQOVREd0pqd1hlRVFxRUdzOW44c0VxbCt1NmVQWHVzOFk2UkptUENRVE55OTNranZTT3RUM1NoOVluWjJ4ZStLeGZMUGw0ODUzbFZhU3FVZnJnUW5nRXZRZ0VKaFdyMngxTGVJUitPUHRnQ0daVG9lcTRmWGM5TnJoTXJlSWNKa09IZW0rR1JVZXk1NmVDay9ablZlcXk2YVJuOG82ZWU4R1RYWmlEZ0NNeFlmRHR4cUVyN24zcGd0VXp1RFJGS2dkVTNWZURnanhvQkFOb3M5Wnl6K0N6TW1nbTBXTmF2WDErOGN1WEszcWVmZm5yMlIvNXhOUFdtWlZ6SU4wTXZud3ozTUxZKzBRVmxxaEpydjFFVjZRMUpMMC9GbXE4c3c1RUhXbEIvNTFHVVgxMkV2SzNaMDZZUzlReE8vODVFMjZiT1ZNUGQ0MEVvSUpGZWtZcXlLd29nNXZpdXp5YnltZGd2bjNCaStWMHhtODJyQWZ4VVN2a3VBRWd0MUtIaTQ4WElXcmQwWnp6YmRQL2tCL0Z2M3JnZkcrOWFGUmw2T0c3d3pSRzRlejFSYTZjMmZHY2x0Q2JOak5lVjhYcXFnWjNETUoyZmxaVERmNFZDb09EdEpwZ3VNS0w5enozb2ZYVlFDWWt2QmdLQmo5WFcxdDRGNEpkMWRYWEowYldUQkpod0pKbjUzTURQaDIvRWo4UDNOa0ticllhN0w0U1ZueTlIem5sWjA5dlovRGp5MDJaNEJyekllMnYycEgzektXanRlV2tnNnZac2N3WldmNlVTWTUxdUhQbHBNOVNaS3RUY3ZRcGRMd3pBMmViQ3FpOVdRSldtaExQTkJlK1FEOGNmYnNPS3o1VWp2U3dGeDM3V2lyWGZySm8wcktULzMxWTAvcXA5MnZ0TUhSSzE4Z3ZoQWVialQ0ZUNuaUJHRGpvbVhkenN4NTNvZlcwSUt6NVRodlYzcm9pTXIxMktUOXBvWmlxVjZzNm1wcVlQMWRiVy9pVVVDbTNQeU1qWXNXUEhqc0RjUnk2ZU4yL2NQNytHRXJCYWJPaDhwZy9PTmhjeTF4cXc4bk5sMCtxb010Y2FzT0U3SzNIczU2MW9lclFEWFMvMG8vQlNFM0l1eUlMbVpOdlphalVteXIzUU9PZVFzRmxERGtuMHZqSUlwVTRKb1JRWU9XZ0hFQjVTUVlrbEZ0K1ZMVnUyR0QwZXozY0JmQkdBVXBXcVJPbUhDMUR3ZHRPU3IybFFwU3F4ODFPVFozYmQvNzNqazE3WDNsdU40ZjJqcUxpbUNObWJ3OWZlcnIvMVlYRFhDRForYnhXME9Sb29WR0xhUkEwVHIzV2VBUzlzUnh5QUJBYitNeHcxbHBJUDVLUHN5c0tGK21oeG9VcFRvdklUSlNoNG13bXRUM1JoNUtBOVMwcjVJSUFieldielZ5MFd5MHZ4anBHWWNDU1ZvZDBqYVBwZEp6YmR1d2FxdFBuL3J4MDVZRWYzQy8ybyttd1p0RVpOdUFEMDNrWW9VNVJZOTYwVkdQaTNGY2QvMFFiUGtBL0ZsK1ZGeHNrTzdiV2grZEVPS0xRS3JMOWpCVktMSncvUm11MkpmOTAzanFEZ0hTWVVYbXFLdW45OE9JbmZIb0J4UTdqclhLRlJvUFJEK1RqK2NCdEdqem1RWFp1SnptZjdNTmJtZ3ZuSGE2QTdPUVRFdE1VSVI0c0wyZWFNeVBueUxzNkd4cUNDWjhDSGdpbnYyZnBFRjlLWHBjRjBRZGEwOVFyNlg3Y2k2QW1pNUVQNWtXM3VBUzhHL3pPTXFrK1h6bHJRUzB1ZkVDSlBTbm1qRU9MRzBkSFJZYlBaL0l3UVl2dm82T2lyaVRBenlua1ByWXU2ZmRneUd1bWQ5Tm44MlArOTQvQU8rYURMMVdMbEZ5cGd1bUQ2dzROeGFhVXBxUG5CYW5TLzBJK3U1L3ZSOG5nWC9JNUE1S2FrOXA0MTA1SnJkNjlud1h2d2hFS2crKy85OEE2SEgxQUtsVUQrSlRuSVdLVmYwUGVoaGJGUTM1V3RXN2VxN0hiNzV6d2V6L2VFRUVhaEVNaC9XdzdLUGx3SVZSTFZBTW1ReEtaN3E2SEwwK0tONnl3dy8yZzFVZ3AwOFBSN3NlL1d3K2o2V3grTUd6TmdQKzVFMFdWNUFBRDdDU2R5TDVwN1lvZHhQYThNSXIwc0ZTcy9YejVwZS8wZFIxSDgvbnlZTHNpQ0tqMTViZ05UaTNTby92cHlqQnl3bytXSkxyaDdQYXNCdkdnMm01OFBCb08zN04rLy8wUzhZenlYSmM5dkdpR3RMQlVCWndCOS83S2krRDE1OHo1dVlLY1ZZNTF1YUF4cUJEMGhITGo3T0RSWmFsUi9iVGxVcVVvVXZpc1h5bFFsbWgvdHhMQmxGQVZ2TjZGdnh4QkdqenBndXRDSXl1dEtvRXFkZmlHWTY0bS9XcSthczAxbXRSNkg3bWxFN3o4R0oyMjM3cHZjTXpGYi9jVDRFeUNGUm9IbWJaMVE2VldSRzY3aCtsRjB2emlBdGJjdG4zYWNERW4wdkRTQTdOcE1qajBuQ0NHTUFLNlhVbDV2TUJqc05UVTF6d2todGdzaFhxeXJxM1BOZVlLenNPbmU2a2sxRlRxVEZ1WWZybzcwT2t5VmMzNFdERlhoMzFsTnBockY3ODJET2wyRjdFMlo4M282ckZBSmxId2dINFdYbW1BNzdFRDJwc3lvY1VUaXlkVkdob2xrVnV1eC9zN1phN1B5THM1RzNzWFpzN1lCZ00wL1hRY1prcEFTVUNqRmtpMEtQdGVjNlhlbHBxYm1IUTZINHdFQTFVSUlaSzQxWU5uSGlwRmFmTzcxSHZzZEFhejhRZ1VzdHgvQldLY2IvbEUvZkRZL1NqNllQL2ZCQ0JlYzkrOFlnc1k0dVFZa01CWkVLQ0NSVnBxU25MM3lBc2phWUVCTjlXcjB2aktBanIvMkllZ092bGVwVkw2cnRyYjJmNExCNFBjYkdobzQyMHNjTU9GSUlpbjVXbVNzMXFQdjFjRkpQUkd6Q1l3RllkMDNpc0pMVFJBcUFhVktZT1dONVVpdlNJTlNkK3JwdmFFcUhia1hHZEgzMmhEc0o1d0FnTnkzR0ZIKzBhS295Y1pDSy85b0ViSnJNdVp1T0lHMWZoUnRUM1pIWG1lczFxUHcwdHh3b25SQkZ2eWpmalQrcGgwRmw1cVF1WGI2ZU9DaFBUWjRoLzJvdnJYb3JPT25wR01RUW53TXdNZWtsQzZ6MmZ4M0tlVjJqVWJ6L083ZHUrMEwvV2E2S2NPSWhFcE02MUdjU0pXcWhDcjExUDZDdDBmdlNaeUxNa1VaU1RhaXhSR0pSeWtpUFl4cXZRcHEvUUt0Z3lEQzUyYWVzYVROK1YycHJhMnRQRGtFNXIxU1NxVGthVkYrVFJHeWF6S1ROc2xNSzAyQjVZNmpDUG5EdFVsMTN6Z0NvUkFRS29HMDBoU3MrbElGaEZKZ3hXZkswUGlyZGdROVFhejRYUG1NRHhtbTZueTJEeEFDbm40dlF2NVFwRGZlM1JlZS9DWFpGMFZVcUFTS0xzdEQ3a1haYU4vZWcvNGRWcFVNeVZ1RUVKOHltODNmcXF5cy9IVWkxK2NsSXlZY1NTWi9hdzZPLzdJVncvdEhZZHc0OXczNndFNHJRb0hRcVptVFpQaW13dEU4Qm1lN0M4NVdGK3dublBDTitLRXphVkIwV1I0eVZxWmo1S0FkVm9zTmUyNDZpSlI4TGZUTDBwQlNxSVBPcElVbVV4VWU5ckJBRjRxTVZlbElMMDJCSm12K3MrWW9kUXFrRC91UldSMGVmakcxbnFUdnRhSEl6NzJ2REtMM2xYQVB5dkpQbFVhMisrMStRQUtqeHh6ejdzS09OYlBaekhuR0UwOHFnQ3VFRUZmNC9YNll6ZWJuQUd5UGQxQTBPMzZYNG1LbTc4cDlBTElCb09TRCtTajVRSDdTRDFldHVYczFiSWNkR0c0WVJjOUxBOUJrcWFITjFxRDA4b0pJemFBTVNBelhqOExaNWdKRU9JbFFxQVF5cXcyUjYrdE10WkpqWFI2VWY2UVFMZHU2NEd4endWQVZmZ2d3MXVtR1VBcWtGQ1RHTlMzVzFIb1ZsbitxRkFWdk02SCt6cVBqdlc4UE56YzNxd0Q4UE43eG5VdVljQ1NaN00yWlVQMU9pZjRkUTNNbkhCTG9mWFVRV2Vzem9Nc04vK1BUOTlvUW1oN3RBRVM0T0ZPL0xBMGxIOGhIWnJVQmpiOXVoMElqWURSbndHak9RT1VuUytEcThjRFJHRTVPYkljZDhQUVBJZmNpSXpKVzZ4RndCU2ZORERXVjN4R1ljYXJkaVYyOTY3NjFBaklvc2ZQNitxaHRvN25vTVRNeXEvV1JoR091R2FUR09kdE85ZllYdmpNWGtFRFRJeDNRR2pYSVdyOTBaMFdoUlNXRkVGSkszczhTelVFS0lXUW9GSHBhQ0hFakVMNEdhWE0weUgvcjBsMVhZeTVqblc1MC9yVVhBTER5OHhYb2VXa0FWVGVVd1Zwbnc1SDdtNUZ0em9EcFFpUGFuKzZCZThDTHFodktvTWxVbyttUkRoejZTUk4wT1JwVTM3bzhjcDBzdjZvdzBoTnAzV2REMjlNOVdQbjVjcWpTbE9oN2JRaTJ3NDVJd21FL01ZYlVJbDNTSjNRVGVRWjk2RGo1OTMyU1gwcjVScnppT1ZjeDRVZ3lDcFZBOXFaTURPd2NobStXbTMwZ3ZDaWd1OCtMeWsrZWVxcWZ0elViNmN0U2tWcW9nMEl6K1Ira3NRNFhzbXNuSnpHcGhUcWtGdXFRaCtuanNhMTF0cWd6UTQzcmZYVVF2YThPUnQwM2RlYU5jWE1Wdk01VXZEcmZzYXJPOXNrTEloYStLeGYycGpFMFA5YUpUZmRXeC8wQ2FMRllrdlFTbkhqTVp2UERBRDQzajZZdUljUUxvVkJvZTJwcTZ2TTdkKzUwbkR6KzBaZ0dTR2VGMzZXRmM3YmZGUUMvcTYydC9aV1U4a0cvUFhCUjAyODYwUGVQSVN5N3RoaUdGUXMwUEM5QmVQcTlxTC96S0lyZm00L3lxd29qMXhSZGpnYkxQMVdLb25mbHdtOFBvUE52ZlJBcWdRM2ZXWW4wOGxRQVFPMVAxcUQvZFN1Y3JhNUoxelIxcGpyeU9tT05IZ1h2TUVHdEQ5L2VaYTQxd0xyUGh0SVBGUUFTc0IyMHc3Umw1bXRvTWdsNlF1ajhXeTk2WGh3Y0g3bzJKb1Q0Z1Y2di8rbU9IVHZPZkRWRk9pTk1PSktRYVlzUi9hOWJNZkR2Nk5QZ2plditlei9TU2xNaXZRQkFlR1lZVmJvSy83bWhJZW94clgvb1J1c2Z1cVB1cTdpbUtES2JCakI3WWVnYjExbFFlbmtCU2k4dm1PdmpUSEw4RjYxUkYrYWJqN21tNlowcHlTbStMQThOZHgyRHM4MkY5SXJVTTNwdlNqcDJBSDhEc0YwSThWS3NpOFlUa1cvVVArTjRjcjg5TUs5RlFPbWNNSy92U2wxZG5RWEFXODFtODFVQTduVzJ1VW9QM0gwQ3B2T3pVUDdSSW1penoyNGh5a1NoeTlOaTQzK3ZnaVpMRFk4MXZINU43VDFySUZRS2VJWjhFR29GTk5tYVU3TnlLUVE4RTlhTHl0cVFNV3RObHI0eURmcktVNU9jNUd6S1JQY0wvWEMydU9CM0J1QWI5VWVkNGo2WnlKREU0SDlHMFBiSGJ2aHNrUWV2andvaHZsVlhWOWM3MjdFVU83d2lKS0hNTlhvVXZ5OGYyWnN5WWQwM0VyMlJEQmRSUnlzOGpiYUkzZUR1RVhUOHBSY2I3MW8xcVpoOFhOMDNqMENWR3Z0ZnA2b2J5aVlWc1U3bDZmT2k0YTVqTSs2di92cHk2RXlUTDF5ZVFkK3Nhd3VNTDhia0hmRWp2ZUkwQTZaa1lnWHdqRUtoMkc2ejJmNlJDTlBpbmdsbm13dXRmK2pHcWk5VlJKNkNUbVE3N0VEUHl3Tlk5dkhpeUZETHFUeURQdXo3MmlHa2w2Vmk0L2RXVGVyNXM5YlpjUHpucmFpK2RUa3lWbk1LMjNQVW1YNVhwTVZpK2VPV0xWdis1dlA1dmk2bC9PYmc3cEhVb1RvYml0K2JoK0wzNVVPcFhmcERnZExMVTNIZyt5ZGdiM1NlMGZFelBSeUxScjg4RFdtbEtlajRheThDcmlEU1NsS2dYNTY4c3k3YUc1MW9mYndianBheDhVMy9DWVZDWDJsb2FOZ2J6N2lJQ1VkeUVrRDUxWE1zNUNQQ0MvNUUzYVVVazRjZ3lmQzgvcG5WaHFoUCtJUGVFQ0NSRUhPa2E3UFZXSGQ3RlFLdUlKUmF4YlFwUUhVbXpXbFBCZWpwRDE4cjFRbncrV2h4U1NuN0Fmd1p3UGFNakl4L0pkckNmMmRDbTYyQjErckQ0WjgwWWQyM3FxQk1PZlY3SFJnTG92RlhiVkNtS0dlZG4zL1lFcDVWTXZjaTQ3UmhobG5yREVncDBPSFl6MXRSOC8zVlNibkNNVTIza04rVlhidDJ1UUY4Zi8zNjlZK29WS29meVlDOHR2T1pQZ3k4UG96eWp4VEN0R1g2NzkxU3MvN2I0YW1qUnc3WVlWaVpQaW1SZXVNNlM5VDFidWJETitKSDU3TjlLTHVxTURLRFpQblZSWkdIYW10dXFWeUE2Qk9QZDlpUHRxZTZNTGdyL0pCVkNORVZDb1Z1cTYrdmZ4SUFDK29TQUJNT21sUDc5aDQ0MjEzWThKMlZVZmY3SGVIclNyU25wUXV0OGRmdGFQejF6SFVoRTYyNXBYSmVNM1ZGMC8xQ1B4eXRMaWgxQ3RnT09xREpVbk10am5OTUlCQzRlK1hLbFY5TWxxa1RnNTRnZkNQaDRRVVZIeXZHc1orMW9QZTFvVW5UVGJmOXNRY0JWeEJWTjVUQlArcUhmOVFQblVrTG9acDhkemUweHdaTnBocjVsK1JNZXgrRlJvR3F6NVNoK1hlZENIcUNBSmh3Skx0WWZWY09IRGpRQmVBVFpyUDU1MUxLQjcwanZ2T09QOXlHbmxjSFVYbHRDZEtYTGYwaHJvZnZhNHFhWEVTclJWU2xxM0RCTDlaSFBZOTMySWZ1RndiUTk5b1FsRG9GaXQ2ZEcwazRJcE96Q0NEa0RTM3NCNGl6a0MrRXJ1ZjcwZlZjSDBKK0NRQnVBRC94Ky8zM0hqaHdZR3lPdzJrUk1lRklFaklnRWZSTi80Zms1QmNRQVZmNE9oRDBoTnVFdktISXRva21ycWtoZ3hKdFQzV2orOFVCVkZ4VE5HbGM2RVRld1hBUGdNWVkrekcyY3hXTkErSFB1T3V6MFd0UVBJTytlVzFUWjZyaDd2RWdGSkJJcjBoRjJSVUYwMjY2VGtkby9QL04waDhOY000NGNPQkExNEVEQitJZHhvSVpickJQcTM5cWU3SjcwbG8xNHc3OTVOUVF3NmszUSs1ZUQreU5UbFI5dWd5aGdNUi9icGk1TmlyYVRkUHBEQWVocFNIVzN4V0x4ZkltZ0MwMU5UWFhDaUYrN0dnYUsyaTQ2eGp5THNwRzJWV0ZTZG1MdHZZYlZkUFgzNWx5L1FpZVRCNTZYaHhBMDI4N29FcFZvdlR5QWhSY2FvSlNxNERmRVVEejd6b3h0R2NFdVJjWkVmS0djT3dYclNnODRVVFpWWVZRNnBad3I3MEVCbmNQbyszSmJuaUhJM1VhVHdvaHZsRlhWOWNSejlBb09pWWNTV0pnMS9Dc00wSzllZVArU2ErUC9UeDY0ZlZGajVrQkdWNDByLzNwYm5qNnZWaCtmV25rU1diUUU0TDloQk5xdlFyS0ZDV0NuaURhLzlRTFhaNFd1Z2xGZlhNVmFBTkF4MTk2MGZHWG1ldTNvajMxOFkvNkkwT2NaaEl0OFJvM1c2M0dSTGtYR3BGN29YRmViYU9SSVluZVZ3YWgxQ2tobEFJakI4TnJ3YVhNc0hBYTBXS1plc00vK09ZSWp2K2lGUmYrWnVPMHFUS2pmWTk3L3hsZXd5YnZyZUVKSWVZNzVUVFJXUXJWMTljL1ZsMWQvV2V0VnZ0TkFGL3ZmOE9xSGRvN2d1SVA1S1A0M1hrUTZxVXh6bXBpRVRnUUhnNGs1akZOclF5ZE9sYWJxWWJ6WkoyQ1o5Q0hrZy9rbytpeVhDaDE0ZXR5MTNOOTZIcXVIeUZmQ0JVZkswYlJ1M01oUXhJcGYrbEY1N045R0h4ekJJWHZ5a1hlZjJYUGV6SEJST0ZzYzZINTk1MXdORVk2TU9vVUNzWE4rL2J0MnhuUHVHaDJURGlTaE9uOHJBVlpKeUxvRFdIL1hjZmc2dmJBYU03QTZpOHZtM1RUTDVUQTBRZGJJcXVqUWdEcFphbFk5YVdLU1dOcUYrSW1KTnBLcUMyUGQ2SGw4YTR6UG1lMEpHYW1xWFRQaGxBSWRQKzlQL0xrUmFnRThpL0pDUytJU0xSRStSMkJVNHRtbnZ5K3B4VG9NTFI3QktwMDFhUVo3eVpxZWJ3THVod05DdCtWdTBpUlVySTZmUGl3RThDZDY5ZXYvNDFhcmY1SjBCdTZzdjNwSHZUdnNLTDhJNFhJMlp5VjhQVWQrMjQ1Tk9uMW9Yc2FwN1dKdG0yaWpmKzlDdnJsYWNpN09CdGxWeGRHa2daM254Zjc3enFHZ0N1SXJQVUdMTHUySkxKd3JWQUlsRjFSaUd4ekpwcC8zNG4yUC9WQW02TTVxNGRyaThrL0drRGIwOTNvLzdjVmtPRzZJU0hFN1JhTDVYY0FrbXVzV0JKSzhLL2x1V2w4QmR4NERUMFlQZXFBWnNLODN0SElrSVFNU2dpbGdGQXN3cStSQkZxZjdFYnVXNHhJSzUwK3M5YWtwZ0dKOWovM0lPL2k3RW1md2RQdmhUWkhNNjJRWEFZbHZDTis2SEkwa2NVSUYyVHVkM255NzBrQ0NxVTRxMi9iK0pObXJoMndkTVQ3ZXp6VmVFL0c2WnFZcExjOTJZMnVGL29CVFA1Y0I3NS9IQXF0RW10dld6N3QrRkJBNHMwYjk4TzRNU1A4WUNMTytGMUtMalUxTmY4bGhIZ1F3QVlBeUZpbFI4WEhpNUJldHZUck84NVUzMnREU0MzV1JSYjdtNG16elJWWjR5T1JoZndoOUx3MGdNNW4rMC9XaGNFbmhQaXBTcVg2NGU3ZHUrM3hqby9taHowY05NMThwcklVaWtWS05DSnZHRjduWTE1TlZRTGxWMDl2TzNVOGJLUzlVa0NYRXg0T3B0YXJvTll2MEVKVElueHUzdFZRSXBuYSt6aTgzNDdXSjdwUTg0UFZVRXlwVTVyWTgrZnA5Nkw3NVFGa3JqWEFkbWp5TlQ3bkFpTmFIKytDM3hHWU5ubUUvYmdUSVY4SU9adG5uczZhNkV6VjE5Zi82NnFycnFwdGJtNytQd0IrTUhyTVlXcjR6akhrLzFjT3lxNHNnTnF3dElZTExZUm9remxFay9ESmhnU3NGaHRhbitpYVdHdjVGeUhFclhWMWRjM3hESTFPSHhNT0lxSnp5TlNlUzAyN083dzlYenV0aG1PaTRmMmpVT3FVS0wwOGYzckNzU2tUTGRzNllkMW5tM2F6WXp0a2gwSWxrTFhoN0lkOEVrVnpjbmFzWDlYVzF2NHhGQXA5VzBCOHVXL0hrSHJ3eldHVVhsNklna3ROMDVKcFNteXVMamVhdDNWaDlNajRZdlE0Q09BckZvdmxuM0VNaTg0Q0V3NGlvblBJVEJNNi9PZlQwV2QyRzJmYVlvUmFyNFk2eXZvY21pdzE5SlZwR05vN1BlRVlPV0JINWxyRDBwNFJoNWFFdXJxNlVRQmYzN2h4NC84cUZJci9HL1NFM3QvNmh5NzB2VGFFaW84VndiZ2hnd1BKRTV6ZkVVRDc5bkJOamd4SkFMQktLZS9NeU1qNGRUS3NnM1F1WThKQlJIUU9PZE1oVldxOUNxWXRXYWZtOUovQ3VERURIWC9wUldBc0NGVmFPTG53RHZzeDF1bEc0YnRaTEU2THA2R2hvUkhBQjJwcmE5OHBwZnlwdTgrejVzajl6Y2hjcThleWo1Y2d0ZWowRjlTajJKSkJpZDVYQjhQL2hvU243QThBK0puZjcvL2V3WU1IUitJY0hpMEFyZ3BBUkhRT3lGaVp5WUY2dFFBQUlBQkpSRUZVampXM1ZDS2xRRGZwanlZelBNWTlKVjg3YmQrYVd5cm52YjZPY1dNR1pGQmlaUDlvWk50d3ZRMUNLWkJ0UHJNRk9Jbk9SbDFkM2N0Q2lJMVN5aThER0xFZGNzRHlyU05vMmRhRndGaFNyT2VaRkViMmo4SnkreEcwUE40MW5tejhYUWl4em1LeGZKWEpSdkpnRHdjUlVSSUxla1B3RFljTExsUHl0Tk42S0h5MjhOVE43ajd2dEI2T2xEenRxV05ubWJVT0FOSktVNkRKVk1OYVB3clR5V2syaHkyanlGaXRoeXFObHhxS2o3cTZPaitBaDg0Nzc3d25Bb0hBWFpENGZNL0xBOHFCblZhVVhWR0kvTGZsTE80RUtCVGg3dldnNVludWlROHBqa3NwdjFwZlgvLzNlTVpGc2NHckFCRlJFaHM5NnNDUisrZWUwS1granFPejdwL1A5TDRWMXhSRFl3ejNtQVJjUWRpT09GQjVYY244QWlXS29UMTc5bGdCM0xSaHc0YUhGUXJGVHdOandVdWJIK3RFM3orSFVQSHg0aG5Ya0tHRkZ4Z0xvT092ZmVoOVpRQXl2SHFHVFFoeEY0QmZXQ3dXLzZ3SDA1TEZoSU9JS0lrWk4yYk1taXpNdHRMNDZUSnR5WXI4Yk4xbmd3eEpEcWVpaExKLy8vN0RBTjVsTnB2ZkIrRCtzUzczOGtQM05DTGJuSW55anhZaUpaLzFIYkVpUXhKOU80YlEvcWNlQkp4QkFBaEpLZjlYb1ZCOHA2NnViaWplOFZGc01lRWdJcUl6Y3VpZVJ0Z09PMlp0cy91bWc1TmVKOHBDaUhST2t4YUw1Vy9WMWRVdjZYUzZMMHNwdjIyMTJBekQrMGRSK0U0VFNqOVVBR1VLWjFWYlNLTkhIR2plMWdWWGwzdDgweitGRUYreFdDd0haenVPa2djVERpSWlPaU5WbnlsRHlCdUtkeGhFWitUdzRjTStBUGVkZi83NXYvZjVmSGNqaUU5My8zMUFET3djUWZsVmhjaDdhemFuMFQxTG5nRXZXdi9RQld0ZHBFNmpSUWp4dGJxNnVtY0F5RGlHUm91TUNRY1IwVGxNazZsRzFqckR2QXRuZFhsYW5QZlFPZ0NBZHA0eldCRWxzdDI3ZC9jRCtNeW1UWnQrRVFxRkh2RGIvVzl0L0UwN2VsOGRSTVhIaTVHeEtqM2VJUzQ1UVU4SW5jLzJvZnZGZnNpQUJBQ25sUEp1aDhQeFFGTlRremZlOGRIaVk4SkJSSFFPeTFpVmpveFZ5K2ZkWGlnRU5CbnFHRVpFRkIvNzl1MnJCN0MxcHFibUNpSEVmYzUyVjluQkg1NUF6bm1aS1A5SUVYUW1iYnhEVEhneUpESHd4akRhbnU2R2Z6UUFoSHN4SGxFcWxYZnMzYnUzTDg3aFVSd3g0U0FpSWlJS2svWDE5WC9hc21YTDgxNnY5eFlBM3hyYVkwc2RycmVqNkQxNUtINXZMcFE2MW5kRTQyZ2NRL1B2TytGc2N3RUFwSlE3aFJBM1d5eVd1amlIUmdtQUNRY1JVUXk5Y1owbDNpRVEwV25hdFd1WEc4QVBObXpZOEtoU3FmeFJ5Qi82Uk9jenZlaC9mUWpsVnhmQnRDV0w2M2VjNUxYNjBQWlVEd2JmSEI3ZjFDbWx2SzIrdnY0cHNFNkRUdUszSlFHWnpXWitRU2txaThYQzcrd1NVVk5UODVvUVltdTg0NkRwcEpRNzZ1dnJMNGwzSExSMDFOYlduaStsZkJEQStRQ2dyMHpEc211TG9hOU1pM05rOFJQeWhkRDFmRCs2bnV0RHlDOEJ3QzJFK0RHQSsrcnE2bHh4RG84U0RHOWVFaEJ2VkNnYTNpUVJFY1dWd213MmZ3ekFQUUFLQVNEM1FpUEtQbElJYmRZNU5JR0NCQWJmSEViYlV6M3dEdnZDbTZSOFFxVlNmWFB2M3IyZGNZNk9FaFFURGtwbzQ3MDlTK1hKZm0xdDdmK0VRaUZaWDE5L2M3eGpJU0tpaGJkKy9mbzBwVkw1RFNIRXJRQjBDbzBDSmUvUFE5Rjc4czU2OGN4RTUyZ1pRK3ZqM2JBM09zYzM3UXVGUWpjM05EVDhKNTV4VWVKYkVqZHhkTzVhWWdtSHdtdzJkd2doWkYxZFhSa0FMbEJBUkpTa2FtcHF5b1FRUHdGd05RQm9jelNvK0dneGNqWm5KdDNkbGMvbVI5c2Z1ekh3UnFST28wOEk4YzI2dXJyZmc5YzZtb2NrKzBwUXNsbEtDWWZaYkw0QXdDNEFFRUpjVUZkWHR6dk9JUkVSVVl6VjFOUzhWUWp4QUlBYUFEQ3NURWZsdFNWSUswdUpjMlJuVC9vbHVsOGNRT2ZmK2hEMEJBSEFLNlc4UHpVMTlVYzdkKzUweERzK1dqcVN1KytQYUhGZE1mNkRsUEtLMlJvU0VWRnlxSyt2ZjcyeXNuS3psUElHQUFQMjQwN1VmK2NvR24vVERyODlFTy93em93RXJQdHNxUHZtRWJROTNUMmViR3dQQkFLcjYrdnJ2OFZrZzA1WHdqODFwblBiRXVyaEVMVzF0YzFTeW9xVHIxc3NGc3R5Y0VwQUlxSnp4dm5ubjIvdysvMTNBdmdLQUxWU3AwRHA1WVVvdU5RRWhTclJMMk5oWXgxdXRHenJ4T2l4U0ozR0FZVkNjZk8rZmZ0MnhERXNXdUtXeG04L25iT1dTc0t4YWRPbW1sQW9OR25CaFZBb1ZOUFEwTkFRcjVpSWlDZytObTdjV0tWUUtPNEQ4QUVBU01uVG92eWFJbVRYSkc1OWg5OFJRUHYySHZUdnNFS0dKQUFNQWJpanNyTHlOMDgvL1hRd3p1SFJFc2VGLzRnV1FDZ1VtamFFU3FsVVhnR0FDUWNSMFRtbW9hR2hFY0FITjIzYWRLbVU4cWZ1Zm0vMTBRZGFrTG5XZ0dVZkswWnFzUzdlSVVhRUFoSzlyd3lnNDY5OUNMcURBQkFRUXZ4UE1Cajhma05EZzgxaTRlS2xkUFpZdzBHME1LWWxIS3pqSUNJNnQrM2J0KzhWdlY2L0VjQ1hwSlREdGtOMldPNDRndWJIT2hGd3hyblRRQUlqKysyb3YrTW9Xdi9RUFo1c1BLOVFLTmJXMWRWOXJhR2h3UmJmQUNtWkpHakhIbEhZVWhoU1ZWTlRzMFlJY1hpRzNXc3NGc3ZSUlEySWlJZ1N6cFl0VzR3ZWorZTdRb2d2QWxDcTBsUW92VHdmQlc4M1FTZ1g5eExuNnZHZzlZa3VqQnl3ajI4NkN1Q3JGb3ZscFVVTmhNNFo3T0VnT2tzS2hXTEduZ3oyY2hBUkVRRHMyclZydUw2Ky9tWXA1WG9BTHdYR0Ftaloxb1g2TzQ1aTVLQjl6dU1YUW1Bc2dPYmZkOEp5KzVIeFpNTW1oTGhaQ0xHQnlRYkZVc0krTlNZQ2xrWVBoOWxzYmdDd0lkbytJVVJEWFYxZHpTS0hSRVJFaVUzVTF0YStSMHI1VXdCVkFHRGNtSUdLYTRxUVVyRHc5UjB5Sk5IMzJoRGF0L2VNRCtVS0FmaWxTcVg2N3A0OWU2d0wvb1pFVXlUc1RSd1JrUGdKUjIxdGJhV1VzbW0yTmtxbHNuTHYzcjB0aXhVVEVSRXREZFhWMVJxTlJ2TWxJY1IzQVJpRVVxRHduYmtvK1dBK1ZLbktCWGtQMnlFN1dwN29ncXZMTTc3cEh3cUY0aXY3OXUwN3RDQnZRRFFQbktXSzZDek1aOGhVTUJpOEFzQzlpeEFPRVJFdElZY1BIL1lCdUgvOSt2WGJWQ3JWOTJWUWZxYjc3LzFpNEEwcnlxNHNSUDdXbkROK05PenU5Nkx0eVc1WTZ5SzEzODJoVU9ockRRME56NEpyUk5FaVl3MEgwVm1ZVDhJaHBieHlNV0loSXFLbDZjQ0JBd01XaStWelVzb2FLZVVPdnlPQXBrYzZVUC90b3hnOWRucUxlZ2ZkSWJROTFRM0w3VWZHa3cwSGdOdnNkbnQxUTBQRE0yQ3lRWEdRa01OVWlNWWw4cENxbXBxYU1pRkUyM3phU2luTDYrdnIyMk1jRWhFUkxYMmlwcWJtdzBLSSt3Q1VBMERPNWl5VWY3UVFPcE4yNXFNazBQZjZFTnFmN29IZkhnQUFLWVQ0clVxbHVtUDM3dDM5aXhFNDBVd1M3aWFPYUtKRVRqaWlXV3J4RWhGUll0cTZkYXZPNFhCOFZVcDVCNEEwaFZxQm9uZm5vdmo5ZVZEcUp0ZDMySTg3MGZKNEY1eHRydkZOYndnaGJxNnJxK09xZlpRUVdNTkJSRVJFbEdCMjdOamhBZkNqbXBxYTN3SDRZY2dmK21UbjMvclEvMjhyeXE4dWd1bkNMUGlHL1doOXNodERlMGJHRCtzQWNLdkZZbmthSERwRkNZUlBZU21oTGJVZWc2VVdMeEVSTFEyYk5tMDZMeFFLUFFCZ1M1VGRMaUhFanpVYXpYMjdkdTF5TDNac1JITmhEd2NSRVJGUmd0dTNiOThlQUcrcHJhMjlCc0E5VXNyaWs3dTJCUUtCMnc4Y09OQVZ4L0NJWnNXRWc0aUlpR2hwa0hWMWRVOXMzcnk1TVJRSy9WcEthYkZZTE5mSE95aWl1VERoSUNJaUlscENwSlJwVXNyMUFFYm1iRXlVQUxnT0J4RVJFUkVSeFF3VERpSWlJaUlpaWhrbUhFUkVSRVJFRkRPczRTQ2ljNEVBb0FHZ1MwbEowUWVEUWIxU3FkU3IxZXBzcFZLWnJkRm9jcFJLWlo1YXJTNVNxOVZGSXlNamoxcXQxdCtmUERhbnRMVDBoeDBkSGJjQnNFVTd1VTZuS3lzdkwzL3EyTEZqRnl6V0J5SWlJbG9xbUhBUVVkTEt5c3E2cHJ5OC9QZENDR1cwL1ZKS1h6QVl0QWVEUVZzd0dMUUZBb0hoUUNEUUo0UklIVzlqTUJqT3k4cksrbWhIUjhmbkp4eXFBR0NJdkZBb2NsTlRVODhIa0RubExVYkJ4YmVJYU9sUW1jMW0vOW1jd0dLeHFBRUVGaWdlU2hKTU9JZ29tU21GRU1yR3hzYUxnc0dnT3hBSXVCVUtoY3ZqOFRnQk9BRDQ1anFCWHErL2FHeHM3RjhBZ3VQYmREcGQ2Wm8xYTFxbnRqV2J6Wk5takxGWUxDWUFRMmYvTVlpSUZrWGcwS0ZEcTJmYVdWQlE4UFhzN094UGQzVjFmY0ZtczcwMjB6bGlGQnN0WVV3NGlDanBPUnlPbldkNnJNRmd1Q3dsSldYaitDcnlWcXYxTi8zOS9YY0RwMWFVMTJnMHE5YXVYWHQwd2dyejZXYXoyWEhXZ1JNUkxUS2Z6M2NzeW1aTmFXbnBROW5aMlo4ZUdSbjU0OERBd0M4QktESGhRUXpSYkpod0VCSE5RS1BSck5McGRHdVBIajE2ZmpBWXRGZFZWVDNyZHJzakYrUHhKR1NtMTBSRVM1MUdvMW05Yk5teXgxTlRVemQ2UEo3RFdWbFpWNCtPanY2NW9LRGdCejA5UGQ4ZUdSbDVFaHc2U25OZ3drRkVTVStqMGF3Nm5mYmpUL2h5YzNOdmREZ2NMN3JkN2owQThyUmFiYVhkYm44YTRTSjBXQ3dXUFFDa3BxYXVXTFZxVmQzNGF3QnBack81YndFL0FoSFJZdFBtNWVWOXJhQ2c0TTVRS09SdWFXbjVrRnF0TGkwcEtYbG9lSGo0NWZUMDlMZVVsNWMvbHBlWDk5WHU3dTViSEE3SEcvRU9tQklYRXc0aVNucHIxNjQ5ZWpydFR4WTlwdWJrNUh5MnVibjU2dExTMGtjOUhzOUJsOHUxVjZGUStJUEJZSHBMUzh2bE9wMHVCd0NFRUZrQU1QNGFnS0tscGVWeXJWYWI0ZlY2V2NOQlJFdUp3bWcwWGxGUVVQQWpyVlpiYWJQWi90clMwdko1QUgwbWsrbExKOXVNZEhSMGZObHF0ZjZxcUtqb2wxVlZWZisyV3EzYjJ0dmJid1hBaHkwMERSTU9Ja3A2Rm90RjVPYm0zbEpZV1BpOWhvYUdJb1JuajVwS1ZGZFhId3NHZ3c2RWl4N3R2YjI5MzNJNEhNOVhWVlg5N2RDaFEyc0dCZ2EyclZtejVoODZuYTQ2MnZ0RUt5U2ZVTmRCUkpUUURBYkRaY1hGeGZmcmRMcFZYcS8zZUdOajQvc2REc2R6TTdVZkd4czdlT0xFaVl0emMzTS9YMUJROE9QTXpNejNkWFoyZm5aNGVQanB4WXliRWg4VERpSktXa0lJdFpReUNBQk9wL05KSWNSUDh2THlydS92NzM5Z2FsdTlYdjllclZhN29yVzE5UlBqMjZhMGt3RDZqeHc1c2piMmtSTVJMYjVBSU5BSEFHMXRiVGNNRHc4L0JtQStVK1RLZ1lHQlg5anQ5aGVLaTR2L245dnQ3b2h0bExRVU1lRWdvcVNsVkNyVHBaUnVBSEM1WEQzRHc4TlA1T1hsM2Q3ZjMvOWJBUFlKVGRVbEpTWDN1dDN1Z3lNakkzK1l4Nm56eldaejcxeU5UcHc0c2M3cGRCNDZ3L0NKaUJhVnkrV3FQM0xreUdvQUJvMUdVemwxLytqbzZLdWpvNk9ybzlYRmVUeWVucWFtcG5jdVNxQzA1RERoSUtLa3BWS3A4Z0tCd09ENDYvNysvdTltWldWZFdWWldkbjk3ZS9zTjQ5dUxpNHZ2MXVsMEswK2NPUEUybk1ZMGo4ZVBIMTgvTmpiV3E5VnFNL1Y2L1R1R2hvYitjdko0Sll2R2lXaXB5c3JLK2tCRlJjWHZUK2VZMXRiV1Q0eU1qR3lMVlV5MHRESGhJS0trcGRQcHFudytYOXY0YTQvSDA5clQwL08xNHVMaVg0eU5qZTBkR2hyNjM2eXNyR3R6YzNOdjYrM3QvWUhUNmR4eE91Y1BoVUlqQUlZVUNrVmxhV25wTDRlR2huNkZjTUxCZjF1SmFNbXpXQ3haQUd4ek5NdWN1dWdwMFZTOEtCSlIwa3BMUzl0c3M5bWVuYmh0WUdEZ2x6cWRia05wYWVrdjA5TFN6cy9PenY2a3pXYjdVMjl2NzNmbk9wL0paTHBwYkd6c1RaZkwxVGx4ZTBwS3locS8zOThOTG9KRlJFUTBqU0xlQVJBUnhZSldxMTJoMFdncW5FN242MVAzZFhSMDNPYnorYnF5czdPdkR3UUN3eTB0TFYvRUhNbUN5V1M2b2FTazVBR05SbE1JSU9qeitkcmRibmNBZ0Q0L1AvOXJTcVV5TXo4Ly96WUFXZ0RTNS9PMSsvMStYMHcrSEJFUjBSTENoSU9Ja2xKMmR2YjFvVkRJWmJQWlhwcXdXWldkbmYycHRXdlhIbEtyMVFWV3EzV2JRcUZJWGI5Ky9aRzh2THpiQVJpam5Db1BBSEp6YzI5dWJXMzlwTTFtZXdiQTRLRkRoeW9NQmtQTm1qVnI5Z2doTkYxZFhiZVlUS2FicXF1cmp4bU54aXNQSFRwVTd2VjZUeXpHWnlVaWlnV2RUbWNFa0RQYm41TnRpR2JGSVZWRWxJenlUQ2JURjYxVzYrOEFqT2wwdXJLTWpJeVA1K1RrZkVhcjFaYTdYSzY5TFMwdEgzYTVYUHY2K3ZydUtpb3F1cStvcU9pSGhZV0Zkemtjam44NkhJNFg3WGI3THJmYnZjZG9ORzZWVXZwYlcxdXZ0TmxzenhzTWh2ZnE5ZnBMTWpNelA2VFZhcGRacmRiSDI5dmJid1l3UERRMHRLMmdvT0Qyc3JLeXgzSnljbTdxNnVxNnllVnkxY2Y3TDRPSTZFeXNXYk9tT2Q0eFVISmd3a0ZFU1NjL1AvOVRRZ2hodFZydkxpNHV2aWMzTi9jMkFIQTZuVzkyZFhYZE9qbzZ1aDNoZFRYZzlYcWJXMXBhTGs5TlRhM0p5Y201MldnMFhtMHdHTjZ0VkNxLzUzYTc5d3dQRHovbDhYZ2FYUzZYQlFDeXNySStZakFZM21tejJiYVBqSXo4Y3NxMHQ2N2UzdDV2RHc4UGJ5c3BLZm1GVHFkYndZU0RpSmFxSTBlT1ZIbzhIdnRzYlhRNm5ZR0pDUkV0YVdheldack5aaG52T09acnFjV2J4TlRwNmVsYlQvNmNXMUJROFAyMHRMUjE4encyTFRNejgzTE0vRUJHRFdDK3E0ZHpsWEVpV25DYk5tM2Fldko2c3lNVzUwOU5UZDFjVWxMeU13QXA4Mml1S3lvcXVpODFOZFVjaTFnb09iQ0hnNGlTa1gvQ0ZMY0R2YjI5M3o2Tlk4ZHNOdHRmWmp2M2FaeUx5U2NSTFRrdWwydXZ5K1hhTzgvbW51N3U3cS9ITkNCYThsZzBUa1JFUkVSRU1jT0VnNGlJaUlpSVlvWUpCeEVSRVJFUnhRd1REaUlpSWlJaWloa1dqUlBGUUcxdDdWL2pIUU1SRVNXblVDaTBOZDR4RUowT0poeEVDOHNPd0NDbC9HQzhBeUVpb3FRM0d1OEFpT2FEQ1FmUkFncUZRaHVVU3VYR2VNZEJSRVRKVFVvWkZFSzhIdTg0aU9hRENRZlJBbXBvYUdnRDBCYm5NSWlJaUlnU0JvdkdpWWlJaUlnb1pwaHdFQkVSRVJGUnpERGhJQ0lpSWlLaW1HSENRVVJFUkVSRU1jT0VnNGlJaUlpSVlvWUpCeEVSRVJFUnhRd1REaUlpSWlJaWloa21IRVJFUkVSRUZETk1PSWlJaUlpSUtHYVljQkFSRVJFUlVjd3c0U0FpSWlJaW9waGh3a0ZFUkVSRVJESERoSU9JaUlpSWlHSkd4RHNBb25HMXRiV2xVc3I3cDJ5KzR1Ui90MC9jcUZRcXY3cDM3OTdPeFltTWlJaUlpTTRVRXc1S0pBcXoyZHdCb0dpMlJrS0lycnE2dWpJQW9jVUppNGlJaUlqT0ZJZFVVU0lKQ1NIK1BHZWpVT2pQWUxKQlJFUkV0Q1F3NGFDRUVncUZ0cy9kQ3ZOcFEwUkVSRVFKZ0FrSEpaVGx5NWUvQVdCZ2xpWUR5NWN2MzdsWThSQVJFUkhSMlZIR093Q2lpWTRjT1NJTENncXFBTlRPMEdUYlAvN3hqNzh0Wmt4RVJFUkVkT2JZdzBFSlJ3Z3g0NUFwaFVMQjRWUkVSRVJFU3dnVERrcEVyd0VZaWJKOVJFcTVZNUZqSVNJaUlxS3p3SVNERWs1ZFhaMWZTdmxzbEYzUDFOWFYrUmM5SUNJaUlpSTZZMHc0S0NITk1LeUt3Nm1JaUlpSWxoZ21ISlNRREFiREt3Q2NFelk1N0hiN0svR0toNGlJaUlqT0RCTU9Ta2c3ZHV6d0FIaHUvTFVRNHJtbXBpWnZIRU1pSWlJaW9qUEFoSU1TbHBReU1vUnFuZ3NDRWhFUkVWR0NZY0pCQ1NzWURQNTl3czh2eGpNV0lpSWlJam96VERnb1lSMDRjR0FNd0o4QmJELzVNeEVSRVJFdE1hcDRCMEEwR3lubG53REllTWRCUkVSRVJHZUdDUWNsTkkxRzg3eEtwV0xDUVVSRVJFUkVSRVJFUkVSRVJFUkVSRVNMUk1RN0FBSnFhbXAyQ3lIT2kzY2NsRmlrbER2cTYrc3ZpWGNjUkVSRVJHZURzMVFsQUNZYkZJMFFZbXU4WXlBaUlpSTZXeXdhVHlBWFBXYU9kd2lVSU42NHpoTHZFSWlJaUlnV0JIczRpSWlJaUlnb1pwaHdFQkVSRVJGUnpERGhJQ0lpSWlLaW1HSENRVVJFUkVSRU1jT0VnNGlJaUlpSVlvWUpCeEVSRVJFUnhRd1REaUlpSWlJaWloa21IRVJFUkVSRUZETk1PSWlJaUlpSUtHYVljQkFSRVJFUlVjd3c0U0FpSWlJaW9waGh3a0ZFUkVSRVJESERoSU9JaUlpSWlHS0dDUWNSRVJFUkVjVU1FdzRpSWlJaUlvb1pKaHkwNkFLdTRNS2NTSjdsNGNHelBBRVJFUkVSellrSnh4TG03dlZNK3lORDRadG9SL01ZOXQxeUNKNGgzMW05eHh2WFdlRHU5WnpSc1RJbzhjWjFGbmo2dlpGdGdiRWc5bno1SUliMjJtWTkxdDNueGE3UE5NRFo3b3E2di9YSmJqVCtwdjJNNGdLQTVzYzZjZUR1RTJlZHRQUy9ic1h4WDdTZTNVbUlpSWlJa3BncTNnSFFtYXY3eHBGcDI4NTdhQjAwQmpWYUh1K0MxcVFGZ0VsSmgwSXBvTWxTVHp0dXRzVEVPK3lIVUVmUFRYVTVta212MzdqT2d0cDcxaUNsUUJlMWZmKy9yWkFCaVl5VjZUTytId0JBU2dTOUlTQVVmYmUrTWczSEhtcEI1aG85VEJjYVp6OVh0T09YcGFIMzFVSDA3UmhDL2lVNXM3WU5lb0x3amZpajdoTXFnY0UzUjJBMFp5SzlMQ1ZxRzEydUZrSXBUanRHSWlJaW9tVEFoR09KRzcrNTc5c3hoSTYvOUVKalVLUG41UUU0bXNZQUFQdHVPVFNwZlZwcENtcnVYajN0UEZQYlRYVG9uc1laOTEzMG1IbmVzWWI4SVhTLzBJLzA4bFFFeGdJSWpBVW03UmNxQlhRbVRkUmpwOTcwcHhYcmtGNlJpdEZqVHFSWHBFNXFxODNXUUtHWnZmTXU5eTFHOUwwMkNMODlNR3M3QUJodXNNL1ppekhiL3MwUHJJUFdPRDNKSXlJaUlqb1hNT0ZJRWdNN2g1RjNjVGJHT3Qxb2U2b2JLejViaHR5THNpUDd4enJkYVBqdU1lUnN6cHp4SE5GNkptYnFzWEQzZXFMMnNNeW01K1ZCK0d4KytHeitxTWVtRk9pdy9sdFZDTGlDOEF5R2UxdzhRejRvZFFvNDI5MVJiK3FkclM3MDdSaWF0RzNkN1ZYSVdLM0hHOWRaNW96SjNqaUc5dTA5VWZlcFVwVzQ0T0VOa2RkVGs2dWhQU05RNjFYSVdLMlBmdTRUenZDd0xTSWlJcUp6R0JPT0pPRHA5OEord29ueXF3cHg1SUZtNkt2U1lWaWxQelZNU2dJbi9yY05hVVVwTUcweHdqUGtnelpMUFcyWXowd0p4T2ttRnRGNHJUNTAvclVYbVdzTldIdmI4bkR0UkpSUlJzMlBkYUwzMWNISTYyTVB0UUFBVm42aEFnRHdsa2RxWmh5ZTVCbnlUZXFwcWIxbnphVDl6bFlYamovY2hxb2J5bUNvU3BzN2FCRituNVE4TFlyZmw0ZVEvOVQ0cnBHRERoejdlU3NxUDFFQy9mTG81MUliMUNoK1h4NlVXZzZuSWlJaW9uTVhFNDRrMFBjdkt6TFg2QkgwaEtETjFtQ3N3ejNqRUtsOVh6OE1JSHB2eHRwdlZFR1hwNTNjL3BaRFViZDcrcjJ6RHJXYVNJWWtHaDl1aDFBS1ZOMVFpckVPTjQ0KzBJeUthMHVRYmM2WTFMYnl1aEpVWGxjUzZVSForTitya0Y2UmltSExhTGoyUkFDMlEzWUlwVURHYWoxQ0FZbWVGd2VRZTdFUlFoR3VUMUdjckRlWit2bTgxbkFDbGxxb203SEdKSnFHN3g0REFIUTkxejl0WC9Oam5XaCtySFBXNHdOalFTeS92blRlNzBkRVJFU1VUSmh3SklIUkl3NFlWcVFoYTcwQm1kWDZPUXVVcHc0MWtrR0pkYmRYUVpNVnZYNGlHbTIyQnV0dXI0SU15am5mejlFOEJtZWJDNnUrVkFHdFVRTnRGbUI2aXhGSEgyeEcvaVU1V0hadENSU3EyYzloTkdmZ1BQTTZETzBld2ZIL2JVUFJaWG5JV0sySDN4N0EwSjRSZEQzZmorWC9weFRuUGJodXhuTUV2ZUVlQ29YMjlDWm4yM1QvMnNqUHZtRWZqanpRZ3J5TGpDaDRaKzZrZGdGSEFJZnZiMGEyT1FQRjc4K1BiRmZwT0JrY0VSRVJuYnVZY0NTQnNxc0tjZmovTnFIZ25iblE1V2l3Nyt1SDRSbnd6bjNnU2U1ZUR3NythT2JlaXRsNk1zdy9YSTNVNHVpek00MHpWS1ZqODRQcm9FcFZoamNJb095S1F1aVhwZUg0TDF2aGJITmh3NTBySVdaTE9pVFEvdWRlZEQ3Ymk5SVBGcUQwd3dVQUFLMVJqZlhmV1ltbTMzYmcyRU10eU4rYWcyWFhGa2N0R2crNncrdC8xTjl4ZE5aNGN5L0t4b3JQbGtWZVQ1eUpxMy9IRUlSU1lMaGhGQUZYRUlhVjZjaFltUTdQb0E5TmozVEFVSm1LeXV0S09Dc1ZFUkVSMFVsTU9KSkFaclUrUE0zcnl3T28rRmd4TnY3M3FzaDZITkhzL3VLQmFkdUVRdUF0ajlaTTJ6N2JOTGM3UDFVL2JWdjExNWREWTV6ZVV4SkpOaVl3MW1SZy9aMHJNZGJwbnBac3lKUGxFdDB2RGNEZDdVSDI1a3gwUHR1TFpSOHJSdUc3SnZjc0tGUUNLejViaHRSQ0hkcWU3b1pRQ1ZSZVZ6THQvWHdqZmtBQTVoK3VnWmloMDZIaE84ZWdTcG01UjZMc3lrS1VYVmtJWjRzTDNTLzFvK2szSFpHL2ExV2FDbGtiTXVBWjlDRWxYenZqT1lpSWlJak9KVXc0a29SeG93RURPNGRSSVFHRlJpQnFSZlljWmxxTFk3WjFPS2JLV0pVZXFaVUF3ak5HaFFKeXhzVURGV29CL2JKVDA5cGE5OW5ROTlvUVJvODdBWVRyTmJMV0dsRHdEaE9VT2dXeTFobG1QRmQyYlFhRUFzaC91eW5xZmxlUEIxcWpCcWxGTTlSdlNDRG9DMEdaT3ZscjRSdnhZK0FOS3p4V0h6d0RQcmg3UGZCYXc3Tm5HV3N5WUxvZ0M5cHNEYXdXRzdyLzNvK21SenFneVZJamM3VWVGZGNVUVozQktYR0ppSWpvM01XRUkwbG9qQnI0Ykg2TUhMVGo4SDFOcDMyOERNa1pDODNuV3h3T2hPczFaaHVlTlpQeEtXZWRiUzdJb0VUKzFoejB2RHlBNnE4dGo2eXowYkt0YTg3ekNJVkEwWHZ5cHUrUXdPaFI1NHd6U2dIaHRUNGdBVlhhNU40WVZab1N2YThOUVpPcFJscHhDckpyTXFDdlRFTmFXUW84QTE3VWZlTUlMbnJNRFAzeU5KUmZYUVJYbHh0RGUyeXdONDFCYldDeVFVUkVST2MySmh4TG5MUE5oWUE3Q090ZUd6UVphbVN1MGVPOGgwNFZUbmYvZlFDNUZ4cWh6amoxdjdwbFd4ZVV1bE0zMVpvc0RaWmZYenB0eFcxN294TUQveDVHMlpXRlVCdW0vNnIwdlRZMFk2SDVlUSt0Z3laREhabHRhanlobVBwNjhNMlJTZXRybEYxWkdHblg4L0xBcEhOT1hRZmpqZXNzcVBwTUdmSXV6c1pjUm84NTRCMzJvV3hqNFl4dEFtUGhHZzkxK29TRVE0Wm50MXA3Ni9KcDdUMEQzc2g2SVJON1hZUlN3TFFsQzZZdFdYRDNlYURRS3FDTk1zeU1pSWlJNkZ6QWhHT0pHOXByZzNXZkRhcFVKU28vV1lyK2YxdVJ2U2tUZGJjZVJzM2RxMkUvNFlTajBZbDEzMW9Cb1JSd2RibWhTbEZDazNucXlYdklGNEltUXgyK3VSN3hvL25SRHF5NXBSSk52KzJBREVwNEJyM1RFbzZBS3hnWlZyUVVkUHkxRDZvMEpiSTN6Ynp3b2Q4WlhuVmNsWDdxczRZQ29YbXRRekpibTh4cVBkWitvK28wb2lVaUlpSktIa3c0bHJqU3l3dXcvUHBTcU5LVUdObzlnclkvZGlObmN5WUNyaUNnRUZqMXBXVm8rUFpST0pyR0VIQUZJU1V3M0RDS3ptZjdVUExCOE5TdC9hOFBvVytIRmNhYURJUzhRUXczakFJSUY0QWZmYWdGQjM5d0F1WjdxcUV6YWREOHUwNTRoMzJvL0dRSmV2OHhpS0EzaEdVZkw0N25YOEdjK3Y5bHhlaFJCOHF1TEp3MVFmTFovQUFBellSaFVBcTFZbHJQQ3NiL0RwL3BROGdmd2xpbkd5a0ZPcVRrYVZGMlpTSFNTbWVmdFl1SWlJam9YTUtFWTRsVHFBVFUrdkQveHA1WEJtRzZ3RGlwd0Z0clZLUDIzbXFvVXBWby9GVTdRdjRRS2o5WmdtTS9hMFhXUmdQU1NsTFEvKzloNUw3Rk9LM09YSnV0d2ZvN1ZtRDBxQk02VTNoSWtMUGRoYUE3Q0sxUmc4cFBsT0Q0dzIzSVhLMkhjY29DZm9uQ2Z0eUo1dDkxSUswa0JjWFJhanNtY0RTTkFRQzBPVkdHUDBuQTBUb0dhOTBvQm5jT1E1V3VST25sQlVndDFLSHVHMGRRYy9jcWRML1Fqd00vT0lHMFloMU1GeHBoM0pBUi9WeEVSRVJFNXhBbUhFbGk5S2dEemxZWFZuNitBZ3ExZ0VLdHdIQ2REWmxyOVFDQXNYWVhSZzdhVWZ5K1BHVFhabUxsamVWSUswNUIvK3RXZUswKzVMOHRYTCtoMXF0SDd4M2JBQUFnQUVsRVFWUUFBZlMvYm9XaEtseGdyVE5wNE83MXdObm1nclBGaFlKTHc3TkFtUzQwWXZETkVZeDF1cEZScllkdjJBZXZOZHhMNE9uM0l1Z0tUcXR4bVBwNnZGZGgvSFVvSU9HeitUSFc1Z0lRbnNVS21MNVk0YmpHWDdXajhWZnQwN1pmOUpnWnd3MmpPUGF6VmloVGxWajlsY3BKVSsvMnZEUUE3N0FmbWd3VmxDbEtlSWQ5Nkg2aEgvcmxhWk9Hai9sRy9HaDV2QXVqUngwSXVJSXdic3pBOGsrWEltdWRZVkxjQ3JVQ0pSOHNRTUdsdWVoLzNZcmVWd2ZSL0x0T2FITTB5SzdKd0xKUFRKK21sNGlJaU9oY3dJUWpTV1NzMXFQbTd0V1Jub2lTRCthajdZL2RDRDBlWGlOQ3FBUU1LOUlqQmRZNTUyY0JBSFM1V3BSZFZSZ3BhbGFscTFCNmVRRmF0bldGWjIyYVFLRlJJSE9kQWFVZlBMV0s5dXF2TElOUWhCZkNPM0ovYzJUN2didFBURHAyYW8zRFRLOVgzbGlPNHcrM0FRRFNTbE1pNjMvVTNyUG10UDQrUEFOZUhIMndCWnBNTmRiZXRqenk5ekl1NEFxaTUrVUJ5T0RKOVVvRW9LOU13OG9ieXllMTAyU3BrYlhCZ013MWVtUnZ6b3owSnMxRWxhcEUwYnR6VWZUdVhMaTYzTEJhUnBHMTNuQmFzUk1SRVJFbEV5NkhuQURNWnJNRXBzL0NOSmVCL3d3anV5WUR5cFRwaStvdFZTRi9DTDdSQUFRQWpWRU5vVGp6WDlHUi9hUFFWNlpOS2dLZlNnWWtRdjRRaENyY0szUzZaQ0JjVkI5dFljU3pNZDZqWTdGWStCMGxJaUtpSlkwOUhFdFk3b1hHZUlldzRCUnFCWFFMVlBlUXRXSHV1aEtoRWxDcXpqeGhFeXF4NE1rR0VSRVJVVEpaR25PYUVoRVJFUkhSa3NTRWc0aUlpSWlJWW9ZSkJ4RVJFUkVSeFF3VERpSWlJaUlpaWhrbUhFUkVSRVJFRkROTU9JaUlpSWlJS0dhWWNCQVJFUkVSVWN3dzRTQWlJaUlpb3BoaHdrRkVSRVJFUkRIRGhJT0lpSWlJaUdLR0NRY1JFUkVSRWNVTUV3NGlJaUlpSW9vWkpoeEVSRVJFUkJRenFuZ0hRS2U4Y1owbDNpRVFFUkVSRVMwbzluQWtBQ25sam5qSFFJbUh2eGRFUkVSRVJBdkliRFpMczlrczR4MEhFUkVSRVMwYzluQVFFUkVSRVZITU1PRWdJaUlpSXFLWVljSkJSRVJFUkVReHc0U0RpSWlJaUloaWhna0hFUkVSRVJIRkRCTU9JaUlpSWlLS0dTWWNSRVJFUkVRVU0wdzRpSWlJaUlnb1pwaHdFQkVSRVJGUnpERGhJQ0lpSWlLaW1HSENRVVJFUkVSRU1jT0VnNGlJaUlpSVlvWUpCeEVSRVJFUnhRd1REaUlpSWlJaWloa21IRVJFUkVSRUZETk1PSWlJaUlpSUtHYVljQkFSRVJFUlVjd3c0U0FpSWlJaW9waGh3a0ZFUkVUL243MDdqNCtrclBNSC9xbStrMDVmT1RycDNKTTdrMlJtMGpNRENPaUNpSGlnb0hpd3E0TElDcnA0SU9MeTQ5Q0JGVndRQkJRRnZFQVJGUlhrV0ZoQVpCMjVCNWpNUFRrbTk5WGR1VHJwcE8ramZuOTB1aWVkUHRLWlNTYVo1UE4rdmZLYWROVlRWVTlsdXJyclc4L3pmUjRpb21YRGdJT0lpSWlJaUpZTkF3NGlJaUlpSWxvMkREaUlpSWlJaUdqWk1PQWdJaUlpSXFKbHc0Q0RpSWlJaUlpV0RRTU9JaUlpSWlKYU5ndzRpSWlJaUlobzJURGdJQ0lpSWlLaVpjT0FnNGlJaUlpSWxnMEREaUlpSWlJaVdqWU1PSWlJaUlpSWFOa3c0Q0FpSWlJaW9tWERnSU9JaUlpSWlKWU5BdzRpSWlJaUlsbzJ3a3BYZ05hbjV1Ym1Ra0VRcnBpM2VNZnN2N2ZNWFNpSzRpLzI3Tmt6ZkdKcVJrUkVSRVJMaVFFSHJZaUdoZ2FGVXFtMEFqQXNVTlF1Q0VMKzd0MjcvU2VpWGtSRVJFUzB0TmlsaWxiRW9VT0hmS0lvUHBORzBhY1piQkFSRVJHZHZCaHcwSW9SQk9HSk5JcWxVNGFJaUlpSVZpa0dITFJpdEZydFN3Qm1VaFNaZGpnY0w1Mm8raEFSRVJIUjBtUEFRU3RtNTg2ZEhnRFBKbHN2Q01Lem5aMmQzaE5ZSlNJaUlpSmFZZ3c0YUVXSm9waTB5MVFvRkdKM0tpSWlJcUtUSEFNT1dsSEJZUEI1QU80RXE5ekJZUENGRTEwZklpSWlJbHBhRERob1JlM2Z2OThKSUZGZzhmenNPaUlpSWlJNmlUSGdvTlVncnV0VW1pTllFUkVSRWRFcXg0Q0RWcHdnQ004Q21Edlhoazhta3lWTkppY2lJaUtpa3djRERscHh1M2Z2bmhKRmNlN3d0eS90MnJYTHNXSVZJaUlpSXFJbHc0Q0RWb3Nua3Z4T1JFUkVSQ2N4Qmh5MEtzamw4cWNqdjh0a3NtZFdzaTVFUkVSRXRIU0VsYTRBQWMzTnpic0VRVGhscGV0QnE0c29panYzN05sejlrclhnNGlJaU9oNHNJVmpGV0N3UVlrSWduRFdTdGVCaUlpSTZIakpWcm9DZE5TWmo1aFh1Z3EwU3J4MlNjdEtWNEdJaUlob1NiQ0ZnNGlJaUlpSWxnMEREaUlpSWlJaVdqWU1PSWlJaUlpSWFOa3c0Q0FpSWlJaW9tWERnSU9JaUlpSWlKWU5BdzRpSWlJaUlsbzJERGlJaUlpSWlHalpNT0FnSWlJaUlxSmx3NENEaUlpSWlJaVdEUU1PSWlJaUlpSmFOZ3c0aUlpSWlJaG8yVERnSUNJaUlpS2laY09BZzRpSWlJaUlsZzBERGlJaUlpSWlXallNT0lpSWlJaUlhTmt3NEtDRUJwKzF3VFBpRGI4UWdiYjd1bUhkT1piV3RzTXZqcUQxM2k2RUFtTEM5YU52Mm5Ib3JrNEV2YUdVK3hHRElpWVBUU1BnREVickVmU0UwdnFKQ0FWRStLY0RpL29SUTRuclRVUkVSRVNMSjF2cEN0RHFNN2JManQ0L0QwR1pMWWZLcUFRRVFKQUtHSHpHQ3VPWk9aREloS1RienZTNDBQUFlFSW8rYkVUQUdZaFpKMVZLQUVGQXoyT0R5Q3JMUk5BVFJOQVRqSzZYeUNTUXFhWFIxNk52MmRIeDgxNFl6OHhHelJYbDhOcjllT2ZxQTJtZHc1bVBtTVBuOHJZZEhRLzJMdUxzQWZNUDZwRlpuTEdvYllpSWlJZ29NUVljRk1NMzVVZlhvNE13TkdtUmQzcDJkSG5wSnd2UmN2MWhERHh0UWRsRmhRbTM5WTc1MFByamJvaEJFWVBQMmpENHJDMW12ZWtEZVlBSStPeCtUTmluOFBiWFk0TUhmWU1HamRkVmgxK0l3T0N6VmhTZlh3RExTeU1ZTExhaDZFTkdiTCszS1ZvKzZBNmk1ZnJEcUx0cUF6VFZXU25QNjlTZmJWcnczTjBXRC9iZjJyRmdPU0lpSWlKS0h3TU9paEtESXRydTZ3RkNJcW91TDQxWmwxR2dSTW5IQ2pEd2pCVzYyaXpvRzdVeDY1MERiaHkrcHd0eXZRek50OVpoOEg5SE1OUHJRdDFWR3lCVFN6SFQ2NEozeklmMkIzdFJjMlU1c3NveTBQYlRIalQrdjJvbzlQSzR1dGhlR1VmUUhVVFpKMDFRR1JYb2ZMZ2ZXZVdaMEcvVVJNdk05UG9CQUxxTkdzZzFxZC9LQzYwSEFQK1VkTUV5UkVSRVJMUTR6T0dnTUJIb2ZLZ2ZqaU16cVAxcU9aVFppcmdpSlJjVVFGdWJoZGFmOU1EUk1ST3p6dThJSUh1ekRwdHVxSUVzUzRiU0N3c2dWVWt3MVRZTkFCaDR4b3FlUHd6Q2ZQdEdHTS9JUm1aeEJ2TGVrNDNwYmxmY2NRTE9JSG9mSDBiSmhTWkFBQXJPeW9WK293YnREL1RDTythRDIrS0IyK0tCbzMwR2NvME1nWmxBZEpuYjRrbDRlblBYSi92eGpQcVc0QTlKUkVSRVJIT3hoWVBDd2NiRC9iQzlPbzdLTDVURXRWNUVDRklCOWQrb3dJRWZkT0RnSFoyby9HSUo4dCtiQXlEY0hlcmdIVWRnZVhrMFpwdnhkeWRqWHI5N3pjR2sxWWprWFhRL09nQjVsaFFLdlJ5Ny8vTVFtbit3RVZXWGxhTHRwejJZNlhPaDljZmRNZHZ0dnU1d3d2MmtLck9Rc2JmdHlDaFFRVjNLWEE0aUlpS2k0OEdBWTUwTHVvTm9mN0FYRTN1bVVQN1pJcGpPelV0WlhxYVdvdW1HYWh5K3B4dEhmdG1IOGQyVHFQalhZcWp5bFFDQThvdUxrTk9zVzFRZHh2ZE1vZmV4SVFEQTZCc1RHSGw5QW8zWFZVTmJyVWJJSDg0SEtidkloQzIzMU1GdERiZGdSSUtLcWRacGFDclZrQ2drY0ZzOGNZRkZKTDA5VVJBeVg4Z2ZnbXZRQTFXK0VtMC82MEZXZVNacXJpeGYxTGtRRVJFUlVTd0dIT3VjZGVjWTdQc2RxUGg4TWJMTmVuakcwdXRXMUhCdEZmcWZzbURvZVJ1MDFWa28vbWcrZEhWWnlDck5nTUlRM3gwckdhbEtncXdKUC9RTjRkeU1qRUlWOHQrWEUzMWQrRUVqN1B1bkFKaU9SZzl6SFBqdkk5aDZ4MFprbUZRSjl5L1hoZk5EUnQrWWdLWW1kV0k1RUE2b1J0K3d3elhrUWVrbkV5ZkhFeEVSRVZINkdIQ3NjMFVmem9laFNZdVpmbmZLN2s3emJibTVEaHN1TG9McDdOeG82MGJURFRVUWd5SmV2MnhQMnZzNTh4RXo5QTJhYUlDUlZaNkpvZy9uUjNNeERKdTF5RGJyNExaNElNdGNmRkszcmo0THhqT3kwZkhMUG9qQjlPYlhrS3FrTUoyVGg5eHQra1VmajRpSWlJaGlNZUFnWkJabklMTW9BN25id3pmWVlsREVtMWZ1UThYbmlsRndkbTVNV2MrSUR5M1hINFpFRVc1dWlBUWI4OVgreHdia25XWkllc3hFM1o4aVdxNVB2THpnN0Z3VWZjZ1lmUjJkb0U5SVBpK0lJQkZRYzJVNWFxNG9SeWlRZktKQi8xUUFZMi9ia1h1YUlXSENQQkVSRVJFZEd3WWNGQ1lBRW5sNDBETFBoQmNRZ1l4OFpYUlpST1FtWDZKSVBjQlorLzA5YUwrLzU1aXFNai9md2o4ZHdEdFhINFMyTnJaTFZHUkc4VVIxQ1hwRE1aTUtMc1ExNUViUFkwUElMTW1BSUQwYXdDaDA4VVAyRWhFUkVWSDZHSEJRSEVlbkV3Q2dMc3VNV3hmeWhtL3lwY3JVQVVmMXY1Y2hKMFdYSkkvVmk3MDN0NlZWSCt2L2pVR3VreUh2VkFNOEk5NmorN0I1SVVnRUtIVHhiK1BoRjBiUTk4UndXdnVmNjlDZG5UR3YwMGsySnlJaUlxTGtHSEJRbk5HMzdGQ1haaVNja0MvU2FpRE5PTDVKOHBRNWNqUmRYNDJBS3dpcFVoTFRxdUNmRHVEd2o3cFE4WVZpWkJabllQaHZJeWo5cENtbURBRFlEemlnekpGRGtNUjNxU3I2YUg3TWlGczlmeHlFcmw2RDdDMkpSOUNhNlhIaDRCMUgwSFI5ZGNKQWk0aUlpSWlPRFFNT2lqRjVlQnIyL1ZPb3ZLUWs0ZnFBTXdoQktpellwZXJJci9wdzVGZDlhUjF6NHpXVk1ZR0FQRXNHaFVHTzFudTdrWHVLSGhLNWdQeC9DZWVTS0hNVTBVREY4dElvZkE0L0R0eCtCRFZYbGtHWnAwVHpyZlVBQUlsTWdFUTJHeFNKZ0VRbVFjZlBlMUgrMlNJVWZ5US9yZzZSRmh1cFNucE15ZWxFUkVSRWxCZ0REb3B5RHJqUmZuOFBzalprb3VDczNNUmxCdDFRNWl5Y1ZMMVEwamdRenNGNDg0cTk4U3NFb09iS2N1eTdwUTNETDQyaTZySlNTR1RoVmd5SlFnSk5wUnFINysyR0lCT3c1Wlk2ZFB5aUQzdHVhRVhWWmFYSVBUWEJNUVdnOHRJU3lMSms2SDFzQ0hLMURQbi9raE5UNUdnQytvS25Sa1JFUkVTTHdJQ0RBQkd3dlRxTzd0OFBRcTZWb2Y0YmxSQ2tBbnhUZnN4MHV5RFh5Q0JSU3VDMmVtRjVhUlQ1U1lLUnVmeFRmbmhzM3BSbGdyN2tvMFpKVlJMVWY2TUNlNzdiQnNjUlozUzBySmsrRjQ3OHNnK2VVUithcnF0R1Zua21OdStveFpGZjlxSHRaejB3ZGN5ZzRsK0xJY2ppSTRleWkweFFGNnVRczFXUGtEOEU2ODV4eURLa0VDVEF5QnNUQU1EV0RTSWlJcUlseG9Cam5RdjVRdGovL1E3TTlMbVF1MTJQcXN0S0ljc0t2eTFFdjRpMm4vWWc1SjhkRFVvbUlHZTdBYVdmTUMyNDMrN2ZENkw3OTRQSFZiY01rd29Wbnl0RzU4UDl5SDlmRGh6dDArajdxd1dxUENVMjNWZ0RkV2tHZ0hCM3FMcXJOcUFuVjRHaC83WEJQK2xIM2RjckV1NHowZ0lpUUVEZjQ4TUl1c001S1lKVWdPbWNQS2lNaVlmNUpTSWlJcUpqdzRCam5aTW9KQ2o3VENHa0tnbTAxYkhEemlwekZUajkxMXNnaGtTSUlVQWlGUmJzY2lSSUJCUjlPQi9HTTdLakFVRXlZa0JFMzErSGtaRmtMZzhnUFBkR1pwRUsycG9zWkJhcEFFRkE0WG5HK0ZHeUJHRER4VVhJTEZSRkp4RmN5Q2svYVFKQ0lrUVJrQ29rQ1Z0RmlJaUlpT2o0OEE1ckZUQ2J6U0xBSVZqcHFOY3VhUUVBdExTMDhCb2xJaUtpazFycW9ZYUlpSWlJaUlpT0F3TU9JaUlpSWlKYU5ndzRpSWlJaUlobzJURGdJQ0lpSWlLaVpjT0FnNGlJaUlpSWxnMEREaUlpSWlJaVdqWU1PSWlJaUlpSWFOa3c0Q0FpSWlJaW9tWERnSU9JaUlpSWlKWU5BdzRpSWlJaUlsbzJERGlJaUlpSWlHalpNT0FnSWlJaUlxSmx3NENEaUlpSWlJaVdEUU1PSWlJaUlpSmFOcktWcmdBZDlkb2xMU3RkQlNJaUlpS2lKY1VXamxWQUZNV2RLMTBIV24zNHZpQWlJaUlpV2tKbXMxazBtODNpU3RlRGlJaUlpSllPV3ppSWlJaUlpR2paTU9BZ0lpSWlJcUpsdzRDRGlJaUlpSWlXRFFNT0lpSWlJaUphTmd3NGlJaUlpSWhvMlREZ0lDSWlJaUtpWmNPQWc0aUlpSWlJbGcwRERpSWlJaUlpV2pZTU9JaUlpSWlJYU5rdzRDQWlJaUlpb21YRGdJT0lpSWlJaUpZTkF3NGlJaUlpSWxvMkREaUlpSWlJaUdqWk1PQWdJaUlpSXFKbHc0Q0RpSWlJaUlpV0RRTU9JaUlpSWlKYU5ndzRpSWlJaUlobzJURGdXTHV5VjdvQ1JFUkVSRVFNT05ZZ2c4SHdyNXMzYis1UktwVTE2VzZUbVptNXJiS3k4aWtBbXRsRmVTYVQ2U1lBK1pFeVdWbFpqYlBMaUlpSWlJalN3b0JqRGJMYjdmOGJDb1hjMmRuWlgwaDNHNmxVV3FEVDZTNEFvQVNBckt5c2ZKUEo5SDIxV20yS2xKSEw1VnRNSnRQM2w2SEtSRVJFUkxSR3lWYTZBblRNVkdhejJaMnFnTWxrdWlsVmkwUkxTNHNHd015UzE0eUlpSWlJYUJZRGpwUGM0T0RndHljbkovOTNNZHZvZExwelNrcEtmanI3MHFoUUtMS1ZTbVV4QUdSa1pGUUZnOEhjZFBlVm1ablo3SEs1OWl6bStFUkVSRVMwZmpEZ09NbjUvZjVobjgvWE5uKzUyV3dXKy9yNkxoc2ZILzlOZ20zcUlyOFhGeGZmWURRYXZ4bDVYVjlmL3lZQWRIUjBOQzEwYktQUitOWGk0dUw3dTd1N1B6RTVPZm5VTVo4RUVSRVJFYTFaRERoT1h0NzI5dlptcDlNNXJGQW82aElWa01sa3BrVHJKaWNuWDI5dmIyOEc0Qm9jSEx4NmNIRHdhbzFHYzM1MWRmWC90TFMwNUFFWXk4ckthZ1FBdVZ4ZXJsQW9QQUFna1Vpa2tYM2s1K2QvcTZpbzZFYzJtKzF1Qmh0RVJFUkVsQXdEanBPWDZIUTY5eW9VaXJyR3hzYldSQVdLaW9wK1VGUlU5SVA1eXc4ZVBGanZkRHIzcG5PUWlvcUtKeU8vRHc0T2ZnY0FTa3BLN3N2THkvdmEwTkRRalRhYkxXNy9SRVJFUkVRUkREaldpSmFXRm1IdTYyUmRxc3htczVqRzdxS2psODIyb3V3RkFJUEI4SGtBeU0zTnZhS3ZyKytTOGZIeDN4MS96WW1JaUlob0xlT3d1QlNqdExUMHpycTZ1bmRTbGVuczdEeWJ3UVlSRVJFUnBZTXRIR3RFb3BhTHNyS3loOHZLeWg1T3RaMVdxejFQcjlkZnJOZnJ6d2NBalVienZ0SFIwUWRTYlRNOVBmM0c4ZFdXaUlpSWlOWUxCaHhyeE1HREIrdm52bTVzYkd3ZEdocTZ3VzYzUHpsLytkelh1Ym01WDFHcjFkdGNMdGR1clZaNzNxRkRoMDdGbktSeElpSWlJcUxqd1lCampVZzBORzRnRUxBa1dqNlgxV3E5eXVWeVdUUWF6VWUxV3UxNXgzRG9EQUFwSnlBa0lpSWlvdldMQWNjYWNheGRxbHd1MS9EeEhMZTR1UGgybVV5bTcrM3R2ZlI0OWtORVJFUkVheE1EampYaVdMdFVwVWt3R28xZkJhQ2F2MEl1bHhkSUpKSzQ1VVJFUkVSRUFBT09rNTdQNTdQMDkvZC9PZDB1VmJObExRdnRWeFJGQVFBVUNrVmpVVkhSVDFVcVZaM05acnQ3ZmptbFVybGhlbnI2MWVNNUJ5SWlJaUphdXpnczdzbHZhbXhzN0ZmcEZwNHRPelZuVVZaR1JrYXhXcTJPdEpBNEFVQ3BWTllCUUhsNStjTXVsMnYzL3YzN3E5MXVkd3NBWkdkbmYwYWhVTlRwOWZvTE1qSXltbDB1MTd0TGRDNUVSRVJFdE1hd2hXT2QwK3YxNTFSVVZEd0ZRQndiRy9zRmppYUFhOTF1OS83Ky92N1BPNTNPQXdEZ2NEaGVucHljZkxLc3JPeFJRUkRrb2lqNnA2YW1uclhiN1UrczJBa1FFUkVSRWRHSlp6S1piczNNekd4T282Z01RQzdDbzAwbFduZkNtTTFtTWMyWjBJbUlpSWpvSk1FV2pqWEtZckhjbEdiUkFJQ3hGT3VJaUlpSWlJNlpzTklWb1BXcHFhbkpJSlBKdHM1ZEpnakNTd0FnaXVLNWM1Y0hBb0hkQnc0Y3NKL0kraEVSRVJIUjBtQUxCNjBJaFVJUkVrWHhPUUNLK2VzaWdjY3NuMEtoTUo2NG1oRVJFUkhSVXVJb1ZiUWlkdS9lUFFYZ2Iya1VmWEcyTEJFUkVSR2RoQmh3MEVwYWNIUXJRUkE0QWhZUkVSSFJTWXdCQjYwWXBWTDVERklucGdkOFB0OHpKNm8rUkVSRVJMVDBHSERRaW5uenpUY25SRkg4UjRvaS84ZGtjU0lpSXFLVEd3TU9XbEVMZEpsaWR5b2lJaUtpa3h3RERscFJjcm44S1FDSkp2c0xCUUtCcDA1MGZZaUlpSWhvYVRIZ29CVzFhOWN1RzRCWEU2eDZkZi8rL1NNbnVqNUVSRVJFdExRWWNOQ0tTOVN0U2hSRmRxY2lJaUlpV2dNWWNOQ0s4L3Y5ZjUyL0xCUUt4UzBqSWlJaW9wTVBBdzVhY2Z2Mzd4OEVzR3ZPb3JmMjdkczN0RkwxSVNJaUlxS2x3NENEVm90b0Z5cE85a2RFUkVTMGRqRGdvRlZCS3BWR2d3eS8zOCtBZzRpSWlJaUlsdGJXclZ2M21NM21scFd1QnhFUkVSRXRIZGxLVjRBb1FoVEZ4NUY0VGc0aUlpSWlPa2tKSzEwQkFwcWJtM2NKZ25ES1N0ZURWaGRSRkhmdTJiUG43Sld1QjhYak5VdUo4SnBkT2J3bUtSRmVrNnNIY3poV0FYNUlVaUtDSUp5MTBuV2d4SGpOVWlLOFpsY09yMGxLaE5mazZzRXVWYXZJbVkrWVY3b0t0RXE4ZGdsVFdVNEd2R1lwZ3RmczZzQnJraUo0VGE0dWJPRWdJaUlpSXFKbHc0Q0RpSWlJaUlpV0RRTU9JbHBRVmxaV1kzRng4WjFJTU5CRWMzTnpJQzh2NzJ0emw1bk5aakUzTi9jckMrMVhyVlp2S2lvcXVnMkFmT2xxUzBSRVJLc0pBdzRpV3BBZ0NJYTh2THh2NWVmblg3ZVUrMVVxbGJXNXViblhWRlJVUExLVSs2WEZFWVByWXpUcVVHQjluQ2NSMFdyRGdJT0lGalE5UGYycTFXcTl1YkN3OFB1Wm1abmJsMnEvRXhNVGYrbnY3LytNWHEvL2JGNWUzbFZMdGQrVFhjQVpQS0hINjNsc0NJZnU3RHptV1hEY0ZrL2NqeGdLNzJ5Nnk0bDNyemtJejVqdnVPcjQyaVV0Y0ZzOHg3eDl5QmZDL3Y5cXg1RmY5UjFYUFlpSWFQRTRTaFVScGNWaXNkeXUwK2srb2RmclArcHl1VnJOWnZOMFpGMUpTY2w5SlNVbDk4MHRYMXBhK2tCcGFla0RBTkRTMG1JQU1KbG92M2E3L1g4eU16UHZMaW9xdW4xbVp1WXB0OXM5dEt3bnNvbzQrOTNvZkxnZlZWOHFoYm9rQXdEUWZuOFAvSTRBR3Y5ZmRjcnQ5dHpVZXN6SG5UdVNqMi9TRCtzL3hsRDJTUk1nQUYyUERNRHk5OUdVMnpmZldnOTFhVWIwOWU3ckRzZVZPZVcrSmlpMGNuVC9maERLUENVQXhBUWRFcWtBaFNHK0oxMnF3TVE3NFljZ1QveWNUSldyU0Y1aEVlajRaUitjQTI2VWY2WXdlVGtpSWxvV0REaUlLRjJCdHJhMjl3SndBUkFPSGp4WUR3Q05qWTJIckZicmJXTmpZMytJRkd4c2JHd2RIaDYrZVdKaTRrK3ppeHlwZGp3NU9mbTcvUHo4Ynh1Tnh2L3U2K3U3Wk5uT1lKWHAvY3N3UENOZXFQS08zaXhuYjlHaC9jRmVPSTdNUUZ1ZGxYQzdqRUlWdHQ2eGNkSEhzNzAyZ2NIL3NjWXM2My9LQWxXZUFvWG5HUUVBcFJjVXdIUk9IbHF1UDR6S1MwcWdiOUJFeTFwZUhvUDEvMFlUQmdwYjc5aUlESk1LMXAxajZIL1NBb1ZXanVHL2pXQzYwd2tBZVBlYWd6SGwxYVVaYUw2MVBtNC84OHZOZGZDT0kwblhwUm9PdGV0M0F4aDcyNDdhcjVSRDM2aU5XV2Q1ZVJSNXAyVkRwcFltM1o2SWlJNFBBdzRpV2d6WDdMK2l6K2RyaXl6MCsvMjJ1YThCSUJBSXhDMUxScTFXbndzQU9UazVuN05ZTExmN2ZMNzRSK1pyakgzZkZPejdwbER4K1dKSVZVZHZkbk5QTTZEL2FTdTZmanVBTGJmVVFaREc1ZWxESWhPUVlWSXQrcGdLYmV4SHZuUEFEZHMveDlGNFhUVUVpWUJEZDNYQ2VFWU9jay9SaDhzYjVOSGppRUVSNDdzbllUd3pCM0pOOHErT2tkY25rUC9lSERnSDNPajkweEJxcmlpRDhjeWNtR1B1M2RHRzNPMzZwUHVJQkM5enZYWkpTOExsYm9zbllRdExSUGZ2QjJGNWVSVFZsNWNoN3ozWk1ldDhrMzRNUEdXRjlSOWphTHl1T3VWNUVSSFJzZU9uS3hHbGxKK2ZmM1ZSVWRFOWtkY3RMUzN6NzRBRlFSQ09LeHMzT3p2N1V6TXpNNjhyRklyQ3dzTENHM3Q3ZXo5M1BQdGI3UUxPQUk3OHVoOVo1Wmt3blpNWHMwNlFDS2o2WWdrTzNINEVQWDhZUk1VWFNtSzNkUVhobi9JditwanpiOVRGb0lqT2gvcVIvOTRjNk9xeU1QcW1IWk9IcGxIMnFVS0lzLytiWXVobytiRjNKdUdkOEtIb3c4YWt4L0RZdkhCMHpLRDgwNFU0Zkc4WE5OVlowTlpwam5hVEVvR09uL2RDWFpTQnZQZGt3elBtZzlJZ2p3dXFrZ1VRcVFLTCtjU2dpTTdmOUdQazFRblVYRkVPNHhuWmNXVVVlamthcjYvR2dkczZjT0MyRGpSZVY1Mnc5WWFJaUk0UEF3NGlTc2xtcy8zV2JyZS9vTmZyUDFKY1hQeWplYXNsQUlSUUtCUkt0RzA2RkFyRnhzek16Rk1IQndldkVrVlJVbHhjZksvRll0bmg5WG83ajYvbXE1TVlGTkYrZnk4Q000Rnd5MEtDRmd4ZHZRYkZIeTNBNExOV0tBd0tGSitmSDEwMzlyWWRuUS8xTC9xNDg3c2NEVDF2dzNTM0U3cU5HdlQvMVFMYksyTW9QajhmV2VXWkNIckNTZXVPanBsb1M4VFFDelprYjlHbGJGbXgvbk1jK28wYUJEMGhLSE1VY1BhN2szYVJldmZhUXdBU3QyWTBYbGNOVmI0eXR2dzFCeE11OTlpOGNWMnQvSTVBdUZ0YXh3enFyNjVBOWhaZGRKMFlFaEh5aFJEeWhoRDBpWUFJbEgycUVKMi82Y2VCMjQ5ZzB3M1ZrT3NZZEJBUkxTVUdIRVMwRUx2UDU3UDcvZjR0a1FWbXN6bW1SV051Z25paVpXTmpZNy90NysvL1lxS2RtMHltYjRkQ0llZkl5TWdmQVBoTUp0UDNDZ29LZHZUMTlYMWg2VTlsNVhYK3BoLzJBdzVVZmFrVW1VWEpiOTdMUDEwSXQ5V0QzajhQd1Q4ZFFQbG5DeUZJQkJTY2xZdUNzM0tQdXg0WmhSbklPeTBib2orRWtWMVRrS2xsS0wzQUJBQUllY1B4NDlqYmRsVDhXekVnQURQZDRkNTByMTNTQWdDby9uSVo4dCtiRTdQUHFjUFQwTmFvWWRpa2hiNUJrekNZbWl1eXJ3Z3hLS0xwK21vb0RDa1N3T2RSNWlqUWRIMDF4S0FJUVNyQVovZGo5M1dIRWZRRUljMlFvdXVSQVJ6NVZSOUMvbkNna1dvSVlMZkZnNE0vN0VUVERkV1FxZm4xU0VTMFZQaUpTa1NMRmtrWTEyZzAyOHZLeWg3cDZ1cjZ0TnZ0amo3S25wODA3dlA1cGhMdFI2VlNWV1JuWjM5aGJHenM1NWdkeGNwcXRmNnd1TGo0aDZPam8vZTRYSzZXUk51ZGpNU1FpSzdmRE1EMnozRVVmY2dZRXpTTXZtV0hWQ1ZCOW1iZDBha1ZCYUR1cWcxb3Y3OG4zQnJSNlVUMWw4dVFVUkIrd3A5TzF5cTVUZzVaWnVKazZCeXpEamxtSGFaYXAyRjVlUXliYjY2RklBc2ZQT0FPQnh5K1NUL3NCeHd3Yk5KR2s5U2RBMjYwL2JRSHlwejRvS0RzMDRVNDlLTk9tRDVvaENwWGdYZXZQUVRQaURmdHY1SGI0c0dCLzA2ZUdKNHFhZHo4ZzNwa0ZtZEFZWkFqOXhROXhKQUltVm9HV2FZVVVwVUVVcFUwL0pNaGdWUXBnVVE1dTB4NTlQVlUyd3hhNysxR3p4K0hVUDN2WlduWG00aUlVbVBBUVVTTEZra0dsOHZsbnhWRjBUODFOZlUvQUdMdUxOTkpHaThxS3JwUEZFWC93TURBRHlMTFJrWkdmbW8wR3I5UldscjZZRnRiMjJrQWpybTcxbW95OExRVjFwMWpLRGc3Rnh2K3RUaTZQT0FNb3V1My9WRG81VEEwYVdOYUJRU3BnTHF2VmFEM0w4TVlmTTZLeVVNT1pCU0VjejdTNlZwVjlhWFNsSzBodmlrLzJoL3NSZG1uVE5GaGVRSEE3d2dITXRtYmRSaDZZUVNHVGRwb3R5ZnJQOGFnTU1paHI5ZkU3VS9mb0lHbVFnM0wzMGF3NGQrS3NlV1d1dWg4SEluc3VtcC8zREpCSXVDTTN6VEhMVStXTkE0QXIzOXhUOHpyWXcwV0RFMWFiTjVSaTh6Q3hTZmtFeEZSY2d3NGlPaFlxZkx5OHE2WW1wcDZGdk9DalhUazV1Yit1MDZuKzhqdzhQQjFBQ3h6Vm5rR0JnYXVxYXlzL0l2SlpMckJZckhjdW1RMVhrRkZIOG1IWENPRDZRT3hTZUlEVDFzUWNBWlIvNDJLeEYyUUJLRDhNNFhJTzgwUU0vZEZSTExoWU9kM1Y1b3Y2QTNoOEYxZEVBTWlRbjRSblEvM3d6dm1RNUpGaFBJQUFDQUFTVVJCVk1rRkJmQ08rUUFCS0wzUWhMMjN0R0c2MHdsTmxSb0JWeEMyVjhaUjlPSDhveTB4ODJSdjBXTGs5UWxzRUFHSlFrRFNnaWtrbTRzajFUd2M4OW4zTzNEb3JzV2xBVFZjV3dYREp1M0NCWW1JYUZFWWNCRFJNU2t0TGYySlhDNDNqWTZPems4a1gxQkdSc1pweGNYRlAzRTZuVzlhcmRhNzU2K2ZtcHA2ZkhKeThxbUNnb0tiblU3bnV3Nkg0NFdscWZYS2tTb2xjY0dHYTlpRDRaZEdZVHd6QjdvNUxRWUJaeUF1aHlCUnNIRThCS2tBejZnWENvTWNNejB1cUl4S1pEZnJrRm1vd3NSZUIxUTVDbVJWWkNLN1dZZXVSd2V3K1h1MUdIZ3FIQmVhUHBDODFVU1JyWWgyeFZyc0RUOFE3bnFXTE5FOFZaZXFaRForcXpMYURTMFp0OVdMdy9kMExYcmZSRVNVSGdZY1JMTWlTYWVVV0dabTVyYklyd1VGQlZmbDV1WisyV2F6M1QwOVBmMzZJdmZUWEZWVjlWd3dHSnpxNysvL0RJQkFvbkxkM2QxZmJteHMzRjFSVWZHWHpzN09qOC9NelB6amVNOWhWUkdCcm9mN0ljdVNvZUp6UmRIRmppTXpPSGhISnhxL1V3VnRiZUtKLzVhQ1JDYmd0QWMySjJ5QW1Eem9nR1oyMHNIeXp4Umh6NDJ0YUgrZ0YrUHZUS0w4NHFLRUNkVXp2UzRFM0VHTXZ6TUpoVTRPL1VZTlRybXZLYnArNlBrUkdFL1BobHgzZE52dVJ3ZGo1aUJSR0JTb3Vxd1VCV2ZIQmpTT0l6TVllWFVDWlo4cWhGd2JmK3h3TjYvRWllYXFQTVdDYzVha1NpUW5PdUVpYjBkK0hkRWFrbDdiTkswTklpQUdSQVE5SWZpbkEvQk8rT0FhOW1DNjI0bkpROU1ZZTlzTzZ6L0dNUEMwQlYyL0hjQ1JYL2FkMExyMS9IRUlReStNSFBldXJEdkgwSFpmTjZhN25XbHZNOVUyZzExZlB3RDd2b1M1emV0ZVRrN09wZm41K2QveSsvMURwYVdsUDdKYXJROE1EQXg4YzJobzZOcEU1YWVtcHA3MitYdzk4NWNiRElhUDFkVFV2Q0lJZ3REZDNYMmUyKzBlVEhIWXNlN3U3Z3RGVVF4VlYxZS9ZRFFhdjQwMTlKQmsrS1VSVExYUG9QcExwVEUzOE5xcUxHZzJaS0x0Wnozd094TEdZakhjRmsvQ243VE0zdEQ0cC93WWZXTUNSMzdWQjQvTmk1bGVWM1FvMmN4Q0ZZclB6OGZZTGpzeVRFb1VmakF2NGE3RzNwbkV2cHZiTWRVNmpaSUxUTEM5T2c1QklxRGx1c01RL1NJY0hUUG8rbTAvNUZreUtIUnlCS1lEa0dWSW9kQWZIWUkyNUF0Qm9aTURZcmo3MU9HN3c2ME9uUS8xWTZwdEdwN1IrSjU3QVZjUTNuRWZwQ3ArbmRIaUpicDJJbmxIMDExT3ZIdk53YVJkL05MMTJpVXQ2VitUSXRENmsyNjAzdGVOa0cvbDA5ZENBUkV0MXgvR1RLOHJ1aXpnQ3NhY2ozMi9BNjlkMGdMLzlOSFBLNDl0MGIxc2FZMWJNMS9lbE56clg5d0RVUlNQUGpWSlFDS1h6STdrSW9FMFF3cFpadmpIUCtXUGpra3ZCa1c4ZnRrZXlOUlNRRWo5NkVVTWlwQ3BwZGgrZDJONmxSU0FVQ0NFbmo4T0lyTklCVVBUc2ZXam50Z3poYTdmREFBQzRKc01vUEg2YWtoa0N6OG15dHFRQ1VFcW9QUGhmbXk5c3dHU09mM0VSOSt5by8zK3VIdm5wTW10YTAxV1Z0YjdTa3RMZnpFME5QVGQ2ZW5wRjZxcnEzZks1ZkxTaVltSkI5VnFkV01nRVBBS2d1Q1RTQ1ErbDh2bEJ5QWJHaHI2cGlpS3lxeXNyTVpRS0tRTUJBSnVuVTUzVGtsSnlVLzhmdjl3ZDNmM2g1eE81NEdGanUxeXVmWjBkSFI4cUxxNit0bmk0dUs3cEZLcHltS3gzSFlDVG50WnpmUzUwUHZZRUFyT3lrVjJzeTUycFFEVVhGbU9saHRhMGZIelhqUmNXNVh5U2VkaUpzT2JhNnAxR21OdlQyS3FiUnF1SVErVTJYTG9HN1VZZk00R21WcUtiSE80WHY0cFA4YmZtUVFRN2dKbWVYa01oZWZHQngybG56Q2g2ckpTeU5SU2pPMnlvL2ZQUThqZHJrZkFGUVFrNGVUM3ZkOXR4WFNuRXdGWEVLSUlUT3lkd3NBelZwUmNVQUFBc0wweUJ1dk9jV1EzNnhEeUJqR3hOL3dBb09IYUtyVGUxNDBEdDNYQWZFY0RWSGtLZFAxMkFONEpIeW92TFlIbDVWRUV2U0ZVZks0NHJsNUVxU1M2Zms2NXJ3a0tyUnpkdngrRU1pL2NIVzl1MENHUkNna25pRXdWbUtUS1AxTGx6bW1kRXdEam1kbG8vMWtQRHZ6Z0NCcXVyWVIzd284OU43V21kVDVuUG1KR0tDRENONWw0Qkx1ZVJ3Y3czckx3ZzdWSWJwaDl2d1BlTVY5TXQ4VGVQdzFoWXU4VU51K29oVEk3dm1YUmJmRmd6M2ZiVUhWWktZeG5aQ1BrVHh3NGRUODZDT3MveHRJNXJhUzVhblR5WU1DeERvZ2hFY1huNXlQM0ZBTWtNZ0dDVEFLSlhJQkVJWUVZRURIVk9nMTlvelpoVjRWRVpHclpnbDJQUXQ1Z3d1V3BodklzT0NzWEUzdW1NUHJtUk93SDhCeXFQR1YwNk03NUp2Wk9vZTJuUGRBM2FsQjJVU0VPM0g0RUhUL3ZSZTFYeWhQV2QzNWRjcmJxRUpnT2hCTm1FNGdNQ3dvQWZZOFBwL1dodlJZSWdxQjFPQnd2Mld5Mi93WWd0clcxYlRlWlREdUtpNHQvS1pQSmNnVkJTRHp1Nmh3akl5TS9IQndjL0ZGV1Z0YVpQVDA5M3dSZ1RmZjRicmY3elk2T2ptMjV1Ym5mdEZnc2R4ekxPVFEzTnhmNmZMNnhRNGNPSGQranlpWGdISENqOVo0dXFQS1ZLUDlzRVFLdUlFTGVFRUsrRUlLUkNlazhRUmcyYXpHMnk0NmhGMGRROUtIa3Mzc3Y1b3M0NUF0Rmd4ZTN4UXZYa0J2R00zT1F2Vm1Mek9JTXpQUzRzTytXZHBSY1VBQ3BVaEt0cTk4WnhLYWJhakQ0ckEzZHZ4dkFUTGNURlY4b2lSbHlWeUlUSU5lRVAwT0dYeHBGM21uWk1UZFl5bXc1dHQ3WkFGbW1GRWQrMlllUVA0VEtTMHZROXRNZUdMWm9vUzdKZ08zVmlmQ000UE11VjJXT0FwdHVyTUZVNnd4VWVlSFBocGsrRjRMdUlKVFpDbFIrb1FUdEQvWkNYNitKQmtvUkFWY3c1c2xySWdGWDRzOHJXbHFyNlRxY0t6TDZtWFhuR1BxZnRFQ2hsV1A0YnlPWTdneTNrcy9QS1ZLWFpxRDUxdnE0L1NUTFBRSlM1eC9OdjRaenR1cFJmM1VsV3UvdFF2L1RWcFIvdGlqbSt5ZVI4VDFUNkgxc0NBRGc3SFZoMzMrMUp5eDN5bytiVVA3WjhQczk1QmV4NytZMkZIN0lHRGVuVG9UdG4yUFFOMnJocy9zQmhMOHZ5ejlUQ0VkSGVBanBUZCt0aVNrZjlJYlE5dE1lWkJhcW9wT0d2bkg1M29UNzNuNTNZOHhuMjhnYmRndzhiY0dtbTJxaW55VzBkdkIvZEoxUTVTcVJWWjRadDl4dDhhRDl3VjQwWFY4Tm5UWittTXRFR3I5VEZUZmI3M3oyL1E1MC9pWit5TTZ4dCt3Smw4ODE4dG9FUmw2YlNMZ3VNdGIrZkphWFI5SDk2Q0IwOVJyVWY2TUNFb1VFRzYrdXdLRWZkZUh3UFYybysxcEZYSmVMOGQyVENidU5qYzArelkyby9ZOE5BQkR0Qng3MEJHRS9NSDNNclRBbm0rbnA2V2VucDZmL2lkazJNcS9YMjk3YjIvdHZjNHBJQUNnQnlHZC9Ja1FjYlZlYkFlRHY2ZW41N0xIVXdlUHg5QXdPRGw1OUxOc0NnQ0FJVnlpVnltODBOemMvSXdqQ0UxcXQ5cVdkTzNlbTJjZGg2ZmltL05pN293MWlRQVRneDF0ZjNaZXduRVFtaEZzYXMyVG8rL01RREUzYXVFa0NzN2ZvMEhSOWRkSmplV3hlT0xxYzRUa21aQUtDM2hDcy94eUhjamJYb2VEOXVTaDQvOUZjaVlBemlQWUhlcURNa2FQb1EwWU12emlDM2o4UFE1WWx4YVliYTZBdXpVRDlOOVhvZm5RUWxwZEhNWGxvR3BXWGxpQm5xejdtdUZPdDA1anBjYUgycXh2Q0R6YmtFa3pzbm9TK01mejU0dXh6d1g3QWdlTHo4NUd6VlkvYXI1UkRYWndCMnl2ajhJNzdvbldTYTJTQUFOaGVHWWUyV2cwZ25JL2h0bmd3MCt2Q1RMY0xwdG1XbHJ6VHN6SDZsaDNPQVhkY3dMSC8xbzZGL2x2b0JGa3QxMkV5STY5UElQKzlPWEFPdU5IN3B5SFVYRkVHNDVsSGI4U2RBMjdzM2RFV3ZaRk9KTkhRemNtR2RIWmJQSEV0TEx1dk80enl6eFFpWjZzZW03NVhDM1ZKQmdTcEVOMDJNQlBBTzk4NmlPMzNORUtXZGZRV1R0Rnp0TXVUcGxLTjAzOGRucWYxamN2M291cUxwVEMrTnhzQVpsdnZ3eC9URXkxVENBVkU1TDgzSjJHZWs5dnFEYmN5aXVIdnk0anQ5emFoN3VzVjJMZWpEUk43SFpBcWozNjM5djU1Q0VGM0VKdDIxRUtpQ0MvZk50dlRZZnh0TzNvZUc0cStWdVlvWWg0dUJHWUNVQmprME5Zc1grNGFyUndHSE90SXFtRXlrMDIybGVoRGN0OS90UU9TQmJwVUJVS1FaaVIvOEQzL2ljNU1qd3VlTVI5eXR1b2dKTmozVk90MHdqb0dYRUYwL1hZQW8yOU9JUDk5T2FpNnJEVGFtcUdyMTZEcCttb2N2cnNMKzI1cFE4MlY1VEZCVi81N2M2RFF5dUFaOFVWdlhDSjYvakNJckFvMThrNHpZUFF0ZTh3NjJ5dmpDSHFDS0xtd0lPWGZZSTJaVHJFdUJNQTkrN09hR1FSQnVCVEFwUTZIWTlwc05qOG5pdUlUd1dEdytmMzc5NmVmOEhNY0ZEbzVTaTh3SWVnTlFwV3JoQ3hMR3A2Y1RuMjBHNk0wUXhwOUQwZG16ZTU3ZkJqMTM2eUkzWmRlSHBQL01GL0FGVVRIZzcweHl5UUtDYW92TDAxWTNtM3pJT0FPWWVNM0srQWE4cURuc1NGa2I5R2g2a3VsMGFlTmdsUkE1YVVsME5WbG9mZng0WVR6VmVqcU5XaSt0VDdhRWxGeVFRRjYvenlFME8vRHNhY2dFNkN0eVlvK1VjMDkxUUFBVUJtVktQdDBZYlNMaGl4TGh0SlBtTkQ5NkNDQ250Z1dDSWxDQW4yVEZxVVhITDBHNjYrdWlQbnNrS29reURDcFVIdGxPWlI1cVdjdTk0NzYwUDd6WHVhQm5CZ3JmaDBtNHJGNTRlaVlRZm1uQzNINDNpNW9xck9ncmRNYzdTWWxBaDAvNzRXNktBTjU3OG1HWjh3SHBVRWUxM3Flckl0anVsMGYzUlpQdE1VdDBVTkNVUXkzSW9pcHhqa1FFTk10R0pKNXIyZU52VzFIWm5GRzBrRVZCcDZ4SXYrOU9Vbm10UW0zV0NyMGN0ajNPNkpMU3k4MG9laUR4bkF1MXF4SWp3WFo3T2RJNUxVWUV1R3hIczMxbU81eElxTkFGWmZ2b3N4UlJJTVhPbmt4NEZoSEVqWEpla1o5T0hSWEoycXVLSWVtTXY3RFRaVVgzNUt4K1h1MXg5ekNrVXp2bjRmZ0dmVWhaOTdUeVZUR2R0blIvWWRCQkYxQlZGOWVodngvaVc4UzFsU3FzWGxITGRwKzFvTjl0N1NqOER3amlqK2FINzJCa2lnazZIcDBBREtOREhtbmhXOThKdlpNWWVpRkVUVCtaMVhjL3NTUWlPRVhSNUN6VlE5TmhUcnR1dEtxb3dGd3NTQUlGOHRrTXJmWmJINEJ3Qk9DSUR5N2UvZnVaZTByVjNKQitvR3F3aURIeG05VklHdEQvTFc1RUhWWkJyYmYyeGdlTEVJTXAxM0pkZktrT1UyYUNqVzIzZFVRZlZxNTlZY04wYUJodnR4VERjZzl4UkI5T2xuemxmS1k0R2R1YTB6Snh3dFE4dkdGejFtL1VRUDl4dGhXMXRJTFRTaTkwTFRndGdEaUhsUm9hN0lXN0lZU0lkZkkwaTVMUzJyRnJzUDVyUDhjaDM2akJrRlBDTW9jQlp6OTdxUmRwTjY5OWhDQXhBL2tHcStyanZ0K2ZQZWFnd21YZTJ6ZWxGMnRmQW02SHdkbXdzR0kzeEdJSnJkTGxRdjJhbzBUZEFjeDNqS1Y5TUZaMEJ2QytPNUoxSCt6SWlZQVVPWXE0QjN6SlF5ZzVrL2ttV3lpenVpNU9JTUo5ek4vMmFhYmF0anFzUVl3NEZoSFVsMzR5aHg1MHZWN2JteUZaeVQ4RkVLUUNHaTVzWFdobkhHSVlqaHgvTTB2aC90dTFuMjlBb1pOV3VTZmxSTnQybzF3SEpuQjVLRnAxRnlST05jQ0FIUjFHcHorNnkyUXlDUndISEdpOTdFaE9JN01RTitnUWRWbHBWQVprd2RBS3FNU203OVhpLzRuTFJoOHpnYnJ5NlBZOEcvRktEZzdGN3A2RFFyUE5XS3FkUnA1cHhuZ24vTGp5Sy83WURvM0QvckcrQzVUWTI5UHdqdmhSOE4zaWhJY2lVNVNHUUErQWVBVG9pajZtcHViL3c3Z0NibGMvdlRiYjc4OXZzSjFpNW1mWXpFRWlaQXdvVE9WdVYwamtnVWJSdzl3OUZmajZkbkp5eEdsWjBXdnc2bkQwOURXcUdIWXBJVytRYk5nbnVMOEhnTmlVRVRUOWRWSmgyZE9SSm1qUU5QMTFVbUhaSC83NjhuSDFXaTUvdWhOZWVrblRESEJqRy9LSDdOdDUwUDk2SHlvSHhLWmdOTWZDZzkwWXYzbk9NU2dpS0huYkZEbEtDRElCT1NZOWRIcldxcVVvUGJLY2h5OFBUWWcybkpMWGJRbE1GV1F2cGpCTERaZVV4a2RGVzh1ajgyTGQ3OXpLTzM5ME9yR2dHTzlpQ2FLeGpaVmVrYkR6Y1hlY1gvY3VrZ0EwbnhiZkhMY3NRZzRnL0E3NHAvWTlQMWxHQXFESEZrYk10TWFPakF3SFlCdnlvKzZyMjJBNDRneityUXBIZHZ1YkVEdlg0YWhyY21LKzhLWU8xcUc1YVZSV0Y0YUJRQlVmZkZvRnhTL3d3K0l3RlRiOUlLVGlTMEZzOW5NQ1FKT0xJVWdDQjhCOEpGQUlQQnJzOW44ZDFFVW4xQW9GRS91MnJYTHR0S1ZvOVdQMSt5U09PSFhZZG1uQzNIb1I1MHdmZEFJVmE0QzcxNTdLUHFnTFIxdWl5ZHAxMlFnZGRKNHN0ekUweDdjSFBOYURJbzRlTWNST1B2ZDJIWlhRelNIUXlJWFluSVA1N2JZN2I3dU1Nb3VLa1R1S2ZybzZKSmlTSVRsYnlNd25wRU42ODR4dUN3ZUREMW5ROG1GSmhSL05EKzZuMnl6RG1jK1lvN0xRWWw4VHk4MHY4MWkrYWI4MlAvOUR0UmNXUjdOMjZLMWd3SEhHaGRwY28xME4wajIxS0hqRjcxeHkrYm5XVVFTM09ZbXFnSGhSQzlacGpRMnJ5TWtJdUFLeHV4ajVMVnhkUDgrK2JRTGM1L1lwSExtSStid1VLSkN1T1hEOVA3WVNjSnNyNHhqOERsYndxY3ZxbndsNnI0V1RnSlB0d3ZGM1BISEN6OW9CRVNnOCtGK0tMTVZNR3hhSDRuajY1VW9pcUlnQ0x5QkpGcEJKK0k2MURkb29LbFF3L0szRVd6NHQySnN1YVV1K3YyWnlQenVRMER5b2RLVEpZMEQ0V0hyazVrN0Nod1FucXNxRWdSRmhxOVBSSkFJTWNlUzYyUXhyMGRlbllCbjNJZkM4NHl3N2h5RE1rZUI4czhVb2ZzUGc5QTNhQkxtamlTUzl0d2lhUktEZ0dmRXV5cm1INkdseDRCampRdjV3eCtZRXNYUllLRDZ5MlhSaEUweEpNSS9IWUE4NitoUXQ3Wlh4MU5PK25mYS9adGlYcjkyU1FzMjc2aU4rVUJMTlBwRzRYbEdGSjUzZEFpOGdET0EzZjk1R0liTk90UmNFWitVTnZDMEJRTlBXN0g5eDAzeFErVE5ubzVjSzRzYnpqZFNkcUduTCtrK25abnBpODJGTGp6UENFZW5FMTJQREdEYm5RM0xPaHRzUzBzTDU1cGRBbWF6K1dZQU85SW82Z1B3RW9BblpETFpNNnVoU3hXZFhIak5KcmZhcjhQc0xWcU12RDZCRFdMa08zUHgvNVhKNXVKSU5ROUhPcXc3eHpEMGdnMDFYeTVQK0lBd1hVRlBFTDJQRHlQdk5FTk1ycFhwQTNrWWUzY1M3US8wb3ZuN2RaQW9KREVCUmFRM0JBQ0lzL0hBc2M0QlJPc1RBNDQxTGpnNzJrV3lKeUhlQ1QvZXZlWWdtbTZzZ2E0MnZhU3NSQjh5aCs3cWhDQTcrbUVxQmhaK1F0SHoyQkRFb0lnTkY4Zm5RL2luQXhoNmNSVEdNM09XZFR6dVZDTjNBY25uT0NqK2NENzIzdHlHbVY3WE1TWDAwcXJpQnZDOElBaFB5R1N5WjNmdDJ1VlljQXNpV21vcmZoMHFzaFh3VGZwaFArREFvYnM2RjcyOUdCS1RKcHFuNmxLMWtQRjNKOUgxbXdHVWZLd0FoczJMYjFVUGVrS1kyRHNGdDlVTC82UWZBV2NBWlo4c2pDMGtBTldYbDZMbCtsYjAvbVVZRlo4cmp2bXVuL3YzaUF6SG5Xb09vSVcrV3hPSnRHeWtNMWt2blh3WWNLeHhYbnY0cVVTeVJEWnhkZ1pReVFJSmNuUE43NHIwMmlVdGFMaTJhc0VXanJsOGsvN29HT0Q5VDF0UWVLNHhtaE1oaGtSMC9Md1hBRkI2VWVvUmFsSjlxQ1ZhcHpJcXNlMnVocGhsRGRkV3hTWElSa2J2U2tZMVcxZXYzWStzRFNtclNLdlR0Q0FJejRaQ29TZUN3ZUFMS3prYzU4a2ljazNQdmNrUVF5TGUrZFpCYk41UkIyVjI3QkM5UVU4UVV0WGlSOCtoZFdWVlhJY3p2UzRFM0VHTXZ6TUpoVTRPL1VZTlRybXZLYnArNlBrUkdFL1BobHgzOUphcCs5SEJtUGUzd3FCQTFXV2xLRGc3dG91djQ4Z01SbDZkUU5tbkNoTk9ybXY5eDFqS1JQT1JOeVp3NUJkOXlEMVZqN0tMQ3VHZlNUMkpKUUJBREE4MVA3RXZQTkJYeng4R0ljakNnMGg0eDN3b1BqOC80VWlUS3FNU3hlZm5vLzhwQzNKUE1VU3Y5V1E1SE1kRkRPZDF6dVdkaU55dkpCL3VtMDVlRERqV09MZkZDd2lBeXBqNEE4MDNGZjd3U25lV2NRRFlsV0RralAyM2RzVGxjS1NpME11eC9aNUcyUDQ1anFFWGJMRDhmUlE1elRxWVBtaUVkWFpTc1kzWFZNYU01WjFJb2p5TVZEa2NpVVlDVWVVcEZwMzg1ckdGKzlIS3MzaERkUkt4QTNnYXdCTmFyZmJ2cTJuQ3NaT1dHSjRyWkg1Zjk0QXpnSDIzdENQL3JGd1VmeVEveWNhMFRxMjY2M0RzblVtTXZ6c0pXYVlVbFplV3d2YnFPSEsyNmJIN080ZlFmR3M5SEIwem1ENHlnNlliYWlCSUJiZ0czWkJsU0dPR2dnNzVRdUh2S3pIOElLcnJOLzNZZUUwbE9oL3FoeGdVNFJuMXhuM1BCbHhCZU1kOWllZC9FWUdCWnl6bys2c0Z1ZHYwcUxtaVBPMGVYcU52MmRIK1FBOGtDZ2x5dHVxUnUxMFBUVTBXRHR6YUFaVlJrWEtZNnVMejh6SDY1Z1JjZys0RkU3Y1gwNG9oQnNYWjJjcUJ3M2Qzd2RFeGc1eHRzUk1vT3RwbUlGUExFZzdIVHljL0JoeHIzSFNYRXlxak12b2tScXFVeExSbVJDYnNHWDVwRkVVZk1vWW4ySkVLTWNOalJzaDFjbFI5c1RSbWRtSWcvS0d6NmFhYW1KdjJnQ3VJc1hrVDVzMG5VVWhnT2pjUEJlZmtZbXlYSGIxL0dvb093VmR3Vmk3MERRc1BCNW9vVUVnM2gyT3hodjdYaHVrZUY2UXFDU1lQVEVOaGtITXVqcE9FS0lxL2tFZ2t0KzNldlR0K21EUmFVa0ZQQ0lmdjdvSW9BZ1h2aTU4Ymg5YXYxWG9kbG43Q2hLckxTaUZUUzhQZlJYOGVRdTUyZlhnQ1BvbUF1cTlWWU85M1d6SGQ2VVRBRllRb0FoTjdwekR3akRVNnI0N3RsVEZZZDQ0anUxbUhrRGNZbnFFYjRSYjAxdnU2Y2VDMkRwanZDTTl0MC9YYkFYZ25mS2k4dEFTV2wwY1I5SVpROGJuaW1EcFovbThVZlU5WTRpYTBUWWVtV28yNnF6YkFzRVVYL1M0UHVJTFFiZFNnOE55OGxKUG9TZVFTYlBsK2ZjSjdBSWpBMkR2MjZJaGE2UXlMNjdQNzBYcGZONXg5Ym9UOG9XajM3dUtQRjBCYnJjYjR1NU1RcEFJQ3pnQXNMNDhpNUF1aC8wa0xpajZhRDBnRXlES2xDU2NEcHBNUEE0NjFiUFpEMGRCMHRNL25lMzY1SmZxNzdaVnhERDF2UTk1N0RKZzg2SURsNzZQSVBkV0E0by9reDVRRGdMZis0K2lJSEwyUEQ4Y2RhdDh0aVdjZjczMThHTldYbHlKbnF6NXVIUkR1a2pGMWVCcWpiOXJobmZCRFhaSUJpVndDNjg0eFRCNmVSdEdIamNoL2I4Nnl6akk2TnhrdTFUSzVYZzczc0FlaGdJaXNEWmtvdThnRWdYMU5Ud3A3OXV5SmY5TlNXdVkveFl5OGZzOHZ0a0FpajMzL0IxeEJITDZuQzU1Ukh6YmRWQk0zb2gydGI2djFPcFRJaE9pRHF1R1hScEYzV25aTWdyY3lPenlydGl4VGlpTy83RVBJSDBMbHBTVm8rMmtQREZ1MFVKZGt3UGJxQkl4blpNZTFRaWh6Rk5oMFl3Mm1XbWVpWFhkbitsd0l1b05RWml0UStZVVN0RC9ZQzMyOUJ0bHpKcjR0T0RzWE1uVjRRbG94Sk1JMTVJRlVLUWsvSkJRUUh4Q0VFRDIyS2xjUm5jMDdRcFlwVFRnNFN5SXgrNTV0dkJ4dm1jTG9tejF3OXJ1eCtlWmFBT2s5MUZQbzVWRG1LSkI3aWdHNitpeGtsV2JHL0kxT2UzQXpBak9CNkVPSzBvdE1HSHpHQ3Rzcll5aS91RGh1YUdBNmVmSGJZQTBiM3pNRjc1Z1B1YWNhb3NzOE5pOG05azNCOXNvNG5BTnVGSjFueElaL0RUOVpHZDg5aWY0bkxkanozVlprTit0UStuRVRzaXJDQ2RIelI2YWFLOUVvVmNtSUlSRnVxeGN6dlM1TUhacUdmYjhEdmlrL1ZFWWxLaTh0UWNIWnVSQWtBaVlQT3REL3BCVmR2eDFBLzE4dEtQeWdFYVlQNUVHbURqOGRlZU5MZXhBS3BPNjJsYXE1ZDI0LzlIU1RBNDJuWjNPQ00xcVhHdit6Q2dCdzhJZWQySFJUVGJnTDVUemVDUjhPLzZnTFBrY0FUZit2T3VWa25FU3IwVlRyTkdaNlhLajk2Z1pJNUFJa2Nna21kazlDM3hodWJYZjJ1V0EvNEVEeCtmbkkyYXBIN1ZmS29TN09nTzJWY1hqSGZkSFdmN2xHQmdqaGgzcVJia21xUEFYY0ZnOW1lbDJZNlhiQmRHNGVBQ0R2OUd5TXZtV0hjOEFkRTNBSUVnRjVwNFcvdXdWQndONGRiUWo1UWhBa0Fvck9NMEtRQ2dqNVE0QTRPMnY0N2ttb2NoWTMwV2M2Smx1bkFRQzlmeHFDcGtxTmpkZFVRcFlSMzVWWURJalJCM0RPZm5mMEhDQUFkVmNsU1hRVWdkRzNKdER6MkJCQ1BoRU4zNjZFcGtxTi9ET3kwZjNISWJUZjN3UGJLK09vK2xKcFhBQkZKeDhHSEd1WWJlY1lzc295b2Qrb1FlZkQvUmpmUFFtL0l3Q0pRb0xzWmgycUx5K0xHV0VwWjVzZU9WdjFHSDNManI0bmhySDM1alpzdkxvUzdRLzBwRHlPVkNuQjN1KzFwU3hUZFZrcDhrN1B4dkRmUnRIemgvQmNIREsxRk5sYmRNZzkxWURzemJxWXB4NzZSaTMwalZwTUhwcEczeFBENkh0aUdCS0ZnS0lQaC91RE4vOWdZM2c2OHlXUWFIejBoWkxlaWRZVDVad2JHV1Z1ZkNBUm1BbmcwSjJka0NvbDJIUmp6UW1aRkpOb3FlbnFOV2krdFQ3YUVsRnlRUUY2L3p5RTBPOW41N09TQ2REV1pFV0hsWTg4ekZNWmxTajdkQ0dVMmVIdFpGa3lsSDdDaE81SEJ4SDB4Q1pHU3hRUzZKdTBLTDNnYUI1Ri9kVVZxYnNOQ2NEcHY5b0NNU2dDUXZoR3Z1TVh2Umg1YlNKYVJLcVNvdnJMNmJWZ0xJWkNKMGVHU1lYeXp4UkdleW9rU2hydmVuUUExbitNUVNLWGhQTlpESElvVXdRSkk2OU5vUDhwQ3p3alhtUnYwYUh5MHBMbzU0eGNKMGZ0VjhxUnUxMlB6b2Y2c2YrV2RteTd1d0dTNHhoV21GWWVBNDQxclByeVVuZ253MTFsYzdmcm9kRExvYWxTUTFlYmxieUxrZ0RrdmNlQTNGUDBHSGw5QW9iTjJyanVWY2ZEOUlFOFNKVVNhQ3JWVUpka0xKZ0VwMi9RUU45UWk4bUREdWpxaitaMExOVU56Ylk3R3hKK0tLcU1TbXk3dXpGYWgwMDMxU3pKOFlqV0lsbVdEQ1VYbXBCM3FtRlJBMUFRcmJTYXI1VEhKSC9Qblp1aTVPTUZLUk9zSS9RYk5kQnZqTTA1TEwzUWhOSUxVNCt5R0RFMzJFZzExT3pjUEk3S1MwcFI5cW1pOEFBdFFqZ3dPSll1dnFtT0I0VC9IbHR2M3hqelhSMEpxT1l5blpPSHJMSk1oQUlpQkFtUXZVV1hNdTlFWlZSQVU2bEc3VmZLb2FsS25BdVpzMVVQVGFVYXpqNFhnNDAxZ044TWE1aGNKNGQ4ZHBTblNJdEJ1Z1NwZ1B4bFNQaVV5SVM0WVFQVHNaaTZMMGFpb1FHQjhQbEhtbkRsR2hua212VG1LQ0ZhTDl4V1QvUW13R1B6d3RDb1FjQVpRTUFaTzJ5bk1rZXhyRGxZUk1malpPMG1LMVZKRW85dXRSem14UTF5VFh6QW9TN0pDRDlFVEpPMkpndmFtb1cvVnhWNk9SUjYzWUxsYVBWandFRkVSSXMydHh0bHFrbk5OdDFVazlhTkJSRVJyVjBNT0lpSWFORWlvMVM5ZnRrZWJMdTdFVktsQkx1dTJvOHROOWRGQjVzZ0lpSUNBTFp6RXhIUmNaTnJaTkJVcW1IZE9iYlNWU0Vpb2xXR0FRY1JFYVhOTytvRkFBZ0p2ajBLM3A4TDI2dmpjQTI2VDNDdGlJaG9OV1BBUVVSRWFldjUweEEwbGVxRWllREcwN09SWVZLaDdXYzk0Vm1haVlpSXdJQ0RpSWhTMlB5OTJwaWhvemZkV0lQTk8ycmp5bmtuZkJoNHhvcWFLOHZnc1hseDZLNU8rS2NEY2VXSWlHajlZY0JCUkVSSmFhclVNV1BneDR5dFB6djM1dER6TnJSY2R4Z1RlNmVRVlphSm1xOXV3RXlQQzN1LzF3Wkh4OHdKcmpFUkVhMDJERGlJaU9pWVRMWk9Bd0NzTDQraDRKdzhOTjBRbmlBemQ3c2U5ZCtzZ0NBVElOZktVKzJDaUlqV0FRNkxTMFJFeDBRUXdoTnoxWDF0UTl4Y0c5bGJkREJzMHNiTW9reEVST3NUQXc0aUlscVFNbGVCTGJmVXhTelROMnF4OVljTlNXYzhackJCUkVRQXUxUVJFVkVhSkhJSnNqYkVUK2lYTE5nZ0lpS0s0RGNGRVJFUkVSRXRHd1ljUkVSRVJFUzBiSmpEc1lxOGRrbkxTbGVCaUJhQjF5elI2c0pya21oMVlndkhLaUNLNHM2VnJnT3RQbnhmckY3OHY2RkUrTDVZT2Z6YlV5SjhYeEJSSExQWkxKck5abkdsNjBGRVJMU2VtTTNtRzFlNkRyUzJzWVdEaUlpSWFKMXFibTdPQS9DOTJYK0psZ1VERGlJaUlxSjFTaENFQ3dFb05NMFhkZ0FBSUFCSlJFRlVKQkxKQlN0ZEYxcTdHSEFRRVJFUnJWOC9CNEJRS1BTTGxhNElyVjBNT0lpSWlJaldvYWFtSmdNQUFRQUVRUkMyYk5taVgrRXEwUnJGZ0lPSWlJaG9IWkxKWkIrYisxb1FoSThsSzB0MFBCaHdFQkVSRWExRGdpQmNOUGUxUkNLNUtGbFpvdVBCZ0lPSWlJaG9uVG5qakRNMEFNNmJ1MHdVeGZNYUdocXlWcWhLdElZeDRDQWlJaUphWjl4dTkwY0FLT2N0VmltVnlvK3NSSDFvYldQQVFVUkVSTFQrSk9zK3hXNVZ0T1FZY0JBUkVSR3RJKzk1ejNzeUFDUnJ5ZmpvN0hxaUpjT0FnNGlJaUdnZDhmbDg1d0ZRSjFtdGRydmRIenlSOWFHMWp3RUhFUkVSMFRvaWltTEtibE1jcllxV21teWxLMEMwM0RadDJyUkJLcFYrVVJDRTVwYVdsbyt2ZEgzV01yUFovSXdvaW51Q3dlQnY5dS9mMzdQUzlTRWlvbGdORFEwS0FBdk50L0h4aG9ZR3hhRkRoM3dub2s2MDlqSGdvRFZwNjlhdG1hSW9maExBbHdDY0hWbStaY3VXTFh2Mzd0MjdjalZidTdaczJiSUZ3TWNFUWZpWVRDYjdudGxzL2o4QUR3dUM4TmZkdTNlN1ZycCtSRVFFS0JTS2N3RG9GaWltbXkzMy9BbW9FcTBEN0ZKRmE0bXdiZHUyVTh4bTg0T2lLRm9BL0E3aFlNTXJpdUlmUkZFOGQrL2V2ZnRYdUk1cjF0NjllL2VMb25pdUlBaC9CT0FGOEg0QXZ4TkYwV0kybXgvY3RtM2JLUUNFbGEwbEVkSDZKZ2pDcDlNczk2bmxyZ3V0SC96eXAxWERiRGFMQU5EUzByS285K1dwcDU2YUh3Z0VQaStLNHBjQWJKeXo2bDFCRUI3eStYeVBIVGh3d0w2VWRWMEdLb1J2MHNYajJZbENvZGpvOC9rT0oxdWZtWm01MWVWeTdWNWdOd0tBTEFEVHgxcVBwcVltZzBLaHVIajIvMlJiZE1lQ2NDZ1VDajBVREFZZjNiOS8vOGl4N3ArSWlKYUcyV3krR2NBT0FMZTB0TFRjdkxLMW9iV0tYYXJvcEdZMm14LzArLzJYNCtoN2VRekE3d1JCZUhqMzd0MEhGcnUvZ29LQzd4cU54bTlhcmRiYlIwWkc3bHFndUZ5bFVoVXQ5aGdBNFBGNGV1ZStOcHZON29NSEQ5YjdmTDYyWTlrZkFHUm1abTZ2cTZ2Yk5UUTA5RzJielhiUC9QWFoyZG1mTFM4dmY2eW5wK2Z6ZHJ2OTk4bjJVMXBhK29CU3FhdzZjdVRJQithdFVpZ1Vpb3I1NWFWUzZZemI3UjZjdTJ3MndIc0F3QU5tczNrVGdNc0FmRUVVeFFaQkVINGtrOG51TUp2TnYyNXBhZm5LTVowc0VSRVJuVFFZY05ESjdzclpmNThEOEpEWDYzMzJXSlBjREFiRHhZV0ZoYmM0SEk0WEN3c0xkOHpNekx6c2NybjJKQ3V2VUNncU4yN2MySG9zeDFxb0ZVZWhVTlExTmphbTNQZjhBTVhsY3IwelBEeDhYVkZSMGQwU2lTVFRZckhjTnFlNHNiaTQrRDZIdy9HaTNXNy9ZNnI5Mm15MnUrcnE2bHJVYXZVV3A5TVp6WGRSS0JRVmllcmtjRGhlN096cy9GQ3kvYlcwdE93SDhLMkdob2JyRkFyRnh3UkJ1QXpBUnhIK3YyUEFRVVJFdE1ZeDRLQTFvYVdsNWZ6ajJWNm4wMTFVWGw3KzIrSGg0UjFXcS9YN0d6WnNlTFNxcXVyRnJxNnVEODY5NlU1eTdMUW5TRktyMVRXMXRiWDcwaTEvK1BEaERZbVdiOXk0TWVFSVVGYXI5VTZwVktxWFNxWEd1Y3NyS2lwK0ZRd0c3WjJkblJjRENNM2ZMdEtkYmE3YTJ0cG9zT1gxZXR1UEhEbHlJUkFiTE5YVzF1NzBlcjFKdTNETk5Sc0lQZ0hnaVVUSEl5SWlvcldKQVFldGU3bTV1VmVVbEpUY2I3UFpick5hcmQ4SGdKNmVuaTlWVkZROFhsVlY5VXBmWDkrbGs1T1RUNmJZaFNmZFkvbjkvbWpyUzJabTVyYTZ1cnAzSXEvbnRoNGNQSGl3SG9qdmVwVk1vaHQ0bzlINGpRVGxvcmtzVHFmem4rM3Q3V2NCUUd0cmE0bFNxZHdlQ0FRbWc4SGdrVWdaclZiN2FiZmIzZUZ3T041VktCU0d1ZnRTS0JUMWFyWDZYd1lIQitPT1EwUkVSQlRCZ0lQV3M2enk4dktmR1F5R3p3ME5EWDE5WkdUa2dUbnJmTjNkM1o4c0xTMjl2NktpNHEvajQrTy83dXZydXc3QWVLSWRwZlBFM3VGd3ZOamYzMzkxNUxYTDVkclgydHBhQXFDa3ZyNytqWTZPanJPQ3dXQlhwRzZMT1pGSWdESmZZMk5qNi9EdzhNMFRFeE4vbXI5T0twVkdoNnAxdTkyREpwUHB4eEtKSkt1enMvTzhTSkhLeXNxcjdYYjc0dzZINHprQU1RRkhmbjcrVlM2WGE1ZlQ2ZVRJWDBSRVJKUVVBdzVhbHd3R3c4Y0tDd3Z2a1VxbHVyNit2aSs3WEs1L3FGU3E4dm5sUmtaR2ZoQUlCSWFOUnVPMzlYcjlSVGFiN1Y2cjFYby9nTkc1NVpMZDhNOGxsVXBuRUJ0SStOMXU5MkJPVHM3N0FjRG44OWw4UHQ4Z0VNN2hBTklMWkdhM1RaUnNMZ0JBSUJDd3BwT01iclBaYnFtdHJkMm4xV28vN0hBNG5qY1lEQmZMWkxMY29hR2hPeE1VMStmazVIeHhZR0RnUDlLcEh4RVJFYTFmRERobzNTa3VMcjdUYURSZU96azUrWlRWYXIxdGJyZW1aQTRlUEZoZlhGeThvN0N3Y0lkQ29Tam83Ky8vNnR6MTZZNHVGUWtrNXZyLzdOMTNmRjEzZmYveDk3bGJXMWQ3eTVJdGJ6djJ6WUNRbEpKU1ppbVUwa0VLQkFLRkVGWlRDcVFCV2tKSktTbUZNdE8waklUOENGQktnSVpSUmdrcDJkaSszbHVXckdWdFhjMDdkTWY1L1NIcFd1TnEyTmJ4bGFYWDgvSHd3N3JuZk04NW42dkllZHkzdmlzdkwrL1ZrdVQxZWw4Mk1qS1NFd3dHay9YNC9mN3lWUGZ4K1h5ZFMzamMxRnlMeFVKTGJrWkdSbTRpa1JnSUJBTC9aYlBaWEJrWkdWWGw1ZVVmSGhnWStHWkdSb1pEVWxVOEhrOWVVRnBhK3M1RUloSHE3KytmMDNNQ0FBQXdIWUVEYTA1L2YvL25SMGRIbnhnY0hIeFVXdktrNzNCVFU5UE5XVmxaOTQ2TmpUV21hckJRYjhRQ1M5NW1aMlZsdlVDU0Nnb0svcktzck96anAwNmRlbms4SGgrY1BOKzFXR0dwUXN6a2NZY2tPWjNPa3ZuYTJPMzIwZno4L0hlV2w1ZC9aT3FZMSt0TmJncmw4WGkyRmhVVnZXUHFQVXdkSHg4ZmI3ZlpiRmtsSlNYdjZlbnArY3hpTlFJQWdMV0x3SUUxSnhRS3RjL2FOMkxKazc0WFc3R3FzYkh4bGVGd2VNWUtVZ3N0YjF0U1VuTEw2T2pvWTE2djl3MHRMUzIzMXRUVS9OdkdqUnQvMXRiVzl2YWwxclRZOHJubDVlV2ZLQzh2LzBTcWMwTkRRejg1YytiTXF6bzdPeis2MkhPbWg1WkFJUEROYURUYXVuNzkrcCtIUXFHVEl5TWpQMTVxdlFBQVlHMGhjR0ROOFhnODYrWmJWbllwamgwN1ZqZmY2bEhoY0xqNUFqYnZzeGNYRjkvUjF0YjJYcS9YKzRaWUxEWjY0c1NKVjlmVzF2N3p0UHVYTFhhVCtmYjBLQ2twK1VCVlZkV25JNUZJNDlHalI3ZEtpczUzajhYMi9VajFqTkhSMGQ5MGQzZi9VMFZGeGQrZFBIbVN3QUVBQUZJaWNHRE5DWWZESGJNbmVUdWRUbGRkWGQyUFk3RllUMU5UMDV1MHdMeUg4Zkh4anVXb0l6YzM5NldTRXNQRHc3K1lkcml6cGFYbFRkTW1qUzlscmtZcVdhV2xwWDhkQ0FTK201dWIrNUtLaW9xUG5qdDM3bU9MWFRTNWFsYVMzVzVmdjNIanhzZm5hejgwTlBTejh2THlSWHRIQUFEQTJrWGd3Rm9VbmQwTFVWSlM4bm1ielpaNTl1elpQeGtmSHo4clNZV0ZoVzh4RE1QUjE5ZjMxYVhlZUxIaFRkTU5EdzgvMWRIUmNaY1dDRGZ6OVY0c3NucVZVVnRiZTcvZGJzL3Y3T3o4ME1qSXlFdHJhbXJ1RDRWQ3h3T0J3SGNXcW1uV1VETzVYSzRGbCtkMXU5MFZpVVJpZEtFMkFBQmdiU053WU0wckxDeThwYmk0K1BiVHAwKy9mUHBRS1lmRGtWZFpXZm12aG1Gazl2YjJmbUVwOTBvMWgwT1N4c2ZIbTFJMEgxNWtROEdMNGFxdHJiMi9zTER3RGMzTnpXOEtoOE10NFhENEsxbFpXZGZYMWRVOTdIYTdxN3U2dXY1Rmk2OWNOYSt5c3JJUFpXWm1QczgwelZCT1RzN0xCd2NIdjcrTTlRTUFnRldHd0lFMUxUOC8velUxTlRWZmJXbHB1WDEwZFBTeHljT0dwT3lSa1pIL0doZ1l1SzY2dXZyek5wdk42Tzd1L3Z4QzkvTDcvVjVKdzVJU3kxaGkwVkliWm1abVhsdFRVL1B2R1JrWjI4K2VQZnYyUUNEdzhOUzVscGFXdnpSTk0xSlJVZkhQZVhsNWYzVHUzTGtQall5TVBEWDdIck5Ycy9KNFBIV3oyMFFpa2VOWldWazMyR3kydko2ZW5pOU1CaGdBQUlDVUNCeFlzMHBMUy8rMnNyTHlrNlpwUnN2THl6OVlXVm41Q2J2ZG5tT3oyYkkwYlErTFJDSXhWbGxaK2JsNFBCN3M2K3Y3eWdLM0hFeHh6SjJibTN0VExCYnJpOFZpd1lLQ2dqK014K01qUzYzUjUvUDFMdExFeU03T2ZsRnBhZWxmNWVYbHZUb2NEcDg4Y2VMRUMwT2gwTE96MmlWYVcxdHZIeGtaZWJLNnV2cHpEUTBOVHdhRHdiMTlmWDFmNit2cnUzK3EwVktHaEFVQ2dSOEZBb0VmTGZVOUFBQ0F0WTNBZ1RWcmVIajRzYXlzckIrSHcyRi9OQnJ0aThWaS9mRjRmR0R5NzhGSUpCTFFSSWhJMU5UVWZMMmtwT1N2K3ZyNnZpRnAvQUllTTE1VlZmVlp1OTN1TlF6REVZL0hoenM2T3Q2LzFJdjlmbjlPcXVNK24yOHF0SlRVMWRYOVAwbG1XMXZiKzNwN2UvOWpvZm9DZ2NERGdVRGd4MlZsWlhjVUZ4ZS9JeEtKdEV1UzNXNFBqbzZPUG5YcTFLa2JwN2ZQeU1pb3FhbXBlVWlTYkRiYmVDUVNPYlBVMmdFQUFJQVZ4ZWZ6bVl0TWhsNldheTZTUTVMWHFwdFBEbVZ5VFR2a3pzcksyalZmKzhsemJrbkt6TXlzME1YOThpRGxoUFRMNFRMK2R3TUFMTURuODkwOStmL2t1OU5kQzFZdmVqaUFwWWxKQ2xoMTh4UjdkMFFXMm1SdytybGdNSGp1SWgvTEIzNEFBR0E1VzdvTEFBQUFBTEI2RVRnQUFBQUFXSWJBQWF3TUJla3VBQUFBd0FvRURpRE5jbkp5YnR5MWExZXIxK3U5T2QyMUFBQUFMRGNtalFOcE5qSXk4bFIvZi8rRGRYVjEzM0s3M1J1N3Vybyt2blhyMWlNZWoyZmJRdGY1L2Y2MHJUSUZBQUN3VkFRT0lQM010cmEyOTBoU1BCNFBTRkpUVTlNZkpoSUpkNnJHSG8rbmJzT0dEVCs5bkFVQ0FBQmNMQUlIa0VadXQzdDlRMFBEcjQ0Y09iSnVLblJJVWpnY2JrNW5YUUFBQU11Rk9SeEFHcG1tNlhTNVhMWHByZ01BQU1BcUJBNEFBQUFBbGlGd0FBQUFBTEFNZ1FNQUFBQ0FaUWdjQUFBQUFDeEQ0QUFBQUFCZ0dRSUhBQUFBQU1zUU9BQUFBQUJZaG8zL2tCWTdkdXp3T2h5T3ExT2QyNzE3OSs5UGZ4Mkx4ZllkUG53NGNIa3FBd0FBd0hJaWNDQXRYQzVYd2pUTm4waHl6VDVuR01ZdnA3MGNkN2xjSll2ZGIvZnUzVCtSOVBYeDhmRWZIVDE2ZEh3WlMxMXhuRTZuVTVLWjdqb3UxSVlORzl3NU9UbC9LT25XZE5jQ0FBQXVId0lIMG1MZnZuMURQcC92RjVKZXRValRuKy9idDI5b2dmUC9MdWx0aG1HOFV0SXIzVzUzbjgvbis2YWtCL3grLzZIbHFqZmRDZ3NMM3hTTHhZS0dZY1M4WHU4YnhzZkgyOU5kMDFMNWZMNmRrdDRxNlkyU0NpY1B4eVI5TFcxRkFRQ0F5NGJBZ1hSNlJJc0VEc013SGxub3ZOL3ZmK2ZPblR2LzNtNjN2OUZtczczVk5NMXRrdTZRZElmUDU5dG5HTWJYeDhmSHYzMmxEOGtxTFMyOTArUHhiSk9rV0N6VzI5TFM4cTUwMTdTUUhUdDJlRjB1MTgybWFiNVZVbkxvbkdFWVIwM1QvRm9zRm52NDBLRkRQV2tzRVFBQVhDWkd1Z3ZBMm5YOTlkY1hSQ0tSYnMwZmZHUFJhTFRrQXNLQ3NXdlhybXZzZHZ0YlRkUDhDMG01azhjamhtRjgzekNNQi9idTNmc3JTWWxMclQxTmJKcjROeHRQZHlIenNGMXp6VFV2VGlRU2I1WDBXa251eWVQRGhtRjhLeDZQZi8zQWdRTjdkUVVPQndPQTFjcm44OTB0NldPU1B1NzMrKzlPYnpWWXJWaWxDbW56ekRQUERKaW0rZXNGbWp4MmdUMFQ1b0VEQi9iczI3ZnZkc013eWpVeGhPY3hTVzdUTkc5T0pCSy8yTFZyMTg1TEtqcTlFbHE1WVVPN2R1M2FtVWdrZmlIcDlab0lHNytTOUViRE1NcjM3ZHQzKzRFREIvYUlzQUVBd0pyRGtDcWsxZVNRcVpmTWMzckI0VlFMMmJkdlgxRFN3NUllM3Jselo1M0Q0WGl6cE4wSERodzRjTEgzeE1JT0hEaHd3T2Z6UFNwcGZ5d1crOGFoUTRlYTAxMFRBQUJJUHdJSDBzcnBkUDR3R28zK20rWU83MHZFWXJFZkxzY3pKai80M3IwYzk4TEMvSDcvYTlKZEF3QUFXRmtZVW9XMGV1NjU1N29sUFpIaTFCTk1LZ1lBQUxqeUVUaVFkcWxXb2pKTjg2S0hVd0VBQUdEbElIQWc3YUxSNlBkbkgwc2tFbk9PQVFBQTRNcEQ0RURhSFRwMHFGM1NjOU1PUFh2dzRNR09kTlVEQUFDQTVVUGd3RXFSSEVLMTJHWi9BQUFBdUhJUU9MQWkyTzMyWk1pSVJxTUVEZ0FBZ0ZXQ3dJRVZZYytlUFUyR1lSeVF0Si85R3dBQUFGWVA5dUhBaW1HYTV2ZkVUdFFBQUFDckNvRURLNFpoR0k4WWhrSGdBQUFBV0VVSUhDdkE3dDI3bnpNTTQ3cDAxNUZ1cG1uS05FMzVmTDUwbDdJaW1LYjUrUDc5KzI5S2R4MEFBQUNYZ2prY0t3QmhBNmtZaHZHaWROY0FBQUJ3cWVqaFdFRnVmSWpmN0dQQ2s3ZjQwMTBDQUFEQXNxQ0hBd0FBQUlCbENCd0FBQUFBTEVQZ0FBQUFBR0FaQWdjQUFBQUF5eEE0QUFBQUFGaUd3QUVBQUFEQU1nUU9BQUFBQUpZaGNBQUFBQUN3RElFREFBQUFnR1VJSEFBQUFBQXNRK0FBQUFBQVlCa0NCd0FBQUFETEVEZ0FBQUFBV0liQUFRQUFBTUF5QkE1Z2lSTFJoR1F1dlgwOG5KQVp2NEFMQUFBQVZpRUN4eFVzMUJtZTg4ZE1USHpBSFRrenByM3ZQNkp3My9nbFBlUEpXL3dLZFlhWDFMYnIxMzJLRGtYblBkLzQ5VmFkdlA5c3NzWUxaY2JOUmY5TUZ6ZzByTDduQW92ZTk4bGIvR3I1M3JrRjIwUkhZbnI2YlFmVXYyOVE0WjdJa3I2dno3empnSHFlSGxpMEhRQUF3R3JtU0hjQnVIajc3ancyNTloMVg5d2hWNjVUVFErM3kxM3NscVFaSDQ1dGRrTXVyM1BPZFF0OWdJNE1SR1U0VTJkVFQ1RkxraFFiamFudFIxMXErZDQ1YmJ4dG5idzdjMmUwQzNhRTFmVi9mYXA1VGJrTW01SDZRYVlVNnBvLzNLUjZ2N05kODludHlacTZuK2hYLzU1QnlXYW82TnI4UmE5ZGlNMDE4ZjdOdUttbWg5czFmR3BNbTkrOVR2bmJjeGU1RWdBQVlHMGpjRnpocnI1M3F6TEtQZXA2dkUrdFAraVVLOWVwYzcvbzBVamptQ1JwNy91UHpHaWZWWk9oM2Zkc21YT2YyZTJtTzNMdjZYblAzZmlRVDVMa3lIWm85ejlzMW9uN3p1cm9aeHBWOStlVnFueGxhYkpkMDhQdHlxck9VUFZyeXBMSGhrK095bkFheXFuUGtpVEZJNGw1UThYVjkyNlZKRjN6NlcyU3BIRC91STU4NnJTdXZuZXJESnVoUk15VS82NloxMjY2YloyT2pqYnE1SDNOc3IyM1hnVyt2SG5meDJMc2s0RWpFVE8xOGJaMU9ubGZzNDUrNW95MnZuKzl2RHNtUWtmUDB3TTZkZi9aNVBjRUFBQUFCSTVWbytlcEFaWCtUcUhHMmtJNis1OGQydmlPV3BYY1dKZzhQOVlXMG9HUG5WandOLzFUNFdXNkoyL3hwendlNmd6UENRZU9iSWUyZldDOW1yL2RvYnpOT2NuanZjOE1hUGprcUs2NmU1TU0rL25lamZhZmRDdDRMaXpmSjdmSTVyTEo3ckVsUDZ6UGZ1N1VzQzVQcVh2R016MGxiaGwyWTJKK3hTeUd3OURtOTlicjBEK2NWTGovMG9hV3laQnNqb25uT0RMdDJ2clg2OVgxV0oveXQrUXNmaTBBQU1BYVJ1QllCY0xkRVEyZkd0VzZQNjNRc2MrZFVVNUR0bkkzNTV3ZkptVktwLzc5ckxJcU0xUjhmWUhDZmVOeWU1MHpQdnhMOHc5WldzcFFwbmdvTHB2TEpzTnVxUDROVmNuamtZRnhuWG1vWGZWdnJGSldkY2FNYXhyZVhpdi9oNCtyK1Q4N3RQNU4xVXQ2cjFQQkl6SVpJRUpkRVJtMmlaNkhWQnlaZHUyK1o0c014enpEdUM2QXpXMVhZanloeU1DNGd1MWh4YU1KbmY1NnE0THRJVlg5UWVuaU53QUFBRmlEQ0J5clFOZi85U3QvYTQ3aTRZVGNoUzZOdFlibUhTSzE5d05ISmFYdXpkaCtaOE9jSG9TOTd6K1M4bmk0T3pKanFOV0pMemNyT2hMVHh0dldLYk5pNHI2eFlGekhQOThrNzFXNUtydXBLTm5Xakp1S1J4SXlZNmFxWDFXcXBtKzFxL2o1WHVVMlpDLzZYbWVIbjluRHFLYkV4dUpLeE03M2VqaXpIWE1DMWxLTXRnUTFmSEpVWTIwaEpTSnhOVDNjcnFadnRzdVo0MUJHaFVlWkZSNlYzRkNnck5wTWpUU05YZkQ5QVFBQVZqc0N4eW93ZEd4RXVSdXo1TjJacS94dE9ZdCtzSDd5RnYrTTEyYmMxSTY3R3VUeXVwYjhUSGVoU3p2dWFwQVpOMlhZRGEzNzgwb2QvOXdaSGZqN0UxcC9TN1ZLYmlqUXdidFBLTlFWVWFSL1hNKzk1NUFTNDZZUzBkUkx4Wjc1UnB0Mi9jUG0rU2VVVDVvYWNoWHVqbWp2QjQvcWhnZDJKNGRVUGYyMkE4bDJKKzlyVnVEd2NQTDE3bnUyS0tzbVk4NTduOUwyYUpmYUh1MmFjU3huZlpheTZ6TTFkR3hFbVJVZUpXS210dDZ4WGprTldYTG16UDJuUStBQUFBQ1lpOEN4Q3RUK2FZV09mcVpSNVM4dGthZklwYjBmT0twd1QyVEoxNGM2d3pyOFQvTlBERjlvMHJqdmsxdVVXWldock9vTVhYWDNaaDMvWEpPR1Q0NnE5SVdGS3JyT3Ewai91RHlsYmpsekhISm1PK1RJc3N1ZVlaZmRNL1czVGFIT3NBNSsvS1E2ZjltcmpwLzNLREk1Rkd5cU44TlQ0dGEydjFtLzVQY2pTWnZmVnk4emJtcTBPVGlqL3FuSjU5UHR1L09ZeW42dlNKVXZLNWx4M09hMHlUMjU0bFZpUEtHK1BRZVVVZTQrSHpaTTZlaG56eWh2UzdhcVhzbVFLZ0FBZ0ZRSUhLdEEvclljNWRSbnFmTVhQYXI3aXlydCt2am1CZmU2ZU83ZGgrWWNNMnlHYm5odzk1emo4MDBhbDZTbjNySi94bXRuamtQYkozczlKS24yVHlxV1ZIL08raXhWdjdwTTNwMjVLdGlkSnpOdWF0K2R4N1R0QXh2a0tYYkpzQnZKZTg3dW9YanExdjJwYmltNzJ6Ymo3eW1wM29jME1lUnF2blBTeExLNGpreTdJZ1BSWkx1MlI3c1VPRGlra2hzS2x2UStBUUFBMWlJQ3h5cFJzQ3RYUFU4TnFNNlViQzVEMG9YUFY1aHZMNDZGOXVHWXpXWTNwR2tUdEplNmFXQ3FjT0lwZHMxWnBXcXFoeUxTUDY0ai85d28zejl0VFU0YTMvK1I0MHQ2MXNYS3FQQW8xQlZXL3JZYzllOGJWTXYzejZueTVTVXFmcjdYMHVjQ0FBQmN5UWdjcTRTcndLWHh3YWdDaDRkMTlGOGFML2g2TTJIT085RjhvU0ZWczUxNXFFM1IwWmcydjd0TzB0Sld1SkswNk40VkdlV2U1SHdOU2NtNUhobGw3dVN4NmVldGtGT2ZwZEd6UVEwZUdkYkpMemVyNkpwODFkMWN0ZmlGQUFBQWF4aUI0d28zZWphb1dDaXUvajJEY3VVNWxiODFSOWQ5Y1VmeWZNZi85S2prQlFWeTVwMy9UOTMwelhiWlBmYmthNWZYcFEyMzFzeFlTVXFTaGsrUHF1ZUpBZFgrU1lXY3VYTi9WTHArM1Rkbm92bkF3U0ZsMTh4Yy9uYStJVmxTNnYwODVtczMzZXhsY2FlNEMxM0pYY0dYbS9lcVhKMjhyMW05VHcwb2YzdXVOdDFlZHpFZFNRQUFBR3NLZ2VNSzE3ZG5VUDE3QitYSXRHdjltMnZVL1VTL0NxL0oxNzRQSHRYdWU3Wm8rTlNvUms2UGFzZUhOOHF3R3dxMmgrVElzTXVWNzB6ZUl6R2VrQ3ZQS1psU0pCRFZtUWRidGZYOTY5WDQ5VmFaY1ZQaDNzaWN3QkVMeGhYcEg1ZmRjLzdEL1ZoYlNKRys4U1hQM1ZpcWVIaitIY2huTDR1Ny9jNEc1VytiZnpPKzhhR29ScHVES3RoMTRidU8yOTAyeFlKeEZmcnl0Zms5ZGNuZWxLSGpJN0s1YkJPQmI0Rm5Bd0FBckVVRWppdGN6V3ZMdGVIV0dqbXk3T3A3THFDejMrMVEwYlg1aWdYamtzM1E1dmZVNjhEZkhkZEk0NWhpd2JoTVV4bzRNS1MyUjd0VS9ab3lTVkwzYi9yVTlYaS9DbmJuS1JHSmErREFrQ1JwMndjMjZQZ1htM1Q0SDAvSmQrODJlWXBkT3ZPTk5rVUd4clgremRYcS9GV3Y0cEZFY3FPL0FmK2dETHR4VVIvbVUybjdVWmVDYldHTkQwZm5ETG1hdlN6dVV2UTgyYSttaHp0VWRGMytCZFZveGt5MS9haExIVC90bGl2WHFYZ2tNZU9ablkvMWFlajRpSjczcFowRURnQUFnRmtJSEZjNG04TklMdE42N3BlOUtuNSt3WXdKM3U0Q3A2Nys5RFk1TXUwNi9aVVdKYUlKclg5enRVNThxVm5lWGJuS3FzNVE5eE1ERXlzdHpmcmM3aTUwYWVkSE5tcm8rS2c4eFJORHAwWmJnb3FING5JWHVMVCtUZFU2ZWY5WjVXL0pVWUV2VDczUEJwUzNKVWVPVFB1TSs4UkRpWWtBbEVJOGRINXp2dkdocU5wLzFLMytmWU9TcEo0bkI1UzlMbFBsdjFkODBkK2YrUGpFL1UvZTE2emd1YkRLWGxTa3V0ZFhMdm42M21jRGF2bXZEaVZpcHJiZjFhRFlhRnhILzZWUlhZLzNxZXhGRTBQUWd1MGg1VzdJbW5GZFl2SzVoc0dZS3dBQXNMWVJPRmFKb2VNakdtME9hdFB0ZGJJNURkbWNOZzNzRzFUKzlvbmZ1SSsxQkJVNFBLeXFWNVdxOE9wOGJYcm5PbVZWWmFqN04vMks5SStyN1BjbVBqdzdjeHlTSVhYL3BsKzVEUk1mb2ozRkxvVTZ3eG85RzlSb1UxRGxMNWtJQU1VdktGRHZzd0dOdFlYa0xuSXAyQkZXK2UvUERRY0g3ajZ4cFBkZ2M5clUrVml2Y3VxelZQbUtFaFZlNDVXN3dLbFFaM2pKY3pna0thUE1rd3hQZmM4RkpFMEVqOFdHVzZVeVBoaFZia08yNnQ5VUxVZldSSkNxZlYyNXpqellwdkZBVkxrTldRcDFSbFQrKzhVYUg0eXE5UWVkc252c3lYcmRoYzZGYmc4QUFMRHFFVGhXaWJ3dE9kcDl6NVprVDBUMWE4cDA5cnNkU2p3OHNYK0Y0VENVdXpGYnBiOVRLRWtxZXQ3RVVxNmVFcmRxLzdSQzdvS0o2eHpaRHRXOHRseE4zMnhYUER5elY4TG1zaWwvUjY1cUpvZGlTZEtXTytwbDJBeDEvcXBYTXFTQzNmbHphdHY1MFkzeWxMcFQxaDN1anVqUVBhY21ucDFwMS9PK3VEUDV3WDdLUXBQS1o4L2hrS1RyLzJOWGNtNko5Nm84SmFLbTFyK3BTdllNKzV5Mmk2bDhlY21jWTlXdktaZW54S1AySDAvc1RwNjdNVXNsTnhUSzVqUTBmR28wdWZ0NnhjdEtsTGVaSVZZQUFHQnRZN3pIQ3VEeitVeHA4YVZoWit0NWVrQ0Z1L011Nm9PMEZjSzk0OG5BTTZYbGUrZFU4YktTODd0enp4SWRpZW5jejN1V2ZhTDVoUmcrTlNwM29VdnVRdGZpalMrVHFRME8vWDQvLzBZQkFKYngrWHgzUy9xWXBJLzcvZjY3MDFzTlZpdDZPSzVnSlM5WVdUdGN6dzRiMHVLN2pUdHpIR2tORzVLVXV6RTdyYzhIQUFCWXphelpzQUFBQUFBQVJPQUFBQUFBWUNFQ0J3QUFBQURMRURnQUFBQUFXSWJBQVFBQUFNQXlCQTRBQUFBQWxpRndBQUFBQUxBTWdRTUFBQUNBWlFnY0FBQUFBQ3hENEFBQUFBQmdHUUlIQUFBQUFNc1FPQUFBQUFCWWhzQUJBQUFBd0RJRURnQUFBQUNXY2FTN0FKejM1QzMrZEpjQUFBQUFMQ3Q2T0ZZQTB6UWZUM2NOV0huNHVRQUFBS3NCUFJ3cndQNzkrMjlLZHcwcmdjL25NeVhKNy9jYjZhNEZBQUFBeTRNZ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eHBIdUFyQTJiZGl3d2UzMWVyM1RqOFhqY1VuU3RkZGVXemI5ZUNBUUNEUTJOa1l1WTNrQUFBQllKZ1FPcElYWDYvWEc0L0Z6a296WjUrTHhlT2UwbHdtdjExc3BxZXV5RlFjQUFJQmx3NUFxcE1XZVBYdTZKUDFtQ1UyZm1Hd0xBQUNBS3hDQkEybGptdVlqUzJqMlBjc0xBUUFBZ0dVSUhFaWJSQ0x4L2NYYXhPUHhIMXlPV2dBQUFHQU5BZ2ZTNXVEQmd4MlNubDJneVRPVGJRQUFBSENGSW5BZ3JRekRtSGRZMVVMbkFBQUFjR1VnY0NDdG90SG92S0VpR28wdU91UUtBQUFBS3h1QkEybDE2TkNoWmtuN1U1enlUNTREQUFEQUZZekFnWlVnVlM4SHc2a0FBQUJXQVFJSDBpN1ZYQTJielViZ0FBQUFXQVVJSEVpN2ZmdjJuWkIwYk9xMVlSaEg5KzdkZXpLTkpRRUFBR0NaRURpd0lremZCRENSU05DN0FRQUFzRW9RT0xCU0pFTUd5K0VDQUFDc0hnUU9yQWo3OSs4L0pPbU1wRWEvMzM4NDNmVUFBQUJ0Qmd3b0FBQWdBRWxFUVZSZ2VUalNYUUF3eVpUMGlHRVk1dVRYQUFBQVdBVUlIQ3ZBN3QyN256TU00N3AwMTdFU21LWXBuODkzWjdycldBbE0wM3g4Ly83OU42VzdEZ0FBZ0V2QmtLb1ZnTENCVkF6RGVGRzZhd0FBQUxoVTlIQ3NJRGMrNUV0M0NWZ2hucnpGbis0U0FBQUFsZ1U5SEFBQUFBQXNRK0FBQUFBQVlCa0NCd0FBQUFETEVEZ0FBQUFBV0liQUFRQUFBTUF5QkE0QUFBQUFsaUZ3QUFBQUFMQU1nUU1BQUFDQVpRZ2NBQUFBQUN4RDRBQUFBQUJnR1FJSEFBQUFBTXNRT0FBQUFBQlloc0FCQUFBQXdESUVEZ0FBQUFDV0lYQUFBQUFBc0F5QkF3QUFBSUJsQ0J4SXFmM0gzUXIzUkNaZW1OS0pMemFwNi9HK0pWMTc3dWM5T3Y2NU0wckV6SlRuZTU4SjZPaS9OQ29lU1N4NEh6TnVhdkRvaUdKajhXUWQ4WEJpU1grbUpHS21vaU94Qy9wakpsTFhEUUFBZ0F2blNIY0JXSG42bmd2bzdIYzc1QzV3eWxQaWxnekpzQnRxZjdSTEpUY1d5dVl3NXIxMnREbW81dTkwcVBJVkpZcU54V2Fjczd0dGttR28rVHZ0eXE3TlZEd2NWendjVDU2M09XeHlaTm1UcjN1ZkRlalV2NTlWeVkwRjJ2aU9kWW9Fb3RwengrRWx2WWNiSC9KTnZKZmZCblRxL3JNWDhPNGwzeWUzS0xNcTQ0S3VBUUFBUUdvRURzd3dQaFRWbVcrMnk3c2pWOFV2S0VnZXIvbmpDdm52T3FhMi8rNVU3ZXNxVWw0YjZSdlg4YzgzeVl5YmF2OXh0OXAvM0QzamZQbnZGMHVtTkI2SWFpQXdwTisrZDJaNHlOK1dvKzEzTmt5OE1LWDJIM2VwNmxWbDZ2eGxqOXFydWxYNThoSmQrN2tkeWZieFVGeit1NDVwODd2cmxOT1F2ZUQ3ZXQ2WGR5NzYza09kWVIyNjU5U2k3UUFBQUxCMEJBNGttWEZUSjc3WUxDVk1iWGhiell4ekdXVnVWZjlobWRvZTdWTGVwbXpsYjgrZGNYNnNMYVJqLzNwR3pueUhkdCt6V2UwLzdkSG8yYUEydjd0T2ppeTdSczhHRmVrYjE4bjd6MnJqYmV1VVhadWhFMTlxMXZhL2JaQXIzem1ubHU3ZjlDc2VpcXYyajh2bEtYR3A4WUZXWmEvTFZQN1duR1NiMGJOUlNWTGUxaHc1Y3hiK1VWN3N2Q1JGaCt5THRnRUFBTUNGWVE0SEpwaFM0OWRiTlh4NlZKdHVYeWQzZ1d0T2srclhsQ2wzVTdhT2Y2Rlp3NmRHWjV5TERzZFVjRldlZG41NG94elpEdFg4VVpuc0hwdUdUb3hJa3RvZTdWTHp0OXJsKzlSV2xkeFFvTXlxREJWZlg2Q1JwdUNjNThURzRqcjd2WE9xL3FOeXlaREtYbFNrL0swNU92bHZaeFhwRzFlb002eFFaMWpESjBmbHpIRW9OaHBMSGd0MWhsTyt2ZW5uNS9zVDdoMWZobThrQUFETGh0K0VZVldnaHdNVFllT0JWblUvMGEvMWI2cWUwM3N4eGJBYjJ2SytlaDMrNUNrZHViZFI2OTlTcmRMZktaUTBNUnpxeUwybjFmbXIzaG5YOU84ZG5QRjY3L3VQekZ2RzFMeUxwbSsyeVpsdGx5dmZxWDBmT3FyZG45eXFEYmZXNk1TWG1qWGFFdFR4enpmTnVHN2ZuY2RTM21laE5vdnArMjFBR1dVZVpkVXdsd01Ba0JaR1EwUEQvOFppc2U3bTV1YlhUeitSa1pGUldWOWYvNnVtcHFaYlFxSFFiNmVkbWdvb2NRRXJDSUZqall1SDRqcDUvMWtON0IvU3VqK3ZWUGxMaWhkczc4aXlhOGVIRzNUc1g1dDAraXN0NnQ4M3FQcWJxK1FwZFV1UzFyMitVb1c3OHk2b2h2NzlRenI3blE1SlV1L1RBK3A1YWtEYjcyeFFia09XRXRHSitTQzFyeXZYcm85dlZxaHJvZ2RqS2xRTUhSOVJ6dm9zMlZ3MmhUckRjNExGMVBUMlZDRmt0a1Ewb1dCN1dKNVN0MDU4dVZuWjZ6SzE4YloxRi9SZUFBQllEa1ZGUmJkbFoyZmYyTmpZK0x1UzVIYTcxMGNpa1RPU1pKcW0wKzEyYjdMYjdabFQ3ZlB5OGw1WFdWbDV6OERBd0FOZFhWMy9uSzY2Z1ZRSUhHdGMxK045Q2h3YVZ2MGJxMVRneTFlNGIybkRpclo5WUlOYWY5aXBqdi9wVm01RHRxcitvRlI1bTdPVlhaTWhsM2Z1Y0t6NTJEMDJaUTlFbGI5dFltNUdSb1ZIcFM4c1RMNnVlR21KQW9lR0pKV2ZUdy9USFA2bjA3cjYzcTNLS1Bla3ZMOHpiMkorU08vVEE4clp1UERFY21raVVQVStIVkN3STZ5YVAwNDlPUjRBQUN1NVhLNnRWVlZWbnpsMzd0emZqWXlNUEoyUmtYSDk1czJibnpoOSt2UkxSa2RIZnozVnptYXp1UXNMQzk5U1hGeDhSMlptNWxYRHc4TS9IeHNiZXlxZHRRT3BFRGpXdU1wWGxNcTdJMWVqcmFFRmh6dk50dXZ1emFwN2ZhWEtieXBLOW03cytQQkdtWEZUVDkyNmY4bjN1ZkVobi9LMzVTUURSdmE2VEZXK29qUTVGOE43VmE0S2ZIa0tkWWJseUx6d29heDVXN0pWY2tPQlRuMmxSV1o4YWZ0cjJEMTJsYis0V0VYWDVGL3c4d0FBdUJRZWo2ZDJ3NFlOUHg0YUd2cEpkM2YzcHlRcEZBbzlFd2dFdmx0WFYvZnc0Y09IazhzdTF0WFYvZEJtczlrRGdjQi90YmEydmpVWURKNlFsRFB2ellFMElYQkFtVlVaeXF6TVVORzFFeCt3emJpcFoyNDdxUG8zVktuc3BxSVpiY005NC9MZmRVdzIxMFIzdzFUWW1HM1R1K3BVL0h6dnZNOU1OZnhwaXYrdTFNZkxiaXBTNWN0TGtxK1RHL1FaOCs4TFl0Z01iYnh0blRhK1k1MFNzZmszR293T3hkVDMyNENLbnU5Tk9XRWVBSURMb2E2dTdrY3VsNnN1R0F6NjYrdnJIM1U2bllVT2g2UEk0WENVMmUzMjNQcjYraStlTzNmdUxra2FHQmg0b0sydDdSOGtkVWxTVmxiV1ZSczNidHg3K3ZUcDNhT2pvMHYvTFNKZ01RSUhKaGlTelRteGFGbDRJQ0taVWthcE8zbHN5dFNIZkp0cjRRWE9UdDdYckpQM05WOVVLYlBuVzBSSFl0cHp4eEhsYnBvNUpHcHFSL0ZVdGNRamlSbWJDaTRtMkJGUzgzYzZsRm1kSWNOK1BzQzQ4dVl1MlFzQWdGVUdCZ2ErbnBXVjlYdnhlSHd3Rm92MWpJNk85c1hqOGI1b05OcWZtWm01cmFLaTRsTURBd1BmbHFSQUlQQTlUWVlOU2JMYjdlV0dZVGhHUjBmNzAvWUdnQlFJSEpoanVIRk1rcFJWbXpublhDSXk4U0hmN2w0NGNEVDhaYTBLRnhpU0ZPNks2TURkSjVaVVQ5ZGpmWExtT1ZUOFBLL0NQWkh6OStpT3lMQVpjdVhOL1RFKzk3TWV0VHh5YmtuM24rN29weHRudkY3S1pITUFBSlpMZDNmMzUxd3UxODlTblF1SHcwMWpZMk5QajR5TUhKYVU4SHE5ZjJLYTVvQTBNWkc4dUxqNG5iRllyRmRTNStXc0dWZ01nUU56OUQ0YlVGWk5Sc29OK2FaNkRld1psN1kwdUx2UXFSMTNOU2dXak12dXRzM29WWWlPeEhUc00yZFUvNllxWlZabDZOd3ZlbFR6eCtVejJraFM0UEN3M0lWT0diYTVRNm9xLzZCMHhvcGJ6ZDl1Vjk2V0hCWHNTcjJDMW1oelVFZnVQYTBkZHpXa0RGb0FBRnd1MjdkdlAyNmFac1EwemRpMHd6YWJ6Wlp4OU9qUkJrbERuWjJkSHlzcEtmbFFjWEh4N1pQbkU1RklwTFc5dmYzZGFTZ1pXQkNCQXpNTUhodFI0TkNRMXQ5U25mSjhiQ3d1dzI0c09xVHE5RmRiZFBxckxVdDY1dGIzcjU4UkJKelpEcm04VGgzL1hKT0tyc3VYeldtbzlIY241cEs0QzEzSm9OTDV5MTZORDBkMStGT250ZkcyV3JtTDNkcDl6eFpKa3MxaHlPYVlERVdtWkhQWWRPcmZ6MnJkbjFlcTZwV2xjMnFZNnJHeGUrd1hOVGtkQUlEbDFOcmErczcrL3Y0SHAxN241T1RjMk5EUThNVGtTOC9RME5EUE9qczcvMVhTV0ZvS0JDNEFnUU5KWTIwaG5ieXZXZGwxbVNwN1VWSHFOdTBodVFzWG4xUzkyS1J4YVdJT3hqUHZPREQzaENGdHZHMmREbjc4aE03OXNsY2JicTJSelRIUmkyRnoyWlN6UGt2SFB0Y2t3MkZvMThjMzY5Ui90R2ovaDQ5cnc2MDFLbnBlaW1jYTB2bzNWOHVSN2REWjczVEltZVZRNmU4V3ptaHlmZ0w2b204TkFBRExHWWJobHBTY3ZHaXoyWkk3MGJwY3JuV2JOMi9lYy96NDhldERvZEN6VThlenNySjJ1bHl1cllGQTREdVh1VnhnUVFRT1NLYlUvVVMvbWg1dWx6UFhvUzN2V3kvRGJtaDhLS3JScHFDY09RN1ozRGFGdWlMcS9HV3ZTdWNKSTlORmg2SUtkMGNXYkJNZm4zL1ZLTHZIcGkzdnE5Zit2enVoNGROanlkV3lSbHVDT3YyVkZvVjd4N1hqemdabHI4dlVWUi9icE5OZmFkR0pMemVyL05TbzZtK3VrdUdZbXh4cVgxZXVyQ3FQQ3EvT1Z5S2FVTmZqL1hKazJHWFlwSjZuQnlTSjNnMEF3SXBRVTFOemYwMU56ZjFMYUdyM2VyMnZMQ3dzZkU5dWJ1NUxvOUZvZHlBUStLbWtZYXRyQkphS3dMSEdKY1lUT3ZTSlV4cHRDYXJvMm54dHVMVkdqdXlKSHdzemF1ckVsNXFWaUU2dUJ1VXdWSGl0VnpXdkxWLzB2azBQdDZ2cDRmWkxxaTJqM0tQNk4xU3A4WUZXbGI2d1VNTW5SOVR5L1U1NWl0M2ErWkdOeXFxWitHV1AzVzNUNW5mWHFibklwWTZmZGlzNkdOWG05OWFudk9kVUQ0Z2hReTNmTzZkNGFHSk9pbUUzVlA3aVlubEtVaS96Q3dEQTVkVFMwbkxyQWtPcUpFbmw1ZVVmek1yS2VyN2RiczhiSGg3K1dWTlQwK3NHQndkL0ltbmgzL2dCbHhtQlk0Mnp1V3lxL2JNSzJUMDI1VGJNWEhiV1hlVFNDNzYyUzJiQ2xKbVFiSFpqMFNGSGhzMVE1U3RLVlhKRFFUSVF6TWVNbVdyNS9qbGx6TE9YaHpTeDkwWm1wVWU1RzdPVldlbVJERU1WTHl1WnUwcVdJZFc5dmxLWkZaN2tKb0tMdWU0TE82U0VLZE9VN0M1YnlsNFJBQURTb2JhMjlvSGEydG9IRm1xVFNDUWlMUzB0Yng4ZUhuNU1VbGhTK2JwMTY3N2UzZDE5WnlnVXVyVGYrZ0hMaU1BQmVYZmtMbmplc0JreUZwNGpQcTJ4VkhkejVkS2FPZ3l0KzdQRjIrWnVuQWhDemh5SHFsOWR0bURiMGhjV0xuaCt1c1dXOWdVQUlGMWFXMXZmMmRmWDkvRFU2N3k4dk92WHIxLy9pK2x0dXJ1N3Z6QjlEa2QyZG5aaFFVSEJYL1QwOUh4V0VvRURLd2FCQXdBQVlJVXhUVE1pYVhUcWRTS1JDRTE5YlJpR0tVa09oOE0rNjVveVNRb0dnNFFOckNnRURnQUFnQlhLN1hadk1nd2puSldWZFpNa1JTS1JJVWsyU2NyUHovK0xXQ3dXbHlTSHcyRXJMaTUrWnpRYTdaYlVuYjZLZ2JrSUhBQUFBQ3RVWldYbHAvUHk4bDZSU0NTQ2ZYMTlYNVRVSzBuZDNkMmZLUzR1ZmxkeGNmRzdwdHBHbzlHT2pvNk85NmF0V0dBZUJBNEFBSUFWNU5peFkzWGhjTGhQa3BxYW1sNmRxazFIUjhjSE9qbzZQbkI1S3dNdURvRURBQUJnQlFtSHcyZlRYUU93bkZpbUJ3QUFBSUJsQ0J3QUFBQUFMRVBnQUFBQUFHQVpBZ2NBQUFBQXl4QTRBQUFBQUZpR3dBRUFBQURBTWdRT0FBQUFBSlloY0FBQUFBQ3dEQnYvclNCUDN1SlBkd2tBQUFEQXNxS0hZd1V3VGZQeGROZUFsWWVmQ3dBQXNCclF3N0VDN04rLy82WjAxN0FTK0h3K1U1TDhmcitSN2xvQUFBQ3dQT2po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1LVWczUVVBQUFCZzlTRndRRjZ2OSthcnJycXEyZTEyYjF6cU5abVptZGVzWDcvK2g1SnlKZzhWbDVlWGYxUlM2VlNiN096czdaUEhBQUFBc0VZUk9LQkFJUERUUkNJUktpZ29lTk5TcjdIYjdXVjVlWG12a2VTV3BPenM3Tkx5OHZKUFpHVmxsVSsxY1RxZHU4ckx5ejloUWNrQUFBQzRRampTWFFBdUc0L1A1d3N0MUtDOHZQeWpDL1ZJK1AzK0hFbWp5MTRaQUFBQVZpMEN4eHJUM3Q3K040T0Rneis5a0d2eTh2SmVYRjFkL2FYSmx5VXVsNnZBN1haWFNWSkdSc2FHZUR4ZXROUjdaV1ptN2c0R2cvc3Y1UGtBQUFDNGNoRTQxcGhvTkhwdWZIejh4T3pqUHAvUGJHbHB1Ylcvdi8vQkZOZHNudnE2cXFycXd5VWxKWDgxOVhyTGxpM1BTTktwVTZkMkxQYnNrcEtTMjZ1cXF1NXJhbXA2N2VEZzRBOHYrazBBQUFEZ2lrSGdXRHNpSjArZTNEMDJObmJPNVhKdFR0WEE0WENVcHpvM09EajQxTW1USjNkTENyYTN0OS9SM3Q1K1IwNU96cXNhR2hwKzVQZjdpeVgxWldkbmI1Y2twOU81enVWeWhTWEpaclBacCs1UldscjYxNVdWbFovcDd1NytMR0VEQUFCZzdTQndyQjNtMk5qWUFaZkx0WG43OXUzSFV6V29yS3o4WkdWbDVTZG5Iejl5NU1pV3NiR3hBMHQ1U0gxOS9RK212bTV2Yi8rZ0pGVlhWMyt4dUxqNFBSMGRIUi9wN3U2ZWMzOEFBQUNzWGdTT05jcnY5eHZUWDg4M3BNcm44NWxMdUYxeXRiUEpYcFFEa3VUMWV0OG9TVVZGUmU5b2FXbTVwYisvLy85ZGV1VUFBQUM0a3JBc0xpNUpUVTNOcHpkdjNyeG5vVGFOalkwM0VUWUFBQURXSm5vNDFxaFVQUmUxdGJVUDFOYldQckRRZGJtNXVTL0x6ODkvZlg1Ky9xc2tLU2NuNTRXOXZiMy90dEExSXlNalQxOWF0UUFBQUxoU0VUaldxQ05Iam15Wi9ucjc5dTNIT3pvNlBod0lCSDR3Ky9qMDEwVkZSZS9NeXNxNkpoZ003c3ZOelgzWjBhTkhuNmRwazhZQkFBQ0E2UWdjYTFTcXBYRmpzVmhucXVQVGRYVjF2VHNZREhibTVPVDhRVzV1N3NzdTR0RVpraGJjZ0JBQUFBQ3JCNEZqamJyWUlWWEJZUERjcFR5M3FxcnFVdzZISS8vczJiTnZ2cFQ3QUFBQTRNcEE0RmlqTG5aSTFSSVpKU1VsdDB2eXpEN2hkRHJMYkRiYm5PTUFBQUJZblFnY2E4ejQrSGhuYTJ2cjI1YzZwR3F5YmVkaTl6Vk4wNUFrbDh1MXZiS3k4a3NlajJkemQzZjNaMmUzYzd2ZGRTTWpJMDljeW5zQUFBREFsWU5sY2RlZW9iNit2cTh1dGZGazI2RnBoN0l6TWpLcXNyS3lwbnBJeGlUSjdYWnZscVIxNjlZOUVBd0c5eDA2ZEtnaEZBcjVKYW1nb09EUFhDN1g1dno4L05ka1pHVHNEZ2FEZTVmcHZRQUFBR0NGbzRjREZ5US9QLy9GOWZYMVA1Ums5dlgxL1lmT1R3RFBEWVZDaDFwYlc5ODROaloyV0pLR2g0ZC9OVGc0K0lQYTJ0cHZHb2JoTkUwek9qUTA5T05BSVBCSTJ0NEFBQUFBTGlzQ0J5UkpuWjJkL3hnS2hRNHUxbTV3Y1BBbmZyKy9XQk05RzhuVnBnWUdCcjQyTUREd0RVbXhhYzJqVFUxTmY3ejgxUUlBQU9CS1FlQ0FKS216cy9PalMyd2FrOVMzd0RrQUFBQWdpVGtjQUFBQUFDeEQ0QUFBQUFCZ0dRSUhBQUFBQU1zUU9BQUFBQUJZaHNBQkFBQUF3RElFRGdBQUFBQ1dZVmxjcE1XR0RSdmNYcS9YTy8xWVBCNlhKRjE3N2JWbDA0OEhBb0ZBWTJOajVES1dCd0FBZ0dWQzRFQmFlTDFlYnp3ZVB5ZkptSDB1SG85M1RudVo4SHE5bFpLNkxsdHhBQUFBV0RZTXFVSmE3Tm16cDB2U2I1YlE5SW5KdGdBQUFMZ0NFVGlRTnFacFByS0VadCt6dkJBQUFBQlloc0NCdEVra0V0OWZyRTA4SHYvQjVhZ0ZBQUFBMWlCd0lHME9IanpZSWVuWkJabzhNOWtHQUFBQVZ5Z0NCOUxLTUl4NWgxVXRkQTRBQUFCWEJnSUgwaW9hamM0YktxTFI2S0pEcmdBQUFMQ3lFVGlRVm9jT0hXcVd0RC9GS2Yva09RQUFBRnpCQ0J4WUNWTDFjakNjQ2dBQVlCVWdjQ0R0VXMzVnNObHNCQTRBQUlCVmdNQ0J0TnUzYjk4SlNjZW1YaHVHY1hUdjNyMG4wMWdTQUFBQWxnbUJBeXZDOUUwQUU0a0V2UnNBQUFDckJJRURLMFV5WkxBY0xnQUF3T3BCNE1DS3NILy8va09TemtocTlQdjloOU5kRHdBQUFKYUhJOTBGQUpOTVNZOFlobUZPZmcwQUFJQlZnTUNCRmNObXN6MFNpOFVJR3dBQUFLc0lnV01GMkwxNzkzT0dZVnlYN2pyU0xaRkl5R2F6eWVmenBidVVGY0UwemNmMzc5OS9VN3JyQUFBQXVCVE00VmdCQ0J0SXhUQ01GNlc3QmdBQWdFdEZEOGNLY3VORC9HWWZFNTY4eFovdUVnQUFBSllGUFJ3QUFBQUFMRVBnQUFBQUFHQVpBZ2NBQUFBQXl4QTRBQUFBQUZpR3dBRUFBQURBTWdRT0FBQUFBSlloY0FBQUFBQ3dESUVEQUFBQWdHVUlIQUFBQUFBc1ErQUFBQUFBWUJrQ0J3QUFBQURMRURnQUFBQUFXSWJBQVFBQUFNQXlCQTRBQUFBQWxpRndZRTB3NCtZbDMyTThFRjJHU2dBQUFOWVdBc2NxOE9RdGZvVTZ3NWQrSTFOcS9XR253bjNqOHpZWlBqMnFqcC8xTFBrRGZPRHdzQm9mYUUyK0hnOUUxZmhBcThiYVFrc3U2L2dYbXRUMjMxMUxiai9iMElsUlBmZmV3d29jSExyb2UvVHZHOVRldnptaXZqMkRGMzBQQUFDQXRjaVI3Z0t3L0VLZFllMjc4OWlpN1c1OHlEZmo5ZmhRVkQxUDlLdnJzVDV0KytBR1pWVm56RGh2eGt3MWZxMVYwZEdZaXAvbmxjdnJYUFFaWXkxQmRmMjZUeHR1clpFa3hjWmk2dnAxbndwMjU4MjVmeXE5endUVXYzZFF1UnV6RncxVmppeUhuTGx6ZjZTejZ6SmwyQTAxUHRDcXF6KzlUVGJuK1p6ZCsyeEFKKzlybm5PTllUTjB3NE83azY4TGR1VXBiMXV1VG42NVdZbS9yRlh1NW16dGZmK1JSZXZmOEpZYWxmMWUwYUx0QUFBQVZpc0N4eXAyOWIxYlV4NGZPRGlzNW0rMXp6bnV5bmRxeDBjMjZ2QTlwM1Q0azZlMTQ4TU5NMEpCNnc4N0ZlcUthUHVkRzVZVU5pNVZxQ3VTN0IxcC9sYTdtcisxY1B1S2w1V28vZzFWa3FSWU1LN28wUGtoVUlWWDV5azJFbE5rbnQ2YjZkK3JsdStkVTc5L1ptK0lZVGUwNWIxMU92eFBweVZKYnE5ejN1L3ZsS1dFUGdBQWdOV093SEdGaWc1RkZRdkdrNi9EdlhNL1NHZVVlMUplNjJxWk81eHBldTlCL1MzVmFudTBTMmJjVEI0UDk0NnIvU2ZkS3J1cFNLNThaL0s0STlzaFo4NzVINk5FekpUTllWemNtNXBtUEJEVjBVK2ZscnZRcVZCWFFwdHVYNmVpNjd4ejJ3MUdkZXhmenlqY0UxSHBDd3VUeC92M0RlcjBWMXJtdEo4OUpHclR1K29rbmY5ZXhjTnhCUTZQeUxzak45bG0rT1NvT24vZHA0MXZyOVhPajI2VVlUZG1YQU1BQUlENUVUaXVVSzMvM2FYTy8rMU52ajc2TDQzSnJ4Zjd6WHNxcVg0YmYrRHZUOHc1MXZtclhuWCs2dnh6SzE5UnFycWJLeVZKZmM4RjFQaU5ObDN6NmExeVpDMzlSeXR3YUZnZFArMVd3enRxNVM1d0tkdzdycU9mUGkxN2hsMDdQcnhSUFUvMDYrUjlaeFh1RzFmVkswcWx5VHpUdDJkUVp4NXNsYzF0MDg2UGJGUm0xZm5lbU5MZktaUXIxNkZ3ejdqS1gxSTg0M25OMzJwWGRuMldpcC92VmUremdSbm51bi9UcjNnNHJ1by9La3NlQy9WRTFQdjBnQnJlVmpOak9CWUFBQUFXUitDNFFxMi9wVnJyYjZuVzZObWdEdno5Q1YxOTc5YmtiOXluZWgvbW0vTXdQamgzdGFYWjh6bW10UDEzbDFvZU9hY2JIdHd0dzdad3owVldiYVppb3pGMS9WKy9xbDVadXVUMzB2TlV2OGJhUW5MbE9oVVBKM1RvbnBOeWVaM2E5amNiNU1pMHErSmxKYkpuMm5YbXdUWU4rSWRVL3VKaWRUM2VwNkhqSXlwK1FZSFczMUl0UjZaOXpuMXRMcHZPZkxOTmpoeUhpcDgvMFRzeXNIOUlIVC9yMGZZUGJaalQza3lZT3ZmekhoVmVuYStjK3F3bDF3OEFBSUQ1RVRpdWNIMnpma00vM2ZMTUlaaFlqY293Rmg4bWxWSG1WdDZXSEhYOWIrK01ub2lGeE1iaTZ0ODdwSXFYRk10d0dMSTdERzE2NXpwbDEyWEo3am5mbTVEYmtLMlNHd3ZVOWVzK0RaOGFsU1NWM0ZDZ2RhK3ZUQmsySkNsdlM0NHFYbEl5RVV5ZTcxVjBLS3JUWDJ0UitVdUtsYjg5ZDA3N3Z0OE9LaklRMWJZUFZpNWVPQUFBQUphRXdIRUZTMFFUNm42aVg1TFUvcE51NWRSbnpWZ1JhYjVlaS9sV1prckZ2TUR0SzhwZVZLU1QvOWFzZ1lOREt0aVZ0Mmo3bnFmNmxZZ2x6dGR0U3A1U3QwYk9qR20wSmFqUjVxQ0dUNDFxUEJDVnA5aWx5bGVVS205VHRnS0hoOVh2SDlSdjMzdFlHV1Z1NWRSbkthUENJMCt4VzY1OFIzSnk5NVN1WC9jbHYrNzhaYTg2ZnpreExHekRXMnFTeDZQRFVjbVVoazZNS0tQTWZXRnZIQUFBQUNrUk9LNWdYWS8xeWVWMUtqb1NrNmZFcmFhSDJ6WGNPS2JLbDVkYzBIMW16Mk9ZYnF3MUpCbFM3M1B6dC9FVXU1U3pmbUlJVXVHMStYSjh3Njd1eC9zV0R4eW0xUG0vdmZMdXpKT25aT0lEZnRldis5VDRZS3RrU0JtbEUwR2krdFZseXQrV3E5TmZiWkhOWmFqQWw2Y0NYNTdXdjdsYXdYTmhqWnllQ0NlRFIwY1U3dTVUeVkwRlM1N0hNbm8ybVB5NjRxVWxraWsxUHRBcWQ0RkwzcDF6ZTBFQUFBQndZUWdjVjZqWWFFeHRqM2FwOWs4cTFQaEFxNHF1elZmdXBtdzFmN3Q5M3FWZjU3T1UzbzZGMnBUY1dKZ01IRGFIb2NKcjh0WHoxSURHaHhiZW1UdHdlRmlocm9qV3YvbDhMMFBwaXdxVlhaK3B6QXFQYks2WkU3VEhXb01xdkhwbWlNbXM4Q2l6d3FOU0ZlcGlqTTVhc2F2aVpTVWFiaHpUbVlmYWRNMm50eTFwV0JnQUFBRG1SK0M0UXAzOTdqa1pEa01sTnhZazk2ckkyNVN0WFhkdlRrNFdmL0lXLzVMdU5kL1FxMFEwb2QrKzk3Qml3YmhxWGx1dW10ZVdMK2wreGRjWHFQczMvZXA1WW1EQmRoMy8wNjJzbWd6bGI4dEpIak5zaGh6WkRqMzlsd2RTWHRQODdRNDFmN3NqNWJtNm15dFYrWXJ6azlVWGUvL3p2ZStxVjVUcXdOMG5OSG8ycU95NnpBWHZBUUFBZ0lVUk9LNVFubEszMXYxNTVZTEx0RjdveG4remRUM1dwMWd3cnVMcnZXci9TYmVLcnk5WTB0eUcvSzA1cW5wVm1RcXZ5VmYvM25tR1lwa1RrN3FuTDJVN0pkV21lcjNQQmRUNmcwN3R1bnZ6ak1ua1UvYjk3VEU1TXVmK09HLzd3QVo1aWwwempvVjd4MmNzSXp5YlovSTlSZ0pSWmRmTjJ3d0FBQUJMUU9DNFFwVy91RWgyVCtyVm1hWmN5TVovc3dVN3dtcDU1SndLZkhscWVGdXRScHVQNi9qbnoyam5SemZKa2JYd2MyVkk2LzZzWXRFMjFhOHVTMzNLYnN5czNaUUcvRVBLMzVhYnNzY2hIa2xJcHVUSW5sdVhwOWgxd1J2MGhic2praVJuaXZzQkFBRGd3ckNMMlJWcXNiQnhLWUx0SVIyNWQyTGp2UTF2cVpITlpkT21kOVVwM0R1dVEvOTQ2b0xuaUZ5cWxrZk9hYlFscU5yWHBSN1NGUjJKU2RLTUhjOHZWTWRQdTNYaXk4MDYvYlVXSGY5OGsxeGVKM3R4QUFBQUxBTjZPRmF4V0RDZThuaGlQSkg2QWxQcWVyeFB6ZDlxbHozVHJ1MTNOc2lWNzVRa1phL0wxTlk3Nm5Yc2MwM2EvOUhqV3ZkbmxTcDlVV0Z5TTBBelppcWU0cjZKcURtamxuaDRvazBpa2toWjMvUTlOY3k0cWJQLzJhR09uL1dvN3ViSzVNVDAyU0s5RXowU3JnTFhuSFBoM3JuaEtOVXhaNzVUb1hOaEpXS21zdXN5VmZ1NmNobU9pNTh4bnZ3ZUUra0JBTUFhUitCWXhaNTk1OEdsTlRTbGZ2K2cydjY3UzZObmc4cmZucXROdDlYS21lZWMwU3gvZTY2dSt2dE5PdkhsWmpVKzJLcjJuM2FyNGlYRktucStWNEZEd3pyOWxaWWwxM0xpeTZsWHZicnhJZDlFUGZ1SDFQSmZIUXAzUjdUaDFocVYzVFN4VDBjOG5ORHdxVkU1Y3h5eVo5Z1ZEOGZWOHIxT2VVcmQ4aFRPRFJ3THpkV1lydVFGQlNwNVFjR1MycVppSmt4MS9ySlhkbzlkaHQxUTRQQ3dwSW1sZlFFQUFOWXlBc2NxZHQwWGQ2UThQdUFmU3E1c05UNFkxY0YvT0tsSTM3ZzhKVzV0ZWxlZGlwL3ZuZmVlV1RVWjJ2MlBXOVR4MDI2MS82UmJUUSszS3pvU1UvV3J5NVpsMzRwNEpLR0RkNTlRc0NPc0FsK2V0cnl2ZnNZY0RNTXVIZjk4a3hMUnlSNEVROHF1emRUbTk5U2xYTUwyNm51M3pwbkRFZW9NTDlNdTdPY1pOa01kLzlPdHlNREVVc0NHdzFEWlRVWEsyNXl6eUpVQUFBQ3JHN3NNckFBK244K1U1bCttZFRIaDdvamNSUzRaOXZQRG0wSmQ0WlFyUUVrVHc1dkdCOGFUNXp0LzFTdG50a09GMStRbjc3RVU4VkJjZzBkSFZIaE4va1hWUForaDR5Tnk1VHNYbk94dEpreVpjVk9HM1VnTzY1cHQ5dmNsZVczY1ZDUVFsYWZJcGVoSVRLSE9zSEkzWmw5NjRlWmtYYVprc3h1WDlLOXJha2xmdjkvUHYxRUFnR1Y4UHQvZGtqNG02ZU4rdi8vdTlGYUQxWW9lamxYQU0ydllqdUV3NWcwYjBzUThDVWZtK2ZQbEx5NitxT2ZhTSt6TEhxdUlkTlFBQUNBQVNVUkJWRGFraWVWeUYyUFk1ZzhhVTJaL1g1TFgyZzE1aWlhR1h6bHpISExtTEVQWWtDUmo0dDRrQkFBQWdQT1kwZ29BQUFEQU1nUU9BQUFBQUpZaGNBQUFBQUN3RElFREFBQUFnR1VJSEFBQUFBQXNRK0FBQUFBQVlCa0NCd0FBQUFETEVEZ0FBQUFBV0liQUFRQUFBTUF5QkE0QUFBQUFsaUZ3QUFBQUFMQU1nUU1BQUFDQVpRZ2NBQUFBQUN4RDRBQUFBQUJnR1VlNkM4QjVUOTdpVDNjSkFBQUF3TEtpaDJNRk1FM3o4WFRYZ0pXSG53c0FBTEFhME1PeEF1emZ2LyttZE5ld0V2aDhQbE9TL0g2L2tlNWFBQUFBc0R6bzRRQUFBQUJnR1FJSEFBQUFBTXNRT0FBQUFBQlloc0FCQUFBQXdESUVEZ0FBQUFDV0lYQUFBQUFBc0F5QkF3QUFBSUJsQ0J3QUFBQUFMRVBn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aHNBQkFBQUF3RElFRGdBQUFBQ1djYVM3QUt4TjI3WnR5ODdJeUZnMy9WZ2lrWkFrWFhQTk5kdW5IdytGUW1lUEhqMDZldm1xQXdBQXdISWhjQ0F0UEI2UEo1RklISkJrbjMwdWtVZ2Nudll5N3ZGNHlpUVJPQUFBQUs1QURLbENXdXpidDY5UDBxOFhhMmVhNW1PVGJRRUFBSEFGSW5BZ2JVelRmR1N4Tm9aaExOb0dBQUFBS3hlQkEybmpjRGgrS01sY29JbnBkRHAvZUxucUFRQUF3UElqY0NCdDl1eloweVhweVFXYVBQSGNjODkxWDY1NkFBQUFzUHdJSEVpcmhZWk1NWndLQUFEZ3lrZmdRRnJaYkxidnozY3VHbzNPZXc0QUFBQlhCZ0lIMG1yUG5qMXRwbW4rTnNXcDV3NGRPdFIrMlFzQ0FBREFzaUp3SU8zbUdUckZjQ29BQUlCVmdNQ0J0RXNWT094Mk80RURBQUJnRlNCd0lPMzI3ZHQzUnRMQnFkZUdZUnpZczJkUFV4cExBZ0FBd0RJaGNHQkZtTjdMa1VnazZOMEFBQUJZSlFnY1dCR21od3lXd3dVQUFGZzlDQnhZRWZidjMzOU0vNys5ZXcrTzhyN3ZQZjU1OWk2dFZwY1ZrcEJBRWlCdVF0d2tzT05iT25VbVNkdU1Uem1lc1UvbXREV3VKNmR4T3M0ZkdSY2Z4a21hNEF4eFN0TmtuSEdTY2R0cFlqTnhPNDZkazVNNmwyTTdyckVOcVdsQVlBeUlpeVF1a3RCZDZMbzM3ZTV6L2xpMHNGcXRKSXdlcnhEdjF3eUQ5bmwrK3p6ZlI0Z1pmZlozazA1SmFtcHNiR3pLZGowQUFBQ1lHNDVzRndCTU1BempsWGc4Ym1hN0RnQUFBTXdkQWdmbWpWZ3M5alBETUFnY0FBQUFDd2lCWXg2b3I2OC9hQmpHN2RtdVk3NW9hR2pJZGduemdtbWErNDRjT1hKdnR1c0FBQUM0RWN6aG1BY0lHNWlLWVJoL21PMGFBQUFBYmhROUhQUElQWHY1WkI4Sis3YzNacnNFQUFDQU9VRVBCd0FBQUFETEVEZ0FBQUFBV0liQUFRQUFBTUF5QkE0QUFBQUFsaUZ3QUFBQUFMQU1nUU1BQUFDQVpRZ2NBQUFBQUN4RDRBQUFBQUJnR1FJSEFBQUFBTXNRT0FBQUFBQlloc0FCQUFBQXdESUVEZ0FBQUFDV0lYQUFBQUFBc0F5QkF3QUFBSUJsQ0J5NFpaa3hNOXNsQUFBQUxIZ0VqcHRZc0RPVTlzZU1KMzZKSG1rWjA2SEhqeXZVRjdtaGUremYzcWhnWjJoV2JidmU2dFA0MEhqRzg4MC91cWpUejUxUDFuaTl6Smc1NDUvWmF0bmJwbU83ejBnM21EbTYzK25YNlIrZXU3R0xBQUFBTEdDT2JCZUFEKy93enBOcHgyNS9kb05jK1U2MXZ0Z3VkNGxia2xKQ2g4MXV5RlhrVEh2ZmRNRWtQREF1d3psMU52VXNja21Tb3FOUnRiM2FwUXV2WE5McVI1ZXBhR04rU3J0QVIwaGRiL2VwYWx1NURKc3g5WTFNS2RpVk9keE05YnlUYmYzdSttUk4wL0d0OEtyenQ3M3EydGVueGZjdW1yWnRMQlJUNVBMVVFjcHdHT3A5NzdMOERZWEtxODZac28ybjFDM0RudUdaQVFBQUZqZ0N4MDF1eTU1MXlpbjNxR3Rmbnk3K3ZGT3VmS2N1dmQ2amtlWXhTZEtoeDQrbnRQZFc1YWgrZDIzYWRTYTN1OWJ4UFdjem5ydG5iNE1reVpIblVQMDMxdXJVRDgvcnhIZWF0Znl6UzdUa00yWEpkcTB2dHN0Ym1hUEtiWXVUeDRaUGo4cHdHdkt0OEVxU1l1RjR4bEN4WmM4NlNkTFdiOWRKa2tMOUVSMy91N1Bhc21lZERKdWhlTlJVNDVNekI1SUpwWGY3MWZWV3I4YUhvek8ySFRnNlBHTXZ4blRuYjN0bWc5eis5SkFIQUFCd0t5QndMQkE5QndaVTl2RmlqYlVGZGY2bERxMytmTFZLN3lsT25oOXJDK3JvMTA5cDBXMkZHYTh4RVY2dXRYOTc0NVRIZzUyaHRIRGd5SE9vYmtlTnp2MWJod3JXK3BMSGUvOXpRTU9uUjdWcDE1cVVUL3JiZjlXdHdLV1FHcDZ1bGMxbGs5MWpTd2FZeWZlZEdOYmxLWE9uM0hPaTl5QStIazk3bnYzYkd6TSs2NFRoczJPNjhMTkxVNTV6NU5wMXgzT2JrcThuYXB2UTkxK1g1ZlE1VkZEcm0veld4TFhQakNhR2JRRUFBTnpDQ0J3TFFLZzdyT0V6bzFyMllJVk9QdE1pMzZvODVhLzFYUjBtWlVwbi92Rzh2RXR5VkhLblg2RytpTnhGenJSaFBwbDZGMll6bENrV2pNbm1zc213RzFyeDUwdVR4OE1ERWJYc2JkZUt2MWdxYjJYcWtLTlZmMVd0eGk4MzZkeExIYXA1cUhKV3p6b1JQTUw5aVdjTGRvVmwyS1I0TkgweXhrU3Z5SVRSY3dHZGZ1NjhWdjJ2YXVXdjhzNThNeVB4L2NrcGMydnBmV1Vwb2VieUJ5TTY5WU56cW5tb1VyNlZVMS9MbWUvVTB2dktaSGN6bkFvQUFOeTZDQndMUU5mYi9TcGM1MU1zRkplNzJLV3hpOEdNUTZRTzdUZ2hhZXJlalBVN1Y2WDFJQng2L1BpVXgwUGQ0WlNoVnFkK2NFN2pJMUd0Zm5TWmNpc1MxNDBHWW1yNlhxdUtOdVduekpNd1k2Wmk0YmpNcUtuSys4clUrcS90S3JtalNQbXI4bVo4MXNuaFo3cGhWSk9mYnlLazVGWjQwczVONStqWFQwbVMybi9ablhhdVpXK2JXdmEyVGZ2KzZGaE1LeCtwbXZYOUFBQUFGaElDeHdJd2RISkUrYXU5S3RxWXI4STYzNHdUbENjUE5USmpwalk4dVVxdW9wa25XMDl3Rjd1MDRjbFZNbU9tREx1aFpaOWRvcVpuV25UMGE2ZFVzNzFTcFhmNzlmNnVVd3AyaFJYdWoramdGNDhwSGpFVkg0OVB1WnBVeXd0dDJ2eU50WmtubEY4eE1hd3AxQjNXb1NkTzZPNGYxeWVIVlAzdWMwZW5mVzhzbk9paHNMbXZiM0cycmQ5ZG4vdzZNaERSeVdkYVZYYVBYK1dmTGsxcEZ4Mko2c1IzVzFUY1VLQ2wvKzNxWEJXSGg4WGdBQURBcll2QXNRQlVQMWloRTk5cFZ2bW5TK1ZaNU5LaEhTY1U2Z25QK3YzQnpwQSsrRmJtaWVIVFRScHZlTHBXdVV0ejVLM00wYVpkYTlYMFRLdUdUNCtxN0ErS3RlajJJb1g3SS9LVXVlWDBPZVRNYzhqaHRjdWVZNWZkTS9HM1RjSE9rTjUvNnJRNjMraFZ4MnM5Q2w4WkNqYlJtK0VwZGF2dWIycG0vVHlaeElJeFNkS1JyelJOMjY3MG5tS3QvbngxOHZXMXExNTE3K3VUWVRjMGNIUkkwVUJNK1d2eVZMQW1UNkhlaUpwL2ZGSDVOYm1xMlY3SnFsUUFBQUJYRURnV2dNSTZYMktaMTlkN3RQelBsbXJ6VTJ1bjNldmk0R1BIMG80Wk5rTjNQMStmZGp6VHBIRkpPdkNYUjFKZU8zME9yYi9TNnlGSjFROVV6S3ArWDQxWGxYKzZXRVViOCtXdkw1QVpNM1Y0NTBuVjdWZ3BUNGxMaHQxSVhuTnk3OHlCUjQ1TWRja3BSUzZQUzRiVThQUTZHUms2SFk1KzdaUWNPWmw3SktvZnFGRDFBeFVhYlEybzQ3VnVOZi9MeGVUMzJ1RjFxR2hUZ1VLOUVlVXNkbWU4QmdBQXdLMkV3TEZBK0RmbnErZkFnSmFia3MxbFNMcitUOWd6N2NVeDNUNGNrOW5zaHVTNGV1L1piaG80VlRqeGxMalNWcW1hbUFnZTdvL28rTjgzcStGYjY1S1R4bWZxdVFoY0NzbnRkeWwzU1liNUc2WVVpOFJsejAzOWJ4RzVQSzZlL2YwSzlVY1U2b2tvMkJsU3VEOGl1OGNtZjMyQlN1NG9rcnZZcGY3R1FYWDhwbHZOUDc0b1Y1RlRoYlUrTGYrZlMrUXNZRWxjQUFCdzZ5SndMQkF1djB1UndYRmQvbUJZSi82aCticmZiOGJOakJQTnB4dFNOVm5MM2phTmowYTE5ckhsa21hM3dwV1V2dVRzWkRubG51UjhEVW5KdVI0NWk2OXVxbmZ0K1RTbU5OUTBtbkZGS1NteHdaOU15ZUcxcHh4M2VPM3FmS3RQcmtLbnZFdHpWRnhmSUYrTlY5N3FISVY2d2pxODg2VHUyZHNnMzBxdmx2MlBKUXEwQjlYM1g0TWFiaDZUTTUrd0FRQUFibTBFanB2YzZQbUFvc0dZK244L0tGZUJVNFhyZkxyOTJRM0o4eDIvNlZIcFhYNDVDNjcrVTdmK3BGMTJ6OVZmcWwxRkxxMThwQ3B0eCszaHM2UHFlWGRBMVE5VXlKbWYvcVBTOVZaZjJrVHpnZmVIbEZlVnV2eHRwaUZaMHRUN2VXUnFkNjNKeStKT2NCZTdaSE9sOThZTW5ScFJlQ0NpNnMyWmgzbEZ4eEp6UEp4NTF3UU9NM0d2OVUrc1RHc2Y2Z2tyMUJ0SnE4K3dHeXE1czBnbGR4WXAyQldTelcyVDJ6LzdDZmtBQUFBTENZSGpKdGYzKzBIMUh4cVVJOWV1bW9lcjFQMXV2NHEzRnVyd0V5ZFV2N3RXdzJkR05YSjJWQnUrdkZxRzNWQ2dQU2hIamwydXdxdWZ2TWNqY2JrS25JbGZyaStQcStYNWkxcjNlSTJhZjNSUlpzeFVxRGVjRmppaWdWaHlXTkdFc2JhZ3duMlJXYy9kbUsxWUtQTU81Sk9YeFYyL2M1VUs2OUkzNHJ2NGY3dms4TnBWdkRYenhvZmpvNGxkeHgxNVY1ODFIczE4NzJ0TjE2YXd6cWYxTzFmTmVBMEFBSUNGaU1CeGs2dTZ2MXdySDZtU3cydFgzOEhMT3YvVERpMjZyVkRSUUV5eUdWcjd4UlU2K3JkTkdta2VVelFRazJsS0EwZUgxUGJ2WGFyY2xsaTZ0ZnVkUG5YdDY1ZS92a0R4Y0V3RFI0Y2tTWFU3VnFycDJWWjk4TTB6YXRoVEowK0pTeTB2dENrOEVGSE53NVhxZkxOWHNYQTh1ZEhmUU9PZ0RMc2gvK2FDT1htMnRsZTdGR2dMS1RJOG5qYmthdkt5dU5QcGZydGZRMDBqcW42Z0lpVWdUUllaSEpja3VhNFpCbVZ6MnRLSGUwMThEMy9ScGZoNFhHTnRRZVdVZTVSVDVsYjFBeFh5VHVyaEFRQUF1SlVST0c1eU5vY2hweS94ejNqcGpWNlYzT0ZQbWVEdDlqdTE1ZHQxY3VUYWRmYWZMeWcrSGxmTnc1VTY5ZjF6S3RxY0wyOWxqcnJmSFZEcDNmNjBlZWJ1WXBjMmZtVzFocHBHNVNsSkRBa2F2UkJRTEJpVDIrOVN6VU9WT3YzY2VSWFcrdVJ2S0ZEdmU1ZFZVT3VUSXpkMURrUXNHRThFb0NuRWdsZDM3NDRNamF2OTFXNzFIeDZVSlBYc0gxRGVzbHlWZjZMa1EzOS9oaytQcXVXRmkvSlc1bWpwWjhxbWJUdlNQSlo0N2tWVERIOHlwWkZ6WStvL1BLVGVBd055NU5sVmRYKzVjaXM4T3J6enBPcDNyMVhIcjd0MTdKdG41RjNxVWNsZGZ2azNGVXg5TFFBQWdGc0lnV09CR0dvYTBlaTVnTmI4OVhMWm5JWnNUcHNHRGcrcWNIMWllTkhZaFlBdWZ6Q3NwZmVWcVhoTG9kWjhZWm04UzNQVS9VNi93djBSTGY1RVl2NkcwK2VRREtuN25YN2xyMHBNc1BhVXVCVHNER24wZkVDanJRR1ZmeW9SQUVydThxdjN2Y3NhYXd2S3ZjaWxRRWRJNVo5TUR3ZEhkNTJhMVRQWW5EWjEva2V2ZkN1OFd2SW5wU3JlV2lTMzM2bGdaMmpXY3pna0tXZXhSeklTdlJDbnZuOU85bHk3YXI5VUkrT2ExYk11dmRhajhNQzRYQVVPMlhQc0NnOUUxUEhyYnZsV2VsT0dqMFV1ajZ2MXhYWU5OWTBvR29qSnY3bEFLejlYcGFJTitZbjdYNm5MNXJTcGNsdTV5ajlWcXU1Myt0WDUyMTYxdk5BbTl5S1hpdXNMdE9LaHlsbDlEd0FBQUJZYUFzY0NVVkRyVS8zdTJtUlBST1cyeFRyLzB3N0ZYMHpzRVdFNERPV3Z6bFBaeDRzbFNZcytWaVFwc2FsZTlZTVZ5VW5Oamp5SHF1NHZWK3RQMmhPck5sM0Q1cktwY0VPK3FyWmQzVVc3OWtzclpOZ01kYjdaS3htU3Z6NTlqc1RHcjY2V3AyenFmU2xDM1dFZDIzMG1jZTljdXo3MjdNYTBWYUttbXg4eGVRNkhKTjM1VDVzMVBqeXVwdSsxeWxYbzFQci92VEw1ZlprUURjUjA2ZldlcTd1ZUc0bjlRTlo4WVZsS08xZVJVMFdiOGxXNHpxZmkyd3FUdlVtWk9ITHRXdkxIcFZyeXg2VUt0QWZWM3ppa29vMzUwNzRIQUFCZ0lXTTc1SG1nb2FIQmxHWmVHbmF5bnQ4TnFMaStRUFljKzh5TlB3S2gza2phTC9ZWFhybWtpajhxemZpTCt2aElWSmRlNjVuemllYVNkUG45SWZscXZDbVR3Q2N6bzZiaTQzRVpqa1N2MFBVeW80bEo5WmxXNGZxd0pqWTRiR3hzNVA4b0FNQXlEUTBOdXlSOVhkSlRqWTJOdTdKYkRSWXFlamh1WXFWMytiTmRRb3JKWVVPYWViZHhwODloU2RpUXBLSk5NMDllTnh5RzdJNFBIOWdNaHpIbllRTUFBR0FodWY2UGRBRUFBQUJnbGdnY0FBQUFBQ3hENEFBQUFBQmdHUUlIQUFBQUFNc1FPQUFBQUFCWWhzQUJBQUFBd0RJRURnQUFBQUNXSVhBQUFBQUFzQXlCQXdBQUFJQmxDQndBQUFBQUxFUGdBQUFBQUdBWkFnY0FBQUFBeXhBNEFBQUFBRmlHd0FFQUFBREFNbzVzRjRDcjltOXZ6SFlKQUFBQXdKeWloMk1lTUUxelg3WnJ3UHpEendVQUFGZ0k2T0dZQjQ0Y09YSnZ0bXVZRHhvYUdreEphbXhzTkxKZEN3QUFBT1lHUFJ3QUFBQUFMRVBn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aHNBQkFBQUF3RElFRGdBQUFBQ1dJWEFBQUFBQXNBeUJBd0FBQUlCbENCd0FBQUFBTEVQZ0FBQUFBR0FaQWdjQUFBQUF5eEE0QUFBQUFGaUd3QUVBQUFEQU1nUU9BQUFBQUpZaGNBQUFBQUN3RElFREFBQUFnR1VJSEFBQUFBQXNRK0FBQUFBQVlCa0NCd0FBQUFETEVEZ0FBQUFBV0liQUFRQUFBTUF5am13WGdGdlR4bzBibHpvY2pxOU9kYTZob2VHNWExOUhvOUhkeDQ0ZGEvOW9LZ01BQU1CY0luQWdLOWFzV2RQWjNOejgzdzNES0p2aTlLTVRYNWltMmIxbXpackhqaDA3OWhGV0J3QUFnTG5Da0Nwa3hjc3Z2eHl6Mld3L24wWFQvL1B5eXkvSExDOElBQUFBbGlCd0lHdmk4ZmpQWnRGc05tMEFBQUF3VHhFNGtEVTJtKzF0MHpRSHBtblNYMUJROFBaSFZoQUFBQURtSElFRFdYUDQ4T0Z4d3pCK01VMlRYK3pidHkvNmtSVUVBQUNBT1VmZ1FGWVpocEZ4eUpUTlptTTRGUUFBd0UyT3dJR3NHaG9hK3EyazRTbE9EUThPRHI3NVVkY0RBQUNBdVVYZ1FGWTFOemVIVGRQODVSU25YbTF1Ymc1LzVBVUJBQUJnVGhFNGtIVVpobFV4bkFvQUFHQUJJSEFnNnd6RCtIK1NBdGNjQ2hpRzhWcTI2Z0VBQU1EY0lYQWc2dzRmUGh5UTlKdUoxNFpoL1ByS01RQUFBTnprQ0J5WUYwelRUQTZobXVXR2dBQUFBTGdKRURnd0w3aGNybDlOZkoyYm0vdXI2ZG9DQUFEZzVrSGd3THh3OE9EQllVbS9sUFRxZ1FNSFJySmREd0FBQU9hR0k5c0ZBTmY0bVdFWVpyYUxBQUFBd053aGNNd0Q5ZlgxQnczRHVEM2JkY3dIcG1tcW9hSGgrV3pYTVIrWXBybnZ5SkVqOTJhN0RnQUFnQnZCa0twNWdMQ0JxUmlHOFlmWnJnRUFBT0JHMGNNeGo5eXp0eUhiSldDZTJMKzlNZHNsQUFBQXpBbDZPQUFBQUFCWWhzQUJBQUFBd0RJRURnQUFBQUNXSVhBQUFBQUFzQXlCQXdBQUFJQmxDQndBQUFBQUxFUGdBQUFBQUdBWkFnY0FBQUFBeXhBNEFBQUFBRmlHd0FFQUFBREFNZ1FPQUFBQUFKWWhjQUFBQUFDd0RJRURBQUFBZ0dVSUhBQUFBQUFzUStBQUFBQUFZQmtDQnhUc0RLWDlNZU9tSkdta1pVeUhIait1VUYva2h1NnhmM3VqZ3AyaFdiWHRlcXRQNDBQakdjODMvK2lpVGo5M1Bsbmo5VEpqNW94L0FBQUFNRGNjMlM0QTJYZDQ1OG0wWTdjL3UwR3VmS2RhWDJ5WHU4UXRTU21odzJZMzVDcHlwcjF2dW1BU0hoaVg0Wnc2NDNvV3VTUkowZEdvMmw3dDBvVlhMbW4xbzh0VXRERS9wVjJnSTZTdXQvdFV0YTFjaHMyWStrYW1GT3pLSEc2bWV0N0p0bjUzZmJJbUFBQUFmSGdFRGtpU3R1eFpwNXh5ajdyMjllbml6enZseW5mcTB1czlHbWtla3lRZGV2eDRTbnR2Vlk3cWQ5ZW1YV2R5dTJzZDMzTTI0N2w3OWpaSWtoeDVEdFYvWTYxTy9mQzhUbnluV2NzL3UwUkxQbE9XYk5mNllydThsVG1xM0xZNGVXejQ5S2dNcHlIZkNxOGtLUmFPWnd3VlcvYXNreVJ0L1hhZEpDblVIOUh4dnp1ckxYdld5YkFaaWtkTk5UNDVjeUFCQUFEQTdCQTRrS0xud0lES1BsNnNzYmFnenIvVW9kV2ZyMWJwUGNYSjgyTnRRUjM5K2lrdHVxMHc0elVtd3N1MTltOXZuUEo0c0RPVUZnNGNlUTdWN2FqUnVYL3JVTUZhWC9KNDczOE9hUGowcURidFdpUERmclYzby8xWDNRcGNDcW5oNlZyWlhEYlpQYlprZ0psODM0bGhYWjR5ZDhvOVBhVnVHWFpEOGZINGpOOGpBQUFBekI2QkEwbWg3ckNHejR4cTJZTVZPdmxNaTN5cjhwUy8xbmQxbUpRcG5mbkg4L0l1eVZISm5YNkYraUp5RnpsVGZ2bVhNZzlabXMxUXBsZ3dKcHZMSnNOdWFNV2ZMMDBlRHc5RTFMSzNYU3YrWXFtOGxUa3A3MW4xVjlWcS9IS1R6cjNVb1pxSEttZjFyQlBCSTl5ZmVMWmdWMWlHVFlwSG1iOEJBQUF3bHdnY1NPcDZ1MStGNjN5S2hlSnlGN3MwZGpHWWNZalVvUjBuSkUzZG03Ris1NnEwSG9SRGp4K2Y4bmlvTzV3eTFPclVEODVwZkNTcTFZOHVVMjVGNHJyUlFFeE4zMnRWMGFaOExiNTNVYkt0R1RNVkM4ZGxSazFWM2xlbTFuOXRWOGtkUmNwZmxUZmpzMDRPUHd5akFnQUFzQWFCQTBsREowZVV2OXFyb28zNUtxenpwZlZjVExaL2UyUEthek5tYXNPVHErUXFtdjFrYTNleFN4dWVYQ1V6WnNxd0cxcjIyU1ZxZXFaRlI3OTJTalhiSzFWNnQxL3Y3enFsWUZkWTRmNklEbjd4bU9JUlUvSHgrSlNyU2JXODBLYk4zMWliZVVMNUZSTkRya0xkWVIxNjRvVHUvbkY5Y2tqVjd6NTNkTmIxQXdBQVlIb0VEaVJWUDFpaEU5OXBWdm1uUytWWjVOS2hIU2NVNmduUCt2M0J6cEErK0ZibWllSFRUUnB2ZUxwV3VVdHo1SzNNMGFaZGE5WDBUS3VHVDQrcTdBK0t0ZWoySW9YN0kvS1V1ZVgwT2VUTWM4amh0Y3VlWTVmZE0vRzNUY0hPa041LzZyUTYzK2hWeDJzOUNsOFpDamJSbStFcGRhdnViMnBtL1R6elFYMTkvU2V6WFFNQVlPRXlUZk9UaGpIOWgzVEFqU0p3SUttd3ppZmZDcTg2WCsvUjhqOWJxczFQcloxMnI0dURqeDFMTzJiWUROMzlmSDNhOFV5VHhpWHB3RjhlU1hudDlEbTAva3F2aHlSVlAxQXhxL3A5TlY1Vi91bGlGVzNNbDcrK1FHYk0xT0dkSjFXM1k2VThKUzRaZGlONXpjbTlNd2NlT1RMVkpiUE9NSXczc2wwREFHRGhNd3dqbHUwYXNIQVJPSkRDdnpsZlBRY0d0TnlVYkM1RDB2Vi82cEZwTDQ3cDl1R1l6R1kzSk1mVmU4OTIwOENwd29tbnhKVzJTdFhFOHJqaC9vaU8vMzJ6R3I2MUxqbHAvTWhYbW1aMXI0L0ltOWt1QUFDdzRJMUhvOUdYc2wwRUZpNENCMUs0L0M1RkJzZDErWU5obmZpSDV1dCt2eGszTTA0MG4yNUkxV1F0ZTlzMFBoclYyc2VXUzVyZENsZlMxYmtabWVTVWU1THpOU1FsNTNya0xIWW5qMTE3UHRzYUd4c1pVZ1VBQUc1cUJBNUlra2JQQnhRTnh0VC8rMEc1Q3B3cVhPZlQ3Yzl1U0o3ditFMlBTdS95eTFsdzlVZW05U2Z0c252c3lkZXVJcGRXUGxLVnNwS1VKQTJmSFZYUHV3T3FmcUJDenZ6MEg3bXV0L3JTSnBvUHZEK2t2S3JVNVc4ekRjbVNwdDdQSTFPN2EwMWVGbmVDdTlnbG0ydDJ2VEVBQUFESWpNQUJTVkxmN3dmVmYyaFFqbHk3YWg2dVV2ZTcvU3JlV3FqRFQ1eFEvZTVhRFo4WjFjalpVVzM0OG1vWmRrT0I5cUFjT1hhNUNwM0phOFFqY2JrS25KSXBoUytQcStYNWkxcjNlSTJhZjNSUlpzeFVxRGVjRmppaWdaakMvUkhaUFZkL3VSOXJDeXJjRjVuMTNJM1ppb1V5NzBBK2VWbmM5VHRYcWJET04yVmJBQUFBekI2QkE1S2txdnZMdGZLUktqbThkdlVkdkt6elArM1FvdHNLRlEzRUpKdWh0Vjljb2FOLzI2U1I1akZGQXpHWnBqUndkRWh0Lzk2bHltMkxKVW5kNy9TcGExKy8vUFVGaW9kakdqZzZKRW1xMjdGU1RjKzI2b052bmxIRG5qcDVTbHhxZWFGTjRZR0lhaDZ1Vk9lYnZZcUY0OG1OL2dZYUIyWFlEZmszRjh6SnM3VzkycVZBVzBpUjRmRzBJVmVUbDhVRkFBREEzQ0p3UUpKa2N4aHkraEkvRHBmZTZGWEpIZjZVQ2Q1dXYxTmJ2bDBuUjY1ZFovLzVndUxqY2RVOFhLbFQzeitub3MzNThsYm1xUHZkQVpYZTdVK2JaKzR1ZG1ualYxWnJxR2xVbnBMRTBLblJDd0hGZ2pHNS9TN1ZQRlNwMDgrZFYyR3RULzZHQXZXK2Qxa0Z0VDQ1Y3UwcDE0a0Y0NGtBTklWWU1KNzhPakkwcnZaWHU5Vi9lRkNTMUxOL1FIbkxjbFgraVpJYi9qNEJBQURnK2hBNGtHS29hVVNqNXdKYTg5ZkxaWE1hc2psdEdqZzhxTUwxaWVGRll4Y0N1dnpCc0piZVY2YmlMWVZhODRWbDhpN05VZmM3L1FyM1I3VDRFNG41RzA2ZlF6S2s3bmY2bGIvS0t5bXhXbFN3TTZUUjh3R050Z1pVL3FsRUFDaTV5Ni9lOXk1cnJDMG85eUtYQWgwaGxYOHlQUndjM1hWcVZzOWdjOXJVK1IrOThxM3dhc21mbEtwNGE1SGNmcWVDbmFGWnorR1FwSnpGbmcrelNCY0FBQUN1UWVCQWlvSmFuK3AzMXlaN0lpcTNMZGI1bjNZby9tSmkvd3JEWVNoL2RaN0tQbDRzU1ZyMHNTSkppVTMxcWgrc2tOdWZlSjhqejZHcSs4dlYrcE4yeFVLcHZSSTJsMDJGRy9KVmRXVW9saVRWZm1tRkRKdWh6amQ3SlVQeTF4ZW0xYmJ4cTZ2bEtYTlBXWGVvTzZ4anU4OGs3cDFyMThlZTNTaUhON1dIWkxwSjVaUG5jRWpTbmYrME9XVnVDUUFBQUs0Zm45L09BdzBORGFZMDg1S3VWdW41M1lDSzZ3dGt6N0hQM1BnakVPcU5KQVBQaEF1dlhGTEZINVVtaDMxTk5qNFMxYVhYZXVaOG9ubTJUR3hNMk5qWXlQOVJBQUJ3VTZPSEF5cTl5NS90RWxKTURodlN6THVOTzMyT0JSTTJBQUFBRmhMR2l3QUFBQUN3RElFREFBQUFnR1VJSEFBQUFBQXNRK0FBQUFBQVlCa0NCd0FBQUFETEVEZ0FBQUFBV0liQUFRQUFBTUF5QkE0QUFBQUFsaUZ3QUFBQUFMQU1nUU1BQUFDQVpRZ2NBQUFBQUN4RDRBQUFBQUJnR1FJSEFBQUFBTXNRT0FBQUFBQll4cEh0QW5EVi91Mk4yUzRCQUFBQW1GUDBjTXdEcG1udXkzWU5tSC80dVFBQUFBQUFBQUFBQUFBQUFBQUFBQUFBQUFBQUFBQUFBQUFBQUFBQUFBQUFBQUFBQUFBQUFBQUFBQUFBQUFBQUFBQUFBQUFBQUFBQUFBQUFBQUFBQUFBQUFBQUFBQUFBQUFBQUFBQUFBQUFBQUFBQUFBQUFBQUFBQUFBQUFBQUFBQUFBaEU3UExBQUFBTDVKUkVG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E3UGovRWgxdTB5V2RKTFFBQUFBQVNVVk9SSzVDWUlJPSIsCiAgICJUeXBlIiA6ICJmbG93IiwKICAgIlZlcnNpb24iIDogIjgxIgp9Cg=="/>
    </extobj>
    <extobj name="ECB019B1-382A-4266-B25C-5B523AA43C14-2">
      <extobjdata type="ECB019B1-382A-4266-B25C-5B523AA43C14" data="ewogICAiRmlsZUlkIiA6ICI3NzMyNzUzNzAxNCIsCiAgICJHcm91cElkIiA6ICI1MTU4OTQ4ODgiLAogICAiSW1hZ2UiIDogImlWQk9SdzBLR2dvQUFBQU5TVWhFVWdBQUFuUUFBQVJpQ0FZQUFBQXRObXB6QUFBQUNYQklXWE1BQUFzVEFBQUxFd0VBbXB3WUFBQWdBRWxFUVZSNG5PemRlWHhqWmFFLy9zODUyYmNtYWRwMDM1ZVphVHRMTXl3aTZBOTN2SElWbDZzWEZ4UzVvbjRSRnk2S3VJRTZjdVc2YjRCNnJ3dWk0cFc1Q0lLb2lIY1VFQWFZemtKbjJzNTAzOUlsemRwbVB6bS9QOUowMGpacE0ydWI5dk4rdmZxaU9lZkp5Wk15cC9uMFdRR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hUUlTMXJnRFJldFBlM3I1ZkVJU0wxcm9ldEw3SXNyenY0TUdEcjFqcmVoQVJaU0t1ZFFXSTFodUdPY3BFRUlUTDE3b09SRVRaS05lNkFrVHIxV1gzT3RhNkNyUk9QSFZOeDFwWGdZaG9SV3loSXlJaUlzcHpESFJFUkVSRWVZNkJqb2lJaUNqUE1kQVJFUkVSNVRsT2lpQTZGMlJBbG1RazRqSVNzUVFTc1FTa2NBSlNXSUlVU2lBK0YwZDhUa0xNSDBQVUcwY2lta0RUQjJyT1c5MEc3aCtEMnFwQ3hSWDJNN3JVeEQ0WHZDLzZVZkdHRXBqcURXZXBncm5wLytVb2JBNHp6TnRNaUFlbG5KNmoxQ3ZPY2EySWlOWUdBeDNSV2ZUMCt3NUNsbVZBemw1R1ZJbFFhT2UvZEFvbzljbXZtQzhHbFZrRklCa0duNzcySUpRR0JTQ3N2RnlrTE1sUUdoUzQ4SnR0dVZWU0FCTHhCQVorUFFwOWhSYlc3UVc1dnIxRjNBZDk2UHZaQ0NBQVVXOGNiYmMyUVZSbXJtc2lMaVBxaldVOE4zRGZDR1k2Zkt1K1h2cXNZeWtzd2ZuRU5BcmJ6WkFsR2M5KzZIQk9kZWJNWlNMYXFCam9pTTRpT1NHajhzb1NGRjFraGFnVUlDaEZpQ29Cb2xxRUhKZmg2d3JBMGxZQVZVRnV0NTdTb0lTZ1dEblFKU0taVzZmaVFRa3hYK1lRVlhwNUVkd0hmWmgreGcxdGtUcGpHVzJ4QmtLV2dPWSs1RVAzOXdkZ2FUT2g1cTNsZVBHckozRDhoNFBZOHFIYWpQV2RHd3ppOEpkNk1sN3JvdTlzUiswN2t1OGhFWk54K1BadWxGOWhSOG5MYkJuTEE0RG54UUJFcFFCenMzSGhXT1A3cTFIWWJzNVlQandad1pFOXg3TmVqNGdvM3pIUUVaMWwyaUlOakxYNlpjZER6akI2N2huRTlsdWJZQzR3NVhTdHRrODJRbHVpV2JHTTU0Z2Z2VDhiWG5iYzlhd240L0YwVTArNU1mV1VPK001eHgzYm9LL1VMVHZ1ZkdJYS9mZU53cnpOaEcwZnJZZW9GdEh5OFhvYy9VWWZqbjJyRDFzL1VnK0Zkdkh3WEZPREFTLzk3MTBBZ0g5Y2R3aU43NnVHL1dXRkFKSXRsa0N5WmRMZDRVTWlMcVBrWlRib3lyUlo2ejM5OUF3S2Q1a2hLQVhJVXJJNVZHbFFRajNmd3JtVWxHT1hMQkZSdm1LZ0l6b0hWbHFJOXNYL09KSHgrTzQ3VzVhRm1NTmY2Z0hFVmJwYzR3a29kTm5IaGkzdFpwd2RDQ0xzaXNLMjJ3d2h3N1Y5WFlHTWRZd0hKZlQ5ZkFUVHo3aFI4bkliR3ErdFhtaU5NMjh6WWZ1dFRUajJ6VDRjL21JM21qOVl1empVQ3FuZ05rOWM4bmllNnprUDlKVzZGY05jTEJDSCs3QWZXejlTbDdVTUVkRm13MEJIZEE3c3ZyTmwyYkh3ZEJSSHY5Nkw1dXRyWVdwWTNvS25MVjdlRXJmekMxdE91NFV1bThIL0dVTjRPZ3FiSTNQM1pDYXUvUjcwLzJvVVVsQkMwM1UxS1BuL2xuZUhtaG9NMkhuYkZuVC9ZQUNIdjlpRDh0ZlpVZm1HRXFoTXVmMmFrVUlTWmpwOHFMcXFkTVZ5NDMrZWdpekowSmN2RG4xUlR4UWhaempqYzhMVDBaenFRRVNVcnhqb2lNNkJsVnFZTkRaVjF2TUhQOXVGOEZRRUFDQ0lBam8rMjdYYW5Bakk4ek5xbi9uQUlRREExaHZyWWQxUmdKTExiUXZkbWluK0U3UHdIZzJnK2ZyTVk5MEF3THpWaEpmKzl5NklTaEgrRTNNWXZIOE0vaE96c0xTYTBIaHROYlQyN0FGVGE5ZGc1eGUyWVBoQkowWWZuY1RFRTlPb2UyY2xDaDFtUEhmaml3dmxlbjh5ak42ZkRFTlVDbmpwVDlvQkFCTi9tNEVzeVJoN2RCSmFteHFDVW9ETllRSFNxaW1GSkRqL01wM3h0ZnZ2RzEzNUIwVkV0SUV4MEJHZGJmTUJaR2xyVWFxVktESVRXM1l1RmZEYXY3THRyRlFodFNUS1VrTy9IWWZhcW9LeFRwKzFOV3ZSZFFKeFJIMHhiUDFJSGZ3bjV2REN6VWR6cnNNRlgydkY0Ry9IVWRCc2hNcWtYR2kxUEhETE1kUzh0UnhGRjFrV1p2REtDUm5PUDAvQmZta2hKdmE1RUhTR01mYm9KS3F1S2tQbEcwb1dyam44b0JPTEVoNlN3YmZvWWlzcXJyREQxSkJjT3VXcGF6b1dkV0hIQW5HTVBqS1pjOTJKaVBJTkF4M1JXU0lua29QelUrUFNEdHh5TEdPNTR6OGFYSFpzNlRpM2tET01BN2NjZzlLNCtCYU56OGFUYTZtbGozMUx5SWdIcFVYWG1IcHFCdjIvek41aTFYRnI1cnBscWxkaHV4a1FraTEzWmE4c1duUis4dTh6R0gxME1tTVhzN1pFczJpY1czcXJwTXFzWFBSNDZrazN3ak5SbEwvT2pvbDlMbWhzYXRTK3ZRTDl2eHFGcGRVRVk2MGVpV2dDNDMrWlJ0Ty8xZUQ0UFlNblgwZ0F0dDZ3OG5nNmxVbUp1cXNyY25yUFJFVDVpSUdPNkN4SnhKS0JUbFNmREZ0Tkg2aFpXSDVEVHNpSUJlSlFHVTh1UlRMNTVBeE8vSGdvNnpWZmN0ZU9SWStmdXFZRE8yL2JzaWdNcGNKZnV2TFgyVkgrdXBPTEJzZm40amp3cVdPdzdqU2orZnJsQ3hpUFBPVEV5RU1UdVBBNzI1ZVBlWnQvTzZvQzViTGxWbEpsVitwaVhvMFVsakQ0d0RpS1gyS0Z2dUxrZGNwZVhRelhDMTcwM0QySTlpOXZoYWdXazdOalgxcTRFT2llL1g5SEVKK05aN3h1dGtETnRlaUlhQ05pb0NNNlMxSkxZMlRialNEaWp1R0ZtenF4L2JQTk1HOHhaaXl6VktaUWN2VHJ2UkNVSjJlSXl2SEVxdGNadUg4TXNpU2o3bCtYdDFMRkFuR00vV2thOXN0c09VOWdPRk5TT0FIM0lSOUNFeEhFdkRIRTUrS29lVXY1NGtJQzBIUmROVHB1N2NMZ2I4ZFIvNjVLbEx4ODhXU01YYmR0V1dnWkJZQ3BwOTF3SC9SaGJpUUVYWmtXYW9zS2plK3JPaDl2aVlob1RUSFFFWjBsRVU5eWpKemFtbm1oWGptV0RGN2lLZ3NGcDF2YWxmblVOUjFvdmJseDFSYTZkRkZ2YkdGOXQrR0huQ2gvalIyNjB1VEVCamtoNC9nUEJ3RUExVzh0VzdFdUt5M0ZrdW1jMXE3QkJWOXZUVDZRazh1bHVBOG5kNFFZK05Vb0JLVUFUYUVhRVZjVWxWZVdaSnpOcTdWclVIbGxDWVovNTBUUlJWWVVOQzNlWGl6OU9lSHBLSngvbVViTEp4cHc1Q3ZIVVhkMUJicS8yNCs1MFRDS0xyU3MrTjZJaVBJZEF4M1JXUkp5UmdBQjBOb3pCN3FvTDlrMW1Pc3VFUUN3UDIxbWFNcVJQY2VYamFGYmlkcWl3b1hmYXNQazMyWXc5c2RKT1A4eURWdTdHV1d2dFdQaWlXbDRqd2JRY2xORDFrVjVVektOazF0cERGMzZMTnJwWnozb3VYc0FvbHFFYmJjRlJSZGFZR28yNHNVOXg2RzFxMUgxeHV4TGxWUmVXWUxwWjl3SWpvYVdCYnFVK0Z3Y1I3L2VpK0pMQ2xFdzMvcXBLOUdnL3QxVk9QN0RRYWdLR25OdUZTVWl5a2NNZEVSblNhQnZEbHE3QmdwdHNzdFZvUkVYdGNaNWp2Z0JBT09QVDZQaUNqczBOalZFaFFDRlp2a0N1eXF6Q28zdnEwYnBra2tJVDEzVGdSMmZhMTdVUWhjUFNuQTk2MW14YnFKYVJObHJpbEg2cWlLNDluc3crSnN4ZEg0MXVYaHc2ZVZGc0xTdXZuTkZwbkZ5dVk2aE16VVpzUFdHT2xoM21SZmViendvd2R4aVF2bHJpaUdxbC84TUZ1cXVFckhyeTlzeS9wd0FJT3FKNGVnM2VxSFFpYWg3VitXaWM2V3ZMRUxRR1Vibm5TZlFjRTBWU2k4dnluZ05JcUo4eDBCSEc4Nk9IVHNxdDJ6WjR2enRiMzk3L3ZaN2twUDdtNlp2ZEgvSmozY3RmRC81OXhtTVBUYUo0a3VzOEhiNjRmekxOSW91dHFMeW4wb1dsUU9TQS8xVEJoOFlYL1pTaDcrWWVmZUl3UWZHMFhSZE5XeTdNM2N2eWdrWnZtTUJURC9qUWNRZGc2RktCMUVsWW1LZkM5NWpBVlM4UHJsLzZrcmg2blJwaTlUTDlveFY2aFVaSjJoa2tpM01lVHY5T1A3aklTajFDclRkMGdReHc5Nno5ZStxaEVJam92Y253M0E5NjBIcnpZMVo5NmdsSXNwWERIUzA0U2lWeXMvMTl2WmV0WHYzN2djVGljUmVzOW04YjkrK2ZabW5RcDRsTXdkOWlMaWlLTHJZdW5Bc1BCbUIrN0FQazMrZndkeElDQld2czZQdTZtUUwwc3dCTDRZZmRPTGc1N3RRMkc1RzlSdkxZS3hQN2g2eGRHWnJ1a3l6WExPUkV6SkNFeEhNRGdiaE94cUE1NGdmVVY4TVdyc0dEZSt0UXVrcmlpQ0lBcnlkZmd3L09JRytuNDlnK0grZEtIK3RIV1d2TG9iU2tHeHAvTWY3RHlJUlg3bGJkNlh4ZGVkcVZta3NFRWZQM1lQUVYrcXc5U04xSzA3b3FIbGJPVXoxQmt3LzYyYVlJNklOaVlHT05pUkJFRXBrV2Y2UUlBZ2Y4dmw4Ym9mRDhaQWdDSHQ5UHQ5ZmVudDdJMmY3OVNiM3VXQ3MwY1BTWWtMdlQ0Y3hjOENMbUQ4T1VTMmlzTjJNcHV0cVlLdzd1ZDJYN1FJTGJMc3RtSDdXZzZHOTR6aDBlemRhUHQ2QW5yc0hWbndkaFViRW9TOTByMWltOGRwcUZMKzBFT04vbnNiQXI1SnIwU2tOQ2hUdU1xUG9ZaXNLZDVvWHJjMXJhU3VBcGEwQTNxTUJETzBkeDlEZWNZaHFBUld2VHk3bzIzNUhTM0k3aW5WR1pWSml4K2UzUUd0WFo5eVRkcWxDaHhtRnA3RGRHUkZSUHVHZnFyVGhPQnlPZXdCOE1NdHB2eXpMandpQ3NGY1FoRDhlT0hBZ21PSDVNbkJxTFVzeFh3d1Jid3pHR2oyOG5YNzRUOHpCMUdpQWVZdHgxUzVNV1pJeDliUWI5a3NMczI3SGRUb1NjUmxUVDg3QTFHQ0FvVXFYODkzdTdmVER2TTEwVnV0eXRrMzgxWVdpbDFpekxoRXo4dEFFeWw1VnRHeGg1dE9WYW9IczZPaFl2ejhVSXRyVStNdUpOcHhWQWwyNklJREhaRm5lcTFhckg5Mi9mNzkvL3ZtbkhPaG9ZMk9nSTZMMWpsMnV0RzYwdDdmdkZ3VGhvdlA0a25vQWJ4VUU0YTJ4V0F3T2grTVJBSHZQNCt0VG5rbUZmYUpUSWN2eXZvTUhENzVpcmV0Qkc5dlpuODVHZEpyT2M1akxSQllFZ1IvWVJIUldDWUp3K1ZyWGdUWSt0dERSdW5PbTNWcW4wdVVxQ01JZkVvbkVYcjFlLytqVFR6OGRtSC8rejg3azlXbmpZcGNyblNxMjZ0TDV3a0JIbTQwZndPOEI3QlVFNFUrWkprVnNWcklrcit1SkVFUkVsQjBESFcwR013QWVFa1Z4cjlmcmZlSmNMRnVTNzN6ZHMrajZiaisyZkxBRzFwMWMyb09JS044dzBOR0dKTXZ5SklEL0JiRFhiRGIvN1Z3dkxKenZqSFY2Q0FvQnZUOGR4dTZ2dFVKVW5SeGVPLzJzQnoxM0xWOGZUeEFGWFBxejl2TlpUU0lpeW9LQmpqYWNlRHkrWjh1V0xUZWMxNjIvOGxBOEtDSG1peTA4dHUwMkl4NklJK0tLWml5Lys4NldoZStISGhqSFRJZnZuTmVSaUloeXcwQkhHODZSSTBkR2p4dzVzbnJCVFc3bWdCY25mankwN0xqcmVlK2l4MXYrWHgwQUxHdzNKb1VsZUY0TUxOcTNsb2lJMWhZREhkRW1WZkl5RzlRRlNvU25vaWg3VGZHaWN3Ty9Hb1d4M29EaWwxZ3gvYXhuMGJuSnY4OUFDa3VvdXFyMGZGYVhpSWhXd0hYb2lEWXhVUzJpNzc2UlJhSE5mZENIc1Q5T1FXVmN2cTJXbkpBeC9xY3AySFpiWUtvM25NK3FFaEhSQ2hqb2lEWXg4ellUeWw5amg2OHJBQ0M1SisySi94NUMyV3VLWVdsYjNxWHFlczZMaUR1RzJuZFVuTytxRWhIUkN0amxTclJKcGZZblRabjRQOWZDOTg3SHArRjhmQm9BMFBpKzZvWGpNWDhNa0FGZmR3QzZVczM1cVNnUkVhMktnWTVvazBxZnRicVMyY0dUYXkrWHY5WU95RUR2VDRlaEtWVER1b01USTRpSTFnTUdPcUpOS2pWcmRUV3pRNkZGajh0Zlo0ZS9kdzU5OTQ3Z2dxKzFBdHhjZ29ob3pUSFFFVzFpUzd0ZGw3cnNYa2ZHNDVXdkw4R2gyN3N4T3hpRXNVNS9McXBHUkVTbmdJR09hSk5ydmJrUjJtTDFvbVBoNlNpT2ZyMDM2M08wOCtQbklwNFlqSFhudEhwRVJKUURCanFpVFU1YnJNNjUrelVsUEpuY0RqZlQwaVpFUkhUK01kQVJVVTdHL2pDSndFQVFDcTBJNzRzQnFLMHFya1ZIUkxST01OQVJiWExoNmVWN3QyWTZwcktvRUJvUEl4R1hZYXpUbythdFpSQ1VuQkZCUkxRZU1OQVJiWElyalpWTFozOXBJZXd2TFR6SHRTRWlvdFBCUUVlMHllMitzMlhaR0xxUU00d0R0eHhib3hvUkVkR3BZcUFqMnNRdStGb3JORVhxWmNlMWRnMHUrR1liQU1EU2FzS096eldmNzZvUkVkRXBZS0FqMnNTMEpabTM3eElVQXJUelFVOWxVa0psTXA3UGFoRVIwU2tTMTdvQ1JFUkVSSFJtR09pSWlJaUk4aHk3WElteVdHMWJMQ0lpb3ZXQ0xYUkVTOGl5dkcrdDYwRHJELzlkRU5GNnhoWTZvaVVPSGp6NGlyV3V3M3JoY0Roa0FPam82T0FLd2tSRTZ4aGI2SWlJaUlqeUhBTWRFUkVSVVo1am9DTWlJaUxLY3d4MFJFUkVSSG1PZ1k2SWlJZ296ekhRRVJFUkVlVTVCam9pSWlLaVBNZEFSMFJFUkpUbkdPaUlpSWlJOGh3REhSRVJFVkdlWTZBaklpSWl5bk1NZEVSRVJFUjVqb0dPaUlpSUtNOHgwQkVSRVJIbE9RWTZJaUlpb2p6SFFFZEVSRVNVNXhqb2lJaUlpUEljQXgwUkVSRlJubU9nSXlJaUlzcHpESFJFUkVSRWVZNkJqb2lJaUNqUE1kQVJFUkVSNVRrR09pSWlJcUk4eDBCSFJFUkVsT2NZNklpSWlJanlIQU1kRVJFUlVaNWpvQ01pSWlMS2N3eDBSRVJFUkhtT2dZNklpSWdvenpIUUVSRVJFZVU1QmpvaUlpS2lQTWRBUjBSRVJKVG5HT2lJaUlpSThod0RIUkVSRVZHZVk2QWpJaUlpeW5NTWRFUkVSRVI1am9HT2lJaUlLTThwMTdvQ1JMUSt0TGUzbHd1Q2NIMm1jdzZINC9iMHg3SXMvK2pnd1lQajU2VmlSRVMwS2dZNklnSUFSS05SbDBhaitTZ0FhNGJUdDZWOTd4RkY4U3ZucVZwRVJKUURkcmtTRVFEZzZOR2pVVm1XSDg2aDZFTUhEaHlJbmZNS0VSRlJ6aGpvaUdpQklBaDdjeWlXU3hraUlqcVBHT2lJYUVGQlFjSGpBR1pYS0JMdysvMlBuNi82RUJGUmJoam9pR2pCdm4zN3dnQWV5WFplRUlSSGVudDdJK2V4U2tSRWxBTUdPaUphUkpibHJGMnFpVVNDM2ExRVJPc1FaN2tTMFNLU0pEMm1WQ3BEQUhSTFRvVWtTZnJqV3RTSktCODBOalpxckZicm9sbmlraVFCQUM2ODhNTFM5T01lajhmRDFtNDZtOWhDUjBTTEhEbHlaQTVBcHVEMjJQdzVJc3JBYXJWYUpVa2FseVRKbWZwS25Vcy9Ka25TMk5MZ1IzU21HT2lJS0pObFhhczV6b0FsMnJTZWYvNzVDUUIvejZIb2svTmxpYzRhQmpvaVdrWVFoRWNBcEs4MUYxVXFsVmtuU3hCUjBrcGpVTk04Y000clFwc09BeDBSTFhQZ3dBR2ZMTXZweTVNOHZuLy9mdithVllnb1R5UVNpZjlkcll3a1NRK2VqN3JRNXNKQVIwVFo3TTN5UFJGbGNmanc0VEVBejY1UTVKbjVNa1JuRlFNZEVXV2tVcWtlU24ydlZDcHoyUktNaUxEeWVGT09SYVZ6aFlHT2lESjY3cm5uWmdEOFJaYmx4K2UvSjZJY3hHS3hyS0V0Rm91dDJpVkxkRG9ZNklnb0sxbVc5N0pGZ2VqVUhEbHlaQURBd1F5bk91YlBFWjExWEZpWWlMSlNxOVVjdkUxMGV2WUNhTTl3ak9pY1lLQWpvcXoyNzk4L3VkWjFJTXBIZ2lEc2xXVjVUL294VVJRWjZPaWNZWmNyRVJIUldYYmd3SUZ1QU1kU2p3VkJPUHJDQ3kvMHJHR1ZhSU5qb0NNaUlqb0gwaGNaVGlRU2JKMmpjNHFCam9pSTZOeFlDSEdjWEVUbkdnTWRFUkhST1hEdzRNRWpBUG9BOUhaMGRMeTQxdldoalkyVElvaUlpTTROR2NCZVFSRGsrZStKemhrR090cjAydHZiOXd1Q2NORmExNFBXRjFtVzl4MDhlUEFWYTEyUGZNWDc2aVJabHVGd09HNVo2M3FzQjd5dnpoMTJ1ZEtteHc4ZHlrUVFoTXZYdWc3NWpQY1ZaY0w3NnR4aEN4M1J2TXZ1ZGF4MUZXaWRlT3FhanJXdXdvYkIrNHBTZUYrZFcyeWhJeUlpSXNwekRIUkVSRVJFZVk2QmpvaUlpQ2pQTWRBUkVSRVI1VGtHT2lJaUlxSTh4MEJIUkVSRWxPY1k2SWlJaUlqeUhBTWRFUkVSVVo1am9DTWlJaUxLY3d4MFJFUkVSSG1PZ1k2SWlJZ296ekhRRVJFUkVlVTVCam9pSWlLaVBNZEFSMFJFUkpUbkdPaUlpSWlJOGh3REhSSGxoVVFzQWNpNWw1ZkNDY2pTS1R5QmlDaVBNZEFSbmFhUU03enNTMDRrQTBTZ2J3NHYzTlNKc0N0NlJxL3gxRFVkQ0RuRE9aV2QrRDhYWXI1WTF2TzlQeGxHenoyREMzVThWYklrci9xVnpuUEVEOWQrejZyWGZlcWFEZ3c5TUw1aW1WZ2dqbjljZHdnekI3d0lUMFZ5K3JrK2MvMGhUUDNEdldvNTJwalcyLzJaRW5ISGNQUnJ2V2YwdWt2MS9uUVlNeDIrczNwTnlqL0t0YTRBVWI0NmNNdXhaY2N1K3Q1MnFBdFU2UC9sS0RURkdnQlk5S0VoS2dTb3JhcGx6MXZwZ3lYaWprRlFaZjdiUzF1a0JnREVaK01ZK2YwRWhoNFlSL01IYTJIZFViQ29YSEFzakltL3VWRDlwaklJb3BENWhXUWdOSkg5d3luVCsxM3FnbSsyTGRScDhza1p6RHp2QlVRQlJSZGFWbjN1U2tSMTh2M0xrb3orWDQ3Q2Yzd09XMitvaGFXdFlKVm4wbWExbnU3UGRJbUlCTStMZm5UY2VySit4WmNVcnZoSFRjTTFWU2g3ZFhIVzh4UDdYTkFVcW1Gem1MT1dvWTJQZ1k3b0RPeStzd1c2TWkwbTlya3cvS0FUNmdJVnh2ODhoVUR2SEFEZ2haczZGNVUzVk92UXZtZmJzdXNzTFpldTg4NFRXYzlkZHE4REFLQTBLdEgrcGEzb3Ztc1FSNy9SaTdwM1ZLRGluMG9XeXZYL2NoU0dLaDJxM2xTNmNNemZNd3RCSmNCVWJ3QUFTSkZFMXRDMis4NFdBTUFGWDJzRkFJUm5vdWo4Nmduc3ZyTUZnaWdnRVpjWGZVQUJ3SllQMXVMb2JDOTY3aHFBZUdNOUNzL2d3MFl4SCtnU2NSbk5INnhGejEwRE9QcU5QclRjMUFEcjltU29tL3FIRzhmdkdWejRtUkN0bC9zemt5MGZybHY0WG1WU1FsT2t4c2p2bk5qMXBaT3Y3K3NLNE5pMysyRGVac3A2SFZtU0FSa1FWVm4rVUtOTmc0R082Q3lZZXRxTmtwZlpNRGNTd3VCdnh0QjhmUTNzbDlrV3pzK05oSERvdHU0Vlc2cFNIejdwbnJxbUkrUHhrRE84TEh3cGpVcTAzdHlBZ1YrUHdiejE1QWZBOUROdStIdG1zZlAyTFJBVUozL3BqejQ2aWVCNEdJNDd0a0ZVaTFCb3hZVVBvS1d2bStwVzBwWm9GcjJtMXE2Qm9CQ1M0OXVXRUpRQ3R0NVlqeU5mNmtGNDVzeTZ0aUFBb2pMNU9rcTlBaTJmYU1ERVgxMndyUEJCUjVTeTF2ZG4rbkFFZWY1VzBWY3NmazdSaFJZTTNqOEd6NHQrRkYxb2daeVFNZnc3SjRwZlVyaW83T1NUTTVDQzBzTGp4UHkxL2IxekVQNDBsYkh1UlJkWk03WTgwc2JDUUVkMGhzS1RFZmlQejZMMlg4cHg3TnQ5TURVWlViRFZkTEtiUmdhTy8zQVFoZ29kaWk4cFJOZ1ZoY2FxV2hTdWdPeGRtcmwwZFVvaENhSmFoS0FRVVArdXlvWGpFWGNVZmZlT292N2RsVEJVNlJZOXAra0ROZWo0VEJjR2ZqT0dodmRVNWZSZVU4RXVNaC9RUWhNUkNHS3k1U3dUcFY2QjlqM2JJQ2pQdlBWQTFDaVFpQ1lRY1VjUkhBMURpaVZ3NGlmRENJNkdVUG1Ha3RVdlFKdlNlcmcvbjc3MjRLckhXbTl1UlBWYnl0RC9peEdZbXcwWWUyd0trWmtvV201cVdGUnU1S0VKaEtjaXk2NDM4NElYTXk5NE03NitxY0hBUUxjSk1OQVJuYUdKdjgzQTBtS0NGRTVBWTFOamJqaVV0WXZtaFp1UEFzajgxMzdiTFUzTFdzQmV1S2t6NC9Id1pHUlJWMC8zRHdZUUM4VFIvTUZhNk11VDE0MEhKWFI5cHgvV25RVW9mVVhSUWxsWmtpRkZFcERqTXFxdUxFSC9yMFpSL0JJckNwcU1xNzdYcFI5ZVM3dFpVK0p6RWhMeGs2MTJLcU55MlFka0xtYUhndkQzekdKdUpJUkVSRUwvTDBmUmY5OG9WQ1lsZE9WYTZNdTFzRjlhQ0VPTkhvSCt1Vk8rUG0xODYrSCt2T3hlQjJSSnh1VGZaMkMvckJEL3VPNFFkdC9aZ29nN0JtT2RIa3E5SWxsUUJ0eUhmRGo0K1c3RWd4SmFQOWtJdFhseEVMdmc2NjNMNnIzL3hoZGh2N1FRZGY5YXNlaDRvRzhPaDcvWWMxYitvS0wxajRHTzZBejVqZ1ZRMEd5QWRVY0JMSzJtVllQTFU5ZDBMSG9zU3pLMjM5b0V0WFg1QU9wc05EWTF0dC9hQkZtU0lTZ0UxTDZqQWwzZjdzT2hMM1NqNFpvcTJDOHR4T0hidXhHYWlDQXlFOFgranh4Qklpb2pFY3U4bEVmZnowZXc2MHRiczArWW1KZnFrZzFQUnZEQ0o0L2kwcCsyTDNTNS91TzZRd3ZsZXU0YWdPZEYvOExqOWozYllLaldMWHZ2S1NNUFQyRGs0WWxGeDB3TkJoanI5ZkFkQzBCZnJrVWlMcVBsNHcwd05SbWdNaTMvMWNWQVI1bXNoL3N6RVpkeC9PNEIrTHBuVWRDYy9NTXBFWmN4L3FjcEJBYUNhTGltQ2tVWFdqQTNFa0xNSDBkOFRvS2dGQkFjRHNIVVlJQzRKSkI1andhZ05pdWhyOVFCY25KU2xNcW9XRmFQaFpielJISTgza3BqOFNqL01kQVJuYUdhZnluSDBXLzBvdXkxZG1pTDFIamg1cU1adTBTeUNUbkRlUEUvc2crc1htblF0ZU9PYmRCWDZtQ28wbUhuN1Z2UjllMSsrSHRtVWZKeUc0b3VzaUl5RTRXMlJBT1ZTUW1WVVFtbFFRR0ZUZ0dGTnZWZkVTRm5HSWUvMkFQbjQ5TVkrOU1VSXZOZFVhbldPSzFkZzlaL2I4aGFoMHkyZnJRZXNpUmpkaUM0cVA2cHlSWHBEdHh5REtXdkxFTEY2K3lMam9zcUVacjVXWUtKYUFLdTV3OUJWNlk1R2VaazRPZzMrMkRlWmtUbFA3SExsVEpiNi90VFY2NUY1MWRQSUR3ZHdmWmJteGJHdzRsS0FTMDNOY0MxMzRPb080cGozK3FEKzVBUEpTKzNvZlhmR3pINTVBd0cvMmNNdzc5em91Z2xWcFM5cWhqNmNpM2toSXdUUHg2Q3NVNlBiUityUjJ3MkRsbVNvYllzNzFLVjV3T2RyeWVBZ1YrUExmeStvSTJKZ1k3b0RGbGFUVERWRytEODh4VHEzbG1KWFYvY3V1SmFiL3R2T0xMc21DQUt1UFJuN2N1T1p4dDBEUUJQdjIveEdCeVZTWW0yK1ZZQkFLaDVXM2xPOVRjMUdGRDF4bEpZZHhTZ3NOME1XWkp4NEpaamFMMjVFZHBpTlFTRnNIRE5wYTBYbWNZR0FZQkNJeTc2YjBxbTl3RWt1MlN6blFPU3k1WW85UXBFM0xHRmNpTVBUOEJ6MkFmN3BZVTV2VS9hbk5iNi9oUkVBZVd2TFlhcDBRQ05WWTE0VUVMRGU2b2dxa1hFZ3hJczg3TzBRNU1SYlA5MEV3dzFlZ0JBeWN0dEtOeFpnSW0veldENmFmZkNIeTB6QjN5SXVLUFkrcEhrTE5sVU9OVVVhWlpXWVdHeWt1MENLOFllbThMNDQ5Tm92TFk2K3crTDhob0RIZEZaVUxpckFGTlB1MUVuQTZKYUFIRHFZMWF5clhXMTBqcFhTNGtLQVVqcm5zbDEwZE5NNFU5YnJGNDJ5elhWd2hhWmlhTHpQM3ZoK0krV2hVa1JCei9ibGROcm5TNWR1UmFoaVRBc3JTYk1IUEJpNkgvSFVYR0ZIY1V2c1o3VDE2WDh0OWIzWjlGRnlYK2o2Yk5mKzM0eHNxeWM4eS9UeTQ1ZCt0TjIxTDJqSWxsbEdSaDllQUxtTFVhWUdwUExEYzBOaHdBc256VUxBSWxZTXJncXRDTHNseGJDK2NRMDZxNnVoRUxMUFFVMklnWTZvck5BWGFoRzFCdUQ1MFUvam43OTFGZUJseE55MW9IYUszWHBMTlYzN3doaXMzRnN2U0g1MTNzdU0vQ0FsZGZMQXBJdGE2bnhjZ0FXeHRycFNqVUx4OUxQbnd1bWVnTm1CNFB3ZHZyUjg0TUJGRjFnUWQzVmxhcy9rVGE5OVhKL3B1U3lWbUpxbkNxQWhmdzU5UTgzWm9lQzJINXIwMEk1YjZjZnVsSk54bkdsaVVoeWVSTlJKYUw0a2tLTVBqcUo2V2ZkS0wyOGFGbFp5bjhNZEVSbllIWXdpSGhJd3N6elhxak5LbGhhVExqb2U5c1h6bzg5TmdYN1N3dWhNcCs4MWZydkc0VkNlM0lBczlxcVJ1TzExWXRtb2dLQS84UXNwcDUwbytadDVWQVZMTDlWSi83UHRXeWd0dnV3RDhicXhXTmtzblVKQVpuWHM4dFdMdDNTWlV0U05EYjF3cTRPWjV0MVp3RjY3aHJBOU5OdVdOb0trZ3V6Y3ZJZXJXQzkzWjhwUzRkTDVOY1hldVFBQUNBQVNVUkJWQ3JxaWNLNjA3d3d1U0hxaWNGOTBJZXkxOW96bHBjaXlTNVhVU1hBVUsxRDQ3WFZ5M2FSb1kyRGdXNzlVUUtJcjNVbEtEZXU1NU5yUHluMUNqUzh0eHFUVDg3QWRvRUZCejU1Rk8xN3RzRi9mQmFCRTdQWS9wbG1DQW9Cd2RFUWxEckZvZ0hNaVdnaXVUU0JERVE4TWZUOWJCZ3ROeldnOXlmRGtDVVo0ZW5Jc2crTWVGQkNaQ2E2cU90a2JpU0VpQ3VhODlpNVhFbmg3RHRJTEYyMnBPMldKbGhhczgra2kvcGltQjBJb25EWHFlOGFvZEFreHh6WkhCWnMvVWpkUW11Z3J5c0FVUzBtUDdCWGVHM2FmTmJUL1prdTAzaThwUmExME0ycnZMSVVsVmVlZk56L3ExSElNbEQycXN6YmdpVWlDUWdLWWVGZVdScEthV1BaRklIT2JEYS9yYmk0K0xyeDhmSHJnc0hneXJ1QUw2ZFFxOVZOcXhmTExCcU5kaTg5NW5BNDVNN096bTBaenRsMjdkbzEyTlhWZFVFa0V1azV6WmMwbFphVzN1VHorZjRyRkFxTlpTdGtOQnJiTEJiTGUwZEhSejhGWU5FSTRmYjI5dmpvNk9qSHA2ZW52NTllNStIaDRRKzdYSzU3VHJOZUcxTDFtOHZRZUcwMWxBWUZYUHM5R1B5Zk1SUmRhRUU4S0FHaWdLMGZxY2VoejNjaDBEdUhlRkNDUEwvTzFNakRFd3ZiY0UzKzNZV0pmVE1vYkRjakVaSGdQcFRjWkx2MTVrWjBmYThmTDM3bE9CeDN0a0pickViZnowY1FjVWZSOE40cU9KK1loaFJKTEN3azdPN3dRbEFJcHhXV01objUvUVNDSTJGRS9iRmxYVVJMbHkzSnhkUlRNK2ovNVJpS0xyS2NVaDNsdUl5UjMwOWc3QStUVUJlb0lNMS9TS1U0LytxQ3J5dUFpNysvZzRHT0ZsbFA5MmU2MDIyaFN6Zjh2MDY0OW50UTlhWlNhSXN6dHdTR1o2SlFHcFl2WjBJYjAyWUlkQVhWMWRYZmkwYWpQZkY0dkVDdFZ1ZlUzcXhRS0daRG9kQW9nT0sydHJiVEh1M2QwZEVoN055NTA2dFFLQlo5Z2kyOVprZEhoMkMxV3ErSVJxT2pLNFM1ck9FeUZRNXROdHRieXNyS1B1ZnorZjVycFhvSmdtQXRMaTcrUkN3V201bWNuUHpxS2J3bFNpTXFoWVd4SytPUFQ2UDRKWVdMQmtockNsWFkvYlZXS1BVS25QanhFQkt4QkJyZVc0WHU3dy9BdXFzQWhpb2RKcDkwSjJkcUxzbEZHcHNhT3o3YkRGL1g3TUl2N05taElLU1FCRTJoR2czdnFVTFBQWU93YkRPaDBHSEc5TE1lbUxlWlRpNVNPazhLSlpJZllCbElvWk9MLzBaOU1ZeitmaEl6QjVLcnpVODk1WWF4Vm8reVYyYmZGSHcxVWpSNS9aNjdCaEFjRDZQMDhxSmxpNSt1WlBwWkQ0WitPNFpFWEViYnJVMkl6MG80K3ZWZVRPeHpMWXdEQ282R1VEQS9RRHdsTWYrNmdzQSsyYzFzUGQyZjZVNjNoUTVJL29IVDk0c1JUUHlmQzBVWFdsRHpsbVNMZk1TVmJCRlU2QlFRRkFKbUI0S1kvb2M3cHdYRGFXUFk4SUd1dHJiMmJwVktWYXBTcVVwUEpaajVmTDVIKy9yNkZocTMrL3Y3Myt6MWVuK1hYa2F0VnJmYWJMYXJuVTduN1ZqU1RXcXoyZDVYVTFQelV3QTRmUGh3RGRKK0hUZ2NEazkzZC9kRndXQncwV2phd3NMQ3E3VmE3VmFIdzdGc1RuMVhWOWNsb1ZCb01OdDc2T2pvRU9hdjhXNjMyMzMvU3ExekFCQUlCSjZjbUppNHZieTgvTXVCUU9DSllERDQvRXJsYVdXK3JnQm1CNExZOHVFNmlDb0Jva3FFKzRBWGxyWmtpOUhjVUJDZUYvMm92TElFdHQwV2JQbFFMUXlWT2t6K2ZRYVJtU2hLWDVrTUp5cVRFaENBeWIvUG9LQXBHVksweFdxRW5HSE1EZ1l4Mng5RTJXdVNBYXY0cFlXWWZ0YUR1WkVRTkVWcUJNZkNLSHYxOHZCMTZQWmxqY1FaaVNvUnpyOU93MVJ2UU1YcjdiQmRZSVdtVUlXUU01enpHRG9BMEpWcUYvNjF1L1o3QUNTRDNXcmRzWmxFdlRFVU5CbFIvNTZxaFphR21yZVdvZTluSTRoNllpaG9NaURraktEczFjV0llbU1ZZnRBSmhWYXhVRitOamRzZDBkcmZuMHNEWGJZRnRsY1Rtb2lnKy92OW1Cc09vZXcxeGNuV3YvbDdyZmZuSS9BY1RyWWVwbWJFaWlvUlZXOHNQYTNYb3Z5em9RTmRTVW5KSjZ4VzZ6dU9Iei8rcXRuWjJiK2U3ZXZyZExwdFpXVmxuM1U2blh1dzhyZzNYM3Q3KzZMelc3WnNlU2I5Y1ZkWFY1UFpiSDc5Nk9qb3pYNi9meThBMk8zMlQxdXQxbmQyZDNmdmprUWl3d0FpcWVDV2toNGNOUnBOZzhsa2VoVUF3V2F6dlR0VFJaeE81MWVjVHVmbjVyLy9xdGxzZnJQRllubERNQmpzY2pnY2dWUzVxcXFxNzFWVlZYMHYvYm5WMWRWM1YxZFgzdzBBSFIwZFZnQ1pOdzdjaE16YlRHamZzMjNoTC9XcU41Vmk4SC9Ha1BobE1wc0xTZ0VGelVhVXZDeTVJWGpSeGNsbERMUjJEV3IrcFJ5YXd1VHpsRVlscXQ5Y2h2NzdSaUdGRjdlcWlXb1JsdTBGcUg3VHlWL1EyejVlRDBFVTRIeGlHaENBd3ZibG00dnYrRnp6c3EySlVzS1RFUnpaY3p6NTJub0ZMdjdlam1WZE5DdE5tc2kwOWRjbFA5cTFNSGJJdXRPTVJFeEd3M3Nxb2RDZGV0ZFB4UlhMQjN0WHZha01XcnNXbzQ4a2Q1Y29hRGJBZnFrTm9rcUEvL2pzd3VyODVhK3p3N3lWWGJDMDl2Zm5VcGY4YU5lcWRRNVBSNVl0QlpTNk43ZmVXSStpQ3hmZjYyV3ZMSUtoU3BkY00xS1dvVFFvVVhTUlpjWDFIV2xqMmJDQnJyQ3c4UDBWRlJYZkdCMGR2VGtXaXcycjFlcXR1VHhQb1ZETWhVS2g1UXNFemN2VWV1WndPRUtwNzRQQjRJSHU3dTRMbHBZUkJFRng5T2pScGtnazB1dHdPT1NqUjQrMlJhUFJibzFHMDlqYTJuckNicmQveHV2MVBtb3ltVjQyTlRYMURRQXdHbzB2Yzd2ZDkwWWlrWnpteGR2dDlvOEVnOEdPL3Y3K1JXR3V0YlgxME9UazVGZGRMdGY5MFdqVWxYWXEzdDNkL1RJQVFRQkNaMmZuTmdCb2EyczdPakV4OFJXWHkvV3JWTUcydHJhdThmSHgyOTF1OTIvbUQvbXh5VFYvcUhiUjRPbjBkYUNxM2xpYTAxL0dsaFlUTEMyTFEwZjFWV1dvdnFvc3B6cWtQaXpLWGxVTTZ3NHpOSVdMVzZTcTNsZ0tYWmsyNDVJR3FlZW4xelBUZUp0Y2xsakl4dVl3dytaWWViemNqczgxUTJQTGZWc2xBQ2kreElyaVM1YXZQK2Y0aitVN1VkRG10Sjd1enhSVmdSSzFieS9QYVIwNGpVMk4ycmVYTDdxR3lxUkUrNTV0R2NzWHRwdFIySDUyeHM5U2Z0cVFnYzVnTU95c3JhMzlMNmZUK1pXcHFhbTcyOXZiL1lJZzVQUmVsM2ExTHBVS1BRQmdOcHRmVzFWVjlaMmVucDZkc1Znc0NnQ2lLSWF5UFhjbFNxWFMxdC9mZjNWYlc5dFJnOEd3WGFsVWxxbFVxcktSa1pFOU9WN0NaclBaUGhDTlJrZVdUTGF3Q29LZ0NRYURoek5OMEVBeXpBR0FuSDQrRm90TkxpMGZqOGVYSGR2TTdDOWRYenNVWkJvWXZkcU1WNVZKZWRabnhaNnExTjZXUkdmVGVycy9BVUJwVUtMeXl0eTZRSlY2UmM1bGlZQU5HdWptNXVZT256aHg0dVdCUU9BcG5VNTNzU0FJeXE2dXJvdERvZEJ6QUV3TkRRMi9ucDZlL3I3ZjcvOWordk8yYk5ueWRDS1JtRjNwMnVtQkpocU50czIvM25FQUt5N0pId3dHRDIvYnR1MndLSXBhSU5uaUpjdXlKTXR5SkJnTUh1N3Y3Mzg3Z1BqZzRPQzFWVlZWUDFVb0ZLYisvdjVyQUV5c2ROMlVpb3FLejhpeW5OQm9ORTBBdEtuNjZIUzZaZ0NJeFdMOXFiSWxKU1VmcjZpbytGYnE4ZEp1WEFDQ0lBalo5OFloSWlLaWRXVkRCam9BQ0FRQ1R3R0F5V1J5eUxJY0Q0VkNxUTM2WnVmbTVwNXJiR3g4ZEdKaTRzdmo0K08zcDU0amlxSitoVUFuWitwdUJSWjN1UUxBeU1qSWpVdXYwOTNkdmN0Z01MekthclgrczkxdS8xZ3NGaHVMUkNJakV4TVR0L3Y5L2ovTkYxTmJyZFovMXV2MXV3SElaV1ZsbnhWRk1lTHorZjZDK2FWRnN0VkJwOU8xT1ozT1d5b3FLcjVyTXBsMkJ3S0Jwd0hBWUREc2tHVTVQamMzdHpCemRuSnk4dWNlaitlUEZvdmxueW9ySzcreDVGSWlBQ0dSU0NSQVJFUkVlV0dqQmpxalJxTXBCUUM5WG45Wk5Cb2QxR2cwQzRzQmVUeWVYOG15SEpkbDJhUFJhQnBUeHhVS2hWbVdaV1hxV0NRUzZkWHI5U0lBU0pJa3BYZTNyaVFhalU3WWJMYXJVbzhOQnNPT2twS1N6d01RK3Z2NzMybTMyejgyTkRSMG5jVml1YXFob2VFUm44LzNrTnZ0dnErOHZQd09qVWJUTURnNCtQNTRQRDVSWFYxOVQwTkR3NThqa2NoZ2IyL3ZGYW5sVE1iR3hqN2o4WGdlQkFDcjFmcm1pb3FLTzNwN2U5OEZ3Rk5ZV1BoQmc4SHdxbFNnMCt2MWw0YkQ0VTRzYmtIMFJLTlJUeXdXV3hpWnV6UW9waytBeUhUTTVYTDlmSGg0K0gyNS9EeUlpSWpvM05xUWdjNXF0VjVWVjFmM2kvUmpyYTJ0R1NjV1ZGWXVYdlN4cUtpb3JxaW82TDFBc2l0U2xtVWxBSWlpR0ozdmJsV3IxZXI2YksrOWRJeVpScU5wM0xKbHk2R0ppWWs3eDhmSFB3c2dBUURoY0hob2VIajR3NU9Uazk5V3E5WDJrcEtTejhpeUhPbnA2YmtrR0F4MkFFQm5aK2NXdTkzK2ZwMU90MmloNFhnODdreTlqdC92LzZ0YXJmNEJBQmNBek03T1BtNnhXTjR5TVRIeEpRQ2kyV3grbmR2dC9oVldrUXFySnBQcHdwcWFtbnY3K3ZyK0pSUUtMV3hldUhSU1JEUWE5YTEyVFNJaUlqby9ObVNnODNnOHYvUjRQUGNEVUxlM3Qzdkh4c1krUFRVMTlWMEEwT2wwSmVYbDVUOFlHUm01TlJxTkxncDVPM2Z1ZEU5TlRkM3BkRHJ2VEIxTEpCSzYrZitHQUVDdFZ0ZXZ0SjVkUjBlSENtbExtRVFpa2Q3dTd1NExnc0hndUZhcnJRYVM0VWtVeFloV3E2MEZFSW5GWWlQajQrTmZTQ1FTTXdBUzg4Y0JBSDYvL3c5VFUxTjNaWHU5VUNpMGYyUmtaSC9xOGN6TXpGNjczWDZ6WHErL1VLbFVGcWxVcWxLMzIvM0Fhait6VkVCVXFWVHZrR1U1NXZQNWZnOGdrbDZHa3lLSWlJaldwdzBaNkpBY2J4Ylg2L1U3QkVGUXpiZDR4UUVnRkFyNVpWa1d0MjNidG45b2FPaWF0TVdDQllWQ1lZakg0ejZrQlRKUkZBc0JRSlpsVC9vTExKMUlrRnArSkZObGdzRmdSM056ODFOR28vSFMwM2t6R1NZdFpCVUtoWjROaFVLSHlzcktibE1vRk9aUUtIUWtGQW85cy9vekFRRGE0dUxpNjMwKzN5TllFdWFJaUloby9kcW9nUTRBb05WcTJ3RmdkbmIyVU5yaFFIOS8vMVdWbFpWM3pvZTNGQ01BTVpGSStKZGNvMmIrR2l2dXZMQ2E0OGVQWHdZQUJRVUZWL2o5L2ljQnpLWE9yYkMzNjZwME9sMUZVVkhSWjBkR1JtNEY0QU9TWSt3YUd4di9BQUM5dmIxWmwyQlpxcnE2K3JzcWxhcHNlbnA2NlVRSklpSWlXc2MyZEtCVHFWVEZRSEtyclV6bjdYYjd6VXVQMWRUVS9MeW1wdWJuVHFmejgwNm5jNC9SYUh4NU5Cb2RCckRvR3RsbW02Nm1zYkh4c1V6aExWTTNiandlbnpseTVFaFJwdXZvZExvcW04MTJzODFtdTE2VzVkbXBxYWx2UmlJUjMveTVMZlBGRWtxbE11c2lYM3E5UHJVQXNyNjB0UFNHb3FLaUQweE9UbjR6TmFHQ2lJaUk4c09HRG5TVGs1TS84bmc4djF1OUpHQ3hXRjVSV1ZsNVYzOS8vNXVDd2VEeGFEUTZEVUJudFZyZjd2VjY5eTR0djhLTTF6Z0F5TEo4U3ZzYzlmVDB2RnFTcEw3MFk0SWdMTjFSM1FBQWRydjlFMXF0OWtlU0pQa21KeWR2bjVpWStENlNMWDVGZFhWMWQxbXQxbjl4dTkzM2lxSm9xSzJ0L2JYUmFMeDBlSGo0c3dBV3R2YXkyV3p2TFNrcCtVUXNGaHVycnE3K3h2RHc4Q2NsU1lwTVQwOS9EeG40Zkw2SG90SG93S204SnlJaUlqby9OblNnQStDT1JxUHVUQ2NNQnNNdVFSQUtBTGdsU1RKYUxKWjN4V0t4Q2EvWCt5Z0FDUUJLU2tvK3JWUXFiUzZYNjhlcDV5bVZTci9YNjkyN3RJVk5wOU5WYURTYUMxUXFWYVZDb1ZBVUZ4ZS9QeDZQVHdOQStpUUhBRkNwVkJXaUtLNjRFREdRRElXcDU0YkQ0WEdqMFhnUkFLalY2cnJKeWNrN3hzZkh2NEZrU0RPVmxKUjh1clMwOU5PaUtHckh4c1p1bXB5Yy9CWUFSVmxaMmUxbFpXV2ZzVmdzVjA5UFQzL2I2WFQrdDlGb2JLNnVydjdSMk5qWTV3T0J3QitibXByMnFWU3FhcmZiZlkvQllHaUx4K01SUVJDaW9paEdnOEZnRElCeWJHenNZN0lzYTR4R1kxc2lrZERFNC9GUU5Cck52c2tuRVJFUm5UY2JQZEJsWlRRYUwwL2ZMU0VjRG5jUERBeThFL05oRGdBVUNvWFc2L1UrRUF3R1gwZ2RDd2FENC8zOS9XOWJlajFKa2dycTYrc1hXZ01UaVVSb2RIVDBvd0RRMHRLeXFHVnJ5NVl0ZjFuNi9FekgwblYzZDE4NE96djdqTXZsK3RudzhQQ3RtTjlCUXFQUk5HM2R1dlU1aFVKaDhmdjlqNDJNakh3OEVva2NUMVhMNlhSKzN1ZnpQVlJaV2ZtOXNyS3lQZUZ3ZUNnZWozdjlmdi9qazVPVC93RkE3dTd1dnJDc3JPeTJ5c3JLSHl1VnlpSkJFRlp0WFp5YW12clAwZEhSVzFZclIwUkVST2RlenJNbk55Z1JnQWJKRUJmTmNGNEFZQWJnemVGYUFnQWJBQldTczJ6ZFdhNTUxaFVWRlYwZmlVU09yamIyVGEvWDd3NEdnd2ZtSDVxUTFnVzdST3Jub3ByL1NwSG52d0JnRmtEczlHdTlYR3BjNHFuTTZqMmJyM3NtbTlEVHh2TFVOUjBBenYrL3hZMkU5eFV0eGZ2cTNOcTBMWFR6RWdCQ0s1eVhrVnVZUzVWMW5YR05Ub1BMNWZwUkx1WFN3aHlRUGN3QkozOHVLLzFzaUlpSWFKM1k3SUdPYUVIcXIwY2lPbnQ0WHhHZEgrSmFWNEJvcmNteXZHK3Q2MERyRC85ZG5CbisvQ2dUL3JzZzJnUWNEb2Q4dXV2NzBkbkIvd2RFWjVmRDRiakg0WERJN2UzdEgxcnJ1dERHeGhhNk02ZGF2UWdSRVJIUnVjTXhkR2VtcksydDdkblIwZEdQcGUwSm13c0JnQnFBVnFmVG1TUkpNaWtVQ3BOS3BiSXBGQXFiV3EwdVVpZ1VKU3FWcWtLbFVsVjRQSjZmemN6TS9HTCt1VVhWMWRWM0RBOFBmd3BaSm14b3RkcWEydHJhMzNSM2Q3L2tETjhmRVJFUjVRRUd1alBqRElmRDNSVVZGVi8xZXIyL1I5b2FkcGxZcmRhcmEydHJmNUZ0blRkWmxxT1NKUGtsU2ZKS2t1U054K1B1ZUR3K0lRaUNQbFdtb0tEZ0lxdlYrcS9EdzhNZlRudXFDS0JnNFlFbzJ2VjYvY1VBTEV0ZXdvZVR5NDRRRVJIUkJzRkFsNFAyOXZiNGFvdnRPaHlPZUtianc4UERIM2E1WFBmTVAxUUlncUE0Y2VMRVpaSWtoZUx4ZUVnVXhXQTRISjVGY2htUlZkZXRNNWxNbDgzTnpmME5hZUZScTlWV0wxMjhlTDVPaS9hZjdlam9LTVlhTGExQ1JFUkU1dzREWFk2Y1R1Zm5aMlptSGtnOVZxdlZ5bWcwdWpURUNTcVZTaE9MeFJhMjlZcEdveE5McjdYYUFzQXJLU2dvZUwxT3A5dVZHcmcrTXpQejM1T1RrM3VBazRzMXF0WHFyVzF0YlYxcGl6Y2FIUTdIU3V2T0VSRVJVUjVqb010UkxCYWJTTzNmcWxhcnR6WTNONys0ZExWcnRWcTlkY3VXTFFmUDFTcllhclY2cTFhcmJldnE2cnBZa2lSL1UxUFR3NkZRYUdGUDJhV3pFemxia1lpSWFITmdvTXVSWHErL3pPRncvRGo5V0xiQWxINzh4SWtUTHdzRUFrK2xuMWVyMVZ0UDViVlRRZEp1dDM4b0VBajhNUlFLUFFlZ1JLUFJOUGo5L3Q5aWZndTNqbzRPMDN4ZG03ZHUzWG9nOVJpQXdlRndMR3NwSkNJaW9vMkJnUzVIb1ZEb1FHZG41MWNCUUt2VjFqVTJOdjZoczdOelczcVpUTWVqMGVqUTBtdTF0YlYxbmNwcmQzUjBxQURvaTRxS3J1L3I2M3Q3ZFhYMXo4TGg4SXZCWVBCNVVSUmpraVFaKy92NzM2elZhb3NBUUJBRTYzeDlpdVl2SWZiMzk3OVpvOUdZSTVFSXg5QVJFUkZ0TUF4ME9aSmxPWlJxS1VzUlJUR2MvbGlTcENod3NrVXRtNDZPRHNGdXQ5OVVYbDcrcFVPSERsVWdPZnQwS2FHMXRiVmJrcVFBZ0RnQXY5UHAvRXdnRUhpMHFhbnA5NTJkblMxVFUxUDN0YlMwUEtIVmFsc3p2VTZtaVJMY0ZKbUlpR2pqWWFETFVTS1JXTmE5bWlrd3JVUVFCSlVzeXhJQXpNN08zaThJd24rV2xKUmNPems1K2UybFpVMG0weHMwR2szendNREFlMUxIbHBTVEFVd2VPM2FzN1ZUcVFFUkVSQnNQQTkzcVJFRVFGSUlnTEZ0U0pOT2tpSlc2VXhVS2hWR1c1UkFBQklQQmNiZmIvYXVTa3BKYkp5Y25md0xBbjFaVVZWVlY5YlZRS1BTaXgrUDVkUTUxTEhVNEhNN1ZDaDAvZm56NzdPeHNadzdYSXlJaW9qekNRTGM2TXdCSWtqU1hQcG5oK1BIajJ6Tk5idWpzN055bVZxdTNadXAyVlNxVkpmRjRmRHIxZUhKeThqYXIxZnEybXBxYWJ3NE5EZjFiNm5obFplVWVyVmE3NWZqeDQ2L0VLb3NWcCt2cDZka3hOemZuMUdnMEZwUEo5R3FYeS9YZy9QTVZuQlJCUkVTMGNUSFFyVUt0VnBjQWdDUkpVNmN5bWFHam8wT0pKV0ZNcTlVMlJhUFJ3ZFRqY0RnOE1ENCsvdStWbFpWM3pjM05QZTl5dVg1b3RWcmZiYmZiUCtWME9yOHlPenU3NzFUcW1rZ2tQQUJjb2lnMlZGZFgzKzF5dVg0OFh3ZitmeVlpSXRyQStFRy9DcjFlM3d3QWtpVDFwN3BZYTJwcWZsRlFVUENhZ1lHQlY2ZDNZV3ExMnZxR2hvWS9lenllQjVDaFpjMWdNRnpvOVhvZlRqODJOVFYxdDFhcjNWbGRYWDIzd1dDNDJHYXp2ZGZyOVQ3Z2REcHZXNjF1eGNYRk44N056VDBiREFaSDBvL3JkTHFXV0N3Mmxxa09SRVJFdFBHSWExMkI5VTZuMDEwVWo4ZW5nc0hnZU9yWTBORFFkYUZRNlBuNit2cDlGb3ZsVFFCZ3NWamUwdHpjL0h3Z0VQakQrUGo0cDVkZVI2UFJOS3ZWNnJyWjJkbS9MejAzUER6OHFXZzBPbXF6MmE2TngrUHUvdjcrRzdCS0dDc3VMdjYzcXFxcWI2dlY2bklBVWpRYUhRcUZRbkVBcHRMUzBuOVhLQlNXMHRMU1R3SFFBSkNqMGVoUUxCWmJkV3N4SWlJaXlqOE1kS3N3bTgxWEJnS0J2eTA1SE8zdDdiM0s1WEw5VjMxOS9ZTXRMUzJkZFhWMXZ4NGZINzkxZUhqNG81bXVZN1Bacmswa0VrR3YxL3VudE1OS204MzJ2cmEydGs2VlNsVTJNek56bnlpSytoMDdkaHdyS1NtNUZVQmhoa3VWQUlEZGJ2L1l3TURBZTcxZTcwTUFwanM3TytzS0NncmFXMXBhbmhNRVFUMDZPbnBUY1hIeGphMnRyZDJGaFlWdjYrenNySTFFSXNmUHlnK0ZpSWlJMWhWMnVhN0FaREpkcHRmcmR6cWR6ajFwaHdXOVhyL0xiRGEvd1dLeFhBbEFGZ1JCTFFpQzJtYXp2VmNVUmVQYzNOeGY1K2JtT3BGY1B3NEFTb3FMaTIrWW1abjVPWUE1clZaYll6YWIzMVZVVlBRQmpVWlRHd3dHbisvdjczOUxNQmg4WVdKaTR2YUtpb3F2VjFSVTNGRmVYbjU3SUJENGF5QVErS1BmNzM4bUZBbzlWMWhZZUxrc3k3R0JnWUczZWIzZVJ3c0tDdDVnTXBsZVliRllydEpvTlBVek16Ty9IQm9hK2hnQXQ4dmx1cStzck96V21wcWFlNHVLaW00Y0hSMjlNUmdNSGp6ZlAwY2lJaUk2dHhqb1ZsQmVYcjRuR28wTytIeSt2MVZXVnQ2cDFXcDNHZ3lHaXhVS2hTVVNpWnp3ZUR6M3U5M3VuNFRENFVHajBmanl3c0xDOTVlVmxYMUJvVkI4UTVibFNDUVM2UnNhR3ZxWXlXVGFMUWlDTURNenM2ZXlzdkpPdTkzK0tRQ1luWjE5ZG5SMDlKTStuMjh2a3V2S0lSS0o5UFgzOTc5WnI5ZTNGeFVWZmF5d3NQRHRCUVVGVnlnVWlpK0ZRcUhuM0c3M2I4TGg4SWxnTU5nQkFGYXI5UjBGQlFXdjlYcTllejBlejkxTGxpVUpPcDNPejd2ZDd2dXFxcXJ1MG1xMXpReDBSRVJFdEtrWURJWlhtMHltSzRIa1JJaTZ1cnI3aW91TGI5Qm9ORnRXZUpwQ3A5TmRWRnhjL05IS3lzcnZBRkFEVUJtTnhzdm56OXZMeXNxK2JEQVl0dWRhRFl2RjhtWmtEOThxek8vbG1vTjF2VXVFdytHUXMrMlBTK2NIL3g4UW5WME9oK01laDhNaHQ3ZTNmMml0NjBJYkcxdm9WakEzTi9lWDFQZERRMFB2V2Fsc0dpa1VDajBYQ29XZVN6K1l0Z1RKbE5QcC9QeXBWTVByOVQ2NHd2bllLVnlMSDlSRVJFUWJFQ2RGRUJFUkVlVTVCam9pSWlLaVBNZEFSMFJFUkpUbkdPaUlpSWlJOGh3REhSRVJFVkdlWTZBaklpSWl5bk1NZEVSRVJFUjVqb0dPaUlpSUtNOHgwQkVSRVJIbE9RWTZJaUlpb2p6SFFFZEVSRVNVNXhqb2lJaUlpUEtjY3EwclFFUnJvNzI5dlZ3UWhPc3puWE00SExlblA1WmwrVWNIRHg0Y1B5OFZJeUtpVThaQVI3UkpSYU5SbDBhaitTZ0FhNGJUdDZWOTd4RkY4U3ZucVZwRVJIUWEyT1ZLdEVrZFBYbzBLc3Z5d3prVWZlakFnUU94YzE0aElpSTZiUXgwUkp1WUlBaDdjeWlXU3hraUlscERESFJFbTFoQlFjSGpBR1pYS0JMdysvMlBuNi82RUJIUjZXR2dJOXJFOXUzYkZ3YndTTGJ6Z2lBODB0dmJHem1QVlNJaW90UEFRRWUweWNteW5MVkxOWkZJc0x1VmlDZ1BNTkFSYlhLU0pEMEdJSlRoVkVpU3BEK2U3L29RRWRHcFk2QWoydVNPSERreUJ5QlRjSHRzL2h3UkVhMXpESFJFQkdTWXlacmpERmdpSWxvSEdPaUlDSUlnUEFJZ2ZhMjVxRktwekRwWmdvaUkxaGNHT2lMQ2dRTUhmTElzcHk5UDh2aisvZnY5YTFZaElpSTZKUXgwUkpTeU44djNSRVMwempIUUVSRUFRS1ZTUFpUNlhxbFU1cklsR0JFUnJSUEt0YTRBMFZwcmIyL2ZMd2pDUld0ZGo3VVdqOGZUdjNjNUhJNDFyTTNhazJWNTM4R0RCMSt4MXZVZ0lzb0ZXK2hvMDJPWW8wd0VRYmg4cmV0QVJKUXJ0dEFSemJ2czNzM2RJa1VuUFhWTngxcFhnWWpvbExDRmpvaUlpQ2pQTWRBUkVSRVI1VGtHT2lJaUlxSTh4MEJIUkVSRWxPY1k2SWlJaUlqeUhBTWRFUkVSVVo1am9DTWlJaUxLY3d4MFJFUkVSSG1PZ1k2SWlJZ296ekhRRVJFUkVlVTVCam9pSWlLaVBNZEFSMFJFUkpUbkdPaUlpSWlJOGh3REhSRVJFVkdlWTZBaklpSWl5bk1NZEVSMDNzWG40bXRkQlNLaURZV0JqdWdzR24xa0V1R3BTUEtCREhSL3J4OFQrMXc1UFhmOFQxUG8rbllmRW5FNTQvbnBaenc0K3ZWZVNKSEVpdGVSSlJuZW93SEU1NlNGZWtqaFJFNWZLWW00akZnZ2ZrcGZjaUp6dlRPOWorZHZPb3JRUkNTbjhnQXdPeEJFMTdmN0lJV1Q3eWtXaUdQa29RbkVmTEdGTXNIUkVFWWVtc2o1bWtSRUc0bHlyU3RBdEZHNDluc3crRDlqMEJTcW9MVnJBQUVRRkFKR0g1NkEvVEliUktXUTlibXpBMEVNM0QrR2l0ZmJsN1ZlS1RRaUlBZ1l1SDhVeGhvOXBMQzBFR3dBUUZTS1VCb1VDNCtubi9YZytBOEhZYitzRU0zWDF5TGlpZUg1ajcrWTAzdTQ3RjVIOHIwODU4SHhld1pQNGQwRGpqdTJRVitwVzdXY2RXY0JSTFdJcWFkblVQUFc4cHl1SGZYRk1OUGhReUltUTZFRllyNFlodmFPbzdEZERKVlpCUUNZSFE1aGFPODRxdDVVZWtyMUppTGFDQmpvaU02Q3FDK0d2dnRHWWQxZWdPS1hGaTRjcjM1TE9UcHVQWWFSaDV4WncwdkVGVVhYZC9vaFN6SkdINW5FNkNPVGk4Nlh2Ym9Za0lHb0p3YTN4NGZuYmx3Y3ppeXRKclRkMHBSOElBT2pqMHlnOHNwU09CK2Z3bWpsSkNxdXNPUENiMjlmS0MrRkpIVGNlZ3hiYjZpRHFjbTQ0dnU2K0FjN1ZuM3ZJV2NZUi9ZY1gzUXNFVXZnSDljZFd2RjVJdzlOck5paWRzbVBka0doWlNjQ0VWRXVHT2lJenBBc3llaiszZ0NRa05GNFhmV2ljN3BTRGFyK3VSUWpEMC9Bdk1VSVMxdkJvdk56SXlFYysxWWZWQllsMnZkc3hlZ2ZwakE3R01UV0crcWdOQ2d3T3hoRXhCVkZ6ejJEYVA1Z0xZdzFPblIvZndCdG4yNkMycUphVnBmSnY4OUFDa21vZVVzWnRIWTFlbjg2REdPdEhwWVcwMEtaMmNGa042VzV4UVNWYWVWZkFhdWRCNENZVDVIMVhOMDdLMUc0c3lEcitVeThSd1BvdTNja2VXMS9IUEc1T0tMdVpKM0RreEhFWjNNZmZ6YzdGSVN4Um45S3IwOUVsSThZNklqT2hBejAvbVFZL2hPemFQdGtJelNGNm1WRnF0NVVDbC9QTExxK080RFdteHRRMEh5eVZTem1qNk53cHhsMVYxZEFWSXVvdnFvVVBmY013dGNkZ0cyM0JTTVBUMkJ1TUFqSFYxdWdMVXBldS9pU1FnVDZnN0E1ekl0ZUp6NG5ZZkNCY2RTOHRRd1FnTkxMaStEYTcwSFAzWVBZZGRzV0pHTEpNWEwrbmxtb1RFckVaK09Md3BHdVRMdXM3aUZuZU5VZlFYZzZtdldjMnFMS2VOMm5ydWxBMHdkcVVQSXkyN0p6d2ZHVHJ6bnkrd21NLzJscTRmSGhML1VBU0hidnJzYjV4RFQ2Zmo2Q2JSK3JoMjIzWmRYeVJFVDVqSUdPVG5NVExRQUFJQUJKUkVGVTZIVEpRTzlQaHpINTVBd2EzbE8xclBVdFJWQUkyUGJSZXJ4NHgzRjAzdG1MaHZkVkxRUVpTNnNKblhlZWdQT0o2VVhQbVhuQnUranhDemQxWnExR2F0eGIvMzBqVUJrVlVGdFVPUENwbzJpL293V04xMWFqKy9zRG1CMEtvdXM3L1l1ZWQrQ1dZeG12czFLWjFiaWU4MEJYcW9XaFNvZjJQZHVndHFpeWhzS1lONWJ4WEVHekVlMTd0a0doRVZIL3JrclV2NnNTN2tNK0hQdG1IeTcrd1E2b1RFb0VSME1BZ1BCMEJLSnFmbXhpMnFTTXNUOU9ZZURYbzZpNHdzNHdSMFNiQWdNZDBXbVFRaEo2N2htRSs2QVB0ZStvUU5scmlsY3NyelFvc1AwelRUajJyWDZjK1BFUVpnNTRVWDkxSmJRbEdnQkE3YjlXd05adVh2RWFTODBjOUdIdy9qRUF3UFEvM0poNjJvMjJXNXBRMEdSQUlwWWNqMWZ6MWpMcyt1SldoQ2FTd1NrVjJueGRBWmdhREJEVklrTE84TExnbHBxK2tTbmtMWldJSlJBY0RVTmJva0gzRHdaZ3JOV2orWU8xTUZUck1sNDdaZkMzNHhqODdmaXk0N3Z2YklHaGV2WEpGUUFXaGRTNmY2MEFBUFQ5WWdUT3g2ZFI4N1p5VkwyUkV5U0lhSE5nb0NNNkRSUDdYUEFjOGFQKzNaVW9kRmdRZG1YdmRrelhlbk1qaG4vbnhOaGpreWhvTXFMeURTVXdielhDV0syRDJycTh1elliaFZhRTBSMkRwVFU1Tms1WHJrWEp5MjBMajh0ZmE4Zi96OTZkaDdkMTFla0RmKy9WTGxtMlpObVM1VDN4bHNUT1lxVXJEZEJTdGtJSFdscGdDdE5DeXo0TUEvUUhsTFpBTzBOaDZMQjFXRXFId2dDRlFvYzJNRUJiV3RhMHRIU0w3VFIxRWlkeHZOdXl2TWhhckgyNXZ6OWtLWkl0ZVVrVDJ6ZCtQOC9UcDlHOTUxNTlwVHJKMjNQdU9XZm1vQmVBL1dRNnkvTFNmeHpIN2p1MzVSME9CWkNaT1RyNWR6ZU16WXRQbkFCU2dYWHk3ek1Jam9aUis3YUZrei9tQjhOQ1E2NVBYZGU1NUhzaGEzV1U5anUyWnNMZnhOL2RBSUR4djA2aCtVUDFzRjVVbXU5cUlxS3pFZ01kMFNtb3Vzd0c4L1ppekE2RkZoME9uVy9YN1Z1dzZSK3JZTCtrTE5NN3QvMldaa2dKQ1U5ZjM3WHMrK3k1endGVHF6RVQ0SXJxOWFpNnpKWVp3alR2TEVhcG93UWhaeGhLZmVGSkM0V1ViQzJDOWFKU0hMdDNFRkppZWV2TEtiUUsyQzh0UjlrNVoyNkljK0NCVVFTR1EyaitZRjNCTnR0dmJrWnhrK0dNMVVCRXRCNHgwQkdkSW4yMUR2b3FIY3JPVFFVWUtTSGhtUSs5aU0zdnJrYkZKV1U1YmNNVFVYVGVmQmlpT3RWZGxnNXo4N1g4OHlhVVgyQXUrSjZMRFdGMjNwei9lTVVsWmFoNm96WHpPck1Bc0ZCNFhUeEJGTkQ4b1hvMGY3QWV5WGpoaFl4ajNqaW1ucDlCMlFYbXZCTkMwdkwxdkIyL2R4REg3eDBzZUEwQXpMemt3OVN6TTNBZjhBSUF2RWRuWVg5TjJhTFhNTXdSMFViRVFFZjBjZ2lBcUVxdGxSWjJSd0FKME5rMG1XTnA2UkFscWhkZlYrM28zZjA0ZW5mL0taVXlmMWd6NW8vamhVOTBvN2dsZDhnMHZTTkV2bG9Ta1dUT29zVkxDWTZHMFAvQUtQUTFPZ2lLa3dGUlhaSzdwTXJ1TzdmbHZPNjQ2VERxMzE0Snk3emV2UGxoZGZ3dlU1anRENkNvWG8rWmwzelllVnRMenFRSUlpSktZYUFqT2sxOHZRRUFnQ0hQdW1mSnVlMjZGSnJGQTEzVCsrc1doSnhzNGZFSUR0emVzNng2eHY4eUJWV0pFdVhubTA5dVI0YlVXbTZDS0VCZHN2QzMvOWhqRXhqY3UzQ2l3bElPZmJVMzUvWDhjSm52V1QxVmdTVk5zalZjVndPMVNRWDNpMTdNdk9SYmNWM0phSExKRUUxRWREWmdvQ002VFNhZm5ZR2hWcGQzd2Q5MHI1ZEN0L0xuMmJKcExDcHN2N2tKOFdBQ0NvMlkweXNXODhkeCtPc25zUG5hYXVpcmRSajd3d1JxMzJiUGFRT2toakUxRmhVRWNlR1FhOVdiYlRremR2dC9NWUtTclVhVTdzby9BM2UyUDRqdU80OWorODFOZVlOczJxa091YXJOQzcvTGxSajQ1Umppd1RpYVAxai9zdTVEUkxUZU1kQVJuUWFldzM3TUhQU2k0YnFhdk9mamdRUUVoYkJrYjlIeEh3emkrQThXRHpscDIyNXN5QWxhcWlJbDFHWVZqdHpWaDdMelRCQlZBbXl2VGoxdnByR29NMEhRK2NkSlJIMHh2UFNWNDJqK1VCMDA1UnEwMzVGYXFGZFVDaENWYzZGVFN1MFRlK3kvQjFEL3ppcFV2OG0yb0laMGo2TkNxMWgwOHNXcERya3Vpd1E0L3pLSlpHemg1STJvTjVaWlVKbUk2R3pHUUVmME1nV0dRemg2ZHorS051bFJjWEgrQi9ZREl5Rm9MRXN2UzdMVXBBZ2c5UXpjTXgvTXMwK3FBRFIvcUI0di9sc1B4djQ0aWNicmF5RXFVNzF3b2xxRXNjR0F3M2YxUVZBSzJQVnZXM0RzKzRQb3V1VUlHcSt2UmRuNWVkNVRBQnJlVXdObGtSSURENHhDWlZEQzl1cmNaVVpPVHJESVg2dXFSSVhHRzJxWFBlVGFlRU50WnNtVXhVaHpieHNZQ2VIRVQ0WVJkSVp6Sm42a2hTY2pLRm5Hc2l0RVJITEhRRWQwcWlUQTliZHA5TjAvQWxXeEVsdi90UUdDUWtEVUc4TnNYeEFxb3hLaVJrUm9QQUxuSHlkaEt4RDJzc1c4TVlSZGtVWGJKS0tGZTV3VVdoRmIvM1V6dWo3ZkE5L3hRR2EyN2V4Z0VNZnZIVVI0TW9ydE56V2hxRjZQbmJlMTRQaTlnK2o1Ymovc3gyYXgrWnBxQ01xRnlhenVLanNNMVZwWWRwdVFqQ1V4dm04YVNwMENnbmh5N2JkQ3ZYTkt2YUpneU0xbmZ0dEVPSWw0TUpIWkRpemRJNWhlbnVYNHZZT3dYMXFPYlRjMndIOGk5UXpqMUhPcG9lK2dNNExBWUFoVmIxallzMGhFZExaaG9DTTZCY2xvRWdlL2VBeXpnMEdVbld0QzQvVzFVQmFsZmp0Sk1RazkzK25QRFBXSlNnR1djODJvdmRLKzVIMzc3aDlCMy8wakw2czJuVjJMemUrdVJ1K1BobUI3bFFXK28zNE0vc29KYmJrR08yNXR6aXpFcTlDSTJQTFJUZWd2VTJQMFVSZGluaGkyZkd4ejNudW1lL0FFQ0JoOGFBeUpVT3FaUUVFaHdINXBPYlRXL011d3ZGeWV3MzRjdWV0RWFtL2FTOG95UTlhSlVCS0dHaDJhUDF3UFEwM3E4NWhhamJEc051SG9QUU9RRWhJRWhZRFNYU1daWldXSWlNNW1ESFJFcDBCVWk2aDdSeVVVV2hIRlRibERlcG95TlY3eHcxMlFraEtrSkNBcWhJSkRrbW1DS0tEcU1odXNGNVV1dWUyVkZKY3crS3N4NkFxc1pRZWt3bysrU292aTVpTG9xN1NBSUtEeURkYUZzMnlGMUpaWitrcHRacEhpcFp6M3JlMUFVb0lrQVFxMW1MZFhieWsxYjZsWTF2WmVwVHVMY2Y1M2QwQ2hFWE9lUDdTOTJnTHJudEtjQ1IrQ1FzRFdqK2NQcEVSRVp6c0dPcUpUWk41ZXZPaDVRUlFnTEhmRkRBSFlkRTNWOHBvcUJkUy9ZK20yeFhQUGpxbU15aVgzTkxXOXlyTG8rV3hMTGIyeUhIVlhMOXdlTEI5QklVQmx6UC9IMVB6WnUwUkVHeGtYYUNJaUlpS1NPUVk2SWlJaUlwbGpvQ01pSWlLU09RWTZJaUlpSXBsam9DTWlJaUtTT1FZNklpSWlJcGxqb0NNaUlpS1NPUVk2SWlJaUlwbGpvQ01pSWlLU09RWTZJaUlpSXBsam9DTWlJaUtTT1FZNklpSWlJcGxqb0NNaUlpS1NPZVZhRjBDMFhqeDFYZWRhbDBCRVJIUksyRU5IRzU0a1Nmdld1Z1phZi9oelFVUnl3aDQ2MnZDNnVyb3VXZXNhMWd1SHd5RUJRR2RucDdEV3RSQVIwZkt4aDQ2SWlJaEk1aGpvaUlpSWlHU09nWTZJaUloSTVoam9pSWlJaUdTT2dZNklpSWhJNWhqb2lJaUlpR1NPZ1k2SWlJaEk1aGpvaUlpSWlHU09nWTZJaUloSTVoam9pSWlJaUdTT2dZNklpSWhJNWhqb2lJaUlpR1NPZ1k2SWlJaEk1aGpvaUlpSWlHU09nWTZJaUloSTVoam9pSWlJaUdTT2dZNklpSWhJNWhqb2lJaUlpR1NPZ1k2SWlJaEk1aGpvaUlpSWlHU09nWTZJaUloSTVoam9pSWlJaUdTT2dZNklpSWhJNXBSclhRQVJyWTMyOXZZNlFSQmVCRkFDSUFRZ21qN25jRGc4QU5RQWRBQzhraVR0N09ycUdseWJTb21JYUNuc29TUGFvTHE2dWdZRlFlaWZlNmxES3RpbGxjd2RBNEEraGpraW92V05nWTVvQTBzbWszdVgwV3c1YllpSWFBMHgwQkZ0WUlJZ0xCbldsdE9HaUlqV0ZnTWQwUWJXMmRsNUJNQ1JSWm9jN3VqbzZGbXRlb2lJNk5RdzBCRnRjSXYxd0VtU3hONDVJaUlaWUtBajJ1QVNpY1Jpb1kyQmpvaElCaGpvaURhNEF3Y092QWlnTDgrcEUxMWRYUWRYdXg0aUlsbzVCam9pa3BDL0oyN3YzRGtpSWxybkdPaUlLTzl6ZEtJb2NyaVZpRWdtR09pSUNCMGRIUzhJZ2pDU2RXaDQvLzc5TDZ4WlFVUkV0Q0lNZEVRRUFNbGtNdm1yck5lL0FvZGJpWWhrZzRHT2lOTDJGdmcxRVJHdGN3eDBSQVFBYUd4c2ZCckFKSURKaG9hR3Y2OTFQVVJFdEh3TWRFUUVBSGp3d1FjVGdpRHNsU1Rwb1FjZmZEQ3gxdlVRRWRIeUtkZTZBQ0phUDVMSjVFT0NJUERaT1NJaW1XR2dvdzJ2dmIzOU9VRVF6bHZyT3RZVGg4T3gxaVdzT1VtUzluVjFkVjJ5MW5VUUVTMEhoMXhwdzJPWW8zd0VRYmg0cldzZ0lsb3U5dEFSemRsekgzdWxLT1dwNnpyWHVnUWlvaFZoRHgwUkVSR1J6REhRRVJFUkVja2NBeDBSRVJHUnpESFFFUkVSRWNrY0F4MFJFUkdSekRIUUVSRVJFY2tjQXgwUkVSR1J6REhRRVJFUkVja2NBeDBSRVJHUnpIR25DRnAzSEE3SFEydGRBeEVSa1p3dzBORjZNZ0hBQ3VDcXRTNkVpSWhJVGhqb2FOMFFSZkhTUkNLeFpiWGZWeENFQjFmN1BZbUlpRTRuQmpwYU4vYnYzOThOb0h1MTM5ZmhjS3oyV3hJUkVaMVduQlJCUkVSRUpITU1kRVF5RjNLR0Z4eExoQktJejhiWG9KcFRKeVdrdFM2QmlFaTJHT2lJVnNIWTR4TTRjdGNKSk9QNVE4dmtNek00OUxWZUpDTEp2T2U5Ui96by84WG9ndVB4WUFJSGJqdUswZCs3Y280UDduWGl3QmQ2Q3I3Znk2Mm5FQ2toTGZsUDNzL1hNNHZuUHZZU1psNzBydWo5aUlnb2hjL1FFWjFocy8xQjlEOHdpcXJMcklnSGNudk5GQm9SRUFUMFB6Q0Nvam85RXVFRUV1RkU1cnlvRktFMEtCQVBKVEg2ZXhlMFpXcllYMWVlT2EvVUs3RHBtaXFNL3Q0RisrdXNFSlVDL0gwQk9QODhpYTMvdWhtaVVqaTk5U2hFeFB5eGdwKzE0NmJEUzM0ZjUzeWpEZG95ZGM2eG9rMTZDQW9CdlQ4YXd1NnZ0a0pVbmZ4L3pjbG5aM0QwN3Y0Rjl4RkVBUmY5dUgzSjl5TWkyZ2dZNkVqMmR1ellVZDNTMHVKODhNRUhFMHUzWGwyUnFTaU8vRmNmcElTRWtZZGRHSGs0dHlmTi90cHlRQUtpTXpHNFo3eDQvbU12NVp3M3RSclJkbE1UTEk0U1dQZVVvdjhYSXlodUtVSjRNb0lqLzlXWDAvYnZOM1RsdkQ3OHpSTTVyL2ZjNTNqWjlaUnNMWUwzeUd6ZXo3cjd6bTBBZ0hPKzJnb0FDRTlIMGYyVjQ5aDk1ellJb29Ca1hFTG56U2NEWHp5WVFNeDdNaHhhZHBjZzdvOGpNaFZkOVA0QU1QalFHS1k3MTNkdjN1N2R1MVVkSFIyRjB5OFIwV25FUUVleXAxUXFQOWZiMjN2Rjd0MjdmNTFNSnZlV2xKVHMyN2R2MzVvL1FCWVlEdUh3TjA5QVpWS2kvWTR0R0hsMEFyTURRV3o1NkNZb0RRck1EZ1FSbVlyaTZEMERhUDVRUFlycWRPajVUai9hUHRzRXRVbTE0SDZiMzFVTjcrRlpSS2FqTUxVVzV3UWNBQmorM1RpQ0kyRzBmS1IrVmVwNTZycE83TDV6RzNSMkxZQ1R6L0pwYlpxY2RscXJCb0pDUURLV08zdzczZUhCOFhzSEY5eDM2Z1ZQenV1V2Y5NEVBSm4zU1lRVG1IbkpEL1AyNHJ5ZmN5MWRmUEhGV3EvWCszcFJGSytTSk9rdEFNeHJYUk1SYlF3TWRIUldFQVRCSmtuU2h3VkIrTERYNjNVN0hJN2ZDSUt3MSt2MS9xbTN0emV5RmpYRmZIR1U3aXpCcG11cUlLcEYxRjVSZ2FQM0RNRGI0NGRsdHduRHZ4MUhZQ0FJeDFlMlpZWWd5eThzaGI4dkNJdWpaTUg5bEVWSzdQN1BiUkRWcWVGSW5WMmI4MHhhMUJOSHlaWWlhSzI1Z1VwUXBJWmRQWWY4cDdXZVF0TEJMaktkNm1rTGpVY2dpRmp3dko3dGxSYW9pNVVJVDBSemhwRUJvUC9uSXlqYWJFRDVCV1pNUGp1VGM4NzE1RFFTNFFScXJxaFlkazFuMG80ZE93d0toZUl5UVJDdTh2bDhsd3VDVUNSSm5PQkJSS3VMZ1k3T09vSWdsQUs0WHBLazY0dUxpMzN0N2UwUEM0S3dWeENFeHpvNk9vS3JWWWVwMVlqdU80L0QrZWZKbk9QVCszTjdvUGJmV0hqcHZUMzM1YTZSbHc1elFDbzR6WDltemRQdHcraGpFem5IMHIxb1o2S2VmT2JYbEQzTU9wK29GbkhpWjhOUUdwVW92eURWbWVYdThtTDBzUW0wZmFaeFFYc3BLV0hzOFFsWWRwdGczR3hZc3BZejVmenp6eStPeCtPWFM1SjBGWURMQU9qV3JCZ2lJakRRMGRtdldCQ0Vkd0Y0bHlSSlFZZkQ4WHRKa3ZhcTFlcEhubnZ1T2Q5cUZGRC9qMVd3dEMrL2h3c0FwcnU4R0hnZ05hdDF0aitJQTdmMVpNN05EMVVYM0xPejRIMmUvZkNMcDcyZXBhVHJDN3NpMlAvcFE3am9SKzJaSWRlL3YrOUFUdHVTclVaVXZzNEs3eEUveWk4d0krYU40ZmdQQjJGL1hUbE1iUXVIVktlZTl5RGlqcUgxMDFVcnF2OTB1UERDQzBzamtjaGJBRndWaThWZUQwQzkxRFZFUkt1RmdZN1dqZmIyOXVjRVFUanZETDZGSHNCVmdpQmNGWXZGNEhBNEhnYXc5d3krSDBxMkZLR29WZ2UxZWZsLzl5dTBJb3JjTVpoYWpRQUFmYlVXdSsvY2h2QmtGSWUrMXJ1Z3ZhaGFPSlAxVE5iendvM2RtWWtMNmQ0NHJWV0Qxdi9Yc094N0FxbG44TEtOLzNVcTgydm5IeWZoL0dPcUo3SHh2YldaNHpGZkRKQUFiNDhmdW9yY29lVXpZY2VPSFZhbFVua0ZnS3Npa2NqclYzcjk3dDI3VjMzbkUxcGZKRWxxWGVzYWFHTmdvS04xNHd5SHVYd2tRUkNrTS9tODAvWmJtaUVsSkR4OWZkZlNqZWZzdWM4QlU2c3hFNkJFbFppWkVKRFAvRjZ2TTEzUDlzODJRVXBJNkxqcE1Gby8xUWh0dVJxQ1FzZzh6emMvcUJWNnIvbVRPZ3FaSFRnNVNsNzVlaXNnQWIwL0dvS21WQTN6ampNN01XSXV6TDBUd01XbmNqMy9NcWMwVVJTSDE3b0dPcnN4ME5HNjA5blp1Znd1SndBT2grTWVBQjlhUnRPZ0lBaVBKcFBKdlhxOS9wR25uMzdhUDNmOWowK2h6QlZyK2VkTm1lZkU4c24zVE54eUxQWmMyL3h3ZFRycXlaNTBvUzFYTDVqbG1nNXFrZWtvdXYrekY0Ny8ySmFaRk5GMTY1SE10WXVGMUd5emc2R2MxNVZ2c01MWEc4Q0orNFpUUzZTczZLZGxaVG83Tzc4UDRQdnQ3ZTNsZ2lCOFhCQ0VWMHVTZEFHVytXZW5LSXJiejF4MUpCZUNJQVJmZU9HRnZxVmJFcDA2QmpvNjIva0EvQTdBWGtFUUhsL05TUkh6SGIyN1ArOEN1Uy9YWXFGdE1hZTdIcDFkbTNsZURrZ3QvQXNBdWdwTjVsajJlV0RwMmd1RjFlckxiRGh3ZXc5bUI0SW8ycVEvSGVVdnFxdXJheExBNXdCZzE2NWRKa0VRL21GdWFaSTNBQ2lZVFBmdjM4OGhWeUphRlF4MGREYWFCdkFiVVJUM2VqeWVQNi9Wc2lYek5iMi9EcFp6VEFYUGg4Y2pPSEI3VDhIemhiemloN3NLbmx0c09QWjAxek4vVDluNXk1YWthU3pxbk5tNjZXSGJuUGN1OEx4Z21uYnUrYm5JVEF4Rm01WmQ0bWx4NE1BQkQ0Q2ZBdmhwYTJ0cmtVYWplUk9BdHdGNE00Q2kxYTJHaUNpRmdZN09DcElrdVFEOENzRGVrcEtTSjliRHdzSXJwYkdvc1AzbUpzU0RDU2cwWWs1UDFtSVM0Wlh0dDNvbTZrbUVrd1dIaStjdlc5SjJVMVBtZVR3Z2Q5aDJ1Y0t1VkVaWEZTbFdkTjNwZHVqUW9Wa0F2d1R3eXdzdnZGQVhEb2RmSndqQzFRQ3VYZFBDaUdqRFlhQWoyWXZINDNlMHRMUjhkRDF1L1pYdCtBOEdjZndIQzNkR3lHZmJqUTBvM1pXN3RFZ3lsbi95eG5NZlBiZ205UUJ6dTFNTWh4SDF4UllNajg1ZnR1VGxHbjNVQlg5L0VBcXRDTTlMZnFqTnFqVmRpMjYrWjU1NUpnVGd0d0IrMjlyYStuNk5SblBKV3RkRVJCc0hBeDNKM3NHREIwY09IankxVUxPYWxwcUVBS1I2dXA3NTRNSmgwb2c3bG5yZVRRQkdINXRBMVJ1dFVCcVVxSHlERlp2ZlhWM3dmbjMzajBCcHlQL2IvRlRxaVhwakdQbWRDOU1kcWNXSUo1NXlvNmhlRC90cnlndmRZa25oeVlWN3QrWTdwaktwRUJvTEl4bVhVTFJKajdxcjdCQ1VaM0JHeE10dzZOQ2hLSURIMTdvT0l0bzRHT2lJVmtuTUc4c01GUmFTaUM0Y1BvMU1SM0h3UzhlZ3RhaXg0NFptSFA3bUNjd2M5TUgyS2d0c3I3SWdQQm1GSUFBUWhjeXphbEpjUWpJdW9lTGlNa1Jtb2doUFJtQ28wZVU4dTNZcTlZZ3FFYzYvVE1LNDJZQ3F5Nnl3bkdPR3BsU0ZrRE84N0dmb0FFQlhvYzNNVGwzc1dibHMxbGVVd3ZxSzBtVzFKU0xhYUJqb2lGWkozLzBqNkx0L1pNWFhLVFFpVkVWS2JQM0VaaWdOU3JSL2FSdEdIaG5IMEsvR0VKMkpJUm1USUNVWFgwdlAyR0RBemkrMHZPeDZsSG9GenYvMkRpZ051Yyt1TGJiY1NyNnR2eTc4L2k0b3RLbVVsOTZhTE51cEx1RkNSTFJSTWRBUm5XR0NLS0RxTWh1c0Y1WENVTHY0bHA5U1hNTGdyOGFnczUxYzYwMVpwTVNPTDdSQW5CdGUxSlNxMEhCdHpjSnJFeExTYXlRTEFnRGg1TklocDdVZXc4S0pDTXZaNHpXZmM3N2FDazNad2wwcnRGWU56dmxHRzREVW5yZzdQdGQ4U3Zjbkl0b29HT2lJempRQjJIVE44dlllRlpRQzZ0K3hzSzI0akdmRkJJV3d2RFYyVDBNOXA0dldsbi83TGtFaFFEc1g5RlJHSlZSR3JnWkNSTFFZY2VrbVJFUkVSTFNlTWRBUkVSRVJ5UndESFJFUkVaSE1NZEFSRVJFUnlSd0RIUkVSRVpITU1kQVJFUkVSeVJ3REhSRVJFWkhNTWRBUkVSRVJ5UndESFJFUkVaSE1NZEFSRVJFUnlSd0RIUkVSRVpITU1kQVJFUkVSeVJ3REhSRVJFWkhNTWRBUkVSRVJ5Wnh5clFzZ1dpK2V1cTV6clVzZ0lpSTZKZXlob3cxUGtxUjlhMTBEclQvOHVTQWlPV0VQSFcxNFhWMWRsNngxRGV1RncrR1FBS0N6czFOWTYxcUlpR2o1MkVO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cDF6ckFvaG9iZXpZc2FOYXFWUitMdDg1aDhOeFQvYnJlRHgreDhHREIwZFdweklpSWxvcEJqcWlEYXFscGNYWjI5dDdoU0FJdGp5blA1VCtoU1JKcnBhV2xvOGVQSGh3RmFzaklxS1Y0SkFyMFFiMTRJTVBKa1JSL1BVeW12N3F3UWNmVEp6eGdvaUk2SlF4MEJGdFlNbGtjdTh5bWkybkRSRVJyU0VHT3FJTlRCVEZKeVJKY2kvU1pMcWtwT1NKVlN1SWlJaE9DUU1kMFFiVzBkRVJFd1RoTjRzMCtjMitmZnZpcTFZUUVSR2RFZ1k2b2cxT0VJU0NRNnFpS0hLNGxZaElCaGpvaURZNHI5ZjdKd0MrUEtkOEhvL256NnRkRHhFUnJSd0RIZEVHMTl2Ykc1RWs2ZUU4cDM3WDI5c2JXZldDaUlob3hSam81STlyQ2RMTFZtRFlsY090UkVReXdVQ1hSMGxKeWRXTmpZMi8xK3YxbGFkd3VVS3RWbTg1MVgveTNkRGhjRWdGemxsMjdkbzFvOUZvV2s2aHpqUmpSVVhGYlRxZHJtcXhSa1ZGUlczVjFkVmZCU0RNUDlmZTNoNHZMeS8vbC9rMWw1V1ZmZmhsMUVXclNCQ0V4d0FFc3c0RkJVRjRmSzNxSVNLaWxXSHZ6a0xGdGJXMTM0NUdvMGZqOFhpeFdxMHVYczVGQ29WaU5oUUtqUUFvYjJ0ck8zS3FiOTdaMlNuczNMblRvMUFvU3JLUHo3OW5aMmVuWURhYjN4aU5Sa2Npa2NqUlFtV3AxZXFtZkNlaTBXZ1BBRmdzbHJmWjdmYlBlYjNlSHl4V2x5QUk1dkx5OGsvR1lyRnBsOHYxbFJWOEpKS0JqbzZPb01QaCtEMkFxd0JBRUlSSE96bzZna3RjUmtSRTZ3UUQzVHoxOWZYZlU2bFVGU3FWcW1JbHdjenI5VDV5NHNTSnk5T3YrL3I2cnZSNFBQK1gzVWF0VnJkYUxKWnJuRTduN1FCeWxvS3dXQ3p2cmF1cit4RUF2UGppaTNYSTZnbHpPQnd6UFQwOTV3V0R3ZVBaMTVTV2xsNmoxV3EzT0J3T2FYNDlSNDRjdVRBVUNnMFUrZ3lkblozQzNEMyt5ZTEyUHhBS2hVWVgrM3grdi85djQrUGp0MWRXVm43UjcvZi9PUmdNdnJCWWU1SWZTWkwyQ29Kd0ZiRHNCWWVKaUdpZFlLRExZclBaUG1rMm05OTU3Tml4UzJkblovOXl1dSt2MCttMjJ1MzJXNTFPNXgyWUYram04YmEzdCtlY2IybHBlU2I3OVpFalI1cEtTa291R3hrWitaVFA1OXNMQUZhcjliTm1zL2xkUFQwOXV5T1J5QkNBU0RxNHBXVUhSNDFHMDJBMEdpOEZJRmdzbG4vS1Y0alQ2ZnlTMCtuODNOeXZ2MUpTVW5LbHlXUjZjekFZUE9Kd09QenBkalUxTmQrdXFhbjVkdmExdGJXMTM2dXRyZjBlQUhSMmRwb0JlQmI5Z21oTnFkWHFSMkt4R0FCQXI5Yy9zc2JsRUJIUkNqRFF6U2t0TGIyaHFxcnE2eU1qSTUrS3hXSkRoWjVubTAraFVBUkNvZEJ3b2ZQNWVzOGNEa2NvL2V0Z01OalIwOU56enZ3MmdpQW9EaDA2MUJTSlJIb2REb2QwNk5DaHRtZzAycVBSYUJwYlcxdVBXNjNXV3p3ZXp5TkdvL0dWRXhNVFh3ZUFvcUtpVjdyZDd2c2lrY2p4K2ZmTHgycTEva3N3R096czYrdkxDWE90cmEwSFhDN1hWNmFtcGg2SVJxTlRXYWZpUFQwOXIwVHFXU3VodTd0N0t3QzB0YlVkR2g4Zi85TFUxTlRQMHczYjJ0cU9qSTJOM2U1MnUvOTM3bEMrWlRGb0hYbnV1ZWQ4RG9mallRRFMwMDgvN1YveUFpSWlXamNZNkFBWURJYWQ5ZlgxUDNBNm5WK2FtSmo0WG50N3UwOFFoR1Y5Ti9PSFd1ZExoeDRBS0NrcGVYMU5UYzEvSFQxNmRHY3NGb3NDZ0NpS29VTFhMa2FwVkZyNit2cXVhV3RyTzJRd0dMWXJsVXE3U3FXeUR3OFAzN0hNVzFnc0Zzc0hvdEhvY1BwNXVqbG1RUkEwd1dEd3hYbkgwOUxQVlVuWjUyT3htR3QrKzNnOHZ1QVlyWHQ3QlVGWThEOGhSRVMwdmpIUUFRZ0VBaThlUDM3OFZYNi8veW1kVG5lK0lBaktJMGVPbkI4S2haNEhZR3hvYVBqRjVPVGtkM3crMzJQWjE3VzB0RHlkVENabkY3dDNkcUNKUnFOdGMrOTNERUI0c2V1Q3dlQ0xXN2R1ZlZFVVJTMlE2dkdTSkNraFNWSWtHQXkrMk5mWDl3NEE4WUdCZ2V0cmFtcCtwRkFvakgxOWZkY0JHRi9PWjY2cXFycEZrcVNrUnFOcEFxQk4xNlBUNlpvQklCYUw5YVhiMm15MlQxUlZWWDB6L1hyK01DNEFRYzRob0wyOS9UbEJFTTViNnpyV0MwbVM0SEE0ZnJ6V2RhdzFTWkwyZFhWMVhiTFdkUkFSTFFjRDNSeS8zLzhVQUJpTlJvY2tTZkZRS0hSdzd0UnNJQkI0dnJHeDhaSHg4ZkV2am8yTjNaNitSaFJGL1NLQlRzbzMzQXJrRHJrQ3dQRHc4TWZtMzZlbnAyZVh3V0M0MUd3Mi80UFZhdjE0TEJZYmpVUWl3K1BqNDdmN2ZMNzBjaEpxczluOEQzcTlmamNBeVc2MzN5cUtZbVJ1NVg5cDdyM3kxcURUNmRxY1R1ZE5WVlZWM3pJYWpidjlmdi9UQUdBd0dIWklraFFQQkFLWm1iTXVsK3NuTXpNemo1bE1wamRWVjFkL2ZkNnRSQUJDTXBsTUZ2Z2UxajJHT2NwSEVJU0wxN29HSXFMbFlxQkxLZEpvTkJVQW9OZnI5MFNqMFFHTlJsT2RQamt6TS9OelNaTGlraVROYURTYXh2UnhoVUpSSWttU01uMHNFb24wNnZWNkVRQVNpVVFpZTdoMU1kRm9kTnhpc1Z5UmZtMHdHSGJZYkxiUEF4RDYrdnJlWmJWYVB6NDRPUGcrazhsMFJVTkR3OE5lci9jM2JyZjdaNVdWbFYvV2FEUU5Bd01ETjhUajhmSGEydHA3R2hvYS9oQ0pSQVo2ZTN2Zm1GN09aSFIwOUphWm1abGZBNERaYkw2eXFxcnF5NzI5dmU4R01GTmFXdm9oZzhGd2FUclE2Zlg2aThMaGNEZHlleEJub3RIb1RDd1cyNVUrTUQ4b1prK0F5SGRzYW1ycUowTkRRKzlkenZleFZ2YmM1MWpyRW1pZGVPb0FZMDJkQUFBZ0FFbEVRVlM2enJVdWdZaG9SUmpvQUpqTjVpczJiZHIwMCt4anJhMnRlU2NXVkZkWDU3d3VLeXZiVkZaVzloNGdOUlFwU1pJU0FFUlJqTTROdDZyVmF2WG1RdTg5L3hrempVYlQyTkxTY21COGZQek9zYkd4V3dFa0FTQWNEZzhPRFExOXhPVnkzYVZXcTYwMm0rMFdTWklpUjQ4ZXZUQVlESFlDUUhkM2Q0dlZhcjFCcDlPZGs3MDJYVHdlZDZiZngrZnovVVd0Vm44WHdCUUF6TTdPL3RGa01yMXRmSHo4M3dHSUpTVWxiM0M3M1QvSEV0SmgxV2cwbmx0WFYzZmZpUk1uM2g0S2hiclQ1K2RQaW9oR285Nmw3a2xFUkVTbmhvRU93TXpNelAwek16TVBBRkMzdDdkN1JrZEhQenN4TWZFdEFORHBkTGJLeXNydkRnOFAzeHlOUm5OQzNzNmRPOTBURXhOM09wM09POVBIa3Nta2J1N2ZJUUJRcTlXYkYxdlByck96VTRXc0pVd2lrVWh2VDAvUE9jRmdjRXlyMWRZQ3FmQWtpbUpFcTlYV0E0akVZckhoc2JHeEx5U1R5V2tBeWJuakFBQ2Z6L2ZveE1URTNZWGVMeFFLUFRjOFBQeGMrdlgwOVBSZXE5WDZLYjFlZjY1U3FTeFRxVlFWYnJmN29hVytzM1JBVktsVTc1UWtLZWIxZW44SElHZmZUMDZLSUNJaVdoME1kQ2tTZ0xoZXI5OGhDSUpxcnNjckRnQ2hVTWduU1pLNGRldlc1d1lIQjYvTFdpeFlVQ2dVaG5nODdrVldJQk5Gc1JRQUpFbWF5WDZEK1JNSjBzdVA1Q3NtR0F4Mk5qYzNQMVZVVkhUUnFYeVlQSk1XQ2dxRlFzK0dRcUVEZHJ2OU5vVkNVUklLaFE2R1FxRm5scjRTQUtBdEx5Ly9vTmZyZlJqendod1JFUkd0SGdhNkxGcXR0aDBBWm1kbkQyUWQ5dmYxOVYxUlhWMTk1MXg0U3lzQ0lDYVRTZCs4ZTlUTjNXUFJuUmVXY3V6WXNUMEFVRnhjL0VhZnovYzNBSUgwT1lmRElYVjNkMjg5bGQ0dm5VNVhWVlpXZHV2dzhQRE5BTHhBNmhtN3hzYkdSd0dndDdlMzRCSXM4OVhXMW41THBWTFpKeWNuNTArVUlDSWlvbFhFUUpkRnBWS1ZBNm10dHZLZHQxcXRuNXAvcks2dTdpZDFkWFUvY1RxZG4zYzZuWGNVRlJXOUtocU5EZ0hJdVVlaDJhWkxhV3hzL0gyKzhKWnZHRGNlajA4ZlBIaXdMTjk5ZERwZGpjVmkrWlRGWXZtZ0pFbXpFeE1UMzRoRUl0NjVjeTF6elpKS3BiS29VQzE2dlQ2OUFMSytvcUxpbzJWbFpSOXd1VnpmU0UrbzJHaEN6b1VyejJodEdnaWlBUCtKQUk1K3R4OXR0elJEVzZZKzVmZDQ2cnBPN0w1ekczUjI3U25mSXhtWGtBZ2xGbTJqMENrZ0trOTI3SVpkRWJ4NHh6R2MvKzN0cC95KzJVTGpFUno0L0JIcytFSUxERFc2bkhQUGZPQUFkbjF4SzNRVm1oWGZOK2FQWSt6eENWUmZib05DcXpndHRSSVJ5UkVEWFJhWHkvWDltWm1aLzF1NkpXQXltUzZwcnE2K3U2K3Y3NjNCWVBCWU5CcWRCS0F6bTgzdjhIZzhDL2JCWEdUR2F4d0FKRWxhMGQ5R1I0OGVmVzBpa1RpUmZVd1FoUGwvYXhzQXdHcTFmbEtyMVg0L2tVaDRYUzdYN2VQajQ5OUJxc2V2Yk5PbVRYZWJ6ZWEzdTkzdSswUlJOTlRYMS8raXFLam9vcUdob1ZzQlpIWUxzRmdzNzdIWmJKK014V0tqdGJXMVh4OGFHdnAwSXBHSVRFNU9maHQ1ZUwzZTMwU2owZjZWZkNhNTZianA4SUpqNTMxN085VEZLdlRkUHdKTmVTcWdoS2VpbWZPaVFvRGFyRnB3WFhhYitTTHVHQVNWbVBkY09pd213Z2xFWjJKNTIvaDZBemgrNzJEaER3S2c2UU4xc0wzU2tua3RKU1hFdkNmdk4vRjNONDdkTTdEb1BZQ1RNNFhuaDkzd1pCU0pTQkxoaVVoT2NBU1FPUTRwOS85NU5HVnFpQVUrZDFwa01vcVJoMTJJZW1Ob2VsL2RrdlVSRVoydEdPaHl1YVBScUR2ZkNZUEJzRXNRaEdJQTdrUWlVV1F5bWQ0ZGk4WEdQUjdQSXdBU0FHQ3oyVDZyVkNvdFUxTlQ5NmF2VXlxVlBvL0hzM2QrRDV0T3A2dlNhRFRucUZTcWFvVkNvU2d2TDc4aEhvOVBBa0QySkFjQVVLbFVWYUlvTHJvUU1aQUtoZWxydytId1dGRlIwWGtBb0Zhck43bGNyaStQalkxOUhhbVFaclRaYkordHFLajRyQ2lLMnRIUjBSdGRMdGMzQVNqc2R2dnRkcnY5RnBQSmRNM2s1T1JkVHFmemgwVkZSYzIxdGJYZkh4MGQvYnpmNzMrc3FhbHBuMHFscW5XNzNmY1lESWEyZUR3ZUVRUWhLb3BpTkJnTXhnQW9SMGRIUHk1SmtxYW9xS2d0bVV4cTR2RjRLQnFOTGt4QU1wZnVQUnZmTjRXaFh6dWhMbFpoN0E4VDhQZW1Sc2ozMzlpZDA5NVFxMFA3SFF1ei9meDIyYnJ2TEx5VFd6cEF6YnprUjgrMysvSzJhZnBBS3VpYy85MGRlYzgvOTlHRGVZOW5zN1NYWVBlZDJ4WWNIMzE4QXVOL21ZS2dFRkR6bG9yTThYeGhGd0NPL0ZmK0dnOTlyWGZCc1oxZmFJR3gwWUI0TUpFVExyTXBkQ0lzdTBzdzJ4ZEVZRGkwSUN3Q2dLcEVCYVdldlhkRWRIWmpvRnVtb3FLaWk3TjNTd2lId3ozOS9mM3Z3bHlZQXdDRlFxSDFlRHdQQllQQi9lbGp3V0J3cksrdjcrcjU5MHNrRXNXYk4yL085QVltazhuUXlNakl2d0xBdG0zYmNucTJXbHBhL2pULytuekhzdlgwOUp3N096djd6TlRVMUkrSGhvWnV4dHdPRWhxTnBtbkxsaTNQS3hRS2s4L24rLzN3OFBBbklwSElzWFJaVHFmejgxNnY5emZWMWRYZnR0dnRkNFRENGNGNFBPN3grWHgvZExsYy93RkE2dW5wT2RkdXQ5OVdYVjE5cjFLcExCTUVZY20vTFNjbUp2NXpaR1RrcHFYYXlkWEUwMjdZWG1sQllEaUVnZjhkUmZNSDYyRGRjN0xIS3pBY3dvSGJlbEIycnFuZ1BmSU5yUllhY2cwNXd6bWhxZXhjVXliY1BYVmRKNW8vWEEvckswb0JBSzYvVFFNQVZNYlViL2V4eHlkZ2FpdUd2bXI1dzdnS25RSTYzY24velBGQUFzZnZIY0IwcHhkRjlYbzBmYUF1WnloMXozME94SU9KVEpCSzE5dCt4MVlJSXBBSUoyRnNOQ3o2R2RPbW5wMUI3NCtIbHF5eDY5YjhrOGtiMzF1TGl0ZmtmUktCaU9pc3dVQzNUQzZYNnk2WHkvVXRBQnFrUXR5Q01iS3hzYkYvQTFDeW5QdEZvOUdlenM3T2NnQXFwR2JadXRQM1hNa3MxYVVNRFExZG4vMDZFb2tjSHgwZHZTa1NpUndxOU94Yk1CamNmK3pZc1F2MWV2M3VZRERZQVFCK3YvK0p1VG9SaVVTT0Rnd012Q3ZyRWhHcDcwVTE5MCthbEw0R3dLSmJwTWxaMkJXQjc5Z3M2dDllaWNOM25ZQ3hxUWpGVzR3bmgxRWw0TmgvRDhCUXBVUDVoYVVJVDBXaE1hc2dLSEwvTXhmcTFTcDAvRlQxM1QrQ3BnL1U1UTEwNGFrb3BGZ1M0Y2xVN2VtaDAreXc1ZThOb09mdWZzUThNZFJkWFlucU45c1dmQllnMWV1bTBJaG9lbDhkMUNZVm1qOWNEMDJwQ2k5OTVUZ01OYnBNb0d2OVZDUFVwVXMvWjVnOW5Ecy8vQVdHUXBqdEQ4TDJha3ZPY1M0UVRFUWJCUVBkeWlRQmhCWTVMd0h3TFBOZUV1WVc5MTF0VTFOVDMxOU91M1NZbStNdjJQRGs5N0xZZDNQV0duOWlHcVp0UmlUQ1NXZ3NhZ1NHUWdXSFVQZC82aENBL0wxeGJUYzFRV3ZMblJpdy84YnV2TWZEcnNpaVE3R242c2hkSnhBWU92bWZNUjBtOTl6bkFDUmc5REVYQm40NWhxSjZQVm8vMVFoOVplRmV2c2JyYTNIMDduNTAzbm9FYlo5cGhQVVZwWEQrY1JLQm9SQUNReUZNUEozMzZRYlV2S1VDZFZkWFpsNHJEWXJNZHhXZWpLTHo1aU1vMlZLRStuK3NRbEc5SGdEZ1B1REY0TjZ4QllGT1o5ZENhZUJ3S3hHZC9Sam9pRjRtNzJFL2lwc05NTzhvaHFuVm1MZTNLdHY4WGlNcElXSDd6VTFRbTVjL0cxWmpVV1A3elUyUUVsTG0vY0t1azBzQnhyeXgxR3N4ZnkxQ2dSTFR6L2VsaDBqVHZXS0pTQkpIdjlzUDl3RXZiSysyb09xTk5nakN3c2tQcW1KVkprQVphblRZZWZzV0RQOW1ISVphSFFKRElmVC83eWdFaFlBdC83SUpoanA5enJVVFQwNWo1T0Z4bE83SzdlUXVPOStNc3ZQTkFBQnR1UnF0bjI1RS84OUhjT0MySHRoZlU0Nkc5OVJBU2tvUTgzenYrWjc3SXlJNkd6SFFFYjFNZFcrdnhLR3Y5OEwrZWl1MFpXcnMvOVNoMUt6TlpRbzV3M2pwUHdyM3RpM1dFK2Y0OGxib3ExUFBydTMvOUtITThmNWZqS0wvRjZOUTZoWFk5TzZUMjlWSjhkUUl1RkFnNkJVU2RVZmhQcEJhaHRIMXhEUmNUMHpuYmRkd2JRMHFMaTNEc1hzR1lOMWpnWGxITWVyZlVZbndaQlNIdjlHTHN2Tk1VR2dWT1A2RFFXejUyR2FZdGhtUmpFc1kvT1VveHZkTlllc25HekpEc2ZQNWpxVkc3VTJ0UnV6NjRoWTQvemlKWkRRSkFFaEdKWWlheFdmRUVoR2R6UmpvaUY0bVU2c1J4czBHT1A4d2dVM3Zxc2F1ZjlzQ0tWbDQyY0Y4czBvRlVjQkZQMjVmY0h5eENRTlB2N2NyNS9WRlAwcGQvL1QxWFdqK1lEM0tMelFEQW5LR051UEIxQnllbFlZZm5WMkxQZmM1TVBIVU5JYitieHpuZkswVlVsekMzejl3QUcyZmJVSkpTeEdlL2NpTEVEVWlFdUVrWXJNSkhQcGFMeW91THNPbWQxZkQwKzJEcWxpRmh2ZlVRcUVXSVNvRmROOTVITFk5Rm5pUHpVS2hFYkh6dGkyTFR0U1llTnFOOGI5T29iaTVDSFZYMlZINUJ1dkp6eFdJY3lZckVXMW9ESFNyVHdVZy94b01KRnVsdTRveDhiUWJteVJBVkFzQVZqNnZwZEJhZEl1dFE1Y3RaNmhYUk42aDMvQlVxdWN3UGVOMXBTYWVjc095T3pWVE56QWNncFNVWUpqcklVeUVrMUJvUlNqMUNyUjl1aEVqajR4ajVHRVhxaSszb2VLU01wUmZXQXFGUmtSMEpnYU5SUTJsUVptYWdTc0FGYTh1UTJRcUFyVzU4QklqamRmWHd2WktDd1orT1lxWC91TTR0bjJpQWFXTzFQQnN4QjJEMm5UcUN6Z1RFY2tkQTkzcXNyZTF0VDA3TWpMeThhdzlZWmREQUtBR29OWHBkTVpFSW1GVUtCUkdsVXBsVVNnVUZyVmFYYVpRS0d3cWxhcEtwVkpWemN6TS9IaDZldnFuYzllVzFkYldmbmxvYU9nektEQmhRNnZWMXRYWDEvOXZUMC9QQlMvejgyMVk2bEkxb3A0WVpsN3k1VjFUYlNsU1VpbzRrZUowVG42WTdROENTQzBVckxOcmx3eDJVa0xDekVFZlN0dEw0RHM2QzIvUExCcmVXd3NBbURub2hhRkdCNlZCZ1dRMENTa2huZHl0UVFDcUw2K0E3ZFZsVUJtVm1IaktEWDlmQUw1anN3Z01oNkNyMEtMNk1pdHNyN0xBZHlLSWlhZW0wZk9kZmlRaVNhak5LbWdzYW14K1YvV0M0VmRqb3dIYmIybUdwOXNIVTJ0eDVuaGdLSWpTbmN1YVlFNUVkRlppb0Z0ZHpuQTQzRk5WVmZVVmo4ZnpPMlN0WVplUDJXeStwcjYrL3FlRjFubVRKQ21hU0NSOGlVVENrMGdrUFBGNDNCMlB4OGNGUWNnOGJWNWNYSHllMld6K3g2R2hvWTlrWFNvQ3lQeHRLSXFpVmEvWG53OWcvaUpwWHB4Y2RvVHltQjBJSWg1S1lQb0ZEOVFsS3BpMkdYRmUxblpabzcrZmdQVVZwVkNWblB5dDF2ZXprWnh0cXRSbU5ScXZyMFhGSmJscnBmbU96MkxpYjI3VVhWMEpWZkhDMzZyamY1MWExa1FLdlYwTCsydkxBUURUK3ozUVYya3gvcGNwVkwzQkNwVlJpUzBmMnd6akpuM2VhenR1T294a0xJbmQyMXB4L0grR1lIdTFKYlZGbHdTNC91Yk83QzZSQ0tlZVpWUG9jbnNTUng1MndWQ2pSY2dWUmRRVGc3SEJnTm9yN1puWnNmRmdBbnE3QnZWdnIwVHlTanRtKzRPSWVtS0llbUl3ek0xZ1hlN1NJK1A3cGpDK2IrSEVjV1dSRWhmY25YOVJaU0tpc3dVRDNSblEzdDRlWDJxeFhZZkRFYzkzZkdobzZDTlRVMVAzekwxVUNJS2dPSDc4K0o1RUloR0t4K01oVVJTRDRYQjRGcWxsUkFydkZ6WEhhRFR1Q1FRQ1R5QXJQR3ExMnRyNWl4ZlAxWlN6Lyt6Y09ubHJzclNLWEV5OTRNSDBmZytVZWdVYTNsTUwxOSttWVRuSGhJNVBIMEw3SFZ2aE96WUwvL0ZaYkwrbEdZSkNRSEFrQktWT0FiWHA1SEo5eVdnUzZoSVZJQUdSbVJoTy9IZ0kyMjVzUU8vL0RFRktTQWhQUmhZRXVuZ3dnY2gwRkFwdC9xSFl3RUFRL1FOQlRIZDYwWFpURXhxdXE0Ry9Od0RQWVQ4MnY2c2FmZmVQWk5xV25XdUMrNEFYaVhBQ2dsTEV4RlBUY1AxdEdpcWpFclpYV1ZCeFNSbU8zdDBQS1o1RS9UdXJBQUNUejg0ZzRvN0M5aXBMcGg0QU9VRTFIa3pBK2VkSlZGMW1ROTFWZGdDcGNEYisxOFYvcExiZDJKQ3o2OFJpTTFVak16SDBmS3NQQ3EwQ3JaOXVoSkRuNjFqcEJCQWlJamxpb0R0RG5FN241NmVucHg5S3YxYXIxY3BvTkRvL3hBa3FsVW9UaThVeWF6OUVvOUh4K2ZjcXRBRHdjaFFYRjErbTArbDJPUndPQ1FDbXA2ZC82SEs1N2dCT0xtQ3NWcXUzdExXMUhjbGEwTGpJNFhBc3R1NGN6YW05MG83RzYydWhOQ2d3OWR3TUJuNDVpckp6VGFtQUl3clk4aStiY2VEelIrRHZEU0FlVEVDU1VtdW1EZjkySERWdlRZVVcxNU5UR044M2pkTDJFaVFqaWN4czB0WlBOZUxJdC92dzBwZU93WEZuSzdUbGFwejR5VEFpN2lnYTNsTUQ1NThua1lna3NmbmQxVWpHa3ZCMCt6RzlQeldxUHZyWUJKUUdKY3JPTlVHaEZSSHp4M0gwbmdIb0s3V291TFE4SjlBQndOUnpNd2lPaENFbEpVUzlNVlMveVFiN2E4dVJqRXM0ZW5jLy9DZUMyUEc1WmlqMUNzU0RDZlEvTUlLS1M4b3krOUxHZzZrZjdlem4zeWFlZGlNWlM2TGk0dHkxNFJiYkZTSmZiMXlodHQ0amZoei8vaUNrSkJEMXhIRDRteWRROVFZcnJLK3lRTUVacjBTMHdURFFuU0d4V0d3OHZYK3JXcTNlMHR6Yy9OTDhIU0RVYXZXV2xwYVdydE81TThUOCsydTEycllqUjQ2Y24wZ2tmRTFOVGI4TmhVS1pQV1hUSWEvUWExcWFxQlJPYnFuMXgwbVVYMUNhTTRGQlU2ckM3cSsyUXFsWDRQaTlnMGpHa21oNFR3MTZ2dE1QODY1aUdHcDBjUDNORGV0RnBRdm1VV2dzYXV5NHRSbmVJN1BRbHFlR1ZtY0hnMGlFRXRDVXF0RndiUTJPM2pNQTAxWWpJQUtIdjNrQ0NxMEMxb3RLVVg1aGFXWk52UFNTSWZGQUhEdHViYzY3MzJuTUY0ZTZWSVg2dDFkQ2E5VkFWS2MrdytEZVVRUkhRdGgrU3hQMFZWcElTUWxIdnpjQVFRRHFyanE1K0c5a09qWFBKL05NbmdRNC96UUo4L1ppYUN5bmNiS0NCTXgwK3pEMmgwbk12T2lGb1ZhSHRzODJRUkJUdzd0OXZ4akI0Sy9HWUwrMEhKVnpROHBFUkJzQi83UTdRL1I2L1I2SHczRnY5ckZDZ1NuNytQSGp4MS9wOS91ZnlqNnZWcXUzck9TOTAwSFNhclYrMk8vM1B4WUtoWjRIWU5Ob05BMCtuKzlCekVXSHpzNU80MXl0elZ1MmJPbEl2d1pnY0RnY0Mzb0txVER2RVQ5bSs0Tm8rY2dtaUNvQm9rcUV1OE1EVTF2cUt3ME1Cakh6a2cvVmw5dGcyVzFDeTRmcllhald3ZlhrTkNMVDBjeGVveXFqRWhBQTE1UFRLRzVLVFFqUWxxc1Jjb1l4T3hERWJGOFE5dGVsbm9jcmYwVXBKcCtkUVdBNGhKcTNWR0RiSnh0Z2FqTkNUQWRLS2ZWYzJjQURveERWSXRwdWFzcXNXYWZVS3pEZDRZVmxkMnJZMHRjYlFPWHJ5alBuMCtxdXNxUDZjaHRVUmlXa3VJU2ovejBBN3lFZjJtNXV4dlIrRDZTRUJBakEyR01UTU5UcU1rSFEvYUlYSVdjWWRXK3pML2l1VnJTVm1RU0V4c1B3bndqQ2M5aVBtUmU5aVBualVKdFYySHh0RGV5dktjdk01bTI4b1JZMVY5Z3g4c2c0Umg5MVlmU3hDVlM4Mm9LcU45bE9iNmdrSWxxSEdPak9rRkFvMU5IZDNmMFZBTkJxdFpzYUd4c2Y3ZTd1M3ByZEp0L3hhRFE2T1A5ZWJXMXQrWGNkTDZDenMxTUZRRjlXVnZiQkV5ZE92S08ydHZiSDRYRDRwV0F3K0lJb2lyRkVJbEhVMTlkM3BWYXJMUU1BUVJETWMvV2tuOG9YKy9yNnJ0Um9OQ1dSU0lUUDBDMUR5VllqMnUvWW11bEpxM2xyQlFaK09ZcmsvWE1MK1NvRkZEY1haU1lSWkhZK3NHcFE5L1pLYU9iMk1sVVdLVkY3cFIxOVB4dEJJcHc3WjBaVWl6QnRMMGJ0VzA4K1g3YjFFNXN6ejRpVnR1Zk84aHpjTzRiaDM0N0R2TE1FVGUrdlRUMm5ONmZ1N1pVWWZIQU1BNzhjVGRYV1lFRGxYRkNjLzU3cGtPYjg4eVRjblY1cytkaG1GRGNaNEhweUtyUEFzS1pVaFpaLzNwUzV6dlhFTkpSNkJVcDN6NTlua3hwS1RuOVA4ODBQZTRsb0VqM2Y3VWRnS0FTRlRnSHpqbUtVWDJCRzZhNlN2TXV5YUVwVmFMaTJCdFZ2dG1INC84YmgvTXNVbEVZbGFxOVlHQ3lKaU00bURIUm5pQ1JKb1hSUFdab29pam43SkNVU2lTaHdza2V0a003T1RzRnF0ZDVZV1ZuNTd3Y09IS2hDYXZicGZFSnJhMnRQSXBId0E0Z0Q4RG1kemx2OGZ2OGpUVTFOdit2dTd0NDJNVEh4czIzYnR2MVpxOVcyNW51ZmZCTWx6dFJ3OE5tZytjUDFPWk1ic2hmRnJYbExSYzZEL1lXWXRobGgybWJNT1ZaN2hYM1pBV1N4Qi81cnI3U2paS3NScGxiamduUDJTOHRodjNSaGdGdU0vWFhsS05scWhLRTIxWXZYOUw0Nk5OMVFsOXArYk40d2JzdEg2dUh0bVYwd3ZGdDl1UTFGbS9RRmgwS3JMN2RCbDdWdnJVSWpZdHNuR3hCeHgyRGNyRjl5VzdVMFRha2FqVGZVb3ZweUc5U2w3SjBqb3JNZkE5MFpra3d1M0NvZ1gyQmFqQ0FJS2ttU0VnQXdPenY3Z0NBSS8ybXoyYTUzdVZ4M3pXOXJOQnJmck5Gb212djcrNjlOSDV2WFRnTGdPbno0Y050S2FxRENySzhvWGVzU0ZpVW9oTHhoN3BUdkp3cVpNSGZ5SUJhRU9TRFZzMmZlVWJ6Z2VQMDdxaFo5ajN6bk5SYjFLUStaYXEyYXBSc1JFWjBGR09oT1AxRVFCSVVnQ0F1V0ZNazNLV0t4NFZTRlFsRWtTVklJQUlMQjRKamI3ZjY1eldhNzJlVnkvUThBWDFaVFZVMU56VmREb2RCTE16TXp2MWhHalJVT2g4TzVWS05qeDQ1dG41MmR6Yi9hTFJFUkVhMGJESFNuWHdrQUpCS0pRUFpraG1QSGptM1BON21odTd0N3ExcXQzcEp2MkZXcFZOcmk4ZmhrK3JYTDVick5iRFpmWFZkWDk0M0J3Y0gzcDQ5WFYxZmZvZFZxVzQ0ZE8vWWFMTEZZY2JhalI0L3VDQVFDVG8xR1l6SWFqYStkbXByNjlkejFDazZLSUNJaWtnOEd1dE5NclZiYkFDQ1JTRXlzWkRKRFoyZW5FdlBDbUZhcmJZcEdvd1BwMStGd3VIOXNiT3ovVlZkWDN4MElCRjZZbXByNmI3UFovRTlXcS9VelRxZnpTN096cy90V1Vtc3ltWndCTUNXS1lrTnRiZTMzcHFhbTdwMnJnVDhYUkVSRU1zSy91RTh6dlY3ZkRBQ0pSS0l2UGNSYVYxZjMwK0xpNHRmMTkvZS9ObnNJVTZ2VmJtNW9hUGpEek16TVE4alRzMll3R003MWVEeS96VDQyTVRIeFBhMVd1N08ydHZaN0JvUGhmSXZGOGg2UHgvT1EwK204YmFuYXlzdkxQeFlJQko0TkJvUEQyY2QxT3QyMldDdzJtcThHT250SUNXblprd3FJaUVoZXVKejZhYWJUNmM2THgrTVR3V0J3TEgxc2NIRHdmYUZRNklYTm16ZnZNNWxNYndVQWs4bjB0dWJtNWhmOGZ2K2pZMk5qbjUxL0g0MUcwNnhXcXpmTnpzNCtPZi9jME5EUVo2TFI2SWpGWXJrK0hvKzcrL3I2UG9vbHdsaDVlZm43YTJwcTdsS3IxWlVBRXRGb2REQVVDc1VCR0NzcUt2NmZRcUV3VlZSVWZBYUFCb0FValVZSFk3SFlrbHVMa1R5Y3VHOFlCKzg0OXJKMzVuVTlPWTJqZDY5b2JnOFJFYTBDOXRDZFppVWxKWmY3L2Y0bjVoMk85dmIyWGxGWldmbWx6WnMzL3pvY0RoL1dhRFJOdzhQREg1dWFtdnArdnZ0WUxKYnJrOGxrME9QeFBKNTFXR214V1A3SmJyZi91MHFsc2s5UFQvL01iRGEvYmNlT0hZZGRMdGZYWFM3WGZ3Tnd6N3VWRFFDc1Z1dkgrL3Y3MytQeGVINERBTjNkM1p1S2k0dmZXRjFkL1ExQkVCUWpJeU0zMnUzMnoxc3Nsbzg0bmM3UGRuZDMxNSttcjRUV0FlTm1BNXgvbXNUNHZpbFVYRksyYU50RU9JSG9UQ3p2T1VFcFlQTFpHWlE2VENpcTArVnRvN1ZxMkJOSVJMVEtHT2hPSTZQUnVFZXYxKzkwT3AxM1pCMFc5SHI5cnBLU2tqZWJUS2JMQVVpQ0lLZ0ZRVkJiTEpiM2lLSllGQWdFL2hJSUJMcVJXajhPQUd6bDVlVWZuWjZlL2dtQWdGYXJyU3NwS1hsM1dWblpCelFhVFgwd0dIeWhyNi92YmNGZ2NQLzQrUGp0VlZWVlg2dXFxdnB5WldYbDdYNi8veTkrdi84eG44LzNUQ2dVZXI2MHRQUmlTWkppL2YzOVYzczhua2VLaTR2ZmJEUWFMekdaVEZkb05Kck4wOVBUOXc4T0RuNGNnSHRxYXVwbmRydjk1cnE2dXZ2S3lzbytOakl5OHJGZ01OaTEydDhqblg3V2kwb3gvdGRKeEh6enR4TmV5SDNBdDJRdjNHTG56NzFyT3pTbHFvTG5pWWpvOUdPZ080MHFLeXZ2aUVhai9WNnY5NG5xNnVvN3RWcnRUb1BCY0w1Q29UQkZJcEhqTXpNekQ3amQ3djhKaDhNRFJVVkZyeW90TGIzQmJyZC9RYUZRZkYyU3BFZ2tFamt4T0RqNGNhUFJ1RnNRQkdGNmV2cU82dXJxTzYxVzYyY0FZSFoyOXRtUmtaRlBlNzNldlpnYlBJdEVJaWY2K3ZxdTFPdjE3V1ZsWlI4dkxTMTlSM0Z4OFJzVkNzVy9oMEtoNTkxdTkvK0d3K0hqd1dDd0V3RE1adk03aTR1TFgrL3hlUGJPek14OGI5NnlKRUduMC9sNXQ5djlzNXFhbXJ1MVdtMHpBNTE4NU52WWZqN2Y4UUFHOTQ3bFBhZlVLM0RCUFRzenIvZmM1OGc1UC9YOERGUkdKVXEyNWwvYnpuZHNOaldzUzBSRXE0NkI3alFhR1JtNVF4UkZMWUJKaFVKUm1VZ2twc2JHeGo3bjgvbitGSWxFam1hM25aMmRmWEoyZHZiSm9hRWhoVTZuMjExVVZIU0JScU5wQ0FRQ1R3WUNnU2RtWjJlZkN3YURZOEZnOE91SlJDTHE4L2wrR1FnRVhpcjAzc0Znc0d0b2FPaTlRME5ESHpXWlRLLzNlRHkveXpxWCtadCtjSER3ZlVqMUJCWjhtaW9TaVJ6dDdlMjlGQXUyaTZmMWJQZWQyM0plei9ZSGNmU2VBVFM5dnk2ekwreWloTlIvYnAxTmcrckxiVWpHa3BsVE15LzUwZlBkZmpSY1d3TmpZLzU3cVlwVnFMN2NCb1dHUHpaRVJLdU5nZTQwQ2dRQ2Ywci9lbkJ3OE5yRjJtWkpoRUtoNTBPaDBQUFpCN09XSUpsd09wMmZYMGtaSG8vbjE0dWN6Lzl3Vkg0djh4RjZXazA2dXpibmRXUTZOYWRGWDZsZGNHNHhCMjVMTFlrNDhyQnJ3YmtUOXczanhIM0RDNDVuaXdjU2FMeStkdG52UjBSRUx4OERIZEZaS2hGSjliQ0ptcFZOWmovbkd5ZDNoNHU2b3poOFZ4OXNlMHBoZjcwMXAxM2NIOGVoYjV5QXhWR0M2bjg0dVcrdFVzdko4MFJFcTQyQmp1Z3NsUWlsVnJMcHVuWHg5YTJ0ZXl4by9tQmQ1clcyN09TK3FhNTlVeEFVQXR3SHZJZ0hFeWh1S1VKSlN4SENrMUgwL21nSXhRMTZORnhYdzFtdFJFUnJqSUdPNkN3Vm5Za0JBdUQ0OGpZSUJUck5EbnloQjBwZDRSNjF1cXNyVVhkMUpXYjdnaGg5M0lYZUh3NUJTcVpHNHBVR0pjdzdTeENlakVKWG9Ua1RINEdJaUphSmdZN29MQlVjQzBOVHFvYStxc0R6Y3hLUWlDYWgwT2YrTVJDZGlXSGlxV21FcDZNSVQwUVJjb1lSbVk1Q29SVlIybDZDOGd2TTBGalVtTzcwWVBUM0x2VCthQWhxc3dxbXJVWnN1cVlLcWhJdVdVSkV0Tm9ZNklqT1JoTGdQVEpiY0VZcWtGcEFHQktnTkNoeWppc05DamovT2dXMVNRVkR0UTZXOWhJWUd3d3cxT2tRbm9pZzQ2YkQySE9mQThaR0ErcmZVWVhnU0FoVHozdmc2dzFBVmN3d1IwUzBGaGpvaU01QzNoNC9JdTRvNm5aVkZtd1RENlNlc1ZNVlpRVTZLVFU3dHUzVGpRdmFoeWNpQ0UrbVpzNkduT0hNY1VFaG9QeENNOG92TkNNMEhvYW9FYUVwVlMrNG5vaUl6aHdHT3FLejBORC9qVU5wVU1CeWpxbGdtOWhzYXRjSVpkSEpQd2FTOFNRNmJqcTg1UDBYYTJOcU5hTHRwcVlWVkV0RVJDOFhBeDNSV2NiMXhEUzhSL3lvdTdvU2lrV1dFSWw2VWtzU3FyT0dTVVdWdUdDSENFaUErNEFYdzc4WlJ6S1dSR0E0QkoxZEM1MU5nN3FySzJHb3piK25LeEVSclI0R09xS3ppTy9vTEU3OFpBaUdHaDJxMzJSYnRLMi9Od0FBMEpUbEdSNlZBSDkvQU5NZFhrdys3WWF5U0lIYUsrM1FWMnJSY2ROaHROK3hCYU9QdW5Ed1M4ZGdxTmFpL0JXbEtOMVprdjllUkVSMHhqSFFFWjBsM0FlODZQbE9QeFI2QmJaK29nR0M4dVRhY0dPUFR5RGlqa0Zkb29SQ3AwREVIY1hvb3k0WUd3MVFGWi84WXlBNkUwUGYvU1B3SHZFakhreWdkRmNKR3Q5WEMvUDJZZ0FubjUwVFZTSnEzbXFIL1hWV3VKNmNodk5Qa3pqeGsyRm95dFN3dEpkZzg3VTFxL3ZoaVNzdUdSUUFBQ0FBU1VSQlZJZzJPQVk2b3JOQWVDS0NJLy9WQjdWSmhiYlBORUpibnR0VEZnOG1NUGFIQ1VpSnVkM2NCTURZWUVETGgrdHoycW5OS3BoM0ZzTzB6UWpMdVNhb2pJdi9FYUhVSzFEMVJpdXEzbWhGY0NTRTZVNHZ6RHVLVCtkSEl5S2laV0NnSXpvTGFLMGFiUHZFWmhnYkREbVRITkpxcjdTajlrbzdwTGlFWkN3SlFTbEFWT1YvdnM3MlNrdmg5eW5YWVBlZDIvS2UwMWZyb0svbTgzUkVSR3VCZ1k3b0xHSGVXYkprRzBFcFFLRlVMTmx1c2V0MTlnSUxGUk1SMFpyaEx0cEVSRVJFTXNkQVIwUkVSQ1J6SEhJbG12UFVkWjFyWFFJUkVkRXBZUThkYlhpU0pPMWI2eHBvL2VIUEJSSEpDWHZvYU1QcjZ1cTZaSzFyV0M4Y0RvY0VBSjJkbmNKU2JZbUlhUDFnRHgwUkVSR1J6REhRRVJFUkVja2NBeDBSRVJHUnpESFFFUkVSRWNrY0F4MFJFUkdSekRIUUVSRVJFY2tjQXgwUkVSR1J6REhRRVJFUkVja2NBeDBSRVJHUnpESFFFUkVSRWNrY0F4MFJFUkdSekRIUUVSRVJFY2tjQXgwUkVSR1J6REhRRVJFUkVja2NBeDBSRVJHUnpESFFFUkVSRWNrY0F4MFJFUkdSekRIUUVSRVJFY2tjQXgwUkVSR1J6REhRRVJFUkVja2NBeDBSRVJHUnpESFFFUkVSRWNrY0F4MFJFUkdSekRIUUVSRVJFY2tjQXgwUkVSR1J6Q25YdWdBaVdodnQ3ZTExZ2lBTTVEdm5jRGlrN05lU0pOVjNkWFVOcmtwaFJFUzBZdXloSTlxZ3VycTZCaVZKZW42cGRwSWtQYzh3UjBTMHZqSFFFVzFnZ2lEc1hVYWJoMWFqRmlJaU9uVU1kRVFiMkhJQ25VS2hXTElORVJHdExRWTZvZzJzbzZQakJJQVhDNTBYQk9IQUN5KzgwTGVLSlJFUjBTbGdvQ1BhNEJicnBVc21rK3lkSXlLU0FRWTZvZzF1c2RDMm5DRlpJaUphZXd4MFJCdGNWMWZYWVFBOWVVNGQ2ZXpzUExMYTlSQVIwY294MEJFUkFDem9pV1B2SEJHUmZERFFFUkZFVVZ3UTNoS0pCQU1kRVpGTU1OQVJFZmJ2MzM5QUVJVCtyRU45Qnc0Y0tEajdsWWlJMWhjR09pSUNBRW1TcE93ZXViMEFwRUtOaVlob2ZXR2dJNkswVEtEajgzTkVSUExDUUVkRUFJRE96czduQVl3S2dqRFMwZEh4d2xyWFEwUkV5NmRjNndLSWFOMUlDb0x3cTJReUtRRklyblV4UkVTMGZBeDBSSlNSVENZZkVnU0J6ODRSRWNrTUF4MFJaVFEyTmo0TkFKMmRuV3RkQ2hFUnJRQURIUkZsUFBqZ2c0bTFyb0dJaUZhT2t5S0lpSWlJWkk2QmpvaUlpRWptT09SS05FOTdlL3R6Z2lDY3Q5WjEwUG9pU2RLK3JxNnVTOWE2RGlLaWZOaERSelFQd3h6bEl3akN4V3RkQXhGUklleWhJeXBnejMyT3RTNkIxb21ucnVPc1h5SmEzOWhEUjBSRVJDUnpESFJFUkVSRU1zZEFSMFJFUkNSekRIUkVSRVJFTXNkQVIwUkVSQ1J6REhSRVJFUkVNc2RBUjBSRVJDUnpESFJFUkVSRU1zZEFSMFJFUkNSekRIUkVSRVJFTXNkQVIwUkVSQ1J6REhUMC85bTc3L0M2Ny9ydS82L3ZXVHJhUjN0WmtvZmtKZHV4SkdjbmJSSUlJWGNaWWYrZ3JZRlNWaWkwZDVvUU5vRkN3SkJDYUlDYmxrSWdKSUZTVmdZa0lRUUNjYll0YjB1MnRXenR2YVd6djc4L2puV3NvM09PSkE5Wk92SHpjVjI2MFBtdTh6NitrUExTWndJQWdBUkhvQU1BQUVod0JEb0FBSUFFUjZBREFBQkljQVE2QU11U0dUQ1h1Z1FBU0JnRU91QVZ3RGZxMTBUYmxHUks3bjd2bkYremc5TFFnVkh0K1V6OW5NOS80ZWI5NnQwNWNFYTE5VDQzcUozYjZ4UndCeVZKYlE5M2E3eGxjczU3UmhyRzllSkhEMmhvMzhnWnZTY0FYR2hzUzEwQWNDSHBmcnBmQ3A3WnZZWFg1VXFTUFAxZTlUNDdJTStBVCs1K3J5YmJwK1FkOWltNU1FbGJ2N2hCdTI0NU9PZHphbmRzVkhLUk0vemFQeEhReEltcE9lL3hqL3NWOUo1OWkxbkFFOVRvc1FtZCtIV1h5bTRxVk9rYmlpUWorcnEwVlNreXJJWWE3ejJoMnE5WHlXSS85YmRuM3d0RE92TGRscWg3REl1aEszOVVmZFkxQWtBaUl0QUI1MUh6ZlcwSytzOHNHRTBIT3NOcWFLUmhYTTZDSkEwZkhGWGwrOHZsMnBDdXBCeUhBcDVRV3R6d3o2dVZ0U1VqNmhuUHZXL3Z2TzlqQmswcFJvbW1hVWExN2huV0dHbHNEdFlraTZwdVdhUDJSN3ZWK290TzJkUHQ0Yy9sbnd6SU4rSUxYNXRUbXluL21GK2VmbS9NWjlYdTJCaisvdmd2T2pWUVIyc2VnQXNYZ1E0NGo2NzRZZndXcEozYjYxUnlZNEZXdmJOa3ptYzRzdXphZEh1bEpLbjdqLzNLcUVoVlVxNGo0aHJEYWtTMGFzWGlHZkFxNkEzS094d0tVVk5kYmtuUzBmODZyckdtaWFqcm0zN2NwcVlmdDBVY3UrcSttam5mSXlaRFd2SDZRcmsyWlNodFpVcjQ4TUR1WVIzNy92R295L3RmSG81NHZlN21WWklVYm1VTXVBTWFPakNtck0zUkFSWUFMaFFFT3VBQ2RmUS9XelhTTUI1K3ZmdjJ3NUtraSsvZUxOTVgyUys4NjdaREtuOUxrZkl1eTQ3NXJKM2I2K1o5ditjL0VMOTEwRldWcmsyM1Y4cVJZWk83MTZ1aTYvTWl6cmM4Mks2MDFhbkt1eXhMZlM4TVJaenIrY3VBQXU2QVNtOHFuTGNHQUhpbEl0QUJDYWJqZHoxcStWbEgrUFYwRUpPa3kvOXJxeVRwOERlYTVuM081ayt0bFhScVROcDhyVzMyZEx1Y0JVa3h6ODNzL3B4cHBINWNqVDg2RWJvLzA2N050MWZFN0thMUpJVmFFeTBPaTVydWI1TXQzYWE4eTdJa1NZTjdSdFR4ZUs4MmZid2k2ajR6YUtyemlWN2wxTHFVdmpwMXp2b0I0SldNUUlkbHA3cTYrcTFMWGNOeVZ2RFhPY3F1enRUQW5oRzEvcXhEVmJkV3lKa1g2bkkxTEZKU3JrUGxieTVXK3BxVXFIc1BmcjF4M25Gdi9nbS9BcDdvUVhUK1NiODhnNmZHdUNWbDI4UGZ6NXhrTWMwTW1Lci9qMmFsclU3UmVQT2tISmsyalI2YlVPRzF1WEhmTzNORHVvcXZ6OWRJL1pqeUxzdVNiOFNuWXo4NHJxTHI4K1RhRk4ybDJ2L1NzRHlEUGxYZE5uYzNOUUM4MGhIb3NKejRKZGtNdy9qZnBTNWtPYk9sMm1STHRjbjlSSzhreVpubkNBY3E3NGhQRjMxK1hkeDdwOCtaZmxPR0xUTFlCYjFCalRTTXErZlAvVkhqMWlTcDllZWRhdjE1Wi9qMWZDMTZuVS8yeVQ4WlVOa04rV3BzUHFIU054YXA4ZDRUeXRubWtqMDkrbGZQN0c3YjdqLzFoNy92ZXJKUFhVLzJTWklxM2xNV1B1NGI5VW1tTk5Jd3B1VEMySzJIQUhBaElOQmhPYmxOMGxWTFhZU2t0eXgxQVFzeGZHQlVrdFR4V0sreWF6S1Z2VFZUTDMzMHdJTHUzZnpKU21WdVNKZHZ6QjllRSs3RmoreVh4V0hSeFhkdlV1NGxJMnI0Ym90cWQxVEo0YkpIM0h2cys2M3lEUGxpUFRacy9QaWtqdis4UTJ2ZVV4WU9qbG1iTTVSV2xxeW1IN2RwL1QrdGlyb25YcmR0MUxOYlQ2MWhWL3lhZk1tVUd1ODlvYVJzUjh5WnZRQndJU0RRWWRtb3E2dTdXOUxkUzExSFRVM05zdCtpWUx4MVVwWWtxeVJwc3RPdDN1Y0d0ZmxUbGJyc2V4ZEZYTmZ6bHdHMVBOZ2VkZHlhWk5HQnJ4elRTTU5ZZUltUzFYOWZxcHphVEZuc0ZtWFh1bVJMdG1yZzVTR3RlUDJweVFiZUVaOEc5NDZxNHIxbGlpY3dGVkREdDF1VXZpWlZCVmZucVBmNXdmQzUxZHRMdGVjejllcDZxazlGcjRxYytCQ3IyemJtWno4ZXVXWmU4UTM1R20yY1VOTjliZHIyOWFxWTY5b0J3Q3NkZ1E1SVFEM1BEQ2luMXFYSjlpbXRlWGVwbW43VXB2cHZOcXYycmlwWmswNHRWMkoxaEw2M3BWaWpucEZTNGxUK1Zka0tlb05xK25HYkN2NHFKM3pPWWpOVWVGMmVPaDd2VmRHcjgyUk5EdDEvNGxkZGNtVGJsWGQ1VnN5NmduNVQ5ZmUweURmcTE2YVBWMGFGcTVSaXA4cmZYS1RtKzl2bHpFdUthbEdiYjdac3ZHN2VGVGNXYU84ZERScHZuVlRhcXVpeGd3RHdTa2VnQXhLTWZ6S2d2bWNIdGZVTDY5WDJVSmNzTmtNYlByWktRNGZHWkFiTThIcHlVcWhGVFZMRU1TblVHclptZTZra1JTMERNcTNreG54MVA5MnZscDkycU9JZnlqUzBmMVRkVC9kcjQvOWRFM05paFJrdzFmRHRaZzBmR3RXR2o2NE9UOVNZYmNYZkZHcWtZVnoxLzlHc0RSK0xYZ0I1NWlTUGFlNCtydzdkMVJqMzM4UjVjdnljWjhpbnRPamVYQUI0eFNQUUFRbW02dzk5eWxpYkZyR0VpRDNUcnZ3cnN0WDlkTDhhZjNnaTZwNlpTNXRJQzFzUTJKNXUwNXEvWDZFai82OVZWcWRGM1g4ZVVORjFlY3JlbWhsMWJjQWQxSkh2dG1odzc0aFd2cTFZT2R0YzhSOXNoQllIUHZEbG96cjh6U2F0ZXRjS0ZjOVlkMjdtSkkrRmN2ZDRRalduUmJkRUFzQ0ZnRUFISkpoWVhaWFRDcS9KVmVFMXA1WUY2ZjVqdnhwL2RPTE1kblNRbEhkNXR2cWVIMUxINDcxeUZpUnA5ZCt0aUxyRzArL1Y0VzgyYWFKdFNpdGVWeEF4NWk0ZVc0cFZtMjZ2MU1FZHg5VDhrellON1J2UmhuOWVmVnExZGZ5dVIyTXRrN0k2TFJvK01DWkhscDIxNkFCY3NBaDB3SGt5ZkxKTGRDNmVmbytHOW8vR1BaKzFKU1B1K0xWenpkUHZWY3RQMnpXNGIwU3VxblFOSHg3VG9YOXYwcHJ0cFJGTGhIaUhmWnJzZEt2OExVVXFmV1BSZ3A5dno3QnA4NmZYcXVIYkxVb3VkSWEzS25QM1JlL2RHdXVZM1dYWFZLZGJRYitwdEZVcEtuOUxVZFJTTEFCd29TRFFBZWRKL2QxTkNuaUNjMTdULy9Kd3pEWGdwczNWMGpaN0I0bVpZazAyMlBTSlNnVzlRUTN1SFpIRmNXb2l4VVRibExxZTdGUHZ6Z0VsNVNWcDA4Y3I1YXBLMTlEK1VSMzd3WEhWZmZLd2NyYTVWSGhOcmpJM3BDbTlJbFUxZDI0NDdXNVM2V1JMM1cwVk1vT25ndTVjWStWbXlyOGlXL2xYeE42S0RBQXVOQVE2NER5NStKdWJaQzdpZ2lqVE8wZ3NWTWNUdmVyK1kyangzcEliQ3lTRkZ2QnQra21ia25JY1d2VzNLMVI0VFc1NEFrVFdsZ3pWZm5XajJoN3RVZGVUdlJwdm5kVFdPOWJMbG1vOW96QVhaaWhpa2tYdGpvMVJ6NXZxY2tlTkF3UUFuRUwvQkRETDlEcDBaenJ1N0h6eWp2aGtUN2ZKc0p6K2ozTEFIVlJnS2lCcnNsVldaNmlGTHVnTmF1akFxTEszWnM2NVJaaC9JcURBVkVCSnViRm5zczdrNmZkcXRIRkN1UmU3NXQxMnpOM2pVVkt1SStvNk0yREtNK1NUTTljaDM1aGZVMTF1WmF4Tlc4Q25QRGVtV3pqcjZ1cjRuUWxnV2FLRkRraGdqa3o3L0JmRllYVmF3a0Z1bXNWaFVVN3RIRE5VVDdLbFdtVkxYZGlNMHFSY2gvSVdFUHdrUmN6Y25jbXdHbktlZklZOTNTWjcrdmtMY3dDUUNDenpYd0lBQUlEbGpFQUhBQUNRNEFoMEFBQUFDWTVBQndBQWtPQUlkQUFBQUFtT1FBY0FBSkRnQ0hRQUFBQUpqa0FIQUFDUTRBaDBBQUFBQ1k1QUJ3QUFrT0FJZEFBQUFBbU9RQWNBQUpEZ0NIUUFBQUFKenJiVUJRREwxYzd0ZFV0ZEFnQUFDMElMSFRDTGFacFBMM1VOV0g3NC93VUFBRWhJTlRVMVprMU5qYm5VZFFBQTVrWUxIUUFBUUlJajBBRUFBQ1E0QWgwQUFFQ0NJOUFCQUFBa09BSWRBQUJBZ2lQUUFRQUFKRGdDSFFBQVFJSWowQUVBQUNRNEFoMEFBRUNDSTlBQkFBQWtPQUlkQUFCQWdpUFFBUUFBSkRnQ0hRQUFRSUlqMEFFQUFDUTRBaDBBQUVDQ0k5QUJBQUFrT0FJZEFBQkFnaVBRQVFBQUpEZ0NIUUFBUUlJemxyb0FBTXREZFhWMXVhUUhETU93U0pKcG1rSERNSzQ4K2Yyek00OWJMSlozN2Q2OSs4UVNsZ3NBbUlGQUIyQ2FVVk5UMHlocDlUelhOZFhWMVZWS01zOURUUUNBQmFETEZjQTBVOUl2RjNEZEwwV1lBNEJsaFVBSElNd3dqSGtEbmNWaVdVam9Bd0NjUjNTNUFwakpVbHRiZTl3MHpSVnh6cmZWMWRXVml4WTZBRmhXYUtFRE1GTXdHQXorYW83enZ4SmhEZ0NXSFFJZGdObm02bEtsdXhVQWxpRUNIWUFJRlJVVnowcnFuWDNjTk0yZU5XdldQTGNFSlFFQTVtRmQ2Z0lBTEMrSER4ODJpNHFLS2lSdG0zbmNZckhjLzRjLy9PR1JKU29MQURBSFd1Z0FSSWsxa3pVWUROTGRDZ0RMRklFT1FCVFROSitXTkRUajlhREZZdm56MGxVRUFKZ0xnUTVBbE4yN2Qvc2tQVFQ5MmpDTWgwNGVBd0FzUXdRNkFQR0V1MWdYc3VBd0FHRHBFT2dBeERRNk92cms5UGNqSXlOL1dNcGFBQUJ6STlBQmlLbXhzZEZqbXVhRGtoNW9iR3owTEhVOUFJRDRiRXRkQUlEbDYyUlhLenREQU1BeXgxNnV3Q3pWMWRVdkdvWnh5VkxYZ2VYRk5NMm45K3paYysxUzF3RUFzZERsQ3N4Q21FTXNobUZjczlRMUFFQThkTGtDY1Z4MVg4MVNsNEJsWXVmMnVxVXVBUURtUkFzZEFBQkFnaVBRQVFBQUpEZ0NIUUFBUUlJajBBRUFBQ1E0QWgwQUFFQ0NJOUFCQUFBa09BSWRBQUJBZ2lQUUFRQUFKRGdDSFFBQVFJSWowQUVBQUNRNEFoMEFBRUNDSTlBQkFBQWtPQUlkQUFCQWdpUFFBUUFBSkRnQ0hRQUFRSUlqMEFFQUFDUTRBaDJ3ekV4MXVhTyt6S0FwU1Jwcm10Q3VXdzdLM2U4OXEvZll1YjFPVTEzdUJWM2IvYWQrK1VaOGNjODMvdkNFam55dk5Wemo2VElENXJ4ZkFJQzUyWmE2QUFDUmR0OStPT3JZSmZkc2xpUERydVlIMnBXVWx5UkpFYUhPWWpYa3lMSkgzVGRYOFBNTSttVFlZLzlONTh4MVNKTDg0MzYxUGRLdDQ3L28xTm9QcmxUV2xveUk2eVk3M09yK2M3L0szbGdrdzJMRWZpTlRtdXFPSHg1amZkN1p0bjFqVTdnbUFFQTBBaDJ3RE5YdTJLamtJcWU2bis3WGlWOTN5WkZoVitmdmV6WFdPQ0ZKMm5YTHdZanJVOHVTVmYybERWSFBtWDNkVEFkM0hJdDc3cXI3YWlSSnRqU2Jxcis0WGczZmJkV2hmMi9VcW5lVXFPVC9GSVN2YTM2Z1hhbWx5U3A5WTJINDJPaVJjUmwyUSttclV5VkpBVTh3Ym1pcjNiRlJrclR0NjFXU0pQZUFWd2UvZWt5MU96YktzQmdLK2szVmZYTCt3QWNBRnpvQ0hiQ005VDQ3cUlLcmN6VFJOcVhXLytuUTJnK1VLLytxblBENWliWXA3ZjE4ZzNJdmRzVjl4blE0bkdubjlycVl4NmU2M0ZIaHk1Wm1VOVd0YTlUeTB3NWxyazhQSCs5N2ZsQ2pSOFoxMFIzclpGaFB0YzYxLzdaSGs1MXUxZHk1UVJhSFJWYW5KUndRWjcvdmRMZXZzeUFwNGoyZCtVa3lySWFDdnVDOC8wWUFBQUlkc0d5NWV6d2FQVHF1bFc4cjF1RzdtNVJlbWFhTTllbW51bEZONmVoL3RpcTFKRmw1bDJmTDNlOVZVcFk5SWx4SjhiczBGOUxWR1pnS3lPS3d5TEFhV3YyM0s4TEhQWU5lTmQzWHJ0Vi90MEtwcGNrUjkxUyt2MXgxbjZwWHkvOTBhTTNmbHk3b3MwNEhPODlBNkxOTmRYdGtXS1Nnbi9GekFMQVFCRHBnbWVyKzg0QmNHOU1WY0FlVmxPUFF4SW1wdUYyb3UyNDlKQ2wyYTl5bTJ5dWpXc0IyM1hJdzVuRjNqeWVpSzdiaE95M3lqZm0xOW9NcmxWSWNlcTUvTXFENmJ6VXI2NklNRlY2Ykc3N1dESmdLZUlJeS9hWktYMWVnNWdmYmxYZFpsaklxMCtiOXJMUERKZDJzQUhCNkNIVEFNalZ5ZUV3WmExT1Z0U1ZEcnFyMHFKYTMyWFp1cjR0NGJRWk1iZjVrcFJ4WkM1OU1rSlRqME9aUFZzb01tREtzaGxhK28wVDFkemRwNytjYXRHWjdxZkt2ek5hK094bzAxZTJSWjhDckYvOXB2NEplVTBGZk1PWnMxS1lmdDJuckY5ZkhuekJ4MG5TWHJMdkhvMTIzSGRLVjkxYUh1MXlmZTkvZUJkY1BBQmNxQWgyd1RKVy9yVmlIL3IxUlJhL0pselBYb1YyM0hwSzcxN1BnKzZlNjNEcndsZmdUSCthYUZGRno1d2FsckVoV2FtbXlMcnBqdmVydmJ0Ym9rWEVWL0ZXT2NpL0prbWZBSzJkQmt1enBOdG5UYkxLbFdtVk50c3JxblA1Zmk2YTYzTnIzaFNQcWVySlBIVS8weW5PeXEzaTZOYzZabjZTcWYxMno0TThEQUlpUFFBY3NVNjZxZEtXdlRsWFg3M3UxNmwwcnRQVUw2K2RjNiszRmoreVBPbVpZREYzNW8rcW80L0VtUlVqU3MrL1pFL0hhbm03VHBwT3RkcEpVL3RiaUJkV2Z2aVpWcFc4b1ZOYVdER1ZYWjhvTW1OcDkrMkZWM1ZvaFo1NURodFVJUDNOMjYrS3o3OTBUNjVFQWdEZ0lkTUF5bHIwMVE3M1BEbXFWS1ZrY2hxUzV1eTVqaWJjVzNWenIwTTFtc1JxUzdkUjdMM1JSNGxqaHo1bm5pSnJsT3IxOGlXZkFxNE5mYTFUTlZ6YUdKMFhzK1hUOWd0NExBQzVrQkRwZ0dYTmtPK1FkOW1ub3dLZ08zZFY0MnZlYlFUUHVSSXE1dWx4bmE3cXZUYjV4djlaL1pKV2toYzJRbFU2TmpZc251Y2daSGk4bktUeldMcmt3S1h4czVua0FRR3dFT21BWkdtK2RsSDhxb0lHWGgrWEl0TXUxTVYyWDNMTTVmTDdqc1Y3bFg1RXRlK2FwSCtIbSs5dGxkVnJEcngxWkRsVzh0eXhpSnFva2pSNGJWKzh6Z3lwL2E3SHNHZEcvQXJyLzFCODFrV0p3MzRqU3lpS1hKNG5YWlN2RlhzOHUzblV6elY2MlpGcFNqa01XQnpzVkFrQThCRHBnR2VwL2VWZ0R1NFpsUzdGcXpidkwxUFBNZ0hLMnViVDd0a09xL3RJR2pSNGQxOWl4Y1czKzFGb1pWa09UN1ZPeUpWdmxjSjNhL2l2b0RjcVJhWmRNeVRQa1U5T1BUbWpqTFd2VStNTVRNZ09tM0gyZXFFRG5ud3pJTStDVjFYa3FQRTIwVGNuVDcxM3cyTG1GQ3Jqajd5QXhlOW1TVGJkWHlsV1ZIdk5hQUFDQkRsaVd5dDVVcElyM2xzbVdhbFgvaTBOcS9YbUhjaTkyeVQ4WmtDeUcxdi9UYXUzOWJMM0dHaWZrbnd6SU5LWEJ2U05xZTdnN3ZBMVh6MS82MWYzMGdMS3JNeFgwQkRTNGQwU1NWSFZyaGVydmFkYUJMeDlWelk0cU9mTWNhdnB4bXp5RFhxMTVkNm02bnVwVHdCTU1MeVE4V0Rjc3cyb29lMnZtT2Zsc2JZOTBhN0xOTGUrb0w2cExkdmF5SlFDQWhTSFFBY3VReFdiSW5oNzY4ZXg4c2s5NWwyVkhUR0JJeXJhcjl1dFZzcVZZZGV6N3h4WDBCYlhtM2FWcStIYUxzclptS0xVMFdUM1BEQ3IveXV5b2VSUkpPUTV0K2ZSYWpkU1B5NWtYNmxvZFB6NnB3RlJBU2RrT3JmbjdVaDM1WHF0Y0c5S1ZYWk9wdmhlR2xMa2hYYllVYThSekFsUEJVTUNNSVRCMWFzc3U3NGhQN1kvMGFHRDNzQ1NwZCtlZzBsYW1xT2k2dkxQK2R3SUFoQkRvZ0dWc3BINU00eTJUV3ZmaFZiTFlEVm5zRmczdUhwWnJVNmo3Y2VMNHBJWU9qR3JGNndxVVUrdlN1Zyt0Vk9xS1pQWDhaVUNlQWE4S3J3dU5uN09uMnlSRDZ2bkxnRElxVXlXRlpwdE9kYmsxM2pxcDhlWkpGVjBmQ2xoNVYyU3I3NFVoVGJSTktTblhvY2tPdDRwZUhSMis5dDdSc0tEUFlMRmIxUFhIUHFXdlRsWEpqZm5LMlphbHBHeTdwcnJjQ3g1REowbkpoYzR6bWVRTEFCY0VBaDJ3akdWdVNGZjFsemFFVzlKSzMxaW8xcDkzS1BoQWFQMDJ3MllvWTIyYUNxN09rU1RsWHBvbEtiUm9iL25iaXBXVUhiclBsbVpUMlp1SzFIeC91d0x1eUZZMWk4TWkxK1lNbFozc3FwV2tEZit5V29iRlVOZFRmWkloWlZlN29tcmI4cG0xVVZ1SFRYUDNlTFQvUzBkRDc1MWkxYVgzYkpFdE5iS0ZiNjVKRTdHMi9ycjh2N1pHak8wREFKekMzN3ZBTERVMU5hWTAvNUliaTZYM3VVSGxWR2ZLbW15ZC8rTHp3TjNuRFFmS2FjZC8wYW5pRy9MRDNjS3orY2I4Nm55aTk1eFBwRmdxMHdzZjE5WFY4VHNUd0xKRUN4Mnd6T1Jma2IzVUpVU1lIZWFrK1hlTHNLZmJYakZoRGdBU0FmMFhBQUFBQ1k1QUJ3QUFrT0FJZEFBQUFBbU9RQWNBQUpEZ0NIUUFBQUFKamtBSEFBQ1E0QWgwQUFBQUNZNUFCd0FBa09BSWRBQUFBQW1PUUFjQUFKRGdDSFFBQUFBSmprQUhBQUNRNEFoMEFBQUFDYzYyMUFVQXk5WE83WFZMWFFJQUFBdENDeDB3aTJtYVR5OTFEVmgrK1A4RkFBQklTRFUxTldaTlRZMjUxSFVBQU9aR0N4MEFBRUNDSTlBQkFBQWtPQUlkQUFCQWdpUFFBUUFBSkRnQ0hRQUFRSUlqMEFFQUFDUTRBaDBBQUVDQ0k5QUJBQUFrT0FJZEFBQkFnaVBRQVFBQUpEZ0NIUUFBUUlJajBBRUFBQ1E0QWgwQUFFQ0NJOUFCQUFBa09BSWRBQUJBZ2lQUUFRQUFKRGdDSFFBQVFJSWowQUVBQUNRNEFoMEFBRUNDSTlBQkFBQWtPQUlkQUFCQWdqT1d1Z0FBeTBOdGJXMlphWnJmbUhYNExTZi85NWN6RDFxdDF2Lzc4c3N2dDUyZnlnQUE4eUhRQVpobXFhbXBPU0dwWks2TERNTm8zNzE3ZDdtazRQa3BDd0F3SDdwY0FVd0xHb2J4cTNrdkNnWi9KY0ljQUN3ckJEb0FZY0ZnOEpmelg2V0ZYQU1BT0k4SWRBRENLaW9xZGtycW5lT1Mzb3FLaW1mUFZ6MEFnSVd4TG5VQkFKYVB3NGNQbTBWRlJaV1NhdU5jY3Y5VFR6MzF5UG1zQ1FBd1Axcm9BRVF3RENOdWw2ckZZcUc3RlFDV0lRSWRnTm4rSkdrb3h2RWgwelNmUHMrMUFBQVdnRUFISU1MdTNidDlwbWsrSE9QVVE3dDM3L2FkOTRJQUFQTWkwQUdJRXFmYmxlNVdBRmltQ0hRQW9tUmtaRHdwYVh6R29iSFIwZEVubDZvZUFNRGNDSFFBb2p6OTlOTnVTWTlPdnpZTTQ5SEd4a2JQRXBZRUFKZ0RnUTVBVEtacGhydFlGN2pnTUFCZ2lSRG9BTVFVQ0FRZW0vSDk0MHRaQ3dCZ2JnUTZBREh0Mzc5L1F0S3ZKUDN5NVBjQWdHWEt0dFFGQUZpK1ROUDhoU1J6cWVzQUFNeU5RQWNnTG9mRDhWdWJ6VWFnQXdBQUFBQUFBQUFBQUFBQUFBQUFBQUFBQUFBQUFBQUFBQUFBQUFBQUFKWVJZNmtMQUphNzZ1cnFGdzNEdUdTcDY4Q3lFVFJOODh0Nzl1ejUzRklYQWdEVDJNc1ZtQWRoRHJOWURNUDQ3RklYQVFBenNmVVhzRUJYM1ZlejFDVmdpWTAwak92QW5VY2w2YzlMWFFzQXpFUUxIUUFBUUlJajBBRUFBQ1E0QWgwQUFFQ0NJOUFCQUFBa09BSWRBQUJBZ2lQUUFVc2c2QXVlL2szbXJKY0JVOTRSMzdrcGFNWXpBUUNKaDBBSExMS3BMcmQyYnErTE9OYnduUllkL2MvV0JUL0RESnJhODlsNkRkU05oSTkxUE5HcmZaOC9JbmV2NTdUcTJibTlUbE5kN3Fqai9uRy9Ydmp3dnBqbkZpcmdEdWpFcjd2a0hUcU5vR2xLemZlM2EvalFXTXpUTFQvclVOdERYVkdCOWt5WWZsUHVYbzlHajAyYy9jTUFZQmxoSFRyZ1BBdDZneG8rT0tiU054UXUrSjZlcHdma0cvWEx0VEV0Zkt6b3VqeDFQdGFyanNkNnRlYmRwWEh2ZmVGRCsrU2ZERVFjMjMzNzRZalhWOTFYbzZIOW8zSmtPWlJjNUl6NUhETm95dDBUT3p4TzN6T3dhMWh0RDNlcjhKcmNCWDB1U1pJaCtTY0RhdmgyaTJydTNDQkhsajE4YXZqUW1Eb2U2MUhSZFhseDk3VVpQamlxZ05kVTBCTlV3Qk5RWUNvZy8yUkEvb25RbDIvVUo5K29YOTVSdjN5anZuQXczUEtadGNwWW14YjdvUUNRWUFoMHdDSVliNWxVeWdxbkxQYm9SdkQrWGNNS2VvUEtxY2xjMExPOFF6NjEvcnhEL3NtQW52L0F2cWp6WFUvMXFldXB2cWpqenZ3a2JidXJTdHUrc1NuaStBc2YycWV0ZDZ5WHN6QXA0bmpmQzBNeFd4TWw2YUxQclZOU25pTXFDRTZiWG5TNTk5bEI1VjJhRlJIS1pndjZUWG42SW9OaDBhdHpOYlJ2UklON1I1UzUvbFRJYW4rMFc2bWx5U3A2Vlc1VXkrRjBpRHo0dGNhSTR4YUhSYllVcTJ5cFZ0bFNiTEtsVzVXMk9rWDJkTHZzR1RZNU1tMnlaOXJsTElqOC9BQ1F5QWgwd0NMWSsva0cxZTdZR0xPMXErZlBBM0prMldWWWpiamRtL1pNdTJ3cFZwbEJVMGYvczFYK3lZQ3F2N3hCRGxka1VIcnhJL3QxMGVmV3hRd25oaVhVcEdWTHNlclo5K3lKT0xmdmkwY2lYdGQrdlVxRCswYTA2cDBseXJrNFM1TFUva2kzK3A0ZjB0WXZybGRTcmtNV214RzFXMGJQTXdNNjl2M2praVIzcjBmRGg4Y2tVK3A5YmpEbTV5cDlRNkZ5TDhuU25zL1V4enpmZU8rSm1NZnJQaFY5L2N4YXl0OWFyS0pYNThucXRJUS9Od0JjU0FoMHdIazAwVGFsa2ZyUVdMRjRyVjJTVlBHZU1oVmVsNnVXbjNhRVFwSWthNUpGVm1kMGk1OGwzdkVacllObTBOUzJyMWZKV1pDa25kdnJWUE9WRFVvdWNzcmQ0OUd1Mnc2cC9aRnVaVy9OMU9pUmNaWGNXQ0JKR2owNnJ2eXJzcFZjdUxDV3JNNG4rNVJXbnFKMUgxNFpjWHpQcCt1MTR2V0Z5cnNzUzdZMG0renB0bk8ralpvdDJTcGJpdldjUGhNQUVnbUJEamlQT243WEkwbGEvNUZWeXIwMEszeDhZUGV3NnIvVnJFdS9zMFgyOU5DUFpjZGpQZXA4b2xjclhsK285a2U2dGV2V1F6R2ZKOWsxL1FBQUlBQkpSRUZVdWVmVHNWdTdMcmxuc3h5WjhicytaL0tOK2JYdTVsV3ErK1JoVGJSTnlUZmlrM2ZZcDlJM0xteWNuMy9jcjU2bisrWElqaHlENTU4SUtPZzNsVnFXSE5sYWFVcFQzZkVuWHpqemttVFlvbHZhK2w4ZVZ0TjliYnIwbnMwUng1dCswcWFtbjdRdHFOYVoxdDI4U25tWFpjMS9JUUFzY3dRNjREeVo2bktyNy9raFNaSjd3QnR4emp2c2syRXpaRTg3OVNPWnRTVlQ5blNiY3JabHFmMlJibTI3cXlwcWJOcHo3OXVyNmk5dmlObUtOck9GTHJVc1dYV2ZyZzh2bDdMNzlzTXlMSVlNbTZIVXNtU3QvNmRWTXF5RzFyNi9YTWUrZjF3QmQwQnJQN2h5d1lHdzdlRnV5VERrN3ZFbzZBdUczM3M2dERuekl1c0wrb056dGxCT2QxZFBkYm0xKy9iRDRSYTlvQzhvWDR5bFdrcmZXS1Q4SzA0L21NMDExZzhBRWdtQkRqaFBPbi9mSjBlV1hhbWx5Wm80UGhWeGJxclRyZVNDcElpWm5Da2xUcVdVT0JWd2gwTFkyYlRRVlg5cGc0WVBqV2x3NzRnNm4raVZJOHV1cEJ5SHl0NVVwS3pOR1pKQ1Mzb003aG5SZU91a1pJUkNtc1ZteUZXVkVhNHIxb1FKU1pwb2QydmxPNHJWZkgrN3hsc25sVkVabXRndzBUWWx3Mm9vdVNoMnQrMkdmMTZ0bkZwWHhMRjQ3ekdYcEN4NzNObTVBSEFoSU5BQjUwbnBHd3FWWFoycHlVNjNPbjdiRTFvKzQyUlFHbTJjVVBycTFEbnZ2L2p1elVyS2pteFIycm05THU3a2kya1RiVk5xKzAyWEpHbmRoMWVwODRsZVZmNWp1UVoyRCt2d041cVVVNU9wdkN1eWRmeC9PelhWNjFIbFA1Ykw0YktyOGQ0VE92aTFSamx6SGFxNnJTTDhIaXZmVnF5Y2JhRVFOckJyV0szLzI2bDFIMTRwVzZwVjNYL3ExL0Noc1hDZ0d6MDZvWlNTMkxOOXBkQU0zck5aOTI1NklXVER5a1FJQUJjMkFoMXduaml5N0hKazJaVmNtS1NXQjlzMWZHaFVyazBaOGd4NE5kNDZHWjZNRU0vTC8zSWc1dkY0WFplMk5KdTJmbjZkOW55bVhpditwbEFyMzFZY0RwRE9YSWNxM2xPbWtodnk1UnYxcSsyUmJoazJReGQ5YnAzU1ZxWklrbXEvdGxFOWZ4blFlTXRrUkdDMHUwNjFobVZ1VEZmUnEvUEM0LzVjbXpJMHNHdFlaVGNWU2FZMGZHQlVlWmZIN3dwdHV1LzB4NzNORlBTRkFwM0ZjYktMOXpUQ0lTMTZBRjVKQ0hUQUlncjZnaHJjT3hKeHpKbWZwTXgxYWVwNHZGZXVUUm5xZm5wQVZxZFYyZFd4MTZVemJJWnlMODFTK1p1TFpKMHhrL1BBbmNlMDlvUGxTc3B4eEw3UE1HVFBzR25yRjliTGtXVVBqOXVyM2JGUmhzMGlkNzlYaHQwaVI0NUQ1Vzh1bGkzTktsa011ZnRQamUvTHVpaFRSYS9LaS92NTB0ZWtLbjNOcVpiRjNHMHVkZnl1UitQTmsvS04rK1VkOFNuM2t2aUI3bXk3WFAwVGZrbVNOVGtVNk9ZYWx6ZmJ1WjVwQ3dCTGlVQUhuR1BUM1lCdEQzZHJjTitvQXJOMmFaQ2swcHVLZEhESE1YVTkxYWZPSjNwVTlPcDhXWk1pdXlWTnZ5blBjR2dDd01wM2xFZzYxU0lsaFZxakFsUEJpR096S3BFdFlDcHRaWXIyLzl0UmpSNGJQNlBQY3pyQko3MGlWYWxseVRyeG15NzVKd05LTFUxV2VrWDhydVN6N1hMMW5BeXBNeWR2VEMvNUVrLzNIL3ZWK0tQWTY5MEJRS0lpMEFIbjJIU0xYTjhMUXlxOE5sZTVGN3QwNEN2SElxNXhWYVVyLzZwc05mMjRUWTRzdTFhOExycTdkYkxUSFhjQjNta0hkeHliODN6Tm5SdVVzaUpaV3o2N1ZwSTB0SDlVR2V2U0lzTGpRc2JoeGVNZDhxbnQ0VzZWdjYwNHZBN2N5cmVYNk5CZG9kMGJOdDZ5WnM3N3o3YkxkYngxVWxLbzFSTUFMbVFFT3VBY1M2OUlWZmJXVEsxNlowbDQ2WTNaZ3I2Z2d0NlRMV3RCYWVMNHBESTNwRWRjazFxV0hOVTZObEkvcHNaN1R5aWpNazA5end3by82cHM5VDAvcEp4dExxMThlNG1jZWJHN1g2Y2R1cXN4Wm5pTDFWVnBTN1Bwc3U5dWlma2N6NkJYSGIvclZmZWYrbVYxV2xUeTJ2eHdvQXQvWGtNS2VvSnoxak5mbDZ0aE1XU2ZZK21Vd1QwalNpMU5saTJWUllVQlhOZ0lkTUE1NXNpMHo5a3lOZEUycGFQZmE5VlVqMGRyUDdSU1BVLzM2OEJYamludnNpeVYzbFNrbE9Mb2xyTFJvK05xZTdoYmsrMXVyZnJiRmNxOTJLV2Vad1pVK3ZwQ0ZkK1FyNVlITzdUNzQ0ZVVlN0ZMaGRmbUtuTjlldHpON0dQWmRIdGwxUFpoeHF5SnFZR1Q0YXp6OFY0MS92Q0ViQ2xXbGIycFNFWFg1OG1hWkpGdnpLK21IN2VwLzZVaDVWK1ZyYUFucUlidnRxajQ2TGpLMzFZc3EvUDBRNWV6SUNseUVlSGdxZTdseVE2M2hnK1BxZnd0eFpGMWVvUHl4K2ptbm5rZUFGNXBDSFRBZWVJYjg2dnQ0VzUxL2FGUHlZVkoydnFGOVVvcGNTcnZzaXgxUE5hcnR0OTBxZS9GSWJtcU1sUnlRNTdzbVhZTjFvMm83OFVoQlNZREtuNU5ualo4YkhWNFJ1ZTB0UElVYmY1a3BZWVBqNm5yOTcwNitMVkcyZEpzY2xXbEsvZGlsMUxMVXlLdTl3ejZaTVJaUm1RbU02andCSWtrbDEzanpST1NKSGVmVjZWdktGVEpqZm15T3EwS3VBTnFmN1JiN1kvMktPZ05hdFc3VnFqa3Rma3lnNmFTZjkybHRvZTcxZmZDa0lwdnlGZkJYK2ZFWEt6WVArRlgwR2ZLUHhFS1lqT1hJUmsrT0NyVGxBeEQ2bmxtTU53YTEveEF1eXgyaXdyL09pZmlXUzBQdHF2bHdmWjVQeDhBdkpJUTZJRHpwUGVaQVhYL3FWOWxOeFZxeGQ4VWhyZTJNaXlHVnZ4TmdmS3Z6RmI3b3ozcWZYWkF0dFFpK1ViOUdqOHhxZkkzRnltNzFpVkxqSzJ3Wm5KdFRKZHJZN3E4SXo0TjFvMW9jTitJSEpsMjdicmxZTVIxc2NiZHpUY1diK3NYMWl1OUlsVUZWK2VvL08zRjRWQTIxZTNSdmpzYTVKOE1LR3RMaGxiL1hXbDQxd3JEWXFqOExjWEtxWEdwNlNkdE92NkxUaVhsT3BSL1JYYlU4L3RlR0ZMVGowUGo2VktLblJFemQ3diswS2VCdXRDNFJNTm1hTlU3U21RR1RIa0h2U3ArVFY1VWwrektkNVFvLzZybzk1ald1M05RcmYvVE1lZm5CWUJFdzJxY3dEeHFhbXBNNmN5WHVURDlwcWE2M1VvcFNaWnYxRGZubURBcE5FczJrUmJLN2Y1VHYxSldPTU9MQ2NjejNqb1pYdU5PcHRUMzRwQXkxNlhKa1dWWDBCc010UndhVWxLdUkrTHpCOXlCOEc0WnRsUnJlSkhpc2FZSnBaUWt5K284MWRwNDlMK09xK0RxN0tqeGlET04xSStwNTVsQnJmMUErV2wvMXBHR2NSMjQ4NmdrL2JtdXJ1NmEwMzRBQUN3U1d1aUFSV2JZREtXc1NKYWtlY09jbEhpN0hoUmVHMytKa0puQ1lVNlNEQ252c2xQcjAxa2NscGo3MFVxUzFXbU5PZjV1NXZwMzB4WVMwakkzcE04WitBQWdFYzAva0FZQUFBRExHb0VPQUFBZ3dSSG9BQUFBRWh5QkRuZ0ZDSHFEOG8zNWw3b01BTUFTSWRBQmkyQ3F5MzNHWDZZL2VtL1c0Y05qT3Y2THpyanYxLzdiSHIzNGtmMkwrWkVpN054ZWQxWjdzSWFaMG9uZmRJWFh1NHRsOU5pNE9oN3ZEZStSTzlQUWdWRk50azlGSFcvNVdZZE8vS2JyN09zRGdBVEJMRmRnRWNUYVNtdWhZbTNOTlhva3RGTkUrVnVMNDl3MXR4ZHUzaS8vK09tMTRKM09NaTFUWGU0RmZlYlp6L1NPK0VMcjgvMnhYMVczVlNpMU5Ebml2T2szMWZpREUvS04rNVYzYVpZY1daR3poSHVmR1ZEL3JtR1YzVlNrRmE4cmtHRXhaQVpNOWU0Y1VPRzFlWE9HVHNOaVJPMk9BUUNKaWtBSExKTFp3YXpycVQ3Wk0rekt2ZGdWOTU2Wis1aWVTMXMvdjA3bXlXMnpldjR5b1BiZjlxajZTeHRrc1VjdmtYTGlvVzZOTlU2YzBmdlU3dGdZOC9qZ3Z0R1l1emM0WEhadC92UmFIZmpTVVIyNDg1ZzJmNm95SXRTZCtFMlhwcm85Mm5SN1JWU1lrNlIxTjY5UytwTjlhdmxwdTJ5cFZoVzlLay85THc3Sk4rcFgyME5kYW5zb2ZpdWRJOU91UzJadUt3WUFDWXhBQjV3SG8wZkgxWHgvdTBwdUxGREcydWoxMDJ6SjFxZ3R2YzZsbVMxUjAydTZwYXh3eXJCRUJqclRiMnI0d0tpS2I4aVBlb1p2eEJleFI2cTdMN3FiZEhiTDRqVEg4ZWh1MFptdFo2dTNsNnJ0NFc2WkFUTjgzTjNuVmZ0dmUxUjRiYTRjTG52NHVDM05KbnY2cVY5ZHhkZm55YlVoVGNuRlRnVzlRUjMvVlpmSzNseWtzcHVLSklWQ1llZmp2YnIwTzF0a1dFTXRlTHR2TzZTTWRYTXZoQXdBaVlSQUJ5eXlxUzYzNnIvVkxETmdudHp6dER2cW1zcjNsYXRnMXA2a2l5WGdEb1V5MzRnL3F0V3JmOWV3L0JNQkZWd2RYY3VKaDBMNzBFNDdkRmRqK1B0NExYTnppZFZGdS9kekRWSEh1cDdxVTlkVHA5NjM1TVlDclhwblNjUTF5Y1ZPdFQzVUxhdlRvb0E3b09MWGhBSnAwQnRVNzE4R0pFbWVJWitjdVE3MXZ6UWt6NkJQcFc4c091MmFBV0M1SXRBQmkyaThkVktIN21wVTBHZXErUG84cmY3NzB2QTUzNWhmaC82OVVRcEtPWE4wdzg0MFg1ZnM3UFBGTitScjlkK3VpRGptbndnRnV1Nm4rMVgycHNoUTAvMm5mbVZkbEJHemUzUE45bEt0MlY2cThkWko3ZjFjUTBTWDhuVHJXYnd4YTk1aFg5U3hlR1AwMmg3cTF2RmZkdXJLSDFWSHRTREc0cDhJcU9FN0xScXBIOU9tajFmb29zK3ZseTNGcXFEZjFOSC9iSlZ2M0svME5hazYrTlZqcXZyWE5jcTdQRnVwcGNseGQ2WUFnRVJFb0FNV2lYOHFvTVBmYkZidXBWa3F1NmxJaCs1cVZNTjNXbFR4bmxLTk5VNm84ZDRUU2kxTDBib1ByNVExT1hwcnExaE90eVhNbGhyOUkrNGREWVdycmovMHFlVC9GTWlhZEtxcmQ2UmhUREpQQlVPTHpkQVZQNnlPdUwvL2hhRzQ3M2MyazBGT0NZMzFNNHo1dzl6b3NRa2QrWDh0TW4ybU5uK3lVaGxyUTkyb1F3ZEcxZnF6RHJuN1BOcndzZFhLV0p1bSttODFhODluRzFSeVk0R0tYNU4zRHVvRWdPV0RRQWNzRWx1eVZUVmZXaC9ldjNYekp5cTEvOHRIOWRMSERpcm9DNnJncjNKVThROWxDMnFGa2tLek11T05VVHNkbm42dk10ZWxhYUp0U3AyUDk2cjBqWVhoYzdWZkRRWEdpYllwTlh5N1Jha3o5MStWRlBRRjFmTk1xQXV6L2JjOVNsK2Rxc0xyVHUzbEdxL1ZyZStGSVIzNWJzdUM2ak9qVnllSnFmZlpRUjM3NytOS0swL1JobjllTFVlV1haMi83MVhYVS8yYTZuSXJ1enBURy81NXRaejVvWmE0cWxzcjFQRjRqMDc4cGx2dHYrMVcxcVlNclhoOW9USXFvOGMwQWtDaUlkQUJpOFEwSmY5a1FJTjdSelY4ZUZSRCswZmxjTmxWOXBZaXVYczhHdGcxckJkdjNxKzBWU2xLTFUyZXM5dlZESmpuWnRWSVUzTDNlRlI0YmE0eU42U3IvZEZ1NVYrWnJhUmNoNlJUa3hvNm51aVZKSlcrcmpEaTl1NC85c3VSWlpkdnpDOW5mcEthSDJqWGFPT0VTbDRiUFlsaUxuMXp0UEpObkppU0RLbnZ4ZmpYT1BNY3lseWZwc0pyY3JYeUhTWHlEbmsxMVJXUVlSaHk1amxVL3BZaXBaWW1SMHl5a0tUc3JabktxRXpUeUpGeERSOGFVMHJ4MlFka0FGZ09DSFRBSWhtcEgxUHpUOXFWdGpwRjJSZGxLRzFWcWx4VjZVb3VTSkxGWWRHYWQ0ZTZYb2NQam1ta1lVeDVWMlRIZlZiUUYycTJtaXNJU1ZKS2lUTnFMYmVaSmp1bUZQQUVsVnFXb3R4TFhPclpPYUNqLzlXcVRaK29ETGNVZWdhODZ2M0xnREkzcEN1N0pqTjhyMy9jSDE0THIvSGVFOHE5MktXTWRXbHErV203UEhNc0RCekxRbHJyNXJvbS82b2NyZjFBdWRhOHUxU2VRVjlVVisvUS90RTVuMzNKUFp1MTRtOEtGbFlzQUNRQUFoMndTRndiMDNYWjk3Ykk2clFxNkF0cXo2ZnIxZnF6RHBtbUtXZU9ROG5GVGhWY25hT3lOeGRKbW52R3BYL2NMOU52emh1RVN0OVFPR2VnRzl3N0lrbktXSnNxaThPaXl2ZVY2K0RYanFubHB4M2h5Uk9OUDJxVExJYldiQytOdUxmMTU1MHliSWJ5cjhwVzQ3MG5KRW1aNjlLMDlZNzE0VmF3aGE2akY2OXJOdWdMNnFXUEhwQi9NcUN5TnhWRlRkcVl5K1pQVmlwelEzcm9oUm1hc1p1K0prVkoyWTd3TmNPSHhuUnd4N0VGUHhNQUVnV0JEbGhFVnFkVi9nbS9yRTZyYXI5V0pkTnZhcXJIbzhuMktVMjBUY251aXA1TkdvdTcxNlAwaWxSZDlMbDFjYStaTjB5WlV1L09RYVdXSllmSGxibXEwbFgrbG1JZC8wV25yRTZyckU2TGh2YU5xUEo5NVVvcGlleU9kQllrYWVVN1NtU3h4Ky83UGQyRmhXZnIvbU8vL0pNQjVWMmVwZmJmOWlqdjh1d3ptbzBhOUFYVmNFK3oxdi9US2lWZDRwai9CZ0JJY0FRNllKRWR1UE9ZSmp2ZGN1WTU1Q3h3S3Jrd1NTbkZUbVZ0eVZCS1Nmeld0R2xCdjZueDFrbmxYUm0vUzNZaCtsOGEwbVNuVzJ2ZUhkbnlWdnFHd2xCMzZzbGRGVXJmVUJoelRieWlWK1dHRnlXTzUzUVdGcDV0c3NPdDQ3L3NWSFpOcGlyZlY2N3hsbnJWZjZ0Sld6NnpUcmJVaGMwQ251WTd1YzFackZtK0FQQkt4Rzg3WUpGdCtrU2xwcm85Y3ZkNE5ObnAxbVRubEFaM0Q0YzNwTSsvSWx0clA3UXk3djBETHc4cDRBa3FhMHRtM0d2bUU1Z0txT1ZuSFhMbU9sVDQxN2tSNTd4RFBrMTFlOEt2UitySE5ORTJGZFYxTzErWU94dVQ3Vk02K0xWR1daT3RxbmhQbVN3T2k5YmR2RXI3djNSVSs3OThWRlczckFsUDNGaUlzV09ocmN1OEl6NlpBVk9HZFdFemlRRWdVUkhvZ0VWbVR3OXRWVFY3ZVF6L1pFRGpMWk1SMjFqTk5yMlZsU1BMcnV5TE1zNjRoc1lmdDhrejRGWFZyUlV5YktGdzQ1L3dxL09KUG5VODFpTVpVc1Y3eStUTVQ5S3gvejZ1UForcFYwNnRTMFhYNVNwelkvcUNsMWFadVRYWTdNOFJreGxhNExqbHdYWlpVNnphZEh1bEhDZTdvZE5XcG1qanY2elc0YnVidGVjejlWcjU5aElWWEpNVFZZc3QyYUt5TnhVcEtTL1VOVHZWNVZicnp6dmt5TExyMlBlUHEva25iY3F1ZGluM1lwZWNCVWtxZTFPUnJFbUxGMDRCWUNrUTZJQkZjaTRXMlczNmNadmNQUjVWL21QNUdiY3lkVDdScTc3bkJsVjBmWjZ5Tm1kb3BINU12YzhOcXUvNUlaa0JVL2xYWnF2OHJjWGhJRlc3WTZNNmY5K3Jqc2Q3TmJCcldQWjBtMXliTXJUMkEvUFg4TUtIOWkyc0tGTWFxQnRXMjBQZEdtK2RsR3RUaHRaOXNEeThadDgwMTZZTVhmUzVkV3I0VG9zYWYzUkM3Yi9yVWZIMWVjcTlMRXVPazlkYWs2MHF1RHBIbzhjbTFQby9IUnJZTmF5VUVxZTIzRm9oaTgxUS84dkQ2bjEyVUlmdmJwSXQyYXFjYlM2Tk5VMG9jMFBhZ29NcUFDeDNCRHBna1ZUZFdpRm4zdWtOeUo4WkFnT2VvTVpiSjVWVDYxTEJYNTM1UHErWkc5T1ZVNU9wMWU4S3pXSnRlemdVb2dxdnlWWHhhL1Bsbk5XVmFYRll0T0oxaFNwK2JZSDZYeHhTNzdPRFNpbHhMaWhRWG5MUDVwakhCK3RHd2pOanZjTSs3ZnZpRVhuNnZYTG1KMm5kemF1VWQxbFczR2VtbGlXcitzc2IxUEc3SHJYL3RrZk5EN1RMTitaWDBmVjVPdlQxUnJsN1BRcTRnNUloWlZTbXFlSzlaY3EvTWp0Y2IrRzF1U3E4TmxmdWZxOTZueGxRNzdPRDZ2bkxnTkpXcG1qckY5WkxaRG9BcndEOEtnUG1VVk5UWTByeGw5cUlaV2ovcURMV3BVVnNxM1VtOTNtSGZMS2xXbVZ4elArYy9wZUhsVkxzakpxZE9wdC93aTlMa2xVVzI1bi8rTHQ3UEVyS2RZUkRrK2szTmRYdFZzcUsySk04L0pNQmVRZTk0Zk5kVC9YSm5tWlR6amJYYWJVOEJxWUNHajQwcHB4dG9VV1lPeDd2bGVrUHJhdVh2aVoxWVpNblRHbTRQclRGbWFzcWZjSHZMVWtqRGVNNmNPZFJTZnB6WFYzZE5hZDFNd0FzSWxyb2dFV1F0ZVhNeHJ2TnZzK1J0YkJsVFNRcGQ0NmRKbVk2RnpNL25RV1JTNGtZTmlOdW1KTWtXNHBWdHBSVDU0dGVkV1o3cVZwUGRwbE9POTBkS2lSSlJtaU5RQUI0SlRrWG13a0JBQUJnQ1JIb0FBQUFFaHlCRGdBQUlNRVI2QUFBQUJJY2dRNUFoSjNiNnpUVjVWN1FkYjNQRFo2SGlnQUE4eUhRQVZEUUY1UVpNQ01QbXFkMmVEQ0RwdndUc1hlQkFBQXNQUUlkQU8zOWJJUDZYeDZPT0RiU01LWVhidDR2NzdCUFhVLzJhZTluNnpWeFltcUpLZ1FBeklWQUIwQlpXekxVOVZSZnhMRys1NGVVVnA0aWg4dXV3bXR6bGJZbVZmdi83WWlHOW84dVVaVUFnSGdJZEFDVWQxbTJSbytNYTdJek5IWXU0QW1xNzhVaEZWNlhLeW0wSGRqNm0xY3AvK29jOVQzUHVEa0FXRzdZS1FLQTBsYW5LT3VpelBBNHVjbE90eHd1dTNJdm5iSEhxaUd0MlY0cTAyL0dlUW9BWUtuUVFnZEE3bjZ2MXJ5N05MelZtQ1BUcnFyYkt1UWQ5c2tNbXVwNnFrOFRiYUh4YzhaWjdBRUxBRmdjdE5BQjBLNWJEa2E4UHJqaldQajdpKy9lcExIR0NiVTgyS0ZWN3lvNTQzMVlBUUNMaDBBSFFGZjhZS3NrcWV1cGZyVTgySzdxTDI5UWNtR1NKTWxpdDJqdEIxY3FiWFdmbW4vU0xzTmlxUERhM0tVc0Z3QXdDNEVPZ0N6MjBPaUwzcDBEa3FTTzMvWW91eVpUdVplY0drTlhmSDJlMHNxU2xiWXFaVWxxQkFERVI2QURJRWthM0R1aWdEdTBrTEFqeDZFajMydVYxV2xWMXBZTXlaUzhvejRaVmtNRGRTUHk5SHNrU2UyUDlxajkwUjU1K3IyNitKdWJaRXUxTHVWSEFJQUxGb0VPZ015QXFkYWZkYWo0K2p3MVA5Q3VncXV5WmJFWmF2emhjYTE4ZTRtTy9lQ0VncjVRMkxPbDJ1VE1jMGlTbkxrT3VUYWx5NW1YSkdzU2M2d0FZS2tRNkFEb3hHKzY1WjhLcVBEYVhEVS8wQzVKS3J1cFNJWFg1TW8wcFhVM3I1UXpMMG5PUEllc3lhRld1SjNiNjVSN1daYnlyOGhleXRJQkFDTFFBUmU4d0ZSQTdZOTJhOTJIVjhyaW1OSEtaaWk4akVsU3RtdUpxZ01BTEFSOUpNQUZ6cHBzVmVVL2xrZE1nQUFBSkJZQ0hRRGxYMG0zS1FBa01nSWRBQUJBZ21NTUhZQUlGMzF1blpKeUhRdTZ6bG1RZEI0cUFnRE1oMEFISUVKNlJlbzV2UTRBc1Bqb2NnVUFBRWh3QkRvQUFJQUVSNkFEQUFCSWNJeWhBeGFvLzZXaHBTNEJTMnlrWVh5cFN3Q0FtQWgwd0FJMWZMdGxxVXZBTW1HYXByblVOUURBVEFRNllINGZsWFROVWhlQlpTTWc2ZnRMWFFRQUFNQnBxNm1wTVd0cWFtaVpBb0JsaUVrUkFBQUFDWTVBQndBQWtPQUlkQUFBQUFtT1FBY0FBSkRnQ0hRQUFBQUpqa0FIQUFDUTRBaDBBQUFBQ1k1QUJ3QUFrT0FJZEFBQUFBbU9RQWNBQUpEZ0NIUUFBQUFKamtBSEFBQ1E0QWgwQUFBQUNZNUFCd0FBa09BSWRBQUFBQW1PUUFjQUFKRGdDSFFBQUFBSmprQUhBQUNRNEFoMEFBQUFDYzVZNmdJQUxEL1YxZFhsaG1HMEx1UmEwelJYN3RtejUvZ2lsd1FBbUFNdGRBQ2k3Tm16NTdocG1pL05kNTFwbWk4UjVnQmc2UkhvQU1Sa0dNWXZGM0ROTDg1SExRQ0F1UkhvQU1TMGtFQm50VnJudlFZQXNQZ0lkQUJpMnIxN2Q1T2tmZkhPRzRheDkrV1hYMjQranlVQkFPSWcwQUdJYTY1V3VtQXdTT3NjQUN3VEJEb0FjYzBWMmhiU0pRc0FPRDhJZEFEaTJyTm56MkZKRFRGTzFkZlYxZFdmNzNvQUFMRVI2QURNSjZvbGp0WTVBRmhlQ0hRQTVtU3hXS0xDV3lBUUlOQUJ3RExDVGhFQTVtUFUxdFkybWFhNTZ1VHI1cnE2dWdwSjVsSVdCUUE0aFJZNkFQTXhUZE9jMlNMM1N4SG1BR0JaSWRBQldJaHdvR1A4SEFBQVFHS3kxTlRVdE5mVzFyYUpQd1FCWU5teExYVUJBQkpDMERDTVh3V0RRVk5TY0ttTEFRQkVJdEFCV0pCZ01QZ0x3ekFZT3djQXl4Q0JEc0NDVkZSVVBDdEpkWFYxUzEwS0FBQUFBQUFBQUFBQUFBQUFBQUFBQUFBQUFBQUFBQUFBQUFBQXpvNngxQVVBeTFsMWRmV0xobUZjc3RSMVlOa1psL1RPdXJxNlI1ZTZFQUNRMkpNUm1CTmhEbkdrU2JwanFZc0FnR25zRkFFc3dGWDMxU3gxQ1ZnbVR2eTZTeWQrM1NWSnRNNEJXRFpvb1FNQUFFaHdCRG9BQUlBRVI2QURBQUJJY0FRNkFBQ0FCRWVnQXdBQVNIQUVPZ0FBZ0FSSG9BTUFBRWh3QkRvQUFJQUVSNkFEQUFCSWNBUTZBQUNBQk1mV1h3Q0FoRlZkWGYwaWV5NWpOdE0wbjk2elo4KzFTMTNIK1VRTEhRQWdZUkhtRUl0aEdOY3NkUTNuR3kxMEFJQ0VkOVY5TlV0ZEFwYUpuZHZybHJxRUpVRUxIUUFBUUlJajBBRUFBQ1E0QWgwQUFFQ0NJOUFCQ1dxcXl4MTFMREFWa0gvY3Z3VFZuRGt6WUM1MUNRQ1E4QWgwd0NMcWZLSlg5WGMzS2VpUEhWcjZuaC9Tb2JzYUZmQUVZNTRmcVI5VHkwODdvbzc3SndQYSsva2o2bmlzSitMNDhWOTJhZS9uR3VLKzM5bldFNDhaTU9mOWl2bjVHc2IxNGtjUGFHamZ5R205MzN5Q2ZsTytNZitjWC9IK0RRQWdFVEhMRlZnazR5MlRhdmxaaDBwdXpKZC9JckxWekpwa2tReERMVDlyVjFwNWlnTHVnQUx1UVBpOHhXYVJMZFVxLzFSUUhZLzF5Sm5yVU5IMWVlSHp0aFNyVnIyelJCMlA5YWpvK254WmJJYkdtaWZVOVZTZk5ueHN0U3cyNDl6V1k3WElOK2FMKzFsMzMzNTQzbitQYmQvWUpHZXVJK0pZMnFvVUdWWkRqZmVlVU8zWHEyU3huL29icysrRklSMzVia3ZVY3d5TG9TdC9WSzJBT3lEdlVPeWFSaHNuZE96N3grZXNwL0w5NVNxNE9tZmV1Z0VnRVJEb2dFWGc2ZmVxL2x2Tk1nT20yaC90VWZ1amtTMXBSYS9PazB6Sk8rVFQ0TkNJWHZyb2dZanpycXAwYmJxOVVqazFtY3EvS2xzdFAyMVh4cm8wdWZzOHF2OVdjOFMxei8zRG5valhoNy9aRlBINnF2dHF6cnFlekExcEdxa2ZqL2xaYTNkc2xDUnQrM3FWSk1rOTROWEJyeDVUN1k2Tk1peUdnbjVUZFo4OEZmajhrd0g1Ums0RnNaemFUUG5IL1BMMGUrZDh2aVFkLzBXbkJ1cENyWGxEQjhiVWNFOXp6SHNxMzE4dVNicjBPMXRpbm4veEkvdGpIZ2VBUkVXZ0E4NnhpYllwSGY1bWsrd3VtNnEvdEY3dHYrdlZlT3VrMW45a2xXeXBWbzIzVHNyVDc5V1I3N1ZxN1FkWEtxMDhXUTNmYnRHbVQxVEs0YkpIUFcvMXUxWm81UEM0UEFOZXVhb3lJZ0tPSkxVOTBxM0pkcmZXZlhqbGVhbG41L1k2MWU3WXFPUWlwNlJUWS9tY0JVa1Ixem56azJSWURRVjlrZDIzQTd1SFk3YWU5Yjg4SFBGNjNjMnJKQ244UGdGM1FFTUh4cFMxT1VPU2xIdXhLN3oyMk03dGRWcjdvWlhLdnlKYmt0VHp6SUFreVo0ZStoWFgrVVN2WEpzeWxGTGlqUGx2QkFDSmprQUhuR08rVWIreUw4clVxbmVXeU9Ld3FPeW1RaDM1WHF0R0dzYVVVK3RTMjhQZG1taWRWTTFYTjRhN0lQTXV6OVpZODZSeWFqS2pubWRMczZuMmF4dGxjWVM2STVPTG5CRmowcnpEZm1XdVQ1TXpQekpRR2RaUXQrdndvYkZ6V2s4ODA4SE9NeEJxYVp2cTlzaXdLR3FzV3NIVk9YSmsyT1R1OVVaMEkwdFN5NFB0U2x1ZHFyekxzdFQzd2xERXVaNi9EQ2pnRHFqMHBzSUYxelN0K1lGMlZiNi9uRUFINEJXTFFBZWNZNjZxZEIzY2NVeGRUL1ZGSEIvWUZka0N0ZXVXZzNHZk1YdlYrK2t3SjRXQzArd3hhOE1IUjlYeGVHL0VzZWxXdE1Xb0o1YlpOYzNzWnAzTjRyQ282ZjQyMmRKdHlyc3NTNUkwdUdkRUhZLzNhdFBISzZLdU40T21PcC9vVlU2dFMrbXJVK2V0QlFBdU5BUTZZSkdzL1A5S2xGTzk4Qll1U1JyWU02TFduNFZtdFk2M1RHcnY1eHZDNTJhSHFzdStkMUhjNTd6d29YM252Sjc1VE5mbjd2Rm8xMjJIZE9XOTFlRXUxK2ZldHpmaTJzd042U3ErUGw4ajlXUEt1eXhMdmhHZmp2M2d1SXF1ejVOclUwYlVzL3RmR3BabjBLZXEyMG9panJ0N1BPSHZmU08rMEd0TDlJUVFTVEppSHdhQVZ3UUNIYkFJTXRlbkthMHNXWTRzeC93WG4yUjFXcFEyNkpPcktsMlNsTExDcWRvZEcrWHU4K3JRWFkxUjExdnNDMDhvNTZLZWwyODVHSjY0TU4wYTU4eFBVdFcvcmxud002WG9mUmE3LzlRZi9yN3J5VDUxUFJscVNheDRUMW40dUcvVUo1blNTTU9Za2d0UGRTM3Z1dTFRK1B1V24zYW81YWNkb1JuQWY3c2lmTnc4MmVWcnhBbDZBUEJLUUtBREZzSG1UNjJWR1REMTdIdjN6SC94U1ZmZFZ5TlhWWG80UUZuc2x2Q0VnRmhtdDNvdGRqMmJQMUVwTTJCcTkrMkhWWFZyaFp4NURobFdJenllYjNaUWkvZGVzeWQxeERQZU9obit2dmcxK1pJcE5kNTdRa25aRG1WdENiWGlYWGx2ZGZpOTFuNWdwZkl1ejVJTXFmZlp3ZkM5L3Nud1NQM1RBQUFnQUVsRVFWVFE4aXVXSkpiZEJQREtSYUFERnRtNm0xZUZ4NG5GRW10TTNFTE1OYTV0ZHJnNkYvWE1uSFRoekhORXpYS2REbXFlQWE4T2ZxMVJOVi9aR0o0VXNlZlQ5ZUY3NXdxcE00MGZuNHA0WFh4RHZrWWJKOVIwWDF0b2lSVGoxTVFQU1pKbDF1dVQzUDJoYnRucEdhOEE4RXJFYnpoZ2tSMzVia3ZNQlhMUDFseWhiUzdudXA3a0ltZDR2SngwcW1zenVUQXBmR3ptZVduKzJ1T0YxUlUzRm1qdkhRMGFiNTFVMnFxVUJkVTMzaEpxNmV0OWJsREpSVTZDSFlCWEpINnpBWXVzOGgvTGxiUE5GZmU4dTl1anZYYzB4RDBmenhVLzJCcjMzRnpkc2VlNm50bDd5czVldG1SYVVvNGpZcmJ1ZExkdHhIdkhHUzg0elhseS9KeG55S2UwVmZGclNpbHloaFpMVm1nMmIwcUpVOTEvN0ZmSkRmbXlwOXUwL3FPcmxiN0FRQWljTjlNci9ERGNFMmVBUUFjc3NhUWN1elovc2xMK3lZQ3NTWmFZM1lheEJOeW50OS9xWXRRVGNBZmpkaGZQWHJaazArMlY0ZkY0VW1TMzdVSk56MnExcDFtanprMjBUcXFsZFZJRGRTUGFkSHVsMW13djFWampoSVlQajJuMXUxYW8rWUgyOExXNUY3czB1SGRFQVhkQUtTdVNUNnNHdkRMTS9rTkVDaTJPYlZnTWpUVk42TWgzV3JUcFUydWp0cXM3SGJNWDRaNlRLZFgvUjdOa1NPcyt0RExpajUrbEVQU2IydnZaK3RCaTR5dERmL3hNNy9JeS9YbUc5by9xMEYyTnV2UTdXOEl0Mys0ZVQ5UWk0emcvQ0hUQUlqdjIzOGQxN0wvbjNsZDAyc1piMWloN2ErVFNJa0ZmN0Uza3ozVDdxck90UnpxNU8wV2JXOTVSWDFUMzZPeGxTODVXeCs5Nk5OWXlLYXZUb3VFRFkzSmsyWlcrT2xWQlgxRERCOGZDNitsMVBONHJXNnBOdVJlN1pIVmE1QnZ6NjhqM1dwVlM3RlRocS9JaUFwMGs5Yjg0cE1sMnQ3YisyL3F6cmhHSko5WWZJcGZjczFtT0RMdWFIMmhYVWw0b2xMaG5iRWxuc1JweVpFWHZudUtPczIyZEpIa0dmVExzc2NOWlJGZzBwUHlyc25Ya095MDZjT2N4VmQyNlJwNUJuL1o4cGo3bXZiTmRkVitOZ241VDN1SFkreHUzM044VzNqWnZ2dWRJb2JEbTZmZEd6Q3B2L1o4T0RlNGQwVVdmWDZlazdPaWdPOVhsMXA3UE5xaml2V1hLdnpJN2FwZVlhYzMzdDBmTWJsOUlQWmdmZ1E1WVpQTk5RcEJDTFYzUGZ5QzZtOVF6NkF1TmR6TkNnYVhrdGZteXBkcFVmRU8rVnM5WW1tTzI1Z2ZhWlV1Ti9lTjlKdlY0UjN4cWY2UkhBN3RENGFsMzU2RFNWcWFvNkxxOGVJK1lsN3N2K2orQ3NZN1pYWFpOZGJvVjlKdEtXNVdpOHJjVXliQVpHdG83cXNQZmJKTFZhVlgrbGRuS3V6eGJycXAwR1ZaRDdqNnZEbitqVWY0SnY3WjhlcTBzdHVoZzZSdjF5NUVkL1I5bm5IdGJ0MjUxU2RMZXZYdUg1N3YyZkpwdVBldCt1bDhuZnQwbFI0WmRuYi92MVZqamhLVG94YlpUeTVKVi9hVU5VYytaYTFIdWd6dU94VDAzTzZ6azFMcTA0Vi9XcVA3dUpwMTRxRnNyMzFFeTc2endtV3RGVHJST2F0OFhqOFM4N3BKdmJkYktkNFJtZkFkOXB2YmQwYURpMSthcjRPcWNtTmYzL0xsZnJrMFo4Zzc1SklWQzRzcTNGMnYwNkxqcTcyN1dscyt1amJnKzRBbXE0ZHN0U2lsMkt2ZmkwSkNPZUVNL0x2N0dKcFc4TmovOHV2ZTVJYlU5MUtVdG4xbkxHTmV6d0wvYy85L2VuWWUzVmQ3NUF2K2VvNlBGbG1YSmxpMTV0eE52U1p6RlM4SVM5bEpLVzdpVWxyWXpuUTViS2QxN3ArWFNVcm9CTFYwWUdOcHBwNVRTS2FVTXBRd2xaWmt5WlNrbFFDaUJ4RTVDOXRpT2Q4dXlMTm55cHYyYys0Y3MyYklXS3lHSkxQTDlQRStleHpvNk9ucnRXUEpYNy9KN2lVNnlhTUhiRkVMKytFK3lQcWNmYi8vZ0NIUm1EZFovcWdFSGZ0S044YmNuWVQzZkRPdjVabmdkL25DeFhGR0l6bFZUZ2dya29JS1NDNHZnRy9mRDYvQkJYNWtUTTN4elBPMFIxU0pzZjNQQXNGS1A4ZzlZWU41WUFHMmhHaDZiTiswNWRBQ1FVNktMemc5S05WZHVJY3Ztd3VnZXJRc1ZiakJpelZkcllWcHJnQmpwQVZHQWthMWo2SDFzQ0tKR3hOcGI2cU5EcWxLdUNzNTJOOHh0NFRsNGsxMHpLTHZrK0FNcHBVK1NwR1pabGw5b2FXbDVFY0FXdFZyOTlGdHZ2ZVhNZExzaVJsOTN3WHFlR1RNREh2VCs5eEFhUGxNTnk3bnpRV2Rtd0lQZHR4MktCcFZFRWcydEpodHlUYlNTdlAyV0E2ajVlQm5NYlNhcy8yNGo5SlU1RUZSQzlMSEI2U0IyZkhVZk52MWtMYVM4K1QvZG1wNzU4ajZHV24xMGJ1M2ZiOWlOdXV1cVlEa3YvTm9KdjBiQ0gyQmNIVzdJUVFYVzg4d0poNE05SXo2NGRyc0JCZEVQY1FDdzZhZnJzT3JMSzdIbnRrTnc3WjZFYWtFcG9ON0hoeER5aExEK3RzYm8rODNHZTljQ0FKeHZqYVBuc2FIb2JhMVpFek5QTURnZGhLWkFqZnlHdkdRL1hrb0RBeDNSU1hiMDk0Tnh3MzNwVUdsRnFQTWtyUDdLU2toNkNTMC9XSVBCWjBmUS82ZGgrTWNEa0FNS0ZEbnhjR3lFb1ZhUERkOXRmTWZ0a1hKVk9QUG42eUhwWStldXBTcTNrbWpycjdNZmFJWktGMzZ6VC9jUFhWSUNVTGhvNTR1K0xjTVllR1lFQlJ1TXFQOTBGVFRHK1I2NDZvK1ZvZStQdytoOWZBaUNKQ0MvVnM5QWQycXBCVUg0SUlBUEJvUEJCMXBiVzdjcWl2S0VKRWxQN2RpeFl5UlRqZkxhZlpnOE1vMmFqNVhod0UrN1lhalBRLzRxdy93d3FnSWMrVlV2OU9VNUtENjdFTjR4UDdRRjZyanBCTWwrYjlQOWZmYll2TkdhaVpFNWF3c3BTcmdYVEVuMWtoY3cvK0VHQU1SRnQrZU12VFdPM0lxY3BIUDdCcDRaZ2ZVOE0rby9YWjNnWGpYYTdtNkN4cVRHK051VDBhTlZWNWFpL0gyV21OZGNaRWhabXV0MWk5eFdaQVhla2ZrUGxWTTlNOGdwMGNWOU9GeThrSXBTWTZBak9ra0VVVUQ1QjZ5d25GTUlmVlhxaWZkS1VFSGZuNGFSczJBeXNaUW5ZZjEzRzZQRGhkcENOV3F2cm94L2JFaUp2c2tMQXNMMTJSTHNpdkNPMjZPUFg0aHd2UE5iTnQ3ZEJHMkN5ZVk2aXpiNktkN1VaTUQ2YnpmRW5aTksxWWRMWVZ4dGlGbDhFVkY2Y1RGS0wyYUFXeVpVQUM0V0JPSGlVQ2gwWDJ0cjZ6WkJFTFlBZUxLOXZiMy9WRFprNUJVblRHc01DSGxsYU0wYXpQUjdrZzZoN3J3NXZETkpvZzhqYTIrcGoxc01zUE9tZlFtUGUrMitsRU94Zm5mOFBMamdkRGpzQlNhRDBROXlLbTM4YTNJcElVOEl6ZzQzS3E4c1NYeS9UNGF6ZlFLci8yVmxUTURTRm1uZ0cvTW5ES2lMNS9NdXRSQWtPQk5LZUozRng5Wi91NEc5ZHNlQWdZN29aQkdBRlo4b1gvbzhBSUlrb09iajhlY21tdnNWOTFpVmtGNlZneFBRbmhNbDJTbzRRU1ZFUDhXckRSTFVobU43TXhkVVFzSXdSOHVhQU9BOFJWSE9BL0RUbHBhV3R3UkIyQ0lJd3BiMjl2YnVrLzNrN2dOVHlHL1FvMkI5Zm5RT1ppcUxheWdxSVFYcmJxMC9wbTMxdEdZTjF0MGEzbmtsMGZPOTllVzlTUis3c09lNzZzT2xNYThsdnpzUTg5aXVCL3ZSOVdBL1JFbkE1Z2ZEdTZxTXZPS0VFbEl3OUt3ZE9yTUdnaVRBM0dxS0RvR3F0Q0lhUDF1RGZUK09EWnpOZDZ5SzZWMVA1bGlLcENkYmRCVlpXRVhIaG9HT2lPajQzTmJhMm5wYnBodVJEV1E1L1JJN2dpQ2NBZUFNUlZIdWFtMXQzU01Jd2haRlVaN282T2hJYjdubk1hcitXQm4yLzFzWFN0OW5nYTVJZzUwMzc0ZDNOUFVjMDRVOE5pLzIvaWg1YjF1cW5yaldINjVPV0RibnJQczN4TnhXUWdyMjNkV0ptWDRQTnQ3VEZKMURKNm9Gak8yWW4rT21Oa2pSc05WK3l3RlVYMVdHb2pOTWMxMzM0YUZPMnd1anNKeFRpSkd0WTVpMWVUSDByQjJWVjVhaTRqSnI5RHFGclVhYyszQnIzQnpBU0kvZHNaWWJXb3JmSGNEYjN6K0Nocy9XSUw5ZWYwS3ZmVHBob0NNaW9tVkxsbVZGRUU1ZXBWMVRrd0dHbFhyWVhoakZpbitxUVBNZHExTE9UVTFVTGtnUUJaenpVRXZjOFZSMTZGNi9Mdm0reWxKdTdGQnF6eCtHb2lGVGxhT0t1MzloT3hZK2w5b294ZHdlZmMwRnI5T1Bza3N0R05rNkJxMVpnNXFQbCtQb280TXdOUmtTenQxTEpGRU52M2RDQ1FIZVVSL2tCSXZES0gwTWRFUkV4K2VPam82TzJ6UGRpR3l3Y2VQR0MyVlpmam5OMDk4RXNFVVFoRCtkaWlGWEFDaHN6c2ZvNnk2c1VBQlJNemNSOVJnbHEwV1hxZzVkT2thMmptSG9PVHNhYnF6QmtRZDZqL3M2SVc4SXZVOE1vL2lzQXVTV3o0ZTgwdmNXWTJ6bkJBNy9zaGN0MzE4RlVTUEdCTGFGcFlTVXVieDFQSHRQMDhuSFFFZEVhWkVEY3NJVmM4Y3IyZndoT3Uwb0FGNFRCR0dMS0lwUDd0aXhZK0JVTjBCVHFJRi9Jb0R4dlpOcGw5TlpTSkdWcEFzcFVnMjVMc1c1Y3dMZER3Mmc4ditVb0dCRC9qRS9QdVNWNGRydGhtZkVoOEJFQU1HWklLby9VaFo3a2dEVTMxQ0ZqbHNQb3ZlUHcxajV5WXFZd0xidzU3SHUxbm9BcVJkREhjOGUwNUdldVhUbURGTnlESFJFR2VTMSs3RG56aU00OCtmclR1cnpCTndCOUQ0K0RPc0Y1clJXalVYS2h5eDg0ejcwaXg1SU9TbzBmTGJtdUI2L1VOZEQvUWg1WkRSK2Z1bHJKUktZQ21MNCtWRlVYRzZGU25mc0svMG80MElBWGdid2hGcXRmdXJOTjkrMFo2SVIwNzJ6Q0hwQ2NPNllnTWFvaG1tTkFXY3NlQzBPL1dVVWxzMkZVQnZuLzFRZWZXUXc1bmRPVTZCQjNmVlZLTG1vS09iYWs1M1RHSDNOaGVxUGxrR2RILytuZHVUbHNaUUxLVWIvN2tMbkEzMG9PdE9FNnF2S0VKZ09MdjBOS2NCMHp5eGNlOEk3UXZROE9naEJFcUF0REs5UXJiamNtbkJCa3M2aVJjWGxWdlEvWlVQUkdRWFIxMjJ5T1hUdmlCSmU1YnFRenhYdUJVeTBDd2VsajRHT0tJTVVXVUZnUVltQzBiKzdjT1QrM2lVZkYzbkRIWGg2QkgxYmhtUHVNNjNOeDlxdjE4VWNHL2dmT3h4dnVCQ1lEbUxOY1pRQmtQM2hiYllxcjBoYzZ1Qlk2U3R5MFAzd0FJbzJtV0RlbUx4WWF6SStoeCtEZjdiRDd3Nmcvb1pFdGJKb0dmSURlQkhBRmttU25sa09oWVhIZGt6QXVYTUNVcTRLdGRkV3dmNmFFK2FOSnJSL2JUOWE3bHlOeVNQVG1PcWN4cnB2TmtCUUNaZ2Q5RURLVVVGam1nOGVzbDhPMTE1VHdnV3J1eC9xeDVxYmF0SDFZRCtVa0FLdnd4Y1g2SUt6SWZpYy91aXEwUmdLTVBDTURYMS9zcUZvb3drTm42bEpld1RZc1gwY2gzL1pBMUVqd3R4bVF0RW1Fd3dOZWRoNzV4SG9MSnFVcjkrS3k2MXd2T0hDN0tCbnlZVUp4OUlMcDRTVXVkMG1nQVAzZG1QeXlIVGNhMzd5MERRa3ZRUmRNZmVBZlNjWTZJaVdFWE9MTVdGSmdLSG5Sekh5dHpFSUtpSG1UYm4wNHFMd0tyYkllYytOUm91VFJzd09lMkYvellsMTMyekEvbnU3NFhoakhNVm54Mi85TmQwemk5d0tYZUpDcERzbklQdGxtRnZqU3d5a1kvRW5lK05xQTNRV0xUd2p2dmhpb3NWYWlKSVEzUWc4RVZXT0NIT2JFZE5IWnpFejRFazRWS00ycXBOT0hxZFRLeGdNN2xhcFZKYjI5dmFsTnhNOWhhbytYSXE2NjZzZzZWVVllM01jdlk4UG9XaVRLZndhRWdXcyt0Sks3UDdPUVV4MXpTQTRHNEtpQUs3ZGJndzhNNExLRDRWZmgvWlh4ekN5MVluQ0ZpTmtYeWk4d3dLQXBwdnJjUERuUjdIM0IwZlFlbGNUZE1VYWRQOXVBRDZYSDdYWFZzTDJrZ01obnh5M2haL3RidzcwYmJIQmVyNFpkZGRYSGRPMEJFTzlIcXUrdUFJRnpjYm9MZzdCMlJDTWF3d291NlE0WlpGZVVTMmkrZnVyWTNaL2lGS0FzUjNqMFJXNTZaUXQ4WThIY1BEblJ6SFQ1NEVja0tPdnhZb3JTcEJmcjRkejV3UUVsWURnVEJDMmx4eVEvVEw2bjdTaC9ESXJJQXFRY2xVSjYybFNjZ3gwUk11SUtrZUZuSno1RUJLY0NhSHoxNzF3ZHJpUlY1T0wraHVyb2ErY0wzTWc1VW13L1cwTXdabFF0TWFjZXNHMlFFcEl3Wkg3ZTFIeFFTc01kWHJVWGxPSnJ0LzJRMStWRXpNeEdnQjIzM1lvNllvOCt5dE9hT2FxNHljYmRsRWIxUWpPaEtBRTVlaEU2c2k1eVNaUjl6NCtoTjdIaDJLT3RkeTVHdnFxSEl4dEgwZlhRMHZYbU4zMXJjVFZMT3F1cTBMSmU0b1Mza2VuMW5MYnd6VkNsSVRvM3FIREx6cFFmRlpoekFJR2JXRjRWd1FwVjRYT1gvZEJEc2lvdmJZU2gvNmpCd1hOK2RCWDVzRCttZ3VXY3dyamV0RzBaZzNXZjZzQjdvUFQwQldIaDFhbisyWVI4b1NnTGRTZzl1cEtITDYvRjZiVkJoUXUrS0JVY2xFUkpMMkU0ck1Lb01nS1pvZThVR25GOEs0TUF1SURsNHpvYyt1S05ORTZqaEZTcmdvTm4wbXZGenZtMm5NTGZaMGRiamplNk1GTXZ3Y2JiZy92T3BOTzJSS05TUTJ0V1lPaU13cGdYSjJIdktyY21KL1JXZmR2UUhBNmlBUDNka05SZ0txclNqSDR6QWpzcjQ2aDVoOHI0a3EzME5JWTZJZ3l3RHZtaHhLSUR6NEwzeWludW1adzZMNGVCQ1lDcVA1b0dTb3VzeWI4dEQ0ejRJRm1ia2duT0IxRVR0bmNOUlNnOHovN0lPbFYwVjY5NHJNS01IbDRHdnZ2N3NTNld4dVNGdmhkZkgzM3dTa0FxVmUzMVYxWGhhSG5SMk1DWCtUOHlCQnhjQ2FJOW04Y1JPSDZmTlRmR1A0am84Z0tGRG41aE9qSVl6MDJiOXdma3BsK0Q2WjdabUc5SUhhRDhlT1ptRTJuTC9mQktVejN6S0x4OHlzZ3FnV0lhaEd1OWdtWTFvYUxWTS8weldKODd5UXFMcmZDM0daQzQrZHFvSy9JZ2YxVkozeE9mL1NEZzlvZ0FRSmdmOVVaSGJiVUZXdmdzWGt4M1R1TDZhT3pLSjNiYnE1NGN5RWMyOGN4TStDSkNYU0NLS0Q0ckhBUHVpQUkySDNiSWNoK09ielR5NlVXQ0NvQmNrQUdsTGxkSDlvbm9ET25YOVE0WFJOenIvbmUveDZDb1U2UE5UZlZRc3FKNy9GV2dncUV1ZGZ1VEw4bitqMUFBRlo5Y1VYaWl5dUFZN3NMUFk4TlFmWXJhUHAvdFREVTZXRTlweEJIL3pDRXcvZjF3UDZxRTNXZnFvb0xxSlFjQXgxUkJoejhhWGYwelE5WUZId1VZT2c1TzNvZkgwWmVUUzZhYnE1RGJsbnlUOFNCaVFEMEZlSDdBNU5CR09vbFFBRzYvMnNBMDcyejRlMnpGbVNsbGY5Y0FaL0xqejNmTzR6R0w2eFljbWVGb2Y4TnoxZGY5Y1VWS0RwemZxalcyVDZCZy85K0ZHZitZbjIwbHlQeWg4MjVjd0lIZjNZMGJsRkU5OE9EVUtrRnJMeDZmcGpKOXFJRFE4K1BvdVg3cXlEcDU5K1NKTDBxR3VDOERqODZiajBJNDZvODFQeGplYlJlbG11M0czMWJodU1DWFU2cEx1RldaVVNKR0ZjYjBITG42bWhQV3VXSFN0RDcrQkRrMzRlN3FRUkpRSDVESHF6bmhYL1BJcThEblVXTDZvK1ZRVnM0dDJkcG5vU3FENWZpNkNPRENIbGpwejZJR2hHbWRmbW8rdEQ4bEluVlgxbVplbGhSQURiL1p6T1VrQkxkMHUvSUE3MFkzZWFLbnFMU3FhSWZqazRralZHTm5GSWRhajVlQm5OYmVGcEhvdDc1N2tjR01QTHlHRVMxR0o1UFdLQk91SzFmeE9nMkYvcWZzc0U3NmtOaHN4RzExMVpDT3hkSTFVWTFHajlYZzZKTkpuUTkySSszN3ppTWpmYzJuZERWOWU5bURIUkVHZEJ5NTJvQThhdEJRejRaaDMvUkE5ZHVONndYbUZIK2Zpc0VJZjZOVkoydmpnWVd2enNBZFg1NGtuWmdPZ2dwVjRVRFArbUdaOFNMMm11ckVKZ01JakFadTBLdStxb3k5RHcyaEgzLzJva04zMm1Fb1M3eEpHaVB6UXZIRytNQUFLOHp0czZXZnlJQVFSSmlobmdqWEx2aXAwcU5iQjNEMkk1eHJQOTJRM1NWb05mdVE5K1dZWmczRnNTRU9TRDhSelA2aDdOWWc2YXYxYUhuMFVIc3Z1MFFTdDlUak5wcks2SElDc1FFdlphcDV2Z1FBVURENTJwaUZqY3NuSUpRZVVWSldndUFUR3NNTUsySi9VQlVkV1VwcXE0c1Rhc05DOE5jcWxJZ0Mzdm1hNitwUXZWSHl3RTVIUEkwUm5XMGgreFlMTFVQYzI2NURtMC9YaFB6WVRBU1dCY3F2YmdZZWRXNWtJTUtCQkVvYkRhbW5QZW5zMmhncU5XajhYTTFTZDkzekcwbUdHcjFtT21iWlpnN0JneDBSTXVJMytXUFRxcTJ2K0tFL1pYRUN3RnJyNjZNRHQzNDNjRm9EMWxnTXZ5MW9VNlAraHVyRTFhMWoxajNyUVpZenl0TStxWUtBTU12T0tBcFVFTmZtWU9aUGsvTWZaNWhMM0tzMnJpNVF5R3ZqTEVkNFJBNC92WWtDdGJudzdGOUhOMFBEOEM0eW9EcG83Tnc3NTlDMEJPQ2E1Y2I2bncxYXErT25SaSswT1NSYVFEaGl2N04zMThGMjR1T2FOMHEyYTlBVERTSm0yZ0psczJGbVc3Q2NWSHB4TVNyWTArR1JhOXR0U0UrME9rcmMyTG05UzRsdnlFdnJkSkpHcE1hR3RQeExjSTZYVEhRRVMwak9hVTZuUHR3SzBhM09kSC8xQWcyM3RNRUphamc3emZ1eHRwdjFNUFltSWZ0bjk4VERUR3lYMGJJRThMQm54Mk5YdVBBVDdyUjlMVTZxQTFTOUZQNDhBdWowQlJvVUxScGJ1aGt4QWZQc0RkbUNEV1J5aXRLVU5oaXhPeHdlTTlIS0lpK3lVOTJ6Y0N3TWo0TTJsOGRnNlNYRVBMNjBmMWZBekMzbXVCMStLQ0VGTXowelNMZ0RrREtrK0ErTkFVcFI0WDEzMm1FS2tlRnZpMDI1TmVITjBsZmFQUjFGMFplSGtOK1F4NnFyeXBGMmFXVzZIM0JtU0JYc2hJUkFlQkhXNkpsYUhTYkt6cHZaV2JBQTBWV29KOHJHUkR5eXRGUDZJSWtvTzJ1TlRIL05FWTFSSTJJSXcvMFl1QnBHNEJ3QVZYN3EvTzlmZlpYeDlEMTIzNHN0VWVtcGtDTmd2WDVNTGNhNFhjSE1MRi9FZ0RnYy9veDNUc0wwN3JZOENYN1pReisyUTdMdWVIZWovWGZic0Q0M2tsVWZiZ1Vaei9RakROL3NSNGJibStFcUJhZzBvcFljMU10Y3N0MUdOc3hnWUduYmZEWTR6ZEZyN3UrQ2h1KzJ3aEJCUGIrcUJPdWp2bmhYSjhyQUkySms2YUppQmpvaUpZQkphUkU1NTFOSHA2Rys5QjB0UEw4K050dTZDdHpJT2xWa1AweWxKQVNuWU1XMll3N3AxU0huQklkMVBscUtMSUNsVnFFeHFqRzZOL0RRNThGNi9JeGVXZ0tTakE4eWR1NWN5SmN2eTVCbnBNRGNuVFlOMEpuMGNMWW1JZWg1MFlCQUNOYm5WRHBWQ2hzaVIwUzZYOXFCQkNBb2pQQ1BYOGFveHJOMzFzRmZXVU9WRm9SL29rQTl2NmdFOU05czFqNzlYcmtOK1JodW04V25RLzBvbmh6SWNybWhwRVhNOVRwc2U2YkRWajc5YnFZNTV6cG40MHJ2MEpFZERyaWtDdlJNdEIreXdISUFSbHRhNXJRK1dBL3JCZVlrVk9pQlJUQS9wb3J1cm91NUEzUEhWUGxoRCtMVGV5YnhHVG5ES2E2WnpEVk5RUExlV2JJQVFXaVJrRFJwZ0lNUG12SDdLQUh4bFVHaEh3eXBvN09RTkpMOEl6NFVIL2ovQndpSlJRT2VnUFBqTUMxWnhLaFJjV0pBYUR5eWxMc3U2c1R0cGNjR0g3ZWp0TDNXdUpxWXJsMnUxRjFaV2xNQ1pMSTE4NE9ON3ArMHdkdG9RWWJibXNNRnhhMmViSC83cTd3bkw4YnFtS3VsVzdwa1pHdFl4alpPaFozWE1xVGNOWjk2OU82QmhGUnRtT2dJOG9BejRnUG85dWNzTC9taE5vZ3dYcStHU1VYRmVId2ZUMVFnakpxL2lGY0pOaXhmUncrbHgvVzg4T0JMcklMUktTSHJ2L0pFY2dCR2FZMUJwUzhweGpHQmoxc0x6b2dha1RrbG11aHpwZmdiSjlBNVlkS29TdlNZS3A3QnNHWkVIUVdMZklYTElhSTlNZzV0bytqNUtJaUZHMHlZZStQWWpjVk56VVpZRG0zRU4yL0c0Q21RSTJLeTYxeDM5ZktUMWJBdE1ZQXo4ajhxbHovZUFEZER3L0F0Y3VOOHZkYlVQWFJNb2lTZ09uZVdleS9wd3Nhb3hxcnYxSWJ0NW90MVVwVjMzZ0FoMzUyRkNxZENrMWZxNE9RWUt5QlZlYUo2SFRDUUVlVUFZZCtmaFIrZHdBVkg3U2k5TDNGa0lNS0R0L1hnNm51Y04wNEtWZUY0R3dJUFk4Tm91U2lvdWltMWNIWmNQbVJ5RUtBZGQrc2p5a1JJQWVWOEpDclZnUUV3SHBCRWFTNXNpSWJibXVFT2wrTkhWL2RCK3VGNXBqaFZrT2RIb1hOUnF6NFJEbHlTblVKNjAzSkFSbXlmNjU4dkJ3dXRtcGNIVnV5SVZGTk8wRVNvTWdLTnR6UmlMenFjUDA0eHhzdWRQNm1IeHFUR3JORFh0aTNqc1VzZGdDU1Y2TjNINXhDNXdOOVVPUnc2WlFEUCtsRythVVdXTTQzSjk2MmlJam9OTUJBUjVRQmpaK3ZnYzZpamU2dDJMZGxDTE9ESHF6N1pqMXl5M1ZRWkFXSGY5a0xRUWpYakl2d09jTjdtMGJLbEN5dTl4U2NDZ2MrY2E0SHIrWmo4NDlWRzlXWTJEOEYzN2dmbG5OakMvRnFqR3FzdWFrMmFYdG5Canc0Y244dlBIWWZHajVYQS92V01lejlVU2VLenlwQTVaV2xLUXNmcXcwUzFudzFmTzNBVkJCSEh4bUVZN3NMRlplVm9PWmpaUmo0bnhFYy9mMGdaZ1k4eWZldVZJRHhmWk1ZZnNHQjhUMXU2S3R5c1BZYjlSQkVZUERQZGh6OXd5RDYvalNNMG91TFVYYXBKZnJ6SVNJNlhmQmRqeWdESXB0Y1IxUmZWWXFLeTYxUUd5UW9RUVdIZjlVTDkvNUpyTDIxQWM2ZEU5Rks4Y1BQalVKZmxST3p5ZlpVMTB4NDgrczhDZmF0WTlBV2FiRG45a09ZSFVxODV5b0E3THhwWC9UclZBVkdBMU5CRER3ekF0dGZIY2dwMGFMNWpsWElMZGVoK0t3Q0RQMWxGQU5QMmVCNGN4eW1wbnlVWDFxTWdnMko2MGFGdkRKc0x6a3crRDhqa1BRcXJQdEdmYlIzci9LS0VtaU1hblErMkFldnc0L1YvN0lTVW80S25oRXZwcnBuTVhGZ0N1TjczQWhNQmFFcFVHUGwxWlVvZlU5Uk5QalZmYW9LbFZlV1l2RFpFUXo5cngxRHo0Mmk1QUl6eWo5b2pWYWdKeUo2dDJPZ0kxb0dSSTBZRFdtMmx4eHdkYml4NnNzcmtWK3ZoLzNWc1dpQllXMmhHbzFmaU4wZmNiSnJCajJQRGdJSTk0YlZmN29hdVJVNVVJTHlPMjdYNkd0T2pMdzhocW9yUzFCeFdVbTBJcjBnQ3FpNHpBckxPWVVZL0xNZG82ODdJZW1UVjhjL2NHOFhaZ1k4S1ArZ0ZlVWZzTVRObDdOZVlJWktKOEwya2dPQ1NrRElMK1BRTDhJYmdxdHlWQ2hZbjQvaXN3cVNWcUhYRnFwUmUzVWxLaTZ6WXVDcEVkaitOZ2JKSUtWZHNaK0lLTnR4MWpCUkNxMnRyUXF3OURZNUo1SWlLNWdkOUVKZnRhQVhUd212UkUyNnhjOVM5eDlyRzRJS1BDTmU1SmJuSURBWmdOcW9UbjErU0lrSldpRnZDT043cDZLRmpMMmpQcWp6cGVoaWp1UVhRdlJkeWVmMHcrY0t3TEF5TitWV1FvbDRSMzNRRkdwaVZ0dWVLUDFQMnREL3BBMEE3dWpvNkxqOWhEOEJIWk5NdkVacGVZdXNrTy9vNkRpdE1nNTc2SWlXR1VFVVlzTWNFTjZZTzFVNFdlcitZMjJESkVTSGhaY0tjMEQ4WEQ2VlRoVU5jMEM0amwxNlR6ei9wZGFzT2U0aDA3U2ZqNGpvWFlKTHdvaUlpSWl5SEFNZEVSRVJVWmJqa0NzUkVXVzlkSGNXSVhxM1lnOGRFUkZsTFVWUnRtYTZEYlQ4bkk2L0YreWhJeUtpckxWcjE2NkxNdDJHNWFDbHBlVW1VUlR2YjI5dm44MTBXeWd6MkVOSFJFU1U1UVJCdUU1UmxFc3ozUTdLSEFZNklpS2lMTmJjM0Z3UFlCMkFxekxkRnNvY0Jqb2lJcUlzSm9yaTkrYSsvR1JkWFIyTE1KNm1HT2lJaUlpeW1DQUlMWkd2VFNiVHhabHNDMlVPQXgwUkVWR1dhbWxwcVZZVXBURnlXNVpsRHJ1ZXBoam9pSWlJc3BRZ0NCOVpkT2hERjE1NElTdFluSVlZNklpSWlMS1VvaWlMZStUTWJyZjdnb3cwaGpLS2dZNklpQ2dMdGJXMWxRcUNzRG5CWFJ4MlBRMHgwQkVSRVdXbkR3TVFGaDhVQk9IRDROLzMwdzcvdzRtSWlMSlFndUhXaUpLMnRyWkVQWGYwTHNhSmswUnBHSHRyUE5OTm9HWEN1V01pMDAwZ1FsdGJXNUdpS0VubnlzMkZ2VzJuc0VtVVlReDBSR2s0OUI4OW1XNENMVDlLcGh0QXB5OVpsajhrQ0lJcXhTa2ZBWEFUK0h0NjJtQ2dJMHJ0eXdBdXpIUWphTm1aRWdUaGtVdzNnazVmZ2lBc3RmQ2hxcm01ZWVQdTNidDNuSklHVWNiRlRhWWtJaUtpNWF1NXVka2tpbUk2ODBEK3RhT2o0NWFUM2lCYUZyZ29nb2lJS0lzSWduQkZtcWQrRk95NE9XM3dQNXFJaUNpTGJkeTQ4VUpabGw4RzhFcEhSOGVGbVc0UFpRWjc2SWlJaUlpeUhBTWRFUkVSVVpaam9DTWlJaUxLY2d4MFJFUkVSRm1PZ1k2SWlJZ295ekhRRVJFUkVXVTVCam9pSWlLaUxNZEFSMFJFUkpUbEdPaUlpSWlJc2h3REhSRVJFVkdXWTZBaklpSWl5bklNZEVSRVJFUlpqb0dPaUlpSUtNc3gwQkVSRVJGbE9RWTZJaHpmNDZrQUFCRnZTVVJCVkNJaW9pekhRRWRFUkVTVTVSam9pSWlJaUxJY0F4MFJFUkZSbG1PZ0l5SWlJc3B5REhSRVJFUkVXWTZCam9pSWlDakxNZEFSRVJFUlpUa0dPaUlpSXFJc3gwQkhSRVJFbE9VWTZJaUlpSWl5SEFNZEVSRVJVWlpqb0NNaUlpTEtjZ3gwUkVSRVJGbU9nWTZJaUlnb3l6SFFFUkVSRVdVNUJqb2lJaUtpTE1kQVIwUkVSSlRsR09pSWlJaUlzaHdESFJFUkVWR1dZNkFqSWlJaXluSU1kRVJFUkVSWmpvR09pSWlJS01zeDBCRVJFUkZsT1FZNklpSWlvaXduWmJvQlJNdFpTMHZMbTRJZ25KSHBkdEN5TUEzZ0V4MGRIWC9PZEVPSWlCWmpEeDFSQ2d4enRFQWVnTnN6M1FnaW9rVFlRMGVVaG5NZmJzMTBFeWlEK3ArMG9mOUpHd0N3ZDQ2SWxpWDIwQkVSRVJGbE9RWTZJaUlpb2l6SFFFZEVSRVNVNVJqb2lJaUlpTEljQXgwUkVSRlJsbU9nSXlJaUlzcHlESFJFUkVSRVdZNkJqb2lJaUNqTE1kQVJFUkVSWlRrR09pSWlJcUlzeDBCSFJFUkVsT1c0bHl2UnlhUUFTa2lCSEZRZ0IyVElBUmtocjR5UU40U1FSMFp3Sm9qZ1RBaUJ5UUQ4RTBISWZobjFOMWFmc3JiMVBEWUVUWUVhNWUrM3ZLTkxqV3dkdzhUZVNaUmZab1ZocGY0RU5UQTlSMzgvQ0hPckVjYlZCZ1JuUTJrOVJzcFZuZVJXRVJHZFdneDBSQ2ZCNjlmdGdxSW9nSkw4SEZFdFFxV2IrNWVqZ3BRYi9oZHdCNkEycWdHRXcrRHIxKytDcEZjQmdwRHlPWldRQWttdndxWjcxNmJYU0FHUWd6SjYvakNJM0hJZEN0YmxwL3Z0eFhEdGNxUDdvUUZBQVB3VFFheTl0UjZpbExpdGNsQ0JmeUtROEw2ZVJ3Ymc3SEF2K1h6blB0d2EvVHJrRGNIMmtnT0ZMVVlvSVFYYlA3Y25yVFl2dkFZUjBic0JBeDNSU2FESUNpb3V0NkxvakFLSWtnQkJFaUdxQllnYUVVcFFnZnZnRkV4cjg2SE9UKzhsS09rbENLclVnVTcySmU2ZENzNkdFSEFuRGxFbEZ4YkJ0Y3NOeHhzdTZJbzBDYy9SRldzaEpBbG9ydDF1SFBxUEhwaldHbEI5VlJuMi9yZ1RSMzdWaThiUDFTUnM3MHp2TFBaODczRENhNTN4Nyt0UTh3L2g3MEVPS05oeit5R1V2ZDhDNjNubWhPY0R3UGplS1lpU0FHTkRYdlJZM2FlcVVOaGlUSGkrMSs3RDIzY2VTWG85SXFKc3hVQkhkSkxvaXJUSXE4bU5PKzZ4ZVhINC9sNnN1N1VleG54RFd0ZGErN1U2Nkt6YWxPZU12ejJKcm9mNjQ0NlBiUjlQZUh5aDBXMHVqRzV6SmJ5djlZZXJrVnVSRTNmYzlwSURSeDhaaEhHMUFhdi83MHFJR2hGcnZySVMrLyt0R3dkKzBvMVZYMW9KbFM1Mm1xNmhWby9OdjJrR0FQejlodDJvdTY0S2x2TUtBWVI3TElGd3o2U3J3dzA1cU1CNm5oazVwYnFrN1hhODdrUmhzeEdDSkVBSmhidERKYjBFelZ3UDUyS2hOSWRraVlpeURRTWQwVW0wN1pxT3BQZnQvVkZud3VOdGQ2MkpDekY3dm5jWUVKY1ljZzNLVU9Va254dTJlSmh4dW1jVzNqRS96RzFHQ0FtdTdUNDRsYkNOd2RrUXVuODNBTWNiTGxqUE42UHUrcXBvYjV4eHRRSHJicTNIZ1h1N3NlZU9RMmo0YkUxc3FCVWl3VzJPdU9qMm5MRzN4cEZia1pNeXpBV21nbkR0bWNTcUw2MUllZzRSMGVtQ2dZN29KR3E3YTAzY01hL0RqLzMzZEtIaE16VXcxTWIzNE9tSzQzdmlObnkzOGJoNzZKTHBmWHdJWG9jZjV0YkV3NU9KakwwNWpxT1BEaUkwRzBMOURkV3dYaEEvSEdxbzFXUERiWTA0OUlzZTdMbmpNTW91dGFEaU1pdlVodlRlYmtLZUVKd2RibFJlV1pMeXZPRVhScUdFRk9TV3hZWSsvN2dmSHBzMzRXTzhEbjlhYlNBaXlqWU1kRVFuVWFvZUpxMVpuZlQrWGQ4NkNPK29Ed0FnaUFJNnZuVndxVFVSVU9aVzFMNXg0MjRBd0tvdnIwVEIrbnhZTHpSSGh6VWpKanVuTWJGL0NnMmZTVHpYRFFDTXF3elkvSnRtaUpLSXljNFo5RDQyaE1uT2FaaWFES2k3dmdvNlMvS0FxYk5vc2VHN2plaC8wb2JCWiswWWVjbUJGZjlVZ2NKV0k5NzY4dDdvZVYwUDlxUHJ3WDZJa29ETkQ3WUFBRVplY1VJSktSaDYxZzZkV1FOQkVtQnVOUUVMbWhueWhHRDdxeVBoY3g5OVpERDFENHFJNkYySWdZN29aSmtMSUl0N2l5SzlSRDVuSU82K1NNQnIrY0hxRTlLRVNFbVV4ZnIrT0F4TmdScDVLM0tUOW1iRlhHY3FDTDg3Z0ZWZldvSEp6aG5zdkhsLzJtM1llSGNUZXY4NGpQeUdQS2dOVXJUWHN2MldBNmkrcWd4Rlo1aWlLM2dWV1lIdGhWRll6aW5FeU5ZeHpOcThHSHJXanNvclMxRnhtVFY2emY0bmJZaEplQWdIMzZJekMxRCtmZ3NNdGVIU0tkdXU2WWdad2c1TUJUSDRaM3ZhYlNjaXloWU1kRVFubUNLSEorZEg1cVcxMzNJZzRYbEhIdWlOTzdaNG5wdkg1a1g3TFFjZzVjVytWSVBUd1hBdHRZVnozMlFGd2RsUXpEVkd0emx4OVBmSmU2dzZiazNjdGtUdEttd3hBa0s0NTY3MFBVVXg5OXRmZFdMd1dYdkNJV2FkVlJzenoyMWhyNlRhS01YY0huM05CYS9UajdKTExSalpPZ2F0V1lPYWo1Zmo2S09ETURVWmtGZVRDOWt2WS9pdkR0Ui91aHBIN3UrZGZ5SUJXUFhGMVBQcDFBWUpLejVSbnRiM1RFU1VUUmpvaUU0d09SQU9kS0ptUG16VjMxZ2RMYitoeUFvQ1UwR284K1pMa2RoZmM2THoxMzFKcjNuV2ZldGpibSs3cGdNYmJtdU1DVU9SOExkUTJhVVdsRjA2WHpRNE9CTkUrOWNQb0dDREVRMmZpUzlnUFBDMERRTlBqMkRUdjYrTG4vTTI5KzJvODZXNGNpdVJjMU1OTVM4bDVBMmg5NGxoRko5VmdOenkrZXVVdnJjWVl6c25jUGlYdldqNS9pcUlHakc4T25aellUVFFiZi9DMndoT0J4TmVOMW1nWmkwNklubzNZYUFqT3NFaXBUR1M3VWJnY3dXdzg2WjlXUGV0QmhnYjh4S2VzMWlpVUxML25pNEkwdndLVVNVb0wzbWRuc2VHb0lRVXJQakgrRjZxd0ZRUVE4ODdZRG5YblBZQ2huY3E1SlhoMnUyR1o4U0h3RVFBd1prZ3FqOVNGbnVTQU5UZlVJV09XdytpOTQvRFdQbkpDbGpQajEyTTBYeGJZN1JuRkFCR1gzZkJ0Y3VObVFFUGNrcDEwSmpVcUx1dThsUjhTMFJFR2NGQVIzU0MrY2JEYytRMEJZa0w5U3FCY1BBU2x5Z1V2TkRpb2N4dDEzU2c2ZWE2Slh2b0Z2SlBCS0wxM2ZxZnRxSHNFZ3R5U3NJTEd4Ulp3WkZmOVFJQXFxNHFUZG1XVktWWUV0Mm5zMml4OFo2bThBMGxYQzdGdFNlOEkwVFBvNE1RSkFIYVFnMThZMzVVWEc1TnVKcFhaOUdpNG5JcitwK3lvZWlNQXVUWHgyNHZ0dkF4WG9jZnRyODZzT2FydFhqN0IwZXc0aFBsT1BTem81Z1o5S0pva3lubDkwWkVsSzBZNkloT01JL05Cd2lBenBJNDBQbmQ0YUhCZEhlSkFJQTNGNndNalhqN3ppTnhjK2hTMFpqVTJQU1R0YkMvNHNUUWMzYlkvdXFBdWNXSTB2ZFpNUEtTQXhQN3A3RG1wdHFrUlhrakVzMlRTeldIYnVFcVdzZjJjUnorWlE5RWpRaHptd2xGbTB3d05PUmg3NTFIb0xOb1VIbEY4bElsRlpkYjRYakRoZGxCVDF5Z2l3ak9CTEgvbmk0VW4xMkkvTG5lenh5ckZpdi91UkpIZnRVTGRYNWQycjJpUkVUWmhJR082QVNiNnA2QnpxS0ZTaGNlY2xWcHhaamV1UEczSndFQXd5ODZVUDUrQzdSbURVU1ZBSlUydnNDdTJxaEczWFZWS0ZtMENHSGJOUjFZLysyR21CNjY0R3dJWTl2SFU3Wk4xSWdvdmFRWUpSY1hZZXpOY2ZUKzl4RDIvVGhjUExqa3dpS1ltcGJldVNMUlBMbDA1OUFaNnZWWTljVVZLR2cyUnIvZjRHd0l4alVHbEYxU0RGRVQvek9JdGwwdG92bjdxeFArbkFEQVB4N0Evbi9yZ2lwSHhJcFBWc1RjVi9LZUlzemF2TmgzVnlkcXI2bEV5WVZGQ2E5QlJKU3RHT2lJVGlRbHZML3B3bzN1ei81MWMvUnIrNnRPRFAzRmp1S3pDekN4YnhLMnZ6cFFkR1lCS2o1b2pUa1BDRS8waitoOVlqanVxZmJja1hqM2lONG5obEYvUXhYTWJZbUhGeFZaZ2Z2QUZCeHZqTVBuQ2tCZm1RTlJMV0prNnhnbURreWgvQVBoL1ZOVGhhdmpwU3ZTeE8wWksrV3FFaTdRU0NSWm1KdllONGtqdis2RGxLdkMybHZxSVNiWWUzYmxKeXVnMG9yb2VyQWZZOXZIMFhSelhkSTlhb21Jc2cwREhkRUo1TnpsaG0vTWo2SXpDNkxIdkhZZlhIdmNzTC9xeE15QUIrV1hXckRpRStFZUpHZjdCUHFmdEdIWGR3NmlzTVdJcWl0S2tiY3l2SHZFNHBXdEN5VmE1WnFNSWl2d2pQZ3czVHNMOS80cGpMODlDYjg3QUoxRmk5cHJLMUZ5VVJFRVVjREV2a24wUHptQzd0OE5vUDlQTnBTOXo0TFM5eFpEMG9kN0d2LytxVjJRZzZtSGRWUE5yenRacTBvRFUwRWMvbVV2Y2l0eXNPcExLMUl1NktqK2FCa01LL1Z3YkhjeHpCSFJ1d29ESGRFSlpOODZocnpxWEpqV0dORDEyMzQ0MnljUW1BeEMxSWdvYkRHaS9vWnE1SzJZMys3THZORUVjNXNKanUzajZOc3lqTjIzSDhLYXI5VGk4Qzk3VWo2UFNpdGk5M2NQcFR5bjd2b3FGRzh1eFBBTER2UThHcTVGSitsVktHdzJvdWpNQWhSdU1NYlU1ald0ellkcGJUNG05aytoYjhzdytyWU1ROVFJS1A5QXVLQnZ5dy9YaExlaldHYlVCZ25ydjlNSW5VV1RjRS9heFFwYmpTZzhodTNPaUlpeUFRTWQwUWxVZjBNVmZCUGhuUm1LTnBtZ01hbGhxTlBEMkppWGZBaFRBSXJQTGtEUkdTYU12dTVDd1liOHVPSFhkNkwwdmNWUWFVVVlhdlhRVitZczNtQWhqcW5KQUZOVEl5YjJUY0s0ZW41T1hXUkY3S21TVG85ZTNYVlZVQnZWU1V2RVZGOVZkc3BLc0JBUlpSTGY2WWhPSUxWUkRmWGNLdEZJajFlNkJKVVFWMS90UkJBbEFTVVhIZnNpZ0dOcGU2WXNYaXl5V09XSGtxK2FQUjZLb3BRME56ZWZ1TFJOZEFMSXNzemZTV0tnSXlKS2x5QUlueFVFNGJPWmJnY1IwV0lNZEVSRWFSSUV3YTRveWtpbTIwR1VRQWpBUTVsdUJHVU9BeDBSVVpvVVJibS9vNlBqOWt5M2c0aG9zUk5mYUlxSXNwb1NXbjRyV1ltSUtEVUdPaUtLY2grYXhwdGYzb3Z4dWIxV2lZZ29PM0RJbFlpaThsYmtRbEFKNlBwdFA5cnVib0tvbnYvTTU5Zytqc1AzeGRmSEUwUUI1enpVY2lxYlNVUkVpekRRRVozbWdyTWhCTnlCNkcxem14SEJxU0I4WS82RTU3ZmR0U2I2ZGQ4VHczQjJzRGVQaUNqVEdPaUlUblBPOWdsMC9yb3Y3dmpZam9tWTI0MWZXQUVBMGUzR1F0NFF4dmRPeGV4YlMwUkVtY0ZBUjNTYXM1NW5oaVpmZ25mVWo5SkxpbVB1NjNsMEVIa3I5U2crcXdDTzdlTXg5OWxmZFNMa0RhSHl5aE5idkplSWlJNGRGMFVRRVVTTmlPNUhCbUpDbTJ1WEcwUFBqVUtkRjcrdGxpSXJHSDUrRk9ZMkV3d3I5YWV5cVVSRWxBQURIUkhCdU5xQXNrc3NjQitjQWdBRTNBRjAvcVlQcFpjVUo5d0NiT3l0Q2ZoY0FkVDhRL21wYmlvUkVTWEFJVmVpMDl5MmF6cGlibys4UEJiOTJ2YWlBN1lYSFFDQXV1dXFvc2NEa3dGQUFkeUhwcEJUb2owMURTVWlvcVFZNkloT2N3dFhyYVl5M1RzYi9icnNmUlpBQWJwKzJ3OXRvUVlGNjdrd2dvZ29reGpvaUU1emtWV3JTNW51ODhUY0xydlVnc211R1hRL1BJQ05kemNCd3Nsb0hSRVJwWU9Cam9qaWhsMFhPL2ZoMW9USEt6NWd4ZTdiRDJHNmR4WjVLM0pQUnRPSWlDZ05ESFJFQkFCb3Vya091bUpOekRHdnc0Lzk5M1FsZll4dWJ2NmNienlBdkJVbnRYbEVSSlFDQXgwUkFRQjB4WnEwaDE4anZIWWZBQ1FzYlVKRVJLY09BeDBSSFpPaC83VmpxbWNXS3AySWliMVQwQlNvV1l1T2lDakRHT2lJQ0VCNGVEV2RZMnFUR3A1aEwrU2dncndWdWFpK3FoU0N4QlVSUkVTWnhFQkhSQUNRY3E3Y1FwYk5oYkJzTGp6SnJTRWlvbVBCUUVkRUFNTDE2QmJQb2ZQWXZHaS81VUNHV2tSRVJPbGlvQ01pYkx5N0Nkb2lUZHh4blVXTGpmZXVCUUNZbWd4WS8rMkdVOTAwSWlKS0F3TWRFVUZuVGJ4OWw2QVNvSnNMZW1xREJMVWg3MVEyaTRpSTBpUm11Z0ZFUkVSRTlNNHcwQkVSRVJGbE9RWTZJaUlpb2l6SFFFZEVSRVNVNVJqb2lJaUlpTEljQXgwUkVSRlJsbU9nSXlJaUlzcHlESFJFUkVSRVdZNkJqb2lJaUNqTGNhY0lvalRNRG5vejNRVEtJUDcvRTlGeXgwQkhsSWFPYjNLRGVpSWlXcjRZNkloU3UwOFFoQXN5M1FqS1BFVlJwZ1JCK0V1bTIwR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pScC94L3hFWlM2SkpyMTR3QUFBQUJKUlU1RXJrSmdnZz09IiwKICAgIlR5cGUiIDogImZsb3ciLAogICAiVmVyc2lvbiIgOiAiIgp9Cg=="/>
    </extobj>
    <extobj name="ECB019B1-382A-4266-B25C-5B523AA43C14-3">
      <extobjdata type="ECB019B1-382A-4266-B25C-5B523AA43C14" data="ewogICAiRmlsZUlkIiA6ICI3NzMyOTc5NjEwNyIsCiAgICJHcm91cElkIiA6ICI1MTU4OTQ4ODgiLAogICAiSW1hZ2UiIDogImlWQk9SdzBLR2dvQUFBQU5TVWhFVWdBQUE3OEFBQVNtQ0FZQUFBRG1uaHhIQUFBQUNYQklXWE1BQUFzVEFBQUxFd0VBbXB3WUFBQWdBRWxFUVZSNG5PemRlWGhqWmRrLzhPL0p2alpObTZaTjkyM2F6clRNa2dGa1UwSDRDZTRDZ3ZLcUNDcUlDNmk4K3FvSWlvZ0tMcWl2cndzdW9MaWd3b0NpZ0FvQ0t2c3c3Y3d3bldrN1haTXVhWnRtYS9idC9QNUltMm5TcEUxbmFUc3ozODkxY2RHZTVUbFBNbTE2N3ZQY3ovME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JZEpXT3NPRUJFUjBjbGoyN1p0THdtQ2NQcGE5NE1PRVVYeG1hNnVydlBXdWg5RVJNZWFaSzA3UUVSRVJDY1BCcjdyanlBSTU2NTFINGlJVm9Oc3JUdEFSRVJFSjU5ejdyT3VkUmNJd0xOWGRxNTFGNGlJVmcxSGZvbUlpSWlJaU9pRXg1RmZJaUlpSWlKd1R2cDZ4cm5wZERSdzVKZUlpSWlJQ0p5VHZwNXhiam9kRFJ6NUpTSWlJaUphZ0hQUzF4Zk9UYWVqaGNFdkVSRlJBZlI2L1Z0bloyZi9BOEFMUUZDcFZIV0ZuaHNPaDhjQXhCWnVVNnZWcjJsc2JQejkwTkRRSmNGZ3NHdWwvVkVvRkczWjI2TFI2RUVBaWZtMkJ3WUd6Z3VIdzhNcmJYdWUxV29WOSszYnR6RWFqZlljYmh0RVJFVHJCWU5mSWlLaTVXbnE2dXArbUV3bUE0T0RnMjhPaDhPT1RaczJEUlY2Y3E0QXNxeXM3Q3FaVEZZU0RBWVBLN0RzNk9nNGtMMnRzN1BUQW1DcXBxYm1lOUZvZEJnQVZDcFYvZngraVVRU0RRYUQ0OW5uTFR3bW0xd3VyNUpJSk9GYys0NGtzQ1lpSWxwdERINkpqaEVXelNCYVcwZTVPRXF3djcvLzlVMU5UVTgzTnpmL2U5KytmVnNBb0x1N2UwTWtFdWxmNmtTcjFTcm0yRnhhVWxMeWZvbEVvclZhcmNHVmRLUzN0M2RiSUJEWURSd0txazBtMHpVV2krWExBS2JLeTh1djErbDBad0JBZG9BZURBYjM5UFQwYk0xdWM2bEF2clcxOWNsOCt6bzdPNFdWOUoySWlHZ3RNZmdsT2tZWStCS3RyYU5kSENVY0RnLzM5L2Rmb05Gb1hnTWdCS1JHUlFWQmlLKzBMWXZGOG1sUkZLVUhEaHc0STVGSWVGZHlialFhWFJTb2xwU1V2Ti9sY3YxS3E5VnVycXlzdkhOa1pPU3FtWm1aWDgzdjEycTFtMXRhV25aNlBKNGQrZHJOTlRxZEwrMVpvVkMwNVJwNUppSWlXczhZL0JJZFl5eWFRYlQ2amxWeGxFZ2tNaENKUkFZQXFBQ2dwYVhsbVpXMm9WS3A2c3ZMeTIrY21abjVzU2lLa3hKSllRc3ZoTU5oRndCZjluYWxVdG1zMCtuT25waVl1S21ob2VGUGdVRGcrVUFnOEs4RnFjeENUVTNOZmFGUXFOdmo4ZnhXcFZMVjU1cURuQytZWlpCTFJFUW5DZ2EvUkVSRXl5Z3BLZm1nVnF1MTJ1MzJtN0FnQUMwazdibTh2UHp6MFdoMGF2Nzc2dXJxSHlXVFNiL2Rici9OYXJXNkMrM0Q2T2pvWjZlbXByNmR2YjIwdFBSRHM3T3pUd21Db0l0R296YVZTclVsWHhyenBrMmJCb0Rjbzd5OXZiMFhKQktKZ2F6amgzSnRsMHFsVFV1bFF4TVJFYTFIREg2SmlJaVc0ZmY3WDZpc3JQeFNjWEh4TzBaR1JqN3M4L24rQlFEdDdlMEhDem0vcXFycUcxTlRVOStQUnFPMm9xS2lOdzBORFYwQndOUFoyYWxlUVRkaXVUYnE5Zm8zK1AzK1ozMCszOTk4UHQrVEFKWk13ODR4QjFuZTE5ZDNYandlSHhPRXdxYnd4dU54VzE5ZjMza0E1UG42UlVSRXRONHcrQ1VpSWxwR05CbzlNREF3Y0haRFE4T1RCb1BoYlQ2Zjc5OEFjUERnd2RmR1lySFJoY2ZtR3kwTmg4TytscGFXaDEwdTEvMkJRR0IzcnFXS2xyaStBMERPaXN1am82TTN0YlMwUERZek0vT0RjRGc4M043ZTNxOVVLcHNLYlZ1bjA3VzJ0TFE4blcvL1VpTzhmWDE5cC9qOS9uMkZYb3VJaUdndE1mZ2xPbDZKQUk2Z3pxcG4veXlLTitvUHF3MHhMc0wycHdtWXp5NkIycUphOGZudVBWN0VnMG1VbldsYzBYbk9uUjdJOVRJWTJuUXJ2dWJSSWlaRUNOSWpMM0I3Sk84L0FQaDYvZEEzYVNISWxtOUFUSWdJVFlTaHFjNDl5SmlNSmdFQmtNaHp6ejExN2ZiQ3NGRVBxZkxRL2tRa0NWK3ZIOGJOUlJsZkY2cm5oME5vdnFvR011M3g4MmNvRkFxTjdkKy8vN1ZJcmZPckJZQjRQRDRTRG9kRDJjY21rOGxBT0J6MloyMTJqWTJOZlRXWlRQWjJkSFRZVm5KdG04MzJVYWZUK1pOYyt3S0J3RDhEZ2NETFpXVmxOOWp0OWh1N3U3dFBBeUROMTViVmFwM08zaWFLWXFLcnEydlJQOFpTNi94dTI3WnR4WVcramtkSDYzZWVpSWpXM3ZGejEwRkVhZkZnQW50djYwWGRaWlVvM1Y2ODR2TWp6aWoyM3pXQTZqZVhvL1lTeTRyUFQ4WkYyQjl4UU4rc1BhemdOelFWaFczSE9Jbzc5SkRyQy9zWThnOEgwZk4vZ3pqbDh4c2dKbkt0SEpORkFBVEpvUnZXUWdzZ2JiOXpVOTdYRkhaR3NmZTJYalM4cHdwbFo1VVUxRjR1Ui9yK3h3TnhIUGpmUVJSMzZOSDYwWVpsajQvNTQraTg2VURPNG1zUlp4UzcvcWNieHEwR2JMeWhNZWY1Kys4YVdQUytSRjFSZEgrN0grZmNaODM0dWxET2w5eG91S0lhTW0zQnA2d1hUZ0JRcVZRR0FCQUV3V3kxV2wvSlBtamp4bzB2WkcvcjdPd1VBb0hBay9OZkYzckJQRXNsWmZCNnZZK1dscGErRDRBRWM1V29WeXJmV3I5THJmTjdvbmoyeXM2Y3YvdHhmeHc3Yjl5SHJWOXBPNnpQT2dCSWhCTVllM3dLRmVlYW9EREs4eDZYakNZeCtaOFpXTjVRZGtRUE5vbUlLRDhHdjBUclhES1dYTFJOSWhkZzJLVEg4Qi9IVWR4ZUJDSEhHTS9DVWJ4RU9MTU5tVTZHK3NzcU1mcm9KQ3JPTjBHcXpHeEFxcFFjMDVzdnl4dE1tSGhpQ2lNUGpxUDU2dHBsanhjVEl2cnZzUUVpOE9vM0NwcGlDVTJWQ3RadmJNclkxdjZaWnFqS0ZIblAyZlc1L1V1MnFUSXBVUGV1U3ZUOWJBVEtNaVdLTmhRV3VSM3Q5MSttbGFIMVl3M1kvOTBCK0llRDBOVnJDdXBITHNNUGpLR29SUWYzWGg4OCszd283aWg4OUhZNVEvZVBZZXp4eWJ6N2QzN3ExYno3MW1tVmRHMTdlL3V1a1pHUmp5UVNpVkF5bVF6RjQvRUFBSFIyZGhxVlNtVlpKQklac2xxdHNYMzc5blhJWkRKM01CaWNVaWdVclIwZEhZZWRHaXlLWWtJUWN2MldIeEtOUmtmbGNubGxVVkhSRzV1Ym14OWY2VFVFUVpEbUs1SzFuZ3BialQyVy8rZXBVSllMeXZEeURhOGlIa3hrYk0vKy9UL25QaXZjZTMxUUdCVjVBMTh4S1NJOEdjbTViLzZjbVZjOHNEL2lRTVc1cGlYN05Uc1V4TUI5ZGlSQ0NWUy90UUpBNFEvdEtpODBvL0c5MVFVZFMwUjBNbVB3UzdUT1BmK2gzVXZ1ZitIYTNQc1hCZy81amdHQWw2OWZISUFzTmZwNUpQcnZ0YUh1RWd2a0JqbHFMN2FnNys0UlZGNW9ocVp5NldzTi9YNE04VUFjcDM2ckhVS2UxTnhza2h5aGdxb3MvMDFzb2NwZlY0cUFQWVNEUHh2R3RxOXZncVNBdE9NamVmK1h1L25kL2FWRjJhanBObFRsU29nSkVXSXNOWEE0L3lCbC9zSEl6QzRQM0h0OHNONnhDZFBQdTlENzQyRnMrWElyVkdZbEFDRGtpRUNNSjlOZlN4UVNTR1FDNHNFRXd0UFJSZGNNVFJ3YUhGUVlGYWkvckJLMUZ4OGEyUmJqU2ZUZmEwUFVGMCtsYlRkcklWVkowWHhWRGVSRitVZkUxZ3U5WHI5TnFWUzJBb0JLcGRvUWk4WFNxY3M2blc1elEwUERIOGZIeHo4TEFGS3BWTnZRMFBDUXorZDd3dTEyNTB4WExsUXltUXhJSkJKRHJuMWFyZFlxbFVxTGpFYmpKYkZZek9IeitaN3E3T3hNdituVjFkWC83WGE3ZnhNSUJOSlJZME5Edy9ka01wa3ZHazM5Ry9yOS9qR2J6ZllScDlQNTA2elhlN2JSYVB5QXpXYTdHY0FVc3BoTXBtdjlmdi9Za2J5MmxScjYvWkZmcnV6c0VweDZWMGZHdGhldjI0T3R0N1pCVmFITTJENzlvaHVoaVhETzM4TXRYMnFGc2t5Ujk2SFovR2Z3MUhNdWxMM0d1T1NvTHdBWVduV3d2S0VNSXpzbVVOeGVCRjJESnRYUGhBalhiaTlLdGhtQStXeVdwSWlwNTEwWWUzd0sybW9Wek9jY2ZpWUtFZEhKaE1FdjBYRmdQaGdLam9YUjk5TmhiTHloRWNyUzNDT1lvWWx3enB1eGpaOXFLbWlrOHFXUDc4MzRmcW5nYS85ZEF6bTM1d3VlSFU4N1VYV1JHWEtESEtiWEdESHkwQVRHL3o2Vkd2MFZBZjlRRUxyR3pGSE1zY2NuTWZIUGFaenloUTJRcUFvTGZCVkY4bU02Y2wxN3NRWGovNWpDK044bTB5TTB5em5jOXg5WVBHTHQ3ZkZEWGlUTCs5QmcvdDkvNG9scERQNzJVQzJtK1FjcDU5eG5SY2dSd2NGZjJORDhvVG9vaXVXb2VsTTVmSDErN0x2eklOby91d0hxQ2lVTy9ud0U0ZW5VcU5iQmUyd3dubElFaVZ5QTQybm5rdGNGZ0kyZmJFVHA5bUpJNXg0TytIcjk2UCtsRGFveUpkby8wNHdYcnRtTjF1dnFZWHRvQWwyMzlLRHFJak1zRjVRVm5BYS9GclJhN1ptaUtFYjhmdjlMTlRVMTd3aUZRdWtYN1BmNy8zM3c0TUV6cFZLcEhnQVNpWVN2dTd0N205Rm9mSHMwR2oyaXViSHhlSHhTcVZUV3pIMWJickZZcnBtWW1MZ2RBSXhHNDZYRnhjV1hKQklKcjgxbSs2akpaTHJLNlhRK3RHWExsdjdlM3Q0dEdvM21ISzFXZTFadmIrL3JBY1IxT2wxSElwR1lEUWFERS9QdHE5VnFUVHdlZHdDUXFOWHF5c3JLeXA4TURBeTh0YWFtNW01QkVCUnF0Ym9oRkFwbEI3L0ZTcVd5RHNEc2tieTJsVm9xSStEWkt6dFJjWjZwb0d3U0FIanVxcTZNNy9mYzFwdngvZlp2dGNPMXg0dUdLNnBRZWxxcVBzSG9YeHlZZnNHTnJiZTFRV2xTUUNJVEZ2VnA4ajh6T1BpekVRQkFlQ29Dei81WlFBU21ubmZsN0VmTjJ5dFE5NjVLQUVEOTVaV1k2ZlNnNzJjanNINXRJMVFtQldiN0F4aDdmQkxqVDB5aitxM2xrR2xsc0QwMERqRWhvdVdhT3BTZXV2S3BMMFJFSjZ2MWU1ZEJSQUFBcFVrQlFTb2dZQStoKzV2OWlIcGoyUG5wL0JtVXAzNjdQZWNJZzB3dE9lekFJanY0U2tTUzJQMmxIalJmVlF2RHhzemlVOW1COTlUekxuaGU5YUhsSS9VWjJ3V0pnUFlibTlLampLN2RYaHo0L2lDc2QyeUNlbTcweFh0Z0ZzTi9HRWZyeHhzUW1ZNWk3MWY3Q3Vydm1YZHZnVlM5ZU9nM01oUE5tQWQ4dVB5REFVQUVSdjg2aVlvM2xFR21XVElqRmNEaHYvOFNtUUNWV1psK1QyS3pjUXcvTUk2SzE1WG1uZTh0a1FtQUlLRHlRak1xTHpSajh0OHpPUGp6a2ZSTmVtUnVqbTdGdWFVd25UYlhoZ0MwZnF3QjNkOFp3TjZ2OW1MRE5YWFlmSE1MZ0ZSUXNmbW1EZWtIR3MxWDErWjh5SklyTVBIMitESDZWd2M4KzJkUiswNExhdDVXa1g0d0ljZ2thTG11SGhQL25NYnc3OGN3K2hjSFNyWVhvOVJhakpKdFJaQ3FsbjlmVjVOV3F6MDdFQWpzQkJEVzYvVnZkTGxjdjU3ZlYxcGErZ0dGUXRFOE1URnhHd0JvTkpyVzh2THlqOXZ0OXBzVkNzWEtKM1l2RUE2SCs5UnF0WFd1M1ZxejJmelorZUIzY25MeTFzSEJ3WThBY0J1TnhuZFhWVlhkNFhRNmQwaWxVb01nQ0FtNzNYN1poZzBidXZSNi9aa3ltYXhZRkVXSndXQjRpOFZpK2VKOEd3YUQ0WU1taytuREhvL25MNGxFUW1jd0dONENBRU5EUTIrdXE2dDdzSzJ0N1Y4SERoellHQTZIaDJwcWFuNG9sOHRySmlZbVBtNHltVDRxa1VnMGRydjkwMGZ5K3RhS21CUng2cmZhb1NwWDR0a3JPMkg5eGthb0xTcUVKeU40NWJQZHFaL0hyUWI0ZXYyb2VsTTVBTURYNTRmNW5KTDA3K055eHArWWhxNU9nOWFQMW1kczcvcmlBVlMvclFKbFp4Z2gweDM2WEpDcXBXaSt1amIxK1NXazZneklpK1hvK0h3THBwNmR3ZEQ5WTBpRUVqQ2VVb1NtSzJzQXFZQ3dNeldDcnpMbG45SkJSRVFwREg2SjFyblQ3dXJBOUl0dURQNTJGR3F6QXBvcUZUWitzakVqdUhPKzdNYkJuNCtnK2kzbFVKbVZPUDM3cHh6VlBtU25DOC9QWVZXVXlKZE5JL2E4NmtNOGxNaTViK0c1SlZzTlVGY29ZZi96UkRwUU5telVZL1BOTGRBM2F6SDh4ekVVZHhTaDQzK2FBUUQ5OTloUXN0V0FFdXVoYkZCUDl5ejIzWGtRRWtYdUVlSjkzK3hmL3NVV3dQbXlCL3BtTFdLemNVdzhNWVdhZHh4UmJMT2tzKzdabHZIOTRLL3RVQnJsNlpHaVFzNXhkWG5UWHljaVNlejlhaC8wVFZwVXZ0R01xRGR6aWRZTkg2ckYwUDFqcVFjUjM5aFU4RTErdG1SY3hKNHY5eUJnRDBGWHIwSEhaNXVocVZZajVrOE5ncjdtaDVzQnBJSjUwK2xHNkp1MEdIbGdITTZYM1hDKzdNYXAzMnBmYjhHdlJLZlR2VzVtWnVabkdvM0dxbEtwMm1kblovODJ2M05tWnViUnhzYkduNVdYbDM4Y0FHS3gyTEFvaXNHR2hvWWZqbzJOM1g0a0Z3NEdneTlZTEpiYjFHcDFsVktwYkk1R284UHorMkt4V0F4elJiak1adk1uWEM3WC9WaXdKRklvRkJyZHUzZHZNd0J2YlczdHZUS1pUR1czMnovVzBORHdnTmZyZlRRWURPNHRMUzI5YW1abTV0Y0FSRUVReEFYbjJucDZlbDVYVkZSMGJqZ2NIZ0lBalVhelRTcVZHa0toa04xbXMxM2YwTkR3bTluWjJhYzlIczhqUi9JYWo2YW9PN1pzaW5FaFlyTnh0SDZzQVoxZjJJK0FQWVNZTjRhb0o0YWFkeFNXN1JIM3h6SDVqQk9La3N6UHozZ2dnV1JjaExaV25mUHpzMlRyb2MrMFYyN00vYURUL2FvUHIzeTJPMlBiT3AwblQ4Y1JWamFua3dHRFg2SjFidUJYZHN4MGV0RCs2U1pvYWxUb3Uzc0VYYmYwb1BHOTFWQ1V5R0Y3ZUFLK3ZnQTJmTGdPcHRQekx4MlVpQ1FYRlhoWkRiNCtQeXpubHkxL29KQksvK3Y3NlFocUw3YWtSNFQxemFsVTRZQXRCRzMxb1J2Rm9sWWREdnpmSUJyL3F4cVdDMUx0SjJOSkNGSmgwUi92K2VyUTI3L1p2bVF3VjBoeG1VUTRpZWtYM2FpL3JCS0NUTUR3QStPb3ZMQWMwbVZTc2cvbi9iYzlQQUhid3hNNTl6MzN3YTZjMnhjNjV6NHI0b0U0M0svNkFLUWVHTlJlYkVIOTVWV0lCK040K1liY0JhZk8rWlVWdnY1QXhudmw2d3ZBMWVWRjJWa2xTSVNXbWZNckNGQlhLRkY1b1JuS1VnWDIzWG13NEVKbHAzNjdIYjZEZ2ZTLy8zcWgwV2kyUzZWU285L3ZmOEZpc2R3V0NvWDJCUUtCUFF2VzZuVU9EZzVlREVCU1ZWWDEzVmdzRmhzZEhmMGFnSWpKWkhwL0lwSHdMdEg4a2x3dTE0TVdpK1dyRm92bDJ3QVFDQVFXL2VQcmRMcnpOQnJOcVNNakkrOEZFRTRrRW1HZFR2Zk9SQ0x4SkFBb0ZBcXJ3V0M0ME9GdzNPSHhlUDQwTWpMeXZtQXcrS3JKWkxwYW9WRFVlanlldXdFZ0VvazRBWWdsSlNWWCsvMytGd0FnSEE0UEt4U0tOcTFXYTlWb05LYzduYzRmQUlEYjdmNXRhV25wZTlScTllYjFFdndHN0NHODh0LzdVSFptQ2VyZlU3Vmt0b1cyVm8zT0x4NUl6NFhmOWJuOUVDUUNCSmtBYmEwYWJaOW9nQ0FWMEhKTkhRNytiQVNKY0FJdEg2bUh3bEJZWUcxL3hBRUlBc0tURVNSanlmUmMrNUFqOVh1aUtqdjBNejcrOTZtTUtRb0xBOW1GMDBqbU15NFc3czgzMVlYV3AvRi9UQ0UybTBEZHBjZnVvZWxTMWtObGM2SzF4T0NYYUoyelhGQ0cya3NzNlp1NHVuZFZvdjhYSTlqLzNkUjhXM21SREMzWDFxRzRYWi96L1BuQUw5LzgzR01wTWhORmVEcUtvZ0xYNVRXOXhvamhQNDVoOU5GSk5GOWRpMFFvZ1ZnZ0ZUQUc3Q0VZV25YcEZMK2lWaDNxTDYrQ1ZDTk5iNHZNUkNHUlN4YWxBU2JuQ2o0VlVweHFPUlAvbkFaRUVXVm5sMEFpRjJCN2VBSmpqMDltRkhaYTZFamVmOHNGWlNnN0kvVkFJeEZOWXQrZC9TamRia0QxbThzemprdEVrM2oxOWo1VVhtaUcrZXpNd2plT1oyWmdhRXRWYzliVmE5QjM5ekE2UHJjQkVBREwrV1VJVDBZUW5vNmtxenhIM1RHSUNURTFQMWxNclVjTUFJTy9IVVh0SlJZTS8zRWNVOC9PNU96di9BMjRUQ1BGR1QvWmd2TFhsYWIzTFZkRWJUN1ZWRm1xZ0htZEJiNEFvRktwR2hPSmhEY2NEbmVKb2hoeU9CemZ5SE5vTWg2UHp3QklidDI2ZFV3aWtlaEVVWXlPalkzZGRMalhqa1FpdlU2bjgyNlR5WFNkS0lxSi92NysxMlVmNC9mN24rN3U3dDRXalVhSEFHQnFhdXIycXFxcU82cXJVMCtNUkZHTSt2MysvMHhQVC84U0FGd3UxeDhBSUJ3T0QwNU1UTndVQ29Yc2MwM05qSStQMzFwVFUvUDkrZm5MNlJlV1RJWjhQdC9mN1haN2VpUzd2Ny8vblFCVy82bGFIbXF6RXZvbUxTYWVtTVpNcHdmMTc2NUN4ZXROT1dzQWJMdDlJenpkczNEdDltTDg3MU5RR09WUWxpcFFlN0VGeGxOU3Z3OWlYSVNyeXd2L2NCQVFVZ0d0UkNhZ3VMMG8zV2EraDJhQjBURHEzMTJKd2QrTXdqOGNSTkdHMU9kZ3dCNkNJQldndGh6Nk9UZWZVd3JqNWlLNDl2Z3c5THZSakhZaXJsaTYwRi9FbGNyVW1QK01XN2lOamcvaDZTakcvekdGNG5iOXNtdldUNy9vUnUrUGNoWmhCNUI2U0NMR3hYUnRobXhxaXdvdlhyZG4zVlUySjFwTERINkoxakhQL2xsRXBxTUlUWVlSSEExamRpaUlSQ2lCNGsxNnRIeWtIdklpR1p3dnVUSHdTeHNpN2hoVXBRcklpK1dRYWFRbzJXcUE1WUt5ZElyeTVwdGJvS2xXTDN2TnJwc1BMQm81elRlcXNGeEE1K3IwUXFhVFFkOVEySkpBZ2xSQXhSdktZUCt6QTNXWFZtTDZCVmZHYU1qd0ErTVlmbUI4MlhibVV3WG5SMGNTYzJuWE1YKzhzRFdDODRnSDRoaDdiQktXOHcvTjg2MTVSd1dHZnorRzh0ZVhRbG15ZU03ZGtiei9jcjBzL2RCajZQNHhTS1JDYW0zY3JEbkc5ajlQUUpBS3FMckluREYvTUJGT1l1eHZVMmkrcWdidXZUNVV2TUVFUmJFY1V5KzRNTFBUZzQyZmJFUndQSXpCMzQzaTFHKzFBd0I2L204UTZnb1ZObHhUaDkxZjZvRW9pdW4rYTJ0VC9XKzV0cTdnT2Ivemp2ZVJLWmZMOVFlWHkvVWdnTVRnNE9CbDg5dWowZWpndm4zN05pNDhkdS9ldlNZQTJMMTdkd1ZTZjJlREFJNG9RckhaYkI5enU5Mi9pMGFqamtna2NoQUFob2FHM2grTlJ0Ty9FTkZvTkowSE96RXg4YldKaVltdkxkZXUzKzkveXUvM1A3VndtOFBodU0zaGNOeFdZTmZXVGVBTEFCS2xCSTN2clliNXJCTDAvV3dFL2ZmWU1QMmNDODBmcXN2SVpBallRN0QvS1pWVjBmclJCb3ovZlFvYlBseUhtVjBlN0w5ckFLVldBOHJPS3NISUErTUlUVVd3NGNPcHduRDk5OXF3NzV2OVVKa1VhUDlzYy9xbXYvNnl5blRocVpsWFBCaCtZQnl0SDYySFRDdUY0MmtuUE4yejZlRFgxeGVBcGtxVnNSeWRUQ3VGVEN1RlltVHhFczM3N2x5Y05aRXZIWnJXdjdwTEsrRjh5WTNCWDl1eDdmYU5CUlZuM0g1bjVySjlDeCtTaEtjalMxWWNYNCtWelluV0VvTmZvblhNMHowTGIvY3MxQllsREp2MHFINXJPZlNOV2dnTFJqRG5SeWdpTTFFRTdDR0VKeU9JdW1Nd2Jrbk5HNHU2VXlNRWFvdXFvTUpNcDJYOW9RUU92K0RWVEtjSHhzMUZCZjF4RDloRGtDb2txRGpQQlBkZUgyS3o4WFRCSm0rUEg2OStvdzluL25RcnBFb0p4SVNJZ3o4YlFlVkY1b3cxYmlmK09ZM3h2MDloK3pmYk05cU91Rkx2UWI1bGdRbzE5THZVTWl2VmJ6czA4bHB4cmdrVFQweWovMTQ3MnYrN2FkRTVSK1A5VDBhVG1PMFBJQmFJWStBK095ci9YeG4wVGFrSENwNTlQdGorNUVEejFiVVpnUzhBT0o2ZWhyWktsVTRkQjRBU3F3RUJld2g5ZHc4ajZvN0JzRkdIeUhRVTRha0lwR29wWmdlQ3FMMGtOWis0OWVNTlVGZWtpZ0ZKNUVjMmFwN3JabXVoOEhRRXUyODVzbitmVlpBcjBJdEdvOUY4SFE4Y3hXdUxzN096LzFtNHdlMTIvK1lvdG45QzBUVm9zTzIyTm93OE5JSFJSeDNvdXZrQTZpK3JST1VielFoUFJkQjE4d0ZVdjZVQzlaZFZwaitmVkNZRm1xK3FSZFdGWnNSOGNkai80b0FnRTdEbFM2M3B6NW50Mzl5RXlYL1B3RDhVekJnaGt4Y2ZxbjlnMktUUHFGeGUzRkdFbVZjOHFIMm5KWlZOOGFvUFpXZm1uNktTalduUHg1OUVPQW5YN3Z3ekhVcTJHYUF5S1REOWtqdnZNZk5aUHdBV2pjYm1la2l5OEdkaTRZaXhUQ05kbDVYTmlkWUtnMStpZGF6K3NrcmdzbFNLVzZGUCtyUFRTd09qWWNoMHNzT3U5SHpxWFIxUUd1VVpvOEZMRmJ5YVB4NUl6V2t6Ymk0cTZEck9sOTJZZnNHTlU3L2RucTR5UEM5b0QwRlZwb1JVbVJvcEVhU3BDc2g3Yis5RDJ5Y2EwZ1ZpRXBGa3ppSkpBWHNJYW90cTBkUHpiRXZOK1ozOHp3d20vek16TjVwejZMMFVwQUthcnE3RnExL3Z3K2hqazR0U2tvLzAvUWNBaVVLQ3piZTBZSFl3Z1BHL1RXSHY3WDNRMXFsaDdDakMyR09UcUh5ak9TUEZlSjVob3o2ZHpyeVF0a1lOZFlVS001MGVXTTR2ZzZaYUJXK3ZIMGdDeWhJNWlqZWxzbDJ6NTBjN25uR2kveDdib3ZibUxYei9MQmVVcGFyUnpoR1Q0dEtqN3V0cS9KQk9CSUpNUVAzbGxTalpVb1RlSHcvQi9hb1BsVzgwUTFXdXhOYXZ0RUZobENNOGszbzR0ZjNPVFJCa3FTa1RnbHdDUmFrQ2RaZFVRcWFUQWhJaEk4M1l1TVd3WkIwRGZaTTIvWEFLQUV5bkZtUHNzVW40QjRPSStlT0llbU5MMW1mSXhyVG40MC9NRzFzeVhia1FDNFBmN0xUbFpEUzVvcmJXWTJWem9yWENuMEtpNDhoWnY5aWFrU3FYTFZmdzV0MC9DME5MWVduSHVheDArWXlGeHpkL2NQRjZtMktldjluaHlRZzAxYm5uR2dWR1ExQ1psUm1WaVN2T04wRk1pcERJSmVudE1VOE1na3hBMUJ1RFJDNUpqN1M2OS9xZ3oxby9lQ1ZjdTczb3Y4ZUdpdk5NS0R1elpORitRNnNPMVc4cHgvQWZ4cUFvbHNOODFxRmpqdlQ5WDBqZnFFWHJ4eHBnMnVWQjd3K0g0QjhNUXBBS2tLb2xpTTNHRndYWTg2TlYyUldkZ1ZSRldlLytXVmpPTDRQbC9ESW9qWEtNUGpxSjhqenpJd0hBZExvUmh0YlVTSDk0T3JWYzBrSUxIeTVrajNKbmp6UVFyWmFpVmgyMjNiNFJvb2owejdhdVhvTzlYKzJENzZEL3NOcGNTV1ZsZmJNVzJsbzFiSCthUUR5WWdMWkduWkdOc1J5bVBSOS9WT1hLako4Uk1Ta3V1OHhleEJtRnNsU1I4L1AzeGV2MkhPMHVabGlyeXVaRWE0SEJMOUVKTEJsTndyblRqWVlycXRlNkt3QUFtVTRHVjVjSGFrdDV4bzFBY0R3TVQvY3NxdDlhbnZPOGVEQUJ6ejRmWHI1K2NYVmkreU9PUmR0ZXZ2NVZtTThwUmN1MWRZaTZZM0IxZWRGMmZlUFNuWnNmbEJReTd6d2N6emd4OEN2N29YVTE4Nmg3VnlVQ3RsUTZjV2dpbkZyK0tDa2V0ZmMvNm83QnRjZUw2ZWRkOFBiNFlXalRvZmJTU25nUHpHTGlpV21NL25VUzVhOHRSZFdiekFWVlNxNjl1Q0w5SUtYaVBCTWlyaWg4dmY1RjZ6RXZKTk5JbDB6ZHpuZHpZenlsQ00wZnFvT3lKUDg4c0tnbmh2NTdiRWRsSFdZNk9yWnYzMTY3YTlldVVRQXJHMlphaDNLTk9HMitKWlZoNHQ3clExR3JMcDFaQXVTdmlGdUlxRHNHK3lNTzFGMVdtZjU5cWIrOEt2MndhTk9OaTZkSExDVlgydlBaOTI0RHhGVG1pZWZBN0pvVU5LVENkSCtySDBxVEFzMVhMMzRZbkNZQ2U3N2FDNVZKZ2MyM3RDN2FmZm9QTXBjdmRIVjYwWDl2L2l5Y2JPdXBzam5SV21Qd1MzUWNlZjVEdTFkMC9PaWprNEFnWktSUHJhV2F0MWRnNlA1UkRQOXhjZEVxZmJNMk5lcVlROXZIRzRDUE55emFIcDZLSUI1TVFLS1FJRDRiUjkvZHd6Q2RVWUw2eXcvTktScjYvU2hVWlFxVWJFaGVpMWNBQUNBQVNVUkJWRjJjL2h2enhoQVBKU0ZSQ0hEdjlVR1FDbEFZRG4wczJoOXhZT1RCY1pTZFlVVEx0ZlZMcm44b1NBUnN2S0VSQjM0d0JQdWZIUUFFQ0JJYzBmc3Z4a1gwL1hRWXMwTkJoQ2RUYzNKTHR4bXcrWmJXVkRWbXpJMDZ2N2tjRTA4NU1mYllKQnhQTzFGM3FRWFZiOHY5eEQ0ZVRDdzVpckJ3K2FPdFgyMURJcFM2V1JKa1N5L2xsTXZDVElTZG44cTlyTktpY3o2UU9tZkxsMXBYTkRwR1I1OG9pbmRacmRZekJFRjRLSmxNN21odWJuNzJnUWNlT09FUzFMdS8zWjh6ME0wMWoxYW1rK0dNSDIzTzJVN0VGY1hZWTFOd1BPMkVWQ1ZKRmFDYkMzNFBMUU1HSkNQNW55VjQ5cVdXSlV0RWtobkJlRFp2ano5alJKalZkZGN2cFVtQnFlZGNxTCs4TW1QS3pFTGVubGxFM1RHVXZ5NzN2Mk4yRUNwVnIyd045UFZVMlp4b3JUSDRKVG9PQ0VnRlYyZitmT3VTeS9Wa0Y3V1lIUWlnL3ZKS1NCUXJEMXlPaGFxTHpDaC9iUWxpdm5qR2RxbEtlbGpWSWQxN2ZSaTRMN1ZDaXlBVlVOU2lROVZGNXZUKzBFUVl6cDBlYkx5aE1lZUlvbnZmTFBydUhrNzFRU2xCM2FXVkdUY1ZGZWVaSU5OSTArc0lMMGVpa0dEVHB4c3g5UjhYek9lVVlQOTNCNDdvL1Jka0FsVGxLcWd0S2hTMTZHQm8xV1VVTzF0NDNhcUx6TENjYjRMamFTZUtXdkl2bnlGVFMzSGE5MDdKdTMraFY3L1dpNGdyaGxLclljWHA3d0FXVlJsZENVVXhxNFd1RTFXaUtGNHZDTUwxQXdNRFUxYXI5V0dKUkxKREZNVm5kdTNhZFVKUE51MzQzQWFveWpOdjJvV3NYK1hFWENBNy9yY3A5TjlqZzB3alJlM0ZGbGorWHhta3l0UjBoSUZmMmVGODJRM3pPU1ZJUnBMbytkRVFLdnY4cUx1c01xTkd3ZmpmcHpEOW9odmFXalVHZjJQSGhnL1dZZnVkbXpKR3pSUkdPZHF1YjRTaFRZZHRYOXNJTVNGQ3BwR3V1M1d4VjhPMmJkdnF1cnE2UnRhNkg4dXhYRkFHeDlOT09KNTJvdnF0dVI5S1RqM25BZ1NnL1BXTGF6Y0FDeDZleklsNkN2L1ZXMitWelluV0dvTmZvdU9BMHFUQTJiL2N0dXh4MmNlMGZhSnh5ZEdEd3lWVlNWWTA1MjBobVZhVzkrbjNTbGt1U00xWEZSTmlhbFEyS3k1VVcxVFlmc2VtdkRlRzVyTkxZRDY3Sk85OExMbGVWbkRnTzArUUNPa2JtS1B4L3RkZG1udjk0RndrY2drcTMyaGV0RjFSSkQ4VThBcFlNdjE0b1ZPL2t6OTRWWm1WNlRZWGZwMXh6R0VFekxTdW1RRjhKSmxNZmdTQTIycTEvaG5BanFLaW9pZWZlZWFaOERMbnJpc0xDMFlCbVVXbGxpSW1ENTJyTEpiRFA1Z3E2QjJlanFMbTdSV29lcE1aVXBVVWlYQUNvMzkxWVBTdmswaEdrMmo0cjJwVVhXU0dtQlNoZm5nQzlrY2NtSDdSamNvTHpTaC9mU21DWTJFTTNUK0c1Zy9Wd3RDbXg5N2JldkhxSFFkaHVTRDErU2FSU3dDcEFJbFVnS0ZGaTNnd0FibE9obVJjaEJoUEltQVBRVXlJVUZlb0lGV2RISUdHSUFqRDI3WnRlMWtRaEIyQ0lPell0V3ZYdXN6OW5wL2pQZkhrTktyZVhMN29iMDBpbklEekpUZEt0dVIveUhpNDFiekRrOGRYWlhPaTFjRGdsK2dFZGxMY0JBbklPUm82cjVBUmtXTTF6M1RkdlA4ckNIZ0xibElxcE50YytEV2ROSXdBcmdKd2xjL25tOTIrZmZ0Zms4bmtqa1FpOGJlOWUvY2V6U1dlam9uc2dsRzVpa3JsMnJiUTFxKzBwYVpydkxZVWRaZFhwbE5UUTQ0STl0emFnM2d3QWVQbUlqUytyeVpkTVZlUUNLaTd0QktsMW1JTS9OcU9rUWZIb1RRcElOZkpZSHFORWVXdlRUMDQyL3JWTm96K3hZSGhQNDRoNW8waEdWdW1XanBTR1RUWmMwTlBkSUlnbkE3Z2RGRVU3N1JhclhzRVFkaVJUQ1ozZEhWMXJhdTFueXJPTmVIZ3owZmc2dktpZEh0eHhyN3BGOXhJUkpLd25KOC9kWDMrWVhQSUVjSFE3MGJSY2wxOVFVdm5IVytWellsV0E0TmZJaUk2WVZtdDFxVWpCam9hOUtJb1hpRUl3aFV5bVF4V3EvVWhVUlFmVkNnVWo3NzAwa3UrMWVyRXBodWJVdFZ5QzNDNG1TdTViTGltTHVON2RZVVM5ZSt1Z3FaYWxVNy96S1pyMEdETGwxcmhIdzZtUjlvTWJZZU9WUlRMMGZqK0dtU1U2Uk9CWkR3Sk1TRkNUTTdWNWhNQUNFTHFhNG13NUxTWWs4QVdVUlMzQ0lKd205VnE3UUd3UXlLUjdIamxsVmQyNDFCSnd6VmhPdDJJd2QvWTRYamF1U2o0SGYvSEZOUVdGWXliRGN1MkkxVkw0QjhLb3U4bnc5ajA2YWE4bGZsVHBjMVRqcWZLNWtTcmdjRXZFUkVSSFUwaUFGRW1rNjFxd0RHLzN2ZDZVSEZlWVFXbzVnTmZBTXZYQmhCU1V4dkFKSXRDdEFINFlqS1ovT0wyN2R1SFJGSGNBV0JIWjJmbnkxaUQ2dVZTbFFTbDI0c3g5YndMNGVrb1ZHV3BoelR1VjMwSWpvVlRsYUFMZUc2aE1NalJkRlVORG54L0VLT1BUbWFza0RCZmFWbVFTVEN6eTV2eDgzUzhWRFluV2cwTWZvbm91T040eGdsMWhTbzlVaEoyUnFFMHlwZXN4bnkwUlQweERQOXhISTN2cXk0by9TeWI5OEFzOUUzYWRWT003RVRWMmRsNVVnK0ZIUW1yMWZvZ2dFc0xPSFJXRk1XL3pNMjkvTnV1WGJ1Q3g3cHZkUFNkcUZrU29pZzJBUGdNZ005WXJkYXh1ZXJsRHpZM056KzNtdFhMeTE5WENvbGNrckdhM3VnakRpZ01jcGpQV2J4K2ZMYndkQlFUVDA1ajhsOU9TQlFTak93WWgyR2pMdjMzeDduTGcrSGZqNldQejVXdXZKNHFteE90RlFhL1JMU3VKVUlKZE4zU2c5YnI2dFBwVS9ZL1RjRHlSbk02K08yL3g0YVlMNGFXYSt1aHJWV256MDBWZzFsOFB4ZDFSNWNzSUxMdzVpQjdhWWV5czByUWVsMDl4aDZiUk53ZlA2ekFGd0JlL2NiQnczN2FUclRXUkZGMENZTHdaMEVRZG5pOTNpZjcrL3NqYTkwbm91VUlnaUFtazBsUkVJUmpHdWhIdll1ck1hc3JWYWlkSzJBWTljYmdId3pDMit0SDlWc3JFQThtQUdURzRRcURITWxvS25qcy9zNEEzSHU5VUJqa3FIbW5CUlhubG1ML2R3YlErK05odEgwaXRReWcrZXdTNkdyVkVNWFV1UXYvRmk1bnRTdWJFNjBsQnI5RXRLNU52K1JHUEpDQXRpNzFoendlVENEaWlrRmJjK2dQKzZaUE5hTC9sM2JzdWJVSHJSOXZTTStwNnIvSGhxbG5aeGExdWYzT1RSbi9YeWhYVUx6bFM2MVFsaW5RL3dzYjFPVktSSnlwSi9ESnVMZ29PRzcrWUczR21wdGhaM1JSY1oybHJnV2tsZ2hpcFdSYWg2Ym0xL3lWU0NUL090R1hPanJaSEc5WkVpc1lxUjRFTUY4UmVpZm0wcDQ3TzNPdldYczB2SHg5WWV1YUE1aXJDdTVZdFAyYys2eVk2ZlFBQUFLMklKcmVWNFB5YzB2VHl3WnQrRWc5cHA5M3BWT1lGUWI1b3ZXQWdmVlgyVHhYSDRsV0U0TmZJbHJYSEU4NVVmSDZRMy93L2NPcGpFcDlRK1pjdVpacjYyQm9UYTJGTzYvcHlobzBYRkdGOEdRRWUyN3J4V3QrbUVyaGl2dFQ2d3lyTGFwMEVabWwxaUdVNjJXUXFhWHc5c3lpNFlvcURQemFqc3FMeWxGL2VXWDZtSWwvVG1Qby9qRVViOVRuYkNPN2FFaStlVmJad1RUUldoSUVZVFNaVEQ0RVlNZHFwNGtTSFlFRGdpRHNTQ1FTTzNidjNyMEhxMXp3NnBRdmJEZ3E3VlMvcVJ4cXN4SjE3MXE4WHJ6S3BFRE4yeXNXclFHY2JiMVZOamVmdFh5S045R3h4T0NYaU5ZMS8zQVEvdUVnUmgrYnpOais0c2YyNWp6KzRDOVMvNjg0ejRUbXEyc2hWVW5Td2U3OFdvVHozd05BeUJIR3JzL3RYN2FpcFd1M0Yrb0tGV1lIQW5EdDlxTHh2ZFhwZmJIWk9FWWVIRWZkcFpaRnFXUHpjZ1cxaDd0Mkk5RnFrRXFsbjk2NWMrY1k1a2JLdXJxNjFyaEhSOS9CWDR4QVZhWkV6ZHNyam5yYnoxN1ppWWIzVktIcXpZZUtFc1Y4Y2ZUOGNBaDFsMWhRMUpxN0VqUWRIa0VRZGllVHlSMkNJT3pvN093OHNKWjlNZVI1Q0xwU1JhMjZaWDlPSkVycGtzWGUxbU5sYzZLMXhPQ1hpTmExN05Ua252OGJncTVSZytvRk41UzVITzVjM0h5bW5uZkJmSFlKWm5hbDFtbDg1VFBkaTQ0WnVuOE1RL2VuQ283TTMzQklaQUwwVFZwcytYSnJ4ckg1Um43M2ZLWDNaRit1aE5hSm5UdDMydGU2RDhlVUNMaDIrMUI3REFMZmZBU1pBSG1SREh1LzNvZWF0MWVnOW1MTE1WdG4vR1FnaXVMTGdpQThLQWpDUTd0MjdScFk2LzZzQldXSmZFMnJLaDlPWlhPaXRjVGdsNGpXdFlYQllkUVRRMkEwaEthcmFnc3FGQlVQSnRKemhJSFUvS1hEQ1N4RkVaZzlHSURsL0RKWUxpaGJzcXAwOWh4ZlJiRjhVZUM3bEpVY1MwU0h6ejhjUk13Ymc2SkV2aWgxVktxV0lqZ1dYaklkZE11WFdsZThocWxNSTBYYnh4dmcyS1RId0svdFVCamtzRnl3dUNvdkxVOFV4ZnF1cnE2UnRlNEhFUjFmR1B3UzBYRmo2bmtYSUFKN3Y5cWI5eGhkdlFaYmIyc0RBSXovZlFxMmh5ZlMrMTY1Y1IvMFRWcTBYSHNvZFNzUlRTNjd2cUlnQURYdnRHQmt4emlNcDdRaDZvN2hsZi9PWGNRcWUyS1plNjh2dmVaaHRueHB6KzJmYVlaeGM5SFNuU0tpSStKOEpWVk02TUQzQnhmdE01OVRDdlBacWJtSnA5elVBb1hoME8xU3lCSEIvdThlR21RYy9hc0R3MzhjejNtTm9kK1BZV2pCOGpQejZ0NVZpVzIzdFVGVFZYaEZYc3JFd0plSURnZURYeUk2TG9oSkVZNG5wMU9weDUxZVdMK3hDUko1WnRTNjc0NkQwRFVlU3EycXZkaUMyb3N0Q0Uxa3p1dGRPTXFUQ0NZZ2tTMWYrYkxpM0ZMWWRveW41eTJkZGMrMm5NZmxxdTZzdHFnV3BXL25TM3ZtUEdDaVZTQUMwOCs1VVB0T0Myb3ZzZUNGYS9lZzVoMFZxSDdMb2VrVW51NVpBSURLcklTeTVGQ0ZXakdSK1lpcjRqeFR1c0w4UXJzK3R4L1ZieWxIK2V0S0Q1MmJCRHEvc0I4eXJSU2FhZ2ErUkVTcmpjRXZFUjBYcHA5M0lSNU1vT2tETllnNG8zQys2TW9vSkRQOW9odWh5UWcyZlhwbGM1OUNqZ2dreXVXRFg0bGNBbjJURnI2RGdSWFBYUXBOaEZud2ltZ2RjYjdpUWNRZGhmbWMxT2l1bUJTWG5NNndGSmxXQnBrMjkrMlVYQy9MZU1BVkQ2U0taY3MwdlAwaUlsb0wvUFFsb25VdkVVNWk1TUdKOUxxQ0RlK3R4cXZmT0lpaVZoMzBUVm9FeDhJWStLVU45WmRYUWxuQStyZ3lqVFJkcE1QYjY0ZEVMbURuamZ0dzJsMGQySEJOSGVSNTFpR1VhcVJJQk9Pdy85bUJrUjI1MHh4ejRjZ3YwZnFpYjlKaXc0ZnJvREtucXJNblk4bkREbjVYSWg2Y0MzNjFSN2NnSHhFUkZZYkJMeEd0ZThOL0dJTWdRWHFrVjFldlFmMWxsZWorVmovcUxxdUU3VThPbUU0M292S041aVhiY2I3a3hzUlRUclJlVjQvbXEyc1JtNDNEdGN1RGlqZVVZZXp4MUZKSzVhOHRoYXZUaStJT2ZYcGRSY2UvWmlBbVJiaDNlMUYyaGhHbDI0c2hOOGhnT3JVWWZUOGRRZU43cTlOTEhNVjhjVGllY2FhdldieEpqMjFmMndnZ2xVWlp0RUdMb2Z2SDBQaitHcWdyRmhmdGFyK3hLWDFEVGtUSGhzSWdnK2swSXhMaEpKS3hKQ0NtcHY0bndzbGpldDFFYUg3a2w4RXZFZEZhWVBCTFJPdmE5QXN1T0o1Mm91UHpHeUNSSDBwUExuOTlLWnd2dXpId0t6dVVKZ1hxTDY5Y2RHNHltb1NuZXhiVEw3b0FBSDEzRDZOa215RTlWM2pnUGp1VVpVcVl6eWxKQjc4QU1QU0hNVlJNbVZCMVVTcVlsdXVrQ0k2SDBmRGVhcmk2dkpqWjZjSFU4eTZVYkROQTE2akJ2bThleExhdmJVUXlrb1Q5TDVPWTJlVkJ4WGtteVBVeWpEODVEYytyUHJSL3Robjc3anlJN1hkdWduNkRGZ08vdE1QVjZjR21UemRCRklHeHh5WmhmbTBwZG4rbEY0M3ZyVTRYMnlHaW8yL3FlUmNPL2l5elh0TEFyKzBZK1BXaDFaMDZQcmRoMlhiMjN6VUExMjV2M3YzNUNsN3R1UzFWdEc5K3pqRVJFYTBPQnI5RXRHNjVkbnZSOTdNUjFGNWlnYUZOQndBSWpvVXg5YndMay8rZWdWUWxRZlBWdFhBODdjUXJuK21HK2JXcENxM3pjM0lQL253RTB5KzZvYXZUb09uS0dwU2RXUUtaVmdveEtXTGdWM1o0WHZWaDh5MnRFTEttL01ZRGNjaUxEbjA4bG00dlJ0V2JsWWdIRXhqNjNSaWFycXhKVlo0R1VQc09DN1ExYWtoVlV1ejYzSDYwWEZPSDJjRUErbjQ2Z3ZiL2JzTFVzek1vZTQweG8zM3pXU1hRTjJyaDZ2UkFvcERBUHhTRTdlRUptRTRyUnVOL1ZhSC9YaHQwOVJwb3FwWmZ6b21JVnE3c05VWVV0NmNxcXZ1SGd6and2UUZzdXJFSjJ0cEQ4L216bHovS3BlbXFXalJFRWpuMzVTcDR0ZER1VzNzaGNFMXZJcUpWeGVDWGlOYXR3RWdRbHZOTXFINUxPWWIvTUFaWGx4ZkI4VEIwZFJvMHZMc1NaV2VXUUpBS3FEalhoT2tYWGJELzJZSHh2MDlCWVpTajZmMDFxSHB6T2FyZVVnNWRYZVlON2NHZjJ4Q2VpcURqY3h1Z3FWSWg2a210QSt3ZkNrSVVSY1JtNDFEblNEMGVlM3dTcWpJRnlzNDBZdUErTzBMalljaDFNcFJzTldDMlA0Q1lOdzV0clFZYnIyL0V4Rk5Pekx6aVFjZ1JTZC84U3RWU2VMcG5JZFZJSVZWTFVIWjJDU0t1S0NhZW1vYmNJSWVtU2cxTnRSck9sejJZZWNVRFRWWEY2cnpSUkNjWmlVSUNaVW5xcVpkN1QrcjNmMmFuQnlWYkRPbWx6d29KZmxOVm9IUFhDQUFXRjd6S0lJcUxLdFlURWRHeHhlQ1hpTmF0bXJmUHBRTUtnTEpVQWVNV0ExcXVxMTljYlZrQXlzNHNRZGtaSmZCMCsrQTU0RWVKMVFCQmtubGpHYkNGc1B2TFBTanVLTUxXMjl1Z21DdHNwU2lXdzN4V1NUb1ZzWFI3Y1hySnBLSU51dlRjWDhzRlplbUF1K3BOWm5SL2V5QTFYeENwbStucXQ1YW5SNHpyTHJYQXMzOFc5WmRWcGd0bzFWNXN3ZkFmeHpCdzM2SFV5dm5YMW54VlRmcW1lK01OalJ3Uklsb2xubjAreURSU1RQNW5CaktkREExWFZLM0tkWk14TWYzWlFrUkVxNFBCTHhHdFh3dmlQOHNGWlFVZFg5eFJoT0tPb3B5N3RiVnFiTG1sTldNdDRIa3QxOVdqNWJyNlJkczMzOUtTL2xwaGtLY0Q1dmsxaEpkU3ZFbVA0azM2OVBkVkY1blQ4NGlYZkJrTWZJbFdSV3cyRHRkdUgyb3Zya0F5SnNMMjhBUVVSbmxCdjZkSGRGMWZIR0pDWk9FcklxSlZ4dUNYaUU0cXVRSmZJam81MlI5eEFBSmdQcWNVaW1JNUlqTlJETjAvQ21XcEloMllKcVBKakNyUXlhaTQ0dXZNOWdmZzZ3OUFXU0tIUkNiQjFITXpBQUI5by9ib3ZCQWlJaW9JZzE4aUlpSTY2WGg3L1poNFlocFZielpEVVp6SzZHaSt1aGJoeVFnR2ZtbEQ4OVcxQUlCZC85Tjl4TmRLUkpJWSt0MW8rbnVKWElMNnl5dlRTNlRSK3ZQc2xaMXIzUVVpT2dZWS9CSVJFZEZKSldBUG9lZC9CNkdwVm1WTVh4Q2tBdHB1YUVRaWtrUjRNZ0lBMlBxVnR2UzhmU0JWQ0d2Zm5RZFhkTDNpZGozT3ZuY2JFdUVFeEVScW5WOU9iMWlmUkZGOFJoQ0VjOWU2SDdTWUtJclBySFVmNlBqSDRKZUlpSWhPS2lGSEJGS1ZCSnMrMVpTeGZqaVFxdEFzMXdNeFR3eWFLaFdVSmZLTTRGZU1KYUdwVWtHaVhGbXhLa0VxUUtibGJkZDYxOVhWZGQ1YTkrRm9zVnF0SGdDR1pESnAzTDE3dDJldCswTzBIdkJUbUlpSWlFNHFwdE9LWWV6UVE2ck9YM0JLMzZ5RjlSdWJGbTFYbFN0emJzOTI2cmZhSWRQek5vdUlhRDNocHpMUk1jWjVRMFJFNjg5U2dlL1J3UG04UkVUckR4ZVlJenBHT0RlRmFHM3hkNUNJaUlnVzRzZ3YwVEZ5SXMwYk9obFpyVllSQURvN08xbVZob2lJaU9nRXdKRmZJaUlpSWlJaU91RXgrQ1VpSWlJaUlxSVRIb05mSWlJaUlpSWlPdUV4K0NVaUlpSWlJcUlUSG9OZklpSWlJaUlpT3VFeCtDVWlJaUlpSXFJVEhvTmZJaUlpSWlJaU91RXgrQ1VpSWlJaUlxSVRIb05mSWlJaUlpSWlPdUV4K0NVaUlpSWlJcUlUbm15dE8wQkVSRVFubjJldjdGenJMaEFSMFVtR0k3OUVSRVMwYWtSUmZHYXQrMENaUkZGOGVhMzdRRVMwR2pqeVMwUkVSS3VtcTZ2cnZMWHVBeEVSblp3NDhrdEVSRVJFUkVRblBBYS9SRVJFUkVSRWRNSmo4RXRFUkVSRVJFUW5QQWEvUkVSRVJFUkVkTUpqd1NzaU91bHQzNzY5VmhURnUzTHRzMXF0RHk3OFhpcVZmbnJuenAzMjFla1pFUkVSRVIwdERINko2S1MzYTlldVVhdlZlZ2FBcWh5N0w1My9RaENFMFowN2Q0NnRYcytJaUlpSTZHaGgyak1SRVpBVUJPR2haUTlLSmg4Q2tGeUYvaEFSRVJIUlVjYmdsNGp5T2FreVE1TEo1STRDRGl2a0dDSWlJaUphaHhqOEVoMy9oUEx5OGkrVWxaWGRzTklUclZhcnFGQW8ybkxzS3QyNmRhdGJxVlMySGtHLzlCVVZGVjlXcTlXNVVvblRGQXBGVy9aL0FLUUFvRmFyWDlQZTNqNmtVcW5xajZBZlM3M090T2JtNW1jQlRDMXh5RlJ6Yy9OelI5SVBJaUlpSWxvN0o5WElEdEZhS1NzciswUk5UYzBQRHVmY3pzNU9ZWmxEUktWUzJWaGFXbnAxT0J6ZU5UczdtemRBMjdKbGkwY3FsUm9XYnV2bzZEaVFmVDJqMFhoUk5Cb2RqVVFpdlhtYWtpb1VpZzI1ZGtTajBSNEFLQzB0dmNSaXNkenM5WHAvdmxUbnM2OC8xd2NMZ0ttYW1wcnZSYVBSWVFCWUdBQkxKSkpvTUJnY3p6NXZxU0JaTHBkWFNTU1NjSzU5NFhCNCtJRUhIa2hZcmRZL0FiZzJUeE1QUC9EQUE0bWxYZ3NSRVJFUnJWOE1mb2xXaVNpS2llN3U3bzZGMjZSU2FmSEdqUnRmc052dG4vUjZ2ZjlZdUsra3BPVGRsWldWdDJZMW8xQW9GSTNaYlR1ZHpoOFhGeGUvdzJBd1hCNkpSR2F5OTBlalVRY0F6NTQ5ZStvQXBJTnBxOVhxN3VucE9UMFlEQjdNdXZZVktwV3F6V3ExaXRsdEhUaHc0TXhRS0RTY0syZ0ZEZ1hySlNVbDczTzVYTDhQaFVMTEZvamF0Mi9meG1nMDJtTXltYTZ4V0N4ZkJqQlZYbDUrdlU2bk93TUFObTNhTkxUdytHQXd1S2VucDJkcmRqdlp4eTNVMnRyNlpMNTk4MzBXQkdHSEtJbzVnMStKUk1LVVp5SWlJcUxqR0lOZm9sVTBQeXE2Z0dsdSszajJ2bmc4UHBsOXZrS2hhTXdYZEFLQTJXeSt3V3cyTDBwL3R0bHNIM1U2blQ4QjROMjJiVnQ4NGI3VzF0WVhGbjUvNE1DQkRRYUQ0VTJqbzZPZjhmbDhPK2JhL2J6UmFQeXZucDZlN1pGSXhBWWdrajBpWFZwYWVsVmRYZDI5QUtCVUtwdjBldjM1QUlUUzB0TDM1ZXJyeE1URTF5WW1KbTVldUsya3BPVDlMcGZyVjFxdGRuTmxaZVdkSXlNalY4M016UHhxZnI5V3E5M2MwdEt5MCtQeDVBMUU1d1BwaGR1c1ZxdVlhN3RDb1dqTGVqK2ZCdUFHWU14cTFpMks0alA1cmtsRVJFUkU2eCtEWDZMalVIZDM5NFpJSk5KZnlMSFpvN2VDSUVqbno3ZGFyV0ozZDNkSE5CcnRVU3FWemUzdDdRZk5adk5OSG8vblViMWUvOXFwcWFudkFJQk9wM3V0eStXNkx4S0pITXg5bFV4bXMva1R3V0N3YzNCd01DUHdiVzl2M3owNU9YbUgwK244ZlRRYWRTN2NwMVFxbTNVNjNka1RFeE0zTlRRMC9Da1FDRHdmQ0FUK3RTQ1ZXYWlwcWJrdkZBcDFlenllMzZwVXF2cHdPRHdHSUxhd25Yd1BCNVo2YURCdjE2NWRzVzNidGowaUNNSUhzbmI5ZWRldVhiR2NKeEVSRVJIUmNZSEJMOUVxeWk2NkpKVktpK2UyVjJidms4bGs1YXZadHdYWExSMGNITHlpbzZPalc2dlZuaUtUeVN4eXVkeGl0OXR2TDdDSjB0TFMwbXVpMGFnOWE2VFZLQWlDTWhnTTdza3hBbzdTMHRJUHpjN09QaVVJZ2k0YWpkcFVLdFdXZkduTW16WnRHZ0J5ai9MMjl2WmVrRWdrQnJLT0g4cTFYU3FWTm1XblF3dUNzQU5BZHZETGxHY2lJaUtpNHh5RFg2SlZJZ2lDTk4vb1kwMU56ZmRyYW1wV3BSL0JZSERQeG8wYjkwZ2tFaFdRR2hFVlJURWhpbUlrR0F6dUdSd2N2QnhBZkhoNCtPcWFtcHA3cFZLcGZuQnc4RW9BamtMYXI2cXF1a2tVeGFSU3Fkd0FRQVVnREFCcXRib0ZBR0t4MkdDdTgvUjYvUnY4ZnYrelBwL3ZiejZmNzBrQThWekh6Y3N4SDFuZTE5ZDNYandlSHhPRTVXcUVwY1RqY1Z0Zlg5OTVBT1NZRzBFdUtpcDZ3dWZ6K1FIbzVnNmI5Zmw4VHhUVUlCRVJFUkd0V3d4K2lWYUhJSXBpb3F1cksvdDN6bVMxV3FjSEJnWXU4M3E5RDJic01KbXVxNjJ0L2ZIUjdraFBUODlXclZaN3Z0Rm9mSnZaYlA1a0xCWWJpMFFpZG9mRGNhdlA1L3Y3M0dFS285SDRObzFHc3gyQWFMRll2aWlSU0NKZXIvZEpBQ0tRTS9nRUFLalY2bzZKaVluUFZWVlYvYTllcjk4K1gzMWFxOVZ1RmtVeEhnZ0VjbGFRSGgwZHZhbWxwZVd4bVptWkg0VEQ0ZUgyOXZaK3BWTFpWT2pyMHVsMHJTMHRMVS9uMjc5VXdhdSt2cjVUL0g3L1BnQjQ1cGxud2xhcjlhOEEzZ01BZ2lEOHRiKy9QMUpvUDRpSWlJaG9mV0x3UzdRS0pCS0pERUR5YURRRkFPM3Q3UVhOdmMybTFXbzNsNWVYM3dKQUdCd2MvQyt6MmZ6SmtaR1JEeFVYRjcrenFhbnByMTZ2OTg4dWwrczNsWldWWDFjcWxVM0R3OE1mak1mamp0cmEycDgwTlRYOUl4S0pEUGYzOTE4MHZ3VFMyTmpZVFc2MysyRUFNQnFORjFkVlZYMjl2Ny8vdlFEY0pTVWxIOUZxdGVmUEI3OGFqZWJzY0RpOEQzTWp3ZGtDZ2NBL0E0SEF5MlZsWlRmWTdmWWJ1N3U3VDhQY2VyKzVXSzNXNmV4dGVSNHc1QzE0QlFEWkJjRG0ydGtoQ01KN0FDQ1pURExsbVlpSWlPZ0V3T0NYYUhXb0U0bUU3MGdia2Nsa2FpQzEzRkFpa2ZBVWNzNThxclZTcVd4dWJXM2Q3WEE0N2h3ZkgvOGk1b0x4Y0RnOFlyUFpQam81T2ZrOWhVSmhMaTh2djBrVXhVaHZiKytad1dDd0V3RDI3ZHZYYWphYlA2aFdxMDlkdVBadlBCNmZtQThvZlQ3ZlV3cUY0b2NBbkFEZzkvdWZLQzR1dnNUaGNOd0dRR0l3R0M1MHVWeS9XNnF2WHEvMzBibnEwQklBb1JXK1BRRHlyL1c3MURxLzJSS0p4T015bVd6KzY3OGRUaitJaUlpSWFIMWg4RXUwQ3FSU2FaRk1KaXZObHlyYzFOVDBRQ0h0eUdReXN5aUs4VkFvdEJOQW9wQnpPanM3eXdENEFZUjdlbnBPRFFhRDR5cVZxaFpJRll5U1NDU1J1WUF4RW92RjdPUGo0MTlLSnBNekFKSUxBMG1mei9mWTFOVFVqL0pkSnhRS3ZXUzMyMSthLzM1bVptYUgyV3orakVhak9VMG1rNW5rY25tRnkrVjZNTi81QUJDTlJrZmxjbmxsVVZIUkc1dWJteDh2NVBVdEpBaUNORitScktYU25yUHQzYnMzWUxWYUh3SWc3dDI3TjdEU2ZoQVJFUkhSK3NQZ2wyZ1ZLQlFLaTkvdmYzRjRlUGpxaGR1bFVtbnh4bzBiWDdEYjdaLzBlcjMvV0xpdnBLVGszWldWbGJjdTNLWlVLamRFbzFFYkNneDg1NlNYRkFvR2c1MHRMUzNQNm5TNnN3L2paU0I3YmQrbGhFS2hGME9oMEc2THhmSmxxVlJxQ0lWQ2UwT2gwQXU1anRWcXRWYXBWRnBrTkJvdmljVmlEcC9QOTFSblo2ZGxmbjkxZGZWL3U5M3Uzd1FDZ2ZUYXh3ME5EZCtUeVdTK2FEUUtBUEQ3L1dNMm0rMGpUcWZ6cHd2YjF1djFaeHVOeGcvWWJMYWJBVXhsWDl0a01sM3I5L3ZIc3JlTG92Z2c1dVkzRXhFUkVkSHhqOEV2MFNwUXFWU3RvVkJvZjQ0NXB5WUFpRWFqNDluNzR2SDRaTmF4MEdxMVo0UkNvYTRqNlV0Zlg5ODVBRkJVVkhTUnorZjdENEQweU9aU2MyT1hvMWFycTB3bTB4ZnRkdnNYQUhpQjFKemc1dWJteHdDZ3Y3Ly9yZm5PTlJxTmx4WVhGMStTU0NTOE5wdnRveWFUNlNxbjAvblFsaTFiK250N2U3ZG9OSnB6dEZydFdiMjl2YThIRU5mcGRCMkpSR0kyR0F4T0xMaStKaDZQT3dCSTFHcDFaV1ZsNVU4R0JnYmVXbE5UYzdjZ0NBcTFXdDBRQ29XeWc5OWlwVkpaQjJBMnUwOEtoZUpSbVV6RzRKZUlpSWpvQkNGWjZ3NFFuUVMwYXJWNld6QVkzSFdFN1NnTUJzTkZzN096ZVNzYXIwUnpjL1BqQ29WaTBmcEtIUjBkQjZ4V3E3and2ODJiTnp0enRRRUFhclc2cHJxNit2c3RMUzM5UnFQeE1xVlNXYlpnWCt2Y2wwbVpUS2JMMHdRbUp5ZHY3ZXpzTE51elowOHBBS0dxcXVvT0FLSlVLalVJZ3BDdzIrMlhLWlhLRnIxZWY2YlJhSHliVENack1oZ01iN0ZZTEYrY2I4TmdNSHl3dXJyNkJ3REVSQ0toTXhnTWJ3R0FvYUdoTnljU0NVOWJXOXUvVkNwVkF3RFUxTlQ4c0xHeDhSRzFXcTAzbVV3ZnJhbXArVloybjE1NjZTWGZjODg5dHlnb0ppSWlJcUxqRTBkK2lZNngwdExTZHdtQ29KaGJ1N1pneC94TGVRQUFJQUJKUkVGVUVva2s0K0ZVU1VuSit5VVNTZEgwOVBSRFI3ZUhtWHA3ZXk5SUpCSURDN2NKZ3BDZFpxMEZBTFBaL0dtVlN2WFRSQ0xoblp5Y3ZOWGhjUHdmVWlQSnBvYUdoaDhaamNiTFhDN1hmUktKUkZ0ZlgzKy9UcWM3MjJhemZSRlpJNjJ4V0N5R3VmUnNzOW44Q1pmTGRUOFdWSVVPaFVLamUvZnViUWJncmEydHZWY21rNm5zZHZ2SEdob2FIdkI2dlk4R2c4RzlwYVdsVjgzTXpQd2FnQ2dJZ3JqZ1hGdFBUOC9yaW9xS3pnMkh3ME1Bb05Gb3RzMmxZdHR0TnR2MURRME52NW1kblgzYTQvRThjclRlUnlJaUlpSmFYeGo4RWgxYnN2THk4czhIQW9FWEZsWkp6a01vTGk2K1dCVEYyWGc4TGhZWEY3OG5tVXo2NS9hWnFxcXF2dXIxZWg4QU1MRlVJMHZKcm9SY2FBVmtVUlNsOCtlR3crRnhuVTUzT2dBb0ZJcUd5Y25KcjQrUGozOEhxWUJXWDE1ZS92bUtpb3JQU3lRUzFkalkySTJUazVQZkJTQzFXQ3kzV2l5V200cUxpNitZbnA3KzNzVEV4QzhBT0JaZVI2ZlRuYWZSYUU0ZEdSbDVMNEJ3SXBFSTYzUzZkeVlTaVNmbnJtYzFHQXdYT2h5T096d2V6NTlHUmtiZUZ3d0dYeldaVEZjckZJcGFqOGR6TndCRUloRW5BTEdrcE9ScXY5Ly93bHkvaHhVS1JadFdxN1ZxTkpyVG5VN25Ed0RBN1hiL3RyUzA5RDFxdFhvemcxOGlJaUtpRXhlRFg2SmpTS0ZRTkN1VnlvYisvdjdQRm5DNFdGMWRmWmRDb2FpYjMrQndPTzRFVXZOWms4bGthR3hzN09ZajZVOTJKZVJjRlpDWHE0cmMwOU56bXQvdmY4SHBkUDdTWnJOOUFYTUJyRktwM05EVzF2YXlWQ290OXZsOGo5dnQ5azlGSXBHK3VkTVNFeE1UdDNpOTNqOVhWMWYvd0dLeDNCNE9oMGZjYnZkdkZyYnQ5L3VmN3U3dTNoYU5Sb2NBWUdwcTZ2YXFxcW83cXF1clZRQWdpbUxVNy9mL1ozcDYrcGYvbjczN0RtK3JQUHNIL24yT3BpM2I4cEszNVJuSHNaUFlPbklDZ1VBRGJWbWxsQkIyU3dndGxEQzZLQlFvVU1wcUNWQktvWXkzL2IwbFpSVEtMcHYyYlVtQkVDQ1daR2M0eTN2TFE3WmxXOE9TenZQN1F5TjJQR0ludHVWeGY2NHIxeFVkblhITHdlTGM1M21lK3dZQW04MzJkd0J3dVZ5MWJXMXR2M1E2blUyQlUzVzN0cmIrT2pNejh3OHltU3g2K0RVa1NYTGE3ZmFQbXBxYTdnOXVxNjZ1UGg5VEt5SkdDQ0dFRUVMbW1VbFhiaVdFSEp2SXlNaFZEb2RqNXpodk13QmErS2NLZXdEbzFHcDFOT2RjN25hNzdSZzVNaG9GZjh1aU9Tc3hNZkdIYnJkN2IzOS8vL2FKOW91TWpEUUcxMERIeGNWOXI2ZW41MjBBeDkwSE9WeU1ScU9XYy81N0FGY0IyTThZTzlGa012V0ZPeTVDQ0NHTGx5aUt2UUMwa2lURlZWUlU5SVk3SGtMbUFrcCtDU0hrMkRHRHdYQXBZK3hSQUNuRHRyZHp6bjltc1ZqK0RtcVhSQWdoSkF3bytTVmtOS3IyVEFnaHg2QzB0SFNKS0lyL1pJejlEVUJLVkU0azhxL1NJeW9uRWdCU0dHTXZpYUw0ejlMUzBpVmhEcFVRUWdnaGhJQkdmZ2toWkVyV3JWdW50dHZ0dHdHNEhZQlNGaUZEOXNWcFNEMWQ1LzlHNVVEYnZ6dFIvMm9MZkU0SkFOd0FmaHNURTdObDI3WnRSeTB1UmdnaGhFd0hHdmtsWkRSS2Zna2haSktNUnVNWm5QTW5BZVFEZ0c1TkhISXZ6NFJDTzdwMm9LZlBpOXEvTmFGelIwOXdVN1VnQ05lWGw1Zi9hL1lpSm9RUXNsaFI4a3ZJYUpUOEVrTElVUmdNaHJUQXV0NUxBQ0FpVlkyOGpabUlMWTQreXBGQTd4NDdhcDVyaHJNOU5PajdNbVBzSnBQSmRNd3Rxd2doaEpDam9lU1hrTkZrNFE2QUVFTG1xb3N1dWtpbVVxbHVaSXk5Q1VBVUZBTDA2MU5SY0cwV0lsTFVrenFIT2ttRjFIV0pFT1FDK3FzSHdTVytITUExcWFtcEEydlhyalZWVlZWUlFTeENDQ0hUTGpVMTlUWUFhczc1bHZiMmRscDJRd2hvNUpjUVFzWmtNQmpLR0dQUEFEQUNRTnlLR09SdXpFUkVzdXFZeittMHVsSHoxMGIwN3VrUGJqSnh6amRiTEpieTQ0K1lFRUlJT1l4R2Zna1pqWkpmUWdnWnByUzBORllRaFBzQlhBK0FLV01WeVAxZUpoSlh4VTdQTnlZSHVyN3FRZTJMelJqcTlRUzI0Q25HMkIzVUc1Z1FRc2gwb2VTWGtOR28xUkVoaFBneG85RjRPV05zUDRBYm1NQlkyaGxKTUc0cFJ1THFhVXA4QVlBQmlTZkV3YmlsR0tuZjFJRUpqQUc0Z1hPKzMyQXdYQVo2S0VrSUlZUVFNaVBvSm9zUXN1aVZsSlFVeUdTeXB3QjhIUUNpY2lPUnYwbVBxT3pJR2IvMlFMMEROVnViMEY4N0dOejBiNS9QZDMxbFplWEJHYjg0SVlTUUJZdEdmZ2taalpKZlFzaWl0VzdkT25WZlg5L3RqTEhiRU96WmUwa2FVay9UemU2M0l3ZmFQKzVDM2Q5YjRIUDZBR0NJYy82Z1ZxdjlMZlVHSm9RUWNpd28rU1ZrTkVwK0NTR0xraWlLWndKNEVrQWVBQ1NkRkkrY3l6T2dpQm5kczNlMmVQcThxSDJwR1oyZjI0S2JxaGxqTjVoTXBuK0dMU2hDQ0NIekVpVy9oSXhHeVM4aFpGRUo5T3o5UFlDTEFYL1AzdndyTTZFdE9uclAzdG5TdTdjZk5jODF3ZGtXR3ZSOWhYUCtNNHZGMGhyT3VBZ2hoTXdmbFB3U01ob2x2NFNRUldIZHVuWHkvdjcrNnpubjl3T0labklHL1hkU2tINU9NZ1RGM0t2OUoza2t0THpmZ2FhMzJ5RjVKQURvWjR6ZG1adWIrK1Nycjc3cUMzZDhoQkJDNWpaS2Zna1pqWkpmUXNpQ1YxWld0bHFTcEdjQUdBQWdibVVNOGpabVFwMTA3RDE3WjR1cnc0MmE1NXJRczhzZTNHU1dKR2x6UlVYRnpuREdSUWdoWkc2ajVKZVEwU2o1SllRc1dLV2xwYkdNc2Q4d3hqWURZTW80QlhLL200SEVWWEh6Njl1UEExMDdlMUg3WWhPR2VrSzlnWitXSk9rT3VxRWg4NDNCWVBpU01iWTYzSEdRd3pqbjJ5d1d5Mm5oam9OTUwwcCtDUmx0N3MzMUk0U1E0OGRFVWZ5dUlBZ0hHR1BYTVlHeHRET1RZSHl3R0ltcjUxbmlDL2g3QTYrT2hmSEJZcVNka1JUc0RYdzlZMnkvS0lyZnhmejdSR1FSbzhSMzdtR01yUXQzRElRUU1odkNWOWFVRUVKbVFGbFoyVkpKa3A0Q2NEb0FST2Rwa0w5SkQwMVdSSmdqTzM2eUNBRzUzOHRBOGlrSk9QUnNBd1pxSGNrQVhoQkY4ZnVDSUZ4ZlhsNStJTnd4TGlJeUFMVDIramlzZlU0TWR3Z0V3R2NiemVFT2dSQkNaZzJOL0JKQ0ZvUTFhOVpFR0kzRyt5UkoyZ1hnZEhta0RQbWI5Rmg1VjhHQ1NIeUgwMlJGb1BUdVF1UnR5b1E4VWdZQXAwdVN0TXRnTU55N1pzMmFoZlZoNXlhMlpNbVMvOHZKeVhuNXlEY2lJaUxTaTR1TDkwZEVSQnc1dWlrTC9DR0VFRUpJbUZEeVN3aVo5MFJSUE12dGR1L2huTjhKUUpsMGNqeU1EeFVqNWZSRU1HR0J6Z2htUU9ycE9oZ2ZLa2JTU2ZFQW9HU00zZVYydS9lSW9uaFd1TU5ieUJJVEU2K05pb3BhMjlYVjlUZ0FxRlNxdk9CN25IT0ZTcVZhS3BQSklvUGJ0RnJ0aHFLaW9qMHBLU2svRDBlOGhCQkNDUEdqNUpjUU1tK1ZsSlNrRzQzR1Z3RjhBQ0EzSWxXTkZiY1hvT0RhYkNoaUZzZXFEa1dNSEFXYnM3SGl0aVdJU0ZFQlFDNkFEMFJSZktXa3BDUTl6T0V0T0VxbHNpZ2pJK04zcmEydGQvWDM5MzhlRVJHeHBxaW82RUJVVk5TSVlrR0NJS2dTRWhJMkZSWVdWdVRsNWIwMk5EVFVNRGc0dUQxY2NSTkNDQ0dFMXZ3U1F1YWhRTS9lR3pqbjkzUE9vNWljUWI4K0ZlbG5KME9RTDlDUjNxUFFGa1hEOE1BeXRIelFnY2EzMnNDOS9DS1pUSGFXMFdpOEt6bzYrc2x0MjdaNXd4M2pmS2RXcTdQeTgvUGY3ZXZyZTg5cXRUNElBRTZuYzBkUFQ4OHJPVGs1TCs3ZXZYdGxjTitjbkp5M0JFR1E5ZlQwdk5yWTJQaDloOE94SDBCMDJJSW5oQkJDQ0kzOEVrTG1GNlBSZUVKL2YvOU96dmxqQUtMaVNyUXdiaWxHNXJkVEZtM2lHeVFvQkdTZWx3TGpsbUxFbFdnQklKcHovcGpkYnYvS2FEU2VFTzc0NXJ1Y25KeDNsRXBsRG1OTXlNM05mWHZwMHFYYmk0dUxEMmkxMm04cEZJclUzTnpjSjRMNzJteTJaeTBXaTc2K3Z2NjdEb2ZEck5Gb2xoZ01odWFvcUtqbDRmd01oQkJDeUdKR0k3K0VrSGxoeFlvVmNVcWw4amVjODJzQk1GV2NFam5mUzBkaTJUeHNYVFREMURvbGltL0tRMWQ1RDJwZmFNWlFqOGZBT2Q5aE5Cci9aMmhvNkplN2QrL3VDWGVNODVITlp2dUxScU01M2VmejlYcTkzbzZCZ1lFdW44L1g1ZkY0dWlNakk0dlQwdElldE5sc0x3RkFUMC9QYXdEYWc4ZktaTEpVeHBoOFlHQ2dPMndmZ0JCQ0NGbmtLUGtsaE14MUxOREw5bmVjOHlRd0lQM01KT2d2U0lOTVRaTlh4c1dBeEZWeGlGdWhSZU1icldqOVp5ZmpFdCtzVUNndUVFWHg1MmF6K1VVQVBOeGh6aWRXcS9VeHBWTDU0Vmp2dVZ5dTJzSEJ3Yy83Ky90M0E1RGk0dUl1NUp6YkFIOFJMSjFPdDlucjlYWUNhSnZObUFraGhCQnlHQ1cvaEpBNXkyZzBGbkxPbndKd0dnQkU1d2Q2OXVxcG04OWt5ZFFDY2k3UGdPN2tlTlJzYlVKL3pXQVNnT2RGVWZ3K1kreDZrOG0wUDl3eHppZkxseS9meHpsM2M4NkhyNkVXQkVHSTJMdDM3eElBZlcxdGJYY25KU1g5UXFmVFhSZDRYM0s3M1kzTnpjMDNoQ0ZrUWdnaGhBUlE4a3NJbVhQV3JGa1Q0WGE3NytDYy93S0FRcTZSSS92aU5DUi9MV0hodGk2YVlWRlprVmg1VndHczI3cFIvMG9MdkE3ZmFaenpYYUlvUHFSU3FSN1lzV09ITTl3eHpoZU5qWTJidTd1N3R3WmZSMGRIcjEyeVpNbW5nWmZxdnI2K0Q5dmEybjRQWURBc0FSSXlpd3dHUTViRllta0lkeHlFRURJWk5HZVFFREtubEpXVm5UTTBOTFFYd0IwQUZNbHJFMkRjc2d3cHB5M2ducjJ6aEFrTUthY253dmhRRVpMWEpnQ0FBc0FkYnJkN2o4RmdPRHZNNGMwYmpERVZnS2pnSDBFUVFsTVJsRXBsZG1GaDRjNklpSWdWdzQvUmFEUXI0K0xpTHAzbFVBbVpFYUlvNWhzTWhsc05Cc09YakxINmNNZERDQ0dUUlNPL2hKQTVZZVhLbFJseXVmd3hTWkkyQUVCa21ocDVtektoTGFUdU1OTk5FYVBBa2g5bUllblVCRlEvMndobm15dVhNZmErMFdoOHpldjEvclN5c3JJbDNESE9aWHE5L2htOVh2L01KSGFWeGNYRm5aT1FrSEJqVEV6TUdSNlB4OXJUMC9NK0FQdE14MGpJZERNWURFV0NJRnpJT2Q4QVlDVmo5RENTRURML1VQSkxDQW1yZGV2V3llMTIrNDhBM0FzZ2lza1pzdGFuSWUzc3BFWGZ1bWltYVF1akFyMkJyV2g4c3czY3l5K1V5V1JuaWFMNHE1aVltQ2VvTi9EWUdob2FycHBnMmpNQUlEVTE5UmFOUm5PaVRDYlQydTMyRDJ0cmF6ZjA5dmErQjhBOTIvRVNjb3lZMFdnMEJKTGRDd0FVY2s0MThnZ2g4eHNsdjRTUXNCRkY4VVM3M2Y0TWdCSUFpQ3VKUWQ3R1RLaDFxakJIdG5nSWNvYk1iNmRBZDJJOGFwNXJSRStsUFFyQW8zYTcvVXBSRkRlYnplWXZ3aDNqWEpPVmxmVnNWbGJXc3hQdEkwbVN1NkdoNFJxNzNmNGZBQzRBcWRuWjJYK3hXcTIzT3AzTzV0bUpsTXlhWUU0NC81L1hDYUlvcnVhY1h5Z0l3Z1djODV4d0IwUUlJZE9Ka2w5Q3lLeGJzMlpOdk52dC9pMkFhd0F3VmJ3U3VkL0xRSUl4ZGlIY1BNNUwvdDdBK2VnMjlhTDJoV2E0YlVNbEFENFhSZkZQSG8vbmR1b05mRmhqWStQbXJxNnVGNE92dFZydG1yeTh2SDhPMzhkcXRUN3VkRHBERHc2aW9xSVM0dVBqTCsvbzZIZ1VBQ1cveDhIWjVocTFUWjJzQWhNWSttc0djZURKT2l6L1pRSFVpY3BqdnNabkc4MHdiaWxDUktyNjZEdHpZTi9qdFFBRGxtN09ocUNjbitWVWpFYmo0NXp6Q3dDa004WXdsVkZlVVJScFNKZ1FNaTlROGtzSW1VM01ZREJjNFhhN0h3R2dBd1BTejBxQ2ZuMHFaR3BadUdNakRFZ29pMFhzOGhnMHZ0bUdsZyt0REJ6WEtoU0tDd3dHdzg4dEZzc0xvTjdBNEp5N0FRd0VYMHVTRktxVXpSampBQ0NYeTJWSEhKTUNBQTZIZ3hMZjQyUzZ0V3JVdHRWUHJJQXlSb0hhRjV1aENzd2NjWFVOaGQ0WFpBektPTVdvNDRidmN5UzN6UU9tR0R1UkhaRllNeUJwYlR3T1BGbUgzYjg1aE9LYjgrQzJlV0M1Yzkra1BzL2E1MFJJWG82aFhzK1k3OWU5MElSdWM5K2t6bk04SkVuaWdpQndtdHE4NE95TGpZMGRPUHB1aEN3T2xQd1NRbWFGS0lyTE9PZFBNY2JXQVVCTXZnWjVWK21oeWFTZXZYT05UQzBnNTdKMEpKMGNqK3F0amVpdkh0UXh4cDR6R0F6Zlo0eGRiemFiSjNkWHY4Q3BWS3FsakRHWFJxTTVEUURjYm5jZkFsMFVZbU5qTC9kNnZUNEFrTXZsZ2s2bjIrenhlS3dBck9HTGVPRUlqc3EyYit0QzQ1dHRVTVlvMFByUER2UlgrN3RMbGQrMFo4VCtHbjBFRFBjdkczV2VJL2NiYnMrV1ErTytkMlNpbVdDTXhiS2Y1bUhmWXpWby9FYzdzaTlKaDNGTDBZU2ZvZHZTaC9xWC9iWGxCdXNkcUx6M3dKajdyZjdEQ21SZjRnTUFTQjZPeWwvdlI5cFpTVWcrSldIQzgwK1Z4V0w1Q1lDZkdZM0dWWnp6Q3hsakd5WTc3ZGxzTnRPY0hVTEl2RURKTHlGa1JobU54a2hKa3U0RWNETmp6Tit6OTVJMEpKOUtQWHZuT28wK0FpdnZMSUQxazI3VS83MFYza0h2T2dDVm9pZyt6Qmg3d0dReU9jSWRZemlscDZjL3JOVnF6NVlreWRIVjFmVUVnRTRBc0ZxdHY5UHBkTmZyZExycmcvdDZQSjZXbHBhV0g0VXQyQVdxWTdzTnlhY2tZTERKaWZxL3Q2RGdoMWxJV25zNEtSeHNjcUxpN3YxSVhCVTc3am5HbXQ0ODNyUm5aNXRyMU1pejZkWXFaRitjaGdSakxGYithaWswbVJGZ01oWTYxanZneGM2ZjdjR3EzeStIUE9yd2JaZXk3dkN2VDNTZUJpZjlieWtBNFBNZlZDQi9reDVKcDhRREFBU0ZBSDlYTXNCbTdvUGs1VWcrSldGeVU3S25UaktaVEY4QytCTEFMOHJLeWtvREZmZzNBQ2ljaVFzU1FzaHNvdVNYRURKampFYmp0empuZjJTTVpRUCtxWUU1bDJWQUVVMWZQZk1GRXhoUzFpVWl3UmlMdXBlYTBmR1pUUUhnbHdBdUt5c3J1N0c4dlB6OWNNYzRtNnFxcW5KY0xsY1hBTlRXMXA0MzFqNHRMUzAzdDdTMDNEeTdrUzArTHFzYjlvTUR5TDRvRFZXUDFTQjZTUlJpQ3FNUFQyWG13TUgvcVljbVBRSzZOZkZ3ZFExQkZhY0FrNDE4NkRiV05PcUp0aC9KMmVhQzErRWZtWTNLamh6MVB1ZUF6eTFod3RuRUxKamtCZ2hIdkE3bytxb0hrUmtSTTVYNEhvbVhsNWRiQUZnQTNCbG9kYlFoVVAyNVpEWUNJSVNRNlVaM29JU1FhYmRxMWFwTW44LzNXS0I0Q2lMVDFjaTdVZzl0WVZTNFF5UEhTQkV0UjhFUHM1RjhhZ0pxdGpiQjBlcks0WnkvSjRyaUcxNnY5eWU3ZHUxYUZHdFpYUzVYZmJoaklIN3QvKzFHYkZFMGZDNEpxZ1FsQmh1ZDQwNWpMcjk1TDRDeFIzbVgzN29FNnVTUkZlYkxiOW96NW5hWDFUM2hkT2lodnRIcmRyMEQvc1RZWS9lQ1MvNE1XS2FhZW8wRG45T0hibk1mTXM5UG1mS3gwOEZpc1ZRQnFBSnduOUZvek9PY2IrQ2NiMkNNclE1TFFJUVFjZ3dvK1NXRVRCdWowYWdBOEdPZnozY1BBSTJnWU5DdlQwUGFXZUh2MmN0OWZOU0lENWs2YldFMFN1OWZodFlQTzlENFppc2tENzlBTHBlZllUQVk3dFpxdFk5VGIyQXlXL3FxK2hGVG9FSGN5aGpFRmtjZjlmZjdzNDNtRWErNWoyUEY3VXVnakp0OFZXaFZnaElyYmw4eTd2ZkpWei9hUGU2eDV0c1BqeVRyMTZlT1NLeUgrandqanEzK1N5T3EvOUlJUWM1dzBsOE1BUHpKUHZkeHRMeG5oVHBCQ1NablNCRERVeUhmWkRMVkFIZ0l3RU1HZ3lGcjlpTWdoSkJqUThrdklXUmFHQXlHTlp6elp3Q3NCSUQ0VWkxeXI4aVkxWjY5NDYzVDh3NTRzZk9tUFNpOXAvQ1lwd3Y2WEQ2MGZOQ0JsSFdKWTFhTkRaS0dKRmcvN1VicTZicmp2aWs5OUw4TlVPdFV5RHh2K2tkNlB0dG9SczZsNlVnL0p6bTB6V1AzWXYrVGRjaTZJQlV4UzhjZnBSZmtEQm5uSmlQeGhGalVQdDhNVzBWZkZHUHNkM2E3ZmFQQllMak9ZckhzbVBhQUNUbEMxa1ZwMlB1N2FxU2VrUVIxb2hMbE4rK0ZxOE05NmVPZGJTN3MvdTM0bzdnVGpmQ0t2MW1HeUl6UnhmcE9mR2JrYkdEdTQ5aXo1UkFHRzUwb2U2UTR0T1pYVURCMDdld043YWVJbG9jS1pKbHVyVUxXaGpRa3JvNEZtUDlMaEVzY2JmL3NRTkxKOFdqZjFnVkhtd3N0NzFtUmVYNHFNcjZWakhDeVdDd05ZUTJBRUVLbWdKSmZRc2h4Q2ZUc2ZSRCtucjFReFN1UWU0VWVDYUoyM09TdjVmM2pMM2liK2cwZHZ2cng3dEJhdTZBajErbXRmVTVFenk0N2xISEtjUk5mTG5HNHJHUGZOQWVQNlM3dlJkUGI3VWhabHpoaFhQMTFEdFE4MXdTZjA0ZU1jLzFKNjVFalR1TkpPek1KdWQvTkNBUUYyQ3JzME05QTRqc2VKbWRReE1peDZ6Y0hrWGxlQ3ZUclV5Y3NTcWJXcVZEMHN6eDBtL3RRKzN3VDNMYWhFc2JZNTZJby9rbWxVdDIrWThjTzI2d0ZUeGFkMk9Kb1JPZHEwUGJQRHVSY25vSFNld3BEMDRySDh1VU51MFp0WXdMRHlWc05vN1pQMU9kMyt5Ykx1TmVRUjQ2Y3psejNVa3NvSVpkRnlFYTlQenlPNGRkU2FPVWpYbmQ4YW9PcmV3aHBaeWFoZlZzWFZBbEtaRitjanRxL05TTzJPSHJNdGNhRUVFSkdvK1NYRUhLc21ORm8zQmpvMlpzNGxaNjlkWUgySHNkRGQzSTh5aDVkUG1MYkY1c3JVZnJyUXFoVFJvNDJkMzdSQTJlYmE4d2t0T1JYUzZIU0tjY3RiaE5zYWRLeDNRYmRDWEVUanZvQ2dIWnBGRkpQMTZIaDlUYkVGc2NnS2lmU0g2ZVB3MWJSaDNpREZnZ21sQkpIeCtjMnRIelFBVTJHR2tscjQwUG5HYWgzd05QbmdUSmVBV2ViYThRMVpCRXlPRnBjRTQ1TWxmeHFLYUx6TlJQR2VpUjVwQXlGTitTZ3ZTZ2FOYzgzUWFsVklQVWJ1b2tQWWtDQ1VZdlk0cWhBYitBT2dPT0hicmQ3dmRGb3ZNVmtNajBINmcxTVpraDhhUXc2dHR1UXd3RkJ5WEFzMHkzRzYvVTdVWi9meVdqZjFvV1dENjBvdUNZYkIvOVVmOHpuOGJsOHFIK3RGYm9UNHhDWmZqZ2hUdjJHRGwzbHZUandkRDBNOXhWQ1VCNTdySVFRc2xoUThrc0ltVEtEd1ZERUdIdWFjMzRxQU1Rc2lVTGVwc3hKOSt3OXNrZm1jSjl0TkNQbHRFVGtYNldmMUxtT0hJVTVzbGVtOGVGaTJDcjdrSE5aT2hKV3hRRUFtdDlwUitlT0hwVGVXd2hWb2hLQ25JMkt5ZnBwTnc3OTJUK2J6OVhoUm05VlA4Q0Jqcy9ISHN6TVBDOEZXUmVtQVFDeUwwNUR0N2tYQi8vY0FQR0JaVkFuS3RGZlBZaVdENnhvL1Zjbk1zNU5obHdqUitNYnJlQStqb0pyc3BCUU5ySVZTMWU1ZjBya3ZqL1VqcnBXMHRvRUpKM3NUNVJYL0xJQVN1M2hyM0pudXh0VnY2OEp2VzUrdHgzMXI3U09HWFBkeXkxalBvakl1akFOaG5zTEVaaysrUjdNTXJVTU9aZGxJR2x0QW1xZWJZUzllbERIT2Q4cWl1SlZuUFByQThWeUNKbFd5bmdsaG5vOTZObHR4OTVIcXFkOFBKZjR1RVd5Sm5xNGREVGQ1YjJvMmRxRXpHK25JSzRrWnNySCsxd1NiQlY5Y0xhNzRlbjF3RHZvUmRZRmFTTjNZc0NTSCtoaHZuMGY2bDl0UFR4cmhCQkN5TGdvK1NXRVRGcWdaKzlkakxHYkFjamxHaG15TDAxSDhpbmg2OW5MSlk2eWg0dWhUbGJoczQxbWlMOWRob2hVTlZ4V044cHYyWXZtZDlvUlg2cUYvY0FBMHMvMnI0MnpIeHhBMHRwNFJLUk1iajF5Njc4NkVaVVZpYVhYWlkvWWJybGpIeksrblFMZGlYRWorbmZLSW1USXYwb1BXWVFNWVA2UkpVV3NBc3R2SzBESFo5Mm9lNmtGUHFjUGNTdGlrTGN4RTVDeDBPaVRPbEVKY0tCenV3MzY4MU9odnlBVk8zNVlpY3p2cEl4WTI5ZTd0OSsvZjVJS3F2akRvOUhjTjNLUU5lVTBmNXVpSTVsdXJVTEd0NUtSZk9yaG5xaGM4aGZsa1d0a1k2NW5uQXhOWmdSVzNGbUFqazl0cUh1NUdkNUIzOWNZWTVVR2crRmhRUkR1WCt5OWdjbjBHS2gzd092MG9YdG5MNVJhQldLTG9ySDZpUldoOTFzKzZFRFNTZkZRREhzd1ZQdEM4NGhaS2NvNEpmS3YwaVBsdEpGTEdleUhCdER4cVExWkY2WkJFVFA2TnFuOTQ2NEppMlIxZkc3RG9UODFJUEdFV0dSdFNJTm5ZQkkxNERnd1VPZUFyYklQQUZEM3QyWXdPWU1xWGdsMzF4QXl6azBlVlhrYThQLytaNXliak1hMzJwQzRPZzR4UzZZMjI0TVFRaFliU240SklaTWlpdUs1blBNbmdqMTdrMDlOUVBZbDZUUFdzM2VveDNQVUtjYVQ0ZW4zWXVuMU9URGZYb1hCSmljOGZSNE05WHFRK1ozSnJhWDFEbmhoM2RZRlpmeklOY1BlUVI4a0w0ZEdQM2JQemZoU2JlanY0NDBzOWV5Mm8veVd2U08yclgxT1JGZDVMOXc5UTZGcDBGdzY5a3JWY28wY2NzM1kvMGFLYVBtb3p3UUE4c2pqK3pkbEFrUHkxeElRTDJwUjkzSUxPajd0bGpQR2J1ZWNYMlkwR204MG1VenZIZGNGeUtMWHRiTVgzZVc5a0VmS2tIZWxIdFpQdTVGUUZndlRMWHRodUg4WjdBY0gwSDlvQUN0K1dRQW1ZM0EwT3lHUGtFRVplL2c3UlJxU29OUXFBQTY0ZXp5bzJkcUlvcHZ5VVAyWFJuQWZoNnZUUFNyNTlUcDhjSGNQUWFZZVk0b3hCNXJlYmtQREcyMUlMSXRGd1Erekp6MEx1L09MSGh4NHVnNkNVa0NDTVJhSnEySVJYUkNGM2ZjZmhEcEpPV0hSdTR4ems5RzV3d1pIczVPU1gwSUlPUXBLZmdraEV6SWFqWHJPK1I4QW5BOEFtb3dJNUYyWk9XRTE0T00xMk9SRStjLzNRTGNtSHRtWFRweGdhL1FSTU4reEQ1SkhBdUFmMFdRQ0E1TXphUFFSS0x3eEIwekdVSEJORmc3OXVRRStsdzhGMTJiN2Izb25vZW50ZG9BeHVLeHVTQjRKUW1BTm9MUGR2dzUzZURYcjFvODZVUHZpNFhhM3c2ZFNEeStlNDJ4endYUnIxWWozZzlzQUlEcFBneVZYWjBHZDVEKzM1SkZtcFUxVHNIaVlYRFAxSHFSalVVVExVWEJORnBKUFNVRE5YeHZoYUhGbGM4N2ZGVVh4VFpsTTlwT2RPM2MyVGN1RnlLS2pYNStLL0t2MGtHdGs2UHF5Qi9XdnRDQnhWYXovdjJHQm9mREdYRlRjdFEvOTFZUHdPbnpnSExCVjlLSHA3ZmJRZ3kvckoxMW8zOWFOZUlNV2t0c0hXNFYvMUxYNDVuenNlNklXdXg4NENIRkxNZFE2SldyKzJnUzNiUWg1VjJhaTdkK2Q4TG1sVWRPTTIvN1RpWWJYMjVCOGFnTHlyOUpQNlhjMmVva0doVGZrSUs1VUM1bksveDNqZGZpZ0xZcEcyamQxRTY3bkZSUUNTdTliRmpxT0VFTEkrQ2o1SllTTUtkQ3o5eWVjODE4RDBBaEtBZnIxcVVnL0sybkdFN0dJSkJXaTh6Um8rMWNudXMyOXlMNGtIU2xmU3h4ekZNVncvekwwN3UySHJhSVByUjkxUUJtbmdDcEJDZjM2Vk1TdDhLKzE0MTRPbTZVUEEvVU9nUGtUV2tIT0VGc2NFenJuZUJXWkI1dGR5TDRrRGJVdk5HT2czb0dZSmY2a2Y3REpDU1pqaUVnOW5Qd21yVTFBM01vWTJDcnRxUHRiODRqekRDK2U0N1o1QUl3c3RCUGNCZ0JLclJ5SnErTGdjMG4rcEo3N3cvUzVwS245SUtmSTV3eU8vRTVQOGh1a0xZeEM2WDNMMFBxaEZZMXZ0a0h5OFBVK24rOE1vOUY0TjRESFRTYVQ1NmduSVdRWVFjNUNEOFZhLzlVSjNZbnhJNHBUcWVJVk1ENWNESG1rRElmKzNBREpJeUh2eWt6cy8yTWQ0a3Bqb01tTWdQVlRtMy90L0JIZks2b0VKVmJlVVlDK2ZRTlE2L3pUbXdjYUhQQTVmVkRGSzVGM1JTWU9QRk9QMkdYUmlCY1B6L0JJT1MwUmNvMGN1aFBqd0NVT1I0c0xNcFdBbmwxMmdHRjBjaW9oZEcxMW90Sy81R0VZZWFRTUJUK2NYQXZkY0NlK0JvTWhpMW9lRVVMbUEwcCtDU0dqbEphV25oVG8yYnNDQUJMRVdPUitMd09xeFBIWHVVMG5RU1VnOTdzWlNEb3BIZ2YvM0lEcXZ6U2ljN3NOK1QvSUdyRk9kN0RKaWFhMzJnQUFTNi9MUWV0SEhWaHlkUmE2VGIyb2VyUUdDYUlXdXBQaTBmQnFLNXdkYml5NU9ndktXQVdxbjIzRW5vZXFvVTVVb3ZpVy9OQ0liUFpGYWFIQ1U5M2x2YWgvdFJWTHI4dUdYQ05EKzhkZDZOM2JIMHArN1FjSEVabXVEbzBFQS80UlU3bEdCbVdEYzlSbkdxdDR6bmpUb1RzK3Q0V0tiUVhWUE4rRW11Y1BENVF1djNYSlVYK09WWS9XaEVhenhqSmV3YXRnMGJEZ211UHA0TzhObklMRUUrTDFTaDM2QUFBZ0FFbEVRVlJRKzBJemJKWStEZWY4RVFCWGxwYVdicTZvcVBoOFdpNUVGcFcrZmYwWXFITmc2WFU1RUJRTWdrS0F6ZFNMMk9YUkFJREJCZ2Q2ZHR1UmNXNHlFb3l4V0xvNUc1cU1DRmcvNllhN2V3Z3BwL3ZYK3lxaTVRQURySjkwaDZZT3EzVktPTnRjR0toM1lLRFdnZFJ2K2l1ZjYwNktSK2NYUFJoc2NvNUlmcG5Bb0R2UlgxU1BNWWFLdS9kREdwTEFCSWIwTS8wUERZTVBzM3hPSDdwTnZWQW56TTUzNmt3UVJUR2ZjNzRCd0FXTXNkVTQ3czdtaEJBeTh5ajVKWVNFckY2OU9zSG44MjNoblA4QUNQYnN6Unl6WU5Kc2lNcUpoT0hlUWpTODBZYm05OXBodVhNZnNpOUtROW9aU1hCMXVHRzVjeDh5dnBXQzdJdlNSb3lnNUcvU0kvM01KSGpzWGpTOTB3NG1aeWo1MWRKUUwwempRMFd3ZnRLTmdUckh5TjZhc1lyUWEyMVJORksvb1F1TkxzVXVqMEYzZVMvMDU2Y0NIT2pkYllkdVRkeWtQOHRVcGozclRvanpqMHJEWDlobjMyTTFLTG9wRHhwOTVJajlqeVp2a3g0NWJ0K1k3NDFWOEdxNGlsOGZBSk5QLzcxc3FEZXdxVGZRRzlpelFoQ0U3UWFENGY4cEZJcmJ2dnJxcSs1cHZ5aFpzTFRMb21HNGYxbG9oRGJ6T3ltb2Y2VUYwb3Yrd205TXpoQlRFSVhrVS96L25TZWU0UCtkVlNlcGtIVlJHbFR4L3VQa1VYTG8xNmVpOW9WbStGd2pmMmNFcFlEWUZUSFFENnNUc095bnVSTVgrV1BBU2YrdjFGK0FqdmtUNDROL3FrZkhaNGVyeGN2VU1peTVabklqdTNPRndXQW9FZ1Rod2tEU3U1SXh5bmNKSWZNTEpiK0VFQUJnb2lodThucTlEd05JWUFLUWRsWXk5T2VuSExWbjc0d0hKbWZJdmpnTjhTVXhPUEIwSFhwMjI1RjJSaExVeVNxVTNsTUlaWndDcm03LzlHSGpsaUl3dVFCWDF4Q1lRb0F5UVltc0M5SWdqNUlCQWhzeHpUaXVSSXZVcjQvZnd6WTZUNFBvdk1QRll4TExZdEh5dmhVRHRRNTRCcndZNnZNZ2NmWGtrOStwVEhzV2xBSlU4ZjU5ZXlyOTI3dDM5aUsrUkJ0SzhpZVQvUHFyUUkrL3R2bklnbGNqY0E1Qk1YTTN0Z25HV01RV1I2UHhyWGEwZkdBRkE3dmE2L1dlTDRyaUxXYXorYStnM3NCa0hBV2JzMGNVcmhyZSt6Ynp2SlFKaTBNRnhSWkZJN1lvZXNRMi9mbXAvb2Ria3pBODhaMm9kZHZ3SlNKNUcvWEl1akFka1B3SnNWS3JPS1lIVEJOZGJ3WXdvOUZvQ0k3d0FpamtuSDQxQ1NIekZ5Vy9oQ3h5SlNVbHhUS1o3R2tBcHdCQVRFRVU4amZwRVpreFRsSVVKakZMbzJDNGZ4azRSeWdCak1xT3hLNzdEc0orYU9DWXpqbVZtOGpvZkEwMCtnZzB2dFVHcjhNSFRXWUVvdk1uWDFsMUt0T2VoK3ZkWTRjOFVnYnJwOTJRUjhtUmMxbjZwSzk1UENRUG43REl6blNRcVdYSXVUUWR5V3ZqY2VqWlJ2UWZHa3dFOEt3b2l0LzMrWHpYVlZaVzdqM3FTY2lpazNSU2ZMaERPQ1l5dFRCMmxlaTVSeEJGY1RYbi9FSkJFQzdnbk9lRU95QkNDSmt1bFB3U3NraXRYTGxTbzFBbzd1S2MveHlBWEI0bFE4NmxHVWhhR3grMm5yMUhNN3lYYnRES3V3b0FBRDI3N0loWkdqV2k4TXRuRzgwanBodFB4VkNQQjAxdnR5UHJvclJRQWFqc2k5T3g5NUZxQUVEUlRYbFRPdDlZMDU1UGZ0YmdMMllsWStqZDE0K3FSMnRHSE9QcDk4SldZWWQrZlFva0QwZmptMjFReGltUWZsYlNsRC9QVkhqc1huQWZuL2JDVitPSnpJakF5anNLMFBHWkRYVXZOY003NkR0RkpwTlZHQXlHUndSQnVJOTZBeE15OHd3R3c2bUJLYzBYQUVobmpHRXFvN3lpS05LUThDTEhHSHZDWkRMOU9OeHhFRElSU240SldZUU1Cc041akxISE9lZFp3TXozN0owTmV4K3BIalBSRGE2akhVNGVKY2VKVDYwYzh6eHUyeEJhM3U5QSs4ZGRrS2tGcEorVkZFb0NRMU9OR1NDNXg2KzgzTHZIRGdEd3VhVUpxN0QyN1I4WU1TS2NzaTV4eFB2K05rditLdExLV0FYYzNVT29lNmtacWdSbEtDWnBTQnBSQlZvYW12cjlaMy8xSU96VmcxREZLeURJQlhSczl5KzdqYzZkdlo2aFRHQklQalVCOFFZdDZ2L2VBdXNuM1hMRzJHMmM4OHRFVWZ5UjJXeCtaOWFDSVRBYWpYcVR5ZFFNZjAxaXNnZ3d4cmdrU1Z3UUJFNVRtOG14NEp6L0NBQWx2MlJPbTc5M3VvU1FLVE1halhvQWozUE92d01Ba1JscTVHL1NJNlpnNW5yMmh0dnlXNWRBbmF3YXNZMGRrWS82QW9sczY0Y2RxUDVMSStTUk11alhweUwxbXpySVZBSTgvVjdVL0xVSlhWLzFJR2x0UENTM2hQMVAxU0h0NEFDeUxrb2JzUzY2OWFNT2RIN1JBNDArQXJVdk5HSEo5N05nM0ZJMG9oK3dNazZCd2gvbFFsc1lCY01EeTBLanJNRyt2Z0RRZDJBQWJmL3FSUG81U2FIMWpmbFg2ZUd5dWxHenRSSDVWK2tCQUtaZkhQL01ZSjliR3RHYVNWQUl5TDQ0YmRUUGJUWW9vdVZZY25VV2trOU5RTTNXSmd3Mk83TUF2QzJLNGx1TXNaK1lUS2JHV1E5cUVlS2NQeXFLNG9tTXNUY2tTWG85UHovL3MxZGZmWFhzNm1sa1FUQ2J6WjhDK0JUQXo0eEc0eXJPK1lXTXNRMlRuZlpzTnB2bjVwUWhNdU5LUzB0TEJVR3dBS2dNZHl5RUhBMGx2NFFzQWthalVjRTUvMm1nWjIra29CU1FkVUVxMHM2YytaNjlNMmw0d1NoZ1pGR3BpWERwOExHcVdBVUdhZ2Y5NStzY1F1WjVLVWcvT3dreXRRdytsdy9ONzdhaitWMHJwQ0VKT1pkbklQMnNKSENKSStMTk5qUzkzWTdPTDNxUWRtWVNrcitXQUVlTEMzVXZ0U0QvQjNwb0M2T3g2OTREMlAzZ0lhUitRd2Z1NC82MlNESUdRY2FnTGREQTYvQkJFU1dINU9YZ1hnbURUVTV3SHdmM0Fmc2ZyMFZraGhyNjlZY0w4REFaUStHUGMrRnpTM0JaM1FDQTBuc0tvZEFlTHY3amJIT051YjU0SXJIRjBUajVXUU44TGgrNHo5OWZkQ1lxUFU5RlRFRVVTdThyUk90SEhXaDRvdzNTa0hRKzV6ellHL2dQMUJ0NFZxUnp6bi9FR1B0UlRVMU5oeWlLYndxQzhEcm5mQnY5L0JjMHlXUXlmUW5nU3dDL0tDc3JLNVVrYVFPQURRQUt3eHNhSVlRY0gwcCtDVm5nakVialdzNzUwd0NXQS80cXU3bmZ5NEJxSHZlWEREcXlZTlJZU2QvUkVzSFNld29SbmE5Qjhpa0p5TG80RGNwQUl1bHNkNlB5MS92aGRmZ1F0eklHdWQvTERQVVlaZ0pEMW9ZMEpJaXhxSG0rQ1EydnRVS1ZxSVFpU283RUUrSkNiVlZLN3l0RTh6dnRxSCtsQlo0K0R5UVA5N2MrbVlCTUxVUGVWWm1RcVFVVS9UUnZSQjlod0Q4eXFvZ0dQTDBlUkthcm9ZcFhqRWgrdVVmeTl4K2VZTHIxV0ppTVFhNlpXLzlMWURLRzlIT1NrYmc2RHJVdk5xUGIxQnZKT1g4WXdKVmxaV1dieTh2THQ0Yzd4a1VrQ2NDMWtpUmRDNkJIRk1WL0FIZzlKaWJtLzdadDIzYjAwdU56a09UbHFMaHJId3F1elE2MVFmTTZmUEQwZVVMTEozcDIyYkgza1dxYzhPVEswTElRbDlVZGxsa1JZY0xMeThzdEFDd0E3Z3kwT3RvUXFQNWNFdWJZQ0NGa3l1YnZrQThoWkVKR296R1JjNzRGd1BjQlFKV2dSTzRWR1VnUXc5T3pkN0pzRlgxUUpTaWh5WXdJZHloby83Z0xrUmxxeEN5WmVGcjRRTDBqZFBNc0RVa1RWMG5tZ09TVi9DTzhFc0FZL04vRWpQbi9MakFJY2dhZjB3ZFp4TXdWbkhKWjNaQkh5MmV0cU5WMDZEYjNvdmI1WnJnRHJhMFlZLzhyazhsdXBkN0EwMDhVeGRmZ0grazdtbjdHMkx1U0pMM3U4L2srM0xWcjErQWt6czJCV1cvWk0wcTN1UThIbjY3RDZpZFdoSll1VkQvYkNGdEZIMHJ1WGdwVnZISlU4dXRzYzhGeTEzN2tYNlZIMHNueGtEeGpMNG11ZmFFWjdSOTNUU3FPY1A4Y1B0dG9CakQxYWN0R296R1BjNzZCYzc2Qk1iYWFwajB2WHNPblBadk41dEp3eDBQSVJPYldZMzVDaGpFWURGOHl4bGFITzQ1NTZIVUFMM0xPM3dEODYxdlR6MGxCNW5kU0ppeStORmZFbDJyREhVSkl5bW1KUjk4SkNDVytBSTdlSG9qNTE5Uk8wSDRYQUdZMDhRVXdMMGV1RXNSWXhCYkhvT210TnJSOFlBV1grQSs4WHU4UFJGRzhBTUFiNFk1dmtZcm1uRi9HR0x0TUxwZERGTVUzT09ldktaWEs5Nzc4OGt0N3VJT2JpUFcvWFloZEhvT2hIZzhBL3l6dTdJdlRZRDg0Z0gyUDFZWXF5UWY1M0JMMi83RU9rV2xxSks3eVAwVDgvQWNWWTU1NzFhUExSMVJsNy9pOEIwMy9hTVBLT3d2bWRXSEI0VXdtVXcyQWh3QThaREFZc3NJZER5R0VUTWJDK0FZbUN4SWx2c2VPTWZhN1lMWE9ndXR5b0RzaExzd1JFVEk5WkNvQjJaZWtRNU1kaVFOUDFnVTNQeExPbU1nSUhBQ1h5K1Z6dWx5d3M5ME5XMFVmd0lGdVUyOW8rNnJIVnFEd1I3bW92SHMvYkJYMkVROE02MTlwZ2MvcHc4cTdsNFllY3BVOXVod0EwUDFWRCtwZWJnbTlWaVVvUjh5dDh3NTRvWXhUTE5qaWdoYUxwU0hjTVJCQ3lHUlE4a3ZtUEpwS05YV2lLSzVIWUNUczROTjFHS3gzSVBQODFIa3g4a3ZJUkh4dUNZMXZ0cUgxUTJ0b0cyUHM1eWFUNmEwd2hyWGdUR1hhTStmOEhjYlk2NHl4RCtkTFQrYW10OXVSZkVvQ2xsdzkxb0NsQXNhSGk2R01WYUJuMStIQmEvMzVxVWcvSXlsVUZ3QUExSW4rMmdueXdHaHU4RFdYT0Z6dDd0QisvWFdEaUVoUkgyNlhGcUJLVUI1OXRnZ2hoSkJwUThrdklRdVEyV3grYy9YcTFZaytuMjhMbC9nUG10K3pvdk9Mbm5teDVwZVE4WFNiZWxIN3d1RTF2NXp6LzZkUUtHNmpOYit6aTNOdVk0ejlnekgyZWw5ZjMvOVZWMWU3ajM3VTNPRnpTK2cyOVdMWlQzSkhKS09xUkNYY1hVTmo5Z2IvOG9aZEkxNlAxVk44T08rZ2I4enpITGx0NVowRkMzWTBtQkJDNWlKS2ZnbFpvQUlKd2RWbFpXWFBTcEwwakx0N2FQbSt4MnFSSUFhcVBTZk8vMnJQOHhuMzhYbmRabW8ydWJ1R1VQdENNN3JOb2VtcHV3VkJ1STZxUGMrcWptRFBYMEVRL2p1Zld4M0pWQUtXWHB1TlBRK09yQVJmZWs4aFpHci9LS3h4UzlHNHg0K1YxSTZuNkthOE1lc1l1S3h1bE45eS9EMjZDU0dFVEEzTnRTRmtnU3N2TDkvT0dCTVpZN2NBY0hTYmUyRzZyUXJONzFtUDJuWm5QbkhiUE5qN2NQVzBuTXQ4ZXhVNlByY2Q5M2srMjJnZU5jMFI4Sy8vKytLNnlqSGZteXlmeTRmR045c0N4WG9XSnU3amFIN1BDdE50VmNIRWQ1QXhkak5qekVpSjc4eGpqRFZ6emgvbm5IOHRMeTh2eldReVhXZXhXUDV2UGllK1FmR2lObFJsMmJpbENHdWZFeEdWYzdod1hVU3FldHcveDJLb3o0UHltL2ZDZnVpb3hiQUpJWVRNSUJyNUpXUVJDTnlzUG1JMEdsL2huUDlCR3BMT3IvOTdDenEyZHlOL2szNUJUTHVUM0Q3MDdMYkRmUHZoVVJuZG1uZzB2Tlk2N2pGNUd6T1IrZzNkaUcyRGpVNDRXbHlJVEZGam9NNkJpcnYzSC9YYXdTbVFYMnl1aE5maEcvSGVrYU5FYTU4VDBiUExEbVdjY3R3YmFTNXh1S3hqenlRTkh0TmQzb3VtdDl1UnNtNXlGYW5uRy91QkFkVDh0UW1EemM3Z3ByY1lZejh4bVV5TjRZeHJzWkRKWkQvYnVYTm5Dd0FKQUN3V1M1Z2ptbDNIODJCcUxOd0h1RHJja0liR2JvMUVDQ0ZrZGxEeVM4Z2lFa2djMW91aStHMEFUemlhWFZtNzdqK0k1Rk1Ua0gxSitvSm93YkgwdXB6UTN4WFJjcWdTbFdoNnF3Mmw5eTRMYmUvYjE0K3F4MnFnWFJZOTZ2aHVjeS9VT2lXaWNpTXhVT2V2M2JQOEYvbis2cTFqR0o3Y0JpdTlCbjJ4dVJLbHZ5NkVPbVZrVzZIT0wzcmdiSE9GK21zT1YvS3JwVkRwbE9OT3JReU9WblZzdDBGM1FoeVVjVWZwbVRUUGVQcTlxUDk3QzZ5ZmhKYnhOZ0M0MFd3MnZ4dkdzQmFkblR0M05vVTdocGswUExsMWRRNkYvczREdWVsVXBqWVRRZ2laUCtiL25TNGhaTXJNWnZNN0sxZXUvSTlNSnJ1VE1YYXo5Wk51ZWJlcEY5bVhwaVA1bEFRd1lYNnNSUjArYlR0NDB4cVpQbkkwTlhGVkxPcGZia0hQYmpzU1Y4V0NTeHlOYjdWQmQyTDhxSDBCZjFLWnREWmh4RGExVGpXcHZyanlTQm0yYnhvNVFsWjU3NEVScjQwUEY4TlcyWWVjeTlLUnNNcmZncXI1blhaMDd1aEI2YjJGVUNVcUljaFpLTWtOc243YWpVTi85bmNUY1hXNDBWdlZEM0NNT3owNzg3d1VaRjJZZHRTWTV3b3VjVmcvN1ViOXl5M3dEdm9Bd01zNWYwUVFoUHZtU3dWaE1uOE1UMjczUG5KNHVjU0syNWNBd0tqZnYrSEdlbWgxTk1FUlgwRStQNzViQ1NGa29hTGtsNUJGYXRldVhZTUFiaThwS1hsQkpwTTk3UjMwblZMOXY0MndmdEtOSlZmcEVaa1JFZTRRajJyN1ZhT25ZaDY1cmZqbWZPZ3ZTRVh0ODAzUUZtalE4a0VIM04xREtMb3BiOVN4ZlFjRzRMSzZrWHhLd3FqM0pvdExIR1VQRjBPZHJNSm5HODBRZjdzTUVhbnFVSUdiNW5mYUVWK3FoZjNBQU5MUFRnWUEyQThPSUdsdFBDSlNqcDVnQTBEcnZ6b1JsUldKcGRkbGo5aHV1V01mTXI2ZEF0MkpjWkJIelordmQwZXpFOVhQTnNGK2FDQzQ2Uk9mejNkOVpXVWxWUVFpTXlLWTNINjIwVHlpY3ZPMFRIZm1DRDdBQ1hIYi9LUExDMjJtQmlHRXpEZno1KzZJRURJakFnbkcxMFJSdkJMQXcvMkhCaFBOZCt4RCtsbEowSzlQaFV3dEMzZUk0MXI3bkFqdTQ3QiswbzJrdGZINC9BY1ZNRzRwZ3R2bVFWUk9KT1NSZ2RnNVlLdm9nK1d1L2ZBNmZDaStKWDlFcjg2Z2x2Zjh2V09QcklRdGVUa2t6L1NzMWZQMGU3SDAraHlZYjYvQ1lKTVRuajRQaG5vOXlQeE95cVNPOXc1NFlkM1dCV1g4eURYRDNrRWZKQytIUmg5eHpFVjVabHV3YUZmTGh4MkFmeEMvaXpGMnM4bGtlZzdCTFlTRXdWUkdkN21QaHdyUFZUMWFBL3ZCQVNTVWpXd3BaOTgvQUxsR0RyVnVjZys0Q0NHRXpBeEtmZ2toQU1ETlp2UFcxYXRYditQeGVCNWtZRmUzZk5DQnJpOTdrSHRGSmhLTWM3TTNzT1RsT1BoMEhmcjJENFNLZGtsZWp0YVBPdEJmNTBEZXhrd2tyb3IxSjVsMkw3eURQakE1ZzZQUmllZzh6WWdwaUlOTlR0Z3ErOGE4enZBaVdrZWowVWZBZk1lK1VMSnN1clVLVEdCZ2NnYU5QZ0tGTithQXlSZ0tyc25Db1Q4M3dPZnlvZURhN0RHVDhiRTB2ZDBPTUFhWDFRM0pJMEZRK0l2Mk85djlJMWJ6NHVhYUE5M21QdFErM3dpM0xWUTQrTTl5dWZ4MjZ0bEx3b0lEWFR0N1FqTmVKdFBxYUtqSGczMVAxR0t3d1FuSkk0VWV0bVdjbDRLWUpScDBsL2VDeVJpOGcxNjAvYnNUMHBDRXhqZmJrUDZ0WkVCZ2tFZks1czBTRTBJSVdTZ28rU1dFaEFRU2oydEtTMHVmRlFUaEdiZk5zMkxmSDJvUmI5QWk3NHJNT2RVYm1Fc2NleDQ4QkZlbkd5dHVYeEphdnl2SUdZcHV5a1BYbHowWXNnMmg2dmMxc0ZYMElmblVCQlQvUE4rL3J2U1ZGalMrMVliRUUrT1ErblVkSXRQVXFQdGJNeFRSY25qczN0QTFCS1dBaUZRMUNxN0pnaUxXbjV5VzM3UUh5MjlkRWxvRFhQTnNJd1RWNGRGeHcvM0wwTHUzSDdhS1ByUisxQUZsbkFLcUJDWDA2MU1SdHlMR0g3dVh3MmJwdzBDOUEyRCtoRmFRTThRV3h3Q0JlK0h4UnA0R20xM0l2aVFOdFM4MFk2RGVnWmdsL3FSL3NNa0pKbU9JU0ozYnlhK3IwNDNhNTV0aHF3ZzlhTmdsU2RKMUZSVVZuNGN6THJJSUJlWVdkSnY3MExtakRvT05UcFQ4ZWlrQVRHcjJoRExXLzd1ZHVEb08ybVZSaU5KSGhuNS9BZURFWjByZ0hmQ2k2dEVhY0E3b042U2krZTEyV0QvcFF2YWxHVGp4bVpLWitGU0VFRUltUU1rdklXU1Vpb3FLejQxR294SEFqem5uOTlnc2ZacmVQWGJvMTZjaTdhemtPVkcwaFFrTWFXZm9FSjJ2Z1NwT0NhL0RoN3dyTWlFb0JYZ2RQc1FHRWsybjFZMFZ0eTJCSnN2Znd6UDUxQVRFbDhTZy9iL2Q2Tnh1UThZNXlYQzJ1ZEJiMVk4bFYyZUZpa29CL3VKWnBmY3NIVFgxV3hXdmdEcndJS0Q0bHZ6UTlzRW1KNXJlYWdQZ3J6cmQrbEVIbGx5ZGhXNVRMNm9lclVHQ3FJWHVwSGcwdk5vS1o0Y2JTNjdPZ2pKV2dlcG5HN0hub1dxb0U1VW92aVUvZE9PZGZWRmFhUHBrZDNrdjZsOXR4ZExyc2lIWHlORCtjUmQ2OS9hSGtsLzd3VUZFcHF0REk4RnpqZVRsYVAyd0E0MXZ0a0x5Y0FBWTVKei9TcXZWUHI1dDJ6YnYwWTRuWkxyMTd1c0hBTlQvdlFYUitSb1UzWlFIZWNUb1pSN2N5OEVDMzNtRGpmN1dXMHhnQUFNS2I4Z1p0Yi8vSUtEekN4dnFYbTZCTk1SUi9QTThST2Rya0h4eVBHcGZhc0dCcCtwZy9hUWIrZC9YaDc1TENDR0V6RHhLZmdraFl3cjBCdjdkcWxXclh2SDVmSCtRUEh4OS9TdXQ2Tmh1UTk2VmVtZ0x3OThiT0hHMXYxcXlzODBWbW9wWTgvem9EaTF0LzljNWF0dkp6eHFRYzBsNmFLUW1mNU1lTWZtYVVmdnR2R2t2Y2k1TlIvS3BFeGZCY2xuZHNOeTVEeG5mU2tIMlJXbWg4Nm9UbGNqZnBFZjZtVW53Mkwxb2VxY2RUTTVROHF1bGlNcjJKK1RHaDRwZy9hUWJBM1dPRVNOT2lsaEY2TFcyS0JxcDM5Q0YybEhGTG85QmQza3Y5T2VuQWh6bzNXMkhiazNjaERHR1M5LytBZFQ4dFJHT2xsQXhvVGRrTXRsUEYzbzdIVEszS2JYKzM2L3NpOU5DU3p2R0tuaFY4MElUMmovdWdxQVFJQTFKL3RrY0V5U3NIWi9aMFBoV0cxd2Ric1NYYXBGM1pXYW9WWnBDcThEU3pkbElYQldMNnI4MFl0YzlCMUQyYVBHY2ZXaEZDQ0VMRFNXL2hKQUpCUktVQzR4RzQ3YzQ1MzkwdExpeWQvL21JSkpPU1VET3BYT3JOL0JFN1VtQ2dsV1hBWXlZb3BoeVd1S29HMStmMHdmdmdCZEs3Y2pQT0ZZUDBMWFBpU2k5cHhES09BVmMzZjdLcnNZdFJXQnlBYTZ1SVRDRkFHV0NFbGtYcEVFZUpRTUVCbGZYNGY2aWNTVmFwSDVkTjI3YzBYa2FST2NkVHM0VHkyTFI4cjRWQTdVT2VBYThHT3J6aEI0R3pCV2VmaS9xWG01Qng2ZWhaYnoxakxFYlRTYlRlK0dNaXhEQVA3UEQrR0RSaU84QmVaUWMrdldwSS9aTC9ib09VVm1Sa0x3Y1RBRGlTN1Znc3ZGbnY2aVRsSWpPMDJEcDVteEVqL0ZBRFFBU2pMR0l6dE5nc01GQmlTOGhoTXlpdVhQWFNnaVowMHdtMDN0R28vRmpTWkx1Wkl6ZDNQRnB0OEptN2tYT3BSbElPaVYrVGhSdU9iTEg3dkhxci9XM2x6Mnk3VlB4emZsUTYwYVAvRVJsUjJMWGZRZUh0K3laa3NrazcwSFIrUnBvOUJGb2ZLc05Yb2NQbXN5SWNXKzBaeHVYL0JXNDYvL2VDdStnRndBOEFCNW1qRDFBUFh2Sm5ITEUxNVlpZW5UeXE4bU1nQ1p6OHEzZllncWlRZ1g0SnFLTVZVQVpxNTMwZVFraGhCdy9TbjRKSVpNV1NGeCthVEFZWG1DTVBlMGQ5SjE2Nkg4YllQMXZGL0t1MGsvcEJuRW1uTHpWY05SOVJvejhIa1ZQb1BwemY2MGpORzBSQU5RNjViZ0ZjVmJlVmVBL2RwY2RNVXVqSUZNZEh0VTVzcWZvVkF6MWVORDBkanV5TGtvTFZaWE52amdkZXgrcEJvQXgreGFIdzJDVEV6WFBOc0plUFJqYzlGOEExNW5ONW4xaERJc1FRZ2doaEpKZlFzalVXU3lXS2dEckRBYkRGWXl4MzltckJ4TXRkNGEvTi9CMGp2eEtReEk2dHR1Z2lsZWdabXNqTkprUmlFaVpmQ1hsdlk5VWo1bm9qalZsV2g0bHg0bFByUnp6UEc3YkVGcmU3MEQ3eDEyUXFRV2tuNVVVU241RDA3UVpJTG1ucHcveHNScWpaMjhuNS94bWk4WHlQS2huTHlHRUVFTG1BRXArQ1NISGlsc3NsdWZXckZuenJ0dnQvaTA0ZnVqdkRkeUwzQ3N5a0NER2pwcFNPTk9tYytTMzZSMHJ2QTRmeE44V29lN2xabFQrZWo4eXY1TUNBT0REVXprT1NCNEprcGVIa3RLSkRHK1RGTVNPV1BMbkN5U3lyUjkyb1BvdmpaQkh5cUJmbjRyVWIrb2dVd253OUh0Ujg5Y21kSDNWZzZTMThaRGNFdlkvVlllMGd3UEl1aWh0ZGg4K2NLRGIzSXZhNTV2aHRvWFdNUCtQU3FYNjVZNGRPMnl6RndnaGhCQkN5TVFvK1NXRUhKZEFnbk90d1dEWXloaDd4bTBiV3JudkQ3V0lLNGxCM3NaTXFIV3oxM2Qydk42NFU5VmZQWWptZDl1UmZuWVNJbEpVV1BialhMVCtzeE50LytvQUFKaHZxd29Wdk9FK2Z5YWN0U0VOdXBQalI1ekhiZk9BVGFLWURaY1FLbjZsaWxWZ29OWS9aZGpWT1lUTTgxS1FmbllTWkdvWmZDNGZtdDl0Ui9PN1ZraERFbkl1ejBENldVbmdFa2ZFbTIxb2Vyc2RuVi8wSU8zTUpDUi9MUUZLcldKYWZoN2pjWFc2VWZOY0Uzb3E3Y0ZObFFBMm04M21MMmIwd29RUVFnZ2h4NENTWDBMSXRMQllMRHZXclZ0bjdPdnIrekZqN042ZVNydkdmRnNWOU9lbkllM3NwRm5wRGJ6bVQ2VkgzY2ZWNllibGpyR1hueklaZ3pKT2djak1DS1IrUTRlc0M5TDgyd1dHOUxPU2tINVdFcndPSDN3dUg3aVhnL3Q0YUJSWW5hakU1MWRYakRqZm5pMkhSbDFqckczRGxkNVQ2TzhIZWtvQ3NpNU9DeVd3em5ZM0tuKzlIMTZIRDNFclk1RDd2Y3pRTkd3bU1HUnRTRU9DR0l1YTU1dlE4Rm9yVklsS0pKMFVQOUdsanBuazVXajlvQU9OYjRWNjlnNEErRlZNVE13VDFMT1hFRUlJSVhOVitNdXpFaklPVVJRNUFKak5adnJ2ZEo1WnVYSmxobHd1Znd6QUJnQ0lURk1qYjFNbXRJWFJNM0k5NzZBWDdSOTNJZVBjbEtQdjYvQ2gvVCtkeVBoV3lyejdCbXovdUF1UkdXckVMSm00a3V4QXZTUFVRM2k2OWUzdlI4M1dKamhhUTIyaFh2ZDZ2VC9kdFd0WDg0eGNrQ3c0d2UvMnFWUTNKek1uT0dPRy9sOUxqbFZwYVdtcElBZ1dBSlZtcy9ub1Q2RUpDU01hK1NXRVRMdEFJblJoV1ZuWk9aenpQenBhWFRtN2YzTUl5V3NUa0gxcEdoUXgwenNkVjY2UlR5cnhCUUI1cEd6Uys4NDFLYWNsVG1xL21VaDhQWFlQNmw5dWhmVXpmODlleGxnZFkrekc4dkx5OTZmOVlvUVFRZ2doTTRBNnF4TkNaa3dnTVZvTzREY0FQTmJQdW1HNmRSL2FQKzRDbDZnQThIekFKWTcyajd0Z3VuVmZNUEgxQUhnQXdISktmQWtoaEJBeW45RElMeUZrUmdWNkE5OGhpdUlMblBPbnZJUGVkZFhQTnFMajAyN2tiZEpEb3c5dmIyQXl2c0ZHSjZxM05xSS8wTE9YYzc2Tk1YWTk5ZXdsaEJCQ3lIeEV5UzhoWkZZRUVxYlREUWJEOXdLOWdYV1d1L1loL2F6a1FHOWdtb2d5Vi9oY0VocmZhRVhMUjRkNzlnSzR5V0t4dkFqcTJVc0lJWVNRZVlydU5na2hzNGxiTEpiblBSN1BVZ0QvQXc3ZThvRVY1bHVyMExXemg5S3FjT05BMTg0ZW1HK3RRc3VISFFBSFo0dzk0L0Y0bHByTjVoZEEvMEtFRUVJSW1jZG81SmNRTXV0Mjc5N2RBMkN6S0lwYkFUemo3aGtxMmY5RUhlSkt1bWU5TnpEeGMzVU9CWHIyOWdFQUdHTVZBRGFiVEtZdnd4c1pJWVFRUXNqMG9PU1hFQkkyWnJQNWkzWHIxcFhaN2ZZYkFkelhVMm1QTXQxYUJmMzZWS1NmblR3cnZZRVhPOGtqb2VXRERqUysxUWJ1RGZYc3ZTczZPdnFQMUxPWHpLUmdpeDFDQ0NGa3RsRHlTd2dKcTBDQzlWaEpTY21yY3JuOE1lN2xGemE4Mm9yTzdUYmtiZEpEV3poeFQxdHk3UHIyRDZENjJVWTQyMEk5ZTEvMStYdy9xNnlzYkFsblhHUmhDeFJPV3hmdU9NaGhuUE92d2gwRElZVE1Ca3ArQ1NGelFpRGh1c2hnTUp3dENNS1QvdDdBQjVGMGNqeHlMa3VmOXQ3QWk1bkg3a0hkU3kzbzJHNExicW9GY0lQWmJQNHdqR0dSUmNKaXNad1c3aGdJSVlRc1RsVHdpaEF5cDFnc2xnK1VTbVV4WSt4K0FKNk83VGFZZmxHRjl2OVFiK0RqeFNXTzl2OTB3ZlNMcW1EaTYyR00zYTlTcVpaVDRrc0lJWVNRaFk1R2Zna2hjODZPSFR1Y0FPNHlHbzB2Y3M2ZjhqcDhwMVZ2YllUMXMyN2tYWm1KcUt6SWNJYzQ3d3cwT0ZDenRRbjlOWVBCVGY4UkJPSDY4dkx5QStHTWl4QkNDQ0ZrdGxEeVN3aVpzMHdtMDM0QVh4ZEY4WElBai9aWER5WlYzbjBBcWQvVUlXdERHdlVHbmdTZlMwTEQ2NjFvKzFkbmNPUzhBOEJOWnJQNWI2RFdSWVFRUWdoWlJPak9rUkF5MTNHejJmeWl4K01wWkl3OXd5WE9Xei9xOFBjRy9vcDZBNCtMQTExZjljQjA2MTYwZnRRQkxuSE9PWC9hNC9FVW1zM21GMEUvT1VJSUlZUXNNalR5U3dpWkZ3SzlnYTh6R28xYk9lZFB1M3VHRFB2L1dJZTRFbHVnTjdBeTNDSE9HYTRPdDc5bjd5NTdjSk5GRUlUTjVlWGxWTkdWRU9QSnRPWUFBQ0FBU1VSQlZFSUlJWXNXamZ3U1F1WVZrOG4wWlV4TXpHckcyRThCOVBkVTlzRjA2MTQwdmQwT3lTT0ZPN3l3a2p3U212N1JCdE50VmNIRXQ1OHg5cE9ZbUpqVmxQZ1NRZ2doWkxHamtWOUN5THdUNkEzOGg1S1NrdGRrTXRudnVaZGYxUEJhS3pvKzYwYitWVm5RTGx0OHZZSDdxdnBSdmJVUnpuWjNjTk1yblBPZm1jM20xbkRHUlFnaGhCQXlWMUR5U3dpWnR3SzlnUzhXUmZFc0FFODYyOTI1dTM5N0VFa254U1BuOGd3b1loYitWNXpIN2tYdDM1clIrWG1vWjI4Ti9EMTdQd3BqV0lRUVFnZ2hjdzVOZTU0SFZDcFZQZ0RaR0c5RlIwWkdscWxVcXJ6WmpvbVF1Y1JzTm4rb1VxbVdjODd2QXpEVThia05wbC9zUmR0L09oZHViMkFPdFArbkMrVzM3QTBtdmtPYzgzdFZLdFVLU253SklZUVFRa2FqNUhmdVV5NWJ0cXhDcDlOdFBtSTd5OC9QZjZXd3NIQm5Ta3JLN2VNZEhCMGRmUzZBVVUxUnRWcnRoY3VYTDY5VktwWExwaEpNUkVURUNjWEZ4WFdSa1pHR3FSeEh5RXpic1dPSDAyS3gvRW9RaEpVQS91TjErRkN6dFFtVjl4N0FZSU16M09GTnE0RjZCeXJ1MlkvcXJZM3dPWDBBOEcrZno3ZkNZckhjSGVpUlRBZ2hoQkJDanJEdzV3VE9jMUZSVVNjTGdoRFIyZG41eHZEdGFXbHB2OVZvTkNlMXRMVDhNajA5L2Y3ZTN0NFArdnI2WGovaThKanM3T3cvZTczZTl2cjYrdTg0bmM3R3dIWmxSa2JHQXo2ZnJ3OEFWeXFWaFdOZGUyaG9xQTlBMi9CdE9wMXVrMXd1ajNjNEhQdW42ek1TTXAzS3k4c1BBUGlHMFdpOGpIUCsrNEZhUjFMRjNmdVIrbzFBYitDSStmdk16K2VVVVA5YUM5ci8zUVV1Y1hET3JZSWczR1F5bVY0Q3RTNGloQkJDQ0prUUpiOXpuRmFyUGRkdXQyL0RzQ1EwTFMzdG5xU2twQjlWVjFlZk16QXc4RjlCRUlUYzNOeS8xZFRVWEdDMzI5OGJkcmo5MEtGRGEzSnpjei9JejgvLzh0Q2hReWU3WEs3YXRMUzBYNnBVcWdJQVdMNTgrYjd4cnQzZDNmMUNRMFBERmNNMkpjVEh4MThoQ0lKR0ZFWEhWRDdIZ1FNSERJT0RneFZUT1lhUTQ4Qk5KdFBmU2t0TDN4Y0U0UUV1OGV0YS85bkJ1bmIySVBlN21VaGNGUXV3Y0ljNEJZR2V2YlV2Tm1PbzF4UFlncWM0NTNlYVRLYmVNRWRIQ0NHRUVESXZVUEk3dHdueDhmRVhOemMzL3lMd1dwV2RuZjJubUppWWJ4MDRjT0RyVHFmekN3Qm9hMnQ3QUlBNkx5L3ZIMjF0YmJlM3Q3Yy9IRHlCeStXcXI2cXFXcHVhbXJyWjVYTFZSMFZGblpxY25IeG5TMHZMejZ4VzYyTUFzR0xGaXJiT3pzN2Z0N2UzUHdRQUdvMm1aT25TcGVZalI1SlRVMU4veGptWDdkdTM3OFRBcVBHa0RRME4xUjNQRDRLUVkxRlJVZEVMNEliUzB0S3RnaUE4TTlUakVmZi9zUlp4SzJQOHZZR1RWT0VPOGFoY0hXN1UvTFVKUGJ0RFBYdk5raVJ0cnFpbzJCbk91QWdoaEJCQzVwdjVOUGF4NkVSRlJhMHJLQ2o0Mkd3MnF6VWFUYUZlcjk4cUNFSzBTcVhLd1JqcnRmdjYrdDdYYXJYbkRBd01mTnJTMG5MajRPRGdybUZ2eHdQb0x5b3FxaGdhR21xdXJxNCtDd0NQakl3c0t5d3MzT254ZUZwMzc5NjlIRUJQUVVIQnB4NlBwNjJ1cnU3aS84L2VuY2ZIVmRiN0EvK2NNL3RNSnBOSk1wbE1NdG1YSm0yNnpKa2lsSUlVRlVWa2NRRUVGSzVlNWJLNm9DeWk0QVplUkJaUkZGQ3VndjBCb2xEaGlvSUtGeXBiZ1RhVGRFbTNiTTJlU1diSjdHZTI4L3orU0NmTk10bmF0Sk0wMy9mcnhZdWU1enpuT2QrVFYyWXkzM20yMU1WcXRicThycTV1cjl2dGZteDRlUGlYYzMwR1VSUTlBUHl6Vmt4REVBUUdBQTZIZzM1UHlURzc1SkpMWkcxdGJkZHpIUGNUQUhwT3pxSDBJZ3VLenlzQXIxaDhRNkdsdUlTK3Z3K2g1Nld4L1lzRGpMSHZWVmRYUC9MY2M4OGxNeDNmOFdhejJkN25PTzVEbVk2REhNRVkyOXJVMUhSMnB1TWdoQ3d1NjlhdFc4ZnpmQk9BblE2SFkxMm00eUZrSnRUenU0Z1ZGQlRjQUFCS3BiS3F0cloyZXp3ZUgyeHJhL3V3S0lvUnBQL2l3bDFlWHY1a2JtN3VGWHE5L3RQamt0L3N1cnE2MS8xKy95dDc5Kzc5Q0lBa1JvZE55b3FLaXU0TkJvUHZBSWhWVlZVOTFkN2VmbEYvZi85MXdXQnd3bHhmcTlYNmlDUkp3WjZlbmg4TGd1Q2Q2elAwOXZiZU1qUTBkUDlSL1FBSVdVQ0hFOGFIYlRiYkZvN2pIbVFKOXZtdUxmMFlldGVENnY4b2dXR2xQdE1oamhscENhQjljdzhpQTJLcTZFK01zVzgxTlRYMU56VTFaVEswRTRZUzM4V0g0N2hObVk2QmtHVkFodEhQYVlTUTQ0Q1MzMFZLbzlHVUdneUd6d0JBTEJiYjYzYTdmKzl5dVg0bmlxS0lpWW52TU1hOVNicGNybnZDNGZBN1EwTkRmMGcxVlZ0Yis2SkNvVEM1M2U0bkFEZ1BsK2RXVmxiK1RxZlRyZCszYjkvcFBNOEhhMnRydDFkWFYvKzFyYTN0Q3dER0V0eUNnb0p2WldkbmY3S3pzL055QUNNT2gwTXpqMGVKSDhYakUzTGNORFUxOVFPNHpHNjMvNTR4OWtoa1FLemEvZE5XbUU3UFJXV0c5d2FPK3hMb2VLWUh3OXZHWG41dEhNZmQwTmpZK0srTUJaVmhaMndXTWgwQ0FmRDJWWTVNaDBESWNzRFYxTlM4bGtna25KMmRuWmVOUDZIUmFJb3JLeXYvcjZPajQ2cElKUExCdUZPcHJUQXBZU1prRGlqNVhhUk1KdE9kOFhpOFg2bFVsZ0JBZDNmM3RhbGh3T1B0MmJPbm51ZjVTSGw1K1ovMjc5OS9XbTF0N2U0OWUvYlVBd2dCeUtxcHFYbEpwVkxWSFR4NDhLeG9OSG9RUUlIRllybmFaRExkSkVsU3FMVzE5YU94V0t3RkFOcmIyejlXV1ZuNTh1clZxMXNHQmdhKzczSzVOZ09JNWVUa1hPVHhlUDRZQ29XYXAxc1pPcDFZTERZSVFKeTFJaUVaME5qWStLOU5telkxK1AzKzd3QzRmZmhkajlMVDVFUEY1NHRSZUhiK2laMFV3b0NCMTRkeDZNLzlxYTJMWWdEdXljN08vdW5XclZ2cE5VUUlJY3RBZm43K05WbFpXV2UwdGJXZEJRQXFsYW9xR28yMkF3QmpUS0ZTcVZiSVpMS3g3U3NOQnNQbmlvdUw3L1o0UEUrazFtMGhoTXlNa3Q5RlNLVlMxZVRsNVgyNXI2L3ZhMWFyOVpIeDUvYnMyVk1maThYMkEwZm14RXFTcE5GcXRhZE9icWVnb09CYXJWYTd0cTJ0N2F4b05IclFiRFovbzZpbzZINUpra0pEUTBPL0doZ1l1QmRBSUZVL0ZBcnQycjE3dDFCWldmbUwwdExTeHkwV3kxMXRiVzNyKy9yNjdwSWs2VUJEUTBQMzVIdk1wTHU3K3pxWHkvWFlVZjBRQ0RrQkRpZVdQMXk3ZHUwek1wbnMxOGxJOG1OdFQzYkQrYVliVlY4cVFWYjVsQzJ5RjF6d1VCanRUL1lnMEJGS0ZiMldUQ1p2MkxsejU4SGpmbk5DQ0NHTGdsS3BYR20xV2gvbzcrKy9NeEFJdkt2UmFEYlUxZFc5MWRyYWVrNHdHSHdqVlkvbmVWVmVYdDZYVENiVE43VmE3VnEvMy8vUFVDajBUaVpqSjJRcG9lUjNFWXBHbzRGQUlQRHF5TWpJRzFhcmRjSTV1Vnl1ajhWaU9YTnBaMmhvNkFHZnovZGlOQnB0QXdDbjAvbGtJcEVZY2J2ZFd3QUVwN3VzbzZQamNwMU85MU9GUWxFV2lVVDZBUFFCODF0NEtsMHZOU0dMMWVGRTgrTTJtKzB5anVNZURIU0VDbmYrOEFBS1A1cVA4b3VMajh2ZXdNbElFbDFiQmpEdzJqQ1l4QUJna0RGMlUxTlQwNTlBZS9ZU1FzaXlvVmFyeTZxcnEvL204L24rN25RNmZ3b0FrVWhrbTlmci9YTkZSY1hUdTNmdlhwT3FXMUZSOFNMUDh6S3YxL3RjZDNmM2Y0YkQ0ZjBBRnMraUZZUXNjcFQ4TGs2RGJXMXRYMVFxbGFiSkorcnE2ajVJZDhFMFdEUWFiWnVjaUphVmxUMDUyNFVPaDhNRVlPYzg3alh4eG93bE9ZNlR6VjZUa0VXRE5UVTEvZEZ1dDcvTUdMdWJTZXlHZ1ZlSE9mZjJFVlIrd1lyOER4a1haaWcwQTRZLzhLSno0cDY5ditZNDdnNkh3ekd2TGNRSUlZUXNmUlVWRlM4cGxjcUtjRGpzcUt5cy9LdENvY2lUeStYNWNybThVQ2FUWlZkV1ZqN2MzOTkvT3dCNFBKNG5lbnA2Zmd4Z0VCamRucksydG5aSGEydXJMUmdNN3Nub2d4Q3lCRkR5dTNpNUFVeEpmdE1OZTU2THRyYTI4MFJSN0FTQWhvYUdmZE1keTJTeW5QcjYrbTNIR3J3a1NTR2U1dzNIMmc0aEoxcGpZNk1Qd05kc050c2ZPSTU3TERZU3QrLy9kU2R5L3UxQzFYK1VRbU0rK3IyQkk0TWkyamYzWUdUUDJHeURSc2JZdFUxTlRUc1dJblpDQ0NGTGo4ZmorYjFPcC90SU1wa2NTU1FTUThGZzBKVk1KbDN4ZU55dDFXcFhGUlVWL2RUajhmd1JBTHhlNy9NNG5QZ0NnRXdtczNBY0p3OEdnKzZNUFFBaFN3Z2x2MHRNUTBQRHZxTzVUaFRGemxUU1BNdHgvZ0tFaVVRaTRWU3BWQ1dIRDgwV2krWHFnWUdCdXhlaWJVSk9oS2FtcGgyWFhITEpxZTN0N2RjQitNbklua0IyMDNmM29lU0NRaFIvYW41N0E3TTRROC9mQnRIN04yZHF6MTQvZ085V1ZWVTl0aHoyN0NXRUVESTlwOVA1a0ZLcC9FZTZjNklvZG9SQ29YY0RnY0J1QUpMUmFMeVlNZVlCUmhmQk1wbE0xeVlTaVdFQUErbXVKNFJNUk1udkVyTi8vMzU3T0J3K0NBQ0NJQVJtcTU4cG9pZ2UxR2cwQWdCb3RkclNnb0tDV3lqNUpVdk40Y1QwVjNhN2ZRdGo3RUVwTGwzVzlaZlJ2WUdycnJJaXB5RjcxalpHOXZqUnZya1hrY0hSUlpzNWp2c2pnRzgzTmpZT09CeTBmUXdoaEpEUnpnM0dXSlF4bGhoWHpQTThyMmxwYWFrQjRCc1lHUGhCUVVIQnJTYVQ2YnJENTZWb05OcmQyOXQ3UXdaQ0ptUkpvdVIzaVVra0VtRk1XcXdxRm92dG44OWlWQ2RDT0J6ZVpyRllmcXpSYUlwVktsVjFMQlk3bE9tWUNEbGFqWTJOQXdBdVg3OSsvZThsU1hva01paFc3L2xaRzB3YkR1OE5iSmo2VmpxNloyOHZocmQ1VWtXdGpMSHJIUTdIYXljeWRrSUlJVXREZDNmM3RXNjMrOG5Vc1Y2dlA2T21wdWF0dzRkcW44LzNqNEdCZ1o5amREdExRc2hSV1BnbFRNbHhwVkFvbEFBVUtwV3FDZ0I0bm85b05Kb1NwVks1TWlzcjYyd0FrTXZsZmdCUUtwVjFxWDE1MVdwMXhWeU9OUnBOTlFCb05KcnF3K2QwUnhPbngrTjVIZ0Juc1ZqdU54cU5GNFpDb2FaamZIUkNNbTdIamgydlptZG5yd2J3UXdDeDRXMGU3TGkxQlFPdkRSOVpuNWtCL2E4T1k4Y3RlMUtKYnhUQUQ3T3pzOWMwTlRWUjRrc0lJU1F0anVOVUFMSlMvL0U4cjBtZFV5cVY1WFYxZGRzMUdzM3E4ZGZvZExvMVJxUHhzaE1jS2lGTEZ2WDhMakVhamViMDJ0cmE3WklrUmQxdTkxT2lLSFpuWjJkL2NzV0tGWDhHd0R3ZXorWndPTndQVEp3ZlhGMWQvZkw0ZG1ZN1RpMTYxZHJhZWtFZ0VQamJmT09NUnFNSFhDN1hiL0x6ODY5bGpDWGIydG8rUE44MkNGbU1EdThOL0tOMTY5WTl3M0hjcjVPUjVEbnRtM3ZnZk11TndrMzVHSHpEaGVDaE1BQ0FNZllxWSt5RzV1Ym0xc3hHVFFnaFpMRXJMUzE5ckxTMDlMRTVWSlVaamNiejh2THlic3pPenY1NFBCNTNlcjNlbHpHNm5nUWhaQWFVL0M1aXNWaXNxN1cxOWN6VThlR1ZuanRjTHRlRU4wYS8zLzl5YzNOejF1VHJNejBVdXJ1NyszcXYxL3RNTEJZYmpFYWo5T0dmbkZRT0o3U2ZzTmxzbitjNDd1ZkJ6bkJoVzJkMzZ2UUFnSnVhbXByK0ROcXpseEJDeUJ4MGRYVjllWVpoendBQWk4VnlpMDZuTzAwbWt4bjhmdjgvT2pvNlBqY3lNdkozakk0eUlvVE1ncExmeFMwU0NBVGVUaDJNWDUxNWlXQ0JRT0N0MmFzUnNtU3hwcWFtWisxMit5c0E3bUtNZlpYanVQOEJjT2ZoTFpNSUlZU1FPU2tySzN1aXJLenNpWm5xU0pJVTdlcnF1dHJ2OTc4T1FBUmdLUzh2LzczVDZid3RFb24wbnBoSUNWbTZLUGtsaEpCanhIRmNpU1JKWHdPQXhzYkdyMmM2SGtJSUlVdFBkM2YzdFM2WDYrblVzY0ZnMkZCVlZmV3Y4WFdjVHVjdkk1SEllNm5qckt5c3ZOemMzQ3VHaG9ZZUJFREpMeUd6b09TWEVFSUlPVWxJTVFtOGt0YXlKR1FwWW94Rk1XNUhEMG1TSXFsL2N4ekhBRUF1bDhzbVhWTUlBT0Z3bUJKZlF1YUEva0lTUWdnNUtma1BCakd5Wi9yMVg2UzRoSzduK3hIcWlVeGJaN0dLREloNCs2cEorMFF6b1BIV0Z2VC9jeWd6UVJGQ0ZvUktwVnFoVnF2TGREcmQyUUFRalVaOTBXaDBCQUJ5Y25LdTBHZzBwMmswbXRQMGV2M3BaclA1Mm5nODdnVGd6R2pRaEN3UjFQTkxDQ0hrcE5ULzZqRDgrNE93MzdjS012WFU3M3FsT0VQUFh3ZWh0V3FnSzlHa2FRSG9mbUVBM1M4TUhOWDlDODdJUSsxL2xSM1Z0ZE9KdW1MZ0ZPblhNaHhwOFNQcWlTTzdic3I2aDRTUUphUzR1UGcrZzhId1NVbVN3aTZYNjJFQXd3RGdkRG9mTUpsTTE1dE1wdXRUZGVQeGVGOWZYOS9YTWhZc0lVc01KYitFRUVKT1N1V2ZMMGJqTFMwWWVzY055MGROeDlSV3pkWHpUMkkxWnRVeDNUT2Qzcjg3RWZQR1VQNzU0aW5uQnQ5d1FWZXFRVmFaZHNIdlN3ZzV2dmJ1M1ZzaGlxSUxBRG82T2k1TVY2ZXZyKy9tdnI2K20wOXNaSVNjWENqNUpZUXNWbkpCRU9MSDBvREQ0VkFBU0N4UVBHUitPR1JvbTZlb0p3NHBtZ1FBMU4xWUFXMlJHcEVCRVJxTCtxamJOSitaQnlrdXdiM0RCOU1HWTlvNnlhaUUvUTkzd0hwQklRd3Jqay92cStpS1FWczA5VG1pbmpqY0RoOVlrazBkRGoxTzdUWGxLTmlZZTF4aUk0UWNQVkVVRDJVNkJrS1dBMHArQ1NHTFZXTFBuajMxMDUyMFdDdzM1K1hsZmFXM3QvZjZrWkdSTjZacjR6akZSbVloQ01JTkFDNEE4RHhqN01XbXBxYmhFM1h2OWllNzRXbWV1dFBVR1p1Rlkyclh2V01FQng0OUJQL0JJQ3F2dElMakp3NC9ibit5Rzk3ZC9tUHVaWjVKdURjQzcwNGYrbDRabmQ3MzlsVU82S3QweUtyVVFwbWp3S3BicXRIK2h4N0lkVEtVWDFLRUE0OGVncTVFZzZKUEZLRHBqbjJRYVdTejNJRVFRZ2c1ZVZIeVN3aFp0S2JaMjFwWldscjZjRjVlM2xlOFh1K2ZoNGFHSGdVZ0E1QTh3ZUdSbWNrQmZCekF4em1PZTh4bXM3M0pjZHlXWkRMNXdzNmRPL3VPNTQxWGZxdnF5QUVEZHQ1MUFCelBnU1VaaHQ3MWpKMlNZaElBd0xjL0FDa3VUV2pEZkdiZWxIWk5HM0tSRkNXMFBka04wUlZEL2RjcXhsWldIbnpEaGFGM1BDajl0QVc1TnNOeGVLclIzdDJvTzRaVk4xY0RBRnJ1YjRQOTNwV0kreFBZYzI4cktyNWdoYlpJamJnL0R1T2FiR2dzYWlURkpIU2xHcWh5RlFBQW1Zcld1U1NFRUxKOFVmSkxDRmt5bEVwbGZXVmw1ZE5hclhhZEtJb3RScVB4VXAvUDl4ZUx4ZktUL3Y3K083MWU3N1BJMEZCYk1pT2U0N2hOQURiSlpMS0hCVUhZZGpnUjN0TGMzSHpvZU41NGNLc0xnYllRMW55dkZsS2NvZlh4cnFsMVhuZGg4SFhYaExKMHlTOEFGSjZkRDNtV0hBY2U3Y1R1ZTFxeDhsdFZDSFZIMEw2NUIzbUNBYVdmc1J5WDV3QUE3eTRmNUZseUdGZG5JeklvQWdBMEZqVzZudStBTWsrSndrMzVrR0lTSWdOUjZDdTFZQkpEMUIySDJxeENVaHhON21VYVNuNEpJWVFzWDVUOEVrS1dBcFhaYlA2MnhXSzVRNUtrU0VkSHg2Y1ZDa1ZwU1VuSnd4NlA1MTlaV1ZrYnk4dkxONXZONXB2Nit2cStGUWdFM3M1MHdHUkdHeGhqRzNpZXYxOFFCQWVBTFR6UGI5bXhZOGVCaGJ4SnVGOUV4OU85S0RnakQ5bUg1K0NPSC9xY0NDZngzclU3c2VMNkNwaE9TeitQTjUzOFUzSWdVMVZoM3k4N3NPdXVBNGo3RThncTAyTEY5UldqTTUyUEU5RVpoWEZOOXBSN2xINjJDSWx3RXB5TWczZTNIeHdQWkZYcUlBN0ZJTVVsNkt3YUpLT2p5YStjaGowVFFnaFp4aWo1SllRc1pueHVidTduTEJiTFBTcVZxbXBrWk9URmpvNk82d0FNbWt5bUd3L1g4WFozZDMvZDdYWS9YbHhjL0doTlRjMWJicmY3cWE2dXJsc0FESjdvZ0FWQjJIcWk3N2xJV2VkWVR3QWdTSkwwRTBFUUFPQkhITWR0WWV6WU92RGpnUVQyUGRRT0tTYWgvTklpSklJSnlMTVc3aytlY1UwMnF2NmpaS3dudWZ6eTRyRWgwTWRMK2VlTEVmZFBuTVllNkFqQnR6OEk2M2xtQU1Ed05pOE1xN0loVS9FSXRJV2cwTXVoeWxjaTBCWUNBTWpVbFB3U1FnaFp2aWo1SllRc1N0bloyWiswV3EwUHF0WHF1bWcwZXFDMXRmV0NRQ0R3dCtucWgwS2gzUWNQSGp5em9LRGdPb3ZGOHRPY25KenplM3A2L3N2ajhUeDNJdU1HY05ZSnZ0L0o1bGJHV01PeE5KQUlKZER5UUJzaWcxRUFvOXNEK2ZZRnNQcjJXc2gxQzVQOFJRYWo2SHErSDBxakFrbHhkSlhuaGx0cm9DdE52MS93UWxGa3l4RVBKT0Q2d0FzQTJQbkRBOUFXcVdFOXo0eklZQlN1RDd5b3U2RUN3T2krdjRiRGUvNG14ZEVwOFRUc21SQkN5SEpHeVM4aFpGRktKQktEQUhEbzBLR3ZlanllelFEbXN1MFJHeG9hZXNUdjk3OXN0VnAvRzRsRXVvOXZsRlB4UEgvMmliN25ZaVJKMHNVQWJwaGo5VENBSFFEK25rZ2tmcjFyMTY2UUlBaEgzZlhiOGtBN0l2MGlDamZsWTNDckN5WG5tK0Y2ejR1V0I5cXcranMxeDl4REcrd0lvK1dCTm5CeURtdStXNHQ0TUlFOVAydkQ3bnNPWXRYTjFkQlg2WTZwL2VrRTJrTG9mbkVBSXkwQnNPVG9qMmYxN1RVdzFPa0JCclE5MFExZHFRWjU5aHhJTVFudVJoK3FyaW9CQUNSQ1NZQURaQ3JxK1NXRUVMSjhVZkpMQ0ZtVXd1RncwOTY5ZStzQlpDdVZ5cXJKNTMwKzMycytuNjllcVZUV1RUNG5pbUovVzF2YngwOUlvSlBzMkxGamF5YnV1OWdJZ3JCdWxpcGVBUDhMWUV0MmR2WnJXN2R1RlJmcTNvWTZQYXF1TEVHb040TEJyUzRvREFyVVhsT0dZRmNFdk9MWUVsL1grMTRjZkx3THlod0ZHcjVUQTNXK0VtcXpDZzIzVm1QUHo5cXc1MmR0V0hWek5iSnJGajRCamd5S0NQZUpLTG13RU5rMU91ejVXUnNNOVhvQVFPY3p2ZkMzQnJIdVIzVUFON3JRRnpnZ3p6NjY4blFpa2h3ZDhud2M1eVFUUWdnaGl4MGx2NFNRUmMxb05GNVlVVkh4LytaelRXZG41NVZlci9lcDR4VVRPV3BEQUY3Z2VYNExZMnhyWTJQalhIcno1NjM4MGlJQVFLZzNNbGFXMDVDTm5JYnNvMjZUSlJnNi85U0gvbjhPSWF0U2kxVTNWVUZoVUl5ZDExZnBzT3JiVmRqenN6YTAzTmVLaHUvVVFGKzVzQWx3L29lTUtOaVlCM0JBWk9ESWR3V0hudXRIM3orR1VQUFZNdWhLTklqNzR1aCtjUkRGbnl3WTI5YzNFVXpRWWxlRUVFS1dQVXArQ1NGTGdzUGhNQUlZbWFWYWppQUkzaE1SRDVtek9HUHNVUUJicXF1cjMzbnV1ZWVXNUg3TVNURUozNzRBOGs4MW92YnFzclJEcDdOcnM3RHlwaW9jZXE0UEdyTnF3amxQc3crUndTaUt6eTA0NmhpbUc2NnR6bGVpL0xKaW1EK2NCNVprT1BEb0lTZ05jbGcvWlI2cmt3Z21JZE5TOGtzSUlXUjVvK1NYRUVMSWdtT012YzF4M0FhSHcvRUJBQWtBbXBxYU1oelZNZUE1ckx5cENqS05ERktDUVVxa3orR3pLclJvdUtVYTREZ2tJOG14bnRkd3I0aERmKzVEdURlQzZpK1hncE10M1BqandyUHpBUUJNWWpqNG0wTUlkb1d4NXM0VkU0WjRoL3RGS0EzMEo1OFFRc2p5Um44SkNTR0VMTGltcHFZZG1ZNWhNdWRiN2duSFVteDA3MXZmL2dDa3VEVGhuS0ZPRDdWSk9YYjgzclU3NTMwL2hVR0JVeDllRFFDd25tK0dNa2VPMXYvcFJtd2tqdnF2Vnk3bzFraUpVQklISHUxRW9DMkVWYmRVUXh5TXdyY3ZBTGxHaGxDdkNNOU9IOG92TFY2dyt4RkNDQ0ZMRVNXL2hKQWxRYTFXNTRxaU9PTjdsbHF0UHZwSm5lU2tsOXFUZDdMQjExMFlmTjAxb1d6RjlSVlFtNVFvT0QzM3FGZHY1aFVUZTNjTHpzZ0RKK1BSK1V3dm9wNDROSVdxYWE2Y1A4OU9INkt1R05iK1lBVTBGalc2WHh4QTkxOEdSdU9RY3lqWW1JZWlUeHo5a0d0Q0NDSGtaRURKTHlGa1NWaTVjbVY3cG1NZ1Mwdk9TajNxdjFFNWRuekdabUhlYmFqTktxak5DNWVrbWpZWWtXc3pRS1krdGw1ZlZiNFNhNysvWXV5NDRQUmNtRTR6Z3VOSEUrN1NUMXRRZXBFRlVwS0JsM0cweWpNaGhCQUNTbjRKSVV2RTNyMTdxMFJSOU05VVI2MVdaMU9TVEZKVWVVcW84cFN6Vnp6QmpqWHhCUUJld1VOZlBiRkhPcFg0SGlrWTdmVWxoQkJDeUNoS2Zna2hpMW8wR2owd1BEejhhMUVVQndCRVpxb3JpbUxRNlhRK0VJMUc5NTZnOEFnaGhCQkN5QkpCeVM4aFpGRUxoOFBidytIdzlqbFdGL3Y2K200K3JnRVJRZ2doaEpBbGFlR1dtaVNFRUVJSUlZUVFRaFlwU240SklZUVFRZ2doaEp6MEtQa2xoQkJDRHZQdTlxUHRpZTZ4NDVnM2pyWW51aEhxbVhHNitaaWtLS0g1Ky92Ui84K2hCWTNMK2FZYkJ4N3BYTkEyQ1NHRWtPV0c1dndTUWdnaGg0VzZ3aGg4dzRYcUw1Y0NBQktoQkFiZmNDSFhab0N1UkRQcjlSMVA5U0I0S0l5aWp4Y2dNaURPV2w5alVZLzlPeWttRWZQRzA5Ymo1QnlHMy9NaVY4aEJWbG42T05RRktuQXlXdDJaRUVJSW1RNGx2NFFRUXNnQzZIOTFHTTQzM1FDQWc3ODlOS2RyeHU4OTdHbjJ6OXE3TzlQNVV4NWFEVld1WWs3M0pZUVFRcFlqU240SklXTnNOdHNiSE1kdHluUWNTNDBrU1prT2dSd2xLY0VXWkM5YzU1dHVkRHpWQTMybER1RUJFU3UvV1FsRHZYNUtQWlprNkg1aEFEMHZEYUxzczBWcDJ4cWZFQU9BNndNdkZIcDUydllBd0g4d2lGMTNIenptWnlDRUVFSk9kalRubHhBeWhoSmZzcHk0M3ZmaWc2L3ZSaUtVbU5kMTNsMSs3UGxwSzZLZUdBQ2c5MjlPdFA2dUN4V2ZMOGJhSDZ5QStjdzg3TG0zRFYxYitpSEZqbnd4NG1ueW9lbDcrekR3ZjhPb3U3RVNKUmNWVG1oWFkxYkJlcjRaVWx3YSs4L3Q4R0gvcnpzUjdoTW5sSS8vVDVHdGdQVjhNMlFxR3ZKTUNDR0V6SVI2ZmdraFV6Z2NEdm9VUFUrQ0lMQk14MERtUjFlbVJTS1l3T0MvM2JDZVo1N3pkVVB2dUJIcWlVQ1pyVUM0TjRMZXZ3Mmk1cXRsTUorWkJ3Q28vS0lWaHZvc2REelZDK2RXTndvMjVzSzd4NDl3cjRpQ2pia292N1FJQ3NQVTRjbk5QOWdQWURTWm5xeDljdy9hTi9mTUdGY2lsQnlicTB3SUlZU1FxU2o1SllRUXNpeHBDbFV3MU9zeCtOb3dySjgwQTNQNHlpY1JTc0s5dzRlaWMwemc1QnkwVmcxT2VhZ0JNclZzckU1U1RBSWNoK3dhSFliZjg2TDNGU2ZBUmhla1V1WXFFVHdVaHJaRUM1VlJNZUdlNng5c0dQdDN6QlBEM29jNllENGpGNWFQRjB5TUlaQkF5NFB0eUJNTXNGNXdwUGRZcnFiQlhJUVFRc2hNS1BrbGhCQ3liQlZ1eXNlQlJ6dmgyZWxEN2pyRHJQV0gzbkZEU2tnby9FZytBQ0FaU1NJeUVFV29MNExnb1RDQzdXRUVENFhCeVRqa3JOSmp4WFhseUJWeUVPd0lZZmg5TDRhM2VkRHp2d01BQUY3QlE1V3ZoRUl2Ui9ubmk1QmRrelYySCtkV0Z6Z1pCMCt6RDRsd0V0a3JzbUJZa1FWeE9JYTJKN3FSWGFWRjFWVWx0TG96SVlRUU1nK1UvQkpDQ0ZtMjhrN0pnZndQTWppM3VtWlBmaGt3OE5vd2pHc01VQmVvQUFEZEx3eWc3eDlEa0tsNDZFcTFNS3pNUXVsbkNtR28xNE5YSHVtSk5kVHJ4eGFzaW5yaUNCNEtJOVFkaHVpTWdwTnh5SzdPbW5DcnNvdUxVSFp4RVlJZFlmVDkwNG0yMzNXRFNhTWo2K1U2T1l4ckRSQ0hZOUFVcWhid3AwRUlJWVNjM0NqNUpZUVFzbXp4Y2c1NTYzTXc5STRITVYvNlBYWlR2THY5aUF4R1VmVWZSK2JWbG42MkNJVm41NE5KZ09QMnZmQzNCdFBPMlozTytKV2RZOTQ0aHQ1MlEzVEhJQTdGRUJrUUVYWEhJRlB6eUxVWllEck5DRldlRW03SENQcGVjYUx0aVc0b2pRcmsxT3RSY1hseDJubkVoQkJDQ0RtQ2tsOUNDQ0hMbW1sRExweHZ1akgwbG1mR2VuMnZPS0VyMVNCbjFaRXRoMlJxSGhxTEdwRUJFUUN3NGJmckpsd1RHUlRSL1AzOTA1YVBKOWZKTVBDR0M4b2NCWFJXRGZKc0J1aXJkTkNWYVNBT1JkRjQyMTZjc1ZtQXZscUg4a3VMRWU2TndQWEJDUHh0SVNpeUtmRWxoQkJDWmtQSkx5R0VrR1V0WjZVZTF2TUxrYmMrQis0ZDN2U1YyT2pRWmExVk0yTmJza21MVHNsVS9Jemw0OXVQdW1Ob3VLVjZTcHZpVUJUaThPaTJTcWtrR3dBNEdRZlRXZ1VTaWdBQUlBQkpSRUZVQmlOTUc0eUlESXJnVlR4VXVjb1o0eU9FRUVLV00wcCtDU0dFTEc4Y1VINXAwYXgxU2k0c25Ma09nTGV2Y3N5clBFVktTR2k4YmUrczdjOVVKMmVWSGcyMzFjemFCaUdFRUxKY1VmSkxDQ0dFTEpDTlQ5Z21IRWNHbzNEY3ZuZmE4aFJld1UrWS93c0FZSUNuMlllZS94MkVGSmNRNm9sQVkxRkRZMWFoN09JaTZFcG43b1VtaEJCQ3lFU1UvQkpDQ0ZsMldJSWhHWk9tbEV2eDBSV1ZFK0VrQUNBcGp0YVJvdEpZMlhoeXJXekM4ZVN0aHpoKzV2S3BnUUdCemhEY2pUNE12K09CUEV1RzBzOVlvQzFTby9HMnZiRGRYWWUrbDUzWTlaT0QwRm5WTUoyZWk5eTFCcWp5YWJneklZUVFNaHRLZmdraGhDdzdROXM4YUgyOGE5cno3MTI3YzhMeC9sOTNwcTAzdWJmMmFJYzl4N3h4ZER6ZEM5KytBQkxoSkhMWEdWRDlsVklZVjJjRE9ETFhsMWZ3S0xuSUFzczVCWEMrNmNiQWE4Tm8vME1QVlBsSzVOa01xTHl5Wk1iN0VFSUlJY3NaSmIrRUVFS1dIZE9wUmhqWFpDOTR1NU5YZFo3TzVOV2VsVVlGakd1emtiTlNqN3hUY3FEUXovem5XYTZWb2ZqY0FoU2ZXNEJ3YndSdWgrKzRQQThoaEJCeU1xSGtseEJDNW1uVnFsVkt0Vm85SWROZ2JIUzRyTjF1eng5ZkxvcWl2NldsSlhZQ3d5Tnp3Q3Q1S0pYVGpUMmVQNVZKQmR2ZDlWTldkWjZPMXFxQjdlNzZDV1htTS9PbXJhODJxV0MvZCtXMGJjMjJDalVoaEJCQ0tQa2xoSkI1VXlxVitZeXhYZ0RjNUhPTXNlSHhoMnExdWhqQXdBa0xqbVFFTCtmbXRRRFZmT3R6Y2c0YWkvcG9RaU9FRUVMSVlRdjN0VGNoaEN3VFRVMU4vUURlbmtQVnR4b2JHeW54SllRUVFnaFpCQ2o1SllTUW84QngzSmFGcUVNSUlZUVFRazRNU240SkllUW84RHovbDlucXhPUHhXZXNRUWdnaGhKQVRnNUpmUWdnNUN0dTNiKzloakgwd1E1WDNkKzNhMVh2Q0FpS0VFRUl5Z09mNUlJQi9jeHkzSTlPeEVESWJTbjRKSWVRb3pUS3NtWVk4RTBJSU9hblo3WFlGeDNHZkJuQVdZK3dyZ2lEVXozb1JJUmxFeVM4aGhCeWxtWkpmbVV4R3lTOGhoSkNUbGlBSTV6TEdkakhHN2h0WHZOdG1zLzFpdzRZTnVSa0xqSkFaMEZaSFpGR29ycTVXR1kxRzQvaXlaRElKQURqbGxGTUt4NWQ3dlY1dlcxdGI5QVNHUjBoYWpZMk43WUlnN0FTd2RudzV4M0hOMjdkdjc4aFFXSVFRUXNoeHMzNzkraFhKWlBKQkFPY0JnS1pRaFpLTExBaTBoekQ0dWtzR0NWOFhSZkdMZHJ2OVRyMWUvOXV0VzdjbU1od3lJV01vK1NXTGd0Rm9OQ2FUeVg2azJUYzFtVXlPM3lwR01ocU54UUFHVDFod2hNeUE0N2d0akxFSnlhOGtTZFRyU3dnaDVLU3lidDI2SEo3bnZ5OUowdGM0anBQTE5ES1Vmc1lDeThkTTRPVWNDamJtd3ZJUkV6cWU2Y1hJSG44dVkrelhmci8vT3B2TmRsTlRVOU5ybVk2ZkVJQ0dQWk5GWXZ2MjdZTUEzcHhEMWJjTzF5VmtVVWlYNk5JV1I0UVFRazRXbDF4eWlVd1FoR3Q0bm04RmNCUEhjM0xMUjB4WWYvOHFGSjliQUY1K3BOOUNhMVdqNFpacTFIK3pFdW9DRlFBMGNCejNxdDF1ZjFFUWhPcE1QUU1oS1pUOGtrV0RNVGFYaE9INTR4NElJZlBRMU5TMEY4RCtjVVg3SEE3SHZrekZRd2doaEN3VXU5MStkbnQ3dXdQQVl3RHlEZlZaV0hkWEhhcStWQUtGZnBvQnBCeVFKK1JBdUtjZUZaY1ZRNmJtd1JpN0NNQmVRUkIrZHVxcHAyYWZ3RWNnWkFKS2ZzbWlJVW5Tckh1aUpwUEpGMDVFTElUTTA5Z1hOOVRyU3dnaFpLazc1WlJUS2dWQjJNSVlleDNBR3JWSmhmcXZWMkwxZDJxaEs5SE1xUTFld2FQNFBEUFczOStBd3JQeUFRNEtBTGZFNC9GV204MzJsVXN1dVVSMlhCK0NrRFNteks4a0pKTUVRZGdHNExScFRtOXpPQnlubjhoNGxodEJFQmdBT0J3T2VtK1loL1hyMTlza1NYSUFnQ1JKdHVibTV1Wk14N1RVcFg0WHllSkM3dzJFbk53MmJ0eW9ENGZEdDNNYzkyMEFTcGxhaHBJTEMxSDhpUUp3aW1ONytRY1BoZEh4ZEMvOEI0S3BJZ2VBYnpvY2pyZU9NV3hDNW94NmZzbWlNbE92R2ZXb2tjVnF4NDRkelFBNkFIUTBOemZ2ekhROEp3UEcyTlpNeDBBbVlveDlrT2tZQ0NISERTOEl3cGNpa2NoQmp1TnVCNkFzT0RNUDlwK3RoUFY4OHpFbnZnQ1FWYTdGbXUvV291NkdDcWp5bEFBZ0FIaFRFSVEvMld5MnNtTytBU0Z6UUtzOWswVWxIbzl2a2N2bDkwMXpidFpoMFlSa0NBUHdsOFAvcHg3TEJkRFUxSFIycG1NZ2hKRGxZTjI2ZGFmelBQOExBT3NCSUxzbUM1VmZ0Q0tyUXJ2d04rT0EvRk9OeUJVTTZIdlppWjZYbkpCaTBxVWN4MTFvczludVN5YVQ5KzdhdFN1MDhEY21aQlQxL0pKRlpkZXVYWjBBbXRLY2NodytSOGlpeEhIYzh6elAwNEpzaEJCQ2xvUlRUam1seEc2M1A4UHovRHNBMXF0eWxWaHhYVG5XM0ZGN2ZCTGZjWGdGajVLTExMRC9iQ1VLVHM4RkFEWEhjWGZLNWZJRGdpQjhFWlNqa09PRWVuN0pZclFGZ0MxTkdTR0xWbU5qNDNaUXJ5OGhoSkJGem02M2F4bGp0eVNUeWRzQWFIZ0ZCK3Y1aGJCK3lneGVlV0p6VGxXdUVyWFhsc1B5TVJQYW4rcEJzQ05jRE9EL0NZSndBOC96MzlpeFl3ZE50eUFMaXI1VklZdE91cm05UE05VDhrc1dPd21VL0JKQ0NGbThPSnZOZGhsamJEK0FId0xRbURia3duNWZBMG8vWXpuaGllOTQrbW9kMW41L0JXcXZLWWZTcUFDQTB5UkpldDl1dC8vQlpyTVZaU3d3Y3RLaFZSdkpvaVFJUWd1QWxRREFjVnhMWTJOalE0WkRXaFpvdFdkQ0NDSGs1R096MmRZRGVJamp1STNBNk9KVFZWZVdRRitqeTNCa1V5WEZKSHIvNWtUZkswT1E0aElBaEFEY28xS3BIdHkyYlZza3crR1JKWTU2ZnNtaXhCZ2I2K21WSklsNmZRa2hoQkJDNXVtVVUwNHBGQVRoOXh6SGZjQngzRWFGUVk2YXI1Wmg3UTlYTE1yRUZ3QmthaG5LTGk2QzhOTjY1SC9JQ0FBNkFIZEhvOUY5TnB2dFlsRG5IVGtHOU10REZpV2J6YmFXNDdqVVhxbHJIUTdIcm93R3RFeFF6eThoaEJDeTlGVlhWNnYwZXYwM09ZNjdBMEFXSitkUWZHNEJTaTYwUUtaZVduMWZ2djBCZEQ3ZGgyQlhPRlgwcGlSSjMyaHVibTZlNlRwQzBxRVB1R1N4NGdSQmFBWEFIQTVITFdndTVRbEJ5UzhoaEJDeXBIR0NJSHdhd1AwQUtnRWd6NTZEaWl1c1VKdVVtWTNzV0RCZzhOOHVkRDNYajNnZ2NiZ0UvNU5JSk83WXRXdlhVSWFqSTBzSXJmWk1GaXNHWUF2SGNiUnZLaUdFRUVMSUxBUkJXQVBnSVFCbkE0Q3VSSVBLTDViQVVKK1YyY0FXQWdjVWJzcUg2VlFqdWw4Y1FQKy9oam1XWkZmTDVmTFAyKzMySDR1aStIQkxTMHNzMDJHU3hZK1NYN0pvOFR5L0paRklVT0pMQ0NHRUVESU5tODFtNG5uK3g0eXgvd0xBeTdOa0tMKzRHSVZuNTU5MFl6eGxHaGtxTHJlaThPeDhkUDZ4RDU0bVh6Wmo3SDZWU25XTklBamZkamdjZndOMW1wQVpuR1F2aVpPRHpXWjduK080RDJVNkRySzRNTWEyTmpVMW5YMDg3N0VVaHozVDZ5VWpIbkU0SERka09naENUZ0E1Z01TeE5LRFJhSW9qa1VqZkFzVkR5Qmk3M2E1Z2pOMkEwVzJMREJ3UFdNNHBRT21uQ3lIWExZLytyWkU5QVhRODNZTndud2dBWUl5OUtrblNUVHQzN216SmNHaGtrVnBhTTk2WENmb2dUOUxoT0c1VHBtTllqT2oxa2hIWFp6b0FjbXhzTmxzaU56ZjMwbW5PUmZQejgvOXJ0alowT3QyYS9QejhxeGNxSmtFUW1GS3ByRnVBcHZqQ3dzTHZxOVhxOHVrcTZQWDZqV2F6K1NZQWl1bnFaR1ZsbmJWbXpackI3T3pzODQ0MmtKeWNuRS9YMWRXMUd3eUd6eDF0RzRTa1k3UFpQc2tZMnczZzV3QU14clhaRU81Wmljb3ZXSmRONGdzQU9RMTYySDVTajhvclN5RFh5Y0Z4M0RreW1XeW5JQWdQYjlpd0lUZlQ4WkhGWi9tOE9wYWdNellMbVE2QkxCSnZYK1hJZEFpTEhyMWVqcjl3cndqSGQvZUM0emo2Um4ySjR6aE94aGliN2d0d1hwS2srR3h0YURTYTAwcExTeC9qZVY0K05EVDBxRktwckd0b2FOZzNsL3Z2MmJPblBoYUw3Witwemx6YlN6TlN4Wnlmbi84bGs4bDBiVWRIeHlkQ29kRHV5VTJYbEpROExwZkw4L3grLzUrbjY1VU5Cb003R0dPSnNyS3kzK3pldmJzR2dKZzZaelFhTDZ1b3FQamo1R3NZWThtbXBxYXh6MVlqSXlOLzkvdjkvMWRaV2Ztbjd1N3Uvd3lGUW0rdVhMbXljN1puNnU3dXZzN2xjajAyV3oyeS9OanQ5anJHMklNQVBna0FHb3NhbFZjVXc3aldrT0hJTW9mak9SU2RZMExCaGx4MHY5Q1AvdGVHWldDNFVSVEZLd1JCK0VGMmR2WmpXN2R1UGFZUkhPVGtRY2t2SVlRUVFsSTRqdVBrakxGWkY0NXh1VnkvVlNxVlJWYXI5VmVKUk1JVERBWjNBcU9KYmFxT1RDYkx5Yy9QLzZMVDZmeFZxbXl1Q1hMSytQYkd5OG5KT2M5cXRUNlE1dFJBZTN2N1daV1ZsVzlXVlZWdGJXOXZQenNVQ28xdGwyZXhXTDZ2VXFscVcxdGJ6MG1UK0JxVVNxVWxkZUR6K1Y2UXkrWDVTcVd5ZkxiWXJGYnIzUWFENGFKSlZlTHQ3ZTJYMU5YVnZRNEFvaWoyVGZjOEtmUDkrWkRsWWZYcTFVYUZRdkdEdzhPYzVYS3RES1dmdGNEeVVSTTQyWktacVhSY3liTmtxTHl5Qk9hejg5SDVkQzlHV2dLNUFCNzIrLzNYclYrLy9wczdkdXg0TmRNeGtzeWo1SmNRUWdoWjNwUTVPVG5uQVFCalRBNEFPcDF1SFdNc2xLb1FqOGNQaFVLaEtYdHE5dmYzL3hBQVFxRlFJdzUvcGhqZm82dFVLdXRNSnRNTlBUMDlOMDV6YjdOU3FUU21EdFJxZGNYa0N0UDFFTWZqOFhWVEh1VHdzT2xrTW9tZW5wNGJDd3NMNzJDTUtWTGxhclc2b3JDdzhEYVh5L1diV0N3MmtDcVB4V0p1QU1ONWVYbWZLU3NyZTJKeXV6azVPUmVQUCs3czdMeDhVbXg2dlY3LzhVQWc4QThjS1RnelB6Ly9tczdPemkvdjM3Ly9EQnllT3p4Ymp6Y2g0MjNhdEVrZUNBU3Vab3pkQlNDUDR6bVlOK1doN0hORlVPanBZM3c2T3FzR0RiZld3TlBzUStjenZZZzRveXNsU2ZxWElBZ3ZTWkwwN2VibTV0Wk14MGd5aDE0MWhCQkN5UEtXWFZsWitjTDRnb0tDZ3BzTENncHVUaDBQRHc4L0VncUYwaTV5bGtxQXg4L1hUUzJlTi9sNGNxOW5TVW5KblNhVGFhemQ2dXJxbDFQL25xMkhOSjEwdmFaMWRYVTdKcGVaVEticlRTYlQyTngxcDlQNVFGOWYzODF1dC92SmVEdytwRktwS29lSGgzODEvcHFTa3BJSGc4SGdCMTZ2OTFtajBYalpwUGErTEpQSjlIMTlmWGVseXBSS1paWFJhUHhDWjJmblZ6RnV5RFFoYzJXejJUN3E5L3NmQXRBQUFJYVZlbFI5MFFxdFZaUGh5SllBRHNpMUdaQ3pPaHNEcnc2ais0VitKRVhwQXA3bno3WFpiTC9rZWY2dXhzWkdYNmJESkNjZUpiK0VFRUxJTXJGbXpScVhYQzdQQTRDS2lvby9WbFJVL05IaGNHUTdIQTRqQUtoVXFyeFZxMWExZFhSMFhEUXlNdkltQU5UWDE3OEpJRHErSFpWS1ZaM3FKWTdGWWgwQUpneVQzcnQzYndVQXlHU3lxaFVyVnJ5V09vN0ZZaE9HR2ZmMDlOelkwOU56bzFhcnRkZlYxZTBZUHhjNGxVeFB0d2lXUXFFb21sdzIzVXIxRm92bERvdkZjcGZENFpBRFNNNzBNNUlrS1Z4U1V2S0xSQ0xoOG5xOXp3S0EwV2k4d0dReTNlVDMreitSNWhLWjJXeis1c2pJeUl1UlNPU0RtZG9tWkM3c2Ruc1ZZK3grQUo4R0FMVkppWW9yU3BBbkdHaWZsbm5pNVJ5S1AxbUFnbzFHZEQwL2dNRi91eFFjdUc4enhxNnkyKzNmcmF5c2ZPSzU1NTZiOFQyQm5Gd28rU1dFa0xsZ1FPdnZ1aURUeUZENUJldWNMaEdkVWV5OCt5Qk9mWGoxZ29iUzlrUTN5ajVyZ2NKd1pLSGF1QytPcnI4TW9QckxwUXQ2TDNKeU9YRGd3R21NTVhsRFE4TyszdDdlYjQrTWpMd01JS2pUNlQ0cVNkSStBSEVBaUVhand3QkdBSURqT0FVQVJXNXU3cGM5SHMrVEFOaUtGU3ZlU3lYUjZSYXZFa1h4RUFBb2xVcjErT1BwNU9ibWZuNjZjd3N4QjVZeGxrb1padDMvTXhnTWJoMGFHdnFWWHEvZmREajVOWmVVbFB6UDhQRHdyM3crMzc4bTF6Y2FqWmNvRkFwclgxL2Z1Y2NhSjFuZU5tN2NxQmRGOFh1TXNac0FLR1ZxR1VvdUtrVFJ4MDNnRmJSQnk3RlFaQ3RRL1orbHNIelVoSTZuZStEYkh6UXh4aDd2Nk9pNHdXYXpmYU9wcWVuTlRNZElUZ3hLZmdraFpDNDRRSkVsUis4clRoUnN6RVZXdVhiV1M1akVFUGNkV1RSMzZGMFBEajUyYU5iclVpdFhTM0VKVWRmVWRZY0czM0FoejU0RHRlbklsOVhpY0F5RGI3aFFmRzdCbFBvYWkzcldlNUxsSVJxTnRxWCtIWS9IK3c4bnJWeGxaZVdUZzRPRDk0VEQ0YmNCSUpsTWpxVHE4VHl2QXNDVmxaVTlIby9IV3dPQndOdTdkdTNLQjZZT2J3YUFyS3lzaHRyYTJna3JMS2VyTjQ0Nk56ZjN5d0Jnc1ZodUNZVkMyOGV2ZER4ZGIrNTBLeTVQWTA3SjcrUTQ4L1B6cjBuOTIyUXkzV2d5bVc0RVJsZGpUcFhMNWZJQ0FMeGVyejhyR28wZW5HTThoSXpIMjJ5Mkw0WEQ0Zi9tT000TURqQ2ZtWWZ5UzRxaE1OQkg5WVdrSzlOZzllMjFjRzMzb3ZQWlBrUmRzWFVjeC8zYmJyYy9uMHdtYjJsdWJqNlU2UmpKOFVXdktFSUlHU2N5TVAzVXZMejFPUmg2MTROZ1p4Z3kxZlRmd2srWGJPYlpETERmdTNKS2VkOC9oekQ0dWd1Y2pFUEpoWVZqNWVGZUVjMC9TTDgyVHN2OWJXbkxHMi9iTzZXTXRvRWlNOUhyOVdmSTVYTFQ4UER3SDNVNm5RQUFzVmhzT0hXZTR6aE5QQjd2Q2dhRGJ4a01oa3NDZ2NEYk03VVhEQVlQcElZNXB6TjVxeCt6Mlh4TlBCN3ZsY3ZsK2JGWXJLTzR1UGpuV3EzMk5MZmIvZlA1UE1ma2ViamphYlhhdFFDWTBXaWN0b2RaRk1YT3VjNHpUdjJjQUdCNGVQaVhQTTl6cGFXbHY0bkZZcjErdi8rVitjUk5samU3M1g0R1krd2hBSFlBME5mb1VIVmx5WnkrWUNWSGlRUHlQMlJFcnMyQXZsZUcwUHZTSUpKUjZXS2U1eThRQk9IK2FEVDYwNWFXbG1DbXd5VEhCeVcvaEJCeUdFdXl0TW5qWkcxUGRNOTRmcnBrVTZhUlFhT1JqUjBuUWttMFBuNElib2NQV2VWYTFGeGRCbDNKa1lWTXNpcTBhZHQ2K3lvSDdQZXVuSkJrUndaRU5ONjJseEpkTW0rNXVibGY4dmw4THdId2FEU2FDa21Td2dCY3FmTTh6NnVTeWFUbzkvdi90NkNnNE9iZTN0NXZZdm9lVkFZZ0xvcGluMXF0THA1OE1zM3c1enl6Mlh4SGYzLy9IYVdscFkrNTNlNHRnVURnTGF2VmVyL2Y3eStiejNQTXBSZDRwam91bCtzUDNkM2RYNXJMdlhRNjNZU1ZwcDFPNXkrMFd1MkdrcEtTWDdXMHROUUFrT2JTRGxtKzdIWjdLV1BzWHNiWVpRQ2d5bFdnL0hJclRCOHkwcnplRTRSWDhDaTVzQkFGWithaTY4LzlHSHJIb3dMd1BaVks5V1diemZhZHBxYW1wMEd2NVpNT0piK0VFSElZSitObVRCNTkrd0xZZlUvcmxNUnpNdEVWQTR0TEVJZEhoeXluZXBQSFh4Tm9DMkgvSTUySWo4UlJkbkVScko4eXA5MnI4ZTJySEdudk1WMlNQcm4rYkxHU1pTOC9KeWZuaWtPSERsMEVBQnFOWnEwb2lnZkdWK0I1WHB0TUpzTit2Lyt0NHVMaW4yczBtdE1pa2NpMnlRM0o1WEx0NGNRWlNxV3lhdVhLbFZQbTZrNGV3bHhhV25vUFl5enFjcm4rVUZwYStoZ0FCSVBCTi9mdjMvK2gxRUpYc3d5Wm5yYnRjZFJyMTY0ZGtNbGtPWU9EZ3o5S3JVNDluZG51TjkxOW5FN25BM1YxZFI5b3RWb2hIQTVQV1dHYUVBQllzMmFOVGlhVDNjb1l1d1dBaGxkd0tMbkFndUx6Q3NBcmFWNXZKcWlNU3RSZVV3N0x4MHpvZUxvWGdiWlFFY2R4bXdWQnVBSEFOeDBPeDN1WmpwRXNIRXArQ1NGa2dlMTdxQjJoN3NqWWNTcFJQV096QURDZzd4OU9IUHB6UDdMS3RWaDFjelcwUlRNbnA2dHVyb2JhcEp4M0hIUHB4U2JMbThGZ3NNVmlzVmFmei9jcUFHUm5aNTg3YWRndXozR2NpakVXaWthakI0ZUhoMzhsazhrQ2s1cVJGUllXM2lsSlVpUWVqdytPUDVGS0ZKVktaVjI2aGF0aXNWaGJiMi92ZHpERFZrRFREVVhPeWNrNXoycTFQakRiTTVyTjVtdGxNbG1PeCtQNVkwRkJ3UzF1dC91WjJlYm10clcxblNlSzRvVGgyV3ExdW1MOFZreVRoY1BoVmdCUUtwWEZsUHlTTkRpNzNYNDVnSHNaWTFZQU1KMmVpL0pMaTZES25mLzdPMWw0K2lvZDF0eFJDOWQ3WGh6NlV6K2kzdGlwQUxZSmd2QlVNcG44enM2ZE8vdG1iWVFzZXBUOEVrTElKSWx3Y3NKQ1ZTbFI5MmhacWtkM01tV09BaktORExhN1J6K3JUeDZLbkl4S09QRHJUbmlhZlRDZmxZZmljODNndUtuempCWFpDc2gxUjRaSHEwMUthQ3hxeE5MRU5CM2x1SldnQ1ptT3orZDcxZWZ6Q1FCWVZsYldoMVVxVmRYSXlNaXo0NnJvRHY4L0JBQTlQVDFmRzNkT0N3QTFOVFV2eU9YeWtrQWc4RGRSRkZ2bWMvL0J3Y0ZIQVV4T3BpZVl2SkowU2p3ZVg1ZXVmRHlsVXJuS1lySGM1ZlA1L25ybzBLR3ZyRnExYW4xVlZkVUxlL2Z1UFFPQWQ3cnJSRkhzbk82KzA5RnF0ZFVBa0V3bTNmTzVqcHo4MXExYmR3clA4NzlnakcwQUFIMmxEaFZmdENLN1dqZmJwZVFFNDNnT3B0TnprV3ZQUWUvZkJ0SDdkeWRZZ24xUkpwTjkxbTYzLzFTcFZONi9iZHUyeU93dGtjV0trbDlDQ0puRTNUaUMxc2U3cGowLzNXSlR0ZGVXbytEMDNHbXZpM2xpOERUN0FBRE9mN3ZoL0hmNno4aFZWNWJBY280SkFMRHVSM1ZRNVkvMkNuend0ZDFwNjZkenhtWmh3cldFekNBQkFFVkZSWGNGZzhIM0FvSEFPK1BPNlFBZ0hvOVBXZndsTHkvdlVnRGdPRTdaMnRwNlJubDUrV2EzMi8zYjhYWG1NR1I1eHNUM1dHUmxaVFZVVkZUOEs1bE0rdHZiMjY4RkVPbnM3THk4dHJiMnJmcjYramM3T3p2UEYwVngraGY2SEJRVUZOeXMwK2xPa1NRcG9OZnJQeDZQeC9zQ2dRRHQ5VXNBQURhYnJRakFmM01jOXgvQTZCZWs1WmNXdzNTNkVSeFBFM3NYTTVtS1I5bm5pbEI0Vmo0Nm4rMkQ2d092bGpIMjQyZzAraFZCRUc1MU9CelBZUTVicDVIRmg1SmZRZ2laeHVUNXZ6UE4rWjF1YnU1NEdvc2FaMndXTVBTMkc5MHZEbUw5L2F2QUVnenZYdDJNaHUvVXdMQWlDKzlkdHhQOHVKV2tzeW9tcnZpNTR2b0ttRTR6VG51UDRmZThPUEJJWjlwckNabU95V1M2UWFmVGJXeHJhL3Z3K0hLZFRsY0FBSklrK1NkZkV3d0czdzJGUXY4K2NPREFwVGs1T1J0VktsV04wK244MC9nNk02MzZQQTg1NlFvNWpwdnVGNXpQejgrLzJtcTFQcEJNSmtjT0hEaHdEb0FCQUFpSHc0MmRuWjBYVlZSVXZMaGl4WXFkZlgxOTMzRzVYSThEU0k1dlFLMVdUNGs3WFZrOEhoOVVxOVgxSE1jcHd1Rnc0OURRMEowQTBnOE5tWnZVTXlWbnJFVVd0VTJiTnFrRGdjQk5qTEh2QWREeENoN0Y1eGJBZW9FWk1yVnMxdXZKNHFIS1Y2THV4Z3I0RDVqUS9sUVBRbDJSTWdCL0VnVGhScDdudjdGang0Nm1UTWRJNW9lU1gwSUlPY0dHM3ZZZ3p6NzZlVDdVRXdHVEdIVFcwVldlazZJRW1YcjZSVStTa2VTTXc1K1RFZnJNVE9iSFlEQjgzR3ExUGpBNE9QakRRQ0R3cmthaitWQjJkdlpHeHBpWWs1TnpCV01zRmc2SHB3eDNpRWFqQnc4Y09MQkpvOUZZUzBwS0huRzczWThCR0FTQVdDeldzV2ZQbnZwWUxIWUlBS2RTcWFxajBhaFBxOVVLQUNDVHllYThqWWdnQ05NT1Q1NkV6OG5KdWJDd3NQQk9yVllyK1AzK2Y3VzF0VjBGd0RtK2tzL25lN1cxdGZYMDh2THlQNVdXbGo1cU5wdHZkcmxjdjNJNm5jK200cDlwYnU5NFhxLzNLYS9YKzlSY255VU5tZGxzdmpFZWp3YzVqb3ZyOWZwUEFJQW9pdW1IbDVERmpyUFpiSjhOQkFMM01jWXFBQ0QvRkNQS0x5dUMycVRLZEd6a0dHU3Z5SUx0eC9VWWZOT0ZydWNHRVBmSHo1UWtxZEZ1dC85ZUxwZC83LzMzMzNmTzNncFpEQ2o1SmNjRlN6Qnc4c3dNNlluNzR1Q1ZQR1NhWS90MmxTVloydFYzQ1prdmxtVHc3dklqMTJhQS8wQVF2djFCVkgycEZBRGczZVdEcmtRRHVVNEdLU2FCSmRtTVBRTnRUM1FEVDV5b3lNbHlZREFZTGhrZUhuNXNZR0RnYmdDUXlXUzY0dUxpQndFZ2tVaTRlbnA2YmdEZ20rNzZyS3lzenlhVFNYZDNkL2Z0NDRwajQrYk1zdXJxNm4rcFZLcHlBUEQ3L2YrTVJDSzljNDNQNFhCWTBwWG41K2RmbEZvaEdvQ2xvYUZobTFLcExJdEdvKzJkbloyWGU3M2VaOU5kQndDaFVHaG5TMHZMV292RmNuTkJRY0d0eGNYRlA1Zkw1YWErdnI3dkFhT0xiRTJlOHp2ZG9sM0hLRmxRVUhDelFxR3dBZ0JqTE9aeXVYNFREQWEzTHZCOXlIRm1zOW5XQW5pSTQ3aE5qREhvU2pTb3ZMSUVocnFzVEllMllKYjk1eUlPS0R3ckg2WVA1YUw3ZndmUS84OGhqaVhaVitMeCtLV0NJTnpsOS90LzJkYldGczEwbUdSbWxQd3VZeXpKUnVlY2pIc2ZlL2MvbTFCeWtRVWxGeFVlZGJ2T045M28va3MvYlArOUVuTHR6QW1vOHkwM1JHY1VaUmNYSGZYOUpqdndteTZFdXNLdzM3c1M4cXlqK3hYMzdROWkzeTg3c09LYU1oalhHaFlzTnJJOE5kNjJGMUpjZ24zbEtyVCt2aHZtcy9LZ0tWUUJESEMrNVlINXpEd0FvNzIrQUNEVHBPLzVYZm10S21TVmFhRTBUcitZVmN3YlI3QXJ2UEFQUVU0cSsvYnRLNGxFSW00QTZPN3UvaStNbTdzV0RBYmZPTHhLc3d4ekdINDdQRHo4eStIaDRmK0h3NHRpcGRQUzBsSUZRSVBSdnpocGUzMWJXbHBxWXJIWTJCemNXQ3pXY2ZEZ3dkVTQzQnM3bWN2bGVsWVV4ZFQ4NUlHaG9hRjdFNG1FMitQeC9BV0g1ekhQSWpvd01QQ1RnWUdCaDNOeWNqNDJNakx5bDNSeGpJdW5QVFdNMit2MXZwWklKTTZjcVhHMzIvMmsyKzErY3JZZ2R1L2VYWXJSejJNOFJvZE0wenpDSmNSbXM1azRqcnNid0ZjQjhBcTlIR1VYRjZGd1UvNlMzSzgzM1Q3eUFKQUlKckQ5VzN1dzdrZDFSNzE5WGxKTW91K1ZJUlJ1eXAveDc5aGlKOVB3cUxpc0dJVm41K1BRczMxd040N29BZndzT3p2N21uWHIxbjI3dWJuNXI2RFg4YUpGeWU4eTF2dDNKd2IrYnhqMmUxZU5EYk9VRWd4TU9yYlhxMkZGRm1LK0JQcGVkczZhMVBJS0hqMHZEU0s3UmpjaHlaenIvRW43dlNzbmxBMjhOb3lSUFg1WXp6TkRuaVZIMUJQSDltL092a2pRNUxtZFdSVmFjRElPYlU5MHczN2ZLdkNLSThuSStEbVY0M0U4aDQxUDJtYTlGemtKVFhySlJBYWpHSHJiRGVkYmJpajBjcGcvbklmQ3MvTng0SkZPc0lTRThzOFhBeGo5WFlwNllqQi9lRFQ1VFlSSDg0ekpQYi9CempDYWZ6Q3ZoV2NCVFAyOUppUmxVcy9yZEcvNjh4bERQOXZRWkFrekpNY0FFSTFHSncvMWpRV0R3VDB6WE9JTEJvTmpQZEpEUTBPUHpoTERkUHlweEhlYU9GTGlvaWdlT3Z4dlZ5QVFlUHNvN3pjWkF6RDNwZHpKb3JCcTFTcWxVcW04a2VPNDd3TXdjRHhROUFrelNpNHFuUFdMLzhYa3ZXdDNqdjN0U1ptOFRkNFptd1Y0ZC9taE5DcW5UWHlaeENBNjAzZDZwcTV4N3hoQnoxOEhSNzhZT0Fsb3pDclVmNk1TSTN2ODZIeW1ENkhlU0JYUDh5OEtndkFhei9NMzdkaXhZNmIzTDVJaGxQd3VVMUtDWWVEVlllaktORFBPTDV6T1hKTFRucjhPb3VldmFiK3doMXdydzJtUHJZWHBOQ084dS93NCtIZ1hoUDllQ1VYMjZLL2s1S1EySFU0K01XN2YvaUE2bnU2RnZsbzNsblFyRGZJNXRRVk0zZDRtejI1QUlwQkExSlYrN1pMeDdYWTkzdyszWTlwUmdlUWtsQWduRWZjbndDczVCRnBIUDlQTERpOVV0Zi9oRHNSOGNWalBNOFB5TVJPa0JNT0JSem9SYUE5anpSMjFrR3RsU0lTVDZIeTJGNFZuSC9rR1BCRWU3YXlhN29QVDJ1K3ZnR29PKy8xNkhMN1I0ZEdFRUxLTVZGZFhxNHhHbzNINzl1M3BQM3dzRE01dXQ1OEg0RUhHV0MwQTVLNHpvT0x5NHFQdUVjMms5UTgyVERoKzc5cWRXUGZET3FnTEo4NVJIbjdQaThpQW1QYnpYK3B2MDNSN3k2ZStpQjE2eHdQVHFjWWwzZXViVGs1RE50YmRyY2ZnR3k1MFBkK1BSQ2o1TVVtU21nVkJlRXd1bC8vSWcrdm1BQUFnQUVsRVFWVGdndzgrb08zUEZoRktmcGVwL2xlY2lQbmlLQ2pKSGR0NkpTVXlLRTRwUzhtcTBFSnBVRXhKS0QzTlBtaXRHcWpUYktzU0R5WVE3aE5oV0RGdTNndDNaQ3hRNVJldGNOenVoK3Q5NzlqMkx2UDlBeExzQ0dQdno5dWhOTWhSLy9YS3NmbkduSXliYzF2VGJXL2oyajR5NFhqRjlSVVRZa3lLU1hoM0IyQmNuVDJ2bU1uU0Z1cUpZUGRQRG80ZHEzS1ZNTlRwQVFBcnJpdUh1a0FGWGptYURIZHQ2VU80TjRMVjM2MkJ0bGdOSmpFY2VQUVFPQTRvKzl5UjBSR3BmWVFWK3ZSdnpRcTlmRTc3OXg3cmZIZENDRm1LakVhak1abE05Z3VDOENaamJJc2tTWC9adVhObjMwSzFMd2hDUFlDZk04WStBUURhSWpVcXZtQmQwbi8vNVZvWjN2blN4QVdMZC83NHdJUmorMzJyNE5ucFE4WGx4Y2c3WlhTM2dkNlhCakc4ell0MVB4N2RVbytYYzFOR0d6bmZjbzk5cmhLSG9oalpHd0FZTVBTdUoyMHNKUmNXTHVnMHVCT0o0emxZUG1xQzZiUmNkUDJsSHdPdkRjdkFjRU1pa2JqQ2JyZi9FTUNqalkyTk5NSmpFYURrZHhtS2VlUG9lV2wwVWJyZXZ6dUJ2MDljb0c1NG14ZkQyOUtQWUt2N1dpWHlUOG1aa0ZCS01RbjkveHlHTWtlQk5YZldUbGtNb1g5ekR3WmZkOEYrNzBxb3pWTlhPNVJyWlZqenZWcW9DNDV1SlVUdkxqLzIvNm9EdklMSHFsdHJ3Q3Q0N1B0bEI4b3ZMUjZkVnpsSDVqUHpvTXlXUXh5S2pTWGhLWjNQOUNLclVnZlRhVVlNdnpmeForTjgwNDJrbUVUSnA0OStualJaWEJSNk9mUlZ1aG5yNkt0MFdQdURGV0FTd1BHQXJrUXpsdXhxRDYvY25GTDJPUXVzNTV1aDBNdkJFZ3dIZm5NSXZoWS9HbTZ2aFh2SENGaVNBUnpRLzQ4aDZFcVB0RFBaamx0YUZ1WUJDU0hrNU1VQk9Jdmp1TE5rTXRrdkJVRjRqK080TGZGNGZNdXVYYnVtemxtYWd3MGJOdVNLb3ZnREFEY0FrTW0xTXBSKzFnTExSMDBueFFKUVRHSllmOThxcU0wcXZIMlZBOEk5OWRCWTFCQ2RVZXk0cFFXOUx3MGlkOTNvZ28zRm56UURBUHdIZ3lnNEkzZk9uN1A2WHgxR1Zwa1dLNjRybjFEZTlMMTlzRjVRQ05OcHhxTmVwMlV4a2V0a3FMcXlCSmFQbU5ENVRDKzh1LzFHeHRndkFGd3JDTUpORG9mam41bU9jYmxiK3I5bFpINFljUEEzaDVDTUp0RndXODJVZlVEZnUzWW5yT2ViWVQwL2ZTSW5VMDM5VU00cmVkUmVVNGJkUDIxRjE1WUJsRjk2NUZ1N1VFOEVnMis0VUh4ZVFkckVOeVdWK0VZR3hIazlqcVpRalZCdkJES1ZES3R1cllhMlNJMzJQL1RBdldNRUJSdm4vcVk4L2xuYW4rcUJYQzhmMjB2VjArUkQzeitHMEhCcjlaVDZUR0xvLytjUTh1dzUwRmZPbkN5UnBTTjNuUUc1NjJaZTZJeVhjN01teUdOMWxmeFlRanZ3ZjhQd09IeW8rMW9sc210MGNMN3BndlBmb3lPaVZMbUtzWkVGNmRDd1owSUltYmZUR0dPbnllWHkrd1JCYUFLd2hlTzRMWTJOamJNdXBMQnAweWE1MysrL1JoVEZIM01jbDh2eEhBby9rbyt5enhaQm5yVjhSdGpFQXdtc3VMNENqdHYzSXRRVFFkd1hSMndrUHVmRlVSUEJCSnhiWFZEbVRwd3puQWdsSVNVWWRLV2FKVGxrZkNiYVlqVlczVndON3k0L09wN3BSV1JBckFmd0QwRVEvcDVNSnIrMWMrZk9nN00yUW80TFNuNlhtYTR0L1JqWkcwRHhKODNJV2FWUFc0ZFg4UE5lck1GUXI0ZjFVNFhRVjQxTHBoblE5dnR1WkZWb0p3enRURG40Mnk0TXZYMWtHc1RwdjFzMzdYeVI2V3o0N1RvVWJzcEgvdm9jcUF0VThMY0dNZmlHQytZejg1Qzd6akN2WkZwalVjTlFyMGZST1FYdzdRdkFkSm9SY1Y4Y3JiL3JndVVjRTNJYXBnNXJjbjB3Z3FnbmpsVzNGTThyYnJJMGFZczFXSEY5eFRITlY3S2NZNEtoWGc5ZDZXanZjTTFYeWxEem4yV2pxNjlQc3oyWXVrQ0oybXZMb2JYT2JZNitjWFUyYXE4dFArb1lDU0hrSkdVRFlHT00zUzBJd2w3RzJCWUFXNXFhbW5aaDBzSnZOcHZ0WTRGQTRDRUFxemlPUTA1RE5pcXZzRUpyUGJtU05BRFFsV3JnK040K1NQSFJIUWNhYjlzTGp1ZkF5VG5vU2pXb3U3RUNuSXhEN2RWbGFIMjhDOG4vejk1OXgwZFcxL3NmZjUvcDZUM1o5R3hsZDdQc2JpWVVRYTdsZW0zWGlnanFGZHZ2cWx5dkJVVkZ3WVpYTElnRkcxeXYxNHNDS29vb0lsWXNxNERMc3B0Sk50dDNzK205SjVOTUp0UE83NDlzUXBKTjI1YkpURjdQeHlPUU9lZDd6bndtajJTVDkzeWJQNnhOTjVRdGFScU9OTEVHakF4RC9xNXhSWUtScVVWRXh6b24va2FMMnoyUURTbGpSNm9xeXJlbzQvRnVOVC9TcWZCWStCVldxL1dsbFpXVjN3eUh3NStycWFrWlhQeEdPSjhJdjZ1SXQyNVVMWTkyS20xTGlzcXVQZmM1RlIyUDkramsvUzFMYXZ2VU8yYk9KOG05S2t0bDF4V28rRlY1NnRzM3FNYUgyaVdkdmpydHdTL1hhYlRacDB1K1VpNnJ5eW96Y21wN3BsbHNpVmFGeDhJNmZrK2pFZ3RkV3YrMllvMFBCTTg0VEUvWCtkZmVxYzg3SHU5UngrTTlrcVFOcC9abmxhVGdjRkF5cGFHajNqUHVaVWJzc2FjK095TGdiQmtXWXlyNFBudFFDKzZMYlV1eUtmZkt6Q1UvaHpQYm9kenNwYmMvRzI2M20yMGNBS3dvNGZDWkxGQ3VyWVpoYkpYMEtiZmJmVkxTd3hhTDVlRklKTkl2NlM1SnJ6Qk5Vd2w1VHBXOXFWQlpGZWt4dVhYUlVsVGN2a1dEaDd6cXJ4bFMreCs2NWNpd3k1bmxVTW5WK1ZQem1jMlFxZjdxSVkwMCtpUmpJdEJhYkliU3kxT252aTd6TFlZNjJ1cFgyUnNLVlA5QXEwWWFmVXJkT0xFR3pHakwyS20xV2VMNzd5ZUx6VkRoeS9PVWUxV1dtaDV1VjlldVBwc1pNVzh5RE9QdGJyZjcxdlhyMS8vdlF3ODlkRWJmdkRoN2hOOVZKR1ZEa3RiK1c1SHlucGUxNEIvYVoycXBxeWxQWjAyd3lwRnVsOUx0c3FmUC9jNWgzNzVCRFI0YzF2cTNGc3Zxc3NyWDV0ZVJiNXpVdG85dmtqTno1alZtMk5UUmJ6ZkkzeHZRMmpjV3l1S3d5Slh0bUhPckYyL2RxUGIvMXpGdCs5akdHYjNmUyswbEhtbDhkZy9WZ3Bma1R2UnczOXNzWjZaREdkdGpkOUVMQUFCV0tkTXdERE1VQ3BrV2kyVzNwR3hKS243TkdoVy9lczJNN1E3anpXakxtRm9lNlpBa1hmU2V0V3IvUTdjMnZyTlVmVldET3Z5MWs4cHlweW5ueWt3MVBkU3VzZTV4Ylh4bnFSenBkdFhkMjZ5RFg2NlRLOXVoOG85dW1CcTJYSFp0Z2JJdVNaZWtxYzZOaTk1VEpsdVNWWjEvN2RYZ0llOVUrQjArUHFyRVFsZGNmMzJuczZmWXRPSHRKY3IvNXh4VmYvS0lETVBJbFBUZkowK2V0RW42VHJUcld5MEl2NnRNNGN0eUpTMjhWVkh6THp2VS9NdU8wNDViYklhdS9MOW45N0UxSmNrNDg1V1pseUxrQyt2ay9TMUtMSEJwelFzbjlvTno1VGhraGt6VlA5Q2lMUjlZOTJ3ZEVWTW52dCtzd1VQZWMzck9wYjZPa2FheEdZOExYcHFyNGJwUm5ieXZSWmZjV1I2Mzd3d0QwM2s4SHI3VEFhd29sMTU2Nlpwd09IejZIekJ6TUF6alVDUVNlZGd3akljOUhzOEJuZnF6eHUxMi8walNqZExFQ0RCbnRrTnJucGNkbDcvYi9WM2pxdjdrRVJXOVlzM0VpTUJUcjlHVjdkQ0d0NWVvOEtXNUNnNkgxUExyVGhrMlF6cytmWkdTeXlhbXQxVitlYXU2L3Q2bmtRYmZqTCtmN09uMnFjZHBXMU9VL3k4NVV6c1lwRzlMVmQrK1FaVzhObDh5cGNFRHc4cTU0dHhHVThVYWYwOUF6WS9NK0JZTm1xWjV2dllNeHhJUWZsZXArUmJWT1haM2c3SXZUWjlheW40Nlk5WWJjMllvY3NGV09UeDVYNHNDQTBGdGVuZloxSE5ZSEJhdHZiNVlSKzQ2cVlIOVE4cllNYkVnVWYwRHJlcCtxaytiM2xXbTQvL1RlRTdQdTlqK3hYUDFKRXRTMGN2elZIUGJVWTAwK2s1YlJBd0FBS3dJSHAwYTNyeHYzNzVqY3pid2VENVlXVmw1bjJtYTN3Z09oNjZxKzM2ek92L2NxM1hYRnlsMVUvSmNsOFFzVjU1VE96KzdXWTRNdS94OUFVa1RvL2tNbTBYKzNvQU11MFdPTE1lekMzeFpEUGw3QTFQWForeElVLzZMY3VhN3ZWTFdKODFZR0RMN2tuUzEvYlpMSS9VK0JVZENDZ3dGbFgzWjZnaS9ZWDlFTGIvdVVQdnZleWJuVm84YWh2SDVsSlNVcisvYXRldk1WbnZGT1NIOHJsTHp6VnM4ZG5lREVvc1NsalN2TVRRYWx1MEM3Q2ZhL25pUGV2N1JyNXdyTTVWMlViS0N3eUdGZkdHRlJrT3kyQXc1c3gycS8zR2IzTnRTWlZnTkpSVW5hTk83eTVUNzNNeHpEcitTVlA2UkRYTE5XbEhYM3hQUW9hL1V6WHZONUdidzR3TkJKYysvV0M4d0x6TnN4c1dXR1FDd3d1dyt0ZFhSTDVhNjFWRlZWWlZIMHZQY2J2ZTFrdTRjYWZTVjFONStYRG1YWjZqc2pZVnlaaTIrNm42c1NDNUxWTzNuam12NHhNaFpYVDlmcDhCY1VqWWtLYWtrUWMyUGRDamtDeXVwT0VFcEcrSjdwd3d6WXFybkh3TnEvRm1iQW9OVDIveit3RENNVzZ1cXFwWTBTZ0huRitFWFo4M2ZNejR4Yi9jODZxc2FWUDJwUmJSNjl3eW9aOVpHNkZiWHhFclUvcDV4ZGZ5NVJ3VXZ5WjBhRm4yK3VISWNaenlVMjk4MUxrbXlyNkt0RDFhelNNaFV6YWVPYU5NTlpWTkR3RUsrc0lKRHdhbnZuWUhhWVIzNlNwMHUvODcycVNGZi9xN3hPYmY4R2pvNm9pUGZyTmRGTjVST2pXZ0FBSnlWaUtRbkpQMDhIQTcvY3YvKy9XMW5lUi9UNC9IODdJb3JydmgxSUJENGlHbWFIKy9aTTVEWVd6V29vbGRNYkFrNTEvYVBzV2o3cHpaSm12aTlsWHBSOG96WDllUmJQYXE4WSt0WlRYRUxEQVRWOG1pblNxOHRtTnBGcE95Nndxbk9oSzAzclQ4UDFhOWN3eWRHMVBDak5ubnJSeWNQL1NNU2lYeXdwcVptYnpUcld1MEl2emc3cGpSOGJGU3BtODk5Q0ZCa1BETDFlV1pGbXZLZWx5VjdpazBKK1M0NU0rMnlwOWxsVDdYSm5teWI2aGxyL2tXSHZIV2owa3ZPK2VuUFd0dHZ1K1J0OE1ucXNtandnRmVPRER0Ny9hNFNBN1hER3U4TnpGamh1L0duYmVxdkdkS096MXdrWiticHZRSmpIWDVWZitxb05yeWpSTG5QbmJrU2MvTGFSQmxXUTNYM05xdnl6dklaaTMvMFBEMmdZM2VmM2xsaFdBdzk5d2NWcHgwSGdOVnFZR0JnSUNNam8zRHYzcjJkNSt1ZXUzZnZIcFAwdWUzYnQ5OXJzOW0rYUliTTYxdCsxYW51di9lcjdBMEZ5cmtpTTI3bUF4LzZTdDJjUVhldW5UTnN5VFk5NSs3dGM5NW52RCtndHQ5MnEvT3Z2Yks2TENwOFdlNVUrSjFhWE5TWStmZGZQQm52RDZyeHA2M3EyVDBnU1RJTW96VVNpZHhjWFYzOW9HWnRxWVhsUi9qRldlbXZHZEo0ZjBCWkZlZldTOVZYTmFpR0J5ZmVsRzE5ckVzbFYrZHI0enRMRjcydTZKVjUwaHhiSGkzRjVENTI4L0gzQkpaMHpKNXUxMWk3WDVHUWVXb3Y0L3p6dW9vMlZxNnV2L1VxZlZ1cUFnTkJTUlBEbU1xdUs5RHc4UkVkdWF0KzZsMzBTZUh4aUk1K3UwR0pCUzVsWHpxeEN1WmtUL0drck1vMGhid2hqZmVlL3IwbXpWeFZ2ZW5uN2VyekRKM25Wd1VBc2EydXJtNWMwbmtMdnRQVjF0YTJTbnFMMiszK2ptbWEzeGdmQ0Z4MjdMOGIxZjZuSHEyL3Zsako2K0ozdlk5dEg5dDQycWlsMmV2QWhFOEYyZmJmZDZ2dS81cGxTN1NxNU9wODViODRSMWFuUlVGdlNDZC8yS0xlWndhVWUxV21JdU1SSGIyN1FRWEhSMVI2YllHc3J0Z2ZPUmNKUk5UNm15NjFQdGFwU05DVXBERkpYdzRHZzNmVzF0YU9Mbkk1bGduaGR4WHAzVHVvbzkrcVg3VGRmS3M5VDdyODI5dDE4cjRXSmVTN3BwYXpQeHRkZisvVGllODNLZVBpVk9WZW1hbmozMnZTOElsUnJYbCtsbHhybkxJNnJUS3NoaXcyUTRaMTRpTVNpaWd5SGxFa0VGRjRQS0tFUEtkc3lZdC9HemYvc21OaXczYXJvYjU5RS91SlR3NUZuVzJodWIzVDVWNlplVVo3cnlJK2pIV09xNzltU0RJbjNyeVpkT2xkRjJ2eis5ZHAvMmVPcXI5bWVNYXdzY2FmdFNrOEZ0YjJ6MXdraTJQaWVGL1ZvRTU4cittMCsvZnVuYm5mL2VUaWRKUHZ4SWY5WVEwYzhFN3R2UWdBV0Q0ZWorZHBTVmRVVkZSY2J4akdsN3gxby9rMXR4MVYzbFZaS3IyMlFJNk04enNkN0VMenozckRkYncvS0dNSld3K1prV2V2ZGFiYk5YSnFhSysvSjZEaVY2OVI0Y3R6WlhWWkZmYUgxZnBZcDFvZjYxSWtFTkhhZnl0UzRjdHlaVVpNSmZ5eVF5MlBkcXJuNlFFVnZEUlhlYy9Qa2lNdHRyNStraVJUNnRuVHI4WUgyelRlUC9XbTlvT0dZWHlzcXFxcU9acWw0WFNFMzFVazQrS1VzOXFUZDdaSUlDS1owcVozbDU3VEFqMVdsMFhwNWFuYStxSDFNcXlHRW9zVDFQSm9wMDQrMEtyZ2NIQkpBME1xdjF5K3BQQTdVRHNzNzhtSmY1Z05xNkc4NTJVcHFTUmg3bnZPTWVSbnJNTS81N0FmckQ0dGozWXE3NSt5NWhtaFlGZmxuZVZ5cE5zMVVEczhkYlRrdGZrcWZFbnVqRi9xZWYrVUpVZXFUZjd1Z1BKZlBITzF6SVlmdHlwNVhaSnlucE9obnFjSFpwenIrbnVmd3Y2d2lsKzc1cnkrTGdEQWtrV3FxNnZ2S3k4di80WFQ2Znk0cEk5MFBkbm43TjA3b0tKWHIxSFJ5L0prMkdOakpOaSttdzdPZUh6d2poT250Wm5yMkhRN1A3dFpLUnVTbFBkUFdTcTlybURxZDkxWTU3ajIzM1pVSVY5WUdkdFR0ZTc2NHFucFFvYkZVT2sxQmNweXArdmsvUzFxK25tN25ObU9tT3RVR0duMDZlVDlMZktlbU9yWXJiSllMRGZ1MjdmdnFXaldoZmtSZmxjUnE4dXFoUHp6TTZ6RWZjZldjMTdvSWZ2U0RHWHVUSnNLMEVuRkNkcjgzb2xlTGpOaXlveElpcGpQZmk3Sk1FNzl4NWo0MzJRdjJxU3RONjFYWXNIcGl6THMrTXhGa2pseFg4Tml6RHMvNTVJN3krWE1QbjIrcGl2WHFVdSt0azJTbEY2ZW91MmYzSFJhRzhTLzhIaEVmVldEMm5ManVtZm5MVWx5WmpzMDNodVk4dzJTUGUrdG5mRjQrcHNyRm9kRkp4OW9rUzNGTnJYQ2VuLzFrTnArMzYxdE4yODQ3VjVteEZUN0g3cVZWWm5PL0hJQWlMSkRodzZOU1Byazl1M2J2MiszMjc4Y0hvKzh2dW1oZG5YdDZsUFpHd3FVZlduR2lwOFBmQ2FyTlM5bTQ3dG12aW1jc01hcHNqY1VLckhJcGRTTmM2OFJrN3cyVVRzK2ZkSEVWcEZsc1ROMFBEZ1VVdU5EYmVwNm9tL2k3MHZUN0RJTTR4YVB4L05EVFN5NmhoV0s4SXV6Y2w1V09Kd2p2RTZkc2hpbjVwT2MyVytOekowTHpFRTJ0R2hQOVZ3cjhVb1QxN2xPaFdKN2lrMzJsUGphNnc5TFkzVmFkTkVOWlRyNHBabnZndS84N0daWlhSUGZ5d3VOcnBnZGp0TzJwS2pneGJrYU91SlZ6bk15RkJ3SzZzVDNtNVQvNGh5bGJ6dDlXSFB2TTRNYTd3K3EvS09GNStIVkFBRE9oMU5iS0YxYlVWSHhmTU13dnVIdkdkOXg5TnNOU3R2Y3E3VnZMbFJ5YWV5RXV2TnRxVHR5eEVyd2pRUWphdjlEdDFvZTdWTFlINWFrZ0dFWVg3ZmI3Vi9ZczJmUDhHTFhJL29JdndCd0JqTGRhYnJxUHZkcDJ6OU05Z1F2ZFR1SUo5L3FtZkc0ODYrOVU1OTNQTjZqanNkN0pFa2IzbDR5ZFh4eU9zRFFVZStNbGFZQkFORlhYVjM5dDJ1dnZiYnk1TW1ULzAvUzU0ZU9lbk5xUG4xVWE1NmZyZExYNTh1ZUdvUHpXVEhCbFBvOGcycjRjZXYwUlZCL2FSakdSNnVxcWs1R3N6U2NHY0l2QUp4SDA0ZERMMlNwOCs5SEduMVRueGU4SkZjeXBicDdtK1hNZENoak80dGVBY0JLOHRCREQ0VWxmYSt5c3ZKbmtVamtVNGFNRDNUdTZyWDNQTjJ2a3FzTGxQL2lIRm5ZR1NLbStGckhkUEtCVmcwZDlrNGVPaURwZ3g2UDV5OVJMQXRuaWZBTEFHZGdlcmlkdmdYVzVMejBwUzZNdHRRZTRwR21zUm1QQzE2YXErRzZVWjI4cjBXWDNGbSs0dWVUQWNCcVZGVlZOU1RwSXp0Mzd2eXV4V0w1YXRnZmVWWERUMXJWK2RkZXJmMjNRbVh1U09QZjd4VXU2QTJwNmVHSk9keG14SlNrUHRNMFA1bVdsdmEvdTNidENrVzdQcHdkd2k4QW5JSHA0WGI2dGxnWDM3SlIwc0tMaDh3ZTZqejc4V3p6M2F2bzVYbXF1ZTNveEFJaGEyTmpuaFFBckVZMU5UVW5KTDI2c3JMeUphWnBmbjJzMDcvMThOZE9LbjFiaXRhOXVWaUpoVXQ3SXhUTHh3eWI2dmhUajVwLzJhR1FMeXhKSVVuZkRnYUQvM1hnd0lHQlJTN0hDa2Y0QllBek1CbEk1NXZ6ZTZiS1A3SkJycHlaSzR6N2V3SUw3amZ0T2pYZmQzd2dxT1MxWi9XMEFJQmxWRlZWOWNmS3lzcWRrVWprUHd6RCtPemdRVytHNTliREtuaHhya3F1enBjdDZmenN4b0Z6TTdCL1NQVS9hdFZZNS9qa29kOFpobkZUVlZYVjBXaldoZk9IOEFzQTU5Rml2Ym16dVhJY1N4NENQY25mTmZGTDJaN01IMHNBRUN1cXFxcUNrcjUxMldXWC9UZ1VDdDBtVSs5cC8yTzN0ZnVwUHBWZVU2QTEvNXc5c1Iwamx0MVloMS8xUDI3VHdQNmh5VVBIVE5QOFVIVjE5ZStpV1JmT1A4SXZBSndMVStyZE82REVvZ1JKWjdiVjBabG8rMjJYdkEwK1dWMFdEUjd3eXBGaFo2OWZBSWhCenp6elRKK2s5Ky9Zc2VPL0xSYkwxME9qNFJlZnZLOUZuWC9wMWRvM0Z5bTlQQ1hhSmE0YW9kR1FtaC9wVk1majNaTnJkd3dhaG5HYnBMczlIazh3cXNYaGdpRDhBc0NaTWlmKzErY1pVcy91Qm8wMmoybkhiUmRKV3ZwQ1ZwT21MNXExMERGN3VsMWo3WDVGUXFhUzF5YXE5SnA4R2F3WUNnQXhhLy8rL1lja3ZkVHRkcjlTMHRkR1c4YzJITHpqaExMYzZTcDdZNEVTMWpBZitFSXhJNlk2ZC9XcTZlZnRDbzJFSlNsaW11WjNMUmJMcDZ1cXFub1h1eDZ4aS9BTEFHZG84TWpFZGdlTlAyMVR5b1lrYmIxcHZXd0pwdzlCTmtQbVZFQWRiWjVZdFhuMmtMYUY1dlpPbDN0bHBuS3Z6RHlYc2dFQUs0L3A4WGgrWFY1ZS9nZVh5L1VCMHpRLzFlY1pUTzNmUDZTQ2wrU281TFg1c3M3eCt3Vm5iK2l3VnljZmFKV3ZkV28zaGI4WWh2RkJqOGR6SUpwMVlYa1FmZ0hnRERuUzdFcklkNm5zdWdKbFZhWkxtbnZCcTVNUHRLanpyNzJ5MkMyS0JDSnlaTmpseko2NXVOWDBSYk1talhYNHoybUlOQUFndGh3NmRDZ2c2U3VYWDM3NS9ZRkE0SGFGOWU5dHYrczJ1cDhhVU5tMUJjcDdYaFpiSTUwamYvZTRHbjdTcXI2cXFYbTk5WVpoZkxpcXF1cFhtaHJUaFhoSCtBV0FNNVJZNkZMbGw3Yk8rRVBFbG14VHlkWDVNOXJsdnloSHlhV0ppb1JNR1JZcGMyZWFET3V6RjExeVovbHBZVmlTWExsT1hmSzFiWktrOVBJVWJmL2twZ3Z6UWdBQUs4cWVQWHU2Skwzcmtrc3V1VHNTaWR3VkhBNCs3OFQzbTlUeHB4NnRmWE9SMGpZblI3dkVtQlAyUjlUeWFLZmFmdDhsTTJSSzBvaHBtcmQ3dmQ2NzZ1cnF4aGU3SHZHRjhBc0FaMlBXTy9EMmxOUERiMUp4Z3BLS0UrYTloU3ZQT2ZldHJZWmNwMEt4UGNVbWV3cC83QURBYXJKdjM3NXFTUytvcUtpNHhqQ01yNHcwK1VvUGZPRzRzaTlMVjlrYkN1WEttZnYzQjU1bFJreDFQOW12eG9mYUZCd0tTUk85dS9kYXJkWlA3TjI3dHpQSzVTRktDTDhBQUFEQXltTldWMWYvL0lvcnJ2ak4rUGo0VFpKdTdYMW1NTEcvZWxpRi81cW5vbGZreXVwaVB2QmN2Q2RHZGZMK0ZvMDAraVJKcG1rK1pSakdqUjZQcHlyS3BTSEtDTDhBQUFEQUNyVjc5KzR4U1ovZnNXUEhENnhXNnhjandjaGJXbjdWb2E2Lzk2cnN1a0xsWEpIQi9zQ25qUGNGMVBqVGR2VTgzVDk1cU1VMHpadXJxNnQvS3ViMVFvVGZGZTNKdDNxaVhRSVFNL2g1QVFERXMvMzc5N2RKZW10bFplVjNUTlA4Um1BZ2VQbng3emFxNDA4OVduZDlrVkxXcjk2OTN5T0JpRnAvMDZYV3h6b1ZDWnFTTkdZWXhwY2tmY1hqOGZpaVhCNVdFTUx2Q21TYTVpN0RNRjRRN1Rxd3NwaW11U3ZhTmF4RS9Md3NQOU0wL3hidEdnQmd0YXFxcXRvajZVcTMyLzF2a3U3d25od3QyUC9aWThxOU1sT2xieWlRTStQMGhSVGpsaW4xUE4ydnhwKzJhN3cvTUhISU5IOXNzOWsrdm5mdjNwWW9WNGNWaURFU1dMSGNicmNwU1I2UGgrL1RaY0xYZlBsRTgydGRXVm41elVna1lsWlhWOSs0M004TkFEaC90bS9mbm1TMVdqOW1HTVpISmJrc0RvdUtYNVdud24vTms4VnVpWFo1RjVTM2ZsUU5QMnJUOEltUnlVUDdJcEhJalRVMU5mK0labDFZMmVqNUJZRFZ4V0thNXVzc0Zvc3A2VU9TSXRFdUNBQndkbXByYTBjbGZicWlvdUw3aG1GOE9SS0lYTmYwY0ljNi85YW50VzhzVXZhbDZYSFgxUlVZREtyeFoyM3FmbkpxWG0rbllSZ2ZyNnFxdWwvOFRzTWk0dnN0SVFEQURHNjMrekpKaGFacEZsVldWbDRhN1hvQUFPZXV1cnE2eWVQeHZNRTB6ZWRMcWg3dkRlam90K3RWKzRYakdtMGFpM1o1NTRVWk5OWDY2eTVWM1h4NE12aU9tNmI1eFlTRWhFMVZWVlUvRk1FWFMwRDRCWURWNVpySlQwelR2R2FoaGdDQTJGSmRYZjMzOWV2WFgycWE1anNsZFE4ZkcxSDFwNC9veFBlYkZCd09SYnU4czJOS2Zmc0dWZlh4dzJwOHFFMWhmMWlTSGc2RlFsdXFxNnR2ZmVxcHA3elJMaEd4ZzJIUEFMQjZHSVpoWEdPYVU3czlYQ1BwWTJMN0J3Q0lHdzg5OUZCWTB2Y3Z2L3p5aDRMQjRDZGw2b05kZit1ejkrNFpVTW5WQmNwL2NZNHN0dGdZQ3ozYVBLYjZCMW8wZEhScVhtK3R4V0s1Y2QrK2ZidWlXQlppR0QyL0FMQktYSExKSlR0TjAxdzc3ZEM2blR0MzdvaGFRUUNBQzJiUG5qM0RIby9uNWtna1VpN3AwYkEvb29hZnRLcjZsc1BxOHd5dTZMYzlnOTZRNm43UXJKcFBINTBNdnIyU2JsaS9mcjJiNEl0elFjOHZBS3dTa1Vqa3RHSE9WcXYxR2trMVVTZ0hBTEFNYW1wcVRraDZ6U1dYWFBKaTB6Uy9QdFkxWG43a3JucWxiMHZWdW44clVtS1JLOW9sVG9tRVRIVTgzcTNtUnpvVkhndExVc2d3akcrR3crSFAxZFRVREhvOG5taVhpQmhIenk4QXJCNm5oVi9tL1FMQTZyQnYzNzdIVTFKU2RrcDZuMm1hL1lNSGgrWDV4R0dkdks5Rm9aRndkSXN6cFlIOXc2cit4QkUxL0tSdE12ait4bUt4Ykt1cXF2cHdUVTNOWUhRTFJMd2cvQUxBS2xCUlViRlYwdVk1VG0xeHU5MWJscnNlQU1EeTI3VnJWOGpqOFh6SDVYSnRORTN6bXpJVjd2aFRqL1o5OUpEYS85Z3RNN3o4WTZGOTdYNGQrbXFkRG4yMVRtTWRma2s2SXVsbEhvL25sZnYyN1R1MjdBVWhyaEYrQVdBVnNGZ3M4L2J3MHZzTEFLdkw3dDI3KzZ1cnEyODBUWE83cEQrRVJrT3FmNkJWMVo4NG9vRUR3OHRTUTJnMHBKUDN0OGh6eTJFTjFBNUwwcUJoR0RjYWhySEQ0L0g4WVZtS3dLckRuRjhBV0FVV0NyaW5ndkh0eTFnT0FHQUZxSzZ1UGl6cDVaV1ZsZjlxbXViWGZlMytqWWZ1ckZQbXpqU3RmVk9oRXZMUC8zeGdNMktxODYrOWFucTRmWEs0ZFVUU1BUYWI3VFBQUFBOTTMzbC9RbUFhZW40QklNNVZWbGF1bHpUdnFzNm1hZTY4OU5KTDF5MWpTUUNBbGNPc3FxcjZ6Zmo0K0RiVE5EOHNhYmkvWmtpZVd5Zm0zNFo4NTI4KzhPREJZVlYvOG9oTy9uQnFudkdmTFJiTERvL0g4ejZDTDVZRFBiOEFFT2VXTXF3NUhBNWZJK25PWlNnSEFMQUNIVHAwS0NEcGE5dTNiMy9BWnJOOXpneWI3MnI3WFpmUi9XU2ZTbDlmb0RVdnlKYk9jbnZnc2E1eE5UN1lwcjZxcVhXclRrWWlrUS9YMU5ROHFoVzk2UkxpRFQyL0FCRG5saEorVGROOC9YTFVBZ0JZMldwcmE3czlIczhOcG1sV21LYTVLK2dOcWU3ZVpsVi82b2lHam5yUDZGN2hzWWdhZjlvbXp5MkhKNE92VjlMTnc4UEQ1VFUxTmI4U3dSZkxqUEFMQUhHc29xS2kxRENNeXhaclp4akdaUlVWRmFYTFVSTUFZT1dycnE3ZVgxMWQvYytuM2h4dEhHMGUwNEV2bk5EUmJ6WEkzek8rOE1XbTFQbTNYdTM3NkVHMS9xWkxac2cwRGNQNHZ0MXUzK2p4ZU82c3E2dGI1QWJBaGNHd1p3Q0lZOVhWMVUyYU5WRE43WGFia3VUeGVNNXlBQnNBWUpVd3E2dXJIMzdCQzE3d0c2L1greUhUTkQvUnUzY2dxYjltU0lVdnkxWFJxL0prZFZsblhEQjhiRVQxUDJyVlNLTnY4dENUaG1IY1dGVlY1Vm4yNm9GWkNMOEFBQUFBNXJWcjF5Ni9wQzlXVkZUOFVOSVhJc0hJMjFwKzNhbXVKL3V2bmxRQUFDQUFTVVJCVlBwVWRsMmhjcTdNVUtBL3FJWUgyOVQ3ek1Ea1pjMlNQdXJ4ZUI0U3c1dXhRaEIrQVFBQUFDeXF1cnE2WGRMYkw3bmtrcnNqa2NoZGdjSGdGY2YvcDFISC82ZHhlak9mWVJoZmNqZ2NYOW05ZS9kWWRDb0Y1a2I0QlFBQUFMQmsrL2J0ZTBiU2N5c3JLOThrNlE3VE5JdE9uWG9nRkFyZFVsdGIyeHJGOG9CNUVYNEJBQUFBbkNtenFxcnF4enQzN2t5M1dxMDNTTHEvcXFycUs5RXVDbGdJNFJjQUFBREFXYkZZTEp0TTA5d3VLUlR0V29ERnNOVVJBQUFBQUNEdUVYNEJBQUFBQUhHUFljOEFBQ3d2UTVKRGtpc2hJU0VsSEE2bldLM1dGTHZkbm1XMVdyTWNEa2UyMVdyTnM5dnRoWGE3dlhCZ1lPQUhmWDE5OTUrNk5ydWtwT1FMemMzTk4wc2FuT3ZtTHBlcnRLeXM3S2RIang1OXpuSzlJQUFBWWdIaEZ3Q0FaWkNSa2ZHbXNyS3krdzNEc001MTNqVE5RRGdjSGc2SHc0UGhjSGd3RkFyMWgwS2hUc013RWlmYnBLYW1YcGFSa2ZIRzV1Ym05MHk3MUNJcGRlcUJ4WktibUpoNHVhVDBXVTh4SlBiYUJCQTdiRzYzTzNndU4vQjRQSFl4RnhuVEVINEJBRmdlVnNNd3JDZE9uTGdxSEE2UGhVS2hNWXZGNHZQNy9TT1N2SklDaTkwZ0pTWGxxdEhSMGI5SkNrOGVjN2xjSlZ1M2JtMlkzZGJ0ZGc5TWYrenhlSElrOVo3N3l3Q0FaUkU2ZVBEZ2x2bE81dWZuZnlRcksrdmZXMXRiLzNOd2NQQ3Y4OTNqQXRXR0dFWDRCUUJnR1htOTNxZk85dHJVMU5TWEp5UWs3SFM3M2FZazlmWDFmYitycSt0MlNmSjRQSVlrT1J5T3pkdTJiVHN5K1ZoU3N0dnQ5cDV6NFFDd3pBS0J3TkU1RGp0S1NrcStsWldWOWU4REF3TS82Kzd1dmtlU1ZkUGVGQVRtUS9nRkFDQUdPQnlPelM2WGE5dVJJMGN1RDRmRHd4czNibngwYkd4czZnL0R5VUE4MzJNQWlIVU9oMlBMdW5YcmZwU1ltTGpUNy9jZnlzakl1RzVvYU9nWCtmbjVuMjl2Yi8vVXdNREFnMko2QnhaQStBVUFZQms1SEk3Tlo5SitzdWNqTnpmM1A3eGU3Ky9IeHNhZWtaVG5kRHJYRHc4UFA2U0pCYlRrOFhoU0pDa3hNWEhUNXMyYnF5WWZTMHB5dTkyZDUvRWxBTUJ5YytibDVYMDRQei8vazVGSVpLeSt2djYxZHJ1OXBMaTQrRnY5L2YxL1RFNU9mbTVaV2RsOWVYbDVIMnByYTd2SjYvVStHZTJDc1RJUmZnRUFXRWJidG0wN2NpYnRUeTNZa3BpZG5mM3VreWRQWGxkU1V2SUR2OTkvd09mejdiVllMTUZ3T0p4Y1gxOS90Y3ZseXBZa3d6QXlKR255c1NSTGZYMzkxVTZuTTIxOGZKdzV2d0JpaVNVek0vT2EvUHo4THpxZHp2V0RnNE9QMU5mWHYwZFNaMDVPenZ0T3RSbG9ibTcrUUY5ZjMvY0tDd3Z2MmJoeDR4TjlmWDBQTkRVMWZWUVNiL3hoQnNJdkFBREx5T1B4R0xtNXVUY1ZGQlQ4VjAxTlRhRW1WbUdlelNndkx6OGFEb2U5bWxpd1piaWpvK05XcjlmN200MGJOLzc2NE1HRFc3dTd1eC9ZdW5Ycm4xMHVWL2xjenpQWElsalQ1Z0VEd0lxV21wcjY4cUtpb3ErNVhLN040K1BqeDA2Y09QRXFyOWY3Mkh6dFIwZEhEeHcvZnZ5ZmNuTnozNU9mbi8rbDlQVDBWN2EwdEx5N3Y3Ly9vZVdzR3lzYjRSY0FnR1ZnR0liZE5NMndKSTJNakR4b0dNYVg4L0x5M3RIVjFYWFg3TFlwS1NtdmNEcWRteG9hR3Q0eWVXeFdPMU5TMStIRGg3ZGQrTW9CWVBtRlFxRk9TV3BzYkh4bmYzLy9mWktXc3UyUjJkM2RmZmZ3OFBCdmk0cUsvbWRzYkt6NXdsYUpXRVA0QlFCZ0dWaXQxbVRUTk1ja3llZnp0ZmYzOS84NEx5L3ZscTZ1cnYrVE5EeXRxYjI0dVBqT3NiR3hBd01EQXo5WndxM1h1TjN1anNVYUhUOSsvT0tSa1pHRFoxaytBQ3dybjg5WGZmanc0UzJTVWgwT3gvclo1NGVHaHY0ME5EUzBaYTUxRlB4K2YzdGRYZDFMbHFWUXhCVENMd0FBeThCbXMrV0ZRcUdleWNkZFhWMmZ5Y2pJZUgxcGFlblhtcHFhM2psNXZLaW82SGFYeTNYUjhlUEgvMWxuc0hYSHNXUEh0bytPam5ZNG5jNzBsSlNVZitudDdmM2xxZXV0TEhnRklGWmxaR1M4ZXUzYXRmZWZ5VFVORFExdkdSZ1llT0JDMVlUWVJmZ0ZBR0FadUZ5dWpZRkFvSEh5c2QvdmIyaHZiLzl3VVZIUjNhT2pvM3Q3ZTN1L201R1JjWDF1YnU3TkhSMGRueDhaR2RsMUp2ZVBSQ0lEa25vdEZzdjZrcEtTZTNwN2U3K25pZkRMNzNvQU1jL2o4V1JJR2x5a1dicmI3UjVZam5vUW0vaUZDQURBTWtoS1NycDBjSER3MGVuSHVydTc3M0c1WER0S1NrcnVTVXBLdWp3cksrdHRnNE9EUCsvbzZQak1ZdmZMeWNsNS8ram82Tk0rbjY5bCt2R0VoSVN0d1dDd1RXZlFhd3dBd0dwZ2lYWUJBQURFTzZmVHVjbmhjS3dkR1JuNSsreHp6YzNOTndjQ2dkYXNyS3gzaEVLaC92cjYrdmRxa2VDYWs1UHp6dUxpNHJzY0RrZUJwSEFnRUdnYUd4c0xTVXBaczJiTmg2MVdhL3FhTld0dWx1U1VaQVlDZ2FaZ01CaTRJQzhPQUlBWVFmZ0ZBT0FDeThyS2VrY2tFdkVORGc3K1lkcGhXMVpXMXR1M2JkdDIwRzYzNS9mMTlUMWdzVmdTdDIvZmZqZ3ZMKzhXU1psejNDcFBrbkp6YzI5c2FHaDQyK0RnNEs4azlSdzhlSEJ0YW1wcXhkYXRXNTh4RE1QUjJ0cDZVMDVPenZ2THk4dVBabVptdnY3Z3dZTmw0K1BqeDVmanRRTEFoZUJ5dVRJbFpTLzBjYW9OTUMrR1BRTUFjR0hsNWVUa3ZMZXZyKytIa2taZExsZHBXbHJhbTdPenM5L2xkRHJMZkQ3ZjN2cjYrdGY1Zkw1OW5aMmR0eFVXRm42bHNMRHdDd1VGQmJkNXZkNi9lTDNlM3c4UEQrOGVHeHQ3SmpNejh3V21hUVliR2hwZVB6ZzQrSnZVMU5SWHBLU2t2REE5UGYyMVRxZHpYVjlmMzQrYW1wcHVsTlRmMjl2N1FINSsvaTJscGFYM1pXZG52NysxdGZYOVBwK3ZPdHBmREFBNEcxdTNiajBaN1JvUSt3aS9BQUJjUUd2V3JIbTdZUmhHWDEvZjdVVkZSWGZrNXViZUxFa2pJeU5QdDdhMmZuUm9hT2hoVGV6YnEvSHg4WlAxOWZWWEp5WW1WbVJuWjkrWW1abDVYV3BxNnN1c1Z1dC9qWTJOUGRQZjMvOVR2OTkvd3VmemVTUXBJeVBqRGFtcHFTOFpIQng4ZUdCZzRKNVpXeG41T2pvNlB0WGYzLzlBY1hIeDNTNlhheFBoRjBDc09uejQ4SHEvM3orOFVCdVh5NVZLU01aQ0NMOEFBRnhBbloyZFh4c1pHZG5qOC9uYWZUN2ZWOFBoY0dCNGVQaG5vNk9qQithN3h1ZnpWVGMzTjcrOXVibjV2ZW5wNlM4WkhCejg5YlJ6bnNuUG01cWEvbDFTU0tmQzgxekd4OGVQMWRYVnZVaVNjWjVlRWdBc20vSHg4V005UFQzZjhmdjlIWkxHRm1ycjkvdEh1cnE2dmpvK1BuNTRtY3BEakNIOEFnQndZUVduYlZ2VTNkSFI4YWt6dUhaMGNIRHdsd3ZkK3d6dU5XOUFCb0NWeXVmejdmWDVmSHVYMk56ZjF0YjJrUXRhRUdJYUMxNEJBQUFBQU9JZTRSY0FBQUFBRVBjSXZ3QUFBQUNBdUVmNEJRQUFBQURFUGNJdkFBQUFBQ0R1c2RvekFLeFNsWldWajBTN0JnQkFiRE5OOHpYUnJnRllLc0l2QUt3K3c1SlMrWU1GQUhDK21LWTVITzBhZ01VUWZnRmdsWWxFSWp1c1Z1dk9hTmNCQUlnUGhtRU1ybDI3OW9ucTZ1cG9sd0lzaVBBTEFLdE1UVTFObzZUR0tKY0JBSWdqKy9idGkzWUp3S0pZOEFvQUFBQUFFUGNJdndBQUFBQ0F1RWY0QlFBQUFBREVQY0l2QUFBQUFDRHVFWDRCQUFBQUFIR1A4QXNBQUFBQWlIdUVYd0FBQUFCQTNDUDhBZ0FBQUFEaUh1RVhBQUFBQUJEM0NMOEFBQUFBZ0xoSCtBVUFBQUFBeEQzQ0x3QUFBQUFnN2hGK0FRQUFBQUJ4ai9BTEFBQUFBSWg3aEY4QUFBQUFRTndqL0FJQUFBQUE0aDdoRndBQUFBQVE5d2kvQUFBQUFJQzRSL2dGQUFBQUFNUTl3aThBQUFBQUlPNFJmZ0VBQUFBQWNZL3dDd0FBQUFDSWU0UmZBQUFBQUVEY0kvd0NBQUFBQU9JZTRSY0FBQUFBRVBjSXZ3QUFBQUNBdUVmNEJRQUFBQURFUFZ1MEN3Q0FlRmRlWHU1d3VWeXAwNCtacGlsSnFxeXN6SjUrM08vM0R4ODZkQ2l3ak9VQkFBQ3NDb1JmQUxqQUhBNUh0bW1hclpLTTJlZE0wK3laL3REbGNoVks2bGkyNGdBQUFGWUpoajBEd0FWV1hWM2RMdW5KSlRSOW9xcXFpdUFMQUFCd0FSQitBV0FaR0lieDhQbG9Bd0FBZ0xORCtBV0FaV0N4V0g2eFdKdGdNTGhvR3dBQUFKd2R3aThBTElPOWUvZTJtS2I1ekFKTjl0VFcxcll1VzBFQUFBQ3JET0VYQUpiSklzT2FHZklNQUFCd0FSRitBV0NaTEJSK3JWWXI0UmNBQU9BQ0l2d0N3REtwcXFvNktXbi83T09HWWRUczNidTNQZ29sQVFBQXJCcUVYd0JZUm5QMS9rWWlFWHA5QVFBQUxqRENMd0FzbzdtQ0xsc2NBUUFBWEhpRVh3QllSdFhWMVljbEhaMTI2SWpINHprU3JYb0FBQUJXQzhJdkFDeS9xWjVlZW4wQkFBQ1dCK0VYQUphWnhXS1pDcnpoY0pqd0N3QUFzQXdJdndDd3pQYnQyMWNqcVY1U2ZVMU56V21yUHdNQUFPRDhzMFc3QUFCWWhVeEp2emoxZnpQS3RRQUFBS3dLaEY4QWlBTERNSDV1R0FiQkZ3QUFZSmtRZmdFZ0NxcXFxdmFLWGw4QUFJQmxRL2dGZ09pSVJMc0FBQUNBMVlUd0MyRFpWRlJVN0RFTTQ3Sm8xNEdWeFRUTlhkWFYxUytNZGgwQUFDQytzZG96Z0dWRDhNVmNETU40UWJSckFBQUE4WStlWHdETDdxcjczTkV1QVN2RWsyLzFSTHNFQUFDd1N0RHpDd0FBQUFDSWU0UmZBQUFBQUVEY0kvd0NBQUFBQU9JZTRSY0FBQUFBRVBjSXZ3QUFBQUNBdUVmNEJRQUFBQURFUGNJdkFBQUFBQ0R1RVg0QkFBQUFBSEdQOEFzQUFBQUFpSHVFWHdBQUFBQkEzQ1A4QWdBQUFBRGlIdUVYQUFBQUFCRDNDTDhBQUFBQWdMaEgrQVVBQUFBQXhEM0NMd0FBQUFBZzdoRitBUUFBQUFCeGovQUxZRlZyZmF4TC91N3hpUWVtZFBSYjllcmMxYnVrYTl2LzBLMGpkNTFVSkdUT2ViNW45NEFPZmFWTzRmSElndmN4dzZZR0Qza1ZHZzFQMVJIMlI1YjBNU2tTTWhYMGhzN293NHpNWFRjQUFFQThza1c3QUFDSWx0NDlBMnI4V1p1Y21YYTVjcDJTSVJsV1E2MlBkaXIzcWl4WmJNYTgxNDQwK05Ud1lKc0tYNTZyMEdob3hqbXIweUlaaGhvZWJGVnlhYUxDL3JEQy92RFVlWXZOSWx1U2RlcHh6OU1ET3Y3ZFJ1VmVsYWxON3k3VCtFQlFlejk0WUVtdjRhcjczQk92NVprQkhmL3Z4ak40OVpMN0MxdVVXSlJ3UnRjQUFBREVLc0l2Z0ZVcE1CVFV5UWRhbFhGeHFuS3V6Snc2WHZLNkFubHVPYXlXWDNXbzlKcUNPYThkN3czb3lEZnFaWVpOdFQ3V3BkYkh1bWFjei8rWEhNbVVBZ05COVE4TTZabjN6d3l5NmVVcDJ2YXhqUk1QVEtuMXNVNFZ2WEtOT2g3dlZtdFJsd3BmbHF0TDc3cDRxbjE0TEN6UExZZTErYjFybGJJeGVjSFhkZmwzdGkvNjJzYzYvS3E5L2ZpaTdRQUFBT0lKNFJmQXFtT0dUUjM5Vm9NVU1iWGgzMHRtbkV0WTQxVHhxOWFvNWRGT3BWMlVyUFJ0cVRQT2o3YU02ZkRYVDhxZWJsUEY3WnZWK3R0dWpUVDZ0UG05YTJWTHNtcWswYWZ4M29DTy9YZWpOdDFRcHVUU0JCMzlkb08yZlh5akhPbjIwMnJwK251ZndtTmhsYjR1WDY1Y2grcnViVlp5V2FMU3Q2Wk10UmxwREVxUzByYW15SjZ5OEQvYmk1MlhwT0NRZGRFMkFBQUE4WVk1dndCV0YxT3ErNzltRFo4WTBVWHZLWk16MDNGYWsrTFhyRkhxUmNrNjhzMEdEUjhmbVhFdU9CeFM1bzQwYmI5MWsyekpOcFc4ZG8yc0xvdUdqbm9sU1MyUGRxcmh4NjF5ZjJtcmNwK2JxY1NpQk9WY2tTbHZ2ZSswNXdtTmh0WDQ4M1lWdnpaZk1xUTFMOGhXK3RZVUhidW5VZU85QVkxMStEWFc0ZGZ3c1JIWlUyd0tqWVNtam8xMStPZDhlZFBQei9maDd3bWNoeThrQUFCQWJLSG5GOERxWVVwMTl6YXI2NGsrclg5TDhXbTl1cE1NcTZFdEgxaW5BMTg0cm9OMzFHbjkyNHVWOTA5WmtpYUdMQis4NDRRNi90d3o0NXErZllNekh1Kzc2ZUM4WlV6TzA2MS9vRVgyWktzYzZYWlYzWHhJRlYvWXFnM3ZLTkhSYnpkb3BNbW5JOStvbjNGZDFjY096M21maGRvc3B2ZVpBU1dzY1NtcGhMbS9BQUFndmhGK0Fhd0s0Ykd3anYxM28vcXJoMVQyaGtMbHZ6aG53ZmEySktzdXZuV2pEbis5WGllKzE2Uytxa0d0ZTFPUlhIbE9TVkxaR3d1VlZaRjJSalgwVlErcDhjRTJTVkxQUC9yVi9WUy90bjFzbzFJM0ppa1NuSmcvWEhwTnZuWitkclBHT2lkNmRpY0Q3dEFScjFMV0o4bmlzR2lzdzM5YXlKMWNtbXV1UUR4YkpCaVJyOVV2VjU1VFI3L1RvT1N5UkcyNm9leU1YZ3NBQUVDc0lmd0NXQlU2ZC9WcW9IWlk2NjR2VXFZN1hmN2VwUTM5TGYvSUJqVS8wcUcyMzNVcGRXT3lpbDZScDdUTnlVb3VTWkFqNC9RaDAvT3h1aXhLN2c4cXZYeGlMbTlDZ1V0NXo4dWFlbHp3a2x3TjFBNUp5bjgyeVU1ejRJc25WSG5IVmlYa3UrYTh2ejF0WWo1eHp6LzZsYkpwNFVXeHBJbHczL09QQWZuYS9DcDUzZHdMZXdFQUFNUVR3aStBVmFIdzVYbkt1RGhWSTgxakN3NUpubTNuYlp1MTlvMkZ5bjloOWxTdjc4VzNicElaTnZYVU82cVhmSityN25NcnZUeGxLdXdtbHlXcThPVjVVM04zTTNha0t0T2RwckVPdjJ5Slo3NGdWZHFXWk9VK04xUEh2OWNrTTd5MC9YdXRMcXZ5WDVTajdFdlN6L2o1QUFBQVlnM2hGOENxa1ZpVW9NVENCR1ZmT2hIMnpMQ3AzVGZzMTdvM0Yybk5DN05udFBWM0IrUzU1YkFzam9sdTJNbmdPOXRGLzdsV09jL0ptUGM1NXhxaVBNbHp5OXpIMTd3d1c0VXZ5NTE2YkVaT2hWbGovbjJIRFl1aFRUZVVhZE83eXhRSlJlWnRGeHdLcWZlWkFXVS9KMlBPeGI0QUFBRGlGZUVYd09waVNCYjd4RUwzL3Y1eHlaUVM4cHhUeHlaTkJrNkxZK0ZGOFkvZDNhQmpkemVjVlNtejUrY0d2U0h0L2VCQnBWNDBjOWh5MkIrWnQ1YndlRVJoZjNqSnorbHJHMVBEZzIxS0xFNlFZWDAyVER2U1R0K0dDUUFBSUo0UWZnR3NXc04xbzVLa3BOTEUwODVGeGljQ3A5VzVjUGpkK001U1pTMHdiTmpmT2E2YTI0NHVxWjdPdi9US25tWlR6dVVaOG5lUFAzdVBybkVaRmtPT3ROUC95VzcvZmJlYUhtNWYwdjJuTzNSbjNZekhTMWtvQ3dBQUlKWVJmZ0dzV2oxUER5aXBKRUdPOU5ON1BTZDdVNjBKWno3L2RqcG5sbDBYMzdKUklWOVlWcWRsUm05cjBCdlM0YStlMUxxM0ZDbXhLRUh0Zit4V3lldnlaN1NScElFRHczSm0yV1ZZVGgvMlhQaUt2QmtyVnpmOHBGVnBXMUtVdVhQdWxhaEhHbnc2ZU1jSlhYekx4amxEUHdBQVFMd2kvQUpZbFFZUGV6VlFPNlQxYnkyZTgzeG9OQ3pEYWl3NjdQbkUvemJweFA4MkxlazV0OTYwZmtZb3RTZmI1TWl3NjhoZDljcStMRjBXdTZHODUwL01QWFptT2FaQ2M4ZmpQUW9NQjNYZ1N5ZTA2WVpTT1hPY3FyaDlpeVRKWWpOa3NaMEs2S1prc1ZsMC9MdU5LbnREb1lyK05lKzBHaVo3c3EwdTYxa3RyQVVBQUJDckNMOEFWcDNSbGpFZHU3dEJ5V3NUdGVZRjJYTzNhUjJUTTJ2eEJhRVdXL0JLbXBpenUvdmROYWVmTUtSTk41UnAvMmVQcXYzeEhtMTRSNGtzdG9uZVhZdkRvcFQxU1RwOFY3ME1tNkdkbjkyczQvL1RwT3BiajJqRE8wcVVmZmtjejJsSTY5OVdMRnV5VFkwUHRzbWVaRlBlODdObU5IbDI4YXhGWHhvQUFFQmNJZndDV0QxTXFldUpQdFgvcUZYMlZKdTJmR0M5REt1aHdGQlFJL1UrMlZOc3NqZ3RHdXNjVjhmalBjcWJKeGhQRnh3S3l0ODF2bUNiY0dEKzFaZXRMb3UyZkdDZHFqOTFWTU1uUnFkV25SNXA4dW5FOTVyazd3bm80bzl0VkhKWm9uWjg1aUtkK0Y2VGpuNm5RZm5IUjdUdVRVVXliS2VuMk5KcjhwVlU1RkpXWmJvaXdZZzZkL1hKbG1DVllaRzYvOUV2U2ZUNkFnQ0FWWWZ3QzJCVmlBUWlxdjNjY1kwMCtaUjlhYm8ydktORXR1U0pmd0xOb0ttajMyNVFKSGhxVldXYm9heExNMVJ5ZGY2aTk2My9VYXZxZjlSNlRyVWw1THUwN3MxRnFydTNXWG5QeTlMd01hK2FmdEVoVjQ1VDJ6K3hTVWtsQ1pJbWhpeHZmdTlhTldRNzFQYmJMZ1VIZzlyOC9uVnozbk95WjlpUW9hYWZ0eXM4TmpHSDJiQWF5bjlSamx5NWMyL2RCQUFBRUs4SXZ3QldCWXZEb3RMckNtUjFXWlM2Y2VaV1FzNXNoNjc4L2s2WkVWTm1STEpZalVXSEJSc1dRNFV2ejFQdWN6T253dWw4ekpDcHBsKzBLMkdldllLbGliMTlFd3RkU3QyVXJNUkNsMlFZS25ocDd1bXJUUnZTMmpjV0tySEFwZlR5bElXTFBPV3liMTRzUlV5WnBtUjFXT2JzTFFZQUFJaDNoRjhBcTBiR3hha0xuamNzaG95RjE3ZWExbGhhKzZiQ3BUVzFHU3E3YnZHMnFac21Rcms5eGFiaVY2OVpzRzNlODdJV1BEL2RZdHMxQVFBQXJBYjhSUVFBQUFBQWlIdUVYd0FBQUFCQTNDUDhBZ0FBQUFEaUh1RVhBQUFBQUJEM0NMOEFBQUFBZ0xoSCtBVUFBQUFBeEQzQ0x3QUFBQUFnN2hGK0FRQUFBQUJ4ai9BTEFBQUFBSWg3aEY4QUFBQUFRTndqL0FJQUFBQUE0aDdoRndBQUFBQVE5d2kvQUFBQUFJQzRaNHQyQVFCV255ZmY2b2wyQ1FBQUFGaGxDTDlBZkxCSlNwQ1U0SEs1RW0wMlczSTRIRTZ4MisycHc4UER0Wkk2b2x5ZkpNazB6VjJHWWJ3ZzJuVmdaVEZOYzFlMGF3QUFBUEdQOEF2RWhvenk4dko5aG1IWVRuM1lEY053R0liaHNGZ3NUcDAraGNHTVJDSytjRGc4MHRyYStxR0JnWUdmUktQbzJhcXJxMThZN1JwV0FyZmJiVXFTeCtNeG9sMExBQURBYWtINEJXTERRRnRiMjBjMEVXb0Q0WEI0M0dLeGpJZkQ0WEdIdzFHd2J0MjZSdzRmUGx6bTkvdDlraVkvek9pV0RBQUFBS3djaEY5Z2hYTTRISnUzYmR0MlpMRjJXN2R1YlZ6b1BMMk1BQUFBV00wSXY4QUtGd2dFVG5nOG52ejV6cWVrcEd6WXVISGpFd3UxQVFBQUFGWTd3aSt3OG9VbGRaNzYvTFNmMmZIeDhheFRuL2JPYzMzb1FoUUZBQUFBeEJMQ0x4QWpGaHYrN0hhN2czTWQ5M2c4ZGhHQUFRQUFzTW9SZm9FWU0zdnU3bVFvbm4zYzZYUnVLQzh2UDdHODFRRUFBQUFyRStFWGlESGJ0MitmTWJ6Wk1BenJQTWRuYjM4RUFBQUFyRnFFWHlERzFOYldaazkvUE5uek8vczRQYjhBQUFEQXN3aS9RT3laL1hOclhlUTRBQUFBc09vUmZvRVlNOS9DVnZNZEJ3QUFBRUQ0QldKR0lCQVk2TzN0L1c1emMvTi9URDgrMzRKWGtyS0xpNHR2a3hSWnRpSUJBQUNBRllyd0M4UUl0OXZkS1VuWjJkazN6SFBlbk91NHpXWkxiMmhvdVA1QzFnWUFBQUNzZElSZklFWjRQSjZFdVk0bkpTVnR1dWlpaS9iUGQxNVMrQUtXQlFBQUFNUUV3aSt3OHRrbHBjMTNNaEtKSko3Nk5IbVIrL1F1Y2g0QUFBQ0lXNFJmWUlWTFNVbDU2Y2FORzMrOVdEdTMyOTJ6MFBrNTVnUURBQUFBcXdiaEYxamh2Rjd2WXdSWEFBQUE0TnhZb2wwQUFBQUFBQUFYR3VFWFFEekpqSFlCQUFBQVdKa0l2d0RpUWtaR3hwdDI3TmpSNEhRNk55MzFtc1RFeEV2V3IxLy9pS1NVVTRkeTh2UHpQeWtwYjdKTmNuTHl0bFBIQUFBQUVNTUl2d0Rpd3NEQXdHOGprY2hZWm1ibVc1WjZqZFZxWFpPV2x2WWFTVTVKU2s1T3pzdlB6LzljVWxKUy9tUWJ1OTIrTXo4Ly8zTVhvR1FBQUFBc0l4YThBaEJMWEc2M2UyeWhCdm41K1o5Y3FLZlc0L0drU0JvNTc1VUJBQUJnUlNQOEFqRXVKeWZuQTdtNXVSODRkT2pRVmttQmFOZXpIRnBiV3o4OE9EajQyek81SmkwdDdVWEZ4Y1hmUHZVdzErRndaRHFkemlKSlNraEkyQkFPaDdPWGVxL0V4TVFLbjg5WGZTYlBEd0FBZ09naS9BSXh6bTYzWnp1ZHp2V1N6R2pYc2x5Q3dXQjdJQkE0T3Z1NDIrMDJtNXFhM3RIWDEvZURPYTdaUFBsNVVWSFJyYm01dVRkT1B0NnlaY3R1U1RwKy9QakZpejEzYm03dWU0cUtpdTZ1cjYrL2VuQnc4Skd6ZmhFQUFBQllWb1JmSU1hWnBqbTVCL0JxQ0wvang0NGRxeGdkSFcxM09CeWI1MnBnczlueTV6bzNPRGo0MUxGanh5b2srVnBiV3ovWTJ0cjZ3WlNVbEZkdTNMangxeDZQSjBkU2IzSnk4alpKc3R2dFpRNkh3eTlKRm92Rk9ubVB2THk4RHhVV0ZuNjFxNnZyYXdSZkFBQ0EyRUw0QldLY1lSaVRQOGZocUJheVBNelIwZEVhaDhPeGVkdTJiVWZtYWxCWVdQaUZ3c0xDTDh3K2Z2RGd3UzJqbzZNMVMzbVNkZXZXL1hMeTg5YlcxbzlLVW5GeDhiZHljbkxlMTliVzlvbXVycTdUN2c4QUFJQ1ZqZkFMeElZMTg1MndXcTJwa2lLYXRqM1BITUtTZXM1M1VkSG04WGlNNlkvbkcvYnNkcnVYMGlzK3RmcjlxZDdsR2tuS3lNaTRYcEt5czdQZjNkVFU5TmErdnI3N3o3MXlBQUFBTERmQ0x4QUQzRzUzeDdtMENRYURiUWNPSENnNnYxWEZqNUtTa2pzVEV4TzN0N2Eydm0yK05uVjFkUy8wZXIzL1dNNjZBQUFBY1A0UWZvRVljT3pZc1JmUGQ2NndzUEJUeWNuSi8zVGl4SWxYUnlJUi8xeHRMQmJMbk1kajNWdzl1cVdscGZlV2xwYmV1OUIxcWFtcEwwMVBUMzlqZW5yNkt5VXBKU1hsZVQwOVBmY3NkQTNCRndBQUlMWVJmb0VZTURvNitxZjV6bGtzbGpza0dhWnBla2RIUi8rMmpHVkYzY0dEQjdkTWY3eHQyN1lqYlcxdHR3NE1EUHh5OXZIcGo3T3pzLzhqS1NucEVwL1BWNVdhbXZyU1E0Y09YYTVwQzE0QkFBQWcvaEIrZ2RpV21aQ1FzTU0welZCNmV2clZJeU1qcXlyOHpyWGRVU2dVNnBqcitIU2RuWjN2OWZsOEhTa3BLYTlJVFUxOTZWazhkWUtrc2JPNERnQUFBRkZDK0FWaVdIWjI5cldHWVZnNk96dHZ6ODdPL3MvVzF0WlBTQnFOZGwzTDVXeUhQZnQ4dnZaemVkNmlvcUl2Mld5MjlNYkd4bm5uQ0FNQUFHQmxJZndDc2N1Umw1ZjMwYUdob2QrMXQ3ZC9MU2NuNThhQ2dvS2IyOXZiUHhQdHdwYkwyUTU3WGlJak56ZjNQWkpjczAvWTdmWTFGb3ZsdE9NQUFBQll1UWkvUUl3cUxDejhqTlBwWEZkZlgzKzlwTUdlbnA2Nzh2THlQajR3TVBEYnNiR3hQZEd1NzBJS0JBSWR6YzNONzFycXNPZFRiUmRkTWRzMFRVT1NIQTdIdHNMQ3dtKzdYSzdOWFYxZFg1dmR6dWwwcnZWNnZVK2N5MnNBQUFEQThySXMzZ1RBU3BPUmtmR212THk4VzNwNmV1NGVHeHQ3V3BMYTI5dS9HQWdFR2paczJQQ0l3K0VvajNhTkY5aFFiMi92L3k2MThhbTJROU1PSlNja0pCUWxKU1ZOOWh5UFNwTFQ2ZHdzU1dWbFpmZjZmTDZxMnRyYWpXTmpZeDVKeXN6TXZNN2hjR3hPVDA5L1RVSkNRb1hQNTl0M25sNExBQUFBbGdFOXYwQ015YzdPZm5keGNmRjNSa1pHbm1wcGFibHAyaW4vaVJNblhydGx5NWJkbXpkdi9udHpjL003QmdjSEg0MWFvU3RZZW5yNmk5YXRXL2VJSkxPM3QvZC85T3ppVmFsalkyTzF6YzNOMTQrT2poNlFwT0hoNFQ4UERnNytzclMwOUFIRE1PeW1hUWFIaG9ZZUd4Z1llRGhxTHdBQUFBQkEvSEM3M2VaY0N4cXRZcG1scGFYM3VkMXVjOU9tVFU5SVNwMnJVV0ppWXNYMjdkdTczRzYzdVc3ZHVwODdISTZ0UzMyQ1dQK2E1K2ZuMzU2WW1GaXhoS1kyU2RtYVdMVjVybk1YVkt4L25RRUFBR0lSUGIvQXlwZXdaczJhOStYbTV0NXNzOW15ZTN0N3Y5ZmMzUHcrU1lHNUd2dDh2dXJhMnRxZEd6WnN1RGM5UGYyYTlQVDAxM205M2orZk9ISGlha2tqeTF2Njh1cm82UGprRXB1R0pQVXVjQTRBQUFCeGh2QUxySHpXek16TXQ0WEQ0ZUhHeHNhM0R3OFAvMllKMTNUVTFkVzlMQ1VsNVpYNStma2Y2K25wdVVkeEhueFhxb3N2dmpqRFpyTlZ6bld1b3FMaVg2WS9Eb1ZDVlFjT0hCaFluc29BQUFCV0Y4SXZzUEtOSEQ1OCtGOGtEVWdhUDVNTHZWN3ZZMTZ2OTdFTFV4YVd3dUZ3UkV6VC9JMGt4K3h6aG1FOFB1MWh3T0Z3NUM1ZlpRQUFBS3NMcXowRHNhRlRaeGg4c1RKVVZWVU5TZnJqRXByKzRWUmJBQUFBWEFDRVh3QzQ4QlpkR2Rvd0RGYVBCZ0FBdUlBSXZ3QndnVG1kemtlMThFSmFvVUFnd0xaVUFBQUFGeERoRndBdXNOMjdkL2VicHZuWFczT1YvQUFBSUFCSlJFRlVCWnI4aFlXdUFBQUFMaXpDTHdBc2cwV0dOVFBrR1FBQTRBSWovQUl4d09Gd2JKNzlJY2txU1FrSkNaZVhsNWMzdUZ5dXN1aFdpWVhZN2ZaSEpKbHpuSXFFUXFGSGxyc2VBQUNBMVlhdGpvQVlzRzNidGlPemozazhubnhKM2NYRnhYY0ZBb0ZHU1pvZWdDMFdTOERuODdVdlc1RlkwSjQ5ZTdyY2J2Y1RrcDQzNjlRVHRiVzEzZEdvQ1FBQVlEVWgvQUl4NHVEQmcxc0NnY0RSN096c2QrWG41MzlHVW5kZVh0NzdrNU9UbnlOSlc3ZHViWmplM3VmejdUOTY5T2pPcUJTTE9SbUc4YkJwbWpQQ3IybWFESGtHQUFCWUJvUmZJTVprWm1hK3BiKy8vNGRKU1VuYkN3b0s3bWhxYW5wN1gxL2ZEeWZQSnlVbGJkKzBhZFBld2NGQlF0VUtFd3dHZjJHejJiNHgvVmdrRXZsRnRPb0JBQUJZVFpqekM4UVFwOU81SVRrNStibkR3OE8vVzd0MjdTT2pvNlAvR0IwZC9adkw1U283OWJHMnVMajR2ckd4c1VPRGc0TS9PalVNMmg3dHVqR2h0cmEyVmRLZWFZZWUzcjkvZjF1MDZnRUFBRmhONlBrRllraFdWdGEvZTczZXZ4aUdrUndJQkpwZEx0ZU8yY09kSjIzZHV2V2s5T3h3NmVXdEZBdDRXTkxsMHFJclFBTUFBT0E4SXZ3Q01TUWxKZVdmUjBaR25od2VIdjc5OFBEd255U0ZGbXJ2ZHJ2bldsMFlVV1MxV2g4T2g4TmZscVJnTUVqNEJRQUFXQ2FFWHlDR3RMYTIzcnBwMDZiZjl2WDFmY3Z2OXplV2w1ZlhPWjNPOWRHdUMwdTNkKy9lK3NyS3loclROTTNhMnRvNWUrMEJBQUJ3L2hGK2dSZ3lPanI2NTlIUjBXZHljbkkrME5MU2N0T2hRNGN1MWFuOWZ1ZmlkcnQ3bHJFOExKRnBtai9YM0h2K0FnQUE0QUloL0FJeFptaG82RGRaV1ZuWGEyTEJ1ckZvMTRNelp4akd3NFpoRUg0QkFBQ1dFZUVYaURHQlFLRFZicmNYcEthbXZtVERoZzIvaTNZOVo2S2lvbUtQWVJpWFJidU9hRE5OVTZacHl1MTJSN3VVRmNFMHpWM1YxZFV2akhZZE9CMC9zNWdMUDdQUnc4OGs1c0xQNU5JUmZvRVlrWlNVNUxaYXJha1pHUm12Q3dhRG5jUER3My94ZUR6NWsrZUxpb28rUERBdzhNRG82R2pYNUxHMWE5ZmVaYlBaaGdPQlFIU0tub1ZmMkppTFlSZ3ZpSFlObUJzL3M1Z0xQN1BSdzg4azVzTFA1TklSZm9FWWtaR1JjVTE2ZXZycnd1SHdVSE56ODN1eXM3UGYzdHZiKzRzZE8zYlVIVHQyYkVkaVl1SlZTVWxKVng0N2R1ejVra0xKeWNuYnd1R3cxK2Z6ZFVTNzl0bXV1bzhlVDB4NDhxMmVhSmVBSmVCbkZwUDRtVjBaK0puRUpING16NHdsMmdVQVdKcXVycTdiUEI1UHp2NzkrN01rR1lXRmhWK1NaRnF0MWpURE1NSXRMUzNYT3AzT1RTa3BLVmRrWkdTOHltYXpyVTlMUzN0RmZuNytKNkpkT3dBQUFCQnRoRjhnUmdTRHdhQ2tYa25oM056YzkvWDM5LzlFa24veS9OallXR3R0YmUwR3I5ZjdSRXBLeXVzeU16UGYyTkxTOHA5cjFxejVUR0ppWWtYVUNnZGlUSEp5OHJhaW9xSTdKUm16ejFWVVZJUnljbkxlTi8yWTIrMDJzN096LzJPeCt5WWxKVzB2TEN6OHZDVDcrYXNXQUFBc0ZlRVhpREhKeWNrdlRFeE12S1NucCtjcmt2emhjTmlmbkp6OFdvZkRzZG5oY09Rbkp5ZS9NQzB0N2FWZXIzZjM0T0RnSTAxTlRkZjdmTDREMGE0YmlCV0dZV1RrNU9SOEtDOHY3MlBuODc1T3AvT2k3T3pzbTlhdFczZmYrYnd2QUFCWUd1YjhBakZtWkdUa3I0Y09IYW9JQkFJTmt0VGQzWDE3WVdIaGw0cUtpbHlTWkpwbVlHUms1SW1lbnA0ZlNGSi9mLzlQbzFndUVITzhYdThUbloyZHR4VVVGSHpPNi9YKzJlZno3VDBmOSszdjczL0lORTMvMnJWcmY1V1RrL05rVDAvUGQ4N0hmUkc3ekxBcHczcmFBSVB6SWpBUWxDT0RRUVlBTUIzaEY0Z0JEUTBOYndrRUF1MlRqd09Cd0tISnp6czZPajdmMGRIeCtlaFVCc1Nuam82T0w2V2xwVjJkbnA3K0NwL1BkOFR0ZG5zbnp4VVhGMytydUxqNFc5UGJsNVNVM0ZOU1VuS1BKSGs4bm96L3o5NmR4emRXMS92amY1MlRQVTJiTmszM3ZkTjJ0czdTekF5Ny9zQ3Jnb0RpQXVLS0tGZHd2WUNpaVBJRjRZc0xDT2k5WHEvby9RcktwZ0lqb0NnZ0lBT0N3d3kwbmFVejArbDBtMjVKMjNSTDArdzU1L2RIbWpScGttN1ROZk42UGg0RDlKeVRjejRabXVWMVBwL1Ard05nTk5GNVIwWkcvcUxYNis4dktpcjZzZFBwZk1idGR2Y3U2Uk5aSWE0ZU4vcmZHRWJGbFVWeGc4ZmZ2TG9SbFo4dVJzSDdjaUxiM3JpcUFWVlhseUwvUGVZWnp6dlI3WVo5M3doS1AxS3dKS0V4TUJHRU1rMng2T2ROcHVNUHZYRDNlYkQ1cHFvRWcreFA3YndEL3h6Q3RqczJRR3RXTDk2SmlZaldPSVpmb2pWZ1pHVGswWlZ1QTlGcEp0RGMzUHd1QUM0QVFsTlQwMFlBcUsydFBXS3oyWDVndDlzZkR4OVlXMXQ3cksrdjcvdFJveXdjTTUxNGRIVDBrYnk4dkcvbTV1Yis2T1RKazFjdDJUTllRWUdKSVBwZUdJREtvRUR4cGZtTGRsNjMxWVBlNXdmZ0dmQmkvVmNxRm55ZWlTNDNXaC9xUXRVWFNwRldvZ01BSFArZkR2Z2RBZFIrcDNyR3h6WGVlbXpCMTQydTBPc2I5Y1AycWgxbEh5MEFCS0R0NFc1WVh4NmM4ZkYxZDIxRVdxbHUxdXNVWFpTTC90ZUhZSHZWanZJckNoZmNYaUtpVk1Qd1MwUkVsSmhyOHQreXorZHJEbS8wKy8zOTBUOERRQ0FRaU51V1RGcGEydnNBSURzNys5TldxL1hIUHAvdjZLSzFlSlhJV0c5QTZVY0tjSEszRlptYk1tQ28xQy9LZWMxblpFRlVpVGo2c3paazFCaFE4TjZjMlIrVVFPZVRmZkFNZUtITm1lb1ZOVzAzNHZnRG5YQ2NjQ0tqMnBEd2NicENMWGJjdlduZTErdC9ZeGc5ZjdIRmJPdDZ4Z3B0amhxRkYrWUNBRW92eTBmQnYrV2c0WmFqV0hkVkNUSTNwMGVPdGI1aWgrMGZnM0hEbUdkYjRxVG5MN2E0NjRidHVIc1RkQVhhZVQ4WElxSzFqT0dYaUlob1VsNWUzZzFGUlVVL0RmL2MwTkF3ZlRDcUlBaUNmQ3JYTUpsTWx6dWR6amZWYW5WaFlXSGg5em83T3o5OUt1ZGJyWW92emNOUS9TaUdENDVCVjZqRjNtc1BSUGExUGRLTnRrZTZZNDV2L1cwWFduL2JCUUE0NjRGdFVPb1REejgyMVJsUmRGRWVPcC9vUmZhT3pIblBheDA1T0lhUmcyT28vRXd4Rk5xcGE1alB5a0xYc3phMC9hNGIyKy9Za0hCWXRhZ1VGaFFZMVJteFg3Y211dDNvZjIwSXRUZFhReEFGSExtM0Zibm5ac044Um1ibytDeFY1RHB5VU1aUS9TaHl6OHVHS2ozK2E5dm1tNm9pSWI3cmFTc001WHFZNm93enRxZis1cFM3MzBKRU5DY012MFJFUkpQNisvdC9Oekl5OGtKbVp1YkZ4Y1hGOTAzYkxRSVFKRW1TRm5wK3RWcTlTYS9YbjluVDAvTlZXWmJGNHVMaW4xbXQxdHU5WG0vcnFiVjg5UkVVQXJiZVdnTlJMUUl5SWoybTlkODVpcElQRlNEM25LeklzZlUzSDBYcFJ3cVFjMVpvbTFJMzg3emIzSE5ONkgyK0g1MVA5S0xtdXZJNXR5a3dFY0NKMzNUQlVLNUh3Yi9GOWhvTG9vQ3FxMHR3K01jbjBQRjREeW8vV3hMN1dGY1Evakgvbks4Vk5qMHN5MEVaclE5MkllOWQyVEJ1TUdCdzd3aEdqNHlqN1BKQ3lKTzNWZVNvM3pENzI2UHdEdnRROUlIY2hPZlg1cWloSzlCaThGL0RHSHhyQklaeVBRUlY4c1U4TkN5Q1JVU25NWVpmSWlLaUtTTStuMi9FNy9kdkQyK3dXQ3d4UGIzUnhhMFNiYlBiN2IvcjZ1cTZPdEhKQ3dvS3ZpbEowc1RBd01EakFId0ZCUVczNWVmbjMzN3k1TW5QTHY1VFdYbWllaktFQ2JFaFVHMVV4b1ZDdFZFMTUxN1YwYWJRdE9xQmZ3MmorTko4Nkl0bWY1d2NsSEg4ZnpvUmNBWkNQYTRKZW5hTkc5TlJmRWsrZXA2elFaMmxSdkdsZVpGOTl2MGphSDJ3YTA3dGl4WTl6eGNBZXAvdngzajdCSXliMHRIMUp5djZYN2VqK05JOEdNcjFDSHFDQUFCSGl4UG1YYUZlNE40WCttSGFia3o0ZDFON2N6VTAyV3FNSFJ2SGlmOTNFa0NvMkZYSEg1TFhVZHQxZnkwMjMxUUZ0WW1Gc0lqbzlNUHdTN1RHV1N3V3VhbXBhZU5jNXhzUzBmeUVpMTJscDZmdktpc3JlN2l0cmUwS3Q5dmRGTjQvdmVDVnorY2JTM1FlclZaYmFUS1pQbXUzMjMrRnlXclFOcHZ0bnVMaTRuc0dCd2QvNm5LNVpwN0F1VWIwdlRpQTlzZDZJajlQRDM4QVRybXlzZjN0VVdSVUcrQWI5YUg3enphcy8zTDVySTlwL1cwWFJnNDdVUFdGMGhuRGN2a1ZoWERiUE9oOG9oZis4UURLcnl5RUlBcklQOStNL1BObnJrWTlGN3BDSFhMT01rSDJTeGpZTndabG1oS2xseFVBQUNSdnFNdlh2bjhFbFo4cUJnVEEyUjZhZWg2ZTMxdjl4VExrdlNzYkFKQzVPUjJqVFE0Yy9WazdORGthU040Z3R0eTZQcTdDcy8zdFViUTgwQW56cmt4b3N0WFFzQUkwRVoybUdINkoxZ2l0Vmx1ZWJKOUtwU29TUmRHVGFKL0g0K2xjcWpZUm5RN0NONVpVS3RXVnNpejd4OGJHL2dMQUczM01YQXBlRlJVVi9WeVdaWDkzZC9jUHc5c0dCZ2IrT3pjMzl6OUtTMHNmYUc1dVBndkFnb2RVcnhhNTUyVWphMnNHaGc4NjBQRjRUK3hPT2ZSSEVCYWVmbDI5SG95M1RXRGQ1MG9BQ1doL3JBZGxIeTJBTmsrVDhIaFprdEgyMjI3MHZ6YUVvb3R5WXdMczRGc2pVR2hGbUxZWnB3SzVBR3o0YWdXTy8wOUhxSmUyZFFMVlh5eURMajkwL3JrTWYxWVpWVW5uTEdkYmpNaTJHREYyYkJ6V1Yrelk5djMxRUpTaGl3ZmNvZi85dmxFL1JnNDdrTFUxSXpKY2ZLTGJqZWIvN29BbWV5cTRXbDhhUlB2alBTajVVRDZLTDgzRDBaKzI0K0FkeDFGemJSbXl0bVFnTUJGQTV4TjlzTzJ4bytpaVBGUjhJbjdwS1NLaTB3bkRMOUVhc1duVHBvNWsrOWF2WC85eXNuMEpDdllRMGZ4cGMzSnlyaDBiRzNzTzA0THZYSmpONW44M0dvMFg5L1gxM1F6QUdyWEwwOTNkL1kxMTY5WTlXVkJROEYycjFYclhvclY0aFNqVEZGQ21LYUErNlk1c20xNlZPTHE0VmFKdHVlZGxvK2Jhc29UbjczMitId3FOaUp5elRSQ1ZBcnFlc2FMcmFTdHF2bFNlOFBqdVoyMnc3YkVqL3dJektqNVpITmtlbUFpaTdYZGRVR2Vxa0xVbEkyWVl0S0FRc09GcmxlaDhzZzg5ZjdWaDlJZ0R1dnpRSE9HNURIK3Ura0xwakwzRXZqRS9qai9RaWJMTEN5SkxMUUdBM3hFSzFhWnRSdlMrTUlDc3JSbVI0YzYyVisxUVo2bVF1WEdxQ3JSL0lvQjFWNVVnLzRMUXRUWi9jeDA2bitqRGtYdGJZYXd4d0huU0RWV0dFcHUvV1lXc3JSa3p0cG1JNkhUQThFdTBoaVFhM3B4czJMTmFyZDVRVzF1NzhBVXBpU2lpdExUMHYxUXFWY0hnNE9EMElsaXowdWwwWnhVWEYvL1h4TVRFWHB2TmR2LzAvV05qWTArTmpvNCtrNStmLy8ySmlZbDNIQTdIQzR2VDZ0VWozSHM1M3U1Q3k2ODZzZUhybFVncm5ocDZQTDNnbFNKSndTdlBnQmNEYnc0ai96M21TTTlxOFNWNTZQaGpMd292eW9XaFBINUpwYUtMODZCS1Y4WXRpOVQ5ckJXQmlTQTIva2Rsd3ZtL0VJRHlqeGNpNTZ5c2hHdnJKaHpPamRtWEh3cDZKUnk5dHcxeVFJYmtsOUg2VUJlOGRoOUtMc3VIMSs0REJLRDB3d1U0Y0Vjenhsc25rRjZWaG9BcmlQN1hoMUQwZ2J5WW50dlNENGVHU3djOUVzYmJKK0JvZG1MczZEZ2dBOTRoSHlTL0JNa253YjUvQkY2N0Qvb2lMZFJaS3FneWxCQlZZdUxuVFVTVXdoaCtpZGFRWkdHV0laZm1RdzdLL05JN0M3MWV2elA4bi9uNStWODFtODFmN08vdnYzOThmUHpOZVo2bnJxcXE2cS9CWUhDc3E2dnI0d0FDaVk1cmIyLy9ZbTF0YlgxbFplV1RyYTJ0SDNJNm5hK2U2bk5ZVGNLOWw0TnZqVUJRQ0REVkdTRXFZMzhINTFMd3F1MlJIZ2dLQVNVZnpJOXNLM2hmRHZyK1BvalczM1poKyswYjRvYjFLalJpWFBCMTlYblE5OUlnY3MvTGhqR3FKelV3RVlBeUxmYXJVYUxnZXlvRWhRRFBvQmZxTEJXY0hTNW9jelV3MVJtaEw5UmkrSUFEMm13MURKV2g1WXJhSHUzR3R0dldvL3VaMEdDQmd2ZUdlbmhsU1Vibkgvdmd0bnJnNnZQQU0rZ0ZaQ0N0Ukllc3JSbW8rbndwREpWNitNY0RHSHA3RkNOTkRuUTliWVV2YXJoMlJyVUJXMit0NFRCb1dqQXBJTWU5anNQNE9VT3JGY012MFJweS9Qang5d2FEd2Jib2JaczJiZXBJdEYyaFVLeWJhVGgwU3BOREg3eFNRQTcxZlBnbEJEMFNncDRnZ200SmdZa0FBaE5CK0IxKytFWURrSHdTcXIrWWVJamxVclN0NHcrOVVHZXBVSFJSNHFWTDVzcTJ4NDdSd3c0VVhaS0g5TXEwT1QxbXJObUpZLy9WanZYWGxTRnIyOHhyZ1o2dXNyT3pQNWVYbDNlajMrL3ZMUzB0dmErcnErdGJ3V0RRT3pnNCtQTkV4NCtOalQzcjgvbmlwaVZrWldWOXNLeXM3SEZabHYxdGJXMFh1dDN1bmtTUG4yUnZiMi8vY0hWMTlaN3E2dW9YZW50N3Z6c3dNUENmU0JLVzF5TEpMOEcyeHc3VDl2amdPeGUyUFhhTUhCeEQrWlZGVUdkT0xkY2pxa1JVZkxvWXpUOXZSL2VmYlNpNUxIK0dzd0NRZ2JhSHVxQTBLRkg1NmFMSVpzY0pKNXJ1YmtYdHQ2cVFzZDR3Ny9iTmxhZ1VjTll2dHlVTW5hTk5EcVJYaDY1ZC92RWlOSDd2R0k3L3NoTkRiNCtpL0JORmtXQXVpQUxVV1NyNHgvM0lQejhiU3IwU2hrbzlsSWFwcjNVZXV3OEFrTGsxQTVtVFE1NERqZ0FDcmdEOHppRFNLL1FNdnFlWmtVTU9uSHlxRDl2djNMQW81enQ2WHl0RXRZaE5ONjZMMmQ3eTYwNUF4cnlXSVV2RWJmT2k4YnRIY2M2RGRUTWVGM0FGNTMxdWhWcU16TFdmTHVpUmNQaUhMY2c5MTRUQ0MwL3RjenBhLyt0REdHMXlZUDFYS2hidG5EUi9ETDlFYTRPcXBhWGxna0FnMER2WFFqR0JRS0NycGFYbEFnQXFBUE5mbkhJTmV2UHFSc2l5SENxcWs0U29FcUhRVHY3UkthRFVoLzc0eC94UUdVTmZxT1dnakRjLzN3aGxtZ0tZNWU5YkRzcFFwaW13Ni83YXVUVlNBS1NBaEk3ZjkwQmZwRVhXbG9YTnd4dHVIRVBiYjdzQkFmQ05CbEI3Uy9XY0FvV2hRZzlCSWFEMW9TN3MrTWxtaUZIcmdRNitOWUxqL3hNL3RWd1FCWno3MjVtL2ZLUUtnOEh3N3RMUzBsLzM5dmIrbi9IeDhSZXFxNnYzcUZTcTB1SGg0UWZTMHRKcUE0R0FWeEFFbnlpS1BwZkw1UWVnN08zdHZWNldaWTNCWUtpVkpFa1RDQVRjUnFQeDMwcEtTdjdMNy9mM3RiZTNYelF4TVhGNHRtdTdYSzdHbHBhV2k2cXJxNThyTGk2K1Y2RlFhSzFXNncrVzRXa3ZpL1pIZXVBYjlhUG80dmwvbVJ4dm5VRDdvejFJcjBwTGVOUEl2Q3NUMlRzeTBmVzBGWVlLL1l6elcvdGVHc0RZY1NjMjNiZ3VwcGMzbzhxQTlBbzltbi9SZ2JxN05rS1ZNZk5YSkxjMVlZM0J1Wmw4cWZySC9CZzlNbzdSbytNbytXQStuSjJ1ME5CbUFQcENMWW92elVQM3N6Ym9pN1FvZkg5czczWDAzOE5zUTYyamJmckd1c2p3Y2pxOStKMEJPRHRka1orVHZlZFBWM05kT1hMUE5jV2VhenlBc1dOT2xGMVJHSGU4cVM0VHpUOXZoNkZDajhMM0ozaTl5NkhoLzlNcHRHSm8rK1JuZU5BVGhCU1FFZlJJY2NkRmUrdExCMmQ5RHRORlYwMmZydjNSYmpnN1hTaDhmKzZjWHVmUkkxYUNuaUI4STRtL2NnbEtBWU52amNCa3lZU2hMUEdJRW0ydWhqM21TNHpobDJnTk1CZ002MnRxYXBJT2c1eXBoN2VscFdXTDArbHNTclkvbGNpU2pPSkw4MkErSXd1aVVvQ2dGQ0dxQklocUVYSkF4dGl4Y1dUV1pzejZwVFpNbWFhYzlVTkk4aWErNHp4VFJkajg4ODBZYmh6RDRON2h1Q1ZKd3JRNW1xUjNwWWNQaktINXZ6dVFXWnVPc284VjR2Q1BUNkRsVjUxWS82WHloTzJkM3Bic0hVWUV4Z09oK1lVSmhPZG5Bc0RKcC9vdzFKQnc1WjZVSkFoQ2hzUGhlS20vdi85SEFPVG01dVpkQlFVRnR4Y1hGLyt2VXFrMEM0S1FlREpxbElHQmdYdDZlbnJ1TXhnTTUzVjBkRndQd0RiWDY3dmQ3cjB0TFMwN3pXYno5VmFyOWU3NXRyK3VycTdRNS9QWmp4dzVrdmgvN2pKeWRvUytaRXMrQ1gwdkQwNVdITTVGUnZYOGVsV2RKMTA0Y2w4YmxEb0ZObnd0eWZ4Y2hJcE1IYml0R2MzLzNZNU5ONjZMR2M0Y2ZhN09QL1FpLzN3elRIWFRSajRJb1MvNURkODlocFpmZFdMelRWVXo5b3pXMzN4MFhzOGpiT3pZT096N1J6SFdQQTVYcndjYWt3cVp0Um5vK1dzL2xHa0ttQ3loZHZuSC9CaDZleFJBYUppMjlSVTdDdCtYay9TOE8rN2VOT3V3OGZtRVpGcTQxZlE2bkl1NkgyeE1lUE5VOHN0b3ZQVll3am40OXYwakVKUUM4disvK0FCcDNwV0ozUE5NVUdnU3YxMDZPMTA0Y0h0OGNmenpIcmJnN1J1YkVIREdEbmpaZSsyQnVPT21LNyt5Q0xubm1lSzJKN0wvNjhudlJmYTlOSWorMTRjQVRQWmd6MEYwZTRZUE9HYTlvVERUL2wwLzJ3S05TWlYwUDUwNmhsK2lOVUtXNVdCalkyUGNhM2FtZFg3cjZ1cFNac2prWEduTm1vUkZiOXhXRDQ0LzBJa3R0MVREbUJIL3BUaVIybTlWSlYwK0pXemtrQ091YWkwQTJOOGFTYmc5MnNBYnd4aDRZempoUHNzUE4wSmZISDluMlByS0lOb2Y3WUZ4WXpvMi9rZGxhTWpaRFpVNGNsOGJqdjYwRFJ1K1ZobDNWM3lvZmhRbi92ZGtmQnNudjFpSGhZZGloYjlBQnoxQmpCd2VYM0R2OUZvMFBqNyszUGo0K0d1WTdIdndlcjNIT3pzN1B4VjFpQWhBZzlDSWl1aHZLREtteGh3NEFmZzdPanF1WEVnYlBCNVBSMDlQencwTGVhd2dDTmRxTkpyL3FLdXIrN01nQ0xzek1qSmUyck5uenlsMFVTN013QnRENkgyaEgrb3NGZG9mNzBIRko0b2hLZ1VVdmk5eHIyKzJ4UWhOVHZ5Tm9PSEdNUnovWlFjRWhZRE4zNjZlOFV1aEtsMkpqVGRVNHZBUFQ2RHBKNjBvdjZJUWhlL1BqWVRsaVc0M2p2MjBEZG84RGNxdkxFTEFGWVRrRFJXRUN2b2tTTjdRMUlpc2JSbXc3eHRCNzRzRE0wNU5TRmJ3S2hISkowV0N0TnZxaGF2WGpkenpzbUhhbGdGOXNRN09EaGNPM25FY0paZmxRNkVSSTIzMVR3U3g5ZFlhOUR6WGovWkh1dUZzbjBEbFowdVNMcU5FcThOcWVSMkdlZTJoNG1lKzBkQk4wT205bWJwOFRjd29vTER3OGNxMCtOODM2eXQyNUwwN0d3cWRJdWxObFlFM2huSGlON0dmUFR2dnI0VytSSWVkUDlrTUFBaTRnemg2ZjF0a3FzRlovN00xY3F6YjZrSDl6VWNqcjdYd3o0a29kUXFvamFjV0d2dGZIMEw3bzkxSXIweUR5K3JCcGhzcUU5NUVrNE15dXA2Mm92c3ZOcFI5Tkw3bkc0aC9mN0R2SDRFcVhabndmQURnYUhIaTBGMHRwOVIrbWh1R1g2STFKTmxhdnpPdDgzczZtcWwzNC9DUFRpVGNucWpYNU9DZHh3RnhsbUhQQVNscFpWb2cvZ1BRMmVHQ3grNUQ5ZzRqaEFUbkhqczJuckNOQVZjUWJiL3J4dURlWWVTOU94dFZueStOZktrM2JrekhsbHVxY2ZUK05oeThveGsxMTVYSDNBREllMWMyMUJsS2VBWjhLSmpXYzlUeGVBOE1sV25JT1NzTGcyK054T3pyZjMwSVFVOFFKUitlWlE1bDZobWZZWjhFd0QzNVo3WEtFZ1RoY3dBKzUzQTR4aTBXeTE5bFdkNGREQWFmUDNUbzBNUlNYM3pzdUJNbkh1eEMyY2NLa2JVMUE0ZC9lQUxlSVQ4SzNtUEdSSTg3VkdWWUtVQlVDQkNVQXVTZ2pNclBsRUFLeUhEMXVFTkZkRlFpUm8rT28vMlJicWl6Vk5oOFUxWE1ra0RKR01yMHFQMVdGWTdjMTRhTzMvZEM4c3NvK1ZBK2ZHTitITGk5R1hKQUJ1REhXMTlPUEV4U1ZBcWg2UkFHSlU0KzBZdXNMUm5RRjhXK0w1aTJHN0hsbHVxa2JmRDBlK0ZvbTRCQ0kwSlVDZ2g2SmRoZUc0SW1LeFR1ODk5alJ2NTdwcFpCQ2t3RWNmeVhIZEJraCtvQTlMMDRnTTRuK3FBMEtMRDFlelZJSzlWaDQvVnBhSCswQjlaWEJqRjZaQnpyUGxlQzdCMlpNZGYxRHZzaEpBZ3d0R0pXOUhVWXJma1hIUmh2bTdwa09FQk9uM3ZxNm5IRDd3eENxVmRBRUFIYmEwT0FBT2h5WTI4Q2p4MGJoNnZIamVKTDh5QW9oSmpSUWtEb2Q3SHA3aE9vK2tJcGpOUG16MnV5VkJBVUFyUjVHc2lTak5aNzI2RE9WS0htaTJWSlA3dW5iMy9qcWdZWXl2VXhjNWNUTFo4Mkh6M1A5YVB6eVY1VVhGbUVvZy9rb2YyeEhqVGQzWXJpRCthaDVJUDVFTldoMTladzR4ZzYvOWdMMzVnZkc3NVdDZk91Mk5laExrK0Q0a3Z6SVBtbmhtcVBIQjVIOHk4NnNPNnpKVWl2U2x5ZlE1V2hRdkdsZVZCb09PUjVxVEg4RXEwUmdpQW9rcTMxZTlvV3RrcGkrZ2N4QUhnR2ZUaHlieXRxcmkxSCtycjRubUZ0VG53UDc3YmIxaSs0NXplWnppZDY0Um4wSWRzeTkySlQ5bjBqYUgrOEIwRlhFTlhYbENFdndUQ3o5SFZwMkhiN2VqVC9vZ01IN3ppT3dndHpVWHhKYUlrWEFCRFZJdG9lN1lZeVhSbVo3emZjT0liZUZ3WlErKzJxdVBQSmtveStGd2VRdlNOenpzVzBhRlZLQi9BSlFSQStvVlFxM1JhTDVRVUF1d1ZCZUs2K3ZuNUp4ck1IM1VGazFXYUVLaklMd1BZNzFxUHJHU3RPUE5pRndIZ0FzalREcFB4SnhaZmtvZWdEZVhDME9GSDVtZUo1OWVpa1Y2VmgrNTBiMFBmM0FSUmZFcG8vcXphcVVIcFpBWUxlSUxSbURaUUdCWlJweXRDYXhKUHovaFU2UmVTR2ttL0VqL3FiaitMa1UzM1llSDFselBuVm1hcVlnbHZUQlZ4QnREelFHYk5OVkl1b3ZxWTA0Zkh1Zmc4Q2JnbWJycStFcTllRGpqLzB3clRkaUtvdmxFWmV2NEpDd0xyUGxjQzR3WURPcC9xZ0w0d2YzdHgwZCtJYmU3UXFMUHZyTU5xMjI5Y0RBQWIrTll5V0J6b2pOMlduMy9CMHRFekVmSjRwOVFwVVhGa0VkVmJzNzN2WG42d3hQMCsvY1J5K0NhTXhxV2NjaXQvK2FBOWNQVzVzdjJNRFJMV0lNMzYrSldhL3A5K0xRM2UxUkxaSC95eE9tLzRRdlZUYWJBNy8rQVFVbXFrYlJhNGVOM3FlczZINjM2Zm1BVmQrcGhqR2pRYTBQOXFEL2oxRHlEM1hoSkVtQjF3OUh1U2VhMEw1eHdzamRVS2loWWR6OXp6WEg3ZXY3ZUZ1dEQzY1BXUGJBaE5CVkgwKzhYc0ZMUTZHWDZJMXdPbDA5bloxZFYxbnQ5dC9IYjA5UFQzOTNLeXNyTTkxZFhYZENtQmcrdVBNWnZPMVRxZXpkOWthdWtyTTlHR3J5VTYrbkVyajk0N0JNK0FGRUNyeTFQQzlZN1BWdTRJOFdWbDY3eGREYzVJMmZMMFNXVnN6a0hkK05uTGZGVHYveUhIQ2lkRWo0Nmk1TnZIY1hBQXdia2pIT2IvWkRsRXB3bkZpQXAxLzZJWGpoQk9abTlOUjlmbFNhSE9UaDNGdHJnYmJibHVQcnFldDZQbHJQMnl2REtMaVU4WEl2OEFNNDhaMEZMNHZGMlBIeHBGelZoYjhZMzZjK00xSkZMd3ZCNW0xOGNPYTdmdEg0UjMyWS9PM2loSmNpZFlvSFlDUEFQaUlMTXUrdXJxNmx3SHNWcWxVeis3ZnYzOW9zUzVpMm02RWNZTWhNc3hYVjZERitpOUg5VERKb2NyUGNsQ0dISXdLd2tMa0gxQm9RMnZRYnZqcXdxcWlhblBVcVB4MGNjeTJXYXRBUjFGbnFiRHB4a29ZS3VKdmxNMG1yVXlIWFQrckRWV2RsME0xODFSR1ZkS0NkT21WYWRoNTcrYklsL0VkOTJ5R05zRVFjQUF3bjVrRjh4bFpjWE9SeXo5ZWlQd0x6SEhMTkUzWDg1d3RZWENtWmJVc3I4T0Z5SCtQR2ZrWG1DRkxNbVFaQ1g5blJ3NDVNSGJjZWNyWHNyNDhpUDdYaHJEbGU5V1JjRDM5Smxkd3NvcHplUHYwbjZNcHRHSk10Zk9aMU4yMUVVQm9Pb0tvRnFFdkRyMW1GZHFwVVZ4QlR4QVFCR1JVcDJId3JSSDBQTjhQeUtIUFdiVkpEV2VuQy9vU1BUUlpxcGpYNDg2bzRwZStZUitPL3F3ZGVlZVpVREN0OEZkZ1BJQWo5N2NoMjJKRWNkVFNiVW90UjI4c05ZWmZvalZBcDlQcEE0R0FEWUNvMCtrS0N3c0xIMmhyYTd1MHBLVGtWNElncUhVNlhZWGI3WjRlZmpNMUdrMFpaaDdDbVhvaTgrcGlSNEY3QmtOMVI3eEQvdmo1VHBOaHVPNEhHeGVsQ2VGbGxLWTcrV1FmMUZrcUdDcjBjNm9nR1JnUFRBNnRxb0RqeEFUZXVlbkluTnV3OHllYjBmbGtIekpxREhGRHhteXYyaVAvYlgxcEVOYVhCZ0VBVlZkUDNXMzJPL3lBREl3MWowT1hQM1B2OTJLd1dDeXpkd2ZTWWxJTGduQXhnSXNEZ2NCdkxCYkx5N0lzNzFhcjFVL3YyN2N2dnN0aW5xSy9STWJWclhmckFBQWdBRWxFUVZRUkVCbEN1Sm9sbTVzM0cwRVVvREVsRHEvSlJQZENKUXUrVXhlSTMxUjg2ZHlDL1Z5UG13dStaaGZGa3I0T2t4bHZuY0R3UVVka1NQKy9yamt3NC9GbEh5dEV5V1g1a1B3UzJoL3RobmxYWmx6TmlQbXl2aklJV1pKeDVKN1d5TGF6SHRpR3Q3NXlLSzdnMVZ3S3RYWDh2aGNkdjUvZnZmNnl5d3RSOHFGOEJOMUJ1SzFlVFBTNjRleDB3ZG5tZ3JQVEJVRWhJSE56T3RaL3VSd21TeWFjN1JNWTNEZUN3YjNENkg0MjFQc3Rxa1JvekdxbzBwVW92N0l3cHFCZi94NDdCSVdBNFFOakNMaUN5Rmh2Z0hHOUFaNUJIMW9mNmtMR09qM1dYVlhDNnM3TGpPR1hhQTB3R28xZk1Kdk4vejQ2T3ZxWFlEQm9NQnFObHdCQVIwZkh4V1ZsWlU5dDJMRGh0V1BIam0zMGVEd2RKU1VsdjFDcFZDVldxL1dyWnJQNXk2SW82cnU3dTI5YzZlZXcxTUpES2NQemFKTVZ4VWhVdlhINnZOeHdVWTNwZDVFRHprQ28wRXowWEYxSlJzQVZqRG5Id0J0RGFIOHMrWkt1RGJmTXJVcnNlUTliUWhWcGhWQ1BjRUhVUEVFZ05DZTM1Ni85Q1lkNWEvTTAyUEMxVUs5Wm92MkpSQytCVWZqK1hFQUdXaC9xZ3Nha25uSHBHRnI3WkZtV0JVRmdtQ0ZhUVV2MU9neTZneGhwR3NmZ202RUNpd2Z2UEk2MFVoMzBSYUdiSVhVLzJJamp2K3lFYVh0R3pQSS9nWWtnRHY3ZjQ5Qk1ya3JROWJRTnZsRS9hcjlURXhOKzVZQU16NkEzOHJOMzJELzViMS9TbTgzVjE1UkZsanNhUGVLQTlaWFFUZGxkUDYyTmxBNTAyenc0Y0Zzenp2NzFkZ0NobTdJbnB3MjVEaDliK2VsaTVKd3p0MnJQQVBEMkRVMFFWY0xrODdLaTk0VUJLRFFpMGtyMU1HNHlvUFFqK1RCdVRJKzVVV2ZjbUI2NUtlWWQ5c1BaNmNKRWx3dWVmaThFaFlDTXF0ajV6V1dYRjZMczhrSTQyMTNvZmJFZnJiL3BpbnhYVWFZcGtiWE5DTStnYjFsdU1OTVVobCtpMVUrUm5aMTk5ZERRMENNQVlqNFkzVzUzVjNOejg3c3pNakxPOTNnOEhRQ2cxK3ZyRkFxRjBlMTJkM2QxZFgyOW9xTGkwZkh4OFZkSFIwZi92R0xQWUJsSS90QmZpNmllQ3FiUjYvakprZ3ovZUFBcXc5VHlSZjMvSEVwWUJUa3N1dW9rRUxyN3ZPMzI5VEhEcGhOVm55eThNQmVGRjA0TmNRcE1CRkQvN2FQSTJtWkV6YlZsY2RmcGZ0YUs3bWR0MlBXZld5SnovQ0ltbjQ0cVF4bTNSRlA0Mk5tV041bHRmNWp6Wkd3TnA4SUxjK0ZvblVEYnc5Mmh5cHhMZUhPNm9hR0J0NzRYZ2NWaStUNkEyK2R3cUEvQVN3QjJLNVhLUDYvMGNFdGFlL2lhVFc2MXZRNzNYMzhZUVk4VUdaRlI5NE9OU0N2UlJlYjg2dkkxeU5xYUFXZW5HK1Vmbi9xODZIOXRDSUlvd0xSOTZ1Ym51cXRLNDZxdXUyMGVOSHozV054MVd4K01yNGR4M3NNV1FBNTlMcVpYRzZEVUsrQm9jVTRGd0JtaXZ5cERoYXFyUzBORjhTYUhaQWNubHh0VXBTdWhTbGZDMCs5TmZnSWdVc2REQ2tpUkN0ZWxIeTJjSE80ZHVqbnRPT0ZNT0djM21laWIzNzRSUHdiZUdJSm55QWZQUUNqOGU0ZDhVR2hGbU9xTXlEa3JDNXBzTllZYVJ0SDdmRDlhSCtxQ09rdUZ6STNwcVBoa1VjSjV4TFM0R0g2SlZqbXoyZng1dFZwZE9qbzYraXNBOEhxOWRnQ3l5V1Q2dk5QcDNBc0FIbytuVTYxV2IwaExTN1BvOWZvejdIYjd6d0ZnWkdUa3NlenM3RS9vZExxdHFSNSt3M09Ca2kwQjRoMzI0NTF2TkdITDkycmlxazhtazZqMytNaTlyUkNVVTNlQzVZQVVkOHgwSFgvb2hSeVVVZkdKK1Btei92RUFlbDhjUk81NTJmSEJkeEhOTm13czJiSXR4Ui9JdzRIdk44UFo2VnJRL0VkYVZkd0FuaGNFWWJkU3FYeHUzNzU5anBWdUVORnBhTmxmaDZVZkxVVG1wblJNOUxqUjhrQm53c3JwdWVlWTBQajhNYml0SHVnS3RKQWxHYjB2OUNQbnpLeklYUEtTRCtYSExhVUhBUHBpWGN4bmlNZnV3enZmYU1MbW02b1NqaHFTZ2pLTy83SVRGWjhxUnQ2N3MrRTRNUkdwZ2p4OVRkOUUyM0xQeTQ3Y1NQYU5ob1pJaDI4T3YvT3RtYWNIbmZld0pWUnJRRVlrL0NxMEluUUYya2d2ZGJpbk9XeDZEL1QwN2RHVWFRcFlYN1ZEbmFsQ1dyRU8yWFZHcEs5TFExcVpEcDRCYjJUcHB2U3FOSlIvdkFpdUhqZnMrMGZoYUoyQUtvUEJkemt3L0JLdGNoNlBwOTFxdFg3WDdYYUhTd1FPOWZYMWZiK2twT1EvRlFwRnpLUTBTWkxjRG9manhlN3U3cnZDMjFwYld6OE1JTGljYlY0SjNwSFFuRjUxVnVMNWN2TGtzZ1BUSzBUT1pQcHc0VGV1YXNEbW02cG03Zm1ONWh2MVk3aGhERkpBUnRlelZoUytMemR5aDF1V1pMVDhxaE1BVVBxeGdobmJNbE40VGJSUG02dkJ6bnMzeDJ6YmZGTlYzSHpDY0JYc1pMU1RiZldPK0dGWVdPMGhXbG5qZ2lBOEowblM3bUF3K01KeUw3RkNVNko3cStpMHM2S3Z3L0I2MVJNOXlWZG9TeXZWd2JqZWdQYkhlckQ1cGlwWVh4cUUyK2JGeHYrWXFuYWVLUGd1aEtnVWtIT3VDYjB2RE1CVVo4Ulk4emdLM3g5YWhpODZSRTlmNXpjUnR5MFVXS05YYkVpMGRHSDBaM1dpa1dMUnBqL1A4Sno4Wk5zalpNQTc1RVB0dCtKWFVQQU1lQ08xUjZLSGdnc0tBVGxuWnlIbjdDeTRiUjZJR25IZU5RTm9maGgraVZZNXA5UDVENmZUK1kvb2JUYWI3VTZielhibkhFK1I4c0VYQU54V0x5QUEydHpFSHhxK3NkaTd3M094Nyt1SDQ3WWR1cXNsYnM3dlROU1pLdXo2YVMzNlh4dEM3d3Y5c0w0OGlPdzZJd3Jlbnd2YjVKcWRtNzZ4YnRhbFhCTE4yNTFwem0raUFocmFuSm1YblVna1BJUk1aWmloZ0JHdE5pTUFuZ1d3T3lNajQrVTllL2FzclRYQTVWQlZZbEVqaHVhZW40S3VwNjNvZXRvNjQ1Zm4yYmg2UGVoN2NRRHJQcmZ3d2pTU1Q4S2h1MXFRVnFwRDliL0hUMzJZU2FJQUlFc3kzcjZ4Q2R0dTN4QTNCRFhvQ2M1Y2NJeVd5NXA3SFZaOHNoZ0g3emlPRTc4NWlZRTNoMUY4U2Q2OFB6UG1xdmlTUFBTL05vU21INThJelgvZGtqSG5kWDRCaEZaRlVJbHd0RGloMUN0aVZrS1FKY1JXa3AvY0ZoWmVnemRaNGIzNXRDT2FGSkJtdkJrZU50TXhtWnZUVVh0ejhuWEU2ZFF4L0JKUlNoaHZtNEEyVnhQNTBxZlFpREc5dkNPSFFpUEwrbDRhUk5GRnVkQmtxeUVxaFBnN3R3Z3RTMUoxZFNueXB4V1lldU9xQm15OXRTYm15MERBRllSOTJscUowNGxxRVFYdnkwSCt2NWxoM3plQ3pqLzJvdW5Ib1RVNTg4ODNJM1B6N0ZWbEUzMEJtZXVjMy9ucS9Wcy94anRjVUdoRmpCNGVoenBMeGJWKzF3aFpsbjh0aXVJUDZ1dnI0OHVOcnhWQ2FFUkMvK3RETUZUb1k2cW5yZ1RKTDhIMm1oMjZRbTJrQjIxZVpLRGxmMDlpb3R1TjhvOFhMazZqNU5EY3d1bHJKZ2NtQWpoNHgzSGtuVzlHOGNWNWkzTXRtcmUxK2pvMFZPaVJkMzQyYlArd1E1ZXZRZWxIWng2UmRDbzBKalhLcnloRSsyTTlLTHd3RjRKQ3dGa1BiSXM1eG1QejRzRDNtK08yQTFORGxvZmVHWTFaV2cyWXZhaGtZR0xtYVZMblBsUVg4N1BiNWtYRExVZVRibzl1VTl5Tk5oa1lQakNHN21kdGtQd1NKcnJkMEJWb29jdlRvT3p5UXFTVnhnOUJwNlhGOEV0RWE5L2toMHZXbHFtNVJXZi83OVRjblA3WGg5RDdmRDl5enM3Q2FKTUQxcGNIWVQ0ekM4VVg1OFVjQndCdmZlVlE1TDg3bitxTHU5VEJPNDdIOXZ4R0hWdDlUU215ZDJRbWJxSWtZK3pvT0FiM2pzQTc3RWRhaVE2aVNvUnRqeDJqUjhkUjlJRmM1TDByZTBtWGdBa1B1WnB0bXlwVEJYZWZCMUpBaHFGQ2o3S1BGVURnY00wMW9iR3hNZjZYZGhXYlhpVTJMUDg5Wmd6Vmo4SytieFNxQkd0M3FveXFwRjljRjV1aFhJL2NzMDNvZnNhSzNITk44NTZiMy9aSU4rejdSN0QrUytWeGEycGJYeGxFemxrbUtOTk8vYmtFUFJLTzN0OEdXUWJ5MzUwOSt3Tm95YXkxMXlFQVFBWjZYK2hILzJ0RDBPVnI0TFo1Y2Z3WEhhaThxbVRXa1VrTE5kNCtBVUVwd1BiS0lIVDVHaFM4SnljbXhDcDBvYy9EWksvMWtVTU91RzFlbEg0MDlxWlM3YzNWa2NKV2liaDZROE8vTlRtSmo1ayt3a01RWjk0ZVJ3YkdPeVl3VkQrR3dUZUhvVFFvVVBxUkF1Z0x0YWkvK1NqcTd0cUEzci8xNDlBUFdwQldyRVhPT1NhWXRoa2pWYlZwYVRIOEV0R2FOOVE0QnEvZEIvT1pXWkZ0bm40dmhnK09vZi8xSVV4MHUxRjBZUzRxUGxrY09yNStGRjFQVzlINGY0N0JWR2RFNlljS1lLZ01GWE9hWHVFNVdxSnF6OG5Ja2d5M3pRdG5wd3RqUjhZeGNzZ0IzNWdmMmx3TjFuMnVCUGtYbUNHSUFrYWJIT2g2Mm9hMjMzV2o2MDlXRkw0L0Z3WHZ6WWw4R2Y3WEZ4b2hCV1llV2ozVFVLem91OUF6emUyTmxudU9DYm56V0RLQ2FLRThnOTRaaHdEMi9YMEFmWCtmdm9RNVlrWm1TRDRKQVhmaTJSMUJUMmg0bzI4c2NRZWNVcWRJZU1NcDZBNkdpdkJVNnFFMEtGRjJlU0VHOTQyZzYya3IxbDFWTXV2ekNtdC9yQWZXVndaUmZVMFpjczZPZlUzNVJ2M29mc1lHMjZ0MjFONWNIUmVxcDcrdXd6K2YvZXZ0a1NWYXdnS3VJSTcrdEEyZVFSKzIzbG9UdDB3Ym5kN0dtcDJRL0JLR0c4Y1N6dHQxOVhyUS9sZ1BIQzFPRkYrU2g3TExDMkhmTjRxMjMzV2gvcVlqeUwvQWpNS0xjaFBPUlhWMnVIRGc5dWE0N1VEeXo1enpIcmJBdHNlT3diZEdVUHZ0YW95M1RxRDkwUjcwdlRpQW5MTk1TRituaDlxa2hrSWpZdWY5dGZEYWZaQmxBSklNS1NoRERzaVFKUm1kVC9SQ1kxYkR2SFBxcHZPWnY5Z0taWm9pc3V3aGdOQXlSbG9SQ3JXSXNTTXlldjdXRDIyZUJ0b2tZWE9odzU1OUkzNjBQOWFEc1dQakNMaUNNRzAzb3VxYTBzaU4rZkJjWDFFbG91U3lBaFM4THhmOXJ3L0IrdklnMm43WERZMVpqZXc2SXlvL08vZjNHSm8vdmpzUzBaclh2OGNPUTVrZW1adlMwZnBRRjRicVIrRjNCQ0NxUTBzTFZGOVRGbE9wT0h0bkpySjNaR0x3clJHYzNOMkhBOTl2eHFZYjF1SDRMenRtdkk1Q0k4WlZkcHl1NnZPbHlEbkhoTDYvRDZMajhkQmF2OG8wQlV6YmpUQ2ZtUVhUTm1QTW5lM00yZ3hrMW1aZzlNZzRUdTd1dzhuZGZSRFZBb28rRUJxeVdQZkRUUWg5NnArNjJZcUFFSzJVblQvWlBHTlBUYlRwWDBCdHI5cG5YRmNiQVBZbm1MOFBoTllHalY2V0xNeHQ4K0xJdmEyb3Zia2FtWnZUb1RHcmtYdXVDYlpYN1NpNk1IZld0c3BCR2EyLzdjTEFQNGRSYzIwNWNzK052NW1remxTaDlwWnFIUDVCQ3c3L29BVzFOMWREblJYYncxYjc3VkRobktaN1dySDExcHBRellGcHZNTStITDJ2RFQ1SEFGdStVeDB6OTVFSUFBYitPWVQrZjRaV1VRcC90a1RyZnRZR3Z5T0FyZCt0UWNia2FnZzVaMmZCdU5HQXppZjZZTjgvaXFKTFloK25MOUpDcVZkQVg2eWQ4MXJ5WWM2VExyUSsxSVh5S3dxUnVUa2RtWnZUa1hPdUNmMTc3QmhwY3FEdjVVRUUzY0dwWWYwSlBnSnp6ekdoNEwwNW9lVUxvMFltSlJxWk1maXY0YWwxN0FVZ3JWaUhkVmVYSm0zZjlLck95VXl2OXF6T1VpRnJXd1l5TjZVamUxZm1yS05FbEhvRmlpN0tSZEZGdVhEMXVESFVNSmF3T2pZdExvWmZJbHJ6cXE4cGhYYzAxTE5qM3BVSmRhWUs2VlZwTUs0M0pCOUdMSVErM00xblpHTGd6V0ZrYmN1SUd3SjlLZ3JlbXdPRlJnd3RjVkNpbTNXTjNOQVhnUFVZYlhMQXVIRnFEbkJrN2NOVHRQTW5teE1PcWRMbWFyRHovdHBJRzdiZVdyTW8xeU5hYm9ubUJmWThaMFBQYy8wSjk3MzFwWU54MjhhT2pTT3RMUEdTWGlVZnpJK1paenQ2ZEJ3OWY3WmgwemZXeGJ6UCtCMEJISCtnRTQ0V0p6YmVVQW5UZG1Oa255ekprSHdTSksrRW9DKzAzRXJaNVlWby9XMFhEdi80QkxaK3R6cG1uVTlOOXRSclZtT09meThJT0FNNDhwTldLRFFpdG42dlp0SGVMeWkxVkh5cUdDVWZMb0JTSjhhTUNzaW9Ta1BObDhwaDJtYUVRaVBHVFc5Ulo2cFFjMjBaNUlBY3Q4L3lvNm5BTysrNkV6S3cvc3NWeURscmFyU1cxcXhHMmVXRm1MRWNYRGdMeXpJRVFaanoydlBiNzl3QVdaSWp6ME5JTUhVSkNBMkRycnRyNDV5cld1dUxkYWk3YTJQTXRyeDNKWjl5b00zUkpMMVJvQy9XUVYvTStiL0xnZUdYaU5ZOGxWRVYrY0lZN2ttZEswRWhJRzhKNXNlSlNnSDVGNWhuUDNDYStiUjlQcEwxVkFrS0lUTDBTNVd1aENwOVpZc0xFUzFVb25tQjRhSTRjNWtmTEFkbEhMbXZEY1dYNU1VRTFqQnRuZ2FibzVZd1VXb1ZHRDA2RHVzcmc1SGVOTitJSC9VM0h3MVZYTllwMFBad04wNzh2NU9RL0tIUU83MENiVFMzMVlPbWUxcXg1YnZWa1hWVlo2TTBLRkh5NFFMa25KazFyMHIyZEhwUnBpa1N6aXZYbU5YSU5jOCt4V1hSYXo0SWlBbSs4M2tjZ0ZEd25lOURSUUZDa3FXTndrU2xNSzhDVlBNOVhsQUtTMVk5bSthTzc1UkVSRVIwMnB2b2NrUHlTWkZobjdNeFZPcVJXWnVCbnI4Tm9PRGZjaUNxUmFpelZEQ2ZrUWxaa3FGTVUwS3BWNFRtR21vVm9UODZNVlNKWGpPNVRUUDE4MWl6RThkKzFvNk8zL2ZPdUJ5UzIrYUpoSHBQdnhkWnRla0lUQVFRbUFqRUhLZkpWaTlwQVQwaW9yV0k0WmVJaUloV1JIanR6WGUrZFdSbEd3Smc5Tmc0QklXQWpLbzB1SHJudGlScjZZZnpjZWl1RnRoZXRVZm1EczkzSGQrd3JDMFoySGI3ZXVnTForNFppcDVqMkhUM2lhVEhiYjIxQmhrMUhNbEJSQlNONFplSWlJaFdoT1FQcGQ5dHQ2MmY4M0kveVFxMGhTdXBSdk9QQjVMdW0yN3N5RGdNRmZwNTlaWm0xQmhncU5Tajkva0JGTHczSjdJVXlzZ2h4NXlycTRkdHZxbHFUc1Z1d3RXZTMveDhJM2JlWHd1RlJzUytyeDdDOXU5dmlGU3RKeUtpeEJoK2lZaUlhRVg0SFFFSUNnR0dTbjNTSWpUVG5mbUxyUWtMMHN4VXRYeTJpdWFTVDhKWXN4UEZINHl2aER1Ynd2Zm1vdVhYblJqY080emM4MkxyQjJ5NmNkMnNSYWpjTmkrTy9yUnQzdGNOVTZVcmtiNHVEYlk5ZGxSVkpxOWdTMFJFREw5RVJFUzBRdHcyRHpUWjZqa0hYeUIrS1JOMXBncnA2OUt3N2ZiMWNjZDJQVzFGMTlQV21QV3V3dzdlY1J6cXpGQ2h2SkhERGtoK0tXR2hxMlI4STM2b2pFcVl6OHBDNXg5NzRiWjU0NDdSNXFobkxYQXpVeEdzYU43QjBQbUZCQjNUK2U4eG8vWEJMaFMrUDRjVlk0bUlac0JLQ0VSRVJMUWl4dHNtWUNnN3RiQm1Qak1yWWZDZHpiYmIxOE44Wmxha0hXcWpDb1lreXh3bDB2MW5HK3B2T2dKUktXREhQWnRRZG5uaHZOc3dIeDEvN0VYNnVyU0V3N0p6enpGQlY2QkY4eTg2RUhBRmw3UWRSRVJyR2NNdkVSRVJMVHM1SUdQa1VPeTYxaXVsL09ORjJQNS9OOHg1M1ZBQThBNzVvTkNGNWltSC83Mll0dDIyUG1adDdxM2ZxMGtZOHIzRFBuVC8yWWFhNjhyZzZmZml5TDJ0a2JuT1JFUVVpK0dYaUlpSWx0M0FtOE1JdWlWazc4eGM2YVlBUUdRSU5JQkk0YXFBTTBtSWxFTkxJNlhOMG1zZGNBWGhIdy9NK0NkWlQyMTZWVnBrU2FQb05vV3ZEd0M5ei9lajRlYWpHRDR3QmtPWkhqVmZyb0N6dzRVRHR6WEQwZUtjdzdNbUlqcTljTTR2RVJFUkxTdi9lQUFuZC9mQmZFWm1UT2hjTGJRNWFvaEtBU2QzOThIdkRNUU9OWlpDYzRTOXd6NWtXMllPN29mdWFsbVM5bzBlR3djQTJGNnhvL0NpWEpSK3BBQUFZTjZWQ2ZINlNyUS8xZ05WeHVyN2V5VWlXbWtNdjBSRVJMU3NKSjhFVVMwdStUelpoVkxvRktpNnBneWRUL1NpN1hmZGNmdlZSaFZLUDFLUXROZGFvUldoSzlCaS9YWGwwT1NvRXg0VDVoMzA0Zml2T2hOV3NFNUdFRUk5MVJ1K1ZoRzNscTlwdXhGWld6UG1WVVNNaU9oMHdmQkxSRVJFeTBxVHJVYmRYUnZuRmZnV0ltdExCcFQ2aGMzSHpUM1hoTnh6VFF0NmJFYU5BVHZ1M2pTblkxWHB5aG1QMVpqVjJIN0hocGh0bWJVWjJISFA1cVIvZnd5K1JFU0pNZndTRVJIUnNsdnE0QXVFNXMybVY2VXQrWFdXa3FnU1lhaUlyMEs5SEg5L1JFU3BodStjUkVSRVJFUkVsUElZZm9tSWlJaUlpQ2psY2RnekVTMjdONjVxV09rbUVORTg4RFZMdExyd05VbTBNT3o1SmFKbEk4dnlucFZ1QTYwKy9MMVl2ZmovaGhMaDc4WEs0ZDg5SmNMZkM2SVVZTEZZWkl2RklxOTBPMDRuL0RzbklpSWlvbFRGbmw4aUlpSWlJaUpLZVF5L1JFUkVSRVJFbFBJWWZvbUlpSWlJaUNqbE1md1NFUkVSRVJGUnltUDRKU0lpSWlJaW9wVEg4RXRFUkVSRVJFUXBqK0dYaUlpSWlJaUlVaDdETHhFUkVSRVJFYVU4aGw4aUlpSWlJaUpLZVF5L1JFUkVSRVJFbFBJWWZvbUlpSWlJaUNqbE1md1NFUkVSRVJGUnltUDRKU0lpSWlJaW9wVEg4RXRFUkVSRVJFUXBqK0dYaUlpSWlJaUlVaDdETHhFUkVSRVJFYVU4aGw4aUlpSWlJaUpLZVF5L1JFUkVSRVJFbFBJWWZvbUlpSWlJaUNqbE1md1NFUkVSRVJGUnltUDRKU0lpSWlJaW9wVEg4RXRFUkVSRVJFUXBqK0dYaUlpSWlJaUlVaDdETHhFUkVSRVJFYVU4aGw4aUlpSWlJaUpLZVF5L1JFUkVSRVJFbFBJWWZvbUlpSWlJaUNqbE1md1NFUkVSRVJGUnltUDRKU0lpSWlJaW9wVEg4RXRFUkVSRVJFUXBqK0dYaUlpSWlJaUlVaDdETHhFUkVSRVJFYVU4aGw4aUlpSWlJaUpLZVF5L1JFUkVSRVJFbFBJWWZvbUlpSWlJaUNqbE1md1NFUkVSRVJGUnltUDRKU0lpSWlJaW9wVEg4RXRFUkVSRVJFUXBqK0dYaUlpSWlJaUlVaDdETHhFUkVSRVJFYVU4aGw4aUlpSWlJaUpLZVF5L1JFUkVSRVJFbFBJWWZvbUlpSWlJaUNqbE1md1NFUkVSRVJGUnltUDRKU0lpSWlJaW9wVEg4RXRFUkVSRVJFUXBqK0dYaUlpSWlJaUlVaDdETHhFUkVSRVJFYVU4NVVvM2dJaE9IM1YxZGZzRVFUaGpwZHRCcTRzc3kzc2FHeHN2V09sMkVCRVJVV3Bqenk4UkxSc0dYMHBFRUlUelY3b05SRVJFbFByWTgwdEV5KzY4aHkwcjNRUmFKZDY0cW1HbG0wQkVSRVNuQ2ZiOEVoRVJFUkVSVWNwaitDVWlJaUlpSXFLVXgvQkxSRVJFUkVSRUtZL2hsNGlJaUlpSWlGSWV3eThSRVJFUkVSR2xQSVpmSWlJaUlpSWlTbmtNdjBSRVJFUkVSSlR5R0g2SmlJaUlpSWdvNVRIOEVoRVJFUkVSVWNwaitDVWlJaUlpSXFLVXgvQkxSRVJFUkVSRUtZL2hsNGlJaUlpSWlGSWV3eThSRVJFUkVSR2xQSVpmSWlJaUlpSWlTbmtNdjBSRWkwd095dkRZZlpHZkpaKzBncTBoSWlJaUlvRGhsNGhvUVFLdUlOeFdEMFlPT3pEMHptak1QcytnRCs5OG93bVFROEczL3R0SDBmcFFGM3lqL2ptZFcvSkxlT09xaHBnQVRVUkVSRVNuUnJuU0RTQWlXa3ZhSCt1QjllVkJ5RUU1c2sxalVpTjdaMmJrNTRBekFLVmVBUWlBcUJheDliWWF0RC9TQTgrZ0YrcE1GWUJRS0E2NGd3bXZJZnRENXc0NEF2Q3BoS1J0VVJ0VmkvR1VpSWlJaUU0TERMOUVSUE9ROSs1c0dEY1lJSGtsSEgrZ0UyZi9laHNVV2dYZSt0SkJCRnl4WWZhTnF4cGlmaDZxRC9VUW4vZXdCWVA3Um5EaWYwL09lSzBEMzIrZWNmOTVEMXNXOEF5SWlJaUlUazhNdjBSRTg1Qldva05haVE1dXF3Y0FvTkFxQUFDNy9uTUxJQU91WGplYTdtbEZ4U2VMWUNqWDQ4QnR6VGo3MTlzamorOTV6Z1lwSUNQM2JCT3lkMlRHbkR2Z0NxTDF3UzVJM2lBY0p5WmdLTmREVkl1bytud3AxRm5zNVNVaUlpSTZGWnp6UzBTMENBUUJzUDVqRUUxM24wRGV1N09SZjc0WlNsMG9HQWZkUVNpMElvS2VJUHIrUGdCQkFBU2xBS1ZlRWZxalUyQzRjUXlIN2p3T2pVbUZUZCtzQWdDcy8wb0Y5SVZhSEx6ak9Ici8xZy9JbUhxTVhyR1NUNWVJaUlob3pXSFBMeEhSUERUZWVnd1RYZTdJeitHaHpYbnZ5b2JqaEJNMTE1VkhlblExWmpXTTZ3M1lmOE5oUUFaRXBZQ2lpL01nS0VMemVJTWVDWU43aDlIN3dnQ0M3aUFxUDFzQzg2NU1TUDVRZFdoQkthRHFDNlhJckUxSDJ5TTk2SDFoQU9aZG1jZzkxd1RqaG5RSXl1VHpnWW1JaUlnb0ZzTXZFZEU4Ykx4aEhXUy9CT3MvN09oN2NRQTc3dDRFSU5RamEzM1ZqcXh0UmdDaFlCdVlDS0RpMDhYd093THdEdnVRdVRrRFNyMElPU0NqOWFFdTJQZVBRUExMeU42VmllSVA1RUdoRStHMmVpQkxRTW1IOGhGd0J1RDJTMGdyMFdIVERaWG9mWDRBUS9XakdIaHpHRXE5QWp2dTNnUVZpMTRSRVJFUnpRbkRMeEhSUEdqTmFnQ0FzMzBpOUhPdUJvSkNnS2ZmaTY0L1dkSDd0d0ZJUGlreXJGbVZyb1RLcUlMYXFJUkNMYUw5OTcwNDgrZGJZTElZWWFqVVExQUlhSDJ3Qy9aOUkzSFg2djZ6TFc2YjVVZWJFSEFGNFJ2eE1mZ1NFUkVSelFQREx4SFJQTG10SGpoT2hNTHZnZHVhVWZXRlVtaE1hZ2lpZ05xYnEyQW8xMGVHTmtmSVFQL3JROURsYXdBZ01qUjY4SzFRNkoxTDVlWTNybXFBSUFJWjFXa0EwaGJ2Q1JFUkVSR2RCaGgraVlqbXFlL2xRUmpLOVhCMnVwQzEzWWpqdit4RTNWMGJrWE5PRmc3ZWVSeVFFejlPbWFaQXpYWGxDZmVGcTBjVEVSRVIwZEpnK0NXaU9kdXhZOGVuWkZrT2VMM2V2eDA1Y3NTNTB1MVpDZDVoUC9yM0RLSHFtbEswUE5DSnNvOFd3Tlh0Um1BaWdPcHJ5bEIxZFNta1FPTDBxOUNJOFQzQ2srcHZQcnFVelNZaUlpSTY3VEg4RXRHY3liTDhiZ0RYYVRRYTdOaXg0MWxKa25iTHN2eVhBd2NPaks1MDI1Wkx4K005eU55Y2p2UUtQUUJBVUFqWTlJMTFBS1lxUDg5a3g5MmJvQ3ZReG0yZjY3Qm5JaUlpSWxvWWhsOGlXaEJabGk4VEJPRXlRUkQ4Rm92bEZVRVFkZ040cHI2KzNyN1NiVnNxVWtDRzQ0UVRXMjZwQWVURXZidkp3aTB3YzNqbHNHY2lJaUtpcGNYd1MwU25TZ1hnSWxtV0x3THdLNHZGOGhxQTNiSXNQOTNZMk5pM3dtMWJWS0pTd0xiYjFrT1RyVTRhVmh0dU9iYWdjM1BZTXhFUkVkSFNZdmdsb2pnV2krVnJpYmJMc2x3ckNJbm5yRTRTQVZ3QTRBSkJFUDdiWXJINFpGbitEWUM3R3hzYlR5NUJVNWVkSmxzOTQzN0xqemJPcStmWFVLNUg1YWVMVVhoaDdxelh0cjQweU9XTmlJaUlpQmFJNFplSW9ua0FhQUg4UE5IT1dZSnZJbXBCRUw0TTRNdDFkWFV2bldMYjFnUlpBdVJna25MUFVhSjdqck8yWnN4cDJITm1iVHI4WTM3NHgvd0FwdFlZSmlJaUlxTFpNZndTVVlRc3k5Y0pnbkJHc3YyQ0lKd3Z5L0xtK1p4VEVJUTNBZHdwQ01LcnNpejdUcm1ScTF6RExYTWJ2cndZdzV4MzNsOExyWG5tbm1naUlpSWlDbUg0SmFLSXhzYkdod0U4bkd5L3hXSjVBTUJzNGJjUHdKOWtXWDZxcXFycWpTZWZmRElZOWZqRmFlZ3FvRXBYb3V4amhUSGJ5ajllQ1BNWldkRG1haEkrcHVjNUcxUVpvYmZkdVZSM0ppSWlJcUxGdy9CTFJJdmhwQ0FJdXlWSmVxcXhzWEVmQUFrQUdoc2JWN2haUzBkcFVLTGtzdnlZYmNXWDVpYzVlbTc3aVlpSWlHanBNUHdTMFVLZGtHVjV0eUFJVHpVME5EUUFtSDJpS3hFUkVSSFJDbUg0SmFJNUV3U2hWWktrTzBWUmZLcSt2cjRKREx4RVJFUkV0RVl3L0JMUm5OWFgxOSs3MG0wZ0lpSWlJbG9JaGw4aW1yT2RPM2ZXQm9QQjk4dXkvS2NEQnc1MHJuUjdpSWlJaUlqbWl1R1hpT1lzR0F6bUM0SndueUFJOTFrc2xucEJFSFlIQW9IZEJ3OGViRm5wdGhFUkVSRVJ6WVRobDRnV2FvY3N5enNVQ3NVUExSWkxFNERkZ2lEczVseGdJaUlpSWxxTkdINkphREhVQXFpVlpmbDJpOFZ5UXBibDNRQjJOelkyMW9OQm1JaUlpSWhXQVlaZld2VXNGc3ZYVnJvTkZDTEw4dm81SEZZdENNSjNBSHpIWXJINEFSd1NSZkg2ZDk1NVorOFNONCtJaUlpSUtDbUdYMXJOUEFDMEFINiswZzJoRUVFUTV2c1FGWUFka2lTOVliRll1cGFnU1VSRVJFUkVjOEx3UzZ1V0xNdlhDWUp3eGtxM2c2YklzbHdpQ01LSDV2a3dyeXpMWDFHcFZNOEdBZ0g3a2pTTWlJaUlpR2dXREwrMGFqVTJOajRNNE9HVmJnZE5xYXVyZXkrQTJjS3ZCOEFMQUhaTGt2VGNnUU1IUnNNN0xBNnVWUUFBQUNBQVNVUkJWQmJMVWphUGlJaUlpQ2dwaGw4aVdnd1RBUDRLWUxmWDYvM2JrU05IbkN2ZElDSWlJaUtpYUF5L1JMUlFEZ0IvRmdSaHQxcXRmbkh2M3IzdWxXNFFFUkVSRVZFeURMOUVOR2VDSURnQlBDaUs0dTdSMGRGWFdsdGJ2U3ZkSmlJaUlpS2l1WmgzNlZZaW9vV3lXQ3hjODVjU2FtaG80T2NSRVJFUkxTbHhwUnRBUktjUFdaYjNySFFiYVBYaDd3VVJFUkVSRVZFS3NsZ3NNbnZCaVlpSWlKWVhlMzZKaUlpSWlJZ281VEg4RWhFUkVSRVJVY3BqK0NVaUlpSWlJcUtVeC9CTFJFUkVSRVJFS1kvaGw0aUlpSWlJaUZJZXd5OFJFUkVSRVJHbFBJWmZJaUlpSWlJaVNua012MFJFUkVSRVJKVHlHSDZKaUlpSWlJZ281VEg4RWhFUkVSRVJVY3BqK0NVaUlpSWlJcUtVeC9CTFJFUkVSRVJFS1kvaGw0aUlpSWlJaUZJZXd5OFJFUkVSRVJHbFBJWmZJaUlpSWlJaVNua012MFJFUkVSRVJKVHlHSDZKaUlpSWlJZ281VEg4RWhFUkVSRVJVY3BqK0NVaUlpSWlJcUtVeC9CTFJFUkVSRVJFS1kvaGw0aUlpSWlJaUZJZXd5OFJFUkVSRVJHbFBJWmZJaUlpSWlJaVNubkNTamVBaUNpVmJkNjgyYURUNmNxanQwbVNkQmdBUkZIY0VyM2Q3WFozSGpseXhMbU16U01pSWlJNmJTaFh1Z0ZFUktsTXE5VnFKVWs2QUVBeGZWODRCRThLYXJYYWZBQU12MFJFUkVSTGdNT2VpWWlXVUgxOXZSM0FxN01kSjh2eVB5YVBKU0lpSXFJbHdQQkxSTFRFWkZuZVBkc3hnaURNZWd3UkVSRVJMUnpETHhIUkVsTXFsYzhBa0djNFJGYXBWTThzVjN1SWlJaUlUa2NNdjBSRVMrenR0OSsyQVhoamhrUCt1Vy9mdnY3bGFnOFJFUkhSNllqaGw0aG9HY3cwckpsRG5vbUlpSWlXSHNNdkVkRXlFRVh4VDhuMitmMytwUHVJaUlpSWFIRXcvQklSTFlPMzMzNjdXNWJsL1FsMjdUdDA2RkRQc2plSWlJaUk2RFREOEV0RXRFeVNERy9ta0djaUlpS2laY0R3UzBTMFRCS0ZYNFZDd2ZCTFJFUkV0QXdZZm9tSWxrbDlmWDBiZ0lQaG53VkJPUEQyMjIrM3IyQ1RpSWlJaUU0YkRMOUVSTXNvdXZkWGtpVDIraElSRVJFdEU0WmZJcUpsRkIxNHVjUVJFUkVSRVJFUnBTeUx4WExNWXJFY1hlbDJFQkVSRVoxT2xDdmRBQ0tpMDQwZ0NFOUpraVN2ZER1SWlJaUlUaWNNdjBSRXl5d1lETzRXQklIaGw0aUlpSWlJaUZLYU1QbUhpSWlJaUlpSWlJaUlpSWlJaUlpSWlJaUlpSWlJaUlpSWlJZ0k0Snd6SXFKbHRXUEhEaFdBNjJWWi9zbmtwazBORFEzSFZySk5SRVJFUktjRGhsOGlvbVZpc1ZndUF2QlRBQnVpTmdkbFdmNkZWcXU5WSsvZXZjTXIxRFFpSWlLaWxNZndTMFMweEhidTNMaytHQXplTHdqQ3hRQ2d5OWVnNUxJQ2pMZE53UFlQTzJSSmhpekx3NklvL3AvMDlQUmY3OW16SjdEU2JTWWlJaUpLTlF5L1JFUkxaUHYyN1ptaUtONEc0T3NBbEFxZEFxVWZLVURCZTNNZ0trTnZ2NjRlRDlvZjc4Rm9reVA4c0NaWmxtOXNiR3g4ZVlXYVRVUkVSSlNTR0g2SmlCYlpGVmRjb1docmEvdDNBSGNCTUF1aWdQenp6U2o5V0FGVTZjcjRCOGpBVU9Nb09oN3ZoV2ZBQ3dBUUJPRlpXWlp2YW1ob2FGM1d4aE1SRVJHbEtJWmZJcUpGdEdQSGpndGtXZjRaZ0swQVlOeG9RT1ZuU3BCV29wdjFzWkpmZ3ZXbFFYUTlZMFhRSXdHQUg4RFBWQ3JWWGZ2MjdYUE04bkFpSWlJaW1nSERMeEhSSXRpMWExZGxNQmo4Q1lDUEFvQTJSNE9LVHhZaGUwZm12TjlwL1k0QVRqN1pCOXZyZGtBR0FBeklzdnpkcXFxcTN6NzU1SlBCeFc0N0VSRVIwZW1BNFplSTZCU2NlKzY1NlM2WDZ4WkJFTDRKUUszUUtsRHlvWHdVWFpnTFFYVnFiN0hPVGhmYUgrdUI0N2d6dktrQndBME5EUTMvUE1WbUV4RVJFWjEyR0g2SmlCWkd0RmdzVndINEVZQjhBTWg5VnpiS3J5aUVPbE8xZUZlUkFmditFWFQ4b1JmZUlWOTQ2eE95TEgrN3NiSHg1T0pkaUlpSWlDaTFNZndTRWMzVDl1M2J6eEZGOFQ4QjdBU0FqR29ES2o5VERFT0Zmc211S2ZrbDlQNnRIOTEvNllma2t3REFJOHZ5VDRMQjROMkhEaDJhV0xJTEV4RVJFYVVJaGw4aW9qbmF0V3RYaVNSSmQ4dXkvRWtBMEpqVUtMK3lFRGxubVpidDNkUTc3TVBKSi9vdzhLL2g4S1plQU45cGFHaDRISUMwUEswZ0lpSWlXbnNZZm9tSVpyRmp4dzY5TE12ZkFuQXpBSjJvRWxCOGFUNktMOG1EcUJaWHBFM2pyUk5vZTdRYnpuWlhlTk5ib2loZS84NDc3K3hma1FZUkVSRVJyWElNdjBSRXlRbDFkWFZYQ29Kd0Q0QVNBTWc1MjRUeUs0dWdNUzNpdk40RmtpVVpnM3RIMFBsRUwzd2pmZ0NBSUFnUFM1SjBTMk5qWTk4S04yODF5d1BnQnJDVXkwY3BBUVNXOFB4RVJFUTBUNHFWYmdBUjBXcFVWMWUzczZDZzRBbEJFRzRFWURTVTY3SHg2NVVvdkRBWFN0M3FlT3NVQkFGcHBUcmtYMkNHSUFod3Ryc2dCK1Z0Z2lCOHFhQ2dRQ2d2TDMrbnA2Y25KUU9ZeVdUNmdpaUtBYi9mUHpEZngxWlZWZjJwdUxqNFIvMzkvUThpRklJWHhHS3h5RU5EUTM4TUJvUDJhYnV5LzMvMjdqdzh6cXJlQS9qM3pFeG1TVExadDhuZUxHM1R0R2xucHFXV2doWVJSQVZFTmdVUlFTOHFGN3dzb2l4RjRRcWlYQkZRRkJBWEVObHJRVFlSUVMyYnBiUXpTZE10YWRQc3lVeVdtV1FteWV3ejUvNlJoYVJObXFSTk1tbjYvVHhQbm9kNWx6Ty9OMHltNys4OXYzUE9xbFdyN0QwOVBTK0d3MkhIVVRhdno4ckt1alVjRHRlRlFxRytvNDJSaUlpSVBzYWVYeUtpVWRhc1daTVZEb2Z2QVhBRkFCR1RxRUxoUlRuSU9DVUZRakcvdnpKOVhYNDBQdCtPN285NmhqYzFTU2x2cXF5czNJemhGWU1YaGhTajBkaGhzOW51c3R2dFA1N09pZW5wNmRmazVlWDl1ck96OCtldHJhMC8wT2wwdVdWbFpTMlRuV2UxV3NYS2xTdDdsVXBsNG1USEpTY25mOVZnTU55K2QrL2VzZ2tPVTZyVjZ0THhkZ1FDZ1JvQVNFMU4vWHArZnY3dmEycHFDcjFlYjl1a0YwWkVSRVNUbXQ5M2NrUkVjNlNrcEVTajErdXZGMExjRGlCZXFBUnl6c3BBM3JrR0tMWFJHZGQ3dEZ3MWZXaDR1ZzM5VFNQamdkK05SQ0xYVlZWVlZVVXpycU9sVnF1WGpuNmRuSno4cFp5Y25MdjM3OS8vNlVBZzBESGVPWUZBd0E2Z2QvUzIrUGo0VDVXV2xyN2w4WGgyMU5iV2JnQVFBS0JTcTlVbGs4VXdsSlFtWXRTL215YVRxYWVtcHVZa2o4ZHpZTlNodmNYRnhhOGxKaVorWWJ4Mjl1M2J0ODdyOVRhYVRDYmJlUHV0VnFzQWdOTFMwcmNDZ1lDOXFhbnBhNVBGUmtSRVJGUEQ1SmVJVG5UQ1pES2RCK0ErQUVVQWtHcE93cUpMYzZGTlYwYzNzbU1oQWZzNzNXamExSTVnWDJob0MzNGZDb1Z1cjY2dW5uYXBjRFNaVEtacDkxbzNOemRmM2QzZC9lanc2OWpZMkRXbHBhVnZSeUlSOTY1ZHUwNENNRzd5T1JtajBUaFNSaTZFVUVvcHc2UDM3OXUzcjNUWnNtVjFyYTJ0UDNDNzNac0JJQ01qNDViazVPUkxhMnBxekg2L3Z4bUEvOUIyVTFOVHJ5Z29LSGpjYXJVS2pVWlRYRjVlZmdCSCtEZmFaclA5eEdhejNYNDAxMEJFUkhTaVVrVTdBQ0tpYURHWlRCVUFIZ1J3R2dERTVlbFFkRmtlRXN2aW94dllUQkJBMW9ZMHBLOU5Sdk5mYldqL1I1ZVFZWG1WU3FYNnN0bHMvckhQNTN0b3o1NDlnV2lIT1ZXSEpyTkhjbWl5bkpDUWNGWlJVZEdtU0NUaXE2MnRQUk9BcjZpb2FITmJXOXV0ZnI5Ly8zVGlFRUlvOSt6WlUrcjMrK3RNSnBQY3MyZlA4a0FnVUtQUmFFckt5OHNQWkdSazNOYmIyL3U2WHE4L3RiT3o4eGNBRUI4ZmY2clQ2WHpTNy9jZm1LeDlBTWpJeUxqVzQvRlk2K3ZyTHh1OXZieTh2S3FqbytObjNkM2R6d1VDZ1VQSEdSTVJFZEVranE5YVBpS2lHV0EwR3RQTlp2TWpBQ29CbkthS1Y2TGtpbndZN3k1YkdJbnZLRXFkRW9zdXlZWHBwMlZJTVNZQ1FJS1U4ajZOUnJQYlpES2RneE9nQWlnMk5uWkZPQnp1UDNqdzRPbUJRR0JmWGw3ZTNVbEpTZWZyZExyeW1YNHZsVXFWV2w5ZmY0bE9wMXNWRnhlM0lqRXg4Y3lZbUJoRFMwdkwzVk5zSWpVMU5mVXFoVUlSRndnRWFrYjlkQWdoTkI2UForZFFDVGFUWHlJaW9tbGl6eThSblRETVpuT01sUElhQUhkS0tST0ZBakNja1lIODg3S2dpbHZZWDRlNkxDMlczVkNNM3QxOXFIKzZCWjQyWHltQVY0eEc0MXVSU09TR25UdDM3b2wyakVlaVVxa3lEeDM3TzFWMnUvMTNQVDA5TC9yOS9vTjZ2WDU5V2xyYXQ3dTd1NS9vN2UxOWJUcHRCZ0tCR28vSHM3T3NyR3luUXFIUUFzRHk1Y3YzU1NuRFVrcS94K1BaV1Y5ZmZ6R0FVR05qNDVWNWVYbVBLNVZLZlgxOS9lVUE3Rk41ajV5Y25OdWtsQkdOUmxNS1FBdkFCd0E2blc0eEFBU0R3ZnJwWHY5MEdJM0diVUtJazJielBlajRJNlhjVWxsWmVWcTA0eUFpT2xZTCsyNlBpR2lJMFdqOG5KVHlBUUJMQUNCNVpRS0tMczJGenFDTmNtUnpLMm01SHNhZmxNSDJ6MjQwdjJoRGFDQjBobEtwM0dreW1SN1JhRFIzYk4yNjFSbnRHTWVUbloxOVozWjI5cDFIZVhxdjMrL3ZCWkNRbjUvL2xNL24yOXZjM0h5TlZxdk5XYlpzMmI2cE5tSzFXa1ZOVGMycXVMaTQwNU9UazgvSnlNaTRMaGdNdHZuOS9oYTczWDZuMisxK2MraFFkWEp5OGpteHNiRm1BTkpnTUd4VUtCUitsOHYxTm9abTNaNW9ITE5PcDF0dXM5bHV6c25KK1pWZXJ6ZjM5ZlY5QUFCeGNYRVZVc3JRd01CQTdWSCtEcWFFaVMrTlJ3aXhJZG94RUJITkJDYS9STFNnbWMzbXBWTEsrd0Y4RGdCMEJpMktMczFCOHNvanJsaXpvQW1GUVBZWjZjaFlsNExtbDlyUi9uYVhFaExYK255K1MwMG0weDBKQ1FtUGJ0bXlaVjZ0RDN3c1kzNkhxRXBLU2w3UWFEU0ZyYTJ0M3dmZzhmbDhqY096SzQrbTAraytVVlpXdHJXMnR2YU1nWUdCdDRlM3g4WEZWV1JtWnY0UWdLaXZyNzgwSXlQanVxYW1wbThtSlNXZFYxeGMvSnJMNVhyWjZYUStsWjJkZlk5R295bHViR3o4UmlnVXN1Zm41ejlhWEZ6OEQ3L2YzMWhYVjNlVzMrK3ZCWUMydHJiYmVucDZYZ0pHWnJDK3A2NnU3cXNBZWxKU1VyNGRGeGQzK25EeUd4c2J1OTduOCszR1VFL3diRHZsU2ROY3ZBMGRCOTYvM0JydEVJaUlaZ3lUWHlKYWtGYXNXSkVjRXhOengxQ1pzMG9WcTBUKytRWVlUaytIVUM3NFlhNVRvb3BYb3VocmVjZzhMUTBOVDdlaWQwOWZDb0NIM0c3MzFhdFhyNzUreDQ0ZGIwVTd4aG1pek0vUC83MWVyLy9NMFRhZzBXaEtsaXhaVW1XMzIrOXRiMi9mQ0NBQ0FENmZyNm01dWZucWpvNk9COVZxZFVabVp1WnRVa3AvYlczdE9vL0hZd1dBM2J0M0w4bkl5UGlHVHFkYlBaejRBa0FvRkxJTnIrdnJkcnYvcFZhcmY0T2hzYno5L2YxdkpTVWxuVCswanJFaU1USHhzMDZuODVsaitCMFFFUkdkOEpqOEV0R0NzbUhEQmxWZlg5OVZVc3E3QUtRS2hVRG1obFFVWEpDTkdEMi84c1lUbDZ2RDhoK1V3bG5sUXNNenJmQjIrSmRGSXBGL21FeW1WeU9SeVBlcXFxcW1ORXZ4YkRxV01iOTVlWG0vVEV0THU3eXBxZW1LZ29LQ1B4MU5HMzYvdjY2bXBtYTF4K05wMTJxMStRQ3dlL2Z1TW9WQzRkZHF0WVVBL01GZ3NLVzl2ZjFIa1VqRUFTQXl0QjBBNEhhNy85YloyZm53Uk8xN3ZkNXRMUzB0MjRaZk94eU96UmtaR1RmRnhzYXVVYWxVYVRFeE1WbE9wL012UnhNN0VSRVJEZUtkSUJFdEdFYWo4WFMzMi8wZ2dPVUFrTGhNaitMTGNoR2JxNHR5Wk1jQkFhUVlFNUcwSWdHMnQ3clEvRkk3d3I3SU9RcUY0aXlqMGZncmhVSnhsOFZpY1VVcnZHTVo4K3YxZXF1Ym1wcSs3bkE0L255MHlTOEFlRHdlNitMRmk5K1BqNDlmZnpUbmoxZGlQUkd2MS91aDErdXRNaGdNZHlpVnlrU3YxMXZ0OVhxM0hzMzdFa1dUMld4T0RBUUNpbDI3ZHZWRU94WWlJaWEvUkhUY001dk54VkxLK3dDY0J3RGFkRFVXWFpxSFZGUGlDYkNRejh4U3FBUnlQcGVCalBYSmFQcUxEZlozdW1NRXhQZWtsSmViemViYmlvcUtIdCswYVZONHJ1TTZsakcvM2QzZGo4MVVIUHYzN3o4RkdGdzcyTzEydndkZ1lQVDc3dDY5dTJ5NGxIazZkRHBkVGxwYTJzYVdscFpiQWJpQXdUSEJKU1VsZndPQXVycTZzMmZtQ29obTM3cDE2MUw4ZnYrNUFDNlFVcDZwVXFtK0FPRHR5YzRqSXBwdFRINko2TGkxZnYxNnZjL24yeWlsdkFHQVdxbFZJdStMV2NnK014MktHQzVqZml4aUVtSlE4bzE4R0U1UFIvM1RMWERWOUtkTEtYOVhYMTkvamRGb3ZLNnlzdkxkYU1jWVRTVWxKVytNbCtndVg3NzhzTm1qUTZHUW83cTZPbTI4ZG5RNlhWNXFhdXBOcWFtcDM1SlM5bmQyZHQ3djkvdGRRL3VXREIwV1VhbFVDMnNCYWxwdzFxNWRteGtNQnM4RGNLSGY3ejhOZ0RMYU1SRVJIWXJKTHhFZGp4UkdvL0VLajhkemp4QWlFd0xJUERVVmhSZmxJQ2FSWDJzekthNUFoeFczTGtiMzloNDBQTmNHZjNkZ2xSRGlIYlBaL0pkd09QejlxcXFxeG1qSE9OT1VTdVh3K2xmakxrZDBKTFcxdFo4Smg4TUhSMjhUUWh6YVV4NEhBQmtaR1Rkb3Rkckh3dUd3cTZPajQwNjczZjVyRFBZa3B5MWF0T2poNU9Ua2k1eE81NU1LaFNLdXNMRHcyZmo0K1BYTnpjMGJBZlFkeFdVUnpiZzFhOWJrUlNLUjg2V1U1d2VEd1ZQQldoc2ltdWQ0bDBoRXh4V3oyWHlLbFBKQkFHWUEwSmZHb2ZocmVZZ3ZqSTF5WkF1WUFOSk9Ta2FLTVJGdGIzU2k5VlU3d3Y3SWhRcUY0aHlUeVhTZjMrLy8yWjQ5ZS9wbk00VDgvUHhIOHZQekg1bXQ5ck96cysrVVVvYWtsTUhFeE1Uemh6WjNqejVtOUFSV0FCQVRFNU9qVUNnbVhYcElTcWtjUHRmbjg3WEh4OGVmQkFCcXRYcFJSMGZIUGUzdDdiL0FZRUtyejh6TXZDVXJLK3NXaFVLaGJXdHJ1N0dqbytNQkFFcUR3WENud1dDNExTa3A2Wkt1cnE0SGJUYmJId0RZai9uQ2lhWnB6Wm8xUmVGdytBSXA1WVhoY0pqclFoUFJjWVhKTHhFZEY4eG1jNzZVOGw0cDVWY0FRSk1TZzhKTGNwRitVakw3R3VhSUlrYUJ2SE96a0hGcUNwcGVhRWZuQjA0TmdJMGFqZVpLbzlGNFMyVmw1ZE1ZV2dKb3ByVzN0OS9wZERxZm44cXg0NVVlVHlZaEllR3MyTmpZdFFBZ3BRdzZISTdIQndZR2RvNCtadG15WlEyalh5OVpzdVN3TVl6amJSdXRwcVptVFg5Ly85YnU3dTRubXB1YmI4VlFBcXZSYUVxWExsMzZrVktwVEhLNzNXKzB0TFJjNy9mNzl3K2RGcmJaYkQ5MHVWd3Y1K2JtUG1Rd0dPNzIrWHhOUFQwOVQwMzNPb21PbHNsazJpaUV1REFjRHE4Q0FDR20vc1VyaEhqTFpJcnEydEVoQU4rM1dxMFBSak1JSW9vKzNqSVMwYnhXVVZFUnAxUXFmeUNFK0Q0QW5TSkdJTzhjQTNJK253R0ZtdU42bzZudjRBRHFuMjVGWDkzSW5FL2JBRnh2dFZvL25NbjNLU2dvK0wzRDRmaHpmMy8vTzhkNnZGNnZQenNZRE83MStYejE0NXlxR1BvSjR5aEtubzlWV2xyYXQveCsvNTYrdnI0UGpuUmNiR3lzMmVQeFdHWWpodUhKd2s1NU1xcUpDczBqNzE5dUhmN1BqUUF1QkdDTVhqVEhaam96cmhQUndzUXZBU0thcjRUWmJMNEV3TDFTeWx3QVNEODVCWVVYWjBPVG9vNXlhRFJNUmlTNlAreEI0L1B0OFBjRWhqYy9GUTZIYjltNWMyZGJOR09qNldQeVM0Y2FUbjZIRThjMWE5WVVEWTN6dlJEQTJxbTBJYVU4bzdLeU1pcXpQUnVOeGd1RkVKc0FiTFphclJkR0l3WWltajlZOWt4RTg4NnFWYXZXS0JTS1gwb3Axd0dBdmlnT2l5N0xSVUpKWExSRG8wTUloVUQ2eVNsSU1TZWg5VFU3V2wvdmdBekp5NVJLNWZsbXMvbG5hclg2dnExYnQzcWpIU2NSell6dDI3ZlhBN2dQd0gwVkZSVzVNVEV4NTBzcHp3ZHdLZ1lySjRpSTVpMG12MFEwYnhpTnhtd0E5d2dodmc0QTZxUVlGRjZjZy9TVGt5RVVMRlNaejVRYUJRb3V5RWJXcDlMUThGd2J1ai9xaVpWUy90anY5My9UWkRMOXdHcTFia0lVU29tSmFQWlVWMWUzQXZnVmdGOE5MWFgwUlNubGhVS0kwOEI3VENLYWgvakZSRVJSdDJIREJtMWZYOThOVXNxTkFPSVVNUXJrbkpXQjNITXlvZFJ5cWNqamlTWk5qYVhYTG9LN05oMEhuMnJCUUpPM0FNRHpKcFBwV29WQ2NkMk9IVHNxb3gwakVjMjhiZHUyZFFCNERNQmo2OWF0U3drRUF1ZElLUzhBOE5rb2gwWkVOSUxKTHhGRmt6QWFqZWYzOWZYOVhFcTVDQURTMWlTajhDdlowS1pyb2gwYkhZT0VKZkV3L3JnTTluZTcwYlRKaHFBN2VHb2tFckdZemVZL3FsU3FqVU0zeWtTMEFHM2R1dFVKNEU4QS9tUTJteE9Ed1NETG9ZbG9YbUR5UzBSUllUUWFWd0o0VUFpeFFVcUp1RHdkaXI2V2g4U2w4ZEVPYmM3SmlGeVlaZDBDeVBwVUd0SlBTa0h6eXphMHY5a3BaRmgrTXhnTVhtd3ltZTV5dTkyL3FxdXI4MGM3VEZxZ2hvdnNGK0NmMXZIRVlyRzRvaDBERWRFd1Bva2pvamxsTkJyVFRTYlRiNFVRVmlIRWhoaTlDaVZYNXNONGQxblVFdDlJU0NMWUZ6cmlUeVEwZHJpcXI4T1BiZC9kTlNQdlgzMzNmdXgvdEhIY2ZaNVdMOTYvM0lxZWF2ZTAyNVZoT2VuUFhGRHFGRmowbFJ5WWZyWU1xZVlrQU5BRCtMK0VoSVE5cTFhdCtpS1luaHozdkRiZllUOHlNdmo1NmpzNGdCMDM3b2F2T3pCSkswZjIvdVZXZUcyK3FSMHNnWDIvcXNlK2grb1JDY3pLMHRQVEVnbEpXRy9kaS81R3o4aTJrQ2M4NW5wNnF0MTQvM0lyZ24yaGtXMitEajRiSWlLYVNlejVKYUk1VVY1ZXJsYXIxZGNLSVg0RUlGRW9nT3pQWmlMdmkxbFF4YzcrdU42d0w0eEFUM0RjZmU2NkFSejRYZE1SenkrOXFnQ1pwNmFPdkpZUmlhRHI0L1k2LytPY01JRWQ3ZEFsWkNLQkNQb2JQRWhhcHAvMDNNTkl3R3VmT0JtdzNMeDMwaVpXMzc4YzJyUzVXVHBLbDZsQjJYVkY2TjN0UnNNemJSaG85UllyRklxL21reW10eFVLeFEwN2R1ellQU2VCMEl3Yjc3TjIwa01yb0U2SVFmM1RyZEFNRFdNWW5RQXJsQUxxNUpqRHpqdFNrdXgzQmlGaXhuOXVQK1p6TElDTVUxSlErNXNHN0xybkFNcHZLb2JmR1VUbDdmdW1kRDJuUEdsQ0pDUVI2QjMvTzZQaHFSWTRySk4zYUE3L3ZmZFV1K0h2RGtDWDlmRndqc2JuMitDc2NtSGxIVXZHWGI3TmEvT2g4b2MxS0xreUh4bnJVeEFKanAvRTF6L1ZDdnUvdTZkeVdWekNpb2hPZUV4K2lXaTJDYlBaL0hrQTkwc3BGd05BeXFwRUxMb2tCenFEZHM2QzZOblZoNXFINnNmZFYzcFZBUUJnN1c4cXh0Mi83WnJxU2R0UE5TYkNmTyt5dzdhM3Zka0orNys2SVpRQ2VlZG1IYmEvNytBQVpGaENmeFRMT0lYOWtRa1QzT0ZZVnYrOEhBRGdjd1N3KzJjSFlMNTNHWVJDalBSRVJVUFM4Z1NzdWxzUCs3KzcwZlNYZG9RR3dwK0pSQ0pWSnBQcFVaVktkY2RISDMza2lFcGdDMEJGUlVYdWtpVkxiSnMyYlFyUDlYdWI3MTBHblVFTCs1WnVOTDlrZ3pvaEJ1My82RVJmM1FBQVlNZU5ZNTl0eE9YcllMeTc3TEIyRGoxdXROMzNIcGh3MzZHSlhhbzVDV1hYRjJQZmd3ZlIvTElkaFYvT0dmZHZkRFJIcFF1Tnp3MHVUejNRNk1IT0g5ZU9lOXhKdjF5QndpOFAvb29qUVltZGQ5WWcrNnlNTVEvSVJ1dDRweHRKeXhPR0hzQU5KdFNGRjJmRHZiOGYreDZzUjhVUEY0ODVQdXlQb09iWERZak4xaUp0VFJJQTREL2ZyQnEzN1RYM0wwZk9XUmtqcnp2LzA0T1dsMjJvdUgweFl2VFJ2ODNic0dHRGRtQmdJR243OXUzMmFNZENSQlQ5YjBVaVdyQk1KbE1aZ0Fla2xKOEZnTmhzTFJaOU5SZkpLeExtUEphME5Va2pOOGZ2WDI3RjR1OFVJdVBrRkFCQXgzdUR1ZGJ3aldMN201MUlXcDZBMkp5cEorZEtuUkk2M2NjOTJLR0JNQTc4cmhFT3F3dnhoYkVvdmFvQWNYbTZ3ODV6Vmc3MkhzWEVxOGFVUUNxMXluRjd4Y2E4cDFZeDVwcUdrdzhBSTIxcE04ZE9IS2JOMEVBb3hZUzlTSE5GS0FRTXA2Y2ovUk1wYUhxeEhiYTN1NVNRdUNZVUNsMXFOcHZ2QlBDSXhXSVp2OXVOSnFSU3FXNnZxNnM3ejJ3MnZ4U0pSRFluSmladTJiSmxTMmp5TTJkTzV3ZE9aSjZhaW9FV0x4cWZiOFBpYnhVZzQ1U1BrOEtCRmkrcTdxZ1pTZXJHTS9xelBPelF6L2d3cjgxMzJFTWd5ODE3VVhoeE5sTE5TYWo0MFJMRTVla2dsR0xrM0ZCL0NOdHYySTAxRHl5SEt2N2pXeUYxdzhkbHlmcmlPSno4aDFVQUJoUFBraXZ5a1hIcTRIZUdJa1lCWVBEdjAybDFJUktTeUR3MWRkd0hlbDY3SDg0cUZ5QUJoNlYzWlB1YUIxZGc2WGVMc1BPT0dqaXIzRkJxUHU3UmJueWhEV0Z2R0JWM0xJRkNQYmg5OWYzTEFRQ09qM3JROEZ6YnlHdE5xbnJNd0lGUWZ3anE1QmdrTEk3ZS9BbG1zemxXU25tV2xQSUN0OXQ5Tm9BN0FEd1l0WUNJaUlZdytTV2lHYmR1M2JvVW44OTNCNEJyQUNoVnNVcmtuMitBNGZSMENPWDhIOTVaLzNRclNxOHFHRGY1OVhVSElJTVIrTG9HU3pPSGs4elJONzE5ZFFPb2ViZ0J3ZDRnQ2k3TVJ1NFhNaWU4YnNkUThudG9EMVBhbWlRcy9XN1JNVi9MY0h4K3gxQzhkaitFQW9lTllZNFdWWndTeFYvTGcrSFQ2V2g0cGhVOXU5ekpVc3BmQXZpT3lXUzZ3V3ExdmhudEdJODNRb2hNS2VWM2hCRGZjYmxjVHBQSjlMSVFZclBMNVhwN3RpY1k4M1g0NGQ3Zmo4S0xzckgzd1lQUWw4WWpZYW4rNDFKbUNlei9iU1BpY25SSVg1Y0NYM2NBbXVTWXcvNCtKcXBvbUVvcFB6RDR1UTk1Qm50bTR3dGpEOXN2NVdEdnFqelNuNEVZVG5LSEtBNTVQYVQ3b3g3RTV1b21yR1JwZWNXT3pGTlRVZnBmQmVQc2pZSDU1K1ZRSjhXTUdkZWZmNTRCT1dkbVFKMzQ4UU93NGJKdTFkQkR1dUhYTWlMaHMzLzh2N1d2WVFDNkxPMWg0Nk0xcWVxUlJIbzJyRjI3TmlFUUNIeEJDSEdCbFBKekFHS0ZtUC9mOTBSMFltSHlTMFF6WnNPR0RTcTMyLzF0bjgvM1l5RkVpbEFJWkgwNkRRWG5aME1WdnpEVzY5MzM0RUVNTkh0SFhnL2ZqSi95cEFtUVFOdmZPOUQ0UWp2aUMyTlJmbE1KWXJNbjdqM3VPemdBWDRmL3NQSEVsUnYzSVNaeGJLOXZYOTBBK2hzOVIweWt4M05vc2hDdFV1Zkp4T1pvVVg1VENYcXEzYWgvcGhWZW02OE13TjlOSnRQcjRYRDR4cDA3ZCs2UGRvekhJeUZFQ29BcnBaUlhKaVFrdUkxRzQydENpTTFDaUw5YkxCYlBwQTFNay8wZEI1S1c2UkgyUmFCSlZXT2cyVHRoR2ZPT20vWUFHTCtYZC9uTnBZZFZMZXk0Y2ZlNDIzMGQvaU9XUXdkY2h4Y1FoUG9IRStPZ096UXlNWmRTTS8zdnFMQTNESWZWaGJ6ekRoL1NBQXdtMkE1TEw4cXVLeHFUakdyUzFQQjNCOFpONWc4ZFpqSGU3MmZNdFF5RXgyM24wRzBWdHkrZThkN2dkZXZXcGZqOS9uTUJYQkFNQnM4VVFzek5CQUpFUkVlSnlTOFJ6UWlqMGZpWnZyNitCd0dVQ3lHUXREd0JSWmZtSWpaMzdzYjFUbWIwektsQlYzRHc5UVJMREUzVVlURThSbkc0MUhLNDdEanNqNkQyTncxd1ZybVErYWxVNUp5VkNTRndXTzlMVEVJTVZIR0ROOWtkN3d5V1c0L3BZWmFBdDhPUHJFK25qVG12djlHRG5sMXVPSzB1TFA1TzRaaUpjNDVrT0Q1Zmh4ODd2cjhINng4M2pwUTlUelNHTUdvRWtMd3lBY2J5TXRqZTZrVHpYKzBJZThOZlVDcVZueldiemI4S2g4TjNWVlZWOVU3ZUVFMGdRUWh4S1lCTHBaUWVrOG4waHBSeXMxcXRmbjNidG0zVG4wNThISzY5ZlVoWUhJZmtpZ1FrbGVzbmZWRHovdVhXTWE5bFdHTEZyYVZRSjA4OWg5S2txckhpMWxMSXNCejMvVDQ2d3F6c294OEc1WC9KTUNheERyaUNZODZ0KzJNejZ2N1lESVZLNE9RL0dnRU1KdnN5TE5IMmVnZTBxV29JbFVDcUtXbWtERm1wVVdESnR3dXgrMmRqay9OVi83c1VTdTFnTCt5UnhpRlB0YWNiQUpiZFdJeVVWWW1IYlIvKzI1OHBhOWV1elF3R2crZEpLUy93Ky8ybmdmZVNSSFFjNFJjV3pSdEdvM0diRU9La2FNZEJVeWVFbzhQMi93QUFJQUJKUkVGVTJBUGdpME5scWwrUVVrS1hxVUhoSlRsSU5TYk51d1ZzUnQ4QU5qemJob1puMjZDS1ZXTFJWM05IdHN1aGN1RHBycnNiY0FZR3gvVmhNS2tkVG13UFZmeTFQQmpPU0Vld0w0U3VyVTRBZ0t1bUgvcWl3UW12K3BzOGlBUWlJNitIR1Q2VGpyeHpzMUR6NndaVS9XZ2ZTcTdNUi9xNkZHeS9jVGY4UXlXbHd6ZksyZ3dOeXI5WFBLMzQ1eE9GU2lEbmM1bklPQ1VWVFp2YjBiSEZvWklSZWFNUTRncVR5WFJiY1hIeDd3OGVQRGluNDFnWG9GZ0FGd2doTGdnR2d6Q1pUSzhCMkh5c2pSWmNsSTA5djZpRDRjd01hTlBVMkhIVEh2ZzZwMTVwN2JYNXNPdW5FL2ZpSHFtSDEzUlBHV0p6RHg5WC80bEhWNDU1TGNNU3UrODlnSUZtTDFiZlZ6NHk1bGNSSTlDOS9lTm5LekY2MVVoaWFybDVMd291eUViYVNVa2pUOFprUk1MMmowNWtyRStCZlVzM1BEWWYybDd2UU41NUJ1UitJWE9rblJSVElrNTUwalRodVB5Wm52Z3Y0QXFpK3E3OVdQenRRaVNVVG44aXZZa1lqY2J2Q2lFdURBYURud1NBYVpZMFAyQXltUjQ0aXJkOTJHcTFYbk1VNXhFUmpZdkpMODBiVEh5UFQxTEtEd0drQVVEZUY3T1FkMjdXdU9QaTVvUDFqdy8yMW54d1pTVVdmNnNRNmV1U0FURTRRYyt3NFhHQ0NzMzBya0ZuME9LVUowM29mTitCNXIvYXNmcStjc2lReEgrdXFzTHlXMHFSdUNRZUgxNjljNlRkdGpjNkVRbEtwSm9TNGRqUmk5elBEOTRzOSs1eUkwYXZHbmVjb3I0a0RzYTdsNkxtNFViVVB0SUlwVWFKRmJjTTluaFpidDZMOHB0S29FMVhReWpGeUJxK2gvYXNmWEJsNWJTdUs1cGk5Q3FVWEpFUHc2ZlRVWG43dnVFUzNrY1BIanpJZjd0bW5oUkNTSG5FUWJDVFN5clhRMThVQjlzL09ySG8wbHlzK3QrbEkyWEY0eGx2Sm5XaEVGai9oUEd3N1JOTmVBVUFIMXd4OGVmNjBLWFVHcDV0RzBuSWxUcmxoRXV0Q1lVWTgxNHhpYW94cnp2ZmM4TG5DQ0Q3c3htd2IrbUdKbFdOd290elVQOU1LNUxLOWVQK0RZOW55bXNYVDVFTUE3NU8vNHl2Ynl5RWtBRG1lcktBLzhiZzNCRkVSRE9DTnhBMDcxaXQxbm5XWDBoSFlqS1pIZ1J3SFFEWS85ME5UWm9hV1o5TW0zZTl2Z0RHbGtRcU1HNkpwSzk3OEtiNGFKY0k2WHpmaVZUejRDeTJBeTFleUloRTNGQnZWTmdYR1NsMWxCR0pqUFVweU55UWl1cTc5OE5yODBGbjBLTGpQUWRTVjAvY2E2NktWNkg4cG1KMGJIRWd4Wmc0NWpodHV2cXdYcVhobml1L0k0RGQvMWNIMDArWGpVeDRWYmx4YW11ZVJwT3ZLNERtdjlwR2J3cEtLZCt2ckt5Y2g1K3c2RE9aVEk4QytQWVVEdlVJSWY0V2lVUTJ4OGJHdnY3QkJ4LzBEWjMveExIR2tMSXFBWjBmT0xGSUFncTF3TkY4R1V5MDF1K1Ixdm1kQ3Z1V2JyVDl2UU9McnlyRS9zY2FqN3Fkc0MrTXhyKzBJLzBUeVdPR0xSZytrNDd1SGIyb2ZhUVJ4cnVXUXFGV2pFbHVoeWZLQXdBNWxKdE9wN1E1bXF4VzY2OEIvTHFpb2lKRHBWS2RCK0FDQUovRzFPNGxiN0JhclZPZTdYbjE2dFhMSTVISXJxSHFJaUtpR2NQa2w0aU9pZFZxdmQ1c05qOHBwZnhsMEIwNnBlNFB6YkQvc3h0RmwrVkdkYW1ObzlVL3ROUko1MytjMEJtMGt5YkJNaXpSVSsxR2lqRVI3dHArdUdyNlVYeEZQZ0NncDlxRnVEd2RWSEZLUkFJUnlMQ0VVanZZeTdUb3l6a0lEWVNnaWxkQmw2VkYyeHVkU0Y2WkFLL2RqNlhYSG5tVzUrR0p4STVFWjlDT2pPOGRQZ2NBZEZtYWtXMmo5ODgzWVY4RUxhL2EwUDczcnVGbG1RYUVFRC9SNi9VUGJObXlaV2E3eWs0Y2JnQ3ZBdGdzaEhoek5pYThBZ0IxaWhxQjNpQjZkcm14NTc2NmFaOHZJM0xDU2JLT1ZQWThHY2VPWGh4OG9nVjU1MlFoZWVYMGwxc0wreUp3VnJuZ3Rmc1I3QTBpTkJCQ3dmblpZdzhTUU9rMzgyRzlkUjhhTjdXajZLdTVZNUxiMGIrUEZiZVdBamg4ZmVMUkRxM2NtSXJoSGwrRmFuYit0cXVycXpzQlBBYmdzWFhyMXFVRUFvRnpwSlFYQURnVHdOUW1JeUFpaWhJbXYwUjB6Q3dXaXhYQUowMG0wMFVBZnQ3ZjZNbXZ2bnMvMHRjbW8vQXJPWVByVU01anNRWXRESjlKQnpCNGd4eWJvNFg5WDkzSStXd0dZdlFxTFAxdUVmU0x4aTlodE55OEY1RmdCT1psNVRqd3gyWmtmaXAxY0RJcUNYUzg1eHlaeFRuc0c3d2hWZXFHZXEwRVJzWWE1cDJiaFFPL2F4cEpvdVB5RHgrM09GMkhsbElldXRUUnNObGUvbVM2WkVTaTZ6ODlhSHloRFlIZWtWbDZueEJDM0dheFdHeEhPcGZHNVFEd3NrS2gyTnpiMi92UDJWenFxTC9SZzVBM0RNZjJYcWdUWTVDMFRJK1RIbG94c3IvdGpVNWtuSnlDbU1TUGJ6M3FuMm9kZVNBRUFPcGtOVXF1ekVmV2FXTWY3cmdQOUtQelBTY0tMc3hHVE1MaHR5NzJmM2NmY1pLc3p2ODRjZUN4SnFTdFRVTEJCZGtJOWs5aHlMZ2NmQmptM0RrNGxyL2htVllJbFlBbVpYQ201dHl6TXcrYmVSb1lISE9mZTNZbW12OXFROXBKeVpPdXhYMU01T0JzejZQNW5ZTi82NU90RXo0VHRtN2Q2Z1R3SndCL1dyOSt2ZDdqOFh4Qm9WQmNJS1g4UEFiSGxSTVJ6U3RNZm9sb3BraXIxZnJDdW5YclhnMEVBamRKS1cvcDJ0WVQyMjNwUmU0WE1wRjdkaGFVMHh4SE81c0dHajFvYVBUQVlYVmgrYzJsS0w0OEQzMTFBK2pkMjRlaVMzTlIvM1RyeUxGcGE1TGdySEloN0F0RHFCVG9mTitCanZjY2lOR3JrUG5KVkdTZGxvYmFoeHNnUXhFVWZqa0hBTkQxWVEvOHpnQXlQem1ZL0E2UEpSNTlvejhzNCtRVXRMeGloOWZtdzlKckZ4M3p0WVY5a1FsTEtROWQ2bWo1emFWSUt0Y2Y4M3ZPQlBlQmZqUTgzWWErK29IaFRmK0pSQ0xYVjFWVmJZOW1YTWNiS1dVSGdCY0JiRTVNVEh4bnk1WXRjekk1V1BmMlhqaDI5RUlWcTBUeDEvTkhTdmd0Mzk4RDQ5MWxjTy92UjkrQmZxeTRiVEdFVXNEVDZvVktwNFE2NmVNa0xSS0lESzV0S3dGL1R4QUhuMmpHc2h1TFVmZkhac2l3aEsvTGYxanlHL0tFNFhjRVJvWVVqQ0dCbGxkc2FIclJoclRWU1ZqOHJjSXBWMkYzZmRpRDJrY2FvRkFya0dwT1F0cWFKT2dYeDJQWDNmdWh6VkFqNzl6eGx6Y0NnTnl6TTlHMTFRbFBxM2ZTU2FlbTA3c3J3eEtCbnNHSFFudnZQd2ozL3Y3QllSS2p1R3Y2b1lwVFFacyt0NTJ3UTZYenp3RjR6bXcyeDBvcFA0dkIwdWh6NWpRUUlxSWpZUEpMUkROcTY5YXRYZ0IzVlZSVVBLNVNxWDRxUS9LeWxwZnQ2SHpYaWNJdlp5TjlYVXBVeGdOSGdoSDA3dTZEWThmZ2JLNXRmKytFS2s2RnREVkpVR29WQ1BhRlVQdG9JMkt6dGNnNlBYMU04Z3NBM2R0NjRHbjFRVVlrQXE0Z2NqK2ZDY05uMGhFSlNkUSszSUMrZ3g1VTNMNFlxbGdsUXA0d0dwNXJSZFpwYVNPOUx5SFBZUDR4M3VRNmprb1h2SFlmRkdvRjZwOXBSZm4zaXFHS20vN1hjOHVyZG5oYWZBaTRnNGVWVWg2NjFORjg0bmNHMGZoOEs3cTI5Z0FBaEJDdGtVamtCNVdWbGM5aDdpZllPYTZGUXFHN2x5eFpjczJtVFp2Q2t4ODlzL0svWkVESmxmbFF4U25Sdlcydzl6NXRUZExnZ3grRndOSnJpMUQxdzMzb3F4dEF5Qk9HbElDenlvV1dWK3pJKytKZ0l0bnhiamZzUStQWkkvN3d5QXpxNVRlVllOOUQ5ZGoxay8wdzNWc09iYm9hQi8vVUFyOHpnT0t2NThIMnp5NkUvUkVValpxNUhRQnMvK3BDMDJZYk1qK1ppcElyODZmMTJkZVh4bUhwTll1UXZDcHg1TUZkeUJORzRqSTlzczlJUDJMRmhDSkdnVlYzbFkzL3dFOEMzZHQ3Um1hbW5zcFNSNEdlSVBZOVZJK0JKaThpd2NqSTkwanV1VmxJS0kyRFkwY3ZoRklnTkJDQzdaOWRpQVFpYUg3Smhwd3ZaQUlLQVZXc2N0b3oyQitMb1pMNmx3QzhWRkpTb2tsT1RrNmVzemNuSWpvQ0pyOUVOQ3VxcTZ0YkFYek5aREw5UmtyNVMzOVA0S1RhUnh2Ui9uWVhpaS9MUTN6UjNGYkU5ZTdwdzk0SERrS3BWU0pqZlFyUzE2V01yRVBxNndwZzcvMTFDQTJFVUxGeDhiaGo1WUx1RU5RcE1TaThLQnZhRE0zSWpXL1Q1alo0V3IxWWNWc3BZbk8wa0JHSjJrY2FJUVJRY01ISDR3SDlqc0hlbWtQSEVQY2RITUQrUnhxUXZDSUJpeTdOeGU1N0Q2RHk5aG9VWHBTTjFKT1NvVTVSby9TcUFzVGxIVjRLSFhBRjBmcHFCeHlXd1lTKzgzMG40Z3RqWWZoMCtvejkzbVpUSkJCQjYrc2RhSDNOamtoUUFvQVh3UDhGZzhHZlYxZFhEMHh5T28yanVycTZ0YnI2OEJtVTU0SkNKVVkrMysxdmRTSDlFeWxqSnFmU3BNVEEvUE55cUdLVk9QQzdKa1NDRVJSL1BRODF2MjVBOHFvRXhPWHAwUEdlRXhuckQzOUFwa2xWbzJMallyajI5VU9iUGxqZTNOL2tRZGdiaGlaRmplS3Y1YUgyMFVZa2xlbVJZdnA0cmR1czA5S2dpbE1oL1JQSmtCRUpUNXNQU28wQ1BkVnVRT0R3NURTQ2tmZldwcW1oVFJ0YlNxMktWV0x4dHdxbTlQc1kwL2JRSXh5SDFZV3VyUTBZYVBaaTVaMUxBRXh0cVNOMVVndzBxV3FrblpTTXhMSjR4T2ZIanZrZGZlTFJsUWoxaDdEMy9vT1FFc2kvd0lEV1Yrem9lTGNiaFYvSlBXeTVwN2swVkdwdmoxb0FSRVNqTVBrbG9sbGx0Vm8vQkxET2FEUmVKb1Q0V1YvZGdLSHF6aHBrbnBLS2dvdXk1MlJjR2dDa3JFekVzaHVLa2JSYy8vRlNUSEp3OXRmRzU5cWdVQ3V3L09iU2tkNFlWYXdTRG9zTHFlYkI4a3QzM1FDeXowZy9iQjNSZ2dzTXlEMDdFekY2RldSSW92YTNqWER0Y1dQNXJZdmgyTkU3dU9TUUFOci8zb200Zk4yWTNpSlhUVC8yUG5BUW1qUTFsdnozSXFoaWxURGVYWWI2cDFwUSs5dEdLUDdZalBqQ1dHalQxUEMwZUtIUUtFY1NjeG1XMEtTb1lmdFhGL1JGY2NqNVhBWlNWeWREa3hJRHI4MDM1VEcvQUtETDBzNXRiN3dFdXJZNTBmaGNHL3pPa1hHOXp3a2hiclpZTE0xekdBbk5BdGUrUHZRM2VMRGs2a1ZReEFnb1loUndXbnFSdEh5d3ZINmd5WU9lWFc3a25wMkpWSE1TbG55bkVIRzVPblM4NjREZkVSaVp6QzFHcndJRTBQR3VZNlIwV0p1dWh0Zm1RMytqQi8zMUhoak9HSHpRazM1eUNybys3TUZBaTNkTThpc1VBdW1mR094MEZFS2c2bzRhUkFJUkNJVkF6bWN6SUpSaWNFSTFDWVM5WVRnc3ZkRE93aHdGdmZ2NkFBQ056N2RCWHhLSFpUY1dRNlU3dkFwRWhpVEUwTi80UUxOMzVCb2dnS1hYVERBa1FnSmRIenJSOEZ3YklnR0o4dThWUTE4U2g4ejFLYWgvdGcyMUR6ZWc0MTBIU3I2UmYxZ3lUMFIwb21IeVMwUnpJVkpaV2Zsa2VYbjVpeHFONWhZQU4zVzg3OUIwYis5QjdybFp5RDByRXlKbWxyTXZnY0dsZ1VacDJ0eU9sbGZzU0Y2WmlOTC95aDhjYXppazRLSnNORzFxUitNTGJSQXFnWVRpT0dTZmNYaVBxa0t0R0Vsb2JmL3NndFBxd3RMdkZpR2hOQTRkNzNhajR4MEhnTUZlcnlYLy9mSE5hMCsxRzNzZk9BaGRsZ2JMYnlrZEtXT00wYXV3NU9wRktMd29CejNWYnZUVkQ4RGI0VWRmL1ZDcGFFaEN5c0ViNHFMTGNySDJvUXFvNHNiZVJCOXA2WlJEeC93Q3dMckhWbzAvWG5JVzlEZDZjUERQTGVnN01OS3hhMUVvRk5mdDJMSGpnemtKZ0daZFlwa2V4cnZMUm5wbzg3NlloY1lYMmhCNWVyRDdVNmdFRWhiSGowd0dsN1oyTURuVlptaFFjRkUyTkNtRDU2bmlWY2ova2dIMVQ3VWk3QnRieGExUUs1QzBJZ0g1WC94NDNHM1o5VVZITHUwVndNbS9Yelh5UUVvb0JQWS8xb2pPOXo5ZTUxdXBWYUwwcXFuMTdFNkhPakVHT29NV2hSZG5qeXlGTnQ2RVZ3ZWZhb0g5MzkxUXhDZ0d4ejhueDBCemhJUzE4MzBubXY5cWc2L1RqNVJWaVNqK2V0N0lCSU14aVRGWThwMUNwSzFKUXQwZm0xSDl2N1ZZZlgvNXZGMkhuWWhvTHN5dmdWOTBRak9aVEJMZ09yOG5nb3FLaWtVeE1USC9KNlc4RUFDMDZSb1VmamtiYVd1UzUvUmJTWVlsWERYOU16YmhrNHhJZUZwOVkyZHJsb1B2SXc0cHBaWWhpZGEvZGNEd21mUnh4d0V2TkVGWENJMmIydER4bm1Qd2R5SmxoeERpVnF2VitpY01GcHZTUEREOFBYeWs1WGZHMC9rZkoxS05pVkNPMDVzNW40VjlrY0V4eVpIQmhGaWRHSFBZMytxTWtSanovUmJzQzhIMmRoZnl2MlFZMlRiUTRrVmYzUUFpSVFtaEFGSldKUjV4dG56My9uN1kvdG1ON0RQU29TK1plR0t0UUc4UUEwMGVKSzlNblBDWWlReFB5RFdYL3phUFh1ZlhZckVzUDVhMmpFYmpoVUtJVFFBMlc2M1dDMmNvUkNJNlRySG5sNGptWEhWMWRRT0FpNHhHNDZlRUVMLzBkZmxYMXZ5NkFZbEx1N0hvcXptSUw1aWI4Y0JDS1daMHBtT2hFSWN2VXlRdzdzMjBVSWtqemhhN1VFU0NFYlMvMlltV1Z6cUdlKzhDUW9nSFltSmk3dG0yYlpzNzJ2SFJ6TWc0T1NYYUlSd1ZwVll4WjFVUGh6N1lpOUdyeGlTK0FCQ1hweHQzZlA5RUVoYkhUMms5ZFhWU0ROUkowMDk4aVlnV0d0YStFRkhVVkZaV3ZsTmNYR3dHOEMwQVhhNmFQbFQ5cUFaMWYyeEcwQjJjN0hTYXp5VGdzUFRDZXN0ZU5MN1FQcHo0dmlTRVdHYXhXRzVoNGt0RVJFUnpqVDIvUkJSVlEwdXkvTTVzTnI4UWlVUitLQ0QreDc2bE82YnJReWZ5djVRTnd4bnA0ODYrVFBPWHA5V0xnMCsxd3JXM2IzalRMZ0RYVzYzV2YwVXhMQ0lpSWpyQnNlZVhpT1lGaThYaXFxeXN2Q2tTaVpRRGVEWHNpNkRoMlZaVTNyWnZjSzFQcnZZNjd3WDdRcWg3b2htVnQ5Y01KNzRPS2VYVkNRa0pKaWErUkVSRUZHM3MrU1dpZWFXcXF1b0FnSFBOWnZPWlVzb0h2SGJmc3IzM0gwVFNjajJLdnBxSDJKekoxOFNrdVNYREVyYTN1OUQ4a20xdzhpQWdCT0RYd1dEd3g3dDI3ZXFKY25oRVJFUkVBTmp6UzBUemxNVmkrWWNRWXBXVThuOEE5UFR1N29QMXRyMm9mNm9Wb1lId3BPZlQzT2paNllMMTFyMm9mN3AxT1BGOVF3aXh3bXExM3NERWw0aUlpT1lUOXZ3UzBieGxzVmlDQUI0NjZhU1RuZ21GUW5kQzR1cjJmM1FxT3o5d29PQ0NiR1I5T3UzSTYzclNyUEhhZktoL3BnMDlPMTNEbTJxbGxEZFVWbGErRWMyNGlJaUlpQ2JDbmw4aW12YysrdWdqaDlWcS9XNDRIRjRwcFh3ck5CREd3U2RiVUhWN0RYcjM5RTNlQU0yWTBFQUk5VSszd25ycjN1SEV0MWNJY2IwUVlnVVRYeUlpSXByUDJQTkxSTWVOblR0MzdnSHdXWlBKZERhQSt3ZGF2U1c3N3oyQVZGTVNDcitTRFYwV3h3UFBGaG1Sc0cvcFJ0TmYyaEhxRHdOQVJFcjVXNFZDOFNPTHhkSWQ3ZmlJaUlpSUpzUGtsNGlPTjlKcXRiNWFYbDcrcGxhci9SOHA1UThkMXQ0RTUwNFhzczlNUi81NUJpaDF5bWpIdUtDNDl2Ymg0Rk90OExSNmh6ZjlTd2h4dmRWcTNSWE51SWlJaUlpbWc4a3ZFUjJYOXV6WkV3QnczOXExYS84Y0NBVHVSaGpmYkh1alUzUiswSVBDaTdLUitjbFVnTU9CajRtdjA0K0daMXZoc0l5TTY2MFhRbnpQWXJHOERDNCtSVVJFUk1jWkpyOUVkRnpidG0xYkI0Q3JWcTllL1hBa0Vua3c2QTUrOHNBZm1tQjd1d3VMdnBxTHhLWHgwUTd4dUJQMlJkRHlpaDF0ZisrQURFa0E2SmRTM3QzWDEvZGdYVjJkUDlyeEVSRVJFUjBOSnI5RXRDRHMyTEdqRXNBR285RjRnUkRpdnY0bVQ4R3VlL1lqN2FRa0ZINDVCOXAwVGJSRG5QZGtSS0x6ZlNjYU43VWg2QW9CZzcyN2p5dVZ5bzNidDIrM1J6azhJaUlpb21QQzVKZUlGaEpaV1ZuNWwzWHIxcjN1OS90dkJIQmI5MGU5c2M1S04zSStuNG5jTDJSQXFlVjQ0UEgwSFJqQXdUKzNvTC9SQXdDUVVuNGdoTGpPYXJWYW9od2FFUkVSMFl4ZzhrdEVDODdXclZ1OUFINnljdVhLSjVSSzVVOGp3Y2pYV2w2Mm9lUGRiaFJlbklQMGRjbGNIM2lJM3hGQTQvUHQ2UHJRT2J5cFJVcjVnOHJLeXVmQmNiMUVSRVMwZ0RENUphSUZhK2ZPblcwQUxqZWJ6YitSVXY0eTBCTmN1LyszamJDOTNZV2l5M0toTDQ2TGRvaFJFd2xFMFBwNkIxcGZzeU1TbEFEZ0ZVTDhETUI5VnF2VkUrWHdLTXJldjl3YTdSQ0lpSWhtSEpOZklscndMQmJMTmdBbm0weW1Td0hjMjNkd0lIdm4vOVlpNCtRVUZIdzVHNXBrZGJSRG5Ec1M2UHJRaWNibjIrRjNCZ1kzU2ZtTVNxVzZaZnYyN1MxUmpvNmlURXE1UlFpeElkcHgwUHdpcGR3UzdSaUlpR1lDazE4aU9sRkVyRmJyVXhVVkZTOHBsY3FiaFJEZjcveVBVOXU5b3hkNTUyUWk1L09aVU1Rb29oM2pyT3FySDBERDAyMXdIK2dmM3JRakVvbGNWMVZWOVo5b3hrWHpSMlZsNVduUmpvR0lpR2kyTVBrbG9oTktkWFgxQUlBZkdZM0dQd2doL2k4U2lGemN0TmtHK3pzT0xQcEtMdExXSkMyNDlZRUR2VUUwdnRDR3p2ZEh4dlhhaFJDM1dDeVdQd09JUkRFMElpSWlvam16c0xzNWlJZ21VRmxaMldTMVdyOHNwZndVZ0VwL2R3QTF2NjVIOVQzN01kRGtqWFo0TTBJR0pWcGY3WURsQjN1SEUxKy9sUEtuT3AxdXNjVmkrUk9ZK0JJUkVkRUpoTWt2RVozUUtpc3IzeTB1TGw0anBmd3ZBSjN1Mm41VS9tZ2ZEdnloQ1VGM0tOcmhIUjBKT0hiMHduTExYalJ1YWtQWUZ3YUF6YUZRcUt5eXN2SzJEejc0b0MvYUlSSVJFUkhOTlpZOUU5RUpiOU9tVFdFQWYxaTdkdTJtWURCNE95U3U3M2pIRWRPOXJRZjVYOHFHNFl4MEtGVEhSeTMwUUxNWDlVKzF3RlV6TXE2M1dxRlFYTGRqeDQ0dFVReUxpSWlJS09yWTgwdEVOR1RidG0xdXE5WDZnMGdrVWc3Z2xiQXZnb1puVzFGNTYxNDRyTDN6ZXRYYllGOElkVTgwbytwSE5jT0piemVBYnhjWEY1dVkrQklSRVJHeDU1ZUk2REJWVlZVSEFIeHg5ZXJWWjBncEgvQjIrTXYzUFZpUHBPVUpLTG8wRjdHNTJtaUhPQ0lTa3JDOTFZbm12OW9SOW9ZQklDU0UrRlU0SEw2cnFxcXExMnJsZXExRVJFUkVBSHQraVlnbXRHUEhqcmYwZXYwcUFOZEtLWjI5dTkyd2J0eUxnMCsySU5RZmptNXdFdWpaNlVibHhuMW9lTFp0T1BGOVhhRlFMTGRZTE4rcnFxcnFqVzZBUkVSRVJQTUxlMzZKaUk1Z3k1WXRJUUMvV2JkdTNiTStuKzhPQVhHTjdlMHVaZGZXSHVSL0tRdUcwOU1obEhNN0h0alQ3a1BETTYzb3FYWVBiOW9INEFhcjFmcm1uQVpDUkVSRWRCeGh6eThSMFJSczNiclZXVmxaZVoyVXNnTEFtNkdCRU9xZmFrWGx4bjNvMmVXZTlQeVpFQm9JNGVDZlcyQzlkZTl3NHRzcmhMaE9DTEdTaVM4UkVSSFJrYkhubDRob0dpb3JLL2NDK0p6WmJQNjhsUElCVDd1dmRNL1A2NUN5S2hHTExzbUJ6akR6NDRGbFJNTCs3MjQwYlc0ZkxyZU9BSGhFcFZMZDhkRkhIemxtL0EySmlJaUlGaUFtdjBSRTB5Y3RGc3ZyNWVYbGI2blY2bXVGRUhjNHExd0pQYnZjeUQ0ekEzbGZ6SUlxVmpramI5UzcyNDM2WjFyaGFmVU5iL3FuUXFHNGZzZU9IYnRuNUEySWlJaUlUaEJNZm9tSWp0S2VQWHNDQU82dnFLaDRTcVZTM1NYRDhxcTJOenBFNS9zT0ZGeVlqYXdOYWNCUkRnZjJkdmpSK0Z3YkhKYVJlYXNPUmlLUjcxVlZWYjJDZWIzb0VoRVJFZEg4eE9TWGlPZ1lWVmRYZHdMNHR0Rm9mQmpBZzhHKzBJYTZ4NXRoKzJjWGlpN0xSZUpTL1pUYkNuc2phSG5GaHJZM095RkRFZ0Q2QU56bGRydC9WVmRYNTUrZEt5QWlJaUphK0pqOEVoSE5rTXJLeXAwQVBtMDBHczhYUXR3MzBPd3QzSFhQQWFTdFNVYmhWN0toVGRkTWZMSUU3TzkybzJsVE80THVFQUJJSWNRZlZTclZ4bTNidG5YTTBTVVFFUkVSTFZoTWZvbUlacGFzckt6Y3ZHSERodGY3K3ZwdWtGSnU3TjdlRStlc2NpSG5yQXprbnBNSnBYYnNlR0IzYlQvcW4yNUZmNk5uZU5QN1FvanJMQmFMZGM2akp5SWlJbHFnbVB3U0VjMkNMVnUyK0FEODFHZzAvZ25BUFpGZzVPc3RyOXJSOFo0RGhSZm5JUDNrWkFTY1FUUTgxNGJ1ajNxR1Qyc0c4SDJyMWJvSkhOZExSRVJFTktPWS9CSVJ6YUxLeXNwMkFGZXNYcjM2NFVnazhtQ2dON2h1LzJPTjJQOVk0K2pEUEVLSW42blY2dnUyYnQzcWpVNmtSRVJFUkFzYmsxOGlvam13WThlT2p3Q3NONXZObHdDNFYwcVpPN1RycVZBb2RHdDFkWFZyRk1NaklpSWlXdkFVMFE2QWlPZ0VJaTBXeXpQQllIRHA4QWFyMWZvMUpyNUVSRVJFczQvSkx4SFJIS3V1cmg2SWRneEVSRVJFSnhvbXYwUkVSRVJFUkxUZ01ma2xJaUlpSWlLaUJZL0pMeEVSRVJFUkVTMTRUSDZKaUlpSWlJaG93V1B5UzBSRVJFUkVSQXNlazE4aUlpSWlJaUphOEpqOEVoRVJFUkVSMFlMSDVKZUlpSWlJaUlnV1BDYS9SRVJFUkVSRXRPQXgrU1VpSWlJaUlxSUZqOGt2RVJFUkVSRVJMWGhNZm9tSWlJaUlpR2pCWS9KTFJFUkVORDlsQWtpWTVmZFF6WEw3UkVUekJwTmZJaUlpb2xtU2twTHlqYmk0dUJWSGMyNUpTY21URlJVVmRRQlNqeVVHazhrazFXcjEwbkYycGE1YXRhcEhvOUVzT1libTlWbFpXWGZvZExxY1kyaURpR2hPOEdrZkVTMTBLcFBKRkR5V0JxeFdhd3lBMEF6RlEwUW5qcFNDZ29MZjJteTJ1d1lHQm5aTjU4VDA5UFJyRWhJU3p1enM3UHc1QUlkT3A4c3RLeXRybWV3OHE5VXFWcTVjMmF0VUtoTkhiMSsrZlBtK1E0OUxUazQrS3hBSXRQcjkvdG9KbWxPcTFlclM4WFlFQW9FYUFFaE5UVDNmWUREYzduSzVmaisxS3lNaWloNG12MFMwMElWMjc5NWROdEZPZzhGd1UycHE2amRiVzF2L3U3ZTM5OThUdFRGTHNSSFJBbkpvNzJweWN2S1hoQkNLL3Y3K2R5Ym9lVVVnRUxBRDZCMjlMVDQrL2xPNXVia1BEQXdNYkcxdGJiMGRBTHhlci8xSTMyV2o3ZHk1c3dDQUdINXRNcGw2YW1wcVR2SjRQQWRHSDVlU2tuS0pWcXRkYWpLWjVLRnQ3TnUzYjUzWDYyMDhOR2tlWnJWYXhWQWJsem1kenVlOFhtL2JWR0lqSW9vbUpyOUV0T0FOOTFBY1FwMmZuLzlRYW1ycU4zdDZlbDdvN094OEJJQVNRSGlPd3lPaUJXS2lSSEh4NHNWYkpqcW51Ym41NnU3dTdrZUhYOGZHeHE0cExpNStKUlFLZGRUVzFsNEFJREMwS3pUQmQ5bDRYRWFqY2N4RHV5VkxsbXdkL1hyZnZuMmxpWW1KbjJ0dGJiM0o3WFp2Qm9DTWpJeGJrcE9UTDYycHFUSDcvZjVtQVA3aEpIZFlhbXJxRlFVRkJZOERnRWFqS2RicjlhY0RFS21wcVplTkY0ak5adnVKeldhN2ZZcHhFeEhOS2lhL1JIVENVYXZWWlVWRlJVL0h4c2F1OHZsOGU1S1RreTkydVZ3dkdneUduN1MzdC8rd3A2Zm5PUUNIOVlRUUVVM20wR1QyU0E3dGNVMUlTRGlycUtob1V5UVM4ZFhXMXA0SndGZFVWTFM1cmEzdFZyL2Z2Mzg2Y1FnaGxIdjI3Q24xKy8xMUpwTko3dG16WjNrZ0VLalJhRFFsNWVYbEJ6SXlNbTdyN2UxOVhhL1huOXJaMmZrTEFJaVBqei9WNlhRKzZmZjdEMHpXUGdCa1pHUmM2L0Y0clBYMTlXTVMzL0x5OHFxT2pvNmZkWGQzUHhjSUJMcW5FemNSMFd6aWhGZEVkQ0xSWkdabTNyWnMyVEtMV3EwdXFLK3ZQNitycSt0UkFIQTZuZi9vNit2N1cyRmg0Wk5MbHk3ZHB0ZnJUNGwyc0VSMFlvbU5qVjBSRG9mN0R4NDhlSG9nRU5pWGw1ZDNkMUpTMHZrNm5hNThwdDlMcFZLbDF0ZlhYNkxUNlZiRnhjV3RTRXhNUERNbUpzYlEwdEp5OXhTYlNFMU5UYjFLb1ZERUJRS0JtbEUvSFVJSWpjZmoyVG5VVTgza2w0am1EZmI4RXRHSlFKR1NrbktCd1dENHFVYWpLZTd0N2YxcmZYMzkxUURzNmVucDF3NGQwOVBjM1B3L0RvZmpkems1T1krVWxwYSs1M0E0bm1wcWF2bytBSHNVWXllaTQ0aEtwY3FjYUh6dlpPeDIrKzk2ZW5wZTlQdjlCL1Y2L2ZxMHRMUnZkM2QzUDlIYjIvdmFkTm9NQkFJMUhvOW5aMWxaMlU2RlFxRUZCa3V5cFpSaEthWGY0L0hzcksrdnZ4aEFxTEd4OGNxOHZMekhsVXFsdnI2Ky9uSk04ZnN1Snlmbk5pbGxSS1BSbEFMUUF2QUJnRTZuV3d3QXdXQ3dmcnJYVDBRMDI1ajhFdEdDbHBDUThMbmMzTno3dFZydFVyL2ZYM3Znd0lGeit2cjZYcHZvK0lHQmdWMzc5KzgvTlNNajQycUR3ZkN6cEtTa3MxczYxQTRUQUFBZ0FFbEVRVlJhV3I3bGREbzN6V1hjUkhSOHlzN092ak03Ty92T296eTkxKy8zOXdKSXlNL1BmOHJuOCsxdGJtNitScXZWNWl4YnRtemM4Y1Rqc1ZxdG9xYW1abFZjWE56cHljbko1MlJrWkZ3WERBYmIvSDUvaTkxdXY5UHRkcjg1ZEtnNk9UbjVuTmpZV0RNQWFUQVlOaW9VQ3IvTDVYb2JRME0veHBzTUN3QjBPdDF5bTgxMmMwNU96cS8wZXIyNXI2L3ZBd0NJaTR1cmtGS0dCZ1lHSnBwQm1vZ29hcGo4RXRHQ0ZncUY3QURRMk5qNFgwNm44MGtBVTFuMlNIWjJkajdzZHJ2L2xwdWIrNWpYNjIyZTNTaUphS0U0bGpHL1ExUWxKU1V2YURTYXd0YlcxdThEOFBoOHZzWkRKNTRDQUoxTzk0bXlzckt0dGJXMVp3d01ETHc5dkQwdUxxNGlNelB6aHdCRWZYMzlwUmtaR2RjMU5UVjlNeWtwNmJ6aTR1TFhYQzdYeTA2bjg2bnM3T3g3TkJwTmNXTmo0emRDb1pBOVB6Ly8wZUxpNG4vNC9mN0d1cnE2czRhWFFHcHJhN3V0cDZmbkpXQndCdXVjbkp4NzZ1cnF2Z3FnSnlVbDVkdHhjWEduRHllL3NiR3g2MzArMzI0TTlRUVRFYzBuVEg2SmFFSHplRHlWZS9mdUxRT1FvRmFyaXcvZDczSzUzbmE1WEdYamxSVDZmTDcydXJxNk0rY2tVQ0lpUUptZm4vOTd2VjcvbWFOdFFLUFJsQ3hac3FUS2JyZmYyOTdldmhGQUJBQjhQbDlUYzNQejFSMGRIUStxMWVxTXpNek0yNlNVL3RyYTJuVWVqOGNLQUx0MzcxNlNrWkh4RFoxT3QzcjAycitoVU1nMlBOTzAyKzMrbDFxdC9nMkd4dkwyOS9lL2xaU1VkTDdkYnY4eEFFVmlZdUpublU3bk04ZndPeUFpbWpWTWZvbm9oSkNjbkh6dW9rV0wvanlkY3hvYUdyN1cwOVB6MUd6RlJFUUx6N0dNK2MzTHkvdGxXbHJhNVUxTlRWY1VGQlQ4NldqYThQdjlkVFUxTmFzOUhrKzdWcXZOQjREZHUzZVhLUlFLdjFhckxRVGdEd2FETGUzdDdUK0tSQ0lPQUpHaDdRQUF0OXY5dDg3T3pvY25hdC9yOVc1cmFXblpOdnphNFhCc3pzakl1Q2syTm5hTlNxVktpNG1KeVhJNm5YODVtdGlKaUdZYmsxOGlPcUZZcmRaa0FMMlRISlprTXBsNjVpSWVJbHBZam1YTXI5ZnJyVzVxYXZxNncrSDQ4OUVtdndEZzhYaXNpeGN2Zmo4K1BuNzkwWncvWG9uMVJMeGU3NGRlcjdmS1lERGNvVlFxRTcxZWI3WFg2OTA2K1psRVJIT1B5UzhSRVJIUkREbVdNYi9kM2QyUHpWUWMrL2Z2UHdVWVhEdlk3WGEvQjJCZzlQdnUzcjI3YkxpVWVUcDBPbDFPV2xyYXhwYVdsbHNCdUlEQk1jRWxKU1YvQTRDNnVycXpaK1lLaUlobUhwTmZJaUlpb2dXcXBLVGtqZkVTM2VYTGx4ODJlM1FvRkhKVVYxZW5qZGVPVHFmTFMwMU52U2sxTmZWYlVzcit6czdPKy8xK3YydG8zNUtod3lJcWxTcCt4aStDaUdpR01Qa2xvaE9LVnF0TjhmbDhSL3p1MDJxMUNYTVZEeEhSMFZJcWxkcWgveHgzT2FJanFhMnQvVXc0SEQ0NGVwc1FJbnpJWVhFQWtKR1JjWU5XcTMwc0hBNjdPam82N3JUYjdiL0dZRTl5MnFKRml4NU9UazYreU9sMFBxbFFLT0lLQ3d1ZmpZK1BYOS9jM0x3UlFOOVJYQllSMGF4aDhrdEVKNVJseTVZZG5Qd29JcUtqazUrZi8waCtmdjRqczlWK2RuYjJuVkxLa0pReW1KaVllUDdRNXU3Ung0eWV3QW9BWW1KaWNoUUt4YVJMRDBrcGxjUG4rbnkrOXZqNCtKTUFRSzFXTCtybzZMaW52YjM5RnhoTWFQV1ptWm0zWkdWbDNhSlFLTFJ0YlcwM2RuUjBQQUJBYVRBWTdqUVlETGNsSlNWZDB0WFY5YUROWnZzREFQc3hYemdSMFF4ZzhrdEVKNVM5ZS9jVyszdys5NUdPMFdxMUNVeVNpZWhvdExlMzMrbDBPcCtmeXJIamxSNVBKaUVoNGF6WTJOaTFBQ0NsRERvY2pzY0hCZ1oyamo1bTJiSmxEYU5mTDFteTVHMGNZcnh0bzlYVTFLenA3Ky9mMnQzZC9VUnpjL090R0VwZ05ScE42ZEtsU3o5U0twVkpicmY3alphV2x1djlmdi8rb2RQQ05wdnRoeTZYNitYYzNOeUhEQWJEM1Q2ZnI0bXo1aFBSZk1Ia2w0aE9DSDYvdjdhcnErczNQcC9QQnNCN3BHTjlQbDkvUjBmSEwveCsvOTQ1Q28rSUZnQ0h3L0dIL3Y3K0xWT2RTTXJoY1B6QjUvT05td0FmT0hEZ25HQXdlTmgzVUUxTnpTY0FLSVord2hpbjVIazZzelZQcHJtNStjclJyLzErLzRHMnRyYWIvWDcvbnI2K3ZnL0dPOGZqOGV6WXYzLy91dGpZV0xQSDQ3SE1WQ3hFUk1lS3lTOFJuUkE4SHM5Mmo4ZXpmWXFIKzlyYTJtNmExWUNJYU1GcGFtcjZyNWs2dnErdjc3VWpuQm9aK29tS3FjNUt6Y1NYaU9ZYlJiUURJQ0lpSWlJaUlwcHQ3UGtsSXBwbFpyTTVYMHI1SklEaFVzU1JNa1dUeWJSbDlIWWh4T1VXaTZWNWprTWtJaUlpV3ZDWS9CSVJ6VEtMeGRJeWxBQXZHbWYzcDRiL1F3alJZTEZZV3VZd05DSWlJcUlUQnN1ZWlZaG1uNVJTYnA3Q1FYL0JVYXpYU1VSRVJFU1RZL0pMUkRRM0prMStoUkNUSGtORVJFUkVSNGZKTHhIUkhMQmFyUjhCYUp0b3Z4Q2kxV0t4VEhVMmFpSWlJaUthSmlhL1JFUnpJeUtFZUhIQ25aSElpNGppMGlWRVJFUkVDeDBudktLb3FLaW95RldwVkxlUHQ4OWtNajA2K25Vb0ZMcTd1cnE2ZFc0aUk1bzlrVWhrc3hEaXV4UHNac2t6RVJFUjBTeGl6eTlGeFpJbFMyeFN5dk1BZkh2VXo3Q1JiVkxLODVZc1dXS0xSb3hFTTYya3BPUjlBSjNqN09vc0tTbjVZSzdqSVNJaUlqcVJNUG1scU5pMGFWTllvVkM4TklWRFg5eTBhVk40MWdNaW1nTkRuK1cvanJQckpYN09pWWlJaUdZWGsxK0tta2drTXBVeVQ1YUMwb0l5M296T0NvV0NuM01pSWlLaVdjYmtsNkpHb1ZDOEk2VjBIdUVRUjJKaTRqdHpGaERSM1BnM2dKNVJyM3VrbEZ1aUZBc1JFUkhSQ1lQSkwwV054V0lKQ2lGZVBzSWhMMi9ac2lVMFp3RVJ6UUdMeFJLVVVyNHlhdFBMRm9zbEdMV0FpSWlJaUU0UVRINHBxc1lyQVIzR1VsQmFxQTc1M1BOelRrUkVSRFFIbVB4U1ZMbGNycmNCdU1mWjVlN3Q3ZjNuWE1kRE5CY1NFaExlR3ZYZmIwY3pGaUlpSXFJVEJaTmZpcXE2dWpxL2xQSzFjWGE5V2xkWDU1L3pnSWptd0pZdFczeENpR2VsbE05czJmTC83ZDE1ZUp4WGZmYngrNWxkK3k1cjN5eDVsVGM1SVF1aEpCUWE4cFlkQW1XcEMyVXBTNkUwSmJoQWdDVEFHd0lVUXFHVUY4b1dLS1NBQ1lRMEpBMlFsRGlMRTF2ZWQ4dVdyWDNmcGRtZjk0K3h4aHJQYUxNbHpYajAvVndYRjVwbm16UE9QTkxjYzg3NW5TZmQ4VzRQQUFEQWNtQ0xkd09BODBOQTMzYlJab2FDSnFrdFc3YnNNZ3pqUmZGdVI3eVpwaW5ETU5UUTBIRHhlMzlaTWszenliMTc5OTRVNzNZc0JlNEJ4TEtjN2dFQWlCZDZmaEYzaG1FOEttbDh5cVp4d3pBZWkxZDdzTGo0MEk5WURNTzRNZDV0V0NyY0E0aGxPZDBEQUJBdjlQd2k3dmJzMlRQZTBORHdPMGx2bENURE1CN1pzMmZQK0N5bjRRcDN3LzBOOFc0Q0VzVE9iWTN4YmtKY2NBOWcwbks5QndCZ3FkSHppNFJnbW1aNG1ITXdHR1RJTXdBQUFJQUZSZmhGUW5BNEhQODkrWE5xYXVwL3ozUXNBQUFBQU13WDRSY0pZZGV1WGNPU0hwYjAyNmVmZm5vazN1MEJBQUFBa0Z5WTg0dEVzc013RERQZWpRQUFBQUNRZkFpL2k0amxMT2JQTkUwMU5EVDhNTjd0V0V3c1p3RUFBQUFzUFlZOUx5S0NMMkpoT1FzQUFBQmc2ZEh6dXdSWXpnS1RXTTRDQUFBQWlBOTZmZ0VBQUFBQVNZL3dDd0FBQUFCSWVvUmZBQUFBQUVEU0kvemlzdmlHZlBGdUFnQUFBQURNaXZDN0hKbFM2Mjg3MWY0LzNaZDFtYzRuZS9YQ2JZYzEwZUZlb0lhRlBQZisvZXI0ZmM4bG5idHpXNk82bnVxYit3bXpyQ3JzRy9icnlGZWJOSEpxN0pMYUF3QUFBQ0F4VU8wNVFYVTgzcU9tSDdkYzBybXpWcGMySkhlUFYxMS82bE42ZGFveTY5SXY2WG55cjg1VzgzKzE2ZVQzejJuanAxYk5ldnhNSVRtbHlDVVpvWi85NHdHWmdWbFM2UUx3OUh0MStFdW5WUFdXVXVWdXlUcS9MYkluMjl2dlZmKytJZVZ0elpZajF4R3h6N0JJam16N29yY1RBQUFBd09Vai9DWXd3MktvNFo2MUVkdjhZd0h0di91NGF0NVJwcHdObVJIN2VwNGIwTGtIT3lLMm1YNVQ3aDVQMUxXTFhwYXZ2ajJENnQwMUtIdDY5TnZBbm1XWExkVTZZL3RzYVRaVnZLRkU3bTZQZ241VEZwc3g0L0Y3dGgrWmR0OTEzOWtzcThzUzdvazFMTk5meXd5WWNuZEh2NlpKdmtGZnpLRHR5SFhJNnJ3dzJNR1JaWmVyMEttajN6aXRkZis0VWprYk12WENSdy9Hdk9iSjc1Mk4ybWJQc3V1YWIyeVl0aDBBQUFBQUVnZmhOOEdsRkxzaUh2dEcvSklrUjQ0amFwOGpLN29YMHQzam1URjB0djlQZDh6aHo3WHZyRkRSeS9JbHpXMXQydmJIWWcraHptdkkwdHFQcnBRMGM0LzBlTHM3RkZqUGg5K3gxZ24xN1JtTU9DWnJkYnBzNlRaNWVyMHp2cWJtWDdTcitSZnRVZHZYM2JaU3VadXp3bzhOcTZFMWYxK3RBMTg0b1hPLzZsRDIrZ3hkODQwTkNnWXVuT1B0OTJyLzNjZFY5KzVLWlYvMFpZTXpsMTVmek13TW1qTitrUU1zRk8rQVQ0NGNmaWZOaG5zU0FKWTN3dTh5Y2RXWDE4dTF3am1uWXk4T3UxdnZYVGZ0c1h1MkgxSHh5d3RVOG9xQ21QdXRycGw3anlmMVBOT3Zsb2M2dzQ4N24raFY1eE85RWNkcy9QU3FpQ0hhbSs5YW8vVHExS2kyMTcyM1VpdGVraGV4ZmZmSERzZDhYb3ZEb3ZyYmEyVjFXV1ZZREIzODRrbU50MFgzR3NmcStaMTFlRGtTa3J2YkkzZTNSOW4xbWRNZU0zaGtSRjEvNnRQcTkxZk5lcjJnTjZoOW56bW13ai9MVTluL1dSSGU3aDhQYU84bmoyamRQOVVxclR4bDF1dU1OSTNwK0wrZDBacC9xRkY2WmVxc3g4ZHFSOWRUZlNwK1dVRjRDc0dsT3ZtOXMzSVZPRlgrbXFMTHV4Q1d4SmtIMnRUOVZKODIzYlZHcm56SDdDZE14NVJhSCs2VXhXbFJ5VjhVWGxhYnpqM1lvWE1QZGx6Vzc4bnhOcmZhSCt2V3lyOHBsMkdkKzVzNlVlNUpBRURpSWZ3bXVJdUg3L3JIUXQyUzNnRnYxRDd2SWxWZXZyaUgrV0wyRE51c3g4eW00dlhGS245dGtZTGVvSjc3d0FIVnZhZFNCZGZsU0pMR1c5emFkK2N4V2F3TFY1L05ESm9LZWtQZHpJYk5JdVA4a08yR2V5S0R2cnZYcTkyM0hkTGFmNmhSM3Ric0JYdCt6RS9iSTEyWGZZM2lseGZJNHJDbzU3a0J0ZnltVS9YYmE1VzVLdlo4ZDNlblJ6M1A5TThwL0E0ZEhkRjR1MXNwaGM2SXVlcFdwMFZwRmFscWU2UkxkZStwakhudTFBLzBYVS8xeVRjV1VPb2wza3NqWjhiVmRIK0xBaE1CbGIwcUZGcm5NbXBEa2twdUxsVE4yOHRDRDB5cGY5K3dLZ2krVjR6U1Z4YXE2MDk5Nm55aVYxVzNsbHo2aFJhb0hzUkNDZnFDNnZ6ZlhxV1V1RlQ2eXJtSDhVUzVKd0VBaVlmd204RE1vRG50OE43VFAybGQ0dFpjSHYrb1B6eGtlem9weGE1d0lMVTZMYkxZSThPdU1jdWM0dm5vM3p1a28xOC9IWDU4dy8wTjJudkhVWTJkbTRoNS9OUmpwNkwzZDJtY2VhRHRzcTlSOE9KY09Sd1dsYittU0JNZGJoMjU3N1EyMzdsYXJzSzVqWWlZVHYrK1lUbnpROU1Rbm43WDNwakhkRC9kSDNQNzVQdkhQK3BYejlQOUNuaUNldVk5KytiMS9Gcyt2MVpwRlNuS1dwMnU0cGNWNk95T0RtV3Z6MVI2ZGFxdSttcTlGRERWdjI4b1ZOUnRjcmhuMEZUM00vMXErMTIzMHNwY0tyd2hOM3k5MGVaeCtZWjhjdVRhbzc1Z3M2WllOZDdtMXFGN1QwN2JuazJmV2EyTTJyUjV2WVpFc243OWVvZkw1Y3JiczJkUHgreEhMNjNadnN4by9XMm5Xbi9iR1hQZjFudlhSWHhKdVpqMUlCWktlbFdxQ3EvTFZjdXZPMVQ0NGx6Wk0rYjJrU1ZSN2trQVFPSWgvQ1lvVTZHaVR5Lys0WmFJN2I0UnYzWjk2SURXZkxoRytWZEg5a1IyL3JGWHAzNTRiZ2xiT1hjZGYralYyUjNSODNDbnV1SCtCdmtuUWozYlZ0ZUY0QnNNQkNWRmg5OTluejBXOHpvbnYzdFdKNzhiUFV4NXFxdzE2ZHA0eHlwNStydzYvdS9Oa3FUNmo5Y3A2Ri84S3RPWXY1bStaTmk1clZGRk4rV3I5bDBWYzc1ZTdkOVc2TURuVHFoMzE0REtYbjNwUFp4bXdGVHY4d09xZUVPeFVvcWN1dnErU3l1QTF2Wm90OHlndE9tenErY2RMSndGRjhKNzFadEwxTmM0cUJQZlBhdUdMNnlWSzkraGtWTmphdnRkbDlvZjcxSFpxMWJJbG1iVHVWKzF5d3lZV3ZYZVN1VmRGZmw3cEhkM2FLNTlyQzk4Q20vSVUrR0xRMEY1d3lkWHlaRjE0VS9JUktkSFI3N1dOSysySnlLWHk1VnBtbVpiUTBQRFRzTXdkbGdzbGwrOThNSUxsMVo2ZnhHcy8xaXRYQVdob2Mzbkh1eFFlbFZxdUZyOWRHSjlpYm9ROVNDQzNtRDRkL2JGQXU3UTcrM3BSaVRaVXF5eU9LSkg4d1FtQWhvK09hYU1tbFRaMG0ycWZGT0plbmFGaWptdTNGWStiWHNuSmRvOUNRQklMSVRmQkdVR3pNdWV0eWRKWnVqemgzYmZIbnZPNjF6NHh3UHl6VENrMmpmaW4zWVpvOG1laHZMWEZxbjh0VVV5QTZhZS84aEJGYitpUUJXdks0Nisxdm5uc1UzcGNURFBCOUtMZTRMWGZMaEdhV1dSdzlIMmJEK2lxbHRMb2o3UUgvclNxWWpIdGpTYk1sZWxSN1Ribm1uVDBORVJIYnhuK2w2dFNiSG1GZVBLWWJGYnRQSFRxMlN4VzNUbzNwTWFQRHdTODdoWVBXMVRnM2ovdmlINVJ2eGE4ZEo4R1ZaRHRsU3JubjNmN0wxRVU2L2g3dldxN2RGdUZmOTV2dXd4aXRaTng1NW1sVFVsOGtPNU5jV3EybmRWaExZYm9XdmJzKzJxLytkVjZ0N1pwek0vYTFOZ0lxQ2NEWm1oSUdFMTVPNzFTbEpvcnFncDlUemRyNHJYRmF2aURjVjY5bjM3VmY3YUlwWDk1WVY1azVQL1ZxNUNaMFRSdDZWWW5td0pHWkplWXBybVN3S0J3SDFidG14NTNqQ01YMXF0MWgwdnZQQkM3R0VnUzhSVkVPclI3SG1tWHozUERTaTlLbFdHZmZvcEljNVppbUJkVGoySXppZDZkZm8vWng2RjlQeUhZMWZRcjNsN21VcHVqaDdLUE5IcDBlR3ZuRkw5OWpwbHI4K1FNOStod2hmbnF2T0pYcFhlWERocld4UHRuZ1FBSkJiQ2I0SUtlb01MOGtjMDZBdWwzMDJmV1MxYjJ0eXVkM0Z2UU4rZXdSbDdVanQrMzZPTzMvZkUzSGR4ajkzZ2tSSDV4d01xdWpIVWN4RHE0cjZ3ZjZJak5BeHY2bERVeWQ3WWk1ZFNjdVZIVjd5V0pIdTJQV3I3ZklxbFNOTEdPMVpGcmVzN2FmZHRoK1oxTFN5TitWYTduZnd5cGU2OWxRcDZnaEg3T3Y3UXE2NC85V256WGF0bnZFYmJJNkdlc1l2Zm13MzNySXZaRm5lblIvdnVqQnl4MFBURGM3STZMU3AvWGJHZWUvLytPYmUvK3E5S1ZUcWxtTStrcVJYTnAzdXZEaHdjanZwQzdJYjdHOVM3ZTFDZUFXOTRHTFFaTk9kOTd5UWp3ekJlSk9sRmdVRGdTMXUzYnQwWERBWjNHSWF4bzdHeDhlaFN0cU4rZTUyY2VRNE5IUjNSeWY4SS9VNCs4MERiak5NQ3J2NXF2ZFovckhiYTMyY0w0ZHB2YjRyYTF2cHdwMW9mN29xNUw5YjdmT2pvaU5LbUtTcFYvdW9pZVFkOE1vT2h2d1dEUjBiVStsQ24xdDIyTXFyM09CSHZTUUJBNGlEOEpxaUFPeUQvcUgvYU9WN0h2akczemdmZnNGK0cxVkI2VGVxY2wzZTQ1dDgyUmd3N1h2R1N2R2w3T1hkdWExVEY2NHRWOGZyb1h0eFl1bmYySy85RjJYSmsyOVh5bTA2Tk5JMXAzVzBydy90SG1zYmt6SFZFek8yYURDYXhoc2d0Rm92VEVyRW1NQkxiV011RWR2L1RJUlZjbDZ1cXZ5cWRkbTdneGFNWVVvcGRjc1lJQlFGM1FQYk1tUXU1RFo4WTFmREowY3RxZDl1ajNSbzRNS3pWSDZ5V0xkV3E2NyszZWM3blRnMmw3WTkxUi9UQVRmM1NhZXBjejRrT3QvWnNQeEt4ZjNLYkpHV3NURlBkZXlyRFh6NEZmVUhDNzBWTTA5eHNHTVptU1o5cmFHZzRhaGpHamtBZ3NHUGZ2bjM3RlY2c2JYRmtyOC9RNEtGaEhibnZ0SndGVGdVOUFXMjRZM1ZVaGVmZUZ3WjE0dHZOeXI4Nlc4NDhoNXlYVXdGNkRtSU5DNTc4Y21rdVE0Yk5nS25ELzlLa3NyOWNFZkhselNUWENxZlczMTU3NGZsY1ZnMGVHVkhISDNwVWVzdUZzSmxJOXlRQUlERVJmaE9VZDlDbmpObzByWHB2WkVWSy8xaEErKzgrcnBwM2xDbm5vblZuZTU0THpZdWFhcUxUTFdlZVkxN3JHczYxcU1oOCtVYjg2dHM5cUkxM3JKSWtwWmE2ZEhaSHU0WlBqb2FyaXZidkgxTFcyc2dLbzVOenh5d1hoVkYzcnpjaXBJZWZaOUFYTlF4N3ZrTXk5MzA2OW54aUpLYVVRcWN5VnFhcDQvRWU5VFVPcXVvdHBTcDZhWDdVMUlHTFJ6Rk1ONWQ0NU5UWXJFdkduSG1nVGJaVXEvempVK1k4R3FFaCs0MmZQQkl6QmhrV0kySklmLytlUVJWY2w2UDB5cFJwcHc3RVlzK3l5elpscUd2aERYbksyWmlwL3YzRE92UFR5R0dvbm41ZmVGaXNwejhVL0NlSE9rL2RKa21PTEp2eXI4NVJ3QjBNalJvNVAvdGk4aDVjYkEwTkRYRWZPMjJhODJyQ1d0TTA3N0JZTEhjME5EU2NsdlFyd3pCK3VXZlBuaGNrTGZnL1dzZmpQVHI5MDFhVnY2WklaYTlhb1NOZk82MzlkeDNYcXZkVkttZERwdnhqZmpYL3ZGMmRUL2FxOUpVclZQMVhwUXN5ZldheGpaMmJVTkFiVk9icXVWV1hUcTlKVlhaOXBsb2Y2VmJ4bnhlRXZ4aE5wSHZ5VWlYQ1BaQUlnc0dsK1owRFlQa2gvQ2FvaVE2UFVrdGRVVDFQa3hXVEhUblJRMzRkTWVZbWpUU05LYjB5TWFwT2R2eStSNW1yMHNKcjgrWTJaTW1aYTllNUJ6dFYvL0ZhRFIwZGthZlhxL3gzNUVTY0YvQUVaRmlNcUdGczAvVitOLytpWGMyL21MbTRWa3hUUG5JMDNMTk96cnpZNFdjdTg4ZXd0Q3hPaTJyZVhxYkM2M04xNHJ0bmRlcjc1OVR6ZEw5cTMxMnBsS0lMUStnblJ6RjBQZFUzN1ZEKzhUYTN4dHZkc3Jxc0N2cUNVWFBOSldsZy81QkdUbzFwNWQrVXErbEhvVnBJazRGeTg5MXJabTN2NUxIbHJ5dFdTckZUTDN4MGZrUHBweFlka2lSYm1sVzJOS3NjWjZPcmxjZXF6RHpkY09qdVovcWovbDJhZnR5aXBoOWZxUGRVdjcxdVhtMWRaa3pETUV3dFVnK3diOHl2bGR2S1ZYUlQ2TC85K245YXFlYWZ0K3Z3VjA0cGExVzZSczlPeUo1cDAvcC9xbFhPeHVuWHNaWVdwaDdFUWhrOE9pTERhaWl6TmkzbU91dXhWTHl1U0FjK2YwS2RUL1NxNU9iQ2hMc25zVEJNMDN3KzNtMEFrRndJdndrbzRBbHE5T3g0dUtycXBUTDlwZ1lPREt2eWpaZXg3dU1DR1RvMnF0YUh1MVQycWhYcWViWmYzaUcvdklNK1dSd1dEUjRhMW1qenVNNzl1bE91ZklkeU5rZCthQXQ0Z2hHOXZvYk5rS3ZRcVhVZnJWRnFXV1N3MzdtdE1XWXhxa05mUERuak1HWlBuMWNuL2wrenlsOGJHcjdkK0lucHE2QWljYVZYcDJyTDNXdDA5bGNkYXYzdlR1Mjk0NmlxYmkxUnlWOFV6cmtIck8xM29UV0ZQUU5lSGJyM2xOYmR0akpxNkdacWVZcEtiaTVVOXJxTThMWkxtUXMrMmZNOG55V3o1cnAyNzZUNURIc3V1Q1pIMmV0RDk5OW84N2lPM3Rla2RiZXRWRnBGYXNUeGk2V3hzVEh1L1pSYnQyN05OMDB6ZGhHRGFFZE0wOXdoYWNmZXZYc1BhSkdIUFU4V0NReTRneG81UGFiaFk2TWFPaklpbWFIZllVRmZVRUZ2VUwzUEQ4alQ2MVZxcVV1T0hMdnNtVFpaN0phSVlia0xVUTlpVXF6M3hPUVh0WE41dnd3ZEhsRjZkZXE4cHJaa3JrcFhlazJxMm43WHJlS1hGMXhSOStSTUV1RWVBSUJrUnZoTlFIMHZETWowbThwZW56SDd3Vk5jUEZ5disrbCtCU2FDVVpXUDQ4RTM1RlBRRjFUTFE1MXlaTm5reUhiSWtXTlgxdG9NdVh1OU92R2RzeHB2blZEZGV5cWpobWg3QjN3UjRjT1o1OUJWWDFrL3IrZXYvK2ZZdlZXKzBkQUh0TVpQSGxWS29UTThQSnFlM3l1WFlUTlU5ZVlTNVc3SzFQRi9QNk9CZzhPaDhEc0h3eWZIMVBWVW45S3JVclgrOWxvZHZPZWtEbjdoUktoZzBKUmlPYzVjaDJyZVZxYUp6c2dQOWhldnBUcWRxWUZ6dmd5TEVTNzhNeGZ6R2Zac2NWamt6QTBkTzdBL3RMM3ZoVUhsYnNvS2YzbXdtT0gzQ3JGWDBnNUp2MXFxZ2xkbTBGVHpmN1Zyb2lNMEtzSGQ0NUZNS2EwOFJUa2JNMVg3cmdxbDE2U0dwcGE4TUtpQlE4TTY5MkJIeERKRG1YV2g1ZDBtL3pzdVJEMklTVE85bDJkN253ZTlRUTBkRzFYWnErZGZLS3JrNVlVNjhaMW05VHpicjhJYjhxNllleElBRUQrRTN3UmpCa3kxL0xaTEdiVnBzLy9CTmtOekdLMHVpMlFZNm5sdUlQekJ4RGZpMTlrZDdlSGlVcGRxTHQ5b24zdXdJMnF1OFZSYjcxMm52SzNaZXRIWE40VGFjdEhuckx5cnNuWDA2NmVWdFNaZEsxNlNKLzlZUU8zLzB5MTdoazJCaVlDNi90U243TFZ6bXdzMlg3MjdRbXVhcnZpelBGVy9wVFJjTE1YaXRFVDhXN3E3UGJJNExPRVAvdk5kOXhGTEwzTjF1clo4ZnEzTWl5cUtUOGZkNjlXeGI1NldZVFZVKzdjVnNtZll0T0VUZFRyNGYwL280RDBudE9GVHF5S25GbHgwellMcmN6WFdNakduRDlCWC9VdTlDcTYvdEpFZEZxY2xjazdqTE9ZejdIbXF3VVBEc3FWYTFmVlVuMnpwTmxXL3RYUmU3VXd5dXd6RCtPWDVOWCtYZktrancyTElrV09YYjhTbm9odnpaRXUxS2YzOE9yaVRKci9ReU42WXFlenpRNTc5dzM3NXgvM3lqUWFVVVowYVdWbC9BZXBCT0xMdHlsaVpwazJmamE2S1B2bDNJVllQNnY2N2pvZi9MZzBjSEZiUUY0eFo2R282M2dHZjdGazI1VitibytiL2F0TkVaMmlWZ0N2bG5nUUF4QS9oTjhHNHV6M3k5SGhVL2RhYTJRODJwTk0vYlpWblNpOU8yYXRDMzU0SHZVRlpIQlpWdnVueWhqeHZ2WGZkWlowdlNhNENwd3liTWUweU5HZC8yUzVibWxXclAxQWRLazZTYWxYcmYzY3A2QTBOeTBzdGRhbnFMWXZ6d2J2a0x3cVV0U1o5eHQ1eDc0QlArKzg2SG42Y1VaT203UHFaNTlNaE1Vd05Cek1aUFR1dW8vZWRsbmZRcDFWL1Y2WDBxdEF3WDN1R1RmWGI2N1QvN3VNNjlNV1QydkRKVmRNV2hGdjkvaW9GL2FhdSttcDl4UGJkdHgxUy9mYTZpUFZKWFhrT3JYNS8xU1c5SmtlV1RaNyswRDN2Ry9LcDg4aytsYisyYU5yall3MTdmdkVQdG9TS1dWa05EUjRkMFpHdk5rV2M0eHZ4cTMvZnNDcGVYNlNnejlTNUJ6dmt5TEdyOUpWejYwRlBBcWFrcHd6RDJPSHorWDUxNE1DQm1SZXpYUUpULyszbk04eDIzVzByVlhCdFR0VDJoYWdIa1g5Tmp2S3ZpYjcyYkthRzVaR21NVG15N0VxZlpwbWpXRm9lNnRUQS9pRmQ5ZFY2YmYzU3VtbVhCVXpVZXhJQUVEK0Uzd1NUVXV6U3hqdFdLNzBtOWdjQmU3cE4xMzU3VTNqKzZ1YTcxaWd3RVpBWmxLd3BsbkRQbERQUG9TMmZYeHR6aU5wODI3UFkxbnlvV2tHZmVTRWNHOUwxLzdFNVBBUjVQc3RIclA1Z3RUSldwczM1ZUZlaE0ySk40ZlNxVkczNnpPcUkzdkswOGhSZDgyOGJaVmdrdzhZU1NFbkZsRm9lNmxETFExMHliSWJXZnFSR2VWc2p2d2h4Wk51MS9tTzFPdkM1NDJxNnYwVnJQbFE5N2VVc05pTm1sV2hucm4zVzZ0RnpsVkxrMGxoenFMQ1ZwOCtuMWtlNndoKzBCdzhOU3dyTms1L3BmVHAwYkRTaVJ6aTg3dlo1TFE5MVNrYW9pclFqMnk1UG4xZG5mdFlxWjU0alBPb2g2QTFHVklFT2VwTmoyS2ZiN1I1MnVWeWxlL2JzbVg0NFN3S1l5M0RlNlVKeUl0V0RxSHB6NmJ6bTVFdWgrYzJUZ1hlNjREc3AzdmNrQUNDeEVINFQwSFRCVjFLNFozU1NQY00yYlUvVTVRYmZwVEkxZkU1MUtXc214dXJobUE5cmlsVVp0UmVGWjJQeGxuL0MwblAzZU5YMlNLaW9WZi8rSVprQktXZFRwbXJlWGpidFBPL1VFcGZXL2VOS09YTG05MkY1TWVZQlp0U202ZXlPZG5rSGZKcm84b1Evd0xjLzFxMmU1d2FVVnBHaTB6OXBVZDNmVm1ycnZldmtLcmh3ZnpseTdGcno0UnBsclVuWGxpK3NsUmt3WlV1MVJ0eURROGRIMWZGNGowci9UMkg0UzZEYWQxWEkzZVZSMHcvUHFmWmRGWktrUFIrUGY1WGd4WEQ0OEdHdnBJUU92cGNya2VwQlNJcjRzbkh5OTc3L2ZEMkdLR1pvYWFTc2RaYzJGV1lwNzBrQVFPTGhFejJBWldPMGVWeUh2M0pLcmtLbmF2NjZYRWUvZmtIYWNpb0FBQjBoU1VSQlZGcjVWMmVyOFBwYytjY0NDbnJka2hINjhIMysvMlFHemRESUNwZFYvakcvSmdKbXhQSkpzUXdkSFpGaE1UUjJMdFFidEpCenhQT3Z6dGJaSGUwNjg3UFFTTnkweWxRTkhoblJtWisxcWZiZEZjcGFrNkVEZHgvWHdTK2VWUEhMQzJRR3pOQnlUVlpERnF1aHJGVnA4bzhIWkUrM0tlZzNaZnFER211WmtCa3daUWFrWS85NldxbGxMbFc4dmpqOG5JYlYwSnFQMUNqZ0NjcmRGWnBmdWZtdU5iSlBtUU05MGVHT09iOFlpMk5xSWJQNVdLaDZFSXZGVmVDUXhXYm83STUyK1ViOWtSV2dnNkU1d3A1K3IvSWE1aGZjbC9xZUJBQWtKc0l2Z0dYRm1ldFEvZTIxc3FaWWxiVTZYVzJQZHVuTUEyMmhpdVIrTTlRek5GM25rQkZhejNPMjhOdjJ1MjcxN3h1U0pCWGVrQnNSRWk5WFNyRkxSVGZscS9PUHZUSXNoalo4YXBVQ0V3SGxYNU1UWHVKcjgrZldxUFczbldyKytmblg1VFBEMHdpbVkzVlp0ZkpkNWJLNkxGcjMwWlZSNnh1SFJwbEl2a0dmVWt0ZGN1YmFJMTZYNlFzcXRkUVZzU3daRnMrbGZ0R3dVUFVnRm9zMXhhcmFkMWVxK2VkdDRmVjZwM0prMlZYeCt1SjU5MW92OVQwSkFFaE1oRjhBVjdSMXQ2MmNkcmp5eGRLclVyWHgwNnZDd1M2dElrV3IzbGNWODlod0NEWWt3ekJpemtsMDVqbFV2ejE2R2EyMUg2bFIwQitVWVRXaVF1UkNxUDJiQ2hWZUYvb0FQeG5FczlaY0dBYnF5TGFyNXEvTEZWRTJ6NVNDL21Db2h6ZDR2bWZia0dRWW9aOHRoaXcyUTNtYnMyYWNSNWxSbTZhR2U2SUw0YmxXT0dOdXg4S3Jlbk9KaW03S2x5MXQ1ai9oclE5M0tyVWtjbDd3UXRXRG1FM09oc3hMN2wwdGZISHVKYTl6bjBqM0pBQWc4UkIrQVZ6UjVyTkVpcVE1Zi9DZHl4SXdGb2NsNW5yY2hzMlExYmFJeTJFWm9hV2NMbTdMYk9kWTdCWnBsZzZ2MlFvSUlmN0tYalczWWtyVEhiY1U5U0F5YXRPaTZ5Y3NnVVM2SndFQWlZZnhhYmhzQVhkQTV4N3NrSGZBTjZmajJ4L3IxdEg3bWhUMHh4NkcyZlBzZ0E1LzVaUUNubURNL1FBQUFBQXdYL1Q4WWtabTBBd1h1TG5ZNURJYmZic0gxZkpRWjlSeUtiR01uaG5YbVFmYVZIcExvZnhqa2RVOHJVNkxaQmc2ODBDcjBpdFRGWEFIRkhBSHd2c3ROb3RzYWZSS0FRQUFBSmcvd2k5bTVCdnhhOC8ySXpIMzNYQi9nNlRRc2hrRjErUmNXS2QzR3A1ZXI0NSsvYlRNZ0tuV2g3dlUrbkJYeFA3aWx4ZElwdVFkOEtsL1lFalBmL2hneFA3czlSa3g1M0lCQUFBQXdHd0l2NWlSSThzZURybVR1cDdxMDhudm5wVWt1YnM5R2p3eUlwbFM5elA5TWE5Ui9wb2k1VitUb3lOZmE1STkyNll0bjErajFrZTZOZG84cmpVZnFwWXR6YXJSNW5GNWVyMDYvdTFtcmZxN0txVlhwdWpZTjgrby9wL3JFbkk1RGdBQUFBQlhGc0l2TGt2NzR6MUtyMHpWNmc5VVJXemYrNm1qS250MWtRcXV6WkV0M2FheGN4UEszWlNsNnJlV3l1S3dxT0oxUlRyKzdXWU5IUnRSM3Rac3RUelVxYkhtY1RWOGNaMWMrYUhLdlFYWDVXcms5TGp5R3VaWDBBZ0FBQUFBTGtiNHhTWHpqL3JWOVdTdkhMbU84UHhmU2ZLUEJSVDBtMHFyU0FsdnoxNmZvVVAzbmxUSEgzb2lydEczZXpEaThlN2JEazM3ZkJmM1FBTUFBQURBWEJGK2NjbGFIdXFVREVQdUxvK0N2bUI0Q1ptSlRyY2t5VlVRdmRaaDFWK1ZLbS9ML0hweSsvWU9xZm1CdHN0dk1BQUFBSUJsaS9DTFdlM2MxaGh6KzFpclcxVnZLZEhwbjdScXRIbGNtWFdoTlE3SFdpWmtXQTJsRkVlRzM2dzE2VXF2U0pFanh6SG41N2E2TEVydjk4VmN0eEVBQUFBQTVvcndpem1wdXJWRWVWZGxTd29OVlc3K1JidFdmNkJLdGpTck9wL28xZURoa1hENEhUNHhwdFJTVjdnbmVOS0dUNjZTR1REMTlMdjJ6dmw1YjdpL1FkbnJNd2kvQUFBQUFDNEw0UmR6WXMrMmgrZnZacTNMVVBITEMyVFBDTDE5c3VzejFiZDdVQld2SzVaTWFmRGdzQXF1eTVueGVxcy9XSzJDYTZjL1pxTERQZTBTU3dBQUFBQXdYNFJmekZ2R3lqUmxyRXdMUDg2L0tsdHRqM1JwOVBTNGZLTitlWWQ4eW4vUnpPSDMrTGZPNlBpM3ppeDJVd0VBQUFCQUV1RVhDeUNqTmsxcEZTazY5K3NPK2NjRFNpdFBVVVp0Mm96bjFMMm5NanlNT2haM3AwZjc3ankyMEUwRkFBQUFzRXhaWmo4RWlPUWQ4S25wUnkzeWp3ZkMyNnJlWEtyK2ZVTWFQakdxeWx0TEx2czVuSGwyYmZoRW5mempBWmtCODdLdkJ3QUFBR0I1bytjWGMrYnA5NnJ0a1c1MVB0RXJxOHVpMGxjV3lwWnFsUlNhb3l0Sk1xU2dKempydFU3K3gxbWQvSSt6YzNyZWRiZXRWTzdtK1MyUEJBQUFBQUJURVg0eG84RDVJTnYrYUxkT2ZmK2NiS2xXVmJ5K1dNV3ZLSkRWYVpGdnhLK21IN1dvOS9rQkZkNlFxNkFucUdQZk9xT1M4ejNBVnBjMTVuVm5LM2dsU1FGM1VNKytiOStDdnlZa2h1bVcwQUtXQys0QkFBQ1dGdUVYTXhvOVBTWkpjdmQ0VmY2YUlwWGVVaWlyeTZxQU82RFdoenZWK25DWGd0NmdxdDlXcHRKWEZzb01ta3A1c0VNdEQzV3E1N2tCbGR4Y3FCVXZ6Wk1qeXg1eFhkK1FUKzR1ejR6UEhmRE8zb09NSzQ5cG1rOGFobkZqdk51QnhHS2E1cFB4YnNOUzRSNUFMTXZwSGdDQWVDSDhZa1ladFdsYThaSThWYjY1SkJ4Z0p6bzkybi9uTWZuSEE4clptS21hZDVRcnBjZ3BTVElzaGlyZldLSzhobXcxL2JoRlozL1pMbWUrUTRYWDUwWmM5L1IvdHVyMGY3WXUrZXRCL08zZHUvZW1lTGNCaUNmdUFRQUE0b1B3aXhsWjdCYlZ2YmN5WWx0S2tWTlZieWxWYXBsTG1YWHBNYzlMcjA3VnBzK3MxbWp6dU5LclVzUGJEWXVoMGx0V3FQREZ1VXFyU0pueHVVMi9xYk8vYWxmS0N1Zmx2eEFBQUFBQXl4cmhGNWVrNktiOE9SMDNOZmhLa2d5cCtxMmxjenJYc0JtcWV2UGNqZ1VBQUFDQW1iRFVFUUFBQUFBZzZSRitBUUFBQUFCSmoySFBTNERsTEFBQUFBQWd2dWo1WFVRc1c0QlllRjhBQUFBQVM0K2UzMFhFY2hZaERRME5waVExTmpZYThXNExBQUFBZ09XSm5sOEFBQUFBUU5Jai9BSUFBQUFBa2g3aEZ3QUFBQUNROUFpL0FBQUFBSUNrUi9nRkFBQUFBQ1E5d2k4QUFBQUFJT2tSZmdFQUFBQUFTWS93Q3dBQUFBQkllb1JmQUFBQUFFRFNJL3dDQUFBQUFKSWU0UmNBQUFBQWtQUUl2d0FBQUFDQXBFZjRCUUFBQUFBa1BjSXZBQUFBQUNEcEVYNEJBQUFBQUVtUDhBc0FBQUFBU0hxRVh3QUFBQUJBMGlQOEFnQUFBQUNTSHVFWEFBQUFBSkQwQ0w4QUFBQUFnS1JIK0FVQUFBQUFKRDNDTHdBQUFBQWc2UkYrQVFBQUFBQkpqL0FMQUFBQUFFaDZoRjhBQUFBQVFOSWovQUlBQUFBQWtoN2hGd0FBQUFDUTlBaS9BQUFBQUlDa1IvZ0ZBQUFBQUNROXdpOEFBQUFBSU9rUmZnRUFBQUFBU1kvd0N3QUFBQUJJZW9SZkFBQUFBRURTSS93Q0FBQUFBSkllNFJjQUFBQUFrUFFJdndBQUFBQ0FwRWY0QlFBQUFBQWtQY0l2QUFBQUFDRHBFWDRCQUFBQUFFbVA4QXNBQUFBQVNIcUVYd0FBQUFCQTBpUDhBZ0FBQUFDU0h1RVhBQUFBQUpEMENMOEFBQUFBZ0tSSCtBVUFBQUFBSkQzQ0x3QUFBQUFnNlJGK0FRQUFBQUJKai9BTEFBQUFBRWg2aEY4QUFBQUFRTklqL0FJQUFBQUFraDdoRndBQUFBQ1E5QWkvQUFBQUFJQ2tSL2dGQUFBQUFDUTl3aThBQUFBQUlPblo0dDBBSkpjdFc3YVVHSWJ4dmxqN0dob2E3cHo2MkRUTjcremR1N2Q5U1JvR0FBQUFZRmtqL0dKQmViM2VYcWZUK1JGSk9URjJmM2JLendNV2krVUxTOVFzQUFBQUFNc2N3NTZ4b0E0ZlB1dzFUZk9oT1J6Nm16MTc5dmdXdlVFQUFBQUFJTUl2Rm9GaEdEdm1jTmhjamdFQUFBQ0FCVUg0eFlMTHpNeDhYTkxvREllTURBOFBQNzVVN1FFQUFBQUF3aThXM0pOUFB1bVc5UEIwK3czRGVQalVxVk9lSld3U0FBQUFnR1dPOEl0Rllacm10TU9hZzhFZ1E1NEJBQUFBTENuQ0x4WkZJQkQ0bmFTSkdMc21Bb0hBbzB2ZEhnQUFBQURMRytFWGkrTEFnUU5qa21LRjNOK2Qzd2NBQUFBQVM0YndpOFVVTmJ4NWpwV2dBUUFBQUdCQkVYNnhhQXpEZUZqUzFMVjh2VGFiYmRwQ1dBQUFBQUN3V0FpL1dEUjc5dXdaTWsxejZwSkdqKy9hdFdzNGJnMENBQUFBc0d3UmZySFlka3p6TXdBQUFBQXNHY0l2RnBYZGJ2L041TTgybSsyaGVMWUZBQUFBd1BKRitNV2lldjc1NS9zay9kNDB6Y2ZQL3d3QUFBQUFTODRXN3dZZytabW11Y013RERQZTdRQUFBQUN3ZkJGK3NlZ2NEc2VEOFc0REFBQUFnT1dOOEl0RnQydlhycTU0dHdFQUFBREE4c2FjWHdBQUFBQkEwaVA4QWdBQUFBQ1NIdUVYQUFBQUFKRDBDTDhBQUFBQWdLUkgrQVVBQUFBQUpEM0NMd0FBQUFBZzZSRitBUUFBQUFCSmovQUxBQUFBQUVoNmhGOEFBQUFBUU5Jai9BSUFBQUFBa3A0dDNnMUlGbHUyYk5sbEdNYUw0dDBPSkJiVE5KL2N1M2Z2VGZGdUJ3QUFBTERjMGZPN1FBaStpTVV3akJ2ajNRWUFBQUFBOVB3dXVCdnViNGgzRTVBZ2RtNXJqSGNUQUFBQUFKeEh6eThBQUFBQUlPa1JmZ0VBQUFBQVNZL3dDd0FBQUFCSWVvUmZYREhNZ0prVXp3RUFBQUJnNlJGK2s1UnYySyt4bGduSmxOeTkzaG4vZDNIZ0d6ZzRyTDEzSEozeCtzOTk4SUM2ZC9aZFV0dTZuK25Yem0yTkNyaURrcVNXaHpvMWVtWjh4bk9Ham8xcTE0Y1BhbUQvMENVOTUxUTd0elZxb3NNZHRkMC82dGR6SDlnZmN4OEFBQUNBS3h2Vm51T3M4OGxlS1hocDV4YTlMRitTNU9uMXF2dnBQbm42ZkhMM2VqWGVPaUh2b0U4cFJVNXR2bnV0ZHQ5MmFNYnJiTDEzblZLS1hlSEgvckdBeHM1TnpIaU9mOVN2b1BmeWUwa0RucUNHVDQ3cDNJTWRxbmhka2NwZlV5d1owY2VsVjZmS3NCbzY5WU56MnZybDliTFlMM3h2MC9QY2dJNS82MHpVT1liRjBJdC91RVhQdlgrLy9PT0JpSDE3dGgrSmVIekQvUTBhT0RBc1I0NGo0dDhDQUFBQVFISWcvTWJaNmZ0YkZQUmZXb2ljREwrRzFkRFFzVkc1VmpnMWVHaFlkZSt0VlBiYUREbnpIQXA0UXNsNjdUL1VLR2RqWnRRMW5ubjN2bG1meHd5YVVvd21tcVlaMVd0c1dHTWsxeGxZblJhdHYyMmxXaC91VlBNdjIyWFBzSWRmbDM4OElOK1FMM3hzM3RZcytVZjg4dlI2WTE1cjY3M3J3aitmL1dXNytocER2Y1JYZmJVKzRyam4zcjlmbSs5Y0kxZVJNMko3ejNNRG11aHd4MXlpYU5OblZpdWpObTFlcncwQUFBQkE0aUQ4eHRuMTM5OHk3YjZkMnhwVmVzc0tWYisxZE1ack9ITHNxdDllSjBucS9HT3ZNbXZUNU14M1JCeGpXSTJJM3RKWVBIMWVCYjFCZVFkRGdYTnkrTytKNzV6VlNOTlkxUEZOUDJwUjA0OWFJclpkMGpySGhsVDI2aUpsMTJjcXZTbzF2TGx2ejZCT2Z2ZHMxT0c5THd4R1BGNzl3V3BKQ3ZmWUJ0d0JEUndjVWM2R1VOaTNwVnIxOUR2M1JweXovKzdqRVkrM2ZubTkrdmNQcWZxdHBjcTdPa2VTMVByYlR2VThPNkROZDYrSit2Y0VBQUFBY0dVaC9DTHN4UDlyMXRDeDBmRGp5YUhCVjkrM1FhWXZjbXoyN3RzUHEvS054U3E0TmpmbXRXTDFubDdzMmZkTjMrdWN2VDVEOWR2cjVNaTB5ZDN0VmZFckNpTDJuL2xwcTlKcjBsUndiWTU2bmh1STJOZjFwejRGM0FHVnY2NG92TTBNbXJycXkrdmxXdUhVem0yTmFyaG5yVktLWFhKM2ViVDc5c05xL1cybmNqZG5hZmo0cUVwdldTRkpHajR4cXNJYmNwVnlVUTh4QUFBQWdDc1A0VGNKdEQzU3BUTVB0SVVmVDUzUGV0MTNOa3VTam55MWFkYnJiUGprS2trWDV0RE8xb3RyejdETHRTSjJNSnc2QkhtcW9hT2pPdlhEYzZIenMremFzTDAyNWxCcGl6UFVTMjF4V05UMGt4YlpNbXdxdURiVUk5dS9kMGh0ajNhci91TzFVZWVaUVZQdGozVXJiMnUyTW1ybVBrelpOK0xYNmc5V3EvRVRSelRXTWlIZmtFL2VRWi9LWDFzMCs4a0FBQUFBRWg3aE53bXNlR21lY3Jka3FXL3ZrSm9mYU5QNmo5WEtWUkFhcG10WUpHZStRNVZ2S0ZIR3l0U29jdzk5K2RTczgzVDlZMzRGUE5HVGZ2M2pmbm42TDh6SmRlYmF3ei9IS2hwbEJrd2QvZGZUU3E5SjFlanBjVG15YkJvK09hYWltL0tuZmU2c3RSa3FlVVdoaG82T3FPRGFIUG1HZkRyNXZiTXFma1dCc3V1ajV6RDNQajhvVDc5UDYyK1BIQ3FlVnBHaXhrOGRWZkI4RC9hZTdVZGtXQXdaTmtOcEZTbGE4L2ZWTXF5R1ZyMjNVaWUvZTFZQmQwQ3IvcTVLaml4NzFITUFBQUFBdVBJUWZwT0FMYzBtVzVwTjdzZTZKVW11Z2dzVmk3MURQbTM2N09wcHo1M2NaL3BOR2JiSUVCejBCalYwYkZSZC85c2JOYzlXa3BwLzNxN21uN2VISDgvV1U5eitlSS84NHdGVjNGeW9VNmZQcWZ5MXhUcjFnM1BLdXlwYjlvem90K0xGUTZjN24rZ04vOXp4ZUk4Nkh1K1JKTlcrc3lLODNUZnNrMHhwNk5oSXhIRGxMWjlmcThIREkrcmZONlQyeDdybHlMSExtZWRReGV1THczT0RUYitwL3IxREdtMGVsNHpRRWt3V202SHM5Wmt4SzFBREFBQUF1SElRZnBQSTRNRmhTVkxiNzdxVjI1Q2wzTTFaZXY3REIrZDA3b1pQMUNscmJZWjhJLzd3bXJ1N1BuUkFGb2RGVjk5WHIvd1hEZW5ZdDg1bzY3M3I1Y2lPN0EwOStkMW1lUVo4c1M0Yk5ucDJYR2QvM3FhVjc2d0loK3ljRFpsS3IwaFIwNDlhdE9idnE2UE9tVzdvZE5TMW15K3NFVnp5RjRXU0taMzZ3VGs1Y3gzSzJaaXBzWllKdGZ5NlE1SzArZ1BWYW4rc1czWHZxVlRmbmtFZCtXcVQ4aHF5VkhCOXJzNytvbDBUM1I3VnZhZFNqbXk3VHYzZ25BNTk2WlJjK1E2dHY3MldKWkFBQUFDQUt4amhOMG1NTm8vTDRyUktrc2JiM2VwK3BsOGJQbG1uYTcrOUtlSzRyai8xNmN4UFc2TzJXNTBXSGJ6bnBJYU9qWVNYTmFyNTYzTGxiYzJTeFc1Ujd0WnMyVktzNm50aFFHV3Z2akFQMWp2a1UvKytZZFcrcTBMVENVd0VkT3liWjVTeE1rMHJYcEtuN21mN3cvdHF0cFZyN3gxSDFmR0hIaFgvZVdSUnE3bUd6ZEd6a1dzU2w5eGNxT0ZUWTJxNnYwWDFINnZWM2p1T3F1d3ZpMVIxYTBtNEI5ZVY3MUR0T3l0VWVuT2hmTU4rdGZ5MlU0Yk4wS2JQckE1WG5ONzZwWFhxK2xPZlJzK01FM3dCQUFDQUt4emhOMGwwUGRXbnZLM1pHbStkME1xL0tWZlREMXQwOUd1bnRmVXI2MlYxWGxqaXlPb0kvV3hMdFVaZEk3WFVwY0liY2hYMEJ0WDBveGF0K0xPODhENkx6VkRSeXdyVTltaTNpbDllSUd0SzZQeHp2K3FRSTlldWd1dHlZcllyNkRkMTlCdG41QnYycS83amRWSERoMU5MWEtwOFE3Rk8vNlJWcmdKbjFGckVzMVdObm02b2Rka3RLN1R2em1QeVR3UzArYTQxY3VUWTVlNExyUSs4OWQ1MU1td1d1WHU5TXV3V09mSkNjNkp0NlZiSllzZzlaUjNobkUxWlVhRWNBQUFBd0pXSDhKc0UvT01COVR6ZHI4MTNyVkhMYnpwa3NSbGErNUZxRFJ3ZWtSa3d3K3YxU3FHZVdra1IyNlJRTCt2S2JlV1NGTFYwMEtUU1d3clYrV1N2enZ5c1RiVi9XNkdCQThQcWZMSlg2LzV4WmN5aVdXYkExTEZ2bnRiZzRXR3QvWEJOdUFqWHhjcitza2hEeDBaMTlGOVBhKzFIYXFJQzhOUUNYcFBjUFY0ZC9zcXBhZjlOWE9mbiszb0dmTXByeU5LQno1M1E4TW5SYVkrZnlTV3RYUXdBQUFBZ29SQitrMERINzN1VXVTbzlZdGtoZTVaZGhkZm5xdlBKWHAzNi9ybW9jNll1aHlUTkxlRFpNMnhhK2RkbE92N3Z6Yks2TE9yODN6NFZ2NnhBdVp1em9vNE51SU02L3EwejZ0ODNwS3BiUzVSM1ZmYjBGemFrMVIrczFzRXZuTkNScnpXcCttMWxLcG15cnUvVUFsNXo1ZTd5aE5xY0h1cWgzdmpwMERKT0F3ZUdsYms2UGFJM2ZPZTJSbTI5ZHgxRG13RUFBSUFrUnZoTkFyR0dDMDhxdWpGZlJUZGVXRXFvODQrOU92WERjNWZjbTFsd1hhNTZuaDFRMjZQZGNxMXdxdVlkWlZISGVIcTlPdksxSm8yMVRLanNWU3NpNWdoUHg1WnFWZjMyT2gyNjk2Uk8vN2hGQS91SHRQWWZhdWJWdHJaSHVqUnlabHhXbDBXREIwZmt5TEZIcmZWNytDdW5ZZ2JkaTc4TWtDUmJ1azNYZm12anZOb0FBQUFBSURFUmZ1Tm84UHl3NUpsNGVqMGFPREE4N2Y2Y2pablR6cmRkYUo1ZXI4NzhyRlg5KzRlVXZUNURnMGRHZFBoZm1yUnlXM25Fc2tMZVFaL0cyOTJxZkdPeHlsOWJQT2ZyMnpOdDJ2Q3BWVHIyelROS0tYTEpZZy8xenJwN3ZGSEh4dHBtejdacm90MnRvTjlVZW5XcUt0OVlITFY4MDNUcXQ5ZEY5SnhMb1RXU0FRQUFBQ1FId204Y0hiMnZTUUZQY01aamVsOFlqTG5HN3FTWmVuRGJIdW5TbVFmYVl1NkxWVWlxL3AvckZQUUcxYjl2U0JiSGhlUTMxaktoanNkNzFMMnpUODRDcCtvL1hxZnM5UmthT0RDc2s5ODdxOFpQSEZIZVZka3F1akZmV1d2VGxWR2Jwb2IvdS9hU2hoSGJVcTJxdjcxV1p2RENsd0l6emUyZHF2RDZYQlZlbnh1MWZXb0JLMG55OVB0azJHZFB0bWJ3d3JuT2JQdWNnelFBQUFDQXhFUDRqYU9ydjFZdmMrYU8zOHV5NHFWNXl0MFNQUjkzT20yUGRhdnpqNzJTcE5KYlZraVNPaDd2VWRPUFcrVE1jNmo2N1dVcXVqRS9YTndxWjJPbXRuNXhuVm9lN2xMSDQ5MGFiUjdYNWp2WHlKWm12Yno1czRZaUNtakZHcVk4MGVHT09WUTVsdDIzSFlwNGZPamVrMUhIeE5vMjFlYTcxaWk5T25WT3p3Y0FBQUFnOGRDVnRVQWFHaHBNS2Y2VmdiMURQdGt6YkRJczgvOVBHM0FIRlpnSXlKcGlsZFVWNmhrTmVvTWFPRGlzM00xWk1TczZUL0tQQlJTWUNNaVpIN3VpODFTZVhxK0dUNDBwLytyc0dhOHBoUXBYT2ZNZFVjZVpBVk9lQVo5YytRNzVSdnlhNkhBcmMxWDZIRjdsMHBuc1hXOXNiT1ErQXdBZ0RyWnMyZkltd3pCK0lXbEhZMlBqbStMZEhnRHhSYzl2a25GazJTLzVYS3ZMRWc2OWt5d09pL0syemxDcCtUeGJtbFcydE9pMWcyTng1anRVTUllUUxDbHFIdTRrdzJySWRmNGE5Z3liN0JtSkZYeW5hbWhvK0dXODJ3QUF3REwxeG5nM0FFRGlJUHdDaTQ4L3ZBQUF4TmYwMVVNQkxCdUVYMkNSbWFaNWE3emJBQURBTW1hNlhLNG40dDBJQVBGSCtBVVcyZDY5ZXhuMkRBQUFBTVFaSzVrQ0FBQUFBSkllNFJjTEx1QU82TnlESGZJTytPTGRGQUFBQUFDUXhMQm56Sk1aTk9YdThzVGNON2tXYjkvdVFiVTgxS21pRy9PWHNta0FBQUFBTUMzQ0wrYkZOK0xYbnUxSFl1NmJYT080KytsK0ZWeVRJMGZPcFMrN0JBQUFBQUFMaWZDTGVYRmsyY01oZDFMWFUzMDYrZDJ6a2lSM3QwZURSMFlrVStwK3BqL21OY3BmVTZUS041VXNlbHNCQUFBQVlCTGhGd3VxL2ZFZXBWZW1hdlVIcWlLMjcvM1VVWlc5dWtnRjErYklsczdiRGdBQUFNRFNJb1Znd2ZoSC9lcDZzbGVPWEVkNC9xOGsrY2NDQ3ZwTnBWV2tSR3dIQUFBQWdLVkN0V2NzbUphSE9pWERrTHZMbzZBdkdONCswZW1XSkxrS25QRnFHZ0FBQUlCbGpwNWZ6TnZPYlkweHQ0KzF1bFgxbGhLZC9rbXJScHZIbFZtWEh0cmVNaUhEYWlpbG1QQUxBQUFBSUQ0SXY3Z2tWYmVXS08rcWJFbWhwWTJhZjlHdTFSK29raTNOcXM0bmVqVjRlQ1FjZm9kUGpDbTExQ1dMbllFR0FBQUFBT0tETklKTFlzKzJLNlhZcFpSaWw3TFdaYWo0NVFXeVo5aGtXQXhsMTJlcWIvZGc2RUJUR2p3NHJPeDFHZkZ0TUFBQUFJQmxqWjVmWExhTWxXbktXSmtXZnB4L1ZiYmFIdW5TNk9seCtVYjk4Zzc1bFAraW5EaTJFQUFBQU1CeVIvakZnc3VvVFZOYVJZck8vYnBEL3ZHQTBzcFRsRkdiTnZ1SkFBQUFBTEJJR1BhTXkrWWQ4S25wUnkzeWp3ZkMyNnJlWEtyK2ZVTWFQakdxeWx0TDR0ZzZBQUFBQUtEbkY1ZkIwKzlWMnlQZDZueWlWMWFYUmFXdkxKUXQxU3BKbXVnSUxXOGtRd3A2Z2pOY0JRQUFBQUFXSCtFWDh4STRIMlRiSCszV3FlK2ZreTNWcW9yWEY2djRGUVd5T2kzeWpmalY5S01XOVQ0L29NSWJjaFgwQkhYc1cyZFVjcjRIMk9xeXh2a1ZBQUFBQUZpT0NMK1lsOUhUWTVJa2Q0OVg1YThwVXVrdGhiSzZyQXE0QTJwOXVGT3REM2NwNkEycSttMWxLbjFsb2N5Z3FaUUhPOVR5VUtkNm5odFF5YzJGV3ZIU1BEbXk3SEYrSlFBQUFBQ1dFOEl2NWlXak5rMHJYcEtueWplWGhBUHNSS2RIKys4OEp2OTRRRGtiTTFYempuS2xGRGtsU1liRlVPVWJTNVRYa0sybUg3Zm83Qy9iNWN4M3FQRDYzSGkrREFBQUFBRExET0VYODJLeFcxVDMzc3FJYlNsRlRsVzlwVlNwWlM1bDFxWEhQQys5T2xXYlByTmFvODNqU3E5S1hZcW1BZ0FBQUVBWTRSY0xvdWltL0RrZFIvQUZBQUFBRUE4c2RRUUFBQUFBU0hxRVh3QUFBQUJBMG1QWTh3TGJ1YTB4M2swQUFBQUFBRnlFbnQ4Rllwcm1rL0Z1QXhJUDd3c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pMWC93Y0l3dy92dHhxbkFBQUFBQUJKUlU1RXJrSmdnZz09IiwKICAgIlR5cGUiIDogImZsb3ciLAogICAiVmVyc2lvbiIgOiAiIgp9Cg=="/>
    </extobj>
    <extobj name="ECB019B1-382A-4266-B25C-5B523AA43C14-4">
      <extobjdata type="ECB019B1-382A-4266-B25C-5B523AA43C14" data="ewogICAiRmlsZUlkIiA6ICI3NzMzMzI5MjUwNyIsCiAgICJHcm91cElkIiA6ICI1MTU4OTQ4ODgiLAogICAiSW1hZ2UiIDogImlWQk9SdzBLR2dvQUFBQU5TVWhFVWdBQUF1Z0FBQU12Q0FZQUFBQ0F3Q1VvQUFBQUNYQklXWE1BQUFzVEFBQUxFd0VBbXB3WUFBQWdBRWxFUVZSNG5PemRlWHdjOVgwLy90Zk1ubHF0VnZkOW41WWwrZERhbkNhTlEzTW5KU0ZBYUpLV2hGQVNraWEvRWpBUWdrTUNkVW9oRk5vdlRTRkpDd2s1bWdRY1VxQ1FRQkpjd0ltTkxjbTNiRXVXWlYycisxZ2RlOC84L2hocHJkVWVXa2tyN1VoNlBSOFBIZzkyWjNmMnMvTHM3bnZlOC82OFB3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lJ6QW54SGdBUjBXcFFYMTkvVUJDRVMrTTlEbElYV1piM05UVTF2U2ZlNDFBYmZsNG9GSDVlb2lmR2V3QkVSS3NCZ3cwS1JSQ0VuZkVlZ3hyeDgwS2g4UE1TUFcyOEIwQkV0SnBjOWF3MTNrTWdsWGo3cHNaNEQwSDErSG1oR2Z5OExBd3o2RVJFUkVSRUtzSUFuWWlJaUloSVJSaWdFeEVSRVJHcENBTjBJaUlpSWlJVllZQk9SRVJFUktRaUROQ0ppSWlJaUZTRUFUb1JFUkVSa1lvd1FDY2lJaUlpVWhFRzZFUkVSRVJFS3NJQW5ZaUlpSWhJUlJpZ0V4RVJFUkdwQ0FOMElpSWlJaUlWWVlCT1JFUkVSS1FpRE5DSmlJaUlpRlNFQVRvUkVSRVJrWW93UUNjaUlqL1pKOE01NlBiZmx0eFNIRWRERkdpMUg1L3VFVTlNOWlOTGNrejJRK3JGQUoySWFKM3hUdm5nc0RreGN0eU9vY09qQWR1Y0EyNGN2dU1FSUN2QlQ4UGRwOUQ2VEFmY285RUZGcEpId3RzM05RWUVVVVFMc1ZxT3o5UGZPNC9lTndhamZ2eFF3eWdPMzNrQ2c0ZEc1My93UEk3dE9ZdXpUN1dIM0RiVjVjRGJOelZpNUpoOXdmdVZmZks4LzlISzBNWjdBRVJFdERMYWZ0WUYyKzhIQW41a0RXbDZwRzlQOGQvMlRuaWhOV2tBQVJEMUlqYmZYNFcybjNUQk9lQ0NQa1VIUUFtTXZBNWZ5TmVRUGNxK3ZYWXYzRG9oN0ZqMHlicFl2Q1ZhUTFiYjhUbDRjQVFhbzRpYzkyUkU5ZjdTdGlZanVkYUNNOTg3RCtudmltR3BOaXNuRy9PbytGd1JjcTYrK0JxU1c4TEUrU21rMUNSRjlib0JaTURSNnd5N3VlR2VVL1B1WXZ0amRUQm02QmYrMnJRZ0ROQ0phRjNZdkhsendZWU5HMnpQUGZkYzZGL3VkU0Q3TDlLUlhHMkc1Skp3NXFsMlhQR0RMZEFZTlRodzIxRjRwd0wvTEcvZjFCaHdlNmhCeWZwZDlhd1ZBd2RIMFBMREN4RmY2OGkzVDBmY2Z0V3oxa1c4QTRxVit2cjY0cWFtcHNqL2lDdHNyUitmZ2tiQXhxK1c0dmhETFFBQVE2b08yeDZ1aWZpY1VBSHorTGxKeUQ0WlNSV0pDeDZEenlXRkRjSm54ckw5dTdVQUFPZVFHeWYrdVFYYkhxNkJJQXFRdkRJYTc1MC9nS2ZZWUlCT1JPdUNWcXZkM2RyYSt2RnQyN2E5SUVuUzN1VGs1SDM3OXUzenhudGNLeW14TUFHSmhRbHcySlFNbXNhb0FRQmM4bStiQUJtWTZuYmd4Q090S1AxVVBzd2xKaHk1L3pTdStNRlcvL083WHU2RjVKV1JkVVVhMHJlbEJPemJPK1ZENjlNZGtGdysyRnNtWVM0eFFkU0xxTGk1Q1BwVVpzdlZSaENFOXZyNituY0VRZGdyQ01MZWhvYUdjL0VlMDFvK1B1MW5KbUI3WXhCVnR4Wmo4KzRxQ0JvbGU1K1FhMXp3dm9hYnhnQUFPclBXLzdjQ2xML1hmTzlGWXhUOUp4OXYzOVNJYlEvWCtNY3dzeTlqdGlIZ09jWXNBd1NOQU1tenV1cjlWenZXb0JQUnVpRUlRcllzeTdjSmd2RDYyTmhZbjlWcWZYcmJ0bTBmcWFpb01Nei83TFZMRUFEYkh3ZHc0dUVXWlA5Rk9uSjJaa0Nib0FSSFBvY1BHcU1JbjlPSG50ZjZJUWlBb0JXZ05XbVUveEkwR0c0YXc3RUh6OENRcGtQTm5SVUFnQTFmTG9VcHo0aWpENXhCOXl0OWdJeUx6ekZwNHZsMmFab2dDSmNDZUZpVzVWYXIxWHBrMjdadDM2eXZyNCtjMG8yRHRYQjhPdnBkR1BqVE1HUko5Z2ZuaXpVMEhhQWZmZkFNR3U0NTVmK3Y3YWVkc1JncUhEWW5IRFlubkFNdTVYYXZTN212MXhXVC9WTjBtRUVub25WSkVJUTBBRGZMc255enhXS3gxOWZYdnp5ZFRmeHRRMFBEVkx6SHR4eWFkamRqc3NQaHZ6MVRKcEQ5cm5UWVd5WlE5Y1VTZitiUmtLRkg4Z1l6M3JuOU9DQURvbFpBL29lei9jR0Z6eWxoNE0vRDZQNXRQM3dPSDhyK3RoQVpsNlQ0czJ5Q1ZrREY1NHVRVXBlRWN6L3BRdmR2KzVGeFNRcXlkcVFodVRvSmduWnBRUXJGM0JaWmxyY0lndkNnMVdvOURXQ3ZLSXA3RHg4K2ZBVEFpc3dNWEkzSHA3UGZqZjQvRFlmY3BqVnBrTFkxZWRGL2oxREd6MDNDMmVkQzVhM0Z5SDVYdXYvK3B2dWFvWnRUTnovZU9vbUo5aWtVZkNSN1FTY0ZjMHRnV05ZU0h3elFpWWdBaXlBSW53YndhVm1XcDZ4VzY2dXlMTy9WNi9YL2UvRGd3WVczUWxDcGpiZVhRL1pJc1AxeEVEMi82L2ZYbkdwTkd0amVHRVRxRmlXWThEa2xlQ2U5S1AxTUFUeDJMMXpEYnFUVVdxQTFpWkM5TWxxZjZjRGdPeU9RUERMU0wwbEJ3WWV5b1VrUTRiQTVJVXRBNFRVNThFNTQ0ZkJJU0N4TVFNM3RaZWgrdFI5RERhUG8zejhNclVtRGJRL1hCQVVVcEJyVkFPNlRKT20rYmR1Mm5aZGxlUytBdlkyTmplOEFXTFk2aDlWNGZJNDFqMk9zZVR6a05sTytNZVlCZXQvL0RmbjM3U2NEamo1WHdFUlNBSmhvbjhMSWNUdUdHOGRRZFZzSkVuS2l1MUE0VXdMajdIUGg4RjBuc2VPWmVuK0p5NTl1T1JLYk4wTHpXdFVCZW4xOS9jSHBTM1JFUkxGaUFuQ2RJQWpYZVR3ZVdLM1dsd0hzamZlZ1ltR204OEpFMjZSeWU3cTIxTm5uUXNldmJlaCtwUitTVy9LWENPaVN0TkFsNjZCUDFrS2pGOUgyMzkyNDdJbE5TTE1tdzF4bWdxQVIwUHAwQndZUGpnUzlWdWVMdlVIM1dSK3FnWGZLQi9lSWUwMEY1MWFyZGMzMm5wTmx1UlRBTGdDN3JGWnJ0eUFJdjVZazZmbUtpb3I5c1o1d3ZScVB6NnlyMGxGK1UySEliVUtNaTRnOTQxNE0vRm5KMW8rZG5rQlNtVEpKZE9MQ0ZDUzM1TDg5SS9lOW1TaThKZ2VuLy8wOGp0emZqSXFiaTVCNVJSb08zWEVDcnVrMmt6UFpjbU9XQWJWM2xzZDJ3TFFrcXpwQVozQk9SQ3RBRmdSQmx1VzFFWU01YkU3WVc1UUE2TWo5cDFIeCtTSVkwdlFRUkFGMTkxVEFYR0lLdmh3dUEzMXZEdmt6Y0RObEJnTUhsTUFubW80WGI5L1VDRUVFTEpXSkFCYmVmWUxpVHhBRVdaSWtXUkNFWmZzd3JMYmpVOUFvRXk5WFF2ZXIvY3BWQVdzeWhnNlBvdUREMlFDQTBlTjI2SkswTUplWWdwNlRWSkdJK2ozVk9QMGY3VGp6WkRzMEJnMDJmYjBTc2s5R3d6Mm5VTHVyQXNaTVBRU040Rzl2T2JkRHp2NmJtNWIvelZHUVZSMmd6MmhzYkdReEl4RkZaTFZhbndMd3hTZ2VPaVVJd2l1U0pPMDFtVXovdTMvLy92SHA1LzlvV1FlNFFucCtQd0J6aVFrVDdWTkkzWnFNTTArMm8zN1BSbVJlbVlxakQ1NEpXMjJzVGRTZzZvc2xJYmZON2lTeEhxM0czNkFGWlAzYkFNeDBlam1FNlJLWHhzYkd5TTlhSkI2ZjRjbVNqS3dkYWNqZW1ZNWplODdDWVhNaUlkZUl2cmVHbEY3eFlZNUNyVm1MMmwzbDZOczNoTFQ2NUlESEdUUDFRVjFjWmtxTFhFTnVuSGlrRmRhSGFpQ0lnT1NWMFhSZjg3SytSN3BvVFFUb1JFUkxaQWZ3RXBSQTVIZHJkWktvYTlpRHZuMURxTGlsQ0dlZmFrZnhKM0l4MWVtQWQ5S0x5bHVLVWZHNUlramUwQkdReGlDR25XZ1d6ZUltdEtvMEM0S3cxK2Z6N1QxeTVNaFJyTkFrVVI2ZmtaWGVtQS92cEJkYXN4WUpPVVowdjlxUDFDMFdPSHBkcVA1S1djVG5DcUlRVktNK1YwS3UwVjl2UHZNY0FFaklNZmp2bTcyZGxoY0RkQ0phcjRZQS9JOG9pbnRIUjBmLzBOcmF1dVo3aUozL2VSZFNhcE9RVktwY0NoYzBBbXJ1VU9wTzUxN1dEbVYyeitUWm9pMGhJUFVTQk9HSUpFbDdCVUhZMjlqWUdKYzBLWS9QZVFoS05oeFFKcnEyL1BBQ1JvN1prVmFmak1TaWhDWHZmdTZWQnRlUVVxZnU2SFVGMU5NYjB2VVE5ZXpTdmR3WW9CUFJ1aUhMOHFBb2lzOUxrdlI4Y25MeS82Mm5oWW9rcnd4N3l3UTIzVnNGaEttbkR4ZmdBSkVEbUxWU1FyRGV5TEw4amlBSXp3dUM4T3Q0TDFURTQzTmhzcTVNUStlTHZYRFluS2orU3VtUzkrZHpobDloZEc2YnhicDdLcEZTbTdUazE2VElHS0FUMGJyZzlYcjNhTFZhUVpLa2EwVlJ4TmpZbUxCejU4NTFzNXFvcUJXdzVmNE5NS1Ryd3dZc2pmY3VMbkc2VmtvSTFoTlpsa3VhbXBvdXhIc2NNM2g4THN4UTB4Z2N2VTZJZWhGdFArOUM3WjNsMENZdVBLVHJmS2tYVTUxT3VPMmVvQ3NOYzlzczBzcGlnRTVFNjhLeFk4ZTZyRmFyUEdzMTBkdkd4c2FHclZici93aUNzSGRzYk96M2E3M014WkN1ajdqZCt0REdCV1VvelNVbWxIMm1BSGtmeUpyM3RXMnZENnlwMW9xcm5acUM4eGxxT3o1bFNZWnIyQlB4ZVQ2bkJPZDB5OEp3WnRwSExwVGtubTQ1UDZlYVpQemNKTTQrZVI2cG15d28vWFFCVGp6Y2dxYmRwMUZ5UXg3U0wwMkZQazJQeWx1TGtWZ1lYUGJpSHZPZzY2VStERFdNQWdENjN4Nkd1Y1NFM0tzekZ6VkdXajRNMElsbzNWcVBxNGxHSWt2d3QxcUxaSGFHTTNXekphb1NncFM2SkhqR1BQQ01LUUhQVEk5cm9taXQ5UEhwSHZQaThCMG5JajV2OE9CSXlEN3JzMFZUQXc4b0p3UzIxd2VnTVdvZ2FBU01IRmZXU0V2SXZyakEwTmpwQ1p4Ni9Cd01HWHBzK0hJcHRDWU42dmRzUk50UE8zSG0rKzBRbis2QXVjUUVZNFllVTUwT2lBWU54T2xWVVdXZkRFT2FIclkvRGlDcExCSDVIOHBDK3ZaVUdOSjBjTmljVWRlZ0EwQkNqakZzMXhpS0RRYm9SRVNLZGJHYWFDVFJMdWtkaTVLQjdZL1ZMVHF6U092VFNoK2YraFFkYW5kVkxIbGYwUkpFQWQydjl2bXo5b0pXUU01N01wQmNyZFI3anh5ejQ5VGo1NUNRWTBEZDF5dWhOV2tBQUxva0xUWjhxUlFsTitSajVKZ2Q0MjJUY1BTNU1ONDJDZStVRDdKWGhpd3IreS83bXdKYzlzUm1hQk0xQWE4ZDZXOFc2dTkreFErMnJsai85L1dLQWZvSzRhcW5SS3RLcU5WRTF3eGRraGJGMStVRjNGZnl5VHhrWEpvS1kxYm81Y0M3WHU2RnpxTDhaRVNiRVNSYUREVWRuNm1iTFRIWlQvYTcwcEg5cnZSNUgzZko0NXNnUzBwQUxXcUVnQ3gxU2swU2lxN05SZTU3TS8zQitXeUdERDF5cnM2WXQ1MWlLUHhNcXc4RDlCWEM0SnhvVlZzYnk0aE8wNXExS1B4WVRzQjlCUi9OQ2ZQbzZMWVR4Y3E2UGo0RnBiMWtxT29SUVN1ZzhKbzE4ajVwWGd6UVY5aHFYSEdPYUsxWXltcWlDMWg1a1lpSWFFa1lvQk1SS2RiRmFxSkVSS1IrRE5DSmFEMWJkNnVKRWhHUitqRkFKNkoxUlpibFBnQy9CckIzdmEwbVNrUkVxd01EZENKYU43eGU3NTROR3piOC9YUFBQZWVMOTFpSWlJakNZWUJPUk92R3NXUEh1bzRkT3hidllSQVJFVVhFTHZORVJFUkVSQ3JDQUoySWlJaUlTRVVZb0JNUkVSRVJxUWdEZENJaUlpSWlGV0dBVGtSRVJFU2tJZ3pRaVlpSWlJaFVoQUU2RVJFUkVaR0tzQTg2RWRFQ3ZIMVRZN3lIUUxScThQTkN0RGpNb0JNUlJVR1c1WDN4SGdPcEQ0K0wwUGgzb1ZCNFhFU1BHWFFpb2lnME5UVzlKOTVqSUZvdCtIbFpHS3ZWS2dOQVkyT2pFTyt4a0Rvd2cwNUVSRVJFcENJTTBJbUlpSWlJVklRQk9oRVJFUkdSaWpCQUp5SWlJaUpTRVFib1JFUkVSRVFxd2dDZGlJaUlpRWhGR0tBVEVSRVJFYWtJQTNRaUlpSWlJaFZoZ0U1RVJFUkVwQ0lNMEltSWlJaUlWSVFCT2hFUkVSR1JpakJBSnlJaUlpSlNFUWJvUkVSRVJFUXF3Z0NkaUlpSWlFaEZHS0FURVJFUkVha0lBM1FpSWlJaUloVmhnRTVFUkVSRXBDSU0wSW1JaUlpSVZJUUJPaEVSRVJHUmlqQkFKeUlpSWlKU0VRYm9SRVJFUkVRcXdnQ2RpSWlJaUVoRkdLQVRFUkVSRWFrSUEzUWlJaUlpSWhYUnhuc0FSRVJFUk90RmZYMTlzU0FJN2FHMldhMVdlZlp0V1paTG1wcWFMcXpJd0VoVm1FRW5JaUlpV2lGTlRVMFhaRmwrWjc3SHliTDhEb1B6OVlzQk9oRVJFZEVLRWdSaGJ4U1BlWDRseGtMcXhBQ2RpSWlJYUFWRkU2QnJOSnA1SDBOckZ3TjBJaUlpb2hYVTBOQndEc0RSY05zRlFUaHk2TkNodGhVY0Vxa01BM1FpSWlLaUZSWXBpeTVKRXJQbjZ4d0RkQ0lpSXFJVkZpa0lqNllFaHRZMkJ1aEVSRVJFSzZ5cHFla1VnTk1oTmpVM05qWTJyL1I0U0YwWW9CTVJFUkhGUjFDbW5ObHpBaGlnRXhFUkVjV0ZLSXBCd2JqUDUyT0FUZ3pRaVlpSWlPTGg4T0hEUndSQk9EL3JycllqUjQ2RTdlNUM2d2NEZENJaUlxTDRrR1ZabnAweDN3dEFqdGRnU0QwWW9CTVJFUkhGano5QVovMDV6V0NBVGtSRVJCUW5qWTJON3dEb0ZnU2hxNkdoNFZDOHgwUHFvSTMzQUlpSWlJaldNVWtRaEY5TGtpUURrT0k5R0ZJSEJ1aEVSRVJFY1NSSjB2T0NJTEQyblB3WW9CTVJFUkhGVVVWRnhYNEFhR3hzalBkUVNDVVlvQk1SRVJIRjBYUFBQZWVMOXhoSVhUaEpsSWlJaUloSVJSaWdFeEVSRVJHcENBTjBJaUlpSWlJVllRMDZFUkVSa1VwWXJkYkxBZndKZ0FEZ2lzYkd4Z054SGhMRkFUUG9SRVJFUkhHMmMrZE9vOVZxZlFUQWZpakJPUURzdDFxdGoremN1ZE1ZeDZGUkhEQkFKeUlpSW9vanE5VjZ1ZDF1YndKd2x5QUtZdTc3TXBIN3Zrd0lvaUFDdU10dXR6ZE5aOVpwbldDSkN4RVJFVkVjN055NTAyaTMyeDhFY0NjQU1TSFhpS3BiaTVGVWtRZ0F5TG9pRFdkL2VBRU9tN01hU2piOVh5d1d5LzM3OXUxenhuUGN0UHlZUVNjaUlpSmFZWE96NWdVZnlZWjF6MFovY0E0QVNSV0pzTzdaaUlLUFpET2J2czR3UUNjaUlpSmFJWE5xemFzVGNvM1l2THNLSlRmbVE5QUpRWThYZEFKS2Jzekg1dDFWU01nMUFzQk1OcDIxNld0WThKR3dpbGl0VmhrQUdoc2JWZjgrVnROWWlkYTYrdnI2ZzRJZ1hCcnZjUkRGd0FTQVR6VTJOcjRjNzRIUS9LWXozODhBcUJaRUFma2Z5a0x4Si9KQ0J1YWh5QjRaRjM3ZGcrNVgreUZMTWdDY0JuQXpPNzJzUGN5Z0U5RzZ3K0NjMWhBemdHL0hleEFVMlVLejV1RXdtNzUrY0pJb0VhMWJWejFyamZjUWlCYXQ0d1ViT2w2d0FRQ3o1eW8yWFd1KzZLeDVLRE8xNmRQWmRGR1c1THZzZHZ0ZldhMVdadFBYQ0diUWlZaUlpR0lzVmxuemNKaE5YOXVZUVNmVzQ5SmlzZmFWaUNpRTVjaWFoOE5zK3RyRUFKMVlqMHVMTlZQN3lnQ2RhTzNTNi9YNnNtZ2Y3SGE3dXdHTUwrTjRWRzIrdnViTFpTYWJucjR0aFgzVDF3Z0c2T1RIZWx5S0ZtdGZpZFlIdlY1ZlZsZFgxeHp0NDgrZlAvK3BrWkdSWHl6bm1OUnFKYlBtNFRDYnZuWXdRQ2RhQU0rWUI2SmVoQ1pCRSsraGhPUWU4VUNmcW92M01JaG9qWW1tUmZCTU8rSDFKbDVaODNDWVRWOGJPRW1VVmc4WjZIcXBGejJ2OVM5cE4zMXZEbUd5MDdHbzU1NzUvZ1VjM25VUzNnbnZrc2F3SE03L29odE51NXZoSEhUSGV5aEV0TWJvOWZycStmNkw5eGpqSVpyVlFPT0ZxNUN1YnN5Z1UwelpYaC9BdVo5MEx1cTU4NWJZQ0lCendJMitONGRnTGpYQlVtbGU4R3Q0Sjcxb2ZhWURoUi9MUVdKaHdvS2VhL3Y5QUVaUDJGSHc0V3hvelZxNGhqMDRkUHZ4ZVo5MzFiTlc5TzRiUk92VEhRc2U3OXo5UkpML3dTejB2VG1FM2pjR1VYSkQzcEplaTRob3RvV1V1YXdIYXN1YWg4TnMrdXJGQUoxaVRoQUZXQi9hR0hDZmQ5S0hvdytlUWRuZkZDQjFreVZnMjhDQmtabDZaai9aSzhNNTRBcmFkODdWR1JocUdNWGd3Vkhvek1HSHJ5NVpCNjNwWXZtSnd4YjQzVE4wZUJTeUpDTzVPaWxvVzdoOUFNRFk2UW0wL2F3TFNSV0pLTDVlQ1g3MXlWcHNlN2dtNUQ3bXlyZzBGY2tiQWs4b0pJK01VLzk2RGo2SER6VzNsME5uaWU3aitQWk5qUkczZDczVWk2Nlhla051Mi9ad3pVdzdMaUtpcUxIRTVTSTExSm92Rkd2VFZ4OEc2TFFzNWdhQm5uR2xKRVNmcWcvYXBrOE9ycGwyRHJqUWNNK3BzUHZ2ZWEwL1pLbEx4ZWVLa0hOMWh2OTJ1SDBjLzZlellmYzlkeDhUYlZNNDlmZzU2Sk8xMlBqL2xVSFFLbC9DZ2thSU90alZtalJCUWYvWkgxeUFlOVNEdXJzcllaa1Z2TnYrTUlDc0hXblFHTVBYdWRmdXFvQXhVdzlBbWJCcExqRWhyVDQ1NGhnaS9UMkppQ0paTDhGM0pLc2xheDRPcyttckN3TjBVclh0MzYyRk1kc1ExV1BEWlpibkJ0d0wyY2ZJTVR0Ty8zc2JSSjJJMnJzckllcEVOUCsvTnBSOE1oOEpPZEdOSzVUT0YzdlJ2MzhJVlY4b1FYTDF4ZURjT2VCRyt5KzcwYmR2Q0xXN3lxRUxjZklDQU1aTTVVUm40RS9ER0Rnd0FuT0pDWUl1L0pRU0F5ZU9FdEVTbkRoeFl1TjhqMW5MWlRDck1Xc2VEclBwcXdNRGRGb1djOHRIdkpNK0FJQjd4QjIwelQzbVdiRnhMZFJrbHdNYWd3YTFkMWZBbEdmRXVSOTNZdWp3S0xKMnBDMDZRTGU5UG9BTHovZWc3RE1GeU5xUkZyRE5tS2xIelIwVk9QbG9LNDcrNDFuVTNWUHB6NVRQcUx1bkVvWjBQY2FheDlIeW54Y0FLQk5Fei8raU8reHJYdkpZSFdwM1ZVQ2ZwZy83R0NLaVdYSUFRS1BSVExhMHRMekw3WGFQenZlRTZjZjFUajlYQXJDMEdmMHFzTnF6NXVFd202NStETkFwNW1SSkRsdE8wZmJUcmhVZWpYSUNFSzdlZkQ0NU96T1FzVDBGeGl3RDdDMFQ2SDFqRU5udlNrZmExdVFGN1RNaDF3akpMYUhqTnpaMHZkeUg0dXZ5a1BPWG1mQk8rU0M1SkVnZUNaSmJndVNSSVloQTd0VVo2UDV0UDQ1LzV3enF2bDRWY0RLUVVwdUUwUk4yblByWE5oZ3lEWkJjUG16YXZRSEdqTURnZS9EUUtNNCsxWTZNUzFKZ1NOZkRrTUhnUEI1a253elhpTWYvN3lPNUpZajY1VytnSlVzeUJISDFaZmRJSGF4V3EyMytSNFhuOVhxSGpoMDdGdDJsUzVWYVMxbnpjSmhOVnk4RzZCUlRNcFJKb2p0K1ZCOXd2MmZjaTROL2Z3elZYeTFEeGlVcEFkdDYvemlJMWg4dHJjTkpKTE1XMVZtd21kcHhuOE9IczArMnc1UnZSUGxuQytFYThTeW9wdnVxWjYxbysxa1hldDhZOUkvcHd0NmUwQThXQUZHcjlGcDNqM2x4L0R0bnNla2JsZjU2ZDl2ckEyajdlUmNLcjhsQndVZXpjZXJ4Tmh4OTRBeXF2bENNMUUwV2VDZTlhUDlWRDNyM0RTTC9nOWtvL2V0OFlPMzhucWlTZDhvSHo1Z0h6a0UzSkplRTlPMFhqM0huZ0JzTmQ1L0VWVCsyUXZKSWFMajdGRkszV0ZCMGJTNzBLZk9YSGtrZUNYKzY1UWkyUDFZWGRCSVd5YkU5WjVHUVpVRFZiU1ZCMjZhNkhHajhSak5xZDFVZ2RiTWwrTWtSeUw3NVM1RUZ6ZUlQT05rcnd6WHNobnZNQzB2bENtWXBaYURyNVY2SUJoRjU3ODlhdHBjWk96T0JrdyszWU5QdUtpU1ZxVGNMMjlqWW1EcnoveWFUcWNMbjg0MjVYSzZCbWZ1c1Z1dElkM2YzSFgxOWZjK0UyWVcwN0lOY0ptczFheDRPcytucXhBQ2RZa3IyeVRFSkJ1WHByL2JEZDUxYzhyNldVb01PS08vcDlMK2ZoM1BRamRLL3pvZW9GMkhNMElkc2V6amVPb21qRDU1QjNUMlZTS2xOQ3RoV2ZIMGUwcTNKMEppMEVIVUNSTDBJVVN2QTU1TFE5dE11Rkh3NEN5bDFsb0RnWnJMRGdjNlhldjEvRHdEd1RIcFJmbE1oY3Q2anZLZmFPOHZSL3FzZW5IeTBGY2xWWmt4Y2NFQm4wYUwyem9VSFg3UXdiVC9yZ3UzM0F3RkJxeUZOSHhDZ2V5ZTh5Z1JoQVJEMUlqYmZYNFcybjNUQk9lRHlCK2lTVzRMWDRRdjVHckpIMmJmWDdvVTdRdVp1OW1ScnlTMWg0dndVVW1xU3dqNCtMQmx3OUliL1BZN214SFR1eWNUb0NUdDhiaG1TUzRMUDVZUFA0WU4zeWdmdnBQS2Z4KzZCeCs2RjIrNkZ4KzVSenZRQmJONWRCVXZWckFuVUttbmo2aDd6NEoydnp0OWlGUUN1K3JFVlhvY1BHb09vZkxZbEdaSlhYZzNocTcra0pUczcreTVCRUxSdGJXM1h6WDZBS0lvbW85R1lNdmVKVHFkekVzREEzUHRYZy9XUU5RK0gyWFIxWVlCT01TVzVwWmlzc2lsNWxGK3ZMZmR2Z0RZeHV2MHRSNWNTV1pMUjhsOGRHRDA1dnVSOTZaSzBTTjBTM0duRk5lekJXUE00c3QrZEhwUjVUQ3hLUVBYZmx3YmNWL1R4WEFDQXp5bGh2RzBTOXRNVEdEczFEc2lBYThqdEw1Y1pmR2NFcmtFM1RQbEc2Rk4xMEZtMEVIWGlrcktiRkNqN0w5S1JYRzJHNUpKdzVxbDJYUEdETGRBWU5UaHcyMUY0cHdJRDdya25mME1OU3Z4ejFiTldEQndjUWNzUEwwUjhyU1BmUGgxeCsrd0FkUHpjSkdTZnZLaU1uODhsaGYwc3piUVYzZjdkV2dDQWM4aU5FLy9jZ20wUDEwQVFCVWhlR1kzM0JqLzN4Q090QWJkRnZhaGNuVXJVUUd2U1FwdWtnYm5NQkYyU2NwenFrN1hRSmV0Q1RoQlhReHRYWGRMRkZxdU9QaGRPUFhZT2hkZmtCTTBwQVFDdnc0Y0R0eDFGMVcwbHlMb3llUHNxa0dHeFdLN3A2T2o0L053TnVibTVlM0p6Yy9mTXZYOTBkSFJ2VzF2YjlTc3p2TmhZYjFuemNKaE5WdzhHNkJSVFBxY1AzZ2x2Mkk0cXA1OW9pMm8vSHJzWGdrYUF1Y3dVZFIzdFpkL2JESTB4dUxaM0tUWG9iVC90VXJxdDNGcUNzejlvWDlRK1pqZ0gzSkM5d1drejk1alNndEk5R242Y0NibEd5SktNOWwvMndHRnpZcXJIcVFRWU1wQlltSURVelJaVTNGd0VjNWtKbm5FdmhnNk5ZdVNFSFIwdjJBSW00Vm9xemRpOHU0b2xMekdTV0ppQXhNSUUvNy9iVEd2TVMvNXRFeUFEVTkwT25IaWtGYVdmeW9lNXhJUWo5NS9HRlQvWTZuOSsxOHU5a0x3eXNxNUlRL3Eyd0VTa2Q4cUgxcWM3SUxsOHNMZE13bHhpZ3FnWFVYRnpFZlR6ZE9VWmJob0RBT2pNMm9CalNtUFV6UHRjalZIMEIvdHYzOVFZMER0L1psOXpBMmRqbGdHQ1J2Q2ZXSWRTZkgwZWN0K2JDWTFSWEhKdGZMemJ1QXJpeFJhckhiK3hJU0hIZ0tLUDUwTFFDT2g2dVJlR0RBTXlyMUFxUk9hZXFLMDIrZm41WDlkb05NYlUxTlJQam95TS9QZnNiWjJkblY4ZEdCajR6eEJQVzFWdmVqMW56Y05oTmozK0dLQlRUTGxIUFVpcVNFVFZyY1VCOXk4MHcrWG9kY0tRcmwvUUQ3a3VLZlRodkpRYTlNVENCRlI5b1FSWk85S1dIS0NmZkxRMTRvbEMreSs2MFI2bUU4dFZ6MW9oaUFMMHFUcDR4ajNJMlprT3JVa0xjNWtKMmxtWlB1ZWdHd0NRc3RtQ2xPbnlGcS9kQysrVUY1NEpINUpLVFF6T1Y0QWdBRDEvR0VEbmIyeklmbmNHY25abXdObW5aR3g5RGgvMHFUcTRSejNvZWEwZlJkY3FnWjFXTzMybFNBYjYvelNNOWw5MkkzV3pCYVdmTHNXQjI0NWl3NWRMMGYxS0g0NCtjQVo1Nzg5RS9vZXl3MTVkR3BvTzBJOCtlQ2JnL294TFVsRDkxYklsdjcrWjQ5ZzFwQnh2amw0WEJCRks2VVlZMm9UZ3RRRGliYWx0WE1mT1RHRGd3QWpxN3Fyd3I0L2c2SGVoNjVVK0pHODBSelhIUU0wU0VoSXV6OHJLK29lK3ZyN0hNakl5L3E2d3NQRHh6czdPdXdCNEFVQ1daUytBVlp0UlpkWThNbWJUNDRzQk9zV1V3K2FDS2QrNDVBelgrTGxKbUlzVFlqS21wZFNnejlSNXgwSzRWVWRkd3g0Y3V2MTRWSmZBOHo5NGNmTGFmQ3VLemxaelJ6a3lMMCtkLzRHMElFMjdtekhaNGZEZm52azN5WDVYT3V3dEU2ajZZb2svTTI3STBDTjVneG52M0g0Y2tBRlJLeUQvdzluK2tpT2ZVOExBbjRmUi9kdCsrQncrbFAxdElUSXVTZkZucFFXdGdJclBGeUdsTGdubmZ0S0Y3dC8ySStPU0ZHVHRTRU55ZFpJL1FCdy9Od2xubnd1VnR4WWorMTNwRjhkNlgzTlFYLzN4MWtsTXRFK2g0Q1BaQ3lwOW1oQWd0WVFBQUNBQVNVUkJWSnQ5RGxYV010ZTVuM1F1cW41OHc1ZExnNDVkTmJSeGRRNjZjZmJKZHVTOE93TXBkY3JKc09TUmtIdDFKZ2IyRDZQdEo1MHhPUm1LRjcxZVgxdFpXZmsvNCtQamIzWjNkOTg5TmpiMlVubDUrUXRtcy9tOXc4UEQvd2tBV3EwMjIyQXdWTUEvYXdBYVdaYTFPcDFPSjBtU3dlRnduQUl3RWJjM0VRR3o1dEZqTmowK0dLQlR6UGhjRWlZdVRJV3N3MXdJMlN0ajVKZ2R4ZGZseFdoa2E5ZnM4b053RmhMSTA4SnN2TDBjc2tlQzdZK0Q2UGxkdi84a1RHdlN3UGJHb0gvT2djOHB3VHZwUmVsbkN1Q3hlK0VhZGlPbDFnS3RTWVRzbGRINlRBY0czeG1CNUpHUmZra0tDajZVRFUyQ0NJZk5DVmtDQ3EvSmdYZkNDNGRIUW1KaEFtcHVMMFAzcS8wWWFoaEYvLzVoYUUwYWJIdTRCcnBrSGZyK2J3Z0FZTXFmZFZ6SVNxMzAzQlBWaWZZcGpCeTNZN2h4REZXM2xVVGQyMyttQk1iWjU4TGh1MDVpeHpQMS9oS1hQOTF5Sk9SekNqK1dpNndyRjM2U09MY2tSeTF0WE04K2VSNnVZVGZHMnliUmNQZEplT3plZ0hLV3dVT2pHRDA1RG5PcGFjWEdGQ3VKaVlsYkt5b3E5cm5kN3ZPdHJhMDNBUEJOVEV6c08zcjBhRTFCUWNIWDB0TFMvazZTcE1tOHZMeHY1ZVhsZlR2VVBudyszK2pSbzBkelYzYms4MlBXZkhHWVRWOTVETkFwWm9ZT2pVRDJ5a0hkUytZank0R1h4ZnYzRDhQbkNHeFZ0MXBFcXNHbHRXZW1VOGxFMjZSeWU3b1cyOW5uUXNldmJlaCtwUitTVzRLZ0ZmeVRDM1hKT3VpVHRkRG9SYlQ5ZHpjdWUySVQwcXpKeW53TGpZRFdwenN3ZUhBazZMVTZYK3dOdXMvNlVBMjhVejY0Ujl6UUpldmdHZmRpNE0vREFJQ3gweFArTm40VEY2WWd1YVdndG42NTc4MUU0VFU1T1AzdjUzSGsvbVpVM0Z5RXpDdlNjT2lPRTNCTmwwdk5CTVBHTEFOcTd5eGY5Ti9La0txYjkyUnlQbXBxNDVyM3dXd1lNMGVoVDlOQm42S1VMQ1dWSnlLeE1BRmFzeFpOdTVzeDhPZmhWUm1nVDA1T0h1L3Y3My9VWnJQOVB3RDJXWnRzWFYxZGR3TzRlOVo5bXVuL0JBQ3pKd0g1QUxpWGZiQUx3S3o1MGpHYnZuSVlvRk5NeUQ0Wm5TLzFJYWtpY2Y0ZllWbnBZS0V4aW9BZ1lPREFpSDl5cDJmY2l3dDdlNUJ4YVVyTTZqZGJmOVN4N0gzV0JWR0FvQkV3ZEZqcHpERzNIajZhTFBiWnA5cHg5cW4yc051M1BsQWQ5R1B2R3ZaQTBDMy9vamNVbnNQbWhMMUZDZENQM0g4YUZaOHZnaUZObVQ5UmQwOEZ6Q1dtNFBJUkdlaDdjOGlmc1o0cGd4azRvQVRtODdZRWhISk1DU0ttZTRVcmdYZjNxLzFLRnQ2YWpLSERveWo0Y0RZQVlQUzRIYm9rTGN3bHdjRmlVa1VpNnZkVTQvUi90T1BNayszUUdEVFk5UFZLeUQ0bFUxMjdxd0xHVEQwRWplQnZKem4zZU41L2MxUFljYzQ4SnhiZGc5VFV4alhqa3BTQWs0RzNiMnBFeGVlS1lOeW0vSnR1K2VZRzZGTjFxM1dTcU05bXN3VjFad24zV0toOFVpaXo1ckhGYlByS1lJQk9NZUhzZDhFMTRFTHBwNktvdVJTQXRwOTMrVE4wQUZEd1VTV1FtRmxsc2ZqNjJKVzNGRjJiRzNYOTlXSmFOWTRjczJQOG5CS2dDUm9CMlgrUmpzU2l3UHI1Y1BYbkN4RnFKZEFURDdjc2ViKzBORDIvSDRDNXhJU0o5aW1rYmszR21TZmJVYjluSXpLdlRGVW1hWWFaTjZsTjFLRHFpeVVodHkyMjY1QXN5Y2pha1lic25lazR0dWNzSERZbkVuS042SHRyU0xraUZTYTQxWnExcU4xVmpyNTlRMGlyVHc1NG5ERlRIOVRGWmVaNGRnMjVjZUtSVmxnZnF2RlBFbTI2cnpsZzM5SjBIL2VaMVZNWHVnSnZ3TDVXVVJ2WCticmwwTXBnMW56NU1KdSt2QmlnVTB3azVCcXhlZmNHbU10Q1g4N1ZtYlc0L0trdDBCaVVIK210RDFURDUvQkJsZ0JOZ3VpZktHcEkxNk4rejhhUTdSSVhJL3ZkNlVqZW1CVDFwZlhzZDZjaklTLzBZMnZ1S0ljcHhMWXQzOW9BeUxPV1ZnL3h2Yi9VUy91aGxId3lEem52eVlBMk1mTEh1T3ZsM3BEanBxVnpEWHZRdDI4SUZiY1U0ZXhUN1NqK1JDNm1PaDN3VG5wUmVVc3hLajVYRkxhemlYL2htaEFXMjlPLzlNWjhlQ2U5MEpxMVNNZ3hvdnZWZnFSdXNjRFI2MEwxVnlLZlBBdWlNTzlrNm9SY283L2VmT1k1QUpDUVkvRGZOM3M3QUhnbmxRbmltZ1J4d2U5dDdwVUVOYlZ4RFRXR3VWZnI4ajZRaGFKclZWZUd2UzR3YTc0eW1FMWZQZ3pRS1diQ0JlY0FBQUVCTGRaMFNkcXdiUkZqRlp3RFFPVXR4Zk0vS01ySHAyME5YbVRJVDRqTkpmeUZLUGhvVGt3ZlJ3dDMvdWRkU0tsTlV0cFhRamtHYXU1UTZyU2pLV3NLTjhrMzJoS1hJQUw4YlRjTHI4bEJ5dzh2WU9TWUhXbjF5VUZYZFJaamJ2WjdicHZGR1laMHZUOWpQdk9ZMmQyYTV1dXNGSzV1WEUxdFhPZGVGV3U0NTFUUTFicjVUcDVwZWF6SHJMbnNrK082Q0IyejZiSEhidzhpb2tXUXZETHNMUlBZZEc4VklJZk9ra2Zxc2hNcGdGOXNpY3RzV1ZlbW9mUEZYamhzVGxSL3BYVCtKOHpENXd5L3d1amNOb3QxOTFUNko0dFB0RThCVUNhWkxwV2EycmlHK25mVkp3ZFBoRjJsTmVpclVxeXk1ak5yRml5R0xrWG52MUljU3Q5YlF4ZzhNSUxhWFJVTG5rOHhkK0d3R2Q0Skx3N2RjUUpiSDZoZTlOVmFuOU9IN2xmN2tiTXpZOUhsV2N5bXh4WURkQ0tpUlJDMUFyYmN2d0dHZEgzWWdMcngzdWFROTg5bnNTVXVzdzAxamNIUjY0U29GOUgyOHk3VTNsbStxSXh1NTB1OW1PcDB3bTMzQkdYMjU3WlpER1c0YVV6cGJCSmxyWGM0cTdLTnE2d3MwTFQ5c2Jxd1Z3d3BObUtaTlYvSzVPR04vMUNHOUcwcFlVL01qSmtHakJ5M28zZmZJREl1Q3owM2F1WnE4NEhiamdidForNTN3MVhQV2pGeXpCN3k1SFNHTE1saFR6cG1uak4wZUJTZEwvWWlaK2ZTMS81Z05qMDIrSTFCUkxSSWh2VGdpYnV6V1IvYXVLQU11cm5FaExMUEZDRHZBMWtobmhISTl2cEEwTUpETThiUFRlTHNrK2VSdXNtQzBrOFg0TVRETFdqYWZSb2xOK1FoL2RKVTZOUDBxTHkxR0ltRndWbGs5NWdIWFMvMVlhaEI2VWpVLy9Zd3pDVW01RjZkT2UrWTVwcnFkbUwwMUhoUU1PeHpTeEV6eXo1M2NMdFNOYlp4bGIweVhNTnVmeG5QVU9Pb3NsRFVvQnV1QVJkRWd3anJRelgrZHB6QXhRNHlhbDNSdDc2K3ZyaXBxZWxDdk1jUnJlV3FOUStWcWZZNWZYam5xOGR4eWVOMUFTczRoL0xPVjQ1RlhGbTM5WmtPdEQ0VHVydll6SW53OXNmcUF1NC9jTnRSYlAxMk5ZeHoxaXNZT0RBQ2g4MFo4anRseS8wYllNalVoejNwbjNtdC92M0R5THdzTldhVG01bE5Yem9HNkVSRXkwU1dMcllaakdSMkJqNTFzeVdxRXBlVXVpUjR4anp3VEsrVU9kT0RmZXowQkU0OWZnNkdERDAyZkxrVVdwTUc5WHMyb3Uybm5UanovWGFJVDNmQVhHS0NNVU9QcVU0SFJJTUc0dlFxcExKUGhpRk5EOXNmQjVCVWxvajhEMlVoZlhzcURHazZPR3pPcUd2UUFTQWh4NGkybjNWQjFJbkllWGQ2d0xielArL0MrWjlIdjZpUTJ0cTREaDRheGJsbk8rR3hld0s2OUV5MFQ4R1lhWUF4VTQra2lrVC9ZbEdEaDBiaG5mQkMxSW4rUHZWcXFrKzNXcTBWc2l4ZkIrQVRnaUJjQ3RXZVBnUmFpVnJ6VUVIdmdTOGZDL25ZMlZlWXJueGE2ZFhmOXBOT0RMd3ppcHAvS0F0NTB1Q3dPWEg4b1JaWXFzeEJwV2hha3diN1B4Zll3dlRvZzJjQ2JtLzdiaTJHajQ2aDlGUDVTTDlFeWNoM3ZkU0xnVCtQWU91RDFUQms2Q0ZxaGFDclgzMXZEYUhsaDhwNW1MUGZoZEZUNDRBTTlQOXBPT1I3Szd3bVoxSGQxWmhOWHp6MWZFUFEyaVVyblVSRWc0aTg5OCtmR1l5azR3VWJPbDZ3UlRXSkxweXBiaWQ2ZnRlUDhzOFdMbmxTemRzM05RWXRxUjZSaklnL2ZSNjdGeTMvZVFHRjErU0V6UUNGQ3Q2TTJRWUlvb0R4YzVNNDg3M3pxUHRHVlVEV2p1SmpibTEyT0xFb2FkbitXQjBjUFU2Y2V2d2NFbklNcVB0NnBmOVN1UzVKaXcxZktrWEpEZmxLVzlDMlNUajZYQmh2bTRSM3lnZlpLME9XbGE0c1pYOVRnTXVlMkJ4VWtoSnBqS0hlNStWUGJvRjcySTI4OTJjR1pmcExic3hIMWxYaFMxWDYzeDVHK3krNy9iZlYxc2JWWEdKQ2VuMHlqRmtHR0xNTlNNZzJ3SmhsQ0R2QmZlejBPR3l2RC9odloxNlpGdldxcmN1bHZyNitSaFRGNjZjRDg4MkNzQ3BpY2dBcjM2SEYrbEJOeEg4dlI2OHI0RE13KytwUS9rZHlNTkUraFRQZmI4ZldiMjhBWnYyZGZVNGZqbjNuTExTSldoUmZueGZ3UEcyQ0JoQ1U4cFR0MzYyRk1kdUF0MjlxOUYrVm15a3Y2M3FwRjJsYmsyRS9NNEg4RHluSHVmM3NCTEt1aXY0WTYzbDlBT1ppRXpaOHFTVGcvcWI3bWxId1Z6bkl2RHgxM2lzR2tUQ2J2amdNMEduNUNZQnp3STIrTjRkZ0xqWEJVbW1PNjNBa2o0VGUveHRFUXA0UitSOWMyZ25EUXJpRzNUajVTQ3RLYnN4WGVrMURhZE0zbTN2WWplRWpZMGpmbGdKOVdtQ0FMWWlBUGtVWE1sQzY5SWxOMEZ0MGFQdFpGd3laeXBleWMxYUFJbW9FOW1WZVJyb2tiVkFaUjhrbjg1QnhhV3JZeVpGZEwvZENaMUcrZ3BkeXdqbWJJVVdIb210emtmdmV6SUN1U2Y3dEdYcmtYSjB4Ynp2RlVCWXp4c3BiaTJIS0R5eWp5Ym9xSFVsbHBwQ1ROMmNrbFptUWRkWEZrMTYxdFhFMVp1cFI4Zm1pcUI5ZmVtTStpajZXQzhneVJMMFlrMTd1aXlCczI3YXRmaVpURHFCNmJ2blBhaENQRGkxemUvdlA1OEJ0UjBQZi82WFFtWGVQM1l1R3V3UHIzaU5OTUE5NDdyZ1hHNzVjaXNaN1QyR3kwd0hQbUFmdVVROEtQeFpkOXk3dmhCZDkrd2FoVHd1c1lmZE8raUI1WlNRV0pjU3NUVEN6NlF2REFKMWlTdmJLY0E0RVQwYkp1VG9EUXcyakdEdzRDbDJJTTNGZHNpNWtRTEVjekNVbVpGMlJoczdmMkpDMUkyM2V5VnV5VDRhelAveXNmcytvSjJSV1c1K21ENWpOcjAvV3daaGxRUE1UYmFqNVdqbFNOMWx3NlBiaklmZlo4bC9CSmFDNlpCMHVlMklUZ0l0ZjNyMzdCdEh4Z2cxNml3NDlyL1ZqdkZWWk1PbndIU2NDbnB0WWxJRDZQUnNqdms5YVBLMVpHL1NET0Y5N3krVm9meWxvQlJSZW81NjJta25sd1JuTnFpL00zL28wZVdNU2tqY0cxcHFyc1kxcnRFUzk2Rzg3dWRJdmJiVmFMNVZsK1hwUkZEOGh5L0xTMi9uRVNUejdta2VhU3dJb1Z6Vm5KMDVtVG1haktXK2JhKzVWM2NTaUJEVGUxK3hmWEt2aG5sUEt5dFZhQVlsRkNhaitTaWtFallDcVc0dlI4c01MOERsOXFQcGlTY1FUNE5rNlgrd0ZCQUhPUGhja2p3UnhlbVZxUjYveW0yYk1qTzJWSG1iVG84Y0FuV0xLT2VDS2VDbTg1N1YrOUx6V0gzVC83TDdJa2x1QzF4RjZBcG5QcVh4SnVjYzhJYmRyRXpRaGZ3aDlEaC9zTFpOSUtqTkJhMVl1Snc0Y1ZQb2psOTlVR1BFOXVRYmRFZDlUKzNNOWFIK3VKK2orbWp2S0EzcW5DeG9CMVY4cHhiSHZuRVhIcjIxSXFVM0NaVTlzZ2pUcnJicUgzVGo2NEJsVTNsS01sRG45bkExcHdWKzQvZnVIa2YydWRFeDJPdEQreTI1VWZhRTRJUE00MmVuQWtXK2REbGlTbklqV3JodHV1RUhUMnRxNlk3cDg1Uk1BOGdWQkNKb3NHNG5WYWxWZGF0MXV0NzhHNFAwQVVQQ1I3Qlh0YTc3WUVyVDlOemZOLzZBNTVsNnBxdCt6RWFNbnh6RjhaQXc5dit1SFBsVUhRN29lUmRmbStudit5MTRadzAxalNrdFRRUW02UmEyQWxGcUx2NlF5WEZ2WHlTNG5TbTdNUTl0UHV6RFJQdVcvd2ozWjZZQ2dFWkNRdXp5bFdMT3o2VjMvMnljQ3VNdHV0MjhCOElGbGVjRlZpQUU2TFl1Wm1ybG96UDNpNkgxakVHMC9penlCN0oydmhzNDhoK3VBNGVoMTRlU2pyZjcreklZTVBiSjJwS0gzalVIa2Z5QXJxckZ1ZmFBYTV0TEFMRjY0R3ZURHUwSzM2UkwxSXVydXFvREdxSUVnQ2pqK3p5Mlk2ZzVPR0lUS29JZHFjV2MvTzRHU0cvSnc2bC9QSWFuU0RFdDEwc1hTRmhrNCsvMTJKT1luSVBPS05EZ0gzVENrNnVLNm1BVVJMVDlCRUdSSmttUlJGT1hWV01ZeW4rVjhTek5aNzVsRnJGSTNXVkQrMlVKSUh0bGYwNzMvNXFhQXVuVFhpQWZud25Sa2liWlVaVzRXSGxDQzVNN2ZLSXRzYmZoU0tYcCsxNC9Ldnl2R1VNTW9UajEyRHVuV1pHUmVtWVlMei9YQTBlOUM1ZDhWUTUraVErc3pIVGp4U0N1TUdYclUzbFhoZi8yU0cvTDgzWXVHRG8raS9ia2ViUGhTQ2JTSkd2UytNWWpSaytQK0FOMStkaEttZktNL283NWMxdURoR1RNTTBFbTFMbjlxUzlCOVhTLzNvdXZsdnBEYlF0WDlqVFdQSTdFNDlLWHh3ci9LZ1h2RUExbFN2aUZHVDQyajY4VmUxTnhSSHZQTDBiSWtRM0pQZi9GclJRalRYVE9zRHdXdVJ1Z2NkT1B3SFNmOHZYUWo2ZjIvSWFUVUpNSG5sR0JJMTJPeXd4RlUyakpqNW9RaDJoOExJbHFkbm52dU9SK0F0NmIvKzlxMmJkc3VrV1g1ZWtFUXJvdTJ4S1d4c1ZGMVovSFRKUzRQQU5qVi9VcWZPTncwdGl3bEx2NEFmZm83dXVLV1lweDk2anljL1c1cy81ZGFmK0F1aUVvNzAzTS83a1QraDdKUTg3WHlrUHRiN0ZvSXpqNFhtblkzbytBak9TaTVJYytmQ1RkbTZGSHh1U0xrZnlBTEhyc1huUy8xUXBoZWs4RmNvdnpXYlh1a0JuMXZEbUhpL0ZUQTk3MHU1ZUpDV3NrMVNjaDliNmEvRkN5bHpvS2h3Nk1vK25ndUlBT2p4KzNJdkNKMG4vWllHRytkbkNseEFRQUp3S01XaStWYnkvYUNxeEFEZEZLdFVEWHBNMmZ6MGRTcnl6NFpKLy9sSEFvK2toMVFhakxEbUcxQTdWMFZGMS9QcU1Ib3FYSFkvakRnbncwZks4Tk5ZMmordHpiLzdhdWV0YUpwZHpNbU94d2hIei83c2JQTnpxS1BuUnFIcFNvUnFac3RTS2xObWpjekhzM1M4eFJiN2hFUEorZFNQRWtORFEwSEFSd0VjUGYyN2R1M1NwSjBIWURyQUZUSGQyZ0xNMTJiZkkvVmFuMEJ3RE1PbTdQNjJKNnp5UHRnRmtxdWkxMjV5K3p5eW80WGJPaCt0UThKZVVaVTNWYUNpUXRUL3U1QU9vc1dybUVQTkNZTnp2N2dBaTQ4MzRPQ2orWWdlMmVHdjIwcE1ILzkrb3k1R1hSanRnRmJINmlHUGxVSDUzUTcwMjBQMTBEUWluQU91aUhvUk9qVDlTaitSQjYwWmcwZ0NnR05BVkszSkNQM0w4T3ZYWkJVbmhnd1J5Umpld3E2WCtuRFJOc1VQQk5ldU1jOHlMZzA5Z0c2N0pIUnZyY0hQYi90bjBtT25RYkFTYUloTUVDbk5XdXl3d0hKTGNHeUlicXVNZVl5RTFMcUxPaDZwUis1ZjVrWmxFVS84cTNUSVovWDhzTUwvbjZ5NFNSWG03RjVkeFZjUTI2Y2ViSWRBRkIzZDJYRWhTem1VM3hESGs3K1N5dHkzNThGWTRZZWgzZWRqRGlabFZiVytWOTBvLyt0SVd4NW9IcHBMUy9acHZTaVZkS21OTnlTN0hFbUh6NTh1QWxBRTREZDAyMFdyNXZ1NmhKOFNWS2xHaHNiRCt6Y3ViUGVicmMvSUV0eXpMUHBuakV2SUFCanpSUG8zeitNaXB1TGtIbDVHaVNmakQvZmVnU3lKQ1A3M2VuUUptcVJVcHVFbE5va09QdGNzUDFoQUJlZTcwRkNuaEVwTlJjbk9DK2xoYXE1eElSai8zZ1c5cGFKUlQxL0laL3pwSXBFSkJZbG9PTTNObmluZkVnc1RJajUxWWx3V1hOT0RBMk5BVHJGMU13cWVVdFpLamxXUnB2SElXZ0VXQ29TUTlaNWgxTDA4UndjMjNNV3ZXOE1CdFd5VjMrMURJa0ZnVCs0RGZlY0NxanJtM0hpa2RhQTI5cEVMU3hWNW9EZ1FHZlJZcXg1SE1jZmFwbDNYS0dDbUpUYUpDU1ZKY0wyV2o5S1AxMkFyUTlVKzh0MVFqbjQ5NkZiZk5IeXlQOWdGdnJlSEVMdkc0UEtKZXJGWXB0U0FPcHNVenI3TWNIajlVQUlVNytyaGpVS21wcWFUZ0U0QmVBZnQyM2JWaTdMOG5XeUxGODN2VkNScWkxbk50MWhjOEtRcWtmV1ZXbVF2QkpTTjF2Z21mREM5dnNCN0hpbUh1Mi82dmFYa3N6UXBlaWdUZFJpKzcvVVhseUFhdnFyMlBwUXpmUUNZRHBvRWpUb2ZyVVBVejFPVk54YzVDK1hBUzcyVXBkOWNzQ0o3K1p2VmdFQVJvN1pZZGxnRHVnTXRwUVRRZmVJQjUwdjlxTDRoanovRmVtU1QrYmo1S1BLYjFmTkhhRkxkaGFEV2ZQRllZQk9NVFhUQ21yTC9SdUNGam9KSjF5R0lWU215elB1RGJ0dHJyR1Q0ekNYbWhaVVQyNnBNc05jWmtMM3EvM0lmVzltd0JlbE1VTWY4b3R3ZGwzZmpJVm1GamZ2cmdvS0tHYUVxeXNIZ0xTdEZ2VHZIMGFwREloNkFhdGtBY0ExWmI3U29hNlhldEgxVW0vSWJYTi9YTm1tOUtMVjBLWTAwbWZ6eE1QaFQ3eGoxZmMrVmhvYUdzNEJlQVRBSS9YMTlmUDN3VlNKNWNpbWo1MmVRR0pSQXR3akhyUSswNEdVT2d0a2o0U09GMndvdWpZWDZkdFRjUHc3TFVqSU5VSnlTZWg3ZXdqNUg4akN3SUZoK0J3K2xQeDFQbVJKUnROOXpkajh6U3FZOG94NCs3T04yUERsVW1SZW5ncFRmZ0k2WHVpRnp5SDVXeVQydmpFSVE0WWVsYmNXNDloM3ptTFQxeXVEZnJkT1B0b2FNaGdQOWZ1cE5XdHgrWDlzRHZuK1hNTnVkTC9Tajk0M0JxRXhpc2ovWUpiL3U4UC9PUlFBeVNVdDZ1ODNGN1BtaThjQW5XTEtZL2RDMEFnd2w1a0NzZ09SWFBhOXpTRjdFMGU2TkRqZlpVUEpMV0hzOUFRSy9tcmh0ZVI1NzgzQzJSKzBZK0RQd3dFdEM1ZVRhQkFEZ3BGbzZkUDBjSTk2TUhMYzdzOTgwTXFyM1ZVQlk2WnlndFh4Z2czbUVwTS95eHRPcUdPWWJVb3ZXaTF0U2tNRlRlRXltNkU2ZGFoTlUxTlQ1SG85bFlsbE5sM3l5aGg4WndRRmY1V0RnUVBETUJlYllNelFYd3hjWlNDcExCRTFYeXREWWtFQ2VsN3JSKzhmQjVIejdneVVmcW9BcHg0L2greDNwMk9xeHdtUDNZdWtzc1NnbkVsYWZUSnF2bGFHL3YzRC9teDU5NnQ5U0NwUFJObG5DbkRoK1I2Yy9jRUZWSDhsdXBiMWRmZFVCblVoRStaOGhIM1R3WGJQYi92UituUUh0Q2FOc3FEWit6S2hNWWp3akh0eDdzZWRHSHhuUkxseTRKSncrai9PSSsvc0JJcHZ5SVBHdVBDVGYyYk5sNDRCT3NXVW85Y0pRN28rNnVBY1FGQUdUcCtpUTFKNUlyWjhhMFBRWXlQVjBCNTk0QXowS2NxUDhNaHhPeVNQRkhKeWFEanVFUTkweVZwa1hKNks5bDkydzlFYm1QVnpEcnBEbmtpRXlnQXVkSUdLSTk4TVhkOGV6a1Q3Rkx3T0g0WU9qVUtmckVOS1RSSXVuYzRPQWtEM3EvM0l1aklOdXVTTGY5dTJuM1l0Nm91VzVtZk1WSzZ1RFB4cEdBTUhSbUF1TVlVdGJ3QUF3endUUjltbWRQVzBLUTBYY0tzOUVGOXJZcEZONzM5ekNONHBIekl2UzhYSlIxdVJ2Vk01NmRWWnRJQ2dmTFpTYXBOZ3pEUmd2RzBTdlc4TVFwZWtSV0p4QWdSUlFOcldaTGhIUGVoK3BROVpPOUw4eDRyV3JNVlF3eWdTQzR3UU5BSU02WG9VWHBNRDU0QWJ3MGZINE9oMW9maUdmR2pOV2xUY1hJU1dIMTVRcmpyTitSMk5WRFkxbXl4ZExMOHlwT2d3MGFaY0dYSU91RkY0VFE3eVA1UUZqVkVEbjlQbjc0d211U1dVZnJvQStSL01naXpKU0hqQmhzNFhlekZ3WUFSNUg4aEM5cnZUbzE3OGlGbnoyR0NBVGpFMWZtNFM1dUtFK1I4WVFjWmxxY2k0Yk9HengyY0g5T1BuSnFGUDFzRWNwc1ZpS0owdjltTGs2QmkyUDFhSGJZL1VCQzNIZmZxSjBKMVZ3bVVBNXpVcmhyYytWQU5EZXVnU2x6OS80VWpRZllPSFJqRjBlQlJha3dibG55MUMzMXREU04rZWdvYTdUcUorejBiWXowNWd2R1VDbTc1UkJVRWpZS3JMQVcyQ3huOENRN0ZUZDA4bERPbDZqRFdQbytVL2xjRHcvQys2Y2Y0WDNXR2ZjOGxqZGFqZFZSRzJyQ2tXMktaMFpkcVVoc3BnSHI3alJNajduWDJ1aUtVdnREUkx6YVo3blQ1a1hKb0NmYW9PdGJzcUlFNWYxZFFtYWxGOFhSN08vNkxMZnhVS2dsTDJXSGxMc1Q4aHRmRWZ5Z0FBQlIvSmdXbldmS1h5dnkzQStWOTBvL0Vid1MwWHRZbGE1SDBnQ3huVDg1alN0aVpqKzZPMTBDUm9nazYrUXgwNzh4MVBXeCtvUmxKRklyTGZsWTdpVCtiNWcyeEhyd3RIdjMwYTNpa2ZVamRiVVBZM2hmNis3b0lvb1BpNlBLUmJVM0R1SjUyNDhIeVBjbEorWlZyRTEyTFdQTFlZb0ZQTXlGNFpJOGZzS0w1dUNSUGlZcVRray9sS3g0c0ZsR1M3aHR6K29IeDJjQzVvQlJpekRLaTV2UXltZ3NDVGozQVp3QlAvM0JLeFpNVTE1TWJaNzdlajhHTzVBSURHZXhlV2JTdTZOaGNWTnhkQm02akI0TUVSdFArcUd4bVhwTUE3NVFORUFkVmZLY09SYnpaanZIVVMzaWtmWkJrWVBqS0d6aGQ3ZzVha3A2VkpxVTNDNkFrN1R2MXJHd3laQmtndUh6YnQzaEEwRVhEdzBDak9QdFdPakV0U1lFalh3N0RNRXdYWnBqUllMTnVVeWo0Wm0rNnRoRDQxK245SFE3b2VtKzZ0REpvSVNMRzEyR3g2d1llei9mT2M1azRLTHJ3bUI0WFg1Q2lCcHp5OWtGR1lmOEkwYStEbkpmT0tOR1JlRVRtNG5XM205eWVXY3hVcWJ3MmNXcENRWTBESmpma3dGUmpEVGp3M2w1cXc1ZjRObUdpZkNwb1lPeGV6NXJISEFKMWlwbi8vTUh3T0thaWpTYnpNemhiUC9CaDZKN3loSHl3cmJSbVRhNEsvcUF6cGVteC90SFpCcjEzMzljcVE5M3VtWDcveEc4MUl5REw0UzJFV21rRVh0WUsvTktqbjlRRmtYcDRXY09uVGtLYkR0dS9XUW12U29PV0hGeUI1SkpSL3RoQ24vLzA4VXJkYUZuUmxnU0t6dlQ2QXRwOTNvZkNhSEJSOE5CdW5IbS9EMFFmT29Pb0x4VWpkWklGMzBvdjJYL1dnZDk4ZzhqK1lqZEsvemw4VmMzblpwalF5aDgwWnNRTlRwTXltOVo4MkJwM3NVMnd0TnBzKzM2VG5oWlJ2cWwzT2V6S2llbHlrNEp4WjgrWERBSjFpd2pQdXhZVzlQY3JsUVJXV1VSZ3o5UkMxQWk3czdZRm53aHNZUEVoS3picHIySTEwNi9LZVhBd2VIQVVBWlA5Rk9rcHZ6UGYzdHhVTm9yKyszVFB1aGJQZkJWRXYrbXZidzJVOHg1ckhNWEYrQ2h1K1ZBcFJKMERVaVJodUdFVktuZEtIZC9MQ0ZFYU8yMUh3MFd5a2IwdkJodHRLa01qQUlLWThrMTZVMzFUby83R3J2Yk1jN2IvcXdjbEhXNUZjWmNiRUJRZDBGaTFxNzZ4QTZtWkx4SDJ4VGFsaXRiUXBGVVFCTzM1VUgzUi9wUFozK3ovWE5POTRLWGFXdTIvNmVzYXMrZkppZ0U0eElia2xpSG9SeGRmSHY3d2xGRTJDQmhXM0ZLUDlWOTA0OStQT29PMzZaSjIvaGRaeXludC9KcEtyelJGZnh6M2l3ZEVIenZodko1VWxJcVV1ZEdDWHZERUo5WHMyK2p1SUZINHNCKzIvNm9iMHM0dkxWVnVxelA3Z1pERzEvUlJaMGNlVk1pV2ZVOEo0MnlUc3B5Y3dkbW9ja0pWU0pza2pRWEpMR0h4bkJLNUJOMHo1UnVoVGRkQlp0QkIxWWtDcEE5dVVLbFpUbTlKd3ZkQ2puZEJIeTIrbFZpRmRMNWcxWHhrTTBDa21ET2w2MU8vWkdMTExTU3lsYnJJc3V0OXoxbzQwWk8ySXZnNHdHaHUrWEJxd1hQSjhqRmtHR0xNdVRod3pseWcxZnJPdk9pUVdKdUN5NzIyR0lDb1Q0dWJXc2xmZFZoTHdlRlAreGVCbXBrNlNscDhzeVdqL1pROGNOaWVtZXB4Sy8zSlorZmRMM1d4QnhjMUZNSmVaNEJuM1l1alFLRVpPMk5IeGdpMmd4YUdsVWluZG1Ja0wyYVowY2VMVnBsU1c1TEFuQUp3TXFqN01waThkcytZcmh3RTZ4Y3h5QitlQXNoeXhtcjVJTXk5ZldrWmFrNkFKZmo5QzVEckkrV2JTMDhvUVJHVjFTYys0QnprNzA2RTFhV0dlN2hNK1l5YTdtckxaZ3BUcDhoYXYzUXZ2bEJlZUNSK1NTazBCU1Z1MktWV3NoamFsK2xROUttNHVDcXJqdGJkTW9QK3RZUlJmbjZlMDU1dWo5NDNCQlUwc3BkaGlObjF4bURWZmVRelFpWWdXYWZaUzkvT3RLRHBielIzbElVL3UyS1owQWVMY3BsUnlTMHJMT2hsd2pYaHc3a2NkcUxtakhLMVBkeWlycHc2NGdnSjA3NVJQNlJhMUFza01pb3paOU9neGF4NGZETkNKaUdJazNNVEEyY0lGOG14VGV0RnFhRlBhOStZZ2V2Y05JYTArR1pMTGgrRWpZd0NVVldXYm4yakQ4ZStjaGZYaFdoZ3o5VGozNDA2NGh0MG8vMndoYkg4WWdNOGxvZXd6QlFzYU04VWVzK21STVdzZVh3elFpWWhVZ0cxS0wxSjdtOUxFd2dUMHZUV3N6R21aRThNWjB2WFlmRjhWeHBvbi9KTzNKeTVNUmsvRTRRQUFJQUJKUkVGVXdlZnd3WkNtUi9uZkZ1TE1VKzFJMlpnVTFDK2I0b1BaOUdETW1zY2ZBM1Fpb2hoWmJPY090aW1OamxyYWxQYTlPUVRYa0JzNVYwOHZCWitrTEFYZjkrWVFMSlZLUUdmTTFNTmhjMktpZlFvVGJWUElmVjhtQUNEenlqUU1IQmpCWktlREFicUtNSnV1WU5aY1BSaWdFNFVScVpjeFVTaUw3ZHpCTnFYUlVVdWJVbU9XQWNVMzVNRXczZHBSYTlhaTZOcGN0UDIwQ3o2bkwrQTFSTDJJbEUwV0ZNMWF3WGZqN1dWcmFzR2J0V1E5WjlPWk5WY1hCdWkwN29Ycll3eEV6b2pPWGNxZDFyZVNUK1loNXowWjBDWkcvbHJ0ZXJrWHByekFrejYyS1kyT1d0cVVwdFFrSWFVbUtlQytvby9uK252aXo0ZkJ1YnF0dDJ3NnMrYnF4QUNkMXIxSUM1bEV5b2lHYWxWSDYxZkJSNlByUHgvdWNXeFR1bkJzVTByTGFUMWswNWsxVnk4RzZFUUkzWDBqWEltTHcrYWNkNkVYSWlKYS9kWnFOcDFaYy9WamdFNkU4Q3NyTWhBbklxSzFsRTFuMW54MVlJQk9CS0R1bmtvWXN3MEI5eDIrNDBUSSs1MTlMaTdqVFVTMHpxejJiRHF6NXFzTGx6T2pkVTMyeWRoMGIyWFlIc3FoR05MMTJIUnY1WUtYSXljaW90V3ZzYkh4Z01WaXFRZndpQ3pKVXZjcmZXamNyU3hzcFZianJaTm8zTjJNN2xmNklFdXlCT0FSaThWU3orQmN2WmhCcDNYTllYUGkrRVBocytHUk11WFdmOW9ZdERJaUVSR3RmYXNsbTg2cytlckZBSjNXUFVFVXNPTkg5VUgzUitxRHZ2OXpUU3N4TkNJaVVqRTExNmF6MW54MVk0Qk9oUEM5MEJlN01pUVJFYTBQYXN1bU0ydStOakJBcDNWUGx1U3d2ZEE1R1pTSWlLS2hobXc2cytackJ3TjBXdGYwcVhwVTNGeUVuUGRrQk54dmI1bEEvMXZES0w0K0R6cEw4TWVrOTQxQjZGTzVraWdSRVYwVXIydzZzK1pyRDYvZDA3b211U1hvazNXQXJKU3puSHJzSEFDZzlla09qSjBlaDNQQUZmUWM3NVFQcmlIM2lxejhTRVJFcTg5S2RucGhoNWExaVJsMFd0ZjYzaHhFNzc0aHBOVW5RM0w1TUh4a0RBQlF1NnNDelUrMDRmaDN6c0w2Y0MyTW1YcWMrM0VuWE1OdWxIKzJFTFkvRE1EbmtsRDJtWUk0dndOYWlxWnZOTWQ3Q0VTTE50bmxpUGNRS0lMbHpxWXphNzYyTVVDbmRVdVdaUFM5Tll5c0hXbkFuTzlKUTdvZW0rK3J3bGp6Qkl5WlNpbkx4SVVwK0J3K0dOTDBLUC9iUXB4NXFoMHBHNU9RWmsyT3craHBpVG9BRkRIQW9iVkFsdVdPZUkrQndsdU8yblRXbXE5OUROQnAzZXA3Y3dpdUlUZHlybGJxejNWSldrQlE3cmRVS2wrYXhrdzlIRFluSnRxbk1ORTJoZHozWlFJQU1xOU13OENCRVV4Mk9oaWdyMEtDSUd3VUJLRXMzdU1nV2lxZnp6ZmUxTlIwSWQ3am9NaGlsVTFuMW56OVlJQk82NVl4eTREaUcvSmdTRk15NUZxekZrWFg1cUx0cDEzd09YMEJqeFgxSWxJMldWRDBzUnovZlJ0dkw0TWdxbU14Q2xxWWhvYUdLUUNoVy9kUVRGaXRWaGtBR2hzYitTRWhtcmFVYkRxejV1c0xBM1R5VzYvMXVBTnZEd2ZjTm1hRTdzN2lIbkxqK0QreDdTTEEybGNpb3NWYWFEYWRXZlAxaVFFNkFhekhwVVZpN1NzUjBlSkVrMDFuMW56OVlvQk9yTWVsUldIdEt4SFIwb1RMcHVlK1Y1bnZaUHY5QUxQbTZ4UURkR0k5YmdTc295VWlvdVUyTjV2ZTgxci96RUliekpxdlV3elFpWWlJaU9Kc1RqYjl2NmJ2dm9WWjgvV0pTeUVTRVJFUnFjUjBRRjREb0liQitmckZBSjJJaUlpSVNFVVlvQk1SRVJFUnFRZ0RkQ0lpSWlJaUZXR0FUa1JFUkVTa0lnelFpWWlJaUloVWhBRTZFUkVSRVpHS01FQW5JaUlpSWxJUkJ1aEVSRVJFUkNyQ0FKMklpSWlJU0VVWW9CTVJFUkVScVFnRGRDSWlJaUlpRldHQVRrUkVSRVNrSWd6UWlZaUlpSWhVaEFFNkVSRVJFWkdLYU9NOUFDSWlJaUtWMFZxdFZzOVNkdERZMktnRDRJM1JlR2lkWVlCT1JFUkVGTWg3NHNTSmplRTI1dWJtN2twUFQ3K2xxNnZyeTZPam8yK0UyOGN5alkzV0FRYm9SRVJFUkhPNDNlN1RJZTdXRnhVVlBaR2VubjdMeU1qSXIvcjcrNThFb0FIZ1crSGgwUnJIR25RaUlpS2llZWoxK28zVjFkVUhNakl5Ym5VNm5TZFRVMU0vbVphV2RtTnRiZTJaMU5UVVR3RVE0ajFHV2pzWW9CTVJFUkdGWjhqT3p2NUdUVTFOZzE2dkwyNXJhL3Y0d01EQVV3QXdQRHo4MnZqNC84L2VmY2UzZGRiN0EvK2NvejFzeTN1UGVDUng3RFN4MHRMSnBRVXVlN1JRWmk4dFpWM3U1YlpBb1MzelVrb0w1RUlMRjdndEYzNXdvV1VVMnJSUVNsc29sRUJuaHVVTU84N3dpS2M4WkV1eXJDMmQ4L3REbGkzWmtpM0hqaVhibi9mcmxWZXRjNTV6OUpWckp4ODllb2JyeVpxYW1nZTJiOTkrSUNzcjY0cDBGMHNiQXdNNkVSRVIwVUppWGw3ZXU1cWFtanJLeTh2dm5wcWErdE94WThlYUhBN0g0ekZ0N1AzOS9UZWZQbjNhTEVsU29LR2g0Ym5xNnVvSEFaU2txMmphR0JqUWlZaUlpR0prWjJlL2NjZU9IUjAxTlRXL0JSQTZjK2JNVzN0NmVxNEJNSktvdmR2dFBuNzY5T2xYRGc0T2ZzSmtNcjE5MTY1ZG5YbDVlZTlhMjZwcEkrRWtVU0lpSXFJWW9WQm9CQURPbmozN2tjbkp5UWNBcExMa29qdzJObmJmMU5UVWt4VVZGVC95ZXIzOTU3ZEsyc2dZMEltSWlJaGllRHlldGhNblRqUUN5RmFyMVhYenp6dWR6cjg0bmM1R3RWcTlmZjQ1bjg4MzNOWFY5Ym8xS1pRMkxBWjBJaUlpb2dSeWMzUGZ0bVhMbGdlWGMwMXZiKzhIN0hiN0w4NVhUYlE1TUtBVEVSRVJMY0ppc2VRQ2NDelJ6R1EybSsxclVROXRmSndrU2tSRVJFU1VRZGlEVGtSRUs5TFMwbEl0Q01MWlJPZk1ack1jKzFpVzVacTJ0cmErTlNtTWlHaWRZZzg2RVJHdFNGdGJXNThzeXdlWGFpZkw4a0dHYzFxUHRGcHRIb0NDeGY3TXRDRmFGZXhCSnlLaUZSTUVZUitBVnl6UjVwRTFLb2RvVmUzWXNhTTczVFhRNXNLQVRrUkVLeVlJd2o1Wmx2Y3Uxa2FoVU94YnEzcUlWdE9KRXlmcWZEN2YxR0p0dEZwdDlya0UrYWFtSnFOS3BhcFBkRzczN3QyN1l4OEhnOEd1am82TzZlVStCNjAvRE9oRVJMUmlyYTJ0M1dheitTaUFYWW5PQzRKdzVOQ2hRejFyWEJiUml2ajkvbFBqNCtQLzQvUDVyQUM4aTdYMStYelRvNk9qOS9qOS9oUExlUTZEd2FBSmhVS0hBU2ptbnhORnNTM21ZY2hnTUpRQVlFRGZCRGdHbllpSVZzWE1NSmVFSkVsaTd6bXRPeDZQNTlEQXdNQi9ZSWx3UHNNM05EVDBXWS9IWTFuT2N4dzhlSEJDbHVWblUyajY3TUdEQnllV2MyOWF2eGpRaVlob1ZTd1d3aGNMNzBTYlhZcS9IL3dkMmtRWTBJbUlhRlcwdGJXZEFIQXl3YWxPaThYU3VkYjFFSzBYS3BYcWR3RGtSWnBJb1ZEb2QydFZENlVmQXpvUkVhMm1CYjE4N0Qwbld0eUJBd2RHQVR5M1NKUG5qaDA3TnJaVzlWRDZNYUFURWRHcUVVVnhRUmdQaDhNTTZFUkxXT3lOckN6TC9CM2FaQmpRaVlobzFSdytmUGlJSUFpOU1ZZDZqaHc1Y2pSdEJSR3RFOEZnOE5GazV5UkpTbnFPTmlZR2RDSWlXazN5dk42K2ZWaDhiQzBSQVRoMjdOZ2dnQU1KVHIxODlPalJvYld1aDlLTEFaMklpRmJiYkVEbitIT2laZUVjRGdMQWdFNUVSS3ZNWXJFY0JEQWtDTUpnYTJ2cm9YVFhRN1JlSk5wdE54Z01NcUJ2UWd6b1JFUzAyaVJCRUI2ZEdUY3JwYnNZb3ZYaTBLRkRQWUlnSElrNTFIYnMyTEhlcEJmUWhxVk1kd0ZFUkxUeFNKTDBpQ0FJSEh0T3RFeVNKTzBUQkdIM3pFUDJubTlTN0VFbklxSlZWMTlmLzBKZFhkMkw2YTZEYUwySkhYUE84ZWViRjN2UWlZaG8xVDM4OE1QaGROZEF0QjVaTEpaT3M5bDhBZ0JhVzFzVDdjeExtd0FET2hFUkVWRUdtVm1xbEVQRU5qRUdkQ0lpSXNvSUxTMHRCd1JCZUVXNjY4Z1VaclA1UDlOZFF5YVFaWGwvVzF2YlZlbXVZeTF4RERvUkVSRmxCSVp6U2tRUWhDdlRYY05hWXc4NkVSRVJaWlFySGpDbnV3VEtFTTlmYjBsM0NXbkJnRTVFdEFMOFNKNldhUnJBK3l3V3l4UHBMb1NJTWhlSHVCQVJyUURET1MyVEVjQWQ2UzZDaURJYmU5Q0ppRllCUDVLbnBmUS9aa1gvWTFZQVlPODVFUzJLUGVoRVJFUkVSQm1FQVoySWlJaUlLSU13b0JNUkVSRVJaUkFHZENJaUlpS2lETUtBVGtSRVJFU1VRUmpRaVlpSWlJZ3lDQU02RVJFUkVWRUdZVUFuSWlJaUlzb2dET2hFUkVSRVJCbUVBWjJJaUlpSUtJTXdvQk1SRVJFUlpSQmx1Z3NnSWtvM3M5bjhhUUROZ2lBODZuUTYvOUxWMWVWUGQwMUVSTFI1TWFBVEVRSDVBRDRreS9LSHNyT3pwOHhtOHg4QTdCTUU0VSt0cmEyZWRCZEhST3VMTE1rUVJDSGRaZEE2eGlFdVJFVHhzZ0ZjQitCUldaYkg5K3paODNCTFM4dDdMNzc0NHV4MEYwWkVtVU1LU0xCODdnUUdueHlOT3g3eWhISDRsbmE0Qjd3cDNjZlY3Y2JoVzlveDNYZHVmUUZTUUlMMXIrT0FmRTZYeHpuemt6NE1QRDZ5OGh2UmlyRUhuWWdvT2Iwc3k5Y0tnbkJ0TUJqMG04M21Qd3VDc0M4UUNEeCsvUGh4ZTdxTEk2TFVETTBMMGVlaTlMV0ZFTlZ6L1pyT1RoYzh3ejdvaWpTUXczUHBXS0VSWWFqU1krakpVVFI4cERyaHZRVEZYTy82NkhNVENMckQwSmRxejZrdVY2OEgzUThNSU93Tm8rSXRKUUNBNTYrM3BIUnQyZXVMVUh0ZFJlU0JERXdlbVVMVjIwck9xUTVhWFF6b1JDa3dtODJQcExzR09xK2FVbWlqQWZCV1daYmZxbEtwc0dmUG5rbFpsajkvdmdzam9wWHJmV2hveGZjb3ZEd1A2cGlBUG5sa0Nwb0NOWFNsV3J4d1kxdkNhOFplbUV4NC9Jb0h6QUNBMEhRSTR5OU1JdXlYOE9KSGppeXJucGE3R21HbzBpRm5teEdscnk1RTN6NHJURTNaTUc3UjQ4SjdtNEd3ak1ralR1UzE1QURSNFRhU2pMRVhKekgwMUJnTUZWb1VYWkUzZTcvcHN4NEVuVUdvODFUd1duMXh6NlhRS2VBWjhxRjk3NW1rOWV6NnoyM0lxamNzNnpWUWNnem9SSXR6QWNnQzhNNTBGMEtaUlpibFBBRDNwYnNPSWxwYU5CQW44dnoxRnBSY1ZZRDZHNnRTdnA4Y2xtRTdhRWZWTzBxaEs5SGdvdS91UEtlNmhwNGVneXdCdTc2eURVcTlZbG5YYWdvMXMxL1h2THNNRXhZSFR2KzREK2E3RzZFdFVNUFY1Y2JRVTZNWWZtWWNGVzhwaHRLZ1JQK2p3NURETXJaK3RCcjVGNXJpN21jNzdBQUFkUDUzejRMbktyb2lIMFdYUjhMOHppOXNoVHBuTGo1NlIvdzQ4WjN1WmRWT1MyTkFKMXFFUXFIWUhRcUZrdi9OVGh1Q0lBanZBL0NPRkp1SFpGbnVGVVh4RWJWYS9XMi8zejl4UG1zam9zd3plY1NKb0N1RTRsY1ZRRkFJVU9vVmVPbGpTL2VBeDc1UjhOa0NHSHA2REtXdktZQXFSNVh5YzZzTUNpaDA4V0Zlb1ZPZy9zYXF5SEVoY20rVlNZWG16MjNGMlBNVDZQMzFFTUxlTUhKM1pxUHUra3BBSWNCbkN3QUF0QVZxUUFiR1g1aEUxZFdscUhwSEtWNzYyRkZVdnIwRUZXOHVubjBPUjRjcjByNUlBMDNlWEwyeHczdG85VENnRXkzaTBLRkRQUUFXZGlmUWhtSTJtM2N2MGNRSDRDbEJFQjRCOEVlTHhlS011ZmE4MWtaRWF5TmdEMEtkbTFwUUhucHlEQUFnS3VOWGFqRi9ZMGZDZS9oRy9EaHl4OG00WTkwLzY0ZENJNkx5NmxLOC9QR2pLZGU1NWIzbEtIOVQ4WUxqZWJ0elpyOCtmRXQ3d212dHg2ZHcrTmFPdUdOWFBHQ0c3YkFEZm50Z2RzaUxMTWx4NCtScDdUR2dFeEVsTmczZ2o3SXNQeElPaDU4NmR1eVlPOTBGRWRINTRSN3c0dkJuMmxGNGFSNXEzbHNPVlZieWVEUjFlaHBUWjZaWDlIeERUNC9CZm13SzIvNTlDNVI2QlM3N3lWSjlCSE5pZy9Qd244YlE4OHZCMmNleFBmUjc5dTZBYm1iaXFkZnFRK3Z0SitMT1I0OEJRRmFkQVEwZnFZYTJLREpzUmdwS0RPaHB4b0JPUkJUdlFWbVdIOG5KeWZuei92MzdmVXMzSjZMMVRsZWtRVmFkQWRabnhqRmhjYURtUGVVb2VWVUJrQ0NqOWo0MEJLVmVnWkFuUEhkUUFKUkdKU3hmT0pGd3VVTkJGS0EwemtXdXlWWUhDaS9OaGJGYXQyQkM1bUpVT1Nvb1ZYTVRWWXV1eUVmdUJkbVlQRHFGM2w4TnhyWDFUd1loekxUMVR3WUJZSFpZUyt3eEFGRG5LRkZ3VVM3Q1BnbFNVQUxreUVzUCs2U1VhNlBWeFlCT1JKdWVJQWova0NUcGhVQWc4TmVPam83QTBsY1EwVVlpYWtUVVhsZUJvc3Z5Y1BySGZlajZhVC9HWDVoRS9ZZXJvU3VabTR4cFArcUVxOHVOdWhzcTBmM3pBUUJ6b1hmM25kdVhmSjVvMjhxclM2RXIxZURRcHhJUFJVbW0vb05WS0hsMXdleGpwVUVCcFVFQmRkL0NOZGNUcmJpU2JPakwySXVUT1BQanZyaGozUThPb1B2Qmdkbkh6YmMzTEt0V1doa0dkQ0xhOUZwYlcvK2M3aHFJS1AyTVcvUm91WE03K2g2MVl2Q1BJMmo3VWlkcTNsV0dzdGNWQVFLZ3I5U2g3UFZGTU8zSW1yMG1XZWhkVEhTb3lXS3J5OHlYNnRybVVjc1o0bEo0Y1M1TVRaRzkyS2JQZXRENTNXN3N1S1VPaGlwOVhIdGFPd3pvUkVSRVJETUVwWUNhZDVjaGIxYzJUdDNmQy92eHFVaEFCNkRKVTZQMi9SWHdqc1NIMWRnd3ZKallVTHpzdWtRQnNwVDZpaW5MR2VJaXFrVm84aUp0N1Vjanh5Y09PWkMzSzJkMm1BOEQrdHBpUUNjaW9nMUZEbk1GQ2xxNTdHMUd0TnpWQ0ZsRy9GajBlVDlhaFpmbHdUM2dUU2w0WDNoUE13b3Z5MXV5WFNLaVJvd2Y5NzZFNVF4eGllVm9uNEpTcjhEb2N4TlFHcFhZOHI3eVpkVkpxNE1Cbllob0V3dE9oUkJ3Qm1HbzBNRTNzZmp3ZTAydUtpNzQybzlQNGV4dmh0QnlWMlBTYTE3KzkyT29mWDg1aXE3SVgzWnRZeTlPNHZRUHorTFNIKzJHUWl0aTRQRVI1TzZNN0pTWWpQUGtORHEvMTROdC8xcU4zRjA1U2RzUnBTSjJZbWN5Mno1ZUF5a2tSM2J2akhINGxuWTAzOTRBYmZIY0dIWnR2aHJiUGw1elRyV29jNVR3VDBaK1I0UE9JRWIyVDZEeTdTVkoyeWNhNG5MNS83VkVKb0FxQkRnNlhUaHhiL3dHUTBGWENKTkhwbEIxVFFta29Jeit4NnhRNTZwUS9vYWljNnFaemgwRE9oSFJPakN5M3dhYzQ0SUswVWxsZmxzQVl5OU13RDhSaE04V2dHZlFpNEFqQ0YySkJydnZiRnl5ZDIzK3gvZ2hkeGp1L29XVDAyS0Zwa09RQWl2ZnlDVHNsekIxeG8zK3g2eW91cm9FbFc4clRiakNobkdMSG9KQ1FOZi85V1BQdDVvZ3hxeDRNZjZ5SGFmdTYxMXdqU0FLdVB4bkxTdXVrVFl2VVNsRU52eVpSNU9uU25qOFhPaEt0SENmamZ5KytTZUNHSHh5ZERhZ085cW5BRVIrVHhRYU1lazluQ2VuNDNyV1M2NHNpRHMvOFBnSUlFUldoMUdiVlBCUEJORDc2MEZvOHRXek81MUtBU2x1ZFpmVitQMm1oUmpRaVlqV2daNEhCaUNGenUwZndtaEFGeFFDbkNlbm9TM1d3TkUraFlhUFZzUFVtQVZOdmhwaGYrUWYzTVpQMWlMM2d1d0Y5M2p4dzB2dmtpaExjc0lsNW1SWlhyRGI0SEtIb0NnMElwcHVxY1BnRXlNNCs4Z3dWRm1xMmRjVjhvUVJkTTZOcDgzZms0T1FLd1MvTGZFbkFudjI3cGo5dXUrUllVek03VHRGdENxV00xWThWVm4xQnZUdEcwYkFIb1IzMUQ4Yi9JZi9OSWJ4bCswd1ZPblE4NHNCTkh5b0dudjI3b0MyY0s3blhwMnJ3dmFiYXBHejNZaVd1eHNoaDJVbzlZclpkYzhCd0hscUd0Wm54bEgrcGlLb1RaSE5sdXB2cklKdjFJL3VuL1dqL3NZcUFFRHJiZkViSGRINXdZQk9STFFPWFBiVDVEMjh6MTl2UWZrYmk1Y2NLNnJPVmMwdWxUYnlyQTNaOVFabzV2WHVDUW9ocnRjNUVmOUVBRkpBUXNBUkNjWFJ5V09uZjlRSFYvZkMvWnk2Zno0d3V5UmQxSEpXcjVnckRxaDRhd2xNemRrdzFzd05jNWxvZFN4WUlnNEFiSWNjY1krMy9mc1dBSmo5RkNEc0M4TiszSVhjblF2ZmtCQ2RDMmVuQzRJb3pINnlGTzExWGcwRkY1blF0MjhZdmIrT3JIZHVxTmJEY2NLRjNsOFBvZjdEVmNqWm5vVmpkNTdDOFcrZVFlbHJDeUdINWNqdnNrS0FxQkNRczlXQWtDY01sVkVKS1NSRERrbHdEM2doaDJYSVllRGs5M3FncjlDaTZwclMyZWNVRkFLMjMxeUxzRitDYjlRUEFOajkxZTFRNWN6dGx1cTEraEtPZDZlVllVQW5JcUpsT2YyL1orRThPYmVUWW5SeTNFWGYzUWs1R0Q4TzUvQ3RIYWgrWnlrS0wwazhNUzZWcGVOZStsankzbnRUVXhhYWIyK0FPbHNKMzFnQXBmOWNHSGUrOTFlRE1OWWFVSGhKTHNaZnRzZWRHLzNIQk1LK01DcXZUajZPbDJnNWhwNGF3K1NSeUNjeVJWZmt4UVhabGRLVmFsRnlWUUZHbnJWQkVBWHMvT0pXaEwxaEZGeWNpK0pYUnVaNDdQN2FkZ3orWVFSbmZ6dUVvRE1JS2JqdzA2djVGRm9GNm02c2hFSXJZc2VuNmhhOFFWZGxLYUhLQW9LT0lQVGxXbWp5VkhHdlN3NUswSmRySVM0eXRJYVdqd0dkaUdpVEdIcHlGTDBQRGMwK2psMTE0dElmUmJZYW56OXBMSkdkWDlnS1lHNU05MUs5NGFvc1ZkeEV1Vml4dzAxaU9UdW4wZld6L3NqMU9TcnN2TDArNGJDWWFDZ1ExU0s2ZnpFQVpaWVNoWmZrQWdBbTI1d1llbm9NemJmVkw3aE9sbVFNLzJrTStYdE15S28xTEZvL2JXdzdicW1ESm45NTQ4UTErZXFFRy9jMDNsd0xLU1NsOUVuVXVhaS9vUXBGbDBhQ2YzUURwWnp0eHRuemFwTUt0UitvUkczc1JUSWdoYVJJVDdrRUNBSWk4emNFSWZLMUtFQlVDc2pmblFPRkxubVBmMWE5QWVadkxQeDkxUlpyRWg2bmxXRkFYMk43OXV3cFdMb1ZFYTBYc3J4K0prZ1Z2eW9mZVMwNW1HaHo0dXhEUTJqNmJEMjBoWkZnSW9pQXBrQ042bmVVSWF0dTRTb3A3ZC9xV25MY2VNZ2RRdGkvOFBzUjhvVGkxbHpXNU0zMXZpVmFPMW9PeStqOFhnK010WHBNOTNpZ3psRmk2b3diSlZjbC8rc3pwekVMWmY5Y0JHZW5DNFdYNUNMb0RPTE1UL3BRK3MrRk1EVXZITUppTytpQWZ6S0lwbHU1aE54bWw3ZDcrYXY5aUdvUnBxYXNCY2NGcFFDRmN2V0d0U3g4Z3NqeWovTnJXZW9hVVNVQ1MzVG1MeGJPYWUweG9LOHhXWmJIMDEwREVXMU9Tb01TU29NU3ZqK05BUUMwaGVyWmdCeHdCckhySzl1U1hoczlKNGRrQ01yNG9DNEZKRGhQVG1QMDc3WUY0NzRCNE94dmgzSDJ0OE96ajVmcWNSOStaaHdoVHhoVnJ5OUNWMDgvS3Q5ZWlxNy82MGYraFNhb3NoYitzelYvbU16STMyeXpYMXVmR1lmMW1jaGZ1L1VmckpvOUhwd0tBakxnUE9tSzI4cWRpQ2dUTUtDdkVVRVFIcEZsK2FwMDEwRkVxMjc1QzN5bm1lTjRaRW0yb2FmR2tHZk9RZDd1SEJ5ODZYaEsxKzc4ZkFOeUdyTVFkSVV3M2VzQkFCejR4REdJYWhFWGZiY1pCYTl3NHVSOXZkaXp0MmwySllpb016OCtDNzg5bU9pMnM2YjdQT2o3N1JEcVBsZzErMFlnZDJjMmpGVTZkUDk4QU52L1k4dUNhNUlOazFsdzc3T2UyYS9MWGxjRXlFRFgvL1ZEazZkT3VISU5FVkc2TUtDdmtkYlcxbmVsdXdZaVduMW1zM245akhGQkpLU0ttc2hIMlo1aEg4WmVuTVRPTHpUZ2toL3VpbXMzK284SjlQNXFjTUZ4aFViRThXK2NnZk9rYTNaSnhkb1BWQ0ovVHc1RWxZaThQU1lvZFFwTUhMS2o0cTF6a3k4RHppQW1qMHpOTHRXV1NOZ2J4c2tmOUNLcnpvRGlWK1pqN0tYSjJYTzExMWVpN1V1ZHNQNTFIS1d2aVo4SW1zb1c2d0F3M1JlL1pudlo2NHN3MWVWRzl3TUR1UEJiVFFuWFZTY2lTZ2NHZENLaVRXVDB1UW5rN3pIQk0raEYzUTJWNlA3WkFEcS8wNE05MzI2SzIrQkVNVE91TmRFeWNmcHlMWXF1eUlNVWtORDk4d0VVLzlQY2h3aWlVa0RKcXdzeDlQUVlTbDliT0R1dXRmOVJLOVI1S2hSZW1wdXdMaWtrby9QN3ZRaE9oZEI4VzhPQ3NLd3YwNkw2SGFYbytjVWd0SVdhQlQzZVM2MEdrMnhZVGNVYmkzSGtqcE9ZUHV0WmRJZFNJcUsxeElCT1JMUkpoRHhoakw4d2lkMWYzWTZCMzFzaEtnVTAzcndGOWc0WDVMQTh1NTQ1RU9ueEJoQjNESWowVnRkZFh3a0FDNVl0akNwL1l4Rkc5dHNpNnpOL3FBcjJZMU1ZMlcvRGprL1hKWnhvS29kbG5QeEJEeHdkVTJpOHFYWjI0dXA4Rlc4dWdmUGtORHEvMTRQR214ZHVxQlE3NlRYS054NUF4N2U3a241UHREUGp6LzMySUl3TFI4OFFFYVVGQXpvUjBTWmgvY3M0c3JjYTQ1WThWT1dvVUhSWkhrYjIyOUQxMC80RjE4UXV4UWlrdHNHUUtrdUp1ZzlVNE5UOVo2SFFpaGo1K3dSS1gxMlljTFdNc0UvQ3FmdDZNWG5FaVpwM2xTSC9RbFB5R3d1UnpZYU8zMzBhSjc3VGpTM3ZyMEJaekxybnNaTmVVeFhkZkVWbDVBb1dSSlE1R05DSmlEYUpSRU5Eb2txdUxFREpsWFBMR0k0OGEwUFh6L3JQYmNkUEFJV1g1bUg4SlR1R25oNkR0bGlEMm4rcFdOREdid3ZneEhlNjRSN3dvdUl0eFhGajFwTlI2aFZvdnIwQjdYdlBvT2ZCQWRpUE90SDR5ZG9scjRzMTlPUW9YTDBlS0xRaUhNZGRVT2VxdUJZNkVXVVVCblFpb2d6bm1CbUNzaGkvelEvN3NhbWs1M012eUU0Ni9udTErVzBCOVA1NkVKTkhuVEExWmNGeHdvV09lN3BSZDMxbDNKS0dBVWNRbm1FZnF0OVppc3EzbHk1eXgzaXFiQ1YyZm5FclR2NmdGN29TN2V5R01MN3h3SUsyaVk2cFRDcDRoMzJRUWpLTVcvU29mbWZwZ3FVamlZalNpUUdkaUNqRGRYNjNHMkcvdEdnYjJ5Rkh3alhJb3hickNaKy93MmlzUkpNdm16L1hBQ2tnWWZLSU0yNlRGUGVBRjlabnhqSDIvQVEwaFJvMDM5WUFVMU1XN01lbWNPWW5mYkI4L2dUeUx6U2g1TW9DNURRYUl6c1RmcjF4MmNOU2dKbWU5RnZySVV0emIxd1dHMnNlcStpeVBCUmRscmZzNXlRaVdpc002RVJFR2U2aTd6VGpmRzVZR3QxaE5GVkRmeHJEeUxPUnpZREszMWdNSUxJaFVQZURBOURrcTdIbHVncVVYRmt3T3lFMDk0SnM3UG5tRGd3OE1RcnJNMk9ZUHV2QjdqdTJRMmxRbkZNNG55VWdidExwbnIwN0Z0elBhL1V0R0VkUFJKVHBHTkNKaURLYzByajZmMVcvNHZzN1ozZmxqTzR3bXFvdDc2MUExZHRMb2RBcG9OQkdldENMWDVVUGRaNEtlYnR6RXE3VW90QXBVUE91TWxTOHFSaGhieGhLdzlLVE1uTzJHckh0MzdkQVZDMDkvT1RDYnpWQlU3Qnc5UmR0a1FZWDN0c01BREExWmVHQ0wyMWQ4bDVFUk9uR2dFNUV0QW1wYzFSTE4wcENvUlZuZzNtVXFCYVJ2MmVSRlZobUtBMktsTUk1QUdnSzFDaE1FTG9UaVYyWkpwYWdFS0NkdVljcVN3bFZsakdsK3hFUnBaTzRkQk1pSWlJaUlsb3I3RUduOVV3RklKanVJb2lJYUhVdHRUTXMwVWJIZ0w3QjVPVGtYRnRZV1BqaDRlSGhEM3M4bnVGbFhxNVFxOVVONS9yY2dVRGdKQUFZamNabWs4bDB3K0RnNEcwQTRxYTJ0YlMwaEFZSEJ6ODFQajcrZytneHM5a3M5L2YzLzV2Tlp2dmhNcDZ1dExtNStlWEJ3Y0ZQT2h5TzN5M2pPZ0dBR29CV3A5TmxoY1BoTElWQ2thVlNxZklWQ2tXK1dxMHVVQ2dVeFNxVnFseWxVcFhiN2ZhZlRVeE1QRGh6YlVGVlZkWFgrL3Y3YndPUWNMa01yVlpiWFZOVDg1dVRKMDllc295YWlJZ0lnQ3pMK3dWQnVETGRkVkJta1dWNWY3cHJXR3NNNkJ0TGRsVlYxZmNEZ2NDcFVDaVVyVmFyRSs5SU1vOUNvWmoyZXIyREFBcWJtNXM3ei9YSkxSYUxBQUNDSU9RV0ZoWitPaGdNVG95T2puN3pYTyszQkt2UDV6dFpYbDcrVFlmRDhRY0E0Y1VhNStibXZxK21wdVpCUVJBU0RuNlZaVGtRRG9lbnd1R3dJeHdPTzBLaDBHUW9GQm9SQkVFZmJaT2RuZjJLM056YzkvYjM5LzliektVaWdObnZzeWlLUlhxOS9tSUE4d2ZqT2pIdnpRb1JFY1ZyYTJ1N0t0MDFaQUt6MlN3RGMvK3UwdWJEZ0w2QjFOVFUzSzlTcVVwVUtsWEpjb0syMCtuOFkzZDM5MXVpajN0NmVxNlozeXV0VnF1Yjh2UHozMmUxV3U4QUVJbzlsNStmLzhIcTZ1ci9pejUydVZ6UGpZeU0zRkZXVnZZMWw4djFWNC9IYytoY1gxTkxTMHNvV2FpT01wdk5vVVRINS9YS0t3UkJVSnc1YythS2NEanNEWVZDWGxFVVBUNmZieHFBQzhEQzNVem15Y3JLdXNMdGR2OGRNVzhHdEZwdDFZNGRPM29UMUdTUGZXeXhXQW9CMkpaNkRpSkhtNUdCQUFBZ0FFbEVRVlFpSWlJRzlBMml1TGo0MDdtNXVlODVmZnIwYTZhbnA1OWQ3ZnZyZExyRzB0TFNMMXF0MXJzd0w2QW5ZclZhdjVtVGszT055V1I2czhmajZUU2J6YTdvdWNyS3l1OVhWbForUDdaOVZWWFYvVlZWVmZjRGdNVml5VVhNRUJLcjFmcmxpWW1KUjZLUDFXcTFNaEFJeks5QlVLbFVtbUF3NklzZUNBUUNJL1ByY3JsY0w2VHdjaFBLenM1K28wNm4yeDN0MlppWW1Qako2T2pvWFRNMUN6TzFiVzl1YnU2TTZmVXd4cjUySWlJaW9xVXdvRzhBZVhsNUh5b3ZMNzluY0hEd3M4RmdzRit0Vm05UDVUcUZRdUgyZXIwRHljNUhnK2k4WTk3bzF4NlBwL1hreVpNWEpyazhkUExreVZjQzhBQVEydHZiR3dHZ3VibTVZMlJrNUc2YnpmYXJhTVBtNXViTzRlSGhPeVluSjM4emN5aHV2L0pnTURnU0hkK3VWcXUzYjkyNjlmajhqLzNVYXZYMmJkdTJ0WjJ2andQVmF2VjJyVmJiM05uWmVYRTRISjVxYUdoNDNPdjFub3llbi8rOVN2UzlJeUlpSWtvRkEvbzZaekFZZHRYVTFQdy9xOVY2OTlqWTJQMHRMUzFUZ2lDazlQOTEvdENXK2FLaEdnQnljbkplVjFsWitkK25UcDNhRlF3R0F3QWdpcUkzMmJVelBEUC9sYU1CR3dDQ3dlQm83R01BQ0lWQ0M0NUY2Zlg2Szh4bTg0OWpqeVVMd0xISHo1dzU4MHFYeS9WODdQbFUzN3hFUldzcUtpcjZ1TXZsZXRycjlSNEVVS3pSYU9xbXBxWWVSbVRTS1N3V1M5Wk1yVnUzYjkvZUduME13R0EybXhmMDVCTVJFUkVsdzRDK3pybmQ3cU5uenB6NUo1Zkw5YnhPcDd0WUVBUmxaMmZueFROQk1xdXVydTdYNCtQalA1aWFtbm82OXJwdDI3YTlJRW5TOUdMM2pnM01nVUNnZWViNVRnUHdKYnVtdUxqNFUrWGw1ZCtKUGs3UW95MElnckNzM21XdjE5dmEzdDcrVFFEUWFyVmI2dXZybjR4OTg1RHNlQ0FRNkp0L3IrVk9nclZZTENvQStvS0NnbzkxZDNlL3U2cXE2bWMrbisrNHgrTTVKSXBpTUJ3T0czdDZlcTdSYXJVRk15OHVkNmFlZ3BsYmlEMDlQZGRvTkpvY3Y5L1BNZWhFUkVTMEpBYjBEU0RhUzV5VmxXV1daVG5rOVhxUHpaeWFkcnZkQit2cjYvODRNakx5dGVIaDRUdWkxNGlpcUY4a29NdUw5RkRIOVpvUERBemNGSHVmMGRIUm45dnQ5cWROSnRPYktpb3E3cGwzdVFoQWtDUkpXczdyazJYWk83OTNYUlRGdURjSjRYQTRBTVMvcVVqRVlyRUlSVVZGdDVTVmxkMTU1TWlSY2tSV1Y1bFBhR3BxT2hrT2gxMklqTGVmc2xxdFgzQzVYSDlzYUdqNFEzdDcrNDZ4c2JGZjdOaXg0NjlhcmJZcDBmTWttampLMmZoRVJFU1VDZ2IwOWMrbzBXaEtnTWhRa0VBZ2NGYWowVlJFVDlydDlsL0pzaHlTWmRtdTBXanFvOGNWQ2tXT0xNdks2REcvMzkrbDErdEZBQWlIdytINVBkVEpCQUtCa2Z6OC9LdGpEdGtEZ1lBOUdBenVqaDZZSC9aako0UW1PbWF6Mlg3ZTM5Ly93ZWc1U1pJV3ZGbElGSUFYSXdpQ1NwYmxNQUJNVDA4L0pBakNmeFVYRjk4NE9qcjYzZmx0czdLeTNxelJhTGIyOXZaK0lIcHNYanNad09pSkV5ZWFsMU1ERVJFUlVTb1kwTmU1M056Y3E3ZHMyZkpnN0xHbXBxWXppZHBXVkZURVBTNG9LTmhTVUZCd0F4RHAzWlZsV1FrQW9pZ0dabnFpMVdxMXVqYlpjeS9WV3gwVkRmdFpXVmtYVlZkWFA5RGQzZjB1cjlmYkhqMC9mNUpvSUJDSTltcUxnaUFvQkVGWXNBUmlva21paXcxZlVTZ1VSbG1XdlFEZzhYaUdKeWNuZjFWY1hQejUwZEhSbnlKK1VxcXFzckx5VzE2djk3amRidjkxQ2krdnhHdzJXNWRxZFByMDZaM1QwOVB0UzdVaklpSWlZa0JmNSt4Mit5L3RkdnREQU5RdExTMk9vYUdoejQyTmpYMFBBSFE2WFhGWldkbi9EQXdNZkQ0UUNNU0Y5bDI3ZGsyT2pZM3R0VnF0ZTZQSEpFblN6ZnpYQ3dCcXRicDJzZEE3TXo1N3lTVVhvMEZlcFZLOVI1YmxvTlBwL0FNQWYyeWJKSk5FY3dBZ0hBNjdZeWQzbmo1OWVtZWl5Wjd0N2UyTmFyVjZlNkkzRGtxbHNqZ1VDbzFISDQrT2puNGxOemYzMnVycTZudjcrdm8rRWoxZVVWRnhsMWFyM1hiNjlPbFhZNG5OajJLZE9uWHFBcmZiYmRWb05LYXNyS3pYMm15MngyYXVWM0NTS0JFUkVTMEhBL3I2SndNSTZmWDZDd1JCVUhrOEhndG1RclBYNjUyU1pWbHNiR3c4ME5mWGQzM001a09DUXFFd2hFSWhKMklDdGlpS2VRQWd5L0w4VFhiaWVxczFHazE5c2w3NlJXZ0xDd3MvNW5RNm44QzhjSjZNV3EwdUJvQndPRHkybk1tZEZvdEZpWG5oV3F2Vk5nUUNnYlBSeHo2ZnIzZDRlUGd6RlJVVjk3bmQ3a00ybSsxL2MzTnovNldvcU9nMnE5VjY5L1QwOVA1VW53OEFKRW15QTdDSm9saFhWVlYxdjgxbSsvRk1EZndkSXlJaW9tVmhlTmdndEZwdEN3Qk1UMDhmaVRuczZ1bnB1YnFpb21MdlRCaVBNZ0lRSlVtYW1uZVA2cGw3REsxMmZWVlZWZDlUcVZTbDQrUGo4eWVPSnFYWDY3Y0NRRGdjN29tK1NhaXVybjR3T3p2N24zdDdlMThiTzJSRXE5WFcxdFhWL2RsdXR6K0NCRDNmQm9QaElvZkQ4WGpzc2JHeHNmdTFXdTJ1cXFxcSt3MEd3OFg1K2ZrM09CeU9SNnhXNjFlV3FxMndzUEFtdDl2OXNzZmppVnRIWHFmVDdRZ0dnME9KYWlBaUlpSktCUVA2QnFGU3FRcUJoVnZNUnhVVkZYMTIvckhxNnVxZlYxZFgvOXhxdFg3WmFyWGVaVFFhL3lrUUNQUURpTHZIdVd5Nm85ZnJveHNZNlV0S1NqNVJVRkR3MGRIUjBYdVhzNU9uVHFkN1JTZ1VHdk40UE1QUlkzMTlmUit1cjYvZlYxdGJ1Nysvdi8vRERvZmo5eWFUNlIxVlZWVS9kamdjdnh3ZUh2N2MvUHRvTkpxdGFyVjZ5L1QwOUQvbW4rdnY3Nzh0T3p2N1RmbjUrVGVHUWlGYlQwL1BKN0JFdUM0c0xQeEljWEh4cDN0NmV0N2g4WGpPQmdLQlBxL1hHd0tRVlZKUzhobUZRbUVxS1NtNWJXUms1TDhCaEFLQlFGOTA3WGdpSWlLaXBUQ2dieENqbzZNL3N0dnR2MXU2SldBeW1hNnFxS2k0cjZlbjUrMGVqK2QwSUJBWUI2REx6YzE5dDhQaDJEZS8vU0lydW9RQVFKWmxSZXpCL1B6OEc0cUxpejhkREFhSHFxcXE3dW52Nzc4MUhBNzd4OGZIdjUvb0prNm44L2VCUUdEQnFpdzVPVGx2Y2JsY2Y1OTNPTkRWMVhWMVdWblozYlcxdFkvNWZMNFRHbzJtWVdCZzRDYWJ6ZmFqUlBmUHo4Ky9VWklrajhQaCtGUE1ZV1YrZnY2L2xKYVczcWxTcVVvbkppWitrWnViKzQ0TExyamd4T2pvNkQyam82UC9DMkJ5M3EyS0FhQ29xT2lUdmIyOU56Z2NqdC9QZkgrMlpHZG52Nkdpb3VKZVFSQVVnNE9EdDVTV2xuNDVQei8vMzZ4VzYrZmEyOXRya256L2lJaUlpQlpnUU44NEpnT0J3UHhBQ1FBd0dBeTdCVUhJQmpBWkRvZU5KcFBwdW1Bd09PSndPUDZJbWQ3aTR1TGl6eW1WeXZ5WnNkTUFBS1ZTT2VWd09QYk5uM1NwMCtuS05Sck5oU3FWcWtLaFVDZ0tDd3MvRkoyQWFUUWEvNm1xcXVwSFEwTkRYM2E1WEU4M05EVHNWNmxVVlpPVGt6ODBHQXpOb1ZESUx3aENRQlRGZ01makNRSlFEZzBOZlZLV1pZM1JhR3lXSkVrVENvVzhHbzBtVDYvWDc3SmFyWGZGUExXZzErdDM1K1Rrdk5sa01yMEZnQ3dJZ2xvUUJIVitmdjROb2lnYTNXNzNzMjYzdXgxelkrdUxDd3NMUHpFeE1mRnpBRzZ0Vmx1ZGs1TnpYVUZCd1VjMUdrMk54K001Tk5NVGZuaGtaT1NPOHZMeWI1ZVhsMys5ckt6c0RwZkw5YXpMNVhwNmFtcnFKYS9YZXpBdkwrOUtXWmFEdmIyOTF6b2NqajltWjJlL09Tc3I2eXFUeVhTMVJxT3BuWmlZK0dWZlg5OG5BVXphYkxaZmxKYVdmcjY2dXZxQmdvS0Ntd1lIQjIveWVEeHRxL1QvbW9pSWlEWXdCdlJOd0dnMFhobTd1NmZQNXp2WjI5djdmc1FNNVZBb0ZGcUh3L0dJeCtNNUhEM204WGlHZTNwNnJwMS92M0E0bkYxYld6dmJXeTlKa25kd2NQQm1BQkFFSVh0cWF1cVowZEhSYndDUVQ1NDhlVkZwYWVsWEtpb3FmcXhVS2dzRVFWRE12OTk4WTJOai8yVXdHQzRPQkFLOVRxZno3eFVWRlh1MVd1MHVnOEZ3c1VLaE1Qbjkvak4ydS8yaHljbkpuL3A4dnJOR28vR2Y4dkx5UGxSYVd2cWZDb1hpSGxtVy9YNi92N3V2cisrVFdWbFpld1JCRUNZbUp1NnFxS2pZVzFSVWRCc0FURTlQdnp3NE9IaXIwK25jaDhoRVcvajkvdTZlbnA1cjlIcDlTMEZCd1Nmejh2TGVuWjJkL1FhRlFuR24xK3M5T0RrNStSdWZ6M2RtWmlJdWNuTnozNU9kbmYwNmg4T3h6MjYzM3o5dkdVV1AxV3I5OHVUazVDOHFLeXZ2MDJxMVd4blFpWWlJS0JYcmVtZkQ2TmhvN3RDWUVoR0FCcEZRbm1nOHRJRElzb2FPRk80bEFNZ0hvRUlrM0U3T3UyY1dBTmNTZGFobS9rVEpNMzhBWU5wZ01MeEtGRVd0eStWNm9ycTYra0ZSRklYcDZlbVhwcWFtL3VMMyswOGx1YmRDcDlQdE1ScU5sMmcwbXJyQndjRmJBY2hHby9IeW1WVlppa3BMUzIrYW1wcjZyZHZ0UHA3QzZ6U1lUS2JYT1J5T1B5RHhjcExSWlNaVEdhTXZwTmlPMXBubzMwTlhQR0JPZHltVTRmb2ZzNkwvTVNzQWZOVmlzZHlSNW5Jb2d6SGZFSHZRTnc4SmdIZVI4ekpTQytmUnRyWkZ6aWNMNTdGMUxGWUwzRzczWDZKZjkvWDFmV0N4dGpIQ1hxLzNvTmZyUFJoN01HYkp4REdyMWZybEZPOEZBRzZIdy9IWUl1ZUR5N2dYd3prUkVSR2xSRXgzQVVSRVJFUkVOSWNCbllpSWlJZ29nM0NJQ3hIUkttajdRc3FiM2RJbTVSNWNkR1FmRWRFc0JuUWlvcFhwQjFERjhFV3BrbVc1UDkwMUVGRm1ZMEFuSWxvQlFSQWFCVUdvVFhjZG1VYVNwT01BSUlyaXpuVFhra25DNGJDcnJhMnRMOTExRUZGbVkwQW5JbHFCMXRaV0Q0RDJKUnR1TW1aelpObkp3NGNQODN0RFJMUk1uQ1JLUkVSRVJKUkJHTkNKaUlpSWlESUloN2dRRVJFUnBVbExTMHVaSUFnZlMzVE9iRGJmRWZ0WWx1VWZ0YlcxRGE5SllaUldET2hFUkVSRWFSSUlCR3dhamVabUFMa0pUbjhsNW11N0tJcDNyMUZabEdZYzRrSkVSRVNVSmgwZEhRRlpsaDlQb2VudlcxdGJnK2U5SU1vSURPaEVSRVJFYVNRSXdyNFVtcVhTaGpZSUJuUWlJaUtpTk1yT3puNEd3UFFpVFZ4VFUxUFByRlU5bEg0TTZFUkVSRVJwdEgvL2ZoK0FKNUtkRndUaGlhNnVMdjhhbGtScHhvQk9SRVJFbEdheUxDY2R3aUpKRW9lM2JESU02RVJFUkVScEZnNkhud0xnVFhES0d3NkhuMTdyZWlpOXVNd2lFUkd0U0V0TFM3VWdDR2NUblRPYnpYTHNZMW1XYTlyYTJ2cldwRENpZGVUWXNXTnVzOW44TklCcjVwMTY2dGl4WSs1MDFFVHB3eDUwSWlKYWtiYTJ0ajVabGc4dTFVNlc1WU1NNTBTTFdqQ1VKY1VWWG1pRFlVQW5JcUlWU3lWRUNJTHd5RnJVUXJSZUNZTHdCSURZdGM0RFNxVXk2ZVJSMnJnWTBJbUlhTVZTQ2VnS2hZSTlnVVNMYUcxdGRjcXlITHVjNGpNSERoeVlTbHRCbERZTTZFUkV0R0t0cmEzZEFJNG1PeThJd3BGRGh3NzFyR0ZKUk92VnZpUmYweWJDZ0U1RVJLdGlzVjUwTGhOSGxCcVZTdlg3Nk5kS3BmTHhkTlpDNmNPQVRrUkVxMkt4RU02SmJrU3BPWGp3NEFTQXY4aXkvTXpNMTdRSk1hQVRFZEdxYUd0ck93SGdaSUpUblJhTHBYT3Q2eUZhcjJSWjNzYzN0WnNiQXpvUkVhMG1MaE5IdEVKcXRmb3hsVXIxdTNUWFFlbkRqWXFJaUdqVmlLSzRUNUtrTDhZZUM0ZkRET2hFeTNEZ3dJSFJkTmRBNmNVZWRDSWlXaldIRHg4K0lnaENiOHlobmlOSGppUmQzWVdJaUJaaVFDY2lvdFVreTdJOGY1azRPVjNGRUJHdFJ3em9SRVMwMm1ZRE9zZWZFeEV0SHdNNkVSR3RLb3ZGY2hEQWtDQUlnNjJ0cllmU1hROFIwWHJEU2FKRVJMVGFKRUVRSHBVa1NRWWdwYnNZSXFMMWhnR2RpSWhXblNSSmp3aUN3TEhubEZSTFM4c0JRUkJla2U0NktMUElzcnkvcmEzdHFuVFhrVzRNNkVSRXRPcnE2K3RmQUFDTHhaTHVVaWhETVp4VElvSWdYSm51R2pJQkF6b1JFYTI2aHg5K09KenVHbWg5dU9JQmM3cExvQXp4L1BWOFF4L0ZTYUpFUkVSRVJCbUVBWjJJaUlpSUtJTXdvQk1SRVJFUlpSQ09RU2NpT2srNFNnVWx3bFVxaUdncDdFRW5JanBQR000cEVhNVNRVVJMWVE4NkVkRjV4bFVxS0lxclZCQlJLdGlEVGtSRVJFU1VRUmpRaVlpSWlJZ3lDQU02RVJFUkVWRUdZVUFuSWlJaUlzb2dET2hFUkVSRVJCbUVBWjJJaUlpSUtJTXdvQk1SRVJFUlpSQUdkQ0lpSWlLaURNS0FUa1JFUkVTVVFSalFpWWlJYUVNSTJJUHBMbUZka0NVNTNTWFFFaGpRaVlpSWFOM3JmV2dJYlYvcWhNOFdXTm1OWkdEd0R5TVkvdlBZaW12cWY4eUs1Niszck9nZW5pRWZ1bjdhRHptOHZGQXRCU1JZUG5jQ2cwK094aDBQZWNJNGZFczczQVBlbE83ajZuYmo4QzN0bU83ekxPdjVhV1VZMEltSWlHamRLMzlERVdRWkdQbWJiV1UzRWdEZmVBQzl2eHJDMUpucDFTbHVCYVNnaEpHLzJ6RDh6UGl5cm5OMnV1QVo5a0ZYcElFY2xtZi9LRFFpREZWNkREMDVHbmM4OWsrczBlY21FSFNIb1MvVnJ1YkxvaVVvMDEwQUVSRVJVYXFXNnBFZS9NTUlCdjh3a3ZEY25yMDdvSXNKbW5KSWhtL2N2NkJkeWFzTE1OSHFnTzJBQXlyandxaWt5bEZCcVZjc3MvSnpZNnpSbytqU1BBejh6b3FpeS9PZ3lrb3R1azBlbVlLbVFBMWRxUll2M05pV3NNM1lDNU1KajEveGdCa0FFSm9PWWZ5RlNZVDlFbDc4eUpGbDFkMXlWeU1NVmJwbFhVTnpHTkNKaUlob1hXbjZiRDIwaFdvQWtXRWt4aG85OGxweUZyMm05ZllUQzQ3NXh2MEpqMGNOLzNrczRWQ1grZzlXb2VUVkJRQWlRMGxDM25EQzY4TStDUUFRY0NZZUc2L1VLU0NxRnc1bUNIdkRtRHJqUmxhdEhrcWpFdFhYbG1IOGdCMzlqMWxSZDMxbDBucWo1TEFNMjBFN3F0NVJDbDJKQmhkOWQrZVMxeVF5OVBRWVpBblk5WlZ0eTM1RG9pblVuTk56VWdRRE9oRVJyVXRTVUlLb0ZBRWh0ZlpobndSUkpVQlFwSGdCWlN4dFlhUm5lUHpGU1l5L2JJZXhSZzlCbFh6VXJpWlh0ZWo5THZ4V0U3VEZxUVhLK1QzNEkzK3pvZWVYZzR0ZWMvQ200d21QMTE1WGdiTFhGeTA0N2gzeG8rUGJYV2krdlFHbXBpeG9DdFFvdWp3UEkzK3pvZnoxUlV2V09ubkVpYUFyaE9KWEZVQlFDRkRxRlhqcFkwdjNnRWQ3emdIQVp3dGc2T2t4bEw2bUFLcWN4Yjkvc1ZRR0JSUzZ0ZmwwWVNOalFDY2lva1g1eHZ6d2pmbGhhczVPMnNaeHdvWFJmMHhnMjhkcmtyYXhINXRDMkJ0R3djVzVpejdmODlkYlVQbTJFbFJmVzVhMFRkQVZ3b0ZQSEVQanpiV1JqOUZGQWRvQzlhTDNmZWxqUjlEdzBXb1V2ekovMFhhVTJacHZiNEFtWHcxbnB3dG4vbDhmZ01nRTBkNkhocEplYzlHOXpXajZiRDNVZVl2L2pLekVKVC9jdGVEWTRCTWpHSHhpTk9HNWx6OStkTUV4WjZjTGhtcDl3dnRYdnJVRUFYdHdkZ1VXeHdrWEJoOGZ3WTViNmhiMHdnODlHZW4xRjVYeGIwYk4zOWdCZFlJM0s3NFJQNDdjY1RMdVdQZlArcUhRaUtpOHVqUmhyY2xzZVc4NXl0OVVuSEo3U293Qm5ZaG9BeHFhdDNMRHVTaDliU0ZFdFlqeGwrMFkrUDBJbW0rdlIvWldZOEsydmhFL3hsK2NYRFNnano0M2dZbEREa0FVVUhDUmFVVzFSUU9KSEpiUjg4dEJUSjEyWS9zbmFoWjlFMEViZzZrcEM0NzJLWno0Ymc4MGhScEkvakIyZm1uYmdqZG90a01PblA3aFdSUmNaSUltWHczTkVtL2dWaXJSRUJCeHBsYy9sZUVoY2xoR3h6M2RxSGh6TWZKMkx4eXVveTNXb09uVytybm4weXJnT09HQzlhL2pLSC9qWENDZU9qMjk0c210UTArUHdYNXNDdHYrZlF1VWVnVXUrOG51bEsvbEoxU3Jnd0dkaUdnRFdxdzNNVldGbCtkQnJSWlIrYllTZUswK25QaHVEM2Jmc1EzYW9uTWJXN3J0WDJ2UU1kMkZVL2YxUXJ5cEZubm14Y2NNTDBZeEU5Q2xrSXl0LzFxRFUvZjFvdU9lYnV5NHBRNjVPeU1oZmV6RlNaeis0ZG00aisxcC9iTStNNDZlWHcyaThtMGxxSGhMTVU1OHB3ZEh2M29LV3o5V2pkeWQyUWk1UXpqNzIyR003TGVoL0EzRjJQTGU4cFNIUWFXVHU5OExLU0FoZTF2aU44SHpHV3YxTURWblkvREpNWlMrcG5EMlRXdnZRME5RNmhVSWVXTEd4UXVBMHFpRTVRc25nQVNyTlFxaUFHWE1aTmpKVmdjS0w4MkZzVm9IcjlXWDhtdFE1YWlnWEdTb0VhV09BWjJJYUFOYUxKUStmNzBGSlZjVm9QN0dxcFR2Vi8raEtoejcybW5ZRHRoUjhkYVNjNnBKVUFyWWZsTXRqdDE1Q3I2SkZhNVZMVVErdnBlQ0VwUjZCWFo4dWc0ano5cGdhc3hhMlgwcDR3WGRJZFJkWDRtU3F5S1ROSnMrVTRlenZ4MUd4N2U3a0xQVmlPaytMMVRaU2pSOXBoNjVGeXoraVlvY21jT0p3N2Qybk8reWwrVG9kRUZRQ01pdU44QXpsRm9vcnJxNkJNZnVPbzJSdjlsUTl2b2kySTg2NGVweW8rNkdTblQvZkFBQVp0ZUYzMzNuOWlYdkYyMWJlWFVwZEtVYUhQcFUrN0plUSt6a1dWb1pCblFpSWxxU3FCSnh3WmUzUWxTSmFOOTdCbzRPVjhKMmlaYkFpMzJ6b05RcjBISlhJd1RseXJzMFJZMENVa0NDZnpJQXo2QVA0YUNFTXovdGgyZlFpNG8zY3d6c1JsVjFkU21BeUtSZlY0OGJVeWVuNFR6aEFtVEFQeEdBRkpRZ0JTVFlEdHJodHdXZ0w5ZENuYXVDS2xzSlVTWEdEY0dRZ3BHRXZ1cy90MEZwU0cxaVk3SlZYeEwxTkFkZG9hVG41bk4ydUdEY29rKzRxa3N5MlZ1Tk1OYnFNZlRVR0VwZld3aDlwUTVscnkrQ2FjZmNHOVhEdHl3dlpBTnp2N1BMK2ZScHBSc3lVVHdHZENLaVRTcGdEeWFjTUpaTWREeHR3MGVySWZtbHVIUFd2OW93K284SjdQN3F0b1RYaHR4aFNLRzVhMVJHNVRtTlZaM3U4MkRxMURUY0ExNUkvakI2ZmptSW5sOE1RcFdsaEs1TUMzMlpGa1dYNThGUXJZZXJ4NzNzKzFQbWtpVVpaMzh6REsvVkI4K3dMN0ordVF3WUtuWEl2U0FiOVRkV3dWaXJSOUFWd3NRaEIrenRVK2gvekJxM3hHRjJneEVYZkducjdKQ1g0RlFJZ2tLQXNWWVBRVXp0NS9IaS83a0FDdTNDRUwzWWNvMkxuUU1pU3pVNlQwNmo0cTNMZjJOWjl0b2luUDdSV1l5L05JbWlLL0pSKy80S2VFZmkzeERNWC84OUdhL1Z0MlN0eVFpaU1EdUJsVmFPQVoySWFCTnlEM2h4K0RQdEtMdzBEelh2TFUrNitVbklFMFl3SnVEb1NyWFFKRmdKSSt3TFE1V3RUQm9DVHQzWEMvdnhxZG5IMFUxTWt2VzZEVHcrZ29ISDR6ZWJ5YW96d0ZpcmgvT0VDL295TGFTUWpCMmZxa05XZ3lGaC9Rem9HNHNnQ2xEbnFoQjBCVkZ5WlQ2VWVpV01NK3VFUjBXSGFKZ3V5SVpwWm5oTGFDcUVrQ2VFNEhRWVdWdjBjZVBSdlNNK2FQTFZLWWR6QUF0KzF0UW1GYkxxRE5qMWxZVnZUdnNmczZML01XdkNudWlqWHowRnRTbnlCdGwrZkFwU1VFbzRPVFNaZ0QwSVZZNFNCWmZrNHV4dmh1QWRtZGx3YWQ1TEtid3NEKzRCYjByQis4SjdtbEY0V1Y3S05jUVNOV0w4dUhkYUVRWjBJcUpOU0Zla1FWYWRBZFpueGpGaGNhRG1QZVVvZVZYQmduL2NKMW9kT1BQanZ0bkh5VDd5ZG5XNUYxM21jUHZOdFpERE1xWjdQV2pmZTJiMitKNjlPeGEwYmIzOUJFcGVYWUR5ZWV0RGl5cHhkaVVPS1NEQmR1Z0lkS1dhdWNBa0F4MzNkaU9uMFlnS0x2TzJJWlcvWWU1bllqbERLbmJjVW9mQ1N4WXU3K25xZHNOWXZiTGRMZ3N1emwxeTZkQkVZZ085cTlzTmRZNEt4aVJMTENZeThQZ0k3RWVkdVBEZVp1ejVyeDFKMXg3Zjl2RWFTQ0VaRjk3YkhIZjg4QzN0YUw2OUlXNU5kVzIrZXRHVm1CYWp6bEhDUHhsNWd4UjBCakd5ZndLVmJ6KzMrU3JFZ0U1RXRDbUpHaEcxMTFXZzZMSThuUDV4SDdwKzJvL3hGeVpSLytGcTZFcm0vc0V1Zm1VK2lsK1pqOUhuSnVLQ2VpelBVR1RJZ1VLcmlHd2VsR0FWQjRWR2pQdHZWTEllZDVVeGVXODhFRmxtVWFsWHdEOFpuRzBYRFN4Rmw1OWJEeUN0UDZrTTNVZ1c1T1dRRFB1eEtWUy9NL2w2KzJ1bDV0M2xLSHRkMGJKV20vRlBCR1pEK1ZJYkE0bkt4UHNFYVBKVVMrNGZrQ3BkaVJidXM5Nloyb0lZZkhLVUFYMEZ1QllPRWRFbVp0eWlSOHVkMjFIeGxoSTRUMCtqN1V1ZEdQN1RXTUtsMkpJWmVpcXk1cnJmSGtENzNxNDErNWhiVjZhZEhXczcwZXBBMzZQREtIOURVY0tlVXFMNXhsNllSTmdySWYvQ2xhM0p2MXFpdzEyQXViWEVROU9oeEkzbHlMS01oblBzL1Q4Zlk4V3o2ZzF3OWJvUnNBZmhIZld2V3ZEZnJOaURUa1MweVFsS0FUWHZMa1Blcm15Y3VqOHlWcnpzZFF1M0gwOWs2b3dibzg5TndGaWpSOU90OVRqK2pUTTRmdmZweUs2Tnk1aUFlaTZ5YWcyWVB1dUJvMzBLcC82bkZ3VVhtckRsZlJYbjlUa3BzL2duZ3hET1lkM3RvQ3VFdm4zREtIaUZLUzRZWndwdG9ScWlVa0Rmdm1FRXAwUHhLN3RJa1RIci9za0E4czNMZTNQaDdIUkJFQVc0K3lNOTNhbHNvSlNxZ290TTZOczNqTjVmRHdKQTBoMVJLVFVNNkVSRUJBREkzbVpFeTEyTmtHV2s5Rkc3enhiQXlSLzBRRkFJcVA5UUZWUlpTdXo4ZkFPT2YvMDBqbi9qTkhaK2NTdlVPZWN2L09UdXlzYXArM294L3NJa1RNM1oyUFp2VzliRmhqUzBlbUxuTXl5SEZKQWdxa1ZVWDV2KzRTMkpLSFFLMUgrNEdtZC9PelM3bm5rc2RZNEtWZGVVTHJ2M2YraXBNVXdlY1FJQWlxN0lnMm9WZno5MXBWcVVYRldBa1dkdEVFUUJPNys0ZGRYdXZSa3hvQk1SMGF6WUZURVdNOTNuUWVkM2V4QndCTEgxWDJ0Z3JJbjBscW15bEdpK3ZRRkg3enlGOW0rZXdjNHZiRTI2UWd3QUJKeEJUUGQ2bHJWNlJaUmladFdJZkxNSjIvOWp5K3l3QUdlbkM2SmFoRHBIQlZNVE55N2FxR3JlWFlhU3F3cWdOQ3orTXp2NHhBajBaZkhqMURYNWFyVGMxWmh3dWNUVmxMc3orNXg3cVlzdXp6dm4rUlNhZkRXYWIyOVljTHp4NWxwSUlRbUNRa2c0VjJTbDZtK29RdEdsa2VBZk81ZUZsbzhCbllpSVVpY0RBNDliTWZENEtBU2xnTWFiYTVHL0o3NFhUMjFTb2VtejlUajJ0VlBvZm1BQTJ6K3hKZUd0eHA2ZlFNOHZoMUR3Q3RPeUFyb2Nrakh3aHhFTVBUa0tkYllLWWI4VXQ2YTY5VmtibkowdVhQeURDeGpRTjdDS3Q2UTJBVEZadS9NZHpvSEl1T3lzZXNONWY1NzVSTFdZOEdkZlVBcFFLRmR2V012Q0o0aDhFa2NyeDRCT1JFU0w4bzBITVBSa1pDTG81RkVuNUhCa2VFbnRkUlhRNUNlZUNLWXYwMkxIcCt1Z3pvMC9IdzVFTmlzNmRWOHZQTU0rbEZ4WmdDM3ZMVSs1bHZHWDdlaDdlQWhTU0ViejV4c1FtZzZqNDl0ZEdObHZROG1Wa1MzR1BZTmVaTThMUmRMTTh3b0N4OEFRVWVaalFDY2lvcVNtejNyUThlMHVhSXMwcVAxQUpUci91d2NGRjVsUWRGbGVaSGZRZ0ErWUNiM1I3Q3RMTW1RSlVHZ1ZDTGxEOElibDJZKzdiUWZzQUNKQnZmbjJobVgzY0FjY1FXUTNHRkg3Z2NyWnJkbXIzMW1LN3A4TklHQVBJcnZCQUsvVmo5TFhGaUxnQ0tML01Tc1VXc1hzVnV1YS9NeWJFRWhFTkI4RE9oRVJMVXFUcDBienJmVlE2QlRJMldiRTBOT2o2SDFvQ0VGbkVGSklqaXpabG16Vk5nR28vMkRWYkVEUDNaVURLU2lqN2dNVlM2N2RuRWpzUmpWUmxXOHZoYlpJaThFbklydVBabTgxb09qeWZJZ3FBVk9ucHlHSFpRZ0tBV1d2TDBMT2RnNTVJYUxNeDRCT1JMVEo3TGlsTHVuUWxQbU1OWHBjOE9XdHN4UEtERlU2YlAxWVRjSzJzMEZkbUJsS2ttQTBTYjQ1Qi9ubXhjZWJYL0NsclNuWEYxVjRhUzRLTDEyNC9ybjVHd3QzS2lVaXluUU02RVJFbTh4eVYweEpkYlVIUVZ5ZDhkM1pXem5KaklnMk4rNGtTa1JFUkVTVVFSalFpWWlJaUlneUNBTTZFUkVSRVZFR1lVQW5JaUlpSXNvZ0RPaEVSRVJFUkJtRUFaMklpSWlJS0lNd29CTVJFUkVSWlJBR2RDSWlJaUtpRE1LTmlvaUlpQ2h0bnIvZWt1NFNpRElPZTlDSmlJaG96Y215dkQvZE5WRG00YzlGQkh2UWlZaUlhTTIxdGJWZGxlNGFpRElWZTd0N0NYb0FBQ0FBU1VSQlZOQ0ppSWlJaURJSUF6b1JFUkVSVVFaaFFDY2lJaUlpeWlBY2cwNUVkSjV4bFFvaUlsb085cUFURVowblhJMkFFdUhQQlJFdGhUM29SRVRuQ1ZlcGlEQ2J6VElBV0N3V0lkMjFFQkd0Qit4Qkp5SWlJaUxLSUF6b1JFUkVSRVFaaEFHZGlJaUlpQ2lETUtBVEVSRVJFV1VRQm5RaUlpSWlvZ3pDZ0U1RVJFUkVsRUVZMEltSWlJaUlNZ2dET2hFUkVSRlJCbUZBSnlJaUlpTEtJQXpvUkVSRVJFUVpoQUdkaUlpSWlDaURNS0FURVJFUkVXVVFCblFpSWlJaW9nekNnRTVFUkVSRWxFRVkwSW1JaUlpSU1nZ0RPaEVSRVJGUkJtRkFKeUlpSWlMS0lBem9SRVJFUkVRWmhBR2RpSWlJaUNpREtOTmRBQkVSYlJ4TlRVMUduVTVYRTN0TWtpUUF3SVVYWHRnY2U5enI5Wjd0Nk9pWVhydnFpSWpXQndaMElpSmFOVnF0Vml0SjBoRUFpdm5uSkVrNkh2TXdyTlZxU3dBd29CTVJ6Y01oTGtSRXRHcGFXMXR0QVA2MlZEdFpscCtkYVV0RVJQTXdvQk1SMGFxU1pYbmZVbTBFUVZpeURSSFJac1dBVGtSRXEwcXBWUDRPZ0x4SUUxbWxVdjF1cmVvaElscHZHTkNKaUdoVkhUcDBhQVRBODRzMGVlN0FnUU9qYTFVUEVkRjZ3NEJPUkVTcmJyRWhMQnplUWtTME9BWjBJaUphZGFJb1BwcnNYREFZVEhxT2lJZ1kwSW1JNkR3NGRPalFnQ3pMQnhPY09uRHMyTEhCTlMrSWlHZ2RZVUFuSXFMeklzbFFGZzV2SVNKYUFqY3FJcUoxbzdDdzhEOHFLeXUvZnk3WFdpd1dZYlhyb2NVSmdyQlBsdVc5c2NjVUNnVURPaEhSRWhqUWlXaGRrV1U1M05IUkViZGx2RUtoTURVMk5yNDBNRER3U2FmVCtlZlljM2w1ZWU4cEt5dTdZMDJMSkFCQWEydHJ0OWxzUGdwZ0Z3QUlnbkRrMEtGRFBXa3VpNGdvNHpHZ0U5RzZFd2dFVHM0N1ZEQnpmSGordVZBb3hPWDgwbWltRjMwWEFFaVN4TjV6SXFJVWNBdzZFUkdkTjdHaG5Nc3JFaEdsaGozb1JMVHVxTlhxN2JHUEZRcUZhZVo0MmZ4elNxV3llQzFybzNodGJXMG56R2J6U1FDeXhXTHBUSGM5UkVUckFRTTZFYTByZ2lBb21wdWJFd2E5eXNySy82NnNyRnpya21nSmdpQThJa21Tbk80NmlJaldDd1owSWxwUEJGbVd3MjF0YmZQLzdpb3dtODNqM2QzZDczSTZuWS9FblNnbytIaFZWZFg5YTFnanpSTU9oL2NKZ3NDQVRrU1VJZ1owSWxvM1JGRlVBcERTWFFjdHo1RWpSNDZtdXdZaW92V0VBWjJJMWhOZE9CeWVTbmNSdEd6c1BTY2lXZ1lHZENKYU54UUtSYlpTcWN3M204MEpBMTlkWGQzRGExMFRFUkhSYW1OQUo2SjFRNjFXbDA1UFQ3OTg5dXpaRzJPUGM2TWlJaUxhU0JqUWlXamQwR3ExMjd4ZTd3bHVWRVJFUkJzWkF6b1JyUmNHblU3WE1qRXg4V0M2QzBsVlMwdkxBVUVRWHBIdU9paXp5TEs4djYydDdhcDAxMEZFbVlzN2lSTFJ1cENmbjMrdElBanFxYW1wdnl6bk9sRVUwL2IzSE1NNUpTSUl3cFhwcm9HSU1odDcwSWxvUFZBV0Z4ZC96dTEyditUMyswOHQwVll3bVV6WHlMTHNDb1ZDc3Nsa2VxOGtTZE5yVW1VU1Z6eGdUdWZUVXdaNS9ucEx1a3Nnb25XQUFaMklNcDVhcmE3WGFEUmJ1cnE2YmsyaHVWeFJVWEd2V3EydWpoNFlHUm5aZXg3TEl5SWlXbFVNNkVTVThRS0J3TWxUcDA2OTB1UHhIRXJTWk1KaXNlUUNjQU5BZTN2N1JWcXROa3VXWmFYZjc1OENNTEpteFJJUkVhMFFBem9SclF1TGhITWdzaEdPSStieHVNL25Hei9QSlJFUkVaMFhuQ1JLUkVSRVJKUkJHTkNKaUlpSWlESUlBem9SRVJFUlVRWmhRQ2NpSWlJaXlpQU02RVMwM2duRnhjV2ZMeXdzdkRuZGhSQVJFYTBHQm5RaVd1OWtqVVpUVzFGUmNXOVdWdGJsNlM2R2lJaG9wYmpNSWhHdEoycTFXbDA3LzZETlpydmZaREs5UFNjbjU5MSt2MzlpL3ZsQUlEQ0MrR1VZaVlpSU1oWURPaEd0RzJxMXVyYTV1Ymt6MmZtaW9xS2JpNHFLRmd4MTZlL3YvemViemZiRDgxc2RFUkhSNm1CQUo2SjFwNk9qbzhIdjkzZWwwdFpzTnN2bnV4NGlJcUxWeERIb1JFUkVSRVFaaEFHZGlJaUlpQ2lETUtBVEVSRVJFV1VRamtFbm92VkVCSUNtcHFZejZTNkVpSWpvZkdGQUo2SjFRNmxVNmdDZ3M3UHowbkE0bk5LeWlZdXQra0twQzAySElDZ0VLSFNLdU9OU1VFcDZqYWdVQVdIdXNmM1lGTUxlTUFvdXpsMzB1WjYvM29MS3Q1V2crdHF5RmRWTVJMUmVNYUFUMGJxaFZDcUxaRmtPZWIzZVF3RENxVnhqc1ZnS0FVeWYzOG8ydm81N3V3RUphTHF0SGtyOVhFaC84Y05Ia2w1ai9ub2o5Qlc2MmNlanowMWc0cEFERUFVVVhHUTZyL1VTRWExbkhJTk9ST3VHUnFOcENBUUMvVWd4bk0rd0FmQ2RwNUkyamJvYkt1RVo5cUg5djg0ZzdKMzU5czhzWUxubC9SVzQ4TjdtMlQ4N1BsMlg4QjdiL3JVR09ZMUduTHF2RjVNVzV4cFZUa1MwL2pDZ0U5RzZZVEFZTHZGNnZXM3BybU16TWxicnNlM2pOWkNETW9LdUVBREFQeEVBQU9pS05kQVdxR2YvcUUycWhQY1FsQUsyMzFRTFhiRUd2cGxyaVlob0lRNXhJYUwxUXAyVGsvT0c0ZUhoTDZlN2tNMHF6NXlEdkphYzJYSGxnMzhjaFNBS3lLb3p4TFVURkpFR2Zuc3dib2dMQUNqMUNyVGMxUWhCS1lDSWlCSmpRQ2VpZFNFdkwrOERvaWhtajQrUFA1cnVXallWR1pDbHVjMVlCWVVBS1NDaDc1RmhXUDg2anBJckM2REtqdituUkZlcWdhNUVnNDV2ZGMwODFtTFhmMjZERkpxYlVLb3lLbWVEUEJFUnhXTkFKNkwxb0tDOHZQeHJUcWZ6WVFEV2RCZXptWXo4M1lhdW4vYlBQcjdpQVRNY0oxd1llbm9NT1kxWjJISmR4WUpyUkpVSTh6ZDJ3RzhMUUpaa2lHb1JwKzdyaGYzNDFHeWJscnNhWWFqUzRmbnJMUW1mZCtEeEVRdzhQaEozTEt2T2dGMWYyYlpLcjR5SUtITXhvQk5SeHRQcGRIcEprcnhEUTBOZlNuY3RtMDNoeGJrd05XYkJOKzVIKzM5RmVzVHpkdWRnNjhkcmtGMW5RTkFWUXRDVjVHS0ZBRjJ4QmdDdy9lWmF5R0VaMDcwZXRPK2RXOForejk0ZEN5NXJ2ZjBFU2w1ZGdQTFhGOFVkRjFXY05rVkVtd01ET2hGbFBLL1gyOS9SMGJFTFhDNXh6U2wwQ2loMGlyaGhMZ0RnNm5MajlBL1BMbm45RlErWUkvZlJpSEgvamRLVmFoTmVweklxazU0akl0cm9HTkNKYUwxZ09NOGd0ZGRWUUtFUllUdnNnUG51eHJnTmlRRGc2RmRQTGRqVWlJaUlVc1BQQzRtSWFOa0VoWURTMXhUQ1B4R0E3YUFkb2txYy9XTTc2SUI3d0l1YWQzTW5VQ0tpYzhHQVRrUkU1MFJUb0ViNTY0clE4OHRCK01ZajY1cDdSL3pvK2NVQVNxNHNRSGJELzIvdnp1UGp1dXQ3LzcvUDdOcjNYWlprV2JhOHhiSEhJV1J0SFFvRkNvUWxMQzJGbFA1SUlLR2xsRFFoNVJJZzBMVDhDQlRvNVFJbFFBSWhiU2xwQ0FsaERaY1lzanFKNVNYZUxWdXlaTzM3YUp2OTNEOUdHa3VXUm91dDBjeElyK2Zqa1FlYXMzNUh5Tko3UHVkenZpY3p3U01FZ05SRVFBY0FMRXAvdzVENjlnNUtrcXJlV1M1bmdVT0h2OXlvb1dNak9uenZTYm1LbktxZFpYYVgyZmlIQXVyZnoxTkZBV0FxQWpvQVlGN214QlRtSis1cjFwR3ZuWW8rVGRSaU03VGxIK29VR0Fyb2xYODVJVmtOYmYxRW5TeU8rZis4ZEQvVHA0Wi9QS3IrZlFSMEFKaUttMFFCQVBNYU9ocVpTN0cvWVVqMXQ2NVYwWlY1a2luMUh4aFN5Nk1kQ282SGxGN3UwbGlIVjZjZU9xczFieWxWZXNYTVdWaEMva2pTUC83TkpvMjFlMVc2cTFCci83eGlXZDhMQUNRN0FqcUFsT0YydTgzNXQ1cGRVMVBUK3djR0JoNWF5dkdzSm9iRlVPYmFkRzM4YUszTVFGaXRqM1dxKzlrK2pYZjZsTDBoVTl2dXFsZjIrZ3gxN3U3Vm1VYzYxUE5jdjdMcU1sVGd6bFhPeGt4bDFXVklrbnIzREVpS0JQV3RkNjVYN3Bhc1JMNHRBRWhLQkhRQUthVzl2ZjN1L3Y3Ky96NS9lWDE5L1c4OUhzOXZPam82N3AxdFA3L2YzeDcvMGExY3BhOHBWTWtmRldqZ2tFZEh2bkpLaHMxUWdUdFhkUitzVms3OXVadEJTM2NWcXVqS2ZIWDlvVStkdit0Ujg0L2JWUDNPOG1oQXo3czBSK0dBcVhYdnIyUWFSZ0NJZ1lBT0lLVUVnOEV1djk5L2JPb3lwOU5aYjdmYksvcjYrcjV5L2pvc0hjTm1LSDk3anJiY1hxZXN1Z3paMG1jUDJGYW5SZVd2SzFMNTY0bzAzdUZWV3VtNVZwY0NkNDRLM0Rsem5tZmJYUnZrTEhBczZkZ0JJSlVRMEFHa0pJZkRzWEhyMXExSHB5N2JzR0hESzdOdDI5RFFZTXkySEJjbWIxdjJncmU5a0tlQlptOWdla1lBcXhzQkhVQktPM1RvMEtaWTYxd3UxOXE2dXJwZkxPZDRBQUM0V0FSMEFDbU5saFlBd0VwRFFBZVFhcWJONUhJeE03c0FBSkNNQ09nQVVvVmRrc0xoY0dEcXdzT0hENitQdFlQTDVhcGR0MjdkcitNOU1BQUFsaEpQRWdXUUtseVNaSnFtTjlFREFRQWducWlnQTBnSmFXbHBPWklVQ29XbVBSZCt5NVl0SnhNeklnQUE0b09BRGlCVlZFaFNNQmpzbENTLzM5OTA3Tml4VjVtbWFSc2ZIMzlaa3RYdGRudGJXbG8rM052YmUzOW1adWJHa1pHUnJveU1ESjRqRHdCSUtiUzRBRWdKR1JrWmwwalMyTmpZcVlsRnZ0emMzQnZxNit0L0p5bFhVbWhpZVZoU1dtMXQ3ZS9xNnVyK1kzUjA5RWdDaGdzQXdBVWpvQU5JQ1ZsWldhL3plcjFISkExS1VtNXU3dldscGFWM2RuWjJma0ZTNzNtYkQ3ZTB0TnlVbFpYMW10cmEydjhVditzQUFDbUVQMW9BVWtGUmRuYjI5UU1EQXorUnBQVDA5QjNWMWRVUERROFAvNzZ6cy9OZkpyWXhKQ2tjRHB1U05EZzQrSGhyYStzdHVibTVOMVJWVlgwdFFlTUdBR0RSNkVFSGtQUXFLeXZ2c2xnc2xzSEJ3ZnN5TWpLMnJWdTM3bGVoVUtqLzVNbVQ3ODdKeVhtTkpObnQ5cHFKelljbjkrdnQ3ZjF1ZW5yNnRzTEN3bzhPRHcvdkdSZ1krSTlFakI4QWdNVWdvQU5JZWk2WGExTnZiKzgzeHNmSFc3T3lzcXE4WHUrSjV1Ym1EMG5xeWMzTnZiR2dvT0I5a3VUMys4LzA5L2MvT1hYZmxwYVcyNExCNE5qQXdNRFBFako0QUFBV2lZQU9JT2sxTmphK1Y1SlBrb2FIaDU4ZEhoNitkbkxkbVRObi9yNnpzL1B6a2d5Zno5Y3N5WC9lN3NIMjl2Wi9YTGJCQWdCd2tRam9BRkxCK1RlQlR0WG44L242bG0wa0YrQ1pHeHNTUFFRQVFBcmhKbEVBaUJQVE5IY25lZ3hJUHZ4Y0FKZ1BGWFFBaUpOOSsvWmRsK2d4SkFPMzIyMUtVa05EZzVIb3NRQkFLcUNDRGdBQUFDUVJBam9BQUFDUVJBam9BQUFBUUJLaEJ4MUFTaWdzTEx5bHFxcnFXeGV5YjB0THk2Mjl2YjMvdnRSakFnQWdIZ2pvQUZMS29VT0hOaTFtKzYxYnR4Nk4xMWdBQUlnSEFqcUFsT0wzKzQrZHY4enBkTmJWMTllL2NQRGd3Y0pFakFrQWdLVkVEenFBbEdlYXBzMW1zeFVrZWh3QUFDd0ZBam9BQUFDUVJHaHhBWkJ5Smg5OE05L3lJMGVPckYyZUVRRUFzSFFJNkFCU3p2azNpbVptWmw2NVpzMmFmejE2OU9oVlU1ZjcvZjYyNVIwWkFBQVhqNEFPSU9XY2Y2T28zVzUvV3lnVUd2SDcvUzJTeGhJMExBQUFsZ1E5NkFCU25iT3dzUERETnB1dHNMNisvcmVTOGhNOUlBQUFMZ1lCSFVCS3E2cXErajkydTczb3lKRWpsNW1tYVd6ZXZQbnB0TFMweWtTUEN3Q0FDMFZBQjVDcTBtdHFhbjVRV0ZqNHdUTm56dHppOS91UG5EaHg0dlhoY0hpNHRyYjJhYWZUdVM3UkF3UUE0RUlRMEFHa0dtdGVYdDU3dDJ6WmNqZ3ZMKy9QbTV1YmJ4b1lHSGhvWXAzbjJMRmpid3lIdzhNYk5teDQydWwwcmsvb1NBRUF1QUFFZEFBcEpTTWpZMHRWVmRYM0FvRkE1NGtUSjE3ZDM5OS8vM21iREJ3OWV2VDFvNk9qZTN3K1gyZENCZ2tBd0VWZ0ZoY0FLV1YwZFBUZzhlUEh0M2k5M3ROemJOWngrdlRwdHkvYm9BQUFXRUlFZEFBcEpkWkRpZ0FBV0NrSTZBQlN5dmtQS1pyUDFxMWJqOFpyTEFBQXhBTUJIVUJLNk8zdHZiKzN0L2RIa2dZWHMxOURRME9lZUhnUkFDQ0ZFTkFCcEFyL3hIK0x0YWhBajR1emJkdTJTcHZOZHRkczY5eHU5NzlQZlIwTUJ1ODVlUERnMmVVWkdRQ2tEZ0k2QUdESjFOZlhkelEyTnI3Tk1JeVNXVlovZVBJTDB6Uzc2dXZyLytiZ3dZUExPRG9BU0ExTXN3Z0FXRElQUC94d3lHS3hQTHFBVFgveThNTVBoK0krSUFCSVFRUjBBTUNTQ29mRGp5eGdzNFZzQXdDckVnRWRBTENrTEJiTDcwM1Q3Sjlqazc2Y25KemZMOXVBQUNERkVOQUJBRXRxNzk2OUFjTXdIcHRqazhkMjc5NGRYTFlCQVVDS0lhQURBSmFjWVJneFcxZ3NGZ3Z0TFFBd0J3STZBR0RKRFEwTi9WYVNaNVpWbnNIQndmKzczT01CZ0ZSQ1FBY0FMTG5HeGthZmFacFB6TExxWjQyTmpiNWxIeEFBcEJBQ09nQWdMbUswdWREZUFnRHpJS0FEQU9MQ01JeGZTUnFic21qTU1JeGZKMm84QUpBcUNPZ0FnTGpZdTNmdm1LUmZUcjQyRE9NWEU4c0FBSE1nb0FNQTRzWTB6V2hMeXdJZllBUUFxeDRCSFFBUU53Nkg0K2VUWDZlbnAvOThybTBCQUJFRWRBQkEzT3paczhjajZRbEpQM3YyMldlSEV6MGVBRWdGdGtRUEFBQ3c0ajFpR0lhWjZFRUFRS29nb0FOQW5PellzV09QWVJpWEozb2N5Y0EwVGJuZDd1OG5laHpKd0RUTjNmdjI3YnN1MGVNQWtMeG9jUUdBT0NHY1l6YUdZZXhLOUJnQUpEY3E2QUFRWjljODZFNzBFSkFrbnJteElkRkRBSkFDcUtBREFBQUFTWVNBRGdBQUFDUVJBam9BQUFDUVJBam9BTEFLaFAxaGFZVk5kT2dmQ0N6SmNieTkvaG5Md29Hd3hqdThTM0o4QUZnc0Fqb0FyQUtuZnRpcS9YY2ZXL0xqTnQ3Zm9xUC9kdnFpajNQc0cwM3FmS3Azd2R2MzdSM1V5Lzl3U0wwdkRWN1VlVWVheDdUMzlzTWFQT1NadG56Z2dFZDc3enlpZ1lPZUdIc0NRUHd3aXdzQUpLR09KM3QwNm9ldGk5b24xbXd4b2ZHUWVsOFkwSnEzbGk1K0lLWmtobU9YM3AwRkRuWHU3bFgvdmlIbGJjdU91WjFoTmVZOFRlK2VBVmxkRnBWZVY3aWdZZVZ2ejFIT2xtd2QvMGFUd2pkVkszdGpwbDYrN2RDOCs5VjlvRXFscnpsM2pzeWFkT1ZkbXEwVDN6bWpuVi9jTEt2TEdoblBTNFBLcXMyWTh6MEJRTHdRMEFFZ0NSVmRuYS9jclZreDE0ZURwczQrMGFtZTV3ZGtTN2VxOHZyWTRidjl5UjZGZkdFMS83aGR6VDl1bi9mY3RlK3JWUG1mRmt1U2hvNE42NVV2bkp4M255TmZQVFhuK3FXZWF0S3dHdHIwMGJYUnNUbno3TnI1eGMxejdyUDN6aU96THEvOXkwcDFQOXNmRGVlaDhaRDY5ZzRxN0EvUE9TM2l1dmV2VWRucmlpN3dIUUJBYkFSMEFFaEN0blNyYk9uV1dkY05ONDdxNVBmT2FMekRwOUxyQ2xYOXpuTFpzMmIvZFI0Y0RhbnRGMTJxZkhPSlNxNHRtUGU4RGYvcjZMUnFkOWE2REYzMnBTM1R0bWwvc2tlT1BMc0tMOHVkc1gvcnp6cFY4c2VGY21USDc4K0w1L2lJT3A3cTFZYWJxN1h0cmczUjhhYVZ1Ulo4akRQLzA2N1d4enVuTFd0NXRFTlNKTEJuVnFkcC9VM1ZjeDdEbm1OZjVNZ0JZR0VJNkFDUVFydzlmaDM0cCtQSzNaeWwrbytzVlVabG1rWmF4cUlCUFRnYWxDM2ozSy8ycGgrZGxSbVdLdDlVS2x2RzdJRi9Lak5zVGd2b0ZvZEZyaExudEcyQ1kwRjFQZDJud2xmbHlsVjhibDFmdzVDNi90Q25mSGV1c3RkblhPeGJqV204MjZlZTUvcTEvb05Wc3RndjdGYXE4dGNYcS9qcWZPMzc5REd0ZlU5RjlHcEZPR2pxNkZkUGFjM2J5NktCZjd6RHE3MTNIdUdCVXdDV0RRRWRBSkpJT0JEV2N4L2NQMjNabHR2cm9yM1FaakF5Rzh2V085ZExra0src1BaLytwaXVmbUNIUmx2SGRlUXJwN1RtK2xLVnZiWklnNGVIMWZYN1BoVmZVNkNBSjZDQVorYXNKL1ljKzdsS3ZSbjV6MktiMlM4K2RVYVQ4dGNWeTNOc1JNT254MlNHeklseG16cjEvUmJsYnMxV2Vwa3p1cjJyeUNsamx1UE54dHZ0Vi9kei9iT3VzNlZibGI4OVowSEhXUWg3bGszMkxKdk1zQ2xua1NNYXhudWVIMURRRzFiUnEvT1c3RndBc0ZnRWRBQklJaGFiWlZvdjlmNjdqOHRpTjlUd3lTTWFhenNYa2lkN282Lzg5cVdTSWJYL3BsdG5IdWxRUmxXYUNpL1BrNjgvb09QZmFwSWp4Njd1Wi9yVS9VemZyT2RiZjNOMXRQVWxIQXhMa2d6cnpLcjBiUDNieDcvWk5HT1pmekF3YmR1ZFg5eTg0TmFUb2FQREdqbzZQT3U2OUFyWGtnYjBTV2JJVkdnOEpGOS81TU5Md2M0Y1phMUwxM00zN1o4eDl1Qm9VS05udlJwckhWZnUxbXlsbFRwakhSWUFMZ29CSFFDU2lYR3VsenJrRFNrMEhwSWoxNjdOdDlYSkRJYmw3ZkhyOEpjYm95SGU2ckxLa1d0WDAzKzFxZWpLUEsyL3FWb1d1MFVuN210VzJCZld4cityMWVFdk5XcnpiZXRtQk56emI0QU1CeUxWY0l0OTlvcjMxTURhMXpDazhmWnhWYjQ1Y25PcXI5ZXZzei92VXZXN3lxTVYrYmx1c0p4TjhUVUZXbmZqbXRtL0xYR1lGRGdjTkNWVE92NnQ1dWl5alIrdFZjR095UGVwNTRVQmhmMWhqWndabHlTOWNPdEJPUXNkOGc4RXRQVVRkUVIwQUhGRFFBZUFKRFhTTkNhTHpaQ3IyQm1kNmpBY2pQeXZzOUFSM1M2dDFLWGNUVm5hY0V0TmRObWE2OHRVK0tvOHBWZWtMZmg4WVgra2dtNXh6SkdHVGFuMThRNmQrVW1IeWw1VEZPbFp0eGdLam9VMGVOaWovdjFEMm5CTGpYTHFNeGZ4VGlNTXEyUjFMZC9qT1NiZjd5V2YycURNNm5RMWZQS0l2TjArUGYvaEE1S2t6cWQ2bFY2WkZyM2g5VlZmMnlwbnZrTXYzSEpBRmllUEVRRVFQd1IwQUVoUy9mdUdsRldYSWNOcTZObS8zamR0M1dTZitzNHZibGJXdW5TTk5JMU5XNTlXNmxSYXFUUGF1dUh2RDh6N1pNeVFOeEpZWTRWa2I0OWZKKzl2MGNpcFVhMTczeG9WWDF1Z3NEL1N1TzRxZG1yYnB6Ym8xQS9QNnRBWFRxcjJmWlVYOHBhWFZUZ1FlYisyTkt1c0xvdk1vS24wY3BmVzMxU3Q0OTlxMGlXZlhLKzBNcGZHTzd6cWZxNWZ6dnpJaDZLd1B4eWRraEVBNG9HQURnQkpLQndJcS91NWZxMTVTNlNGNUxLdmJKVWtlYnQ4T3ZURms5SFh6ank3OGk3SlZ0c3Z1K1VmQ3NnUlkrcS94dSszekh2TzRGaFFrbVJObXoxOGVrNk9LamdjMU1hUDF1cklWMC9GZkpEU3VyOWFzNmdwRHhNbE5CYVNKRmtuV25MQ3diQnNHVmJsNzhqUjhXL043SytYSXYrL2hJT21iREcrUndDd0ZBam9BSkNFT243Ym81QTNyS0tyOGhVY0RjcXdSUHJDSjZkQW5IenRId29xdXo1VDlteWIybi9kbzVwM2w4OTZ2Tmw2ME04M090RnI3Y3lmUGVRWFg1V25xcmVWeWpjUXFjcGYvbStYVEp1aHhkdmwwNEhQSDFmWm42VEd3M3NtMzhka0MwczRZTTdaM2pQVzV0Vkk4NWdzRG92c2Naem5IUUQ0RFFNQVNjYlg2MWZMbzUwcWUyMlI3RmsySGZ2NmFmVytORGh0bTVmKy9wWG8xOWM4NkZiWm54VHA3TTg2VmZhYXdtbjk2WFBwZnJaZklXOUlWcWRGZms5UWJUL3ZVdmI2RE5reWJEcHgzeGxsYjhoUTZhN0NhZnRNblNQZGxtbWROZzk1Y0NSNElXODNZYnlkUGpueTdKRlFia2FxNDNNRjlLYi9PcXVCVnp5cWVtdVp2RDErYmhJRkVEY0VkQUJJSXVHZ3FXUGZiSkkxemFJMTEwZmFXemJjVXFQMU4wZldqM2Q2dGY4engzVGxmZHVuN1ZmK3VpSzEvN3BiSis5djBkWTc2cVFGVEQzdU9UbWl6cWQ2SS9PZkcxTDJoa3h0dURueTlNeWhvOE95cHMxOUk2U3YxeTlqU2tDZjdIZFBGY09uUnBWWmt5NXBvaC9kbEt4ekJQUXR0OWRGdjFmUGYraUFpcTdNVTkxZlZ5M1RhQUdzSmdSMEFFZ2kzWC9vMDhqcE1XMzVSRjEwdWtLTDNTSk5kSjFZN0JiSm1Ia2pwelhOcXJYdnJkU0piemVyNmIvT2F1MTdJemRwR2hOQlBld0x6emhYM1FlcVZQZUJLcG1oeUV3c2s2SGUxeCtRcjgrdnpLcjBPY2M2Mjl6b2t5Wm5uWm42ZXI0QUgvS0c1ZTMxejdtTmE0RlhCODQzT1dPTEpyNXRac2hVLzRFaHJYbHJXZVRjNHhQOTZKUGZWMFBSaHpDbGxicDAxZmUyUjVjSFI0TUtlVU55Rmx6WVdBQmdQZ1IwQUVnaXBkY1Z5bFhxVk83bXlLUG54enQ5Q280RVpYRmFaQmhTNSs2K21DRzErT3A4alo0WlUrRVY1NTZDYWMrMnlaWnVWY3RQT3hRY0Q4MDloYUlpTjA1Mi9hRlBodFZRN3Rhc1diZXh1U3dxK2VNQzFYMmdhbHJMaXlRTkhCalMwTkZoalRSSFpwV1puTzNFUHhqVXk3Y2RtdlBjdlhzRzFMdG5ZTTV0cm5uUVBlZjZTV2JZVk1lVFBiSzZyREtzaGdaZThVaVMwa3FjMFhNRngwTEtyRXJUV0x0WGZTOFB5cFpwa3kwajhtZlJWZVJVKzI5N1ZQN2FvbW52TVJ3MDFmSGJIa21LK2YwQmdJdEZRQWVBWkdJb0dzNGx5WE44UkNlL2R5YjYybG5nbUxPdFlySnlIajJjMWRENm02dlY5SjluMWZoQVM2UkZZNjdUV3d5NVNweXF2N1VtWm9YWWxtblQrZzlXejdydXpQOTBhT1JNSkp6bmI4K1JJeTlTK3JkbjJ5SXRJc3ZFc0JocSsyVlh0R3B2MkF5VlhsZW9uSTJSNzIzdml3TXF2YTVRZzBlR2RmYUpMbG5UTEtyOXk4cm9WWVIxTjY1UjQvZGIxUG03M2huSGR1VGFWZlBuRmNxcXpWaTI5d05nZFZsQWwyTHljcnZkcGlRMU5EU2s5UHNBc0RKTi9vNWFhTlYzVHBQQk9rRy83WHBmR2xUZUpWbnp6djhkR0E0cTVBdkxZaldpNFR4aHpFZ2wzVFFsaTlXWTlyMmJuQmtuMXBTUzhUTDVkRlgrYmdHWUN4VjBBRWdGQ1k1emhhL0tYZEIyOWl5YjdNblMrV0ZFcmlETTlxMmJiR1VCZ0dURXM0b0JBQUNBSkVKQUJ3QUFBSklJQVIwQUFBQklJZ1IwQUVCY2hYeGhCVHh4ZXNyb1BMUFNBRUFxSXFBREFPSW03QTlyN3gySDFmajlsaVU1bnVmRWlKNjVzVUhlWHI5R3pvenA1VThjVnM4TGM4K2REZ0NwaHR2WUFXQVY2OXpkSzgxOHlPaUNsTDZtY041dExBNkxpcThwME5rbk9qVnlaa3laMVhNL25YUWh4NU1raFUxbFZLU3ArTXA4bmZoMnMzcWU3OWVtajlWR25vZ0tBQ21PZ0E0QXE5anBCMXNWRGw1WW44alVnRDQ1di9kYzluLzZXTXgxbXo1V3E0S2Q4MC9sT0JuUXpaQXB3MmFvNmgxbHlyczBXNk10NDRSekFDc0dBUjBBVnJHcjd0OFJjOTB6TnphbzRvMGxXdnNYRlFzNlZ1VmJTbFZ5VGY2aXp1L3I4K3ZRdlkwenpqdWZ2WGNlbWJHczhZRVcxZjVscGNwZlg3eW9NUUJBc2lHZ0F3Q1doQ1BicHJReTE2TDJpVlgxcm5wN21ZcXV5SnV4UERRZTF2NjdqNm4rbGhwbHJwM1pMbVBQVHZEVFN3RmdDUkRRQVFBWDdiSXZiWkV0eXlaZmYyQlIrOW15Ykxyc1MxdGt6NTBlckIwNTlsbkR2aGt5by9zdDlzTUFBS1FLQWpvQTRLSzVTcHlTcEJkdU9iQ28vZGJmWEsyU2F3c1d2TDFoTldTeFd4UWNEVVdYalhmNjFQemZiYXA1VDRYU1NwMkxPajhBSkNNQ09nQmd5Vng1My9aRmJXK3h6OTdpMHZqOWxobFRNMDcybDlzeXJRcDR6bFhxTzU3c1Z2LytJZFcrZjgzaUJ3d0FTWWlBRGdCWU1sYlh4VDFlWTdLRnBlYmRGU3JZbVJOZDN2REpvN0k0SThkMjVOcWpyVFNCb1lBNmY5K240cXZ6NWN5bi94ekF5a0JBQndCY3RQRU83MFh0Yjh1MHlaNWxVOGdYbVpROXJkUVo3VEUzUTZiTXNDbnJSRUIzRlRyazdZeWM3OHdqSFpJcFZiMmo3S0xPRHdESmhJQU9BTGhvczAxN3VCaHJyaTlWOVR2TEZmQUVKVW4ybkhOL25pWkR1OVZwbFNTbGxidlUvWFMvUENkRzFQbjdYbFc5dFV6T2ZNZEZuUjhBa2drQkhRQncwYTU1MEQzdDljaVpNZTMvOURGZCtwbDZaZFZsU0pJNm51elJxUisyenRoMkttKzNUNUxrS2p4M3MyZG9MSEpEcURVOUV0Q3oxbWFvOWJGT0hmMTZrOUxMWEtxOHZuUkozd3NBSk5yRk5Rc0NBRENMNGNaUnlaRFN5dWFmVlNVNEVveCtQZEk4Smx1bVRZNjhjLzNrL29rYlFtMFprWUNlWFo4cEdWSm9QS1Q2djFrcml5MXlvMm43a3ozcWF4aGF5cmNCQUFsQlFBY0FMS213UDZ6MlgzY3JkMHUyYkJuelg2aHQvRUdyRHY3VENVblM0Q3NlNWRSbkt1QUphclJsWE40ZXY3cDI5OG5pc0NpdHhDa3piT3IwUTYyU0tkblNIS3R4UEFBQUlBQkpSRUZVclhJVm5XdHQ2ZDB6b040OS9YRjdYd0N3WEdoeEFZQlZhdkR3Y0hUV2xGaDh2VDROSFBURVhKKzNMWHZhNjlCNFNNZSswU1JmWDBBYlAxbzdmZVBKR1JYTktWOUxDbmlDTXNPbXZOMCtEWjBZMFlhYmErUWZER2pmWFVjbFNSYTdSV3ZmV3lFelpPcjR0NXJWMXpDb2lqOHJVZnR2dW5YeXV5MnEvMGlOSkdtMGRWejU3aHdCUUtvam9BUEFLblgwYTZlaU4yREcwdnZTb0hwZkdveTVmcktmUERnV1VzK3ovV3A5b2xOaFgxaWJQMTZyakRWcDA3YTFaMFgrNUhROTNhZnM5WkcrZEYrZlh5Tk5ZeXE2SWsvTkQ3ZkxubWxUNGVXNXNqZ3N1dksrN1FyN3c3S21XeFVZREdqZlo0N0ozeDlRL1MwMUtyb3lYK2tWTHAzODdobjVQdStYczhDdTBIaElPZldaRi9NdEFZQ2tRRUFIZ0ZYcVZWL2RLblB1QXZxQ2pMVjVJOVZ1UXlxK0tsL1ZONVJQNnlHZmxPL09VZjZPSERVKzBCS3QzQnNXUTJubExwVy9vVmh0dit4UzlRM2xzamdpM1pkV2x5VTZyN3F6d0tFQ2Q2NktyOG1QQnYrU2F3dmt6SGVvK2VFMkRiemlVY2tmRlNoclhjYkZ2eUVBU0RBQ09nQ3NVcmJNcGZrVGtGN2gwdWJiMWltck5uM09ubk9MM2FMTkgxOFhjLzI2djZxU3hUcjdrMFZsU0d2L29tTEc0dHd0V2RxK1plT2l4d3dBeVl5QURnQzRhSG1YWk0rLzBUd21aMk1CZ05XT1dWd0FBQUNBSkVKQUJ3QUFBSklJTFM0QUVHZlAzTmlRNkNFQUFGSUlGWFFBaUJQVE5IY25lZ3hJUHZ4Y0FKZ1BGWFFBaUpOOSsvWmRsK2d4SkFPMzIyMUtVa05EQTNlQkFzQUNVRUVIQUFBQWtnZ0JIUUFBQUVnaUJIUUFBQUFnaVJEUUFRQUFnQ1JDUUFjQUFBQ1NDQUVkQUFBQVNDSUVkQUFBQUNDSkVOQUJBQUNBSkVKQUJ3QUFBSklJQVIwQUFBQklJZ1IwQUFBQUlJa1EwQUVBQUlBa1FrQUhBQUFBa2dnQkhRQUFBRWdpQkhRQUFBQWdpUkRRQVFBQWdDUkNRQWNBQUFDU0NBRWRBQUFBU0NJRWRBQUFBQ0NKRU5BQkFBQ0FKRUpBQndBQUFKSUlBUjBBQUFCSUlnUjBBQUFBSUlrUTBBRUFBSUFrUWtBSEFBQUFrZ2dCSFFBQUFFZ2lCSFFBQUFBZ2lSRFFBUUFBZ0NSQ1FBY0FBQUNTQ0FFZEFBQUFTQ0syUkE4QUFMQnk3Tml4bzl3d2pBL050czd0ZHQ4OTliVnBtdmZ0MjdldmZWa0dCZ0FwaElBT0FGZ3lmcisvMStsMC9wMmt2RmxXZjNiSzF3TVdpK1dmbDJsWUFKQlNhSEVCQUN5Wnc0Y1ArMDNUZkh3Qm16NjJkKy9lUU53SEJBQXBpSUFPQUZoU2htRThzb0RORnJJTkFLeEtCSFFBd0pMS3pzNStVdExJSEpzTWV6eWVKNWRyUEFDUWFnam9BSUFsdFh2M2JxK2tKMkt0Tnd6amljYkdSdDh5RGdrQVVnb0JIUUN3NUV6VGpObkNFZzZIYVc4QmdEa1EwQUVBU3k0VUN2MVMwdmdzcThaRG9kQ3ZsbnM4QUpCS0NPZ0FnQ1YzOE9EQlVVbXpCZkZmVHF3REFNUkFRQWNBeE11TVZwWUZ6dkFDQUtzYUFSMEFFQmVHWVR3aGFlcGM1MzZielJiejVsRUFRQVFCSFFBUUYzdjM3aDB5VFhQcWRJcFA3dG16eDVPd0FRRkFpaUNnQXdEaTZaRVlYd01BWWlDZ0F3RGl4bTYzUHpiNXRjMW1lenlSWXdHQVZFRkFCd0RFellzdnZ0Z242YmVtYVQ0NThUVUFZQjYyUkE4QUFMQ3ltYWI1aUdFWVpxTEhBUUNwZ29BT0FJZ3JoOFB4YUtMSEFBQ3BoSUFPQUlpclBYdjJkQ1Y2REFDUVN1aEJCd0FBQUpJSUFSMEFBQUJJSWdSMEFBQUFJSWtRMEFFQUFJQWt3azJpQUlDNGNidmRWMGg2VHBJaDZjcUdob1lYRWp3a0FFaDZWTkFCQUV0dTE2NWRMcmZiZmEra1p4VUo1NUwwck52dHZuZlhybDJ1QkE0TkFKSWVBUjBBc0tUY2J2Y1ZIbzlubjZRN0RJdGhLWHRka2NwZVZ5VERZbGdrM2VIeGVQWk5WTllCQUxPZ3hRVUFzQ1IyN2RybDhuZzhuNWYwRDVJc2FXVXViYmk1V2xsMUdaS2s0aXZ6ZGVJN1p6VGU0ZDJvU0RYOVg3T3pzeit6ZS9kdWJ5TEhEUURKeHBoL2srVGxkcnROU1dwb2FFanA5d0VBcVc2aUl2NkFwSTJHeFZERkc0dFYvWTV5R2ZicHY1N05nS2t6UDJsWDJ5KzdaWVpOU1RvbTZhL3BUUWVBYzFJNjJCTFFBU0N4NXF1YXh6TGNPRHBaVFpla3NDU3E2UUF3SWFXRExRRWR3Qkt3dWQzdXdNVWNvS0dod1M0cHVFVGpTUmtMclpySFFqVWRBR2FYMHNHV2dBNWdLVGdjam8yeDFwV1ZsZDFlVUZEd3diTm56MzVrY0hEd3FkbTI4ZnY5eCtJM3V1UnpvVlh6V0tpbUE4QjBLUjFzQ2VnQTRzaFJWVlgxOWNMQ3dnOE5EQXo4dUttcDZUMlNySkpDaVI1WUlsMXMxVHdXcXVreE9Sd09SKzFDTi9iNy9XMlNodU00SGdETElLV0RMUUVkUUR3NEhJNU50YlcxLzVHZW5yN2Q2L1VlY2JsY1c1cWJtLys4ckt6c245dmIyejg5TUREd0kwbG1vc2U1bkphNmFoNEwxZlRwSEE3SHhxMWJ0eDVkNlBaTlRVMS9NZkh6Q1NDRk1jMGlBSnpqTENrcCtZZXlzcks3d3VIdytPblRwOTltdDl1cjFxeFo4L1grL3Y3ZlpHWm1YbDFUVS9OZ1NVbkp4OXZhMm00YkhoNStKdEVEWGc0VDg1b3ZlZFY4TmxsMUdYTGZzMm15bW00eHcrWWRIby9uTFc2M2UxVlgweGRTaUpvc1dnRklmUVIwQUpBcytmbjVONVNWbFgzQjZYU3VHeHdjL09ucDA2ZHZsZFJaVkZUMHR4UGJETFMwdFB4ZFgxL2ZkeW9xS3I2MWZ2MzZwL3Y2K2g0NmMrYk1IWkk2RXpqMnVGbXVxdm41REx1aG12ZFVxR0JuTHZPbVQ1anJQZ2tBS3c4QkhjQ3FscDJkL2NiS3lzcXZ1Rnl1alQ2ZjcvakpreWZmTWp3OC9FU3M3VWRIUjE4NWNlTEV0Y1hGeGJlV2xaWDkvN201dVc5dWJXMzlVSDkvLzhQTE9lNTRXODZxZVN4VTA4OVpUSnNMZ05SSFFBZXdxZ1dEd1U1SmFtNXV2cW0vdi85QlNRdVpjdEhzN3U3K3BzZmorVVZsWmVWOTQrUGpMZkVkNWZKSlZOVThGcXJwRWJTNEFLdExTdDljeVUyaUFKWlF0c1BoS0YvTURuNi92MTJTSjA3aldYYnhtcUZscWF6R21WNjRTUlJZbmFpZ0E0Q2t2THk4NjlldVhmdkR4ZXpUMU5UMC9vR0JnWWZpTmFibGtteFY4MWhXY3pYOTBLRkRtK2JiaGpZWVlPVWdvQVBBRkEwTkRYbVNCdWZaTE5mdGRnOHN4M2ppTFJsNnpSZHJsZlNtbDBxUzFXb2RQWG55NUxWK3YzKytuMGxOYk5jNXNXOVlVbmVjeHdnZ1Rnam9BTEFLcFVyVlBKYVZYazEzdTkwZEY3Ti9NQmpzTzNqd1lPRlNqUWZBOGlLZ0E4QXFrNHBWODFoV2FqVjk0a3FPSkNrOVBiMHVGQW9OK1h5K25zbGxicmQ3b0sydDdiYXVycTRIWWh3aUhQZEJBb2diQWpvQVRPRnl1Zks5WHUrY3Z4dGRMbGYyY28xbkthVjYxVHlXRlZwTmo3YTBsSlNVM0dFWWh1MzA2ZE0zVE4zQVlyR2t1MXl1M1BOMzlIcTlvNUo2emw4T0lIVVEwQUZnaXMyYk41OUs5QmppWVNWVnpXTlpvZFgwd3V6czdPdGJXbHIrdi9OWGxKV1YzVk5XVm5iUCtjc0hCd2NmT1gzNjlEdVhaM2dSTzNiczJHTVl4dVhMZVU0a1A5TTBkKy9idCsrNlJJOGpGUkhRQVdDS0kwZU9yUE42dlhOT25laHl1YkpUSmNpdjFLcDVMQ3V0bWw1UlVmR1BWcXZWbFplWDkrNkJnWUgvbXJxdXRiWDFvejA5UGQrZFpiZlFNZzB2aW5DTzJSaUdzU3ZSWTBoVkJIUUFrT1R6K1k3MzlQUjh3K3YxZGtnYW4ydGJyOWM3MHRYVjlhOCtuKy9JTWczdmdxeUdxbmtzSzZHYW5wYVdka1Z4Y2ZISHVycTZ2bEpZV0hqVG1qVnJ2dHJhMm5xSHBLQWttYVlabEpSVUh6aXVlZENkNkNFZ1NUeHpZME9paDVEU0NPZ0FJR2xzYk95bHNiR3hseGE0dWJldHJlMzJ1QTdvSXF5MnFua3NxVnhOZHpnY1c5YXZYLy9ZOFBEd0g5cmEyajR4TkRUMHMzWHIxajJhbVpuNTJ2NysvdTlLa3MxbUszRTZuWFdTSnA4Z2FqVk4wMmEzMiszaGNOZzVQajUrUk5KSXd0NEVnQXVXMG1VVW5pUUtBTk1sKzlOQUV5V1Zua0tha1pHeHZhNnVicmZmNzI4NmV2VG9uMGpxbjFoVlZsbForZkdzckt3M09wM090UmFMSlYweC9vNkhRcUhCQXdjT2xHbVpLdXlUZjQrcG9HUFNaQVdkakhaaHFLQUR3QXBBMVh4dXFWUk5IeDBkZmFXN3UvdkxIUjBkLzF2UzFQc2hPczZlUGZzSlNaK1lzc3c2OFo4aHlUSmxlVWlTUCs2REJSQVhsdmszQVFBa3M0bGU4MzJTN2pBc2hxWHlUU1Z5MzdPSmNENkx5ZDcweWplVnlMQVlGa2wzZUR5ZWZSTlhIcEpGcUtPajR4NU5EK2N4dDFVa2lQc1V1WGRpOGovQ09aRENDT2dBa0tKMjdkcmxjcnZkOTBwNlZ0TEd0REtYdHQyMVFUWHZxVmoxTFMxem1heW1iN3RyZzlMS1hKSTBXVTIvZDlldVhhNEVEdzhBQ09nQWtJcW9tbCs4RkttbUExaUZDT2dBa0VLb21pOHRxdWtBa2hFQkhRQlNCRlh6K0tHYURpQ1pFTkFCSU1sUk5WOGVWTk1CSkFzQ09nQWtzZVdvbXBzaGMvNk40aXprQ3l2Z0NjYm40SXQ4ZTFUVEFTUWFBUjBBa3RCU1Y4MmZ1YkZCNHgwenAvb09qZ1Qxd3EwSFpsMjNVQ0Z2U0MyUGRzZy9FTGlnL2NQK3NQYmVjVmlOMzIrNTRERk01VGt4b21kdWJKQzMxNitSTTJONitST0gxZlBDd0tLT1FUVWRRQ0x4b0NJQVNESVRWZk9MZWhyb0M3Y2NVSEFzTkczWjNqdVBUSHQ5ellOdURSejB5SkhubUF5aE01aGhVOTR1MzZ6ckp2ZnBlM2xRclk5M3FuUlg0WUxITjVYRllWSHhOUVU2KzBTblJzNk1LYk02L1lLT00vVjRrcVN3cVl5S05CVmZtYThUMzI1V3ovUDkydlN4V2htV2hYOGZKNnZwRTA4aHRaaGg4dzZQeC9NV3Q5dWRsRThoQmJBeUVOQUJJRWtzNWROQUwvdksxbW12WDdqbGdMYmZ2Vkd1VXVlMDVUMHZER2k4d3h0OUxQZFVsMzZtWHM0aXg0eGdQMm55c2U3ZHovYXI2TlY1Y3VUWjV4elRiT2M0My81UEg0dTVidFBIYWxXd00zZmVZMHdHZEROa3lyQVpxbnBIbWZJdXpkWm95L2lpd3Zta1ZIb0s2ZmwyN3R4WjZQVjZ2WWNQSHg1SjlGZ0FMQndCSFFDU3dGSlV6YWV5cFZ2MTdBZjJUVnQyNFBQSHA3M2UrYVV0Nmo4d3BMVi9VYUdDVitWSmtzNytyRk05enc5bysrYzN5bG5va01WbVJJUDRwSzZuKzNUeU8yY2tTZDV1bndhUERFdW0xUDFjLzZ4aldYTjlxYXJmV1M1SnFueExxVXF1eVYvVWUvSDErWFhvM3NacHl4WVM5bWY3WU5INFFJdHEvN0pTNWE4dlh0UVlwTlNzcG9mRDRWMU9wL05CdDl2OVM4TXdIckhaYkUvczJiTm5JVThvQlpCQUJIUUFTS0NsckpxZnp3eWJ1dXhMVytRcWNlcVpHeHZrL3NJbXBaVzU1TzN5NmVVN0R1dnN6enFWdnoxSG51TWpxbmhqaWFSSS8zYnhOZmxLTzYvU0hrdjdrejNLckU1WC9hMDEwNWJ2KzlSUlZiNmxWRVZYNU1tV2VlNVBqU1BiRnJPZEpwWllWZStxdDVlcDZJcThHY3RENDJIdHYvdVk2bStwVWViYW1lMHk5dXk1Sy8xemppVTFxK2xwa3Q1aG11WTdBb0dBMysxMlB5bnBFYWZUK2Rqenp6OC8rNmNxQUFsRlFBZUFCRm5xcXZsaUJZYURxdi9JV2pWODhvaEdXOGNWR0FySVB4alFtcmVXTG1qLzRFaFFYYnQ3NWNpZjNzTWVIQTBwSERTVlVaVTJiZmxsWDlvaVc1Wk52djdGM1V4cXk3THBzaTl0a1QxM2VyQjI1TmhuRGZ1VHM5TFlzaGIvWVdDaFVyR2FQc0VoNlUyUzN1VHorVUp1dC9zcDB6UWZjVGdjais3WnM2Y3IwWU5iVVNabkQySW1WRndBQWpvQUxMTjRWczJueXFoS1U4T25qaW9jQ0V1S3RId1lGa09HelZCR1ZabzIvdTFhR1ZaREcyNnUxc252bkZISUc5S0dEOWZJa2JPd0NuUHI0NTJTWWNqYjVWTTRFSmJGSHVuOUh1K01GSkZkUmRPcjhLNlN5T3NYYmptd3FQZXgvdVpxbFZ4YnNPRHREYXNoaTkyaTRPaTVtMlRITzMxcS91ODIxYnluWXNGWEIrWTlUMnBXMDZleVNucXRZUml2RFFRQzMzUzczYzhZaHZHSXhXTDV5VXN2dmRTYTZNRXR4bXl6RUxsS25ESXNob1pQamVyNE41cTA5WDl0a0t2UWNjSG5lT2JHQnUzODR1YUZmZWd6cGFQLys3UmtTUFczMUp5N2NSbFlvQlVSME4xdWQrSW44UVdBQlJvYUdqcGdHTWFsa2xUNXBwSzRWYzEzM0xOSmc0ZUgxYjkvU08yLzdwWWp6eTVuZ1VOVmJ5OVQzaVhaa2lRemFLcC8zNUJHbXNja0l4SzZMVFpEdVZ1eW81Vy9XUDNlbzJlOXFubFB1VTQvZEZZanpXUEtYcDhaV2Q0NkxzTnFLSzFzOWlCODVYM2JGL1UrTERHK040M2ZiNWt4TmVOa2Y3a3QwNnFBNTF5bHZ1UEpidlh2SDFMdCs5Y3M2dHdMTWJXYWZ2Ym5YWlB6cGwvcWRydi9kTWxQRmorR3BHdE4wN3cyRkFwOWJjZU9IUzhhaHZHSVlSaVA3TjI3OTFTaUJ6ZWYyZTQzdVB6cmw4aVJiZGZwL3pncjU4U0hSVyt2UDdyZVlqVm12YkY1NmpibjgvVUhaTmhuRDl2VHdyOGhGVitUcitQZmFOSXIvM0pTVzI1ZkoxOS9RUHZ1T3JxZzkzUE5nMjZGZzZiOGc3TmZiV3A2cUZWOURVTUxPZzVTVTBvSGROTTBkeHVHc1N2UjR3Q0FDMlhHcWJ3dzJqcXUxcDkyU0pMcWIxMnI5bDkzYS8xTjFlcmJPNmdqWHptbEFuZU9pcTdLMTVtSDJ6WGU3ZFA2bTZybHlMV3I4WUVXSGJxM1VhNUNoN2JjVVJldEZ0YThxMXdGbDBWbVVPbDdlVkRORDdlci90WWEyVEtzNm55cVY0T0hoNk1CM1hOaVZPa1ZybWhGL1h4VzE4VlZFeWRiV0dyZVhhR0NuVG5SNVEyZlBDcUxNM0pzUjY0OTJrb1RHQXFvOC9kOUtyNDZYODc4Qys4L24zZGNLNmhVWkJpR0tjbTBXQ3dwODY0bXE5dWR1M3ZWOG1pSEhObDJ0ZittVzhPTm81S2tsMjg3TkczN2pLbzA3YmhuMDR6am5ML2RWSWUrZURMbXV2UERjTUhPWEczNiszVTYrclZUYW5tc1V6WHZxZERPTDI2ZTh6MzA3UnRTODQvYUpFbWp6V016YnV5ZWRQbS9YYUthOTBTdUVJVURwZzdjZlV6bGJ5aGUxSlVtSkxlVUR1ajc5dTI3THRGakFJREZtbWh4K1p5azI5dCswV1hwM3plMHBDMHUzaTZmOXQxMVZKVnZLbFhOdThxamxYQlhvVU4xSDZoU3hldUxGZkFFMWZxelRoazJRNWQrcGw2Wk5aR2JLWGZldTFsZGYralRTTlBZdEV2NTl0eHovZDQ1bTdOVTl0b2kyYk1pZjBKeXQyYXI3K1ZCVmIydFRES2x3VmM4S3JweTVzMmJGL013SkVteVpkcGt6N0lwNUl1MDdLU1ZPcU5qTWtPbXpMQXA2MFJBZHhVNjVKMW90VG56U0lka1NsWHZLTHVvODhjeTNEZzYyZUlpU1dGSlg4N096djVzTXJTNDdOaXg0NTJHWVR5OGdFMU5TVThiaHZGSUlCRDR5Y0dEQjgvR2UyengwdjFzdjBxdUxkQm82N2lhLzd0Tkd6NVVyZUpyemdYWDBkWng3Zi9zTVJXK0t2YVVuYk8xc3NScWNSbnY4TTZvNE8rOTg0aHEzbDJ1Z3AyNTJ2YVplbVdzU1p1NHFoVFpOemdTMUVzZlA2UlhmWFhyOUp1b204YWlYMmV0eTlCVjM0dGNiWHJ1Zy90Vjk0RXFGVjhibVFFcDh1RTM4bUd6djJGSTRhQ3BrbXNMNG5iUEJaWmZTZ2QwQUVoRkU4SHRUcmZiL2Fpa0I4WTd2QnNQM25OQzVXOG9WczBORjkvdTRpcHhhdnZuTnNxUlo1ZTNMM0s1ZnVjWE44dXdXZVR0OWN1d1crUW9jS2o2SGVXeVpWb2xpekh0c243ZXBUa3ErNU9pbU1mUFdwZWhySFhuUGt3VVhwYXJ0bDkwYWVUMG1BSWpRZm1IQWlxOGZHWkFqeldmK2tKTlR0Y1k4QVFsU2ZhY2MzL0NKa083MVdtVkpLV1Z1OVQ5ZEw4OEowYlUrZnRlVmIyMVRNNzhDKzgvbm8wWk1OWDhTTHZhZjlVdE0yeEswakZKeVg2VDZGUkIwelNmTWd6akVidmQvdE9WY0pPb3Q4c256NGtSMWJ5clhFZStka3BaNnpPVnZUSHIzTSszS1ozNGRyTXlLdEpVZEdXK3ZMMStPZlBzTXF6VC84M0YrbGxkNk0vd2VJYzMrcUN3eVErL1U1bG01R2QyenFzdWhxWmZoYkpvMXF0U3ZTOE9LTDB5alhDK3doRFFBU0JCR2hvYVh0aTFhOWNPajhmek9UTnNMbWsxUGJNbVhRZi82WVE4SnkvcytUU0w2VjNOcXN0UVJsV2FXbjdhb2VCWVNCbHIwbVlkLy9uSEhEa3pwdjJmUHFaTFAxTWYzYjdqeVI2ZCttSHJuT2YzZGtlZWJPb3FQTmZqSHBvSVE5YjBTRURQV3B1aDFzYzZkZlRyVFVvdmM2bnkrb1hOVExOUXlWdzFuNGRmMG04VW1XYng4WlUyeldMbjcvdVV1emxMSVc5WXpnS0hSbHZHWTdhc3ZIejdZVW16Vjh1MzNyaytlbE56ZFB2YkRzMjYzTnZsbTdQMXhUODBzNDg4T0JMNWVRMTRncE1mN3FJZkxoY2pOQjVTWDhPUTFyeHRhWCsra1hnRWRBQklvSGhXMDdkOWVvTWthZUNnUjluMW1kSDJEMm1STTFLY3h6OFFVT3ZqbmFwK1Y3bHNFNEc0NXQwVk92emx5TU9FTnQrMmJrSEhHVzRjbFF6RnZKbDBxdUJJTU5vS01OSThKbHVtYmRvTmZ2NkpHMEp0R1pIeFpOZG5Ta1lrd0d6OVJKMHN0c2ozc2YzSkhqa0xIQ3B3NStoQ3BHalZmRnpTTHlhbVUvejVTbjVRMGRDUllXVnZ5RkRldG16bGJzbWFVUmsvMy9rM1FKc2hVNWQ4Y3IwY2VRdS8ydUlzY09pU1Q2NlBQTGwybHZPOStORlhZdTdiOE1sekZmbXF0NWROQy8vK29jQzBmUnZ2YjFIai9TMnkyQXhkZGY4T1NaRVBKR2JJVk52UHUrUXFjTWl3R1NwdzV6SzE0d3BBUUFlQUpCRFBhdnJoTHpmT0dzWm51MXh2eTdUcGltOXVtL1U0dm42LzJuN1JyYzZuZW1WMVdWVHhodUpvUUkvMmx4dFNlS0xkWkM1aGYxanR2KzVXN3BaczJUTG0vMVBVK0lOVytmc0QydmJwRFJwOHhhT2Mra3dGUEVINUJ3T3lwbG5WdGJ0UEZvZEZhU1ZPbVdGVHB4OXFsY3pJRTFWZFJlZkNWdStlQVRrTDdCY1UwRk94YW02MzI1L3llcjFGQnc4ZUhFMzBXSlpEOWJ2S2RmaGZHMVgycDhWeUZUcjA4dTJIbzFkY0ZtSzh3NnRYdmhDN0dqNVhwZHo5TDV1VVhwazJZL2tWLzM3cHROZG15TlNoTDU3VWFNdTRMdnZ5bHVnSFQ0dmRVTzlMZzlIdDdGbTI2RTJsZSs4OG91b2J5bFY0ZWE1a1JOSzNHVGJWOFp0dUZWK2RyODdkdlJycjhLcnQ1MTFhODdZeVZiNnBaTUh2R2NtSmdBNEFTU0xldmVubm0rMXl2WEZlaSt0a2IzZjdyN3JWZUgrTGJPbFdWYjI5VEdXdks1TFZhVkZnT0toVFAyaFY3NHNES3I0bVgyRmZXTWUrMmFUeUV5T3FmbGU1cks2WmwrMUQ0eUVkKzBhVGZIMEJiZnhvN2ZTVmsyL1IxTFFxNEdRcmdMZmJwNkVUSTlwd2M0MzhnK2VtcmJQWUxWcjczZ3FaSVZQSHY5V3N2b1pCVmZ4WmlkcC8wNjJUMzIxUi9VZHFKRVZ1RU14ZlpEaFAwYXE1Sk9uRkYxL3NTL1FZbGxQdWxpeGwxV2FvNHpmZFd2dmVTbTMvM01ab0M4bHM5dnpOd1JuTERJdWhxNysvWThieXVhNDZQZnVCZlRIUE1ma2hkbExUZjdWRlB6UlkwNnd6MWs4ZHg3UWJ0WE9tUDNpcisrbCtlZnY4S245OXNUcDM5OHBaNEZETnV5dDArai9QS25kTDFxeTk3MGdkQkhRQVNESkxVVTAvZnk3bnVlWnZuc29Nbjl2WG1Xdlh5T2xJNGRYYjQ5ZWE2MHRWOGNaaVdWMVdoYndoblgyaVUyZWY2RkxZSDliYTkxYXE0ZzNGTXNPbTBoN3RVT3ZqbmVwNVlVRGxyeTlXeVI4WHlKRmpWM0FzcEo1bis5WDZSS2ZDdnJBMmY3eFdHV3VtVnh3blo0YnBlcnBQMmVzajc5WFg1OWRJMDVpS3JzaFQ4OFB0c21mYVZIaDVyaXdPaTY2OGI3dkMvckNzNlZZRkJnUGE5NWxqOHZjSFZIOUxqWXF1ekZkNmhVc252M3RHdnMvNzVTeXdLelFlVWs1OTVvSytoMUpxVnMxWHUvenQyZXArdGw5clRjbmlNSFFoL1I2eDVrSmY2TCtqV0RwMzk2cnRWMTNhY0hPTlR0elhmTUhIQ1hsRGF2NmZkaFZka2FmMGluT2h2ZXkxUmVwOWVWREh2OVdzSGYrMGtRY2twVEFDT2dBa29ZdXRwcDkvWTl4c2wrYm51bHd2U2RzL3QxRlpkUmtxdWJaQTFlOHVqejVoZEx6VHB3TjNIMU53TEtTOGJkbXFmZCthNk5NNURZdWg2aHZLVmVETzFha2Z0dXJNLzdUTFdlaFFablY2cE5wdFNNVlg1YXY2aHZKWkh4S1Q3ODVSL280Y05UN1FFcDN2M0xBWVNpdDNxZndOeFdyN1paZXFieWlQQmcrcnl4S2RWejNTVzU2cjRtdnlvOEcvNU5vQ09mTWRhbjY0VFFPdmVGVHlSd1hUWnFDSkpaV3I1cXVkSTk4aC8yQkFBNjk0b3ZkRkxJWVpObVBlV0RyZnY1bTU5TDA4cUZQZmI5V2F0NVFxNzlMc1JlOGY4b2JWdjM5STQ1MCtCUVlEQ280R1ZmMk84dWtiR2RMNkQxYXA0Wk5IMWZ4d3Uyci9zdktDeDR2RUlxQURRQks3MEdyNlVqNUJjUDNOMWROZXA1VTZWZk9lQ3FWWHVxSVBKenBmNXRwMFhmcVplbzAwajBVdnRXKytiWjJ5YXRQbjdEbTMyQzNhL1BIWU41bXUrNnNxV1dMZCtHZElhLytpWXNiaTNDMVoycjVsWTh4am5vK3FlV29hYVI1VGNEeWt2cGNHNWNpeEszZHpsaTcvK2lYUjlXMi83RmJ4VmZuVHB1YzgvZERaYVcxWWpqeUg2djY2U3FYWEZVNDd0dWZraUxxZjdsZjFPOHRsejU3NTg5djVWTytjTjVaMlA5ZXZrL2VkVWVHcmMxVjlRN2tDSThINTM1QXBqVFNOcWY5QTVJbWhUZjk1Vm9iTmtEUGZJVit2WDVWdkxwblJvaVpKcm1Lbkt0OWNvcGFmZHFqdzhyem9sU2lrRnE1OUFFQ1MyNzE3dDdlaG9lRk9TVmRMT2piZTRkWEJlMDZvNlVkdE1nT0plZEJqNlhXRk1jUDVWRlA3WVBNdVdkZ05vWE94Mkl5NHpWQmhCa3cxL2FoTkIrODVNUm5PajBtNnVxR2g0VTdDZWZMcmZXbFFCKzQrcnFHancxcnoxakoxUGQwbncyS280YzRqTWdPbVBDZEdkT29ITGJKbjJpSXRWOE5CMmRLc2N1U2V1NUlUOW9jalY0ck1TRHZMa2ErY2toU1pRV1hvMkxDOFBUTnZPQTJPaGVUcjg4LytoRnhUYW4yc1F5ZSszYXlDblRuYThLR2FCZi84OXJ3d29QMTNIOVBabjNlcFlHZXU2bStwMGM1N3Q4Z01tbklWTzdSbWpxbERLOTljb3JRU3A4Yk9qaS9zWkVnNkJIUUFTQkVORFEwdlpHZG43NUIwcnhrMncyMi82RkxEWFVlamp6TEhoUnR1SEZYRFhVZlY5b3N1bVdFekxPbmU3T3pzSGJTMHBJNnF0NWZwMWQvWXBsZC9jNXNrVTgwL2JwTmhSQUswTElZMi9tMnR4anQ5R200Y1ZmKytJWTEzKzlXL2YwaXRqM2RHajlIMWgxNmQrbUdySkNuc0M2bC9mNlI2dmVYMk9sblRyWHJsbjAvSTJ4UHBUei8xZzFZZCtlb3BoYndoZGZ6ZkhqWDlxRzNHbURwKzE2TXpqM1NvNU5vQzFYOWs3YnpUUGs2VnRUNURHLzltclY3OWpXM2E5TEZhRlYyVkwxdTZWVG1iczFSLzY5bzUrOHN0ZG91Mi85T21HVmNDa0Rwb2NRR0FGTExjTTcyc2RQU2FyeHdXbXhHOXliajl5UjRWWFpFLzdZWk9aNzVkTzcrMFJiWjBxMDUrNTR6Q2diRFcvZFVhSGZzL1RjcmJucTJNTlducWVycGZ4VmZuejZoeU93c2MydmFwRFJvNk9oS2R0blBrekpoQzR5RTU4eDFhOS80MU92N3Z6Y3JkbERWdGxxRFM2d3BseTdDcDZJbzhtV0ZUWTIxZVdaMFdEUnowU0lhbVBadEFVcVNoYXVMY3JrS0hYSVhUMjJaczZWWnQrTkQwbHJOWVpod2JLWVgvOXdBZ0JWRk52M2hVelZlbW9hUERHbWthVThXZmxjaGlOMlN4VzlTL2QxRGpIVjRGaGdJYU9qcXNnVmM4eXFyTGlMYU9aRlNtcWVzUGZmTDErVlg2bWtqVjJaNWxrd3lwNnc5OUd1L3d5dGZybDZ2SW9mRU9yM3FlNzlmSTZUSGxibzNjN0ZsMFZiN3l0K2RvdEhWNlM0bGhNVlIwUlY3a2E4UFEvczhlMDB1M0hkS3BCMXRWOGZwaUdWWkQ0VUJZWVg5WWdhR0ErdllPeWxXdzhJY2tZZVdpZ2c0QUtZcHErb1doYXI2eTVXekswbzU3TmtVcjNXdmVXcXJtSDdjcC9COFRzd0xaREdWdnlGVEp0UVdTcE1KWFJ3SzBxOWlwNm5lVnk1a2YyYytXYVZQVjI4dDArcUd6Q25sRDA4NWhjVmlVZTBtMnF0NTZyZzk4MDkvWHlyRE04Vy9Pa0s3Njd2Ykk3RVJHSkx5ZnVLOVozYy8wUnpleHVxd3pic3JHNnNSdmJ3QllBWGJ0MnVYeWVEeWZrM1M3SkV0YW1XdEpua0s2MGpCRFMzeTQzVzVUV3RyWmd4YWorN2wrRmV6SWtUVnQ5b2YrSkt1UU54enBrUTlIUXJzanh5N0R0aktpMlRNM05raVNHaG9hVnNZYldtWjgwd0JnQlhHNzNWZElla0RTUnNOaVVFMmZRTlU4dmhJZDBKRjhDT2dYaHg1VjVoNHdBQUFDMUVsRVFWUjBBRmhCNkUyZmlWNXpBS21HSG5RQVdHSG9UWStnYWc0Z1ZWRkJCNEFWYWpWWDA2bWFBMGhsVk5BQllBVmJiZFYwcXVZQVZnSXE2QUN3Q3F5R2FqcFZjd0FyQlJWMEFGZ2xWbW8xbmFvNWdKV0dDam9BckRJcnFacE8xUnpBU2tRRkhRQldvVlN2cGxNMUI3Q1NVVUVIZ0ZVc0ZhdnBWTTBCckhSVTBBRmdsVXVWYWpwVmN3Q3JCUlYwQUlDazVLNm1VelVIc0pwUVFRY0FSQ1ZiTloycU9ZRFZpQW82QUdDR1pLaW1VelVIc0ZvbFIyTWhBQ0JwdWQzdUt5UTlJR21qWVRIaVhrMm5hcDU2M0c2M21lZ3hJRGsxTkRTUU5TOEFGWFFBd0p5V3M1cE8xVHcxbWFhNU85RmpRUExoNStMQzhha0dBTEJnOGFxbVV6VUhnSE9zaVI0QUFDQjFkSFIwbksydnIvK2V6K2R6eU5TVnd5ZEhqZDZYQnBXMU5sM09mTWNGSFhPNGNWU0h2dHlvL24xRGtxbXdwQzlsWjJmLytmUFBQOSs4bEdNSGdGUkJCUjBBY0VFdXRwcE8xUndBWmtjRkhRQndRUzZtbWs3VkhBQmlvNElPQUxob0M2Mm1VelVIZ1BsUlFRY0FYTFNGVk5PcG1nUEF3bEJCQndBc3FmT3I2V1d2TFpJa2RmeTJoNm81QUN3QUFSMEFzT1IyN2RybDhuZzhuNU4wdTg0OWN5TXM2Y3ZaMmRtZjNiMTd0emR4b3dPQTVFWkFCd0RFelVRMS9Yc1RMejlJMVJ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eC9oOEpKc2NJQTlESlBnQUFBQUJKUlU1RXJrSmdnZz09IiwKICAgIlR5cGUiIDogImZsb3ciLAogICAiVmVyc2lvbiIgOiAiIgp9Cg=="/>
    </extobj>
    <extobj name="ECB019B1-382A-4266-B25C-5B523AA43C14-5">
      <extobjdata type="ECB019B1-382A-4266-B25C-5B523AA43C14" data="ewogICAiRmlsZUlkIiA6ICI3NzMzMzUwNzk4MiIsCiAgICJHcm91cElkIiA6ICI1MTU4OTQ4ODgiLAogICAiSW1hZ2UiIDogImlWQk9SdzBLR2dvQUFBQU5TVWhFVWdBQUFuVUFBQVJmQ0FZQUFBQjZFQlUrQUFBQUNYQklXWE1BQUFzVEFBQUxFd0VBbXB3WUFBQWdBRWxFUVZSNG5PemRlVnhVVmVNRzhPY096TUlPc3EvdTRjS3JNYVJtYW1scGkyV2JtaTJXOW1hbExTN1phNmxabWt2dXBhYVdhV21scGttNXIyVzhhcGtta1A1SWNRY1JCcEI5bVlGaFp1N3ZENWg1WjJBR0JoWEI0ZmwrUG54aXpqMzMzbk1uQng3T1BlZGN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oSkVCcTdBVVJOVFhSMDlERkJFTG8zZGp1b2FSRkZNUzR4TWJGZlk3ZURpTWdXU1dNM2dLaXBZYUFqYXdSQjZOdlliU0FpcW8xell6ZUFxS21LajQ5djdDWlFFeEVURTlQWVRTQWlxaE43Nm9pSWlJZ2NBRU1kRVJFUmtRTmdxQ01pSWlKeUFBeDFSRVJFUkE2QUV5V0lHb0FvaXREcGRLaW9xSUJXcTBWNWVUblVhalhVYWpWS1NrcFFYRnlNd3NKQzVPZm5JeWNuQjJWbFpaZytmZm90YVp2QllNQ1NKVXZnNysrUDRjT0gzOUN4dG03ZGlqLysrQU1qUm94QTU4NmRiMUlMN2JObzBTTDA3ZHNYTVRFeEtDNHV0bXNmRHcrUEJtNFZFVkhqWWFnanVvbTZkZXNHVVJRaGlxTE5PaktaREs2dXJuQnpjNE9ibXhzOFBEemc0ZUdCdkx3OHRHalJBZ0NnMSt2UnZYdDNlSHA2UWhCcVgwNVNwOVBCMDlNVE8zZnV0S3VORW9rRUZSVVZXTEprQ2RxMmJZdWVQWHZhZjRGbURoMDZoTm16WjBNUUJPVGs1T0NMTDc2QVRDYXpXbGVyMVNJbko4ZnF0a1dMRmlFdUxxN084NW5QUmxhcjFmanh4eDl4NzczM1FxL1hvMi9mdm5hMW1UT2FpY2lSTWRRUjNVUUdnd0VqUjQ3RWdBRURJSlZLSVpWS0laUEpJSmZMb2RQcGNPTEVDZlRvMGNNVTN1cmk0ZUVCWitmYVA2WmxaV1ZXeTR1TGk1R2JtMnQxMjFOUFBZVkRodzVoNzk2OUNBNE90bG9uTkRRVVVxblU2cllqUjQ3Z3ZmZmV3OTEzMzQweFk4Wmc5T2pSK09pamp6QnIxaXc0T1RuVnFILzI3Rm1NSERuUzZySDI3Tm1EdDk5K0cwQmwrQnN4WWdTZWYvNTVEQm8weUdwOUFEaDY5Q2lrVWludXZQTk9VOW0wYWRQUXAwOGZxL1hUMHRMd3lpdXYyRHdlRVpFallLZ2p1c21DZzRQUm9VT0hHdVVwS1NuNDRJTVBzR3JWS3J0RDNmTGx5eEVlSGw1cm5ULysrQU56NXN5cFViNXYzejU4OHNrbnRlNjdjK2RPbXoxOG16ZHZSdHUyYld1VWI5bXlCZlBuejBlM2J0MndjT0ZDeU9WeWZQcnBweGc3ZGl3bVRKaUF1WFBud3RYVjFXS2ZxS2dvSEQxNkZBRFFzMmRQVEo0OEdZOC8vamdBV1BUdS9mZS8vNFZXcThXZ1FZUFFxbFVybSszZXZYczMrdlRwQTZsVUNyMWVEd0J3ZDNlSHI2K3YxZnIyM3A0bElycWRNZFFSTllEYUZxdDk3YlhYckpiSHhzYldDRElqUjQ2RVJGTDdmQ2FkVGdjM056ZWIyNnZmY2p4OStqUXlNakp3Ly8zM1d6MTJmSHk4MVRhV2xKVGdrMDgrd2Q2OWUvSEVFMDlneXBRcHBsN0VtSmdZZlBubGx4ZzNiaHhHamh5SkdUTm1vR1BIanFaOUJVR3dDRy9PenM1V2I5WCs4c3N2YU51MmJhMkJMajgvSDBlT0hNSGN1WE50MWlFaWFvNFk2b2dhUUd4c2JJMnk5UFIwakIwN0ZqTm16RUJVVkZTTjdhR2hvVFhLMXE1ZGU5MDlkYllzVzdZTTZlbnA2TnUzYjUyQjBlakFnUU5ZdEdnUlNrcEtNRzNhTkR6NTVKTTE2a1JGUldIZHVuV1lQSG15NlJicXlKRWo0ZTN0YmRjNVNrdExFUmNYaDFkZmZiWFdlai84OEFOME9oMWF0MjV0VVo2VGs0T1VsQlNyKzZTbnA5dlZCaUtpMnhsREhWRURxSzJuS1RnNDJPYjJaNTk5RmxldlhnVlFPYUhoMldlZnJYT2loTUZnZ0U2blErL2V2UUVBOCtmUHh6MzMzSU9ubjM3YWRJdlQ2T1RKa3poKy9EaG16SmhoYzZ4ZWRIUzBhY3pheVpNbnNXVEpFcHc4ZVJMZHUzZkhCeDk4WURWOEdvV0ZoZUdiYjc3QmwxOStpVysvL1JaYnRtekJoQWtUMExkdlh6ejQ0SU9tZWpObnpzVE1tVE1oazhsTXQyVi8vdmxuNkhRNnJGdTNEa0ZCUVpESlpManZ2dnNzcnIrMHRCU2JOMisyZXU0RkN4YlUrajRSRVRrNmhqcWltOHdZUXFyM0dobDdpMVFxVlkxdHhwRDN3dzgvM0pRMkZCVVZJUzh2cjBiNTh1WEw0ZS92ajA2ZE90bnMxVEpYVUZDQTNOeGN6SnMzRDMvLy9YZU5rRmliclZ1MzR2UFBQMGQwZERSOGZIeE12WmVEQncvR21ERmowTDkvZjlON1pUQVlzR25USmd3Y09CQmJ0MjVGYW1vcTFxMWJoMWRmZlJValJvd3dIWFBWcWxVMXppTUlBaDU4OEVHODhNSUxwaDdRbUpnWWk5dlorZm41V0x0MnJkMXRKeUs2SFRIVUVkMGtCb01CQUV5elB3Y1BIbXkxM2tjZmZWU2pyUHE0dDVTVUZBd2VQQmhlWGw0VzVZV0ZoZkR3OExDNGJXb3dHRkJjWEd4eGpKMDdkMkxSb2tVMjJ6cDA2TkE2cnVaLzdlclRwdzhrRWdtVVNpV0dEQmxpc1gzNzl1MVl0MjZkMWR2TjRlSGhtRGR2bnVtMWVlK2tuNStmeGV2dDI3ZERwVkxoaFJkZXdOYXRXeEVVRklTMzMzNGJpeGN2UnZmdTNkR3hZMGVVbFpWaDA2Wk4rUERERHpGdDJqVFR2aEtKcE00SklUNCtQcGd3WVlKZDEweEVkTHRpcUNPNlNjckx5d0VBQ29YQ1ZEWjkrblRUMGh3R2d3SDUrZm53OHZJeTNmcmNzV05IcllzT0h6eDQwT0oxVEV3TTFxNWRheEdJakFIUTNQUFBQNC9ubjMvZTlMcW9xQWhQUGZVVWV2ZnVqUmt6WnRRNHorclZxN0ZtelJyczJiT254aGc0WTRCczBhSkZqVm03UGo0K0FHcS8zVndYdFZxTjVjdVg0NkdISGtLYk5tMU01Yzg4OHd3T0hqeUlxVk9uWXVQR2pWQW9GSmc4ZVRJR0RoeG9DblgzMzM4L0Nnc0xyUjdYVnFqbVduVkU1S2dZNm9odUV1T3lHYmFlV3BDWm1ZbEJnd2JocTYrK2dsS3B0T3VZVHovOWRJMnlzV1BIV295SDArbDBkUjVueVpJbDBPdjFHRGR1WEkxdEJRVUYyTEJoQXdZT0hHajNwSVliVlZKU2dpTkhqaUFsSlFXNXVia29MaTdHNk5Hakxlb0lnb0FQUC93UVE0WU13YkpseS9EdXUrL2lpU2Vlc0tpemJ0MDYwNUltQUxCcjF5NGNQbndZNTgrZlI4dVdMZUh2NzQvSmt5ZmZrbXNpSW1wc0RIVkVOOG0xYTljQVZONWF0S2Fpb2dJQWJDN29hODFQUC8xazhUb21KZ1pMbHk2dHM2Zk9YRTVPRHVMaTRsQlJVWUhWcTFmajJXZWZSVVJFQklESzNzTVBQL3dRQVBER0cyL1UycGJhbG1teHRpMHNMQXpidG0wem5lZk1tVFA0L2ZmZkFRQ2Zmdm9wcEZJcEFnSUNvRktwTUhMa1NLdXpmRU5EUS9IeXl5OWoxYXBWR0RCZ0FMcDI3V3F4M1h5ZjlQUjBiTjY4R1o5OTlobEdqUnFGQ1JNbVlOS2tTYmg0OFNJZWVPQ0JXcStOaU1nUk1OUVIzU1FwS1NrUUJNSG1FaVRHeDJUWnUvQXdBQXdZTUtCRzJTdXZ2RkpqVEYxdC9QejhzR3ZYTG16YnRnM3IxNjgzUFY3cjJXZWZ4WTgvL29oang0N2hzODgrczdsd3I1RzFjWE8xamFrekQ2Lzc5Ky9IMUtsVElaZkwwYTlmUHp6d3dBUG8yclVyUm8wYWhmRHdjSXdhTmNybWVVZU9ISW05ZS9maTRzV0xOVUtkVVZGUkVjYU9IWXRISG5rRTBkSFJBQ29EMzhTSkV6RnQyalQ0K1BqWTNUdEtSSFM3WXFnanVrbVNrcElRRmhabWVwcUNpNHVMeFczU1AvNzRBd0N3Y2VOR0RCOCtIRUZCUVhCMmRvYUxpMHVOWS9uNittTHk1TWsxSmliRXhNUmd6Wm8xRmoxMXhjWEYyTGR2WDYxdFV5Z1VHRFpzR0lZT0hZcjkrL2RqNmRLbHB0dWRUejc1SkhyMDZGSG45VmtiTjJmdm1Mb3VYYnJnazA4K1FaOCtmVXpYVzFKU2dtN2R1bUhZc0dHUXkrVTI5NVhKWkZpL2ZyM1Y5d2tBc3JPek1YNzhlTGk1dWVHZGQ5NngyRFpreUJDa3BxYmlqVGZld1B2dnYyOTFmVDBpSWtmQlVFY09wMHVYTG1HUmtaR3FIMy84VVY5MzdadERGRVVjUG53WVBYdjJOSlVkT1hMRTlQMzI3ZHZ4L2ZmZjQrR0hIOGJ4NDhleGVmTm1QUGpnZzNqcHBaY3M2Z0dWZy8rTlZxeFlVZU5jdHA0eXNXTEZDa3liTmczOSt2V3oya2FEd1lEang0OWp6NTQ5eU1yS1FydDI3U0NYeTdGMTYxYjg5ZGRmZVBIRkYvSDQ0NC9YR3JDdVYwaElDRUpDUWl6SzNOM2RyVTdhc01aV29Qdnp6ejh4WThZTWVIaDRZTVdLRlZhZlVqRng0a1FvRkFyTW5Ea1RlL2Z1eGJKbHkrcDFDNXlJNkhiQlVFY094OW5aK1lNTEZ5NDhHUk1UODdQQllJajE4dktLaTR1THEzczJ3UTM0NzMvL0M1VktaYkhBYmxwYUduNy8vWGRzMjdZTjU4K2Z4d3N2dklEeDQ4Y0RBSDc3N1Rlc1dyVUt6ei8vUE82OTkxNjg4c29yNk55NU00Q2FNMTdOV1p2OWFvdkJZRUJxYWlyT25EbUQ0OGVQNDQ4Ly9rQnViaTVDUTBNeGVmSmtQUDMwMDVCSUpQanp6eit4YXRVcXpKMDdGMTkrK1NXZWZmWlpQUFBNTS9EMDlBUlErYXhXclZaYjY3bHFHMi9YVUxOTkN3b0tNSFhxVkxSdDJ4Yno1czJyZFpMSG0yKytpYWlvS096YnQ0K0Jqb2djRmtNZE9TUkJFQUpGVVJ3dENNTG93c0xDUEtWU3VVMFFoTmpDd3NKZkxseTRVSDZ6ejdkMTYxWkVSa2FpVzdkdW1ETm5Ebjc3N1RmazVlVkJMcGZqdnZ2dXc3UnAwOUNwVXlkVC9mdnZ2eC85K3ZYRHZuMzdzSExsU3J6MDBrdFl2SGd4cGs2ZFd1dDVYRnhjTUh6NDhGcnJUSjA2Rlk4ODhnZzJidHlJeFlzWEF3QThQVDNScDA4ZkRCZ3dBTDE2OWJMbzZidjc3cnR4OTkxMzQ5aXhZL2ppaXkrd2N1VktLQlFLMDNsKytPRUhpS0o0dlc5TmcvSDI5c1kzMzN5RHNMQXd1eDUzZHQ5OTkrRysrKzY3QlMwakltb2N0VDkvaU9nMnBGUXF2d0R3dW8zTlJhSW83aFFFSVZZUWhMM3g4ZkZxSy91TFFQMTZtUEx5OG5EdDJqVkVSa2JpMkxGak9IbnlKUDcxcjM4aE9qcmFZdDA2YTNRNkhYYnQyb1hISG52TXRIRHh6YURWYXJGejUwNUVSVVdoWGJ0MmRqL245YzgvLzBTM2J0MXVhbHR1dGkxYnR1Q2hoeDZ5dVh6TTZ0V3JNWFRvMEJxTE4xOHZZMDlrUWtJQ2YyWVNVWlBGSDFEa2NPb0lkZWJVQVBhSW9oZ3JrOGwySFR0MnJLaHEvM3FIT25Kc0RIVkVkRHZnRHlocU1xS2pvNDhKZ3RDOUVadXdFMEFzZ0c4QWhqcjZuOXJHREJMVlJSVEZ1TVRFUk9zem1JaHVJdnZ1eHhEZEFvMGM2QUJBRkFTaDZRMGVJNkxibWlBSWZSdTdEZFE4Y0tJRU5UazNlb3VyUHJkZkJVSFliVEFZWWwxZFhYZjkvdnZ2eFZYN3I3MlI4NVBqNHUxWHFpL2pjQTZpVzRHaGpwcWJJZ0E3QU1RS2dyRFAya1NKNWtxdjF6ZnB5UkZFUkZRNzNuNmw1aUFYd05jU2llVFJvcUtpZ0lTRWhPRUpDUWsvTTlEOVQzeDhQQVlNR0dCNk5pc1JFZDErMkZOSERra1V4U3dBUHdHSTlmTHkrbTlETHo1OHUrdlVxUk9jbkp3d2UvWnNiTjI2MWVMSkRQdjI3Y09VS1ZOcTdDT1JTUERYWDMvZHltWVNFVkV0R09ySTRlaDB1bG1Sa1pGdjNzckhoTjJPU2twS2tKT1RZM3A5Ly8zM282Q2dBQmtaR1Zicng4YkdtcjVmc1dJRjR1TGlHcnFKUkVSVUR3eDE1SEJPblRwMTlkU3BVNDNkakNidnQ5OSt3L1RwMDJ1VS8vTExMeGF2NTh5WkF3Q21SNU9wMVdvY1BYb1U5OXh6VDBNM2tZaUk2b0doanFpWkdqUm9FRnEwYUlHclY2OWkyTEJoRnRzV0wxNk16cDA3NDZHSEhzSytmZnNzdG0zZnZoMXF0UnF2dnZycXJXd3VFUkhWZ1JNbGlKb3hoVUtCaFFzWFdnUzNRNGNPWWYzNjlWWWZzV1V3R0xCaHd3YjA3ZHNYblR0M3ZwVk5KU0tpT2pEVUVUVmpNVEV4ZU9hWloweFB6OGpMeThQTW1UTXhiTmd3M0gzMzNUWHFIemh3QUZsWldSZzdkdXl0YmlvUkVkV0J0MStKbXFucWo3NHlud2l4YWRNbWJOcTBDUUF3ZWZKa1UzbCtmajRNQmdNU0VoTFFzbVhMVzlOUUlpS3lDME1kVVRObEh1SnFrNXljYlByKzJXZWZoU2lLbUQxN05nSUNBdENyVjYrR2FoNFJFZFVUUXgxUk0yV2N6VnFYczJmUFdyeCs3cm5uY09yVUtjeWJOdzlidDI2RlJNSlJIRVJFVFFGREhWRXpWdjBXYkhYR3NYYlZEUjgrSEMrOTlCS1NrNVBScVZPbmhtZ2FFUkhWRTBNZFVUTzNkT2xTaElhR1dwU2xwNmZYT2hraUlpSUNBSkNkbmMxUVIwVFVSRERVRVRWem9hR2hkdCtLTlVwTFN3TUFlSHQ3TjBDTGlJam9lakRVRVpGZHZ2dnVPL3p6eno5d2MzUEQwYU5IRVJBUXdMWHFpSWlhRUlZNm9tWXVQVDNkcmpKZlgxOWN2bndaT3AwT0hUdDJ4QnR2dkFHcFZIb3Jta2hFUkhaZ3FDTnE1dXhkU0hqZ3dJRVlPSEJnQTdlR2lJaXVGME1kVVRNWEd4dGJZMHhkU2tvS0JnOGUzRGdOSWlLaTY4SlFSOVNNYmQyNkZjSEJ3VFhLdzhMQ3NHUEhEZ0JBang0OXNHYk5tbHZkTkNJaXFpZUdPcUptTER3ODNHcTVzN016UWtKQ0FGVE9jTDN6emp0dlpiT0lpT2c2Y0NsNElpSWlJZ2ZBVUVkRVJFVGtBSGo3bGNpR3VoNmhSVVJFMUpTd3A0Nm9HbEVVNHhxN0RkVDA4TjhGRVRWMTdLa2pxaVl4TWJGZlk3ZWhxVkFxbFNJQUpDUWtDSTNkRmlJaXFoMTc2b2lJaUlnY0FFTWRFUkVSa1FOZ3FDTWlJaUp5QUF4MVJFUkVSQTZBb1k2SWlJaklBVERVRVJFUkVUa0Foam9pSWlJaUI4QlFSMFJFUk9RQUdPcUlpSWlJSEFCREhSRVJFWkVEWUtnaklpSWljZ0FNZFVSRVJFUU9nS0dPaUlpSXlBRXcxQkVSRVJFNUFJWTZJaUlpSWdmQVVFZEVSRVRrQUJqcWlJaUlpQndBUXgwUkVSR1JBMkNvSXlJaUluSUFESFZFUkVSRURvQ2hqb2lJaU1nQk1OUVJFUkVST1FDR09pSWlJaUlId0ZCSFJFUkU1QUFZNm9pSWlJZ2NBRU1kRVJFUmtRTmdxQ01pSWlKeUFBeDFSRVJFUkE2QW9ZNklpSWpJQVREVUVSRVJFVGtBaGpvaUlpSWlCOEJRUjBSRVJPUUFHT3FJaUlpSUhBQkRIUkVSRVpFRFlLZ2pJaUlpY2dBTWRVUkVSRVFPZ0tHT2lJaUl5QUU0TjNZRGlLaHBpSTZPRGhFRTRUVnIyNVJLNVhUejE2SW9ya3BNVE15NEpRMGpJaUs3TU5RUkVRQkFxOVhteU9YeXNRQjhyR3oreU96N2ZJbEVNdnNXTll1SWlPekUyNjlFQkFENDU1OS90S0lvYnJlajZyYjQrUGlLQm04UUVSSFZDME1kRVprSWdoQnJSelY3NmhBUjBTM0dVRWRFSnA2ZW5nY0FsTlJTcGJpb3FPakFyV29QRVJIWmo2R09pRXppNHVMS0FPeTB0VjBRaEowWExsd292NFZOSWlJaU96SFVFWkVGVVJSdDNsNDFHQXk4OVVwRTFFUng5aXNSV2REcjlYdWNuWjAxQUZ5cWJkTG85ZnE5amRFbW90dEJ1M2J0NUQ0K1BoYXp4L1Y2UFFDZ1c3ZHVRZWJsK2ZuNStlejFwcHVOUFhWRVpPSFVxVk9sQUt5RnR6MVYyNGpJQ2g4Zkh4KzlYcCtoMSt0VnhpL2pOdk15dlY2ZlhqMzhFZDBNREhWRVpFMk4yNngyem93bGFyYisrdXV2VEFDSDdLaDZ1S291MFUzRlVFZEVOUWlDc0JPQStWcDBXbWRuWjVzVEtJaW9VbTFqVXMxc2FmQ0dVTFBFVUVkRU5jVEh4eGVLb21pK2RNbUJZOGVPRlRWYWc0aHVFd2FENGFlNjZ1ajErcDl2UlZ1bytXR29JeUpiWW0xOFQwUTJuRHg1TWgzQW43VlVPVnBWaCtpbVk2Z2pJcXVrVXVrMjQvZk96czcyUEQ2TWlGRDcrRk9PVGFXR3hGQkhSRllkUDM0OEY4QXZvaWdlcVBxZWlPeFFVVkZoTTdoVlZGVFVlWHVXNkhveDFCR1JUYUlveHJKbmdhaCtUcDA2ZFJsQW9wVk5DVlhiaUJvRUZ4OG1JcHRrTWhrSGRCTmRuMWdBMFZiS2lCb01ReDBSMlhUczJMR3N4bTREMGUxSUVJUllVUlJubVpkSkpCS0dPbXBRdlAxS1JFUjBrOFhIeHljRE9HMThMUWpDUHlkT25EamJpRTJpWm9DaGpvaUlxQUdZTDBSc01CallTMGNOanFHT2lJaW9ZWmlDSENjYzBhM0FVRWRFUk5RQUVoTVRUd0c0Q09CQ1FrTEMvelYyZThqeGNhSUVFUkZSd3hBQnhBcUNJRlo5VDlTZ0dPcW8yWXVPamo0bUNFTDN4bTRITlMyaUtNWWxKaWIyYSt4MjNLNzR1Zm9mVVJTaFZDcmZhK3gyTkFYOFhEVXMzbjZsWm8rL2VNZ2FRUkQ2Tm5ZYmJtZjhYSkUxL0Z3MUxQYlVFVldKajQ5djdDWlFFeEVURTlQWVRYQVkvRnlSRVQ5WERZODlkVVJFUkVRT2dLR09pSWlJeUFFdzFCRVJFUkU1QUlZNklpSWlJZ2ZBVUVkRVJFVGtBQmpxaUlpSWlCd0FReDBSRVJHUkEyQ29JeUlpSW5JQURIVkVSRVJFRG9DaGpvaUlpTWdCTU5RUkVSRVJPUUNHT2lJaUlpSUh3RkJIUkVSRTVBQVk2b2lJaUlnY0FFTWRFUkVSa1FOZ3FDT2kyNEpXcTRYQllMQzd2bHF0aGw2dmI4QVdFUkUxTFF4MVJOY3BKU1dseHBjeGRDUWxKV0hRb0VISXlNaTRvWFBFeE1RZ0pTWEZycm8vL2ZRVDh2THliRzZmT1hNbVB2amdnM29GSTNONnZiN09MM08vLy80Nzl1L2ZYK2R4WTJKaXNHTEZpbHJyRkJRVW9HZlBub2lMaTBONmVycGQ3MnVmUG4yd2UvZnVPdXVSWTJwcW4wK2pyS3dzdlBYV1d6ZDAzdXJtekptRHVMaTRtM3BNdWowNU4zWURpRzVYZ3djUHJsRzJmLzkrK1BqNFlPSENoUWdPRGdZQWkxOGNVcWtVL3Y3K05mYXI3WmRMZG5ZMlpES1oxVzBoSVNFQWdNTENRbno5OWRkWXNXSUZac3lZZ1Y2OWVsblV1M1RwRXJadjM0NVhYbmtGRW9uMXYrVkVVVVJxYXFyTmRsaTczdXAyN05oaGF0UE9uVHZ4eXkrL1FDS1JvSC8vL25YdVd4dTVYQTZnTWxndVhMZ1FmLy85TitiT25Zc2VQWHJjMEhISmNUV2x6NmM1alVhRG8wZVA0cGxubmpHVlBmend3MWkrZkxuTmM3ejMzbnNXOWF2NytlZWZFUkFRZ0w1OSs5cXNRODBEUXgzUkRZaU5qVVdyVnEzdzg4OC9ZOVdxVmZEeDhjR21UWnZ3Zi8vM2Z3Q0FRWU1HV2RTLzQ0NDdzSEhqeGhySHFWN1AzSmd4WTJ4dWk0K1BCd0I0ZVhsaC9mcjFtREpsQ3NhTkc0ZHg0OGJoeFJkZk5OVmJ1SEFoMnJkdmoxR2pScG5LRWhNVElaUEowTGx6WndDVnYyeHNCYmZZMkZnQXdOYXRXd0VBbVptWkdEMTZOSDc2NlNkSUpCSlVWRlJnNk5DaEZ2dDgvUEhIS0N3c3hOU3BVeUdWU25IZmZmZlp2STY2R0VPZFZxdkZ6Smt6TVhueVpMejk5dHRZc21RSmV2YnNDUURZdlhzM3BrMmJabnBQaUpySzU5T2FtVE5ubXI3MzhmRkJVRkFRVnE5ZWplKy8vOTVVZnVMRUNienp6anU0NjY2N2JCNUhyOWZEWURDWVBpUFV2REhVRWQwRXUzYnR3bU9QUFliejU4OWo2ZEtsbURGakJoNTc3REhUOXZQbnorUEZGMS9FQXc4OFlQTVl4bDlBNW1KaVlxeVdwNlNrMUFoZ1hsNWVXTFpzR1Q3OTlGTW9sVXBUK2Q2OWU1R1ltSWh2di8wV3pzNy8rOGl2WGJzV0tTa3AyTFJwRXhRS0JWeGRYVTIvaEtxZjEzaUxLVHc4M09LY1lXRmhjSEp5Z2xhcnJYRTlVcWtVOCtiTnc4c3Z2d3lWU21YenV1MGhrVWdnazhsUVVWRUJkM2QzZlBiWlo5aXlaVXV0dit5SWpCcjc4MmsrTk1INGZidDI3U3oyNmQrL1A1WXNXWUkvL3ZnRC9mdjNoOEZnd0ZkZmZZV0hIbm9JYmRxME1kWGJzV01IaW91TFRhOTFPaDBBNE5TcFU5aXdZWVBWdHZmdjN4OEJBUUUycjQwY0IwTWQwUTFLUzB2RHlaTW44ZFpiYjJIaXhJbm8wcVVMbEVxbDZaYU5LSXI0OE1NUDBhWk5Henp5eUNQSXlNaEFRRUNBUmNBQ2JOL2V0T2UyWjJscEtSUUtCWnljbkRCeDRrUlRlVlpXRnViTm00Zi8vT2MvYU4rK3ZjVSswNmRQeHpQUFBJT2xTNWRpMHFSSmRsMnJNZHhsWm1hYVhqczVPYUdpb3NKcWZROFBEMnpjdUJGU3FkU3U0OWRHb1ZDZ3JLd01XVmxadUhEaEFzckx5ekZyMWl4Y3ZIZ1JJMGFNdU9IamsyTnFDcC9QN3QyNzExbTJiTmt5akI0OUdnc1dMSUJTcWNSMzMzMkh6TXhNZlBiWlp4YjFWcTllamF0WHI5WTQzc0dEQjNIdzRFR3I1NCtLaW1Lb2F5WVk2b2h1ME5hdFc5R3RXemVvMVdvRUJRWGgzTGx6Tm0vWFBQNzQ0d0NzLzlXL2N1VktoSVdGV1pRTkdqVElhdm5WcTFjdGJ2dTgvLzc3S0Nnb3dNY2ZmNHpXclZzREFFcEtTdkR1dSsraVY2OWVlUHJwcDAxMWRUb2R5c3JLb05QcDhQTExMMlB4NHNWNDZLR0gwTFZyMXpxdnRmb3ZNRnZqZklxS2lpeUNucmUzTjV5Y25PbzhmblZuejU1RlltSWl6cDgvajdLeU1peGF0QWdMRml5QXQ3YzNXcmR1amRhdFcyUGd3SUdJakl4RVVsSlN2WTlQanE4cGZEN2o0K09oMSt1eGRldFdEQm8wQ0QxNzlrUnNiQ3l5czdQUnNXTkhlSGg0QUtnTW1JY1BIOFp6enoySDR1SmlmUDc1NS9EMTliVTQ5clp0MjJxMGU4Q0FBWGowMFVjeGZ2eDRpL0trcENTTUdESEM1cGcvY2p3TWRVUTM2SysvL2tKMGREVHV1ZWNlOU9qUm84N3dFaE1UWS9GYXA5TmgxYXBWVmdkbzJ4SVVGSVJWcTFaQnA5UEIyZGtaWThlT3hjU0pFekY4K0hDODk5NTdHRGh3SUY1ODhVVmN1WElGbVptWkdEQmdBTXJLeWxCZVhtNTFtWSs1YytkaS9mcjFOaWRSR0Jsdno2YWxwZUhKSjUvRThlUEhUYmRmaldQYkFHREtsQ2s0ZXZTbzZmV0dEUnNRR1JsWjQ5cU4xcXhaZ3pWcjFsaVVSVVZGb1hQbnpqaHg0Z1JhdFdvRnJWYUx4WXNYbzB1WEx2RHg4YWx4RElZNnNxWXBmRDYxV2kwKytPQUR4TWZISXpvNjJuVGNEUnMyNEo5Ly9zSDc3NytQQng1NEFPZk9uVU4rZmo2S2lvb2dsVXB4L3Z4NVJFVkYxUWhseDQ4Zmg2K3ZMOXEyYlF0UkZGRlVWQVJ2Yis4YTdUQU9pOURyOVRoeDRnU0hLelFEREhWRU4raXR0OTdDMkxGak1XellNSVNFaE9DSko1NndlbnZFbHRUVVZMejIybXMydDljMkVIdno1czFvMjdZdDJyZHZqMisvL1JidnZQTU9FaElTOFBqamo2Ti8vLzdJeXNwQ2VIZzRmSHg4NE9ucENVOVBUN2k3dThQVjFSVnVibTV3ZFhWRmFtb3FSb3dZZ1UyYk5tSDkrdldtOFcvR1hybXdzREFzV2JMRTd1c0JnQVVMRmtDbjArSDA2ZE40NDQwM1RPWEdDUmZtQmc4ZWpDRkRodUM1NTU2ektKZkw1YVlaaW1WbFpmajExMS9Sc21WTFU2QXpHQXdZUDM0ODdycnJMcnowMGt2MWFoODFINDM5K1d6ZHVqWEdqQm1EOVBSMHJGcTF5alErenRuWkdaOTk5aG4yNzkrUHJLd3NUSmd3QVVlT0hNSGpqeitPSlV1V1lNZU9IVmkyYkJtKyt1b3JQUGpnZ3hnNmRDaGF0MjROZzhHQTZkT25vMlBIamxpMGFCRUtDZ3FnMCtuZzUrZFg0L3pHM3ZMRXhFUjgrdW1ucHA4WDVMZ1k2b2h1VVBmdTNkRzVjMmY4OE1NUGVPZWRkL0RkZDkvVnVoYWN0Y0hZRW9rRWYvMzFWNDF5V3dPeEFhQmJ0MjRXcjcyOXZmSEZGMStZZXVMZWZQTk51OW9mRlJXRmYvLzczN2pubm52UXAwOGY2SFE2REI0OEdFdVhMa1ZvYUNpa1VxbnBsMFAxWGd4clk0VUF3TVhGQlFEZzZ1cHFVVzd0T29ES1NSNjJ0Z0dWNCtrOFBEeVFsWlZscXZmMTExL2o5OTkveDZPUFBtckhWVkp6MWRpZlQ0bEVndWVlZXc3Lyt0ZS80Ty92aitMaVlreWFOQWtLaFFMRnhjV21IdTYwdERTc1hMa1NrWkdSQUNwdkJmZnExUXRidDI3Rjd0MjdUWCs0SER4NEVGbFpXWmc3ZHk0QUlEMDlIUUJNZndDWk0vYlU5ZXZYRDk5OTl4MSsrT0VIVEowNjFlYTEwKzJQb1k3b0pqQXVkR3N3R0tCUUtLN3JHTGJXd3FwdEhhenFuSjJkTGVyYXV6Q3F0UUFZR2hwYVkvYXJzYWN0TXpNVGI3NzVKalp2M215YUtQSHNzOC9hZGE3cjFhcFZLNlNscGFGSGp4NzQ3YmZmOE9XWFgyTDQ4T0Y0NktHSEd2UzhkUHRyN00rbmNaMUc4MW14OCtmUHIxRnY4K2JOTmNxT0h6K09zV1BIUWlLUlFCUkZmUDMxMTFBcWxlalNwUXVBeW5HbkFLejJ3SldYbHdPby9PUHEwVWNmeFk4Ly90VDhmS2tBQUNBQVNVUkJWSWdKRXliVStHT0xIQWRESGRGTkVCQVFnR3ZYcnVIUFAvL0UyMisvWGUvOURRYUR6Y0hidGQzZXFXNysvUGtvS0Nndy9SVnZ6OHc4b1BiMXRJREtRR1VjUHdmQTlOOVdyVnFadmpmZjNoQTZkKzZNTTJmTzROaXhZNWd5WlFyNjlldUhjZVBHTmRqNXlIRTBsYytua1QxcktSckhyUUl3alhYZHZYczN6cDQ5aXkrLy9OSlU3OWl4WTRpSWlMQTZwcTZzckF4QTVWQ0doeDkrR092V3JjTytmZnZ3MUZOUDFidk5kSHRncUNPNkFjbkp5U2d0TGNYQmd3Zmg2K3VMYnQyNldUd2E2N3Z2dnNQQWdRTXRackF0WExnUWJtNXVwdGYrL3Y2WU9uV3F4UXhWQURoNThpUjI3TmlCTjk1NEF5MWF0S2h4N3A5Kytxbkc0TzBqUjQ2WWJ0OFkyYm85QkZoZjc4NVdQWFBWbHpReENnb0t1dTZla0xyMDd0MGJVNlpNd2U3ZHU5RzllM2ZNbmoyN3pva2QxTHcxdGMrblVmV2hFL2E2ZHUwYWV2WHFaWnJ3Y08zYU5SdytmQmpEaGcyeld0ODgxTjF4eHgyWU9uVXE3cm5ubnVzNk45MGVHT3FhSG1jQXVzWnVCTm5uMTE5L3hjR0RCK0h1N283Smt5ZGp4NDRkdVAvKysvSEVFMC9naHg5K3dOOS8vNDFUcDA3aHE2KytncE9URXk1ZXZBaFhWMWVMUWMxbFpXWHc5ZldGd1dEQXRXdlhNR2ZPSEN4WnNnU3paODlHUlVVRk1qSXlhdnpTS0M0dWhrcWxzdmpsYytIQ0JhaFVLb3VKQ1RlRFdxMjJHZnlxTDJteVlzV0tXaC9kbFp1Yml6Tm56cUIzNzk3MWJvZUxpd3VLaTR2UnQyOWZ6SjA3MTdTT1dIeDhQT1J5T2Z6OC9HeU84YVBtcVNsOVBzMVpHNTlYblhsUG5kSElrU014Y3VSSTArdkZpeGZEWUREVWVKcUxrVWFqZ2JPenMra1ByK3JCbEJ4UHMvZ3oxOHZMYTBpN2R1MzJ1THE2MW53UVg5MmNaREpaaCt2OXNuWkFwVklwMnRqbWUrZWRkK2JMNWZKSUs5dnM1UkVVRlBTUmk0dExhRzJWM04zZG84TEN3aFlBRUtwdmk0Nk8xdm43KzFzOGNWcXBWSXArZm42amI2QmREdW4xMTEvSHI3LytpdDkrK3cxQTVRS2lnaUNncEtRRUVva0U4K2JOUTJwcUtrNmRPb1ZEaHc0aExTME5SNDRjc1ZpK1kvdjI3WmcvZno0RVFZQkdvOEdSSTBjQUFFdVhMb1dIaHdkZWZmVlYwMkRvdVhQbllzS0VDVkNyMWRpeVpZdkZ3cVJ4Y1hGd2RuYkd2ZmZlZTFPdTdadHZ2c0h6enorUHdZTUhJejQrM3VMTCtMaXc0OGVQVzVUWEZ1aDI3dHlKSVVPRzROQ2hRL1ZxUjBWRkJiNzg4a3U4OWRaYmFOR2loZWtYbFpGeG5GRDM3dDJ4Y3VYSzY3dFlja2hONmZOcHJsdTNiblYrMVJYQXZ2amlDK3pmdng4alI0NUVhS2oxSC9jcWxRcWVucDcxZnQvbzl0VWNldW84SXlJaWxtbTEyck02bmM1VEpwUFo5Uy9jeWNtcFJLUFJYQVhnSHhVVmRlWjZUNTZRa0NCMDdkcTF3TW5KeWN1OHZQb3hFeElTQkI4Zm40ZTFXdTNWOHZMeXM3YWFKWlBKMmx2Ym9OVnFrd0hBMTlmMzZlRGc0QThLQ3d0WDE5WXVRUkI4L1AzOUoxUlVWT1JtWldYTnJjY2xrUmxuWjJmVFdKWk5temJob1ljZXNoZzBIUmdZaUczYnRzSGQzUjNUcDArSFZxdkY1TW1UTVduU0pQVHAwd2Z0MjdmSDl1M2I4ZWlqajBJUUJBakMveksyOFZtUUowNmNNUDNRUG52MkxFcEtTaEFZR0loSmt5Ymhndzgrd0YxMzNZWDc3cnNQKy9mdngxMTMzUVYzZDNlTE5wYVdsbG84VnFqNk5xUGMzRng4L2ZYWGlJdUxBMUFad2pwMjdHajN1RHhyakxkL3BrNmRpc3VYTCtPcHA1NnExemk0ZmZ2Mllmbnk1YVpnVjFCUWdMRmp4MkxyMXEybVhveUxGeSthQm8wYkdRZUltNytmMVB3MHBjK251ZXZ0cVFNcS84aFpzR0FCWW1OajBiOS9mN3orK3VzQUtnT2NjYWtpWjJkbm5ENTlHbnYyN0tueDJTREg1dkNocmxXclZpdWxVbW1RVkNvTnFrODRLeXdzM0hYeDRrWFR3d0V2WGJyMFZFRkJ3VmJ6T2pLWnJMT3ZyKzl6S3BWcU9xcmRNdlgxOVIzWnNtWExid0RnNU1tVExXSFdJNlpVS3ZPVGs1TzdxOVhxOCtiN3RHalI0am1GUXRGQnFWU0sxZHR6NXN5Wm5ocU5Kc1hXTlNRa0pBaFZ4eGllbDVmM2cwYWpTYS90K29xTGl3OW5abVpPRHdrSm1WbGNYUHlyV3EydSs2Y00yWFRpeEFtY1BuMGFzMmJOZ2x3dWgwd21RMXhjbktubktqazVHVWVQSHNYTEw3K012bjM3WXRhc1dXalhyaDIyYjkrT3pNeE1VM0R5OXZhR0lBall2bjI3NllkeFNFZ0lVbEpTa0p5Y2pLU2tKTk1zMDBjZWVRVDc5dTNEK2ZQbkVSUVVoSXNYTDFwOXdvTzlhN2pKWkRMRXhzYWljK2ZPZVBIRkY5R3ZYejhFQmdZaUpTWEY3akYxQU5DeVpVdlRMNzhEQnc0QXFBeDNLMWV1clBmdDBaeWNISFR0MmhYLytjOS9URDBPWThhTXdlelpzNUdkblkwdVhib2dKU1VGdzRZTlEwNU9Ecjc4OGt1NHVycWEyaHNVRkZTdjg1RmphdXpQWi9WUVoyc1I3cnFrcHFaaTh1VEpPSHYyTElZTkc0WjMzMzNYTks3MGswOCt3ZSsvL3c2ZzhvOFpVUlFoazhud3lpdXZYTmU1NlBiazBLRXVNREJ3Z28rUHo3Qno1ODQ5VUZKU1l2MmhlRGZBeGNXbFkzQnc4RlNWU2pVTHRZK0RLNHlPanJiWUhoa1plZFQ4OVprelo5cDdlWGs5Y3ZYcTFYZUxpb3BpQVNBZ0lPQjlIeCtmNTVPVGsyUEt5OHV2QUNnM2hqY2o4L0FvbDh2YmVuaDRQQUJBOFBYMUhXNnRJU3FWYXJaS3BmcWc2dnU1WGw1ZVQzbDdleitxVnF2UEtKVktVM2RPZUhqNHN2RHc4R1htKzBaRVJLeU1pSWhZQ1FBSkNRaytBQXBxZllPYWtidnV1Z3NiTm13dy9jVSthdFFvTEZ1MkRBc1hMZ1JRK1hENzZPaG8wd3k2Qng5OEVFRGxzaUZ2dmZVV0FnTURBVlN1MS9iNjY2OWp3WUlGVUt2VkZ1ZVF5K1hvMmJNblJvMGFaU3BidkhneEpCSUpmdnp4UjBna0V2VHAwNmRHMjlhc1dZUHc4SENyN1U1TFN6UDkwUGZ3OE1EKy9mdHIzSzZwcmFmT1dvZzhmUGl3YWNtRWUrNjVCK1hsNVpnMGFaTE44VVcxZWVHRkYycVVqUm8xQ21GaFlWaTdkaTNXckZtRDZPaG9EQnc0RUhLNUhDZFBub1JPcDRPVGt4T2VlKzY1Ni83bFNZNmxzVCtmMVIwK2ZMak9OcWVucDlkWUpzakx5d3VpS0dMKy9QazExdE1iTW1RSTJyZHZENTFPQjFFVTRlbnBpUUVEQnFCbHk1WjFub3VveVd2Um9zVy9sVXFsSVNBZzRCMjVYTjdPM2pGd0xpNHUxWC83QlNtVlN0SGIyL3RKb0hKc1dXMWZIVHAwT0FGVWhpM3pIamVsVWluSzVmSjJ4dStOWStya2NuazdwVklwUmtSRWZOV21UWnZ0YmR1Mk5mVUdkdXJVNlovdzhQRFBhN3RPOC9PRWg0ZC8ycUZEaHhQVnJ5azZPcm9zSkNSa2V0VTVxeTg3Ymx5d1NERFdWeXFWK3BDUWtJL05qNkZVS3NXZ29LQ1B6TVlLM3ZUeG1NYjM4R1lmMTk3ejF0ZXVYYnZFa3BLU2V1L1hVSzVldlZxamJQbnk1V0orZnI3TmZmTHo4OFhseTVjM1pMUHFsSmlZS0twVXFrWnRRM1dOOVcvUmtWenY1K3BtYVdxZlQxRVV4Y0xDUXZHYmI3NnhxMjVSVVpINHpUZmZpQWFEb1dFYmRRdnhjOVh3SExLbnpzM05yV3VyVnExV3ExU3EyZG5aMlN1am82T0xCRUd3NjFxcjMzYXRMaWtwcWFQeGV5OHZyd2ZEdzhPWG5EMTd0bXRGUllVV0FDUVNpZVo2MnV6czdPeDc2ZEtsNTZLaW92NXhjM1A3bDdPemM3QlVLZzFPUzB1YlplY2hmSDE5ZlYvVmFyVnB4dkYxVlh3RVFaQ3IxZXFUMWNxTmpIOXVpdWJiS3lvcXNxclgxK2wwTmNxYXM0RURCeloyRXl4WUd5eGQxMHhZYjIvdm16NWJ0cjd1dlBQT1JqMC9PYWFtOXZrRUFFOVBUNHZacTdYeDhQQ3d1eTZSa1VPR3V0TFMwcFBuejUrL3Q3aTQrSWlMaTBzUFFSQ2N6NXc1MDBPajBSd0g0TkcyYmR1TjE2NWQrN3lvcUdpditYNlJrWkcvR3d5R2t0cU9iUjVxdEZwdFZOWDV6Z0VvcTIwL3RWcDlzbVBIamljbEVva0NxSndvSVlxaVhoVEZjclZhZmZMU3BVdlBBTkNscEtTOEhCNGUvbzJUazVQSHBVdVhYZ0tRYWM4MWg0YUdUaEZGMFNDWHk5c0RVQmpiNCtMaWNnY0FWRlJVWERMV0RRd01IQjhhR3ZxcDhYWDFXN29BQkVFUStOY1VFUkhSYmNRaFF4MEFGQmNYSHdFQUR3OFBwU2lLT28xR2M2cHFVMGxwYWVueGR1M2E3Y3JNekp5WmtaRXgzYmlQUkNKeHJTWFUyZXcyVmlxVkZyMXphV2xwYjFjL1RuSnk4cDF1Ym00UCtQajREQW9JQ0JoWFVWR1JYbDVlbnBhWm1UbTlxS2hvWDFVMW1ZK1B6eUJYVjljWUFHSndjUEJVaVVSU1hsaFkrQXNBc2VwY1Z0dmc0dUlTcFZLcDNnc05EVjNxNGVFUlUxeGMvRHNBdUxtNWRSRkZVVmRhV21xYVVadVZsYlV1UHo5L3I3ZTM5OEN3c0xCRjFRNGxBU0FZYW5zNEloRVJFVFU1amhycTNPVnllUkFBdUxxNjl0WnF0U2x5dVR6TXVERS9QMytES0lvNlVSVHpqZVBjQU1ESnljbExGRVZuWTFsNWVma0ZWMWRYQ1FEbzlYcTkrYTNYMm1pMTJreGZYMS9UWEhRM043Y3VnWUdCMHdBSWx5NWRlajRnSUdCY2FtcnFLOTdlM2srMmJkdDJaMkZoNGJhOHZMenZRMEpDNXNqbDhyWXBLU24vMXVsMG1SRVJFViswYmR0MmYzbDVlY3FGQ3hjZU5pNTFrcDZlUGlVL1AvOW5BUER4OFhrcU5EUjB6b1VMRjE0QWtOK2lSWXZYM2R6Y0hqQ0dPbGRYMTE1bFpXVkpzT3hKek5kcXRma1ZGUldtKzE3Vnc2TDVwQWhyWlRrNU9ldXVYTGt5MHA3M2c0aUlpQnFlUTRZNkh4K2ZKMXUzYnYyZGVWbm56cDNQVzZzYkZoWm04ZHJQejYrMW41L2ZDS0R5dHFRb2lzNEFJSkZJdEZXM1htVXltYXlOclhOWEgzTW1sOHZiUlVaRy9wMlptVGt2SXlOaktnQURBSlNWbGFWZXVYSmxURlpXMW1jeW1Td2dNREJ3aWlpSzVXZlBudTJwVnFzVEFDQXBLU2t5SUNEZzN5NHVMbmVacjEybjArbFV4dk1VRlJVZGxNbGt5d0hrQUVCSlNja0JiMi92cHpNek16OEdJUEh5OG5vb0x5OXZRMTN2bVRHd2VuaDRkR3Zac3VXM0Z5OWVIS3JSYUpLTTI2T2lvczVrWkdSTXo4dkwyMVIxbllWMUhaT0lpSWh1SFljTWRmbjUrZXZ6OC9OL0FDQ0xqbzR1U0U5UGZ6ODdPM3NwQUxpNHVBU0doSVFzVDB0TG02elZhaTJDWHRldVhmT3lzN1BucVZTcWVjWXlnOEhnVXZWZkRRRElaTEkydGExM2w1Q1FJSVhaOGlibDVlVVhrcE9UNzFLcjFSa0toU0lDcUF4UUVvbWtYS0ZRdEFKUVhsRlJrWmFSa2ZHaHdXRElCV0NvS2djQUZCVVY3YzdPemw1aDYzd2FqZVpZV2xyYU1lUHIzTnpjMklDQWdIZGRYVjI3T1RzNyswbWwwcUM4dkx3dGRiMW54cEFvbFVxSGlhSllVVmhZdUFOQXVYa2RUcFFnSWlKcXVod3kxS0Z5L0puTzFkVzFpeUFJMHFxZUx4MEFhRFNhSWxFVUpSMDdkanlXbXByNmt0bUN3b0tUazVPYlRxY3JoRmtvazBna0xRQkFGTVY4OHhOVW4xd2dsOHZiMmVvTlZLdlZDWGZjY2NjUmQzZjNYdGR6TVZZbU10aWswV2orMUdnMGZ3Y0hCMy9rNU9Ua3BkRm9UbWswbXFOMTd3a0FVUGo3Kzc5V1dGaTRFOVVDSFJFUkVUVnRqaHJxQUFBS2hTSWFBRXBLU3Y0Mkt5NitkT25TazJGaFlmT3FBcHlST3dDSndXQW9xbmFNbGxYSHFQVUpEWFU1ZCs1Y2J3RHc5UFI4dUtpbzZEQUEwL09abEVxbG1KU1UxUEY2ZXNGY1hGeEMvZno4cHFhbHBVMEdVQWhVanJscjE2N2RiZ0M0Y09HQ3plVlpxb3VJaUZncWxVcURyMTI3Vm4zeUJCRVJFVFZ4RGgzcXBGS3BQMUQ1V0M1cjJ3TUNBdDZ0WHRheVpjdDFMVnUyWEtkU3FhYXBWS3BaN3U3dTkycTEyaXNBTEk1eHZRc290bXZYYm8rMUFHZnRscTVPcDhzOWRlcFU5Y1dDQVFBdUxpN2h2cjYrNy9yNityNG1pbUpKZG5iMjR2THk4c0txYlpGVjFRek96czd1MXZZSEFGZFgxN3VNM3dZRkJiM3A1K2YzYWxaVzFtTGpKQXNpSWlLNmZUaDBxTXZLeWxxVm41Ky90ZTZhZ0xlM2Q3K3dzTEFWbHk1ZGVrS3RWcC9UYXJYWEFMajQrUGc4VTFCUUVGdTlmaTB6WVhVQUlJcWlrNDN0VnAwOWU3YS9YcSsvYUY0bUNJSytXalUzQUFnSUNKaWdVQ2hXNmZYNndxeXNyT21abVptZm83TG56NjkxNjlZcmZIeDhodWJsNVgwcmtVamNXclZxdGRIZDNiM1hsU3RYcGdJd1BRYk0xOWQzUkdCZzRJU0tpb3IwaUlpSVJWZXVYUG1QWHE4dnYzYnQyakpZVVZoWXVFMnIxVjZ1enpVUkVSSFJyZVBRb1E1QW5sYXJ6Yk8yd2MzTjdVNUJFRHdCNU9uMWVuZHZiKzhYS2lvcU1nc0tDbllCMEFOQVlHRGcrODdPenI0NU9UbGZHZmR6ZG5ZdUtpZ29pSzNlMCtiaTRoSXFsOHZ2a2txbFlVNU9UazcrL3Y3LzF1bDAxd0RBZk9JREFFaWwwbENKUkZMcllzVkFaVEEwN2x0V1ZwYmg3dTdlSFFCa01sbnJyS3lzT1JrWkdZdFFHZFE4QWdNRDN3OEtDbnBmSXBFbzB0UFQzOG5LeXZvVWdGTndjUEQwNE9EZ0tkN2UzczlkdTNidE01Vkt0Y2JkM2YyT2lJaUlWZW5wNmRPS2k0djN0bS9mUGs0cWxVYms1ZVY5NGVibUZxWFQ2Y29GUWRCS0pCS3RXcTJ1QU9DY25wNCtUaFJGdWJ1N2U1VEJZSkRyZERxTlZxczliZS8vQ0NJaUltcFlqaDdxYkhKM2QrOXIvbFNGc3JLeTVNdVhMeitQcWtBSEFFNU9Ub3FDZ29JdGFyWDZoTEZNclZablhMcDBhVWoxNCtuMWVzODJiZHFZZWdVTkJvUG02dFdyWXdHZ1U2ZE9GajFja1pHUnYxVGYzMXFadWVUazVHNGxKU1ZIYzNKeTFsNjVjbVV5cXA0MElaZkwyM2ZvME9HNGs1T1RkMUZSMFo2MHRMVHg1ZVhsNTR6TlVxbFUwd29MQzdlRmhZVXRDdzRPbmxWV1ZwYXEwK2tLaW9xS0RtUmxaWDBDUUV4T1R1NFdIQno4VVZoWTJGZk96czUrZ2lEVTJjdVluWjA5LytyVnErL1ZWWStJaUlodURidG5WVG9vQ1FBNUtvT2Mxc3AyQVlBWGdBSTdqaVVBOEFVZ1JlWHMyendieDd6cC9QejhYaXN2TC8rbnJyRndycTZ1TVdxMU9yN3FwUWZNYnNkV1kzeGZwRlZmUm1MVkZ3Q1VBS2k0L2xiWFpCeW5XSi9admpmenZQSHg4WFZWcFdZaUppWUd3SzMvdCtoSStMbWk2dmk1YW5qTnRxZXVpZ0dBcHBidEl1d0xkTWE2T1RmY291dVFrNU96eXA1NlpvRU9zQjNvZ1ArOUw3VzlOMFJFUk5TRU5QZFFSMlJpL0N1U2lHNGVmcTZJYmgxSll6ZUFxTEdKb2hqWDJHMmdwb2YvTG00TTN6K3lodjh1aUpvSnBWSXBYdS82ZjNSejhQOEIwYzJsVkNxL1VDcVZZblIwOU9qR2JnczVQdmJVM1RocDNWV0lpSWlJR2hiSDFOMlk0S2lvcUQrdlhyMDZ6dXdac3ZZUUFNZ0FLRnhjWER6MGVyMkhrNU9UaDFRcTlYVnljdktWeVdSK1RrNU9nVktwTkZRcWxZYm01K2V2emMzTi9hNXFYNytJaUlnNVY2NWNtUVFia3pnVUNrWExWcTFhYlVwT1RyNzdCcStQaUlpSWJoTU1kVGRHVlZaV2xod2FHanEzb0tCZ0I4eld1TFBHeDhmbnVWYXRXbjFuYXgwNFVSUzFlcjIrU0svWEYrajErZ0tkVHBlbjAra3lCVUZ3TmRieDlQVHM3dVBqOCt5VksxZkdtTzBxQWVCcGVpR1JCTGk2dXZZQTRGM3RGSVg0MzVJa1JFUkU1RUFZNnV3UUhSMnRxMnRCWHFWU3FiTldmdVhLbFRFNU9UbGZWTDEwRWdUQjZmejU4NzMxZXIxR3A5TnBKQktKdXF5c3JBU1ZTNHpVdWE2ZGg0ZEg3OUxTMHYvQ0xFQXFGSXFJNmdzY1Y3WEo0bm0xQ1FrSi9taWtaVmVJaUlpb1lUSFUyVW1sVWszTHpjM2RZbnd0azhtY3RWcHQ5U0FuU0tWU2VVVkZoZWtSWUZxdE5yUDZzZXBhSkxnMm5wNmVqN2k0dU54cEhNeWVtNXU3SmlzcmF4Ynd2d1VkWlRKWmg2aW9xRE5tQ3p5Nks1WEsydGFsSXlJaW90c2NRNTJkS2lvcU1vM1BlNVhKWkIzdXVPT08vNnUrS3JaTUp1c1FHUm1aMkZDclpjdGtzZzRLaFNMcXpKa3pQZlI2ZlZINzl1MjNhelFhMHpOb3E4OWE1Q3hHSWlLaTVvT2h6azZ1cnE2OWxVcmxWK1psdGtLVGVmbjU4K2Y3RkJjWEh6SGZMcFBKT3RUbjNNWXdHUkFRTUxxNHVIaXZScU01RGlCUUxwZTNMU29xK2hGVmozdExTRWp3cUdyckhSMDZkSWczdmdiZ3BsUXFhL1FZRWhFUmtlTmdxTE9UUnFPSlQwcEttZ3NBQ29XaWRidDI3WFluSlNWMU5LOWpyVnlyMWFaV1AxWlVWTlNaK3B3N0lTRkJDc0RWejgvdnRZc1hMejRURVJHeHRxeXM3UC9VYXZWZkVvbWtRcS9YdTErNmRPa3BoVUxoQndDQ0lQaFV0Y2V2NmhDU1M1Y3VQU1dYeTczS3k4czVwbzZJaU1nQk1kVFpTUlJGamJISHpFZ2lrWlNadjlicjlWcmdmejFydGlRa0pBZ0JBUUh2aElTRWZQejMzMytIb25KV2FuVkM1ODZkay9WNmZURUFIWUFpbFVvMXBiaTRlRmY3OXUxM0pDVWxkY3JPenY2K1U2ZE92eW9VaXM3V3ptTnQ4Z1FmcEV4RVJPU1lHT3JzWkRBWWF0eHF0UmFhYWlNSWdsUVVSVDBBbEpTVS9DQUl3dnpBd01DWHM3S3lQcXRlMThQRDQxRzVYSDdINWN1WFh6U1dWYXNuQXNnNmZmcDBWSDNhUUVSRVJJNkpvYTV1RWtFUW5BUkJxTEhjaUxXSkVyWGRXblZ5Y25JWFJWRURBR3ExT2lNdkwyOURZR0RnNUt5c3JLOEJGSmxWbFlhSGh5L1FhRFQvbDUrZnY5R09OZ1lwbFVwVlhaWE9uVHYzcjVLU2tpUTdqa2RFUkVTM0dZYTZ1bmtCZ0Y2dkx6V2Y0SER1M0xsL1dadndrSlNVMUZFbWszV3dkZ3ZXMmRrNVVLZlRYVE8renNySytzakh4MmRJeTVZdEY2ZW1wbzR5bG9lRmhjMVNLQlNSNTg2ZHV4OTFMR2hzN3V6WnMxMUtTMHRWY3JuYzI4UERvMzlPVHM3UFZmczdjYUlFRVJHUlkyT29xNE5NSmdzRUFMMWVuMTJmQ1E0SkNRbk9xQmJJRkFwRmU2MVdtMko4WFZaV2Rqa2pJMk5pV0ZqWWl0TFMwcjl5Y25LKzlQSHhHUjRRRURCSnBWTE5MaWtwaWF0UFd3MEdRejZBSElsRTBqWWlJbUpsVGs3T1YxVnQ0UDluSWlJaUI4ZGY5blZ3ZFhXOUF3RDBldjBsNCszV2xpMWJmdWZwNlRuZzh1WEwvYzF2WnlvVWlqWnQyN2JkbjUrZnZ3VldldGpjM055NkZSUVViRGN2eTg3T1hxbFFLTHBHUkVTc2RITno2K0hyNnp1aW9LQmdpMHFsK3FpdXR2bjcrNzlkV2xyNnAxcXRUak12ZDNGeDZWUlJVWkZ1clExRVJFVGttQ1NOM1lDbXpzWEZwYnRPcDh0V3E5VVp4ckxVMU5SWE5Cck5YMjNhdEluejl2WitBZ0M4dmIyZnZ1T09PLzRxTGk3ZW5aR1I4WDcxNDhqbDhqdGtNbG5ya3BLU1E5VzNYYmx5WlpKV3E3M3E2K3Y3c2s2bnk3dDA2ZEticUNPUStmdjdqd29QRC85TUpwT0ZBTkJydGRwVWpVYWpBK0FSRkJRMDBjbkp5VHNvS0dnU0FEa0FVYXZWcGxaVVZOVDVHRElpSWlLNlBUSFUxY0hMeSt1eDR1TGkvMVlyMWw2NGNPSEpuSnljMVczYXRQbTVVNmRPU2ExYnQ5NllrWkV4K2NxVksyT3RIY2ZYMS9kbGc4R2dMaWdvMkdkVzdPenI2enN5S2lvcVNTcVZCdWZtNW40dmtVaGN1M1RwY2pvd01IQXlnQlpXRGhVSUFBRUJBZU11WDc0OG9xQ2dZQnVBYTBsSlNhMDlQVDJqTzNYcWRGd1FCTm5WcTFmZjhmZjNmN3R6NTg3SkxWcTBHSktVbE5TcXZMejgzRTE1VTRpSWlLako0ZTNYV25oNGVQUjJkWFh0cWxLcFpwa1ZDNjZ1cm5kNmVYazk2dTN0L1JnQVVSQUVtU0FJTWw5ZjN4RVNpY1M5dExUMFlHbHBhUklxMTVjRGdFQi9mLzgzYzNOejF3RW9WU2dVTGIyOHZGN3c4L043VlM2WHQxS3IxWDlkdW5UcGFiVmFmU0l6TTNONmFHam93dERRMERraElTSFRpNHVMRHhZWEYrOHRLaW82cXRGb2pyZG8wYUt2S0lvVmx5OWZIbEpRVUxETDA5UHpVUThQajM3ZTN0NVB5dVh5TnJtNXVldFRVMVBIQWNqTHljbjVQamc0ZUhMTGxpMi85ZlB6ZS92cTFhdHZxOVhxeEZ2OVBoSVJFVkhEWTZpclJVaEl5Q3l0Vm51NXNMRHd2MkZoWWZNVUNrVlhOemUzSGs1T1R0N2w1ZVhuOC9QemY4akx5L3U2ckt3c3hkM2QvZDRXTFZyOE96ZzQrRU1uSjZkRm9paVdsNWVYWDB4TlRSM240ZUVSSXdpQ2tKdWJPeXNzTEd4ZVFFREFKQUFvS1NuNTgrclZxLzhwTEN5TVJlVzZjeWd2TDc5NDZkS2xwMXhkWGFQOS9Qekd0V2pSNGhsUFQ4K0huWnljUHRab05NZno4dkkybFpXVm5WZXIxUWtBNE9Qak04elQwL1BCZ29LQzJQejgvSlhWbGl4UnExU3FhWGw1ZWQrSGg0ZXZVQ2dVZHpEVUVSRVJVYlBqNXViVzM4UEQ0ekdnY25KRTY5YXR2L2YzOTM5VExwZEgxcktiazR1TFMzZC9mLyt4WVdGaFN3RElBRWpkM2QzN1ZtMFBDQTRPbnVubTV2WXZlNXZoN2UzOUZHd0hjQ21xbnYxcWh5YjlOQW1sVWluYWVwNHUzUnI4ZjBCMGN5bVZ5aStVU3FVWUhSMDl1ckhiUW82UFBYVzFLQzB0L2NYNGZXcHE2b3UxMVRXajEyZzB4elVhelhIelFyUGxTYkpWS3RXMCtqU2pvS0RnNTFxMlY5VGpXUHhsVFVSRTVLQTRVWUtJaUlqSUFURFVFUkVSRVRrQWhqb2lJaUlpQjhCUVIwUkVST1FBR09xSWlJaUlIQUJESFJFUkVaRURZS2dqSWlJaWNnQU1kVVJFUkVRT2dLR09pSWlJeUFFdzFCRVJFUkU1QUlZNklpSWlJZ2ZBVUVkRVJFVGtBSndidXdGRTFEaWlvNk5EQkVGNHpkbzJwVkk1M2Z5MUtJcXJFaE1UTTI1Snc0aUk2TG93MUJFMVUxcXROa2N1bDQ4RjRHTmw4MGRtMytkTEpKTFp0NmhaUkVSMG5YajdsYWlaK3VlZmY3U2lLRzYzbytxMitQajRpZ1p2RUJFUjNSQ0dPcUptVEJDRVdEdXEyVk9IaUlnYUdVTWRVVFBtNmVsNUFFQkpMVldLaTRxS0R0eXE5aEFSMGZWanFDTnF4dUxpNHNvQTdMUzFYUkNFblJjdVhDaS9oVTBpSXFMcnhGQkgxTXlKb21qejlxckJZT0N0VnlLaTJ3UkRIVkV6cDlmcjl3RFFXTm1rMGV2MWUyOTFlNGlJNlBvdzFCRTFjNmRPblNvRllDMjg3YW5hUmtSRXR3R0dPaUlDck14d3RYTm1MQkVSTlJFTWRVUUVRUkIyQWpCZmkwN3I3T3hzY3dJRkVSRTFQUXgxUklUNCtQaENVUlRObHk0NWNPellzYUpHYXhBUkVkVWJReDBSR2NYYStKNklpRzREREhWRUJBQ1FTcVhiak44N096dmI4L2d3SWlKcVFwd2J1d0ZFalMwNk92cVlJQWpkRzdzZGpVMm4wNWwvbjZOVUtodXhOWTFQRk1XNHhNVEVmbzNkRGlJaWU3R25qcG85QmpxeVJoQ0V2bzNkQmlLaSttQlBIVkdWK1BqNHhtNENOUkV4TVRHTjNRUWlvbnBqVHgwUkVSR1JBMkNvSXlJaUluSUFESFZFUkVSRURvQ2hqb2lJaU1nQk1OUVJFUkVST1FDR09pSWlJaUlId0ZCSFJFUkU1QUFZNm9pSWlJZ2NBRU1kRVJFUmtRTmdxQ01pSWlKeUFBeDFSRVJFUkE2QW9ZNklpSWpJQVREVUVSRVJFVGtBaGpvaUlpSWlCOEJRUjBSRVJPUUFHT3FJNkpZcktpcHE3Q1lRRVRrY2hqcWltMmp0MnJXNGV2VXFBTUJnTU9DOTk5N0R6ei8vYk5lK0d6ZHV4TVNKRTZIVmFxMXUzN3QzTDk1KysyMW9OSnBhajZQWDYzSHMyREZUY0JKRkVXcTEycTR2STYxV2k0S0NnbnA5R1F3R3U2NXo3OTY5ZU95eHg1Q2FtbXBYZlFBNGZmbzBKazZjYUdwamZuNCtWcTllamJ5OFBGT2RpeGN2WXZYcTFYWWZrNGpJMFRnM2RnT0lITVdCQXdld2JOa3lCQVlHSWl3c0RCS0pCRTVPVHZqNjY2L3g2S09QUWlhVDJkejM5T25UK095enp6QjgrSEFVRnhkYmJITnhjWUVnQ0ZpeVpBa2lJeU5yQkRDcFZBcFBUMC9UNjcxNzkrTEREei9FWTQ4OWhoa3paaUE3T3hzREJ3NjA2eHJpNCtNQkFMLzg4Z3VtVFp0V244dkg1czJiMGJadDJ6cnI5ZTdkRzNLNUhMdDM3OGFZTVdQc09uWnViaTdpNHVLZzFXcmg2dXFLdkx3OHJGeTVFbjM2OUVHTEZpMEFBR2ZQbnNYS2xTc3hhdFNvZXJXYmlNaFJNTlFSM1FTNXVibVlQMzgrZXZic2lVY2VlY1JVUG5yMGFBd2RPaFJyMXF5eEdXQlVLaFhlZmZkZDZIUTZyRjI3Rm12WHJyWFkvc3d6ejhCZ01DQTdPeHZaMmRsNDhNRUhMYlozNzk0ZEsxZXVCRkRaTzdoMjdWcU1IRGtTbXpadFF0dTJiVEY4K0hEczNyM2JWTCswdEJSRGh3N0ZKNTk4Z3E1ZHU5WjZYYi8rK211ZDE1NlNrb0pYWG5uRm9reXIxYUpuZnFqeDVBQUFJQUJKUkVGVXo1NjE3cmQ2OWVwYWU5WU9IejRNVjFmWE9zOVBSRVNWR09xSWJwQk9wOE9rU1pOZ01CaHE5RzVGUkVUZzVaZGZ4cG8xYXhBZEhZMjc3NzdiWXZ1RkN4Y3dmdng0K1BuNVllUEdqZmoyMjI5eDVzd1p6SjA3RjU2ZW5raE9Ua1pHUmdhbVRadUdqei8rR0IwNmRNQjc3NzJITDc3NEFuNStmalhhc24zN2RwU1dsbUwwNk5FSUN3dkRuRGx6MExGalIzVHIxczFVNTh5Wk13QXF3NkMzdDNldDExYlhkZ0R3OFBDd3VXM0NoQW5vM2J0M25jY3dkL3o0Y2N5Yk53OEFrSmVYaDZLaUltUmxaUUVBMHRMU1VGQlFZUGV4enA0OWk4akl5SHFkbjRqb2RzVlFSM1FEUkZIRXJGbXpjT3JVS1h6KytlY0lEQXlzVWVmVlYxOUZZbUlpL3ZPZi8yRFpzbVc0ODg0N1RkdHljM1BScTFjdlRKZ3dBUXFGQXErKytpcW1UWnVHK1BoNDlPdlhEMnZXckVGeWNqSisvUEZIaElTRUFBQWVmdmhoSkNVbG9XL2Z2aGJuS1NvcXd2TGx5L0hHRzI5QUVBUTg5ZFJUT0hEZ0FLWk1tWUp2di8wVzVlWGxBSUMvLy80YjN0N2VwckZ3UnExYXRhclI5cFNVbERyZmcvVDBkSnZiL1AzOXJSNDNKaVlHMDZkUHg2QkJnMm85NTlkZmY0Mk5HemVhWG84Y09SSkE1YTNldW16WnNnV2ZmUElKRmkxYVZPTzlJaUp5UkF4MVJOZEpGRVhNbmowYk8zYnN3S1JKazlDalJ3K3I5WnljbkxCZ3dRSzg5dHByR0RObURLWk1tV0lLTXoxNjlNQWJiN3lCTFZ1MldPeHo4T0JCaTlmV3dvK1JjUnpjd29VTDRlM3REVDgvUHp6OTlOUFl0R2tUcGs2ZGlrbVRKdUhzMmJPWU9IR2l4WDZEQncrMmVwemE2dFRsbDE5K1FVUkVCTnEzYjQ4Tkd6YkEzOS9mWmpETXljbXh1cTFyMTY3WXNHRURGQW9GM24zM1hiejc3cnM0ZlBnd3hvOGZqMTkvL1JYZTN0NjRlUEVpZ01wYjEzSzVIQUFzSm1xc1g3OGVuMzc2S1lZUEg4NUFSMFROQmtNZDBYVW9MUzNGQng5OGdFT0hEbUhzMkxFWU5teFlyZlU5UFQyeGF0VXFUSmd3QWRPblQ4ZHZ2LzJHQ1JNbUlEdzhIQUF3YnR3NDNIdnZ2ZlZxdzZGRGg3Qmt5UklBd0o0OWU3QnIxeTZzWExrU1hidDJSWGw1T2RhdVhZc3hZOGJnKysrL044MDBOUWEzK1BoNGRPN2NHUXFGQWlrcEtUWENteUFJRnZWcm85VnFjZUhDQllTSGgyUHk1TW5vMEtFRFB2NzRZMFJHUmxvOXR0SG5uMytPenovL3ZFWjViR3lzM2JkTXpZUHErUEhqQVFEejU4L0hwazJiOE9hYmIrTGYvLzUvOXU0OExxcXE4Ui80NTg3T3NBdXlDN2d2YU1sUTJxYTVWSlptYmwvVHlzeW5ucGJITkRNcmwxSkp6VitXbWVuakV0bGlwbW1LbXJhWlBXYTVwZ0pxbU9DQ3lBNnlMelBNTURQMzl3Zk14TUN3dWlEajUvMTY4WXA3N3Jubm51SGgwWS9uM0hQdXM0MXFoNGpJRVREVUVUWERqaDA3Y1Bqd1lienh4aHZvMzc4L01qSXlHblhkeXBVckVSVVZoWTBiTitMMjIyL0hNODg4ZzRpSUNIVHQyaFUrUGo2TnZyOWFyVVpPVGc3NjlPa0RBR2pmdmoxR2pCaGhQWDdpaVNkdytQQmhBUDhFdE9wZWVPRUZSRWRIMjUwYUJRQXZMeThBbFdHeG9jVVVRR1ZvL2ZISEgzSHg0a1c4K09LTHRjN1hESWQxVGI5R1JFUTBlSy9xSTNLYk5tMnlCa0RMWXBEdDI3ZGp3WUlGR0Rac1dJTnRFUkU1RW9ZNm9tYVlNR0VDN3I3N2JpUW1KdFk3TlZyVFYxOTloVmRmZlJWanhveXhqdEpGUlVYQlpESlpBMWxqeE1URW9FK2ZQdFpydW5Ycmhna1RKbGluTSsrOTkxN2NmLy85U0U1T3R0bnVwTEh1dU9NT0RCczJESkdSa1RBYWpZMjZScTFXWSt6WXNSZzRjR0NUNzlkWXk1Y3Z4L256NTdGZ3dZSTY2M3p5eVNlTkNxSkVSSTZHb1k2b21UcDI3SWoyN2R2amdRY2VBRkM1Q3JaLy8vNTQvZlhYTVhyMGFKdTZxYW1wZVB6eHg2RlNxUURBR3VocVdyeDRNWVlNR1ZMblBldWJ6aHc3ZHF6ZDhqRmp4dURKSjUrMEhsdEd1dXlONEZsSUpCSXNXTENnd1ZDWGw1ZUhYMy85RlE4OTlKRGRSU0lXOWtiZ0lpTWpFUmtaV2VjMUFIRGt5QkhzMmJNSEJ3NGNBQURFeHNiVytUa3RHT2lJNkZiRlVFZDBGU1FTaVhWVDRlenNiSWlpaUhidDJ0WGFhRmdVUlFDd1B0UmZsemx6NW1ET25Ebk42a3ZOS2M3Q3drSTg4c2dqTnF0dGdjcm5BUUZZQTJaMU9wM09abVBqaGlRbEpXSDU4dVhvMUtrVFpMSi8vaml4VE45YVJFZEgyeHlQR1RNR1U2Wk1xVFdxVnpPd2J0dTJEV2ZQbmtYMzd0MXg1TWdSZlBYVlZ6WUxKWWlJNkI4TWRVVFh5T25UcHdIQTdrUCtsbGQ3TmJTWjdyeDU4ekJvMEtBNno2ZWtwR0RpeEltTjZzKzJiZHZnNWVXRklVT0dJRFUxMVZxZW1wb0tpVVJTSzNnQmxhdEdMUnNaTjhXVUtWTnNqbXNHVEh2UDdubDdlOWY1VEovRnJGbXo0TzN0allNSEQrTElrU05ON3BkZXIyOHdTQk1ST1FxR09xSnJaTStlUGVqU3BZdmRUWUV0bzEvT3pzNVhkUTkvZjM5RVJVV2hwS1FFYXJVYVVxblVlcTZnb0FEVHBrM0RtMisraVk0ZE8yTHo1czE0OGNVWGJlb0F3TkdqUitIdjd3K0pwUGFybnlkT25HaXprbmY1OHVXSWlJaEF2Mzc5N1Bibjc3Ly94dVRKa3hFVkZZVXVYYnJVMmUvbVRyKzJiZHUyM3ZNTldiRmlCVXBMUy9IT08rOWNWVHRFUkswQlF4M1JOWEQ4K0hFY1Bud1lzMmJOc251K3VMZ1lNcG1zd1ZHakJRc1cxTHNJb0xybHk1ZmJoQzBQRHcvNCtQamd0ZGRldzRNUFBnaUZRb0VSSTBZQUFQejgvQkFWRllYUzBsSnMzcndaK2ZuNWVPbWxsN0J3NFVJRUJBUmcwNlpOQUFDRlFtR2RPaFpGRVhLNUhQUG56OGZVcVZQdGpoQmFSaDZkbkp6cWZiTkVjNmRmRzBNVVJXemJ0czI2dVhKMWVYbDVNQmdNVFc2VGlLZzFZcWdqdWtvWExsekFuRGx6MEtOSEQ0d2FOYXJPT241K2ZnMjIxZEJDQ2FCeTFNL2V5SmtnQ0Zpd1lBRW1UWnFFelpzMzQ2MjMzcklHTkpWS2hiQ3dNTXlZTVFOeXVSeGZmLzAxNXMyYmgzSGp4dUd0dDk3Q2d3OCthTGU5V2JObXdkM2RIUjkvL0RIYzNOd3djdVJJbXpvbWs4bGExeDV2YjIvTW5UdTMwZE92YytmT3RUdlNXWlBsR2NXTEZ5OWl5WklsU0U1T3hvUUpFMnJWeThqSVFIaDRlSVB0RVJFNUFvWTZvbVlTUlJHN2R1M0NoeDkraURadDJ1Q0REejZBVkNwRlhsNGV6cHc1QTA5UFQ2aFVLcVNrcEdETGxpMjFBcEU5K2ZuNU5zKy8yVk5lWGw3bk9iVmFqZmZmZng5UFBmVVVUcDA2WlYyRm01aVlpTWpJU0tTbnAyUE5talhvMXEwYjFxOWZqOGpJU015YU5RdHhjWEdZUG4wNjVISjVyVGIvODUvL29HUEhqaGc0Y0NBTUJnTzJiOThPRnhjWFNLVlM2OTV3ZFcyYjR1TGkwcWpQYlZHenJsYXJSVWxKQ1M1ZHVnU2dja1FRK09kVllwR1JrUmc3ZGl5V0wxK08rUGg0QU1EZXZYdlJ1WE5uSkNjbkl5RWh3V2JsTHhHUkkyT29JMnFHOHZKeVBQdnNzMGhNVE1UZ3dZUHgxbHR2d2QzZEhVRGxHeFptenB4cG5mWlRLQlFZTkdpUTNVMTVhMXE2ZENtV0xsMTZWWDBMRFEzRmpCa3o4TzY3NytLeHh4NURYRndjUHZua0V3UUVCR0RkdW5YV1o5K2NuSnp3M252djRlT1BQOGFHRFJ1UW01dUw5OTkvMzI2YkR6MzBrUFg3MWF0WFcxZlFTcVZTakIwN0ZvR0JnVmZWNTdvY08zWU1NMmJNZ0NBSUdEMTZ0SFg2dXJTMEZKMDdkOGFpUll2UXFWTW5BRUNmUG4wd2NPQkF2UDMyMnpBYWpaREpaT2pYcng4R0R4NThYZnBHUkVSRWRkQm9OS0pHb3hGYjZyNU5kZmp3WWZIa3laTjFuamVaVEtKZXJ4Zk5abk9EYlpsTUpuSFpzbVZpUWtKQ2czVU5Cb080WXNVSzhkS2xTL1hXaTR1TEUwVlJGQXNLQ3NSMTY5YUpXcTIyenJyZmZmZWRtSm1aMmVDOVJWRVV0VnF0V0ZwYUtoWVhGNHNHZzZGUjE5UzBhdFdxUm4xV285RW9GaFFVaU9YbDVYYlBYUzh0OWJ0SWprZWowYXpWYURSaWVIajRTeTNkRjNKOGRlOCtTblNEV2Y0U2pZMk52YUcvbDViN051WTlwM1Jyc0t6V3ZkRy9pK1I0TkJyTldnQXZpcUw0bjdpNHVMVXQzUjl5YkxYM05DQWlJaUtpVm9laGpvaUlpTWdCTU5RUkVSRVJPUUNHT2lJaUlpSUh3RkJIUkVSRTVBQVk2b2lJaUlnY0FFTWRFUkVSa1FOZ3FDTWlJaUp5QUF4MVJFUkVSQTZBb1k2SWlJaklBVERVRVJFUkVUa0Foam9pSWlJaUI4QlFSMFJFUk9RQVpDM2RBYUtiUlVSRVJFdDNnWWlJcU5rNFVrZTNQRkVVOTdkMEgram13OThMSW1wdE9GSkh0N3k0dUxpQkxkMkhtNFZHb3hFQklEWTJWbWpwdmhBUlVkTndwSTZJaUlqSUFURFVFUkVSRVRrQWhqb2lJaUlpQjhCUVIwUkVST1FBR09xSWlJaUlIQUJESFJFUkVaRURZS2dqSWlJaWNnQU1kVVJFUkVRT2dLR09pSWlJeUFFdzFCRVJFUkU1QUlZNklpSWlJZ2ZBVUVkRVJFVGtBQmpxaUlpSWlCd0FReDBSRVJHUkEyQ29JeUlpSW5JQURIVkVSRVJFRG9DaGpvaUlpTWdCTU5RUkVSRVJPUUNHT2lJaUlpSUh3RkJIUkVSRTVBQVk2b2lJaUlnY0FFTWRFUkVSa1FOZ3FDTWlJaUp5QUxLVzdnQVJ0WXp3OFBBUVFSQk9BWEFIb0FOZ3NKelRhRFNGQUJRQW5BQVVpYUo0ZTF4YzNPV1c2U2tSRVRVR1IrcUlibEZ4Y1hHWEJVRzRWSFhvaE1wd1orRmVWUVlBU1F4MFJFUTNQNFk2b2x1WTJXeU9ia1MxeHRRaElxSVd4bEJIZEFzVEJLSEJ3TmFZT2tSRTFQSVk2b2h1WWJHeHNXY0JuSzJueXQ4eE1URUpONm8vUkVUVWZBeDFSTGU0K2tiaVJGSGtLQjBSVVN2QlVFZDBpek9aVFBVRk40WTZJcUpXZ3FHTzZCWjM4dVRKVXdDUzdKeTZHQmNYZC9wRzk0ZUlpSnFIb1k2SVJOZ2ZrWXV1T2tkRVJLMEFReDBSMlgydVRpS1JjT3FWaUtnVllhZ2pJc1RFeEJ3WEJDR3RXbEhxaVJNbmpyZFloNGlJcU1rWTZvZ0lBTXhtczNsN3RlUHQ0TlFyRVZHcndsQkhSQmJSZFh4UFJFU3RBRU1kRVFFQU9uWHFkQWpBRlFCWE9uYnNlTGlsKzBORVJFM0RVRWRFQUlDdFc3ZWFCRUdJRmtWeDI5YXRXMDB0M1I4aUltb2FXVXQzZ0lodUhtYXplWnNnQ0h5V2pvaW9GV0tvbzF0ZWVIajRuNElnOUducGZ0eE1OQnBOUzNlaHhZbWl1RDh1TG01Z1MvZURpS2l4T1AxS3R6d0dPckpIRUlRQkxkMEhJcUttNEVnZFVaV1ltSmlXN2dMZEpDSWlJbHE2QzBSRVRjYVJPaUlpSWlJSHdGQkhSRVJFNUFBWTZvaUlpSWdjQUVNZDBVMnVvcUtpeGU2ZG41K1Bzckt5cTI3SFpPSzJkMFJFMXh0REhkRTFZREtaSUlxMjI3dmRmZmZkV0xkdTNWVzErOTEzMzJIRWlCRW9MUzF0c083dTNidXhhdFdxcTdwZlRYUG56c1dJRVNOUVZGVFU3RFppWW1MdzRJTVA0dENoUTFmVmwyKysrUVl6WnN5QXdXQ3dlLzdubjMvRzFLbFRvZFBwcnVvK1JFU3RGVmUvRWwwRFgzNzVKYlp1M1lydDI3ZERyVllEQUF3R3cxV1BVR2swR3VUbDVlR3JyNzdDNU1tVDY2MnJVQ2p3eFJkZm9IZnYzcmozM251dDVZMVp5UmtTRW9MdDI3ZmJsSDM3N2JjNGV2UW9KazZjQ0hkM2QyUm5aMlBvMEtFTnRsVnpGWEdQSGowZ2xVcng3cnZ2WXVmT25WQW9GTlp6ZS9ic3dadzVjMnExSVpGSWNQejRjZXZ4MzMvL2plWExsMlBDaEFrb0tTbXhxZXZrNUFSQkVQRHh4eCtqYTlldTBHcTEwR3ExMXZOeXVSeHVibTROOXB1SXFMVmpxQ082U2dhREFWdTJiRUczYnQyc2dhNHBHaE82UHZ2c00zejIyV2QyejdtNHVPRDMzMy9Ia0NGRGNQandZVVJHUm1MTGxpMW8wNllOQUNBNk9yckI5dVZ5dWMxeFRFd01Qdnp3UTl4MjIyM1dNT250N2Qyb3RnQ2d0TFFVdWJtNTF1TkJnd2Foc0xBUUdSa1pkdXRYYjNmMTZ0WFl2MysvOVRnek14T3Z2LzQ2akVZanZ2enlTM3o1NVpjMjF6NysrT013bTgzSXljbEJUazRPSG5yb0ladnpmZnIwd1pvMWF4clZieUtpMW95aGp1Z3FiZHk0RVhsNWVlalVxUk1PSERoZ2N5NGxKYVZXbVVXUEhqM2c1ZVZWS3lnZFBIZ1FIVHQyaEwrL2Y2MXJpb3FLY09uU0pmVHUzZHRhSnBIODh4VEZHMis4Z2JGangyTHYzcjBZTjI0Y0FDQTBOTFJKbitmTW1UT1lQbjA2dkx5ODhNRUhIMWdEbjFRcWJYUmJ2LzMyR3lJakkydVYvL3JycnpiSGl4Y3Z0dW1qVnF2RmtTTkhjTTg5OXdBQUxseTRnRmRmZlJYZTN0NzQ1cHR2OE5WWFgrSHMyYk40NzczMzRPYm1ob1NFQkdSa1pHRHUzTGxZc0dBQnVuWHJocGt6WjJMdDJyWHc5dlp1MHVjbUltcnRHT3FJcmtKT1RnNCsvL3h6QU1ENjlldXhmdjE2bS9NLy8vd3pmdjc1Wjd2WExsbXlCQTg4OElCTlVOTHI5ZGkwYVJPOHZiM3grZWVmUXlhVDFicG0yN1p0Mkw1OU85cTFhMWVyVFJjWEYzejY2YWNJQ2dwcTF1YzVmUGd3WnM2Y0NZVkNnVldyVmtHaFVPQ05OOTdBbENsVEVCSVMwdWgyaGc4ZmpqWnQyaUF0TGMwYUxpMldMVnVHc0xBd0RCa3lCSHYyN0xFNXQydlhMbWkxV2p6Ly9QTUFnTHk4UE54Nzc3MllQbjA2VkNvVm5uLytlY3lkT3hjeE1URVlPSEFnUHZ2c015UWtKR0RyMXEwSUNBZ0FBRHo4OE1PSWo0L0hnQUVEbXZVeklDSnFyUmpxNkthajBXaTJ0WFFmR2tNVVJjeWJOdy9sNWVWWXZYbzFldlRvWVhOK3dJQUJtRFJwRWlaTm1tVDNlaWNucDFwbFNxVVNDeGN1eElzdnZvZzFhOVpnNnRTcDFuUG56NTlIZEhRMEprNmNhRGZRV1ZnQ1hYSnljcE0rVDBoSUNDNWN1QUFuSnllc1dyVUs3ZHUzeDN2dnZZZDkrL1poNk5DaFRRcDFBS0JTcWJCMDZWSjRlSGhneUpBaEFJQS8vdmdER3pkdXRMdWd3MncyWTlPbVRSZ3dZQURDd3NJQUFIMzc5c1hreVpPeGJadnRyOFMrZmZ0c2pvY1BIMTVuUC9pbUVDSzZWVERVMGMwa0I0QVBnREV0M1pIR1dMMTZOWTRmUDQ0SkV5YWdiOSsrZHVzb0ZBcTR1cm8ycWQySWlBZzg4OHd6Nk5tenA3WE1iRFpqMGFKRkNBc0xzN3RnWXY3OCtmaisrKyt0eDBlT0hNR1lNVTM3TVI0NGNBQ2pSbzNDb0VHREVCUVVoRk9uVGlFNk9ockRodzlIdjM3OW1oUVNRME5ERVJFUmdjY2ZmeHd4TVRFWU1tUUk4dlB6c1hEaFFvd2JOdzUzM1hWWHJXdjI3dDJMN094c3JGeTVzdGE1YWRPbW9YLy8vazM2UEgvODhRYysvdmpqSmwxRFJOU2FNZFRSVFVNaWtRdzJtVXpkYnZSOUJVSFkydFJyL3ZyckwzeisrZWVJaUlqQWxDbFRycm9QVzdac3dmdnZ2OStvdW4zNjlMRTVmdlRSUnpGMTZsVDg2MS8vd20rLy9ZYi8vdmUvQUdxUFVFMmVQQm5uejUvSGQ5OTlCN1ZhRGJQWmJQTThub1dycXl2S3lzcnc5dHR2bzBPSERwZzFheFp5Y25LYUhCS3JxLzdjNEpZdFc3Qmx5eFlBd096WnM2M2xCUVVGTUp2TmlJMk50UmtWaklpSVFOZXVYZUhqNDlQbys2blZhdVRrNU5UNldSRVJPVEtHT3JwcG5EaHhJaDVBL0kyK3IwYWphZkkxdlhyMXdtdXZ2WWJISG51czFzclJxOUhZMWFYVnViaTR3TnZiMi9wbHo3NTkrL0RubjM5aTVzeVpVS3ZWdUhqeEl0NTQ0dzJzV2JNR3ZyNitOblZOSmhObXpweUpqSXdNdlBycXExQ3BWQWdJQ0xBN2pmblhYMzloMHFSSldMMTZ0YzFvWldOSDlSSVNFcXpmang4L0hxSW80dDEzMzRXUGo0OTFXNWFvcUNpWVRLWW1CYlNZbUJqMDZkT0hvWTZJYmlrTWRVVE45TlJUVHdHb2YwdVNxS2dvUkVWRjFTcFhLQlE0Y3VTSTlWZ1VSUWlDME9TVnFvMVJVbEtDOTk5L0grM2J0N2VPdGdVR0JxS2lvZ0pMbHk3RkJ4OThZSzFyTnB1eFlNRUMvUG5ubjFkMXo4Witqc1RFUkp2ako1NTRBcWRQbjhhU0pVdXdjK2ZPV2lPSml4Y3Z0ajZmWjA5eWN2SlZqU2dTRWJWbURIVkVWOG15TFVkTmMrYk13ZURCZ3pGNDhPQmE1NlJTcWMyeDBXaXN0ZEwxV2xteVpBbXVYTG1DQlFzV1dPK3JVcWt3WThZTXpKZ3hBNGNPSGJLT2luM3d3UWY0NFljZkVCa1ppZm56NTEvVmZSdmFmNit1QlF3VEprekF4SWtUa1pDUVVHdnh5Wnc1Yyt4dVZreEVSQXgxUkZldHJwR2pPWFBtb0dQSGp2V09MRmtVRnhmRDJkbjVXbmNObXpkdnhrOC8vWVJISG5rRTRlSGh5TS9QUjBsSkNVcEtTcUJRS09Edjc0OFBQL3dRZDkxMUY2UlNLVHAzN294MzNua0h3NFlOdStwUUJ3QXJWcXhBWUdDZ1RWbDZlanBlZWVXVk9xOEpEZzRHVUxsZFRNMVFOMi9lUEF3YU5Lak9hMU5TVWpCeDRzU3I2REVSVWV2RlVFZDBFMGhQVDcvbW0rWHUzNy9mT3JYNnl5Ky80S2VmZnJJNXIxYXI0ZXJxaW95TURHemR1aFhqeDQvSDZOR2pyMmtmQWdNRG16eWxuSnFhQ2dEdzhQQm84djM4L2YwUkZSV0ZrcElTcU5YcVdpT2lSRVNPaktHT3FJV0pvb2k0dUxobUxkaW9xZnJMN1B2Mzc0OFJJMGJBdzhNRG9hR2g4UFgxaFplWEZ6dzlQZUh1N202ZDdsMjdkaTFPbno2TjhlUEhYL1g5bTJ2RGhnMDRjK1lNbkoyZGNlVElFZmo0K0ZqM3FxdHV3WUlGV0xCZ1FhUGFYTDU4T2ZyMTYzZXR1OXBvRVJFUjhwaVltSW9XNndBUjNYSVk2b2hhMklFREI1Q2RuWTM3NzcvL3F0cjU3YmZmc0h6NWNnREFGMTk4Z1JkZmZCSHo1czFyOExwSmt5YlozZHFrTVF3R0F3QkFFQVM3NTlQVDB4dFY1dVhsaFV1WExzRm9OS0o3OSs2WVBIbXkzVlhGRFMyVUFDcGZOZFpTWVc3QWdBR3FvcUtpaHlRU3lSaFJGQjhENE5raUhTR2lXeEpESFZFei9QcnJyNWc1YzJhRDllcGEvV3F4ZCs5ZUxGbXlCQ0VoSWZVK0s5YVFYYnQyWWVIQ2hiajc3cnZ4eUNPUFlQNzgrVGgxNmhSR2pScUY0T0JncUZRcXlHUXl5T1Z5eUdReXlHUXlWRlJVb0x5OEhPWGw1ZERwZEdqWHJoM2MzZDBidk5jbm4zd0NxVlFLbVV4bWZiTkRYVk9sOVQwN1Y5M1FvVU14ZE9qUUJ1dmw1K2RicDJmclVsNWUzcWg3WGl1MzNYYWJzMVFxZlVRUWhESEZ4Y1dQQ29MZ0lvcmlEZTBERVJIQVVFZlVMUGZjYzArejlwU3JTYS9YUXhSRm01V3B6YUZXcTlHblR4OHNXN1lNTXBrTW5UcDF3dWVmZjQ3MzMzOGZCUVVGYUV6STJMRmpSNk5DM2VIRGh4RWZYN21kb0V3bXcyT1BQWVl1WGJyWXJSc2RIVjNybWJxcjJYWms2ZEtsV0xwMGFiT3V2WmI2OXUzclpqUWFIeFZGY1F5QVJ3RFVmdWNiRWRFTlpuL09oT2dXb3RGb1JLRGwzaEdxMCtuc3ZnZTJLVVJSaEY2dmgwcWxxblhPYkRiRGFEVENiRFpidjRES0tWUExsMFFpZ1ZLcHRMbnV3SUVENk5DaFE2M1ZxNVkyUlZHRVJDS3BjK28xTlRVVi92Nyt0YlpxTVJxTnlNbkpRVUJBQUFvTEM1R2NuSXpldlh2WCsvbk1aak0rL3ZoakRCMDZGRjI3ZHEyM2JrVkZCZGF1WFl2aHc0YzNlOTgveTNZc3NiR3gxZzkzOTkxM3Q5SHI5WStoOGpWMkR3RlFOTlJPOWV2cDFxVFJhTllDZUZFVXhmL0V4Y1d0YmVuK2tHUGpIemgweTJ2cFVFYzNIMHVvTXhxTnZqS1piQ1QrQ1hKTklnakNtV3ZjTldwbFJGRU1xL292UXgxZGQ1eCtKU0txUTFXZ0d3ZGdRSE91dC95RlRpU1JTT3AvR0pUb0dtQ29JeUtxUTJ4c2JCU0FxUER3OExhQ0lFd1RCT0YrVVJUdlFpUC83SlJJSkwydWJ3K3BOUkFFUVh2OCtQR2tsdTRIT1Q2R09pS2lCc1RGeFYwQjhEWUE5TzdkMjBNUWhPRlYyNVlNQVZEN1FjWXFKMDZjaUw5UmZTUWlZcWdqb2pxWlRDYStsYUdHa3lkUEZnTFlBR0JEV0ZpWWkxS3BIQXBnTklCaEFGeGF0SE5FZEV0cjNvNmpSTlJxbUV5bUJyL3NpWW1Kd1lNUFBvaERodzdkNEI2M0htZk9uQ21OalkzOU5qWTJkcnhTcWZRUlJYRUVLZ01mRWRFTng1RTZvbFpPRkVWY3ZueTV6dk9OMlJOdTkrN2RDQWdJc0NucjBhTUhwRklwM24zM1hlemN1Uk1LeFQ4N2VPelpzd2R6NXN5cDFZNUVJc0h4NDhlYjBIdkhjZVRJRVIyQVhRQjJoWVdGL1Z1cFZBNXM2VDRSMGEyRm9ZNm9sZFBwZEhVR044c0d5VHQzN2dRQVpHVmw0YVdYWHNMMjdkc2hrVWhRVVZHQnNXUEhXdXVYbHBZaU56ZlhlanhvMENBVUZoWWlJeU9qM3ZZQllQWHExZGkvZi8vVmZoeUhjT2JNR1FPQVBTM2REeUs2dFREVUViVnlhclhhdXNkZVJFU0V6VnNja3BPVEFRRHQycld6dVNZb0tBaFNxZFQ2N2xhTDMzNzdEWkdSa2JYdThldXZ2OW9jTDE2OEdBQ3M5OUZxdFRoeTVBanV1ZWVlcS93MFJFVFVYQXgxUkxjQVM3akx5c3F5SGt1bFVsUlVWTmpVR3o1OE9OcTBhWU8wdERTTUd6Zk81dHl5WmNzUUZoYUdJVU9HWU04ZTIwR29YYnQyUWF2VjR2bm5uNzkrSDRLSWlPckZVRWQwQzZnNVBmdjQ0NC9YV1ZlbFVtSHAwcVh3OFBEQWtDRkRBQUIvL1BFSE5tN2NpRldyVnRXcWJ6YWJzV25USmd3WU1BQmhZZHhybDRpb3BYRDFLOUV0SUNZbUJqRXhNZFpuNjQ0ZE80YVltQmdjT1hLa1Z0MklpQWc4L3ZqajFpbmQvUHg4TEZ5NEVPUEdqY05kZDkxVnEvN2V2WHVSbloyTlYxNTU1ZnArQ0NJaXFoZEg2b2djd0tPUFBvck16RXdBLzR6S0JRVUY0ZU9QUDI1U081WjNubHBVWHdpeFpjc1diTm15QlFBd2UvWnNhM2xCUVFITVpqTmlZMk1SRWhMU3JQNFRFZEhWWTZnamNnQnIxNjZGMFdqRW1ERmpzR0xGQ2dRR0JrSXVsMXVmbWFzWjF2cjA2V08zbmVvaHJqNEpDUW5XNzhlUEh3OVJGUEh1dSsvQ3g4Y0g5OTU3YnpNL0JSRVJYUTJHT2lJSEVCUVVaUDArTURDdzF1cFhTMWpMeXNyQ3l5Ky9qRysvL2RhNlVHTDgrUEhXYXkzWE5TUXhNZEhtK0lrbm5zRHAwNmV4Wk1rUzdOeTVFeElKbit3Z0lyclJHT3FJSEZob2FDaU9IVHRtZmRXWDViK2hvYUhXNzZ1ZkIycVA2dFZrZWRhdXBna1RKbURpeElsSVNFaEFqeDQ5cmtYM2lZaW9DUmpxaUJ5WVphVE9vdWFXSmhaK2ZuNVFxZjU1TDcxbENyZTY5UFQwZWhkREJBY0hBd0J5Y25JWTZvaUlXZ0JESFpHRDBtcTFkYjVwb3VhV0pxdFhyMGJmdm4ydHg5V25jQnNyTlRVVkFPRGg0ZEcwamhJUjBUWEJVRWZrWUw3NDRndWNQMzhlQlFVRnRhWktVMU5UTVhMa3lGcFRyczIxWWNNR25EbHpCczdPempoeTVBaDhmSHk0VngwUlVRdGhxQ05xNWZMeTh2RDU1NTliMzd2Ni9mZmZvM3YzN25XTzBqVkdlbnA2bzhxOHZMeHc2ZElsR0kxR2RPL2VIWk1uVDRaY0xtLzJmWW1JcVBrWTZvaGFPWVZDZ2Vqb2FJU0ZoZUhwcDUvR3dJRUQ0ZXZyaStUazVFWS9Vd2NBSVNFaEVBUUJBQnE5a2ZEUW9VTXhkT2pRcS84UVJFUjAxUmpxaUZvNVYxZFgvUExMTDNCemM3TXByMitrenQ1cndnNGNPQUMxV2cyZ2NndVVtcy9VSlNjblg5WG9IeEVSWFY5Q1MzZUFxS1ZwTkJvUnFIdXJqbHROYW1vcS9QMzlJWlBaL3B2UGFEUWlKeWNIQVFFQktDd3NSSEp5TW5yMzd0MUN2YnkrTE51NnhNYkc4czlJSW1vMU9GSkhSRGJhdFd0bnQxd21reUVnSUFCQTVRcFhSdzEwUkVTdEZiZDlKeUlpSW5JQURIVkVSRVJFRG9EVHIwUlZHbm85RmhFUjBjMk1JM1YweXhORmNYOUw5NEZ1UHZ5OUlDSWlvbFpMbzlHSWx0WEFSRVRVdW5Da2pvaUlpTWdCTU5RUkVSRVJPUUNHT2lJaUlpSUh3RkJIUkVSRTVBQVk2b2lJaUlnY0FFTWRFUkVSa1FOZ3FDTWlJaUp5QUF4MVJFUkVSQTZBb1k2SWlJaklBVERVRVJFUkVUa0Foam9pSWlJaUI4QlFSMFJFUk9RQUdPcUlpSWlJSEFCREhSRVJFWkVEWUtnaklpSWljZ0FNZFVSRVJFUU9nS0dPaUlpSXlBRXcxQkVSRVJFNUFJWTZJaUlpSWdmQVVFZEVSRVRrQUJqcWlJaUlpQndBUXgwUkVSR1JBMkNvSXlJaUluSUFESFZFUkVSRURvQ2hqb2lJaU1nQk1OUVJFUkVST1FDR09pSWlJaUlId0ZCSFJFUkU1QUFZNm9pSWlJZ2NBRU1kRVJFUmtRTmdxQ01pSWlKeUFBeDFSRVJFUkE2QW9ZNklpSWpJQVREVUVSRVJFVGtBaGpvaUlpSWlCOEJRUjBSRVJPUUFHT3FJaUlpSUhBQkRIUkVSRVpFRFlLZ2pJaUlpY2dBTWRVUkVSRVFPUUdqcERoQlJ5d2dQRHc4UkJDRnVXYWc0QUFBZ0FFbEVRVlM1TVhWRlVReU5pNHU3ZkoyN1JFUkVWNEVqZFVTM3FMaTR1TXVpS0I1cnFKNG9pc2NZNklpSWJuNE1kVVMzTUVFUW9odFJaOXVONkFzUkVWMGRoanFpVzFoalFwMVVLbTJ3RGhFUnRUeUdPcUpiV0V4TXpFVUFwK282THdqQ3llUEhqeWZkd0M0UkVWRXpNZFFSM2VMcUc2MHptODBjcFNNaWFpVVk2b2h1Y2ZVRnQ4Wk16eElSMGMyQm9ZN29GaGNYRi9jM2dBUTdwODdHeHNhZXZkSDlJU0tpNW1Hb0l5SUFxRFVpeDFFNklxTFdoYUdPaUNDUlNHb0ZPSlBKeEZCSFJOU0s4STBTamtFR3dOalNuYUJXVFlpSWlMZ29pbUw3cXVPazJOallUZ0RFbHV3VUVSRTFIa2ZxNnVEdTd2NS9uVHAxK2ttdFZnYzA0M0twUXFIbzF0d3ZldzFxTkJxeGpuTmV2WHYzTGxBcWxWMmIwVThMVno4L3YvbE9UazZCOVZWeWNYSHBHUlFVOUFIcy9HTWdQRHpjMkxadDJ5azErK3p0N2YzU1ZmU0xiaHhSRk1YcUkzUFJZS0FqSW1wVlpDM2RnWnVVVzNCdzhFcUR3WkJvTkJyZEZBcUZXMk11a2txbHBUcWRMZzFBMjU0OWV6YjdBZlBZMkZqaDl0dHZMNVJLcGU3VnkydTJHUnNiSzNoNmVqNXNNQmpTOUhwOVlsM2RVaWdVbmUyZE1CZ01DUURnNWVVMTJ0L2YvKzJpb3FKMTlmVkxFQVRQdG0zYlRxK29xTWpMenM1K3J3a2ZpVnFIYUFDdkEzeWVqb2lvTldLb3N5TTBOSFNOWEM3M2s4dmxmazBKWjBWRlJUOWN2SGp4VWN0eFVsTFNxTUxDd3AzVjZ5Z1VpakF2TDY4bk1qTXpJMUZqeXRUTHkydFNTRWpJRndCdzZ0U3BFRlFiRWROb05BVUpDUWw5dEZydCtlclh0R25UNWdtVlN0Vk5vOUhVR2xVNWUvYnMzVHFkTHJtdXp4QWJHeXRVdFRFaFB6OS9zMDZuUzYvdjg1V1VsQnpJeXNxS0RBZ0lXRmhTVXZJL3JWWjd2TDc2MUxyRXhzWWUwMmcwNllJZ2lERXhNZnpmbG9pb2xXR29xOEhYMTNlNnA2Zm51SFBuemcwdUxTM2RkNjNiZDNKeTZ1N3Y3LzlXWm1ibUl0VC9IRnhSZUhpNHpmbXVYYnNlcVg1ODl1elp6dTd1N28ra3BhVzlYbHhjSEEwQVBqNCtzenc5UFo5TVNFaUkwT3YxS1FEMGx2Qm1VVDA4S3BYS2pxNnVyb01CQ0Y1ZVhoUHNkU1F6TS9QZHpNek10NnUrZjgvZDNYMlVoNGZITUsxV2UxYWowWlJZNnJWcjEyNWx1M2J0VmxhL05qZzRlRTF3Y1BBYUFJaU5qZlVFVUZqdkQ0aGFrbGtRaE8xbXMxa0VZRzdwemhBUlVkTXcxRlhUcGsyYlp3TURBejlNUzB0N3ZhS2lJcVd1NTl0cWtrcWxaVHFkTHJXdTgvWkcwVFFhamM3eXZWYXJqVWxJU0xpalpoMUJFS1JuenB6cHJOZnJMMmcwR3ZITW1UTTlEUVpEZ2xLcDdCUVdGbmJleDhkblRtRmg0USt1cnE3OWNuSnlQZ1FBRnhlWGZ2bjUrVi9wOWZyek5kdXp4OGZIWjRwV3E0MU5Ta3F5Q1hSaFlXRW5zN096Mzh2TnpkMXNNQmh5cTUweUppUWs5QU9nQlNERXg4ZDNCNENlUFh1ZXljcktlamMzTjNlVHBXTFBuajNQWm1Sa1JPYm41MitwS2lwdVRKK281WmpONW0yQ0lQQlpPaUtpVm9paHJvcXpzL1B0b2FHaDZ6SXpNOS9OeWNsWkV4NGVYaXdJUXFOK1BqV25YV3V5QkI4QWNIZDNmNmhkdTNZZkp5WW0zbDVSVVdFQUFJbEVvcXZyMnZySVpES3ZwS1NrSjNyMjdIbkcyZG01bDB3bTg1Zkw1ZjZwcWFtTEd0bUVsNWVYMS9NR2d5SFY4bnhkRlU5QkVKUmFyZlpValhJTGJkVi94ZXJuS3lvcXNtdldOeHFOdGNybzV0V3BVNmREQUJBYkc5dlNYU0Vpb2laaXFLdFNWbFoyNnZ6NTgvMUxTa29PT2prNTlSVUVRWGIyN05tK09wM3VHQURYamgwN2ZuUGx5cFgvRmhjWC8xejl1cTVkdXg0eW04Mmw5YlZkUGRRWURJYWVWZmM3QjZDOHZ1dTBXdTJwN3QyN241SklKQ3FnY3VSTEZFV1RLSXA2clZaN0tpa3A2WEVBeHVUazVIKzFhOWZ1QzZsVTZwcVVsRFFSUUZaalBuTmdZT0FjVVJUTlNxV3lNd0NWcFQ5T1RrNWRBS0Npb3NMNkluZGZYOTlYQXdNRFA3SWMxNXpTQlNDMDVoR2U4UER3UHdWQjZOUFMvV2hwRnk5ZUJBQm9OSm9XN3NuTlFSVEYvWEZ4Y1FOYnVoOUVSSTNCVUZkTlNVbkpRUUJ3ZFhYVmlLSm8xT2wwcDZ0T2xaYVZsUjNyMUtuVEQxbFpXUXN6TWpJaUxkZElKQkoxUGFGT3REZjFDdGhPdndKQWFtcnExSnJ0SkNRazlIWjJkaDdzNmVrNTNNZkhaMXBGUlVXNlhxOVB6Y3JLaWl3dUx0NVRWVTNoNmVrNVhLMVdSd0FRL2YzOTM1SklKUHFpb3FKZlViVWxSVjE5Y0hKeTZwbVptVGt6TURCd2hhdXJhMFJKU2NraEFIQjJkcjVORkVWaldWbVpkVVZ0ZG5iMitvS0NncDg5UER5R0JnVUZmVmlqS1FrQXdXdzJ0OXJuc0Jqb3lCNUJFQWEwZEIrSWlCcUxvZTRmTGtxbDBnOEExR3IxZlFhRElWbXBWQVpaVGhZVUZHd1NSZEVvaW1LQlVxbnNaQ21YU3FYdW9paktMR1Y2dmY2Q1dxMldBSURKWkRKVm4zcXRqOEZneVBMeThocHBPWFoyZHI3TjE5ZDNMZ0FoS1NucFNSOGZuMm1YTDE5K3pzUERZMlRIamgyL0x5b3EraTQvUC8vcmdJQ0F4VXFsc21OeWN2S3pScU14S3pnNGVHM0hqaDEvMGV2MXlSY3VYSGpZc3RWSmVucjZuSUtDZ2gwQTRPbnBPU293TUhEeGhRc1huZ0pRMEtaTm14ZWRuWjBIVzBLZFdxMit0N3k4UEI2Mkk0a0ZCb09ob0tLaW9yZWxvR1pZckw0b3dsNVpibTd1K3BTVWxFbU4rWG0wbEppWW1KYnVBdDBrSWlJaVdyb0xSRVJOd2xCWHhkUFRjMlQ3OXUwM1ZDOExDd3V6dTlnZ0tDakk1dGpiMjd1OXQ3ZjNNMERsdEtRb2lqSUFrRWdraHFxcFY0VkNvZWhRMTcxclBuT21WQ283ZGUzYTlXUldWdGFTakl5TXQxQzFFckc4dlB4eVNrcktmN0t6czVjckZBb2ZYMS9mT2FJbzZoTVRFKy9XYXJXeEFCQWZIOS9WeDhmbldTY25wenVxNzExbk5Cb3pMZmNwTGk3ZXAxQW9WZ0hJQllEUzB0SzlIaDRlbzdPeXNoWUFrTGk3dXcvSno4L2ZoQVpZQXF1cnErdWRJU0VoWDEyOGVIR3NUcWVMdDV5dnVWRENZREFVTmRRbUVSRVJOUTlEWFpXQ2dvS05CUVVGbXdFb3dzUERDOVBUMDJmbDVPU3NBQUFuSnlmZmdJQ0FWYW1wcWJNTkJvTk4wTHY5OXR2emMzSnlsbVJtWmk2eGxKbk5acWVxLytvQVFLRlFkS2h2djd2WTJGZzVxbTF2b3Rmckx5UWtKTnloMVdvelZDcFZNRkFab0NRU2lWNmxVb1VDMEZkVVZLUm1aR1RNTTV2TmVRRE1WZVVBZ09MaTRoOXpjbkpXMTNVL25VNzNaMnBxNnArVzQ3eTh2R2dmSDUvWDFXcjFuVEtaekZzdWwvdmw1K2R2YStoblpnbUpjcmw4bkNpS0ZVVkZSYnNCNkt2WDRVSUpJaUtpRzRPaDdoOGlBS05hcmI1TkVBUjUxY2lYRVFCME9sMnhLSXFTN3QyNy8zbjU4dVdKMVRZVUZxUlNxYlBSYUN4Q3RWQW1rVWphQUlBb2lnWFZiMUJ6Y1lGbGF4SjduZEZxdGJGZHVuUTU2T0xpY205elBveWRoUXgxMHVsMFIzVTYzVWwvZi8vNVVxblVYYWZUbmRicGRFY2F2aElBb0dyYnR1MExSVVZGMzZOR29DTWlJcUliaDZHdUJwVktGUTRBcGFXbEo2c1ZseVFsSlkwTUNncGFVaFhnTEZ3QVNNeG1jM0dOTmtLcTJxajNEUTBOT1hmdTNIMEE0T2JtOW5CeGNmRUJBR1dXY3hxTlJveVBqKy9lbkZFd0p5ZW5RRzl2NzdkU1UxTm5BeWdDS3ArNTY5U3AwNDhBY09IQ2hUcTNaNmtwT0RoNGhWd3U5Nzl5NVVyTnhSTkVSRVIwQXpIVTFTQ1h5OXNDbGEvbHNuZmV4OGZuOVpwbElTRWg2ME5DUXRablptYk96Y3pNWE9UaTR0TGZZRENrQUxCcG82NVZxQTNwMUtuVFQvWUNuTDBwWGFQUm1IZjY5R2x2ZSswNE9UbTE4L0x5ZXQzTHkrc0ZVUlJMYzNKeWx1bjErcUtxYzEycnFwbGxNcGxMWFgxUnE5V1dUWkxWZm41K0wzdDdleitmbloyOXpMTEk0bGFUbkp4Y3F5dzRPQmdTaVFUeDhmR1lQWHMyUHZua0V3UUVCRFQ3SGhFUkVZaU9qa1pvYUdpejJ6QVlETkJxdGZYV1VhdlZVQ2dVMXVQVTFGUTgrK3l6Mkx0M2I3UHZXOTNseTVmeDFGTlA0Y3N2djBTblRwMXN6dDEzMzMzWXVIRWpRa0pDbXR4dVlXRWhObTNhaEVtVEprR3RWbCtUdmhJUnRVWU1kVFZrWjJkSEZSUVU3R3k0SnVEaDRURXdLQ2hvZFZKUzBnaXRWbnZPWURCY0FlRGs2ZW41ZUdGaFlhMFhvdGV6RXRZSUFLSW9TcHZTMThURXhBZE1KdFBGNm1XQ0lKaHFWSE1HQUI4Zm4ra3FsU3JLWkRJVlpXZG5SMlpsWmYwWGxTTi8zdTNidDEvdDZlazVOajgvL3l1SlJPSWNHaHI2all1THk3MHBLU2x2QWJDK0Jzekx5K3NaWDEvZjZSVVZGZW5Cd2NFZnBxU2t2R0V5bWZSWHJseFpDVHVLaW9xK014Z01sNXJ5bVZxYk1XUEcxQ3I3NVpkZjRPbnBpYVZMbDhMZjN4OEFrSkdSWVQwdmw4dlJ0bTNiV3RkVnIxTlRUazZPVGVDcXpoSVl0Vm90Y25KeTdOYjU2NisvRUJrWldXZjdBQkFaR1luaHc0ZGJqMDBtRS9Mejg2M0hQLzc0SStiT25WdHZHOEEvSzRockJ0NzA5SFRvZERxa3BhVkJKclA5bzhkU0xvcTIvKzRKQ0FpbzgzTlhiL2VMTDc1QVhsNWVvL3BIUk9Tb0dPcHF5emNZRFBuMlRqZzdPL2NXQk1FTlFMN0paSEx4OFBCNHFxS2lJcXV3c1BBSEFDWUE4UFgxblNXVHlieHljM00vdFZ3bms4bUtDd3NMbzJ1T3REazVPUVVxbGNvNzVISjVrRlFxbGJadDIvWlpvOUY0QlFDcUwzd0FBTGxjSGlpUlNPcmRyQmlvRElhV2E4dkx5ek5jWEZ6NkFJQkNvV2lmbloyOU9DTWo0ME5VQmpWWFgxL2ZXWDUrZnJNa0Vva3FQVDM5dGV6czdJOEFTUDM5L1NQOS9mM25lSGg0UEhIbHlwWGxtWm1abjdtNHVIUUpEZzZPU2s5UG4xdFNVdkp6NTg2ZDk4dmw4dUQ4L1B5MXpzN09QWTFHbzE0UUJJTkVJakZvdGRvS0FMTDA5UFJwb2lncVhWeGNlcHJOWnFYUmFOUVpESWEvRy9zL1JHdGhHVVhic1dNSG9xS2k0T25waVMxYnR1Q3Z2LzRDQUp1Z0JBQmR1blRCTjk5OFU2dWRtdldxKzg5Ly9sUG5PVXVJT256NE1HYk9uR20zamlYUS9lOS8vN043ZnZEZ3dYVzJiM0gvL2Zjak9ycld2MVh3elRmZllOdTJiWkRKWkhqMjJXZXQ1ZllDTHdETW1ESERidmtycjd4U3ErekxMNzlFcjE2OVVGSlNncnk4UEx2WE9UczdZK0RBZ1RoejVnek9uejhQdVZ4ZXE0NlhseGRjWFYzdFhrOUU1Q2dZNnByQXhjVmxRUFczS3BTWGx5ZGN1blRwU1ZRRk9nQ1FTcVdxd3NMQ2JWcXQ5b1NsVEt2VlppUWxKZjFmemZaTUpwTmJodzRkcktPQ1pyTlpsNWFXOWdvQTlPalJ3MmFFcTJ2WHJyL1d2TjVlV1hVSkNRbDNscGFXSHNuTnpmMHlKU1ZsTnFyZU5LRlVLanQzNjlidG1GUXE5U2d1THY0cE5UWDFWYjFlZjg3U3Jjek16TGxGUlVYZkJRVUZyZlQzOTE5VVhsNSsyV2cwRmhZWEYrL056czcrZndERWhJU0VPLzM5L2VjSEJRVjlLcFBKdkFWQmFIQ1VNU2NuNS8yMHREVDdxY01CL1BEREQzajAwVWR4L3Z4NXJGaXhBdSs4OHc0ZWZmU2Z4eFBQbnorUHA1OSt1dDRBWlcrYXRhN3AxK1RrWkp2ZzlNQUREMWdEWGtSRUJCWXVYSWloUTRjQ0FIYnYzZzBBOFBEd0FBQnMyclFKZDkxMUZ6cDBxSE9ublZxY25aM2g3T3hzUFM0dUxzWTc3N3lEL2Z2M28xdTNib2lNakVUbnpwMnQ1Mk5pWWxCYVdnb1hGeGViL203YXRBa3ltUXhhclJhOWV2V3E5ek5hN05tekIvL3YvLzIvQnZzNGZ2eDR1K1d6WjgvRy8vMWZyZjhMRWhFNUZJYTZKc2pPemw2ZW5aMjlBb0FTbFVIT1VMTk9Sa2JHT3dEY0c5T2V3V0JJaUkyTmJRdEFqc3JWdC9tV05wdXllclVoS1NrcC82cCtyTmZyejZlbnA4L1U2L1ZuNm5vV1RxdlZuamgzN3R6ZGFyVTZRcXZWeGdCQVNVbko3MVg5aEY2dlQweE9UbjZ5MmlVU1ZQNWM1RlZmRnFMbEdnRDF2azZ0TlV0TlRjV3BVNmN3WmNvVXpKZ3hBN2ZkZGhzMEdvMTFTbFVVUmN5Yk53OGRPblRBSTQ4OGdveU1EUGo0K05TYWhxeHJkS3V1OHViNjhNTVBFUmtaYVRmVVpXUmt3R0F3SUQyOWNwMlBaUnExZXVENjY2Ky9NSHYyYk9UbDVlSGxsMS9HTTg4OEE2bTBkcTZmTW1VS25KeWNNRy9lUExSdDJ4WUxGeTZFbjU4ZlhucnBKWFR1M05rYTZsYXVYQWxmWDk4RysxMTlhcmRtQUV4TVRNVFpzMmN4Y3VSSW0zSnVJa3hFdHdxR3VxWXpBOURWYzE0RVVOakl0a1JVYlFCOG8rWG01a1kxcHA0bDBGVXBxYlBpUHorWCtuNDJEbXZuenAyNDg4NDdvZFZxNGVmbmgzUG56dFU1bmZyWVk0OEJzRDhxdDJiTm1scWJXdzhmUHR4dWVWcGFXcjNUc3MwMVk4WU1uRHQzem5wc0NaUXhNVEVRUlJFYk4yN0V5cFVyMGExYk42eGN1Ukx0MjdldnM2MjMzMzRiczJmUHhyaHg0N0I2OVdvTUhUb1VXN1pzd2JsejUzRHUzRG44OE1NUGRxOTc3cm5uTUhueVpPdXhtNXViZFJGRmVubzZ4bzRkaTRpSUNFeWJOZzNkdTFjK3Fucnc0RUdzV2JPbVZxZ0xDUW1CbTV0YjgzNFlSRVN0Q0VNZDBUVncvUGh4aEllSDQ1NTc3a0hmdm4zdGpscFZWM1AweUdnMElpb3F5dTRDaXJyNCtma2hLaW9LUnFQUk91S1htcHBxUForZm40L1UxRlJJSkJLNzF3dUMvY0ZneS9OK2x1bFN5K2lZVHFmRDdObXpjZURBQVl3Y09SSlBQZlVVQkVHb3RTQ2lUWnMyMWhEVnFWTW5mUFhWVjFpM2JoMjZkT21DeE1SRXJGaXhBaktaREV1V0xFR1hMbDFzcnQyMWF4ZldyMStQZnYzNjJaUS85TkJEZU9paGh3QUFnWUdCV0xWcUZaWXRXNGFKRXlkaTlPalJtRDE3TnN4bXM5M242Ylp2MzI3M2N4SVJPUnFHT3FKcllNcVVLWGpsbFZjd2J0dzRCQVFFWU1TSUVVaExTMnYwOVpjdlg4WUxMN3hRNS9uNlJ1UysvZlpiZE96WUVRQnNScWsrK3VnamZQVFJSM0J4Y2NIcnIvK3pFMDlGUlFVQU5CZzhhOHJPenNhQkF3Y0FWSTVNN3R4cGY1SDRtMisraWJGangrTHR0OS9Hc0dIRGNPKzk5MkxxMUtsSVQwL0g5T25UOGNBREQwQ3RWdU9kZDk3QisrKy9qenZ2dkJNR2d3SC8vZTkvc1dQSERpeGJ0c3c2TFZ2VHlaT1YyMGYyNmRNSG16WnR3dWJObTZIWFYrNTVYVjVlRHBWSzFhVFBSRVRrU0JqcWlLNkJQbjM2SUN3c0RKczNiOFpycjcyR0RSczJ3R3cyMTFuZjNtSUppVVNDNDhlUDF5cXZieEhCblhmZWFYTjg3Tmd4YTMvZWVlY2RQUExJSXhBRXdXYWFzNlNrY2hiZHljbXBVWi9OSWpRMEZERXhNZmorKys4UkZSV0ZYYnQyb2FLaUF2ZmRkeC9XckZrRGpVYURnUU1Id3NuSkNXVmxaU2dzTE1RcnI3eUNVYU5HWWNhTUdUaDY5Q2c4UFQweGE5WXNLSlZLeU9WeVRKNDhHY09HRGNQSmt5ZWhWcXV4ZnYzNmVoZHYvUGpqajRpT2prYnYzcjB4ZWZKa1BQbmtQNDkxbHBTVWNJVXJFZDNTN00vTDBQVldlNDZJV3IxKy9mcmg2TkdqTUp2TlVLbFVVS3ZWZFg3VkpTTWpvOVlYVUxsUFhWM25xcE5LcGRZUk9JbEVBcWxVV212Nk5UTXpFOEEvSzJHYjZ2dnZ2OGZBZ1FNQlZLN29OWmxNMXMyRXk4cktvRmFyNGVycWlsV3JWbUhxMUtuWXUzY3Y4dkx5TUdiTUdIejY2YWR3Y25KQ1hsNGUvUDM5NGVycWl0MjdkeU10TFEzZHUzZEhabWFtTlhUYU0yZk9ISHo1NVplUVNxVjQ0WVVYOFB2dnYxdlBaV1Zsd2R2YjdyN2JSRVMzQkk3VTNYaitQWHYyUEpxV2xqYXQyanRrRzBNQW9BQ2djbkp5Y2pXWlRLNVNxZFJWTHBkN1NhVlNMNFZDNFMyVlNuM2xjbm1nWEM0UExDZ28rREl2TDI5RDFiWGV3Y0hCaTFOU1V0NUVIWXM0VkNwVlNHaG82SmFFaElTN3J2THozYko4Zkh4dzVjb1ZIRDE2RkZPblRtM3k5V2F6dWM3RkZkZHlRY1RmZjFkdUZmalRUejhoTkRTMHdYQm5NcGx3Nk5BaDlPL2ZIM0Z4Y1lpSmljR2NPWE1BVk82TjE2VkxGN2k1dVVHdjE4TmtNbGxEcXlBSW1EUnBFa2FPSEFrUER3OTgvLzMzT0hQbURFNmVQSW56NTg4akpDUUVUei85TkVhTUdJSFRwMC9qaHg5K3dNeVpNNkhUNmVEajR3TmZYMS9NbURHajFsUnNyMTY5RUJVVmhhTkhqNkpQbno3VzhuUG56dUhlZTV2MXFtUWlJb2ZBVUhmalpaYVhseWNFQmdhK1YxaFl1QnZWOXJpeng5UFQ4NG5RME5BTmRlMERKNHFpd1dReUZadE1wa0tUeVZSb05CcnpqVVpqbGlBSTF1RWdOemUzUHA2ZW51TlRVbEtxSndNSkFPdVNRSWxFNHFOV3Evc0NxUGszZkJIKzJaS0U3RWhJU0VCWldSbjI3ZHNITHk4djNIbm5uZmpsbDErczV6ZHMySUNoUTRmQ3k4dkxXclowNlZLYlBkL2F0bTJMdDk1NkM2TkhqN1pwKzlTcFU5aTllemNtVDU2TU5tM2ExTHIzOXUzYkc3VzRJalEwRkk4Ly9qZ0E0TGZmZmtPSERoMndiZHMyUFBIRUUvRHc4TUNTSlVzUUZoWm05OXJSbzBkRHI5Zmp6anZ2eEtKRml6Qnk1RWdFQndmRGJEWmo5KzdkMWlCYVZsYjVhdUxxbndzQXZ2amlDM1R1M0JtcHFhbkl6YzFGcjE2OThNSUxMMWhYelJZWEZ5TTBOQlF2di93eVhuamhCZno5OTkvSXk4dkRsU3RYMExWcjVkdnJHcnN0U1YzUCtybTd1MlBmdm4yTmFvT0lxTFZpcUx0T3dzUERqUTF0eUt2UmFJejJ5bE5TVXY2VG01dTd0dXBRS2dpQzlQejU4L2VaVENhZDBXalVTU1FTYlhsNWVTa3F0eGlwdFZkZVRhNnVydmVWbFpYOWptb0JVcVZTQmRmYzRMaXFUemJ2cTYzYVI2OUZ0bDFwTGY3M3YvOWgzNzU5Y0hGeHdlelpzN0Y3OTI0TUdqUUlJMGFNd09iTm0zSHk1RW1jUG4wYW4zNzZLYVJTS1M1ZXZBaTFXbTB6VlZoZVhnNHZMeStZeldaY3VYSUZpeGN2eHNjZmY0eDMzMzBYRlJVVnlNaklxQlhxU2twS2tKbVpXU3RFV1NRbUppSXhNUkg3OSsvSDZ0V3JNWFBtVEp3K2ZSckhqaDNEakJrenNIVHBVbXZkQng1NEFBY09ISUJXcTRWY0xzZnUzYnV4ZS9kdWVIcDY0ckhISHNPWU1XTXdaODRjVkZSVVlOcTBhUUFxWDRlV25aMXQzYUtsdExSeUc4THEvU2t0TGNYV3JWdng5Tk5QVzBjYkxjOEkxbWY1OHVVMmI2ZW9yLzZWSzFmdyt1dXZ3OW5aR1N0WHJyUzdBS1NwaTBLSWlGb2pocnJyS0RNemMyNWVYdDQyeTdGQ29aQVpESWFhUVU2UXkrWEtpb29LNnl2QURBWkRWczIyNnRva3VESGMzTndlY1hKeTZxM1JhRVFBeU12TCt5dzdPM3NSOE04bXh3cUZvbHZQbmozUFZ0djAyRVdqMGRTM0x4MVZlZkhGRi9IV1cyL0J6YzBOdi96eUMxYXVYSW5CZ3dlanRMUVVFb2tFUzVZc3daTlBQb25UcDAranBLUUVack1aQnc4ZXhHZWZmWVovLy92ZkFDcTM4dGl4WXdmNjkrOFBuVTZIZ3djUEFnQldyRmlCTjk5OEU4OC8venkyYmR1R3dNQkF2UGZlZThqT3pzYXNXYk93YmRzMmxKZVhZOGFNR1RBWUREaDY5S2gxUk9ycnI3K0dtNXNiQmcwYUJHZG5aeFFXRm1MdTNMbG8zNzQ5eG93Wll4UHFBR0R2M3IyNGNPR0M5WjJ2RXlkT3hOaXhZMkUwR2pGNzltekV4OGRqM2JwMWNIRnhRVWxKQ1pZdlg0N1JvMGZEeDhjSHdEOExNQ3h2a0FBcW43K3JxS2pBcUZHamJPNVYzOXNqN0kzSzFWWDN4SWtUbUQ5L3ZqVU1UNTgrSFU4OTlSUWVlK3l4Smk4RUlTSnE3UmpxcnFPS2lvb3N5L3RlRlFwRnR5NWR1dnhWODAwUkNvV2lXOWV1WGVPdTVSc2thcmF2VXFsNm5qMTd0cS9KWkNydTNMbnpMcDFPWjMwSHJTWG8xWFZNRFpQSlpOYm4wclpzMllJaFE0Yll2SVRlMTljWDMzMzNIVnhjWEJBWkdRbUR3WURaczJmanpUZmZSTDkrL2RDNWMyZnMyclVMdzRZTmd5QUlOdnZIK2ZuNVlkMjZkVGh4NGdRQ0F3TUJWSTdBbFphV3d0ZlhGMisrK1NiZWZ2dHQzSEhISFpCS3BaZytmVHJVYWpXR0RSdUdJVU9Hb0cvZnZwREpaTmJ0UklxTGk3RnUzVHFiL2xuazUrZkQxOWNYVTZaTVFXQmdvSFY3a0k4KytnZ1hMMTdFcDU5K2lvNGRPOEpzTnVPdHQ5NkNSQ0t4ZWRhdjVnSU1VUlN4ZGV0VzNIWFhYZkR6ODd0bVAyK3oyWXcvLy93VDMzenpEUTRkT29RdVhicGd6Wm8xa0VxbCtPS0xML0RSUng5aDdkcTFHRHQyTEo1NDRnbDRlbnBlczNzVEVkM01HT3F1STdWYWZaOUdvL20wZWxsZG9hbDYrZm56NS91VmxKUWNySDVlb1ZCMGE4cTlMV0hTeDhmbnBaS1NrcDkxT3QweEFMNUtwYkpqY1hIeFZsUXV2RUJzYkt4clZWKzdkT3ZXTGNaeURNQlpvOUhVR2pHa3VwMDRjUUovLy8wM0ZpMWFCS1ZTQ1lWQ2dmMzc5Nk52Mzc0QUtwKzlPM0xrQ1A3MXIzOWh3SUFCV0xSb0VUcDE2b1JkdTNZaEt5dkwrdVlHRHc4UENJS0FYYnQyNGJiYmJnTUFCQVFFSURrNUdRa0pDWWlQajdlKzQvU1JSeDdCbmoxN2NQNzhlVHozM0hQNDZLT1BjTmRkZDFsRG05bHN4czZkTy9IUlJ4OUJwVkpoOWVyVjFqM3RYRnhjc0gvL2Znd1lNQUJYcmx6QjZkT25NWDc4ZU90NWk4bVRKMlBTcEVudzlQUkVSVVVGNXMyYmgrUEhqMlB0MnJYWXQyOGZqRVlqcEZJcHZ2NzZhM1RwMHNVYUJnOGVQSWprNUdTODlOSkx0WDVXVFhudG1TaUtTRWxKd1Y5Ly9ZWGp4NC9qMEtGREtDZ29nSStQRDk1NDR3Mk1IVHZXT3IwNmQrNWN2UERDQzFpL2ZqMDJiTmlBcjcvK0dxTkdqY0xUVHo5OVRZTWxFZEhOaUtIdU90THBkREh4OGZIdkFZQktwV3JmcVZPbkgrUGo0N3RYcjJPdjNHQXdYSzdaVnMrZVBjODI1ZDZ4c2JGeUFHcHZiKzhYTGw2OCtIaHdjUENYNWVYbGYybTEydU1TaWFUQ1pESzVKQ1VsalZLcFZONEFJQWlDWjFWL0xBOTZTWktTa2tZcGxVcDN2VjdQWitvYTRZNDc3c0NtVFp1c0kyci8vdmUvc1hMbFN1czBwMXd1UjNoNHVIVmhRZlUzSkV5Wk1zWDY3bE4zZDNlOCtPS0wrT0NERDZEVmFtM3VvVlFxY2ZmZGQxdW5iUUZnMmJKbDFtMUwrdmZ2YjFOLzdkcTErT3l6ejNEdnZmZGkvdno1Tm9zMXBreVpnbFdyVm1IbHlwV1F5K1hvMWF1WE5Teld2S2RTcVFRQWJOdTJEZnYzNzhlU0pVdHcrKzIzWTlldVhkYUZDYjYrdmxpOGVMSDF1dSsrK3c2dXJxNjQvLzc3YTdXNVlzVUs2OCtwcHBxQnI3eThITE5temNLNWMrZmc3T3lNZSs2NUJ3OC8vREQ2OWV0bjkxazV5d2ptTTg4OGc2aW9LR3pkdWhVZUhoNTQvdm5uN2Q2UGlJaW9YdUhoNFVadmIyL3IzN3dLaGFLYlJxTVJWU3BWYVBVdloyZm53ZlZOZVhwNmVrNnduUGZ4OFhtdGQrL2VwUURjNjZndWhJV0ZKWGJyMXUyRXBjRFgxL2RWQUlKR294RVZDa1YzQUw0OWV2U0kxMmcwWW1PL3JzMVA1T1ptK2F4TjljTVBQNGlscGFWTnZ1NUdxYWlvRVAvODg4OXIxcDdKWkJJVEV4TnJsUmtNaGxwMWRUcWRlT2pRb1ZybEsxYXNFUFB6OCt1OHg0b1ZLOFJMbHk3WmxHVm1ab29uVDU0VUt5b3FtdHpudExRMFVhL1hOL202VytuM240Z2NBMGZxcmlPejJWenJMd1I3SzA3ckl3aUNYQlJGRXdDVWxwWnVGZ1RoZlY5ZjMzOWxaMmN2cjFuWDFkVjFtRktwN0hMcDBxV25MV1UxNm9rQXN2LysrKytlVGVrRDFXM28wS0V0M1lWNnlXUXltNzNjcnBaRUlxbjF2bGFKUkdMMy9iSXFsUXIzM0hOUHJmS0c5dkN6ZDk3UHo2L1owNmQxalFnU0VUa2FocnJyUXlJSWdsUVFoRnJiamRoYktGSGYxS3BVS25VUlJWRUhBRnF0TmlNL1AzK1RyNi92N096czdNOEJGRmVyS20vWHJ0MEhPcDN1cjRLQ2dtOGEwVWMvalVhVDJWQ2xjK2ZPOVNvdExZMXZSSHRFUkVUVWdoanFyZzkzQURDWlRHWFZGemljTzNldWw3MEZEL0h4OGQwVkNrVTN5K0tHNm1ReW1hL1JhTHhpT2M3T3pwN3Y2ZW41ZnlFaEljc3VYNzVzbmQ0TkNncGFwRktwdXA0N2QyNFFHdGpRdUxyRXhNVGJ5c3JLTXBWS3BZZXJxK3NEdWJtNU82cXVsM0toQkJFUlVldkJVSGNkS0JRS1h3QXdtVXc1VFZuZ0VCc2JLME9OUUtaU3FUb2JESVpreTNGNWVmbWxqSXlNR1VGQlFhdkx5c3FPNStibWZ1THA2VG5CeDhmbnpjek16SGRMUzB2M042V3Zack81QUVDdVJDTHBHQndjdkNZM04vZlRxajd3ZDNrL3NCMEFBQ0FBU1VSQlZJT0lpS2dWNFYvYzE0RmFyZTRDQUNhVEtja3kzUm9TRXJMQnpjM3R3VXVYTGoxUWZUcFRwVkoxNk5peDR5OEZCUVhiWUdlRXpkblorYzdDd3NKZDFjdHljbkxXcUZTcTI0T0RnOWM0T3p2MzlmTHllcWF3c0hCYlptYm0vSWI2MXJadDI2bGxaV1ZIdFZwdGF2VnlKeWVuSGhVVkZlbjIra0NPdzJReThlMEtSRVFPcXZiVHpYVFZuSnljK2hpTnhoeXRWcHRoS2J0OCtmSnpPcDN1ZUljT0hmWjdlSGlNQUFBUEQ0L1JYYnAwT1Y1U1V2SmpSa2JHckpydEtKWEtMZ3FGb24xcGFla2ZOYytscEtTOGFUQVkwcnk4dlA1bE5CcnprNUtTWGtZRGdheHQyN2IvYnRldTNYS0ZRaEVBd0dRd0dDN3JkRG9qQUZjL1A3OFpVcW5VdzgvUDcwMEFTZ0Npd1dDNFhGRlIwZUJyeUtoMVdMSmtDWjU5OWxtWXplYXJhdWU3Nzc3RG5EbHpybEd2aUlqb1d1RkkzWFhnN3U3K2FFbEp5ZTgxaWcwWExsd1lHUkFROEc2SERoMTJsSmVYLzYxVUtqdW5wcVpPemMzTmpiTFhqcGVYMTcvTVpyTzJzTEJ3VDdWaW1aZVgxd1IvZi84RmNybmNQeTh2NzJ0UFQ4L1J0OTEyMjkvWjJka2ZabWRuZndJZ3YwWlR2Z0RnNCtNejdkS2xTODhVRmhaK0J3RHg4Zkh0M2R6Y0hnNEtDbG9tQ0lJMExTM3ROWDkvLzdsZVhsNy95Y3pNbkJVZkh4OTZqWDRrZEJNSUN3dkR0OTkraXgwN2RqUzQrYTlXcTBWT1RvN2RjM0s1SEh2MjdNSDk5OStQcmwyNzJxM1RybDA3amdnU0VkMWdESFhYbUt1cjYzMXF0ZnIyek16TVJkV0tCYlZhM2R2ZDNYMlloNGZIb3dCRVFSQVVnaUFvdkx5OG5wRklKQzVsWldYN3lzcks0Z0ZZM2czcjI3WnQyNWZ6OHZMV0F5aFRxVlFoN3U3dVQzbDdleit2VkNwRHRWcnQ4YVNrcE5GYXJmWkVWbFpXWkdCZzROTEF3TURGQVFFQmtTVWxKZnRLU2twK0xpNHVQcUxUNlk2MWFkTm1nQ2lLRlpjdVhmcS93c0xDSDl6YzNJYTV1cm9POVBEd0dLbFVLanZrNWVWdHZIejU4alFBK2JtNXVWLzcrL3ZQRGdrSitjcmIyM3RxV2xyYVZLMVdHM2VqZjQ1MDdRMGJOZ3pidDI5SFFVRkJnM1VQSERqUTRHaGNmZWQvL1BGSDYyYktSRVIwWXpEVVhXTUJBUUdMREFiRHBhS2lvdCtEZ29LV3FGU3EyNTJkbmZ0S3BWSVB2VjUvdnFDZ1lITitmdjduNWVYbHlTNHVMdjNidEduenJMKy8venlwVlBxaEtJcDZ2VjUvOGZMbHk5TmNYVjBqQkVFUTh2THlGZ1VGQlMzeDhmRjVFd0JLUzB1UHBxV2x2VkZVVkJTTnluM25vTmZyTHlZbEpZMVNxOVhoM3Q3ZTA5cTBhZk80bTV2YncxS3BkSUZPcHp1V241Ky9wYnk4L0x4V3E0MEZBRTlQejNGdWJtNFBGUllXUmhjVUZLeXBzV1dKTmpNemMyNStmdjdYN2RxMVc2MVNxYm93MUxVZUVSRVJEZFk1ZGVvVTFxeFpZL2VjaTRzTGZ2LzluMEhtbUpnWW0vTy8vdm9yUER3OGNNY2RkOWk5L3VUSmszanV1ZWVhMEdNaUlycFdHT3F1c2JTMHRFVVNpVVFGNElwVUtnMHdtVXk1R1JrWmJ4Y1hGLytxMStzVHE5Y3RMUzM5bzdTMDlJK1VsQlNwazVOVGhJdUx5MTFLcGJKaldWblpIMlZsWmIrWGxwYitxZFZxTTdSYTdZY21rOGxRWEZ6OGJWbFoyVjkxM1Z1cjFjYWxwS1JNU2tsSmVkbkR3K09od3NMQzNkWE94VnErdjN6NThuT29IQkdzYzdkOHZWNmZlT0hDaGNHb2VrY3N0UTdSMGRFMngyZlBuc1hiYjcrTitmUG5XOThqV3gvTEpzTHQyclhEcEVtVFlERDg4MGpsNGNPSE1YdjJiTHp4eGh0MXR1WHA2WWxKa3liQnljbnBLajRGRVJFMUIvL0NKa0xsYThLQTJpTlRyZDJmZi82SnlaTW40NHN2dm1oVXFMTm96SWhmZmNhTUdkUHFGMU5ZZmdZMU53d25JcnBaY2FTT3lJRnB0Vm9BYVBMSTJlN2Qxa0ZlNU9UazRMWFhYc1B3NGNNeGJ0dzRtM3FGaFlXWU5tMGFCZzRjaUVtVEpsbkxuWjJkbTk5cElpSnFGb1k2SWdkV1ZsWUdBQmcvZm55OTlSNTk5Rkc4ODg0NzF1T0FnQURyOXp0MjdJQlVLc1dCQXdkUVVsS0M4UEJ3YURRYXBLV2xZZkhpeGJqdHR0dnc1cHR2UWliakh5ZEVSQzJKZndvVE9iQXJWNjVBSXBGZzgrYk5kVzR4TW1IQ0JMaTR1TlRaeHNzdnY0eVhYMzRaWjg2Y3dhWk5tN0Jnd1FMclhuZHVibTY0NTU1N2tKNmVqcENRa092eUdZaUlxSEVZNm9nYzJLVkxsK0RqNDRPT0hUdmFQUytLSXZSNmZhMVFsNU9UZ3g5KytBRlpXVmxJVFUzRjVjdVhrWldWQmJWYWpmdnZ2eDlEaGd5Qm41OGY5dS9majQwYk4yTHg0c1ZvMjdZdDdyenpUa3lmUGgxdDJyUzVFUitQaUlpcVlhZ2pjbENpS09MRWlSUG8xYXRYblhXMFdpM01aak5jWFYxdHl0M2MzQkFkSFkyMmJkdWlRNGNPdVAvKys5R3paMDkwNjlZTnFhbXBHRE5tREdKaVl0Q3JWeTlNblRvVkZ5OWV4TjY5ZTNINjlHbDRlSGhjNzQ5R1JFUjJNTlFST2FpWW1CaGtaMmRqOHVUSmRkWXBMaTRHQUpzZ0pvb2lzckt5OE4vLy9yZFcvZFRVVktTbnB3TUFrcE9UcmVWU3FSUVBQL3d3SG43NFlhU2twTURKeVltYkR4TVIzV0FNZFVRTzZ0TlBQNFdibXhzR0RScFVaNTNDd2tJQXRxR3VvcUtpd2RlSUFhaTNUcDgrZmVyYzRKaUlpSzRQaGpvaUI3Uno1MDZjT0hFQ0w3LzhNdFJxZFozMTh2THlBRlJ1R215aFVDaHE3ZGRuTnB0eDhPQkJyRnUzRG5xOUhoY3UvSC8yN2pzNnFtcHY0L2d6Q1FrbEFVSUoxVkNrcUlBb2lZQzBTd1EwaWlCb2xDWW9TaE1FZkJHVm9pQ0tWQUVSQkpUZWU1RGV3VWlWa2tRc2lCSWs5TjVDQ0tUTmVmL2daaTdEVEpLaFRqaDhQMnV4Ym1hZmZjNzVqU3Q2SC9ZK2U1OW9sU2hSUWdFQkFlclVxWlBLbGkxN2I3NElBTUJsaERyQVpLS2lvalJreUJDVktWTkdyVnExU3Jmdm5qMTdKRW1GQ3hkMk9HWVlodmJ1M2F1ZmZ2cEpLMWV1Vk83Y3VkVytmWHVWTEZsU29hR2htak5uanFaUG42NjJiZHVxZE9uU2V1bWxsMVN6WmsybjF3SUEzSHVFT3NCRU5tL2VySjQ5ZThyWDExZkRodytYbDVlWDdkaWNPWE4wOHVSSjVjK2ZYejQrUGpwMTZwUm16cHlwaWhVcjJxMVdQWDM2dElZUEg2NklpQWpGeHNhcVZxMWE2dE9uajZwVnF5YnBmOC9TZVh0N3EyM2J0bXJXckptV0xGbWlCUXNXYVBEZ3dTcGN1TEJxMTY2dGp6LysrTDUrZHdCNDJCSHFBSk00ZXZTb1B2cm9JK1hQbjE5ang0NVYwYUpGN1k3SHhzWnE3dHk1U2s1T2xpUlpMQlk5K2VTVDZ0Ky92MTIvQWdVS3FHYk5tcXBjdWJMcTFhdVg0V3BXWDE5ZnZmbm1tM3J6elRkMTRNQUJoWWVIcTNyMTZuZjN5d0VBTXNRN0RRR1o1OTJ2VzdkdVZZVUtGWlE3ZCs0MCt5UWxKU2t4TVZGZVhsN3k5dmErNVhza0pTWHAyTEZqS2xHaXhCMVVtdm54N2xjQUR4cEc2Z0FUcVZHalJvWjl2THk4N0tabGI1V1hsNWZwQXgwQVBJZzgzRjBBQUFBQTdoeWhEZ0FBd0FTWWZnVnVrUG9jRlFBQUR4cEc2Z0JKaG1HRXU3c0daRDc4WGdBQWdBZFNZR0Nna2JvU0dBRHdZR0drRGdBQXdBUUlkUUFBQUNaQXFBTUFBREFCUWgwQUFJQUpFT29BQUFCTWdGQUhBQUJnQW9RNkFBQUFFeURVQVFBQW1BQ2hEZ0FBd0FRSWRRQUFBQ1pBcUFNQUFEQUJRaDBBQUlBSkVPb0FBQUJNZ0ZBSEFBQmdBb1E2QUFBQUV5RFVBUUFBbUFDaERnQUF3QVFJZFFBQUFDWkFxQU1BQURBQlFoMEFBSUFKRU9vQUFBQk1nRkFIQUFCZ0FvUTZBQUFBRXlEVUFRQUFtQUNoRGdBQXdBUXM3aTRBZ0h0VXFsU3B1TVZpaVhHbHIyRVlKYUtpb2c3ZDQ1SUFBSGVBa1RyZ0lSVVZGWFhJTUl5ZEdmVXpER01uZ1E0QU1qOUNIZkFRczFnc1lTNzBXWGcvYWdFQTNCbENIZkFRY3lYVWVYcDZadGdIQU9CK2hEcmdJUllSRVhGQTBwNjBqbHNzbGw5MzdkcjE3MzBzQ1FCd213aDF3RU11dmRFNnE5WEtLQjBBUENBSWRjQkRMcjNnNXNyMExBQWdjeURVQVErNXFLaW92WkwyT1RuMFYyUms1Ri8zdXg0QXdPMGgxQUdRSkljUk9VYnBBT0RCUXFnRElBOFBENGNBbDVLU1FxZ0RnQWNJYjVRQUlFbVdvS0NnQTRaaGxQenY1MzhqSXlOTFN6TGNXUlFBd0hXTTFBR1FKTU13akJ0SDVzSkVvQU9BQndxaERrQXFXNmpqZVRvQUFJQUhsMGRnWU9EUm9LQ2dJK0l2ZkFEd3dNbmk3Z0lBWkJwV2k4V3l5R3ExR3BLczdpNEdBSEJyQ0hVQWJLeFc2MEtMeGNLemRBRHdBQ0xVQWJBcFhicjBWa21Lakl4MGR5a0FBQUFBQUFBQUFBQUFBQUFBQUFBQWNGdDRUUmpnUktWS2xYWllMSllxN3E0RG1ZdGhHT0ZSVVZIUHVic09BSENHRFVZQkp3aDBjTVppc1FTN3V3WUFTQXRibWdEcGlJaUljSGNKeUNTQ2dvTGNYUUlBcEl1Uk9nQUFBQk1nMUFFQUFKZ0FvUTRBQU1BRUNIVUFBQUFtUUtnREFBQXdBVUlkQUFDQUNSRHFBQUFBVElCUUJ3QUFZQUtFT2dBQUFCTWcxQUVBQUpnQW9RNEFBTUFFQ0hVQUFBQW1RS2dEQUFBd0FVSWRBQUNBQ1JEcUFHUmFLU2twN2k0QkFCNFloRHJBSk02ZlA2LzkrL2ZMTUF3ZFAzNDgzVC9KeWNsMjUyN2Z2bDNObXpkUDkvcDE2dFRSOHVYTGI2dTJsU3RYS2lnb1NQSHg4WktrU1pNbWFlL2V2ZW1lRXhFUm9lZWZmMTVidDI2OXJYc0N3TU1taTdzTEFCNDJpeGN2ZGdoVnJucjk5ZGNsU1NkT25OQ0tGU3QwOHVSSm5UaHhRdEhSMFRwNzlxeUtGU3VtV2JObXFXSERodWxlSnl3c1RDVktsTEI5am8yTjFULy8vSlB1T1pjdVhkSzFhOWR1cSs0YlhiMTZWWHYyN05FUFAveWc5dTNiNjkxMzM1V0hoK1BmTDh1Vkt5ZFBUMDhOR0RCQWl4Y3ZscmUzdCszWW1qVnIxTHQzYjRkelBEdzh0R3ZYcmp1dUVRQWVSSVE2NEQ0Yk1tU0lFaE1UYit2YzFGRG42ZW1waUlnSUZTdFdUTC84OG92NjlldW5aNTU1Um9VS0ZkTFZxMWNsU2NPR0RWT05HalVjcmxHdFdyVU03Mk8xV21VWWhrTzdZUmdPVTZLZW5wNjM5QjJ5WjgrdWI3LzlWbE9uVHRYWXNXUGw1K2RuKzE1eGNYRTZlL2FzclcrZE9uVjA4ZUpGSFQ5KzNPbTF3c0xDYkQrUEhUdFc0ZUhodDFRTEFKZ0pvUTY0ejdadjM1N21zYUNnSUxWczJWTGR1blZMOXhvRkNoVFF1SEhqSkVrTEZ5N1VrMDgrcWNLRkM5djF5WklsaTkzb2xqTW5UNTdVdFd2WGRPYk1HVWxTVEV5TUpPbnp6ei9YSDMvODRkQi84T0RCR2p4NHNGMWJSRVJFdXZkd3htS3g2SjEzM2xIVnFsWDF4Qk5QMk5wLyt1a245ZXZYejZILyt2WHI3VDRQSERoUWtteWpqZkh4OGRxK2ZidXFWNjkreTdVQWdGa1E2b0NIV04rK2ZlMUNXV2hvcUtUcno4RGRQSnJZdUhGamRlellVU0VoSVU2dkZSUVVsT0g5YXRXcWxlYXhLbFdxYU55NGNjcWJONitPSGoycXBrMmIyaDBmTVdLRXlwY3ZyNUNRRUsxWnM4YnUyTktsU3hVZkg2OTI3ZHBsV0FNQW1CV2hEbmdBelpneFF5TkhqclI5VGcxamtyUjU4MlpKMHYvOTMvOWxlSjN4NDhkTCt0OHphaG1OdXZuNStTa2dJTURwc1J1blFtKzBlL2R1RFJvMFNKS1VOMjllZmYvOTkwNm5iTE5uenk1SnlwWXRtNFlOR3lZL1B6OWJnTnkwYVpObXpacWxNV1BHT0p4bnRWbzFlL1pzQlFjSHEzejU4dW5XRHdCbVJxZ0RIa0NOR2pWU3JWcTF0R25USm4zNzdiY2FOV3FVaWhZdEt1bjZZb0hDaFF2cnZmZmVVNFVLRlJ6TzdkeTVzN0prU2Y5Zi9kallXTnV6ZVRlS2k0dlRxVk9uYko4TEZpeG8rL25HaFJlcFVsSlM5TWtubjZoOCtmTDY4ODgvNWUvdnIxOS8vZFV1aE40c0tDaElUWm8wVVVSRWhFSkNRblQrL0huMTc5OWZUWnMyMWJQUFB1dlFmOTI2ZFRwMTZwUkdqeDZkN25jQ0FMTWoxQUVQb0Z5NWNpbFhybHlhTTJlT0pLbG8wYUsyVUhYdTNEbE5tell0elhOVGp5VWxKY25MeTh2dVdFSkNnaUlpSXJSNDhXSnQyTERCNGR6Um8wZmJoYWVNUnZibXpKbWoyTmhZTlcvZVhILysrYWZhdEdtakFRTUdxRzdkdXZMejgzUG9mL01VN28yamYvUG16ZE84ZWZNa1NiMTY5YksxWDdod1FWYXJWWkdSa1NwZXZIaTY5UUNBbVJIcWdBZFk2cUtMbVRObktqZzRXRFZyMXRRTEw3emcwcm5qeDQ5WFVGQ1FMbDY4YU5zenJtN2R1c3FXTFp0V3JseXA1NTkvWHIxNjlWSllXSmo4L2YzdHp2M2lpeTkwK3ZUcGRLLy85OTkvYTh5WU1lclZxNWR0WkxCYXRXb3FXN2FzQmcwYXBDRkRoamljazlZVTdzMzI3ZHRuKzdsWnMyWXlERU1EQmd4UWdRSUZuSzc0QllDSEFhRU9lRUR0MjdkUDJiSmxreVFkUEhoUXExYXQwdmp4NHgyMjlWaTZkS2xHakJqaDBKNGpSdzUxNk5CQmtaR1JzbHF0a3FSUFB2bEV3Y0hCOHZiMlZ1M2F0ZVhyNjZ1Tkd6ZnFuWGZlc1oxMzd0dzViZHEwU1o5KyttbWF0VjI1Y2tVOWV2UlFoUW9WMUxCaFE2MWF0Y3AyckVlUEhtcmV2TGtXTGx4bzI4b2tsYk1wWEdmKy92dHZ1OC9ObXpmWGI3LzlwaUZEaG1qeDRzVk85NzBEQUxNajFBRVBxS1ZMbCtxNTU1N1RnUU1IMUxOblR3MGFORWpkdW5YVGtpVkxiSXNPSkNscjFxeVNwSnc1Y3pwYzQ5RkhIMVdEQmcxMDdkbzFEUjQ4V0srODhvcnRtTGUzdDBKRFF6VnIxaXcxYWRKRVBqNCtrcVFmZnZoQkJRc1cxRXN2dmVTMHJzVEVSSDM4OGNjNmYvNjh4b3daSTR2RlluZThaTW1TZXUrOTkvVDExMStyU0pFaUR0dVFaTFNLTnEwcDM1WXRXK3F0dDk3U3ZuMzdWSzVjdVhTdkFRQm1SS2dESGtCeGNYRmF1WEtsWnN5WW9Za1RKOHJMeTB2RGhnM1RMNy84b3BTVUZOdCtjOUwxMTRkSnNtdVRybytLOWVqUlE1SWN0Z2hKMWFwVksvMzQ0NDhhTVdLRSt2VHBvMjNidG1uUm9rVWFPWEtrMHhXc0tTa3A2dG16cDNidTNLbWhRNGZhRm0vYzdLMjMzbEprWktRKyt1Z2pEUnMyekNIWTNiandJOVd4WThmVXRXdlhOUCtaRkN0V1RKSjArdlJwUWgyQWh4S2hEbmdBelo4L1gwODk5WlRkOWlKNTgrWlYvZnIxdFhqeFl2WHYzOS9obkp0WG5McXlhYkNmbjU4KytlUVRmZnJwcC9MeDhkSGl4WXNWR2hxcW1qVnJPdlNOajQ5WDc5Njl0WG56Wm5YdTNGbDE2dFJKODdvZUhoNGFPSENnMnJadHEyN2R1cWxidDI1cTFxeVo3ZmlOQ3o5Y2RlVElFVnZOQVBBd0l0UUJENkFpUllxayticXZ4bzBicTNIanhyYlBDeGN1MUtCQmcyN3J6UStTOU9LTEwyclZxbFdhTld1V0FnSUM5UEhISHp2ME9YSGloUDd2Ly81UDBkSFJhdDI2dGQwemVHbng5ZlhWMkxGajFiRmpSMzM5OWRmYXVuV3JoZzhmZmt1MXpaZ3hRMy8rK2FkOGZIeTBmZnQyRlNoUWdMM3FBRHkwQ0hYQWZiUmp4dzZIZDZmZTdNU0pFOXEyYlZ1YXg2dFhyNjRYWDN6eGJwZVdaaTBqUjQ3VTFxMWJWYlZxVmUzY3VWTWZmUENCUHZua0U3dnRRODZlUGF1WW1CaDE3TmhSYmR1MmRmbjZlZlBtMWNTSkU5V3paMDhWSzFiTTlscXpZOGVPT2ZSMTFwWXZYejRkUEhoUXljbkpldUtKSjlTcFV5ZUhiVm9BNEdGQnFBUHVvKzdkdXp2ZDFQZEdHelpzY0xwSFhLcjBSdHh1ZnRQRWpad3RRUGorKysrVmtKQ2d6WnMzMjFiU1NsSjBkTFRtenAyckZTdFdxSERod2hvelpveXFWcTJxclZ1M3FuLy8vbnJqalRkVXQyNWR2ZnJxcTNybW1XZjA1Sk5QYXY3OCtiZTFUMXpPbkRrMWV2Um8yd3BjU2VrK08zZWordlhycTM3OStyZDhUd0F3STBJZGNCK3RXTEZDaG1IY3MrdW52bW5DVlhQbXpOSENoUXNsWFY4OUtsM2Y1SGZvMEtFcVZLaVFQdnp3UTczNjZxdTJmZVpxMUtpaHNMQXdUWmt5UmZQbXpkTmZmLzJsNmRPbksxZXVYSGUwOGErSGg0ZmROaVJoWVdFT3o5VEZ4TVNrK3lZS0FBQUFCNEdCZ1VaZ1lLRHhJRGg3OXF5UmtwSnlXK2RldVhMRk9IWHFsSEhseWhWYjI3VnIxNHlOR3pjYXljbko2WjU3NmRJbDQvang0eTdkNS9qeDQ4YnExYXN6dktaaEdNYmh3NGVOcEtRa2gvYWtwQ1RqMkxGamhtRVl4b1VMRjR5b3FDaVg3bjIzcFA1T3VQdDNFd0RTWXNtNEMvRHdTZjAvNzl0ZFhBRHpTWjIram95TTVMK2JBRElsdGwwSEFBQXdBVUlkQUFDQUNSRHFBQUFBVElCUUJ3QUFZQUtFT2dBQUFCTWcxQUVBQUpnQW9RNEFBTUFFQ0hVQUFBQW1RS2dEQUFBd0FVSWRBQUNBQ1JEcUFBQUFUSUJRQndBQVlBS0VPZ0FBQUJNZzFBRUFBSmhBRm5jWEFHUm1RVUZCN2k0QkFBQ1hNRklIT0dFWVJyaTdhMERtdys4RkFBQjRJQVVHQmhxQmdZR0d1K3NBQUdTTWtUb0FBQUFUSU5RQkFBQ1lBS0VPQUFEQUJBaDFBQUFBSmtDb0F3QUFNQUZDSFFBQWdBa1E2Z0FBQUV5QVVBY0FBR0FDaERvQUFBQVRJTlFCQUFDWUFLRU9BQURBQkFoMUFBQUFKa0NvQXdBQU1BRkNIUUFBZ0FrUTZnQUFBRXlBVUFjQUFHQUNoRG9BQUFBVElOUUJBQUNZQUtFT0FBREFCQ3p1TGdCQTVsQ3BVcVhpa21aWkxCWVBTVElNdzJxeFdHcjg5K2V0TjdaN2VIaTBpSWlJT096R2NnRUFOeUhVQVVobENRd01qSmIwYUFiOURrUkdScGFSWk55SG1nQUFMbUw2RlVBcVExS1lDLzNDUktBRGdFeUhVQWZBeG1LeFpCanFQRHc4WEFsK0FJRDdqT2xYQURmeUNBb0tPbVFZeGlOcEhEOFNHUmxaWEl6VUFVQ213MGdkZ0J0WnJWYnJvblNPTHhLQkRnQXlKVUlkZ0p1bE43M0sxQ3NBWkZLRU9nQjJTcGN1dlZYUzZadmJEY000VmFwVXFXMXVLQWtBNEFKUGR4Y0FJSFBadTNldlViaHc0ZEtTbnJteDNjUERZK2I2OWV1WHVha3NBRUFHR0trRDRNRFpDbGVyMWNyVUt3QmtZb1E2QUE0TXd3aVhkT0dHeitjOVBEeCtkbDlGQUlDTUVPb0FPSWlJaUVpU3RDVDFzOFZpV2ZMZk5nQkFKa1dvQTVBVzIzU3JLNXNTQXdEY2kxQUh3S25ZMk5oMXFUOWZ1blJwdlR0ckFRQmtqRkFId0tubzZPZ0V3ekJtUzVvVkhSMmQ0TzU2QUFEcDR6VmhnQk9WS2xYYVliRllxcmk3RG1RdWhtR0VSMFZGUGVmdU9nREFHVWJxQUNjSWRIREdZckVFdTdzR0FFaExGbmNYQUdSbUVSRVI3aTRCbVVSUVVKQzdTd0NBZERGU0J3QUFZQUtFT2dBQUFCTWcxQUVBQUpnQW9RNEFBTUFFQ0hVQUFBQW1RS2dEQUFBd0FVSWRBQUNBQ1JEcUFBQUFUSUJRQndBQVlBS0VPZ0FBQUJNZzFBRUFBSmdBb1E0QUFNQUVDSFVBQUFBbVFLZ0RBQUF3QVVJZEFBQ0FDUkRxQUFBQVRJQlFCMlJDTVRFeERuK3NWcXNrNlk4Ly9sRERoZzExL1BqeE83cEhVRkNRWW1KaVhPcTdhTkVpblQ5L1BzM2ovZnYzMTJlZmZXYXI4VmFscEtSaytBY0FrTDRzN2k0QWdLUFEwRkNIdHJWcjF5cFBuandhTm15WUNoY3VMRWwyd2M3THkwdisvdjRPNTZVWC9rNmZQaTF2YjIrbng0b1VLU0pKdW5UcGtpWlBucXl4WThmcWl5KytVSTBhTmV6Ni9mdnZ2MXE2ZEtuYXRHa2pEdy9uZjA4MERFT0hEaDFLc3c1bjMvZG15NVl0czlVRUFIQkVxQU15cWJDd01KVW9VVUkvL3ZpanhvOGZyeng1OG1qZXZIbjYvZmZmSlVrTkd6YTA2MSsyYkZuTm1UUEg0VG8zOTd0Ung0NGQwendXRVJFaFNjcWRPN2RtelpxbDNyMTc2NE1QUHRBSEgzeWdWcTFhMmZvTkd6Wk1aY3FVVWR1MmJXMXRVVkZSOHZiMlZ2bnk1U1ZKVjY5ZVRUTzRoWVdGU1pJV0wxNHNTVHA1OHFUZWUrODlMVnEwU0I0ZUhrcEtTdEliYjd5UlpwMEFBQUJwQ2d3TU5BSURBdzEzQ1F3TU5BNGVQR2dZaG1HMGFkUEcrTzY3NzR4OSsvWVp6ejc3ckxGczJUSzd2di84ODQ5UnRXcFZZOEtFQ1JsZXk1WDJnd2NQT3YzdUtTa3B4ckJodzR3Ly92akQxclpxMVNyajJXZWZOZjc1NXgrN3ZsMjdkalZlZWVVVjQrclZxeG5lOStiN0hUNTgyQWdNRERTU2s1TU53ekNNaElRRUl6QXcwRGgyN0pqVDczZS9wUDVPdVB0M0V3RFN3a2dka0lrZE9YSkVlL2JzVWVmT25kVzllM2RWckZoUmdZR0J0aWxWd3pEVXQyOWZQZnJvbzNycHBaZDAvUGh4RlNoUVFGbXkyUCtybmRZb21TdlRubGV1WEZHMmJObms2ZW1wN3QyNzI5cFBuVHFsSVVPRzZPT1BQMWFaTW1Yc3p1blhyNSthTkdtaVVhTkc2Wk5QUG5IcHU2WSszM2Z5NUVuYlowOVBUeVVsSmJsMFBnQTg3QWgxUUNhMmVQRmlWYTVjV2ZIeDhTcFVxSkQrK2VlZk5LZFRYM25sRlVuL203YTkwYmh4NC9USUk0L1l0VFZzMk5CcCs5R2pSKzJtWlh2MjdLbUxGeS9xeXkrL1ZNbVNKU1ZKY1hGeCt1aWpqMVNqUmcyOTl0cHJ0cjdKeWNtNmR1MmFrcE9UOWM0NzcyakVpQkVLQ1FuUlUwODlsZUYzdlRsZ05tblNKTU56QUFEL1E2Z0RNckZkdTNhcFVxVktxbDY5dXFwV3JTcFBUODkwK3djRkJkbDlUazVPMXZqeDQ1MHVvRWhMb1VLRk5INzhlQ1VuSnl0TGxpenEycldydW5mdnJwWXRXNnBIang2cVg3KytXclZxcGNPSEQrdmt5Wk42L3ZubmRlM2FOU1VrSkRoZHBUcDQ4R0RObWpVcnpVVVVxVktmNFR0eTVJZ2FOMjZzblR0M3l0UFRVNG1KaWFwV3Jackw5UVBBdzRwUUIyUmluVHQzVnRldVhkVzBhVk1WS1ZKRWpSbzEwdEdqUjEwKy85Q2hRMnJmdm4yYXg5TmJLREYvL255VktsVktaY3FVMGZUcDAvWGhoeDhxTWpKU3I3enlpdXJWcTZkVHAwNHBJQ0JBZWZMa1VhNWN1WlFyVnk3NSt2b3FSNDRjOHZIeFVZNGNPWFRvMENHOS9mYmJtamR2bm1iTm1xVVRKMDVJK3QrbzNDT1BQS0p2di8zVzVlOERBRWdib1E3SXhLcFVxYUx5NWN0cjd0eTUrdkRERHpWanhveDA5NEtyVzdldVE1dUhoNGQyN2RybDBCNFVGT1IwcWxhU0tsZXViUGZaejg5UDMzLy92VzBrN3YzMzMzZXAvZ29WS3VqZGQ5OVY5ZXJWVmF0V0xTVW5KeXMwTkZTalJvMVMwYUpGNWVYbFpYdG03dVpSeGlwVnFyaDBEd0RBZFlRNklKT3JWYXVXVnE1Y0thdlZxbXpac3QzV05kTGFxeTY5ZmVwdWxpVkxGcnUrcm01YzdDd0FGaTFhMUJZbVU2K1R1clhKeVpNbjlmNzc3MnYrL1BtMmhSTE5talZ6NlY0QThEQWoxQUdaWElFQ0JYVG16Qm45OHNzdjZ0S2x5eTJmYjdWYTAxeGNrZDcwNjgyR0RoMnFpeGN2YXZEZ3daSmNXemtyL2U5WnViU1VLRkhDOXZ5Y0pOdi9saWhSd3ZiempjY0JBTTRSNm9CTWF0KytmYnB5NVlvMmJ0eW9mUG55cVhMbHlscTdkcTN0K0l3Wk0xUy9mbjNseTVmUDFqWnMyREQ1K1BqWVB2djcrK3ZUVHorMVc2RXFTWHYyN05HeVpjdlVxVk1uNWMyYjErSGVpeFl0Y2xoY3NXWExGajMyMkdOMmJXbE4zMHJYUitCY0NYNDNqL2pkdktWSnFrS0ZDdDMyU0NVQVBBd0lkVUFtdFdIREJtM2N1RkcrdnI3cTFhdVhsaTFicGpwMTZxaFJvMGFhTzNldWZ2MzFWLzMyMjIrYU1HR0NQRDA5ZGVEQUFlWElrVVA1OCtlM1hlUGF0V3ZLbHkrZnJGYXJ6cHc1bzRFREIrcmJiNy9WZ0FFRGxKU1VwT1BIanp1RXVzdVhMK3ZFaVJOMjRUQTZPbG9uVHB4UXAwNmQ3dXAzakkrUFR6UDQzYnlseWRpeFkxVzFhdFc3ZW44QU1KUDA5eGdBNERZZE9uVFFoZzBiOU5OUFAwbVNSbzhlTFl2Rm9yaTRPSGw0ZUdqSWtDRTZkT2lRZnZ2dE4yM2F0RWxIamh6UmxpMWJOR25TSk5zMWxpNWRxcUZEaDhwaXNlanExYXZhc21XTEpHblVxRkhLbVRPbjJyVnJwMlBIamttNnZ2Vkl0MjdkRkI4ZnI0VUxGMnJreUpHMjY0U0hoeXRMbGl6NnozLytjMWUrMjVRcFU5U2lSUXVGaG9ZcUlpTEM3ay9xNjhKMjd0eHAxMDZnQTREME1WSUhaRkpac21TUm41K2ZKR25ldkhrS0NRbXhXNmhRc0dCQkxWbXlSTDYrdnVyWHI1OFNFeFBWcTFjdmZmTEpKNnBWcTViS2xDbWpwVXVYNnVXWFg1YkZZcEhGWXJHZFc2aFFJVTJjT0ZHN2QrOVcwYUpGSlVsLy8vMjM0dUxpVkxCZ1FYM3l5U2Y2N0xQUDlNd3p6NmgyN2RwYXUzYXRubm5tR2ZuNit0clZlT1hLRlYyK2ZObHAvVmV1WExIOWZPN2NPVTJlUEZuaDRlR1NwT1hMbCt1Sko1NXcrYms4QUVER0NIVkFWamxZR0FBQUlBQkpSRUZVSnJkNzkyN3QzYnRYWDMzMWxiSm16U3B2YjIrRmg0ZmJScTcyN2R1bjdkdTM2NTEzM2xGd2NMQysrdW9ybFM1ZFdrdVhMdFhKa3lkdHdjblB6MDhXaTBWTGx5NVZ4WW9WSlVsRmloUlJURXlNOXUzYnB6LysrTU8yeXZTbGwxN1NtalZydEgvL2ZoVXFWRWdIRGh4dytvYUh0OTU2eTZYdjRPM3RyYkN3TUpVdlgxNnRXclhTYzg4OXA0SUZDeW9tSnNibForb2txWGp4NG5iaEZBRHdQNFE2SUpONzVwbG5OSHYyYk51SVd0dTJiVFY2OUdnTkd6Wk1rdVRsNWFWS2xTclpWcmkrOE1JTGtxNXZHOUs1YzJjVkxGaFFrcFE3ZDI1MTZOQkJYMy85dGVMajQrM3VrVFZyVmxXclZrMXQyN2ExdFkwWU1VSWVIaDVhc0dDQlBEdzhWS3RXTFlmYUprMmFwSUNBQUtkMUh6bHlSRzNhdEpFazVjeVpVMnZYcmxXdVhMbnMrcVEzVXVjc1JHN2V2Rms1Y3VSSTh4d0FBQUE3Z1lHQlJtQmdvT0V1SzFhc01PTGk0dHgyLzVzZFBYclVvVzNNbURIR2hRc1gwanpud29VTHhwZ3hZKzVsV2ZkVjZ1K0V1MzgzQVNBdHpHTUFUcVQrbjNkR2U2emg0Wkg2eG92SXlFait1d2tnVTJMMUt3QUFnQWtRNmdBQUFFeUFVQWNBQUdBQ2hEb0FBQUFUSU5RQkFBQ1lBS0VPQUFEQUJBaDFBQUFBSmtDb0F3QUFNQUZDSFFBQWdBa1E2Z0FBQUV5QVVBY0FBR0FDaERvQUFBQVRJTlFCQUFDWVFCWjNGd0JrWmtGQlFlNHVBUUFBbHpCU0J6aGhHRWE0dTJ0QTVzUHZCUUFBZUNBRkJnWWFnWUdCaHJ2ckFBQmtqSkU2QUFBQUV5RFVBUUFBbUFDaERnQUF3QVFJZFFBQUFDWkFxQU1BQURBQlFoMEFBSUFKRU9vQUFBQk1nRkFIQUFCZ0FvUTZBQUFBRXlEVUFRQUFtQUNoRGdBQXdBUUlkUUFBQUNaQXFBTUFBREFCUWgwQUFJQUpFT29BQUFCTWdGQUhBQUJnQW9RNkFBQUFFeURVQVFBQW1BQ2hEZ0FBd0FRSWRRQUFBQ1pBcUFNQUFEQUJpN3NMQUpBNUJBVUZGVE1NWThSTnphSC8vZCt3R3hzOVBUMjc3ZHExNjhqOXFRd0E0QXBDSFlCVUhvR0JnWWNsRlUydms4VmlPUm9SRVZGY2t2WCtsQVVBY0FYVHJ3QlNXUzBXeTZJTU8xbXRpMFNnQTRCTWgxQUh3TVpxdFlabDNFdXU5QUVBM0dlRU9nQTJwVXVYM2lMcGREcGRUcGN1WFhyci9hb0hBT0E2VDNjWEFDRHoyTHQzcjFHNGNPRXlrb0xTNkRKenc0WU55KzVuVFFBQTF6QlNCOENPeFdKSmMzclZ3OE9EcVZjQXlLUUlkUUJ1OXBPa0MwN2FMeGlHRVg2ZmF3RUF1SWhRQjhCT1JFUkVrbUVZUzUwY1doSVJFWkYwM3dzQ0FMaUVVQWZBUVJwVHNFeTlBa0FtUnFnRDRDQlhybHpySk1YZDBIUTVOaloybmJ2cUFRQmtqRkFId0VGNGVQZzFTY3RUUDFzc2x1WFIwZEVKYml3SkFKQUJRaDBBcHd6RHNFMjN1cmdwTVFEQWpRaDFBSnhLU1VsWmRjUFBxOTFaQ3dBZ1k0UTZBRTc5OXR0dlZ5UXRraFQyMzU4QkFKbFlGbmNYQUNEek1neGpvU1REM1hVQUFESkdxQU9RSm05djd4VlpzbVFoMUFFQUFBQUFBQUFBQUFBQUFBQUFBQUFBQUFBQUFBQUFBQUFBQUFBQUFBQVBHSXU3Q3dBeXUwcVZLdTJ3V0N4VjNGMEhNZzJyWVJnRG9xS2krcnE3RUFDNEVlOStCVEpBb01OTlBDd1dTeDkzRndFQU4rTTFZWUNMSWlJaTNGMEMzQ3dpSWtMdDI3ZVhwSi9kWFFzQTNJeVJPZ0FBQUJNZzFBRUFBSmdBb1E0QUFNQUVDSFVBQUFBbVFLZ0RBQUF3QVVJZDRBYUppWW0zZkk3VmFyWDduSnljckhQbnp0MnRraVJKS1NrcGQvVjZBSUQ3aDFBSDNHTXhNVEVLQ2dxeWErdlpzNmY2OW5WOTcxcXIxYXFXTFZzcVBEemMxalo3OW15MWF0Vkt4NDRkdTZWNmdvS0NGQk1UNDlCKzZkSWxCUWNINjlDaFE3ZDB2UnZGeDhkci9QanhPbjM2dE12bldLMVdmZjMxMTlxeFk0ZlQ0eU5IanRURWlSTWRRdTN0U0VwSzB0R2pSN1ZuejU0N3ZoWUFaRGJzVXdmY1o5ZXVYZE12di95aU5tM2F1SHpPb2tXTGRPN2NPVldwOHI5OWtGOS8vWFhObkRsVE0yYk1VTStlUGRNOHQzYnQyb3FMaTdOckN3ME50ZnNjRVJHaGJkdTJxVUNCQWlwZXZMalQ2MWl0VmgwK2ZOanBzUklsU2tpU05tN2NxSWtUSjZweDQ4YXVmQzFKa29lSGgrTGk0dFN6WjAvTm16ZFBCUW9Vc0IzYnVYT25aczZjcWREUVVIbDRPUDg3Nkk0ZE8zVDE2bFZkdTNaTjE2NWRVMXhjbkM1ZnZxelkyRmpGeHNicXdvVUxPbmZ1bk02ZlA2OExGeTdJTUF4SjBxUkprL1QwMDArN1hDY0FaSGFFT3VBZTJMdDNyMHFYTGkxdmIyK0hZeHMzYmxSQ1FvS0NnNE5kdXRicDA2YzFldlJveGNYRnFWYXRXZzdIRnl4WW9BVUxGamkwUC9MSUkxcXlaSWxXckZoaEN6S1NGQndjck9uVHA2dFlzV0oyL1Zldlh1MTBWRkdTcGs2ZHFpSkZpamlFd1ZTcEd6T3ZYTGxTSVNFaGRzSHNab21KaVRwKy9MaGRXNU1tVGJSbHl4WnQzcnpaN3Y1VHBreFJtVEpsMUtSSkU0ZlJ4ZFFnMmFsVEo3djJyRm16S21mT25NcVZLNWR5NXN3cFB6OC9WYWhRUVg1K2ZzcVRKNC95NTgrdmZQbnlLU0FnSU0wYUFlQkJSS2dEN29GV3JWb3BMQ3pNRmp4dXRHVEpFaFVvVUVDZW5wNU9wMEVsS1YrK2ZNcVpNNmVzVnF2Njl1MnJ1TGc0elpzM1Qvbno1N2ZyVjdkdVhVMmRPdFZwUUVrZDJmTDE5VlhseXBYdGpyVnUzZHJ1OCtMRmk3VnQyeloxNjlaTmRlclVrWFE5eUsxYXRVcXpaczFTb1VLRjVPM3Q3ZkJXaldYTGxxbGZ2MzZTcEtOSGoycm56cDB5REVNclY2NTArcjNhdEdtanVuWHJxa1dMRms2UER4dzQwR2w3a3laTkhOcHVyT1g5OTk5WGt5Wk5sQ05IampSSDlBREE3QWgxd0gyMGYvOSs3ZDY5VzVMakZPaU5ldlhxcGRkZmYxM2ZmUE9OZHUzYUpVbktsaTJiY3VUSTRkQTNyZlliUndtdFZxc1dMMTZzZ0lBQUJRVUZhY0dDQlNwUm9vU09IRG1peG8wYmEvTGt5YXBaczZhaW9xTFVzbVZMU1ZKVVZKUWFOR2pnTUtLWGxubno1dW54eHgvWFYxOTlaZGZldkhsenRXN2RXaUVoSWZMejg1T2ZuOTlkZitXYWo0K1BmSDE5NytvMUFlQkJRNmdEN3FNWk0yWklrZ1lOR3FRWFhuakIxdjdUVHovcG80OCswdnIxNjVVblR4NUowc3laTXpWNzlteTk4ODQ3bWpKbGlobzFhdVQwbXMyYU5YUGF2bmJ0V3VYTGw4K2x1aTVkdXFTQkF3ZnFqVGZlVUhSMHRNNmVQYXV6WjgrcWJkdTJMcC8vNDQ4L3FtREJnbmFqazdHeHNVcE1URlRac21YdDJnM0RTSGRCUnRHaVJlWGw1ZVhRdm1IREJnMGVQRmpyMXEyemF4ODZkS2lHRGgzcVVxMDNHamh3b0VKQ1FtNzVQQURJakFoMXdIMFNFeE9qVmF0V1NaSk9uanhwZCt6czJiUHk4dkpTN3R5NWJXM1ZxbFdUbjUrZjZ0U3BveWxUcHRpbWJXOVVyVm8xelowNzErbmloaHRINnNxV0xhdG16WnJadGxKSlhYamc3ZTJ0c21YTGFzaVFJZkwwOUZTL2Z2M1VyMTgveGNmSDY4c3Z2M1E1RkU2ZVBGa1dpMFdIRHg5V1ltS2k3ZDZwQ3l1S0ZpMXExejhwS1NuZGtjclVxZXVZbUJpRmhvYmFSdllTRWhKMC92eDVoLzV0MjdiVlN5Kzk1Rkt0TjBydjJUOEFlTkFRNm9EN1pPN2N1U3BRb0lES2xDbWp2Ly8rMis1WVRFeU1BZ0lDN0o0SEsxV3FsRXFWS3FYNCtIaEp1cU9SdWpsejVtam56cDNhdEdtVDVzeVpvd0lGQ3FoZ3dZTHEwS0dEcWxXckp1bDYwTnEwYVpQKyt1c3ZXU3dXVFpvMFNkN2UzcXBTcFlvc0Zvc2tPVjFFSVVuUjBkSDY0SU1QTkhUb1VQMzExMTk2NnFtbkpGMmZidmIwOUhUNmJLRWtEUjgrM0dIQlNGcjNTSSsvdjMrYTl3Q0Fod1doRHJoUDJyUnBvMXExYXVuZ3dZT2FQbjI2RE1Pd2hhWGZmdnRONWN1WFQvZjhsU3RYcW1EQmduWnRRVUZCYVM3SVNMVi8vMzVObkRoUmhtRm93SUFCbWpObmp2cjI3YXZ3OEhCOThNRUhDZzRPVnYzNjlmWGRkOS9wNk5Hait2enp6NVV2WHo0TkhEaFFuVHAxVXBFaVJmVGRkOS9aUmdNN2QrNnM1NTU3VHRMMWFlUHZ2dnRPQXdZTVVLNWN1UlFXRnFhZE8zZmFRdDJ2di82YTVpcGc2ZnJLM3JRV2k3Z2lkYlBrTEZuNFR4a0E4RjlDNEQ3eDkvZVh2NysvaWhjdnJtKysrVVk3ZCs1VTFhcFZkZkxrU2UzYnQ4KzJRQ0V0OWV2WGQ5cWUxalJtN3R5NU5XM2FORFZ2M2x4dnYvMjIzbi8vZmR0SVlPSENoZFdyVnkrMWFORkM1OCtmMStUSmsrWHQ3YTJwVTZmcThjY2ZseVQ5K09PUFdySmtpZmJ1M1dzM3Zacy9mMzViaUt4Y3ViS2FOR2tpUHo4L1NWTFZxbFcxY2VOR3RXdlhUbGFyVmR1M2IwOTNXblRJa0NIcGZ1ZU1KQ1FrU0xxK1dFVFNMUVZFUnZZQW1BMmhEcmlIRWhNVHRXWExGcnUyUng1NVJJR0JnWm8xYTVhcVZxMnFIMy84VWRtelo5ZC8vdk1mcDlmSWtpV0xYbmpoQmIzMzNudDJLenpidFd1bi92MzdxMUNoUWs3UHMxZ3N5cHMzcjJiT25DbC9mMy9iYzN4aFlXSHk4dkxTOGVQSDVlWGxwWUlGQytxOTk5NlRuNStmTEJhTDNSNXlOV3JVMEJ0dnZKSG05NnRRb1lJcVZLaGcrMXkzYmwzTm1ERkRmLzc1cHk1ZXZLaHo1ODZwYnQyNmFaNS9wOU92c2JHeGttVDc1NUxlYzNvM3U5c3JjQUhBM1FoMXdGMlduSndzNmZyaWdTMWJ0dWp5NWNzT2ZkcTFhNmVPSFR0cTRjS0ZtajE3dHBvMGFhTHMyYlBiOVVsS1N0S1pNMmNrU1YyNmRKSDB2NUVwU1RwMDZKQ3VYTGxpMSthc2xzY2ZmMXp2dnZ2dWJiOGE2MWJDejVOUFBxbkhIbnRNNDhlUFYxeGNuTXFVS2FPS0ZTdW0yZjlPcDE5VGcycmV2SGx0YmFuYndhUmw0Y0tGR2pSbzBHM2ZFd0F5SzBJZGNKZWxqc3l0V2JOR3I3MzJtdXJXcmFzT0hUclk5YWxTcFlvYU5HaWdRWU1HeWQvZlgrKzg4NDdEZGY3OTk5ODBOK2xOMWJGangzU1B6NTgvWDZWS2xkTGt5Wk1sU2R1MmJWT2xTcFhzQXFRcnorV2w1ZlRwMDVvMGFaSzZkT2xpR3kxNy8vMzMxYlZyVjBuU3Q5OSttKzc1ZHpyOXVtL2ZQa25YUno4QjRHRkhxQVB1c2llZmZGSTFhOVpVdDI3ZGJOdHkzQ3d4TVZIWHJsMlRkSDFqNEgzNzl1bVpaNTZ4Ni9QWVk0ODVqSkpGUkVSb3dJQUJxbGl4b3BZdFc2WUdEUnBvOWVyVmV1NjU1OVNsU3hlSHJVTnUxcVZMRjZjQnp0bTBaZTdjdWJWeDQwYW4xemwxNnBTbVQ1K3VSWXNXS1VlT0hHclpzcVV0MUtYdVArZmg0V0ZidVp1V2pLWmZQVDA5N1ViaGJyWnAweWFWS1ZOR3VYTGxTdmMrQVBBd0lOUUJkMW0rZlBuU0hhSGF2MysvK3ZUcG95TkhqcWgvLy81YXZIaXhPblRvb0pDUUVMVnIxMDRsUzVaME9PZlhYMy9WNU1tVEZSMGRyUTgvL0ZEMTZ0WFRzbVhMOU00Nzc2aEZpeFlhUG55NFhuMzFWZFdyVjAraG9hR3FWS25TTGIwdWE5eTRjUTZqWFo2ZW5uYWZyMTY5S2ttYU5XdVd2dnJxSy9uNitxcERodzVxMnJTcHNtZlByb3NYTDJyUW9FRmF2MzY5R2pSb29LdFhyNnAzNzk3YXMyZVAzbi8vZmFkdnZjaElRRUNBM1ViRFZxdlY5dk9CQXdlMGMrZE9oOUhLaElRRXAxUGVOeDRIQURNaTFBSDN5Y1dMRnpWeDRrVE5uejlmSlVxVTBQVHAwMVdxVkNtOStPS0xtakZqaGlaTW1LQzFhOWVxU3BVcWV2UE5ONVUzYjE3OS9QUFBXcmR1blM1ZnZxem16WnRyNk5DaHRwV2VxVktmWWR1MWE1Zm16cDJyamgwN0tuZnUzS3BhdGFycTFxMnJ4eDU3eks3LzZkT24wOXhpNUVZcEtTbTJSUlArL3Y3Njg4OC9KVW5IamgzVHUrKytxMWF0V2lsSGpoeUtqNC9YMUtsVE5XWEtGQ1VtSnVyRER6L1VtMisrS2F2VnFoOSsrRUdUSjAvVzZ0V3IxYUpGQ3pWdTNOanBoc2FwYjU2NGRPbVNKUHN0U25iczJDR3IxU29QRHc4dFc3Yk1OaW8zWXNRSWVYdDc2OVZYWDdXNzFvZ1JJelJpeElnTXZ4OEFtQTJoRHJoUGxpMWJwaDkvL0ZIdDI3ZlgyMisvYlhzTmxvZUhoOTUrKzIyOS9QTExtakpsaWxhdVhLbGN1WExwd29VTCt1ZWZmOVNoUXdjRkJ3ZG5HTVFxVjY2c3lwVXI2OXk1Y3dvUEQ5ZldyVnVWUDM5K05XelkwSzZmcytmd01ubzJiOGFNR2FwWXNhSWFObXlvTGwyNjJJTFo0Y09IOWRaYmIrbnk1Y3VxVWFPR3VuZnZidHYreE1QRFF4MDdkbFR0MnJVMWRPaFFqUjA3Vm9VTEYzYTZOY3ZhdFd0dGl4ZEtsaXlwd29VTDI0N05uejlmNGVIaGtpUXZMeTk5OE1FSFNrNU8xcWxUcDlTOGVYT0g2ZG11WGJ1cVFZTUdhWDZYNWN1WGE5U29VZWwrWHdBQVlFS0JnWUZHWUdDZ2Nic1NFeE9ONk9ob3cycTFHdWZPbmN1d2YxSlMwbTNmeXgzQ3dzS01YMy85TmNOK2UvZnV0ZjJja3BKaXJGNjkyamgxNnBSaEdJWng5ZXBWNDlDaFE4Ymh3NGNkdnYrVksxZU1NMmZPR0dmT25ERVNFaEpzN2IvLy9ydHg1Y29WdTc1OSsvWTFkdTNhbFc0ZHUzYnRNdnIyN1p0aHZjN3MzcjNiK08vdlE3aTdmeThCNEdZV2R4Y0FaSGFCZ1lHR3hMNW11UDQ3MEw1OWUwbjZPVEl5TXRqTjVRQ0FIZGVmcEFZQUFFQ21SYWdEQUFBd0FVSWRBQUNBQ1JEcUFCTzRkdTJhTGw2ODZPNHlBQUJ1eEpZbXdEMXdKKzh6TFZxMHFHMjdrMVM3ZHUzU3JsMjcxS2xUSjZmblRKczJUZVBIajc5dml6bnU1TlZpTjdKYXJabzBhWkplZnZsbEZTbFN4R21mUFh2MjZJOC8vbERUcGszdDlxK1RwTzNidDZ0QWdRSXFWYXFVWGZ2SWtTUGw0K09qZHUzYTNWRjlBUEFnSWRRQjk0Q3oxMjY1eWxsWWlveU0xS1JKazlJTWRSbXBVNmVPYldOZlY5MUtRSXlKaVhIcE85OTh6ZlBuejJ2WnNtVmF1SENoeG93Wm85S2xTOXNkVDBwS1V2LysvWFhwMGlVOS8venpLbENnZ04zeFpjdVdhZVBHaldyZnZyMWF0MjR0RHc4UEpTY25hOFdLRlhydHRkZlNEZGVlbnA0S0NBaHcrVHNDUUdaSHFBUHVrWnZEMmNLRkM1VW5UeDdWclZzM3pYTnVmTy9wM1RSdDJqU2xwS1JJa3BZdVhhcHAwNlpwOXV6WnlwbzFxMFBmaVJNbjZyZmZmcnV0KzRTRmhUbHQzN0psaTc3NTVodUg5dno1ODJ2Q2hBbHEyN2F0MnJWcnAvSGp4NnRNbVRLMjR4TW1UTkNoUTRjMGJ0dzRoMEFuU1FNSER0VGN1WE0xY3VSSTVjeVpVMis4OFliV3JWdW44K2ZQYStMRWlabzRjV0thdGViTGwwOXIxNjY5alc4SkFKa1RvUTY0RDM3OTlWY05IVHBVclZxMTB0TlBQKzF3M05mWDEybkF1bHR1SEpGS2ZRZHJtVEpsSE40UG01U1VwTzNidCt2Tk45OTB1TWI1OCtjVkd4dHIrM3pzMkRHSFBtbE54Lzc5OTk4T2JUZU9vdlhvMFVNVEowNVVjbkt5cmYzWXNXT2FPbldxUWtORGxUOS9mbHQ3N3R5NWxTZFBIdHU1elpvMVUrWEtsVld5WkVrbEpDUm8zTGh4ZXUrOTkyeFRyeE1tVE5ETW1UTzFZY01HWmNtU1Jjbkp5WHIxMVZkVnFWSWxwN1VDd0lPS1VBZmNZekV4TWVyZXZidFNVbEkwZGVwVVRaMDYxYUZQbno1OTFMaHg0L3RTVDN4OHZDVHAzTGx6OHZmM3R6dTJjZU5HeGNiR09yeGFUTG9lanViUG4yLzczTFZyVjl2UGFZM1FwY2ZaZEczTGxpMGQyaFlzV0tBRkN4Ylk5ZW5Xclp0ZG41SWxTMnJDaEFueThmSFIxYXRYMWJ4NWMwbFNRa0tDbGk1ZEt1bjZPMitMRkNtaTlldlg2K1RKazJyYnR1MHQxd3dBbVJtaERyaUg5dTNicHk1ZHVpZ3hNVkhObWpYVHh4OS9iRHQyNGNJRmZmREJCMHBKU1VsM1N2WkdHVTNQM255OGVmUG0rdWlqait6YVVwK3RXN1Jva1RwMDZHQjNiTkdpUmFwWnM2WkQySk91ajZiMTZORkRmLzMxbDFxMmJHazN2Wnc2aXBiV00yeG56cHh4YUV2cm1iMkpFeWRxM0xoeDJyVnJsOE5Jb2pPeHNiSHExYXVYZHUvZXJiRmp4MnJxMUtueTlmVlZZbUtpK3ZUcG80c1hMNnBDaFFycTJMR2p2djMyVzczNDRvc3FVNmFNaWhVcmx1RzFBZUJCUXFnRDdwRXJWNjdvLy83di8vVDg4OCtyZmZ2MjZ0S2xpM3IyN0tuZXZYdnI5OTkvMTRBQkExUzJiRmtOR0RCQVBqNCtMbDN6VmtmRWN1WEs1ZEIyNGNJRlNkTDgrZlAxMWx0dktYdjI3TFpqRVJFUk1nekRGZzY5dmIyMWZmdDJ1L1BUZXc3dFRoYUkzSTQ5ZS9ibzAwOC9WV0ppb243NDRRZmIxUGIyN2RzMWN1UklIVDkrWEY5Ly9iV2VmdnBwZmZUUlIyclJvb1ZhdFdwbEc4a0RBRE1oMUFIM2lJK1BqK2JObTZlOGVmTktrcjcvL251MWJkdFdJU0VoU2t4TVZLTkdqZlRaWjUrNU5Cb2xTUjRlSG5lOGhZZ2tuVHg1VW9HQmdkcS9mNzltelpwbE53MjVjT0ZDU1ZKMGRMUjY5T2loeHg5LzNPN2N4TVJFMjNUbTlPblRWYTVjT2IzKyt1dTI0Mm1OdnExWnMwYTllL2QycVQ3RE1DUkpGa3Y2cjZaZXNXS0Z2dmppQ3ozKytPTWFQbnk0L1AzOU5YZnVYTTJmUDErSERoM1NmLzd6SHcwZlBseVBQUEtJSkduVXFGR2FQWHUyeG84ZnIyblRwcWxxMWFwNjk5MTM5ZFJUVDdsVUZ3Qmtkb1E2NEI0eERFT1hMMS9XcGsyYnRHdlhMbTNidGszKy92N3EyTEdqamg0OXFnMGJObWpEaGcwcVg3NjhTcGN1bmU0VWJFcEtpanc5UGU5S1RZY1BIMVpvYUtpQ2dvSTBkZXBVdmZ6eXl5cGN1TENrL3kxMG1ETm5qaVNwZGV2V2R1ZUhoWVdwWU1HQ3Vuanhvb29XTGFyaHc0ZnI5OTkvZDdxd0lqMXIxcXhKODlnLy8vd2ppOFdTN29oZzBhSkZGUlFVcE5kZWUwMWR1M2JWNmRPbmRlWEtGVmtzRmhVdFdsU2RPblZTNmRLbDdSWmVTRkxObWpYMTFGTlBLVEl5VWp0MjdGREpraVZ2cVc0QXlNd0lkY0E5c252M2JnMGRPbFRseTVkWHpabzFWYTVjT1ZXcFVrWEZpaFZUMXF4WjFiTm5ULzMyMjIvNjVaZGZGQmtacWZyMTY2ZDVyWVNFQkVucGh5RkpLbFdxbE1OZWJ6ZjY5OTkvZGZYcVZaVXBVMGIxNnRYVDh1WEw5Zm5ubit2Nzc3KzNqUmllUEhsU1M1Y3VWVkJRa0dyWHJtMDc5OUtsUzVvNGNhSTZkZXFrZ1FNSHFtN2R1cXBVcVpKR2poeXBFeWRPM01vL0dwZEc3ZExyMDZCQkEzM3h4UmZxMmJPblRwMDY1VER0dTIzYnRuU3Z2WGJ0V3IzOTl0dXVGUXNBRHdoQ0hYQ1BWSzVjV1QvLy9MTnk1TWhoV3lneGN1UklHWWFod29VTHEyVEprbXJZc0tIZWUrKzlESzkxNmRJbEpTVWxaUmlHMnJScGsyNm8yN3g1c3lUcDZhZWZWclpzMmRTblR4OTE3dHhaMzN6empicDM3eTdwK3Q1dkZvdEZQWHYydER0MzlPalI4dmIyVnNPR0RUVnc0RUJKVW1CZ29LWlBuMjRiRFhOMW43MjBwbWtURXhQMXdnc3Y2UExseTJyZnZyM0RRbzcwakI4LzNuWi93ekMwWWNNR1BmbmtreXBZc0tDdHo0NGRPMjU3QTJjQXlPd0lkY0E5bENOSERzWEd4c3JIeDBlTEZpMVNVbEtTamh3NW91am9hTzNmdjEvNTh1Vno2VHJIamgxVHhZb1ZOV1hLbERUN1pCU29ETVBROHVYTDlkaGpqOW1lTTZ0YXRhbzZkdXlvTVdQR0tFZU9ITXFSSTRlMmJ0MnFQbjM2Nk5GSEg3VTdQeUFnUUYyNmRKRzN0M2VhOTdqVnpZZHZ0bkRoUWwyK2ZGa3Z2dmlpcGsrZnJoZGZmRkhGaXhmUDhMeWJKU1ltcWtlUEhob3laSWhkcUFNQU15UFVBZmRZdTNidEZCTVRveUpGaWlnZ0lFREZpaFZUeVpJbFZhTkdEWWZnNUV4aVlxTCsrdXN2dmZ6eXkzZFV4L3IxNjNYdzRFSDE2dFhMcnYzZGQ5KzFUYTJtZm5hMlo5NGJiN3hoMjdnNExiZXkrZkRORGh3NG9ISGp4cWwyN2RycTI3ZXY5dTdkcTQ4KytraVRKazF5dW9vM1BSY3ZYcFRrZlBVdkFKZ1ZvUTY0eDc3Ly9uc2RQbnhZUjQ0YzBjR0RCM1h3NEVIOS9QUFBPbjc4dUNTcGZ2MzY2dCsvZjVybmI5eTRVVmV2WGxXMWF0VnV1NFlyVjY1bzVNaVJLbEtraUJvMWFtUjM3TXlaTTNhTENTSWlJclIvLzM2NzEzVkp5akRRM1lrREJ3Nm9VNmRPOHZIeFVlL2V2WlUxYTFZTkhEaFFiZHEwVWR1MmJmWHR0OS9hRm5PNFlzK2VQWktrczJmUDNyVkZKZ0NRMlJIcWdIc3NUNTQ4eXBNbmo4UFdHWmN2WDlaZmYvMGxQeisvTk05TlNFalE5OTkvcndJRkNxaG16WnEzWGNPZ1FZTjA4dVJKalI0OVdsNWVYcEt1YjlvN2UvWnN6Wnc1VXhhTFJiMTc5MVpBUUlDKytPSUxOVy9lWE04OTk1eGVmLzExVmE1YzJlVnRWeTVmdnV5MC9kcTFhMDdiclZhcmZ2enhSMzN6elRmS21UT254bzRkcS96NTgwdVNubmppQ1gzenpUZjY4TU1QMWF4Wk0zWHAwa1d2dmZhYVF5Mit2cjVxMzc2OUxmVEZ4TVRvdSsrK2s3Ky92Nzc0NGd0OS9mWFgrczkvL3FPNmRlc3FJQ0JBN2R1M3Q5dWJEd0RNZ2xBSDNDTjNZeVBlUVlNRzZjaVJJK3JidDYreVpMbTlmMTFuejU2dFZhdFdxV25UcHFwV3Jab2lJaUswY3VWS3JWNjlXa2xKU1dyUW9JRTZkZXBrQzFPTEZpM1NuRGx6Tkd2V0xHM2N1RkYrZm41Njl0bG45ZVdYWDJZNDRoVWNIT3hTVFZhclZaczJiZEtFQ1JPMGI5OCtQZnZzcytyZnY3OXRUNzlVVmF0VzFaUXBVOVN6WjA4TkdqUklNMmJNVU5PbVRSVVNFbUo3SHRISHgwZXZ2UEtLOXV6Wm8xR2pSbW5qeG8wcVhicTBSbzBhSlM4dkw2MWZ2MTRyVjY3VWh4OStLQjhmSDlXcFUwZS8vLzc3TFlWVkFIZ1FFT3FBZTJUVXFGRXFXclRvTFoxell4QzhldldxOXUzYnArRGdZSWNwMDF0UnBVb1ZCUWNIMjFhM1RwdzRVZnYyN1ZQanhvMzE1cHR2cWtpUkluYjlzMmJOcXRhdFc2dEZpeFphdDI2ZFZxeFlvVWNmZmRTbEtjeTA5cFlMRHcrM3JaZzllL2FzV3JkdXJSTW5UdWlSUng3UndJRURGUklTa3VZMXk1WXRxN2x6NTJyR2pCbWFObTJhaGc4ZnJnc1hMdGhHNzQ0Y09hTDQrSGg1ZUhpb1lzV0srdXl6ei9UeXl5L2I2ZzBORFZWb2FLaU9Ieit1NWN1WGEvbnk1VnE2ZEttZWVPSUp6Wmd4SThOTmpnRUFnRWtFQmdZYWdZR0J4cTNZdW5XckVSOGZmMHZuT0R2djlPblR4dFdyVjEwNmQ5MjZkVVowZEhTRy9TNWR1bVFrSkNUY2NtMDNPbno0c0pHVWxHVDduSmlZbU82OUwxKytiSGQ4d1lJRnh0cTFhNDNrNU9SYnVtOWNYSnl4WWNNRzIrY1pNMllZVTZaTU1iWnMyV0pjdW5USnBXdFlyVlpqNTg2ZHhvNGRPMjdwM29aaEdMdDM3emIrKy9zUTd1N2ZTd0M0R1g5RkJUSVFHQmhvU0dudnJZYUhSMFJFaE5xM2J5OUpQMGRHUmdhN3VSd0FzTU1ESlFBQUFDWkFxQU1BQURBQlFoMEFBSUFKRU9vQUFBQk1nRkFId0U1UVVKRGRHeWJTNjdkeTVjcDdYeEFBd0NXRU9nQktURXhVU2txS1hadGhHRXBJU0pCMGZiUGcyTmhZZDVRR0FIQVJvUTZBV3JSb29mWHIxOXUxUlVaR3FrNmRPanA3OXF6bXpwMnJOOTk4VTMvLy9iZWJLZ1FBWklSUUIwRFZxMWZYZ2dVTDdOcFdyVnFseHg1N1RQbno1MWRvYUtqS2x5K3ZObTNhYU92V3JXNnFFZ0NRSGtJZEFJV0VoQ2dxS2tvSER4NlVkUDBWWld2WHJyVzl0aXhyMXF3YU5HaVFHalpzcURWcjFyaXpWQUJBR25qM0t3Q1ZMMTllTldyVXNEMDNkL0RnUWZuNysrdjU1NSszOWJGWUxPclJvNGVTa3BMY1ZTWUFJQjJNMUFIUThlUEgxYk5uVC9uNyswdVM4dWZQcjlHalIrdnMyYk95V3ExYXNHQ0JvcU9qSlVsZVhsN3VMQlVBa0FaRzZnQ29ZY09HZHA4N2R1eG8rM25seXBYNi9mZmZOV0xFQ0hYdjNsMnZ2Lzc2L1M0UEFPQUNRaDBBYmQrK1haSzBZTUVDalJneFFuUG56bFh4NHNVbFNkN2UzdnJ5eXk5VnJsdzVEUmt5UkI0ZUhucnR0ZGZjV1M0QXdBbENIUUI1ZTN0TGtwWXZYeTVKbWo1OXVtclhycTE2OWVyWitqUnIxa3lQUGZhWXlwVXI1NVlhQVFEcEk5UUJrQ1J0MmJKRjhmSHhrcVNDQlF2cXM4OCtVNDRjT1ZTOWVuVVpocUh6NTg4clM1WXNDZzhQMTRrVEp5UkpVNmRPMWRTcFUzWGl4QW10V0xGQ3VYTGxjdWRYQUlDSEdxRU9nSktUa3pWeTVFZzFhOVpNdzRZTlU0TUdEZVR0N2EydnZ2cEtYYnAwMFpkZmZxbkV4RVJKVXE1Y3VWUzBhRkZKVXVIQ2hWV3RXalVWS1ZKRTJiTm5kK2RYQUlDSEhxRU9nQ1pNbUtBWGZhZXhBQUFnQUVsRVFWUzR1RGk5OXRwckdqWnNtQ1NwWGJ0MmF0eTRzUXpEMEtCQmcxU2tTQkVWTFZwVVBqNCtrcTYvK3pVa0pFVDE2OWQzWitrQWdQOGkxQUVQdVN0WHJtaktsQ2thT0hDZ3NtYk5hbXUzV0N3cVVLQ0FwT3ZUc1FDQXpJMTk2b0NIbkkrUGp6Ny8vSE83UlJFQWdBY1BvUTZBWG43NVpYZVhBQUM0UTRRNkFBQUFFK0NaT2dCMnBrNmRxaUpGaXJqVUx5QWc0RDVVQkFCd0JhRU9nSjBubjN6eXJ2WURBTndmVEw4Q0FBQ1lBS0VPQUFEQUJBaDFBQUFBSnNBemRZQ0wxcTlmNys0UzRHWVJFUkh1TGdFQTBrU29BMXpVbzBjUGQ1ZUFUTUl3RE1QZE5RREF6UWgxUU1hNlNBcDJkeEhJTkZJa1RYQjNFUUFBQUxjbE1ERFFDQXdNWklRS0FESXBGa29BQUFDWUFLRU9BQURBQkFoMUFBQUFKa0NvQXdBQU1BRkNIUUFBZ0FrUTZnQUFBRXlBVUFjQUFHQUNoRG9BQUFBVElOUUJBQUNZQUtFT0FBREFCQWgxQUFBQUprQ29Bd0FBTUFGQ0hRQUFnQWtRNmdBQUFFeUFVQWNBQUdBQ2hEb0FBQUFUSU5RQkFBQ1lBS0VPQUFEQUJBaDFBQUFBSm1CeGR3RUFNcDlLbFNvVnQxZ3NNYTcwTlF5alJGUlUxS0Y3WEJJQUlBT00xQUZ3RUJVVmRjZ3dqSjBaOVRNTVl5ZUJEZ0F5QjBJZEFLY3NGa3VZQzMwVzNvOWFBQUFaSTlRQmNNcVZVT2ZwNlpsaEh3REEvVUdvQStCVVJFVEVBVWw3MGpwdXNWaCszYlZyMTcvM3NTUUFRRG9JZFFEU2xONW9uZFZxWlpRT0FESVJRaDJBTktVWDNGeVpuZ1VBM0QrRU9nQnBpb3FLMml0cG41TkRmMFZHUnY1MXYrc0JBS1NOVUFjZ0l3NGpjb3pTQVVEbVE2Z0RrQzRQRHcrSEFKZVNra0tvQTRCTWhqZEtBTWlJSlNnbzZJQmhHQ1gvKy9uZnlNakkwcElNZHhZRkFMREhTQjJBakJpR1lkdzRNaGNtQWgwQVpEcUVPZ0N1c0lVNm5xY0RBQUI0Y0hrRUJnWWVEUW9LT2lMK01nZ0FtVklXZHhjQTRJRmd0VmdzaTZ4V3F5SEo2dTVpQUFDT0NIVUFYR0sxV2hkYUxCYWVwUU9BVElyVnIwQTZLbFdxdE1OaXNWUnhkeDNJZE9Ja05ZK01qRnp1N2tJQUlCWFB4Z0RwSU5BaERiNlMrcm03Q0FDNEVkT3ZnQXNpSWlMY1hRSXlpUjkrK0VIang0K1hKRWJwQUdRcWpOUUJBQUNZQUtFT0FBREFCQWgxQUFBQUprQ29Bd0FBTUFGQ0hRQUFnQWtRNmdBQUFFeUFVQWNBQUdBQ2hEb0FBQUFUSU5RQkFBQ1lBS0VPQUFEQUJIaE5HQURnZ1ZhcFVxVWR2S2NaTnpNTUl6d3FLdW81ZDlkeFB6RlNCd0I0b0JIbzRJekZZZ2wyZHczM0d5TjFBQUJUaUlpSWNIY0p5Q1NDZ29MY1hZSmJNRklIQUFCZ0FvUTZBQUFBRXlEVUFRQUFtQUNoRG5pQUpTVWx1ZTNlNTgrZjE1VXJWKzc0T2lrcEtYZWhHZ0FBb1E2NHgxSlNVbVFZaGwxYnRXclZOSEhpeER1NjdwSWxTOVNvVVNQRnhjVmwySGZac21VYU0yYk1IZDN2Wm4zNjlGR2pSbzEwNmRLbDI3NUdSRVNFbm4vK2VXM2R1dlV1VmlZbEppYnE0c1dMNmY1SlRFeThxL2NFQUhkajlTdHdqMDJkT2xVTEZpelFva1dMbENOSERrblhROGVkamxBRkJnYnEzTGx6bWo1OXVqcDE2cFJ1WDI5dmIwMlpNa1ZQUC8yMGF0U29ZV3QzWllWWThlTEZ0V2pSSXJ1MitmUG42NWRmZnRGYmI3MmwzTGx6NjlTcFU2cGZ2MzZHMTdwNWRXSzVjdVhrNmVtcEFRTUdhUEhpeGZMMjlyWWRXN05talhyMzd1MXdEUThQRCszYXRVdng4ZkU2ZmZxMDAvdjgvdnZ2NnRldlg3cTE5T3ZYVHcwYk5zeXdaZ0I0VUJEcWdIc29NVEZSOCtiTjArT1BQMjRMZExmQ2xkQTFhZElrVFpvMHlla3hYMTlmL2Z6enp3b0pDZEcyYmR2VXIxOC96WnMzVDNuejVwVWtoWVdGWlhoOUx5OHZ1ODhSRVJFYVBueTRLbGFzYUF1VCtmUG5kK2xha2hRWEY2ZXpaOC9hUHRlcFUwY1hMMTdVOGVQSG5mYS84YnBqeDQ1VmVIaTRKR25idG0zcTBhT0gwM05TQTkyR0RSdWNIcTlidDY1THRRTEFnNFJRQjl4RHMyYk4wcmx6NTFTNmRHbHQzcnpaN3RqaHc0Y2QybEtWSzFkTytmTGxjd2hLVzdac1VhbFNwVlM0Y0dHSGN5NWR1cVNEQncvcTZhZWZ0clY1ZVB6dkNZdVBQLzVZYjd6eGh0YXRXNmVtVFp0S2trcVVLSEZMMytmUFAvOVV0MjdkbEM5ZlBuMzk5ZGUyd09mcDZlbnl0WDc2NlNlbm8yanIxNiszK3p4dzRFQzdHdVBqNDdWOSszWlZyMTVka2xTdlhqM2J5RjlRVUpENjkrOXZHeTFjdG15WkpNblB6MCtTTkh2MmJEMzc3TE42OU5GSFhmK3lBUENBSWRRQjk4anAwNmMxZWZKa1NkSzBhZE0wYmRvMHUrT3JWNi9XNnRXcm5aNDdaTWdRMWF0WHp5NG9KU1FrYVBiczJjcWZQNzhtVDU2c0xGbXlPSnl6Y09GQ0xWcTBTQUVCQVE3WDlQWDExWVFKRS9USUk0L2MxdmRKSFJuejl2YldtREZqNU8zdHJZOC8vbGlkTzNkVzhlTEZYYjVPdzRZTmxUZHZYaDA5ZXRRV0xsT05HREZDNWN1WFYwaElpTmFzV1dOM2JPblNwWXFQajFlN2R1MXV1ZmJodzRlclg3OStoRG9BcGthb0ErNEJ3ekRVdDI5ZlhidDJUV1BIamxXNWN1WHNqZ2NIQjZ0MTY5WnEzYnExMC9Pelo4L3UwSlkxYTFiMTc5OWZIVHAwMExoeDQ5U2xTeGZic2YzNzl5c3NMRXh2dmZXVzAwQ1hLalhReGNURTNOTDNLVjY4dUtLam81VTllM2FOR1ROR0pVdVcxT0RCZzdWeDQwYlZyMS8vbGtLZEpHWExsazNEaGcyVG41K2ZRa0pDSkVtYk5tM1NyRm16bkM3b3NGcXRtajE3dG9LRGcxVytmUGxidWhjQVBDd0lkY0E5OFAvdDNYZFlGRmZiQnZCN2x5b0lVaFJSMUJoUlU2eUFpQTI3TVhiRlhnSWtzVVNqUm1PaWdnVU5HaVYyaVFYRWdyMFJFU3ZHZ3IwRjdMRjl2bUpCTkFwSWxiTE1mSCtRbmJEdUxxd0ZGL0grWFpkWGRzNmNtVGxMS00rZThweWxTNWZpL1BuekdEUm9FTnpjM0RUV01UWTJob1dGeFN2ZDE4WEZCVjVlWHFoZHU3WlVKZ2dDWnN5WWdWcTFhbWxjTU9IbjU0ZmR1M2RMeDZkUG4wYlBuajFmNmJuSGp4OUhqeDQ5MExwMWExU3FWQW1YTGwxQ1dGZ1l1blRwQW5kMzkxY0tFcXRXclFvWEZ4ZjA2ZE1IMGRIUmFOKytQUklURStIdjc0KytmZnVpVWFOR2F0ZjgrZWVmZVBMa0NRSURBMVhLSHp4NElMMU9URXpFZ3djUFZJYWM4NVBKWkRxM2tZam9mY1NnanVndHUzTGxDbGF0V2dVWEZ4ZU1IRG55amUrM1pjc1cvUGJiYnpyVmJkaFFkVi96enAwN1k5U29VZmo2NjY5eDVNZ1IvUDc3N3dEVVY2R09HREVDdDIvZnhzNmRPMkZtWmdaQkVEUUdSeFlXRmtoUFQ4Zmt5Wk5SclZvMVRKdzRFZi84ODg4ckI0bjU1WjgzdUdYTEZtelpzZ1VBNE9Qakk1VW5KU1ZCRUFURXhNU285QXAyNzk1ZGVyMWd3UUlzV0xBQXBVdVh4azgvL1NTVkszUDVHUmdZdkhZYmlZamVCd3pxaU42eU9uWHE0TWNmZjBUWHJsM1ZWbzYrQ1YxWGwrWlh1blJwbEMxYlZ2cW55ZUhEaDNIMjdGbE1tREFCWm1abXVIUG5EbjcrK1djc1c3WU01Y3VYVjZtYm01dUxDUk1tNE5HalJ4Z3paZ3hNVFUxUnNXSkZqUnVwWDdseUJkN2UzbGk2ZEtsS2I2V3V2WG8zYnR5UVh2ZnIxdytpS0dMbXpKbXdzN09UMHJLY08zY09RRjR3TzMzNmRIVG8wQUV5bVF4Nzl1eVJyazFOVFFXZ2VVaWJpS2drWVZCSFZBUUdEaHdJb09DVUpNSEJ3UWdPRGxZck56WTJ4dW5UcDZWalVSUWhrOGxlZWFXcUxsSlRVL0hiYjcvaDQ0OC9sbnJiSEJ3Y2tKT1RnN2x6NTJMT25EbFNYVUVROE1zdnYrRHMyYk52OUV4ZDM4Zk5temRWanZ2Mzc0L0xseThqSUNBQTRlSGhrTXZsS3Ixdkx4OHJ4Y2ZIQS9odkpTd1JVVW5Gb0k2b0NDblRjcnpNMTljWGJkcTAwWmd2N2VYQVJLRlFxSzEwZlZzQ0FnTHc5T2xUL1BMTEw5SnpUVTFOTVc3Y09Jd2JOdzRuVDU2VWVzWG16Sm1EUFh2MllOcTBhZkR6ODN1ajV4YVdmMDlUeng4QURCbzBDSjZlbnJoeDQ0YmE0aE50L3Y3N2J3REF2bjM3VUxWcVZRWjNWS3dwZDUvaEhGQjZIUXpxaUlxUWNtWG55M3g5ZmVIbzZLajFmSDRwS1Nrd056ZC8yMDNENXMyYnNXL2ZQblRvMEFGT1RrNUlURXhFYW1vcVVsTlRZV3hzakFvVkttRGV2SGxvMUtnUkRBd01VS05HRFV5ZlBoMmRPblY2NDZBT0FCWXZYZ3dIQndlVnNyaTRPSXdlUFZyck5WV3FWQUdRbHk2bW9LQ3VhdFdxNk5PbkQ0Qzh2SGpWcWxYRDl1M2IwYjkvZjFoWldTRWdJSUNyYUVualZJQXFWYXBBTHBmajZ0V3I4UEh4UVZCUUVDcFdyUGphejNCeGNVRllXSmhPUGRTaUtPTG5uMytHVENhRHY3OC9URTFOWC91NWIwTjJkallHRGh3SWYzOS9mUHJwcHdEeWtvY25KQ1JJYzF0UG5UcUZVYU5HNGRDaFE5SUhwZ2NQSGhTNENwK0tEb002b21JdUxpNU82M3k0MXhVVkZTVU5yUjQ0Y0FENzl1MVRPVzltWmdZTEN3czhldlFJMjdadFE3OSsvZURoNGZGVzIrRGc0UERLUThySzFhNmFldHR1M3J5Sm16ZHZJaW9xQ2t1WExzV0VDUk53K2ZKbG5EdDNEdVBHamNQY3VYT2x1bTNidHNYeDQ4ZVJrWkVCUjBmSE4zb2Y5UDdTdE1EbndJRURzTGEyeHR5NWM2VWszL2wzT3pFeU1rSzVjdVhVcnRPMkl3cVE5eUVrL3haNCtlVVBHR1V5R1RwMTZnUmZYMThNSFRvVWdZR0JlUHo0TVFZTUdLRFQrNG1PamtaMmRyYktqaTM1elpzM1Q5cVJwYkQ3QUhrQlczeDh2UFJoQ2dBV0xWcUU0OGVQSXpRMFZHM09MWkFYS0E4Y09CQyt2cjdvMUttVDFqMlc1ODZkcS9NOFlXMDk5NlNPUVIxUk1TYUtJaTVjdUFCblorYzN2dGVMRnkrazE4MmJOMGUzYnQxZ1pXV0ZxbFdyb256NThyQzF0WVcxdFRYS2xDa2pEZmN1WDc0Y2x5OWZScjkrL2Q3NCthOXIzYnAxdUhidEdzek56WEg2OUduWTJkbWhWcTFheU03T3hwa3paM0Q0OEdFQXdQcjE2MkZwYVluV3JWdkQzTndjejU4L3g1UXBVNlQ1Z3ZtRE9pQXZUY3IvL2QvL1llUEdqZnA0V3g4a0Z4ZVhLdEhSMFE4QWlQcHVpNUt5RjIzSGpoMElEZzZHdGJVMXRtelpnaXRYcmdDQTJ2N0FOV3ZXeEtaTm05VHVVOUErd3NPSEQ5ZDY3dVdBcFZXclZwZzNieDdHalJ1SGtKQVFqQm8xcXREZzU5aXhZMWkwYUJHQXZBODMydkpmN3R1M1Q4cHZtWjJkRFM4dkx3d1lNRUJyMjNmdTNBazNOemVWUFpaSGpScUZTNWN1NGNjZmY4VHExYXRWNnI5NDhRSVRKMDdFeHg5L2pMWnQyd0lBR2pkdXJQSGV1M2Z2VmdsVzkrM2JoNUNRRUt4Y3VaSlRKTjRBZ3pxaVl1ejQ4ZU40OHVRSldyUm84VWIzT1hMa0NCWXVYQWdBV0wxNk5ZWU5HNGFwVTZjV2VwMjN0N2ZXdkcrRlVYNUMxelkzS0M0dVRxY3lXMXRiM0wxN0Z3cUZBcDk5OWhsR2pCZ0JJeU1qbkRoeEFtUEhqb1dabVJrNmRlcUU5dTNidzgzTkRZYUdob2lMaThQWXNXT1JrcEtDa0pBUWpiMGtpWW1KR25zYXFPaUlvcmpXeGNXbGlpaUtZUURDWW1KaXpnRVE5TjB1QU5pelp3ODZkKzZNMjdkdlkvSGl4WmcrZlRvNmQrNHNuYjk5K3phKyt1cXJBdmNOMWpUTXFtMzROVFkyVnEybjBNUERBNk5HalVLclZxMndhdFVxMUt4WlUyVUx2dVRrWkhUcTFBbDc5dXhCbVRKbHBPdVU4MFlCb0hidDJ0SkNxOGFORzhQSHh3ZGR1M1lGQUpXZmc2TkhqeUk3T3h0ZHVuVFIyR04rLy81OW5EaHhBb0lncVBUdTdkMjdGd0VCQWZqcXE2OXcvUGh4bFZYbGdZR0JTRTlQeDVvMWEyQmlZZ0xndnkzN0RoMDZoSVVMRjBySDl2YjJLcjhibmo5L2puTGx5cWxzYzBpdmprRWQwVnQyOE9CQnJSdk41NmR0OWF2U24zLytpWUNBQUh6MDBVZG8zYnIxYTdjbklpSUMvdjcrYU55NE1UcDA2QUEvUHo5Y3VuUUpQWHIwUUpVcVZXQnFhZ3BEUTBNWUdSbkIwTkFRaG9hR3lNbkpRV1ptSmpJek0vSGl4UXRVcmx4WjVZK0lOa0ZCUVRBd01JQ2hvYUhVZzZidFUzZEJjK2Z5NjlpeG83U25hMzVObXpiRmdnVUwwS2hSSSttUGxTQUlDQThQeDRJRkMyQnFhb3FsUzVkS3c2dWxTNWRHVkZRVVdyWnNpYWRQbitxOUIvSURKUmRGOFdNQVB3SDR5ZG5aT1U0bWsvMGhDRUpZOWVyVlQyemJ0aTFYSDQxNjhPQUJMbDI2aEpFalIyTGN1SEdvVzdjdW5KMmRwU0ZWNVE0eDFhcFZRNGNPSGZEbzBTUFkyZG1wTFdEU2xxOVIxenlPOSs3ZFExcGFHZ0Rnczg4K1V6c3ZpaUpldkhnaExhYlFSQ2FUcVFSdmhvYUdHai9VSER4NEVJNk9qbHFuUUt4Y3VSS2RPM2ZXT244MlBEd2NaY3VXeGFsVHA2U3lvVU9Ib24vLy9yQzF0WlhLbE1QTHl0OER5bU5CRUhEdjNqMnAzdlhyMTFHbFNoVzFlWTRWS2xTUUFrUXFISU02b3Jlc1NaTW1yNVZUN21WWldWa1FSVkZsWmVyck1ETXpROE9HRFRGLy9ud1lHaHFpZXZYcVdMVnFGWDc3N1Rja0pTVVYrQWRDYWNlT0hUb0ZkYWRPbmNMVnExY0I1UDB4NmRxMUsycldyS214cnE2OUY5cklaREkwYjk1Y3BXejU4dVZZdVhJbG1qWnRDajgvUDVVL0xpTkhqc1NTSlVzUUdCZ0lJeU1qMUtsVGgwSGR1L2Z5TjV1REtJcWpaRExacUR0Mzd2emo3T3djTHBQSndnQWNpWTZPem5sWGpRb1BENGVycXlzeU1qSmdiMitQVzdkdWFSMlNWUFo2YWZyK1hiWnNtZHJleWwyNmRORlkvdkRod3dLSFpSTVNFdFRLa3BPVEFlVDFNdWZtNXNXL3I1Ti9NVDA5SFZGUlVWcjNVWDd4NGdXT0hEbUNlZlBtcVFSWkZTdFd4S05IanpUK2pMN2NnMW5ZNHBDVWxCU045M201Yk9YS2xleTlld1VNNm9qZU1qTXpzN2VXVXk0c0xPeU5rK2EyYWRNR3pabzFrM29WYXRTb2dWbXpaZ0hJKzdTc1VDZ2dDSUwwRDhnTG1KVC81SEs1MmlmbGhRc1hvbHExYW1yUENnME5oU0FJRUVVUmNybGM2OUJyZUhpNE5Bazl2MHFWS2tuRE0yNXVibGk1Y3VVcnZkZWhRNGVpUVlNR2FqdHJBRUR2M3IzUnUzZnZWN29mdlhVRmZZS3dBekJVRk1XaEFKS2NuSndpWkRKWm1LV2w1WjlSVVZHWlJkbW84K2ZQdzhuSkNVMmFOSUdibTF1aEg2SmVUc21qVUNnUUhCeXNjUUdGTnZiMjlnZ09EdGFhc3VpTEw3N1FlbTMrNytPaFE0ZXFyRFJOU0VoUXVkYmYzeC8rL3Y0cStTOTM3TmdCaFVLQjBOQlEyTnZidzlqWUdDMWF0SkIrWGt1VktnVi9mMzk4OTkxM0tzOWR0MjRkek16TUFCU2NEUDFWZHBoWnVIQWgzTjNkMWNvZlBIaWdzbU1NNllaQkhWRXg5aloyUVpESlpGcFRJOGpsY3EycjhncWk2WmR3L25zV1JsdTZBME5EUTVYaG1sZjloRzVvYUtneG9Dc2lmczdPem0rZTI0VTBzWmJKWkY0QXZGSlNVdURpNHJKSkVJUXd1VnkrTHpvNk91TnRQMnpreUpFWVBYbzArdmJ0aTRvVks2SmJ0MjU0K1BDaHp0ZmZ1M2NQUTRjTzFYcStvQjY1clZ1M2FseUIvZklxMWR6Y1hJd1lNUUkzYjk1RVJFUUVMQzB0QVFBbUppWTRlUENnVk0vYTJsb0t1SHIyN0luaHc0ZWpiZHUyVXNBbUNBSzJiTm1DamgwN0lqdzhIUGZ1M1VOb2FDaUdEQmtDTHk4djZUNHRXclJBZEhTMDJweEFaYy9kMjA2R25wQ1FnRysrK1FhLy9QSUw2dFdyOTFidi9TRmhVRWRFUk1XYUlBaWlUQ1lyc2hXekRSczJSSzFhdGJCNTgyYjgrT09QV0xkdW5kUnJyWW1teFJKeXVSem56NTlYS3k4b1Q1MnJxNnZXWjFoWVdLZ2NMMWl3UUVycFkyNXVyblkrZnp2eVA2dHMyYklxeHhFUkVZaVBqOGZBZ1FNUkhoNE9lM3Q3akJvMUN2UG56MGZEaGcwMXp1WFRSTmZ0L25TbFVDanc4T0ZEWkdZV2FhZHNpY2Vnam9qbzlVeVBpWW1acHU5R3ZFK2NuWjJqQU9peWxEc0p3RTRBWVphV2xnZUxldmdWeU90OTNydDNMd1JCZU8ya3Y5cHkxUldVcDA0WDRlSGgyTEJod3h2djVwS1JrWUVsUzVhZ2ZmdjJLdE1uK3ZUcGc4T0hEMlBTcEVuWXRHa1RURXhNVklLMi9LdlNsWFA1WG1XSTlWVndKNDAzdzZDT2lJamVsWUwrWXY4RFlJZGNMZzhUUlRIcVhTNlVBQUE3T3pzOGZmb1VaODZja1hLNXZRcEJFTFF1cmlobytMVXdodzhmeHN5Wk0vSE5OOStnV2JObXIzeDlXbG9hVHB3NGdkallXQ1FrSkNBMU5WVnRycHhNSnNQVXFWUFJxMWN2QkFZRzRxZWZmbElKMnZLdlZGZXUyQzhvSVhCaDJ3QnFvdXloTXpJeWV1VnI2VDhNNm9oSUo5bloyVy9VMi9DeW90elRsdDRQTXBuc29TQUlmd0FJcTE2OStrbDlwRFM1Y2VNRzB0UFRjZmp3WWRqYTJzTFYxUlVIRGh5UXpxOWJ0dzRkTzNaVVdVazlkKzVjbGEzN3lwVXJoMG1USnFudHVuTHAwaVhzMnJVTEkwYU1nSTJOamRxei8vampqd0lYVit6ZHV4ZCtmbjc0NG9zdk1IejRjR24xYTBFRVFjRDE2OWR4OHVSSkFIbkR0a1pHUnJDenMwTjhmRHk4dmIwMXptbDFjSERBMTE5L2plRGdZTFJyMTA0SzJyVE5xWHNUZ2lBZ0pTVkZwVXlaNFBoVkZwdVF1dGZMS2twRWI4V0RCdy9RcmwyN0luOU9ZbUlpcGsyYmhvc1hMK3BVUHpZMlZ1M1Q5c1NKRTNWS1dLenQrdnhtelpyMVJzTkl6NTgveDlLbFM1R1I4ZGJuekZQUkVtVXkyVjBBYzJReVdhUG82T2lQTGx5NDhNT0ZDeGVPNlN0SDNhRkRoK0RwNlluejU4OWo4T0RCMkxWckZ3d01ET0RoNFlIczdHeGN2SGdSczJmUGhwV1ZGV3h0YmZIOCtYT1ltWm1wYk4yWG1aa0pXMXRiQ0lLQUowK2U0SWNmZmdBQXpKdzVFOUhSMFJxSFpWTlRVeEVmSDY5eFgyZFJGQkVTRW9LcFU2ZWlWYXRXK09XWFgzUWVsanh3NEFBOFBUMnhaczBhdEdyVkNqTm16TUFmZi93QmhVS0J5cFVyWS9EZ3dWcXY5ZmIyUnBVcVZYRG56cDFDbitQaTRxTDEzOHNVQ2dXZVBuMEtBQmd6Wmd4YXQyNk5OV3ZXcU5TSmpvNkdwYVdsMm43UTlHcjRNWmxJajNKemM1R1ltQ2dkNzkyN0YxT21UQ24wT3VXbjZKQ1FFQ3hidGt6bG5KdWJHNVl1WGFwU3RuTGxTa1JHUmlJNU9mbTFjajVsWm1iaXpKa3orUGJiYjEvNVdrMGNIUjBSRUJDQU5tM2F2RlppNWJpNE9LeGV2Um9KQ1FrNmZiMm9lSkRKWko3RmJadXdZY09HWWRLa1NiQzB0TVNCQXdjUUdCaUlObTNhSUMwdERYSzVIQUVCQVJnd1lBQXVYNzZNMU5SVUNJS0FFeWRPWU9YS2xWS0FGQkVSZ1IwN2RxQjU4K1o0OGVJRlRwdzRBUUJZdkhneHhvOGZqeUZEaG1ENzl1MXdjSERBN05tejhlVEpFMHljT0JIYnQyOUhabVlteG8wYnA5S21zTEF3TEZ1MkRGMjdkc1hreVpPbEZDdTY1SlNzVzdjdVpzMmFCWGQzZDJuMWZGcGFHbHhkWGRHM2I5OENFL2thR3h0anc0WU5HbGZkaTZLSVE0Y09TU3QxZFVscDhzOC8vMkQ4K1BHNGVmTW1zck96cGNVZDMzenpEZXJWcTRkRGh3N0IwTkFRS1NrcDB0Y2lLQ2dJWGw1ZWtNdmxLRjI2OUJ2bDZQd1FNYWdqS2taYXRHaWg4WmZscGsyYnNIMzdkaGdhR3VLYmI3NlJ5bnYzN2kzdHNRZ0FHemR1UkdwcXFzcTFkKy9leGE1ZHV4QVVGSVF4WThaZy8vNzkrUExMTDlXZThmZmZmNk42OWVvYWgxZ1BIejZNckt3c3RHelo4clhlMTh0RE5nMGFORUNsU3BWdy8vNTl0WE1WSzFhRXNiRXhVbE5UTlNaZ0JmSlcvN1ZxMVFyWHJsM0Q3ZHUzTmM3RHNiVzExYnBDa1BRak9qcjZ2cjdiOERKRFEwTnB0NE10VzdhZ2ZmdjJLajhENWN1WHg4NmRPMUc2ZEdsTW16WU4yZG5aOFBIeHdmang0K0h1N280YU5Xb2dJaUlDblRwMWtuSTdLdG5iMnlNa0pBUi8vZldYMUFOMTgrWk5wS1dsb1h6NThoZy9mandtVDU2TUJnMGFxR3dGNk9IaEFRc0xDN1J2M3g2Q0lPRE9uVHN3TXpQRHlaTW5JWmZMMVlJdVFSQ2s1MWFzV0ZGS0M2UlV1blJwVEo4K1hhZXZSLzU3SzRQSW8wZVBZdi8rL2JoMTZ4YldybDBMUUxlVUptWExsb1c5dlQzYXRtMExWMWRYMUtoUlF5WGwwZEdqUjVHY25Jd3hZOFpBRUFRTUh6NGNxMWF0UWtSRUJINzQ0UWNjUFhwVXB6YlRmeGpVRVJVajV1Ym1Lc014S1NrcG1ENTlPcUtpb3ZEcHA1OWkyclJwcUZHamhuUytUSmt5Mkw1OU8xSlNVakIyN0ZnQWtQSlhBWG5ESHBNblQ0YW5weWZxMXEyTENSTW1ZT2JNbWFoWnM2WmE4dUN2dnZwS2ErcUZuVHQzd3M3T0RnWUdCbHJuMU5qYTJpSWxKUVU1T1RuU2FqbGxYVzByNVFJREF4RVlHS2hTdG5IalJuenl5U2VJakl5VWtpUVhSTnV1RUQ0K1B1alZxMWVoMXhNQndGOS8vWVcvLy80Yk0yYk1nSW1KQ1l5TmpSRVZGUVUzTnpjQWVYUHZUcDgramErLy9ob3RXN2JFakJrelVMMTZkVVJFUk9EeDQ4ZlM5N2lWbFJWa01oa2lJaUpRdDI1ZEFIbUJWbXhzTEc3Y3VJR3JWNjlLMzdNZE9uUkFaR1FrYnQrK3JSTFV5ZVZ5dEcvZlhqcjI5UFJFWm1ZbTVISTVCZ3dZQUVORFEyUm5aME1RQkdSa1pDQXFLa3BqTXUrMzhUVUI4bm9jNjlTcGcwV0xGbWtjTHM3SnlaRStXTjI4ZVJNQVlHQmdBTGxjanRteloydTh0eUFJT0hEZ0FCWXVYSWlzckN3c1dyUUlkZXZXUmVmT25URi8vbno0K3ZvaUlpSUNreVpOVWd0U1NUc0dkVVI2OE9qUkkyUm5aNnNGUC9rRHFpdFhyc0RIeHdjSkNRbjQvdnZ2NGVYbHBYRW80dmJ0MjlJazd1ZlBuK1Bqano4R0FHbUxNVXRMUzZsM3IzMzc5cmh3NFFKR2poeUpvS0FnclVtQVg3Ni84cGQ3UVdrTWZIeDhzSEhqUnBYOUhKWDFsY1BGeXEyQm1qWnRpbW5UcGdINGIxY0xiWXN3bE5mR3hzYXFCWnczYjk3RTlldlgxVExQdjg3cU8vcXdOV2pRQUJzM2JwUjYxQVlQSG96QXdFRE1uVHNYUU42cVRDY25KMm1GcTNMWEJnY0hCNHdjT1JMbHk1Y0hrUGRCYTlpd1laZ3paNDdhbkU4VEV4TTBidHhZWlY3Yi9QbnpDMHpZTFpmTGNmTGtTU2dVQ3NqbGNzamxjdmo1K1dIMzd0MVNIVE16c3plYW82cU5yYTB0cWxhdGlsR2pSa205OUpvKzFNMmRPeGQvL1BFSGpJMk5rWm1aaVhMbHloVVlaTzdldlJzclZxekF3NGNQMGF4Wk0vajQrTURlM2g0QVlHTmpneGt6WnFCTm16YVlNV01HdkwyOXNYdjM3cmU2U0l1SVBsRE96czZpczdPeitMYjE2OWRQVk40Ny96OVJGRVZCRU1SMTY5YUpEUnMyRkQwOVBjWC8vZTkvQmQ1cjhPREI0b29WSzZUWDY5ZXZGM056YzhYWnMyZUx2WHIxRXBPVGsxWHFLeFFLY2N5WU1XS2JObTNFTTJmT1NPWE96czdpM2J0M1JWRVV4YnQzNzBydG1USmxpdWpzN0N4R1JrYXEzT2Z3NGNPaXM3T3ptSmlZcU5hbVE0Y09hZnk2K2ZyNmlwMDdkeGJUMDlPbHNnMGJOb2lkT25WU2EyZGtaS1RZbzBjUFVSUkY4ZUhEaDJLREJnM0VZY09HaVgvLy9iZFVKeVFrUkhSeGNWRjdUbzhlUGRUYSs3WXNYNzVjK2Y5cm1yNi9QeW5QNi82Yzd0bXpSMHhMU3l1Qzc1S2lsWjZlTGo1Ky9GaDg5T2lSR0I4ZkwyWm5aeGZaczNKemMxV09rNUtTeE9YTGw2dVUzYnAxUzl5K2ZidTRhZE1tY2R1MmJXSjhmSHlCOTd4dzRZTG82K3NyWHI1OHVjQjZUNTgrRlUrY09QRmE3VlorVCtqN2UvTmRZMDhka1I1czJyUUp3SDhiMkN0N28xNjhlQUVmSHg4Y1AzNGMzYnQzeDhDQkF5R1R5ZFErSGR2WTJFakRyQWtKQ2JDMnRnYVExMU5uWVdHQkgzLzhFZmZ1M2NQRWlST1JtSmlvc2hnRHlNdWJ0WERoUW56Ly9mZFl0V3FWTkV6MHN0allXT3pidHc4QThQanhZNVZ6ejU0OWc1R1JFY3FVS2FOMjNiRmp4OVRLZHV6WWdVT0hEbUhseXBYUy9wRVBIanpBc21YTDBMcDFhNVZoWXlDdkp5Ui9iOGlTSlVzd2YvNThlSHA2d3NQREF6NCtQaEFFUWVOOHVqLysrRVBqK3lIS3IyUEhqdnB1d21zeE16T1Rmb2FLMnN1OWlGWldWaGcyYkpoS1dZMGFOVlNtaFJTbWZ2MzZPaTNZS2x1MnJNb3FZeW9jZ3pxaVl1VEpreWM0ZnZ3NGdMd3M4dUhoNFJycmpSOC9IbjM3OWdXUUYxd3BnN3FrcENSWVdWbWhUcDA2OFBQelUxbEU4YklWSzFhZ2E5ZXVXZ002QU5pOGVUUHM3T3hRbzBZTmFhNk1VbXhzTENwWHJxejJTejhqSXdPSERoMENBSnc4ZVJKTm16WkZaR0NxMkNJQUFCM3VTVVJCVkdRa0FnSUM0T3pzakd2WHJ1SGN1WE5JUzB2RHNXUEhZR05qZy9IangydHRneklOUzhPR0RiRng0MFpzM3J3WldWbFpBUEpXNWI1dTluOGlvcEtHUVIxUk1WSzFhbFZFUjBkajkrN2RDQTRPUmtSRUJISnljdENzV1RNc1c3WU16czdPYU5XcWxiUkNMU3NyQytucDZmajU1NStsZTR3ZE94YS8vLzQ3cksydHBSN0F6WnMzbzJ6WnNsS1FkLy8rZmR5OWUxZnFDZFBtMjIrL2hidTdPKzdldll1MWE5ZENGRVZwbGQzbHk1ZFJxMVl0dFd1VW00MW5aR1JnenB3NU9IZnVIQjQ5ZWdTRlFvRmJ0MjRoTVRFUmxwYVdpSW1KZ2JtNU9WYXRXZ1Z6YzNNc1c3WU05ZXJWUTVNbVRWVHV0M2Z2WG9TRmhhRisvZm9ZTVdJRUJnd1lJSjFMVFUzbENsY2lvbjh4K1RCUk1iUjc5MjYwYXRVS1FONUNoZHpjWEZTdlhoMEFrSjZlTGcyOUdCa1pJU3dzVE9XZnJhMHRURXhNNE9mbmg1Q1FFQURBOWV2WEVSRVJJZDEvNTg2ZG1EbHpacUh0S0ZldUhKbzJiWXFXTFZzaUlTRUI1ODZkQTVBM0ZIdmp4ZzAwYnR4WXBYNVdWaFpXcjE2TnpwMDdBOGpMajNmNjlHa01IVG9VeDQ4Zng4R0RCN0YyN1ZxWW1wcWlWS2xTV0xSb0VSd2RIWEh3NEVHRWhJVGcvbjMxakJlK3ZyNVlzMllOREF3TU1IVG9VSlUwQjQ4ZlArYndEQkhSdnhqVUVSVUR1Ym01MGp5MEN4Y3VJRG82V2xvNWV1clVLZFNzV1JPV2xwYkl5c3BDYm02dUZOVEo1WEpVclZvVlZhdFd4VWNmZlFRYkd4c0lnZ0FURXhQWTJ0cEs4K0VhTjI2TW1KZ1k1T1RrYmFkNTVNZ1J0R3ZYVHVPcXUrenNiQ2w1cWxLbFNwWGc3T3lNRFJzMkFNaWJIMWVxVkNrMGI5NWNwVjV3Y0RCa01wblVJMmhyYTR2MTY5ZWpSbzBhS0ZXcUZKNDllNGJCZ3dmajJyVnJXTHAwS2VyWHI0K2JOMjlpMnJScDZOQ2hnOWIwSkhYcTFFRndjRENXTEZrQ2QzZDNxZnpXclZ2U2FsOGlvZzhkaDErSmlnRVBEdzlrWldYQjFkVVZNMmJNUVBmdTNWR2xTaFVJZ29CZHUzWkphUlRTMDlNQlFNb1ZkZmJzV1Z5OGVCRlhyMTdGbFN0WDBMbHpaMlJsWmNIVTFCUnQyclJCYUdnbzd0eTVBMmRuWjd4NDhRTFhybDJEcGFVbDd0MjdwNUlDUWFGUUFBQldyVnFGRXlkT3FDVXdCb0FoUTRaZytQRGgyTDU5T3padTNJZytmZnFvSlVFOWZ2dzRoZ3dab3JKNFFabUtJQ29xQ2pObXpJQ2RuUjNXcmwwTEJ3Y0h4TWJHWXVUSWthaFRwNDdhRm1TNnBpWFJOdmV3VEpreU9IejRzRTczSUNJcUNSalVFZW5CL2Z2M3NXdlhMdXphdFF2VzF0Ym8yclVyZXZic0NWOWZYK1RrNUVoN1J4NDRjQUJQbmp4QjE2NWRBZVJ0OXdQOEY5UUZCUVVoT3pzYnJxNnU2Tm16SjV5Y25MQmx5eGFZbXBxaVdyVnFzTEd4d1pFalJ6QjQ4R0JVckZnUlY2OWVSWEp5TWh3Y0hGUVdTQ2g3NWlJakkrSGg0WUUyYmRxb3JYQnIyTEFoT25mdWpGbXpacUZjdVhMNCt1dXYxZDdYdUhIajRPcnFxaktNK3ZUcFV3UUVCT0RvMGFNWU5HZ1FoZzhmRG1OalkxeS9maDJqUjQrR2pZME41cytmcjVhSHFxQnRpSjQrZllxZmZ2b0o1dWJtQ0F3TTFKaS9qOXNMRWRHSGhrRWRrUjc4L1BQUFNFeE1oS2VuSjNyMzdnMkZRZ0VmSHg5Y3ZYb1ZJU0VoS0YyNk5GSlRVN0Z3NFVKNGVIakF6czRPQUtRZXROS2xTd1BJVzhHYVAzaFJacGt2VmFvVVpESVp1blhySnFVY0NRME5oWldWRlRwMzdvd2VQWHFvYkdkVXAwNGROR3ZXREdQSGprWFZxbFUxSmhqTnpzNUdabVltZ0x5RXdUZHUzRUNEQmcxVTZpaXo3K2RuYUdpSTNOeGNyRisvSHA5ODhna0FZUC8rL2ZEMzkwZlpzbVh4di8vOUQrSGg0ZWpmdjcvS2RkcTJJZnJycjcvZzUrY0hRUkR3OU9sVGpCMDdGZ01IRGtUWHJsMDE3bGxKUlBTaFlGQkhwQWUvL3ZvckhCd2NwSFFjQ3hZc3dKMDdkN0JpeFFvNE9qcENFQVJNbWpRSmNya2N3NGNQbDY2TGo0OEhBR212eXBkN281S1Rrd0g4dDMvanlKRWpwWE0yTmpZNGUvWXMvdm5uSDNUcTFFbmxPbHRiV3l4YXRFaHJlMi9mdm8wcFU2Ymd3WU1IOFBmM1IzaDRPSVlORzRiMjdkdGp5SkFoQmM1cnM3YTJ4b0lGQ3dEazVkR2JNMmNPSWlNajRlWGxoZSsvL3g1cjFxekIzTGx6Y2Z2MmJmajYrc0xRVVAzWGtpQUlPSHYyTERadDJvU1RKMCtpWnMyYVdMWnNHUXdNRExCNjlXb3NXTEFBeTVjdlIrL2V2ZEcvZjM4cHhRc1IwWWVFUVIyUkhqZzZPcW9janhneEF0N2UzckMydGtaT1RnNm1UcDJLOCtmUFkvbnk1VGg4K0RBVUNnVU1EQXl3ZnYxNjFLeFpVeVUzMitYTGw1R2RuWTB5WmNvZ1BEd2NGU3BVZ0plWEYrN2N1YVAxK2NvNWVzQi8yM0JwOHZ6NWM0U0VoR0RyMXEyb1dyVXExcTVkQzBkSFIzejU1WmRZdDI0ZFZxeFlnUU1IRHFCaHc0WVlPSEFnbWpadHF2RStHUmtaMkxadEcxYXRXb1V5WmNwZytmTGxVaS9mTjk5OEF4c2JHOHljT1JOeGNYR1lPM2N1U3BjdWpmdjM3K1BLbFNzNGYvNDhUcDQ4aWFTa0pOaloyZUhubjM5Rzc5NjlwWUIyeXBRcEdEcDBLRUpEUTdGdTNUcXNYNzhlUFhyMHdGZGZmU1Z0UFVSRTlDRmdVRWRVREppWW1NREV4QVFBc0gzN2RrUkZSU0VnSUFEMTZ0VkRSRVNFdEJDZ2ZQbnkrUFhYWDFXdXZYejVzdFFUWm1WbEJUOC9Qemc2T2tvclhkL0VybDI3c0dQSERnd2RPaFJlWGw3U0FnaTVYQTR2THk5MDZ0UUpxMWV2eHQ2OWU5VjJoTWh2ekpneHVIMzdOcnk4dkRCbzBDQzErWFBkdTNlSHViazV0bTNiQmtORFEyUm1abUxpeEltNGRlc1d6TTNOMGFSSkUzejU1WmR3ZDNmWE9GZXVmUG55R0Q5K1BMeTh2QkFjSEl4dDI3YkJ5c29LUTRZTWVlT3ZBUkhSKzBKV2VCV2lENWR5NzhDQ2VyUGVOa0VROEgvLzkzK29XYk9tU2xsdWJxN0dMYkYwT2YrcWNuSnljUC8rZlZTclZnMUpTVW13c2JFcHNMNUNvVkFaTnMzSXlNQ3BVNmVrMUNaeGNYR3d0cll1ZEd1ai9NbU5IejkrakNkUG5xQldyVm9haDJRTEVoY1hoM0xseWhYSkp1QkJRVUVJRGc0R2dPa3hNVEhUM3ZvRDZKWHA0K2VVaWpmbDZ2bVltSmdQS3M1aFR4MVJNU09YeTFVQ09tV1pwcHh5dXA1L1ZVWkdSdElRY1dFQkhRQzFvTXZNekV4bGl6SUhCd2VkbnB0LzhZYTl2ZjFyRDUvcStqd2lvcEtFeVllSmlJaUlTZ0FHZFVSRVJFUWxBSWRmaVlpb1JOQjFGeEtpa29vOWRVUkU5RjRUUlRGSzMyMmc0dWREL0w1Z1R4MFJFYjNYTGx5NDBFcmZiU2d1bkoyZEx3UHdpNG1KMmFIdnR0Qzd4NTQ2SWlLaUVxQisvZm8xQU5RQjBGUGZiU0g5WUZCSFJFUlVBc2psOGwvK2ZUbXdldlhxSm5wdERPa0Znem9pSXFJU1FDYVRPU2xmVzFsWnRkRm5XMGcvR05RUkVSRzk1NXljbkQ0U1JmRVQ1YkVnQ0J5Qy9RQXhxQ01pSW5yUHlXUXlqNWVLdXJWczJaS0xJVDh3RE9xSWlJamVjNklvdnR3elo1dWNuTnhDTDQwaHZXRlFSMFJFOUI1emNYR3BJSlBKbW1nNHhTSFlEd3lET2lJaW92ZGJEd0N5bHd0bE1sa1A4Ty84QjRYL3M0bUlpTjVqR29aZWxleGRYRncwOWVCUkNjV2dqb2lJNkQzbDR1SlNGb0RXdVhNRkJIeFVBbkZsREpFT0RoNDhxTzhtVURGeDZOQWhmVGVCU0NJSVFqZVpUR1pRUUJVUEFEOENFTjlSazBpUEdOUVI2V0RDaEFuNmJnSVZQL3dqU1hvbms4a0s2NG1yVXI5Ky9RWVhMMTQ4LzA0YVJIckZvSTZvWUtNQXROUjNJNG9CNVIrT01MMjJvdmhJbGNsazYvWGRDUHF3MWE5ZjN3cEFoOExxeWVYeVhnQVkxSDBBMUZiTEVCRzl6Tm5aV1FTQW1KZ1kvczRnS2lhY25KdzhaVEpacUE1Vi94Y1RFMU1kN0YwdThmZ0xtb2dLeGFDT3FQaHIwS0JCUzBFUWpnQTRHaE1UMDFMZjdhRjNqNnRmaVlpSWlFb0FCblZFUkVSRUpRQ0RPaUlpSXFJU2dFRWRFUkVSVVFuQW9JNklpSWlvQkdCUVIwUkVSRlFDTUtnaklpSWlLZ0VZMUJFUkVSR1ZBQXpxaUlpSWlFb0FCblZFUkVSRUpRQ0RPaUlpSXFJU2dFRWRFUkVSVVFuQW9JNklpSWlvQkdCUVIwUTZjM1oyenFsZnYzNDNmYmVEaUlqVU1hZ2pva0tKb2hqMTcwdERBd09EYVhwc0NoRVJhY0dnam9nS2RlSENoVllBcGdPQUtJbzc5ZHdjSWlMU2dFRWRFUkVSVVFuQW9JNklpSWlvQkdCUVIwUkVSRlFDR09xN0FVUlVQRGs3TzY4QzhMV0dVMzdPenM1KytZNVh4Y1RFZlB1T21rVkVSRnF3cDQ2SU5CSkZjWnVPOWJZWGRWdUlpS2h3RE9xSVNLUHM3T3hEQUpJTHFaYjhiejBpSXRJekJuVkVwTkcxYTlleUFld3FwRnJFdi9XSWlFalBHTlFSa1ZZeW1TeXNvUE9DSUJSNG5vaUkzaDBHZFVTa2xiR3hjU1NBZEMybjAwdVZLblhnWGJhSGlJaTBZMUJIUkZxZFBuMzZCWUM5V2s3ditmYzhFUkVWQXd6cWlLZ3cyb1pZT2ZSS1JGU01NS2dqb2dLVktsVnFMNENzbDRvenM3S3l0UFhnRVJHUkhqQ29JNklDblR4NU1oVkFaUDR5bVV3V2VlM2F0VFE5TlltSWlEUmdVRWRFaFJKRlVXV29sYXRlaVlpS0h3WjFSRlFvaFVLaGtxOU9GTVhDOHRjUkVkRTd4cUNPaUFwMTVjcVZKQUFpQUlpaUtGeThlUEc1bnB0RVJFUXZZVkJIUkxvYUJnQnl1WHlZdmh0Q1JFVHFHTlFSa1U1RVVRd0hrQzBJd2s1OXQ0V0lpTlF4cUNNaW5WeTRjT0VwZ0YvKy9TOFJFUlV6RE9xSVNHY3ltZXczZmJlQmlJZzBZMUJIUkRxTGpvN08wWGNiaUloSU13WjFSRVJFUkNVQWd6b2lJaUtpRXNCUTN3MGdLdTZjbkp6T3ltU3lodnB1QnhVTGFRRDZ4OFRFN05aM1E0aUlYc2FlT3FKQ01LQ2pmRW9EbUtidlJoQVJhY0tlT2lJZFJVZEg2N3NKcEVkQlFVRUlEZzRHQVBiU0VWR3h4SjQ2SWlJaW9oS0FRUjBSRVJGUkNjQ2dqb2lJaUtnRVlGQkhSRVJFVkFJd3FDTWlJaUlxQVJqVUVSRVJFWlVBRE9xSWlJaUlTZ0FHZFVSRVJFUWxBSU02SWlJaW9oS0FRUjBSRVJGUkNjQ2dqb2lJaUtnRVlGQkhSRVJFVkFJWTZyc0JSQ1dkS0lwUUtCVEl5Y2xCZG5ZMnNyS3lrSkdSZ1l5TURLU2xwU0UxTlJYSnljbElTa3JDczJmUGtKbVppV25UcHIyVHRnbUNnRVdMRnFGY3VYSVlOR2pRRzkwclBEd2NwMDZkZ3BlWEYyclZxdldXV3FpYmVmUG1vV1hMbG5CeGNVRnFhcXBPMTFoWVdCUnhxNGlJM2kwR2RVUkZ4TlhWRmFJb1FoUkZyWFdNalkxaFptWUdjM056bUp1Ync4TENBaFlXRmtoTVRJU05qUTBBSURjM0Z3MGJOb1NscFNWa01sbUJ6MVFvRkxDMHRNVHUzYnQxYXFOY0xrZE9UZzRXTFZvRVIwZEhORzdjV1BjM21NK3hZOGN3YytaTXlHUXlQSHYyRE11WEw0ZXhzYkhHdXRuWjJYajI3Sm5HYy9QbXpVTlVWRlNoejR1T2pwWmVaMlJrWU51MmJXamV2RGx5YzNQUnNtVkxuZHFjL3g1RVJDVUJnenFpSWlJSUFyeTl2ZEd1WFRzWUdSbkJ5TWdJeHNiR01ERXhnVUtod0Y5Ly9RVTNOemNwZUN1TWhZVUZEQTBML3BITnpNelVXSjZhbW9xRWhBU041M3IwNklGang0NWgvLzc5cUZDaGdzWTZEZzRPTURJeTBuanV4SWtUbURCaEFobzFhb1RodzRmanUrKytnNStmSDJiTW1BRURBd08xK2pkdjNvUzN0N2ZHZSszYnR3K2pSbzBDa0JmOGVYbDVZY0NBQWVqU3BZdkcrZ0J3K3ZScEdCa1pvWDc5K2xMWmxDbFQ0Tzd1cnJIK2d3Y1A4TzIzMzJxOUh4SFIrNHBCSFZFUnFsQ2hBajc5OUZPMTh0allXRXllUEJuQndjRTZCM1ZMbGl4QjVjcVZDNnh6NnRRcC9QcnJyMnJsa1pHUm1EVnJWb0hYN3Q2OVcyc1AzOWF0VytIbzZLaFd2bjM3ZHZ6MjIyOXdkWFhGM0xsellXSmlnZ1VMRm1EMDZORVlPM1lzWnMrZURUTXpNNVZyYXRldWpkT25Ud01BR2pkdURCOGZIM1R0MmhVQVZIcjNqaDQ5aXV6c2JIVHAwZ1ZWcTFiVjJ1NjllL2ZDM2QwZFJrWkd5TTNOQlFDVUxsMGF0cmEyR3V2ck9qeExSUFMrWVZCSFZNUmNYRnkwbmhzNmRLakc4ckN3TUxWQXh0dmJHM0o1d1d1YkZBb0Z6TTNOdFo1L2Vjang3Ny8veHFOSGo5QzZkV3VOOTQ2T2p0Yll4clMwTk15YU5Rdjc5KzlIdDI3ZDRPdnJLL1VpdXJpNElDZ29DRC84OEFPOHZiMHhmZnAwZlBiWlo5SzFNcGxNSlhnek5EVFVPRlI3OE9CQk9EbzZGaGpRSlNVbDRjU0pFNWc5ZTdiV09rUkVId29HZFVSRkxDd3NUSzBzTGk0T28wZVB4dlRwMDFHN2RtMjE4dzRPRG1wbGE5YXNlZTJlT20wQ0F3TVJGeGVIbGkxYkZob3dLdjM1NTUrWU4yOGUwdExTTUdYS0ZIVHYzbDJ0VHUzYXRSRWFHZ29mSHg5cENOWGIyeHRXVmxZNlBTTTlQUjFSVVZFWU1tUklnZlUyYjk0TWhVS0Jqei8rV0tYODJiTm5pSTJOMVhoTlhGeWNUbTBnSW5yZk1LZ2pLbUlGOVRSVnFGQkI2L2wrL2ZyaDRjT0hBUElXTlBUcjE2L1FoUktDSUVDaFVLQlpzMllBZ045Kyt3MU5talNCaDRlSE5NU3BkT25TSlp3N2R3N1RwMC9YT2xmUHljbEptck4yNmRJbExGcTBDSmN1WFVMRGhnMHhlZkpramNHblVxVktsYkI2OVdvRUJRVmg3ZHExMkw1OU84YU9IWXVXTFZ2aWl5KytrT3I1Ky92RDM5OGZ4c2JHMHJEc2poMDdvRkFvRUJvYUNudDdleGdiRzZORml4WXE3ejg5UFIxYnQyN1YrT3c1YytZVStIVWlJaXFKR05RUkZTRmxFUEp5cjVHeXR5ZytQbDd0bkRMSTI3eDU4MXRwUTBwS0NoSVRFOVhLbHl4WmduTGx5dUh6enovWDJxdVYzL1BuejVHUWtJQ0FnQUJjdkhoUkxVZ3NTSGg0T0g3Ly9YYzRPVG5CMnRwYTZyM3MyYk1uaGc4ZmpyWnQyMHBmSzBFUXNHWExGblRzMkJIaDRlRzRkKzhlUWtORE1XVElFSGg1ZVVuM0RBNE9WbnVPVENiREYxOThnWUVEQjBvOW9DNHVMaXJEMlVsSlNWaXpabzNPYlNjaWVsOHdxQ01xQW9JZ0FJQzArck5uejU0YTYvbjUrYW1WdlR6dkxUWTJGajE3OWtTWk1tVlV5cE9UazJGaFlhRXliQ29JQWxKVFUxWHVzWHYzYnN5Yk4wOXJXM3YzN2wzSXUvbXZYZTd1N3BETDVYQjJka2F2WHIxVXprZEVSQ0EwTkZUamNIUGx5cFVSRUJBZ0hlZnZuU3hidHF6S2NVUkVCT0xqNHpGdzRFQ0VoNGZEM3Q0ZW8wYU53dno1ODlHd1lVTjg5dGxueU16TXhKWXRXekIxNmxSTW1USkZ1bFl1bHhlNklNVGEyaHBqeDQ3VjZUMFRFYjFQR05RUkZZR3NyQ3dBZ0ttcHFWUTJiZG8wS1RXSElBaElTa3BDbVRKbHBLSFBYYnQyRlpoMCtQRGh3eXJITGk0dVdMTm1qVXBBcEF3QTh4c3dZQUFHREJnZ0hhZWtwS0JIang1bzFxd1pwaytmcnZhY2tKQVFyRnk1RXZ2MjdWT2JBNmNNSUcxc2JOUlc3VnBiV3dNb2VMaTVNQmtaR1ZpeVpBbmF0MitQYXRXcVNlVjkrdlRCNGNPSE1XblNKR3phdEFtbXBxYnc4ZkZCeDQ0ZHBhQ3VkZXZXU0U1TzFuaGZiVUUxYzlVUlVVbkNvSTZvQ0NqVFptamJ0ZUR4NDhmbzBxVUxWcXhZQVdkblo1M3U2ZUhob1ZZMmV2Um9sZmx3Q29XaTBQc3NXclFJdWJtNStPR0hIOVRPUFgvK0hCczNia1RIamgxMVh0VHdwdExTMG5EaXhBbkV4c1lpSVNFQnFhbXArTzY3NzFUcXlHUXlUSjA2RmIxNjlVSmdZQ0IrK3VrbmRPdldUYVZPYUdpb2xOSUVBUGJzMllQang0L2o5dTNiK09pamoxQ3VYRG40K1BpOGsvZEVSS1FQRE9xSWlzRFRwMDhCNUEwdGFwS1Rrd01BV2hQNmF2TEhIMytvSEx1NHVHRHg0c1dGOXRUbDkrelpNMFJGUlNFbkp3Y2hJU0hvMTY4ZnFsU3BBaUN2OTNEcTFLa0FnQkVqUmhUWWxvTFN0R2c2VjZsU0plemN1Vk42enZYcjEzSHk1RWtBd0lJRkMyQmtaQVE3T3p2RXg4ZkQyOXRiNHlwZkJ3Y0hmUDMxMXdnT0RrYTdkdTFRcjE0OWxmUDVyNG1MaThQV3JWdXhjT0ZDREI0OEdHUEhqc1g0OGVOeDU4NGR0R25UcHNEM1JrVDB2bUpRUjFRRVltTmpJWlBKdEtZZ1VXNlRwV3ZpWVFCbzE2NmRXdG0zMzM2ck5xZXVJR1hMbHNXZVBYdXdjK2RPYk5pd1FkcGVxMSsvZnRpMmJSdk9uajJMaFFzWGFrM2NxNlJwM2x4QmMrcnlCNjhIRGh6QXBFbVRZR0ppZ2xhdFdxRk5temFvVjY4ZUJnOGVqTXFWSzJQdzRNRmFuK3Z0N1kzOSsvZmp6cDA3YWtHZFVrcEtDa2FQSG8wT0hUckF5Y2tKUUY3QU4yN2NPRXlaTWdYVzF0WTY5NDRTRWIxUEdOUVJGWUdyVjYraVVxVkswbTRLcFVxVlVoa21QWFhxRkFCZzA2Wk5HRFJvRU96dDdXRm9hSWhTcFVxcDNjdlcxaFkrUGo1cUN4TmNYRnl3Y3VWS2xaNjYxTlJVUkVaR0Z0ZzJVMU5UOU8zYkY3MTc5OGFCQXdld2VQRmlhYml6ZS9mdWNITnpLL1Q5YVpvM3ArdWN1cnAxNjJMV3JGbHdkM2VYM205YVdocGNYVjNSdDI5Zm1KaVlhTDNXMk5nWUd6WnMwUGgxQW9CLy92a0hZOGFNZ2JtNU9YNzg4VWVWYzcxNjljSzllL2N3WXNRSVRKdzRVV04rUFNLaTl4bURPcUszVEJSRkhEOStISTBiTjViS1RwdzRJYjJPaUlqQSt2WHI4ZVdYWCtMY3VYUFl1blVydnZqaUMzaDZlcXJVQS9JbS95c3RYYnBVN1ZuYWRwbFl1blFwcGt5WmdsYXRXbWxzb3lBSU9IZnVIUGJ0MjRjblQ1NmdldlhxTURFeFFYaDRPTTZmUDQrdnZ2b0tYYnQyTFREQWVsMFZLMVpFeFlvVlZjcEtseTZ0Y2RHR0p0b0N1ak5uem1ENjlPbXdzTERBMHFWTE5lNVNNVzdjT0ppYW1zTGYzeC83OSs5SFlHRGdLdzJCRXhFVlp3enFpTjZ5bzBlUElqNCtYaVhCN29NSEQzRHk1RW5zM0xrVHQyL2Z4c0NCQXpGbXpCZ0F3SkVqUnhBY0hJd0JBd2FnZWZQbStQYmJiMUdyVmkwQTZpdGU4OU8wK2xVYlFSQnc3OTQ5WEw5K0hlZk9uY09wVTZlUWtKQUFCd2NIK1BqNHdNUERBM0s1SEdmT25FRndjREJtejU2Tm9LQWc5T3ZYRDMzNjlJR2xwU1dBdkwxYXM3T3pDM3hXUWZQdGltcTE2ZlBuenpGcDBpUTRPam9pSUNDZ3dFVWUzMy8vUFdyWHJvM0l5RWdHZEVSVW9qQ29JM3JMd3NQRDhja25uOERWMVJXLy92b3JqaHc1Z3NURVJKaVltS0JGaXhhWU1tVUtQdi84YzZsKzY5YXQwYXBWSzBSR1JtTFpzbVh3OVBURS9QbnpNV25TcEFLZlU2cFVLUXdhTktqQU9wTW1UVUtIRGgyd2FkTW16SjgvSHdCZ2FXa0pkM2QzdEd2WERrMmJObFhwNld2VXFCRWFOV3FFczJmUFl2bnk1VmkyYkJsTVRVMmw1MnpldkJtaUtMN3VsNmJJV0ZsWllmWHExYWhVcVpKTzI1MjFhTkVDTFZxMGVBY3RJeUo2ZHhqVUViMWxVNmRPbFZhL3RtblRCbVhMbGtXZE9uWGc1T1Nra3JjdVA1bE1oaSsvL0JKdDI3YkZuajE3MEt4Wk03V2gyRGZSdTNkdmxDcFZDclZyMTBiMTZ0VUxEWHpjM056ZzV1YUdNMmZPd05YVlZTci82S09QM2xxYmRLRkx6NTZQanc5c2JXMjFwbzhaUG55NE5OL3ZiYWxmdjM3OXQzcERvcmRBRUFSK1gzN2dDdDVJa29qZzdPd3NBa3hVKzZFTENncFNiazAySFlENlZpQkV4Y2ZSbUppWWx2cHVCTDE3N0traklucDFsL1RkQUNJdGNnR3MwWGNqU0Q4WTFCRVJ2YUtZbUJnT2N4RlJzVlA0akdJaUlpSWlLdllZMUJHUm12eDdxQklSMGZ1QlFSMFJxWWlPamthN2R1Mmt2Vm1KaU9qOXdEbDFSS1RpODg4L2g0R0JBV2JPbkludzhIQ1ZuUmtpSXlQaDYrdXJkbzFjTHNmNTgrZmZaVE9KaU9nbERPcUlDR2xwYVhqMjdKbDAzTHAxYXp4Ly9oeVBIajNTV0Q4c0xFeDZ2WFRwVWtSRlJSVjFFNG1JcUJBTTZvZ0lSNDRjd2JScDA5VEtEeDQ4cUhMODY2Ky9Bb0MwTlZsR1JnWk9uejZOSmsyYUZIVVRpWWlvRUF6cWlBaGR1blNCalkwTkhqNThpTDU5KzZxY216OS9QbXJWcW9YMjdkc2pNakpTNVZ4RVJBUXlNakl3Wk1pUWQ5bGNJaUxTZ0FzbGlBZ0FZR3BxaXJsejU2b0Vic2VPSGNPR0RSdFFwa3dadGZxQ0lHRGp4bzFvMmJJbGF0V3E5UzZiU2tSRUdqQ29JeUlBZ0l1TEMvcjA2U050aDVhWW1BaC9mMy8wN2RzWGpSbzFVcXYvNTU5LzRzbVRKeGc5ZXZTN2Jpb1JFV25BNFZjaWdvdUxpOHB4L29VUVc3WnN3Wll0V3dBQVBqNCtVbmxTVWhJRVFVQk1UQXcrK3VpamQ5TlFJaUxTaWtFZEVha0VjUVc1Y2VPRzlMcGZ2MzRRUlJFelo4NkVuWjBkbWpadFdsVE5JeUlpSFRDb0l5SnBOV3RoYnQ2OHFYTGN2MzkvWEw1OEdRRUJBUWdQRDRkY3poa2RSRVQ2d3FDT2lBQ29EOEcrVERuWDdtV0RCZzJDcDZjbmJ0eTRnYzgvLzd3b21rWkVSRHBnVUVkRWtzV0xGOFBCd1VHbExDNHVyc0RGRUZXcVZBRUEvUFBQUHd6cWlJajBpRUVkRVVrY0hCeDBIb3BWZXZEZ0FRREF5c3FxQ0ZwRVJFUzZZbEJIUks5czNicDF1SGJ0R3N6TnpYSDY5R25ZMmRreFZ4MFJrWjR4cUNNaVNWeGNuRTVsdHJhMnVIdjNMaFFLQlQ3NzdET01HREVDUmtaRzc2S0pSRVNrQllNNklwTG9ta2k0WThlTzZOaXhZeEczaG9pSVhnV0RPaUtTaElXRnFjMnBpNDJOUmMrZVBmWFRJQ0lpMGhtRE9pSUNBSVNIaDZOQ2hRcHE1WlVxVmNLdVhic0FBRzV1YmxpNWN1VzdiaG9SRWVtQVFSMFJBUUFxVjY2c3NkelEwQkFWSzFZRWtMZkN0WDc5K3UreVdVUkVwQ09tZnljaUlpSXFBUmpVRVJFUkVaVUFET3FJaUlpSVNnQUdkVVJFUkVRbEFJTTZJaUlpb2hLQVFSMFJFUkZSQ2NDZ2pvaUlpS2dFWUZCSFJFUkVWQUl3K1RDUmp1N2N1YVB2SnBBZThmOC9FUlYzRE9xSWROU25UeDk5TjRHSWlFZ3JCblZFaFZzcWs4bGE2THNScEgraUtLYktaTEo5K200S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zlvdjhIVVJMb1J5VTZzVTBBQUFBQVNVVk9SSzVDWUlJPSIsCiAgICJUeXBlIiA6ICJmbG93IiwKICAgIlZlcnNpb24iIDogIiIKfQo="/>
    </extobj>
    <extobj name="ECB019B1-382A-4266-B25C-5B523AA43C14-6">
      <extobjdata type="ECB019B1-382A-4266-B25C-5B523AA43C14" data="ewogICAiRmlsZUlkIiA6ICI3NzMyMzA1NjMyNiIsCiAgICJHcm91cElkIiA6ICI1MTU4OTQ4ODgiLAogICAiSW1hZ2UiIDogImlWQk9SdzBLR2dvQUFBQU5TVWhFVWdBQUF4d0FBQVdxQ0FZQUFBQjFSR1phQUFBQUNYQklXWE1BQUFzVEFBQUxFd0VBbXB3WUFBQWdBRWxFUVZSNG5PemRlWHhjWmIwLzhNK1pmVjh5bWV5WjdFbmJkRXRTbFFKNkN5SWc2cjBxS0NySTVnOUYwWHNGRVZmZ2lpQ0NpcmlnNGdMb0ZVVVdSZHhRQWV1OUNDaHRXdHFtVGJObjB1eVQyYmN6Mi9uOWtVdzZtY3hrYVpPbXRKLzM2OVZYWjU3em5ITytaMllLNTN1ZURT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mFNM0lBeXJVT1lnRXFBSnExRG9JV1ZReWdjSzJESUNJaUlqclZsV2kxMnNxMURtSTVpb3VMUDdsMTY5WmdVVkhSeDFiaitNM056WjJ0cmEzU2F1N2YydG9xTlRjM2Q2N1VPWmQ3L2p6a1pyUDVMVXVwYUxWYTMxRmZYLzhYZzhHdzR4ak9zMnJNWnZNbFdFS3laekFZTm03ZXZIbXFxYW5weGFYVVg0UkNyVmJYSCtjeGlJam9OVWl4MWdFUW5TejBldjJtNnVycTMweE1UTnczT1RuNTNYUzUyV3crdjdhMjlnOGVqK2NYQXdNRFZ5N2xXR2F6K2Z5S2lvcHZyMVJzOFhqYzA5WFZ0UjJZdmxGV3E5Vk51ZXAxZFhXZEV3d0dkd0lvS1NrcCtSSUFLUkFJL0hhbDRpQ2dzckx5NjNhNy9aTlRVMVAvTXpnNGVEMkFRSjZxUWtsSnlSMWFyWGF6eStYNndVckc0SEE0bG5XOFJDSXhOakl5OHQ4QVVGQlE4TjdxNnVwZkJZUEJsN3U2dXQ0SllEemZmc0ZnOEdBMEd1MHdHQXh2cksydGZhaXZyKy85aTV4S0JzQ3UwK25LVkNwVnRVcWxxdE5xdGVzMUdzMUdyVmE3Q1VCcTc5Njk1dWJtNW81OHYrRnNvaWdlN3Vqb1dKZFp0bEpKNTBMbklDS2lsY09FZzJoR2NYSHhyV3ExdWs2dFZqc3l5MzArM3o5U3FWVFlhclcrYjJ4czdOWm9ORHE0aE1PWmxucER0UlJ5dVh3cXU4emo4VHlTZnEzVmF0czBHczI2WkRJcEFrQlZWZFhYNUhLNUtSd090MXV0MW11dFZ1dThZeWFUU2UvNCtQaDkrYzY1MUp1NnhlcWQ2SnU1a3BLU1R5c1VpdkxGNmlrVWlpSUFxS2lveVBzWlpEcHk1TWduQVdCOGZQeUhScVB4Zkp2TjlrR0R3WEJtZjMvL2U4UGhjSHQyZlp2TjlrR3RWcnM1RUFnODUvVjZmNzJVY3hpTnhyTWJHaHIrTDkvMmFEVGFjZkRnd1kyRmhZVWZXY3J4MGtSUlBKeE9PTnh1OTFNV2krVUppOFZ5eWNhTkcxL3E3dTYrVUJURnJqeTdwZ1lIQnorMGZ2MzZ2WWxFUWdSZ1JQNEVDeWFUNllMNit2by9aaFZMb2lnT0JnS0J2MFlpa2IzSWFDbHh1VndQTEJUM1F0Y3BTVklzRm92MUw3VC9VcXprdjFNaUlzcU5DUWNSQUtQUmVLYkZZcmtrbVV6NmpodzVjay9XNXBETDVicS91TGo0YzhYRnhYY01EZzUrY0xIaitYeStKOXJiMjRXVmlDM2ZEWDEvZi8vbDZkZnIxcTFyajhmakk1Rkk1RjhtaytraW04MTJPUURvZExwV25VN1htbXYvV0N3MnVGRENBUUNKUkdMSzVYSjlOOWUyd3NMQ2p5c1VDdHZZMk5pWDh1MWZVbEp5MjBMSFh3MFdpK1V5blU2M1phbjFpNHFLL21zcDlkSUpSeXdXTzNUdzRNRTMxTmJXUG15eFdDNXVhbXA2c2JlMzk5MSt2ei96UnR0WVZsYjJWVW1TWWs2bjgvck00eGdNaG5QMGV2M1c4Zkh4YjJhZkl4YUxUV1Fta2xhcjliSmtNdW4zKy8yL0F3QlJGSWZTMjdJVHVYVExWL2J2THNmdko5YlgxM2VwdytGNHNMQ3c4TXFtcHFaL0hENTgrTXptNXVaOFNRY0FvTEN3OE1yQ3dzSzhMWHp0N2UyQzMrLy8yL2o0K0wyeFdHeEFGTVhlK3ZyNlA0aWkySlV2NFhRNm5kY3RjczY4Q1Vjc0Z1dlBkVnlielhhRnlXUTZmM1IwOU5ab05OcTMwUEdCbFc4dElTS2krWmh3RUFIS2lvcUtCd0JnZEhUMHl3QmMyUldHaDRlL1pyUFpQbXl6MlM3M2VEdy85L3Y5Zno3aFVlWmhNQmcyNm5TNmx0SFIwVHZWYW5WdFRVM05MeEtKaEt1N3U3c3RFb2s0czZwcm01cWFudFByOWRzbkppYStzOWl4azhta0svMWtQSnZWYW4yZlFxR3c1ZHNPekU4NHlzdkx2MjYxV2k4QkFLVlNXUTRBR3pkdUhBQUFwOVA1VWFQUmVKN0ZZbm5iWW5GbGp1c0FnRlFxSlI0NmRHZ0xBSFIyZG03TnQ1OWFyVzZvcmExOVVpNlhtMlF5bVU2aFVOakQ0ZkF1dFZyZE9EUTBkSVBiN1g1d3NYUFBDUGIxOWIybnRMVDBkcXZWZXJIZjczOHhjNlBENGJoVHFWU1dqbzJOM1M2SzR1R01UVUpGUmNYWGRUcmQxbEFvdEdlbSs5c3NVUlM3TWhOSnE5VjZXU0tSR00wc1d5RXBwOU41alNBSWNybGNyaEZGc1M4clRnQ0FRcUVvU1NRU1k4czRiblI0ZVBoVEt4am5zdWoxK2syVmxaWGZUeVFTNDRJZ3hBRlk4bFJOWW9HV0dpSWlXbGxNT09pMFYxNWUvaVd0VnJzeEVvbnNtNWlZK0ZhZWFwNGpSNDU4dXJxNitzSHE2dXFmemR6TUh6bWhnZVpoTnB1dkJwRHkrLzJQMTlYVi9WWW1rMm03dTd2L1BVZXlJYXV0cmYyRlhxL2ZQanc4L0lXSmlZbHZMSFpzdVZ4ZVdGWlc5dC81dGdGQXZ1MjVwRktwYUNxVkNxYmZ6cFFGQVVBUWhJUktwU3BmU2hlWDdEcVNKSW1MN0NJVUZoWitxTHk4L0J1aUtQYjI5ZldkV1ZOVDg3eENvYkIzZG5hZTdYQTR2bFZkWGYyVGdvS0M5NHlPanQ0Y0NvWDJMK0Z5cE5IUjBWdEdSMGZ2QWhCT0Z4b01oamNWRmhaK1BCcU5kb3lNak55WnZjL1EwTkRWalkyTnU2cXJxMzk2NE1DQkxRQzhTempYYWtnTkRnNWVoZWx4RjhuczFvS2lvcUliS3lvcXZ1RjJ1eDhhR2hxNllVMGlYQWFOUmxOVlcxdjdqRXdtMDZsVXFwcjE2OWRuLy81bnBidW1uY2o0aUloT1owdzQ2TFJtTXBrdUxDNHUvb3drU2ZIQndjRnJBQ1R5MVhXNzNROVpMSlozV0N5V2QxVlhWLy9oMEtGRE93QjRzdXV0UkJjTlVSUjdPem82bGpLamo4cG1zMTNoOC9tZU1SZ01PelFhelhwUkZIc2JHeHYvdnRCTzVlWGxkNWFYbDk4NWM2NjhZeXdVQ29WdHNXNVJ5K2syTlRvNitzWFIwZEV2QWtlN0FHWGUrUGw4dnIvMjkvZS9MLzArMzJlNW5PNXFCb05oUjBWRnhUMDZuZTUxTHBmckIwNm44d1lBMFl3cW90UHB2RzVxYXVxSjZ1cnFCNXFhbXZhNjNlNWZUVXhNM0JzT2gzZGxIVTVqdDlzL05EazUrVU1BOFpteWNNWjJlMDFOelNPU0pDWDcrL3V2QVJETGppY1VDdTJibUpqNFduRng4ZWVycTZ2dkh4Z1l1R3lwMTVKSnJWWTM1ZnA4RnZ2OUdReUdjNExCNEM1TVArRlB6dnladzJxMXZxK2lvdUxyb2lnT1RFMU5mUzM3MUNVbEpaOVJxOVhWTS85bWp0bHlCNy9ubzFhcm0rcnI2LytzVkNyTHBxYW1maDRLaFhMOS9vWGk0dUxQcTlYcTZsQW85UEpLbkplSWlKYUdDUWVkdGxRcTFZYWFtcHBIQWNoR1IwYy9IdzZIZHkrMlQxOWYzelViTm14WXI5VnFONjlidCs0dm5aMmRGd0dZekt5VHEydktjb21pdUpTQjZiQmFyWmNvRklyQ3ljbko3L245L2o5TGtpUVBoOE43VFNiVG01YXkvMExKZ3RmcmZUSVdpdzBmT1hJazV4aUhmR01HTXRYVzFqNFJpOFdHbHhMTENsTmFMSlozRkJVVmZkcGdNSndoaW1KM1YxZlhtNFBCNFBQNWRnaUZRczkyZEhSc0tDb3F1cjZrcE9SekJRVUY3dytIdysxVFUxTVBCd0tCcDZQUjZHQmxaZVhYN0hiN3gyMDIyelY5ZlgwZmpNVmlCek1Pb1d0b2FIaE1xVlJXakkyTjNSNkpSUDZWZFFvNUFCMEFnOWZyZmN4bXMxMVhVRkR3QVovUDk2akg0L25kY2k4d2tVaTRwNmFtSGtxL3Q5bHNWeXNVaW9MeDhmRTVMVmZGeGNXelhaeU1SdU5aOWZYMWY0bkZZa2VjVHVjSEE0SEFDOW5IdGRsc1Z6b2NqaC9INC9IUm5wNmV0NGlpT0pKVlJUS1pURHNNQnNNNTRYQjR6K1RrNUd6WFBJZkQ4WVBzY1JmWmlWSG03Mlc1Zzk5ek1adk5iNm1xcXZxbElBaUtVQ2owb3NWaWVmdkV4TVIzSTVISVB6T3FxUndPeHcvVmFuVzExK3Q5YW5CdzhLUEhlMTRpSWxvNkpoeDBXdEpvTk5VTkRRMS9rY3ZsWnEvWCs1dXhzYkhzZ2VMNWVQdjYrdDdhME5Ed2drNm4yOWJjM1B6U3dNREF4YUZRNk5WMGhSTTVJNVBWYW4wSEFLUlNxVUVBaVltSmlYc0JZS0ViNjB3TEpSeDlmWDJYSEc5OEszR01aYkpXVkZUY1ZsQlE4QUdGUW1GUEpCSVRRME5EL3pVNU9ma0RaTFUyakkrUDM2ZFVLck1YdEJNbkppYnVuWmlZZU1CdXQxOWRWRlQwaWNyS3ltOEQrTGJYNjMyeXI2L3ZJMnExdXRGa01wMi9ZY09HVjV4TzV5ZmNidmVER28ybXVyYTI5bzhhaldZOUFGZ3Nsb3V0VnV1bGdpRG9aREtaWGhBRW5Wd3V6N21PUlhsNStmMGVqK2R2QUlLNXR1ZVRUQ1luaDRlSGIwcS90MWdzYjFjb0ZBV1paY0RjaENNUUNQelQ1WEw5d0c2M2Y3eSt2bjduMk5qWWJhT2pvMThCSUFHUWxaYVdmcTYwdFBUTHNWak0yZFBUYzY0b2lwbURyZ1ZNenpDbEhSZ1krRVJUVTlOZkt5b3F2aEVLaFY0T2g4T3ZBTk10Vk1sa01nZ0FPcDJ1eldnMDdzaE9qREl0MWxLMVdHdU5WcXV0cUttcGVTcVJTTGo2Ky92ZkhncUZlaHNiRy8vYzFOVDB2TlBwL0UrMzIvMFR2VjYveGVGd1BLelZhcmRPVGs1K2QyaG82SlBJMGFwRFJFU3Jod2tIblhiVWFuVjlmWDM5YzBxbHNqd2NEdS9xNit1N0F0TTNYR25LNHVMaW04Ykh4eDhHTUpxOWZ6UWFIZWpxNnZxM2hvYUc1OVZxZFYxOWZmM0xZMk5qbnhzZkgvOE9UdkNOelBqNCtGMW1zL21Tc3JLeSs3dTZ1djROQURRYVRZMUtwVHF1cVQ0WG01NDEwMUs2a0xXM3Q5dVJZekQrREcxeGNmRW5BNEhBbjNOTkw3dE1mcFBKZEVFc0Z1czdjdVRJWjB0TFM3OVFXVm41cmNyS3lueGpjMUJhV3ZybGZOdG1CbkYvd0c2M1h6ODhQUHhaQUZNOVBUMXZyYWlvdUx1b3FPaW02dXJxbjhUajhlNUFJUENTVENhYlRTalVhblZESXBGd0pSSUpkeXdXRzBnbWs1NUVJdUZMcFZLQlpETHBUeWFUZ1ZRcUZUU2J6VzgxbVV3WE9oeU9yemlkenY4RWdKcWFtcDlueHFCUUtFclRaYUZRNkI4VEV4UGZQNDdQSnpFME5QU0phRFRhV1ZsWitlM1MwdEk3UkZFY2RidmREelkyTnY3ZFlEQ2NEUUF5bVV4WFgxLy92Q0FJR3BsTXBwSEpaQnBCRU5TNURsaFRVL05JUjBkSEM0Q1F6K2Q3MHVmelBUbFQvaXRnZm1JRUFCMGRIYTJZSGp1eW9QYjJkaU5teHZya0VvbEVqdlQyOWw0WUNBUU9BNWdBZ0s2dXJyYzRISTd2VjFkWC83aWtwT1FHdFZxOUxwbE1lZ2NHQmk1MXU5MlBMZTFqSWlLaWxjU0VnMDRyV3EzMmpJYUdocWNWQ29VOUdvMTJ6SFNKbXZOa3VhaW82TnJ5OHZLdkZCY1gzN1J2Mzc2cTdPM0E5QmlMQXdjT25MRnUzYnJmNlhTNnR2THk4bSttVXFuVTVPVGs3R0ovOWZYMWYxYXIxVlZMalUwVXhjR2VucDRMbG5NOW9WQm9uOHZsK3BIZGJ2K293V0E0TnhnTVBtODJteTh0THkrL2F6bkh5U2NjRHUveCsvMVA1OXEybEdseEN3b0tybEdwVkF1dTBMNXAwNlp1cFZKWjN0L2YzMTlZV0hpdDBXZzhaN0c0c21lcEdoMGR2YzN0ZHY4S1FQTGd3WVBiQUlRQW9MUzA5R1lBbUpxYStzbGl4OHhtczlrK0JFRHllRHkvOUhnOHY4ellsRHB5NU1pbncrSHdRYjFlM3hvSUJQNFBBSHA3ZXk5VEtCVHlRQ0J3RUlCN0tlY0lCb08vTmhnTVhWYXI5U3FuMDNrN0FKZlZhcDB6cGtNdWw1dXl5bzRuNFFBQVRFNU8zaCtQeDRldFZ1djczVzczd3dBUWpVYjNwQk1PaFVKaEI0QlVLaFZPcFZMQldDem1TaWFUd1ZRcU5mc25rVWdFTlJxTncyQXduT053T081ek9wM1hacHhDYVRLWk1uL0xlc3g4SndVRkJWZnI5ZnEyNWNZOE5EVDA4VnpsNmM5L2hzMW1zNzFkcFZLVkE0QkdvMm1lS1plTVJ1T0ZraVNwd3VId1N6TXRONXdPbDRqb0JHSENRYWNWaFVLaEVBUkJGWWxFOWg0NmRPZ0NaSTIvQUdCTWR6T2FtSmk0Qnd0M2N4bnQ3T3g4bzhQaHVFK3RWdGRscms0T0FET0xDTll0Sjd4bDFKMDFNVEZ4bjkxdS82ak5acnM2R0F3K1B6NCsvdU5RS1BUN3BlemIyTmk0NEd4TWtVaWsvWGlteFRVWURPZmxTRGgweGNYRjF5cVZ5Z29Ba01sa3R2SHg4WHM5SHMrekJRVUZseC9MTEZVeW1TeHpaY05RZHYzQndjSC90OWd4czgwa0hIbTUzZTZIM0c3M2JGZWhTQ1R5MG5MUEVZbEVqZ3dORFgwMEdBeStnSmtXb014dVJxMnRyVksrUWYzSE9tZzh6ZXYxUHVYMWVwOUt2M2M2bmJkN1BKNUhFNG5FVUNRUzhXSDZ0NSszZFdHR2ZzT0dEZjhVUmJFanM5QmlzVndrbDh0TkFDQ1h5d3VhbTV0Zm5acWFlbUJzYk94clpyUDVBcXZWZXVsU1lzeVVKK0d3bWt5bU00eEc0OWw2dmY1Y3ZWNy9Pa0VRNURNemhOMDhOamIyVTVQSjFGWlFVSEM1eFdLNXhHYXpYUTBBeVdUU0g0MUdPMGRHUms3NjJiZUlpRTRGVERqb3RCSUlCRjdvN3U1K2N6Z2M3a0tPZWZqTHlzbytyMUFvaXFMUmFPZlkyTmk5U3poa3hPbDBmZ1NBQ25sdXpwWXlvOUx4ekd3bGltS1hLSW85SnBOcHgweVJLeGdNNXV1K3RDeGFyYmIxZUtiRlZhbFVjMVp0THk0dS9xL2k0dUpiRkFxRkxWM1czZDFkRnc2SFJ3Q2d0N2YzN1puMVYyS1dxcFBkMU5UVVQ0OWx2MlF5NmZWNFBMOUt2N2RhclpmSzVYSkw5dXJkeXhpWTdRb0VBcDVObXpZTngyS3h6c09IRCs4QWdNYkd4djlUcTlVTisvZnZMMGxYekV5RURoNDh1QlZaczd2TkpMLy9OQmdNWjBpU0ZBY2dsSldWM1IyTlJudjYrL3ZmbHprVFdkckdqUnNIVkNwVjFYSysyK0xpNGl2THk4dS9DUUNSU0dUditQajRIZUZ3K0ZXdjEvc1h6Q1NlZnIvL1QzNi8vMDhBMUNhVGFZZlpiTDVBcjllZnExYXJhd0tCd1BGMjRTTWlvaVZnd2tHbm5YeXpVYW5WNnZyaTR1SWJNTDFXd3JVNE91MXBtZ3o1bi9qT20vNzBSSXBHbzExbXMva2lBTXF5c3JJdnJOUnhkVHBkaTA2bmExbW96bktteGRYcjlXK1d5K1dHeWNuSjcxb3NsbmNxbGNxS2RMS3htbFpqTmVtWjM0cG1mSHo4UjVocG5ValAzTFdjNHh4TDhqUTJOdmFsZUR6dXlteFZNeHFOTytSeXVTVjc5ZTVFSWpFV2o4Zm5KYUEybSsxS2xVclY0UEY0Zmh5TlJnZG1pdFZLcGJJNEhvL1B6aXltVkNydFNxV3llSUZ3NWlRYkdvMm14bVF5dlgxNGVQaG1nOEZ3UmlxVkNuUjNkMSs4WWNPR2w2dXJxLytudTd2N3pGQW90Rys1MTV6TCtQajQ5Mk94bU12ajhUd0xZQXlBWXN1V0xaTzF0YlhtZUR3K0hJMUdPMFZSUEJRT2h3OUdvOUdEZnIvLzVZeEZPMVZZNDMrM1JFU25DeVljUkRNcUt5dnZGd1JCUFRrNStiM3M2VUx0ZHZ2SGk0cUsvck9qbytPTkFNYlhLTVM4QkVGSTM3UnFsNU1BTEdacWF1b24rYm9qTFdWYTNNYkd4aGNNQnNOWjZmY2VqK2RIbzZPakg0OUVJazZUeWZTV2xZcHpNZGxQL1pkaXNaWUJxOVY2dVU2bmF4VkZzZFByOWY0bWM1dkg0M2xrc2VPYlRLWjNwTHNkTGRkQzNkaVdXdGRzTnIvVFlyRzhVeFRGM21nMG11NGFaZ1NBVkNvVk9aYTRBS0NvcU9obUFLbUppWWxIS2lvcXZnRUFzVmlzbzcrLy8ycUh3L0h0ZUR5ZW5jZ2ZEOUhqOFdRT3N0ZU9qWTE5U2ExV3I5TnF0ZXUwV3UxbW85RjRYbnBqYjIvdmUzdyszeE16YjVsc0VCR2RJRXc0aUREOXROZGtNcDBmaThYNmg0YUdQcHU5WGFWU1ZhdlY2b2I2K3ZwZjlQVDB2QVdMOTIxZmRTYVQ2VzJwVkNxa1VxbHFqRWJqbTJmVy8vRFBKQUJLVEsvN0VMVllMTy9XNi9Wbnpjd1VOT2RKZjBWRnhYM3hlSHhlQWhVSUJGNmNtU0VvNTgxaGFXbnBIVDZmNzJsUkZQT3U1Z3hNenhnMEUwY1FBSTVsdlltVmtQM1VmeWtXU1RnS2RUcGRTeXFWQ25tOTNtZXlOL2IzOTErKzJQR2JtNXM3anlYaEtDNHUvcVJPcDl1V1hhNVFLRXFCK2JOYzVZc3BuUWlHdytHL3BjdjBlbjBKQUNRU2lZbmx4Z1ZNanl1eDJXd2Zta25BNXZ5dWZEN2ZFL3YzNzM4V2dMZWlvdUsrN0gzbGNua0JNUDJiek43bTkvdi80dmY3LzdqQXFiV1lUcFlteHNmSHMvY3ZOWmxNVzdSYTdWYWZ6L2VYNVY0VEVSRWRQeVljZE5yVGFyV09pb3FLYndGSURRNE9Yb2tjWXp1R2g0ZS9ZREtaM21JeW1jNHRLU241NHRqWTJPMG5QdEs1ckZicnhlbEJzQUNrMGRIUjIydzIyNVZUVTFOUDE5VFVmTWRxdFY3VzN0NHU2UFg2TTR1TGkyK1V5V1RDME5EUWplbjkxV3AxdlZhcjNaaTVjRnVhVnFzdFV5Z1VXd09Cd0xNQVVGVlY5YUJLcFhKMGQzZWZaelFhenlvdExmMkNKRW1KeWNuSmV6RjlzNWZ6aWJqVmFyMVlMcGRyWFM3WGp4YTdudVYwUjhyVlJXcHdjUERxcWFtcGgzUFZyNnFxK3ZGU2pydFVOcHZ0SWdDQzMrOS9Cbm11ZlpVVUdneUdIV2F6K1QveVZjaWU1U290TStGUXFWVHJGQXFGWFJURmdZenVWRkNwVk9zQklKRklIRmxtWERvQTRZcUtpbnNFUVZCT1RFemtteVhOQ3dCRlJVVTVGNVBNdHkyWlRBWVhTamdLQ2dvK1VGMWQvZU5rTXVrVFJiRTdHbzEyeDJLeHJrZ2swaFdMeFRyOGZ2L2ZacjRySWlKYUEwdzQ2SFNuZERnY2o4cmxjdlBZMk5qZFdWTnNaaEtkVHVmbGpZMk51MHBMUzI4TmhVTFA1MXFsT1pmVkdEOEFBQzZYNjl1aUtCNmV1Umw3Umk2WFc5ZXRXL2VLVENhYk01dlA4UER3elRxZGJvdmRicjhoR0F5MmV6eWVuOC9jMkNkME90M3I2dXJxZm4vdzRNRXpBUGpTKzFpdDFtdExTa3B1SFI4ZnYzZDRlUGhUQm9QaHpIUXlFQWdFL3RIZjMvL0J5c3JLKzRxS2ltNDJtODN2SGhnWXVHUm04VU5aYlczdFV4NlA1MUdQeC9OY1pXWGx0K1J5dVNrYWpYWUZnOEcvTDNROVdZdk1BWmcvRzFWRzNYbXJ1U2VUU1YrdXVzRGlNMDR0bDlsc2ZnY0FlRHllM3l4VzkzakpaREpUUlVYRjE4eG04Ny9INC9ISnJxNnVzM1BWVzBvWHR6U1R5WFEyTUgrQnlQUzB1TUZnY085eVlxeXBxWGxJSnBOcFlySFlzTmZyZlNJVUNpMjRmNjRZajJYUWVGb2lrUmgxdVZ3UGFEU2FSclZhM1pqZEFpUkpVa0lVeGU1SUpISWdFb25zSHhzYit3cTQrQjhSMFFuRGhJTk9aMEpWVmRYMzlYcjk5bEFvOU5MSXlNZ1hGNm9jQ29YMmo0Mk4zVjVhV25wSFZWWFZJd2NPSE5nRXdML1lTWExkSE9lcE43akV1TlB4N00yOHNhdXNyUHpPVEt2RFl3YURZWHRHMWRUdzhQQ1ZkcnY5anBrdVRZcm01dVpEVTFOVER6dWR6by9VMU5UOHNyYTI5c0crdnI2TForb0xWcXYxY2dDWW5Kek0yVExnOFhoKzd2RjQvbHBYVi9lZ1JxTnBDSVZDZzhEMEN1NFdpK1VkT3AxdWk4ZmpxZXJ2NzcreW9hSGg2ZHJhMnNlN3U3dGJJcEhJY0s3akFVQlBUODlGMldYNWtyWGxydVorTERleEN5U0tXcFBKZEtFa1NYR1B4L09INVI1M0VYcTlYci9kYkRhL3lXZzB2Z2tBbEVwbGFWRlIwVTJTSkluaGNIaFppVUErNlRVeWdzSGd6b3hpbzlWcWZSOEFLUndPTDJtbCtqUzVYRzdWNi9XdjcrbnBlVk1xbGZLdVJJekw0ZmY3LzVqVkFtTFdhclViOUhyOVJxMVcyNkxUNmJacXRkcXRHbzFtdlZLcHJCd2JHOHU3MkNNUkVhMDhKaHgwV2xLcjFYVVZGUlhmbnBuWkNlRncrSi9GeGNVM3llVnlyVXdtMHdtQ29CTUVRU2VYeTNVeW1Vd3ZrOG4wY3JuY0lKZkx6Y0QwZEs5VlZWWGZIUndjdkdLeGN5MzM1amlMYnVidnhjYU1sTnBzdG10bVp1Q1pUS1ZTNmZveUFLbHdPRHd5T0RoNERUQ2RGQUFRVXFsVTFPUHhQR3F4V041cHRWb3ZOWnZORi90OHZpZU5SdVBiMUdwMWJUQVkvTjlZTEhZSUFDUkpTajhObHVQb2srSHgzdDdldHdHd1lhYXJUUHJKY2pBWS9BY0FCQUtCMzQrUGo5OWJYRno4cWNyS3lsOTFkWFh0UU5hc1JxdXB1N3Y3blVxbFVyTjR6Zm02dXJvMnhlTnhNYnZjYkRaZkpKUEpERFBkelZiMDVycWdvT0I5MWRYVnMwbWVLSXBkZnIvL2p6NmY3eTkrdjM4blZxYjdsc3BvTkY0QUFPRndlR2U2ME9Gd2ZFT2hVTmo4ZnY4em1kMnNsa0twVkpiRTQvR1JsWnA5YWdYNElwSElTMWxyb3lqMGV2MUdjTUUvSXFJVGpna0huWllzRnN2YjA4a0dBTmp0OWs4dXNvczBzOUp5UUJURnd5cVZxdFptczMzUTUvTTk1ZlY2ZjUxcmg2R2hvWThMZ21CWVlraHlBR29BNGN4Q3U5Mysvd0Fna1Voa0wxQTRSMlZsNVMweW1VdzNQajcrZFFCSUpwTmpBR0MxV3QrV05WRGJhcmZiUHdVQXdXRHcvd0NndjcvL2VwL1A5MWVmei9kckFFSkZSY1dkQURBK1BuNW5lcWRZTEhaRW85RnNLQ3dzL0pETDVYb1ljMmY0bVFJZ3FOWHErcUtpb2s4RGdNL25tMzNhUERQKzVYeTVYRzVXcVZUMXNWaXNCNEJkb1ZDVVNwSzA0ak1GWmE5Q3ZsSWlrVWhYWDEvZnY5dHN0dmNEMHd2bjVhdDdyTjNvM0c3M2J3b0tDajR3azJUOFRoVEZyb3pOaG53RHdvSEZCNDBEMCtNNHpHYnpEcmxjYmhSRnNTOFNpUXdCVURzY2ptOFhGaFplbTB3bUEwNm44OFo4KzZjbGswbXZRcUVveG5STGdrbWowVFQ1Zkw0L0w3YWZTcVZhWDF4Y2ZIMnViZWxCNDVXVmxkL050UjJZdS9pZlNxV3FXYTN2bW9pSVZoWVREam90alkrUC82Q2dvT0NhUkNJeEVZMUd1NVBKNUdROEhwOUtKQkx1WkRMcGxpVEpLNHFpVnk2WCt5S1JTQURUQThsbmJ5TEx5c3ErVkZKU2NtdGxaZVgzdkY3dnM4alJ0V3FaZzFUTnJhMnRMZ0JTS3BXS1NwSWtDb0tna3Nsa2VnRHdlcjBMenU0ME9UbDVkeXdXTzVMdUl1TjJ1eCsxMiswMzFOVFVQRjFUVXpPdnZpaUtYUjZQNTdjemI2ZmNidmRQQUVDajBkVEtaREpUS0JUNmUrYU1QbTYzKzhjbWsrbDhoOFB4Z01QaFdIQ0syWEE0L0lySDQza3M4M1FEQXdOdmowUWlFdzBORGIvTG5LWTBGQXE5dU9DbmNneVd1dzdHVWttU2xBQlFrQjYvRVF3RzgzNG54ekV0cnJ1bnArZk5lWGJSNUJzUW5tbWhPdjM5L1plYlRLWjAvSDlYcTlWTjlmWDF2MWVyMWZYSlpETFEwOVB6N25TcjFrSUNnY0N6Rm92bGt0YlcxdGtXSHIvZnYranE5aHFOcHNwdXQrZE1PTklXMnA2WmNBaUNvRnF0NzVxSWlGWVdFdzQ2WFltSERoM2FjcXc3ajR5TWZNVmdNSncvT1RsNVA1WXdqbU1KM0pGSVpMOUtwYW9ScHFrQVNQRjRmTmpyOVQ2MTJMb0wwV2gwTUJxTmZpWDlQaHdPdDNkMWRXMHpHQXdYcGJ1QkFkTTN6ZkY0Zk5EbGNqMkdyTmFVbWVQMGRYUjBOQUlvbkJPYzIvMTRMQlk3eDJ3MnYwT2hVQlRKWkxJNVl5SlNxWlNVU3FYOG9WQ28zZTEyL3dKWmF4eEVJaEVuTUoxZ3FGU3FXa21TeEVna3NuOWtaR1RGRmlsTVc4MVZ5TFZhYllYYjdYNU1xOVUycEs4cGwxV2FGdGUxRXRmbTgvbitvRlFxU3dLQndET2lLUGJFNC9HaGVEenVHaGdZdUNaWHNqRTFOZldnWEM0dnlpenI2K3Y3ZjJWbFpYTWlGQzhBQUNBQVNVUkJWQWVWU21XdEpFbkphRFQ2VDVmTHRlaE1ZSDYvLzVtVituN1NLNTBmNzNGV2ExSUhJaUlpb3Rjc3JWWmJQak1PNDNSZ3djeGlkRE9NTTJWclRaNnIwR3cybjI4Mm15OVp5Z0dXVTNlVm1RR3NTcEttMSt2UDAycTEyeGV2dVR3Nm5XNmJTcVZxUHRtT1JVUkVSRVJFUkVSRVJFUkVSRVJFUkVSRVJFUkVSRVJFUkVSRVJFUkVSRVJFUkVSRVJFUkVSRVJFUkVSRVJFUkVSRVJFUkVSRVJFUkVSRVJFUkVSRVJFUkVSRVJFUkVSRVJFUkVSRVJFUkVSRVJFUkVSRVJFUkVSRVJFUkVSRVJFUkVSRVJFUkVSRVJFUkVSRVJFUkVSRVJFUkVSRVJFUkVSRVJFUkVSRVJFUkVSRVJFdENxRXRRNWdKYlcwdFB4VEVJVFhyM1VjUktjclNaSjI3dG16NTV5MWpvT0lpSWhPSHJLMURtQWxNZGtnV2x1Q0lPeFk2eGlJaUlqbzVLSlk2d0JXdzlrL2ExM3JFSWhPT3k5YzBiN1dJUkFSRWRGSjZKUnE0U0FpSWlJaW9wTUxFdzRpSWlJaUlsbzFURGlJaUlpSWlHalZNT0VnSWlJaUlxSlZ3NFNEaUlpSWlJaFdEUk1PSWlJaUlpSmFOVXc0aUlpSWlJaG8xVERoSUNJaUlpS2lWY09FZzRpSWlJaUlWZzBURGlJaUlpSWlXalZNT0lpSWlJaUlhTlV3NFNBaUlpSWlvbFhEaElPSWlJaUlpRllORXc0aUlpSWlJbG8xVERoT1lvbHdFdjd1WU01dGNYOEMvcTdjMnhZbExiMnE2eFV2ZkozSGVKN2o0TjdyUTFKTXpTbExpaWw0OXZubnZWNnF6dnY3a1FnbGppbWVzWjJ1T1o5RDFCV0RsRnpHQjdrQ1l0NDR1bjQ0aUVRNGVVejcrdzRGa0lxbEZxOUlSRVJFdElJVWF4M0F5ZXlsYS9kaTY1ZlhRMXVpbnJkTlNrbDQrU092b3VYTzlkQVV6ZC8rd2hYdHl6N2YyVDlybmZQZWZ6aUl3OS9yUi9QTjlUQTFHREpPRG5UOWNBREIvakJhN2xnUGxWV1pNNzY5dDNTaS9rTU9HR3YxcytWamYzUEI5VThQbWo5ZEQwRXVMQmhQY0NDTXp1LzJZZE5uRzVaMmN5MEFndXpvTVpmNkdiVGR2UUhhVXMyY3NvUDM5czRyajdsajZQaDZEODcrV2V1YzEwdmwrcWNITmUrdmdFSy9jTDFrSklrOXQzU2k2YnBxR091bkt3ODlOWXJTODR0Z1hqZjlQZlE4NkVUY0gwZmpoNnVoZDJobjkwMGxKRWlKK1o5VnpCUEQ3czhjekh2T3pHdk4vdHpzWnhhZzZicHFEUDl4SElsZ0FncWRmRW5YbTIzL1hkMDVQMnNpSWlLaTFjU0VJNHQ3cnc4SDcrMmRmYi83NW80RjYrKzY2ZWoyN0p2ZnpWOXNoS1o0ZmpLU0xUb3VZdDhkWGZQS0Mxck1LTCtvR04wL0drVHJWemZNM3N3UFBUMEdmM2NJbXo3YmtEUFpBQUJmWnhEaDBTaDBXVGVYNW5VRzlQL2lDUHAvT1l6YXl5dnl4aVFsSmZRODZBU2s2UnZWcGRDVmE5QjYxNFk1WmMwMzFVTmpWK1hkWjZHYjhHUFIvOHRoRFA5cFBPLzJWejY1UCsrMjlQYzMrVThQRXFFazlGWFRpVVFpbklUb2prTmZlVFN4MlBESld2UThQSVJYLzdzVFRkZlh3TlptQVRDZGlFeThNRFh2MkcxM2I1anpkNlpjbjhHV1c1dWd0cXZROHhNbnRNVnFpSzRZUnArZFJDb2h6VXRJNnE5eG9HUkg0ZXo3cUN1R1hUY2V5SG1OK1Q3dmJmZHVoS1l3Ly9kRVJFUkVkS3lZY0dRcDJHTEdXUSsxQUFEK2NmVWV0TjYxSVhjTGh3UzhlTTBldE4yOUlXY0xCd0FvalFxb3pMa1Rna3pKckM0eWtkSG92QnZEZjF5MVo5NStlMi9ybkgyZG5leE12dWlHWllNUmlVZ0tNVzk4enJhU2N3cVJTa3FJakVibmxHYysrZTUvZEJpSlVBTGJ2dFlNUWJtMG5uZXlIQS9lTlhiVnNwNm9SOFpFU0luVTdHdVpTZ2FaUWtBaW5FUjBNamEvZnNZMXFLd3FWTCtuREk1M2xjNldTWWtVZWg1eUl1WlB3SDg0Q0dPOUhuS05IUFZYVlVKcHl2M2RqRDN2UXNtLzJTQ2J1ZTdnUUJnQVlLelJIYjFXbFF5Tkg2NkN1Y2tBYzlQUjFxZTZLeXBSOC81eVJNZEZ2SHI3WWJ6aC9zMEFnRVJ3dWl1WHRsUURTRUFxa1pvOWZpNUtvd0lLclJ5K3pnQnEzbCtPM3Y4WlF0bUZ4YWgrYjlsc25kSG5KdEgveTJGWTFodHpIaVA3Ti9IQ0ZlMDVXemlPcFRXT2lJaUlhS21ZY0dRVE1LZXIwWjViRG1HaGprZUNUTWpiTlNrZVNFQ3VpK2ZjbGwwdmw5ZC9aOU9jOS8vNnhQNTVyU2E1V2tjUzRTUW1YL2FnNFVNTzlQeGtFSjc5dWNjNmpQNTFjczc3OUEzcThKL0dNZnJjSkRaOXJnRXl6ZEtTRFpWSmlRVS9xQ1hxL3ZFZ29wUGk5T3NIbmJCdU1rR21GREQyTjFmTytwbUoyZnIvcW9XdHpRSzVZam9RLytFZ2VoNTJRbU5Yby9tbWVyeDA3VjQwWFZjTjU2OUhzZWVXVHBSZldJVFM4K3hRR3VmK013Z09oQkVjQ09QSUgrZTJsTHo4c1gyNVkvN0o5TjhsNXhTaS9tb0g1QnJaYklLUlBuYjZQUUJFeHFZVHlzVzZnN24zK3FBdDBTRFFHNEo3cncrMWx4MXRrWW9IRWhoOFlnUlZGNWZtYlVYTGxVaXNkSXNTRVJFUjBXS1ljQ3lpOWM3MU9aL1FTMGtKLzdoNmZxdERwbHpkcEhJUlpBSVVodmxmaFRKSG1VS3ZtRk9lQ000ZlFEejYxMG1rWWlrWXFuV3dieTlZOE55cDJNeVQ5cGxrd1hjb2dJRmZqYURwK2hxSWt6SHMrL0xTcm1IN0Exc2cxODV2NGhDblluUEdkU3htOHhjYkFVemZMRy8rZk1Qc1oxOS90U05ueTArdW0zWmZaeEJIZmo4Rzc4RUFITzhzUmVVN1NtYXZUMURJMEhoZE5VYWZtOFRBbzhNNDhyc3hGTFJaWUd1MW9LREZCTGxHUHEvYlUrZDMrMkdvMWFIaW91SUZZei9Xc1JYNVRMem9SdEZaQlpqYTdZT3R6VEtuKzE1YS95K0gwZi9MWVFCSFB3dVpRb0N4VG84dHR6WE5xWnV2aGVQVkx4MkdUTEVDMlNJUkVSRlJEa3c0RnRIK2hZVmJPQlp5dkFOMGN5VTA3WjliK0FsMUlwekU4RE56bjh3UFBqbUNaQ1NWYzh5Rzg2bFJUTzN5b3UzdVprQUF6T3VOMlB6RlJoanI5Umg0YkJpV2pTWnN2TGtld1BUNGhJS3RaaFMwbW1mMzkzWUVjT0R1YnNoVXVWdENEdHpUcytoMXJwUlVRc0tydDNVaU5CU0JvVnFIalordWg2NUNpL2hNNjBLNmUxTThrRURoNjYwdzF1a3grUGdJWFAveXdQVXZEN1o5clJseWpYenVRSFZ2SEtFakVkUmQ1VmpTZDVrSUoyZkhmQURUNHltTzVXWmVrb0JBZHdpbGI3YWo5RHo3Z2dQOHM4ZHNxQ3pLZWNuR1FwWlRsNGlJaUdpNW1IQXM0bGhhT0RKbmRFcUVFa2psbUxVb1c2NnhIdHQvdUhYTys1Yyt2QmRiYjE4SGJjblJlQ0pqVWV5OTllaFlqc0VuUmlCWHk1RUlIVzM1MEJacjBQZnpJVlMvcjN6ZXphOW5uMzk2SnFhTTR2VE1UQ0ZuQlBxS28rY3lOUmx3Nkx0OXFQMUFCVXJQc3dNQVV2RVVCUG44Ym1YcHo2RHRudWFjWTJEU0Zoby80TzhLd2IzSEIvdVpCVWhHRmhuRElRalFscWhSZGtFUjFEWVZEdHpkdmVUQjd0dSszZ3gvZHlqbldKeUpGOTJBQk96Nzh1RzgreHVxZGRoNit6b0F3TWlmSitEOHplanN0bDAzSG9DeFRvL0dEMWZObGlWanFVVzdud2tDVVBuT1VndytPUUxycG5XSWVlTFk5YW5jQThHemYxMmVmWDUwZkQxM29wZXZTMVh6VGZXd2JqWXRIQlFSRVJIUk1XRENrU1Y3K2xjcE5iOE1tSDRDUGIxZG10MmV2dWxPcjNVZ0tHVG8rSG92QXIyaFJjK2JxMnRRVXB6ZlhTb1ZTODBwejF4WElSVkxZWHluQzAzWDErRFF0L3BteTIzYnpPaDV5QW5QWGg5czJ5eXo1YUk3anBBemd1cjNsaDg5WnlTSitFeXlFaHFLd054a1FOUTFmYU52YWpLZytyM2xrT3ZrczJYaVZBd3lwV3oyZlhxbW8xUjgrak5aOXROOUNmQWVEQUFBK2g0NUFzZTdTekh3MkVqT21aK0FvemZRQ3AwY1oveGdDNHJmWkp2ZHRsZ0xVM1JjeEs1UGQwQnRVNkVvUjdJaHBTU01QVHM1M2EycDNZZld1elpBcHB4N1BRZSsyZzFEN2RIQjVJNTNsY0x4cnRMWjdsL3A3elZ6Y0hzeW5JUk1zZmpZbUpJZE5qaWZIRUZ3SUF4RHRRNW5QdGlTK3pweXpFcWxMZFhNNnhxV3Iwc1Z4M1VRRVJIUmFtTENrU1c3MVdLeExreVpOMnRiYm0yQ3NWNlB1SCs2QzQ5Q0x6K3U3aXIvK3NUOEtWd1hHaGNpVThuUStKSHEyU2xhMCtRYU9heGJUSmg4eVQwbjRmRHM5VUZoVU1EU2ZIU1dvL0gvblVMZkkwZG0zdzg4UG9LQngwY1dqVFY5dzV1K3dVNUdwcE9XZURDeHJBWHk5dDdhQ1drbW05djh4Y2JaTlM0YVAxeTE1REVjYWNkN0l6MzVvaHVKY0JKMVYxWkNkTVhnZXRtTjhveHhISk12ZXhBWkY3SGhocnBsSFRjeUprS21Yanpoa0NsbE1OYnA0ZThPd1ZDdFc3VCtuSE9NUmpsb25JaUlpRTRLVERpeXpON0FTa0RQdzA3NHU0TFkvTVVtS1BUeTJTZkVhcHNLQis3cGdjcXFST08xVmZQR0wwVEdSY2kxY3ZUOS9FamVKL081RkoxdFErT0hxNkRReVZGNm5oMTFWMVRPMlo3ckNYWGNGNGZ6dDJPejd3dmZZTTE1N01KdEZuUS82RVF5bW9KOFp1YXBxZDFlRkw3ZU1xYzdWTmtGUlNpN29BaSt6aUQyMzlXRjdUL2NDcmxhQmlrcG9mdEhneWk3c0dqT3plL29jNU1ZK2ZNRTJ1NXBubk0rMFQzZDRwSFozV3NwbXE2dmdiWkVqUmV1YUovWG1yQmNXLzk3SFRRTGRPZUtUb3JZZTB2dStKTFJGQWFmR0VYNVc0c2cxOGhSYzFrRjl0L1ZEVk9UQWNZNlBjTERVZlErN0VUMWU4dWdYc0w2RlFxZEhDWG5USytWNFRzY2hFd3A0SlViRCtCMTkyNUV3N1ZWVU9hWlBsbXVreU1aVG1Eb3QyTVlmSEx4eEMrTkxSeEVSRVIwc21EQ2tVUGNGOGZoQndZaFRzV3c2Yk1OVU9qbnpqNGtVOG5RZkZNOU91L3Z4OTViTzFGM2xXTjJCV29BQ1BTRm9LL1FvdmJ5Q2xSZk9yMXVncjh6aU03djlhUG0wbkxZejVxZU9TbzBHSmxkWEE3QW5LNUo1UmNWejc3T0pMcmo4OWJGU05kVkdoU3p5VVEyNjFZenBLUUV6NnMrRkw3QmlrUW9DZS9CQURaK3BpRm4vZkJRQkJxN0d2S1pKL0dDWElDbVNJMTlkM1JoM2NkclVMQjFldUI0VWt4QnJway9PMU5vS0pMenBqZGI5bFA0N1BFZVl6dGQwd3NRTG1ILzdDUXRzN3RiVHZON3JNMGErTlV3QkJsbVd6UU0xVHBVdjZjTUhWL3JRZFY3eXVCOGFneUZyN2VpN1B5aS9BZkI5T3JtbzgrNzBIUmROZXF2ZGlBZVNNQzkyNHVTYysyekN4UVd2OUVHZDdzUGxvM0cyZVIxN085VGtGSVNQSHQ5c0o5aGhhM05BcVZaZ2NKdEZuVDljQkMxbDFYTVRvY2I5eWN3dHZQb3RNR1dEVWEwM0xrZXdQU2dmbE9EZm5xaHh3OVd6aG4vazlaOFkxM2V0V1NJaUlpSWpoY1RqZ3hTU3NMWTMxd1lmSElVQlp0TmtKSVNYcmxoYnQvNDlzOGRtdk8rOW9NVjZQeHVIM1RsV2pSZVd3VjFvUXFlZlg1WU5oaG5wa21WSSthSm8rOFhSMUN5bzNEMkJqWVJTcURyZ1FFVXZzR0t1ZzlXemc0aWZ2bTZWeGVNOGNEZCtRZENOMXhiaGVJMzJuSnVtMzNDUGpORjdkUXVMMVJteFp4RjZ6S0Zqa1NnS1ZJajVqdTZqa2pKbXdzaHBTVElsTExaOHJnM0RrRWhJT2FMUTZhVXpVNE42OW5uaDdGMmVkMkFjaWw4dlhVMnh1aGtiTjVnNk15RUpudGEybGR2enovUWV5R1RMN2t4OWpjWE5uNjJZYzdpZk1YL1pvUHJYeDcwL25RSTZrTFZuRVg0MGxLeEZMd2RBVXkrN0FZQWREMHdnSUlXODJ4clRlL1BocUMycTFGMGRzR2NGZEg3ZnpXTWtvbENsRjg0bmNBb0RYS0VSNktvdWF3QzdqMCtUTDNpeGNTTGJoUzBtR0dvMWVIQVBkMW91WE05VW1JS1E3OGJ4OVJ1TDByT0tZVFNxTURJczVQdzd2ZWorZFAxT0hCM045cnUzZ0JqZ3g2OUR3L0IzZTdGaGh2cUlFbkE4Qi9IVWZSR0cvWis2VEJxTDZ0QTBWa0xUNkZNUkVSRWRDeVljR1FRWkFJVVdqazJmcm9laHByNU44c3ZYTkdPMXJ2bXoxcFYvQ1lidlBzRFVCZXFFQjZPSXRBVFF0MlYwMC9hUlhjTUIrL3RoYkZHTjFzR1RLK24wZnpwZWh6NGFqZFNzUlFhUGxRRkNBdVBTY2pYSldhcE1wLytUN3pvUnVFYkN2TE9scFFJSitFOTRNODVqbVRvNmJGNVpmLzZ4UDdaTG1FeFR4enVQVDZzKzBUdHdnR2xHeCtFL0YybkZEcjVndXRiNVBzc3JKdE1xUDlRRmRRRitWZDZqM25qNkhuUU9XZWRFUGRlSDdwK05Bakh1MHRuVzYzQ3cxRk12T2pHK1A5T1FhNlJvZjVxQjhiKzVzS3VtenBROUVZYmlzNHFtTzFtMXYzalFVeSs3SUdoU29lNkt5cGgzMTRBaFY0T0tTV2g5NmREOE83M1kvTXRUUkN5R3FJU29RU1VwcVAvSEcxdEZwUmZwRVlpbkVUL0w0WlJkMFhsOUl4WkFCei9VUXA5cFJaeWpSeTdQM01RamRkV0lkQVhRdGNQQjlIOHFUcE12REFGZTFiWHVxSXpDMkNzMWNQZDdvVk1KVU93UHd6bmIwWlIrRG9MYWo5UWpwNkhuREJVNjZBclAvWnBuSW1JaUloeVljS1J4ZHhzekhtVG5aYXZ2L3VHRzZjSERnOCtNUUpUZ3g2R0toM0VxUmgyZitZZ1VyRVVJbU1pWHZyd3E1QlNFaURObmZscS9IK25JTWdFMUYvaldObUx3Y0xUenZvT0JlWThaVi8zaVZvVXZtNTZVUG02NjJ1QTYydm03Uk9kRUpFSUp5RlR5WkFJekxUU25GRXc1MmwvLzZOSG9MR3JVTEIxL2pTcmNWOGNpVWdLTXBVQXp6NC9CTGtBbGZub3p6QTRHRVl5Y25TV3IrTzUzbGMrbWY5N25MUFBsZFA3YkxtMUNhSEJNRXJQS1VURjI0b3g4S3RodVBmNEVCNkp3bENsUTgybFpiQnZMNEFnRjFDeW94Q1RMN3N4OU5zeGpQeDVBaXFyRW5VZnJFVDVSY1VvZjFzeERGVkhFOWJJYUJUZFAzWWlPaUZpNDJjYW9DdlhJT2FkYmlFSzlvY2hTUkxpZ1FTME9ibzFEZjlwSEJxN0N2YnRWdlQrYkFpUmtTaVVCZ1VLdHBvUjZBa2g3a3RBNzlCaC9TZHFNZnE4QzFPN3ZJaU1pYk96ZGNtMWNuZzdBcERyNUpCclpiQ2ZWUURSSGNQbzg1TlFtcFhRbFd1aHE5REM5Uzh2cG5aNW9Tc3ZXZlpuVGtSRVJMUVFKaHhaVkdZbHpub285L1NqQzBrL0pUYzI2R0dhV2NkQ2JWT2gvbW9IMUFYSzZScyt0Unh5dFF3eXBRQkJJVXp2SXhQZzJldkQyRTRYa3BGa3p0VzZqMFU2bnNYR1VHUlNXZk8zQnFSNTl2blIrN09oNlhQSUJaZ2FEYlBkZ0lEcG0ydlhLMTZzLzgvYW5DdU1ldzRFMFBYQUFBQkFycGFoNnVLeU9kZmMrZTAraU80NGJLM20yU2wybDJQYnZSdVh2VStheXFLRXNXNzZ1NE13L2YxWnQ1alJlRjMxL0ZtaUJNQyt2UUQyTXdyZzdmRERleWlJZ2xienZHc09PU1BZZTFzbkxCdE4ySHJIdXRuMVZsUVdKWXJPTEpqdDltVnJzOHhPcjJ0cU1NeU81U2c5eno2YjVKUy90UWdkWCs5RktqNmRrTWxVTWxTOHZYaTJaYVRxNGxKNER3WlEvWjZ5MlVIb2puZVZZdUN4NGRudkxQUGE2cTg2MnBWdi9YL1dRdUJxNDBSRVJMUUtUcWs3ak5iV1ZnbFl1RnZTYTluVWJpOHN6YWE4QThOUG1Ka1dHa0V1NVB3RlJTZkVSUWNoU3lrcFowS3k0RDVKQ1RGZkF1b0M1WnpYSjd0Z1gzak9XaDJucW5UclVudDcreW4xM3hVaUlpSTZQbXpoZUEzSlhsOWp6UWhZOEduNFVtWThXbTZ5QVV5M3FLUVRqTXpYSjd2VElka2dJaUlpeW1lTkg1VVRFUkVSRWRHcGpBa0hFUkVSRVJHdEdpWWNSRVJFUkVTMGFwaHdFQkVSRVJIUnFtSENRVVJFUkVSRXE0WUpCeEVSRVJFUnJSb21IRVJFUkVSRXRHcVljQkFSRVJFUjBhcGh3a0ZFUkVSRVJLdUdDUWNSRVJFUkVhMGFKaHhFUkVSRVJMUnFtSEFRRVJFUkVkR3FZY0pCUkVSRVJFU3JSckhXQWF5R0Y2NW9YK3NRaUlpSWlJZ0lwMWdMaHlSSk85YzZCcUxUR2Y4TkVoRVJFZEZKcTdXMVZXcHRiWlhXT2c0aUlpSWlXam1uVkFzSEVSRVJFUkdkWEpod0VCRVJFUkhScW1IQ1FVUkVSRVJFcTRZSkJ4RVJFUkVSclJvbUhFUkVSRVJFdEdxWWNCQVJFUkVSMGFwaHdrRkVSRVJFUkt1R0NRY1JFUkVSRWEwYUpoeEVSRVJFUkxScW1IQVFFUkVSRWRHcVljSkJSRVJFUkVTcmhna0hFUkVSRVJHdEdpWWNSRVJFUkVTMGFwaHdFQkVSRVJIUnFtSENRVVJFUkVSRXE0WUpCeEVSRVJFUnJSb21IRVJFUkVSRXRHcUV0UTZBVGs5dGJXME9TWkx1elNxK2VPYnZKek1MNVhMNURhKzg4c3JRaVltTWlJaUlpRllTRXc1YUs3TFcxbFluZ1BLRktnbUNjR1QzN3QxVkFGSW5KaXdpSWlJaVdrbnNVa1ZySlNVSXdxOFhyWlJLL1JwTU5vaUlpSWhlczVodzBKcEpwVkpQTGw0TFM2bERSRVJFUkNjcEpoeTBadXJyNjE4QU1MRkFsWW42K3ZwL25LaDRpSWlJaUdqbHlkYzZBRHA5SFR4NFVDb3RMVzBBMEphbnlzK2ZlKzY1MzUzSW1JaUlpSWhvWmJHRmc5YVVJQWg1dTB6SlpESjJweUlpSWlKNmpXUENRV3Z0YndBOE9jbzlraVR0UE1HeEVCRVJFZEVLWThKQmEycjM3dDF4U1pLZXpySHB0N3QzNzQ2ZjhJQ0lpSWlJYUVVeDRhQTFsNmRiRmJ0VEVSRVJFWjBDbUhEUW1qT1pUSDhGRU13b0N2ajkvcit1VlR4RVJFUkV0SEtZY05DYTI3bHpaeFRBNzlQdkJVSDRmVTlQajdpR0lSRVJFUkhSQ21IQ1FTY0ZTWkptdTFBdGNVRkFJaUlpSW5vTllNSkJKNFZrTXZtbmpOZlByR1VzUkVSRVJMUnltSERRU1dIZnZuMGhBTDhHOE9UTWF5SWlJaUk2QlNqV09nQ2lORW1TbmdBZ3JYVWNSRVJFUkxSeW1IRFFTVU9sVXYxQm9WQXc0U0FpSWlJaUlpSWlJaUlpSWlJaUlpSWlJaUlpSWlJaUlpSWlJaUlpV2daaHJRTWd5cVd0cmMwc1NkSTNBVndOb0ZNUWhETjI3OTd0Vyt1NGlJaUlpR2g1dUE0SG5XeUVscGFXOTB1UzFJbnBaQU1BMWttUzFOblMwdkkrTUVrbUlpSWllazNoelJ1ZE5MWnUzZG9nazhtK0IrQThBRERVNkZDeW94QmpPMTBJOW9mVDFaNU5wVklmMjd0M2IvZWFCVXBFUkVSRVM4YUVnOWJjamgwN05INi8vN01BUGdkQUpkZktVZjNlTXBTZWE1LytoVXJBNkhPVEdIaDhHTWxJQ2dCRUFIZVpUS2E3ZCs3Y0dWM0wySW1JaUlob1lVdzRhRTIxdGJXZEwwblMvUURxQWNDKzNZcmFEMVJDYVo2L0ptWGNsMERmTDRZdytaSW5YZFFqazhrK3RtdlhycitldUlpSmlJaUlhRG1ZY05DYWFHbHBLUk1FNFY0QWx3S0F0bFNEdWlzcVlXazJMcnF2OTRBZnZUODdnc2pZYk9QR280SWczTGg3OSs3UjFZdVlpSWlJaUk2RmZLMERvTlBMZTk3ekhybGFyZjY0SUFpL0FkQXFVOHJnZUZjcEdqOVNCVzJKWmtuSDBCU3BVYnFqRURLRkRJR2VFS1NVdEJIQXRhV2xwY0d6eno1Nzk4R0RCNlZWdlFnaUlpSWlXaksyY05BSjA5TFNzazBRaEI4QWFBTUE2eVlUYXErb2hMWllmY3pIakl5TDZQMnBFOTREZ1hUUmJrbVNydHV6WjgrdTQ0K1lpSWlJaUk0WEV3NWFkVnUzYnJYSVpMSTdBSHdNZ0tDeUtGRjdlU1VLWDJkWm1WK2dCTGorNVVIZkkwY1E4OFpuU3ZBOVFSQyt3TFU3aUlpSWlOWVdFdzVhVFVKYlc5djdVNm5VdllJZ0ZBc3lBYVhuMlZGMWNSbmsycFZmQWlZWlNXSGdpV0dNUGVlQ2xKSUFZRXlTcEJ2MzdObnpLS2FURUNJaUlpSTZ3Wmh3MEtyWXNtVkxvMXd1L3g2QU53T0FvVmFIK3FzY01GVHJWdjNjd1lFd2VoOGVRcUF2bEM1NkxwbE1mdXpWVjEvdFd2V1RFeEVSRWRFY1REaG9SZTNZc1VQajgvaytKd2pDWjVGZVUrUFNNcFNlWXoreHZ6WUpHUHViQy8yL0drWXlrZ1NBbUNSSlh6V2J6WGR4N1E0aUlpS2lFNGNKQjYyWTF0YldDd0RjRDZBT0FJck9MRUROQnlxZ05NMWZVK05FaWZzUzZQdmxFVXkrNkU0WDlRaUNjUDN1M2J2L3NtWkJFUkVSRVoxR21IRFFjWnRaVStPYkFONExUSytwVVg5bEpjd2JGbDlUNDBUeGRnVFErN01oUkVabkd6Y2VreVRwaGoxNzlveXNaVnhFUkVSRXB6b21ISFRNZHV6WW9RZ0VBaCtUSk9rT0FFWkJJY0R4SHlVb3Y2Z1lNdVhLRHdvL1hxbDRDc04vbk1EUTAyTkl4Vk1BRUJBRTRZdTF0YlgzUC83NDQ4bTFqbytJaUlqb1ZNU0VnNDdKdG0zYlhwOUtwWDRBb0FVQXJKdE5xTHVpRXBxaVkxOVQ0MFNKVG9qby9ka1FQUHY4NmFMMlZDcDEzZDY5ZTE5Wnk3aUlpSWlJVGtWTU9HaFp0bTdkYWhFRTRTdUNJRndIUUZCWmxhaTlyQUtGcjdPK3RuNU5FdUI2eFl1K1I0WVE4OHl1M2ZIOVZDcjFoYjE3OTNyWE9EbzZ6YlcwdFB4VEVJVFhyM1VjZEpRa1NUdjM3Tmx6emxySFFVVDBXdlJhdWtXa3RTVzB0clorQU1DOUFJb0VtWURTdDloUjllN1ZXVlBqUkVsR1VoaDhjZ1NqejA1Q1NrbVFKR2xjRUlSUHRiZTMvd0pjdTRQV1NHdHJLMzk3SjZIMjluYitQNU9JNkJqd1A1NjBxRzNidGpXbFVxbnZBVGdYQUl4MWV0UmY1WUMrU3J2R2thMmMwR0FFM1E4Tkl0Z1hUaGM5TDVQSlByWnIxNjdEYXhrWHpTRUhjRnFNdFVrbkhHZi9ySFd0UXlFQUwxelJEb0FKQnhIUnNYcnRQcHFtVmJkOSszWnRXMXZibDFPcDFENEE1eXAwY3RSZjVjRG1XeHBQcVdRREFQUlZXbXk5YlIzcXJxcUVRaWNIZ0hOVHFkUytscGFXMjdkdjMzNXFYZXhyazlEUTBQQnNUVTNObzlrYnRGcHRlWE56YzZkV3E4M3VnaVNmK1VORVJFUnJpQWtINWRUYTJucWhLSW9ISkVuNklnQlYwVmtGYUx1bkdTWG5Ga0tRbmFJUCtRU2c5Rnc3MnU1cFJ0R1pCUUNnRWdUaEZsRVVEN1MydGw2NDF1R2R6Z29MQ3o5aU1Cak9kcmxjM3dZQXRWcGRsOTRtU1pKU3JWWTN5ZVh5MldYc3pXYnp4UnMyYkRoUVVsTHlxYldJbDRpSWlJNWl3a0Z6Yk5teXBieXRyZTF4QUg4Q1VLc3QxV0RUNXhyUitKSHFOVjNBNzBSU21oUm92SzRhbXo3YkFHMkpHZ0JxQWZ5cHRiWDFzUzFidHBTdmNYaW5IWlZLdGFHaW91SWJJeU1qdHdRQ2dSZTFXdTMyRFJzMkhEWVlESE1HOE1wa01yWE5acnRxM2JwMWUrdnE2cDZJeFdLRG9WRG9IMnNWTnhFUkVVMDdQZTRnYVZFemEycGNMMG5TSFpJa0dRU0ZBTWU3U2xIKzFtTElGS2RvaThZaXpCdU1hTGx6UFliL05BSG5VNk9RRXRKNzVITDVoVzF0YmJjWWpjYjdkKzdjbVZqckdFOTFHbzJtcXI2Ky92YytuKzhQNCtQalh3V0FTQ1R5a3NmamVheW1wdWFSL2Z2M2IwN1hyYW1wZVVvbWs4azlIcy9qVHFmem1uQTQzQW5nNUZsOWtvaUk2RFRGRmc1Q1cxdmJHd0tCd0N1U0pOMEh3R0RkWWtiYjNjMm9mRWZKYVp0c3BNbVVNbFQrZXduYTdtNkdkWXNaQUl5U0pOM245L3YvMWRiVzlvYTFqdTlVVjFOVDh6dVZTbFVqQ0lLc3RyYjI2YWFtcG44ME56Y2ZOcHZOYjFNcWxhVzF0YlhmU2RkMXU5MFA3ZG16eHpFd01IQlpPQnh1MSt2MURTMHRMVWNNQnNQR3Rid0dJaUtpMHgxYk9FNWptelp0c3FwVXFxOUlrdlFSQUlMYXFrTE41ZVVvM1BZYVcxUGpCTkRZVldpK3NRNnVYUjcwL2Z3SVlwNTRpeVJKTDdXMXRUMFFpOFUrdjMvL2ZzOWF4M2dxY3J2ZEQrcjErbk9UeWFRM2tVaE1CSU5CVnpLWmRNWGo4U21kVHRkY1ZsYjJWYmZiL1VzQThIZzhUd0FZUys4cmw4dExCVUZRQklQQnFUVzdBQ0lpSW1MQ2Nab1NXbHRiTHdQd0RVbVNpaUFBNVJjVXdmSHVNc2cxYlBUS1N3QUtYMmVGZFpNWnpsK1BZT1F2azRLVWtxNVRLcFh2Ym0xdC9WUjdlL3NqNE5vZEsycDhmUHcrbFVyMVRLNXQwV2kwTHhRS3ZSZ0lCUFlEU0ZtdDFrc2tTWElEMHdQSjdYYjdkWWxFWWhMQTZJbU1tWWlJaU9aaXduR2FhV3RyV3lkSjB2Y0FuQU1BeHZxWk5UVWNuUGwxcWVRYUdXbytVQUg3V1FYb2ZYZ0lnZDVRRVlEL2FXMXR2VVlRaEkvdDNyMjdjNjFqUEpWczNManhrQ1JKb2lSSm1XTm1aREtaVE52UjBkRUF3RGM2T25wYlVWSFJ6WGE3L2FNejIxT2lLRHFQSERseS9ScUVURVJFUkJtWWNKd210bS9mcmhWRjhRdVNKTjBNUUtuUUsxRDkzaklVLzV2dDFKM21kcFVacW5UWWZFc2p4bmRPWWVDeFlTVEN5WE1rU2RyWDJ0cDZqMXF0dnZPbGwxNktySFdNcHdxbjAzbmQxTlRVdytuM1JxUHg3SWFHaHYrYmVhdngrWHpQakk2T2ZoTkFhRTBDSkNJaW9yellmK1kwc0czYnRvdGlzVmdIZ0M4QVVCYWZiVVBiM2V0UmNzNHB2S2JHQ1NMSUJKU2NXNGkySGFnaHN3QUFJQUJKUkVGVWV6YWcrR3diQUNnQmZFRVV4UU10TFMxdlhlUHdUaG1DSUtnQkdOSi9aRExaYkpPY1NxV3FYcmR1M1N0YXJYWlQ1ajU2dlg2ejFXcDkzd2tPbFlpSWlMS3doZU1VdG5uejVncUZRbkZmS3BXNkdBQjBaUnJVWFZVSjh6ck9GTHJTbENZbEdqNWNoYUkzMmREemtCT1IwV2l0SUFoL2JHdHJleUtSU0h6eTFWZGZIVjdyR0YvTEhBN0gvMmZ2dnNQYktzLytnWCtmbzJWYnRtUmIzdHV4blRqT3NvNlNzR2w0KzdhRkRzcW04Q3ZyYldrcG8xQ2dCVnBhb05CQm9aU1dGdEpKeWlwbEYwcWhFOHFHV0xLZDRTekhkcnoza0pka1NlZjUvU0hMaVdNbmNZWXRTLzUrcml2WDVYUE9jNDV1WGJIa2M1OW4zT3Z6OHZMV3o2Q3BMaWtwNmRNMm0rMWFpOFh5U1ovUDE5SFgxL2MzQU83WmpwR0lpSWlteDRRakNxMWJ0MDd2ZHJ1dkEvQjlBUEZDTDVCL2RoYXl6a2hiOE12Y3pqWnJhZng0N1k0T05MN1lCdW1YNStsMHV0TlZWZjJleFdKNWlMVTdqc3llUFh1dU9NaVFLZ0JBWm1ibU44MW04L0U2bmM3cWRydGZyNnVyTzdlL3YvOVZBTjY1anBlSWlJajJZc0lSWlZSVlBkN3RkcThIc0FvQWtsWlpVSFJwTG1KU1RXR09iT0ZROUFLNW44dEE2dkhKMlAxWUkvcXEzZkVBSG5DNzNaZXBxbnFWeStYNklOd3hScHI4L1B4SDgvUHpIejFZRzAzVHZIdjI3TG5TN1hiL0I0QUhRR1pCUWNFZk9qbzZiaGtkSFcyZW0waUppSWhvZjB3NG9zUUpKNXlRN1BWNmZ3VGdTZ0RDbEd6RW9pL213T1pJWkUyTk1Bblc3aWhHajdNZmRVODB3OXM3dGdyQWU2cXEvc2JuODkzRzJoMHoxOWpZZUZWM2QvZVRvVzJyMVhwQ1VWSFJQL1p0MDlIUjhZdlIwZEdKWkM0K1B0NlduSng4Y1dkbjV3TUFtSENFVzJqQmFINGZFUkV0T0p3MEh2bUUzVzYvMU92MWJnZndGUWlJN0RQU29QNTRLV3lybVd5RW5RQnNxeE9oL3JnTTJXZWtBd0lDd0ZjTkJzTU91OTErQ2ZnL05DTlNTaStBb2RBL1RkTW1WZ0FUUWtnQTBPdjF1djNPeVFDQWtaR1JCWmRzakxaNXB2eVRXdkNPZjNEM01DcHUzQUpQOTloUnZjWTdsN293MnVhWldXTUpiUHRGSGJZOVZBZHRURHVxMXlVaW9zakRIbzRJcHFycVVpbmx3MEtJZFFCZ0tUYWo2SW84bUhOWlUyTyswY1VvS0x3b0cya25KYU4yUXlNR2E0ZFRoUkNQMmUzMi94TkNYTzF5dWJhRk84WklZREtabGdnaFBHYXorVFFBOEhxOUF4aC9jSktZbUhpeDMrOFBBSUJlcjFkU1UxT3Y4dmw4SFFBNndoZHhlRGh2cVpteWIrMURLMkMwR0ZEM1pETk00ME1zOTAwNkZKMkFNY2t3NWJ5REpTYmVYaCtFWWZyblZqRXB4cjBiQWtnN09SazdmbFdQelQvY2hXVTNGOEhiNjBQbDdUUDd0VC81TVJXYVgyS3MzemZ0OGZvbm10RGpHcGpSZFlpSWFPNHg0WWhBRG9jalR0TzAyd0hjTElRSTF0UzRNQXZwcDdLbXhueG56b3ZGeXRzWG8rT3RIalQ4dVJYK1lmODZBTldxcXQ0bmhQaUIwK2tjQ1hlTTgxbDJkdlo5VnF2MURFM1RScnE3dXg4QzBBVUFIUjBkUDAxTlRiMDZOVFgxNmxCYm44L1gwdExTY2wzWWdnMHp4NzFsaU0yTVFmdWIzV2g4c1ExR2l3R3QvK2pFWUcyd1ZFbkZqVnNtdFRmbnhjSit6OUlwMTltLzNiNjIzTHZyZ01mMnY3bTNPUkt4OUlZaWJIdHdOeHIvMG82Q0M3UGh1TGZzb08raHAzSUFEVThIRjNnYmJoaEI5ZmQzVE50dTdjOVhvT0RDQUFCQTgwbFUzN2tkV2FlbklmMFUyMEd2VDBSRWM0TUpSNFJ4T0J5ZmtWTCtVZ2hSQUFTZkdoWmVsQU5EQXY4ckk0VlFCRExXcGNEbVNFVDluNXJSK1U2dkFjQzNBVnkwZXZYcWF5c3FLdjRXN2hqbms1cWFta0tQeDlNTkFIVjFkV2RPMTZhbHBlWG1scGFXbStjMnNzalErVzR2MGsreFliaHBGQTEvYnNIaXIrUWo3ZVM5TitMRFRhT291bU03VXRZa0h2QWFvZVJsWCs5YzZwcDIvMmliWjBvUGkvT1dHaFJja0FXYkl4RXJ2N2NFNXR4WUNKMllPTmMvNU1mR2IyekJtcDh0aHo1KzczZVpzWDV2L3AxUVpNYUp2eThIQUx6M3BTb1VYNTZIdEZPU0FRQ0tRVUd3QkE3UTZ4cUE1cGRJUDhVMkpUWWlJZ29QM3FWR2lEVnIxdVFHQW9FSHBaVG5BRUJjZGd5S0xzdUR0VFErM0tIUkVUSWs2TEg0S3dWSVA5V0czUnVhTU5McUtaUlN2cXFxNmd0K3YvLzZUWnMyTGJpNUI5UHhlRHdONFk0aFVuazZ2SER2SEVMQitWbW9lWEEzRWtyaVlTbE4yRHRNU2dJN2Y5MEFjM1lzVWs5SWhxZDdES1lrQTRSdWNrL3BkRU8wRHJaL2Y2TnRIdmhIZ2owUThRVnhVNDVMQ1FTOEdxU2NjbWd2RVVvc3hpbjdiWS9yL3FnUGNUbXhURGFJaU9ZUkpoenpuTVBoTUFENGVpQVF1QXVBV1RFSTVKMmRoYXpUV1ZNaldsaExFMUIrejFLMHZ0Nkp4aGRib2Zua09YcTkvcE4ydS8wT3E5WDZDOWJ1b0NQVi90OGVKSllsSU9EUllMSVpNZHc0ZXNBaFVoVTNid1V3ZlcvRzhsdEtFSk0rZVdudGlodTNUTHZmMCtFOTZGQ3JzWUdwOHpEOFE4Rmt4T2YyVDB4dTE1bDBVOW9kU21BMGdCN1hBSExQeWpqc2M0bUlhUFl3NFpqSDdIYjdDVkxLOVFCV0FrQnl1UldMTHNsaFRZMG9wT2dGY2o2YmpwVGpFbEgzZURONnF3YmloUkEvZGJ2ZGw5cnQ5cTlWVmxhK0grNFlLZklNMUF6Q3N0aU1wSlVXSkM1TG1OSnpzYjkzTG5WTjJwWUJpUlczbGNDWVpEekFHVk9aYkVhc3VLMEVNaUNuZmIyUHJ0dDh3SE5kdCszdE1jazdPM05TTWpNMjRKdDBidTBmR2xIN2gwWW9lb0VULzJBSEVFeXdaRUNpNWRVT3hOaU1FSG9CbThyVitvaUl3bzBKeHp3MFhsUGp4d2pXMUlBcDJZQkZsK1RCcGxyNWh6UEt4YVNhVVBhTkl2UzRCbEQzZUJPOHZXT3JoQkR2cWFyNkc1UEpkTnY3NzcvZkcrNFlLWExrbjUrRnJUK3RSZVluMHhDVFlrVEZ6VnZoNlp4NTRmWFJOZzgyLytqQXZSVUg2OGxRZjdnVWNUbFRWOHc3ZnYycVNkc3lJTEhsM2wwWWJoekY2dnVYVGN6aFVBd0MzUnY3SjlvWkV2UVRrOHlkdDlRZy85d3NwS3hOQkVUd1MxRnFFbTMvNkVUYVNjbG9mN01iSTIwZXRMemFnZHl6TXBIem1mUVp2MmNpSWpyMm1IRE1MOExoY0Z6cTlYcnZCNUFDQVdTZm5vYThzek9oaXpuODRRVVVvUVJnYzFpUnVDd2VqUysyb2VYMVRrRGlLMTZ2OTJ5SHcvRk5wOVA1R1BhV1VTTTZvTVJsQ1VoWVpFYmJQenBSZUhFT3l1OHFuUml5TkowUHI5azBaWjlRQkU3YVlKK3kvMENUeGdIZzNjc3JEL2dhK3JqSjMyWDFmMnFaU0lKMHNib3B4L2VOWTkvWE1sajFrN1k3Mys2RnAyY01XWjlLUS91YjNURFpqQ2k0SUJ0MVR6VWpjVm5DdEhOSGlJaG9iakRobUNmc2RudVpFT0lSS2VXcEFHQXBpVWZSNWJtc3FiR0E2V0owS0x3b0Iya24yN0Q3MFVhNGE0ZFRwWlFiVkZXOVFrcDVkV1ZsNWN4bTdOS0NsbHh1UWVlN3ZTaVVnR0lVT0pKdTBnUFY0amhZSFk2WmFIK3pHeTJ2ZDJEeGxRWFkrWnVHSTc1T3dCTkF3M090U0QwK0NYSFplNU9RelA5TlJYZEZQM1k4MGdENzNhVlFqS3gxUzBRVURrdzR3bXk4cHNaM2hSQTNBOURyelRvVWZDRWI2YWV3cGdZRm1YTmpzZUwyeGVoOHV4ZjFUemZEUHh6NG1CQ2kybTYzMzZjb3lqMnMzVUVIWTB3MllxemZoNzdOYm15OXYvYXd6NWVhUE9CRTg0TU5xVHFVbm9wKzdON1FoTnpQWlNCcGxlV3d6dzk0TlBSV0RXQzAzUXRmdncvK1lUL3l6OG1hM0VnQUpWL0tnK3UyYldoNHRoV0wvbC9PRWNkTFJFUkhqZ2xIR0ttcStsa3A1VU9obWhycHA5cFFjR0UyYTJyUUZFSVJTUCtZRGNtcUZmVlB0NkR6N1I2OUVPSTJLZVZGRG9maldxZlQrV3E0WTZUNVphaGhCUDdSQUhvMjlzTm9OU0N4TEFGckgxb3hjYnpsdFU2a25aZ01nM1h2OTAzZEU4MlRobThhazR3b3ZpSVBHYWVsVExxMmU5Y1FPdC91UmY1NVdUQllwbjVmdGIvUmZkQ0o1cDN2OVdMWGIvWWc1YmhFNUorYkJkL1FEQlppazhCUS9RaDZxNE1WeGV1ZmFvYlFDNWlTamZCMmp5SG5zK2xUVnN3Q2dKZzBFM0krbTQ3R2w5cVFzallKbGhMem9WK0xpSWlPS2ZZdmg0SEQ0Y2hUVmZWRkFLOEFLRERueEdMbGR4YWo1TXY1VERib29Bd0plaXkrTWg4cnZyMDROSFNrUUVyNVYxVlZYMWl6WmsxdXVPT2orYU43WXorcTc5eUJnVzJEeVAxOEpqcmU3b0ZRQkZ5MzFFRDZKTnc3aDdEN2o0MHd4T3RodEJyZ0gvUkRINnVETWRFd2NRMXRUSVBSYWdCa2NQaFV6UU83QVFSWGlCcllQZ2hQMTlRSjZQNlJBTHc5WTlERlRQUG5SUUpOZjJuRHpsODN3T2F3WXZGWENtWTh3cXZyZ3o1VTNia2R6YTkyd09aSXhKS3JDdUQ0eVRKSXYwUk1taEc1Wng1NEtkeWN6NllqTnQyRWtlYlJtYjBZRVJFZFUwdzQ1cERENFRBNEhJNmJwWlExQU01U2pBb0tMc3hHK2QybHNDeGhBVCthT1d0cFBNcnZYb3FDQzdLZ0dBUUFuQjBJQkxZNUhJNmJ4bXUzMEFLWGQzWW1qdnZWU2h6MzhFb0FFZzNQdEVDSVlFSUFSYUQwMmtVWWJmZGlzSFlZdlpVREdPMGNRMi9WQUpwZWJwKzRSc2RiM2RqOWVCTUFRUE1HMEZzVjdGMVlkbk14ZEhFNmJQN0JUbmk2Z3ZNN2R2K3hDVFUvMjQyQUo0QzJmM2VoL3VtV0tURzEvYWNMZTU1dlEvb3BOaXk1dXZDUXkvVHVLNkhFak5KckNuSGNyMVppNmZXTGtIcGlNdlJ4T2xqTEVyRGthNFVIbloraEdCU1UzNzEwU2svTlhMTGI3ZmxoZTNFaW9qRGo0L1E1VWw1ZWZ1SjRUWTBWQUdCVEU3SG9pemt3cGN4OGZYdWlmUVZyZDJRZzViZ2sxRDNSak43S0FiT1U4bjRBbDVXWGwxOVZWVlgxWHJoanBQQlI5R0tpeDdUMW4xMUlQVDU1MGdSdlU3SUJqdnVXUVIrbnc2N2Y3b0htMDFCMFdTNjIvN0llU2VVV21ITmowZkYyTDlKT1NwN1NDMkd5R2JIeU80c3hzRzBJTWFuQjc3Q2hQU01JakFaZ1NqYWk2SkpjN0ZqZmdNU2xDVWhXclJQblpaeVdBcjFaajlUamt5QTFpWkVXRDNRbUJYMmIzSUFBZEtiOWtnWU5FNjhkazJKRXpIN2ZsL280SFJaL1pXYjM4Vk91UFFkVVZTMldVcDRMNEJ3aHhGcHdZWE1pV3FDWWNNeXl0V3ZYMmdLQndMMVN5aThCb1pvYXViQTVFc01kR2tXSmlkb2R6djd4MmgyK0ZZcWl2R3UzMjM5bk1CaHUvZWlqajNyQ0hTT0Z6OEMyUVF6Vmp3UjdBUXdDaWtGQnI3TWZpY3NUQUFERGUwYlF0OW1Obk0rbVR3eFZNdWZFb3VPdEhuaDd4cER4UDhGZUFVT0NIaEJBeDFzOUUvTWdZbEtOR0czellLaGhCRU4xSThqOFJDb0FJUFhFWkhSOTBJZmhwdEZKQ1lkUUJGS1BUd3IrTEFTcTd0Z09iVXlEVUFTeVA1VUdvUlBRZkJvZ3g2dUdPL3NSWTR1c2h6SjJ1NzFNVVpUenhoT05sVUl3eHlBaVlzSXhlNFNxcXBmNy9mNzdBTmlFQW1TZG5vNjhzekpZVTRObWhjMlJpTVJsQ1doOHFSMHRyM1ZBUUh6WjcvZWZwYXJxTjEwdTF4L0IyaDBMa25WcEF1ejNMSjNvaWNqOWZBWWFubW1COW1UdzEwSG9CU3lMNDVGK2lnMEFrSEpjTUNHSVNUTWgvL3dzbUpLRDUrbmo5Y2c3T3hOMVR6UWo0QWxNZWczRnFDQnhoUVY1bjk4N2oyTHBEWXNPdnRLZUFFNzhYVGxrUUFJaW1JenMvRTBET3QvWlc5dFNGNk5EeVpYemZpU1NjRGdjOWxCUEJvQlNLZmxSSXlMYUZ4Kzl6SUpWcTFZdDArbDBqd0E0QlFBc2krTlJmSGtlNG5LbUZzaGFLSHdEUGloR0JiclkyVXUyWkVBZTFwandhRGJTUElwZGp6WmljTmR3YU5mYmdVRGdhOVhWMVZ2REdSZk5qS3FxRWdCT2Zrdzlvdk03Myt1RnpXNmQxYy9iYkFoNHRPQWNFeTJZaEJpdEJnaDkrRC9UNzF6cUFnQzRYSzVRTUlxcXFtdWxsT2NwaW5LT2xMSndKdGZaNTN3aW9nV0ZYMzdIME1xVks4MEdnK0c3VXNxYkFPajE4VG9VZmlFSGFTY25SMFZOalk2M2VoQmZHSGRFeFFpMy9LUVd3M3RHNExpM0RQcjRJKzlZTzFCMVkvK1FIeHR2M0lMeXUwcW5yWHc4RXdGUEFDMnZkU0pqWFFxTVNaRS83MXBxRXAzdjlLTCtUODN3RHdjQXdDK2x2RjlSbEx0WnUyTitPOXFFZzQ2dFVNSWhwZnpZK0hDcGN3QmtoemNxSWdEQURvUEJzUGJERHo5MGh6c1Fvb1Boa0twanhHNjNueW1FK0lXVU1oK0l2cG9hL21FL2FoOXRSTzduTXc0NzRXajdWeGY2dDdpUjgrbDA2T1AxOFBiNnNQR0d6WWM4NytUSFZIeHdWWFh3aWVjK25MZlVUR25YdDhrTlk1THhnTW1HMUNROEhWT1g4QVF3Y1U1UFJUK2FYbTVIeHJyd3JXUnpMQWxGSVAxVUc1THRWalQ4dVFVZGIvWG9oUkMzU2lrdlVsWDFPcGZMOVVxNFl5U0tKRUlJcVdtYVZCUkZjdGdVelJOTEFvRkFLWUNQd2gwSTBjRkV4OTF3R0RrY2pqd0F2NUJTZmg0QTRuSmlVSHg1SGl5TEkzdVoyOUUyejZUdG5vcCtTRTNDV3BvdzVWaUl3V3FBUG03eUVJNkI3VU9vZTdJWkNjVm01SjhYckFKc3RPcmh1TGRzUm5Hc2ZtRDVwTzBQcnFwRytaMmxpTW1ZWE9DcjY0TStqTFo1SnA1RTdtdlY5NWJBbEdxY2txaUVoSjRpZDc3Ymk5VGprcUtpZDJOZmhnUTlTcjZjai9SVGJkaTlvUW5EemFQNUFGNVdWZlVsSWNUMVRxZXpNZHd4UmlxNzNaNWZXVm01Sjl4eDBOeHd1Vnh2QTNnYndEY2NEc2NhS2VWNVFvaHpPYVNLd2tGVjFlMEFsa2dwMmJ0Qjh4NFRqaVBrY0RnTVVzb2JwSlIzQW9oVGpBcnl6OGxFMXZoS0s1SHVRRGZubTMrNDg0RG5GRitlTjdHaURRQU0xWTJnNW1lN1liVHFzZlRyaXliR1lndWRtUEd3SjMyY0R1OWVYamxwWC9YM2QwemFkdHkzREwzVkF5aThLQnUyTmNFSnI4MnZ0S1ByL1Q2VWY3OFVwaFFqRkwyWU1qeWw0KzBlN1BwdDhGN1IwK2xGZjgwZ0lJUGozNmVUZTJiR1JOSVVpU3lMNDFGK2R5bGEvOTZKUFMrMFFSdlR6cEpTZnRMaGNOd0I0T2RPcDlNWDdoZ2pqUkNpd1c2M2Z5U0VlRjRJOGJ6VDZkd2Q3cGhvVG1oT3AvTkRBQjhDK05icTFhdkxOVTA3RjhDNUFFckRHeG9SMGZ6RGhPTUlPQnlPazZXVWp3QllEZ1JYQjFyMHhSeVlJbXo1eGtQWlA0RTRtUDE3RnZvMnViSDlsM1ZRREFxV2Zhc0Vpa0hCdGwvVW9lQ0NiTVR1MXp0eEtGS1RXSDNmTXNTa20vRE9wUzZvUDFxSzJNd1llRHE4cVBqbVZqUy8wbzdrY2l2Y080YVFmVVk2QU1DOWN3aHBKeWZQK0xWYS85bUYrUHc0TFBsYXdhVDlsZC9aaHB6UFpTRDErS1NqbW5zeVh3aWRRUGFuMDVHeU5nbDFUemFqeDlrZko2VzhEOEJscTFldnZxcWlvdUxkY01jWWFjYnJLNnlWVXQ2cnFtcTFFT0o1VGRPZXI2eXNuRDVycDJnakt5b3FLZ0ZVQXJoOWZGbmNjOGRYclZvVjV0aUlpT1lGVmhvL0RBNkhJMFZWMWQ5TEtkOEdzTnhrTTJMcERZdXc5UHBGVVpkc0hLM2g1bEhvVERvc3Y3VUVjVmt4MlBOY0szb3ErakhTTW5yTVg4czM2TWVTcXdzeDFEaUs0YVpSOUc5eFk2emZoOXg5bHVnOEdQK1FIeDF2ZGlQZzFSQ2JHVFB4ejJBeFFQTkxtUE5pZzl0Uk1oOEhBRXdwUml5OWZoR1czakR4dTd0YzA3UjNIQTdINzlhdVhXc0xkM3dSYkpXVTh2dENpSzJxcW01VFZmV2UxYXRYMnhHaEMzUm9mZ25YYlRVWWF0aTd4b0IvSkRCcFdHWGZKamZldWRRRjM2Qi9ZdCtCNWtzdEJKV1ZsVFZPcC9OdWw4dFZMb1FvQm5DTGxKTGo2NGxvUVl1ZU82aFpwcXJxMlZMS0Z3QkFLRUQycHpPUSsvbU1zRlN2blN0akE3NER6dGM0bEl4MUtVaFpuWWlZTkJQY3U0YlEva1kzMGsreElibmNlbGpYak0yTWdUa3ZGcTd2YkFzV0JFTnd1SmRRQklSZXdKd1hpOUpyQ3lGMEFvdXZ6TWV1Mys1QndCUEE0cThXd0dpZDJWeU1wcGZiQVNIZzZmQkM4MmxReHFzeGo3WUg0NHhKUGJ3ZW1VaGlVeE9SdU15Q3BwZmEwUEphQjZRbXYrVDMrNytrcXVvNUxwZnJ4WERIRitGS0FYeEgwN1R2T0J5T2Vpbmw4d0NlZDdsY0h5RllRM3ZlNjl2a2hyZDdiRkpQWWNPZlc5QmJOWUJWZHl5WnFOR3hyOUUyRHlxL3V4M0ZWK1FoN2FUa2ljL3QvdXFlYUViN0c5MHppaU5TVitzYUgyTDNFd0Evc2R2dDg3NmdDQkhSYkdIQ01VTkNpSitHVmlWWi9MVkNwSTRYeDRwbWpTKzJvZkhGdGlNNlZ4K25nejVPaDhCb0FEc2ZhVUJjZGd5S0xzdUZ0ODkzd1BraDB6bjVNUlgyZTVhaWYrc2dlcXNHMFByM1RoaVRERERaak1nN094TkpLeXdBQU9tWDZLMGNDRDZKRmNFa1F0RUxKQzZ6VER4Ym5tNUNPUUFNTjN0UWNHRVc2cDVveGxERENDd2x3UW4vdzAyajQvTk5vamZoQUFDZFNVSEJoZGt3RjhSaHg2L3FRN3Z2VjFYMWhYREdGVTNHSnhYZkRPQm1WVlZiaEJBdmFKcjJYSEZ4OGJ2UFB2dHM0RkRuaDB2SGY3dVJ1TnlDc1Q0ZmdPQVVuNElMc3VEZU9ZUnREOVpoNVhjWFQyb2Y4R3JZL3N0NnhHWEZJR1ZOSWdEZ3ZTOVZUWHZ0TlE4c1IvYnBhUlBibmUvMW9la3ZiVmg1KytLbzZrME00ZUlDUkxTUVJkKzMraXdacjYzeEFnRHNmS1Fld3cwanlEMHJNNnA3T0k1bURnY1FMTVMzL1pmMThIU1BvZkFMMlZDTUNtSlNqTk0rclJ5c0hVYjE5M2RnK1MwbFNGeVdNTEYvdUdrVVRTOEZrNTRsWHl0RTY5ODdVZkxsZlBRNCsxSHp3RzdZVkN0U1QwekdubWRiTWRycFJjbVg4MkZNTktEMjBVWnMrVWt0WWxLTVdQYk40b2xKNmdYblo4RzJPbmdqMUZQUmo0Wm5XN0hrYXdYUW0zVm9mNk1iL1ZzSEp4SU85ODVoeEdYSFRQUjRSS3VBVjBQamkyMW9mYjFqWXA4UTRpWXBKWHM0WmtGb2FWVWh4THhlVjNXMDNZdmVxZ0ZBQWozTy9vbjlheDVjZ2RMckZxSDZqdTNvclhKUCtnNXNlS1lGZ2RFQVZ0NnhCSW94dUQrMDBselBSMzJvZjdwbFl0dGtNMDRhYU9ZZjhzT1laSWo0RmY2SWlHZ3FKaHd6NUhLNVhseTdkbTFLSUJDNFYycnlTODJ2ZHFEcmd6NHN1aVFITmpVeDNPSE5PMUtUMlBYN1J2UnZIVHppYTNnNnZLaThmUnR5UHBPQmd2T3pKbTVPWWxLTUtMNDhEOW1mU29QUDdVZlRLKzBRZW9GVjMxdUMrSUk0QUlEakoyWG9lS3NIUS9VamsxYkVNaVFhSnJhdFpRbkkvTi9VaWFlcGljc3Q2S25vUjk1Wm1ZQUUramU3a1hwQ2RQZGs5VGo3VWZkRU03dzlZd0FBS2VYdkRBYkRyUjk5OUZFUEluVGV3VndLRmVpYmdUb0FvWldzTm1KOFNKWExOWDJ2MjN6UTlISTcwayt4b2VUTDA0MEVNc0J4M3pJWUV3M28yN1IzUmM2OHN6S1IvY20wU2NNWlkxS0N3NjcwNDUrejBMYlVKRHp0ZStkNkROWVBJellqWnNxUVM1UE5PSkc4RUJGUlpHTENjUmpHYjhLK3ZIcjE2a2MxVFZ2djdSbGJ2dTNCT3RqVThWV3FVcUpyNHZqUnpPR29lNklabmUvMllQR1ZCZGo1bTRZanVrWk11Z25sZDVYQ21HU0FaL3lHMkhGdkdZUmVnYWQ3RE1LZ3dHZ3pJditjTE9qamRZQWk0T2tlbXpnL2FaVVZtUjlQUGVEMUU0ck1TQ2d5VDJ5bnJFNUV5OTg2TUZRM0F0K1FIMk1EUHFTc2pjNkV3OXM5aHJvbm10SGptbmh5dlZsUmxLOXhsYXBqYXBzUTR2bEFJUEI4VlZWVk5ZQjUzYU94cjRCWFE0K3pIMHV2WHpUcE84Q1VZb1MzZTJ6YVlaRWZYck5wMHJiajNyS0RMbi90SHc1TWU1Mzk5NjI4ZlRGN1BZaUlJaHdUamlOUVVWSHhyc1BoVUFGY0w2VzhxOGZWSDllM3hZMjhzek9SZlhwMDFPRUFqbTRPaHprM0ZvdS9Vb0MwazVLUE9PRUFnUGlDT0d5NmV5ZmN1NGFPNlB6RG1XeWFVR3lHT1M4V2pTKzF3VDhTZ0RrM0ZnbkY1a09mR0VGa1FLTGw5VTQwdnRnR2JVd0RnR0VoeEIwQWZsRlJVY0U2SEVkSkNGR2xhZHJ6UW9qblhTN1h0bkRIYzZSMEpnVkx2bHFBTFQvZU5XbC8rVjJsME1VRWV4c09Wcnp6Y09acGxkMVloT1J5NjVUOW9XV3ZpWWdvOGpIaE9FTGpSZEx1ZHpnY3owZ3BmNjZOYVdjMS9Ma0ZuZS8yUkVXbGNlRG81bkJrbkRhejgyWWlOREcxYjVNYmxpWHhrOGFNdjNPcDY1QlBVZzlrck0rSHBwZmJrWDkrMWtTRjlJSUxzckgxL2xvQXdSdWhhT0xlTVlUZGYyekNjUFBFMHNTc05INE1TQ2svRWtJOEo0UjRJWm9LL3lXclZwejhtRHJsTXhicThUaVN6OXpCakEzNHNPbnVuVmo4MVFKWVNxSXIwU2NpV3VpWWNCeWw4WnUxczFWVi9SeUFoMGFhUGZtYjd0bUo5Rk50S0xnd095cFhXd21YcmZmWFRwdGNUUGMwVlIrdngvRVByNXoyT3Q3ZU1iVDhyUlB0YjNSREY2TWcrL1MwaVlSall2aUlBRFJ2Ukt4Y2VraStRVDhhL3R5Q2pyZDZRcnYyQUxqVzVYTDlOWXhoUlFVcFpjRkNYWDNvU0lkYkhvZ01BSjVPYjZqbmpZaUlvZ2p2aG84Umw4djF5c3FWSy8rajArbHVGMExjM1BGV2o3N0gyWStDTDJRai9SUWJoQklkdzZ4bXk0SFc2cCtKNWJlVUlDWjk4dEsxWXI4NXBvSHg1S0gxOVU3VS9xRVIramdkOHM3T1JPWW5VcUV6S2ZBTitySDdqMDNvL3FnUGFTY25RL05xMlA1d1BiSjJEaUgvL0N6b1luUkhIRis0U0UyaTQrMGVORHpkQXY5d0FBRDhVc3I3RlVXNTIrbDBqaHpxZkRxMGFFNDI5azBvUEYxNzUwYko4WS9xNFF5YklpS2loWTBKeHpHMGFkT21ZUUMzclZxMTZnbWRUdmVJZnpod1N1M3ZHOUh4Vmc5S3JzaERYRTVzdUVNOExMVWJHbEc3WWZaRzJ6UysyQllzNEtjVDZLa0lUbDdldjBkbzMwbmdBT0R0OVVITVlKbGFxZTA5MTVSb3dGRGRjUEI2WFdQSVBUTUQyV2VrUVJlalE4QVRRUE5mMjlIODF3NW9ZeG9LTDg1Qjl1bHBrSnBFN0l0dGFIcTVIVjBmOUNIclUybEkvNWh0eHNVRXcyMmtlUlMxanpidE8vZmxyVUFnY0hWMWRUVUh4ZE9NN0p0UWhJWVpBc0NLMjBvQUhIeCsxSUZxM2h4TXFHZEQwZlBoREJGUnRHSENNUXZHYitvK3BxcnFaUUR1Rzl3MW5PTDZ6alprbjU2R3ZMTXpJK1pwZWQ3Wm1VZzlmbWFyTkIzSjA4NitUVzRNN2c0bUFrSW5rSDZxRGVhOHlVbFp4WTFiSm0xdnVYZnlKTllEN2R0WCtWMmxTQ2cySS8wVUcvSXZ5SnBJR2tiYnZhaStjenY4SXdFa3JiUmcwUmR6SnlvcUMwVWcvOXdzMk5SRTdINjhDWHVlYTRVcHhZaTBFNU1QKzMzT3BZQW5nTVlYMjlEeWVtZG9UYVJ1SWNUTlRxZnpNVVRRS2trVWZxR0U0a0J6T0k2S1JLalhiWUszTi9pQXdKZ1VHVWs5RVJITkhCT08yU05kTHRlR3RXdlh2dUx6K1g0c0lMN2M4bG9udWovc3c2SkxjbUZ6ek8vYUhla2ZzOEc2TkdIR0UwUFRQMlpEYk5iMGJjdHVMRUxjTk1kVzNiRUVrTUdoUDBJUjAxWjlPSnhWcGc2bDVNcko5UVJpTTB3b3VEQWJjVGt4RThYKzloZGZHSWRWMzF1Q29ZYVJpUm9mODVJRWVsd0RxSHU4RWQ3ZWljV21mcXZYNjI4Ylg4Nlo2Smc2bkY0TUdaRGoxY3FCbWdkMnc3MXphS0lBWjRoNyt4RDBaajFpVWszVFhZS0lpQ0lZRTQ1Wk5uNnpkMlY1ZWZtamlxS3M5L2I2Vm16N2VSMlM3VllVWFpJN2IydDNsSHhwdW1KZlI5Wit1aVV2SndpRWRSbmhtYTZtTlorVERVK1hGM1dQTndlclFnZHQwalR0YTFWVlZlK0ZNeTZLTWhMbzN0ZzNNVFIwSnN2aWp2WDVzTzJoT2d6dkdZWG0weVlXWjhnNU13T1dFak42S3ZvaGRBTCtZVC9hL3QwRmJTeFk5VDc3TSttQUlxQ1AwM0grR3hGUkZHRENNVWVxcXFyZWN6Z2NEZ0JmbDFMZTFWczVZTzRmcjkyUmRYbzZ4eTNUWWRQOEVxMnZkNkx4eFZab1Bna0F3MUxLNzFtdDFsKzgrZWFiL25ESFIxRmdmQkJlajJzQVhlL1hZN2h4Rkt2dVhBSmdac3ZpR2hNTk1ObU1TRm1iQk92U2VNVG54VTNxeVR4Ky9TcjRoL3lvZVdBM3BBVHl6czFFODh2dDZIaXJHd1ZmeU1IeDYxZk54cnNpSXFJNXhvUmpEbzNYN3ZqcG1qVnJuZ2tFQWovWGZQTHNobWRhMGZsdUw0b3V5NE8xTlBKcmQ5RGNHTmcraE4xL2JNUkl5OFI0K2hkME90ME5HemR1YkFwblhCUmQrcmNOQWdBYS90eUNoR0l6eW00c2dqNTI2aHcwNlpjUTR3OU5oaHVEZFY1Q3d5UkxyeW1jL3VJUzZQcGFqWVFvQUFBZ0FFbEVRVlNnRi9WUHQwQWJrMWgyVTFGd3J0Vkp5YWo3VXd0MlBGeVBqcmQ2VVB4L2VZaVpwejNCUkVRME0wdzR3bUQ4cHZBY2g4UHhHU25sTDBkYVBBV2JmN2dUYWFmWVVQZ0YxdTZnQS9NTitsSC9kQXM2MzU2WWx0RWdoTGpXNlhTK0dzNjRLRG9aclFiRVpzYWc0SUtzaVhsbjAwMGEzLzFFRTlyZjZJWmlVS0NOYVRBbUdRNDZYTFR6blY0MHZ0UUdUNmNYeWVWV0ZGMldDNU10Mk41Z05XREpWUVZJV1pPSTJqODBZdE5kTzdENmdXVlFackE2SFJFUnpVKzhzdzBqcDlQNXFzUGhlRVBUdE51RkVEZDN2dDFqNkhYMW8vQUxPVWc3SlpsamwybUMxQ1E2M3VwQnc1OWI0Ui8yQTRBUHdIMUNpQit3cGdiTmxyanNHRGgrWERacEdKUStYbys4c3pNbnRjdjhlQ3JpOCtPZytTV0VFcHkzZGJDNVdURnBSaVFVbWJIa3FnSWtGRTlmVmR6bVNFUkNrUm5EZTBhWWJCQVJSVGdtSEdFMmZyUDRiYnZkL29RUTRoSC9jT0RVWGIvZmc0Ny9kcVBvaWp5WWN5T3JkZ2NkZThOTm85ajlhQ1BjdGNPaFhmOEY4RFdYeTdVdGpHSFJRckZmM21CSW1KcHdtSE5qRCt1N3lySTRIcGJGaHg1Q2FrdzB3Smg0a0VVbmlJZ29JakRobUNjcUt5dHJBS3l6MisyWENDRis2cTRkVHFtOFBmSnFkOUN4TTAxTmpTNHA1YzJWbFpXUGd6VTFpSWlJS0VLd24zcCtrWldWbFkrWlRLWWxBSDREQ2JTODFnblhyZHZRNCt6bkxlWkNJWUVlWno5Y3QyNUR5MnNUeWNhdlRTWlRhV1ZsSlF2NEVSRVJVVVJoRDhjODlQNzc3L2NDK0tyZGJ0OGdoRmp2N1IxYnVlM25kVWhhWlVIUnBia3NqQlhGUEYxZTdINnNDWDNWN3RDdWFnQlh1Vnl1RDhJWUZoRVJFZEVSWXcvSFBGWlpXZm0reFdKeFNDbHZBakRjVisyRzY5WWFOTC9TQWMzUGg5elJSUE5MTkwvU0FkZXROYUZrWXdqQWpSYUxaVFdURFNJaUlvcGs3T0dZNThZTHVEMndjdVhLWi9SNi9ZT2FUNTdiOEd3TE90L3RRZEhsdWJDV0pvUTdSRHBLQTlzSHNYdERFMFphSjVZYmZkN3Y5OSt3YWRPbTVuREdSVVJFUkhRc01PR0lFT00zbitldFhyMzYwMUxLWDQ2MGVnbzMvM0FYMGsrMm9lQUxXVEJZRE9FT2tRNlR6KzFEdzlPdDZIZ25XRk5EQ0ZFdmhMaTJvcUxpYjJFT2pZaUlpT2lZNFpDcUNETitNN29jd0E4QitEcmU2WUh6bG0xb2Y2TWJVdU13cTBnZ05ZbjJON3JodkdWYktObndBZmdCZ09WTU5vaUlpQ2phc0ljakFvM1g3dmlPcXFwUFNDa2Y5Zy83MTlVKzJvak90M3RRZEhrZXpIbXMzVEZmRFRlT29uWkRJd2JIYTJwSUtkOFVRbHpObWhwRVJFUVVyWmh3UkxEeG05VC9zZHZ0WHh5djNaRmErZDF0eUQ0OWZieDJCenV3NW91QVIwUGpDNjFvK2Z2ZW1ob0FicXlzckh3U1hPYVdpSWlJb2hqdlNDT2ZyS3lzZk56bjh5MEI4R3RJeUpiWE91QzZwUWJkRy90NEt4dHVFdWplMkFmWExUV2hBbjVTQ0xIZTUvTXRjYmxjVDREL1EwUkVSQlRsMk1NUkpUWnYzdHdINENwVlZUY0FXTy90RzF1MS9hRjZKSzNxWWUyT01QRjBqWTNYMUJnQUFBZ2hxZ0JjNVhRNlB3eHZaRVJFUkVSemh3bEhsSEc1WEIrc1c3ZHV0ZHZ0dmhiQTNYM1Y3bmpuTFRYSU96c1QyV2VrUTlHTGNJY1k5VFNmaHBiWE90SDRVaHRrc0Y3S0VJRHZKaVFrL0hKOG1XT2lHWG5uVWxlNFF5QWlJanBxVERpaTBQaE43WU9yVnExNlZxL1hQeWo5OHJ3OXo3YWk2OTFlRkYyZUIydHBmTGhEakZvRDI0ZFErMmdqUnRzbWFtbzhHd2dFdmxGZFhkMFN6cmdvc293dkpyQXUzSEhRWGxMS2o4SWRBeEZScE9MajdnWEFicmVmb1NqS3I2U1VoUUNRZGxJeUNpL0tadTJPWThqbjlxSCtUeTNvZkxjM3RLc093RFV1bCt2MU1JWkZSRVJSU2xYVjdRQ1dDQ0dXT3AzTzdlR09oK2hnT0dsOEFhaXNySHpOYURRdUUwTGNBOERYK1c0dm5OK3FRZnQvV0x2amFFbE5vdjAvM1hCK3F5YVViUGlFRVBlWVRLYmxURGFJaUlpSTJNT3g0RGdjamxJcDVjTUFUZ09BaEdJemlpN0xSWHgrWEpnaml6eERlMGF3ZTBNVEJuY1BoM2I5UjFHVXF5c3FLbmFFTXk0aUlvcCs3T0dnU01LRVkyRVNxcXBlRE9BQkFHbENFY2o4UkNyeXo4MWk3WTRaQ0hnMDdIbStGVzMvN0FyMUVIVUN1TkhsY2owRkxuTkxSRVJ6Z0FrSFJSTGVYUzVNMHVWeVBlbnorVXFGRU91bEptWHIzenVEdFRzK1l1Mk9BNUpBOTBkOWNONnlGYTEvNzRUVXBKUlNQdUx6K1VwZExoY0wrQkVSRVJGTmd6MGNCSWZEY1p5VThoRUFkZ0JJV21VZHI5MWhESE5rODRlbjB4dXNxYkhKSGRwVnFTaktWUlVWRlZ5NWhvaUk1aHg3T0NpU3NJZUQ0SFE2UDdSWUxHdUZFRGNBR095ckhvRHpscTFvZXJrZG1rOExkM2hocGZrME5QMmxEYzViYTBMSnhxQVE0bnFMeGJLV3lRWVJFUkhSb2JHSGd5Wlp0V3BWdGs2bit4bUE4d0VnTnNPRTRpdnlZVjI2OEdwM0ROUU1vblpESTBiYnZhRmR6MGdwdjFGWldka2F6cmlJaUlqWXcwR1JoQWtIVFV0VjFkTUIvQXJBSWdCSU96RVpoUmZud0dDSi9scVJQcmNmZFU4MW8rdTlpWm9hdXhHc3FmSDNNSVpGUkVRMGdRa0hSUklPcWFKcHVWeXUxMDBtMDNJcDVkMEF4anJmNjRYelcxdlI5cCt1NkszZElZSDIvM1NqNHB0YlE4bkdtSlR5K3lhVGFRV1REU0lpSXFJand4NE9PcVRWcTFjdjBUVHRZUUQvQXdEeGkrSlFja1UrelBteFlZN3MyQmxxR0VIdGhrWU0xWTJFZHYwN0VBaGNYVjFkdlRPY2NSRVJFVTJIUFJ3VVNaaHcwRXdKaDhOeGtaVHlad2pWN3ZqZjhkb2RzWkhiVVJZWTFkRHdYQXZhL3gyc3VpNmw3RkFVNVVhbjAva25jSmxiSWlLYXA1aHdVQ1NKM0R0Rm1tdlM2WFErcFduYUVnQVBTMDNLMW45MHdubnJWblIvMUI5NXQrWVM2UDR3V0ZOanZJQ2ZCUEFyS1dXcDArbGtBVDhpSWlLaVk0UTlISFJFeXN2TDF5aUtzaDZBQ2dCSkt5M0IyaDFwcGpCSGRtaWVUaTkyLzdFSmZac25hbXE0TkUyN3FxcXFhbU00NHlJaUlwb3A5bkJRSkdFUEJ4MlJxcXFxalVWRlJXdWxsRjhITU5pM3lRM25yVFZvK3N2OHJkMmgrVFEwdmRRTzEyM2JRc25Hb0pUeTYwVkZSV3VaYkJBUkVSSE5Edlp3MEZHejIrMVpRb2dIQUZ3SUFMR1pNU2krTEJmV3NvUXdSN1pYLzlaQjdINnNDYU50bnRDdVAwc3BiMlJORFNJaWlrVHM0YUJJd29TRGpobUh3L0ZKS2VYREFJb0FJUFhFWkN3S2MrME8zNEFmZFU4MW9ldjl2dEN1V2lIRU5VNm44eDloQzRxSWlPWVRIWUJBdUlNNFhFdzRLSkp3U0JVZE0wNm44eDhXaTJVNWdMc0FqSFc5MTR1S2IyNUYrMys2NTM0S3RnVGEvdDJGaW05dERTVWJZd0R1c2xnc0s1aHNFQkhST0ZGU1V2S3Z3c0xDcC9jL0VCc2JtNzFzMmJMdHNiR3hhL2M3cEJ2L1IwUXp4SVNEanFrMzMzelQ0M0s1N2d3RUFpc0EvQ3N3R2tEdGhrWlUzN1VEUXcwamh6ei9XQmhxR0VIMVhUdXcrNDlOQ0l3R0FPQmZnVUJnaGN2bHV2UE5OOS8wSE9wOElpSmFHRkpTVXI0YUh4OS9jbmQzOXk4QXdHUXlGWVdPU1NrTkpwTnBpVTZuaXd2dHMxcXQ1NWFWbFczSnlNaTRLUnp4RWtVcUpodzBLNnFycTNlNlhLNVBTaWt2QnRBK1dEZU02anQzWVBmalRRaU16czZrOHNCb0FIVlBOS1A2emgwWXJCc0dnSFlwNVVVdWwrdVRMT0JIUkVUN01ocU5aVGs1T1Q5dGJXMzk3dURnNEh1eHNiRW5sSldWN1lpUGp6OXQzM2FLb3Boc050dmxwYVdsVlVWRlJjK05qWTN0R1I0ZWZqZGNjUk5GSXM3aG9Gbm5jRGlzVXNwN0FGd0RRQmdURFZqMC8zS1FzamJwMlB3R1NxRHJvejdVUDltTXNYN2YrQjc4U2doeHU5UHBIRGdHcjBCRVJGRWtKaVltdjdpNCtJM2g0ZUdLK3ZyNkMwTDdDd29LbmtwSVNGaTNlZlBtbFRFeE1mRmxaV1gxZ1VEQW95aUtycSt2NzluT3pzNmZqb3lNYkFlUUFLQWpmTytBY3pnb3NqRGhvRGxqdDl0WEN5SFdBM0FBUU9MeUJCUmRsb2ZZOUNPdjNUSGE3c0h1eDVyUXYyVXd0TXNwcGJ5cXNyS3k0dWdqSmlLaWFMUjA2ZEpOc2JHeEsvcjcrNThIWURRWUREYTlYcCtpMStzemREcWRwYisvLytuVzF0YmJ5c3JLNnJ1NnVoNXBhbXI2UG9CMkFEQ2J6YXNXTDE1Y3NXdlhMdnZRME5DV2NMMEhKaHdVU1Rpa2l1Wk1aV1ZsUlZGUjBYRUFyZ1BnN3Q4eWlNcHZiMFBUUzRkZnUwUDZKQnBmYkVQbGQ3YUhrZzAzZ0d1TGlvcU9ZN0pCUkVRSDA5dmIrNGYrL3Y1WEFvRkF2OWZyM2RMWDEvZDhlM3Y3RCtycjZ5OXViVzI5SlRFeDhjS1ltSmlWQU5EWDEvY2N4cE1OQU5EcGRKbENDUDNRMEZCUDJONEFVWVJoRHdlRmhjUGh5SlJTUGdEZ0N3QVFteEdEb2t0emtMamNjc2h6KzdlNHNmdXhab3kyQitkL0N5SCtCT0FtcDlQWk5wc3hFeEZSOURBYWphVUhPQ1JNSnBOdGNIQndzNnFxdlYxZFhiL3U3ZTM5RFJDY1NKNlptZmtkczlsODRxWk5tOUxtTU53cDJNTkJrWVFKQjRYVjZ0V3JQNkZwMnNNQWlnRWc5WVR4MmgzV3FiVTdnalUxbXRIMWZtOW8xeTRwNWRXVmxaWC9tcnVJaVlnb0dxaXFLcVdVWGltbGY1L2RpcUlvc1Z1M2JpM3hlcjIxbVptWnQ2ZWxwWDFMcDlPRkt0bHFYcSszc2EydDdWdTl2YjNQaGlQdUVDWWNGRW5DVjVHTkNFQkZSY1UvMTYxYnQ4THRkdDhDNE50ZDcvY2FlNnNHVUhCK0ZqSS9uaHBNaVNYUStxOHU3SG0yQlFHUEJnQmVBRCt5V0N6M2NwbGJJaUk2VW8yTmpWZjE5UFJzQ0cwbkpDU2NYRkpTOHZiNFpzekF3TURyYlcxdFB3TXdISllBaWFJRUV3NEt1L0drNGE3eTh2S25oQkMvQ293R1BySDdzU1owdk4yRGpIVXBhSCtqZTZLR2g1VHluMUxLYTZxcXFuYUZOMm9pSW9wMFFnZ1RnUGpRdHFJb3NhR2ZqVVpqUVdscDZjWnQyN2FkTURvNitrRm92OWxzWG1rMEdzdjYrdnFtRkFza291a3g0YUI1WXp5SitKVGRicjlRQ1BHem9mcVJqTnI2eHREaE5nRGZxS3lzZkFaelg3ZWNpSWlpVUY1ZTN2cTh2THoxTTJpcVMwcEsrclROWnJ2V1lyRjgwdWZ6ZGZUMTlmME53UVZMaU9nUW1IRFFmQ01yS3l1ZmRqZ2Nyd0c0VzByNVpTSEU3d0I4bHpVMWlJam9XTnF6Wjg4VkJ4bFNCUURJek16OHB0bHNQbDZuMDFuZGJ2ZnJkWFYxNS9iMzk3K0s0UEJlSXBvQkpodzBMNDBuRjE5WFZmVTZLZVYxTHBmcjYrR09pWWlJb2t0K2Z2NmorZm41ang2c2phWnAzajE3OWx6cGRydi9BOEFESUxPZ29PQVBIUjBkdDR5T2pqYlBUYVJFa1kwSkJ4RVJFUzFJalkyTlYzVjNkejhaMnJaYXJTY1VGUlg5WTk4MkhSMGR2OWgzRGtkOGZMd3RPVG41NHM3T3pnY0FNT0VnbWdFbUhFUkVSTFFnU1NtOUFJWkMyNXFtallaK0ZrSklBTkRyOWJyOXpza0FnSkdSRVNZYlJEUEVoSU9JaUlnV05KUEp0RVFJNFRHYnphY0JnTmZySFFDZ0FFQmlZdUxGZnI4L0FBQjZ2VjVKVFUyOXl1ZnpkUURvQ0YvRVJKR0ZDUWNSRVJFdGFObloyZmRacmRZek5FMGI2ZTd1ZmdoQUZ3QjBkSFQ4TkRVMTllclUxTlNyUTIxOVBsOUxTMHZMZFdFTGxpZ0NNZUVnSWlLaUJhZW1wcWJRNC9GMEEwQmRYZDJaMDdWcGFXbTV1YVdsNWVhNWpZd28rakRoSUNJaW9nWEg0L0UwaERzR29vVkNDWGNBUkVSRVJFUVV2Wmh3RUJFUkVSSFJyR0hDUVVSRVJFUkVzNFlKQnhFUkVSRVJ6Um9tSEVSRVJFUkVOR3VZY0JBUkVSRVIwYXhod2tGRVJFUkVSTE9HQ1FjUkVSRVJFYzBhSmh4RVJFUkVSRFJybUhBUUVSRVJFZEdzMFljN0FKcFRlbFZWZlVkekFaZkxaUURnUDBieEVCRVJFVkdVWThLeHNQaTNiTm15OUVBSE16TXpiN2JaYkY5cWJtNit1cisvLzQwRFhXT1dZaU1pSWlLaUtNU0VZNEVaR3h2YlBzMXVZMTVlM2tNMm0rMUxmWDE5ejNSMmRqNENRQWNnTU1maEVSRVJFVkdVNFJ5T0JjNW9OQzR0TFMzOUlDVWw1VXFQeDdNMUtTbnBndVRrNUF1WExWdTJJeWtwNlNJQUl0d3hFaEVSRVZIa1lzS3hjSm5TMDlPL1hWWlc1alFhamZsMWRYVm5kWFYxclFlQTN0N2Vmd3dPRHY2dG9LRGdzZExTMGc4VEVoSk9EbmV3UkVSRVJCU1ptSEFzUEVweWN2TDV5NVl0MjVxZG5mMER0OXY5OTAyYk5pM3I3KzkvZVo4MmZZMk5qVi9mdVhPbnFtbmFXRWxKeWR2NStmbVBBOGdJVjlCRVJFUkVGSm1ZY0N3Z0ZvdmxqTEt5c3EwRkJRWFBBUER2MnJYcmMzVjFkV2NEYUordS9mRHc4T2FkTzNlZTB0emNmRTFpWXVMblY2MWF0UzA1T2ZuOHVZMmFpSWlJaUNJWko0MHZJSDYvdngwQUdob2F2dHpiMi9zWWdKa3NrU3M3T3pzZmRydmRmOHZKeWZuTjZPaG80K3hHU1VSRVJFVFJoQW5IQWpJeU1sSlpVMU96RklERmFEUVc3WDk4WUdEZ1h3TURBMHVOUm1QcC9zYzhIazlyYlczdEorY2tVQ0lpSWlLS0drdzRGcUNrcEtRekN3c0xIeitjYytycjZ5L3A2K3Q3WXJaaUlpSWlJcUxveElSakFYTzVYRWtBK2cvUkxGRlYxYjY1aUllSWlJaUlvZzhualJNUkVSRVIwYXhod2tGRVJFUkVSTE9HUTZvV3NKaVltR1NQeDNQUTM0R1ltQmpMWE1WRFJFUkVSTkdIQ2NjQ1ZsWld0anZjTVJBUkVSRlJkR1BDc1lEVjFOUVVlVHdlOThIYXhNVEVXSmlZRUJFUkVkR1JZc0t4QUhtOTNoMWRYVjIvOG5nOGJRQkdEOWJXNC9FTWRYUjAvTlRyOWRiTVVYaEVSRVJFRkVXWWNDeEFJeU1qRzBkR1JqYk9zTG1ucGFYbDVsa05pSWlJaUlpaUZsZXBJaUlpSWlLaVdjT0VnNGlJaUlpSVpnMFREaUlpSWlJaW1qVk1PSWlJaUlpSWFOWXc0U0FpSWlJaW9sbkRoSU9JaUlpSWlHWU5FdzRpSWlJaUlwbzFURGlJaUlpSWlHaldNT0VnSWlJaUlxSlp3NFNEaUlpSWlJaG1EUk1PSWlJaUlpS2FOZnB3QjBBVTRuQTQ4cVNVRDB4M1RGWFY1L2JkMXVsMDM5aTRjV1BUM0VSR1JFUkVSRWVLQ1FmTkcwNm5zMWxWMWVNQlpFOXorTnpRRDBLSTVvMGJON2JNWFdSRVJFVHp6a2NBMmdHTWhEc1Fva05od2tIemlTYUVlRUZLZWQxQkcybmFDd0MwT1lxSmlJaG8zbkE0SEFZQTEwc3BMd0VBS2FVNXpDRVJIUkxuY05DOG9tbmE4ek5vTnBNMlJFUkVVVVZWMWRPbGxKdWtsUGZ0czN1ejNXNy8rUWtubkpBY3RzQ0lEb0VKQjgwcnhjWEY3d0RvUEVpVHp1TGk0bmZuS2g0aUlxSndXNzE2OVJLNzNmNHFnTmNBbE1abW1MRDRxd1hJL045VUNFWG9oQkJmOTNnOHV4d094OVhyMXEzajZCV2FkMFM0QXlEYW42cXF2d2J3bFFNYy9yWEw1YnBxTHVNaElpSUtoL0x5OGtSRlViNEg0RG9BZWwyc0RubG5aeUx6ZjFPaDZJTzNjQ1BOSHRROTFZeitMZTdRYVZ1a2xOK29yS3o4VjVqQ0pwcENGKzRBaVBhWGxaVTFCdUNTNlk0cGl2THQxdGJXdWprT2lZaUlhTTZjZi83NXVwaVltSzhJSVY0QzhIR2hDQ1h6dEZRc3ZXRVJFcGNsUUNoN254Y2JMSHFrblpnTWMwRXNodXBHNEI4T3BBa2hMczNLeXJKblptWld0TFcxOVlidm5SQUZzWWVENWgySHcyR1FVbllBU05ydlVKOFFJdDNwZFByQ0VSY1JFZEZzY3pnY3Awa3BId1N3RWdDc1MrT3g2SXU1TU9mR0h2SmN6YWVoN1o5ZGFIeXBEUUdQQmdBK0FBOGFESVo3UHZ6d1EvY2hUaWVhTlV3NGFGNnkyKzBiaEJDWDdiZDdnOHZsdWlJc0FSRVJFYzJpTld2V0xBb0VBdmNCT0FjQVlsSk5LTHdvR3paSDRtSGZyZm5jZnV4NXRoWHRiM1VERWdEUUthWDhkbkZ4OFlabm4zMDJjS3hqSnpvVUpodzBMNm1xK2prQUwrKzMrM011bCt1djRZaUhpSWhvTnB4MDBra0pJeU1qdHdraGJnSmcxTVhva0h0bUJySS9sUVpoT0xyYnRLR0dFZFE5MlF6M2pxSFFMaGVBRzF3dTE5dEhHVGJSWWVFY0RwcVhsaXhaMHVqMWVtOEFZQnpmTmVoMnU2L3E3ZTNsazVrNVlyZmIvV05qWTl0SFIwZTNUblBNNi9mN08wZEdScHdIdTRiWmJGNXB0VnJQSEJrWmNjMWVwRVJFRVVsUlZmVXl2OS8vRnlIRUdRQjBhYWZZVUhiRElpU3R0RURvanY2WnNESFJnUFJUYklqTGpzRmczUWdDbzRGTUFGZGtabWFXWldSa2JHeHZieDg0NmhjaG1nRXVuVWJ6MHB0dnZ1bFJWZld2QUw0QUFFS0l2OWJXMW5yREhOYUNJb1RRU1NrUHRIUzJvbW5hSWVmU3hNYkdIcCtYbDdkZVVSUjlaMmZuSTBhanNYVDU4dVhiWnZMNlc3WnNXVG8yTnJiOXNJSW1Jb29BNWVYbEp5cUs4bk1BcXdIQVVoS1BSVi9NUVh4aDNMRi9NUUdrSEplRVpOV0tscjkxb09tVkRtaGoyZ1ZDaURQdGR2dDlnVURnM2syYk5nMGYreGNtMm9zSkI4MWJVc3JuaFJCZkFHWmNFSkRtaGhCQzZLV1VZNGRxMk4zZC9SdWowWmlWazVQelM3L2YzenMwTkZRTkJKT0pVQnVkVHBlWWtwTHl4WTZPamwrRzlzMDBLU0VpaWlScjFxekoxVFR0WGlubFJRQmdTamFpNE1Jc3BCNmZQT3VEM0JXRGd0elBaeUx0RkJ2MlBOT0t6dmQ2WTRRUTM5WHI5ZitucXVxdExwZnJLUURhN0VaQkN4VVREcHEzQW9IQWEzcTlQdlR6NjJFT1o2RXpKaVltZmhvQXBKUjZBRENiemVWU3lvbW5ZajZmcjJGNGVMaHEveE5iVzF2dkJJRGg0V0VueHI5ejl1MjVNQnFOcGFtcHFkYzBOVFZkTzd0dmdZZ29QQndPUjV5VThwdUJRT0FXQUxHS1FTRG5zeG5JK1V3NkZPUGMxbUEySlJ1eCtLcGcwY0RkVHpSaHFHNGtHOERqcXFwZW95aks5UlVWRlIvTmFVQzBJSERTT00xcnFxbytEMEM2WEs3endoM0xRcU9xcXF5dnI3K29yNi92YVFBcHFxcDJIYXg5VjFmWHcwMU5UZGNjckUxb1NKWEw1UktxcXNycDJtelpzbVhwOHVYTHQzRklGUkZGQVdHMzJ5OFVRdndFUUM0QXBKNlFqSUlMczJGS05vUTVORUJxRWwzdjk2SGhtUmFNOVFWSHlRb2hIdE0wN2JiS3lzcldNSWRIVVlROUhEU3ZTU21mUTJoUlA1b1RLMWV1N05icjlUWUFLQ3dzL0ZOaFllR2ZYQzZYeGVWeUpRR0F5V1N5TFZ1MnJMYXVydTd6L2YzOWJ3SEEwcVZMM3dJd2FZNk55V1FxRHZXR2pJMk4xUUdZTkFTcnBxYW1FQUIwT2wzUmtpVkwvaFhhSGhzYmE1bnQ5MGhFTk52c2R2dHFBQThLSVU0Q2dQaUNPQlJka291RUVuT1lJOXRMS0FKcEp5WEQ1ckNpK2E4ZGFIbXRFNXBQdTFRSWNhNnFxajh5bVV3UHZQLysrNlBoanBNaUh4TU9tdGVNUnVPcmVyMmVDY2NjMnJGangvRlNTdjN5NWN1M05UYzMzOVRmMy84M0FFTm1zL25qbXFadFE3Q1FGTHhlYnhlQWZnQVFRaGdBR0pLVGs2L283ZTNkQUVBdVdiTGtnMURpTWwxdmhjZmphUUFBbzlFWXMrODJFVkVrVzdObVRVWWdFUGdoZ01zQkNJTlZqNEx6czVGMmN2S2tDdUh6aVM1R2gvenpzcEQrTVJzYS90eUs3by82ekFEdThYcTlWOXJ0OXBzckt5dWZCeC8rMFZGZ3drSHpHaXVqemoydjExc2IrdG5uODdXT0p3cGkwYUpGRzlyYjIzODBNakx5RGdBRUFvSCtVRHRGVVV3QVJINSsvbTk5UHQrdXdjSEJkelp0MnBRQ0JJZG03ZjhhOGZIeHl4Y3ZYcng1MzMwSEdtSkZSQlFKaW91TFRRa0pDVGNFQW9IYkFjUUx2VUQyNlduSVBUTVR1cGk1bmFkeHBHSlNUU2k5dGhBRDIxTlEvMlFMaHZhTTVBc2hubFZWOVMxTjA2NnZxcXFhTWsrUGFDYVljQkRSSVNVa0pKeXMxK3RUdTdxNi9tUTJtMVVBR0JzYm01alRJWVNJOWZsOGU0YUdodDYyV3EzbkR3NE92bk93NncwTkRlMElEYUdhVGxsWldmMnhpNTZJYUZZSlZWWFBBbkEvZ0VVQVlITWtvdkRpSE1Ta0dnOSs1anhsTFUxQStmZEwwZjdmYnV4NXRoVytRZitwaXFLNFZGWDluZC92djMzVHBrMmQ0WTZSSWt0a3BOeEVGRmJKeWNtWER3d012QUtnTnpZMnRsRFR0QkVBM2FIamlxS1lBb0dBeCsxMi95VXBLZWxjSEh4QkNnbkE1L0Y0cHAycndhRlZSQlFwVkZWZHFhcnF2d0c4QUdDUk9UY1dLMjViaktYWEw0cllaR09DQURMV3BXRDEvY3VRZlVZYWhFNElBRmZxOWZwZERvZmpwbVhMbGtYNEc2UzV4QjRPSWpxVWxNVEV4SXNiR2hvK0R3Q3hzYkdyUEI3UGpuMGJLSW9TRndnRVJ0eHU5OXZaMmRrL2k0Mk5QWDUwZFBUOS9TK2sxK3ZqeHBNVkdJM0dvckt5c2luMU5sd3UxL3djNUV4RU5NNXV0NmNxaXZKOUtlVlhBQ2o2ZUIwS3pzdEd4bWtwVWJmK3B5NVdoOEtMY3BCeFdncnEvOVNDM3NvQmk1VHlmcFBKOUZWVlZXOXl1VngvQmVkMzBDRXc0WmlIN0hiN2gwS0l0ZUdPZytZWEtlV2JsWldWcDgzMTYxcXRWdnZZMk5pdWdZR0Jmd0tBeFdJNTNlMTJ2N1pQRTBVSVlaSlNEbnU5M3AxZFhWMi8xT2wwZy90ZFJwZVJrZkZkVGROR2ZUNWYrNzRIUWduRzRWUWhKeUlLQjRmRFlaQlNYZ1BnVGltbFZTaEE1aWZTa0hkV0J2VG02TDZsaXMySVFkazNpdEMvWlJCMVR6WmhwTVZUQXVCbHU5MytUMDNUdmxGZFhiMDEzREhTL0JYZG40NEl4V1NEcGlPRVdCZU8xeDBZR1BqbndNQ0FDa0RHeDhlZmFqS1ppdnI3KzUvZXAwbG9qY2RoQUdocWFycHVuMk54QUZCU1V2S2lYcS9QSFJ3Yy9Ldkg0MWtRZjVUNDRHRCtDbGZ5VHBITmJyZWZJYVg4R1lBbEFKQzB5b0pGRitjZ05qTW16SkhOcmNUbENiRC9ZQ25hL3QyTnhoZmE0Qi8yZjBLbjAxV3JxdnFJeVdTNjQvMzMzKzhOZDR3MC96RGhtTWRPZmt3TmR3ZzBUN3h6cVN2Y0lmZ0JJQ3NyNis2aG9hRVBCZ2NIMzkzbm1Ca0FmRDdmMFA0bjJXeTJDd0JBQ0dIY3RXdlh5UVVGQlkvMTlQVDhadDgyMGJvNkZaT04rU3RjeVR0RkpvZkRVU3FsZkFEQUdRQVFteG1EUlJkbkkybVZOY3lSaFk5UUJMSStrWXEwRTVMUitHSXJXdi9WcFlQRXRSNlA1MkpWVmUrd1dDenIzM3p6VFgrNDQ2VDVnd2tIRWMxSWFtcnFOV2F6K2FUYTJ0cFQ5OTF2TnB2VEFFRFR0Q2xMR0E4TkRiMDNQRHo4M3gwN2RseVFtSmg0a3Nsa0t1bm82UGp6dm0wT3RscFZOT0NEZy9sbEhpVHZGQ0ZXckZpUlpEQVk3aGdmUXFYWHgrbVFkMDRtTWorZUNxR0xzb2thUjBnZnI4T2lTM0tSZmxvSzZwOXNSdi9Xd1dRQUQ3bmQ3cSt0WHIzNmhvcUtpbitHTzBhYUg1aHdFTkVoV2EzV1QrYms1UHkwdmIzOXpzSEJ3ZmRpWTJQWFdpeVdrNlNVbnNURXhJdWxsR01qSXlPMSs1L245WHAzN3RpeFkxMXNiR3hPYm03dXd6MDlQZXNCdEFQQjZ1UGpCUUViQUFpVHlWVHM5WG9INHVMaVZBRFE2WFJUZWt5SWlHYmJ1blhyOUlPRGcxZEtLZThHWUJPS1FQbzZHL0xQellJaGdiZE4wekhueEdMNXQwclFXeldBK3FlYU1kcmhMZE0wN1IrcXFyNmlhZHBOVlZWVnU4SWRJNFVYUHpsRWRFaFdxL1g4cnE2dTlXMXRiZmNBZ0U2bk0yZG5aejhBQUg2L3Y3dXBxZWthQUFNSE9qOCtQdjZjUUNEUTA5alllTnMrdThmMnFUNHVpNHVMLzJFeW1Rb0F3TzEyLzMxMGRMUjVkdDRORWRIMDdIYjd4OTF1OTRNQWxnT0F0U3dCUlYvTVFWeE9iSmdqaXdBQ1NMWmJrYmpDZ3JaL2RxSHh4VllFUE5ybkZFVTUzVzYzLzBKUmxMdWRUdWNCLzA1UWRHT2Y0RHdVR3RQT29SZ1VFaG9HTXBkTHhzYkd4dWFNam83MkFCaEY4THRpdXJrV09nQ0JHVjR5Q1VEZlFZNHJBR0xIWHl2aWV6ZWkvWE1zQS9Lb2g1V005ZmxnVERJY280aG1KaHlmSlpyL0hBNUhrWlR5ZmdCbkFVQk1xaEdGRitmQ3BscDVwM1NFZkc0ZjlqelhodmIvZG9mK2VuUUpJYjY5YU5HaVI1OTk5dG1aL3QyZ0tNSENmMFEwcmZFZWh0SHh6UU5ON0Q2Y1B4b0hTellBUUVOd3BhdUlUemFPdFhjdWRXRzB6WFAwRjVKQTQwdHQ4SFNQSGJDSmU5Y1FXbDd2aEF3Y2VDNy93UFloZkhqZFp2UlZIL25EeWg1blB5cHUyb0x1amYxSGZBMmlvM1hTU1NjbE9CeU9IMHNwYXdDY3BZdlJvZURDYktnL0xvUE53V1RqYUJnc0JoVC9YeDdzMzE4S2EyazhBS1JLS1g5YlYxZFhZYmZiVHozVStSUmRPS1NLaUNqQ2pMWjU0THlsNWxrQjZHUUFBQ0FBU1VSQlZKRHQ5dTlkR1J2d29mUHRIclQvcHh2THZsa01jKzdrWVNMU0wxSDcrMGI0aHZ4SVBTN3BnTDBQOFlWeEVEcUIya2NiNGJodkdSVEQzbWRYWFIvMFljZkQ5VlBPRVlyQVNSdnNFOXZKNVZaWWwxbXc0MWYxMEw2Y0QwdHBQQ3B1M0hMSTkxUjhlUjR5L2lmbGtPMklEa0d4MisyWGo0eU0vRkFJa1E0QnBKOWlROEg1MlRCWWVXdDBMSm56ZzlYWHV6ZjJvZjdwRm5pN3g4cUZFUDkxT0J6UEJRS0JiMVpWVlRXRU8wYWFmZnhVRVJGRktNZTlaZFB1NzYxMm8vNnBxVk5naklrR3JQak9ZbXkrWnljMi8zQVhWbnk3WkZMUzBmaFNHMGJidlZoK1MvR1VaTU0vRW9CdndEZXhiWE5ZNFIvMHczdUEzcEo5WTl2elhDdDZYSk43UTRST1lPbDFoZGo4bytCY1VsT1M0WUR2SjJRbVNSYlJvVGdjanBPbGxBOENjQUJBUW9rWlJaZmtJcjRnTHN5UlJURUJwS3hOUXJMZGlwYlhPdEg4U2pzQ1h1MDhSVkUrcDZycS9WNnY5OGRidDI1bDczWVVZOEpCUkRRUCtmNC9lM2NlMzFoVjl3LzhjN0ozU2RxbVRmZDFPcDJ0c3pXZEFRYkJaMUJSY1VjV1JSSGxKeW91aUtLZ0NDcVA0b0x3UTNodzRmbTVnRGdnaUtPQ2dHektpSXpETEUwNys5SjlYOU9tU1pvOU9iOC9NczEwU1plWmFabzA4M20vWHZPaXVmZmNtMitHWnU3OTNuTys1NHo2RVhDZEdySG1HWngrWXovVGdtT2FkdmUwYlJPSFpDMjdyZ1Nkei9aQkJtVmt1MmZRaDY3bis1Ri9TUTQwbWVySWRsVzZDbXE5Q3RZNkd4cC8xVDd0dkZPSFJLMzhRc1drMklLZUlFWU9PcEMxemhCcFl6L3VSTzlyUTFqeG1US3N2M05GcEJia1hGdEFqUlpYYlcxdHFaVHlIaW5sUndGQWExU2ovSnBpbU03TDR0Q3BSYUpRSzFEeWdYemtYbXhFK3g5N01MQnpXQXZnRHExV2UzMU5UYzAzNit2ckgwZDRlQzBsR1NZY1JFUUpxT09aUHZTK09oaDVmZmkrVTdNT3o5VVRFRTIwM29HRzd4eWJ0cTMzSDRQby9jZXA5eTI2TEE4VjF4UWg3K0pzYUF3cWVBWjhLTGpVTk9tWTFpZTZrTDRzRGFZTHNqRDQ1dVJTbmY3WHJRaDZnaWo1VUg1a20zdkFpOEgvREtQcTA2V1RobU1SeGNMNjlldlRsRXJsYlZMS1d3R2tLTlFDSmU4dlFORjdjcUhROFBjdkhyUlpHcXo0WERrSzNtRkN5K05kY0RTTkZRb2hIak9ielY4RThCV0x4ZkptdkdPa2hjV0VnNGdvQVZWZVY0TEs2MHJnYkhPaDRUdkhVSHZQbWtnUHdIanZ3MHlGNUQ2YmY5cTJtV2JMNm55bUQrM2JlL0NXUjJzZ0ZMTS81bFZvRkdqZTFnbVZYZ1hUQlZrQWdPSDZVWFMvT0lDMXR5MmYxbDZHSkhwZUdrQjJiU2IweTlKbVBUZFJESWphMnRwckFOd2pwU3dHQU5PRlJwUmZYUWl0VVJQbjBBZ0E5SlZwV0gvbkNneTlPWUsycDNyZ0hmR2REMkNYMld6ZUZnd0d2N2wvLy83dWVNZElDNE1KQnhGUkFodDZjK2JKdlJhbXBpRThHNVVRYzQ4cHlWaXRSK0dsdVJnOTZvRHBnaXo0Ui8xby9FMDdDaTQxSVhPdFlWcjdvVDAyZUlmOXFMNjFhQUhpSkpxL2pSczNibFlvRkE5S0tiY0FnSDVaR2lxdUxZWmhPUlBmUkNNVUFxWUxqVERXWnFMcnVUNTBQZDhQR1pEWEtwWEtEOWZXMXY1WW85SGN0MnZYcnVualJHbEpZY0pCUkpTZ1F2NFErdjl0QlFCMFBkOFAvYkswU1RNMHpkUnJNZE5NVWRISW1XZS9uV1I4L1lweGZhOE5SWDd1ZldVUXZhK0VoMkV0LzFScFpMdmY3Z2NrTUhyTWdaUjg3ZnplaU9nczFOVFVGQUw0b1JEaWswQjRvb1R5cTR0Z3VqQnJ6aDQ4aWkrbFZvR3lLd3FSLzE4NWFIMnlHME43UmxLbGxOL3plcjJmTnB2TnQxa3NscWN4OHhUdGxPQ1ljQkFSSmFpK2Z3NUJrNldHM3hHQUxsZUxsc2U3WUc4YVE5RzdjMC9yUEZQcktpWWE2M0FEQWhqY1BYTWJuVWt6NzdvUlo1c3I4blBoTzNNQkNUUTkwZ0d0VVlPczlkTjdRWWdXd3RhdFczVU9oK09yVXNvN0FLUXAxQW9VdlRzWHhlL1BnMUtuakhkNGRCcTBPUnFzK2xJRjdNZE5hTjdXaWJGMmR4bUFwOHhtODVjVUNzWE4rL2J0cTQ5M2pIVDZtSEFRRVNXZ2dET0F6bWY3VUhabElab2U2VURPNWt3WVZxYWo5UTlkTTA1Rk81UDU5SGJNMWliM29teXMrR3padk43TE9XV0dyTUozNWNMZU5JYm14enF4NmQ1cXpnWkVDMDNVMU5SODJPRnczQ3VsckFDQW5NMVpLUDlvSVhRbTlxb3RaWWFWNmFqNTNtcjB2VDZFOXFkNzRiZjdMdzZGUW5XMXRiVy9WYWxVZCt6ZXZicy8zakhTL0RIaElDSktRRzEvN0lGUUNlUmVaRVRUSXgwQWdJeVY2ZGg0MTZwSXNmalVZVTR6bVdub1ZjZ2Z3cDZiRGlMZ0NxTDA4Z0tVWGw0dzYzbm1lcitaM3FmNHNqdzAzSFVNempZWDBpdTQxZ0V0akpxYW1nMEFIaEJDYkpWU0lxMGtCY3MrVVRLK3FqVWxBd0hrLzFjT1RPY1owZkZNTDNwZUdoQXlLRC90OS91dk5wdk4zN2ZiN2YvVDFOVGtqWGVZTkRjbUhCUVgvbEUvMUJuUlZ6RmVERElvSTNQL255bmZpSC9HbFppSnpwWXVUNHZ5anhUTk9tM3M2Uzc4TjFYZlA0Y1FjQVZoMnBLRnJ1ZjdZZHBpbkxQV292cnJ5NkV6VFo3aHh6UG9telJ0NzFTNmsrZjBqdmlSWGpGbldFU3pxcW1wTVFraDdnWndBd0NGV3E5QzJaV0Z5TithazNROWFBdHhyVW9HeWhRRktqNWFoUHhMY3REMlpEZXNkVFk5Z0o4WURJYlBiZHk0OFdzTkRRM1BndlVkQ1kwVFVDZTVrWVAyeU5OUklIeVQzUFJJQjhZNjV6L2h3OUgvYVVIbk0zMExGbFBmamlIc3ZlWHdqRk42enFUbnBRRWNmYUFab1VEMGYxTUdkNDNnOEgxTkNIcG5Yek5vOUpnVHUyODZpSkg5bzdPMm00MjF6b1o5WHpzMGJkRXpvb1ZTOFBZYzVGNW9uTFZOU29FdTZoOU41dHlKc0t2YmcvYnRQVENhTTFEMTZUSm9qV29jZmJBWmdiSGdyTWZwVEpwcDd6YzFBWm5LMHg5K0FLbE81MWg2T25QVjFkV2FtcHFhVzRRUWpRQStLeFJRRkYyV2g5cDdxNUYveWRKTk50NjR6aEwxZWhod0J2RG01L2VmOXJWeW9xQW5pSTYvOU1JM01uMnE3S1VvSlUrTDFUY3Z3OXJibGlPdE9BVUFLaFVLeFYvTlp2UExtelp0V2h2ditHaG03T0ZJY21QdEx2UzlOb1RsMTRkbmpnbU1CZEQzMmhDTU5SbElLMG1aOC9qQlhTT3c3clBCc0NKOXpuLzBWR2txcUExei8wcmxiTTVFMjFQZGFQeHRCOWJmc1dKZW44UFo2a0xyazkwb3Vpd1hnYkhBcEgxS3JRSVFBcTFQZGlHOUxCVkJUeEJCejZtYkpvVktBVlhhcVJ1ZDlJcFVDS1ZBMHlNZHFMMjNldElUNUpsbTl4RUtnYmM4V2hONWJkeVlnWXhxQTQ3L3ZCV2hHOHBnV0pXT2ZiY2Ntdk56TFA5VTZhUlpob2htRXN0Q1YxZVhHNGQrMGdSbGloTExQMVVLaFVhQmxWK293SUc3VCtEQUQwNmcrcFpLYUhQT2JwMkM3aGY2NFdoMVFhbFR3SGJRQVUyV21tdHgwSmtTdGJXMTd3Rnd2NVJ5QlJEK043amltcUlsdVRyOW16ZnVSOEExT2JHZk9zWDFSWStaTVhMQURrMldac2JQS0VNeWtzeFBOWDZNZFo4Tm5jLzJoWHQva2tqbVdnTTIzcTFIMzJ0RGFQOVREd0pqd1hlRVFxRUdzOW44c0VxbCt1NmVQWHVzOFk2UkptUENRVE55OTNranZTT3RUM1NoOVluWjJ4ZStLeGZMUGw0ODUzbFZhU3FVZnJnUW5nRXZRZ0VKaFdyMngxTGVJUitPUHRnQ0daVG9lcTRmWGM5TnJoTXJlSWNKa09IZW0rR1JVZXk1NmVDay9ablZlcXk2YVJuOG82ZWU4R1RYWmlEZ0NNeFlmRHR4cUVyN24zcGd0VXp1RFJGS2dkVTNWZURnanhvQkFOb3M5Wnl6K0N6TW1nbTBXTmF2WDErOGN1WEszcWVmZm5yMlIvNXhOUFdtWlZ6SU4wTXZud3ozTUxZKzBRVmxxaEpydjFFVjZRMUpMMC9GbXE4c3c1RUhXbEIvNTFHVVgxMkV2SzNaMDZZUzlReE8vODVFMjZiT1ZNUGQ0MEVvSUpGZWtZcXlLd29nNXZpdXp5YnltZGd2bjNCaStWMHhtODJyQWZ4VVN2a3VBRWd0MUtIaTQ4WElXcmQwWnp6YmRQL2tCL0Z2M3JnZkcrOWFGUmw2T0c3d3pSRzRlejFSYTZjMmZHY2x0Q2JOak5lVjhYcXFnWjNETUoyZmxaVERmNFZDb09EdEpwZ3VNS0w5enozb2ZYVlFDWWt2QmdLQmo5WFcxdDRGNEpkMWRYWEowYldUQkpod0pKbjUzTURQaDIvRWo4UDNOa0ticllhN0w0U1ZueTlIem5sWjA5dlovRGp5MDJaNEJyekllMnYycEgzektXanRlV2tnNnZac2N3WldmNlVTWTUxdUhQbHBNOVNaS3RUY3ZRcGRMd3pBMmViQ3FpOVdRSldtaExQTkJlK1FEOGNmYnNPS3o1VWp2U3dGeDM3V2lyWGZySm8wcktULzMxWTAvcXA5MnZ0TUhSSzE4Z3ZoQWVialQ0ZUNuaUJHRGpvbVhkenN4NTNvZlcwSUt6NVRodlYzcm9pTXIxMktUOXBvWmlxVjZzNm1wcVlQMWRiVy9pVVVDbTNQeU1qWXNXUEhqc0RjUnk2ZU4yL2NQNytHRXJCYWJPaDhwZy9PTmhjeTF4cXc4bk5sMCtxb010Y2FzT0U3SzNIczU2MW9lclFEWFMvMG8vQlNFM0l1eUlMbVpOdlphalVteXIzUU9PZVFzRmxERGtuMHZqSUlwVTRKb1JRWU9XZ0hFQjVTUVlrbEZ0K1ZMVnUyR0QwZXozY0JmQkdBVXBXcVJPbUhDMUR3ZHRPU3IybFFwU3F4ODFPVFozYmQvNzNqazE3WDNsdU40ZjJqcUxpbUNObWJ3OWZlcnIvMVlYRFhDRForYnhXME9Sb29WR0xhUkEwVHIzV2VBUzlzUnh5QUJBYitNeHcxbHBJUDVLUHN5c0tGK21oeG9VcFRvdklUSlNoNG13bXRUM1JoNUtBOVMwcjVJSUFieldielZ5MFd5MHZ4anBHWWNDU1ZvZDBqYVBwZEp6YmR1d2FxdFBuL3J4MDVZRWYzQy8ybyttd1p0RVpOdUFEMDNrWW9VNVJZOTYwVkdQaTNGY2QvMFFiUGtBL0ZsK1ZGeHNrTzdiV2grZEVPS0xRS3JMOWpCVktMSncvUm11MkpmOTAzanFEZ0hTWVVYbXFLdW45OE9JbmZIb0J4UTdqclhLRlJvUFJEK1RqK2NCdEdqem1RWFp1SnptZjdNTmJtZ3ZuSGE2QTdPUVRFdE1VSVI0c0wyZWFNeVBueUxzNkd4cUNDWjhDSGdpbnYyZnBFRjlLWHBjRjBRZGEwOVFyNlg3Y2k2QW1pNUVQNWtXM3VBUzhHL3pPTXFrK1h6bHJRUzB1ZkVDSlBTbm1qRU9MRzBkSFJZYlBaL0l3UVl2dm82T2lyaVRBenlua1ByWXU2ZmRneUd1bWQ5Tm44MlArOTQvQU8rYURMMVdMbEZ5cGd1bUQ2dzROeGFhVXBxUG5CYW5TLzBJK3U1L3ZSOG5nWC9JNUE1S2FrOXA0MTA1SnJkNjlud1h2d2hFS2crKy85OEE2SEgxQUtsVUQrSlRuSVdLVmYwUGVoaGJGUTM1V3RXN2VxN0hiNzV6d2V6L2VFRUVhaEVNaC9XdzdLUGx3SVZSTFZBTW1ReEtaN3E2SEwwK0tONnl3dy8yZzFVZ3AwOFBSN3NlL1d3K2o2V3grTUd6TmdQKzVFMFdWNUFBRDdDU2R5TDVwN1lvZHhQYThNSXIwc0ZTcy9YejVwZS8wZFIxSDgvbnlZTHNpQ0tqMTViZ05UaTNTby92cHlqQnl3bytXSkxyaDdQYXNCdkdnMm01OFBCb08zN04rLy8wUzhZenlYSmM5dkdpR3RMQlVCWndCOS83S2krRDE1OHo1dVlLY1ZZNTF1YUF4cUJEMGhITGo3T0RSWmFsUi9iVGxVcVVvVXZpc1h5bFFsbWgvdHhMQmxGQVZ2TjZGdnh4QkdqenBndXRDSXl1dEtvRXFkZmlHWTY0bS9XcSthczAxbXRSNkg3bWxFN3o4R0oyMjM3cHZjTXpGYi9jVDRFeUNGUm9IbWJaMVE2VldSRzY3aCtsRjB2emlBdGJjdG4zYWNERW4wdkRTQTdOcE1qajBuQ0NHTUFLNlhVbDV2TUJqc05UVTF6d2todGdzaFhxeXJxM1BOZVlLenNPbmU2a2sxRlRxVEZ1WWZybzcwT2t5VmMzNFdERlhoMzFsTnBockY3ODJET2wyRjdFMlo4M282ckZBSmxId2dINFdYbW1BNzdFRDJwc3lvY1VUaXlkVkdob2xrVnV1eC9zN1phN1B5THM1RzNzWFpzN1lCZ00wL1hRY1prcEFTVUNqRmtpMEtQdGVjNlhlbHBxYm1IUTZINHdFQTFVSUlaSzQxWU5uSGlwRmFmTzcxSHZzZEFhejhRZ1VzdHgvQldLY2IvbEUvZkRZL1NqNllQL2ZCQ0JlYzkrOFlnc1k0dVFZa01CWkVLQ0NSVnBxU25MM3lBc2phWUVCTjlXcjB2aktBanIvMkllZ092bGVwVkw2cnRyYjJmNExCNFBjYkdobzQyMHNjTU9GSUlpbjVXbVNzMXFQdjFjRkpQUkd6Q1l3RllkMDNpc0pMVFJBcUFhVktZT1dONVVpdlNJTlNkK3JwdmFFcUhia1hHZEgzMmhEc0o1d0FnTnkzR0ZIKzBhS295Y1pDSy85b0ViSnJNdVp1T0lHMWZoUnRUM1pIWG1lczFxUHcwdHh3b25SQkZ2eWpmalQrcGgwRmw1cVF1WGI2ZU9DaFBUWjRoLzJvdnJYb3JPT25wR01RUW53TXdNZWtsQzZ6MmZ4M0tlVjJqVWJ6L083ZHUrMEwvV2E2S2NPSWhFcE02MUdjU0pXcWhDcjExUDZDdDBmdlNaeUxNa1VaU1RhaXhSR0pSeWtpUFl4cXZRcHEvUUt0Z3lEQzUyYWVzYVROK1YycHJhMnRQRGtFNXIxU1NxVGthVkYrVFJHeWF6S1ROc2xNSzAyQjVZNmpDUG5EdFVsMTN6Z0NvUkFRS29HMDBoU3MrbElGaEZKZ3hXZkswUGlyZGdROVFhejRYUG1NRHhtbTZueTJEeEFDbm40dlF2NVFwRGZlM1JlZS9DWFpGMFZVcUFTS0xzdEQ3a1haYU4vZWcvNGRWcFVNeVZ1RUVKOHltODNmcXF5cy9IVWkxK2NsSXlZY1NTWi9hdzZPLzdJVncvdEhZZHc0OXczNndFNHJRb0hRcVptVFpQaW13dEU4Qm1lN0M4NVdGK3dublBDTitLRXphVkIwV1I0eVZxWmo1S0FkVm9zTmUyNDZpSlI4TGZUTDBwQlNxSVBPcElVbVV4VWU5ckJBRjRxTVZlbElMMDJCSm12K3MrWW9kUXFrRC91UldSMGVmakcxbnFUdnRhSEl6NzJ2REtMM2xYQVB5dkpQbFVhMisrMStRQUtqeHh6ejdzS09OYlBaekhuR0UwOHFnQ3VFRUZmNC9YNll6ZWJuQUd5UGQxQTBPMzZYNG1LbTc4cDlBTElCb09TRCtTajVRSDdTRDFldHVYczFiSWNkR0c0WVJjOUxBOUJrcWFITjFxRDA4b0pJemFBTVNBelhqOExaNWdKRU9JbFFxQVF5cXcyUjYrdE10WkpqWFI2VWY2UVFMZHU2NEd4endWQVZmZ2d3MXVtR1VBcWtGQ1RHTlMzVzFIb1ZsbitxRkFWdk02SCt6cVBqdlc4UE56YzNxd0Q4UE43eG5VdVljQ1NaN00yWlVQMU9pZjRkUTNNbkhCTG9mWFVRV2Vzem9Nc04vK1BUOTlvUW1oN3RBRVM0T0ZPL0xBMGxIOGhIWnJVQmpiOXVoMElqWURSbndHak9RT1VuUytEcThjRFJHRTVPYkljZDhQUVBJZmNpSXpKVzZ4RndCU2ZORERXVjN4R1ljYXJkaVYyOTY3NjFBaklvc2ZQNitxaHRvN25vTVRNeXEvV1JoR091R2FUR09kdE85ZllYdmpNWGtFRFRJeDNRR2pYSVdyOTBaMFdoUlNXRkVGSkszczhTelVFS0lXUW9GSHBhQ0hFakVMNEdhWE0weUgvcjBsMVhZeTVqblc1MC9yVVhBTER5OHhYb2VXa0FWVGVVd1Zwbnc1SDdtNUZ0em9EcFFpUGFuKzZCZThDTHFodktvTWxVbyttUkRoejZTUk4wT1JwVTM3bzhjcDBzdjZvdzBoTnAzV2REMjlNOVdQbjVjcWpTbE9oN2JRaTJ3NDVJd21FL01ZYlVJbDNTSjNRVGVRWjk2RGo1OTMyU1gwcjVScnppT1ZjeDRVZ3lDcFZBOXFaTURPd2NobStXbTMwZ3ZDaWd1OCtMeWsrZWVxcWZ0elViNmN0U2tWcW9nMEl6K1Ira3NRNFhzbXNuSnpHcGhUcWtGdXFRaCtuanNhMTF0cWd6UTQzcmZYVVF2YThPUnQwM2RlYU5jWE1Wdk01VXZEcmZzYXJPOXNrTEloYStLeGYycGpFMFA5YUpUZmRXeC8wQ2FMRllrdlFTbkhqTVp2UERBRDQzajZZdUljUUxvVkJvZTJwcTZ2TTdkKzUwbkR6KzBaZ0dTR2VGMzZXRmM3YmZGUUMvcTYydC9aV1U4a0cvUFhCUjAyODYwUGVQSVN5N3RoaUdGUXMwUEM5QmVQcTlxTC96S0lyZm00L3lxd29qMXhSZGpnYkxQMVdLb25mbHdtOFBvUE52ZlJBcWdRM2ZXWW4wOGxRQVFPMVAxcUQvZFN1Y3JhNUoxelIxcGpyeU9tT05IZ1h2TUVHdEQ5L2VaYTQxd0xyUGh0SVBGUUFTc0IyMHc3Umw1bXRvTWdsNlF1ajhXeTk2WGh3Y0g3bzJKb1Q0Z1Y2di8rbU9IVHZPZkRWRk9pTk1PSktRYVlzUi9hOWJNZkR2Nk5QZ2plditlei9TU2xNaXZRQkFlR1lZVmJvSy83bWhJZW94clgvb1J1c2Z1cVB1cTdpbUtES2JCakI3WWVnYjExbFFlbmtCU2k4dm1PdmpUSEw4RjYxUkYrYWJqN21tNlowcHlTbStMQThOZHgyRHM4MkY5SXJVTTNwdlNqcDJBSDhEc0YwSThWS3NpOFlUa1cvVVArTjRjcjg5TUs5RlFPbWNNSy92U2wxZG5RWEFXODFtODFVQTduVzJ1VW9QM0gwQ3B2T3pVUDdSSW1penoyNGh5a1NoeTlOaTQzK3ZnaVpMRFk4MXZINU43VDFySUZRS2VJWjhFR29GTk5tYVU3TnlLUVE4RTlhTHl0cVFNV3RObHI0eURmcktVNU9jNUd6S1JQY0wvWEMydU9CM0J1QWI5VWVkNGo2WnlKREU0SDlHMFBiSGJ2aHNrUWV2andvaHZsVlhWOWM3MjdFVU83d2lKS0hNTlhvVXZ5OGYyWnN5WWQwM0VyMlJEQmRSUnlzOGpiYUkzZUR1RVhUOHBSY2I3MW8xcVpoOFhOMDNqMENWR3Z0ZnA2b2J5aVlWc1U3bDZmT2k0YTVqTSs2di92cHk2RXlUTDF5ZVFkK3Nhd3VNTDhia0hmRWp2ZUkwQTZaa1lnWHdqRUtoMkc2ejJmNlJDTlBpbmdsbm13dXRmK2pHcWk5VlJKNkNUbVE3N0VEUHl3Tlk5dkhpeUZETHFUeURQdXo3MmlHa2w2Vmk0L2RXVGVyNXM5YlpjUHpucmFpK2RUa3lWbk1LMjNQVW1YNVhwTVZpK2VPV0xWdis1dlA1dmk2bC9PYmc3cEhVb1RvYml0K2JoK0wzNVVPcFhmcERnZExMVTNIZyt5ZGdiM1NlMGZFelBSeUxScjg4RFdtbEtlajRheThDcmlEU1NsS2dYNTY4c3k3YUc1MW9mYndianBheDhVMy9DWVZDWDJsb2FOZ2J6N2lJQ1VkeUVrRDUxWE1zNUNQQ0MvNUUzYVVVazRjZ3lmQzgvcG5WaHFoUCtJUGVFQ0NSRUhPa2E3UFZXSGQ3RlFLdUlKUmF4YlFwUUhVbXpXbFBCZWpwRDE4cjFRbncrV2h4U1NuN0Fmd1p3UGFNakl4L0pkckNmMmRDbTYyQjErckQ0WjgwWWQyM3FxQk1PZlY3SFJnTG92RlhiVkNtS0dlZG4zL1lFcDVWTXZjaTQ3UmhobG5yREVncDBPSFl6MXRSOC8zVlNibkNNVTIza04rVlhidDJ1UUY4Zi8zNjlZK29WS29meVlDOHR2T1pQZ3k4UG96eWp4VEN0R1g2NzkxU3MvN2I0YW1qUnc3WVlWaVpQaW1SZXVNNlM5VDFidWJETitKSDU3TjlLTHVxTURLRFpQblZSWkdIYW10dXFWeUE2Qk9QZDlpUHRxZTZNTGdyL0pCVkNORVZDb1Z1cTYrdmZ4SUFDK29TQUJNT21sUDc5aDQ0MjEzWThKMlZVZmY3SGVIclNyU25wUXV0OGRmdGFQejF6SFVoRTYyNXBYSmVNM1ZGMC8xQ1B4eXRMaWgxQ3RnT09xREpVbk10am5OTUlCQzRlK1hLbFY5TWxxa1RnNTRnZkNQaDRRVVZIeXZHc1orMW9QZTFvVW5UVGJmOXNRY0JWeEJWTjVUQlArcUhmOVFQblVrTG9acDhkemUweHdaTnBocjVsK1JNZXgrRlJvR3F6NVNoK1hlZENIcUNBSmh3Skx0WWZWY09IRGpRQmVBVFpyUDU1MUxLQjcwanZ2T09QOXlHbmxjSFVYbHRDZEtYTGYwaHJvZnZhNHFhWEVTclJWU2xxM0RCTDlaSFBZOTMySWZ1RndiUTk5b1FsRG9GaXQ2ZEcwazRJcE96Q0NEa0RTM3NCNGl6a0MrRXJ1ZjcwZlZjSDBKK0NRQnVBRC94Ky8zM0hqaHdZR3lPdzJrUk1lRklFaklnRWZSTi80Zms1QmNRQVZmNE9oRDBoTnVFdktISXRva21ycWtoZ3hKdFQzV2orOFVCVkZ4VE5HbGM2RVRld1hBUGdNWVkrekcyY3hXTkErSFB1T3V6MFd0UVBJTytlVzFUWjZyaDd2RWdGSkJJcjBoRjJSVUYwMjY2VGtkby9QL04waDhOY000NGNPQkExNEVEQitJZHhvSVpickJQcTM5cWU3SjcwbG8xNHc3OTVOUVF3NmszUSs1ZUQreU5UbFI5dWd5aGdNUi9icGk1TmlyYVRkUHBEQWVocFNIVzN4V0x4ZkltZ0MwMU5UWFhDaUYrN0dnYUsyaTQ2eGp5THNwRzJWV0ZTZG1MdHZZYlZkUFgzNWx5L1FpZVRCNTZYaHhBMDI4N29FcFZvdlR5QWhSY2FvSlNxNERmRVVEejd6b3h0R2NFdVJjWkVmS0djT3dYclNnODRVVFpWWVZRNnBad3I3MEVCbmNQbyszSmJuaUhJM1VhVHdvaHZsRlhWOWNSejlBb09pWWNTV0pnMS9Dc00wSzllZVArU2ErUC9UeDY0ZlZGajVrQkdWNDByLzNwYm5qNnZWaCtmV25rU1diUUU0TDloQk5xdlFyS0ZDV0NuaURhLzlRTFhaNFd1Z2xGZlhNVmFBTkF4MTk2MGZHWG1ldTNvajMxOFkvNkkwT2NaaEl0OFJvM1c2M0dSTGtYR3BGN29YRmViYU9SSVluZVZ3YWgxQ2tobEFJakI4TnJ3YVhNc0hBYTBXS1plc00vK09ZSWp2K2lGUmYrWnVPMHFUS2pmWTk3L3hsZXd5YnZyZUVKSWVZNzVUVFJXUXJWMTljL1ZsMWQvV2V0VnZ0TkFGL3ZmOE9xSGRvN2d1SVA1S1A0M1hrUTZxVXh6bXBpRVRnUUhnNGs1akZOclF5ZE9sYWJxWWJ6WkoyQ1o5Q0hrZy9rbytpeVhDaDE0ZXR5MTNOOTZIcXVIeUZmQ0JVZkswYlJ1M01oUXhJcGYrbEY1N045R0h4ekJJWHZ5a1hlZjJYUGV6SEJST0ZzYzZINTk1MXdORVk2TU9vVUNzWE4rL2J0MnhuUHVHaDJURGlTaE9uOHJBVlpKeUxvRFdIL1hjZmc2dmJBYU03QTZpOHZtM1RUTDVUQTBRZGJJcXVqUWdEcFphbFk5YVdLU1dOcUYrSW1KTnBLcUMyUGQ2SGw4YTR6UG1lMEpHYW1xWFRQaGxBSWRQKzlQL0xrUmFnRThpL0pDUytJU0xSRStSMkJVNHRtbnZ5K3B4VG9NTFI3QktwMDFhUVo3eVpxZWJ3THVod05DdCtWdTBpUlVySTZmUGl3RThDZDY5ZXYvNDFhcmY1SjBCdTZzdjNwSHZUdnNLTDhJNFhJMlp5VjhQVWQrMjQ1Tk9uMW9Yc2FwN1dKdG0yaWpmKzlDdnJsYWNpN09CdGxWeGRHa2daM254Zjc3enFHZ0N1SXJQVUdMTHUySkxKd3JWQUlsRjFSaUd4ekpwcC8zNG4yUC9WQW02TTVxNGRyaThrL0drRGIwOTNvLzdjVmtPRzZJU0hFN1JhTDVYY0FrbXVzV0JKSzhLL2x1V2w4QmR4NERUMFlQZXFBWnNLODN0SElrSVFNU2dpbGdGQXN3cStSQkZxZjdFYnVXNHhJSzUwK3M5YWtwZ0dKOWovM0lPL2k3RW1md2RQdmhUWkhNNjJRWEFZbHZDTis2SEkwa2NVSUYyVHVkM255NzBrQ0NxVTRxMi9iK0pObXJoMndkTVQ3ZXp6VmVFL0c2WnFZcExjOTJZMnVGL29CVFA1Y0I3NS9IQXF0RW10dld6N3QrRkJBNHMwYjk4TzRNU1A4WUNMTytGMUtMalUxTmY4bGhIZ1F3QVlBeUZpbFI4WEhpNUJldHZUck84NVUzMnREU0MzV1JSYjdtNG16elJWWjR5T1JoZndoOUx3MGdNNW4rMC9XaGNFbmhQaXBTcVg2NGU3ZHUrM3hqby9taHowY05NMThwcklVaWtWS05DSnZHRjduWTE1TlZRTGxWMDl2TzNVOGJLUzlVa0NYRXg0T3B0YXJvTll2MEVKVElueHUzdFZRSXBuYSt6aTgzNDdXSjdwUTg0UFZVRXlwVTVyWTgrZnA5Nkw3NVFGa3JqWEFkbWp5TlQ3bkFpTmFIKytDM3hHWU5ubUUvYmdUSVY4SU9adG5uczZhNkV6VjE5Zi82NnFycnFwdGJtNytQd0IrTUhyTVlXcjR6akhrLzFjT3lxNHNnTnF3dElZTExZUm9remxFay9ESmhnU3NGaHRhbitpYVdHdjVGeUhFclhWMWRjM3hESTFPSHhNT0lxSnp5TlNlUzAyN083dzlYenV0aG1PaTRmMmpVT3FVS0wwOGYzckNzU2tUTGRzNllkMW5tM2F6WXp0a2gwSWxrTFhoN0lkOEVrVnpjbmFzWDlYVzF2NHhGQXA5VzBCOHVXL0hrSHJ3eldHVVhsNklna3ROMDVKcFNteXVMamVhdDNWaDlNajRZdlE0Q09BckZvdmxuM0VNaTg0Q0V3NGlvblBJVEJNNi9PZlQwV2QyRzJmYVlvUmFyNFk2eXZvY21pdzE5SlZwR05vN1BlRVlPV0JINWxyRDBwNFJoNWFFdXJxNlVRQmYzN2h4NC84cUZJci9HL1NFM3QvNmh5NzB2VGFFaW84VndiZ2hnd1BKRTV6ZkVVRDc5bkJOamd4SkFMQktLZS9NeU1qNGRUS3NnM1F1WThKQlJIUU9PZE1oVldxOUNxWXRXYWZtOUovQ3VERURIWC9wUldBc0NGVmFPTG53RHZzeDF1bEc0YnRaTEU2THA2R2hvUkhBQjJwcmE5OHBwZnlwdTgrejVzajl6Y2hjcThleWo1Y2d0ZWowRjlTajJKSkJpZDVYQjhQL2hvU243QThBK0puZjcvL2V3WU1IUitJY0hpMEFyZ3BBUkhRT3lGaVp5WUY2dFFBQUlBQkpSRUZVampXM1ZDS2xRRGZwanlZelBNWTlKVjg3YmQrYVd5cm52YjZPY1dNR1pGQmlaUDlvWk50d3ZRMUNLWkJ0UHJNRk9Jbk9SbDFkM2N0Q2lJMVN5aThER0xFZGNzRHlyU05vMmRhRndGaFNyT2VaRkViMmo4SnkreEcwUE40MW5tejhYUWl4em1LeGZKWEpSdkpnRHdjUlVSSUxla1B3RFljTExsUHl0Tk42S0h5MjhOVE43ajd2dEI2T2xEenRxV05ubWJVT0FOSktVNkRKVk1OYVB3clR5V2syaHkyanlGaXRoeXFObHhxS2o3cTZPaitBaDg0Nzc3d25Bb0hBWFpENGZNL0xBOHFCblZhVVhWR0kvTGZsTE80RUtCVGg3dldnNVludWlROHBqa3NwdjFwZlgvLzNlTVpGc2NHckFCRlJFaHM5NnNDUisrZWUwS1granFPejdwL1A5TDRWMXhSRFl3ejNtQVJjUWRpT09GQjVYY244QWlXS29UMTc5bGdCM0xSaHc0YUhGUXJGVHdOandVdWJIK3RFM3orSFVQSHg0aG5Ya0tHRkZ4Z0xvT092ZmVoOVpRQXl2SHFHVFFoeEY0QmZXQ3dXLzZ3SDA1TEZoSU9JS0lrWk4yYk1taXpNdHRMNDZUSnR5WXI4Yk4xbmd3eEpEcWVpaExKLy8vN0RBTjVsTnB2ZkIrRCtzUzczOGtQM05DTGJuSW55anhZaUpaLzFIYkVpUXhKOU80YlEvcWNlQkp4QkFBaEpLZjlYb1ZCOHA2NnViaWplOFZGc01lRWdJcUl6Y3VpZVJ0Z09PMlp0cy91bWc1TmVKOHBDaUhST2t4YUw1Vy9WMWRVdjZYUzZMMHNwdjIyMTJBekQrMGRSK0U0VFNqOVVBR1VLWjFWYlNLTkhIR2plMWdWWGwzdDgweitGRUYreFdDd0haenVPa2djVERpSWlPaU5WbnlsRHlCdUtkeGhFWitUdzRjTStBUGVkZi83NXYvZjVmSGNqaUU5My8zMUFET3djUWZsVmhjaDdhemFuMFQxTG5nRXZXdi9RQld0ZHBFNmpSUWp4dGJxNnVtY0F5RGlHUm91TUNRY1IwVGxNazZsRzFqckR2QXRuZFhsYW5QZlFPZ0NBZHA0eldCRWxzdDI3ZC9jRCtNeW1UWnQrRVFxRkh2RGIvVzl0L0UwN2VsOGRSTVhIaTVHeEtqM2VJUzQ1UVU4SW5jLzJvZnZGZnNpQUJBQ25sUEp1aDhQeFFGTlRremZlOGRIaVk4SkJSSFFPeTFpVmpveFZ5K2ZkWGlnRU5CbnFHRVpFRkIvNzl1MnJCN0MxcHFibUNpSEVmYzUyVjluQkg1NUF6bm1aS1A5SUVYUW1iYnhEVEhneUpESHd4akRhbnU2R2Z6UUFoSHN4SGxFcWxYZnMzYnUzTDg3aFVSd3g0U0FpSWlJS2svWDE5WC9hc21YTDgxNnY5eFlBM3hyYVkwc2RycmVqNkQxNUtINXZMcFE2MW5kRTQyZ2NRL1B2TytGc2N3RUFwSlE3aFJBM1d5eVd1amlIUmdtQUNRY1JVUXk5Y1owbDNpRVEwV25hdFd1WEc4QVBObXpZOEtoU3FmeFJ5Qi82Uk9jenZlaC9mUWpsVnhmQnRDV0w2M2VjNUxYNjBQWlVEd2JmSEI3ZjFDbWx2SzIrdnY0cHNFNkRUdUszSlFHWnpXWitRU2txaThYQzcrd1NVVk5UODVvUVltdTg0NkRwcEpRNzZ1dnJMNGwzSExSMDFOYlduaStsZkJEQStRQ2dyMHpEc211TG9hOU1pM05rOFJQeWhkRDFmRCs2bnV0RHlDOEJ3QzJFK0RHQSsrcnE2bHh4RG84U0RHOWVFaEJ2VkNnYTNpUVJFY1dWd213MmZ3ekFQUUFLQVNEM1FpUEtQbElJYmRZNU5JR0NCQWJmSEViYlV6M3dEdnZDbTZSOFFxVlNmWFB2M3IyZGNZNk9FaFFURGtwbzQ3MDlTK1hKZm0xdDdmK0VRaUZaWDE5L2M3eGpJU0tpaGJkKy9mbzBwVkw1RFNIRXJRQjBDbzBDSmUvUFE5Rjc4czU2OGN4RTUyZ1pRK3ZqM2JBM09zYzM3UXVGUWpjM05EVDhKNTV4VWVKYkVqZHhkTzVhWWdtSHdtdzJkd2doWkYxZFhSa0FMbEJBUkpTa2FtcHF5b1FRUHdGd05RQm9jelNvK0dneGNqWm5KdDNkbGMvbVI5c2Z1ekh3UnFST28wOEk4YzI2dXJyZmc5YzZtb2NrKzBwUXNsbEtDWWZaYkw0QXdDNEFFRUpjVUZkWHR6dk9JUkVSVVl6VjFOUzhWUWp4QUlBYUFEQ3NURWZsdFNWSUswdUpjMlJuVC9vbHVsOGNRT2ZmK2hEMEJBSEFLNlc4UHpVMTlVYzdkKzUweERzK1dqcVN1KytQYUhGZE1mNkRsUEtLMlJvU0VWRnlxSyt2ZjcyeXNuS3psUElHQUFQMjQwN1VmK2NvR24vVERyODlFTy93em93RXJQdHNxUHZtRWJROTNUMmViR3dQQkFLcjYrdnJ2OFZrZzA1WHdqODFwblBiRXVyaEVMVzF0YzFTeW9xVHIxc3NGc3R5Y0VwQUlxSnp4dm5ubjIvdysvMTNBdmdLQUxWU3AwRHA1WVVvdU5RRWhTclJMMk5oWXgxdXRHenJ4T2l4U0ozR0FZVkNjZk8rZmZ0MnhERXNXdUtXeG04L25iT1dTc0t4YWRPbW1sQW9OR25CaFZBb1ZOUFEwTkFRcjVpSWlDZytObTdjV0tWUUtPNEQ4QUVBU01uVG92eWFJbVRYSkc1OWg5OFJRUHYySHZUdnNFS0dKQUFNQWJpanNyTHlOMDgvL1hRd3p1SFJFc2VGLzRnV1FDZ1VtamFFU3FsVVhnR0FDUWNSMFRtbW9hR2hFY0FITjIzYWRLbVU4cWZ1Zm0vMTBRZGFrTG5XZ0dVZkswWnFzUzdlSVVhRUFoSzlyd3lnNDY5OUNMcURBQkFRUXZ4UE1Cajhma05EZzgxaTRlS2xkUFpZdzBHME1LWWxIS3pqSUNJNnQrM2J0KzhWdlY2L0VjQ1hwSlREdGtOMldPNDRndWJIT2hGd3hyblRRQUlqKysyb3YrTW9Xdi9RUFo1c1BLOVFLTmJXMWRWOXJhR2h3UmJmQUNtWkpHakhIbEhZVWhoU1ZWTlRzMFlJY1hpRzNXc3NGc3ZSUlEySWlJZ1N6cFl0VzR3ZWorZTdRb2d2QWxDcTBsUW92VHdmQlc4M1FTZ1g5eExuNnZHZzlZa3VqQnl3ajI4NkN1Q3JGb3ZscFVVTmhNNFo3T0VnT2tzS2hXTEduZ3oyY2hBUkVRRHMyclZydUw2Ky9tWXA1WG9BTHdYR0Ftaloxb1g2TzQ1aTVLQjl6dU1YUW1Bc2dPYmZkOEp5KzVIeFpNTW1oTGhaQ0xHQnlRYkZVc0krTlNZQ2xrWVBoOWxzYmdDd0lkbytJVVJEWFYxZHpTS0hSRVJFaVUzVTF0YStSMHI1VXdCVkFHRGNtSUdLYTRxUVVyRHc5UjB5Sk5IMzJoRGF0L2VNRCtVS0FmaWxTcVg2N3A0OWU2d0wvb1pFVXlUc1RSd1JrUGdKUjIxdGJhV1VzbW0yTmtxbHNuTHYzcjB0aXhVVEVSRXREZFhWMVJxTlJ2TWxJY1IzQVJpRVVxRHduYmtvK1dBK1ZLbktCWGtQMnlFN1dwN29ncXZMTTc3cEh3cUY0aXY3OXUwN3RDQnZRRFFQbktXSzZDek1aOGhVTUJpOEFzQzlpeEFPRVJFdElZY1BIL1lCdUgvOSt2WGJWQ3JWOTJWUWZxYjc3LzFpNEEwcnlxNHNSUDdXbkROK05PenU5Nkx0eVc1WTZ5SzEzODJoVU9ockRRME56NEpyUk5FaVl3MEgwVm1ZVDhJaHBieHlNV0loSXFLbDZjQ0JBd01XaStWelVzb2FLZVVPdnlPQXBrYzZVUC90b3hnOWRucUxlZ2ZkSWJROTFRM0w3VWZHa3cwSGdOdnNkbnQxUTBQRE0yQ3lRWEdRa01OVWlNWWw4cENxbXBxYU1pRkUyM3phU2luTDYrdnIyMk1jRWhFUkxYMmlwcWJtdzBLSSt3Q1VBMERPNWl5VWY3UVFPcE4yNXFNazBQZjZFTnFmN29IZkhnQUFLWVQ0clVxbHVtUDM3dDM5aXhFNDBVd1M3aWFPYUtKRVRqaWlXV3J4RWhGUll0cTZkYXZPNFhCOFZVcDVCNEEwaFZxQm9uZm5vdmo5ZVZEcUp0ZDMySTg3MGZKNEY1eHRydkZOYndnaGJxNnJxK09xZlpRUVdNTkJSRVJFbEdCMjdOamhBZkNqbXBxYTN3SDRZY2dmK21UbjMvclEvMjhyeXE4dWd1bkNMUGlHL1doOXNodERlMGJHRCtzQWNLdkZZbmthSERwRkNZUlBZU21oTGJVZWc2VVdMeEVSTFEyYk5tMDZMeFFLUFFCZ1M1VGRMaUhFanpVYXpYMjdkdTF5TDNac1JITmhEd2NSRVJGUmd0dTNiOThlQUcrcHJhMjlCc0E5VXNyaWs3dTJCUUtCMnc4Y09OQVZ4L0NJWnNXRWc0aUlpR2hwa0hWMWRVOXMzcnk1TVJRSy9WcEthYkZZTE5mSE95aWl1VERoSUNJaUlscENwSlJwVXNyMUFFYm1iRXlVQUxnT0J4RVJFUkVSeFF3VERpSWlJaUlpaWhrbUhFUkVSRVJFRkRPczRTQ2ljNEVBb0FHZ1MwbEowUWVEUWIxU3FkU3IxZXBzcFZLWnJkRm9jcFJLWlo1YXJTNVNxOVZGSXlNamoxcXQxdCtmUERhbnRMVDBoeDBkSGJjQnNFVTd1VTZuS3lzdkwzL3EyTEZqRnl6V0J5SWlJbG9xbUhBUVVkTEt5c3E2cHJ5OC9QZENDR1cwL1ZKS1h6QVl0QWVEUVZzd0dMUUZBb0hoUUNEUUo0UklIVzlqTUJqT3k4cksrbWhIUjhmbkp4eXFBR0NJdkZBb2NsTlRVODhIa0RubExVYkJ4YmVJYU9sUW1jMW0vOW1jd0dLeHFBRUVGaWdlU2hKTU9JZ29tU21GRU1yR3hzYUxnc0dnT3hBSXVCVUtoY3ZqOFRnQk9BRDQ1anFCWHErL2FHeHM3RjhBZ3VQYmREcGQ2Wm8xYTFxbnRqV2J6Wk5takxGWUxDWUFRMmYvTVlpSUZrWGcwS0ZEcTJmYVdWQlE4UFhzN094UGQzVjFmY0ZtczcwMjB6bGlGQnN0WVV3NGlDanBPUnlPbldkNnJNRmd1Q3dsSldYaitDcnlWcXYxTi8zOS9YY0RwMWFVMTJnMHE5YXVYWHQwd2dyejZXYXoyWEhXZ1JNUkxUS2Z6M2NzeW1aTmFXbnBROW5aMlo4ZUdSbjU0OERBd0M4QktESGhRUXpSYkpod0VCSE5RS1BSck5McGRHdVBIajE2ZmpBWXRGZFZWVDNyZHJzakYrUHhKR1NtMTBSRVM1MUdvMW05Yk5teXgxTlRVemQ2UEo3RFdWbFpWNCtPanY2NW9LRGdCejA5UGQ4ZUdSbDVFaHc2U25OZ3drRkVTVStqMGF3Nm5mYmpUL2h5YzNOdmREZ2NMN3JkN2owQThyUmFiYVhkYm44YTRTSjBXQ3dXUFFDa3BxYXVXTFZxVmQzNGF3QnBack81YndFL0FoSFJZdFBtNWVWOXJhQ2c0TTVRS09SdWFXbjVrRnF0TGkwcEtYbG9lSGo0NWZUMDlMZVVsNWMvbHBlWDk5WHU3dTViSEE3SEcvRU9tQklYRXc0aVNucHIxNjQ5ZWpydFR4WTlwdWJrNUh5MnVibjU2dExTMGtjOUhzOUJsOHUxVjZGUStJUEJZSHBMUzh2bE9wMHVCd0NFRUZrQU1QNGFnS0tscGVWeXJWYWI0ZlY2V2NOQlJFdUp3bWcwWGxGUVVQQWpyVlpiYWJQWi90clMwdko1QUgwbWsrbExKOXVNZEhSMGZObHF0ZjZxcUtqb2wxVlZWZisyV3EzYjJ0dmJid1hBaHkwMERSTU9Ja3A2Rm90RjVPYm0zbEpZV1BpOWhvYUdJb1JuajVwS1ZGZFhId3NHZ3c2RWl4N3R2YjI5MzNJNEhNOVhWVlg5N2RDaFEyc0dCZ2EyclZtejVoODZuYTQ2MnZ0RUt5U2ZVTmRCUkpUUURBYkRaY1hGeGZmcmRMcFZYcS8zZUdOajQvc2REc2R6TTdVZkd4czdlT0xFaVl0emMzTS9YMUJROE9QTXpNejNkWFoyZm5aNGVQanB4WXliRWg4VERpSktXa0lJdFpReUNBQk9wL05KSWNSUDh2THlydS92NzM5Z2FsdTlYdjllclZhN29yVzE5UlBqMjZhMGt3RDZqeHc1c2piMmtSTVJMYjVBSU5BSEFHMXRiVGNNRHc4L0JtQStVK1RLZ1lHQlg5anQ5aGVLaTR2L245dnQ3b2h0bExRVU1lRWdvcVNsVkNyVHBaUnVBSEM1WEQzRHc4TlA1T1hsM2Q3ZjMvOWJBUFlKVGRVbEpTWDN1dDN1Z3lNakkzK1l4Nm56eldaejcxeU5UcHc0c2M3cGRCNDZ3L0NKaUJhVnkrV3FQM0xreUdvQUJvMUdVemwxLytqbzZLdWpvNk9ybzlYRmVUeWVucWFtcG5jdVNxQzA1RERoSUtLa3BWS3A4Z0tCd09ENDYvNysvdTltWldWZFdWWldkbjk3ZS9zTjQ5dUxpNHZ2MXVsMEswK2NPUEUybk1ZMGo4ZVBIMTgvTmpiV3E5VnFNL1Y2L1R1R2hvYitjdko0Sll2R2lXaXB5c3JLK2tCRlJjWHZUK2VZMXRiV1Q0eU1qR3lMVlV5MHRESGhJS0trcGRQcHFudytYOXY0YTQvSDA5clQwL08xNHVMaVg0eU5qZTBkR2hyNjM2eXNyR3R6YzNOdjYrM3QvWUhUNmR4eE91Y1BoVUlqQUlZVUNrVmxhV25wTDRlR2huNkZjTUxCZjF1SmFNbXpXQ3haQUd4ek5NdWN1dWdwMFZTOEtCSlIwa3BMUzl0c3M5bWVuYmh0WUdEZ2x6cWRia05wYWVrdjA5TFN6cy9PenY2a3pXYjdVMjl2NzNmbk9wL0paTHBwYkd6c1RaZkwxVGx4ZTBwS3locS8zOThOTG9KRlJFUTBqU0xlQVJBUnhZSldxMTJoMFdncW5FN242MVAzZFhSMDNPYnorYnF5czdPdkR3UUN3eTB0TFYvRUhNbUN5V1M2b2FTazVBR05SbE1JSU9qeitkcmRibmNBZ0Q0L1AvOXJTcVV5TXo4Ly96WUFXZ0RTNS9PMSsvMStYMHcrSEJFUjBSTENoSU9Ja2xKMmR2YjFvVkRJWmJQWlhwcXdXWldkbmYycHRXdlhIbEtyMVFWV3EzV2JRcUZJWGI5Ky9aRzh2THpiQVJpam5Db1BBSEp6YzI5dWJXMzlwTTFtZXdiQTRLRkRoeW9NQmtQTm1qVnI5Z2doTkYxZFhiZVlUS2FicXF1cmp4bU54aXNQSFRwVTd2VjZUeXpHWnlVaWlnV2RUbWNFa0RQYm41TnRpR2JGSVZWRWxJenlUQ2JURjYxVzYrOEFqT2wwdXJLTWpJeVA1K1RrZkVhcjFaYTdYSzY5TFMwdEgzYTVYUHY2K3ZydUtpb3F1cStvcU9pSGhZV0Zkemtjam44NkhJNFg3WGI3THJmYnZjZG9ORzZWVXZwYlcxdXZ0TmxzenhzTWh2ZnE5ZnBMTWpNelA2VFZhcGRacmRiSDI5dmJid1l3UERRMHRLMmdvT0Qyc3JLeXgzSnljbTdxNnVxNnllVnkxY2Y3TDRPSTZFeXNXYk9tT2Q0eFVISmd3a0ZFU1NjL1AvOVRRZ2hodFZydkxpNHV2aWMzTi9jMkFIQTZuVzkyZFhYZE9qbzZ1aDNoZFRYZzlYcWJXMXBhTGs5TlRhM0p5Y201MldnMFhtMHdHTjZ0VkNxLzUzYTc5d3dQRHovbDhYZ2FYUzZYQlFDeXNySStZakFZM21tejJiYVBqSXo4Y3NxMHQ2N2UzdDV2RHc4UGJ5c3BLZm1GVHFkYndZU0RpSmFxSTBlT1ZIbzhIdnRzYlhRNm5ZR0pDUkV0YVdheldack5aaG52T09acnFjV2J4TlRwNmVsYlQvNmNXMUJROFAyMHRMUjE4encyTFRNejgzTE0vRUJHRFdDK3E0ZHpsWEVpV25DYk5tM2Fldko2c3lNVzUwOU5UZDFjVWxMeU13QXA4Mml1S3lvcXVpODFOZFVjaTFnb09iQ0hnNGlTa1gvQ0ZMY0R2YjI5M3o2Tlk4ZHNOdHRmWmp2M2FaeUx5U2NSTFRrdWwydXZ5K1hhTzgvbW51N3U3cS9ITkNCYThsZzBUa1JFUkVSRU1jT0VnNGlJaUlpSVlvWUpCeEVSRVJFUnhRd1REaUlpSWlJaWloa1dqUlBGUUcxdDdWL2pIUU1SRVNXblVDaTBOZDR4RUowT0poeEVDOHNPd0NDbC9HQzhBeUVpb3FRM0d1OEFpT2FEQ1FmUkFncUZRaHVVU3VYR2VNZEJSRVRKVFVvWkZFSzhIdTg0aU9hRENRZlJBbXBvYUdnRDBCYm5NSWlJaUlnU0JvdkdpWWlJaUlnb1pwaHdFQkVSRVJGUnpERGhJQ0lpSWlLaW1HSENRVVJFUkVSRU1jT0VnNGlJaUlpSVlvWUpCeEVSRVJFUnhRd1REaUlpSWlJaWloa21IRVJFUkVSRUZETk1PSWlJaUlpSUtHYVljQkFSRVJFUlVjd3c0U0FpSWlJaW9waGh3a0ZFUkVSRVJESERoSU9JaUlpSWlHSkd4RHNBb25HMXRiV2xVc3I3cDJ5KzR1Ui90MC9jcUZRcXY3cDM3OTdPeFltTWlJaUlpTTRVRXc1S0pBcXoyZHdCb0dpMlJrS0lycnE2dWpJQW9jVUppNGlJaUlqT0ZJZFVVU0lKQ1NIK1BHZWpVT2pQWUxKQlJFUkV0Q1F3NGFDRUVncUZ0cy9kQ3ZOcFEwUkVSRVFKZ0FrSEpaVGx5NWUvQVdCZ2xpWUR5NWN2MzdsWThSQVJFUkhSMlZIR093Q2lpWTRjT1NJTENncXFBTlRPMEdUYlAvN3hqNzh0Wmt4RVJFUkVkT2JZdzBFSlJ3Z3g0NUFwaFVMQjRWUkVSRVJFU3dnVERrcEVyd0VZaWJKOVJFcTVZNUZqSVNJaUlxS3p3SVNERWs1ZFhaMWZTdmxzbEYzUDFOWFYrUmM5SUNJaUlpSTZZMHc0S0NITk1LeUt3Nm1JaUlpSWxoZ21ISlNRREFiREt3Q2NFelk1N0hiN0svR0toNGlJaUlqT0RCTU9Ta2c3ZHV6d0FIaHUvTFVRNHJtbXBpWnZIRU1pSWlJaW9qUEFoSU1TbHBReU1vUnFuZ3NDRWhFUkVWR0NZY0pCQ1NzWURQNTl3czh2eGpNV0lpSWlJam96VERnb1lSMDRjR0FNd0o4QmJELzVNeEVSRVJFdE1hcDRCMEEwR3lubG53REllTWRCUkVSRVJHZUdDUWNsTkkxRzg3eEtwV0xDUVVSRVJFUkVSRVJFUkVSRVJFUkVSRVNMUk1RN0FBSnFhbXAyQ3lIT2kzY2NsRmlrbER2cTYrc3ZpWGNjUkVSRVJHZURzMVFsQUNZYkZJMFFZbXU4WXlBaUlpSTZXeXdhVHlBWFBXYU9kd2lVSU42NHpoTHZFSWlJaUlnV0JIczRpSWlJaUlnb1pwaHdFQkVSRVJGUnpERGhJQ0lpSWlLaW1HSENRVVJFUkVSRU1jT0VnNGlJaUlpSVlvWUpCeEVSRVJFUnhRd1REaUlpSWlJaWloa21IRVJFUkVSRUZETk1PSWlJaUlpSUtHYVljQkFSRVJFUlVjd3c0U0FpSWlJaW9waGh3a0ZFUkVSRVJESERoSU9JaUlpSWlHS0dDUWNSRVJFUkVjVU1FdzRpSWlJaUlvb1pKaHkwNkFLdTRNS2NTSjdsNGNHelBBRVJFUkVSellrSnh4TG03dlZNK3lORDRadG9SL01ZOXQxeUNKNGgzMW05eHh2WFdlRHU5WnpSc1RJbzhjWjFGbmo2dlpGdGdiRWc5bno1SUliMjJtWTkxdDNueGE3UE5NRFo3b3E2di9YSmJqVCtwdjJNNGdLQTVzYzZjZUR1RTJlZHRQUy9ic1h4WDdTZTNVbUlpSWlJa3BncTNnSFFtYXY3eHBGcDI4NTdhQjAwQmpWYUh1K0MxcVFGZ0VsSmgwSXBvTWxTVHp0dXRzVEVPK3lIVUVmUFRYVTVta212MzdqT2d0cDcxaUNsUUJlMWZmKy9yWkFCaVl5VjZUTytId0JBU2dTOUlTQVVmYmUrTWczSEhtcEI1aG85VEJjYVp6OVh0T09YcGFIMzFVSDA3UmhDL2lVNXM3WU5lb0x3amZpajdoTXFnY0UzUjJBMFp5SzlMQ1ZxRzEydUZrSXBUanRHSWlJaW9tVEFoR09KRzcrNTc5c3hoSTYvOUVKalVLUG41UUU0bXNZQUFQdHVPVFNwZlZwcENtcnVYajN0UEZQYlRYVG9uc1laOTEzMG1IbmVzWWI4SVhTLzBJLzA4bFFFeGdJSWpBVW03UmNxQlhRbVRkUmpwOTcwcHhYcmtGNlJpdEZqVHFSWHBFNXFxODNXUUtHWnZmTXU5eTFHOUwwMkNMODlNR3M3QUJodXNNL1ppekhiL3MwUHJJUFdPRDNKSXlJaUlqb1hNT0ZJRWdNN2g1RjNjVGJHT3Qxb2U2b2JLejViaHR5THNpUDd4enJkYVBqdU1lUnN6cHp4SE5GNkptYnFzWEQzZXFMMnNNeW01K1ZCK0d4KytHeitxTWVtRk9pdy9sdFZDTGlDOEF5R2UxdzhRejRvZFFvNDI5MVJiK3FkclM3MDdSaWF0RzNkN1ZYSVdLM0hHOWRaNW96SjNqaUc5dTA5VWZlcFVwVzQ0T0VOa2RkVGs2dWhQU05RNjFYSVdLMlBmdTRUenZDd0xTSWlJcUp6R0JPT0pPRHA5OEord29ueXF3cHg1SUZtNkt2U1lWaWxQelZNU2dJbi9yY05hVVVwTUcweHdqUGtnelpMUFcyWXowd0p4T2ttRnRGNHJUNTAvclVYbVdzTldIdmI4bkR0UkpSUlJzMlBkYUwzMWNISTYyTVB0UUFBVm42aEFnRHdsa2RxWmh5ZTVCbnlUZXFwcWIxbnphVDl6bFlYamovY2hxb2J5bUNvU3BzN2FCRituNVE4TFlyZmw0ZVEvOVQ0cnBHRERoejdlU3NxUDFFQy9mTG81MUliMUNoK1h4NlVXZzZuSWlJaW9uTVhFNDRrMFBjdkt6TFg2QkgwaEtETjFtQ3N3ejNqRUtsOVh6OE1JSHB2eHRwdlZFR1hwNTNjL3BaRFViZDcrcjJ6RHJXYVNJWWtHaDl1aDFBS1ZOMVFpckVPTjQ0KzBJeUthMHVRYmM2WTFMYnl1aEpVWGxjUzZVSForTitya0Y2UmltSExhTGoyUkFDMlEzWUlwVURHYWoxQ0FZbWVGd2VRZTdFUlFoR3VUMUdjckRlWit2bTgxbkFDbGxxb203SEdKSnFHN3g0REFIUTkxejl0WC9Oam5XaCtySFBXNHdOalFTeS92blRlNzBkRVJFU1VUSmh3SklIUkl3NFlWcVFoYTcwQm1kWDZPUXVVcHc0MWtrR0pkYmRYUVpNVnZYNGlHbTIyQnV0dXI0SU15am5mejlFOEJtZWJDNnUrVkFHdFVRTnRGbUI2aXhGSEgyeEcvaVU1V0hadENSU3EyYzloTkdmZ1BQTTZETzBld2ZIL2JVUFJaWG5JV0sySDN4N0EwSjRSZEQzZmorWC9weFRuUGJodXhuTUV2ZUVlQ29YMjlDWm4yM1QvMnNqUHZtRWZqanpRZ3J5TGpDaDRaKzZrZGdGSEFJZnZiMGEyT1FQRjc4K1BiRmZwT0JrY0VSRVJuYnVZY0NTQnNxc0tjZmovTnFIZ25iblE1V2l3Nyt1SDRSbnd6bjNnU2U1ZUR3NythT2JlaXRsNk1zdy9YSTNVNHVpek00MHpWS1ZqODRQcm9FcFZoamNJb095S1F1aVhwZUg0TDF2aGJITmh3NTBySVdaTE9pVFEvdWRlZEQ3Ymk5SVBGcUQwd3dVQUFLMVJqZlhmV1ltbTMzYmcyRU10eU4rYWcyWFhGa2N0R2crNncrdC8xTjl4ZE5aNGN5L0t4b3JQbGtWZVQ1eUpxMy9IRUlSU1lMaGhGQUZYRUlhVjZjaFltUTdQb0E5TmozVEFVSm1LeXV0S09Dc1ZFUkVSMFVsTU9KSkFaclUrUE0zcnl3T28rRmd4TnY3M3FzaDZITkhzL3VLQmFkdUVRdUF0ajlaTTJ6N2JOTGM3UDFVL2JWdjExNWREWTV6ZVV4SkpOaVl3MW1SZy9aMHJNZGJwbnBac3lKUGxFdDB2RGNEZDdVSDI1a3gwUHR1TFpSOHJSdUc3SnZjc0tGUUNLejViaHRSQ0hkcWU3b1pRQ1ZSZVZ6THQvWHdqZmtBQTVoK3VnWmloMDZIaE84ZWdTcG01UjZMc3lrS1VYVmtJWjRzTDNTLzFvK2szSFpHL2ExV2FDbGtiTXVBWjlDRWxYenZqT1lpSWlJak9KVXc0a29SeG93RURPNGRSSVFHRlJpQnFSZlljWmxxTFk3WjFPS2JLV0pVZXFaVUF3ak5HaFFKeXhzVURGV29CL2JKVDA5cGE5OW5ROTlvUVJvODdBWVRyTmJMV0dsRHdEaE9VT2dXeTFobG1QRmQyYlFhRUFzaC91eW5xZmxlUEIxcWpCcWxGTTlSdlNDRG9DMEdaT3ZscjRSdnhZK0FOS3p4V0h6d0RQcmg3UGZCYXc3Tm5HV3N5WUxvZ0M5cHNEYXdXRzdyLzNvK21SenFneVZJamM3VWVGZGNVUVozQktYR0ppSWpvM01XRUkwbG9qQnI0Ykg2TUhMVGo4SDFOcDMyOERNa1pDODNuV3h3T2hPczFaaHVlTlpQeEtXZWRiUzdJb0VUKzFoejB2RHlBNnE4dGo2eXowYkt0YTg3ekNJVkEwWHZ5cHUrUXdPaFI1NHd6U2dIaHRUNGdBVlhhNU40WVZab1N2YThOUVpPcFJscHhDckpyTXFDdlRFTmFXUW84QTE3VWZlTUlMbnJNRFAzeU5KUmZYUVJYbHh0RGUyeXdONDFCYldDeVFVUkVST2MySmh4TG5MUE5oWUE3Q090ZUd6UVphbVN1MGVPOGgwNFZUbmYvZlFDNUZ4cWh6amoxdjdwbFd4ZVV1bE0zMVpvc0RaWmZYenB0eFcxN294TUQveDVHMlpXRlVCdW0vNnIwdlRZMFk2SDVlUSt0Z3laREhabHRhanlobVBwNjhNMlJTZXRybEYxWkdHblg4L0xBcEhOT1hRZmpqZXNzcVBwTUdmSXV6c1pjUm84NTRCMzJvV3hqNFl4dEFtUGhHZzkxK29TRVE0Wm50MXA3Ni9KcDdUMEQzc2g2SVJON1hZUlN3TFFsQzZZdFdYRDNlYURRS3FDTk1zeU1pSWlJNkZ6QWhHT0pHOXByZzNXZkRhcFVKU28vV1lyK2YxdVJ2U2tUZGJjZVJzM2RxMkUvNFlTajBZbDEzMW9Cb1JSd2RibWhTbEZDazNucXlYdklGNEltUXgyK3VSN3hvL25SRHF5NXBSSk52KzJBREVwNEJyM1RFbzZBS3hnWlZyUVVkUHkxRDZvMEpiSTN6Ynp3b2Q4WlhuVmNsWDdxczRZQ29YbXRRekpibTh4cVBkWitvK28wb2lVaUlpSktIa3c0bHJqU3l3dXcvUHBTcU5LVUdObzlnclkvZGlObmN5WUNyaUNnRUZqMXBXVm8rUFpST0pyR0VIQUZJU1V3M0RDS3ptZjdVUExCOE5TdC9hOFBvVytIRmNhYURJUzhRUXczakFJSUY0QWZmYWdGQjM5d0F1WjdxcUV6YWREOHUwNTRoMzJvL0dRSmV2OHhpS0EzaEdVZkw0N25YOEdjK3Y5bHhlaFJCOHF1TEp3MVFmTFovQUFBellSaFVBcTFZbHJQQ3NiL0RwL3BROGdmd2xpbkd5a0ZPcVRrYVZGMlpTSFNTbWVmdFl1SWlJam9YTUtFWTRsVHFBVFUrdkQveHA1WEJtRzZ3RGlwd0Z0clZLUDIzbXFvVXBWby9GVTdRdjRRS2o5WmdtTS9hMFhXUmdQU1NsTFEvKzloNUw3Rk9LM09YSnV0d2ZvN1ZtRDBxQk02VTNoSWtMUGRoYUE3Q0sxUmc4cFBsT0Q0dzIzSVhLMkhjY29DZm9uQ2Z0eUo1dDkxSUswa0JjWFJhanNtY0RTTkFRQzBPVkdHUDBuQTBUb0dhOTBvQm5jT1E1V3VST25sQlVndDFLSHVHMGRRYy9jcWRML1Fqd00vT0lHMFloMU1GeHBoM0pBUi9WeEVSRVJFNXhBbUhFbGk5S2dEemxZWFZuNitBZ3ExZ0VLdHdIQ2REWmxyOVFDQXNYWVhSZzdhVWZ5K1BHVFhabUxsamVWSUswNUIvK3RXZUswKzVMOHRYTCtoMXF0SDd4M2JBQUFnQUVsRVFWUUFBZlMvYm9XaEtseGdyVE5wNE83MXdObm1nclBGaFlKTHc3TkFtUzQwWXZETkVZeDF1cEZScllkdjJBZXZOZHhMNE9uM0l1Z0tUcXR4bVBwNnZGZGgvSFVvSU9HeitUSFc1Z0lRbnNVS21MNVk0YmpHWDdXajhWZnQwN1pmOUpnWnd3MmpPUGF6VmloVGxWajlsY3BKVSsvMnZEUUE3N0FmbWd3VmxDbEtlSWQ5Nkg2aEgvcmxhWk9Hai9sRy9HaDV2QXVqUngwSXVJSXdic3pBOGsrWEltdWRZVkxjQ3JVQ0pSOHNRTUdsdWVoLzNZcmVWd2ZSL0x0T2FITTB5SzdKd0xKUFRKK21sNGlJaU9oY3dJUWpTV1NzMXFQbTd0V1Jub2lTRCthajdZL2RDRDBlWGlOQ3FBUU1LOUlqQmRZNTUyY0JBSFM1V3BSZFZSZ3BhbGFscTFCNmVRRmF0bldGWjIyYVFLRlJJSE9kQWFVZlBMV0s5dXF2TElOUWhCZkNPM0ovYzJUN2didFBURHAyYW8zRFRLOVgzbGlPNHcrM0FRRFNTbE1pNjMvVTNyUG10UDQrUEFOZUhIMndCWnBNTmRiZXRqenk5ekl1NEFxaTUrVUJ5T0RKOVVvRW9LOU13OG9ieXllMTAyU3BrYlhCZ013MWVtUnZ6b3owSnMxRWxhcEUwYnR6VWZUdVhMaTYzTEJhUnBHMTNuQmFzUk1SRVJFbEV5NkhuQURNWnJNRXBzL0NOSmVCL3d3anV5WUR5cFRwaStvdFZTRi9DTDdSQUFRQWpWRU5vVGp6WDlHUi9hUFFWNlpOS2dLZlNnWWtRdjRRaENyY0szUzZaQ0JjVkI5dFljU3pNZDZqWTdGWStCMGxJaUtpSlkwOUhFdFk3b1hHZUlldzRCUnFCWFFMVlBlUXRXSHV1aEtoRWxDcXpqeGhFeXF4NE1rR0VSRVJVVEpaR25PYUVoRVJFUkhSa3NTRWc0aUlpSWlJWW9ZSkJ4RVJFUkVSeFF3VERpSWlJaUlpaWhrbUhFUkVSRVJFRkROTU9JaUlpSWlJS0dhWWNCQVJFUkVSVWN3dzRTQWlJaUlpb3BoaHdrRkVSRVJFUkRIRGhJT0lpSWlJaUdLR0NRY1JFUkVSRWNVTUV3NGlJaUlpSW9vWkpoeEVSRVJFUkJRenFuZ0hRS2U4Y1owbDNpRVFFUkVSRVMwbzluQWtBQ25sam5qSFFJbUh2eGRFUkVSRVJBdkliRFpMczlrczR4MEhFUkVSRVMwYzluQVFFUkVSRVZITU1PRWdJaUlpSXFLWVljSkJSRVJFUkVReHc0U0RpSWlJaUloaWhna0hFUkVSRVJIRkRCTU9JaUlpSWlLS0dTWWNSRVJFUkVRVU0wdzRpSWlJaUlnb1pwaHdFQkVSRVJGUnpERGhJQ0lpSWlLaW1HSENRVVJFUkVSRU1jT0VnNGlJaUlpSVlvWUpCeEVSRVJFUnhRd1REaUlpSWlJaWloa21IRVJFUkVSRUZETk1PSWlJaUlpSUtHYVljQkFSRVJFUlVjd3c0U0FpSWlJaW9waGh3a0ZFUkVUL243MDdqNCtrclBNSC9xbStrMDVmT1RycDNKTTdrMlJtMGpNRENPaUNpSGlnb0hpd3E0TElDcnA0SU9MeTQ5Q0JGVndRQkJRRnZFQVJGUlhrV0ZoQVpCMjVCNWpNUFRrbTk5WGR1VHJwcE8ramZuOTB1aWVkUHRLWlNTYVo1UE4rdmZLYWROVlRWVTlsdXJyclc4L3pmUjRpb21YRGdJT0lpSWlJaUpZTkF3NGlJaUlpSWxvMkREaUlpSWlJaUdqWk1PQWdJaUlpSXFKbHc0Q0RpSWlJaUlpV0RRTU9JaUlpSWlKYU5ndzRpSWlJaUlobzJURGdJQ0lpSWlLaVpjT0FnNGlJaUlpSWxnMEREaUlpSWlJaVdqWU1PSWlJaUlpSWFOa3c0Q0FpSWlJaW9tWERnSU9JaUlpSWlKWU5BdzRpSWlJaUlsbzJ3a3BYZ05hbjV1Ym1Ra0VRcnBpM2VNZnN2N2ZNWFNpSzRpLzI3Tmt6ZkdKcVJrUkVSRVJMaVFFSHJZaUdoZ2FGVXFtMEFqQXNVTlF1Q0VMKzd0MjcvU2VpWGtSRVJFUzB0TmlsaWxiRW9VT0hmS0lvUHBORzBhY1piQkFSRVJHZHZCaHcwSW9SQk9HSk5JcWxVNGFJaUlpSVZpa0dITFJpdEZydFN3Qm1VaFNaZGpnY0w1Mm8raEFSRVJIUjBtUEFRU3RtNTg2ZEhnRFBKbHN2Q01Lem5aMmQzaE5ZSlNJaUlpSmFZZ3c0YUVXSm9waTB5MVFvRkdKM0tpSWlJcUtUSEFNT1dsSEJZUEI1QU80RXE5ekJZUENGRTEwZklpSWlJbHBhRERob1JlM2Z2OThKSUZGZzhmenNPaUlpSWlJNmlUSGdvTlVncnV0VW1pTllFUkVSRWRFcXg0Q0RWcHdnQ004Q21Edlhoazhta3lWTkppY2lJaUtpa3djRERscHh1M2Z2bmhKRmNlN3d0eS90MnJYTHNXSVZJaUlpSXFJbHc0Q0RWb3Nua3Z4T1JFUkVSQ2N4Qmh5MEtzamw4cWNqdjh0a3NtZFdzaTVFUkVSRXRIU0VsYTRBQWMzTnpic0VRVGhscGV0QnE0c29panYzN05sejlrclhnNGlJaU9oNHNJVmpGV0N3UVlrSWduRFdTdGVCaUlpSTZIakpWcm9DZE5TWmo1aFh1Z3EwU3J4MlNjdEtWNEdJaUlob1NiQ0ZnNGlJaUlpSWxnMEREaUlpSWlJaVdqWU1PSWlJaUlpSWFOa3c0Q0FpSWlJaW9tWERnSU9JaUlpSWlKWU5BdzRpSWlJaUlsbzJERGlJaUlpSWlHalpNT0FnSWlJaUlxSmx3NENEaUlpSWlJaVdEUU1PSWlJaUlpSmFOZ3c0aUlpSWlJaG8yVERnSUNJaUlpS2laY09BZzRpSWlJaUlsZzBERGlJaUlpSWlXallNT0lpSWlJaUlhTmt3NEtDRUJwKzF3VFBpRGI4UWdiYjd1bUhkT1piV3RzTXZqcUQxM2k2RUFtTEM5YU52Mm5Ib3JrNEV2YUdVK3hHRElpWVBUU1BnREVickVmU0UwdnFKQ0FWRStLY0RpL29SUTRuclRVUkVSRVNMSjF2cEN0RHFNN2JManQ0L0QwR1pMWWZLcUFRRVFKQUtHSHpHQ3VPWk9aREloS1RienZTNDBQUFlFSW8rYkVUQUdZaFpKMVZLQUVGQXoyT0R5Q3JMUk5BVFJOQVRqSzZYeUNTUXFhWFIxNk52MmRIeDgxNFl6OHhHelJYbDhOcjllT2ZxQTJtZHc1bVBtTVBuOHJZZEhRLzJMdUxzQWZNUDZwRlpuTEdvYllpSWlJZ29NUVljRk1NMzVVZlhvNE13TkdtUmQzcDJkSG5wSnd2UmN2MWhERHh0UWRsRmhRbTM5WTc1MFByamJvaEJFWVBQMmpENHJDMW12ZWtEZVlBSStPeCtUTmluOFBiWFk0TUhmWU1HamRkVmgxK0l3T0N6VmhTZlh3RExTeU1ZTExhaDZFTkdiTCszS1ZvKzZBNmk1ZnJEcUx0cUF6VFZXU25QNjlTZmJWcnczTjBXRC9iZjJyRmdPU0lpSWlKS0h3TU9paEtESXRydTZ3RkNJcW91TDQxWmwxR2dSTW5IQ2pEd2pCVzYyaXpvRzdVeDY1MERiaHkrcHd0eXZRek50OVpoOEg5SE1OUHJRdDFWR3lCVFN6SFQ2NEozeklmMkIzdFJjMlU1c3NveTBQYlRIalQrdjJvbzlQSzR1dGhlR1VmUUhVVFpKMDFRR1JYb2ZMZ2ZXZVdaMEcvVVJNdk05UG9CQUxxTkdzZzFxZC9LQzYwSEFQK1VkTUV5UkVSRVJMUTR6T0dnTUJIb2ZLZ2ZqaU16cVAxcU9aVFppcmdpSlJjVVFGdWJoZGFmOU1EUk1ST3p6dThJSUh1ekRwdHVxSUVzUzRiU0N3c2dWVWt3MVRZTkFCaDR4b3FlUHd6Q2ZQdEdHTS9JUm1aeEJ2TGVrNDNwYmxmY2NRTE9JSG9mSDBiSmhTWkFBQXJPeW9WK293YnREL1RDTythRDIrS0IyK0tCbzMwR2NvME1nWmxBZEpuYjRrbDRlblBYSi92eGpQcVc0QTlKUkVSRVJIT3hoWVBDd2NiRC9iQzlPbzdLTDVURXRWNUVDRklCOWQrb3dJRWZkT0RnSFoyby9HSUo4dCtiQXlEY0hlcmdIVWRnZVhrMFpwdnhkeWRqWHI5N3pjR2sxWWprWFhRL09nQjVsaFFLdlJ5Ny8vTVFtbit3RVZXWGxhTHRwejJZNlhPaDljZmRNZHZ0dnU1d3d2MmtLck9Rc2JmdHlDaFFRVjNLWEE0aUlpS2k0OEdBWTUwTHVvTm9mN0FYRTN1bVVQN1pJcGpPelV0WlhxYVdvdW1HYWh5K3B4dEhmdG1IOGQyVHFQalhZcWp5bFFDQThvdUxrTk9zVzFRZHh2ZE1vZmV4SVFEQTZCc1RHSGw5QW8zWFZVTmJyVWJJSDg0SEtidkloQzIzMU1GdERiZGdSSUtLcWRacGFDclZrQ2drY0ZzOGNZRkZKTDA5VVJBeVg4Z2ZnbXZRQTFXK0VtMC82MEZXZVNacXJpeGYxTGtRRVJFUlVTd0dIT3VjZGVjWTdQc2RxUGg4TWJMTmVuakcwdXRXMUhCdEZmcWZzbURvZVJ1MDFWa28vbWcrZEhWWnlDck5nTUlRM3gwckdhbEtncXdKUC9RTjRkeU1qRUlWOHQrWEUzMWQrRUVqN1B1bkFKaU9SZzl6SFBqdkk5aDZ4MFprbUZRSjl5L1hoZk5EUnQrWWdLWW1kV0k1RUE2b1J0K3d3elhrUWVrbkV5ZkhFeEVSRVZINkdIQ3NjMFVmem9laFNZdVpmbmZLN2s3emJibTVEaHN1TG9McDdOeG82MGJURFRVUWd5SmV2MnhQMnZzNTh4RXo5QTJhYUlDUlZaNkpvZy9uUjNNeERKdTF5RGJyNExaNElNdGNmRkszcmo0THhqT3kwZkhMUG9qQjlPYlhrS3FrTUoyVGg5eHQra1VmajRpSWlJaGlNZUFnWkJabklMTW9BN25id3pmWVlsREVtMWZ1UThYbmlsRndkbTVNV2MrSUR5M1hINFpFRVc1dWlBUWI4OVgreHdia25XWkllc3hFM1o4aVdxNVB2THpnN0Z3VWZjZ1lmUjJkb0U5SVBpK0lJQkZRYzJVNWFxNG9SeWlRZktKQi8xUUFZMi9ia1h1YUlXSENQQkVSRVJFZEd3WWNGQ1lBRW5sNDBETFBoQmNRZ1l4OFpYUlpST1FtWDZKSVBjQlorLzA5YUwrLzU1aXFNai9md2o4ZHdEdFhINFMyTnJaTFZHUkc4VVIxQ1hwRE1aTUtMc1ExNUViUFkwUElMTW1BSUQwYXdDaDA4VVAyRWhFUkVWSDZHSEJRSEVlbkV3Q2dMc3VNV3hmeWhtL3lwY3JVQVVmMXY1Y2hKMFdYSkkvVmk3MDN0NlZWSCt2L2pVR3VreUh2VkFNOEk5NmorN0I1SVVnRUtIVHhiK1BoRjBiUTk4UndXdnVmNjlDZG5UR3YwMGsySnlJaUlxTGtHSEJRbk5HMzdGQ1haaVNja0MvU2FpRE5PTDVKOHBRNWNqUmRYNDJBS3dpcFVoTFRxdUNmRHVEd2o3cFE4WVZpWkJabllQaHZJeWo5cENtbURBRFlEemlnekpGRGtNUjNxU3I2YUg3TWlGczlmeHlFcmw2RDdDMkpSOUNhNlhIaDRCMUgwSFI5ZGNKQWk0aUlpSWlPRFFNT2lqRjVlQnIyL1ZPb3ZLUWs0ZnFBTXdoQktpellwZXJJci9wdzVGZDlhUjF6NHpXVk1ZR0FQRXNHaFVHTzFudTdrWHVLSGhLNWdQeC9DZWVTS0hNVTBVREY4dElvZkE0L0R0eCtCRFZYbGtHWnAwVHpyZlVBQUlsTWdFUTJHeFNKZ0VRbVFjZlBlMUgrMlNJVWZ5US9yZzZSRmh1cFNucE15ZWxFUkVSRWxCZ0REb3B5RHJqUmZuOFBzalprb3VDczNNUmxCdDFRNWl5Y1ZMMVEwamdRenNGNDg0cTk4U3NFb09iS2N1eTdwUTNETDQyaTZySlNTR1RoVmd5SlFnSk5wUnFINysyR0lCT3c1Wlk2ZFB5aUQzdHVhRVhWWmFYSVBUWEJNUVdnOHRJU3lMSms2SDFzQ0hLMURQbi9raE5UNUdnQytvS25Sa1JFUkVTTHdJQ0RBQkd3dlRxTzd0OFBRcTZWb2Y0YmxSQ2tBbnhUZnN4MHV5RFh5Q0JSU3VDMmVtRjVhUlQ1U1lLUnVmeFRmbmhzM3BSbGdyN2tvMFpKVlJMVWY2TUNlNzdiQnNjUlozUzBySmsrRjQ3OHNnK2VVUithcnF0R1Zua21OdStveFpGZjlxSHRaejB3ZGN5ZzRsK0xJY2ppSTRleWkweFFGNnVRczFXUGtEOEU2ODV4eURLa0VDVEF5QnNUQU1EV0RTSWlJcUlseG9Cam5RdjVRdGovL1E3TTlMbVF1MTJQcXN0S0ljc0t2eTFFdjRpMm4vWWc1SjhkRFVvbUlHZTdBYVdmTUMyNDMrN2ZENkw3OTRQSFZiY01rd29Wbnl0RzU4UDl5SDlmRGh6dDArajdxd1dxUENVMjNWZ0RkV2tHZ0hCM3FMcXJOcUFuVjRHaC83WEJQK2xIM2RjckV1NHowZ0lpUUVEZjQ4TUl1c001S1lKVWdPbWNQS2lNaVlmNUpTSWlJcUpqdzRCam5aTW9KQ2o3VENHa0tnbTAxYkhEemlwekZUajkxMXNnaGtTSUlVQWlGUmJzY2lSSUJCUjlPQi9HTTdLakFVRXlZa0JFMzErSGtaRmtMZzhnUFBkR1pwRUsycG9zWkJhcEFFRkE0WG5HK0ZHeUJHRER4VVhJTEZSRkp4RmN5Q2svYVFKQ0lrUVJrQ29rQ1Z0RmlJaUlpT2o0OEE1ckZUQ2J6U0xBSVZqcHFOY3VhUUVBdExTMDhCb2xJaUtpazFycW9ZYUlpSWlJaUlpT0F3TU9JaUlpSWlKYU5ndzRpSWlJaUlobzJURGdJQ0lpSWlLaVpjT0FnNGlJaUlpSWxnMEREaUlpSWlJaVdqWU1PSWlJaUlpSWFOa3c0Q0FpSWlJaW9tWERnSU9JaUlpSWlKWU5BdzRpSWlJaUlsbzJERGlJaUlpSWlHalpNT0FnSWlJaUlxSmx3NENEaUlpSWlJaVdEUU1PSWlJaUlpSmFOcktWcmdBZDlkb2xMU3RkQlNJaUlpS2lKY1VXamxWQUZNV2RLMTBIV24zNHZpQWlJaUlpV2tKbXMxazBtODNpU3RlRGlJaUlpSllPV3ppSWlJaUlpR2paTU9BZ0lpSWlJcUpsdzRDRGlJaUlpSWlXRFFNT0lpSWlJaUphTmd3NGlJaUlpSWhvMlREZ0lDSWlJaUtpWmNPQWc0aUlpSWlJbGcwRERpSWlJaUlpV2pZTU9JaUlpSWlJYU5rdzRDQWlJaUlpb21YRGdJT0lpSWlJaUpZTkF3NGlJaUlpSWxvMkREaUlpSWlJaUdqWk1PQWdJaUlpSXFKbHc0Q0RpSWlJaUlpV0RRTU9JaUlpSWlKYU5ndzRpSWlJaUlobzJURGdXTHV5VjdvQ1JFUkVSRVFNT05ZZ2c4SHdyNXMzYis1UktwVTE2VzZUbVptNXJiS3k4aWtBbXRsRmVTYVQ2U1lBK1pFeVdWbFpqYlBMaUlpSWlJalN3b0JqRGJMYjdmOGJDb1hjMmRuWlgwaDNHNmxVV3FEVDZTNEFvQVNBckt5c2ZKUEo5SDIxV20yS2xKSEw1VnRNSnRQM2w2SEtSRVJFUkxSR3lWYTZBblRNVkdhejJaMnFnTWxrdWlsVmkwUkxTNHNHd015UzE0eUlpSWlJYUJZRGpwUGM0T0RndHljbkovOTNNZHZvZExwelNrcEtmanI3MHFoUUtMS1ZTbVV4QUdSa1pGUUZnOEhjZFBlVm1ablo3SEs1OWl6bStFUkVSRVMwZmpEZ09NbjUvZjVobjgvWE5uKzUyV3dXKy9yNkxoc2ZILzlOZ20zcUlyOFhGeGZmWURRYXZ4bDVYVjlmL3lZQWRIUjBOQzEwYktQUitOWGk0dUw3dTd1N1B6RTVPZm5VTVo4RUVSRVJFYTFaRERoT1h0NzI5dlptcDlNNXJGQW82aElWa01sa3BrVHJKaWNuWDI5dmIyOEc0Qm9jSEx4NmNIRHdhbzFHYzM1MWRmWC90TFMwNUFFWXk4ckthZ1FBdVZ4ZXJsQW9QQUFna1Vpa2tYM2s1K2QvcTZpbzZFYzJtKzF1Qmh0RVJFUkVsQXdEanBPWDZIUTY5eW9VaXJyR3hzYldSQVdLaW9wK1VGUlU5SVA1eXc4ZVBGanZkRHIzcG5PUWlvcUtKeU8vRHc0T2ZnY0FTa3BLN3N2THkvdmEwTkRRalRhYkxXNy9SRVJFUkVRUkREaldpSmFXRm1IdTYyUmRxc3htczVqRzdxS2psODIyb3V3RkFJUEI4SGtBeU0zTnZhS3ZyKytTOGZIeDN4MS96WW1JaUlob0xlT3d1QlNqdExUMHpycTZ1bmRTbGVuczdEeWJ3UVlSRVJFUnBZTXRIR3RFb3BhTHNyS3loOHZLeWg1T3RaMVdxejFQcjlkZnJOZnJ6d2NBalVienZ0SFIwUWRTYlRNOVBmM0c4ZFdXaUlpSWlOWUxCaHhyeE1HREIrdm52bTVzYkd3ZEdocTZ3VzYzUHpsLytkelh1Ym01WDFHcjFkdGNMdGR1clZaNzNxRkRoMDdGbktSeElpSWlJcUxqd1lCampVZzBORzRnRUxBa1dqNlgxV3E5eXVWeVdUUWF6VWUxV3UxNXgzRG9EQUFwSnlBa0lpSWlvdldMQWNjYWNheGRxbHd1MS9EeEhMZTR1UGgybVV5bTcrM3R2ZlI0OWtORVJFUkVheE1EampYaVdMdFVwVWt3R28xZkJhQ2F2MEl1bHhkSUpKSzQ1VVJFUkVSRUFBT09rNTdQNTdQMDkvZC9PZDB1VmJObExRdnRWeFJGQVFBVUNrVmpVVkhSVDFVcVZaM05acnQ3ZmptbFVybGhlbnI2MWVNNUJ5SWlJaUphdXpnczdzbHZhbXhzN0ZmcEZwNHRPelZuVVZaR1JrYXhXcTJPdEpBNEFVQ3BWTllCUUhsNStjTXVsMnYzL3YzN3E5MXVkd3NBWkdkbmYwYWhVTlRwOWZvTE1qSXltbDB1MTd0TGRDNUVSRVJFdE1hd2hXT2QwK3YxNTFSVVZEd0ZRQndiRy9zRmppYUFhOTF1OS83Ky92N1BPNTNPQXdEZ2NEaGVucHljZkxLc3JPeFJRUkRrb2lqNnA2YW1uclhiN1UrczJBa1FFUkVSRWRHSlp6S1piczNNekd4T282Z01RQzdDbzAwbFduZkNtTTFtTWMyWjBJbUlpSWpvSk1FV2pqWEtZckhjbEdiUkFJQ3hGT3VJaUlpSWlJNlpzTklWb1BXcHFhbkpJSlBKdHM1ZEpnakNTd0FnaXVLNWM1Y0hBb0hkQnc0Y3NKL0kraEVSRVJIUjBtQUxCNjBJaFVJUkVrWHhPUUNLK2VzaWdjY3NuMEtoTUo2NG1oRVJFUkhSVXVJb1ZiUWlkdS9lUFFYZ2Iya1VmWEcyTEJFUkVSR2RoQmh3MEVwYWNIUXJRUkE0QWhZUkVSSFJTWXdCQjYwWXBWTDVERklucGdkOFB0OHpKNm8rUkVSRVJMVDBHSERRaW5uenpUY25SRkg4UjRvaS84ZGtjU0lpSXFLVEd3TU9XbEVMZEpsaWR5b2lJaUtpa3h3RERscFJjcm44S1FDSkp2c0xCUUtCcDA1MGZZaUlpSWhvYVRIZ29CVzFhOWN1RzRCWEU2eDZkZi8rL1NNbnVqNUVSRVJFdExRWWNOQ0tTOVN0U2hSRmRxY2lJaUlpV2dNWWNOQ0s4L3Y5ZjUyL0xCUUt4UzBqSWlJaW9wTVBBdzVhY2Z2Mzd4OEVzR3ZPb3JmMjdkczN0RkwxSVNJaUlxS2x3NENEVm90b0Z5cE85a2RFUkVTMGRqRGdvRlZCS3BWR2d3eS8zOCtBZzRpSWlJaUlsdGJXclZ2M21NM21scFd1QnhFUkVSRXRIZGxLVjRBb1FoVEZ4NUY0VGc0aUlpSWlPa2tKSzEwQkFwcWJtM2NKZ25ES1N0ZURWaGRSRkhmdTJiUG43Sld1QjhYak5VdUo4SnBkT2J3bUtSRmVrNnNIY3poV0FYNUlVaUtDSUp5MTBuV2d4SGpOVWlLOFpsY09yMGxLaE5mazZzRXVWYXZJbVkrWVY3b0t0RXE4ZGdsVFdVNEd2R1lwZ3RmczZzQnJraUo0VGE0dWJPRWdJaUlpSXFKbHc0Q0RpSWlJaUlpV0RRTU9JbHBRVmxaV1kzRng4WjFJTU5CRWMzTnpJQzh2NzJ0emw1bk5aakUzTi9jckMrMVhyVlp2S2lvcXVnMkFmT2xxUzBSRVJLc0pBdzRpV3BBZ0NJYTh2THh2NWVmblg3ZVUrMVVxbGJXNXViblhWRlJVUExLVSs2WEZFWVByWXpUcVVHQjluQ2NSMFdyRGdJT0lGalE5UGYycTFXcTl1YkN3OFB1Wm1abmJsMnEvRXhNVGYrbnY3LytNWHEvL2JGNWUzbFZMdGQrVFhjQVpQS0hINjNsc0NJZnU3RHptV1hEY0ZrL2NqeGdLNzJ5Nnk0bDNyemtJejVqdnVPcjQyaVV0Y0ZzOHg3eDl5QmZDL3Y5cXg1RmY5UjFYUFlpSWFQRTRTaFVScGNWaXNkeXUwK2srb2RmclArcHl1VnJOWnZOMFpGMUpTY2w5SlNVbDk4MHRYMXBhK2tCcGFla0RBTkRTMG1JQU1KbG92M2E3L1g4eU16UHZMaW9xdW4xbVp1WXB0OXM5dEt3bnNvbzQrOTNvZkxnZlZWOHFoYm9rQXdEUWZuOFAvSTRBR3Y5ZmRjcnQ5dHpVZXN6SG5UdVNqMi9TRCtzL3hsRDJTUk1nQUYyUERNRHk5OUdVMnpmZldnOTFhVWIwOWU3ckRzZVZPZVcrSmlpMGNuVC9maERLUENVQXhBUWRFcWtBaFNHK0oxMnF3TVE3NFljZ1QveWNUSldyU0Y1aEVlajRaUitjQTI2VWY2WXdlVGtpSWxvV0REaUlLRjJCdHJhMjl3SndBUkFPSGp4WUR3Q05qWTJIckZicmJXTmpZMytJRkd4c2JHd2RIaDYrZVdKaTRrK3ppeHlwZGp3NU9mbTcvUHo4Ynh1Tnh2L3U2K3U3Wk5uT1lKWHAvY3N3UENOZXFQS08zaXhuYjlHaC9jRmVPSTdNUUZ1ZGxYQzdqRUlWdHQ2eGNkSEhzNzAyZ2NIL3NjWXM2My9LQWxXZUFvWG5HUUVBcFJjVXdIUk9IbHF1UDR6S1MwcWdiOUJFeTFwZUhvUDEvMFlUQmdwYjc5aUlESk1LMXAxajZIL1NBb1ZXanVHL2pXQzYwd2tBZVBlYWd6SGwxYVVaYUw2MVBtNC84OHZOZGZDT0kwblhwUm9PdGV0M0F4aDcyNDdhcjVSRDM2aU5XV2Q1ZVJSNXAyVkRwcFltM1o2SWlJNFBBdzRpV2d6WDdMK2l6K2RyaXl6MCsvMjJ1YThCSUJBSXhDMUxScTFXbndzQU9UazVuN05ZTExmN2ZMNzRSK1pyakgzZkZPejdwbER4K1dKSVZVZHZkbk5QTTZEL2FTdTZmanVBTGJmVVFaREc1ZWxESWhPUVlWSXQrcGdLYmV4SHZuUEFEZHMveDlGNFhUVUVpWUJEZDNYQ2VFWU9jay9SaDhzYjVOSGppRUVSNDdzbllUd3pCM0pOOHErT2tkY25rUC9lSERnSDNPajkweEJxcmlpRDhjeWNtR1B1M2RHRzNPMzZwUHVJQkM5enZYWkpTOExsYm9zbllRdExSUGZ2QjJGNWVSVFZsNWNoN3ozWk1ldDhrMzRNUEdXRjlSOWphTHl1T3VWNUVSSFJzZU9uS3hHbGxKK2ZmM1ZSVWRFOWtkY3RMUzN6NzRBRlFSQ09LeHMzT3p2N1V6TXpNNjhyRklyQ3dzTENHM3Q3ZXo5M1BQdGI3UUxPQUk3OHVoOVo1Wmt3blpNWHMwNlFDS2o2WWdrTzNINEVQWDhZUk1VWFNtSzNkUVhobi9JditwanpiOVRGb0lqT2gvcVIvOTRjNk9xeU1QcW1IWk9IcGxIMnFVS0lzLytiWXVobytiRjNKdUdkOEtIb3c4YWt4L0RZdkhCMHpLRDgwNFU0Zkc4WE5OVlowTlpwam5hVEVvR09uL2RDWFpTQnZQZGt3elBtZzlJZ2p3dXFrZ1VRcVFLTCtjU2dpTTdmOUdQazFRblVYRkVPNHhuWmNXVVVlamthcjYvR2dkczZjT0MyRGpSZVY1Mnc5WWFJaUk0UEF3NGlTc2xtcy8zV2JyZS9vTmZyUDFKY1hQeWplYXNsQUlSUUtCUkt0RzA2RkFyRnhzek16Rk1IQndldkVrVlJVbHhjZksvRll0bmg5WG83ajYvbXE1TVlGTkYrZnk4Q000Rnd5MEtDRmd4ZHZRYkZIeTNBNExOV0tBd0tGSitmSDEwMzlyWWRuUS8xTC9xNDg3c2NEVDF2dzNTM0U3cU5HdlQvMVFMYksyTW9QajhmV2VXWkNIckNTZXVPanBsb1M4VFFDelprYjlHbGJGbXgvbk1jK28wYUJEMGhLSE1VY1BhN2szYVJldmZhUXdBU3QyWTBYbGNOVmI0eXR2dzFCeE11OTlpOGNWMnQvSTVBdUZ0YXh3enFyNjVBOWhaZGRKMFlFaEh5aFJEeWhoRDBpWUFJbEgycUVKMi82Y2VCMjQ5ZzB3M1ZrT3NZZEJBUkxTVUdIRVMwRUx2UDU3UDcvZjR0a1FWbXN6bW1SV051Z25paVpXTmpZNy90NysvL1lxS2RtMHltYjRkQ0llZkl5TWdmQVBoTUp0UDNDZ29LZHZUMTlYMWg2VTlsNVhYK3BoLzJBdzVVZmFrVW1VWEpiOTdMUDEwSXQ5V0QzajhQd1Q4ZFFQbG5DeUZJQkJTY2xZdUNzM0tQdXg0WmhSbklPeTBib2orRWtWMVRrS2xsS0wzQUJBQUllY1B4NDlqYmRsVDhXekVnQURQZDRkNTByMTNTQWdDby9uSVo4dCtiRTdQUHFjUFQwTmFvWWRpa2hiNUJrekNZbWl1eXJ3Z3hLS0xwK21vb0RDa1N3T2RSNWlqUWRIMDF4S0FJUVNyQVovZGo5M1dIRWZRRUljMlFvdXVSQVJ6NVZSOUMvbkNna1dvSVlMZkZnNE0vN0VUVERkV1FxZm4xU0VTMFZQaUpTa1NMRmtrWTEyZzAyOHZLeWg3cDZ1cjZ0TnZ0amo3S25wODA3dlA1cGhMdFI2VlNWV1JuWjM5aGJHenM1NWdkeGNwcXRmNnd1TGo0aDZPam8vZTRYSzZXUk51ZGpNU1FpSzdmRE1EMnozRVVmY2dZRXpTTXZtV0hWQ1ZCOW1iZDBha1ZCYUR1cWcxb3Y3OG4zQnJSNlVUMWw4dVFVUkIrd3A5TzF5cTVUZzVaWnVKazZCeXpEamxtSGFaYXAyRjVlUXliYjY2RklBc2ZQT0FPQnh5K1NUL3NCeHd3Yk5KR2s5U2RBMjYwL2JRSHlwejRvS0RzMDRVNDlLTk9tRDVvaENwWGdYZXZQUVRQaURmdHY1SGI0c0dCLzA2ZUdKNHFhZHo4ZzNwa0ZtZEFZWkFqOXhROXhKQUltVm9HV2FZVVVwVUVVcFUwL0pNaGdWUXBnVVE1dTB4NTlQVlUyd3hhNysxR3p4K0hVUDN2WlduWG00aUlVbVBBUVVTTEZra0dsOHZsbnhWRjBUODFOZlUvQUdMdUxOTkpHaThxS3JwUEZFWC93TURBRHlMTFJrWkdmbW8wR3I5UldscjZZRnRiMjJrQWpybTcxbW95OExRVjFwMWpLRGc3Rnh2K3RUaTZQT0FNb3V1My9WRG81VEEwYVdOYUJRU3BnTHF2VmFEM0w4TVlmTTZLeVVNT1pCU0VjejdTNlZwVjlhWFNsSzBodmlrLzJoL3NSZG1uVE5GaGVRSEE3d2dITXRtYmRSaDZZUVNHVGRwb3R5ZnJQOGFnTU1paHI5ZkU3VS9mb0lHbVFnM0wzMGF3NGQrS3NlV1d1dWg4SEluc3VtcC8zREpCSXVDTTN6VEhMVStXTkE0QXIzOXhUOHpyWXcwV0RFMWFiTjVSaTh6Q3hTZmtFeEZSY2d3NGlPaFlxZkx5OHE2WW1wcDZGdk9DalhUazV1Yit1MDZuKzhqdzhQQjFBQ3h6Vm5rR0JnYXVxYXlzL0l2SlpMckJZckhjdW1RMVhrRkZIOG1IWENPRDZRT3hTZUlEVDFzUWNBWlIvNDJLeEYyUUJLRDhNNFhJTzgwUU0vZEZSTExoWU9kM1Y1b3Y2QTNoOEYxZEVBTWlRbjRSblEvM3d6dm1RNUpGaFBJQUFDQUFTVVJCVk1rRkJmQ08rUUFCS0wzUWhMMjN0R0c2MHdsTmxSb0JWeEMyVjhaUjlPSDhveTB4ODJSdjBXTGs5UWxzRUFHSlFrRFNnaWtrbTRzajFUd2M4OW4zTzNEb3JzV2xBVFZjV3dYREp1M0NCWW1JYUZFWWNCRFJNU2t0TGYySlhDNDNqWTZPems4a1gxQkdSc1pweGNYRlAzRTZuVzlhcmRhNzU2K2ZtcHA2ZkhKeThxbUNnb0tiblU3bnV3Nkg0NFdscWZYS2tTb2xjY0dHYTlpRDRaZEdZVHd6QjdvNUxRWUJaeUF1aHlCUnNIRThCS2tBejZnWENvTWNNejB1cUl4S1pEZnJrRm1vd3NSZUIxUTVDbVJWWkNLN1dZZXVSd2V3K1h1MUdIZ3FIQmVhUHBDODFVU1JyWWgyeFZyc0RUOFE3bnFXTE5FOFZaZXFaRForcXpMYURTMFp0OVdMdy9kMExYcmZSRVNVSGdZY1JMTWlTYWVVV0dabTVyYklyd1VGQlZmbDV1WisyV2F6M1QwOVBmMzZJdmZUWEZWVjlWd3dHSnpxNysvL0RJQkFvbkxkM2QxZmJteHMzRjFSVWZHWHpzN09qOC9NelB6amVNOWhWUkdCcm9mN0ljdVNvZUp6UmRIRmppTXpPSGhISnhxL1V3VnRiZUtKLzVhQ1JDYmd0QWMySjJ5QW1Eem9nR1oyMHNIeXp4Umh6NDJ0YUgrZ0YrUHZUS0w4NHFLRUNkVXp2UzRFM0VHTXZ6TUpoVTRPL1VZTlRybXZLYnArNlBrUkdFL1BobHgzZE52dVJ3ZGo1aUJSR0JTb3Vxd1VCV2ZIQmpTT0l6TVllWFVDWlo4cWhGd2JmK3h3TjYvRWllYXFQTVdDYzVha1NpUW5PdUVpYjBkK0hkRWFrbDdiTkswTklpQUdSQVE5SWZpbkEvQk8rT0FhOW1DNjI0bkpROU1ZZTlzTzZ6L0dNUEMwQlYyL0hjQ1JYL2FkMExyMS9IRUlReStNSFBldXJEdkgwSFpmTjZhN25XbHZNOVUyZzExZlB3RDd2b1M1emV0ZVRrN09wZm41K2QveSsvMURwYVdsUDdKYXJROE1EQXg4YzJobzZOcEU1YWVtcHA3MitYdzk4NWNiRElhUDFkVFV2Q0lJZ3REZDNYMmUyKzBlVEhIWXNlN3U3Z3RGVVF4VlYxZS9ZRFFhdjQwMTlKQmsrS1VSVExYUG9QcExwVEUzOE5xcUxHZzJaS0x0Wnozd094TEdZakhjRmsvQ243VE0zdEQ0cC93WWZXTUNSMzdWQjQvTmk1bGVWM1FvMmN4Q0ZZclB6OGZZTGpzeVRFb1VmakF2NGE3RzNwbkV2cHZiTWRVNmpaSUxUTEM5T2c1QklxRGx1c01RL1NJY0hUUG8rbTAvNUZreUtIUnlCS1lEa0dWSW9kQWZIWUkyNUF0Qm9aTURZcmo3MU9HN3c2ME9uUS8xWTZwdEdwN1IrSjU3QVZjUTNuRWZwQ3ArbmRIaUpicDJJbmxIMDExT3ZIdk53YVJkL05MMTJpVXQ2VitUSXRENmsyNjAzdGVOa0cvbDA5ZENBUkV0MXgvR1RLOHJ1aXpnQ3NhY2ozMi9BNjlkMGdMLzlOSFBLNDl0MGIxc2FZMWJNMS9lbE56clg5d0RVUlNQUGpWSlFDS1h6STdrSW9FMFF3cFpadmpIUCtXUGpra3ZCa1c4ZnRrZXlOUlNRRWo5NkVVTWlwQ3BwZGgrZDJONmxSU0FVQ0NFbmo4T0lyTklCVVBUc2ZXam50Z3poYTdmREFBQzRKc01vUEg2YWtoa0N6OG15dHFRQ1VFcW9QUGhmbXk5c3dHU09mM0VSOSt5by8zK3VIdm5wTW10YTAxV1Z0YjdTa3RMZnpFME5QVGQ2ZW5wRjZxcnEzZks1ZkxTaVltSkI5VnFkV01nRVBBS2d1Q1RTQ1ErbDh2bEJ5QWJHaHI2cGlpS3lxeXNyTVpRS0tRTUJBSnVuVTUzVGtsSnlVLzhmdjl3ZDNmM2g1eE81NEdGanUxeXVmWjBkSFI4cUxxNit0bmk0dUs3cEZLcHltS3gzSFlDVG50WnpmUzUwUHZZRUFyT3lrVjJzeTUycFFEVVhGbU9saHRhMGZIelhqUmNXNVh5U2VkaUpzT2JhNnAxR21OdlQyS3FiUnF1SVErVTJYTG9HN1VZZk00R21WcUtiSE80WHY0cFA4YmZtUVFRN2dKbWVYa01oZWZHQngybG56Q2g2ckpTeU5SU2pPMnlvL2ZQUThqZHJrZkFGUVFrNGVUM3ZkOXR4WFNuRXdGWEVLSUlUT3lkd3NBelZwUmNVQUFBc0wweUJ1dk9jV1EzNnhEeUJqR3hOL3dBb09IYUtyVGUxNDBEdDNYQWZFY0RWSGtLZFAxMkFONEpIeW92TFlIbDVWRUV2U0ZVZks0NHJsNUVxU1M2Zms2NXJ3a0tyUnpkdngrRU1pL2NIVzl1MENHUkNna25pRXdWbUtUS1AxTGx6bW1kRXdEam1kbG8vMWtQRHZ6Z0NCcXVyWVIzd284OU43V21kVDVuUG1KR0tDRENONWw0Qkx1ZVJ3Y3czckx3ZzdWSWJwaDl2d1BlTVY5TXQ4VGVQdzFoWXU4VU51K29oVEk3dm1YUmJmRmd6M2ZiVUhWWktZeG5aQ1BrVHh3NGRUODZDT3MveHRJNXJhUzVhblR5WU1DeERvZ2hFY1huNXlQM0ZBTWtNZ0dDVEFLSlhJQkVJWUVZRURIVk9nMTlvelpoVjRWRVpHclpnbDJQUXQ1Z3d1V3BodklzT0NzWEUzdW1NUHJtUk93SDhCeXFQR1YwNk03NUp2Wk9vZTJuUGRBM2FsQjJVU0VPM0g0RUhUL3ZSZTFYeWhQV2QzNWRjcmJxRUpnT2hCTm1FNGdNQ3dvQWZZOFBwL1dodlJZSWdxQjFPQnd2Mld5Mi93WWd0clcxYlRlWlREdUtpNHQvS1pQSmNnVkJTRHp1Nmh3akl5TS9IQndjL0ZGV1Z0YVpQVDA5M3dSZ1RmZjRicmY3elk2T2ptMjV1Ym5mdEZnc2R4ekxPVFEzTnhmNmZMNnhRNGNPSGQranlpWGdISENqOVo0dXFQS1ZLUDlzRVFLdUlFTGVFRUsrRUlLUkNlazhRUmcyYXpHMnk0NmhGMGRROUtIa3Mzc3Y1b3M0NUF0Rmd4ZTN4UXZYa0J2R00zT1F2Vm1Mek9JTXpQUzRzTytXZHBSY1VBQ3BVaEt0cTk4WnhLYWJhakQ0ckEzZHZ4dkFUTGNURlY4b2lSbHlWeUlUSU5lRVAwT0dYeHBGM21uWk1UZFl5bXc1dHQ3WkFGbW1GRWQrMlllUVA0VEtTMHZROXRNZUdMWm9vUzdKZ08zVmlmQ000UE11VjJXT0FwdHVyTUZVNnd4VWVlSFBocGsrRjRMdUlKVFpDbFIrb1FUdEQvWkNYNitKQmtvUkFWY3c1c2xySWdGWDRzOHJXbHFyNlRxY0t6TDZtWFhuR1BxZnRFQ2hsV1A0YnlPWTdneTNrcy9QS1ZLWFpxRDUxdnE0L1NUTFBRSlM1eC9OdjRaenR1cFJmM1VsV3UvdFF2L1RWcFIvdGlqbSt5ZVI4VDFUNkgxc0NBRGc3SFZoMzMrMUp5eDN5bytiVVA3WjhQczk1QmV4NytZMkZIN0lHRGVuVG9UdG4yUFFOMnJocy9zQmhMOHZ5ejlUQ0VkSGVBanBUZCt0aVNrZjlJYlE5dE1lWkJhcW9wT0d2bkg1M29UNzNuNTNZOHhuMjhnYmRndzhiY0dtbTJxaW55VzBkdkIvZEoxUTVTcVJWWjRadDl4dDhhRDl3VjQwWFY4Tm5UWittTXRFR3I5VEZUZmI3M3oyL1E1MC9pWit5TTZ4dCt3Smw4ODE4dG9FUmw2YlNMZ3VNdGIrZkphWFI5SDk2Q0IwOVJyVWY2TUNFb1VFRzYrdXdLRWZkZUh3UFYybysxcEZYSmVMOGQyVENidU5qYzArelkyby9ZOE5BQkR0Qng3MEJHRS9NSDNNclRBbm0rbnA2V2VucDZmL2lkazJNcS9YMjk3YjIvdHZjNHBJQUNnQnlHZC9Ja1FjYlZlYkFlRHY2ZW41N0xIVXdlUHg5QXdPRGw1OUxOc0NnQ0FJVnlpVnltODBOemMvSXdqQ0UxcXQ5cVdkTzNlbTJjZGg2ZmltL05pN293MWlRQVRneDF0ZjNaZXduRVFtaEZzYXMyVG8rL01RREUzYXVFa0NzN2ZvMEhSOWRkSmplV3hlT0xxYzRUa21aQUtDM2hDcy94eUhjamJYb2VEOXVTaDQvOUZjaVlBemlQWUhlcURNa2FQb1EwWU12emlDM2o4UFE1WWx4YVliYTZBdXpVRDlOOVhvZm5RUWxwZEhNWGxvR3BXWGxpQm5xejdtdUZPdDA1anBjYUgycXh2Q0R6YmtFa3pzbm9TK01mejU0dXh6d1g3QWdlTHo4NUd6VlkvYXI1UkRYWndCMnl2ajhJNzdvbldTYTJTQUFOaGVHWWUyV2cwZ25JL2h0bmd3MCt2Q1RMY0xwdG1XbHJ6VHN6SDZsaDNPQVhkY3dMSC8xbzZGL2x2b0JGa3QxMkV5STY5UElQKzlPWEFPdU5IN3B5SFVYRkVHNDVsSGI4U2RBMjdzM2RFV3ZaRk9KTkhRemNtR2RIWmJQSEV0TEx1dk80enl6eFFpWjZzZW03NVhDM1ZKQmdTcEVOMDJNQlBBTzk4NmlPMzNORUtXZGZRV1R0Rnp0TXVUcGxLTjAzOGRucWYxamN2M291cUxwVEMrTnhzQVpsdnZ3eC9URXkxVENBVkU1TDgzSjJHZWs5dnFEYmN5aXVIdnk0anQ5emFoN3VzVjJMZWpEUk43SFpBcWozNjM5djU1Q0VGM0VKdDIxRUtpQ0MvZk50dlRZZnh0TzNvZUc0cStWdVlvWWg0dUJHWUNVQmprME5Zc1grNGFyUndHSE90SXFtRXlrMDIybGVoRGN0OS90UU9TQmJwVUJVS1FaaVIvOEQzL2ljNU1qd3VlTVI5eXR1b2dKTmozVk90MHdqb0dYRUYwL1hZQW8yOU9JUDk5T2FpNnJEVGFtcUdyMTZEcCttb2N2cnNMKzI1cFE4MlY1VEZCVi81N2M2RFF5dUFaOFVWdlhDSjYvakNJckFvMThrNHpZUFF0ZTh3NjJ5dmpDSHFDS0xtd0lPWGZZSTJaVHJFdUJNQTkrN09hR1FSQnVCVEFwUTZIWTlwc05qOG5pdUlUd1dEdytmMzc5NmVmOEhNY0ZEbzVTaTh3SWVnTlFwV3JoQ3hMR3A2Y1RuMjBHNk0wUXhwOUQwZG16ZTU3ZkJqMTM2eUkzWmRlSHBQL01GL0FGVVRIZzcweHl5UUtDYW92TDAxWTNtM3pJT0FPWWVNM0srQWE4cURuc1NGa2I5R2g2a3VsMGFlTmdsUkE1YVVsME5WbG9mZng0WVR6VmVqcU5XaSt0VDdhRWxGeVFRRjYvenlFME8vRHNhY2dFNkN0eVlvK1VjMDkxUUFBVUJtVktQdDBZYlNMaGl4TGh0SlBtTkQ5NkNDQ250Z1dDSWxDQW4yVEZxVVhITDBHNjYrdWlQbnNrS29reURDcFVIdGxPWlI1cVdjdTk0NzYwUDd6WHVhQm5CZ3JmaDBtNHJGNTRlaVlRZm1uQzNINDNpNW9xck9ncmRNYzdTWWxBaDAvNzRXNktBTjU3OG1HWjh3SHBVRWUxM3Flckl0anVsMGYzUlpQdE1VdDBVTkNVUXkzSW9pcHhqa1FFTk10R0pKNXIyZU52VzFIWm5GRzBrRVZCcDZ4SXYrOU9Vbm10UW0zV0NyMGN0ajNPNkpMU3k4MG9laUR4bkF1MXF4SWp3WFo3T2RJNUxVWUV1R3hIczMxbU81eElxTkFGWmZ2b3N4UlJJTVhPbmt4NEZoSEVqWEpla1o5T0hSWEoycXVLSWVtTXY3RFRaVVgzNUt4K1h1MXg5ekNrVXp2bjRmZ0dmVWhaOTdUeVZUR2R0blIvWWRCQkYxQlZGOWVodngvaVc4UzFsU3FzWGxITGRwKzFvTjl0N1NqOER3amlqK2FINzJCa2lnazZIcDBBREtOREhtbmhXOThKdlpNWWVpRkVUVCtaMVhjL3NTUWlPRVhSNUN6VlE5TmhUcnR1dEtxb3dGd3NTQUlGOHRrTXJmWmJINEJ3Qk9DSUR5N2UvZnVaZTByVjNKQitvR3F3aURIeG05VklHdEQvTFc1RUhWWkJyYmYyeGdlTEVJTXAxM0pkZktrT1UyYUNqVzIzZFVRZlZxNTlZY04wYUJodnR4VERjZzl4UkI5T2xuemxmS1k0R2R1YTB6Snh3dFE4dkdGejFtL1VRUDl4dGhXMXRJTFRTaTkwTFRndGdEaUhsUm9hN0lXN0lZU0lkZkkwaTVMUzJyRnJzUDVyUDhjaDM2akJrRlBDTW9jQlp6OTdxUmRwTjY5OWhDQXhBL2tHcStyanZ0K2ZQZWFnd21YZTJ6ZWxGMnRmQW02SHdkbXdzR0kzeEdJSnJkTGxRdjJhbzBUZEFjeDNqS1Y5TUZaMEJ2QytPNUoxSCt6SWlZQVVPWXE0QjN6SlF5ZzVrL2ttV3lpenVpNU9JTUo5ek4vMmFhYmF0anFzUVl3NEZoSFVsMzR5aHg1MHZWN2JteUZaeVQ4RkVLUUNHaTVzWFdobkhHSVlqaHgvTTB2aC90dTFuMjlBb1pOV3VTZmxSTnQybzF3SEpuQjVLRnAxRnlST05jQ0FIUjFHcHorNnkyUXlDUndISEdpOTdFaE9JN01RTitnUWRWbHBWQVprd2RBS3FNU203OVhpLzRuTFJoOHpnYnJ5NlBZOEcvRktEZzdGN3A2RFFyUE5XS3FkUnA1cHhuZ24vTGp5Sy83WURvM0QvckcrQzVUWTI5UHdqdmhSOE4zaWhJY2lVNVNHUUErQWVBVG9pajZtcHViL3c3Z0NibGMvdlRiYjc4OXZzSjFpNW1mWXpFRWlaQXdvVE9WdVYwamtnVWJSdzl3OUZmajZkbkp5eEdsWjBXdnc2bkQwOURXcUdIWXBJVytRYk5nbnVMOEhnTmlVRVRUOWRWSmgyZE9SSm1qUU5QMTFVbUhaSC83NjhuSDFXaTUvdWhOZWVrblRESEJqRy9LSDdOdDUwUDk2SHlvSHhLWmdOTWZDZzkwWXYzbk9NU2dpS0huYkZEbEtDRElCT1NZOWRIcldxcVVvUGJLY2h5OFBUWWcybkpMWGJRbE1GV1F2cGpCTERaZVV4a2RGVzh1ajgyTGQ3OXpLTzM5ME9yR2dHTzlpQ2FLeGpaVmVrYkR6Y1hlY1gvY3VrZ0EwbnhiZkhMY3NRZzRnL0E3NHAvWTlQMWxHQXFESEZrYk10TWFPakF3SFlCdnlvKzZyMjJBNDRneityUXBIZHZ1YkVEdlg0YWhyY21LKzhLWU8xcUc1YVZSV0Y0YUJRQlVmZkZvRnhTL3d3K0l3RlRiOUlLVGlTMEZzOW5NQ1FKT0xJVWdDQjhCOEpGQUlQQnJzOW44ZDFFVW4xQW9GRS91MnJYTHR0S1ZvOVdQMSt5U09PSFhZZG1uQzNIb1I1MHdmZEFJVmE0QzcxNTdLUHFnTFIxdWl5ZHAxMlFnZGRKNHN0ekUweDdjSFBOYURJbzRlTWNST1B2ZDJIWlhRelNIUXlJWFluSVA1N2JZN2I3dU1Nb3VLa1R1S2ZybzZKSmlTSVRsYnlNd25wRU42ODR4dUN3ZUREMW5ROG1GSmhSL05EKzZuMnl6RG1jK1lvN0xRWWw4VHk4MHY4MWkrYWI4MlAvOUR0UmNXUjdOMjZLMWd3SEhHaGRwY28xME4wajIxS0hqRjcxeHkrYm5XVVFTM09ZbXFnSGhSQzlacGpRMnJ5TWtJdUFLeHV4ajVMVnhkUDgrK2JRTGM1L1lwSExtSStid1VLSkN1T1hEOVA3WVNjSnNyNHhqOERsYndxY3ZxbndsNnI0V1RnSlB0d3ZGM1BISEN6OW9CRVNnOCtGK0tMTVZNR3hhSDRuajY1VW9pcUlnQ0x5QkpGcEJKK0k2MURkb29LbFF3L0szRVd6NHQySnN1YVV1K3YyWnlQenVRMER5b2RLVEpZMEQ0V0hyazVrN0Nod1FucXNxRWdSRmhxOVBSSkFJTWNlUzYyUXhyMGRlbllCbjNJZkM4NHl3N2h5RE1rZUI4czhVb2ZzUGc5QTNhQkxtamlTUzl0d2lhUktEZ0dmRXV5cm1INkdseDRCampRdjV3eCtZRXNYUllLRDZ5MlhSaEUweEpNSS9IWUE4NitoUXQ3Wlh4MU5PK25mYS9adGlYcjkyU1FzMjc2aU4rVUJMTlBwRzRYbEdGSjUzZEFpOGdET0EzZjk1R0liTk90UmNFWitVTnZDMEJRTlBXN0g5eDAzeFErVE5ubzVjSzRzYnpqZFNkcUduTCtrK25abnBpODJGTGp6UENFZW5FMTJQREdEYm5RM0xPaHRzUzBzTDU1cGRBbWF6K1dZQU85SW82Z1B3RW9BblpETFpNNnVoU3hXZFhIak5KcmZhcjhQc0xWcU12RDZCRFdMa08zUHgvNVhKNXVKSU5ROUhPcXc3eHpEMGdnMDFYeTVQK0lBd1hVRlBFTDJQRHlQdk5FTk1ycFhwQTNrWWUzY1M3US8wb3ZuN2RaQW9KREVCUmFRM0JBQ0lzL0hBc2M0QlJPc1RBNDQxTGpnNzJrV3lKeUhlQ1QvZXZlWWdtbTZzZ2E0MnZhU3NSQjh5aCs3cWhDQTcrbUVxQmhaK1F0SHoyQkRFb0lnTkY4Zm5RL2luQXhoNmNSVEdNM09XZFR6dVZDTjNBY25uT0NqK2NENzIzdHlHbVY3WE1TWDAwcXJpQnZDOElBaFB5R1N5WjNmdDJ1VlljQXNpV21vcmZoMHFzaFh3VGZwaFArREFvYnM2RjcyOUdCS1RKcHFuNmxLMWtQRjNKOUgxbXdHVWZLd0FoczJMYjFVUGVrS1kyRHNGdDlVTC82UWZBV2NBWlo4c2pDMGtBTldYbDZMbCtsYjAvbVVZRlo4cmp2bXVuL3YzaUF6SG5Xb09vSVcrV3hPSnRHeWtNMWt2blh3WWNLeHhYbnY0cVVTeVJEWnhkZ1pReVFJSmNuUE43NHIwMmlVdGFMaTJhc0VXanJsOGsvN29HT0Q5VDF0UWVLNHhtaE1oaGtSMC9Md1hBRkI2VWVvUmFsSjlxQ1ZhcHpJcXNlMnVocGhsRGRkV3hTWElSa2J2U2tZMVcxZXYzWStzRFNtclNLdlR0Q0FJejRaQ29TZUN3ZUFMS3prYzU4a2ljazNQdmNrUVF5TGUrZFpCYk41UkIyVjI3QkM5UVU4UVV0WGlSOCtoZFdWVlhJY3p2UzRFM0VHTXZ6TUpoVTRPL1VZTlRybXZLYnArNlBrUkdFL1BobHgzOUphcCs5SEJtUGUzd3FCQTFXV2xLRGc3dG91djQ4Z01SbDZkUU5tbkNoTk9ybXY5eDFqS1JQT1JOeVp3NUJkOXlEMVZqN0tMQ3VHZlNUMkpKUUJBREE4MVA3RXZQTkJYeng4R0ljakNnMGg0eDN3b1BqOC80VWlUS3FNU3hlZm5vLzhwQzNKUE1VU3Y5V1E1SE1kRkRPZDF6dVdkaU55dkpCL3VtMDVlRERqV09MZkZDd2lBeXBqNEE4MDNGZjd3U25lV2NRRFlsV0RralAyM2RzVGxjS1NpME11eC9aNUcyUDQ1anFFWGJMRDhmUlE1elRxWVBtaUVkWFpTc1kzWFZNYU01WjFJb2p5TVZEa2NpVVlDVWVVcEZwMzg1ckdGKzlIS3MzaERkUkt4QTNnYXdCTmFyZmJ2cTJuQ3NaT1dHSjRyWkg1Zjk0QXpnSDIzdENQL3JGd1VmeVEveWNhMFRxMjY2M0RzblVtTXZ6c0pXYVlVbFplV3d2YnFPSEsyNmJIN080ZlFmR3M5SEIwem1ENHlnNlliYWlCSUJiZ0czWkJsU0dPR2dnNzVRdUh2S3pIOElLcnJOLzNZZUUwbE9oL3FoeGdVNFJuMXhuM1BCbHhCZU1kOWllZC9FWUdCWnl6bys2c0Z1ZHYwcUxtaVBPMGVYcU52MmRIK1FBOGtDZ2x5dHVxUnUxMFBUVTBXRHR6YUFaVlJrWEtZNnVMejh6SDY1Z1JjZys0RkU3Y1gwNG9oQnNYWjJjcUJ3M2Qzd2RFeGc1eHRzUk1vT3RwbUlGUExFZzdIVHljL0JoeHIzSFNYRXlxak12b2tScXFVeExSbVJDYnNHWDVwRkVVZk1vWW4ySkVLTWNOalJzaDFjbFI5c1RSbWRtSWcvS0d6NmFhYW1KdjJnQ3VJc1hrVDVzMG5VVWhnT2pjUEJlZmtZbXlYSGIxL0dvb093VmR3Vmk3MERRc1BCNW9vVUVnM2gyT3hodjdYaHVrZUY2UXFDU1lQVEVOaGtITXVqcE9FS0lxL2tFZ2t0KzNldlR0K21EUmFVa0ZQQ0lmdjdvSW9BZ1h2aTU4Ymg5YXYxWG9kbG43Q2hLckxTaUZUUzhQZlJYOGVRdTUyZlhnQ1BvbUF1cTlWWU85M1d6SGQ2VVRBRllRb0FoTjdwekR3akRVNnI0N3RsVEZZZDQ0anUxbUhrRGNZbnFFYjRSYjAxdnU2Y2VDMkRwanZDTTl0MC9YYkFYZ25mS2k4dEFTV2wwY1I5SVpROGJuaW1EcFovbThVZlU5WTRpYTBUWWVtV28yNnF6YkFzRVVYL1M0UHVJTFFiZFNnOE55OGxKUG9TZVFTYlBsK2ZjSjdBSWpBMkR2MjZJaGE2UXlMNjdQNzBYcGZONXg5Ym9UOG9XajM3dUtQRjBCYnJjYjR1NU1RcEFJQ3pnQXNMNDhpNUF1aC8wa0xpajZhRDBnRXlES2xDU2NEcHBNUEE0NjFiUFpEMGRCMHRNL25lMzY1SmZxNzdaVnhERDF2UTk1N0RKZzg2SURsNzZQSVBkV0E0by9reDVRRGdMZis0K2lJSEwyUEQ4Y2RhdDh0aVdjZjczMThHTldYbHlKbnF6NXVIUkR1a2pGMWVCcWpiOXJobmZCRFhaSUJpVndDNjg0eFRCNmVSdEdIamNoL2I4Nnl6akk2TnhrdTFUSzVYZzczc0FlaGdJaXNEWmtvdThnRWdYMU5Ud3A3OXV5SmY5TlNXdVkveFl5OGZzOHZ0a0FpajMzL0IxeEJITDZuQzU1Ukh6YmRWQk0zb2gydGI2djFPcFRJaE9pRHF1R1hScEYzV25aTWdyY3lPenlydGl4VGlpTy83RVBJSDBMbHBTVm8rMmtQREZ1MFVKZGt3UGJxQkl4blpNZTFRaWh6Rk5oMFl3Mm1XbWVpWFhkbitsd0l1b05RWml0UStZVVN0RC9ZQzMyOUJ0bHpKcjR0T0RzWE1uVjRRbG94Sk1JMTVJRlVLUWsvSkJRUUh4Q0VFRDIyS2xjUm5jMDdRcFlwVFRnNFN5SXgrNTV0dkJ4dm1jTG9tejF3OXJ1eCtlWmFBT2s5MUZQbzVWRG1LSkI3aWdHNitpeGtsV2JHL0kxT2UzQXpBak9CNkVPSzBvdE1HSHpHQ3Rzcll5aS91RGh1YUdBNmVmSGJZQTBiM3pNRjc1Z1B1YWNhb3NzOE5pOG05azNCOXNvNG5BTnVGSjFueElaL0RUOVpHZDg5aWY0bkxkanozVlprTit0UStuRVRzaXJDQ2RIelI2YWFLOUVvVmNtSUlSRnVxeGN6dlM1TUhacUdmYjhEdmlrL1ZFWWxLaTh0UWNIWnVSQWtBaVlQT3REL3BCVmR2eDFBLzE4dEtQeWdFYVlQNUVHbURqOGRlZU5MZXhBS3BPNjJsYXE1ZDI0LzlIU1RBNDJuWjNPQ00xcVhHdit6Q2dCdzhJZWQySFJUVGJnTDVUemVDUjhPLzZnTFBrY0FUZit2T3VWa25FU3IwVlRyTkdaNlhLajk2Z1pJNUFJa2Nna21kazlDM3hodWJYZjJ1V0EvNEVEeCtmbkkyYXBIN1ZmS29TN09nTzJWY1hqSGZkSFdmN2xHQmdqaGgzcVJia21xUEFYY0ZnOW1lbDJZNlhiQmRHNGVBQ0R2OUd5TXZtV0hjOEFkRTNBSUVnRjVwNFcvdXdWQndONGRiUWo1UWhBa0Fvck9NMEtRQ2dqNVE0QTRPMnY0N2ttb2NoWTMwV2M2Smx1bkFRQzlmeHFDcGtxTmpkZFVRcFlSMzVWWURJalJCM0RPZm5mMEhDQUFkVmNsU1hRVWdkRzNKdER6MkJCQ1BoRU4zNjZFcGtxTi9ET3kwZjNISWJUZjN3UGJLK09vK2xKcFhBQkZKeDhHSEd1WWJlY1lzc295b2Qrb1FlZkQvUmpmUFFtL0l3Q0pRb0xzWmgycUx5K0xHV0VwWjVzZU9WdjFHSDNManI0bmhySDM1alpzdkxvUzdRLzBwRHlPVkNuQjN1KzFwU3hUZFZrcDhrN1B4dkRmUnRIemgvQmNIREsxRk5sYmRNZzkxWURzemJxWXB4NzZSaTMwalZwTUhwcEczeFBENkh0aUdCS0ZnS0lQaC91RE4vOWdZM2c2OHlXUWFIejBoWkxlaWRZVDVad2JHV1Z1ZkNBUm1BbmcwSjJka0NvbDJIUmp6UW1aRkpOb3FlbnFOV2krdFQ3YUVsRnlRUUY2L3p5RTBPOW41N09TQ2REV1pFV0hsWTg4ekZNWmxTajdkQ0dVMmVIdFpGa3lsSDdDaE81SEJ4SDB4Q1pHU3hRUzZKdTBLTDNnYUI1Ri9kVVZxYnNOQ2NEcHY5b0NNU2dDUXZoR3Z1TVh2Umg1YlNKYVJLcVNvdnJMNmJWZ0xJWkNKMGVHU1lYeXp4UkdleW9rU2hydmVuUUExbitNUVNLWGhQTlpESElvVXdRSkk2OU5vUDhwQ3p3alhtUnYwYUh5MHBMbzU0eGNKMGZ0VjhxUnUxMlB6b2Y2c2YrV2RteTd1d0dTNHhoV21GWWVBNDQxclByeVVuZ253MTFsYzdmcm9kRExvYWxTUTFlYmxieUxrZ0RrdmNlQTNGUDBHSGw5QW9iTjJyanVWY2ZEOUlFOFNKVVNhQ3JWVUpka0xKZ0VwMi9RUU45UWk4bUREdWpxaitaMExOVU56Ylk3R3hKK0tLcU1TbXk3dXpGYWgwMDMxU3pKOFlqV0lsbVdEQ1VYbXBCM3FtRlJBMUFRcmJTYXI1VEhKSC9Qblp1aTVPTUZLUk9zSS9RYk5kQnZqTTA1TEwzUWhOSUxVNCt5R0RFMzJFZzExT3pjUEk3S1MwcFI5cW1pOEFBdFFqZ3dPSll1dnFtT0I0VC9IbHR2M3hqelhSMEpxT1l5blpPSHJMSk1oQUlpQkFtUXZVV1hNdTlFWlZSQVU2bEc3VmZLb2FsS25BdVpzMVVQVGFVYXpqNFhnNDAxZ044TWE1aGNKNGQ4ZHBTblNJdEJ1Z1NwZ1B4bFNQaVV5SVM0WVFQVHNaaTZMMGFpb1FHQjhQbEhtbkRsR2hua212VG1LQ0ZhTDl4V1QvUW13R1B6d3RDb1FjQVpRTUFaTzJ5bk1rZXhyRGxZUk1malpPMG1LMVZKRW85dXRSem14UTF5VFh6QW9TN0pDRDlFVEpPMkpndmFtb1cvVnhWNk9SUjYzWUxsYVBWandFRkVSSXMydHh0bHFrbk5OdDFVazlhTkJSRVJyVjBNT0lpSWFORWlvMVM5ZnRrZWJMdTdFVktsQkx1dTJvOHROOWRGQjVzZ0lpSUNBTFp6RXhIUmNaTnJaTkJVcW1IZE9iYlNWU0Vpb2xXR0FRY1JFYVhOTytvRkFBZ0p2ajBLM3A4TDI2dmpjQTI2VDNDdGlJaG9OV1BBUVVSRWFldjUweEEwbGVxRWllREcwN09SWVZLaDdXYzk0Vm1haVlpSXdJQ0RpSWhTMlB5OTJwaWhvemZkV0lQTk8ycmp5bmtuZkJoNHhvcWFLOHZnc1hseDZLNU8rS2NEY2VXSWlHajlZY0JCUkVSSmFhclVNV1BneDR5dFB6djM1dER6TnJSY2R4Z1RlNmVRVlphSm1xOXV3RXlQQzN1LzF3Wkh4OHdKcmpFUkVhMDJERGlJaU9pWVRMWk9Bd0NzTDQraDRKdzhOTjBRbmlBemQ3c2U5ZCtzZ0NBVElOZktVKzJDaUlqV0FRNkxTMFJFeDBRUXdoTnoxWDF0UTl4Y0c5bGJkREJzMHNiTW9reEVST3NUQXc0aUlscVFNbGVCTGJmVXhTelROMnF4OVljTlNXYzhackJCUkVRQXUxUVJFVkVhSkhJSnNqYkVUK2lYTE5nZ0lpS0s0RGNGRVJFUkVSRXRHd1ljUkVSRVJFUzBiSmpEc1lxOGRrbkxTbGVCaUJhQjF5elI2c0pya21oMVlndkhLaUNLNHM2VnJnT3RQbnhmckY3OHY2RkUrTDVZT2Z6YlV5SjhYeEJSSExQWkxKck5abkdsNjBGRVJMU2VtTTNtRzFlNkRyUzJzWVdEaUlpSWFKMXFibTdPQS9DOTJYK0psZ1VERGlJaUlxSjFTaENFQ3dFb05NMFhkZ0FBSUFCSlJFRlVKQkxKQlN0ZEYxcTdHSEFRRVJFUnJWOC9CNEJRS1BTTGxhNElyVjBNT0lpSWlJaldvYWFtSmdNQUFRQUVRUkMyYk5taVgrRXEwUnJGZ0lPSWlJaG9IWkxKWkIrYisxb1FoSThsSzB0MFBCaHdFQkVSRWExRGdpQmNOUGUxUkNLNUtGbFpvdVBCZ0lPSWlJaG9uVG5qakRNMEFNNmJ1MHdVeGZNYUdocXlWcWhLdElZeDRDQWlJaUphWjl4dTkwY0FLT2N0VmltVnlvK3NSSDFvYldQQVFVUkVSTFQrSk9zK3hXNVZ0T1FZY0JBUkVSR3RJKzk1ejNzeUFDUnJ5ZmpvN0hxaUpjT0FnNGlJaUdnZDhmbDg1d0ZRSjFtdGRydmRIenlSOWFHMWp3RUhFUkVSMFRvaWltTEtibE1jcllxV21teWxLMEMwM0RadDJyUkJLcFYrVVJDRTVwYVdsbyt2ZEgzV01yUFovSXdvaW51Q3dlQnY5dS9mMzdQUzlTRWlvbGdORFEwS0FBdk50L0h4aG9ZR3hhRkRoM3dub2s2MDlqSGdvRFZwNjlhdG1hSW9maExBbHdDY0hWbStaY3VXTFh2Mzd0MjdjalZidTdaczJiSUZ3TWNFUWZpWVRDYjdudGxzL2o4QUR3dUM4TmZkdTNlN1ZycCtSRVFFS0JTS2N3RG9GaWltbXkzMy9BbW9FcTBEN0ZKRmE0bXdiZHUyVTh4bTg0T2lLRm9BL0E3aFlNTXJpdUlmUkZFOGQrL2V2ZnRYdUk1cjF0NjllL2VMb25pdUlBaC9CT0FGOEg0QXZ4TkYwV0kybXgvY3RtM2JLUUNFbGEwbEVkSDZKZ2pDcDlNczk2bmxyZ3V0SC96eXAxWERiRGFMQU5EUzByS285K1dwcDU2YUh3Z0VQaStLNHBjQWJKeXo2bDFCRUI3eStYeVBIVGh3d0w2VWRWMEdLb1J2MHNYajJZbENvZGpvOC9rT0oxdWZtWm01MWVWeTdWNWdOd0tBTEFEVHgxcVBwcVltZzBLaHVIajIvMlJiZE1lQ2NDZ1VDajBVREFZZjNiOS8vOGl4N3ArSWlKYUcyV3krR2NBT0FMZTB0TFRjdkxLMW9iV0tYYXJvcEdZMm14LzArLzJYNCtoN2VRekE3d1JCZUhqMzd0MEhGcnUvZ29LQzd4cU54bTlhcmRiYlIwWkc3bHFndUZ5bFVoVXQ5aGdBNFBGNGV1ZStOcHZON29NSEQ5YjdmTDYyWTlrZkFHUm1abTZ2cTZ2Yk5UUTA5RzJielhiUC9QWFoyZG1mTFM4dmY2eW5wK2Z6ZHJ2OTk4bjJVMXBhK29CU3FhdzZjdVRJQithdFVpZ1Vpb3I1NWFWUzZZemI3UjZjdTJ3MndIc0F3QU5tczNrVGdNc0FmRUVVeFFaQkVINGtrOG51TUp2TnYyNXBhZm5LTVowc0VSRVJuVFFZY05ESjdzclpmNThEOEpEWDYzMzJXSlBjREFiRHhZV0ZoYmM0SEk0WEN3c0xkOHpNekx6c2NybjJKQ3V2VUNncU4yN2MySG9zeDFxb0ZVZWhVTlExTmphbTNQZjhBTVhsY3IwelBEeDhYVkZSMGQwU2lTVFRZckhjTnFlNHNiaTQrRDZIdy9HaTNXNy9ZNnI5Mm15MnUrcnE2bHJVYXZVV3A5TVp6WGRSS0JRVmllcmtjRGhlN096cy9GQ3kvYlcwdE93SDhLMkdob2JyRkFyRnh3UkJ1QXpBUnhIK3YyUEFRVVJFdE1ZeDRLQTFvYVdsNWZ6ajJWNm4wMTFVWGw3KzIrSGg0UjFXcS9YN0d6WnNlTFNxcXVyRnJxNnVEODY5NlU1eTdMUW5TRktyMVRXMXRiWDcwaTEvK1BEaERZbVdiOXk0TWVFSVVGYXI5VTZwVktxWFNxWEd1Y3NyS2lwK0ZRd0c3WjJkblJjRENNM2ZMdEtkYmE3YTJ0cG9zT1gxZXR1UEhEbHlJUkFiTE5YVzF1NzBlcjFKdTNETk5Sc0lQZ0hnaVVUSEl5SWlvcldKQVFldGU3bTV1VmVVbEpUY2I3UFpick5hcmQ4SGdKNmVuaTlWVkZROFhsVlY5VXBmWDkrbGs1T1RUNmJZaFNmZFkvbjkvbWpyUzJabTVyYTZ1cnAzSXEvbnRoNGNQSGl3SG9qdmVwVk1vaHQ0bzlINGpRVGxvcmtzVHFmem4rM3Q3V2NCUUd0cmE0bFNxZHdlQ0FRbWc4SGdrVWdaclZiN2FiZmIzZUZ3T041VktCU0d1ZnRTS0JUMWFyWDZYd1lIQitPT1EwUkVSQlRCZ0lQV3M2enk4dktmR1F5R3p3ME5EWDE5WkdUa2dUbnJmTjNkM1o4c0xTMjl2NktpNHEvajQrTy83dXZydXc3QWVLSWRwZlBFM3VGd3ZOamYzMzkxNUxYTDVkclgydHBhQXFDa3ZyNytqWTZPanJPQ3dXQlhwRzZMT1pGSWdESmZZMk5qNi9EdzhNMFRFeE4vbXI5T0twVkdoNnAxdTkyREpwUHB4eEtKSkt1enMvTzhTSkhLeXNxcjdYYjc0dzZINHprQU1RRkhmbjcrVlM2WGE1ZlQ2ZVRJWDBSRVJKUVVBdzVhbHd3R3c4Y0tDd3Z2a1VxbHVyNit2aSs3WEs1L3FGU3E4dm5sUmtaR2ZoQUlCSWFOUnVPMzlYcjlSVGFiN1Y2cjFYby9nTkc1NVpMZDhNOGxsVXBuRUJ0SStOMXU5MkJPVHM3N0FjRG44OWw4UHQ4Z0VNN2hBTklMWkdhM1RaUnNMZ0JBSUJDd3BwT01iclBaYnFtdHJkMm4xV28vN0hBNG5qY1lEQmZMWkxMY29hR2hPeE1VMStmazVIeHhZR0RnUDlLcEh4RVJFYTFmRERobzNTa3VMcjdUYURSZU96azUrWlRWYXIxdGJyZW1aQTRlUEZoZlhGeThvN0N3Y0lkQ29Tam83Ky8vNnR6MTZZNHVGUWtrNXZyLzdOMTNmRjEzZmYveDk3bGJXMWQ3eTVJdGJ6djJ6WUNRbEpKU1ppbVUwa0VLQkFLRkVGWlRDcVFCV2tKSktTbUZNdE8waklUOENGQktnSVpSUmdrcDJkaSszbHVXckdWdFhjMDdkTWY1L1NIcFd1TnEyTmJ4bGFYWDgvSHd3N3JuZk04NW42dkllZHkzdmlzdkwrL1ZrdVQxZWw4Mk1qS1NFd3dHay9YNC9mN3lWUGZ4K1h5ZFMzamMxRnlMeFVKTGJrWkdSbTRpa1JnSUJBTC9aYlBaWEJrWkdWWGw1ZVVmSGhnWStHWkdSb1pEVWxVOEhrOWVVRnBhK3M1RUloSHE3KytmMDNNQ0FBQXdIWUVEYTA1L2YvL25SMGRIbnhnY0hIeFVXdktrNzNCVFU5UE5XVmxaOTQ2TmpUV21hckJRYjhRQ1M5NW1aMlZsdlVDU0Nnb0svcktzck96anAwNmRlbms4SGgrY1BOKzFXR0dwUXN6a2NZY2tPWjNPa3ZuYTJPMzIwZno4L0hlV2w1ZC9aT3FZMSt0TmJncmw4WGkyRmhVVnZXUHFQVXdkSHg4ZmI3ZlpiRmtsSlNYdjZlbnArY3hpTlFJQWdMV0x3SUUxSnhRS3RjL2FOMkxKazc0WFc3R3FzYkh4bGVGd2VNWUtVZ3N0YjF0U1VuTEw2T2pvWTE2djl3MHRMUzIzMXRUVS9OdkdqUnQvMXRiVzl2YWwxclRZOHJubDVlV2ZLQzh2LzBTcWMwTkRRejg1YytiTXF6bzdPeis2MkhPbWg1WkFJUEROYURUYXVuNzkrcCtIUXFHVEl5TWpQMTVxdlFBQVlHMGhjR0ROOFhnODYrWmJWbllwamgwN1ZqZmY2bEhoY0xqNUFqYnZzeGNYRjkvUjF0YjJYcS9YKzRaWUxEWjY0c1NKVjlmVzF2N3p0UHVYTFhhVCtmYjBLQ2twK1VCVlZkV25JNUZJNDlHalI3ZEtpczUzajhYMi9VajFqTkhSMGQ5MGQzZi9VMFZGeGQrZFBIbVN3QUVBQUZJaWNHRE5DWWZESGJNbmVUdWRUbGRkWGQyUFk3RllUMU5UMDV1MHdMeUg4Zkh4anVXb0l6YzM5NldTRXNQRHc3K1lkcml6cGFYbFRkTW1qUzlscmtZcVdhV2xwWDhkQ0FTK201dWIrNUtLaW9xUG5qdDM3bU9MWFRTNWFsYVMzVzVmdjNIanhzZm5hejgwTlBTejh2THlSWHRIQUFEQTJrWGd3Rm9VbmQwTFVWSlM4bm1ielpaNTl1elpQeGtmSHo4clNZV0ZoVzh4RE1QUjE5ZjMxYVhlZUxIaFRkTU5EdzgvMWRIUmNaY1dDRGZ6OVY0c3NucVZVVnRiZTcvZGJzL3Y3T3o4ME1qSXlFdHJhbXJ1RDRWQ3h3T0J3SGNXcW1uV1VETzVYSzRGbCtkMXU5MFZpVVJpZEtFMkFBQmdiU053WU0wckxDeThwYmk0K1BiVHAwKy9mUHBRS1lmRGtWZFpXZm12aG1Gazl2YjJmbUVwOTBvMWgwT1N4c2ZIbTFJMEgxNWtROEdMNGFxdHJiMi9zTER3RGMzTnpXOEtoOE10NFhENEsxbFpXZGZYMWRVOTdIYTdxN3U2dXY1Rmk2OWNOYSt5c3JJUFpXWm1QczgwelZCT1RzN0xCd2NIdjcrTTlRTUFnRldHd0lFMUxUOC8velUxTlRWZmJXbHB1WDEwZFBTeHljT0dwT3lSa1pIL0doZ1l1SzY2dXZyek5wdk42Tzd1L3Z4QzkvTDcvVjVKdzVJU3kxaGkwVkliWm1abVhsdFRVL1B2R1JrWjI4K2VQZnYyUUNEdzhOUzVscGFXdnpSTk0xSlJVZkhQZVhsNWYzVHUzTGtQall5TVBEWDdIck5Ycy9KNFBIV3oyMFFpa2VOWldWazMyR3kydko2ZW5pOU1CaGdBQUlDVUNCeFlzMHBMUy8rMnNyTHlrNlpwUnN2THl6OVlXVm41Q2J2ZG5tT3oyYkkwYlErTFJDSXhWbGxaK2JsNFBCN3M2K3Y3eWdLM0hFeHh6SjJibTN0VExCYnJpOFZpd1lLQ2dqK014K01qUzYzUjUvUDFMdExFeU03T2ZsRnBhZWxmNWVYbHZUb2NEcDg4Y2VMRUMwT2gwTE96MmlWYVcxdHZIeGtaZWJLNnV2cHpEUTBOVHdhRHdiMTlmWDFmNit2cnUzK3EwVktHaEFVQ2dSOEZBb0VmTGZVOUFBQ0F0WTNBZ1RWcmVIajRzYXlzckIrSHcyRi9OQnJ0aThWaS9mRjRmR0R5NzhGSUpCTFFSSWhJMU5UVWZMMmtwT1N2K3ZyNnZpRnAvQUllTTE1VlZmVlp1OTN1TlF6REVZL0hoenM2T3Q2LzFJdjlmbjlPcXVNK24yOHF0SlRVMWRYOVAwbG1XMXZiKzNwN2UvOWpvZm9DZ2NERGdVRGd4MlZsWlhjVUZ4ZS9JeEtKdEV1UzNXNFBqbzZPUG5YcTFLa2JwN2ZQeU1pb3FhbXBlVWlTYkRiYmVDUVNPYlBVMmdFQUFJQVZ4ZWZ6bVl0TWhsNldheTZTUTVMWHFwdFBEbVZ5VFR2a3pzcksyalZmKzhsemJrbkt6TXlzME1YOThpRGxoUFRMNFRMK2R3TUFMTURuODkwOStmL2t1OU5kQzFZdmVqaUFwWWxKQ2xoMTh4UjdkMFFXMm1SdytybGdNSGp1SWgvTEIzNEFBR0E1VzdvTEFBQUFBTEI2RVRnQUFBQUFXSWJBQWF3TUJla3VBQUFBd0FvRURpRE5jbkp5YnR5MWExZXIxK3U5T2QyMUFBQUFMRGNtalFOcE5qSXk4bFIvZi8rRGRYVjEzM0s3M1J1N3Vybyt2blhyMWlNZWoyZmJRdGY1L2Y2MHJUSUZBQUN3VkFRT0lQM010cmEyOTBoU1BCNFBTRkpUVTlNZkpoSUpkNnJHSG8rbmJzT0dEVCs5bkFVQ0FBQmNMQUlIa0VadXQzdDlRMFBEcjQ0Y09iSnVLblJJVWpnY2JrNW5YUUFBQU11Rk9SeEFHcG1tNlhTNVhMWHByZ01BQU1BcUJBNEFBQUFBbGlGd0FBQUFBTEFNZ1FNQUFBQ0FaUWdjQUFBQUFDeEQ0QUFBQUFCZ0dRSUhBQUFBQU1zUU9BQUFBQUJZaG8zL2tCWTdkdXp3T2h5T3ExT2QyNzE3OSs5UGZ4Mkx4ZllkUG53NGNIa3FBd0FBd0hJaWNDQXRYQzVYd2pUTm4waHl6VDVuR01ZdnA3MGNkN2xjSll2ZGIvZnUzVCtSOVBYeDhmRWZIVDE2ZEh3WlMxMXhuRTZuVTVLWjdqb3UxSVlORzl3NU9UbC9LT25XZE5jQ0FBQXVId0lIMG1MZnZuMURQcC92RjVKZXRValRuKy9idDI5b2dmUC9MdWx0aG1HOFV0SXIzVzUzbjgvbis2YWtCL3grLzZIbHFqZmRDZ3NMM3hTTHhZS0dZY1M4WHU4YnhzZkgyOU5kMDFMNWZMNmRrdDRxNlkyU0NpY1B4eVI5TFcxRkFRQ0F5NGJBZ1hSNlJJc0VEc013SGxub3ZOL3ZmK2ZPblR2LzNtNjN2OUZtczczVk5NMXRrdTZRZElmUDU5dG5HTWJYeDhmSHYzMmxEOGtxTFMyOTArUHhiSk9rV0N6VzI5TFM4cTUwMTdTUUhUdDJlRjB1MTgybWFiNVZVbkxvbkdFWVIwM1QvRm9zRm52NDBLRkRQV2tzRVFBQVhDWkd1Z3ZBMm5YOTlkY1hSQ0tSYnMwZmZHUFJhTFRrQXNLQ3NXdlhybXZzZHZ0YlRkUDhDMG01azhjamhtRjgzekNNQi9idTNmc3JTWWxMclQxTmJKcjROeHRQZHlIenNGMXp6VFV2VGlRU2I1WDBXa251eWVQRGhtRjhLeDZQZi8zQWdRTjdkUVVPQndPQTFjcm44OTB0NldPU1B1NzMrKzlPYnpWWXJWaWxDbW56ekRQUERKaW0rZXNGbWp4MmdUMFQ1b0VEQi9iczI3ZnZkc013eWpVeGhPY3hTVzdUTkc5T0pCSy8yTFZyMTg1TEtqcTlFbHE1WVVPN2R1M2FtVWdrZmlIcDlab0lHNytTOUViRE1NcjM3ZHQzKzRFREIvYUlzQUVBd0pyRGtDcWsxZVNRcVpmTWMzckI0VlFMMmJkdlgxRFN3NUllM3Jselo1M0Q0WGl6cE4wSERodzRjTEgzeE1JT0hEaHd3T2Z6UFNwcGZ5d1crOGFoUTRlYTAxMFRBQUJJUHdJSDBzcnBkUDR3R28zK20rWU83MHZFWXJFZkxzY3pKai80M3IwYzk4TEMvSDcvYTlKZEF3QUFXRmtZVW9XMGV1NjU1N29sUFpIaTFCTk1LZ1lBQUxqeUVUaVFkcWxXb2pKTjg2S0hVd0VBQUdEbElIQWc3YUxSNlBkbkgwc2tFbk9PQVFBQTRNcEQ0RURhSFRwMHFGM1NjOU1PUFh2dzRNR09kTlVEQUFDQTVVUGd3RXFSSEVLMTJHWi9BQUFBdUhJUU9MQWkyTzMyWk1pSVJxTUVEZ0FBZ0ZXQ3dJRVZZYytlUFUyR1lSeVF0Si85R3dBQUFGWVA5dUhBaW1HYTV2ZkVUdFFBQUFDckNvRURLNFpoR0k4WWhrSGdBQUFBV0VVSUhDdkE3dDI3bnpNTTQ3cDAxNUZ1cG1uS05FMzVmTDUwbDdJaW1LYjUrUDc5KzI5S2R4MEFBQUNYZ2prY0t3QmhBNmtZaHZHaWROY0FBQUJ3cWVqaFdFRnVmSWpmN0dQQ2s3ZjQwMTBDQUFEQXNxQ0hBd0FBQUlCbENCd0FBQUFBTEVQZ0FBQUFBR0FaQWdjQUFBQUF5eEE0QUFBQUFGaUd3QUVBQUFEQU1nUU9BQUFBQUpZaGNBQUFBQUN3RElFREFBQUFnR1VJSEFBQUFBQXNRK0FBQUFBQVlCa0NCd0FBQUFETEVEZ0FBQUFBV0liQUFRQUFBTUF5QkE1Z2lSTFJoR1F1dlgwOG5KQVp2NEFMQUFBQVZpRUN4eFVzMUJtZTg4ZE1USHpBSFRrenByM3ZQNkp3My9nbFBlUEpXL3dLZFlhWDFMYnIxMzJLRGtYblBkLzQ5VmFkdlA5c3NzWUxaY2JOUmY5TUZ6ZzByTDduQW92ZTk4bGIvR3I1M3JrRjIwUkhZbnI2YlFmVXYyOVE0WjdJa3I2dno3empnSHFlSGxpMEhRQUF3R3JtU0hjQnVIajc3ancyNTloMVg5d2hWNjVUVFErM3kxM3NscVFaSDQ1dGRrTXVyM1BPZFF0OWdJNE1SR1U0VTJkVFQ1RkxraFFiamFudFIxMXErZDQ1YmJ4dG5idzdjMmUwQzNhRTFmVi9mYXA1VGJrTW01SDZRYVlVNnBvLzNLUjZ2N05kODludHlacTZuK2hYLzU1QnlXYW82TnI4UmE5ZGlNMDE4ZjdOdUttbWg5czFmR3BNbTkrOVR2bmJjeGU1RWdBQVlHMGpjRnpocnI1M3F6TEtQZXA2dkUrdFAraVVLOWVwYzcvbzBVamptQ1JwNy91UHpHaWZWWk9oM2Zkc21YT2YyZTJtTzNMdjZYblAzZmlRVDVMa3lIWm85ejlzMW9uN3p1cm9aeHBWOStlVnFueGxhYkpkMDhQdHlxck9VUFZyeXBMSGhrK095bkFheXFuUGtpVEZJNGw1UThYVjkyNlZKRjN6NlcyU3BIRC91STU4NnJTdXZuZXJESnVoUk15VS82NloxMjY2YloyT2pqYnE1SDNOc3IyM1hnVyt2SG5meDJMc2s0RWpFVE8xOGJaMU9ubGZzNDUrNW95MnZuKzl2RHNtUWtmUDB3TTZkZi9aNVBjRUFBQUFCSTVWbytlcEFaWCtUcUhHMmtJNis1OGQydmlPV3BYY1dKZzhQOVlXMG9HUG5WandOLzFUNFdXNkoyL3hwendlNmd6UENRZU9iSWUyZldDOW1yL2RvYnpOT2NuanZjOE1hUGprcUs2NmU1TU0rL25lamZhZmRDdDRMaXpmSjdmSTVyTEo3ckVsUDZ6UGZ1N1VzQzVQcVh2R016MGxiaGwyWTJKK3hTeUd3OURtOTlicjBEK2NWTGovMG9hV3laQnNqb25uT0RMdDJ2clg2OVgxV0oveXQrUXNmaTBBQU1BYVJ1QllCY0xkRVEyZkd0VzZQNjNRc2MrZFVVNUR0bkkzNTV3ZkptVktwLzc5ckxJcU0xUjhmWUhDZmVOeWU1MHpQdnhMOHc5WldzcFFwbmdvTHB2TEpzTnVxUDROVmNuamtZRnhuWG1vWGZWdnJGSldkY2FNYXhyZVhpdi9oNCtyK1Q4N3RQNU4xVXQ2cjFQQkl6SVpJRUpkRVJtMmlaNkhWQnlaZHUyK1o0c014enpEdUM2QXpXMVhZanloeU1DNGd1MWh4YU1KbmY1NnE0THRJVlg5UWVuaU53QUFBRmlEQ0J5clFOZi85U3QvYTQ3aTRZVGNoUzZOdFlibUhTSzE5d05ISmFYdXpkaCtaOE9jSG9TOTd6K1M4bmk0T3pKanFOV0pMemNyT2hMVHh0dldLYk5pNHI2eFlGekhQOThrNzFXNUtydXBLTm5Xakp1S1J4SXlZNmFxWDFXcXBtKzFxL2o1WHVVMlpDLzZYbWVIbjluRHFLYkV4dUpLeE03M2VqaXpIWE1DMWxLTXRnUTFmSEpVWTIwaEpTSnhOVDNjcnFadnRzdVo0MUJHaFVlWkZSNlYzRkNnck5wTWpUU05YZkQ5QVFBQVZqc0N4eW93ZEd4RXVSdXo1TjJacS94dE9ZdCtzSDd5RnYrTTEyYmMxSTY3R3VUeXVwYjhUSGVoU3p2dWFwQVpOMlhZRGEzNzgwb2QvOXdaSGZqN0UxcC9TN1ZLYmlqUXdidFBLTlFWVWFSL1hNKzk1NUFTNDZZUzBkUkx4Wjc1UnB0Mi9jUG0rU2VVVDVvYWNoWHVqbWp2QjQvcWhnZDJKNGRVUGYyMkE4bDJKKzlyVnVEd2NQTDE3bnUyS0tzbVk4NTduOUwyYUpmYUh1MmFjU3huZlpheTZ6TTFkR3hFbVJVZUpXS210dDZ4WGprTldYTG16UDJuUStBQUFBQ1lpOEN4Q3RUK2FZV09mcVpSNVM4dGthZklwYjBmT0twd1QyVEoxNGM2d3pyOFQvTlBERjlvMHJqdmsxdVVXWldock9vTVhYWDNaaDMvWEpPR1Q0NnE5SVdGS3JyT3Ewai91RHlsYmpsekhISm1PK1RJc3N1ZVlaZmRNL1czVGFIT3NBNSsvS1E2ZjltcmpwLzNLREk1Rkd5cU44TlQ0dGEydjFtLzVQY2pTWnZmVnk4emJtcTBPVGlqL3FuSjU5UHR1L09ZeW42dlNKVXZLNWx4M09hMHlUMjU0bFZpUEtHK1BRZVVVZTQrSHpaTTZlaG56eWh2UzdhcVhzbVFLZ0FBZ0ZRSUhLdEEvclljNWRSbnFmTVhQYXI3aXlydCt2am1CZmU2ZU83ZGgrWWNNMnlHYm5odzk1emo4MDBhbDZTbjNySi94bXRuamtQYkozczlKS24yVHlxV1ZIL08raXhWdjdwTTNwMjVLdGlkSnpOdWF0K2R4N1R0QXh2a0tYYkpzQnZKZTg3dW9YanExdjJwYmltNzJ6Ymo3eW1wM29jME1lUnF2blBTeExLNGpreTdJZ1BSWkx1MlI3c1VPRGlra2hzS2x2UStBUUFBMWlJQ3h5cFJzQ3RYUFU4TnFNNlViQzVEMG9YUFY1aHZMNDZGOXVHWXpXWTNwR2tUdEplNmFXQ3FjT0lwZHMxWnBXcXFoeUxTUDY0ai85d28zejl0VFU0YTMvK1I0MHQ2MXNYS3FQQW8xQlZXL3JZYzllOGJWTXYzejZueTVTVXFmcjdYMHVjQ0FBQmN5UWdjcTRTcndLWHh3YWdDaDRkMTlGOGFML2g2TTJIT085RjhvU0ZWczUxNXFFM1IwWmcydjd0TzB0Sld1SkswNk40VkdlV2U1SHdOU2NtNUhobGw3dVN4NmVldGtGT2ZwZEd6UVEwZUdkYkpMemVyNkpwODFkMWN0ZmlGQUFBQWF4aUI0d28zZWphb1dDaXUvajJEY3VVNWxiODFSOWQ5Y1VmeWZNZi85S2prQlFWeTVwMy9UOTMwelhiWlBmYmthNWZYcFEyMzFzeFlTVXFTaGsrUHF1ZUpBZFgrU1lXY3VYTi9WTHArM1Rkbm92bkF3U0ZsMTh4Yy9uYStJVmxTNnYwODVtczMzZXhsY2FlNEMxM0pYY0dYbS9lcVhKMjhyMW05VHcwb2YzdXVOdDFlZHpFZFNRQUFBR3NLZ2VNSzE3ZG5VUDE3QitYSXRHdjltMnZVL1VTL0NxL0oxNzRQSHRYdWU3Wm8rTlNvUms2UGFzZUhOOHF3R3dxMmgrVElzTXVWNzB6ZUl6R2VrQ3ZQS1psU0pCRFZtUWRidGZYOTY5WDQ5VmFaY1ZQaDNzaWN3QkVMeGhYcEg1ZmRjLzdEL1ZoYlNKRys4U1hQM1ZpcWVIaitIY2huTDR1Ny9jNEc1VytiZnpPKzhhR29ScHVES3RoMTRidU8yOTAyeFlKeEZmcnl0Zms5ZGNuZWxLSGpJN0s1YkJPQmI0Rm5Bd0FBckVVRWppdGN6V3ZMdGVIV0dqbXk3T3A3THFDejMrMVEwYlg1aWdYamtzM1E1dmZVNjhEZkhkZEk0NWhpd2JoTVV4bzRNS1MyUjd0VS9ab3lTVkwzYi9yVTlYaS9DbmJuS1JHSmErREFrQ1JwMndjMjZQZ1htM1Q0SDAvSmQrODJlWXBkT3ZPTk5rVUd4clgremRYcS9GV3Y0cEZFY3FPL0FmK2dETHR4VVIvbVUybjdVWmVDYldHTkQwZm5ETG1hdlN6dVV2UTgyYSttaHp0VWRGMytCZFZveGt5MS9haExIVC90bGl2WHFYZ2tNZU9ablkvMWFlajRpSjczcFowRURnQUFnRmtJSEZjNG04TklMdE42N3BlOUtuNSt3WXdKM3U0Q3A2Nys5RFk1TXUwNi9aVVdKYUlKclg5enRVNThxVm5lWGJuS3FzNVE5eE1ERXlzdHpmcmM3aTUwYWVkSE5tcm8rS2c4eFJORHAwWmJnb3FING5JWHVMVCtUZFU2ZWY5WjVXL0pVWUV2VDczUEJwUzNKVWVPVFB1TSs4UkRpWWtBbEVJOGRINXp2dkdocU5wLzFLMytmWU9TcEo0bkI1UzlMbFBsdjFkODBkK2YrUGpFL1UvZTE2emd1YkRLWGxTa3V0ZFhMdm42M21jRGF2bXZEaVZpcHJiZjFhRFlhRnhILzZWUlhZLzNxZXhGRTBQUWd1MGg1VzdJbW5GZFl2SzVoc0dZS3dBQXNMWVJPRmFKb2VNakdtME9hdFB0ZGJJNURkbWNOZzNzRzFUKzlvbmZ1SSsxQkJVNFBLeXFWNVdxOE9wOGJYcm5PbVZWWmFqN04vMks5SStyN1BjbVBqdzdjeHlTSVhYL3BsKzVEUk1mb2ozRkxvVTZ3eG85RzlSb1UxRGxMNWtJQU1VdktGRHZzd0dOdFlYa0xuSXAyQkZXK2UvUERRY0g3ajZ4cFBkZ2M5clUrVml2Y3VxelZQbUtFaFZlNDVXN3dLbFFaM2pKY3pna0thUE1rd3hQZmM4RkpFMEVqOFdHVzZVeVBoaFZia08yNnQ5VUxVZldSSkNxZlYyNXpqellwdkZBVkxrTldRcDFSbFQrKzhVYUg0eXE5UWVkc252c3lYcmRoYzZGYmc4QUFMRHFFVGhXaWJ3dE9kcDl6NVprVDBUMWE4cDA5cnNkU2p3OHNYK0Y0VENVdXpGYnBiOVRLRWtxZXQ3RVVxNmVFcmRxLzdSQzdvS0o2eHpaRHRXOHRseE4zMnhYUER5elY4TG1zaWwvUjY1cUpvZGlTZEtXTytwbDJBeDEvcXBYTXFTQzNmbHphdHY1MFkzeWxMcFQxaDN1anVqUVBhY21ucDFwMS9PK3VEUDV3WDdLUXBQS1o4L2hrS1RyLzJOWGNtNko5Nm84SmFLbTFyK3BTdllNKzV5Mmk2bDhlY21jWTlXdktaZW54S1AySDAvc1RwNjdNVXNsTnhUSzVqUTBmR28wdWZ0NnhjdEtsTGVaSVZZQUFHQnRZN3pIQ3VEeitVeHA4YVZoWit0NWVrQ0Z1L011Nm9PMEZjSzk0OG5BTTZYbGUrZFU4YktTODd0enp4SWRpZW5jejN1V2ZhTDVoUmcrTlNwM29VdnVRdGZpalMrVHFRME8vWDQvLzBZQkFKYngrWHgzUy9xWXBJLzcvZjY3MDFzTlZpdDZPSzVnSlM5WVdUdGN6dzRiMHVLN2pUdHpIR2tORzVLVXV6RTdyYzhIQUFCWXphelpzQUFBQUFBQVJPQUFBQUFBWUNFQ0J3QUFBQURMRURnQUFBQUFXSWJBQVFBQUFNQXlCQTRBQUFBQWxpRndBQUFBQUxBTWdRTUFBQUNBWlFnY0FBQUFBQ3hENEFBQUFBQmdHUUlIQUFBQUFNc1FPQUFBQUFCWWhzQUJBQUFBd0RJRURnQUFBQUNXY2FTN0FKejM1QzMrZEpjQUFBQUFMQ3Q2T0ZZQTB6UWZUM2NOV0huNHVRQUFBS3NCUFJ3cndQNzkrMjlLZHcwcmdjL25NeVhKNy9jYjZhNEZBQUFBeTRNZ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eHBIdUFyQTJiZGl3d2UzMWVyM1RqOFhqY1VuU3RkZGVXemI5ZUNBUUNEUTJOa1l1WTNrQUFBQllKZ1FPcElYWDYvWEc0L0Z6a296WjUrTHhlT2UwbHdtdjExc3BxZXV5RlFjQUFJQmx3NUFxcE1XZVBYdTZKUDFtQ1UyZm1Hd0xBQUNBS3hDQkEybGptdVlqUzJqMlBjc0xBUUFBZ0dVSUhFaWJSQ0x4L2NYYXhPUHhIMXlPV2dBQUFHQU5BZ2ZTNXVEQmd4MlNubDJneVRPVGJRQUFBSENGSW5BZ3JRekRtSGRZMVVMbkFBQUFjR1VnY0NDdG90SG92S0VpR28wdU91UUtBQUFBS3h1QkEybDE2TkNoWmtuN1U1enlUNTREQUFEQUZZekFnWlVnVlM4SHc2a0FBQUJXQVFJSDBpN1ZYQTJielViZ0FBQUFXQVVJSEVpN2ZmdjJuWkIwYk9xMVlSaEg5KzdkZXpLTkpRRUFBR0NaRURpd0lremZCRENSU05DN0FRQUFzRW9RT0xCU0pFTUd5K0VDQUFDc0hnUU9yQWo3OSs4L0pPbU1wRWEvMzM4NDNmVUFBQUJ0Qmd3b0FBQWdBRWxFUVZSZ2VUalNYUUF3eVpUMGlHRVk1dVRYQUFBQVdBVUlIQ3ZBN3QyN256TU00N3AwMTdFU21LWXBuODkzWjdycldBbE0wM3g4Ly83OU42VzdEZ0FBZ0V2QmtLb1ZnTENCVkF6RGVGRzZhd0FBQUxoVTlIQ3NJRGMrNUV0M0NWZ2hucnpGbis0U0FBQUFsZ1U5SEFBQUFBQXNRK0FBQUFBQVlCa0NCd0FBQUFETEVEZ0FBQUFBV0liQUFRQUFBTUF5QkE0QUFBQUFsaUZ3QUFBQUFMQU1nUU1BQUFDQVpRZ2NBQUFBQUN4RDRBQUFBQUJnR1FJSEFBQUFBTXNRT0FBQUFBQlloc0FCQUFBQXdESUVEZ0FBQUFDV0lYQUFBQUFBc0F5QkF3QUFBSUJsQ0J4SXFmM0gzUXIzUkNaZW1OS0pMemFwNi9HK0pWMTc3dWM5T3Y2NU0wckV6SlRuZTU4SjZPaS9OQ29lU1N4NEh6TnVhdkRvaUdKajhXUWQ4WEJpU1grbUpHS21vaU94Qy9wakpsTFhEUUFBZ0F2blNIY0JXSG42bmd2bzdIYzc1QzV3eWxQaWxnekpzQnRxZjdSTEpUY1d5dVl3NXIxMnREbW81dTkwcVBJVkpZcU54V2Fjczd0dGttR28rVHZ0eXE3TlZEd2NWendjVDU2M09XeHlaTm1UcjN1ZkRlalV2NTlWeVkwRjJ2aU9kWW9Fb3RwengrRWx2WWNiSC9KTnZKZmZCblRxL3JNWDhPNGwzeWUzS0xNcTQ0S3VBUUFBUUdvRURzd3dQaFRWbVcrMnk3c2pWOFV2S0VnZXIvbmpDdm52T3FhMi8rNVU3ZXNxVWw0YjZSdlg4YzgzeVl5YmF2OXh0OXAvM0QzamZQbnZGMHVtTkI2SWFpQXdwTisrZDJaNHlOK1dvKzEzTmt5OE1LWDJIM2VwNmxWbDZ2eGxqOXFydWxYNThoSmQrN2tkeWZieFVGeit1NDVwODd2cmxOT1F2ZUQ3ZXQ2WGR5NzYza09kWVIyNjU5U2k3UUFBQUxCMEJBNGttWEZUSjc3WUxDVk1iWGhiell4ekdXVnVWZjlobWRvZTdWTGVwbXpsYjgrZGNYNnNMYVJqLzNwR3pueUhkdCt6V2UwLzdkSG8yYUEydjd0T2ppeTdSczhHRmVrYjE4bjd6MnJqYmV1VVhadWhFMTlxMXZhL2JaQXIzem1ubHU3ZjlDc2VpcXYyajh2bEtYR3A4WUZXWmEvTFZQN1duR1NiMGJOUlNWTGUxaHc1Y3hiK1VWN3N2Q1JGaCt5THRnRUFBTUNGWVE0SEpwaFM0OWRiTlh4NlZKdHVYeWQzZ1d0T2srclhsQ2wzVTdhT2Y2Rlp3NmRHWjV5TERzZFVjRldlZG41NG94elpEdFg4VVpuc0hwdUdUb3hJa3RvZTdWTHp0OXJsKzlSV2xkeFFvTXlxREJWZlg2Q1JwdUNjNThURzRqcjd2WE9xL3FOeXlaREtYbFNrL0swNU92bHZaeFhwRzFlb002eFFaMWpESjBmbHpIRW9OaHBMSGd0MWhsTyt2ZW5uNS9zVDdoMWZobThrQUFETGh0K0VZVldnaHdNVFllT0JWblUvMGEvMWI2cWUwM3N4eGJBYjJ2SytlaDMrNUNrZHViZFI2OTlTcmRMZktaUTBNUnpxeUwybjFmbXIzaG5YOU84ZG5QRjY3L3VQekZ2RzFMeUxwbSsyeVpsdGx5dmZxWDBmT3FyZG45eXFEYmZXNk1TWG1qWGFFdFR4enpmTnVHN2ZuY2RTM21laE5vdnArMjFBR1dVZVpkVXdsd01Ba0JaR1EwUEQvOFppc2U3bTV1YlhUeitSa1pGUldWOWYvNnVtcHFaYlFxSFFiNmVkbWdvb2NRRXJDSUZqall1SDRqcDUvMWtON0IvU3VqK3ZWUGxMaWhkczc4aXlhOGVIRzNUc1g1dDAraXN0NnQ4M3FQcWJxK1FwZFV1UzFyMitVb1c3OHk2b2h2NzlRenI3blE1SlV1L1RBK3A1YWtEYjcyeFFia09XRXRHSitTQzFyeXZYcm85dlZxaHJvZ2RqS2xRTUhSOVJ6dm9zMlZ3MmhUckRjNExGMVBUMlZDRmt0a1Ewb1dCN1dKNVN0MDU4dVZuWjZ6SzE4YloxRi9SZUFBQllEa1ZGUmJkbFoyZmYyTmpZK0x1UzVIYTcxMGNpa1RPU1pKcW0wKzEyYjdMYjdabFQ3ZlB5OGw1WFdWbDV6OERBd0FOZFhWMy9uSzY2Z1ZRSUhHdGMxK045Q2h3YVZ2MGJxMVRneTFlNGIybkRpclo5WUlOYWY5aXBqdi9wVm01RHRxcitvRlI1bTdPVlhaTWhsM2Z1Y0t6NTJEMDJaUTlFbGI5dFltNUdSb1ZIcFM4c1RMNnVlR21KQW9lR0pKV2ZUdy9USFA2bjA3cjYzcTNLS1Bla3ZMOHpiMkorU08vVEE4clp1UERFY21raVVQVStIVkN3STZ5YVAwNDlPUjRBQUN1NVhLNnRWVlZWbnpsMzd0emZqWXlNUEoyUmtYSDk1czJibnpoOSt2UkxSa2RIZnozVnptYXp1UXNMQzk5U1hGeDhSMlptNWxYRHc4TS9IeHNiZXlxZHRRT3BFRGpXdU1wWGxNcTdJMWVqcmFFRmh6dk50dXZ1emFwN2ZhWEtieXBLOW03cytQQkdtWEZUVDkyNmY4bjN1ZkVobi9LMzVTUURSdmE2VEZXK29qUTVGOE43VmE0S2ZIa0tkWWJseUx6d29heDVXN0pWY2tPQlRuMmxSV1o4YWZ0cjJEMTJsYis0V0VYWDVGL3c4d0FBdUJRZWo2ZDJ3NFlOUHg0YUd2cEpkM2YzcHlRcEZBbzlFd2dFdmx0WFYvZnc0Y09IazhzdTF0WFYvZEJtczlrRGdjQi90YmEydmpVWURKNlFsRFB2ellFMElYQkFtVlVaeXF6TVVORzFFeCt3emJpcFoyNDdxUG8zVktuc3BxSVpiY005NC9MZmRVdzIxMFIzdzFUWW1HM1R1K3BVL0h6dnZNOU1OZnhwaXYrdTFNZkxiaXBTNWN0TGtxK1RHL1FaOCs4TFl0Z01iYnh0blRhK1k1MFNzZmszR293T3hkVDMyNENLbnU5Tk9XRWVBSURMb2E2dTdrY3VsNnN1R0F6NjYrdnJIM1U2bllVT2g2UEk0WENVMmUzMjNQcjYraStlTzNmdUxra2FHQmg0b0sydDdSOGtkVWxTVmxiV1ZSczNidHg3K3ZUcDNhT2pvMHYvTFNKZ01RSUhKaGlTelRteGFGbDRJQ0taVWthcE8zbHN5dFNIZkp0cjRRWE9UdDdYckpQM05WOVVLYlBuVzBSSFl0cHp4eEhsYnBvNUpHcHFSL0ZVdGNRamlSbWJDaTRtMkJGUzgzYzZsRm1kSWNOK1BzQzQ4dVl1MlFzQWdGVUdCZ2ErbnBXVjlYdnhlSHd3Rm92MWpJNk85c1hqOGI1b05OcWZtWm01cmFLaTRsTURBd1BmbHFSQUlQQTlUWVlOU2JMYjdlV0dZVGhHUjBmNzAvWUdnQlFJSEpoanVIRk1rcFJWbXpublhDSXk4U0hmN2w0NGNEVDhaYTBLRnhpU0ZPNks2TURkSjVaVVQ5ZGpmWExtT1ZUOFBLL0NQWkh6OStpT3lMQVpjdVhOL1RFKzk3TWV0VHh5YmtuM24rN29weHRudkY3S1pITUFBSlpMZDNmMzUxd3UxODlTblF1SHcwMWpZMk5QajR5TUhKYVU4SHE5ZjJLYTVvQTBNWkc4dUxqNG5iRllyRmRTNStXc0dWZ01nUU56OUQ0YlVGWk5Sc29OK2FaNkRld1psN1kwdUx2UXFSMTNOU2dXak12dXRzM29WWWlPeEhUc00yZFUvNllxWlZabDZOd3ZlbFR6eCtVejJraFM0UEN3M0lWT0diYTVRNm9xLzZCMHhvcGJ6ZDl1Vjk2V0hCWHNTcjJDMW1oelVFZnVQYTBkZHpXa0RGb0FBRnd1MjdkdlAyNmFac1EwemRpMHd6YWJ6Wlp4OU9qUkJrbERuWjJkSHlzcEtmbFFjWEh4N1pQbkU1RklwTFc5dmYzZGFTZ1pXQkNCQXpNTUhodFI0TkNRMXQ5U25mSjhiQ3d1dzI0c09xVHE5RmRiZFBxckxVdDY1dGIzcjU4UkJKelpEcm04VGgzL1hKT0tyc3VYeldtbzlIY241cEs0QzEzSm9OTDV5MTZORDBkMStGT250ZkcyV3JtTDNkcDl6eFpKa3MxaHlPYVlERVdtWkhQWWRPcmZ6MnJkbjFlcTZwV2xjMnFZNnJHeGUrd1hOVGtkQUlEbDFOcmErczcrL3Y0SHAxN241T1RjMk5EUThNVGtTOC9RME5EUE9qczcvMVhTV0ZvS0JDNEFnUU5KWTIwaG5ieXZXZGwxbVNwN1VWSHFOdTBodVFzWG4xUzkyS1J4YVdJT3hqUHZPREQzaENGdHZHMmREbjc4aE03OXNsY2JicTJSelRIUmkyRnoyWlN6UGt2SFB0Y2t3MkZvMThjMzY5Ui90R2ovaDQ5cnc2MDFLbnBlaW1jYTB2bzNWOHVSN2REWjczVEltZVZRNmU4V3ptaHlmZ0w2b204TkFBRExHWWJobHBTY3ZHaXoyWkk3MGJwY3JuV2JOMi9lYy96NDhldERvZEN6VThlenNySjJ1bHl1cllGQTREdVh1VnhnUVFRT1NLYlUvVVMvbWg1dWx6UFhvUzN2V3kvRGJtaDhLS3JScHFDY09RN1ozRGFGdWlMcS9HV3ZTdWNKSTlORmg2SUtkMGNXYkJNZm4zL1ZLTHZIcGkzdnE5Zit2enVoNGROanlkV3lSbHVDT3YyVkZvVjd4N1hqemdabHI4dlVWUi9icE5OZmFkR0pMemVyL05TbzZtK3VrdUdZbXh4cVgxZXVyQ3FQQ3EvT1Z5S2FVTmZqL1hKazJHWFlwSjZuQnlTSjNnMEF3SXBRVTFOemYwMU56ZjFMYUdyM2VyMnZMQ3dzZkU5dWJ1NUxvOUZvZHlBUStLbWtZYXRyQkphS3dMSEdKY1lUT3ZTSlV4cHRDYXJvMm54dHVMVkdqdXlKSHdzemF1ckVsNXFWaUU2dUJ1VXdWSGl0VnpXdkxWLzB2azBQdDZ2cDRmWkxxaTJqM0tQNk4xU3A4WUZXbGI2d1VNTW5SOVR5L1U1NWl0M2ErWkdOeXFxWitHV1AzVzNUNW5mWHFibklwWTZmZGlzNkdOWG05OWFudk9kVUQ0Z2hReTNmTzZkNGFHSk9pbUUzVlA3aVlubEtVaS96Q3dEQTVkVFMwbkxyQWtPcUpFbmw1ZVVmek1yS2VyN2RiczhiSGg3K1dWTlQwK3NHQndkL0ltbmgzL2dCbHhtQlk0Mnp1V3lxL2JNSzJUMDI1VGJNWEhiV1hlVFNDNzYyUzJiQ2xKbVFiSFpqMFNGSGhzMVE1U3RLVlhKRFFUSVF6TWVNbVdyNS9qbGx6TE9YaHpTeDkwWm1wVWU1RzdPVldlbVJERU1WTHl1WnUwcVdJZFc5dmxLWkZaN2tKb0tMdWU0TE82U0VLZE9VN0M1YnlsNFJBQURTb2JhMjlvSGEydG9IRm1xVFNDUWlMUzB0Yng4ZUhuNU1VbGhTK2JwMTY3N2UzZDE5WnlnVXVyVGYrZ0hMaU1BQmVYZmtMbmplc0JreUZwNGpQcTJ4VkhkejVkS2FPZ3l0KzdQRjIrWnVuQWhDemh5SHFsOWR0bURiMGhjV0xuaCt1c1dXOWdVQUlGMWFXMXZmMmRmWDkvRFU2N3k4dk92WHIxLy9pK2x0dXJ1N3Z6QjlEa2QyZG5aaFFVSEJYL1QwOUh4V0VvRURLd2FCQXdBQVlJVXhUVE1pYVhUcWRTS1JDRTE5YlJpR0tVa09oOE0rNjVveVNRb0dnNFFOckNnRURnQUFnQlhLN1hadk1nd2puSldWZFpNa1JTS1JJVWsyU2NyUHovK0xXQ3dXbHlTSHcyRXJMaTUrWnpRYTdaYlVuYjZLZ2JrSUhBQUFBQ3RVWldYbHAvUHk4bDZSU0NTQ2ZYMTlYNVRVSzBuZDNkMmZLUzR1ZmxkeGNmRzdwdHBHbzlHT2pvNk85NmF0V0dBZUJBNEFBSUFWNU5peFkzWGhjTGhQa3BxYW1sNmRxazFIUjhjSE9qbzZQbkI1S3dNdURvRURBQUJnQlFtSHcyZlRYUU93bkZpbUJ3QUFBSUJsQ0J3QUFBQUFMRVBnQUFBQUFHQVpBZ2NBQUFBQXl4QTRBQUFBQUZpR3dBRUFBQURBTWdRT0FBQUFBSlloY0FBQUFBQ3dEQnYvclNCUDN1SlBkd2tBQUFEQXNxS0hZd1V3VGZQeGROZUFsWWVmQ3dBQXNCclF3N0VDN04rLy82WjAxN0FTK0h3K1U1TDhmcitSN2xvQUFBQ3dQT2po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1LVWczUVVBQUFCZzlTRndRRjZ2OSthcnJycXEyZTEyYjF6cU5abVptZGVzWDcvK2g1SnlKZzhWbDVlWGYxUlM2VlNiN096czdaUEhBQUFBc0VZUk9LQkFJUERUUkNJUktpZ29lTk5TcjdIYjdXVjVlWG12a2VTV3BPenM3Tkx5OHZKUFpHVmxsVSsxY1RxZHU4ckx5ejloUWNrQUFBQzRRampTWFFBdUc0L1A1d3N0MUtDOHZQeWpDL1ZJK1AzK0hFbWp5MTRaQUFBQVZpMEN4eHJUM3Q3K040T0Rneis5a0d2eTh2SmVYRjFkL2FYSmx5VXVsNnZBN1haWFNWSkdSc2FHZUR4ZXROUjdaV1ptN2c0R2cvc3Y1UGtBQUFDNGNoRTQxcGhvTkhwdWZIejh4T3pqUHAvUGJHbHB1Ylcvdi8vQkZOZHNudnE2cXFycXd5VWxKWDgxOVhyTGxpM1BTTktwVTZkMkxQYnNrcEtTMjZ1cXF1NXJhbXA2N2VEZzRBOHYrazBBQUFEZ2lrSGdXRHNpSjArZTNEMDJObmJPNVhKdFR0WEE0WENVcHpvM09EajQxTW1USjNkTENyYTN0OS9SM3Q1K1IwNU96cXNhR2hwKzVQZjdpeVgxWldkbmI1Y2twOU81enVWeWhTWEpaclBacCs1UldscjYxNVdWbFovcDd1NytMR0VEQUFCZzdTQndyQjNtMk5qWUFaZkx0WG43OXUzSFV6V29yS3o4WkdWbDVTZG5Iejl5NU1pV3NiR3hBMHQ1U0gxOS9RK212bTV2Yi8rZ0pGVlhWMyt4dUxqNFBSMGRIUi9wN3U2ZWMzOEFBQUNzWGdTT05jcnY5eHZUWDg4M3BNcm44NWxMdUYxeXRiUEpYcFFEa3VUMWV0OG9TVVZGUmU5b2FXbTVwYisvLy85ZGV1VUFBQUM0a3JBc0xpNUpUVTNOcHpkdjNyeG5vVGFOalkwM0VUWUFBQURXSm5vNDFxaFVQUmUxdGJVUDFOYldQckRRZGJtNXVTL0x6ODkvZlg1Ky9xc2tLU2NuNTRXOXZiMy90dEExSXlNalQxOWF0UUFBQUxoU0VUaldxQ05Iam15Wi9ucjc5dTNIT3pvNlBod0lCSDR3Ky9qMDEwVkZSZS9NeXNxNkpoZ003c3ZOelgzWjBhTkhuNmRwazhZQkFBQ0E2UWdjYTFTcXBYRmpzVmhucXVQVGRYVjF2VHNZREhibTVPVDhRVzV1N3NzdTR0RVpraGJjZ0JBQUFBQ3JCNEZqamJyWUlWWEJZUERjcFR5M3FxcnFVdzZISS8vczJiTnZ2cFQ3QUFBQTRNcEE0RmlqTG5aSTFSSVpKU1VsdDB2eXpEN2hkRHJMYkRiYm5PTUFBQUJZblFnY2E4ejQrSGhuYTJ2cjI1YzZwR3F5YmVkaTl6Vk4wNUFrbDh1MXZiS3k4a3NlajJkemQzZjNaMmUzYzd2ZGRTTWpJMDljeW5zQUFBREFsWU5sY2RlZW9iNit2cTh1dGZGazI2RnBoN0l6TWpLcXNyS3lwbnBJeGlUSjdYWnZscVIxNjlZOUVBd0c5eDA2ZEtnaEZBcjVKYW1nb09EUFhDN1g1dno4L05ka1pHVHNEZ2FEZTVmcHZRQUFBR0NGbzRjREZ5US9QLy9GOWZYMVA1Ums5dlgxL1lmT1R3RFBEWVZDaDFwYlc5ODROaloyV0pLR2g0ZC9OVGc0K0lQYTJ0cHZHb2JoTkUwek9qUTA5T05BSVBCSTJ0NEFBQUFBTGlzQ0J5UkpuWjJkL3hnS2hRNHUxbTV3Y1BBbmZyKy9XQk05RzhuVnBnWUdCcjQyTUREd0RVbXhhYzJqVFUxTmY3ejgxUUlBQU9CS1FlQ0FKS216cy9PalMyd2FrOVMzd0RrQUFBQWdpVGtjQUFBQUFDeEQ0QUFBQUFCZ0dRSUhBQUFBQU1zUU9BQUFBQUJZaHNBQkFBQUF3RElFRGdBQUFBQ1dZVmxjcE1XR0RSdmNYcS9YTy8xWVBCNlhKRjE3N2JWbDA0OEhBb0ZBWTJOajVES1dCd0FBZ0dWQzRFQmFlTDFlYnp3ZVB5ZkptSDB1SG85M1RudVo4SHE5bFpLNkxsdHhBQUFBV0RZTXFVSmE3Tm16cDB2U2I1YlE5SW5KdGdBQUFMZ0NFVGlRTnFacFByS0VadCt6dkJBQUFBQlloc0NCdEVra0V0OWZyRTA4SHYvQjVhZ0ZBQUFBMWlCd0lHME9IanpZSWVuWkJabzhNOWtHQUFBQVZ5Z0NCOUxLTUl4NWgxVXRkQTRBQUFCWEJnSUgwaW9hamM0YktxTFI2S0pEcmdBQUFMQ3lFVGlRVm9jT0hXcVd0RC9GS2Yva09RQUFBRnpCQ0J4WUNWTDFjakNjQ2dBQVlCVWdjQ0R0VXMzVnNObHNCQTRBQUlCVmdNQ0J0TnUzYjk4SlNjZW1YaHVHY1hUdjNyMG4wMWdTQUFBQWxnbUJBeXZDOUUwQUU0a0V2UnNBQUFDckJJRURLMFV5WkxBY0xnQUF3T3BCNE1DS3NILy8va09TemtocTlQdjloOU5kRHdBQUFKYUhJOTBGQUpOTVNZOFlobUZPZmcwQUFJQlZnTUNCRmNObXN6MFNpOFVJR3dBQUFLc0lnV01GMkwxNzkzT0dZVnlYN2pyU0xaRkl5R2F6eWVmenBidVVGY0UwemNmMzc5OS9VN3JyQUFBQXVCVE00VmdCQ0J0SXhUQ01GNlc3QmdBQWdFdEZEOGNLY3VORC9HWWZFNTY4eFovdUVnQUFBSllGUFJ3QUFBQUFMRVBnQUFBQUFHQVpBZ2NBQUFBQXl4QTRBQUFBQUZpR3dBRUFBQURBTWdRT0FBQUFBSlloY0FBQUFBQ3dESUVEQUFBQWdHVUlIQUFBQUFBc1ErQUFBQUFBWUJrQ0J3QUFBQURMRURnQUFBQUFXSWJBQVFBQUFNQXlCQTRBQUFBQWxpRndZRTB3NCtZbDMyTThFRjJHU2dBQUFOWVdBc2NxOE9RdGZvVTZ3NWQrSTFOcS9XR253bjNqOHpZWlBqMnFqcC8xTFBrRGZPRHdzQm9mYUUyK0hnOUUxZmhBcThiYVFrc3U2L2dYbXRUMjMxMUxiai9iMElsUlBmZmV3d29jSExyb2UvVHZHOVRldnptaXZqMkRGMzBQQUFDQXRjaVI3Z0t3L0VLZFllMjc4OWlpN1c1OHlEZmo5ZmhRVkQxUDlLdnJzVDV0KytBR1pWVm56RGh2eGt3MWZxMVYwZEdZaXAvbmxjdnJYUFFaWXkxQmRmMjZUeHR1clpFa3hjWmk2dnAxbndwMjU4MjVmeXE5endUVXYzZFF1UnV6RncxVmppeUhuTGx6ZjZTejZ6SmwyQTAxUHRDcXF6KzlUVGJuK1p6ZCsyeEFKKzlybm5PTllUTjB3NE83azY4TGR1VXBiMXV1VG42NVdZbS9yRlh1NW16dGZmK1JSZXZmOEpZYWxmMWUwYUx0QUFBQVZpc0N4eXAyOWIxYlV4NGZPRGlzNW0rMXp6bnV5bmRxeDBjMjZ2QTlwM1Q0azZlMTQ4TU5NMEpCNnc4N0ZlcUthUHVkRzVZVU5pNVZxQ3VTN0IxcC9sYTdtcisxY1B1S2w1V28vZzFWa3FSWU1LN28wUGtoVUlWWDV5azJFbE5rbnQ2YjZkK3JsdStkVTc5L1ptK0lZVGUwNWIxMU92eFBweVZKYnE5ejN1L3ZsS1dFUGdBQWdOV093SEdGaWc1RkZRdkdrNi9EdlhNL1NHZVVlMUplNjJxWk81eHBldTlCL1MzVmFudTBTMmJjVEI0UDk0NnIvU2ZkS3J1cFNLNThaL0s0STlzaFo4NzVINk5FekpUTllWemNtNXBtUEJEVjBVK2ZscnZRcVZCWFFwdHVYNmVpNjd4ejJ3MUdkZXhmenlqY0UxSHBDd3VUeC92M0RlcjBWMXJtdEo4OUpHclR1K29rbmY5ZXhjTnhCUTZQeUxzak45bG0rT1NvT24vZHA0MXZyOVhPajI2VVlUZG1YQU1BQUlENUVUaXVVSzMvM2FYTy8rMU52ajc2TDQzSnJ4Zjd6WHNxcVg0YmYrRHZUOHc1MXZtclhuWCs2dnh6SzE5UnFycWJLeVZKZmM4RjFQaU5ObDN6NmExeVpDMzlSeXR3YUZnZFArMVd3enRxNVM1d0tkdzdycU9mUGkxN2hsMDdQcnhSUFUvMDYrUjlaeFh1RzFmVkswcWx5VHpUdDJkUVp4NXNsYzF0MDg2UGJGUm0xZm5lbU5MZktaUXIxNkZ3ejdqS1gxSTg0M25OMzJwWGRuMldpcC92VmUremdSbm51bi9UcjNnNHJ1by9La3NlQy9WRTFQdjBnQnJlVmpOak9CWUFBQUFXUitDNFFxMi9wVnJyYjZuVzZObWdEdno5Q1YxOTc5YmtiOXluZWgvbW0vTXdQamgzdGFYWjh6bW10UDEzbDFvZU9hY2JIdHd0dzdad3owVldiYVppb3pGMS9WKy9xbDVadXVUMzB2TlV2OGJhUW5MbE9oVVBKM1RvbnBOeWVaM2E5amNiNU1pMHErSmxKYkpuMm5YbXdUWU4rSWRVL3VKaWRUM2VwNkhqSXlwK1FZSFczMUl0UjZaOXpuMXRMcHZPZkxOTmpoeUhpcDgvMFRzeXNIOUlIVC9yMGZZUGJaalQza3lZT3ZmekhoVmVuYStjK3F3bDF3OEFBSUQ1RVRpdWNIMnpma00vM2ZMTUlaaFlqY293Rmg4bWxWSG1WdDZXSEhYOWIrK01ub2lGeE1iaTZ0ODdwSXFYRk10d0dMSTdERzE2NXpwbDEyWEo3am5mbTVEYmtLMlNHd3ZVOWVzK0RaOGFsU1NWM0ZDZ2RhK3ZUQmsySkNsdlM0NHFYbEl5RVV5ZTcxVjBLS3JUWDJ0UitVdUtsYjg5ZDA3N3Z0OE9LaklRMWJZUFZpNWVPQUFBQUphRXdIRUZTMFFUNm42aVg1TFUvcE51NWRSbnpWZ1JhYjVlaS9sV1prckZ2TUR0SzhwZVZLU1QvOWFzZ1lOREt0aVZ0Mmo3bnFmNmxZZ2x6dGR0U3A1U3QwYk9qR20wSmFqUjVxQ0dUNDFxUEJDVnA5aWx5bGVVS205VHRnS0hoOVh2SDlSdjMzdFlHV1Z1NWRSbkthUENJMCt4VzY1OFIzSnk5NVN1WC9jbHYrNzhaYTg2ZnpreExHekRXMnFTeDZQRFVjbVVoazZNS0tQTWZXRnZIQUFBQUNrUk9LNWdYWS8xeWVWMUtqb1NrNmZFcmFhSDJ6WGNPS2JLbDVkYzBIMW16Mk9ZYnF3MUpCbFM3M1B6dC9FVXU1U3pmbUlJVXVHMStYSjh3Njd1eC9zV0R4eW0xUG0vdmZMdXpKT25aT0lEZnRldis5VDRZS3RrU0JtbEUwR2krdFZseXQrV3E5TmZiWkhOWmFqQWw2Y0NYNTdXdjdsYXdYTmhqWnllQ0NlRFIwY1U3dTVUeVkwRlM1N0hNbm8ybVB5NjRxVWxraWsxUHRBcWQ0RkwzcDF6ZTBFQUFBQndZUWdjVjZqWWFFeHRqM2FwOWs4cTFQaEFxNHF1elZmdXBtdzFmN3Q5M3FWZjU3T1UzbzZGMnBUY1dKZ01IRGFIb2NKcjh0WHoxSURHaHhiZW1UdHdlRmlocm9qV3YvbDhMMFBwaXdxVlhaK3B6QXFQYks2WkU3VEhXb01xdkhwbWlNbXM4Q2l6d3FOU0ZlcGlqTTVhc2F2aVpTVWFiaHpUbVlmYWRNMm50eTFwV0JnQUFBRG1SK0M0UXAzOTdqa1pEa01sTnhZazk2ckkyNVN0WFhkdlRrNFdmL0lXLzVMdU5kL1FxMFEwb2QrKzk3Qml3YmhxWGx1dW10ZVdMK2wreGRjWHFQczMvZXA1WW1EQmRoMy8wNjJzbWd6bGI4dEpIak5zaGh6WkRqMzlsd2RTWHRQODdRNDFmN3NqNWJtNm15dFYrWXJ6azlVWGUvL3p2ZStxVjVUcXdOMG5OSG8ycU95NnpBWHZBUUFBZ0lVUk9LNVFubEszMXYxNTVZTEx0RjdveG4remRUM1dwMWd3cnVMcnZXci9TYmVLcnk5WTB0eUcvSzA1cW5wVm1RcXZ5VmYvM25tR1lwa1RrN3FuTDJVN0pkV21lcjNQQmRUNmcwN3R1bnZ6ak1ua1UvYjk3VEU1TXVmK09HLzd3QVo1aWwwempvVjd4MmNzSXp5YlovSTlSZ0pSWmRmTjJ3d0FBQUJMUU9DNFFwVy91RWgyVCtyVm1hWmN5TVovc3dVN3dtcDU1SndLZkhscWVGdXRScHVQNi9qbnoyam5SemZKa2JYd2MyVkk2LzZzWXRFMjFhOHVTMzNLYnN5czNaUUcvRVBLMzVhYnNzY2hIa2xJcHVUSW5sdVhwOWgxd1J2MGhic2praVJuaXZzQkFBRGd3ckNMMlJWcXNiQnhLWUx0SVIyNWQyTGp2UTF2cVpITlpkT21kOVVwM0R1dVEvOTQ2b0xuaUZ5cWxrZk9hYlFscU5yWHBSN1NGUjJKU2RLTUhjOHZWTWRQdTNYaXk4MDYvYlVXSGY5OGsxeGVKM3R4QUFBQUxBTjZPRmF4V0RDZThuaGlQSkg2QWxQcWVyeFB6ZDlxbHozVHJ1MTNOc2lWNzVRa1phL0wxTlk3Nm5Yc2MwM2EvOUhqV3ZkbmxTcDlVV0Z5TTBBelppcWU0cjZKcURtamxuaDRvazBpa2toWjMvUTlOY3k0cWJQLzJhR09uL1dvN3ViSzVNVDAyU0s5RXowU3JnTFhuSFBoM3JuaEtOVXhaNzVUb1hOaEpXS21zdXN5VmZ1NmNobU9pNTh4bnZ3ZUUra0JBTUFhUitCWXhaNTk1OEdsTlRTbGZ2K2cydjY3UzZObmc4cmZucXROdDlYS21lZWMwU3gvZTY2dSt2dE5PdkhsWmpVKzJLcjJuM2FyNGlYRktucStWNEZEd3pyOWxaWWwxM0xpeTZsWHZicnhJZDlFUGZ1SDFQSmZIUXAzUjdUaDFocVYzVFN4VDBjOG5ORHdxVkU1Y3h5eVo5Z1ZEOGZWOHIxT2VVcmQ4aFRPRFJ3THpkV1lydVFGQlNwNVFjR1MycVppSmt4MS9ySlhkbzlkaHQxUTRQQ3dwSW1sZlFFQUFOWXlBc2NxZHQwWGQ2UThQdUFmU3E1c05UNFkxY0YvT0tsSTM3ZzhKVzV0ZWxlZGlwL3ZuZmVlV1RVWjJ2MlBXOVR4MDI2MS82UmJUUSszS3pvU1UvV3J5NVpsMzRwNEpLR0RkNTlRc0NPc0FsK2V0cnl2ZnNZY0RNTXVIZjk4a3hMUnlSNEVROHF1emRUbTk5U2xYTUwyNm51M3pwbkRFZW9NTDlNdTdPY1pOa01kLzlPdHlNREVVc0NHdzFEWlRVWEsyNXl6eUpVQUFBQ3JHN3NNckFBK244K1U1bCttZFRIaDdvamNSUzRaOXZQRG0wSmQ0WlFyUUVrVHc1dkdCOGFUNXp0LzFTdG50a09GMStRbjc3RVU4VkJjZzBkSFZIaE4va1hWUForaDR5Tnk1VHNYbk94dEpreVpjVk9HM1VnTzY1cHQ5dmNsZVczY1ZDUVFsYWZJcGVoSVRLSE9zSEkzWmw5NjRlWmtYYVprc3h1WDlLOXJha2xmdjkvUHYxRUFnR1Y4UHQvZGtqNG02ZU4rdi8vdTlGYUQxWW9lamxYQU0ydllqdUV3NWcwYjBzUThDVWZtK2ZQbEx5NitxT2ZhTSt6TEhxdUlkTlFBQUNBQVNVUkJWRGFraWVWeUYyUFk1ZzhhVTJaL1g1TFgyZzE1aWlhR1h6bHpISExtTEVQWWtDUmo0dDRrQkFBQWdQT1kwZ29BQUFEQU1nUU9BQUFBQUpZaGNBQUFBQUN3RElFREFBQUFnR1VJSEFBQUFBQXNRK0FBQUFBQVlCa0NCd0FBQUFETEVEZ0FBQUFBV0liQUFRQUFBTUF5QkE0QUFBQUFsaUZ3QUFBQUFMQU1nUU1BQUFDQVpRZ2NBQUFBQUN4RDRBQUFBQUJnR1VlNkM4QjVUOTdpVDNjSkFBQUF3TEtpaDJNRk1FM3o4WFRYZ0pXSG53c0FBTEFhME1PeEF1emZ2LyttZE5ld0V2aDhQbE9TL0g2L2tlNWFBQUFBc0R6bzRRQUFBQUJnR1FJSEFBQUFBTXNRT0FBQUFBQlloc0FCQUFBQXdESUVEZ0FBQUFDV0lYQUFBQUFBc0F5QkF3QUFBSUJsQ0J3QUFBQUFMRVBn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aHNBQkFBQUF3RElFRGdBQUFBQ1djYVM3QUt4TjI3WnR5ODdJeUZnMy9WZ2lrWkFrWFhQTk5kdW5IdytGUW1lUEhqMDZldm1xQXdBQXdISWhjQ0F0UEI2UEo1RklISkJrbjMwdWtVZ2Nudll5N3ZGNHlpUVJPQUFBQUs1QURLbENXdXpidDY5UDBxOFhhMmVhNW1PVGJRRUFBSEFGSW5BZ2JVelRmR1N4Tm9aaExOb0dBQUFBS3hlQkEybmpjRGgrS01sY29JbnBkRHAvZUxucUFRQUF3UElqY0NCdDl1eloweVhweVFXYVBQSGNjODkxWDY1NkFBQUFzUHdJSEVpcmhZWk1NWndLQUFEZ3lrZmdRRnJaYkxidnozY3VHbzNPZXc0QUFBQlhCZ0lIMG1yUG5qMXRwbW4rTnNXcDV3NGRPdFIrMlFzQ0FBREFzaUp3SU8zbUdUckZjQ29BQUlCVmdNQ0J0RXNWT094Mk80RURBQUJnRlNCd0lPMzI3ZHQzUnRMQnFkZUdZUnpZczJkUFV4cExBZ0FBd0RJaGNHQkZtTjdMa1VnazZOMEFBQUJZSlFnY1dCR21od3lXd3dVQUFGZzlDQnhZRWZidjMzOU0vNys5ZXcrTzhyN3ZQZjU1OWk2dFZwY1ZrcEJBRWlCdVF0d2tzT05iT25VbVNkdU1Uem1lc1UvbXREV3VKNmR4T3M0ZkdSY2Z4a21hNEF4eFN0TmtuSEdTY2R0cFlqTnhPNDZkazVNNmwyTTdyckVOcVdsQVlBeUlpeVF1a3RCZDZMbzM3ZTV6L2xpMHNGcXRKSXdlcnhEdjF3eUQ5bmwrK3p6ZlI0Z1pmZlozazA1SmFtcHNiR3pLZGowQUFBQ1lHNDVzRndCTU1BempsWGc4Ym1hN0RnQUFBTXdkQWdmbWpWZ3M5alBETUFnY0FBQUFDd2lCWXg2b3I2OC9hQmpHN2RtdVk3NW9hR2pJZGduemdtbWErNDRjT1hKdnR1c0FBQUM0RWN6aG1BY0lHNWlLWVJoL21PMGFBQUFBYmhROUhQUElQWHY1WkI4Sis3YzNacnNFQUFDQU9VRVBCd0FBQUFETEVEZ0FBQUFBV0liQUFRQUFBTUF5QkE0QUFBQUFsaUZ3QUFBQUFMQU1nUU1BQUFDQVpRZ2NBQUFBQUN4RDRBQUFBQUJnR1FJSEFBQUFBTXNRT0FBQUFBQlloc0FCQUFBQXdESUVEZ0FBQUFDV0lYQUFBQUFBc0F5QkF3QUFBSUJsQ0J5NFpaa3hNOXNsQUFBQUxIZ0VqcHRZc0RPVTlzZU1KMzZKSG1rWjA2SEhqeXZVRjdtaGUremYzcWhnWjJoV2JidmU2dFA0MEhqRzg4MC91cWpUejUxUDFuaTl6Smc1NDUvWmF0bmJwbU83ejBnM21EbTYzK25YNlIrZXU3R0xBQUFBTEdDT2JCZUFEKy93enBOcHgyNS9kb05jK1U2MXZ0Z3VkNGxia2xKQ2g4MXV5RlhrVEh2ZmRNRWtQREF1d3psMU52VXNja21Tb3FOUnRiM2FwUXV2WE5McVI1ZXBhR04rU3J0QVIwaGRiL2VwYWx1NURKc3g5WTFNS2RpVk9keE05YnlUYmYzdSttUk4wL0d0OEtyenQ3M3EydGVueGZjdW1yWnRMQlJUNVBMVVFjcHdHT3A5NzdMOERZWEtxODZac28ybjFDM0RudUdaQVFBQUZqZ0N4MDF1eTU1MXlpbjNxR3Rmbnk3K3ZGT3VmS2N1dmQ2amtlWXhTZEtoeDQrbnRQZFc1YWgrZDIzYWRTYTN1OWJ4UFdjem5ydG5iNE1reVpIblVQMDMxdXJVRDgvcnhIZWF0Znl6UzdUa00yWEpkcTB2dHN0Ym1hUEtiWXVUeDRaUGo4cHdHdkt0OEVxU1l1RjR4bEN4WmM4NlNkTFdiOWRKa2tMOUVSMy91N1Bhc21lZERKdWhlTlJVNDVNekI1SUpwWGY3MWZWV3I4YUhvek8ySFRnNlBHTXZ4blRuYjN0bWc5eis5SkFIQUFCd0t5QndMQkE5QndaVTl2RmlqYlVGZGY2bERxMytmTFZLN3lsT25oOXJDK3JvMTA5cDBXMkZHYTh4RVY2dXRYOTc0NVRIZzUyaHRIRGd5SE9vYmtlTnp2MWJod3JXK3BMSGUvOXpRTU9uUjdWcDE1cVVUL3JiZjlXdHdLV1FHcDZ1bGMxbGs5MWpTd2FZeWZlZEdOYmxLWE9uM0hPaTl5QStIazk3bnYzYkd6TSs2NFRoczJPNjhMTkxVNTV6NU5wMXgzT2JrcThuYXB2UTkxK1g1ZlE1VkZEcm0veld4TFhQakNhR2JRRUFBTnpDQ0J3TFFLZzdyT0V6bzFyMllJVk9QdE1pMzZvODVhLzFYUjBtWlVwbi92Rzh2RXR5VkhLblg2RytpTnhGenJSaFBwbDZGMll6bENrV2pNbm1zc213RzFyeDUwdVR4OE1ERWJYc2JkZUt2MWdxYjJYcWtLTlZmMVd0eGk4MzZkeExIYXA1cUhKV3p6b1JQTUw5aVdjTGRvVmwyS1I0TkgweXhrU3Z5SVRSY3dHZGZ1NjhWdjJ2YXVXdjhzNThNeVB4L2NrcGMydnBmV1Vwb2VieUJ5TTY5WU56cW5tb1VyNlZVMS9MbWUvVTB2dktaSGN6bkFvQUFOeTZDQndMUU5mYi9TcGM1MU1zRkplNzJLV3hpOEdNUTZRTzdUZ2hhZXJlalBVN1Y2WDFJQng2L1BpVXgwUGQ0WlNoVnFkK2NFN2pJMUd0Zm5TWmNpc1MxNDBHWW1yNlhxdUtOdVduekpNd1k2Wmk0YmpNcUtuSys4clUrcS90S3JtalNQbXI4bVo4MXNuaFo3cGhWSk9mYnlLazVGWjQwczVONStqWFQwbVMybi9ablhhdVpXK2JXdmEyVGZ2KzZGaE1LeCtwbXZYOUFBQUFGaElDeHdJd2RISkUrYXU5S3RxWXI4STYzNHdUbENjUE5USmpwalk4dVVxdW9wa25XMDl3Rjd1MDRjbFZNbU9tREx1aFpaOWRvcVpuV25UMGE2ZFVzNzFTcFhmNzlmNnVVd3AyaFJYdWoramdGNDhwSGpFVkg0OVB1WnBVeXd0dDJ2eU50WmtubEY4eE1hd3AxQjNXb1NkTzZPNGYxeWVIVlAzdWMwZW5mVzhzbk9paHNMbXZiM0cycmQ5ZG4vdzZNaERSeVdkYVZYYVBYK1dmTGsxcEZ4Mko2c1IzVzFUY1VLQ2wvKzNxWEJXSGg4WGdBQURBcll2QXNRQlVQMWloRTk5cFZ2bW5TK1ZaNU5LaEhTY1U2Z25QK3YzQnpwQSsrRmJtaWVIVFRScHZlTHBXdVV0ejVLM00wYVpkYTlYMFRLdUdUNCtxN0ErS3RlajJJb1g3SS9LVXVlWDBPZVRNYzhqaHRjdWVZNWZkTS9HM1RjSE9rTjUvNnJRNjMraFZ4MnM5Q2w4WkNqYlJtK0VwZGF2dWIycG0vVHlaeElJeFNkS1JyelJOMjY3MG5tS3QvbngxOHZXMXExNTE3K3VUWVRjMGNIUkkwVUJNK1d2eVZMQW1UNkhlaUpwL2ZGSDVOYm1xMlY3SnFsUUFBQUJYRURnV2dNSTZYMktaMTlkN3RQelBsbXJ6VTJ1bjNldmk0R1BIMG80Wk5rTjNQMStmZGp6VHBIRkpPdkNYUjFKZU8zME9yYi9TNnlGSjFROVV6S3ArWDQxWGxYKzZXRVViOCtXdkw1QVpNM1Y0NTBuVjdWZ3BUNGxMaHQxSVhuTnk3OHlCUjQ1TWRja3BSUzZQUzRiVThQUTZHUms2SFk1KzdaUWNPWmw3SktvZnFGRDFBeFVhYlEybzQ3VnVOZi9MeGVUMzJ1RjFxR2hUZ1VLOUVlVXNkbWU4QmdBQXdLMkV3TEZBK0RmbnErZkFnSmFia3MxbFNMcitUOWd6N2NVeDNUNGNrOW5zaHVTNGV1L1piaG80VlRqeGxMalNWcW1hbUFnZTdvL28rTjgzcStGYjY1S1R4bWZxdVFoY0NzbnRkeWwzU1liNUc2WVVpOFJsejAzOWJ4RzVQSzZlL2YwSzlVY1U2b2tvMkJsU3VEOGl1OGNtZjMyQlN1NG9rcnZZcGY3R1FYWDhwbHZOUDc0b1Y1RlRoYlUrTGYrZlMrUXNZRWxjQUFCdzZ5SndMQkF1djB1UndYRmQvbUJZSi82aCticmZiOGJOakJQTnB4dFNOVm5MM2phTmowYTE5ckhsa21hM3dwV1V2dVRzWkRubG51UjhEVW5KdVI0NWk2OXVxbmZ0K1RTbU5OUTBtbkZGS1NteHdaOU15ZUcxcHh4M2VPM3FmS3RQcmtLbnZFdHpWRnhmSUYrTlY5N3FISVY2d2pxODg2VHUyZHNnMzBxdmx2MlBKUXEwQjlYM1g0TWFiaDZUTTUrd0FRQUFibTBFanB2YzZQbUFvc0dZK244L0tGZUJVNFhyZkxyOTJRM0o4eDIvNlZIcFhYNDVDNjcrVTdmK3BGMTJ6OVZmcWwxRkxxMThwQ3B0eCszaHM2UHFlWGRBMVE5VXlKbWYvcVBTOVZaZjJrVHpnZmVIbEZlVnV2eHRwaUZaMHRUN2VXUnFkNjNKeStKT2NCZTdaSE9sOThZTW5ScFJlQ0NpNnMyWmgzbEZ4eEp6UEp4NTF3UU9NM0d2OVUrc1RHc2Y2Z2tyMUJ0SnE4K3dHeXE1czBnbGR4WXAyQldTelcyVDJ6LzdDZmtBQUFBTENZSGpKdGYzKzBIMUh4cVVJOWV1bW9lcjFQMXV2NHEzRnVyd0V5ZFV2N3RXdzJkR05YSjJWQnUrdkZxRzNWQ2dQU2hIamwydXdxdWZ2TWNqY2JrS25JbGZyaStQcStYNWkxcjNlSTJhZjNSUlpzeFVxRGVjRmppaWdWaHlXTkdFc2JhZ3duMlJXYy9kbUsxWUtQTU81Sk9YeFYyL2M1VUs2OUkzNHJ2NGY3dms4TnBWdkRYenhvZmpvNGxkeHgxNVY1ODFIczE4NzJ0TjE2YXd6cWYxTzFmTmVBMEFBSUNGaU1CeGs2dTZ2MXdySDZtU3cydFgzOEhMT3YvVERpMjZyVkRSUUV5eUdWcjd4UlU2K3JkTkdta2VVelFRazJsS0EwZUgxUGJ2WGFyY2xsaTZ0ZnVkUG5YdDY1ZS92a0R4Y0V3RFI0Y2tTWFU3VnFycDJWWjk4TTB6YXRoVEowK0pTeTB2dENrOEVGSE53NVhxZkxOWHNYQTh1ZEhmUU9PZ0RMc2gvK2FDT1htMnRsZTdGR2dMS1RJOG5qYmthdkt5dU5QcGZydGZRMDBqcW42Z0lpVWdUUllaSEpja3VhNFpCbVZ6MnRLSGUwMThEMy9ScGZoNFhHTnRRZVdVZTVSVDVsYjFBeFh5VHVyaEFRQUF1SlVST0c1eU5vY2hweS94ejNqcGpWNlYzT0ZQbWVEdDlqdTE1ZHQxY3VUYWRmYWZMeWcrSGxmTnc1VTY5ZjF6S3RxY0wyOWxqcnJmSFZEcDNmNjBlZWJ1WXBjMmZtVzFocHBHNVNsSkRBa2F2UkJRTEJpVDIrOVN6VU9WT3YzY2VSWFcrdVJ2S0ZEdmU1ZFZVT3VUSXpkMURrUXNHRThFb0NuRWdsZDM3NDRNamF2OTFXNzFIeDZVSlBYc0gxRGVzbHlWZjZMa1EzOS9oaytQcXVXRmkvSlc1bWpwWjhxbWJUdlNQSlo0N2tWVERIOHlwWkZ6WStvL1BLVGVBd055NU5sVmRYKzVjaXM4T3J6enBPcDNyMVhIcjd0MTdKdG41RjNxVWNsZGZ2azNGVXg5TFFBQWdGc0lnV09CR0dvYTBlaTVnTmI4OVhMWm5JWnNUcHNHRGcrcWNIMWllTkhZaFlBdWZ6Q3NwZmVWcVhoTG9kWjhZWm04UzNQVS9VNi93djBSTGY1RVl2NkcwK2VRREtuN25YN2xyMHBNc1BhVXVCVHNER24wZkVDanJRR1ZmeW9SQUVydThxdjN2Y3NhYXd2S3ZjaWxRRWRJNVo5TUR3ZEhkNTJhMVRQWW5EWjEva2V2ZkN1OFd2SW5wU3JlV2lTMzM2bGdaMmpXY3pna0tXZXhSeklTdlJDbnZuOU85bHk3YXI5VUkrT2ExYk11dmRhajhNQzRYQVVPMlhQc0NnOUUxUEhyYnZsV2VsT0dqMFV1ajZ2MXhYWU5OWTBvR29qSnY3bEFLejlYcGFJTitZbjdYNm5MNXJTcGNsdTV5ajlWcXU1Myt0WDUyMTYxdk5BbTl5S1hpdXNMdE9LaHlsbDlEd0FBQUJZYUFzY0NVVkRyVS8zdTJtUlBST1cyeFRyLzB3N0ZYMHpzRVdFNERPV3Z6bFBaeDRzbFNZcytWaVFwc2FsZTlZTVZ5VW5Oamp5SHF1NHZWK3RQMmhPck5sM0Q1cktwY0VPK3FyWmQzVVc3OWtzclpOZ01kYjdaS3htU3Z6NTlqc1RHcjY2V3AyenFmU2xDM1dFZDIzMG1jZTljdXo3MjdNYTBWYUttbXg4eGVRNkhKTjM1VDVzMVBqeXVwdSsxeWxYbzFQci92VEw1ZlprUURjUjA2ZldlcTd1ZUc0bjlRTlo4WVZsS08xZVJVMFdiOGxXNHpxZmkyd3FUdlVtWk9ITHRXdkxIcFZyeXg2VUt0QWZWM3ppa29vMzUwNzRIQUFCZ0lXTTc1SG1nb2FIQmxHWmVHbmF5bnQ4TnFMaStRUFljKzh5TlB3S2gza2phTC9ZWFhybWtpajhxemZpTCt2aElWSmRlNjVuemllYVNkUG45SWZscXZDbVR3Q2N6bzZiaTQzRVpqa1N2MFBVeW80bEo5WmxXNGZxd0pqWTRiR3hzNVA4b0FNQXlEUTBOdXlSOVhkSlRqWTJOdTdKYkRSWXFlamh1WXFWMytiTmRRb3JKWVVPYWViZHhwODloU2RpUXBLSk5NMDllTnh5RzdJNFBIOWdNaHpIbllRTUFBR0FodWY2UGRBRUFBQUJnbGdnY0FBQUFBQ3hENEFBQUFBQmdHUUlIQUFBQUFNc1FPQUFBQUFCWWhzQUJBQUFBd0RJRURnQUFBQUNXSVhBQUFBQUFzQXlCQXdBQUFJQmxDQndBQUFBQUxFUGdBQUFBQUdBWkFnY0FBQUFBeXhBNEFBQUFBRmlHd0FFQUFBREFNbzVzRjRDcjltOXZ6SFlKQUFBQXdKeWloMk1lTUUxelg3WnJ3UHpEendVQUFGZ0k2T0dZQjQ0Y09YSnZ0bXVZRHhvYUdreEphbXhzTkxKZEN3QUFBT1lHUFJ3QUFBQUFMRVBnQUFBQUFHQVpBZ2NBQUFBQXl4QTRBQUFBQUZpR3dBRUFBQURBTWdRT0FBQUFBSlloY0FBQUFBQ3dESUVEQUFBQWdHVUlIQUFBQUFBc1ErQUFBQUFBWUJrQ0J3QUFBQURMRURnQUFBQUFXSWJBQVFBQUFNQXlCQTRBQUFBQWxpRndBQUFBQUxBTWdRTUFBQUNBWlFnY0FBQUFBQ3hENEFBQUFBQmdHUUlIQUFBQUFNc1FPQUFBQUFCWWhzQUJBQUFBd0RJRURnQUFBQUNXSVhBQUFBQUFzQXlCQXdBQUFJQmxDQndBQUFBQUxFUGdBQUFBQUdBWkFnY0FBQUFBeXhBNEFBQUFBRmlHd0FFQUFBREFNZ1FPQUFBQUFKWWhjQUFBQUFDd0RJRURBQUFBZ0dVSUhBQUFBQUFzUStBQUFBQUFZQmtDQndBQUFBRExFRGdBQUFBQVdJYkFBUUFBQU1BeUJBNEFBQUFBbGlGd0FBQUFBTEFNZ1FNQUFBQ0FaUWdjQUFBQUFDeEQ0QUFBQUFCZ0dRSUhBQUFBQU1zUU9BQUFBQUJZaHNBQkFBQUF3RElFRGdBQUFBQ1dJWEFBQUFBQXNBeUJBd0FBQUlCbENCd0FBQUFBTEVQZ0FBQUFBR0FaQWdjQUFBQUF5eEE0QUFBQUFGaUd3QUVBQUFEQU1nUU9BQUFBQUpZaGNBQUFBQUN3RElFREFBQUFnR1VJSEFBQUFBQXNRK0FBQUFBQVlCa0NCd0FBQUFETEVEZ0FBQUFBV0liQUFRQUFBTUF5am13WGdGdlR4bzBibHpvY2pxOU9kYTZob2VHNWExOUhvOUhkeDQ0ZGEvOW9LZ01BQU1CY0luQWdLOWFzV2RQWjNOejgzdzNES0p2aTlLTVRYNWltMmIxbXpackhqaDA3OWhGV0J3QUFnTG5Da0Nwa3hjc3Z2eHl6Mld3L24wWFQvL1B5eXkvSExDOElBQUFBbGlCd0lHdmk4ZmpQWnRGc05tMEFBQUF3VHhFNGtEVTJtKzF0MHpRSHBtblNYMUJROFBaSFZoQUFBQURtSElFRFdYUDQ4T0Z4d3pCK01VMlRYK3pidHkvNmtSVUVBQUNBT1VmZ1FGWVpocEZ4eUpUTlptTTRGUUFBd0UyT3dJR3NHaG9hK3EyazRTbE9EUThPRHI3NVVkY0RBQUNBdVVYZ1FGWTFOemVIVGRQODVSU25YbTF1Ymc1LzVBVUJBQUJnVGhFNGtIVVpobFV4bkFvQUFHQUJJSEFnNnd6RCtIK1NBdGNjQ2hpRzhWcTI2Z0VBQU1EY0lYQWc2dzRmUGh5UTlKdUoxNFpoL1ByS01RQUFBTnprQ0J5WUYwelRUQTZobXVXR2dBQUFBTGdKRURnd0w3aGNybDlOZkoyYm0vdXI2ZG9DQUFEZzVrSGd3THh3OE9EQllVbS9sUFRxZ1FNSFJySmREd0FBQU9hR0k5c0ZBTmY0bVdFWVpyYUxBQUFBd053aGNNd0Q5ZlgxQnczRHVEM2JkY3dIcG1tcW9hSGgrV3pYTVIrWXBybnZ5SkVqOTJhN0RnQUFnQnZCa0twNWdMQ0JxUmlHOFlmWnJnRUFBT0JHMGNNeGo5eXp0eUhiSldDZTJMKzlNZHNsQUFBQXpBbDZPQUFBQUFCWWhzQUJBQUFBd0RJRURnQUFBQUNXSVhBQUFBQUFzQXlCQXdBQUFJQmxDQndBQUFBQUxFUGdBQUFBQUdBWkFnY0FBQUFBeXhBNEFBQUFBRmlHd0FFQUFBREFNZ1FPQUFBQUFKWWhjQUFBQUFDd0RJRURBQUFBZ0dVSUhBQUFBQUFzUStBQUFBQUFZQmtDQnhUc0RLWDlNZU9tSkdta1pVeUhIait1VUYva2h1NnhmM3VqZ3AyaFdiWHRlcXRQNDBQakdjODMvK2lpVGo5M1Bsbmo5VEpqNW94L0FBQUFNRGNjMlM0QTJYZDQ1OG0wWTdjL3UwR3VmS2RhWDJ5WHU4UXRTU21odzJZMzVDcHlwcjF2dW1BU0hoaVg0Wnc2NDNvV3VTUkowZEdvMmw3dDBvVlhMbW4xbzh0VXRERS9wVjJnSTZTdXQvdFV0YTFjaHMyWStrYW1GT3pLSEc2bWV0N0p0bjUzZmJJbUFBQUFmSGdFRGtpU3R1eFpwNXh5ajdyMjllbml6enZseW5mcTB1czlHbWtla3lRZGV2eDRTbnR2Vlk3cWQ5ZW1YV2R5dTJzZDMzTTI0N2w3OWpaSWtoeDVEdFYvWTYxTy9mQzhUbnluV2NzL3UwUkxQbE9XYk5mNllydThsVG1xM0xZNGVXejQ5S2dNcHlIZkNxOGtLUmFPWnd3VlcvYXNreVJ0L1hhZEpDblVIOUh4dnp1ckxYdld5YkFaaWtkTk5UNDVjeUFCQUFEQTdCQTRrS0xud0lES1BsNnNzYmFnenIvVW9kV2ZyMWJwUGNYSjgyTnRRUjM5K2lrdHVxMHc0elVtd3N1MTltOXZuUEo0c0RPVUZnNGNlUTdWN2FqUnVYL3JVTUZhWC9KNDczOE9hUGowcURidFdpUERmclYzby8xWDNRcGNDcW5oNlZyWlhEYlpQYlprZ0psODM0bGhYWjR5ZDhvOVBhVnVHWFpEOGZINGpOOGpBQUFBekI2QkEwbWg3ckNHejR4cTJZTVZPdmxNaTN5cjhwUy8xbmQxbUpRcG5mbkg4L0l1eVZISm5YNkYraUp5RnpsVGZ2bVhNZzlabXMxUXBsZ3dKcHZMSnNOdWFNV2ZMMDBlRHc5RTFMSzNYU3YrWXFtOGxUa3A3MW4xVjlWcS9IS1R6cjNVb1pxSEttZjFyQlBCSTl5ZmVMWmdWMWlHVFlwSG1iOEJBQUF3bHdnY1NPcDZ1MStGNjN5S2hlSnlGN3MwZGpHWWNZalVvUjBuSkUzZG03Ris1NnEwSG9SRGp4K2Y4bmlvTzV3eTFPclVEODVwZkNTcTFZOHVVMjVGNHJyUlFFeE4zMnRWMGFaOExiNTNVYkt0R1RNVkM4ZGxSazFWM2xlbTFuOXRWOGtkUmNwZmxUZmpzMDRPUHd5akFnQUFzQWFCQTBsREowZVV2OXFyb28zNUtxenpwZlZjVExaL2UyUEthek5tYXNPVHErUXFtdjFrYTNleFN4dWVYQ1V6WnNxd0cxcjIyU1ZxZXFaRlI3OTJTalhiSzFWNnQxL3Y3enFsWUZkWTRmNklEbjd4bU9JUlUvSHgrSlNyU2JXODBLYk4zMWliZVVMNUZSTkRya0xkWVIxNjRvVHUvbkY5Y2tqVjd6NTNkTmIxQXdBQVlIb0VEaVJWUDFpaEU5OXBWdm1uUytWWjVOS2hIU2NVNmduUCt2M0J6cEErK0ZibWllSFRUUnB2ZUxwV3VVdHo1SzNNMGFaZGE5WDBUS3VHVDQrcTdBK0t0ZWoySW9YN0kvS1V1ZVgwT2VUTWM4amh0Y3VlWTVmZE0vRzNUY0hPa041LzZyUTYzK2hWeDJzOUNsOFpDamJSbStFcGRhdnViMnBtL1R6elFYMTkvU2V6WFFNQVlPRXlUZk9UaGpIOWgzVEFqU0p3SUttd3ppZmZDcTg2WCsvUjhqOWJxczFQcloxMnI0dURqeDFMTzJiWUROMzlmSDNhOFV5VHhpWHB3RjhlU1hudDlEbTAva3F2aHlSVlAxQXhxL3A5TlY1Vi91bGlGVzNNbDcrK1FHYk0xT0dkSjFXM1k2VThKUzRaZGlONXpjbTlNd2NlT1RMVkpiUE9NSXczc2wwREFHRGhNd3dqbHUwYXNIQVJPSkRDdnpsZlBRY0d0TnlVYkM1RDB2Vi82cEZwTDQ3cDl1R1l6R1kzSk1mVmU4OTIwOENwd29tbnhKVzJTdFhFOHJqaC9vaU8vMzJ6R3I2MUxqbHAvTWhYbW1aMXI0L0ltOWt1QUFDdzRJMUhvOUdYc2wwRUZpNENCMUs0L0M1RkJzZDErWU5obmZpSDV1dCt2eGszTTA0MG4yNUkxV1F0ZTlzMFBoclYyc2VXUzVyZENsZlMxYmtabWVTVWU1THpOU1FsNTNya0xIWW5qMTE3UHRzYUd4c1pVZ1VBQUc1cUJBNUlra2JQQnhRTnh0VC8rMEc1Q3B3cVhPZlQ3Yzl1U0o3ditFMlBTdS95eTFsdzlVZW05U2Z0c252c3lkZXVJcGRXUGxLVnNwS1VKQTJmSFZYUHV3T3FmcUJDenZ6MEg3bXV0L3JTSnBvUHZEK2t2S3JVNVc4ekRjbVNwdDdQSTFPN2EwMWVGbmVDdTlnbG0ydDJ2VEVBQUFESWpNQUJTVkxmN3dmVmYyaFFqbHk3YWg2dVV2ZTcvU3JlV3FqRFQ1eFEvZTVhRFo4WjFjalpVVzM0OG1vWmRrT0I5cUFjT1hhNUNwM0phOFFqY2JrS25KSXBoUytQcStYNWkxcjNlSTJhZjNSUlpzeFVxRGVjRmppaWdaakMvUkhaUFZkL3VSOXJDeXJjRjVuMTNJM1ppb1V5NzBBK2VWbmM5VHRYcWJET04yVmJBQUFBekI2QkE1S2txdnZMdGZLUktqbThkdlVkdkt6elArM1FvdHNLRlEzRUpKdWh0Vjljb2FOLzI2U1I1akZGQXpHWnBqUndkRWh0Lzk2bHltMkxKVW5kNy9TcGExKy8vUFVGaW9kakdqZzZKRW1xMjdGU1RjKzI2b052bmxIRG5qcDVTbHhxZWFGTjRZR0lhaDZ1Vk9lYnZZcUY0OG1OL2dZYUIyWFlEZmszRjh6SnM3VzkycVZBVzBpUjRmRzBJVmVUbDhVRkFBREEzQ0p3UUpKa2N4aHkraEkvRHBmZTZGWEpIZjZVQ2Q1dXYxTmJ2bDBuUjY1ZFovLzVndUxqY2RVOFhLbFQzeitub3MzNThsYm1xUHZkQVpYZTdVK2JaKzR1ZG1ualYxWnJxR2xVbnBMRTBLblJDd0hGZ2pHNS9TN1ZQRlNwMDgrZFYyR3RULzZHQXZXK2Qxa0Z0VDQ1Y3UwcDE0a0Y0NGtBTklWWU1KNzhPakkwcnZaWHU5Vi9lRkNTMUxOL1FIbkxjbFgraVpJYi9qNEJBQURnK2hBNGtHS29hVVNqNXdKYTg5ZkxaWE1hc2psdEdqZzhxTUwxaWVGRll4Y0N1dnpCc0piZVY2YmlMWVZhODRWbDhpN05VZmM3L1FyM1I3VDRFNG41RzA2ZlF6S2s3bmY2bGIvS0t5bXhXbFN3TTZUUjh3R050Z1pVL3FsRUFDaTV5Ni9lOXk1cnJDMG85eUtYQWgwaGxYOHlQUndjM1hWcVZzOWdjOXJVK1IrOThxM3dhc21mbEtwNGE1SGNmcWVDbmFGWnorR1FwSnpGbmcrelNCY0FBQUN1UWVCQWlvSmFuK3AzMXlaN0lpcTNMZGI1bjNZby9tSmkvd3JEWVNoL2RaN0tQbDRzU1ZyMHNTSkppVTMxcWgrc2tOdWZlSjhqejZHcSs4dlYrcE4yeFVLcHZSSTJsMDJGRy9KVmRXVW9saVRWZm1tRkRKdWh6amQ3SlVQeTF4ZW0xYmJ4cTZ2bEtYTlBXWGVvTzZ4anU4OGs3cDFyMThlZTNTaUhON1dIWkxwSjVaUG5jRWpTbmYrME9XVnVDUUFBQUs0Zm45L09BdzBORGFZMDg1S3VWdW41M1lDSzZ3dGt6N0hQM1BnakVPcU5KQVBQaEF1dlhGTEZINVVtaDMxTk5qNFMxYVhYZXVaOG9ubTJUR3hNMk5qWXlQOVJBQUJ3VTZPSEF5cTl5NS90RWxKTURodlN6THVOTzMyT0JSTTJBQUFBRmhMR2l3QUFBQUN3RElFREFBQUFnR1VJSEFBQUFBQXNRK0FBQUFBQVlCa0NCd0FBQUFETEVEZ0FBQUFBV0liQUFRQUFBTUF5QkE0QUFBQUFsaUZ3QUFBQUFMQU1nUU1BQUFDQVpRZ2NBQUFBQUN4RDRBQUFBQUJnR1FJSEFBQUFBTXNRT0FBQUFBQll4cEh0QW5EVi91Mk4yUzRCQUFBQW1GUDBjTXdEcG1udXkzWU5tSC80dVFBQUFBQUFBQUFBQUFBQUFBQUFBQUFBQUFBQUFBQUFBQUFBQUFBQUFBQUFBQUFBQUFBQUFBQUFBQUFBQUFBQUFBQUFBQUFBQUFBQUFBQUFBQUFBQUFBQUFBQUFBQUFBQUFBQUFBQUFBQUFBQUFBQUFBQUFBQUFBQUFBQUFBQUFBQUFBaEU3UExBQUFBTDVKUkVG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E3UGovRWgxdTB5V2RKTFFBQUFBQVNVVk9SSzVDWUlJPSIsCiAgICJUeXBlIiA6ICJmbG93IiwKICAgIlZlcnNpb24iIDogIjgxIgp9Cg=="/>
    </extobj>
    <extobj name="ECB019B1-382A-4266-B25C-5B523AA43C14-7">
      <extobjdata type="ECB019B1-382A-4266-B25C-5B523AA43C14" data="ewogICAiRmlsZUlkIiA6ICI3NzMyNzUzNzAxNCIsCiAgICJHcm91cElkIiA6ICI1MTU4OTQ4ODgiLAogICAiSW1hZ2UiIDogImlWQk9SdzBLR2dvQUFBQU5TVWhFVWdBQUFuUUFBQVJpQ0FZQUFBQXRObXB6QUFBQUNYQklXWE1BQUFzVEFBQUxFd0VBbXB3WUFBQWdBRWxFUVZSNG5PemRlWHhqWmFFLy9zODUyYmNtYWRwMDM1ZVphVHRMTXl3aTZBOTN2SElWbDZzWEZ4UzVvbjRSRnk2S3VJRTZjdVc2YjRCNnJ3dWk0cFc1Q0lLb2lIY1VFQWFZemtKbjJzNTAzOUlsemRwbVB6bS9QOUowMGpacE0ydWI5dk4rdmZxaU9lZkp5Wk15cC9uMFdRR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hUUlTMXJnRFJldFBlM3I1ZkVJU0wxcm9ldEw3SXNyenY0TUdEcjFqcmVoQVJaU0t1ZFFXSTFodUdPY3BFRUlUTDE3b09SRVRaS05lNkFrVHIxV1gzT3RhNkNyUk9QSFZOeDFwWGdZaG9SV3loSXlJaUlzcHpESFJFUkVSRWVZNkJqb2lJaUNqUE1kQVJFUkVSNVRsT2lpQTZGMlJBbG1RazRqSVNzUVFTc1FTa2NBSlNXSUlVU2lBK0YwZDhUa0xNSDBQVUcwY2lta0RUQjJyT1c5MEc3aCtEMnFwQ3hSWDJNN3JVeEQ0WHZDLzZVZkdHRXBqcURXZXBncm5wLytVb2JBNHp6TnRNaUFlbG5KNmoxQ3ZPY2EySWlOWUdBeDNSV2ZUMCt3NUNsbVZBemw1R1ZJbFFhT2UvZEFvbzljbXZtQzhHbFZrRklCa0duNzcySUpRR0JTQ3N2RnlrTE1sUUdoUzQ4SnR0dVZWU0FCTHhCQVorUFFwOWhSYlc3UVc1dnIxRjNBZDk2UHZaQ0NBQVVXOGNiYmMyUVZSbXJtc2lMaVBxaldVOE4zRGZDR1k2Zkt1K1h2cXNZeWtzd2ZuRU5BcmJ6WkFsR2M5KzZIQk9kZWJNWlNMYXFCam9pTTRpT1NHajhzb1NGRjFraGFnVUlDaEZpQ29Cb2xxRUhKZmg2d3JBMGxZQVZVRnV0NTdTb0lTZ1dEblFKU0taVzZmaVFRa3hYK1lRVlhwNUVkd0hmWmgreGcxdGtUcGpHVzJ4QmtLV2dPWSs1RVAzOXdkZ2FUT2g1cTNsZVBHckozRDhoNFBZOHFIYWpQV2RHd3ppOEpkNk1sN3JvdTlzUiswN2t1OGhFWk54K1BadWxGOWhSOG5MYkJuTEE0RG54UUJFcFFCenMzSGhXT1A3cTFIWWJzNVlQandad1pFOXg3TmVqNGdvM3pIUUVaMWwyaUlOakxYNlpjZER6akI2N2huRTlsdWJZQzR3NVhTdHRrODJRbHVpV2JHTTU0Z2Z2VDhiWG5iYzlhd240L0YwVTArNU1mV1VPK001eHgzYm9LL1VMVHZ1ZkdJYS9mZU53cnpOaEcwZnJZZW9GdEh5OFhvYy9VWWZqbjJyRDFzL1VnK0Zkdkh3WEZPREFTLzk3MTBBZ0g5Y2R3aU43NnVHL1dXRkFKSXRsa0N5WmRMZDRVTWlMcVBrWlRib3lyUlo2ejM5OUF3S2Q1a2hLQVhJVXJJNVZHbFFRajNmd3JtVWxHT1hMQkZSdm1LZ0l6b0hWbHFJOXNYL09KSHgrTzQ3VzVhRm1NTmY2Z0hFVmJwYzR3a29kTm5IaGkzdFpwd2RDQ0xzaXNLMjJ3d2h3N1Y5WFlHTWRZd0hKZlQ5ZkFUVHo3aFI4bkliR3ErdFhtaU5NMjh6WWZ1dFRUajJ6VDRjL21JM21qOVl1empVQ3FuZ05rOWM4bmllNnprUDlKVzZGY05jTEJDSCs3QWZXejlTbDdVTUVkRm13MEJIZEE3c3ZyTmwyYkh3ZEJSSHY5Nkw1dXRyWVdwWTNvS25MVjdlRXJmekMxdE91NFV1bThIL0dVTjRPZ3FiSTNQM1pDYXUvUjcwLzJvVVVsQkMwM1UxS1BuL2xuZUhtaG9NMkhuYkZuVC9ZQUNIdjlpRDh0ZlpVZm1HRXFoTXVmMmFrVUlTWmpwOHFMcXFkTVZ5NDMrZWdpekowSmN2RG4xUlR4UWhaempqYzhMVDBaenFRRVNVcnhqb2lNNkJsVnFZTkRaVjF2TUhQOXVGOEZRRUFDQ0lBam8rMjdYYW5Bakk4ek5xbi9uQUlRREExaHZyWWQxUmdKTExiUXZkbWluK0U3UHdIZzJnK2ZyTVk5MEF3THpWaEpmKzl5NklTaEgrRTNNWXZIOE0vaE96c0xTYTBIaHROYlQyN0FGVGE5ZGc1eGUyWVBoQkowWWZuY1RFRTlPb2UyY2xDaDFtUEhmaml3dmxlbjh5ak42ZkRFTlVDbmpwVDlvQkFCTi9tNEVzeVJoN2RCSmFteHFDVW9ETllRSFNxaW1GSkRqL01wM3h0ZnZ2RzEzNUIwVkV0SUV4MEJHZGJmTUJaR2xyVWFxVktESVRXM1l1RmZEYXY3THRyRlFodFNUS1VrTy9IWWZhcW9LeFRwKzFOV3ZSZFFKeFJIMHhiUDFJSGZ3bjV2REN6VWR6cnNNRlgydkY0Ry9IVWRCc2hNcWtYR2kxUEhETE1kUzh0UnhGRjFrV1p2REtDUm5PUDAvQmZta2hKdmE1RUhTR01mYm9KS3F1S2tQbEcwb1dyam44b0JPTEVoNlN3YmZvWWlzcXJyREQxSkJjT3VXcGF6b1dkV0hIQW5HTVBqS1pjOTJKaVBJTkF4M1JXU0lua29QelUrUFNEdHh5TEdPNTR6OGFYSFpzNlRpM2tET01BN2NjZzlLNCtCYU56OGFUYTZtbGozMUx5SWdIcFVYWG1IcHFCdjIvek41aTFYRnI1cnBscWxkaHV4a1FraTEzWmE4c1duUis4dTh6R0gxME1tTVhzN1pFczJpY1czcXJwTXFzWFBSNDZrazN3ak5SbEwvT2pvbDlMbWhzYXRTK3ZRTDl2eHFGcGRVRVk2MGVpV2dDNDMrWlJ0Ty8xZUQ0UFlNblgwZ0F0dDZ3OG5nNmxVbUp1cXNyY25yUFJFVDVpSUdPNkN4SnhKS0JUbFNmREZ0Tkg2aFpXSDVEVHNpSUJlSlFHVTh1UlRMNTVBeE8vSGdvNnpWZmN0ZU9SWStmdXFZRE8yL2JzaWdNcGNKZnV2TFgyVkgrdXBPTEJzZm40amp3cVdPdzdqU2orZnJsQ3hpUFBPVEV5RU1UdVBBNzI1ZVBlWnQvTzZvQzViTGxWbEpsVitwaVhvMFVsakQ0d0RpS1gyS0Z2dUxrZGNwZVhRelhDMTcwM0QySTlpOXZoYWdXazdOalgxcTRFT2llL1g5SEVKK05aN3h1dGtETnRlaUlhQ05pb0NNNlMxSkxZMlRialNEaWp1R0ZtenF4L2JQTk1HOHhaaXl6VktaUWN2VHJ2UkNVSjJlSXl2SEVxdGNadUg4TXNpU2o3bCtYdDFMRkFuR00vV2thOXN0c09VOWdPRk5TT0FIM0lSOUNFeEhFdkRIRTUrS29lVXY1NGtJQzBIUmROVHB1N2NMZ2I4ZFIvNjVLbEx4ODhXU01YYmR0V1dnWkJZQ3BwOTF3SC9SaGJpUUVYWmtXYW9zS2plK3JPaDl2aVlob1RUSFFFWjBsRVU5eWpKemFtbm1oWGptV0RGN2lLZ3NGcDF2YWxmblVOUjFvdmJseDFSYTZkRkZ2YkdGOXQrR0huQ2gvalIyNjB1VEVCamtoNC9nUEJ3RUExVzh0VzdFdUt5M0ZrdW1jMXE3QkJWOXZUVDZRazh1bHVBOG5kNFFZK05Vb0JLVUFUYUVhRVZjVWxWZVdaSnpOcTdWclVIbGxDWVovNTBUUlJWWVVOQzNlWGl6OU9lSHBLSngvbVViTEp4cHc1Q3ZIVVhkMUJicS8yNCs1MFRDS0xyU3MrTjZJaVBJZEF4M1JXUkp5UmdBQjBOb3pCN3FvTDlrMW1Pc3VFUUN3UDIxbWFNcVJQY2VYamFGYmlkcWl3b1hmYXNQazMyWXc5c2RKT1A4eURWdTdHV1d2dFdQaWlXbDRqd2JRY2xORDFrVjVVektOazF0cERGMzZMTnJwWnozb3VYc0FvbHFFYmJjRlJSZGFZR28yNHNVOXg2RzFxMUgxeHV4TGxWUmVXWUxwWjl3SWpvYVdCYnFVK0Z3Y1I3L2VpK0pMQ2xFdzMvcXBLOUdnL3QxVk9QN0RRYWdLR25OdUZTVWl5a2NNZEVSblNhQnZEbHE3QmdwdHNzdFZvUkVYdGNaNWp2Z0JBT09QVDZQaUNqczBOalZFaFFDRlp2a0N1eXF6Q28zdnEwYnBra2tJVDEzVGdSMmZhMTdVUWhjUFNuQTk2MW14YnFKYVJObHJpbEg2cWlLNDluc3crSnN4ZEg0MXVYaHc2ZVZGc0xTdXZuTkZwbkZ5dVk2aE16VVpzUFdHT2xoM21SZmViendvd2R4aVF2bHJpaUdxbC84TUZ1cXVFckhyeTlzeS9wd0FJT3FKNGVnM2VxSFFpYWg3VitXaWM2V3ZMRUxRR1Vibm5TZlFjRTBWU2k4dnluZ05JcUo4eDBCSEc4Nk9IVHNxdDJ6WjR2enRiMzk3L3ZaN2twUDdtNlp2ZEgvSmozY3RmRC81OXhtTVBUYUo0a3VzOEhiNjRmekxOSW91dHFMeW4wb1dsUU9TQS8xVEJoOFlYL1pTaDcrWWVmZUl3UWZHMFhSZE5XeTdNM2N2eWdrWnZtTUJURC9qUWNRZGc2RktCMUVsWW1LZkM5NWpBVlM4UHJsLzZrcmg2blJwaTlUTDlveFY2aFVaSjJoa2tpM01lVHY5T1A3aklTajFDclRkMGdReHc5Nno5ZStxaEVJam92Y253M0E5NjBIcnpZMVo5NmdsSXNwWERIUzA0U2lWeXMvMTl2WmV0WHYzN2djVGljUmVzOW04YjkrK2ZabW5RcDRsTXdkOWlMaWlLTHJZdW5Bc1BCbUIrN0FQazMrZndkeElDQld2czZQdTZtUUwwc3dCTDRZZmRPTGc1N3RRMkc1RzlSdkxZS3hQN2g2eGRHWnJ1a3l6WExPUkV6SkNFeEhNRGdiaE94cUE1NGdmVVY4TVdyc0dEZSt0UXVrcmlpQ0lBcnlkZmd3L09JRytuNDlnK0grZEtIK3RIV1d2TG9iU2tHeHAvTWY3RHlJUlg3bGJkNlh4ZGVkcVZta3NFRWZQM1lQUVYrcXc5U04xSzA3b3FIbGJPVXoxQmt3LzYyYVlJNklOaVlHT05pUkJFRXBrV2Y2UUlBZ2Y4dmw4Ym9mRDhaQWdDSHQ5UHQ5ZmVudDdJMmY3OVNiM3VXQ3MwY1BTWWtMdlQ0Y3hjOENMbUQ4T1VTMmlzTjJNcHV0cVlLdzd1ZDJYN1FJTGJMc3RtSDdXZzZHOTR6aDBlemRhUHQ2QW5yc0hWbndkaFViRW9TOTByMWltOGRwcUZMKzBFT04vbnNiQXI1SnIwU2tOQ2hUdU1xUG9ZaXNLZDVvWHJjMXJhU3VBcGEwQTNxTUJETzBkeDlEZWNZaHFBUld2VHk3bzIzNUhTM0k3aW5WR1pWSml4K2UzUUd0WFo5eVRkcWxDaHhtRnA3RGRHUkZSUHVHZnFyVGhPQnlPZXdCOE1NdHB2eXpMandpQ3NGY1FoRDhlT0hBZ21PSDVNbkJxTFVzeFh3d1Jid3pHR2oyOG5YNzRUOHpCMUdpQWVZdHgxUzVNV1pJeDliUWI5a3NMczI3SGRUb1NjUmxUVDg3QTFHQ0FvVXFYODkzdTdmVER2TTEwVnV0eXRrMzgxWVdpbDFpekxoRXo4dEFFeWw1VnRHeGg1dE9WYW9IczZPaFl2ejhVSXRyVStNdUpOcHhWQWwyNklJREhaRm5lcTFhckg5Mi9mNzkvL3ZtbkhPaG9ZMk9nSTZMMWpsMnV0RzYwdDdmdkZ3VGhvdlA0a25vQWJ4VUU0YTJ4V0F3T2grTVJBSHZQNCt0VG5rbUZmYUpUSWN2eXZvTUhENzVpcmV0Qkc5dlpuODVHZEpyT2M1akxSQllFZ1IvWVJIUldDWUp3K1ZyWGdUWSt0dERSdW5PbTNWcW4wdVVxQ01JZkVvbkVYcjFlLytqVFR6OGRtSC8rejg3azlXbmpZcGNyblNxMjZ0TDV3a0JIbTQwZndPOEI3QlVFNFUrWkprVnNWcklrcit1SkVFUkVsQjBESFcwR013QWVFa1Z4cjlmcmZlSmNMRnVTNzN6ZHMrajZiaisyZkxBRzFwMWMyb09JS044dzBOR0dKTXZ5SklEL0JiRFhiRGIvN1Z3dkxKenZqSFY2Q0FvQnZUOGR4dTZ2dFVKVW5SeGVPLzJzQnoxM0xWOGZUeEFGWFBxejl2TlpUU0lpeW9LQmpqYWNlRHkrWjh1V0xUZWMxNjIvOGxBOEtDSG1peTA4dHUwMkl4NklJK0tLWml5Lys4NldoZStISGhqSFRJZnZuTmVSaUloeXcwQkhHODZSSTBkR2p4dzVzbnJCVFc3bWdCY25mankwN0xqcmVlK2l4MXYrWHgwQUxHdzNKb1VsZUY0TUxOcTNsb2lJMWhZREhkRW1WZkl5RzlRRlNvU25vaWg3VGZHaWN3Ty9Hb1d4M29EaWwxZ3gvYXhuMGJuSnY4OUFDa3VvdXFyMGZGYVhpSWhXd0hYb2lEWXhVUzJpNzc2UlJhSE5mZENIc1Q5T1FXVmN2cTJXbkpBeC9xY3AySFpiWUtvM25NK3FFaEhSQ2hqb2lEWXg4ellUeWw5amg2OHJBQ0M1SisySi94NUMyV3VLWVdsYjNxWHFlczZMaUR1RzJuZFVuTytxRWhIUkN0amxTclJKcGZZblRabjRQOWZDOTg3SHArRjhmQm9BMFBpKzZvWGpNWDhNa0FGZmR3QzZVczM1cVNnUkVhMktnWTVvazBxZnRicVMyY0dUYXkrWHY5WU95RUR2VDRlaEtWVER1b01USTRpSTFnTUdPcUpOS2pWcmRUV3pRNkZGajh0Zlo0ZS9kdzU5OTQ3Z2dxKzFBdHhjZ29ob3pUSFFFVzFpUzd0ZGw3cnNYa2ZHNDVXdkw4R2gyN3N4T3hpRXNVNS9McXBHUkVTbmdJR09hSk5ydmJrUjJtTDFvbVBoNlNpT2ZyMDM2M08wOCtQbklwNFlqSFhudEhwRVJKUURCanFpVFU1YnJNNjUrelVsUEpuY0RqZlQwaVpFUkhUK01kQVJVVTdHL2pDSndFQVFDcTBJNzRzQnFLMHFya1ZIUkxST01OQVJiWExoNmVWN3QyWTZwcktvRUJvUEl4R1hZYXpUbythdFpSQ1VuQkZCUkxRZU1OQVJiWElyalpWTFozOXBJZXd2TFR6SHRTRWlvdFBCUUVlMHllMitzMlhaR0xxUU00d0R0eHhib3hvUkVkR3BZcUFqMnNRdStGb3JORVhxWmNlMWRnMHUrR1liQU1EU2FzS096eldmNzZvUkVkRXBZS0FqMnNTMEpabTM3eElVQXJUelFVOWxVa0psTXA3UGFoRVIwU2tTMTdvQ1JFUkVSSFJtR09pSWlJaUk4aHk3WElteVdHMWJMQ0lpb3ZXQ0xYUkVTOGl5dkcrdDYwRHJELzlkRU5GNnhoWTZvaVVPSGp6NGlyV3V3M3JoY0Roa0FPam82T0FLd2tSRTZ4aGI2SWlJaUlqeUhBTWRFUkVSVVo1am9DTWlJaUxLY3d4MFJFUkVSSG1PZ1k2SWlJZ296ekhRRVJFUkVlVTVCam9pSWlLaVBNZEFSMFJFUkpUbkdPaUlpSWlJOGh3REhSRVJFVkdlWTZBaklpSWl5bk1NZEVSRVJFUjVqb0dPaUlpSUtNOHgwQkVSRVJIbE9RWTZJaUlpb2p6SFFFZEVSRVNVNXhqb2lJaUlpUEljQXgwUkVSRlJubU9nSXlJaUlzcHpESFJFUkVSRWVZNkJqb2lJaUNqUE1kQVJFUkVSNVRrR09pSWlJcUk4eDBCSFJFUkVsT2NZNklpSWlJanlIQU1kRVJFUlVaNWpvQ01pSWlMS2N3eDBSRVJFUkhtT2dZNklpSWdvenpIUUVSRVJFZVU1QmpvaUlpS2lQTWRBUjBSRVJKVG5HT2lJaUlpSThod0RIUkVSRVZHZVk2QWpJaUlpeW5NTWRFUkVSRVI1am9HT2lJaUlLTThwMTdvQ1JMUSt0TGUzbHd1Q2NIMm1jdzZINC9iMHg3SXMvK2pnd1lQajU2VmlSRVMwS2dZNklnSUFSS05SbDBhaitTZ0FhNGJUdDZWOTd4RkY4U3ZucVZwRVJKUURkcmtTRVFEZzZOR2pVVm1XSDg2aDZFTUhEaHlJbmZNS0VSRlJ6aGpvaUdpQklBaDdjeWlXU3hraUlqcVBHT2lJYUVGQlFjSGpBR1pYS0JMdysvMlBuNi82RUJGUmJoam9pR2pCdm4zN3dnQWV5WFplRUlSSGVudDdJK2V4U2tSRWxBTUdPaUphUkpibHJGMnFpVVNDM2ExRVJPc1FaN2tTMFNLU0pEMm1WQ3BEQUhSTFRvVWtTZnJqV3RTSktCODBOalpxckZicm9sbmlraVFCQUM2ODhNTFM5T01lajhmRDFtNDZtOWhDUjBTTEhEbHlaQTVBcHVEMjJQdzVJc3JBYXJWYUpVa2FseVRKbWZwS25Vcy9Ka25TMk5MZ1IzU21HT2lJS0pObFhhczV6b0FsMnJTZWYvNzVDUUIvejZIb2svTmxpYzRhQmpvaVdrWVFoRWNBcEs4MUYxVXFsVmtuU3hCUjBrcGpVTk04Y000clFwc09BeDBSTFhQZ3dBR2ZMTXZweTVNOHZuLy9mdithVllnb1R5UVNpZjlkcll3a1NRK2VqN3JRNXNKQVIwVFo3TTN5UFJGbGNmanc0VEVBejY1UTVKbjVNa1JuRlFNZEVXV2tVcWtlU24ydlZDcHoyUktNaUxEeWVGT09SYVZ6aFlHT2lESjY3cm5uWmdEOFJaYmx4K2UvSjZJY3hHS3hyS0V0Rm91dDJpVkxkRG9ZNklnb0sxbVc5N0pGZ2VqVUhEbHlaQURBd1F5bk91YlBFWjExWEZpWWlMSlNxOVVjdkUxMGV2WUNhTTl3ak9pY1lLQWpvcXoyNzk4L3VkWjFJTXBIZ2lEc2xXVjVUL294VVJRWjZPaWNZWmNyRVJIUldYYmd3SUZ1QU1kU2p3VkJPUHJDQ3kvMHJHR1ZhSU5qb0NNaUlqb0gwaGNaVGlRU2JKMmpjNHFCam9pSTZOeFlDSEdjWEVUbkdnTWRFUkhST1hEdzRNRWpBUG9BOUhaMGRMeTQxdldoalkyVElvaUlpTTROR2NCZVFSRGsrZStKemhrR090cjAydHZiOXd1Q2NORmExNFBXRjFtVzl4MDhlUEFWYTEyUGZNWDc2aVJabHVGd09HNVo2M3FzQjd5dnpoMTJ1ZEtteHc4ZHlrUVFoTXZYdWc3NWpQY1ZaY0w3NnR4aEN4M1J2TXZ1ZGF4MUZXaWRlT3FhanJXdXdvYkIrNHBTZUYrZFcyeWhJeUlpSXNwekRIUkVSRVJFZVk2QmpvaUlpQ2pQTWRBUkVSRVI1VGtHT2lJaUlxSTh4MEJIUkVSRWxPY1k2SWlJaUlqeUhBTWRFUkVSVVo1am9DTWlJaUxLY3d4MFJFUkVSSG1PZ1k2SWlJZ296ekhRRVJFUkVlVTVCam9pSWlLaVBNZEFSMFJFUkpUbkdPaUlpSWlJOGh3REhSSGxoVVFzQWNpNWw1ZkNDY2pTS1R5QmlDaVBNZEFSbmFhUU03enNTMDRrQTBTZ2J3NHYzTlNKc0N0NlJxL3gxRFVkQ0RuRE9aV2QrRDhYWXI1WTF2TzlQeGxHenoyREMzVThWYklrci9xVnpuUEVEOWQrejZyWGZlcWFEZ3c5TUw1aW1WZ2dqbjljZHdnekI3d0lUMFZ5K3JrK2MvMGhUUDNEdldvNTJwalcyLzJaRW5ISGNQUnJ2V2YwdWt2MS9uUVlNeDIrczNwTnlqL0t0YTRBVWI0NmNNdXhaY2N1K3Q1MnFBdFU2UC9sS0RURkdnQlk5S0VoS2dTb3JhcGx6MXZwZ3lYaWprRlFaZjdiUzF1a0JnREVaK01ZK2YwRWhoNFlSL01IYTJIZFViQ29YSEFzakltL3VWRDlwaklJb3BENWhXUWdOSkg5d3luVCsxM3FnbSsyTGRScDhza1p6RHp2QlVRQlJSZGFWbjN1U2tSMTh2M0xrb3orWDQ3Q2Yzd09XMitvaGFXdFlKVm4wbWExbnU3UGRJbUlCTStMZm5UY2VySit4WmNVcnZoSFRjTTFWU2g3ZFhIVzh4UDdYTkFVcW1Gem1MT1dvWTJQZ1k3b0RPeStzd1c2TWkwbTlya3cvS0FUNmdJVnh2ODhoVUR2SEFEZ2haczZGNVUzVk92UXZtZmJzdXNzTFpldTg4NFRXYzlkZHE4REFLQTBLdEgrcGEzb3Ztc1FSNy9SaTdwM1ZLRGluMG9XeXZYL2NoU0dLaDJxM2xTNmNNemZNd3RCSmNCVWJ3QUFTSkZFMXRDMis4NFdBTUFGWDJzRkFJUm5vdWo4Nmduc3ZyTUZnaWdnRVpjWGZVQUJ3SllQMXVMb2JDOTY3aHFBZUdNOUNzL2d3MFl4SCtnU2NSbk5INnhGejEwRE9QcU5QclRjMUFEcjltU29tL3FIRzhmdkdWejRtUkN0bC9zemt5MGZybHY0WG1WU1FsT2t4c2p2bk5qMXBaT3Y3K3NLNE5pMysyRGVac3A2SFZtU0FSa1FWVm4rVUtOTmc0R082Q3lZZXRxTmtwZlpNRGNTd3VCdnh0QjhmUTNzbDlrV3pzK05oSERvdHU0Vlc2cFNIejdwbnJxbUkrUHhrRE84TEh3cGpVcTAzdHlBZ1YrUHdiejE1QWZBOUROdStIdG1zZlAyTFJBVUozL3BqejQ2aWVCNEdJNDd0a0ZVaTFCb3hZVVBvS1d2bStwVzBwWm9GcjJtMXE2Qm9CQ1M0OXVXRUpRQ3R0NVlqeU5mNmtGNDVzeTZ0aUFBb2pMNU9rcTlBaTJmYU1ERVgxMndyUEJCUjVTeTF2ZG4rbkFFZWY1VzBWY3NmazdSaFJZTTNqOEd6NHQrRkYxb2daeVFNZnc3SjRwZlVyaW83T1NUTTVDQzBzTGp4UHkxL2IxekVQNDBsYkh1UlJkWk03WTgwc2JDUUVkMGhzS1RFZmlQejZMMlg4cHg3TnQ5TURVWlViRFZkTEtiUmdhTy8zQVFoZ29kaWk4cFJOZ1ZoY2FxV2hTdWdPeGRtcmwwZFVvaENhSmFoS0FRVVArdXlvWGpFWGNVZmZlT292N2RsVEJVNlJZOXAra0ROZWo0VEJjR2ZqT0dodmRVNWZSZVU4RXVNaC9RUWhNUkNHS3k1U3dUcFY2QjlqM2JJQ2pQdlBWQTFDaVFpQ1lRY1VjUkhBMURpaVZ3NGlmRENJNkdVUG1Ha3RVdlFKdlNlcmcvbjc3MjRLckhXbTl1UlBWYnl0RC9peEdZbXcwWWUyd0trWmtvV201cVdGUnU1S0VKaEtjaXk2NDM4NElYTXk5NE03NitxY0hBUUxjSk1OQVJuYUdKdjgzQTBtS0NGRTVBWTFOamJqaVV0WXZtaFp1UEFzajgxMzdiTFUzTFdzQmV1S2t6NC9Id1pHUlJWMC8zRHdZUUM4VFIvTUZhNk11VDE0MEhKWFI5cHgvV25RVW9mVVhSUWxsWmtpRkZFcERqTXFxdUxFSC9yMFpSL0JJckNwcU1xNzdYcFI5ZVM3dFpVK0p6RWhMeGs2MTJLcU55MlFka0xtYUhndkQzekdKdUpJUkVSRUwvTDBmUmY5OG9WQ1lsZE9WYTZNdTFzRjlhQ0VPTkhvSCt1Vk8rUG0xODYrSCt2T3hlQjJSSnh1VGZaMkMvckJEL3VPNFFkdC9aZ29nN0JtT2RIa3E5SWxsUUJ0eUhmRGo0K1c3RWd4SmFQOWtJdFhseEVMdmc2NjNMNnIzL3hoZGh2N1FRZGY5YXNlaDRvRzhPaDcvWWMxYitvS0wxajRHTzZBejVqZ1ZRMEd5QWRVY0JMSzJtVllQTFU5ZDBMSG9zU3pLMjM5b0V0WFg1QU9wc05EWTF0dC9hQkZtU0lTZ0UxTDZqQWwzZjdzT2hMM1NqNFpvcTJDOHR4T0hidXhHYWlDQXlFOFgranh4Qklpb2pFY3U4bEVmZnowZXc2MHRiczArWW1KZnFrZzFQUnZEQ0o0L2kwcCsyTDNTNS91TzZRd3ZsZXU0YWdPZEYvOExqOWozYllLaldMWHZ2S1NNUFQyRGs0WWxGeDB3TkJoanI5ZkFkQzBCZnJrVWlMcVBsNHcwd05SbWdNaTMvMWNWQVI1bXNoL3N6RVpkeC9PNEIrTHBuVWRDYy9NTXBFWmN4L3FjcEJBYUNhTGltQ2tVWFdqQTNFa0xNSDBkOFRvS2dGQkFjRHNIVVlJQzRKSkI1andhZ05pdWhyOVFCY25KU2xNcW9XRmFQaFpielJISTgza3BqOFNqL01kQVJuYUdhZnluSDBXLzBvdXkxZG1pTDFIamg1cU1adTBTeUNUbkRlUEUvc2crc1htblF0ZU9PYmRCWDZtQ28wbUhuN1Z2UjllMSsrSHRtVWZKeUc0b3VzaUl5RTRXMlJBT1ZTUW1WVVFtbFFRR0ZUZ0dGTnZWZkVTRm5HSWUvMkFQbjQ5TVkrOU1VSXZOZFVhbldPSzFkZzlaL2I4aGFoMHkyZnJRZXNpUmpkaUM0cVA2cHlSWHBEdHh5REtXdkxFTEY2K3lMam9zcUVacjVXWUtKYUFLdTV3OUJWNlk1R2VaazRPZzMrMkRlWmtUbFA3SExsVEpiNi90VFY2NUY1MWRQSUR3ZHdmWmJteGJHdzRsS0FTMDNOY0MxMzRPb080cGozK3FEKzVBUEpTKzNvZlhmR3pINTVBd0cvMmNNdzc5em91Z2xWcFM5cWhqNmNpM2toSXdUUHg2Q3NVNlBiUityUjJ3MkRsbVNvYllzNzFLVjV3T2RyeWVBZ1YrUExmeStvSTJKZ1k3b0RGbGFUVERWRytEODh4VHEzbG1KWFYvY3V1SmFiL3R2T0xMc21DQUt1UFJuN2N1T1p4dDBEUUJQdjIveEdCeVZTWW0yK1ZZQkFLaDVXM2xPOVRjMUdGRDF4bEpZZHhTZ3NOME1XWkp4NEpaamFMMjVFZHBpTlFTRnNIRE5wYTBYbWNZR0FZQkNJeTc2YjBxbTl3RWt1MlN6blFPU3k1WW85UXBFM0xHRmNpTVBUOEJ6MkFmN3BZVTV2VS9hbk5iNi9oUkVBZVd2TFlhcDBRQ05WWTE0VUVMRGU2b2dxa1hFZ3hJczg3TzBRNU1SYlA5MEV3dzFlZ0JBeWN0dEtOeFpnSW0veldENmFmZkNIeTB6QjN5SXVLUFkrcEhrTE5sVU9OVVVhWlpXWVdHeWt1MENLOFllbThMNDQ5Tm92TFk2K3crTDhob0RIZEZaVUxpckFGTlB1MUVuQTZKYUFIRHFZMWF5clhXMTBqcFhTNGtLQVVqcm5zbDEwZE5NNFU5YnJGNDJ5elhWd2hhWmlhTHpQM3ZoK0krV2hVa1JCei9ibGROcm5TNWR1UmFoaVRBc3JTYk1IUEJpNkgvSFVYR0ZIY1V2c1o3VDE2WDh0OWIzWjlGRnlYK2o2Yk5mKzM0eHNxeWM4eS9UeTQ1ZCt0TjIxTDJqSWxsbEdSaDllQUxtTFVhWUdwUExEYzBOaHdBc256VUxBSWxZTXJncXRDTHNseGJDK2NRMDZxNnVoRUxMUFFVMklnWTZvck5BWGFoRzFCdUQ1MFUvam43OTFGZUJseE55MW9IYUszWHBMTlYzN3doaXMzRnN2U0g1MTNzdU0vQ0FsZGZMQXBJdGE2bnhjZ0FXeHRycFNqVUx4OUxQbnd1bWVnTm1CNFB3ZHZyUjg0TUJGRjFnUWQzVmxhcy9rVGE5OVhKL3B1U3lWbUpxbkNxQWhmdzU5UTgzWm9lQzJINXIwMEk1YjZjZnVsSk54bkdsaVVoeWVSTlJKYUw0a2tLTVBqcUo2V2ZkS0wyOGFGbFp5bjhNZEVSbllIWXdpSGhJd3N6elhxak5LbGhhVExqb2U5c1h6bzg5TmdYN1N3dWhNcCs4MWZydkc0VkNlM0lBczlxcVJ1TzExWXRtb2dLQS84UXNwcDUwbytadDVWQVZMTDlWSi83UHRXeWd0dnV3RDhicXhXTmtzblVKQVpuWHM4dFdMdDNTWlV0U05EYjF3cTRPWjV0MVp3RjY3aHJBOU5OdVdOb0trZ3V6Y3ZJZXJXQzkzWjhwUzRkTDVOY1hldVFBQUNBQVNVUkJWQ3JxaWNLNjA3d3d1U0hxaWNGOTBJZXkxOW96bHBjaXlTNVhVU1hBVUsxRDQ3WFZ5M2FSb1kyRGdXNzlVUUtJcjNVbEtEZXU1NU5yUHluMUNqUzh0eHFUVDg3QWRvRUZCejU1Rk8xN3RzRi9mQmFCRTdQWS9wbG1DQW9Cd2RFUWxEckZvZ0hNaVdnaXVUU0JERVE4TWZUOWJCZ3ROeldnOXlmRGtDVVo0ZW5Jc2crTWVGQkNaQ2E2cU90a2JpU0VpQ3VhODlpNVhFbmg3RHRJTEYyMnBPMldKbGhhczgra2kvcGltQjBJb25EWHFlOGFvZEFreHh6WkhCWnMvVWpkUW11Z3J5c0FVUzBtUDdCWGVHM2FmTmJUL1prdTAzaThwUmExME0ycnZMSVVsVmVlZk56L3ExSElNbEQycXN6YmdpVWlDUWdLWWVGZVdScEthV1BaRklIT2JEYS9yYmk0K0xyeDhmSHJnc0hneXJ1QUw2ZFFxOVZOcXhmTExCcU5kaTg5NW5BNDVNN096bTBaenRsMjdkbzEyTlhWZFVFa0V1azV6WmMwbFphVzN1VHorZjRyRkFxTlpTdGtOQnJiTEJiTGUwZEhSejhGWU5FSTRmYjI5dmpvNk9qSHA2ZW52NTllNStIaDRRKzdYSzU3VHJOZUcxTDFtOHZRZUcwMWxBWUZYUHM5R1B5Zk1SUmRhRUU4S0FHaWdLMGZxY2VoejNjaDBEdUhlRkNDUEwvTzFNakRFd3ZiY0UzKzNZV0pmVE1vYkRjakVaSGdQcFRjWkx2MTVrWjBmYThmTDM3bE9CeDN0a0pickViZnowY1FjVWZSOE40cU9KK1loaFJKTEN3azdPN3dRbEFJcHhXV01objUvUVNDSTJGRS9iRmxYVVJMbHkzSnhkUlRNK2ovNVJpS0xyS2NVaDNsdUl5UjMwOWc3QStUVUJlb0lNMS9TS1U0LytxQ3J5dUFpNysvZzRHT0ZsbFA5MmU2MDIyaFN6Zjh2MDY0OW50UTlhWlNhSXN6dHdTR1o2SlFHcFl2WjBJYjAyWUlkQVhWMWRYZmkwYWpQZkY0dkVDdFZ1ZlUzcXhRS0daRG9kQW9nT0sydHJiVEh1M2QwZEVoN055NTA2dFFLQlo5Z2kyOVprZEhoMkMxV3ErSVJxT2pLNFM1ck9FeUZRNXROdHRieXNyS1B1ZnorZjVycFhvSmdtQXRMaTcrUkN3V201bWNuUHpxS2J3bFNpTXFoWVd4SytPUFQ2UDRKWVdMQmtockNsWFkvYlZXS1BVS25QanhFQkt4QkJyZVc0WHU3dy9BdXFzQWhpb2RKcDkwSjJkcUxzbEZHcHNhT3o3YkRGL1g3TUl2N05taElLU1FCRTJoR2czdnFVTFBQWU93YkRPaDBHSEc5TE1lbUxlWlRpNVNPazhLSlpJZllCbElvWk9MLzBaOU1ZeitmaEl6QjVLcnpVODk1WWF4Vm8reVYyYmZGSHcxVWpSNS9aNjdCaEFjRDZQMDhxSmxpNSt1WlBwWkQ0WitPNFpFWEViYnJVMkl6MG80K3ZWZVRPeHpMWXdEQ282R1VEQS9RRHdsTWYrNmdzQSsyYzFzUGQyZjZVNjNoUTVJL29IVDk0c1JUUHlmQzBVWFdsRHpsbVNMZk1TVmJCRlU2QlFRRkFKbUI0S1kvb2M3cHdYRGFXUFk4SUd1dHJiMmJwVktWYXBTcVVwUEpaajVmTDVIKy9yNkZocTMrL3Y3Myt6MWVuK1hYa2F0VnJmYWJMYXJuVTduN1ZqU1RXcXoyZDVYVTFQelV3QTRmUGh3RGRKK0hUZ2NEazkzZC9kRndXQncwV2phd3NMQ3E3VmE3VmFIdzdGc1RuMVhWOWNsb1ZCb01OdDc2T2pvRU9hdjhXNjMyMzMvU3ExekFCQUlCSjZjbUppNHZieTgvTXVCUU9DSllERDQvRXJsYVdXK3JnQm1CNExZOHVFNmlDb0Jva3FFKzRBWGxyWmtpOUhjVUJDZUYvMm92TElFdHQwV2JQbFFMUXlWT2t6K2ZRYVJtU2hLWDVrTUp5cVRFaENBeWIvUG9LQXBHVksweFdxRW5HSE1EZ1l4Mng5RTJXdVNBYXY0cFlXWWZ0YUR1WkVRTkVWcUJNZkNLSHYxOHZCMTZQWmxqY1FaaVNvUnpyOU93MVJ2UU1YcjdiQmRZSVdtVUlXUU01enpHRG9BMEpWcUYvNjF1L1o3QUNTRDNXcmRzWmxFdlRFVU5CbFIvNTZxaFphR21yZVdvZTluSTRoNllpaG9NaURraktEczFjV0llbU1ZZnRBSmhWYXhVRitOamRzZDBkcmZuMHNEWGJZRnRsY1Rtb2lnKy92OW1Cc09vZXcxeGNuV3YvbDdyZmZuSS9BY1RyWWVwbWJFaWlvUlZXOHNQYTNYb3Z5em9RTmRTVW5KSjZ4VzZ6dU9Iei8rcXRuWjJiK2U3ZXZyZExwdFpXVmxuM1U2blh1dzhyZzNYM3Q3KzZMelc3WnNlU2I5Y1ZkWFY1UFpiSDc5Nk9qb3pYNi9meThBMk8zMlQxdXQxbmQyZDNmdmprUWl3d0FpcWVDV2toNGNOUnBOZzhsa2VoVUF3V2F6dlR0VFJaeE81MWVjVHVmbjVyLy9xdGxzZnJQRllubERNQmpzY2pnY2dWUzVxcXFxNzFWVlZYMHYvYm5WMWRWM1YxZFgzdzBBSFIwZFZnQ1pOdzdjaE16YlRHamZzMjNoTC9XcU41Vmk4SC9Ha1BobE1wc0xTZ0VGelVhVXZDeTVJWGpSeGNsbERMUjJEV3IrcFJ5YXd1VHpsRVlscXQ5Y2h2NzdSaUdGRjdlcWlXb1JsdTBGcUg3VHlWL1EyejVlRDBFVTRIeGlHaENBd3ZibG00dnYrRnp6c3EySlVzS1RFUnpaY3p6NTJub0ZMdjdlam1WZE5DdE5tc2kwOWRjbFA5cTFNSGJJdXRPTVJFeEd3M3Nxb2RDZGV0ZFB4UlhMQjN0WHZha01XcnNXbzQ4a2Q1Y29hRGJBZnFrTm9rcUEvL2pzd3VyODVhK3p3N3lWWGJDMDl2Zm5VcGY4YU5lcWRRNVBSNVl0QlpTNk43ZmVXSStpQ3hmZjYyV3ZMSUtoU3BkY00xS1dvVFFvVVhTUlpjWDFIV2xqMmJDQnJyQ3c4UDBWRlJYZkdCMGR2VGtXaXcycjFlcXR1VHhQb1ZETWhVS2g1UXNFemN2VWV1WndPRUtwNzRQQjRJSHU3dTRMbHBZUkJFRng5T2pScGtnazB1dHdPT1NqUjQrMlJhUFJibzFHMDlqYTJuckNicmQveHV2MVBtb3ltVjQyTlRYMURRQXdHbzB2Yzd2ZDkwWWlrWnpteGR2dDlvOEVnOEdPL3Y3K1JXR3V0YlgxME9UazVGZGRMdGY5MFdqVWxYWXEzdDNkL1RJQVFRQkNaMmZuTmdCb2EyczdPakV4OFJXWHkvV3JWTUcydHJhdThmSHgyOTF1OTIvbUQvbXh5VFYvcUhiUjRPbjBkYUNxM2xpYTAxL0dsaFlUTEMyTFEwZjFWV1dvdnFvc3B6cWtQaXpLWGxVTTZ3NHpOSVdMVzZTcTNsZ0tYWmsyNDVJR3FlZW4xelBUZUp0Y2xsakl4dVl3dytaWWViemNqczgxUTJQTGZWc2xBQ2kreElyaVM1YXZQK2Y0aitVN1VkRG10Sjd1enhSVmdSSzFieS9QYVIwNGpVMk4ycmVYTDdxR3lxUkUrNTV0R2NzWHRwdFIySDUyeHM5U2Z0cVFnYzVnTU95c3JhMzlMNmZUK1pXcHFhbTcyOXZiL1lJZzVQUmVsM2ExTHBVS1BRQmdOcHRmVzFWVjlaMmVucDZkc1Znc0NnQ2lLSWF5UFhjbFNxWFMxdC9mZjNWYlc5dFJnOEd3WGFsVWxxbFVxcktSa1pFOU9WN0NaclBaUGhDTlJrZVdUTGF3Q29LZ0NRYURoek5OMEVBeXpBR0FuSDQrRm90TkxpMGZqOGVYSGR2TTdDOWRYenNVWkJvWXZkcU1WNVZKZWRabnhaNnExTjZXUkdmVGVycy9BVUJwVUtMeXl0eTZRSlY2UmM1bGlZQU5HdWptNXVZT256aHg0dVdCUU9BcG5VNTNzU0FJeXE2dXJvdERvZEJ6QUV3TkRRMi9ucDZlL3I3ZjcvOWordk8yYk5ueWRDS1JtRjNwMnVtQkpocU50czIvM25FQUt5N0pId3dHRDIvYnR1MndLSXBhSU5uaUpjdXlKTXR5SkJnTUh1N3Y3Mzg3Z1BqZzRPQzFWVlZWUDFVb0ZLYisvdjVyQUV5c2ROMlVpb3FLejhpeW5OQm9ORTBBdEtuNjZIUzZaZ0NJeFdMOXFiSWxKU1VmcjZpbytGYnE4ZEp1WEFDQ0lBalo5OFloSWlLaWRXVkRCam9BQ0FRQ1R3R0F5V1J5eUxJY0Q0VkNxUTM2WnVmbTVwNXJiR3g4ZEdKaTRzdmo0K08zcDU0amlxSitoVUFuWitwdUJSWjN1UUxBeU1qSWpVdXYwOTNkdmN0Z01MekthclgrczkxdS8xZ3NGaHVMUkNJakV4TVR0L3Y5L2ovTkYxTmJyZFovMXV2MXV3SElaV1ZsbnhWRk1lTHorZjZDK2FWRnN0VkJwOU8xT1ozT1d5b3FLcjVyTXBsMkJ3S0Jwd0hBWUREc2tHVTVQamMzdHpCemRuSnk4dWNlaitlUEZvdmxueW9ySzcreDVGSWlBQ0dSU0NSQVJFUkVlV0dqQmpxalJxTXBCUUM5WG45Wk5Cb2QxR2cwQzRzQmVUeWVYOG15SEpkbDJhUFJhQnBUeHhVS2hWbVdaV1hxV0NRUzZkWHI5U0lBU0pJa3BYZTNyaVFhalU3WWJMYXJVbzhOQnNPT2twS1N6d01RK3Z2NzMybTMyejgyTkRSMG5jVml1YXFob2VFUm44LzNrTnZ0dnErOHZQd09qVWJUTURnNCtQNTRQRDVSWFYxOVQwTkR3NThqa2NoZ2IyL3ZGYW5sVE1iR3hqN2o4WGdlQkFDcjFmcm1pb3FLTzNwN2U5OEZ3Rk5ZV1BoQmc4SHdxbFNnMCt2MWw0YkQ0VTRzYmtIMFJLTlJUeXdXV3hpWnV6UW9waytBeUhUTTVYTDlmSGg0K0gyNS9EeUlpSWpvM05xUWdjNXF0VjVWVjFmM2kvUmpyYTJ0R1NjV1ZGWXVYdlN4cUtpb3JxaW82TDFBc2l0U2xtVWxBSWlpR0ozdmJsV3IxZXI2YksrOWRJeVpScU5wM0xKbHk2R0ppWWs3eDhmSFB3c2dBUURoY0hob2VIajR3NU9Uazk5V3E5WDJrcEtTejhpeUhPbnA2YmtrR0F4MkFFQm5aK2NXdTkzK2ZwMU90MmloNFhnODdreTlqdC92LzZ0YXJmNEJBQmNBek03T1BtNnhXTjR5TVRIeEpRQ2kyV3grbmR2dC9oVldrUXFySnBQcHdwcWFtbnY3K3ZyK0pSUUtMV3hldUhSU1JEUWE5YTEyVFNJaUlqby9ObVNnODNnOHYvUjRQUGNEVUxlM3Qzdkh4c1krUFRVMTlWMEEwT2wwSmVYbDVUOFlHUm01TlJxTkxncDVPM2Z1ZEU5TlRkM3BkRHJ2VEIxTEpCSzYrZitHQUVDdFZ0ZXZ0SjVkUjBlSENtbExtRVFpa2Q3dTd1NExnc0hndUZhcnJRYVM0VWtVeFloV3E2MEZFSW5GWWlQajQrTmZTQ1FTTXdBUzg4Y0JBSDYvL3c5VFUxTjNaWHU5VUNpMGYyUmtaSC9xOGN6TXpGNjczWDZ6WHErL1VLbFVGcWxVcWxLMzIvM0Fhait6VkVCVXFWVHZrR1U1NXZQNWZnOGdrbDZHa3lLSWlJaldwdzBaNkpBY2J4Ylg2L1U3QkVGUXpiZDR4UUVnRkFyNVpWa1d0MjNidG45b2FPaWF0TVdDQllWQ1lZakg0ejZrQlRKUkZBc0JRSlpsVC9vTExKMUlrRnArSkZObGdzRmdSM056ODFOR28vSFMwM2t6R1NZdFpCVUtoWjROaFVLSHlzcktibE1vRk9aUUtIUWtGQW85cy9vekFRRGE0dUxpNjMwKzN5TllFdWFJaUloby9kcW9nUTRBb05WcTJ3RmdkbmIyVU5yaFFIOS8vMVdWbFpWM3pvZTNGQ01BTVpGSStKZGNvMmIrR2l2dXZMQ2E0OGVQWHdZQUJRVUZWL2o5L2ljQnpLWE9yYkMzNjZwME9sMUZVVkhSWjBkR1JtNEY0QU9TWSt3YUd4di9BQUM5dmIxWmwyQlpxcnE2K3JzcWxhcHNlbnA2NlVRSklpSWlXc2MyZEtCVHFWVEZRSEtyclV6bjdYYjd6VXVQMWRUVS9MeW1wdWJuVHFmejgwNm5jNC9SYUh4NU5Cb2RCckRvR3RsbW02Nm1zYkh4c1V6aExWTTNiandlbnpseTVFaFJwdXZvZExvcW04MTJzODFtdTE2VzVkbXBxYWx2UmlJUjMveTVMZlBGRWtxbE11c2lYM3E5UHJVQXNyNjB0UFNHb3FLaUQweE9UbjR6TmFHQ2lJaUk4c09HRG5TVGs1TS84bmc4djF1OUpHQ3hXRjVSV1ZsNVYzOS8vNXVDd2VEeGFEUTZEVUJudFZyZjd2VjY5eTR0djhLTTF6Z0F5TEo4U3ZzYzlmVDB2RnFTcEw3MFk0SWdMTjFSM1FBQWRydjlFMXF0OWtlU0pQa21KeWR2bjVpWStENlNMWDVGZFhWMWQxbXQxbjl4dTkzM2lxSm9xSzJ0L2JYUmFMeDBlSGo0c3dBV3R2YXkyV3p2TFNrcCtVUXNGaHVycnE3K3h2RHc4Q2NsU1lwTVQwOS9EeG40Zkw2SG90SG93S204SnlJaUlqby9OblNnQStDT1JxUHVUQ2NNQnNNdVFSQUtBTGdsU1RKYUxKWjN4V0t4Q2EvWCt5Z0FDUUJLU2tvK3JWUXFiUzZYNjhlcDV5bVZTci9YNjkyN3RJVk5wOU5WYURTYUMxUXFWYVZDb1ZBVUZ4ZS9QeDZQVHdOQStpUUhBRkNwVkJXaUtLNjRFREdRRElXcDU0YkQ0WEdqMFhnUkFLalY2cnJKeWNrN3hzZkh2NEZrU0RPVmxKUjh1clMwOU5PaUtHckh4c1p1bXB5Yy9CWUFSVmxaMmUxbFpXV2ZzVmdzVjA5UFQzL2I2WFQrdDlGb2JLNnVydjdSMk5qWTV3T0J3QitibXByMnFWU3FhcmZiZlkvQllHaUx4K01SUVJDaW9paEdnOEZnRElCeWJHenNZN0lzYTR4R1kxc2lrZERFNC9GUU5Cck52c2tuRVJFUm5UY2JQZEJsWlRRYUwwL2ZMU0VjRG5jUERBeThFL05oRGdBVUNvWFc2L1UrRUF3R1gwZ2RDd2FENC8zOS9XOWJlajFKa2dycTYrc1hXZ01UaVVSb2RIVDBvd0RRMHRLeXFHVnJ5NVl0ZjFuNi9FekgwblYzZDE4NE96djdqTXZsK3RudzhQQ3RtTjlCUXFQUk5HM2R1dlU1aFVKaDhmdjlqNDJNakh3OEVva2NUMVhMNlhSKzN1ZnpQVlJaV2ZtOXNyS3lQZUZ3ZUNnZWozdjlmdi9qazVPVC93RkE3dTd1dnJDc3JPeTJ5c3JLSHl1VnlpSkJFRlp0WFp5YW12clAwZEhSVzFZclIwUkVST2RlenJNbk55Z1JnQWJKRUJmTmNGNEFZQWJnemVGYUFnQWJBQldTczJ6ZFdhNTUxaFVWRlYwZmlVU09yamIyVGEvWDd3NEdnd2ZtSDVxUTFnVzdST3Jub3ByL1NwSG52d0JnRmtEczlHdTlYR3BjNHFuTTZqMmJyM3NtbTlEVHh2TFVOUjBBenYrL3hZMkU5eFV0eGZ2cTNOcTBMWFR6RWdCQ0s1eVhrVnVZUzVWMW5YR05Ub1BMNWZwUkx1WFN3aHlRUGN3QkozOHVLLzFzaUlpSWFKM1k3SUdPYUVIcXIwY2lPbnQ0WHhHZEgrSmFWNEJvcmNteXZHK3Q2MERyRC85ZG5CbisvQ2dUL3JzZzJnUWNEb2Q4dXV2NzBkbkIvd2RFWjVmRDRiakg0WERJN2UzdEgxcnJ1dERHeGhhNk02ZGF2UWdSRVJIUnVjTXhkR2VtcksydDdkblIwZEdQcGUwSm13c0JnQnFBVnFmVG1TUkpNaWtVQ3BOS3BiSXBGQXFiV3EwdVVpZ1VKU3FWcWtLbFVsVjRQSjZmemN6TS9HTCt1VVhWMWRWM0RBOFBmd3BaSm14b3RkcWEydHJhMzNSM2Q3L2tETjhmRVJFUjVRRUd1alBqRElmRDNSVVZGVi8xZXIyL1I5b2FkcGxZcmRhcmEydHJmNUZ0blRkWmxxT1NKUGtsU2ZKS2t1U054K1B1ZUR3K0lRaUNQbFdtb0tEZ0lxdlYrcS9EdzhNZlRudXFDS0JnNFlFbzJ2VjYvY1VBTEV0ZXdvZVR5NDRRRVJIUkJzRkFsNFAyOXZiNGFvdnRPaHlPZUtianc4UERIM2E1WFBmTVAxUUlncUE0Y2VMRVpaSWtoZUx4ZUVnVXhXQTRISjVGY2htUlZkZXRNNWxNbDgzTnpmME5hZUZScTlWV0wxMjhlTDVPaS9hZjdlam9LTVlhTGExQ1JFUkU1dzREWFk2Y1R1Zm5aMlptSGtnOVZxdlZ5bWcwdWpURUNTcVZTaE9MeFJhMjlZcEdveE5McjdYYUFzQXJLU2dvZUwxT3A5dVZHcmcrTXpQejM1T1RrM3VBazRzMXF0WHFyVzF0YlYxcGl6Y2FIUTdIU3V2T0VSRVJVUjVqb010UkxCYWJTTzNmcWxhcnR6WTNONys0ZExWcnRWcTlkY3VXTFFmUDFTcllhclY2cTFhcmJldnE2cnBZa2lSL1UxUFR3NkZRYUdGUDJhV3pFemxia1lpSWFITmdvTXVSWHErL3pPRncvRGo5V0xiQWxINzh4SWtUTHdzRUFrK2xuMWVyMVZ0UDViVlRRZEp1dDM4b0VBajhNUlFLUFFlZ1JLUFJOUGo5L3Q5aWZndTNqbzRPMDN4ZG03ZHUzWG9nOVJpQXdlRndMR3NwSkNJaW9vMkJnUzVIb1ZEb1FHZG41MWNCUUt2VjFqVTJOdjZoczdOelczcVpUTWVqMGVqUTBtdTF0YlYxbmNwcmQzUjBxQURvaTRxS3J1L3I2M3Q3ZFhYMXo4TGg4SXZCWVBCNVVSUmpraVFaKy92NzM2elZhb3NBUUJBRTYzeDlpdVl2SWZiMzk3OVpvOUdZSTVFSXg5QVJFUkZ0TUF4ME9aSmxPWlJxS1VzUlJUR2MvbGlTcENod3NrVXRtNDZPRHNGdXQ5OVVYbDcrcFVPSERsVWdPZnQwS2FHMXRiVmJrcVFBZ0RnQXY5UHAvRXdnRUhpMHFhbnA5NTJkblMxVFUxUDN0YlMwUEtIVmFsc3p2VTZtaVJMY0ZKbUlpR2pqWWFETFVTS1JXTmE5bWlrd3JVUVFCSlVzeXhJQXpNN08zaThJd24rV2xKUmNPems1K2UybFpVMG0weHMwR2szendNREFlMUxIbHBTVEFVd2VPM2FzN1ZUcVFFUkVSQnNQQTkzcVJFRVFGSUlnTEZ0U0pOT2tpSlc2VXhVS2hWR1c1UkFBQklQQmNiZmIvYXVTa3BKYkp5Y25md0xBbjFaVVZWVlY5YlZRS1BTaXgrUDVkUTUxTEhVNEhNN1ZDaDAvZm56NzdPeHNadzdYSXlJaW9qekNRTGM2TXdCSWtqU1hQcG5oK1BIajJ6Tk5idWpzN055bVZxdTNadXAyVlNxVkpmRjRmRHIxZUhKeThqYXIxZnEybXBxYWJ3NE5EZjFiNm5obFplVWVyVmE3NWZqeDQ2L0VLb3NWcCt2cDZka3hOemZuMUdnMEZwUEo5R3FYeS9YZy9QTVZuQlJCUkVTMGNUSFFyVUt0VnBjQWdDUkpVNmN5bWFHam8wT0pKV0ZNcTlVMlJhUFJ3ZFRqY0RnOE1ENCsvdStWbFpWM3pjM05QZTl5dVg1b3RWcmZiYmZiUCtWME9yOHlPenU3NzFUcW1rZ2tQQUJjb2lnMlZGZFgzKzF5dVg0OFh3ZitmeVlpSXRyQStFRy9DcjFlM3d3QWtpVDFwN3BZYTJwcWZsRlFVUENhZ1lHQlY2ZDNZV3ExMnZxR2hvWS9lenllQjVDaFpjMWdNRnpvOVhvZlRqODJOVFYxdDFhcjNWbGRYWDIzd1dDNDJHYXp2ZGZyOVQ3Z2REcHZXNjF1eGNYRk44N056VDBiREFaSDBvL3JkTHFXV0N3Mmxxa09SRVJFdFBHSWExMkI5VTZuMDEwVWo4ZW5nc0hnZU9yWTBORFFkYUZRNlBuNit2cDlGb3ZsVFFCZ3NWamUwdHpjL0h3Z0VQakQrUGo0cDVkZVI2UFJOS3ZWNnJyWjJkbS9MejAzUER6OHFXZzBPbXF6MmE2TngrUHUvdjcrRzdCS0dDc3VMdjYzcXFxcWI2dlY2bklBVWpRYUhRcUZRbkVBcHRMUzBuOVhLQlNXMHRMU1R3SFFBSkNqMGVoUUxCWmJkV3N4SWlJaXlqOE1kS3N3bTgxWEJnS0J2eTA1SE8zdDdiM0s1WEw5VjMxOS9ZTXRMUzJkZFhWMXZ4NGZINzkxZUhqNG81bXVZN1Bacmswa0VrR3YxL3VudE1OS204MzJ2cmEydGs2VlNsVTJNek56bnlpSytoMDdkaHdyS1NtNUZVQmhoa3VWQUlEZGJ2L1l3TURBZTcxZTcwTUFwanM3TytzS0NncmFXMXBhbmhNRVFUMDZPbnBUY1hIeGphMnRyZDJGaFlWdjYrenNySTFFSXNmUHlnK0ZpSWlJMWhWMnVhN0FaREpkcHRmcmR6cWR6ajFwaHdXOVhyL0xiRGEvd1dLeFhBbEFGZ1JCTFFpQzJtYXp2VmNVUmVQYzNOeGY1K2JtT3BGY1B3NEFTb3FMaTIrWW1abjVPWUE1clZaYll6YWIzMVZVVlBRQmpVWlRHd3dHbisvdjczOUxNQmg4WVdKaTR2YUtpb3F2VjFSVTNGRmVYbjU3SUJENGF5QVErS1BmNzM4bUZBbzlWMWhZZUxrc3k3R0JnWUczZWIzZVJ3c0tDdDVnTXBsZVliRllydEpvTlBVek16Ty9IQm9hK2hnQXQ4dmx1cStzck96V21wcWFlNHVLaW00Y0hSMjlNUmdNSGp6ZlAwY2lJaUk2dHhqb1ZsQmVYcjRuR28wTytIeSt2MVZXVnQ2cDFXcDNHZ3lHaXhVS2hTVVNpWnp3ZUR6M3U5M3VuNFRENFVHajBmanl3c0xDOTVlVmxYMUJvVkI4UTVibFNDUVM2UnNhR3ZxWXlXVGFMUWlDTURNenM2ZXlzdkpPdTkzK0tRQ1luWjE5ZG5SMDlKTStuMjh2a3V2S0lSS0o5UFgzOTc5WnI5ZTNGeFVWZmF5d3NQRHRCUVVGVnlnVWlpK0ZRcUhuM0c3M2I4TGg4SWxnTU5nQkFGYXI5UjBGQlFXdjlYcTllejBlejkxTGxpVUpPcDNPejd2ZDd2dXFxcXJ1MG1xMXpReDBSRVJFdEtrWURJWlhtMHltSzRIa1JJaTZ1cnI3aW91TGI5Qm9ORnRXZUpwQ3A5TmRWRnhjL05IS3lzcnZBRkFEVUJtTnhzdm56OXZMeXNxK2JEQVl0dWRhRFl2RjhtWmtEOThxek8vbG1vTjF2VXVFdytHUXMrMlBTK2NIL3g4UW5WME9oK01laDhNaHQ3ZTNmMml0NjBJYkcxdm9WakEzTi9lWDFQZERRMFB2V2Fsc0dpa1VDajBYQ29XZVN6K1l0Z1RKbE5QcC9QeXBWTVByOVQ2NHd2bllLVnlMSDlSRVJFUWJFQ2RGRUJFUkVlVTVCam9pSWlLaVBNZEFSMFJFUkpUbkdPaUlpSWlJOGh3REhSRVJFVkdlWTZBaklpSWl5bk1NZEVSRVJFUjVqb0dPaUlpSUtNOHgwQkVSRVJIbE9RWTZJaUlpb2p6SFFFZEVSRVNVNXhqb2lJaUlpUEtjY3EwclFFUnJvNzI5dlZ3UWhPc3puWE00SExlblA1WmwrVWNIRHg0Y1B5OFZJeUtpVThaQVI3UkpSYU5SbDBhaitTZ0FhNGJUdDZWOTd4RkY4U3ZucVZwRVJIUWEyT1ZLdEVrZFBYbzBLc3Z5d3prVWZlakFnUU94YzE0aElpSTZiUXgwUkp1WUlBaDdjeWlXU3hraUlscERESFJFbTFoQlFjSGpBR1pYS0JMdysvMlBuNi82RUJIUjZXR2dJOXJFOXUzYkZ3YndTTGJ6Z2lBODB0dmJHem1QVlNJaW90UEFRRWUweWNteW5MVkxOWkZJc0x1VmlDZ1BNTkFSYlhLU0pEMEdJSlRoVkVpU3BEK2U3L29RRWRHcFk2QWoydVNPSERreUJ5QlRjSHRzL2h3UkVhMXpESFJFQkdTWXlacmpERmdpSWxvSEdPaUlDSUlnUEFJZ2ZhMjVxRktwekRwWmdvaUkxaGNHT2lMQ2dRTUhmTElzcHk5UDh2aisvZnY5YTFZaElpSTZKUXgwUkpTeU44djNSRVMwempIUUVSRUFRS1ZTUFpUNlhxbFU1cklsR0JFUnJSUEt0YTRBMFZwcmIyL2ZMd2pDUld0ZGo3VVdqOGZUdjNjNUhJNDFyTTNhazJWNTM4R0RCMSt4MXZVZ0lzb0ZXK2hvMDJPWW8wd0VRYmg4cmV0QVJKUXJ0dEFSemJ2czNzM2RJa1VuUFhWTngxcFhnWWpvbExDRmpvaUlpQ2pQTWRBUkVSRVI1VGtHT2lJaUlxSTh4MEJIUkVSRWxPY1k2SWlJaUlqeUhBTWRFUkVSVVo1am9DTWlJaUxLY3d4MFJFUkVSSG1PZ1k2SWlJZ296ekhRRVJFUkVlVTVCam9pSWlLaVBNZEFSMFJFUkpUbkdPaUlpSWlJOGh3REhSRVJFVkdlWTZBaklpSWl5bk1NZEVSMDNzWG40bXRkQlNLaURZV0JqdWdzR24xa0V1R3BTUEtCREhSL3J4OFQrMXc1UFhmOFQxUG8rbllmRW5FNTQvbnBaenc0K3ZWZVNKSEVpdGVSSlJuZW93SEU1NlNGZWtqaFJFNWZLWW00akZnZ2ZrcGZjaUp6dlRPOWorZHZPb3JRUkNTbjhnQXdPeEJFMTdmN0lJV1Q3eWtXaUdQa29RbkVmTEdGTXNIUkVFWWVtc2o1bWtSRUc0bHlyU3RBdEZHNDluc3crRDlqMEJTcW9MVnJBQUVRRkFKR0g1NkEvVEliUktXUTlibXpBMEVNM0QrR2l0ZmJsN1ZlS1RRaUlBZ1l1SDhVeGhvOXBMQzBFR3dBUUZTS1VCb1VDNCtubi9YZytBOEhZYitzRU0zWDF5TGlpZUg1ajcrWTAzdTQ3RjVIOHIwODU4SHhld1pQNGQwRGpqdTJRVitwVzdXY2RXY0JSTFdJcWFkblVQUFc4cHl1SGZYRk1OUGhReUltUTZFRllyNFlodmFPbzdEZERKVlpCUUNZSFE1aGFPODRxdDVVZWtyMUppTGFDQmpvaU02Q3FDK0d2dnRHWWQxZWdPS1hGaTRjcjM1TE9UcHVQWWFSaDV4WncwdkVGVVhYZC9vaFN6SkdINW5FNkNPVGk4Nlh2Ym9Za0lHb0p3YTN4NGZuYmx3Y3ppeXRKclRkMHBSOElBT2pqMHlnOHNwU09CK2Z3bWpsSkNxdXNPUENiMjlmS0MrRkpIVGNlZ3hiYjZpRHFjbTQ0dnU2K0FjN1ZuM3ZJV2NZUi9ZY1gzUXNFVXZnSDljZFd2RjVJdzlOck5paWRzbVBka0doWlNjQ0VWRXVHT2lJenBBc3llaiszZ0NRa05GNFhmV2ljN3BTRGFyK3VSUWpEMC9Bdk1VSVMxdkJvdk56SXlFYysxWWZWQllsMnZkc3hlZ2ZwakE3R01UV0crcWdOQ2d3T3hoRXhCVkZ6ejJEYVA1Z0xZdzFPblIvZndCdG4yNkMycUphVnBmSnY4OUFDa21vZVVzWnRIWTFlbjg2REdPdEhwWVcwMEtaMmNGa042VzV4UVNWYWVWZkFhdWRCNENZVDVIMVhOMDdLMUc0c3lEcitVeThSd1BvdTNja2VXMS9IUEc1T0tMdVpKM0RreEhFWjNNZmZ6YzdGSVN4Um45S3IwOUVsSThZNklqT2hBejAvbVFZL2hPemFQdGtJelNGNm1WRnF0NVVDbC9QTExxK080RFdteHRRMEh5eVZTem1qNk53cHhsMVYxZEFWSXVvdnFvVVBmY013dGNkZ0cyM0JTTVBUMkJ1TUFqSFYxdWdMVXBldS9pU1FnVDZnN0E1ekl0ZUp6NG5ZZkNCY2RTOHRRd1FnTkxMaStEYTcwSFAzWVBZZGRzV0pHTEpNWEwrbmxtb1RFckVaK09Md3BHdVRMdXM3aUZuZU5VZlFYZzZtdldjMnFMS2VOMm5ydWxBMHdkcVVQSXkyN0p6d2ZHVHJ6bnkrd21NLzJscTRmSGhML1VBU0hidnJzYjV4RFQ2Zmo2Q2JSK3JoMjIzWmRYeVJFVDVqSUdPVG5NVExRQUFJQUJKUkVGVTZIVEpRTzlQaHpINTVBd2EzbE8xclBVdFJWQUkyUGJSZXJ4NHgzRjAzdG1MaHZkVkxRUVpTNnNKblhlZWdQT0o2VVhQbVhuQnUranhDemQxWnExR2F0eGIvMzBqVUJrVlVGdFVPUENwbzJpL293V04xMWFqKy9zRG1CMEtvdXM3L1l1ZWQrQ1dZeG12czFLWjFiaWU4MEJYcW9XaFNvZjJQZHVndHFpeWhzS1lONWJ4WEVHekVlMTd0a0doRVZIL3JrclV2NnNTN2tNK0hQdG1IeTcrd1E2b1RFb0VSME1BZ1BCMEJLSnFmbXhpMnFTTXNUOU9ZZURYbzZpNHdzNHdSMFNiQWdNZDBXbVFRaEo2N2htRSs2QVB0ZStvUU5scmlsY3NyelFvc1AwelRUajJyWDZjK1BFUVpnNTRVWDkxSmJRbEdnQkE3YjlXd05adVh2RWFTODBjOUdIdy9qRUF3UFEvM0poNjJvMjJXNXBRMEdSQUlwWWNqMWZ6MWpMcyt1SldoQ2FTd1NrVjJueGRBWmdhREJEVklrTE84TExnbHBxK2tTbmtMWldJSlJBY0RVTmJva0gzRHdaZ3JOV2orWU8xTUZUck1sNDdaZkMzNHhqODdmaXk0N3Z2YklHaGV2WEpGUUFXaGRTNmY2MEFBUFQ5WWdUT3g2ZFI4N1p5VkwyUkV5U0lhSE5nb0NNNkRSUDdYUEFjOGFQKzNaVW9kRmdRZG1YdmRrelhlbk1qaG4vbnhOaGpreWhvTXFMeURTVXdielhDV0syRDJycTh1elliaFZhRTBSMkRwVFU1Tms1WHJrWEp5MjBMajh0ZmE4Zi96OTZkaDdkMTFla0RmKy9WTGxtMlpObVM1VDN4bHNUT1lxVXJEZEJTdGtJSFdscGdDdE5DeXo0TUEvUUhsTFpBTzBOaDZMQjFXRXFId2dDRlFvYzJNRUJiV3RhMHRIU0w3VFIxRWlkeHZOdXl2TWhhckgyNXZ6OWtLWkl0ZVVrVDJ6ZCtQOC9UcDlHOTUxNTlwVHJKMjNQdU9XZm1vQmVBL1dRNnkvTFNmeHpIN2p1MzVSME9CWkNaT1RyNWR6ZU16WXRQbkFCU2dYWHk3ek1Jam9aUis3YUZrei9tQjhOQ1E2NVBYZGU1NUhzaGEzV1U5anUyWnNMZnhOL2RBSUR4djA2aCtVUDFzRjVVbXU5cUlxS3pFZ01kMFNtb3Vzd0c4L1ppekE2RkZoME9uVy9YN1Z1dzZSK3JZTCtrTE5NN3QvMldaa2dKQ1U5ZjM3WHMrK3k1endGVHF6RVQ0SXJxOWFpNnpKWVp3alR2TEVhcG93UWhaeGhLZmVGSkM0V1ViQzJDOWFKU0hMdDNFRkppZWV2TEtiUUsyQzh0UjlrNVoyNkljK0NCVVFTR1EyaitZRjNCTnR0dmJrWnhrK0dNMVVCRXRCNHgwQkdkSW4yMUR2b3FIY3JPVFFVWUtTSGhtUSs5aU0zdnJrYkZKV1U1YmNNVFVYVGVmQmlpT3RWZGxnNXo4N1g4OHlhVVgyQXUrSjZMRFdGMjNwei9lTVVsWmFoNm96WHpPck1Bc0ZCNFhUeEJGTkQ4b1hvMGY3QWV5WGpoaFl4ajNqaW1ucDlCMlFYbXZCTkMwdkwxdkIyL2R4REg3eDBzZUEwQXpMemt3OVN6TTNBZjhBSUF2RWRuWVg5TjJhTFhNTXdSMFViRVFFZjBjZ2lBcUVxdGxSWjJSd0FKME5rMG1XTnA2UkFscWhkZlYrM28zZjA0ZW5mL0taVXlmMWd6NW8vamhVOTBvN2dsZDhnMHZTTkV2bG9Ta1dUT29zVkxDWTZHMFAvQUtQUTFPZ2lLa3dGUlhaSzdwTXJ1TzdmbHZPNjQ2VERxMzE0Snk3emV2UGxoZGZ3dlU1anRENkNvWG8rWmwzelllVnRMenFRSUlpSktZYUFqT2sxOHZRRUFnQ0hQdW1mSnVlMjZGSnJGQTEzVCsrc1doSnhzNGZFSUR0emVzNng2eHY4eUJWV0pFdVhubTA5dVI0YlVXbTZDS0VCZHN2QzMvOWhqRXhqY3UzQ2l3bElPZmJVMzUvWDhjSm52V1QxVmdTVk5zalZjVndPMVNRWDNpMTdNdk9SYmNWM0phSExKRUUxRWREWmdvQ002VFNhZm5ZR2hWcGQzd2Q5MHI1ZEN0L0xuMmJKcExDcHN2N2tKOFdBQ0NvMlkweXNXODhkeCtPc25zUG5hYXVpcmRSajd3d1JxMzJiUGFRT2toakUxRmhVRWNlR1FhOVdiYlRremR2dC9NWUtTclVhVTdzby9BM2UyUDRqdU80OWorODFOZVlOczJxa091YXJOQzcvTGxSajQ1Umppd1RpYVAxai9zdTVEUkxUZU1kQVJuUWFldzM3TUhQU2k0YnFhdk9mamdRUUVoYkJrYjlIeEh3emkrQThXRHpscDIyNXN5QWxhcWlJbDFHWVZqdHpWaDdMelRCQlZBbXl2VGoxdnByR29NMEhRK2NkSlJIMHh2UFNWNDJqK1VCMDA1UnEwMzVGYXFGZFVDaENWYzZGVFN1MFRlK3kvQjFEL3ppcFV2OG0yb0laMGo2TkNxMWgwOHNXcERya3Vpd1E0L3pLSlpHemg1STJvTjVaWlVKbUk2R3pHUUVmME1nV0dRemg2ZHorS051bFJjWEgrQi9ZREl5Rm9MRXN2UzdMVXBBZ2c5UXpjTXgvTXMwK3FBRFIvcUI0di9sc1B4djQ0aWNicmF5RXFVNzF3b2xxRXNjR0F3M2YxUVZBSzJQVnZXM0RzKzRQb3V1VUlHcSt2UmRuNWVkNVRBQnJlVXdObGtSSURENHhDWlZEQzl1cmNaVVpPVHJESVg2dXFSSVhHRzJxWFBlVGFlRU50WnNtVXhVaHpieHNZQ2VIRVQ0WVJkSVp6Sm42a2hTY2pLRm5Hc2l0RVJITEhRRWQwcWlUQTliZHA5TjAvQWxXeEVsdi90UUdDUWtEVUc4TnNYeEFxb3hLaVJrUm9QQUxuSHlkaEt4RDJzc1c4TVlSZGtVWGJKS0tGZTV3VVdoRmIvM1V6dWo3ZkE5L3hRR2EyN2V4Z0VNZnZIVVI0TW9ydE56V2hxRjZQbmJlMTRQaTlnK2o1Ymovc3gyYXgrWnBxQ01xRnlhenVLanNNMVZwWWRwdVFqQ1V4dm04YVNwMENnbmh5N2JkQ3ZYTkt2YUpneU0xbmZ0dEVPSWw0TUpIWkRpemRJNWhlbnVYNHZZT3dYMXFPYlRjMndIOGk5UXpqMUhPcG9lK2dNNExBWUFoVmIxallzMGhFZExaaG9DTTZCY2xvRWdlL2VBeXpnMEdVbld0QzQvVzFVQmFsZmp0Sk1RazkzK25QRFBXSlNnR1djODJvdmRLKzVIMzc3aDlCMy8wakw2czJuVjJMemUrdVJ1K1BobUI3bFFXK28zNE0vc29KYmJrR08yNXR6aXpFcTlDSTJQTFJUZWd2VTJQMFVSZGluaGkyZkd4ejNudW1lL0FFQ0JoOGFBeUpVT3FaUUVFaHdINXBPYlRXL011d3ZGeWV3MzRjdWV0RWFtL2FTOG95UTlhSlVCS0dHaDJhUDF3UFEwM3E4NWhhamJEc051SG9QUU9RRWhJRWhZRFNYU1daWldXSWlNNW1ESFJFcDBCVWk2aDdSeVVVV2hIRlRibERlcG95TlY3eHcxMlFraEtrSkNBcWhJSkRrbW1DS0tEcU1odXNGNVV1dWUyVkZKY3crS3N4NkFxc1pRZWt3bysrU292aTVpTG9xN1NBSUtEeURkYUZzMnlGMUpaWitrcHRacEhpcFp6M3JlMUFVb0lrQVFxMW1MZFhieWsxYjZsWTF2WmVwVHVMY2Y1M2QwQ2hFWE9lUDdTOTJnTHJudEtjQ1IrQ1FzRFdqK2NQcEVSRVp6c0dPcUpUWk41ZXZPaDVRUlFnTEhmRkRBSFlkRTNWOHBvcUJkUy9ZK20yeFhQUGpxbU15aVgzTkxXOXlyTG8rV3hMTGIyeUhIVlhMOXdlTEI5QklVQmx6UC9IMVB6WnUwUkVHeGtYYUNJaUlpS1NPUVk2SWlJaUlwbGpvQ01pSWlLU09RWTZJaUlpSXBsam9DTWlJaUtTT1FZNklpSWlJcGxqb0NNaUlpS1NPUVk2SWlJaUlwbGpvQ01pSWlLU09RWTZJaUlpSXBsam9DTWlJaUtTT1FZNklpSWlJcGxqb0NNaUlpS1NPZVZhRjBDMFhqeDFYZWRhbDBCRVJIUksyRU5IRzU0a1Nmdld1Z1phZi9oelFVUnl3aDQ2MnZDNnVyb3VXZXNhMWd1SHd5RUJRR2RucDdEV3RSQVIwZkt4aDQ2SWlJaEk1aGpvaUlpSWlHU09nWTZJaUloSTVoam9pSWlJaUdTT2dZNklpSWhJNWhqb2lJaUlpR1NPZ1k2SWlJaEk1aGpvaUlpSWlHU09nWTZJaUloSTVoam9pSWlJaUdTT2dZNklpSWhJNWhqb2lJaUlpR1NPZ1k2SWlJaEk1aGpvaUlpSWlHU09nWTZJaUloSTVoam9pSWlJaUdTT2dZNklpSWhJNWhqb2lJaUlpR1NPZ1k2SWlJaEk1aGpvaUlpSWlHU09nWTZJaUloSTVoam9pSWlJaUdTT2dZNklpSWhJNXBSclhRQVJyWTMyOXZZNlFSQmVCRkFDSUFRZ21qN25jRGc4QU5RQWRBQzhraVR0N09ycUdseWJTb21JYUNuc29TUGFvTHE2dWdZRlFlaWZlNmxES3RpbGxjd2RBNEEraGpraW92V05nWTVvQTBzbWszdVgwV3c1YllpSWFBMHgwQkZ0WUlJZ0xCbldsdE9HaUlqV0ZnTWQwUWJXMmRsNUJNQ1JSWm9jN3VqbzZGbXRlb2lJNk5RdzBCRnRjSXYxd0VtU3hONDVJaUlaWUtBajJ1QVNpY1Jpb1kyQmpvaElCaGpvaURhNEF3Y092QWlnTDgrcEUxMWRYUWRYdXg0aUlsbzVCam9pa3BDL0oyN3YzRGtpSWxybkdPaUlLTzl6ZEtJb2NyaVZpRWdtR09pSUNCMGRIUzhJZ2pDU2RXaDQvLzc5TDZ4WlFVUkV0Q0lNZEVRRUFNbGtNdm1yck5lL0FvZGJpWWhrZzRHT2lOTDJGdmcxRVJHdGN3eDBSQVFBYUd4c2ZCckFKSURKaG9hR3Y2OTFQVVJFdEh3TWRFUUVBSGp3d1FjVGdpRHNsU1Rwb1FjZmZEQ3gxdlVRRWRIeUtkZTZBQ0phUDVMSjVFT0NJUERaT1NJaW1XR2dvdzJ2dmIzOU9VRVF6bHZyT3RZVGg4T3gxaVdzT1VtUzluVjFkVjJ5MW5VUUVTMEhoMXhwdzJPWW8zd0VRYmg0cldzZ0lsb3U5dEFSemRsekgzdWxLT1dwNnpyWHVnUWlvaFZoRHgwUkVSR1J6REhRRVJFUkVja2NBeDBSRVJHUnpESFFFUkVSRWNrY0F4MFJFUkdSekRIUUVSRVJFY2tjQXgwUkVSR1J6REhRRVJFUkVja2NBeDBSRVJHUnpIR25DRnAzSEE3SFEydGRBeEVSa1p3dzBORjZNZ0hBQ3VDcXRTNkVpSWhJVGhqb2FOMFFSZkhTUkNLeFpiWGZWeENFQjFmN1BZbUlpRTRuQmpwYU4vYnYzOThOb0h1MTM5ZmhjS3oyV3hJUkVaMVduQlJCUkVSRUpITU1kRVF5RjNLR0Z4eExoQktJejhiWG9KcFRKeVdrdFM2QmlFaTJHT2lJVnNIWTR4TTRjdGNKSk9QNVE4dmtNek00OUxWZUpDTEp2T2U5Ui96by84WG9ndVB4WUFJSGJqdUswZCs3Y280UDduWGl3QmQ2Q3I3Znk2Mm5FQ2toTGZsUDNzL1hNNHZuUHZZU1psNzBydWo5aUlnb2hjL1FFWjFocy8xQjlEOHdpcXJMcklnSGNudk5GQm9SRUFUMFB6Q0Nvam85RXVFRUV1RkU1cnlvRktFMEtCQVBKVEg2ZXhlMFpXcllYMWVlT2EvVUs3RHBtaXFNL3Q0RisrdXNFSlVDL0gwQk9QODhpYTMvdWhtaVVqaTk5U2hFeFB5eGdwKzE0NmJEUzM0ZjUzeWpEZG95ZGM2eG9rMTZDQW9CdlQ4YXd1NnZ0a0pVbmZ4L3pjbG5aM0QwN3Y0Rjl4RkVBUmY5dUgzSjl5TWkyZ2dZNkVqMmR1ellVZDNTMHVKODhNRUhFMHUzWGwyUnFTaU8vRmNmcElTRWtZZGRHSGs0dHlmTi90cHlRQUtpTXpHNFo3eDQvbU12NVp3M3RSclJkbE1UTEk0U1dQZVVvdjhYSXlodUtVSjRNb0lqLzlXWDAvYnZOM1RsdkQ3OHpSTTVyL2ZjNTNqWjlaUnNMWUwzeUd6ZXo3cjd6bTBBZ0hPKzJnb0FDRTlIMGYyVjQ5aDk1ellJb29Ca1hFTG56U2NEWHp5WVFNeDdNaHhhZHBjZzdvOGpNaFZkOVA0QU1QalFHS1k3MTNkdjN1N2R1MVVkSFIyRjB5OFIwV25FUUVleXAxUXFQOWZiMjN2Rjd0MjdmNTFNSnZlV2xKVHMyN2R2MzVvL1FCWVlEdUh3TjA5QVpWS2kvWTR0R0hsMEFyTURRV3o1NkNZb0RRck1EZ1FSbVlyaTZEMERhUDVRUFlycWRPajVUai9hUHRzRXRVbTE0SDZiMzFVTjcrRlpSS2FqTUxVVzV3UWNBQmorM1RpQ0kyRzBmS1IrVmVwNTZycE83TDV6RzNSMkxZQ1R6L0pwYlpxY2RscXJCb0pDUURLV08zdzczZUhCOFhzSEY5eDM2Z1ZQenV1V2Y5NEVBSm4zU1lRVG1IbkpEL1AyNHJ5ZmN5MWRmUEhGV3EvWCszcFJGSytTSk9rdEFNeHJYUk1SYlF3TWRIUldFQVRCSmtuU2h3VkIrTERYNjNVN0hJN2ZDSUt3MSt2MS9xbTN0emV5RmpYRmZIR1U3aXpCcG11cUlLcEYxRjVSZ2FQM0RNRGI0NGRsdHduRHZ4MUhZQ0FJeDFlMlpZWWd5eThzaGI4dkNJdWpaTUg5bEVWSzdQN1BiUkRWcWVGSW5WMmI4MHhhMUJOSHlaWWlhSzI1Z1VwUXBJWmRQWWY4cDdXZVF0TEJMaktkNm1rTGpVY2dpRmp3dko3dGxSYW9pNVVJVDBSemhwRUJvUC9uSXlqYWJFRDVCV1pNUGp1VGM4NzE1RFFTNFFScXJxaFlkazFuMG80ZE93d0toZUl5UVJDdTh2bDhsd3VDVUNSSm5PQkJSS3VMZ1k3T09vSWdsQUs0WHBLazY0dUxpMzN0N2UwUEM0S3dWeENFeHpvNk9vS3JWWWVwMVlqdU80L0QrZWZKbk9QVCszTjdvUGJmV0hqcHZUMzM1YTZSbHc1elFDbzR6WDltemRQdHcraGpFem5IMHIxb1o2S2VmT2JYbEQzTU9wK29GbkhpWjhOUUdwVW92eURWbWVYdThtTDBzUW0wZmFaeFFYc3BLV0hzOFFsWWRwdGczR3hZc3BZejVmenp6eStPeCtPWFM1SjBGWURMQU9qV3JCZ2lJakRRMGRtdldCQ0Vkd0Y0bHlSSlFZZkQ4WHRKa3ZhcTFlcEhubnZ1T2Q5cUZGRC9qMVd3dEMrL2h3c0FwcnU4R0hnZ05hdDF0aitJQTdmMVpNN05EMVVYM0xPejRIMmUvZkNMcDcyZXBhVHJDN3NpMlAvcFE3am9SKzJaSWRlL3YrOUFUdHVTclVaVXZzNEs3eEUveWk4d0krYU40ZmdQQjJGL1hUbE1iUXVIVktlZTl5RGlqcUgxMDFVcnF2OTB1UERDQzBzamtjaGJBRndWaThWZUQwQzkxRFZFUkt1RmdZN1dqZmIyOXVjRVFUanZETDZGSHNCVmdpQmNGWXZGNEhBNEhnYXc5d3krSDBxMkZLR29WZ2UxZWZsLzl5dTBJb3JjTVpoYWpRQUFmYlVXdSsvY2h2QmtGSWUrMXJ1Z3ZhaGFPSlAxVE5iendvM2RtWWtMNmQ0NHJWV0Qxdi9Yc094N0FxbG44TEtOLzNVcTgydm5IeWZoL0dPcUo3SHh2YldaNHpGZkRKQUFiNDhmdW9yY29lVXpZY2VPSFZhbFVua0ZnS3Npa2NqclYzcjk3dDI3VjMzbkUxcGZKRWxxWGVzYWFHTmdvS04xNHd5SHVYd2tRUkNrTS9tODAvWmJtaUVsSkR4OWZkZlNqZWZzdWM4QlU2c3hFNkJFbFppWkVKRFAvRjZ2TTEzUDlzODJRVXBJNkxqcE1Gby8xUWh0dVJxQ1FzZzh6emMvcUJWNnIvbVRPZ3FaSFRnNVNsNzVlaXNnQWIwL0dvS21WQTN6ampNN01XSXV6TDBUd01XbmNqMy9NcWMwVVJTSDE3b0dPcnN4ME5HNjA5blp1Znd1SndBT2grTWVBQjlhUnRPZ0lBaVBKcFBKdlhxOS9wR25uMzdhUDNmOWowK2h6QlZyK2VkTm1lZkU4c24zVE54eUxQWmMyL3h3ZFRycXlaNTBvUzFYTDVqbG1nNXFrZWtvdXYrekY0Ny8ySmFaRk5GMTY1SE10WXVGMUd5emc2R2MxNVZ2c01MWEc4Q0orNFpUUzZTczZLZGxaVG83Tzc4UDRQdnQ3ZTNsZ2lCOFhCQ0VWMHVTZEFHVytXZW5LSXJiejF4MUpCZUNJQVJmZU9HRnZxVmJFcDA2QmpvNjIva0EvQTdBWGtFUUhsL05TUkh6SGIyN1ArOEN1Uy9YWXFGdE1hZTdIcDFkbTNsZURrZ3QvQXNBdWdwTjVsajJlV0RwMmd1RjFlckxiRGh3ZXc5bUI0SW8ycVEvSGVVdnFxdXJheExBNXdCZzE2NWRKa0VRL21GdWFaSTNBQ2lZVFBmdjM4OGhWeUphRlF4MGREYWFCdkFiVVJUM2VqeWVQNi9Wc2lYek5iMi9EcFp6VEFYUGg4Y2pPSEI3VDhIemhiemloN3NLbmx0c09QWjAxek4vVDluNXk1YWthU3pxbk5tNjZXSGJuUGN1OEx4Z21uYnUrYm5JVEF4Rm01WmQ0bWx4NE1BQkQ0Q2ZBdmhwYTJ0cmtVYWplUk9BdHdGNE00Q2kxYTJHaUNpRmdZN09DcElrdVFEOENzRGVrcEtTSjliRHdzSXJwYkdvc1AzbUpzU0RDU2cwWWs1UDFtSVM0Wlh0dDNvbTZrbUVrd1dIaStjdlc5SjJVMVBtZVR3Z2Q5aDJ1Y0t1VkVaWEZTbFdkTjNwZHVqUW9Wa0F2d1R3eXdzdnZGQVhEb2RmSndqQzFRQ3VYZFBDaUdqRFlhQWoyWXZINDNlMHRMUjhkRDF1L1pYdCtBOEdjZndIQzNkR3lHZmJqUTBvM1pXN3RFZ3lsbi95eG5NZlBiZ205UUJ6dTFNTWh4SDF4UllNajg1ZnR1VGxHbjNVQlg5L0VBcXRDTTlMZnFqTnFqVmRpMjYrWjU1NUpnVGd0d0IrMjlyYStuNk5SblBKV3RkRVJCc0hBeDNKM3NHREIwY09IankxVUxPYWxwcUVBS1I2dXA3NTRNSmgwb2c3bG5yZVRRQkdINXRBMVJ1dFVCcVVxSHlERlp2ZlhWM3dmbjMzajBCcHlQL2IvRlRxaVhwakdQbWRDOU1kcWNXSUo1NXlvNmhlRC90cnlndmRZa25oeVlWN3QrWTdwaktwRUJvTEl4bVhVTFJKajdxcjdCQ1VaM0JHeE10dzZOQ2hLSURIMTdvT0l0bzRHT2lJVmtuTUc4c01GUmFTaUM0Y1BvMU1SM0h3UzhlZ3RhaXg0NFptSFA3bUNjd2M5TUgyS2d0c3I3SWdQQm1GSUFBUWhjeXphbEpjUWpJdW9lTGlNa1Jtb2doUFJtQ28wZVU4dTNZcTlZZ3FFYzYvVE1LNDJZQ3F5Nnl3bkdPR3BsU0ZrRE84N0dmb0FFQlhvYzNNVGwzc1dibHMxbGVVd3ZxSzBtVzFKU0xhYUJqb2lGWkozLzBqNkx0L1pNWFhLVFFpVkVWS2JQM0VaaWdOU3JSL2FSdEdIaG5IMEsvR0VKMkpJUm1USUNVWFgwdlAyR0RBemkrMHZPeDZsSG9GenYvMkRpZ051Yyt1TGJiY1NyNnR2eTc4L2k0b3RLbVVsOTZhTE51cEx1RkNSTFJSTWRBUm5XR0NLS0RxTWh1c0Y1WENVTHY0bHA5U1hNTGdyOGFnczUxYzYwMVpwTVNPTDdSQW5CdGUxSlNxMEhCdHpjSnJFeExTYXlRTEFnRGg1TklocDdVZXc4S0pDTXZaNHpXZmM3N2FDazNad2wwcnRGWU56dmxHRzREVW5yZzdQdGQ4U3Zjbkl0b29HT2lJempRQjJIVE44dlllRlpRQzZ0K3hzSzI0akdmRkJJV3d2RFYyVDBNOXA0dldsbi83TGtFaFFEc1g5RlJHSlZSR3JnWkNSTFFZY2VrbVJFUkVSTFNlTWRBUkVSRVJ5UndESFJFUkVaSE1NZEFSRVJFUnlSd0RIUkVSRVpITU1kQVJFUkVSeVJ3REhSRVJFWkhNTWRBUkVSRVJ5UndESFJFUkVaSE1NZEFSRVJFUnlSd0RIUkVSRVpITU1kQVJFUkVSeVJ3REhSRVJFWkhNTWRBUkVSRVJ5Wnh5clFzZ1dpK2V1cTV6clVzZ0lpSTZKZXlob3cxUGtxUjlhMTBEclQvOHVTQWlPV0VQSFcxNFhWMWRsNngxRGV1RncrR1FBS0N6czFOWTYxcUlpR2o1MkVO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eDBCSFJFUkVKSE1NZEVSRVJFUXl4MEJIUkVSRUpITU1kRVJFUkVReXgwQkhSRVJFSkhNTWRFUkVSRVF5cDF6ckFvaG9iZXpZc2FOYXFWUitMdDg1aDhOeFQvYnJlRHgreDhHREIwZFdweklpSWxvcEJqcWlEYXFscGNYWjI5dDdoU0FJdGp5blA1VCtoU1JKcnBhV2xvOGVQSGh3RmFzaklxS1Y0SkFyMFFiMTRJTVBKa1JSL1BVeW12N3F3UWNmVEp6eGdvaUk2SlF4MEJGdFlNbGtjdTh5bWkybkRSRVJyU0VHT3FJTlRCVEZKeVJKY2kvU1pMcWtwT1NKVlN1SWlJaE9DUU1kMFFiVzBkRVJFd1RoTjRzMCtjMitmZnZpcTFZUUVSR2RFZ1k2b2cxT0VJU0NRNnFpS0hLNGxZaElCaGpvaURZNHI5ZjdKd0MrUEtkOEhvL256NnRkRHhFUnJSd0RIZEVHMTl2Ykc1RWs2ZUU4cDM3WDI5c2JXZldDaUlob3hSam81STlyQ2RMTFZtRFlsY090UkVReXdVQ1hSMGxKeWRXTmpZMi8xK3YxbGFkd3VVS3RWbTg1MVgveTNkRGhjRWdGemxsMjdkbzFvOUZvV2s2aHpqUmpSVVhGYlRxZHJtcXhSa1ZGUlczVjFkVmZCU0RNUDlmZTNoNHZMeS8vbC9rMWw1V1ZmZmhsMUVXclNCQ0V4d0FFc3c0RkJVRjRmSzNxSVNLaWxXSHZ6a0xGdGJXMTM0NUdvMGZqOFhpeFdxMHVYczVGQ29WaU5oUUtqUUFvYjJ0ck8zS3FiOTdaMlNuczNMblRvMUFvU3JLUHo3OW5aMmVuWURhYjN4aU5Sa2Npa2NqUlFtV3AxZXFtZkNlaTBXZ1BBRmdzbHJmWjdmYlBlYjNlSHl4V2x5QUk1dkx5OGsvR1lyRnBsOHYxbFJWOEpKS0JqbzZPb01QaCtEMkFxd0JBRUlSSE96bzZna3RjUmtSRTZ3UUQzVHoxOWZYZlU2bFVGU3FWcW1JbHdjenI5VDV5NHNTSnk5T3YrL3I2cnZSNFBQK1gzVWF0VnJkYUxKWnJuRTduN1FCeWxvS3dXQ3p2cmF1cit4RUF2UGppaTNYSTZnbHpPQnd6UFQwOTV3V0R3ZVBaMTVTV2xsNmoxV3EzT0J3T2FYNDlSNDRjdVRBVUNnMFUrZ3lkblozQzNEMyt5ZTEyUHhBS2hVWVgrM3grdi85djQrUGp0MWRXVm43UjcvZi9PUmdNdnJCWWU1SWZTWkwyQ29Kd0ZiRHNCWWVKaUdpZFlLRExZclBaUG1rMm05OTU3Tml4UzJkblovOXl1dSt2MCttMjJ1MzJXNTFPNXgyWUYram04YmEzdCtlY2IybHBlU2I3OVpFalI1cEtTa291R3hrWitaVFA1OXNMQUZhcjliTm1zL2xkUFQwOXV5T1J5QkNBU0RxNHBXVUhSNDFHMDJBMEdpOEZJRmdzbG4vS1Y0alQ2ZnlTMCtuODNOeXZ2MUpTVW5LbHlXUjZjekFZUE9Kd09QenBkalUxTmQrdXFhbjVkdmExdGJXMTM2dXRyZjBlQUhSMmRwb0JlQmI5Z21oTnFkWHFSMkt4R0FCQXI5Yy9zc2JsRUJIUkNqRFF6U2t0TGIyaHFxcnE2eU1qSTUrS3hXSkRoWjVubTAraFVBUkNvZEJ3b2ZQNWVzOGNEa2NvL2V0Z01OalIwOU56enZ3MmdpQW9EaDA2MUJTSlJIb2REb2QwNk5DaHRtZzAycVBSYUJwYlcxdVBXNjNXV3p3ZXp5TkdvL0dWRXhNVFh3ZUFvcUtpVjdyZDd2c2lrY2p4K2ZmTHgycTEva3N3R096czYrdkxDWE90cmEwSFhDN1hWNmFtcGg2SVJxTlRXYWZpUFQwOXIwVHFXU3VodTd0N0t3QzB0YlVkR2g4Zi85TFUxTlRQMHczYjJ0cU9qSTJOM2U1MnUvOTM3bEMrWlRGb0hYbnV1ZWQ4RG9mallRRFMwMDgvN1YveUFpSWlXamNZNkFBWURJYWQ5ZlgxUDNBNm5WK2FtSmo0WG50N3UwOFFoR1Y5Ti9PSFd1ZExoeDRBS0NrcGVYMU5UYzEvSFQxNmRHY3NGb3NDZ0NpS29VTFhMa2FwVkZyNit2cXVhV3RyTzJRd0dMWXJsVXE3U3FXeUR3OFAzN0hNVzFnc0Zzc0hvdEhvY1BwNXVqbG1RUkEwd1dEd3hYbkgwOUxQVlVuWjUyT3htR3QrKzNnOHZ1QVlyWHQ3QlVGWThEOGhSRVMwdmpIUUFRZ0VBaThlUDM3OFZYNi8veW1kVG5lK0lBaktJMGVPbkI4S2haNEhZR3hvYVBqRjVPVGtkM3crMzJQWjE3VzB0RHlkVENabkY3dDNkcUNKUnFOdGMrOTNERUI0c2V1Q3dlQ0xXN2R1ZlZFVVJTMlE2dkdTSkNraFNWSWtHQXkrMk5mWDl3NEE4WUdCZ2V0cmFtcCtwRkFvakgxOWZkY0JHRi9PWjY2cXFycEZrcVNrUnFOcEFxQk4xNlBUNlpvQklCYUw5YVhiMm15MlQxUlZWWDB6L1hyK01DNEFRYzRob0wyOS9UbEJFTTViNnpyV0MwbVM0SEE0ZnJ6V2RhdzFTWkwyZFhWMVhiTFdkUkFSTFFjRDNSeS8zLzhVQUJpTlJvY2tTZkZRS0hSdzd0UnNJQkI0dnJHeDhaSHg4ZkV2am8yTjNaNitSaFJGL1NLQlRzbzMzQXJrRHJrQ3dQRHc4TWZtMzZlbnAyZVh3V0M0MUd3Mi80UFZhdjE0TEJZYmpVUWl3K1BqNDdmN2ZMNzBjaEpxczluOEQzcTlmamNBeVc2MzN5cUtZbVJ1NVg5cDdyM3kxcURUNmRxY1R1ZE5WVlZWM3pJYWpidjlmdi9UQUdBd0dIWklraFFQQkFLWm1iTXVsK3NuTXpNemo1bE1wamRWVjFkL2ZkNnRSQUJDTXBsTUZ2Z2UxajJHT2NwSEVJU0wxN29HSXFMbFlxQkxLZEpvTkJVQW9OZnI5MFNqMFFHTlJsT2RQamt6TS9OelNaTGlraVROYURTYXh2UnhoVUpSSWttU01uMHNFb24wNnZWNkVRQVNpVVFpZTdoMU1kRm9kTnhpc1Z5UmZtMHdHSGJZYkxiUEF4RDYrdnJlWmJWYVB6NDRPUGcrazhsMFJVTkR3OE5lci9jM2JyZjdaNVdWbFYvV2FEUU5Bd01ETjhUajhmSGEydHA3R2hvYS9oQ0pSQVo2ZTN2Zm1GN09aSFIwOUphWm1abGZBNERaYkw2eXFxcnF5NzI5dmU4R01GTmFXdm9oZzhGd2FUclE2Zlg2aThMaGNEZHlleEJub3RIb1RDd1cyNVUrTUQ4b1prK0F5SGRzYW1ycUowTkRRKzlkenZleFZ2YmM1MWpyRW1pZGVPb0FZMDJkQUFBZ0FFbEVRVlM2enJVdWdZaG9SUmpvQUpqTjVpczJiZHIwMCt4anJhMnRlU2NXVkZkWDU3d3VLeXZiVkZaVzloNGdOUlFwU1pJU0FFUlJqTTROdDZyVmF2WG1RdTg5L3hrempVYlQyTkxTY21COGZQek9zYkd4V3dFa0FTQWNEZzhPRFExOXhPVnkzYVZXcTYwMm0rMFdTWklpUjQ4ZXZUQVlESFlDUUhkM2Q0dlZhcjFCcDlPZGs3MDJYVHdlZDZiZngrZnovVVd0Vm44WHdCUUF6TTdPL3RGa01yMXRmSHo4M3dHSUpTVWxiM0M3M1QvSEV0SmgxV2cwbmx0WFYzZmZpUk1uM2g0S2hiclQ1K2RQaW9oR285Nmw3a2xFUkVTbmhvRU93TXpNelAwek16TVBBRkMzdDdkN1JrZEhQenN4TWZFdEFORHBkTGJLeXNydkRnOFAzeHlOUm5OQzNzNmRPOTBURXhOM09wM09POVBIa3Nta2J1N2ZJUUJRcTlXYkYxdlByck96VTRXc0pVd2lrVWh2VDAvUE9jRmdjRXlyMWRZQ3FmQWtpbUpFcTlYV0E0akVZckhoc2JHeEx5U1R5V2tBeWJuakFBQ2Z6L2ZveE1URTNZWGVMeFFLUFRjOFBQeGMrdlgwOVBSZXE5WDZLYjFlZjY1U3FTeFRxVlFWYnJmN29hVytzM1JBVktsVTc1UWtLZWIxZW44SElHZmZUMDZLSUNJaVdoME1kQ2tTZ0xoZXI5OGhDSUpxcnNjckRnQ2hVTWduU1pLNGRldlc1d1lIQjYvTFdpeFlVQ2dVaG5nODdrVldJQk5Gc1JRQUpFbWF5WDZEK1JNSjBzdVA1Q3NtR0F4Mk5qYzNQMVZVVkhUUnFYeVlQSk1XQ2dxRlFzK0dRcUVEZHJ2OU5vVkNVUklLaFE2R1FxRm5scjRTQUtBdEx5Ly9vTmZyZlJqendod1JFUkd0SGdhNkxGcXR0aDBBWm1kbkQyUWQ5dmYxOVYxUlhWMTk1MXg0U3lzQ0lDYVRTZCs4ZTlUTjNXUFJuUmVXY3V6WXNUMEFVRnhjL0VhZnovYzNBSUgwT1lmRElYVjNkMjg5bGQ0dm5VNVhWVlpXZHV2dzhQRE5BTHhBNmhtN3hzYkdSd0dndDdlMzRCSXM4OVhXMW41THBWTFpKeWNuNTArVUlDSWlvbFhFUUpkRnBWS1ZBNm10dHZLZHQxcXRuNXAvcks2dTdpZDFkWFUvY1RxZG4zYzZuWGNVRlJXOUtocU5EZ0hJdVVlaDJhWkxhV3hzL0gyKzhKWnZHRGNlajA4ZlBIaXdMTjk5ZERwZGpjVmkrWlRGWXZtZ0pFbXpFeE1UMzRoRUl0NjVjeTF6elpKS3BiS29VQzE2dlQ2OUFMSytvcUxpbzJWbFpSOXd1VnpmU0UrbzJHaEN6b1VyejJodEdnaWlBUCtKQUk1K3R4OXR0elJEVzZZKzVmZDQ2cnBPN0w1ekczUjI3U25mSXhtWGtBZ2xGbTJqMENrZ0trOTI3SVpkRWJ4NHh6R2MvKzN0cC95KzJVTGpFUno0L0JIcytFSUxERFc2bkhQUGZPQUFkbjF4SzNRVm1oWGZOK2FQWSt6eENWUmZib05DcXpndHRSSVJ5UkVEWFJhWHkvWDltWm1aLzF1NkpXQXltUzZwcnE2K3U2K3Y3NjNCWVBCWU5CcWRCS0F6bTgzdjhIZzhDL2JCWEdUR2F4d0FKRWxhMGQ5R1I0OGVmVzBpa1RpUmZVd1FoUGwvYXhzQXdHcTFmbEtyMVg0L2tVaDRYUzdYN2VQajQ5OUJxc2V2Yk5PbVRYZWJ6ZWEzdTkzdSswUlJOTlRYMS8raXFLam9vcUdob1ZzQlpIWUxzRmdzNzdIWmJKK014V0tqdGJXMVh4OGFHdnAwSXBHSVRFNU9maHQ1ZUwzZTMwU2owZjZWZkNhNTZianA4SUpqNTMxN085VEZLdlRkUHdKTmVTcWdoS2VpbWZPaVFvRGFyRnB3WFhhYitTTHVHQVNWbVBkY09pd213Z2xFWjJKNTIvaDZBemgrNzJEaER3S2c2UU4xc0wzU2tua3RKU1hFdkNmdk4vRjNONDdkTTdEb1BZQ1RNNFhuaDkzd1pCU0pTQkxoaVVoT2NBU1FPUTRwOS85NU5HVnFpQVUrZDFwa01vcVJoMTJJZW1Ob2VsL2RrdlVSRVoydEdPaHl1YVBScUR2ZkNZUEJzRXNRaEdJQTdrUWlVV1F5bWQ0ZGk4WEdQUjdQSXdBU0FHQ3oyVDZyVkNvdFUxTlQ5NmF2VXlxVlBvL0hzM2QrRDV0T3A2dlNhRFRucUZTcWFvVkNvU2d2TDc4aEhvOVBBa0QySkFjQVVLbFVWYUlvTHJvUU1aQUtoZWxydytId1dGRlIwWGtBb0Zhck43bGNyaStQalkxOUhhbVFaclRaYkordHFLajRyQ2lLMnRIUjBSdGRMdGMzQVNqc2R2dnRkcnY5RnBQSmRNM2s1T1JkVHFmemgwVkZSYzIxdGJYZkh4MGQvYnpmNzMrc3FhbHBuMHFscW5XNzNmY1lESWEyZUR3ZUVRUWhLb3BpTkJnTXhnQW9SMGRIUHk1SmtxYW9xS2d0bVV4cTR2RjRLQnFOTGt4QU1wZnVQUnZmTjRXaFh6dWhMbFpoN0E4VDhQZW1Sc2ozMzlpZDA5NVFxMFA3SFF1ei9meDIyYnJ2TEx5VFd6cEF6YnprUjgrMysvSzJhZnBBS3VpYy85MGRlYzgvOTlHRGVZOW5zN1NYWVBlZDJ4WWNIMzE4QXVOL21ZS2dFRkR6bG9yTThYeGhGd0NPL0ZmK0dnOTlyWGZCc1oxZmFJR3gwWUI0TUpFVExyTXBkQ0lzdTBzdzJ4ZEVZRGkwSUN3Q2dLcEVCYVdldlhkRWRIWmpvRnVtb3FLaWk3TjNTd2lId3ozOS9mM3Z3bHlZQXdDRlFxSDFlRHdQQllQQi9lbGp3V0J3cksrdjcrcjU5MHNrRXNXYk4yL085QVltazhuUXlNakl2d0xBdG0zYmNucTJXbHBhL2pULytuekhzdlgwOUp3N096djd6TlRVMUkrSGhvWnV4dHdPRWhxTnBtbkxsaTNQS3hRS2s4L24rLzN3OFBBbklwSElzWFJaVHFmejgxNnY5emZWMWRYZnR0dnRkNFRENGNGNFBPN3grWHgvZExsYy93RkE2dW5wT2RkdXQ5OVdYVjE5cjFLcExCTUVZY20vTFNjbUp2NXpaR1RrcHFYYXlkWEUwMjdZWG1sQllEaUVnZjhkUmZNSDYyRGRjN0xIS3pBY3dvSGJlbEIycnFuZ1BmSU5yUllhY2cwNXd6bWhxZXhjVXliY1BYVmRKNW8vWEEvckswb0JBSzYvVFFNQVZNYlViL2V4eHlkZ2FpdUd2bXI1dzdnS25RSTYzY24velBGQUFzZnZIY0IwcHhkRjlYbzBmYUF1WnloMXozME94SU9KVEpCSzE5dCt4MVlJSXBBSUoyRnNOQ3o2R2RPbW5wMUI3NCtIbHF5eDY5YjhrOGtiMzF1TGl0ZmtmUktCaU9pc3dVQzNUQzZYNnk2WHkvVXRBQnFrUXR5Q01iS3hzYkYvQTFDeW5QdEZvOUdlenM3T2NnQXFwR2JadXRQM1hNa3MxYVVNRFExZG4vMDZFb2tjSHgwZHZTa1NpUndxOU94Yk1CamNmK3pZc1F2MWV2M3VZRERZQVFCK3YvK0p1VG9SaVVTT0Rnd012Q3ZyRWhHcDcwVTE5MCthbEw0R3dLSmJwTWxaMkJXQjc5Z3M2dDllaWNOM25ZQ3hxUWpGVzR3bmgxRWw0TmgvRDhCUXBVUDVoYVVJVDBXaE1hc2dLSEwvTXhmcTFTcDAvRlQxM1QrQ3BnL1U1UTEwNGFrb3BGZ1M0Y2xVN2VtaDAreXc1ZThOb09mdWZzUThNZFJkWFlucU45c1dmQllnMWV1bTBJaG9lbDhkMUNZVm1qOWNEMDJwQ2k5OTVUZ01OYnBNb0d2OVZDUFVwVXMvWjVnOW5Ecy8vQVdHUXBqdEQ4TDJha3ZPY1M0UVRFUWJCUVBkeWlRQmhCWTVMd0h3TFBOZUV1WVc5MTF0VTFOVDMxOU91M1NZbStNdjJQRGs5N0xZZDNQV0duOWlHcVp0UmlUQ1NXZ3NhZ1NHUWdXSFVQZC82aENBL0wxeGJUYzFRV3ZMblJpdy84YnV2TWZEcnNpaVE3R242c2hkSnhBWU92bWZNUjBtOTl6bkFDUmc5REVYQm40NWhxSjZQVm8vMVFoOVplRmV2c2JyYTNIMDduNTAzbm9FYlo5cGhQVVZwWEQrY1JLQm9SQUNReUZNUEozMzZRYlV2S1VDZFZkWFpsNHJEWXJNZHhXZWpLTHo1aU1vMlZLRStuK3NRbEc5SGdEZ1B1REY0TjZ4QllGT1o5ZENhZUJ3S3hHZC9Sam9pRjRtNzJFL2lwc05NTzhvaHFuVm1MZTNLdHY4WGlNcElXSDd6VTFRbTVjL0cxWmpVV1A3elUyUUVsTG0vY0t1azBzQnhyeXgxR3N4ZnkxQ2dSTFR6L2VsaDBqVHZXS0pTQkpIdjlzUDl3RXZiSysyb09xTk5nakN3c2tQcW1KVkprQVphblRZZWZzV0RQOW1ISVphSFFKRElmVC83eWdFaFlBdC83SUpoanA5enJVVFQwNWo1T0Z4bE83SzdlUXVPOStNc3ZQTkFBQnR1UnF0bjI1RS84OUhjT0MySHRoZlU0Nkc5OVJBU2tvUTgzenYrWjc3SXlJNkd6SFFFYjFNZFcrdnhLR3Y5OEwrZWl1MFpXcnMvOVNoMUt6TlpRbzV3M2pwUHdyM3RpM1dFK2Y0OGxib3ExUFBydTMvOUtITThmNWZqS0wvRjZOUTZoWFk5TzZUMjlWSjhkUUl1RkFnNkJVU2RVZmhQcEJhaHRIMXhEUmNUMHpuYmRkd2JRMHFMaTNEc1hzR1lOMWpnWGxITWVyZlVZbndaQlNIdjlHTHN2Tk1VR2dWT1A2RFFXejUyR2FZdGhtUmpFc1kvT1VveHZkTlllc25HekpEc2ZQNWpxVkc3VTJ0UnV6NjRoWTQvemlKWkRRSkFFaEdKWWlheFdmRUVoR2R6UmpvaUY0bVU2c1J4czBHT1A4d2dVM3Zxc2F1ZjlzQ0tWbDQyY0Y4czBvRlVjQkZQMjVmY0h5eENRTlB2N2NyNS9WRlAwcGQvL1QxWFdqK1lEM0tMelFEQW5LR051UEIxQnllbFlZZm5WMkxQZmM1TVBIVU5JYitieHpuZkswVlVsekMzejl3QUcyZmJVSkpTeEdlL2NpTEVEVWlFdUVrWXJNSkhQcGFMeW91THNPbWQxZkQwKzJEcWxpRmh2ZlVRcUVXSVNvRmROOTVITFk5Rm5pUHpVS2hFYkh6dGkyTFR0U1llTnFOOGI5T29iaTVDSFZYMlZINUJ1dkp6eFdJY3lZckVXMW9ESFNyVHdVZy94b01KRnVsdTRveDhiUWJteVJBVkFzQVZqNnZwZEJhZEl1dFE1Y3RaNmhYUk42aDMvQlVxdWN3UGVOMXBTYWVjc095T3pWVE56QWNncFNVWUpqcklVeUVrMUJvUlNqMUNyUjl1aEVqajR4ajVHRVhxaSszb2VLU01wUmZXQXFGUmtSMEpnYU5SUTJsUVptYWdTc0FGYTh1UTJRcUFyVzU4QklqamRmWHd2WktDd1orT1lxWC91TTR0bjJpQWFXTzFQQnN4QjJEMm5UcUN6Z1RFY2tkQTkzcXNyZTF0VDA3TWpMeThhdzlZWmREQUtBR29OWHBkTVpFSW1GVUtCUkdsVXBsVVNnVUZyVmFYYVpRS0d3cWxhcEtwVkpWemN6TS9IaDZldnFuYzllVzFkYldmbmxvYU9nektEQmhRNnZWMXRYWDEvOXZUMC9QQlMvejgyMVk2bEkxb3A0WVpsN3k1VjFUYlNsU1VpbzRrZUowVG42WTdROENTQzBVckxOcmx3eDJVa0xDekVFZlN0dEw0RHM2QzIvUExCcmVXd3NBbURub2hhRkdCNlZCZ1dRMENTa2huZHl0UVFDcUw2K0E3ZFZsVUJtVm1IaktEWDlmQUw1anN3Z01oNkNyMEtMNk1pdHNyN0xBZHlLSWlhZW0wZk9kZmlRaVNhak5LbWdzYW14K1YvV0M0VmRqb3dIYmIybUdwOXNIVTJ0eDVuaGdLSWpTbmN1YVlFNUVkRlppb0Z0ZHpuQTQzRk5WVmZVVmo4ZnpPMlN0WVplUDJXeStwcjYrL3FlRjFubVRKQ21hU0NSOGlVVENrMGdrUFBGNDNCMlB4OGNGUWNnOGJWNWNYSHllMld6K3g2R2hvWTlrWFNvQ3lQeHRLSXFpVmEvWG53OWcvaUpwWHB4Y2RvVHltQjBJSWg1S1lQb0ZEOVFsS3BpMkdYRmUxblpabzcrZmdQVVZwVkNWblB5dDF2ZXprWnh0cXRSbU5ScXZyMFhGSmJscnBmbU96MkxpYjI3VVhWMEpWZkhDMzZyamY1MWExa1FLdlYwTCsydkxBUURUK3ozUVYya3gvcGNwVkwzQkNwVlJpUzBmMnd6akpuM2VhenR1T294a0xJbmQyMXB4L0grR1lIdTFKYlZGbHdTNC91Yk83QzZSQ0tlZVpWUG9jbnNTUng1MndWQ2pSY2dWUmRRVGc3SEJnTm9yN1puWnNmRmdBbnE3QnZWdnIwVHlTanRtKzRPSWVtS0llbUl3ek0xZ1hlN1NJK1A3cGpDK2IrSEVjV1dSRWhmY25YOVJaU0tpc3dVRDNSblEzdDRlWDJxeFhZZkRFYzkzZkdobzZDTlRVMVAzekwxVUNJS2dPSDc4K0o1RUloR0t4K01oVVJTRDRYQjRGcWxsUkFydkZ6WEhhRFR1Q1FRQ1R5QXJQR3ExMnRyNWl4ZlAxWlN6Lyt6Y09ubHJzclNLWEV5OTRNSDBmZytVZWdVYTNsTUwxOSttWVRuSGhJNVBIMEw3SFZ2aE96WUwvL0ZaYkwrbEdZSkNRSEFrQktWT0FiWHA1SEo5eVdnUzZoSVZJQUdSbVJoTy9IZ0kyMjVzUU8vL0RFRktTQWhQUmhZRXVuZ3dnY2gwRkFwdC9xSFl3RUFRL1FOQlRIZDYwWFpURXhxdXE0Ry9Od0RQWVQ4MnY2c2FmZmVQWk5xV25XdUMrNEFYaVhBQ2dsTEV4RlBUY1AxdEdpcWpFclpYV1ZCeFNSbU8zdDBQS1o1RS9UdXJBQUNUejg0ZzRvN0M5aXBMcGg0QU9VRTFIa3pBK2VkSlZGMW1ROTFWZGdDcGNEYisxOFYvcExiZDJKQ3o2OFJpTTFVak16SDBmS3NQQ3EwQ3JaOXVoSkRuNjFqcEJCQWlJamxpb0R0RG5FN241NmVucHg5S3YxYXIxY3BvTkRvL3hBa3FsVW9UaThVeWF6OUVvOUh4K2ZjcXRBRHdjaFFYRjErbTArbDJPUndPQ1FDbXA2ZC82SEs1N2dCT0xtQ3NWcXUzdExXMUhjbGEwTGpJNFhBc3R1NGN6YW05MG83RzYydWhOQ2d3OWR3TUJuNDVpckp6VGFtQUl3clk4aStiY2VEelIrRHZEU0FlVEVDU1VtdW1EZjkySERWdlRZVVcxNU5UR044M2pkTDJFaVFqaWN4czB0WlBOZUxJdC92dzBwZU93WEZuSzdUbGFwejR5VEFpN2lnYTNsTUQ1NThua1lna3NmbmQxVWpHa3ZCMCt6RzlQeldxUHZyWUJKUUdKY3JPTlVHaEZSSHp4M0gwbmdIb0s3V291TFE4SjlBQndOUnpNd2lPaENFbEpVUzlNVlMveVFiN2E4dVJqRXM0ZW5jLy9DZUMyUEc1WmlqMUNzU0RDZlEvTUlLS1M4b3krOUxHZzZrZjdlem4zeWFlZGlNWlM2TGk0dHkxNFJiYkZTSmZiMXlodHQ0amZoei8vaUNrSkJEMXhIRDRteWRROVFZcnJLK3lRTUVacjBTMHdURFFuU0d4V0d3OHZYK3JXcTNlMHR6Yy9OTDhIU0RVYXZXV2xwYVdydE81TThUOCsydTEycllqUjQ2Y24wZ2tmRTFOVGI4TmhVS1pQV1hUSWEvUWExcWFxQlJPYnFuMXgwbVVYMUNhTTRGQlU2ckM3cSsyUXFsWDRQaTlnMGpHa21oNFR3MTZ2dE1QODY1aUdHcDBjUDNORGV0RnBRdm1VV2dzYXV5NHRSbmVJN1BRbHFlR1ZtY0hnMGlFRXRDVXF0RndiUTJPM2pNQTAxWWpJQUtIdjNrQ0NxMEMxb3RLVVg1aGFXWk52UFNTSWZGQUhEdHViYzY3MzJuTUY0ZTZWSVg2dDFkQ2E5VkFWS2MrdytEZVVRUkhRdGgrU3hQMFZWcElTUWxIdnpjQVFRRHFyanE1K0c5a09qWFBKL05NbmdRNC96UUo4L1ppYUN5bmNiS0NCTXgwK3pEMmgwbk12T2lGb1ZhSHRzODJRUkJUdzd0OXZ4akI0Sy9HWUwrMEhKVnpROHBFUkJzQi83UTdRL1I2L1I2SHczRnY5ckZDZ1NuNytQSGp4MS9wOS91ZnlqNnZWcXUzck9TOTAwSFNhclYrMk8vM1B4WUtoWjRIWU5Ob05BMCtuKzlCekVXSHpzNU80MXl0elZ1MmJPbEl2d1pnY0RnY0Mzb0txVER2RVQ5bSs0Tm8rY2dtaUNvQm9rcUV1OE1EVTF2cUt3ME1Cakh6a2cvVmw5dGcyVzFDeTRmcllhald3ZlhrTkNMVDBjeGVveXFqRWhBQTE1UFRLRzVLVFFqUWxxc1Jjb1l4T3hERWJGOFE5dGVsbm9jcmYwVXBKcCtkUVdBNGhKcTNWR0RiSnh0Z2FqTkNUQWRLS2ZWYzJjQURveERWSXRwdWFzcXNXYWZVS3pEZDRZVmxkMnJZMHRjYlFPWHJ5alBuMCtxdXNxUDZjaHRVUmlXa3VJU2ovejBBN3lFZjJtNXV4dlIrRDZTRUJBakEyR01UTU5UcU1rSFEvYUlYSVdjWWRXK3pML2l1VnJTVm1RU0V4c1B3bndqQ2M5aVBtUmU5aVBualVKdFYySHh0RGV5dktjdk01bTI4b1JZMVY5Z3g4c2c0Umg5MVlmU3hDVlM4Mm9LcU45bE9iNmdrSWxxSEdPak9rRkFvMU5IZDNmMFZBTkJxdFpzYUd4c2Y3ZTd1M3ByZEp0L3hhRFE2T1A5ZWJXMXQrWGNkTDZDenMxTUZRRjlXVnZiQkV5ZE92S08ydHZiSDRYRDRwV0F3K0lJb2lyRkVJbEhVMTlkM3BWYXJMUU1BUVJETWMvV2tuOG9YKy9yNnJ0Um9OQ1dSU0lUUDBDMUR5VllqMnUvWW11bEpxM2xyQlFaK09ZcmsvWE1MK1NvRkZEY1haU1lSWkhZK3NHcFE5L1pLYU9iMk1sVVdLVkY3cFIxOVB4dEJJcHc3WjBaVWl6QnRMMGJ0VzA4K1g3YjFFNXN6ejRpVnR1Zk84aHpjTzRiaDM0N0R2TE1FVGUrdlRUMm5ONmZ1N1pVWWZIQU1BNzhjVGRYV1lFRGxYRkNjLzU3cGtPYjg4eVRjblY1cytkaG1GRGNaNEhweUtyUEFzS1pVaFpaLzNwUzV6dlhFTkpSNkJVcDN6NTlua3hwS1RuOVA4ODBQZTRsb0VqM2Y3VWRnS0FTRlRnSHpqbUtVWDJCRzZhNlN2TXV5YUVwVmFMaTJCdFZ2dG1INC84YmgvTXNVbEVZbGFxOVlHQ3lKaU00bURIUm5pQ1JKb1hSUFdab29pam43SkNVU2lTaHdza2V0a003T1RzRnF0ZDVZV1ZuNTd3Y09IS2hDYXZicGZFSnJhMnRQSXBId0E0Z0Q4RG1kemx2OGZ2OGpUVTFOdit2dTd0NDJNVEh4czIzYnR2MVpxOVcyNW51ZmZCTWx6dFJ3OE5tZytjUDFPWk1ic2hmRnJYbExSYzZEL1lXWXRobGgybWJNT1ZaN2hYM1pBV1N4Qi81cnI3U2paS3NScGxiamduUDJTOHRodjNSaGdGdU0vWFhsS05scWhLRTIxWXZYOUw0Nk5OMVFsOXArYk40d2JzdEg2dUh0bVYwd3ZGdDl1UTFGbS9RRmgwS3JMN2RCbDdWdnJVSWpZdHNuR3hCeHgyRGNyRjl5VzdVMFRha2FqVGZVb3ZweUc5U2w3SjBqb3JNZkE5MFpra3d1M0NvZ1gyQmFqQ0FJS2ttU0VnQXdPenY3Z0NBSS8ybXoyYTUzdVZ4M3pXOXJOQnJmck5Gb212djcrNjlOSDV2WFRnTGdPbno0Y050S2FxRENySzhvWGVzU0ZpVW9oTHhoN3BUdkp3cVpNSGZ5SUJhRU9TRFZzMmZlVWJ6Z2VQMDdxaFo5ajN6bk5SYjFLUStaYXEyYXBSc1JFWjBGR09oT1AxRVFCSVVnQ0F1V0ZNazNLV0t4NFZTRlFsRWtTVklJQUlMQjRKamI3ZjY1eldhNzJlVnkvUThBWDFaVFZVMU56VmREb2RCTE16TXp2MWhHalJVT2g4TzVWS05qeDQ1dG41MmR6Yi9hTFJFUkVhMGJESFNuWHdrQUpCS0pRUFpraG1QSGptM1BON21odTd0N3ExcXQzcEp2MkZXcFZOcmk4ZmhrK3JYTDVick5iRFpmWFZkWDk0M0J3Y0gzcDQ5WFYxZmZvZFZxVzQ0ZE8vWWFMTEZZY2JhalI0L3VDQVFDVG8xR1l6SWFqYStkbXByNjlkejFDazZLSUNJaWtnOEd1dE5NclZiYkFDQ1JTRXlzWkRKRFoyZW5FdlBDbUZhcmJZcEdvd1BwMStGd3VIOXNiT3ovVlZkWDN4MElCRjZZbXByNmI3UFovRTlXcS9VelRxZnpTN096cy90V1Vtc3ltWndCTUNXS1lrTnRiZTMzcHFhbTdwMnJnVDhYUkVSRU1zSy91RTh6dlY3ZkRBQ0pSS0l2UGNSYVYxZjMwK0xpNHRmMTkvZS9ObnNJVTZ2VmJtNW9hUGpEek16TVE4alRzMll3R003MWVEeS96VDQyTVRIeFBhMVd1N08ydHZaN0JvUGhmSXZGOGg2UHgvT1EwK204YmFuYXlzdkxQeFlJQko0TkJvUEQyY2QxT3QyMldDdzJtcThHT250SUNXblprd3FJaUVoZXVKejZhYWJUNmM2THgrTVR3V0J3TEgxc2NIRHdmYUZRNklYTm16ZnZNNWxNYndVQWs4bjB0dWJtNWhmOGZ2K2pZMk5qbjUxL0g0MUcwNnhXcXpmTnpzNCtPZi9jME5EUVo2TFI2SWpGWXJrK0hvKzcrL3I2UG9vbHdsaDVlZm43YTJwcTdsS3IxWlVBRXRGb2REQVVDc1VCR0NzcUt2NmZRcUV3VlZSVWZBYUFCb0FValVZSFk3SFlrbHVMa1R5Y3VHOFlCKzg0OXJKMzVuVTlPWTJqZDY5b2JnOFJFYTBDOXRDZFppVWxKWmY3L2Y0bjVoMk85dmIyWGxGWldmbWx6WnMzL3pvY0RoL1dhRFJOdzhQREg1dWFtdnArdnZ0WUxKYnJrOGxrME9QeFBKNTFXR214V1A3SmJyZi91MHFsc2s5UFQvL01iRGEvYmNlT0hZZGRMdGZYWFM3WGZ3Tnd6N3VWRFFDc1Z1dkgrL3Y3MytQeGVINERBTjNkM1p1S2k0dmZXRjFkL1ExQkVCUWpJeU0zMnUzMnoxc3Nsbzg0bmM3UGRuZDMxNSttcjRUV0FlTm1BNXgvbXNUNHZpbFVYRksyYU50RU9JSG9UQ3p2T1VFcFlQTFpHWlE2VENpcTArVnRvN1ZxMkJOSVJMVEtHT2hPSTZQUnVFZXYxKzkwT3AxM1pCMFc5SHI5cnBLU2tqZWJUS2JMQVVpQ0lLZ0ZRVkJiTEpiM2lLSllGQWdFL2hJSUJMcVJXajhPQUd6bDVlVWZuWjZlL2dtQWdGYXJyU3NwS1hsM1dWblpCelFhVFgwd0dIeWhyNi92YmNGZ2NQLzQrUGp0VlZWVlg2dXFxdnB5WldYbDdYNi8veTkrdi84eG44LzNUQ2dVZXI2MHRQUmlTWkppL2YzOVYzczhua2VLaTR2ZmJEUWFMekdaVEZkb05Kck4wOVBUOXc4T0RuNGNnSHRxYXVwbmRydjk1cnE2dXZ2S3lzbytOakl5OHJGZ01OaTEydDhqblg3V2kwb3gvdGRKeEh6enR4TmV5SDNBdDJRdjNHTG56NzFyT3pTbHFvTG5pWWpvOUdPZ080MHFLeXZ2aUVhai9WNnY5NG5xNnVvN3RWcnRUb1BCY0w1Q29UQkZJcEhqTXpNekQ3amQ3djhKaDhNRFJVVkZyeW90TGIzQmJyZC9RYUZRZkYyU3BFZ2tFamt4T0RqNGNhUFJ1RnNRQkdGNmV2cU82dXJxTzYxVzYyY0FZSFoyOXRtUmtaRlBlNzNldlpnYlBJdEVJaWY2K3ZxdTFPdjE3V1ZsWlI4dkxTMTlSM0Z4OFJzVkNzVy9oMEtoNTkxdTkvK0d3K0hqd1dDd0V3RE1adk03aTR1TFgrL3hlUGJPek14OGI5NnlKRUduMC9sNXQ5djlzNXFhbXJ1MVdtMHpBNTE4NU52WWZqN2Y4UUFHOTQ3bFBhZlVLM0RCUFRzenIvZmM1OGc1UC9YOERGUkdKVXEyNWwvYnpuZHNOaldzUzBSRXE0NkI3alFhR1JtNVF4UkZMWUJKaFVKUm1VZ2twc2JHeGo3bjgvbitGSWxFam1hM25aMmRmWEoyZHZiSm9hRWhoVTZuMjExVVZIU0JScU5wQ0FRQ1R3WUNnU2RtWjJlZkN3YURZOEZnOE91SlJDTHE4L2wrR1FnRVhpcjAzc0Znc0d0b2FPaTlRME5ESHpXWlRLLzNlRHkveXpxWCtadCtjSER3ZlVqMUJCWjhtaW9TaVJ6dDdlMjlGQXUyaTZmMWJQZWQyM0plei9ZSGNmU2VBVFM5dnk2ekwreWloTlIvYnAxTmcrckxiVWpHa3BsVE15LzUwZlBkZmpSY1d3TmpZLzU3cVlwVnFMN2NCb1dHUHpaRVJLdU5nZTQwQ2dRQ2Ywci9lbkJ3OE5yRjJtWkpoRUtoNTBPaDBQUFpCN09XSUpsd09wMmZYMGtaSG8vbjE0dWN6Lzl3Vkg0djh4RjZXazA2dXpibmRXUTZOYWRGWDZsZGNHNHhCMjVMTFlrNDhyQnJ3YmtUOXczanhIM0RDNDVuaXdjU2FMeStkdG52UjBSRUx4OERIZEZaS2hGSjliQ0ptcFZOWmovbkd5ZDNoNHU2b3poOFZ4OXNlMHBoZjcwMXAxM2NIOGVoYjV5QXhWR0M2bjg0dVcrdFVzdko4MFJFcTQyQmp1Z3NsUWlsVnJMcHVuWHg5YTJ0ZXl4by9tQmQ1clcyN09TK3FhNTlVeEFVQXR3SHZJZ0hFeWh1S1VKSlN4SENrMUgwL21nSXhRMTZORnhYdzFtdFJFUnJqSUdPNkN3Vm5Za0JBdUQ0OGpZSUJUck5EbnloQjBwZDRSNjF1cXNyVVhkMUpXYjdnaGg5M0lYZUh3NUJTcVpHNHBVR0pjdzdTeENlakVKWG9Ua1RINEdJaUphSmdZN29MQlVjQzBOVHFvYStxc0R6Y3hLUWlDYWgwT2YrTVJDZGlXSGlxV21FcDZNSVQwUVJjb1lSbVk1Q29SVlIybDZDOGd2TTBGalVtTzcwWVBUM0x2VCthQWhxc3dxbXJVWnN1cVlLcWhJdVdVSkV0Tm9ZNklqT1JoTGdQVEpiY0VZcWtGcEFHQktnTkNoeWppc05DamovT2dXMVNRVkR0UTZXOWhJWUd3d3cxT2tRbm9pZzQ2YkQySE9mQThaR0ErcmZVWVhnU0FoVHozdmc2dzFBVmN3d1IwUzBGaGpvaU01QzNoNC9JdTRvNm5aVkZtd1RENlNlc1ZNVlpRVTZLVFU3dHUzVGpRdmFoeWNpQ0UrbVpzNkduT0hNY1VFaG9QeENNOG92TkNNMEhvYW9FYUVwVlMrNG5vaUl6aHdHT3FLejBORC9qVU5wVU1CeWpxbGdtOWhzYXRjSVpkSEpQd2FTOFNRNmJqcTg1UDBYYTJOcU5hTHRwcVlWVkV0RVJDOFhBeDNSV2NiMXhEUzhSL3lvdTdvU2lrV1dFSWw2VWtzU3FyT0dTVVdWdUdDSENFaUErNEFYdzc4WlJ6S1dSR0E0QkoxZEM1MU5nN3FySzJHb3piK25LeEVSclI0R09xS3ppTy9vTEU3OFpBaUdHaDJxMzJSYnRLMi9Od0FBMEpUbEdSNlZBSDkvQU5NZFhrdys3WWF5U0lIYUsrM1FWMnJSY2ROaHROK3hCYU9QdW5Ed1M4ZGdxTmFpL0JXbEtOMVprdjllUkVSMHhqSFFFWjBsM0FlODZQbE9QeFI2QmJaK29nR0M4dVRhY0dPUFR5RGlqa0Zkb29SQ3AwREVIY1hvb3k0WUd3MVFGWi84WXlBNkUwUGYvU1B3SHZFakhreWdkRmNKR3Q5WEMvUDJZZ0FubjUwVFZTSnEzbXFIL1hWV3VKNmNodk5Qa3pqeGsyRm95dFN3dEpkZzg3VTFxL3ZoaVNzdUdSUUFBQ0FBU1VSQlZJZzJPQVk2b3JOQWVDS0NJLy9WQjdWSmhiYlBORUpibnR0VEZnOG1NUGFIQ1VpSnVkM2NCTURZWUVETGgrdHoycW5OS3BoM0ZzTzB6UWpMdVNhb2pJdi9FYUhVSzFEMVJpdXEzbWhGY0NTRTZVNHZ6RHVLVCtkSEl5S2laV0NnSXpvTGFLMGFiUHZFWmhnYkREbVRITkpxcjdTajlrbzdwTGlFWkN3SlFTbEFWT1YvdnM3MlNrdmg5eW5YWVBlZDIvS2UwMWZyb0svbTgzUkVSR3VCZ1k3b0xHSGVXYkprRzBFcFFLRlVMTmx1c2V0MTlnSUxGUk1SMFpyaEx0cEVSRVJFTXNkQVIwUkVSQ1J6SEhJbG12UFVkWjFyWFFJUkVkRXBZUThkYlhpU0pPMWI2eHBvL2VIUEJSSEpDWHZvYU1QcjZ1cTZaSzFyV0M4Y0RvY0VBSjJkbmNKU2JZbUlhUDFnRHgwUkVSR1J6REhRRVJFUkVja2NBeDBSRVJHUnpESFFFUkVSRWNrY0F4MFJFUkdSekRIUUVSRVJFY2tjQXgwUkVSR1J6REhRRVJFUkVja2NBeDBSRVJHUnpESFFFUkVSRWNrY0F4MFJFUkdSekRIUUVSRVJFY2tjQXgwUkVSR1J6REhRRVJFUkVja2NBeDBSRVJHUnpESFFFUkVSRWNrY0F4MFJFUkdSekRIUUVSRVJFY2tjQXgwUkVSR1J6REhRRVJFUkVja2NBeDBSRVJHUnpESFFFUkVSRWNrY0F4MFJFUkdSekRIUUVSRVJFY2tjQXgwUkVSR1J6Q25YdWdBaVdodnQ3ZTExZ2lBTTVEdm5jRGlrN05lU0pOVjNkWFVOcmtwaFJFUzBZdXloSTlxZ3VycTZCaVZKZW42cGRwSWtQYzh3UjBTMHZqSFFFVzFnZ2lEc1hVYWJoMWFqRmlJaU9uVU1kRVFiMkhJQ25VS2hXTElORVJHdExRWTZvZzJzbzZQakJJQVhDNTBYQk9IQUN5KzgwTGVLSlJFUjBTbGdvQ1BhNEJicnBVc21rK3lkSXlLU0FRWTZvZzF1c2RDMm5DRlpJaUphZXd4MFJCdGNWMWZYWVFBOWVVNGQ2ZXpzUExMYTlSQVIwY294MEJFUkFDem9pV1B2SEJHUmZERFFFUkZFVVZ3UTNoS0pCQU1kRVpGTU1OQVJFZmJ2MzM5QUVJVCtyRU45Qnc0Y0tEajdsWWlJMWhjR09pSUNBRW1TcE93ZXViMEFwRUtOaVlob2ZXR2dJNkswVEtEajgzTkVSUExDUUVkRUFJRE96czduQVl3S2dqRFMwZEh4d2xyWFEwUkV5NmRjNndLSWFOMUlDb0x3cTJReUtRRklyblV4UkVTMGZBeDBSSlNSVENZZkVnU0J6ODRSRWNrTUF4MFJaVFEyTmo0TkFKMmRuV3RkQ2hFUnJRQURIUkZsUFBqZ2c0bTFyb0dJaUZhT2t5S0lpSWlJWkk2QmpvaUlpRWptT09SS05FOTdlL3R6Z2lDY3Q5WjEwUG9pU2RLK3JxNnVTOWE2RGlLaWZOaERSelFQd3h6bEl3akN4V3RkQXhGUklleWhJeXBnejMyT3RTNkIxb21ucnVPc1h5SmEzOWhEUjBSRVJDUnpESFJFUkVSRU1zZEFSMFJFUkNSekRIUkVSRVJFTXNkQVIwUkVSQ1J6REhSRVJFUkVNc2RBUjBSRVJDUnpESFJFUkVSRU1zZEFSMFJFUkNSekRIUkVSRVJFTXNkQVIwUkVSQ1J6REhUMC85bTc3L0M2Ny9ydS82L3ZXVHJhUjN0WmtvZmtKZHV4SkdjbmJSSUlJWGNaWWYrZ3JZRlNWaWkwZDVvUU5vRkN3SkJDYUlDYmxrSWdKSUZTVmdZa0lRUUNjYll0YjB1MnRXenR2YVd6djc4L2puV3NvM09PSkE5Wk92SHpjVjI2MFBtdTh6NitrUExTWndJQWdBUkhvQU1BQUVod0JEb0FBSUFFUjZBREFBQkljQVE2QU11U0dUQ1h1Z1FBU0JnRU91QVZ3RGZxMTBUYmxHUks3bjd2bkYremc5TFFnVkh0K1V6OW5NOS80ZWI5NnQwNWNFYTE5VDQzcUozYjZ4UndCeVZKYlE5M2E3eGxjczU3UmhyRzllSkhEMmhvMzhnWnZTY0FYR2hzUzEwQWNDSHBmcnBmQ3A3WnZZWFg1VXFTUFAxZTlUNDdJTStBVCs1K3J5YmJwK1FkOWltNU1FbGJ2N2hCdTI0NU9PZHphbmRzVkhLUk0vemFQeEhReEltcE9lL3hqL3NWOUo1OWkxbkFFOVRvc1FtZCtIV1h5bTRxVk9rYmlpUWorcnEwVlNreXJJWWE3ejJoMnE5WHlXSS85YmRuM3d0RE92TGRscWg3REl1aEszOVVmZFkxQWtBaUl0QUI1MUh6ZlcwSytzOHNHRTBIT3NOcWFLUmhYTTZDSkEwZkhGWGwrOHZsMnBDdXBCeUhBcDVRV3R6d3o2dVZ0U1VqNmhuUHZXL3Z2TzlqQmswcFJvbW1hVWExN2huV0dHbHNEdFlraTZwdVdhUDJSN3ZWK290TzJkUHQ0Yy9sbnd6SU4rSUxYNXRUbXluL21GK2VmbS9NWjlYdTJCaisvdmd2T2pWUVIyc2VnQXNYZ1E0NGo2NzRZZndXcEozYjYxUnlZNEZXdmJOa3ptYzRzdXphZEh1bEpLbjdqLzNLcUVoVlVxNGo0aHJEYWtTMGFzWGlHZkFxNkEzS094d0tVVk5kYmtuUzBmODZyckdtaWFqcm0zN2NwcVlmdDBVY3UrcSttam5mSXlaRFd2SDZRcmsyWlNodFpVcjQ4TUR1WVIzNy92R295L3RmSG81NHZlN21WWklVYm1VTXVBTWFPakNtck0zUkFSWUFMaFFFT3VBQ2RmUS9XelhTTUI1K3ZmdjJ3NUtraSsvZUxOTVgyUys4NjdaREtuOUxrZkl1eTQ3NXJKM2I2K1o5ditjL0VMOTEwRldWcmsyM1Y4cVJZWk83MTZ1aTYvTWl6cmM4Mks2MDFhbkt1eXhMZlM4TVJaenIrY3VBQXU2QVNtOHFuTGNHQUhpbEl0QUJDYWJqZHoxcStWbEgrUFYwRUpPa3kvOXJxeVRwOERlYTVuM081ayt0bFhScVROcDhyVzMyZEx1Y0JVa3h6ODNzL3B4cHBINWNqVDg2RWJvLzA2N050MWZFN0thMUpJVmFFeTBPaTVydWI1TXQzYWE4eTdJa1NZTjdSdFR4ZUs4MmZid2k2ajR6YUtyemlWN2wxTHFVdmpwMXp2b0I0SldNUUlkbHA3cTYrcTFMWGNOeVZ2RFhPY3F1enRUQW5oRzEvcXhEVmJkV3lKa1g2bkkxTEZKU3JrUGxieTVXK3BxVXFIc1BmcjF4M25Gdi9nbS9BcDdvUVhUK1NiODhnNmZHdUNWbDI4UGZ6NXhrTWMwTW1Lci9qMmFsclU3UmVQT2tISmsyalI2YlVPRzF1WEhmTzNORHVvcXZ6OWRJL1pqeUxzdVNiOFNuWXo4NHJxTHI4K1RhRk4ybDJ2L1NzRHlEUGxYZE5uYzNOUUM4MGhIb3NKejRKZGtNdy9qZnBTNWtPYk9sMm1STHRjbjlSSzhreVpubkNBY3E3NGhQRjMxK1hkeDdwOCtaZmxPR0xUTFlCYjFCalRTTXErZlAvVkhqMWlTcDllZWRhdjE1Wi9qMWZDMTZuVS8yeVQ4WlVOa04rV3BzUHFIU054YXA4ZDRUeXRubWtqMDkrbGZQN0c3YjdqLzFoNy92ZXJKUFhVLzJTWklxM2xNV1B1NGI5VW1tTk5Jd3B1VEMySzJIQUhBaElOQmhPYmxOMGxWTFhZU2t0eXgxQVFzeGZHQlVrdFR4V0sreWF6S1Z2VFZUTDMzMHdJTHUzZnpKU21WdVNKZHZ6QjllRSs3RmoreVh4V0hSeFhkdlV1NGxJMnI0Ym90cWQxVEo0YkpIM0h2cys2M3lEUGxpUFRacy9QaWtqdis4UTJ2ZVV4WU9qbG1iTTVSV2xxeW1IN2RwL1QrdGlyb25YcmR0MUxOYlQ2MWhWL3lhZk1tVUd1ODlvYVJzUjh5WnZRQndJU0RRWWRtb3E2dTdXOUxkUzExSFRVM05zdCtpWUx4MVVwWWtxeVJwc3RPdDN1Y0d0ZmxUbGJyc2V4ZEZYTmZ6bHdHMVBOZ2VkZHlhWk5HQnJ4elRTTU5ZZUltUzFYOWZxcHphVEZuc0ZtWFh1bVJMdG1yZzVTR3RlUDJweVFiZUVaOEc5NDZxNHIxbGlpY3dGVkREdDF1VXZpWlZCVmZucVBmNXdmQzUxZHRMdGVjejllcDZxazlGcjRxYytCQ3IyemJtWno4ZXVXWmU4UTM1R20yY1VOTjliZHIyOWFxWTY5b0J3Q3NkZ1E1SVFEM1BEQ2luMXFYSjlpbXRlWGVwbW43VXB2cHZOcXYycmlwWmswNHRWMkoxaEw2M3BWaWpucEZTNGxUK1Zka0tlb05xK25HYkN2NHFKM3pPWWpOVWVGMmVPaDd2VmRHcjgyUk5EdDEvNGxkZGNtVGJsWGQ1VnN5NmduNVQ5ZmUweURmcTE2YVBWMGFGcTVSaXA4cmZYS1RtKzl2bHpFdUthbEdiYjdac3ZHN2VGVGNXYU84ZERScHZuVlRhcXVpeGd3RHdTa2VnQXhLTWZ6S2d2bWNIdGZVTDY5WDJVSmNzTmtNYlByWktRNGZHWkFiTThIcHlVcWhGVFZMRU1TblVHclptZTZra1JTMERNcTNreG54MVA5MnZscDkycU9JZnlqUzBmMVRkVC9kcjQvOWRFM05paFJrdzFmRHRaZzBmR3RXR2o2NE9UOVNZYmNYZkZHcWtZVnoxLzlHc0RSK0xYZ0I1NWlTUGFlNCtydzdkMVJqMzM4UjVjdnljWjhpbnRPamVYQUI0eFNQUUFRbW02dzk5eWxpYkZyR0VpRDNUcnZ3cnN0WDlkTDhhZjNnaTZwNlpTNXRJQzFzUTJKNXUwNXEvWDZFai82OVZWcWRGM1g4ZVVORjFlY3JlbWhsMWJjQWQxSkh2dG1odzc0aFd2cTFZT2R0YzhSOXNoQllIUHZEbG96cjh6U2F0ZXRjS0ZjOVlkMjdtSkkrRmN2ZDRRalduUmJkRUFzQ0ZnRUFISkpoWVhaWFRDcS9KVmVFMXA1WUY2ZjVqdnhwL2RPTE1kblNRbEhkNXR2cWVIMUxINDcxeUZpUnA5ZCt0aUxyRzArL1Y0VzgyYWFKdFNpdGVWeEF4NWk0ZVc0cFZtMjZ2MU1FZHg5VDhrellON1J2UmhuOWVmVnExZGZ5dVIyTXRrN0k2TFJvK01DWkhscDIxNkFCY3NBaDB3SGt5ZkxKTGRDNmVmbytHOW8vR1BaKzFKU1B1K0xWenpkUHZWY3RQMnpXNGIwU3VxblFOSHg3VG9YOXYwcHJ0cFJGTGhIaUhmWnJzZEt2OExVVXFmV1BSZ3A5dno3QnA4NmZYcXVIYkxVb3VkSWEzS25QM1JlL2RHdXVZM1dYWFZLZGJRYitwdEZVcEtuOUxVZFJTTEFCd29TRFFBZWRKL2QxTkNuaUNjMTdULy9Kd3pEWGdwczNWMGpaN0I0bVpZazAyMlBTSlNnVzlRUTN1SFpIRmNXb2l4VVRibExxZTdGUHZ6Z0VsNVNWcDA4Y3I1YXBLMTlEK1VSMzd3WEhWZmZLd2NyYTVWSGhOcmpJM3BDbTlJbFUxZDI0NDdXNVM2V1JMM1cwVk1vT25ndTVjWStWbXlyOGlXL2xYeE42S0RBQXVOQVE2NER5NStKdWJaQzdpZ2lqVE8wZ3NWTWNUdmVyK1kyangzcEliQ3lTRkZ2QnQra21ia25JY1d2VzNLMVI0VFc1NEFrVFdsZ3pWZm5XajJoN3RVZGVUdlJwdm5kVFdPOWJMbG1vOW96QVhaaWhpa2tYdGpvMVJ6NXZxY2tlTkF3UUFuRUwvQkRETDlEcDBaenJ1N0h6eWp2aGtUN2ZKc0p6K2ozTEFIVlJnS2lCcnNsVldaNmlGTHVnTmF1akFxTEszWnM2NVJaaC9JcURBVkVCSnViRm5zczdrNmZkcXRIRkN1UmU3NXQxMnpOM2pVVkt1SStvNk0yREtNK1NUTTljaDM1aGZVMTF1WmF4Tlc4Q25QRGVtV3pqcjZ1cjRuUWxnV2FLRkRraGdqa3o3L0JmRllYVmF3a0Z1bXNWaFVVN3RIRE5VVDdLbFdtVkxYZGlNMHFSY2gvSVdFUHdrUmN6Y25jbXdHbktlZklZOTNTWjcrdmtMY3dDUUNDenpYd0lBQUlEbGpFQUhBQUNRNEFoMEFBQUFDWTVBQndBQWtPQUlkQUFBQUFtT1FBY0FBSkRnQ0hRQUFBQUpqa0FIQUFDUTRBaDBBQUFBQ1k1QUJ3QUFrT0FJZEFBQUFBbU9RQWNBQUpEZ0NIUUFBQUFKenJiVUJRREwxYzd0ZFV0ZEFnQUFDMElMSFRDTGFacFBMM1VOV0g3NC93VUFBRWhJTlRVMVprMU5qYm5VZFFBQTVrWUxIUUFBUUlJajBBRUFBQ1E0QWgwQUFFQ0NJOUFCQUFBa09BSWRBQUJBZ2lQUUFRQUFKRGdDSFFBQVFJSWowQUVBQUNRNEFoMEFBRUNDSTlBQkFBQWtPQUlkQUFCQWdpUFFBUUFBSkRnQ0hRQUFRSUlqMEFFQUFDUTRBaDBBQUVDQ0k5QUJBQUFrT0FJZEFBQkFnaVBRQVFBQUpEZ0NIUUFBUUlJemxyb0FBTXREZFhWMXVhUUhETU93U0pKcG1rSERNSzQ4K2Yyek00OWJMSlozN2Q2OSs4UVNsZ3NBbUlGQUIyQ2FVVk5UMHlocDlUelhOZFhWMVZWS01zOURUUUNBQmFETEZjQTBVOUl2RjNEZEwwV1lBNEJsaFVBSElNd3dqSGtEbmNWaVdVam9Bd0NjUjNTNUFwakpVbHRiZTl3MHpSVnh6cmZWMWRXVml4WTZBRmhXYUtFRE1GTXdHQXorYW83enZ4SmhEZ0NXSFFJZGdObm02bEtsdXhVQWxpRUNIWUFJRlJVVnowcnFuWDNjTk0yZU5XdldQTGNFSlFFQTVtRmQ2Z0lBTEMrSER4ODJpNHFLS2lSdG0zbmNZckhjLzRjLy9PR1JKU29MQURBSFd1Z0FSSWsxa3pVWUROTGRDZ0RMRklFT1FCVFROSitXTkRUajlhREZZdm56MGxVRUFKZ0xnUTVBbE4yN2Qvc2tQVFQ5MmpDTWgwNGVBd0FzUXdRNkFQR0V1MWdYc3VBd0FHRHBFT2dBeERRNk92cms5UGNqSXlOL1dNcGFBQUJ6STlBQmlLbXhzZEZqbXVhRGtoNW9iR3owTEhVOUFJRDRiRXRkQUlEbDYyUlhLenREQU1BeXgxNnV3Q3pWMWRVdkdvWnh5VkxYZ2VYRk5NMm45K3paYysxUzF3RUFzZERsQ3N4Q21FTXNobUZjczlRMUFFQThkTGtDY1Z4MVg4MVNsNEJsWXVmMnVxVXVBUURtUkFzZEFBQkFnaVBRQVFBQUpEZ0NIUUFBUUlJajBBRUFBQ1E0QWgwQUFFQ0NJOUFCQUFBa09BSWRBQUJBZ2lQUUFRQUFKRGdDSFFBQVFJSWowQUVBQUNRNEFoMEFBRUNDSTlBQkFBQWtPQUlkQUFCQWdpUFFBUUFBSkRnQ0hRQUFRSUlqMEFFQUFDUTRBaDJ3ekV4MXVhTyt6S0FwU1Jwcm10Q3VXdzdLM2U4OXEvZll1YjFPVTEzdUJWM2IvYWQrK1VaOGNjODMvdkNFam55dk5Wemo2VElENXJ4ZkFJQzUyWmE2QUFDUmR0OStPT3JZSmZkc2xpUERydVlIMnBXVWx5UkpFYUhPWWpYa3lMSkgzVGRYOFBNTSttVFlZLzlONTh4MVNKTDg0MzYxUGRLdDQ3L28xTm9QcmxUV2xveUk2eVk3M09yK2M3L0szbGdrdzJMRWZpTlRtdXFPSHg1amZkN1p0bjFqVTdnbUFFQTBBaDJ3RE5YdTJLamtJcWU2bis3WGlWOTN5WkZoVitmdmV6WFdPQ0ZKMm5YTHdZanJVOHVTVmYybERWSFBtWDNkVEFkM0hJdDc3cXI3YWlSSnRqU2Jxcis0WGczZmJkV2hmMi9VcW5lVXFPVC9GSVN2YTM2Z1hhbWx5U3A5WTJINDJPaVJjUmwyUSttclV5VkpBVTh3Ym1pcjNiRlJrclR0NjFXU0pQZUFWd2UvZWt5MU96YktzQmdLK2szVmZYTCt3QWNBRnpvQ0hiQ005VDQ3cUlLcmN6VFJOcVhXLytuUTJnK1VLLytxblBENWliWXA3ZjE4ZzNJdmRzVjl4blE0bkdubjlycVl4NmU2M0ZIaHk1Wm1VOVd0YTlUeTB3NWxyazhQSCs5N2ZsQ2pSOFoxMFIzclpGaFB0YzYxLzdaSGs1MXUxZHk1UVJhSFJWYW5KUndRWjcvdmRMZXZzeUFwNGoyZCtVa3lySWFDdnVDOC8wWUFBQUlkc0d5NWV6d2FQVHF1bFc4cjF1RzdtNVJlbWFhTTllbW51bEZONmVoL3RpcTFKRmw1bDJmTDNlOVZVcFk5SWx4SjhiczBGOUxWR1pnS3lPS3d5TEFhV3YyM0s4TEhQWU5lTmQzWHJ0Vi90MEtwcGNrUjkxUyt2MXgxbjZwWHkvOTBhTTNmbHk3b3MwNEhPODlBNkxOTmRYdGtXS1Nnbi9GekFMQVFCRHBnbWVyKzg0QmNHOU1WY0FlVmxPUFF4SW1wdUYyb3UyNDlKQ2wyYTl5bTJ5dWpXc0IyM1hJdzVuRjNqeWVpSzdiaE95M3lqZm0xOW9NcmxWSWNlcTUvTXFENmJ6VXI2NklNRlY2Ykc3N1dESmdLZUlJeS9hWktYMWVnNWdmYmxYZFpsaklxMCtiOXJMUERKZDJzQUhCNkNIVEFNalZ5ZUV3WmExT1Z0U1ZEcnFyMHFKYTMyWFp1cjR0NGJRWk1iZjVrcFJ4WkM1OU1rSlRqME9aUFZzb01tREtzaGxhK28wVDFkemRwNytjYXRHWjdxZkt2ek5hK094bzAxZTJSWjhDckYvOXB2NEplVTBGZk1PWnMxS1lmdDJuckY5ZkhuekJ4MG5TWHJMdkhvMTIzSGRLVjkxYUh1MXlmZTkvZUJkY1BBQmNxQWgyd1RKVy9yVmlIL3IxUlJhL0pselBYb1YyM0hwSzcxN1BnKzZlNjNEcndsZmdUSCthYUZGRno1d2FsckVoV2FtbXlMcnBqdmVydmJ0Ym9rWEVWL0ZXT2NpL0prbWZBSzJkQmt1enBOdG5UYkxLbFdtVk50c3JxblA1Zmk2YTYzTnIzaFNQcWVySlBIVS8weW5PeXEzaTZOYzZabjZTcWYxMno0TThEQUlpUFFBY3NVNjZxZEtXdlRsWFg3M3UxNmwwcnRQVUw2K2RjNiszRmoreVBPbVpZREYzNW8rcW80L0VtUlVqU3MrL1pFL0hhbm03VHBwT3RkcEpVL3RiaUJkV2Z2aVpWcFc4b1ZOYVdER1ZYWjhvTW1OcDkrMkZWM1ZvaFo1NURodFVJUDNOMjYrS3o3OTBUNjVFQWdEZ0lkTUF5bHIwMVE3M1BEbXFWS1ZrY2hxUzV1eTVqaWJjVzNWenIwTTFtc1JxUzdkUjdMM1JSNGxqaHo1bm5pSnJsT3IxOGlXZkFxNE5mYTFUTlZ6YUdKMFhzK1hUOWd0NExBQzVrQkRwZ0dYTmtPK1FkOW1ub3dLZ08zZFY0MnZlYlFUUHVSSXE1dWx4bmE3cXZUYjV4djlaL1pKV2toYzJRbFU2TmpZc251Y2daSGk4bktUeldMcmt3S1h4czVua0FRR3dFT21BWkdtK2RsSDhxb0lHWGgrWEl0TXUxTVYyWDNMTTVmTDdqc1Y3bFg1RXRlK2FwSCtIbSs5dGxkVnJEcngxWkRsVzh0eXhpSnFva2pSNGJWKzh6Z3lwL2E3SHNHZEcvQXJyLzFCODFrV0p3MzRqU3lpS1hKNG5YWlN2RlhzOHUzblV6elY2MlpGcFNqa01XQnpzVkFrQThCRHBnR2VwL2VWZ0R1NFpsUzdGcXpidkwxUFBNZ0hLMnViVDd0a09xL3RJR2pSNGQxOWl4Y1czKzFGb1pWa09UN1ZPeUpWdmxjSjNhL2l2b0RjcVJhWmRNeVRQa1U5T1BUbWpqTFd2VStNTVRNZ09tM0gyZXFFRG5ud3pJTStDVjFYa3FQRTIwVGNuVDcxM3cyTG1GQ3Jqajd5QXhlOW1TVGJkWHlsV1ZIdk5hQUFDQkRsaVd5dDVVcElyM2xzbVdhbFgvaTBOcS9YbUhjaTkyeVQ4WmtDeUcxdi9UYXUzOWJMM0dHaWZrbnd6SU5LWEJ2U05xZTdnN3ZBMVh6MS82MWYzMGdMS3JNeFgwQkRTNGQwU1NWSFZyaGVydmFkYUJMeDlWelk0cU9mTWNhdnB4bXp5RFhxMTVkNm02bnVwVHdCTU1MeVE4V0Rjc3cyb29lMnZtT2Zsc2JZOTBhN0xOTGUrb0w2cExkdmF5SlFDQWhTSFFBY3VReFdiSW5oNzY4ZXg4c2s5NWwyVkhUR0JJeXJhcjl1dFZzcVZZZGV6N3h4WDBCYlhtM2FWcStIYUxzclptS0xVMFdUM1BEQ3IveXV5b2VSUkpPUTV0K2ZSYWpkU1B5NWtYNmxvZFB6NnB3RlJBU2RrT3JmbjdVaDM1WHF0Y0c5S1ZYWk9wdmhlR2xMa2hYYllVYThSekFsUEJVTUNNSVRCMWFzc3U3NGhQN1kvMGFHRDNzQ1NwZCtlZzBsYW1xT2k2dkxQK2R3SUFoQkRvZ0dWc3BINU00eTJUV3ZmaFZiTFlEVm5zRmczdUhwWnJVNmo3Y2VMNHBJWU9qR3JGNndxVVUrdlN1Zyt0Vk9xS1pQWDhaVUNlQWE4S3J3dU5uN09uMnlSRDZ2bkxnRElxVXlXRlpwdE9kYmsxM2pxcDhlWkpGVjBmQ2xoNVYyU3I3NFVoVGJSTktTblhvY2tPdDRwZUhSMis5dDdSc0tEUFlMRmIxUFhIUHFXdlRsWEpqZm5LMlphbHBHeTdwcnJjQ3g1REowbkpoYzR6bWVRTEFCY0VBaDJ3akdWdVNGZjFsemFFVzlKSzMxaW8xcDkzS1BoQWFQMDJ3MllvWTIyYUNxN09rU1RsWHBvbEtiUm9iL25iaXBXVUhiclBsbVpUMlp1SzFIeC91d0x1eUZZMWk4TWkxK1lNbFozc3FwV2tEZit5V29iRlVOZFRmWkloWlZlN29tcmI4cG0xVVZ1SFRYUDNlTFQvUzBkRDc1MWkxYVgzYkpFdE5iS0ZiNjVKRTdHMi9ycjh2N1pHak8wREFKekMzN3ZBTERVMU5hWTAvNUliaTZYM3VVSGxWR2ZLbW15ZC8rTHp3TjNuRFFmS2FjZC8wYW5pRy9MRDNjS3orY2I4Nm55aTk1eFBwRmdxMHdzZjE5WFY4VHNUd0xKRUN4Mnd6T1Jma2IzVUpVU1lIZWFrK1hlTHNLZmJYakZoRGdBU0FmMFhBQUFBQ1k1QUJ3QUFrT0FJZEFBQUFBbU9RQWNBQUpEZ0NIUUFBQUFKamtBSEFBQ1E0QWgwQUFBQUNZNUFCd0FBa09BSWRBQUFBQW1PUUFjQUFKRGdDSFFBQUFBSmprQUhBQUNRNEFoMEFBQUFDYzYyMUFVQXk5WE83WFZMWFFJQUFBdENDeDB3aTJtYVR5OTFEVmgrK1A4RkFBQklTRFUxTldaTlRZMjUxSFVBQU9aR0N4MEFBRUNDSTlBQkFBQWtPQUlkQUFCQWdpUFFBUUFBSkRnQ0hRQUFRSUlqMEFFQUFDUTRBaDBBQUVDQ0k5QUJBQUFrT0FJZEFBQkFnaVBRQVFBQUpEZ0NIUUFBUUlJajBBRUFBQ1E0QWgwQUFFQ0NJOUFCQUFBa09BSWRBQUJBZ2lQUUFRQUFKRGdDSFFBQVFJSWowQUVBQUNRNEFoMEFBRUNDSTlBQkFBQWtPQUlkQUFCQWdqT1d1Z0FBeTBOdGJXMlphWnJmbUhYNExTZi85NWN6RDFxdDF2Lzc4c3N2dDUyZnlnQUE4eUhRQVpobXFhbXBPU0dwWks2TERNTm8zNzE3ZDdtazRQa3BDd0F3SDdwY0FVd0xHb2J4cTNrdkNnWi9KY0ljQUN3ckJEb0FZY0ZnOEpmelg2V0ZYQU1BT0k4SWRBRENLaW9xZGtycW5lT1Mzb3FLaW1mUFZ6MEFnSVd4TG5VQkFKYVB3NGNQbTBWRlJaV1NhdU5jY3Y5VFR6MzF5UG1zQ1FBd1Axcm9BRVF3RENOdWw2ckZZcUc3RlFDV0lRSWRnTm4rSkdrb3h2RWgwelNmUHMrMUFBQVdnRUFISU1MdTNidDlwbWsrSE9QVVE3dDM3L2FkOTRJQUFQTWkwQUdJRXFmYmxlNVdBRmltQ0hRQW9tUmtaRHdwYVh6R29iSFIwZEVubDZvZUFNRGNDSFFBb2p6OTlOTnVTWTlPdnpZTTQ5SEd4a2JQRXBZRUFKZ0RnUTVBVEtacGhydFlGN2pnTUFCZ2lSRG9BTVFVQ0FRZW0vSDk0MHRaQ3dCZ2JnUTZBREh0Mzc5L1F0S3ZKUDN5NVBjQWdHWEt0dFFGQUZpK1ROUDhoU1J6cWVzQUFNeU5RQWNnTG9mRDhWdWJ6VWFnQXdBQUFBQUFBQUFBQUFBQUFBQUFBQUFBQUFBQUFBQUFBQUFBQUFBQUFKWVJZNmtMQUphNzZ1cnFGdzNEdUdTcDY4Q3lFVFJOODh0Nzl1ejUzRklYQWdEVDJNc1ZtQWRoRHJOWURNUDQ3RklYQVFBenNmVVhzRUJYM1ZlejFDVmdpWTAwak92QW5VY2w2YzlMWFFzQXpFUUxIUUFBUUlJajBBRUFBQ1E0QWgwQUFFQ0NJOUFCQUFBa09BSWRBQUJBZ2lQUUFVc2c2QXVlL2szbXJKY0JVOTRSMzdrcGFNWXpBUUNKaDBBSExMS3BMcmQyYnErTE9OYnduUllkL2MvV0JUL0RESnJhODlsNkRkU05oSTkxUE5HcmZaOC9JbmV2NTdUcTJibTlUbE5kN3Fqai9uRy9Ydmp3dnBqbkZpcmdEdWpFcjd2a0hUcU5vR2xLemZlM2EvalFXTXpUTFQvclVOdERYVkdCOWt5WWZsUHVYbzlHajAyYy9jTUFZQmxoSFRyZ1BBdDZneG8rT0tiU054UXUrSjZlcHdma0cvWEx0VEV0Zkt6b3VqeDFQdGFyanNkNnRlYmRwWEh2ZmVGRCsrU2ZERVFjMjMzNzRZalhWOTFYbzZIOW8zSmtPWlJjNUl6NUhETm95dDBUT3p4TzN6T3dhMWh0RDNlcjhKcmNCWDB1U1pJaCtTY0RhdmgyaTJydTNDQkhsajE4YXZqUW1Eb2U2MUhSZFhseDk3VVpQamlxZ05kVTBCTlV3Qk5RWUNvZy8yUkEvb25RbDIvVUo5K29YOTVSdjN5anZuQXczUEtadGNwWW14YjdvUUNRWUFoMHdDSVliNWxVeWdxbkxQYm9SdkQrWGNNS2VvUEtxY2xjMExPOFF6NjEvcnhEL3NtQW52L0F2cWp6WFUvMXFldXB2cWpqenZ3a2JidXJTdHUrc1NuaStBc2YycWV0ZDZ5WHN6QXA0bmpmQzBNeFd4TWw2YUxQclZOU25pTXFDRTZiWG5TNTk5bEI1VjJhRlJIS1pndjZUWG42SW9OaDBhdHpOYlJ2UklON1I1UzUvbFRJYW4rMFc2bWx5U3A2Vlc1VXkrRjBpRHo0dGNhSTR4YUhSYllVcTJ5cFZ0bFNiTEtsVzVXMk9rWDJkTHZzR1RZNU1tMnlaOXJsTElqOC9BQ1F5QWgwd0NMWSsva0cxZTdZR0xPMXErZlBBM0prMldWWWpiamRtL1pNdTJ3cFZwbEJVMGYvczFYK3lZQ3F2N3hCRGxka1VIcnhJL3QxMGVmV3hRd25oaVhVcEdWTHNlclo5K3lKT0xmdmkwY2lYdGQrdlVxRCswYTA2cDBseXJrNFM1TFUva2kzK3A0ZjB0WXZybGRTcmtNV214RzFXMGJQTXdNNjl2M2praVIzcjBmRGg4Y2tVK3A5YmpEbTV5cDlRNkZ5TDhuU25zL1V4enpmZU8rSm1NZnJQaFY5L2N4YXl0OWFyS0pYNThucXRJUS9Od0JjU0FoMHdIazAwVGFsa2ZyUVdMRjRyVjJTVlBHZU1oVmVsNnVXbjNhRVFwSWthNUpGVm1kMGk1OGwzdkVacllObTBOUzJyMWZKV1pDa25kdnJWUE9WRFVvdWNzcmQ0OUd1Mnc2cC9aRnVaVy9OMU9pUmNaWGNXQ0JKR2owNnJ2eXJzcFZjdUxDV3JNNG4rNVJXbnFKMUgxNFpjWHpQcCt1MTR2V0Z5cnNzUzdZMG0renB0bk8ralpvdDJTcGJpdldjUGhNQUVnbUJEamlQT243WEkwbGEvNUZWeXIwMEszeDhZUGV3NnIvVnJFdS9zMFgyOU5DUFpjZGpQZXA4b2xjclhsK285a2U2dGV2V1F6R2ZKOWsxL1FBQUlBQkpSRUZVdWVmVHNWdTdMcmxuc3h5WjhicytaL0tOK2JYdTVsV3ErK1JoVGJSTnlUZmlrM2ZZcDlJM0xteWNuMy9jcjU2bisrWElqaHlENTU4SUtPZzNsVnFXSE5sYWFVcFQzZkVuWHpqemttVFlvbHZhK2w4ZVZ0TjliYnIwbnMwUng1dCswcWFtbjdRdHFOYVoxdDI4U25tWFpjMS9JUUFzY3dRNjREeVo2bktyNy9raFNaSjd3QnR4emp2c2syRXpaRTg3OVNPWnRTVlQ5blNiY3JabHFmMlJibTI3cXlwcWJOcHo3OXVyNmk5dmlObUtOck9GTHJVc1dYV2ZyZzh2bDdMNzlzTXlMSVlNbTZIVXNtU3QvNmRWTXF5RzFyNi9YTWUrZjF3QmQwQnJQN2h5d1lHdzdlRnV5VERrN3ZFbzZBdUczM3M2dERuekl1c0wrb056dGxCT2QxZFBkYm0xKy9iRDRSYTlvQzhvWDR5bFdrcmZXS1Q4SzA0L21NMDExZzhBRWdtQkRqaFBPbi9mSjBlV1hhbWx5Wm80UGhWeGJxclRyZVNDcElpWm5Da2xUcVdVT0JWd2gwTFkyYlRRVlg5cGc0WVBqV2x3NzRnNm4raVZJOHV1cEJ5SHl0NVVwS3pOR1pKQ1Mzb003aG5SZU91a1pJUkNtc1ZteUZXVkVhNHIxb1FKU1pwb2QydmxPNHJWZkgrN3hsc25sVkVabXRndzBUWWx3Mm9vdVNoMnQrMkdmMTZ0bkZwWHhMRjQ3ekdYcEN4NzNObTVBSEFoSU5BQjUwbnBHd3FWWFoycHlVNjNPbjdiRTFvKzQyUlFHbTJjVVBycTFEbnZ2L2p1elVyS2pteFIycm05THU3a2kya1RiVk5xKzAyWEpHbmRoMWVwODRsZVZmNWp1UVoyRCt2d041cVVVNU9wdkN1eWRmeC9PelhWNjFIbFA1Ykw0YktyOGQ0VE92aTFSamx6SGFxNnJTTDhIaXZmVnF5Y2JhRVFOckJyV0szLzI2bDFIMTRwVzZwVjNYL3ExL0Noc1hDZ0d6MDZvWlNTMkxOOXBkQU0zck5aOTI1NklXVER5a1FJQUJjMkFoMXduaml5N0hKazJaVmNtS1NXQjlzMWZHaFVyazBaOGd4NE5kNDZHWjZNRU0vTC8zSWc1dkY0WFplMk5KdTJmbjZkOW55bVhpditwbEFyMzFZY0RwRE9YSWNxM2xPbWtodnk1UnYxcSsyUmJoazJReGQ5YnAzU1ZxWklrbXEvdGxFOWZ4blFlTXRrUkdDMHUwNjFobVZ1VEZmUnEvUEM0LzVjbXpJMHNHdFlaVGNWU2FZMGZHQlVlWmZIN3dwdHV1LzB4NzNORlBTRkFwM0ZjYktMOXpUQ0lTMTZBRjVKQ0hUQUlncjZnaHJjT3hKeHpKbWZwTXgxYWVwNHZGZXVUUm5xZm5wQVZxZFYyZFd4MTZVemJJWnlMODFTK1p1TFpKMHhrL1BBbmNlMDlvUGxTc3B4eEw3UE1HVFBzR25yRjliTGtXVVBqOXVyM2JGUmhzMGlkNzlYaHQwaVI0NUQ1Vzh1bGkzTktsa011ZnRQamUvTHVpaFRSYS9LaS92NTB0ZWtLbjNOcVpiRjNHMHVkZnl1UitQTmsvS04rK1VkOFNuM2t2aUI3bXk3WFAwVGZrbVNOVGtVNk9ZYWx6ZmJ1WjVwQ3dCTGlVQUhuR1BUM1lCdEQzZHJjTitvQXJOMmFaQ2swcHVLZEhESE1YVTkxYWZPSjNwVTlPcDhXWk1pdXlWTnZ5blBjR2dDd01wM2xFZzYxU0lsaFZxakFsUEJpR096S3BFdFlDcHRaWXIyLzl0UmpSNGJQNlBQY3pyQko3MGlWYWxseVRyeG15NzVKd05LTFUxV2VrWDhydVN6N1hMMW5BeXBNeWR2VEMvNUVrLzNIL3ZWK0tQWTY5MEJRS0lpMEFIbjJIU0xYTjhMUXlxOE5sZTVGN3QwNEN2SElxNXhWYVVyLzZwc05mMjRUWTRzdTFhOExycTdkYkxUSFhjQjNta0hkeHliODN6Tm5SdVVzaUpaV3o2N1ZwSTB0SDlVR2V2U0lzTGpRc2JoeGVNZDhxbnQ0VzZWdjYwNHZBN2N5cmVYNk5CZG9kMGJOdDZ5WnM3N3o3YkxkYngxVWxLbzFSTUFMbVFFT3VBY1M2OUlWZmJXVEsxNlowbDQ2WTNaZ3I2Z2d0NlRMV3RCYWVMNHBESTNwRWRjazFxV0hOVTZObEkvcHNaN1R5aWpNazA5end3by82cHM5VDAvcEp4dExxMThlNG1jZWJHN1g2Y2R1cXN4Wm5pTDFWVnBTN1Bwc3U5dWlma2N6NkJYSGIvclZmZWYrbVYxV2xUeTJ2eHdvQXQvWGtNS2VvSnoxak5mbDZ0aE1XU2ZZK21Vd1QwalNpMU5saTJWUllVQlhOZ0lkTUE1NXNpMHo5a3lOZEUycGFQZmE5VlVqMGRyUDdSU1BVLzM2OEJYamludnNpeVYzbFNrbE9Mb2xyTFJvK05xZTdoYmsrMXVyZnJiRmNxOTJLV2Vad1pVK3ZwQ0ZkK1FyNVlITzdUNzQ0ZVVlN0ZMaGRmbUtuTjlldHpON0dQWmRIdGwxUFpoeHF5SnFZR1Q0YXp6OFY0MS92Q0ViQ2xXbGIycFNFWFg1OG1hWkpGdnpLK21IN2VwLzZVaDVWK1ZyYUFucUlidnRxajQ2TGpLMzFZc3EvUDBRNWV6SUNseUVlSGdxZTdseVE2M2hnK1BxZnd0eFpGMWVvUHl4K2ptbm5rZUFGNXBDSFRBZWVJYjg2dnQ0VzUxL2FGUHlZVkoydnFGOVVvcGNTcnZzaXgxUE5hcnR0OTBxZS9GSWJtcU1sUnlRNTdzbVhZTjFvMm83OFVoQlNZREtuNU5ualo4YkhWNFJ1ZTB0UElVYmY1a3BZWVBqNm5yOTcwNitMVkcyZEpzY2xXbEsvZGlsMUxMVXlLdTl3ejZaTVJaUm1RbU02andCSWtrbDEzanpST1NKSGVmVjZWdktGVEpqZm15T3EwS3VBTnFmN1JiN1kvMktPZ05hdFc3VnFqa3Rma3lnNmFTZjkybHRvZTcxZmZDa0lwdnlGZkJYK2ZFWEt6WVArRlgwR2ZLUHhFS1lqT1hJUmsrT0NyVGxBeEQ2bmxtTU53YTEveEF1eXgyaXdyL09pZmlXUzBQdHF2bHdmWjVQeDhBdkpJUTZJRHpwUGVaQVhYL3FWOWxOeFZxeGQ4VWhyZTJNaXlHVnZ4TmdmS3Z6RmI3b3ozcWZYWkF0dFFpK1ViOUdqOHhxZkkzRnltNzFpVkxqSzJ3Wm5KdFRKZHJZN3E4SXo0TjFvMW9jTitJSEpsMjdicmxZTVIxc2NiZHpUY1diK3NYMWl1OUlsVUZWK2VvL08zRjRWQTIxZTNSdmpzYTVKOE1LR3RMaGxiL1hXbDQxd3JEWXFqOExjWEtxWEdwNlNkdE92NkxUaVhsT3BSL1JYYlU4L3RlR0ZMVGowUGo2VktLblJFemQ3diswS2VCdXRDNFJNTm1hTlU3U21RR1RIa0h2U3ArVFY1VWwrektkNVFvLzZybzk1ald1M05RcmYvVE1lZm5CWUJFdzJxY3dEeHFhbXBNNmN5WHVURDlwcWE2M1VvcFNaWnYxRGZubURBcE5FczJrUmJLN2Y1VHYxSldPTU9MQ2NjejNqb1pYdU5PcHRUMzRwQXkxNlhKa1dWWDBCc010UndhVWxLdUkrTHpCOXlCOEc0WnRsUnJlSkhpc2FZSnBaUWt5K284MWRwNDlMK09xK0RxN0tqeGlET04xSStwNTVsQnJmMUErV2wvMXBHR2NSMjQ4NmdrL2JtdXJ1NmEwMzRBQUN3U1d1aUFSV2JZREtXc1NKYWtlY09jbEhpN0hoUmVHMytKa0puQ1lVNlNEQ252c2xQcjAxa2NscGo3MFVxUzFXbU5PZjV1NXZwMzB4WVMwakkzcE04WitBQWdFYzAva0FZQUFBRExHb0VPQUFBZ3dSSG9BQUFBRWh5QkRuZ0ZDSHFEOG8zNWw3b01BTUFTSWRBQmkyQ3F5MzNHWDZZL2VtL1c0Y05qT3Y2THpyanYxLzdiSHIzNGtmMkwrWkVpN054ZWQxWjdzSWFaMG9uZmRJWFh1NHRsOU5pNE9oN3ZEZStSTzlQUWdWRk50azlGSFcvNVdZZE8vS2JyN09zRGdBVEJMRmRnRWNUYVNtdWhZbTNOTlhva3RGTkUrVnVMNDl3MXR4ZHUzaS8vK09tMTRKM09NaTFUWGU0RmZlYlp6L1NPK0VMcjgvMnhYMVczVlNpMU5Ebml2T2szMWZpREUvS04rNVYzYVpZY1daR3poSHVmR1ZEL3JtR1YzVlNrRmE4cmtHRXhaQVpNOWU0Y1VPRzFlWE9HVHNOaVJPMk9BUUNKaWtBSExKTFp3YXpycVQ3Wk0rekt2ZGdWOTU2Wis1aWVTMXMvdjA3bXlXMnpldjR5b1BiZjlxajZTeHRrc1VjdmtYTGlvVzZOTlU2YzBmdlU3dGdZOC9qZ3Z0R1l1emM0WEhadC92UmFIZmpTVVIyNDg1ZzJmNm95SXRTZCtFMlhwcm85Mm5SN1JWU1lrNlIxTjY5UytwTjlhdmxwdTJ5cFZoVzlLay85THc3Sk4rcFgyME5kYW5zb2ZpdWRJOU91UzJadUt3WUFDWXhBQjV3SG8wZkgxWHgvdTBwdUxGREcydWoxMDJ6SjFxZ3R2YzZsbVMxUjAydTZwYXh3eXJCRUJqclRiMnI0d0tpS2I4aVBlb1p2eEJleFI2cTdMN3FiZEhiTDRqVEg4ZWh1MFptdFo2dTNsNnJ0NFc2WkFUTjgzTjNuVmZ0dmUxUjRiYTRjTG52NHVDM05KbnY2cVY5ZHhkZm55YlVoVGNuRlRnVzlRUjMvVlpmSzNseWtzcHVLSklWQ1llZmp2YnIwTzF0a1dFTXRlTHR2TzZTTWRYTXZoQXdBaVlSQUJ5eXlxUzYzNnIvVkxETmdudHp6dER2cW1zcjNsYXRnMXA2a2l5WGdEb1V5MzRnL3F0V3JmOWV3L0JNQkZWd2RYY3VKaDBMNzBFNDdkRmRqK1B0NExYTnppZFZGdS9kekRWSEh1cDdxVTlkVHA5NjM1TVlDclhwblNjUTF5Y1ZPdFQzVUxhdlRvb0E3b09MWGhBSnAwQnRVNzE4R0pFbWVJWitjdVE3MXZ6UWt6NkJQcFc4c091MmFBV0M1SXRBQmkyaThkVktIN21wVTBHZXErUG84cmY3NzB2QTUzNWhmaC82OVVRcEtPWE4wdzg0MFg1ZnM3UFBGTitScjlkK3VpRGptbndnRnV1Nm4rMVgycHNoUTAvMm5mbVZkbEJHemUzUE45bEt0MlY2cThkWko3ZjFjUTBTWDhuVHJXYnd4YTk1aFg5U3hlR1AwMmg3cTF2RmZkdXJLSDFWSHRTREc0cDhJcU9FN0xScXBIOU9tajFmb29zK3ZseTNGcXFEZjFOSC9iSlZ2M0svME5hazYrTlZqcXZyWE5jcTdQRnVwcGNseGQ2WUFnRVJFb0FNV2lYOHFvTVBmYkZidXBWa3F1NmxJaCs1cVZNTjNXbFR4bmxLTk5VNm84ZDRUU2kxTDBib1ByNVExT1hwcnExaE90eVhNbGhyOUkrNGREWVdycmovMHFlVC9GTWlhZEtxcmQ2UmhUREpQQlVPTHpkQVZQNnlPdUwvL2hhRzQ3M2MyazBGT0NZMzFNNHo1dzl6b3NRa2QrWDh0TW4ybU5uK3lVaGxyUTkyb1F3ZEcxZnF6RHJuN1BOcndzZFhLV0p1bSttODFhODluRzFSeVk0R0tYNU4zRHVvRWdPV0RRQWNzRWx1eVZUVmZXaC9ldjNYekp5cTEvOHRIOWRMSERpcm9DNnJncjNKVThROWxDMnFGa2tLek11T05VVHNkbm42dk10ZWxhYUp0U3AyUDk2cjBqWVhoYzdWZkRRWEdpYllwTlh5N1Jha3o5MStWRlBRRjFmTk1xQXV6L2JjOVNsK2Rxc0xyVHUzbEdxL1ZyZStGSVIzNWJzdUM2ak9qVnllSnFmZlpRUjM3NytOS0swL1JobjllTFVlV1haMi83MVhYVS8yYTZuSXJ1enBURy81NXRaejVvWmE0cWxzcjFQRjRqMDc4cGx2dHYrMVcxcVlNclhoOW9USXFvOGMwQWtDaUlkQUJpOFEwSmY5a1FJTjdSelY4ZUZSRCswZmxjTmxWOXBZaXVYczhHdGcxckJkdjNxKzBWU2xLTFUyZXM5dlZESmpuWnRWSVUzTDNlRlI0YmE0eU42U3IvZEZ1NVYrWnJhUmNoNlJUa3hvNm51aVZKSlcrcmpEaTl1NC85c3VSWlpkdnpDOW5mcEthSDJqWGFPT0VTbDRiUFlsaUxuMXp0UEpObkppU0RLbnZ4ZmpYT1BNY3lseWZwc0pyY3JYeUhTWHlEbmsxMVJXUVlSaHk1amxVL3BZaXBaWW1SMHl5a0tUc3JabktxRXpUeUpGeERSOGFVMHJ4MlFka0FGZ09DSFRBSWhtcEgxUHpUOXFWdGpwRjJSZGxLRzFWcWx4VjZVb3VTSkxGWWRHYWQ0ZTZYb2NQam1ta1lVeDVWMlRIZlZiUUYycTJtaXNJU1ZKS2lUTnFMYmVaSmp1bUZQQUVsVnFXb3R4TFhPclpPYUNqLzlXcVRaK29ETGNVZWdhODZ2M0xnREkzcEN1N0pqTjhyMy9jSDE0THIvSGVFOHE5MktXTWRXbHErV203UEhNc0RCekxRbHJyNXJvbS82b2NyZjFBdWRhOHUxU2VRVjlVVisvUS90RTVuMzNKUFp1MTRtOEtGbFlzQUNRQUFoMndTRndiMDNYWjk3Ykk2clFxNkF0cXo2ZnIxZnF6RHBtbUtXZU9ROG5GVGhWY25hT3lOeGRKbW52R3BYL2NMOU52emh1RVN0OVFPR2VnRzl3N0lrbktXSnNxaThPaXl2ZVY2K0RYanFubHB4M2h5Uk9OUDJxVExJYldiQytOdUxmMTU1MHliSWJ5cjhwVzQ3MG5KRW1aNjlLMDlZNzE0VmF3aGE2akY2OXJOdWdMNnFXUEhwQi9NcUN5TnhWRlRkcVl5K1pQVmlwelEzcm9oUm1hc1p1K0prVkoyWTd3TmNPSHhuUnd4N0VGUHhNQUVnV0JEbGhFVnFkVi9nbS9yRTZyYXI5V0pkTnZhcXJIbzhuMktVMjBUY251aXA1TkdvdTcxNlAwaWxSZDlMbDFjYStaTjB5WlV1L09RYVdXSllmSGxibXEwbFgrbG1JZC8wV25yRTZyckU2TGh2YU5xUEo5NVVvcGlleU9kQllrYWVVN1NtU3h4Ky83UGQyRmhXZnIvbU8vL0pNQjVWMmVwZmJmOWlqdjh1d3ptbzBhOUFYVmNFK3oxdi9US2lWZDRwai9CZ0JJY0FRNllKRWR1UE9ZSmp2ZGN1WTU1Q3h3S3Jrd1NTbkZUbVZ0eVZCS1Nmeld0R2xCdjZueDFrbmxYUm0vUzNZaCtsOGEwbVNuVzJ2ZUhkbnlWdnFHd2xCMzZzbGRGVXJmVUJoelRieWlWK1dHRnlXTzUzUVdGcDV0c3NPdDQ3L3NWSFpOcGlyZlY2N3hsbnJWZjZ0Sld6NnpUcmJVaGMwQ251WTd1YzFackZtK0FQQkt4Rzg3WUpGdCtrU2xwcm85Y3ZkNE5ObnAxbVRubEFaM0Q0YzNwTSsvSWx0clA3UXk3djBETHc4cDRBa3FhMHRtM0d2bUU1Z0txT1ZuSFhMbU9sVDQxN2tSNTd4RFBrMTFlOEt2UitySE5ORTJGZFYxTzErWU94dVQ3Vk02K0xWR1daT3RxbmhQbVN3T2k5YmR2RXI3djNSVSs3OThWRlczckFsUDNGaUlzV09ocmN1OEl6NlpBVk9HZFdFemlRRWdVUkhvZ0VWbVR3OXRWVFY3ZVF6L1pFRGpMWk1SMjFqTk5yMlZsU1BMcnV5TE1zNjRoc1lmdDhrejRGWFZyUlV5YktGdzQ1L3dxL09KUG5VODFpTVpVc1Y3eStUTVQ5S3gvejZ1UForcFYwNnRTMFhYNVNwelkvcUNsMWFadVRYWTdNOFJreGxhNExqbHdYWlpVNnphZEh1bEhDZTdvZE5XcG1qanY2elc0YnVidGVjejlWcjU5aElWWEpNVFZZc3QyYUt5TnhVcEtTL1VOVHZWNVZicnp6dmt5TExyMlBlUHEva25iY3F1ZGluM1lwZWNCVWtxZTFPUnJFbUxGMDRCWUNrUTZJQkZjaTRXMlczNmNadmNQUjVWL21QNUdiY3lkVDdScTc3bkJsVjBmWjZ5Tm1kb3BINU12YzhOcXUvNUlaa0JVL2xYWnF2OHJjWGhJRlc3WTZNNmY5K3Jqc2Q3TmJCcldQWjBtMXliTXJUMkEvUFg4TUtIOWkyc0tGTWFxQnRXMjBQZEdtK2RsR3RUaHRaOXNEeThadDgwMTZZTVhmUzVkV3I0VG9zYWYzUkM3Yi9yVWZIMWVjcTlMRXVPazlkYWs2MHF1RHBIbzhjbTFQby9IUnJZTmF5VUVxZTIzRm9oaTgxUS84dkQ2bjEyVUlmdmJwSXQyYXFjYlM2Tk5VMG9jMFBhZ29NcUFDeDNCRHBna1ZUZFdpRm4zdWtOeUo4WkFnT2VvTVpiSjVWVDYxTEJYNTM1UHErWkc5T1ZVNU9wMWU4S3pXSnRlemdVb2dxdnlWWHhhL1Bsbk5XVmFYRll0T0oxaFNwK2JZSDZYeHhTNzdPRFNpbHhMaWhRWG5MUDVwakhCK3RHd2pOanZjTSs3ZnZpRVhuNnZYTG1KMm5kemF1VWQxbFczR2VtbGlXcitzc2IxUEc3SHJYL3RrZk5EN1RMTitaWDBmVjVPdlQxUnJsN1BRcTRnNUloWlZTbXFlSzlaY3EvTWp0Y2IrRzF1U3E4TmxmdWZxOTZueGxRNzdPRDZ2bkxnTkpXcG1qckY5WkxaRG9BcndEOEtnUG1VVk5UWTByeGw5cUlaV2ovcURMV3BVVnNxM1VtOTNtSGZMS2xXbVZ4elArYy9wZUhsVkxzakpxZE9wdC93aTlMa2xVVzI1bi8rTHQ3UEVyS2RZUkRrK2szTmRYdFZzcUsySk04L0pNQmVRZTk0Zk5kVC9YSm5tWlR6amJYYWJVOEJxWUNHajQwcHB4dG9VV1lPeDd2bGVrUHJhdVh2aVoxWVpNblRHbTRQclRGbWFzcWZjSHZMVWtqRGVNNmNPZFJTZnB6WFYzZE5hZDFNd0FzSWxyb2dFV1F0ZVhNeHJ2TnZzK1J0YkJsVFNRcGQ0NmRKbVk2RnpNL25RV1JTNGtZTmlOdW1KTWtXNHBWdHBSVDU0dGVkV1o3cVZwUGRwbE9POTBkS2lSSlJtaU5RQUI0SlRrWG13a0JBQUJnQ1JIb0FBQUFFaHlCRGdBQUlNRVI2QUFBQUJJY2dRNUFoSjNiNnpUVjVWN1FkYjNQRFo2SGlnQUE4eUhRQVZEUUY1UVpNQ01QbXFkMmVEQ0RwdndUc1hlQkFBQXNQUUlkQU8zOWJJUDZYeDZPT0RiU01LWVhidDR2NzdCUFhVLzJhZTluNnpWeFltcUpLZ1FBeklWQUIwQlpXekxVOVZSZnhMRys1NGVVVnA0aWg4dXV3bXR6bGJZbVZmdi83WWlHOW84dVVaVUFnSGdJZEFDVWQxbTJSbytNYTdJek5IWXU0QW1xNzhVaEZWNlhLeW0wSGRqNm0xY3AvK29jOVQzUHVEa0FXRzdZS1FLQTBsYW5LT3VpelBBNHVjbE90eHd1dTNJdm5iSEhxaUd0MlY0cTAyL0dlUW9BWUtuUVFnZEE3bjZ2MXJ5N05MelZtQ1BUcnFyYkt1UWQ5c2tNbXVwNnFrOFRiYUh4YzhaWjdBRUxBRmdjdE5BQjBLNWJEa2E4UHJqaldQajdpKy9lcExIR0NiVTgyS0ZWN3lvNTQzMVlBUUNMaDBBSFFGZjhZS3NrcWV1cGZyVTgySzdxTDI5UWNtR1NKTWxpdDJqdEIxY3FiWFdmbW4vU0xzTmlxUERhM0tVc0Z3QXdDNEVPZ0N6MjBPaUwzcDBEa3FTTzMvWW91eVpUdVplY0drTlhmSDJlMHNxU2xiWXFaVWxxQkFERVI2QURJRWthM0R1aWdEdTBrTEFqeDZFajMydVYxV2xWMXBZTXlaUzhvejRaVmtNRGRTUHk5SHNrU2UyUDlxajkwUjU1K3IyNitKdWJaRXUxTHVWSEFJQUxGb0VPZ015QXFkYWZkYWo0K2p3MVA5Q3VncXV5WmJFWmF2emhjYTE4ZTRtTy9lQ0VncjVRMkxPbDJ1VE1jMGlTbkxrT3VUYWx5NW1YSkdzU2M2d0FZS2tRNkFEb3hHKzY1WjhLcVBEYVhEVS8wQzVKS3J1cFNJWFg1TW8wcFhVM3I1UXpMMG5PUEllc3lhRld1SjNiNjVSN1daYnlyOGhleXRJQkFDTFFBUmU4d0ZSQTdZOTJhOTJIVjhyaW1OSEtaaWk4akVsU3RtdUpxZ01BTEFSOUpNQUZ6cHBzVmVVL2xrZE1nQUFBSkJZQ0hRRGxYMG0zS1FBa01nSWRBQUJBZ21NTUhZQUlGMzF1blpKeUhRdTZ6bG1RZEI0cUFnRE1oMEFISUVKNlJlbzV2UTRBc1Bqb2NnVUFBRWh3QkRvQUFJQUVSNkFEQUFCSWNJeWhBeGFvLzZXaHBTNEJTMnlrWVh5cFN3Q0FtQWgwd0FJMWZMdGxxVXZBTW1HYXByblVOUURBVEFRNllINGZsWFROVWhlQlpTTWc2ZnRMWFFRQUFNQnBxNm1wTVd0cWFtaVpBb0JsaUVrUkFBQUFDWTVBQndBQWtPQUlkQUFBQUFtT1FBY0FBSkRnQ0hRQUFBQUpqa0FIQUFDUTRBaDBBQUFBQ1k1QUJ3QUFrT0FJZEFBQUFBbU9RQWNBQUpEZ0NIUUFBQUFKamtBSEFBQ1E0QWgwQUFBQUNZNUFCd0FBa09BSWRBQUFBQW1PUUFjQUFKRGdDSFFBQUFBSmprQUhBQUNRNEFoMEFBQUFDYzVZNmdJQUxEL1YxZFhsaG1HMEx1UmEwelJYN3RtejUvZ2lsd1FBbUFNdGRBQ2k3Tm16NTdocG1pL05kNTFwbWk4UjVnQmc2UkhvQU1Sa0dNWXZGM0ROTDg1SExRQ0F1UkhvQU1TMGtFQm50VnJudlFZQXNQZ0lkQUJpMnIxN2Q1T2tmZkhPRzRheDkrV1hYMjQranlVQkFPSWcwQUdJYTY1V3VtQXdTT3NjQUN3VEJEb0FjYzBWMmhiU0pRc0FPRDhJZEFEaTJyTm56MkZKRFRGTzFkZlYxZFdmNzNvQUFMRVI2QURNSjZvbGp0WTVBRmhlQ0hRQTVtU3hXS0xDV3lBUUlOQUJ3RExDVGhFQTVtUFUxdFkybWFhNTZ1VHI1cnE2dWdwSjVsSVdCUUE0aFJZNkFQTXhUZE9jMlNMM1N4SG1BR0JaSWRBQldJaHdvR1A4SEFBQVFHS3kxTlRVdE5mVzFyYUpQd1FCWU5teExYVUJBQkpDMERDTVh3V0RRVk5TY0ttTEFRQkVJdEFCV0pCZ01QZ0x3ekFZT3djQXl4Q0JEc0NDVkZSVVBDdEpkWFYxUzEwS0FBQUFBQUFBQUFBQUFBQUFBQUFBQUFBQUFBQUFBQUFBQUFBQXpvNngxQVVBeTFsMWRmV0xobUZjc3RSMVlOa1psL1RPdXJxNlI1ZTZFQUNRMkpNUm1CTmhEbkdrU2JwanFZc0FnR25zRkFFc3dGWDMxU3gxQ1ZnbVR2eTZTeWQrM1NWSnRNNEJXRFpvb1FNQUFFaHdCRG9BQUlBRVI2QURBQUJJY0FRNkFBQ0FCRWVnQXdBQVNIQUVPZ0FBZ0FSSG9BTUFBRWh3QkRvQUFJQUVSNkFEQUFCSWNBUTZBQUNBQk1mV1h3Q0FoRlZkWGYwaWV5NWpOdE0wbjk2elo4KzFTMTNIK1VRTEhRQWdZUkhtRUl0aEdOY3NkUTNuR3kxMEFJQ0VkOVY5TlV0ZEFwYUpuZHZybHJxRUpVRUxIUUFBUUlJajBBRUFBQ1E0QWgwQUFFQ0NJOUFCQ1dxcXl4MTFMREFWa0gvY3Z3VFZuRGt6WUM1MUNRQ1E4QWgwd0NMcWZLSlg5WGMzS2VpUEhWcjZuaC9Tb2JzYUZmQUVZNTRmcVI5VHkwODdvbzc3SndQYSsva2o2bmlzSitMNDhWOTJhZS9uR3VLKzM5bldFNDhaTU9mOWl2bjVHc2IxNGtjUGFHamZ5R205MzN5Q2ZsTytNZitjWC9IK0RRQWdFVEhMRlZnazR5MlRhdmxaaDBwdXpKZC9JckxWekpwa2tReERMVDlyVjFwNWlnTHVnQUx1UVBpOHhXYVJMZFVxLzFSUUhZLzF5Sm5yVU5IMWVlSHp0aFNyVnIyelJCMlA5YWpvK254WmJJYkdtaWZVOVZTZk5ueHN0U3cyNDl6V1k3WElOK2FMKzFsMzMzNTQzbitQYmQvWUpHZXVJK0pZMnFvVUdWWkRqZmVlVU8zWHEyU3huL29icysrRklSMzVia3ZVY3d5TG9TdC9WSzJBT3lEdlVPeWFSaHNuZE96N3grZXNwL0w5NVNxNE9tZmV1Z0VnRVJEb2dFWGc2ZmVxL2x2Tk1nT20yaC90VWZ1amtTMXBSYS9PazB6Sk8rVFQ0TkNJWHZyb2dZanpycXAwYmJxOVVqazFtY3EvS2xzdFAyMVh4cm8wdWZzOHF2OVdjOFMxei8zRG5valhoNy9aRlBINnF2dHF6cnFlekExcEdxa2ZqL2xaYTNkc2xDUnQrM3FWSk1rOTROWEJyeDVUN1k2Tk1peUdnbjVUZFo4OEZmajhrd0g1Ums0RnNaemFUUG5IL1BMMGUrZDh2aVFkLzBXbkJ1cENyWGxEQjhiVWNFOXp6SHNxMzE4dVNicjBPMXRpbm4veEkvdGpIZ2VBUkVXZ0E4NnhpYllwSGY1bWsrd3VtNnEvdEY3dHYrdlZlT3VrMW45a2xXeXBWbzIzVHNyVDc5V1I3N1ZxN1FkWEtxMDhXUTNmYnRHbVQxVEs0YkpIUFcvMXUxWm81UEM0UEFOZXVhb3lJZ0tPSkxVOTBxM0pkcmZXZlhqbGVhbG41L1k2MWU3WXFPUWlwNlJUWS9tY0JVa1Ixem56azJSWURRVjlrZDIzQTd1SFk3YWU5Yjg4SFBGNjNjMnJKQ244UGdGM1FFTUh4cFMxT1VPU2xIdXhLN3oyMk03dGRWcjdvWlhLdnlKYmt0VHp6SUFreVo0ZStoWFgrVVN2WEpzeWxGTGlqUGx2QkFDSmprQUhuR08rVWIreUw4clVxbmVXeU9Ld3FPeW1RaDM1WHF0R0dzYVVVK3RTMjhQZG1taWRWTTFYTjRhN0lQTXV6OVpZODZSeWFqS2pubWRMczZuMmF4dGxjWVM2STVPTG5CRmowcnpEZm1XdVQ1TXpQekpRR2RaUXQrdndvYkZ6V2s4ODA4SE9NeEJxYVp2cTlzaXdLR3FzV3NIVk9YSmsyT1R1OVVaMEkwdFN5NFB0U2x1ZHFyekxzdFQzd2xERXVaNi9EQ2pnRHFqMHBzSUYxelN0K1lGMlZiNi9uRUFINEJXTFFBZWNZNjZxZEIzY2NVeGRUL1ZGSEIvWUZka0N0ZXVXZzNHZk1YdlYrK2t3SjRXQzArd3hhOE1IUjlYeGVHL0VzZWxXdE1Xb0o1YlpOYzNzWnAzTjRyQ282ZjQyMmRKdHlyc3NTNUkwdUdkRUhZLzNhdFBISzZLdU40T21PcC9vVlU2dFMrbXJVK2V0QlFBdU5BUTZZSkdzL1A5S2xGTzk4Qll1U1JyWU02TFduNFZtdFk2M1RHcnY1eHZDNTJhSHFzdStkMUhjNTd6d29YM252Sjc1VE5mbjd2Rm8xMjJIZE9XOTFlRXUxK2ZldHpmaTJzd042U3ErUGw4ajlXUEt1eXhMdmhHZmp2M2d1SXF1ejVOclUwYlVzL3RmR3BabjBLZXEyMG9panJ0N1BPSHZmU08rMEd0TDlJUVFTVEppSHdhQVZ3UUNIYkFJTXRlbkthMHNXWTRzeC93WG4yUjFXcFEyNkpPcktsMlNsTExDcWRvZEcrWHU4K3JRWFkxUjExdnNDMDhvNTZLZWwyODVHSjY0TU4wYTU4eFBVdFcvcmxud002WG9mUmE3LzlRZi9yN3J5VDUxUFJscVNheDRUMW40dUcvVUo1blNTTU9Za2d0UGRTM3Z1dTFRK1B1V24zYW81YWNkb1JuQWY3c2lmTnc4MmVWcnhBbDZBUEJLUUtBREZzSG1UNjJWR1REMTdIdjN6SC94U1ZmZFZ5TlhWWG80UUZuc2x2Q0VnRmhtdDNvdGRqMmJQMUVwTTJCcTkrMkhWWFZyaFp4NURobFdJenllYjNaUWkvZGVzeWQxeERQZU9obit2dmcxK1pJcE5kNTdRa25aRG1WdENiWGlYWGx2ZGZpOTFuNWdwZkl1ejVJTXFmZlp3ZkM5L3Nud1NQM1RBQUFnQUVsRVFWVFE4aXVXSkpiZEJQREtSYUFERnRtNm0xZUZ4NG5GRW10TTNFTE1OYTV0ZHJnNkYvWE1uSFRoekhORXpYS2REbXFlQWE4T2ZxMVJOVi9aR0o0VXNlZlQ5ZUY3NXdxcE00MGZuNHA0WFh4RHZrWWJKOVIwWDF0b2lSVGoxTVFQU1pKbDF1dVQzUDJoYnRucEdhOEE4RXJFYnpoZ2tSMzVia3ZNQlhMUDFseWhiUzdudXA3a0ltZDR2SngwcW1zenVUQXBmR3ptZVduKzJ1T0YxUlUzRm1qdkhRMGFiNTFVMnFxVUJkVTMzaEpxNmV0OWJsREpSVTZDSFlCWEpINnpBWXVzOGgvTGxiUE5GZmU4dTl1anZYYzB4RDBmenhVLzJCcjMzRnpkc2VlNm50bDd5czVldG1SYVVvNGpZcmJ1ZExkdHhIdkhHUzg0elhseS9KeG55S2UwVmZGclNpbHloaFpMVm1nMmIwcUpVOTEvN0ZmSkRmbXlwOXUwL3FPcmxiN0FRQWljTjlNci9ERGNFMmVBUUFjc3NhUWN1elovc2xMK3lZQ3NTWmFZM1lheEJOeW50OS9xWXRRVGNBZmpkaGZQWHJaazArMlY0ZkY0VW1TMzdVSk56MnExcDFtanprMjBUcXFsZFZJRGRTUGFkSHVsMW13djFWampoSVlQajJuMXUxYW8rWUgyOExXNUY3czB1SGRFQVhkQUtTdVNUNnNHdkRMTS9rTkVDaTJPYlZnTWpUVk42TWgzV3JUcFUydWp0cXM3SGJNWDRaNlRLZFgvUjdOa1NPcyt0RExpajUrbEVQU2IydnZaK3RCaTR5dERmL3hNNy9JeS9YbUc5by9xMEYyTnV2UTdXOEl0Mys0ZVQ5UWk0emcvQ0hUQUlqdjIzOGQxN0wvbjNsZDAyc1piMWloN2ErVFNJa0ZmN0Uza3ozVDdxck90UnpxNU8wV2JXOTVSWDFUMzZPeGxTODVXeCs5Nk5OWXlLYXZUb3VFRFkzSmsyWlcrT2xWQlgxRERCOGZDNitsMVBONHJXNnBOdVJlN1pIVmE1QnZ6NjhqM1dwVlM3RlRocS9JaUFwMGs5Yjg0cE1sMnQ3YisyL3F6cmhHSko5WWZJcGZjczFtT0RMdWFIMmhYVWw0b2xMaG5iRWxuc1JweVpFWHZudUtPczIyZEpIa0dmVExzc2NOWlJGZzBwUHlyc25Ya095MDZjT2N4VmQyNlJwNUJuL1o4cGo3bXZiTmRkVitOZ241VDN1SFkreHUzM044VzNqWnZ2dWRJb2JEbTZmZEd6Q3B2L1o4T0RlNGQwVVdmWDZlazdPaWdPOVhsMXA3UE5xaml2V1hLdnpJN2FwZVlhYzMzdDBmTWJsOUlQWmdmZ1E1WVpQTk5RcEJDTFYzUGZ5QzZtOVF6NkF1TmR6TkNnYVhrdGZteXBkcFVmRU8rVnM5WW1tTzI1Z2ZhWlV1Ti9lTjlKdlY0UjN4cWY2UkhBN3RENGFsMzU2RFNWcWFvNkxxOGVJK1lsN3N2K2orQ3NZN1pYWFpOZGJvVjlKdEtXNVdpOHJjVXliQVpHdG83cXNQZmJKTFZhVlgrbGRuS3V6eGJycXAwR1ZaRDdqNnZEbitqVWY0SnY3WjhlcTBzdHVoZzZSdjF5NUVkL1I5bm5IdGJ0MjUxU2RMZXZYdUg1N3YyZkpwdVBldCt1bDhuZnQwbFI0WmRuYi92MVZqamhLVG94YlpUeTVKVi9hVU5VYytaYTFIdWd6dU94VDAzTzZ6azFMcTA0Vi9XcVA3dUpwMTRxRnNyMzFFeTc2endtV3RGVHJST2F0OFhqOFM4N3BKdmJkYktkNFJtZkFkOXB2YmQwYURpMSthcjRPcWNtTmYzL0xsZnJrMFo4Zzc1SklWQzRzcTNGMnYwNkxqcTcyN1dscyt1amJnKzRBbXE0ZHN0U2lsMkt2ZmkwSkNPZUVNL0x2N0dKcFc4TmovOHV2ZTVJYlU5MUtVdG4xbkxHTmV6d0wvYy85L2VuWWUzVmQ3NUF2K2VvNlBGbG1YSmxpMTV0eE52U1p6RlM4SVM5bEpLVzdpVWxyWXpuUTViS2QxN3ArWFNVcm9CTFYwWUdOcHBwNVRTS2FVTXBRd2xaWmt5WlNrbFFDaUJ4RTVDOXRpT2Q4dXlMTm55cHYyYys0Y3MyYklXS3lHSkxQTDlQRStleHpvNk9ucnRXUEpYNy9KN2lVNnlhTUhiRkVMKytFK3lQcWNmYi8vZ0NIUm1EZFovcWdFSGZ0S044YmNuWVQzZkRPdjVabmdkL25DeFhGR0l6bFZUZ2dya29JS1NDNHZnRy9mRDYvQkJYNWtUTTN4elBPMFIxU0pzZjNQQXNGS1A4ZzlZWU41WUFHMmhHaDZiTiswNWRBQ1FVNktMemc5S05WZHVJY3Ztd3VnZXJRc1ZiakJpelZkcllWcHJnQmpwQVZHQWthMWo2SDFzQ0tKR3hOcGI2cU5EcWxLdUNzNTJOOHh0NFRsNGsxMHpLTHZrK0FNcHBVK1NwR1pabGw5b2FXbDVFY0FXdFZyOTlGdHZ2ZVhNZExzaVJsOTN3WHFlR1RNREh2VCs5eEFhUGxNTnk3bnpRV2Rtd0lQZHR4MktCcFZFRWcydEpodHlUYlNTdlAyV0E2ajVlQm5NYlNhcy8yNGo5SlU1RUZSQzlMSEI2U0IyZkhVZk52MWtMYVM4K1QvZG1wNzU4ajZHV24xMGJ1M2ZiOWlOdXV1cVlEa3YvTm9KdjBiQ0gyQmNIVzdJUVFYVzg4d0poNE05SXo2NGRyc0JCZEVQY1FDdzZhZnJzT3JMSzdIbnRrTnc3WjZFYWtFcG9ON0hoeER5aExEK3RzYm8rODNHZTljQ0FKeHZqYVBuc2FIb2JhMVpFek5QTURnZGhLWkFqZnlHdkdRL1hrb0RBeDNSU1hiMDk0Tnh3MzNwVUdsRnFQTWtyUDdLU2toNkNTMC9XSVBCWjBmUS82ZGgrTWNEa0FNS0ZEbnhjR3lFb1ZhUERkOXRmTWZ0a1hKVk9QUG42eUhwWStldXBTcTNrbWpycjdNZmFJWktGMzZ6VC9jUFhWSUNVTGhvNTR1K0xjTVllR1lFQlJ1TXFQOTBGVFRHK1I2NDZvK1ZvZStQdytoOWZBaUNKQ0MvVnM5QWQycXBCVUg0SUlBUEJvUEJCMXBiVzdjcWl2S0VKRWxQN2RpeFl5UlRqZkxhZlpnOE1vMmFqNVhod0UrN1lhalBRLzRxdy93d3FnSWMrVlV2OU9VNUtENjdFTjR4UDdRRjZyanBCTWwrYjlQOWZmYll2TkdhaVpFNWF3c3BTcmdYVEVuMWtoY3cvK0VHQU1SRnQrZU12VFdPM0lxY3BIUDdCcDRaZ2ZVOE0rby9YWjNnWGpYYTdtNkN4cVRHK051VDBhTlZWNWFpL0gyV21OZGNaRWhabXV0MWk5eFdaQVhla2ZrUGxWTTlNOGdwMGNWOU9GeThrSXBTWTZBak9ra0VVVUQ1QjZ5d25GTUlmVlhxaWZkS1VFSGZuNGFSczJBeXNaUW5ZZjEzRzZQRGhkcENOV3F2cm94L2JFaUp2c2tMQXNMMTJSTHNpdkNPMjZPUFg0aHd2UE5iTnQ3ZEJHMkN5ZVk2aXpiNktkN1VaTUQ2YnpmRW5aTksxWWRMWVZ4dGlGbDhFVkY2Y1RGS0wyYUFXeVpVQUM0V0JPSGlVQ2gwWDJ0cjZ6WkJFTFlBZUxLOXZiMy9WRFprNUJVblRHc01DSGxsYU0wYXpQUjdrZzZoN3J3NXZETkpvZzhqYTIrcGoxc01zUE9tZlFtUGUrMitsRU94Zm5mOFBMamdkRGpzQlNhRDBROXlLbTM4YTNJcElVOEl6ZzQzS3E4c1NYeS9UNGF6ZlFLci8yVmxUTURTRm1uZ0cvTW5ES2lMNS9NdXRSQWtPQk5LZUozRng5Wi91NEc5ZHNlQWdZN29aQkdBRlo4b1gvbzhBSUlrb09iajhlY21tdnNWOTFpVmtGNlZneFBRbmhNbDJTbzRRU1ZFUDhXckRSTFVobU43TXhkVVFzSXdSOHVhQU9BOFJWSE9BL0RUbHBhV3R3UkIyQ0lJd3BiMjl2YnVrLzNrN2dOVHlHL1FvMkI5Zm5RT1ppcUxheWdxSVFYcmJxMC9wbTMxdEdZTjF0MGEzbmtsMGZPOTllVzlTUis3c09lNzZzT2xNYThsdnpzUTg5aXVCL3ZSOVdBL1JFbkE1Z2ZEdTZxTXZPS0VFbEl3OUt3ZE9yTUdnaVRBM0dxS0RvR3F0Q0lhUDF1RGZUK09EWnpOZDZ5SzZWMVA1bGlLcENkYmRCVlpXRVhIaG9HT2lPajQzTmJhMm5wYnBodVJEV1E1L1JJN2dpQ2NBZUFNUlZIdWFtMXQzU01Jd2haRlVaN282T2hJYjdubk1hcitXQm4yLzFzWFN0OW5nYTVJZzUwMzc0ZDNOUFVjMDRVOE5pLzIvaWg1YjF1cW5yaldINjVPV0RibnJQczN4TnhXUWdyMjNkV0ptWDRQTnQ3VEZKMURKNm9Gak8yWW4rT21Oa2pSc05WK3l3RlVYMVdHb2pOTWMxMzM0YUZPMnd1anNKeFRpSkd0WTVpMWVUSDByQjJWVjVhaTRqSnI5RHFGclVhYyszQnIzQnpBU0kvZHNaWWJXb3JmSGNEYjN6K0Nocy9XSUw5ZWYwS3ZmVHBob0NNaW9tVkxsbVZGRUU1ZXBWMVRrd0dHbFhyWVhoakZpbitxUVBNZHExTE9UVTFVTGtnUUJaenpVRXZjOFZSMTZGNi9Mdm0reWxKdTdGQnF6eCtHb2lGVGxhT0t1MzloT3hZK2w5b294ZHdlZmMwRnI5T1Bza3N0R05rNkJxMVpnNXFQbCtQb280TXdOUmtTenQxTEpGRU52M2RDQ1FIZVVSL2tCSXZES0gwTWRFUkV4K2VPam82TzJ6UGRpR3l3Y2VQR0MyVlpmam5OMDk4RXNFVVFoRCtkaWlGWEFDaHN6c2ZvNnk2c1VBQlJNemNSOVJnbHEwV1hxZzVkT2thMmptSG9PVHNhYnF6QmtRZDZqL3M2SVc4SXZVOE1vL2lzQXVTV3o0ZTgwdmNXWTJ6bkJBNy9zaGN0MzE4RlVTUEdCTGFGcFlTVXVieDFQSHRQMDhuSFFFZEVhWkVEY3NJVmM4Y3IyZndoT3Uwb0FGNFRCR0dMS0lwUDd0aXhZK0JVTjBCVHFJRi9Jb0R4dlpOcGw5TlpTSkdWcEFzcFVnMjVMc1c1Y3dMZER3Mmc4ditVb0dCRC9qRS9QdVNWNGRydGhtZkVoOEJFQU1HWklLby9VaFo3a2dEVTMxQ0ZqbHNQb3ZlUHcxajV5WXFZd0xidzU3SHUxbm9BcVJkREhjOGUwNUdldVhUbURGTnlESFJFR2VTMSs3RG56aU00OCtmclR1cnpCTndCOUQ0K0RPc0Y1clJXalVYS2h5eDg0ejcwaXg1SU9TbzBmTGJtdUI2L1VOZEQvUWg1WkRSK2Z1bHJKUktZQ21MNCtWRlVYRzZGU25mc0svMG80MElBWGdid2hGcXRmdXJOTjkrMFo2SVIwNzJ6Q0hwQ2NPNllnTWFvaG1tTkFXY3NlQzBPL1dVVWxzMkZVQnZuLzFRZWZXUXc1bmRPVTZCQjNmVlZLTG1vS09iYWs1M1RHSDNOaGVxUGxrR2RILytuZHVUbHNaUUxLVWIvN2tMbkEzMG9PdE9FNnF2S0VKZ09MdjBOS2NCMHp5eGNlOEk3UXZROE9naEJFcUF0REs5UXJiamNtbkJCa3M2aVJjWGxWdlEvWlVQUkdRWFIxMjJ5T1hUdmlCSmU1YnFRenhYdUJVeTBDd2VsajRHT0tJTVVXVUZnUVltQzBiKzdjT1QrM2lVZkYzbkRIWGg2QkgxYmhtUHVNNjNOeDlxdjE4VWNHL2dmT3h4dnVCQ1lEbUxOY1pRQmtQM2hiYllxcjBoYzZ1Qlk2U3R5MFAzd0FJbzJtV0RlbUx4WWF6SStoeCtEZjdiRDd3Nmcvb1pFdGJKb0dmSURlQkhBRmttU25sa09oWVhIZGt6QXVYTUNVcTRLdGRkV3dmNmFFK2FOSnJSL2JUOWE3bHlOeVNQVG1PcWN4cnB2TmtCUUNaZ2Q5RURLVVVGam1nOGVzbDhPMTE1VHdnV3J1eC9xeDVxYmF0SDFZRCtVa0FLdnd4Y1g2SUt6SWZpYy91aXEwUmdLTVBDTURYMS9zcUZvb3drTm42bEpld1RZc1gwY2gzL1pBMUVqd3R4bVF0RW1Fd3dOZWRoNzV4SG9MSnFVcjkrS3k2MXd2T0hDN0tCbnlZVUp4OUlMcDRTVXVkMG1nQVAzZG1QeXlIVGNhMzd5MERRa3ZRUmRNZmVBZlNjWTZJaVdFWE9MTVdGSmdLSG5Sekh5dHpFSUtpSG1UYm4wNHFMd0tyYkllYytOUm91VFJzd09lMkYvellsMTMyekEvbnU3NFhoakhNVm54Mi85TmQwemk5d0tYZUpDcERzbklQdGxtRnZqU3d5a1kvRW5lK05xQTNRV0xUd2p2dmhpb3NWYWlKSVEzUWc4RVZXT0NIT2JFZE5IWnpFejRFazRWS00ycXBOT0hxZFRLeGdNN2xhcFZKYjI5dmFsTnhNOWhhbytYSXE2NjZzZzZWVVllM01jdlk4UG9XaVRLZndhRWdXcyt0Sks3UDdPUVV4MXpTQTRHNEtpQUs3ZGJndzhNNExLRDRWZmgvWlh4ekN5MVluQ0ZpTmtYeWk4d3dLQXBwdnJjUERuUjdIM0IwZlFlbGNUZE1VYWRQOXVBRDZYSDdYWFZzTDJrZ01obnh5M2haL3RidzcwYmJIQmVyNFpkZGRYSGRPMEJFTzlIcXUrdUFJRnpjYm9MZzdCMlJDTWF3d291NlE0WlpGZVVTMmkrZnVyWTNaL2lGS0FzUjNqMFJXNTZaUXQ4WThIY1BEblJ6SFQ1NEVja0tPdnhZb3JTcEJmcjRkejV3UUVsWURnVEJDMmx4eVEvVEw2bjdTaC9ESXJJQXFRY2xVSjYybFNjZ3gwUk11SUtrZUZuSno1RUJLY0NhSHoxNzF3ZHJpUlY1T0wraHVyb2ErY0wzTWc1VW13L1cwTXdabFF0TWFjZXNHMlFFcEl3Wkg3ZTFIeFFTc01kWHJVWGxPSnJ0LzJRMStWRXpNeEdnQjIzM1lvNllvOCt5dE9hT2FxNHljYmRsRWIxUWpPaEtBRTVlaEU2c2k1eVNaUjl6NCtoTjdIaDJLT3RkeTVHdnFxSEl4dEgwZlhRMHZYbU4zMXJjVFZMT3F1cTBMSmU0b1Mza2VuMW5MYnd6VkNsSVRvM3FIREx6cFFmRlpoekFJR2JXRjRWd1FwVjRYT1gvZEJEc2lvdmJZU2gvNmpCd1hOK2RCWDVzRCttZ3VXY3dyamV0RzBaZzNXZjZzQjdvUFQwQldIaDFhbisyWVI4b1NnTGRTZzl1cEtITDYvRjZiVkJoUXUrS0JVY2xFUkpMMkU0ck1Lb01nS1pvZThVR25GOEs0TUF1SURsNHpvYyt1S05ORTZqaEZTcmdvTm4wbXZGenZtMm5NTGZaMGRiamplNk1GTXZ3Y2JiZy92T3BOTzJSS05TUTJ0V1lPaU13cGdYSjJIdktyY21KL1JXZmR2UUhBNmlBUDNka05SZ0txclNqSDR6QWpzcjQ2aDVoOHI0a3EzME5JWTZJZ3l3RHZtaHhLSUR6NEwzeWludW1adzZMNGVCQ1lDcVA1b0dTb3VzeWI4dEQ0ejRJRm1ia2duT0IxRVR0bmNOUlNnOHovN0lPbFYwVjY5NHJNS01IbDRHdnZ2N3NTNld4dVNGdmhkZkgzM3dTa0FxVmUzMVYxWGhhSG5SMk1DWCtUOHlCQnhjQ2FJOW04Y1JPSDZmTlRmR1A0am84Z0tGRG41aE9qSVl6MDJiOXdma3BsK0Q2WjdabUc5SUhhRDhlT1ptRTJuTC9mQktVejN6S0x4OHlzZ3FnV0lhaEd1OWdtWTFvYUxWTS8weldKODd5UXFMcmZDM0daQzQrZHFvSy9JZ2YxVkozeE9mL1NEZzlvZ0FRSmdmOVVaSGJiVUZXdmdzWGt4M1R1TDZhT3pLSjNiYnE1NGN5RWMyOGN4TStDSkNYU0NLS0Q0ckhBUHVpQUkySDNiSWNoK09ielR5NlVXQ0NvQmNrQUdsTGxkSDlvbm9ET25YOVE0WFJOenIvbmUveDZDb1U2UE5UZlZRc3FKNy9GV2dncUV1ZGZ1VEw4bitqMUFBRlo5Y1VYaWl5dUFZN3NMUFk4TlFmWXJhUHAvdFREVTZXRTlweEJIL3pDRXcvZjF3UDZxRTNXZnFvb0xxSlFjQXgxUkJoejhhWGYwelE5WUZId1VZT2c1TzNvZkgwWmVUUzZhYnE1RGJsbnlUOFNCaVFEMEZlSDdBNU5CR09vbFFBRzYvMnNBMDcyejRlMnpGbVNsbGY5Y0FaL0xqejNmTzR6R0w2eFljbWVGb2Y4TnoxZGY5Y1VWS0RwemZxalcyVDZCZy85K0ZHZitZbjIwbHlQeWg4MjVjd0lIZjNZMGJsRkU5OE9EVUtrRnJMeDZmcGpKOXFJRFE4K1BvdVg3cXlEcDU5K1NKTDBxR3VDOERqODZiajBJNDZvODFQeGplYlJlbG11M0czMWJodU1DWFU2cEx1RldaVVNKR0ZjYjBITG42bWhQV3VXSFN0RDcrQkRrMzRlN3FRUkpRSDVESHF6bmhYL1BJcThEblVXTDZvK1ZRVnM0dDJkcG5vU3FENWZpNkNPRENIbGpwejZJR2hHbWRmbW8rdEQ4bEluVlgxbVplbGhSQURiL1p6T1VrQkxkMHUvSUE3MFkzZWFLbnFMU3FhSWZqazRralZHTm5GSWRhajVlQm5OYmVGcEhvdDc1N2tjR01QTHlHRVMxR0o1UFdLQk91SzFmeE9nMkYvcWZzc0U3NmtOaHN4RzExMVpDT3hkSTFVWTFHajlYZzZKTkpuUTkySSszN3ppTWpmYzJuZERWOWU5bURIUkVHZEJ5NTJvQThhdEJRejRaaDMvUkE5ZHVONndYbUZIK2Zpc0VJZjZOVkoydmpnWVd2enNBZFg1NGtuWmdPZ2dwVjRVRFArbUdaOFNMMm11ckVKZ01JakFadTBLdStxb3k5RHcyaEgzLzJva04zMm1Fb1M3eEpHaVB6UXZIRytNQUFLOHp0czZXZnlJQVFSSmlobmdqWEx2aXAwcU5iQjNEMkk1eHJQOTJRM1NWb05mdVE5K1dZWmczRnNTRU9TRDhSelA2aDdOWWc2YXYxYUhuMFVIc3Z1MFFTdDlUak5wcks2SElDc1FFdlphcDV2Z1FBVURENTJwaUZqY3NuSUpRZVVWSldndUFUR3NNTUsySi9VQlVkV1VwcXE0c1Rhc05DOE5jcWxJZ0Mzdm1hNitwUXZWSHl3RTVIUEkwUm5XMGgreFlMTFVQYzI2NURtMC9YaFB6WVRBU1dCY3F2YmdZZWRXNWtJTUtCQkVvYkRhbW5QZW5zMmhncU5XajhYTTFTZDkzekcwbUdHcjFtT21iWlpnN0JneDBSTXVJMytXUFRxcTJ2K0tFL1pYRUN3RnJyNjZNRHQzNDNjRm9EMWxnTXZ5MW9VNlAraHVyRTFhMWoxajNyUVpZenl0TStxWUtBTU12T0tBcFVFTmZtWU9aUGsvTWZaNWhMM0tzMnJpNVF5R3ZqTEVkNFJBNC92WWtDdGJudzdGOUhOMFBEOEM0eW9EcG83Tnc3NTlDMEJPQ2E1Y2I2bncxYXErT25SaSswT1NSYVFEaGl2N04zMThGMjR1T2FOMHEyYTlBVERTSm0yZ0psczJGbVc3Q2NWSHB4TVNyWTArR1JhOXR0U0UrME9rcmMyTG05UzRsdnlFdnJkSkpHcE1hR3RQeExjSTZYVEhRRVMwak9hVTZuUHR3SzBhM09kSC8xQWcyM3RNRUphamc3emZ1eHRwdjFNUFltSWZ0bjk4VERUR3lYMGJJRThMQm54Mk5YdVBBVDdyUjlMVTZxQTFTOUZQNDhBdWowQlJvVUxScGJ1aGt4QWZQc0RkbUNEV1J5aXRLVU5oaXhPeHdlTTlIS0lpK3lVOTJ6Y0N3TWo0TTJsOGRnNlNYRVBMNjBmMWZBekMzbXVCMStLQ0VGTXowelNMZ0RrREtrK0ErTkFVcFI0WDEzMm1FS2tlRnZpMDI1TmVITjBsZmFQUjFGMFplSGtOK1F4NnFyeXBGMmFXVzZIM0JtU0JYc2hJUkFlQkhXNkpsYUhTYkt6cHZaV2JBQTBWV29KOHJHUkR5eXRGUDZJSWtvTzJ1TlRIL05FWTFSSTJJSXcvMFl1QnBHNEJ3QVZYN3EvTzlmZlpYeDlEMTIzNHN0VWVtcGtDTmd2WDVNTGNhNFhjSE1MRi9FZ0RnYy9veDNUc0wwN3JZOENYN1pReisyUTdMdWVIZWovWGZic0Q0M2tsVWZiZ1Vaei9RakROL3NSNGJibStFcUJhZzBvcFljMU10Y3N0MUdOc3hnWUduYmZEWTR6ZEZyN3UrQ2h1KzJ3aEJCUGIrcUJPdWp2bmhYSjhyQUkySms2YUppQmpvaUpZQkphUkU1NTFOSHA2Rys5QjB0UEw4K050dTZDdHpJT2xWa1AweWxKQVNuWU1XMll3N3AxU0huQklkMVBscUtMSUNsVnFFeHFqRzZOL0RRNThGNi9JeGVXZ0tTakE4eWR1NWN5SmN2eTVCbnBNRGNuVFlOMEpuMGNMWW1JZWg1MFlCQUNOYm5WRHBWQ2hzaVIwUzZYOXFCQkNBb2pQQ1BYOGFveHJOMzFzRmZXVU9WRm9SL29rQTl2NmdFOU05czFqNzlYcmtOK1JodW04V25RLzBvbmh6SWNybWhwRVhNOVRwc2U2YkRWajc5YnFZNTV6cG40MHJ2MEpFZERyaWtDdlJNdEIreXdISUFSbHRhNXJRK1dBL3JCZVlrVk9pQlJUQS9wb3J1cm91NUEzUEhWUGxoRCtMVGV5YnhHVG5ES2E2WnpEVk5RUExlV2JJQVFXaVJrRFJwZ0lNUG12SDdLQUh4bFVHaEh3eXBvN09RTkpMOEl6NFVIL2ovQndpSlJRT2VnUFBqTUMxWnhLaFJjV0pBYUR5eWxMc3U2c1R0cGNjR0g3ZWp0TDNXdUpxWXJsMnUxRjFaV2xNQ1pMSTE4NE9ON3ArMHdkdG9RWWJibXNNRnhhMmViSC83cTd3bkw4YnFtS3VsVzdwa1pHdFl4alpPaFozWE1xVGNOWjk2OU82QmhGUnRtT2dJOG9BejRnUG85dWNzTC9taE5vZ3dYcStHU1VYRmVId2ZUMVFnakpxL2lGY0pOaXhmUncrbHgvVzg4T0JMcklMUktTSHJ2L0pFY2dCR2FZMUJwUzhweGpHQmoxc0x6b2dha1RrbG11aHpwZmdiSjlBNVlkS29TdlNZS3A3QnNHWkVIUVdMZklYTElhSTlNZzV0bytqNUtJaUZHMHlZZStQWWpjVk56VVpZRG0zRU4yL0c0Q21RSTJLeTYxeDM5ZktUMWJBdE1ZQXo4ajhxbHovZUFEZER3L0F0Y3VOOHZkYlVQWFJNb2lTZ09uZVdleS9wd3Nhb3hxcnYxSWJ0NW90MVVwVjMzZ0FoMzUyRkNxZENrMWZxNE9RWUt5QlZlYUo2SFRDUUVlVUFZZCtmaFIrZHdBVkg3U2k5TDNGa0lNS0R0L1hnNm51Y04wNEtWZUY0R3dJUFk4Tm91U2lvdWltMWNIWmNQbVJ5RUtBZGQrc2p5a1JJQWVWOEpDclZnUUV3SHBCRWFTNXNpSWJibXVFT2wrTkhWL2RCK3VGNXBqaFZrT2RIb1hOUnF6NFJEbHlTblVKNjAzSkFSbXlmNjU4dkJ3dXRtcGNIVnV5SVZGTk8wRVNvTWdLTnR6UmlMenFjUDA0eHhzdWRQNm1IeHFUR3JORFh0aTNqc1VzZGdDU1Y2TjNINXhDNXdOOVVPUnc2WlFEUCtsRythVVdXTTQzSjk2MmlJam9OTUJBUjVRQmpaK3ZnYzZpamU2dDJMZGxDTE9ESHF6N1pqMXl5M1ZRWkFXSGY5a0xRUWpYakl2d09jTjdtMGJLbEN5dTl4U2NDZ2MrY2E0SHIrWmo4NDlWRzlXWTJEOEYzN2dmbG5OakMvRnFqR3FzdWFrMmFYdG5Canc0Y244dlBIWWZHajVYQS92V01lejlVU2VLenlwQTVaV2xLUXNmcXcwUzFudzFmTzNBVkJCSEh4bUVZN3NMRlplVm9PWmpaUmo0bnhFYy9mMGdaZ1k4eWZldVZJRHhmWk1ZZnNHQjhUMXU2S3R5c1BZYjlSQkVZUERQZGh6OXd5RDYvalNNMG91TFVYYXBKZnJ6SVNJNlhmQmRqeWdESXB0Y1IxUmZWWXFLeTYxUUd5UW9RUVdIZjlVTDkvNUpyTDIxQWM2ZEU5Rks4Y1BQalVKZmxST3p5ZlpVMTB4NDgrczhDZmF0WTlBV2FiRG45a09ZSFVxODV5b0E3THhwWC9UclZBVkdBMU5CRER3ekF0dGZIY2dwMGFMNWpsWElMZGVoK0t3Q0RQMWxGQU5QMmVCNGN4eW1wbnlVWDFxTWdnMko2MGFGdkRKc0x6a3crRDhqa1BRcXJQdEdmYlIzci9LS0VtaU1hblErMkFldnc0L1YvN0lTVW80S25oRXZwcnBuTVhGZ0N1TjczQWhNQmFFcFVHUGwxWlVvZlU5Uk5QalZmYW9LbFZlV1l2RFpFUXo5cngxRHo0Mmk1QUl6eWo5b2pWYWdKeUo2dDJPZ0kxb0dSSTBZRFdtMmx4eHdkYml4NnNzcmtWK3ZoLzNWc1dpQllXMmhHbzFmaU4wZmNiSnJCajJQRGdJSTk0YlZmN29hdVJVNVVJTHlPMjdYNkd0T2pMdzhocW9yUzFCeFdVbTBJcjBnQ3FpNHpBckxPWVVZL0xNZG82ODdJZW1UVjhjL2NHOFhaZ1k4S1ArZ0ZlVWZzTVRObDdOZVlJWktKOEwya2dPQ1NrRElMK1BRTDhJYmdxdHlWQ2hZbjQvaXN3cVNWcUhYRnFwUmUzVWxLaTZ6WXVDcEVkaitOZ2JKSUtWZHNaK0lLTnR4MWpCUkNxMnRyUXF3OURZNUo1SWlLNWdkOUVKZnRhQVhUd212UkUyNnhjOVM5eDlyRzRJS1BDTmU1SmJuSURBWmdOcW9UbjErU0lrSldpRnZDT043cDZLRmpMMmpQcWp6cGVoaWp1UVhRdlJkeWVmMHcrY0t3TEF5TitWV1FvbDRSMzNRRkdwaVZ0dWVLUDFQMnREL3BBMEE3dWpvNkxqOWhEOEJIWk5NdkVacGVZdXNrTy9vNkRpdE1nNTc2SWlXR1VFVVlzTWNFTjZZTzFVNFdlcitZMjJESkVTSGhaY0tjMEQ4WEQ2VlRoVU5jMEM0amwxNlR6ei9wZGFzT2U0aDA3U2ZqNGpvWFlKTHdvaUlpSWl5SEFNZEVSRVJVWmJqa0NzUkVXVzlkSGNXSVhxM1lnOGRFUkZsTFVWUnRtYTZEYlQ4bkk2L0YreWhJeUtpckxWcjE2NkxNdDJHNWFDbHBlVW1VUlR2YjI5dm44MTBXeWd6MkVOSFJFU1U1UVJCdUU1UmxFc3ozUTdLSEFZNklpS2lMTmJjM0Z3UFlCMkFxekxkRnNvY0Jqb2lJcUlzSm9yaTkrYSsvR1JkWFIyTE1KNm1HT2lJaUlpeW1DQUlMWkd2VFNiVHhabHNDMlVPQXgwUkVWR1dhbWxwcVZZVXBURnlXNVpsRHJ1ZXBoam9pSWlJc3BRZ0NCOVpkT2hERjE1NElTdFluSVlZNklpSWlMS1VvaWlMZStUTWJyZjdnb3cwaGpLS2dZNklpQ2dMdGJXMWxRcUNzRG5CWFJ4MlBRMHgwQkVSRVdXbkR3TVFGaDhVQk9IRDROLzMwdzcvdzRtSWlMSlFndUhXaUpLMnRyWkVQWGYwTHNhSmswUnBHSHRyUE5OTm9HWEN1V01pMDAwZ1FsdGJXNUdpS0VubnlzMkZ2VzJuc0VtVVlReDBSR2s0OUI4OW1XNENMVDlLcGh0QXB5OVpsajhrQ0lJcXhTa2ZBWEFUK0h0NjJtQ2dJMHJ0eXdBdXpIUWphTm1aRWdUaGtVdzNnazVmZ2lBc3RmQ2hxcm01ZWVQdTNidDNuSklHVWNiRlRhWWtJaUtpNWF1NXVka2tpbUk2ODBEK3RhT2o0NWFUM2lCYUZyZ29nb2lJS0lzSWduQkZtcWQrRk95NE9XM3dQNXFJaUNpTGJkeTQ4VUpabGw4RzhFcEhSOGVGbVc0UFpRWjc2SWlJaUlpeUhBTWRFUkVSVVpaam9DTWlJaUxLY2d4MFJFUkVSRm1PZ1k2SWlJZ295ekhRRVJFUkVXVTVCam9pSWlLaUxNZEFSMFJFUkpUbEdPaUlpSWlJc2h3REhSRVJFVkdXWTZBaklpSWl5bklNZEVSRVJFUlpqb0dPaUlpSUtNc3gwQkVSRVJGbE9RWTZJaHpmNDZrQUFCRnZTVVJCVkNJaW9pekhRRWRFUkVTVTVSam9pSWlJaUxJY0F4MFJFUkZSbG1PZ0l5SWlJc3B5REhSRVJFUkVXWTZCam9pSWlDakxNZEFSRVJFUlpUa0dPaUlpSXFJc3gwQkhSRVJFbE9VWTZJaUlpSWl5SEFNZEVSRVJVWlpqb0NNaUlpTEtjZ3gwUkVSRVJGbU9nWTZJaUlnb3l6SFFFUkVSRVdVNUJqb2lJaUtpTE1kQVIwUkVSSlRsR09pSWlJaUlzaHdESFJFUkVWR1dZNkFqSWlJaXluSU1kRVJFUkVSWmpvR09pSWlJS01zeDBCRVJFUkZsT1FZNklpSWlvaXduWmJvQlJNdFpTMHZMbTRJZ25KSHBkdEN5TUEzZ0V4MGRIWC9PZEVPSWlCWmpEeDFSQ2d4enRFQWVnTnN6M1FnaW9rVFlRMGVVaG5NZmJzMTBFeWlEK3ArMG9mOUpHd0N3ZDQ2SWxpWDIwQkVSRVJGbE9RWTZJaUlpb2l6SFFFZEVSRVNVNVJqb2lJaUlpTEljQXgwUkVSRlJsbU9nSXlJaUlzcHlESFJFUkVSRVdZNkJqb2lJaUNqTE1kQVJFUkVSWlRrR09pSWlJcUlzeDBCSFJFUkVsT1c0bHl2UnlhUUFTa2lCSEZRZ0IyVElBUmtocjR5UU40U1FSMFp3Sm9qZ1RBaUJ5UUQ4RTBISWZobjFOMWFmc3JiMVBEWUVUWUVhNWUrM3ZLTkxqV3dkdzhUZVNaUmZab1ZocGY0RU5UQTlSMzgvQ0hPckVjYlZCZ1JuUTJrOVJzcFZuZVJXRVJHZFdneDBSQ2ZCNjlmdGdxSW9nSkw4SEZFdFFxV2IrNWVqZ3BRYi9oZHdCNkEycWdHRXcrRHIxKytDcEZjQmdwRHlPWldRQWttdndxWjcxNmJYU0FHUWd6SjYvakNJM0hJZEN0YmxwL3Z0eFhEdGNxUDdvUUZBQVB3VFFheTl0UjZpbExpdGNsQ0JmeUtROEw2ZVJ3Ymc3SEF2K1h6blB0d2EvVHJrRGNIMmtnT0ZMVVlvSVFYYlA3Y25yVFl2dkFZUjBic0JBeDNSU2FESUNpb3V0NkxvakFLSWtnQkJFaUdxQllnYUVVcFFnZnZnRkV4cjg2SE9UKzhsS09rbENLclVnVTcySmU2ZENzNkdFSEFuRGxFbEZ4YkJ0Y3NOeHhzdTZJbzBDYy9SRldzaEpBbG9ydDF1SFBxUEhwaldHbEI5VlJuMi9yZ1RSMzdWaThiUDFTUnM3MHp2TFBaODczRENhNTN4Nyt0UTh3L2g3MEVPS05oeit5R1V2ZDhDNjNubWhPY0R3UGplS1lpU0FHTkRYdlJZM2FlcVVOaGlUSGkrMSs3RDIzY2VTWG85SXFKc3hVQkhkSkxvaXJUSXE4bU5PKzZ4ZVhINC9sNnN1N1VleG54RFd0ZGErN1U2Nkt6YWxPZU12ejJKcm9mNjQ0NlBiUjlQZUh5aDBXMHVqRzV6SmJ5djlZZXJrVnVSRTNmYzlwSURSeDhaaEhHMUFhdi83MHFJR2hGcnZySVMrLyt0R3dkKzBvMVZYMW9KbFM1Mm1xNmhWby9OdjJrR0FQejlodDJvdTY0S2x2TUtBWVI3TElGd3o2U3J3dzA1cU1CNm5oazVwYnFrN1hhODdrUmhzeEdDSkVBSmhidERKYjBFelZ3UDUyS2hOSWRraVlpeURRTWQwVW0wN1pxT3BQZnQvVkZud3VOdGQ2MkpDekY3dm5jWUVKY1ljZzNLVU9Va254dTJlSmh4dW1jVzNqRS96RzFHQ0FtdTdUNDRsYkNOd2RrUXVuODNBTWNiTGxqUE42UHUrcXBvYjV4eHRRSHJicTNIZ1h1N3NlZU9RMmo0YkUxc3FCVWl3VzJPdU9qMm5MRzN4cEZia1pNeXpBV21nbkR0bWNTcUw2MUllZzRSMGVtQ2dZN29KR3E3YTAzY01hL0RqLzMzZEtIaE16VXcxTWIzNE9tSzQzdmlObnkzOGJoNzZKTHBmWHdJWG9jZjV0YkV3NU9KakwwNWpxT1BEaUkwRzBMOURkV3dYaEEvSEdxbzFXUERiWTA0OUlzZTdMbmpNTW91dGFEaU1pdlVodlRlYmtLZUVKd2RibFJlV1pMeXZPRVhScUdFRk9TV3hZWSsvN2dmSHBzMzRXTzhEbjlhYlNBaXlqWU1kRVFuVWFvZUpxMVpuZlQrWGQ4NkNPK29Ed0FnaUFJNnZuVndxVFVSVU9aVzFMNXg0MjRBd0tvdnIwVEIrbnhZTHpSSGh6VWpKanVuTWJGL0NnMmZTVHpYRFFDTXF3elkvSnRtaUpLSXljNFo5RDQyaE1uT2FaaWFES2k3dmdvNlMvS0FxYk5vc2VHN2plaC8wb2JCWiswWWVjbUJGZjlVZ2NKV0k5NzY4dDdvZVYwUDlxUHJ3WDZJa29ETkQ3WUFBRVplY1VJSktSaDYxZzZkV1FOQkVtQnVOUUVMbWhueWhHRDdxeVBoY3g5OVpERDFENHFJNkYySWdZN29aSmtMSUl0N2l5SzlSRDVuSU82K1NNQnIrY0hxRTlLRVNFbVV4ZnIrT0F4TmdScDVLM0tUOW1iRlhHY3FDTDg3Z0ZWZldvSEp6aG5zdkhsLzJtM1llSGNUZXY4NGpQeUdQS2dOVXJUWHN2MldBNmkrcWd4Rlo1aWlLM2dWV1lIdGhWRll6aW5FeU5ZeHpOcThHSHJXanNvclMxRnhtVFY2emY0bmJZaEplQWdIMzZJekMxRCtmZ3NNdGVIU0tkdXU2WWdad2c1TUJUSDRaM3ZhYlNjaXloWU1kRVFubUNLSEorZEg1cVcxMzNJZzRYbEhIdWlOTzdaNG5wdkg1a1g3TFFjZzVjVytWSVBUd1hBdHRZVnozMlFGd2RsUXpEVkd0emx4OVBmSmU2dzZiazNjdGtUdEttd3hBa0s0NTY3MFBVVXg5OXRmZFdMd1dYdkNJV2FkVlJzenoyMWhyNlRhS01YY0huM05CYS9UajdKTExSalpPZ2F0V1lPYWo1Zmo2S09ETURVWmtGZVRDOWt2WS9pdkR0Ui91aHBIN3UrZGZ5SUJXUFhGMVBQcDFBWUpLejVSbnRiM1RFU1VUUmpvaUU0d09SQU9kS0ptUG16VjMxZ2RMYitoeUFvQ1UwR284K1pMa2RoZmM2THoxMzFKcjNuV2ZldGpibSs3cGdNYmJtdU1DVU9SOExkUTJhVVdsRjA2WHpRNE9CTkUrOWNQb0dDREVRMmZpUzlnUFBDMERRTlBqMkRUdjYrTG4vTTI5KzJvODZXNGNpdVJjMU1OTVM4bDVBMmg5NGxoRko5VmdOenkrZXVVdnJjWVl6c25jUGlYdldqNS9pcUlHakc4T25aellUVFFiZi9DMndoT0J4TmVOMW1nWmkwNklubzNZYUFqT3NFaXBUR1M3VWJnY3dXdzg2WjlXUGV0QmhnYjh4S2VzMWlpVUxML25pNEkwdndLVVNVb0wzbWRuc2VHb0lRVXJQakgrRjZxd0ZRUVE4ODdZRG5YblBZQ2huY3E1SlhoMnUyR1o4U0h3RVFBd1prZ3FqOVNGbnVTQU5UZlVJV09XdytpOTQvRFdQbkpDbGpQajEyTTBYeGJZN1JuRkFCR1gzZkJ0Y3VObVFFUGNrcDEwSmpVcUx1dThsUjhTMFJFR2NGQVIzU0MrY2JEYytRMEJZa0w5U3FCY1BBU2x5Z1V2TkRpb2N4dDEzU2c2ZWE2Slh2b0Z2SlBCS0wxM2ZxZnRxSHNFZ3R5U3NJTEd4Ulp3WkZmOVFJQXFxNHFUZG1XVktWWUV0Mm5zMml4OFo2bThBMGxYQzdGdFNlOEkwVFBvNE1RSkFIYVFnMThZMzVVWEc1TnVKcFhaOUdpNG5JcitwK3lvZWlNQXVUWHgyNHZ0dkF4WG9jZnRyODZzT2FydFhqN0IwZXc0aFBsT1BTem81Z1o5S0pva3lubDkwWkVsSzBZNkloT01JL05Cd2lBenBJNDBQbmQ0YUhCZEhlSkFJQTNGNndNalhqN3ppTnhjK2hTMFpqVTJQU1R0YkMvNHNUUWMzYlkvdXFBdWNXSTB2ZFpNUEtTQXhQN3A3RG1wdHFrUlhrakVzMlRTeldIYnVFcVdzZjJjUnorWlE5RWpRaHptd2xGbTB3d05PUmg3NTFIb0xOb1VIbEY4bElsRlpkYjRYakRoZGxCVDF5Z2l3ak9CTEgvbmk0VW4xMkkvTG5lenh5ckZpdi91UkpIZnRVTGRYNWQycjJpUkVUWmhJR082QVNiNnA2QnpxS0ZTaGNlY2xWcHhaamV1UEczSndFQXd5ODZVUDUrQzdSbURVU1ZBSlUydnNDdTJxaEczWFZWS0ZtMENHSGJOUjFZLysyR21CNjY0R3dJWTl2SFU3Wk4xSWdvdmFRWUpSY1hZZXpOY2ZUKzl4RDIvVGhjUExqa3dpS1ltcGJldVNMUlBMbDA1OUFaNnZWWTljVVZLR2cyUnIvZjRHd0l4alVHbEYxU0RGRVQvek9JdGwwdG92bjdxeFArbkFEQVB4N0Evbi9yZ2lwSHhJcFBWc1RjVi9LZUlzemF2TmgzVnlkcXI2bEV5WVZGQ2E5QlJKU3RHT2lJVGlRbHZML3B3bzN1ei81MWMvUnIrNnRPRFAzRmp1S3pDekN4YnhLMnZ6cFFkR1lCS2o1b2pUa1BDRS8waitoOVlqanVxZmJja1hqM2lONG5obEYvUXhYTWJZbUhGeFZaZ2Z2QUZCeHZqTVBuQ2tCZm1RTlJMV0prNnhnbURreWgvQVBoL1ZOVGhhdmpwU3ZTeE8wWksrV3FFaTdRU0NSWm1KdllONGtqdis2RGxLdkMybHZxSVNiWWUzYmxKeXVnMG9yb2VyQWZZOXZIMFhSelhkSTlhb21Jc2cwREhkRUo1TnpsaG0vTWo2SXpDNkxIdkhZZlhIdmNzTC9xeE15QUIrV1hXckRpRStFZUpHZjdCUHFmdEdIWGR3NmlzTVdJcWl0S2tiY3l2SHZFNHBXdEN5VmE1WnFNSWl2d2pQZ3czVHNMOS80cGpMODlDYjg3QUoxRmk5cHJLMUZ5VVJFRVVjREV2a24wUHptQzd0OE5vUDlQTnBTOXo0TFM5eFpEMG9kN0d2LytxVjJRZzZtSGRWUE5yenRacTBvRFUwRWMvbVV2Y2l0eXNPcExLMUl1NktqK2FCa01LL1Z3YkhjeHpCSFJ1d29ESGRFSlpOODZocnpxWEpqV0dORDEyMzQ0MnljUW1BeEMxSWdvYkRHaS9vWnE1SzJZMys3THZORUVjNXNKanUzajZOc3lqTjIzSDhLYXI5VGk4Qzk3VWo2UFNpdGk5M2NQcFR5bjd2b3FGRzh1eFBBTER2UThHcTVGSitsVktHdzJvdWpNQWhSdU1NYlU1ald0ellkcGJUNG05aytoYjhzdytyWU1ROVFJS1A5QXVLQnZ5dy9YaExlaldHYlVCZ25ydjlNSW5VV1RjRS9heFFwYmpTZzhodTNPaUlpeUFRTWQwUWxVZjBNVmZCUGhuUm1LTnBtZ01hbGhxTlBEMkppWGZBaFRBSXJQTGtEUkdTYU12dTVDd1liOHVPSFhkNkwwdmNWUWFVVVlhdlhRVitZczNtQWhqcW5KQUZOVEl5YjJUY0s0ZW41T1hXUkY3S21TVG85ZTNYVlZVQnZWU1V2RVZGOVZkc3BLc0JBUlpSTGY2WWhPSUxWUkRmWGNLdEZJajFlNkJKVVFWMS90UkJBbEFTVVhIZnNpZ0dOcGU2WXNYaXl5V09XSGtxK2FQUjZLb3BRME56ZWZ1TFJOZEFMSXNzemZTV0tnSXlKS2x5QUlueFVFNGJPWmJnY1IwV0lNZEVSRWFSSUV3YTRveWtpbTIwR1VRQWpBUTVsdUJHVU9BeDBSVVpvVVJibS9vNlBqOWt5M2c0aG9zUk5mYUlxSXNwb1NXbjRyV1ltSUtEVUdPaUtLY2grYXhwdGYzb3Z4dWIxV2lZZ29PM0RJbFlpaThsYmtRbEFKNlBwdFA5cnVib0tvbnYvTTU5Zytqc1AzeGRmSEUwUUI1enpVY2lxYlNVUkVpekRRRVozbWdyTWhCTnlCNkcxem14SEJxU0I4WS82RTU3ZmR0U2I2ZGQ4VHczQjJzRGVQaUNqVEdPaUlUblBPOWdsMC9yb3Y3dmpZam9tWTI0MWZXQUVBMGUzR1F0NFF4dmRPeGV4YlMwUkVtY0ZBUjNTYXM1NW5oaVpmZ25mVWo5SkxpbVB1NjNsMEVIa3I5U2crcXdDTzdlTXg5OWxmZFNMa0RhSHl5aE5idkplSWlJNGRGMFVRRVVTTmlPNUhCbUpDbTJ1WEcwUFBqVUtkRjcrdGxpSXJHSDUrRk9ZMkV3d3I5YWV5cVVSRWxBQURIUkhCdU5xQXNrc3NjQitjQWdBRTNBRjAvcVlQcFpjVUo5d0NiT3l0Q2ZoY0FkVDhRL21wYmlvUkVTWEFJVmVpMDl5MmF6cGlibys4UEJiOTJ2YWlBN1lYSFFDQXV1dXFvc2NEa3dGQUFkeUhwcEJUb2owMURTVWlvcVFZNkloT2N3dFhyYVl5M1RzYi9icnNmUlpBQWJwKzJ3OXRvUVlGNjdrd2dvZ29reGpvaUU1emtWV3JTNW51ODhUY0xydlVnc211R1hRL1BJQ05kemNCd3Nsb0hSRVJwWU9Cam9qaWhsMFhPL2ZoMW9USEt6NWd4ZTdiRDJHNmR4WjVLM0pQUnRPSWlDZ05ESFJFQkFCb3Vya091bUpOekRHdnc0Lzk5M1FsZll4dWJ2NmNienlBdkJVbnRYbEVSSlFDQXgwUkFRQjB4WnEwaDE4anZIWWZBQ1FzYlVKRVJLY09BeDBSSFpPaC83VmpxbWNXS3AySWliMVQwQlNvV1l1T2lDakRHT2lJQ0VCNGVEV2RZMnFUR3A1aEwrU2dncndWdWFpK3FoU0N4QlVSUkVTWnhFQkhSQUNRY3E3Y1FwYk5oYkJzTGp6SnJTRWlvbVBCUUVkRUFNTDE2QmJQb2ZQWXZHaS81VUNHV2tSRVJPbGlvQ01pYkx5N0Nkb2lUZHh4blVXTGpmZXVCUUNZbWd4WS8rMkdVOTAwSWlKS0F3TWRFVUZuVGJ4OWw2QVNvSnNMZW1xREJMVWg3MVEyaTRpSTBpUm11Z0ZFUkVSRTlNNHcwQkVSRVJGbE9RWTZJaUlpb2l6SFFFZEVSRVNVNVJqb2lJaUlpTEljQXgwUkVSRlJsbU9nSXlJaUlzcHlESFJFUkVSRVdZNkJqb2lJaUNqTGNhY0lvalRNRG5vejNRVEtJUDcvRTlGeXgwQkhsSWFPYjNLRGVpSWlXcjRZNkloU3UwOFFoQXN5M1FqS1BFVlJwZ1JCK0V1bTIwR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pScC94L3hFWlM2SkpyMTR3QUFBQUJKUlU1RXJrSmdnZz09IiwKICAgIlR5cGUiIDogImZsb3ciLAogICAiVmVyc2lvbiIgOiAiIgp9Cg=="/>
    </extobj>
    <extobj name="ECB019B1-382A-4266-B25C-5B523AA43C14-8">
      <extobjdata type="ECB019B1-382A-4266-B25C-5B523AA43C14" data="ewogICAiRmlsZUlkIiA6ICI3NzMzMzUwNzk4MiIsCiAgICJHcm91cElkIiA6ICI1MTU4OTQ4ODgiLAogICAiSW1hZ2UiIDogImlWQk9SdzBLR2dvQUFBQU5TVWhFVWdBQUFuVUFBQVJmQ0FZQUFBQjZFQlUrQUFBQUNYQklXWE1BQUFzVEFBQUxFd0VBbXB3WUFBQWdBRWxFUVZSNG5PemRlVnhVVmVNRzhPY096TUlPc3EvdTRjS3JNYVJtYW1scGkyV2JtaTJXOW1hbExTN1phNmxabWt2dXBhYVdhV21scGttNXIyVzhhcGtta1A1SWNRY1JCcEI5bVlGaFp1N3ZENWg1WjJBR0JoWEI0ZmwrUG54aXpqMzMzbk1uQng3T1BlZGN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oSkVCcTdBVVJOVFhSMDlERkJFTG8zZGp1b2FSRkZNUzR4TWJGZlk3ZURpTWdXU1dNM2dLaXBZYUFqYXdSQjZOdlliU0FpcW8xell6ZUFxS21LajQ5djdDWlFFeEVURTlQWVRTQWlxaE43Nm9pSWlJZ2NBRU1kRVJFUmtRTmdxQ01pSWlKeUFBeDFSRVJFUkE2QUV5V0lHb0FvaXREcGRLaW9xSUJXcTBWNWVUblVhalhVYWpWS1NrcFFYRnlNd3NKQzVPZm5JeWNuQjJWbFpaZytmZm90YVp2QllNQ1NKVXZnNysrUDRjT0gzOUN4dG03ZGlqLysrQU1qUm94QTU4NmRiMUlMN2JObzBTTDA3ZHNYTVRFeEtDNHV0bXNmRHcrUEJtNFZFVkhqWWFnanVvbTZkZXNHVVJRaGlxTE5PaktaREs2dXJuQnpjNE9ibXhzOFBEemc0ZUdCdkx3OHRHalJBZ0NnMSt2UnZYdDNlSHA2UWhCcVgwNVNwOVBCMDlNVE8zZnV0S3VORW9rRUZSVVZXTEprQ2RxMmJZdWVQWHZhZjRGbURoMDZoTm16WjBNUUJPVGs1T0NMTDc2QVRDYXpXbGVyMVNJbko4ZnF0a1dMRmlFdUxxN084NW5QUmxhcjFmanh4eDl4NzczM1FxL1hvMi9mdm5hMW1UT2FpY2lSTWRRUjNVUUdnd0VqUjQ3RWdBRURJSlZLSVpWS0laUEpJSmZMb2RQcGNPTEVDZlRvMGNNVTN1cmk0ZUVCWitmYVA2WmxaV1ZXeTR1TGk1R2JtMnQxMjFOUFBZVkRodzVoNzk2OUNBNE90bG9uTkRRVVVxblU2cllqUjQ3Z3ZmZmV3OTEzMzQweFk4Wmc5T2pSK09pamp6QnIxaXc0T1RuVnFILzI3Rm1NSERuUzZySDI3Tm1EdDk5K0cwQmwrQnN4WWdTZWYvNTVEQm8weUdwOUFEaDY5Q2lrVWludXZQTk9VOW0wYWRQUXAwOGZxL1hUMHRMd3lpdXYyRHdlRVpFallLZ2p1c21DZzRQUm9VT0hHdVVwS1NuNDRJTVBzR3JWS3J0RDNmTGx5eEVlSGw1cm5ULysrQU56NXN5cFViNXYzejU4OHNrbnRlNjdjK2RPbXoxOG16ZHZSdHUyYld1VWI5bXlCZlBuejBlM2J0MndjT0ZDeU9WeWZQcnBweGc3ZGl3bVRKaUF1WFBud3RYVjFXS2ZxS2dvSEQxNkZBRFFzMmRQVEo0OEdZOC8vamdBV1BUdS9mZS8vNFZXcThXZ1FZUFFxbFVybSszZXZYczMrdlRwQTZsVUNyMWVEd0J3ZDNlSHI2K3YxZnIyM3A0bElycWRNZFFSTllEYUZxdDk3YlhYckpiSHhzYldDRElqUjQ2RVJGTDdmQ2FkVGdjM056ZWIyNnZmY2p4OStqUXlNakp3Ly8zM1d6MTJmSHk4MVRhV2xKVGdrMDgrd2Q2OWUvSEVFMDlneXBRcHBsN0VtSmdZZlBubGx4ZzNiaHhHamh5SkdUTm1vR1BIanFaOUJVR3dDRy9PenM1V2I5WCs4c3N2YU51MmJhMkJMajgvSDBlT0hNSGN1WE50MWlFaWFvNFk2b2dhUUd4c2JJMnk5UFIwakIwN0ZqTm16RUJVVkZTTjdhR2hvVFhLMXE1ZGU5MDlkYllzVzdZTTZlbnA2TnUzYjUyQjBlakFnUU5ZdEdnUlNrcEtNRzNhTkR6NTVKTTE2a1JGUldIZHVuV1lQSG15NlJicXlKRWo0ZTN0YmRjNVNrdExFUmNYaDFkZmZiWFdlai84OEFOME9oMWF0MjV0VVo2VGs0T1VsQlNyKzZTbnA5dlZCaUtpMnhsREhWRURxSzJuS1RnNDJPYjJaNTk5RmxldlhnVlFPYUhoMldlZnJYT2loTUZnZ0U2blErL2V2UUVBOCtmUHh6MzMzSU9ubjM3YWRJdlQ2T1RKa3poKy9EaG16SmhoYzZ4ZWRIUzBhY3pheVpNbnNXVEpFcHc4ZVJMZHUzZkhCeDk4WURWOEdvV0ZoZUdiYjc3QmwxOStpVysvL1JaYnRtekJoQWtUMExkdlh6ejQ0SU9tZWpObnpzVE1tVE1oazhsTXQyVi8vdmxuNkhRNnJGdTNEa0ZCUVpESlpManZ2dnNzcnIrMHRCU2JOMisyZXU0RkN4YlUrajRSRVRrNmhqcWltOHdZUXFyM0dobDdpMVFxVlkxdHhwRDN3dzgvM0pRMkZCVVZJUzh2cjBiNTh1WEw0ZS92ajA2ZE90bnMxVEpYVUZDQTNOeGN6SnMzRDMvLy9YZU5rRmliclZ1MzR2UFBQMGQwZERSOGZIeE12WmVEQncvR21ERmowTDkvZjlON1pUQVlzR25USmd3Y09CQmJ0MjVGYW1vcTFxMWJoMWRmZlJValJvd3dIWFBWcWxVMXppTUlBaDU4OEVHODhNSUxwaDdRbUpnWWk5dlorZm41V0x0MnJkMXRKeUs2SFRIVUVkMGtCb01CQUV5elB3Y1BIbXkxM2tjZmZWU2pyUHE0dDVTVUZBd2VQQmhlWGw0VzVZV0ZoZkR3OExDNGJXb3dHRkJjWEd4eGpKMDdkMkxSb2tVMjJ6cDA2TkE2cnVaLzdlclRwdzhrRWdtVVNpV0dEQmxpc1gzNzl1MVl0MjZkMWR2TjRlSGhtRGR2bnVtMWVlK2tuNStmeGV2dDI3ZERwVkxoaFJkZXdOYXRXeEVVRklTMzMzNGJpeGN2UnZmdTNkR3hZMGVVbFpWaDA2Wk4rUERERHpGdDJqVFR2aEtKcE00SklUNCtQcGd3WVlKZDEweEVkTHRpcUNPNlNjckx5d0VBQ29YQ1ZEWjkrblRUMGh3R2d3SDUrZm53OHZJeTNmcmNzV05IcllzT0h6eDQwT0oxVEV3TTFxNWRheEdJakFIUTNQUFBQNC9ubjMvZTlMcW9xQWhQUGZVVWV2ZnVqUmt6WnRRNHorclZxN0ZtelJyczJiT254aGc0WTRCczBhSkZqVm03UGo0K0FHcS8zVndYdFZxTjVjdVg0NkdISGtLYk5tMU01Yzg4OHd3T0hqeUlxVk9uWXVQR2pWQW9GSmc4ZVRJR0RoeG9DblgzMzM4L0Nnc0xyUjdYVnFqbVduVkU1S2dZNm9odUV1T3lHYmFlV3BDWm1ZbEJnd2JocTYrK2dsS3B0T3VZVHovOWRJMnlzV1BIV295SDArbDBkUjVueVpJbDBPdjFHRGR1WEkxdEJRVUYyTEJoQXdZT0hHajNwSVliVlZKU2dpTkhqaUFsSlFXNXVia29MaTdHNk5Hakxlb0lnb0FQUC93UVE0WU13YkpseS9EdXUrL2lpU2Vlc0tpemJ0MDYwNUltQUxCcjF5NGNQbndZNTgrZlI4dVdMZUh2NzQvSmt5ZmZrbXNpSW1wc0RIVkVOOG0xYTljQVZONWF0S2Fpb2dJQWJDN29hODFQUC8xazhUb21KZ1pMbHk2dHM2Zk9YRTVPRHVMaTRsQlJVWUhWcTFmajJXZWZSVVJFQklESzNzTVBQL3dRQVBER0cyL1UycGJhbG1teHRpMHNMQXpidG0wem5lZk1tVFA0L2ZmZkFRQ2Zmdm9wcEZJcEFnSUNvRktwTUhMa1NLdXpmRU5EUS9IeXl5OWoxYXBWR0RCZ0FMcDI3V3F4M1h5ZjlQUjBiTjY4R1o5OTlobEdqUnFGQ1JNbVlOS2tTYmg0OFNJZWVPQ0JXcStOaU1nUk1OUVIzU1FwS1NrUUJNSG1FaVRHeDJUWnUvQXdBQXdZTUtCRzJTdXZ2RkpqVEYxdC9QejhzR3ZYTG16YnRnM3IxNjgzUFY3cjJXZWZ4WTgvL29oang0N2hzODgrczdsd3I1RzFjWE8xamFrekQ2Lzc5Ky9IMUtsVElaZkwwYTlmUHp6d3dBUG8yclVyUm8wYWhmRHdjSXdhTmNybWVVZU9ISW05ZS9maTRzV0xOVUtkVVZGUkVjYU9IWXRISG5rRTBkSFJBQ29EMzhTSkV6RnQyalQ0K1BqWTNUdEtSSFM3WXFnanVrbVNrcElRRmhabWVwcUNpNHVMeFczU1AvNzRBd0N3Y2VOR0RCOCtIRUZCUVhCMmRvYUxpMHVOWS9uNittTHk1TWsxSmliRXhNUmd6Wm8xRmoxMXhjWEYyTGR2WDYxdFV5Z1VHRFpzR0lZT0hZcjkrL2RqNmRLbHB0dWRUejc1SkhyMDZGSG45VmtiTjJmdm1Mb3VYYnJnazA4K1FaOCtmVXpYVzFKU2dtN2R1bUhZc0dHUXkrVTI5NVhKWkZpL2ZyM1Y5d2tBc3JPek1YNzhlTGk1dWVHZGQ5NngyRFpreUJDa3BxYmlqVGZld1B2dnYyOTFmVDBpSWtmQlVFY09wMHVYTG1HUmtaR3FIMy84VVY5MzdadERGRVVjUG53WVBYdjJOSlVkT1hMRTlQMzI3ZHZ4L2ZmZjQrR0hIOGJ4NDhleGVmTm1QUGpnZzNqcHBaY3M2Z0dWZy8rTlZxeFlVZU5jdHA0eXNXTEZDa3liTmczOSt2V3oya2FEd1lEang0OWp6NTQ5eU1yS1FydDI3U0NYeTdGMTYxYjg5ZGRmZVBIRkYvSDQ0NC9YR3JDdVYwaElDRUpDUWl6SzNOM2RyVTdhc01aV29Qdnp6ejh4WThZTWVIaDRZTVdLRlZhZlVqRng0a1FvRkFyTW5Ea1RlL2Z1eGJKbHkrcDFDNXlJNkhiQlVFY094OW5aK1lNTEZ5NDhHUk1UODdQQllJajE4dktLaTR1THEzczJ3UTM0NzMvL0M1VktaYkhBYmxwYUduNy8vWGRzMjdZTjU4K2Z4d3N2dklEeDQ4Y0RBSDc3N1Rlc1dyVUt6ei8vUE82OTkxNjg4c29yNk55NU00Q2FNMTdOV1p2OWFvdkJZRUJxYWlyT25EbUQ0OGVQNDQ4Ly9rQnViaTVDUTBNeGVmSmtQUDMwMDVCSUpQanp6eit4YXRVcXpKMDdGMTkrK1NXZWZmWlpQUFBNTS9EMDlBUlErYXhXclZaYjY3bHFHMi9YVUxOTkN3b0tNSFhxVkxSdDJ4Yno1czJyZFpMSG0yKytpYWlvS096YnQ0K0Jqb2djRmtNZE9TUkJFQUpGVVJ3dENNTG93c0xDUEtWU3VVMFFoTmpDd3NKZkxseTRVSDZ6ejdkMTYxWkVSa2FpVzdkdW1ETm5Ebjc3N1RmazVlVkJMcGZqdnZ2dXc3UnAwOUNwVXlkVC9mdnZ2eC85K3ZYRHZuMzdzSExsU3J6MDBrdFl2SGd4cGs2ZFd1dDVYRnhjTUh6NDhGcnJUSjA2Rlk4ODhnZzJidHlJeFlzWEF3QThQVDNScDA4ZkRCZ3dBTDE2OWJMbzZidjc3cnR4OTkxMzQ5aXhZL2ppaXkrd2N1VktLQlFLMDNsKytPRUhpS0o0dlc5TmcvSDI5c1kzMzN5RHNMQXd1eDUzZHQ5OTkrRysrKzY3QlMwakltb2N0VDkvaU9nMnBGUXF2d0R3dW8zTlJhSW83aFFFSVZZUWhMM3g4ZkZxSy91TFFQMTZtUEx5OG5EdDJqVkVSa2JpMkxGak9IbnlKUDcxcjM4aE9qcmFZdDA2YTNRNkhYYnQyb1hISG52TXRIRHh6YURWYXJGejUwNUVSVVdoWGJ0MmRqL245YzgvLzBTM2J0MXVhbHR1dGkxYnR1Q2hoeDZ5dVh6TTZ0V3JNWFRvMEJxTE4xOHZZMDlrUWtJQ2YyWVNVWlBGSDFEa2NPb0lkZWJVQVBhSW9oZ3JrOGwySFR0MnJLaHEvM3FIT25Kc0RIVkVkRHZnRHlocU1xS2pvNDhKZ3RDOUVadXdFMEFzZ0c4QWhqcjZuOXJHREJMVlJSVEZ1TVRFUk9zem1JaHVJdnZ1eHhEZEFvMGM2QUJBRkFTaDZRMGVJNkxibWlBSWZSdTdEZFE4Y0tJRU5UazNlb3VyUHJkZkJVSFliVEFZWWwxZFhYZjkvdnZ2eFZYN3I3MlI4NVBqNHUxWHFpL2pjQTZpVzRHaGpwcWJJZ0E3QU1RS2dyRFAya1NKNWtxdjF6ZnB5UkZFUkZRNzNuNmw1aUFYd05jU2llVFJvcUtpZ0lTRWhPRUpDUWsvTTlEOVQzeDhQQVlNR0dCNk5pc1JFZDErMkZOSERra1V4U3dBUHdHSTlmTHkrbTlETHo1OHUrdlVxUk9jbkp3d2UvWnNiTjI2MWVMSkRQdjI3Y09VS1ZOcTdDT1JTUERYWDMvZHltWVNFVkV0R09ySTRlaDB1bG1Sa1pGdjNzckhoTjJPU2twS2tKT1RZM3A5Ly8zM282Q2dBQmtaR1Zicng4YkdtcjVmc1dJRjR1TGlHcnFKUkVSVUR3eDE1SEJPblRwMTlkU3BVNDNkakNidnQ5OSt3L1RwMDJ1VS8vTExMeGF2NTh5WkF3Q21SNU9wMVdvY1BYb1U5OXh6VDBNM2tZaUk2b0doanFpWkdqUm9FRnEwYUlHclY2OWkyTEJoRnRzV0wxNk16cDA3NDZHSEhzSytmZnNzdG0zZnZoMXF0UnF2dnZycXJXd3VFUkhWZ1JNbGlKb3hoVUtCaFFzWFdnUzNRNGNPWWYzNjlWWWZzV1V3R0xCaHd3YjA3ZHNYblR0M3ZwVk5KU0tpT2pEVUVUVmpNVEV4ZU9hWloweFB6OGpMeThQTW1UTXhiTmd3M0gzMzNUWHFIemh3QUZsWldSZzdkdXl0YmlvUkVkV0J0MStKbXFucWo3NHlud2l4YWRNbWJOcTBDUUF3ZWZKa1UzbCtmajRNQmdNU0VoTFFzbVhMVzlOUUlpS3lDME1kVVRObEh1SnFrNXljYlByKzJXZWZoU2lLbUQxN05nSUNBdENyVjYrR2FoNFJFZFVUUXgxUk0yV2N6VnFYczJmUFdyeCs3cm5uY09yVUtjeWJOdzlidDI2RlJNSlJIRVJFVFFGREhWRXpWdjBXYkhYR3NYYlZEUjgrSEMrOTlCS1NrNVBScVZPbmhtZ2FFUkhWRTBNZFVUTzNkT2xTaElhR1dwU2xwNmZYT2hraUlpSUNBSkNkbmMxUVIwVFVSRERVRVRWem9hR2hkdCtLTlVwTFN3TUFlSHQ3TjBDTGlJam9lakRVRVpGZHZ2dnVPL3p6eno5d2MzUEQwYU5IRVJBUXdMWHFpSWlhRUlZNm9tWXVQVDNkcmpKZlgxOWN2bndaT3AwT0hUdDJ4QnR2dkFHcFZIb3Jta2hFUkhaZ3FDTnE1dXhkU0hqZ3dJRVlPSEJnQTdlR2lJaXVGME1kVVRNWEd4dGJZMHhkU2tvS0JnOGUzRGdOSWlLaTY4SlFSOVNNYmQyNkZjSEJ3VFhLdzhMQ3NHUEhEZ0JBang0OXNHYk5tbHZkTkNJaXFpZUdPcUptTER3ODNHcTVzN016UWtKQ0FGVE9jTDN6emp0dlpiT0lpT2c2Y0NsNElpSWlJZ2ZBVUVkRVJFVGtBSGo3bGNpR3VoNmhSVVJFMUpTd3A0Nm9HbEVVNHhxN0RkVDA4TjhGRVRWMTdLa2pxaVl4TWJGZlk3ZWhxVkFxbFNJQUpDUWtDSTNkRmlJaXFoMTc2b2lJaUlnY0FFTWRFUkVSa1FOZ3FDTWlJaUp5QUF4MVJFUkVSQTZBb1k2SWlJaklBVERVRVJFUkVUa0Foam9pSWlJaUI4QlFSMFJFUk9RQUdPcUlpSWlJSEFCREhSRVJFWkVEWUtnaklpSWljZ0FNZFVSRVJFUU9nS0dPaUlpSXlBRXcxQkVSRVJFNUFJWTZJaUlpSWdmQVVFZEVSRVRrQUJqcWlJaUlpQndBUXgwUkVSR1JBMkNvSXlJaUluSUFESFZFUkVSRURvQ2hqb2lJaU1nQk1OUVJFUkVST1FDR09pSWlJaUlId0ZCSFJFUkU1QUFZNm9pSWlJZ2NBRU1kRVJFUmtRTmdxQ01pSWlKeUFBeDFSRVJFUkE2QW9ZNklpSWpJQVREVUVSRVJFVGtBaGpvaUlpSWlCOEJRUjBSRVJPUUFHT3FJaUlpSUhBQkRIUkVSRVpFRFlLZ2pJaUlpY2dBTWRVUkVSRVFPZ0tHT2lJaUl5QUU0TjNZRGlLaHBpSTZPRGhFRTRUVnIyNVJLNVhUejE2SW9ya3BNVE15NEpRMGpJaUs3TU5RUkVRQkFxOVhteU9YeXNRQjhyR3oreU96N2ZJbEVNdnNXTll1SWlPekUyNjlFQkFENDU1OS90S0lvYnJlajZyYjQrUGlLQm04UUVSSFZDME1kRVprSWdoQnJSelY3NmhBUjBTM0dVRWRFSnA2ZW5nY0FsTlJTcGJpb3FPakFyV29QRVJIWmo2R09pRXppNHVMS0FPeTB0VjBRaEowWExsd292NFZOSWlJaU96SFVFWkVGVVJSdDNsNDFHQXk4OVVwRTFFUng5aXNSV2REcjlYdWNuWjAxQUZ5cWJkTG85ZnE5amRFbW90dEJ1M2J0NUQ0K1BoYXp4L1Y2UFFDZ1c3ZHVRZWJsK2ZuNStlejFwcHVOUFhWRVpPSFVxVk9sQUt5RnR6MVYyNGpJQ2g4Zkh4KzlYcCtoMSt0VnhpL2pOdk15dlY2ZlhqMzhFZDBNREhWRVpFMk4yNngyem93bGFyYisrdXV2VEFDSDdLaDZ1S291MFUzRlVFZEVOUWlDc0JPQStWcDBXbWRuWjVzVEtJaW9VbTFqVXMxc2FmQ0dVTFBFVUVkRU5jVEh4eGVLb21pK2RNbUJZOGVPRlRWYWc0aHVFd2FENGFlNjZ1ajErcDl2UlZ1bytXR29JeUpiWW0xOFQwUTJuRHg1TWgzQW43VlVPVnBWaCtpbVk2Z2pJcXVrVXVrMjQvZk96czcyUEQ2TWlGRDcrRk9PVGFXR3hGQkhSRllkUDM0OEY4QXZvaWdlcVBxZWlPeFFVVkZoTTdoVlZGVFVlWHVXNkhveDFCR1JUYUlveHJKbmdhaCtUcDA2ZFJsQW9wVk5DVlhiaUJvRUZ4OG1JcHRrTWhrSGRCTmRuMWdBMFZiS2lCb01ReDBSMlhUczJMR3N4bTREMGUxSUVJUllVUlJubVpkSkpCS0dPbXBRdlAxS1JFUjBrOFhIeHljRE9HMThMUWpDUHlkT25EamJpRTJpWm9DaGpvaUlxQUdZTDBSc01CallTMGNOanFHT2lJaW9ZWmlDSENjYzBhM0FVRWRFUk5RQUVoTVRUd0c0Q09CQ1FrTEMvelYyZThqeGNhSUVFUkZSd3hBQnhBcUNJRlo5VDlTZ0dPcW8yWXVPamo0bUNFTDN4bTRITlMyaUtNWWxKaWIyYSt4MjNLNzR1Zm9mVVJTaFZDcmZhK3gyTkFYOFhEVXMzbjZsWm8rL2VNZ2FRUkQ2Tm5ZYmJtZjhYSkUxL0Z3MUxQYlVFVldKajQ5djdDWlFFeEVURTlQWVRYQVkvRnlSRVQ5WERZODlkVVJFUkVRT2dLR09pSWlJeUFFdzFCRVJFUkU1QUlZNklpSWlJZ2ZBVUVkRVJFVGtBQmpxaUlpSWlCd0FReDBSRVJHUkEyQ29JeUlpSW5JQURIVkVSRVJFRG9DaGpvaUlpTWdCTU5RUkVSRVJPUUNHT2lJaUlpSUh3RkJIUkVSRTVBQVk2b2lJaUlnY0FFTWRFUkVSa1FOZ3FDT2kyNEpXcTRYQllMQzd2bHF0aGw2dmI4QVdFUkUxTFF4MVJOY3BKU1dseHBjeGRDUWxKV0hRb0VISXlNaTRvWFBFeE1RZ0pTWEZycm8vL2ZRVDh2THliRzZmT1hNbVB2amdnM29GSTNONnZiN09MM08vLy80Nzl1L2ZYK2R4WTJKaXNHTEZpbHJyRkJRVW9HZlBub2lMaTBONmVycGQ3MnVmUG4yd2UvZnVPdXVSWTJwcW4wK2pyS3dzdlBYV1d6ZDAzdXJtekptRHVMaTRtM3BNdWowNU4zWURpRzVYZ3djUHJsRzJmLzkrK1BqNFlPSENoUWdPRGdZQWkxOGNVcWtVL3Y3K05mYXI3WmRMZG5ZMlpES1oxVzBoSVNFQWdNTENRbno5OWRkWXNXSUZac3lZZ1Y2OWVsblV1M1RwRXJadjM0NVhYbmtGRW9uMXYrVkVVVVJxYXFyTmRsaTczdXAyN05oaGF0UE9uVHZ4eXkrL1FDS1JvSC8vL25YdVd4dTVYQTZnTWxndVhMZ1FmLy85TitiT25Zc2VQWHJjMEhISmNUV2x6NmM1alVhRG8wZVA0cGxubmpHVlBmend3MWkrZkxuTmM3ejMzbnNXOWF2NytlZWZFUkFRZ0w1OSs5cXNRODBEUXgzUkRZaU5qVVdyVnEzdzg4OC9ZOVdxVmZEeDhjR21UWnZ3Zi8vM2Z3Q0FRWU1HV2RTLzQ0NDdzSEhqeGhySHFWN1AzSmd4WTJ4dWk0K1BCd0I0ZVhsaC9mcjFtREpsQ3NhTkc0ZHg0OGJoeFJkZk5OVmJ1SEFoMnJkdmoxR2pScG5LRWhNVElaUEowTGx6WndDVnYyeHNCYmZZMkZnQXdOYXRXd0VBbVptWkdEMTZOSDc2NlNkSUpCSlVWRlJnNk5DaEZ2dDgvUEhIS0N3c3hOU3BVeUdWU25IZmZmZlp2STY2R0VPZFZxdkZ6Smt6TVhueVpMejk5dHRZc21RSmV2YnNDUURZdlhzM3BrMmJabnBQaUpySzU5T2FtVE5ubXI3MzhmRkJVRkFRVnE5ZWplKy8vOTVVZnVMRUNienp6anU0NjY2N2JCNUhyOWZEWURDWVBpUFV2REhVRWQwRXUzYnR3bU9QUFliejU4OWo2ZEtsbURGakJoNTc3REhUOXZQbnorUEZGMS9FQXc4OFlQTVl4bDlBNW1KaVlxeVdwNlNrMUFoZ1hsNWVXTFpzR1Q3OTlGTW9sVXBUK2Q2OWU1R1ltSWh2di8wV3pzNy8rOGl2WGJzV0tTa3AyTFJwRXhRS0JWeGRYVTIvaEtxZjEzaUxLVHc4M09LY1lXRmhjSEp5Z2xhcnJYRTlVcWtVOCtiTnc4c3Z2d3lWU21YenV1MGhrVWdnazhsUVVWRUJkM2QzZlBiWlo5aXlaVXV0dit5SWpCcjc4MmsrTk1INGZidDI3U3oyNmQrL1A1WXNXWUkvL3ZnRC9mdjNoOEZnd0ZkZmZZV0hIbm9JYmRxME1kWGJzV01IaW91TFRhOTFPaDBBNE5TcFU5aXdZWVBWdHZmdjN4OEJBUUUycjQwY0IwTWQwUTFLUzB2RHlaTW44ZFpiYjJIaXhJbm8wcVVMbEVxbDZaYU5LSXI0OE1NUDBhWk5Henp5eUNQSXlNaEFRRUNBUmNBQ2JOL2V0T2UyWjJscEtSUUtCWnljbkRCeDRrUlRlVlpXRnViTm00Zi8vT2MvYU4rK3ZjVSswNmRQeHpQUFBJT2xTNWRpMHFSSmRsMnJNZHhsWm1hYVhqczVPYUdpb3NKcWZROFBEMnpjdUJGU3FkU3U0OWRHb1ZDZ3JLd01XVmxadUhEaEFzckx5ekZyMWl4Y3ZIZ1JJMGFNdU9IamsyTnFDcC9QN3QyNzExbTJiTmt5akI0OUdnc1dMSUJTcWNSMzMzMkh6TXhNZlBiWlp4YjFWcTllamF0WHI5WTQzc0dEQjNIdzRFR3I1NCtLaW1Lb2F5WVk2b2h1ME5hdFc5R3RXemVvMVdvRUJRWGgzTGx6Tm0vWFBQNzQ0d0NzLzlXL2N1VktoSVdGV1pRTkdqVElhdm5WcTFjdGJ2dTgvLzc3S0Nnb3dNY2ZmNHpXclZzREFFcEtTdkR1dSsraVY2OWVlUHJwcDAxMWRUb2R5c3JLb05QcDhQTExMMlB4NHNWNDZLR0gwTFZyMXpxdnRmb3ZNRnZqZklxS2lpeUNucmUzTjV5Y25PbzhmblZuejU1RlltSWl6cDgvajdLeU1peGF0QWdMRml5QXQ3YzNXcmR1amRhdFcyUGd3SUdJakl4RVVsSlN2WTlQanE4cGZEN2o0K09oMSt1eGRldFdEQm8wQ0QxNzlrUnNiQ3l5czdQUnNXTkhlSGg0QUtnTW1JY1BIOFp6enoySDR1SmlmUDc1NS9EMTliVTQ5clp0MjJxMGU4Q0FBWGowMFVjeGZ2eDRpL0trcENTTUdESEM1cGcvY2p3TWRVUTM2SysvL2tKMGREVHV1ZWNlOU9qUm84N3dFaE1UWS9GYXA5TmgxYXBWVmdkbzJ4SVVGSVJWcTFaQnA5UEIyZGtaWThlT3hjU0pFekY4K0hDODk5NTdHRGh3SUY1ODhVVmN1WElGbVptWkdEQmdBTXJLeWxCZVhtNTFtWSs1YytkaS9mcjFOaWRSR0Jsdno2YWxwZUhKSjUvRThlUEhUYmRmaldQYkFHREtsQ2s0ZXZTbzZmV0dEUnNRR1JsWjQ5cU4xcXhaZ3pWcjFsaVVSVVZGb1hQbnpqaHg0Z1JhdFdvRnJWYUx4WXNYbzB1WEx2RHg4YWx4RElZNnNxWXBmRDYxV2kwKytPQUR4TWZISXpvNjJuVGNEUnMyNEo5Ly9zSDc3NytQQng1NEFPZk9uVU4rZmo2S2lvb2dsVXB4L3Z4NVJFVkYxUWhseDQ4Zmg2K3ZMOXEyYlF0UkZGRlVWQVJ2Yis4YTdUQU9pOURyOVRoeDRnU0hLelFEREhWRU4raXR0OTdDMkxGak1XellNSVNFaE9DSko1NndlbnZFbHRUVVZMejIybXMydDljMkVIdno1czFvMjdZdDJyZHZqMisvL1JidnZQTU9FaElTOFBqamo2Ti8vLzdJeXNwQ2VIZzRmSHg4NE9ucENVOVBUN2k3dThQVjFSVnVibTV3ZFhWRmFtb3FSb3dZZ1UyYk5tSDkrdldtOFcvR1hybXdzREFzV2JMRTd1c0JnQVVMRmtDbjArSDA2ZE40NDQwM1RPWEdDUmZtQmc4ZWpDRkRodUM1NTU2ektKZkw1YVlaaW1WbFpmajExMS9Sc21WTFU2QXpHQXdZUDM0ODdycnJMcnowMGt2MWFoODFINDM5K1d6ZHVqWEdqQm1EOVBSMHJGcTF5alErenRuWkdaOTk5aG4yNzkrUHJLd3NUSmd3QVVlT0hNSGpqeitPSlV1V1lNZU9IVmkyYkJtKyt1b3JQUGpnZ3hnNmRDaGF0MjROZzhHQTZkT25vMlBIamxpMGFCRUtDZ3FnMCtuZzUrZFg0L3pHM3ZMRXhFUjgrdW1ucHA4WDVMZ1k2b2h1VVBmdTNkRzVjMmY4OE1NUGVPZWRkL0RkZDkvVnVoYWN0Y0hZRW9rRWYvMzFWNDF5V3dPeEFhQmJ0MjRXcjcyOXZmSEZGMStZZXVMZWZQTk51OW9mRlJXRmYvLzczN2pubm52UXAwOGY2SFE2REI0OEdFdVhMa1ZvYUNpa1VxbnBsMFAxWGd4clk0VUF3TVhGQlFEZzZ1cHFVVzd0T29ES1NSNjJ0Z0dWNCtrOFBEeVFsWlZscXZmMTExL2o5OTkveDZPUFBtckhWVkp6MWRpZlQ0bEVndWVlZXc3Lyt0ZS80Ty92aitMaVlreWFOQWtLaFFMRnhjV21IdTYwdERTc1hMa1NrWkdSQUNwdkJmZnExUXRidDI3Rjd0MjdUWCs0SER4NEVGbFpXWmc3ZHk0QUlEMDlIUUJNZndDWk0vYlU5ZXZYRDk5OTl4MSsrT0VIVEowNjFlYTEwKzJQb1k3b0pqQXVkR3N3R0tCUUtLN3JHTGJXd3FwdEhhenFuSjJkTGVyYXV6Q3F0UUFZR2hwYVkvYXJzYWN0TXpNVGI3NzVKalp2M215YUtQSHNzOC9hZGE3cjFhcFZLNlNscGFGSGp4NzQ3YmZmOE9XWFgyTDQ4T0Y0NktHSEd2UzhkUHRyN00rbmNaMUc4MW14OCtmUHIxRnY4K2JOTmNxT0h6K09zV1BIUWlLUlFCUkZmUDMxMTFBcWxlalNwUXVBeW5HbkFLejJ3SldYbHdPby9PUHEwVWNmeFk4Ly90VDhmS2tBQUNBQVNVUkJWSWdKRXliVStHT0xIQWRESGRGTkVCQVFnR3ZYcnVIUFAvL0UyMisvWGUvOURRYUR6Y0hidGQzZXFXNysvUGtvS0Nndy9SVnZ6OHc4b1BiMXRJREtRR1VjUHdmQTlOOVdyVnFadmpmZjNoQTZkKzZNTTJmTzROaXhZNWd5WlFyNjlldUhjZVBHTmRqNXlIRTBsYytua1QxcktSckhyUUl3alhYZHZYczN6cDQ5aXkrLy9OSlU3OWl4WTRpSWlMQTZwcTZzckF4QTVWQ0doeDkrR092V3JjTytmZnZ3MUZOUDFidk5kSHRncUNPNkFjbkp5U2d0TGNYQmd3Zmg2K3VMYnQyNldUd2E2N3Z2dnNQQWdRTXRackF0WExnUWJtNXVwdGYrL3Y2WU9uV3F4UXhWQURoNThpUjI3TmlCTjk1NEF5MWF0S2h4N3A5Kytxbkc0TzBqUjQ2WWJ0OFkyYm85QkZoZjc4NVdQWFBWbHpReENnb0t1dTZla0xyMDd0MGJVNlpNd2U3ZHU5RzllM2ZNbmoyN3pva2QxTHcxdGMrblVmV2hFL2E2ZHUwYWV2WHFaWnJ3Y08zYU5SdytmQmpEaGcyeld0ODgxTjF4eHgyWU9uVXE3cm5ubnVzNk45MGVHT3FhSG1jQXVzWnVCTm5uMTE5L3hjR0RCK0h1N283Smt5ZGp4NDRkdVAvKysvSEVFMC9naHg5K3dOOS8vNDFUcDA3aHE2KytncE9URXk1ZXZBaFhWMWVMUWMxbFpXWHc5ZldGd1dEQXRXdlhNR2ZPSEN4WnNnU3paODlHUlVVRk1qSXlhdnpTS0M0dWhrcWxzdmpsYytIQ0JhaFVLb3VKQ1RlRFdxMjJHZnlxTDJteVlzV0tXaC9kbFp1Yml6Tm56cUIzNzk3MWJvZUxpd3VLaTR2UnQyOWZ6SjA3MTdTT1dIeDhQT1J5T2Z6OC9HeU84YVBtcVNsOVBzMVpHNTlYblhsUG5kSElrU014Y3VSSTArdkZpeGZEWUREVWVKcUxrVWFqZ2JPenMra1ByK3JCbEJ4UHMvZ3oxOHZMYTBpN2R1MzJ1THE2MW53UVg5MmNaREpaaCt2OXNuWkFwVklwMnRqbWUrZWRkK2JMNWZKSUs5dnM1UkVVRlBTUmk0dExhRzJWM04zZG84TEN3aFlBRUtwdmk0Nk8xdm43KzFzOGNWcXBWSXArZm42amI2QmREdW4xMTEvSHI3LytpdDkrK3cxQTVRS2lnaUNncEtRRUVva0U4K2JOUTJwcUtrNmRPb1ZEaHc0aExTME5SNDRjc1ZpK1kvdjI3WmcvZno0RVFZQkdvOEdSSTBjQUFFdVhMb1dIaHdkZWZmVlYwMkRvdVhQbllzS0VDVkNyMWRpeVpZdkZ3cVJ4Y1hGd2RuYkd2ZmZlZTFPdTdadHZ2c0h6enorUHdZTUhJejQrM3VMTCtMaXc0OGVQVzVUWEZ1aDI3dHlKSVVPRzROQ2hRL1ZxUjBWRkJiNzg4a3U4OWRaYmFOR2loZWtYbFpGeG5GRDM3dDJ4Y3VYSzY3dFlja2hONmZOcHJsdTNiblYrMVJYQXZ2amlDK3pmdng4alI0NUVhS2oxSC9jcWxRcWVucDcxZnQvbzl0VWNldW84SXlJaWxtbTEyck02bmM1VEpwUFo5Uy9jeWNtcFJLUFJYQVhnSHhVVmRlWjZUNTZRa0NCMDdkcTF3TW5KeWN1OHZQb3hFeElTQkI4Zm40ZTFXdTNWOHZMeXM3YWFKWlBKMmx2Ym9OVnFrd0hBMTlmMzZlRGc0QThLQ3d0WDE5WXVRUkI4L1AzOUoxUlVWT1JtWldYTnJjY2xrUmxuWjJmVFdKWk5temJob1ljZXNoZzBIUmdZaUczYnRzSGQzUjNUcDArSFZxdkY1TW1UTVduU0pQVHAwd2Z0MjdmSDl1M2I4ZWlqajBJUUJBakMveksyOFZtUUowNmNNUDNRUG52MkxFcEtTaEFZR0loSmt5Ymhndzgrd0YxMzNZWDc3cnNQKy9mdngxMTMzUVYzZDNlTE5wYVdsbG84VnFqNk5xUGMzRng4L2ZYWGlJdUxBMUFad2pwMjdHajN1RHhyakxkL3BrNmRpc3VYTCtPcHA1NnExemk0ZmZ2Mllmbnk1YVpnVjFCUWdMRmp4MkxyMXEybVhveUxGeSthQm8wYkdRZUltNytmMVB3MHBjK251ZXZ0cVFNcS84aFpzR0FCWW1OajBiOS9mN3orK3VzQUtnT2NjYWtpWjJkbm5ENTlHbnYyN0tueDJTREg1dkNocmxXclZpdWxVbW1RVkNvTnFrODRLeXdzM0hYeDRrWFR3d0V2WGJyMFZFRkJ3VmJ6T2pLWnJMT3ZyKzl6S3BWcU9xcmRNdlgxOVIzWnNtWExid0RnNU1tVExXSFdJNlpVS3ZPVGs1TzdxOVhxOCtiN3RHalI0am1GUXRGQnFWU0sxZHR6NXN5Wm5ocU5Kc1hXTlNRa0pBaFZ4eGllbDVmM2cwYWpTYS90K29xTGl3OW5abVpPRHdrSm1WbGNYUHlyV3EydSs2Y00yWFRpeEFtY1BuMGFzMmJOZ2x3dWgwd21RMXhjbktubktqazVHVWVQSHNYTEw3K012bjM3WXRhc1dXalhyaDIyYjkrT3pNeE1VM0R5OXZhR0lBall2bjI3NllkeFNFZ0lVbEpTa0p5Y2pLU2tKTk1zMDBjZWVRVDc5dTNEK2ZQbkVSUVVoSXNYTDFwOXdvTzlhN2pKWkRMRXhzYWljK2ZPZVBIRkY5R3ZYejhFQmdZaUpTWEY3akYxQU5DeVpVdlRMNzhEQnc0QXFBeDNLMWV1clBmdDBaeWNISFR0MmhYLytjOS9URDBPWThhTXdlelpzNUdkblkwdVhib2dKU1VGdzRZTlEwNU9Ecjc4OGt1NHVycWEyaHNVRkZTdjg1RmphdXpQWi9WUVoyc1I3cnFrcHFaaTh1VEpPSHYyTElZTkc0WjMzMzNYTks3MGswOCt3ZSsvL3c2ZzhvOFpVUlFoazhud3lpdXZYTmU1NlBiazBLRXVNREJ3Z28rUHo3Qno1ODQ5VUZKU1l2MmhlRGZBeGNXbFkzQnc4RlNWU2pVTHRZK0RLNHlPanJiWUhoa1plZFQ4OVprelo5cDdlWGs5Y3ZYcTFYZUxpb3BpQVNBZ0lPQjlIeCtmNTVPVGsyUEt5OHV2QUNnM2hqY2o4L0FvbDh2YmVuaDRQQUJBOFBYMUhXNnRJU3FWYXJaS3BmcWc2dnU1WGw1ZVQzbDdleitxVnF2UEtKVktVM2RPZUhqNHN2RHc4R1htKzBaRVJLeU1pSWhZQ1FBSkNRaytBQXBxZllPYWtidnV1Z3NiTm13dy9jVSthdFFvTEZ1MkRBc1hMZ1JRK1hENzZPaG8wd3k2Qng5OEVFRGxzaUZ2dmZVV0FnTURBVlN1MS9iNjY2OWp3WUlGVUt2VkZ1ZVF5K1hvMmJNblJvMGFaU3BidkhneEpCSUpmdnp4UjBna0V2VHAwNmRHMjlhc1dZUHc4SENyN1U1TFN6UDkwUGZ3OE1EKy9mdHIzSzZwcmFmT1dvZzhmUGl3YWNtRWUrNjVCK1hsNVpnMGFaTE44VVcxZWVHRkYycVVqUm8xQ21GaFlWaTdkaTNXckZtRDZPaG9EQnc0RUhLNUhDZFBub1JPcDRPVGt4T2VlKzY1Ni83bFNZNmxzVCtmMVIwK2ZMak9OcWVucDlkWUpzakx5d3VpS0dMKy9QazExdE1iTW1RSTJyZHZENTFPQjFFVTRlbnBpUUVEQnFCbHk1WjFub3VveVd2Um9zVy9sVXFsSVNBZzRCMjVYTjdPM2pGd0xpNHUxWC83QlNtVlN0SGIyL3RKb0hKc1dXMWZIVHAwT0FGVWhpM3pIamVsVWluSzVmSjJ4dStOWStya2NuazdwVklwUmtSRWZOV21UWnZ0YmR1Mk5mVUdkdXJVNlovdzhQRFBhN3RPOC9PRWg0ZC8ycUZEaHhQVnJ5azZPcm9zSkNSa2V0VTVxeTg3Ymx5d1NERFdWeXFWK3BDUWtJL05qNkZVS3NXZ29LQ1B6TVlLM3ZUeG1NYjM4R1lmMTk3ejF0ZXVYYnZFa3BLU2V1L1hVSzVldlZxamJQbnk1V0orZnI3TmZmTHo4OFhseTVjM1pMUHFsSmlZS0twVXFrWnRRM1dOOVcvUmtWenY1K3BtYVdxZlQxRVV4Y0xDUXZHYmI3NnhxMjVSVVpINHpUZmZpQWFEb1dFYmRRdnhjOVh3SExLbnpzM05yV3VyVnExV3ExU3EyZG5aMlN1am82T0xCRUd3NjFxcjMzYXRMaWtwcWFQeGV5OHZyd2ZEdzhPWG5EMTd0bXRGUllVV0FDUVNpZVo2MnV6czdPeDc2ZEtsNTZLaW92NXhjM1A3bDdPemM3QlVLZzFPUzB1YlplY2hmSDE5ZlYvVmFyVnB4dkYxVlh3RVFaQ3IxZXFUMWNxTmpIOXVpdWJiS3lvcXNxclgxK2wwTmNxYXM0RURCeloyRXl4WUd5eGQxMHhZYjIvdm16NWJ0cjd1dlBQT1JqMC9PYWFtOXZrRUFFOVBUNHZacTdYeDhQQ3d1eTZSa1VPR3V0TFMwcFBuejUrL3Q3aTQrSWlMaTBzUFFSQ2N6NXc1MDBPajBSd0g0TkcyYmR1TjE2NWQrN3lvcUdpditYNlJrWkcvR3d5R2t0cU9iUjVxdEZwdFZOWDV6Z0VvcTIwL3RWcDlzbVBIamljbEVva0NxSndvSVlxaVhoVEZjclZhZmZMU3BVdlBBTkNscEtTOEhCNGUvbzJUazVQSHBVdVhYZ0tRYWM4MWg0YUdUaEZGMFNDWHk5c0RVQmpiNCtMaWNnY0FWRlJVWERMV0RRd01IQjhhR3ZxcDhYWDFXN29BQkVFUStOY1VFUkhSYmNRaFF4MEFGQmNYSHdFQUR3OFBwU2lLT28xR2M2cHFVMGxwYWVueGR1M2E3Y3JNekp5WmtaRXgzYmlQUkNKeHJTWFUyZXcyVmlxVkZyMXphV2xwYjFjL1RuSnk4cDF1Ym00UCtQajREQW9JQ0JoWFVWR1JYbDVlbnBhWm1UbTlxS2hvWDFVMW1ZK1B6eUJYVjljWUFHSndjUEJVaVVSU1hsaFkrQXNBc2VwY1Z0dmc0dUlTcFZLcDNnc05EVjNxNGVFUlUxeGMvRHNBdUxtNWRSRkZVVmRhV21xYVVadVZsYlV1UHo5L3I3ZTM5OEN3c0xCRjFRNGxBU0FZYW5zNEloRVJFVFU1amhycTNPVnllUkFBdUxxNjl0WnF0U2x5dVR6TXVERS9QMytES0lvNlVSVHpqZVBjQU1ESnljbExGRVZuWTFsNWVma0ZWMWRYQ1FEbzlYcTkrYTNYMm1pMTJreGZYMS9UWEhRM043Y3VnWUdCMHdBSWx5NWRlajRnSUdCY2FtcnFLOTdlM2srMmJkdDJaMkZoNGJhOHZMenZRMEpDNXNqbDhyWXBLU24vMXVsMG1SRVJFViswYmR0MmYzbDVlY3FGQ3hjZU5pNTFrcDZlUGlVL1AvOW5BUER4OFhrcU5EUjB6b1VMRjE0QWtOK2lSWXZYM2R6Y0hqQ0dPbGRYMTE1bFpXVkpzT3hKek5kcXRma1ZGUldtKzE3Vnc2TDVwQWhyWlRrNU9ldXVYTGt5MHA3M2c0aUlpQnFlUTRZNkh4K2ZKMXUzYnYyZGVWbm56cDNQVzZzYkZoWm04ZHJQejYrMW41L2ZDS0R5dHFRb2lzNEFJSkZJdEZXM1htVXltYXlOclhOWEgzTW1sOHZiUlVaRy9wMlptVGt2SXlOaktnQURBSlNWbGFWZXVYSmxURlpXMW1jeW1Td2dNREJ3aWlpSzVXZlBudTJwVnFzVEFDQXBLU2t5SUNEZzN5NHVMbmVacjEybjArbFV4dk1VRlJVZGxNbGt5d0hrQUVCSlNja0JiMi92cHpNek16OEdJUEh5OG5vb0x5OXZRMTN2bVRHd2VuaDRkR3Zac3VXM0Z5OWVIS3JSYUpLTTI2T2lvczVrWkdSTXo4dkwyMVIxbllWMUhaT0lpSWh1SFljTWRmbjUrZXZ6OC9OL0FDQ0xqbzR1U0U5UGZ6ODdPM3NwQUxpNHVBU0doSVFzVDB0TG02elZhaTJDWHRldVhmT3lzN1BucVZTcWVjWXlnOEhnVXZWZkRRRElaTEkydGExM2w1Q1FJSVhaOGlibDVlVVhrcE9UNzFLcjFSa0toU0lDcUF4UUVvbWtYS0ZRdEFKUVhsRlJrWmFSa2ZHaHdXRElCV0NvS2djQUZCVVY3YzdPemw1aDYzd2FqZVpZV2xyYU1lUHIzTnpjMklDQWdIZGRYVjI3T1RzNyswbWwwcUM4dkx3dGRiMW54cEFvbFVxSGlhSllVVmhZdUFOQXVYa2RUcFFnSWlKcXVod3kxS0Z5L0puTzFkVzFpeUFJMHFxZUx4MEFhRFNhSWxFVUpSMDdkanlXbXByNmt0bUN3b0tUazVPYlRxY3JoRmtvazBna0xRQkFGTVY4OHhOVW4xd2dsOHZiMmVvTlZLdlZDWGZjY2NjUmQzZjNYdGR6TVZZbU10aWswV2orMUdnMGZ3Y0hCMy9rNU9Ua3BkRm9UbWswbXFOMTd3a0FVUGo3Kzc5V1dGaTRFOVVDSFJFUkVUVnRqaHJxQUFBS2hTSWFBRXBLU3Y0Mkt5NitkT25TazJGaFlmT3FBcHlST3dDSndXQW9xbmFNbGxYSHFQVUpEWFU1ZCs1Y2J3RHc5UFI4dUtpbzZEQUEwL09abEVxbG1KU1UxUEY2ZXNGY1hGeEMvZno4cHFhbHBVMEdVQWhVanJscjE2N2RiZ0M0Y09HQ3plVlpxb3VJaUZncWxVcURyMTI3Vm4zeUJCRVJFVFZ4RGgzcXBGS3BQMUQ1V0M1cjJ3TUNBdDZ0WHRheVpjdDFMVnUyWEtkU3FhYXBWS3BaN3U3dTkycTEyaXNBTEk1eHZRc290bXZYYm8rMUFHZnRscTVPcDhzOWRlcFU5Y1dDQVFBdUxpN2h2cjYrNy9yNityNG1pbUpKZG5iMjR2THk4c0txYlpGVjFRek96czd1MXZZSEFGZFgxN3VNM3dZRkJiM3A1K2YzYWxaVzFtTGpKQXNpSWlLNmZUaDBxTXZLeWxxVm41Ky90ZTZhZ0xlM2Q3K3dzTEFWbHk1ZGVrS3RWcC9UYXJYWEFMajQrUGc4VTFCUUVGdTlmaTB6WVhVQUlJcWlrNDN0VnAwOWU3YS9YcSsvYUY0bUNJSytXalUzQUFnSUNKaWdVQ2hXNmZYNndxeXNyT21abVptZm83TG56NjkxNjlZcmZIeDhodWJsNVgwcmtVamNXclZxdGRIZDNiM1hsU3RYcGdJd1BRYk0xOWQzUkdCZzRJU0tpb3IwaUlpSVJWZXVYUG1QWHE4dnYzYnQyakpZVVZoWXVFMnIxVjZ1enpVUkVSSFJyZVBRb1E1QW5sYXJ6Yk8yd2MzTjdVNUJFRHdCNU9uMWVuZHZiKzhYS2lvcU1nc0tDbllCMEFOQVlHRGcrODdPenI0NU9UbGZHZmR6ZG5ZdUtpZ29pSzNlMCtiaTRoSXFsOHZ2a2txbFlVNU9UazcrL3Y3LzF1bDAxd0RBZk9JREFFaWwwbENKUkZMcllzVkFaVEEwN2x0V1ZwYmg3dTdlSFFCa01sbnJyS3lzT1JrWkdZdFFHZFE4QWdNRDN3OEtDbnBmSXBFbzB0UFQzOG5LeXZvVWdGTndjUEQwNE9EZ0tkN2UzczlkdTNidE01Vkt0Y2JkM2YyT2lJaUlWZW5wNmRPS2k0djN0bS9mUGs0cWxVYms1ZVY5NGVibUZxWFQ2Y29GUWRCS0pCS3RXcTJ1QU9DY25wNCtUaFJGdWJ1N2U1VEJZSkRyZERxTlZxczliZS8vQ0NJaUltcFlqaDdxYkhKM2QrOXIvbFNGc3JLeTVNdVhMeitQcWtBSEFFNU9Ub3FDZ29JdGFyWDZoTEZNclZablhMcDBhVWoxNCtuMWVzODJiZHFZZWdVTkJvUG02dFdyWXdHZ1U2ZE9GajFja1pHUnYxVGYzMXFadWVUazVHNGxKU1ZIYzNKeTFsNjVjbVV5cXA0MElaZkwyM2ZvME9HNGs1T1RkMUZSMFo2MHRMVHg1ZVhsNTR6TlVxbFUwd29MQzdlRmhZVXRDdzRPbmxWV1ZwYXEwK2tLaW9xS0RtUmxaWDBDUUV4T1R1NFdIQno4VVZoWTJGZk96czUrZ2lEVTJjdVluWjA5LytyVnErL1ZWWStJaUlodURidG5WVG9vQ1FBNUtvT2Mxc3AyQVlBWGdBSTdqaVVBOEFVZ1JlWHMyendieDd6cC9QejhYaXN2TC8rbnJyRndycTZ1TVdxMU9yN3FwUWZNYnNkV1kzeGZwRlZmUm1MVkZ3Q1VBS2k0L2xiWFpCeW5XSi9admpmenZQSHg4WFZWcFdZaUppWUd3SzMvdCtoSStMbWk2dmk1YW5qTnRxZXVpZ0dBcHBidEl1d0xkTWE2T1RmY291dVFrNU96eXA1NlpvRU9zQjNvZ1ArOUw3VzlOMFJFUk5TRU5QZFFSMlJpL0N1U2lHNGVmcTZJYmgxSll6ZUFxTEdKb2hqWDJHMmdwb2YvTG00TTN6K3lodjh1aUpvSnBWSXBYdS82ZjNSejhQOEIwYzJsVkNxL1VDcVZZblIwOU9qR2JnczVQdmJVM1RocDNWV0lpSWlJR2hiSDFOMlk0S2lvcUQrdlhyMDZ6dXdac3ZZUUFNZ0FLRnhjWER6MGVyMkhrNU9UaDFRcTlYVnljdktWeVdSK1RrNU9nVktwTkZRcWxZYm01K2V2emMzTi9hNXFYNytJaUlnNVY2NWNtUVFia3pnVUNrWExWcTFhYlVwT1RyNzdCcStQaUlpSWJoTU1kVGRHVlZaV2xod2FHanEzb0tCZ0I4eld1TFBHeDhmbnVWYXRXbjFuYXgwNFVSUzFlcjIrU0svWEYrajErZ0tkVHBlbjAra3lCVUZ3TmRieDlQVHM3dVBqOCt5VksxZkdtTzBxQWVCcGVpR1JCTGk2dXZZQTRGM3RGSVg0MzVJa1JFUkU1RUFZNnV3UUhSMnRxMnRCWHFWU3FiTldmdVhLbFRFNU9UbGZWTDEwRWdUQjZmejU4NzMxZXIxR3A5TnBKQktKdXF5c3JBU1ZTNHpVdWE2ZGg0ZEg3OUxTMHYvQ0xFQXFGSXFJNmdzY1Y3WEo0bm0xQ1FrSi9taWtaVmVJaUlpb1lUSFUyVW1sVWszTHpjM2RZbnd0azhtY3RWcHQ5U0FuU0tWU2VVVkZoZWtSWUZxdE5yUDZzZXBhSkxnMm5wNmVqN2k0dU54cEhNeWVtNXU3SmlzcmF4Ynd2d1VkWlRKWmg2aW9xRE5tQ3p5Nks1WEsydGFsSXlJaW90c2NRNTJkS2lvcU1vM1BlNVhKWkIzdXVPT08vNnUrS3JaTUp1c1FHUm1aMkZDclpjdGtzZzRLaFNMcXpKa3pQZlI2ZlZINzl1MjNhelFhMHpOb3E4OWE1Q3hHSWlLaTVvT2h6azZ1cnE2OWxVcmxWK1psdGtLVGVmbjU4K2Y3RkJjWEh6SGZMcFBKT3RUbjNNWXdHUkFRTUxxNHVIaXZScU01RGlCUUxwZTNMU29xK2hGVmozdExTRWp3cUdyckhSMDZkSWczdmdiZ3BsUXFhL1FZRWhFUmtlTmdxTE9UUnFPSlQwcEttZ3NBQ29XaWRidDI3WFluSlNWMU5LOWpyVnlyMWFaV1AxWlVWTlNaK3B3N0lTRkJDc0RWejgvdnRZc1hMejRURVJHeHRxeXM3UC9VYXZWZkVvbWtRcS9YdTErNmRPa3BoVUxoQndDQ0lQaFV0Y2V2NmhDU1M1Y3VQU1dYeTczS3k4czVwbzZJaU1nQk1kVFpTUlJGamJISHpFZ2lrWlNadjlicjlWcmdmejFydGlRa0pBZ0JBUUh2aElTRWZQejMzMytIb25KV2FuVkM1ODZkay9WNmZURUFIWUFpbFVvMXBiaTRlRmY3OXUxM0pDVWxkY3JPenY2K1U2ZE92eW9VaXM3V3ptTnQ4Z1FmcEV4RVJPU1lHT3JzWkRBWWF0eHF0UmFhYWlNSWdsUVVSVDBBbEpTVS9DQUl3dnpBd01DWHM3S3lQcXRlMThQRDQxRzVYSDdINWN1WFh6U1dWYXNuQXNnNmZmcDBWSDNhUUVSRVJJNkpvYTV1RWtFUW5BUkJxTEhjaUxXSkVyWGRXblZ5Y25JWFJWRURBR3ExT2lNdkwyOURZR0RnNUt5c3JLOEJGSmxWbFlhSGh5L1FhRFQvbDUrZnY5R09OZ1lwbFVwVlhaWE9uVHYzcjVLU2tpUTdqa2RFUkVTM0dZYTZ1bmtCZ0Y2dkx6V2Y0SER1M0xsL1dadndrSlNVMUZFbWszV3dkZ3ZXMmRrNVVLZlRYVE8renNySytzakh4MmRJeTVZdEY2ZW1wbzR5bG9lRmhjMVNLQlNSNTg2ZHV4OTFMR2hzN3V6WnMxMUtTMHRWY3JuYzI4UERvMzlPVHM3UFZmczdjYUlFRVJHUlkyT29xNE5NSmdzRUFMMWVuMTJmQ1E0SkNRbk9xQmJJRkFwRmU2MVdtMko4WFZaV2Rqa2pJMk5pV0ZqWWl0TFMwcjl5Y25LKzlQSHhHUjRRRURCSnBWTE5MaWtwaWF0UFd3MEdRejZBSElsRTBqWWlJbUpsVGs3T1YxVnQ0UDluSWlJaUI4ZGY5blZ3ZFhXOUF3RDBldjBsNCszV2xpMWJmdWZwNlRuZzh1WEwvYzF2WnlvVWlqWnQyN2JkbjUrZnZ3VldldGpjM055NkZSUVViRGN2eTg3T1hxbFFLTHBHUkVTc2RITno2K0hyNnp1aW9LQmdpMHFsK3FpdXR2bjcrNzlkV2xyNnAxcXRUak12ZDNGeDZWUlJVWkZ1clExRVJFVGttQ1NOM1lDbXpzWEZwYnRPcDh0V3E5VVp4ckxVMU5SWE5Cck5YMjNhdEluejl2WitBZ0M4dmIyZnZ1T09PLzRxTGk3ZW5aR1I4WDcxNDhqbDhqdGtNbG5ya3BLU1E5VzNYYmx5WlpKV3E3M3E2K3Y3c2s2bnk3dDA2ZEticUNPUStmdjdqd29QRC85TUpwT0ZBTkJydGRwVWpVYWpBK0FSRkJRMDBjbkp5VHNvS0dnU0FEa0FVYXZWcGxaVVZOVDVHRElpSWlLNlBUSFUxY0hMeSt1eDR1TGkvMVlyMWw2NGNPSEpuSnljMVczYXRQbTVVNmRPU2ExYnQ5NllrWkV4K2NxVksyT3RIY2ZYMS9kbGc4R2dMaWdvMkdkVzdPenI2enN5S2lvcVNTcVZCdWZtNW40dmtVaGN1M1RwY2pvd01IQXlnQlpXRGhVSUFBRUJBZU11WDc0OG9xQ2dZQnVBYTBsSlNhMDlQVDJqTzNYcWRGd1FCTm5WcTFmZjhmZjNmN3R6NTg3SkxWcTBHSktVbE5TcXZMejgzRTE1VTRpSWlLako0ZTNYV25oNGVQUjJkWFh0cWxLcFpwa1ZDNjZ1cm5kNmVYazk2dTN0L1JnQVVSQUVtU0FJTWw5ZjN4RVNpY1M5dExUMFlHbHBhUklxMTVjRGdFQi9mLzgzYzNOejF3RW9WU2dVTGIyOHZGN3c4L043VlM2WHQxS3IxWDlkdW5UcGFiVmFmU0l6TTNONmFHam93dERRMERraElTSFRpNHVMRHhZWEYrOHRLaW82cXRGb2pyZG8wYUt2S0lvVmx5OWZIbEpRVUxETDA5UHpVUThQajM3ZTN0NVB5dVh5TnJtNXVldFRVMVBIQWNqTHljbjVQamc0ZUhMTGxpMi85ZlB6ZS92cTFhdHZxOVhxeEZ2OVBoSVJFVkhEWTZpclJVaEl5Q3l0Vm51NXNMRHd2MkZoWWZNVUNrVlhOemUzSGs1T1R0N2w1ZVhuOC9QemY4akx5L3U2ckt3c3hkM2QvZDRXTFZyOE96ZzQrRU1uSjZkRm9paVdsNWVYWDB4TlRSM240ZUVSSXdpQ2tKdWJPeXNzTEd4ZVFFREFKQUFvS1NuNTgrclZxLzhwTEN5TVJlVzZjeWd2TDc5NDZkS2xwMXhkWGFQOS9Qekd0V2pSNGhsUFQ4K0huWnljUHRab05NZno4dkkybFpXVm5WZXIxUWtBNE9Qak04elQwL1BCZ29LQzJQejgvSlhWbGl4UnExU3FhWGw1ZWQrSGg0ZXZVQ2dVZHpEVUVSRVJVYlBqNXViVzM4UEQ0ekdnY25KRTY5YXR2L2YzOTM5VExwZEgxcktiazR1TFMzZC9mLyt4WVdGaFN3RElBRWpkM2QzN1ZtMFBDQTRPbnVubTV2WXZlNXZoN2UzOUZHd0hjQ21xbnYxcWh5YjlOQW1sVWluYWVwNHUzUnI4ZjBCMGN5bVZ5aStVU3FVWUhSMDl1ckhiUW82UFBYVzFLQzB0L2NYNGZXcHE2b3UxMVRXajEyZzB4elVhelhIelFyUGxTYkpWS3RXMCtqU2pvS0RnNTFxMlY5VGpXUHhsVFVSRTVLQTRVWUtJaUlqSUFURFVFUkVSRVRrQWhqb2lJaUlpQjhCUVIwUkVST1FBR09xSWlJaUlIQUJESFJFUkVaRURZS2dqSWlJaWNnQU1kVVJFUkVRT2dLR09pSWlJeUFFdzFCRVJFUkU1QUlZNklpSWlJZ2ZBVUVkRVJFVGtBSndidXdGRTFEaWlvNk5EQkVGNHpkbzJwVkk1M2Z5MUtJcXJFaE1UTTI1Snc0aUk2TG93MUJFMVUxcXROa2N1bDQ4RjRHTmw4MGRtMytkTEpKTFp0NmhaUkVSMG5YajdsYWlaK3VlZmY3U2lLRzYzbytxMitQajRpZ1p2RUJFUjNSQ0dPcUptVEJDRVdEdXEyVk9IaUlnYUdVTWRVVFBtNmVsNUFFQkpMVldLaTRxS0R0eXE5aEFSMGZWanFDTnF4dUxpNHNvQTdMUzFYUkNFblJjdVhDaS9oVTBpSXFMcnhGQkgxTXlKb21qejlxckJZT0N0VnlLaTJ3UkRIVkV6cDlmcjl3RFFXTm1rMGV2MWUyOTFlNGlJNlBvdzFCRTFjNmRPblNvRllDMjg3YW5hUmtSRXR3R0dPaUlDck14d3RYTm1MQkVSTlJFTWRVUUVRUkIyQWpCZmkwN3I3T3hzY3dJRkVSRTFQUXgxUklUNCtQaENVUlRObHk0NWNPellzYUpHYXhBUkVkVWJReDBSR2NYYStKNklpRzREREhWRUJBQ1FTcVhiak44N096dmI4L2d3SWlKcVFwd2J1d0ZFalMwNk92cVlJQWpkRzdzZGpVMm4wNWwvbjZOVUtodXhOWTFQRk1XNHhNVEVmbzNkRGlJaWU3R25qcG85QmpxeVJoQ0V2bzNkQmlLaSttQlBIVkdWK1BqNHhtNENOUkV4TVRHTjNRUWlvbnBqVHgwUkVSR1JBMkNvSXlJaUluSUFESFZFUkVSRURvQ2hqb2lJaU1nQk1OUVJFUkVST1FDR09pSWlJaUlId0ZCSFJFUkU1QUFZNm9pSWlJZ2NBRU1kRVJFUmtRTmdxQ01pSWlKeUFBeDFSRVJFUkE2QW9ZNklpSWpJQVREVUVSRVJFVGtBaGpvaUlpSWlCOEJRUjBSRVJPUUFHT3FJNkpZcktpcHE3Q1lRRVRrY2hqcWltMmp0MnJXNGV2VXFBTUJnTU9DOTk5N0R6ei8vYk5lK0d6ZHV4TVNKRTZIVmFxMXUzN3QzTDk1KysyMW9OSnBhajZQWDYzSHMyREZUY0JKRkVXcTEycTR2STYxV2k0S0NnbnA5R1F3R3U2NXo3OTY5ZU95eHg1Q2FtbXBYZlFBNGZmbzBKazZjYUdwamZuNCtWcTllamJ5OFBGT2RpeGN2WXZYcTFYWWZrNGpJMFRnM2RnT0lITVdCQXdld2JOa3lCQVlHSWl3c0RCS0pCRTVPVHZqNjY2L3g2S09QUWlhVDJkejM5T25UK095enp6QjgrSEFVRnhkYmJITnhjWUVnQ0ZpeVpBa2lJeU5yQkRDcFZBcFBUMC9UNjcxNzkrTEREei9FWTQ4OWhoa3paaUE3T3hzREJ3NjA2eHJpNCtNQkFMLzg4Z3VtVFp0V244dkg1czJiMGJadDJ6cnI5ZTdkRzNLNUhMdDM3OGFZTVdQc09uWnViaTdpNHVLZzFXcmg2dXFLdkx3OHJGeTVFbjM2OUVHTEZpMEFBR2ZQbnNYS2xTc3hhdFNvZXJXYmlNaFJNTlFSM1FTNXVibVlQMzgrZXZic2lVY2VlY1JVUG5yMGFBd2RPaFJyMXF5eEdXQlVLaFhlZmZkZDZIUTZyRjI3Rm12WHJyWFkvc3d6ejhCZ01DQTdPeHZaMmRsNDhNRUhMYlozNzk0ZEsxZXVCRkRaTzdoMjdWcU1IRGtTbXpadFF0dTJiVEY4K0hEczNyM2JWTCswdEJSRGh3N0ZKNTk4Z3E1ZHU5WjZYYi8rK211ZDE1NlNrb0pYWG5uRm9reXIxYUpuZnFqeDVBQUFJQUJKUkVGVXo1NjE3cmQ2OWVwYWU5WU9IejRNVjFmWE9zOVBSRVNWR09xSWJwQk9wOE9rU1pOZ01CaHE5RzVGUkVUZzVaZGZ4cG8xYXhBZEhZMjc3NzdiWXZ1RkN4Y3dmdng0K1BuNVllUEdqZmoyMjI5eDVzd1p6SjA3RjU2ZW5raE9Ua1pHUmdhbVRadUdqei8rR0IwNmRNQjc3NzJITDc3NEFuNStmalhhc24zN2RwU1dsbUwwNk5FSUN3dkRuRGx6MExGalIzVHIxczFVNTh5Wk13QXF3NkMzdDNldDExYlhkZ0R3OFBDd3VXM0NoQW5vM2J0M25jY3dkL3o0Y2N5Yk53OEFrSmVYaDZLaUltUmxaUUVBMHRMU1VGQlFZUGV4enA0OWk4akl5SHFkbjRqb2RzVlFSM1FEUkZIRXJGbXpjT3JVS1h6KytlY0lEQXlzVWVmVlYxOUZZbUlpL3ZPZi8yRFpzbVc0ODg0N1RkdHljM1BScTFjdlRKZ3dBUXFGQXErKytpcW1UWnVHK1BoNDlPdlhEMnZXckVGeWNqSisvUEZIaElTRUFBQWVmdmhoSkNVbG9XL2Z2aGJuS1NvcXd2TGx5L0hHRzI5QUVBUTg5ZFJUT0hEZ0FLWk1tWUp2di8wVzVlWGxBSUMvLy80YjN0N2VwckZ3UnExYXRhclI5cFNVbERyZmcvVDBkSnZiL1AzOXJSNDNKaVlHMDZkUHg2QkJnMm85NTlkZmY0Mk5HemVhWG84Y09SSkE1YTNldW16WnNnV2ZmUElKRmkxYVZPTzlJaUp5UkF4MVJOZEpGRVhNbmowYk8zYnN3S1JKazlDalJ3K3I5WnljbkxCZ3dRSzg5dHByR0RObURLWk1tV0lLTXoxNjlNQWJiN3lCTFZ1MldPeHo4T0JCaTlmV3dvK1JjUnpjd29VTDRlM3REVDgvUHp6OTlOUFl0R2tUcGs2ZGlrbVRKdUhzMmJPWU9IR2l4WDZEQncrMmVwemE2dFRsbDE5K1FVUkVCTnEzYjQ4Tkd6YkEzOS9mWmpETXljbXh1cTFyMTY3WXNHRURGQW9GM24zM1hiejc3cnM0ZlBnd3hvOGZqMTkvL1JYZTN0NjRlUEVpZ01wYjEzSzVIQUFzSm1xc1g3OGVuMzc2S1lZUEg4NUFSMFROQmtNZDBYVW9MUzNGQng5OGdFT0hEbUhzMkxFWU5teFlyZlU5UFQyeGF0VXFUSmd3QWRPblQ4ZHZ2LzJHQ1JNbUlEdzhIQUF3YnR3NDNIdnZ2ZlZxdzZGRGg3Qmt5UklBd0o0OWU3QnIxeTZzWExrU1hidDJSWGw1T2RhdVhZc3hZOGJnKysrL044MDBOUWEzK1BoNGRPN2NHUXFGQWlrcEtUWENteUFJRnZWcm85VnFjZUhDQllTSGgyUHk1TW5vMEtFRFB2NzRZMFJHUmxvOXR0SG5uMytPenovL3ZFWjViR3lzM2JkTXpZUHErUEhqQVFEejU4L0hwazJiOE9hYmIrTGYvLzUvOXU0OExxcXE4Ui80NTg3T3NBdXlDN2d2YU1sUTJxYTVWSlptYmwvVHlzeW5ucGJITkRNcmwxSkp6VitXbWVuakV0bGlwbW1LbXJhWlBXYTVwZ0pxbU9DQ3lBNnlMelBNTURQMzl3Zk14TUN3dWlEajUvMTY4WXA3N3Jubm51SGgwWS9uM0hQdXM0MXFoNGpJRVREVUVUWERqaDA3Y1Bqd1lienh4aHZvMzc4L01qSXlHblhkeXBVckVSVVZoWTBiTitMMjIyL0hNODg4ZzRpSUNIVHQyaFUrUGo2TnZyOWFyVVpPVGc3NjlPa0RBR2pmdmoxR2pCaGhQWDdpaVNkdytQQmhBUDhFdE9wZWVPRUZSRWRIMjUwYUJRQXZMeThBbFdHeG9jVVVRR1ZvL2ZISEgzSHg0a1c4K09LTHRjN1hESWQxVGI5R1JFUTBlSy9xSTNLYk5tMnlCa0RMWXBEdDI3ZGp3WUlGR0Rac1dJTnRFUkU1RW9ZNm9tYVlNR0VDN3I3N2JpUW1KdFk3TlZyVFYxOTloVmRmZlJWanhveXhqdEpGUlVYQlpESlpBMWxqeE1URW9FK2ZQdFpydW5Ycmhna1RKbGluTSsrOTkxN2NmLy85U0U1T3R0bnVwTEh1dU9NT0RCczJESkdSa1RBYWpZMjZScTFXWSt6WXNSZzRjR0NUNzlkWXk1Y3Z4L256NTdGZ3dZSTY2M3p5eVNlTkNxSkVSSTZHb1k2b21UcDI3SWoyN2R2amdRY2VBRkM1Q3JaLy8vNTQvZlhYTVhyMGFKdTZxYW1wZVB6eHg2RlNxUURBR3VocVdyeDRNWVlNR1ZMblBldWJ6aHc3ZHF6ZDhqRmp4dURKSjUrMEhsdEd1dXlONEZsSUpCSXNXTENnd1ZDWGw1ZUhYMy85RlE4OTlKRGRSU0lXOWtiZ0lpTWpFUmtaV2VjMUFIRGt5QkhzMmJNSEJ3NGNBQURFeHNiVytUa3RHT2lJNkZiRlVFZDBGU1FTaVhWVDRlenNiSWlpaUhidDJ0WGFhRmdVUlFDd1B0UmZsemx6NW1ET25Ebk42a3ZOS2M3Q3drSTg4c2dqTnF0dGdjcm5BUUZZQTJaMU9wM09abVBqaGlRbEpXSDU4dVhvMUtrVFpMSi8vaml4VE45YVJFZEgyeHlQR1RNR1U2Wk1xVFdxVnpPd2J0dTJEV2ZQbmtYMzd0MXg1TWdSZlBYVlZ6WUxKWWlJNkI4TWRVVFh5T25UcHdIQTdrUCtsbGQ3TmJTWjdyeDU4ekJvMEtBNno2ZWtwR0RpeEltTjZzKzJiZHZnNWVXRklVT0dJRFUxMVZxZW1wb0tpVVJTSzNnQmxhdEdMUnNaTjhXVUtWTnNqbXNHVEh2UDdubDdlOWY1VEovRnJGbXo0TzN0allNSEQrTElrU05ON3BkZXIyOHdTQk1ST1FxR09xSnJaTStlUGVqU3BZdmRUWUV0bzEvT3pzNVhkUTkvZjM5RVJVV2hwS1FFYXJVYVVxblVlcTZnb0FEVHBrM0RtMisraVk0ZE8yTHo1czE0OGNVWGJlb0F3TkdqUitIdjd3K0pwUGFybnlkT25HaXprbmY1OHVXSWlJaEF2Mzc5N1Bibjc3Ly94dVRKa3hFVkZZVXVYYnJVMmUvbVRyKzJiZHUyM3ZNTldiRmlCVXBMUy9IT08rOWNWVHRFUkswQlF4M1JOWEQ4K0hFY1Bud1lzMmJOc251K3VMZ1lNcG1zd1ZHakJRc1cxTHNJb0xybHk1ZmJoQzBQRHcvNCtQamd0ZGRldzRNUFBnaUZRb0VSSTBZQUFQejgvQkFWRllYUzBsSnMzcndaK2ZuNWVPbWxsN0J3NFVJRUJBUmcwNlpOQUFDRlFtR2RPaFpGRVhLNUhQUG56OGZVcVZQdGpoQmFSaDZkbkp6cWZiTkVjNmRmRzBNVVJXemJ0czI2dVhKMWVYbDVNQmdNVFc2VGlLZzFZcWdqdWtvWExsekFuRGx6MEtOSEQ0d2FOYXJPT241K2ZnMjIxZEJDQ2FCeTFNL2V5SmtnQ0Zpd1lBRW1UWnFFelpzMzQ2MjMzcklHTkpWS2hiQ3dNTXlZTVFOeXVSeGZmLzAxNXMyYmgzSGp4dUd0dDk3Q2d3OCthTGU5V2JObXdkM2RIUjkvL0RIYzNOd3djdVJJbXpvbWs4bGExeDV2YjIvTW5UdTMwZE92YytmT3RUdlNXWlBsR2NXTEZ5OWl5WklsU0U1T3hvUUpFMnJWeThqSVFIaDRlSVB0RVJFNUFvWTZvbVlTUlJHN2R1M0NoeDkraURadDJ1Q0REejZBVkNwRlhsNGV6cHc1QTA5UFQ2aFVLcVNrcEdETGxpMjFBcEU5K2ZuNU5zKy8yVk5lWGw3bk9iVmFqZmZmZng5UFBmVVVUcDA2WlYyRm01aVlpTWpJU0tTbnAyUE5talhvMXEwYjFxOWZqOGpJU015YU5RdHhjWEdZUG4wNjVISjVyVGIvODUvL29HUEhqaGc0Y0NBTUJnTzJiOThPRnhjWFNLVlM2OTV3ZFcyYjR1TGkwcWpQYlZHenJsYXJSVWxKQ1M1ZHVnU2dja1FRK09kVllwR1JrUmc3ZGl5V0wxK08rUGg0QU1EZXZYdlJ1WE5uSkNjbkl5RWh3V2JsTHhHUkkyT29JMnFHOHZKeVBQdnNzMGhNVE1UZ3dZUHgxbHR2d2QzZEhVRGxHeFptenB4cG5mWlRLQlFZTkdpUTNVMTVhMXE2ZENtV0xsMTZWWDBMRFEzRmpCa3o4TzY3NytLeHh4NURYRndjUHZua0V3UUVCR0RkdW5YV1o5K2NuSnp3M252djRlT1BQOGFHRFJ1UW01dUw5OTkvMzI2YkR6MzBrUFg3MWF0WFcxZlFTcVZTakIwN0ZvR0JnVmZWNTdvY08zWU1NMmJNZ0NBSUdEMTZ0SFg2dXJTMEZKMDdkOGFpUll2UXFWTW5BRUNmUG4wd2NPQkF2UDMyMnpBYWpaREpaT2pYcng4R0R4NThYZnBHUkVSRWRkQm9OS0pHb3hGYjZyNU5kZmp3WWZIa3laTjFuamVaVEtKZXJ4Zk5abk9EYlpsTUpuSFpzbVZpUWtKQ2czVU5Cb080WXNVSzhkS2xTL1hXaTR1TEUwVlJGQXNLQ3NSMTY5YUpXcTIyenJyZmZmZWRtSm1aMmVDOVJWRVV0VnF0V0ZwYUtoWVhGNHNHZzZGUjE5UzBhdFdxUm4xV285RW9GaFFVaU9YbDVYYlBYUzh0OWJ0SWprZWowYXpWYURSaWVIajRTeTNkRjNKOGRlOCtTblNEV2Y0U2pZMk52YUcvbDViN051WTlwM1Jyc0t6V3ZkRy9pK1I0TkJyTldnQXZpcUw0bjdpNHVMVXQzUjl5YkxYM05DQWlJaUtpVm9laGpvaUlpTWdCTU5RUkVSRVJPUUNHT2lJaUlpSUh3RkJIUkVSRTVBQVk2b2lJaUlnY0FFTWRFUkVSa1FOZ3FDTWlJaUp5QUF4MVJFUkVSQTZBb1k2SWlJaklBVERVRVJFUkVUa0Foam9pSWlJaUI4QlFSMFJFUk9RQVpDM2RBYUtiUlVSRVJFdDNnWWlJcU5rNFVrZTNQRkVVOTdkMEgram13OThMSW1wdE9GSkh0N3k0dUxpQkxkMkhtNFZHb3hFQklEWTJWbWpwdmhBUlVkTndwSTZJaUlqSUFURFVFUkVSRVRrQWhqb2lJaUlpQjhCUVIwUkVST1FBR09xSWlJaUlIQUJESFJFUkVaRURZS2dqSWlJaWNnQU1kVVJFUkVRT2dLR09pSWlJeUFFdzFCRVJFUkU1QUlZNklpSWlJZ2ZBVUVkRVJFVGtBQmpxaUlpSWlCd0FReDBSRVJHUkEyQ29JeUlpSW5JQURIVkVSRVJFRG9DaGpvaUlpTWdCTU5RUkVSRVJPUUNHT2lJaUlpSUh3RkJIUkVSRTVBQVk2b2lJaUlnY0FFTWRFUkVSa1FOZ3FDTWlJaUp5QUxLVzdnQVJ0WXp3OFBBUVFSQk9BWEFIb0FOZ3NKelRhRFNGQUJRQW5BQVVpYUo0ZTF4YzNPV1c2U2tSRVRVR1IrcUlibEZ4Y1hHWEJVRzRWSFhvaE1wd1orRmVWUVlBU1F4MFJFUTNQNFk2b2x1WTJXeU9ia1MxeHRRaElxSVd4bEJIZEFzVEJLSEJ3TmFZT2tSRTFQSVk2b2h1WWJHeHNXY0JuSzJueXQ4eE1URUpONm8vUkVUVWZBeDFSTGU0K2tiaVJGSGtLQjBSVVN2QlVFZDBpek9aVFBVRk40WTZJcUpXZ3FHTzZCWjM4dVRKVXdDUzdKeTZHQmNYZC9wRzk0ZUlpSnFIb1k2SVJOZ2ZrWXV1T2tkRVJLMEFReDBSMlgydVRpS1JjT3FWaUtnVllhZ2pJc1RFeEJ3WEJDR3RXbEhxaVJNbmpyZFloNGlJcU1rWTZvZ0lBTXhtczNsN3RlUHQ0TlFyRVZHcndsQkhSQmJSZFh4UFJFU3RBRU1kRVFFQU9uWHFkQWpBRlFCWE9uYnNlTGlsKzBORVJFM0RVRWRFQUlDdFc3ZWFCRUdJRmtWeDI5YXRXMDB0M1I4aUltb2FXVXQzZ0lodUhtYXplWnNnQ0h5V2pvaW9GV0tvbzF0ZWVIajRuNElnOUducGZ0eE1OQnBOUzNlaHhZbWl1RDh1TG01Z1MvZURpS2l4T1AxS3R6d0dPckpIRUlRQkxkMEhJcUttNEVnZFVaV1ltSmlXN2dMZEpDSWlJbHE2QzBSRVRjYVJPaUlpSWlJSHdGQkhSRVJFNUFBWTZvaUlpSWdjQUVNZDBVMnVvcUtpeGU2ZG41K1Bzckt5cTI3SFpPSzJkMFJFMXh0REhkRTFZREtaSUlxMjI3dmRmZmZkV0xkdTNWVzErOTEzMzJIRWlCRW9MUzF0c083dTNidXhhdFdxcTdwZlRYUG56c1dJRVNOUVZGVFU3RFppWW1MdzRJTVA0dENoUTFmVmwyKysrUVl6WnN5QXdXQ3dlLzdubjMvRzFLbFRvZFBwcnVvK1JFU3RGVmUvRWwwRFgzNzVKYlp1M1lydDI3ZERyVllEQUF3R3cxV1BVR2swR3VUbDVlR3JyNzdDNU1tVDY2MnJVQ2p3eFJkZm9IZnYzcmozM251dDVZMVp5UmtTRW9MdDI3ZmJsSDM3N2JjNGV2UW9KazZjQ0hkM2QyUm5aMlBvMEtFTnRsVnpGWEdQSGowZ2xVcng3cnZ2WXVmT25WQW9GTlp6ZS9ic3dadzVjMnExSVpGSWNQejRjZXZ4MzMvL2plWExsMlBDaEFrb0tTbXhxZXZrNUFSQkVQRHh4eCtqYTlldTBHcTEwR3ExMXZOeXVSeHVibTROOXB1SXFMVmpxQ082U2dhREFWdTJiRUczYnQyc2dhNHBHaE82UHZ2c00zejIyV2QyejdtNHVPRDMzMy9Ia0NGRGNQandZVVJHUm1MTGxpMW8wNllOQUNBNk9yckI5dVZ5dWMxeFRFd01Qdnp3UTl4MjIyM1dNT250N2Qyb3RnQ2d0TFFVdWJtNTF1TkJnd2Foc0xBUUdSa1pkdXRYYjNmMTZ0WFl2MysvOVRnek14T3Z2LzQ2akVZanZ2enlTM3o1NVpjMjF6NysrT013bTgzSXljbEJUazRPSG5yb0ladnpmZnIwd1pvMWF4clZieUtpMW95aGp1Z3FiZHk0RVhsNWVlalVxUk1PSERoZ2N5NGxKYVZXbVVXUEhqM2c1ZVZWS3lnZFBIZ1FIVHQyaEwrL2Y2MXJpb3FLY09uU0pmVHUzZHRhSnBIODh4VEZHMis4Z2JGangyTHYzcjBZTjI0Y0FDQTBOTFJKbitmTW1UT1lQbjA2dkx5ODhNRUhIMWdEbjFRcWJYUmJ2LzMyR3lJakkydVYvL3JycnpiSGl4Y3Z0dW1qVnF2RmtTTkhjTTg5OXdBQUxseTRnRmRmZlJYZTN0NzQ1cHR2OE5WWFgrSHMyYk40NzczMzRPYm1ob1NFQkdSa1pHRHUzTGxZc0dBQnVuWHJocGt6WjJMdDJyWHc5dlp1MHVjbUltcnRHT3FJcmtKT1RnNCsvL3h6QU1ENjlldXhmdjE2bS9NLy8vd3pmdjc1Wjd2WExsbXlCQTg4OElCTlVOTHI5ZGkwYVJPOHZiM3grZWVmUXlhVDFicG0yN1p0Mkw1OU85cTFhMWVyVFJjWEYzejY2YWNJQ2dwcTF1YzVmUGd3WnM2Y0NZVkNnVldyVmtHaFVPQ05OOTdBbENsVEVCSVMwdWgyaGc4ZmpqWnQyaUF0TGMwYUxpMldMVnVHc0xBd0RCa3lCSHYyN0xFNXQydlhMbWkxV2p6Ly9QTUFnTHk4UE54Nzc3MllQbjA2VkNvVm5uLytlY3lkT3hjeE1URVlPSEFnUHZ2c015UWtKR0RyMXEwSUNBZ0FBRHo4OE1PSWo0L0hnQUVEbXZVeklDSnFyUmpxNkthajBXaTJ0WFFmR2tNVVJjeWJOdy9sNWVWWXZYbzFldlRvWVhOK3dJQUJtRFJwRWlaTm1tVDNlaWNucDFwbFNxVVNDeGN1eElzdnZvZzFhOVpnNnRTcDFuUG56NTlIZEhRMEprNmNhRGZRV1ZnQ1hYSnljcE0rVDBoSUNDNWN1QUFuSnllc1dyVUs3ZHUzeDN2dnZZZDkrL1poNk5DaFRRcDFBS0JTcWJCMDZWSjRlSGhneUpBaEFJQS8vdmdER3pkdXRMdWd3MncyWTlPbVRSZ3dZQURDd3NJQUFIMzc5c1hreVpPeGJadnRyOFMrZmZ0c2pvY1BIMTVuUC9pbUVDSzZWVERVMGMwa0I0QVBnREV0M1pIR1dMMTZOWTRmUDQ0SkV5YWdiOSsrZHVzb0ZBcTR1cm8ycWQySWlBZzg4OHd6Nk5tenA3WE1iRFpqMGFKRkNBc0xzN3RnWXY3OCtmaisrKyt0eDBlT0hNR1lNVTM3TVI0NGNBQ2pSbzNDb0VHREVCUVVoRk9uVGlFNk9ockRodzlIdjM3OW1oUVNRME5ERVJFUmdjY2ZmeHd4TVRFWU1tUUk4dlB6c1hEaFFvd2JOdzUzM1hWWHJXdjI3dDJMN094c3JGeTVzdGE1YWRPbW9YLy8vazM2UEgvODhRYysvdmpqSmwxRFJOU2FNZFRSVFVNaWtRdzJtVXpkYnZSOUJVSFkydFJyL3ZyckwzeisrZWVJaUlqQWxDbFRycm9QVzdac3dmdnZ2OStvdW4zNjlMRTVmdlRSUnpGMTZsVDg2MS8vd20rLy9ZYi8vdmUvQUdxUFVFMmVQQm5uejUvSGQ5OTlCN1ZhRGJQWmJQTThub1dycXl2S3lzcnc5dHR2bzBPSERwZzFheFp5Y25LYUhCS3JxLzdjNEpZdFc3Qmx5eFlBd096WnM2M2xCUVVGTUp2TmlJMk50UmtWaklpSVFOZXVYZUhqNDlQbys2blZhdVRrNU5UNldSRVJPVEtHT3JwcG5EaHhJaDVBL0kyK3IwYWphZkkxdlhyMXdtdXZ2WWJISG51czFzclJxOUhZMWFYVnViaTR3TnZiMi9wbHo3NTkrL0RubjM5aTVzeVpVS3ZWdUhqeEl0NTQ0dzJzV2JNR3ZyNitOblZOSmhObXpweUpqSXdNdlBycXExQ3BWQWdJQ0xBN2pmblhYMzloMHFSSldMMTZ0YzFvWldOSDlSSVNFcXpmang4L0hxSW80dDEzMzRXUGo0OTFXNWFvcUNpWVRLWW1CYlNZbUJqMDZkT0hvWTZJYmlrTWRVVE45TlJUVHdHb2YwdVNxS2dvUkVWRjFTcFhLQlE0Y3VTSTlWZ1VSUWlDME9TVnFvMVJVbEtDOTk5L0grM2J0N2VPdGdVR0JxS2lvZ0pMbHk3RkJ4OThZSzFyTnB1eFlNRUMvUG5ubjFkMXo4Witqc1RFUkp2ako1NTRBcWRQbjhhU0pVdXdjK2ZPV2lPSml4Y3Z0ajZmWjA5eWN2SlZqU2dTRWJWbURIVkVWOG15TFVkTmMrYk13ZURCZ3pGNDhPQmE1NlJTcWMyeDBXaXN0ZEwxV2xteVpBbXVYTG1DQlFzV1dPK3JVcWt3WThZTXpKZ3hBNGNPSGJLT2luM3d3UWY0NFljZkVCa1ppZm56NTEvVmZSdmFmNit1QlF3VEprekF4SWtUa1pDUVVHdnh5Wnc1Yyt4dVZreEVSQXgxUkZldHJwR2pPWFBtb0dQSGp2V09MRmtVRnhmRDJkbjVXbmNObXpkdnhrOC8vWVJISG5rRTRlSGh5TS9QUjBsSkNVcEtTcUJRS09Edjc0OFBQL3dRZDkxMUY2UlNLVHAzN294MzNua0h3NFlOdStwUUJ3QXJWcXhBWUdDZ1RWbDZlanBlZWVXVk9xOEpEZzRHVUxsZFRNMVFOMi9lUEF3YU5Lak9hMU5TVWpCeDRzU3I2REVSVWV2RlVFZDBFMGhQVDcvbW0rWHUzNy9mT3JYNnl5Ky80S2VmZnJJNXIxYXI0ZXJxaW95TURHemR1aFhqeDQvSDZOR2pyMmtmQWdNRG16eWxuSnFhQ2dEdzhQQm84djM4L2YwUkZSV0ZrcElTcU5YcVdpT2lSRVNPaktHT3FJV0pvb2k0dUxobUxkaW9xZnJMN1B2Mzc0OFJJMGJBdzhNRG9hR2g4UFgxaFplWEZ6dzlQZUh1N202ZDdsMjdkaTFPbno2TjhlUEhYL1g5bTJ2RGhnMDRjK1lNbkoyZGNlVElFZmo0K0ZqM3FxdHV3WUlGV0xCZ1FhUGFYTDU4T2ZyMTYzZXR1OXBvRVJFUjhwaVltSW9XNndBUjNYSVk2b2hhMklFREI1Q2RuWTM3NzcvL3F0cjU3YmZmc0h6NWNnREFGMTk4Z1JkZmZCSHo1czFyOExwSmt5YlozZHFrTVF3R0F3QkFFQVM3NTlQVDB4dFY1dVhsaFV1WExzRm9OS0o3OSs2WVBIbXkzVlhGRFMyVUFDcGZOZFpTWVc3QWdBR3FvcUtpaHlRU3lSaFJGQjhENE5raUhTR2lXeEpESFZFei9QcnJyNWc1YzJhRDllcGEvV3F4ZCs5ZUxGbXlCQ0VoSWZVK0s5YVFYYnQyWWVIQ2hiajc3cnZ4eUNPUFlQNzgrVGgxNmhSR2pScUY0T0JncUZRcXlHUXl5T1Z5eUdReXlHUXlWRlJVb0x5OEhPWGw1ZERwZEdqWHJoM2MzZDBidk5jbm4zd0NxVlFLbVV4bWZiTkRYVk9sOVQwN1Y5M1FvVU14ZE9qUUJ1dmw1K2RicDJmclVsNWUzcWg3WGl1MzNYYWJzMVFxZlVRUWhESEZ4Y1dQQ29MZ0lvcmlEZTBERVJIQVVFZlVMUGZjYzArejlwU3JTYS9YUXhSRm01V3B6YUZXcTlHblR4OHNXN1lNTXBrTW5UcDF3dWVmZjQ3MzMzOGZCUVVGYUV6STJMRmpSNk5DM2VIRGh4RWZYN21kb0V3bXcyT1BQWVl1WGJyWXJSc2RIVjNybWJxcjJYWms2ZEtsV0xwMGFiT3V2WmI2OXUzclpqUWFIeFZGY1F5QVJ3RFVmdWNiRWRFTlpuL09oT2dXb3RGb1JLRGwzaEdxMCtuc3ZnZTJLVVJSaEY2dmgwcWxxblhPYkRiRGFEVENiRFpidjRES0tWUExsMFFpZ1ZLcHRMbnV3SUVENk5DaFE2M1ZxNVkyUlZHRVJDS3BjK28xTlRVVi92Nyt0YlpxTVJxTnlNbkpRVUJBQUFvTEM1R2NuSXpldlh2WCsvbk1aak0rL3ZoakRCMDZGRjI3ZHEyM2JrVkZCZGF1WFl2aHc0YzNlOTgveTNZc3NiR3gxZzkzOTkxM3Q5SHI5WStoOGpWMkR3RlFOTlJPOWV2cDFxVFJhTllDZUZFVXhmL0V4Y1d0YmVuK2tHUGpIemgweTJ2cFVFYzNIMHVvTXhxTnZqS1piQ1QrQ1hKTklnakNtV3ZjTldwbFJGRU1xL292UXgxZGQ1eCtKU0txUTFXZ0d3ZGdRSE91dC95RlRpU1JTT3AvR0pUb0dtQ29JeUtxUTJ4c2JCU0FxUER3OExhQ0lFd1RCT0YrVVJUdlFpUC83SlJJSkwydWJ3K3BOUkFFUVh2OCtQR2tsdTRIT1Q2R09pS2lCc1RGeFYwQjhEWUE5TzdkMjBNUWhPRlYyNVlNQVZEN1FjWXFKMDZjaUw5UmZTUWlZcWdqb2pxWlRDYStsYUdHa3lkUEZnTFlBR0JEV0ZpWWkxS3BIQXBnTklCaEFGeGF0SE5FZEV0cjNvNmpSTlJxbUV5bUJyL3NpWW1Kd1lNUFBvaERodzdkNEI2M0htZk9uQ21OalkzOU5qWTJkcnhTcWZRUlJYRUVLZ01mRWRFTng1RTZvbFpPRkVWY3ZueTV6dk9OMlJOdTkrN2RDQWdJc0NucjBhTUhwRklwM24zM1hlemN1Uk1LeFQ4N2VPelpzd2R6NXN5cDFZNUVJc0h4NDhlYjBIdkhjZVRJRVIyQVhRQjJoWVdGL1Z1cFZBNXM2VDRSMGEyRm9ZNm9sZFBwZEhVR044c0d5VHQzN2dRQVpHVmw0YVdYWHNMMjdkc2hrVWhRVVZHQnNXUEhXdXVYbHBZaU56ZlhlanhvMENBVUZoWWlJeU9qM3ZZQllQWHExZGkvZi8vVmZoeUhjT2JNR1FPQVBTM2REeUs2dFREVUViVnlhclhhdXNkZVJFU0V6VnNja3BPVEFRRHQycld6dVNZb0tBaFNxZFQ2N2xhTDMzNzdEWkdSa2JYdThldXZ2OW9jTDE2OEdBQ3M5OUZxdFRoeTVBanV1ZWVlcS93MFJFVFVYQXgxUkxjQVM3akx5c3F5SGt1bFVsUlVWTmpVR3o1OE9OcTBhWU8wdERTTUd6Zk81dHl5WmNzUUZoYUdJVU9HWU04ZTIwR29YYnQyUWF2VjR2bm5uNzkrSDRLSWlPckZVRWQwQzZnNVBmdjQ0NC9YV1ZlbFVtSHAwcVh3OFBEQWtDRkRBQUIvL1BFSE5tN2NpRldyVnRXcWJ6YWJzV25USmd3WU1BQmhZZHhybDRpb3BYRDFLOUV0SUNZbUJqRXhNZFpuNjQ0ZE80YVltQmdjT1hLa1Z0MklpQWc4L3ZqajFpbmQvUHg4TEZ5NEVPUEdqY05kZDkxVnEvN2V2WHVSbloyTlYxNTU1ZnArQ0NJaXFoZEg2b2djd0tPUFBvck16RXdBLzR6S0JRVUY0ZU9QUDI1U081WjNubHBVWHdpeFpjc1diTm15QlFBd2UvWnNhM2xCUVFITVpqTmlZMk1SRWhMU3JQNFRFZEhWWTZnamNnQnIxNjZGMFdqRW1ERmpzR0xGQ2dRR0JrSXVsMXVmbWFzWjF2cjA2V08zbmVvaHJqNEpDUW5XNzhlUEh3OVJGUEh1dSsvQ3g4Y0g5OTU3YnpNL0JSRVJYUTJHT2lJSEVCUVVaUDArTURDdzF1cFhTMWpMeXNyQ3l5Ky9qRysvL2RhNlVHTDgrUEhXYXkzWE5TUXhNZEhtK0lrbm5zRHAwNmV4Wk1rUzdOeTVFeElKbit3Z0lyclJHT3FJSEZob2FDaU9IVHRtZmRXWDViK2hvYUhXNzZ1ZkIycVA2dFZrZWRhdXBna1RKbURpeElsSVNFaEFqeDQ5cmtYM2lZaW9DUmpxaUJ5WVphVE9vdWFXSmhaK2ZuNVFxZjU1TDcxbENyZTY5UFQwZWhkREJBY0hBd0J5Y25JWTZvaUlXZ0JESFpHRDBtcTFkYjVwb3VhV0pxdFhyMGJmdm4ydHg5V25jQnNyTlRVVkFPRGg0ZEcwamhJUjBUWEJVRWZrWUw3NDRndWNQMzhlQlFVRnRhWktVMU5UTVhMa3lGcFRyczIxWWNNR25EbHpCczdPempoeTVBaDhmSHk0VngwUlVRdGhxQ05xNWZMeTh2RDU1NTliMzd2Ni9mZmZvM3YzN25XTzBqVkdlbnA2bzhxOHZMeHc2ZElsR0kxR2RPL2VIWk1uVDRaY0xtLzJmWW1JcVBrWTZvaGFPWVZDZ2Vqb2FJU0ZoZUhwcDUvR3dJRUQ0ZXZyaStUazVFWS9Vd2NBSVNFaEVBUUJBQnE5a2ZEUW9VTXhkT2pRcS84UVJFUjAxUmpxaUZvNVYxZFgvUExMTDNCemM3TXByMitrenQ1cndnNGNPQUMxV2cyZ2NndVVtcy9VSlNjblg5WG9IeEVSWFY5Q1MzZUFxS1ZwTkJvUnFIdXJqbHROYW1vcS9QMzlJWlBaL3B2UGFEUWlKeWNIQVFFQktDd3NSSEp5TW5yMzd0MUN2YnkrTE51NnhNYkc4czlJSW1vMU9GSkhSRGJhdFd0bnQxd21reUVnSUFCQTVRcFhSdzEwUkVTdEZiZDlKeUlpSW5JQURIVkVSRVJFRG9EVHIwUlZHbm85RmhFUjBjMk1JM1YweXhORmNYOUw5NEZ1UHZ5OUlDSWlvbFpMbzlHSWx0WEFSRVRVdW5Da2pvaUlpTWdCTU5RUkVSRVJPUUNHT2lJaUlpSUh3RkJIUkVSRTVBQVk2b2lJaUlnY0FFTWRFUkVSa1FOZ3FDTWlJaUp5QUF4MVJFUkVSQTZBb1k2SWlJaklBVERVRVJFUkVUa0Foam9pSWlJaUI4QlFSMFJFUk9RQUdPcUlpSWlJSEFCREhSRVJFWkVEWUtnaklpSWljZ0FNZFVSRVJFUU9nS0dPaUlpSXlBRXcxQkVSRVJFNUFJWTZJaUlpSWdmQVVFZEVSRVRrQUJqcWlJaUlpQndBUXgwUkVSR1JBMkNvSXlJaUluSUFESFZFUkVSRURvQ2hqb2lJaU1nQk1OUVJFUkVST1FDR09pSWlJaUlId0ZCSFJFUkU1QUFZNm9pSWlJZ2NBRU1kRVJFUmtRTmdxQ01pSWlKeUFBeDFSRVJFUkE2QW9ZNklpSWpJQVREVUVSRVJFVGtBaGpvaUlpSWlCOEJRUjBSRVJPUUFHT3FJaUlpSUhBQkRIUkVSRVpFRFlLZ2pJaUlpY2dBTWRVUkVSRVFPUUdqcERoQlJ5d2dQRHc4UkJDRnVXYWc0QUFBZ0FFbEVRVlM1TVhWRlVReU5pNHU3ZkoyN1JFUkVWNEVqZFVTM3FMaTR1TXVpS0I1cnFKNG9pc2NZNklpSWJuNE1kVVMzTUVFUW9odFJaOXVONkFzUkVWMGRoanFpVzFoalFwMVVLbTJ3RGhFUnRUeUdPcUpiV0V4TXpFVUFwK282THdqQ3llUEhqeWZkd0M0UkVWRXpNZFFSM2VMcUc2MHptODBjcFNNaWFpVVk2b2h1Y2ZVRnQ4Wk16eElSMGMyQm9ZN29GaGNYRi9jM2dBUTdwODdHeHNhZXZkSDlJU0tpNW1Hb0l5SUFxRFVpeDFFNklxTFdoYUdPaUNDUlNHb0ZPSlBKeEZCSFJOU0s4STBTamtFR3dOalNuYUJXVFlpSWlMZ29pbUw3cXVPazJOallUZ0RFbHV3VUVSRTFIa2ZxNnVEdTd2NS9uVHAxK2ttdFZnYzA0M0twUXFIbzF0d3ZldzFxTkJxeGpuTmV2WHYzTGxBcWxWMmIwVThMVno4L3YvbE9UazZCOVZWeWNYSHBHUlFVOUFIcy9HTWdQRHpjMkxadDJ5azErK3p0N2YzU1ZmU0xiaHhSRk1YcUkzUFJZS0FqSW1wVlpDM2RnWnVVVzNCdzhFcUR3WkJvTkJyZEZBcUZXMk11a2txbHBUcWRMZzFBMjU0OWV6YjdBZlBZMkZqaDl0dHZMNVJLcGU3VnkydTJHUnNiSzNoNmVqNXNNQmpTOUhwOVlsM2RVaWdVbmUyZE1CZ01DUURnNWVVMTJ0L2YvKzJpb3FKMTlmVkxFQVRQdG0zYlRxK29xTWpMenM1K3J3a2ZpVnFIYUFDdkEzeWVqb2lvTldLb3N5TTBOSFNOWEM3M2s4dmxmazBKWjBWRlJUOWN2SGp4VWN0eFVsTFNxTUxDd3AzVjZ5Z1VpakF2TDY4bk1qTXpJMUZqeXRUTHkydFNTRWpJRndCdzZ0U3BFRlFiRWROb05BVUpDUWw5dEZydCtlclh0R25UNWdtVlN0Vk5vOUhVR2xVNWUvYnMzVHFkTHJtdXp4QWJHeXRVdFRFaFB6OS9zMDZuUzYvdjg1V1VsQnpJeXNxS0RBZ0lXRmhTVXZJL3JWWjd2TDc2MUxyRXhzWWUwMmcwNllJZ2lERXhNZnpmbG9pb2xXR29xOEhYMTNlNnA2Zm51SFBuemcwdUxTM2RkNjNiZDNKeTZ1N3Y3LzlXWm1ibUl0VC9IRnhSZUhpNHpmbXVYYnNlcVg1ODl1elp6dTd1N28ra3BhVzlYbHhjSEEwQVBqNCtzenc5UFo5TVNFaUkwT3YxS1FEMGx2Qm1VVDA4S3BYS2pxNnVyb01CQ0Y1ZVhoUHNkU1F6TS9QZHpNek10NnUrZjgvZDNYMlVoNGZITUsxV2UxYWowWlJZNnJWcjEyNWx1M2J0VmxhL05qZzRlRTF3Y1BBYUFJaU5qZlVFVUZqdkQ0aGFrbGtRaE8xbXMxa0VZRzdwemhBUlVkTXcxRlhUcGsyYlp3TURBejlNUzB0N3ZhS2lJcVd1NTl0cWtrcWxaVHFkTHJXdTgvWkcwVFFhamM3eXZWYXJqVWxJU0xpalpoMUJFS1JuenB6cHJOZnJMMmcwR3ZITW1UTTlEUVpEZ2xLcDdCUVdGbmJleDhkblRtRmg0USt1cnE3OWNuSnlQZ1FBRnhlWGZ2bjUrVi9wOWZyek5kdXp4OGZIWjRwV3E0MU5Ta3F5Q1hSaFlXRW5zN096Mzh2TnpkMXNNQmh5cTUweUppUWs5QU9nQlNERXg4ZDNCNENlUFh1ZXljcktlamMzTjNlVHBXTFBuajNQWm1Sa1JPYm41MitwS2lwdVRKK281WmpONW0yQ0lQQlpPaUtpVm9paHJvcXpzL1B0b2FHaDZ6SXpNOS9OeWNsWkV4NGVYaXdJUXFOK1BqV25YV3V5QkI4QWNIZDNmNmhkdTNZZkp5WW0zbDVSVVdFQUFJbEVvcXZyMnZySVpES3ZwS1NrSjNyMjdIbkcyZG01bDB3bTg1Zkw1ZjZwcWFtTEd0bUVsNWVYMS9NR2d5SFY4bnhkRlU5QkVKUmFyZlpValhJTGJkVi94ZXJuS3lvcXNtdldOeHFOdGNybzV0V3BVNmREQUJBYkc5dlNYU0Vpb2laaXFLdFNWbFoyNnZ6NTgvMUxTa29PT2prNTlSVUVRWGIyN05tK09wM3VHQURYamgwN2ZuUGx5cFgvRmhjWC8xejl1cTVkdXg0eW04Mmw5YlZkUGRRWURJYWVWZmM3QjZDOHZ1dTBXdTJwN3QyN241SklKQ3FnY3VSTEZFV1RLSXA2clZaN0tpa3A2WEVBeHVUazVIKzFhOWZ1QzZsVTZwcVVsRFFSUUZaalBuTmdZT0FjVVJUTlNxV3lNd0NWcFQ5T1RrNWRBS0Npb3NMNkluZGZYOTlYQXdNRFA3SWMxNXpTQlNDMDVoR2U4UER3UHdWQjZOUFMvV2hwRnk5ZUJBQm9OSm9XN3NuTlFSVEYvWEZ4Y1FOYnVoOUVSSTNCVUZkTlNVbkpRUUJ3ZFhYVmlLSm8xT2wwcDZ0T2xaYVZsUjNyMUtuVEQxbFpXUXN6TWpJaUxkZElKQkoxUGFGT3REZjFDdGhPdndKQWFtcnExSnJ0SkNRazlIWjJkaDdzNmVrNTNNZkhaMXBGUlVXNlhxOVB6Y3JLaWl3dUx0NVRWVTNoNmVrNVhLMVdSd0FRL2YzOTM1SklKUHFpb3FKZlViVWxSVjE5Y0hKeTZwbVptVGt6TURCd2hhdXJhMFJKU2NraEFIQjJkcjVORkVWaldWbVpkVVZ0ZG5iMitvS0NncDg5UER5R0JnVUZmVmlqS1FrQXdXdzJ0OXJuc0Jqb3lCNUJFQWEwZEIrSWlCcUxvZTRmTGtxbDBnOEExR3IxZlFhRElWbXBWQVpaVGhZVUZHd1NSZEVvaW1LQlVxbnNaQ21YU3FYdW9paktMR1Y2dmY2Q1dxMldBSURKWkRKVm4zcXRqOEZneVBMeThocHBPWFoyZHI3TjE5ZDNMZ0FoS1NucFNSOGZuMm1YTDE5K3pzUERZMlRIamgyL0x5b3EraTQvUC8vcmdJQ0F4VXFsc21OeWN2S3pScU14S3pnNGVHM0hqaDEvMGV2MXlSY3VYSGpZc3RWSmVucjZuSUtDZ2gwQTRPbnBPU293TUhEeGhRc1huZ0pRMEtaTm14ZWRuWjBIVzBLZFdxMit0N3k4UEI2Mkk0a0ZCb09ob0tLaW9yZWxvR1pZckw0b3dsNVpibTd1K3BTVWxFbU4rWG0wbEppWW1KYnVBdDBrSWlJaVdyb0xSRVJOd2xCWHhkUFRjMlQ3OXUwM1ZDOExDd3V6dTlnZ0tDakk1dGpiMjd1OXQ3ZjNNMERsdEtRb2lqSUFrRWdraHFxcFY0VkNvZWhRMTcxclBuT21WQ283ZGUzYTlXUldWdGFTakl5TXQxQzFFckc4dlB4eVNrcktmN0t6czVjckZBb2ZYMS9mT2FJbzZoTVRFKy9XYXJXeEFCQWZIOS9WeDhmbldTY25wenVxNzExbk5Cb3pMZmNwTGk3ZXAxQW9WZ0hJQllEUzB0SzlIaDRlbzdPeXNoWUFrTGk3dXcvSno4L2ZoQVpZQXF1cnErdWRJU0VoWDEyOGVIR3NUcWVMdDV5dnVWRENZREFVTmRRbUVSRVJOUTlEWFpXQ2dvS05CUVVGbXdFb3dzUERDOVBUMDJmbDVPU3NBQUFuSnlmZmdJQ0FWYW1wcWJNTkJvTk4wTHY5OXR2emMzSnlsbVJtWmk2eGxKbk5acWVxLytvQVFLRlFkS2h2djd2WTJGZzVxbTF2b3Rmckx5UWtKTnloMVdvelZDcFZNRkFab0NRU2lWNmxVb1VDMEZkVVZLUm1aR1RNTTV2TmVRRE1WZVVBZ09MaTRoOXpjbkpXMTNVL25VNzNaMnBxNnArVzQ3eTh2R2dmSDUvWDFXcjFuVEtaekZzdWwvdmw1K2R2YStoblpnbUpjcmw4bkNpS0ZVVkZSYnNCNkt2WDRVSUpJaUtpRzRPaDdoOGlBS05hcmI1TkVBUjUxY2lYRVFCME9sMnhLSXFTN3QyNy8zbjU4dVdKMVRZVUZxUlNxYlBSYUN4Q3RWQW1rVWphQUlBb2lnWFZiMUJ6Y1lGbGF4SjduZEZxdGJGZHVuUTU2T0xpY205elBveWRoUXgxMHVsMFIzVTYzVWwvZi8vNVVxblVYYWZUbmRicGRFY2F2aElBb0dyYnR1MExSVVZGMzZOR29DTWlJcUliaDZHdUJwVktGUTRBcGFXbEo2c1ZseVFsSlkwTUNncGFVaFhnTEZ3QVNNeG1jM0dOTmtLcTJxajNEUTBOT1hmdTNIMEE0T2JtOW5CeGNmRUJBR1dXY3hxTlJveVBqKy9lbkZFd0p5ZW5RRzl2NzdkU1UxTm5BeWdDS3ArNTY5U3AwNDhBY09IQ2hUcTNaNmtwT0RoNGhWd3U5Nzl5NVVyTnhSTkVSRVIwQXpIVTFTQ1h5OXNDbGEvbHNuZmV4OGZuOVpwbElTRWg2ME5DUXRablptYk96Y3pNWE9UaTR0TGZZRENrQUxCcG82NVZxQTNwMUtuVFQvWUNuTDBwWGFQUm1IZjY5R2x2ZSswNE9UbTE4L0x5ZXQzTHkrc0ZVUlJMYzNKeWx1bjErcUtxYzEycnFwbGxNcGxMWFgxUnE5V1dUWkxWZm41K0wzdDdleitmbloyOXpMTEk0bGFUbkp4Y3F5dzRPQmdTaVFUeDhmR1lQWHMyUHZua0V3UUVCRFQ3SGhFUkVZaU9qa1pvYUdpejJ6QVlETkJxdGZYV1VhdlZVQ2dVMXVQVTFGUTgrK3l6Mkx0M2I3UHZXOTNseTVmeDFGTlA0Y3N2djBTblRwMXN6dDEzMzMzWXVIRWpRa0pDbXR4dVlXRWhObTNhaEVtVEprR3RWbCtUdmhJUnRVWU1kVFZrWjJkSEZSUVU3R3k0SnVEaDRURXdLQ2hvZFZKUzBnaXRWbnZPWURCY0FlRGs2ZW41ZUdGaFlhMFhvdGV6RXRZSUFLSW9TcHZTMThURXhBZE1KdFBGNm1XQ0lKaHFWSE1HQUI4Zm4ra3FsU3JLWkRJVlpXZG5SMlpsWmYwWGxTTi8zdTNidDEvdDZlazVOajgvL3l1SlJPSWNHaHI2all1THk3MHBLU2x2QWJDK0Jzekx5K3NaWDEvZjZSVVZGZW5Cd2NFZnBxU2t2R0V5bWZSWHJseFpDVHVLaW9xK014Z01sNXJ5bVZxYk1XUEcxQ3I3NVpkZjRPbnBpYVZMbDhMZjN4OEFrSkdSWVQwdmw4dlJ0bTNiV3RkVnIxTlRUazZPVGVDcXpoSVl0Vm90Y25KeTdOYjU2NisvRUJrWldXZjdBQkFaR1luaHc0ZGJqMDBtRS9Mejg2M0hQLzc0SStiT25WdHZHOEEvSzRockJ0NzA5SFRvZERxa3BhVkJKclA5bzhkU0xvcTIvKzRKQ0FpbzgzTlhiL2VMTDc1QVhsNWVvL3BIUk9Tb0dPcHF5emNZRFBuMlRqZzdPL2NXQk1FTlFMN0paSEx4OFBCNHFxS2lJcXV3c1BBSEFDWUE4UFgxblNXVHlieHljM00vdFZ3bms4bUtDd3NMbzJ1T3REazVPUVVxbGNvNzVISjVrRlFxbGJadDIvWlpvOUY0QlFDcUwzd0FBTGxjSGlpUlNPcmRyQmlvRElhV2E4dkx5ek5jWEZ6NkFJQkNvV2lmbloyOU9DTWo0ME5VQmpWWFgxL2ZXWDUrZnJNa0Vva3FQVDM5dGV6czdJOEFTUDM5L1NQOS9mM25lSGg0UEhIbHlwWGxtWm1abjdtNHVIUUpEZzZPU2s5UG4xdFNVdkp6NTg2ZDk4dmw4dUQ4L1B5MXpzN09QWTFHbzE0UUJJTkVJakZvdGRvS0FMTDA5UFJwb2lncVhWeGNlcHJOWnFYUmFOUVpESWEvRy9zL1JHdGhHVVhic1dNSG9xS2k0T25waVMxYnR1Q3Z2LzRDQUp1Z0JBQmR1blRCTjk5OFU2dWRtdldxKzg5Ly9sUG5PVXVJT256NE1HYk9uR20zamlYUS9lOS8vN043ZnZEZ3dYVzJiM0gvL2Zjak9ycld2MVh3elRmZllOdTJiWkRKWkhqMjJXZXQ1ZllDTHdETW1ESERidmtycjd4U3ErekxMNzlFcjE2OVVGSlNncnk4UEx2WE9UczdZK0RBZ1RoejVnek9uejhQdVZ4ZXE0NlhseGRjWFYzdFhrOUU1Q2dZNnByQXhjVmxRUFczS3BTWGx5ZGN1blRwU1ZRRk9nQ1FTcVdxd3NMQ2JWcXQ5b1NsVEt2VlppUWxKZjFmemZaTUpwTmJodzRkcktPQ1pyTlpsNWFXOWdvQTlPalJ3MmFFcTJ2WHJyL1d2TjVlV1hVSkNRbDNscGFXSHNuTnpmMHlKU1ZsTnFyZU5LRlVLanQzNjlidG1GUXE5U2d1THY0cE5UWDFWYjFlZjg3U3Jjek16TGxGUlVYZkJRVUZyZlQzOTE5VVhsNSsyV2cwRmhZWEYrL056czcrZndERWhJU0VPLzM5L2VjSEJRVjlLcFBKdkFWQmFIQ1VNU2NuNS8yMHREVDdxY01CL1BEREQzajAwVWR4L3Z4NXJGaXhBdSs4OHc0ZWZmU2Z4eFBQbnorUHA1OSt1dDRBWlcrYXRhN3AxK1RrWkp2ZzlNQUREMWdEWGtSRUJCWXVYSWloUTRjQ0FIYnYzZzBBOFBEd0FBQnMyclFKZDkxMUZ6cDBxSE9ublZxY25aM2g3T3hzUFM0dUxzWTc3N3lEL2Z2M28xdTNib2lNakVUbnpwMnQ1Mk5pWWxCYVdnb1hGeGViL203YXRBa3ltUXhhclJhOWV2V3E5ek5hN05tekIvL3YvLzIvQnZzNGZ2eDR1K1d6WjgvRy8vMWZyZjhMRWhFNUZJYTZKc2pPemw2ZW5aMjlBb0FTbFVIT1VMTk9Sa2JHT3dEY0c5T2V3V0JJaUkyTmJRdEFqc3JWdC9tV05wdXllclVoS1NrcC82cCtyTmZyejZlbnA4L1U2L1ZuNm5vV1RxdlZuamgzN3R6ZGFyVTZRcXZWeGdCQVNVbko3MVg5aEY2dlQweE9UbjZ5MmlVU1ZQNWM1RlZmRnFMbEdnRDF2azZ0TlV0TlRjV3BVNmN3WmNvVXpKZ3hBN2ZkZGhzMEdvMTFTbFVVUmN5Yk53OGRPblRBSTQ4OGdveU1EUGo0K05TYWhxeHJkS3V1OHViNjhNTVBFUmtaYVRmVVpXUmt3R0F3SUQyOWNwMlBaUnExZXVENjY2Ky9NSHYyYk9UbDVlSGxsMS9HTTg4OEE2bTBkcTZmTW1VS25KeWNNRy9lUExSdDJ4WUxGeTZFbjU4ZlhucnBKWFR1M05rYTZsYXVYQWxmWDk4RysxMTlhcmRtQUV4TVRNVFpzMmN4Y3VSSW0zSnVJa3hFdHdxR3VxWXpBOURWYzE0RVVOakl0a1JVYlFCOG8rWG01a1kxcHA0bDBGVXBxYlBpUHorWCtuNDJEbXZuenAyNDg4NDdvZFZxNGVmbmgzUG56dFU1bmZyWVk0OEJzRDhxdDJiTm1scWJXdzhmUHR4dWVWcGFXcjNUc3MwMVk4WU1uRHQzem5wc0NaUXhNVEVRUlJFYk4yN0V5cFVyMGExYk42eGN1Ukx0MjdldnM2MjMzMzRiczJmUHhyaHg0N0I2OVdvTUhUb1VXN1pzd2JsejUzRHUzRG44OE1NUGRxOTc3cm5uTUhueVpPdXhtNXViZFJGRmVubzZ4bzRkaTRpSUNFeWJOZzNkdTFjK3Fucnc0RUdzV2JPbVZxZ0xDUW1CbTV0YjgzNFlSRVN0Q0VNZDBUVncvUGh4aEllSDQ1NTc3a0hmdm4zdGpscFZWM1AweUdnMElpb3F5dTRDaXJyNCtma2hLaW9LUnFQUk91S1htcHBxUForZm40L1UxRlJJSkJLNzF3dUMvY0ZneS9OK2x1bFN5K2lZVHFmRDdObXpjZURBQVl3Y09SSlBQZlVVQkVHb3RTQ2lUWnMyMWhEVnFWTW5mUFhWVjFpM2JoMjZkT21DeE1SRXJGaXhBaktaREV1V0xFR1hMbDFzcnQyMWF4ZldyMStQZnYzNjJaUS85TkJEZU9paGh3QUFnWUdCV0xWcUZaWXRXNGFKRXlkaTlPalJtRDE3TnN4bXM5M242Ylp2MzI3M2N4SVJPUnFHT3FKcllNcVVLWGpsbFZjd2J0dzRCQVFFWU1TSUVVaExTMnYwOVpjdlg4WUxMN3hRNS9uNlJ1UysvZlpiZE96WUVRQnNScWsrK3VnamZQVFJSM0J4Y2NIcnIvK3pFMDlGUlFVQU5CZzhhOHJPenNhQkF3Y0FWSTVNN3R4cGY1SDRtMisraWJGangrTHR0OS9Hc0dIRGNPKzk5MkxxMUtsSVQwL0g5T25UOGNBREQwQ3RWdU9kZDk3QisrKy9qenZ2dkJNR2d3SC8vZTkvc1dQSERpeGJ0c3c2TFZ2VHlaT1YyMGYyNmRNSG16WnR3dWJObTZIWFYrNTVYVjVlRHBWSzFhVFBSRVRrU0JqcWlLNkJQbjM2SUN3c0RKczNiOFpycjcyR0RSczJ3R3cyMTFuZjNtSUppVVNDNDhlUDF5cXZieEhCblhmZWFYTjg3Tmd4YTMvZWVlY2RQUExJSXhBRXdXYWFzNlNrY2hiZHljbXBVWi9OSWpRMEZERXhNZmorKys4UkZSV0ZYYnQyb2FLaUF2ZmRkeC9XckZrRGpVYURnUU1Id3NuSkNXVmxaU2dzTE1RcnI3eUNVYU5HWWNhTUdUaDY5Q2c4UFQweGE5WXNLSlZLeU9WeVRKNDhHY09HRGNQSmt5ZWhWcXV4ZnYzNmVoZHYvUGpqajRpT2prYnYzcjB4ZWZKa1BQbmtQNDkxbHBTVWNJVXJFZDNTN00vTDBQVldlNDZJV3IxKy9mcmg2TkdqTUp2TlVLbFVVS3ZWZFg3VkpTTWpvOVlYVUxsUFhWM25xcE5LcGRZUk9JbEVBcWxVV212Nk5UTXpFOEEvSzJHYjZ2dnZ2OGZBZ1FNQlZLN29OWmxNMXMyRXk4cktvRmFyNGVycWlsV3JWbUhxMUtuWXUzY3Y4dkx5TUdiTUdIejY2YWR3Y25KQ1hsNGUvUDM5NGVycWl0MjdkeU10TFEzZHUzZEhabWFtTlhUYU0yZk9ISHo1NVplUVNxVjQ0WVVYOFB2dnYxdlBaV1Zsd2R2YjdyN2JSRVMzQkk3VTNYaitQWHYyUEpxV2xqYXQyanRrRzBNQW9BQ2djbkp5Y2pXWlRLNVNxZFJWTHBkN1NhVlNMNFZDNFMyVlNuM2xjbm1nWEM0UExDZ28rREl2TDI5RDFiWGV3Y0hCaTFOU1V0NUVIWXM0VkNwVlNHaG82SmFFaElTN3J2THozYko4Zkh4dzVjb1ZIRDE2RkZPblRtM3k5V2F6dWM3RkZkZHlRY1RmZjFkdUZmalRUejhoTkRTMHdYQm5NcGx3Nk5BaDlPL2ZIM0Z4Y1lpSmljR2NPWE1BVk82TjE2VkxGN2k1dVVHdjE4TmtNbGxEcXlBSW1EUnBFa2FPSEFrUER3OTgvLzMzT0hQbURFNmVQSW56NTg4akpDUUVUei85TkVhTUdJSFRwMC9qaHg5K3dNeVpNNkhUNmVEajR3TmZYMS9NbURHajFsUnNyMTY5RUJVVmhhTkhqNkpQbno3VzhuUG56dUhlZTV2MXFtUWlJb2ZBVUhmalpaYVhseWNFQmdhK1YxaFl1QnZWOXJpeng5UFQ4NG5RME5BTmRlMERKNHFpd1dReUZadE1wa0tUeVZSb05CcnpqVVpqbGlBSTF1RWdOemUzUHA2ZW51TlRVbEtxSndNSkFPdVNRSWxFNHFOV3Evc0NxUGszZkJIKzJaS0U3RWhJU0VCWldSbjI3ZHNITHk4djNIbm5uZmpsbDErczV6ZHMySUNoUTRmQ3k4dkxXclowNlZLYlBkL2F0bTJMdDk1NkM2TkhqN1pwKzlTcFU5aTllemNtVDU2TU5tM2ExTHIzOXUzYkc3VzRJalEwRkk4Ly9qZ0E0TGZmZmtPSERoMndiZHMyUFBIRUUvRHc4TUNTSlVzUUZoWm05OXJSbzBkRHI5Zmp6anZ2eEtKRml6Qnk1RWdFQndmRGJEWmo5KzdkMWlCYVZsYjVhdUxxbndzQXZ2amlDM1R1M0JtcHFhbkl6YzFGcjE2OThNSUxMMWhYelJZWEZ5TTBOQlF2di93eVhuamhCZno5OTkvSXk4dkRsU3RYMExWcjVkdnJHcnN0U1YzUCtybTd1MlBmdm4yTmFvT0lxTFZpcUx0T3dzUERqUTF0eUt2UmFJejJ5bE5TVXY2VG01dTd0dXBRS2dpQzlQejU4L2VaVENhZDBXalVTU1FTYlhsNWVTa3F0eGlwdFZkZVRhNnVydmVWbFpYOWptb0JVcVZTQmRmYzRMaXFUemJ2cTYzYVI2OUZ0bDFwTGY3M3YvOWgzNzU5Y0hGeHdlelpzN0Y3OTI0TUdqUUlJMGFNd09iTm0zSHk1RW1jUG4wYW4zNzZLYVJTS1M1ZXZBaTFXbTB6VlZoZVhnNHZMeStZeldaY3VYSUZpeGN2eHNjZmY0eDMzMzBYRlJVVnlNaklxQlhxU2twS2tKbVpXU3RFV1NRbUppSXhNUkg3OSsvSDZ0V3JNWFBtVEp3K2ZSckhqaDNEakJrenNIVHBVbXZkQng1NEFBY09ISUJXcTRWY0xzZnUzYnV4ZS9kdWVIcDY0ckhISHNPWU1XTXdaODRjVkZSVVlOcTBhUUFxWDRlV25aMXQzYUtsdExSeUc4THEvU2t0TGNYV3JWdng5Tk5QVzBjYkxjOEkxbWY1OHVVMmI2ZW9yLzZWSzFmdyt1dXZ3OW5aR1N0WHJyUzdBS1NwaTBLSWlGb2pocnJyS0RNemMyNWVYdDQyeTdGQ29aQVpESWFhUVU2UXkrWEtpb29LNnl2QURBWkRWczIyNnRva3VESGMzTndlY1hKeTZxM1JhRVFBeU12TCt5dzdPM3NSOE04bXh3cUZvbHZQbmozUFZ0djAyRVdqMGRTM0x4MVZlZkhGRi9IV1cyL0J6YzBOdi96eUMxYXVYSW5CZ3dlanRMUVVFb2tFUzVZc3daTlBQb25UcDAranBLUUVack1aQnc4ZXhHZWZmWVovLy92ZkFDcTM4dGl4WXdmNjkrOFBuVTZIZ3djUEFnQldyRmlCTjk5OEU4OC8venkyYmR1R3dNQkF2UGZlZThqT3pzYXNXYk93YmRzMmxKZVhZOGFNR1RBWUREaDY5S2gxUk9ycnI3K0dtNXNiQmcwYUJHZG5aeFFXRm1MdTNMbG8zNzQ5eG93Wll4UHFBR0R2M3IyNGNPR0M5WjJ2RXlkT3hOaXhZMkUwR2pGNzltekV4OGRqM2JwMWNIRnhRVWxKQ1pZdlg0N1JvMGZEeDhjSHdEOExNQ3h2a0FBcW43K3JxS2pBcUZHamJPNVYzOXNqN0kzSzFWWDN4SWtUbUQ5L3ZqVU1UNTgrSFU4OTlSUWVlK3l4Smk4RUlTSnE3UmpxcnFPS2lvb3N5L3RlRlFwRnR5NWR1dnhWODAwUkNvV2lXOWV1WGVPdTVSc2thcmF2VXFsNm5qMTd0cS9KWkNydTNMbnpMcDFPWjMwSHJTWG8xWFZNRFpQSlpOYm4wclpzMllJaFE0Yll2SVRlMTljWDMzMzNIVnhjWEJBWkdRbUR3WURaczJmanpUZmZSTDkrL2RDNWMyZnMyclVMdzRZTmd5QUlOdnZIK2ZuNVlkMjZkVGh4NGdRQ0F3TUJWSTdBbFphV3d0ZlhGMisrK1NiZWZ2dHQzSEhISFpCS3BaZytmVHJVYWpXR0RSdUdJVU9Hb0cvZnZwREpaTmJ0UklxTGk3RnUzVHFiL2xuazUrZkQxOWNYVTZaTVFXQmdvSFY3a0k4KytnZ1hMMTdFcDU5K2lvNGRPOEpzTnVPdHQ5NkNSQ0t4ZWRhdjVnSU1VUlN4ZGV0VzNIWFhYZkR6ODd0bVAyK3oyWXcvLy93VDMzenpEUTRkT29RdVhicGd6Wm8xa0VxbCtPS0xML0RSUng5aDdkcTFHRHQyTEo1NDRnbDRlbnBlczNzVEVkM01HT3F1STdWYWZaOUdvL20wZWxsZG9hbDYrZm56NS91VmxKUWNySDVlb1ZCMGE4cTlMV0hTeDhmbnBaS1NrcDkxT3QweEFMNUtwYkpqY1hIeFZsUXV2RUJzYkt4clZWKzdkT3ZXTGNaeURNQlpvOUhVR2pHa3VwMDRjUUovLy8wM0ZpMWFCS1ZTQ1lWQ2dmMzc5Nk52Mzc0QUtwKzlPM0xrQ1A3MXIzOWh3SUFCV0xSb0VUcDE2b1JkdTNZaEt5dkwrdVlHRHc4UENJS0FYYnQyNGJiYmJnTUFCQVFFSURrNUdRa0pDWWlQajdlKzQvU1JSeDdCbmoxN2NQNzhlVHozM0hQNDZLT1BjTmRkZDFsRG05bHN4czZkTy9IUlJ4OUJwVkpoOWVyVjFqM3RYRnhjc0gvL2Znd1lNQUJYcmx6QjZkT25NWDc4ZU90NWk4bVRKMlBTcEVudzlQUkVSVVVGNXMyYmgrUEhqMlB0MnJYWXQyOGZqRVlqcEZJcHZ2NzZhM1RwMHNVYUJnOGVQSWprNUdTODlOSkx0WDVXVFhudG1TaUtTRWxKd1Y5Ly9ZWGp4NC9qMEtGREtDZ29nSStQRDk1NDR3Mk1IVHZXT3IwNmQrNWN2UERDQzFpL2ZqMDJiTmlBcjcvK0dxTkdqY0xUVHo5OVRZTWxFZEhOaUtIdU90THBkREh4OGZIdkFZQktwV3JmcVZPbkgrUGo0N3RYcjJPdjNHQXdYSzdaVnMrZVBjODI1ZDZ4c2JGeUFHcHZiKzhYTGw2OCtIaHdjUENYNWVYbGYybTEydU1TaWFUQ1pESzVKQ1VsalZLcFZONEFJQWlDWjFWL0xBOTZTWktTa2tZcGxVcDN2VjdQWitvYTRZNDc3c0NtVFp1c0kyci8vdmUvc1hMbFN1czBwMXd1UjNoNHVIVmhRZlUzSkV5Wk1zWDY3bE4zZDNlOCtPS0wrT0NERDZEVmFtM3VvVlFxY2ZmZGQxdW5iUUZnMmJKbDFtMUwrdmZ2YjFOLzdkcTErT3l6ejNEdnZmZGkvdno1Tm9zMXBreVpnbFdyVm1IbHlwV1F5K1hvMWF1WE5Teld2S2RTcVFRQWJOdTJEZnYzNzhlU0pVdHcrKzIzWTlldVhkYUZDYjYrdmxpOGVMSDF1dSsrK3c2dXJxNjQvLzc3YTdXNVlzVUs2OCtwcHBxQnI3eThITE5temNLNWMrZmc3T3lNZSs2NUJ3OC8vREQ2OWV0bjkxazV5d2ptTTg4OGc2aW9LR3pkdWhVZUhoNTQvdm5uN2Q2UGlJaW9YdUhoNFVadmIyL3IzN3dLaGFLYlJxTVJWU3BWYVBVdloyZm53ZlZOZVhwNmVrNnduUGZ4OFhtdGQrL2VwUURjNjZndWhJV0ZKWGJyMXUyRXBjRFgxL2RWQUlKR294RVZDa1YzQUw0OWV2U0kxMmcwWW1PL3JzMVA1T1ptK2F4TjljTVBQNGlscGFWTnZ1NUdxYWlvRVAvODg4OXIxcDdKWkJJVEV4TnJsUmtNaGxwMWRUcWRlT2pRb1ZybEsxYXNFUFB6OCt1OHg0b1ZLOFJMbHk3WmxHVm1ab29uVDU0VUt5b3FtdHpudExRMFVhL1hOL202VytuM240Z2NBMGZxcmlPejJWenJMd1I3SzA3ckl3aUNYQlJGRXdDVWxwWnVGZ1RoZlY5ZjMzOWxaMmN2cjFuWDFkVjFtRktwN0hMcDBxV25MV1UxNm9rQXN2LysrKytlVGVrRDFXM28wS0V0M1lWNnlXUXltNzNjcnBaRUlxbjF2bGFKUkdMMy9iSXFsUXIzM0hOUHJmS0c5dkN6ZDk3UHo2L1owNmQxalFnU0VUa2FocnJyUXlJSWdsUVFoRnJiamRoYktGSGYxS3BVS25VUlJWRUhBRnF0TmlNL1AzK1RyNi92N096czdNOEJGRmVyS20vWHJ0MEhPcDN1cjRLQ2dtOGEwVWMvalVhVDJWQ2xjK2ZPOVNvdExZMXZSSHRFUkVUVWdoanFyZzkzQURDWlRHWFZGemljTzNldWw3MEZEL0h4OGQwVkNrVTN5K0tHNm1ReW1hL1JhTHhpT2M3T3pwN3Y2ZW41ZnlFaEljc3VYNzVzbmQ0TkNncGFwRktwdXA0N2QyNFFHdGpRdUxyRXhNVGJ5c3JLTXBWS3BZZXJxK3NEdWJtNU82cXVsM0toQkJFUlVldkJVSGNkS0JRS1h3QXdtVXc1VFZuZ0VCc2JLME9OUUtaU3FUb2JESVpreTNGNWVmbWxqSXlNR1VGQlFhdkx5c3FPNStibWZ1THA2VG5CeDhmbnpjek16SGRMUzB2M042V3Zack81QUVDdVJDTHBHQndjdkNZM04vZlRxajd3ZDNrL3NCMEFBQ0FBU1VSQlZJT0lpS2dWNFYvYzE0RmFyZTRDQUNhVEtja3kzUm9TRXJMQnpjM3R3VXVYTGoxUWZUcFRwVkoxNk5peDR5OEZCUVhiWUdlRXpkblorYzdDd3NKZDFjdHljbkxXcUZTcTI0T0RnOWM0T3p2MzlmTHllcWF3c0hCYlptYm0vSWI2MXJadDI2bGxaV1ZIdFZwdGF2VnlKeWVuSGhVVkZlbjIra0NPdzJReThlMEtSRVFPcXZiVHpYVFZuSnljK2hpTnhoeXRWcHRoS2J0OCtmSnpPcDN1ZUljT0hmWjdlSGlNQUFBUEQ0L1JYYnAwT1Y1U1V2SmpSa2JHckpydEtKWEtMZ3FGb24xcGFla2ZOYytscEtTOGFUQVkwcnk4dlA1bE5CcnprNUtTWGtZRGdheHQyN2IvYnRldTNYS0ZRaEVBd0dRd0dDN3JkRG9qQUZjL1A3OFpVcW5VdzgvUDcwMEFTZ0Npd1dDNFhGRlIwZUJyeUtoMVdMSmtDWjU5OWxtWXplYXJhdWU3Nzc3RG5EbHpybEd2aUlqb1d1RkkzWFhnN3U3K2FFbEp5ZTgxaWcwWExsd1lHUkFROEc2SERoMTJsSmVYLzYxVUtqdW5wcVpPemMzTmpiTFhqcGVYMTcvTVpyTzJzTEJ3VDdWaW1aZVgxd1IvZi84RmNybmNQeTh2NzJ0UFQ4L1J0OTEyMjkvWjJka2ZabWRuZndJZ3YwWlR2Z0RnNCtNejdkS2xTODhVRmhaK0J3RHg4Zkh0M2R6Y0hnNEtDbG9tQ0lJMExTM3ROWDkvLzdsZVhsNy95Y3pNbkJVZkh4OTZqWDRrZEJNSUN3dkR0OTkraXgwN2RqUzQrYTlXcTBWT1RvN2RjM0s1SEh2MjdNSDk5OStQcmwyNzJxM1RybDA3amdnU0VkMWdESFhYbUt1cjYzMXF0ZnIyek16TVJkV0tCYlZhM2R2ZDNYMlloNGZIb3dCRVFSQVVnaUFvdkx5OG5wRklKQzVsWldYN3lzcks0Z0ZZM2czcjI3WnQyNWZ6OHZMV0F5aFRxVlFoN3U3dVQzbDdleit2VkNwRHRWcnQ4YVNrcE5GYXJmWkVWbFpXWkdCZzROTEF3TURGQVFFQmtTVWxKZnRLU2twK0xpNHVQcUxUNlk2MWFkTm1nQ2lLRlpjdVhmcS93c0xDSDl6YzNJYTV1cm9POVBEd0dLbFVLanZrNWVWdHZIejU4alFBK2JtNXVWLzcrL3ZQRGdrSitjcmIyM3RxV2xyYVZLMVdHM2VqZjQ1MDdRMGJOZ3pidDI5SFFVRkJnM1VQSERqUTRHaGNmZWQvL1BGSDYyYktSRVIwWXpEVVhXTUJBUUdMREFiRHBhS2lvdCtEZ29LV3FGU3EyNTJkbmZ0S3BWSVB2VjUvdnFDZ1lITitmdjduNWVYbHlTNHVMdjNidEduenJMKy8venlwVlBxaEtJcDZ2VjUvOGZMbHk5TmNYVjBqQkVFUTh2THlGZ1VGQlMzeDhmRjVFd0JLUzB1UHBxV2x2VkZVVkJTTnluM25vTmZyTHlZbEpZMVNxOVhoM3Q3ZTA5cTBhZk80bTV2YncxS3BkSUZPcHp1V241Ky9wYnk4L0x4V3E0MEZBRTlQejNGdWJtNFBGUllXUmhjVUZLeXBzV1dKTmpNemMyNStmdjdYN2RxMVc2MVNxYm93MUxVZUVSRVJEZFk1ZGVvVTFxeFpZL2VjaTRzTGZ2LzluMEhtbUpnWW0vTy8vdm9yUER3OGNNY2RkOWk5L3VUSmszanV1ZWVhMEdNaUlycFdHT3F1c2JTMHRFVVNpVVFGNElwVUtnMHdtVXk1R1JrWmJ4Y1hGLytxMStzVHE5Y3RMUzM5bzdTMDlJK1VsQlNwazVOVGhJdUx5MTFLcGJKaldWblpIMlZsWmIrWGxwYitxZFZxTTdSYTdZY21rOGxRWEZ6OGJWbFoyVjkxM1Z1cjFjYWxwS1JNU2tsSmVkbkR3K09od3NMQzNkWE94VnErdjN6NThuT29IQkdzYzdkOHZWNmZlT0hDaGNHb2VrY3N0UTdSMGRFMngyZlBuc1hiYjcrTitmUG5XOThqV3gvTEpzTHQyclhEcEVtVFlERDg4MGpsNGNPSE1YdjJiTHp4eGh0MXR1WHA2WWxKa3liQnljbnBLajRGRVJFMUIvL0NKa0xsYThLQTJpTlRyZDJmZi82SnlaTW40NHN2dm1oVXFMTm96SWhmZmNhTUdkUHFGMU5ZZmdZMU53d25JcnBaY2FTT3lJRnB0Vm9BYVBMSTJlN2Qxa0ZlNU9UazRMWFhYc1B3NGNNeGJ0dzRtM3FGaFlXWU5tMGFCZzRjaUVtVEpsbkxuWjJkbTk5cElpSnFGb1k2SWdkV1ZsWUdBQmcvZm55OTlSNTk5Rkc4ODg0NzF1T0FnQURyOXp0MjdJQlVLc1dCQXdkUVVsS0M4UEJ3YURRYXBLV2xZZkhpeGJqdHR0dnc1cHR2UWliakh5ZEVSQzJKZndvVE9iQXJWNjVBSXBGZzgrYk5kVzR4TW1IQ0JMaTR1TlRaeHNzdnY0eVhYMzRaWjg2Y3dhWk5tN0Jnd1FMclhuZHVibTY0NTU1N2tKNmVqcENRa092eUdZaUlxSEVZNm9nYzJLVkxsK0RqNDRPT0hUdmFQUytLSXZSNmZhMVFsNU9UZ3g5KytBRlpXVmxJVFUzRjVjdVhrWldWQmJWYWpmdnZ2eDlEaGd5Qm41OGY5dS9majQwYk4yTHg0c1ZvMjdZdDdyenpUa3lmUGgxdDJyUzVFUitQaUlpcVlhZ2pjbENpS09MRWlSUG8xYXRYblhXMFdpM01aak5jWFYxdHl0M2MzQkFkSFkyMmJkdWlRNGNPdVAvKys5R3paMDkwNjlZTnFhbXBHRE5tREdKaVl0Q3JWeTlNblRvVkZ5OWV4TjY5ZTNINjlHbDRlSGhjNzQ5R1JFUjJNTlFST2FpWW1CaGtaMmRqOHVUSmRkWXBMaTRHQUpzZ0pvb2lzckt5OE4vLy9yZFcvZFRVVktTbnB3TUFrcE9UcmVWU3FSUVBQL3d3SG43NFlhU2twTURKeVltYkR4TVIzV0FNZFVRTzZ0TlBQNFdibXhzR0RScFVaNTNDd2tJQXRxR3VvcUtpd2RlSUFhaTNUcDgrZmVyYzRKaUlpSzRQaGpvaUI3Uno1MDZjT0hFQ0w3LzhNdFJxZFozMTh2THlBRlJ1R215aFVDaHE3ZGRuTnB0eDhPQkJyRnUzRG5xOUhoY3UvSC8yN2pzNnFtcHY0L2d6Q1FrbEFVSUoxVkNrcUlBb2lZQzBTd1EwaWlCb2xDWW9TaE1FZkJHVm9pQ0tWQUVSQkpUZWU1RGV3VWlWa2tRc2lCSWs5TjVDQ0tUTmVmL2daaTdEVEpLaFRqaDhQMnV4Ym1hZmZjNzVqU3Q2SC9ZK2U1OW9sU2hSUWdFQkFlclVxWlBLbGkxN2I3NElBTUJsaERyQVpLS2lvalJreUJDVktWTkdyVnExU3Jmdm5qMTdKRW1GQ3hkMk9HWVlodmJ1M2F1ZmZ2cEpLMWV1Vk83Y3VkVytmWHVWTEZsU29hR2htak5uanFaUG42NjJiZHVxZE9uU2V1bWxsMVN6WmsybjF3SUEzSHVFT3NCRU5tL2VySjQ5ZThyWDExZkRodytYbDVlWDdkaWNPWE4wOHVSSjVjK2ZYejQrUGpwMTZwUm16cHlwaWhVcjJxMVdQWDM2dElZUEg2NklpQWpGeHNhcVZxMWE2dE9uajZwVnF5YnBmOC9TZVh0N3EyM2J0bXJXckptV0xGbWlCUXNXYVBEZ3dTcGN1TEJxMTY2dGp6LysrTDUrZHdCNDJCSHFBSk00ZXZTb1B2cm9JK1hQbjE5ang0NVYwYUpGN1k3SHhzWnE3dHk1U2s1T2xpUlpMQlk5K2VTVDZ0Ky92MTIvQWdVS3FHYk5tcXBjdWJMcTFhdVg0V3BXWDE5ZnZmbm1tM3J6elRkMTRNQUJoWWVIcTNyMTZuZjN5d0VBTXNRN0RRR1o1OTJ2VzdkdVZZVUtGWlE3ZCs0MCt5UWxKU2t4TVZGZVhsN3k5dmErNVhza0pTWHAyTEZqS2xHaXhCMVVtdm54N2xjQUR4cEc2Z0FUcVZHalJvWjl2THk4N0tabGI1V1hsNWZwQXgwQVBJZzgzRjBBQUFBQTdoeWhEZ0FBd0FTWWZnVnVrUG9jRlFBQUR4cEc2Z0JKaG1HRXU3c0daRDc4WGdBQWdBZFNZR0Nna2JvU0dBRHdZR0drRGdBQXdBUUlkUUFBQUNaQXFBTUFBREFCUWgwQUFJQUpFT29BQUFCTWdGQUhBQUJnQW9RNkFBQUFFeURVQVFBQW1BQ2hEZ0FBd0FRSWRRQUFBQ1pBcUFNQUFEQUJRaDBBQUlBSkVPb0FBQUJNZ0ZBSEFBQmdBb1E2QUFBQUV5RFVBUUFBbUFDaERnQUF3QVFJZFFBQUFDWkFxQU1BQURBQlFoMEFBSUFKRU9vQUFBQk1nRkFIQUFCZ0FvUTZBQUFBRXlEVUFRQUFtQUNoRGdBQXdBUXM3aTRBZ0h0VXFsU3B1TVZpaVhHbHIyRVlKYUtpb2c3ZDQ1SUFBSGVBa1RyZ0lSVVZGWFhJTUl5ZEdmVXpER01uZ1E0QU1qOUNIZkFRczFnc1lTNzBXWGcvYWdFQTNCbENIZkFRY3lYVWVYcDZadGdIQU9CK2hEcmdJUllSRVhGQTBwNjBqbHNzbGw5MzdkcjE3MzBzQ1FCd213aDF3RU11dmRFNnE5WEtLQjBBUENBSWRjQkRMcjNnNXNyMExBQWdjeURVQVErNXFLaW92WkwyT1RuMFYyUms1Ri8zdXg0QXdPMGgxQUdRSkljUk9VYnBBT0RCUXFnRElBOFBENGNBbDVLU1FxZ0RnQWNJYjVRQUlFbVdvS0NnQTRaaGxQenY1MzhqSXlOTFN6TGNXUlFBd0hXTTFBR1FKTU13akJ0SDVzSkVvQU9BQndxaERrQXFXNmpqZVRvQUFJQUhsMGRnWU9EUm9LQ2dJK0l2ZkFEd3dNbmk3Z0lBWkJwV2k4V3l5R3ExR3BLczdpNEdBSEJyQ0hVQWJLeFc2MEtMeGNLemRBRHdBQ0xVQWJBcFhicjBWa21Lakl4MGR5a0FBQUFBQUFBQUFBQUFBQUFBQUFBQWNGdDRUUmpnUktWS2xYWllMSllxN3E0RG1ZdGhHT0ZSVVZIUHVic09BSENHRFVZQkp3aDBjTVppc1FTN3V3WUFTQXRibWdEcGlJaUljSGNKeUNTQ2dvTGNYUUlBcEl1Uk9nQUFBQk1nMUFFQUFKZ0FvUTRBQU1BRUNIVUFBQUFtUUtnREFBQXdBVUlkQUFDQUNSRHFBQUFBVElCUUJ3QUFZQUtFT2dBQUFCTWcxQUVBQUpnQW9RNEFBTUFFQ0hVQUFBQW1RS2dEQUFBd0FVSWRBQUNBQ1JEcUFHUmFLU2twN2k0QkFCNFloRHJBSk02ZlA2LzkrL2ZMTUF3ZFAzNDgzVC9KeWNsMjUyN2Z2bDNObXpkUDkvcDE2dFRSOHVYTGI2dTJsU3RYS2lnb1NQSHg4WktrU1pNbWFlL2V2ZW1lRXhFUm9lZWZmMTVidDI2OXJYc0N3TU1taTdzTEFCNDJpeGN2ZGdoVnJucjk5ZGNsU1NkT25OQ0tGU3QwOHVSSm5UaHhRdEhSMFRwNzlxeUtGU3VtV2JObXFXSERodWxlSnl3c1RDVktsTEI5am8yTjFULy8vSlB1T1pjdVhkSzFhOWR1cSs0YlhiMTZWWHYyN05FUFAveWc5dTNiNjkxMzM1V0hoK1BmTDh1Vkt5ZFBUMDhOR0RCQWl4Y3ZscmUzdCszWW1qVnIxTHQzYjRkelBEdzh0R3ZYcmp1dUVRQWVSSVE2NEQ0Yk1tU0lFaE1UYit2YzFGRG42ZW1waUlnSUZTdFdUTC84OG92NjlldW5aNTU1Um9VS0ZkTFZxMWNsU2NPR0RWT05HalVjcmxHdFdyVU03Mk8xV21VWWhrTzdZUmdPVTZLZW5wNjM5QjJ5WjgrdWI3LzlWbE9uVHRYWXNXUGw1K2RuKzE1eGNYRTZlL2FzclcrZE9uVjA4ZUpGSFQ5KzNPbTF3c0xDYkQrUEhUdFc0ZUhodDFRTEFKZ0pvUTY0ejdadjM1N21zYUNnSUxWczJWTGR1blZMOXhvRkNoVFF1SEhqSkVrTEZ5N1VrMDgrcWNLRkM5djF5WklsaTkzb2xqTW5UNTdVdFd2WGRPYk1HVWxTVEV5TUpPbnp6ei9YSDMvODRkQi84T0RCR2p4NHNGMWJSRVJFdXZkd3htS3g2SjEzM2xIVnFsWDF4Qk5QMk5wLyt1a245ZXZYejZILyt2WHI3VDRQSERoUWtteWpqZkh4OGRxK2ZidXFWNjkreTdVQWdGa1E2b0NIV04rK2ZlMUNXV2hvcUtUcno4RGRQSnJZdUhGamRlellVU0VoSVU2dkZSUVVsT0g5YXRXcWxlYXhLbFdxYU55NGNjcWJONitPSGoycXBrMmIyaDBmTVdLRXlwY3ZyNUNRRUsxWnM4YnUyTktsU3hVZkg2OTI3ZHBsV0FNQW1CV2hEbmdBelpneFF5TkhqclI5VGcxamtyUjU4MlpKMHYvOTMvOWxlSjN4NDhkTCt0OHphaG1OdXZuNStTa2dJTURwc1J1blFtKzBlL2R1RFJvMFNKS1VOMjllZmYvOTkwNm5iTE5uenk1SnlwWXRtNFlOR3lZL1B6OWJnTnkwYVpObXpacWxNV1BHT0p4bnRWbzFlL1pzQlFjSHEzejU4dW5XRHdCbVJxZ0RIa0NOR2pWU3JWcTF0R25USm4zNzdiY2FOV3FVaWhZdEt1bjZZb0hDaFF2cnZmZmVVNFVLRlJ6TzdkeTVzN0prU2Y5Zi9kallXTnV6ZVRlS2k0dlRxVk9uYko4TEZpeG8rL25HaFJlcFVsSlM5TWtubjZoOCtmTDY4ODgvNWUvdnIxOS8vZFV1aE40c0tDaElUWm8wVVVSRWhFSkNRblQrL0huMTc5OWZUWnMyMWJQUFB1dlFmOTI2ZFRwMTZwUkdqeDZkN25jQ0FMTWoxQUVQb0Z5NWNpbFhybHlhTTJlT0pLbG8wYUsyVUhYdTNEbE5tell0elhOVGp5VWxKY25MeTh2dVdFSkNnaUlpSXJSNDhXSnQyTERCNGR6Um8wZmJoYWVNUnZibXpKbWoyTmhZTlcvZVhILysrYWZhdEdtakFRTUdxRzdkdXZMejgzUG9mL01VN28yamYvUG16ZE84ZWZNa1NiMTY5YksxWDdod1FWYXJWWkdSa1NwZXZIaTY5UUNBbVJIcWdBZFk2cUtMbVRObktqZzRXRFZyMXRRTEw3emcwcm5qeDQ5WFVGQ1FMbDY4YU5zenJtN2R1c3FXTFp0V3JseXA1NTkvWHIxNjlWSllXSmo4L2YzdHp2M2lpeTkwK3ZUcGRLLy85OTkvYTh5WU1lclZxNWR0WkxCYXRXb3FXN2FzQmcwYXBDRkRoamljazlZVTdzMzI3ZHRuKzdsWnMyWXlERU1EQmd4UWdRSUZuSzc0QllDSEFhRU9lRUR0MjdkUDJiSmxreVFkUEhoUXExYXQwdmp4NHgyMjlWaTZkS2xHakJqaDBKNGpSdzUxNk5CQmtaR1JzbHF0a3FSUFB2bEV3Y0hCOHZiMlZ1M2F0ZVhyNjZ1Tkd6ZnFuWGZlc1oxMzd0dzViZHEwU1o5KyttbWF0VjI1Y2tVOWV2UlFoUW9WMUxCaFE2MWF0Y3AyckVlUEhtcmV2TGtXTGx4bzI4b2tsYk1wWEdmKy92dHZ1OC9ObXpmWGI3LzlwaUZEaG1qeDRzVk85NzBEQUxNajFBRVBxS1ZMbCtxNTU1N1RnUU1IMUxOblR3MGFORWpkdW5YVGtpVkxiSXNPSkNscjFxeVNwSnc1Y3pwYzQ5RkhIMVdEQmcxMDdkbzFEUjQ4V0srODhvcnRtTGUzdDBKRFF6VnIxaXcxYWRKRVBqNCtrcVFmZnZoQkJRc1cxRXN2dmVTMHJzVEVSSDM4OGNjNmYvNjh4b3daSTR2RlluZThaTW1TZXUrOTkvVDExMStyU0pFaUR0dVFaTFNLTnEwcDM1WXRXK3F0dDk3U3ZuMzdWSzVjdVhTdkFRQm1SS2dESGtCeGNYRmF1WEtsWnN5WW9Za1RKOHJMeTB2RGhnM1RMNy84b3BTVUZOdCtjOUwxMTRkSnNtdVRybytLOWVqUlE1SWN0Z2hKMWFwVksvMzQ0NDhhTVdLRSt2VHBvMjNidG1uUm9rVWFPWEtrMHhXc0tTa3A2dG16cDNidTNLbWhRNGZhRm0vYzdLMjMzbEprWktRKyt1Z2pEUnMyekNIWTNiandJOVd4WThmVXRXdlhOUCtaRkN0V1RKSjArdlJwUWgyQWh4S2hEbmdBelo4L1gwODk5WlRkOWlKNTgrWlYvZnIxdFhqeFl2WHYzOS9obkp0WG5McXlhYkNmbjU4KytlUVRmZnJwcC9MeDhkSGl4WXNWR2hxcW1qVnJPdlNOajQ5WDc5Njl0WG56Wm5YdTNGbDE2dFJKODdvZUhoNGFPSENnMnJadHEyN2R1cWxidDI1cTFxeVo3ZmlOQ3o5Y2RlVElFVnZOQVBBd0l0UUJENkFpUllxayticXZ4bzBicTNIanhyYlBDeGN1MUtCQmcyN3J6UStTOU9LTEwyclZxbFdhTld1V0FnSUM5UEhISHp2ME9YSGloUDd2Ly81UDBkSFJhdDI2dGQwemVHbng5ZlhWMkxGajFiRmpSMzM5OWRmYXVuV3JoZzhmZmt1MXpaZ3hRMy8rK2FkOGZIeTBmZnQyRlNoUWdMM3FBRHkwQ0hYQWZiUmp4dzZIZDZmZTdNU0pFOXEyYlZ1YXg2dFhyNjRYWDN6eGJwZVdaaTBqUjQ3VTFxMWJWYlZxVmUzY3VWTWZmUENCUHZua0U3dnRRODZlUGF1WW1CaDE3TmhSYmR1MmRmbjZlZlBtMWNTSkU5V3paMDhWSzFiTTlscXpZOGVPT2ZSMTFwWXZYejRkUEhoUXljbkpldUtKSjlTcFV5ZUhiVm9BNEdGQnFBUHVvKzdkdXp2ZDFQZEdHelpzY0xwSFhLcjBSdHh1ZnRQRWpad3RRUGorKysrVmtKQ2d6WnMzMjFiU1NsSjBkTFRtenAyckZTdFdxSERod2hvelpveXFWcTJxclZ1M3FuLy8vbnJqalRkVXQyNWR2ZnJxcTNybW1XZjA1Sk5QYXY3OCtiZTFUMXpPbkRrMWV2Um8yd3BjU2VrK08zZWordlhycTM3OStyZDhUd0F3STBJZGNCK3RXTEZDaG1IY3MrdW52bW5DVlhQbXpOSENoUXNsWFY4OUtsM2Y1SGZvMEtFcVZLaVFQdnp3UTczNjZxdTJmZVpxMUtpaHNMQXdUWmt5UmZQbXpkTmZmLzJsNmRPbksxZXVYSGUwOGErSGg0ZmROaVJoWVdFT3o5VEZ4TVNrK3lZS0FBQUFCNEdCZ1VaZ1lLRHhJRGg3OXF5UmtwSnlXK2RldVhMRk9IWHFsSEhseWhWYjI3VnIxNHlOR3pjYXljbko2WjU3NmRJbDQvang0eTdkNS9qeDQ4YnExYXN6dktaaEdNYmh3NGVOcEtRa2gvYWtwQ1RqMkxGamhtRVl4b1VMRjR5b3FDaVg3bjIzcFA1T3VQdDNFd0RTWXNtNEMvRHdTZjAvNzl0ZFhBRHpTWjIram95TTVMK2JBRElsdGwwSEFBQXdBVUlkQUFDQUNSRHFBQUFBVElCUUJ3QUFZQUtFT2dBQUFCTWcxQUVBQUpnQW9RNEFBTUFFQ0hVQUFBQW1RS2dEQUFBd0FVSWRBQUNBQ1JEcUFBQUFUSUJRQndBQVlBS0VPZ0FBQUJNZzFBRUFBSmhBRm5jWEFHUm1RVUZCN2k0QkFBQ1hNRklIT0dFWVJyaTdhMERtdys4RkFBQjRJQVVHQmhxQmdZR0d1K3NBQUdTTWtUb0FBQUFUSU5RQkFBQ1lBS0VPQUFEQUJBaDFBQUFBSmtDb0F3QUFNQUZDSFFBQWdBa1E2Z0FBQUV5QVVBY0FBR0FDaERvQUFBQVRJTlFCQUFDWUFLRU9BQURBQkFoMUFBQUFKa0NvQXdBQU1BRkNIUUFBZ0FrUTZnQUFBRXlBVUFjQUFHQUNoRG9BQUFBVElOUUJBQUNZQUtFT0FBREFCQ3p1TGdCQTVsQ3BVcVhpa21aWkxCWVBTVElNdzJxeFdHcjg5K2V0TjdaN2VIaTBpSWlJT096R2NnRUFOeUhVQVVobENRd01qSmIwYUFiOURrUkdScGFSWk55SG1nQUFMbUw2RlVBcVExS1lDLzNDUktBRGdFeUhVQWZBeG1LeFpCanFQRHc4WEFsK0FJRDdqT2xYQURmeUNBb0tPbVFZeGlOcEhEOFNHUmxaWEl6VUFVQ213MGdkZ0J0WnJWYnJvblNPTHhLQkRnQXlKVUlkZ0p1bE43M0sxQ3NBWkZLRU9nQjJTcGN1dlZYUzZadmJEY000VmFwVXFXMXVLQWtBNEFKUGR4Y0FJSFBadTNldlViaHc0ZEtTbnJteDNjUERZK2I2OWV1WHVha3NBRUFHR0trRDRNRFpDbGVyMWNyVUt3QmtZb1E2QUE0TXd3aVhkT0dHeitjOVBEeCtkbDlGQUlDTUVPb0FPSWlJaUVpU3RDVDFzOFZpV2ZMZk5nQkFKa1dvQTVBVzIzU3JLNXNTQXdEY2kxQUh3S25ZMk5oMXFUOWZ1blJwdlR0ckFRQmtqRkFId0tubzZPZ0V3ekJtUzVvVkhSMmQ0TzU2QUFEcDR6VmhnQk9WS2xYYVliRllxcmk3RG1RdWhtR0VSMFZGUGVmdU9nREFHVWJxQUNjSWRIREdZckVFdTdzR0FFaExGbmNYQUdSbUVSRVI3aTRCbVVSUVVKQzdTd0NBZERGU0J3QUFZQUtFT2dBQUFCTWcxQUVBQUpnQW9RNEFBTUFFQ0hVQUFBQW1RS2dEQUFBd0FVSWRBQUNBQ1JEcUFBQUFUSUJRQndBQVlBS0VPZ0FBQUJNZzFBRUFBSmdBb1E0QUFNQUVDSFVBQUFBbVFLZ0RBQUF3QVVJZEFBQ0FDUkRxQUFBQVRJQlFCMlJDTVRFeERuK3NWcXNrNlk4Ly9sRERoZzExL1BqeE83cEhVRkNRWW1KaVhPcTdhTkVpblQ5L1BzM2ovZnYzMTJlZmZXYXI4VmFscEtSaytBY0FrTDRzN2k0QWdLUFEwRkNIdHJWcjF5cFBuandhTm15WUNoY3VMRWwyd2M3THkwdisvdjRPNTZVWC9rNmZQaTF2YjIrbng0b1VLU0pKdW5UcGtpWlBucXl4WThmcWl5KytVSTBhTmV6Ni9mdnZ2MXE2ZEtuYXRHa2pEdy9uZjA4MERFT0hEaDFLc3c1bjMvZG15NVl0czlVRUFIQkVxQU15cWJDd01KVW9VVUkvL3ZpanhvOGZyeng1OG1qZXZIbjYvZmZmSlVrTkd6YTA2MSsyYkZuTm1UUEg0VG8zOTd0Ung0NGQwendXRVJFaFNjcWRPN2RtelpxbDNyMTc2NE1QUHRBSEgzeWdWcTFhMmZvTkd6Wk1aY3FVVWR1MmJXMXRVVkZSOHZiMlZ2bnk1U1ZKVjY5ZVRUTzRoWVdGU1pJV0wxNHNTVHA1OHFUZWUrODlMVnEwU0I0ZUhrcEtTdEliYjd5UlpwMEFBQUJwQ2d3TU5BSURBdzEzQ1F3TU5BNGVQR2dZaG1HMGFkUEcrTzY3NzR4OSsvWVp6ejc3ckxGczJUSzd2di84ODQ5UnRXcFZZOEtFQ1JsZXk1WDJnd2NQT3YzdUtTa3B4ckJodzR3Ly92akQxclpxMVNyajJXZWZOZjc1NXgrN3ZsMjdkalZlZWVVVjQrclZxeG5lOStiN0hUNTgyQWdNRERTU2s1TU53ekNNaElRRUl6QXcwRGgyN0pqVDczZS9wUDVPdVB0M0V3RFN3a2dka0lrZE9YSkVlL2JzVWVmT25kVzllM2RWckZoUmdZR0J0aWxWd3pEVXQyOWZQZnJvbzNycHBaZDAvUGh4RlNoUVFGbXkyUCtybmRZb21TdlRubGV1WEZHMmJObms2ZW1wN3QyNzI5cFBuVHFsSVVPRzZPT1BQMWFaTW1Yc3p1blhyNSthTkdtaVVhTkc2Wk5QUG5IcHU2WSszM2Z5NUVuYlowOVBUeVVsSmJsMFBnQTg3QWgxUUNhMmVQRmlWYTVjV2ZIeDhTcFVxSkQrK2VlZk5LZFRYM25sRlVuL203YTkwYmh4NC9USUk0L1l0VFZzMk5CcCs5R2pSKzJtWlh2MjdLbUxGeS9xeXkrL1ZNbVNKU1ZKY1hGeCt1aWpqMVNqUmcyOTl0cHJ0cjdKeWNtNmR1MmFrcE9UOWM0NzcyakVpQkVLQ1FuUlUwODlsZUYzdlRsZ05tblNKTU56QUFEL1E2Z0RNckZkdTNhcFVxVktxbDY5dXFwV3JTcFBUODkwK3djRkJkbDlUazVPMXZqeDQ1MHVvRWhMb1VLRk5INzhlQ1VuSnl0TGxpenEycldydW5mdnJwWXRXNnBIang2cVg3KytXclZxcGNPSEQrdmt5Wk42L3ZubmRlM2FOU1VrSkRoZHBUcDQ4R0RObWpVcnpVVVVxVktmNFR0eTVJZ2FOMjZzblR0M3l0UFRVNG1KaWFwV3Jackw5UVBBdzRwUUIyUmluVHQzVnRldVhkVzBhVk1WS1ZKRWpSbzEwdEdqUjEwKy85Q2hRMnJmdm4yYXg5TmJLREYvL255VktsVktaY3FVMGZUcDAvWGhoeDhxTWpKU3I3enlpdXJWcTZkVHAwNHBJQ0JBZWZMa1VhNWN1WlFyVnk3NSt2b3FSNDRjOHZIeFVZNGNPWFRvMENHOS9mYmJtamR2bm1iTm1xVVRKMDVJK3QrbzNDT1BQS0p2di8zVzVlOERBRWdib1E3SXhLcFVxYUx5NWN0cjd0eTUrdkRERHpWanhveDA5NEtyVzdldVE1dUhoNGQyN2RybDBCNFVGT1IwcWxhU0tsZXViUGZaejg5UDMzLy92VzBrN3YzMzMzZXAvZ29WS3VqZGQ5OVY5ZXJWVmF0V0xTVW5KeXMwTkZTalJvMVMwYUpGNWVYbFpYdG03dVpSeGlwVnFyaDBEd0RBZFlRNklKT3JWYXVXVnE1Y0thdlZxbXpac3QzV05kTGFxeTY5ZmVwdWxpVkxGcnUrcm01YzdDd0FGaTFhMUJZbVU2K1R1clhKeVpNbjlmNzc3MnYrL1BtMmhSTE5talZ6NlY0QThEQWoxQUdaWElFQ0JYVG16Qm45OHNzdjZ0S2x5eTJmYjdWYTAxeGNrZDcwNjgyR0RoMnFpeGN2YXZEZ3daSmNXemtyL2U5WnViU1VLRkhDOXZ5Y0pOdi9saWhSd3ZiempjY0JBTTRSNm9CTWF0KytmYnB5NVlvMmJ0eW9mUG55cVhMbHlscTdkcTN0K0l3Wk0xUy9mbjNseTVmUDFqWnMyREQ1K1BqWVB2djcrK3ZUVHorMVc2RXFTWHYyN05HeVpjdlVxVk1uNWMyYjErSGVpeFl0Y2xoY3NXWExGajMyMkdOMmJXbE4zMHJYUitCY0NYNDNqL2pkdktWSnFrS0ZDdDMyU0NVQVBBd0lkVUFtdFdIREJtM2N1RkcrdnI3cTFhdVhsaTFicGpwMTZxaFJvMGFhTzNldWZ2MzFWLzMyMjIrYU1HR0NQRDA5ZGVEQUFlWElrVVA1OCtlM1hlUGF0V3ZLbHkrZnJGYXJ6cHc1bzRFREIrcmJiNy9WZ0FFRGxKU1VwT1BIanp1RXVzdVhMK3ZFaVJOMjRUQTZPbG9uVHB4UXAwNmQ3dXAzakkrUFR6UDQzYnlseWRpeFkxVzFhdFc3ZW44QU1KUDA5eGdBNERZZE9uVFFoZzBiOU5OUFAwbVNSbzhlTFl2Rm9yaTRPSGw0ZUdqSWtDRTZkT2lRZnZ2dE4yM2F0RWxIamh6UmxpMWJOR25TSk5zMWxpNWRxcUZEaDhwaXNlanExYXZhc21XTEpHblVxRkhLbVRPbjJyVnJwMlBIamttNnZ2Vkl0MjdkRkI4ZnI0VUxGMnJreUpHMjY0U0hoeXRMbGl6NnozLytjMWUrMjVRcFU5U2lSUXVGaG9ZcUlpTEM3ay9xNjhKMjd0eHAxMDZnQTREME1WSUhaRkpac21TUm41K2ZKR25ldkhrS0NRbXhXNmhRc0dCQkxWbXlSTDYrdnVyWHI1OFNFeFBWcTFjdmZmTEpKNnBWcTViS2xDbWpwVXVYNnVXWFg1YkZZcEhGWXJHZFc2aFFJVTJjT0ZHN2QrOVcwYUpGSlVsLy8vMjM0dUxpVkxCZ1FYM3l5U2Y2N0xQUDlNd3p6NmgyN2RwYXUzYXRubm5tR2ZuNit0clZlT1hLRlYyK2ZObHAvVmV1WExIOWZPN2NPVTJlUEZuaDRlR1NwT1hMbCt1Sko1NXcrYms4QUVER0NIVkFWamxZR0FBQUlBQkpSRUZVSnJkNzkyN3QzYnRYWDMzMWxiSm16U3B2YjIrRmg0ZmJScTcyN2R1bjdkdTM2NTEzM2xGd2NMQysrdW9ybFM1ZFdrdVhMdFhKa3lkdHdjblB6MDhXaTBWTGx5NVZ4WW9WSlVsRmloUlJURXlNOXUzYnB6LysrTU8yeXZTbGwxN1NtalZydEgvL2ZoVXFWRWdIRGh4dytvYUh0OTU2eTZYdjRPM3RyYkN3TUpVdlgxNnRXclhTYzg4OXA0SUZDeW9tSnNibForb2txWGp4NG5iaEZBRHdQNFE2SUpONzVwbG5OSHYyYk51SVd0dTJiVFY2OUdnTkd6Wk1rdVRsNWFWS2xTclpWcmkrOE1JTGtxNXZHOUs1YzJjVkxGaFFrcFE3ZDI1MTZOQkJYMy85dGVMajQrM3VrVFZyVmxXclZrMXQyN2ExdFkwWU1VSWVIaDVhc0dDQlBEdzhWS3RXTFlmYUprMmFwSUNBQUtkMUh6bHlSRzNhdEpFazVjeVpVMnZYcmxXdVhMbnMrcVEzVXVjc1JHN2V2Rms1Y3VSSTh4d0FBQUE3Z1lHQlJtQmdvT0V1SzFhc01PTGk0dHgyLzVzZFBYclVvVzNNbURIR2hRc1gwanpud29VTHhwZ3hZKzVsV2ZkVjZ1K0V1MzgzQVNBdHpHTUFUcVQrbjNkR2U2emg0Wkg2eG92SXlFait1d2tnVTJMMUt3QUFnQWtRNmdBQUFFeUFVQWNBQUdBQ2hEb0FBQUFUSU5RQkFBQ1lBS0VPQUFEQUJBaDFBQUFBSmtDb0F3QUFNQUZDSFFBQWdBa1E2Z0FBQUV5QVVBY0FBR0FDaERvQUFBQVRJTlFCQUFDWVFCWjNGd0JrWmtGQlFlNHVBUUFBbHpCU0J6aGhHRWE0dTJ0QTVzUHZCUUFBZUNBRkJnWWFnWUdCaHJ2ckFBQmtqSkU2QUFBQUV5RFVBUUFBbUFDaERnQUF3QVFJZFFBQUFDWkFxQU1BQURBQlFoMEFBSUFKRU9vQUFBQk1nRkFIQUFCZ0FvUTZBQUFBRXlEVUFRQUFtQUNoRGdBQXdBUUlkUUFBQUNaQXFBTUFBREFCUWgwQUFJQUpFT29BQUFCTWdGQUhBQUJnQW9RNkFBQUFFeURVQVFBQW1BQ2hEZ0FBd0FRSWRRQUFBQ1pBcUFNQUFEQUJpN3NMQUpBNUJBVUZGVE1NWThSTnphSC8vZCt3R3hzOVBUMjc3ZHExNjhqOXFRd0E0QXBDSFlCVUhvR0JnWWNsRlUydms4VmlPUm9SRVZGY2t2WCtsQVVBY0FYVHJ3QlNXUzBXeTZJTU8xbXRpMFNnQTRCTWgxQUh3TVpxdFlabDNFdXU5QUVBM0dlRU9nQTJwVXVYM2lMcGREcGRUcGN1WFhyci9hb0hBT0E2VDNjWEFDRHoyTHQzcjFHNGNPRXlrb0xTNkRKenc0WU55KzVuVFFBQTF6QlNCOENPeFdKSmMzclZ3OE9EcVZjQXlLUUlkUUJ1OXBPa0MwN2FMeGlHRVg2ZmF3RUF1SWhRQjhCT1JFUkVrbUVZUzUwY1doSVJFWkYwM3dzQ0FMaUVVQWZBUVJwVHNFeTlBa0FtUnFnRDRDQlhybHpySk1YZDBIUTVOaloybmJ2cUFRQmtqRkFId0VGNGVQZzFTY3RUUDFzc2x1WFIwZEVKYml3SkFKQUJRaDBBcHd6RHNFMjN1cmdwTVFEQWpRaDFBSnhLU1VsWmRjUFBxOTFaQ3dBZ1k0UTZBRTc5OXR0dlZ5UXRraFQyMzU4QkFKbFlGbmNYQUNEek1neGpvU1REM1hVQUFESkdxQU9RSm05djd4VlpzbVFoMUFFQUFBQUFBQUFBQUFBQUFBQUFBQUFBQUFBQUFBQUFBQUFBQUFBQUFBQVBHSXU3Q3dBeXUwcVZLdTJ3V0N4VjNGMEhNZzJyWVJnRG9xS2krcnE3RUFDNEVlOStCVEpBb01OTlBDd1dTeDkzRndFQU4rTTFZWUNMSWlJaTNGMEMzQ3dpSWtMdDI3ZVhwSi9kWFFzQTNJeVJPZ0FBQUJNZzFBRUFBSmdBb1E0QUFNQUVDSFVBQUFBbVFLZ0RBQUF3QVVJZDRBYUppWW0zZkk3VmFyWDduSnljckhQbnp0MnRraVJKS1NrcGQvVjZBSUQ3aDFBSDNHTXhNVEVLQ2dxeWErdlpzNmY2OW5WOTcxcXIxYXFXTFZzcVBEemMxalo3OW15MWF0Vkt4NDRkdTZWNmdvS0NGQk1UNDlCKzZkSWxCUWNINjlDaFE3ZDB2UnZGeDhkci9QanhPbjM2dE12bldLMVdmZjMxMTlxeFk0ZlQ0eU5IanRURWlSTWRRdTN0U0VwSzB0R2pSN1ZuejU0N3ZoWUFaRGJzVXdmY1o5ZXVYZE12di95aU5tM2F1SHpPb2tXTGRPN2NPVldwOHI5OWtGOS8vWFhObkRsVE0yYk1VTStlUGRNOHQzYnQyb3FMaTdOckN3ME50ZnNjRVJHaGJkdTJxVUNCQWlwZXZMalQ2MWl0VmgwK2ZOanBzUklsU2tpU05tN2NxSWtUSjZweDQ4YXVmQzFKa29lSGgrTGk0dFN6WjAvTm16ZFBCUW9Vc0IzYnVYT25aczZjcWREUVVIbDRPUDg3Nkk0ZE8zVDE2bFZkdTNaTjE2NWRVMXhjbkM1ZnZxelkyRmpGeHNicXdvVUxPbmZ1bk02ZlA2OExGeTdJTUF4SjBxUkprL1QwMDArN1hDY0FaSGFFT3VBZTJMdDNyMHFYTGkxdmIyK0hZeHMzYmxSQ1FvS0NnNE5kdXRicDA2YzFldlJveGNYRnFWYXRXZzdIRnl4WW9BVUxGamkwUC9MSUkxcXlaSWxXckZoaEN6S1NGQndjck9uVHA2dFlzV0oyL1Zldlh1MTBWRkdTcGs2ZHFpSkZpamlFd1ZTcEd6T3ZYTGxTSVNFaGRzSHNab21KaVRwKy9MaGRXNU1tVGJSbHl4WnQzcnpaN3Y1VHBreFJtVEpsMUtSSkU0ZlJ4ZFFnMmFsVEo3djJyRm16S21mT25NcVZLNWR5NXN3cFB6OC9WYWhRUVg1K2ZzcVRKNC95NTgrdmZQbnlLU0FnSU0wYUFlQkJSS2dEN29GV3JWb3BMQ3pNRmp4dXRHVEpFaFVvVUVDZW5wNU9wMEVsS1YrK2ZNcVpNNmVzVnF2Njl1MnJ1TGc0elpzM1Qvbno1N2ZyVjdkdVhVMmRPdFZwUUVrZDJmTDE5VlhseXBYdGpyVnUzZHJ1OCtMRmk3VnQyeloxNjlaTmRlclVrWFE5eUsxYXRVcXpaczFTb1VLRjVPM3Q3ZkJXaldYTGxxbGZ2MzZTcEtOSGoycm56cDB5REVNclY2NTArcjNhdEdtanVuWHJxa1dMRms2UER4dzQwR2w3a3laTkhOcHVyT1g5OTk5WGt5Wk5sQ05IampSSDlBREE3QWgxd0gyMGYvOSs3ZDY5VzVMakZPaU5ldlhxcGRkZmYxM2ZmUE9OZHUzYUpVbktsaTJiY3VUSTRkQTNyZlliUndtdFZxc1dMMTZzZ0lBQUJRVUZhY0dDQlNwUm9vU09IRG1peG8wYmEvTGt5YXBaczZhaW9xTFVzbVZMU1ZKVVZKUWFOR2pnTUtLWGxubno1dW54eHgvWFYxOTlaZGZldkhsenRXN2RXaUVoSWZMejg1T2ZuOTlkZitXYWo0K1BmSDE5NytvMUFlQkJRNmdEN3FNWk0yWklrZ1lOR3FRWFhuakIxdjdUVHovcG80OCswdnIxNjVVblR4NUowc3laTXpWNzlteTk4ODQ3bWpKbGlobzFhdVQwbXMyYU5YUGF2bmJ0V3VYTGw4K2x1aTVkdXFTQkF3ZnFqVGZlVUhSMHRNNmVQYXV6WjgrcWJkdTJMcC8vNDQ4L3FtREJnbmFqazdHeHNVcE1URlRac21YdDJnM0RTSGRCUnRHaVJlWGw1ZVhRdm1IREJnMGVQRmpyMXEyemF4ODZkS2lHRGgzcVVxMDNHamh3b0VKQ1FtNzVQQURJakFoMXdIMFNFeE9qVmF0V1NaSk9uanhwZCt6czJiUHk4dkpTN3R5NWJXM1ZxbFdUbjUrZjZ0U3BveWxUcHRpbWJXOVVyVm8xelowNzErbmloaHRINnNxV0xhdG16WnJadGxKSlhYamc3ZTJ0c21YTGFzaVFJZkwwOUZTL2Z2M1VyMTgveGNmSDY4c3Z2M1E1RkU2ZVBGa1dpMFdIRHg5V1ltS2k3ZDZwQ3l1S0ZpMXExejhwS1NuZGtjclVxZXVZbUJpRmhvYmFSdllTRWhKMC92eDVoLzV0MjdiVlN5Kzk1Rkt0TjBydjJUOEFlTkFRNm9EN1pPN2N1U3BRb0lES2xDbWp2Ly8rMis1WVRFeU1BZ0lDN0o0SEsxV3FsRXFWS3FYNCtIaEp1cU9SdWpsejVtam56cDNhdEdtVDVzeVpvd0lGQ3FoZ3dZTHEwS0dEcWxXckp1bDYwTnEwYVpQKyt1c3ZXU3dXVFpvMFNkN2UzcXBTcFlvc0Zvc2tPVjFFSVVuUjBkSDY0SU1QTkhUb1VQMzExMTk2NnFtbkpGMmZidmIwOUhUNmJLRWtEUjgrM0dIQlNGcjNTSSsvdjMrYTl3Q0Fod1doRHJoUDJyUnBvMXExYXVuZ3dZT2FQbjI2RE1Pd2hhWGZmdnRONWN1WFQvZjhsU3RYcW1EQmduWnRRVUZCYVM3SVNMVi8vMzVObkRoUmhtRm93SUFCbWpObmp2cjI3YXZ3OEhCOThNRUhDZzRPVnYzNjlmWGRkOS9wNk5Hait2enp6NVV2WHo0TkhEaFFuVHAxVXBFaVJmVGRkOS9aUmdNN2QrNnM1NTU3VHRMMWFlUHZ2dnRPQXdZTVVLNWN1UlFXRnFhZE8zZmFRdDJ2di82YTVpcGc2ZnJLM3JRV2k3Z2lkYlBrTEZuNFR4a0E4RjlDNEQ3eDkvZVh2NysvaWhjdnJtKysrVVk3ZCs1VTFhcFZkZkxrU2UzYnQ4KzJRQ0V0OWV2WGQ5cWUxalJtN3R5NU5XM2FORFZ2M2x4dnYvMjIzbi8vZmR0SVlPSENoZFdyVnkrMWFORkM1OCtmMStUSmsrWHQ3YTJwVTZmcThjY2ZseVQ5K09PUFdySmtpZmJ1M1dzM3Zacy9mMzViaUt4Y3ViS2FOR2tpUHo4L1NWTFZxbFcxY2VOR3RXdlhUbGFyVmR1M2IwOTNXblRJa0NIcGZ1ZU1KQ1FrU0xxK1dFVFNMUVZFUnZZQW1BMmhEcmlIRWhNVHRXWExGcnUyUng1NVJJR0JnWm8xYTVhcVZxMnFIMy84VWRtelo5ZC8vdk1mcDlmSWtpV0xYbmpoQmIzMzNudDJLenpidFd1bi92MzdxMUNoUWs3UHMxZ3N5cHMzcjJiT25DbC9mMy9iYzN4aFlXSHk4dkxTOGVQSDVlWGxwWUlGQytxOTk5NlRuNStmTEJhTDNSNXlOV3JVMEJ0dnZKSG05NnRRb1lJcVZLaGcrMXkzYmwzTm1ERkRmLzc1cHk1ZXZLaHo1ODZwYnQyNmFaNS9wOU92c2JHeGttVDc1NUxlYzNvM3U5c3JjQUhBM1FoMXdGMlduSndzNmZyaWdTMWJ0dWp5NWNzT2ZkcTFhNmVPSFR0cTRjS0ZtajE3dHBvMGFhTHMyYlBiOVVsS1N0S1pNMmNrU1YyNmRKSDB2NUVwU1RwMDZKQ3VYTGxpMSthc2xzY2ZmMXp2dnZ2dWJiOGE2MWJDejVOUFBxbkhIbnRNNDhlUFYxeGNuTXFVS2FPS0ZTdW0yZjlPcDE5VGcycmV2SGx0YmFuYndhUmw0Y0tGR2pSbzBHM2ZFd0F5SzBJZGNKZWxqc3l0V2JOR3I3MzJtdXJXcmFzT0hUclk5YWxTcFlvYU5HaWdRWU1HeWQvZlgrKzg4NDdEZGY3OTk5ODBOK2xOMWJGangzU1B6NTgvWDZWS2xkTGt5Wk1sU2R1MmJWT2xTcFhzQXFRcnorV2w1ZlRwMDVvMGFaSzZkT2xpR3kxNy8vMzMxYlZyVjBuU3Q5OSttKzc1ZHpyOXVtL2ZQa25YUno4QjRHRkhxQVB1c2llZmZGSTFhOVpVdDI3ZGJOdHkzQ3d4TVZIWHJsMlRkSDFqNEgzNzl1bVpaNTZ4Ni9QWVk0ODVqSkpGUkVSb3dJQUJxbGl4b3BZdFc2WUdEUnBvOWVyVmV1NjU1OVNsU3hlSHJVTnUxcVZMRjZjQnp0bTBaZTdjdWJWeDQwYW4xemwxNnBTbVQ1K3VSWXNXS1VlT0hHclpzcVV0MUtYdVArZmg0V0ZidVp1V2pLWmZQVDA5N1ViaGJyWnAweWFWS1ZOR3VYTGxTdmMrQVBBd0lOUUJkMW0rZlBuU0hhSGF2MysvK3ZUcG95TkhqcWgvLy81YXZIaXhPblRvb0pDUUVMVnIxMDRsUzVaME9PZlhYMy9WNU1tVEZSMGRyUTgvL0ZEMTZ0WFRzbVhMOU00Nzc2aEZpeFlhUG55NFhuMzFWZFdyVjAraG9hR3FWS25TTGIwdWE5eTRjUTZqWFo2ZW5uYWZyMTY5S2ttYU5XdVd2dnJxSy9uNitxcERodzVxMnJTcHNtZlByb3NYTDJyUW9FRmF2MzY5R2pSb29LdFhyNnAzNzk3YXMyZVAzbi8vZmFkdnZjaElRRUNBM1ViRFZxdlY5dk9CQXdlMGMrZE9oOUhLaElRRXAxUGVOeDRIQURNaTFBSDN5Y1dMRnpWeDRrVE5uejlmSlVxVTBQVHAwMVdxVkNtOStPS0xtakZqaGlaTW1LQzFhOWVxU3BVcWV2UE5ONVUzYjE3OS9QUFBXcmR1blM1ZnZxem16WnRyNk5DaHRwV2VxVktmWWR1MWE1Zm16cDJyamgwN0tuZnUzS3BhdGFycTFxMnJ4eDU3eks3LzZkT24wOXhpNUVZcEtTbTJSUlArL3Y3Njg4OC9KVW5IamgzVHUrKytxMWF0V2lsSGpoeUtqNC9YMUtsVE5XWEtGQ1VtSnVyRER6L1VtMisrS2F2VnFoOSsrRUdUSjAvVzZ0V3IxYUpGQ3pWdTNOanBoc2FwYjU2NGRPbVNKUHN0U25iczJDR3IxU29QRHc4dFc3Yk1OaW8zWXNRSWVYdDc2OVZYWDdXNzFvZ1JJelJpeElnTXZ4OEFtQTJoRHJoUGxpMWJwaDkvL0ZIdDI3ZlgyMisvYlhzTmxvZUhoOTUrKzIyOS9QTExtakpsaWxhdVhLbGN1WExwd29VTCt1ZWZmOVNoUXdjRkJ3ZG5HTVFxVjY2c3lwVXI2OXk1Y3dvUEQ5ZldyVnVWUDM5K05XelkwSzZmcytmd01ubzJiOGFNR2FwWXNhSWFObXlvTGwyNjJJTFo0Y09IOWRaYmIrbnk1Y3VxVWFPR3VuZnZidHYreE1QRFF4MDdkbFR0MnJVMWRPaFFqUjA3Vm9VTEYzYTZOY3ZhdFd0dGl4ZEtsaXlwd29VTDI0N05uejlmNGVIaGtpUXZMeTk5OE1FSFNrNU8xcWxUcDlTOGVYT0g2ZG11WGJ1cVFZTUdhWDZYNWN1WGE5U29VZWwrWHdBQVlFS0JnWUZHWUdDZ2Nic1NFeE9ONk9ob3cycTFHdWZPbmN1d2YxSlMwbTNmeXgzQ3dzS01YMy85TmNOK2UvZnV0ZjJja3BKaXJGNjkyamgxNnBSaEdJWng5ZXBWNDlDaFE4Ymh3NGNkdnYrVksxZU1NMmZPR0dmT25ERVNFaEpzN2IvLy9ydHg1Y29WdTc1OSsvWTFkdTNhbFc0ZHUzYnRNdnIyN1p0aHZjN3MzcjNiK08vdlE3aTdmeThCNEdZV2R4Y0FaSGFCZ1lHR3hMNW11UDQ3MEw1OWUwbjZPVEl5TXRqTjVRQ0FIZGVmcEFZQUFFQ21SYWdEQUFBd0FVSWRBQUNBQ1JEcUFCTzRkdTJhTGw2ODZPNHlBQUJ1eEpZbXdEMXdKKzh6TFZxMHFHMjdrMVM3ZHUzU3JsMjcxS2xUSjZmblRKczJUZVBIajc5dml6bnU1TlZpTjdKYXJabzBhWkplZnZsbEZTbFN4R21mUFh2MjZJOC8vbERUcGszdDlxK1RwTzNidDZ0QWdRSXFWYXFVWGZ2SWtTUGw0K09qZHUzYTNWRjlBUEFnSWRRQjk0Q3oxMjY1eWxsWWlveU0xS1JKazlJTWRSbXBVNmVPYldOZlY5MUtRSXlKaVhIcE85OTh6ZlBuejJ2WnNtVmF1SENoeG93Wm85S2xTOXNkVDBwS1V2LysvWFhwMGlVOS8venpLbENnZ04zeFpjdVdhZVBHaldyZnZyMWF0MjR0RHc4UEpTY25hOFdLRlhydHRkZlNEZGVlbnA0S0NBaHcrVHNDUUdaSHFBUHVrWnZEMmNLRkM1VW5UeDdWclZzM3pYTnVmTy9wM1RSdDJqU2xwS1JJa3BZdVhhcHAwNlpwOXV6WnlwbzFxMFBmaVJNbjZyZmZmcnV0KzRTRmhUbHQzN0psaTc3NTVodUg5dno1ODJ2Q2hBbHEyN2F0MnJWcnAvSGp4NnRNbVRLMjR4TW1UTkNoUTRjMGJ0dzRoMEFuU1FNSER0VGN1WE0xY3VSSTVjeVpVMis4OFliV3JWdW44K2ZQYStMRWlabzRjV0thdGViTGwwOXIxNjY5alc4SkFKa1RvUTY0RDM3OTlWY05IVHBVclZxMTB0TlBQKzF3M05mWDEybkF1bHR1SEpGS2ZRZHJtVEpsSE40UG01U1VwTzNidCt2Tk45OTB1TWI1OCtjVkd4dHIrM3pzMkRHSFBtbE54Lzc5OTk4T2JUZU9vdlhvMFVNVEowNVVjbkt5cmYzWXNXT2FPbldxUWtORGxUOS9mbHQ3N3R5NWxTZFBIdHU1elpvMVUrWEtsVld5WkVrbEpDUm8zTGh4ZXUrOTkyeFRyeE1tVE5ETW1UTzFZY01HWmNtU1Jjbkp5WHIxMVZkVnFWSWxwN1VDd0lPS1VBZmNZekV4TWVyZXZidFNVbEkwZGVwVVRaMDYxYUZQbno1OTFMaHg0L3RTVDN4OHZDVHAzTGx6OHZmM3R6dTJjZU5HeGNiR09yeGFUTG9lanViUG4yLzczTFZyVjl2UGFZM1FwY2ZaZEczTGxpMGQyaFlzV0tBRkN4Ylk5ZW5Xclp0ZG41SWxTMnJDaEFueThmSFIxYXRYMWJ4NWMwbFNRa0tDbGk1ZEt1bjZPMitMRkNtaTlldlg2K1RKazJyYnR1MHQxd3dBbVJtaERyaUg5dTNicHk1ZHVpZ3hNVkhObWpYVHh4OS9iRHQyNGNJRmZmREJCMHBKU1VsM1N2WkdHVTNQM255OGVmUG0rdWlqait6YVVwK3RXN1Jva1RwMDZHQjNiTkdpUmFwWnM2WkQySk91ajZiMTZORkRmLzMxbDFxMmJHazN2Wnc2aXBiV00yeG56cHh4YUV2cm1iMkpFeWRxM0xoeDJyVnJsOE5Jb2pPeHNiSHExYXVYZHUvZXJiRmp4MnJxMUtueTlmVlZZbUtpK3ZUcG80c1hMNnBDaFFycTJMR2p2djMyVzczNDRvc3FVNmFNaWhVcmx1RzFBZUJCUXFnRDdwRXJWNjdvLy83di8vVDg4OCtyZmZ2MjZ0S2xpM3IyN0tuZXZYdnI5OTkvMTRBQkExUzJiRmtOR0RCQVBqNCtMbDN6VmtmRWN1WEs1ZEIyNGNJRlNkTDgrZlAxMWx0dktYdjI3TFpqRVJFUk1nekRGZzY5dmIyMWZmdDJ1L1BUZXc3dFRoYUkzSTQ5ZS9ibzAwOC9WV0ppb243NDRRZmIxUGIyN2RzMWN1UklIVDkrWEY5Ly9iV2VmdnBwZmZUUlIyclJvb1ZhdFdwbEc4a0RBRE1oMUFIM2lJK1BqK2JObTZlOGVmTktrcjcvL251MWJkdFdJU0VoU2t4TVZLTkdqZlRaWjUrNU5Cb2xTUjRlSG5lOGhZZ2tuVHg1VW9HQmdkcS9mNzltelpwbE53MjVjT0ZDU1ZKMGRMUjY5T2loeHg5LzNPN2N4TVJFMjNUbTlPblRWYTVjT2IzKyt1dTI0Mm1OdnExWnMwYTllL2QycVQ3RE1DUkpGa3Y2cjZaZXNXS0Z2dmppQ3ozKytPTWFQbnk0L1AzOU5YZnVYTTJmUDErSERoM1NmLzd6SHcwZlBseVBQUEtJSkduVXFGR2FQWHUyeG84ZnIyblRwcWxxMWFwNjk5MTM5ZFJUVDdsVUZ3Qmtkb1E2NEI0eERFT1hMMS9XcGsyYnRHdlhMbTNidGszKy92N3EyTEdqamg0OXFnMGJObWpEaGcwcVg3NjhTcGN1bmU0VWJFcEtpanc5UGU5S1RZY1BIMVpvYUtpQ2dvSTBkZXBVdmZ6eXl5cGN1TENrL3kxMG1ETm5qaVNwZGV2V2R1ZUhoWVdwWU1HQ3Vuanhvb29XTGFyaHc0ZnI5OTkvZDdxd0lqMXIxcXhKODlnLy8vd2ppOFdTN29oZzBhSkZGUlFVcE5kZWUwMWR1M2JWNmRPbmRlWEtGVmtzRmhVdFdsU2RPblZTNmRLbDdSWmVTRkxObWpYMTFGTlBLVEl5VWp0MjdGREpraVZ2cVc0QXlNd0lkY0E5c252M2JnMGRPbFRseTVkWHpabzFWYTVjT1ZXcFVrWEZpaFZUMXF4WjFiTm5ULzMyMjIvNjVaZGZGQmtacWZyMTY2ZDVyWVNFQkVucGh5RkpLbFdxbE1OZWJ6ZjY5OTkvZGZYcVZaVXBVMGIxNnRYVDh1WEw5Zm5ubit2Nzc3KzNqUmllUEhsU1M1Y3VWVkJRa0dyWHJtMDc5OUtsUzVvNGNhSTZkZXFrZ1FNSHFtN2R1cXBVcVpKR2poeXBFeWRPM01vL0dwZEc3ZExyMDZCQkEzM3h4UmZxMmJPblRwMDY1VER0dTIzYnRuU3Z2WGJ0V3IzOTl0dXVGUXNBRHdoQ0hYQ1BWSzVjV1QvLy9MTnk1TWhoV3lneGN1UklHWWFod29VTHEyVEprbXJZc0tIZWUrKzlESzkxNmRJbEpTVWxaUmlHMnJScGsyNm8yN3g1c3lUcDZhZWZWclpzMmRTblR4OTE3dHhaMzN6empicDM3eTdwK3Q1dkZvdEZQWHYydER0MzlPalI4dmIyVnNPR0RUVnc0RUJKVW1CZ29LWlBuMjRiRFhOMW43MjBwbWtURXhQMXdnc3Y2UExseTJyZnZyM0RRbzcwakI4LzNuWi93ekMwWWNNR1BmbmtreXBZc0tDdHo0NGRPMjU3QTJjQXlPd0lkY0E5bENOSERzWEd4c3JIeDBlTEZpMVNVbEtTamh3NW91am9hTzNmdjEvNTh1Vno2VHJIamgxVHhZb1ZOV1hLbERUN1pCU29ETVBROHVYTDlkaGpqOW1lTTZ0YXRhbzZkdXlvTVdQR0tFZU9ITXFSSTRlMmJ0MnFQbjM2Nk5GSEg3VTdQeUFnUUYyNmRKRzN0M2VhOTdqVnpZZHZ0bkRoUWwyK2ZGa3Z2dmlpcGsrZnJoZGZmRkhGaXhmUDhMeWJKU1ltcWtlUEhob3laSWhkcUFNQU15UFVBZmRZdTNidEZCTVRveUpGaWlnZ0lFREZpaFZUeVpJbFZhTkdEWWZnNUV4aVlxTCsrdXN2dmZ6eXkzZFV4L3IxNjNYdzRFSDE2dFhMcnYzZGQ5KzFUYTJtZm5hMlo5NGJiN3hoMjdnNExiZXkrZkRORGh3NG9ISGp4cWwyN2RycTI3ZXY5dTdkcTQ4KytraVRKazF5dW9vM1BSY3ZYcFRrZlBVdkFKZ1ZvUTY0eDc3Ly9uc2RQbnhZUjQ0YzBjR0RCM1h3NEVIOS9QUFBPbjc4dUNTcGZ2MzY2dCsvZjVybmI5eTRVVmV2WGxXMWF0VnV1NFlyVjY1bzVNaVJLbEtraUJvMWFtUjM3TXlaTTNhTENTSWlJclIvLzM2NzEzVkp5akRRM1lrREJ3Nm9VNmRPOHZIeFVlL2V2WlUxYTFZTkhEaFFiZHEwVWR1MmJmWHR0OS9hRm5PNFlzK2VQWktrczJmUDNyVkZKZ0NRMlJIcWdIc3NUNTQ4eXBNbmo4UFdHWmN2WDlaZmYvMGxQeisvTk05TlNFalE5OTkvcndJRkNxaG16WnEzWGNPZ1FZTjA4dVJKalI0OVdsNWVYcEt1YjlvN2UvWnN6Wnc1VXhhTFJiMTc5MVpBUUlDKytPSUxOVy9lWE04OTk1eGVmLzExVmE1YzJlVnRWeTVmdnV5MC9kcTFhMDdiclZhcmZ2enhSMzN6elRmS21UT254bzRkcS96NTgwdVNubmppQ1gzenpUZjY4TU1QMWF4Wk0zWHAwa1d2dmZhYVF5Mit2cjVxMzc2OUxmVEZ4TVRvdSsrK2s3Ky92Nzc0NGd0OS9mWFgrczkvL3FPNmRlc3FJQ0JBN2R1M3Q5dWJEd0RNZ2xBSDNDTjNZeVBlUVlNRzZjaVJJK3JidDYreVpMbTlmMTFuejU2dFZhdFdxV25UcHFwV3Jab2lJaUswY3VWS3JWNjlXa2xKU1dyUW9JRTZkZXBrQzFPTEZpM1NuRGx6Tkd2V0xHM2N1RkYrZm41Njl0bG45ZVdYWDJZNDRoVWNIT3hTVFZhclZaczJiZEtFQ1JPMGI5OCtQZnZzcytyZnY3OXRUNzlVVmF0VzFaUXBVOVN6WjA4TkdqUklNMmJNVU5PbVRSVVNFbUo3SHRISHgwZXZ2UEtLOXV6Wm8xR2pSbW5qeG8wcVhicTBSbzBhSlM4dkw2MWZ2MTRyVjY3VWh4OStLQjhmSDlXcFUwZS8vLzc3TFlWVkFIZ1FFT3FBZTJUVXFGRXFXclRvTFoxell4QzhldldxOXUzYnArRGdZSWNwMDF0UnBVb1ZCUWNIMjFhM1RwdzRVZnYyN1ZQanhvMzE1cHR2cWtpUkluYjlzMmJOcXRhdFc2dEZpeFphdDI2ZFZxeFlvVWNmZmRTbEtjeTA5cFlMRHcrM3JaZzllL2FzV3JkdXJSTW5UdWlSUng3UndJRURGUklTa3VZMXk1WXRxN2x6NTJyR2pCbWFObTJhaGc4ZnJnc1hMdGhHNzQ0Y09hTDQrSGg1ZUhpb1lzV0srdXl6ei9UeXl5L2I2ZzBORFZWb2FLaU9Ieit1NWN1WGEvbnk1VnE2ZEttZWVPSUp6Wmd4SThOTmpnRUFnRWtFQmdZYWdZR0J4cTNZdW5XckVSOGZmMHZuT0R2djlPblR4dFdyVjEwNmQ5MjZkVVowZEhTRy9TNWR1bVFrSkNUY2NtMDNPbno0c0pHVWxHVDduSmlZbU82OUwxKytiSGQ4d1lJRnh0cTFhNDNrNU9SYnVtOWNYSnl4WWNNRzIrY1pNMllZVTZaTU1iWnMyV0pjdW5USnBXdFlyVlpqNTg2ZHhvNGRPMjdwM29aaEdMdDM3emIrKy9zUTd1N2ZTd0M0R1g5RkJUSVFHQmhvU0dudnJZYUhSMFJFaE5xM2J5OUpQMGRHUmdhN3VSd0FzTU1ESlFBQUFDWkFxQU1BQURBQlFoMEFBSUFKRU9vQUFBQk1nRkFId0U1UVVKRGRHeWJTNjdkeTVjcDdYeEFBd0NXRU9nQktURXhVU2txS1hadGhHRXBJU0pCMGZiUGcyTmhZZDVRR0FIQVJvUTZBV3JSb29mWHIxOXUxUlVaR3FrNmRPanA3OXF6bXpwMnJOOTk4VTMvLy9iZWJLZ1FBWklSUUIwRFZxMWZYZ2dVTDdOcFdyVnFseHg1N1RQbno1MWRvYUtqS2x5K3ZObTNhYU92V3JXNnFFZ0NRSGtJZEFJV0VoQ2dxS2tvSER4NlVkUDBWWld2WHJyVzl0aXhyMXF3YU5HaVFHalpzcURWcjFyaXpWQUJBR25qM0t3Q1ZMMTllTldyVXNEMDNkL0RnUWZuNysrdjU1NSszOWJGWUxPclJvNGVTa3BMY1ZTWUFJQjJNMUFIUThlUEgxYk5uVC9uNyswdVM4dWZQcjlHalIrdnMyYk95V3ExYXNHQ0JvcU9qSlVsZVhsN3VMQlVBa0FaRzZnQ29ZY09HZHA4N2R1eG8rM25seXBYNi9mZmZOV0xFQ0hYdjNsMnZ2Lzc2L1M0UEFPQUNRaDBBYmQrK1haSzBZTUVDalJneFFuUG56bFh4NHNVbFNkN2UzdnJ5eXk5VnJsdzVEUmt5UkI0ZUhucnR0ZGZjV1M0QXdBbENIUUI1ZTN0TGtwWXZYeTVKbWo1OXVtclhycTE2OWVyWitqUnIxa3lQUGZhWXlwVXI1NVlhQVFEcEk5UUJrQ1J0MmJKRjhmSHhrcVNDQlF2cXM4OCtVNDRjT1ZTOWVuVVpocUh6NTg4clM1WXNDZzhQMTRrVEp5UkpVNmRPMWRTcFUzWGl4QW10V0xGQ3VYTGxjdWRYQUlDSEdxRU9nSktUa3pWeTVFZzFhOVpNdzRZTlU0TUdEZVR0N2EydnZ2cEtYYnAwMFpkZmZxbkV4RVJKVXE1Y3VWUzBhRkZKVXVIQ2hWV3RXalVWS1ZKRTJiTm5kK2RYQUlDSEhxRU9nQ1pNbUtBWGZhZXhBQUFnQUVsRVFWUzR1RGk5OXRwckdqWnNtQ1NwWGJ0MmF0eTRzUXpEMEtCQmcxU2tTQkVWTFZwVVBqNCtrcTYvK3pVa0pFVDE2OWQzWitrQWdQOGkxQUVQdVN0WHJtaktsQ2thT0hDZ3NtYk5hbXUzV0N3cVVLQ0FwT3ZUc1FDQXpJMTk2b0NIbkkrUGp6Ny8vSE83UlJFQWdBY1BvUTZBWG43NVpYZVhBQUM0UTRRNkFBQUFFK0NaT2dCMnBrNmRxaUpGaXJqVUx5QWc0RDVVQkFCd0JhRU9nSjBubjN6eXJ2WURBTndmVEw4Q0FBQ1lBS0VPQUFEQUJBaDFBQUFBSnNBemRZQ0wxcTlmNys0UzRHWVJFUkh1TGdFQTBrU29BMXpVbzBjUGQ1ZUFUTUl3RE1QZE5RREF6UWgxUU1hNlNBcDJkeEhJTkZJa1RYQjNFUUFBQUxjbE1ERFFDQXdNWklRS0FESXBGa29BQUFDWUFLRU9BQURBQkFoMUFBQUFKa0NvQXdBQU1BRkNIUUFBZ0FrUTZnQUFBRXlBVUFjQUFHQUNoRG9BQUFBVElOUUJBQUNZQUtFT0FBREFCQWgxQUFBQUprQ29Bd0FBTUFGQ0hRQUFnQWtRNmdBQUFFeUFVQWNBQUdBQ2hEb0FBQUFUSU5RQkFBQ1lBS0VPQUFEQUJBaDFBQUFBSm1CeGR3RUFNcDlLbFNvVnQxZ3NNYTcwTlF5alJGUlUxS0Y3WEJJQUlBT00xQUZ3RUJVVmRjZ3dqSjBaOVRNTVl5ZUJEZ0F5QjBJZEFLY3NGa3VZQzMwVzNvOWFBQUFaSTlRQmNNcVZVT2ZwNlpsaEh3REEvVUdvQStCVVJFVEVBVWw3MGpwdXNWaCszYlZyMTcvM3NTUUFRRG9JZFFEU2xONW9uZFZxWlpRT0FESVJRaDJBTktVWDNGeVpuZ1VBM0QrRU9nQnBpb3FLMml0cG41TkRmMFZHUnY1MXYrc0JBS1NOVUFjZ0l3NGpjb3pTQVVEbVE2Z0RrQzRQRHcrSEFKZVNra0tvQTRCTWhqZEtBTWlJSlNnbzZJQmhHQ1gvKy9uZnlNakkwcElNZHhZRkFMREhTQjJBakJpR1lkdzRNaGNtQWgwQVpEcUVPZ0N1c0lVNm5xY0RBQUI0Y0hrRUJnWWVEUW9LT2lMK01nZ0FtVklXZHhjQTRJRmd0VmdzaTZ4V3F5SEo2dTVpQUFDT0NIVUFYR0sxV2hkYUxCYWVwUU9BVElyVnIwQTZLbFdxdE1OaXNWUnhkeDNJZE9Ja05ZK01qRnp1N2tJQUlCWFB4Z0RwSU5BaERiNlMrcm03Q0FDNEVkT3ZnQXNpSWlMY1hRSXlpUjkrK0VIang0K1hKRWJwQUdRcWpOUUJBQUNZQUtFT0FBREFCQWgxQUFBQUprQ29Bd0FBTUFGQ0hRQUFnQWtRNmdBQUFFeUFVQWNBQUdBQ2hEb0FBQUFUSU5RQkFBQ1lBS0VPQUFEQUJIaE5HQURnZ1ZhcFVxVWR2S2NaTnpNTUl6d3FLdW81ZDlkeFB6RlNCd0I0b0JIbzRJekZZZ2wyZHczM0d5TjFBQUJUaUlpSWNIY0p5Q1NDZ29MY1hZSmJNRklIQUFCZ0FvUTZBQUFBRXlEVUFRQUFtQUNoRG5pQUpTVWx1ZTNlNTgrZjE1VXJWKzc0T2lrcEtYZWhHZ0FBb1E2NHgxSlNVbVFZaGwxYnRXclZOSEhpeER1NjdwSWxTOVNvVVNQRnhjVmwySGZac21VYU0yYk1IZDN2Wm4zNjlGR2pSbzEwNmRLbDI3NUdSRVNFbm4vK2VXM2R1dlV1VmlZbEppYnE0c1dMNmY1SlRFeThxL2NFQUhkajlTdHdqMDJkT2xVTEZpelFva1dMbENOSERrblhROGVkamxBRkJnYnEzTGx6bWo1OXVqcDE2cFJ1WDI5dmIwMlpNa1ZQUC8yMGF0U29ZV3QzWllWWThlTEZ0V2pSSXJ1MitmUG42NWRmZnRGYmI3MmwzTGx6NjlTcFU2cGZ2MzZHMTdwNWRXSzVjdVhrNmVtcEFRTUdhUEhpeGZMMjlyWWRXN05talhyMzd1MXdEUThQRCszYXRVdng4ZkU2ZmZxMDAvdjgvdnZ2NnRldlg3cTE5T3ZYVHcwYk5zeXdaZ0I0VUJEcWdIc29NVEZSOCtiTjArT1BQMjRMZExmQ2xkQTFhZElrVFpvMHlla3hYMTlmL2Z6enp3b0pDZEcyYmR2VXIxOC96WnMzVDNuejVwVWtoWVdGWlhoOUx5OHZ1ODhSRVJFYVBueTRLbGFzYUF1VCtmUG5kK2xha2hRWEY2ZXpaOC9hUHRlcFUwY1hMMTdVOGVQSG5mYS84YnBqeDQ1VmVIaTRKR25idG0zcTBhT0gwM05TQTkyR0RSdWNIcTlidDY1THRRTEFnNFJRQjl4RHMyYk4wcmx6NTFTNmRHbHQzcnpaN3RqaHc0Y2QybEtWSzFkTytmTGxjd2hLVzdac1VhbFNwVlM0Y0dHSGN5NWR1cVNEQncvcTZhZWZ0clY1ZVB6dkNZdVBQLzVZYjd6eGh0YXRXNmVtVFp0S2trcVVLSEZMMytmUFAvOVV0MjdkbEM5ZlBuMzk5ZGUyd09mcDZlbnl0WDc2NlNlbm8yanIxNiszK3p4dzRFQzdHdVBqNDdWOSszWlZyMTVka2xTdlhqM2J5RjlRVUpENjkrOXZHeTFjdG15WkpNblB6MCtTTkh2MmJEMzc3TE42OU5GSFhmK3lBUENBSWRRQjk4anAwNmMxZWZKa1NkSzBhZE0wYmRvMHUrT3JWNi9XNnRXcm5aNDdaTWdRMWF0WHp5NG9KU1FrYVBiczJjcWZQNzhtVDU2c0xGbXlPSnl6Y09GQ0xWcTBTQUVCQVE3WDlQWDExWVFKRS9USUk0L2MxdmRKSFJuejl2YldtREZqNU8zdHJZOC8vbGlkTzNkVzhlTEZYYjVPdzRZTmxUZHZYaDA5ZXRRV0xsT05HREZDNWN1WFYwaElpTmFzV1dOM2JPblNwWXFQajFlN2R1MXV1ZmJodzRlclg3OStoRG9BcGthb0ErNEJ3ekRVdDI5ZlhidDJUV1BIamxXNWN1WHNqZ2NIQjZ0MTY5WnEzYnExMC9Pelo4L3UwSlkxYTFiMTc5OWZIVHAwMExoeDQ5U2xTeGZic2YzNzl5c3NMRXh2dmZXVzAwQ1hLalhReGNURTNOTDNLVjY4dUtLam81VTllM2FOR1ROR0pVdVcxT0RCZzdWeDQwYlZyMS8vbGtLZEpHWExsazNEaGcyVG41K2ZRa0pDSkVtYk5tM1NyRm16bkM3b3NGcXRtajE3dG9LRGcxVytmUGxidWhjQVBDd0lkY0E5OFAvdDNYZFlGRmZiQnZCN2x5b0lVaFJSMUJoUlU2eUFpQTI3TVhiRlhnSWtzVVNqUm1PaWdnVU5HaVYyaVFYRWdyMFJFU3ZHZ3IwRjdMRjl2bUpCTkFwSWxiTE1mSCtRbmJEdUxxd0ZGL0grWFpkWGRzNmNtVGxMS00rZThweWxTNWZpL1BuekdEUm9FTnpjM0RUV01UWTJob1dGeFN2ZDE4WEZCVjVlWHFoZHU3WlVKZ2dDWnN5WWdWcTFhbWxjTU9IbjU0ZmR1M2RMeDZkUG4wYlBuajFmNmJuSGp4OUhqeDQ5MExwMWExU3FWQW1YTGwxQ1dGZ1l1blRwQW5kMzkxY0tFcXRXclFvWEZ4ZjA2ZE1IMGRIUmFOKytQUklURStIdjc0KytmZnVpVWFOR2F0ZjgrZWVmZVBMa0NRSURBMVhLSHp4NElMMU9URXpFZ3djUFZJYWM4NVBKWkRxM2tZam9mY1NnanVndHUzTGxDbGF0V2dVWEZ4ZU1IRG55amUrM1pjc1cvUGJiYnpyVmJkaFFkVi96enAwN1k5U29VZmo2NjY5eDVNZ1IvUDc3N3dEVVY2R09HREVDdDIvZnhzNmRPMkZtWmdaQkVEUUdSeFlXRmtoUFQ4Zmt5Wk5SclZvMVRKdzRFZi84ODg4ckI0bjU1WjgzdUdYTEZtelpzZ1VBNE9Qakk1VW5KU1ZCRUFURXhNU285QXAyNzk1ZGVyMWd3UUlzV0xBQXBVdVh4azgvL1NTVkszUDVHUmdZdkhZYmlZamVCd3pxaU42eU9uWHE0TWNmZjBUWHJsM1ZWbzYrQ1YxWGwrWlh1blJwbEMxYlZ2cW55ZUhEaDNIMjdGbE1tREFCWm1abXVIUG5EbjcrK1djc1c3WU01Y3VYVjZtYm01dUxDUk1tNE5HalJ4Z3paZ3hNVFUxUnNXSkZqUnVwWDdseUJkN2UzbGk2ZEtsS2I2V3V2WG8zYnR5UVh2ZnIxdytpS0dMbXpKbXdzN09UMHJLY08zY09RRjR3TzMzNmRIVG8wQUV5bVF4Nzl1eVJyazFOVFFXZ2VVaWJpS2drWVZCSFZBUUdEaHdJb09DVUpNSEJ3UWdPRGxZck56WTJ4dW5UcDZWalVSUWhrOGxlZWFXcUxsSlRVL0hiYjcvaDQ0OC9sbnJiSEJ3Y2tKT1RnN2x6NTJMT25EbFNYVUVROE1zdnYrRHMyYk52OUV4ZDM4Zk5temRWanZ2Mzc0L0xseThqSUNBQTRlSGhrTXZsS3Ixdkx4OHJ4Y2ZIQS9odkpTd1JVVW5Gb0k2b0NDblRjcnpNMTljWGJkcTAwWmd2N2VYQVJLRlFxSzEwZlZzQ0FnTHc5T2xUL1BMTEw5SnpUVTFOTVc3Y09Jd2JOdzRuVDU2VWVzWG16Sm1EUFh2MllOcTBhZkR6ODN1ajV4YVdmMDlUeng4QURCbzBDSjZlbnJoeDQ0YmE0aE50L3Y3N2J3REF2bjM3VUxWcVZRWjNWS3dwZDUvaEhGQjZIUXpxaUlxUWNtWG55M3g5ZmVIbzZLajFmSDRwS1Nrd056ZC8yMDNENXMyYnNXL2ZQblRvMEFGT1RrNUlURXhFYW1vcVVsTlRZV3hzakFvVkttRGV2SGxvMUtnUkRBd01VS05HRFV5ZlBoMmRPblY2NDZBT0FCWXZYZ3dIQndlVnNyaTRPSXdlUFZyck5WV3FWQUdRbHk2bW9LQ3VhdFdxNk5PbkQ0Qzh2SGpWcWxYRDl1M2IwYjkvZjFoWldTRWdJSUNyYUVualZJQXFWYXBBTHBmajZ0V3I4UEh4UVZCUUVDcFdyUGphejNCeGNVRllXSmhPUGRTaUtPTG5uMytHVENhRHY3OC9URTFOWC91NWIwTjJkallHRGh3SWYzOS9mUHJwcHdEeWtvY25KQ1JJYzF0UG5UcUZVYU5HNGRDaFE5SUhwZ2NQSGhTNENwK0tEb002b21JdUxpNU82M3k0MXhVVkZTVU5yUjQ0Y0FENzl1MVRPVzltWmdZTEN3czhldlFJMjdadFE3OSsvZURoNGZGVzIrRGc0UERLUThySzFhNmFldHR1M3J5Sm16ZHZJaW9xQ2t1WExzV0VDUk53K2ZKbG5EdDNEdVBHamNQY3VYT2x1bTNidHNYeDQ4ZVJrWkVCUjBmSE4zb2Y5UDdTdE1EbndJRURzTGEyeHR5NWM2VWszL2wzT3pFeU1rSzVjdVhVcnRPMkl3cVE5eUVrL3haNCtlVVBHR1V5R1RwMTZnUmZYMThNSFRvVWdZR0JlUHo0TVFZTUdLRFQrNG1PamtaMmRyYktqaTM1elpzM1Q5cVJwYkQ3QUhrQlczeDh2UFJoQ2dBV0xWcUU0OGVQSXpRMFZHM09MWkFYS0E4Y09CQyt2cjdvMUttVDFqMlc1ODZkcS9NOFlXMDk5NlNPUVIxUk1TYUtJaTVjdUFCblorYzN2dGVMRnkrazE4MmJOMGUzYnQxZ1pXV0ZxbFdyb256NThyQzF0WVcxdFRYS2xDa2pEZmN1WDc0Y2x5OWZScjkrL2Q3NCthOXIzYnAxdUhidEdzek56WEg2OUduWTJkbWhWcTFheU03T3hwa3paM0Q0OEdFQXdQcjE2MkZwYVluV3JWdkQzTndjejU4L3g1UXBVNlQ1Z3ZtRE9pQXZUY3IvL2QvL1llUEdqZnA0V3g4a0Z4ZVhLdEhSMFE4QWlQcHVpNUt5RjIzSGpoMElEZzZHdGJVMXRtelpnaXRYcmdDQTJ2N0FOV3ZXeEtaTm05VHVVOUErd3NPSEQ5ZDY3dVdBcFZXclZwZzNieDdHalJ1SGtKQVFqQm8xcXREZzU5aXhZMWkwYUJHQXZBODMydkpmN3R1M1Q4cHZtWjJkRFM4dkx3d1lNRUJyMjNmdTNBazNOemVWUFpaSGpScUZTNWN1NGNjZmY4VHExYXRWNnI5NDhRSVRKMDdFeHg5L2pMWnQyd0lBR2pkdXJQSGV1M2Z2VmdsVzkrM2JoNUNRRUt4Y3VaSlRKTjRBZ3pxaVl1ejQ4ZU40OHVRSldyUm84VWIzT1hMa0NCWXVYQWdBV0wxNk5ZWU5HNGFwVTZjV2VwMjN0N2ZXdkcrRlVYNUMxelkzS0M0dVRxY3lXMXRiM0wxN0Z3cUZBcDk5OWhsR2pCZ0JJeU1qbkRoeEFtUEhqb1dabVJrNmRlcUU5dTNidzgzTkRZYUdob2lMaThQWXNXT1JrcEtDa0pBUWpiMGtpWW1KR25zYXFPaUlvcmpXeGNXbGlpaUtZUURDWW1KaXpnRVE5TjB1QU5pelp3ODZkKzZNMjdkdlkvSGl4WmcrZlRvNmQrNHNuYjk5K3phKyt1cXJBdmNOMWpUTXFtMzROVFkyVnEybjBNUERBNk5HalVLclZxMndhdFVxMUt4WlUyVUx2dVRrWkhUcTFBbDc5dXhCbVRKbHBPdVU4MFlCb0hidDJ0SkNxOGFORzhQSHh3ZGR1M1lGQUpXZmc2TkhqeUk3T3h0ZHVuVFIyR04rLy81OW5EaHhBb0lncVBUdTdkMjdGd0VCQWZqcXE2OXcvUGh4bFZYbGdZR0JTRTlQeDVvMWEyQmlZZ0xndnkzN0RoMDZoSVVMRjBySDl2YjJLcjhibmo5L2puTGx5cWxzYzBpdmprRWQwVnQyOE9CQnJSdk41NmR0OWF2U24zLytpWUNBQUh6MDBVZG8zYnIxYTdjbklpSUMvdjcrYU55NE1UcDA2QUEvUHo5Y3VuUUpQWHIwUUpVcVZXQnFhZ3BEUTBNWUdSbkIwTkFRaG9hR3lNbkpRV1ptSmpJek0vSGl4UXRVcmx4WjVZK0lOa0ZCUVRBd01JQ2hvYUhVZzZidFUzZEJjK2Z5NjlpeG83U25hMzVObXpiRmdnVUwwS2hSSSttUGxTQUlDQThQeDRJRkMyQnFhb3FsUzVkS3c2dWxTNWRHVkZRVVdyWnNpYWRQbitxOUIvSURKUmRGOFdNQVB3SDR5ZG5aT1U0bWsvMGhDRUpZOWVyVlQyemJ0aTFYSDQxNjhPQUJMbDI2aEpFalIyTGN1SEdvVzdjdW5KMmRwU0ZWNVE0eDFhcFZRNGNPSGZEbzBTUFkyZG1wTFdEU2xxOVIxenlPOSs3ZFExcGFHZ0Rnczg4K1V6c3ZpaUpldkhnaExhYlFSQ2FUcVFSdmhvYUdHai9VSER4NEVJNk9qbHFuUUt4Y3VSS2RPM2ZXT244MlBEd2NaY3VXeGFsVHA2U3lvVU9Ib24vLy9yQzF0WlhLbE1QTHl0OER5bU5CRUhEdjNqMnAzdlhyMTFHbFNoVzFlWTRWS2xTUUFrUXFISU02b3Jlc1NaTW1yNVZUN21WWldWa1FSVkZsWmVyck1ETXpROE9HRFRGLy9ud1lHaHFpZXZYcVdMVnFGWDc3N1Rja0pTVVYrQWRDYWNlT0hUb0ZkYWRPbmNMVnExY0I1UDB4NmRxMUsycldyS214cnE2OUY5cklaREkwYjk1Y3BXejU4dVZZdVhJbG1qWnRDajgvUDVVL0xpTkhqc1NTSlVzUUdCZ0lJeU1qMUtsVGgwSGR1L2Z5TjV1REtJcWpaRExacUR0Mzd2emo3T3djTHBQSndnQWNpWTZPem5sWGpRb1BENGVycXlzeU1qSmdiMitQVzdkdWFSMlNWUFo2YWZyK1hiWnNtZHJleWwyNmRORlkvdkRod3dLSFpSTVNFdFRLa3BPVEFlVDFNdWZtNXNXL3I1Ti9NVDA5SFZGUlVWcjNVWDd4NGdXT0hEbUNlZlBtcVFSWkZTdFd4S05IanpUK2pMN2NnMW5ZNHBDVWxCU045M201Yk9YS2xleTlld1VNNm9qZU1qTXpzN2VXVXk0c0xPeU5rK2EyYWRNR3pabzFrM29WYXRTb2dWbXpaZ0hJKzdTc1VDZ2dDSUwwRDhnTG1KVC81SEs1MmlmbGhRc1hvbHExYW1yUENnME5oU0FJRUVVUmNybGM2OUJyZUhpNE5Bazl2MHFWS2tuRE0yNXVibGk1Y3VVcnZkZWhRNGVpUVlNR2FqdHJBRUR2M3IzUnUzZnZWN29mdlhVRmZZS3dBekJVRk1XaEFKS2NuSndpWkRKWm1LV2w1WjlSVVZHWlJkbW84K2ZQdzhuSkNVMmFOSUdibTF1aEg2SmVUc21qVUNnUUhCeXNjUUdGTnZiMjlnZ09EdGFhc3VpTEw3N1FlbTMrNytPaFE0ZXFyRFJOU0VoUXVkYmYzeC8rL3Y0cStTOTM3TmdCaFVLQjBOQlEyTnZidzlqWUdDMWF0SkIrWGt1VktnVi9mMzk4OTkxM0tzOWR0MjRkek16TUFCU2NEUDFWZHBoWnVIQWgzTjNkMWNvZlBIaWdzbU1NNllaQkhWRXg5aloyUVpESlpGcFRJOGpsY3EycjhncWk2WmR3L25zV1JsdTZBME5EUTVYaG1sZjloRzVvYUtneG9Dc2lmczdPem0rZTI0VTBzWmJKWkY0QXZGSlNVdURpNHJKSkVJUXd1VnkrTHpvNk91TnRQMnpreUpFWVBYbzArdmJ0aTRvVks2SmJ0MjU0K1BDaHp0ZmZ1M2NQUTRjTzFYcStvQjY1clZ1M2FseUIvZklxMWR6Y1hJd1lNUUkzYjk1RVJFUUVMQzB0QVFBbUppWTRlUENnVk0vYTJsb0t1SHIyN0luaHc0ZWpiZHUyVXNBbUNBSzJiTm1DamgwN0lqdzhIUGZ1M1VOb2FDaUdEQmtDTHk4djZUNHRXclJBZEhTMDJweEFaYy9kMjA2R25wQ1FnRysrK1FhLy9QSUw2dFdyOTFidi9TRmhVRWRFUk1XYUlBaWlUQ1lyc2hXekRSczJSSzFhdGJCNTgyYjgrT09QV0xkdW5kUnJyWW1teFJKeXVSem56NTlYS3k4b1Q1MnJxNnZXWjFoWVdLZ2NMMWl3UUVycFkyNXVyblkrZnp2eVA2dHMyYklxeHhFUkVZaVBqOGZBZ1FNUkhoNE9lM3Q3akJvMUN2UG56MGZEaGcwMXp1WFRSTmZ0L25TbFVDanc4T0ZEWkdZV2FhZHNpY2Vnam9qbzlVeVBpWW1acHU5R3ZFK2NuWjJqQU9peWxEc0p3RTRBWVphV2xnZUxldmdWeU90OTNydDNMd1JCZU8ya3Y5cHkxUldVcDA0WDRlSGgyTEJod3h2djVwS1JrWUVsUzVhZ2ZmdjJLdE1uK3ZUcGc4T0hEMlBTcEVuWXRHa1RURXhNVklLMi9LdlNsWFA1WG1XSTlWVndKNDAzdzZDT2lJamVsWUwrWXY4RFlJZGNMZzhUUlRIcVhTNlVBQUE3T3pzOGZmb1VaODZja1hLNXZRcEJFTFF1cmlobytMVXdodzhmeHN5Wk0vSE5OOStnV2JObXIzeDlXbG9hVHB3NGdkallXQ1FrSkNBMU5WVnRycHhNSnNQVXFWUFJxMWN2QkFZRzRxZWZmbElKMnZLdlZGZXUyQzhvSVhCaDJ3QnFvdXloTXpJeWV1VnI2VDhNNm9oSUo5bloyVy9VMi9DeW90elRsdDRQTXBuc29TQUlmd0FJcTE2OStrbDlwRFM1Y2VNRzB0UFRjZmp3WWRqYTJzTFYxUlVIRGh5UXpxOWJ0dzRkTzNaVVdVazlkKzVjbGEzN3lwVXJoMG1USnFudHVuTHAwaVhzMnJVTEkwYU1nSTJOamRxei8vampqd0lYVit6ZHV4ZCtmbjc0NG9zdk1IejRjR24xYTBFRVFjRDE2OWR4OHVSSkFIbkR0a1pHUnJDenMwTjhmRHk4dmIwMXptbDFjSERBMTE5L2plRGdZTFJyMTA0SzJyVE5xWHNUZ2lBZ0pTVkZwVXlaNFBoVkZwdVF1dGZMS2twRWI4V0RCdy9RcmwyN0luOU9ZbUlpcGsyYmhvc1hMK3BVUHpZMlZ1M1Q5c1NKRTNWS1dLenQrdnhtelpyMVJzTkl6NTgveDlLbFM1R1I4ZGJuekZQUkVtVXkyVjBBYzJReVdhUG82T2lQTGx5NDhNT0ZDeGVPNlN0SDNhRkRoK0RwNlluejU4OWo4T0RCMkxWckZ3d01ET0RoNFlIczdHeGN2SGdSczJmUGhwV1ZGV3h0YmZIOCtYT1ltWm1wYk4yWG1aa0pXMXRiQ0lLQUowK2U0SWNmZmdBQXpKdzVFOUhSMFJxSFpWTlRVeEVmSDY5eFgyZFJGQkVTRW9LcFU2ZWlWYXRXK09XWFgzUWVsanh3NEFBOFBUMnhaczBhdEdyVkNqTm16TUFmZi93QmhVS0J5cFVyWS9EZ3dWcXY5ZmIyUnBVcVZYRG56cDFDbitQaTRxTDEzOHNVQ2dXZVBuMEtBQmd6Wmd4YXQyNk5OV3ZXcU5TSmpvNkdwYVdsMm43UTlHcjRNWmxJajNKemM1R1ltQ2dkNzkyN0YxT21UQ24wT3VXbjZKQ1FFQ3hidGt6bG5KdWJHNVl1WGFwU3RuTGxTa1JHUmlJNU9mbTFjajVsWm1iaXpKa3orUGJiYjEvNVdrMGNIUjBSRUJDQU5tM2F2RlppNWJpNE9LeGV2Um9KQ1FrNmZiMm9lSkRKWko3RmJadXdZY09HWWRLa1NiQzB0TVNCQXdjUUdCaUlObTNhSUMwdERYSzVIQUVCQVJnd1lBQXVYNzZNMU5SVUNJS0FFeWRPWU9YS2xWS0FGQkVSZ1IwN2RxQjU4K1o0OGVJRlRwdzRBUUJZdkhneHhvOGZqeUZEaG1ENzl1MXdjSERBN05tejhlVEpFMHljT0JIYnQyOUhabVlteG8wYnA5S21zTEF3TEZ1MkRGMjdkc1hreVpPbEZDdTY1SlNzVzdjdVpzMmFCWGQzZDJuMWZGcGFHbHhkWGRHM2I5OENFL2thR3h0anc0WU5HbGZkaTZLSVE0Y09TU3QxZFVscDhzOC8vMkQ4K1BHNGVmTW1zck96cGNVZDMzenpEZXJWcTRkRGh3N0IwTkFRS1NrcDB0Y2lLQ2dJWGw1ZWtNdmxLRjI2OUJ2bDZQd1FNYWdqS2taYXRHaWg4WmZscGsyYnNIMzdkaGdhR3VLYmI3NlJ5bnYzN2kzdHNRZ0FHemR1UkdwcXFzcTFkKy9leGE1ZHV4QVVGSVF4WThaZy8vNzkrUExMTDlXZThmZmZmNk42OWVvYWgxZ1BIejZNckt3c3RHelo4clhlMTh0RE5nMGFORUNsU3BWdy8vNTl0WE1WSzFhRXNiRXhVbE5UTlNaZ0JmSlcvN1ZxMVFyWHJsM0Q3ZHUzTmM3RHNiVzExYnBDa1BRak9qcjZ2cjdiOERKRFEwTnB0NE10VzdhZ2ZmdjJLajhENWN1WHg4NmRPMUc2ZEdsTW16WU4yZG5aOFBIeHdmang0K0h1N280YU5Xb2dJaUlDblRwMWtuSTdLdG5iMnlNa0pBUi8vZldYMUFOMTgrWk5wS1dsb1h6NThoZy9mandtVDU2TUJnMGFxR3dGNk9IaEFRc0xDN1J2M3g2Q0lPRE9uVHN3TXpQRHlaTW5JWmZMMVlJdVFSQ2s1MWFzV0ZGS0M2UlV1blJwVEo4K1hhZXZSLzU3SzRQSW8wZVBZdi8rL2JoMTZ4YldybDBMUUxlVUptWExsb1c5dlQzYXRtMExWMWRYMUtoUlF5WGwwZEdqUjVHY25Jd3hZOFpBRUFRTUh6NGNxMWF0UWtSRUJINzQ0UWNjUFhwVXB6YlRmeGpVRVJVajV1Ym1Lc014S1NrcG1ENTlPcUtpb3ZEcHA1OWkyclJwcUZHamhuUytUSmt5Mkw1OU8xSlNVakIyN0ZnQWtQSlhBWG5ESHBNblQ0YW5weWZxMXEyTENSTW1ZT2JNbWFoWnM2WmE4dUN2dnZwS2ErcUZuVHQzd3M3T0RnWUdCbHJuMU5qYTJpSWxKUVU1T1RuU2FqbGxYVzByNVFJREF4RVlHS2hTdG5IalJuenl5U2VJakl5VWtpUVhSTnV1RUQ0K1B1alZxMWVoMXhNQndGOS8vWVcvLy80Yk0yYk1nSW1KQ1l5TmpSRVZGUVUzTnpjQWVYUHZUcDgramErLy9ob3RXN2JFakJrelVMMTZkVVJFUk9EeDQ4ZlM5N2lWbFJWa01oa2lJaUpRdDI1ZEFIbUJWbXhzTEc3Y3VJR3JWNjlLMzdNZE9uUkFaR1FrYnQrK3JSTFV5ZVZ5dEcvZlhqcjI5UFJFWm1ZbTVISTVCZ3dZQUVORFEyUm5aME1RQkdSa1pDQXFLa3BqTXUrMzhUVUI4bm9jNjlTcGcwV0xGbWtjTHM3SnlaRStXTjI4ZVJNQVlHQmdBTGxjanRteloydTh0eUFJT0hEZ0FCWXVYSWlzckN3c1dyUUlkZXZXUmVmT25URi8vbno0K3ZvaUlpSUNreVpOVWd0U1NUc0dkVVI2OE9qUkkyUm5aNnNGUC9rRHFpdFhyc0RIeHdjSkNRbjQvdnZ2NGVYbHBYRW80dmJ0MjlJazd1ZlBuK1Bqano4R0FHbUxNVXRMUzZsM3IzMzc5cmh3NFFKR2poeUpvS0FnclVtQVg3Ni84cGQ3UVdrTWZIeDhzSEhqUnBYOUhKWDFsY1BGeXEyQm1qWnRpbW5UcGdINGIxY0xiWXN3bE5mR3hzYXFCWnczYjk3RTlldlgxVExQdjg3cU8vcXdOV2pRQUJzM2JwUjYxQVlQSG96QXdFRE1uVHNYUU42cVRDY25KMm1GcTNMWEJnY0hCNHdjT1JMbHk1Y0hrUGRCYTlpd1laZ3paNDdhbkU4VEV4TTBidHhZWlY3Yi9QbnpDMHpZTFpmTGNmTGtTU2dVQ3NqbGNzamxjdmo1K1dIMzd0MVNIVE16c3plYW82cU5yYTB0cWxhdGlsR2pSa205OUpvKzFNMmRPeGQvL1BFSGpJMk5rWm1aaVhMbHloVVlaTzdldlJzclZxekF3NGNQMGF4Wk0vajQrTURlM2g0QVlHTmpneGt6WnFCTm16YVlNV01HdkwyOXNYdjM3cmU2U0l1SVBsRE96czZpczdPeitMYjE2OWRQVk40Ny96OVJGRVZCRU1SMTY5YUpEUnMyRkQwOVBjWC8vZTkvQmQ1cjhPREI0b29WSzZUWDY5ZXZGM056YzhYWnMyZUx2WHIxRXBPVGsxWHFLeFFLY2N5WU1XS2JObTNFTTJmT1NPWE96czdpM2J0M1JWRVV4YnQzNzBydG1USmxpdWpzN0N4R1JrYXEzT2Z3NGNPaXM3T3ptSmlZcU5hbVE0Y09hZnk2K2ZyNmlwMDdkeGJUMDlPbHNnMGJOb2lkT25WU2EyZGtaS1RZbzBjUFVSUkY4ZUhEaDJLREJnM0VZY09HaVgvLy9iZFVKeVFrUkhSeGNWRjdUbzhlUGRUYSs3WXNYNzVjK2Y5cm1yNi9QeW5QNi82Yzd0bXpSMHhMU3l1Qzc1S2lsWjZlTGo1Ky9GaDg5T2lSR0I4ZkwyWm5aeGZaczNKemMxV09rNUtTeE9YTGw2dVUzYnAxUzl5K2ZidTRhZE1tY2R1MmJXSjhmSHlCOTd4dzRZTG82K3NyWHI1OHVjQjZUNTgrRlUrY09QRmE3VlorVCtqN2UvTmRZMDhka1I1czJyUUp3SDhiMkN0N28xNjhlQUVmSHg4Y1AzNGMzYnQzeDhDQkF5R1R5ZFErSGR2WTJFakRyQWtKQ2JDMnRnYVExMU5uWVdHQkgzLzhFZmZ1M2NQRWlST1JtSmlvc2hnRHlNdWJ0WERoUW56Ly9mZFl0V3FWTkV6MHN0allXT3pidHc4QThQanhZNVZ6ejU0OWc1R1JFY3FVS2FOMjNiRmp4OVRLZHV6WWdVT0hEbUhseXBYUy9wRVBIanpBc21YTDBMcDFhNVZoWXlDdkp5Ui9iOGlTSlVzd2YvNThlSHA2d3NQREF6NCtQaEFFUWVOOHVqLysrRVBqK3lIS3IyUEhqdnB1d21zeE16T1Rmb2FLMnN1OWlGWldWaGcyYkpoS1dZMGFOVlNtaFJTbWZ2MzZPaTNZS2x1MnJNb3FZeW9jZ3pxaVl1VEpreWM0ZnZ3NGdMd3M4dUhoNFJycmpSOC9IbjM3OWdXUUYxd3BnN3FrcENSWVdWbWhUcDA2OFBQelUxbEU4YklWSzFhZ2E5ZXVXZ002QU5pOGVUUHM3T3hRbzBZTmFhNk1VbXhzTENwWHJxejJTejhqSXdPSERoMENBSnc4ZVJKTm16WkZaR0NxMkNJQUFCM3VTVVJCVkdRa0FnSUM0T3pzakd2WHJ1SGN1WE5JUzB2RHNXUEhZR05qZy9IangydHRneklOUzhPR0RiRng0MFpzM3J3WldWbFpBUEpXNWI1dTluOGlvcEtHUVIxUk1WSzFhbFZFUjBkajkrN2RDQTRPUmtSRUJISnljdENzV1RNc1c3WU16czdPYU5XcWxiUkNMU3NyQytucDZmajU1NStsZTR3ZE94YS8vLzQ3cksydHBSN0F6WnMzbzJ6WnNsS1FkLy8rZmR5OWUxZnFDZFBtMjIrL2hidTdPKzdldll1MWE5ZENGRVZwbGQzbHk1ZFJxMVl0dFd1VW00MW5aR1JnenB3NU9IZnVIQjQ5ZWdTRlFvRmJ0MjRoTVRFUmxwYVdpSW1KZ2JtNU9WYXRXZ1Z6YzNNc1c3WU05ZXJWUTVNbVRWVHV0M2Z2WG9TRmhhRisvZm9ZTVdJRUJnd1lJSjFMVFUzbENsY2lvbjh4K1RCUk1iUjc5MjYwYXRVS1FONUNoZHpjWEZTdlhoMEFrSjZlTGcyOUdCa1pJU3dzVE9XZnJhMHRURXhNNE9mbmg1Q1FFQURBOWV2WEVSRVJJZDEvNTg2ZG1EbHpacUh0S0ZldUhKbzJiWXFXTFZzaUlTRUI1ODZkQTVBM0ZIdmp4ZzAwYnR4WXBYNVdWaFpXcjE2TnpwMDdBOGpMajNmNjlHa01IVG9VeDQ4Zng4R0RCN0YyN1ZxWW1wcWlWS2xTV0xSb0VSd2RIWEh3NEVHRWhJVGcvbjMxakJlK3ZyNVlzMllOREF3TU1IVG9VSlUwQjQ4ZlArYndEQkhSdnhqVUVSVUR1Ym01MGp5MEN4Y3VJRG82V2xvNWV1clVLZFNzV1JPV2xwYkl5c3BDYm02dUZOVEo1WEpVclZvVlZhdFd4VWNmZlFRYkd4c0lnZ0FURXhQWTJ0cEs4K0VhTjI2TW1KZ1k1T1RrYmFkNTVNZ1J0R3ZYVHVPcXUrenNiQ2w1cWxLbFNwWGc3T3lNRFJzMkFNaWJIMWVxVkNrMGI5NWNwVjV3Y0RCa01wblVJMmhyYTR2MTY5ZWpSbzBhS0ZXcUZKNDllNGJCZ3dmajJyVnJXTHAwS2VyWHI0K2JOMjlpMnJScDZOQ2hnOWIwSkhYcTFFRndjRENXTEZrQ2QzZDNxZnpXclZ2U2FsOGlvZzhkaDErSmlnRVBEdzlrWldYQjFkVVZNMmJNUVBmdTNWR2xTaFVJZ29CZHUzWkphUlRTMDlNQlFNb1ZkZmJzV1Z5OGVCRlhyMTdGbFN0WDBMbHpaMlJsWmNIVTFCUnQyclJCYUdnbzd0eTVBMmRuWjd4NDhRTFhybDJEcGFVbDd0MjdwNUlDUWFGUUFBQldyVnFGRXlkT3FDVXdCb0FoUTRaZytQRGgyTDU5T3padTNJZytmZnFvSlVFOWZ2dzRoZ3dab3JKNFFabUtJQ29xQ2pObXpJQ2RuUjNXcmwwTEJ3Y0h4TWJHWXVUSWthaFRwNDdhRm1TNnBpWFJOdmV3VEpreU9IejRzRTczSUNJcUNSalVFZW5CL2Z2M3NXdlhMdXphdFF2VzF0Ym8yclVyZXZic0NWOWZYK1RrNUVoN1J4NDRjQUJQbmp4QjE2NWRBZVJ0OXdQOEY5UUZCUVVoT3pzYnJxNnU2Tm16SjV5Y25MQmx5eGFZbXBxaVdyVnFzTEd4d1pFalJ6QjQ4R0JVckZnUlY2OWVSWEp5TWh3Y0hGUVdTQ2g3NWlJakkrSGg0WUUyYmRxb3JYQnIyTEFoT25mdWpGbXpacUZjdVhMNCt1dXYxZDdYdUhIajRPcnFxaktNK3ZUcFV3UUVCT0RvMGFNWU5HZ1FoZzhmRG1OalkxeS9maDJqUjQrR2pZME41cytmcjVhSHFxQnRpSjQrZllxZmZ2b0o1dWJtQ0F3TTFKaS9qOXNMRWRHSGhrRWRrUjc4L1BQUFNFeE1oS2VuSjNyMzdnMkZRZ0VmSHg5Y3ZYb1ZJU0VoS0YyNk5GSlRVN0Z3NFVKNGVIakF6czRPQUtRZXROS2xTd1BJVzhHYVAzaFJacGt2VmFvVVpESVp1blhySnFVY0NRME5oWldWRlRwMzdvd2VQWHFvYkdkVXAwNGROR3ZXREdQSGprWFZxbFUxSmhqTnpzNUdabVltZ0x5RXdUZHUzRUNEQmcxVTZpaXo3K2RuYUdpSTNOeGNyRisvSHA5ODhna0FZUC8rL2ZEMzkwZlpzbVh4di8vOUQrSGg0ZWpmdjcvS2RkcTJJZnJycjcvZzUrY0hRUkR3OU9sVGpCMDdGZ01IRGtUWHJsMDE3bGxKUlBTaFlGQkhwQWUvL3ZvckhCd2NwSFFjQ3hZc3dKMDdkN0JpeFFvNE9qcENFQVJNbWpRSmNya2N3NGNQbDY2TGo0OEhBR212eXBkN281S1Rrd0g4dDMvanlKRWpwWE0yTmpZNGUvWXMvdm5uSDNUcTFFbmxPbHRiV3l4YXRFaHJlMi9mdm8wcFU2Ymd3WU1IOFBmM1IzaDRPSVlORzRiMjdkdGp5SkFoQmM1cnM3YTJ4b0lGQ3dEazVkR2JNMmNPSWlNajRlWGxoZSsvL3g1cjFxekIzTGx6Y2Z2MmJmajYrc0xRVVAzWGtpQUlPSHYyTERadDJvU1RKMCtpWnMyYVdMWnNHUXdNRExCNjlXb3NXTEFBeTVjdlIrL2V2ZEcvZjM4cHhRc1IwWWVFUVIyUkhqZzZPcW9janhneEF0N2UzckMydGtaT1RnNm1UcDJLOCtmUFkvbnk1VGg4K0RBVUNnVU1EQXl3ZnYxNjFLeFpVeVUzMitYTGw1R2RuWTB5WmNvZ1BEd2NGU3BVZ0plWEYrN2N1YVAxK2NvNWVzQi8yM0JwOHZ6NWM0U0VoR0RyMXEyb1dyVXExcTVkQzBkSFIzejU1WmRZdDI0ZFZxeFlnUU1IRHFCaHc0WVlPSEFnbWpadHF2RStHUmtaMkxadEcxYXRXb1V5WmNwZytmTGxVaS9mTjk5OEF4c2JHOHljT1JOeGNYR1lPM2N1U3BjdWpmdjM3K1BLbFNzNGYvNDhUcDQ4aWFTa0pOaloyZUhubjM5Rzc5NjlwWUIyeXBRcEdEcDBLRUpEUTdGdTNUcXNYNzhlUFhyMHdGZGZmU1Z0UFVSRTlDRmdVRWRVREppWW1NREV4QVFBc0gzN2RrUkZSU0VnSUFEMTZ0VkRSRVNFdEJDZ2ZQbnkrUFhYWDFXdXZYejVzdFFUWm1WbEJUOC9Qemc2T2tvclhkL0VybDI3c0dQSERnd2RPaFJlWGw3U0FnaTVYQTR2THk5MDZ0UUpxMWV2eHQ2OWU5VjJoTWh2ekpneHVIMzdOcnk4dkRCbzBDQzErWFBkdTNlSHViazV0bTNiQmtORFEyUm1abUxpeEltNGRlc1d6TTNOMGFSSkUzejU1WmR3ZDNmWE9GZXVmUG55R0Q5K1BMeTh2QkFjSEl4dDI3YkJ5c29LUTRZTWVlT3ZBUkhSKzBKV2VCV2lENWR5NzhDQ2VyUGVOa0VROEgvLzkzK29XYk9tU2xsdWJxN0dMYkYwT2YrcWNuSnljUC8rZlZTclZnMUpTVW13c2JFcHNMNUNvVkFaTnMzSXlNQ3BVNmVrMUNaeGNYR3d0cll1ZEd1ai9NbU5IejkrakNkUG5xQldyVm9haDJRTEVoY1hoM0xseWhYSkp1QkJRVUVJRGc0R2dPa3hNVEhUM3ZvRDZKWHA0K2VVaWpmbDZ2bVltSmdQS3M1aFR4MVJNU09YeTFVQ09tV1pwcHh5dXA1L1ZVWkdSdElRY1dFQkhRQzFvTXZNekV4bGl6SUhCd2VkbnB0LzhZYTl2ZjFyRDUvcStqd2lvcEtFeVllSmlJaUlTZ0FHZFVSRVJFUWxBSWRmaVlpb1JOQjFGeEtpa29vOWRVUkU5RjRUUlRGSzMyMmc0dWREL0w1Z1R4MFJFYjNYTGx5NDBFcmZiU2d1bkoyZEx3UHdpNG1KMmFIdnR0Qzd4NTQ2SWlLaUVxQisvZm8xQU5RQjBGUGZiU0g5WUZCSFJFUlVBc2psOGwvK2ZUbXdldlhxSm5wdERPa0Znem9pSXFJU1FDYVRPU2xmVzFsWnRkRm5XMGcvR05RUkVSRzk1NXljbkQ0U1JmRVQ1YkVnQ0J5Qy9RQXhxQ01pSW5yUHlXUXlqNWVLdXJWczJaS0xJVDh3RE9xSWlJamVjNklvdnR3elo1dWNuTnhDTDQwaHZXRlFSMFJFOUI1emNYR3BJSlBKbW1nNHhTSFlEd3lET2lJaW92ZGJEd0N5bHd0bE1sa1A4Ty84QjRYL3M0bUlpTjVqR29aZWxleGRYRncwOWVCUkNjV2dqb2lJNkQzbDR1SlNGb0RXdVhNRkJIeFVBbkZsREpFT0RoNDhxTzhtVURGeDZOQWhmVGVCU0NJSVFqZVpUR1pRUUJVUEFEOENFTjlSazBpUEdOUVI2V0RDaEFuNmJnSVZQL3dqU1hvbms4a0s2NG1yVXI5Ky9RWVhMMTQ4LzA0YVJIckZvSTZvWUtNQXROUjNJNG9CNVIrT01MMjJvdmhJbGNsazYvWGRDUHF3MWE5ZjN3cEFoOExxeWVYeVhnQVkxSDBBMUZiTEVCRzl6Tm5aV1FTQW1KZ1kvczRnS2lhY25KdzhaVEpacUE1Vi94Y1RFMU1kN0YwdThmZ0xtb2dLeGFDT3FQaHIwS0JCUzBFUWpnQTRHaE1UMDFMZjdhRjNqNnRmaVlpSWlFb0FCblZFUkVSRUpRQ0RPaUlpSXFJU2dFRWRFUkVSVVFuQW9JNklpSWlvQkdCUVIwUkVSRlFDTUtnaklpSWlLZ0VZMUJFUkVSR1ZBQXpxaUlpSWlFb0FCblZFUkVSRUpRQ0RPaUlpSXFJU2dFRWRFUkVSVVFuQW9JNklpSWlvQkdCUVIwUTZjM1oyenFsZnYzNDNmYmVEaUlqVU1hZ2pva0tKb2hqMTcwdERBd09EYVhwc0NoRVJhY0dnam9nS2RlSENoVllBcGdPQUtJbzc5ZHdjSWlMU2dFRWRFUkVSVVFuQW9JNklpSWlvQkdCUVIwUkVSRlFDR09xN0FVUlVQRGs3TzY4QzhMV0dVMzdPenM1KytZNVh4Y1RFZlB1T21rVkVSRnF3cDQ2SU5CSkZjWnVPOWJZWGRWdUlpS2h3RE9xSVNLUHM3T3hEQUpJTHFaYjhiejBpSXRJekJuVkVwTkcxYTlleUFld3FwRnJFdi9XSWlFalBHTlFSa1ZZeW1TeXNvUE9DSUJSNG5vaUkzaDBHZFVTa2xiR3hjU1NBZEMybjAwdVZLblhnWGJhSGlJaTBZMUJIUkZxZFBuMzZCWUM5V2s3ditmYzhFUkVWQXd6cWlLZ3cyb1pZT2ZSS1JGU01NS2dqb2dLVktsVnFMNENzbDRvenM3S3l0UFhnRVJHUkhqQ29JNklDblR4NU1oVkFaUDR5bVV3V2VlM2F0VFE5TlltSWlEUmdVRWRFaFJKRlVXV29sYXRlaVlpS0h3WjFSRlFvaFVLaGtxOU9GTVhDOHRjUkVkRTd4cUNPaUFwMTVjcVZKQUFpQUlpaUtGeThlUEc1bnB0RVJFUXZZVkJIUkxvYUJnQnl1WHlZdmh0Q1JFVHFHTlFSa1U1RVVRd0hrQzBJd2s1OXQ0V0lpTlF4cUNNaW5WeTRjT0VwZ0YvKy9TOFJFUlV6RE9xSVNHY3ltZXczZmJlQmlJZzBZMUJIUkRxTGpvN08wWGNiaUloSU13WjFSRVJFUkNVQWd6b2lJaUtpRXNCUTN3MGdLdTZjbkp6T3ltU3lodnB1QnhVTGFRRDZ4OFRFN05aM1E0aUlYc2FlT3FKQ01LQ2pmRW9EbUtidlJoQVJhY0tlT2lJZFJVZEg2N3NKcEVkQlFVRUlEZzRHQVBiU0VWR3h4SjQ2SWlJaW9oS0FRUjBSRVJGUkNjQ2dqb2lJaUtnRVlGQkhSRVJFVkFJd3FDTWlJaUlxQVJqVUVSRVJFWlVBRE9xSWlJaUlTZ0FHZFVSRVJFUWxBSU02SWlJaW9oS0FRUjBSRVJGUkNjQ2dqb2lJaUtnRVlGQkhSRVJFVkFJWTZyc0JSQ1dkS0lwUUtCVEl5Y2xCZG5ZMnNyS3lrSkdSZ1l5TURLU2xwU0UxTlJYSnljbElTa3JDczJmUGtKbVppV25UcHIyVHRnbUNnRVdMRnFGY3VYSVlOR2pRRzkwclBEd2NwMDZkZ3BlWEYyclZxdldXV3FpYmVmUG1vV1hMbG5CeGNVRnFhcXBPMTFoWVdCUnhxNGlJM2kwR2RVUkZ4TlhWRmFJb1FoUkZyWFdNalkxaFptWUdjM056bUp1Ync4TENBaFlXRmtoTVRJU05qUTBBSURjM0Z3MGJOb1NscFNWa01sbUJ6MVFvRkxDMHRNVHUzYnQxYXFOY0xrZE9UZzRXTFZvRVIwZEhORzdjV1BjM21NK3hZOGN3YytaTXlHUXlQSHYyRE11WEw0ZXhzYkhHdXRuWjJYajI3Sm5HYy9QbXpVTlVWRlNoejR1T2pwWmVaMlJrWU51MmJXamV2RGx5YzNQUnNtVkxuZHFjL3g1RVJDVUJnenFpSWlJSUFyeTl2ZEd1WFRzWUdSbkJ5TWdJeHNiR01ERXhnVUtod0Y5Ly9RVTNOemNwZUN1TWhZVUZEQTBML3BITnpNelVXSjZhbW9xRWhBU041M3IwNklGang0NWgvLzc5cUZDaGdzWTZEZzRPTURJeTBuanV4SWtUbURCaEFobzFhb1RodzRmanUrKytnNStmSDJiTW1BRURBd08xK2pkdjNvUzN0N2ZHZSszYnR3K2pSbzBDa0JmOGVYbDVZY0NBQWVqU3BZdkcrZ0J3K3ZScEdCa1pvWDc5K2xMWmxDbFQ0Tzd1cnJIK2d3Y1A4TzIzMzJxOUh4SFIrNHBCSFZFUnFsQ2hBajc5OUZPMTh0allXRXllUEJuQndjRTZCM1ZMbGl4QjVjcVZDNnh6NnRRcC9QcnJyMnJsa1pHUm1EVnJWb0hYN3Q2OVcyc1AzOWF0VytIbzZLaFd2bjM3ZHZ6MjIyOXdkWFhGM0xsellXSmlnZ1VMRm1EMDZORVlPM1lzWnMrZURUTXpNNVZyYXRldWpkT25Ud01BR2pkdURCOGZIM1R0MmhVQVZIcjNqaDQ5aXV6c2JIVHAwZ1ZWcTFiVjJ1NjllL2ZDM2QwZFJrWkd5TTNOQlFDVUxsMGF0cmEyR3V2ck9qeExSUFMrWVZCSFZNUmNYRnkwbmhzNmRLakc4ckN3TUxWQXh0dmJHM0o1d1d1YkZBb0Z6TTNOdFo1L2Vjang3Ny8veHFOSGo5QzZkV3VOOTQ2T2p0Yll4clMwTk15YU5Rdjc5KzlIdDI3ZDRPdnJLL1VpdXJpNElDZ29DRC84OEFPOHZiMHhmZnAwZlBiWlo5SzFNcGxNSlhnek5EVFVPRlI3OE9CQk9EbzZGaGpRSlNVbDRjU0pFNWc5ZTdiV09rUkVId29HZFVSRkxDd3NUSzBzTGk0T28wZVB4dlRwMDFHN2RtMjE4dzRPRG1wbGE5YXNlZTJlT20wQ0F3TVJGeGVIbGkxYkZob3dLdjM1NTUrWU4yOGUwdExTTUdYS0ZIVHYzbDJ0VHUzYXRSRWFHZ29mSHg5cENOWGIyeHRXVmxZNlBTTTlQUjFSVVZFWU1tUklnZlUyYjk0TWhVS0Jqei8rV0tYODJiTm5pSTJOMVhoTlhGeWNUbTBnSW5yZk1LZ2pLbUlGOVRSVnFGQkI2L2wrL2ZyaDRjT0hBUElXTlBUcjE2L1FoUktDSUVDaFVLQlpzMllBZ045Kyt3MU5talNCaDRlSE5NU3BkT25TSlp3N2R3N1RwMC9YT2xmUHljbEptck4yNmRJbExGcTBDSmN1WFVMRGhnMHhlZkpramNHblVxVktsYkI2OVdvRUJRVmg3ZHExMkw1OU84YU9IWXVXTFZ2aWl5KytrT3I1Ky92RDM5OGZ4c2JHMHJEc2poMDdvRkFvRUJvYUNudDdleGdiRzZORml4WXE3ejg5UFIxYnQyN1YrT3c1YytZVStIVWlJaXFKR05RUkZTRmxFUEp5cjVHeXR5ZytQbDd0bkRMSTI3eDU4MXRwUTBwS0NoSVRFOVhLbHl4WmduTGx5dUh6enovWDJxdVYzL1BuejVHUWtJQ0FnQUJjdkhoUkxVZ3NTSGg0T0g3Ly9YYzRPVG5CMnRwYTZyM3MyYk1uaGc4ZmpyWnQyMHBmSzBFUXNHWExGblRzMkJIaDRlRzRkKzhlUWtORE1XVElFSGg1ZVVuM0RBNE9WbnVPVENiREYxOThnWUVEQjBvOW9DNHVMaXJEMlVsSlNWaXpabzNPYlNjaWVsOHdxQ01xQW9JZ0FJQzArck5uejU0YTYvbjUrYW1WdlR6dkxUWTJGajE3OWtTWk1tVlV5cE9UazJGaFlhRXliQ29JQWxKVFUxWHVzWHYzYnN5Yk4wOXJXM3YzN2wzSXUvbXZYZTd1N3BETDVYQjJka2F2WHIxVXprZEVSQ0EwTkZUamNIUGx5cFVSRUJBZ0hlZnZuU3hidHF6S2NVUkVCT0xqNHpGdzRFQ0VoNGZEM3Q0ZW8wYU53dno1ODlHd1lVTjg5dGxueU16TXhKWXRXekIxNmxSTW1USkZ1bFl1bHhlNklNVGEyaHBqeDQ3VjZUMFRFYjFQR05RUkZZR3NyQ3dBZ0ttcHFWUTJiZG8wS1RXSElBaElTa3BDbVRKbHBLSFBYYnQyRlpoMCtQRGh3eXJITGk0dVdMTm1qVXBBcEF3QTh4c3dZQUFHREJnZ0hhZWtwS0JIang1bzFxd1pwaytmcnZhY2tKQVFyRnk1RXZ2MjdWT2JBNmNNSUcxc2JOUlc3VnBiV3dNb2VMaTVNQmtaR1ZpeVpBbmF0MitQYXRXcVNlVjkrdlRCNGNPSE1XblNKR3phdEFtbXBxYnc4ZkZCeDQ0ZHBhQ3VkZXZXU0U1TzFuaGZiVUUxYzlVUlVVbkNvSTZvQ0NqVFptamJ0ZUR4NDhmbzBxVUxWcXhZQVdkblo1M3U2ZUhob1ZZMmV2Um9sZmx3Q29XaTBQc3NXclFJdWJtNStPR0hIOVRPUFgvK0hCczNia1RIamgxMVh0VHdwdExTMG5EaXhBbkV4c1lpSVNFQnFhbXArTzY3NzFUcXlHUXlUSjA2RmIxNjlVSmdZQ0IrK3VrbmRPdldUYVZPYUdpb2xOSUVBUGJzMllQang0L2o5dTNiK09pamoxQ3VYRG40K1BpOGsvZEVSS1FQRE9xSWlzRFRwMDhCNUEwdGFwS1Rrd01BV2hQNmF2TEhIMytvSEx1NHVHRHg0c1dGOXRUbDkrelpNMFJGUlNFbkp3Y2hJU0hvMTY4ZnFsU3BBaUN2OTNEcTFLa0FnQkVqUmhUWWxvTFN0R2c2VjZsU0plemN1Vk42enZYcjEzSHk1RWtBd0lJRkMyQmtaQVE3T3p2RXg4ZkQyOXRiNHlwZkJ3Y0hmUDMxMXdnT0RrYTdkdTFRcjE0OWxmUDVyNG1MaThQV3JWdXhjT0ZDREI0OEdHUEhqc1g0OGVOeDU4NGR0R25UcHNEM1JrVDB2bUpRUjFRRVltTmpJWlBKdEtZZ1VXNlRwV3ZpWVFCbzE2NmRXdG0zMzM2ck5xZXVJR1hMbHNXZVBYdXdjK2RPYk5pd1FkcGVxMSsvZnRpMmJSdk9uajJMaFFzWGFrM2NxNlJwM2x4QmMrcnlCNjhIRGh6QXBFbVRZR0ppZ2xhdFdxRk5temFvVjY4ZUJnOGVqTXFWSzJQdzRNRmFuK3Z0N1kzOSsvZmp6cDA3YWtHZFVrcEtDa2FQSG8wT0hUckF5Y2tKUUY3QU4yN2NPRXlaTWdYVzF0WTY5NDRTRWIxUEdOUVJGWUdyVjYraVVxVkswbTRLcFVxVlVoa21QWFhxRkFCZzA2Wk5HRFJvRU96dDdXRm9hSWhTcFVxcDNjdlcxaFkrUGo1cUN4TmNYRnl3Y3VWS2xaNjYxTlJVUkVaR0Z0ZzJVMU5UOU8zYkY3MTc5OGFCQXdld2VQRmlhYml6ZS9mdWNITnpLL1Q5YVpvM3ArdWN1cnAxNjJMV3JGbHdkM2VYM205YVdocGNYVjNSdDI5Zm1KaVlhTDNXMk5nWUd6WnMwUGgxQW9CLy92a0hZOGFNZ2JtNU9YNzg4VWVWYzcxNjljSzllL2N3WXNRSVRKdzRVV04rUFNLaTl4bURPcUszVEJSRkhEOStISTBiTjViS1RwdzRJYjJPaUlqQSt2WHI4ZVdYWCtMY3VYUFl1blVydnZqaUMzaDZlcXJVQS9JbS95c3RYYnBVN1ZuYWRwbFl1blFwcGt5WmdsYXRXbWxzb3lBSU9IZnVIUGJ0MjRjblQ1NmdldlhxTURFeFFYaDRPTTZmUDQrdnZ2b0tYYnQyTFREQWVsMFZLMVpFeFlvVlZjcEtseTZ0Y2RHR0p0b0N1ak5uem1ENjlPbXdzTERBMHFWTE5lNVNNVzdjT0ppYW1zTGYzeC83OSs5SFlHRGdLdzJCRXhFVlp3enFpTjZ5bzBlUElqNCtYaVhCN29NSEQzRHk1RW5zM0xrVHQyL2Z4c0NCQXpGbXpCZ0F3SkVqUnhBY0hJd0JBd2FnZWZQbStQYmJiMUdyVmkwQTZpdGU4OU8wK2xVYlFSQnc3OTQ5WEw5K0hlZk9uY09wVTZlUWtKQUFCd2NIK1BqNHdNUERBM0s1SEdmT25FRndjREJtejU2Tm9LQWc5T3ZYRDMzNjlJR2xwU1dBdkwxYXM3T3pDM3hXUWZQdGltcTE2ZlBuenpGcDBpUTRPam9pSUNDZ3dFVWUzMy8vUFdyWHJvM0l5RWdHZEVSVW9qQ29JM3JMd3NQRDhja25uOERWMVJXLy92b3JqaHc1Z3NURVJKaVltS0JGaXhhWU1tVUtQdi84YzZsKzY5YXQwYXBWSzBSR1JtTFpzbVh3OVBURS9QbnpNV25TcEFLZlU2cFVLUXdhTktqQU9wTW1UVUtIRGgyd2FkTW16SjgvSHdCZ2FXa0pkM2QzdEd2WERrMmJObFhwNld2VXFCRWFOV3FFczJmUFl2bnk1VmkyYkJsTVRVMmw1MnpldkJtaUtMN3VsNmJJV0ZsWllmWHExYWhVcVpKTzI1MjFhTkVDTFZxMGVBY3RJeUo2ZHhqVUViMWxVNmRPbFZhL3RtblRCbVhMbGtXZE9uWGc1T1Nra3JjdVA1bE1oaSsvL0JKdDI3YkZuajE3MEt4Wk03V2gyRGZSdTNkdmxDcFZDclZyMTBiMTZ0VUxEWHpjM056ZzV1YUdNMmZPd05YVlZTci82S09QM2xxYmRLRkx6NTZQanc5c2JXMjFwbzhaUG55NE5OL3ZiYWxmdjM3OXQzcERvcmRBRUFSK1gzN2dDdDVJa29qZzdPd3NBa3hVKzZFTENncFNiazAySFlENlZpQkV4Y2ZSbUppWWx2cHVCTDE3N0traklucDFsL1RkQUNJdGNnR3MwWGNqU0Q4WTFCRVJ2YUtZbUJnT2N4RlJzVlA0akdJaUlpSWlLdllZMUJHUm12eDdxQklSMGZ1QlFSMFJxWWlPamthN2R1Mmt2Vm1KaU9qOXdEbDFSS1RpODg4L2g0R0JBV2JPbkludzhIQ1ZuUmtpSXlQaDYrdXJkbzFjTHNmNTgrZmZaVE9KaU9nbERPcUlDR2xwYVhqMjdKbDAzTHAxYXp4Ly9oeVBIajNTV0Q4c0xFeDZ2WFRwVWtSRlJSVjFFNG1JcUJBTTZvZ0lSNDRjd2JScDA5VEtEeDQ4cUhMODY2Ky9Bb0MwTlZsR1JnWk9uejZOSmsyYUZIVVRpWWlvRUF6cWlBaGR1blNCalkwTkhqNThpTDU5KzZxY216OS9QbXJWcW9YMjdkc2pNakpTNVZ4RVJBUXlNakl3Wk1pUWQ5bGNJaUxTZ0FzbGlBZ0FZR3BxaXJsejU2b0Vic2VPSGNPR0RSdFFwa3dadGZxQ0lHRGp4bzFvMmJJbGF0V3E5UzZiU2tSRUdqQ29JeUlBZ0l1TEMvcjA2U050aDVhWW1BaC9mMy8wN2RzWGpSbzFVcXYvNTU5LzRzbVRKeGc5ZXZTN2Jpb1JFV25BNFZjaWdvdUxpOHB4L29VUVc3WnN3Wll0V3dBQVBqNCtVbmxTVWhJRVFVQk1UQXcrK3VpamQ5TlFJaUxTaWtFZEVha0VjUVc1Y2VPRzlMcGZ2MzRRUlJFelo4NkVuWjBkbWpadFdsVE5JeUlpSFRDb0l5SnBOV3RoYnQ2OHFYTGN2MzkvWEw1OEdRRUJBUWdQRDRkY3poa2RSRVQ2d3FDT2lBQ29EOEcrVERuWDdtV0RCZzJDcDZjbmJ0eTRnYzgvLzd3b21rWkVSRHBnVUVkRWtzV0xGOFBCd1VHbExDNHVyc0RGRUZXcVZBRUEvUFBQUHd6cWlJajBpRUVkRVVrY0hCeDBIb3BWZXZEZ0FRREF5c3FxQ0ZwRVJFUzZZbEJIUks5czNicDF1SGJ0R3N6TnpYSDY5R25ZMmRreFZ4MFJrWjR4cUNNaVNWeGNuRTVsdHJhMnVIdjNMaFFLQlQ3NzdET01HREVDUmtaRzc2S0pSRVNrQllNNklwTG9ta2k0WThlTzZOaXhZeEczaG9pSVhnV0RPaUtTaElXRnFjMnBpNDJOUmMrZVBmWFRJQ0lpMGhtRE9pSUNBSVNIaDZOQ2hRcHE1WlVxVmNLdVhic0FBRzV1YmxpNWN1VzdiaG9SRWVtQVFSMFJBUUFxVjY2c3NkelEwQkFWSzFZRWtMZkN0WDc5K3UreVdVUkVwQ09tZnljaUlpSXFBUmpVRVJFUkVaVUFET3FJaUlpSVNnQUdkVVJFUkVRbEFJTTZJaUlpb2hLQVFSMFJFUkZSQ2NDZ2pvaUlpS2dFWUZCSFJFUkVWQUl3K1RDUmp1N2N1YVB2SnBBZThmOC9FUlYzRE9xSWROU25UeDk5TjRHSWlFZ3JCblZFaFZzcWs4bGE2THNScEgraUtLYktaTEo5K200S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zlvdjhIVVJMb1J5VTZzVTBBQUFBQVNVVk9SSzVDWUlJPSIsCiAgICJUeXBlIiA6ICJmbG93IiwKICAg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中国石油天然气股份有限公司</Company>
  <Pages>806</Pages>
  <Words>59084</Words>
  <Characters>336785</Characters>
  <Lines>2806</Lines>
  <Paragraphs>790</Paragraphs>
  <TotalTime>0</TotalTime>
  <ScaleCrop>false</ScaleCrop>
  <LinksUpToDate>false</LinksUpToDate>
  <CharactersWithSpaces>395079</CharactersWithSpaces>
  <Application>WPS Office_10.8.2.7061_F1E327BC-269C-435d-A152-05C5408002CA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2018-05-15T09:29:00Z</dcterms:created>
  <dc:creator>石碧波</dc:creator>
  <cp:lastModifiedBy>℡姢ル</cp:lastModifiedBy>
  <cp:lastPrinted>2021-04-14T00:36:00Z</cp:lastPrinted>
  <dcterms:modified xsi:type="dcterms:W3CDTF">2021-06-25T09:38:31Z</dcterms:modified>
  <dc:title>油密A级</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2052-10.8.2.7061</vt:lpwstr>
  </property>
  <property fmtid="{D5CDD505-2E9C-101B-9397-08002B2CF9AE}" pid="3" name="wic_System_Copyright">
    <vt:lpwstr/>
  </property>
</Properties>
</file>