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经典长宋简" w:eastAsia="经典长宋简"/>
          <w:b/>
          <w:color w:val="FF0000"/>
          <w:spacing w:val="-20"/>
          <w:w w:val="33"/>
          <w:sz w:val="180"/>
          <w:szCs w:val="180"/>
        </w:rPr>
      </w:pPr>
      <w:r>
        <w:rPr>
          <w:rFonts w:hint="eastAsia" w:ascii="经典长宋简" w:eastAsia="经典长宋简"/>
          <w:b/>
          <w:color w:val="FF0000"/>
          <w:spacing w:val="-20"/>
          <w:w w:val="33"/>
          <w:sz w:val="160"/>
          <w:szCs w:val="180"/>
        </w:rPr>
        <w:t>四川阆中华珍风味食品有限公司文件</w:t>
      </w:r>
    </w:p>
    <w:p>
      <w:pPr>
        <w:jc w:val="center"/>
        <w:outlineLvl w:val="0"/>
        <w:rPr>
          <w:rFonts w:eastAsia="黑体"/>
          <w:sz w:val="24"/>
        </w:rPr>
      </w:pPr>
      <w:r>
        <w:rPr>
          <w:rFonts w:hint="eastAsia" w:eastAsia="黑体"/>
          <w:sz w:val="24"/>
        </w:rPr>
        <w:t>华珍字[20</w:t>
      </w:r>
      <w:r>
        <w:rPr>
          <w:rFonts w:hint="eastAsia" w:eastAsia="黑体"/>
          <w:sz w:val="24"/>
          <w:lang w:val="en-US" w:eastAsia="zh-CN"/>
        </w:rPr>
        <w:t>21</w:t>
      </w:r>
      <w:r>
        <w:rPr>
          <w:rFonts w:hint="eastAsia" w:eastAsia="黑体"/>
          <w:sz w:val="24"/>
        </w:rPr>
        <w:t>]第00</w:t>
      </w:r>
      <w:r>
        <w:rPr>
          <w:rFonts w:hint="eastAsia" w:eastAsia="黑体"/>
          <w:sz w:val="24"/>
          <w:lang w:val="en-US" w:eastAsia="zh-CN"/>
        </w:rPr>
        <w:t>9</w:t>
      </w:r>
      <w:r>
        <w:rPr>
          <w:rFonts w:hint="eastAsia" w:eastAsia="黑体"/>
          <w:sz w:val="24"/>
        </w:rPr>
        <w:t>号</w:t>
      </w:r>
    </w:p>
    <w:p>
      <w:pPr>
        <w:spacing w:line="600" w:lineRule="exact"/>
        <w:jc w:val="center"/>
        <w:rPr>
          <w:rFonts w:ascii="仿宋_GB2312" w:hAnsi="宋体" w:eastAsia="仿宋_GB2312"/>
          <w:kern w:val="0"/>
          <w:sz w:val="44"/>
          <w:szCs w:val="44"/>
        </w:rPr>
      </w:pPr>
      <w:r>
        <w:rPr>
          <w:rFonts w:ascii="仿宋_GB2312" w:eastAsia="仿宋_GB2312"/>
          <w:color w:val="FFFFFF"/>
          <w:sz w:val="36"/>
        </w:rPr>
        <w:pict>
          <v:line id="_x0000_s1028" o:spid="_x0000_s1028" o:spt="20" style="position:absolute;left:0pt;flip:y;margin-left:-1.5pt;margin-top:1.25pt;height:1.6pt;width:425.2pt;z-index:251658240;mso-width-relative:page;mso-height-relative:page;" stroked="t" coordsize="21600,21600">
            <v:path arrowok="t"/>
            <v:fill focussize="0,0"/>
            <v:stroke weight="1.5pt" color="#FF0000"/>
            <v:imagedata o:title=""/>
            <o:lock v:ext="edit"/>
          </v:line>
        </w:pict>
      </w:r>
    </w:p>
    <w:p>
      <w:pPr>
        <w:tabs>
          <w:tab w:val="left" w:pos="5580"/>
          <w:tab w:val="left" w:pos="8460"/>
        </w:tabs>
        <w:ind w:right="32"/>
        <w:jc w:val="center"/>
        <w:rPr>
          <w:rFonts w:ascii="宋体" w:hAnsi="宋体"/>
          <w:b/>
          <w:sz w:val="32"/>
          <w:szCs w:val="32"/>
        </w:rPr>
      </w:pPr>
      <w:r>
        <w:rPr>
          <w:rFonts w:hint="eastAsia" w:ascii="宋体" w:hAnsi="宋体"/>
          <w:b/>
          <w:sz w:val="32"/>
          <w:szCs w:val="32"/>
        </w:rPr>
        <w:t>关于建立识别、获取、评审、更新安全生产</w:t>
      </w:r>
    </w:p>
    <w:p>
      <w:pPr>
        <w:tabs>
          <w:tab w:val="left" w:pos="5580"/>
          <w:tab w:val="left" w:pos="8460"/>
        </w:tabs>
        <w:ind w:right="32"/>
        <w:jc w:val="center"/>
        <w:rPr>
          <w:rFonts w:ascii="宋体" w:hAnsi="宋体"/>
          <w:b/>
          <w:sz w:val="32"/>
          <w:szCs w:val="32"/>
        </w:rPr>
      </w:pPr>
      <w:r>
        <w:rPr>
          <w:rFonts w:hint="eastAsia" w:ascii="宋体" w:hAnsi="宋体"/>
          <w:b/>
          <w:sz w:val="32"/>
          <w:szCs w:val="32"/>
        </w:rPr>
        <w:t>法律法规与其他要求的管理制度的通知</w:t>
      </w:r>
    </w:p>
    <w:p>
      <w:pPr>
        <w:tabs>
          <w:tab w:val="left" w:pos="5580"/>
          <w:tab w:val="left" w:pos="8460"/>
        </w:tabs>
        <w:ind w:right="972"/>
        <w:rPr>
          <w:rFonts w:ascii="仿宋_GB2312" w:hAnsi="宋体" w:eastAsia="仿宋_GB2312"/>
          <w:sz w:val="32"/>
          <w:szCs w:val="32"/>
        </w:rPr>
      </w:pPr>
    </w:p>
    <w:p>
      <w:pPr>
        <w:tabs>
          <w:tab w:val="left" w:pos="5580"/>
          <w:tab w:val="left" w:pos="8460"/>
        </w:tabs>
        <w:ind w:right="972"/>
        <w:rPr>
          <w:rFonts w:asciiTheme="minorEastAsia" w:hAnsiTheme="minorEastAsia" w:eastAsiaTheme="minorEastAsia"/>
          <w:sz w:val="28"/>
          <w:szCs w:val="28"/>
        </w:rPr>
      </w:pPr>
      <w:r>
        <w:rPr>
          <w:rFonts w:hint="eastAsia" w:asciiTheme="minorEastAsia" w:hAnsiTheme="minorEastAsia" w:eastAsiaTheme="minorEastAsia"/>
          <w:sz w:val="28"/>
          <w:szCs w:val="28"/>
        </w:rPr>
        <w:t>公司各部门：</w:t>
      </w:r>
      <w:bookmarkStart w:id="0" w:name="_GoBack"/>
      <w:bookmarkEnd w:id="0"/>
    </w:p>
    <w:p>
      <w:pPr>
        <w:tabs>
          <w:tab w:val="left" w:pos="5580"/>
          <w:tab w:val="left" w:pos="8460"/>
        </w:tabs>
        <w:ind w:right="32"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为了及时获取国家和政府颁布实施的有关安全生产法律法规、部门规章和标准，熟悉和掌握法律法规知识和规定，公司制定了“识别、获取、评审、更新安全生产法律法规与其他要求的管理制度”，现印发给你们，请遵照执行。</w:t>
      </w:r>
    </w:p>
    <w:p>
      <w:pPr>
        <w:tabs>
          <w:tab w:val="left" w:pos="5580"/>
          <w:tab w:val="left" w:pos="8460"/>
        </w:tabs>
        <w:ind w:right="972" w:firstLine="560" w:firstLineChars="200"/>
        <w:rPr>
          <w:rFonts w:asciiTheme="minorEastAsia" w:hAnsiTheme="minorEastAsia" w:eastAsiaTheme="minorEastAsia"/>
          <w:sz w:val="28"/>
          <w:szCs w:val="28"/>
        </w:rPr>
      </w:pPr>
    </w:p>
    <w:p>
      <w:pPr>
        <w:tabs>
          <w:tab w:val="left" w:pos="5580"/>
          <w:tab w:val="left" w:pos="8280"/>
        </w:tabs>
        <w:ind w:right="-148"/>
        <w:rPr>
          <w:rFonts w:asciiTheme="minorEastAsia" w:hAnsiTheme="minorEastAsia" w:eastAsiaTheme="minorEastAsia"/>
          <w:sz w:val="28"/>
          <w:szCs w:val="28"/>
        </w:rPr>
      </w:pPr>
    </w:p>
    <w:p>
      <w:pPr>
        <w:tabs>
          <w:tab w:val="left" w:pos="5580"/>
          <w:tab w:val="left" w:pos="8280"/>
          <w:tab w:val="left" w:pos="8460"/>
        </w:tabs>
        <w:ind w:right="32"/>
        <w:jc w:val="right"/>
        <w:rPr>
          <w:rFonts w:asciiTheme="minorEastAsia" w:hAnsiTheme="minorEastAsia" w:eastAsiaTheme="minorEastAsia"/>
          <w:sz w:val="28"/>
          <w:szCs w:val="28"/>
        </w:rPr>
      </w:pPr>
      <w:r>
        <w:rPr>
          <w:rFonts w:hint="eastAsia" w:asciiTheme="minorEastAsia" w:hAnsiTheme="minorEastAsia" w:eastAsiaTheme="minorEastAsia"/>
          <w:sz w:val="28"/>
          <w:szCs w:val="28"/>
        </w:rPr>
        <w:t>四川阆中华珍风味食品有限公司</w:t>
      </w:r>
    </w:p>
    <w:p>
      <w:pPr>
        <w:tabs>
          <w:tab w:val="left" w:pos="5580"/>
          <w:tab w:val="left" w:pos="8460"/>
        </w:tabs>
        <w:ind w:right="312"/>
        <w:jc w:val="right"/>
        <w:rPr>
          <w:rFonts w:asciiTheme="minorEastAsia" w:hAnsiTheme="minorEastAsia" w:eastAsiaTheme="minorEastAsia"/>
          <w:sz w:val="32"/>
          <w:szCs w:val="32"/>
        </w:rPr>
      </w:pPr>
      <w:r>
        <w:rPr>
          <w:rFonts w:hint="eastAsia" w:asciiTheme="minorEastAsia" w:hAnsiTheme="minorEastAsia" w:eastAsiaTheme="minorEastAsia"/>
          <w:sz w:val="28"/>
          <w:szCs w:val="28"/>
        </w:rPr>
        <w:t>二〇</w:t>
      </w:r>
      <w:r>
        <w:rPr>
          <w:rFonts w:hint="eastAsia" w:asciiTheme="minorEastAsia" w:hAnsiTheme="minorEastAsia" w:eastAsiaTheme="minorEastAsia"/>
          <w:sz w:val="28"/>
          <w:szCs w:val="28"/>
          <w:lang w:eastAsia="zh-CN"/>
        </w:rPr>
        <w:t>二</w:t>
      </w:r>
      <w:r>
        <w:rPr>
          <w:rFonts w:hint="eastAsia" w:asciiTheme="minorEastAsia" w:hAnsiTheme="minorEastAsia" w:eastAsiaTheme="minorEastAsia"/>
          <w:sz w:val="28"/>
          <w:szCs w:val="28"/>
        </w:rPr>
        <w:t>一年一月十一日</w:t>
      </w:r>
    </w:p>
    <w:p>
      <w:pPr>
        <w:tabs>
          <w:tab w:val="left" w:pos="5580"/>
          <w:tab w:val="left" w:pos="8460"/>
        </w:tabs>
        <w:ind w:right="672"/>
        <w:rPr>
          <w:rFonts w:ascii="仿宋_GB2312" w:hAnsi="宋体" w:eastAsia="仿宋_GB2312"/>
          <w:sz w:val="32"/>
          <w:szCs w:val="32"/>
        </w:rPr>
      </w:pPr>
    </w:p>
    <w:p>
      <w:pPr>
        <w:tabs>
          <w:tab w:val="left" w:pos="5580"/>
          <w:tab w:val="left" w:pos="8460"/>
        </w:tabs>
        <w:ind w:right="672"/>
        <w:rPr>
          <w:rFonts w:ascii="仿宋_GB2312" w:hAnsi="宋体" w:eastAsia="仿宋_GB2312"/>
          <w:sz w:val="32"/>
          <w:szCs w:val="32"/>
        </w:rPr>
      </w:pPr>
    </w:p>
    <w:p>
      <w:pPr>
        <w:tabs>
          <w:tab w:val="left" w:pos="5580"/>
          <w:tab w:val="left" w:pos="8460"/>
        </w:tabs>
        <w:ind w:right="672"/>
        <w:rPr>
          <w:rFonts w:ascii="仿宋_GB2312" w:hAnsi="宋体" w:eastAsia="仿宋_GB2312"/>
          <w:sz w:val="32"/>
          <w:szCs w:val="32"/>
        </w:rPr>
      </w:pPr>
    </w:p>
    <w:p>
      <w:pPr>
        <w:widowControl/>
        <w:jc w:val="left"/>
        <w:rPr>
          <w:rFonts w:ascii="仿宋_GB2312" w:hAnsi="宋体" w:eastAsia="仿宋_GB2312"/>
          <w:sz w:val="32"/>
          <w:szCs w:val="32"/>
        </w:rPr>
      </w:pPr>
    </w:p>
    <w:p>
      <w:pPr>
        <w:tabs>
          <w:tab w:val="left" w:pos="5580"/>
          <w:tab w:val="left" w:pos="8460"/>
        </w:tabs>
        <w:ind w:right="32"/>
        <w:jc w:val="center"/>
        <w:rPr>
          <w:rFonts w:ascii="宋体" w:hAnsi="宋体"/>
          <w:b/>
          <w:sz w:val="32"/>
          <w:szCs w:val="32"/>
        </w:rPr>
      </w:pPr>
    </w:p>
    <w:p>
      <w:pPr>
        <w:tabs>
          <w:tab w:val="left" w:pos="5580"/>
          <w:tab w:val="left" w:pos="8460"/>
        </w:tabs>
        <w:ind w:right="32"/>
        <w:jc w:val="center"/>
        <w:rPr>
          <w:rFonts w:ascii="宋体" w:hAnsi="宋体"/>
          <w:b/>
          <w:sz w:val="32"/>
          <w:szCs w:val="32"/>
        </w:rPr>
      </w:pPr>
      <w:r>
        <w:rPr>
          <w:rFonts w:hint="eastAsia" w:ascii="宋体" w:hAnsi="宋体"/>
          <w:b/>
          <w:sz w:val="32"/>
          <w:szCs w:val="32"/>
        </w:rPr>
        <w:t>识别、获取、评审、更新安全生产法律法规</w:t>
      </w:r>
    </w:p>
    <w:p>
      <w:pPr>
        <w:tabs>
          <w:tab w:val="left" w:pos="5580"/>
          <w:tab w:val="left" w:pos="8460"/>
        </w:tabs>
        <w:ind w:right="32"/>
        <w:jc w:val="center"/>
        <w:rPr>
          <w:rFonts w:ascii="宋体" w:hAnsi="宋体"/>
          <w:b/>
          <w:sz w:val="32"/>
          <w:szCs w:val="32"/>
        </w:rPr>
      </w:pPr>
      <w:r>
        <w:rPr>
          <w:rFonts w:hint="eastAsia" w:ascii="宋体" w:hAnsi="宋体"/>
          <w:b/>
          <w:sz w:val="32"/>
          <w:szCs w:val="32"/>
        </w:rPr>
        <w:t>与其他要求的管理制度</w:t>
      </w:r>
    </w:p>
    <w:p>
      <w:pPr>
        <w:spacing w:line="360" w:lineRule="auto"/>
        <w:ind w:firstLine="562" w:firstLineChars="200"/>
        <w:outlineLvl w:val="0"/>
        <w:rPr>
          <w:rFonts w:asciiTheme="minorEastAsia" w:hAnsiTheme="minorEastAsia" w:eastAsiaTheme="minorEastAsia"/>
          <w:b/>
          <w:sz w:val="28"/>
          <w:szCs w:val="28"/>
        </w:rPr>
      </w:pPr>
      <w:r>
        <w:rPr>
          <w:rFonts w:hint="eastAsia" w:asciiTheme="minorEastAsia" w:hAnsiTheme="minorEastAsia" w:eastAsiaTheme="minorEastAsia"/>
          <w:b/>
          <w:sz w:val="28"/>
          <w:szCs w:val="28"/>
        </w:rPr>
        <w:t>一、目的：</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为了认识和了解与我公司生产活动有关的安全生产法律、法规、标准及其他要求，并将这些信息及时传达给从业人员和相关方，规范安全生产行为，特制定本制度。</w:t>
      </w:r>
    </w:p>
    <w:p>
      <w:pPr>
        <w:spacing w:line="360" w:lineRule="auto"/>
        <w:ind w:firstLine="562" w:firstLineChars="200"/>
        <w:outlineLvl w:val="0"/>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二、职责：</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安全部负责对各部门各途径识别和获取的适用的安全生产法律法规、标准及其他要求进行汇总报分管安全负责人批准后转发至相关部门；每年组织一次“获得适用的安全年生产法律、法规、标准及其他文件”符合性评审会议；负责公司级不符合“安全生产法律、法规、标准及其他文件”项的纠正措施和预防措施、整改方案的审批、检查和验证。</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各部门负责不定期获取相关的安全生产法律、法规、标准及其他要求，识别其适用性，追踪新的安全生产法律、法规及其他要求并及时交安全部备案；负责“安全生产法律、法规、标准及其他文件年度执行情况报告”</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3、安全部根据安全生产法律、法规及其他要求汇总清单后，负责文件的发放。选择适合本公司的安全生产法律、法规、标准及其他要求，并定期更新。负责编制公司“安全生产法律、法规、标准及其他文件年度评价报告”</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4、各部门对本公司适用的安全生产法律法规及其他要求及时进行宣贯，传达给相关方。</w:t>
      </w:r>
    </w:p>
    <w:p>
      <w:pPr>
        <w:spacing w:line="360" w:lineRule="auto"/>
        <w:ind w:firstLine="562" w:firstLineChars="200"/>
        <w:outlineLvl w:val="0"/>
        <w:rPr>
          <w:rFonts w:asciiTheme="minorEastAsia" w:hAnsiTheme="minorEastAsia" w:eastAsiaTheme="minorEastAsia"/>
          <w:b/>
          <w:sz w:val="28"/>
          <w:szCs w:val="28"/>
        </w:rPr>
      </w:pPr>
      <w:r>
        <w:rPr>
          <w:rFonts w:hint="eastAsia" w:asciiTheme="minorEastAsia" w:hAnsiTheme="minorEastAsia" w:eastAsiaTheme="minorEastAsia"/>
          <w:b/>
          <w:sz w:val="28"/>
          <w:szCs w:val="28"/>
        </w:rPr>
        <w:t>三、内容：</w:t>
      </w:r>
    </w:p>
    <w:p>
      <w:pPr>
        <w:spacing w:line="360" w:lineRule="auto"/>
        <w:ind w:firstLine="562" w:firstLineChars="200"/>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1、获取渠道和时机</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1.1国家安全生产法律、法规、标准及其他要求，通过官方网站、行业报刊、数据库和中介服务机构、媒体及上级有关部门等渠道获取。</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1.2地方性安全生产法规、标准及其他要求从各级安全生产监督行政管理部门获取。</w:t>
      </w:r>
    </w:p>
    <w:p>
      <w:pPr>
        <w:widowControl/>
        <w:adjustRightInd w:val="0"/>
        <w:snapToGrid w:val="0"/>
        <w:spacing w:line="360" w:lineRule="auto"/>
        <w:ind w:firstLine="560" w:firstLineChars="200"/>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1.3企业各职能管理部门通过上述渠道以走访、电话、传真、信件、会议等方式获取有关安全生产法律、法规及其他要求，同时建立必要的联系；</w:t>
      </w:r>
    </w:p>
    <w:p>
      <w:pPr>
        <w:widowControl/>
        <w:adjustRightInd w:val="0"/>
        <w:snapToGrid w:val="0"/>
        <w:spacing w:line="360" w:lineRule="auto"/>
        <w:ind w:firstLine="560" w:firstLineChars="200"/>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1.4企业各职能管理部门通过阅读和整理有关报刊收集有关安全生产法律、法规及其他要求，登记在法律法规、标准及其他要求的获取记录表上，并及时传递到安全部备案。各管理部门对法律法规、标准及其他要求进行适用性判定，报主管公司领导审批后，立即实施。安全部适时调整企业适用安全生产法律法规、标准和其他要求清单；每年在符合性评审会议前整理一次企业适用安全生产法律法规、标准和其他要求清单，保持所使用的法律法规处于最新状态。</w:t>
      </w:r>
    </w:p>
    <w:p>
      <w:pPr>
        <w:spacing w:line="360" w:lineRule="auto"/>
        <w:ind w:firstLine="562" w:firstLineChars="200"/>
        <w:outlineLvl w:val="0"/>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2、识别适用性</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2.1安全部根据公司的特点，国家标准、行业标准，识别安全生产法律、法规及其他要求的适用性，并每年进行一次评审工作。</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2.2安全部将各部门获取的有关安全生产法规、标准及其他要求中的适用条款对从业人员和相关方传达。</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2.3当现行的安全生产法规、标准及其他要求更新时，应重新对相应的安全生产法规、标准及其他要求进行识别。</w:t>
      </w:r>
    </w:p>
    <w:p>
      <w:pPr>
        <w:spacing w:line="360" w:lineRule="auto"/>
        <w:ind w:firstLine="562" w:firstLineChars="200"/>
        <w:outlineLvl w:val="0"/>
        <w:rPr>
          <w:rFonts w:asciiTheme="minorEastAsia" w:hAnsiTheme="minorEastAsia" w:eastAsiaTheme="minorEastAsia"/>
          <w:b/>
          <w:color w:val="000000"/>
          <w:sz w:val="28"/>
          <w:szCs w:val="28"/>
        </w:rPr>
      </w:pPr>
      <w:r>
        <w:rPr>
          <w:rFonts w:hint="eastAsia" w:asciiTheme="minorEastAsia" w:hAnsiTheme="minorEastAsia" w:eastAsiaTheme="minorEastAsia"/>
          <w:b/>
          <w:color w:val="000000"/>
          <w:kern w:val="0"/>
          <w:sz w:val="28"/>
          <w:szCs w:val="28"/>
        </w:rPr>
        <w:t>3、</w:t>
      </w:r>
      <w:r>
        <w:rPr>
          <w:rFonts w:hint="eastAsia" w:asciiTheme="minorEastAsia" w:hAnsiTheme="minorEastAsia" w:eastAsiaTheme="minorEastAsia"/>
          <w:b/>
          <w:color w:val="000000"/>
          <w:sz w:val="28"/>
          <w:szCs w:val="28"/>
        </w:rPr>
        <w:t>安全生产法规、标准及其他要求的管理</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3.1各部门应对本部门获取和识别的安全标准妥善保管。</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3.2安全部应对各部门已获取和识别的安全标准和安全生产法规、标准及其他要求进行汇总，建立安全生产法规、标准及其他要求档案，并监督检查各部门的执行情况。</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3.3安全部应将适用的安全生产法规、标准及其他要求及时转发给相关部门，相关部门应对从业人员进行宣传和培训，并传达给相关方。</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3.4安全部应将过期或作废的安全生产法律、法规文件及时收回并进行管理。</w:t>
      </w:r>
    </w:p>
    <w:p>
      <w:pPr>
        <w:spacing w:line="360" w:lineRule="auto"/>
        <w:ind w:firstLine="562" w:firstLineChars="200"/>
        <w:outlineLvl w:val="0"/>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4、符合性评价</w:t>
      </w:r>
    </w:p>
    <w:p>
      <w:pPr>
        <w:pStyle w:val="3"/>
        <w:spacing w:line="360" w:lineRule="auto"/>
        <w:ind w:firstLine="560" w:firstLineChars="200"/>
        <w:rPr>
          <w:rFonts w:asciiTheme="minorEastAsia" w:hAnsiTheme="minorEastAsia" w:eastAsiaTheme="minorEastAsia"/>
          <w:color w:val="000000"/>
          <w:szCs w:val="28"/>
        </w:rPr>
      </w:pPr>
      <w:r>
        <w:rPr>
          <w:rFonts w:hint="eastAsia" w:asciiTheme="minorEastAsia" w:hAnsiTheme="minorEastAsia" w:eastAsiaTheme="minorEastAsia"/>
          <w:color w:val="000000"/>
          <w:szCs w:val="28"/>
        </w:rPr>
        <w:t>4.1各部门于“适用的安全生产法律、法规、标准及其他要求符合性评价会议”前将本部门“安全生产法律、法规、标准及其他文件年度执行情况报告”递交给安全部。</w:t>
      </w:r>
    </w:p>
    <w:p>
      <w:pPr>
        <w:pStyle w:val="3"/>
        <w:spacing w:line="360" w:lineRule="auto"/>
        <w:ind w:firstLine="560" w:firstLineChars="200"/>
        <w:rPr>
          <w:rFonts w:asciiTheme="minorEastAsia" w:hAnsiTheme="minorEastAsia" w:eastAsiaTheme="minorEastAsia"/>
          <w:color w:val="000000"/>
          <w:szCs w:val="28"/>
        </w:rPr>
      </w:pPr>
      <w:r>
        <w:rPr>
          <w:rFonts w:hint="eastAsia" w:asciiTheme="minorEastAsia" w:hAnsiTheme="minorEastAsia" w:eastAsiaTheme="minorEastAsia"/>
          <w:color w:val="000000"/>
          <w:szCs w:val="28"/>
        </w:rPr>
        <w:t>4.2由安全部及行政部于“适用的安全生产法律、法规、标准及其他要求符合性评价会议”前，编制“安全生产法律、法规、标准及其他文件年度评价报告”</w:t>
      </w:r>
    </w:p>
    <w:p>
      <w:pPr>
        <w:pStyle w:val="3"/>
        <w:spacing w:line="360" w:lineRule="auto"/>
        <w:ind w:firstLine="560" w:firstLineChars="200"/>
        <w:rPr>
          <w:rFonts w:asciiTheme="minorEastAsia" w:hAnsiTheme="minorEastAsia" w:eastAsiaTheme="minorEastAsia"/>
          <w:color w:val="000000"/>
          <w:szCs w:val="28"/>
        </w:rPr>
      </w:pPr>
      <w:r>
        <w:rPr>
          <w:rFonts w:hint="eastAsia" w:asciiTheme="minorEastAsia" w:hAnsiTheme="minorEastAsia" w:eastAsiaTheme="minorEastAsia"/>
          <w:color w:val="000000"/>
          <w:szCs w:val="28"/>
        </w:rPr>
        <w:t>4.3主要负责人应每年组织一次对适用的安全生产法律、法规、标准及其他要求进行符合性评价，评审“安全生产法律、法规、标准及其他文件年度评价报告”、“安全生产法律、法规、标准及其他文件年度执行情况报告”。消除违规现象和行为，从而确保公司和从业人员相关方能够按照法律法规的要求进行安全生产和开展业务活动，对于不符合的安全生产法律、法规、标准及其他要求，提出不符合项整改要求。</w:t>
      </w:r>
    </w:p>
    <w:p>
      <w:pPr>
        <w:pStyle w:val="3"/>
        <w:spacing w:line="360" w:lineRule="auto"/>
        <w:ind w:firstLine="560" w:firstLineChars="200"/>
        <w:rPr>
          <w:rFonts w:asciiTheme="minorEastAsia" w:hAnsiTheme="minorEastAsia" w:eastAsiaTheme="minorEastAsia"/>
          <w:color w:val="000000"/>
          <w:szCs w:val="28"/>
        </w:rPr>
      </w:pPr>
      <w:r>
        <w:rPr>
          <w:rFonts w:hint="eastAsia" w:asciiTheme="minorEastAsia" w:hAnsiTheme="minorEastAsia" w:eastAsiaTheme="minorEastAsia"/>
          <w:color w:val="000000"/>
          <w:szCs w:val="28"/>
        </w:rPr>
        <w:t>4.4各部门对评价出的“安全生产法律、法规、标准及其他文件” 不符合项提出纠正措施和预防措施、整改方案。</w:t>
      </w:r>
    </w:p>
    <w:p>
      <w:pPr>
        <w:pStyle w:val="3"/>
        <w:spacing w:line="360" w:lineRule="auto"/>
        <w:ind w:firstLine="560" w:firstLineChars="200"/>
        <w:rPr>
          <w:rFonts w:asciiTheme="minorEastAsia" w:hAnsiTheme="minorEastAsia" w:eastAsiaTheme="minorEastAsia"/>
          <w:color w:val="000000"/>
          <w:szCs w:val="28"/>
        </w:rPr>
      </w:pPr>
      <w:r>
        <w:rPr>
          <w:rFonts w:hint="eastAsia" w:asciiTheme="minorEastAsia" w:hAnsiTheme="minorEastAsia" w:eastAsiaTheme="minorEastAsia"/>
          <w:color w:val="000000"/>
          <w:szCs w:val="28"/>
        </w:rPr>
        <w:t>4.5主要负责人对“安全生产法律、法规、标准及其他文件” 不符合项提出纠正措施和预防措施、整改方案进行审批、检查和验证。</w:t>
      </w:r>
    </w:p>
    <w:p>
      <w:pPr>
        <w:pStyle w:val="3"/>
        <w:spacing w:line="360" w:lineRule="auto"/>
        <w:ind w:firstLine="560" w:firstLineChars="200"/>
        <w:rPr>
          <w:rFonts w:asciiTheme="minorEastAsia" w:hAnsiTheme="minorEastAsia" w:eastAsiaTheme="minorEastAsia"/>
          <w:color w:val="000000"/>
          <w:szCs w:val="28"/>
        </w:rPr>
      </w:pPr>
      <w:r>
        <w:rPr>
          <w:rFonts w:hint="eastAsia" w:asciiTheme="minorEastAsia" w:hAnsiTheme="minorEastAsia" w:eastAsiaTheme="minorEastAsia"/>
          <w:color w:val="000000"/>
          <w:szCs w:val="28"/>
        </w:rPr>
        <w:t>4.6各部门对“安全生产法律、法规、标准及其他文件” 不符合项进行纠正、整改。</w:t>
      </w:r>
    </w:p>
    <w:p>
      <w:pPr>
        <w:pStyle w:val="3"/>
        <w:spacing w:line="360" w:lineRule="auto"/>
        <w:ind w:firstLine="560" w:firstLineChars="200"/>
        <w:rPr>
          <w:rFonts w:asciiTheme="minorEastAsia" w:hAnsiTheme="minorEastAsia" w:eastAsiaTheme="minorEastAsia"/>
          <w:color w:val="000000"/>
          <w:szCs w:val="28"/>
        </w:rPr>
      </w:pPr>
      <w:r>
        <w:rPr>
          <w:rFonts w:hint="eastAsia" w:asciiTheme="minorEastAsia" w:hAnsiTheme="minorEastAsia" w:eastAsiaTheme="minorEastAsia"/>
          <w:color w:val="000000"/>
          <w:szCs w:val="28"/>
        </w:rPr>
        <w:t>4.7各部门制定“安全生产法律、法规、标准及其他文件”保持或持续改进的计划。</w:t>
      </w:r>
    </w:p>
    <w:p>
      <w:pPr>
        <w:tabs>
          <w:tab w:val="left" w:pos="2070"/>
        </w:tabs>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ab/>
      </w:r>
    </w:p>
    <w:p>
      <w:pPr>
        <w:rPr>
          <w:rFonts w:cs="宋体" w:asciiTheme="minorEastAsia" w:hAnsiTheme="minorEastAsia" w:eastAsiaTheme="minorEastAsia"/>
          <w:kern w:val="0"/>
          <w:sz w:val="28"/>
          <w:szCs w:val="28"/>
        </w:rPr>
      </w:pPr>
    </w:p>
    <w:p>
      <w:pPr>
        <w:rPr>
          <w:rFonts w:cs="宋体" w:asciiTheme="minorEastAsia" w:hAnsiTheme="minorEastAsia" w:eastAsiaTheme="minorEastAsia"/>
          <w:kern w:val="0"/>
          <w:sz w:val="28"/>
          <w:szCs w:val="28"/>
        </w:rPr>
      </w:pPr>
    </w:p>
    <w:p>
      <w:pPr>
        <w:ind w:firstLine="4340" w:firstLineChars="1550"/>
        <w:rPr>
          <w:rFonts w:cs="宋体" w:asciiTheme="minorEastAsia" w:hAnsiTheme="minorEastAsia" w:eastAsiaTheme="minorEastAsia"/>
          <w:kern w:val="0"/>
          <w:sz w:val="28"/>
          <w:szCs w:val="28"/>
        </w:rPr>
      </w:pPr>
      <w:r>
        <w:rPr>
          <w:rFonts w:hint="eastAsia" w:asciiTheme="minorEastAsia" w:hAnsiTheme="minorEastAsia" w:eastAsiaTheme="minorEastAsia"/>
          <w:sz w:val="28"/>
          <w:szCs w:val="28"/>
        </w:rPr>
        <w:t>四川阆中华珍风味食品有限公司</w:t>
      </w:r>
    </w:p>
    <w:p>
      <w:pPr>
        <w:ind w:firstLine="4818" w:firstLineChars="1721"/>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二〇</w:t>
      </w:r>
      <w:r>
        <w:rPr>
          <w:rFonts w:hint="eastAsia" w:cs="宋体" w:asciiTheme="minorEastAsia" w:hAnsiTheme="minorEastAsia" w:eastAsiaTheme="minorEastAsia"/>
          <w:kern w:val="0"/>
          <w:sz w:val="28"/>
          <w:szCs w:val="28"/>
          <w:lang w:eastAsia="zh-CN"/>
        </w:rPr>
        <w:t>二一</w:t>
      </w:r>
      <w:r>
        <w:rPr>
          <w:rFonts w:hint="eastAsia" w:cs="宋体" w:asciiTheme="minorEastAsia" w:hAnsiTheme="minorEastAsia" w:eastAsiaTheme="minorEastAsia"/>
          <w:kern w:val="0"/>
          <w:sz w:val="28"/>
          <w:szCs w:val="28"/>
        </w:rPr>
        <w:t>年</w:t>
      </w:r>
      <w:r>
        <w:rPr>
          <w:rFonts w:hint="eastAsia" w:asciiTheme="minorEastAsia" w:hAnsiTheme="minorEastAsia" w:eastAsiaTheme="minorEastAsia"/>
          <w:sz w:val="28"/>
          <w:szCs w:val="28"/>
        </w:rPr>
        <w:t>一</w:t>
      </w:r>
      <w:r>
        <w:rPr>
          <w:rFonts w:hint="eastAsia" w:cs="宋体" w:asciiTheme="minorEastAsia" w:hAnsiTheme="minorEastAsia" w:eastAsiaTheme="minorEastAsia"/>
          <w:kern w:val="0"/>
          <w:sz w:val="28"/>
          <w:szCs w:val="28"/>
        </w:rPr>
        <w:t>月十一日</w:t>
      </w:r>
    </w:p>
    <w:p>
      <w:pPr>
        <w:tabs>
          <w:tab w:val="left" w:pos="5580"/>
          <w:tab w:val="left" w:pos="8460"/>
        </w:tabs>
        <w:ind w:right="32"/>
        <w:rPr>
          <w:rFonts w:asciiTheme="minorEastAsia" w:hAnsiTheme="minorEastAsia" w:eastAsiaTheme="minorEastAsia"/>
          <w:b/>
          <w:sz w:val="36"/>
          <w:szCs w:val="36"/>
        </w:rPr>
      </w:pPr>
    </w:p>
    <w:p>
      <w:pPr>
        <w:rPr>
          <w:rFonts w:asciiTheme="minorEastAsia" w:hAnsiTheme="minorEastAsia" w:eastAsia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经典长宋简">
    <w:altName w:val="宋体"/>
    <w:panose1 w:val="00000000000000000000"/>
    <w:charset w:val="86"/>
    <w:family w:val="modern"/>
    <w:pitch w:val="default"/>
    <w:sig w:usb0="00000000" w:usb1="00000000" w:usb2="0000001E"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6298A"/>
    <w:rsid w:val="00021D87"/>
    <w:rsid w:val="00095927"/>
    <w:rsid w:val="00264516"/>
    <w:rsid w:val="00317C40"/>
    <w:rsid w:val="003E3F0E"/>
    <w:rsid w:val="003F51EB"/>
    <w:rsid w:val="00596919"/>
    <w:rsid w:val="0086298A"/>
    <w:rsid w:val="00A047CC"/>
    <w:rsid w:val="00A9220C"/>
    <w:rsid w:val="00CD7BD4"/>
    <w:rsid w:val="00CF2F10"/>
    <w:rsid w:val="043F3DB7"/>
    <w:rsid w:val="26C81A94"/>
    <w:rsid w:val="54B92300"/>
    <w:rsid w:val="7C830B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Document Map"/>
    <w:basedOn w:val="1"/>
    <w:link w:val="9"/>
    <w:unhideWhenUsed/>
    <w:uiPriority w:val="99"/>
    <w:rPr>
      <w:rFonts w:ascii="宋体"/>
      <w:sz w:val="18"/>
      <w:szCs w:val="18"/>
    </w:rPr>
  </w:style>
  <w:style w:type="paragraph" w:styleId="3">
    <w:name w:val="Body Text Indent"/>
    <w:basedOn w:val="1"/>
    <w:link w:val="8"/>
    <w:uiPriority w:val="0"/>
    <w:pPr>
      <w:ind w:firstLine="435"/>
    </w:pPr>
    <w:rPr>
      <w:rFonts w:ascii="Times New Roman" w:hAnsi="Times New Roman"/>
      <w:sz w:val="28"/>
      <w:szCs w:val="24"/>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缩进 Char"/>
    <w:basedOn w:val="7"/>
    <w:link w:val="3"/>
    <w:uiPriority w:val="0"/>
    <w:rPr>
      <w:rFonts w:ascii="Times New Roman" w:hAnsi="Times New Roman" w:eastAsia="宋体" w:cs="Times New Roman"/>
      <w:sz w:val="28"/>
      <w:szCs w:val="24"/>
    </w:rPr>
  </w:style>
  <w:style w:type="character" w:customStyle="1" w:styleId="9">
    <w:name w:val="文档结构图 Char"/>
    <w:basedOn w:val="7"/>
    <w:link w:val="2"/>
    <w:semiHidden/>
    <w:qFormat/>
    <w:uiPriority w:val="99"/>
    <w:rPr>
      <w:rFonts w:ascii="宋体" w:hAnsi="Calibri" w:eastAsia="宋体" w:cs="Times New Roman"/>
      <w:sz w:val="18"/>
      <w:szCs w:val="18"/>
    </w:rPr>
  </w:style>
  <w:style w:type="character" w:customStyle="1" w:styleId="10">
    <w:name w:val="页眉 Char"/>
    <w:basedOn w:val="7"/>
    <w:link w:val="5"/>
    <w:semiHidden/>
    <w:qFormat/>
    <w:uiPriority w:val="99"/>
    <w:rPr>
      <w:rFonts w:ascii="Calibri" w:hAnsi="Calibri" w:eastAsia="宋体" w:cs="Times New Roman"/>
      <w:sz w:val="18"/>
      <w:szCs w:val="18"/>
    </w:rPr>
  </w:style>
  <w:style w:type="character" w:customStyle="1" w:styleId="11">
    <w:name w:val="页脚 Char"/>
    <w:basedOn w:val="7"/>
    <w:link w:val="4"/>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307</Words>
  <Characters>1755</Characters>
  <Lines>14</Lines>
  <Paragraphs>4</Paragraphs>
  <TotalTime>4</TotalTime>
  <ScaleCrop>false</ScaleCrop>
  <LinksUpToDate>false</LinksUpToDate>
  <CharactersWithSpaces>2058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2016-11-25T01:28:00Z</dcterms:created>
  <dc:creator>lenovo</dc:creator>
  <cp:lastModifiedBy>Administrator</cp:lastModifiedBy>
  <cp:lastPrinted>2021-03-29T02:12:31Z</cp:lastPrinted>
  <dcterms:modified xsi:type="dcterms:W3CDTF">2021-03-29T02:16:04Z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