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Toc20101"/>
      <w:bookmarkStart w:id="1" w:name="_Toc9202"/>
      <w:bookmarkStart w:id="2" w:name="_Toc129"/>
      <w:bookmarkStart w:id="3" w:name="_Toc14362"/>
      <w:bookmarkStart w:id="4" w:name="_Toc22500"/>
      <w:bookmarkStart w:id="5" w:name="_Toc3348"/>
      <w:bookmarkStart w:id="6" w:name="_Toc13683"/>
      <w:bookmarkStart w:id="7" w:name="_Toc25892"/>
      <w:bookmarkStart w:id="8" w:name="_Toc2195"/>
      <w:bookmarkStart w:id="9" w:name="_Toc11920"/>
      <w:bookmarkStart w:id="10" w:name="_Toc15031"/>
      <w:bookmarkStart w:id="11" w:name="_Toc29452"/>
      <w:bookmarkStart w:id="12" w:name="_Toc26762"/>
      <w:bookmarkStart w:id="13" w:name="_Toc32501"/>
      <w:bookmarkStart w:id="14" w:name="_Toc2785"/>
      <w:bookmarkStart w:id="15" w:name="_Toc19094"/>
      <w:bookmarkStart w:id="16" w:name="_Toc6243"/>
      <w:bookmarkStart w:id="17" w:name="_Toc6776"/>
      <w:bookmarkStart w:id="18" w:name="_Toc6880"/>
      <w:bookmarkStart w:id="19" w:name="_Toc1339"/>
      <w:bookmarkStart w:id="20" w:name="_Toc21708"/>
      <w:bookmarkStart w:id="21" w:name="_Toc12640"/>
      <w:bookmarkStart w:id="22" w:name="_Toc13814"/>
      <w:r>
        <w:rPr>
          <w:rFonts w:hint="eastAsia"/>
          <w:lang w:val="en-US" w:eastAsia="zh-CN"/>
        </w:rPr>
        <w:t>四川省德瑞欣旅商贸有限公司</w:t>
      </w:r>
    </w:p>
    <w:p>
      <w:pPr>
        <w:pStyle w:val="2"/>
      </w:pPr>
      <w:r>
        <w:t>安全生产目标管理及考核制度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rPr>
          <w:rFonts w:hint="eastAsia"/>
        </w:rPr>
      </w:pPr>
    </w:p>
    <w:p>
      <w:pPr>
        <w:pStyle w:val="3"/>
        <w:spacing w:line="500" w:lineRule="exact"/>
        <w:rPr>
          <w:rFonts w:hint="eastAsia" w:ascii="仿宋" w:hAnsi="仿宋" w:eastAsia="仿宋" w:cs="仿宋"/>
          <w:sz w:val="30"/>
          <w:szCs w:val="30"/>
        </w:rPr>
      </w:pPr>
      <w:bookmarkStart w:id="23" w:name="_Toc1060"/>
      <w:bookmarkStart w:id="24" w:name="_Toc6557"/>
      <w:bookmarkStart w:id="25" w:name="_Toc9797"/>
      <w:bookmarkStart w:id="26" w:name="_Toc9225"/>
      <w:bookmarkStart w:id="27" w:name="_Toc21241"/>
      <w:r>
        <w:rPr>
          <w:rFonts w:hint="eastAsia" w:ascii="仿宋" w:hAnsi="仿宋" w:eastAsia="仿宋" w:cs="仿宋"/>
          <w:sz w:val="30"/>
          <w:szCs w:val="30"/>
        </w:rPr>
        <w:t>第一章  总则</w:t>
      </w:r>
      <w:bookmarkEnd w:id="23"/>
      <w:bookmarkEnd w:id="24"/>
      <w:bookmarkEnd w:id="25"/>
      <w:bookmarkEnd w:id="26"/>
      <w:bookmarkEnd w:id="27"/>
    </w:p>
    <w:p>
      <w:pPr>
        <w:spacing w:line="500" w:lineRule="exact"/>
        <w:ind w:firstLine="639" w:firstLineChars="213"/>
        <w:rPr>
          <w:rFonts w:hint="eastAsia" w:ascii="仿宋" w:hAnsi="仿宋" w:eastAsia="仿宋" w:cs="仿宋"/>
          <w:sz w:val="30"/>
          <w:szCs w:val="30"/>
        </w:rPr>
      </w:pPr>
      <w:r>
        <w:rPr>
          <w:rFonts w:hint="eastAsia" w:ascii="仿宋" w:hAnsi="仿宋" w:eastAsia="仿宋" w:cs="仿宋"/>
          <w:sz w:val="30"/>
          <w:szCs w:val="30"/>
        </w:rPr>
        <w:t>为了深入贯彻落实习近平总书记关于安全生产工作的重要论述精神，以及</w:t>
      </w:r>
      <w:r>
        <w:rPr>
          <w:rFonts w:hint="eastAsia" w:ascii="仿宋" w:hAnsi="仿宋" w:eastAsia="仿宋" w:cs="仿宋"/>
          <w:kern w:val="0"/>
          <w:sz w:val="30"/>
          <w:szCs w:val="30"/>
        </w:rPr>
        <w:t>《中共中央 国务院关于推进安全生产领域改革发展的意见》（中发〔2016〕32号）、</w:t>
      </w:r>
      <w:r>
        <w:rPr>
          <w:rFonts w:hint="eastAsia" w:ascii="仿宋" w:hAnsi="仿宋" w:eastAsia="仿宋" w:cs="仿宋"/>
          <w:sz w:val="30"/>
          <w:szCs w:val="30"/>
        </w:rPr>
        <w:t>《国务院安委会办公室关于全面加强企业全员安全生产责任制工作的通知》（安委办〔2017〕29号）、《中共四川省委 四川省人民政府关于推进安全生产领域改革发展的实施意见》（川委发〔2017〕21号）、《中共南充市委  南充市人民政府关于推进安全生产领域改革发展的实施意见》（南委发〔2017〕34号）文件精神，加强企业安全管理，建立健全安全生产目标管理体系，公司根据《安全生产法》、《国务院安委会办公室关于全面加强企业全员安全生产责任制工作的通知》（安委办〔2017〕29号）</w:t>
      </w:r>
      <w:r>
        <w:rPr>
          <w:rFonts w:hint="eastAsia" w:ascii="仿宋" w:hAnsi="仿宋" w:eastAsia="仿宋" w:cs="仿宋"/>
          <w:kern w:val="0"/>
          <w:sz w:val="30"/>
          <w:szCs w:val="30"/>
        </w:rPr>
        <w:t>、</w:t>
      </w:r>
      <w:r>
        <w:rPr>
          <w:rFonts w:hint="eastAsia" w:ascii="仿宋" w:hAnsi="仿宋" w:eastAsia="仿宋" w:cs="仿宋"/>
          <w:sz w:val="30"/>
          <w:szCs w:val="30"/>
        </w:rPr>
        <w:t>《道路旅客运输企业安全管理规范》、国家安全监管总局《企业安全生产责任体系五落实五到位规定》(安监总办〔2015〕27号)、《四川省道路旅客运输企业安全生产规范》（DB51/T 2242-2016）、《四川省人民政府安全生产委员会关于进一步落实企业全员岗位安全生产责任制的指导意见》（川安委〔2016〕8号）、《四川省交通运输厅关于全面加强交通运输企业全员岗位安全生产责任制工作的通知》（川交安便〔2017〕178号）等法律法规和规范性文件精神，以及行业管理部门和公司规定，结合公司实际，特制定本制度。</w:t>
      </w:r>
    </w:p>
    <w:p>
      <w:pPr>
        <w:pStyle w:val="3"/>
        <w:spacing w:line="500" w:lineRule="exact"/>
        <w:rPr>
          <w:rFonts w:hint="eastAsia" w:ascii="仿宋" w:hAnsi="仿宋" w:eastAsia="仿宋" w:cs="仿宋"/>
          <w:sz w:val="30"/>
          <w:szCs w:val="30"/>
        </w:rPr>
      </w:pPr>
      <w:bookmarkStart w:id="28" w:name="_Toc624"/>
      <w:bookmarkStart w:id="29" w:name="_Toc29804"/>
      <w:bookmarkStart w:id="30" w:name="_Toc8000"/>
      <w:bookmarkStart w:id="31" w:name="_Toc20749"/>
      <w:bookmarkStart w:id="32" w:name="_Toc21518"/>
      <w:bookmarkStart w:id="33" w:name="_Toc2248"/>
      <w:r>
        <w:rPr>
          <w:rFonts w:hint="eastAsia" w:ascii="仿宋" w:hAnsi="仿宋" w:eastAsia="仿宋" w:cs="仿宋"/>
          <w:sz w:val="30"/>
          <w:szCs w:val="30"/>
        </w:rPr>
        <w:t>第二章  建立健全目标管理与考核工作</w:t>
      </w:r>
      <w:bookmarkEnd w:id="28"/>
      <w:r>
        <w:rPr>
          <w:rFonts w:hint="eastAsia" w:ascii="仿宋" w:hAnsi="仿宋" w:eastAsia="仿宋" w:cs="仿宋"/>
          <w:sz w:val="30"/>
          <w:szCs w:val="30"/>
        </w:rPr>
        <w:t>机制</w:t>
      </w:r>
      <w:bookmarkEnd w:id="29"/>
      <w:bookmarkEnd w:id="30"/>
      <w:bookmarkEnd w:id="31"/>
      <w:bookmarkEnd w:id="32"/>
      <w:bookmarkEnd w:id="33"/>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《中共中央 国务院关于推进安全生产领域改革发展的意见》（中发〔2016〕32号）文件要求建立安全生产绩效与履职评定、职务晋升、奖励惩处挂钩制度，严格落实安全生产“一票否决”制度。</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国务院安委会办公室关于全面加强企业全员安全生产责任制工作的通知》（安委办〔2017〕29号）文件要求加强落实企业全员安全生产责任制的考核管理，要建立健全安全生产责任制管理考核制度，对全员安全生产责任制落实情况进行考核管理。要健全激励约束机制，通过奖励主动落实、全面落实责任，惩处不落实责任、部分落实责任，不断激发全员参与安全生产工作的积极性和主动性，形成良好的安全文化氛围。</w:t>
      </w:r>
    </w:p>
    <w:p>
      <w:pPr>
        <w:pStyle w:val="3"/>
        <w:spacing w:line="500" w:lineRule="exact"/>
        <w:rPr>
          <w:rFonts w:hint="eastAsia" w:ascii="仿宋" w:hAnsi="仿宋" w:eastAsia="仿宋" w:cs="仿宋"/>
          <w:sz w:val="30"/>
          <w:szCs w:val="30"/>
        </w:rPr>
      </w:pPr>
      <w:bookmarkStart w:id="34" w:name="_Toc27517"/>
      <w:bookmarkStart w:id="35" w:name="_Toc20356"/>
      <w:bookmarkStart w:id="36" w:name="_Toc30977"/>
      <w:bookmarkStart w:id="37" w:name="_Toc22057"/>
      <w:bookmarkStart w:id="38" w:name="_Toc19323"/>
      <w:bookmarkStart w:id="39" w:name="_Toc89"/>
      <w:r>
        <w:rPr>
          <w:rFonts w:hint="eastAsia" w:ascii="仿宋" w:hAnsi="仿宋" w:eastAsia="仿宋" w:cs="仿宋"/>
          <w:sz w:val="30"/>
          <w:szCs w:val="30"/>
        </w:rPr>
        <w:t>第三章  安全生产目标的制定</w:t>
      </w:r>
      <w:bookmarkEnd w:id="34"/>
      <w:bookmarkEnd w:id="35"/>
      <w:bookmarkEnd w:id="36"/>
      <w:bookmarkEnd w:id="37"/>
      <w:bookmarkEnd w:id="38"/>
      <w:bookmarkEnd w:id="39"/>
    </w:p>
    <w:p>
      <w:pPr>
        <w:widowControl/>
        <w:spacing w:line="500" w:lineRule="exact"/>
        <w:ind w:firstLine="450" w:firstLineChars="15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（一）根据相关管理部门、公司的要求和自身实际情况，制定年度安全生产目标。安全生产目标管理内容应当包括：</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1、公司年初制定的年度安全生产目标任务；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2、安全部门分管领导的安全生产目标任务；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3、营运、技术部门分管领导的“一岗双责”安全生产目标任务；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4、安全管理部门负责人（科长）的安全生产目标任务；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w:t>
      </w:r>
      <w:r>
        <w:rPr>
          <w:rFonts w:hint="eastAsia" w:ascii="仿宋" w:hAnsi="仿宋" w:eastAsia="仿宋" w:cs="仿宋"/>
          <w:color w:val="000000"/>
          <w:kern w:val="0"/>
          <w:sz w:val="30"/>
          <w:szCs w:val="30"/>
          <w:lang w:val="en-US" w:eastAsia="zh-CN"/>
        </w:rPr>
        <w:t>营运</w:t>
      </w:r>
      <w:r>
        <w:rPr>
          <w:rFonts w:hint="eastAsia" w:ascii="仿宋" w:hAnsi="仿宋" w:eastAsia="仿宋" w:cs="仿宋"/>
          <w:color w:val="000000"/>
          <w:kern w:val="0"/>
          <w:sz w:val="30"/>
          <w:szCs w:val="30"/>
        </w:rPr>
        <w:t>科、技术科、财务科、办公室等部门负责人（科长）“一岗双责”安全生产目标任务；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6、安全管理专职人员的安全生产目标任务；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w:t>
      </w:r>
      <w:r>
        <w:rPr>
          <w:rFonts w:hint="eastAsia" w:ascii="仿宋" w:hAnsi="仿宋" w:eastAsia="仿宋" w:cs="仿宋"/>
          <w:color w:val="000000"/>
          <w:kern w:val="0"/>
          <w:sz w:val="30"/>
          <w:szCs w:val="30"/>
          <w:lang w:val="en-US" w:eastAsia="zh-CN"/>
        </w:rPr>
        <w:t>营运</w:t>
      </w:r>
      <w:r>
        <w:rPr>
          <w:rFonts w:hint="eastAsia" w:ascii="仿宋" w:hAnsi="仿宋" w:eastAsia="仿宋" w:cs="仿宋"/>
          <w:color w:val="000000"/>
          <w:kern w:val="0"/>
          <w:sz w:val="30"/>
          <w:szCs w:val="30"/>
        </w:rPr>
        <w:t>科、技术科、财务科、办公室等部门及管理人员“一岗双责”安全生产目标任务；</w:t>
      </w:r>
    </w:p>
    <w:p>
      <w:pPr>
        <w:widowControl/>
        <w:spacing w:line="500" w:lineRule="exact"/>
        <w:ind w:firstLine="600" w:firstLineChars="200"/>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8、安全科安全生产目标任务；</w:t>
      </w:r>
    </w:p>
    <w:p>
      <w:pPr>
        <w:widowControl/>
        <w:spacing w:line="500" w:lineRule="exact"/>
        <w:ind w:firstLine="600" w:firstLineChars="200"/>
        <w:jc w:val="left"/>
        <w:textAlignment w:val="baseline"/>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color w:val="000000"/>
          <w:kern w:val="0"/>
          <w:sz w:val="30"/>
          <w:szCs w:val="30"/>
        </w:rPr>
        <w:t>安全管理专职机构以外的其他职能部门目标任务必须包括“一岗双责”安全管理目标任务、岗位本职工作目标任务两部分。“一岗双责”</w:t>
      </w:r>
      <w:r>
        <w:rPr>
          <w:rFonts w:hint="eastAsia" w:ascii="仿宋" w:hAnsi="仿宋" w:eastAsia="仿宋" w:cs="仿宋"/>
          <w:sz w:val="30"/>
          <w:szCs w:val="30"/>
        </w:rPr>
        <w:t>主要考核“三包”人员所承包车辆的行车责任事故次数和人员伤亡情况。</w:t>
      </w:r>
      <w:r>
        <w:rPr>
          <w:rFonts w:hint="eastAsia" w:ascii="仿宋" w:hAnsi="仿宋" w:eastAsia="仿宋" w:cs="仿宋"/>
          <w:sz w:val="30"/>
          <w:szCs w:val="30"/>
        </w:rPr>
        <w:br w:type="textWrapping"/>
      </w:r>
      <w:r>
        <w:rPr>
          <w:rFonts w:hint="eastAsia" w:ascii="仿宋" w:hAnsi="仿宋" w:eastAsia="仿宋" w:cs="仿宋"/>
          <w:sz w:val="30"/>
          <w:szCs w:val="30"/>
        </w:rPr>
        <w:t xml:space="preserve">   （三）公司每年下达一次</w:t>
      </w:r>
      <w:r>
        <w:rPr>
          <w:rFonts w:hint="eastAsia" w:ascii="仿宋" w:hAnsi="仿宋" w:eastAsia="仿宋" w:cs="仿宋"/>
          <w:color w:val="000000"/>
          <w:kern w:val="0"/>
          <w:sz w:val="30"/>
          <w:szCs w:val="30"/>
        </w:rPr>
        <w:t>“一岗双责”安全管理目标任务、岗位本职工作目标任务</w:t>
      </w:r>
      <w:r>
        <w:rPr>
          <w:rFonts w:hint="eastAsia" w:ascii="仿宋" w:hAnsi="仿宋" w:eastAsia="仿宋" w:cs="仿宋"/>
          <w:sz w:val="30"/>
          <w:szCs w:val="30"/>
        </w:rPr>
        <w:t>的具体指标，并与各部门、各岗位人员层层签订年度安全生产目标管理责任书。各部门、各岗位人员应当按照责任承诺的要求，认真履行工作职责，层层分解安全责任，强化工作措施，确保各项工作目标的完成。</w:t>
      </w:r>
    </w:p>
    <w:p>
      <w:pPr>
        <w:pStyle w:val="3"/>
        <w:spacing w:line="500" w:lineRule="exact"/>
        <w:rPr>
          <w:rFonts w:hint="eastAsia" w:ascii="仿宋" w:hAnsi="仿宋" w:eastAsia="仿宋" w:cs="仿宋"/>
          <w:sz w:val="30"/>
          <w:szCs w:val="30"/>
        </w:rPr>
      </w:pPr>
      <w:bookmarkStart w:id="40" w:name="_Toc11965"/>
      <w:bookmarkStart w:id="41" w:name="_Toc5265"/>
      <w:bookmarkStart w:id="42" w:name="_Toc3739"/>
      <w:bookmarkStart w:id="43" w:name="_Toc4864"/>
      <w:bookmarkStart w:id="44" w:name="_Toc31241"/>
      <w:r>
        <w:rPr>
          <w:rFonts w:hint="eastAsia" w:ascii="仿宋" w:hAnsi="仿宋" w:eastAsia="仿宋" w:cs="仿宋"/>
          <w:sz w:val="30"/>
          <w:szCs w:val="30"/>
        </w:rPr>
        <w:t>第四章  安全生产目标管理办法</w:t>
      </w:r>
      <w:bookmarkEnd w:id="40"/>
      <w:bookmarkEnd w:id="41"/>
      <w:bookmarkEnd w:id="42"/>
      <w:bookmarkEnd w:id="43"/>
      <w:bookmarkEnd w:id="44"/>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一、目的</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为明确安全目标与指标的制定、分解、实施、考核等环节内容，建立健全安全生产管理体系，落实安全生产责任，使公司安全生产目标管理规范化和制度化，确保公司安全生产目标能自上而下层层分解落实，以及自下而上层层保证实现，结合本公司实际，特制定本制度。 </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二、适用范围</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本办法适用于公司安全生产目标与指标的制定、分解、实施和考核。</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三、安全生产目标的制定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1、总体和年度安全生产目标由公司安委会根据政府和上级部门下达的目标与指标及公司历年和上年安全生产执行情况研究制定。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2、安全生产目标的制定不能高于行业管理部门和安监部门规定的目标指标，不能高于上年度安全生产目标指标，要体现持续改善的原则。</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3、安全生产目标除事故（道路交通、工伤、火灾事故）硬指标外，还应包括隐患排查治理、安全教育培训、制度执行以及治安、反恐等方面的指标。  </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4、依据年度安全生产目标考核的结果，公司应在每年初组织召开安委会会议，重新修订年度安全生产目标。</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5、总体和年度安全生产目标经主要负责人批准后，以文件的形式下发到每个各部门予以执行。</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6、安全部门应通过各种方式向公司员工宣传公司总体和年度安全生产目标，并在安全教育培训时对全体从业人员进行培训。</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四、年度安全生产目标的分解</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1、公司年度安全生产目标制定、修订后，安全部门负责将年度安全生产目标分解成安全指标，并形成文件经主要负责人批准后，落实到各职能部门。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2、公司应通过例会、安全教育培训，向全体员工宣传本公司相关的安全生产目标和指标。</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五、安全生产目标与指标的实施</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1、各部门根据年度安全生产目标及指标制定年度安全生产目标与指标实施计划，经主要负责人批准后予以实施。</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2、各部门应依据季度安全生产目标与指标检查考核结果，及时调整安全生产目标和指标实施计划。</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3、各部门应通过安全例会或安全培训，向全体员工宣传安全生产目标与指标，及其实施计划。</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4、公司负责人组织落实安全生产目标与指标实施计划。</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六、安全生产目标与指标的考核和奖惩</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安全部门于每季度末对本季度的安全生产控制目标和指标执行情况进行检查考核，并在安全会议上进行通报，及时指出存在的问题，要求相关部门分析原因，制定整改措施及时整改，以防突破控制目标和指标。</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2、公司每年底组织综合考评组按照《安全生产年度目标考核与奖惩制度》对各部门的安全生产目标指标及其实施工作进行年度考核，并按《安全生产奖惩制度》进行奖罚。</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七、本办法与上级文件不符时，按上级文件执行。本办法自下发之日起执行。</w:t>
      </w:r>
    </w:p>
    <w:p>
      <w:pPr>
        <w:pStyle w:val="3"/>
        <w:spacing w:line="500" w:lineRule="exact"/>
        <w:rPr>
          <w:rFonts w:hint="eastAsia" w:ascii="仿宋" w:hAnsi="仿宋" w:eastAsia="仿宋" w:cs="仿宋"/>
          <w:sz w:val="30"/>
          <w:szCs w:val="30"/>
        </w:rPr>
      </w:pPr>
      <w:bookmarkStart w:id="45" w:name="_Toc25035"/>
      <w:bookmarkStart w:id="46" w:name="_Toc14343"/>
      <w:bookmarkStart w:id="47" w:name="_Toc17969"/>
      <w:bookmarkStart w:id="48" w:name="_Toc29727"/>
      <w:bookmarkStart w:id="49" w:name="_Toc8868"/>
      <w:bookmarkStart w:id="50" w:name="_Toc10640"/>
      <w:r>
        <w:rPr>
          <w:rFonts w:hint="eastAsia" w:ascii="仿宋" w:hAnsi="仿宋" w:eastAsia="仿宋" w:cs="仿宋"/>
          <w:sz w:val="30"/>
          <w:szCs w:val="30"/>
        </w:rPr>
        <w:t>第五章  安全生产目标考核与奖惩</w:t>
      </w:r>
      <w:bookmarkEnd w:id="45"/>
      <w:bookmarkEnd w:id="46"/>
      <w:bookmarkEnd w:id="47"/>
      <w:bookmarkEnd w:id="48"/>
      <w:bookmarkEnd w:id="49"/>
    </w:p>
    <w:p>
      <w:pPr>
        <w:spacing w:line="500" w:lineRule="exact"/>
        <w:ind w:firstLine="641" w:firstLineChars="213"/>
        <w:textAlignment w:val="baseline"/>
        <w:rPr>
          <w:rFonts w:hint="eastAsia" w:ascii="仿宋" w:hAnsi="仿宋" w:eastAsia="仿宋" w:cs="仿宋"/>
          <w:b/>
          <w:bCs/>
          <w:sz w:val="30"/>
          <w:szCs w:val="30"/>
        </w:rPr>
      </w:pPr>
      <w:r>
        <w:rPr>
          <w:rFonts w:hint="eastAsia" w:ascii="仿宋" w:hAnsi="仿宋" w:eastAsia="仿宋" w:cs="仿宋"/>
          <w:b/>
          <w:bCs/>
          <w:sz w:val="30"/>
          <w:szCs w:val="30"/>
        </w:rPr>
        <w:t>一、考核时间</w:t>
      </w:r>
      <w:bookmarkEnd w:id="50"/>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公司的年度目标考核一般定于次年1月上旬进行，遇特殊情况可顺延，具体考评时间以通知为准。</w:t>
      </w:r>
    </w:p>
    <w:p>
      <w:pPr>
        <w:spacing w:line="500" w:lineRule="exact"/>
        <w:ind w:firstLine="641" w:firstLineChars="213"/>
        <w:textAlignment w:val="baseline"/>
        <w:rPr>
          <w:rFonts w:hint="eastAsia" w:ascii="仿宋" w:hAnsi="仿宋" w:eastAsia="仿宋" w:cs="仿宋"/>
          <w:b/>
          <w:bCs/>
          <w:sz w:val="30"/>
          <w:szCs w:val="30"/>
        </w:rPr>
      </w:pPr>
      <w:bookmarkStart w:id="51" w:name="_Toc9850"/>
      <w:r>
        <w:rPr>
          <w:rFonts w:hint="eastAsia" w:ascii="仿宋" w:hAnsi="仿宋" w:eastAsia="仿宋" w:cs="仿宋"/>
          <w:b/>
          <w:bCs/>
          <w:sz w:val="30"/>
          <w:szCs w:val="30"/>
        </w:rPr>
        <w:t>二、考核方法</w:t>
      </w:r>
      <w:bookmarkEnd w:id="51"/>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为了切实开展好公司目标考核工作，公司成立目标考核工作领导小组，由经理</w:t>
      </w:r>
      <w:r>
        <w:rPr>
          <w:rFonts w:hint="eastAsia" w:ascii="仿宋" w:hAnsi="仿宋" w:eastAsia="仿宋" w:cs="仿宋"/>
          <w:sz w:val="30"/>
          <w:szCs w:val="30"/>
          <w:lang w:val="en-US" w:eastAsia="zh-CN"/>
        </w:rPr>
        <w:t>何建</w:t>
      </w:r>
      <w:r>
        <w:rPr>
          <w:rFonts w:hint="eastAsia" w:ascii="仿宋" w:hAnsi="仿宋" w:eastAsia="仿宋" w:cs="仿宋"/>
          <w:sz w:val="30"/>
          <w:szCs w:val="30"/>
        </w:rPr>
        <w:t>任组长，成员有</w:t>
      </w:r>
      <w:r>
        <w:rPr>
          <w:rFonts w:hint="eastAsia" w:ascii="仿宋" w:hAnsi="仿宋" w:eastAsia="仿宋" w:cs="仿宋"/>
          <w:sz w:val="30"/>
          <w:szCs w:val="30"/>
          <w:lang w:val="en-US" w:eastAsia="zh-CN"/>
        </w:rPr>
        <w:t>刘盾</w:t>
      </w:r>
      <w:r>
        <w:rPr>
          <w:rFonts w:hint="eastAsia" w:ascii="仿宋" w:hAnsi="仿宋" w:eastAsia="仿宋" w:cs="仿宋"/>
          <w:sz w:val="30"/>
          <w:szCs w:val="30"/>
        </w:rPr>
        <w:t>、潘辉。考核领导小组办公室设在公司办公室，潘辉任考核办主任，负责公司目标考核日常管理工作。</w:t>
      </w:r>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sz w:val="30"/>
          <w:szCs w:val="30"/>
        </w:rPr>
        <w:t>由公司经理</w:t>
      </w:r>
      <w:r>
        <w:rPr>
          <w:rFonts w:hint="eastAsia" w:ascii="仿宋" w:hAnsi="仿宋" w:eastAsia="仿宋" w:cs="仿宋"/>
          <w:sz w:val="30"/>
          <w:szCs w:val="30"/>
          <w:lang w:val="en-US" w:eastAsia="zh-CN"/>
        </w:rPr>
        <w:t>何建</w:t>
      </w:r>
      <w:r>
        <w:rPr>
          <w:rFonts w:hint="eastAsia" w:ascii="仿宋" w:hAnsi="仿宋" w:eastAsia="仿宋" w:cs="仿宋"/>
          <w:sz w:val="30"/>
          <w:szCs w:val="30"/>
        </w:rPr>
        <w:t>牵头组织考核，具体由公司目标考核工作领导小组对照年初签订的目标责任书中的项目，认真评估目标任务完成情况，并进行考核评分，作出综合考核结论。</w:t>
      </w:r>
    </w:p>
    <w:p>
      <w:pPr>
        <w:spacing w:line="500" w:lineRule="exact"/>
        <w:ind w:firstLine="602" w:firstLineChars="200"/>
        <w:textAlignment w:val="baseline"/>
        <w:rPr>
          <w:rFonts w:hint="eastAsia" w:ascii="仿宋" w:hAnsi="仿宋" w:eastAsia="仿宋" w:cs="仿宋"/>
          <w:b/>
          <w:sz w:val="30"/>
          <w:szCs w:val="30"/>
        </w:rPr>
      </w:pPr>
      <w:bookmarkStart w:id="52" w:name="_Toc5001"/>
      <w:r>
        <w:rPr>
          <w:rFonts w:hint="eastAsia" w:ascii="仿宋" w:hAnsi="仿宋" w:eastAsia="仿宋" w:cs="仿宋"/>
          <w:b/>
          <w:sz w:val="30"/>
          <w:szCs w:val="30"/>
        </w:rPr>
        <w:t>三、考核评分规则</w:t>
      </w:r>
      <w:bookmarkEnd w:id="52"/>
    </w:p>
    <w:p>
      <w:pPr>
        <w:spacing w:line="500" w:lineRule="exact"/>
        <w:ind w:firstLine="639" w:firstLineChars="213"/>
        <w:textAlignment w:val="baseline"/>
        <w:rPr>
          <w:rFonts w:hint="eastAsia" w:ascii="仿宋" w:hAnsi="仿宋" w:eastAsia="仿宋" w:cs="仿宋"/>
          <w:sz w:val="30"/>
          <w:szCs w:val="30"/>
        </w:rPr>
      </w:pPr>
      <w:r>
        <w:rPr>
          <w:rFonts w:hint="eastAsia" w:ascii="仿宋" w:hAnsi="仿宋" w:eastAsia="仿宋" w:cs="仿宋"/>
          <w:bCs/>
          <w:sz w:val="30"/>
          <w:szCs w:val="30"/>
        </w:rPr>
        <w:t>考核采取百分制评分制度，</w:t>
      </w:r>
      <w:r>
        <w:rPr>
          <w:rFonts w:hint="eastAsia" w:ascii="仿宋" w:hAnsi="仿宋" w:eastAsia="仿宋" w:cs="仿宋"/>
          <w:sz w:val="30"/>
          <w:szCs w:val="30"/>
        </w:rPr>
        <w:t>总分为100分，考核评分为95分以上的为优秀；考核评分为80分至94分的为良好；考核评分为60分至79分的为合格；考核评分低于60分为不合格；考核当年若发生一次死亡3人以上的较大责任行车事故，实行“一票否决制”，考核一律作为不合格处理。</w:t>
      </w:r>
    </w:p>
    <w:p>
      <w:pPr>
        <w:spacing w:line="500" w:lineRule="exact"/>
        <w:ind w:firstLine="602" w:firstLineChars="200"/>
        <w:textAlignment w:val="baseline"/>
        <w:rPr>
          <w:rFonts w:hint="eastAsia" w:ascii="仿宋" w:hAnsi="仿宋" w:eastAsia="仿宋" w:cs="仿宋"/>
          <w:sz w:val="30"/>
          <w:szCs w:val="30"/>
        </w:rPr>
      </w:pPr>
      <w:bookmarkStart w:id="53" w:name="_Toc1378"/>
      <w:r>
        <w:rPr>
          <w:rFonts w:hint="eastAsia" w:ascii="仿宋" w:hAnsi="仿宋" w:eastAsia="仿宋" w:cs="仿宋"/>
          <w:b/>
          <w:sz w:val="30"/>
          <w:szCs w:val="30"/>
        </w:rPr>
        <w:t>四、考核结果公示及奖惩</w:t>
      </w:r>
      <w:bookmarkEnd w:id="53"/>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考核结束，公司考核办要及时将目标考核结果在公示栏进行公布、通报，若对考核结果有疑义，必须在3日内向公司考核办报告，经考核领导小组复核属实的将予以更正。</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公示期满后，公司将根据考核结果实施奖惩，对目标任务完成较好，综合评分95分以上者，评为先进科室或先进个人，被评为先进科室、先进个人的公司将进行通报表彰，颁发证书，并给予现金奖励，奖励标准由公司领导班子会议研究决定；对目标任务完成较差，综合评分在60分以下的，将予以通报批评，并按照目标责任书规定及《安全生产奖惩制度》予以处罚。</w:t>
      </w:r>
    </w:p>
    <w:p>
      <w:pPr>
        <w:spacing w:line="500" w:lineRule="exact"/>
        <w:ind w:firstLine="602" w:firstLineChars="200"/>
        <w:textAlignment w:val="baseline"/>
        <w:rPr>
          <w:rFonts w:hint="eastAsia" w:ascii="仿宋" w:hAnsi="仿宋" w:eastAsia="仿宋" w:cs="仿宋"/>
          <w:sz w:val="30"/>
          <w:szCs w:val="30"/>
        </w:rPr>
      </w:pPr>
      <w:bookmarkStart w:id="54" w:name="_Toc6009"/>
      <w:r>
        <w:rPr>
          <w:rFonts w:hint="eastAsia" w:ascii="仿宋" w:hAnsi="仿宋" w:eastAsia="仿宋" w:cs="仿宋"/>
          <w:b/>
          <w:bCs/>
          <w:sz w:val="30"/>
          <w:szCs w:val="30"/>
        </w:rPr>
        <w:t>五</w:t>
      </w:r>
      <w:r>
        <w:rPr>
          <w:rFonts w:hint="eastAsia" w:ascii="仿宋" w:hAnsi="仿宋" w:eastAsia="仿宋" w:cs="仿宋"/>
          <w:b/>
          <w:sz w:val="30"/>
          <w:szCs w:val="30"/>
        </w:rPr>
        <w:t>、考核原则：</w:t>
      </w:r>
      <w:bookmarkEnd w:id="54"/>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1、实事求是，客观公正的原则。</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2、注重安全管理效果的原则。</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3、自查自评与组织考核相结合的原则。</w:t>
      </w:r>
    </w:p>
    <w:p>
      <w:pPr>
        <w:spacing w:line="5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4、奖优罚劣的原则。</w:t>
      </w:r>
    </w:p>
    <w:p>
      <w:pPr>
        <w:widowControl/>
        <w:spacing w:line="500" w:lineRule="exact"/>
        <w:ind w:firstLine="602" w:firstLineChars="200"/>
        <w:jc w:val="left"/>
        <w:textAlignment w:val="baseline"/>
        <w:rPr>
          <w:rFonts w:hint="eastAsia" w:ascii="仿宋" w:hAnsi="仿宋" w:eastAsia="仿宋" w:cs="仿宋"/>
          <w:color w:val="000000"/>
          <w:kern w:val="0"/>
          <w:sz w:val="30"/>
          <w:szCs w:val="30"/>
        </w:rPr>
      </w:pPr>
      <w:bookmarkStart w:id="55" w:name="_Toc12863"/>
      <w:r>
        <w:rPr>
          <w:rFonts w:hint="eastAsia" w:ascii="仿宋" w:hAnsi="仿宋" w:eastAsia="仿宋" w:cs="仿宋"/>
          <w:b/>
          <w:color w:val="000000"/>
          <w:kern w:val="0"/>
          <w:sz w:val="30"/>
          <w:szCs w:val="30"/>
        </w:rPr>
        <w:t>六、建立安全生产内部评价机制</w:t>
      </w:r>
      <w:bookmarkEnd w:id="55"/>
    </w:p>
    <w:p>
      <w:pPr>
        <w:widowControl/>
        <w:spacing w:line="50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安全生产内部评价每年至少进行一次。评价内容应包括安全生产目标、安全生产责任制、安全投入、安全教育培训、从业人员管理、车辆管理、生产安全监督与检测、应急响应与救援、事故处理与统计报告等各项安全生产制度的适应性、充分性及有效性。企业各部门应当根据安全生产内部评价结果及时改进安全生产管理工作和方法，修订和完善各项安全生产制度，持续改进和提高安全管理水平。</w:t>
      </w:r>
    </w:p>
    <w:p>
      <w:pPr>
        <w:widowControl/>
        <w:spacing w:line="500" w:lineRule="exact"/>
        <w:ind w:firstLine="600" w:firstLineChars="200"/>
        <w:textAlignment w:val="baseline"/>
        <w:rPr>
          <w:rFonts w:hint="eastAsia" w:ascii="仿宋" w:hAnsi="仿宋" w:eastAsia="仿宋" w:cs="仿宋"/>
          <w:color w:val="000000"/>
          <w:kern w:val="0"/>
          <w:sz w:val="30"/>
          <w:szCs w:val="30"/>
        </w:rPr>
      </w:pPr>
      <w:bookmarkStart w:id="56" w:name="_Toc5880"/>
      <w:r>
        <w:rPr>
          <w:rFonts w:hint="eastAsia" w:ascii="仿宋" w:hAnsi="仿宋" w:eastAsia="仿宋" w:cs="仿宋"/>
          <w:sz w:val="30"/>
          <w:szCs w:val="30"/>
        </w:rPr>
        <w:t>七、本制度不影响安全生产责任制有关责任追究规定的执行。</w:t>
      </w:r>
      <w:bookmarkEnd w:id="56"/>
    </w:p>
    <w:p>
      <w:pPr>
        <w:spacing w:line="500" w:lineRule="exact"/>
        <w:ind w:firstLine="600" w:firstLineChars="200"/>
        <w:textAlignment w:val="baseline"/>
        <w:rPr>
          <w:rFonts w:hint="eastAsia" w:ascii="仿宋" w:hAnsi="仿宋" w:eastAsia="仿宋" w:cs="仿宋"/>
          <w:b/>
          <w:sz w:val="30"/>
          <w:szCs w:val="30"/>
        </w:rPr>
      </w:pPr>
      <w:r>
        <w:rPr>
          <w:rFonts w:hint="eastAsia" w:ascii="仿宋" w:hAnsi="仿宋" w:eastAsia="仿宋" w:cs="仿宋"/>
          <w:sz w:val="30"/>
          <w:szCs w:val="30"/>
        </w:rPr>
        <w:t>附件：</w:t>
      </w:r>
      <w:r>
        <w:rPr>
          <w:rFonts w:hint="eastAsia" w:ascii="仿宋" w:hAnsi="仿宋" w:eastAsia="仿宋" w:cs="仿宋"/>
          <w:b/>
          <w:color w:val="000000"/>
          <w:kern w:val="0"/>
          <w:sz w:val="30"/>
          <w:szCs w:val="30"/>
          <w:u w:val="single"/>
        </w:rPr>
        <w:t xml:space="preserve">      </w:t>
      </w:r>
      <w:r>
        <w:rPr>
          <w:rFonts w:hint="eastAsia" w:ascii="仿宋" w:hAnsi="仿宋" w:eastAsia="仿宋" w:cs="仿宋"/>
          <w:color w:val="000000"/>
          <w:kern w:val="0"/>
          <w:sz w:val="30"/>
          <w:szCs w:val="30"/>
        </w:rPr>
        <w:t>年年终公司安全考核自查评分表</w:t>
      </w:r>
    </w:p>
    <w:p>
      <w:pPr>
        <w:spacing w:line="500" w:lineRule="exact"/>
        <w:jc w:val="center"/>
        <w:rPr>
          <w:rFonts w:hint="eastAsia" w:ascii="仿宋" w:hAnsi="仿宋" w:eastAsia="仿宋" w:cs="仿宋"/>
          <w:b/>
          <w:sz w:val="30"/>
          <w:szCs w:val="30"/>
        </w:rPr>
      </w:pPr>
    </w:p>
    <w:p>
      <w:pPr>
        <w:spacing w:line="560" w:lineRule="exact"/>
        <w:jc w:val="center"/>
        <w:rPr>
          <w:rFonts w:hint="eastAsia" w:ascii="黑体" w:hAnsi="黑体" w:eastAsia="黑体"/>
          <w:b/>
          <w:sz w:val="44"/>
        </w:rPr>
      </w:pPr>
    </w:p>
    <w:p>
      <w:pPr>
        <w:widowControl/>
        <w:spacing w:before="312" w:beforeLines="100" w:line="440" w:lineRule="exact"/>
        <w:rPr>
          <w:rFonts w:hint="eastAsia" w:ascii="仿宋_GB2312" w:eastAsia="仿宋_GB2312"/>
          <w:b/>
          <w:color w:val="000000"/>
          <w:kern w:val="0"/>
          <w:sz w:val="36"/>
        </w:rPr>
        <w:sectPr>
          <w:pgSz w:w="11906" w:h="16838"/>
          <w:pgMar w:top="1440" w:right="1588" w:bottom="1134" w:left="1588" w:header="851" w:footer="992" w:gutter="0"/>
          <w:cols w:space="720" w:num="1"/>
          <w:docGrid w:type="lines" w:linePitch="312" w:charSpace="0"/>
        </w:sectPr>
      </w:pPr>
    </w:p>
    <w:p>
      <w:pPr>
        <w:widowControl/>
        <w:spacing w:line="560" w:lineRule="exact"/>
        <w:jc w:val="center"/>
        <w:textAlignment w:val="baseline"/>
        <w:rPr>
          <w:rFonts w:hint="eastAsia" w:ascii="仿宋_GB2312" w:eastAsia="仿宋_GB2312"/>
          <w:b/>
          <w:color w:val="000000"/>
          <w:kern w:val="0"/>
          <w:sz w:val="44"/>
          <w:u w:val="none"/>
          <w:lang w:val="en-US" w:eastAsia="zh-CN"/>
        </w:rPr>
      </w:pPr>
      <w:r>
        <w:rPr>
          <w:rFonts w:hint="eastAsia" w:ascii="仿宋_GB2312" w:eastAsia="仿宋_GB2312"/>
          <w:b/>
          <w:color w:val="000000"/>
          <w:kern w:val="0"/>
          <w:sz w:val="44"/>
          <w:u w:val="none"/>
          <w:lang w:val="en-US" w:eastAsia="zh-CN"/>
        </w:rPr>
        <w:t>四川省德瑞欣旅商贸有限公司</w:t>
      </w:r>
    </w:p>
    <w:p>
      <w:pPr>
        <w:widowControl/>
        <w:spacing w:line="560" w:lineRule="exact"/>
        <w:jc w:val="center"/>
        <w:textAlignment w:val="baseline"/>
        <w:rPr>
          <w:rFonts w:hint="eastAsia" w:ascii="仿宋_GB2312" w:eastAsia="仿宋_GB2312"/>
          <w:b/>
          <w:color w:val="000000"/>
          <w:kern w:val="0"/>
          <w:sz w:val="44"/>
        </w:rPr>
      </w:pPr>
      <w:r>
        <w:rPr>
          <w:rFonts w:hint="eastAsia" w:ascii="仿宋_GB2312" w:eastAsia="仿宋_GB2312"/>
          <w:b/>
          <w:color w:val="000000"/>
          <w:kern w:val="0"/>
          <w:sz w:val="44"/>
          <w:u w:val="single"/>
        </w:rPr>
        <w:t xml:space="preserve">       </w:t>
      </w:r>
      <w:bookmarkStart w:id="57" w:name="_Toc4381"/>
      <w:r>
        <w:rPr>
          <w:rFonts w:hint="eastAsia" w:ascii="仿宋_GB2312" w:eastAsia="仿宋_GB2312"/>
          <w:b/>
          <w:color w:val="000000"/>
          <w:kern w:val="0"/>
          <w:sz w:val="44"/>
        </w:rPr>
        <w:t>年年终公司安全考核自查评分表</w:t>
      </w:r>
      <w:bookmarkEnd w:id="57"/>
    </w:p>
    <w:p>
      <w:pPr>
        <w:widowControl/>
        <w:spacing w:line="300" w:lineRule="exact"/>
        <w:jc w:val="center"/>
        <w:textAlignment w:val="baseline"/>
        <w:rPr>
          <w:rFonts w:hint="eastAsia" w:ascii="仿宋_GB2312" w:eastAsia="仿宋_GB2312"/>
          <w:b/>
          <w:color w:val="000000"/>
          <w:kern w:val="0"/>
          <w:sz w:val="44"/>
        </w:rPr>
      </w:pPr>
    </w:p>
    <w:tbl>
      <w:tblPr>
        <w:tblStyle w:val="4"/>
        <w:tblW w:w="0" w:type="auto"/>
        <w:jc w:val="center"/>
        <w:tblLayout w:type="fixed"/>
        <w:tblCellMar>
          <w:top w:w="0" w:type="dxa"/>
          <w:left w:w="108" w:type="dxa"/>
          <w:bottom w:w="0" w:type="dxa"/>
          <w:right w:w="108" w:type="dxa"/>
        </w:tblCellMar>
      </w:tblPr>
      <w:tblGrid>
        <w:gridCol w:w="569"/>
        <w:gridCol w:w="777"/>
        <w:gridCol w:w="1620"/>
        <w:gridCol w:w="9714"/>
        <w:gridCol w:w="858"/>
        <w:gridCol w:w="1062"/>
      </w:tblGrid>
      <w:tr>
        <w:tblPrEx>
          <w:tblCellMar>
            <w:top w:w="0" w:type="dxa"/>
            <w:left w:w="108" w:type="dxa"/>
            <w:bottom w:w="0" w:type="dxa"/>
            <w:right w:w="108" w:type="dxa"/>
          </w:tblCellMar>
        </w:tblPrEx>
        <w:trPr>
          <w:trHeight w:val="504" w:hRule="atLeast"/>
          <w:jc w:val="center"/>
        </w:trPr>
        <w:tc>
          <w:tcPr>
            <w:tcW w:w="56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r>
              <w:rPr>
                <w:rFonts w:hint="eastAsia" w:ascii="仿宋_GB2312" w:hAnsi="仿宋_GB2312" w:eastAsia="仿宋_GB2312"/>
                <w:sz w:val="24"/>
              </w:rPr>
              <w:t>安全目标</w:t>
            </w: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考核内容</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评分标准</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分值</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得分</w:t>
            </w: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工伤事故</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死亡1人不得分；重伤1人扣3分；轻伤1人扣2分。</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5</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四项指标</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死亡1人扣1分；发生事故不报、瞒报、漏报扣3分；其余指标超1%扣1分。</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15</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312"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3</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消防工作</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发生火灾不得分；无义务消防队扣2分；         </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5</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未组织培训和演练扣1分。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4</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隐患整改</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未及时排查隐患扣2分；                       </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8</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每发现隐患未整改一次扣3分；整改不及时扣2分。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134"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5</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治安秩序和服务质量</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发生一次治安案件扣2分；</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5</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发生服务质量纠纷或投诉扣2分。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262" w:hRule="atLeast"/>
          <w:jc w:val="center"/>
        </w:trPr>
        <w:tc>
          <w:tcPr>
            <w:tcW w:w="56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r>
              <w:rPr>
                <w:rFonts w:hint="eastAsia" w:ascii="仿宋_GB2312" w:hAnsi="仿宋_GB2312" w:eastAsia="仿宋_GB2312"/>
                <w:sz w:val="24"/>
              </w:rPr>
              <w:t>安全责任</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6</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安全生产目标责任书</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未签定扣3分；未落实安全责任人扣2分；        </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6</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责任人未认真履行安全职责扣3分。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134"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7</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落实安全工作制度</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安全责任人参加安全例会次数不少于8次，第二责任人不少于10次，每少1次扣2分；                                  </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10</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每月一次安全生产工作检查；每季度一次安全生产动态考核自评及汇报，每少1次扣5分；  </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安全生产工作记录是否完整，每缺1项扣1分。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8</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贯彻落实国家行业及公司安全工作文件要求</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如驾驶员安全承诺的落实情况，未落实扣1分。</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6</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企业标准化建设准备工作情况，未开展扣0.5分。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国发30号文件的贯彻落实情况，未贯彻落实扣1.5分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公司“二统一、一监控”制度执行情况及其它安全工作落实情况，未执行落实扣3分。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262"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9</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事故处理</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及时查清事故原因，群众、职工及时受到教育；</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8</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事故的整改和补救措施及时落实到位；</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事故责任人受到严肃处理；事故档案的建立（一事一档）；</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事故发生情况和处理意见上报集团；每缺1项扣2分。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r>
              <w:rPr>
                <w:rFonts w:hint="eastAsia" w:ascii="仿宋_GB2312" w:hAnsi="仿宋_GB2312" w:eastAsia="仿宋_GB2312"/>
                <w:sz w:val="24"/>
              </w:rPr>
              <w:t>安全责任</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10</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安全教育培训</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新工人岗前安全培训100%、驾驶员持证上岗100%；</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6</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维修工持证上岗100%、班组长每年安全培训2次；   </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驾驶员安全教育培训全年不少于2次；安全学习全年不少于12次； </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对集团组织的培训不支持或组织不力扣2分，驾驶员参培率未达到1000%，没缺席1人扣0.5分；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车辆经营者及驾驶员家属参加安全会议年不少于1次。         缺1项（次）扣1分。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199"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积极参加上级安全会议和各项安全活动</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未按时上报各种安全报表，1次扣1分；按时参加集团安全会议，不迟到、不早退、不缺席；积极参加公司各项安全活动；1次扣2分。</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8</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134"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安全风险金收取</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未专户储存、出现空档、机构人员、经费落实不到位，每1项扣2分</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5</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三包责任制</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未签定三包合同、没有具体安排文件、没有进行警示谈话，每1项扣1分。</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3</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134"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文明线路的管理</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有三超行为、宰客、甩客、偷跑；未按规定线路运行、被抄告、媒体曝光、未按五不出站规定运行，有1项扣2分。</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5</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15</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公司化管理</w:t>
            </w: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新增车辆未实行公司化经营；</w:t>
            </w:r>
          </w:p>
        </w:tc>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5</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超长线公司化经营达到100%；</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市、州公司化经营达到50%；</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90"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97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_GB2312" w:hAnsi="仿宋_GB2312" w:eastAsia="仿宋_GB2312"/>
              </w:rPr>
            </w:pPr>
            <w:r>
              <w:rPr>
                <w:rFonts w:hint="eastAsia" w:ascii="仿宋_GB2312" w:hAnsi="仿宋_GB2312" w:eastAsia="仿宋_GB2312"/>
              </w:rPr>
              <w:t xml:space="preserve">  驾驶员公司化管理达到50%；有1项未达到扣1分。</w:t>
            </w:r>
          </w:p>
        </w:tc>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sz w:val="24"/>
              </w:rPr>
            </w:pPr>
          </w:p>
        </w:tc>
      </w:tr>
      <w:tr>
        <w:tblPrEx>
          <w:tblCellMar>
            <w:top w:w="0" w:type="dxa"/>
            <w:left w:w="108" w:type="dxa"/>
            <w:bottom w:w="0" w:type="dxa"/>
            <w:right w:w="108" w:type="dxa"/>
          </w:tblCellMar>
        </w:tblPrEx>
        <w:trPr>
          <w:trHeight w:val="134" w:hRule="atLeast"/>
          <w:jc w:val="center"/>
        </w:trPr>
        <w:tc>
          <w:tcPr>
            <w:tcW w:w="1268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合计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r>
              <w:rPr>
                <w:rFonts w:hint="eastAsia" w:ascii="仿宋_GB2312" w:hAnsi="仿宋_GB2312" w:eastAsia="仿宋_GB2312"/>
              </w:rPr>
              <w:t>100</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_GB2312" w:hAnsi="仿宋_GB2312" w:eastAsia="仿宋_GB2312"/>
              </w:rPr>
            </w:pPr>
          </w:p>
        </w:tc>
      </w:tr>
      <w:tr>
        <w:tblPrEx>
          <w:tblCellMar>
            <w:top w:w="0" w:type="dxa"/>
            <w:left w:w="108" w:type="dxa"/>
            <w:bottom w:w="0" w:type="dxa"/>
            <w:right w:w="108" w:type="dxa"/>
          </w:tblCellMar>
        </w:tblPrEx>
        <w:trPr>
          <w:trHeight w:val="133" w:hRule="atLeast"/>
          <w:jc w:val="center"/>
        </w:trPr>
        <w:tc>
          <w:tcPr>
            <w:tcW w:w="2966" w:type="dxa"/>
            <w:gridSpan w:val="3"/>
            <w:tcBorders>
              <w:top w:val="single" w:color="auto" w:sz="4" w:space="0"/>
              <w:left w:val="single" w:color="auto" w:sz="4" w:space="0"/>
              <w:bottom w:val="nil"/>
              <w:right w:val="nil"/>
            </w:tcBorders>
            <w:noWrap w:val="0"/>
            <w:vAlign w:val="top"/>
          </w:tcPr>
          <w:p>
            <w:pPr>
              <w:autoSpaceDE w:val="0"/>
              <w:autoSpaceDN w:val="0"/>
              <w:jc w:val="center"/>
              <w:rPr>
                <w:rFonts w:hint="eastAsia" w:ascii="仿宋_GB2312" w:hAnsi="仿宋_GB2312" w:eastAsia="仿宋_GB2312"/>
              </w:rPr>
            </w:pPr>
            <w:r>
              <w:rPr>
                <w:rFonts w:hint="eastAsia" w:ascii="仿宋_GB2312" w:hAnsi="仿宋_GB2312" w:eastAsia="仿宋_GB2312"/>
              </w:rPr>
              <w:t>考核自查意见：</w:t>
            </w:r>
          </w:p>
        </w:tc>
        <w:tc>
          <w:tcPr>
            <w:tcW w:w="9714" w:type="dxa"/>
            <w:tcBorders>
              <w:top w:val="single" w:color="auto" w:sz="4" w:space="0"/>
              <w:left w:val="nil"/>
              <w:bottom w:val="nil"/>
              <w:right w:val="nil"/>
            </w:tcBorders>
            <w:noWrap w:val="0"/>
            <w:vAlign w:val="top"/>
          </w:tcPr>
          <w:p>
            <w:pPr>
              <w:autoSpaceDE w:val="0"/>
              <w:autoSpaceDN w:val="0"/>
              <w:jc w:val="center"/>
              <w:rPr>
                <w:rFonts w:hint="eastAsia" w:ascii="仿宋_GB2312" w:hAnsi="仿宋_GB2312" w:eastAsia="仿宋_GB2312"/>
              </w:rPr>
            </w:pPr>
          </w:p>
        </w:tc>
        <w:tc>
          <w:tcPr>
            <w:tcW w:w="858" w:type="dxa"/>
            <w:tcBorders>
              <w:top w:val="single" w:color="auto" w:sz="4" w:space="0"/>
              <w:left w:val="nil"/>
              <w:bottom w:val="nil"/>
              <w:right w:val="nil"/>
            </w:tcBorders>
            <w:noWrap w:val="0"/>
            <w:vAlign w:val="top"/>
          </w:tcPr>
          <w:p>
            <w:pPr>
              <w:autoSpaceDE w:val="0"/>
              <w:autoSpaceDN w:val="0"/>
              <w:jc w:val="center"/>
              <w:rPr>
                <w:rFonts w:hint="eastAsia" w:ascii="仿宋_GB2312" w:hAnsi="仿宋_GB2312" w:eastAsia="仿宋_GB2312"/>
              </w:rPr>
            </w:pPr>
          </w:p>
        </w:tc>
        <w:tc>
          <w:tcPr>
            <w:tcW w:w="1062" w:type="dxa"/>
            <w:tcBorders>
              <w:top w:val="single" w:color="auto" w:sz="4" w:space="0"/>
              <w:left w:val="nil"/>
              <w:bottom w:val="nil"/>
              <w:right w:val="single" w:color="auto" w:sz="4" w:space="0"/>
            </w:tcBorders>
            <w:noWrap w:val="0"/>
            <w:vAlign w:val="top"/>
          </w:tcPr>
          <w:p>
            <w:pPr>
              <w:autoSpaceDE w:val="0"/>
              <w:autoSpaceDN w:val="0"/>
              <w:jc w:val="center"/>
              <w:rPr>
                <w:rFonts w:hint="eastAsia" w:ascii="仿宋_GB2312" w:hAnsi="仿宋_GB2312" w:eastAsia="仿宋_GB2312"/>
              </w:rPr>
            </w:pPr>
          </w:p>
        </w:tc>
      </w:tr>
      <w:tr>
        <w:tblPrEx>
          <w:tblCellMar>
            <w:top w:w="0" w:type="dxa"/>
            <w:left w:w="108" w:type="dxa"/>
            <w:bottom w:w="0" w:type="dxa"/>
            <w:right w:w="108" w:type="dxa"/>
          </w:tblCellMar>
        </w:tblPrEx>
        <w:trPr>
          <w:trHeight w:val="90" w:hRule="atLeast"/>
          <w:jc w:val="center"/>
        </w:trPr>
        <w:tc>
          <w:tcPr>
            <w:tcW w:w="569" w:type="dxa"/>
            <w:tcBorders>
              <w:top w:val="nil"/>
              <w:left w:val="single" w:color="auto" w:sz="4" w:space="0"/>
              <w:bottom w:val="nil"/>
              <w:right w:val="nil"/>
            </w:tcBorders>
            <w:noWrap w:val="0"/>
            <w:vAlign w:val="top"/>
          </w:tcPr>
          <w:p>
            <w:pPr>
              <w:autoSpaceDE w:val="0"/>
              <w:autoSpaceDN w:val="0"/>
              <w:jc w:val="center"/>
              <w:rPr>
                <w:rFonts w:hint="eastAsia" w:ascii="仿宋_GB2312" w:hAnsi="仿宋_GB2312" w:eastAsia="仿宋_GB2312"/>
              </w:rPr>
            </w:pPr>
          </w:p>
        </w:tc>
        <w:tc>
          <w:tcPr>
            <w:tcW w:w="777" w:type="dxa"/>
            <w:tcBorders>
              <w:top w:val="nil"/>
              <w:left w:val="nil"/>
              <w:bottom w:val="nil"/>
              <w:right w:val="nil"/>
            </w:tcBorders>
            <w:noWrap w:val="0"/>
            <w:vAlign w:val="top"/>
          </w:tcPr>
          <w:p>
            <w:pPr>
              <w:autoSpaceDE w:val="0"/>
              <w:autoSpaceDN w:val="0"/>
              <w:jc w:val="center"/>
              <w:rPr>
                <w:rFonts w:hint="eastAsia" w:ascii="仿宋_GB2312" w:hAnsi="仿宋_GB2312" w:eastAsia="仿宋_GB2312"/>
              </w:rPr>
            </w:pPr>
          </w:p>
        </w:tc>
        <w:tc>
          <w:tcPr>
            <w:tcW w:w="1620" w:type="dxa"/>
            <w:tcBorders>
              <w:top w:val="nil"/>
              <w:left w:val="nil"/>
              <w:bottom w:val="nil"/>
              <w:right w:val="nil"/>
            </w:tcBorders>
            <w:noWrap w:val="0"/>
            <w:vAlign w:val="top"/>
          </w:tcPr>
          <w:p>
            <w:pPr>
              <w:autoSpaceDE w:val="0"/>
              <w:autoSpaceDN w:val="0"/>
              <w:jc w:val="center"/>
              <w:rPr>
                <w:rFonts w:hint="eastAsia" w:ascii="仿宋_GB2312" w:hAnsi="仿宋_GB2312" w:eastAsia="仿宋_GB2312"/>
              </w:rPr>
            </w:pPr>
          </w:p>
        </w:tc>
        <w:tc>
          <w:tcPr>
            <w:tcW w:w="9714" w:type="dxa"/>
            <w:tcBorders>
              <w:top w:val="nil"/>
              <w:left w:val="nil"/>
              <w:bottom w:val="nil"/>
              <w:right w:val="nil"/>
            </w:tcBorders>
            <w:noWrap w:val="0"/>
            <w:vAlign w:val="top"/>
          </w:tcPr>
          <w:p>
            <w:pPr>
              <w:autoSpaceDE w:val="0"/>
              <w:autoSpaceDN w:val="0"/>
              <w:jc w:val="left"/>
              <w:rPr>
                <w:rFonts w:hint="eastAsia" w:ascii="仿宋_GB2312" w:hAnsi="仿宋_GB2312" w:eastAsia="仿宋_GB2312"/>
              </w:rPr>
            </w:pPr>
          </w:p>
        </w:tc>
        <w:tc>
          <w:tcPr>
            <w:tcW w:w="858" w:type="dxa"/>
            <w:tcBorders>
              <w:top w:val="nil"/>
              <w:left w:val="nil"/>
              <w:bottom w:val="nil"/>
              <w:right w:val="nil"/>
            </w:tcBorders>
            <w:noWrap w:val="0"/>
            <w:vAlign w:val="top"/>
          </w:tcPr>
          <w:p>
            <w:pPr>
              <w:autoSpaceDE w:val="0"/>
              <w:autoSpaceDN w:val="0"/>
              <w:jc w:val="center"/>
              <w:rPr>
                <w:rFonts w:hint="eastAsia" w:ascii="仿宋_GB2312" w:hAnsi="仿宋_GB2312" w:eastAsia="仿宋_GB2312"/>
              </w:rPr>
            </w:pPr>
          </w:p>
        </w:tc>
        <w:tc>
          <w:tcPr>
            <w:tcW w:w="1062" w:type="dxa"/>
            <w:tcBorders>
              <w:top w:val="nil"/>
              <w:left w:val="nil"/>
              <w:bottom w:val="nil"/>
              <w:right w:val="single" w:color="auto" w:sz="4" w:space="0"/>
            </w:tcBorders>
            <w:noWrap w:val="0"/>
            <w:vAlign w:val="top"/>
          </w:tcPr>
          <w:p>
            <w:pPr>
              <w:autoSpaceDE w:val="0"/>
              <w:autoSpaceDN w:val="0"/>
              <w:jc w:val="center"/>
              <w:rPr>
                <w:rFonts w:hint="eastAsia" w:ascii="仿宋_GB2312" w:hAnsi="仿宋_GB2312" w:eastAsia="仿宋_GB2312"/>
              </w:rPr>
            </w:pPr>
          </w:p>
        </w:tc>
      </w:tr>
      <w:tr>
        <w:tblPrEx>
          <w:tblCellMar>
            <w:top w:w="0" w:type="dxa"/>
            <w:left w:w="108" w:type="dxa"/>
            <w:bottom w:w="0" w:type="dxa"/>
            <w:right w:w="108" w:type="dxa"/>
          </w:tblCellMar>
        </w:tblPrEx>
        <w:trPr>
          <w:trHeight w:val="317" w:hRule="atLeast"/>
          <w:jc w:val="center"/>
        </w:trPr>
        <w:tc>
          <w:tcPr>
            <w:tcW w:w="569" w:type="dxa"/>
            <w:tcBorders>
              <w:top w:val="nil"/>
              <w:left w:val="single" w:color="auto" w:sz="4" w:space="0"/>
              <w:bottom w:val="single" w:color="auto" w:sz="4" w:space="0"/>
              <w:right w:val="nil"/>
            </w:tcBorders>
            <w:noWrap w:val="0"/>
            <w:vAlign w:val="top"/>
          </w:tcPr>
          <w:p>
            <w:pPr>
              <w:autoSpaceDE w:val="0"/>
              <w:autoSpaceDN w:val="0"/>
              <w:jc w:val="center"/>
              <w:rPr>
                <w:rFonts w:hint="eastAsia" w:ascii="仿宋_GB2312" w:hAnsi="仿宋_GB2312" w:eastAsia="仿宋_GB2312"/>
              </w:rPr>
            </w:pPr>
          </w:p>
        </w:tc>
        <w:tc>
          <w:tcPr>
            <w:tcW w:w="777" w:type="dxa"/>
            <w:tcBorders>
              <w:top w:val="nil"/>
              <w:left w:val="nil"/>
              <w:bottom w:val="single" w:color="auto" w:sz="4" w:space="0"/>
              <w:right w:val="nil"/>
            </w:tcBorders>
            <w:noWrap w:val="0"/>
            <w:vAlign w:val="top"/>
          </w:tcPr>
          <w:p>
            <w:pPr>
              <w:autoSpaceDE w:val="0"/>
              <w:autoSpaceDN w:val="0"/>
              <w:jc w:val="center"/>
              <w:rPr>
                <w:rFonts w:hint="eastAsia" w:ascii="仿宋_GB2312" w:hAnsi="仿宋_GB2312" w:eastAsia="仿宋_GB2312"/>
              </w:rPr>
            </w:pPr>
          </w:p>
        </w:tc>
        <w:tc>
          <w:tcPr>
            <w:tcW w:w="1620" w:type="dxa"/>
            <w:tcBorders>
              <w:top w:val="nil"/>
              <w:left w:val="nil"/>
              <w:bottom w:val="single" w:color="auto" w:sz="4" w:space="0"/>
              <w:right w:val="nil"/>
            </w:tcBorders>
            <w:noWrap w:val="0"/>
            <w:vAlign w:val="top"/>
          </w:tcPr>
          <w:p>
            <w:pPr>
              <w:autoSpaceDE w:val="0"/>
              <w:autoSpaceDN w:val="0"/>
              <w:jc w:val="center"/>
              <w:rPr>
                <w:rFonts w:hint="eastAsia" w:ascii="仿宋_GB2312" w:hAnsi="仿宋_GB2312" w:eastAsia="仿宋_GB2312"/>
              </w:rPr>
            </w:pPr>
          </w:p>
        </w:tc>
        <w:tc>
          <w:tcPr>
            <w:tcW w:w="9714" w:type="dxa"/>
            <w:tcBorders>
              <w:top w:val="nil"/>
              <w:left w:val="nil"/>
              <w:bottom w:val="single" w:color="auto" w:sz="4" w:space="0"/>
              <w:right w:val="nil"/>
            </w:tcBorders>
            <w:noWrap w:val="0"/>
            <w:vAlign w:val="top"/>
          </w:tcPr>
          <w:p>
            <w:pPr>
              <w:autoSpaceDE w:val="0"/>
              <w:autoSpaceDN w:val="0"/>
              <w:rPr>
                <w:rFonts w:hint="eastAsia" w:ascii="仿宋_GB2312" w:hAnsi="仿宋_GB2312" w:eastAsia="仿宋_GB2312"/>
              </w:rPr>
            </w:pPr>
            <w:r>
              <w:rPr>
                <w:rFonts w:hint="eastAsia" w:ascii="仿宋_GB2312" w:hAnsi="仿宋_GB2312" w:eastAsia="仿宋_GB2312"/>
              </w:rPr>
              <w:t xml:space="preserve">              考核自查人员签字：                          </w:t>
            </w:r>
          </w:p>
        </w:tc>
        <w:tc>
          <w:tcPr>
            <w:tcW w:w="858" w:type="dxa"/>
            <w:tcBorders>
              <w:top w:val="nil"/>
              <w:left w:val="nil"/>
              <w:bottom w:val="single" w:color="auto" w:sz="4" w:space="0"/>
              <w:right w:val="nil"/>
            </w:tcBorders>
            <w:noWrap w:val="0"/>
            <w:vAlign w:val="top"/>
          </w:tcPr>
          <w:p>
            <w:pPr>
              <w:autoSpaceDE w:val="0"/>
              <w:autoSpaceDN w:val="0"/>
              <w:jc w:val="center"/>
              <w:rPr>
                <w:rFonts w:hint="eastAsia" w:ascii="仿宋_GB2312" w:hAnsi="仿宋_GB2312" w:eastAsia="仿宋_GB2312"/>
              </w:rPr>
            </w:pPr>
          </w:p>
        </w:tc>
        <w:tc>
          <w:tcPr>
            <w:tcW w:w="1062" w:type="dxa"/>
            <w:tcBorders>
              <w:top w:val="nil"/>
              <w:left w:val="nil"/>
              <w:bottom w:val="single" w:color="auto" w:sz="4" w:space="0"/>
              <w:right w:val="single" w:color="auto" w:sz="4" w:space="0"/>
            </w:tcBorders>
            <w:noWrap w:val="0"/>
            <w:vAlign w:val="top"/>
          </w:tcPr>
          <w:p>
            <w:pPr>
              <w:autoSpaceDE w:val="0"/>
              <w:autoSpaceDN w:val="0"/>
              <w:jc w:val="center"/>
              <w:rPr>
                <w:rFonts w:hint="eastAsia" w:ascii="仿宋_GB2312" w:hAnsi="仿宋_GB2312" w:eastAsia="仿宋_GB2312"/>
              </w:rPr>
            </w:pPr>
          </w:p>
        </w:tc>
      </w:tr>
    </w:tbl>
    <w:p>
      <w:pPr>
        <w:spacing w:line="560" w:lineRule="exact"/>
        <w:jc w:val="center"/>
        <w:rPr>
          <w:rFonts w:hint="eastAsia" w:ascii="黑体" w:hAnsi="黑体" w:eastAsia="黑体"/>
          <w:b/>
          <w:sz w:val="44"/>
        </w:rPr>
        <w:sectPr>
          <w:pgSz w:w="16838" w:h="11906" w:orient="landscape"/>
          <w:pgMar w:top="1800" w:right="1440" w:bottom="1800" w:left="1440" w:header="851" w:footer="992" w:gutter="0"/>
          <w:cols w:space="720" w:num="1"/>
          <w:docGrid w:type="lines" w:linePitch="312" w:charSpace="0"/>
        </w:sectPr>
      </w:pPr>
    </w:p>
    <w:p>
      <w:bookmarkStart w:id="58" w:name="_GoBack"/>
      <w:bookmarkEnd w:id="5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DY1OTBmNDFmZjg1MDFhMThjZDdkNzQ1NDQ5YTIifQ=="/>
  </w:docVars>
  <w:rsids>
    <w:rsidRoot w:val="648B4726"/>
    <w:rsid w:val="648B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240" w:lineRule="atLeast"/>
      <w:jc w:val="center"/>
      <w:outlineLvl w:val="0"/>
    </w:pPr>
    <w:rPr>
      <w:rFonts w:hint="eastAsia" w:ascii="Times New Roman" w:hAnsi="Times New Roman" w:eastAsia="黑体"/>
      <w:b/>
      <w:kern w:val="44"/>
      <w:sz w:val="44"/>
    </w:rPr>
  </w:style>
  <w:style w:type="paragraph" w:styleId="3">
    <w:name w:val="heading 2"/>
    <w:basedOn w:val="1"/>
    <w:next w:val="1"/>
    <w:qFormat/>
    <w:uiPriority w:val="0"/>
    <w:pPr>
      <w:keepNext/>
      <w:keepLines/>
      <w:spacing w:before="0" w:beforeLines="0" w:beforeAutospacing="0" w:after="0" w:afterLines="0" w:afterAutospacing="0" w:line="560" w:lineRule="exact"/>
      <w:jc w:val="center"/>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2023-04-25T03:02:00Z</dcterms:created>
  <dc:creator>lenovo</dc:creator>
  <cp:lastModifiedBy>lenovo</cp:lastModifiedBy>
  <dcterms:modified xsi:type="dcterms:W3CDTF">2023-04-25T03:06:11Z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5E7B6C12732C4ECFA96A0EA18F4D9858_11</vt:lpwstr>
  </property>
</Properties>
</file>