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55" w:rsidRDefault="00ED3655" w:rsidP="00ED3655">
      <w:pPr>
        <w:pStyle w:val="a5"/>
        <w:rPr>
          <w:rFonts w:ascii="方正黑体_GBK" w:eastAsia="方正黑体_GBK" w:hAnsi="方正黑体_GBK" w:cs="方正黑体_GBK" w:hint="eastAsia"/>
          <w:b w:val="0"/>
          <w:szCs w:val="32"/>
        </w:rPr>
      </w:pPr>
      <w:bookmarkStart w:id="0" w:name="_Toc41485800"/>
      <w:bookmarkStart w:id="1" w:name="_Toc41486721"/>
      <w:bookmarkStart w:id="2" w:name="_Toc41490675"/>
      <w:bookmarkStart w:id="3" w:name="_Toc41490865"/>
      <w:bookmarkStart w:id="4" w:name="_Toc41573761"/>
      <w:r>
        <w:rPr>
          <w:rFonts w:ascii="方正黑体_GBK" w:eastAsia="方正黑体_GBK" w:hAnsi="方正黑体_GBK" w:cs="方正黑体_GBK" w:hint="eastAsia"/>
          <w:b w:val="0"/>
          <w:szCs w:val="32"/>
        </w:rPr>
        <w:t>（二）消防安全责任清单</w:t>
      </w:r>
      <w:bookmarkEnd w:id="0"/>
      <w:bookmarkEnd w:id="1"/>
      <w:bookmarkEnd w:id="2"/>
      <w:bookmarkEnd w:id="3"/>
      <w:bookmarkEnd w:id="4"/>
    </w:p>
    <w:tbl>
      <w:tblPr>
        <w:tblW w:w="9118" w:type="dxa"/>
        <w:tblLayout w:type="fixed"/>
        <w:tblLook w:val="0000" w:firstRow="0" w:lastRow="0" w:firstColumn="0" w:lastColumn="0" w:noHBand="0" w:noVBand="0"/>
      </w:tblPr>
      <w:tblGrid>
        <w:gridCol w:w="1375"/>
        <w:gridCol w:w="7743"/>
      </w:tblGrid>
      <w:tr w:rsidR="00ED3655" w:rsidTr="00570CE3">
        <w:trPr>
          <w:trHeight w:val="69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55" w:rsidRDefault="00ED3655" w:rsidP="00570CE3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行业</w:t>
            </w:r>
          </w:p>
          <w:p w:rsidR="00ED3655" w:rsidRDefault="00ED3655" w:rsidP="00570CE3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类别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55" w:rsidRDefault="00ED3655" w:rsidP="00570CE3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责任清单</w:t>
            </w:r>
          </w:p>
        </w:tc>
      </w:tr>
      <w:tr w:rsidR="00ED3655" w:rsidTr="00570CE3">
        <w:trPr>
          <w:trHeight w:val="1005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55" w:rsidRDefault="00ED3655" w:rsidP="00570CE3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文化和旅游企业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>（旅游景区、星级旅游饭店、旅行社、娱乐场所、互联网上网服务营业场所、公共文化服务场所）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明确消防工作归口管理职能部门，各级、各岗位消防安全负责人及其职责；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制定完善消防安全制度、消防安全操作规程、灭火和应急疏散预案</w:t>
            </w:r>
            <w:r>
              <w:rPr>
                <w:rFonts w:eastAsia="仿宋_GB2312" w:hint="eastAsia"/>
                <w:sz w:val="28"/>
                <w:szCs w:val="28"/>
              </w:rPr>
              <w:t>,</w:t>
            </w:r>
            <w:r>
              <w:rPr>
                <w:rFonts w:eastAsia="仿宋_GB2312" w:hint="eastAsia"/>
                <w:sz w:val="28"/>
                <w:szCs w:val="28"/>
              </w:rPr>
              <w:t>并组织应急预案演练；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eastAsia="仿宋_GB2312"/>
                <w:sz w:val="28"/>
                <w:szCs w:val="28"/>
              </w:rPr>
              <w:t>保障消防工作所需资金</w:t>
            </w:r>
            <w:r>
              <w:rPr>
                <w:rFonts w:eastAsia="仿宋_GB2312" w:hint="eastAsia"/>
                <w:sz w:val="28"/>
                <w:szCs w:val="28"/>
              </w:rPr>
              <w:t>和物资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</w:t>
            </w:r>
            <w:r>
              <w:rPr>
                <w:rFonts w:eastAsia="仿宋_GB2312"/>
                <w:sz w:val="28"/>
                <w:szCs w:val="28"/>
              </w:rPr>
              <w:t>定期开展防火检查、巡查，及时消除火灾隐患。每年组织开展消防工作考核，保证各项规章制度落实；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</w:t>
            </w:r>
            <w:r>
              <w:rPr>
                <w:rFonts w:eastAsia="仿宋_GB2312"/>
                <w:sz w:val="28"/>
                <w:szCs w:val="28"/>
              </w:rPr>
              <w:t>按照相关标准配备消防设施、器材，设置消防安全标志，定期检验维修，对建筑消防设施每年至少进行一次全面检测，确保完好有效。保障疏散通道、安全出口、消防车通道畅通；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6.</w:t>
            </w:r>
            <w:r>
              <w:rPr>
                <w:rFonts w:eastAsia="仿宋_GB2312"/>
                <w:sz w:val="28"/>
                <w:szCs w:val="28"/>
              </w:rPr>
              <w:t>建立火灾隐患整改制度，及时消除火灾隐患；对不能当场整改的火灾隐患，明确整改措施、期限以及整改的部门、人员。在隐患未消除之前，落实防范措施或将危险部位停产停业整改；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7.</w:t>
            </w:r>
            <w:r>
              <w:rPr>
                <w:rFonts w:eastAsia="仿宋_GB2312"/>
                <w:sz w:val="28"/>
                <w:szCs w:val="28"/>
              </w:rPr>
              <w:t>对动用明火作业实行严格消防安全管理，落实相应的消防安全措施；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8.</w:t>
            </w:r>
            <w:r>
              <w:rPr>
                <w:rFonts w:eastAsia="仿宋_GB2312"/>
                <w:sz w:val="28"/>
                <w:szCs w:val="28"/>
              </w:rPr>
              <w:t>建立微型消防站、专（兼）职消防队伍，配备相应的消防装备器材，储备足够的灭火救援药剂和物资。开展经常性训练演练和消防安全宣传教育培训；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9.</w:t>
            </w:r>
            <w:r>
              <w:rPr>
                <w:rFonts w:eastAsia="仿宋_GB2312"/>
                <w:sz w:val="28"/>
                <w:szCs w:val="28"/>
              </w:rPr>
              <w:t>发生火灾事故，及时提供单位相关真实情况和资料，全力协助开展火灾扑救、火灾事故调查和处理等工作；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10.</w:t>
            </w:r>
            <w:r>
              <w:rPr>
                <w:rFonts w:eastAsia="仿宋_GB2312"/>
                <w:sz w:val="28"/>
                <w:szCs w:val="28"/>
              </w:rPr>
              <w:t>有两个以上产权单位和使用单位的建筑物，各产权单位、使用单位对消防车通道、涉及公共消防安全的疏散设施和其他建筑消防设施要明确管理责任，可以委托其他单位统一管理；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11.</w:t>
            </w:r>
            <w:r>
              <w:rPr>
                <w:rFonts w:eastAsia="仿宋_GB2312"/>
                <w:sz w:val="28"/>
                <w:szCs w:val="28"/>
              </w:rPr>
              <w:t>实行承包、租赁或者委托经营、管理时，在订立的合同中依照有关规定明确各方的消防安全责任；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.</w:t>
            </w:r>
            <w:r>
              <w:rPr>
                <w:rFonts w:eastAsia="仿宋_GB2312" w:hint="eastAsia"/>
                <w:sz w:val="28"/>
                <w:szCs w:val="28"/>
              </w:rPr>
              <w:t>星级旅游饭店、娱乐场所、互联网上网服务营业场所、公共文化服务场所等特色场所的消防设施设备建设情况需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报消防主管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部门验收合格。</w:t>
            </w:r>
          </w:p>
        </w:tc>
      </w:tr>
    </w:tbl>
    <w:p w:rsidR="00ED3655" w:rsidRDefault="00ED3655" w:rsidP="00ED3655">
      <w:pPr>
        <w:pStyle w:val="a5"/>
        <w:rPr>
          <w:rFonts w:eastAsia="仿宋_GB2312" w:hint="eastAsia"/>
          <w:b w:val="0"/>
          <w:szCs w:val="32"/>
        </w:rPr>
      </w:pPr>
      <w:bookmarkStart w:id="5" w:name="_Toc41485801"/>
      <w:bookmarkStart w:id="6" w:name="_Toc41486722"/>
      <w:bookmarkStart w:id="7" w:name="_Toc41490676"/>
      <w:bookmarkStart w:id="8" w:name="_Toc41490866"/>
      <w:bookmarkStart w:id="9" w:name="_Toc41573762"/>
    </w:p>
    <w:p w:rsidR="00ED3655" w:rsidRDefault="00ED3655" w:rsidP="00ED3655">
      <w:pPr>
        <w:pStyle w:val="a5"/>
        <w:rPr>
          <w:rFonts w:eastAsia="仿宋_GB2312" w:hint="eastAsia"/>
          <w:b w:val="0"/>
          <w:szCs w:val="32"/>
        </w:rPr>
      </w:pPr>
    </w:p>
    <w:p w:rsidR="00ED3655" w:rsidRDefault="00ED3655" w:rsidP="00ED3655">
      <w:pPr>
        <w:pStyle w:val="a5"/>
        <w:rPr>
          <w:rFonts w:eastAsia="仿宋_GB2312"/>
          <w:b w:val="0"/>
          <w:szCs w:val="32"/>
        </w:rPr>
      </w:pPr>
      <w:bookmarkStart w:id="10" w:name="_GoBack"/>
      <w:bookmarkEnd w:id="10"/>
    </w:p>
    <w:p w:rsidR="00ED3655" w:rsidRDefault="00ED3655" w:rsidP="00ED3655">
      <w:pPr>
        <w:pStyle w:val="a5"/>
        <w:rPr>
          <w:rFonts w:ascii="方正黑体_GBK" w:eastAsia="方正黑体_GBK" w:hAnsi="方正黑体_GBK" w:cs="方正黑体_GBK"/>
          <w:b w:val="0"/>
          <w:szCs w:val="32"/>
        </w:rPr>
      </w:pPr>
      <w:r>
        <w:rPr>
          <w:rFonts w:ascii="方正黑体_GBK" w:eastAsia="方正黑体_GBK" w:hAnsi="方正黑体_GBK" w:cs="方正黑体_GBK"/>
          <w:b w:val="0"/>
          <w:szCs w:val="32"/>
        </w:rPr>
        <w:lastRenderedPageBreak/>
        <w:t>（三）特种设备安全责任清单</w:t>
      </w:r>
      <w:bookmarkEnd w:id="5"/>
      <w:bookmarkEnd w:id="6"/>
      <w:bookmarkEnd w:id="7"/>
      <w:bookmarkEnd w:id="8"/>
      <w:bookmarkEnd w:id="9"/>
    </w:p>
    <w:tbl>
      <w:tblPr>
        <w:tblW w:w="8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6394"/>
      </w:tblGrid>
      <w:tr w:rsidR="00ED3655" w:rsidTr="00570CE3">
        <w:trPr>
          <w:trHeight w:val="1228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55" w:rsidRDefault="00ED3655" w:rsidP="00570CE3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行业类别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55" w:rsidRDefault="00ED3655" w:rsidP="00570CE3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责任清单</w:t>
            </w:r>
          </w:p>
        </w:tc>
      </w:tr>
      <w:tr w:rsidR="00ED3655" w:rsidTr="00570CE3">
        <w:trPr>
          <w:trHeight w:val="9459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55" w:rsidRDefault="00ED3655" w:rsidP="00570CE3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>文化和旅游企业（旅游景区、星级旅游饭店、旅行社、娱乐场所、互联网上网服务营业场所、公共文化服务场所）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特种设备使用单位应当使用取得生产许可并经检验合格的特种设备；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禁止使用国家明令淘汰和已经报废的特种设备；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eastAsia="仿宋_GB2312"/>
                <w:sz w:val="28"/>
                <w:szCs w:val="28"/>
              </w:rPr>
              <w:t>严格做到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三落实、两有证、双预防、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一</w:t>
            </w:r>
            <w:proofErr w:type="gramEnd"/>
            <w:r>
              <w:rPr>
                <w:rFonts w:eastAsia="仿宋_GB2312"/>
                <w:sz w:val="28"/>
                <w:szCs w:val="28"/>
              </w:rPr>
              <w:t>检验、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一</w:t>
            </w:r>
            <w:proofErr w:type="gramEnd"/>
            <w:r>
              <w:rPr>
                <w:rFonts w:eastAsia="仿宋_GB2312"/>
                <w:sz w:val="28"/>
                <w:szCs w:val="28"/>
              </w:rPr>
              <w:t>预案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</w:t>
            </w:r>
            <w:r>
              <w:rPr>
                <w:rFonts w:eastAsia="仿宋_GB2312"/>
                <w:sz w:val="28"/>
                <w:szCs w:val="28"/>
              </w:rPr>
              <w:t>按照安全技术规范要求设置安全管理机构、健全安全管理制度；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</w:t>
            </w:r>
            <w:r>
              <w:rPr>
                <w:rFonts w:eastAsia="仿宋_GB2312"/>
                <w:sz w:val="28"/>
                <w:szCs w:val="28"/>
              </w:rPr>
              <w:t>配备安全管理人员和特种设备作业人员，办理使用登记证、特种设备作业人员</w:t>
            </w:r>
            <w:r>
              <w:rPr>
                <w:rFonts w:eastAsia="仿宋_GB2312" w:hint="eastAsia"/>
                <w:sz w:val="28"/>
                <w:szCs w:val="28"/>
              </w:rPr>
              <w:t>操作</w:t>
            </w:r>
            <w:r>
              <w:rPr>
                <w:rFonts w:eastAsia="仿宋_GB2312"/>
                <w:sz w:val="28"/>
                <w:szCs w:val="28"/>
              </w:rPr>
              <w:t>证；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6.</w:t>
            </w:r>
            <w:r>
              <w:rPr>
                <w:rFonts w:eastAsia="仿宋_GB2312"/>
                <w:sz w:val="28"/>
                <w:szCs w:val="28"/>
              </w:rPr>
              <w:t>开展特种设备安全风险辨识管控和隐患排查整治；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7.</w:t>
            </w:r>
            <w:r>
              <w:rPr>
                <w:rFonts w:eastAsia="仿宋_GB2312"/>
                <w:sz w:val="28"/>
                <w:szCs w:val="28"/>
              </w:rPr>
              <w:t>及时申报法定检验；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8.</w:t>
            </w:r>
            <w:r>
              <w:rPr>
                <w:rFonts w:eastAsia="仿宋_GB2312"/>
                <w:sz w:val="28"/>
                <w:szCs w:val="28"/>
              </w:rPr>
              <w:t>制定特种设备事故应急专项预案并组织演练；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>9. ……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</w:tr>
    </w:tbl>
    <w:p w:rsidR="00ED3655" w:rsidRDefault="00ED3655" w:rsidP="00ED3655">
      <w:pPr>
        <w:rPr>
          <w:rFonts w:eastAsia="仿宋_GB2312"/>
          <w:sz w:val="32"/>
          <w:szCs w:val="32"/>
        </w:rPr>
      </w:pPr>
    </w:p>
    <w:p w:rsidR="00ED3655" w:rsidRDefault="00ED3655" w:rsidP="00ED3655">
      <w:pPr>
        <w:rPr>
          <w:rFonts w:eastAsia="仿宋_GB2312" w:hint="eastAsia"/>
          <w:sz w:val="32"/>
          <w:szCs w:val="32"/>
        </w:rPr>
      </w:pPr>
    </w:p>
    <w:p w:rsidR="00ED3655" w:rsidRDefault="00ED3655" w:rsidP="00ED3655">
      <w:pPr>
        <w:rPr>
          <w:rFonts w:eastAsia="仿宋_GB2312" w:hint="eastAsia"/>
          <w:sz w:val="32"/>
          <w:szCs w:val="32"/>
        </w:rPr>
      </w:pPr>
    </w:p>
    <w:p w:rsidR="00ED3655" w:rsidRDefault="00ED3655" w:rsidP="00ED3655">
      <w:pPr>
        <w:rPr>
          <w:rFonts w:eastAsia="仿宋_GB2312" w:hint="eastAsia"/>
          <w:sz w:val="32"/>
          <w:szCs w:val="32"/>
        </w:rPr>
      </w:pPr>
    </w:p>
    <w:p w:rsidR="00ED3655" w:rsidRDefault="00ED3655" w:rsidP="00ED3655">
      <w:pPr>
        <w:rPr>
          <w:rFonts w:eastAsia="仿宋_GB2312"/>
          <w:sz w:val="32"/>
          <w:szCs w:val="32"/>
        </w:rPr>
      </w:pPr>
    </w:p>
    <w:p w:rsidR="00ED3655" w:rsidRDefault="00ED3655" w:rsidP="00ED3655">
      <w:pPr>
        <w:pStyle w:val="a5"/>
        <w:rPr>
          <w:rFonts w:ascii="方正黑体_GBK" w:eastAsia="方正黑体_GBK" w:hAnsi="方正黑体_GBK" w:cs="方正黑体_GBK"/>
          <w:b w:val="0"/>
          <w:szCs w:val="32"/>
        </w:rPr>
      </w:pPr>
      <w:bookmarkStart w:id="11" w:name="_Toc41485802"/>
      <w:bookmarkStart w:id="12" w:name="_Toc41486723"/>
      <w:bookmarkStart w:id="13" w:name="_Toc41490677"/>
      <w:bookmarkStart w:id="14" w:name="_Toc41490867"/>
      <w:bookmarkStart w:id="15" w:name="_Toc41573763"/>
      <w:r>
        <w:rPr>
          <w:rFonts w:ascii="方正黑体_GBK" w:eastAsia="方正黑体_GBK" w:hAnsi="方正黑体_GBK" w:cs="方正黑体_GBK"/>
          <w:b w:val="0"/>
          <w:szCs w:val="32"/>
        </w:rPr>
        <w:t>（四）食品</w:t>
      </w:r>
      <w:r>
        <w:rPr>
          <w:rFonts w:ascii="方正黑体_GBK" w:eastAsia="方正黑体_GBK" w:hAnsi="方正黑体_GBK" w:cs="方正黑体_GBK" w:hint="eastAsia"/>
          <w:b w:val="0"/>
          <w:szCs w:val="32"/>
        </w:rPr>
        <w:t>卫生</w:t>
      </w:r>
      <w:r>
        <w:rPr>
          <w:rFonts w:ascii="方正黑体_GBK" w:eastAsia="方正黑体_GBK" w:hAnsi="方正黑体_GBK" w:cs="方正黑体_GBK"/>
          <w:b w:val="0"/>
          <w:szCs w:val="32"/>
        </w:rPr>
        <w:t>安全责任清单</w:t>
      </w:r>
      <w:bookmarkEnd w:id="11"/>
      <w:bookmarkEnd w:id="12"/>
      <w:bookmarkEnd w:id="13"/>
      <w:bookmarkEnd w:id="14"/>
      <w:bookmarkEnd w:id="15"/>
    </w:p>
    <w:tbl>
      <w:tblPr>
        <w:tblW w:w="8919" w:type="dxa"/>
        <w:tblLayout w:type="fixed"/>
        <w:tblLook w:val="0000" w:firstRow="0" w:lastRow="0" w:firstColumn="0" w:lastColumn="0" w:noHBand="0" w:noVBand="0"/>
      </w:tblPr>
      <w:tblGrid>
        <w:gridCol w:w="1186"/>
        <w:gridCol w:w="7733"/>
      </w:tblGrid>
      <w:tr w:rsidR="00ED3655" w:rsidTr="00570CE3">
        <w:trPr>
          <w:trHeight w:val="73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55" w:rsidRDefault="00ED3655" w:rsidP="00570CE3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行业</w:t>
            </w:r>
          </w:p>
          <w:p w:rsidR="00ED3655" w:rsidRDefault="00ED3655" w:rsidP="00570CE3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类别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55" w:rsidRDefault="00ED3655" w:rsidP="00570CE3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责任清单</w:t>
            </w:r>
          </w:p>
        </w:tc>
      </w:tr>
      <w:tr w:rsidR="00ED3655" w:rsidTr="00570CE3">
        <w:trPr>
          <w:trHeight w:val="1070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文化和旅游企业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>（旅游景区、星级旅游饭店、旅行社、娱乐场所、互联网上网服务营业场所、公共文化服务场所）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餐饮服务提供者应当依法取得《食品经营许可证》，按照许可范围依法经营，并在就餐场所醒目位置悬挂或者摆放</w:t>
            </w:r>
            <w:r>
              <w:rPr>
                <w:rFonts w:eastAsia="仿宋_GB2312" w:hint="eastAsia"/>
                <w:sz w:val="28"/>
                <w:szCs w:val="28"/>
              </w:rPr>
              <w:t>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建立相应的食品安全管理制度，依照法律、法规、规章和食品安全标准组织开展餐饮服务活动：</w:t>
            </w:r>
            <w:r>
              <w:rPr>
                <w:rFonts w:eastAsia="仿宋_GB2312"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sz w:val="28"/>
                <w:szCs w:val="28"/>
              </w:rPr>
              <w:instrText xml:space="preserve"> eq \o\ac(</w:instrText>
            </w:r>
            <w:r>
              <w:rPr>
                <w:rFonts w:eastAsia="仿宋_GB2312"/>
                <w:position w:val="-5"/>
                <w:sz w:val="42"/>
                <w:szCs w:val="28"/>
              </w:rPr>
              <w:instrText>○</w:instrText>
            </w:r>
            <w:r>
              <w:rPr>
                <w:rFonts w:eastAsia="仿宋_GB2312"/>
                <w:sz w:val="28"/>
                <w:szCs w:val="28"/>
              </w:rPr>
              <w:instrText>,1)</w:instrText>
            </w:r>
            <w:r>
              <w:rPr>
                <w:rFonts w:eastAsia="仿宋_GB2312"/>
                <w:sz w:val="28"/>
                <w:szCs w:val="28"/>
              </w:rPr>
              <w:fldChar w:fldCharType="end"/>
            </w:r>
            <w:r>
              <w:rPr>
                <w:rFonts w:eastAsia="仿宋_GB2312"/>
                <w:sz w:val="28"/>
                <w:szCs w:val="28"/>
              </w:rPr>
              <w:t>从业人员（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含临时</w:t>
            </w:r>
            <w:proofErr w:type="gramEnd"/>
            <w:r>
              <w:rPr>
                <w:rFonts w:eastAsia="仿宋_GB2312"/>
                <w:sz w:val="28"/>
                <w:szCs w:val="28"/>
              </w:rPr>
              <w:t>工作人员）应当持有健康合格证明、食品安全培训合格证明；</w:t>
            </w:r>
            <w:r>
              <w:rPr>
                <w:rFonts w:eastAsia="仿宋_GB2312"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sz w:val="28"/>
                <w:szCs w:val="28"/>
              </w:rPr>
              <w:instrText xml:space="preserve"> eq \o\ac(</w:instrText>
            </w:r>
            <w:r>
              <w:rPr>
                <w:rFonts w:eastAsia="仿宋_GB2312"/>
                <w:position w:val="-5"/>
                <w:sz w:val="42"/>
                <w:szCs w:val="28"/>
              </w:rPr>
              <w:instrText>○</w:instrText>
            </w:r>
            <w:r>
              <w:rPr>
                <w:rFonts w:eastAsia="仿宋_GB2312"/>
                <w:sz w:val="28"/>
                <w:szCs w:val="28"/>
              </w:rPr>
              <w:instrText>,2)</w:instrText>
            </w:r>
            <w:r>
              <w:rPr>
                <w:rFonts w:eastAsia="仿宋_GB2312"/>
                <w:sz w:val="28"/>
                <w:szCs w:val="28"/>
              </w:rPr>
              <w:fldChar w:fldCharType="end"/>
            </w:r>
            <w:r>
              <w:rPr>
                <w:rFonts w:eastAsia="仿宋_GB2312"/>
                <w:sz w:val="28"/>
                <w:szCs w:val="28"/>
              </w:rPr>
              <w:t>采购食品及原料时，应当查验供货者的许可证明和产品合格证明，建立食品进货查验记录台账，严格执行索证索票制度；</w:t>
            </w:r>
            <w:r>
              <w:rPr>
                <w:rFonts w:eastAsia="仿宋_GB2312"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sz w:val="28"/>
                <w:szCs w:val="28"/>
              </w:rPr>
              <w:instrText xml:space="preserve"> eq \o\ac(</w:instrText>
            </w:r>
            <w:r>
              <w:rPr>
                <w:rFonts w:eastAsia="仿宋_GB2312"/>
                <w:position w:val="-5"/>
                <w:sz w:val="42"/>
                <w:szCs w:val="28"/>
              </w:rPr>
              <w:instrText>○</w:instrText>
            </w:r>
            <w:r>
              <w:rPr>
                <w:rFonts w:eastAsia="仿宋_GB2312"/>
                <w:sz w:val="28"/>
                <w:szCs w:val="28"/>
              </w:rPr>
              <w:instrText>,3)</w:instrText>
            </w:r>
            <w:r>
              <w:rPr>
                <w:rFonts w:eastAsia="仿宋_GB2312"/>
                <w:sz w:val="28"/>
                <w:szCs w:val="28"/>
              </w:rPr>
              <w:fldChar w:fldCharType="end"/>
            </w:r>
            <w:r>
              <w:rPr>
                <w:rFonts w:eastAsia="仿宋_GB2312"/>
                <w:sz w:val="28"/>
                <w:szCs w:val="28"/>
              </w:rPr>
              <w:t>应当设置食品库房，食品库房应当配置良好的通风、防潮、防鼠、防虫等设施。食品贮存应当分类、分架、隔墙、离地存放，标识明显。应当及时清理变质或超过保质期的食品及原料；</w:t>
            </w:r>
            <w:r>
              <w:rPr>
                <w:rFonts w:eastAsia="仿宋_GB2312"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sz w:val="28"/>
                <w:szCs w:val="28"/>
              </w:rPr>
              <w:instrText xml:space="preserve"> eq \o\ac(</w:instrText>
            </w:r>
            <w:r>
              <w:rPr>
                <w:rFonts w:eastAsia="仿宋_GB2312"/>
                <w:position w:val="-5"/>
                <w:sz w:val="42"/>
                <w:szCs w:val="28"/>
              </w:rPr>
              <w:instrText>○</w:instrText>
            </w:r>
            <w:r>
              <w:rPr>
                <w:rFonts w:eastAsia="仿宋_GB2312"/>
                <w:sz w:val="28"/>
                <w:szCs w:val="28"/>
              </w:rPr>
              <w:instrText>,4)</w:instrText>
            </w:r>
            <w:r>
              <w:rPr>
                <w:rFonts w:eastAsia="仿宋_GB2312"/>
                <w:sz w:val="28"/>
                <w:szCs w:val="28"/>
              </w:rPr>
              <w:fldChar w:fldCharType="end"/>
            </w:r>
            <w:r>
              <w:rPr>
                <w:rFonts w:eastAsia="仿宋_GB2312"/>
                <w:sz w:val="28"/>
                <w:szCs w:val="28"/>
              </w:rPr>
              <w:t>严格凉菜加工、餐饮具清洗消毒、餐厨废弃物处置等关键环节的管理；</w:t>
            </w:r>
            <w:r>
              <w:rPr>
                <w:rFonts w:eastAsia="仿宋_GB2312"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sz w:val="28"/>
                <w:szCs w:val="28"/>
              </w:rPr>
              <w:instrText xml:space="preserve"> eq \o\ac(</w:instrText>
            </w:r>
            <w:r>
              <w:rPr>
                <w:rFonts w:eastAsia="仿宋_GB2312"/>
                <w:position w:val="-5"/>
                <w:sz w:val="42"/>
                <w:szCs w:val="28"/>
              </w:rPr>
              <w:instrText>○</w:instrText>
            </w:r>
            <w:r>
              <w:rPr>
                <w:rFonts w:eastAsia="仿宋_GB2312"/>
                <w:sz w:val="28"/>
                <w:szCs w:val="28"/>
              </w:rPr>
              <w:instrText>,5)</w:instrText>
            </w:r>
            <w:r>
              <w:rPr>
                <w:rFonts w:eastAsia="仿宋_GB2312"/>
                <w:sz w:val="28"/>
                <w:szCs w:val="28"/>
              </w:rPr>
              <w:fldChar w:fldCharType="end"/>
            </w:r>
            <w:r>
              <w:rPr>
                <w:rFonts w:eastAsia="仿宋_GB2312"/>
                <w:sz w:val="28"/>
                <w:szCs w:val="28"/>
              </w:rPr>
              <w:t>冷藏冷冻设施设备数量应当能满足经营需要且运转正常；</w:t>
            </w:r>
            <w:r>
              <w:rPr>
                <w:rFonts w:eastAsia="仿宋_GB2312"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sz w:val="28"/>
                <w:szCs w:val="28"/>
              </w:rPr>
              <w:instrText xml:space="preserve"> eq \o\ac(</w:instrText>
            </w:r>
            <w:r>
              <w:rPr>
                <w:rFonts w:eastAsia="仿宋_GB2312"/>
                <w:position w:val="-5"/>
                <w:sz w:val="42"/>
                <w:szCs w:val="28"/>
              </w:rPr>
              <w:instrText>○</w:instrText>
            </w:r>
            <w:r>
              <w:rPr>
                <w:rFonts w:eastAsia="仿宋_GB2312"/>
                <w:sz w:val="28"/>
                <w:szCs w:val="28"/>
              </w:rPr>
              <w:instrText>,6)</w:instrText>
            </w:r>
            <w:r>
              <w:rPr>
                <w:rFonts w:eastAsia="仿宋_GB2312"/>
                <w:sz w:val="28"/>
                <w:szCs w:val="28"/>
              </w:rPr>
              <w:fldChar w:fldCharType="end"/>
            </w:r>
            <w:r>
              <w:rPr>
                <w:rFonts w:eastAsia="仿宋_GB2312"/>
                <w:sz w:val="28"/>
                <w:szCs w:val="28"/>
              </w:rPr>
              <w:t>应当有完善的供水设施以保证加工需要，水质应当符合</w:t>
            </w:r>
            <w:r>
              <w:rPr>
                <w:rFonts w:eastAsia="仿宋_GB2312"/>
                <w:sz w:val="28"/>
                <w:szCs w:val="28"/>
              </w:rPr>
              <w:t>GB5749</w:t>
            </w:r>
            <w:r>
              <w:rPr>
                <w:rFonts w:eastAsia="仿宋_GB2312"/>
                <w:sz w:val="28"/>
                <w:szCs w:val="28"/>
              </w:rPr>
              <w:t>《生活饮用水卫生标准》；</w:t>
            </w:r>
            <w:r>
              <w:rPr>
                <w:rFonts w:eastAsia="仿宋_GB2312"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sz w:val="28"/>
                <w:szCs w:val="28"/>
              </w:rPr>
              <w:instrText xml:space="preserve"> eq \o\ac(</w:instrText>
            </w:r>
            <w:r>
              <w:rPr>
                <w:rFonts w:eastAsia="仿宋_GB2312"/>
                <w:position w:val="-5"/>
                <w:sz w:val="42"/>
                <w:szCs w:val="28"/>
              </w:rPr>
              <w:instrText>○</w:instrText>
            </w:r>
            <w:r>
              <w:rPr>
                <w:rFonts w:eastAsia="仿宋_GB2312"/>
                <w:sz w:val="28"/>
                <w:szCs w:val="28"/>
              </w:rPr>
              <w:instrText>,7)</w:instrText>
            </w:r>
            <w:r>
              <w:rPr>
                <w:rFonts w:eastAsia="仿宋_GB2312"/>
                <w:sz w:val="28"/>
                <w:szCs w:val="28"/>
              </w:rPr>
              <w:fldChar w:fldCharType="end"/>
            </w:r>
            <w:r>
              <w:rPr>
                <w:rFonts w:eastAsia="仿宋_GB2312"/>
                <w:sz w:val="28"/>
                <w:szCs w:val="28"/>
              </w:rPr>
              <w:t>餐用具数量、清洗消毒设施设备的大小和数量应当能满足经营需要，不得使用未经清洗和消毒的餐用具，不得重复使用一次性餐饮具；</w:t>
            </w:r>
            <w:r>
              <w:rPr>
                <w:rFonts w:eastAsia="仿宋_GB2312"/>
                <w:sz w:val="28"/>
                <w:szCs w:val="28"/>
              </w:rPr>
              <w:fldChar w:fldCharType="begin"/>
            </w:r>
            <w:r>
              <w:rPr>
                <w:rFonts w:eastAsia="仿宋_GB2312"/>
                <w:sz w:val="28"/>
                <w:szCs w:val="28"/>
              </w:rPr>
              <w:instrText xml:space="preserve"> eq \o\ac(</w:instrText>
            </w:r>
            <w:r>
              <w:rPr>
                <w:rFonts w:eastAsia="仿宋_GB2312"/>
                <w:position w:val="-5"/>
                <w:sz w:val="42"/>
                <w:szCs w:val="28"/>
              </w:rPr>
              <w:instrText>○</w:instrText>
            </w:r>
            <w:r>
              <w:rPr>
                <w:rFonts w:eastAsia="仿宋_GB2312"/>
                <w:sz w:val="28"/>
                <w:szCs w:val="28"/>
              </w:rPr>
              <w:instrText>,8)</w:instrText>
            </w:r>
            <w:r>
              <w:rPr>
                <w:rFonts w:eastAsia="仿宋_GB2312"/>
                <w:sz w:val="28"/>
                <w:szCs w:val="28"/>
              </w:rPr>
              <w:fldChar w:fldCharType="end"/>
            </w:r>
            <w:r>
              <w:rPr>
                <w:rFonts w:eastAsia="仿宋_GB2312"/>
                <w:sz w:val="28"/>
                <w:szCs w:val="28"/>
              </w:rPr>
              <w:t>不得</w:t>
            </w:r>
            <w:r>
              <w:rPr>
                <w:rFonts w:eastAsia="仿宋_GB2312" w:hint="eastAsia"/>
                <w:sz w:val="28"/>
                <w:szCs w:val="28"/>
              </w:rPr>
              <w:t>售卖</w:t>
            </w:r>
            <w:r>
              <w:rPr>
                <w:rFonts w:eastAsia="仿宋_GB2312"/>
                <w:sz w:val="28"/>
                <w:szCs w:val="28"/>
              </w:rPr>
              <w:t>存在安全隐患的野菜、野果、野蕈和国家保护的野生动植物</w:t>
            </w:r>
            <w:r>
              <w:rPr>
                <w:rFonts w:eastAsia="仿宋_GB2312" w:hint="eastAsia"/>
                <w:sz w:val="28"/>
                <w:szCs w:val="28"/>
              </w:rPr>
              <w:t>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4.</w:t>
            </w:r>
            <w:r>
              <w:rPr>
                <w:rFonts w:eastAsia="仿宋_GB2312"/>
                <w:sz w:val="28"/>
                <w:szCs w:val="28"/>
              </w:rPr>
              <w:t>配备食品安全管理人员，负责餐饮服务食品安全管理，食品安全管理人员应当接受食品安全知识培训</w:t>
            </w:r>
            <w:r>
              <w:rPr>
                <w:rFonts w:eastAsia="仿宋_GB2312" w:hint="eastAsia"/>
                <w:sz w:val="28"/>
                <w:szCs w:val="28"/>
              </w:rPr>
              <w:t>；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5.</w:t>
            </w:r>
            <w:r>
              <w:rPr>
                <w:rFonts w:eastAsia="仿宋_GB2312"/>
                <w:sz w:val="28"/>
                <w:szCs w:val="28"/>
              </w:rPr>
              <w:t>定期开展食品安全检查，督促餐饮服务提供者加强食品安全管理，消除食品安全隐患。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6.</w:t>
            </w:r>
            <w:r>
              <w:rPr>
                <w:rFonts w:eastAsia="仿宋_GB2312"/>
                <w:sz w:val="28"/>
                <w:szCs w:val="28"/>
              </w:rPr>
              <w:t>重视食品安全法律法规和知识宣传，设立食品安全知识宣传栏和景区内餐饮服务提供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者食品</w:t>
            </w:r>
            <w:proofErr w:type="gramEnd"/>
            <w:r>
              <w:rPr>
                <w:rFonts w:eastAsia="仿宋_GB2312"/>
                <w:sz w:val="28"/>
                <w:szCs w:val="28"/>
              </w:rPr>
              <w:t>安全信息公示牌，公布举报投诉电话，受理</w:t>
            </w:r>
            <w:r>
              <w:rPr>
                <w:rFonts w:eastAsia="仿宋_GB2312" w:hint="eastAsia"/>
                <w:sz w:val="28"/>
                <w:szCs w:val="28"/>
              </w:rPr>
              <w:t>顾</w:t>
            </w:r>
            <w:r>
              <w:rPr>
                <w:rFonts w:eastAsia="仿宋_GB2312"/>
                <w:sz w:val="28"/>
                <w:szCs w:val="28"/>
              </w:rPr>
              <w:t>客食品安全举报投诉。</w:t>
            </w:r>
          </w:p>
          <w:p w:rsidR="00ED3655" w:rsidRDefault="00ED3655" w:rsidP="00570CE3">
            <w:pPr>
              <w:adjustRightInd w:val="0"/>
              <w:snapToGrid w:val="0"/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制定食品安全事故处置预案，组织开展应急演练。</w:t>
            </w:r>
          </w:p>
        </w:tc>
      </w:tr>
    </w:tbl>
    <w:p w:rsidR="00ED3655" w:rsidRDefault="00ED3655" w:rsidP="00ED3655">
      <w:pPr>
        <w:pStyle w:val="a6"/>
        <w:rPr>
          <w:rFonts w:ascii="方正小标宋_GBK" w:eastAsia="方正小标宋_GBK" w:hAnsi="方正小标宋_GBK" w:cs="方正小标宋_GBK" w:hint="eastAsia"/>
          <w:b w:val="0"/>
          <w:sz w:val="40"/>
          <w:szCs w:val="40"/>
        </w:rPr>
      </w:pPr>
    </w:p>
    <w:p w:rsidR="00770EC1" w:rsidRPr="00ED3655" w:rsidRDefault="00FC3C53"/>
    <w:sectPr w:rsidR="00770EC1" w:rsidRPr="00ED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53" w:rsidRDefault="00FC3C53" w:rsidP="00ED3655">
      <w:r>
        <w:separator/>
      </w:r>
    </w:p>
  </w:endnote>
  <w:endnote w:type="continuationSeparator" w:id="0">
    <w:p w:rsidR="00FC3C53" w:rsidRDefault="00FC3C53" w:rsidP="00ED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53" w:rsidRDefault="00FC3C53" w:rsidP="00ED3655">
      <w:r>
        <w:separator/>
      </w:r>
    </w:p>
  </w:footnote>
  <w:footnote w:type="continuationSeparator" w:id="0">
    <w:p w:rsidR="00FC3C53" w:rsidRDefault="00FC3C53" w:rsidP="00ED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8F"/>
    <w:rsid w:val="0008708F"/>
    <w:rsid w:val="005B3266"/>
    <w:rsid w:val="00ED3655"/>
    <w:rsid w:val="00F13F33"/>
    <w:rsid w:val="00FC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36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6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655"/>
    <w:rPr>
      <w:sz w:val="18"/>
      <w:szCs w:val="18"/>
    </w:rPr>
  </w:style>
  <w:style w:type="paragraph" w:customStyle="1" w:styleId="a5">
    <w:name w:val="标题二"/>
    <w:basedOn w:val="2"/>
    <w:rsid w:val="00ED3655"/>
    <w:pPr>
      <w:keepNext w:val="0"/>
      <w:keepLines w:val="0"/>
      <w:spacing w:before="0" w:after="0" w:line="240" w:lineRule="auto"/>
      <w:jc w:val="center"/>
    </w:pPr>
    <w:rPr>
      <w:rFonts w:ascii="Times New Roman" w:eastAsia="黑体" w:hAnsi="Times New Roman" w:cs="Times New Roman"/>
      <w:bCs w:val="0"/>
      <w:szCs w:val="24"/>
    </w:rPr>
  </w:style>
  <w:style w:type="paragraph" w:customStyle="1" w:styleId="a6">
    <w:name w:val="标题一"/>
    <w:basedOn w:val="a"/>
    <w:rsid w:val="00ED3655"/>
    <w:pPr>
      <w:jc w:val="center"/>
    </w:pPr>
    <w:rPr>
      <w:rFonts w:eastAsia="方正小标宋简体"/>
      <w:b/>
      <w:sz w:val="44"/>
    </w:rPr>
  </w:style>
  <w:style w:type="character" w:customStyle="1" w:styleId="2Char">
    <w:name w:val="标题 2 Char"/>
    <w:basedOn w:val="a0"/>
    <w:link w:val="2"/>
    <w:uiPriority w:val="9"/>
    <w:semiHidden/>
    <w:rsid w:val="00ED365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36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6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655"/>
    <w:rPr>
      <w:sz w:val="18"/>
      <w:szCs w:val="18"/>
    </w:rPr>
  </w:style>
  <w:style w:type="paragraph" w:customStyle="1" w:styleId="a5">
    <w:name w:val="标题二"/>
    <w:basedOn w:val="2"/>
    <w:rsid w:val="00ED3655"/>
    <w:pPr>
      <w:keepNext w:val="0"/>
      <w:keepLines w:val="0"/>
      <w:spacing w:before="0" w:after="0" w:line="240" w:lineRule="auto"/>
      <w:jc w:val="center"/>
    </w:pPr>
    <w:rPr>
      <w:rFonts w:ascii="Times New Roman" w:eastAsia="黑体" w:hAnsi="Times New Roman" w:cs="Times New Roman"/>
      <w:bCs w:val="0"/>
      <w:szCs w:val="24"/>
    </w:rPr>
  </w:style>
  <w:style w:type="paragraph" w:customStyle="1" w:styleId="a6">
    <w:name w:val="标题一"/>
    <w:basedOn w:val="a"/>
    <w:rsid w:val="00ED3655"/>
    <w:pPr>
      <w:jc w:val="center"/>
    </w:pPr>
    <w:rPr>
      <w:rFonts w:eastAsia="方正小标宋简体"/>
      <w:b/>
      <w:sz w:val="44"/>
    </w:rPr>
  </w:style>
  <w:style w:type="character" w:customStyle="1" w:styleId="2Char">
    <w:name w:val="标题 2 Char"/>
    <w:basedOn w:val="a0"/>
    <w:link w:val="2"/>
    <w:uiPriority w:val="9"/>
    <w:semiHidden/>
    <w:rsid w:val="00ED365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282</Words>
  <Characters>1613</Characters>
  <Application>Microsoft Office Word</Application>
  <DocSecurity>0</DocSecurity>
  <Lines>13</Lines>
  <Paragraphs>3</Paragraphs>
  <ScaleCrop>false</ScaleCrop>
  <Company>china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2024-05-23T08:17:00Z</dcterms:created>
  <dcterms:modified xsi:type="dcterms:W3CDTF">2024-05-23T08:21:00Z</dcterms:modified>
</cp:coreProperties>
</file>