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bCs w:val="0"/>
          <w:color w:val="auto"/>
          <w:sz w:val="36"/>
          <w:szCs w:val="36"/>
          <w:highlight w:val="none"/>
          <w:lang w:val="en-US" w:eastAsia="zh-CN"/>
        </w:rPr>
      </w:pPr>
      <w:r>
        <w:rPr>
          <w:rFonts w:hint="eastAsia" w:ascii="Times New Roman" w:hAnsi="Times New Roman" w:eastAsia="方正小标宋_GBK" w:cs="Times New Roman"/>
          <w:b/>
          <w:bCs w:val="0"/>
          <w:color w:val="auto"/>
          <w:sz w:val="36"/>
          <w:szCs w:val="36"/>
          <w:highlight w:val="none"/>
          <w:lang w:val="en-US" w:eastAsia="zh-CN"/>
        </w:rPr>
        <w:t>聚航通达建设工程有限公司</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小标宋_GBK" w:cs="Times New Roman"/>
          <w:b/>
          <w:bCs w:val="0"/>
          <w:color w:val="auto"/>
          <w:sz w:val="36"/>
          <w:szCs w:val="36"/>
          <w:highlight w:val="none"/>
          <w:lang w:val="en-US" w:eastAsia="zh-CN"/>
        </w:rPr>
      </w:pPr>
      <w:r>
        <w:rPr>
          <w:rFonts w:hint="default" w:ascii="Times New Roman" w:hAnsi="Times New Roman" w:eastAsia="方正小标宋_GBK" w:cs="Times New Roman"/>
          <w:b/>
          <w:bCs w:val="0"/>
          <w:color w:val="auto"/>
          <w:sz w:val="36"/>
          <w:szCs w:val="36"/>
          <w:highlight w:val="none"/>
          <w:lang w:val="en-US" w:eastAsia="zh-CN"/>
        </w:rPr>
        <w:t>重大事故隐患</w:t>
      </w:r>
      <w:r>
        <w:rPr>
          <w:rFonts w:hint="eastAsia" w:ascii="Times New Roman" w:hAnsi="Times New Roman" w:eastAsia="方正小标宋_GBK" w:cs="Times New Roman"/>
          <w:b/>
          <w:bCs w:val="0"/>
          <w:color w:val="auto"/>
          <w:sz w:val="36"/>
          <w:szCs w:val="36"/>
          <w:highlight w:val="none"/>
          <w:lang w:val="en-US" w:eastAsia="zh-CN"/>
        </w:rPr>
        <w:t>检查事项清单</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方正仿宋_GBK" w:cs="Times New Roman"/>
          <w:b/>
          <w:bCs/>
          <w:color w:val="auto"/>
          <w:kern w:val="2"/>
          <w:sz w:val="24"/>
          <w:szCs w:val="21"/>
          <w:highlight w:val="none"/>
          <w:lang w:val="en-US" w:eastAsia="zh-CN" w:bidi="ar-SA"/>
        </w:rPr>
      </w:pPr>
      <w:r>
        <w:rPr>
          <w:rFonts w:hint="eastAsia" w:ascii="Times New Roman" w:hAnsi="Times New Roman" w:eastAsia="方正仿宋_GBK" w:cs="Times New Roman"/>
          <w:b/>
          <w:bCs/>
          <w:color w:val="auto"/>
          <w:kern w:val="2"/>
          <w:sz w:val="24"/>
          <w:szCs w:val="21"/>
          <w:highlight w:val="none"/>
          <w:lang w:val="en-US" w:eastAsia="zh-CN" w:bidi="ar-SA"/>
        </w:rPr>
        <w:t>项目名称：                               检查时间：</w:t>
      </w:r>
    </w:p>
    <w:tbl>
      <w:tblPr>
        <w:tblStyle w:val="5"/>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02"/>
        <w:gridCol w:w="58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739" w:type="dxa"/>
            <w:noWrap w:val="0"/>
            <w:vAlign w:val="center"/>
          </w:tcPr>
          <w:p>
            <w:pPr>
              <w:spacing w:line="320" w:lineRule="exact"/>
              <w:jc w:val="center"/>
              <w:rPr>
                <w:rFonts w:hint="eastAsia" w:ascii="方正黑体_GBK" w:eastAsia="方正黑体_GBK"/>
                <w:b/>
                <w:color w:val="auto"/>
                <w:sz w:val="24"/>
                <w:highlight w:val="none"/>
              </w:rPr>
            </w:pPr>
            <w:r>
              <w:rPr>
                <w:rFonts w:hint="eastAsia" w:ascii="方正黑体_GBK" w:eastAsia="方正黑体_GBK"/>
                <w:b/>
                <w:color w:val="auto"/>
                <w:sz w:val="24"/>
                <w:highlight w:val="none"/>
              </w:rPr>
              <w:t>序号</w:t>
            </w:r>
          </w:p>
        </w:tc>
        <w:tc>
          <w:tcPr>
            <w:tcW w:w="7062" w:type="dxa"/>
            <w:gridSpan w:val="2"/>
            <w:noWrap w:val="0"/>
            <w:vAlign w:val="center"/>
          </w:tcPr>
          <w:p>
            <w:pPr>
              <w:spacing w:line="320" w:lineRule="exact"/>
              <w:jc w:val="center"/>
              <w:rPr>
                <w:rFonts w:hint="eastAsia" w:ascii="方正黑体_GBK" w:eastAsia="方正黑体_GBK" w:cs="Times New Roman"/>
                <w:b/>
                <w:color w:val="auto"/>
                <w:sz w:val="24"/>
                <w:highlight w:val="none"/>
                <w:lang w:val="en-US" w:eastAsia="zh-CN"/>
              </w:rPr>
            </w:pPr>
            <w:r>
              <w:rPr>
                <w:rFonts w:hint="eastAsia" w:ascii="方正黑体_GBK" w:eastAsia="方正黑体_GBK" w:cs="Times New Roman"/>
                <w:b/>
                <w:color w:val="auto"/>
                <w:sz w:val="24"/>
                <w:highlight w:val="none"/>
                <w:lang w:val="en-US" w:eastAsia="zh-CN"/>
              </w:rPr>
              <w:t>事项清单</w:t>
            </w:r>
          </w:p>
        </w:tc>
        <w:tc>
          <w:tcPr>
            <w:tcW w:w="1650" w:type="dxa"/>
            <w:noWrap w:val="0"/>
            <w:vAlign w:val="center"/>
          </w:tcPr>
          <w:p>
            <w:pPr>
              <w:spacing w:line="320" w:lineRule="exact"/>
              <w:jc w:val="center"/>
              <w:rPr>
                <w:rFonts w:hint="eastAsia" w:ascii="方正黑体_GBK" w:eastAsia="方正黑体_GBK"/>
                <w:b/>
                <w:color w:val="auto"/>
                <w:sz w:val="24"/>
                <w:highlight w:val="none"/>
              </w:rPr>
            </w:pPr>
            <w:r>
              <w:rPr>
                <w:rFonts w:hint="eastAsia" w:ascii="方正黑体_GBK" w:eastAsia="方正黑体_GBK"/>
                <w:b/>
                <w:color w:val="auto"/>
                <w:sz w:val="24"/>
                <w:highlight w:val="none"/>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9" w:type="dxa"/>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1</w:t>
            </w:r>
          </w:p>
        </w:tc>
        <w:tc>
          <w:tcPr>
            <w:tcW w:w="727" w:type="dxa"/>
            <w:vMerge w:val="restart"/>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 w:eastAsia="zh-CN"/>
              </w:rPr>
            </w:pPr>
            <w:r>
              <w:rPr>
                <w:rFonts w:hint="default" w:ascii="Times New Roman" w:hAnsi="Times New Roman" w:eastAsia="方正仿宋_GBK" w:cs="Times New Roman"/>
                <w:b/>
                <w:bCs/>
                <w:color w:val="auto"/>
                <w:sz w:val="21"/>
                <w:szCs w:val="21"/>
                <w:highlight w:val="none"/>
                <w:lang w:val="en-US" w:eastAsia="zh-CN"/>
              </w:rPr>
              <w:t>施工安全管理</w:t>
            </w:r>
          </w:p>
        </w:tc>
        <w:tc>
          <w:tcPr>
            <w:tcW w:w="6335" w:type="dxa"/>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建筑施工企业未取得安全生产许可证擅自从事建筑施工活动</w:t>
            </w:r>
            <w:r>
              <w:rPr>
                <w:rFonts w:hint="eastAsia" w:ascii="Times New Roman" w:hAnsi="Times New Roman" w:eastAsia="方正仿宋_GBK" w:cs="Times New Roman"/>
                <w:b/>
                <w:bCs/>
                <w:color w:val="auto"/>
                <w:sz w:val="21"/>
                <w:szCs w:val="21"/>
                <w:highlight w:val="none"/>
                <w:lang w:val="en-US" w:eastAsia="zh-CN"/>
              </w:rPr>
              <w:t>。</w:t>
            </w:r>
          </w:p>
        </w:tc>
        <w:tc>
          <w:tcPr>
            <w:tcW w:w="1650" w:type="dxa"/>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9" w:type="dxa"/>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2</w:t>
            </w:r>
          </w:p>
        </w:tc>
        <w:tc>
          <w:tcPr>
            <w:tcW w:w="727" w:type="dxa"/>
            <w:vMerge w:val="continue"/>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US" w:eastAsia="zh-CN"/>
              </w:rPr>
            </w:pPr>
          </w:p>
        </w:tc>
        <w:tc>
          <w:tcPr>
            <w:tcW w:w="6335" w:type="dxa"/>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施工单位的主要负责人、项目负责人、专职安全生产管理人员未取得安全生产考核合格证书从事相关工作</w:t>
            </w:r>
            <w:r>
              <w:rPr>
                <w:rFonts w:hint="eastAsia" w:ascii="Times New Roman" w:hAnsi="Times New Roman" w:eastAsia="方正仿宋_GBK" w:cs="Times New Roman"/>
                <w:b/>
                <w:bCs/>
                <w:color w:val="auto"/>
                <w:sz w:val="21"/>
                <w:szCs w:val="21"/>
                <w:highlight w:val="none"/>
                <w:lang w:val="en-US" w:eastAsia="zh-CN"/>
              </w:rPr>
              <w:t>。</w:t>
            </w:r>
          </w:p>
        </w:tc>
        <w:tc>
          <w:tcPr>
            <w:tcW w:w="1650" w:type="dxa"/>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9" w:type="dxa"/>
            <w:tcBorders>
              <w:bottom w:val="single" w:color="auto" w:sz="4" w:space="0"/>
            </w:tcBorders>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3</w:t>
            </w:r>
          </w:p>
        </w:tc>
        <w:tc>
          <w:tcPr>
            <w:tcW w:w="727" w:type="dxa"/>
            <w:vMerge w:val="continue"/>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US" w:eastAsia="zh-CN"/>
              </w:rPr>
            </w:pPr>
          </w:p>
        </w:tc>
        <w:tc>
          <w:tcPr>
            <w:tcW w:w="6335" w:type="dxa"/>
            <w:tcBorders>
              <w:bottom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建筑施工特种作业人员未取得特种作业人员操作资格证书上岗作业</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bottom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9" w:type="dxa"/>
            <w:tcBorders>
              <w:top w:val="single" w:color="auto" w:sz="4" w:space="0"/>
            </w:tcBorders>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4</w:t>
            </w:r>
          </w:p>
        </w:tc>
        <w:tc>
          <w:tcPr>
            <w:tcW w:w="727" w:type="dxa"/>
            <w:vMerge w:val="continue"/>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危险性较大的分部分项工程未编制、未审核专项施工方案，或未按规定组织专家对“超过一定规模的危险性较大的分部分项工程范围”的专项施工方案进行论证。</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9" w:type="dxa"/>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5</w:t>
            </w:r>
          </w:p>
        </w:tc>
        <w:tc>
          <w:tcPr>
            <w:tcW w:w="727" w:type="dxa"/>
            <w:vMerge w:val="restart"/>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基坑工程</w:t>
            </w:r>
          </w:p>
        </w:tc>
        <w:tc>
          <w:tcPr>
            <w:tcW w:w="6335" w:type="dxa"/>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对因基坑工程施工可能造成损害的毗邻重要建筑物、构筑物和地下管线等</w:t>
            </w:r>
            <w:r>
              <w:rPr>
                <w:rFonts w:hint="eastAsia" w:ascii="Times New Roman" w:hAnsi="Times New Roman" w:eastAsia="方正仿宋_GBK" w:cs="Times New Roman"/>
                <w:b/>
                <w:bCs/>
                <w:color w:val="auto"/>
                <w:sz w:val="21"/>
                <w:szCs w:val="21"/>
                <w:highlight w:val="none"/>
                <w:lang w:val="en-US" w:eastAsia="zh-CN"/>
              </w:rPr>
              <w:t>，</w:t>
            </w:r>
            <w:r>
              <w:rPr>
                <w:rFonts w:hint="default" w:ascii="Times New Roman" w:hAnsi="Times New Roman" w:eastAsia="方正仿宋_GBK" w:cs="Times New Roman"/>
                <w:b/>
                <w:bCs/>
                <w:color w:val="auto"/>
                <w:sz w:val="21"/>
                <w:szCs w:val="21"/>
                <w:highlight w:val="none"/>
                <w:lang w:val="en-US" w:eastAsia="zh-CN"/>
              </w:rPr>
              <w:t>未采取专项防护措施</w:t>
            </w:r>
            <w:r>
              <w:rPr>
                <w:rFonts w:hint="eastAsia" w:ascii="Times New Roman" w:hAnsi="Times New Roman" w:eastAsia="方正仿宋_GBK" w:cs="Times New Roman"/>
                <w:b/>
                <w:bCs/>
                <w:color w:val="auto"/>
                <w:sz w:val="21"/>
                <w:szCs w:val="21"/>
                <w:highlight w:val="none"/>
                <w:lang w:val="en-US" w:eastAsia="zh-CN"/>
              </w:rPr>
              <w:t>。</w:t>
            </w:r>
          </w:p>
        </w:tc>
        <w:tc>
          <w:tcPr>
            <w:tcW w:w="1650" w:type="dxa"/>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9" w:type="dxa"/>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6</w:t>
            </w:r>
          </w:p>
        </w:tc>
        <w:tc>
          <w:tcPr>
            <w:tcW w:w="727" w:type="dxa"/>
            <w:vMerge w:val="continue"/>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US" w:eastAsia="zh-CN"/>
              </w:rPr>
            </w:pPr>
          </w:p>
        </w:tc>
        <w:tc>
          <w:tcPr>
            <w:tcW w:w="6335" w:type="dxa"/>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基坑土方超挖且未采取有效措施</w:t>
            </w:r>
            <w:r>
              <w:rPr>
                <w:rFonts w:hint="eastAsia" w:ascii="Times New Roman" w:hAnsi="Times New Roman" w:eastAsia="方正仿宋_GBK" w:cs="Times New Roman"/>
                <w:b/>
                <w:bCs/>
                <w:color w:val="auto"/>
                <w:sz w:val="21"/>
                <w:szCs w:val="21"/>
                <w:highlight w:val="none"/>
                <w:lang w:val="en-US" w:eastAsia="zh-CN"/>
              </w:rPr>
              <w:t>。</w:t>
            </w:r>
          </w:p>
        </w:tc>
        <w:tc>
          <w:tcPr>
            <w:tcW w:w="1650" w:type="dxa"/>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9" w:type="dxa"/>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7</w:t>
            </w:r>
          </w:p>
        </w:tc>
        <w:tc>
          <w:tcPr>
            <w:tcW w:w="727" w:type="dxa"/>
            <w:vMerge w:val="continue"/>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US" w:eastAsia="zh-CN"/>
              </w:rPr>
            </w:pPr>
          </w:p>
        </w:tc>
        <w:tc>
          <w:tcPr>
            <w:tcW w:w="6335" w:type="dxa"/>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深基坑施工未进行第三方监测</w:t>
            </w:r>
            <w:r>
              <w:rPr>
                <w:rFonts w:hint="eastAsia" w:ascii="Times New Roman" w:hAnsi="Times New Roman" w:eastAsia="方正仿宋_GBK" w:cs="Times New Roman"/>
                <w:b/>
                <w:bCs/>
                <w:color w:val="auto"/>
                <w:sz w:val="21"/>
                <w:szCs w:val="21"/>
                <w:highlight w:val="none"/>
                <w:lang w:val="en-US" w:eastAsia="zh-CN"/>
              </w:rPr>
              <w:t>。</w:t>
            </w:r>
          </w:p>
        </w:tc>
        <w:tc>
          <w:tcPr>
            <w:tcW w:w="1650" w:type="dxa"/>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9" w:type="dxa"/>
            <w:tcBorders>
              <w:bottom w:val="single" w:color="auto" w:sz="4" w:space="0"/>
            </w:tcBorders>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8</w:t>
            </w:r>
          </w:p>
        </w:tc>
        <w:tc>
          <w:tcPr>
            <w:tcW w:w="727" w:type="dxa"/>
            <w:vMerge w:val="continue"/>
            <w:tcBorders>
              <w:bottom w:val="single" w:color="auto" w:sz="4" w:space="0"/>
            </w:tcBorders>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US" w:eastAsia="zh-CN"/>
              </w:rPr>
            </w:pPr>
          </w:p>
        </w:tc>
        <w:tc>
          <w:tcPr>
            <w:tcW w:w="6335" w:type="dxa"/>
            <w:tcBorders>
              <w:bottom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有下列基坑坍塌风险预兆之一，且未及时处理：</w:t>
            </w:r>
          </w:p>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1.支护结构或周边建筑物变形值超过设计变形控制值；2.基坑侧壁出现大量漏水、流土；3.基坑底部出现管涌；4.桩间土流失孔洞深度超过桩径。</w:t>
            </w:r>
          </w:p>
        </w:tc>
        <w:tc>
          <w:tcPr>
            <w:tcW w:w="1650" w:type="dxa"/>
            <w:tcBorders>
              <w:bottom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39" w:type="dxa"/>
            <w:tcBorders>
              <w:top w:val="single" w:color="auto" w:sz="4" w:space="0"/>
              <w:bottom w:val="single" w:color="auto" w:sz="4" w:space="0"/>
            </w:tcBorders>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9</w:t>
            </w:r>
          </w:p>
        </w:tc>
        <w:tc>
          <w:tcPr>
            <w:tcW w:w="727" w:type="dxa"/>
            <w:vMerge w:val="restart"/>
            <w:tcBorders>
              <w:top w:val="single" w:color="auto" w:sz="4" w:space="0"/>
            </w:tcBorders>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模板工程</w:t>
            </w:r>
          </w:p>
        </w:tc>
        <w:tc>
          <w:tcPr>
            <w:tcW w:w="6335" w:type="dxa"/>
            <w:tcBorders>
              <w:top w:val="single" w:color="auto" w:sz="4" w:space="0"/>
              <w:bottom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模板工程的地基基础承载力和变形不满足设计要求</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bottom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10</w:t>
            </w:r>
          </w:p>
        </w:tc>
        <w:tc>
          <w:tcPr>
            <w:tcW w:w="727" w:type="dxa"/>
            <w:vMerge w:val="continue"/>
            <w:noWrap w:val="0"/>
            <w:vAlign w:val="center"/>
          </w:tcPr>
          <w:p>
            <w:pPr>
              <w:spacing w:line="320" w:lineRule="exact"/>
              <w:jc w:val="center"/>
              <w:rPr>
                <w:rFonts w:hint="eastAsia"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模板支架承受的施工荷载超过设计值</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11</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模板支架拆除及滑模、爬模爬升时，混凝土强度未达到设计或规范要求</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12</w:t>
            </w:r>
          </w:p>
        </w:tc>
        <w:tc>
          <w:tcPr>
            <w:tcW w:w="727" w:type="dxa"/>
            <w:vMerge w:val="restart"/>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脚手架工程</w:t>
            </w: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脚手架工程的地基基础承载力和变形不满足设计要求</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13</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未设置连墙件或连墙件整层缺失</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14</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附着式升降脚手架未经验收合格即投入使用</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15</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附着式升降脚手架的防倾覆、防坠落或同步升降控制装置不符合设计要求、失效、被人为拆除破坏</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16</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附着式升降脚手架使用过程中架体悬臂高度大于架体高度的2/5或大于6米</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17</w:t>
            </w:r>
          </w:p>
        </w:tc>
        <w:tc>
          <w:tcPr>
            <w:tcW w:w="727" w:type="dxa"/>
            <w:vMerge w:val="restart"/>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bookmarkStart w:id="0" w:name="_GoBack"/>
            <w:bookmarkEnd w:id="0"/>
          </w:p>
          <w:p>
            <w:pPr>
              <w:pStyle w:val="2"/>
              <w:rPr>
                <w:rFonts w:hint="default"/>
                <w:color w:val="auto"/>
                <w:highlight w:val="none"/>
                <w:lang w:val="en-US" w:eastAsia="zh-CN"/>
              </w:rPr>
            </w:pPr>
          </w:p>
          <w:p>
            <w:pPr>
              <w:spacing w:line="320" w:lineRule="exact"/>
              <w:jc w:val="both"/>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起重机械及吊装工程</w:t>
            </w: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塔式起重机、施工升降机、物料提升机等起重机械设备未经验收合格即投入使用，或未按规定办理使用登记</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18</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塔式起重机独立起升高度、附着间距和最高附着以上的最大悬高及垂直度不符合规范要求</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19</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施工升降机附着间距和最高附着以上的最大悬高及垂直度不符合规范要求</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20</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起重机械安装、拆卸、顶升加节以及附着前未对结构件、顶升机构和附着装置以及高强度螺栓、销轴、定位板等连接件及安全装置进行检查</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21</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建筑起重机械的安全装置不齐全、失效或者被违规拆除、破坏</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22</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施工升降机防坠安全器超过定期检验有效期，标准节连接螺栓缺失或失效</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23</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建筑起重机械的地基基础承载力和变形不满足设计要求</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24</w:t>
            </w:r>
          </w:p>
        </w:tc>
        <w:tc>
          <w:tcPr>
            <w:tcW w:w="727" w:type="dxa"/>
            <w:vMerge w:val="restart"/>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高处作业</w:t>
            </w: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钢结构、网架安装用支撑结构地基基础承载力和变形不满足设计要求，钢结构、网架安装用支撑结构未按设计要求设置防倾覆装置</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25</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单榀钢桁架（屋架）安装时未采取防失稳措施</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26</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悬挑式操作平台的搁置点、拉结点、支撑点未设置在稳定的主体结构上,且未做可靠连接</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27</w:t>
            </w:r>
          </w:p>
        </w:tc>
        <w:tc>
          <w:tcPr>
            <w:tcW w:w="727"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施工临时用电</w:t>
            </w: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特殊作业环境（隧道、人防工程，高温、有导电灰尘、比较潮湿等作业环境）照明未按规定使用安全电压</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28</w:t>
            </w:r>
          </w:p>
        </w:tc>
        <w:tc>
          <w:tcPr>
            <w:tcW w:w="727" w:type="dxa"/>
            <w:vMerge w:val="restart"/>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有限空间作业</w:t>
            </w: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未履行“作业审批制度”，未对施工人员进行专项安全教育培训</w:t>
            </w:r>
            <w:r>
              <w:rPr>
                <w:rFonts w:hint="eastAsia" w:ascii="Times New Roman" w:hAnsi="Times New Roman" w:eastAsia="方正仿宋_GBK" w:cs="Times New Roman"/>
                <w:b/>
                <w:bCs/>
                <w:color w:val="auto"/>
                <w:sz w:val="21"/>
                <w:szCs w:val="21"/>
                <w:highlight w:val="none"/>
                <w:lang w:val="en-US" w:eastAsia="zh-CN"/>
              </w:rPr>
              <w:t>，</w:t>
            </w:r>
            <w:r>
              <w:rPr>
                <w:rFonts w:hint="default" w:ascii="Times New Roman" w:hAnsi="Times New Roman" w:eastAsia="方正仿宋_GBK" w:cs="Times New Roman"/>
                <w:b/>
                <w:bCs/>
                <w:color w:val="auto"/>
                <w:sz w:val="21"/>
                <w:szCs w:val="21"/>
                <w:highlight w:val="none"/>
                <w:lang w:val="en-US" w:eastAsia="zh-CN"/>
              </w:rPr>
              <w:t>未执行“先通风、再检测、后作业”原则</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29</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作业时现场未有专人负责监护工作</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30</w:t>
            </w:r>
          </w:p>
        </w:tc>
        <w:tc>
          <w:tcPr>
            <w:tcW w:w="727"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拆除工程</w:t>
            </w: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拆除施工</w:t>
            </w:r>
            <w:r>
              <w:rPr>
                <w:rFonts w:hint="default" w:ascii="Times New Roman" w:hAnsi="Times New Roman" w:eastAsia="方正仿宋_GBK" w:cs="Times New Roman"/>
                <w:b/>
                <w:bCs/>
                <w:color w:val="auto"/>
                <w:sz w:val="21"/>
                <w:szCs w:val="21"/>
                <w:highlight w:val="none"/>
                <w:lang w:val="en-US" w:eastAsia="zh-CN"/>
              </w:rPr>
              <w:t>作业顺序不符合规范和施工方案要求</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31</w:t>
            </w:r>
          </w:p>
        </w:tc>
        <w:tc>
          <w:tcPr>
            <w:tcW w:w="727" w:type="dxa"/>
            <w:vMerge w:val="restart"/>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暗挖工程</w:t>
            </w: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作业面带水施工未采取相关措施，或地下水控制措施失效且继续施工</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32</w:t>
            </w:r>
          </w:p>
        </w:tc>
        <w:tc>
          <w:tcPr>
            <w:tcW w:w="727" w:type="dxa"/>
            <w:vMerge w:val="continue"/>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施工时出现涌水、涌沙、局部坍塌，支护结构扭曲变形或出现裂缝，且有不断增大趋势，未及时采取措施</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9"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33</w:t>
            </w:r>
          </w:p>
        </w:tc>
        <w:tc>
          <w:tcPr>
            <w:tcW w:w="727" w:type="dxa"/>
            <w:tcBorders>
              <w:top w:val="single" w:color="auto" w:sz="4" w:space="0"/>
            </w:tcBorders>
            <w:noWrap w:val="0"/>
            <w:vAlign w:val="center"/>
          </w:tcPr>
          <w:p>
            <w:pPr>
              <w:spacing w:line="320" w:lineRule="exact"/>
              <w:jc w:val="center"/>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施工工法</w:t>
            </w:r>
          </w:p>
        </w:tc>
        <w:tc>
          <w:tcPr>
            <w:tcW w:w="6335" w:type="dxa"/>
            <w:tcBorders>
              <w:top w:val="single" w:color="auto" w:sz="4" w:space="0"/>
            </w:tcBorders>
            <w:noWrap w:val="0"/>
            <w:vAlign w:val="center"/>
          </w:tcPr>
          <w:p>
            <w:pPr>
              <w:spacing w:line="320" w:lineRule="exact"/>
              <w:jc w:val="left"/>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 使用危害程度较大、可能导致群死群伤或造成重大经济损失的施工工艺、设备和材料</w:t>
            </w:r>
            <w:r>
              <w:rPr>
                <w:rFonts w:hint="eastAsia" w:ascii="Times New Roman" w:hAnsi="Times New Roman" w:eastAsia="方正仿宋_GBK" w:cs="Times New Roman"/>
                <w:b/>
                <w:bCs/>
                <w:color w:val="auto"/>
                <w:sz w:val="21"/>
                <w:szCs w:val="21"/>
                <w:highlight w:val="none"/>
                <w:lang w:val="en-US" w:eastAsia="zh-CN"/>
              </w:rPr>
              <w:t>。</w:t>
            </w:r>
          </w:p>
        </w:tc>
        <w:tc>
          <w:tcPr>
            <w:tcW w:w="1650" w:type="dxa"/>
            <w:tcBorders>
              <w:top w:val="single" w:color="auto" w:sz="4" w:space="0"/>
            </w:tcBorders>
            <w:noWrap w:val="0"/>
            <w:vAlign w:val="center"/>
          </w:tcPr>
          <w:p>
            <w:pPr>
              <w:spacing w:line="320" w:lineRule="exact"/>
              <w:rPr>
                <w:rFonts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39" w:type="dxa"/>
            <w:noWrap w:val="0"/>
            <w:vAlign w:val="center"/>
          </w:tcPr>
          <w:p>
            <w:pPr>
              <w:spacing w:line="320" w:lineRule="exact"/>
              <w:jc w:val="center"/>
              <w:rPr>
                <w:rFonts w:hint="eastAsia" w:eastAsia="方正仿宋_GBK"/>
                <w:b/>
                <w:color w:val="auto"/>
                <w:sz w:val="24"/>
                <w:szCs w:val="24"/>
                <w:highlight w:val="none"/>
                <w:lang w:eastAsia="zh-CN"/>
              </w:rPr>
            </w:pPr>
            <w:r>
              <w:rPr>
                <w:rFonts w:hint="eastAsia" w:eastAsia="方正仿宋_GBK"/>
                <w:b/>
                <w:color w:val="auto"/>
                <w:sz w:val="24"/>
                <w:szCs w:val="24"/>
                <w:highlight w:val="none"/>
                <w:lang w:eastAsia="zh-CN"/>
              </w:rPr>
              <w:t>检查意见</w:t>
            </w:r>
          </w:p>
        </w:tc>
        <w:tc>
          <w:tcPr>
            <w:tcW w:w="8712" w:type="dxa"/>
            <w:gridSpan w:val="3"/>
            <w:noWrap w:val="0"/>
            <w:vAlign w:val="top"/>
          </w:tcPr>
          <w:p>
            <w:pPr>
              <w:spacing w:line="320" w:lineRule="exact"/>
              <w:rPr>
                <w:color w:val="auto"/>
                <w:highlight w:val="none"/>
              </w:rPr>
            </w:pPr>
          </w:p>
          <w:p>
            <w:pPr>
              <w:pStyle w:val="2"/>
              <w:rPr>
                <w:color w:val="auto"/>
                <w:highlight w:val="none"/>
              </w:rPr>
            </w:pPr>
          </w:p>
          <w:p>
            <w:pPr>
              <w:rPr>
                <w:color w:val="auto"/>
                <w:highlight w:val="none"/>
              </w:rPr>
            </w:pPr>
          </w:p>
        </w:tc>
      </w:tr>
    </w:tbl>
    <w:p>
      <w:pPr>
        <w:pStyle w:val="4"/>
        <w:spacing w:before="0" w:beforeAutospacing="0" w:after="0" w:afterAutospacing="0" w:line="500" w:lineRule="exact"/>
        <w:jc w:val="left"/>
        <w:rPr>
          <w:rFonts w:hint="eastAsia" w:ascii="Times New Roman" w:hAnsi="Times New Roman" w:eastAsia="方正仿宋_GBK" w:cs="Times New Roman"/>
          <w:b/>
          <w:bCs/>
          <w:color w:val="auto"/>
          <w:kern w:val="2"/>
          <w:sz w:val="24"/>
          <w:szCs w:val="21"/>
          <w:highlight w:val="none"/>
          <w:lang w:val="en-US" w:eastAsia="zh-CN" w:bidi="ar-SA"/>
        </w:rPr>
      </w:pPr>
      <w:r>
        <w:rPr>
          <w:rFonts w:hint="eastAsia" w:ascii="Times New Roman" w:hAnsi="Times New Roman" w:eastAsia="方正仿宋_GBK" w:cs="Times New Roman"/>
          <w:b/>
          <w:bCs/>
          <w:color w:val="auto"/>
          <w:kern w:val="2"/>
          <w:sz w:val="24"/>
          <w:szCs w:val="21"/>
          <w:highlight w:val="none"/>
          <w:lang w:val="en-US" w:eastAsia="zh-CN" w:bidi="ar-SA"/>
        </w:rPr>
        <w:t xml:space="preserve">受检项目负责人（签字）：        </w:t>
      </w:r>
    </w:p>
    <w:p>
      <w:pPr>
        <w:pStyle w:val="4"/>
        <w:spacing w:before="0" w:beforeAutospacing="0" w:after="0" w:afterAutospacing="0" w:line="500" w:lineRule="exact"/>
        <w:jc w:val="left"/>
        <w:rPr>
          <w:rFonts w:hint="eastAsia" w:ascii="Times New Roman" w:hAnsi="Times New Roman" w:eastAsia="方正仿宋_GBK" w:cs="Times New Roman"/>
          <w:b/>
          <w:bCs/>
          <w:color w:val="auto"/>
          <w:kern w:val="2"/>
          <w:sz w:val="24"/>
          <w:szCs w:val="21"/>
          <w:highlight w:val="none"/>
          <w:lang w:val="en-US" w:eastAsia="zh-CN" w:bidi="ar-SA"/>
        </w:rPr>
      </w:pPr>
      <w:r>
        <w:rPr>
          <w:rFonts w:hint="eastAsia" w:ascii="Times New Roman" w:hAnsi="Times New Roman" w:eastAsia="方正仿宋_GBK" w:cs="Times New Roman"/>
          <w:b/>
          <w:bCs/>
          <w:color w:val="auto"/>
          <w:kern w:val="2"/>
          <w:sz w:val="24"/>
          <w:szCs w:val="21"/>
          <w:highlight w:val="none"/>
          <w:lang w:val="en-US" w:eastAsia="zh-CN" w:bidi="ar-SA"/>
        </w:rPr>
        <w:t>检查人（签字）：                               记录人：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582D7D70"/>
    <w:rsid w:val="54782DB7"/>
    <w:rsid w:val="582D7D70"/>
    <w:rsid w:val="6E49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kern w:val="0"/>
      <w:sz w:val="20"/>
      <w:szCs w:val="32"/>
    </w:rPr>
  </w:style>
  <w:style w:type="paragraph" w:styleId="3">
    <w:name w:val="Body Text First Indent"/>
    <w:basedOn w:val="2"/>
    <w:autoRedefine/>
    <w:qFormat/>
    <w:uiPriority w:val="0"/>
    <w:pPr>
      <w:spacing w:line="500" w:lineRule="exact"/>
      <w:ind w:firstLine="420"/>
    </w:pPr>
    <w:rPr>
      <w:rFonts w:eastAsia="楷体_GB2312"/>
      <w:sz w:val="2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2024-03-21T07:37:00Z</dcterms:created>
  <dc:creator>Z  ICH LLIEBE DICH  Y</dc:creator>
  <cp:lastModifiedBy>Z  ICH LLIEBE DICH  Y</cp:lastModifiedBy>
  <dcterms:modified xsi:type="dcterms:W3CDTF">2024-04-16T02:12:38Z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D9CB3DE93BCF4DEF85D548031998467D_11</vt:lpwstr>
  </property>
</Properties>
</file>