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240" w:lineRule="atLeast"/>
        <w:jc w:val="center"/>
        <w:outlineLvl w:val="0"/>
        <w:rPr>
          <w:rFonts w:hint="eastAsia" w:ascii="Times New Roman" w:hAnsi="Times New Roman" w:eastAsia="黑体"/>
          <w:kern w:val="4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44"/>
          <w:sz w:val="28"/>
          <w:szCs w:val="28"/>
          <w:lang w:val="en-US" w:eastAsia="zh-CN"/>
        </w:rPr>
        <w:t>银明黄酒有限责任公司</w:t>
      </w:r>
      <w:r>
        <w:rPr>
          <w:rFonts w:hint="eastAsia" w:ascii="Times New Roman" w:hAnsi="Times New Roman" w:eastAsia="黑体"/>
          <w:kern w:val="44"/>
          <w:sz w:val="28"/>
          <w:szCs w:val="28"/>
          <w:lang w:val="en-US" w:eastAsia="zh-CN"/>
        </w:rPr>
        <w:t>安全</w:t>
      </w:r>
      <w:r>
        <w:rPr>
          <w:rFonts w:hint="eastAsia" w:ascii="Times New Roman" w:hAnsi="Times New Roman" w:eastAsia="黑体"/>
          <w:kern w:val="44"/>
          <w:sz w:val="28"/>
          <w:szCs w:val="28"/>
          <w:lang w:val="en-US" w:eastAsia="zh-CN"/>
        </w:rPr>
        <w:t>检查清单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0"/>
        <w:gridCol w:w="593"/>
        <w:gridCol w:w="2101"/>
        <w:gridCol w:w="1726"/>
        <w:gridCol w:w="896"/>
        <w:gridCol w:w="816"/>
        <w:gridCol w:w="2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检查时间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检查人员</w:t>
            </w:r>
          </w:p>
        </w:tc>
        <w:tc>
          <w:tcPr>
            <w:tcW w:w="8485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计划</w:t>
            </w:r>
          </w:p>
        </w:tc>
        <w:tc>
          <w:tcPr>
            <w:tcW w:w="9075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每月不少于一次检查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目的</w:t>
            </w:r>
          </w:p>
        </w:tc>
        <w:tc>
          <w:tcPr>
            <w:tcW w:w="9075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检查项目</w:t>
            </w:r>
          </w:p>
        </w:tc>
        <w:tc>
          <w:tcPr>
            <w:tcW w:w="382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检查标准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检查方法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符合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安全教育培训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1.新、转、复岗员工三级安全教育资料。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 班组每周组织一个事故案例的学习，并在学习记录签字。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 班组每月开展一次全员安全培训，完善培训资料。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 车间每月开展班组长安全培训一次，完善培训资料。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资料查看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相关方管理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1.相关方资质和入场手续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2.相关方作业人员安全培训资料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3.按照作业安全要求办理相关安全作业票。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 按照方案及安全作业票落实现场安全措施。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 相关方每日作业前班前会、劳动防护用品、作业机具的落实情况。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 车间及班组对相关方动态管理。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7.相关方入场前、作业中、离场后的安全检查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劳动纪律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1.中夜班劳动纪律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2.员工精神状态是否良好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3.禁止酒后上班和班中饮酒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4.禁止上班玩手机、做与工作无关的事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现场查看和抽查监控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煤气设施设备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1.煤气设施设备防腐情况是否良好，有无煤气泄漏现象，煤气管道介质名称及流向标识。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2.阀门是否润滑良好，灵活可靠。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3.安全附件、安全防护配置情况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消防器材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1.消防器材配置情况是否符合要求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2.作业现场是否配置有应急疏散图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3.车间及班组按要求开展消防设施检查，保存相关检查记录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4.疏散通道、安全通道、消防通道是否畅通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应急器材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1.应急器材配置情况是否符合要求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2.定期维护保养，做好记录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3.定期送检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“四防”管理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1.四防物资配置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2.边坡堡坎、排水沟渠、厂房漏水、围墙等现场情况。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3.“四防”值班人员到岗情况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职业健康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1.职业卫生公示栏、职业卫生安全告知卡、检测数据公示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2.作业人员劳动防护用品佩置和使用情况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3.现场警示标识等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3.各车间班组建立劳保用品发放台账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现场及资料查看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特种设备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1.特种作业人员是否人证合一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2.特种设备质量合格证件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3.特种设备维护保养情况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现场及资料查看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备注：请用A4纸反正面打印，符合要求打“√”，不符合要求打“×”并注明详情，整改完成情况由主管安全负责人确认。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DQ1ZmYzZWM1MDdkMDFlZTEzZTNkNWNhYmJhZDgifQ=="/>
  </w:docVars>
  <w:rsids>
    <w:rsidRoot w:val="24437E2D"/>
    <w:rsid w:val="244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2024-04-16T02:17:00Z</dcterms:created>
  <dc:creator>洋溢1377591794</dc:creator>
  <cp:lastModifiedBy>洋溢1377591794</cp:lastModifiedBy>
  <dcterms:modified xsi:type="dcterms:W3CDTF">2024-04-16T02:19:34Z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65D02A2F0DB84B78A2836714540AD315_11</vt:lpwstr>
  </property>
</Properties>
</file>