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center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0" w:name="_Toc22483"/>
      <w:bookmarkStart w:id="1" w:name="_Toc27619"/>
      <w:bookmarkStart w:id="57" w:name="_GoBack"/>
      <w:bookmarkEnd w:id="5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安全日常检查记录清单</w:t>
      </w:r>
      <w:bookmarkEnd w:id="0"/>
      <w:bookmarkEnd w:id="1"/>
    </w:p>
    <w:p>
      <w:pPr>
        <w:pStyle w:val="4"/>
        <w:spacing w:line="240" w:lineRule="auto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2" w:name="_Toc10491"/>
      <w:bookmarkStart w:id="3" w:name="_Toc22211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夜间查岗记录表</w:t>
      </w:r>
      <w:bookmarkEnd w:id="2"/>
      <w:bookmarkEnd w:id="3"/>
    </w:p>
    <w:p>
      <w:pPr>
        <w:spacing w:line="240" w:lineRule="auto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检查项目：</w:t>
      </w:r>
    </w:p>
    <w:tbl>
      <w:tblPr>
        <w:tblStyle w:val="12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064"/>
        <w:gridCol w:w="1093"/>
        <w:gridCol w:w="1580"/>
        <w:gridCol w:w="1521"/>
        <w:gridCol w:w="1549"/>
        <w:gridCol w:w="1456"/>
        <w:gridCol w:w="2019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岗位/区域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值班人员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人员状态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装备情况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环境情况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记录情况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异常情况说明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8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8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368"/>
                <w:tab w:val="left" w:pos="1185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检查人员：                                                                               当班负责人：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  <w:sectPr>
          <w:pgSz w:w="16838" w:h="11906" w:orient="landscape"/>
          <w:pgMar w:top="1417" w:right="1417" w:bottom="1417" w:left="1587" w:header="284" w:footer="1418" w:gutter="0"/>
          <w:pgNumType w:fmt="decimal"/>
          <w:cols w:space="720" w:num="1"/>
          <w:docGrid w:linePitch="582" w:charSpace="-886"/>
        </w:sectPr>
      </w:pPr>
    </w:p>
    <w:p>
      <w:pPr>
        <w:jc w:val="center"/>
        <w:outlineLvl w:val="1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bookmarkStart w:id="4" w:name="_Toc6365"/>
      <w:bookmarkStart w:id="5" w:name="_Toc21417"/>
      <w:bookmarkStart w:id="6" w:name="_Toc20541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现场日常巡查记录表</w:t>
      </w:r>
      <w:bookmarkEnd w:id="4"/>
      <w:bookmarkEnd w:id="5"/>
      <w:bookmarkEnd w:id="6"/>
    </w:p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tbl>
      <w:tblPr>
        <w:tblStyle w:val="12"/>
        <w:tblW w:w="152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34"/>
        <w:gridCol w:w="1276"/>
        <w:gridCol w:w="4536"/>
        <w:gridCol w:w="4536"/>
        <w:gridCol w:w="1275"/>
        <w:gridCol w:w="1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巡查日期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巡查时间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巡查情况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处理措施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巡查人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323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417" w:right="1417" w:bottom="1417" w:left="1587" w:header="284" w:footer="1418" w:gutter="0"/>
          <w:pgNumType w:fmt="decimal"/>
          <w:cols w:space="720" w:num="1"/>
          <w:docGrid w:linePitch="582" w:charSpace="-886"/>
        </w:sectPr>
      </w:pPr>
      <w:r>
        <w:rPr>
          <w:rFonts w:hint="eastAsia"/>
          <w:lang w:val="en-US" w:eastAsia="zh-CN"/>
        </w:rPr>
        <w:tab/>
      </w:r>
    </w:p>
    <w:p>
      <w:pPr>
        <w:pStyle w:val="4"/>
        <w:spacing w:line="240" w:lineRule="auto"/>
        <w:outlineLvl w:val="1"/>
        <w:rPr>
          <w:rFonts w:hint="eastAsia"/>
        </w:rPr>
      </w:pPr>
      <w:bookmarkStart w:id="7" w:name="_Toc17609"/>
      <w:bookmarkStart w:id="8" w:name="_Toc16875"/>
      <w:bookmarkStart w:id="9" w:name="_Toc4817"/>
      <w:bookmarkStart w:id="10" w:name="_Toc27228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装载机日常检查清单</w:t>
      </w:r>
      <w:bookmarkEnd w:id="7"/>
      <w:bookmarkEnd w:id="8"/>
      <w:bookmarkEnd w:id="9"/>
      <w:bookmarkEnd w:id="10"/>
    </w:p>
    <w:p>
      <w:pPr>
        <w:tabs>
          <w:tab w:val="left" w:pos="1865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使用单位：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设备编号：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车辆牌号：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302"/>
        <w:gridCol w:w="999"/>
        <w:gridCol w:w="1365"/>
        <w:gridCol w:w="773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21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48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日星期</w:t>
            </w:r>
          </w:p>
        </w:tc>
        <w:tc>
          <w:tcPr>
            <w:tcW w:w="1721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检查人：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检查内容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方法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状态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存在问题记录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设备整机外观有无损坏情况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查看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完好无损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设备整机内外卫生情况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查看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干净、清洁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轮胎气压是否正常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目视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充足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水箱水位是否正常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目视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充足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机油、柴油、液压油油位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油尺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规定刻线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电瓶检查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电压正常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车刹性能是否良好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试车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良好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方向盘灵敏度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试车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灵敏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档位切换无异响且准确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试车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无异响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照明灯、指示灯系统是否良好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试车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明亮、齐全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喇叭、倒车蜂鸣器工作情况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试车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宏亮、有效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工作液压系统是否正常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试车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无漏油、正常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仪表是否齐全有效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查看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齐全、有效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各润滑点的润滑情况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查看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减速箱的油位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查看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规定刻度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其它方面异常情况：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注：状态栏正常打“√”，有问题打“×”，写出简单说明，并报告给当值主管（班组长）填写设备维修单。</w:t>
      </w:r>
    </w:p>
    <w:p>
      <w:pPr>
        <w:tabs>
          <w:tab w:val="left" w:pos="1403"/>
        </w:tabs>
        <w:bidi w:val="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sectPr>
          <w:pgSz w:w="11906" w:h="16838"/>
          <w:pgMar w:top="1417" w:right="1417" w:bottom="1417" w:left="1588" w:header="284" w:footer="1418" w:gutter="0"/>
          <w:pgNumType w:fmt="decimal"/>
          <w:cols w:space="720" w:num="1"/>
          <w:docGrid w:linePitch="582" w:charSpace="-886"/>
        </w:sect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设备使用人应穿戴整齐，佩戴必要防护用品，禁止酒后、无证驾驶，持证上岗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pStyle w:val="2"/>
        <w:jc w:val="center"/>
        <w:outlineLvl w:val="1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11" w:name="_Toc12215"/>
      <w:bookmarkStart w:id="12" w:name="_Toc3080"/>
      <w:bookmarkStart w:id="13" w:name="_Toc10933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搅拌机日常检查清单</w:t>
      </w:r>
      <w:bookmarkEnd w:id="11"/>
      <w:bookmarkEnd w:id="12"/>
      <w:bookmarkEnd w:id="13"/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检查人：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检查日期：       年  月  日</w:t>
      </w:r>
    </w:p>
    <w:tbl>
      <w:tblPr>
        <w:tblStyle w:val="12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40"/>
        <w:gridCol w:w="4861"/>
        <w:gridCol w:w="147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724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检查项目</w:t>
            </w:r>
          </w:p>
        </w:tc>
        <w:tc>
          <w:tcPr>
            <w:tcW w:w="2668" w:type="pc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检查要求</w:t>
            </w:r>
          </w:p>
        </w:tc>
        <w:tc>
          <w:tcPr>
            <w:tcW w:w="810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</w:t>
            </w:r>
          </w:p>
        </w:tc>
        <w:tc>
          <w:tcPr>
            <w:tcW w:w="796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4" w:type="pct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一、技术状况好，工作能力达到规定要求</w:t>
            </w:r>
          </w:p>
        </w:tc>
        <w:tc>
          <w:tcPr>
            <w:tcW w:w="2668" w:type="pct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1、动力装置、工作机构能否正常工作。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2、是否存在动力装置、工作机构运转不平稳，制动、转向不灵活，有冲击震动或有严重异响情况。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3、搅拌叶轮、叶片等是否有缺损。</w:t>
            </w:r>
          </w:p>
        </w:tc>
        <w:tc>
          <w:tcPr>
            <w:tcW w:w="810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二、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使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8" w:type="pct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搅拌机内外是否有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板结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石渣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2、机械其他部位是否脏污。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3、传动皮带是否有油污。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4、电气箱内是否清洁。</w:t>
            </w:r>
          </w:p>
        </w:tc>
        <w:tc>
          <w:tcPr>
            <w:tcW w:w="810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3" w:type="pct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润滑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8" w:type="pct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1、减速箱油油面是否低于下刻线，高于上刻线。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2、各加油点是否缺油，缺黄油嘴（杯），开式齿轮缺润滑脂。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3、润滑油、润滑脂是否变质脏污或与规定牌号不符。</w:t>
            </w:r>
          </w:p>
        </w:tc>
        <w:tc>
          <w:tcPr>
            <w:tcW w:w="810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3" w:type="pct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8" w:type="pct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1、重要部位（如：电机、减速机、钢丝绳卡、联轴器、传动销、搅拌叶）固定螺丝是否松动、断缺。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2、一般螺丝是否松动、断缺。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3、止动销、止动板、止动片、螺丝是否有效。</w:t>
            </w:r>
          </w:p>
        </w:tc>
        <w:tc>
          <w:tcPr>
            <w:tcW w:w="810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3" w:type="pct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8" w:type="pct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1、安全防护装置是否失灵。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2、主要调整间隙、涨紧度没有调到规定要求。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3、电源有无超载保护装置。</w:t>
            </w:r>
          </w:p>
        </w:tc>
        <w:tc>
          <w:tcPr>
            <w:tcW w:w="810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3" w:type="pct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8" w:type="pct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主要构件、部件（如：滚筒轨道、钢丝绳等）是否有锈蚀。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一般部位是否有锈蚀、大面积锈蚀情况。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是否存在电缆老化、破损，橡胶制品腐蚀老化。</w:t>
            </w:r>
          </w:p>
          <w:p>
            <w:pPr>
              <w:pStyle w:val="19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有无防雨棚、是否做到上盖下垫。</w:t>
            </w:r>
          </w:p>
        </w:tc>
        <w:tc>
          <w:tcPr>
            <w:tcW w:w="810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4" w:type="pct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三、零部件、附属装置齐全完整</w:t>
            </w:r>
          </w:p>
        </w:tc>
        <w:tc>
          <w:tcPr>
            <w:tcW w:w="2668" w:type="pct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1、全机各零件、附件、防护罩是否破损不全。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2、随机工具是否丢失。</w:t>
            </w:r>
          </w:p>
        </w:tc>
        <w:tc>
          <w:tcPr>
            <w:tcW w:w="810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" w:type="pc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注:结论合格打“√”，不合格打“×”，在备注栏写不合格原因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jc w:val="center"/>
        <w:outlineLvl w:val="1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br w:type="page"/>
      </w:r>
      <w:bookmarkStart w:id="14" w:name="_Toc3036"/>
      <w:bookmarkStart w:id="15" w:name="_Toc14067"/>
      <w:bookmarkStart w:id="16" w:name="_Toc29261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破碎机日常检查清单</w:t>
      </w:r>
      <w:bookmarkEnd w:id="14"/>
      <w:bookmarkEnd w:id="15"/>
      <w:bookmarkEnd w:id="16"/>
    </w:p>
    <w:tbl>
      <w:tblPr>
        <w:tblStyle w:val="12"/>
        <w:tblpPr w:leftFromText="180" w:rightFromText="180" w:vertAnchor="page" w:horzAnchor="page" w:tblpXSpec="center" w:tblpY="287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1"/>
        <w:gridCol w:w="2884"/>
        <w:gridCol w:w="1385"/>
        <w:gridCol w:w="95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序号</w:t>
            </w:r>
          </w:p>
        </w:tc>
        <w:tc>
          <w:tcPr>
            <w:tcW w:w="12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检查项目</w:t>
            </w:r>
          </w:p>
        </w:tc>
        <w:tc>
          <w:tcPr>
            <w:tcW w:w="28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检查标准</w:t>
            </w: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检查方法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（或依据）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检查评价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</w:p>
        </w:tc>
        <w:tc>
          <w:tcPr>
            <w:tcW w:w="28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符合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不符合及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1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default" w:ascii="Calibri" w:hAnsi="宋体" w:cs="Times New Roman"/>
                <w:sz w:val="24"/>
              </w:rPr>
              <w:t>轴承偶合器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default" w:ascii="Calibri" w:hAnsi="宋体" w:cs="Times New Roman"/>
                <w:sz w:val="24"/>
              </w:rPr>
              <w:t>加油是否达标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轴承温度正常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2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default" w:ascii="Calibri" w:hAnsi="宋体" w:cs="Times New Roman"/>
                <w:sz w:val="24"/>
              </w:rPr>
              <w:t>溜煤筒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default" w:ascii="Calibri" w:hAnsi="宋体" w:cs="Times New Roman"/>
                <w:sz w:val="24"/>
              </w:rPr>
              <w:t>是否清理干净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现场查看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3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default" w:ascii="Calibri" w:hAnsi="宋体" w:cs="Times New Roman"/>
                <w:sz w:val="24"/>
              </w:rPr>
              <w:t>两侧铁门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是否关闭好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现场查看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4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default" w:ascii="Calibri" w:hAnsi="宋体" w:cs="Times New Roman"/>
                <w:sz w:val="24"/>
              </w:rPr>
              <w:t>电机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default" w:ascii="Calibri" w:hAnsi="宋体" w:cs="Times New Roman"/>
                <w:sz w:val="24"/>
              </w:rPr>
              <w:t>是否固定牢固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运行无振动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5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eastAsia" w:ascii="Calibri" w:hAnsi="宋体" w:cs="Times New Roman"/>
                <w:sz w:val="24"/>
              </w:rPr>
              <w:t>锤头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default" w:ascii="Calibri" w:hAnsi="宋体" w:cs="Times New Roman"/>
                <w:sz w:val="24"/>
              </w:rPr>
              <w:t>是否</w:t>
            </w:r>
            <w:r>
              <w:rPr>
                <w:rFonts w:hint="eastAsia" w:ascii="Calibri" w:hAnsi="宋体" w:cs="Times New Roman"/>
                <w:sz w:val="24"/>
              </w:rPr>
              <w:t>松动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运行无异响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6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各项记录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是否完善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查看记录本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7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消防器材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是否完好齐全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查看记录本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8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劳保用品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是否穿戴整齐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现场查看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</w:rPr>
            </w:pPr>
          </w:p>
        </w:tc>
      </w:tr>
    </w:tbl>
    <w:p>
      <w:pPr>
        <w:tabs>
          <w:tab w:val="left" w:pos="2077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2077"/>
        </w:tabs>
        <w:bidi w:val="0"/>
        <w:ind w:firstLine="240" w:firstLineChars="100"/>
        <w:jc w:val="left"/>
        <w:rPr>
          <w:rFonts w:hint="eastAsia"/>
          <w:lang w:eastAsia="zh-CN"/>
        </w:rPr>
        <w:sectPr>
          <w:pgSz w:w="11906" w:h="16838"/>
          <w:pgMar w:top="1417" w:right="1417" w:bottom="1417" w:left="1588" w:header="284" w:footer="1418" w:gutter="0"/>
          <w:pgNumType w:fmt="decimal"/>
          <w:cols w:space="720" w:num="1"/>
          <w:docGrid w:linePitch="582" w:charSpace="-886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检查人：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检查日期：       年  月  日</w:t>
      </w:r>
    </w:p>
    <w:p>
      <w:pPr>
        <w:pStyle w:val="4"/>
        <w:spacing w:line="240" w:lineRule="auto"/>
        <w:outlineLvl w:val="1"/>
        <w:rPr>
          <w:rFonts w:hint="eastAsia"/>
        </w:rPr>
      </w:pPr>
      <w:bookmarkStart w:id="17" w:name="_Toc9611"/>
      <w:bookmarkStart w:id="18" w:name="_Toc10268"/>
      <w:bookmarkStart w:id="19" w:name="_Toc32523"/>
      <w:bookmarkStart w:id="20" w:name="_Toc2478"/>
      <w:bookmarkStart w:id="21" w:name="_Toc31400"/>
      <w:r>
        <w:rPr>
          <w:rFonts w:hint="eastAsia" w:ascii="宋体" w:hAnsi="宋体" w:eastAsia="宋体" w:cs="宋体"/>
          <w:sz w:val="30"/>
          <w:szCs w:val="30"/>
        </w:rPr>
        <w:t>气瓶安全检查清单</w:t>
      </w:r>
      <w:bookmarkEnd w:id="17"/>
      <w:bookmarkEnd w:id="18"/>
      <w:bookmarkEnd w:id="19"/>
      <w:bookmarkEnd w:id="20"/>
    </w:p>
    <w:tbl>
      <w:tblPr>
        <w:tblStyle w:val="12"/>
        <w:tblW w:w="9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435"/>
        <w:gridCol w:w="4416"/>
        <w:gridCol w:w="1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检查项目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检查点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检查标准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sz w:val="24"/>
              </w:rPr>
              <w:t>检查结果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查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气瓶外表面的颜色、字样和色环是否符合标准规定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瓶体上是否张贴有安全警示标签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瓶体上是否张贴有充装合格证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瓶体有无锈蚀、损伤、变形、裂纹等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是否有瓶帽以及瓶帽是否完好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Style w:val="20"/>
                <w:rFonts w:hint="default" w:ascii="Times New Roman" w:hAnsi="Times New Roman" w:cs="Times New Roman"/>
                <w:bCs/>
                <w:sz w:val="24"/>
                <w:szCs w:val="24"/>
                <w:lang w:bidi="ar"/>
              </w:rPr>
              <w:t>是否有</w:t>
            </w:r>
            <w:r>
              <w:rPr>
                <w:rFonts w:hint="default" w:ascii="Calibri" w:hAnsi="Calibri" w:eastAsia="Tahoma" w:cs="Times New Roman"/>
                <w:bCs/>
                <w:color w:val="000000"/>
                <w:kern w:val="0"/>
                <w:sz w:val="24"/>
                <w:lang w:bidi="ar"/>
              </w:rPr>
              <w:t xml:space="preserve">2 </w:t>
            </w:r>
            <w:r>
              <w:rPr>
                <w:rStyle w:val="20"/>
                <w:rFonts w:hint="default" w:ascii="Times New Roman" w:hAnsi="Times New Roman" w:cs="Times New Roman"/>
                <w:bCs/>
                <w:sz w:val="24"/>
                <w:szCs w:val="24"/>
                <w:lang w:bidi="ar"/>
              </w:rPr>
              <w:t>个防震圈，并均匀放置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瓶肩上是否有钢印字码，在有效期内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瓶阀处、瓶体有无油污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乙炔瓶瓶口处是否配制有效的检验环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手轮配制正常，操作灵活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减压器显示是否正常，无损伤、无泄露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是否安装有回火器或止回阀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软管是否老化、破裂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软管连接处是否用管卡固定（严禁用铁丝等绑扎）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确定气瓶摆放是否有足够安全距离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是否直立放置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是否有防倾倒措施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是否有遮阳和防高温措施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  <w:r>
              <w:rPr>
                <w:rFonts w:hint="default" w:ascii="Calibri" w:hAnsi="Calibri" w:cs="Times New Roman"/>
                <w:bCs/>
                <w:color w:val="000000"/>
                <w:kern w:val="0"/>
                <w:sz w:val="24"/>
                <w:lang w:bidi="ar"/>
              </w:rPr>
              <w:t>气瓶是否漏气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bCs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注：状态栏正常打“√”，有问题打“×”，写出简单说明，并报告给当值主管（班组长）填写设备维修单。</w:t>
      </w:r>
    </w:p>
    <w:p>
      <w:pPr>
        <w:tabs>
          <w:tab w:val="left" w:pos="1403"/>
        </w:tabs>
        <w:bidi w:val="0"/>
        <w:jc w:val="left"/>
        <w:rPr>
          <w:rFonts w:hint="eastAsia" w:eastAsia="宋体"/>
          <w:lang w:val="en-US" w:eastAsia="zh-CN"/>
        </w:rPr>
        <w:sectPr>
          <w:pgSz w:w="11906" w:h="16838"/>
          <w:pgMar w:top="1417" w:right="1417" w:bottom="1417" w:left="1588" w:header="284" w:footer="1418" w:gutter="0"/>
          <w:pgNumType w:fmt="decimal"/>
          <w:cols w:space="720" w:num="1"/>
          <w:docGrid w:linePitch="582" w:charSpace="-886"/>
        </w:sect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设备使用人应穿戴整齐，佩戴必要防护用品，禁止酒后、无证驾驶，持证上岗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line="480" w:lineRule="auto"/>
        <w:jc w:val="center"/>
        <w:outlineLvl w:val="1"/>
        <w:rPr>
          <w:rFonts w:ascii="楷体" w:hAnsi="楷体" w:eastAsia="楷体"/>
          <w:b/>
          <w:sz w:val="36"/>
          <w:szCs w:val="36"/>
        </w:rPr>
      </w:pPr>
      <w:bookmarkStart w:id="22" w:name="_Toc32260"/>
      <w:bookmarkStart w:id="23" w:name="_Toc10730"/>
      <w:r>
        <w:rPr>
          <w:rFonts w:hint="eastAsia" w:ascii="宋体" w:hAnsi="宋体" w:eastAsia="宋体" w:cs="宋体"/>
          <w:b/>
          <w:sz w:val="30"/>
          <w:szCs w:val="30"/>
        </w:rPr>
        <w:t>有限空间危险作业审批表</w:t>
      </w:r>
      <w:bookmarkEnd w:id="21"/>
      <w:bookmarkEnd w:id="22"/>
      <w:bookmarkEnd w:id="23"/>
    </w:p>
    <w:tbl>
      <w:tblPr>
        <w:tblStyle w:val="12"/>
        <w:tblW w:w="502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56"/>
        <w:gridCol w:w="989"/>
        <w:gridCol w:w="668"/>
        <w:gridCol w:w="878"/>
        <w:gridCol w:w="11"/>
        <w:gridCol w:w="36"/>
        <w:gridCol w:w="524"/>
        <w:gridCol w:w="571"/>
        <w:gridCol w:w="158"/>
        <w:gridCol w:w="413"/>
        <w:gridCol w:w="596"/>
        <w:gridCol w:w="1142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449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作业单位</w:t>
            </w:r>
          </w:p>
        </w:tc>
        <w:tc>
          <w:tcPr>
            <w:tcW w:w="201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449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设施名称</w:t>
            </w:r>
          </w:p>
        </w:tc>
        <w:tc>
          <w:tcPr>
            <w:tcW w:w="201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主要危险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有害因素</w:t>
            </w:r>
          </w:p>
        </w:tc>
        <w:tc>
          <w:tcPr>
            <w:tcW w:w="4183" w:type="pct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作业内容</w:t>
            </w:r>
          </w:p>
        </w:tc>
        <w:tc>
          <w:tcPr>
            <w:tcW w:w="2729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填报人员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作业人员</w:t>
            </w:r>
          </w:p>
        </w:tc>
        <w:tc>
          <w:tcPr>
            <w:tcW w:w="2729" w:type="pct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监护人员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81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进入前检测数据</w:t>
            </w:r>
          </w:p>
        </w:tc>
        <w:tc>
          <w:tcPr>
            <w:tcW w:w="582" w:type="pct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氧含量</w:t>
            </w:r>
          </w:p>
        </w:tc>
        <w:tc>
          <w:tcPr>
            <w:tcW w:w="48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易燃易爆物质浓度</w:t>
            </w:r>
          </w:p>
        </w:tc>
        <w:tc>
          <w:tcPr>
            <w:tcW w:w="1284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有毒有害气体（粉尘）浓度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81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1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1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检测结果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检测时间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作业开工时间</w:t>
            </w:r>
          </w:p>
        </w:tc>
        <w:tc>
          <w:tcPr>
            <w:tcW w:w="4183" w:type="pct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80" w:firstLineChars="4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年月日时分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1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9" w:type="pct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主要安全措施</w:t>
            </w:r>
          </w:p>
        </w:tc>
        <w:tc>
          <w:tcPr>
            <w:tcW w:w="2714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确认安全措施符合要求（签名）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1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9" w:type="pct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作业者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作业监护人员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" w:right="0" w:firstLine="1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作业人员作业安全教育</w:t>
            </w:r>
          </w:p>
        </w:tc>
        <w:tc>
          <w:tcPr>
            <w:tcW w:w="126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6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" w:right="0" w:firstLine="1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连续测定的仪器和人员</w:t>
            </w:r>
          </w:p>
        </w:tc>
        <w:tc>
          <w:tcPr>
            <w:tcW w:w="126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6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" w:right="0" w:firstLine="1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测定用仪器准确可靠性</w:t>
            </w:r>
          </w:p>
        </w:tc>
        <w:tc>
          <w:tcPr>
            <w:tcW w:w="126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6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" w:right="0" w:firstLine="1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呼吸器、梯子、绳缆等抢救器具</w:t>
            </w:r>
          </w:p>
        </w:tc>
        <w:tc>
          <w:tcPr>
            <w:tcW w:w="126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6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" w:right="0" w:firstLine="1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通风排气情况</w:t>
            </w:r>
          </w:p>
        </w:tc>
        <w:tc>
          <w:tcPr>
            <w:tcW w:w="126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6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" w:right="0" w:firstLine="1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氧气浓度、有害气体检测结果</w:t>
            </w:r>
          </w:p>
        </w:tc>
        <w:tc>
          <w:tcPr>
            <w:tcW w:w="126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6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" w:right="0" w:firstLine="1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照明设施</w:t>
            </w:r>
          </w:p>
        </w:tc>
        <w:tc>
          <w:tcPr>
            <w:tcW w:w="126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6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" w:right="0" w:firstLine="1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个人防护用品及防毒用具</w:t>
            </w:r>
          </w:p>
        </w:tc>
        <w:tc>
          <w:tcPr>
            <w:tcW w:w="126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6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" w:right="0" w:firstLine="1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通风设备</w:t>
            </w:r>
          </w:p>
        </w:tc>
        <w:tc>
          <w:tcPr>
            <w:tcW w:w="126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8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6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" w:right="0" w:firstLine="1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其它补充措施：</w:t>
            </w:r>
          </w:p>
        </w:tc>
        <w:tc>
          <w:tcPr>
            <w:tcW w:w="126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8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作业负责人意见：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签名：时间：年月日时分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8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签名：时间：年月日时分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  <w:jc w:val="center"/>
        </w:trPr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工作结束确认人和结束时间</w:t>
            </w:r>
          </w:p>
        </w:tc>
        <w:tc>
          <w:tcPr>
            <w:tcW w:w="4152" w:type="pct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作业负责人签名：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96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</w:tc>
      </w:tr>
    </w:tbl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817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17" w:right="1417" w:bottom="1417" w:left="1588" w:header="284" w:footer="1418" w:gutter="0"/>
          <w:pgNumType w:fmt="decimal"/>
          <w:cols w:space="720" w:num="1"/>
          <w:docGrid w:linePitch="582" w:charSpace="-886"/>
        </w:sectPr>
      </w:pPr>
    </w:p>
    <w:p>
      <w:pPr>
        <w:pStyle w:val="4"/>
        <w:spacing w:line="240" w:lineRule="auto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24" w:name="_Toc21466"/>
      <w:bookmarkStart w:id="25" w:name="_Toc18106"/>
      <w:bookmarkStart w:id="26" w:name="_Toc13423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消防设备外观检查表</w:t>
      </w:r>
      <w:bookmarkEnd w:id="24"/>
      <w:bookmarkEnd w:id="25"/>
      <w:bookmarkEnd w:id="26"/>
    </w:p>
    <w:p>
      <w:p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2"/>
          <w:highlight w:val="none"/>
        </w:rPr>
        <w:t xml:space="preserve">检查人员：                                                                     </w:t>
      </w:r>
    </w:p>
    <w:tbl>
      <w:tblPr>
        <w:tblStyle w:val="12"/>
        <w:tblW w:w="5389" w:type="pct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62"/>
        <w:gridCol w:w="4801"/>
        <w:gridCol w:w="1178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35" w:type="pct"/>
            <w:shd w:val="clear" w:color="auto" w:fill="99999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3" w:type="pct"/>
            <w:shd w:val="clear" w:color="auto" w:fill="99999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检测项目</w:t>
            </w:r>
          </w:p>
        </w:tc>
        <w:tc>
          <w:tcPr>
            <w:tcW w:w="2442" w:type="pct"/>
            <w:shd w:val="clear" w:color="auto" w:fill="99999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检查项目</w:t>
            </w:r>
          </w:p>
        </w:tc>
        <w:tc>
          <w:tcPr>
            <w:tcW w:w="599" w:type="pct"/>
            <w:shd w:val="clear" w:color="auto" w:fill="99999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检查区域</w:t>
            </w:r>
          </w:p>
        </w:tc>
        <w:tc>
          <w:tcPr>
            <w:tcW w:w="929" w:type="pct"/>
            <w:shd w:val="clear" w:color="auto" w:fill="99999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消防手动报警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安装牢固，标识明显清晰，无遮挡、污染；巡检灯正常。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喷淋头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外观干净、整洁，无污染；是否被装饰物遮挡；玻璃管无破损、滴漏；高温（93oC）常温（68oC）配置合理；安装是否到位。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喷淋末端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安装牢固，标识明显清晰，无遮挡，压力表正常，有排水设施。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正压送风口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外观干净、整洁；无变形，无阻挡；电磁阀安装正常，手动开启功能良好。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消防广播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外观干净、整洁，无污染；是否被装饰物遮挡。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应急照明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亮度是否正常、区域安装是否均匀覆盖。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安全指示标志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发光型的通电后能正常发光；外观无破损、视觉清晰；位置正确布局合理；安全指示灯与疏散方向是否一致。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疏散通道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畅通无阻，无垃圾堆放；通道内无构筑物；防烟楼梯间及通道内有照明灯。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消火栓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配件齐全（水带、水枪、阀门、启泵按钮等）；外观箱体无变形、无破损；消火栓标识清楚、醒目；启泵按钮灯巡检正常。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水炮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无遮挡、污染；无故障显示。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防火卷帘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外观是否完整、牢固、稳定、整洁，无污染；是否被装饰物遮挡；导轨喇叭口正常；上升下降无异响；可以升降，动作流畅。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防火门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外观完整、牢固；是否被装饰物遮挡；五金件齐全（闭门器、顺序器、门锁等）；门体开启灵活、无变形破损；门锁安装方向及门体开启方向与实际疏散方向一致。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室外水泵接合器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外观是否有锈迹，保护盖板是否正常。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消防中控室</w:t>
            </w:r>
          </w:p>
        </w:tc>
        <w:tc>
          <w:tcPr>
            <w:tcW w:w="244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操作盘有无灰尘、工作指示灯是否正常。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 w:cs="宋体"/>
          <w:color w:val="auto"/>
          <w:highlight w:val="none"/>
        </w:rPr>
      </w:pPr>
    </w:p>
    <w:p>
      <w:pPr>
        <w:pStyle w:val="4"/>
        <w:spacing w:line="240" w:lineRule="auto"/>
        <w:outlineLvl w:val="1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br w:type="page"/>
      </w:r>
      <w:bookmarkStart w:id="27" w:name="_Toc22509"/>
      <w:bookmarkStart w:id="28" w:name="_Toc16010"/>
      <w:bookmarkStart w:id="29" w:name="_Toc20055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消防设备检测记录表</w:t>
      </w:r>
      <w:bookmarkEnd w:id="27"/>
      <w:bookmarkEnd w:id="28"/>
      <w:bookmarkEnd w:id="29"/>
    </w:p>
    <w:tbl>
      <w:tblPr>
        <w:tblStyle w:val="12"/>
        <w:tblW w:w="90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932"/>
        <w:gridCol w:w="797"/>
        <w:gridCol w:w="3969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项 目</w:t>
            </w:r>
          </w:p>
        </w:tc>
        <w:tc>
          <w:tcPr>
            <w:tcW w:w="5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检测处置情况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正常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故障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故障描述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消防手动报警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喷淋末端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防排烟阀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正压送风阀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消防广播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应急照明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安全指示标志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消火栓启泵按钮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消防水炮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防火卷帘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消防水泵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维保人员（签名）：              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工程人员（签名）：              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消防专员（签名）：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当班负责人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（签名）：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部长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（签名）：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1、情况正常打“ √ ”，存在问题或故障的打“ × ”并对故障予以描述，无此项的打“ ／ ” 。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2、对发现问题应及时处理，当场不能处置的要填报《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设施设备报修记录表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》。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3、有数据要求的填写实测数据。</w:t>
            </w:r>
          </w:p>
        </w:tc>
      </w:tr>
    </w:tbl>
    <w:p>
      <w:pPr>
        <w:rPr>
          <w:rFonts w:hint="eastAsia" w:ascii="宋体" w:hAnsi="宋体" w:cs="宋体"/>
          <w:color w:val="auto"/>
          <w:highlight w:val="none"/>
        </w:rPr>
      </w:pPr>
    </w:p>
    <w:p>
      <w:pPr>
        <w:spacing w:before="72"/>
        <w:ind w:left="-619" w:leftChars="-295" w:right="-808" w:rightChars="-385"/>
        <w:jc w:val="center"/>
        <w:outlineLvl w:val="1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br w:type="page"/>
      </w:r>
      <w:bookmarkStart w:id="30" w:name="_Toc4883"/>
      <w:bookmarkStart w:id="31" w:name="_Toc28063"/>
      <w:bookmarkStart w:id="32" w:name="_Toc22033"/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消防设施、器材___月检查表</w:t>
      </w:r>
      <w:bookmarkEnd w:id="30"/>
      <w:bookmarkEnd w:id="31"/>
      <w:bookmarkEnd w:id="32"/>
    </w:p>
    <w:p>
      <w:pPr>
        <w:spacing w:before="72"/>
        <w:rPr>
          <w:rFonts w:hint="eastAsia" w:ascii="宋体" w:hAnsi="宋体" w:cs="宋体"/>
          <w:b/>
          <w:color w:val="auto"/>
          <w:highlight w:val="none"/>
        </w:rPr>
      </w:pPr>
    </w:p>
    <w:tbl>
      <w:tblPr>
        <w:tblStyle w:val="12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687"/>
        <w:gridCol w:w="716"/>
        <w:gridCol w:w="776"/>
        <w:gridCol w:w="770"/>
        <w:gridCol w:w="1145"/>
        <w:gridCol w:w="713"/>
        <w:gridCol w:w="778"/>
        <w:gridCol w:w="928"/>
        <w:gridCol w:w="958"/>
        <w:gridCol w:w="694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13335</wp:posOffset>
                      </wp:positionV>
                      <wp:extent cx="596265" cy="581660"/>
                      <wp:effectExtent l="3175" t="3175" r="10160" b="952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65" cy="5816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4.6pt;margin-top:1.05pt;height:45.8pt;width:46.95pt;z-index:251659264;mso-width-relative:page;mso-height-relative:page;" filled="f" stroked="t" coordsize="21600,21600" o:gfxdata="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0TN0u1gAAAAYBAAAPAAAAAAAAAAEAIAAAACIAAABkcnMvZG93bnJldi54bWxQ&#10;SwECFAAUAAAACACHTuJASuMK3fkBAADnAwAADgAAAAAAAAABACAAAAAl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楼层</w:t>
            </w:r>
          </w:p>
        </w:tc>
        <w:tc>
          <w:tcPr>
            <w:tcW w:w="480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消火栓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灭火器</w:t>
            </w:r>
          </w:p>
        </w:tc>
        <w:tc>
          <w:tcPr>
            <w:tcW w:w="7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水枪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水带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水喉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阀门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报警按钮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罐体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压力表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有效期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7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4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9918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填表说明：①巡视项：齐全或完好划“√”，缺失或故障划“×”；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1256" w:leftChars="484" w:right="0" w:hanging="240" w:hanging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②卫生项：标准为消火栓内无杂物和灰尘，灭火器箱内无杂物，罐体干净为合格。合格划“√”不合格划“×”；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 w:firstLine="1200" w:firstLineChars="5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③巡查设备参照点位图和设施清单。</w:t>
            </w:r>
          </w:p>
        </w:tc>
      </w:tr>
    </w:tbl>
    <w:p>
      <w:pPr>
        <w:jc w:val="left"/>
        <w:rPr>
          <w:rFonts w:hint="eastAsia" w:ascii="宋体" w:hAnsi="宋体" w:cs="宋体"/>
          <w:color w:val="auto"/>
          <w:sz w:val="22"/>
          <w:highlight w:val="none"/>
        </w:rPr>
      </w:pPr>
      <w:r>
        <w:rPr>
          <w:rFonts w:hint="eastAsia" w:ascii="宋体" w:hAnsi="宋体" w:cs="宋体"/>
          <w:color w:val="auto"/>
          <w:sz w:val="22"/>
          <w:highlight w:val="none"/>
        </w:rPr>
        <w:t xml:space="preserve">检查人：                      </w:t>
      </w:r>
      <w:r>
        <w:rPr>
          <w:rFonts w:hint="eastAsia" w:ascii="宋体" w:hAnsi="宋体" w:cs="宋体"/>
          <w:color w:val="auto"/>
          <w:sz w:val="22"/>
          <w:highlight w:val="none"/>
          <w:lang w:val="en-US" w:eastAsia="zh-CN"/>
        </w:rPr>
        <w:t>各部门当班负责人</w:t>
      </w:r>
      <w:r>
        <w:rPr>
          <w:rFonts w:hint="eastAsia" w:ascii="宋体" w:hAnsi="宋体" w:cs="宋体"/>
          <w:color w:val="auto"/>
          <w:sz w:val="22"/>
          <w:highlight w:val="none"/>
        </w:rPr>
        <w:t xml:space="preserve">：                      </w:t>
      </w:r>
      <w:r>
        <w:rPr>
          <w:rFonts w:hint="eastAsia" w:ascii="宋体" w:hAnsi="宋体" w:cs="宋体"/>
          <w:color w:val="auto"/>
          <w:sz w:val="22"/>
          <w:highlight w:val="none"/>
          <w:lang w:val="en-US" w:eastAsia="zh-CN"/>
        </w:rPr>
        <w:t>各部门部长</w:t>
      </w:r>
      <w:r>
        <w:rPr>
          <w:rFonts w:hint="eastAsia" w:ascii="宋体" w:hAnsi="宋体" w:cs="宋体"/>
          <w:color w:val="auto"/>
          <w:sz w:val="22"/>
          <w:highlight w:val="none"/>
        </w:rPr>
        <w:t>: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  <w:sectPr>
          <w:pgSz w:w="11906" w:h="16838"/>
          <w:pgMar w:top="1417" w:right="1417" w:bottom="1417" w:left="1588" w:header="284" w:footer="1418" w:gutter="0"/>
          <w:pgNumType w:fmt="decimal"/>
          <w:cols w:space="720" w:num="1"/>
          <w:docGrid w:linePitch="582" w:charSpace="-886"/>
        </w:sectPr>
      </w:pPr>
    </w:p>
    <w:p>
      <w:pPr>
        <w:pStyle w:val="4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33" w:name="_Toc28598"/>
      <w:bookmarkStart w:id="34" w:name="_Toc4124"/>
      <w:bookmarkStart w:id="35" w:name="_Toc12071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每日防火巡查记录</w:t>
      </w:r>
      <w:bookmarkEnd w:id="33"/>
      <w:bookmarkEnd w:id="34"/>
      <w:bookmarkEnd w:id="35"/>
    </w:p>
    <w:p>
      <w:pPr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项目：                                                                                                              日期：</w:t>
      </w:r>
    </w:p>
    <w:tbl>
      <w:tblPr>
        <w:tblStyle w:val="12"/>
        <w:tblpPr w:leftFromText="180" w:rightFromText="180" w:vertAnchor="text" w:horzAnchor="margin" w:tblpXSpec="center" w:tblpY="41"/>
        <w:tblW w:w="13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5553"/>
        <w:gridCol w:w="817"/>
        <w:gridCol w:w="824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巡查内容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巡查结果</w:t>
            </w:r>
          </w:p>
        </w:tc>
        <w:tc>
          <w:tcPr>
            <w:tcW w:w="5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7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是（√）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否（╳）</w:t>
            </w:r>
          </w:p>
        </w:tc>
        <w:tc>
          <w:tcPr>
            <w:tcW w:w="52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消防车车道是否保持畅通；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室内疏散楼梯、走道、安全出口是否畅通；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安全疏散指示标识、安全出口标识、应急照明完好有效好；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常闭式防火门是否处于关闭状态；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用火、用电是否违章情况；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办公结束后员工是否清理现场，是否切断非必要电源，是否留下火灾隐患；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电气设施设备是否正常运行，是否有不符合电气安装和使用规程的情况；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仓库货物是否按规定堆放、储存；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易燃易爆物品是否分类，严格管理，是否符合防火防爆要求；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消防安全重点部位，设置的禁烟禁火等各种文字、符号的防火标志是否完好；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火灾危险或禁烟场所是否有人吸烟，使用火源；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值班人员是否遵守安全管理制度，懂得消防基本知识；是否经过消防安全培训；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值班人员是否履行消防安全职责；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消防主机是否处于自动状态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消防主机主电、备电设备是否正常运行；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消防主机是否有火警反馈信号未及时处理；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消防主机是否有设备故障反馈未登记处理；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消防电话是否保持正常畅通；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消防广播的点动、联动是否正常有效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消防主机与自动报警灭火系统是否正常联动；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消防水池、消防水箱水位是否位于标示线以上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消防水泵及控制柜是否处于自动工作状态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消防水泵是否可以远程启动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室内外消火栓箱是否完好有效；标识是否齐全；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屋顶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试验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栓是否有水，是否有静态压力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喷头、报警阀组组件是否完好、标识是否明确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各管道末端是否有水，末端压力是否高于0.05MPa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紧急按钮、轿厢内电话是否完好有效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灭火器是否按要求配置；是否摆放在指定位置；是否完好有效；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658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其他消防安全情况：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巡查人员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各部门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52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21"/>
        <w:ind w:firstLine="0" w:firstLineChars="0"/>
        <w:jc w:val="center"/>
        <w:outlineLvl w:val="1"/>
        <w:rPr>
          <w:b/>
          <w:bCs w:val="0"/>
          <w:color w:val="auto"/>
          <w:sz w:val="28"/>
          <w:szCs w:val="28"/>
          <w:highlight w:val="none"/>
        </w:rPr>
      </w:pPr>
      <w:bookmarkStart w:id="36" w:name="_Toc4499"/>
      <w:r>
        <w:rPr>
          <w:rFonts w:hint="eastAsia"/>
          <w:b/>
          <w:bCs w:val="0"/>
          <w:color w:val="auto"/>
          <w:sz w:val="28"/>
          <w:szCs w:val="28"/>
          <w:highlight w:val="none"/>
        </w:rPr>
        <w:br w:type="page"/>
      </w:r>
      <w:bookmarkStart w:id="37" w:name="_Toc32664"/>
      <w:bookmarkStart w:id="38" w:name="_Toc29366"/>
      <w:r>
        <w:rPr>
          <w:rFonts w:hint="eastAsia"/>
          <w:b/>
          <w:bCs w:val="0"/>
          <w:color w:val="auto"/>
          <w:sz w:val="28"/>
          <w:szCs w:val="28"/>
          <w:highlight w:val="none"/>
        </w:rPr>
        <w:t>消防系统安全检查清单</w:t>
      </w:r>
      <w:bookmarkEnd w:id="36"/>
      <w:bookmarkEnd w:id="37"/>
      <w:bookmarkEnd w:id="38"/>
    </w:p>
    <w:tbl>
      <w:tblPr>
        <w:tblStyle w:val="12"/>
        <w:tblW w:w="502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0222"/>
        <w:gridCol w:w="1327"/>
        <w:gridCol w:w="1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检查人：         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检查项目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是否符合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探测器及手报按钮测试报警正常，中控信号反馈及时准确，无人为系统隔离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消火栓箱定期检查并填写记录卡片，箱门开启灵活未破损，未锁闭，箱内装置齐全和完好，编码醒目，指示标识清晰。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消火栓栓口距地高度1.1m左右，静压在0.07Mpa-1Mpa之间，动压不超过0.5Mpa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消火栓按钮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可直接启泵，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只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能作为报警信号，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中控室有反馈信号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室外栓栓口水压不小于0.1Mpa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气体灭火系统储气瓶压力在正常范围内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气体灭火模拟测试时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放气标志灯功能正常，主机有反馈信号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气体灭火系统气体防护区内维护墙、门、窗的耐火、强度、耐压登记符合国家标准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风机、管道、防火阀门、风口外观完好、无遮挡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风机联动启停功能正常，中控室有启停返回信号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正压送风口应具备防烟功能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重要机房设置消防分机电话（消防水泵房、变配电房、机房等）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300" w:lineRule="exact"/>
        <w:ind w:firstLine="422" w:firstLineChars="200"/>
        <w:jc w:val="left"/>
        <w:rPr>
          <w:rFonts w:hint="eastAsia"/>
          <w:b/>
          <w:bCs/>
          <w:color w:val="auto"/>
          <w:szCs w:val="21"/>
          <w:highlight w:val="none"/>
        </w:rPr>
      </w:pPr>
      <w:r>
        <w:rPr>
          <w:rFonts w:hint="eastAsia"/>
          <w:b/>
          <w:bCs/>
          <w:color w:val="auto"/>
          <w:szCs w:val="21"/>
          <w:highlight w:val="none"/>
        </w:rPr>
        <w:t>注：1、情况正常打</w:t>
      </w:r>
      <w:r>
        <w:rPr>
          <w:rFonts w:hint="eastAsia"/>
          <w:b/>
          <w:bCs/>
          <w:color w:val="auto"/>
          <w:highlight w:val="none"/>
        </w:rPr>
        <w:t>“</w:t>
      </w:r>
      <w:r>
        <w:rPr>
          <w:rFonts w:ascii="Arial" w:hAnsi="Arial" w:cs="Arial"/>
          <w:b/>
          <w:bCs/>
          <w:color w:val="auto"/>
          <w:highlight w:val="none"/>
        </w:rPr>
        <w:t>√</w:t>
      </w:r>
      <w:r>
        <w:rPr>
          <w:rFonts w:hint="eastAsia"/>
          <w:b/>
          <w:bCs/>
          <w:color w:val="auto"/>
          <w:highlight w:val="none"/>
        </w:rPr>
        <w:t>”</w:t>
      </w:r>
      <w:r>
        <w:rPr>
          <w:rFonts w:hint="eastAsia"/>
          <w:b/>
          <w:bCs/>
          <w:color w:val="auto"/>
          <w:szCs w:val="21"/>
          <w:highlight w:val="none"/>
        </w:rPr>
        <w:t>存在问题打“X”，并在备注栏中写明存在问题及处理情况。</w:t>
      </w:r>
    </w:p>
    <w:p>
      <w:pPr>
        <w:spacing w:line="300" w:lineRule="exact"/>
        <w:ind w:firstLine="422" w:firstLineChars="200"/>
        <w:jc w:val="left"/>
        <w:rPr>
          <w:b/>
          <w:bCs/>
          <w:color w:val="auto"/>
          <w:szCs w:val="21"/>
          <w:highlight w:val="none"/>
        </w:rPr>
      </w:pPr>
      <w:r>
        <w:rPr>
          <w:rFonts w:hint="eastAsia"/>
          <w:b/>
          <w:bCs/>
          <w:color w:val="auto"/>
          <w:szCs w:val="21"/>
          <w:highlight w:val="none"/>
        </w:rPr>
        <w:t>2、对发现的问题应及时处置，无法当场处置的要立即向消防安全责任人或管理人报告。</w:t>
      </w:r>
    </w:p>
    <w:p>
      <w:pPr>
        <w:pStyle w:val="2"/>
        <w:rPr>
          <w:rFonts w:hint="eastAsia"/>
          <w:color w:val="auto"/>
          <w:highlight w:val="none"/>
        </w:rPr>
        <w:sectPr>
          <w:pgSz w:w="16838" w:h="11906" w:orient="landscape"/>
          <w:pgMar w:top="1417" w:right="1417" w:bottom="1417" w:left="1587" w:header="284" w:footer="1418" w:gutter="0"/>
          <w:pgNumType w:fmt="decimal"/>
          <w:cols w:space="720" w:num="1"/>
          <w:docGrid w:linePitch="582" w:charSpace="-886"/>
        </w:sectPr>
      </w:pPr>
    </w:p>
    <w:p>
      <w:pPr>
        <w:pStyle w:val="4"/>
        <w:spacing w:line="240" w:lineRule="auto"/>
        <w:outlineLvl w:val="1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sectPr>
          <w:type w:val="continuous"/>
          <w:pgSz w:w="16838" w:h="11906" w:orient="landscape"/>
          <w:pgMar w:top="1588" w:right="2098" w:bottom="1474" w:left="1928" w:header="284" w:footer="1418" w:gutter="0"/>
          <w:pgNumType w:fmt="decimal"/>
          <w:cols w:space="720" w:num="1"/>
          <w:docGrid w:linePitch="582" w:charSpace="-886"/>
        </w:sectPr>
      </w:pPr>
    </w:p>
    <w:p>
      <w:pPr>
        <w:pStyle w:val="4"/>
        <w:spacing w:line="240" w:lineRule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39" w:name="_Toc4778"/>
      <w:bookmarkStart w:id="40" w:name="_Toc26430"/>
      <w:bookmarkStart w:id="41" w:name="_Toc3154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消防器材检查表</w:t>
      </w:r>
      <w:bookmarkEnd w:id="39"/>
      <w:bookmarkEnd w:id="40"/>
      <w:bookmarkEnd w:id="41"/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器材类型：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灭火器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消防栓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88"/>
        <w:gridCol w:w="2159"/>
        <w:gridCol w:w="940"/>
        <w:gridCol w:w="1341"/>
        <w:gridCol w:w="1560"/>
        <w:gridCol w:w="3554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月份</w:t>
            </w:r>
          </w:p>
        </w:tc>
        <w:tc>
          <w:tcPr>
            <w:tcW w:w="13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21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检查状况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检查人</w:t>
            </w:r>
          </w:p>
        </w:tc>
        <w:tc>
          <w:tcPr>
            <w:tcW w:w="3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异常描述</w:t>
            </w: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676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417" w:right="1417" w:bottom="1417" w:left="1587" w:header="284" w:footer="1418" w:gutter="0"/>
          <w:pgNumType w:fmt="decimal"/>
          <w:cols w:space="720" w:num="1"/>
          <w:docGrid w:linePitch="582" w:charSpace="-886"/>
        </w:sectPr>
      </w:pPr>
      <w:r>
        <w:rPr>
          <w:rFonts w:hint="eastAsia"/>
          <w:b/>
          <w:bCs/>
          <w:lang w:val="en-US" w:eastAsia="zh-CN"/>
        </w:rPr>
        <w:t>注：合格划“</w:t>
      </w:r>
      <w:r>
        <w:rPr>
          <w:rFonts w:hint="default" w:ascii="Arial" w:hAnsi="Arial" w:cs="Arial"/>
          <w:b/>
          <w:bCs/>
          <w:lang w:val="en-US" w:eastAsia="zh-CN"/>
        </w:rPr>
        <w:t>√</w:t>
      </w:r>
      <w:r>
        <w:rPr>
          <w:rFonts w:hint="eastAsia"/>
          <w:b/>
          <w:bCs/>
          <w:lang w:val="en-US" w:eastAsia="zh-CN"/>
        </w:rPr>
        <w:t>”，不合格划“</w:t>
      </w:r>
      <w:r>
        <w:rPr>
          <w:rFonts w:hint="default" w:ascii="Arial" w:hAnsi="Arial" w:cs="Arial"/>
          <w:b/>
          <w:bCs/>
          <w:lang w:val="en-US" w:eastAsia="zh-CN"/>
        </w:rPr>
        <w:t>×</w:t>
      </w:r>
      <w:r>
        <w:rPr>
          <w:rFonts w:hint="eastAsia"/>
          <w:b/>
          <w:bCs/>
          <w:lang w:val="en-US" w:eastAsia="zh-CN"/>
        </w:rPr>
        <w:t>”并及时通知相关单位改善。</w:t>
      </w:r>
    </w:p>
    <w:p>
      <w:pPr>
        <w:pStyle w:val="4"/>
        <w:spacing w:line="240" w:lineRule="auto"/>
        <w:outlineLvl w:val="1"/>
        <w:rPr>
          <w:rFonts w:hint="eastAsia"/>
          <w:sz w:val="28"/>
          <w:szCs w:val="28"/>
          <w:lang w:val="en-US" w:eastAsia="zh-CN"/>
        </w:rPr>
      </w:pPr>
      <w:bookmarkStart w:id="42" w:name="_Toc7468"/>
      <w:bookmarkStart w:id="43" w:name="_Toc15821"/>
      <w:bookmarkStart w:id="44" w:name="_Toc7394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变配电室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安全检查清单</w:t>
      </w:r>
      <w:bookmarkEnd w:id="42"/>
      <w:bookmarkEnd w:id="43"/>
      <w:bookmarkEnd w:id="44"/>
    </w:p>
    <w:tbl>
      <w:tblPr>
        <w:tblStyle w:val="12"/>
        <w:tblW w:w="496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8866"/>
        <w:gridCol w:w="1267"/>
        <w:gridCol w:w="24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检查人：               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变配电管理制度（上墙）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安全操作辨识明显清晰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严格执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行三票三制（工作票、操作票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、作业安全措施票、交接班制、巡回检查制、设备定期试验及轮换制）和各项安全操作规程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运行记录保存完好，值班记录、交接班记录、日常巡视记录及时、完整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配电间门、窗关闭应密合，与外室相通孔洞应设防鼠、蛇类小动物的挡鼠板或网罩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提供变压器测度监测记录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通风、温度控制良好，定期进行设备测温检查，检查结果合格（提供记录）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变配电间按要求配备相应数量的合格消防器材，灭火器按规定放于灭火器箱内，保持完好有效。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变配电设备定期检验合格，绝缘工具检验合格标签在有效期内。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2101"/>
        </w:tabs>
        <w:bidi w:val="0"/>
        <w:jc w:val="left"/>
        <w:rPr>
          <w:rFonts w:hint="eastAsia" w:eastAsia="宋体"/>
          <w:lang w:val="en-US" w:eastAsia="zh-CN"/>
        </w:rPr>
        <w:sectPr>
          <w:pgSz w:w="16838" w:h="11906" w:orient="landscape"/>
          <w:pgMar w:top="1417" w:right="1417" w:bottom="1417" w:left="1587" w:header="284" w:footer="1418" w:gutter="0"/>
          <w:pgNumType w:fmt="decimal"/>
          <w:cols w:space="720" w:num="1"/>
          <w:docGrid w:linePitch="582" w:charSpace="-886"/>
        </w:sectPr>
      </w:pPr>
      <w:r>
        <w:rPr>
          <w:rFonts w:hint="eastAsia"/>
          <w:b/>
          <w:bCs/>
          <w:sz w:val="21"/>
          <w:szCs w:val="21"/>
        </w:rPr>
        <w:t>注：1、情况正常打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“√”，不合格打“×”，在备注栏写不合格原因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pStyle w:val="4"/>
        <w:spacing w:line="240" w:lineRule="auto"/>
        <w:outlineLvl w:val="1"/>
        <w:rPr>
          <w:rFonts w:hint="eastAsia" w:ascii="宋体" w:hAnsi="宋体" w:eastAsia="宋体" w:cs="宋体"/>
          <w:color w:val="auto"/>
          <w:highlight w:val="none"/>
        </w:rPr>
      </w:pPr>
      <w:bookmarkStart w:id="45" w:name="_Toc20786"/>
      <w:bookmarkStart w:id="46" w:name="_Toc18221"/>
      <w:bookmarkStart w:id="47" w:name="_Toc8449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现场日常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巡查记录表</w:t>
      </w:r>
      <w:bookmarkEnd w:id="45"/>
      <w:bookmarkEnd w:id="46"/>
      <w:bookmarkEnd w:id="47"/>
    </w:p>
    <w:tbl>
      <w:tblPr>
        <w:tblStyle w:val="12"/>
        <w:tblW w:w="502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90"/>
        <w:gridCol w:w="1419"/>
        <w:gridCol w:w="3979"/>
        <w:gridCol w:w="4208"/>
        <w:gridCol w:w="1167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巡查日期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巡查时间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巡查情况</w:t>
            </w:r>
          </w:p>
        </w:tc>
        <w:tc>
          <w:tcPr>
            <w:tcW w:w="1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处理措施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巡查人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 w:cs="宋体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  <w:sectPr>
          <w:pgSz w:w="16838" w:h="11906" w:orient="landscape"/>
          <w:pgMar w:top="1417" w:right="1417" w:bottom="1417" w:left="1587" w:header="284" w:footer="1418" w:gutter="0"/>
          <w:pgNumType w:fmt="decimal"/>
          <w:cols w:space="720" w:num="1"/>
          <w:docGrid w:linePitch="582" w:charSpace="-886"/>
        </w:sectPr>
      </w:pPr>
    </w:p>
    <w:p>
      <w:pPr>
        <w:pStyle w:val="4"/>
        <w:spacing w:line="240" w:lineRule="auto"/>
        <w:outlineLvl w:val="1"/>
        <w:rPr>
          <w:rFonts w:hint="eastAsia" w:ascii="宋体" w:hAnsi="宋体" w:eastAsia="宋体" w:cs="宋体"/>
          <w:color w:val="auto"/>
          <w:highlight w:val="none"/>
        </w:rPr>
      </w:pPr>
      <w:bookmarkStart w:id="48" w:name="_Toc14877"/>
      <w:bookmarkStart w:id="49" w:name="_Toc18378"/>
      <w:bookmarkStart w:id="50" w:name="_Toc28282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应急照明及疏散指示维修保养统计表</w:t>
      </w:r>
      <w:bookmarkEnd w:id="48"/>
      <w:bookmarkEnd w:id="49"/>
      <w:bookmarkEnd w:id="50"/>
    </w:p>
    <w:tbl>
      <w:tblPr>
        <w:tblStyle w:val="12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86"/>
        <w:gridCol w:w="714"/>
        <w:gridCol w:w="532"/>
        <w:gridCol w:w="543"/>
        <w:gridCol w:w="485"/>
        <w:gridCol w:w="973"/>
        <w:gridCol w:w="514"/>
        <w:gridCol w:w="585"/>
        <w:gridCol w:w="1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设施设备名称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应急照明及疏散指示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2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年份</w:t>
            </w:r>
          </w:p>
        </w:tc>
        <w:tc>
          <w:tcPr>
            <w:tcW w:w="2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保养周期</w:t>
            </w:r>
          </w:p>
        </w:tc>
        <w:tc>
          <w:tcPr>
            <w:tcW w:w="2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</w:t>
            </w: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日期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保养内容</w:t>
            </w:r>
          </w:p>
        </w:tc>
        <w:tc>
          <w:tcPr>
            <w:tcW w:w="299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保养标准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1.完好状态检查</w:t>
            </w:r>
          </w:p>
        </w:tc>
        <w:tc>
          <w:tcPr>
            <w:tcW w:w="299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0" w:right="-74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无丢失、无破损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0" w:right="-74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2.切断正常供电试验</w:t>
            </w:r>
          </w:p>
        </w:tc>
        <w:tc>
          <w:tcPr>
            <w:tcW w:w="299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0" w:right="-74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供电时间符合产品要求，照度在正常范围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统计内容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74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1.完好状态检查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个，异常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74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异常情况说明：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74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74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74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 切断正常供电试验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个，异常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74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异常情况说明：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74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74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74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3．其他情况说明：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74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-74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维修保养人：                         主管签字：           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总经理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签字：</w:t>
      </w:r>
    </w:p>
    <w:p>
      <w:pPr>
        <w:pStyle w:val="4"/>
        <w:spacing w:line="240" w:lineRule="auto"/>
        <w:outlineLvl w:val="1"/>
        <w:rPr>
          <w:rFonts w:hint="eastAsia" w:ascii="宋体" w:hAnsi="宋体" w:eastAsia="宋体" w:cs="宋体"/>
          <w:color w:val="auto"/>
          <w:highlight w:val="none"/>
        </w:rPr>
      </w:pPr>
      <w:bookmarkStart w:id="51" w:name="_Toc7054"/>
      <w:bookmarkStart w:id="52" w:name="_Toc17436"/>
      <w:bookmarkStart w:id="53" w:name="_Toc11921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强电系统漏电保护器维修保养统计表</w:t>
      </w:r>
      <w:bookmarkEnd w:id="51"/>
      <w:bookmarkEnd w:id="52"/>
      <w:bookmarkEnd w:id="53"/>
    </w:p>
    <w:tbl>
      <w:tblPr>
        <w:tblStyle w:val="12"/>
        <w:tblpPr w:leftFromText="180" w:rightFromText="180" w:vertAnchor="text" w:horzAnchor="margin" w:tblpXSpec="center" w:tblpY="5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709"/>
        <w:gridCol w:w="567"/>
        <w:gridCol w:w="709"/>
        <w:gridCol w:w="708"/>
        <w:gridCol w:w="1134"/>
        <w:gridCol w:w="567"/>
        <w:gridCol w:w="709"/>
        <w:gridCol w:w="1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设备名称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漏电保护器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保养周期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日期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维修保养内容</w:t>
            </w:r>
          </w:p>
        </w:tc>
        <w:tc>
          <w:tcPr>
            <w:tcW w:w="57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 xml:space="preserve">维修保养标准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1.技术交底和安全教育</w:t>
            </w:r>
          </w:p>
        </w:tc>
        <w:tc>
          <w:tcPr>
            <w:tcW w:w="5741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技术交底清楚准确；安全教育符合工作要求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2.清扫</w:t>
            </w:r>
          </w:p>
        </w:tc>
        <w:tc>
          <w:tcPr>
            <w:tcW w:w="5741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控制柜内无明显灰尘，无杂物，杂线应理顺绑扎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3.测试复位</w:t>
            </w:r>
          </w:p>
        </w:tc>
        <w:tc>
          <w:tcPr>
            <w:tcW w:w="5741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保护器分合负荷能力正常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4.电器检查</w:t>
            </w:r>
          </w:p>
        </w:tc>
        <w:tc>
          <w:tcPr>
            <w:tcW w:w="57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对保护器检查绝缘老化、有无过流迹象，触头表面镀层的磨损程度及有无严重腐蚀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统计内容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5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8647"/>
              </w:tabs>
              <w:autoSpaceDN w:val="0"/>
              <w:spacing w:before="0" w:beforeAutospacing="0" w:after="0" w:afterAutospacing="0" w:line="360" w:lineRule="auto"/>
              <w:ind w:left="0" w:right="-73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1.清扫、整理控制柜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台；不合格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异常情况说明：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95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2.测试复位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台；不合格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异常情况说明：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5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3.电器检查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台；不合格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异常情况说明：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5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4.其他情况说明：</w:t>
            </w:r>
          </w:p>
        </w:tc>
      </w:tr>
    </w:tbl>
    <w:p>
      <w:p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维修保养人：                          主管签字：            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总经理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签字：</w:t>
      </w:r>
    </w:p>
    <w:p>
      <w:pPr>
        <w:pStyle w:val="4"/>
        <w:spacing w:line="240" w:lineRule="auto"/>
        <w:outlineLvl w:val="1"/>
        <w:rPr>
          <w:rFonts w:hint="eastAsia" w:ascii="宋体" w:hAnsi="宋体" w:eastAsia="宋体" w:cs="宋体"/>
          <w:color w:val="auto"/>
          <w:highlight w:val="none"/>
        </w:rPr>
      </w:pPr>
      <w:bookmarkStart w:id="54" w:name="_Toc14934"/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  <w:br w:type="page"/>
      </w:r>
      <w:bookmarkEnd w:id="54"/>
      <w:bookmarkStart w:id="55" w:name="_Toc6787"/>
      <w:bookmarkStart w:id="56" w:name="_Toc21016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外包作业人员登记表</w:t>
      </w:r>
      <w:bookmarkEnd w:id="55"/>
      <w:bookmarkEnd w:id="56"/>
    </w:p>
    <w:tbl>
      <w:tblPr>
        <w:tblStyle w:val="12"/>
        <w:tblW w:w="50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17"/>
        <w:gridCol w:w="2105"/>
        <w:gridCol w:w="1484"/>
        <w:gridCol w:w="1619"/>
        <w:gridCol w:w="972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序号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姓名</w:t>
            </w:r>
          </w:p>
        </w:tc>
        <w:tc>
          <w:tcPr>
            <w:tcW w:w="113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身份证号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外包单位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特种作业资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格证审核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证件有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效期限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2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3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4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5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6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7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8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9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10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11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12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13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14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15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16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17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18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19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20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35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21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526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  <w:tc>
          <w:tcPr>
            <w:tcW w:w="803" w:type="pc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highlight w:val="none"/>
              </w:rPr>
            </w:pPr>
          </w:p>
        </w:tc>
      </w:tr>
    </w:tbl>
    <w:p>
      <w:pPr>
        <w:jc w:val="both"/>
        <w:rPr>
          <w:rFonts w:hint="eastAsia" w:ascii="宋体" w:hAnsi="宋体" w:cs="宋体"/>
          <w:color w:val="auto"/>
          <w:highlight w:val="none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17" w:right="1417" w:bottom="1417" w:left="1588" w:header="284" w:footer="1418" w:gutter="0"/>
      <w:pgNumType w:fmt="decimal"/>
      <w:cols w:space="720" w:num="1"/>
      <w:docGrid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AFDAB"/>
    <w:multiLevelType w:val="singleLevel"/>
    <w:tmpl w:val="C51AFDAB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abstractNum w:abstractNumId="1">
    <w:nsid w:val="1FE603BE"/>
    <w:multiLevelType w:val="singleLevel"/>
    <w:tmpl w:val="1FE603B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2">
    <w:nsid w:val="24AAFBF4"/>
    <w:multiLevelType w:val="singleLevel"/>
    <w:tmpl w:val="24AAFBF4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abstractNum w:abstractNumId="3">
    <w:nsid w:val="26D36156"/>
    <w:multiLevelType w:val="singleLevel"/>
    <w:tmpl w:val="26D3615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7A487213"/>
    <w:multiLevelType w:val="singleLevel"/>
    <w:tmpl w:val="7A48721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jg3ZTQ0YjJjMTI0NzZiMjgzNzJhYjM5MzEzNGUifQ=="/>
  </w:docVars>
  <w:rsids>
    <w:rsidRoot w:val="10DA38FB"/>
    <w:rsid w:val="00AF71ED"/>
    <w:rsid w:val="012C1988"/>
    <w:rsid w:val="012D2791"/>
    <w:rsid w:val="018A58CB"/>
    <w:rsid w:val="019375FD"/>
    <w:rsid w:val="022A4754"/>
    <w:rsid w:val="026558D4"/>
    <w:rsid w:val="04561939"/>
    <w:rsid w:val="04FC3687"/>
    <w:rsid w:val="05F975F3"/>
    <w:rsid w:val="0679414E"/>
    <w:rsid w:val="07CC09EB"/>
    <w:rsid w:val="08C52A21"/>
    <w:rsid w:val="0B704808"/>
    <w:rsid w:val="0B8454C7"/>
    <w:rsid w:val="0C0568DE"/>
    <w:rsid w:val="0DA46866"/>
    <w:rsid w:val="0E673E10"/>
    <w:rsid w:val="10417A9D"/>
    <w:rsid w:val="107E484D"/>
    <w:rsid w:val="10DA38FB"/>
    <w:rsid w:val="11B61DC5"/>
    <w:rsid w:val="12E56E05"/>
    <w:rsid w:val="137A6782"/>
    <w:rsid w:val="1505376E"/>
    <w:rsid w:val="1777708B"/>
    <w:rsid w:val="18450C4A"/>
    <w:rsid w:val="18542A1D"/>
    <w:rsid w:val="195824A4"/>
    <w:rsid w:val="19593B1A"/>
    <w:rsid w:val="195C49A7"/>
    <w:rsid w:val="199E2BFC"/>
    <w:rsid w:val="1A206F63"/>
    <w:rsid w:val="1BC913BE"/>
    <w:rsid w:val="1C9E598F"/>
    <w:rsid w:val="1CE974F2"/>
    <w:rsid w:val="1D2B7B0B"/>
    <w:rsid w:val="1E561E79"/>
    <w:rsid w:val="1EBF675C"/>
    <w:rsid w:val="1EE72A7D"/>
    <w:rsid w:val="1F05401B"/>
    <w:rsid w:val="1F356A1F"/>
    <w:rsid w:val="1FB72765"/>
    <w:rsid w:val="1FEC71A3"/>
    <w:rsid w:val="217A2D72"/>
    <w:rsid w:val="224C1CF5"/>
    <w:rsid w:val="22A52EFA"/>
    <w:rsid w:val="22F540AB"/>
    <w:rsid w:val="237D2742"/>
    <w:rsid w:val="23995239"/>
    <w:rsid w:val="248A26FF"/>
    <w:rsid w:val="253D1389"/>
    <w:rsid w:val="259B3353"/>
    <w:rsid w:val="27E62FAC"/>
    <w:rsid w:val="28BD52FB"/>
    <w:rsid w:val="28F214DC"/>
    <w:rsid w:val="29E17ECF"/>
    <w:rsid w:val="2AF26DA0"/>
    <w:rsid w:val="2B0413D6"/>
    <w:rsid w:val="2C0D1EBD"/>
    <w:rsid w:val="2C4C55F8"/>
    <w:rsid w:val="2D923066"/>
    <w:rsid w:val="2E522D8F"/>
    <w:rsid w:val="2EE1755E"/>
    <w:rsid w:val="2FF47DCD"/>
    <w:rsid w:val="30AF76EE"/>
    <w:rsid w:val="31427B9B"/>
    <w:rsid w:val="314B5BD0"/>
    <w:rsid w:val="3224240A"/>
    <w:rsid w:val="325411A8"/>
    <w:rsid w:val="325A541F"/>
    <w:rsid w:val="328F68FE"/>
    <w:rsid w:val="356D139C"/>
    <w:rsid w:val="35AB133E"/>
    <w:rsid w:val="375F0685"/>
    <w:rsid w:val="384A0187"/>
    <w:rsid w:val="3A5C70FE"/>
    <w:rsid w:val="3AEB7631"/>
    <w:rsid w:val="3B290B26"/>
    <w:rsid w:val="3B367055"/>
    <w:rsid w:val="3CB61DCD"/>
    <w:rsid w:val="3CC40972"/>
    <w:rsid w:val="3E395CD3"/>
    <w:rsid w:val="3F870779"/>
    <w:rsid w:val="3F8A2017"/>
    <w:rsid w:val="3FC1704C"/>
    <w:rsid w:val="4028745E"/>
    <w:rsid w:val="40EB67D0"/>
    <w:rsid w:val="41200E85"/>
    <w:rsid w:val="42A12C0C"/>
    <w:rsid w:val="42F053DB"/>
    <w:rsid w:val="43074B31"/>
    <w:rsid w:val="43D460DE"/>
    <w:rsid w:val="440E508B"/>
    <w:rsid w:val="44623562"/>
    <w:rsid w:val="448D53C6"/>
    <w:rsid w:val="449B7291"/>
    <w:rsid w:val="456A21D8"/>
    <w:rsid w:val="45D77CED"/>
    <w:rsid w:val="46EC1F48"/>
    <w:rsid w:val="492B03C7"/>
    <w:rsid w:val="4A001C3D"/>
    <w:rsid w:val="4B8F1EE5"/>
    <w:rsid w:val="4B964574"/>
    <w:rsid w:val="4DEA2284"/>
    <w:rsid w:val="4DFE10C7"/>
    <w:rsid w:val="4EDD6D5B"/>
    <w:rsid w:val="51703763"/>
    <w:rsid w:val="545C4D62"/>
    <w:rsid w:val="562E336B"/>
    <w:rsid w:val="57797ED8"/>
    <w:rsid w:val="57BA41AC"/>
    <w:rsid w:val="58482E44"/>
    <w:rsid w:val="592945D2"/>
    <w:rsid w:val="5A7A11AE"/>
    <w:rsid w:val="5B1B724B"/>
    <w:rsid w:val="5C8703A9"/>
    <w:rsid w:val="5CE5303A"/>
    <w:rsid w:val="5E8F5010"/>
    <w:rsid w:val="5FA55E0F"/>
    <w:rsid w:val="60110E2F"/>
    <w:rsid w:val="61C565C4"/>
    <w:rsid w:val="6299369A"/>
    <w:rsid w:val="631770DE"/>
    <w:rsid w:val="65C241C7"/>
    <w:rsid w:val="663B1F55"/>
    <w:rsid w:val="66545505"/>
    <w:rsid w:val="665D4E3F"/>
    <w:rsid w:val="6709391F"/>
    <w:rsid w:val="67583C38"/>
    <w:rsid w:val="68BD1AA3"/>
    <w:rsid w:val="690F401E"/>
    <w:rsid w:val="692B6B20"/>
    <w:rsid w:val="6999742B"/>
    <w:rsid w:val="6A9506BB"/>
    <w:rsid w:val="6D3B11A1"/>
    <w:rsid w:val="6D4F4E9D"/>
    <w:rsid w:val="6D51581F"/>
    <w:rsid w:val="6E0A5A8E"/>
    <w:rsid w:val="6E2824AC"/>
    <w:rsid w:val="6E5538F4"/>
    <w:rsid w:val="6E5D0EFB"/>
    <w:rsid w:val="6EEB10B3"/>
    <w:rsid w:val="6F5C3D87"/>
    <w:rsid w:val="6FD809F9"/>
    <w:rsid w:val="70F73101"/>
    <w:rsid w:val="72656A29"/>
    <w:rsid w:val="729E2309"/>
    <w:rsid w:val="761E3887"/>
    <w:rsid w:val="76A40C42"/>
    <w:rsid w:val="78860A23"/>
    <w:rsid w:val="78CF6711"/>
    <w:rsid w:val="7C0616B4"/>
    <w:rsid w:val="7E5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widowControl/>
      <w:adjustRightInd w:val="0"/>
      <w:snapToGrid w:val="0"/>
      <w:spacing w:before="200" w:beforeLines="200" w:after="200" w:afterLines="200" w:line="360" w:lineRule="auto"/>
      <w:ind w:firstLine="0" w:firstLineChars="0"/>
      <w:jc w:val="center"/>
      <w:outlineLvl w:val="0"/>
    </w:pPr>
    <w:rPr>
      <w:rFonts w:ascii="黑体" w:hAnsi="黑体" w:eastAsia="黑体"/>
      <w:kern w:val="0"/>
      <w:sz w:val="32"/>
      <w:szCs w:val="28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adjustRightInd w:val="0"/>
      <w:snapToGrid w:val="0"/>
      <w:spacing w:before="100" w:beforeLines="100" w:after="100" w:afterLines="100" w:line="360" w:lineRule="auto"/>
      <w:ind w:firstLine="0" w:firstLineChars="0"/>
      <w:jc w:val="center"/>
      <w:outlineLvl w:val="1"/>
    </w:pPr>
    <w:rPr>
      <w:rFonts w:ascii="Arial" w:hAnsi="Arial" w:eastAsia="楷体"/>
      <w:bCs/>
      <w:sz w:val="32"/>
      <w:szCs w:val="32"/>
    </w:rPr>
  </w:style>
  <w:style w:type="paragraph" w:styleId="5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widowControl/>
      <w:adjustRightInd w:val="0"/>
      <w:snapToGri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/>
      <w:bCs/>
      <w:szCs w:val="32"/>
    </w:rPr>
  </w:style>
  <w:style w:type="paragraph" w:styleId="6">
    <w:name w:val="heading 4"/>
    <w:basedOn w:val="1"/>
    <w:next w:val="1"/>
    <w:link w:val="18"/>
    <w:autoRedefine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 w:eastAsia="黑体"/>
      <w:bCs/>
      <w:szCs w:val="28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paragraph" w:styleId="8">
    <w:name w:val="Body Text"/>
    <w:basedOn w:val="1"/>
    <w:uiPriority w:val="0"/>
    <w:pPr>
      <w:spacing w:after="120" w:afterLines="0" w:afterAutospacing="0"/>
    </w:p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0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11">
    <w:name w:val="Body Text First Indent 2"/>
    <w:basedOn w:val="9"/>
    <w:autoRedefine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2 Char"/>
    <w:basedOn w:val="14"/>
    <w:link w:val="4"/>
    <w:autoRedefine/>
    <w:qFormat/>
    <w:uiPriority w:val="0"/>
    <w:rPr>
      <w:rFonts w:ascii="Arial" w:hAnsi="Arial" w:eastAsia="楷体"/>
      <w:bCs/>
      <w:kern w:val="2"/>
      <w:sz w:val="32"/>
      <w:szCs w:val="32"/>
      <w:lang w:val="en-US" w:eastAsia="zh-CN" w:bidi="ar-SA"/>
    </w:rPr>
  </w:style>
  <w:style w:type="character" w:customStyle="1" w:styleId="16">
    <w:name w:val="标题 1 Char"/>
    <w:link w:val="3"/>
    <w:autoRedefine/>
    <w:qFormat/>
    <w:uiPriority w:val="0"/>
    <w:rPr>
      <w:rFonts w:ascii="Times New Roman" w:hAnsi="Times New Roman" w:eastAsia="黑体"/>
      <w:b/>
      <w:bCs/>
      <w:kern w:val="2"/>
      <w:sz w:val="32"/>
      <w:szCs w:val="24"/>
    </w:rPr>
  </w:style>
  <w:style w:type="character" w:customStyle="1" w:styleId="17">
    <w:name w:val="标题 3 Char"/>
    <w:link w:val="5"/>
    <w:autoRedefine/>
    <w:qFormat/>
    <w:uiPriority w:val="0"/>
    <w:rPr>
      <w:rFonts w:ascii="Times New Roman" w:hAnsi="Times New Roman" w:eastAsia="黑体"/>
      <w:bCs/>
      <w:kern w:val="2"/>
      <w:sz w:val="28"/>
      <w:szCs w:val="32"/>
      <w:lang w:val="en-US" w:eastAsia="zh-CN" w:bidi="ar-SA"/>
    </w:rPr>
  </w:style>
  <w:style w:type="character" w:customStyle="1" w:styleId="18">
    <w:name w:val="标题 4 Char"/>
    <w:link w:val="6"/>
    <w:autoRedefine/>
    <w:qFormat/>
    <w:uiPriority w:val="0"/>
    <w:rPr>
      <w:rFonts w:ascii="Arial" w:hAnsi="Arial" w:eastAsia="黑体"/>
      <w:bCs/>
      <w:kern w:val="2"/>
      <w:sz w:val="28"/>
      <w:szCs w:val="2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font5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正文样式"/>
    <w:autoRedefine/>
    <w:unhideWhenUsed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snapToGrid w:val="0"/>
      <w:sz w:val="2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2024-01-27T09:05:00Z</dcterms:created>
  <dc:creator>愚柱。</dc:creator>
  <cp:lastModifiedBy>愚柱。</cp:lastModifiedBy>
  <dcterms:modified xsi:type="dcterms:W3CDTF">2024-01-27T09:05:42Z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0716C82D2A854E85B8B073A17FEE9DC6_11</vt:lpwstr>
  </property>
</Properties>
</file>