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企业安全检查清单</w:t>
      </w:r>
      <w:bookmarkStart w:id="0" w:name="_GoBack"/>
      <w:bookmarkEnd w:id="0"/>
    </w:p>
    <w:tbl>
      <w:tblPr>
        <w:tblStyle w:val="3"/>
        <w:tblW w:w="14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08"/>
        <w:gridCol w:w="379"/>
        <w:gridCol w:w="1646"/>
        <w:gridCol w:w="7588"/>
        <w:gridCol w:w="150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461"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33" w:type="dxa"/>
            <w:gridSpan w:val="3"/>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检查项目</w:t>
            </w:r>
          </w:p>
        </w:tc>
        <w:tc>
          <w:tcPr>
            <w:tcW w:w="7588"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检查标准及要求</w:t>
            </w:r>
          </w:p>
        </w:tc>
        <w:tc>
          <w:tcPr>
            <w:tcW w:w="1500" w:type="dxa"/>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检查方式</w:t>
            </w:r>
          </w:p>
        </w:tc>
        <w:tc>
          <w:tcPr>
            <w:tcW w:w="2355" w:type="dxa"/>
            <w:noWrap w:val="0"/>
            <w:vAlign w:val="center"/>
          </w:tcPr>
          <w:p>
            <w:pPr>
              <w:widowControl/>
              <w:ind w:firstLine="287"/>
              <w:jc w:val="center"/>
              <w:rPr>
                <w:rFonts w:hint="eastAsia" w:ascii="宋体" w:hAnsi="宋体" w:cs="宋体"/>
                <w:b/>
                <w:bCs/>
                <w:kern w:val="0"/>
                <w:sz w:val="22"/>
                <w:szCs w:val="22"/>
              </w:rPr>
            </w:pPr>
            <w:r>
              <w:rPr>
                <w:rFonts w:hint="eastAsia" w:ascii="宋体" w:hAnsi="宋体" w:cs="宋体"/>
                <w:b/>
                <w:bCs/>
                <w:kern w:val="0"/>
                <w:sz w:val="22"/>
                <w:szCs w:val="22"/>
              </w:rPr>
              <w:t>存在问题及建议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461"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408" w:type="dxa"/>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粮食和物资储备安全</w:t>
            </w:r>
          </w:p>
        </w:tc>
        <w:tc>
          <w:tcPr>
            <w:tcW w:w="379" w:type="dxa"/>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646"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粮食和物资</w:t>
            </w:r>
          </w:p>
          <w:p>
            <w:pPr>
              <w:widowControl/>
              <w:jc w:val="center"/>
              <w:rPr>
                <w:rFonts w:hint="eastAsia" w:ascii="仿宋" w:hAnsi="仿宋" w:eastAsia="仿宋" w:cs="仿宋"/>
                <w:b/>
                <w:bCs/>
                <w:kern w:val="0"/>
                <w:sz w:val="24"/>
              </w:rPr>
            </w:pPr>
            <w:r>
              <w:rPr>
                <w:rFonts w:hint="eastAsia" w:ascii="仿宋" w:hAnsi="仿宋" w:eastAsia="仿宋" w:cs="仿宋"/>
                <w:b/>
                <w:bCs/>
                <w:kern w:val="0"/>
                <w:sz w:val="24"/>
              </w:rPr>
              <w:t>储备安全</w:t>
            </w:r>
          </w:p>
        </w:tc>
        <w:tc>
          <w:tcPr>
            <w:tcW w:w="7588" w:type="dxa"/>
            <w:noWrap w:val="0"/>
            <w:vAlign w:val="center"/>
          </w:tcPr>
          <w:p>
            <w:pPr>
              <w:widowControl/>
              <w:jc w:val="left"/>
              <w:rPr>
                <w:rFonts w:ascii="宋体" w:hAnsi="宋体" w:eastAsia="仿宋" w:cs="宋体"/>
                <w:kern w:val="0"/>
                <w:sz w:val="22"/>
                <w:szCs w:val="22"/>
              </w:rPr>
            </w:pPr>
            <w:r>
              <w:rPr>
                <w:rFonts w:hint="eastAsia" w:ascii="仿宋" w:hAnsi="仿宋" w:eastAsia="仿宋" w:cs="仿宋"/>
                <w:kern w:val="0"/>
                <w:sz w:val="24"/>
              </w:rPr>
              <w:t>①是否落实“一规定、两守则”对储粮仓房应具备“九防”、“四处理”基本功能的规定；</w:t>
            </w:r>
            <w:r>
              <w:rPr>
                <w:rFonts w:hint="eastAsia" w:ascii="仿宋" w:hAnsi="仿宋" w:eastAsia="仿宋" w:cs="仿宋"/>
                <w:sz w:val="24"/>
              </w:rPr>
              <w:t>②</w:t>
            </w:r>
            <w:r>
              <w:rPr>
                <w:rFonts w:hint="eastAsia" w:ascii="仿宋" w:hAnsi="仿宋" w:eastAsia="仿宋" w:cs="仿宋"/>
                <w:kern w:val="0"/>
                <w:sz w:val="24"/>
              </w:rPr>
              <w:t>是否执行粮情检查制度、物资储备检查制度，并做好记录存档；</w:t>
            </w:r>
            <w:r>
              <w:rPr>
                <w:rFonts w:hint="eastAsia" w:ascii="仿宋" w:hAnsi="仿宋" w:eastAsia="仿宋" w:cs="仿宋"/>
                <w:sz w:val="24"/>
              </w:rPr>
              <w:t>③</w:t>
            </w:r>
            <w:r>
              <w:rPr>
                <w:rFonts w:hint="eastAsia" w:ascii="仿宋" w:hAnsi="仿宋" w:eastAsia="仿宋" w:cs="仿宋"/>
                <w:kern w:val="0"/>
                <w:sz w:val="24"/>
              </w:rPr>
              <w:t>仓内保管粮无变质、无害虫、无鼠雀、无超设计装粮高度储粮、无储粮安全事故；</w:t>
            </w:r>
            <w:r>
              <w:rPr>
                <w:rFonts w:hint="eastAsia" w:ascii="仿宋" w:hAnsi="仿宋" w:eastAsia="仿宋" w:cs="仿宋"/>
                <w:sz w:val="24"/>
              </w:rPr>
              <w:t>④</w:t>
            </w:r>
            <w:r>
              <w:rPr>
                <w:rFonts w:hint="eastAsia" w:ascii="仿宋" w:hAnsi="仿宋" w:eastAsia="仿宋" w:cs="仿宋"/>
                <w:kern w:val="0"/>
                <w:sz w:val="24"/>
              </w:rPr>
              <w:t>规范全面如实填写粮食和物资储备检查各项记录。</w:t>
            </w:r>
            <w:r>
              <w:rPr>
                <w:rFonts w:hint="eastAsia" w:ascii="仿宋" w:hAnsi="仿宋" w:eastAsia="仿宋" w:cs="仿宋"/>
                <w:sz w:val="24"/>
              </w:rPr>
              <w:t>⑤库房、罩棚、油罐主体及配套设施是否完好</w:t>
            </w:r>
            <w:r>
              <w:rPr>
                <w:rFonts w:hint="eastAsia" w:ascii="仿宋" w:hAnsi="仿宋" w:eastAsia="仿宋" w:cs="仿宋"/>
                <w:kern w:val="0"/>
                <w:sz w:val="24"/>
                <w:lang w:eastAsia="zh-CN"/>
              </w:rPr>
              <w:t>。</w:t>
            </w:r>
          </w:p>
        </w:tc>
        <w:tc>
          <w:tcPr>
            <w:tcW w:w="1500" w:type="dxa"/>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widowControl/>
              <w:jc w:val="left"/>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461" w:type="dxa"/>
            <w:vMerge w:val="restart"/>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二</w:t>
            </w:r>
          </w:p>
        </w:tc>
        <w:tc>
          <w:tcPr>
            <w:tcW w:w="408" w:type="dxa"/>
            <w:vMerge w:val="restart"/>
            <w:noWrap w:val="0"/>
            <w:vAlign w:val="center"/>
          </w:tcPr>
          <w:p>
            <w:pPr>
              <w:widowControl/>
              <w:jc w:val="left"/>
              <w:rPr>
                <w:rFonts w:hint="eastAsia" w:ascii="宋体" w:hAnsi="宋体" w:cs="宋体"/>
                <w:b/>
                <w:bCs/>
                <w:kern w:val="0"/>
                <w:sz w:val="24"/>
              </w:rPr>
            </w:pPr>
            <w:r>
              <w:rPr>
                <w:rFonts w:hint="eastAsia" w:ascii="宋体" w:hAnsi="宋体" w:cs="宋体"/>
                <w:b/>
                <w:bCs/>
                <w:kern w:val="0"/>
                <w:sz w:val="24"/>
              </w:rPr>
              <w:t>安全生产现场管理</w:t>
            </w:r>
          </w:p>
        </w:tc>
        <w:tc>
          <w:tcPr>
            <w:tcW w:w="379" w:type="dxa"/>
            <w:noWrap/>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1646"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2"/>
                <w:szCs w:val="22"/>
              </w:rPr>
              <w:t>装卸作业安全</w:t>
            </w:r>
          </w:p>
        </w:tc>
        <w:tc>
          <w:tcPr>
            <w:tcW w:w="7588" w:type="dxa"/>
            <w:noWrap w:val="0"/>
            <w:vAlign w:val="center"/>
          </w:tcPr>
          <w:p>
            <w:pPr>
              <w:rPr>
                <w:rFonts w:eastAsia="仿宋"/>
              </w:rPr>
            </w:pPr>
            <w:r>
              <w:rPr>
                <w:rFonts w:hint="eastAsia" w:ascii="仿宋" w:hAnsi="仿宋" w:eastAsia="仿宋" w:cs="仿宋"/>
                <w:kern w:val="0"/>
                <w:sz w:val="24"/>
              </w:rPr>
              <w:t>①是否严格按照规定操作使用输送机等机械设备；②是否按要求佩戴个人防护用具，仓内应设有安全绳系留装置，并配有安全绳；③作业现场有无安全员现场监管；④作业现场有无安全警示标识；⑤作业现场机械设备是否摆放平稳牢固，轮下有无三角楔防溜装置；⑥有无违章作业行为</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61" w:type="dxa"/>
            <w:vMerge w:val="continue"/>
            <w:noWrap w:val="0"/>
            <w:vAlign w:val="center"/>
          </w:tcPr>
          <w:p>
            <w:pPr>
              <w:widowControl/>
              <w:jc w:val="left"/>
              <w:rPr>
                <w:rFonts w:ascii="宋体" w:hAnsi="宋体" w:cs="宋体"/>
                <w:kern w:val="0"/>
                <w:sz w:val="22"/>
                <w:szCs w:val="22"/>
              </w:rPr>
            </w:pPr>
          </w:p>
        </w:tc>
        <w:tc>
          <w:tcPr>
            <w:tcW w:w="408" w:type="dxa"/>
            <w:vMerge w:val="continue"/>
            <w:noWrap w:val="0"/>
            <w:vAlign w:val="center"/>
          </w:tcPr>
          <w:p>
            <w:pPr>
              <w:widowControl/>
              <w:jc w:val="left"/>
              <w:rPr>
                <w:rFonts w:ascii="宋体" w:hAnsi="宋体" w:cs="宋体"/>
                <w:b/>
                <w:bCs/>
                <w:kern w:val="0"/>
                <w:sz w:val="24"/>
              </w:rPr>
            </w:pPr>
          </w:p>
        </w:tc>
        <w:tc>
          <w:tcPr>
            <w:tcW w:w="379" w:type="dxa"/>
            <w:noWrap/>
            <w:vAlign w:val="center"/>
          </w:tcPr>
          <w:p>
            <w:pPr>
              <w:widowControl/>
              <w:jc w:val="center"/>
              <w:rPr>
                <w:rFonts w:hint="eastAsia" w:ascii="宋体" w:hAnsi="宋体" w:cs="宋体"/>
                <w:b/>
                <w:bCs/>
                <w:kern w:val="0"/>
                <w:sz w:val="24"/>
              </w:rPr>
            </w:pPr>
            <w:r>
              <w:rPr>
                <w:rFonts w:hint="eastAsia" w:ascii="宋体" w:hAnsi="宋体" w:cs="宋体"/>
                <w:b/>
                <w:bCs/>
                <w:kern w:val="0"/>
                <w:sz w:val="24"/>
              </w:rPr>
              <w:t>3</w:t>
            </w:r>
          </w:p>
        </w:tc>
        <w:tc>
          <w:tcPr>
            <w:tcW w:w="1646" w:type="dxa"/>
            <w:noWrap w:val="0"/>
            <w:vAlign w:val="center"/>
          </w:tcPr>
          <w:p>
            <w:pPr>
              <w:widowControl/>
              <w:jc w:val="center"/>
              <w:rPr>
                <w:rFonts w:hint="eastAsia" w:ascii="宋体" w:hAnsi="宋体" w:cs="宋体"/>
                <w:b/>
                <w:bCs/>
                <w:kern w:val="0"/>
                <w:sz w:val="22"/>
                <w:szCs w:val="22"/>
              </w:rPr>
            </w:pPr>
            <w:r>
              <w:rPr>
                <w:rFonts w:hint="eastAsia" w:ascii="仿宋" w:hAnsi="仿宋" w:eastAsia="仿宋" w:cs="仿宋"/>
                <w:b/>
                <w:bCs/>
                <w:kern w:val="0"/>
                <w:sz w:val="24"/>
              </w:rPr>
              <w:t>储粮化学药剂熏蒸作业现场</w:t>
            </w:r>
          </w:p>
        </w:tc>
        <w:tc>
          <w:tcPr>
            <w:tcW w:w="7588" w:type="dxa"/>
            <w:noWrap w:val="0"/>
            <w:vAlign w:val="center"/>
          </w:tcPr>
          <w:p>
            <w:pPr>
              <w:rPr>
                <w:rFonts w:hint="eastAsia" w:ascii="宋体" w:hAnsi="宋体" w:cs="宋体"/>
                <w:kern w:val="0"/>
                <w:sz w:val="22"/>
                <w:szCs w:val="22"/>
              </w:rPr>
            </w:pPr>
            <w:r>
              <w:rPr>
                <w:rFonts w:hint="eastAsia" w:ascii="仿宋" w:hAnsi="仿宋" w:eastAsia="仿宋" w:cs="仿宋"/>
                <w:kern w:val="0"/>
                <w:sz w:val="24"/>
              </w:rPr>
              <w:t>①是否严格执行熏蒸作业三级审批制度；②是否在作业现场周围设立了警戒线、警示标识；③熏蒸作业人员是否按要求正确佩戴了正压式空气呼吸器及其它防护用具；④作业人员应具备熏蒸操作资质，应2人以上共同作业；⑤清点进仓、出仓人员数</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61"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二</w:t>
            </w:r>
          </w:p>
        </w:tc>
        <w:tc>
          <w:tcPr>
            <w:tcW w:w="408" w:type="dxa"/>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安全生产现场管理</w:t>
            </w:r>
          </w:p>
        </w:tc>
        <w:tc>
          <w:tcPr>
            <w:tcW w:w="379" w:type="dxa"/>
            <w:noWrap/>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4</w:t>
            </w:r>
          </w:p>
        </w:tc>
        <w:tc>
          <w:tcPr>
            <w:tcW w:w="1646" w:type="dxa"/>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2"/>
                <w:szCs w:val="22"/>
              </w:rPr>
              <w:t>项目施工安全</w:t>
            </w:r>
          </w:p>
        </w:tc>
        <w:tc>
          <w:tcPr>
            <w:tcW w:w="7588" w:type="dxa"/>
            <w:noWrap w:val="0"/>
            <w:vAlign w:val="center"/>
          </w:tcPr>
          <w:p>
            <w:pPr>
              <w:widowControl/>
              <w:jc w:val="left"/>
              <w:rPr>
                <w:rFonts w:hint="eastAsia" w:ascii="宋体" w:hAnsi="宋体" w:eastAsia="仿宋" w:cs="宋体"/>
                <w:kern w:val="0"/>
                <w:sz w:val="22"/>
                <w:szCs w:val="22"/>
              </w:rPr>
            </w:pPr>
            <w:r>
              <w:rPr>
                <w:rFonts w:hint="eastAsia" w:ascii="仿宋" w:hAnsi="仿宋" w:eastAsia="仿宋" w:cs="仿宋"/>
                <w:kern w:val="0"/>
                <w:sz w:val="24"/>
              </w:rPr>
              <w:t>①项目安全巡视员是否履职尽责，每日如实填写巡视情况；②工人是否正确佩戴安全防护用具；③工人是否遵守库内其它安全规定</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jc w:val="center"/>
        </w:trPr>
        <w:tc>
          <w:tcPr>
            <w:tcW w:w="461" w:type="dxa"/>
            <w:vMerge w:val="restart"/>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三</w:t>
            </w:r>
          </w:p>
        </w:tc>
        <w:tc>
          <w:tcPr>
            <w:tcW w:w="408" w:type="dxa"/>
            <w:vMerge w:val="restart"/>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安全生产日常工作</w:t>
            </w:r>
          </w:p>
        </w:tc>
        <w:tc>
          <w:tcPr>
            <w:tcW w:w="379" w:type="dxa"/>
            <w:noWrap/>
            <w:vAlign w:val="center"/>
          </w:tcPr>
          <w:p>
            <w:pPr>
              <w:widowControl/>
              <w:jc w:val="center"/>
              <w:rPr>
                <w:rFonts w:hint="eastAsia" w:ascii="宋体" w:hAnsi="宋体" w:cs="宋体"/>
                <w:b/>
                <w:bCs/>
                <w:kern w:val="0"/>
                <w:sz w:val="24"/>
              </w:rPr>
            </w:pPr>
            <w:r>
              <w:rPr>
                <w:rFonts w:hint="eastAsia" w:ascii="宋体" w:hAnsi="宋体" w:cs="宋体"/>
                <w:b/>
                <w:bCs/>
                <w:kern w:val="0"/>
                <w:sz w:val="24"/>
              </w:rPr>
              <w:t>5</w:t>
            </w:r>
          </w:p>
        </w:tc>
        <w:tc>
          <w:tcPr>
            <w:tcW w:w="1646" w:type="dxa"/>
            <w:noWrap w:val="0"/>
            <w:vAlign w:val="center"/>
          </w:tcPr>
          <w:p>
            <w:pPr>
              <w:widowControl/>
              <w:jc w:val="left"/>
              <w:rPr>
                <w:rFonts w:hint="eastAsia" w:ascii="仿宋" w:hAnsi="仿宋" w:eastAsia="仿宋" w:cs="仿宋"/>
                <w:b/>
                <w:bCs/>
                <w:kern w:val="0"/>
                <w:sz w:val="24"/>
              </w:rPr>
            </w:pPr>
            <w:r>
              <w:rPr>
                <w:rFonts w:hint="eastAsia" w:ascii="仿宋" w:hAnsi="仿宋" w:eastAsia="仿宋" w:cs="仿宋"/>
                <w:b/>
                <w:bCs/>
                <w:kern w:val="0"/>
                <w:sz w:val="24"/>
              </w:rPr>
              <w:t>化学药品使用及药品库管理</w:t>
            </w:r>
          </w:p>
        </w:tc>
        <w:tc>
          <w:tcPr>
            <w:tcW w:w="7588" w:type="dxa"/>
            <w:noWrap w:val="0"/>
            <w:vAlign w:val="center"/>
          </w:tcPr>
          <w:p>
            <w:pPr>
              <w:rPr>
                <w:rFonts w:hint="eastAsia" w:ascii="仿宋" w:hAnsi="仿宋" w:eastAsia="仿宋" w:cs="仿宋"/>
              </w:rPr>
            </w:pPr>
            <w:r>
              <w:rPr>
                <w:rFonts w:hint="eastAsia" w:ascii="仿宋" w:hAnsi="仿宋" w:eastAsia="仿宋" w:cs="仿宋"/>
                <w:kern w:val="0"/>
                <w:sz w:val="24"/>
              </w:rPr>
              <w:t>①检化验试剂使用完毕后剩余药剂是否存放于试剂柜并上锁；②熏蒸药剂残渣是否按要求妥善处理；③检化验人员是否经过专业培训持证上岗；④药品库是否严格执行“双人、双锁、双帐、双收、双发”五双管理制度；⑤进入药品库是否严格执行登记制度；⑥是否严格执行对熏蒸药剂零库存管理制度；⑦是否定期对药品库进行检查清点、通风，并登记备查；⑧防火、防盗措施是否落实到位，消防器材是否能正常使用；⑨药品库内开关、照明、排气装置等是否达到相应的防爆电器规定；⑩药品库是否设置有警示标识</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61" w:type="dxa"/>
            <w:vMerge w:val="continue"/>
            <w:noWrap w:val="0"/>
            <w:vAlign w:val="center"/>
          </w:tcPr>
          <w:p>
            <w:pPr>
              <w:widowControl/>
              <w:jc w:val="left"/>
              <w:rPr>
                <w:rFonts w:ascii="宋体" w:hAnsi="宋体" w:cs="宋体"/>
                <w:kern w:val="0"/>
                <w:sz w:val="22"/>
                <w:szCs w:val="22"/>
              </w:rPr>
            </w:pPr>
          </w:p>
        </w:tc>
        <w:tc>
          <w:tcPr>
            <w:tcW w:w="408" w:type="dxa"/>
            <w:vMerge w:val="continue"/>
            <w:noWrap w:val="0"/>
            <w:vAlign w:val="center"/>
          </w:tcPr>
          <w:p>
            <w:pPr>
              <w:widowControl/>
              <w:jc w:val="left"/>
              <w:rPr>
                <w:rFonts w:ascii="宋体" w:hAnsi="宋体" w:cs="宋体"/>
                <w:b/>
                <w:bCs/>
                <w:kern w:val="0"/>
                <w:sz w:val="24"/>
              </w:rPr>
            </w:pPr>
          </w:p>
        </w:tc>
        <w:tc>
          <w:tcPr>
            <w:tcW w:w="379" w:type="dxa"/>
            <w:noWrap/>
            <w:vAlign w:val="center"/>
          </w:tcPr>
          <w:p>
            <w:pPr>
              <w:widowControl/>
              <w:jc w:val="center"/>
              <w:rPr>
                <w:rFonts w:hint="eastAsia" w:ascii="宋体" w:hAnsi="宋体" w:cs="宋体"/>
                <w:b/>
                <w:bCs/>
                <w:kern w:val="0"/>
                <w:sz w:val="24"/>
              </w:rPr>
            </w:pPr>
            <w:r>
              <w:rPr>
                <w:rFonts w:hint="eastAsia" w:ascii="宋体" w:hAnsi="宋体" w:cs="宋体"/>
                <w:b/>
                <w:bCs/>
                <w:kern w:val="0"/>
                <w:sz w:val="24"/>
              </w:rPr>
              <w:t>6</w:t>
            </w:r>
          </w:p>
        </w:tc>
        <w:tc>
          <w:tcPr>
            <w:tcW w:w="1646"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2"/>
                <w:szCs w:val="22"/>
              </w:rPr>
              <w:t>用电安全管理</w:t>
            </w:r>
          </w:p>
        </w:tc>
        <w:tc>
          <w:tcPr>
            <w:tcW w:w="7588" w:type="dxa"/>
            <w:noWrap w:val="0"/>
            <w:vAlign w:val="center"/>
          </w:tcPr>
          <w:p>
            <w:pPr>
              <w:rPr>
                <w:rFonts w:hint="eastAsia" w:ascii="宋体" w:hAnsi="宋体" w:eastAsia="仿宋" w:cs="宋体"/>
                <w:kern w:val="0"/>
                <w:sz w:val="22"/>
                <w:szCs w:val="22"/>
              </w:rPr>
            </w:pPr>
            <w:r>
              <w:rPr>
                <w:rFonts w:hint="eastAsia" w:ascii="仿宋" w:hAnsi="仿宋" w:eastAsia="仿宋" w:cs="仿宋"/>
                <w:kern w:val="0"/>
                <w:sz w:val="24"/>
              </w:rPr>
              <w:t>①电缆线是否有破损裸露等现象；②是否有私拉乱接电源；③临时用电是否有漏电保护器；④罩棚内及仓边配电箱是否使用完毕关闭电源及配电箱门；⑤办公用电是否做到人走断电</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461" w:type="dxa"/>
            <w:vMerge w:val="restart"/>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三</w:t>
            </w:r>
          </w:p>
        </w:tc>
        <w:tc>
          <w:tcPr>
            <w:tcW w:w="408" w:type="dxa"/>
            <w:vMerge w:val="restart"/>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安全生产日常工作</w:t>
            </w:r>
          </w:p>
        </w:tc>
        <w:tc>
          <w:tcPr>
            <w:tcW w:w="379" w:type="dxa"/>
            <w:noWrap/>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7</w:t>
            </w:r>
          </w:p>
        </w:tc>
        <w:tc>
          <w:tcPr>
            <w:tcW w:w="1646"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设施设备</w:t>
            </w:r>
          </w:p>
          <w:p>
            <w:pPr>
              <w:widowControl/>
              <w:jc w:val="center"/>
              <w:rPr>
                <w:rFonts w:hint="eastAsia" w:ascii="仿宋" w:hAnsi="仿宋" w:eastAsia="仿宋" w:cs="仿宋"/>
                <w:b/>
                <w:bCs/>
                <w:kern w:val="0"/>
                <w:sz w:val="24"/>
              </w:rPr>
            </w:pPr>
            <w:r>
              <w:rPr>
                <w:rFonts w:hint="eastAsia" w:ascii="仿宋" w:hAnsi="仿宋" w:eastAsia="仿宋" w:cs="仿宋"/>
                <w:b/>
                <w:bCs/>
                <w:kern w:val="0"/>
                <w:sz w:val="24"/>
              </w:rPr>
              <w:t>安全管理</w:t>
            </w:r>
          </w:p>
        </w:tc>
        <w:tc>
          <w:tcPr>
            <w:tcW w:w="7588" w:type="dxa"/>
            <w:noWrap w:val="0"/>
            <w:vAlign w:val="center"/>
          </w:tcPr>
          <w:p>
            <w:pPr>
              <w:widowControl/>
              <w:jc w:val="left"/>
              <w:rPr>
                <w:rFonts w:hint="eastAsia" w:ascii="宋体" w:hAnsi="宋体" w:eastAsia="仿宋" w:cs="宋体"/>
                <w:kern w:val="0"/>
                <w:sz w:val="22"/>
                <w:szCs w:val="22"/>
              </w:rPr>
            </w:pPr>
            <w:r>
              <w:rPr>
                <w:rFonts w:hint="eastAsia" w:ascii="仿宋" w:hAnsi="仿宋" w:eastAsia="仿宋" w:cs="仿宋"/>
                <w:kern w:val="0"/>
                <w:sz w:val="24"/>
              </w:rPr>
              <w:t>①机械设备无带故障运行、无部件损坏、无防护（防护罩、网）缺失，是否存在使用及其它安全隐患；②特种设备操作使用是否经过岗前培训，做到持证上岗；③是否定期维修保养，并记录，使用过程是否规范</w:t>
            </w:r>
            <w:r>
              <w:rPr>
                <w:rFonts w:hint="eastAsia" w:ascii="仿宋" w:hAnsi="仿宋" w:eastAsia="仿宋" w:cs="仿宋"/>
                <w:kern w:val="0"/>
                <w:sz w:val="24"/>
                <w:lang w:eastAsia="zh-CN"/>
              </w:rPr>
              <w:t>。</w:t>
            </w:r>
          </w:p>
        </w:tc>
        <w:tc>
          <w:tcPr>
            <w:tcW w:w="1500" w:type="dxa"/>
            <w:noWrap w:val="0"/>
            <w:vAlign w:val="center"/>
          </w:tcPr>
          <w:p>
            <w:pPr>
              <w:widowControl/>
              <w:ind w:firstLine="220" w:firstLineChars="100"/>
              <w:jc w:val="left"/>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widowControl/>
              <w:jc w:val="left"/>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461" w:type="dxa"/>
            <w:vMerge w:val="continue"/>
            <w:noWrap w:val="0"/>
            <w:vAlign w:val="top"/>
          </w:tcPr>
          <w:p>
            <w:pPr>
              <w:widowControl/>
              <w:jc w:val="left"/>
              <w:rPr>
                <w:rFonts w:ascii="宋体" w:hAnsi="宋体" w:cs="宋体"/>
                <w:kern w:val="0"/>
                <w:sz w:val="22"/>
                <w:szCs w:val="22"/>
              </w:rPr>
            </w:pPr>
          </w:p>
        </w:tc>
        <w:tc>
          <w:tcPr>
            <w:tcW w:w="408" w:type="dxa"/>
            <w:vMerge w:val="continue"/>
            <w:noWrap w:val="0"/>
            <w:vAlign w:val="top"/>
          </w:tcPr>
          <w:p>
            <w:pPr>
              <w:widowControl/>
              <w:jc w:val="left"/>
              <w:rPr>
                <w:rFonts w:ascii="宋体" w:hAnsi="宋体" w:cs="宋体"/>
                <w:b/>
                <w:bCs/>
                <w:kern w:val="0"/>
                <w:sz w:val="24"/>
              </w:rPr>
            </w:pPr>
          </w:p>
        </w:tc>
        <w:tc>
          <w:tcPr>
            <w:tcW w:w="379" w:type="dxa"/>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8</w:t>
            </w:r>
          </w:p>
        </w:tc>
        <w:tc>
          <w:tcPr>
            <w:tcW w:w="1646"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2"/>
                <w:szCs w:val="22"/>
              </w:rPr>
              <w:t>动火作业安全</w:t>
            </w:r>
          </w:p>
        </w:tc>
        <w:tc>
          <w:tcPr>
            <w:tcW w:w="7588" w:type="dxa"/>
            <w:noWrap w:val="0"/>
            <w:vAlign w:val="center"/>
          </w:tcPr>
          <w:p>
            <w:pPr>
              <w:rPr>
                <w:rFonts w:hint="eastAsia" w:ascii="仿宋" w:hAnsi="仿宋" w:eastAsia="仿宋" w:cs="仿宋"/>
              </w:rPr>
            </w:pPr>
            <w:r>
              <w:rPr>
                <w:rFonts w:hint="eastAsia" w:ascii="仿宋" w:hAnsi="仿宋" w:eastAsia="仿宋" w:cs="仿宋"/>
                <w:kern w:val="0"/>
                <w:sz w:val="24"/>
              </w:rPr>
              <w:t>①动火作业是否经过审批程序；②特种作业人员是否持证上岗；③作业现场是否有专人监管，有无作业标识；④作业现场四周有无可燃易燃物质，周围有无备用灭火器</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461" w:type="dxa"/>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四</w:t>
            </w:r>
          </w:p>
        </w:tc>
        <w:tc>
          <w:tcPr>
            <w:tcW w:w="408" w:type="dxa"/>
            <w:noWrap w:val="0"/>
            <w:vAlign w:val="center"/>
          </w:tcPr>
          <w:p>
            <w:pPr>
              <w:widowControl/>
              <w:jc w:val="left"/>
              <w:rPr>
                <w:rFonts w:hint="eastAsia" w:ascii="宋体" w:hAnsi="宋体" w:cs="宋体"/>
                <w:b/>
                <w:bCs/>
                <w:kern w:val="0"/>
                <w:sz w:val="24"/>
              </w:rPr>
            </w:pPr>
            <w:r>
              <w:rPr>
                <w:rFonts w:hint="eastAsia" w:ascii="宋体" w:hAnsi="宋体" w:cs="宋体"/>
                <w:b/>
                <w:bCs/>
                <w:kern w:val="0"/>
                <w:sz w:val="24"/>
              </w:rPr>
              <w:t>消防安全管理</w:t>
            </w:r>
          </w:p>
        </w:tc>
        <w:tc>
          <w:tcPr>
            <w:tcW w:w="379" w:type="dxa"/>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9</w:t>
            </w:r>
          </w:p>
        </w:tc>
        <w:tc>
          <w:tcPr>
            <w:tcW w:w="1646"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硬件设施</w:t>
            </w:r>
          </w:p>
          <w:p>
            <w:pPr>
              <w:jc w:val="center"/>
              <w:rPr>
                <w:rFonts w:hint="eastAsia" w:ascii="仿宋" w:hAnsi="仿宋" w:eastAsia="仿宋" w:cs="仿宋"/>
                <w:b/>
                <w:bCs/>
                <w:sz w:val="24"/>
              </w:rPr>
            </w:pPr>
            <w:r>
              <w:rPr>
                <w:rFonts w:hint="eastAsia" w:ascii="仿宋" w:hAnsi="仿宋" w:eastAsia="仿宋" w:cs="仿宋"/>
                <w:b/>
                <w:bCs/>
                <w:sz w:val="24"/>
              </w:rPr>
              <w:t>教育培训</w:t>
            </w:r>
          </w:p>
          <w:p>
            <w:pPr>
              <w:jc w:val="center"/>
              <w:rPr>
                <w:rFonts w:hint="eastAsia" w:ascii="仿宋" w:hAnsi="仿宋" w:eastAsia="仿宋" w:cs="仿宋"/>
                <w:b/>
                <w:bCs/>
                <w:sz w:val="24"/>
              </w:rPr>
            </w:pPr>
            <w:r>
              <w:rPr>
                <w:rFonts w:hint="eastAsia" w:ascii="仿宋" w:hAnsi="仿宋" w:eastAsia="仿宋" w:cs="仿宋"/>
                <w:b/>
                <w:bCs/>
                <w:sz w:val="24"/>
              </w:rPr>
              <w:t>预案措施</w:t>
            </w:r>
          </w:p>
          <w:p>
            <w:pPr>
              <w:widowControl/>
              <w:jc w:val="center"/>
              <w:rPr>
                <w:rFonts w:hint="eastAsia" w:ascii="仿宋" w:hAnsi="仿宋" w:eastAsia="仿宋" w:cs="仿宋"/>
                <w:b/>
                <w:bCs/>
                <w:kern w:val="0"/>
                <w:sz w:val="24"/>
              </w:rPr>
            </w:pPr>
            <w:r>
              <w:rPr>
                <w:rFonts w:hint="eastAsia" w:ascii="仿宋" w:hAnsi="仿宋" w:eastAsia="仿宋" w:cs="仿宋"/>
                <w:b/>
                <w:bCs/>
                <w:sz w:val="24"/>
              </w:rPr>
              <w:t>定期检查</w:t>
            </w:r>
          </w:p>
        </w:tc>
        <w:tc>
          <w:tcPr>
            <w:tcW w:w="7588" w:type="dxa"/>
            <w:noWrap w:val="0"/>
            <w:vAlign w:val="center"/>
          </w:tcPr>
          <w:p>
            <w:pPr>
              <w:rPr>
                <w:rFonts w:hint="eastAsia" w:ascii="宋体" w:hAnsi="宋体" w:eastAsia="仿宋" w:cs="宋体"/>
                <w:kern w:val="0"/>
                <w:sz w:val="22"/>
                <w:szCs w:val="22"/>
              </w:rPr>
            </w:pPr>
            <w:r>
              <w:rPr>
                <w:rFonts w:hint="eastAsia" w:ascii="仿宋" w:hAnsi="仿宋" w:eastAsia="仿宋" w:cs="仿宋"/>
                <w:sz w:val="24"/>
              </w:rPr>
              <w:fldChar w:fldCharType="begin"/>
            </w:r>
            <w:r>
              <w:rPr>
                <w:rFonts w:hint="eastAsia" w:ascii="仿宋" w:hAnsi="仿宋" w:eastAsia="仿宋" w:cs="仿宋"/>
                <w:sz w:val="24"/>
              </w:rPr>
              <w:instrText xml:space="preserve"> = 1 \* GB3 \* MERGEFORMAT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消防栓应完好，无锈蚀，能正常开启放水，水压正常，消防箱内水带、扳手、水枪是否齐备完好，消防箱布局是否合理；②库区、仓内应配备足够数量灭火器，灭火器应完好有效；③消防水池应保持水源充足，要有警示标识，有无防护措施，加压泵应完好；④应严格执行禁止火种入库制度，并在门卫处设立火种收集箱，收缴火种，库内严禁明火及吸烟是否执行到位，库区内有无烟头；⑤是否定期组织消防安全教育培训以及应急预案演练，并如实记录；⑥各责任部门是否按要求填写消防箱内消防器材检查表，箱内灭火器材是否齐备，有效；⑦库内所有消防栓是否定期开启一次检查出水情况，是否定期检查消防车使用状况，确保正常使用；⑧是否向属地消防大队网上报送每日防火巡查情况（如有则报）</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1" w:type="dxa"/>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五</w:t>
            </w:r>
          </w:p>
        </w:tc>
        <w:tc>
          <w:tcPr>
            <w:tcW w:w="408" w:type="dxa"/>
            <w:noWrap w:val="0"/>
            <w:textDirection w:val="tbRlV"/>
            <w:vAlign w:val="center"/>
          </w:tcPr>
          <w:p>
            <w:pPr>
              <w:widowControl/>
              <w:jc w:val="center"/>
              <w:rPr>
                <w:rFonts w:hint="eastAsia" w:ascii="宋体" w:hAnsi="宋体" w:cs="宋体"/>
                <w:b/>
                <w:bCs/>
                <w:kern w:val="0"/>
                <w:sz w:val="24"/>
              </w:rPr>
            </w:pPr>
            <w:r>
              <w:rPr>
                <w:rFonts w:hint="eastAsia" w:ascii="宋体" w:hAnsi="宋体" w:cs="宋体"/>
                <w:b/>
                <w:bCs/>
                <w:kern w:val="0"/>
                <w:sz w:val="24"/>
              </w:rPr>
              <w:t>防汛安全管理</w:t>
            </w:r>
          </w:p>
        </w:tc>
        <w:tc>
          <w:tcPr>
            <w:tcW w:w="379" w:type="dxa"/>
            <w:noWrap w:val="0"/>
            <w:vAlign w:val="center"/>
          </w:tcPr>
          <w:p>
            <w:pPr>
              <w:widowControl/>
              <w:jc w:val="center"/>
              <w:rPr>
                <w:rFonts w:hint="eastAsia" w:ascii="宋体" w:hAnsi="宋体" w:cs="宋体"/>
                <w:b/>
                <w:bCs/>
                <w:kern w:val="0"/>
                <w:sz w:val="16"/>
                <w:szCs w:val="22"/>
              </w:rPr>
            </w:pPr>
            <w:r>
              <w:rPr>
                <w:rFonts w:hint="eastAsia" w:ascii="宋体" w:hAnsi="宋体" w:cs="宋体"/>
                <w:b/>
                <w:bCs/>
                <w:kern w:val="0"/>
                <w:sz w:val="16"/>
                <w:szCs w:val="22"/>
              </w:rPr>
              <w:t>10</w:t>
            </w:r>
          </w:p>
        </w:tc>
        <w:tc>
          <w:tcPr>
            <w:tcW w:w="1646"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物资器材</w:t>
            </w:r>
          </w:p>
          <w:p>
            <w:pPr>
              <w:jc w:val="center"/>
              <w:rPr>
                <w:rFonts w:hint="eastAsia" w:ascii="仿宋" w:hAnsi="仿宋" w:eastAsia="仿宋" w:cs="仿宋"/>
                <w:b/>
                <w:bCs/>
                <w:sz w:val="24"/>
              </w:rPr>
            </w:pPr>
            <w:r>
              <w:rPr>
                <w:rFonts w:hint="eastAsia" w:ascii="仿宋" w:hAnsi="仿宋" w:eastAsia="仿宋" w:cs="仿宋"/>
                <w:b/>
                <w:bCs/>
                <w:sz w:val="24"/>
              </w:rPr>
              <w:t>教育培训</w:t>
            </w:r>
          </w:p>
          <w:p>
            <w:pPr>
              <w:jc w:val="center"/>
              <w:rPr>
                <w:rFonts w:hint="eastAsia" w:ascii="仿宋" w:hAnsi="仿宋" w:eastAsia="仿宋" w:cs="仿宋"/>
                <w:b/>
                <w:bCs/>
                <w:sz w:val="24"/>
              </w:rPr>
            </w:pPr>
            <w:r>
              <w:rPr>
                <w:rFonts w:hint="eastAsia" w:ascii="仿宋" w:hAnsi="仿宋" w:eastAsia="仿宋" w:cs="仿宋"/>
                <w:b/>
                <w:bCs/>
                <w:sz w:val="24"/>
              </w:rPr>
              <w:t>预案措施</w:t>
            </w:r>
          </w:p>
          <w:p>
            <w:pPr>
              <w:widowControl/>
              <w:jc w:val="center"/>
              <w:rPr>
                <w:rFonts w:hint="eastAsia" w:ascii="仿宋" w:hAnsi="仿宋" w:eastAsia="仿宋" w:cs="仿宋"/>
                <w:b/>
                <w:bCs/>
                <w:kern w:val="0"/>
                <w:sz w:val="24"/>
              </w:rPr>
            </w:pPr>
            <w:r>
              <w:rPr>
                <w:rFonts w:hint="eastAsia" w:ascii="仿宋" w:hAnsi="仿宋" w:eastAsia="仿宋" w:cs="仿宋"/>
                <w:b/>
                <w:bCs/>
                <w:sz w:val="24"/>
              </w:rPr>
              <w:t>定期检查</w:t>
            </w:r>
          </w:p>
        </w:tc>
        <w:tc>
          <w:tcPr>
            <w:tcW w:w="7588" w:type="dxa"/>
            <w:noWrap w:val="0"/>
            <w:vAlign w:val="center"/>
          </w:tcPr>
          <w:p>
            <w:pPr>
              <w:widowControl/>
              <w:jc w:val="left"/>
              <w:rPr>
                <w:rFonts w:hint="eastAsia" w:ascii="宋体" w:hAnsi="宋体" w:eastAsia="仿宋" w:cs="宋体"/>
                <w:kern w:val="0"/>
                <w:sz w:val="22"/>
                <w:szCs w:val="22"/>
              </w:rPr>
            </w:pPr>
            <w:r>
              <w:rPr>
                <w:rFonts w:hint="eastAsia" w:ascii="仿宋" w:hAnsi="仿宋" w:eastAsia="仿宋" w:cs="仿宋"/>
                <w:kern w:val="0"/>
                <w:sz w:val="24"/>
              </w:rPr>
              <w:t>①应备足足够数量的防汛物资；②应配备抽水设备，排水沟渠保持畅通无堵塞；③是否制定防汛应急救援预案，并定期开展防汛应急救援演练；④汛期时每日检查防汛器材、物资是否完备有效；⑤汛期时各责任部门每日检查仓边及油罐区沟渠畅通情况、罩棚内粮堆遮盖情况以及罩棚内落水管排水情况；⑥是否落实汛期24小时值班制度</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461" w:type="dxa"/>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六</w:t>
            </w:r>
          </w:p>
        </w:tc>
        <w:tc>
          <w:tcPr>
            <w:tcW w:w="408" w:type="dxa"/>
            <w:noWrap w:val="0"/>
            <w:vAlign w:val="center"/>
          </w:tcPr>
          <w:p>
            <w:pPr>
              <w:widowControl/>
              <w:spacing w:line="240" w:lineRule="exact"/>
              <w:jc w:val="center"/>
              <w:rPr>
                <w:rFonts w:hint="eastAsia" w:ascii="宋体" w:hAnsi="宋体" w:cs="宋体"/>
                <w:b/>
                <w:bCs/>
                <w:kern w:val="0"/>
                <w:sz w:val="24"/>
              </w:rPr>
            </w:pPr>
            <w:r>
              <w:rPr>
                <w:rFonts w:hint="eastAsia" w:ascii="宋体" w:hAnsi="宋体" w:cs="宋体"/>
                <w:b/>
                <w:bCs/>
                <w:kern w:val="0"/>
                <w:sz w:val="24"/>
              </w:rPr>
              <w:t>粉尘防爆管理</w:t>
            </w:r>
          </w:p>
        </w:tc>
        <w:tc>
          <w:tcPr>
            <w:tcW w:w="379" w:type="dxa"/>
            <w:noWrap w:val="0"/>
            <w:vAlign w:val="center"/>
          </w:tcPr>
          <w:p>
            <w:pPr>
              <w:widowControl/>
              <w:jc w:val="center"/>
              <w:rPr>
                <w:rFonts w:hint="eastAsia" w:ascii="宋体" w:hAnsi="宋体" w:cs="宋体"/>
                <w:b/>
                <w:bCs/>
                <w:kern w:val="0"/>
                <w:sz w:val="24"/>
              </w:rPr>
            </w:pPr>
            <w:r>
              <w:rPr>
                <w:rFonts w:hint="eastAsia" w:ascii="宋体" w:hAnsi="宋体" w:cs="宋体"/>
                <w:b/>
                <w:bCs/>
                <w:kern w:val="0"/>
                <w:sz w:val="24"/>
              </w:rPr>
              <w:t>11</w:t>
            </w:r>
          </w:p>
        </w:tc>
        <w:tc>
          <w:tcPr>
            <w:tcW w:w="1646" w:type="dxa"/>
            <w:noWrap w:val="0"/>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粉尘防爆</w:t>
            </w:r>
          </w:p>
        </w:tc>
        <w:tc>
          <w:tcPr>
            <w:tcW w:w="7588" w:type="dxa"/>
            <w:noWrap w:val="0"/>
            <w:vAlign w:val="center"/>
          </w:tcPr>
          <w:p>
            <w:pPr>
              <w:rPr>
                <w:rFonts w:hint="eastAsia" w:ascii="仿宋" w:hAnsi="仿宋" w:eastAsia="仿宋" w:cs="仿宋"/>
                <w:lang w:eastAsia="zh-CN"/>
              </w:rPr>
            </w:pPr>
            <w:r>
              <w:rPr>
                <w:rFonts w:hint="eastAsia" w:ascii="仿宋" w:hAnsi="仿宋" w:eastAsia="仿宋" w:cs="仿宋"/>
                <w:kern w:val="0"/>
                <w:sz w:val="24"/>
              </w:rPr>
              <w:t>①涉爆场所安全措施是否落实到位，是否定期开展粉尘防爆专项检查；②是否定期对涉爆场所机械设备、电气线路、作业环境的积尘进行清洁，定期对设施设备进行检修、保养；③</w:t>
            </w:r>
            <w:r>
              <w:rPr>
                <w:rFonts w:hint="eastAsia" w:ascii="仿宋" w:hAnsi="仿宋" w:eastAsia="仿宋" w:cs="仿宋"/>
                <w:sz w:val="24"/>
              </w:rPr>
              <w:t>是否有效采取人防与技防措施防止安全事故发生；</w:t>
            </w:r>
            <w:r>
              <w:rPr>
                <w:rFonts w:hint="eastAsia" w:ascii="仿宋" w:hAnsi="仿宋" w:eastAsia="仿宋" w:cs="仿宋"/>
                <w:kern w:val="0"/>
                <w:sz w:val="24"/>
              </w:rPr>
              <w:t>④涉爆场所电气设备是否符合防爆防静电要求；⑤</w:t>
            </w:r>
            <w:r>
              <w:rPr>
                <w:rFonts w:hint="eastAsia" w:ascii="仿宋" w:hAnsi="仿宋" w:eastAsia="仿宋" w:cs="仿宋"/>
                <w:sz w:val="24"/>
              </w:rPr>
              <w:t>是否建立隐患排查机制确保防爆安全；</w:t>
            </w:r>
            <w:r>
              <w:rPr>
                <w:rFonts w:hint="eastAsia" w:ascii="仿宋" w:hAnsi="仿宋" w:eastAsia="仿宋" w:cs="仿宋"/>
                <w:kern w:val="0"/>
                <w:sz w:val="24"/>
              </w:rPr>
              <w:t>⑥是否建立相应的应急预案</w:t>
            </w:r>
            <w:r>
              <w:rPr>
                <w:rFonts w:hint="eastAsia" w:ascii="仿宋" w:hAnsi="仿宋" w:eastAsia="仿宋" w:cs="仿宋"/>
                <w:kern w:val="0"/>
                <w:sz w:val="24"/>
                <w:lang w:eastAsia="zh-CN"/>
              </w:rPr>
              <w:t>。</w:t>
            </w:r>
          </w:p>
        </w:tc>
        <w:tc>
          <w:tcPr>
            <w:tcW w:w="1500" w:type="dxa"/>
            <w:noWrap w:val="0"/>
            <w:vAlign w:val="center"/>
          </w:tcPr>
          <w:p>
            <w:pPr>
              <w:ind w:firstLine="220" w:firstLineChars="100"/>
              <w:rPr>
                <w:rFonts w:hint="eastAsia" w:ascii="宋体" w:hAnsi="宋体" w:cs="宋体"/>
                <w:kern w:val="0"/>
                <w:sz w:val="22"/>
                <w:szCs w:val="22"/>
              </w:rPr>
            </w:pPr>
            <w:r>
              <w:rPr>
                <w:rFonts w:hint="eastAsia" w:ascii="宋体" w:hAnsi="宋体" w:cs="宋体"/>
                <w:kern w:val="0"/>
                <w:sz w:val="22"/>
                <w:szCs w:val="22"/>
              </w:rPr>
              <w:t>现场检查</w:t>
            </w:r>
          </w:p>
        </w:tc>
        <w:tc>
          <w:tcPr>
            <w:tcW w:w="2355" w:type="dxa"/>
            <w:noWrap w:val="0"/>
            <w:vAlign w:val="center"/>
          </w:tcPr>
          <w:p>
            <w:pPr>
              <w:rPr>
                <w:rFonts w:hint="eastAsia" w:ascii="宋体" w:hAnsi="宋体" w:cs="宋体"/>
                <w:kern w:val="0"/>
                <w:sz w:val="22"/>
                <w:szCs w:val="22"/>
              </w:rPr>
            </w:pPr>
          </w:p>
        </w:tc>
      </w:tr>
    </w:tbl>
    <w:p>
      <w:pPr>
        <w:jc w:val="left"/>
        <w:rPr>
          <w:rFonts w:hint="eastAsia" w:ascii="仿宋" w:hAnsi="仿宋" w:eastAsia="仿宋" w:cs="仿宋"/>
          <w:b/>
          <w:bCs/>
          <w:sz w:val="24"/>
        </w:rPr>
      </w:pPr>
    </w:p>
    <w:p>
      <w:pPr>
        <w:spacing w:line="580" w:lineRule="exact"/>
        <w:jc w:val="center"/>
        <w:rPr>
          <w:rFonts w:hint="eastAsia" w:ascii="宋体" w:hAnsi="宋体" w:cs="宋体"/>
          <w:b/>
          <w:bCs/>
          <w:sz w:val="44"/>
          <w:szCs w:val="44"/>
        </w:rPr>
      </w:pPr>
    </w:p>
    <w:p>
      <w:pPr>
        <w:pStyle w:val="2"/>
        <w:rPr>
          <w:rFonts w:hint="eastAsia" w:ascii="宋体" w:hAnsi="宋体" w:eastAsia="宋体" w:cs="宋体"/>
          <w:b/>
          <w:bCs/>
          <w:sz w:val="44"/>
          <w:szCs w:val="44"/>
        </w:rPr>
      </w:pPr>
    </w:p>
    <w:p>
      <w:pPr>
        <w:rPr>
          <w:rFonts w:hint="eastAsia" w:ascii="宋体" w:hAnsi="宋体" w:cs="宋体"/>
          <w:b/>
          <w:bCs/>
          <w:sz w:val="44"/>
          <w:szCs w:val="44"/>
        </w:rPr>
      </w:pPr>
    </w:p>
    <w:p>
      <w:pPr>
        <w:pStyle w:val="2"/>
        <w:rPr>
          <w:rFonts w:hint="eastAsia" w:ascii="宋体" w:hAnsi="宋体" w:eastAsia="宋体" w:cs="宋体"/>
          <w:b/>
          <w:bCs/>
          <w:sz w:val="44"/>
          <w:szCs w:val="44"/>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gzY2JmOTFkYTM4MDFmOTVhMmRkMTk5MDFjOWYifQ=="/>
  </w:docVars>
  <w:rsids>
    <w:rsidRoot w:val="7B480B76"/>
    <w:rsid w:val="7B48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2023-05-08T08:12:00Z</dcterms:created>
  <dc:creator>lenovo</dc:creator>
  <cp:lastModifiedBy>lenovo</cp:lastModifiedBy>
  <dcterms:modified xsi:type="dcterms:W3CDTF">2023-05-08T08:15:40Z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72D15FD4617F491788F7CCA3C093C337</vt:lpwstr>
  </property>
</Properties>
</file>