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1" w:name="_GoBack"/>
      <w:r>
        <w:rPr>
          <w:rFonts w:hint="eastAsia" w:ascii="黑体" w:hAnsi="黑体" w:eastAsia="黑体" w:cs="黑体"/>
          <w:sz w:val="44"/>
          <w:szCs w:val="44"/>
        </w:rPr>
        <w:t>城北汽车客运站安全检查清单</w:t>
      </w:r>
    </w:p>
    <w:bookmarkEnd w:id="1"/>
    <w:p>
      <w:pPr>
        <w:pStyle w:val="2"/>
      </w:pPr>
    </w:p>
    <w:tbl>
      <w:tblPr>
        <w:tblStyle w:val="3"/>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5"/>
        <w:gridCol w:w="5496"/>
        <w:gridCol w:w="1877"/>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25" w:type="dxa"/>
            <w:vAlign w:val="center"/>
          </w:tcPr>
          <w:p>
            <w:pPr>
              <w:jc w:val="center"/>
              <w:rPr>
                <w:rFonts w:ascii="仿宋" w:hAnsi="仿宋" w:eastAsia="仿宋" w:cs="宋体"/>
                <w:b/>
                <w:bCs/>
                <w:szCs w:val="21"/>
              </w:rPr>
            </w:pPr>
            <w:r>
              <w:rPr>
                <w:rFonts w:hint="eastAsia" w:ascii="仿宋" w:hAnsi="仿宋" w:eastAsia="仿宋" w:cs="宋体"/>
                <w:b/>
                <w:bCs/>
                <w:szCs w:val="21"/>
              </w:rPr>
              <w:t>目的</w:t>
            </w:r>
          </w:p>
        </w:tc>
        <w:tc>
          <w:tcPr>
            <w:tcW w:w="8961" w:type="dxa"/>
            <w:gridSpan w:val="3"/>
            <w:vAlign w:val="center"/>
          </w:tcPr>
          <w:p>
            <w:pPr>
              <w:rPr>
                <w:rFonts w:ascii="仿宋" w:hAnsi="仿宋" w:eastAsia="仿宋" w:cs="宋体"/>
                <w:szCs w:val="21"/>
              </w:rPr>
            </w:pPr>
            <w:r>
              <w:rPr>
                <w:rFonts w:hint="eastAsia" w:ascii="仿宋" w:hAnsi="仿宋" w:eastAsia="仿宋" w:cs="宋体"/>
                <w:szCs w:val="21"/>
              </w:rPr>
              <w:t>对生产过程及安全管理中可能存在的隐患、有害危险因素等进行查证，查找不安全因素和不安全行为，以确保隐患或有害、危险因素等存在状态，以及它们转化为事故的条件，以制定整改措施，消除或控制隐患和有害与危险因素，确保生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25" w:type="dxa"/>
            <w:vAlign w:val="center"/>
          </w:tcPr>
          <w:p>
            <w:pPr>
              <w:jc w:val="center"/>
              <w:rPr>
                <w:rFonts w:ascii="仿宋" w:hAnsi="仿宋" w:eastAsia="仿宋" w:cs="宋体"/>
                <w:b/>
                <w:bCs/>
                <w:szCs w:val="21"/>
              </w:rPr>
            </w:pPr>
            <w:r>
              <w:rPr>
                <w:rFonts w:hint="eastAsia" w:ascii="仿宋" w:hAnsi="仿宋" w:eastAsia="仿宋" w:cs="宋体"/>
                <w:b/>
                <w:bCs/>
                <w:szCs w:val="21"/>
              </w:rPr>
              <w:t>要求</w:t>
            </w:r>
          </w:p>
        </w:tc>
        <w:tc>
          <w:tcPr>
            <w:tcW w:w="8961" w:type="dxa"/>
            <w:gridSpan w:val="3"/>
            <w:vAlign w:val="center"/>
          </w:tcPr>
          <w:p>
            <w:pPr>
              <w:rPr>
                <w:rFonts w:ascii="仿宋" w:hAnsi="仿宋" w:eastAsia="仿宋" w:cs="宋体"/>
                <w:szCs w:val="21"/>
              </w:rPr>
            </w:pPr>
            <w:r>
              <w:rPr>
                <w:rFonts w:hint="eastAsia" w:ascii="仿宋" w:hAnsi="仿宋" w:eastAsia="仿宋" w:cs="宋体"/>
                <w:szCs w:val="21"/>
              </w:rPr>
              <w:t>按照《中华人民共和国安全生产法》《中华人民共和国道路运输条例》《四川省道路运输条例》《道路旅客运输及客运站管理规定》《汽车客运站安全生产规范》（交运规〔2019〕13号）《营运客车安全例行检查技术规范》（JT/T 893—2014）等有关法律法规、标准规范的要求，认真对照检查。查出问题立即处理，不能立即完成整改的应采取有效的预防措施，限期整改。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25" w:type="dxa"/>
            <w:vAlign w:val="center"/>
          </w:tcPr>
          <w:p>
            <w:pPr>
              <w:jc w:val="center"/>
              <w:rPr>
                <w:rFonts w:ascii="仿宋" w:hAnsi="仿宋" w:eastAsia="仿宋" w:cs="宋体"/>
                <w:b/>
                <w:bCs/>
                <w:szCs w:val="21"/>
              </w:rPr>
            </w:pPr>
            <w:r>
              <w:rPr>
                <w:rFonts w:hint="eastAsia" w:ascii="仿宋" w:hAnsi="仿宋" w:eastAsia="仿宋" w:cs="宋体"/>
                <w:b/>
                <w:bCs/>
                <w:szCs w:val="21"/>
              </w:rPr>
              <w:t>检查事项</w:t>
            </w:r>
          </w:p>
        </w:tc>
        <w:tc>
          <w:tcPr>
            <w:tcW w:w="5496" w:type="dxa"/>
            <w:vAlign w:val="center"/>
          </w:tcPr>
          <w:p>
            <w:pPr>
              <w:jc w:val="center"/>
              <w:rPr>
                <w:rFonts w:ascii="仿宋" w:hAnsi="仿宋" w:eastAsia="仿宋" w:cs="宋体"/>
                <w:b/>
                <w:bCs/>
                <w:szCs w:val="21"/>
              </w:rPr>
            </w:pPr>
            <w:r>
              <w:rPr>
                <w:rFonts w:hint="eastAsia" w:ascii="仿宋" w:hAnsi="仿宋" w:eastAsia="仿宋" w:cs="宋体"/>
                <w:b/>
                <w:bCs/>
                <w:szCs w:val="21"/>
              </w:rPr>
              <w:t>检查排查内容</w:t>
            </w:r>
          </w:p>
        </w:tc>
        <w:tc>
          <w:tcPr>
            <w:tcW w:w="1877" w:type="dxa"/>
            <w:vAlign w:val="center"/>
          </w:tcPr>
          <w:p>
            <w:pPr>
              <w:jc w:val="center"/>
              <w:rPr>
                <w:rFonts w:ascii="仿宋" w:hAnsi="仿宋" w:eastAsia="仿宋" w:cs="宋体"/>
                <w:b/>
                <w:bCs/>
                <w:szCs w:val="21"/>
              </w:rPr>
            </w:pPr>
            <w:r>
              <w:rPr>
                <w:rFonts w:hint="eastAsia" w:ascii="仿宋" w:hAnsi="仿宋" w:eastAsia="仿宋" w:cs="宋体"/>
                <w:b/>
                <w:bCs/>
                <w:szCs w:val="21"/>
              </w:rPr>
              <w:t>检查周期</w:t>
            </w:r>
          </w:p>
        </w:tc>
        <w:tc>
          <w:tcPr>
            <w:tcW w:w="1588" w:type="dxa"/>
            <w:vAlign w:val="center"/>
          </w:tcPr>
          <w:p>
            <w:pPr>
              <w:jc w:val="center"/>
              <w:rPr>
                <w:rFonts w:hint="eastAsia" w:ascii="仿宋" w:hAnsi="仿宋" w:eastAsia="仿宋" w:cs="仿宋"/>
                <w:b/>
                <w:bCs/>
              </w:rPr>
            </w:pPr>
            <w:r>
              <w:rPr>
                <w:rFonts w:hint="eastAsia" w:ascii="仿宋" w:hAnsi="仿宋" w:eastAsia="仿宋" w:cs="仿宋"/>
                <w:b/>
                <w:bCs/>
              </w:rPr>
              <w:t>检查方式</w:t>
            </w:r>
          </w:p>
          <w:p>
            <w:pPr>
              <w:pStyle w:val="2"/>
              <w:ind w:left="421" w:leftChars="100" w:hanging="211" w:hangingChars="100"/>
              <w:rPr>
                <w:rFonts w:hint="eastAsia" w:ascii="仿宋" w:hAnsi="仿宋" w:eastAsia="仿宋"/>
                <w:b/>
                <w:bCs/>
                <w:szCs w:val="21"/>
                <w:lang w:eastAsia="zh-CN"/>
              </w:rPr>
            </w:pPr>
            <w:r>
              <w:rPr>
                <w:rFonts w:hint="eastAsia" w:ascii="仿宋" w:hAnsi="仿宋" w:eastAsia="仿宋"/>
                <w:b/>
                <w:bCs/>
                <w:szCs w:val="21"/>
                <w:lang w:eastAsia="zh-CN"/>
              </w:rPr>
              <w:t>责任科室</w:t>
            </w:r>
          </w:p>
          <w:p>
            <w:pPr>
              <w:pStyle w:val="2"/>
              <w:ind w:left="421" w:leftChars="100" w:hanging="211" w:hangingChars="100"/>
              <w:rPr>
                <w:rFonts w:hint="eastAsia" w:eastAsia="仿宋"/>
                <w:lang w:eastAsia="zh-CN"/>
              </w:rPr>
            </w:pPr>
            <w:r>
              <w:rPr>
                <w:rFonts w:hint="eastAsia" w:ascii="仿宋" w:hAnsi="仿宋" w:eastAsia="仿宋"/>
                <w:b/>
                <w:bCs/>
                <w:szCs w:val="21"/>
                <w:lang w:eastAsia="zh-CN"/>
              </w:rPr>
              <w:t>及负责人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5" w:type="dxa"/>
            <w:vAlign w:val="center"/>
          </w:tcPr>
          <w:p>
            <w:pPr>
              <w:jc w:val="center"/>
              <w:rPr>
                <w:rFonts w:ascii="仿宋" w:hAnsi="仿宋" w:eastAsia="仿宋" w:cs="宋体"/>
                <w:b/>
                <w:bCs/>
                <w:sz w:val="18"/>
                <w:szCs w:val="18"/>
              </w:rPr>
            </w:pPr>
            <w:r>
              <w:rPr>
                <w:rFonts w:hint="eastAsia" w:ascii="仿宋" w:hAnsi="仿宋" w:eastAsia="仿宋" w:cs="宋体"/>
                <w:b/>
                <w:bCs/>
                <w:sz w:val="18"/>
                <w:szCs w:val="18"/>
              </w:rPr>
              <w:t>经营许可</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查企业《营业执照》、《道路运输经营许可证》</w:t>
            </w:r>
          </w:p>
          <w:p>
            <w:pPr>
              <w:rPr>
                <w:rFonts w:ascii="仿宋" w:hAnsi="仿宋" w:eastAsia="仿宋" w:cs="宋体"/>
                <w:sz w:val="18"/>
                <w:szCs w:val="18"/>
              </w:rPr>
            </w:pPr>
            <w:r>
              <w:rPr>
                <w:rFonts w:hint="eastAsia" w:ascii="仿宋" w:hAnsi="仿宋" w:eastAsia="仿宋" w:cs="宋体"/>
                <w:sz w:val="18"/>
                <w:szCs w:val="18"/>
              </w:rPr>
              <w:t>1.查证照有效期；2.查证照的经营范围。</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每年至少1次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查阅证照</w:t>
            </w:r>
            <w:r>
              <w:rPr>
                <w:rFonts w:hint="eastAsia" w:ascii="仿宋" w:hAnsi="仿宋" w:eastAsia="仿宋"/>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安全管理机构和人员</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1.查公司安全生产领导机构设立文件，人员的任命文件；</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每季度至少1次</w:t>
            </w:r>
          </w:p>
        </w:tc>
        <w:tc>
          <w:tcPr>
            <w:tcW w:w="1588" w:type="dxa"/>
            <w:vMerge w:val="restart"/>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查阅文件</w:t>
            </w:r>
            <w:r>
              <w:rPr>
                <w:rFonts w:hint="eastAsia" w:ascii="仿宋" w:hAnsi="仿宋" w:eastAsia="仿宋"/>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2.查公司安全专职机构的设立文件；负责人、专职安全管理人员的任命、任职文件；</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每季度至少1次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3.每年根据变化进行调整，并及时印发调整文件；</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每季度至少一次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4.查主要负责人、安全生产管理人员是否持有效证件上岗；</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5.涉及站场生产经营的三品查堵、车辆例检、出站核查等重点安全管理环节的具体人员；</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安全生产规章制度操作规程</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1.查是否按规定建立健全安全生产管理制度；</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restart"/>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查阅印发文件和培训记录</w:t>
            </w:r>
            <w:r>
              <w:rPr>
                <w:rFonts w:hint="eastAsia" w:ascii="仿宋" w:hAnsi="仿宋" w:eastAsia="仿宋"/>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2.查在新规定出台后，企业安全管理制度企业是否及时进行了修订完善；</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3.查是否按规定分类制定安全生产岗位操作规程；</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安全管理目标和计划</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1.是否将各类安全生产管理指标细化分解到相关部门及岗位，查是否按规定签订各级安全生产目标责任书；</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restart"/>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查阅相关工作和考核奖惩文件及档案</w:t>
            </w:r>
            <w:r>
              <w:rPr>
                <w:rFonts w:hint="eastAsia" w:ascii="仿宋" w:hAnsi="仿宋" w:eastAsia="仿宋"/>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2.查各级安全生产目标考核情况；</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安全生产资金投入情况</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1.查是否制定安全生产经费提取使用计划；</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restart"/>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查阅费用提取、使用相关台账、档案</w:t>
            </w:r>
            <w:r>
              <w:rPr>
                <w:rFonts w:hint="eastAsia" w:ascii="仿宋" w:hAnsi="仿宋" w:eastAsia="仿宋"/>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2.查是否依法足额提取、规范使用安全生产经费，是否建立专账；</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每半年至少一次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3.查是否依法参加工伤保险并按时缴纳费用；</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4.查是否配备安全生产必备的劳动防护用品；</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安全生产</w:t>
            </w:r>
          </w:p>
          <w:p>
            <w:pPr>
              <w:jc w:val="center"/>
              <w:rPr>
                <w:rFonts w:ascii="仿宋" w:hAnsi="仿宋" w:eastAsia="仿宋" w:cs="宋体"/>
                <w:b/>
                <w:bCs/>
                <w:sz w:val="18"/>
                <w:szCs w:val="18"/>
              </w:rPr>
            </w:pPr>
            <w:r>
              <w:rPr>
                <w:rFonts w:hint="eastAsia" w:ascii="仿宋" w:hAnsi="仿宋" w:eastAsia="仿宋" w:cs="宋体"/>
                <w:b/>
                <w:bCs/>
                <w:sz w:val="18"/>
                <w:szCs w:val="18"/>
              </w:rPr>
              <w:t>会议</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1.查是否按规定召开各类安全生产会议，</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每季度至少一次</w:t>
            </w:r>
          </w:p>
        </w:tc>
        <w:tc>
          <w:tcPr>
            <w:tcW w:w="1588" w:type="dxa"/>
            <w:vMerge w:val="restart"/>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查阅相关台账、档案</w:t>
            </w:r>
            <w:r>
              <w:rPr>
                <w:rFonts w:hint="eastAsia" w:ascii="仿宋" w:hAnsi="仿宋" w:eastAsia="仿宋"/>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2.查参会人员范围（是否与安全生产领导机构成员一致）</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每季度至少一次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3.查是否安全生产领导机构会议形成会议纪要。</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每季度至少一次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4.查安全生产领导机构会议议定事项落实情况。</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每季度至少一次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安全生产教育培训情况</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1.查是否制定安全生产教育培训计划；</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每季度至少一次</w:t>
            </w:r>
          </w:p>
        </w:tc>
        <w:tc>
          <w:tcPr>
            <w:tcW w:w="1588" w:type="dxa"/>
            <w:vMerge w:val="restart"/>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查阅相关教育培训台账、档案</w:t>
            </w:r>
            <w:r>
              <w:rPr>
                <w:rFonts w:hint="eastAsia" w:ascii="仿宋" w:hAnsi="仿宋" w:eastAsia="仿宋"/>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2.查是否按规定的内容、要求开展管理人员教育培训；</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每半年至少一次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3.查从业人员安全生产教育培训开展情况；</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装备设备</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1.查消防设施设备和消防器材是否完好有效</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（消防专职管理员、张志宏）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2.查疏散紧急通道是否畅通、相关标识齐全；</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Align w:val="center"/>
          </w:tcPr>
          <w:p>
            <w:pPr>
              <w:jc w:val="center"/>
              <w:rPr>
                <w:rFonts w:ascii="仿宋" w:hAnsi="仿宋" w:eastAsia="仿宋"/>
                <w:sz w:val="18"/>
                <w:szCs w:val="18"/>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（消防专职管理员、弋燕平）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3.查售票厅、候车室、停车场等设置安全宣传告示设备、安全警示标志、导向示意图、指示牌、限速牌等是否标识齐全</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Align w:val="center"/>
          </w:tcPr>
          <w:p>
            <w:pPr>
              <w:jc w:val="center"/>
              <w:rPr>
                <w:rFonts w:ascii="仿宋" w:hAnsi="仿宋" w:eastAsia="仿宋"/>
                <w:sz w:val="18"/>
                <w:szCs w:val="18"/>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（消防专职管理员、张志宏）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4.配备行包安全检查设备、安全例检设备是否符合要求；</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（稽查保卫科、张长勇）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5.查各类安全设施、设备维护、使用登记台账和档案；</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查阅台账、档案</w:t>
            </w:r>
            <w:r>
              <w:rPr>
                <w:rFonts w:hint="eastAsia" w:ascii="仿宋" w:hAnsi="仿宋" w:eastAsia="仿宋"/>
                <w:sz w:val="18"/>
                <w:szCs w:val="18"/>
                <w:lang w:eastAsia="zh-CN"/>
              </w:rPr>
              <w:t>（稽查保卫科、张长勇）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三品查堵</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1.查按照《交通部汽车客运站三品查堵工作规范》，制定并落实“三品”（易燃、易爆、易腐蚀危险化学品）查堵工作制度；</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查阅相关制度印发文件</w:t>
            </w:r>
            <w:r>
              <w:rPr>
                <w:rFonts w:hint="eastAsia" w:ascii="仿宋" w:hAnsi="仿宋" w:eastAsia="仿宋"/>
                <w:sz w:val="18"/>
                <w:szCs w:val="18"/>
                <w:lang w:eastAsia="zh-CN"/>
              </w:rPr>
              <w:t>（稽查保卫科、张长勇）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2.制定并落实“三品”检查工作流程和程序，设立专职“三品”查堵岗位，是否配有与站场乘客流量相适宜的“三品”检查工作人员；</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（稽查保卫科、张长勇）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3.查进站旅客携带的行李和托运的行包进行安全检查，是否做到“逢包必检”“逢疑必查”，对疑似“三品”行李实行开包查验</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每日至少一次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（稽查保卫科、张长勇）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4.查“三品”登记和处理台账，是否对查获的“三品”进行登记，并按有关规定妥善处理；</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每日至少一次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查阅台账</w:t>
            </w:r>
            <w:r>
              <w:rPr>
                <w:rFonts w:hint="eastAsia" w:ascii="仿宋" w:hAnsi="仿宋" w:eastAsia="仿宋"/>
                <w:sz w:val="18"/>
                <w:szCs w:val="18"/>
                <w:lang w:eastAsia="zh-CN"/>
              </w:rPr>
              <w:t>（稽查保卫科、张长勇）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车辆例检</w:t>
            </w:r>
          </w:p>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是否按照《营运客车安全例行检查技术规范》，制定车辆安全例检制度、例检工作人员岗位职责、例检工作程序、例检工作工艺流程图、客车例检技术要求、客车例检项目和检查验收标准等工作制度及操作规程；</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查阅相关制度印发文件</w:t>
            </w:r>
            <w:r>
              <w:rPr>
                <w:rFonts w:hint="eastAsia" w:ascii="仿宋" w:hAnsi="仿宋" w:eastAsia="仿宋"/>
                <w:sz w:val="18"/>
                <w:szCs w:val="18"/>
                <w:lang w:eastAsia="zh-CN"/>
              </w:rPr>
              <w:t>（安全科、弋燕平）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2.查是否按规定配备已取得有效从业资质的例检人员，并经岗前培训合格后上岗；</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每半年至少一次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（安全科、弋燕平）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3.查例检人员例检作业时是否按照例检项目、内容和程序对车辆有关系统和安全机件和设施进行检查，并按规定规范填写《</w:t>
            </w:r>
            <w:bookmarkStart w:id="0" w:name="_Hlk9414212"/>
            <w:r>
              <w:rPr>
                <w:rFonts w:hint="eastAsia" w:ascii="仿宋" w:hAnsi="仿宋" w:eastAsia="仿宋" w:cs="宋体"/>
                <w:sz w:val="18"/>
                <w:szCs w:val="18"/>
              </w:rPr>
              <w:t>营运客车安全例行检查报告单</w:t>
            </w:r>
            <w:bookmarkEnd w:id="0"/>
            <w:r>
              <w:rPr>
                <w:rFonts w:hint="eastAsia" w:ascii="仿宋" w:hAnsi="仿宋" w:eastAsia="仿宋" w:cs="宋体"/>
                <w:sz w:val="18"/>
                <w:szCs w:val="18"/>
              </w:rPr>
              <w:t>》和《营运客车安全例行检查合格通知单》；</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每日至少一次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（安全科、弋燕平）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4.查经检查发现客车存在故障和安全隐患例检项目不合格的客车，例检人员是否开具《营运客车安全例检不合格项目告知单》，是否重新按照例检程序进行复查验收；</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每日至少一次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（安全科、弋燕平）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站场秩序及停车场管理</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1.查客运站是否实行封闭式管理，停车场做到人流、货流、车流是否有效分离，确保有序管理；</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每半年至少一次</w:t>
            </w:r>
          </w:p>
        </w:tc>
        <w:tc>
          <w:tcPr>
            <w:tcW w:w="1588" w:type="dxa"/>
            <w:vAlign w:val="center"/>
          </w:tcPr>
          <w:p>
            <w:pPr>
              <w:jc w:val="center"/>
              <w:rPr>
                <w:rFonts w:hint="eastAsia" w:ascii="仿宋" w:hAnsi="仿宋" w:eastAsia="仿宋"/>
                <w:sz w:val="18"/>
                <w:szCs w:val="18"/>
                <w:lang w:val="en-US"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（安全科、弋燕平）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2.查客运站是否实行车辆进出分道、人行分道、发车区、停车区、上下客区区分管理，确保无关人员不进站、无关车辆不进站；</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（安全科、弋燕平）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报班调度及站务管理</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1.查调度部门在调度客车发班时，是否对车辆和驾驶员相关的“五证一牌两单”（行驶证、营运证、驾驶证、车辆二级维护合格证、保险证、从业资格证、线路牌、车辆安全例检合格单）进行逐项核查；</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每日至少一次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（客运科、李正雄）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2.查是否严格执行单程400公里（高速公路600公里）配备双驾制度，建立参营车辆配备双驾登记台账。在车辆报班时，应对两名驾驶员配备的相关信息进行核实；</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每日至少一次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（客运科、李正雄）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出站检查</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1.查是否按照《交通部汽车客运站营运客车出站检查工作规范》，制定并落实客车出站检查制度；</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查阅相关制度印发文件</w:t>
            </w:r>
            <w:r>
              <w:rPr>
                <w:rFonts w:hint="eastAsia" w:ascii="仿宋" w:hAnsi="仿宋" w:eastAsia="仿宋"/>
                <w:sz w:val="18"/>
                <w:szCs w:val="18"/>
                <w:lang w:eastAsia="zh-CN"/>
              </w:rPr>
              <w:t>（稽查保卫科、张长勇）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车辆出站前相关人员是否上车核对安全例检合格单、比对驾驶员与驾驶证是否相符，查验驾驶员从业资格证和客车行驶证、道路运输证、线路标志牌，查验核载人数和实载人数，逐人核查乘客佩戴安全带以及车辆消防器材和逃生器材配备情况等相关项目；</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每日至少一次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（稽查保卫科、张长勇）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3.查出站检查人员是否按要求填写《汽车客运站车辆出站登记表》，并经受检客车驾驶员签字确认；</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每日至少一次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（稽查保卫科、张长勇）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4.查出站检查人员是否监督客车驾驶员按规定播放安全告知视频，是否向乘客进行安全告知和安全承诺。</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每日至少一次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（稽查保卫科、张长勇）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风险管控与隐患排查双重机制</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1.查是否按规定建立“双重机制”；是否对相关作业活动进行危险有害因素识别；</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restart"/>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查阅危险有害因素识别记录</w:t>
            </w:r>
            <w:r>
              <w:rPr>
                <w:rFonts w:hint="eastAsia" w:ascii="仿宋" w:hAnsi="仿宋" w:eastAsia="仿宋"/>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color w:val="000000"/>
                <w:sz w:val="18"/>
                <w:szCs w:val="18"/>
              </w:rPr>
              <w:t>2.查是否制定“两清单、一卡、一册”，即：管控责任清单、管控措施清单、“明白卡”；</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w:t>
            </w:r>
            <w:r>
              <w:rPr>
                <w:rFonts w:hint="eastAsia" w:ascii="仿宋" w:hAnsi="仿宋" w:eastAsia="仿宋" w:cs="宋体"/>
                <w:color w:val="000000"/>
                <w:sz w:val="18"/>
                <w:szCs w:val="18"/>
              </w:rPr>
              <w:t>查是否</w:t>
            </w:r>
            <w:r>
              <w:rPr>
                <w:rFonts w:hint="eastAsia" w:ascii="仿宋" w:hAnsi="仿宋" w:eastAsia="仿宋" w:cs="宋体"/>
                <w:sz w:val="18"/>
                <w:szCs w:val="18"/>
              </w:rPr>
              <w:t>建立安全生产检查和监督制度，完善排查和治理长效工作机制，制定隐患排查工作方案；</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Merge w:val="restart"/>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查阅隐患治理相关台账和档案</w:t>
            </w:r>
            <w:r>
              <w:rPr>
                <w:rFonts w:hint="eastAsia" w:ascii="仿宋" w:hAnsi="仿宋" w:eastAsia="仿宋" w:cs="仿宋_GB2312"/>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color w:val="000000"/>
                <w:sz w:val="18"/>
                <w:szCs w:val="18"/>
              </w:rPr>
              <w:t>4.查是否按安全隐患排查计划方案和</w:t>
            </w:r>
            <w:r>
              <w:rPr>
                <w:rFonts w:hint="eastAsia" w:ascii="仿宋" w:hAnsi="仿宋" w:eastAsia="仿宋" w:cs="宋体"/>
                <w:sz w:val="18"/>
                <w:szCs w:val="18"/>
              </w:rPr>
              <w:t>季节性事故防范特点，开展隐患排查；</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Merge w:val="continue"/>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ascii="仿宋" w:hAnsi="仿宋" w:eastAsia="仿宋" w:cs="宋体"/>
                <w:b/>
                <w:bCs/>
                <w:color w:val="0000FF"/>
                <w:sz w:val="18"/>
                <w:szCs w:val="18"/>
              </w:rPr>
            </w:pPr>
            <w:r>
              <w:rPr>
                <w:rFonts w:hint="eastAsia" w:ascii="仿宋" w:hAnsi="仿宋" w:eastAsia="仿宋" w:cs="宋体"/>
                <w:b/>
                <w:bCs/>
                <w:sz w:val="18"/>
                <w:szCs w:val="18"/>
              </w:rPr>
              <w:t>应急管理</w:t>
            </w: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1.查是否结合实际，制定应急预案；应急预案应及时备案；</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查阅相关制度印发文件</w:t>
            </w:r>
            <w:r>
              <w:rPr>
                <w:rFonts w:hint="eastAsia" w:ascii="仿宋" w:hAnsi="仿宋" w:eastAsia="仿宋"/>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2.查是否开展应急预案教育培训和演练；</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查阅相关</w:t>
            </w:r>
            <w:r>
              <w:rPr>
                <w:rFonts w:hint="eastAsia" w:ascii="仿宋" w:hAnsi="仿宋" w:eastAsia="仿宋" w:cs="仿宋_GB2312"/>
                <w:sz w:val="18"/>
                <w:szCs w:val="18"/>
              </w:rPr>
              <w:t>台账和档案</w:t>
            </w:r>
            <w:r>
              <w:rPr>
                <w:rFonts w:hint="eastAsia" w:ascii="仿宋" w:hAnsi="仿宋" w:eastAsia="仿宋" w:cs="仿宋_GB2312"/>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3查是否建立与本企业安全生产特点相适应的专兼职应急救援队伍或指定专兼职应急救援人员；</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每年至少一次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查阅台账</w:t>
            </w:r>
            <w:r>
              <w:rPr>
                <w:rFonts w:hint="eastAsia" w:ascii="仿宋" w:hAnsi="仿宋" w:eastAsia="仿宋" w:cs="仿宋_GB2312"/>
                <w:sz w:val="18"/>
                <w:szCs w:val="18"/>
                <w:lang w:eastAsia="zh-CN"/>
              </w:rPr>
              <w:t>（安委会办公室、何德贵）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ascii="仿宋" w:hAnsi="仿宋" w:eastAsia="仿宋" w:cs="宋体"/>
                <w:b/>
                <w:bCs/>
                <w:sz w:val="18"/>
                <w:szCs w:val="18"/>
              </w:rPr>
            </w:pPr>
          </w:p>
        </w:tc>
        <w:tc>
          <w:tcPr>
            <w:tcW w:w="5496" w:type="dxa"/>
            <w:vAlign w:val="center"/>
          </w:tcPr>
          <w:p>
            <w:pPr>
              <w:rPr>
                <w:rFonts w:ascii="仿宋" w:hAnsi="仿宋" w:eastAsia="仿宋" w:cs="宋体"/>
                <w:sz w:val="18"/>
                <w:szCs w:val="18"/>
              </w:rPr>
            </w:pPr>
            <w:r>
              <w:rPr>
                <w:rFonts w:hint="eastAsia" w:ascii="仿宋" w:hAnsi="仿宋" w:eastAsia="仿宋" w:cs="宋体"/>
                <w:sz w:val="18"/>
                <w:szCs w:val="18"/>
              </w:rPr>
              <w:t>4.查是否按照应急预案的要求配备相应的应急物资和装备；</w:t>
            </w:r>
          </w:p>
        </w:tc>
        <w:tc>
          <w:tcPr>
            <w:tcW w:w="1877" w:type="dxa"/>
            <w:vAlign w:val="center"/>
          </w:tcPr>
          <w:p>
            <w:pPr>
              <w:jc w:val="center"/>
              <w:rPr>
                <w:rFonts w:ascii="仿宋" w:hAnsi="仿宋" w:eastAsia="仿宋" w:cs="宋体"/>
                <w:sz w:val="18"/>
                <w:szCs w:val="18"/>
              </w:rPr>
            </w:pPr>
            <w:r>
              <w:rPr>
                <w:rFonts w:hint="eastAsia" w:ascii="仿宋" w:hAnsi="仿宋" w:eastAsia="仿宋" w:cs="宋体"/>
                <w:sz w:val="18"/>
                <w:szCs w:val="18"/>
              </w:rPr>
              <w:t>每季度至少一次</w:t>
            </w:r>
          </w:p>
        </w:tc>
        <w:tc>
          <w:tcPr>
            <w:tcW w:w="1588" w:type="dxa"/>
            <w:vAlign w:val="center"/>
          </w:tcPr>
          <w:p>
            <w:pPr>
              <w:jc w:val="center"/>
              <w:rPr>
                <w:rFonts w:hint="eastAsia" w:ascii="仿宋" w:hAnsi="仿宋" w:eastAsia="仿宋"/>
                <w:sz w:val="18"/>
                <w:szCs w:val="18"/>
                <w:lang w:eastAsia="zh-CN"/>
              </w:rPr>
            </w:pPr>
            <w:r>
              <w:rPr>
                <w:rFonts w:hint="eastAsia" w:ascii="仿宋" w:hAnsi="仿宋" w:eastAsia="仿宋" w:cs="仿宋_GB2312"/>
                <w:sz w:val="18"/>
                <w:szCs w:val="18"/>
              </w:rPr>
              <w:t>现场查验</w:t>
            </w:r>
            <w:r>
              <w:rPr>
                <w:rFonts w:hint="eastAsia" w:ascii="仿宋" w:hAnsi="仿宋" w:eastAsia="仿宋" w:cs="仿宋_GB2312"/>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ascii="仿宋" w:hAnsi="仿宋" w:eastAsia="仿宋" w:cs="宋体"/>
                <w:b/>
                <w:bCs/>
                <w:sz w:val="18"/>
                <w:szCs w:val="18"/>
              </w:rPr>
            </w:pPr>
            <w:r>
              <w:rPr>
                <w:rFonts w:hint="eastAsia" w:ascii="仿宋" w:hAnsi="仿宋" w:eastAsia="仿宋" w:cs="宋体"/>
                <w:b/>
                <w:bCs/>
                <w:sz w:val="18"/>
                <w:szCs w:val="18"/>
              </w:rPr>
              <w:t>安全事故</w:t>
            </w:r>
          </w:p>
          <w:p>
            <w:pPr>
              <w:jc w:val="center"/>
              <w:rPr>
                <w:rFonts w:ascii="仿宋" w:hAnsi="仿宋" w:eastAsia="仿宋" w:cs="宋体"/>
                <w:b/>
                <w:bCs/>
                <w:sz w:val="18"/>
                <w:szCs w:val="18"/>
              </w:rPr>
            </w:pPr>
            <w:r>
              <w:rPr>
                <w:rFonts w:hint="eastAsia" w:ascii="仿宋" w:hAnsi="仿宋" w:eastAsia="仿宋" w:cs="宋体"/>
                <w:b/>
                <w:bCs/>
                <w:sz w:val="18"/>
                <w:szCs w:val="18"/>
              </w:rPr>
              <w:t>管理</w:t>
            </w:r>
          </w:p>
        </w:tc>
        <w:tc>
          <w:tcPr>
            <w:tcW w:w="5496" w:type="dxa"/>
            <w:vAlign w:val="center"/>
          </w:tcPr>
          <w:p>
            <w:pPr>
              <w:spacing w:line="400" w:lineRule="exact"/>
              <w:rPr>
                <w:rFonts w:ascii="仿宋" w:hAnsi="仿宋" w:eastAsia="仿宋" w:cs="宋体"/>
                <w:sz w:val="18"/>
                <w:szCs w:val="18"/>
              </w:rPr>
            </w:pPr>
            <w:r>
              <w:rPr>
                <w:rFonts w:hint="eastAsia" w:ascii="仿宋" w:hAnsi="仿宋" w:eastAsia="仿宋" w:cs="宋体"/>
                <w:sz w:val="18"/>
                <w:szCs w:val="18"/>
              </w:rPr>
              <w:t>1.查企业事故档案台账。</w:t>
            </w:r>
          </w:p>
        </w:tc>
        <w:tc>
          <w:tcPr>
            <w:tcW w:w="1877" w:type="dxa"/>
            <w:vAlign w:val="center"/>
          </w:tcPr>
          <w:p>
            <w:pPr>
              <w:spacing w:line="400" w:lineRule="exact"/>
              <w:jc w:val="center"/>
              <w:rPr>
                <w:rFonts w:ascii="仿宋" w:hAnsi="仿宋" w:eastAsia="仿宋" w:cs="宋体"/>
                <w:sz w:val="18"/>
                <w:szCs w:val="18"/>
              </w:rPr>
            </w:pPr>
            <w:r>
              <w:rPr>
                <w:rFonts w:hint="eastAsia" w:ascii="仿宋" w:hAnsi="仿宋" w:eastAsia="仿宋" w:cs="宋体"/>
                <w:sz w:val="18"/>
                <w:szCs w:val="18"/>
              </w:rPr>
              <w:t>每季度至少一次</w:t>
            </w:r>
          </w:p>
        </w:tc>
        <w:tc>
          <w:tcPr>
            <w:tcW w:w="1588" w:type="dxa"/>
            <w:vMerge w:val="restart"/>
            <w:vAlign w:val="center"/>
          </w:tcPr>
          <w:p>
            <w:pPr>
              <w:jc w:val="center"/>
              <w:rPr>
                <w:rFonts w:hint="eastAsia" w:ascii="仿宋" w:hAnsi="仿宋" w:eastAsia="仿宋"/>
                <w:sz w:val="18"/>
                <w:szCs w:val="18"/>
                <w:lang w:eastAsia="zh-CN"/>
              </w:rPr>
            </w:pPr>
            <w:r>
              <w:rPr>
                <w:rFonts w:hint="eastAsia" w:ascii="仿宋" w:hAnsi="仿宋" w:eastAsia="仿宋"/>
                <w:sz w:val="18"/>
                <w:szCs w:val="18"/>
              </w:rPr>
              <w:t>查阅相关</w:t>
            </w:r>
            <w:r>
              <w:rPr>
                <w:rFonts w:hint="eastAsia" w:ascii="仿宋" w:hAnsi="仿宋" w:eastAsia="仿宋" w:cs="仿宋_GB2312"/>
                <w:sz w:val="18"/>
                <w:szCs w:val="18"/>
              </w:rPr>
              <w:t>台账和档案</w:t>
            </w:r>
            <w:r>
              <w:rPr>
                <w:rFonts w:hint="eastAsia" w:ascii="仿宋" w:hAnsi="仿宋" w:eastAsia="仿宋" w:cs="仿宋_GB2312"/>
                <w:sz w:val="18"/>
                <w:szCs w:val="18"/>
                <w:lang w:eastAsia="zh-CN"/>
              </w:rPr>
              <w:t>（安委会办公室、弋燕平）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rPr>
                <w:rFonts w:ascii="仿宋" w:hAnsi="仿宋" w:eastAsia="仿宋" w:cs="宋体"/>
                <w:b/>
                <w:bCs/>
                <w:sz w:val="18"/>
                <w:szCs w:val="18"/>
              </w:rPr>
            </w:pPr>
          </w:p>
        </w:tc>
        <w:tc>
          <w:tcPr>
            <w:tcW w:w="5496" w:type="dxa"/>
            <w:vAlign w:val="center"/>
          </w:tcPr>
          <w:p>
            <w:pPr>
              <w:spacing w:line="400" w:lineRule="exact"/>
              <w:rPr>
                <w:rFonts w:ascii="仿宋" w:hAnsi="仿宋" w:eastAsia="仿宋" w:cs="宋体"/>
                <w:sz w:val="18"/>
                <w:szCs w:val="18"/>
              </w:rPr>
            </w:pPr>
            <w:r>
              <w:rPr>
                <w:rFonts w:hint="eastAsia" w:ascii="仿宋" w:hAnsi="仿宋" w:eastAsia="仿宋" w:cs="宋体"/>
                <w:sz w:val="18"/>
                <w:szCs w:val="18"/>
              </w:rPr>
              <w:t>2.查事故统计、分析情况。</w:t>
            </w:r>
          </w:p>
        </w:tc>
        <w:tc>
          <w:tcPr>
            <w:tcW w:w="1877" w:type="dxa"/>
            <w:vAlign w:val="center"/>
          </w:tcPr>
          <w:p>
            <w:pPr>
              <w:spacing w:line="400" w:lineRule="exact"/>
              <w:jc w:val="center"/>
              <w:rPr>
                <w:rFonts w:ascii="仿宋" w:hAnsi="仿宋" w:eastAsia="仿宋" w:cs="宋体"/>
                <w:sz w:val="18"/>
                <w:szCs w:val="18"/>
              </w:rPr>
            </w:pPr>
            <w:r>
              <w:rPr>
                <w:rFonts w:hint="eastAsia" w:ascii="仿宋" w:hAnsi="仿宋" w:eastAsia="仿宋" w:cs="宋体"/>
                <w:sz w:val="18"/>
                <w:szCs w:val="18"/>
              </w:rPr>
              <w:t>每月至少一次</w:t>
            </w:r>
          </w:p>
        </w:tc>
        <w:tc>
          <w:tcPr>
            <w:tcW w:w="1588" w:type="dxa"/>
            <w:vMerge w:val="continue"/>
            <w:vAlign w:val="center"/>
          </w:tcPr>
          <w:p>
            <w:pPr>
              <w:rPr>
                <w:rFonts w:ascii="仿宋" w:hAnsi="仿宋" w:eastAsia="仿宋"/>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GE0MzVmNzU2ZjQ3YzZhNzUyNGI2NjFlYWFkODcifQ=="/>
  </w:docVars>
  <w:rsids>
    <w:rsidRoot w:val="00000000"/>
    <w:rsid w:val="078A3B8D"/>
    <w:rsid w:val="45BC5C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basedOn w:val="1"/>
    <w:unhideWhenUsed/>
    <w:qFormat/>
    <w:uiPriority w:val="0"/>
    <w:pPr>
      <w:ind w:firstLine="420" w:firstLineChars="200"/>
    </w:pPr>
    <w:rPr>
      <w:rFonts w:asciiTheme="minorHAnsi" w:hAnsiTheme="minorHAns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3378</Words>
  <Characters>3447</Characters>
  <Lines>0</Lines>
  <Paragraphs>0</Paragraphs>
  <TotalTime>0</TotalTime>
  <ScaleCrop>false</ScaleCrop>
  <LinksUpToDate>false</LinksUpToDate>
  <CharactersWithSpaces>3448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HRUSER</dc:creator>
  <cp:lastModifiedBy>HRUSER</cp:lastModifiedBy>
  <dcterms:modified xsi:type="dcterms:W3CDTF">2023-05-18T07:45:46Z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E2674B8CB21347B9A495D03649905317_12</vt:lpwstr>
  </property>
</Properties>
</file>