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9323" w:type="dxa"/>
        <w:tblInd w:w="-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75"/>
        <w:gridCol w:w="7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1" w:hRule="atLeast"/>
        </w:trPr>
        <w:tc>
          <w:tcPr>
            <w:tcW w:w="9323" w:type="dxa"/>
            <w:gridSpan w:val="2"/>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sz w:val="22"/>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华文中宋" w:hAnsi="华文中宋" w:eastAsia="华文中宋" w:cs="华文中宋"/>
                <w:b/>
                <w:bCs/>
                <w:sz w:val="44"/>
                <w:szCs w:val="44"/>
                <w:vertAlign w:val="baseline"/>
                <w:lang w:eastAsia="zh-CN"/>
              </w:rPr>
            </w:pPr>
            <w:r>
              <w:rPr>
                <w:rFonts w:hint="eastAsia" w:ascii="华文中宋" w:hAnsi="华文中宋" w:eastAsia="华文中宋" w:cs="华文中宋"/>
                <w:b/>
                <w:bCs/>
                <w:sz w:val="44"/>
                <w:szCs w:val="44"/>
                <w:vertAlign w:val="baseline"/>
                <w:lang w:eastAsia="zh-CN"/>
              </w:rPr>
              <w:t>仪陇县德龙出租汽车有限责任公司</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sz w:val="20"/>
                <w:szCs w:val="22"/>
                <w:vertAlign w:val="baseline"/>
                <w:lang w:eastAsia="zh-CN"/>
              </w:rPr>
            </w:pPr>
            <w:r>
              <w:rPr>
                <w:rFonts w:hint="eastAsia" w:ascii="华文中宋" w:hAnsi="华文中宋" w:eastAsia="华文中宋" w:cs="华文中宋"/>
                <w:b/>
                <w:bCs/>
                <w:sz w:val="44"/>
                <w:szCs w:val="44"/>
                <w:vertAlign w:val="baseline"/>
                <w:lang w:eastAsia="zh-CN"/>
              </w:rPr>
              <w:t>日常安全检查清单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6" w:hRule="atLeast"/>
        </w:trPr>
        <w:tc>
          <w:tcPr>
            <w:tcW w:w="1575" w:type="dxa"/>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_GB2312" w:hAnsi="宋体" w:eastAsia="仿宋_GB2312" w:cs="仿宋_GB2312"/>
                <w:color w:val="000000"/>
                <w:kern w:val="0"/>
                <w:sz w:val="21"/>
                <w:szCs w:val="21"/>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_GB2312" w:hAnsi="宋体" w:eastAsia="仿宋_GB2312" w:cs="仿宋_GB2312"/>
                <w:color w:val="000000"/>
                <w:kern w:val="0"/>
                <w:sz w:val="21"/>
                <w:szCs w:val="21"/>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_GB2312" w:hAnsi="宋体" w:eastAsia="仿宋_GB2312" w:cs="仿宋_GB2312"/>
                <w:color w:val="000000"/>
                <w:kern w:val="0"/>
                <w:sz w:val="21"/>
                <w:szCs w:val="21"/>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_GB2312" w:hAnsi="宋体" w:eastAsia="仿宋_GB2312" w:cs="仿宋_GB2312"/>
                <w:color w:val="000000"/>
                <w:kern w:val="0"/>
                <w:sz w:val="21"/>
                <w:szCs w:val="21"/>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_GB2312" w:hAnsi="宋体" w:eastAsia="仿宋_GB2312" w:cs="仿宋_GB2312"/>
                <w:color w:val="000000"/>
                <w:kern w:val="0"/>
                <w:sz w:val="21"/>
                <w:szCs w:val="21"/>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_GB2312" w:hAnsi="宋体" w:eastAsia="仿宋_GB2312" w:cs="仿宋_GB2312"/>
                <w:color w:val="000000"/>
                <w:kern w:val="0"/>
                <w:sz w:val="21"/>
                <w:szCs w:val="21"/>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_GB2312" w:hAnsi="宋体" w:eastAsia="仿宋_GB2312" w:cs="仿宋_GB2312"/>
                <w:color w:val="000000"/>
                <w:kern w:val="0"/>
                <w:sz w:val="21"/>
                <w:szCs w:val="21"/>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_GB2312" w:hAnsi="宋体" w:eastAsia="仿宋_GB2312" w:cs="仿宋_GB2312"/>
                <w:color w:val="000000"/>
                <w:kern w:val="0"/>
                <w:sz w:val="21"/>
                <w:szCs w:val="21"/>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_GB2312" w:hAnsi="宋体" w:eastAsia="仿宋_GB2312" w:cs="仿宋_GB2312"/>
                <w:color w:val="000000"/>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_GB2312" w:hAnsi="宋体" w:eastAsia="仿宋_GB2312" w:cs="仿宋_GB2312"/>
                <w:color w:val="000000"/>
                <w:kern w:val="0"/>
                <w:sz w:val="24"/>
                <w:szCs w:val="24"/>
                <w:lang w:val="en-US" w:eastAsia="zh-CN" w:bidi="ar"/>
              </w:rPr>
            </w:pPr>
            <w:r>
              <w:rPr>
                <w:rFonts w:hint="eastAsia" w:ascii="仿宋_GB2312" w:hAnsi="宋体" w:eastAsia="仿宋_GB2312" w:cs="仿宋_GB2312"/>
                <w:color w:val="000000"/>
                <w:kern w:val="0"/>
                <w:sz w:val="24"/>
                <w:szCs w:val="24"/>
                <w:lang w:val="en-US" w:eastAsia="zh-CN" w:bidi="ar"/>
              </w:rPr>
              <w:t>安</w:t>
            </w:r>
          </w:p>
          <w:p>
            <w:pPr>
              <w:pStyle w:val="2"/>
              <w:rPr>
                <w:rFonts w:hint="eastAsia"/>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_GB2312" w:hAnsi="宋体" w:eastAsia="仿宋_GB2312" w:cs="仿宋_GB2312"/>
                <w:color w:val="000000"/>
                <w:kern w:val="0"/>
                <w:sz w:val="24"/>
                <w:szCs w:val="24"/>
                <w:lang w:val="en-US" w:eastAsia="zh-CN" w:bidi="ar"/>
              </w:rPr>
            </w:pPr>
            <w:r>
              <w:rPr>
                <w:rFonts w:hint="eastAsia" w:ascii="仿宋_GB2312" w:hAnsi="宋体" w:eastAsia="仿宋_GB2312" w:cs="仿宋_GB2312"/>
                <w:color w:val="000000"/>
                <w:kern w:val="0"/>
                <w:sz w:val="24"/>
                <w:szCs w:val="24"/>
                <w:lang w:val="en-US" w:eastAsia="zh-CN" w:bidi="ar"/>
              </w:rPr>
              <w:t>全</w:t>
            </w:r>
          </w:p>
          <w:p>
            <w:pPr>
              <w:pStyle w:val="2"/>
              <w:rPr>
                <w:rFonts w:hint="eastAsia"/>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_GB2312" w:hAnsi="宋体" w:eastAsia="仿宋_GB2312" w:cs="仿宋_GB2312"/>
                <w:color w:val="000000"/>
                <w:kern w:val="0"/>
                <w:sz w:val="24"/>
                <w:szCs w:val="24"/>
                <w:lang w:val="en-US" w:eastAsia="zh-CN" w:bidi="ar"/>
              </w:rPr>
            </w:pPr>
            <w:r>
              <w:rPr>
                <w:rFonts w:hint="eastAsia" w:ascii="仿宋_GB2312" w:hAnsi="宋体" w:eastAsia="仿宋_GB2312" w:cs="仿宋_GB2312"/>
                <w:color w:val="000000"/>
                <w:kern w:val="0"/>
                <w:sz w:val="24"/>
                <w:szCs w:val="24"/>
                <w:lang w:val="en-US" w:eastAsia="zh-CN" w:bidi="ar"/>
              </w:rPr>
              <w:t>检</w:t>
            </w:r>
          </w:p>
          <w:p>
            <w:pPr>
              <w:pStyle w:val="2"/>
              <w:rPr>
                <w:rFonts w:hint="eastAsia"/>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_GB2312" w:hAnsi="宋体" w:eastAsia="仿宋_GB2312" w:cs="仿宋_GB2312"/>
                <w:color w:val="000000"/>
                <w:kern w:val="0"/>
                <w:sz w:val="24"/>
                <w:szCs w:val="24"/>
                <w:lang w:val="en-US" w:eastAsia="zh-CN" w:bidi="ar"/>
              </w:rPr>
            </w:pPr>
            <w:r>
              <w:rPr>
                <w:rFonts w:hint="eastAsia" w:ascii="仿宋_GB2312" w:hAnsi="宋体" w:eastAsia="仿宋_GB2312" w:cs="仿宋_GB2312"/>
                <w:color w:val="000000"/>
                <w:kern w:val="0"/>
                <w:sz w:val="24"/>
                <w:szCs w:val="24"/>
                <w:lang w:val="en-US" w:eastAsia="zh-CN" w:bidi="ar"/>
              </w:rPr>
              <w:t>查</w:t>
            </w:r>
          </w:p>
          <w:p>
            <w:pPr>
              <w:pStyle w:val="2"/>
              <w:rPr>
                <w:rFonts w:hint="eastAsia"/>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_GB2312" w:hAnsi="宋体" w:eastAsia="仿宋_GB2312" w:cs="仿宋_GB2312"/>
                <w:color w:val="000000"/>
                <w:kern w:val="0"/>
                <w:sz w:val="24"/>
                <w:szCs w:val="24"/>
                <w:lang w:val="en-US" w:eastAsia="zh-CN" w:bidi="ar"/>
              </w:rPr>
            </w:pPr>
            <w:r>
              <w:rPr>
                <w:rFonts w:hint="eastAsia" w:ascii="仿宋_GB2312" w:hAnsi="宋体" w:eastAsia="仿宋_GB2312" w:cs="仿宋_GB2312"/>
                <w:color w:val="000000"/>
                <w:kern w:val="0"/>
                <w:sz w:val="24"/>
                <w:szCs w:val="24"/>
                <w:lang w:val="en-US" w:eastAsia="zh-CN" w:bidi="ar"/>
              </w:rPr>
              <w:t>责</w:t>
            </w:r>
          </w:p>
          <w:p>
            <w:pPr>
              <w:pStyle w:val="2"/>
              <w:rPr>
                <w:rFonts w:hint="eastAsia"/>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_GB2312" w:hAnsi="宋体" w:eastAsia="仿宋_GB2312" w:cs="仿宋_GB2312"/>
                <w:color w:val="000000"/>
                <w:kern w:val="0"/>
                <w:sz w:val="21"/>
                <w:szCs w:val="21"/>
                <w:lang w:val="en-US" w:eastAsia="zh-CN" w:bidi="ar"/>
              </w:rPr>
            </w:pPr>
            <w:r>
              <w:rPr>
                <w:rFonts w:hint="eastAsia" w:ascii="仿宋_GB2312" w:hAnsi="宋体" w:eastAsia="仿宋_GB2312" w:cs="仿宋_GB2312"/>
                <w:color w:val="000000"/>
                <w:kern w:val="0"/>
                <w:sz w:val="24"/>
                <w:szCs w:val="24"/>
                <w:lang w:val="en-US" w:eastAsia="zh-CN" w:bidi="ar"/>
              </w:rPr>
              <w:t>任</w:t>
            </w:r>
          </w:p>
        </w:tc>
        <w:tc>
          <w:tcPr>
            <w:tcW w:w="7748" w:type="dxa"/>
          </w:tcPr>
          <w:p>
            <w:pPr>
              <w:keepNext w:val="0"/>
              <w:keepLines w:val="0"/>
              <w:pageBreakBefore w:val="0"/>
              <w:widowControl/>
              <w:suppressLineNumbers w:val="0"/>
              <w:kinsoku/>
              <w:wordWrap/>
              <w:overflowPunct/>
              <w:topLinePunct w:val="0"/>
              <w:autoSpaceDE/>
              <w:autoSpaceDN/>
              <w:bidi w:val="0"/>
              <w:adjustRightInd/>
              <w:snapToGrid/>
              <w:spacing w:line="400" w:lineRule="atLeast"/>
              <w:ind w:firstLine="240" w:firstLineChars="100"/>
              <w:jc w:val="left"/>
              <w:textAlignment w:val="auto"/>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 xml:space="preserve">1、企业主要负责人对本单位安全检查和事故隐患排查治理工作全面负责，部署、督促、检查本单位事故隐患排查治理工作，及时消除事故隐患。 </w:t>
            </w:r>
          </w:p>
          <w:p>
            <w:pPr>
              <w:keepNext w:val="0"/>
              <w:keepLines w:val="0"/>
              <w:pageBreakBefore w:val="0"/>
              <w:widowControl/>
              <w:suppressLineNumbers w:val="0"/>
              <w:kinsoku/>
              <w:wordWrap/>
              <w:overflowPunct/>
              <w:topLinePunct w:val="0"/>
              <w:autoSpaceDE/>
              <w:autoSpaceDN/>
              <w:bidi w:val="0"/>
              <w:adjustRightInd/>
              <w:snapToGrid/>
              <w:spacing w:line="400" w:lineRule="atLeast"/>
              <w:ind w:firstLine="240" w:firstLineChars="100"/>
              <w:jc w:val="left"/>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 xml:space="preserve">2、企业主要负责人对本单位安全检查和事故隐患排查治理工作负领导责任。 </w:t>
            </w:r>
          </w:p>
          <w:p>
            <w:pPr>
              <w:keepNext w:val="0"/>
              <w:keepLines w:val="0"/>
              <w:pageBreakBefore w:val="0"/>
              <w:widowControl/>
              <w:suppressLineNumbers w:val="0"/>
              <w:kinsoku/>
              <w:wordWrap/>
              <w:overflowPunct/>
              <w:topLinePunct w:val="0"/>
              <w:autoSpaceDE/>
              <w:autoSpaceDN/>
              <w:bidi w:val="0"/>
              <w:adjustRightInd/>
              <w:snapToGrid/>
              <w:spacing w:line="400" w:lineRule="atLeast"/>
              <w:ind w:firstLine="240" w:firstLineChars="100"/>
              <w:jc w:val="left"/>
              <w:textAlignment w:val="auto"/>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 xml:space="preserve">3、企业分管安全生产负责人对事故隐患排查治理工作负组织实施和综合管理及监督的责任。 </w:t>
            </w:r>
          </w:p>
          <w:p>
            <w:pPr>
              <w:keepNext w:val="0"/>
              <w:keepLines w:val="0"/>
              <w:pageBreakBefore w:val="0"/>
              <w:widowControl/>
              <w:suppressLineNumbers w:val="0"/>
              <w:kinsoku/>
              <w:wordWrap/>
              <w:overflowPunct/>
              <w:topLinePunct w:val="0"/>
              <w:autoSpaceDE/>
              <w:autoSpaceDN/>
              <w:bidi w:val="0"/>
              <w:adjustRightInd/>
              <w:snapToGrid/>
              <w:spacing w:line="400" w:lineRule="atLeast"/>
              <w:ind w:firstLine="240" w:firstLineChars="100"/>
              <w:jc w:val="left"/>
              <w:textAlignment w:val="auto"/>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 xml:space="preserve">4、企业其他各分管领导按照安全生产“党政同责、一岗双责”“谁主管、谁负责”的原则对各自分管部门的安全检查和事故隐患排查治理工作负直接管理责任。 </w:t>
            </w:r>
          </w:p>
          <w:p>
            <w:pPr>
              <w:keepNext w:val="0"/>
              <w:keepLines w:val="0"/>
              <w:pageBreakBefore w:val="0"/>
              <w:widowControl/>
              <w:suppressLineNumbers w:val="0"/>
              <w:kinsoku/>
              <w:wordWrap/>
              <w:overflowPunct/>
              <w:topLinePunct w:val="0"/>
              <w:autoSpaceDE/>
              <w:autoSpaceDN/>
              <w:bidi w:val="0"/>
              <w:adjustRightInd/>
              <w:snapToGrid/>
              <w:spacing w:line="400" w:lineRule="atLeast"/>
              <w:ind w:firstLine="240" w:firstLineChars="100"/>
              <w:jc w:val="left"/>
              <w:textAlignment w:val="auto"/>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 xml:space="preserve">5、企业安全部门负责人对本单位安全检查隐患排查治理工作负协助分管安全领导实施综合监督管理的责任，对本部门的安全检查隐患排查治理负直接管理责任。 </w:t>
            </w:r>
          </w:p>
          <w:p>
            <w:pPr>
              <w:keepNext w:val="0"/>
              <w:keepLines w:val="0"/>
              <w:pageBreakBefore w:val="0"/>
              <w:widowControl/>
              <w:suppressLineNumbers w:val="0"/>
              <w:kinsoku/>
              <w:wordWrap/>
              <w:overflowPunct/>
              <w:topLinePunct w:val="0"/>
              <w:autoSpaceDE/>
              <w:autoSpaceDN/>
              <w:bidi w:val="0"/>
              <w:adjustRightInd/>
              <w:snapToGrid/>
              <w:spacing w:line="400" w:lineRule="atLeast"/>
              <w:ind w:firstLine="240" w:firstLineChars="100"/>
              <w:jc w:val="left"/>
              <w:textAlignment w:val="auto"/>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 xml:space="preserve">6、企业其他各部门负责人负组织开展本部门安全检查和事故隐患排查治理工作的直接管理责任。 </w:t>
            </w:r>
          </w:p>
          <w:p>
            <w:pPr>
              <w:keepNext w:val="0"/>
              <w:keepLines w:val="0"/>
              <w:pageBreakBefore w:val="0"/>
              <w:widowControl/>
              <w:suppressLineNumbers w:val="0"/>
              <w:kinsoku/>
              <w:wordWrap/>
              <w:overflowPunct/>
              <w:topLinePunct w:val="0"/>
              <w:autoSpaceDE/>
              <w:autoSpaceDN/>
              <w:bidi w:val="0"/>
              <w:adjustRightInd/>
              <w:snapToGrid/>
              <w:spacing w:line="400" w:lineRule="atLeast"/>
              <w:ind w:firstLine="240" w:firstLineChars="100"/>
              <w:jc w:val="left"/>
              <w:textAlignment w:val="auto"/>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4"/>
                <w:szCs w:val="24"/>
                <w:lang w:val="en-US" w:eastAsia="zh-CN" w:bidi="ar"/>
              </w:rPr>
              <w:t xml:space="preserve">7、企业各岗位人员按照“一岗双责”“谁当班、谁负责、谁检查、谁负责”的原则，负本岗位安全检查和事故隐患排查治理的岗位责任，按照规章制度、岗位职责和安全生产职责、操作规程的规定，落实日常工作中的安全检查和事故隐患排查治理责任。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5" w:type="dxa"/>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auto"/>
              <w:rPr>
                <w:rFonts w:hint="eastAsia" w:ascii="仿宋_GB2312" w:hAnsi="宋体" w:eastAsia="仿宋_GB2312" w:cs="仿宋_GB2312"/>
                <w:color w:val="000000"/>
                <w:kern w:val="0"/>
                <w:sz w:val="24"/>
                <w:szCs w:val="24"/>
                <w:lang w:val="en-US" w:eastAsia="zh-CN" w:bidi="ar"/>
              </w:rPr>
            </w:pPr>
            <w:r>
              <w:rPr>
                <w:rFonts w:hint="eastAsia" w:ascii="仿宋_GB2312" w:hAnsi="宋体" w:eastAsia="仿宋_GB2312" w:cs="仿宋_GB2312"/>
                <w:color w:val="000000"/>
                <w:kern w:val="0"/>
                <w:sz w:val="24"/>
                <w:szCs w:val="24"/>
                <w:lang w:val="en-US" w:eastAsia="zh-CN" w:bidi="ar"/>
              </w:rPr>
              <w:t>日常安全检查方式</w:t>
            </w:r>
          </w:p>
        </w:tc>
        <w:tc>
          <w:tcPr>
            <w:tcW w:w="7748" w:type="dxa"/>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日常安全检查主要采取制定检查表对表开展检查、现场抽查、路检路查、现场询问、工作现场观察、工作过程中自查、动态监控平台查询、查阅资料等方式进行检查。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5" w:type="dxa"/>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_GB2312" w:hAnsi="宋体" w:eastAsia="仿宋_GB2312" w:cs="仿宋_GB2312"/>
                <w:color w:val="000000"/>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auto"/>
              <w:rPr>
                <w:rFonts w:hint="eastAsia" w:ascii="仿宋_GB2312" w:hAnsi="宋体" w:eastAsia="仿宋_GB2312" w:cs="仿宋_GB2312"/>
                <w:color w:val="000000"/>
                <w:kern w:val="0"/>
                <w:sz w:val="24"/>
                <w:szCs w:val="24"/>
                <w:lang w:val="en-US" w:eastAsia="zh-CN" w:bidi="ar"/>
              </w:rPr>
            </w:pPr>
            <w:r>
              <w:rPr>
                <w:rFonts w:hint="eastAsia" w:ascii="仿宋_GB2312" w:hAnsi="宋体" w:eastAsia="仿宋_GB2312" w:cs="仿宋_GB2312"/>
                <w:color w:val="000000"/>
                <w:kern w:val="0"/>
                <w:sz w:val="24"/>
                <w:szCs w:val="24"/>
                <w:lang w:val="en-US" w:eastAsia="zh-CN" w:bidi="ar"/>
              </w:rPr>
              <w:t>日常安全检查的要素和环节</w:t>
            </w:r>
          </w:p>
        </w:tc>
        <w:tc>
          <w:tcPr>
            <w:tcW w:w="7748" w:type="dxa"/>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 xml:space="preserve">1、日常安全检查要抓住运输生产经营过程中存在的可能导致不安全事件或事故发生的物的不安全状态、人的不安全行为、环境因素和管理的缺陷开展检查、排查。 </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 xml:space="preserve">2、应根据道路旅客运输事故特征和原因分析，道路旅客运输容易产生事故隐患的主要环节包括客运驾驶人、营运车辆、运营过程等开展安全检查，排查治理相应的隐患。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5" w:type="dxa"/>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_GB2312" w:hAnsi="宋体" w:eastAsia="仿宋_GB2312" w:cs="仿宋_GB2312"/>
                <w:color w:val="000000"/>
                <w:kern w:val="0"/>
                <w:sz w:val="28"/>
                <w:szCs w:val="28"/>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_GB2312" w:hAnsi="宋体" w:eastAsia="仿宋_GB2312" w:cs="仿宋_GB2312"/>
                <w:color w:val="000000"/>
                <w:kern w:val="0"/>
                <w:sz w:val="28"/>
                <w:szCs w:val="28"/>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_GB2312" w:hAnsi="宋体" w:eastAsia="仿宋_GB2312" w:cs="仿宋_GB2312"/>
                <w:color w:val="000000"/>
                <w:kern w:val="0"/>
                <w:sz w:val="28"/>
                <w:szCs w:val="28"/>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_GB2312" w:hAnsi="宋体" w:eastAsia="仿宋_GB2312" w:cs="仿宋_GB2312"/>
                <w:color w:val="000000"/>
                <w:kern w:val="0"/>
                <w:sz w:val="28"/>
                <w:szCs w:val="28"/>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_GB2312" w:hAnsi="宋体" w:eastAsia="仿宋_GB2312" w:cs="仿宋_GB2312"/>
                <w:color w:val="000000"/>
                <w:kern w:val="0"/>
                <w:sz w:val="28"/>
                <w:szCs w:val="28"/>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_GB2312" w:hAnsi="宋体" w:eastAsia="仿宋_GB2312" w:cs="仿宋_GB2312"/>
                <w:color w:val="000000"/>
                <w:kern w:val="0"/>
                <w:sz w:val="28"/>
                <w:szCs w:val="28"/>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_GB2312" w:hAnsi="宋体" w:eastAsia="仿宋_GB2312" w:cs="仿宋_GB2312"/>
                <w:color w:val="000000"/>
                <w:kern w:val="0"/>
                <w:sz w:val="28"/>
                <w:szCs w:val="28"/>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_GB2312" w:hAnsi="宋体" w:eastAsia="仿宋_GB2312" w:cs="仿宋_GB2312"/>
                <w:color w:val="000000"/>
                <w:kern w:val="0"/>
                <w:sz w:val="28"/>
                <w:szCs w:val="28"/>
                <w:lang w:val="en-US" w:eastAsia="zh-CN" w:bidi="ar"/>
              </w:rPr>
            </w:pPr>
            <w:r>
              <w:rPr>
                <w:rFonts w:hint="eastAsia" w:ascii="仿宋_GB2312" w:hAnsi="宋体" w:eastAsia="仿宋_GB2312" w:cs="仿宋_GB2312"/>
                <w:color w:val="000000"/>
                <w:kern w:val="0"/>
                <w:sz w:val="24"/>
                <w:szCs w:val="24"/>
                <w:lang w:val="en-US" w:eastAsia="zh-CN" w:bidi="ar"/>
              </w:rPr>
              <w:t>日常安全检查的重点内容</w:t>
            </w:r>
          </w:p>
        </w:tc>
        <w:tc>
          <w:tcPr>
            <w:tcW w:w="7748" w:type="dxa"/>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 xml:space="preserve">1、出租客运企业安全检查的重点是针对驾驶员、车辆、通行条件、环境因素、企业内部安全管理及其他事故隐患进行检查、排查。 </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 xml:space="preserve">2、检查驾驶员：驾驶资格符合性、参加安全教育培训情况、驾驶操作的规范性、驾驶员超速、超载、疲劳驾驶、开情绪车、冒险车、酒后驾驶以及服用影响安全驾驶的药物后驾驶等违法违规及处理情况、驾驶员安全意识和身体心理条件、驾驶员对应急处置知识的掌握、驾驶员应急处置能力、驾驶员的违法和事故信息以及交通违法行为的查询等。 </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 xml:space="preserve">3、检查车辆：车辆技术档案、车辆安全技术检验和维护、维修记录、车辆各类保险、车辆各类证照、车辆实际安全技术状况、车载安全装置 和安全设施设备是否齐全完好有效等。 </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 xml:space="preserve">4、检查管理因素：企业安全生产责任制和企业规章制度的建立健全和执行落实情况、安全管理、车辆动态监控管理、车辆技术管理等重要职能部门的岗位人员配备符合行业要求和工作需要以及落实相关工作的情况、 安全经费投入保障情况、车辆动态监控设备的安装使用情况、动态监控管理落实情况，企业日常安全管理执行情况、绩效考核与持续改进、内部安全评估、风险辨识和分级管控、各单位各部门开展安全生产自查自纠情况等。 </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4"/>
                <w:szCs w:val="24"/>
                <w:lang w:val="en-US" w:eastAsia="zh-CN" w:bidi="ar"/>
              </w:rPr>
              <w:t>5、检查排除其他事故隐患：应急预案管理、应急培训、演练、应急队伍建设、应急处置能力，行车事故管理、生产、生活场所的建构筑物安全、 消防安全、防洪、防盗、防自然灾害、防突发事件等隐患进行检查、排查。</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hkYWE1ZGEwMDQ5YzVlNDYzMTlmZDVlNmU1N2QzZGEifQ=="/>
  </w:docVars>
  <w:rsids>
    <w:rsidRoot w:val="43D82577"/>
    <w:rsid w:val="43D82577"/>
    <w:rsid w:val="4B9165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Salutation"/>
    <w:basedOn w:val="1"/>
    <w:next w:val="1"/>
    <w:qFormat/>
    <w:uiPriority w:val="0"/>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1296</Words>
  <Characters>1296</Characters>
  <Lines>0</Lines>
  <Paragraphs>0</Paragraphs>
  <TotalTime>1</TotalTime>
  <ScaleCrop>false</ScaleCrop>
  <LinksUpToDate>false</LinksUpToDate>
  <CharactersWithSpaces>1312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2023-04-28T09:19:00Z</dcterms:created>
  <dc:creator>Administrator</dc:creator>
  <cp:lastModifiedBy>Administrator</cp:lastModifiedBy>
  <dcterms:modified xsi:type="dcterms:W3CDTF">2023-04-28T09:21:03Z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DE8F12DF25DD401EA5338214445A17C0</vt:lpwstr>
  </property>
</Properties>
</file>