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b w:val="0"/>
          <w:sz w:val="36"/>
          <w:szCs w:val="36"/>
        </w:rPr>
      </w:pPr>
      <w:bookmarkStart w:id="0" w:name="_Toc46996824"/>
      <w:r>
        <w:rPr>
          <w:rFonts w:ascii="黑体" w:hAnsi="黑体" w:eastAsia="黑体"/>
          <w:b w:val="0"/>
          <w:sz w:val="36"/>
          <w:szCs w:val="36"/>
        </w:rPr>
        <w:t xml:space="preserve">5-4  </w:t>
      </w:r>
      <w:r>
        <w:rPr>
          <w:rFonts w:hint="eastAsia" w:ascii="黑体" w:hAnsi="黑体" w:eastAsia="黑体"/>
          <w:b w:val="0"/>
          <w:sz w:val="36"/>
          <w:szCs w:val="36"/>
        </w:rPr>
        <w:t>安全事故隐患排查治理清单</w:t>
      </w:r>
      <w:bookmarkEnd w:id="0"/>
    </w:p>
    <w:tbl>
      <w:tblPr>
        <w:tblStyle w:val="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8"/>
        <w:gridCol w:w="2310"/>
        <w:gridCol w:w="4866"/>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4" w:hRule="atLeast"/>
          <w:jc w:val="center"/>
        </w:trPr>
        <w:tc>
          <w:tcPr>
            <w:tcW w:w="10277" w:type="dxa"/>
            <w:gridSpan w:val="4"/>
            <w:tcBorders>
              <w:top w:val="nil"/>
              <w:left w:val="nil"/>
              <w:right w:val="nil"/>
            </w:tcBorders>
            <w:vAlign w:val="center"/>
          </w:tcPr>
          <w:p>
            <w:pPr>
              <w:jc w:val="center"/>
              <w:textAlignment w:val="center"/>
              <w:rPr>
                <w:rFonts w:ascii="宋体" w:hAnsi="宋体" w:eastAsia="宋体" w:cs="宋体"/>
                <w:b/>
                <w:color w:val="000000"/>
                <w:sz w:val="28"/>
                <w:szCs w:val="28"/>
              </w:rPr>
            </w:pPr>
            <w:r>
              <w:rPr>
                <w:rFonts w:ascii="宋体" w:hAnsi="宋体" w:eastAsia="宋体" w:cs="宋体"/>
                <w:b/>
                <w:color w:val="000000"/>
                <w:sz w:val="28"/>
                <w:szCs w:val="28"/>
              </w:rPr>
              <w:t>5-4-1</w:t>
            </w:r>
            <w:r>
              <w:rPr>
                <w:rFonts w:hint="eastAsia" w:ascii="宋体" w:hAnsi="宋体" w:eastAsia="宋体" w:cs="宋体"/>
                <w:b/>
                <w:color w:val="000000"/>
                <w:sz w:val="28"/>
                <w:szCs w:val="28"/>
              </w:rPr>
              <w:t>烟花爆竹生产企业安全事故隐患排查清单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1188" w:type="dxa"/>
            <w:vAlign w:val="center"/>
          </w:tcPr>
          <w:p>
            <w:pPr>
              <w:jc w:val="center"/>
              <w:textAlignment w:val="center"/>
              <w:rPr>
                <w:rFonts w:ascii="宋体" w:hAnsi="宋体" w:eastAsia="宋体" w:cs="宋体"/>
                <w:b/>
                <w:bCs/>
                <w:color w:val="000000"/>
                <w:sz w:val="24"/>
                <w:szCs w:val="24"/>
              </w:rPr>
            </w:pPr>
            <w:r>
              <w:rPr>
                <w:rFonts w:hint="eastAsia" w:ascii="宋体" w:hAnsi="宋体" w:eastAsia="宋体" w:cs="宋体"/>
                <w:b/>
                <w:bCs/>
                <w:color w:val="000000"/>
              </w:rPr>
              <w:t>企业名称：</w:t>
            </w:r>
          </w:p>
        </w:tc>
        <w:tc>
          <w:tcPr>
            <w:tcW w:w="2310" w:type="dxa"/>
            <w:vAlign w:val="center"/>
          </w:tcPr>
          <w:p>
            <w:pPr>
              <w:rPr>
                <w:rFonts w:ascii="宋体" w:hAnsi="宋体" w:eastAsia="宋体" w:cs="宋体"/>
                <w:b/>
                <w:bCs/>
                <w:color w:val="000000"/>
                <w:szCs w:val="21"/>
              </w:rPr>
            </w:pPr>
          </w:p>
        </w:tc>
        <w:tc>
          <w:tcPr>
            <w:tcW w:w="6779" w:type="dxa"/>
            <w:gridSpan w:val="2"/>
            <w:vAlign w:val="center"/>
          </w:tcPr>
          <w:p>
            <w:pPr>
              <w:ind w:firstLine="3795" w:firstLineChars="1800"/>
              <w:textAlignment w:val="center"/>
              <w:rPr>
                <w:rFonts w:ascii="宋体" w:hAnsi="宋体" w:eastAsia="宋体" w:cs="宋体"/>
                <w:b/>
                <w:bCs/>
                <w:color w:val="000000"/>
              </w:rPr>
            </w:pPr>
            <w:r>
              <w:rPr>
                <w:rFonts w:hint="eastAsia" w:ascii="宋体" w:hAnsi="宋体" w:eastAsia="宋体" w:cs="宋体"/>
                <w:b/>
                <w:bCs/>
                <w:color w:val="000000"/>
              </w:rPr>
              <w:t>排查日期：</w:t>
            </w:r>
            <w:r>
              <w:rPr>
                <w:rFonts w:ascii="宋体" w:hAnsi="宋体" w:eastAsia="宋体" w:cs="宋体"/>
                <w:b/>
                <w:bCs/>
                <w:color w:val="000000"/>
              </w:rPr>
              <w:t xml:space="preserve">   </w:t>
            </w:r>
            <w:r>
              <w:rPr>
                <w:rFonts w:hint="eastAsia" w:ascii="宋体" w:hAnsi="宋体" w:eastAsia="宋体" w:cs="宋体"/>
                <w:b/>
                <w:bCs/>
                <w:color w:val="000000"/>
              </w:rPr>
              <w:t>年</w:t>
            </w:r>
            <w:r>
              <w:rPr>
                <w:rFonts w:ascii="宋体" w:hAnsi="宋体" w:eastAsia="宋体" w:cs="宋体"/>
                <w:b/>
                <w:bCs/>
                <w:color w:val="000000"/>
              </w:rPr>
              <w:t xml:space="preserve">   </w:t>
            </w:r>
            <w:r>
              <w:rPr>
                <w:rFonts w:hint="eastAsia" w:ascii="宋体" w:hAnsi="宋体" w:eastAsia="宋体" w:cs="宋体"/>
                <w:b/>
                <w:bCs/>
                <w:color w:val="000000"/>
              </w:rPr>
              <w:t>月</w:t>
            </w:r>
            <w:r>
              <w:rPr>
                <w:rFonts w:ascii="宋体" w:hAnsi="宋体" w:eastAsia="宋体" w:cs="宋体"/>
                <w:b/>
                <w:bCs/>
                <w:color w:val="000000"/>
              </w:rPr>
              <w:t xml:space="preserve">   </w:t>
            </w:r>
            <w:r>
              <w:rPr>
                <w:rFonts w:hint="eastAsia" w:ascii="宋体" w:hAnsi="宋体" w:eastAsia="宋体" w:cs="宋体"/>
                <w:b/>
                <w:bCs/>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277" w:type="dxa"/>
            <w:gridSpan w:val="4"/>
            <w:vAlign w:val="center"/>
          </w:tcPr>
          <w:p>
            <w:pPr>
              <w:jc w:val="center"/>
              <w:textAlignment w:val="center"/>
              <w:rPr>
                <w:rStyle w:val="5"/>
                <w:rFonts w:hint="eastAsia" w:ascii="宋体" w:eastAsia="宋体"/>
                <w:sz w:val="22"/>
                <w:lang w:eastAsia="zh-CN"/>
              </w:rPr>
            </w:pPr>
            <w:r>
              <w:rPr>
                <w:rStyle w:val="5"/>
                <w:rFonts w:hint="eastAsia" w:ascii="宋体" w:eastAsia="宋体"/>
                <w:sz w:val="22"/>
              </w:rPr>
              <w:t>一、</w:t>
            </w:r>
            <w:r>
              <w:rPr>
                <w:rStyle w:val="5"/>
                <w:rFonts w:ascii="宋体" w:eastAsia="宋体"/>
                <w:sz w:val="22"/>
              </w:rPr>
              <w:t>A</w:t>
            </w:r>
            <w:r>
              <w:rPr>
                <w:rStyle w:val="5"/>
                <w:rFonts w:hint="eastAsia" w:ascii="宋体" w:eastAsia="宋体"/>
                <w:sz w:val="22"/>
              </w:rPr>
              <w:t>基础管理类事故隐患</w:t>
            </w:r>
          </w:p>
          <w:p>
            <w:pPr>
              <w:jc w:val="center"/>
              <w:textAlignment w:val="center"/>
              <w:rPr>
                <w:rFonts w:ascii="宋体" w:hAnsi="宋体" w:eastAsia="宋体" w:cs="黑体"/>
                <w:color w:val="000000"/>
              </w:rPr>
            </w:pPr>
            <w:r>
              <w:rPr>
                <w:rStyle w:val="6"/>
                <w:rFonts w:hint="eastAsia" w:ascii="宋体" w:eastAsia="宋体"/>
              </w:rPr>
              <w:t>（是指烟花爆竹生产单位安全管理体制、机制及程序等方面存在的缺陷）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Align w:val="center"/>
          </w:tcPr>
          <w:p>
            <w:pPr>
              <w:ind w:firstLine="105" w:firstLineChars="50"/>
              <w:jc w:val="center"/>
              <w:textAlignment w:val="center"/>
              <w:rPr>
                <w:rFonts w:ascii="宋体" w:hAnsi="宋体" w:eastAsia="宋体" w:cs="仿宋"/>
                <w:b/>
                <w:color w:val="000000"/>
              </w:rPr>
            </w:pPr>
            <w:r>
              <w:rPr>
                <w:rFonts w:hint="eastAsia" w:ascii="宋体" w:hAnsi="宋体" w:eastAsia="宋体" w:cs="仿宋"/>
                <w:b/>
                <w:color w:val="000000"/>
              </w:rPr>
              <w:t>隐患类别</w:t>
            </w:r>
          </w:p>
        </w:tc>
        <w:tc>
          <w:tcPr>
            <w:tcW w:w="2310" w:type="dxa"/>
            <w:vAlign w:val="center"/>
          </w:tcPr>
          <w:p>
            <w:pPr>
              <w:ind w:firstLine="105" w:firstLineChars="50"/>
              <w:jc w:val="center"/>
              <w:textAlignment w:val="center"/>
              <w:rPr>
                <w:rFonts w:ascii="宋体" w:hAnsi="宋体" w:eastAsia="宋体" w:cs="仿宋"/>
                <w:b/>
                <w:color w:val="000000"/>
              </w:rPr>
            </w:pPr>
            <w:r>
              <w:rPr>
                <w:rFonts w:hint="eastAsia" w:ascii="宋体" w:hAnsi="宋体" w:eastAsia="宋体" w:cs="仿宋"/>
                <w:b/>
                <w:color w:val="000000"/>
              </w:rPr>
              <w:t>隐患内容</w:t>
            </w:r>
          </w:p>
        </w:tc>
        <w:tc>
          <w:tcPr>
            <w:tcW w:w="4866" w:type="dxa"/>
            <w:vAlign w:val="center"/>
          </w:tcPr>
          <w:p>
            <w:pPr>
              <w:ind w:firstLine="105" w:firstLineChars="50"/>
              <w:jc w:val="center"/>
              <w:textAlignment w:val="center"/>
              <w:rPr>
                <w:rFonts w:ascii="宋体" w:hAnsi="宋体" w:eastAsia="宋体" w:cs="仿宋"/>
                <w:b/>
                <w:color w:val="000000"/>
              </w:rPr>
            </w:pPr>
            <w:r>
              <w:rPr>
                <w:rFonts w:hint="eastAsia" w:ascii="宋体" w:hAnsi="宋体" w:eastAsia="宋体" w:cs="仿宋"/>
                <w:b/>
                <w:color w:val="000000"/>
              </w:rPr>
              <w:t>说明</w:t>
            </w:r>
          </w:p>
        </w:tc>
        <w:tc>
          <w:tcPr>
            <w:tcW w:w="1913" w:type="dxa"/>
            <w:vAlign w:val="center"/>
          </w:tcPr>
          <w:p>
            <w:pPr>
              <w:ind w:firstLine="105" w:firstLineChars="50"/>
              <w:jc w:val="center"/>
              <w:textAlignment w:val="center"/>
              <w:rPr>
                <w:rFonts w:ascii="宋体" w:hAnsi="宋体" w:eastAsia="宋体" w:cs="仿宋"/>
                <w:b/>
                <w:color w:val="000000"/>
              </w:rPr>
            </w:pPr>
            <w:r>
              <w:rPr>
                <w:rFonts w:hint="eastAsia" w:ascii="宋体" w:hAnsi="宋体" w:eastAsia="宋体" w:cs="仿宋"/>
                <w:b/>
                <w:color w:val="000000"/>
              </w:rPr>
              <w:t>排查情况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8" w:hRule="atLeast"/>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A01</w:t>
            </w:r>
            <w:r>
              <w:rPr>
                <w:rFonts w:hint="eastAsia" w:ascii="宋体" w:hAnsi="宋体" w:eastAsia="宋体" w:cs="仿宋"/>
                <w:color w:val="000000"/>
              </w:rPr>
              <w:t>资质证照</w:t>
            </w:r>
          </w:p>
        </w:tc>
        <w:tc>
          <w:tcPr>
            <w:tcW w:w="2310"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缺少资质证照</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未按规定取得合法的营业执照、消防设施、防雷设施、防静电设施验收（备案）文件。</w:t>
            </w:r>
          </w:p>
        </w:tc>
        <w:tc>
          <w:tcPr>
            <w:tcW w:w="1913" w:type="dxa"/>
            <w:vMerge w:val="restart"/>
            <w:vAlign w:val="center"/>
          </w:tcPr>
          <w:p>
            <w:pPr>
              <w:ind w:firstLine="105" w:firstLineChars="50"/>
              <w:jc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866" w:type="dxa"/>
            <w:vMerge w:val="restart"/>
            <w:vAlign w:val="center"/>
          </w:tcPr>
          <w:p>
            <w:pPr>
              <w:textAlignment w:val="center"/>
              <w:rPr>
                <w:rFonts w:ascii="宋体" w:hAnsi="宋体" w:eastAsia="宋体" w:cs="仿宋"/>
                <w:color w:val="000000"/>
              </w:rPr>
            </w:pPr>
            <w:r>
              <w:rPr>
                <w:rFonts w:hint="eastAsia" w:ascii="宋体" w:hAnsi="宋体" w:eastAsia="宋体" w:cs="仿宋"/>
                <w:color w:val="000000"/>
              </w:rPr>
              <w:t>未取得烟花爆竹安全生产许可证或资质证照不在有效期。</w:t>
            </w:r>
          </w:p>
        </w:tc>
        <w:tc>
          <w:tcPr>
            <w:tcW w:w="1913" w:type="dxa"/>
            <w:vMerge w:val="continue"/>
            <w:vAlign w:val="center"/>
          </w:tcPr>
          <w:p>
            <w:pPr>
              <w:ind w:firstLine="105" w:firstLineChars="50"/>
              <w:jc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资质证照未合法有效</w:t>
            </w:r>
          </w:p>
        </w:tc>
        <w:tc>
          <w:tcPr>
            <w:tcW w:w="4866" w:type="dxa"/>
            <w:vMerge w:val="continue"/>
            <w:vAlign w:val="center"/>
          </w:tcPr>
          <w:p>
            <w:pPr>
              <w:ind w:firstLine="105" w:firstLineChars="50"/>
              <w:textAlignment w:val="center"/>
              <w:rPr>
                <w:rFonts w:ascii="宋体" w:hAnsi="宋体" w:eastAsia="宋体" w:cs="仿宋"/>
                <w:color w:val="000000"/>
              </w:rPr>
            </w:pPr>
          </w:p>
        </w:tc>
        <w:tc>
          <w:tcPr>
            <w:tcW w:w="1913" w:type="dxa"/>
            <w:vMerge w:val="continue"/>
            <w:vAlign w:val="center"/>
          </w:tcPr>
          <w:p>
            <w:pPr>
              <w:ind w:firstLine="105" w:firstLineChars="50"/>
              <w:jc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新、改、扩建项目未取得安全设施竣工验收（备案）文件。</w:t>
            </w:r>
          </w:p>
        </w:tc>
        <w:tc>
          <w:tcPr>
            <w:tcW w:w="1913" w:type="dxa"/>
            <w:vMerge w:val="continue"/>
            <w:vAlign w:val="center"/>
          </w:tcPr>
          <w:p>
            <w:pPr>
              <w:ind w:firstLine="105" w:firstLineChars="50"/>
              <w:jc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A02</w:t>
            </w:r>
            <w:r>
              <w:rPr>
                <w:rFonts w:hint="eastAsia" w:ascii="宋体" w:hAnsi="宋体" w:eastAsia="宋体" w:cs="仿宋"/>
                <w:color w:val="000000"/>
              </w:rPr>
              <w:t>安全生产管理机构及人员</w:t>
            </w: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安全生产管理机构</w:t>
            </w:r>
            <w:r>
              <w:rPr>
                <w:rFonts w:hint="eastAsia" w:ascii="宋体" w:hAnsi="宋体" w:eastAsia="宋体" w:cs="仿宋"/>
                <w:color w:val="000000"/>
                <w:szCs w:val="21"/>
              </w:rPr>
              <w:t>设置</w:t>
            </w:r>
            <w:r>
              <w:rPr>
                <w:rFonts w:hint="eastAsia" w:ascii="宋体" w:hAnsi="宋体" w:eastAsia="宋体" w:cs="仿宋"/>
                <w:color w:val="000000"/>
              </w:rPr>
              <w:t>缺陷</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未按规定建立安全生产管理机构。</w:t>
            </w:r>
          </w:p>
        </w:tc>
        <w:tc>
          <w:tcPr>
            <w:tcW w:w="1913" w:type="dxa"/>
            <w:vMerge w:val="restart"/>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安全管理人员配备缺陷</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未按规定配备安全管理人员，人员配备不足或所配备的人员不符合要求等。</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 xml:space="preserve">A03 </w:t>
            </w:r>
            <w:r>
              <w:rPr>
                <w:rFonts w:hint="eastAsia" w:ascii="宋体" w:hAnsi="宋体" w:eastAsia="宋体" w:cs="仿宋"/>
                <w:color w:val="000000"/>
              </w:rPr>
              <w:t>安全规章制度</w:t>
            </w: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安全生产责任制缺陷</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未按规定建立、健全主要负责人、分管负责人、安全生产管理人员、职能部门、岗位的安全生产责任制。</w:t>
            </w:r>
          </w:p>
        </w:tc>
        <w:tc>
          <w:tcPr>
            <w:tcW w:w="1913" w:type="dxa"/>
            <w:vMerge w:val="restart"/>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安全管理制度缺陷</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未按《烟花爆竹生产企业安全生产许可证实施办法》（国家安全生产监</w:t>
            </w:r>
            <w:r>
              <w:rPr>
                <w:rFonts w:ascii="宋体" w:hAnsi="宋体" w:eastAsia="宋体" w:cs="仿宋"/>
                <w:color w:val="000000"/>
              </w:rPr>
              <w:t xml:space="preserve"> </w:t>
            </w:r>
            <w:r>
              <w:rPr>
                <w:rFonts w:hint="eastAsia" w:ascii="宋体" w:hAnsi="宋体" w:eastAsia="宋体" w:cs="仿宋"/>
                <w:color w:val="000000"/>
              </w:rPr>
              <w:t>督管理总局令第</w:t>
            </w:r>
            <w:r>
              <w:rPr>
                <w:rFonts w:ascii="宋体" w:hAnsi="宋体" w:eastAsia="宋体" w:cs="仿宋"/>
                <w:color w:val="000000"/>
              </w:rPr>
              <w:t>54</w:t>
            </w:r>
            <w:r>
              <w:rPr>
                <w:rFonts w:hint="eastAsia" w:ascii="宋体" w:hAnsi="宋体" w:eastAsia="宋体" w:cs="仿宋"/>
                <w:color w:val="000000"/>
              </w:rPr>
              <w:t>号）第十三条的要求定建立、健全安全管理制度。</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3.</w:t>
            </w:r>
            <w:r>
              <w:rPr>
                <w:rFonts w:hint="eastAsia" w:ascii="宋体" w:hAnsi="宋体" w:eastAsia="宋体" w:cs="仿宋"/>
                <w:color w:val="000000"/>
              </w:rPr>
              <w:t>安全操作规程缺陷</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未按规定制定、完善各岗位安全操作规程。</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4.</w:t>
            </w:r>
            <w:r>
              <w:rPr>
                <w:rFonts w:hint="eastAsia" w:ascii="宋体" w:hAnsi="宋体" w:eastAsia="宋体" w:cs="仿宋"/>
                <w:color w:val="000000"/>
              </w:rPr>
              <w:t>制度（文件）管理缺陷</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未按规定制定制度编制、发布、修订等制度，或未按照制度执行，如制度编制、发布、修订等过程不规范，制度（文件）试行、现行有效或过期废止标识不清，过期废止回收销毁等规定不明确，制度（文件）发布后宣贯、执行检查不到位；记录（台账、档案）的数量、格式、内容不明确，填写不规范等。</w:t>
            </w:r>
          </w:p>
        </w:tc>
        <w:tc>
          <w:tcPr>
            <w:tcW w:w="1913" w:type="dxa"/>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7" w:hRule="atLeast"/>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 xml:space="preserve">A04 </w:t>
            </w:r>
            <w:r>
              <w:rPr>
                <w:rFonts w:hint="eastAsia" w:ascii="宋体" w:hAnsi="宋体" w:eastAsia="宋体" w:cs="仿宋"/>
                <w:color w:val="000000"/>
              </w:rPr>
              <w:t>安全培训教育</w:t>
            </w: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主要负责人、安全管理人员培训教育不足</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未按规定取证，取证后没有按年度进行再培训教育或培训教育学时不够等（主要负责人和安全生产管理人员每年再培训时间不得少于</w:t>
            </w:r>
            <w:r>
              <w:rPr>
                <w:rFonts w:ascii="宋体" w:hAnsi="宋体" w:eastAsia="宋体" w:cs="仿宋"/>
                <w:color w:val="000000"/>
              </w:rPr>
              <w:t>16</w:t>
            </w:r>
            <w:r>
              <w:rPr>
                <w:rFonts w:hint="eastAsia" w:ascii="宋体" w:hAnsi="宋体" w:eastAsia="宋体" w:cs="仿宋"/>
                <w:color w:val="000000"/>
              </w:rPr>
              <w:t>学时）。</w:t>
            </w:r>
          </w:p>
        </w:tc>
        <w:tc>
          <w:tcPr>
            <w:tcW w:w="1913" w:type="dxa"/>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特种作业人员培训教育不足</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未按规定取证，证件过期或证件与实际岗位不符等（特种作业操作证每</w:t>
            </w:r>
            <w:r>
              <w:rPr>
                <w:rFonts w:ascii="宋体" w:hAnsi="宋体" w:eastAsia="宋体" w:cs="仿宋"/>
                <w:color w:val="000000"/>
              </w:rPr>
              <w:t>3</w:t>
            </w:r>
            <w:r>
              <w:rPr>
                <w:rFonts w:hint="eastAsia" w:ascii="宋体" w:hAnsi="宋体" w:eastAsia="宋体" w:cs="仿宋"/>
                <w:color w:val="000000"/>
              </w:rPr>
              <w:t>年复审</w:t>
            </w:r>
            <w:r>
              <w:rPr>
                <w:rFonts w:ascii="宋体" w:hAnsi="宋体" w:eastAsia="宋体" w:cs="仿宋"/>
                <w:color w:val="000000"/>
              </w:rPr>
              <w:t>1</w:t>
            </w:r>
            <w:r>
              <w:rPr>
                <w:rFonts w:hint="eastAsia" w:ascii="宋体" w:hAnsi="宋体" w:eastAsia="宋体" w:cs="仿宋"/>
                <w:color w:val="000000"/>
              </w:rPr>
              <w:t>次）。</w:t>
            </w:r>
          </w:p>
        </w:tc>
        <w:tc>
          <w:tcPr>
            <w:tcW w:w="1913" w:type="dxa"/>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3.</w:t>
            </w:r>
            <w:r>
              <w:rPr>
                <w:rFonts w:hint="eastAsia" w:ascii="宋体" w:hAnsi="宋体" w:eastAsia="宋体" w:cs="仿宋"/>
                <w:color w:val="000000"/>
              </w:rPr>
              <w:t>一般从业人员培训教育不足</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缺少日常教育、“三级”教育、“四新”教育、转岗、重新上岗等安全培训教育，或安全培训教育达不到规定时间，或内容不符合要求等。</w:t>
            </w:r>
          </w:p>
        </w:tc>
        <w:tc>
          <w:tcPr>
            <w:tcW w:w="1913" w:type="dxa"/>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 xml:space="preserve">A05 </w:t>
            </w:r>
            <w:r>
              <w:rPr>
                <w:rFonts w:hint="eastAsia" w:ascii="宋体" w:hAnsi="宋体" w:eastAsia="宋体" w:cs="仿宋"/>
                <w:color w:val="000000"/>
              </w:rPr>
              <w:t>安全投入</w:t>
            </w: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安全投入不足</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未按国家相关规定提取安全投入资金。</w:t>
            </w:r>
          </w:p>
        </w:tc>
        <w:tc>
          <w:tcPr>
            <w:tcW w:w="1913" w:type="dxa"/>
            <w:vMerge w:val="restart"/>
            <w:vAlign w:val="center"/>
          </w:tcPr>
          <w:p>
            <w:pPr>
              <w:ind w:firstLine="105" w:firstLineChars="50"/>
              <w:jc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安全投入使用缺陷</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安全投入使用范围或使用金额不符合要求等。</w:t>
            </w:r>
          </w:p>
        </w:tc>
        <w:tc>
          <w:tcPr>
            <w:tcW w:w="1913" w:type="dxa"/>
            <w:vMerge w:val="continue"/>
            <w:vAlign w:val="center"/>
          </w:tcPr>
          <w:p>
            <w:pPr>
              <w:ind w:firstLine="105" w:firstLineChars="50"/>
              <w:jc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3.</w:t>
            </w:r>
            <w:r>
              <w:rPr>
                <w:rFonts w:hint="eastAsia" w:ascii="宋体" w:hAnsi="宋体" w:eastAsia="宋体" w:cs="仿宋"/>
                <w:color w:val="000000"/>
              </w:rPr>
              <w:t>其他</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未按规定购买工伤保险、安全生产责任保险等。</w:t>
            </w:r>
          </w:p>
        </w:tc>
        <w:tc>
          <w:tcPr>
            <w:tcW w:w="1913" w:type="dxa"/>
            <w:vMerge w:val="continue"/>
            <w:vAlign w:val="center"/>
          </w:tcPr>
          <w:p>
            <w:pPr>
              <w:ind w:firstLine="105" w:firstLineChars="50"/>
              <w:jc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 xml:space="preserve">A06 </w:t>
            </w:r>
            <w:r>
              <w:rPr>
                <w:rFonts w:hint="eastAsia" w:ascii="宋体" w:hAnsi="宋体" w:eastAsia="宋体" w:cs="仿宋"/>
                <w:color w:val="000000"/>
              </w:rPr>
              <w:t>个体防护装备</w:t>
            </w: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个体防护装备配备不足</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未按规定选用、配备、按期发放所需的个体防护装备。</w:t>
            </w:r>
          </w:p>
        </w:tc>
        <w:tc>
          <w:tcPr>
            <w:tcW w:w="1913" w:type="dxa"/>
            <w:vMerge w:val="restart"/>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个体防护装备管理缺陷</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未按规定对个体防护装备实施有效管理。</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A07</w:t>
            </w:r>
            <w:r>
              <w:rPr>
                <w:rFonts w:hint="eastAsia" w:ascii="宋体" w:hAnsi="宋体" w:eastAsia="宋体" w:cs="仿宋"/>
                <w:color w:val="000000"/>
              </w:rPr>
              <w:t>安全生产信</w:t>
            </w:r>
            <w:r>
              <w:rPr>
                <w:rFonts w:ascii="宋体" w:hAnsi="宋体" w:eastAsia="宋体" w:cs="仿宋"/>
                <w:color w:val="000000"/>
              </w:rPr>
              <w:t xml:space="preserve"> </w:t>
            </w:r>
            <w:r>
              <w:rPr>
                <w:rFonts w:hint="eastAsia" w:ascii="宋体" w:hAnsi="宋体" w:eastAsia="宋体" w:cs="仿宋"/>
                <w:color w:val="000000"/>
              </w:rPr>
              <w:t>息化建设</w:t>
            </w:r>
          </w:p>
        </w:tc>
        <w:tc>
          <w:tcPr>
            <w:tcW w:w="2310"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未使用烟花爆竹流向管理信息系统缺陷。</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未按规定配备、使用计算机、手持机、打码机等设备。</w:t>
            </w:r>
          </w:p>
        </w:tc>
        <w:tc>
          <w:tcPr>
            <w:tcW w:w="1913" w:type="dxa"/>
            <w:vMerge w:val="restart"/>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7"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成品未按要求张贴产品流向标识码，并采集录入系统。</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危险性工库房视频监控系统使用缺陷。</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未按规定建设应用危险性工库房视频监控系统，视频监控系统未有效运行。</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3.</w:t>
            </w:r>
            <w:r>
              <w:rPr>
                <w:rFonts w:hint="eastAsia" w:ascii="宋体" w:hAnsi="宋体" w:eastAsia="宋体" w:cs="仿宋"/>
                <w:color w:val="000000"/>
              </w:rPr>
              <w:t>信息系统建设缺陷</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未建立安全生产电子台账管理；未使用重大危险源监控、安全风险管控和隐患自查自报等信息系统。</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9" w:hRule="atLeast"/>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A08</w:t>
            </w:r>
            <w:r>
              <w:rPr>
                <w:rFonts w:hint="eastAsia" w:ascii="宋体" w:hAnsi="宋体" w:eastAsia="宋体" w:cs="仿宋"/>
                <w:color w:val="000000"/>
              </w:rPr>
              <w:t>生产组织管理</w:t>
            </w:r>
          </w:p>
        </w:tc>
        <w:tc>
          <w:tcPr>
            <w:tcW w:w="2310"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企业主体责任不明缺陷</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一证多厂或者多股东各自独立组织生产经营；将企业或生产线、车间分包、转包组织生产。</w:t>
            </w:r>
          </w:p>
        </w:tc>
        <w:tc>
          <w:tcPr>
            <w:tcW w:w="1913" w:type="dxa"/>
            <w:vMerge w:val="restart"/>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3"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未统一供销经营、招聘用工、组织生产、安全管理、财务核算、购买安装生产设备等。</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1"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出租、出借、转让、买卖、冒用或者伪造许可证。</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未落实非正常情况停产要求</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在出现电源线路发生漏电、短路和机器运转不正常，雷电、暴风雨等恶劣天气，发现药物温度异常升高或产生异味，直接接触烟火药的操作工序室温超过</w:t>
            </w:r>
            <w:r>
              <w:rPr>
                <w:rFonts w:ascii="宋体" w:hAnsi="宋体" w:eastAsia="宋体" w:cs="仿宋"/>
                <w:color w:val="000000"/>
              </w:rPr>
              <w:t>34</w:t>
            </w:r>
            <w:r>
              <w:rPr>
                <w:rFonts w:hint="eastAsia" w:ascii="宋体" w:hAnsi="宋体" w:eastAsia="宋体" w:cs="仿宋"/>
                <w:color w:val="000000"/>
              </w:rPr>
              <w:t>℃或低于</w:t>
            </w:r>
            <w:r>
              <w:rPr>
                <w:rFonts w:ascii="宋体" w:hAnsi="宋体" w:eastAsia="宋体" w:cs="仿宋"/>
                <w:color w:val="000000"/>
              </w:rPr>
              <w:t xml:space="preserve">0 </w:t>
            </w:r>
            <w:r>
              <w:rPr>
                <w:rFonts w:hint="eastAsia" w:ascii="宋体" w:hAnsi="宋体" w:eastAsia="宋体" w:cs="仿宋"/>
                <w:color w:val="000000"/>
              </w:rPr>
              <w:t>℃时，其它危险工序室温超过</w:t>
            </w:r>
            <w:r>
              <w:rPr>
                <w:rFonts w:ascii="宋体" w:hAnsi="宋体" w:eastAsia="宋体" w:cs="仿宋"/>
                <w:color w:val="000000"/>
              </w:rPr>
              <w:t xml:space="preserve"> 36</w:t>
            </w:r>
            <w:r>
              <w:rPr>
                <w:rFonts w:hint="eastAsia" w:ascii="宋体" w:hAnsi="宋体" w:eastAsia="宋体" w:cs="仿宋"/>
                <w:color w:val="000000"/>
              </w:rPr>
              <w:t>℃或低于</w:t>
            </w:r>
            <w:r>
              <w:rPr>
                <w:rFonts w:ascii="宋体" w:hAnsi="宋体" w:eastAsia="宋体" w:cs="仿宋"/>
                <w:color w:val="000000"/>
              </w:rPr>
              <w:t>0</w:t>
            </w:r>
            <w:r>
              <w:rPr>
                <w:rFonts w:hint="eastAsia" w:ascii="宋体" w:hAnsi="宋体" w:eastAsia="宋体" w:cs="仿宋"/>
                <w:color w:val="000000"/>
              </w:rPr>
              <w:t>℃时，工作人员身体状况不佳或情绪异常，政府有关部门规定的其他停产情形等情况下继续组织生产。</w:t>
            </w:r>
          </w:p>
        </w:tc>
        <w:tc>
          <w:tcPr>
            <w:tcW w:w="1913" w:type="dxa"/>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3.</w:t>
            </w:r>
            <w:r>
              <w:rPr>
                <w:rFonts w:hint="eastAsia" w:ascii="宋体" w:hAnsi="宋体" w:eastAsia="宋体" w:cs="仿宋"/>
                <w:color w:val="000000"/>
              </w:rPr>
              <w:t>产品责任主体不明。</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贴牌、冒牌生产，从其他企业购买烟花爆竹产品加贴本企业的标识进行销售。</w:t>
            </w:r>
          </w:p>
        </w:tc>
        <w:tc>
          <w:tcPr>
            <w:tcW w:w="1913" w:type="dxa"/>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8"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4.</w:t>
            </w:r>
            <w:r>
              <w:rPr>
                <w:rFonts w:hint="eastAsia" w:ascii="宋体" w:hAnsi="宋体" w:eastAsia="宋体" w:cs="仿宋"/>
                <w:color w:val="000000"/>
              </w:rPr>
              <w:t>产品质量不符合要求</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生产使用违禁药物。</w:t>
            </w:r>
          </w:p>
        </w:tc>
        <w:tc>
          <w:tcPr>
            <w:tcW w:w="1913" w:type="dxa"/>
            <w:vMerge w:val="restart"/>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生产经营违禁超标产品。</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生产“假大空”产品。</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3"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产品质量不符合</w:t>
            </w:r>
            <w:r>
              <w:rPr>
                <w:rFonts w:ascii="宋体" w:hAnsi="宋体" w:eastAsia="宋体" w:cs="仿宋"/>
                <w:color w:val="000000"/>
              </w:rPr>
              <w:t>GB10631</w:t>
            </w:r>
            <w:r>
              <w:rPr>
                <w:rFonts w:hint="eastAsia" w:ascii="宋体" w:hAnsi="宋体" w:eastAsia="宋体" w:cs="仿宋"/>
                <w:color w:val="000000"/>
              </w:rPr>
              <w:t>的要求。</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0" w:hRule="atLeast"/>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A09</w:t>
            </w:r>
            <w:r>
              <w:rPr>
                <w:rFonts w:hint="eastAsia" w:ascii="宋体" w:hAnsi="宋体" w:eastAsia="宋体" w:cs="仿宋"/>
                <w:color w:val="000000"/>
              </w:rPr>
              <w:t>产品流向管理</w:t>
            </w: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落实产品流向登记缺陷</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未按照《烟花爆竹流向登记通用规范》（</w:t>
            </w:r>
            <w:r>
              <w:rPr>
                <w:rFonts w:ascii="宋体" w:hAnsi="宋体" w:eastAsia="宋体" w:cs="仿宋"/>
                <w:color w:val="000000"/>
              </w:rPr>
              <w:t>AQ4102</w:t>
            </w:r>
            <w:r>
              <w:rPr>
                <w:rFonts w:hint="eastAsia" w:ascii="宋体" w:hAnsi="宋体" w:eastAsia="宋体" w:cs="仿宋"/>
                <w:color w:val="000000"/>
              </w:rPr>
              <w:t>）的要求对各仓库的产品进行流向登记。</w:t>
            </w:r>
          </w:p>
        </w:tc>
        <w:tc>
          <w:tcPr>
            <w:tcW w:w="1913" w:type="dxa"/>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执行购销合同管理制度缺陷</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未签订正式的购销合同，购销合同中未明确约定各自的安全责任。</w:t>
            </w:r>
          </w:p>
        </w:tc>
        <w:tc>
          <w:tcPr>
            <w:tcW w:w="1913" w:type="dxa"/>
            <w:vMerge w:val="restart"/>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6"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未按购销合同约定的产品供货。</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A10</w:t>
            </w:r>
            <w:r>
              <w:rPr>
                <w:rFonts w:hint="eastAsia" w:ascii="宋体" w:hAnsi="宋体" w:eastAsia="宋体" w:cs="仿宋"/>
                <w:color w:val="000000"/>
              </w:rPr>
              <w:t>采购管理</w:t>
            </w:r>
          </w:p>
        </w:tc>
        <w:tc>
          <w:tcPr>
            <w:tcW w:w="2310"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无规范的原材料购销合同。</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未签订合同的或不规范。</w:t>
            </w:r>
          </w:p>
        </w:tc>
        <w:tc>
          <w:tcPr>
            <w:tcW w:w="1913" w:type="dxa"/>
            <w:vMerge w:val="restart"/>
            <w:vAlign w:val="center"/>
          </w:tcPr>
          <w:p>
            <w:pPr>
              <w:ind w:firstLine="105" w:firstLineChars="50"/>
              <w:jc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continue"/>
            <w:vAlign w:val="center"/>
          </w:tcPr>
          <w:p>
            <w:pPr>
              <w:ind w:firstLine="105" w:firstLineChars="50"/>
              <w:rPr>
                <w:rFonts w:ascii="宋体" w:hAnsi="宋体" w:eastAsia="宋体" w:cs="仿宋"/>
                <w:color w:val="000000"/>
              </w:rPr>
            </w:pP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合同无供货方安全生产许可证复印件；</w:t>
            </w:r>
          </w:p>
        </w:tc>
        <w:tc>
          <w:tcPr>
            <w:tcW w:w="1913" w:type="dxa"/>
            <w:vMerge w:val="continue"/>
            <w:vAlign w:val="center"/>
          </w:tcPr>
          <w:p>
            <w:pPr>
              <w:ind w:firstLine="105" w:firstLineChars="50"/>
              <w:jc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continue"/>
            <w:vAlign w:val="center"/>
          </w:tcPr>
          <w:p>
            <w:pPr>
              <w:ind w:firstLine="105" w:firstLineChars="50"/>
              <w:rPr>
                <w:rFonts w:ascii="宋体" w:hAnsi="宋体" w:eastAsia="宋体" w:cs="仿宋"/>
                <w:color w:val="000000"/>
              </w:rPr>
            </w:pPr>
          </w:p>
        </w:tc>
        <w:tc>
          <w:tcPr>
            <w:tcW w:w="4866" w:type="dxa"/>
            <w:vAlign w:val="center"/>
          </w:tcPr>
          <w:p>
            <w:pPr>
              <w:textAlignment w:val="center"/>
              <w:rPr>
                <w:rFonts w:ascii="宋体" w:hAnsi="宋体" w:eastAsia="宋体" w:cs="仿宋"/>
                <w:color w:val="000000"/>
              </w:rPr>
            </w:pPr>
            <w:r>
              <w:rPr>
                <w:rStyle w:val="7"/>
                <w:rFonts w:hint="eastAsia" w:cs="仿宋"/>
                <w:sz w:val="22"/>
              </w:rPr>
              <w:t>化工材料库内存有与合同不对应的产品</w:t>
            </w:r>
            <w:r>
              <w:rPr>
                <w:rFonts w:hint="eastAsia" w:ascii="宋体" w:hAnsi="宋体" w:eastAsia="宋体" w:cs="仿宋"/>
                <w:color w:val="000000"/>
              </w:rPr>
              <w:t>。</w:t>
            </w:r>
          </w:p>
        </w:tc>
        <w:tc>
          <w:tcPr>
            <w:tcW w:w="1913" w:type="dxa"/>
            <w:vMerge w:val="continue"/>
            <w:vAlign w:val="center"/>
          </w:tcPr>
          <w:p>
            <w:pPr>
              <w:ind w:firstLine="105" w:firstLineChars="50"/>
              <w:jc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化工原材料及药物管理缺陷</w:t>
            </w: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化工原材料无合格证明材料。</w:t>
            </w:r>
          </w:p>
        </w:tc>
        <w:tc>
          <w:tcPr>
            <w:tcW w:w="1913" w:type="dxa"/>
            <w:vMerge w:val="restart"/>
            <w:vAlign w:val="center"/>
          </w:tcPr>
          <w:p>
            <w:pPr>
              <w:ind w:firstLine="105" w:firstLineChars="50"/>
              <w:jc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continue"/>
            <w:vAlign w:val="center"/>
          </w:tcPr>
          <w:p>
            <w:pPr>
              <w:ind w:firstLine="105" w:firstLineChars="50"/>
              <w:rPr>
                <w:rFonts w:ascii="宋体" w:hAnsi="宋体" w:eastAsia="宋体" w:cs="仿宋"/>
                <w:color w:val="000000"/>
              </w:rPr>
            </w:pP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产品无入库抽检记录。</w:t>
            </w:r>
          </w:p>
        </w:tc>
        <w:tc>
          <w:tcPr>
            <w:tcW w:w="1913" w:type="dxa"/>
            <w:vMerge w:val="continue"/>
            <w:vAlign w:val="center"/>
          </w:tcPr>
          <w:p>
            <w:pPr>
              <w:ind w:firstLine="105" w:firstLineChars="50"/>
              <w:jc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continue"/>
            <w:vAlign w:val="center"/>
          </w:tcPr>
          <w:p>
            <w:pPr>
              <w:ind w:firstLine="105" w:firstLineChars="50"/>
              <w:rPr>
                <w:rFonts w:ascii="宋体" w:hAnsi="宋体" w:eastAsia="宋体" w:cs="仿宋"/>
                <w:color w:val="000000"/>
              </w:rPr>
            </w:pP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购进过期、不合格化工原材料。</w:t>
            </w:r>
          </w:p>
        </w:tc>
        <w:tc>
          <w:tcPr>
            <w:tcW w:w="1913" w:type="dxa"/>
            <w:vMerge w:val="continue"/>
            <w:vAlign w:val="center"/>
          </w:tcPr>
          <w:p>
            <w:pPr>
              <w:ind w:firstLine="105" w:firstLineChars="50"/>
              <w:jc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continue"/>
            <w:vAlign w:val="center"/>
          </w:tcPr>
          <w:p>
            <w:pPr>
              <w:ind w:firstLine="105" w:firstLineChars="50"/>
              <w:rPr>
                <w:rFonts w:ascii="宋体" w:hAnsi="宋体" w:eastAsia="宋体" w:cs="仿宋"/>
                <w:color w:val="000000"/>
              </w:rPr>
            </w:pPr>
          </w:p>
        </w:tc>
        <w:tc>
          <w:tcPr>
            <w:tcW w:w="4866" w:type="dxa"/>
            <w:vAlign w:val="center"/>
          </w:tcPr>
          <w:p>
            <w:pPr>
              <w:textAlignment w:val="center"/>
              <w:rPr>
                <w:rFonts w:ascii="宋体" w:hAnsi="宋体" w:eastAsia="宋体" w:cs="仿宋"/>
                <w:color w:val="000000"/>
              </w:rPr>
            </w:pPr>
            <w:r>
              <w:rPr>
                <w:rFonts w:hint="eastAsia" w:ascii="宋体" w:hAnsi="宋体" w:eastAsia="宋体" w:cs="仿宋"/>
                <w:color w:val="000000"/>
              </w:rPr>
              <w:t>使用不符合质量标准要求的化工原材料，无产品合格证，使用过期、不合格的原材料进行生产。</w:t>
            </w:r>
          </w:p>
        </w:tc>
        <w:tc>
          <w:tcPr>
            <w:tcW w:w="1913" w:type="dxa"/>
            <w:vMerge w:val="continue"/>
            <w:vAlign w:val="center"/>
          </w:tcPr>
          <w:p>
            <w:pPr>
              <w:ind w:firstLine="105" w:firstLineChars="50"/>
              <w:jc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continue"/>
            <w:vAlign w:val="center"/>
          </w:tcPr>
          <w:p>
            <w:pPr>
              <w:ind w:firstLine="105" w:firstLineChars="50"/>
              <w:rPr>
                <w:rFonts w:ascii="宋体" w:hAnsi="宋体" w:eastAsia="宋体" w:cs="仿宋"/>
                <w:color w:val="000000"/>
              </w:rPr>
            </w:pP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购进包装和包装标识不合格化工原材料。</w:t>
            </w:r>
          </w:p>
        </w:tc>
        <w:tc>
          <w:tcPr>
            <w:tcW w:w="1913" w:type="dxa"/>
            <w:vMerge w:val="continue"/>
            <w:vAlign w:val="center"/>
          </w:tcPr>
          <w:p>
            <w:pPr>
              <w:ind w:firstLine="105" w:firstLineChars="50"/>
              <w:jc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 xml:space="preserve">A11 </w:t>
            </w:r>
            <w:r>
              <w:rPr>
                <w:rFonts w:hint="eastAsia" w:ascii="宋体" w:hAnsi="宋体" w:eastAsia="宋体" w:cs="仿宋"/>
                <w:color w:val="000000"/>
              </w:rPr>
              <w:t>重大危险源管理</w:t>
            </w: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重大危险源辨识与评估缺陷</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未进行重大危险源辨识评估，或辨识评估不正确等。</w:t>
            </w:r>
          </w:p>
        </w:tc>
        <w:tc>
          <w:tcPr>
            <w:tcW w:w="1913" w:type="dxa"/>
            <w:vMerge w:val="restart"/>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登记建档备案缺陷</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未按规定进行登记、建档、备案等。</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3.</w:t>
            </w:r>
            <w:r>
              <w:rPr>
                <w:rFonts w:hint="eastAsia" w:ascii="宋体" w:hAnsi="宋体" w:eastAsia="宋体" w:cs="仿宋"/>
                <w:color w:val="000000"/>
              </w:rPr>
              <w:t>重大危险源监控预警缺陷</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未按规定对重大危险源进行监控，或监控预警系统不能正常工作。</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A12</w:t>
            </w:r>
            <w:r>
              <w:rPr>
                <w:rFonts w:hint="eastAsia" w:ascii="宋体" w:hAnsi="宋体" w:eastAsia="宋体" w:cs="仿宋"/>
                <w:color w:val="000000"/>
              </w:rPr>
              <w:t>隐患排查治理</w:t>
            </w: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事故隐患排查不足</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未按规定开展事故隐患排查工作。</w:t>
            </w:r>
          </w:p>
        </w:tc>
        <w:tc>
          <w:tcPr>
            <w:tcW w:w="1913" w:type="dxa"/>
            <w:vMerge w:val="restart"/>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事故隐患治理不足</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未按规定开展事故隐患治理工作，或事故隐患治理不彻底等。</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3.</w:t>
            </w:r>
            <w:r>
              <w:rPr>
                <w:rFonts w:hint="eastAsia" w:ascii="宋体" w:hAnsi="宋体" w:eastAsia="宋体" w:cs="仿宋"/>
                <w:color w:val="000000"/>
              </w:rPr>
              <w:t>事故隐患上报不足</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未按规定对事故隐患进行上报。</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4.</w:t>
            </w:r>
            <w:r>
              <w:rPr>
                <w:rFonts w:hint="eastAsia" w:ascii="宋体" w:hAnsi="宋体" w:eastAsia="宋体" w:cs="仿宋"/>
                <w:color w:val="000000"/>
              </w:rPr>
              <w:t>其他</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包括未对事故隐患进行统计分析等。</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A13</w:t>
            </w:r>
            <w:r>
              <w:rPr>
                <w:rFonts w:hint="eastAsia" w:ascii="宋体" w:hAnsi="宋体" w:eastAsia="宋体" w:cs="仿宋"/>
                <w:color w:val="000000"/>
              </w:rPr>
              <w:t>应急管理</w:t>
            </w: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应急组织机构和队伍缺陷</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未按规定设置或指定应急管理办事机构，配备应急管理人员，未按规定建立专兼职应急救援队伍。</w:t>
            </w:r>
          </w:p>
        </w:tc>
        <w:tc>
          <w:tcPr>
            <w:tcW w:w="1913" w:type="dxa"/>
            <w:vMerge w:val="restart"/>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应急预案制定及管理缺陷</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未按规定制定各类应急预案，未对预案进行有效管理（论证、评审、修订、备案和持续改进等）。</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3.</w:t>
            </w:r>
            <w:r>
              <w:rPr>
                <w:rFonts w:hint="eastAsia" w:ascii="宋体" w:hAnsi="宋体" w:eastAsia="宋体" w:cs="仿宋"/>
                <w:color w:val="000000"/>
              </w:rPr>
              <w:t>应急演练实施及评估总结缺陷</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未按规定进行应急演练，或未对应急演练进行评估和总结等。</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4.</w:t>
            </w:r>
            <w:r>
              <w:rPr>
                <w:rFonts w:hint="eastAsia" w:ascii="宋体" w:hAnsi="宋体" w:eastAsia="宋体" w:cs="仿宋"/>
                <w:color w:val="000000"/>
              </w:rPr>
              <w:t>应急设施、装备、物资设置配备、维修保养和管理缺陷</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未建立应急设施，未配备应急装备、物资，未按规定进行经常性的检查、维护、保养和管理等。</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A14</w:t>
            </w:r>
            <w:r>
              <w:rPr>
                <w:rFonts w:hint="eastAsia" w:ascii="宋体" w:hAnsi="宋体" w:eastAsia="宋体" w:cs="仿宋"/>
                <w:color w:val="000000"/>
              </w:rPr>
              <w:t>事故报告、调查和处理</w:t>
            </w: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事故报告缺陷</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未按规定及时报告，并保护事故现场及有关证据等。</w:t>
            </w:r>
          </w:p>
        </w:tc>
        <w:tc>
          <w:tcPr>
            <w:tcW w:w="1913" w:type="dxa"/>
            <w:vMerge w:val="restart"/>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事故调查和处理缺陷</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未对事故进行调查、处理、分析等。</w:t>
            </w:r>
          </w:p>
        </w:tc>
        <w:tc>
          <w:tcPr>
            <w:tcW w:w="1913" w:type="dxa"/>
            <w:vMerge w:val="continue"/>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A15</w:t>
            </w:r>
            <w:r>
              <w:rPr>
                <w:rFonts w:hint="eastAsia" w:ascii="宋体" w:hAnsi="宋体" w:eastAsia="宋体" w:cs="仿宋"/>
                <w:color w:val="000000"/>
              </w:rPr>
              <w:t>其他基础管理</w:t>
            </w:r>
          </w:p>
        </w:tc>
        <w:tc>
          <w:tcPr>
            <w:tcW w:w="2310"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人员、车辆出入应严格登记。</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未建立本单位员工、外来人员、车辆出入库区登记簿；</w:t>
            </w:r>
          </w:p>
        </w:tc>
        <w:tc>
          <w:tcPr>
            <w:tcW w:w="1913" w:type="dxa"/>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continue"/>
            <w:vAlign w:val="center"/>
          </w:tcPr>
          <w:p>
            <w:pPr>
              <w:ind w:firstLine="105" w:firstLineChars="50"/>
              <w:rPr>
                <w:rFonts w:ascii="宋体" w:hAnsi="宋体" w:eastAsia="宋体" w:cs="仿宋"/>
                <w:color w:val="000000"/>
              </w:rPr>
            </w:pP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发现登记记录与现场实际不相符。</w:t>
            </w:r>
          </w:p>
        </w:tc>
        <w:tc>
          <w:tcPr>
            <w:tcW w:w="1913" w:type="dxa"/>
            <w:vAlign w:val="center"/>
          </w:tcPr>
          <w:p>
            <w:pPr>
              <w:ind w:firstLine="105" w:firstLineChars="50"/>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严格库区值班和巡查。</w:t>
            </w:r>
          </w:p>
        </w:tc>
        <w:tc>
          <w:tcPr>
            <w:tcW w:w="4866"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未按规定设立值班室或值班人员，无值班守卫人员和仓库保管员巡查记录。</w:t>
            </w:r>
          </w:p>
        </w:tc>
        <w:tc>
          <w:tcPr>
            <w:tcW w:w="1913" w:type="dxa"/>
            <w:vAlign w:val="center"/>
          </w:tcPr>
          <w:p>
            <w:pPr>
              <w:ind w:firstLine="105" w:firstLineChars="50"/>
              <w:rPr>
                <w:rFonts w:ascii="宋体" w:hAnsi="宋体" w:eastAsia="宋体" w:cs="仿宋"/>
                <w:color w:val="000000"/>
              </w:rPr>
            </w:pPr>
          </w:p>
        </w:tc>
      </w:tr>
    </w:tbl>
    <w:p>
      <w:pPr>
        <w:rPr>
          <w:rFonts w:ascii="宋体" w:hAnsi="宋体" w:eastAsia="宋体"/>
        </w:rPr>
      </w:pPr>
    </w:p>
    <w:tbl>
      <w:tblPr>
        <w:tblStyle w:val="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8"/>
        <w:gridCol w:w="2310"/>
        <w:gridCol w:w="4577"/>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6" w:hRule="atLeast"/>
          <w:jc w:val="center"/>
        </w:trPr>
        <w:tc>
          <w:tcPr>
            <w:tcW w:w="10277" w:type="dxa"/>
            <w:gridSpan w:val="4"/>
            <w:vAlign w:val="center"/>
          </w:tcPr>
          <w:p>
            <w:pPr>
              <w:ind w:firstLine="110" w:firstLineChars="50"/>
              <w:jc w:val="center"/>
              <w:textAlignment w:val="center"/>
              <w:rPr>
                <w:rStyle w:val="5"/>
                <w:rFonts w:hint="eastAsia" w:ascii="宋体" w:eastAsia="宋体"/>
                <w:sz w:val="22"/>
                <w:lang w:eastAsia="zh-CN"/>
              </w:rPr>
            </w:pPr>
            <w:r>
              <w:rPr>
                <w:rStyle w:val="5"/>
                <w:rFonts w:hint="eastAsia" w:ascii="宋体" w:eastAsia="宋体"/>
                <w:sz w:val="22"/>
              </w:rPr>
              <w:t>二、</w:t>
            </w:r>
            <w:r>
              <w:rPr>
                <w:rStyle w:val="5"/>
                <w:rFonts w:ascii="宋体" w:eastAsia="宋体"/>
                <w:sz w:val="22"/>
              </w:rPr>
              <w:t>B</w:t>
            </w:r>
            <w:r>
              <w:rPr>
                <w:rStyle w:val="5"/>
                <w:rFonts w:hint="eastAsia" w:ascii="宋体" w:eastAsia="宋体"/>
                <w:sz w:val="22"/>
              </w:rPr>
              <w:t>现场管理类事故隐患</w:t>
            </w:r>
          </w:p>
          <w:p>
            <w:pPr>
              <w:ind w:firstLine="110" w:firstLineChars="50"/>
              <w:jc w:val="center"/>
              <w:textAlignment w:val="center"/>
              <w:rPr>
                <w:rFonts w:ascii="宋体" w:hAnsi="宋体" w:eastAsia="宋体" w:cs="黑体"/>
                <w:color w:val="000000"/>
              </w:rPr>
            </w:pPr>
            <w:r>
              <w:rPr>
                <w:rStyle w:val="6"/>
                <w:rFonts w:hint="eastAsia" w:ascii="宋体" w:eastAsia="宋体"/>
              </w:rPr>
              <w:t>（是指烟花爆竹生产单位在作业场所环境、设备设施及作业行为等方面存在的缺陷）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Align w:val="center"/>
          </w:tcPr>
          <w:p>
            <w:pPr>
              <w:ind w:firstLine="105" w:firstLineChars="50"/>
              <w:textAlignment w:val="center"/>
              <w:rPr>
                <w:rFonts w:ascii="宋体" w:hAnsi="宋体" w:eastAsia="宋体" w:cs="仿宋"/>
                <w:b/>
                <w:color w:val="000000"/>
              </w:rPr>
            </w:pPr>
            <w:r>
              <w:rPr>
                <w:rFonts w:hint="eastAsia" w:ascii="宋体" w:hAnsi="宋体" w:eastAsia="宋体" w:cs="仿宋"/>
                <w:b/>
                <w:color w:val="000000"/>
              </w:rPr>
              <w:t>隐患类别</w:t>
            </w:r>
          </w:p>
        </w:tc>
        <w:tc>
          <w:tcPr>
            <w:tcW w:w="2310" w:type="dxa"/>
            <w:vAlign w:val="center"/>
          </w:tcPr>
          <w:p>
            <w:pPr>
              <w:ind w:firstLine="105" w:firstLineChars="50"/>
              <w:jc w:val="center"/>
              <w:textAlignment w:val="center"/>
              <w:rPr>
                <w:rFonts w:ascii="宋体" w:hAnsi="宋体" w:eastAsia="宋体" w:cs="仿宋"/>
                <w:b/>
                <w:color w:val="000000"/>
              </w:rPr>
            </w:pPr>
            <w:r>
              <w:rPr>
                <w:rFonts w:hint="eastAsia" w:ascii="宋体" w:hAnsi="宋体" w:eastAsia="宋体" w:cs="仿宋"/>
                <w:b/>
                <w:color w:val="000000"/>
              </w:rPr>
              <w:t>隐患内容</w:t>
            </w:r>
          </w:p>
        </w:tc>
        <w:tc>
          <w:tcPr>
            <w:tcW w:w="4577" w:type="dxa"/>
            <w:vAlign w:val="center"/>
          </w:tcPr>
          <w:p>
            <w:pPr>
              <w:ind w:firstLine="105" w:firstLineChars="50"/>
              <w:jc w:val="center"/>
              <w:textAlignment w:val="center"/>
              <w:rPr>
                <w:rFonts w:ascii="宋体" w:hAnsi="宋体" w:eastAsia="宋体" w:cs="仿宋"/>
                <w:b/>
                <w:color w:val="000000"/>
              </w:rPr>
            </w:pPr>
            <w:r>
              <w:rPr>
                <w:rFonts w:hint="eastAsia" w:ascii="宋体" w:hAnsi="宋体" w:eastAsia="宋体" w:cs="仿宋"/>
                <w:b/>
                <w:color w:val="000000"/>
              </w:rPr>
              <w:t>说明</w:t>
            </w:r>
          </w:p>
        </w:tc>
        <w:tc>
          <w:tcPr>
            <w:tcW w:w="2202" w:type="dxa"/>
            <w:vAlign w:val="center"/>
          </w:tcPr>
          <w:p>
            <w:pPr>
              <w:jc w:val="center"/>
              <w:textAlignment w:val="center"/>
              <w:rPr>
                <w:rFonts w:ascii="宋体" w:hAnsi="宋体" w:eastAsia="宋体" w:cs="仿宋"/>
                <w:b/>
                <w:color w:val="000000"/>
                <w:szCs w:val="21"/>
              </w:rPr>
            </w:pPr>
            <w:r>
              <w:rPr>
                <w:rFonts w:hint="eastAsia" w:ascii="宋体" w:hAnsi="宋体" w:eastAsia="宋体" w:cs="仿宋"/>
                <w:b/>
                <w:color w:val="000000"/>
                <w:szCs w:val="21"/>
              </w:rPr>
              <w:t>排查情况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 xml:space="preserve">B01 </w:t>
            </w:r>
            <w:r>
              <w:rPr>
                <w:rFonts w:hint="eastAsia" w:ascii="宋体" w:hAnsi="宋体" w:eastAsia="宋体" w:cs="仿宋"/>
                <w:color w:val="000000"/>
              </w:rPr>
              <w:t>安全生产基础设施</w:t>
            </w: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选址、分区、总平面布置缺陷</w:t>
            </w: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选址不符合地方相关规划，总平面布置、分区设置不符合要求，生产工艺交叉往返。</w:t>
            </w:r>
          </w:p>
        </w:tc>
        <w:tc>
          <w:tcPr>
            <w:tcW w:w="2202" w:type="dxa"/>
            <w:vMerge w:val="restart"/>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6"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危险品生产区、总库区的围墙、道路缺陷</w:t>
            </w: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未设置围墙，围墙的设置、高度、与危险性建筑物之间的距离等不符合标准要求，未设置防火隔离带，道路的设置、宽度、坡度、与建筑物之间距离等不符合标准要求。</w:t>
            </w:r>
          </w:p>
        </w:tc>
        <w:tc>
          <w:tcPr>
            <w:tcW w:w="2202" w:type="dxa"/>
            <w:vMerge w:val="continue"/>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3.</w:t>
            </w:r>
            <w:r>
              <w:rPr>
                <w:rFonts w:hint="eastAsia" w:ascii="宋体" w:hAnsi="宋体" w:eastAsia="宋体" w:cs="仿宋"/>
                <w:color w:val="000000"/>
              </w:rPr>
              <w:t>“三库”设置缺陷</w:t>
            </w: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“三库”的储存能力与生产能力不匹配的，危险品库的设置不符合要求。</w:t>
            </w:r>
          </w:p>
        </w:tc>
        <w:tc>
          <w:tcPr>
            <w:tcW w:w="2202" w:type="dxa"/>
            <w:vMerge w:val="continue"/>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4.</w:t>
            </w:r>
            <w:r>
              <w:rPr>
                <w:rFonts w:hint="eastAsia" w:ascii="宋体" w:hAnsi="宋体" w:eastAsia="宋体" w:cs="仿宋"/>
                <w:color w:val="000000"/>
              </w:rPr>
              <w:t>厂房的设置缺陷</w:t>
            </w: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厂房的设置不符合</w:t>
            </w:r>
            <w:r>
              <w:rPr>
                <w:rFonts w:ascii="宋体" w:hAnsi="宋体" w:eastAsia="宋体" w:cs="仿宋"/>
                <w:color w:val="000000"/>
              </w:rPr>
              <w:t>GB50161</w:t>
            </w:r>
            <w:r>
              <w:rPr>
                <w:rFonts w:hint="eastAsia" w:ascii="宋体" w:hAnsi="宋体" w:eastAsia="宋体" w:cs="仿宋"/>
                <w:color w:val="000000"/>
              </w:rPr>
              <w:t>第</w:t>
            </w:r>
            <w:r>
              <w:rPr>
                <w:rFonts w:ascii="宋体" w:hAnsi="宋体" w:eastAsia="宋体" w:cs="仿宋"/>
                <w:color w:val="000000"/>
              </w:rPr>
              <w:t>6</w:t>
            </w:r>
            <w:r>
              <w:rPr>
                <w:rFonts w:hint="eastAsia" w:ascii="宋体" w:hAnsi="宋体" w:eastAsia="宋体" w:cs="仿宋"/>
                <w:color w:val="000000"/>
              </w:rPr>
              <w:t>章的规定。</w:t>
            </w:r>
          </w:p>
        </w:tc>
        <w:tc>
          <w:tcPr>
            <w:tcW w:w="2202" w:type="dxa"/>
            <w:vMerge w:val="continue"/>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5.</w:t>
            </w:r>
            <w:r>
              <w:rPr>
                <w:rFonts w:hint="eastAsia" w:ascii="宋体" w:hAnsi="宋体" w:eastAsia="宋体" w:cs="仿宋"/>
                <w:color w:val="000000"/>
              </w:rPr>
              <w:t>建（构）筑物安全距离缺陷</w:t>
            </w:r>
          </w:p>
        </w:tc>
        <w:tc>
          <w:tcPr>
            <w:tcW w:w="4577"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 xml:space="preserve">1.1 </w:t>
            </w:r>
            <w:r>
              <w:rPr>
                <w:rFonts w:hint="eastAsia" w:ascii="宋体" w:hAnsi="宋体" w:eastAsia="宋体" w:cs="仿宋"/>
                <w:color w:val="000000"/>
              </w:rPr>
              <w:t>级、</w:t>
            </w:r>
            <w:r>
              <w:rPr>
                <w:rFonts w:ascii="宋体" w:hAnsi="宋体" w:eastAsia="宋体" w:cs="仿宋"/>
                <w:color w:val="000000"/>
              </w:rPr>
              <w:t xml:space="preserve">1.3 </w:t>
            </w:r>
            <w:r>
              <w:rPr>
                <w:rFonts w:hint="eastAsia" w:ascii="宋体" w:hAnsi="宋体" w:eastAsia="宋体" w:cs="仿宋"/>
                <w:color w:val="000000"/>
              </w:rPr>
              <w:t>级建（构）筑物的内部、外部最小允许距离不符合要求。</w:t>
            </w:r>
          </w:p>
        </w:tc>
        <w:tc>
          <w:tcPr>
            <w:tcW w:w="2202" w:type="dxa"/>
            <w:vMerge w:val="continue"/>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6.</w:t>
            </w:r>
            <w:r>
              <w:rPr>
                <w:rFonts w:hint="eastAsia" w:ascii="宋体" w:hAnsi="宋体" w:eastAsia="宋体" w:cs="仿宋"/>
                <w:color w:val="000000"/>
              </w:rPr>
              <w:t>工房、库房的危险等级和建筑结构缺陷</w:t>
            </w: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危险品生产区、库区各工房、库房的危险等级划分、建筑结构等不符合要求。</w:t>
            </w:r>
          </w:p>
        </w:tc>
        <w:tc>
          <w:tcPr>
            <w:tcW w:w="2202" w:type="dxa"/>
            <w:vMerge w:val="continue"/>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5"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7.</w:t>
            </w:r>
            <w:r>
              <w:rPr>
                <w:rFonts w:hint="eastAsia" w:ascii="宋体" w:hAnsi="宋体" w:eastAsia="宋体" w:cs="仿宋"/>
                <w:color w:val="000000"/>
              </w:rPr>
              <w:t>工房、库房的定员、定量及标识缺陷</w:t>
            </w: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厂（库）房定员、定量、定级不符合要求，工房标志不符合《烟花爆竹安全生产标志》（</w:t>
            </w:r>
            <w:r>
              <w:rPr>
                <w:rFonts w:ascii="宋体" w:hAnsi="宋体" w:eastAsia="宋体" w:cs="仿宋"/>
                <w:color w:val="000000"/>
              </w:rPr>
              <w:t>AQ4114</w:t>
            </w:r>
            <w:r>
              <w:rPr>
                <w:rFonts w:hint="eastAsia" w:ascii="宋体" w:hAnsi="宋体" w:eastAsia="宋体" w:cs="仿宋"/>
                <w:color w:val="000000"/>
              </w:rPr>
              <w:t>）的要求。</w:t>
            </w:r>
          </w:p>
        </w:tc>
        <w:tc>
          <w:tcPr>
            <w:tcW w:w="2202" w:type="dxa"/>
            <w:vMerge w:val="continue"/>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 xml:space="preserve">B02 </w:t>
            </w:r>
            <w:r>
              <w:rPr>
                <w:rFonts w:hint="eastAsia" w:ascii="宋体" w:hAnsi="宋体" w:eastAsia="宋体" w:cs="仿宋"/>
                <w:color w:val="000000"/>
              </w:rPr>
              <w:t>设备设施</w:t>
            </w:r>
          </w:p>
        </w:tc>
        <w:tc>
          <w:tcPr>
            <w:tcW w:w="2310"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电气设施设置缺陷</w:t>
            </w: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电气设备、电气线路的选用、安装、敷设、使用不符合要求。</w:t>
            </w:r>
          </w:p>
        </w:tc>
        <w:tc>
          <w:tcPr>
            <w:tcW w:w="2202" w:type="dxa"/>
            <w:vMerge w:val="restart"/>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jc w:val="center"/>
        </w:trPr>
        <w:tc>
          <w:tcPr>
            <w:tcW w:w="1188" w:type="dxa"/>
            <w:vMerge w:val="continue"/>
            <w:vAlign w:val="center"/>
          </w:tcPr>
          <w:p>
            <w:pPr>
              <w:ind w:firstLine="105" w:firstLineChars="50"/>
              <w:textAlignment w:val="center"/>
              <w:rPr>
                <w:rFonts w:ascii="宋体" w:hAnsi="宋体" w:eastAsia="宋体"/>
              </w:rPr>
            </w:pPr>
          </w:p>
        </w:tc>
        <w:tc>
          <w:tcPr>
            <w:tcW w:w="2310" w:type="dxa"/>
            <w:vMerge w:val="continue"/>
            <w:vAlign w:val="center"/>
          </w:tcPr>
          <w:p>
            <w:pPr>
              <w:ind w:firstLine="105" w:firstLineChars="50"/>
              <w:textAlignment w:val="center"/>
              <w:rPr>
                <w:rFonts w:ascii="宋体" w:hAnsi="宋体" w:eastAsia="宋体"/>
              </w:rPr>
            </w:pP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危险场所电气线路采用绝缘电线明敷或穿塑料管敷设。</w:t>
            </w:r>
          </w:p>
        </w:tc>
        <w:tc>
          <w:tcPr>
            <w:tcW w:w="2202" w:type="dxa"/>
            <w:vMerge w:val="continue"/>
            <w:vAlign w:val="center"/>
          </w:tcPr>
          <w:p>
            <w:pPr>
              <w:ind w:firstLine="105" w:firstLineChars="50"/>
              <w:textAlignment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与企业无关的电气线路和通信线路穿越、跨越危险品生产区和总库区。</w:t>
            </w:r>
          </w:p>
        </w:tc>
        <w:tc>
          <w:tcPr>
            <w:tcW w:w="2202" w:type="dxa"/>
            <w:vMerge w:val="continue"/>
            <w:vAlign w:val="center"/>
          </w:tcPr>
          <w:p>
            <w:pPr>
              <w:ind w:firstLine="105" w:firstLineChars="50"/>
              <w:textAlignment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室外电线的敷设、安全距离不符合要求。</w:t>
            </w:r>
          </w:p>
        </w:tc>
        <w:tc>
          <w:tcPr>
            <w:tcW w:w="2202" w:type="dxa"/>
            <w:vMerge w:val="continue"/>
            <w:vAlign w:val="center"/>
          </w:tcPr>
          <w:p>
            <w:pPr>
              <w:ind w:firstLine="105" w:firstLineChars="50"/>
              <w:textAlignment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机械设备缺陷</w:t>
            </w: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涉裸药环节未应用机械设备。</w:t>
            </w:r>
          </w:p>
        </w:tc>
        <w:tc>
          <w:tcPr>
            <w:tcW w:w="2202" w:type="dxa"/>
            <w:vMerge w:val="restart"/>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188" w:type="dxa"/>
            <w:vMerge w:val="continue"/>
            <w:vAlign w:val="center"/>
          </w:tcPr>
          <w:p>
            <w:pPr>
              <w:ind w:firstLine="105" w:firstLineChars="50"/>
              <w:textAlignment w:val="center"/>
              <w:rPr>
                <w:rFonts w:ascii="宋体" w:hAnsi="宋体" w:eastAsia="宋体"/>
              </w:rPr>
            </w:pPr>
          </w:p>
        </w:tc>
        <w:tc>
          <w:tcPr>
            <w:tcW w:w="2310" w:type="dxa"/>
            <w:vMerge w:val="continue"/>
            <w:vAlign w:val="center"/>
          </w:tcPr>
          <w:p>
            <w:pPr>
              <w:ind w:firstLine="105" w:firstLineChars="50"/>
              <w:textAlignment w:val="center"/>
              <w:rPr>
                <w:rFonts w:ascii="宋体" w:hAnsi="宋体" w:eastAsia="宋体"/>
              </w:rPr>
            </w:pP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使用淘汰、落后的设备生产。</w:t>
            </w:r>
          </w:p>
        </w:tc>
        <w:tc>
          <w:tcPr>
            <w:tcW w:w="2202" w:type="dxa"/>
            <w:vMerge w:val="continue"/>
            <w:vAlign w:val="center"/>
          </w:tcPr>
          <w:p>
            <w:pPr>
              <w:ind w:firstLine="105" w:firstLineChars="50"/>
              <w:textAlignment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在用机械设备未经安全论证。</w:t>
            </w:r>
          </w:p>
        </w:tc>
        <w:tc>
          <w:tcPr>
            <w:tcW w:w="2202" w:type="dxa"/>
            <w:vMerge w:val="continue"/>
            <w:vAlign w:val="center"/>
          </w:tcPr>
          <w:p>
            <w:pPr>
              <w:ind w:firstLine="105" w:firstLineChars="50"/>
              <w:textAlignment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在役机械设备没有安全操作说明书。</w:t>
            </w:r>
          </w:p>
        </w:tc>
        <w:tc>
          <w:tcPr>
            <w:tcW w:w="2202" w:type="dxa"/>
            <w:vMerge w:val="continue"/>
            <w:vAlign w:val="center"/>
          </w:tcPr>
          <w:p>
            <w:pPr>
              <w:ind w:firstLine="105" w:firstLineChars="50"/>
              <w:textAlignment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在用机械设备的运行台帐不完整。</w:t>
            </w:r>
          </w:p>
        </w:tc>
        <w:tc>
          <w:tcPr>
            <w:tcW w:w="2202" w:type="dxa"/>
            <w:vMerge w:val="continue"/>
            <w:vAlign w:val="center"/>
          </w:tcPr>
          <w:p>
            <w:pPr>
              <w:ind w:firstLine="105" w:firstLineChars="50"/>
              <w:textAlignment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设备安装、使用、维修不符合要求。</w:t>
            </w:r>
          </w:p>
        </w:tc>
        <w:tc>
          <w:tcPr>
            <w:tcW w:w="2202" w:type="dxa"/>
            <w:vMerge w:val="continue"/>
            <w:vAlign w:val="center"/>
          </w:tcPr>
          <w:p>
            <w:pPr>
              <w:ind w:firstLine="105" w:firstLineChars="50"/>
              <w:textAlignment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3.</w:t>
            </w:r>
            <w:r>
              <w:rPr>
                <w:rFonts w:hint="eastAsia" w:ascii="宋体" w:hAnsi="宋体" w:eastAsia="宋体" w:cs="仿宋"/>
                <w:color w:val="000000"/>
              </w:rPr>
              <w:t>视频监控系统设置缺陷</w:t>
            </w: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安全监控系统的构成、设计、电气设备选型、线路技术要求、敷设方式等不符合要求。</w:t>
            </w:r>
          </w:p>
        </w:tc>
        <w:tc>
          <w:tcPr>
            <w:tcW w:w="2202" w:type="dxa"/>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4.</w:t>
            </w:r>
            <w:r>
              <w:rPr>
                <w:rFonts w:hint="eastAsia" w:ascii="宋体" w:hAnsi="宋体" w:eastAsia="宋体" w:cs="仿宋"/>
                <w:color w:val="000000"/>
              </w:rPr>
              <w:t>防护屏障设置缺陷</w:t>
            </w:r>
          </w:p>
        </w:tc>
        <w:tc>
          <w:tcPr>
            <w:tcW w:w="4577"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 xml:space="preserve">1.1 </w:t>
            </w:r>
            <w:r>
              <w:rPr>
                <w:rFonts w:hint="eastAsia" w:ascii="宋体" w:hAnsi="宋体" w:eastAsia="宋体" w:cs="仿宋"/>
                <w:color w:val="000000"/>
              </w:rPr>
              <w:t>级建筑物未设置防护屏障，防护屏障的构造、高度、防护范围、通道等不符合要求</w:t>
            </w:r>
          </w:p>
        </w:tc>
        <w:tc>
          <w:tcPr>
            <w:tcW w:w="2202" w:type="dxa"/>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6"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5.</w:t>
            </w:r>
            <w:r>
              <w:rPr>
                <w:rFonts w:hint="eastAsia" w:ascii="宋体" w:hAnsi="宋体" w:eastAsia="宋体" w:cs="仿宋"/>
                <w:color w:val="000000"/>
              </w:rPr>
              <w:t>防火设施设置缺陷</w:t>
            </w: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危险性建筑物的耐火等级和化学原料仓库的耐火等级不符合</w:t>
            </w:r>
            <w:r>
              <w:rPr>
                <w:rFonts w:ascii="宋体" w:hAnsi="宋体" w:eastAsia="宋体" w:cs="仿宋"/>
                <w:color w:val="000000"/>
              </w:rPr>
              <w:t>GB50161</w:t>
            </w:r>
            <w:r>
              <w:rPr>
                <w:rFonts w:hint="eastAsia" w:ascii="宋体" w:hAnsi="宋体" w:eastAsia="宋体" w:cs="仿宋"/>
                <w:color w:val="000000"/>
              </w:rPr>
              <w:t>中</w:t>
            </w:r>
            <w:r>
              <w:rPr>
                <w:rFonts w:ascii="宋体" w:hAnsi="宋体" w:eastAsia="宋体" w:cs="仿宋"/>
                <w:color w:val="000000"/>
              </w:rPr>
              <w:t>8.1.1</w:t>
            </w:r>
            <w:r>
              <w:rPr>
                <w:rFonts w:hint="eastAsia" w:ascii="宋体" w:hAnsi="宋体" w:eastAsia="宋体" w:cs="仿宋"/>
                <w:color w:val="000000"/>
              </w:rPr>
              <w:t>、</w:t>
            </w:r>
            <w:r>
              <w:rPr>
                <w:rFonts w:ascii="宋体" w:hAnsi="宋体" w:eastAsia="宋体" w:cs="仿宋"/>
                <w:color w:val="000000"/>
              </w:rPr>
              <w:t xml:space="preserve">8.1.2 </w:t>
            </w:r>
            <w:r>
              <w:rPr>
                <w:rFonts w:hint="eastAsia" w:ascii="宋体" w:hAnsi="宋体" w:eastAsia="宋体" w:cs="仿宋"/>
                <w:color w:val="000000"/>
              </w:rPr>
              <w:t>的要求，消防设施与器材不符合要求，防火隔离带不符合要求。</w:t>
            </w:r>
          </w:p>
        </w:tc>
        <w:tc>
          <w:tcPr>
            <w:tcW w:w="2202" w:type="dxa"/>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6.</w:t>
            </w:r>
            <w:r>
              <w:rPr>
                <w:rFonts w:hint="eastAsia" w:ascii="宋体" w:hAnsi="宋体" w:eastAsia="宋体" w:cs="仿宋"/>
                <w:color w:val="000000"/>
              </w:rPr>
              <w:t>防雷设施缺陷</w:t>
            </w: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防雷设施不符合要求，未定期检测、不在检测有效期内。</w:t>
            </w:r>
          </w:p>
        </w:tc>
        <w:tc>
          <w:tcPr>
            <w:tcW w:w="2202" w:type="dxa"/>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7.</w:t>
            </w:r>
            <w:r>
              <w:rPr>
                <w:rFonts w:hint="eastAsia" w:ascii="宋体" w:hAnsi="宋体" w:eastAsia="宋体" w:cs="仿宋"/>
                <w:color w:val="000000"/>
              </w:rPr>
              <w:t>导静电设施缺陷</w:t>
            </w: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导静电设施设置、接地不符合要求，未定期检测，未及时维护保养。</w:t>
            </w:r>
          </w:p>
        </w:tc>
        <w:tc>
          <w:tcPr>
            <w:tcW w:w="2202" w:type="dxa"/>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8.</w:t>
            </w:r>
            <w:r>
              <w:rPr>
                <w:rFonts w:hint="eastAsia" w:ascii="宋体" w:hAnsi="宋体" w:eastAsia="宋体" w:cs="仿宋"/>
                <w:color w:val="000000"/>
              </w:rPr>
              <w:t>运输车辆缺陷</w:t>
            </w: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使用非危险品运输车辆运输，未能保证车况良好，车辆未安装使用具有行驶记录功能的卫星定位装置，车辆在库区未带防火罩。</w:t>
            </w:r>
          </w:p>
        </w:tc>
        <w:tc>
          <w:tcPr>
            <w:tcW w:w="2202" w:type="dxa"/>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9.</w:t>
            </w:r>
            <w:r>
              <w:rPr>
                <w:rFonts w:hint="eastAsia" w:ascii="宋体" w:hAnsi="宋体" w:eastAsia="宋体" w:cs="仿宋"/>
                <w:color w:val="000000"/>
              </w:rPr>
              <w:t>安全标志的设置缺陷</w:t>
            </w: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未设置安全标志、安全警示语或安全标志的尺寸、颜色、样式、内容、设置位置等不符合要求。</w:t>
            </w:r>
          </w:p>
        </w:tc>
        <w:tc>
          <w:tcPr>
            <w:tcW w:w="2202" w:type="dxa"/>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10.</w:t>
            </w:r>
            <w:r>
              <w:rPr>
                <w:rFonts w:hint="eastAsia" w:ascii="宋体" w:hAnsi="宋体" w:eastAsia="宋体" w:cs="仿宋"/>
                <w:color w:val="000000"/>
              </w:rPr>
              <w:t>设备设施检修管理缺陷</w:t>
            </w: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未设置专人负责维修保养、做好记录；</w:t>
            </w:r>
          </w:p>
        </w:tc>
        <w:tc>
          <w:tcPr>
            <w:tcW w:w="2202" w:type="dxa"/>
            <w:vMerge w:val="restart"/>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jc w:val="center"/>
        </w:trPr>
        <w:tc>
          <w:tcPr>
            <w:tcW w:w="1188" w:type="dxa"/>
            <w:vMerge w:val="continue"/>
            <w:vAlign w:val="center"/>
          </w:tcPr>
          <w:p>
            <w:pPr>
              <w:ind w:firstLine="105" w:firstLineChars="50"/>
              <w:textAlignment w:val="center"/>
              <w:rPr>
                <w:rFonts w:ascii="宋体" w:hAnsi="宋体" w:eastAsia="宋体"/>
              </w:rPr>
            </w:pPr>
          </w:p>
        </w:tc>
        <w:tc>
          <w:tcPr>
            <w:tcW w:w="2310" w:type="dxa"/>
            <w:vMerge w:val="continue"/>
            <w:vAlign w:val="center"/>
          </w:tcPr>
          <w:p>
            <w:pPr>
              <w:ind w:firstLine="105" w:firstLineChars="50"/>
              <w:textAlignment w:val="center"/>
              <w:rPr>
                <w:rFonts w:ascii="宋体" w:hAnsi="宋体" w:eastAsia="宋体"/>
              </w:rPr>
            </w:pP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检修人员作业资格证不符合要求；</w:t>
            </w:r>
          </w:p>
        </w:tc>
        <w:tc>
          <w:tcPr>
            <w:tcW w:w="2202" w:type="dxa"/>
            <w:vMerge w:val="continue"/>
            <w:vAlign w:val="center"/>
          </w:tcPr>
          <w:p>
            <w:pPr>
              <w:ind w:firstLine="105" w:firstLineChars="50"/>
              <w:textAlignment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1188" w:type="dxa"/>
            <w:vMerge w:val="continue"/>
            <w:vAlign w:val="center"/>
          </w:tcPr>
          <w:p>
            <w:pPr>
              <w:ind w:firstLine="105" w:firstLineChars="50"/>
              <w:textAlignment w:val="center"/>
              <w:rPr>
                <w:rFonts w:ascii="宋体" w:hAnsi="宋体" w:eastAsia="宋体"/>
              </w:rPr>
            </w:pPr>
          </w:p>
        </w:tc>
        <w:tc>
          <w:tcPr>
            <w:tcW w:w="2310" w:type="dxa"/>
            <w:vMerge w:val="continue"/>
            <w:vAlign w:val="center"/>
          </w:tcPr>
          <w:p>
            <w:pPr>
              <w:ind w:firstLine="105" w:firstLineChars="50"/>
              <w:textAlignment w:val="center"/>
              <w:rPr>
                <w:rFonts w:ascii="宋体" w:hAnsi="宋体" w:eastAsia="宋体"/>
              </w:rPr>
            </w:pP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动火作业不符合要求；</w:t>
            </w:r>
          </w:p>
        </w:tc>
        <w:tc>
          <w:tcPr>
            <w:tcW w:w="2202" w:type="dxa"/>
            <w:vMerge w:val="continue"/>
            <w:vAlign w:val="center"/>
          </w:tcPr>
          <w:p>
            <w:pPr>
              <w:ind w:firstLine="105" w:firstLineChars="50"/>
              <w:textAlignment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作业人员带药检维修设备设施。</w:t>
            </w:r>
          </w:p>
        </w:tc>
        <w:tc>
          <w:tcPr>
            <w:tcW w:w="2202" w:type="dxa"/>
            <w:vMerge w:val="continue"/>
            <w:vAlign w:val="center"/>
          </w:tcPr>
          <w:p>
            <w:pPr>
              <w:ind w:firstLine="105" w:firstLineChars="50"/>
              <w:textAlignment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5" w:hRule="atLeast"/>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B03</w:t>
            </w:r>
            <w:r>
              <w:rPr>
                <w:rFonts w:hint="eastAsia" w:ascii="宋体" w:hAnsi="宋体" w:eastAsia="宋体" w:cs="仿宋"/>
                <w:color w:val="000000"/>
              </w:rPr>
              <w:t>作业场所</w:t>
            </w: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生产区、库区整洁缺陷</w:t>
            </w:r>
          </w:p>
        </w:tc>
        <w:tc>
          <w:tcPr>
            <w:tcW w:w="4577" w:type="dxa"/>
            <w:vAlign w:val="center"/>
          </w:tcPr>
          <w:p>
            <w:pPr>
              <w:ind w:firstLine="105" w:firstLineChars="50"/>
              <w:textAlignment w:val="center"/>
              <w:rPr>
                <w:rFonts w:ascii="宋体" w:hAnsi="宋体" w:eastAsia="宋体" w:cs="仿宋"/>
                <w:color w:val="000000"/>
              </w:rPr>
            </w:pPr>
            <w:r>
              <w:rPr>
                <w:rFonts w:hint="eastAsia" w:ascii="宋体" w:hAnsi="宋体" w:eastAsia="宋体" w:cs="仿宋"/>
                <w:color w:val="000000"/>
              </w:rPr>
              <w:t>生产区、库区随意堆废弃物、杂物，在生产区、库区种植农作物、放养动物。</w:t>
            </w:r>
          </w:p>
        </w:tc>
        <w:tc>
          <w:tcPr>
            <w:tcW w:w="2202" w:type="dxa"/>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作业现场消防器材、劳动防护用品、安全通道、安全生产操作规程等的配备、设置缺陷</w:t>
            </w:r>
          </w:p>
        </w:tc>
        <w:tc>
          <w:tcPr>
            <w:tcW w:w="4577" w:type="dxa"/>
            <w:vAlign w:val="center"/>
          </w:tcPr>
          <w:p>
            <w:pPr>
              <w:textAlignment w:val="center"/>
              <w:rPr>
                <w:rFonts w:ascii="宋体" w:hAnsi="宋体" w:eastAsia="宋体" w:cs="仿宋"/>
                <w:color w:val="000000"/>
              </w:rPr>
            </w:pPr>
            <w:r>
              <w:rPr>
                <w:rFonts w:hint="eastAsia" w:ascii="宋体" w:hAnsi="宋体" w:eastAsia="宋体" w:cs="仿宋"/>
                <w:color w:val="000000"/>
              </w:rPr>
              <w:t>未设置安全通道或者不畅通的，工房、库房未悬挂安全生产操作规程或者安全生产操作规程与工房用途不一致，劳动防护用品、消防器材配备不完备有效。</w:t>
            </w:r>
          </w:p>
        </w:tc>
        <w:tc>
          <w:tcPr>
            <w:tcW w:w="2202" w:type="dxa"/>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1"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3.</w:t>
            </w:r>
            <w:r>
              <w:rPr>
                <w:rFonts w:hint="eastAsia" w:ascii="宋体" w:hAnsi="宋体" w:eastAsia="宋体" w:cs="仿宋"/>
                <w:color w:val="000000"/>
              </w:rPr>
              <w:t>生产工具、运输工具的选择使用缺陷</w:t>
            </w:r>
          </w:p>
        </w:tc>
        <w:tc>
          <w:tcPr>
            <w:tcW w:w="4577" w:type="dxa"/>
            <w:vAlign w:val="center"/>
          </w:tcPr>
          <w:p>
            <w:pPr>
              <w:textAlignment w:val="center"/>
              <w:rPr>
                <w:rFonts w:ascii="宋体" w:hAnsi="宋体" w:eastAsia="宋体" w:cs="仿宋"/>
                <w:color w:val="000000"/>
              </w:rPr>
            </w:pPr>
            <w:r>
              <w:rPr>
                <w:rFonts w:hint="eastAsia" w:ascii="宋体" w:hAnsi="宋体" w:eastAsia="宋体" w:cs="仿宋"/>
                <w:color w:val="000000"/>
              </w:rPr>
              <w:t>生产工具、运输工具的材质、类型等不符合</w:t>
            </w:r>
            <w:r>
              <w:rPr>
                <w:rFonts w:ascii="宋体" w:hAnsi="宋体" w:eastAsia="宋体" w:cs="仿宋"/>
                <w:color w:val="000000"/>
              </w:rPr>
              <w:t>GB11652</w:t>
            </w:r>
            <w:r>
              <w:rPr>
                <w:rFonts w:hint="eastAsia" w:ascii="宋体" w:hAnsi="宋体" w:eastAsia="宋体" w:cs="仿宋"/>
                <w:color w:val="000000"/>
              </w:rPr>
              <w:t>中</w:t>
            </w:r>
            <w:r>
              <w:rPr>
                <w:rFonts w:ascii="宋体" w:hAnsi="宋体" w:eastAsia="宋体" w:cs="仿宋"/>
                <w:color w:val="000000"/>
              </w:rPr>
              <w:t>4.6</w:t>
            </w:r>
            <w:r>
              <w:rPr>
                <w:rFonts w:hint="eastAsia" w:ascii="宋体" w:hAnsi="宋体" w:eastAsia="宋体" w:cs="仿宋"/>
                <w:color w:val="000000"/>
              </w:rPr>
              <w:t>、</w:t>
            </w:r>
            <w:r>
              <w:rPr>
                <w:rFonts w:ascii="宋体" w:hAnsi="宋体" w:eastAsia="宋体" w:cs="仿宋"/>
                <w:color w:val="000000"/>
              </w:rPr>
              <w:t>9.2.1</w:t>
            </w:r>
            <w:r>
              <w:rPr>
                <w:rFonts w:hint="eastAsia" w:ascii="宋体" w:hAnsi="宋体" w:eastAsia="宋体" w:cs="仿宋"/>
                <w:color w:val="000000"/>
              </w:rPr>
              <w:t>的要求。职工自行携带工器具、机器设备进厂进行涉药作业。</w:t>
            </w:r>
          </w:p>
        </w:tc>
        <w:tc>
          <w:tcPr>
            <w:tcW w:w="2202" w:type="dxa"/>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2"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4.</w:t>
            </w:r>
            <w:r>
              <w:rPr>
                <w:rFonts w:hint="eastAsia" w:ascii="宋体" w:hAnsi="宋体" w:eastAsia="宋体" w:cs="仿宋"/>
                <w:color w:val="000000"/>
              </w:rPr>
              <w:t>作业行为管理缺陷</w:t>
            </w:r>
          </w:p>
        </w:tc>
        <w:tc>
          <w:tcPr>
            <w:tcW w:w="4577" w:type="dxa"/>
            <w:vAlign w:val="center"/>
          </w:tcPr>
          <w:p>
            <w:pPr>
              <w:textAlignment w:val="center"/>
              <w:rPr>
                <w:rFonts w:hint="eastAsia" w:ascii="宋体" w:hAnsi="宋体" w:eastAsia="宋体" w:cs="仿宋"/>
                <w:color w:val="000000"/>
                <w:lang w:eastAsia="zh-CN"/>
              </w:rPr>
            </w:pPr>
            <w:r>
              <w:rPr>
                <w:rFonts w:hint="eastAsia" w:ascii="宋体" w:hAnsi="宋体" w:eastAsia="宋体" w:cs="仿宋"/>
                <w:color w:val="000000"/>
              </w:rPr>
              <w:t>超许可范围生产，擅自改变工艺流程作业，超员作业，超核定药量作业，擅自改变工房用途作业。</w:t>
            </w:r>
          </w:p>
          <w:p>
            <w:pPr>
              <w:textAlignment w:val="center"/>
              <w:rPr>
                <w:rFonts w:hint="eastAsia" w:ascii="宋体" w:hAnsi="宋体" w:eastAsia="宋体" w:cs="仿宋"/>
                <w:color w:val="000000"/>
                <w:lang w:eastAsia="zh-CN"/>
              </w:rPr>
            </w:pPr>
            <w:r>
              <w:rPr>
                <w:rFonts w:hint="eastAsia" w:ascii="宋体" w:hAnsi="宋体" w:eastAsia="宋体" w:cs="仿宋"/>
                <w:color w:val="000000"/>
              </w:rPr>
              <w:t>将氧化剂、还原剂同库储存、违规预混或者在同一工房内粉碎、称量。</w:t>
            </w:r>
          </w:p>
          <w:p>
            <w:pPr>
              <w:textAlignment w:val="center"/>
              <w:rPr>
                <w:rFonts w:ascii="宋体" w:hAnsi="宋体" w:eastAsia="宋体" w:cs="仿宋"/>
                <w:color w:val="000000"/>
              </w:rPr>
            </w:pPr>
            <w:r>
              <w:rPr>
                <w:rFonts w:hint="eastAsia" w:ascii="宋体" w:hAnsi="宋体" w:eastAsia="宋体" w:cs="仿宋"/>
                <w:color w:val="000000"/>
              </w:rPr>
              <w:t>烟火药、裸药效果件、引火线及产品的装卸、运输不符合</w:t>
            </w:r>
            <w:r>
              <w:rPr>
                <w:rFonts w:ascii="宋体" w:hAnsi="宋体" w:eastAsia="宋体" w:cs="仿宋"/>
                <w:color w:val="000000"/>
              </w:rPr>
              <w:t>GB11652</w:t>
            </w:r>
            <w:r>
              <w:rPr>
                <w:rFonts w:hint="eastAsia" w:ascii="宋体" w:hAnsi="宋体" w:eastAsia="宋体" w:cs="仿宋"/>
                <w:color w:val="000000"/>
              </w:rPr>
              <w:t>的要求。</w:t>
            </w:r>
          </w:p>
        </w:tc>
        <w:tc>
          <w:tcPr>
            <w:tcW w:w="2202" w:type="dxa"/>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6" w:hRule="atLeast"/>
          <w:jc w:val="center"/>
        </w:trPr>
        <w:tc>
          <w:tcPr>
            <w:tcW w:w="1188" w:type="dxa"/>
            <w:vMerge w:val="continue"/>
            <w:vAlign w:val="center"/>
          </w:tcPr>
          <w:p>
            <w:pPr>
              <w:ind w:firstLine="105" w:firstLineChars="50"/>
              <w:rPr>
                <w:rFonts w:ascii="宋体" w:hAnsi="宋体" w:eastAsia="宋体" w:cs="仿宋"/>
                <w:color w:val="000000"/>
              </w:rPr>
            </w:pPr>
          </w:p>
        </w:tc>
        <w:tc>
          <w:tcPr>
            <w:tcW w:w="2310"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5.</w:t>
            </w:r>
            <w:r>
              <w:rPr>
                <w:rFonts w:hint="eastAsia" w:ascii="宋体" w:hAnsi="宋体" w:eastAsia="宋体" w:cs="仿宋"/>
                <w:color w:val="000000"/>
              </w:rPr>
              <w:t>库房安全管理缺陷</w:t>
            </w:r>
          </w:p>
        </w:tc>
        <w:tc>
          <w:tcPr>
            <w:tcW w:w="4577" w:type="dxa"/>
            <w:vAlign w:val="center"/>
          </w:tcPr>
          <w:p>
            <w:pPr>
              <w:textAlignment w:val="center"/>
              <w:rPr>
                <w:rFonts w:ascii="宋体" w:hAnsi="宋体" w:eastAsia="宋体" w:cs="仿宋"/>
                <w:color w:val="000000"/>
              </w:rPr>
            </w:pPr>
            <w:r>
              <w:rPr>
                <w:rFonts w:hint="eastAsia" w:ascii="宋体" w:hAnsi="宋体" w:eastAsia="宋体" w:cs="仿宋"/>
                <w:color w:val="000000"/>
              </w:rPr>
              <w:t>超量存放，改变库房储存用途；</w:t>
            </w:r>
          </w:p>
        </w:tc>
        <w:tc>
          <w:tcPr>
            <w:tcW w:w="2202" w:type="dxa"/>
            <w:vMerge w:val="restart"/>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jc w:val="center"/>
        </w:trPr>
        <w:tc>
          <w:tcPr>
            <w:tcW w:w="1188" w:type="dxa"/>
            <w:vMerge w:val="continue"/>
            <w:vAlign w:val="center"/>
          </w:tcPr>
          <w:p>
            <w:pPr>
              <w:ind w:firstLine="105" w:firstLineChars="50"/>
              <w:textAlignment w:val="center"/>
              <w:rPr>
                <w:rFonts w:ascii="宋体" w:hAnsi="宋体" w:eastAsia="宋体"/>
              </w:rPr>
            </w:pPr>
          </w:p>
        </w:tc>
        <w:tc>
          <w:tcPr>
            <w:tcW w:w="2310" w:type="dxa"/>
            <w:vMerge w:val="continue"/>
            <w:vAlign w:val="center"/>
          </w:tcPr>
          <w:p>
            <w:pPr>
              <w:ind w:firstLine="105" w:firstLineChars="50"/>
              <w:textAlignment w:val="center"/>
              <w:rPr>
                <w:rFonts w:ascii="宋体" w:hAnsi="宋体" w:eastAsia="宋体"/>
              </w:rPr>
            </w:pPr>
          </w:p>
        </w:tc>
        <w:tc>
          <w:tcPr>
            <w:tcW w:w="4577" w:type="dxa"/>
            <w:vAlign w:val="center"/>
          </w:tcPr>
          <w:p>
            <w:pPr>
              <w:textAlignment w:val="center"/>
              <w:rPr>
                <w:rFonts w:ascii="宋体" w:hAnsi="宋体" w:eastAsia="宋体" w:cs="仿宋"/>
                <w:color w:val="000000"/>
              </w:rPr>
            </w:pPr>
            <w:r>
              <w:rPr>
                <w:rFonts w:hint="eastAsia" w:ascii="宋体" w:hAnsi="宋体" w:eastAsia="宋体" w:cs="仿宋"/>
                <w:color w:val="000000"/>
              </w:rPr>
              <w:t>在库房内进行钉箱、分箱、成箱、串引、蘸（点）</w:t>
            </w:r>
            <w:r>
              <w:rPr>
                <w:rFonts w:ascii="宋体" w:hAnsi="宋体" w:eastAsia="宋体" w:cs="仿宋"/>
                <w:color w:val="000000"/>
              </w:rPr>
              <w:t xml:space="preserve"> </w:t>
            </w:r>
            <w:r>
              <w:rPr>
                <w:rFonts w:hint="eastAsia" w:ascii="宋体" w:hAnsi="宋体" w:eastAsia="宋体" w:cs="仿宋"/>
                <w:color w:val="000000"/>
              </w:rPr>
              <w:t>药、封口等生产作业；</w:t>
            </w:r>
          </w:p>
        </w:tc>
        <w:tc>
          <w:tcPr>
            <w:tcW w:w="2202" w:type="dxa"/>
            <w:vMerge w:val="continue"/>
            <w:vAlign w:val="center"/>
          </w:tcPr>
          <w:p>
            <w:pPr>
              <w:ind w:firstLine="105" w:firstLineChars="50"/>
              <w:textAlignment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6"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577" w:type="dxa"/>
            <w:vAlign w:val="center"/>
          </w:tcPr>
          <w:p>
            <w:pPr>
              <w:textAlignment w:val="center"/>
              <w:rPr>
                <w:rFonts w:ascii="宋体" w:hAnsi="宋体" w:eastAsia="宋体" w:cs="仿宋"/>
                <w:color w:val="000000"/>
              </w:rPr>
            </w:pPr>
            <w:r>
              <w:rPr>
                <w:rFonts w:hint="eastAsia" w:ascii="宋体" w:hAnsi="宋体" w:eastAsia="宋体" w:cs="仿宋"/>
                <w:color w:val="000000"/>
              </w:rPr>
              <w:t>未进行堆放区域、码放高度划线；</w:t>
            </w:r>
          </w:p>
        </w:tc>
        <w:tc>
          <w:tcPr>
            <w:tcW w:w="2202" w:type="dxa"/>
            <w:vMerge w:val="continue"/>
            <w:vAlign w:val="center"/>
          </w:tcPr>
          <w:p>
            <w:pPr>
              <w:ind w:firstLine="105" w:firstLineChars="50"/>
              <w:textAlignment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5"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577" w:type="dxa"/>
            <w:vAlign w:val="center"/>
          </w:tcPr>
          <w:p>
            <w:pPr>
              <w:textAlignment w:val="center"/>
              <w:rPr>
                <w:rFonts w:ascii="宋体" w:hAnsi="宋体" w:eastAsia="宋体" w:cs="仿宋"/>
                <w:color w:val="000000"/>
              </w:rPr>
            </w:pPr>
            <w:r>
              <w:rPr>
                <w:rFonts w:hint="eastAsia" w:ascii="宋体" w:hAnsi="宋体" w:eastAsia="宋体" w:cs="仿宋"/>
                <w:color w:val="000000"/>
              </w:rPr>
              <w:t>码放方式、高度、长度等不符合要求；</w:t>
            </w:r>
          </w:p>
        </w:tc>
        <w:tc>
          <w:tcPr>
            <w:tcW w:w="2202" w:type="dxa"/>
            <w:vMerge w:val="continue"/>
            <w:vAlign w:val="center"/>
          </w:tcPr>
          <w:p>
            <w:pPr>
              <w:ind w:firstLine="105" w:firstLineChars="50"/>
              <w:textAlignment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577" w:type="dxa"/>
            <w:vAlign w:val="center"/>
          </w:tcPr>
          <w:p>
            <w:pPr>
              <w:textAlignment w:val="center"/>
              <w:rPr>
                <w:rFonts w:ascii="宋体" w:hAnsi="宋体" w:eastAsia="宋体" w:cs="仿宋"/>
                <w:color w:val="000000"/>
              </w:rPr>
            </w:pPr>
            <w:r>
              <w:rPr>
                <w:rFonts w:hint="eastAsia" w:ascii="宋体" w:hAnsi="宋体" w:eastAsia="宋体" w:cs="仿宋"/>
                <w:color w:val="000000"/>
              </w:rPr>
              <w:t>无防潮、通风设施；</w:t>
            </w:r>
          </w:p>
        </w:tc>
        <w:tc>
          <w:tcPr>
            <w:tcW w:w="2202" w:type="dxa"/>
            <w:vMerge w:val="continue"/>
            <w:vAlign w:val="center"/>
          </w:tcPr>
          <w:p>
            <w:pPr>
              <w:ind w:firstLine="105" w:firstLineChars="50"/>
              <w:textAlignment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6"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577" w:type="dxa"/>
            <w:vAlign w:val="center"/>
          </w:tcPr>
          <w:p>
            <w:pPr>
              <w:textAlignment w:val="center"/>
              <w:rPr>
                <w:rFonts w:ascii="宋体" w:hAnsi="宋体" w:eastAsia="宋体" w:cs="仿宋"/>
                <w:color w:val="000000"/>
              </w:rPr>
            </w:pPr>
            <w:r>
              <w:rPr>
                <w:rFonts w:hint="eastAsia" w:ascii="宋体" w:hAnsi="宋体" w:eastAsia="宋体" w:cs="仿宋"/>
                <w:color w:val="000000"/>
              </w:rPr>
              <w:t>无温度计、湿度计及记录；</w:t>
            </w:r>
          </w:p>
        </w:tc>
        <w:tc>
          <w:tcPr>
            <w:tcW w:w="2202" w:type="dxa"/>
            <w:vMerge w:val="continue"/>
            <w:vAlign w:val="center"/>
          </w:tcPr>
          <w:p>
            <w:pPr>
              <w:ind w:firstLine="105" w:firstLineChars="50"/>
              <w:textAlignment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577" w:type="dxa"/>
            <w:vAlign w:val="center"/>
          </w:tcPr>
          <w:p>
            <w:pPr>
              <w:textAlignment w:val="center"/>
              <w:rPr>
                <w:rFonts w:ascii="宋体" w:hAnsi="宋体" w:eastAsia="宋体" w:cs="仿宋"/>
                <w:color w:val="000000"/>
              </w:rPr>
            </w:pPr>
            <w:r>
              <w:rPr>
                <w:rFonts w:hint="eastAsia" w:ascii="宋体" w:hAnsi="宋体" w:eastAsia="宋体" w:cs="仿宋"/>
                <w:color w:val="000000"/>
              </w:rPr>
              <w:t>保管人员，不熟悉所储存物品的安全性能和消防器材的使用方法；</w:t>
            </w:r>
          </w:p>
        </w:tc>
        <w:tc>
          <w:tcPr>
            <w:tcW w:w="2202" w:type="dxa"/>
            <w:vMerge w:val="continue"/>
            <w:vAlign w:val="center"/>
          </w:tcPr>
          <w:p>
            <w:pPr>
              <w:ind w:firstLine="105" w:firstLineChars="50"/>
              <w:textAlignment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 w:hRule="atLeast"/>
          <w:jc w:val="center"/>
        </w:trPr>
        <w:tc>
          <w:tcPr>
            <w:tcW w:w="1188" w:type="dxa"/>
            <w:vMerge w:val="continue"/>
            <w:vAlign w:val="center"/>
          </w:tcPr>
          <w:p>
            <w:pPr>
              <w:ind w:firstLine="105" w:firstLineChars="50"/>
              <w:textAlignment w:val="center"/>
              <w:rPr>
                <w:rFonts w:ascii="宋体" w:hAnsi="宋体" w:eastAsia="宋体"/>
              </w:rPr>
            </w:pPr>
          </w:p>
        </w:tc>
        <w:tc>
          <w:tcPr>
            <w:tcW w:w="2310" w:type="dxa"/>
            <w:vMerge w:val="continue"/>
            <w:vAlign w:val="center"/>
          </w:tcPr>
          <w:p>
            <w:pPr>
              <w:ind w:firstLine="105" w:firstLineChars="50"/>
              <w:textAlignment w:val="center"/>
              <w:rPr>
                <w:rFonts w:ascii="宋体" w:hAnsi="宋体" w:eastAsia="宋体"/>
              </w:rPr>
            </w:pPr>
          </w:p>
        </w:tc>
        <w:tc>
          <w:tcPr>
            <w:tcW w:w="4577" w:type="dxa"/>
            <w:vAlign w:val="center"/>
          </w:tcPr>
          <w:p>
            <w:pPr>
              <w:textAlignment w:val="center"/>
              <w:rPr>
                <w:rFonts w:ascii="宋体" w:hAnsi="宋体" w:eastAsia="宋体" w:cs="仿宋"/>
                <w:color w:val="000000"/>
              </w:rPr>
            </w:pPr>
            <w:r>
              <w:rPr>
                <w:rFonts w:hint="eastAsia" w:ascii="宋体" w:hAnsi="宋体" w:eastAsia="宋体" w:cs="仿宋"/>
                <w:color w:val="000000"/>
              </w:rPr>
              <w:t>消防、通风等设施未及时维护；</w:t>
            </w:r>
          </w:p>
        </w:tc>
        <w:tc>
          <w:tcPr>
            <w:tcW w:w="2202" w:type="dxa"/>
            <w:vMerge w:val="continue"/>
            <w:vAlign w:val="center"/>
          </w:tcPr>
          <w:p>
            <w:pPr>
              <w:ind w:firstLine="105" w:firstLineChars="50"/>
              <w:textAlignment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 w:hRule="atLeast"/>
          <w:jc w:val="center"/>
        </w:trPr>
        <w:tc>
          <w:tcPr>
            <w:tcW w:w="1188" w:type="dxa"/>
            <w:vMerge w:val="continue"/>
            <w:vAlign w:val="center"/>
          </w:tcPr>
          <w:p>
            <w:pPr>
              <w:ind w:firstLine="105" w:firstLineChars="50"/>
              <w:textAlignment w:val="center"/>
              <w:rPr>
                <w:rFonts w:ascii="宋体" w:hAnsi="宋体" w:eastAsia="宋体" w:cs="仿宋"/>
                <w:color w:val="000000"/>
              </w:rPr>
            </w:pPr>
          </w:p>
        </w:tc>
        <w:tc>
          <w:tcPr>
            <w:tcW w:w="2310" w:type="dxa"/>
            <w:vMerge w:val="continue"/>
            <w:vAlign w:val="center"/>
          </w:tcPr>
          <w:p>
            <w:pPr>
              <w:ind w:firstLine="105" w:firstLineChars="50"/>
              <w:textAlignment w:val="center"/>
              <w:rPr>
                <w:rFonts w:ascii="宋体" w:hAnsi="宋体" w:eastAsia="宋体" w:cs="仿宋"/>
                <w:color w:val="000000"/>
              </w:rPr>
            </w:pPr>
          </w:p>
        </w:tc>
        <w:tc>
          <w:tcPr>
            <w:tcW w:w="4577" w:type="dxa"/>
            <w:vAlign w:val="center"/>
          </w:tcPr>
          <w:p>
            <w:pPr>
              <w:textAlignment w:val="center"/>
              <w:rPr>
                <w:rFonts w:ascii="宋体" w:hAnsi="宋体" w:eastAsia="宋体" w:cs="仿宋"/>
                <w:color w:val="000000"/>
              </w:rPr>
            </w:pPr>
            <w:r>
              <w:rPr>
                <w:rFonts w:hint="eastAsia" w:ascii="宋体" w:hAnsi="宋体" w:eastAsia="宋体" w:cs="仿宋"/>
                <w:color w:val="000000"/>
              </w:rPr>
              <w:t>在库内存放其它爆炸物等危险物品。</w:t>
            </w:r>
          </w:p>
        </w:tc>
        <w:tc>
          <w:tcPr>
            <w:tcW w:w="2202" w:type="dxa"/>
            <w:vMerge w:val="continue"/>
            <w:vAlign w:val="center"/>
          </w:tcPr>
          <w:p>
            <w:pPr>
              <w:ind w:firstLine="105" w:firstLineChars="50"/>
              <w:textAlignment w:val="cente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 xml:space="preserve">B04 </w:t>
            </w:r>
            <w:r>
              <w:rPr>
                <w:rFonts w:hint="eastAsia" w:ascii="宋体" w:hAnsi="宋体" w:eastAsia="宋体" w:cs="仿宋"/>
                <w:color w:val="000000"/>
              </w:rPr>
              <w:t>处置与销毁</w:t>
            </w: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过期、不合格等产品的处置和销毁缺陷</w:t>
            </w:r>
          </w:p>
        </w:tc>
        <w:tc>
          <w:tcPr>
            <w:tcW w:w="4577" w:type="dxa"/>
            <w:vAlign w:val="center"/>
          </w:tcPr>
          <w:p>
            <w:pPr>
              <w:textAlignment w:val="center"/>
              <w:rPr>
                <w:rFonts w:hint="eastAsia" w:ascii="宋体" w:hAnsi="宋体" w:eastAsia="宋体" w:cs="仿宋"/>
                <w:color w:val="000000"/>
                <w:lang w:eastAsia="zh-CN"/>
              </w:rPr>
            </w:pPr>
            <w:r>
              <w:rPr>
                <w:rFonts w:hint="eastAsia" w:ascii="宋体" w:hAnsi="宋体" w:eastAsia="宋体" w:cs="仿宋"/>
                <w:color w:val="000000"/>
              </w:rPr>
              <w:t>未建立处置和销毁记录或记录不全。</w:t>
            </w:r>
          </w:p>
          <w:p>
            <w:pPr>
              <w:textAlignment w:val="center"/>
              <w:rPr>
                <w:rFonts w:ascii="宋体" w:hAnsi="宋体" w:eastAsia="宋体" w:cs="仿宋"/>
                <w:color w:val="000000"/>
              </w:rPr>
            </w:pPr>
            <w:r>
              <w:rPr>
                <w:rFonts w:hint="eastAsia" w:ascii="宋体" w:hAnsi="宋体" w:eastAsia="宋体" w:cs="仿宋"/>
                <w:color w:val="000000"/>
              </w:rPr>
              <w:t>过期、不合格等产品滞留时间超过半年未妥善处理；</w:t>
            </w:r>
          </w:p>
        </w:tc>
        <w:tc>
          <w:tcPr>
            <w:tcW w:w="2202" w:type="dxa"/>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vAlign w:val="center"/>
          </w:tcPr>
          <w:p>
            <w:pPr>
              <w:ind w:firstLine="105" w:firstLineChars="50"/>
              <w:rPr>
                <w:rFonts w:ascii="宋体" w:hAnsi="宋体" w:eastAsia="宋体" w:cs="仿宋"/>
                <w:color w:val="000000"/>
              </w:rPr>
            </w:pPr>
          </w:p>
        </w:tc>
        <w:tc>
          <w:tcPr>
            <w:tcW w:w="2310"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2.</w:t>
            </w:r>
            <w:r>
              <w:rPr>
                <w:rFonts w:hint="eastAsia" w:ascii="宋体" w:hAnsi="宋体" w:eastAsia="宋体" w:cs="仿宋"/>
                <w:color w:val="000000"/>
              </w:rPr>
              <w:t>废弃物处置缺陷</w:t>
            </w:r>
          </w:p>
        </w:tc>
        <w:tc>
          <w:tcPr>
            <w:tcW w:w="4577" w:type="dxa"/>
            <w:vAlign w:val="center"/>
          </w:tcPr>
          <w:p>
            <w:pPr>
              <w:textAlignment w:val="center"/>
              <w:rPr>
                <w:rFonts w:ascii="宋体" w:hAnsi="宋体" w:eastAsia="宋体" w:cs="仿宋"/>
                <w:color w:val="000000"/>
              </w:rPr>
            </w:pPr>
            <w:r>
              <w:rPr>
                <w:rFonts w:hint="eastAsia" w:ascii="宋体" w:hAnsi="宋体" w:eastAsia="宋体" w:cs="仿宋"/>
                <w:color w:val="000000"/>
              </w:rPr>
              <w:t>含药废弃物、含药废水处理设施的设置不符合要求。</w:t>
            </w:r>
          </w:p>
          <w:p>
            <w:pPr>
              <w:textAlignment w:val="center"/>
              <w:rPr>
                <w:rFonts w:ascii="宋体" w:hAnsi="宋体" w:eastAsia="宋体" w:cs="仿宋"/>
                <w:color w:val="000000"/>
              </w:rPr>
            </w:pPr>
            <w:r>
              <w:rPr>
                <w:rFonts w:hint="eastAsia" w:ascii="宋体" w:hAnsi="宋体" w:eastAsia="宋体" w:cs="仿宋"/>
                <w:color w:val="000000"/>
              </w:rPr>
              <w:t>含药废弃物、含药废水的处理方法不符合要求。</w:t>
            </w:r>
          </w:p>
        </w:tc>
        <w:tc>
          <w:tcPr>
            <w:tcW w:w="2202" w:type="dxa"/>
            <w:vAlign w:val="center"/>
          </w:tcPr>
          <w:p>
            <w:pPr>
              <w:rPr>
                <w:rFonts w:ascii="宋体" w:hAnsi="宋体" w:eastAsia="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Align w:val="center"/>
          </w:tcPr>
          <w:p>
            <w:pPr>
              <w:ind w:firstLine="105" w:firstLineChars="50"/>
              <w:textAlignment w:val="center"/>
              <w:rPr>
                <w:rFonts w:ascii="宋体" w:hAnsi="宋体" w:eastAsia="宋体" w:cs="仿宋"/>
                <w:color w:val="000000"/>
              </w:rPr>
            </w:pPr>
            <w:r>
              <w:rPr>
                <w:rFonts w:ascii="宋体" w:hAnsi="宋体" w:eastAsia="宋体" w:cs="仿宋"/>
                <w:color w:val="000000"/>
              </w:rPr>
              <w:t xml:space="preserve">B05 </w:t>
            </w:r>
            <w:r>
              <w:rPr>
                <w:rFonts w:hint="eastAsia" w:ascii="宋体" w:hAnsi="宋体" w:eastAsia="宋体" w:cs="仿宋"/>
                <w:color w:val="000000"/>
              </w:rPr>
              <w:t>相关方作业</w:t>
            </w:r>
          </w:p>
        </w:tc>
        <w:tc>
          <w:tcPr>
            <w:tcW w:w="2310" w:type="dxa"/>
            <w:vAlign w:val="center"/>
          </w:tcPr>
          <w:p>
            <w:pPr>
              <w:ind w:firstLine="105" w:firstLineChars="50"/>
              <w:rPr>
                <w:rFonts w:ascii="宋体" w:hAnsi="宋体" w:eastAsia="宋体" w:cs="仿宋"/>
                <w:color w:val="000000"/>
              </w:rPr>
            </w:pPr>
          </w:p>
        </w:tc>
        <w:tc>
          <w:tcPr>
            <w:tcW w:w="4577" w:type="dxa"/>
            <w:vAlign w:val="center"/>
          </w:tcPr>
          <w:p>
            <w:pPr>
              <w:textAlignment w:val="center"/>
              <w:rPr>
                <w:rFonts w:ascii="宋体" w:hAnsi="宋体" w:eastAsia="宋体" w:cs="仿宋"/>
                <w:color w:val="000000"/>
              </w:rPr>
            </w:pPr>
            <w:r>
              <w:rPr>
                <w:rFonts w:hint="eastAsia" w:ascii="宋体" w:hAnsi="宋体" w:eastAsia="宋体" w:cs="仿宋"/>
                <w:color w:val="000000"/>
              </w:rPr>
              <w:t>相关方未按规定办理动火、动土、临时用电等手续，进入不应进入场所等涉及相关方现场管理方面的缺陷。</w:t>
            </w:r>
          </w:p>
        </w:tc>
        <w:tc>
          <w:tcPr>
            <w:tcW w:w="2202" w:type="dxa"/>
            <w:vAlign w:val="center"/>
          </w:tcPr>
          <w:p>
            <w:pPr>
              <w:rPr>
                <w:rFonts w:ascii="宋体" w:hAnsi="宋体" w:eastAsia="宋体" w:cs="仿宋"/>
                <w:color w:val="00000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OGQ0ODJiMGI3ZDFkOWM0NWY3Y2QwYzljMGVhMTMifQ=="/>
  </w:docVars>
  <w:rsids>
    <w:rsidRoot w:val="7E32045A"/>
    <w:rsid w:val="7E320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6"/>
    <w:basedOn w:val="1"/>
    <w:next w:val="1"/>
    <w:qFormat/>
    <w:uiPriority w:val="99"/>
    <w:pPr>
      <w:keepNext/>
      <w:keepLines/>
      <w:spacing w:before="240" w:after="64" w:line="320" w:lineRule="auto"/>
      <w:outlineLvl w:val="5"/>
    </w:pPr>
    <w:rPr>
      <w:rFonts w:ascii="等线 Light" w:hAnsi="等线 Light" w:eastAsia="等线 Light"/>
      <w:b/>
      <w:bCs/>
      <w:sz w:val="24"/>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151"/>
    <w:basedOn w:val="4"/>
    <w:qFormat/>
    <w:uiPriority w:val="99"/>
    <w:rPr>
      <w:rFonts w:ascii="黑体" w:hAnsi="宋体" w:eastAsia="黑体" w:cs="黑体"/>
      <w:color w:val="000000"/>
      <w:sz w:val="24"/>
      <w:szCs w:val="24"/>
      <w:u w:val="none"/>
    </w:rPr>
  </w:style>
  <w:style w:type="character" w:customStyle="1" w:styleId="6">
    <w:name w:val="font51"/>
    <w:basedOn w:val="4"/>
    <w:qFormat/>
    <w:uiPriority w:val="99"/>
    <w:rPr>
      <w:rFonts w:ascii="黑体" w:hAnsi="宋体" w:eastAsia="黑体" w:cs="黑体"/>
      <w:color w:val="000000"/>
      <w:sz w:val="22"/>
      <w:szCs w:val="22"/>
      <w:u w:val="none"/>
    </w:rPr>
  </w:style>
  <w:style w:type="character" w:customStyle="1" w:styleId="7">
    <w:name w:val="font71"/>
    <w:basedOn w:val="4"/>
    <w:qFormat/>
    <w:uiPriority w:val="99"/>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2023-04-27T07:04:00Z</dcterms:created>
  <dc:creator>Administrator</dc:creator>
  <cp:lastModifiedBy>Administrator</cp:lastModifiedBy>
  <dcterms:modified xsi:type="dcterms:W3CDTF">2023-04-27T07:06:00Z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09751E2783A5469B9448CC8CB0D13B78_11</vt:lpwstr>
  </property>
</Properties>
</file>