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eastAsia="宋体"/>
          <w:b/>
          <w:bCs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rFonts w:eastAsia="宋体"/>
          <w:b/>
          <w:bCs/>
          <w:sz w:val="32"/>
          <w:szCs w:val="32"/>
        </w:rPr>
      </w:pPr>
      <w:r>
        <w:rPr>
          <w:rFonts w:hint="eastAsia" w:eastAsia="宋体"/>
          <w:b/>
          <w:bCs/>
          <w:sz w:val="32"/>
          <w:szCs w:val="32"/>
        </w:rPr>
        <w:t>加油站（日）审核检查标准</w:t>
      </w:r>
    </w:p>
    <w:tbl>
      <w:tblPr>
        <w:tblStyle w:val="5"/>
        <w:tblW w:w="49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76"/>
        <w:gridCol w:w="5244"/>
        <w:gridCol w:w="850"/>
        <w:gridCol w:w="708"/>
        <w:gridCol w:w="708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检查区域</w:t>
            </w:r>
          </w:p>
        </w:tc>
        <w:tc>
          <w:tcPr>
            <w:tcW w:w="602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检查项目</w:t>
            </w:r>
          </w:p>
        </w:tc>
        <w:tc>
          <w:tcPr>
            <w:tcW w:w="2474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检查内容及标准</w:t>
            </w:r>
          </w:p>
        </w:tc>
        <w:tc>
          <w:tcPr>
            <w:tcW w:w="1405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交接班</w:t>
            </w: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13时</w:t>
            </w: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17时</w:t>
            </w: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23时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通用项目</w:t>
            </w:r>
          </w:p>
        </w:tc>
        <w:tc>
          <w:tcPr>
            <w:tcW w:w="602" w:type="pct"/>
            <w:vMerge w:val="restar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应急器材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消防器材配置数量、摆放位置符合要求：灭火器压力表指针在正常范围、喷管无堵塞破裂、筒体无锈蚀、保险销转动灵活铅封完好（每台加油机配置不少于</w:t>
            </w:r>
            <w:r>
              <w:rPr>
                <w:rFonts w:eastAsia="宋体" w:cs="Times New Roman"/>
                <w:sz w:val="20"/>
                <w:szCs w:val="22"/>
              </w:rPr>
              <w:t>2</w:t>
            </w:r>
            <w:r>
              <w:rPr>
                <w:rFonts w:hint="eastAsia" w:eastAsia="宋体" w:cs="宋体"/>
                <w:sz w:val="20"/>
                <w:szCs w:val="22"/>
              </w:rPr>
              <w:t>具</w:t>
            </w:r>
            <w:r>
              <w:rPr>
                <w:rFonts w:eastAsia="宋体" w:cs="Times New Roman"/>
                <w:sz w:val="20"/>
                <w:szCs w:val="22"/>
              </w:rPr>
              <w:t>4</w:t>
            </w:r>
            <w:r>
              <w:rPr>
                <w:rFonts w:hint="eastAsia" w:eastAsia="宋体" w:cs="宋体"/>
                <w:sz w:val="20"/>
                <w:szCs w:val="22"/>
              </w:rPr>
              <w:t>公斤手提式干粉灭火器或</w:t>
            </w:r>
            <w:r>
              <w:rPr>
                <w:rFonts w:eastAsia="宋体" w:cs="Times New Roman"/>
                <w:sz w:val="20"/>
                <w:szCs w:val="22"/>
              </w:rPr>
              <w:t>1</w:t>
            </w:r>
            <w:r>
              <w:rPr>
                <w:rFonts w:hint="eastAsia" w:eastAsia="宋体" w:cs="宋体"/>
                <w:sz w:val="20"/>
                <w:szCs w:val="22"/>
              </w:rPr>
              <w:t>具</w:t>
            </w:r>
            <w:r>
              <w:rPr>
                <w:rFonts w:eastAsia="宋体" w:cs="Times New Roman"/>
                <w:sz w:val="20"/>
                <w:szCs w:val="22"/>
              </w:rPr>
              <w:t>8</w:t>
            </w:r>
            <w:r>
              <w:rPr>
                <w:rFonts w:hint="eastAsia" w:eastAsia="宋体" w:cs="宋体"/>
                <w:sz w:val="20"/>
                <w:szCs w:val="22"/>
              </w:rPr>
              <w:t>公斤干粉灭火器，不足两台按两台配置；储油区配置不少于</w:t>
            </w:r>
            <w:r>
              <w:rPr>
                <w:rFonts w:eastAsia="宋体" w:cs="Times New Roman"/>
                <w:sz w:val="20"/>
                <w:szCs w:val="22"/>
              </w:rPr>
              <w:t>1</w:t>
            </w:r>
            <w:r>
              <w:rPr>
                <w:rFonts w:hint="eastAsia" w:eastAsia="宋体" w:cs="宋体"/>
                <w:sz w:val="20"/>
                <w:szCs w:val="22"/>
              </w:rPr>
              <w:t>台</w:t>
            </w:r>
            <w:r>
              <w:rPr>
                <w:rFonts w:eastAsia="宋体" w:cs="Times New Roman"/>
                <w:sz w:val="20"/>
                <w:szCs w:val="22"/>
              </w:rPr>
              <w:t>35KG</w:t>
            </w:r>
            <w:r>
              <w:rPr>
                <w:rFonts w:hint="eastAsia" w:eastAsia="宋体" w:cs="宋体"/>
                <w:sz w:val="20"/>
                <w:szCs w:val="22"/>
              </w:rPr>
              <w:t>干粉灭火器；配发电间配置不少于</w:t>
            </w:r>
            <w:r>
              <w:rPr>
                <w:rFonts w:eastAsia="宋体" w:cs="Times New Roman"/>
                <w:sz w:val="20"/>
                <w:szCs w:val="22"/>
              </w:rPr>
              <w:t>1</w:t>
            </w:r>
            <w:r>
              <w:rPr>
                <w:rFonts w:hint="eastAsia" w:eastAsia="宋体" w:cs="宋体"/>
                <w:sz w:val="20"/>
                <w:szCs w:val="22"/>
              </w:rPr>
              <w:t>具二氧化碳灭火器；便利店根据面积大小设置不少于</w:t>
            </w:r>
            <w:r>
              <w:rPr>
                <w:rFonts w:eastAsia="宋体" w:cs="Times New Roman"/>
                <w:sz w:val="20"/>
                <w:szCs w:val="22"/>
              </w:rPr>
              <w:t>2</w:t>
            </w:r>
            <w:r>
              <w:rPr>
                <w:rFonts w:hint="eastAsia" w:eastAsia="宋体" w:cs="宋体"/>
                <w:sz w:val="20"/>
                <w:szCs w:val="22"/>
              </w:rPr>
              <w:t>具干粉灭火器）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 w:cs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灭火毯、消防沙等配置数量符合要求；灭火毯无破损；消防沙干燥</w:t>
            </w:r>
            <w:r>
              <w:rPr>
                <w:rFonts w:hint="eastAsia" w:eastAsia="宋体" w:cs="Times New Roman"/>
                <w:sz w:val="20"/>
                <w:szCs w:val="22"/>
              </w:rPr>
              <w:t>（</w:t>
            </w:r>
            <w:r>
              <w:rPr>
                <w:rFonts w:hint="eastAsia" w:eastAsia="宋体" w:cs="宋体"/>
                <w:sz w:val="20"/>
                <w:szCs w:val="22"/>
              </w:rPr>
              <w:t>储油区消防锹</w:t>
            </w:r>
            <w:r>
              <w:rPr>
                <w:rFonts w:eastAsia="宋体" w:cs="Times New Roman"/>
                <w:sz w:val="20"/>
                <w:szCs w:val="22"/>
              </w:rPr>
              <w:t>4</w:t>
            </w:r>
            <w:r>
              <w:rPr>
                <w:rFonts w:hint="eastAsia" w:eastAsia="宋体" w:cs="宋体"/>
                <w:sz w:val="20"/>
                <w:szCs w:val="22"/>
              </w:rPr>
              <w:t>把、消防桶</w:t>
            </w:r>
            <w:r>
              <w:rPr>
                <w:rFonts w:eastAsia="宋体" w:cs="Times New Roman"/>
                <w:sz w:val="20"/>
                <w:szCs w:val="22"/>
              </w:rPr>
              <w:t>4</w:t>
            </w:r>
            <w:r>
              <w:rPr>
                <w:rFonts w:hint="eastAsia" w:eastAsia="宋体" w:cs="宋体"/>
                <w:sz w:val="20"/>
                <w:szCs w:val="22"/>
              </w:rPr>
              <w:t>个；一二级加油站配置灭火毯</w:t>
            </w:r>
            <w:r>
              <w:rPr>
                <w:rFonts w:eastAsia="宋体" w:cs="Times New Roman"/>
                <w:sz w:val="20"/>
                <w:szCs w:val="22"/>
              </w:rPr>
              <w:t>5</w:t>
            </w:r>
            <w:r>
              <w:rPr>
                <w:rFonts w:hint="eastAsia" w:eastAsia="宋体" w:cs="宋体"/>
                <w:sz w:val="20"/>
                <w:szCs w:val="22"/>
              </w:rPr>
              <w:t>块，沙子</w:t>
            </w:r>
            <w:r>
              <w:rPr>
                <w:rFonts w:eastAsia="宋体" w:cs="Times New Roman"/>
                <w:sz w:val="20"/>
                <w:szCs w:val="22"/>
              </w:rPr>
              <w:t>2m</w:t>
            </w:r>
            <w:r>
              <w:rPr>
                <w:rFonts w:eastAsia="宋体" w:cs="Times New Roman"/>
                <w:sz w:val="20"/>
                <w:szCs w:val="22"/>
                <w:vertAlign w:val="superscript"/>
              </w:rPr>
              <w:t>3</w:t>
            </w:r>
            <w:r>
              <w:rPr>
                <w:rFonts w:hint="eastAsia" w:eastAsia="宋体" w:cs="宋体"/>
                <w:sz w:val="20"/>
                <w:szCs w:val="22"/>
              </w:rPr>
              <w:t>、三级加油站配置灭火毯不少于</w:t>
            </w:r>
            <w:r>
              <w:rPr>
                <w:rFonts w:eastAsia="宋体" w:cs="Times New Roman"/>
                <w:sz w:val="20"/>
                <w:szCs w:val="22"/>
              </w:rPr>
              <w:t>2</w:t>
            </w:r>
            <w:r>
              <w:rPr>
                <w:rFonts w:hint="eastAsia" w:eastAsia="宋体" w:cs="宋体"/>
                <w:sz w:val="20"/>
                <w:szCs w:val="22"/>
              </w:rPr>
              <w:t>块，沙子</w:t>
            </w:r>
            <w:r>
              <w:rPr>
                <w:rFonts w:eastAsia="宋体" w:cs="Times New Roman"/>
                <w:sz w:val="20"/>
                <w:szCs w:val="22"/>
              </w:rPr>
              <w:t>2m</w:t>
            </w:r>
            <w:r>
              <w:rPr>
                <w:rFonts w:eastAsia="宋体" w:cs="Times New Roman"/>
                <w:sz w:val="20"/>
                <w:szCs w:val="22"/>
                <w:vertAlign w:val="superscript"/>
              </w:rPr>
              <w:t>3</w:t>
            </w:r>
            <w:r>
              <w:rPr>
                <w:rFonts w:hint="eastAsia" w:eastAsia="宋体" w:cs="Times New Roman"/>
                <w:sz w:val="20"/>
                <w:szCs w:val="22"/>
              </w:rPr>
              <w:t>，</w:t>
            </w:r>
            <w:r>
              <w:rPr>
                <w:rFonts w:hint="eastAsia" w:eastAsia="宋体" w:cs="宋体"/>
                <w:sz w:val="20"/>
                <w:szCs w:val="22"/>
              </w:rPr>
              <w:t>每张灭火毯面积不少于</w:t>
            </w:r>
            <w:r>
              <w:rPr>
                <w:rFonts w:eastAsia="宋体" w:cs="Times New Roman"/>
                <w:sz w:val="20"/>
                <w:szCs w:val="22"/>
              </w:rPr>
              <w:t>1</w:t>
            </w:r>
            <w:r>
              <w:rPr>
                <w:rFonts w:hint="eastAsia" w:eastAsia="宋体" w:cs="宋体"/>
                <w:sz w:val="20"/>
                <w:szCs w:val="22"/>
              </w:rPr>
              <w:t>平方米）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视频监控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运行显示清晰、无黑屏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非常规作业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按规定办理作业许可手续；安全防护措施落实（记录）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立牌灯箱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灯箱无倾斜、照明完好；接地保护连接无松动、断裂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给排水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排水沟内无油污、无堵塞；隔油池无堵塞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安全目视化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各区域安全目视化警示标识标牌齐全完好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加油员</w:t>
            </w:r>
          </w:p>
        </w:tc>
        <w:tc>
          <w:tcPr>
            <w:tcW w:w="2474" w:type="pct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按规定着防静电工作装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加油区域</w:t>
            </w:r>
          </w:p>
        </w:tc>
        <w:tc>
          <w:tcPr>
            <w:tcW w:w="602" w:type="pc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前庭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罩棚天花板、檐口包装、立柱无变形、无破损；区域无障碍；服务箱</w:t>
            </w:r>
            <w:r>
              <w:rPr>
                <w:rFonts w:eastAsia="宋体" w:cs="Times New Roman"/>
                <w:sz w:val="20"/>
                <w:szCs w:val="22"/>
              </w:rPr>
              <w:t>/</w:t>
            </w:r>
            <w:r>
              <w:rPr>
                <w:rFonts w:hint="eastAsia" w:eastAsia="宋体" w:cs="宋体"/>
                <w:sz w:val="20"/>
                <w:szCs w:val="22"/>
              </w:rPr>
              <w:t>柜无破损；加油岛无破损、无油污；照明完好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站房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站房无裂纹；无电器烧蚀现象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restar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加油机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外观无锈蚀、无油迹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加油枪及胶管外观无破损、无渗漏、无油污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加油枪油气集气罩齐全完好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机内油泵、油气回收泵运转无异响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油罐区</w:t>
            </w:r>
          </w:p>
        </w:tc>
        <w:tc>
          <w:tcPr>
            <w:tcW w:w="602" w:type="pct"/>
            <w:vMerge w:val="restar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卸油口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卸油箱盖完好、等电位连接线、跨接连接线、保护接地线无松动、无断裂：卸油口阀门关闭且上锁；快速接头闷盖、密封垫齐全完好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卸油箱内无积水、无油气集聚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卸油箱内标识标牌齐全完好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restar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操作井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井内无积水、无油污、无油气集聚；等电位连接线、跨接连接线、保护接地线无松动、无断裂；连接螺栓无松动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防爆接线盒外壳接地连接线无松动、无断裂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潜油泵、液位仪防爆软管无破损：连接接头无松动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少于</w:t>
            </w:r>
            <w:r>
              <w:rPr>
                <w:rFonts w:eastAsia="宋体" w:cs="Times New Roman"/>
                <w:sz w:val="20"/>
                <w:szCs w:val="22"/>
              </w:rPr>
              <w:t>4</w:t>
            </w:r>
            <w:r>
              <w:rPr>
                <w:rFonts w:hint="eastAsia" w:eastAsia="宋体" w:cs="宋体"/>
                <w:sz w:val="20"/>
                <w:szCs w:val="22"/>
              </w:rPr>
              <w:t>颗螺栓（含</w:t>
            </w:r>
            <w:r>
              <w:rPr>
                <w:rFonts w:eastAsia="宋体" w:cs="Times New Roman"/>
                <w:sz w:val="20"/>
                <w:szCs w:val="22"/>
              </w:rPr>
              <w:t>4</w:t>
            </w:r>
            <w:r>
              <w:rPr>
                <w:rFonts w:hint="eastAsia" w:eastAsia="宋体" w:cs="宋体"/>
                <w:sz w:val="20"/>
                <w:szCs w:val="22"/>
              </w:rPr>
              <w:t>颗）管线法兰设置跨接连接且无松动、断裂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计量孔阀门关闭且上锁；量油帽锁闭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井内标识标牌齐全完好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通气管</w:t>
            </w:r>
          </w:p>
        </w:tc>
        <w:tc>
          <w:tcPr>
            <w:tcW w:w="2474" w:type="pc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运行无异响、无震动；真空压力通气管阀门开启，常压通气管阀门关闭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restar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观察井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井内水位淹没潜水泵且低于井口；无油污、无油气集聚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潜水泵电气线路绝缘层无破损；电气线路穿线套管口防爆胶泥封堵完好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油气回收积液井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井内无锈蚀、无积水、无油污、无油气集聚；阀门关闭且上锁；跨接连接无松动、无断裂；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静电接地报警器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静电夹完好、静电导地线无破损、无断裂；静电夹结合点无锈蚀、静电夹断开后蜂鸣、闭合停止蜂鸣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人体静电消除器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接地线无松动、无断裂且安装牢固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油罐</w:t>
            </w:r>
          </w:p>
        </w:tc>
        <w:tc>
          <w:tcPr>
            <w:tcW w:w="2474" w:type="pct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油罐区四周无变形、无下沉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液位仪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高低液位、罐底水高有效报警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配发电</w:t>
            </w:r>
          </w:p>
        </w:tc>
        <w:tc>
          <w:tcPr>
            <w:tcW w:w="602" w:type="pc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配电间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防鼠板、防护网完好；绝缘胶垫无破损、无积水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变压器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安全防护栏完好；运行无异响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配电柜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仪器仪表工作正常、无烧蚀现象；柜门跨接连接无松动、无断裂且上锁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作业现场</w:t>
            </w:r>
          </w:p>
        </w:tc>
        <w:tc>
          <w:tcPr>
            <w:tcW w:w="602" w:type="pct"/>
            <w:vMerge w:val="restart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/>
                <w:sz w:val="20"/>
                <w:szCs w:val="22"/>
              </w:rPr>
              <w:t>规范操作</w:t>
            </w: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卸油操作人员按规定着防静电工作装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车辆、摩托车熄火加油；摩托车驶离加油机4.5米启动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加油站现场无人员打手机、吸烟；无塑料桶加注油品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汽油卸油作业连接油气回收胶管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加油站现场无检修车辆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加油站现场无小额配送车辆喷溅式加注油品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卸油作业连接静电接地线且静止15分钟：现场布设消防器材；放置车轮挡；现场进行旁站监护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卸油、油气回收胶管无变形、无破损；快速接头密封胶垫齐全完好、无渗漏；导静电丝无断裂且与接头连接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卸油作业前消除人体静电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卸油前进行油品质量目视检测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602" w:type="pct"/>
            <w:vMerge w:val="continue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2474" w:type="pc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散装油品客户按规定提供完整材料且登记备案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595" w:type="pct"/>
            <w:gridSpan w:val="3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岗位员工按巡检频次和标准进行现场检查，确认无异常划“√”，异常划“×”并签字</w:t>
            </w:r>
          </w:p>
        </w:tc>
        <w:tc>
          <w:tcPr>
            <w:tcW w:w="401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spacing w:line="280" w:lineRule="exact"/>
              <w:rPr>
                <w:rFonts w:eastAsia="宋体" w:cs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存在问题描述（注明问题发现人姓名；区域内非常规作业应注明作业类型及监护人员、许可证到位情况）：</w:t>
            </w:r>
          </w:p>
          <w:p>
            <w:pPr>
              <w:spacing w:line="280" w:lineRule="exact"/>
              <w:rPr>
                <w:rFonts w:eastAsia="宋体" w:cs="宋体"/>
                <w:sz w:val="20"/>
                <w:szCs w:val="22"/>
              </w:rPr>
            </w:pPr>
          </w:p>
          <w:p>
            <w:pPr>
              <w:spacing w:line="280" w:lineRule="exact"/>
              <w:rPr>
                <w:rFonts w:eastAsia="宋体" w:cs="宋体"/>
                <w:sz w:val="20"/>
                <w:szCs w:val="22"/>
              </w:rPr>
            </w:pPr>
          </w:p>
          <w:p>
            <w:pPr>
              <w:spacing w:line="280" w:lineRule="exact"/>
              <w:rPr>
                <w:rFonts w:eastAsia="宋体" w:cs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0" w:type="pct"/>
            <w:gridSpan w:val="7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2"/>
              </w:rPr>
            </w:pPr>
            <w:r>
              <w:rPr>
                <w:rFonts w:hint="eastAsia" w:eastAsia="宋体" w:cs="宋体"/>
                <w:sz w:val="20"/>
                <w:szCs w:val="22"/>
              </w:rPr>
              <w:t>岗位员工：                                                          日期：    年    月    日</w:t>
            </w:r>
          </w:p>
        </w:tc>
      </w:tr>
    </w:tbl>
    <w:p>
      <w:pPr>
        <w:spacing w:line="360" w:lineRule="auto"/>
        <w:rPr>
          <w:rFonts w:eastAsia="宋体" w:cs="宋体"/>
          <w:sz w:val="20"/>
          <w:szCs w:val="22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tabs>
          <w:tab w:val="left" w:pos="7644"/>
        </w:tabs>
        <w:rPr>
          <w:rFonts w:eastAsia="宋体"/>
        </w:rPr>
      </w:pPr>
      <w:r>
        <w:rPr>
          <w:rFonts w:eastAsia="宋体"/>
        </w:rPr>
        <w:tab/>
      </w:r>
    </w:p>
    <w:p>
      <w:pPr>
        <w:widowControl/>
        <w:jc w:val="left"/>
        <w:rPr>
          <w:rFonts w:hint="eastAsia" w:eastAsia="宋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OGE4MGNlMzA2ZmQ5MjlmZmFiNWM4MjRkYjE4ZjkifQ=="/>
  </w:docVars>
  <w:rsids>
    <w:rsidRoot w:val="00172A27"/>
    <w:rsid w:val="00172A27"/>
    <w:rsid w:val="004D6F88"/>
    <w:rsid w:val="00584344"/>
    <w:rsid w:val="00647ECB"/>
    <w:rsid w:val="00A00B4B"/>
    <w:rsid w:val="00A50436"/>
    <w:rsid w:val="00AB6A18"/>
    <w:rsid w:val="00B10CF6"/>
    <w:rsid w:val="00B311C9"/>
    <w:rsid w:val="00B955ED"/>
    <w:rsid w:val="00EC15E1"/>
    <w:rsid w:val="00FE206C"/>
    <w:rsid w:val="0849520D"/>
    <w:rsid w:val="56F64AF7"/>
    <w:rsid w:val="79BE1F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1460</Words>
  <Characters>1473</Characters>
  <Lines>510</Lines>
  <Paragraphs>143</Paragraphs>
  <TotalTime>27</TotalTime>
  <ScaleCrop>false</ScaleCrop>
  <LinksUpToDate>false</LinksUpToDate>
  <CharactersWithSpaces>1608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2022-10-18T11:56:00Z</dcterms:created>
  <dc:creator>柠萌ξ</dc:creator>
  <cp:lastModifiedBy>Administrator</cp:lastModifiedBy>
  <dcterms:modified xsi:type="dcterms:W3CDTF">2023-04-23T07:46:51Z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3336082D631046E8AD5625B58E61F076_13</vt:lpwstr>
  </property>
</Properties>
</file>