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b w:val="0"/>
          <w:sz w:val="36"/>
          <w:szCs w:val="36"/>
        </w:rPr>
      </w:pPr>
      <w:r>
        <w:rPr>
          <w:rFonts w:ascii="黑体" w:hAnsi="黑体" w:eastAsia="黑体"/>
          <w:b w:val="0"/>
          <w:sz w:val="36"/>
          <w:szCs w:val="36"/>
        </w:rPr>
        <w:t xml:space="preserve"> </w:t>
      </w:r>
      <w:r>
        <w:rPr>
          <w:rFonts w:hint="eastAsia" w:ascii="黑体" w:hAnsi="黑体" w:eastAsia="黑体"/>
          <w:b w:val="0"/>
          <w:sz w:val="36"/>
          <w:szCs w:val="36"/>
        </w:rPr>
        <w:t>安全事故隐患排查治理清单</w:t>
      </w:r>
    </w:p>
    <w:tbl>
      <w:tblPr>
        <w:tblStyle w:val="3"/>
        <w:tblW w:w="102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10277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  <w:t>5-4-1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烟花爆竹生产企业安全事故隐患排查清单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188"/>
              <w:gridCol w:w="2310"/>
              <w:gridCol w:w="4324"/>
              <w:gridCol w:w="245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01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jc w:val="center"/>
                    <w:textAlignment w:val="center"/>
                    <w:rPr>
                      <w:bCs/>
                      <w:sz w:val="24"/>
                    </w:rPr>
                  </w:pPr>
                  <w:r>
                    <w:rPr>
                      <w:rFonts w:hint="eastAsia" w:eastAsia="黑体"/>
                      <w:bCs/>
                    </w:rPr>
                    <w:t>企业名称：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rPr>
                      <w:bCs/>
                      <w:sz w:val="24"/>
                    </w:rPr>
                  </w:pPr>
                </w:p>
              </w:tc>
              <w:tc>
                <w:tcPr>
                  <w:tcW w:w="6779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3780" w:firstLineChars="1800"/>
                    <w:textAlignment w:val="center"/>
                    <w:rPr>
                      <w:bCs/>
                    </w:rPr>
                  </w:pPr>
                  <w:r>
                    <w:rPr>
                      <w:rFonts w:hint="eastAsia" w:eastAsia="黑体"/>
                      <w:bCs/>
                    </w:rPr>
                    <w:t>排查日期：</w:t>
                  </w:r>
                  <w:r>
                    <w:rPr>
                      <w:bCs/>
                    </w:rPr>
                    <w:t xml:space="preserve">  </w:t>
                  </w:r>
                  <w:r>
                    <w:rPr>
                      <w:rFonts w:hint="eastAsia"/>
                      <w:bCs/>
                    </w:rPr>
                    <w:t>年</w:t>
                  </w:r>
                  <w:r>
                    <w:rPr>
                      <w:bCs/>
                    </w:rPr>
                    <w:t xml:space="preserve">  </w:t>
                  </w:r>
                  <w:r>
                    <w:rPr>
                      <w:rFonts w:hint="eastAsia"/>
                      <w:bCs/>
                    </w:rPr>
                    <w:t>月</w:t>
                  </w:r>
                  <w:r>
                    <w:rPr>
                      <w:bCs/>
                    </w:rPr>
                    <w:t xml:space="preserve">  </w:t>
                  </w:r>
                  <w:r>
                    <w:rPr>
                      <w:rFonts w:hint="eastAsia"/>
                      <w:bCs/>
                    </w:rPr>
                    <w:t>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0277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jc w:val="center"/>
                    <w:textAlignment w:val="center"/>
                    <w:rPr>
                      <w:rFonts w:eastAsia="黑体"/>
                      <w:bCs/>
                    </w:rPr>
                  </w:pPr>
                  <w:r>
                    <w:rPr>
                      <w:rFonts w:hint="eastAsia" w:eastAsia="黑体"/>
                      <w:bCs/>
                    </w:rPr>
                    <w:t>一、</w:t>
                  </w:r>
                  <w:r>
                    <w:rPr>
                      <w:rFonts w:eastAsia="黑体"/>
                      <w:bCs/>
                    </w:rPr>
                    <w:t>A</w:t>
                  </w:r>
                  <w:r>
                    <w:rPr>
                      <w:rFonts w:hint="eastAsia" w:eastAsia="黑体"/>
                      <w:bCs/>
                    </w:rPr>
                    <w:t>基础管理类事故隐患</w:t>
                  </w:r>
                </w:p>
                <w:p>
                  <w:pPr>
                    <w:spacing w:line="290" w:lineRule="exact"/>
                    <w:jc w:val="center"/>
                    <w:textAlignment w:val="center"/>
                    <w:rPr>
                      <w:rFonts w:eastAsia="黑体"/>
                      <w:bCs/>
                    </w:rPr>
                  </w:pPr>
                  <w:r>
                    <w:rPr>
                      <w:rFonts w:hint="eastAsia" w:eastAsia="黑体"/>
                      <w:bCs/>
                      <w:sz w:val="22"/>
                    </w:rPr>
                    <w:t>（是指烟花爆竹生产单位安全管理体制、机制及程序等方面存在的缺陷）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黑体"/>
                      <w:bCs/>
                    </w:rPr>
                    <w:t>隐患类别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隐患内容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说明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排查情况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72" w:hRule="atLeast"/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A01</w:t>
                  </w:r>
                  <w:r>
                    <w:rPr>
                      <w:rFonts w:hint="eastAsia" w:eastAsia="黑体"/>
                      <w:bCs/>
                    </w:rPr>
                    <w:t>资质证照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缺少资质证照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未按规定取得合法的营业执照、消防设施、防雷设施、防静电设施验收（备案）文件。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未取得烟花爆竹安全生产许可证或资质证照不在有效期。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资质证照未合法有效</w:t>
                  </w:r>
                </w:p>
              </w:tc>
              <w:tc>
                <w:tcPr>
                  <w:tcW w:w="4324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12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新、改、扩建项目未取得安全设施竣工验收（备案）文件。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A02</w:t>
                  </w:r>
                  <w:r>
                    <w:rPr>
                      <w:rFonts w:hint="eastAsia" w:eastAsia="黑体"/>
                      <w:bCs/>
                    </w:rPr>
                    <w:t>安全生产管理机构及人员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安全生产管理机构设置缺陷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未按规定建立安全生产管理机构。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安全管理人员配备缺陷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未按规定配备安全管理人员，人员配备不足或所配备的人员不符合要求等。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 xml:space="preserve">A03 </w:t>
                  </w:r>
                  <w:r>
                    <w:rPr>
                      <w:rFonts w:hint="eastAsia" w:eastAsia="黑体"/>
                      <w:bCs/>
                    </w:rPr>
                    <w:t>安全规章制度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安全生产责任制缺陷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未按规定建立、健全主要负责人、分管负责人、安全生产管理人员、职能部门、岗位的安全生产责任制。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安全管理制度缺陷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未按《烟花爆竹生产企业安全生产许可证实施办法》（国家安全生产监督管理总局令第</w:t>
                  </w:r>
                  <w:r>
                    <w:rPr>
                      <w:rFonts w:eastAsia="仿宋"/>
                      <w:bCs/>
                    </w:rPr>
                    <w:t>54</w:t>
                  </w:r>
                  <w:r>
                    <w:rPr>
                      <w:rFonts w:hint="eastAsia" w:eastAsia="仿宋"/>
                      <w:bCs/>
                    </w:rPr>
                    <w:t>号）第十三条的要求定建立、健全安全管理制度。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安全操作规程缺陷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未按规定制定、完善各岗位安全操作规程。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4.</w:t>
                  </w:r>
                  <w:r>
                    <w:rPr>
                      <w:rFonts w:hint="eastAsia" w:eastAsia="仿宋"/>
                      <w:bCs/>
                    </w:rPr>
                    <w:t>制度（文件）管理缺陷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制定制度编制、发布、修订等制度，或未按照制度执行，如制度编制、发布、修订等过程不规范，制度（文件）试行、现行有效或过期废止标识不清，过期废止回收销毁等规定不明确，制度（文件）发布后宣贯、执行检查不到位；记录（台账、档案）的数量、格式、内容不明确，填写不规范等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056" w:hRule="atLeast"/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 xml:space="preserve">A04 </w:t>
                  </w:r>
                  <w:r>
                    <w:rPr>
                      <w:rFonts w:hint="eastAsia" w:eastAsia="黑体"/>
                      <w:bCs/>
                    </w:rPr>
                    <w:t>安全培训教育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主要负责人、安全管理人员培训教育不足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未按规定取证，取证后没有按年度进行再培训教育或培训教育学时不够等（主要负责人和安全生产管理人员每年再培训时间不得少于</w:t>
                  </w:r>
                  <w:r>
                    <w:rPr>
                      <w:rFonts w:eastAsia="仿宋"/>
                      <w:bCs/>
                    </w:rPr>
                    <w:t>16</w:t>
                  </w:r>
                  <w:r>
                    <w:rPr>
                      <w:rFonts w:hint="eastAsia" w:eastAsia="仿宋"/>
                      <w:bCs/>
                    </w:rPr>
                    <w:t>学时）。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15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特种作业人员培训教育不足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未按规定取证，证件过期或证件与实际岗位不符等（特种作业操作证每</w:t>
                  </w:r>
                  <w:r>
                    <w:rPr>
                      <w:rFonts w:eastAsia="仿宋"/>
                      <w:bCs/>
                    </w:rPr>
                    <w:t>3</w:t>
                  </w:r>
                  <w:r>
                    <w:rPr>
                      <w:rFonts w:hint="eastAsia" w:eastAsia="仿宋"/>
                      <w:bCs/>
                    </w:rPr>
                    <w:t>年复审</w:t>
                  </w:r>
                  <w:r>
                    <w:rPr>
                      <w:rFonts w:eastAsia="仿宋"/>
                      <w:bCs/>
                    </w:rPr>
                    <w:t>1</w:t>
                  </w:r>
                  <w:r>
                    <w:rPr>
                      <w:rFonts w:hint="eastAsia" w:eastAsia="仿宋"/>
                      <w:bCs/>
                    </w:rPr>
                    <w:t>次）。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一般从业人员培训教育不足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缺少日常教育、</w:t>
                  </w:r>
                  <w:r>
                    <w:rPr>
                      <w:rFonts w:eastAsia="仿宋"/>
                      <w:bCs/>
                    </w:rPr>
                    <w:t>“</w:t>
                  </w:r>
                  <w:r>
                    <w:rPr>
                      <w:rFonts w:hint="eastAsia" w:eastAsia="仿宋"/>
                      <w:bCs/>
                    </w:rPr>
                    <w:t>三级</w:t>
                  </w:r>
                  <w:r>
                    <w:rPr>
                      <w:rFonts w:eastAsia="仿宋"/>
                      <w:bCs/>
                    </w:rPr>
                    <w:t>”</w:t>
                  </w:r>
                  <w:r>
                    <w:rPr>
                      <w:rFonts w:hint="eastAsia" w:eastAsia="仿宋"/>
                      <w:bCs/>
                    </w:rPr>
                    <w:t>教育、</w:t>
                  </w:r>
                  <w:r>
                    <w:rPr>
                      <w:rFonts w:eastAsia="仿宋"/>
                      <w:bCs/>
                    </w:rPr>
                    <w:t>“</w:t>
                  </w:r>
                  <w:r>
                    <w:rPr>
                      <w:rFonts w:hint="eastAsia" w:eastAsia="仿宋"/>
                      <w:bCs/>
                    </w:rPr>
                    <w:t>四新</w:t>
                  </w:r>
                  <w:r>
                    <w:rPr>
                      <w:rFonts w:eastAsia="仿宋"/>
                      <w:bCs/>
                    </w:rPr>
                    <w:t>”</w:t>
                  </w:r>
                  <w:r>
                    <w:rPr>
                      <w:rFonts w:hint="eastAsia" w:eastAsia="仿宋"/>
                      <w:bCs/>
                    </w:rPr>
                    <w:t>教育、转岗、重新上岗等安全培训教育，或安全培训教育达不到规定时间，或内容不符合要求等。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 xml:space="preserve">A05 </w:t>
                  </w:r>
                  <w:r>
                    <w:rPr>
                      <w:rFonts w:hint="eastAsia" w:eastAsia="黑体"/>
                      <w:bCs/>
                    </w:rPr>
                    <w:t>安全投入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安全投入不足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未按国家相关规定提取安全投入资金。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安全投入使用缺陷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安全投入使用范围或使用金额不符合要求等。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其他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未按规定购买工伤保险、安全生产责任保险等。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 xml:space="preserve">A06 </w:t>
                  </w:r>
                  <w:r>
                    <w:rPr>
                      <w:rFonts w:hint="eastAsia" w:eastAsia="黑体"/>
                      <w:bCs/>
                    </w:rPr>
                    <w:t>个体防护装备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个体防护装备配备不足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未按规定选用、配备、按期发放所需的个体防护装备。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个体防护装备管理缺陷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未按规定对个体防护装备实施有效管理。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44" w:hRule="atLeast"/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A07</w:t>
                  </w:r>
                  <w:r>
                    <w:rPr>
                      <w:rFonts w:hint="eastAsia" w:eastAsia="黑体"/>
                      <w:bCs/>
                    </w:rPr>
                    <w:t>安全生产信息化建设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未使用烟花爆竹流向管理信息系统缺陷。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未按规定配备、使用计算机、手持机、打码机等设备。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37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成品未按要求张贴产品流向标识码，并采集录入系统。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危险性工库房视频监控系统使用缺陷。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未按规定建设应用危险性工库房视频监控系统，视频监控系统未有效运行。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信息系统建设缺陷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未建立安全生产电子台账管理；未使用重大危险源监控、安全风险管控和隐患自查自报等信息系统。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69" w:hRule="atLeast"/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A08</w:t>
                  </w:r>
                  <w:r>
                    <w:rPr>
                      <w:rFonts w:hint="eastAsia" w:eastAsia="黑体"/>
                      <w:bCs/>
                    </w:rPr>
                    <w:t>生产组织管理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企业主体责任不明缺陷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一证多厂或者多股东各自独立组织生产经营；将企业或生产线、车间分包、转包组织生产。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3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未统一供销经营、招聘用工、组织生产、安全管理、财务核算、购买安装生产设备等。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91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出租、出借、转让、买卖、冒用或者伪造许可证。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未落实非正常情况停产要求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在出现电源线路发生漏电、短路和机器运转不正常，雷电、暴风雨等恶劣天气，发现药物温度异常升高或产生异味，直接接触烟火药的操作工序室温超过</w:t>
                  </w:r>
                  <w:r>
                    <w:rPr>
                      <w:rFonts w:eastAsia="仿宋"/>
                      <w:bCs/>
                    </w:rPr>
                    <w:t>34</w:t>
                  </w:r>
                  <w:r>
                    <w:rPr>
                      <w:bCs/>
                    </w:rPr>
                    <w:t>℃</w:t>
                  </w:r>
                  <w:r>
                    <w:rPr>
                      <w:rFonts w:hint="eastAsia" w:eastAsia="仿宋"/>
                      <w:bCs/>
                    </w:rPr>
                    <w:t>或低于</w:t>
                  </w:r>
                  <w:r>
                    <w:rPr>
                      <w:rFonts w:eastAsia="仿宋"/>
                      <w:bCs/>
                    </w:rPr>
                    <w:t xml:space="preserve">0 </w:t>
                  </w:r>
                  <w:r>
                    <w:rPr>
                      <w:bCs/>
                    </w:rPr>
                    <w:t>℃</w:t>
                  </w:r>
                  <w:r>
                    <w:rPr>
                      <w:rFonts w:hint="eastAsia" w:eastAsia="仿宋"/>
                      <w:bCs/>
                    </w:rPr>
                    <w:t>时，其它危险工序室温超过</w:t>
                  </w:r>
                  <w:r>
                    <w:rPr>
                      <w:rFonts w:eastAsia="仿宋"/>
                      <w:bCs/>
                    </w:rPr>
                    <w:t xml:space="preserve"> 36</w:t>
                  </w:r>
                  <w:r>
                    <w:rPr>
                      <w:bCs/>
                    </w:rPr>
                    <w:t>℃</w:t>
                  </w:r>
                  <w:r>
                    <w:rPr>
                      <w:rFonts w:hint="eastAsia" w:eastAsia="仿宋"/>
                      <w:bCs/>
                    </w:rPr>
                    <w:t>或低于</w:t>
                  </w:r>
                  <w:r>
                    <w:rPr>
                      <w:rFonts w:eastAsia="仿宋"/>
                      <w:bCs/>
                    </w:rPr>
                    <w:t>0</w:t>
                  </w:r>
                  <w:r>
                    <w:rPr>
                      <w:bCs/>
                    </w:rPr>
                    <w:t>℃</w:t>
                  </w:r>
                  <w:r>
                    <w:rPr>
                      <w:rFonts w:hint="eastAsia" w:eastAsia="仿宋"/>
                      <w:bCs/>
                    </w:rPr>
                    <w:t>时，工作人员身体状况不佳或情绪异常，政府有关部门规定的其他停产情形等情况下继续组织生产。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产品责任主体不明。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贴牌、冒牌生产，从其他企业购买烟花爆竹产品加贴本企业的标识进行销售。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88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4.</w:t>
                  </w:r>
                  <w:r>
                    <w:rPr>
                      <w:rFonts w:hint="eastAsia" w:eastAsia="仿宋"/>
                      <w:bCs/>
                    </w:rPr>
                    <w:t>产品质量不符合要求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生产使用违禁药物。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83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生产经营违禁超标产品。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生产</w:t>
                  </w:r>
                  <w:r>
                    <w:rPr>
                      <w:rFonts w:eastAsia="仿宋"/>
                      <w:bCs/>
                    </w:rPr>
                    <w:t>“</w:t>
                  </w:r>
                  <w:r>
                    <w:rPr>
                      <w:rFonts w:hint="eastAsia" w:eastAsia="仿宋"/>
                      <w:bCs/>
                    </w:rPr>
                    <w:t>假大空</w:t>
                  </w:r>
                  <w:r>
                    <w:rPr>
                      <w:rFonts w:eastAsia="仿宋"/>
                      <w:bCs/>
                    </w:rPr>
                    <w:t>”</w:t>
                  </w:r>
                  <w:r>
                    <w:rPr>
                      <w:rFonts w:hint="eastAsia" w:eastAsia="仿宋"/>
                      <w:bCs/>
                    </w:rPr>
                    <w:t>产品。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产品质量不符合</w:t>
                  </w:r>
                  <w:r>
                    <w:rPr>
                      <w:rFonts w:eastAsia="仿宋"/>
                      <w:bCs/>
                    </w:rPr>
                    <w:t>GB10631</w:t>
                  </w:r>
                  <w:r>
                    <w:rPr>
                      <w:rFonts w:hint="eastAsia" w:eastAsia="仿宋"/>
                      <w:bCs/>
                    </w:rPr>
                    <w:t>的要求。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A09</w:t>
                  </w:r>
                  <w:r>
                    <w:rPr>
                      <w:rFonts w:hint="eastAsia" w:eastAsia="黑体"/>
                      <w:bCs/>
                    </w:rPr>
                    <w:t>产品流向管理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落实产品流向登记缺陷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未按照《烟花爆竹流向登记通用规范》（</w:t>
                  </w:r>
                  <w:r>
                    <w:rPr>
                      <w:rFonts w:eastAsia="仿宋"/>
                      <w:bCs/>
                    </w:rPr>
                    <w:t>AQ4102</w:t>
                  </w:r>
                  <w:r>
                    <w:rPr>
                      <w:rFonts w:hint="eastAsia" w:eastAsia="仿宋"/>
                      <w:bCs/>
                    </w:rPr>
                    <w:t>）的要求对各仓库的产品进行流向登记。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69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执行购销合同管理制度缺陷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未签订正式的购销合同，购销合同中未明确约定各自的安全责任。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326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未按购销合同约定的产品供货。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A10</w:t>
                  </w:r>
                  <w:r>
                    <w:rPr>
                      <w:rFonts w:hint="eastAsia" w:eastAsia="黑体"/>
                      <w:bCs/>
                    </w:rPr>
                    <w:t>采购管理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无规范的原材料购销合同。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未签订合同的或合同不规范。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合同无供货方安全生产许可证复印件；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10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  <w:sz w:val="22"/>
                    </w:rPr>
                    <w:t>化工材料库内存有与合同不对应的产品</w:t>
                  </w:r>
                  <w:r>
                    <w:rPr>
                      <w:rFonts w:hint="eastAsia" w:eastAsia="仿宋"/>
                      <w:bCs/>
                    </w:rPr>
                    <w:t>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化工原材料及药物管理缺陷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化工原材料无合格证明材料。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产品无入库抽检记录。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购进过期、不合格化工原材料。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使用不符合质量标准要求的化工原材料，无产品合格证，使用过期、不合格的原材料进行生产。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购进包装和包装标识不合格化工原材料。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jc w:val="center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 xml:space="preserve">A11 </w:t>
                  </w:r>
                  <w:r>
                    <w:rPr>
                      <w:rFonts w:hint="eastAsia" w:eastAsia="黑体"/>
                      <w:bCs/>
                    </w:rPr>
                    <w:t>重大危险源管理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重大危险源辨识与评估缺陷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未进行重大危险源辨识评估，或辨识评估不正确等。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登记建档备案缺陷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未按规定进行登记、建档、备案等。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重大危险源监控预警缺陷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未按规定对重大危险源进行监控，或监控预警系统不能正常工作。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A12</w:t>
                  </w:r>
                  <w:r>
                    <w:rPr>
                      <w:rFonts w:hint="eastAsia" w:eastAsia="黑体"/>
                      <w:bCs/>
                    </w:rPr>
                    <w:t>隐患排查治理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事故隐患排查不足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未按规定开展事故隐患排查工作。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事故隐患治理不足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未按规定开展事故隐患治理工作，或事故隐患治理不彻底等。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事故隐患上报不足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未按规定对事故隐患进行上报。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4.</w:t>
                  </w:r>
                  <w:r>
                    <w:rPr>
                      <w:rFonts w:hint="eastAsia" w:eastAsia="仿宋"/>
                      <w:bCs/>
                    </w:rPr>
                    <w:t>其他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包括未对事故隐患进行统计分析等。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A13</w:t>
                  </w:r>
                  <w:r>
                    <w:rPr>
                      <w:rFonts w:hint="eastAsia" w:eastAsia="黑体"/>
                      <w:bCs/>
                    </w:rPr>
                    <w:t>应急管理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应急组织机构和队伍缺陷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未按规定设置或指定应急管理办事机构，配备应急管理人员，未按规定建立专兼职应急救援队伍。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应急预案制定及管理缺陷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未按规定制定各类应急预案，未对预案进行有效管理（论证、评审、修订、备案和持续改进等）。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3.</w:t>
                  </w:r>
                  <w:r>
                    <w:rPr>
                      <w:rFonts w:hint="eastAsia" w:eastAsia="仿宋"/>
                      <w:bCs/>
                    </w:rPr>
                    <w:t>应急演练实施及评估总结缺陷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未按规定进行应急演练，或未对应急演练进行评估和总结等。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855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4.</w:t>
                  </w:r>
                  <w:r>
                    <w:rPr>
                      <w:rFonts w:hint="eastAsia" w:eastAsia="仿宋"/>
                      <w:bCs/>
                    </w:rPr>
                    <w:t>应急设施、装备、物资设置配备、维修保养和管理缺陷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未建立应急设施，未配备应急装备、物资，未按规定进行经常性的检查、维护、保养和管理等。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A14</w:t>
                  </w:r>
                  <w:r>
                    <w:rPr>
                      <w:rFonts w:hint="eastAsia" w:eastAsia="黑体"/>
                      <w:bCs/>
                    </w:rPr>
                    <w:t>事故报告、调查和处理</w:t>
                  </w: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事故报告缺陷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未按规定及时报告，并保护事故现场及有关证据等。</w:t>
                  </w:r>
                </w:p>
              </w:tc>
              <w:tc>
                <w:tcPr>
                  <w:tcW w:w="24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10" w:hRule="atLeast"/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事故调查和处理缺陷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未对事故进行调查、处理、分析等。</w:t>
                  </w:r>
                </w:p>
              </w:tc>
              <w:tc>
                <w:tcPr>
                  <w:tcW w:w="24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黑体"/>
                      <w:bCs/>
                    </w:rPr>
                    <w:t>A15</w:t>
                  </w:r>
                  <w:r>
                    <w:rPr>
                      <w:rFonts w:hint="eastAsia" w:eastAsia="黑体"/>
                      <w:bCs/>
                    </w:rPr>
                    <w:t>其他基础管理</w:t>
                  </w:r>
                </w:p>
              </w:tc>
              <w:tc>
                <w:tcPr>
                  <w:tcW w:w="231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1.</w:t>
                  </w:r>
                  <w:r>
                    <w:rPr>
                      <w:rFonts w:hint="eastAsia" w:eastAsia="仿宋"/>
                      <w:bCs/>
                    </w:rPr>
                    <w:t>人员、车辆出入应严格登记。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未建立本单位员工、外来人员、车辆出入库区登记簿；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发现登记记录与现场实际不相符。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jc w:val="center"/>
              </w:trPr>
              <w:tc>
                <w:tcPr>
                  <w:tcW w:w="1188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  <w:tc>
                <w:tcPr>
                  <w:tcW w:w="23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eastAsia="仿宋"/>
                      <w:bCs/>
                    </w:rPr>
                    <w:t>2.</w:t>
                  </w:r>
                  <w:r>
                    <w:rPr>
                      <w:rFonts w:hint="eastAsia" w:eastAsia="仿宋"/>
                      <w:bCs/>
                    </w:rPr>
                    <w:t>严格库区值班和巡查。</w:t>
                  </w:r>
                </w:p>
              </w:tc>
              <w:tc>
                <w:tcPr>
                  <w:tcW w:w="432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textAlignment w:val="center"/>
                    <w:rPr>
                      <w:rFonts w:eastAsia="仿宋"/>
                      <w:bCs/>
                    </w:rPr>
                  </w:pPr>
                  <w:r>
                    <w:rPr>
                      <w:rFonts w:hint="eastAsia" w:eastAsia="仿宋"/>
                      <w:bCs/>
                    </w:rPr>
                    <w:t>未按规定设立值班室或值班人员，无值班守卫人员和仓库保管员巡查记录。</w:t>
                  </w:r>
                </w:p>
              </w:tc>
              <w:tc>
                <w:tcPr>
                  <w:tcW w:w="24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290" w:lineRule="exact"/>
                    <w:ind w:firstLine="105" w:firstLineChars="50"/>
                    <w:rPr>
                      <w:rFonts w:eastAsia="仿宋"/>
                      <w:bCs/>
                    </w:rPr>
                  </w:pPr>
                </w:p>
              </w:tc>
            </w:tr>
          </w:tbl>
          <w:p>
            <w:pPr>
              <w:spacing w:line="290" w:lineRule="exact"/>
              <w:rPr>
                <w:bCs/>
              </w:rPr>
            </w:pPr>
          </w:p>
          <w:p>
            <w:pPr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TNiOTk3M2UyMTlhNjM3N2EyNWU2MTFiNGYzZDcifQ=="/>
  </w:docVars>
  <w:rsids>
    <w:rsidRoot w:val="72A2245F"/>
    <w:rsid w:val="72A2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9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uiPriority w:val="99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2023-04-20T06:06:00Z</dcterms:created>
  <dc:creator>林林</dc:creator>
  <cp:lastModifiedBy>林林</cp:lastModifiedBy>
  <dcterms:modified xsi:type="dcterms:W3CDTF">2023-04-20T06:07:06Z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67EAFC59194144B784DC7F05B2529DBF_11</vt:lpwstr>
  </property>
</Properties>
</file>