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6A802">
      <w:pPr>
        <w:spacing w:before="43" w:line="218" w:lineRule="auto"/>
        <w:jc w:val="center"/>
        <w:outlineLvl w:val="0"/>
        <w:rPr>
          <w:rFonts w:ascii="宋体" w:hAnsi="宋体" w:eastAsia="宋体" w:cs="宋体"/>
          <w:sz w:val="22"/>
          <w:szCs w:val="22"/>
        </w:rPr>
      </w:pPr>
      <w:r>
        <w:rPr>
          <w:rFonts w:hint="eastAsia" w:ascii="宋体" w:hAnsi="宋体" w:eastAsia="宋体" w:cs="宋体"/>
          <w:b/>
          <w:bCs/>
          <w:spacing w:val="-1"/>
          <w:sz w:val="22"/>
          <w:szCs w:val="22"/>
          <w:lang w:val="en-US" w:eastAsia="zh-CN"/>
        </w:rPr>
        <w:t>雍景四季广场</w:t>
      </w:r>
      <w:r>
        <w:rPr>
          <w:rFonts w:ascii="宋体" w:hAnsi="宋体" w:eastAsia="宋体" w:cs="宋体"/>
          <w:b/>
          <w:bCs/>
          <w:spacing w:val="-1"/>
          <w:sz w:val="22"/>
          <w:szCs w:val="22"/>
        </w:rPr>
        <w:t>安全生产主体责任清单(21条)</w:t>
      </w:r>
    </w:p>
    <w:tbl>
      <w:tblPr>
        <w:tblStyle w:val="4"/>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69"/>
        <w:gridCol w:w="5813"/>
        <w:gridCol w:w="1743"/>
      </w:tblGrid>
      <w:tr w14:paraId="3C78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04" w:type="dxa"/>
            <w:vAlign w:val="top"/>
          </w:tcPr>
          <w:p w14:paraId="686E3FF3">
            <w:pPr>
              <w:pStyle w:val="5"/>
              <w:spacing w:before="130" w:line="221" w:lineRule="auto"/>
              <w:ind w:left="37"/>
              <w:rPr>
                <w:sz w:val="16"/>
                <w:szCs w:val="16"/>
              </w:rPr>
            </w:pPr>
            <w:r>
              <w:rPr>
                <w:b/>
                <w:bCs/>
                <w:spacing w:val="-4"/>
                <w:sz w:val="16"/>
                <w:szCs w:val="16"/>
              </w:rPr>
              <w:t>序号</w:t>
            </w:r>
          </w:p>
        </w:tc>
        <w:tc>
          <w:tcPr>
            <w:tcW w:w="1069" w:type="dxa"/>
            <w:vAlign w:val="top"/>
          </w:tcPr>
          <w:p w14:paraId="065D316B">
            <w:pPr>
              <w:pStyle w:val="5"/>
              <w:spacing w:before="139" w:line="219" w:lineRule="auto"/>
              <w:ind w:left="203"/>
              <w:rPr>
                <w:sz w:val="16"/>
                <w:szCs w:val="16"/>
              </w:rPr>
            </w:pPr>
            <w:r>
              <w:rPr>
                <w:b/>
                <w:bCs/>
                <w:spacing w:val="-4"/>
                <w:sz w:val="16"/>
                <w:szCs w:val="16"/>
              </w:rPr>
              <w:t>责任事项</w:t>
            </w:r>
          </w:p>
        </w:tc>
        <w:tc>
          <w:tcPr>
            <w:tcW w:w="5813" w:type="dxa"/>
            <w:vAlign w:val="top"/>
          </w:tcPr>
          <w:p w14:paraId="25D3EFAE">
            <w:pPr>
              <w:pStyle w:val="5"/>
              <w:spacing w:before="139" w:line="219" w:lineRule="auto"/>
              <w:ind w:left="2554"/>
              <w:rPr>
                <w:sz w:val="16"/>
                <w:szCs w:val="16"/>
              </w:rPr>
            </w:pPr>
            <w:r>
              <w:rPr>
                <w:b/>
                <w:bCs/>
                <w:spacing w:val="-4"/>
                <w:sz w:val="16"/>
                <w:szCs w:val="16"/>
              </w:rPr>
              <w:t>责任清单</w:t>
            </w:r>
          </w:p>
        </w:tc>
        <w:tc>
          <w:tcPr>
            <w:tcW w:w="1743" w:type="dxa"/>
            <w:vAlign w:val="top"/>
          </w:tcPr>
          <w:p w14:paraId="6BD3233A">
            <w:pPr>
              <w:pStyle w:val="5"/>
              <w:spacing w:before="128" w:line="219" w:lineRule="auto"/>
              <w:ind w:left="521"/>
              <w:rPr>
                <w:sz w:val="16"/>
                <w:szCs w:val="16"/>
              </w:rPr>
            </w:pPr>
            <w:r>
              <w:rPr>
                <w:b/>
                <w:bCs/>
                <w:spacing w:val="-3"/>
                <w:sz w:val="16"/>
                <w:szCs w:val="16"/>
              </w:rPr>
              <w:t>相关依据</w:t>
            </w:r>
          </w:p>
        </w:tc>
      </w:tr>
      <w:tr w14:paraId="72A9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404" w:type="dxa"/>
            <w:vMerge w:val="restart"/>
            <w:tcBorders>
              <w:bottom w:val="nil"/>
            </w:tcBorders>
            <w:vAlign w:val="center"/>
          </w:tcPr>
          <w:p w14:paraId="6585A532">
            <w:pPr>
              <w:jc w:val="center"/>
              <w:rPr>
                <w:rFonts w:hint="eastAsia" w:ascii="Arial" w:eastAsia="宋体"/>
                <w:sz w:val="21"/>
                <w:lang w:val="en-US" w:eastAsia="zh-CN"/>
              </w:rPr>
            </w:pPr>
            <w:r>
              <w:rPr>
                <w:rFonts w:hint="eastAsia" w:eastAsia="宋体"/>
                <w:sz w:val="21"/>
                <w:lang w:val="en-US" w:eastAsia="zh-CN"/>
              </w:rPr>
              <w:t>一</w:t>
            </w:r>
          </w:p>
        </w:tc>
        <w:tc>
          <w:tcPr>
            <w:tcW w:w="1069" w:type="dxa"/>
            <w:vMerge w:val="restart"/>
            <w:tcBorders>
              <w:bottom w:val="nil"/>
            </w:tcBorders>
            <w:vAlign w:val="top"/>
          </w:tcPr>
          <w:p w14:paraId="3AE4CAE4">
            <w:pPr>
              <w:spacing w:line="451" w:lineRule="auto"/>
              <w:rPr>
                <w:rFonts w:ascii="Arial"/>
                <w:sz w:val="21"/>
              </w:rPr>
            </w:pPr>
          </w:p>
          <w:p w14:paraId="129F4ED7">
            <w:pPr>
              <w:pStyle w:val="5"/>
              <w:spacing w:before="52" w:line="226" w:lineRule="auto"/>
              <w:ind w:left="360" w:right="65" w:hanging="320"/>
              <w:rPr>
                <w:sz w:val="16"/>
                <w:szCs w:val="16"/>
              </w:rPr>
            </w:pPr>
            <w:r>
              <w:rPr>
                <w:spacing w:val="-2"/>
                <w:sz w:val="16"/>
                <w:szCs w:val="16"/>
              </w:rPr>
              <w:t>依法开展生产</w:t>
            </w:r>
            <w:r>
              <w:rPr>
                <w:spacing w:val="3"/>
                <w:sz w:val="16"/>
                <w:szCs w:val="16"/>
              </w:rPr>
              <w:t xml:space="preserve"> </w:t>
            </w:r>
            <w:r>
              <w:rPr>
                <w:spacing w:val="-2"/>
                <w:sz w:val="16"/>
                <w:szCs w:val="16"/>
              </w:rPr>
              <w:t>经营</w:t>
            </w:r>
          </w:p>
          <w:p w14:paraId="511C6676">
            <w:pPr>
              <w:pStyle w:val="5"/>
              <w:spacing w:before="28" w:line="219" w:lineRule="auto"/>
              <w:ind w:left="320"/>
              <w:rPr>
                <w:sz w:val="16"/>
                <w:szCs w:val="16"/>
              </w:rPr>
            </w:pPr>
            <w:r>
              <w:rPr>
                <w:spacing w:val="8"/>
                <w:sz w:val="16"/>
                <w:szCs w:val="16"/>
              </w:rPr>
              <w:t>(2条)</w:t>
            </w:r>
          </w:p>
        </w:tc>
        <w:tc>
          <w:tcPr>
            <w:tcW w:w="5813" w:type="dxa"/>
            <w:vAlign w:val="top"/>
          </w:tcPr>
          <w:p w14:paraId="2429744C">
            <w:pPr>
              <w:pStyle w:val="5"/>
              <w:spacing w:before="137" w:line="227" w:lineRule="auto"/>
              <w:ind w:left="11"/>
              <w:jc w:val="both"/>
              <w:rPr>
                <w:sz w:val="16"/>
                <w:szCs w:val="16"/>
              </w:rPr>
            </w:pPr>
            <w:r>
              <w:rPr>
                <w:spacing w:val="-7"/>
                <w:sz w:val="16"/>
                <w:szCs w:val="16"/>
              </w:rPr>
              <w:t>1.企业应当具备《安全生产法》和《</w:t>
            </w:r>
            <w:r>
              <w:rPr>
                <w:rFonts w:hint="eastAsia"/>
                <w:spacing w:val="-7"/>
                <w:sz w:val="16"/>
                <w:szCs w:val="16"/>
                <w:lang w:eastAsia="zh-CN"/>
              </w:rPr>
              <w:t>四川</w:t>
            </w:r>
            <w:r>
              <w:rPr>
                <w:spacing w:val="-7"/>
                <w:sz w:val="16"/>
                <w:szCs w:val="16"/>
              </w:rPr>
              <w:t>省安全</w:t>
            </w:r>
            <w:r>
              <w:rPr>
                <w:spacing w:val="-8"/>
                <w:sz w:val="16"/>
                <w:szCs w:val="16"/>
              </w:rPr>
              <w:t>生产条例》等有关法律、行政法规和国</w:t>
            </w:r>
            <w:r>
              <w:rPr>
                <w:sz w:val="16"/>
                <w:szCs w:val="16"/>
              </w:rPr>
              <w:t xml:space="preserve"> </w:t>
            </w:r>
            <w:r>
              <w:rPr>
                <w:spacing w:val="-8"/>
                <w:sz w:val="16"/>
                <w:szCs w:val="16"/>
              </w:rPr>
              <w:t>家标准或者行业标准规定的安全生产条件；不具备安全生产条件的，不得从事生产经营</w:t>
            </w:r>
            <w:r>
              <w:rPr>
                <w:spacing w:val="8"/>
                <w:sz w:val="16"/>
                <w:szCs w:val="16"/>
              </w:rPr>
              <w:t xml:space="preserve"> </w:t>
            </w:r>
            <w:r>
              <w:rPr>
                <w:spacing w:val="-1"/>
                <w:sz w:val="16"/>
                <w:szCs w:val="16"/>
              </w:rPr>
              <w:t>活动。</w:t>
            </w:r>
          </w:p>
        </w:tc>
        <w:tc>
          <w:tcPr>
            <w:tcW w:w="1743" w:type="dxa"/>
            <w:vMerge w:val="restart"/>
            <w:tcBorders>
              <w:bottom w:val="nil"/>
            </w:tcBorders>
            <w:vAlign w:val="top"/>
          </w:tcPr>
          <w:p w14:paraId="5E6F4974">
            <w:pPr>
              <w:spacing w:line="275" w:lineRule="auto"/>
              <w:rPr>
                <w:rFonts w:ascii="Arial"/>
                <w:sz w:val="21"/>
              </w:rPr>
            </w:pPr>
          </w:p>
          <w:p w14:paraId="44262514">
            <w:pPr>
              <w:spacing w:line="275" w:lineRule="auto"/>
              <w:rPr>
                <w:rFonts w:ascii="Arial"/>
                <w:sz w:val="21"/>
              </w:rPr>
            </w:pPr>
          </w:p>
          <w:p w14:paraId="016D3DEE">
            <w:pPr>
              <w:pStyle w:val="5"/>
              <w:spacing w:before="52" w:line="241" w:lineRule="auto"/>
              <w:ind w:left="27" w:hanging="28"/>
              <w:rPr>
                <w:sz w:val="16"/>
                <w:szCs w:val="16"/>
              </w:rPr>
            </w:pPr>
            <w:r>
              <w:rPr>
                <w:spacing w:val="-3"/>
                <w:sz w:val="16"/>
                <w:szCs w:val="16"/>
              </w:rPr>
              <w:t>《安全生产法》</w:t>
            </w:r>
          </w:p>
        </w:tc>
      </w:tr>
      <w:tr w14:paraId="3905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404" w:type="dxa"/>
            <w:vMerge w:val="continue"/>
            <w:tcBorders>
              <w:top w:val="nil"/>
            </w:tcBorders>
            <w:vAlign w:val="top"/>
          </w:tcPr>
          <w:p w14:paraId="3BB237AA">
            <w:pPr>
              <w:rPr>
                <w:rFonts w:ascii="Arial"/>
                <w:sz w:val="21"/>
              </w:rPr>
            </w:pPr>
          </w:p>
        </w:tc>
        <w:tc>
          <w:tcPr>
            <w:tcW w:w="1069" w:type="dxa"/>
            <w:vMerge w:val="continue"/>
            <w:tcBorders>
              <w:top w:val="nil"/>
            </w:tcBorders>
            <w:vAlign w:val="top"/>
          </w:tcPr>
          <w:p w14:paraId="0B8D997A">
            <w:pPr>
              <w:rPr>
                <w:rFonts w:ascii="Arial"/>
                <w:sz w:val="21"/>
              </w:rPr>
            </w:pPr>
          </w:p>
        </w:tc>
        <w:tc>
          <w:tcPr>
            <w:tcW w:w="5813" w:type="dxa"/>
            <w:vAlign w:val="top"/>
          </w:tcPr>
          <w:p w14:paraId="44668630">
            <w:pPr>
              <w:pStyle w:val="5"/>
              <w:spacing w:before="207" w:line="233" w:lineRule="auto"/>
              <w:ind w:left="11"/>
              <w:rPr>
                <w:sz w:val="16"/>
                <w:szCs w:val="16"/>
              </w:rPr>
            </w:pPr>
            <w:r>
              <w:rPr>
                <w:spacing w:val="-7"/>
                <w:sz w:val="16"/>
                <w:szCs w:val="16"/>
              </w:rPr>
              <w:t>2.禁止使用国家和省明令淘汰的危及生产安全的</w:t>
            </w:r>
            <w:r>
              <w:rPr>
                <w:spacing w:val="-8"/>
                <w:sz w:val="16"/>
                <w:szCs w:val="16"/>
              </w:rPr>
              <w:t>设备及工艺，及时淘汰更新陈旧落后的</w:t>
            </w:r>
            <w:r>
              <w:rPr>
                <w:sz w:val="16"/>
                <w:szCs w:val="16"/>
              </w:rPr>
              <w:t xml:space="preserve"> </w:t>
            </w:r>
            <w:r>
              <w:rPr>
                <w:spacing w:val="-1"/>
                <w:sz w:val="16"/>
                <w:szCs w:val="16"/>
              </w:rPr>
              <w:t>设备及工艺。</w:t>
            </w:r>
          </w:p>
        </w:tc>
        <w:tc>
          <w:tcPr>
            <w:tcW w:w="1743" w:type="dxa"/>
            <w:vMerge w:val="continue"/>
            <w:tcBorders>
              <w:top w:val="nil"/>
            </w:tcBorders>
            <w:vAlign w:val="top"/>
          </w:tcPr>
          <w:p w14:paraId="1D54393B">
            <w:pPr>
              <w:rPr>
                <w:rFonts w:ascii="Arial"/>
                <w:sz w:val="21"/>
              </w:rPr>
            </w:pPr>
          </w:p>
        </w:tc>
      </w:tr>
      <w:tr w14:paraId="1153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04" w:type="dxa"/>
            <w:vMerge w:val="restart"/>
            <w:tcBorders>
              <w:bottom w:val="nil"/>
            </w:tcBorders>
            <w:vAlign w:val="top"/>
          </w:tcPr>
          <w:p w14:paraId="30A22A68">
            <w:pPr>
              <w:spacing w:line="270" w:lineRule="auto"/>
              <w:rPr>
                <w:rFonts w:ascii="Arial"/>
                <w:sz w:val="21"/>
              </w:rPr>
            </w:pPr>
          </w:p>
          <w:p w14:paraId="25C0ADF8">
            <w:pPr>
              <w:spacing w:line="270" w:lineRule="auto"/>
              <w:rPr>
                <w:rFonts w:ascii="Arial"/>
                <w:sz w:val="21"/>
              </w:rPr>
            </w:pPr>
          </w:p>
          <w:p w14:paraId="36C98D3E">
            <w:pPr>
              <w:pStyle w:val="5"/>
              <w:spacing w:before="52" w:line="178" w:lineRule="auto"/>
              <w:ind w:left="114"/>
              <w:rPr>
                <w:sz w:val="16"/>
                <w:szCs w:val="16"/>
              </w:rPr>
            </w:pPr>
            <w:r>
              <w:rPr>
                <w:sz w:val="16"/>
                <w:szCs w:val="16"/>
              </w:rPr>
              <w:t>二</w:t>
            </w:r>
          </w:p>
        </w:tc>
        <w:tc>
          <w:tcPr>
            <w:tcW w:w="1069" w:type="dxa"/>
            <w:vMerge w:val="restart"/>
            <w:tcBorders>
              <w:bottom w:val="nil"/>
            </w:tcBorders>
            <w:vAlign w:val="top"/>
          </w:tcPr>
          <w:p w14:paraId="702A2B4B">
            <w:pPr>
              <w:spacing w:line="305" w:lineRule="auto"/>
              <w:rPr>
                <w:rFonts w:ascii="Arial"/>
                <w:sz w:val="21"/>
              </w:rPr>
            </w:pPr>
          </w:p>
          <w:p w14:paraId="3A15C014">
            <w:pPr>
              <w:pStyle w:val="5"/>
              <w:spacing w:before="52" w:line="219" w:lineRule="auto"/>
              <w:ind w:left="40"/>
              <w:rPr>
                <w:sz w:val="16"/>
                <w:szCs w:val="16"/>
              </w:rPr>
            </w:pPr>
            <w:r>
              <w:rPr>
                <w:spacing w:val="1"/>
                <w:sz w:val="16"/>
                <w:szCs w:val="16"/>
              </w:rPr>
              <w:t>安全管理机构</w:t>
            </w:r>
          </w:p>
          <w:p w14:paraId="6CDE6A1D">
            <w:pPr>
              <w:pStyle w:val="5"/>
              <w:spacing w:before="22" w:line="221" w:lineRule="auto"/>
              <w:ind w:left="120"/>
              <w:rPr>
                <w:sz w:val="16"/>
                <w:szCs w:val="16"/>
              </w:rPr>
            </w:pPr>
            <w:r>
              <w:rPr>
                <w:spacing w:val="-2"/>
                <w:sz w:val="16"/>
                <w:szCs w:val="16"/>
              </w:rPr>
              <w:t>和人员配备</w:t>
            </w:r>
          </w:p>
          <w:p w14:paraId="7A8D5472">
            <w:pPr>
              <w:pStyle w:val="5"/>
              <w:spacing w:before="7" w:line="219" w:lineRule="auto"/>
              <w:ind w:left="320"/>
              <w:rPr>
                <w:sz w:val="16"/>
                <w:szCs w:val="16"/>
              </w:rPr>
            </w:pPr>
            <w:r>
              <w:rPr>
                <w:spacing w:val="8"/>
                <w:sz w:val="16"/>
                <w:szCs w:val="16"/>
              </w:rPr>
              <w:t>(2条)</w:t>
            </w:r>
          </w:p>
        </w:tc>
        <w:tc>
          <w:tcPr>
            <w:tcW w:w="5813" w:type="dxa"/>
            <w:vAlign w:val="top"/>
          </w:tcPr>
          <w:p w14:paraId="34B5D029">
            <w:pPr>
              <w:pStyle w:val="5"/>
              <w:spacing w:before="140" w:line="241" w:lineRule="auto"/>
              <w:ind w:left="11"/>
              <w:rPr>
                <w:sz w:val="16"/>
                <w:szCs w:val="16"/>
              </w:rPr>
            </w:pPr>
            <w:r>
              <w:rPr>
                <w:spacing w:val="-7"/>
                <w:sz w:val="16"/>
                <w:szCs w:val="16"/>
              </w:rPr>
              <w:t>1.企业安全生产管理人员必须具备与本单位所从</w:t>
            </w:r>
            <w:r>
              <w:rPr>
                <w:spacing w:val="-8"/>
                <w:sz w:val="16"/>
                <w:szCs w:val="16"/>
              </w:rPr>
              <w:t>事的生产经营活动相应的安全生产知识</w:t>
            </w:r>
            <w:r>
              <w:rPr>
                <w:sz w:val="16"/>
                <w:szCs w:val="16"/>
              </w:rPr>
              <w:t xml:space="preserve"> </w:t>
            </w:r>
            <w:r>
              <w:rPr>
                <w:spacing w:val="-1"/>
                <w:sz w:val="16"/>
                <w:szCs w:val="16"/>
              </w:rPr>
              <w:t>和管理能力。</w:t>
            </w:r>
          </w:p>
        </w:tc>
        <w:tc>
          <w:tcPr>
            <w:tcW w:w="1743" w:type="dxa"/>
            <w:vMerge w:val="restart"/>
            <w:tcBorders>
              <w:bottom w:val="nil"/>
            </w:tcBorders>
            <w:vAlign w:val="top"/>
          </w:tcPr>
          <w:p w14:paraId="5063A3C9">
            <w:pPr>
              <w:pStyle w:val="5"/>
              <w:spacing w:before="249" w:line="241" w:lineRule="auto"/>
              <w:ind w:left="37" w:right="4" w:hanging="19"/>
              <w:rPr>
                <w:sz w:val="16"/>
                <w:szCs w:val="16"/>
              </w:rPr>
            </w:pPr>
            <w:r>
              <w:rPr>
                <w:spacing w:val="-5"/>
                <w:sz w:val="16"/>
                <w:szCs w:val="16"/>
              </w:rPr>
              <w:t>1.《安全生产法》</w:t>
            </w:r>
          </w:p>
          <w:p w14:paraId="0BAD0B0D">
            <w:pPr>
              <w:pStyle w:val="5"/>
              <w:spacing w:before="3" w:line="225" w:lineRule="auto"/>
              <w:ind w:left="18"/>
              <w:rPr>
                <w:sz w:val="16"/>
                <w:szCs w:val="16"/>
              </w:rPr>
            </w:pPr>
            <w:r>
              <w:rPr>
                <w:spacing w:val="-16"/>
                <w:sz w:val="16"/>
                <w:szCs w:val="16"/>
              </w:rPr>
              <w:t>2.《</w:t>
            </w:r>
            <w:r>
              <w:rPr>
                <w:rFonts w:hint="eastAsia"/>
                <w:spacing w:val="-16"/>
                <w:sz w:val="16"/>
                <w:szCs w:val="16"/>
                <w:lang w:eastAsia="zh-CN"/>
              </w:rPr>
              <w:t>四川</w:t>
            </w:r>
            <w:r>
              <w:rPr>
                <w:spacing w:val="-16"/>
                <w:sz w:val="16"/>
                <w:szCs w:val="16"/>
              </w:rPr>
              <w:t>省安全生产条例》</w:t>
            </w:r>
            <w:r>
              <w:rPr>
                <w:spacing w:val="1"/>
                <w:sz w:val="16"/>
                <w:szCs w:val="16"/>
              </w:rPr>
              <w:t xml:space="preserve"> </w:t>
            </w:r>
          </w:p>
        </w:tc>
      </w:tr>
      <w:tr w14:paraId="27B7D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04" w:type="dxa"/>
            <w:vMerge w:val="continue"/>
            <w:tcBorders>
              <w:top w:val="nil"/>
            </w:tcBorders>
            <w:vAlign w:val="top"/>
          </w:tcPr>
          <w:p w14:paraId="6A991302">
            <w:pPr>
              <w:rPr>
                <w:rFonts w:ascii="Arial"/>
                <w:sz w:val="21"/>
              </w:rPr>
            </w:pPr>
          </w:p>
        </w:tc>
        <w:tc>
          <w:tcPr>
            <w:tcW w:w="1069" w:type="dxa"/>
            <w:vMerge w:val="continue"/>
            <w:tcBorders>
              <w:top w:val="nil"/>
            </w:tcBorders>
            <w:vAlign w:val="top"/>
          </w:tcPr>
          <w:p w14:paraId="08A47CE9">
            <w:pPr>
              <w:rPr>
                <w:rFonts w:ascii="Arial"/>
                <w:sz w:val="21"/>
              </w:rPr>
            </w:pPr>
          </w:p>
        </w:tc>
        <w:tc>
          <w:tcPr>
            <w:tcW w:w="5813" w:type="dxa"/>
            <w:vAlign w:val="top"/>
          </w:tcPr>
          <w:p w14:paraId="2EEB6C8F">
            <w:pPr>
              <w:pStyle w:val="5"/>
              <w:spacing w:before="141" w:line="225" w:lineRule="auto"/>
              <w:ind w:left="11"/>
              <w:rPr>
                <w:sz w:val="16"/>
                <w:szCs w:val="16"/>
              </w:rPr>
            </w:pPr>
            <w:r>
              <w:rPr>
                <w:spacing w:val="-8"/>
                <w:sz w:val="16"/>
                <w:szCs w:val="16"/>
              </w:rPr>
              <w:t>2.</w:t>
            </w:r>
            <w:r>
              <w:rPr>
                <w:spacing w:val="-7"/>
                <w:sz w:val="16"/>
                <w:szCs w:val="16"/>
              </w:rPr>
              <w:t>企业从业人员超过一百人的，应当设置安全生</w:t>
            </w:r>
            <w:r>
              <w:rPr>
                <w:spacing w:val="-8"/>
                <w:sz w:val="16"/>
                <w:szCs w:val="16"/>
              </w:rPr>
              <w:t>产管理机构或者配备专职安全生产管</w:t>
            </w:r>
            <w:r>
              <w:rPr>
                <w:spacing w:val="-6"/>
                <w:sz w:val="16"/>
                <w:szCs w:val="16"/>
              </w:rPr>
              <w:t>理</w:t>
            </w:r>
            <w:r>
              <w:rPr>
                <w:sz w:val="16"/>
                <w:szCs w:val="16"/>
              </w:rPr>
              <w:t xml:space="preserve"> 人员；从业人员一百人以下的，应当配备专职或者兼职的安全生</w:t>
            </w:r>
            <w:r>
              <w:rPr>
                <w:spacing w:val="-1"/>
                <w:sz w:val="16"/>
                <w:szCs w:val="16"/>
              </w:rPr>
              <w:t>产管理人员。</w:t>
            </w:r>
          </w:p>
        </w:tc>
        <w:tc>
          <w:tcPr>
            <w:tcW w:w="1743" w:type="dxa"/>
            <w:vMerge w:val="continue"/>
            <w:tcBorders>
              <w:top w:val="nil"/>
            </w:tcBorders>
            <w:vAlign w:val="top"/>
          </w:tcPr>
          <w:p w14:paraId="05F88323">
            <w:pPr>
              <w:rPr>
                <w:rFonts w:ascii="Arial"/>
                <w:sz w:val="21"/>
              </w:rPr>
            </w:pPr>
          </w:p>
        </w:tc>
      </w:tr>
      <w:tr w14:paraId="42F9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404" w:type="dxa"/>
            <w:vAlign w:val="top"/>
          </w:tcPr>
          <w:p w14:paraId="3EE0385D">
            <w:pPr>
              <w:spacing w:line="350" w:lineRule="auto"/>
              <w:rPr>
                <w:rFonts w:ascii="Arial"/>
                <w:sz w:val="21"/>
              </w:rPr>
            </w:pPr>
          </w:p>
          <w:p w14:paraId="500E19BB">
            <w:pPr>
              <w:spacing w:line="351" w:lineRule="auto"/>
              <w:rPr>
                <w:rFonts w:ascii="Arial"/>
                <w:sz w:val="21"/>
              </w:rPr>
            </w:pPr>
          </w:p>
          <w:p w14:paraId="52751CC3">
            <w:pPr>
              <w:pStyle w:val="5"/>
              <w:spacing w:before="52" w:line="237" w:lineRule="auto"/>
              <w:ind w:left="114"/>
              <w:rPr>
                <w:sz w:val="16"/>
                <w:szCs w:val="16"/>
              </w:rPr>
            </w:pPr>
            <w:r>
              <w:rPr>
                <w:sz w:val="16"/>
                <w:szCs w:val="16"/>
              </w:rPr>
              <w:t>三</w:t>
            </w:r>
          </w:p>
        </w:tc>
        <w:tc>
          <w:tcPr>
            <w:tcW w:w="1069" w:type="dxa"/>
            <w:vAlign w:val="top"/>
          </w:tcPr>
          <w:p w14:paraId="33A781D7">
            <w:pPr>
              <w:spacing w:line="248" w:lineRule="auto"/>
              <w:rPr>
                <w:rFonts w:ascii="Arial"/>
                <w:sz w:val="21"/>
              </w:rPr>
            </w:pPr>
          </w:p>
          <w:p w14:paraId="59F9D47E">
            <w:pPr>
              <w:spacing w:line="248" w:lineRule="auto"/>
              <w:rPr>
                <w:rFonts w:ascii="Arial"/>
                <w:sz w:val="21"/>
              </w:rPr>
            </w:pPr>
          </w:p>
          <w:p w14:paraId="02FC484F">
            <w:pPr>
              <w:pStyle w:val="5"/>
              <w:spacing w:before="52" w:line="232" w:lineRule="auto"/>
              <w:ind w:left="360" w:right="67" w:hanging="320"/>
              <w:rPr>
                <w:sz w:val="16"/>
                <w:szCs w:val="16"/>
              </w:rPr>
            </w:pPr>
            <w:r>
              <w:rPr>
                <w:spacing w:val="-2"/>
                <w:sz w:val="16"/>
                <w:szCs w:val="16"/>
              </w:rPr>
              <w:t>安全生产经费</w:t>
            </w:r>
            <w:r>
              <w:rPr>
                <w:spacing w:val="1"/>
                <w:sz w:val="16"/>
                <w:szCs w:val="16"/>
              </w:rPr>
              <w:t xml:space="preserve"> </w:t>
            </w:r>
            <w:r>
              <w:rPr>
                <w:spacing w:val="-3"/>
                <w:sz w:val="16"/>
                <w:szCs w:val="16"/>
              </w:rPr>
              <w:t>投入</w:t>
            </w:r>
          </w:p>
          <w:p w14:paraId="493C4904">
            <w:pPr>
              <w:pStyle w:val="5"/>
              <w:spacing w:before="18" w:line="219" w:lineRule="auto"/>
              <w:ind w:left="320"/>
              <w:rPr>
                <w:sz w:val="16"/>
                <w:szCs w:val="16"/>
              </w:rPr>
            </w:pPr>
            <w:r>
              <w:rPr>
                <w:spacing w:val="8"/>
                <w:sz w:val="16"/>
                <w:szCs w:val="16"/>
              </w:rPr>
              <w:t>(1条)</w:t>
            </w:r>
          </w:p>
        </w:tc>
        <w:tc>
          <w:tcPr>
            <w:tcW w:w="5813" w:type="dxa"/>
            <w:vAlign w:val="top"/>
          </w:tcPr>
          <w:p w14:paraId="3D9ED4AD">
            <w:pPr>
              <w:spacing w:line="342" w:lineRule="auto"/>
              <w:rPr>
                <w:rFonts w:ascii="Arial"/>
                <w:sz w:val="21"/>
              </w:rPr>
            </w:pPr>
          </w:p>
          <w:p w14:paraId="2EF1B67C">
            <w:pPr>
              <w:spacing w:line="343" w:lineRule="auto"/>
              <w:rPr>
                <w:rFonts w:ascii="Arial"/>
                <w:sz w:val="21"/>
              </w:rPr>
            </w:pPr>
          </w:p>
          <w:p w14:paraId="181E7764">
            <w:pPr>
              <w:pStyle w:val="5"/>
              <w:spacing w:before="52" w:line="219" w:lineRule="auto"/>
              <w:ind w:left="11"/>
              <w:rPr>
                <w:sz w:val="16"/>
                <w:szCs w:val="16"/>
              </w:rPr>
            </w:pPr>
            <w:r>
              <w:rPr>
                <w:sz w:val="16"/>
                <w:szCs w:val="16"/>
              </w:rPr>
              <w:t>1.企业必须依法参加工伤保险，鼓励投保安全生产责任保</w:t>
            </w:r>
            <w:r>
              <w:rPr>
                <w:spacing w:val="-1"/>
                <w:sz w:val="16"/>
                <w:szCs w:val="16"/>
              </w:rPr>
              <w:t>险。</w:t>
            </w:r>
          </w:p>
        </w:tc>
        <w:tc>
          <w:tcPr>
            <w:tcW w:w="1743" w:type="dxa"/>
            <w:vAlign w:val="top"/>
          </w:tcPr>
          <w:p w14:paraId="571B9025">
            <w:pPr>
              <w:pStyle w:val="5"/>
              <w:spacing w:line="219" w:lineRule="auto"/>
              <w:ind w:left="38"/>
              <w:rPr>
                <w:sz w:val="16"/>
                <w:szCs w:val="16"/>
              </w:rPr>
            </w:pPr>
            <w:r>
              <w:rPr>
                <w:spacing w:val="-4"/>
                <w:sz w:val="16"/>
                <w:szCs w:val="16"/>
              </w:rPr>
              <w:t>1.《安全生产法》</w:t>
            </w:r>
          </w:p>
          <w:p w14:paraId="64182CAA">
            <w:pPr>
              <w:pStyle w:val="5"/>
              <w:spacing w:before="18" w:line="225" w:lineRule="auto"/>
              <w:ind w:left="18"/>
              <w:rPr>
                <w:sz w:val="16"/>
                <w:szCs w:val="16"/>
              </w:rPr>
            </w:pPr>
            <w:r>
              <w:rPr>
                <w:spacing w:val="-16"/>
                <w:sz w:val="16"/>
                <w:szCs w:val="16"/>
              </w:rPr>
              <w:t>2.《</w:t>
            </w:r>
            <w:r>
              <w:rPr>
                <w:rFonts w:hint="eastAsia"/>
                <w:spacing w:val="-16"/>
                <w:sz w:val="16"/>
                <w:szCs w:val="16"/>
                <w:lang w:eastAsia="zh-CN"/>
              </w:rPr>
              <w:t>四川</w:t>
            </w:r>
            <w:r>
              <w:rPr>
                <w:spacing w:val="-16"/>
                <w:sz w:val="16"/>
                <w:szCs w:val="16"/>
              </w:rPr>
              <w:t>省安全生产条例》</w:t>
            </w:r>
            <w:r>
              <w:rPr>
                <w:spacing w:val="1"/>
                <w:sz w:val="16"/>
                <w:szCs w:val="16"/>
              </w:rPr>
              <w:t xml:space="preserve">    </w:t>
            </w:r>
            <w:r>
              <w:rPr>
                <w:spacing w:val="-11"/>
                <w:sz w:val="16"/>
                <w:szCs w:val="16"/>
              </w:rPr>
              <w:t>3.《企业安全生产费用提</w:t>
            </w:r>
            <w:r>
              <w:rPr>
                <w:spacing w:val="4"/>
                <w:sz w:val="16"/>
                <w:szCs w:val="16"/>
              </w:rPr>
              <w:t xml:space="preserve">  </w:t>
            </w:r>
            <w:r>
              <w:rPr>
                <w:spacing w:val="-8"/>
                <w:sz w:val="16"/>
                <w:szCs w:val="16"/>
              </w:rPr>
              <w:t>取和使用管理办法》</w:t>
            </w:r>
          </w:p>
        </w:tc>
      </w:tr>
    </w:tbl>
    <w:p w14:paraId="1C54AD1F">
      <w:pPr>
        <w:spacing w:before="6"/>
      </w:pPr>
    </w:p>
    <w:p w14:paraId="4EC90B48">
      <w:pPr>
        <w:spacing w:before="6"/>
      </w:pPr>
    </w:p>
    <w:p w14:paraId="3EEDD6EC">
      <w:pPr>
        <w:spacing w:before="6"/>
      </w:pPr>
    </w:p>
    <w:p w14:paraId="3788A636">
      <w:pPr>
        <w:spacing w:before="6"/>
      </w:pPr>
    </w:p>
    <w:p w14:paraId="3FF91243">
      <w:pPr>
        <w:spacing w:before="6"/>
      </w:pPr>
    </w:p>
    <w:p w14:paraId="056AEC59">
      <w:pPr>
        <w:spacing w:before="6"/>
      </w:pPr>
    </w:p>
    <w:p w14:paraId="2BF22922">
      <w:pPr>
        <w:spacing w:before="6"/>
      </w:pPr>
    </w:p>
    <w:p w14:paraId="33E24BFE">
      <w:pPr>
        <w:spacing w:before="6"/>
      </w:pPr>
    </w:p>
    <w:tbl>
      <w:tblPr>
        <w:tblStyle w:val="4"/>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69"/>
        <w:gridCol w:w="5813"/>
        <w:gridCol w:w="1733"/>
      </w:tblGrid>
      <w:tr w14:paraId="12220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04" w:type="dxa"/>
            <w:vAlign w:val="top"/>
          </w:tcPr>
          <w:p w14:paraId="798D1E50">
            <w:pPr>
              <w:pStyle w:val="5"/>
              <w:spacing w:before="131" w:line="216" w:lineRule="auto"/>
              <w:jc w:val="right"/>
              <w:rPr>
                <w:sz w:val="19"/>
                <w:szCs w:val="19"/>
              </w:rPr>
            </w:pPr>
            <w:r>
              <w:rPr>
                <w:b/>
                <w:bCs/>
                <w:spacing w:val="-6"/>
                <w:sz w:val="19"/>
                <w:szCs w:val="19"/>
              </w:rPr>
              <w:t>序号</w:t>
            </w:r>
          </w:p>
        </w:tc>
        <w:tc>
          <w:tcPr>
            <w:tcW w:w="1069" w:type="dxa"/>
            <w:vAlign w:val="top"/>
          </w:tcPr>
          <w:p w14:paraId="1E853024">
            <w:pPr>
              <w:pStyle w:val="5"/>
              <w:spacing w:before="129" w:line="218" w:lineRule="auto"/>
              <w:ind w:left="143"/>
              <w:rPr>
                <w:sz w:val="19"/>
                <w:szCs w:val="19"/>
              </w:rPr>
            </w:pPr>
            <w:r>
              <w:rPr>
                <w:b/>
                <w:bCs/>
                <w:spacing w:val="-1"/>
                <w:sz w:val="19"/>
                <w:szCs w:val="19"/>
              </w:rPr>
              <w:t>责任事项</w:t>
            </w:r>
          </w:p>
        </w:tc>
        <w:tc>
          <w:tcPr>
            <w:tcW w:w="5813" w:type="dxa"/>
            <w:vAlign w:val="top"/>
          </w:tcPr>
          <w:p w14:paraId="7BC403CA">
            <w:pPr>
              <w:pStyle w:val="5"/>
              <w:spacing w:before="129" w:line="218" w:lineRule="auto"/>
              <w:ind w:left="2554"/>
              <w:rPr>
                <w:sz w:val="19"/>
                <w:szCs w:val="19"/>
              </w:rPr>
            </w:pPr>
            <w:r>
              <w:rPr>
                <w:b/>
                <w:bCs/>
                <w:spacing w:val="-5"/>
                <w:sz w:val="19"/>
                <w:szCs w:val="19"/>
              </w:rPr>
              <w:t>责任清单</w:t>
            </w:r>
          </w:p>
        </w:tc>
        <w:tc>
          <w:tcPr>
            <w:tcW w:w="1733" w:type="dxa"/>
            <w:vAlign w:val="top"/>
          </w:tcPr>
          <w:p w14:paraId="38706ABB">
            <w:pPr>
              <w:pStyle w:val="5"/>
              <w:spacing w:before="129" w:line="218" w:lineRule="auto"/>
              <w:ind w:left="521"/>
              <w:rPr>
                <w:sz w:val="19"/>
                <w:szCs w:val="19"/>
              </w:rPr>
            </w:pPr>
            <w:r>
              <w:rPr>
                <w:b/>
                <w:bCs/>
                <w:spacing w:val="-4"/>
                <w:sz w:val="19"/>
                <w:szCs w:val="19"/>
              </w:rPr>
              <w:t>相关依据</w:t>
            </w:r>
          </w:p>
        </w:tc>
      </w:tr>
      <w:tr w14:paraId="32FCE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04" w:type="dxa"/>
            <w:vMerge w:val="restart"/>
            <w:tcBorders>
              <w:bottom w:val="nil"/>
            </w:tcBorders>
            <w:textDirection w:val="tbRlV"/>
            <w:vAlign w:val="top"/>
          </w:tcPr>
          <w:p w14:paraId="3D735862">
            <w:pPr>
              <w:pStyle w:val="5"/>
              <w:spacing w:before="144" w:line="175" w:lineRule="auto"/>
              <w:ind w:left="799"/>
            </w:pPr>
            <w:r>
              <w:t>四</w:t>
            </w:r>
          </w:p>
        </w:tc>
        <w:tc>
          <w:tcPr>
            <w:tcW w:w="1069" w:type="dxa"/>
            <w:vMerge w:val="restart"/>
            <w:tcBorders>
              <w:bottom w:val="nil"/>
            </w:tcBorders>
            <w:vAlign w:val="top"/>
          </w:tcPr>
          <w:p w14:paraId="3DBADECE">
            <w:pPr>
              <w:spacing w:line="241" w:lineRule="auto"/>
              <w:rPr>
                <w:rFonts w:ascii="Arial"/>
                <w:sz w:val="21"/>
              </w:rPr>
            </w:pPr>
          </w:p>
          <w:p w14:paraId="68C9CA69">
            <w:pPr>
              <w:spacing w:line="241" w:lineRule="auto"/>
              <w:rPr>
                <w:rFonts w:ascii="Arial"/>
                <w:sz w:val="21"/>
              </w:rPr>
            </w:pPr>
          </w:p>
          <w:p w14:paraId="58854B5C">
            <w:pPr>
              <w:spacing w:line="241" w:lineRule="auto"/>
              <w:rPr>
                <w:rFonts w:ascii="Arial"/>
                <w:sz w:val="21"/>
              </w:rPr>
            </w:pPr>
          </w:p>
          <w:p w14:paraId="6D2A7E7B">
            <w:pPr>
              <w:pStyle w:val="5"/>
              <w:spacing w:before="49" w:line="219" w:lineRule="auto"/>
              <w:ind w:left="70"/>
            </w:pPr>
            <w:r>
              <w:rPr>
                <w:spacing w:val="2"/>
              </w:rPr>
              <w:t>安全生产教育</w:t>
            </w:r>
          </w:p>
          <w:p w14:paraId="1907CA94">
            <w:pPr>
              <w:pStyle w:val="5"/>
              <w:spacing w:before="22" w:line="220" w:lineRule="auto"/>
              <w:ind w:left="370"/>
            </w:pPr>
            <w:r>
              <w:rPr>
                <w:spacing w:val="8"/>
              </w:rPr>
              <w:t>培训</w:t>
            </w:r>
          </w:p>
          <w:p w14:paraId="4B4D91AC">
            <w:pPr>
              <w:pStyle w:val="5"/>
              <w:spacing w:before="20" w:line="219" w:lineRule="auto"/>
              <w:ind w:left="290"/>
            </w:pPr>
            <w:r>
              <w:rPr>
                <w:spacing w:val="-13"/>
              </w:rPr>
              <w:t>(</w:t>
            </w:r>
            <w:r>
              <w:rPr>
                <w:spacing w:val="-14"/>
              </w:rPr>
              <w:t xml:space="preserve"> </w:t>
            </w:r>
            <w:r>
              <w:rPr>
                <w:spacing w:val="-13"/>
              </w:rPr>
              <w:t>3</w:t>
            </w:r>
            <w:r>
              <w:rPr>
                <w:spacing w:val="-18"/>
              </w:rPr>
              <w:t xml:space="preserve"> </w:t>
            </w:r>
            <w:r>
              <w:rPr>
                <w:spacing w:val="-13"/>
              </w:rPr>
              <w:t>条</w:t>
            </w:r>
            <w:r>
              <w:rPr>
                <w:spacing w:val="-18"/>
              </w:rPr>
              <w:t xml:space="preserve"> </w:t>
            </w:r>
            <w:r>
              <w:rPr>
                <w:spacing w:val="-13"/>
              </w:rPr>
              <w:t>)</w:t>
            </w:r>
          </w:p>
        </w:tc>
        <w:tc>
          <w:tcPr>
            <w:tcW w:w="5813" w:type="dxa"/>
            <w:vAlign w:val="top"/>
          </w:tcPr>
          <w:p w14:paraId="2EEC7969">
            <w:pPr>
              <w:pStyle w:val="5"/>
              <w:spacing w:before="206" w:line="233" w:lineRule="auto"/>
              <w:ind w:left="11" w:right="82"/>
            </w:pPr>
            <w:r>
              <w:t>1.企业应加强对从业人员的安全生产理论教学与实践技能培训，建立健全教育培训考核</w:t>
            </w:r>
            <w:r>
              <w:rPr>
                <w:spacing w:val="7"/>
              </w:rPr>
              <w:t xml:space="preserve"> </w:t>
            </w:r>
            <w:r>
              <w:t>档案，未经安全生产教育培训合格的从业人员，不</w:t>
            </w:r>
            <w:r>
              <w:rPr>
                <w:spacing w:val="-1"/>
              </w:rPr>
              <w:t>得上岗作业。</w:t>
            </w:r>
          </w:p>
        </w:tc>
        <w:tc>
          <w:tcPr>
            <w:tcW w:w="1733" w:type="dxa"/>
            <w:vMerge w:val="restart"/>
            <w:tcBorders>
              <w:bottom w:val="nil"/>
            </w:tcBorders>
            <w:vAlign w:val="top"/>
          </w:tcPr>
          <w:p w14:paraId="669AA5F4">
            <w:pPr>
              <w:spacing w:line="257" w:lineRule="auto"/>
              <w:rPr>
                <w:rFonts w:ascii="Arial"/>
                <w:sz w:val="21"/>
              </w:rPr>
            </w:pPr>
          </w:p>
          <w:p w14:paraId="688FBE67">
            <w:pPr>
              <w:spacing w:line="258" w:lineRule="auto"/>
              <w:rPr>
                <w:rFonts w:ascii="Arial"/>
                <w:sz w:val="21"/>
              </w:rPr>
            </w:pPr>
          </w:p>
          <w:p w14:paraId="4CC69DB0">
            <w:pPr>
              <w:pStyle w:val="5"/>
              <w:spacing w:before="48" w:line="233" w:lineRule="auto"/>
              <w:ind w:left="18" w:right="38"/>
              <w:jc w:val="both"/>
            </w:pPr>
            <w:r>
              <w:rPr>
                <w:spacing w:val="-1"/>
              </w:rPr>
              <w:t>1.《安全生产法》</w:t>
            </w:r>
          </w:p>
          <w:p w14:paraId="7A45A613">
            <w:pPr>
              <w:pStyle w:val="5"/>
              <w:spacing w:before="51" w:line="227" w:lineRule="auto"/>
              <w:ind w:left="18" w:right="68"/>
            </w:pPr>
            <w:r>
              <w:rPr>
                <w:spacing w:val="-2"/>
              </w:rPr>
              <w:t>2.《生产经管单位安全培</w:t>
            </w:r>
            <w:r>
              <w:rPr>
                <w:spacing w:val="8"/>
              </w:rPr>
              <w:t xml:space="preserve"> </w:t>
            </w:r>
            <w:r>
              <w:rPr>
                <w:spacing w:val="-1"/>
              </w:rPr>
              <w:t>训规定》</w:t>
            </w:r>
          </w:p>
        </w:tc>
      </w:tr>
      <w:tr w14:paraId="302C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04" w:type="dxa"/>
            <w:vMerge w:val="continue"/>
            <w:tcBorders>
              <w:top w:val="nil"/>
              <w:bottom w:val="nil"/>
            </w:tcBorders>
            <w:textDirection w:val="tbRlV"/>
            <w:vAlign w:val="top"/>
          </w:tcPr>
          <w:p w14:paraId="74ED1A67">
            <w:pPr>
              <w:rPr>
                <w:rFonts w:ascii="Arial"/>
                <w:sz w:val="21"/>
              </w:rPr>
            </w:pPr>
          </w:p>
        </w:tc>
        <w:tc>
          <w:tcPr>
            <w:tcW w:w="1069" w:type="dxa"/>
            <w:vMerge w:val="continue"/>
            <w:tcBorders>
              <w:top w:val="nil"/>
              <w:bottom w:val="nil"/>
            </w:tcBorders>
            <w:vAlign w:val="top"/>
          </w:tcPr>
          <w:p w14:paraId="373103C8">
            <w:pPr>
              <w:rPr>
                <w:rFonts w:ascii="Arial"/>
                <w:sz w:val="21"/>
              </w:rPr>
            </w:pPr>
          </w:p>
        </w:tc>
        <w:tc>
          <w:tcPr>
            <w:tcW w:w="5813" w:type="dxa"/>
            <w:vAlign w:val="top"/>
          </w:tcPr>
          <w:p w14:paraId="7E35AC62">
            <w:pPr>
              <w:pStyle w:val="5"/>
              <w:spacing w:before="197" w:line="234" w:lineRule="auto"/>
              <w:ind w:left="11" w:right="98"/>
            </w:pPr>
            <w:r>
              <w:t>2.特种作业人员必须按照国家有关规定经专门的安全作业培训并取</w:t>
            </w:r>
            <w:r>
              <w:rPr>
                <w:spacing w:val="-1"/>
              </w:rPr>
              <w:t>得相应资格，方可上</w:t>
            </w:r>
            <w:r>
              <w:t xml:space="preserve"> </w:t>
            </w:r>
            <w:r>
              <w:rPr>
                <w:spacing w:val="-1"/>
              </w:rPr>
              <w:t>岗作业。</w:t>
            </w:r>
          </w:p>
        </w:tc>
        <w:tc>
          <w:tcPr>
            <w:tcW w:w="1733" w:type="dxa"/>
            <w:vMerge w:val="continue"/>
            <w:tcBorders>
              <w:top w:val="nil"/>
              <w:bottom w:val="nil"/>
            </w:tcBorders>
            <w:vAlign w:val="top"/>
          </w:tcPr>
          <w:p w14:paraId="598197FB">
            <w:pPr>
              <w:rPr>
                <w:rFonts w:ascii="Arial"/>
                <w:sz w:val="21"/>
              </w:rPr>
            </w:pPr>
          </w:p>
        </w:tc>
      </w:tr>
      <w:tr w14:paraId="4643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04" w:type="dxa"/>
            <w:vMerge w:val="continue"/>
            <w:tcBorders>
              <w:top w:val="nil"/>
            </w:tcBorders>
            <w:textDirection w:val="tbRlV"/>
            <w:vAlign w:val="top"/>
          </w:tcPr>
          <w:p w14:paraId="209DF57B">
            <w:pPr>
              <w:rPr>
                <w:rFonts w:ascii="Arial"/>
                <w:sz w:val="21"/>
              </w:rPr>
            </w:pPr>
          </w:p>
        </w:tc>
        <w:tc>
          <w:tcPr>
            <w:tcW w:w="1069" w:type="dxa"/>
            <w:vMerge w:val="continue"/>
            <w:tcBorders>
              <w:top w:val="nil"/>
            </w:tcBorders>
            <w:vAlign w:val="top"/>
          </w:tcPr>
          <w:p w14:paraId="6EF731AE">
            <w:pPr>
              <w:rPr>
                <w:rFonts w:ascii="Arial"/>
                <w:sz w:val="21"/>
              </w:rPr>
            </w:pPr>
          </w:p>
        </w:tc>
        <w:tc>
          <w:tcPr>
            <w:tcW w:w="5813" w:type="dxa"/>
            <w:vAlign w:val="top"/>
          </w:tcPr>
          <w:p w14:paraId="7310CA28">
            <w:pPr>
              <w:pStyle w:val="5"/>
              <w:spacing w:before="38" w:line="238" w:lineRule="auto"/>
              <w:ind w:left="11" w:right="15"/>
              <w:jc w:val="both"/>
            </w:pPr>
            <w:r>
              <w:rPr>
                <w:spacing w:val="2"/>
              </w:rPr>
              <w:t>3.企业应当教育和督促从业人员严格执行本单位的安全生产规章制度和安全操</w:t>
            </w:r>
            <w:r>
              <w:rPr>
                <w:spacing w:val="1"/>
              </w:rPr>
              <w:t>作规程；</w:t>
            </w:r>
            <w:r>
              <w:t xml:space="preserve"> 并向从业人员如实告知作业场所和工作岗位存在的危险因素、</w:t>
            </w:r>
            <w:r>
              <w:rPr>
                <w:spacing w:val="-1"/>
              </w:rPr>
              <w:t>防范措施以及事故应急措</w:t>
            </w:r>
            <w:r>
              <w:t xml:space="preserve">  </w:t>
            </w:r>
            <w:r>
              <w:rPr>
                <w:spacing w:val="-2"/>
              </w:rPr>
              <w:t>施。</w:t>
            </w:r>
          </w:p>
        </w:tc>
        <w:tc>
          <w:tcPr>
            <w:tcW w:w="1733" w:type="dxa"/>
            <w:vMerge w:val="continue"/>
            <w:tcBorders>
              <w:top w:val="nil"/>
            </w:tcBorders>
            <w:vAlign w:val="top"/>
          </w:tcPr>
          <w:p w14:paraId="3256DC5F">
            <w:pPr>
              <w:rPr>
                <w:rFonts w:ascii="Arial"/>
                <w:sz w:val="21"/>
              </w:rPr>
            </w:pPr>
          </w:p>
        </w:tc>
      </w:tr>
      <w:tr w14:paraId="2DA97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04" w:type="dxa"/>
            <w:vMerge w:val="restart"/>
            <w:tcBorders>
              <w:bottom w:val="nil"/>
            </w:tcBorders>
            <w:vAlign w:val="top"/>
          </w:tcPr>
          <w:p w14:paraId="7926B652">
            <w:pPr>
              <w:spacing w:line="322" w:lineRule="auto"/>
              <w:rPr>
                <w:rFonts w:ascii="Arial"/>
                <w:sz w:val="21"/>
              </w:rPr>
            </w:pPr>
          </w:p>
          <w:p w14:paraId="730C49F8">
            <w:pPr>
              <w:spacing w:line="323" w:lineRule="auto"/>
              <w:rPr>
                <w:rFonts w:ascii="Arial"/>
                <w:sz w:val="21"/>
              </w:rPr>
            </w:pPr>
          </w:p>
          <w:p w14:paraId="01B0B77C">
            <w:pPr>
              <w:pStyle w:val="5"/>
              <w:spacing w:before="49" w:line="229" w:lineRule="auto"/>
              <w:ind w:left="114"/>
            </w:pPr>
            <w:r>
              <w:t>五</w:t>
            </w:r>
          </w:p>
        </w:tc>
        <w:tc>
          <w:tcPr>
            <w:tcW w:w="1069" w:type="dxa"/>
            <w:vMerge w:val="restart"/>
            <w:tcBorders>
              <w:bottom w:val="nil"/>
            </w:tcBorders>
            <w:vAlign w:val="top"/>
          </w:tcPr>
          <w:p w14:paraId="2270FCEF">
            <w:pPr>
              <w:spacing w:line="449" w:lineRule="auto"/>
              <w:rPr>
                <w:rFonts w:ascii="Arial"/>
                <w:sz w:val="21"/>
              </w:rPr>
            </w:pPr>
          </w:p>
          <w:p w14:paraId="0C2A4AF4">
            <w:pPr>
              <w:pStyle w:val="5"/>
              <w:spacing w:before="48" w:line="220" w:lineRule="auto"/>
              <w:ind w:left="70"/>
            </w:pPr>
            <w:r>
              <w:rPr>
                <w:spacing w:val="-1"/>
              </w:rPr>
              <w:t>事故隐患排查</w:t>
            </w:r>
          </w:p>
          <w:p w14:paraId="705E585A">
            <w:pPr>
              <w:pStyle w:val="5"/>
              <w:spacing w:before="15" w:line="224" w:lineRule="auto"/>
              <w:ind w:left="370"/>
            </w:pPr>
            <w:r>
              <w:rPr>
                <w:spacing w:val="-3"/>
              </w:rPr>
              <w:t>治理</w:t>
            </w:r>
          </w:p>
          <w:p w14:paraId="675B58E2">
            <w:pPr>
              <w:pStyle w:val="5"/>
              <w:spacing w:before="33"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13" w:type="dxa"/>
            <w:vAlign w:val="top"/>
          </w:tcPr>
          <w:p w14:paraId="4FF0E1EB">
            <w:pPr>
              <w:pStyle w:val="5"/>
              <w:spacing w:before="198" w:line="232" w:lineRule="auto"/>
              <w:ind w:left="11" w:right="82"/>
            </w:pPr>
            <w:r>
              <w:t>1.企业应当建立健全并落实生产安全事故隐患排查治理制度，采取技术、管理措施，及</w:t>
            </w:r>
            <w:r>
              <w:rPr>
                <w:spacing w:val="7"/>
              </w:rPr>
              <w:t xml:space="preserve"> </w:t>
            </w:r>
            <w:r>
              <w:t>时发现并消除事故隐患。应当建立事故隐患报</w:t>
            </w:r>
            <w:r>
              <w:rPr>
                <w:spacing w:val="-1"/>
              </w:rPr>
              <w:t>告奖励制度。</w:t>
            </w:r>
          </w:p>
        </w:tc>
        <w:tc>
          <w:tcPr>
            <w:tcW w:w="1733" w:type="dxa"/>
            <w:vMerge w:val="restart"/>
            <w:tcBorders>
              <w:bottom w:val="nil"/>
            </w:tcBorders>
            <w:vAlign w:val="top"/>
          </w:tcPr>
          <w:p w14:paraId="4DA80522">
            <w:pPr>
              <w:spacing w:line="339" w:lineRule="auto"/>
              <w:rPr>
                <w:rFonts w:ascii="Arial"/>
                <w:sz w:val="21"/>
              </w:rPr>
            </w:pPr>
          </w:p>
          <w:p w14:paraId="69175AE0">
            <w:pPr>
              <w:pStyle w:val="5"/>
              <w:spacing w:before="49" w:line="252" w:lineRule="auto"/>
              <w:ind w:left="18" w:right="54"/>
            </w:pPr>
            <w:r>
              <w:rPr>
                <w:spacing w:val="-1"/>
              </w:rPr>
              <w:t>1.《安全生产法》</w:t>
            </w:r>
          </w:p>
          <w:p w14:paraId="6D8BEA4D">
            <w:pPr>
              <w:pStyle w:val="5"/>
              <w:spacing w:before="1" w:line="232" w:lineRule="auto"/>
              <w:ind w:left="18"/>
            </w:pPr>
            <w:r>
              <w:rPr>
                <w:spacing w:val="-8"/>
              </w:rPr>
              <w:t>2.《</w:t>
            </w:r>
            <w:r>
              <w:rPr>
                <w:rFonts w:hint="eastAsia"/>
                <w:spacing w:val="-8"/>
                <w:lang w:eastAsia="zh-CN"/>
              </w:rPr>
              <w:t>四川</w:t>
            </w:r>
            <w:r>
              <w:rPr>
                <w:spacing w:val="-8"/>
              </w:rPr>
              <w:t>省安全生产条例》</w:t>
            </w:r>
            <w:r>
              <w:rPr>
                <w:spacing w:val="7"/>
              </w:rPr>
              <w:t xml:space="preserve"> </w:t>
            </w:r>
          </w:p>
        </w:tc>
      </w:tr>
      <w:tr w14:paraId="1AD5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404" w:type="dxa"/>
            <w:vMerge w:val="continue"/>
            <w:tcBorders>
              <w:top w:val="nil"/>
            </w:tcBorders>
            <w:vAlign w:val="top"/>
          </w:tcPr>
          <w:p w14:paraId="61928FC0">
            <w:pPr>
              <w:rPr>
                <w:rFonts w:ascii="Arial"/>
                <w:sz w:val="21"/>
              </w:rPr>
            </w:pPr>
          </w:p>
        </w:tc>
        <w:tc>
          <w:tcPr>
            <w:tcW w:w="1069" w:type="dxa"/>
            <w:vMerge w:val="continue"/>
            <w:tcBorders>
              <w:top w:val="nil"/>
            </w:tcBorders>
            <w:vAlign w:val="top"/>
          </w:tcPr>
          <w:p w14:paraId="2651B9D0">
            <w:pPr>
              <w:rPr>
                <w:rFonts w:ascii="Arial"/>
                <w:sz w:val="21"/>
              </w:rPr>
            </w:pPr>
          </w:p>
        </w:tc>
        <w:tc>
          <w:tcPr>
            <w:tcW w:w="5813" w:type="dxa"/>
            <w:vAlign w:val="top"/>
          </w:tcPr>
          <w:p w14:paraId="0F32D52A">
            <w:pPr>
              <w:pStyle w:val="5"/>
              <w:spacing w:before="129" w:line="243" w:lineRule="auto"/>
              <w:ind w:left="11" w:right="81"/>
              <w:jc w:val="both"/>
            </w:pPr>
            <w:r>
              <w:t>2.企业对事故隐患排查治理情况应当如实记录，并通过职工大会或</w:t>
            </w:r>
            <w:r>
              <w:rPr>
                <w:spacing w:val="-1"/>
              </w:rPr>
              <w:t>者职工代表大会、信</w:t>
            </w:r>
            <w:r>
              <w:t xml:space="preserve"> 息公示栏等方式向从业人员通报。其中，重大事故隐患排查治理情况应当及时向负有安</w:t>
            </w:r>
            <w:r>
              <w:rPr>
                <w:spacing w:val="8"/>
              </w:rPr>
              <w:t xml:space="preserve"> </w:t>
            </w:r>
            <w:r>
              <w:t>全生产监督管理职责的部门和职工大会或者职工代</w:t>
            </w:r>
            <w:r>
              <w:rPr>
                <w:spacing w:val="-1"/>
              </w:rPr>
              <w:t>表大会报告。</w:t>
            </w:r>
          </w:p>
        </w:tc>
        <w:tc>
          <w:tcPr>
            <w:tcW w:w="1733" w:type="dxa"/>
            <w:vMerge w:val="continue"/>
            <w:tcBorders>
              <w:top w:val="nil"/>
            </w:tcBorders>
            <w:vAlign w:val="top"/>
          </w:tcPr>
          <w:p w14:paraId="26AA9B45">
            <w:pPr>
              <w:rPr>
                <w:rFonts w:ascii="Arial"/>
                <w:sz w:val="21"/>
              </w:rPr>
            </w:pPr>
          </w:p>
        </w:tc>
      </w:tr>
      <w:tr w14:paraId="1C2B8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404" w:type="dxa"/>
            <w:vMerge w:val="restart"/>
            <w:tcBorders>
              <w:bottom w:val="nil"/>
            </w:tcBorders>
            <w:vAlign w:val="top"/>
          </w:tcPr>
          <w:p w14:paraId="4F1D7E95">
            <w:pPr>
              <w:spacing w:line="356" w:lineRule="auto"/>
              <w:rPr>
                <w:rFonts w:ascii="Arial"/>
                <w:sz w:val="21"/>
              </w:rPr>
            </w:pPr>
          </w:p>
          <w:p w14:paraId="25AD536A">
            <w:pPr>
              <w:spacing w:line="356" w:lineRule="auto"/>
              <w:rPr>
                <w:rFonts w:ascii="Arial"/>
                <w:sz w:val="21"/>
              </w:rPr>
            </w:pPr>
          </w:p>
          <w:p w14:paraId="6E4C5B2C">
            <w:pPr>
              <w:pStyle w:val="5"/>
              <w:spacing w:before="49" w:line="224" w:lineRule="auto"/>
              <w:ind w:left="114"/>
            </w:pPr>
            <w:r>
              <w:t>六</w:t>
            </w:r>
          </w:p>
        </w:tc>
        <w:tc>
          <w:tcPr>
            <w:tcW w:w="1069" w:type="dxa"/>
            <w:vMerge w:val="restart"/>
            <w:tcBorders>
              <w:bottom w:val="nil"/>
            </w:tcBorders>
            <w:vAlign w:val="top"/>
          </w:tcPr>
          <w:p w14:paraId="7A4A0D25">
            <w:pPr>
              <w:spacing w:line="260" w:lineRule="auto"/>
              <w:rPr>
                <w:rFonts w:ascii="Arial"/>
                <w:sz w:val="21"/>
              </w:rPr>
            </w:pPr>
          </w:p>
          <w:p w14:paraId="2E276B86">
            <w:pPr>
              <w:spacing w:line="261" w:lineRule="auto"/>
              <w:rPr>
                <w:rFonts w:ascii="Arial"/>
                <w:sz w:val="21"/>
              </w:rPr>
            </w:pPr>
          </w:p>
          <w:p w14:paraId="40A10CB8">
            <w:pPr>
              <w:pStyle w:val="5"/>
              <w:spacing w:before="48" w:line="245" w:lineRule="auto"/>
              <w:ind w:left="300" w:right="95" w:hanging="230"/>
            </w:pPr>
            <w:r>
              <w:rPr>
                <w:spacing w:val="-2"/>
              </w:rPr>
              <w:t>各类危险源安</w:t>
            </w:r>
            <w:r>
              <w:rPr>
                <w:spacing w:val="3"/>
              </w:rPr>
              <w:t xml:space="preserve"> </w:t>
            </w:r>
            <w:r>
              <w:rPr>
                <w:spacing w:val="-2"/>
              </w:rPr>
              <w:t>全管理</w:t>
            </w:r>
          </w:p>
          <w:p w14:paraId="0B5DD2DA">
            <w:pPr>
              <w:pStyle w:val="5"/>
              <w:spacing w:before="11"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13" w:type="dxa"/>
            <w:vAlign w:val="top"/>
          </w:tcPr>
          <w:p w14:paraId="5E206366">
            <w:pPr>
              <w:pStyle w:val="5"/>
              <w:spacing w:before="192" w:line="237" w:lineRule="auto"/>
              <w:ind w:left="11" w:right="80"/>
              <w:jc w:val="both"/>
            </w:pPr>
            <w:r>
              <w:t>1.企业对重大危险源应当登记建档，进行定期检测、评估、监控，并制定应急预案，告</w:t>
            </w:r>
            <w:r>
              <w:rPr>
                <w:spacing w:val="9"/>
              </w:rPr>
              <w:t xml:space="preserve"> </w:t>
            </w:r>
            <w:r>
              <w:t>知从业人员和相关人员在紧急情况下应当采取的应急措施，并将</w:t>
            </w:r>
            <w:r>
              <w:rPr>
                <w:spacing w:val="-1"/>
              </w:rPr>
              <w:t>本单位重大危险源及有</w:t>
            </w:r>
            <w:r>
              <w:t xml:space="preserve"> 关安全措施、应急措施报有关地方人民政府应急管理部门和有</w:t>
            </w:r>
            <w:r>
              <w:rPr>
                <w:spacing w:val="-1"/>
              </w:rPr>
              <w:t>关部门备案。</w:t>
            </w:r>
          </w:p>
        </w:tc>
        <w:tc>
          <w:tcPr>
            <w:tcW w:w="1733" w:type="dxa"/>
            <w:vMerge w:val="restart"/>
            <w:tcBorders>
              <w:bottom w:val="nil"/>
            </w:tcBorders>
            <w:vAlign w:val="top"/>
          </w:tcPr>
          <w:p w14:paraId="6E83D67D">
            <w:pPr>
              <w:spacing w:line="260" w:lineRule="auto"/>
              <w:rPr>
                <w:rFonts w:ascii="Arial"/>
                <w:sz w:val="21"/>
              </w:rPr>
            </w:pPr>
          </w:p>
          <w:p w14:paraId="1BBD461F">
            <w:pPr>
              <w:spacing w:line="260" w:lineRule="auto"/>
              <w:rPr>
                <w:rFonts w:ascii="Arial"/>
                <w:sz w:val="21"/>
              </w:rPr>
            </w:pPr>
          </w:p>
          <w:p w14:paraId="0F89F77E">
            <w:pPr>
              <w:pStyle w:val="5"/>
              <w:spacing w:before="49" w:line="233" w:lineRule="auto"/>
              <w:ind w:left="18" w:right="81" w:hanging="15"/>
            </w:pPr>
            <w:r>
              <w:rPr>
                <w:spacing w:val="-2"/>
              </w:rPr>
              <w:t>《安全生产法》</w:t>
            </w:r>
          </w:p>
        </w:tc>
      </w:tr>
      <w:tr w14:paraId="2B8DD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404" w:type="dxa"/>
            <w:vMerge w:val="continue"/>
            <w:tcBorders>
              <w:top w:val="nil"/>
            </w:tcBorders>
            <w:vAlign w:val="top"/>
          </w:tcPr>
          <w:p w14:paraId="1DD0084B">
            <w:pPr>
              <w:rPr>
                <w:rFonts w:ascii="Arial"/>
                <w:sz w:val="21"/>
              </w:rPr>
            </w:pPr>
          </w:p>
        </w:tc>
        <w:tc>
          <w:tcPr>
            <w:tcW w:w="1069" w:type="dxa"/>
            <w:vMerge w:val="continue"/>
            <w:tcBorders>
              <w:top w:val="nil"/>
            </w:tcBorders>
            <w:vAlign w:val="top"/>
          </w:tcPr>
          <w:p w14:paraId="342D1FB6">
            <w:pPr>
              <w:rPr>
                <w:rFonts w:ascii="Arial"/>
                <w:sz w:val="21"/>
              </w:rPr>
            </w:pPr>
          </w:p>
        </w:tc>
        <w:tc>
          <w:tcPr>
            <w:tcW w:w="5813" w:type="dxa"/>
            <w:vAlign w:val="top"/>
          </w:tcPr>
          <w:p w14:paraId="588BDD21">
            <w:pPr>
              <w:pStyle w:val="5"/>
              <w:spacing w:before="214" w:line="259" w:lineRule="auto"/>
              <w:ind w:left="11" w:right="98"/>
            </w:pPr>
            <w:r>
              <w:t>2.企业应当在有较大危险因素的生产经营场所和有关设施、设备上</w:t>
            </w:r>
            <w:r>
              <w:rPr>
                <w:spacing w:val="-1"/>
              </w:rPr>
              <w:t>，设置明显的安全警</w:t>
            </w:r>
            <w:r>
              <w:t xml:space="preserve"> </w:t>
            </w:r>
            <w:r>
              <w:rPr>
                <w:spacing w:val="-1"/>
              </w:rPr>
              <w:t>示标志。</w:t>
            </w:r>
          </w:p>
        </w:tc>
        <w:tc>
          <w:tcPr>
            <w:tcW w:w="1733" w:type="dxa"/>
            <w:vMerge w:val="continue"/>
            <w:tcBorders>
              <w:top w:val="nil"/>
            </w:tcBorders>
            <w:vAlign w:val="top"/>
          </w:tcPr>
          <w:p w14:paraId="7DA41897">
            <w:pPr>
              <w:rPr>
                <w:rFonts w:ascii="Arial"/>
                <w:sz w:val="21"/>
              </w:rPr>
            </w:pPr>
          </w:p>
        </w:tc>
      </w:tr>
    </w:tbl>
    <w:p w14:paraId="5E3B96B8">
      <w:pPr>
        <w:spacing w:before="23"/>
      </w:pPr>
    </w:p>
    <w:p w14:paraId="218A7216">
      <w:pPr>
        <w:spacing w:before="23"/>
      </w:pPr>
    </w:p>
    <w:p w14:paraId="2313E4D0">
      <w:pPr>
        <w:spacing w:before="23"/>
      </w:pPr>
    </w:p>
    <w:p w14:paraId="328EF995">
      <w:pPr>
        <w:spacing w:before="23"/>
      </w:pPr>
    </w:p>
    <w:p w14:paraId="2FE3D18A">
      <w:pPr>
        <w:spacing w:before="23"/>
      </w:pPr>
    </w:p>
    <w:p w14:paraId="163658F2">
      <w:pPr>
        <w:spacing w:before="22"/>
      </w:pPr>
    </w:p>
    <w:p w14:paraId="01FF1291">
      <w:pPr>
        <w:spacing w:before="22"/>
      </w:pPr>
    </w:p>
    <w:tbl>
      <w:tblPr>
        <w:tblStyle w:val="4"/>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69"/>
        <w:gridCol w:w="5823"/>
        <w:gridCol w:w="1723"/>
      </w:tblGrid>
      <w:tr w14:paraId="18AB0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04" w:type="dxa"/>
            <w:vAlign w:val="top"/>
          </w:tcPr>
          <w:p w14:paraId="6AE5D290">
            <w:pPr>
              <w:pStyle w:val="5"/>
              <w:spacing w:before="130" w:line="207" w:lineRule="auto"/>
              <w:jc w:val="right"/>
              <w:rPr>
                <w:sz w:val="19"/>
                <w:szCs w:val="19"/>
              </w:rPr>
            </w:pPr>
            <w:r>
              <w:rPr>
                <w:b/>
                <w:bCs/>
                <w:spacing w:val="-6"/>
                <w:sz w:val="19"/>
                <w:szCs w:val="19"/>
              </w:rPr>
              <w:t>序号</w:t>
            </w:r>
          </w:p>
        </w:tc>
        <w:tc>
          <w:tcPr>
            <w:tcW w:w="1069" w:type="dxa"/>
            <w:vAlign w:val="top"/>
          </w:tcPr>
          <w:p w14:paraId="7AACA480">
            <w:pPr>
              <w:pStyle w:val="5"/>
              <w:spacing w:before="129" w:line="208" w:lineRule="auto"/>
              <w:ind w:left="143"/>
              <w:rPr>
                <w:sz w:val="19"/>
                <w:szCs w:val="19"/>
              </w:rPr>
            </w:pPr>
            <w:r>
              <w:rPr>
                <w:b/>
                <w:bCs/>
                <w:spacing w:val="-1"/>
                <w:sz w:val="19"/>
                <w:szCs w:val="19"/>
              </w:rPr>
              <w:t>责任事项</w:t>
            </w:r>
          </w:p>
        </w:tc>
        <w:tc>
          <w:tcPr>
            <w:tcW w:w="5823" w:type="dxa"/>
            <w:vAlign w:val="top"/>
          </w:tcPr>
          <w:p w14:paraId="7FF87F81">
            <w:pPr>
              <w:pStyle w:val="5"/>
              <w:spacing w:before="129" w:line="208" w:lineRule="auto"/>
              <w:ind w:left="2554"/>
              <w:rPr>
                <w:sz w:val="19"/>
                <w:szCs w:val="19"/>
              </w:rPr>
            </w:pPr>
            <w:r>
              <w:rPr>
                <w:b/>
                <w:bCs/>
                <w:spacing w:val="-5"/>
                <w:sz w:val="19"/>
                <w:szCs w:val="19"/>
              </w:rPr>
              <w:t>责任清单</w:t>
            </w:r>
          </w:p>
        </w:tc>
        <w:tc>
          <w:tcPr>
            <w:tcW w:w="1723" w:type="dxa"/>
            <w:vAlign w:val="top"/>
          </w:tcPr>
          <w:p w14:paraId="05B739E8">
            <w:pPr>
              <w:pStyle w:val="5"/>
              <w:spacing w:before="128" w:line="209" w:lineRule="auto"/>
              <w:ind w:left="511"/>
              <w:rPr>
                <w:sz w:val="19"/>
                <w:szCs w:val="19"/>
              </w:rPr>
            </w:pPr>
            <w:r>
              <w:rPr>
                <w:b/>
                <w:bCs/>
                <w:spacing w:val="-4"/>
                <w:sz w:val="19"/>
                <w:szCs w:val="19"/>
              </w:rPr>
              <w:t>相关依据</w:t>
            </w:r>
          </w:p>
        </w:tc>
      </w:tr>
      <w:tr w14:paraId="69F42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404" w:type="dxa"/>
            <w:vMerge w:val="restart"/>
            <w:tcBorders>
              <w:bottom w:val="nil"/>
            </w:tcBorders>
            <w:vAlign w:val="top"/>
          </w:tcPr>
          <w:p w14:paraId="15B9E70B">
            <w:pPr>
              <w:spacing w:line="304" w:lineRule="auto"/>
              <w:rPr>
                <w:rFonts w:ascii="Arial"/>
                <w:sz w:val="21"/>
              </w:rPr>
            </w:pPr>
          </w:p>
          <w:p w14:paraId="5ACDDD47">
            <w:pPr>
              <w:spacing w:line="304" w:lineRule="auto"/>
              <w:rPr>
                <w:rFonts w:ascii="Arial"/>
                <w:sz w:val="21"/>
              </w:rPr>
            </w:pPr>
          </w:p>
          <w:p w14:paraId="63B190E1">
            <w:pPr>
              <w:spacing w:line="304" w:lineRule="auto"/>
              <w:rPr>
                <w:rFonts w:ascii="Arial"/>
                <w:sz w:val="21"/>
              </w:rPr>
            </w:pPr>
          </w:p>
          <w:p w14:paraId="11A231D1">
            <w:pPr>
              <w:pStyle w:val="5"/>
              <w:spacing w:before="48" w:line="231" w:lineRule="auto"/>
              <w:ind w:left="114"/>
            </w:pPr>
            <w:r>
              <w:t>七</w:t>
            </w:r>
          </w:p>
        </w:tc>
        <w:tc>
          <w:tcPr>
            <w:tcW w:w="1069" w:type="dxa"/>
            <w:vMerge w:val="restart"/>
            <w:tcBorders>
              <w:bottom w:val="nil"/>
            </w:tcBorders>
            <w:vAlign w:val="top"/>
          </w:tcPr>
          <w:p w14:paraId="0D3340B2">
            <w:pPr>
              <w:spacing w:line="241" w:lineRule="auto"/>
              <w:rPr>
                <w:rFonts w:ascii="Arial"/>
                <w:sz w:val="21"/>
              </w:rPr>
            </w:pPr>
          </w:p>
          <w:p w14:paraId="4A075629">
            <w:pPr>
              <w:spacing w:line="241" w:lineRule="auto"/>
              <w:rPr>
                <w:rFonts w:ascii="Arial"/>
                <w:sz w:val="21"/>
              </w:rPr>
            </w:pPr>
          </w:p>
          <w:p w14:paraId="70902ABC">
            <w:pPr>
              <w:spacing w:line="242" w:lineRule="auto"/>
              <w:rPr>
                <w:rFonts w:ascii="Arial"/>
                <w:sz w:val="21"/>
              </w:rPr>
            </w:pPr>
          </w:p>
          <w:p w14:paraId="4184616F">
            <w:pPr>
              <w:pStyle w:val="5"/>
              <w:spacing w:before="49" w:line="220" w:lineRule="auto"/>
              <w:ind w:left="70"/>
            </w:pPr>
            <w:r>
              <w:rPr>
                <w:spacing w:val="-2"/>
              </w:rPr>
              <w:t>危险作业安全</w:t>
            </w:r>
          </w:p>
          <w:p w14:paraId="2700C180">
            <w:pPr>
              <w:pStyle w:val="5"/>
              <w:spacing w:before="10" w:line="219" w:lineRule="auto"/>
              <w:ind w:left="370"/>
            </w:pPr>
            <w:r>
              <w:rPr>
                <w:spacing w:val="-3"/>
              </w:rPr>
              <w:t>管理</w:t>
            </w:r>
          </w:p>
          <w:p w14:paraId="54FF6799">
            <w:pPr>
              <w:pStyle w:val="5"/>
              <w:spacing w:before="32"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23" w:type="dxa"/>
            <w:vAlign w:val="top"/>
          </w:tcPr>
          <w:p w14:paraId="067B89EE">
            <w:pPr>
              <w:spacing w:line="275" w:lineRule="auto"/>
              <w:rPr>
                <w:rFonts w:ascii="Arial"/>
                <w:sz w:val="21"/>
              </w:rPr>
            </w:pPr>
          </w:p>
          <w:p w14:paraId="12457550">
            <w:pPr>
              <w:pStyle w:val="5"/>
              <w:spacing w:before="49" w:line="238" w:lineRule="auto"/>
              <w:ind w:left="11" w:right="25"/>
              <w:jc w:val="both"/>
            </w:pPr>
            <w:r>
              <w:rPr>
                <w:spacing w:val="2"/>
              </w:rPr>
              <w:t>1.企业应建立爆破、吊装、动火、有限空间、登高，设备大修、危险装置设备</w:t>
            </w:r>
            <w:r>
              <w:rPr>
                <w:spacing w:val="1"/>
              </w:rPr>
              <w:t>试生产、</w:t>
            </w:r>
            <w:r>
              <w:t xml:space="preserve"> 临时用电、危险品装卸等特殊作业安全管理制度。特种作业人员，应当按照国家有关规</w:t>
            </w:r>
            <w:r>
              <w:rPr>
                <w:spacing w:val="2"/>
              </w:rPr>
              <w:t xml:space="preserve">  </w:t>
            </w:r>
            <w:r>
              <w:t>定接受专门的安全作业培训，经考核合格取得相应资格，方</w:t>
            </w:r>
            <w:r>
              <w:rPr>
                <w:spacing w:val="-1"/>
              </w:rPr>
              <w:t>可上岗作业。</w:t>
            </w:r>
          </w:p>
        </w:tc>
        <w:tc>
          <w:tcPr>
            <w:tcW w:w="1723" w:type="dxa"/>
            <w:vMerge w:val="restart"/>
            <w:tcBorders>
              <w:bottom w:val="nil"/>
            </w:tcBorders>
            <w:vAlign w:val="top"/>
          </w:tcPr>
          <w:p w14:paraId="623FAEBA">
            <w:pPr>
              <w:spacing w:line="302" w:lineRule="auto"/>
              <w:rPr>
                <w:rFonts w:ascii="Arial"/>
                <w:sz w:val="21"/>
              </w:rPr>
            </w:pPr>
          </w:p>
          <w:p w14:paraId="053C800E">
            <w:pPr>
              <w:spacing w:line="302" w:lineRule="auto"/>
              <w:rPr>
                <w:rFonts w:ascii="Arial"/>
                <w:sz w:val="21"/>
              </w:rPr>
            </w:pPr>
          </w:p>
          <w:p w14:paraId="0AB5C1D9">
            <w:pPr>
              <w:pStyle w:val="5"/>
              <w:spacing w:before="49" w:line="233" w:lineRule="auto"/>
              <w:ind w:left="18" w:right="44"/>
            </w:pPr>
            <w:r>
              <w:rPr>
                <w:spacing w:val="-1"/>
              </w:rPr>
              <w:t>1.《安全生产法》</w:t>
            </w:r>
          </w:p>
          <w:p w14:paraId="0EA62376">
            <w:pPr>
              <w:pStyle w:val="5"/>
              <w:spacing w:before="40" w:line="227" w:lineRule="auto"/>
              <w:ind w:left="18"/>
            </w:pPr>
            <w:r>
              <w:rPr>
                <w:spacing w:val="-9"/>
              </w:rPr>
              <w:t>2.《</w:t>
            </w:r>
            <w:r>
              <w:rPr>
                <w:rFonts w:hint="eastAsia"/>
                <w:spacing w:val="-9"/>
                <w:lang w:eastAsia="zh-CN"/>
              </w:rPr>
              <w:t>四川</w:t>
            </w:r>
            <w:r>
              <w:rPr>
                <w:spacing w:val="-9"/>
              </w:rPr>
              <w:t>省安全生产条例》</w:t>
            </w:r>
            <w:r>
              <w:rPr>
                <w:spacing w:val="10"/>
              </w:rPr>
              <w:t xml:space="preserve"> </w:t>
            </w:r>
          </w:p>
        </w:tc>
      </w:tr>
      <w:tr w14:paraId="77300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404" w:type="dxa"/>
            <w:vMerge w:val="continue"/>
            <w:tcBorders>
              <w:top w:val="nil"/>
            </w:tcBorders>
            <w:vAlign w:val="top"/>
          </w:tcPr>
          <w:p w14:paraId="206A43EC">
            <w:pPr>
              <w:rPr>
                <w:rFonts w:ascii="Arial"/>
                <w:sz w:val="21"/>
              </w:rPr>
            </w:pPr>
          </w:p>
        </w:tc>
        <w:tc>
          <w:tcPr>
            <w:tcW w:w="1069" w:type="dxa"/>
            <w:vMerge w:val="continue"/>
            <w:tcBorders>
              <w:top w:val="nil"/>
            </w:tcBorders>
            <w:vAlign w:val="top"/>
          </w:tcPr>
          <w:p w14:paraId="08564DDB">
            <w:pPr>
              <w:rPr>
                <w:rFonts w:ascii="Arial"/>
                <w:sz w:val="21"/>
              </w:rPr>
            </w:pPr>
          </w:p>
        </w:tc>
        <w:tc>
          <w:tcPr>
            <w:tcW w:w="5823" w:type="dxa"/>
            <w:vAlign w:val="top"/>
          </w:tcPr>
          <w:p w14:paraId="3E092F5B">
            <w:pPr>
              <w:pStyle w:val="5"/>
              <w:spacing w:before="269" w:line="232" w:lineRule="auto"/>
              <w:ind w:left="11" w:right="106"/>
            </w:pPr>
            <w:r>
              <w:t>2.企业应执行特殊作业安全管理制度，作业时应制定专项安全管理</w:t>
            </w:r>
            <w:r>
              <w:rPr>
                <w:spacing w:val="-1"/>
              </w:rPr>
              <w:t>措施并落实，安排专</w:t>
            </w:r>
            <w:r>
              <w:t xml:space="preserve"> 门人员进行现场安全管理，对发现的问题及时采取措施排除事故隐患、</w:t>
            </w:r>
            <w:r>
              <w:rPr>
                <w:spacing w:val="-1"/>
              </w:rPr>
              <w:t>纠正违规行为。</w:t>
            </w:r>
          </w:p>
        </w:tc>
        <w:tc>
          <w:tcPr>
            <w:tcW w:w="1723" w:type="dxa"/>
            <w:vMerge w:val="continue"/>
            <w:tcBorders>
              <w:top w:val="nil"/>
            </w:tcBorders>
            <w:vAlign w:val="top"/>
          </w:tcPr>
          <w:p w14:paraId="543ACD3F">
            <w:pPr>
              <w:rPr>
                <w:rFonts w:ascii="Arial"/>
                <w:sz w:val="21"/>
              </w:rPr>
            </w:pPr>
          </w:p>
        </w:tc>
      </w:tr>
      <w:tr w14:paraId="6C52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04" w:type="dxa"/>
            <w:vAlign w:val="top"/>
          </w:tcPr>
          <w:p w14:paraId="4FD5BEDD">
            <w:pPr>
              <w:spacing w:line="244" w:lineRule="auto"/>
              <w:rPr>
                <w:rFonts w:ascii="Arial"/>
                <w:sz w:val="21"/>
              </w:rPr>
            </w:pPr>
          </w:p>
          <w:p w14:paraId="38667E71">
            <w:pPr>
              <w:spacing w:line="245" w:lineRule="auto"/>
              <w:rPr>
                <w:rFonts w:ascii="Arial"/>
                <w:sz w:val="21"/>
              </w:rPr>
            </w:pPr>
          </w:p>
          <w:p w14:paraId="17188EFA">
            <w:pPr>
              <w:pStyle w:val="5"/>
              <w:spacing w:before="49" w:line="220" w:lineRule="auto"/>
              <w:ind w:left="114"/>
            </w:pPr>
            <w:r>
              <w:t>八</w:t>
            </w:r>
          </w:p>
        </w:tc>
        <w:tc>
          <w:tcPr>
            <w:tcW w:w="1069" w:type="dxa"/>
            <w:vAlign w:val="top"/>
          </w:tcPr>
          <w:p w14:paraId="5B24F9E7">
            <w:pPr>
              <w:spacing w:line="290" w:lineRule="auto"/>
              <w:rPr>
                <w:rFonts w:ascii="Arial"/>
                <w:sz w:val="21"/>
              </w:rPr>
            </w:pPr>
          </w:p>
          <w:p w14:paraId="02D0578E">
            <w:pPr>
              <w:pStyle w:val="5"/>
              <w:spacing w:before="49" w:line="219" w:lineRule="auto"/>
              <w:ind w:left="70"/>
            </w:pPr>
            <w:r>
              <w:rPr>
                <w:spacing w:val="-1"/>
              </w:rPr>
              <w:t>执行安全生产</w:t>
            </w:r>
          </w:p>
          <w:p w14:paraId="4990A0B4">
            <w:pPr>
              <w:pStyle w:val="5"/>
              <w:spacing w:before="42" w:line="214" w:lineRule="auto"/>
              <w:ind w:left="277" w:hanging="262"/>
            </w:pPr>
            <w:r>
              <w:rPr>
                <w:spacing w:val="-1"/>
              </w:rPr>
              <w:t>“三同时”制度</w:t>
            </w:r>
            <w:r>
              <w:t xml:space="preserve"> </w:t>
            </w:r>
            <w:r>
              <w:rPr>
                <w:spacing w:val="-15"/>
              </w:rPr>
              <w:t>(</w:t>
            </w:r>
            <w:r>
              <w:rPr>
                <w:spacing w:val="-3"/>
              </w:rPr>
              <w:t xml:space="preserve"> </w:t>
            </w:r>
            <w:r>
              <w:rPr>
                <w:spacing w:val="-15"/>
              </w:rPr>
              <w:t>1</w:t>
            </w:r>
            <w:r>
              <w:rPr>
                <w:spacing w:val="-11"/>
              </w:rPr>
              <w:t xml:space="preserve"> </w:t>
            </w:r>
            <w:r>
              <w:rPr>
                <w:spacing w:val="-15"/>
              </w:rPr>
              <w:t>条</w:t>
            </w:r>
            <w:r>
              <w:rPr>
                <w:spacing w:val="-13"/>
              </w:rPr>
              <w:t xml:space="preserve"> </w:t>
            </w:r>
            <w:r>
              <w:rPr>
                <w:spacing w:val="-15"/>
              </w:rPr>
              <w:t>)</w:t>
            </w:r>
          </w:p>
        </w:tc>
        <w:tc>
          <w:tcPr>
            <w:tcW w:w="5823" w:type="dxa"/>
            <w:vAlign w:val="top"/>
          </w:tcPr>
          <w:p w14:paraId="6C414145">
            <w:pPr>
              <w:spacing w:line="290" w:lineRule="auto"/>
              <w:rPr>
                <w:rFonts w:ascii="Arial"/>
                <w:sz w:val="21"/>
              </w:rPr>
            </w:pPr>
          </w:p>
          <w:p w14:paraId="5538817F">
            <w:pPr>
              <w:pStyle w:val="5"/>
              <w:spacing w:before="49" w:line="224" w:lineRule="auto"/>
              <w:ind w:left="11" w:right="25"/>
              <w:jc w:val="both"/>
            </w:pPr>
            <w:r>
              <w:rPr>
                <w:spacing w:val="2"/>
              </w:rPr>
              <w:t>1.企业新建、改建、扩建工程项目的安全设施，必须与主体工程同时设计、同</w:t>
            </w:r>
            <w:r>
              <w:rPr>
                <w:spacing w:val="1"/>
              </w:rPr>
              <w:t>时施工、</w:t>
            </w:r>
            <w:r>
              <w:t xml:space="preserve"> 同时投入生产和使用。用于储存危险物品以及含有高温熔融金属环节的建设项目应当按</w:t>
            </w:r>
            <w:r>
              <w:rPr>
                <w:spacing w:val="3"/>
              </w:rPr>
              <w:t xml:space="preserve">  </w:t>
            </w:r>
            <w:r>
              <w:rPr>
                <w:spacing w:val="-1"/>
              </w:rPr>
              <w:t>照国家有关规定进行安全评价。</w:t>
            </w:r>
          </w:p>
        </w:tc>
        <w:tc>
          <w:tcPr>
            <w:tcW w:w="1723" w:type="dxa"/>
            <w:vAlign w:val="top"/>
          </w:tcPr>
          <w:p w14:paraId="2BE4646A">
            <w:pPr>
              <w:spacing w:line="390" w:lineRule="auto"/>
              <w:rPr>
                <w:rFonts w:ascii="Arial"/>
                <w:sz w:val="21"/>
              </w:rPr>
            </w:pPr>
          </w:p>
          <w:p w14:paraId="01A7123D">
            <w:pPr>
              <w:pStyle w:val="5"/>
              <w:spacing w:before="48" w:line="245" w:lineRule="auto"/>
              <w:ind w:left="44" w:right="95" w:hanging="44"/>
            </w:pPr>
            <w:r>
              <w:rPr>
                <w:spacing w:val="-3"/>
              </w:rPr>
              <w:t>《安全生产法》</w:t>
            </w:r>
          </w:p>
        </w:tc>
      </w:tr>
      <w:tr w14:paraId="2485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04" w:type="dxa"/>
            <w:vMerge w:val="restart"/>
            <w:tcBorders>
              <w:bottom w:val="nil"/>
            </w:tcBorders>
            <w:vAlign w:val="top"/>
          </w:tcPr>
          <w:p w14:paraId="488F51BE">
            <w:pPr>
              <w:spacing w:line="287" w:lineRule="auto"/>
              <w:rPr>
                <w:rFonts w:ascii="Arial"/>
                <w:sz w:val="21"/>
              </w:rPr>
            </w:pPr>
          </w:p>
          <w:p w14:paraId="76C9C48D">
            <w:pPr>
              <w:spacing w:line="287" w:lineRule="auto"/>
              <w:rPr>
                <w:rFonts w:ascii="Arial"/>
                <w:sz w:val="21"/>
              </w:rPr>
            </w:pPr>
          </w:p>
          <w:p w14:paraId="78E63932">
            <w:pPr>
              <w:spacing w:line="287" w:lineRule="auto"/>
              <w:rPr>
                <w:rFonts w:ascii="Arial"/>
                <w:sz w:val="21"/>
              </w:rPr>
            </w:pPr>
          </w:p>
          <w:p w14:paraId="1D6E4CB0">
            <w:pPr>
              <w:pStyle w:val="5"/>
              <w:spacing w:before="49" w:line="222" w:lineRule="auto"/>
              <w:ind w:left="114"/>
            </w:pPr>
            <w:r>
              <w:t>九</w:t>
            </w:r>
          </w:p>
        </w:tc>
        <w:tc>
          <w:tcPr>
            <w:tcW w:w="1069" w:type="dxa"/>
            <w:vMerge w:val="restart"/>
            <w:tcBorders>
              <w:bottom w:val="nil"/>
            </w:tcBorders>
            <w:vAlign w:val="top"/>
          </w:tcPr>
          <w:p w14:paraId="0DB26FBC">
            <w:pPr>
              <w:spacing w:line="335" w:lineRule="auto"/>
              <w:rPr>
                <w:rFonts w:ascii="Arial"/>
                <w:sz w:val="21"/>
              </w:rPr>
            </w:pPr>
          </w:p>
          <w:p w14:paraId="19C16A49">
            <w:pPr>
              <w:spacing w:line="335" w:lineRule="auto"/>
              <w:rPr>
                <w:rFonts w:ascii="Arial"/>
                <w:sz w:val="21"/>
              </w:rPr>
            </w:pPr>
          </w:p>
          <w:p w14:paraId="287E63D5">
            <w:pPr>
              <w:pStyle w:val="5"/>
              <w:spacing w:before="49" w:line="220" w:lineRule="auto"/>
              <w:ind w:left="70"/>
            </w:pPr>
            <w:r>
              <w:rPr>
                <w:spacing w:val="-1"/>
              </w:rPr>
              <w:t>职工安全防护</w:t>
            </w:r>
          </w:p>
          <w:p w14:paraId="70A6B37C">
            <w:pPr>
              <w:pStyle w:val="5"/>
              <w:spacing w:before="20" w:line="219" w:lineRule="auto"/>
              <w:ind w:left="370"/>
            </w:pPr>
            <w:r>
              <w:rPr>
                <w:spacing w:val="-3"/>
              </w:rPr>
              <w:t>管理</w:t>
            </w:r>
          </w:p>
          <w:p w14:paraId="2C71CC59">
            <w:pPr>
              <w:pStyle w:val="5"/>
              <w:spacing w:before="32"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23" w:type="dxa"/>
            <w:vAlign w:val="top"/>
          </w:tcPr>
          <w:p w14:paraId="4291AE8C">
            <w:pPr>
              <w:pStyle w:val="5"/>
              <w:spacing w:before="251" w:line="230" w:lineRule="auto"/>
              <w:ind w:left="11" w:right="95"/>
              <w:jc w:val="both"/>
            </w:pPr>
            <w:r>
              <w:t>1.企业应为从业人员提供符合国家标准或者行业标准的劳动防护用品，监督、教育从业</w:t>
            </w:r>
            <w:r>
              <w:rPr>
                <w:spacing w:val="4"/>
              </w:rPr>
              <w:t xml:space="preserve"> </w:t>
            </w:r>
            <w:r>
              <w:t>人员正确佩戴、使用劳动防护用品。企业不得以发放货币或者其他</w:t>
            </w:r>
            <w:r>
              <w:rPr>
                <w:spacing w:val="-1"/>
              </w:rPr>
              <w:t>物品替代提供劳动防</w:t>
            </w:r>
            <w:r>
              <w:t xml:space="preserve"> </w:t>
            </w:r>
            <w:r>
              <w:rPr>
                <w:spacing w:val="-1"/>
              </w:rPr>
              <w:t>护用品。</w:t>
            </w:r>
          </w:p>
        </w:tc>
        <w:tc>
          <w:tcPr>
            <w:tcW w:w="1723" w:type="dxa"/>
            <w:vMerge w:val="restart"/>
            <w:tcBorders>
              <w:bottom w:val="nil"/>
            </w:tcBorders>
            <w:vAlign w:val="top"/>
          </w:tcPr>
          <w:p w14:paraId="231AB1F8">
            <w:pPr>
              <w:spacing w:line="280" w:lineRule="auto"/>
              <w:rPr>
                <w:rFonts w:ascii="Arial"/>
                <w:sz w:val="21"/>
              </w:rPr>
            </w:pPr>
          </w:p>
          <w:p w14:paraId="37846DBE">
            <w:pPr>
              <w:spacing w:line="281" w:lineRule="auto"/>
              <w:rPr>
                <w:rFonts w:ascii="Arial"/>
                <w:sz w:val="21"/>
              </w:rPr>
            </w:pPr>
          </w:p>
          <w:p w14:paraId="032050B9">
            <w:pPr>
              <w:pStyle w:val="5"/>
              <w:spacing w:before="49" w:line="257" w:lineRule="auto"/>
              <w:ind w:left="18" w:right="44"/>
            </w:pPr>
            <w:r>
              <w:rPr>
                <w:spacing w:val="-1"/>
              </w:rPr>
              <w:t>1.《安全生产法》</w:t>
            </w:r>
          </w:p>
          <w:p w14:paraId="3113E28C">
            <w:pPr>
              <w:pStyle w:val="5"/>
              <w:spacing w:line="227" w:lineRule="auto"/>
              <w:ind w:left="18"/>
            </w:pPr>
            <w:r>
              <w:rPr>
                <w:spacing w:val="-9"/>
              </w:rPr>
              <w:t>2.《</w:t>
            </w:r>
            <w:r>
              <w:rPr>
                <w:rFonts w:hint="eastAsia"/>
                <w:spacing w:val="-9"/>
                <w:lang w:eastAsia="zh-CN"/>
              </w:rPr>
              <w:t>四川</w:t>
            </w:r>
            <w:r>
              <w:rPr>
                <w:spacing w:val="-9"/>
              </w:rPr>
              <w:t>省安全生产条例》</w:t>
            </w:r>
            <w:r>
              <w:rPr>
                <w:spacing w:val="10"/>
              </w:rPr>
              <w:t xml:space="preserve"> </w:t>
            </w:r>
          </w:p>
        </w:tc>
      </w:tr>
      <w:tr w14:paraId="20F91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04" w:type="dxa"/>
            <w:vMerge w:val="continue"/>
            <w:tcBorders>
              <w:top w:val="nil"/>
            </w:tcBorders>
            <w:vAlign w:val="top"/>
          </w:tcPr>
          <w:p w14:paraId="1A52D961">
            <w:pPr>
              <w:rPr>
                <w:rFonts w:ascii="Arial"/>
                <w:sz w:val="21"/>
              </w:rPr>
            </w:pPr>
          </w:p>
        </w:tc>
        <w:tc>
          <w:tcPr>
            <w:tcW w:w="1069" w:type="dxa"/>
            <w:vMerge w:val="continue"/>
            <w:tcBorders>
              <w:top w:val="nil"/>
            </w:tcBorders>
            <w:vAlign w:val="top"/>
          </w:tcPr>
          <w:p w14:paraId="06D44470">
            <w:pPr>
              <w:rPr>
                <w:rFonts w:ascii="Arial"/>
                <w:sz w:val="21"/>
              </w:rPr>
            </w:pPr>
          </w:p>
        </w:tc>
        <w:tc>
          <w:tcPr>
            <w:tcW w:w="5823" w:type="dxa"/>
            <w:vAlign w:val="top"/>
          </w:tcPr>
          <w:p w14:paraId="23D798FF">
            <w:pPr>
              <w:spacing w:line="264" w:lineRule="auto"/>
              <w:rPr>
                <w:rFonts w:ascii="Arial"/>
                <w:sz w:val="21"/>
              </w:rPr>
            </w:pPr>
          </w:p>
          <w:p w14:paraId="360FED16">
            <w:pPr>
              <w:pStyle w:val="5"/>
              <w:spacing w:before="49" w:line="257" w:lineRule="auto"/>
              <w:ind w:left="20" w:right="82" w:hanging="9"/>
            </w:pPr>
            <w:r>
              <w:t>2.企业生产经营场所和员工宿舍应当设有符合紧急疏散要求、标志明显、保持畅通的出</w:t>
            </w:r>
            <w:r>
              <w:rPr>
                <w:spacing w:val="17"/>
              </w:rPr>
              <w:t xml:space="preserve"> </w:t>
            </w:r>
            <w:r>
              <w:rPr>
                <w:spacing w:val="-1"/>
              </w:rPr>
              <w:t>口、疏散通道。</w:t>
            </w:r>
          </w:p>
        </w:tc>
        <w:tc>
          <w:tcPr>
            <w:tcW w:w="1723" w:type="dxa"/>
            <w:vMerge w:val="continue"/>
            <w:tcBorders>
              <w:top w:val="nil"/>
            </w:tcBorders>
            <w:vAlign w:val="top"/>
          </w:tcPr>
          <w:p w14:paraId="68FE89BB">
            <w:pPr>
              <w:rPr>
                <w:rFonts w:ascii="Arial"/>
                <w:sz w:val="21"/>
              </w:rPr>
            </w:pPr>
          </w:p>
        </w:tc>
      </w:tr>
    </w:tbl>
    <w:p w14:paraId="3EA9BB1B">
      <w:pPr>
        <w:spacing w:before="26"/>
      </w:pPr>
    </w:p>
    <w:p w14:paraId="1B8B73E2">
      <w:pPr>
        <w:spacing w:before="26"/>
      </w:pPr>
    </w:p>
    <w:p w14:paraId="2D3D2523">
      <w:pPr>
        <w:spacing w:before="26"/>
      </w:pPr>
    </w:p>
    <w:p w14:paraId="38152D65">
      <w:pPr>
        <w:spacing w:before="26"/>
      </w:pPr>
    </w:p>
    <w:p w14:paraId="7BC4C2B0">
      <w:pPr>
        <w:spacing w:before="25"/>
      </w:pPr>
    </w:p>
    <w:p w14:paraId="223B5EB0">
      <w:pPr>
        <w:spacing w:before="25"/>
      </w:pPr>
    </w:p>
    <w:p w14:paraId="61873343">
      <w:pPr>
        <w:spacing w:before="25"/>
      </w:pPr>
    </w:p>
    <w:tbl>
      <w:tblPr>
        <w:tblStyle w:val="4"/>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69"/>
        <w:gridCol w:w="5813"/>
        <w:gridCol w:w="1743"/>
      </w:tblGrid>
      <w:tr w14:paraId="5AD03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04" w:type="dxa"/>
            <w:vAlign w:val="top"/>
          </w:tcPr>
          <w:p w14:paraId="4912AA5C">
            <w:pPr>
              <w:pStyle w:val="5"/>
              <w:spacing w:before="130" w:line="207" w:lineRule="auto"/>
              <w:jc w:val="right"/>
              <w:rPr>
                <w:sz w:val="19"/>
                <w:szCs w:val="19"/>
              </w:rPr>
            </w:pPr>
            <w:r>
              <w:rPr>
                <w:b/>
                <w:bCs/>
                <w:spacing w:val="-6"/>
                <w:sz w:val="19"/>
                <w:szCs w:val="19"/>
              </w:rPr>
              <w:t>序号</w:t>
            </w:r>
          </w:p>
        </w:tc>
        <w:tc>
          <w:tcPr>
            <w:tcW w:w="1069" w:type="dxa"/>
            <w:vAlign w:val="top"/>
          </w:tcPr>
          <w:p w14:paraId="23D41F66">
            <w:pPr>
              <w:pStyle w:val="5"/>
              <w:spacing w:before="129" w:line="208" w:lineRule="auto"/>
              <w:ind w:left="143"/>
              <w:rPr>
                <w:sz w:val="19"/>
                <w:szCs w:val="19"/>
              </w:rPr>
            </w:pPr>
            <w:r>
              <w:rPr>
                <w:b/>
                <w:bCs/>
                <w:spacing w:val="-1"/>
                <w:sz w:val="19"/>
                <w:szCs w:val="19"/>
              </w:rPr>
              <w:t>责任事项</w:t>
            </w:r>
          </w:p>
        </w:tc>
        <w:tc>
          <w:tcPr>
            <w:tcW w:w="5813" w:type="dxa"/>
            <w:vAlign w:val="top"/>
          </w:tcPr>
          <w:p w14:paraId="5297C30B">
            <w:pPr>
              <w:pStyle w:val="5"/>
              <w:spacing w:before="129" w:line="208" w:lineRule="auto"/>
              <w:ind w:left="2524"/>
              <w:rPr>
                <w:sz w:val="19"/>
                <w:szCs w:val="19"/>
              </w:rPr>
            </w:pPr>
            <w:r>
              <w:rPr>
                <w:b/>
                <w:bCs/>
                <w:spacing w:val="-5"/>
                <w:sz w:val="19"/>
                <w:szCs w:val="19"/>
              </w:rPr>
              <w:t>责任清单</w:t>
            </w:r>
          </w:p>
        </w:tc>
        <w:tc>
          <w:tcPr>
            <w:tcW w:w="1743" w:type="dxa"/>
            <w:vAlign w:val="top"/>
          </w:tcPr>
          <w:p w14:paraId="407123B7">
            <w:pPr>
              <w:pStyle w:val="5"/>
              <w:spacing w:before="128" w:line="209" w:lineRule="auto"/>
              <w:ind w:left="531"/>
              <w:rPr>
                <w:sz w:val="19"/>
                <w:szCs w:val="19"/>
              </w:rPr>
            </w:pPr>
            <w:r>
              <w:rPr>
                <w:b/>
                <w:bCs/>
                <w:spacing w:val="-4"/>
                <w:sz w:val="19"/>
                <w:szCs w:val="19"/>
              </w:rPr>
              <w:t>相关依据</w:t>
            </w:r>
          </w:p>
        </w:tc>
      </w:tr>
      <w:tr w14:paraId="2A26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404" w:type="dxa"/>
            <w:vMerge w:val="restart"/>
            <w:tcBorders>
              <w:bottom w:val="nil"/>
            </w:tcBorders>
            <w:vAlign w:val="top"/>
          </w:tcPr>
          <w:p w14:paraId="547002B8">
            <w:pPr>
              <w:spacing w:line="317" w:lineRule="auto"/>
              <w:rPr>
                <w:rFonts w:ascii="Arial"/>
                <w:sz w:val="21"/>
              </w:rPr>
            </w:pPr>
          </w:p>
          <w:p w14:paraId="1820E81E">
            <w:pPr>
              <w:spacing w:line="318" w:lineRule="auto"/>
              <w:rPr>
                <w:rFonts w:ascii="Arial"/>
                <w:sz w:val="21"/>
              </w:rPr>
            </w:pPr>
          </w:p>
          <w:p w14:paraId="3C088D18">
            <w:pPr>
              <w:spacing w:line="318" w:lineRule="auto"/>
              <w:rPr>
                <w:rFonts w:ascii="Arial"/>
                <w:sz w:val="21"/>
              </w:rPr>
            </w:pPr>
          </w:p>
          <w:p w14:paraId="3B2939F2">
            <w:pPr>
              <w:pStyle w:val="5"/>
              <w:spacing w:before="48" w:line="221" w:lineRule="auto"/>
              <w:ind w:left="114"/>
            </w:pPr>
            <w:r>
              <w:t>十</w:t>
            </w:r>
          </w:p>
        </w:tc>
        <w:tc>
          <w:tcPr>
            <w:tcW w:w="1069" w:type="dxa"/>
            <w:vMerge w:val="restart"/>
            <w:tcBorders>
              <w:bottom w:val="nil"/>
            </w:tcBorders>
            <w:vAlign w:val="top"/>
          </w:tcPr>
          <w:p w14:paraId="6005F27A">
            <w:pPr>
              <w:spacing w:line="254" w:lineRule="auto"/>
              <w:rPr>
                <w:rFonts w:ascii="Arial"/>
                <w:sz w:val="21"/>
              </w:rPr>
            </w:pPr>
          </w:p>
          <w:p w14:paraId="128731C4">
            <w:pPr>
              <w:spacing w:line="254" w:lineRule="auto"/>
              <w:rPr>
                <w:rFonts w:ascii="Arial"/>
                <w:sz w:val="21"/>
              </w:rPr>
            </w:pPr>
          </w:p>
          <w:p w14:paraId="5FB70E18">
            <w:pPr>
              <w:spacing w:line="255" w:lineRule="auto"/>
              <w:rPr>
                <w:rFonts w:ascii="Arial"/>
                <w:sz w:val="21"/>
              </w:rPr>
            </w:pPr>
          </w:p>
          <w:p w14:paraId="6F75203A">
            <w:pPr>
              <w:pStyle w:val="5"/>
              <w:spacing w:before="49" w:line="245" w:lineRule="auto"/>
              <w:ind w:left="300" w:right="96" w:hanging="230"/>
            </w:pPr>
            <w:r>
              <w:rPr>
                <w:spacing w:val="-2"/>
              </w:rPr>
              <w:t>外包等业务安</w:t>
            </w:r>
            <w:r>
              <w:rPr>
                <w:spacing w:val="2"/>
              </w:rPr>
              <w:t xml:space="preserve"> </w:t>
            </w:r>
            <w:r>
              <w:rPr>
                <w:spacing w:val="-2"/>
              </w:rPr>
              <w:t>全管理</w:t>
            </w:r>
          </w:p>
          <w:p w14:paraId="5B1DF16A">
            <w:pPr>
              <w:pStyle w:val="5"/>
              <w:spacing w:before="11"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13" w:type="dxa"/>
            <w:vAlign w:val="top"/>
          </w:tcPr>
          <w:p w14:paraId="493A7A23">
            <w:pPr>
              <w:pStyle w:val="5"/>
              <w:spacing w:before="175" w:line="248" w:lineRule="auto"/>
              <w:ind w:left="11" w:right="39" w:firstLine="39"/>
              <w:jc w:val="both"/>
            </w:pPr>
            <w:r>
              <w:t>1.生产经营项目、场所发包或者出租给其他单位的，企业应当与承包单位、承租单位签</w:t>
            </w:r>
            <w:r>
              <w:rPr>
                <w:spacing w:val="5"/>
              </w:rPr>
              <w:t xml:space="preserve"> </w:t>
            </w:r>
            <w:r>
              <w:rPr>
                <w:spacing w:val="1"/>
              </w:rPr>
              <w:t>订专门的安全生产管理协议，或者在承包合同、租赁合同中约定各自的</w:t>
            </w:r>
            <w:r>
              <w:t xml:space="preserve">安全生产管理职 </w:t>
            </w:r>
            <w:r>
              <w:rPr>
                <w:spacing w:val="1"/>
              </w:rPr>
              <w:t>责。不得将生产经营项目、场所、设备发包或者出租给不具备安全生产条件或者相应资</w:t>
            </w:r>
            <w:r>
              <w:rPr>
                <w:spacing w:val="12"/>
              </w:rPr>
              <w:t xml:space="preserve"> </w:t>
            </w:r>
            <w:r>
              <w:rPr>
                <w:spacing w:val="-1"/>
              </w:rPr>
              <w:t>质的单位或者个人</w:t>
            </w:r>
          </w:p>
        </w:tc>
        <w:tc>
          <w:tcPr>
            <w:tcW w:w="1743" w:type="dxa"/>
            <w:vMerge w:val="restart"/>
            <w:tcBorders>
              <w:bottom w:val="nil"/>
            </w:tcBorders>
            <w:vAlign w:val="top"/>
          </w:tcPr>
          <w:p w14:paraId="7E59DCC5">
            <w:pPr>
              <w:spacing w:line="287" w:lineRule="auto"/>
              <w:rPr>
                <w:rFonts w:ascii="Arial"/>
                <w:sz w:val="21"/>
              </w:rPr>
            </w:pPr>
          </w:p>
          <w:p w14:paraId="218A74A6">
            <w:pPr>
              <w:spacing w:line="288" w:lineRule="auto"/>
              <w:rPr>
                <w:rFonts w:ascii="Arial"/>
                <w:sz w:val="21"/>
              </w:rPr>
            </w:pPr>
          </w:p>
          <w:p w14:paraId="6488C692">
            <w:pPr>
              <w:spacing w:line="288" w:lineRule="auto"/>
              <w:rPr>
                <w:rFonts w:ascii="Arial"/>
                <w:sz w:val="21"/>
              </w:rPr>
            </w:pPr>
          </w:p>
          <w:p w14:paraId="31BA32D5">
            <w:pPr>
              <w:pStyle w:val="5"/>
              <w:spacing w:before="48" w:line="245" w:lineRule="auto"/>
              <w:ind w:left="44" w:right="122" w:hanging="44"/>
            </w:pPr>
            <w:r>
              <w:rPr>
                <w:spacing w:val="-4"/>
              </w:rPr>
              <w:t>《安全生产法》</w:t>
            </w:r>
          </w:p>
        </w:tc>
      </w:tr>
      <w:tr w14:paraId="43788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404" w:type="dxa"/>
            <w:vMerge w:val="continue"/>
            <w:tcBorders>
              <w:top w:val="nil"/>
            </w:tcBorders>
            <w:vAlign w:val="top"/>
          </w:tcPr>
          <w:p w14:paraId="37E9AF5E">
            <w:pPr>
              <w:rPr>
                <w:rFonts w:ascii="Arial"/>
                <w:sz w:val="21"/>
              </w:rPr>
            </w:pPr>
          </w:p>
        </w:tc>
        <w:tc>
          <w:tcPr>
            <w:tcW w:w="1069" w:type="dxa"/>
            <w:vMerge w:val="continue"/>
            <w:tcBorders>
              <w:top w:val="nil"/>
            </w:tcBorders>
            <w:vAlign w:val="top"/>
          </w:tcPr>
          <w:p w14:paraId="20BBE850">
            <w:pPr>
              <w:rPr>
                <w:rFonts w:ascii="Arial"/>
                <w:sz w:val="21"/>
              </w:rPr>
            </w:pPr>
          </w:p>
        </w:tc>
        <w:tc>
          <w:tcPr>
            <w:tcW w:w="5813" w:type="dxa"/>
            <w:vAlign w:val="top"/>
          </w:tcPr>
          <w:p w14:paraId="5C3A1473">
            <w:pPr>
              <w:spacing w:line="309" w:lineRule="auto"/>
              <w:rPr>
                <w:rFonts w:ascii="Arial"/>
                <w:sz w:val="21"/>
              </w:rPr>
            </w:pPr>
          </w:p>
          <w:p w14:paraId="13E34809">
            <w:pPr>
              <w:pStyle w:val="5"/>
              <w:spacing w:before="49" w:line="232" w:lineRule="auto"/>
              <w:ind w:left="11" w:right="96"/>
            </w:pPr>
            <w:r>
              <w:t>2.企业要对承包单位、承租单位的安全生产工作统一协调、管理，定期</w:t>
            </w:r>
            <w:r>
              <w:rPr>
                <w:spacing w:val="-1"/>
              </w:rPr>
              <w:t>进行安全检查，</w:t>
            </w:r>
            <w:r>
              <w:t xml:space="preserve"> </w:t>
            </w:r>
            <w:r>
              <w:rPr>
                <w:spacing w:val="-1"/>
              </w:rPr>
              <w:t>发现安全问题的，应当及时督促整改。</w:t>
            </w:r>
          </w:p>
        </w:tc>
        <w:tc>
          <w:tcPr>
            <w:tcW w:w="1743" w:type="dxa"/>
            <w:vMerge w:val="continue"/>
            <w:tcBorders>
              <w:top w:val="nil"/>
            </w:tcBorders>
            <w:vAlign w:val="top"/>
          </w:tcPr>
          <w:p w14:paraId="34A07708">
            <w:pPr>
              <w:rPr>
                <w:rFonts w:ascii="Arial"/>
                <w:sz w:val="21"/>
              </w:rPr>
            </w:pPr>
          </w:p>
        </w:tc>
      </w:tr>
      <w:tr w14:paraId="5200D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04" w:type="dxa"/>
            <w:vMerge w:val="restart"/>
            <w:tcBorders>
              <w:bottom w:val="nil"/>
            </w:tcBorders>
            <w:vAlign w:val="top"/>
          </w:tcPr>
          <w:p w14:paraId="1F87940D">
            <w:pPr>
              <w:spacing w:line="264" w:lineRule="auto"/>
              <w:rPr>
                <w:rFonts w:ascii="Arial"/>
                <w:sz w:val="21"/>
              </w:rPr>
            </w:pPr>
          </w:p>
          <w:p w14:paraId="3B75622D">
            <w:pPr>
              <w:spacing w:line="264" w:lineRule="auto"/>
              <w:rPr>
                <w:rFonts w:ascii="Arial"/>
                <w:sz w:val="21"/>
              </w:rPr>
            </w:pPr>
          </w:p>
          <w:p w14:paraId="31325BF2">
            <w:pPr>
              <w:spacing w:line="264" w:lineRule="auto"/>
              <w:rPr>
                <w:rFonts w:ascii="Arial"/>
                <w:sz w:val="21"/>
              </w:rPr>
            </w:pPr>
          </w:p>
          <w:p w14:paraId="2007DAEC">
            <w:pPr>
              <w:spacing w:line="265" w:lineRule="auto"/>
              <w:rPr>
                <w:rFonts w:ascii="Arial"/>
                <w:sz w:val="21"/>
              </w:rPr>
            </w:pPr>
          </w:p>
          <w:p w14:paraId="6AA64801">
            <w:pPr>
              <w:pStyle w:val="5"/>
              <w:spacing w:before="49" w:line="221" w:lineRule="auto"/>
              <w:ind w:left="45"/>
            </w:pPr>
            <w:r>
              <w:t>十一</w:t>
            </w:r>
          </w:p>
        </w:tc>
        <w:tc>
          <w:tcPr>
            <w:tcW w:w="1069" w:type="dxa"/>
            <w:vMerge w:val="restart"/>
            <w:tcBorders>
              <w:bottom w:val="nil"/>
            </w:tcBorders>
            <w:vAlign w:val="top"/>
          </w:tcPr>
          <w:p w14:paraId="74E36EA0">
            <w:pPr>
              <w:spacing w:line="289" w:lineRule="auto"/>
              <w:rPr>
                <w:rFonts w:ascii="Arial"/>
                <w:sz w:val="21"/>
              </w:rPr>
            </w:pPr>
          </w:p>
          <w:p w14:paraId="6597B6AE">
            <w:pPr>
              <w:spacing w:line="289" w:lineRule="auto"/>
              <w:rPr>
                <w:rFonts w:ascii="Arial"/>
                <w:sz w:val="21"/>
              </w:rPr>
            </w:pPr>
          </w:p>
          <w:p w14:paraId="0CD3F8C1">
            <w:pPr>
              <w:spacing w:line="290" w:lineRule="auto"/>
              <w:rPr>
                <w:rFonts w:ascii="Arial"/>
                <w:sz w:val="21"/>
              </w:rPr>
            </w:pPr>
          </w:p>
          <w:p w14:paraId="37E85F41">
            <w:pPr>
              <w:pStyle w:val="5"/>
              <w:spacing w:before="48" w:line="219" w:lineRule="auto"/>
              <w:ind w:left="70"/>
            </w:pPr>
            <w:r>
              <w:rPr>
                <w:spacing w:val="-1"/>
              </w:rPr>
              <w:t>应急救援能力</w:t>
            </w:r>
          </w:p>
          <w:p w14:paraId="75ECE9D9">
            <w:pPr>
              <w:pStyle w:val="5"/>
              <w:spacing w:before="32" w:line="221" w:lineRule="auto"/>
              <w:ind w:left="370"/>
            </w:pPr>
            <w:r>
              <w:rPr>
                <w:spacing w:val="-2"/>
              </w:rPr>
              <w:t>建设</w:t>
            </w:r>
          </w:p>
          <w:p w14:paraId="60D27729">
            <w:pPr>
              <w:pStyle w:val="5"/>
              <w:spacing w:before="29" w:line="219" w:lineRule="auto"/>
              <w:ind w:left="290"/>
            </w:pPr>
            <w:r>
              <w:rPr>
                <w:spacing w:val="-12"/>
              </w:rPr>
              <w:t>(</w:t>
            </w:r>
            <w:r>
              <w:rPr>
                <w:spacing w:val="-18"/>
              </w:rPr>
              <w:t xml:space="preserve"> </w:t>
            </w:r>
            <w:r>
              <w:rPr>
                <w:spacing w:val="-12"/>
              </w:rPr>
              <w:t>2</w:t>
            </w:r>
            <w:r>
              <w:rPr>
                <w:spacing w:val="-18"/>
              </w:rPr>
              <w:t xml:space="preserve"> </w:t>
            </w:r>
            <w:r>
              <w:rPr>
                <w:spacing w:val="-12"/>
              </w:rPr>
              <w:t>条</w:t>
            </w:r>
            <w:r>
              <w:rPr>
                <w:spacing w:val="-18"/>
              </w:rPr>
              <w:t xml:space="preserve"> </w:t>
            </w:r>
            <w:r>
              <w:rPr>
                <w:spacing w:val="-12"/>
              </w:rPr>
              <w:t>)</w:t>
            </w:r>
          </w:p>
        </w:tc>
        <w:tc>
          <w:tcPr>
            <w:tcW w:w="5813" w:type="dxa"/>
            <w:vAlign w:val="top"/>
          </w:tcPr>
          <w:p w14:paraId="6A35C1EE">
            <w:pPr>
              <w:rPr>
                <w:rFonts w:ascii="Arial"/>
                <w:sz w:val="21"/>
              </w:rPr>
            </w:pPr>
          </w:p>
          <w:p w14:paraId="705A53F9">
            <w:pPr>
              <w:pStyle w:val="5"/>
              <w:spacing w:before="48" w:line="238" w:lineRule="auto"/>
              <w:ind w:left="11" w:right="15" w:firstLine="69"/>
              <w:jc w:val="both"/>
            </w:pPr>
            <w:r>
              <w:t>1.企业应针对本单位可能发生的生产安全事故特点及危害，制定相应的应急救援预案，</w:t>
            </w:r>
            <w:r>
              <w:rPr>
                <w:spacing w:val="4"/>
              </w:rPr>
              <w:t xml:space="preserve"> </w:t>
            </w:r>
            <w:r>
              <w:rPr>
                <w:spacing w:val="1"/>
              </w:rPr>
              <w:t>并配各与本企业风险等级相适应的应急教援器材、设备和装备等物</w:t>
            </w:r>
            <w:r>
              <w:t xml:space="preserve">资，定期检查，经常 </w:t>
            </w:r>
            <w:r>
              <w:rPr>
                <w:spacing w:val="-1"/>
              </w:rPr>
              <w:t>性维护、保养，保证正常使用。</w:t>
            </w:r>
          </w:p>
        </w:tc>
        <w:tc>
          <w:tcPr>
            <w:tcW w:w="1743" w:type="dxa"/>
            <w:vMerge w:val="restart"/>
            <w:tcBorders>
              <w:bottom w:val="nil"/>
            </w:tcBorders>
            <w:vAlign w:val="top"/>
          </w:tcPr>
          <w:p w14:paraId="0DD65EE3">
            <w:pPr>
              <w:spacing w:line="280" w:lineRule="auto"/>
              <w:rPr>
                <w:rFonts w:ascii="Arial"/>
                <w:sz w:val="21"/>
              </w:rPr>
            </w:pPr>
          </w:p>
          <w:p w14:paraId="62484143">
            <w:pPr>
              <w:spacing w:line="280" w:lineRule="auto"/>
              <w:rPr>
                <w:rFonts w:ascii="Arial"/>
                <w:sz w:val="21"/>
              </w:rPr>
            </w:pPr>
          </w:p>
          <w:p w14:paraId="42D59976">
            <w:pPr>
              <w:pStyle w:val="5"/>
              <w:spacing w:before="49" w:line="257" w:lineRule="auto"/>
              <w:ind w:left="18" w:right="64"/>
            </w:pPr>
            <w:r>
              <w:rPr>
                <w:spacing w:val="-1"/>
              </w:rPr>
              <w:t>1.《安全生产法》</w:t>
            </w:r>
          </w:p>
          <w:p w14:paraId="0C2994AA">
            <w:pPr>
              <w:pStyle w:val="5"/>
              <w:spacing w:before="1" w:line="233" w:lineRule="auto"/>
              <w:ind w:left="27" w:hanging="9"/>
            </w:pPr>
            <w:r>
              <w:rPr>
                <w:spacing w:val="-7"/>
              </w:rPr>
              <w:t>2.《</w:t>
            </w:r>
            <w:r>
              <w:rPr>
                <w:rFonts w:hint="eastAsia"/>
                <w:spacing w:val="-7"/>
                <w:lang w:eastAsia="zh-CN"/>
              </w:rPr>
              <w:t>四川</w:t>
            </w:r>
            <w:r>
              <w:rPr>
                <w:spacing w:val="-7"/>
              </w:rPr>
              <w:t>省安全生产条例》</w:t>
            </w:r>
            <w:r>
              <w:rPr>
                <w:spacing w:val="4"/>
              </w:rPr>
              <w:t xml:space="preserve"> </w:t>
            </w:r>
          </w:p>
          <w:p w14:paraId="4889B572">
            <w:pPr>
              <w:pStyle w:val="5"/>
              <w:spacing w:before="30" w:line="227" w:lineRule="auto"/>
              <w:ind w:left="18" w:right="71"/>
            </w:pPr>
            <w:r>
              <w:rPr>
                <w:spacing w:val="-2"/>
              </w:rPr>
              <w:t>3.《生产安全事故应急预</w:t>
            </w:r>
            <w:r>
              <w:rPr>
                <w:spacing w:val="7"/>
              </w:rPr>
              <w:t xml:space="preserve"> </w:t>
            </w:r>
            <w:r>
              <w:rPr>
                <w:spacing w:val="-1"/>
              </w:rPr>
              <w:t>案管理办法》</w:t>
            </w:r>
            <w:bookmarkStart w:id="0" w:name="_GoBack"/>
            <w:bookmarkEnd w:id="0"/>
          </w:p>
        </w:tc>
      </w:tr>
      <w:tr w14:paraId="1192E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404" w:type="dxa"/>
            <w:vMerge w:val="continue"/>
            <w:tcBorders>
              <w:top w:val="nil"/>
            </w:tcBorders>
            <w:vAlign w:val="top"/>
          </w:tcPr>
          <w:p w14:paraId="5FB6D246">
            <w:pPr>
              <w:rPr>
                <w:rFonts w:ascii="Arial"/>
                <w:sz w:val="21"/>
              </w:rPr>
            </w:pPr>
          </w:p>
        </w:tc>
        <w:tc>
          <w:tcPr>
            <w:tcW w:w="1069" w:type="dxa"/>
            <w:vMerge w:val="continue"/>
            <w:tcBorders>
              <w:top w:val="nil"/>
            </w:tcBorders>
            <w:vAlign w:val="top"/>
          </w:tcPr>
          <w:p w14:paraId="5836163E">
            <w:pPr>
              <w:rPr>
                <w:rFonts w:ascii="Arial"/>
                <w:sz w:val="21"/>
              </w:rPr>
            </w:pPr>
          </w:p>
        </w:tc>
        <w:tc>
          <w:tcPr>
            <w:tcW w:w="5813" w:type="dxa"/>
            <w:vAlign w:val="top"/>
          </w:tcPr>
          <w:p w14:paraId="75A8BF8B">
            <w:pPr>
              <w:spacing w:line="313" w:lineRule="auto"/>
              <w:rPr>
                <w:rFonts w:ascii="Arial"/>
                <w:sz w:val="21"/>
              </w:rPr>
            </w:pPr>
          </w:p>
          <w:p w14:paraId="67ECF259">
            <w:pPr>
              <w:pStyle w:val="5"/>
              <w:spacing w:before="48" w:line="197" w:lineRule="auto"/>
              <w:ind w:left="51"/>
            </w:pPr>
            <w:r>
              <w:t>2.企业应当制定本单位的应急预案演练计划，每年至少组织一次综</w:t>
            </w:r>
            <w:r>
              <w:rPr>
                <w:spacing w:val="-1"/>
              </w:rPr>
              <w:t>合应急预案演练或者</w:t>
            </w:r>
          </w:p>
          <w:p w14:paraId="5C40B6B5">
            <w:pPr>
              <w:pStyle w:val="5"/>
              <w:spacing w:line="294" w:lineRule="auto"/>
              <w:ind w:left="21" w:right="36" w:firstLine="30"/>
            </w:pPr>
            <w:r>
              <w:t>专项应急预案演练，每半年至少组织一次现场处置方案演练。其中，金属冶炼企业应当</w:t>
            </w:r>
            <w:r>
              <w:rPr>
                <w:spacing w:val="13"/>
              </w:rPr>
              <w:t xml:space="preserve"> </w:t>
            </w:r>
            <w:r>
              <w:rPr>
                <w:spacing w:val="-1"/>
              </w:rPr>
              <w:t>至少每半年组织一次生产安全事故应急预案演练。</w:t>
            </w:r>
          </w:p>
        </w:tc>
        <w:tc>
          <w:tcPr>
            <w:tcW w:w="1743" w:type="dxa"/>
            <w:vMerge w:val="continue"/>
            <w:tcBorders>
              <w:top w:val="nil"/>
            </w:tcBorders>
            <w:vAlign w:val="top"/>
          </w:tcPr>
          <w:p w14:paraId="14E2BBFD">
            <w:pPr>
              <w:rPr>
                <w:rFonts w:ascii="Arial"/>
                <w:sz w:val="21"/>
              </w:rPr>
            </w:pPr>
          </w:p>
        </w:tc>
      </w:tr>
    </w:tbl>
    <w:p w14:paraId="09EC57D2">
      <w:pPr>
        <w:rPr>
          <w:rFonts w:ascii="Arial"/>
          <w:sz w:val="21"/>
        </w:rPr>
      </w:pPr>
    </w:p>
    <w:sectPr>
      <w:pgSz w:w="10800" w:h="30300"/>
      <w:pgMar w:top="1101" w:right="894" w:bottom="0" w:left="86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E4MTJhZTBjY2JiODVjMTRiNWE0ZGZjYzk3YjI5NjkifQ=="/>
  </w:docVars>
  <w:rsids>
    <w:rsidRoot w:val="00000000"/>
    <w:rsid w:val="0157330B"/>
    <w:rsid w:val="438571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2162</Words>
  <Characters>2209</Characters>
  <TotalTime>2</TotalTime>
  <ScaleCrop>false</ScaleCrop>
  <LinksUpToDate>false</LinksUpToDate>
  <CharactersWithSpaces>2299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2024-11-15T10:44:00Z</dcterms:created>
  <dc:creator>Kingsoft-PDF</dc:creator>
  <cp:lastModifiedBy>凝瞳</cp:lastModifiedBy>
  <dcterms:modified xsi:type="dcterms:W3CDTF">2024-11-15T02:52:00Z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2024-11-15T10:44:55Z</vt:filetime>
  </property>
  <property fmtid="{D5CDD505-2E9C-101B-9397-08002B2CF9AE}" pid="4" name="UsrData">
    <vt:lpwstr>6736b5a30712c10020ee5a54wl</vt:lpwstr>
  </property>
  <property fmtid="{D5CDD505-2E9C-101B-9397-08002B2CF9AE}" pid="5" name="KSOProductBuildVer">
    <vt:lpwstr>2052-12.1.0.18608</vt:lpwstr>
  </property>
  <property fmtid="{D5CDD505-2E9C-101B-9397-08002B2CF9AE}" pid="6" name="ICV">
    <vt:lpwstr>D7DF543B72F8411AB1C0D7840EA691BF_12</vt:lpwstr>
  </property>
</Properties>
</file>