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sz w:val="36"/>
          <w:szCs w:val="36"/>
        </w:rPr>
      </w:pPr>
      <w:r>
        <w:rPr>
          <w:rFonts w:hint="eastAsia" w:cs="宋体" w:asciiTheme="minorEastAsia" w:hAnsiTheme="minorEastAsia"/>
          <w:b/>
          <w:bCs/>
          <w:sz w:val="36"/>
          <w:szCs w:val="36"/>
        </w:rPr>
        <w:t>安全生产主体责任清单</w:t>
      </w:r>
    </w:p>
    <w:p>
      <w:pPr>
        <w:pStyle w:val="2"/>
        <w:rPr>
          <w:rFonts w:asciiTheme="minorEastAsia" w:hAnsiTheme="minorEastAsia"/>
          <w:szCs w:val="21"/>
        </w:rPr>
      </w:pPr>
    </w:p>
    <w:tbl>
      <w:tblPr>
        <w:tblStyle w:val="8"/>
        <w:tblW w:w="15394"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09"/>
        <w:gridCol w:w="6541"/>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1"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序号</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名称</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责任内容</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经营许可条件</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1.应持有有效的营业执照、经营许可证等生产经营资质，并按照许可的范围开展生产经营活动；</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《中华人民共和国安全生产法（2021年修正）》第17条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《中华人民共和国公司法（2018年修正）》第122条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《中华人民共和国道路运输条例》（国务院令第666号）第8条、第</w:t>
            </w:r>
            <w:r>
              <w:rPr>
                <w:rFonts w:hint="eastAsia" w:cs="宋体" w:asciiTheme="minorEastAsia" w:hAnsiTheme="minorEastAsia"/>
                <w:szCs w:val="21"/>
                <w:lang w:val="en-US" w:eastAsia="zh-CN"/>
              </w:rPr>
              <w:t>10</w:t>
            </w:r>
            <w:r>
              <w:rPr>
                <w:rFonts w:hint="eastAsia" w:cs="宋体" w:asciiTheme="minorEastAsia" w:hAnsiTheme="minorEastAsia"/>
                <w:szCs w:val="21"/>
              </w:rPr>
              <w:t>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《四川省道路运输条例（修订）（2014年）》第8条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《城市公共汽车和电车客运管理规定》（交通运输部令2017年第5号）第1</w:t>
            </w:r>
            <w:r>
              <w:rPr>
                <w:rFonts w:hint="eastAsia" w:cs="宋体" w:asciiTheme="minorEastAsia" w:hAnsiTheme="minorEastAsia"/>
                <w:szCs w:val="21"/>
                <w:lang w:val="en-US" w:eastAsia="zh-CN"/>
              </w:rPr>
              <w:t>4</w:t>
            </w:r>
            <w:r>
              <w:rPr>
                <w:rFonts w:hint="eastAsia" w:cs="宋体" w:asciiTheme="minorEastAsia" w:hAnsiTheme="minorEastAsia"/>
                <w:szCs w:val="21"/>
              </w:rPr>
              <w:t>条、第1</w:t>
            </w:r>
            <w:r>
              <w:rPr>
                <w:rFonts w:hint="eastAsia" w:cs="宋体" w:asciiTheme="minorEastAsia" w:hAnsiTheme="minorEastAsia"/>
                <w:szCs w:val="21"/>
                <w:lang w:val="en-US" w:eastAsia="zh-CN"/>
              </w:rPr>
              <w:t>5</w:t>
            </w:r>
            <w:r>
              <w:rPr>
                <w:rFonts w:hint="eastAsia" w:cs="宋体" w:asciiTheme="minorEastAsia" w:hAnsiTheme="minorEastAsia"/>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0"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2</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安全生产规章制度和操作规程</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2.建立健全安全生产责任体系，明确各部门、各岗位安全生产责任，定期实施考核奖惩；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4.应制定以下安全生产操作规程：驾驶员安全操作规程、动态监控操作规程和其他安全操作规程；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5.应定期对安全生产管理制度和操作规程进行有效性、适用性、符合性评审和修订，并及时组织相关人员培训学习；</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《中华人民共和国道路运输条例》（国务院令第666号）第8条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《企业安全生产标准化基本规范》(GB/T 33000)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《道路旅客运输企业安全管理规范》（交运发〔2018〕55）第4章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《道路旅客运输企业安全生产规范》（DB51/T  2242)</w:t>
            </w:r>
            <w:bookmarkStart w:id="0" w:name="_Toc449616047"/>
            <w:bookmarkStart w:id="1" w:name="_Toc449615068"/>
            <w:bookmarkStart w:id="2" w:name="_Toc451793474"/>
            <w:bookmarkStart w:id="3" w:name="_Toc449461284"/>
            <w:bookmarkStart w:id="4" w:name="_Toc449616870"/>
            <w:bookmarkStart w:id="5" w:name="_Toc449460524"/>
            <w:r>
              <w:rPr>
                <w:rFonts w:hint="eastAsia" w:cs="宋体" w:asciiTheme="minorEastAsia" w:hAnsiTheme="minorEastAsia"/>
                <w:szCs w:val="21"/>
              </w:rPr>
              <w:t>第5.2</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《交通运输企业安全生产标准化建设基本规范》（JT/T1180）第</w:t>
            </w:r>
            <w:r>
              <w:rPr>
                <w:rFonts w:hint="eastAsia" w:cs="宋体" w:asciiTheme="minorEastAsia" w:hAnsiTheme="minorEastAsia"/>
                <w:szCs w:val="21"/>
                <w:lang w:val="en-US" w:eastAsia="zh-CN"/>
              </w:rPr>
              <w:t>14</w:t>
            </w:r>
            <w:r>
              <w:rPr>
                <w:rFonts w:hint="eastAsia" w:cs="宋体" w:asciiTheme="minorEastAsia" w:hAnsiTheme="minorEastAsia"/>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3</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6.依法建立健全安全生产领导机构，领导机构应当包括企业主要负责人（含其他分管负责人）、各职能部门负责人；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7.依法设置专职安全生产管理部门并配备与经营规模相适应的专职安全管理人员（按照每30辆客运车辆配备1人的标准，至少应配备1名专职安全生产管理人员）；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8.配置与企业安全生产相适应的其他职能部门或科室；</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《中华人民共和国安全生产法（2021年修正）》第21条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《企业安全生产责任体系五落实五到位规定》（安监总办〔2015〕27号）第4条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《四川省生产经营单位安全生产责任规定》第9条</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Theme="minorEastAsia" w:hAnsiTheme="minorEastAsia"/>
                <w:szCs w:val="21"/>
              </w:rPr>
            </w:pPr>
            <w:r>
              <w:rPr>
                <w:rFonts w:hint="eastAsia" w:asciiTheme="minorEastAsia" w:hAnsiTheme="minorEastAsia"/>
                <w:szCs w:val="21"/>
              </w:rPr>
              <w:t>《四川省旅客运输管理办法》（四川省人民政府令第338号）第32条第1款；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《道路旅客运输企业安全管理规范》（交运发〔2018〕55）第7条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《道路旅客运输企业安全生产规范》（DB51/T  2242)第5.1.2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4</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保证安全生产资金有效投入</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9.企业的决策机构、主要负责人应当保证安全生产条件所必需的资金投入，按照上年度实际营业收入1.</w:t>
            </w:r>
            <w:r>
              <w:rPr>
                <w:rFonts w:cs="宋体" w:asciiTheme="minorEastAsia" w:hAnsiTheme="minorEastAsia"/>
                <w:szCs w:val="21"/>
              </w:rPr>
              <w:t>5%</w:t>
            </w:r>
            <w:r>
              <w:rPr>
                <w:rFonts w:hint="eastAsia" w:cs="宋体" w:asciiTheme="minorEastAsia" w:hAnsiTheme="minorEastAsia"/>
                <w:szCs w:val="21"/>
              </w:rPr>
              <w:t>比例提取安全生产经费，并依法规范使用；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10.依法参加工伤保险，为从业人员缴纳保险费，配备安全生产必备的劳动防护用品；</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《中华人民共和国安全生产法（2021年修正）》第20条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《中华人民共和国劳动法（2018）》第70条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《四川省生产经营单位安全生产责任规定》第13条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《企业安全生产费用提取和使用管理办法》财资〔2022〕136号第</w:t>
            </w:r>
            <w:r>
              <w:rPr>
                <w:rFonts w:hint="eastAsia" w:cs="宋体" w:asciiTheme="minorEastAsia" w:hAnsiTheme="minorEastAsia"/>
                <w:szCs w:val="21"/>
                <w:lang w:val="en-US" w:eastAsia="zh-CN"/>
              </w:rPr>
              <w:t>二章第六节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5</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安全生产会议</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11.按照相关法规和安全生产会议制度，定期召开安全生产领导机构会议、安全例会和安全专题会议，分析安全形势，安排各项安全生产工作。</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《道路旅客运输企业安全管理规范》（交运发〔2018〕55）第10条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《四川省道路旅客运输企业安全生产规范》（DB51/T2242—2016）第5.5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6</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安全生产培训教育</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13.主要负责人和安全管理人员应当接受安全培训，初次培训时间不少于2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学时，具备与所从事的生产经营活动相适应的安全生产知识和管理能力，且经主管部门考核合格，并持证上岗；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14.应当对从业人员按照有关规定进行安全生产教育培训,</w:t>
            </w:r>
            <w:r>
              <w:rPr>
                <w:rFonts w:hint="eastAsia" w:asciiTheme="minorEastAsia" w:hAnsiTheme="minorEastAsia" w:cstheme="minorEastAsia"/>
                <w:szCs w:val="21"/>
              </w:rPr>
              <w:t>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学时，未经教育培训合格的从业人员，不得安排上岗作业；</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《中华人民共和国安全生产法（2021年修正）》第25、26、27条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《四川省生产经营单位安全生产责任规定》第11条、第15条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bookmarkStart w:id="6" w:name="_Hlk54037057"/>
            <w:r>
              <w:rPr>
                <w:rFonts w:hint="eastAsia" w:cs="宋体" w:asciiTheme="minorEastAsia" w:hAnsiTheme="minorEastAsia"/>
                <w:szCs w:val="21"/>
              </w:rPr>
              <w:t>7</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车辆技术管理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15.依法设置车辆技术专职管理部门，并按照50辆客运车辆配备1人的标准配置车辆技术专职管理人员，至少应配备</w:t>
            </w:r>
            <w:r>
              <w:rPr>
                <w:rFonts w:cs="宋体" w:asciiTheme="minorEastAsia" w:hAnsiTheme="minorEastAsia"/>
                <w:szCs w:val="21"/>
              </w:rPr>
              <w:t>1</w:t>
            </w:r>
            <w:r>
              <w:rPr>
                <w:rFonts w:hint="eastAsia" w:cs="宋体" w:asciiTheme="minorEastAsia" w:hAnsiTheme="minorEastAsia"/>
                <w:szCs w:val="21"/>
              </w:rPr>
              <w:t>名车辆技术专职管理人员；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16.按照相关法规和车辆技术管理制度，对车辆实施全过程管理；</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《中华人民共和国道路交通安全法》（2021年修正）第10条、第13条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《道路旅客运输企业安全管理规范》第</w:t>
            </w:r>
            <w:r>
              <w:rPr>
                <w:rFonts w:cs="宋体" w:asciiTheme="minorEastAsia" w:hAnsiTheme="minorEastAsia"/>
                <w:szCs w:val="21"/>
              </w:rPr>
              <w:t>29</w:t>
            </w:r>
            <w:r>
              <w:rPr>
                <w:rFonts w:hint="eastAsia" w:cs="宋体" w:asciiTheme="minorEastAsia" w:hAnsiTheme="minorEastAsia"/>
                <w:szCs w:val="21"/>
              </w:rPr>
              <w:t>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《交通运输部关于修改&lt;道路运输车辆技术管理规定&gt;的决定》（交通运输部令2019年第19号）第11条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  2012年第12号)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《道路旅客运输企业安全管理规范》（交运发〔2018〕55号）第29条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《机动车运行安全技术条件》（GB 7528）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《车辆维护、检测、诊断技术规范》(GB/T18344)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《道路运输企业车辆技术管理规范》（JT/T1045）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《营运客车安全例行检查技术规范》（JT/T 893）</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bookmarkStart w:id="7" w:name="_Hlk54037629"/>
            <w:r>
              <w:rPr>
                <w:rFonts w:hint="eastAsia" w:cs="宋体" w:asciiTheme="minorEastAsia" w:hAnsiTheme="minorEastAsia"/>
                <w:szCs w:val="21"/>
              </w:rPr>
              <w:t>8</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车辆动态监控</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17.依法建设车辆动态监控平台，车辆安装符合国家、行业标准的车载终端，接入监控平台，对所属道路运输车辆和驾驶员运行过程进行实时监控和管理；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18.应当配备专职监控人员，原则上应按照监控平台每接入100辆车设1人的标准配备，最低不少于2人；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19.</w:t>
            </w:r>
            <w:r>
              <w:rPr>
                <w:rFonts w:hint="eastAsia" w:cs="宋体" w:asciiTheme="minorEastAsia" w:hAnsiTheme="minorEastAsia"/>
                <w:szCs w:val="21"/>
                <w:lang w:val="en-US" w:eastAsia="zh-CN"/>
              </w:rPr>
              <w:t>公交车辆按规定</w:t>
            </w:r>
            <w:r>
              <w:rPr>
                <w:rFonts w:hint="eastAsia" w:cs="宋体" w:asciiTheme="minorEastAsia" w:hAnsiTheme="minorEastAsia"/>
                <w:szCs w:val="21"/>
              </w:rPr>
              <w:t>安装主动安全智能防控系统；</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《道路交通安全法实施条例》第14条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关于贯彻《道路运输车辆动态监督管理办法》的实施意见（交通运输部第55号令）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《道路旅客运输企业安全管理规范》（交运发〔2018〕55号）第49至57条</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bookmarkStart w:id="8" w:name="_Hlk54038319"/>
            <w:r>
              <w:rPr>
                <w:rFonts w:hint="eastAsia" w:cs="宋体" w:asciiTheme="minorEastAsia" w:hAnsiTheme="minorEastAsia"/>
                <w:szCs w:val="21"/>
              </w:rPr>
              <w:t>9</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驾驶员管理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20.按照相关法规和驾驶员安全管理制度，规范驾驶员招聘、岗前培训和日常管理等，其中驾驶员岗前培训不少于2</w:t>
            </w:r>
            <w:r>
              <w:rPr>
                <w:rFonts w:cs="宋体" w:asciiTheme="minorEastAsia" w:hAnsiTheme="minorEastAsia"/>
                <w:szCs w:val="21"/>
              </w:rPr>
              <w:t>4</w:t>
            </w:r>
            <w:r>
              <w:rPr>
                <w:rFonts w:hint="eastAsia" w:cs="宋体" w:asciiTheme="minorEastAsia" w:hAnsiTheme="minorEastAsia"/>
                <w:szCs w:val="21"/>
              </w:rPr>
              <w:t>学时，并应在此基础上实际跟车实习，在岗学习每月不少于一次，每次不少于2学时，并对驾驶员实施全过程管理；</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《中华人民共和国道路交通安全法》（2021年修正） 第19条、第23条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《道路交通安全法实施条例》第20条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《中华人民共和国道路运输条例》（国务院令第666号）第9条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《道路旅客运输企业安全管理规范》（交运发〔2018〕55号）第20至27条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《道路运输从业人员管理规定》（交通运输部令2019年第18号）第9条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《道路旅客运输企业安全管理规范》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《道路运输驾驶员继续教育办法》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rPr>
            </w:pPr>
            <w:r>
              <w:rPr>
                <w:rFonts w:hint="eastAsia" w:cs="宋体" w:asciiTheme="minorEastAsia" w:hAnsiTheme="minorEastAsia"/>
                <w:szCs w:val="21"/>
                <w:lang w:eastAsia="zh-CN"/>
              </w:rPr>
              <w:t>《</w:t>
            </w:r>
            <w:r>
              <w:rPr>
                <w:rFonts w:hint="eastAsia" w:cs="宋体" w:asciiTheme="minorEastAsia" w:hAnsiTheme="minorEastAsia"/>
                <w:szCs w:val="21"/>
              </w:rPr>
              <w:t>城市公共汽车和电车客运管理规定</w:t>
            </w:r>
            <w:r>
              <w:rPr>
                <w:rFonts w:hint="eastAsia" w:cs="宋体" w:asciiTheme="minorEastAsia" w:hAnsiTheme="minorEastAsia"/>
                <w:szCs w:val="21"/>
                <w:lang w:eastAsia="zh-CN"/>
              </w:rPr>
              <w:t>》</w:t>
            </w:r>
            <w:r>
              <w:rPr>
                <w:rFonts w:hint="eastAsia" w:cs="宋体" w:asciiTheme="minorEastAsia" w:hAnsiTheme="minorEastAsia"/>
                <w:szCs w:val="21"/>
              </w:rPr>
              <w:t>（交通运输部令2017年第5号）</w:t>
            </w:r>
            <w:r>
              <w:rPr>
                <w:rFonts w:hint="eastAsia" w:cs="宋体" w:asciiTheme="minorEastAsia" w:hAnsiTheme="minorEastAsia"/>
                <w:szCs w:val="21"/>
                <w:lang w:val="en-US" w:eastAsia="zh-CN"/>
              </w:rPr>
              <w:t>第27条、28条、29条</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10</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运输组织保障</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21.依据相关法律法规和经营许可事项从事，规范开展客运经营活动，制定</w:t>
            </w:r>
            <w:r>
              <w:rPr>
                <w:rFonts w:hint="eastAsia" w:cs="宋体" w:asciiTheme="minorEastAsia" w:hAnsiTheme="minorEastAsia"/>
                <w:szCs w:val="21"/>
                <w:lang w:val="en-US" w:eastAsia="zh-CN"/>
              </w:rPr>
              <w:t>线路</w:t>
            </w:r>
            <w:r>
              <w:rPr>
                <w:rFonts w:hint="eastAsia" w:cs="宋体" w:asciiTheme="minorEastAsia" w:hAnsiTheme="minorEastAsia"/>
                <w:szCs w:val="21"/>
              </w:rPr>
              <w:t>运行方案；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22.按照相关法律法规，对客运驾驶员配备和驾驶时间及休息时间等实施全过程管理；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szCs w:val="21"/>
              </w:rPr>
              <w:t>23.按照相关法律法规，对运输服务实施全过程管理</w:t>
            </w:r>
            <w:r>
              <w:rPr>
                <w:rFonts w:hint="eastAsia" w:cs="宋体" w:asciiTheme="minorEastAsia" w:hAnsiTheme="minorEastAsia"/>
                <w:szCs w:val="21"/>
                <w:lang w:val="en-US" w:eastAsia="zh-CN"/>
              </w:rPr>
              <w:t>；</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《城市公共汽车和电车客运管理规定》（交通运输部令2017年第5号）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11</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双重预防机制</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24.建立安全风险分级管控和隐患排查治理双重预防机制，定期开展风险辨识、评估、分级，制定分级管控措施。形成不同风险等级的企业管控责任清单、管控措施清单、“明白卡”和安全风险手册；</w:t>
            </w:r>
            <w:r>
              <w:rPr>
                <w:rFonts w:cs="宋体" w:asciiTheme="minorEastAsia" w:hAnsi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25. 根据风险点开展隐患排查治理，制定“问题隐患清单”“制度措施清单”，并建立完善台账和档案；</w:t>
            </w:r>
            <w:r>
              <w:rPr>
                <w:rFonts w:cs="宋体" w:asciiTheme="minorEastAsia" w:hAnsiTheme="minorEastAsia"/>
                <w:szCs w:val="21"/>
              </w:rPr>
              <w:t xml:space="preserve"> </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《中共中央 国务院关于推进安全生产领域改革发展的意见》（中发〔2016〕32号）第5大项第20至22小项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《中华人民共和国安全生产法（2021年修正）》第38条、第43条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《四川省生产经营单位安全生产责任规定》第29条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《公路水路行业安全生产风险管理暂行办法》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《道路旅客运输企业安全管理规范》第71、78条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12</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应急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26.建立与生产经营活动相适应的应急救援体系；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27.编制各类应急救援预案，并按照规定进行评审、备案、培训和演练，每年至少组织一次综合应急预案或者专项应急预案演练，每半年至少组织一次现场处置方案演练；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28.建立应急救援队伍，配备必要的应急装备和物资；</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《中华人民共和国安全生产法（2021年修正）》第47、78条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《生产安全事故报告和调查处理条例》（国务院令第493号）第9、14条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《生产安全事故应急条例》（国务院令第708号）第6、10、17条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《四川省生产经营单位安全生产责任规定》第31条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《生产安全事故应急预案管理办法》（应急管理部令第2号）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15</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生产安全事故管理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29.按照相关法律法规和事故报告调查处理统计管理制度，及时、如实向有关部门报告事故情况；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30.按照“四不放过”原则开展事故调查处理工作；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31.按照行业要求，定期开展事故统计分析工作；</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《中华人民共和国安全生产法（2021年修正）》第80条、第84条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《生产安全事故报告和调查处理条例》（国务院令第493号）第9条、第12条、第14条、第33条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《生产安全事故统计管理办法》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16</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其他</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32.法律、法规、规章规定的其他安全生产责任。</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p>
        </w:tc>
      </w:tr>
    </w:tbl>
    <w:p>
      <w:pPr>
        <w:rPr>
          <w:rFonts w:cs="华文中宋" w:asciiTheme="minorEastAsia" w:hAnsiTheme="minorEastAsia"/>
          <w:b/>
          <w:bCs/>
          <w:szCs w:val="21"/>
        </w:rPr>
      </w:pPr>
      <w:bookmarkStart w:id="9" w:name="_GoBack"/>
      <w:bookmarkEnd w:id="9"/>
    </w:p>
    <w:sectPr>
      <w:footerReference r:id="rId3" w:type="default"/>
      <w:pgSz w:w="16838" w:h="11906" w:orient="landscape"/>
      <w:pgMar w:top="1134" w:right="1134" w:bottom="1134" w:left="1134"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993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80010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3pt;height:144pt;width:144pt;mso-position-horizontal:center;mso-position-horizontal-relative:margin;mso-wrap-style:none;z-index:251661312;mso-width-relative:page;mso-height-relative:page;" filled="f" stroked="f" coordsize="21600,21600" o:gfxdata="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GZldvSAAAABwEA&#10;AA8AAAAAAAAAAQAgAAAAIgAAAGRycy9kb3ducmV2LnhtbFBLAQIUABQAAAAIAIdO4kDhzD29rgEA&#10;AEsDAAAOAAAAAAAAAAEAIAAAACEBAABkcnMvZTJvRG9jLnhtbFBLBQYAAAAABgAGAFkBAABBBQAA&#10;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2"/>
      <w:lvlJc w:val="left"/>
      <w:pPr>
        <w:ind w:left="0" w:firstLine="0"/>
      </w:pPr>
      <w:rPr>
        <w:rFonts w:ascii="宋体" w:hAnsi="宋体" w:eastAsia="宋体" w:cs="Times New Roman"/>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1980" w:firstLine="0"/>
      </w:pPr>
      <w:rPr>
        <w:rFonts w:hint="eastAsia" w:ascii="黑体" w:hAnsi="Times New Roman" w:eastAsia="黑体"/>
        <w:b w:val="0"/>
        <w:i w:val="0"/>
        <w:sz w:val="21"/>
      </w:rPr>
    </w:lvl>
    <w:lvl w:ilvl="4" w:tentative="0">
      <w:start w:val="1"/>
      <w:numFmt w:val="decimal"/>
      <w:pStyle w:val="18"/>
      <w:suff w:val="nothing"/>
      <w:lvlText w:val="%1%2.%3.%4.%5　"/>
      <w:lvlJc w:val="left"/>
      <w:pPr>
        <w:ind w:left="108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42EC0"/>
    <w:rsid w:val="00010008"/>
    <w:rsid w:val="0001124F"/>
    <w:rsid w:val="00014C05"/>
    <w:rsid w:val="0004482E"/>
    <w:rsid w:val="000815A4"/>
    <w:rsid w:val="000B3F72"/>
    <w:rsid w:val="000D1121"/>
    <w:rsid w:val="00106560"/>
    <w:rsid w:val="00115C52"/>
    <w:rsid w:val="001359D4"/>
    <w:rsid w:val="001A5DB6"/>
    <w:rsid w:val="001D713D"/>
    <w:rsid w:val="001E01F3"/>
    <w:rsid w:val="001F1EEE"/>
    <w:rsid w:val="001F2967"/>
    <w:rsid w:val="00226941"/>
    <w:rsid w:val="0025376B"/>
    <w:rsid w:val="00262E6D"/>
    <w:rsid w:val="00273785"/>
    <w:rsid w:val="00303B40"/>
    <w:rsid w:val="00306F53"/>
    <w:rsid w:val="00310CD5"/>
    <w:rsid w:val="00350762"/>
    <w:rsid w:val="00392AC0"/>
    <w:rsid w:val="00456CA0"/>
    <w:rsid w:val="004739C2"/>
    <w:rsid w:val="00475E3C"/>
    <w:rsid w:val="00483477"/>
    <w:rsid w:val="005927BF"/>
    <w:rsid w:val="005A1D55"/>
    <w:rsid w:val="005A6696"/>
    <w:rsid w:val="005B6B6E"/>
    <w:rsid w:val="005E7981"/>
    <w:rsid w:val="00627A7D"/>
    <w:rsid w:val="006D23A3"/>
    <w:rsid w:val="007F0532"/>
    <w:rsid w:val="00802D2C"/>
    <w:rsid w:val="00841EF5"/>
    <w:rsid w:val="00855534"/>
    <w:rsid w:val="008870D0"/>
    <w:rsid w:val="008A7A0E"/>
    <w:rsid w:val="008D658F"/>
    <w:rsid w:val="008E4367"/>
    <w:rsid w:val="008F26D3"/>
    <w:rsid w:val="00915E87"/>
    <w:rsid w:val="0091713E"/>
    <w:rsid w:val="0093768C"/>
    <w:rsid w:val="0094750E"/>
    <w:rsid w:val="009A3C31"/>
    <w:rsid w:val="00A11667"/>
    <w:rsid w:val="00A22DBE"/>
    <w:rsid w:val="00A44CAF"/>
    <w:rsid w:val="00A50591"/>
    <w:rsid w:val="00A54237"/>
    <w:rsid w:val="00A613EF"/>
    <w:rsid w:val="00A61DC2"/>
    <w:rsid w:val="00A651EF"/>
    <w:rsid w:val="00A84444"/>
    <w:rsid w:val="00B26D17"/>
    <w:rsid w:val="00B31E9B"/>
    <w:rsid w:val="00BA04B2"/>
    <w:rsid w:val="00C0276A"/>
    <w:rsid w:val="00C16F9A"/>
    <w:rsid w:val="00CC4CBE"/>
    <w:rsid w:val="00D414C2"/>
    <w:rsid w:val="00D64458"/>
    <w:rsid w:val="00D82090"/>
    <w:rsid w:val="00D85EF5"/>
    <w:rsid w:val="00D90602"/>
    <w:rsid w:val="00DD115F"/>
    <w:rsid w:val="00DD3BDA"/>
    <w:rsid w:val="00E20BD1"/>
    <w:rsid w:val="00E43131"/>
    <w:rsid w:val="00EB6372"/>
    <w:rsid w:val="00EC3C05"/>
    <w:rsid w:val="00EC5718"/>
    <w:rsid w:val="00F42C20"/>
    <w:rsid w:val="00F74DC6"/>
    <w:rsid w:val="00F83B80"/>
    <w:rsid w:val="00FB43B4"/>
    <w:rsid w:val="00FC40AF"/>
    <w:rsid w:val="0111656C"/>
    <w:rsid w:val="03802A32"/>
    <w:rsid w:val="0A2A7082"/>
    <w:rsid w:val="0D033CE1"/>
    <w:rsid w:val="1131335D"/>
    <w:rsid w:val="11797AC1"/>
    <w:rsid w:val="15992523"/>
    <w:rsid w:val="17EB2F00"/>
    <w:rsid w:val="18996F63"/>
    <w:rsid w:val="18A130EA"/>
    <w:rsid w:val="18D845E1"/>
    <w:rsid w:val="1BB925A1"/>
    <w:rsid w:val="1BF90701"/>
    <w:rsid w:val="1F9A4BCD"/>
    <w:rsid w:val="21C72D8A"/>
    <w:rsid w:val="226F404E"/>
    <w:rsid w:val="27E84F81"/>
    <w:rsid w:val="281A1503"/>
    <w:rsid w:val="2A641DEB"/>
    <w:rsid w:val="2EFC6857"/>
    <w:rsid w:val="30D07663"/>
    <w:rsid w:val="328F6654"/>
    <w:rsid w:val="32F362A6"/>
    <w:rsid w:val="37BF5DFB"/>
    <w:rsid w:val="3A0E70C2"/>
    <w:rsid w:val="3AAA6531"/>
    <w:rsid w:val="3FC16676"/>
    <w:rsid w:val="409B19A3"/>
    <w:rsid w:val="410216C9"/>
    <w:rsid w:val="46341F82"/>
    <w:rsid w:val="47D022E4"/>
    <w:rsid w:val="49942EC0"/>
    <w:rsid w:val="49D507BF"/>
    <w:rsid w:val="4A1A7981"/>
    <w:rsid w:val="4FD45925"/>
    <w:rsid w:val="4FEA9353"/>
    <w:rsid w:val="502453E9"/>
    <w:rsid w:val="530713B9"/>
    <w:rsid w:val="53250877"/>
    <w:rsid w:val="54E25C13"/>
    <w:rsid w:val="566F72FB"/>
    <w:rsid w:val="57B245ED"/>
    <w:rsid w:val="59312609"/>
    <w:rsid w:val="59492A6C"/>
    <w:rsid w:val="594FD96F"/>
    <w:rsid w:val="5AC94AF3"/>
    <w:rsid w:val="5B121340"/>
    <w:rsid w:val="5BC30B30"/>
    <w:rsid w:val="5D857769"/>
    <w:rsid w:val="5FEC05A4"/>
    <w:rsid w:val="613C537B"/>
    <w:rsid w:val="64E4416E"/>
    <w:rsid w:val="66F8185D"/>
    <w:rsid w:val="68917E9C"/>
    <w:rsid w:val="6A133820"/>
    <w:rsid w:val="6AAE5E41"/>
    <w:rsid w:val="6AF736B5"/>
    <w:rsid w:val="6B502503"/>
    <w:rsid w:val="6DE77217"/>
    <w:rsid w:val="6EC620A1"/>
    <w:rsid w:val="6F5F74E7"/>
    <w:rsid w:val="719E1B68"/>
    <w:rsid w:val="75FC71D5"/>
    <w:rsid w:val="78802747"/>
    <w:rsid w:val="79F82AC8"/>
    <w:rsid w:val="7B824DE3"/>
    <w:rsid w:val="7CCE02FF"/>
    <w:rsid w:val="7EF76C16"/>
    <w:rsid w:val="7F94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link w:val="14"/>
    <w:qFormat/>
    <w:uiPriority w:val="0"/>
    <w:pPr>
      <w:ind w:firstLine="420" w:firstLineChars="20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i/>
    </w:rPr>
  </w:style>
  <w:style w:type="character" w:styleId="13">
    <w:name w:val="Hyperlink"/>
    <w:basedOn w:val="10"/>
    <w:qFormat/>
    <w:uiPriority w:val="0"/>
    <w:rPr>
      <w:color w:val="000000"/>
      <w:u w:val="none"/>
    </w:rPr>
  </w:style>
  <w:style w:type="character" w:customStyle="1" w:styleId="14">
    <w:name w:val="正文首行缩进 2 Char"/>
    <w:basedOn w:val="10"/>
    <w:link w:val="2"/>
    <w:qFormat/>
    <w:uiPriority w:val="0"/>
    <w:rPr>
      <w:rFonts w:asciiTheme="minorHAnsi" w:hAnsiTheme="minorHAnsi" w:eastAsiaTheme="minorEastAsia" w:cstheme="minorBidi"/>
      <w:kern w:val="2"/>
      <w:sz w:val="21"/>
      <w:szCs w:val="22"/>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99"/>
    <w:rPr>
      <w:rFonts w:asciiTheme="minorHAnsi" w:hAnsiTheme="minorHAnsi" w:eastAsiaTheme="minorEastAsia" w:cstheme="minorBidi"/>
      <w:kern w:val="2"/>
      <w:sz w:val="18"/>
      <w:szCs w:val="18"/>
    </w:rPr>
  </w:style>
  <w:style w:type="paragraph" w:customStyle="1" w:styleId="17">
    <w:name w:val="其他"/>
    <w:basedOn w:val="1"/>
    <w:qFormat/>
    <w:uiPriority w:val="0"/>
    <w:pPr>
      <w:shd w:val="clear" w:color="auto" w:fill="FFFFFF"/>
      <w:spacing w:line="420" w:lineRule="exact"/>
      <w:ind w:firstLine="20"/>
    </w:pPr>
    <w:rPr>
      <w:rFonts w:ascii="黑体" w:hAnsi="黑体" w:eastAsia="黑体" w:cs="黑体"/>
      <w:sz w:val="36"/>
      <w:szCs w:val="36"/>
      <w:lang w:val="zh-CN" w:bidi="zh-CN"/>
    </w:rPr>
  </w:style>
  <w:style w:type="paragraph" w:customStyle="1" w:styleId="18">
    <w:name w:val="三级条标题"/>
    <w:basedOn w:val="19"/>
    <w:next w:val="22"/>
    <w:qFormat/>
    <w:uiPriority w:val="0"/>
    <w:pPr>
      <w:numPr>
        <w:ilvl w:val="4"/>
      </w:numPr>
      <w:ind w:left="2160"/>
      <w:outlineLvl w:val="4"/>
    </w:pPr>
  </w:style>
  <w:style w:type="paragraph" w:customStyle="1" w:styleId="19">
    <w:name w:val="二级条标题"/>
    <w:basedOn w:val="20"/>
    <w:next w:val="22"/>
    <w:qFormat/>
    <w:uiPriority w:val="0"/>
    <w:pPr>
      <w:numPr>
        <w:ilvl w:val="3"/>
      </w:numPr>
      <w:ind w:left="360"/>
      <w:outlineLvl w:val="3"/>
    </w:pPr>
  </w:style>
  <w:style w:type="paragraph" w:customStyle="1" w:styleId="20">
    <w:name w:val="一级条标题"/>
    <w:basedOn w:val="21"/>
    <w:next w:val="22"/>
    <w:qFormat/>
    <w:uiPriority w:val="0"/>
    <w:pPr>
      <w:numPr>
        <w:ilvl w:val="2"/>
      </w:numPr>
      <w:spacing w:beforeLines="0" w:afterLines="0"/>
      <w:ind w:left="0"/>
      <w:outlineLvl w:val="2"/>
    </w:pPr>
  </w:style>
  <w:style w:type="paragraph" w:customStyle="1" w:styleId="21">
    <w:name w:val="章标题"/>
    <w:next w:val="2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24">
    <w:name w:val="标题 3 Char"/>
    <w:basedOn w:val="10"/>
    <w:link w:val="4"/>
    <w:semiHidden/>
    <w:qFormat/>
    <w:uiPriority w:val="0"/>
    <w:rPr>
      <w:rFonts w:asciiTheme="minorHAnsi" w:hAnsiTheme="minorHAnsi" w:eastAsiaTheme="minorEastAsia" w:cstheme="minorBidi"/>
      <w:b/>
      <w:bCs/>
      <w:kern w:val="2"/>
      <w:sz w:val="32"/>
      <w:szCs w:val="32"/>
    </w:rPr>
  </w:style>
  <w:style w:type="character" w:customStyle="1" w:styleId="25">
    <w:name w:val="一级标题 Char"/>
    <w:link w:val="26"/>
    <w:qFormat/>
    <w:uiPriority w:val="0"/>
    <w:rPr>
      <w:rFonts w:eastAsia="黑体"/>
      <w:kern w:val="2"/>
      <w:sz w:val="32"/>
      <w:szCs w:val="24"/>
    </w:rPr>
  </w:style>
  <w:style w:type="paragraph" w:customStyle="1" w:styleId="26">
    <w:name w:val="一级标题"/>
    <w:basedOn w:val="1"/>
    <w:next w:val="1"/>
    <w:link w:val="25"/>
    <w:qFormat/>
    <w:uiPriority w:val="0"/>
    <w:pPr>
      <w:spacing w:line="580" w:lineRule="exact"/>
      <w:ind w:firstLine="200" w:firstLineChars="200"/>
      <w:outlineLvl w:val="2"/>
    </w:pPr>
    <w:rPr>
      <w:rFonts w:ascii="Times New Roman" w:hAnsi="Times New Roman" w:eastAsia="黑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118</Pages>
  <Words>11080</Words>
  <Characters>63162</Characters>
  <Lines>526</Lines>
  <Paragraphs>148</Paragraphs>
  <TotalTime>41</TotalTime>
  <ScaleCrop>false</ScaleCrop>
  <LinksUpToDate>false</LinksUpToDate>
  <CharactersWithSpaces>74094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2020-10-18T21:45:00Z</dcterms:created>
  <dc:creator>笑对人生</dc:creator>
  <cp:lastModifiedBy>Administrator</cp:lastModifiedBy>
  <cp:lastPrinted>2021-12-14T15:07:00Z</cp:lastPrinted>
  <dcterms:modified xsi:type="dcterms:W3CDTF">2023-04-26T02:16:36Z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F735C366336C4D85ABFBDBCE5E393091</vt:lpwstr>
  </property>
</Properties>
</file>