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rFonts w:ascii="黑体"/>
          <w:sz w:val="44"/>
          <w:szCs w:val="44"/>
        </w:rPr>
      </w:pPr>
      <w:r>
        <w:rPr>
          <w:rFonts w:hint="eastAsia" w:ascii="黑体" w:hAnsi="黑体"/>
          <w:sz w:val="44"/>
          <w:szCs w:val="44"/>
          <w:lang w:eastAsia="zh-CN"/>
        </w:rPr>
        <w:t>阆中城市建设经营投资有限公司</w:t>
      </w:r>
      <w:r>
        <w:rPr>
          <w:rFonts w:hint="eastAsia" w:ascii="黑体" w:hAnsi="黑体"/>
          <w:sz w:val="44"/>
          <w:szCs w:val="44"/>
        </w:rPr>
        <w:t>安全责任清单</w:t>
      </w:r>
    </w:p>
    <w:p>
      <w:pPr>
        <w:spacing w:line="580" w:lineRule="exact"/>
        <w:ind w:firstLine="4320" w:firstLineChars="1200"/>
        <w:outlineLvl w:val="0"/>
        <w:rPr>
          <w:rFonts w:ascii="黑体" w:hAnsi="黑体" w:eastAsia="黑体"/>
          <w:bCs/>
          <w:sz w:val="36"/>
          <w:szCs w:val="36"/>
        </w:rPr>
      </w:pPr>
      <w:bookmarkStart w:id="0" w:name="_Toc15555"/>
      <w:r>
        <w:rPr>
          <w:rFonts w:hint="eastAsia" w:ascii="黑体" w:hAnsi="黑体" w:eastAsia="黑体"/>
          <w:bCs/>
          <w:sz w:val="36"/>
          <w:szCs w:val="36"/>
        </w:rPr>
        <w:t>一、企业安全生产主体责任清单</w:t>
      </w:r>
      <w:bookmarkEnd w:id="0"/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75"/>
        <w:gridCol w:w="2008"/>
        <w:gridCol w:w="10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行业类别</w:t>
            </w:r>
          </w:p>
        </w:tc>
        <w:tc>
          <w:tcPr>
            <w:tcW w:w="12487" w:type="dxa"/>
            <w:gridSpan w:val="2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1-1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一、具备安全生产条件</w:t>
            </w:r>
          </w:p>
        </w:tc>
        <w:tc>
          <w:tcPr>
            <w:tcW w:w="10479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．企业从事生产经营活动必须符合法律、法规和国家标准或者行业标准规定的安全生产条件。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236" w:firstLineChars="98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（法律依据：《安全生产法》第十条）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．依法取得相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关营业执照、施工资质证书、安全生产许可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，在许可范围内从事生产经营。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．推进安全生产标准化建设。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．新建、改建、扩建工程建设项目严格执行相关建设程序，依法合规建设，安全设施和职业病防护设施必须与主体工程同时设计、同时施工、同时投入生产和使用。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、执行保障国家安全生产的国家标准或者行业标准；在生产经营的各环节、各岗位开展安全标准化建设工作。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（法律依据：《安全生产法》第四条、第二十八条）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二、建立健全安全生产责任制</w:t>
            </w:r>
          </w:p>
        </w:tc>
        <w:tc>
          <w:tcPr>
            <w:tcW w:w="10479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．建立覆盖企业各层级、各部门、各类人员的全员岗位安全生产责任制，层层签订安全生产责任书，明确各岗位责任人员、责任范围、责任内容等事项。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．加强对安全生产责任制落实情况的监督考核，保证安全生产责任制和目标的落实。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354" w:firstLineChars="147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法律依据：《安全生产法》第十九条）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三、设置安全生产管理机构和配置专（兼）职安全生产管理人员</w:t>
            </w:r>
          </w:p>
        </w:tc>
        <w:tc>
          <w:tcPr>
            <w:tcW w:w="10479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．按照有关规定设立安全生产委员会，设置安全生产管理机构，配备专职或兼职安全生产管理人员，并按照有关规定配备注册安全工程师。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．安全生产管理机构以及安全生产管理人员应当恪尽职守，依法履行职责。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354" w:firstLineChars="147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《安全生产法》第二十一条、第二十三条、第二十四条）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四、制定安全生产规章制度和操作规程</w:t>
            </w:r>
          </w:p>
        </w:tc>
        <w:tc>
          <w:tcPr>
            <w:tcW w:w="10479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．依据法律、法规、规章以及国家、行业或地方标准，制定涵盖本单位生产经营活动全范围、全过程的安全生产管理制度。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．根据本企业特点，分专业、分工艺制定各岗位安全操作规程。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．督促从业人员严格执行本单位的安全生产规章制度和安全操作规程。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354" w:firstLineChars="147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安全生产法》第二十二条）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五、保障安全生产投入</w:t>
            </w:r>
          </w:p>
        </w:tc>
        <w:tc>
          <w:tcPr>
            <w:tcW w:w="10479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保证企业应当具备的安全生产条件所必需的资金投入。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按照有关规定及时足额提取和使用安全生产费用，专门用于改善安全生产条件。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依法为所有从业人员缴纳工伤保险费，并为从事高危作业的员工投保意外伤害险。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法律依据：《安全生产法》第二十条）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100" w:lineRule="exact"/>
      </w:pPr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35"/>
        <w:gridCol w:w="1119"/>
        <w:gridCol w:w="1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行业类别</w:t>
            </w:r>
          </w:p>
        </w:tc>
        <w:tc>
          <w:tcPr>
            <w:tcW w:w="12924" w:type="dxa"/>
            <w:gridSpan w:val="2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1-1</w:t>
            </w:r>
          </w:p>
        </w:tc>
        <w:tc>
          <w:tcPr>
            <w:tcW w:w="103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六、组织安全生产教育培训</w:t>
            </w:r>
          </w:p>
        </w:tc>
        <w:tc>
          <w:tcPr>
            <w:tcW w:w="1180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制定并实施本单位安全生产教育和培训计划：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）主要负责人、安全管理人员应经有关主管部门培训考核合格，取得安全管理资格证书。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）所有特种作业人员应经专门的安全作业培训，取得特种作业人员操作证。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）所有运行、维护和抢修人员应经培训考核，方可上岗。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720" w:leftChars="57" w:hanging="600" w:hangingChars="2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）对新进从业人员、离岗一年以上的或者换岗的从业人员，以及采用新工艺、新技术、新材料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新设备前的有关从业人员，应当进行上岗前安全生产教育和培训。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）所有在岗从业人员（含被派遣劳动者、实习学生）应定期接受安全生产教育培训。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建立安全生产教育培训档案，如实记录从业人员参加安全生产教育和培训的时间、内容和考核结果的情况。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236" w:firstLineChars="98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法律依据：《安全生产法》第二十四条、第二十五条、第二十七条）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七、保障从业人员职业健康</w:t>
            </w:r>
          </w:p>
        </w:tc>
        <w:tc>
          <w:tcPr>
            <w:tcW w:w="1180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定期开展职业病危害因素检测和现状评价；安排接触职业危害员工接受岗前、岗中、转岗、离岗等职业体检，体检结果告知员工。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为从业人员配备与岗位安全风险相适应的、符合国家标准或行业标准要求的个体防护装备与用品，并监督、指导从业人员按照有关规定正确佩戴和使用。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236" w:firstLineChars="98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法律依据：《安全生产法》第四十九条、第五十四条）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八、建立安全风险分级管控与隐患排查治理预防机制</w:t>
            </w:r>
          </w:p>
        </w:tc>
        <w:tc>
          <w:tcPr>
            <w:tcW w:w="1180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（一）安全风险管控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定期组织开展危险源辨识与评价，对作业活动和设备设施进行危险、有害因素识别和风险评价，制定落实控制措施，并告知相关从业人员。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在具有较大危险因素的生产经营场所、设施、设备及其四周，设置明显的安全警示标志；对重大危险源建立管理档案，定期检测、评估、监控，将重大危险源及相关安全措施、应急预案报送政府有关部门备案。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3.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建立燃气场站设备设施档案；对设备设施进行经常性的检查、维护、保养；对特种设备及安全附件进行定期校验、检修；消防设施设备配置数量、类型符合实际需求，设置位置合理，定期检查、测试、维护保养。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建立燃气管线及附属设施实时更新的基础信息库；定期对燃气管线及附属设施进行巡查、监测、维护、保养、检修、更新；对特种设备及安全附件进行定期校验、检修。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  <w:szCs w:val="24"/>
              </w:rPr>
              <w:t>定期开展用户用气安全检查；发现燃气用户违反安全用气规定或者存在安全隐患的，应当及时告知燃气用户并提出书面整改建议；对燃气用户进行安全教育和指导，发放各类安全用气宣传资料，开展安全用气宣传活动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对高处作业（脚手架）、密闭空间作业、动火作业、深基坑作业、吊装等高危作业实施作业许可管理，并安排专门人员进行现场安全管理，确保操作规程的遵守和安全措施的落实。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7.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工程施工方、监理方、材料及设备供应方、专项工程外包方等相关方应具有相应的资质；与相关方签订安全生产管理协议，明确各自的安全生产管理职责；履行对相关方的安全监督管理责任。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、按照规定对安全设施、设备进行设计、制造（建设）、安装、使用维护、保养和定期检测，保证安全设施、设备正常运转。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、新建、改建、扩建项目的安全设施和职业危害防护设施与主体工程同时设计、同时施工、同时投入生产使用。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（二）隐患排查治理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  <w:szCs w:val="24"/>
              </w:rPr>
              <w:t>制定并落实安全检查计划，组织开展专项安全生产检查、季节性专项检查、节假日专项检查、事故专项检查等。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对排查出的事故隐患，制定并落实整治措施，形成闭环管理。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法律依据：《安全生产法》第二十八条、第三十八条，安监总局令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号第十条、安监总局令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号第十六条、安监总局令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号第十四条）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行业类别</w:t>
            </w:r>
          </w:p>
        </w:tc>
        <w:tc>
          <w:tcPr>
            <w:tcW w:w="12924" w:type="dxa"/>
            <w:gridSpan w:val="2"/>
          </w:tcPr>
          <w:p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仿宋" w:hAnsi="仿宋" w:eastAsia="仿宋"/>
                <w:kern w:val="0"/>
                <w:sz w:val="24"/>
              </w:rPr>
            </w:pPr>
            <w:bookmarkStart w:id="1" w:name="_GoBack"/>
            <w:bookmarkEnd w:id="1"/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1-1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九、建立应急救援机制</w:t>
            </w:r>
          </w:p>
        </w:tc>
        <w:tc>
          <w:tcPr>
            <w:tcW w:w="1180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制定应急救援预案，建立应急组织机构，完善应急程序，配备必要的应急物资装备，定期组织开展应急演练。</w:t>
            </w:r>
          </w:p>
          <w:p>
            <w:pPr>
              <w:pStyle w:val="10"/>
              <w:spacing w:line="260" w:lineRule="exact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（法律依据：</w:t>
            </w:r>
            <w:r>
              <w:rPr>
                <w:rFonts w:hint="eastAsia" w:ascii="仿宋" w:hAnsi="仿宋" w:eastAsia="仿宋"/>
                <w:b/>
                <w:lang w:eastAsia="zh-CN"/>
              </w:rPr>
              <w:t>《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生产安全事故应急管理条例</w:t>
            </w:r>
            <w:r>
              <w:rPr>
                <w:rFonts w:hint="eastAsia" w:ascii="仿宋" w:hAnsi="仿宋" w:eastAsia="仿宋"/>
                <w:b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</w:rPr>
              <w:t>第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五条、第六</w:t>
            </w:r>
            <w:r>
              <w:rPr>
                <w:rFonts w:hint="eastAsia" w:ascii="仿宋" w:hAnsi="仿宋" w:eastAsia="仿宋"/>
                <w:b/>
              </w:rPr>
              <w:t>条）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260" w:lineRule="exact"/>
              <w:ind w:left="31680" w:hanging="240" w:hangingChars="1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发生生产安全事故后，迅速启动相应的应急救援预案，积极组织抢险与救援，妥善处置，控制事态，减少人员伤亡和财产损失；按照有关规定及时、如实向当地政府及有关部门报告。</w:t>
            </w:r>
          </w:p>
          <w:p>
            <w:pPr>
              <w:pStyle w:val="10"/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（法律依据：</w:t>
            </w:r>
            <w:r>
              <w:rPr>
                <w:rFonts w:hint="eastAsia" w:ascii="仿宋" w:hAnsi="仿宋" w:eastAsia="仿宋"/>
                <w:b/>
                <w:lang w:eastAsia="zh-CN"/>
              </w:rPr>
              <w:t>《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生产安全事故应急管理条例</w:t>
            </w:r>
            <w:r>
              <w:rPr>
                <w:rFonts w:hint="eastAsia" w:ascii="仿宋" w:hAnsi="仿宋" w:eastAsia="仿宋"/>
                <w:b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</w:rPr>
              <w:t>第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十七条</w:t>
            </w:r>
          </w:p>
          <w:p>
            <w:pPr>
              <w:pStyle w:val="10"/>
              <w:spacing w:line="260" w:lineRule="exact"/>
              <w:ind w:left="31680" w:hanging="240" w:hangingChars="100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</w:rPr>
              <w:t>.</w:t>
            </w:r>
            <w:r>
              <w:rPr>
                <w:rFonts w:hint="eastAsia" w:ascii="仿宋" w:hAnsi="仿宋" w:eastAsia="仿宋"/>
              </w:rPr>
              <w:t>按照事故处理的“四不放过”原则，查清事故原因、处理事故责任人、教育相关人员、落实事故整改和预防措施。</w:t>
            </w:r>
          </w:p>
          <w:p>
            <w:pPr>
              <w:pStyle w:val="10"/>
              <w:spacing w:line="260" w:lineRule="exac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（法律依据：《安全生产法》第七十六条、第七十八条、第七十九条、第八十条）</w:t>
            </w:r>
          </w:p>
          <w:p>
            <w:pPr>
              <w:pStyle w:val="10"/>
              <w:numPr>
                <w:ilvl w:val="0"/>
                <w:numId w:val="2"/>
              </w:numPr>
              <w:spacing w:line="260" w:lineRule="exact"/>
              <w:jc w:val="both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成立专业应急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队伍，配备必要的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应急物资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（法律依据：</w:t>
            </w:r>
            <w:r>
              <w:rPr>
                <w:rFonts w:hint="eastAsia" w:ascii="仿宋" w:hAnsi="仿宋" w:eastAsia="仿宋"/>
                <w:b/>
                <w:lang w:eastAsia="zh-CN"/>
              </w:rPr>
              <w:t>《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生产安全事故应急管理条例</w:t>
            </w:r>
            <w:r>
              <w:rPr>
                <w:rFonts w:hint="eastAsia" w:ascii="仿宋" w:hAnsi="仿宋" w:eastAsia="仿宋"/>
                <w:b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</w:rPr>
              <w:t>第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十条、第十一</w:t>
            </w:r>
            <w:r>
              <w:rPr>
                <w:rFonts w:hint="eastAsia" w:ascii="仿宋" w:hAnsi="仿宋" w:eastAsia="仿宋"/>
                <w:b/>
              </w:rPr>
              <w:t>条</w:t>
            </w:r>
            <w:r>
              <w:rPr>
                <w:rFonts w:hint="eastAsia" w:ascii="仿宋" w:hAnsi="仿宋" w:eastAsia="仿宋"/>
                <w:b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十二条</w:t>
            </w:r>
          </w:p>
          <w:p>
            <w:pPr>
              <w:pStyle w:val="10"/>
              <w:spacing w:line="260" w:lineRule="exact"/>
              <w:jc w:val="both"/>
              <w:rPr>
                <w:rFonts w:ascii="仿宋" w:hAnsi="仿宋" w:eastAsia="仿宋"/>
                <w:b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3612F"/>
    <w:multiLevelType w:val="singleLevel"/>
    <w:tmpl w:val="CCB3612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4BCEE2"/>
    <w:multiLevelType w:val="singleLevel"/>
    <w:tmpl w:val="574BCE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jZhMGE4MzhjZDRhZWRiOTY5NjU1NWQ3ZTk1ZjUifQ=="/>
  </w:docVars>
  <w:rsids>
    <w:rsidRoot w:val="5B12465E"/>
    <w:rsid w:val="360D7EBC"/>
    <w:rsid w:val="5B1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总则"/>
    <w:basedOn w:val="1"/>
    <w:uiPriority w:val="0"/>
    <w:pPr>
      <w:jc w:val="center"/>
    </w:pPr>
    <w:rPr>
      <w:rFonts w:eastAsia="方正仿宋_GBK" w:asciiTheme="minorAscii" w:hAnsiTheme="minorAscii"/>
      <w:sz w:val="32"/>
      <w:szCs w:val="22"/>
    </w:rPr>
  </w:style>
  <w:style w:type="paragraph" w:customStyle="1" w:styleId="8">
    <w:name w:val="一级标题"/>
    <w:basedOn w:val="9"/>
    <w:next w:val="9"/>
    <w:autoRedefine/>
    <w:qFormat/>
    <w:uiPriority w:val="99"/>
    <w:pPr>
      <w:outlineLvl w:val="2"/>
    </w:pPr>
    <w:rPr>
      <w:rFonts w:eastAsia="黑体"/>
    </w:rPr>
  </w:style>
  <w:style w:type="paragraph" w:customStyle="1" w:styleId="9">
    <w:name w:val="公文主体"/>
    <w:basedOn w:val="1"/>
    <w:autoRedefine/>
    <w:qFormat/>
    <w:uiPriority w:val="99"/>
    <w:pPr>
      <w:spacing w:line="580" w:lineRule="exact"/>
      <w:ind w:firstLine="200" w:firstLineChars="200"/>
    </w:pPr>
    <w:rPr>
      <w:rFonts w:eastAsia="仿宋_GB2312"/>
      <w:sz w:val="24"/>
      <w:szCs w:val="20"/>
    </w:rPr>
  </w:style>
  <w:style w:type="paragraph" w:customStyle="1" w:styleId="10">
    <w:name w:val="Default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宋体" w:hAnsi="Calibri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2024-05-14T07:37:00Z</dcterms:created>
  <dc:creator>优果鲜商城路店</dc:creator>
  <cp:lastModifiedBy>优果鲜商城路店</cp:lastModifiedBy>
  <dcterms:modified xsi:type="dcterms:W3CDTF">2024-05-14T07:38:49Z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6547F391789245C084713C1369902B49_11</vt:lpwstr>
  </property>
</Properties>
</file>