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sz w:val="44"/>
          <w:szCs w:val="44"/>
        </w:rPr>
      </w:pPr>
    </w:p>
    <w:p>
      <w:pPr>
        <w:rPr>
          <w:rFonts w:ascii="方正小标宋简体" w:eastAsia="方正小标宋简体"/>
          <w:sz w:val="44"/>
          <w:szCs w:val="44"/>
        </w:rPr>
      </w:pPr>
    </w:p>
    <w:p>
      <w:pPr>
        <w:jc w:val="center"/>
        <w:rPr>
          <w:rFonts w:ascii="方正小标宋简体" w:eastAsia="方正小标宋简体"/>
          <w:sz w:val="36"/>
          <w:szCs w:val="36"/>
        </w:rPr>
      </w:pPr>
      <w:r>
        <w:rPr>
          <w:rFonts w:hint="eastAsia" w:ascii="方正小标宋简体" w:eastAsia="方正小标宋简体"/>
          <w:sz w:val="36"/>
          <w:szCs w:val="36"/>
        </w:rPr>
        <w:t>中国石油天然气股份有限公司四川南充销售分公司</w:t>
      </w:r>
    </w:p>
    <w:p>
      <w:pPr>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lang w:val="en-US" w:eastAsia="zh-CN"/>
        </w:rPr>
        <w:t>莺花路</w:t>
      </w:r>
      <w:r>
        <w:rPr>
          <w:rFonts w:hint="eastAsia" w:ascii="方正小标宋简体" w:eastAsia="方正小标宋简体"/>
          <w:sz w:val="44"/>
          <w:szCs w:val="44"/>
        </w:rPr>
        <w:t>加油站</w:t>
      </w:r>
    </w:p>
    <w:p>
      <w:pPr>
        <w:jc w:val="center"/>
        <w:rPr>
          <w:rFonts w:hint="eastAsia" w:ascii="方正小标宋简体" w:eastAsia="方正小标宋简体"/>
          <w:sz w:val="44"/>
          <w:szCs w:val="44"/>
        </w:rPr>
      </w:pPr>
    </w:p>
    <w:p>
      <w:pPr>
        <w:pStyle w:val="2"/>
        <w:ind w:firstLine="210"/>
        <w:rPr>
          <w:rFonts w:hint="eastAsia"/>
        </w:rPr>
      </w:pPr>
    </w:p>
    <w:p>
      <w:pPr>
        <w:pStyle w:val="2"/>
        <w:ind w:firstLine="210"/>
        <w:rPr>
          <w:rFonts w:hint="eastAsia"/>
        </w:rPr>
      </w:pPr>
    </w:p>
    <w:p>
      <w:pPr>
        <w:pStyle w:val="2"/>
        <w:ind w:firstLine="210"/>
        <w:rPr>
          <w:rFonts w:hint="eastAsia"/>
        </w:rPr>
      </w:pPr>
    </w:p>
    <w:p>
      <w:pPr>
        <w:pStyle w:val="2"/>
        <w:ind w:firstLine="210"/>
        <w:rPr>
          <w:rFonts w:hint="eastAsia"/>
        </w:rPr>
      </w:pPr>
    </w:p>
    <w:p>
      <w:pPr>
        <w:pStyle w:val="2"/>
        <w:ind w:firstLine="210"/>
      </w:pPr>
    </w:p>
    <w:p>
      <w:pPr>
        <w:jc w:val="center"/>
        <w:rPr>
          <w:rFonts w:ascii="方正小标宋简体" w:eastAsia="方正小标宋简体"/>
          <w:sz w:val="44"/>
          <w:szCs w:val="44"/>
        </w:rPr>
      </w:pPr>
      <w:r>
        <w:rPr>
          <w:rFonts w:hint="eastAsia" w:ascii="方正小标宋简体" w:eastAsia="方正小标宋简体"/>
          <w:sz w:val="44"/>
          <w:szCs w:val="44"/>
        </w:rPr>
        <w:t>安全生产管理责任清单</w:t>
      </w:r>
    </w:p>
    <w:p>
      <w:pPr>
        <w:jc w:val="center"/>
        <w:rPr>
          <w:rFonts w:hint="eastAsia" w:ascii="方正小标宋简体" w:eastAsia="方正小标宋简体"/>
          <w:szCs w:val="21"/>
        </w:rPr>
      </w:pPr>
    </w:p>
    <w:p>
      <w:pPr>
        <w:jc w:val="center"/>
        <w:rPr>
          <w:rFonts w:hint="eastAsia" w:ascii="方正小标宋简体" w:eastAsia="方正小标宋简体"/>
          <w:szCs w:val="21"/>
        </w:rPr>
      </w:pPr>
    </w:p>
    <w:p>
      <w:pPr>
        <w:jc w:val="center"/>
        <w:rPr>
          <w:rFonts w:hint="eastAsia" w:ascii="方正小标宋简体" w:eastAsia="方正小标宋简体"/>
          <w:szCs w:val="21"/>
        </w:rPr>
      </w:pPr>
    </w:p>
    <w:p>
      <w:pPr>
        <w:jc w:val="center"/>
        <w:rPr>
          <w:rFonts w:hint="eastAsia" w:ascii="方正小标宋简体" w:eastAsia="方正小标宋简体"/>
          <w:szCs w:val="21"/>
        </w:rPr>
      </w:pPr>
    </w:p>
    <w:p>
      <w:pPr>
        <w:jc w:val="center"/>
        <w:rPr>
          <w:rFonts w:hint="eastAsia" w:ascii="方正小标宋简体" w:eastAsia="方正小标宋简体"/>
          <w:szCs w:val="21"/>
        </w:rPr>
      </w:pPr>
    </w:p>
    <w:p>
      <w:pPr>
        <w:jc w:val="center"/>
        <w:rPr>
          <w:rFonts w:hint="eastAsia" w:ascii="方正小标宋简体" w:eastAsia="方正小标宋简体"/>
          <w:szCs w:val="21"/>
        </w:rPr>
      </w:pPr>
    </w:p>
    <w:p>
      <w:pPr>
        <w:jc w:val="center"/>
        <w:rPr>
          <w:rFonts w:hint="eastAsia" w:ascii="方正小标宋简体" w:eastAsia="方正小标宋简体"/>
          <w:szCs w:val="21"/>
        </w:rPr>
      </w:pPr>
    </w:p>
    <w:p>
      <w:pPr>
        <w:jc w:val="center"/>
        <w:rPr>
          <w:rFonts w:ascii="方正小标宋简体" w:eastAsia="方正小标宋简体"/>
          <w:szCs w:val="21"/>
        </w:rPr>
      </w:pPr>
      <w:r>
        <w:rPr>
          <w:rFonts w:hint="eastAsia" w:ascii="方正小标宋简体" w:eastAsia="方正小标宋简体"/>
          <w:szCs w:val="21"/>
        </w:rPr>
        <w:t>编制单位</w:t>
      </w:r>
      <w:r>
        <w:rPr>
          <w:rFonts w:hint="eastAsia" w:ascii="方正小标宋简体" w:eastAsia="方正小标宋简体"/>
          <w:sz w:val="28"/>
          <w:szCs w:val="28"/>
        </w:rPr>
        <w:t>：</w:t>
      </w:r>
      <w:r>
        <w:rPr>
          <w:rFonts w:hint="eastAsia" w:ascii="方正小标宋简体" w:eastAsia="方正小标宋简体"/>
          <w:szCs w:val="21"/>
        </w:rPr>
        <w:t>中国石油天然气股份有限公司四川南充销售分公司</w:t>
      </w:r>
      <w:r>
        <w:rPr>
          <w:rFonts w:hint="eastAsia" w:ascii="方正小标宋简体" w:eastAsia="方正小标宋简体"/>
          <w:szCs w:val="21"/>
          <w:lang w:val="en-US" w:eastAsia="zh-CN"/>
        </w:rPr>
        <w:t>莺花路</w:t>
      </w:r>
      <w:r>
        <w:rPr>
          <w:rFonts w:hint="eastAsia" w:ascii="方正小标宋简体" w:eastAsia="方正小标宋简体"/>
          <w:szCs w:val="21"/>
        </w:rPr>
        <w:t>加油站</w:t>
      </w:r>
    </w:p>
    <w:p>
      <w:pPr>
        <w:jc w:val="center"/>
        <w:rPr>
          <w:rFonts w:ascii="方正小标宋简体" w:eastAsia="方正小标宋简体"/>
          <w:sz w:val="44"/>
          <w:szCs w:val="44"/>
        </w:rPr>
      </w:pPr>
    </w:p>
    <w:p>
      <w:pPr>
        <w:rPr>
          <w:rFonts w:ascii="方正小标宋简体" w:eastAsia="方正小标宋简体"/>
          <w:sz w:val="44"/>
          <w:szCs w:val="44"/>
        </w:rPr>
      </w:pPr>
    </w:p>
    <w:p>
      <w:pPr>
        <w:jc w:val="center"/>
        <w:rPr>
          <w:rFonts w:hint="eastAsia" w:ascii="方正小标宋简体" w:eastAsia="方正小标宋简体"/>
          <w:sz w:val="44"/>
          <w:szCs w:val="44"/>
        </w:rPr>
      </w:pPr>
    </w:p>
    <w:p>
      <w:pPr>
        <w:pStyle w:val="2"/>
        <w:ind w:firstLine="210"/>
      </w:pPr>
    </w:p>
    <w:p>
      <w:pPr>
        <w:jc w:val="center"/>
        <w:rPr>
          <w:rFonts w:hint="eastAsia" w:ascii="方正小标宋简体" w:eastAsia="方正小标宋简体"/>
          <w:sz w:val="44"/>
          <w:szCs w:val="44"/>
          <w:lang w:val="en-US" w:eastAsia="zh-CN"/>
        </w:rPr>
      </w:pPr>
    </w:p>
    <w:p>
      <w:pPr>
        <w:jc w:val="center"/>
        <w:rPr>
          <w:rFonts w:hint="eastAsia" w:ascii="方正小标宋简体" w:eastAsia="方正小标宋简体"/>
          <w:sz w:val="44"/>
          <w:szCs w:val="44"/>
          <w:lang w:val="en-US" w:eastAsia="zh-CN"/>
        </w:rPr>
      </w:pPr>
    </w:p>
    <w:p>
      <w:pPr>
        <w:jc w:val="center"/>
        <w:rPr>
          <w:rFonts w:hint="eastAsia" w:ascii="方正小标宋简体" w:eastAsia="方正小标宋简体"/>
          <w:sz w:val="44"/>
          <w:szCs w:val="44"/>
          <w:lang w:val="en-US" w:eastAsia="zh-CN"/>
        </w:rPr>
      </w:pPr>
    </w:p>
    <w:p>
      <w:pPr>
        <w:jc w:val="center"/>
        <w:rPr>
          <w:rFonts w:hint="eastAsia" w:ascii="方正小标宋简体" w:eastAsia="方正小标宋简体"/>
          <w:sz w:val="44"/>
          <w:szCs w:val="44"/>
          <w:lang w:val="en-US" w:eastAsia="zh-CN"/>
        </w:rPr>
      </w:pPr>
    </w:p>
    <w:p>
      <w:pPr>
        <w:jc w:val="center"/>
        <w:rPr>
          <w:rFonts w:hint="eastAsia" w:ascii="方正小标宋简体" w:eastAsia="方正小标宋简体"/>
          <w:sz w:val="44"/>
          <w:szCs w:val="44"/>
          <w:lang w:val="en-US" w:eastAsia="zh-CN"/>
        </w:rPr>
      </w:pPr>
    </w:p>
    <w:p>
      <w:pPr>
        <w:jc w:val="center"/>
        <w:rPr>
          <w:rFonts w:ascii="方正小标宋简体" w:eastAsia="方正小标宋简体"/>
          <w:sz w:val="44"/>
          <w:szCs w:val="44"/>
        </w:rPr>
      </w:pPr>
      <w:r>
        <w:rPr>
          <w:rFonts w:hint="eastAsia" w:ascii="方正小标宋简体" w:eastAsia="方正小标宋简体"/>
          <w:sz w:val="44"/>
          <w:szCs w:val="44"/>
          <w:lang w:val="en-US" w:eastAsia="zh-CN"/>
        </w:rPr>
        <w:t>莺花路</w:t>
      </w:r>
      <w:r>
        <w:rPr>
          <w:rFonts w:hint="eastAsia" w:ascii="方正小标宋简体" w:eastAsia="方正小标宋简体"/>
          <w:sz w:val="44"/>
          <w:szCs w:val="44"/>
        </w:rPr>
        <w:t>加油站安全生产责任清单</w:t>
      </w:r>
    </w:p>
    <w:p>
      <w:pPr>
        <w:jc w:val="center"/>
        <w:rPr>
          <w:rFonts w:ascii="方正仿宋简体" w:eastAsia="方正仿宋简体"/>
          <w:sz w:val="32"/>
          <w:szCs w:val="32"/>
        </w:rPr>
      </w:pPr>
      <w:r>
        <w:rPr>
          <w:rFonts w:hint="eastAsia" w:ascii="方正仿宋简体" w:eastAsia="方正仿宋简体"/>
          <w:sz w:val="32"/>
          <w:szCs w:val="32"/>
        </w:rPr>
        <w:t>批</w:t>
      </w:r>
      <w:r>
        <w:rPr>
          <w:rFonts w:hint="eastAsia" w:eastAsia="方正仿宋简体"/>
          <w:sz w:val="32"/>
          <w:szCs w:val="32"/>
        </w:rPr>
        <w:t> </w:t>
      </w:r>
      <w:r>
        <w:rPr>
          <w:rFonts w:hint="eastAsia" w:ascii="方正仿宋简体" w:eastAsia="方正仿宋简体"/>
          <w:sz w:val="32"/>
          <w:szCs w:val="32"/>
        </w:rPr>
        <w:t>准</w:t>
      </w:r>
      <w:r>
        <w:rPr>
          <w:rFonts w:hint="eastAsia" w:eastAsia="方正仿宋简体"/>
          <w:sz w:val="32"/>
          <w:szCs w:val="32"/>
        </w:rPr>
        <w:t> </w:t>
      </w:r>
      <w:r>
        <w:rPr>
          <w:rFonts w:hint="eastAsia" w:ascii="方正仿宋简体" w:eastAsia="方正仿宋简体"/>
          <w:sz w:val="32"/>
          <w:szCs w:val="32"/>
        </w:rPr>
        <w:t>页</w:t>
      </w:r>
    </w:p>
    <w:p>
      <w:pPr>
        <w:adjustRightInd w:val="0"/>
        <w:snapToGrid w:val="0"/>
        <w:spacing w:line="560" w:lineRule="exact"/>
        <w:rPr>
          <w:rFonts w:ascii="方正仿宋简体" w:eastAsia="方正仿宋简体"/>
          <w:sz w:val="32"/>
          <w:szCs w:val="32"/>
        </w:rPr>
      </w:pPr>
      <w:r>
        <w:rPr>
          <w:rFonts w:hint="eastAsia" w:ascii="方正仿宋简体" w:eastAsia="方正仿宋简体"/>
          <w:sz w:val="32"/>
          <w:szCs w:val="32"/>
        </w:rPr>
        <w:t xml:space="preserve">    中国石油四川南充销售分公司高度重视安全生产清单编制工作，为了贯彻“实行安全生产责任制，日常工作依责尽职、发生事故依责追究，尽职照单免责，失职照单追责”方针，根据法律法规及“三定”规定职责划分，组织编写了《中国石油四川南充销售分公司</w:t>
      </w:r>
      <w:r>
        <w:rPr>
          <w:rFonts w:hint="eastAsia" w:ascii="方正仿宋简体" w:eastAsia="方正仿宋简体"/>
          <w:sz w:val="32"/>
          <w:szCs w:val="32"/>
          <w:lang w:val="en-US" w:eastAsia="zh-CN"/>
        </w:rPr>
        <w:t>莺花路</w:t>
      </w:r>
      <w:r>
        <w:rPr>
          <w:rFonts w:hint="eastAsia" w:ascii="方正仿宋简体" w:eastAsia="方正仿宋简体"/>
          <w:sz w:val="32"/>
          <w:szCs w:val="32"/>
        </w:rPr>
        <w:t>加油站安全生产清单》。</w:t>
      </w:r>
      <w:r>
        <w:rPr>
          <w:rFonts w:hint="eastAsia" w:ascii="方正仿宋简体" w:eastAsia="方正仿宋简体"/>
          <w:sz w:val="32"/>
          <w:szCs w:val="32"/>
        </w:rPr>
        <w:br w:type="textWrapping"/>
      </w:r>
      <w:r>
        <w:rPr>
          <w:rFonts w:hint="eastAsia" w:ascii="方正仿宋简体" w:eastAsia="方正仿宋简体"/>
          <w:sz w:val="32"/>
          <w:szCs w:val="32"/>
        </w:rPr>
        <w:t xml:space="preserve">   《中国石油四川南充销售分公司</w:t>
      </w:r>
      <w:r>
        <w:rPr>
          <w:rFonts w:hint="eastAsia" w:ascii="方正仿宋简体" w:eastAsia="方正仿宋简体"/>
          <w:sz w:val="32"/>
          <w:szCs w:val="32"/>
          <w:lang w:val="en-US" w:eastAsia="zh-CN"/>
        </w:rPr>
        <w:t>莺花路</w:t>
      </w:r>
      <w:r>
        <w:rPr>
          <w:rFonts w:hint="eastAsia" w:ascii="方正仿宋简体" w:eastAsia="方正仿宋简体"/>
          <w:sz w:val="32"/>
          <w:szCs w:val="32"/>
        </w:rPr>
        <w:t>加油站安全生产责任清单》经公司HSE委员会讨论通过，现正式发布，并从202</w:t>
      </w:r>
      <w:r>
        <w:rPr>
          <w:rFonts w:hint="eastAsia" w:ascii="方正仿宋简体" w:eastAsia="方正仿宋简体"/>
          <w:sz w:val="32"/>
          <w:szCs w:val="32"/>
          <w:lang w:val="en-US" w:eastAsia="zh-CN"/>
        </w:rPr>
        <w:t>2</w:t>
      </w:r>
      <w:r>
        <w:rPr>
          <w:rFonts w:hint="eastAsia" w:ascii="方正仿宋简体" w:eastAsia="方正仿宋简体"/>
          <w:sz w:val="32"/>
          <w:szCs w:val="32"/>
        </w:rPr>
        <w:t>年8月1日开始实施。</w:t>
      </w:r>
      <w:r>
        <w:rPr>
          <w:rFonts w:hint="eastAsia" w:ascii="方正仿宋简体" w:eastAsia="方正仿宋简体"/>
          <w:sz w:val="32"/>
          <w:szCs w:val="32"/>
        </w:rPr>
        <w:br w:type="textWrapping"/>
      </w:r>
    </w:p>
    <w:p>
      <w:pPr>
        <w:adjustRightInd w:val="0"/>
        <w:snapToGrid w:val="0"/>
        <w:spacing w:line="560" w:lineRule="exact"/>
        <w:ind w:firstLine="2080" w:firstLineChars="650"/>
        <w:rPr>
          <w:rFonts w:ascii="方正仿宋简体" w:eastAsia="方正仿宋简体"/>
          <w:sz w:val="32"/>
          <w:szCs w:val="32"/>
        </w:rPr>
      </w:pPr>
      <w:r>
        <w:rPr>
          <w:rFonts w:hint="eastAsia" w:ascii="方正仿宋简体" w:eastAsia="方正仿宋简体"/>
          <w:sz w:val="32"/>
          <w:szCs w:val="32"/>
        </w:rPr>
        <w:t xml:space="preserve">          </w:t>
      </w:r>
    </w:p>
    <w:p>
      <w:pPr>
        <w:adjustRightInd w:val="0"/>
        <w:snapToGrid w:val="0"/>
        <w:spacing w:line="560" w:lineRule="exact"/>
        <w:ind w:firstLine="2080" w:firstLineChars="650"/>
      </w:pPr>
      <w:r>
        <w:rPr>
          <w:rFonts w:hint="eastAsia" w:ascii="方正仿宋简体" w:eastAsia="方正仿宋简体"/>
          <w:sz w:val="32"/>
          <w:szCs w:val="32"/>
        </w:rPr>
        <w:t xml:space="preserve">   中国石油四川南充销售分公司总经理：</w:t>
      </w:r>
      <w:r>
        <w:rPr>
          <w:rFonts w:hint="eastAsia" w:eastAsia="方正仿宋简体"/>
          <w:sz w:val="32"/>
          <w:szCs w:val="32"/>
        </w:rPr>
        <w:t> 张颢</w:t>
      </w:r>
      <w:r>
        <w:rPr>
          <w:rFonts w:hint="eastAsia" w:ascii="方正仿宋简体" w:eastAsia="方正仿宋简体"/>
          <w:sz w:val="32"/>
          <w:szCs w:val="32"/>
        </w:rPr>
        <w:br w:type="textWrapping"/>
      </w:r>
    </w:p>
    <w:p>
      <w:pPr>
        <w:adjustRightInd w:val="0"/>
        <w:snapToGrid w:val="0"/>
        <w:spacing w:line="560" w:lineRule="exact"/>
        <w:ind w:firstLine="1365" w:firstLineChars="650"/>
        <w:rPr>
          <w:rFonts w:ascii="方正仿宋简体" w:eastAsia="方正仿宋简体"/>
          <w:sz w:val="32"/>
          <w:szCs w:val="32"/>
        </w:rPr>
      </w:pPr>
      <w:r>
        <w:br w:type="textWrapping"/>
      </w:r>
      <w:r>
        <w:t>                      </w:t>
      </w:r>
      <w:r>
        <w:rPr>
          <w:rFonts w:hint="eastAsia" w:eastAsia="方正仿宋简体"/>
          <w:sz w:val="32"/>
          <w:szCs w:val="32"/>
        </w:rPr>
        <w:t>                             </w:t>
      </w:r>
      <w:r>
        <w:rPr>
          <w:rFonts w:hint="eastAsia" w:ascii="方正仿宋简体" w:eastAsia="方正仿宋简体"/>
          <w:sz w:val="32"/>
          <w:szCs w:val="32"/>
        </w:rPr>
        <w:t>二</w:t>
      </w:r>
      <w:r>
        <w:rPr>
          <w:rFonts w:hint="eastAsia" w:ascii="方正仿宋简体" w:eastAsia="方正仿宋简体"/>
          <w:sz w:val="36"/>
          <w:szCs w:val="36"/>
        </w:rPr>
        <w:t>O</w:t>
      </w:r>
      <w:r>
        <w:rPr>
          <w:rFonts w:hint="eastAsia" w:ascii="方正仿宋简体" w:eastAsia="方正仿宋简体"/>
          <w:sz w:val="32"/>
          <w:szCs w:val="32"/>
        </w:rPr>
        <w:t>二</w:t>
      </w:r>
      <w:r>
        <w:rPr>
          <w:rFonts w:hint="eastAsia" w:ascii="方正仿宋简体" w:eastAsia="方正仿宋简体"/>
          <w:sz w:val="36"/>
          <w:szCs w:val="36"/>
          <w:lang w:val="en-US" w:eastAsia="zh-CN"/>
        </w:rPr>
        <w:t>二</w:t>
      </w:r>
      <w:r>
        <w:rPr>
          <w:rFonts w:hint="eastAsia" w:ascii="方正仿宋简体" w:eastAsia="方正仿宋简体"/>
          <w:sz w:val="32"/>
          <w:szCs w:val="32"/>
        </w:rPr>
        <w:t>年七月一日</w:t>
      </w:r>
    </w:p>
    <w:p>
      <w:pPr>
        <w:adjustRightInd w:val="0"/>
        <w:snapToGrid w:val="0"/>
        <w:spacing w:line="560" w:lineRule="exact"/>
        <w:ind w:firstLine="2080" w:firstLineChars="650"/>
        <w:rPr>
          <w:rFonts w:ascii="方正仿宋简体" w:eastAsia="方正仿宋简体"/>
          <w:sz w:val="32"/>
          <w:szCs w:val="32"/>
        </w:rPr>
      </w:pPr>
    </w:p>
    <w:p>
      <w:pPr>
        <w:adjustRightInd w:val="0"/>
        <w:snapToGrid w:val="0"/>
        <w:spacing w:line="560" w:lineRule="exact"/>
        <w:ind w:firstLine="2080" w:firstLineChars="650"/>
        <w:rPr>
          <w:rFonts w:ascii="方正仿宋简体" w:eastAsia="方正仿宋简体"/>
          <w:sz w:val="32"/>
          <w:szCs w:val="32"/>
        </w:rPr>
      </w:pPr>
    </w:p>
    <w:p>
      <w:pPr>
        <w:adjustRightInd w:val="0"/>
        <w:snapToGrid w:val="0"/>
        <w:spacing w:line="560" w:lineRule="exact"/>
        <w:ind w:firstLine="2080" w:firstLineChars="650"/>
        <w:rPr>
          <w:rFonts w:ascii="方正仿宋简体" w:eastAsia="方正仿宋简体"/>
          <w:sz w:val="32"/>
          <w:szCs w:val="32"/>
        </w:rPr>
      </w:pPr>
    </w:p>
    <w:p>
      <w:pPr>
        <w:adjustRightInd w:val="0"/>
        <w:snapToGrid w:val="0"/>
        <w:spacing w:line="560" w:lineRule="exact"/>
        <w:ind w:firstLine="2080" w:firstLineChars="650"/>
        <w:rPr>
          <w:rFonts w:ascii="方正仿宋简体" w:eastAsia="方正仿宋简体"/>
          <w:sz w:val="32"/>
          <w:szCs w:val="32"/>
        </w:rPr>
      </w:pPr>
    </w:p>
    <w:p>
      <w:pPr>
        <w:adjustRightInd w:val="0"/>
        <w:snapToGrid w:val="0"/>
        <w:spacing w:line="560" w:lineRule="exact"/>
        <w:rPr>
          <w:rFonts w:hint="eastAsia" w:ascii="方正仿宋简体" w:eastAsia="方正仿宋简体"/>
          <w:sz w:val="32"/>
          <w:szCs w:val="32"/>
        </w:rPr>
      </w:pPr>
    </w:p>
    <w:p>
      <w:pPr>
        <w:pStyle w:val="2"/>
        <w:ind w:firstLine="210"/>
        <w:rPr>
          <w:rFonts w:hint="eastAsia"/>
        </w:rPr>
      </w:pPr>
    </w:p>
    <w:p>
      <w:pPr>
        <w:pStyle w:val="2"/>
        <w:ind w:firstLine="210"/>
        <w:rPr>
          <w:rFonts w:hint="eastAsia"/>
        </w:rPr>
      </w:pPr>
    </w:p>
    <w:p>
      <w:pPr>
        <w:pStyle w:val="2"/>
        <w:ind w:firstLine="210"/>
      </w:pPr>
    </w:p>
    <w:p>
      <w:pPr>
        <w:adjustRightInd w:val="0"/>
        <w:snapToGrid w:val="0"/>
        <w:spacing w:line="560" w:lineRule="exact"/>
        <w:ind w:firstLine="640" w:firstLineChars="200"/>
        <w:rPr>
          <w:rFonts w:hint="eastAsia" w:ascii="方正仿宋简体" w:eastAsia="方正仿宋简体"/>
          <w:sz w:val="32"/>
          <w:szCs w:val="32"/>
        </w:rPr>
      </w:pPr>
    </w:p>
    <w:p>
      <w:pPr>
        <w:adjustRightInd w:val="0"/>
        <w:snapToGrid w:val="0"/>
        <w:spacing w:line="560" w:lineRule="exact"/>
        <w:ind w:firstLine="640" w:firstLineChars="200"/>
        <w:rPr>
          <w:rFonts w:hint="eastAsia" w:ascii="方正仿宋简体" w:eastAsia="方正仿宋简体"/>
          <w:sz w:val="32"/>
          <w:szCs w:val="32"/>
        </w:rPr>
      </w:pP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一、清单编制管理要求</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1.1 编制目的</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建立清单管理工作，明确各级安全岗位责任，落实各级安全生产责任，把空重点要素，制定流程清单，通过建立动态化的管理清单，将安全生产各项措施、要求落到实处，达到减少风险，使作业过程受控，防止事故发生的目的。</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1.2编制依据</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（1）《中华人民共和国安全生产法》（主席令第十三号）</w:t>
      </w:r>
    </w:p>
    <w:p>
      <w:pPr>
        <w:adjustRightInd w:val="0"/>
        <w:snapToGrid w:val="0"/>
        <w:spacing w:line="560" w:lineRule="exact"/>
        <w:ind w:firstLine="640" w:firstLineChars="200"/>
        <w:rPr>
          <w:rFonts w:eastAsia="仿宋"/>
          <w:sz w:val="30"/>
          <w:szCs w:val="30"/>
        </w:rPr>
      </w:pPr>
      <w:r>
        <w:rPr>
          <w:rFonts w:hint="eastAsia" w:ascii="方正仿宋简体" w:eastAsia="方正仿宋简体"/>
          <w:sz w:val="32"/>
          <w:szCs w:val="32"/>
        </w:rPr>
        <w:t>（2）《危险化学品安全管理条例》</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（3） 《中共中央  国务院关于推进安全生产领域改革发展的意见》（中发【2016】32号）</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（4）《国务院安委会办公室关于全面加强企业全员安全生产责任制工作的通知》</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（5）《国务院安委会办公室关于实施遏制重特大事故工作指南构建双重预防机制的意见》</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（6）《中共中央办公厅  国务院办公厅关于印发&lt;地方党政领导干部安全生产责任制规定&gt;的通知）（厅字【2018】13号）》</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（7）《四川省安全生产委员会办公室关于在全省推行安全生产清单制管理工作的通知》（川安办【2019】37号）</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（8）《四川省安全生产委员会关于印发进一步推进安全生产清单制管理工作方案的通知》（川安委【2020】1号）</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（9）南充市安全生产委员会办公室关于印发《南充市推行安全生产清单制管理工作实施方案》的通知（南市安委办【2019】15号）</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（10）《南充市嘉陵区安全生产委员会办公室关于印发《南充市嘉陵区推行安全生产清单制管理工作实施方案》的通知</w:t>
      </w:r>
    </w:p>
    <w:p>
      <w:pPr>
        <w:adjustRightInd w:val="0"/>
        <w:snapToGrid w:val="0"/>
        <w:spacing w:line="560" w:lineRule="exact"/>
        <w:ind w:firstLine="420" w:firstLineChars="200"/>
        <w:rPr>
          <w:rFonts w:ascii="方正仿宋简体" w:eastAsia="方正仿宋简体"/>
          <w:sz w:val="32"/>
          <w:szCs w:val="32"/>
        </w:rPr>
      </w:pPr>
      <w:r>
        <w:rPr>
          <w:rFonts w:hint="eastAsia"/>
        </w:rPr>
        <w:t xml:space="preserve">    </w:t>
      </w:r>
      <w:r>
        <w:rPr>
          <w:rFonts w:hint="eastAsia" w:ascii="方正仿宋简体" w:eastAsia="方正仿宋简体"/>
          <w:sz w:val="32"/>
          <w:szCs w:val="32"/>
        </w:rPr>
        <w:t>(11)四川省应急管理厅关于印发（危险化学品生产企业安全生产管理责任清单参考模板（1.0版））的通知（川应急（2020）53号）</w:t>
      </w:r>
    </w:p>
    <w:p>
      <w:pPr>
        <w:adjustRightInd w:val="0"/>
        <w:snapToGrid w:val="0"/>
        <w:spacing w:line="560" w:lineRule="exact"/>
        <w:ind w:firstLine="630"/>
        <w:rPr>
          <w:rFonts w:ascii="方正仿宋简体" w:eastAsia="方正仿宋简体"/>
          <w:sz w:val="32"/>
          <w:szCs w:val="32"/>
        </w:rPr>
      </w:pPr>
    </w:p>
    <w:p>
      <w:pPr>
        <w:adjustRightInd w:val="0"/>
        <w:snapToGrid w:val="0"/>
        <w:spacing w:line="560" w:lineRule="exact"/>
        <w:ind w:firstLine="630"/>
        <w:rPr>
          <w:rFonts w:ascii="方正仿宋简体" w:eastAsia="方正仿宋简体"/>
          <w:sz w:val="32"/>
          <w:szCs w:val="32"/>
        </w:rPr>
      </w:pPr>
      <w:r>
        <w:rPr>
          <w:rFonts w:hint="eastAsia" w:ascii="方正仿宋简体" w:eastAsia="方正仿宋简体"/>
          <w:sz w:val="32"/>
          <w:szCs w:val="32"/>
        </w:rPr>
        <w:t>1.3适用范围</w:t>
      </w:r>
    </w:p>
    <w:p>
      <w:pPr>
        <w:adjustRightInd w:val="0"/>
        <w:snapToGrid w:val="0"/>
        <w:spacing w:line="560" w:lineRule="exact"/>
        <w:ind w:firstLine="630"/>
        <w:rPr>
          <w:rFonts w:ascii="方正仿宋简体" w:eastAsia="方正仿宋简体"/>
          <w:sz w:val="32"/>
          <w:szCs w:val="32"/>
        </w:rPr>
      </w:pPr>
      <w:r>
        <w:rPr>
          <w:rFonts w:hint="eastAsia" w:ascii="方正仿宋简体" w:eastAsia="方正仿宋简体"/>
          <w:sz w:val="32"/>
          <w:szCs w:val="32"/>
        </w:rPr>
        <w:t>安全生产责任清单适用于负有安全管理责任的责任人、加油站全体人员。</w:t>
      </w:r>
    </w:p>
    <w:p>
      <w:pPr>
        <w:adjustRightInd w:val="0"/>
        <w:snapToGrid w:val="0"/>
        <w:spacing w:line="560" w:lineRule="exact"/>
        <w:ind w:firstLine="630"/>
        <w:rPr>
          <w:rFonts w:ascii="方正仿宋简体" w:eastAsia="方正仿宋简体"/>
          <w:sz w:val="32"/>
          <w:szCs w:val="32"/>
        </w:rPr>
      </w:pPr>
      <w:r>
        <w:rPr>
          <w:rFonts w:hint="eastAsia" w:ascii="方正仿宋简体" w:eastAsia="方正仿宋简体"/>
          <w:sz w:val="32"/>
          <w:szCs w:val="32"/>
        </w:rPr>
        <w:t>1.4加油站基本情况</w:t>
      </w:r>
    </w:p>
    <w:p>
      <w:pPr>
        <w:pStyle w:val="6"/>
        <w:rPr>
          <w:rFonts w:hint="default"/>
          <w:color w:val="000000"/>
        </w:rPr>
      </w:pPr>
      <w:r>
        <w:rPr>
          <w:color w:val="000000"/>
        </w:rPr>
        <w:t>.3总平面布置</w:t>
      </w:r>
    </w:p>
    <w:p>
      <w:pPr>
        <w:snapToGrid w:val="0"/>
        <w:spacing w:line="360" w:lineRule="auto"/>
        <w:ind w:firstLine="640" w:firstLineChars="200"/>
        <w:rPr>
          <w:rFonts w:hint="eastAsia" w:ascii="方正仿宋简体" w:eastAsia="方正仿宋简体"/>
          <w:sz w:val="32"/>
          <w:szCs w:val="32"/>
          <w:lang w:val="zh-CN"/>
        </w:rPr>
      </w:pPr>
      <w:r>
        <w:rPr>
          <w:rFonts w:hint="eastAsia" w:ascii="方正仿宋简体" w:eastAsia="方正仿宋简体"/>
          <w:sz w:val="32"/>
          <w:szCs w:val="32"/>
        </w:rPr>
        <w:t>中国石油天然气股份有限公司四川南充销售分公司阆中</w:t>
      </w:r>
      <w:r>
        <w:rPr>
          <w:rFonts w:hint="eastAsia" w:ascii="方正仿宋简体" w:eastAsia="方正仿宋简体"/>
          <w:sz w:val="32"/>
          <w:szCs w:val="32"/>
          <w:lang w:val="en-US" w:eastAsia="zh-CN"/>
        </w:rPr>
        <w:t>莺花路</w:t>
      </w:r>
      <w:r>
        <w:rPr>
          <w:rFonts w:hint="eastAsia" w:ascii="方正仿宋简体" w:eastAsia="方正仿宋简体"/>
          <w:sz w:val="32"/>
          <w:szCs w:val="32"/>
        </w:rPr>
        <w:t>加油站总平面呈长方形布局，由</w:t>
      </w:r>
      <w:r>
        <w:rPr>
          <w:rFonts w:hint="eastAsia" w:ascii="方正仿宋简体" w:eastAsia="方正仿宋简体"/>
          <w:sz w:val="32"/>
          <w:szCs w:val="32"/>
          <w:lang w:val="en-US" w:eastAsia="zh-CN"/>
        </w:rPr>
        <w:t>西</w:t>
      </w:r>
      <w:r>
        <w:rPr>
          <w:rFonts w:hint="eastAsia" w:ascii="方正仿宋简体" w:eastAsia="方正仿宋简体"/>
          <w:sz w:val="32"/>
          <w:szCs w:val="32"/>
        </w:rPr>
        <w:t>向</w:t>
      </w:r>
      <w:r>
        <w:rPr>
          <w:rFonts w:hint="eastAsia" w:ascii="方正仿宋简体" w:eastAsia="方正仿宋简体"/>
          <w:sz w:val="32"/>
          <w:szCs w:val="32"/>
          <w:lang w:val="en-US" w:eastAsia="zh-CN"/>
        </w:rPr>
        <w:t>东</w:t>
      </w:r>
      <w:r>
        <w:rPr>
          <w:rFonts w:hint="eastAsia" w:ascii="方正仿宋简体" w:eastAsia="方正仿宋简体"/>
          <w:sz w:val="32"/>
          <w:szCs w:val="32"/>
        </w:rPr>
        <w:t>依次布</w:t>
      </w:r>
      <w:r>
        <w:rPr>
          <w:rFonts w:hint="eastAsia" w:ascii="方正仿宋简体" w:eastAsia="方正仿宋简体"/>
          <w:sz w:val="32"/>
          <w:szCs w:val="32"/>
          <w:lang w:val="en-US" w:eastAsia="zh-CN"/>
        </w:rPr>
        <w:t>卸油区、</w:t>
      </w:r>
      <w:r>
        <w:rPr>
          <w:rFonts w:hint="eastAsia" w:ascii="方正仿宋简体" w:eastAsia="方正仿宋简体"/>
          <w:sz w:val="32"/>
          <w:szCs w:val="32"/>
        </w:rPr>
        <w:t>油罐区</w:t>
      </w:r>
      <w:r>
        <w:rPr>
          <w:rFonts w:hint="eastAsia" w:ascii="方正仿宋简体" w:eastAsia="方正仿宋简体"/>
          <w:sz w:val="32"/>
          <w:szCs w:val="32"/>
          <w:lang w:val="en-US" w:eastAsia="zh-CN"/>
        </w:rPr>
        <w:t>和加油区</w:t>
      </w:r>
      <w:r>
        <w:rPr>
          <w:rFonts w:hint="eastAsia" w:ascii="方正仿宋简体" w:eastAsia="方正仿宋简体"/>
          <w:sz w:val="32"/>
          <w:szCs w:val="32"/>
        </w:rPr>
        <w:t>，站内地面采用</w:t>
      </w:r>
      <w:r>
        <w:rPr>
          <w:rFonts w:hint="eastAsia" w:ascii="方正仿宋简体" w:eastAsia="方正仿宋简体"/>
          <w:sz w:val="32"/>
          <w:szCs w:val="32"/>
          <w:lang w:val="en-US" w:eastAsia="zh-CN"/>
        </w:rPr>
        <w:t>商砼浇筑</w:t>
      </w:r>
      <w:r>
        <w:rPr>
          <w:rFonts w:hint="eastAsia" w:ascii="方正仿宋简体" w:eastAsia="方正仿宋简体"/>
          <w:sz w:val="32"/>
          <w:szCs w:val="32"/>
          <w:lang w:eastAsia="zh-CN"/>
        </w:rPr>
        <w:t>，</w:t>
      </w:r>
      <w:r>
        <w:rPr>
          <w:rFonts w:hint="eastAsia" w:ascii="方正仿宋简体" w:eastAsia="方正仿宋简体"/>
          <w:sz w:val="32"/>
          <w:szCs w:val="32"/>
        </w:rPr>
        <w:t>加油站</w:t>
      </w:r>
      <w:r>
        <w:rPr>
          <w:rFonts w:hint="eastAsia" w:ascii="方正仿宋简体" w:eastAsia="方正仿宋简体"/>
          <w:sz w:val="32"/>
          <w:szCs w:val="32"/>
          <w:lang w:val="en-US" w:eastAsia="zh-CN"/>
        </w:rPr>
        <w:t>位于七里工业集中区北面，</w:t>
      </w:r>
      <w:r>
        <w:rPr>
          <w:rFonts w:hint="eastAsia" w:ascii="方正仿宋简体" w:eastAsia="方正仿宋简体"/>
          <w:sz w:val="32"/>
          <w:szCs w:val="32"/>
          <w:lang w:val="zh-CN"/>
        </w:rPr>
        <w:t>具体布置如下：</w:t>
      </w:r>
    </w:p>
    <w:p>
      <w:pPr>
        <w:snapToGrid w:val="0"/>
        <w:spacing w:line="360" w:lineRule="auto"/>
        <w:ind w:firstLine="640" w:firstLineChars="200"/>
        <w:rPr>
          <w:rFonts w:hint="eastAsia" w:ascii="方正仿宋简体" w:eastAsia="方正仿宋简体"/>
          <w:sz w:val="32"/>
          <w:szCs w:val="32"/>
        </w:rPr>
      </w:pPr>
      <w:r>
        <w:rPr>
          <w:rFonts w:hint="eastAsia" w:ascii="方正仿宋简体" w:eastAsia="方正仿宋简体"/>
          <w:sz w:val="32"/>
          <w:szCs w:val="32"/>
        </w:rPr>
        <w:t>加油站占地面积</w:t>
      </w:r>
      <w:r>
        <w:rPr>
          <w:rFonts w:hint="eastAsia" w:ascii="方正仿宋简体" w:eastAsia="方正仿宋简体"/>
          <w:sz w:val="32"/>
          <w:szCs w:val="32"/>
          <w:lang w:val="en-US" w:eastAsia="zh-CN"/>
        </w:rPr>
        <w:t>6200</w:t>
      </w:r>
      <w:r>
        <w:rPr>
          <w:rFonts w:hint="eastAsia" w:ascii="方正仿宋简体" w:eastAsia="方正仿宋简体"/>
          <w:sz w:val="32"/>
          <w:szCs w:val="32"/>
        </w:rPr>
        <w:t>平方米，区内照明为防爆灯，罩棚下设置四个单独加油岛，</w:t>
      </w:r>
      <w:r>
        <w:rPr>
          <w:rFonts w:hint="eastAsia" w:ascii="方正仿宋简体" w:eastAsia="方正仿宋简体"/>
          <w:sz w:val="32"/>
          <w:szCs w:val="32"/>
          <w:lang w:val="en-US" w:eastAsia="zh-CN"/>
        </w:rPr>
        <w:t>共有4</w:t>
      </w:r>
      <w:r>
        <w:rPr>
          <w:rFonts w:hint="eastAsia" w:ascii="方正仿宋简体" w:eastAsia="方正仿宋简体"/>
          <w:sz w:val="32"/>
          <w:szCs w:val="32"/>
        </w:rPr>
        <w:t>台</w:t>
      </w:r>
      <w:r>
        <w:rPr>
          <w:rFonts w:hint="eastAsia" w:ascii="方正仿宋简体" w:eastAsia="方正仿宋简体"/>
          <w:sz w:val="32"/>
          <w:szCs w:val="32"/>
          <w:lang w:val="en-US" w:eastAsia="zh-CN"/>
        </w:rPr>
        <w:t>4</w:t>
      </w:r>
      <w:r>
        <w:rPr>
          <w:rFonts w:hint="eastAsia" w:ascii="方正仿宋简体" w:eastAsia="方正仿宋简体"/>
          <w:sz w:val="32"/>
          <w:szCs w:val="32"/>
        </w:rPr>
        <w:t>枪加油机</w:t>
      </w:r>
      <w:r>
        <w:rPr>
          <w:rFonts w:hint="eastAsia" w:ascii="方正仿宋简体" w:eastAsia="方正仿宋简体"/>
          <w:sz w:val="32"/>
          <w:szCs w:val="32"/>
          <w:lang w:val="en-US" w:eastAsia="zh-CN"/>
        </w:rPr>
        <w:t>合计16支加油枪，经营92汽油、95汽油、0柴油三个品种</w:t>
      </w:r>
      <w:r>
        <w:rPr>
          <w:rFonts w:hint="eastAsia" w:ascii="方正仿宋简体" w:eastAsia="方正仿宋简体"/>
          <w:sz w:val="32"/>
          <w:szCs w:val="32"/>
        </w:rPr>
        <w:t>。站房为</w:t>
      </w:r>
      <w:r>
        <w:rPr>
          <w:rFonts w:hint="eastAsia" w:ascii="方正仿宋简体" w:eastAsia="方正仿宋简体"/>
          <w:sz w:val="32"/>
          <w:szCs w:val="32"/>
          <w:lang w:val="en-US" w:eastAsia="zh-CN"/>
        </w:rPr>
        <w:t>框架</w:t>
      </w:r>
      <w:r>
        <w:rPr>
          <w:rFonts w:hint="eastAsia" w:ascii="方正仿宋简体" w:eastAsia="方正仿宋简体"/>
          <w:sz w:val="32"/>
          <w:szCs w:val="32"/>
        </w:rPr>
        <w:t>结构二层建筑，位于站区的北面，占地面积约</w:t>
      </w:r>
      <w:r>
        <w:rPr>
          <w:rFonts w:hint="eastAsia" w:ascii="方正仿宋简体" w:eastAsia="方正仿宋简体"/>
          <w:sz w:val="32"/>
          <w:szCs w:val="32"/>
          <w:lang w:val="en-US" w:eastAsia="zh-CN"/>
        </w:rPr>
        <w:t>280</w:t>
      </w:r>
      <w:r>
        <w:rPr>
          <w:rFonts w:hint="eastAsia" w:ascii="方正仿宋简体" w:eastAsia="方正仿宋简体"/>
          <w:sz w:val="32"/>
          <w:szCs w:val="32"/>
        </w:rPr>
        <w:t>平方米，一层由西向东依次布置</w:t>
      </w:r>
      <w:r>
        <w:rPr>
          <w:rFonts w:hint="eastAsia" w:ascii="方正仿宋简体" w:eastAsia="方正仿宋简体"/>
          <w:sz w:val="32"/>
          <w:szCs w:val="32"/>
          <w:lang w:val="en-US" w:eastAsia="zh-CN"/>
        </w:rPr>
        <w:t>卫生间、</w:t>
      </w:r>
      <w:r>
        <w:rPr>
          <w:rFonts w:hint="eastAsia" w:ascii="方正仿宋简体" w:eastAsia="方正仿宋简体"/>
          <w:sz w:val="32"/>
          <w:szCs w:val="32"/>
        </w:rPr>
        <w:t>发电机房，便利店，营业室，二层布置</w:t>
      </w:r>
      <w:r>
        <w:rPr>
          <w:rFonts w:hint="eastAsia" w:ascii="方正仿宋简体" w:eastAsia="方正仿宋简体"/>
          <w:sz w:val="32"/>
          <w:szCs w:val="32"/>
          <w:lang w:val="en-US" w:eastAsia="zh-CN"/>
        </w:rPr>
        <w:t>办公室和员工更衣</w:t>
      </w:r>
      <w:r>
        <w:rPr>
          <w:rFonts w:hint="eastAsia" w:ascii="方正仿宋简体" w:eastAsia="方正仿宋简体"/>
          <w:sz w:val="32"/>
          <w:szCs w:val="32"/>
        </w:rPr>
        <w:t>室等，油品储区位于站区</w:t>
      </w:r>
      <w:r>
        <w:rPr>
          <w:rFonts w:hint="eastAsia" w:ascii="方正仿宋简体" w:eastAsia="方正仿宋简体"/>
          <w:sz w:val="32"/>
          <w:szCs w:val="32"/>
          <w:lang w:val="en-US" w:eastAsia="zh-CN"/>
        </w:rPr>
        <w:t>罩棚西侧</w:t>
      </w:r>
      <w:r>
        <w:rPr>
          <w:rFonts w:hint="eastAsia" w:ascii="方正仿宋简体" w:eastAsia="方正仿宋简体"/>
          <w:sz w:val="32"/>
          <w:szCs w:val="32"/>
        </w:rPr>
        <w:t>，埋地储油罐</w:t>
      </w:r>
      <w:r>
        <w:rPr>
          <w:rFonts w:hint="eastAsia" w:ascii="方正仿宋简体" w:eastAsia="方正仿宋简体"/>
          <w:sz w:val="32"/>
          <w:szCs w:val="32"/>
          <w:lang w:val="en-US" w:eastAsia="zh-CN"/>
        </w:rPr>
        <w:t>3</w:t>
      </w:r>
      <w:r>
        <w:rPr>
          <w:rFonts w:hint="eastAsia" w:ascii="方正仿宋简体" w:eastAsia="方正仿宋简体"/>
          <w:sz w:val="32"/>
          <w:szCs w:val="32"/>
        </w:rPr>
        <w:t>个，其中：2座容积为</w:t>
      </w:r>
      <w:r>
        <w:rPr>
          <w:rFonts w:hint="eastAsia" w:ascii="方正仿宋简体" w:eastAsia="方正仿宋简体"/>
          <w:sz w:val="32"/>
          <w:szCs w:val="32"/>
          <w:lang w:val="en-US" w:eastAsia="zh-CN"/>
        </w:rPr>
        <w:t>30</w:t>
      </w:r>
      <w:r>
        <w:rPr>
          <w:rFonts w:hint="eastAsia" w:ascii="方正仿宋简体" w:eastAsia="方正仿宋简体"/>
          <w:sz w:val="32"/>
          <w:szCs w:val="32"/>
        </w:rPr>
        <w:t>平方米的埋地卧式</w:t>
      </w:r>
      <w:r>
        <w:rPr>
          <w:rFonts w:hint="eastAsia" w:ascii="方正仿宋简体" w:eastAsia="方正仿宋简体"/>
          <w:sz w:val="32"/>
          <w:szCs w:val="32"/>
          <w:lang w:val="en-US" w:eastAsia="zh-CN"/>
        </w:rPr>
        <w:t>双层FF汽</w:t>
      </w:r>
      <w:r>
        <w:rPr>
          <w:rFonts w:hint="eastAsia" w:ascii="方正仿宋简体" w:eastAsia="方正仿宋简体"/>
          <w:sz w:val="32"/>
          <w:szCs w:val="32"/>
        </w:rPr>
        <w:t>油储罐。</w:t>
      </w:r>
      <w:r>
        <w:rPr>
          <w:rFonts w:hint="eastAsia" w:ascii="方正仿宋简体" w:eastAsia="方正仿宋简体"/>
          <w:sz w:val="32"/>
          <w:szCs w:val="32"/>
          <w:lang w:val="en-US" w:eastAsia="zh-CN"/>
        </w:rPr>
        <w:t>1</w:t>
      </w:r>
      <w:r>
        <w:rPr>
          <w:rFonts w:hint="eastAsia" w:ascii="方正仿宋简体" w:eastAsia="方正仿宋简体"/>
          <w:sz w:val="32"/>
          <w:szCs w:val="32"/>
        </w:rPr>
        <w:t>座</w:t>
      </w:r>
      <w:r>
        <w:rPr>
          <w:rFonts w:hint="eastAsia" w:ascii="方正仿宋简体" w:eastAsia="方正仿宋简体"/>
          <w:sz w:val="32"/>
          <w:szCs w:val="32"/>
          <w:lang w:val="en-US" w:eastAsia="zh-CN"/>
        </w:rPr>
        <w:t>50</w:t>
      </w:r>
      <w:r>
        <w:rPr>
          <w:rFonts w:hint="eastAsia" w:ascii="方正仿宋简体" w:eastAsia="方正仿宋简体"/>
          <w:sz w:val="32"/>
          <w:szCs w:val="32"/>
        </w:rPr>
        <w:t>平方米的埋地卧式</w:t>
      </w:r>
      <w:r>
        <w:rPr>
          <w:rFonts w:hint="eastAsia" w:ascii="方正仿宋简体" w:eastAsia="方正仿宋简体"/>
          <w:sz w:val="32"/>
          <w:szCs w:val="32"/>
          <w:lang w:val="en-US" w:eastAsia="zh-CN"/>
        </w:rPr>
        <w:t>双层FF柴</w:t>
      </w:r>
      <w:r>
        <w:rPr>
          <w:rFonts w:hint="eastAsia" w:ascii="方正仿宋简体" w:eastAsia="方正仿宋简体"/>
          <w:sz w:val="32"/>
          <w:szCs w:val="32"/>
        </w:rPr>
        <w:t>油储罐。密闭卸油点位于油品罐区的</w:t>
      </w:r>
      <w:r>
        <w:rPr>
          <w:rFonts w:hint="eastAsia" w:ascii="方正仿宋简体" w:eastAsia="方正仿宋简体"/>
          <w:sz w:val="32"/>
          <w:szCs w:val="32"/>
          <w:lang w:val="en-US" w:eastAsia="zh-CN"/>
        </w:rPr>
        <w:t>西</w:t>
      </w:r>
      <w:r>
        <w:rPr>
          <w:rFonts w:hint="eastAsia" w:ascii="方正仿宋简体" w:eastAsia="方正仿宋简体"/>
          <w:sz w:val="32"/>
          <w:szCs w:val="32"/>
        </w:rPr>
        <w:t>面。</w:t>
      </w:r>
    </w:p>
    <w:p>
      <w:pPr>
        <w:adjustRightInd w:val="0"/>
        <w:snapToGrid w:val="0"/>
        <w:spacing w:line="560" w:lineRule="exact"/>
        <w:rPr>
          <w:rFonts w:ascii="方正仿宋简体" w:eastAsia="方正仿宋简体"/>
          <w:sz w:val="32"/>
          <w:szCs w:val="32"/>
        </w:rPr>
      </w:pPr>
      <w:r>
        <w:rPr>
          <w:rFonts w:hint="eastAsia" w:ascii="方正仿宋简体" w:eastAsia="方正仿宋简体"/>
          <w:sz w:val="32"/>
          <w:szCs w:val="32"/>
        </w:rPr>
        <w:t xml:space="preserve">    1.5清单编制要求</w:t>
      </w:r>
    </w:p>
    <w:p>
      <w:pPr>
        <w:adjustRightInd w:val="0"/>
        <w:snapToGrid w:val="0"/>
        <w:spacing w:line="560" w:lineRule="exact"/>
        <w:ind w:firstLine="630"/>
        <w:rPr>
          <w:rFonts w:ascii="方正仿宋简体" w:eastAsia="方正仿宋简体"/>
          <w:sz w:val="32"/>
          <w:szCs w:val="32"/>
        </w:rPr>
      </w:pPr>
      <w:r>
        <w:rPr>
          <w:rFonts w:hint="eastAsia" w:ascii="方正仿宋简体" w:eastAsia="方正仿宋简体"/>
          <w:sz w:val="32"/>
          <w:szCs w:val="32"/>
        </w:rPr>
        <w:t>清单必须具体明确、简明扼要、便于操作、可检验性。</w:t>
      </w:r>
    </w:p>
    <w:p>
      <w:pPr>
        <w:adjustRightInd w:val="0"/>
        <w:snapToGrid w:val="0"/>
        <w:spacing w:line="560" w:lineRule="exact"/>
        <w:ind w:firstLine="630"/>
        <w:rPr>
          <w:rFonts w:ascii="方正仿宋简体" w:eastAsia="方正仿宋简体"/>
          <w:sz w:val="32"/>
          <w:szCs w:val="32"/>
        </w:rPr>
      </w:pPr>
      <w:r>
        <w:rPr>
          <w:rFonts w:hint="eastAsia" w:ascii="方正仿宋简体" w:eastAsia="方正仿宋简体"/>
          <w:sz w:val="32"/>
          <w:szCs w:val="32"/>
        </w:rPr>
        <w:t>1.6清单的发布</w:t>
      </w:r>
    </w:p>
    <w:p>
      <w:pPr>
        <w:adjustRightInd w:val="0"/>
        <w:snapToGrid w:val="0"/>
        <w:spacing w:line="560" w:lineRule="exact"/>
        <w:ind w:firstLine="630"/>
        <w:rPr>
          <w:rFonts w:ascii="方正仿宋简体" w:eastAsia="方正仿宋简体"/>
          <w:sz w:val="32"/>
          <w:szCs w:val="32"/>
        </w:rPr>
      </w:pPr>
      <w:r>
        <w:rPr>
          <w:rFonts w:hint="eastAsia" w:ascii="方正仿宋简体" w:eastAsia="方正仿宋简体"/>
          <w:sz w:val="32"/>
          <w:szCs w:val="32"/>
        </w:rPr>
        <w:t>安全责任清单经安全生产专家组审定后，由中石油四川南充销售分公司下发，各相关人员必须严格落实安全清单管理的内容。</w:t>
      </w:r>
    </w:p>
    <w:p>
      <w:pPr>
        <w:adjustRightInd w:val="0"/>
        <w:snapToGrid w:val="0"/>
        <w:spacing w:line="560" w:lineRule="exact"/>
        <w:ind w:firstLine="630"/>
        <w:rPr>
          <w:rFonts w:ascii="方正仿宋简体" w:eastAsia="方正仿宋简体"/>
          <w:sz w:val="32"/>
          <w:szCs w:val="32"/>
        </w:rPr>
      </w:pPr>
      <w:r>
        <w:rPr>
          <w:rFonts w:hint="eastAsia" w:ascii="方正仿宋简体" w:eastAsia="方正仿宋简体"/>
          <w:sz w:val="32"/>
          <w:szCs w:val="32"/>
        </w:rPr>
        <w:t>1.7清单的认领</w:t>
      </w:r>
    </w:p>
    <w:p>
      <w:pPr>
        <w:adjustRightInd w:val="0"/>
        <w:snapToGrid w:val="0"/>
        <w:spacing w:line="560" w:lineRule="exact"/>
        <w:ind w:firstLine="630"/>
        <w:rPr>
          <w:rFonts w:ascii="方正仿宋简体" w:eastAsia="方正仿宋简体"/>
          <w:sz w:val="32"/>
          <w:szCs w:val="32"/>
        </w:rPr>
      </w:pPr>
      <w:r>
        <w:rPr>
          <w:rFonts w:hint="eastAsia" w:ascii="方正仿宋简体" w:eastAsia="方正仿宋简体"/>
          <w:sz w:val="32"/>
          <w:szCs w:val="32"/>
        </w:rPr>
        <w:t>责任清单制定全员参与，各岗位对自己的岗位责任清单进行确认并签字认领，切实履行安全职责。</w:t>
      </w:r>
    </w:p>
    <w:p>
      <w:pPr>
        <w:adjustRightInd w:val="0"/>
        <w:snapToGrid w:val="0"/>
        <w:spacing w:line="560" w:lineRule="exact"/>
        <w:ind w:firstLine="630"/>
        <w:rPr>
          <w:rFonts w:ascii="方正仿宋简体" w:eastAsia="方正仿宋简体"/>
          <w:sz w:val="32"/>
          <w:szCs w:val="32"/>
        </w:rPr>
      </w:pPr>
      <w:r>
        <w:rPr>
          <w:rFonts w:hint="eastAsia" w:ascii="方正仿宋简体" w:eastAsia="方正仿宋简体"/>
          <w:sz w:val="32"/>
          <w:szCs w:val="32"/>
        </w:rPr>
        <w:t>1.8清单的培训与执行</w:t>
      </w:r>
    </w:p>
    <w:p>
      <w:pPr>
        <w:adjustRightInd w:val="0"/>
        <w:snapToGrid w:val="0"/>
        <w:spacing w:line="560" w:lineRule="exact"/>
        <w:ind w:firstLine="630"/>
        <w:rPr>
          <w:rFonts w:ascii="方正仿宋简体" w:eastAsia="方正仿宋简体"/>
          <w:sz w:val="32"/>
          <w:szCs w:val="32"/>
        </w:rPr>
      </w:pPr>
      <w:r>
        <w:rPr>
          <w:rFonts w:hint="eastAsia" w:ascii="方正仿宋简体" w:eastAsia="方正仿宋简体"/>
          <w:sz w:val="32"/>
          <w:szCs w:val="32"/>
        </w:rPr>
        <w:t>清单一经批准，在执行前由清单的制定者，对使用清单的人员进行培训，并做好培训记录。</w:t>
      </w:r>
    </w:p>
    <w:p>
      <w:pPr>
        <w:adjustRightInd w:val="0"/>
        <w:snapToGrid w:val="0"/>
        <w:spacing w:line="560" w:lineRule="exact"/>
        <w:rPr>
          <w:rFonts w:ascii="方正仿宋简体" w:eastAsia="方正仿宋简体"/>
          <w:sz w:val="32"/>
          <w:szCs w:val="32"/>
        </w:rPr>
      </w:pPr>
      <w:r>
        <w:rPr>
          <w:rFonts w:hint="eastAsia" w:ascii="方正仿宋简体" w:eastAsia="方正仿宋简体"/>
          <w:sz w:val="32"/>
          <w:szCs w:val="32"/>
        </w:rPr>
        <w:t xml:space="preserve">   1.9清单的改进</w:t>
      </w:r>
    </w:p>
    <w:p>
      <w:pPr>
        <w:adjustRightInd w:val="0"/>
        <w:snapToGrid w:val="0"/>
        <w:spacing w:line="560" w:lineRule="exact"/>
        <w:rPr>
          <w:rFonts w:ascii="方正仿宋简体" w:eastAsia="方正仿宋简体"/>
          <w:sz w:val="32"/>
          <w:szCs w:val="32"/>
        </w:rPr>
      </w:pPr>
      <w:r>
        <w:rPr>
          <w:rFonts w:hint="eastAsia" w:ascii="方正仿宋简体" w:eastAsia="方正仿宋简体"/>
          <w:sz w:val="32"/>
          <w:szCs w:val="32"/>
        </w:rPr>
        <w:t xml:space="preserve">   安全生产责任清单是一个动态的管理过程，在清单执行过程当中，要不断总结经验，改进清单，将安全生产各项措施落实到实处，保障加油站安全运行。</w:t>
      </w:r>
    </w:p>
    <w:p>
      <w:pPr>
        <w:adjustRightInd w:val="0"/>
        <w:snapToGrid w:val="0"/>
        <w:spacing w:line="560" w:lineRule="exact"/>
        <w:ind w:firstLine="2080" w:firstLineChars="650"/>
        <w:rPr>
          <w:rFonts w:ascii="方正仿宋简体" w:eastAsia="方正仿宋简体"/>
          <w:sz w:val="32"/>
          <w:szCs w:val="32"/>
        </w:rPr>
      </w:pPr>
    </w:p>
    <w:p>
      <w:pPr>
        <w:adjustRightInd w:val="0"/>
        <w:snapToGrid w:val="0"/>
        <w:spacing w:line="560" w:lineRule="exact"/>
        <w:ind w:firstLine="2080" w:firstLineChars="650"/>
        <w:rPr>
          <w:rFonts w:ascii="方正仿宋简体" w:eastAsia="方正仿宋简体"/>
          <w:sz w:val="32"/>
          <w:szCs w:val="32"/>
        </w:rPr>
      </w:pPr>
    </w:p>
    <w:p>
      <w:pPr>
        <w:adjustRightInd w:val="0"/>
        <w:snapToGrid w:val="0"/>
        <w:spacing w:line="560" w:lineRule="exact"/>
        <w:ind w:firstLine="2080" w:firstLineChars="650"/>
        <w:rPr>
          <w:rFonts w:ascii="方正仿宋简体" w:eastAsia="方正仿宋简体"/>
          <w:sz w:val="32"/>
          <w:szCs w:val="32"/>
        </w:rPr>
      </w:pPr>
    </w:p>
    <w:p>
      <w:pPr>
        <w:adjustRightInd w:val="0"/>
        <w:snapToGrid w:val="0"/>
        <w:spacing w:line="560" w:lineRule="exact"/>
        <w:ind w:firstLine="2080" w:firstLineChars="650"/>
        <w:rPr>
          <w:rFonts w:ascii="方正仿宋简体" w:eastAsia="方正仿宋简体"/>
          <w:sz w:val="32"/>
          <w:szCs w:val="32"/>
        </w:rPr>
      </w:pPr>
    </w:p>
    <w:p>
      <w:pPr>
        <w:adjustRightInd w:val="0"/>
        <w:snapToGrid w:val="0"/>
        <w:spacing w:line="560" w:lineRule="exact"/>
        <w:ind w:firstLine="2080" w:firstLineChars="650"/>
        <w:rPr>
          <w:rFonts w:ascii="方正仿宋简体" w:eastAsia="方正仿宋简体"/>
          <w:sz w:val="32"/>
          <w:szCs w:val="32"/>
        </w:rPr>
      </w:pPr>
    </w:p>
    <w:p>
      <w:pPr>
        <w:adjustRightInd w:val="0"/>
        <w:snapToGrid w:val="0"/>
        <w:spacing w:line="560" w:lineRule="exact"/>
        <w:ind w:firstLine="2080" w:firstLineChars="650"/>
        <w:rPr>
          <w:rFonts w:ascii="方正仿宋简体" w:eastAsia="方正仿宋简体"/>
          <w:sz w:val="32"/>
          <w:szCs w:val="32"/>
        </w:rPr>
      </w:pPr>
    </w:p>
    <w:p>
      <w:pPr>
        <w:adjustRightInd w:val="0"/>
        <w:snapToGrid w:val="0"/>
        <w:spacing w:line="560" w:lineRule="exact"/>
        <w:ind w:firstLine="2080" w:firstLineChars="650"/>
        <w:rPr>
          <w:rFonts w:ascii="方正仿宋简体" w:eastAsia="方正仿宋简体"/>
          <w:sz w:val="32"/>
          <w:szCs w:val="32"/>
        </w:rPr>
      </w:pPr>
    </w:p>
    <w:p>
      <w:pPr>
        <w:adjustRightInd w:val="0"/>
        <w:snapToGrid w:val="0"/>
        <w:spacing w:line="560" w:lineRule="exact"/>
        <w:ind w:firstLine="2080" w:firstLineChars="650"/>
        <w:rPr>
          <w:rFonts w:ascii="方正仿宋简体" w:eastAsia="方正仿宋简体"/>
          <w:sz w:val="32"/>
          <w:szCs w:val="32"/>
        </w:rPr>
      </w:pPr>
    </w:p>
    <w:p>
      <w:pPr>
        <w:adjustRightInd w:val="0"/>
        <w:snapToGrid w:val="0"/>
        <w:spacing w:line="560" w:lineRule="exact"/>
        <w:ind w:firstLine="2080" w:firstLineChars="650"/>
        <w:rPr>
          <w:rFonts w:ascii="方正仿宋简体" w:eastAsia="方正仿宋简体"/>
          <w:sz w:val="32"/>
          <w:szCs w:val="32"/>
        </w:rPr>
      </w:pPr>
    </w:p>
    <w:p>
      <w:pPr>
        <w:adjustRightInd w:val="0"/>
        <w:snapToGrid w:val="0"/>
        <w:spacing w:line="560" w:lineRule="exact"/>
        <w:ind w:firstLine="2080" w:firstLineChars="650"/>
        <w:rPr>
          <w:rFonts w:ascii="方正仿宋简体" w:eastAsia="方正仿宋简体"/>
          <w:sz w:val="32"/>
          <w:szCs w:val="32"/>
        </w:rPr>
      </w:pPr>
    </w:p>
    <w:p>
      <w:pPr>
        <w:spacing w:line="560" w:lineRule="exact"/>
        <w:jc w:val="left"/>
        <w:outlineLvl w:val="0"/>
        <w:rPr>
          <w:rFonts w:eastAsia="黑体"/>
          <w:sz w:val="32"/>
          <w:szCs w:val="32"/>
        </w:rPr>
        <w:sectPr>
          <w:headerReference r:id="rId3" w:type="default"/>
          <w:footerReference r:id="rId4" w:type="default"/>
          <w:pgSz w:w="11906" w:h="16838"/>
          <w:pgMar w:top="1134" w:right="1134" w:bottom="1134" w:left="1134" w:header="851" w:footer="992" w:gutter="0"/>
          <w:cols w:space="0" w:num="1"/>
          <w:docGrid w:type="lines" w:linePitch="312" w:charSpace="0"/>
        </w:sectPr>
      </w:pPr>
    </w:p>
    <w:p>
      <w:pPr>
        <w:spacing w:line="560" w:lineRule="exact"/>
        <w:jc w:val="center"/>
        <w:outlineLvl w:val="0"/>
        <w:rPr>
          <w:rFonts w:eastAsia="方正小标宋简体"/>
          <w:sz w:val="36"/>
          <w:szCs w:val="36"/>
        </w:rPr>
      </w:pPr>
      <w:r>
        <w:rPr>
          <w:rFonts w:hint="eastAsia" w:eastAsia="方正小标宋简体"/>
          <w:sz w:val="36"/>
          <w:szCs w:val="36"/>
        </w:rPr>
        <w:t>一、企业安全生产主体责任清单</w:t>
      </w:r>
    </w:p>
    <w:p>
      <w:pPr>
        <w:widowControl/>
        <w:adjustRightInd w:val="0"/>
        <w:snapToGrid w:val="0"/>
        <w:spacing w:line="560" w:lineRule="exact"/>
        <w:jc w:val="center"/>
        <w:outlineLvl w:val="1"/>
        <w:rPr>
          <w:rFonts w:eastAsia="楷体_GB2312"/>
          <w:kern w:val="0"/>
          <w:sz w:val="32"/>
          <w:szCs w:val="32"/>
        </w:rPr>
      </w:pPr>
      <w:r>
        <w:rPr>
          <w:rFonts w:hint="eastAsia" w:eastAsia="楷体_GB2312"/>
          <w:kern w:val="0"/>
          <w:sz w:val="32"/>
          <w:szCs w:val="32"/>
        </w:rPr>
        <w:t>（中国石油四川南充销售分公司）</w:t>
      </w:r>
    </w:p>
    <w:p>
      <w:pPr>
        <w:spacing w:line="300" w:lineRule="exact"/>
        <w:ind w:firstLine="600" w:firstLineChars="200"/>
        <w:rPr>
          <w:rFonts w:eastAsia="仿宋"/>
          <w:sz w:val="30"/>
          <w:szCs w:val="30"/>
        </w:rPr>
      </w:pPr>
      <w:r>
        <w:rPr>
          <w:rFonts w:hint="eastAsia" w:eastAsia="仿宋"/>
          <w:sz w:val="30"/>
          <w:szCs w:val="30"/>
        </w:rPr>
        <w:t>《企业安全生产主体责任清单》应以风险管控为主线，防控重特大事故为要务，内容包含风险辨识、风险研判、风险管控措施的评估和落实等内容。企业应根据自身风险特征，参照如下模板范例并结合《中华人民共和国安全生产法》《危险化学品安全管理条例》《国务院安委会办公室关于全面加强企业全员安全生产责任制工作的通知》《国务院安委会办公室关于实施遏制重特大事故工作指南构建双重预防机制的意见》等其他法律法规文件要求，编制《企业安全生产主体责任清单》。</w:t>
      </w:r>
    </w:p>
    <w:p>
      <w:pPr>
        <w:jc w:val="center"/>
        <w:rPr>
          <w:rFonts w:ascii="黑体" w:hAnsi="黑体" w:eastAsia="黑体" w:cs="黑体"/>
          <w:kern w:val="0"/>
          <w:sz w:val="32"/>
          <w:szCs w:val="32"/>
        </w:rPr>
      </w:pPr>
      <w:r>
        <w:rPr>
          <w:rFonts w:hint="eastAsia" w:ascii="黑体" w:hAnsi="黑体" w:eastAsia="黑体" w:cs="黑体"/>
          <w:kern w:val="0"/>
          <w:sz w:val="32"/>
          <w:szCs w:val="32"/>
        </w:rPr>
        <w:t>1-1 中国石油四川南充销售分公司安全生产主体责任清单</w:t>
      </w:r>
    </w:p>
    <w:tbl>
      <w:tblPr>
        <w:tblStyle w:val="18"/>
        <w:tblW w:w="14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1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jc w:val="center"/>
              <w:rPr>
                <w:rFonts w:eastAsia="黑体"/>
                <w:sz w:val="24"/>
                <w:szCs w:val="20"/>
              </w:rPr>
            </w:pPr>
            <w:r>
              <w:rPr>
                <w:rFonts w:hint="eastAsia" w:eastAsia="黑体"/>
                <w:kern w:val="0"/>
                <w:sz w:val="24"/>
                <w:szCs w:val="20"/>
              </w:rPr>
              <w:t>行业类别</w:t>
            </w:r>
          </w:p>
        </w:tc>
        <w:tc>
          <w:tcPr>
            <w:tcW w:w="12454"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jc w:val="center"/>
              <w:rPr>
                <w:rFonts w:eastAsia="黑体"/>
                <w:sz w:val="24"/>
                <w:szCs w:val="20"/>
              </w:rPr>
            </w:pPr>
            <w:r>
              <w:rPr>
                <w:rFonts w:hint="eastAsia" w:eastAsia="黑体"/>
                <w:kern w:val="0"/>
                <w:sz w:val="24"/>
                <w:szCs w:val="20"/>
              </w:rPr>
              <w:t>责任清单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0"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jc w:val="center"/>
              <w:rPr>
                <w:sz w:val="24"/>
                <w:szCs w:val="20"/>
              </w:rPr>
            </w:pPr>
            <w:r>
              <w:rPr>
                <w:rFonts w:hint="eastAsia"/>
                <w:kern w:val="0"/>
                <w:sz w:val="24"/>
                <w:szCs w:val="20"/>
              </w:rPr>
              <w:t>危险化学品企业</w:t>
            </w:r>
          </w:p>
        </w:tc>
        <w:tc>
          <w:tcPr>
            <w:tcW w:w="12454" w:type="dxa"/>
            <w:tcBorders>
              <w:top w:val="single" w:color="auto" w:sz="4" w:space="0"/>
              <w:left w:val="single" w:color="auto" w:sz="4" w:space="0"/>
              <w:bottom w:val="single" w:color="auto" w:sz="4" w:space="0"/>
              <w:right w:val="single" w:color="auto" w:sz="4" w:space="0"/>
            </w:tcBorders>
          </w:tcPr>
          <w:p>
            <w:pPr>
              <w:spacing w:line="300" w:lineRule="exact"/>
              <w:rPr>
                <w:sz w:val="24"/>
                <w:szCs w:val="20"/>
              </w:rPr>
            </w:pPr>
            <w:r>
              <w:rPr>
                <w:rFonts w:hint="eastAsia"/>
                <w:b/>
                <w:sz w:val="24"/>
                <w:szCs w:val="20"/>
              </w:rPr>
              <w:t>1.</w:t>
            </w:r>
            <w:r>
              <w:rPr>
                <w:rFonts w:hint="eastAsia"/>
                <w:b/>
              </w:rPr>
              <w:t xml:space="preserve"> </w:t>
            </w:r>
            <w:r>
              <w:rPr>
                <w:rFonts w:hint="eastAsia"/>
                <w:b/>
                <w:sz w:val="24"/>
                <w:szCs w:val="20"/>
              </w:rPr>
              <w:t>建立健全安全生产责任制。</w:t>
            </w:r>
            <w:r>
              <w:rPr>
                <w:rFonts w:hint="eastAsia"/>
                <w:sz w:val="24"/>
                <w:szCs w:val="20"/>
              </w:rPr>
              <w:t>（1）依法建立健全本单位安全生产责任制度，并将本单位安全生产责任管理范围、内容、要求分解到各部门、各岗位，明确责任人员、责任内容和考核奖惩标准；（2）建立绩效考核机制，加强对安全生产责任制落实情况的监督考核，保证安全生产责任制的落实。</w:t>
            </w:r>
          </w:p>
          <w:p>
            <w:pPr>
              <w:spacing w:line="300" w:lineRule="exact"/>
              <w:rPr>
                <w:rFonts w:ascii="宋体" w:hAnsi="宋体"/>
                <w:sz w:val="24"/>
                <w:szCs w:val="20"/>
              </w:rPr>
            </w:pPr>
            <w:r>
              <w:rPr>
                <w:rFonts w:hint="eastAsia"/>
                <w:b/>
                <w:sz w:val="24"/>
                <w:szCs w:val="20"/>
              </w:rPr>
              <w:t>2.</w:t>
            </w:r>
            <w:r>
              <w:rPr>
                <w:rFonts w:hint="eastAsia"/>
                <w:b/>
              </w:rPr>
              <w:t xml:space="preserve"> </w:t>
            </w:r>
            <w:r>
              <w:rPr>
                <w:rFonts w:hint="eastAsia"/>
                <w:b/>
                <w:sz w:val="24"/>
                <w:szCs w:val="20"/>
              </w:rPr>
              <w:t>建立安全生产管理制度和操作规程。</w:t>
            </w:r>
            <w:r>
              <w:rPr>
                <w:rFonts w:hint="eastAsia" w:ascii="宋体" w:hAnsi="宋体"/>
                <w:sz w:val="24"/>
                <w:szCs w:val="20"/>
              </w:rPr>
              <w:t>（1）按照国家法规标准和政策文件要求，针对安全生产、风险防控、隐患治理、设备设施、危险作业、监督检查、应急管理、危废处置和员工培训等工作建立管理制度；（2）建立油库、加油（气）站及其它生产经营场所作业活动操作规程；（3）编制的管理制度和操作规程经企业安全生产管理部门组织评审后按程序发布；（4）指导、督促各级管理者和岗位员工按制度执行安全生产工作，按规程实施作业活动。</w:t>
            </w:r>
          </w:p>
          <w:p>
            <w:pPr>
              <w:spacing w:line="300" w:lineRule="exact"/>
              <w:rPr>
                <w:sz w:val="24"/>
                <w:szCs w:val="20"/>
              </w:rPr>
            </w:pPr>
            <w:r>
              <w:rPr>
                <w:b/>
                <w:sz w:val="24"/>
                <w:szCs w:val="20"/>
              </w:rPr>
              <w:t>3</w:t>
            </w:r>
            <w:r>
              <w:rPr>
                <w:rFonts w:hint="eastAsia"/>
                <w:b/>
                <w:sz w:val="24"/>
                <w:szCs w:val="20"/>
              </w:rPr>
              <w:t>.</w:t>
            </w:r>
            <w:r>
              <w:rPr>
                <w:rFonts w:hint="eastAsia"/>
                <w:b/>
              </w:rPr>
              <w:t xml:space="preserve"> </w:t>
            </w:r>
            <w:r>
              <w:rPr>
                <w:rFonts w:hint="eastAsia"/>
                <w:b/>
                <w:sz w:val="24"/>
                <w:szCs w:val="20"/>
              </w:rPr>
              <w:t>保证安全生产资金有效投入。</w:t>
            </w:r>
            <w:r>
              <w:rPr>
                <w:rFonts w:hint="eastAsia"/>
                <w:sz w:val="24"/>
                <w:szCs w:val="20"/>
              </w:rPr>
              <w:t>（1）保证企业应当具备的安全生产条件所必须的资金投入；（2）有关企业按照国家财政、安监部门的规定提取和使用安全生产费用。</w:t>
            </w:r>
          </w:p>
          <w:p>
            <w:pPr>
              <w:spacing w:line="300" w:lineRule="exact"/>
              <w:rPr>
                <w:rFonts w:ascii="宋体" w:hAnsi="宋体"/>
                <w:sz w:val="24"/>
                <w:szCs w:val="20"/>
              </w:rPr>
            </w:pPr>
            <w:r>
              <w:rPr>
                <w:rFonts w:hint="eastAsia"/>
                <w:b/>
                <w:sz w:val="24"/>
                <w:szCs w:val="20"/>
              </w:rPr>
              <w:t>4.</w:t>
            </w:r>
            <w:r>
              <w:rPr>
                <w:rFonts w:hint="eastAsia"/>
                <w:b/>
              </w:rPr>
              <w:t xml:space="preserve"> </w:t>
            </w:r>
            <w:r>
              <w:rPr>
                <w:rFonts w:hint="eastAsia"/>
                <w:b/>
                <w:sz w:val="24"/>
                <w:szCs w:val="20"/>
              </w:rPr>
              <w:t>设置安全生产管理机构和配备安全生产管理人员。</w:t>
            </w:r>
            <w:r>
              <w:rPr>
                <w:rFonts w:hint="eastAsia"/>
                <w:sz w:val="24"/>
                <w:szCs w:val="20"/>
              </w:rPr>
              <w:t>（1）设置安全生产管理部门并配备专职安全生产</w:t>
            </w:r>
            <w:r>
              <w:rPr>
                <w:rFonts w:hint="eastAsia" w:ascii="宋体" w:hAnsi="宋体"/>
                <w:sz w:val="24"/>
                <w:szCs w:val="20"/>
              </w:rPr>
              <w:t>管理人员；（2）安全生产管理人员具备国家认可的安全任职资格；（3）赋予分管安全生产的负责人安全总监的职责；（4）建立由本单位主要负责人担任主任的安全生产委员会，按照规定及时召开安全生产委员会会议。</w:t>
            </w:r>
          </w:p>
          <w:p>
            <w:pPr>
              <w:spacing w:line="300" w:lineRule="exact"/>
              <w:rPr>
                <w:sz w:val="24"/>
                <w:szCs w:val="20"/>
              </w:rPr>
            </w:pPr>
            <w:r>
              <w:rPr>
                <w:rFonts w:hint="eastAsia"/>
                <w:b/>
                <w:sz w:val="24"/>
                <w:szCs w:val="20"/>
              </w:rPr>
              <w:t>5.</w:t>
            </w:r>
            <w:r>
              <w:rPr>
                <w:rFonts w:hint="eastAsia"/>
                <w:b/>
              </w:rPr>
              <w:t xml:space="preserve"> </w:t>
            </w:r>
            <w:r>
              <w:rPr>
                <w:rFonts w:hint="eastAsia"/>
                <w:b/>
                <w:sz w:val="24"/>
                <w:szCs w:val="20"/>
              </w:rPr>
              <w:t>组织安全生产培训教育。</w:t>
            </w:r>
            <w:r>
              <w:rPr>
                <w:rFonts w:hint="eastAsia"/>
                <w:sz w:val="24"/>
                <w:szCs w:val="20"/>
              </w:rPr>
              <w:t>（1）主要负责人和安全生产管理人员应当接受安全培训，具备与所从事的生产经营活动相适应的安全生产知识和管理能力；（2）主要负责人、安全生产管理人员应当接受安全生产教育和培训，经主管的负有安全生产监督管理责任的部门考核合格；（3）对主要负责人、安全生产管理人员以外的其他从业人员，按照有关规定进行安全生产教育和培训，未经教育和培训合格的从业人员，不得安排上岗作业；（4）使用被派遣劳动者，应当将其纳入公司从业人员统一管理，对其进行岗位安全操作规程和安全操作技能的教育培训；（5）接受中等职业学校、高等学校学生实习的，应当对其进行相应的安全生产教育和培训，提供必要的劳动防护用品；（6）采用新工艺、新技术、新材料、或者使用新设备，应当对从业人员进行专门的安全教育和培训；（7）特种作业人员必须按照国家有关法律、法规的规定接受专门的安全培训，经考核合格取得特种作业操作资格证书后，方可上岗作业；</w:t>
            </w:r>
          </w:p>
          <w:p>
            <w:pPr>
              <w:rPr>
                <w:sz w:val="24"/>
                <w:szCs w:val="20"/>
              </w:rPr>
            </w:pPr>
            <w:r>
              <w:rPr>
                <w:rFonts w:hint="eastAsia"/>
                <w:b/>
                <w:sz w:val="24"/>
                <w:szCs w:val="20"/>
              </w:rPr>
              <w:t>6.加强安全生产风险分级管控。</w:t>
            </w:r>
            <w:r>
              <w:rPr>
                <w:rFonts w:hint="eastAsia"/>
                <w:sz w:val="24"/>
                <w:szCs w:val="20"/>
              </w:rPr>
              <w:t>（1）定期开展安全风险危害辨识，排查易发生生产安全事故的场所、设备和岗位，采取适用的评估方法确定风险等级；（2）针对不同等级的安全风险，逐一明确管控层级，针对不同等级的安全风险制定相应安全管控措施，明确具体的责任部门、责任人，在醒目位置设置安全风险公示栏、告知卡，并落实管控措施。</w:t>
            </w:r>
          </w:p>
          <w:p>
            <w:pPr>
              <w:spacing w:line="300" w:lineRule="exact"/>
              <w:rPr>
                <w:sz w:val="24"/>
                <w:szCs w:val="20"/>
              </w:rPr>
            </w:pPr>
            <w:r>
              <w:rPr>
                <w:rFonts w:hint="eastAsia"/>
                <w:b/>
                <w:sz w:val="24"/>
                <w:szCs w:val="20"/>
              </w:rPr>
              <w:t>7.</w:t>
            </w:r>
            <w:r>
              <w:rPr>
                <w:rFonts w:hint="eastAsia"/>
                <w:b/>
              </w:rPr>
              <w:t xml:space="preserve"> </w:t>
            </w:r>
            <w:r>
              <w:rPr>
                <w:rFonts w:hint="eastAsia"/>
                <w:b/>
                <w:sz w:val="24"/>
                <w:szCs w:val="20"/>
              </w:rPr>
              <w:t>依法开展安全隐患排查治理。</w:t>
            </w:r>
            <w:r>
              <w:rPr>
                <w:rFonts w:hint="eastAsia"/>
                <w:sz w:val="24"/>
                <w:szCs w:val="20"/>
              </w:rPr>
              <w:t>（1）定期组织安全生产管理人员、工程技术人员和其他相关人员，采取技术、管理措施，及时发现并消除事故隐患；（2）对排查出的事故隐患，应当按照事故隐患的等级进行登记，建立事故隐患信息档案，并按照职责分工实施监控治理；（3）在事故隐患治理过程中，应当采取相应的安全防范措施，防止事故发生。事故隐患排除前或者排除过程中无法保证安全的，应当从危险区域内撤出作业人员，并疏散可能危及的其他人员，设置警戒标志，暂时停产停业或者停止使用；对暂时难以停产或者停止使用的相关生产储存装置、设施、设备，应当加强维护和保养，防止事故发生；（4）按照规定对本单位事故隐患排查治理情况进行统计分析，并向安全监管监察部门和有关部门报送书面统计分析表。对于重大事故隐患，还应当及时向安全监管监察部门和有关部门报告；（5）事故隐患排查治理情况应当如实记录，并向从业人员通报。</w:t>
            </w:r>
          </w:p>
          <w:p>
            <w:pPr>
              <w:spacing w:line="300" w:lineRule="exact"/>
              <w:rPr>
                <w:sz w:val="24"/>
                <w:szCs w:val="20"/>
              </w:rPr>
            </w:pPr>
            <w:r>
              <w:rPr>
                <w:rFonts w:hint="eastAsia"/>
                <w:b/>
                <w:sz w:val="24"/>
                <w:szCs w:val="20"/>
              </w:rPr>
              <w:t>8. 建设项目安全设施必须“三同时”。（</w:t>
            </w:r>
            <w:r>
              <w:rPr>
                <w:rFonts w:hint="eastAsia"/>
                <w:sz w:val="24"/>
                <w:szCs w:val="20"/>
              </w:rPr>
              <w:t>1）新建、改建、扩建工程项目（以下统称建设项目）的安全设施，必须与主体工程同时设计、同时施工、同时投入生产和使用。安全设施投资应当纳入建设项目概算；（2）油库、加油站的建设项目，应当按照国家有关规定进行安全评价；（3）油库、加油站建设项目的安全设施设计应当按照国家有关规定报经有关部门审查；（4）油库、加油站的建设项目的施工单位必须按照批准的安全设施设计施工，并对安全设施的工程质量负责；（5）油库、加油站的建设项目竣工投入生产或者使用前，应当组织对安全设施进行验收；验收合格后，方可投入生产和使用。</w:t>
            </w:r>
          </w:p>
          <w:p>
            <w:pPr>
              <w:spacing w:line="300" w:lineRule="exact"/>
              <w:rPr>
                <w:sz w:val="24"/>
                <w:szCs w:val="20"/>
              </w:rPr>
            </w:pPr>
            <w:r>
              <w:rPr>
                <w:rFonts w:hint="eastAsia"/>
                <w:b/>
                <w:sz w:val="24"/>
                <w:szCs w:val="20"/>
              </w:rPr>
              <w:t>9.设备、工艺符合安全规定。</w:t>
            </w:r>
            <w:r>
              <w:rPr>
                <w:rFonts w:hint="eastAsia"/>
                <w:sz w:val="24"/>
                <w:szCs w:val="20"/>
              </w:rPr>
              <w:t>（1）安全设备的设计、制造、安装、使用、检测、维修、改造和报废，应当符合国家标准或者行业标准。企业必须对安全设备进行经常性维护、保养，并定期检测，保证正常运转。维护、保养、检测应当作好记录，并由有关人员签字；（2）使用的危险物品的容器、运输工具,必须按照国家有关规定，由专业生产单位生产，并经具有专业资质的检测、检验机构检测、检验合格，取得安全使用证或者安全标志，方可投入使用；（3）不得使用国家、省、市人民政府公布的应当淘汰的危及生产安全的工艺、设备；（4）应当加强在役安全生产设施设备的检测、评估，对不符合安全生产要求的安全生产设施设备应当及时维修或者更新；发现在役设备、现有工艺存在危及生产安全因素的，应当及时改进或者更新；（5）采用新工艺、新技术、新材料或者使用新设备，必须了解、掌握其安全技术性能，采取有效的安全防护措施，保证采用新工艺、新技术、新材料或者使用新设备安全；（6）特种设备应按期取得国家认可检定机构的检定报告，操作人员具备特种作业证书，按规程操作；（6）运行设备设施上具备明显的安全或警示标识。</w:t>
            </w:r>
          </w:p>
          <w:p>
            <w:pPr>
              <w:spacing w:line="300" w:lineRule="exact"/>
              <w:rPr>
                <w:rFonts w:ascii="宋体" w:hAnsi="宋体"/>
                <w:b/>
                <w:sz w:val="24"/>
              </w:rPr>
            </w:pPr>
            <w:r>
              <w:rPr>
                <w:rFonts w:hint="eastAsia"/>
                <w:b/>
                <w:sz w:val="24"/>
                <w:szCs w:val="20"/>
              </w:rPr>
              <w:t>10.加强“两重点，一重大”安全管理。（1）</w:t>
            </w:r>
            <w:r>
              <w:rPr>
                <w:sz w:val="24"/>
              </w:rPr>
              <w:t>对重大危险源登记建档，</w:t>
            </w:r>
            <w:r>
              <w:rPr>
                <w:rFonts w:hint="eastAsia"/>
                <w:sz w:val="24"/>
              </w:rPr>
              <w:t>按法规标准要求</w:t>
            </w:r>
            <w:r>
              <w:rPr>
                <w:sz w:val="24"/>
              </w:rPr>
              <w:t>定期检测、评估、监控，</w:t>
            </w:r>
            <w:r>
              <w:rPr>
                <w:rFonts w:hint="eastAsia"/>
                <w:sz w:val="24"/>
              </w:rPr>
              <w:t>按制度要求落实安全生产管理；</w:t>
            </w:r>
            <w:r>
              <w:rPr>
                <w:rFonts w:hint="eastAsia" w:ascii="宋体" w:hAnsi="宋体"/>
                <w:sz w:val="24"/>
              </w:rPr>
              <w:t>（2）</w:t>
            </w:r>
            <w:r>
              <w:rPr>
                <w:rFonts w:ascii="宋体" w:hAnsi="宋体" w:cs="Arial"/>
                <w:color w:val="191919"/>
                <w:sz w:val="24"/>
                <w:shd w:val="clear" w:color="auto" w:fill="FFFFFF"/>
              </w:rPr>
              <w:t>涉及“两重点一重大”的建设项目，在基础设计阶段开展HAZOP分析，</w:t>
            </w:r>
            <w:r>
              <w:rPr>
                <w:rFonts w:hint="eastAsia" w:ascii="宋体" w:hAnsi="宋体" w:cs="Arial"/>
                <w:color w:val="191919"/>
                <w:sz w:val="24"/>
                <w:shd w:val="clear" w:color="auto" w:fill="FFFFFF"/>
              </w:rPr>
              <w:t>确保符合国家标准要求</w:t>
            </w:r>
            <w:r>
              <w:rPr>
                <w:rFonts w:ascii="宋体" w:hAnsi="宋体" w:cs="Arial"/>
                <w:color w:val="191919"/>
                <w:sz w:val="24"/>
                <w:shd w:val="clear" w:color="auto" w:fill="FFFFFF"/>
              </w:rPr>
              <w:t>；（3）建立健全安全监测监控体系，</w:t>
            </w:r>
            <w:r>
              <w:rPr>
                <w:rFonts w:hint="eastAsia" w:ascii="宋体" w:hAnsi="宋体" w:cs="Arial"/>
                <w:color w:val="191919"/>
                <w:sz w:val="24"/>
                <w:shd w:val="clear" w:color="auto" w:fill="FFFFFF"/>
              </w:rPr>
              <w:t>配备安全设备及仪表，并按期检定检测，确保安全运行。</w:t>
            </w:r>
          </w:p>
          <w:p>
            <w:pPr>
              <w:spacing w:line="300" w:lineRule="exact"/>
              <w:rPr>
                <w:sz w:val="24"/>
                <w:szCs w:val="20"/>
              </w:rPr>
            </w:pPr>
            <w:r>
              <w:rPr>
                <w:rFonts w:hint="eastAsia"/>
                <w:b/>
                <w:sz w:val="24"/>
                <w:szCs w:val="20"/>
              </w:rPr>
              <w:t>11.</w:t>
            </w:r>
            <w:r>
              <w:rPr>
                <w:rFonts w:hint="eastAsia"/>
                <w:b/>
              </w:rPr>
              <w:t xml:space="preserve"> </w:t>
            </w:r>
            <w:r>
              <w:rPr>
                <w:rFonts w:hint="eastAsia"/>
                <w:b/>
                <w:sz w:val="24"/>
                <w:szCs w:val="20"/>
              </w:rPr>
              <w:t>开展安全生产标准化建设。</w:t>
            </w:r>
            <w:r>
              <w:rPr>
                <w:sz w:val="24"/>
                <w:szCs w:val="20"/>
              </w:rPr>
              <w:t>按照国家有关规定开展安全生产标准化创建工作，并加强安全文化建设，营造安全生产氛围，确立本单位的安全生产理念、目标和安全生产行为准则、规范，提高全员的安全生产意识和安全生产技能</w:t>
            </w:r>
            <w:r>
              <w:rPr>
                <w:rFonts w:hint="eastAsia"/>
                <w:sz w:val="24"/>
                <w:szCs w:val="20"/>
              </w:rPr>
              <w:t>。</w:t>
            </w:r>
          </w:p>
          <w:p>
            <w:pPr>
              <w:spacing w:line="300" w:lineRule="exact"/>
              <w:rPr>
                <w:sz w:val="24"/>
                <w:szCs w:val="20"/>
              </w:rPr>
            </w:pPr>
            <w:r>
              <w:rPr>
                <w:rFonts w:hint="eastAsia"/>
                <w:b/>
                <w:sz w:val="24"/>
                <w:szCs w:val="20"/>
              </w:rPr>
              <w:t>12.</w:t>
            </w:r>
            <w:r>
              <w:rPr>
                <w:rFonts w:hint="eastAsia"/>
                <w:b/>
              </w:rPr>
              <w:t xml:space="preserve"> </w:t>
            </w:r>
            <w:r>
              <w:rPr>
                <w:rFonts w:hint="eastAsia"/>
                <w:b/>
                <w:sz w:val="24"/>
                <w:szCs w:val="20"/>
              </w:rPr>
              <w:t>落实对相关各方面的安全生产管理职责。</w:t>
            </w:r>
            <w:r>
              <w:rPr>
                <w:rFonts w:hint="eastAsia"/>
                <w:sz w:val="24"/>
                <w:szCs w:val="20"/>
              </w:rPr>
              <w:t>（1）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2）不得将生产经营项目、场所、设备发包或者出租给不具备安全生产条件或者相应资质的单位或个人；（3）生产经营项目、场所发包或者出租给其他单位的，应当与承包单位、承租单位签订专门的安全生产管理协议，或者在承包合同、租赁合同中约定各自的安全生产管理职责；（4）对承包单位、承租单位的安全生产工作统一协调、管理、定期进行安全检查，发现安全问题的，应当及时督促整改。</w:t>
            </w:r>
          </w:p>
          <w:p>
            <w:r>
              <w:rPr>
                <w:rFonts w:hint="eastAsia"/>
                <w:b/>
                <w:sz w:val="24"/>
                <w:szCs w:val="20"/>
              </w:rPr>
              <w:t>13.</w:t>
            </w:r>
            <w:r>
              <w:rPr>
                <w:rFonts w:hint="eastAsia"/>
                <w:b/>
              </w:rPr>
              <w:t xml:space="preserve"> </w:t>
            </w:r>
            <w:r>
              <w:rPr>
                <w:rFonts w:hint="eastAsia"/>
                <w:b/>
                <w:sz w:val="24"/>
                <w:szCs w:val="20"/>
              </w:rPr>
              <w:t>落实危险作业（活动）的安全管理措施。</w:t>
            </w:r>
            <w:r>
              <w:rPr>
                <w:rFonts w:hint="eastAsia"/>
                <w:sz w:val="24"/>
                <w:szCs w:val="20"/>
              </w:rPr>
              <w:t>实施动火、临时用电、挖掘、高处、吊装等非常规作业及规定的其他危险作业时，应按制度要求办理并审批作业票证，落实安全措施，指定人员全程监护，及时制止“三违”行为</w:t>
            </w:r>
            <w:r>
              <w:rPr>
                <w:sz w:val="24"/>
                <w:szCs w:val="20"/>
              </w:rPr>
              <w:t>。</w:t>
            </w:r>
          </w:p>
          <w:p>
            <w:pPr>
              <w:spacing w:line="300" w:lineRule="exact"/>
              <w:rPr>
                <w:sz w:val="24"/>
                <w:szCs w:val="20"/>
              </w:rPr>
            </w:pPr>
            <w:r>
              <w:rPr>
                <w:rFonts w:hint="eastAsia"/>
                <w:b/>
                <w:sz w:val="24"/>
                <w:szCs w:val="20"/>
              </w:rPr>
              <w:t>14.</w:t>
            </w:r>
            <w:r>
              <w:rPr>
                <w:rFonts w:hint="eastAsia"/>
                <w:b/>
              </w:rPr>
              <w:t xml:space="preserve"> </w:t>
            </w:r>
            <w:r>
              <w:rPr>
                <w:rFonts w:hint="eastAsia"/>
                <w:b/>
                <w:sz w:val="24"/>
                <w:szCs w:val="20"/>
              </w:rPr>
              <w:t>劳动防护用品配置。</w:t>
            </w:r>
            <w:r>
              <w:rPr>
                <w:rFonts w:hint="eastAsia"/>
                <w:sz w:val="24"/>
                <w:szCs w:val="20"/>
              </w:rPr>
              <w:t>本单位应为从业人员提供符合国家标准或者行业标准的劳动防护用品，并监督、教育从业人员按照使用规则佩戴和使用。</w:t>
            </w:r>
          </w:p>
          <w:p>
            <w:pPr>
              <w:rPr>
                <w:sz w:val="24"/>
                <w:szCs w:val="20"/>
              </w:rPr>
            </w:pPr>
            <w:r>
              <w:rPr>
                <w:rFonts w:hint="eastAsia"/>
                <w:b/>
                <w:sz w:val="24"/>
                <w:szCs w:val="20"/>
              </w:rPr>
              <w:t>15.</w:t>
            </w:r>
            <w:r>
              <w:rPr>
                <w:rFonts w:hint="eastAsia"/>
                <w:b/>
              </w:rPr>
              <w:t xml:space="preserve"> </w:t>
            </w:r>
            <w:r>
              <w:rPr>
                <w:rFonts w:hint="eastAsia"/>
                <w:b/>
                <w:sz w:val="24"/>
                <w:szCs w:val="20"/>
              </w:rPr>
              <w:t>做好生产安全事故应急救援工作。（</w:t>
            </w:r>
            <w:r>
              <w:rPr>
                <w:rFonts w:hint="eastAsia"/>
                <w:sz w:val="24"/>
                <w:szCs w:val="20"/>
              </w:rPr>
              <w:t>1）依法参加工伤保险和安全生产责任保险（2）制定本单位生产安全事故应急救援预案，按照规定进行评审、发布和备案，与所在地县级以上地方人民政府组织制定的生产安全事故应急救援预案相衔接，并每半年至少组织演练1次；（3）本单位</w:t>
            </w:r>
            <w:r>
              <w:rPr>
                <w:sz w:val="24"/>
                <w:szCs w:val="20"/>
              </w:rPr>
              <w:t>应当采取多种形式开展应急预案的宣传教育，普及生产安全事故避险、自救和互救知识，提高从业人员和社会公众的安全意识与应急处置技能。</w:t>
            </w:r>
            <w:r>
              <w:rPr>
                <w:rFonts w:hint="eastAsia"/>
                <w:sz w:val="24"/>
                <w:szCs w:val="20"/>
              </w:rPr>
              <w:t>（4）建立应急救援组织或指定兼职的应急救援人员，应急救援人员应具备救援与自救知识和能力；（5）配备必要的应急救援器材、设备和物资，并进行经常性维护、保养，保证正常运转；（6）必须在险情或事故发生后第一时间做好先期处置，及时采取隔离和疏散措施，并按照有关规定如实向当地政府、负有安全监管职责的部门及其他有关部门报告。</w:t>
            </w:r>
            <w:r>
              <w:rPr>
                <w:sz w:val="24"/>
                <w:szCs w:val="20"/>
              </w:rPr>
              <w:t>事故调查期间，应当积极配合，</w:t>
            </w:r>
            <w:r>
              <w:rPr>
                <w:rFonts w:hint="eastAsia"/>
                <w:sz w:val="24"/>
                <w:szCs w:val="20"/>
              </w:rPr>
              <w:t>严格按照“四不放过”原则进行事故处理</w:t>
            </w:r>
            <w:r>
              <w:rPr>
                <w:sz w:val="24"/>
                <w:szCs w:val="20"/>
              </w:rPr>
              <w:t>。</w:t>
            </w:r>
          </w:p>
          <w:p>
            <w:pPr>
              <w:rPr>
                <w:sz w:val="24"/>
                <w:szCs w:val="20"/>
              </w:rPr>
            </w:pPr>
            <w:r>
              <w:rPr>
                <w:rFonts w:hint="eastAsia"/>
                <w:b/>
                <w:sz w:val="24"/>
                <w:szCs w:val="20"/>
              </w:rPr>
              <w:t>16. 生产经营场所和员工宿舍设置符合要求的出口。</w:t>
            </w:r>
            <w:r>
              <w:rPr>
                <w:rFonts w:hint="eastAsia"/>
                <w:sz w:val="24"/>
                <w:szCs w:val="20"/>
              </w:rPr>
              <w:t>经营场所和员工宿舍应设有符合紧急疏散要求、标志明显、保持畅通的出口;安全出口疏散宽度和距离应当符合国家有关建筑设计防火规范的规定。</w:t>
            </w:r>
          </w:p>
        </w:tc>
      </w:tr>
    </w:tbl>
    <w:p>
      <w:pPr>
        <w:widowControl/>
        <w:jc w:val="left"/>
      </w:pPr>
    </w:p>
    <w:p>
      <w:pPr>
        <w:pStyle w:val="2"/>
        <w:ind w:firstLine="5040" w:firstLineChars="1400"/>
        <w:rPr>
          <w:rFonts w:eastAsia="方正小标宋简体"/>
          <w:sz w:val="36"/>
          <w:szCs w:val="36"/>
        </w:rPr>
      </w:pPr>
    </w:p>
    <w:p>
      <w:pPr>
        <w:pStyle w:val="2"/>
        <w:ind w:firstLine="5040" w:firstLineChars="1400"/>
        <w:rPr>
          <w:rFonts w:eastAsia="方正小标宋简体"/>
          <w:sz w:val="36"/>
          <w:szCs w:val="36"/>
        </w:rPr>
      </w:pPr>
    </w:p>
    <w:p>
      <w:pPr>
        <w:pStyle w:val="2"/>
        <w:ind w:firstLine="4680" w:firstLineChars="1300"/>
      </w:pPr>
      <w:r>
        <w:rPr>
          <w:rFonts w:hint="eastAsia" w:eastAsia="方正小标宋简体"/>
          <w:sz w:val="36"/>
          <w:szCs w:val="36"/>
        </w:rPr>
        <w:t>1-2、安全生产岗位责任清单</w:t>
      </w:r>
    </w:p>
    <w:p>
      <w:pPr>
        <w:tabs>
          <w:tab w:val="center" w:pos="7285"/>
        </w:tabs>
        <w:jc w:val="left"/>
        <w:sectPr>
          <w:pgSz w:w="16838" w:h="11906" w:orient="landscape"/>
          <w:pgMar w:top="567" w:right="1134" w:bottom="567" w:left="1134" w:header="851" w:footer="992" w:gutter="0"/>
          <w:cols w:space="720" w:num="1"/>
          <w:docGrid w:type="lines" w:linePitch="312" w:charSpace="0"/>
        </w:sectPr>
      </w:pPr>
    </w:p>
    <w:tbl>
      <w:tblPr>
        <w:tblStyle w:val="19"/>
        <w:tblW w:w="15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358"/>
        <w:gridCol w:w="6290"/>
        <w:gridCol w:w="6110"/>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blHeader/>
          <w:jc w:val="center"/>
        </w:trPr>
        <w:tc>
          <w:tcPr>
            <w:tcW w:w="797"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80"/>
              <w:jc w:val="center"/>
              <w:rPr>
                <w:rFonts w:ascii="Times New Roman" w:hAnsi="Times New Roman" w:eastAsia="黑体" w:cs="Times New Roman"/>
                <w:sz w:val="24"/>
                <w:szCs w:val="20"/>
              </w:rPr>
            </w:pPr>
            <w:r>
              <w:rPr>
                <w:rFonts w:hint="eastAsia" w:ascii="Times New Roman" w:hAnsi="Times New Roman" w:eastAsia="黑体" w:cs="Times New Roman"/>
                <w:kern w:val="0"/>
                <w:sz w:val="24"/>
                <w:szCs w:val="20"/>
              </w:rPr>
              <w:t>序号</w:t>
            </w:r>
          </w:p>
        </w:tc>
        <w:tc>
          <w:tcPr>
            <w:tcW w:w="135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80"/>
              <w:jc w:val="center"/>
              <w:rPr>
                <w:rFonts w:ascii="Times New Roman" w:hAnsi="Times New Roman" w:eastAsia="黑体" w:cs="Times New Roman"/>
                <w:sz w:val="24"/>
                <w:szCs w:val="20"/>
              </w:rPr>
            </w:pPr>
            <w:r>
              <w:rPr>
                <w:rFonts w:hint="eastAsia" w:ascii="Times New Roman" w:hAnsi="Times New Roman" w:eastAsia="黑体" w:cs="Times New Roman"/>
                <w:kern w:val="0"/>
                <w:sz w:val="24"/>
                <w:szCs w:val="20"/>
              </w:rPr>
              <w:t>岗位名称</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80"/>
              <w:jc w:val="center"/>
              <w:rPr>
                <w:rFonts w:ascii="Times New Roman" w:hAnsi="Times New Roman" w:eastAsia="黑体" w:cs="Times New Roman"/>
                <w:sz w:val="24"/>
                <w:szCs w:val="20"/>
              </w:rPr>
            </w:pPr>
            <w:r>
              <w:rPr>
                <w:rFonts w:hint="eastAsia" w:ascii="Times New Roman" w:hAnsi="Times New Roman" w:eastAsia="黑体" w:cs="Times New Roman"/>
                <w:kern w:val="0"/>
                <w:sz w:val="24"/>
                <w:szCs w:val="20"/>
              </w:rPr>
              <w:t>责任清单</w:t>
            </w:r>
          </w:p>
        </w:tc>
        <w:tc>
          <w:tcPr>
            <w:tcW w:w="611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80"/>
              <w:jc w:val="center"/>
              <w:rPr>
                <w:rFonts w:ascii="Times New Roman" w:hAnsi="Times New Roman" w:eastAsia="黑体" w:cs="Times New Roman"/>
                <w:sz w:val="24"/>
                <w:szCs w:val="20"/>
              </w:rPr>
            </w:pPr>
            <w:r>
              <w:rPr>
                <w:rFonts w:hint="eastAsia" w:ascii="Times New Roman" w:hAnsi="Times New Roman" w:eastAsia="黑体" w:cs="Times New Roman"/>
                <w:kern w:val="0"/>
                <w:sz w:val="24"/>
                <w:szCs w:val="20"/>
              </w:rPr>
              <w:t>履职清单</w:t>
            </w:r>
          </w:p>
        </w:tc>
        <w:tc>
          <w:tcPr>
            <w:tcW w:w="104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黑体" w:cs="Times New Roman"/>
                <w:sz w:val="24"/>
                <w:szCs w:val="20"/>
              </w:rPr>
            </w:pPr>
            <w:r>
              <w:rPr>
                <w:rFonts w:hint="eastAsia" w:ascii="Times New Roman" w:hAnsi="Times New Roman" w:eastAsia="黑体" w:cs="Times New Roman"/>
                <w:kern w:val="0"/>
                <w:sz w:val="24"/>
                <w:szCs w:val="20"/>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4"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ascii="Times New Roman" w:hAnsi="Times New Roman" w:eastAsia="宋体" w:cs="Times New Roman"/>
                <w:kern w:val="0"/>
                <w:sz w:val="24"/>
                <w:szCs w:val="20"/>
              </w:rPr>
              <w:t>1</w:t>
            </w:r>
          </w:p>
        </w:tc>
        <w:tc>
          <w:tcPr>
            <w:tcW w:w="135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hint="eastAsia" w:ascii="Times New Roman" w:hAnsi="Times New Roman" w:eastAsia="宋体" w:cs="Times New Roman"/>
                <w:kern w:val="0"/>
                <w:sz w:val="24"/>
                <w:szCs w:val="20"/>
              </w:rPr>
              <w:t>总经理</w:t>
            </w:r>
          </w:p>
        </w:tc>
        <w:tc>
          <w:tcPr>
            <w:tcW w:w="6290"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312"/>
              </w:tabs>
              <w:spacing w:line="300" w:lineRule="exact"/>
              <w:rPr>
                <w:rFonts w:ascii="Times New Roman" w:hAnsi="Times New Roman" w:eastAsia="宋体" w:cs="Times New Roman"/>
                <w:sz w:val="24"/>
                <w:szCs w:val="20"/>
              </w:rPr>
            </w:pPr>
            <w:r>
              <w:rPr>
                <w:rFonts w:hint="eastAsia" w:ascii="Times New Roman" w:hAnsi="Times New Roman" w:eastAsia="宋体" w:cs="Times New Roman"/>
                <w:kern w:val="0"/>
                <w:sz w:val="24"/>
                <w:szCs w:val="20"/>
              </w:rPr>
              <w:t>负责企业安全生产全面工作；</w:t>
            </w:r>
          </w:p>
          <w:p>
            <w:pPr>
              <w:numPr>
                <w:ilvl w:val="0"/>
                <w:numId w:val="2"/>
              </w:numPr>
              <w:tabs>
                <w:tab w:val="left" w:pos="312"/>
              </w:tabs>
              <w:spacing w:line="300" w:lineRule="exac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组织制定并落实安全生产责任制；</w:t>
            </w:r>
          </w:p>
          <w:p>
            <w:pPr>
              <w:numPr>
                <w:ilvl w:val="0"/>
                <w:numId w:val="2"/>
              </w:numPr>
              <w:tabs>
                <w:tab w:val="left" w:pos="312"/>
              </w:tabs>
              <w:spacing w:line="300" w:lineRule="exac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组织制定并落实安全生产规章制度、操作规程、安全生产教育和培训计划、应急救援预案；</w:t>
            </w:r>
          </w:p>
          <w:p>
            <w:pPr>
              <w:numPr>
                <w:ilvl w:val="0"/>
                <w:numId w:val="2"/>
              </w:numPr>
              <w:tabs>
                <w:tab w:val="left" w:pos="312"/>
              </w:tabs>
              <w:spacing w:line="300" w:lineRule="exac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建立健全安全管理机构，全力支持安全管理部门开展安全生产综合协调和监管工作；</w:t>
            </w:r>
          </w:p>
          <w:p>
            <w:pPr>
              <w:numPr>
                <w:ilvl w:val="0"/>
                <w:numId w:val="2"/>
              </w:numPr>
              <w:tabs>
                <w:tab w:val="left" w:pos="312"/>
              </w:tabs>
              <w:spacing w:line="300" w:lineRule="exac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保证足额提取安全生产费用，确保安全生产和应急管理投入的有效实施；</w:t>
            </w:r>
          </w:p>
          <w:p>
            <w:pPr>
              <w:numPr>
                <w:ilvl w:val="0"/>
                <w:numId w:val="2"/>
              </w:numPr>
              <w:tabs>
                <w:tab w:val="left" w:pos="312"/>
              </w:tabs>
              <w:spacing w:line="300" w:lineRule="exac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建立健全安全风险分级管控和隐患排查治理机制，组织安全风险研判，确保承诺公告制度的有效实施；</w:t>
            </w:r>
          </w:p>
          <w:p>
            <w:pPr>
              <w:numPr>
                <w:ilvl w:val="0"/>
                <w:numId w:val="2"/>
              </w:numPr>
              <w:tabs>
                <w:tab w:val="left" w:pos="312"/>
              </w:tabs>
              <w:spacing w:line="300" w:lineRule="exac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督促检查重大风险点（源）安全生产工作；</w:t>
            </w:r>
          </w:p>
          <w:p>
            <w:pPr>
              <w:numPr>
                <w:ilvl w:val="0"/>
                <w:numId w:val="2"/>
              </w:numPr>
              <w:tabs>
                <w:tab w:val="left" w:pos="312"/>
              </w:tabs>
              <w:spacing w:line="300" w:lineRule="exac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研究解决安全生产委员会、分管安全副总经理报告的安全生产重点和难点问题；</w:t>
            </w:r>
          </w:p>
          <w:p>
            <w:pPr>
              <w:numPr>
                <w:ilvl w:val="0"/>
                <w:numId w:val="2"/>
              </w:numPr>
              <w:tabs>
                <w:tab w:val="left" w:pos="312"/>
              </w:tabs>
              <w:spacing w:line="300" w:lineRule="exac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定期向董事会、股东会、职工代表大会报告安全生产情况；</w:t>
            </w:r>
          </w:p>
          <w:p>
            <w:pPr>
              <w:numPr>
                <w:ilvl w:val="0"/>
                <w:numId w:val="2"/>
              </w:numPr>
              <w:tabs>
                <w:tab w:val="left" w:pos="312"/>
              </w:tabs>
              <w:spacing w:line="300" w:lineRule="exac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及时、如实报告生产安全事故；</w:t>
            </w:r>
          </w:p>
          <w:p>
            <w:pPr>
              <w:spacing w:line="300" w:lineRule="exact"/>
              <w:ind w:firstLine="480"/>
              <w:rPr>
                <w:rFonts w:ascii="Times New Roman" w:hAnsi="Times New Roman" w:eastAsia="宋体" w:cs="Times New Roman"/>
                <w:sz w:val="24"/>
                <w:szCs w:val="20"/>
              </w:rPr>
            </w:pPr>
          </w:p>
        </w:tc>
        <w:tc>
          <w:tcPr>
            <w:tcW w:w="6110"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00" w:lineRule="exact"/>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制定量化的安全生产工作指标，营造全员抓安全、督安全的工作局面，确保安全生产目标的完成；</w:t>
            </w:r>
          </w:p>
          <w:p>
            <w:pPr>
              <w:numPr>
                <w:ilvl w:val="0"/>
                <w:numId w:val="3"/>
              </w:numPr>
              <w:spacing w:line="300" w:lineRule="exac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组织制定安委会、各管理部门及基层单位的安全职责和各级管理人员和从业人员的安全职责，签订安全生产目标责任书，开展企业安全生产目标考核（1次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w:t>
            </w:r>
          </w:p>
          <w:p>
            <w:pPr>
              <w:numPr>
                <w:ilvl w:val="0"/>
                <w:numId w:val="3"/>
              </w:numPr>
              <w:spacing w:line="300" w:lineRule="exac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批准安全生产制度、操作规程、应急救援预案、培训计划；建立安全保障、保险、激励机制；取得安全生产知识和管理能力考核合格证，并参加年度复训；</w:t>
            </w:r>
          </w:p>
          <w:p>
            <w:pPr>
              <w:numPr>
                <w:ilvl w:val="0"/>
                <w:numId w:val="3"/>
              </w:numPr>
              <w:spacing w:line="300" w:lineRule="exac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确保安全管理部门注册安全工程师达</w:t>
            </w:r>
            <w:r>
              <w:rPr>
                <w:rFonts w:ascii="Times New Roman" w:hAnsi="Times New Roman" w:eastAsia="宋体" w:cs="Times New Roman"/>
                <w:kern w:val="0"/>
                <w:sz w:val="24"/>
                <w:szCs w:val="20"/>
              </w:rPr>
              <w:t>15%</w:t>
            </w:r>
            <w:r>
              <w:rPr>
                <w:rFonts w:hint="eastAsia" w:ascii="Times New Roman" w:hAnsi="Times New Roman" w:eastAsia="宋体" w:cs="Times New Roman"/>
                <w:kern w:val="0"/>
                <w:sz w:val="24"/>
                <w:szCs w:val="20"/>
              </w:rPr>
              <w:t>，专职安全管理人员达全员</w:t>
            </w: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w:t>
            </w:r>
          </w:p>
          <w:p>
            <w:pPr>
              <w:numPr>
                <w:ilvl w:val="0"/>
                <w:numId w:val="3"/>
              </w:numPr>
              <w:spacing w:line="300" w:lineRule="exac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批准安全预算和决算；</w:t>
            </w:r>
          </w:p>
          <w:p>
            <w:pPr>
              <w:numPr>
                <w:ilvl w:val="0"/>
                <w:numId w:val="3"/>
              </w:numPr>
              <w:spacing w:line="300" w:lineRule="exac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组织建立双重预防机制，开展安全风险辨识、研判和分级管控，签署每日安全承诺；</w:t>
            </w:r>
          </w:p>
          <w:p>
            <w:pPr>
              <w:numPr>
                <w:ilvl w:val="0"/>
                <w:numId w:val="3"/>
              </w:numPr>
              <w:spacing w:line="300" w:lineRule="exac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组织开展综合性（1次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月）、季节性、节假日安全检查，参与重大危险源、关键装置和重点部位的安全检查（1次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月）；</w:t>
            </w:r>
          </w:p>
          <w:p>
            <w:pPr>
              <w:numPr>
                <w:ilvl w:val="0"/>
                <w:numId w:val="3"/>
              </w:numPr>
              <w:spacing w:line="300" w:lineRule="exac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督促公开、公示安全风险、事故案例，组织落实重大风险点（源）管控措施，及时解决安全生产重点难点问题；</w:t>
            </w:r>
          </w:p>
          <w:p>
            <w:pPr>
              <w:spacing w:line="300" w:lineRule="exact"/>
              <w:rPr>
                <w:rFonts w:ascii="Times New Roman" w:hAnsi="Times New Roman" w:eastAsia="宋体" w:cs="Times New Roman"/>
                <w:kern w:val="0"/>
                <w:sz w:val="24"/>
                <w:szCs w:val="20"/>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定期向董事会、股东会、职工代表大会报告安全生产工作（1次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w:t>
            </w:r>
          </w:p>
          <w:p>
            <w:pPr>
              <w:spacing w:line="300" w:lineRule="exact"/>
              <w:rPr>
                <w:rFonts w:ascii="Times New Roman" w:hAnsi="Times New Roman" w:eastAsia="宋体" w:cs="Times New Roman"/>
                <w:kern w:val="0"/>
                <w:sz w:val="24"/>
                <w:szCs w:val="20"/>
              </w:rPr>
            </w:pPr>
            <w:r>
              <w:rPr>
                <w:rFonts w:ascii="Times New Roman" w:hAnsi="Times New Roman" w:eastAsia="宋体" w:cs="Times New Roman"/>
                <w:kern w:val="0"/>
                <w:sz w:val="24"/>
                <w:szCs w:val="20"/>
              </w:rPr>
              <w:t>10.</w:t>
            </w:r>
            <w:r>
              <w:rPr>
                <w:rFonts w:hint="eastAsia" w:ascii="Times New Roman" w:hAnsi="Times New Roman" w:eastAsia="宋体" w:cs="Times New Roman"/>
                <w:kern w:val="0"/>
                <w:sz w:val="24"/>
                <w:szCs w:val="20"/>
              </w:rPr>
              <w:t>接到事故报告后立即赶赴现场指挥应急救援，及时、如实报告生产安全事故；</w:t>
            </w:r>
          </w:p>
          <w:p>
            <w:pPr>
              <w:spacing w:line="300" w:lineRule="exact"/>
              <w:ind w:firstLine="480"/>
              <w:rPr>
                <w:rFonts w:ascii="Times New Roman" w:hAnsi="Times New Roman" w:eastAsia="宋体" w:cs="Times New Roman"/>
                <w:sz w:val="24"/>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hint="eastAsia" w:ascii="Times New Roman" w:hAnsi="Times New Roman" w:eastAsia="宋体" w:cs="Times New Roman"/>
                <w:sz w:val="24"/>
                <w:szCs w:val="20"/>
              </w:rPr>
              <w:t>张颢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ascii="Times New Roman" w:hAnsi="Times New Roman" w:eastAsia="宋体" w:cs="Times New Roman"/>
                <w:kern w:val="0"/>
                <w:sz w:val="24"/>
                <w:szCs w:val="20"/>
              </w:rPr>
              <w:t>2</w:t>
            </w:r>
          </w:p>
        </w:tc>
        <w:tc>
          <w:tcPr>
            <w:tcW w:w="135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分管安全副总经理</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rPr>
                <w:rFonts w:ascii="Times New Roman" w:hAnsi="Times New Roman" w:eastAsia="宋体" w:cs="Times New Roman"/>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在总经理领导下，主持企业安全生产常务工作，负责安全生产综合协调；</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组织落实安全风险分级管控和隐患排查治理机制，督促各部门（车间）开展安全风险辨识、研判和分级管控，检查重大风险点（源）安全生产工作；</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具体推动安全生产责任制、安全生产规章制度、操作规程、安全生产教育和培训计划、应急救援预案和安全生产预算的制（修）订工作；</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4.</w:t>
            </w:r>
            <w:r>
              <w:rPr>
                <w:rFonts w:hint="eastAsia" w:ascii="Times New Roman" w:hAnsi="Times New Roman" w:eastAsia="宋体" w:cs="Times New Roman"/>
                <w:kern w:val="0"/>
                <w:sz w:val="24"/>
                <w:szCs w:val="20"/>
              </w:rPr>
              <w:t>具体指导安全管理部门开展安全生产综合协调和监管工作；</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5.</w:t>
            </w:r>
            <w:r>
              <w:rPr>
                <w:rFonts w:hint="eastAsia" w:ascii="Times New Roman" w:hAnsi="Times New Roman" w:eastAsia="宋体" w:cs="Times New Roman"/>
                <w:kern w:val="0"/>
                <w:sz w:val="24"/>
                <w:szCs w:val="20"/>
              </w:rPr>
              <w:t>协助总经理定期对各部门（车间）实施安全生产目标考核；</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6.</w:t>
            </w:r>
            <w:r>
              <w:rPr>
                <w:rFonts w:hint="eastAsia" w:ascii="Times New Roman" w:hAnsi="Times New Roman" w:eastAsia="宋体" w:cs="Times New Roman"/>
                <w:kern w:val="0"/>
                <w:sz w:val="24"/>
                <w:szCs w:val="20"/>
              </w:rPr>
              <w:t>参与联系点安全活动，参加领导干部带班；</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7.</w:t>
            </w:r>
            <w:r>
              <w:rPr>
                <w:rFonts w:hint="eastAsia" w:ascii="Times New Roman" w:hAnsi="Times New Roman" w:eastAsia="宋体" w:cs="Times New Roman"/>
                <w:kern w:val="0"/>
                <w:sz w:val="24"/>
                <w:szCs w:val="20"/>
              </w:rPr>
              <w:t>参加安全生产委员会会议，研究解决安全生产重点、难点问题；</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8.</w:t>
            </w:r>
            <w:r>
              <w:rPr>
                <w:rFonts w:hint="eastAsia" w:ascii="Times New Roman" w:hAnsi="Times New Roman" w:eastAsia="宋体" w:cs="Times New Roman"/>
                <w:kern w:val="0"/>
                <w:sz w:val="24"/>
                <w:szCs w:val="20"/>
              </w:rPr>
              <w:t>批准特级动火、特级高处作业、一级吊装作业安全许可证；</w:t>
            </w:r>
          </w:p>
          <w:p>
            <w:pPr>
              <w:spacing w:line="300" w:lineRule="exact"/>
              <w:ind w:firstLine="480"/>
              <w:rPr>
                <w:rFonts w:ascii="Times New Roman" w:hAnsi="Times New Roman" w:eastAsia="宋体" w:cs="Times New Roman"/>
                <w:sz w:val="24"/>
                <w:szCs w:val="20"/>
              </w:rPr>
            </w:pPr>
          </w:p>
        </w:tc>
        <w:tc>
          <w:tcPr>
            <w:tcW w:w="6110"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rPr>
                <w:rFonts w:ascii="Times New Roman" w:hAnsi="Times New Roman" w:eastAsia="宋体" w:cs="Times New Roman"/>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定期梳理安全生产的重点、难点问题，负责解决落实（1次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季）；</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组织对安全风险、事故案例进行公开公示；组织落实重大风险点（源）管控措施；</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组织制（修）定安全生产制度、操作规程、应急救援预案、培训计划和安全生产预算、决算，推动安全保障、保险、激励机制；取得安全生产知识和管理能力考核合格证，并参加年度复训；</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4.</w:t>
            </w:r>
            <w:r>
              <w:rPr>
                <w:rFonts w:hint="eastAsia" w:ascii="Times New Roman" w:hAnsi="Times New Roman" w:eastAsia="宋体" w:cs="Times New Roman"/>
                <w:kern w:val="0"/>
                <w:sz w:val="24"/>
                <w:szCs w:val="20"/>
              </w:rPr>
              <w:t>定期研判安全风险，提出决策方案，督促各部门开展安全风险辨识、研判和分级管控；</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5.</w:t>
            </w:r>
            <w:r>
              <w:rPr>
                <w:rFonts w:hint="eastAsia" w:ascii="Times New Roman" w:hAnsi="Times New Roman" w:eastAsia="宋体" w:cs="Times New Roman"/>
                <w:kern w:val="0"/>
                <w:sz w:val="24"/>
                <w:szCs w:val="20"/>
              </w:rPr>
              <w:t>签订安全生产目标责任书，开展安全生产目标考核（1次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6.</w:t>
            </w:r>
            <w:r>
              <w:rPr>
                <w:rFonts w:hint="eastAsia" w:ascii="Times New Roman" w:hAnsi="Times New Roman" w:eastAsia="宋体" w:cs="Times New Roman"/>
                <w:kern w:val="0"/>
                <w:sz w:val="24"/>
                <w:szCs w:val="20"/>
              </w:rPr>
              <w:t>定期参与联系点安全检查、安全教育等活动（1次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年），参加领导干部带班；</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7.</w:t>
            </w:r>
            <w:r>
              <w:rPr>
                <w:rFonts w:hint="eastAsia" w:ascii="Times New Roman" w:hAnsi="Times New Roman" w:eastAsia="宋体" w:cs="Times New Roman"/>
                <w:kern w:val="0"/>
                <w:sz w:val="24"/>
                <w:szCs w:val="20"/>
              </w:rPr>
              <w:t>协助总经理组织实施综合性（1次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月）、季节性、节假日安全检查，跟踪和督促重大风险防控措施落实；</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8.</w:t>
            </w:r>
            <w:r>
              <w:rPr>
                <w:rFonts w:hint="eastAsia" w:ascii="Times New Roman" w:hAnsi="Times New Roman" w:eastAsia="宋体" w:cs="Times New Roman"/>
                <w:kern w:val="0"/>
                <w:sz w:val="24"/>
                <w:szCs w:val="20"/>
              </w:rPr>
              <w:t>核查特级动火、特级高处作业、一级吊装作业情况；</w:t>
            </w:r>
          </w:p>
          <w:p>
            <w:pPr>
              <w:spacing w:line="300" w:lineRule="exact"/>
              <w:ind w:firstLine="480"/>
              <w:rPr>
                <w:rFonts w:ascii="Times New Roman" w:hAnsi="Times New Roman" w:eastAsia="宋体" w:cs="Times New Roman"/>
                <w:sz w:val="24"/>
                <w:szCs w:val="20"/>
              </w:rPr>
            </w:pPr>
            <w:r>
              <w:rPr>
                <w:rFonts w:ascii="Times New Roman" w:hAnsi="Times New Roman" w:eastAsia="宋体" w:cs="Times New Roman"/>
                <w:kern w:val="0"/>
                <w:sz w:val="24"/>
                <w:szCs w:val="20"/>
              </w:rPr>
              <w:t>......</w:t>
            </w:r>
          </w:p>
        </w:tc>
        <w:tc>
          <w:tcPr>
            <w:tcW w:w="104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hint="eastAsia" w:ascii="Times New Roman" w:hAnsi="Times New Roman" w:eastAsia="宋体" w:cs="Times New Roman"/>
                <w:sz w:val="24"/>
                <w:szCs w:val="20"/>
              </w:rPr>
              <w:t>刘小龙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ascii="Times New Roman" w:hAnsi="Times New Roman" w:eastAsia="宋体" w:cs="Times New Roman"/>
                <w:kern w:val="0"/>
                <w:sz w:val="24"/>
                <w:szCs w:val="20"/>
              </w:rPr>
              <w:t>3</w:t>
            </w:r>
          </w:p>
        </w:tc>
        <w:tc>
          <w:tcPr>
            <w:tcW w:w="135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安全总监</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rPr>
                <w:rFonts w:ascii="Times New Roman" w:hAnsi="Times New Roman" w:eastAsia="宋体" w:cs="Times New Roman"/>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在总经理领导下，负责企业安全生产监督管理；</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监督安全风险分级管控和隐患排查治理落实情况；</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监督各部门（车间）开展属地安全生产工作；</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4.</w:t>
            </w:r>
            <w:r>
              <w:rPr>
                <w:rFonts w:hint="eastAsia" w:ascii="Times New Roman" w:hAnsi="Times New Roman" w:eastAsia="宋体" w:cs="Times New Roman"/>
                <w:kern w:val="0"/>
                <w:sz w:val="24"/>
                <w:szCs w:val="20"/>
              </w:rPr>
              <w:t>监督安全生产责任制的落实以及安全生产规章制度和操作规程的执行，监督安全生产教育和培训计划的实施，监督安全生产费用的提取和使用，监督重大风险防控和重大隐患治理，监督应急预案的培训和演练，监督安全生产目标考核；</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5.</w:t>
            </w:r>
            <w:r>
              <w:rPr>
                <w:rFonts w:hint="eastAsia" w:ascii="Times New Roman" w:hAnsi="Times New Roman" w:eastAsia="宋体" w:cs="Times New Roman"/>
                <w:kern w:val="0"/>
                <w:sz w:val="24"/>
                <w:szCs w:val="20"/>
              </w:rPr>
              <w:t>监督新建、改建和扩建工程项目</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三同时</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和安全生产管理</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五同时</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6.</w:t>
            </w:r>
            <w:r>
              <w:rPr>
                <w:rFonts w:hint="eastAsia" w:ascii="Times New Roman" w:hAnsi="Times New Roman" w:eastAsia="宋体" w:cs="Times New Roman"/>
                <w:kern w:val="0"/>
                <w:sz w:val="24"/>
                <w:szCs w:val="20"/>
              </w:rPr>
              <w:t>参与联系点安全活动，参加领导干部带班；</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7.</w:t>
            </w:r>
            <w:r>
              <w:rPr>
                <w:rFonts w:hint="eastAsia" w:ascii="Times New Roman" w:hAnsi="Times New Roman" w:eastAsia="宋体" w:cs="Times New Roman"/>
                <w:kern w:val="0"/>
                <w:sz w:val="24"/>
                <w:szCs w:val="20"/>
              </w:rPr>
              <w:t>参加安全生产委员会会议，研究解决安全生产重点、难点问题；</w:t>
            </w:r>
          </w:p>
          <w:p>
            <w:pPr>
              <w:spacing w:line="300" w:lineRule="exact"/>
              <w:ind w:firstLine="480"/>
              <w:rPr>
                <w:rFonts w:ascii="Times New Roman" w:hAnsi="Times New Roman" w:eastAsia="宋体" w:cs="Times New Roman"/>
                <w:sz w:val="24"/>
                <w:szCs w:val="20"/>
              </w:rPr>
            </w:pPr>
          </w:p>
        </w:tc>
        <w:tc>
          <w:tcPr>
            <w:tcW w:w="6110"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rPr>
                <w:rFonts w:ascii="Times New Roman" w:hAnsi="Times New Roman" w:eastAsia="宋体" w:cs="Times New Roman"/>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定期梳理安全生产的重点、难点问题，提出解决方案（1次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季）；</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监督各部门安全风险分级管控和隐患排查治理落实情况（4次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审查部门（车间）安全工作计划，检查部门（车间）安全生产工作（2次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4.</w:t>
            </w:r>
            <w:r>
              <w:rPr>
                <w:rFonts w:hint="eastAsia" w:ascii="Times New Roman" w:hAnsi="Times New Roman" w:eastAsia="宋体" w:cs="Times New Roman"/>
                <w:kern w:val="0"/>
                <w:sz w:val="24"/>
                <w:szCs w:val="20"/>
              </w:rPr>
              <w:t>定期检查安全生产责任制的落实以及安全生产规章制度和操作规程的执行（4次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年），定期检查安全生产教育和培训计划的实施（1次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年），审查企业安全预算和决算，定期检查重大风险防控和重大隐患治理成效（1次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年），定期检查应急预案的培训和演练（2次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年），参与安全生产目标考核；</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5.</w:t>
            </w:r>
            <w:r>
              <w:rPr>
                <w:rFonts w:hint="eastAsia" w:ascii="Times New Roman" w:hAnsi="Times New Roman" w:eastAsia="宋体" w:cs="Times New Roman"/>
                <w:kern w:val="0"/>
                <w:sz w:val="24"/>
                <w:szCs w:val="20"/>
              </w:rPr>
              <w:t>监督新、改、扩建项目</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三同时</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，督促安全生产工作与业务同时计划、布置、检查、总结和评比；</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6.</w:t>
            </w:r>
            <w:r>
              <w:rPr>
                <w:rFonts w:hint="eastAsia" w:ascii="Times New Roman" w:hAnsi="Times New Roman" w:eastAsia="宋体" w:cs="Times New Roman"/>
                <w:kern w:val="0"/>
                <w:sz w:val="24"/>
                <w:szCs w:val="20"/>
              </w:rPr>
              <w:t>定期参与联系点安全检查、安全教育等活动（2次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年），参加领导干部带班；</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7.</w:t>
            </w:r>
            <w:r>
              <w:rPr>
                <w:rFonts w:hint="eastAsia" w:ascii="Times New Roman" w:hAnsi="Times New Roman" w:eastAsia="宋体" w:cs="Times New Roman"/>
                <w:kern w:val="0"/>
                <w:sz w:val="24"/>
                <w:szCs w:val="20"/>
              </w:rPr>
              <w:t>强化安全风险、事故教训、追责警示的公开公示，带班核查重大风险管控成效；</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8.</w:t>
            </w:r>
            <w:r>
              <w:rPr>
                <w:rFonts w:hint="eastAsia" w:ascii="Times New Roman" w:hAnsi="Times New Roman" w:eastAsia="宋体" w:cs="Times New Roman"/>
                <w:kern w:val="0"/>
                <w:sz w:val="24"/>
                <w:szCs w:val="20"/>
              </w:rPr>
              <w:t>编制企业安全生产政策、法律、法规、标准、规范符合性年度评价报告（1次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年），取得安全生产知识和管理能力考核合格证，并参加年度复训；</w:t>
            </w:r>
          </w:p>
          <w:p>
            <w:pPr>
              <w:spacing w:line="300" w:lineRule="exact"/>
              <w:ind w:firstLine="480"/>
              <w:rPr>
                <w:rFonts w:ascii="Times New Roman" w:hAnsi="Times New Roman" w:eastAsia="宋体" w:cs="Times New Roman"/>
                <w:sz w:val="24"/>
                <w:szCs w:val="20"/>
              </w:rPr>
            </w:pPr>
            <w:r>
              <w:rPr>
                <w:rFonts w:ascii="Times New Roman" w:hAnsi="Times New Roman" w:eastAsia="宋体" w:cs="Times New Roman"/>
                <w:kern w:val="0"/>
                <w:sz w:val="24"/>
                <w:szCs w:val="20"/>
              </w:rPr>
              <w:t>......</w:t>
            </w:r>
          </w:p>
        </w:tc>
        <w:tc>
          <w:tcPr>
            <w:tcW w:w="104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hint="eastAsia" w:ascii="Times New Roman" w:hAnsi="Times New Roman" w:eastAsia="宋体" w:cs="Times New Roman"/>
                <w:sz w:val="24"/>
                <w:szCs w:val="20"/>
              </w:rPr>
              <w:t>郭辉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ascii="Times New Roman" w:hAnsi="Times New Roman" w:eastAsia="宋体" w:cs="Times New Roman"/>
                <w:kern w:val="0"/>
                <w:sz w:val="24"/>
                <w:szCs w:val="20"/>
              </w:rPr>
              <w:t>4</w:t>
            </w:r>
          </w:p>
        </w:tc>
        <w:tc>
          <w:tcPr>
            <w:tcW w:w="135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安全管理部门负责人</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rPr>
                <w:rFonts w:ascii="Times New Roman" w:hAnsi="Times New Roman" w:eastAsia="宋体" w:cs="Times New Roman"/>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负责组织安全生产委员会的日常工作，综合分析安全生产现状，协调解决安全生产工作中出现的突出问题；</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组织风险辨识、研判和分级管控工作；</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拟定安全生产责任制、安全生产规章制度、操作规程、应急救援预案和安全生产教育和培训计划；</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4.</w:t>
            </w:r>
            <w:r>
              <w:rPr>
                <w:rFonts w:hint="eastAsia" w:ascii="Times New Roman" w:hAnsi="Times New Roman" w:eastAsia="宋体" w:cs="Times New Roman"/>
                <w:kern w:val="0"/>
                <w:sz w:val="24"/>
                <w:szCs w:val="20"/>
              </w:rPr>
              <w:t>督导各部门（车间）落实重大风险点（源）的安全风险管控；</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5.</w:t>
            </w:r>
            <w:r>
              <w:rPr>
                <w:rFonts w:hint="eastAsia" w:ascii="Times New Roman" w:hAnsi="Times New Roman" w:eastAsia="宋体" w:cs="Times New Roman"/>
                <w:kern w:val="0"/>
                <w:sz w:val="24"/>
                <w:szCs w:val="20"/>
              </w:rPr>
              <w:t>组织企业级应急救援演练，指导部门（车间）级应急救援演练；</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6.</w:t>
            </w:r>
            <w:r>
              <w:rPr>
                <w:rFonts w:hint="eastAsia" w:ascii="Times New Roman" w:hAnsi="Times New Roman" w:eastAsia="宋体" w:cs="Times New Roman"/>
                <w:kern w:val="0"/>
                <w:sz w:val="24"/>
                <w:szCs w:val="20"/>
              </w:rPr>
              <w:t>检查企业的安全生产状况，及时排查生产安全事故隐患，提出改进安全生产管理的建议；</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7.</w:t>
            </w:r>
            <w:r>
              <w:rPr>
                <w:rFonts w:hint="eastAsia" w:ascii="Times New Roman" w:hAnsi="Times New Roman" w:eastAsia="宋体" w:cs="Times New Roman"/>
                <w:kern w:val="0"/>
                <w:sz w:val="24"/>
                <w:szCs w:val="20"/>
              </w:rPr>
              <w:t>制止和纠正违章指挥、强令冒险作业、违反操作规程的行为；</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8.</w:t>
            </w:r>
            <w:r>
              <w:rPr>
                <w:rFonts w:hint="eastAsia" w:ascii="Times New Roman" w:hAnsi="Times New Roman" w:eastAsia="宋体" w:cs="Times New Roman"/>
                <w:kern w:val="0"/>
                <w:sz w:val="24"/>
                <w:szCs w:val="20"/>
              </w:rPr>
              <w:t>督促各部门（车间）落实安全生产整改措施；</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定期识别和获取国家安全生产方面的法律法规和标准并及时进行宣传贯彻；</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10.</w:t>
            </w:r>
            <w:r>
              <w:rPr>
                <w:rFonts w:hint="eastAsia" w:ascii="Times New Roman" w:hAnsi="Times New Roman" w:eastAsia="宋体" w:cs="Times New Roman"/>
                <w:kern w:val="0"/>
                <w:sz w:val="24"/>
                <w:szCs w:val="20"/>
              </w:rPr>
              <w:t>批准一级动火作业安全许可证；</w:t>
            </w:r>
          </w:p>
          <w:p>
            <w:pPr>
              <w:spacing w:line="300" w:lineRule="exact"/>
              <w:ind w:firstLine="480"/>
              <w:rPr>
                <w:rFonts w:ascii="Times New Roman" w:hAnsi="Times New Roman" w:eastAsia="宋体" w:cs="Times New Roman"/>
                <w:sz w:val="24"/>
                <w:szCs w:val="20"/>
              </w:rPr>
            </w:pPr>
          </w:p>
        </w:tc>
        <w:tc>
          <w:tcPr>
            <w:tcW w:w="6110"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rPr>
                <w:rFonts w:ascii="Times New Roman" w:hAnsi="Times New Roman" w:eastAsia="宋体" w:cs="Times New Roman"/>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定期召集安全生产委员会（1次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季度），总体策划并实施综合安全监督管理；</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组织各部门开展风险辨识、研判和分级管控工作（1次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年），监督管控措施的落实；</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负责安全生产责任制、安全生产规章制度、操作规程和应急救援预案的制（修）订（1次</w:t>
            </w: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年）；</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4.</w:t>
            </w:r>
            <w:r>
              <w:rPr>
                <w:rFonts w:hint="eastAsia" w:ascii="Times New Roman" w:hAnsi="Times New Roman" w:eastAsia="宋体" w:cs="Times New Roman"/>
                <w:kern w:val="0"/>
                <w:sz w:val="24"/>
                <w:szCs w:val="20"/>
              </w:rPr>
              <w:t>全面掌握重大风险点（源）动态，统筹落实安全风险分级管控机制，组织安全风险、事故案例的公开、公示；</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5.</w:t>
            </w:r>
            <w:r>
              <w:rPr>
                <w:rFonts w:hint="eastAsia" w:ascii="Times New Roman" w:hAnsi="Times New Roman" w:eastAsia="宋体" w:cs="Times New Roman"/>
                <w:kern w:val="0"/>
                <w:sz w:val="24"/>
                <w:szCs w:val="20"/>
              </w:rPr>
              <w:t>组织企业级应急救援预案演练（1次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年）和重大危险源专项预案演练（1次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年），指导部门级应急救援预案演练；</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6.</w:t>
            </w:r>
            <w:r>
              <w:rPr>
                <w:rFonts w:hint="eastAsia" w:ascii="Times New Roman" w:hAnsi="Times New Roman" w:eastAsia="宋体" w:cs="Times New Roman"/>
                <w:kern w:val="0"/>
                <w:sz w:val="24"/>
                <w:szCs w:val="20"/>
              </w:rPr>
              <w:t>督促综合性、季节性、节假日安全检查，指导专业性、日常性安全检查；</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7.</w:t>
            </w:r>
            <w:r>
              <w:rPr>
                <w:rFonts w:hint="eastAsia" w:ascii="Times New Roman" w:hAnsi="Times New Roman" w:eastAsia="宋体" w:cs="Times New Roman"/>
                <w:kern w:val="0"/>
                <w:sz w:val="24"/>
                <w:szCs w:val="20"/>
              </w:rPr>
              <w:t>制止和纠正违章指挥、强令冒险作业、违反操作规程的违法行为并纳入目标考核；</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8.</w:t>
            </w:r>
            <w:r>
              <w:rPr>
                <w:rFonts w:hint="eastAsia" w:ascii="Times New Roman" w:hAnsi="Times New Roman" w:eastAsia="宋体" w:cs="Times New Roman"/>
                <w:kern w:val="0"/>
                <w:sz w:val="24"/>
                <w:szCs w:val="20"/>
              </w:rPr>
              <w:t>跟踪、督促重大隐患整改；</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组织审核现有制度与新颁布的法律法规及标准的符合性（1次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年），并组织开展培训学习；</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10.</w:t>
            </w:r>
            <w:r>
              <w:rPr>
                <w:rFonts w:hint="eastAsia" w:ascii="Times New Roman" w:hAnsi="Times New Roman" w:eastAsia="宋体" w:cs="Times New Roman"/>
                <w:kern w:val="0"/>
                <w:sz w:val="24"/>
                <w:szCs w:val="20"/>
              </w:rPr>
              <w:t>核查一级动火作业情况；</w:t>
            </w:r>
          </w:p>
          <w:p>
            <w:pPr>
              <w:spacing w:line="300" w:lineRule="exact"/>
              <w:ind w:firstLine="480"/>
              <w:rPr>
                <w:rFonts w:ascii="Times New Roman" w:hAnsi="Times New Roman" w:eastAsia="宋体" w:cs="Times New Roman"/>
                <w:sz w:val="24"/>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hint="eastAsia" w:ascii="Times New Roman" w:hAnsi="Times New Roman" w:eastAsia="宋体" w:cs="Times New Roman"/>
                <w:sz w:val="24"/>
                <w:szCs w:val="20"/>
              </w:rPr>
              <w:t>温蕊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3"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ascii="Times New Roman" w:hAnsi="Times New Roman" w:eastAsia="宋体" w:cs="Times New Roman"/>
                <w:kern w:val="0"/>
                <w:sz w:val="24"/>
                <w:szCs w:val="20"/>
              </w:rPr>
              <w:t>5</w:t>
            </w:r>
          </w:p>
        </w:tc>
        <w:tc>
          <w:tcPr>
            <w:tcW w:w="135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hint="eastAsia" w:ascii="Times New Roman" w:hAnsi="Times New Roman" w:eastAsia="宋体" w:cs="Times New Roman"/>
                <w:kern w:val="0"/>
                <w:sz w:val="24"/>
                <w:szCs w:val="20"/>
              </w:rPr>
              <w:t>片区安全管理人员</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rPr>
                <w:rFonts w:ascii="Times New Roman" w:hAnsi="Times New Roman" w:eastAsia="宋体" w:cs="Times New Roman"/>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参与拟定安全生产责任制、安全生产规章制度、操作规程、应急救援预案和安全生产教育和培训计划；</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协助安全管理部门负责人开展风险辨识、研判和分级管控工作；</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指导各部门落实重大风险点（源）的安全风险管控；</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4.</w:t>
            </w:r>
            <w:r>
              <w:rPr>
                <w:rFonts w:hint="eastAsia" w:ascii="Times New Roman" w:hAnsi="Times New Roman" w:eastAsia="宋体" w:cs="Times New Roman"/>
                <w:kern w:val="0"/>
                <w:sz w:val="24"/>
                <w:szCs w:val="20"/>
              </w:rPr>
              <w:t>检查企业的安全生产状况，督促闭环检查发现；</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5.</w:t>
            </w:r>
            <w:r>
              <w:rPr>
                <w:rFonts w:hint="eastAsia" w:ascii="Times New Roman" w:hAnsi="Times New Roman" w:eastAsia="宋体" w:cs="Times New Roman"/>
                <w:kern w:val="0"/>
                <w:sz w:val="24"/>
                <w:szCs w:val="20"/>
              </w:rPr>
              <w:t>制止和纠正违章指挥、强令冒险作业、违反操作规程的行为；</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6.</w:t>
            </w:r>
            <w:r>
              <w:rPr>
                <w:rFonts w:hint="eastAsia" w:ascii="Times New Roman" w:hAnsi="Times New Roman" w:eastAsia="宋体" w:cs="Times New Roman"/>
                <w:kern w:val="0"/>
                <w:sz w:val="24"/>
                <w:szCs w:val="20"/>
              </w:rPr>
              <w:t>参与企业级应急救援演练，指导部门级应急救援演练；</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7.</w:t>
            </w:r>
            <w:r>
              <w:rPr>
                <w:rFonts w:hint="eastAsia" w:ascii="Times New Roman" w:hAnsi="Times New Roman" w:eastAsia="宋体" w:cs="Times New Roman"/>
                <w:kern w:val="0"/>
                <w:sz w:val="24"/>
                <w:szCs w:val="20"/>
              </w:rPr>
              <w:t>定期识别和获取国家安全生产方面的法律法规和标准并及时进行宣传贯彻；</w:t>
            </w:r>
          </w:p>
          <w:p>
            <w:pPr>
              <w:spacing w:line="300" w:lineRule="exact"/>
              <w:ind w:firstLine="480"/>
              <w:rPr>
                <w:rFonts w:ascii="Times New Roman" w:hAnsi="Times New Roman" w:eastAsia="宋体" w:cs="Times New Roman"/>
                <w:sz w:val="24"/>
                <w:szCs w:val="20"/>
              </w:rPr>
            </w:pPr>
          </w:p>
        </w:tc>
        <w:tc>
          <w:tcPr>
            <w:tcW w:w="6110"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rPr>
                <w:rFonts w:ascii="Times New Roman" w:hAnsi="Times New Roman" w:eastAsia="宋体" w:cs="Times New Roman"/>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参与安全生产责任制、安全生产规章制度、操作规程和应急救援预案的制（修）订（1次</w:t>
            </w: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年），在安全管理部门负责人领导下实施综合安全监督管理；</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参与风险辨识、研判和分级管控工作（1次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年），跟踪风险管控措施落实情况；</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协助安全管理部门负责人全面掌握重大风险点（源）动态，监督各部门（加油站）落实安全风险分级管控，定期公开、公示安全风险、事故案例（1次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4.</w:t>
            </w:r>
            <w:r>
              <w:rPr>
                <w:rFonts w:hint="eastAsia" w:ascii="Times New Roman" w:hAnsi="Times New Roman" w:eastAsia="宋体" w:cs="Times New Roman"/>
                <w:kern w:val="0"/>
                <w:sz w:val="24"/>
                <w:szCs w:val="20"/>
              </w:rPr>
              <w:t>参与综合性、季节性、节假日安全检查，指导专业性、日常性安全检查，建立《隐患排查治理清单》；</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5.</w:t>
            </w:r>
            <w:r>
              <w:rPr>
                <w:rFonts w:hint="eastAsia" w:ascii="Times New Roman" w:hAnsi="Times New Roman" w:eastAsia="宋体" w:cs="Times New Roman"/>
                <w:kern w:val="0"/>
                <w:sz w:val="24"/>
                <w:szCs w:val="20"/>
              </w:rPr>
              <w:t>制止和纠正违章指挥、强令冒险作业、违反操作规程的违法行为并纳入目标考核；</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6.</w:t>
            </w:r>
            <w:r>
              <w:rPr>
                <w:rFonts w:hint="eastAsia" w:ascii="Times New Roman" w:hAnsi="Times New Roman" w:eastAsia="宋体" w:cs="Times New Roman"/>
                <w:kern w:val="0"/>
                <w:sz w:val="24"/>
                <w:szCs w:val="20"/>
              </w:rPr>
              <w:t>参与企业级应急救援预案演练（1次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年）和重大危险源专项预案演练（1次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年），指导部门（加油站）级应急救援预案演练；</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7.</w:t>
            </w:r>
            <w:r>
              <w:rPr>
                <w:rFonts w:hint="eastAsia" w:ascii="Times New Roman" w:hAnsi="Times New Roman" w:eastAsia="宋体" w:cs="Times New Roman"/>
                <w:kern w:val="0"/>
                <w:sz w:val="24"/>
                <w:szCs w:val="20"/>
              </w:rPr>
              <w:t>负责审核现有制度与新颁布的法律法规及标准的符合性（1次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年），并组织开展培训学习；</w:t>
            </w:r>
          </w:p>
          <w:p>
            <w:pPr>
              <w:spacing w:line="300" w:lineRule="exact"/>
              <w:ind w:firstLine="480"/>
              <w:rPr>
                <w:rFonts w:ascii="Times New Roman" w:hAnsi="Times New Roman" w:eastAsia="宋体" w:cs="Times New Roman"/>
                <w:sz w:val="24"/>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hint="eastAsia" w:ascii="Times New Roman" w:hAnsi="Times New Roman" w:eastAsia="宋体" w:cs="Times New Roman"/>
                <w:sz w:val="24"/>
                <w:szCs w:val="20"/>
              </w:rPr>
              <w:t>杨旭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ascii="Times New Roman" w:hAnsi="Times New Roman" w:eastAsia="宋体" w:cs="Times New Roman"/>
                <w:kern w:val="0"/>
                <w:sz w:val="24"/>
                <w:szCs w:val="20"/>
              </w:rPr>
              <w:t>6</w:t>
            </w:r>
          </w:p>
        </w:tc>
        <w:tc>
          <w:tcPr>
            <w:tcW w:w="135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加油站经理</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rPr>
                <w:rFonts w:ascii="Times New Roman" w:hAnsi="Times New Roman" w:eastAsia="宋体" w:cs="Times New Roman"/>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负责加油站安全生产全面工作；</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组织加油站员工开展风险辨识、研判与分级管控；</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组织加油站级教育培训；</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4.</w:t>
            </w:r>
            <w:r>
              <w:rPr>
                <w:rFonts w:hint="eastAsia" w:ascii="Times New Roman" w:hAnsi="Times New Roman" w:eastAsia="宋体" w:cs="Times New Roman"/>
                <w:kern w:val="0"/>
                <w:sz w:val="24"/>
                <w:szCs w:val="20"/>
              </w:rPr>
              <w:t>参与制定并落实安全生产责任制、安全生产规章制度、操作规程、应急救援预案；</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5.</w:t>
            </w:r>
            <w:r>
              <w:rPr>
                <w:rFonts w:hint="eastAsia" w:ascii="Times New Roman" w:hAnsi="Times New Roman" w:eastAsia="宋体" w:cs="Times New Roman"/>
                <w:kern w:val="0"/>
                <w:sz w:val="24"/>
                <w:szCs w:val="20"/>
              </w:rPr>
              <w:t>组织加油站重大风险点（源）、危险作业的检查，落实隐患排查治理机制；</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6.</w:t>
            </w:r>
            <w:r>
              <w:rPr>
                <w:rFonts w:hint="eastAsia" w:ascii="Times New Roman" w:hAnsi="Times New Roman" w:eastAsia="宋体" w:cs="Times New Roman"/>
                <w:kern w:val="0"/>
                <w:sz w:val="24"/>
                <w:szCs w:val="20"/>
              </w:rPr>
              <w:t>组织编制生产安全事故现场处置方案，组织加油站级应急救援演练；</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7.</w:t>
            </w:r>
            <w:r>
              <w:rPr>
                <w:rFonts w:hint="eastAsia" w:ascii="Times New Roman" w:hAnsi="Times New Roman" w:eastAsia="宋体" w:cs="Times New Roman"/>
                <w:kern w:val="0"/>
                <w:sz w:val="24"/>
                <w:szCs w:val="20"/>
              </w:rPr>
              <w:t>核查二级动火、受限空间作业安全许可证；</w:t>
            </w:r>
          </w:p>
          <w:p>
            <w:pPr>
              <w:spacing w:line="300" w:lineRule="exact"/>
              <w:ind w:firstLine="480"/>
              <w:rPr>
                <w:rFonts w:ascii="Times New Roman" w:hAnsi="Times New Roman" w:eastAsia="宋体" w:cs="Times New Roman"/>
                <w:sz w:val="24"/>
                <w:szCs w:val="20"/>
              </w:rPr>
            </w:pPr>
          </w:p>
        </w:tc>
        <w:tc>
          <w:tcPr>
            <w:tcW w:w="6110"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rPr>
                <w:rFonts w:ascii="Times New Roman" w:hAnsi="Times New Roman" w:eastAsia="宋体" w:cs="Times New Roman"/>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组织加油站员工签订安全生产目标责任书，开展加油站安全生产目标考核（1次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组织开展风险辨识、研判与分级管控，详细掌握重大风险点（源）动态（1次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年），部署落实安全风险管控措施；</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拟定加油站安全生产教育和培训计划，实施加油站级安全教育和培训；</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4.</w:t>
            </w:r>
            <w:r>
              <w:rPr>
                <w:rFonts w:hint="eastAsia" w:ascii="Times New Roman" w:hAnsi="Times New Roman" w:eastAsia="宋体" w:cs="Times New Roman"/>
                <w:kern w:val="0"/>
                <w:sz w:val="24"/>
                <w:szCs w:val="20"/>
              </w:rPr>
              <w:t>参与制定安全生产责任制、安全生产规章制度、操作规程、应急救援预案、安全生产教育和培训计划，并负责实施；</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5.</w:t>
            </w:r>
            <w:r>
              <w:rPr>
                <w:rFonts w:hint="eastAsia" w:ascii="Times New Roman" w:hAnsi="Times New Roman" w:eastAsia="宋体" w:cs="Times New Roman"/>
                <w:kern w:val="0"/>
                <w:sz w:val="24"/>
                <w:szCs w:val="20"/>
              </w:rPr>
              <w:t>组织加油站隐患排查治理工作，确保设备完好性和作业合规性；</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6.</w:t>
            </w:r>
            <w:r>
              <w:rPr>
                <w:rFonts w:hint="eastAsia" w:ascii="Times New Roman" w:hAnsi="Times New Roman" w:eastAsia="宋体" w:cs="Times New Roman"/>
                <w:kern w:val="0"/>
                <w:sz w:val="24"/>
                <w:szCs w:val="20"/>
              </w:rPr>
              <w:t>组织编制生产安全事故现场处置方案，定期组织加油站级应急救援演练并做好应急准备（2次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月）；</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7.</w:t>
            </w:r>
            <w:r>
              <w:rPr>
                <w:rFonts w:hint="eastAsia" w:ascii="Times New Roman" w:hAnsi="Times New Roman" w:eastAsia="宋体" w:cs="Times New Roman"/>
                <w:kern w:val="0"/>
                <w:sz w:val="24"/>
                <w:szCs w:val="20"/>
              </w:rPr>
              <w:t>核查二级动火、受限空间作业情况；</w:t>
            </w:r>
          </w:p>
          <w:p>
            <w:pPr>
              <w:spacing w:line="300" w:lineRule="exact"/>
              <w:ind w:firstLine="480"/>
              <w:rPr>
                <w:rFonts w:ascii="Times New Roman" w:hAnsi="Times New Roman" w:eastAsia="宋体" w:cs="Times New Roman"/>
                <w:sz w:val="24"/>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刘沧锐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0"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ascii="Times New Roman" w:hAnsi="Times New Roman" w:eastAsia="宋体" w:cs="Times New Roman"/>
                <w:kern w:val="0"/>
                <w:sz w:val="24"/>
                <w:szCs w:val="20"/>
              </w:rPr>
              <w:t>7</w:t>
            </w:r>
          </w:p>
        </w:tc>
        <w:tc>
          <w:tcPr>
            <w:tcW w:w="135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hint="eastAsia" w:ascii="Times New Roman" w:hAnsi="Times New Roman" w:eastAsia="宋体" w:cs="Times New Roman"/>
                <w:kern w:val="0"/>
                <w:sz w:val="24"/>
                <w:szCs w:val="20"/>
              </w:rPr>
              <w:t>班组长</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rPr>
                <w:rFonts w:ascii="Times New Roman" w:hAnsi="Times New Roman" w:eastAsia="宋体" w:cs="Times New Roman"/>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组织岗位人员学习、贯彻安全生产管理制度和操作规程，制止违章行为；</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组织班组人员开展岗位风险辨识，按程序进行安全技术分析预测，落实风险管控措施；</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主持并记录班组安全活动；</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4.</w:t>
            </w:r>
            <w:r>
              <w:rPr>
                <w:rFonts w:hint="eastAsia" w:ascii="Times New Roman" w:hAnsi="Times New Roman" w:eastAsia="宋体" w:cs="Times New Roman"/>
                <w:kern w:val="0"/>
                <w:sz w:val="24"/>
                <w:szCs w:val="20"/>
              </w:rPr>
              <w:t>组织班组级安全教育和培训；</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5.</w:t>
            </w:r>
            <w:r>
              <w:rPr>
                <w:rFonts w:hint="eastAsia" w:ascii="Times New Roman" w:hAnsi="Times New Roman" w:eastAsia="宋体" w:cs="Times New Roman"/>
                <w:kern w:val="0"/>
                <w:sz w:val="24"/>
                <w:szCs w:val="20"/>
              </w:rPr>
              <w:t>检查班组安全生产工作；</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6.</w:t>
            </w:r>
            <w:r>
              <w:rPr>
                <w:rFonts w:hint="eastAsia" w:ascii="Times New Roman" w:hAnsi="Times New Roman" w:eastAsia="宋体" w:cs="Times New Roman"/>
                <w:kern w:val="0"/>
                <w:sz w:val="24"/>
                <w:szCs w:val="20"/>
              </w:rPr>
              <w:t>及时报告生产安全事故，按应急预案实施救援处置</w:t>
            </w:r>
            <w:r>
              <w:rPr>
                <w:rFonts w:ascii="Times New Roman" w:hAnsi="Times New Roman" w:eastAsia="宋体" w:cs="Times New Roman"/>
                <w:kern w:val="0"/>
                <w:sz w:val="24"/>
                <w:szCs w:val="20"/>
              </w:rPr>
              <w:t>;</w:t>
            </w:r>
          </w:p>
          <w:p>
            <w:pPr>
              <w:spacing w:line="300" w:lineRule="exact"/>
              <w:ind w:firstLine="480"/>
              <w:rPr>
                <w:rFonts w:ascii="Times New Roman" w:hAnsi="Times New Roman" w:eastAsia="宋体" w:cs="Times New Roman"/>
                <w:sz w:val="24"/>
                <w:szCs w:val="20"/>
              </w:rPr>
            </w:pPr>
          </w:p>
        </w:tc>
        <w:tc>
          <w:tcPr>
            <w:tcW w:w="6110"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rPr>
                <w:rFonts w:ascii="Times New Roman" w:hAnsi="Times New Roman" w:eastAsia="宋体" w:cs="Times New Roman"/>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组织岗位人员学习安全生产管理制度、操作规程、应急救援预案，掌握安全生产知识和应急处置技能，制止违章作业；</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组织班组人员辨识岗位安全风险，落实管控措施；</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主持班组安全活动，坚持班前讲安全，班中检查安全，班后总结安全，做好班组安全活动记录；</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4.</w:t>
            </w:r>
            <w:r>
              <w:rPr>
                <w:rFonts w:hint="eastAsia" w:ascii="Times New Roman" w:hAnsi="Times New Roman" w:eastAsia="宋体" w:cs="Times New Roman"/>
                <w:kern w:val="0"/>
                <w:sz w:val="24"/>
                <w:szCs w:val="20"/>
              </w:rPr>
              <w:t>负责新进、转岗员工的班组级安全教育和培训，负责在岗员工的安全再培训；</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5.</w:t>
            </w:r>
            <w:r>
              <w:rPr>
                <w:rFonts w:hint="eastAsia" w:ascii="Times New Roman" w:hAnsi="Times New Roman" w:eastAsia="宋体" w:cs="Times New Roman"/>
                <w:kern w:val="0"/>
                <w:sz w:val="24"/>
                <w:szCs w:val="20"/>
              </w:rPr>
              <w:t>开展现场安全检查，发现不安全因素及时组织力量加以清除，并报告安全管理人员；</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6.</w:t>
            </w:r>
            <w:r>
              <w:rPr>
                <w:rFonts w:hint="eastAsia" w:ascii="Times New Roman" w:hAnsi="Times New Roman" w:eastAsia="宋体" w:cs="Times New Roman"/>
                <w:kern w:val="0"/>
                <w:sz w:val="24"/>
                <w:szCs w:val="20"/>
              </w:rPr>
              <w:t>遇异常及时处置、上报、警戒，保护事故现场，配合事故调查；</w:t>
            </w:r>
          </w:p>
        </w:tc>
        <w:tc>
          <w:tcPr>
            <w:tcW w:w="1041"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刘波、母小菊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3"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ascii="Times New Roman" w:hAnsi="Times New Roman" w:eastAsia="宋体" w:cs="Times New Roman"/>
                <w:kern w:val="0"/>
                <w:sz w:val="24"/>
                <w:szCs w:val="20"/>
              </w:rPr>
              <w:t>8</w:t>
            </w:r>
          </w:p>
        </w:tc>
        <w:tc>
          <w:tcPr>
            <w:tcW w:w="135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eastAsia="宋体" w:cs="Times New Roman"/>
                <w:sz w:val="24"/>
                <w:szCs w:val="20"/>
              </w:rPr>
            </w:pPr>
            <w:r>
              <w:rPr>
                <w:rFonts w:hint="eastAsia" w:ascii="Times New Roman" w:hAnsi="Times New Roman" w:eastAsia="宋体" w:cs="Times New Roman"/>
                <w:kern w:val="0"/>
                <w:sz w:val="24"/>
                <w:szCs w:val="20"/>
              </w:rPr>
              <w:t>作业人员</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rPr>
                <w:rFonts w:ascii="Times New Roman" w:hAnsi="Times New Roman" w:eastAsia="宋体" w:cs="Times New Roman"/>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严格遵守各项安全生产管理制度及操作规程，正确使用劳动保护用品；</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参与岗位风险辨识，落实风险管控措施；</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接受安全教育和培训，参与班组安全活动；</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4.</w:t>
            </w:r>
            <w:r>
              <w:rPr>
                <w:rFonts w:hint="eastAsia" w:ascii="Times New Roman" w:hAnsi="Times New Roman" w:eastAsia="宋体" w:cs="Times New Roman"/>
                <w:kern w:val="0"/>
                <w:sz w:val="24"/>
                <w:szCs w:val="20"/>
              </w:rPr>
              <w:t>对岗位安全生产状况进行经常性检查；</w:t>
            </w:r>
          </w:p>
          <w:p>
            <w:pPr>
              <w:spacing w:line="300" w:lineRule="exact"/>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5.</w:t>
            </w:r>
            <w:r>
              <w:rPr>
                <w:rFonts w:hint="eastAsia" w:ascii="Times New Roman" w:hAnsi="Times New Roman" w:eastAsia="宋体" w:cs="Times New Roman"/>
                <w:kern w:val="0"/>
                <w:sz w:val="24"/>
                <w:szCs w:val="20"/>
              </w:rPr>
              <w:t>参与应急救援演练；</w:t>
            </w:r>
          </w:p>
          <w:p>
            <w:pPr>
              <w:spacing w:line="300" w:lineRule="exact"/>
              <w:ind w:firstLine="480"/>
              <w:rPr>
                <w:rFonts w:ascii="Times New Roman" w:hAnsi="Times New Roman" w:eastAsia="宋体" w:cs="Times New Roman"/>
                <w:sz w:val="24"/>
                <w:szCs w:val="20"/>
              </w:rPr>
            </w:pPr>
          </w:p>
        </w:tc>
        <w:tc>
          <w:tcPr>
            <w:tcW w:w="6110" w:type="dxa"/>
            <w:tcBorders>
              <w:top w:val="single" w:color="auto" w:sz="4" w:space="0"/>
              <w:left w:val="single" w:color="auto" w:sz="4" w:space="0"/>
              <w:bottom w:val="single" w:color="auto" w:sz="4" w:space="0"/>
              <w:right w:val="single" w:color="auto" w:sz="4" w:space="0"/>
            </w:tcBorders>
            <w:vAlign w:val="center"/>
          </w:tcPr>
          <w:p>
            <w:pPr>
              <w:widowControl/>
              <w:ind w:firstLine="480"/>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熟练掌握《岗位关键安全操作规程清单》，不违规作业、不违反劳动纪律；</w:t>
            </w:r>
            <w:r>
              <w:rPr>
                <w:rFonts w:ascii="Times New Roman" w:hAnsi="Times New Roman" w:eastAsia="宋体" w:cs="Times New Roman"/>
                <w:kern w:val="0"/>
                <w:sz w:val="24"/>
                <w:szCs w:val="20"/>
              </w:rPr>
              <w:br w:type="textWrapping"/>
            </w: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具备风险辨识意识和能力，熟知岗位存在的危险有害因素，落实风险管控措施；</w:t>
            </w:r>
            <w:r>
              <w:rPr>
                <w:rFonts w:ascii="Times New Roman" w:hAnsi="Times New Roman" w:eastAsia="宋体" w:cs="Times New Roman"/>
                <w:kern w:val="0"/>
                <w:sz w:val="24"/>
                <w:szCs w:val="20"/>
              </w:rPr>
              <w:br w:type="textWrapping"/>
            </w: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定期接受安全教育和培训（1次</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月），并保证学习时间（24学时</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年），熟练掌握操作技能和安全措施；参与班组安全活动，对安全生产工作提出改进建议；</w:t>
            </w:r>
          </w:p>
          <w:p>
            <w:pPr>
              <w:widowControl/>
              <w:ind w:firstLine="480"/>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4.</w:t>
            </w:r>
            <w:r>
              <w:rPr>
                <w:rFonts w:hint="eastAsia" w:ascii="Times New Roman" w:hAnsi="Times New Roman" w:eastAsia="宋体" w:cs="Times New Roman"/>
                <w:kern w:val="0"/>
                <w:sz w:val="24"/>
                <w:szCs w:val="20"/>
              </w:rPr>
              <w:t>使用《安全检查清单》开展安全检查，发现事故隐患和不安全因素时及时向管理人员报告；</w:t>
            </w:r>
          </w:p>
          <w:p>
            <w:pPr>
              <w:widowControl/>
              <w:ind w:firstLine="480"/>
              <w:textAlignment w:val="center"/>
              <w:rPr>
                <w:rFonts w:ascii="Times New Roman" w:hAnsi="Times New Roman" w:eastAsia="宋体" w:cs="Times New Roman"/>
                <w:sz w:val="24"/>
                <w:szCs w:val="20"/>
              </w:rPr>
            </w:pPr>
            <w:r>
              <w:rPr>
                <w:rFonts w:ascii="Times New Roman" w:hAnsi="Times New Roman" w:eastAsia="宋体" w:cs="Times New Roman"/>
                <w:kern w:val="0"/>
                <w:sz w:val="24"/>
                <w:szCs w:val="20"/>
              </w:rPr>
              <w:t>5.</w:t>
            </w:r>
            <w:r>
              <w:rPr>
                <w:rFonts w:hint="eastAsia" w:ascii="Times New Roman" w:hAnsi="Times New Roman" w:eastAsia="宋体" w:cs="Times New Roman"/>
                <w:kern w:val="0"/>
                <w:sz w:val="24"/>
                <w:szCs w:val="20"/>
              </w:rPr>
              <w:t>参与应急救援演练，提高应急处置能力；</w:t>
            </w:r>
          </w:p>
          <w:p>
            <w:pPr>
              <w:widowControl/>
              <w:ind w:firstLine="480"/>
              <w:textAlignment w:val="center"/>
              <w:rPr>
                <w:rFonts w:ascii="Times New Roman" w:hAnsi="Times New Roman" w:eastAsia="宋体" w:cs="Times New Roman"/>
                <w:sz w:val="24"/>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sz w:val="24"/>
                <w:szCs w:val="20"/>
                <w:lang w:val="en-US" w:eastAsia="zh-CN"/>
              </w:rPr>
              <w:t>刘波、母小菊</w:t>
            </w:r>
          </w:p>
        </w:tc>
      </w:tr>
    </w:tbl>
    <w:p>
      <w:pPr>
        <w:rPr>
          <w:rFonts w:ascii="黑体" w:hAnsi="黑体" w:eastAsia="黑体" w:cs="黑体"/>
          <w:kern w:val="0"/>
          <w:sz w:val="32"/>
          <w:szCs w:val="32"/>
        </w:rPr>
      </w:pPr>
    </w:p>
    <w:p>
      <w:pPr>
        <w:widowControl/>
        <w:spacing w:line="40" w:lineRule="exact"/>
        <w:ind w:firstLine="548" w:firstLineChars="196"/>
        <w:jc w:val="left"/>
        <w:outlineLvl w:val="0"/>
        <w:rPr>
          <w:sz w:val="28"/>
          <w:szCs w:val="36"/>
        </w:rPr>
      </w:pPr>
    </w:p>
    <w:p>
      <w:pPr>
        <w:spacing w:line="560" w:lineRule="exact"/>
        <w:jc w:val="left"/>
        <w:outlineLvl w:val="0"/>
        <w:rPr>
          <w:rFonts w:eastAsia="黑体"/>
          <w:sz w:val="32"/>
          <w:szCs w:val="32"/>
        </w:rPr>
        <w:sectPr>
          <w:pgSz w:w="16838" w:h="11906" w:orient="landscape"/>
          <w:pgMar w:top="1134" w:right="1134" w:bottom="1134" w:left="1134" w:header="851" w:footer="992" w:gutter="0"/>
          <w:cols w:space="0" w:num="1"/>
          <w:docGrid w:type="lines" w:linePitch="312" w:charSpace="0"/>
        </w:sectPr>
      </w:pPr>
    </w:p>
    <w:p>
      <w:pPr>
        <w:outlineLvl w:val="0"/>
        <w:rPr>
          <w:rFonts w:eastAsia="方正小标宋简体"/>
          <w:sz w:val="36"/>
          <w:szCs w:val="36"/>
        </w:rPr>
      </w:pPr>
    </w:p>
    <w:p>
      <w:pPr>
        <w:outlineLvl w:val="0"/>
        <w:rPr>
          <w:rFonts w:eastAsia="方正小标宋简体"/>
          <w:sz w:val="36"/>
          <w:szCs w:val="36"/>
        </w:rPr>
      </w:pPr>
    </w:p>
    <w:p>
      <w:pPr>
        <w:outlineLvl w:val="0"/>
        <w:rPr>
          <w:rFonts w:eastAsia="方正小标宋简体"/>
          <w:sz w:val="36"/>
          <w:szCs w:val="36"/>
        </w:rPr>
      </w:pPr>
    </w:p>
    <w:p>
      <w:pPr>
        <w:outlineLvl w:val="0"/>
        <w:rPr>
          <w:rFonts w:eastAsia="方正小标宋简体"/>
          <w:sz w:val="36"/>
          <w:szCs w:val="36"/>
        </w:rPr>
      </w:pPr>
    </w:p>
    <w:p>
      <w:pPr>
        <w:outlineLvl w:val="0"/>
        <w:rPr>
          <w:rFonts w:eastAsia="方正小标宋简体"/>
          <w:sz w:val="36"/>
          <w:szCs w:val="36"/>
        </w:rPr>
      </w:pPr>
    </w:p>
    <w:p>
      <w:pPr>
        <w:outlineLvl w:val="0"/>
        <w:rPr>
          <w:rFonts w:eastAsia="方正小标宋简体"/>
          <w:sz w:val="36"/>
          <w:szCs w:val="36"/>
        </w:rPr>
      </w:pPr>
    </w:p>
    <w:p>
      <w:pPr>
        <w:outlineLvl w:val="0"/>
        <w:rPr>
          <w:rFonts w:eastAsia="方正小标宋简体"/>
          <w:sz w:val="36"/>
          <w:szCs w:val="36"/>
        </w:rPr>
      </w:pPr>
    </w:p>
    <w:p>
      <w:pPr>
        <w:jc w:val="center"/>
        <w:outlineLvl w:val="0"/>
        <w:rPr>
          <w:rFonts w:eastAsia="方正小标宋简体"/>
          <w:sz w:val="36"/>
          <w:szCs w:val="36"/>
        </w:rPr>
      </w:pPr>
    </w:p>
    <w:p>
      <w:pPr>
        <w:jc w:val="center"/>
        <w:outlineLvl w:val="0"/>
        <w:rPr>
          <w:rFonts w:eastAsia="方正小标宋简体"/>
          <w:sz w:val="36"/>
          <w:szCs w:val="36"/>
        </w:rPr>
      </w:pPr>
    </w:p>
    <w:p>
      <w:pPr>
        <w:jc w:val="center"/>
        <w:outlineLvl w:val="0"/>
        <w:rPr>
          <w:rFonts w:eastAsia="方正小标宋简体"/>
          <w:sz w:val="36"/>
          <w:szCs w:val="36"/>
        </w:rPr>
      </w:pPr>
    </w:p>
    <w:p>
      <w:pPr>
        <w:jc w:val="center"/>
        <w:outlineLvl w:val="0"/>
        <w:rPr>
          <w:rFonts w:eastAsia="方正小标宋简体"/>
          <w:sz w:val="36"/>
          <w:szCs w:val="36"/>
        </w:rPr>
      </w:pPr>
      <w:r>
        <w:rPr>
          <w:rFonts w:hint="eastAsia" w:eastAsia="方正小标宋简体"/>
          <w:sz w:val="36"/>
          <w:szCs w:val="36"/>
        </w:rPr>
        <w:t>二、重大安全风险管控清单</w:t>
      </w:r>
    </w:p>
    <w:p>
      <w:pPr>
        <w:jc w:val="center"/>
        <w:rPr>
          <w:rFonts w:ascii="黑体" w:hAnsi="黑体" w:eastAsia="黑体" w:cs="黑体"/>
          <w:kern w:val="0"/>
          <w:sz w:val="32"/>
          <w:szCs w:val="32"/>
        </w:rPr>
      </w:pPr>
      <w:r>
        <w:rPr>
          <w:rFonts w:hint="eastAsia" w:ascii="黑体" w:hAnsi="黑体" w:eastAsia="黑体" w:cs="黑体"/>
          <w:kern w:val="0"/>
          <w:sz w:val="32"/>
          <w:szCs w:val="32"/>
        </w:rPr>
        <w:t>2-1重大安全风险点清单</w:t>
      </w:r>
    </w:p>
    <w:tbl>
      <w:tblPr>
        <w:tblStyle w:val="19"/>
        <w:tblW w:w="15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2583"/>
        <w:gridCol w:w="4727"/>
        <w:gridCol w:w="1420"/>
        <w:gridCol w:w="2251"/>
        <w:gridCol w:w="1164"/>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86" w:type="dxa"/>
            <w:vMerge w:val="restart"/>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eastAsia="黑体" w:cs="Times New Roman"/>
                <w:kern w:val="0"/>
                <w:sz w:val="24"/>
                <w:szCs w:val="20"/>
              </w:rPr>
            </w:pPr>
            <w:r>
              <w:rPr>
                <w:rFonts w:hint="eastAsia" w:ascii="Times New Roman" w:hAnsi="Times New Roman" w:eastAsia="黑体" w:cs="Times New Roman"/>
                <w:kern w:val="0"/>
                <w:sz w:val="24"/>
                <w:szCs w:val="20"/>
              </w:rPr>
              <w:t>风险点名称</w:t>
            </w:r>
          </w:p>
        </w:tc>
        <w:tc>
          <w:tcPr>
            <w:tcW w:w="2583" w:type="dxa"/>
            <w:vMerge w:val="restart"/>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eastAsia="黑体" w:cs="Times New Roman"/>
                <w:kern w:val="0"/>
                <w:sz w:val="24"/>
                <w:szCs w:val="20"/>
              </w:rPr>
            </w:pPr>
            <w:r>
              <w:rPr>
                <w:rFonts w:hint="eastAsia" w:ascii="Times New Roman" w:hAnsi="Times New Roman" w:eastAsia="黑体" w:cs="Times New Roman"/>
                <w:kern w:val="0"/>
                <w:sz w:val="24"/>
                <w:szCs w:val="20"/>
              </w:rPr>
              <w:t>主要风险概述</w:t>
            </w:r>
          </w:p>
        </w:tc>
        <w:tc>
          <w:tcPr>
            <w:tcW w:w="4727" w:type="dxa"/>
            <w:vMerge w:val="restart"/>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eastAsia="黑体" w:cs="Times New Roman"/>
                <w:kern w:val="0"/>
                <w:sz w:val="24"/>
                <w:szCs w:val="20"/>
              </w:rPr>
            </w:pPr>
            <w:r>
              <w:rPr>
                <w:rFonts w:hint="eastAsia" w:ascii="Times New Roman" w:hAnsi="Times New Roman" w:eastAsia="黑体" w:cs="Times New Roman"/>
                <w:kern w:val="0"/>
                <w:sz w:val="24"/>
                <w:szCs w:val="20"/>
              </w:rPr>
              <w:t>关键控制指标</w:t>
            </w:r>
          </w:p>
        </w:tc>
        <w:tc>
          <w:tcPr>
            <w:tcW w:w="4835" w:type="dxa"/>
            <w:gridSpan w:val="3"/>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eastAsia="黑体" w:cs="Times New Roman"/>
                <w:kern w:val="0"/>
                <w:sz w:val="24"/>
                <w:szCs w:val="20"/>
              </w:rPr>
            </w:pPr>
            <w:r>
              <w:rPr>
                <w:rFonts w:hint="eastAsia" w:ascii="Times New Roman" w:hAnsi="Times New Roman" w:eastAsia="黑体" w:cs="Times New Roman"/>
                <w:kern w:val="0"/>
                <w:sz w:val="24"/>
                <w:szCs w:val="20"/>
              </w:rPr>
              <w:t>责任人</w:t>
            </w:r>
          </w:p>
        </w:tc>
        <w:tc>
          <w:tcPr>
            <w:tcW w:w="1689" w:type="dxa"/>
            <w:vMerge w:val="restart"/>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eastAsia="黑体" w:cs="Times New Roman"/>
                <w:kern w:val="0"/>
                <w:sz w:val="24"/>
                <w:szCs w:val="20"/>
              </w:rPr>
            </w:pPr>
            <w:r>
              <w:rPr>
                <w:rFonts w:hint="eastAsia" w:ascii="Times New Roman" w:hAnsi="Times New Roman" w:eastAsia="黑体" w:cs="Times New Roman"/>
                <w:kern w:val="0"/>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0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 w:val="24"/>
                <w:szCs w:val="20"/>
              </w:rPr>
            </w:pPr>
          </w:p>
        </w:tc>
        <w:tc>
          <w:tcPr>
            <w:tcW w:w="25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 w:val="24"/>
                <w:szCs w:val="20"/>
              </w:rPr>
            </w:pPr>
          </w:p>
        </w:tc>
        <w:tc>
          <w:tcPr>
            <w:tcW w:w="47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 w:val="24"/>
                <w:szCs w:val="20"/>
              </w:rPr>
            </w:pPr>
          </w:p>
        </w:tc>
        <w:tc>
          <w:tcPr>
            <w:tcW w:w="14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kern w:val="0"/>
                <w:sz w:val="24"/>
                <w:szCs w:val="20"/>
              </w:rPr>
            </w:pPr>
            <w:r>
              <w:rPr>
                <w:rFonts w:hint="eastAsia" w:ascii="Times New Roman" w:hAnsi="Times New Roman" w:eastAsia="黑体" w:cs="Times New Roman"/>
                <w:kern w:val="0"/>
                <w:sz w:val="24"/>
                <w:szCs w:val="20"/>
              </w:rPr>
              <w:t>班组级</w:t>
            </w:r>
          </w:p>
        </w:tc>
        <w:tc>
          <w:tcPr>
            <w:tcW w:w="2251" w:type="dxa"/>
            <w:tcBorders>
              <w:top w:val="single" w:color="auto" w:sz="4" w:space="0"/>
              <w:left w:val="single" w:color="auto" w:sz="4" w:space="0"/>
              <w:bottom w:val="single" w:color="auto" w:sz="4" w:space="0"/>
              <w:right w:val="single" w:color="auto" w:sz="4" w:space="0"/>
            </w:tcBorders>
            <w:vAlign w:val="center"/>
          </w:tcPr>
          <w:p>
            <w:pPr>
              <w:ind w:firstLine="480"/>
              <w:rPr>
                <w:rFonts w:ascii="Times New Roman" w:hAnsi="Times New Roman" w:eastAsia="黑体" w:cs="Times New Roman"/>
                <w:kern w:val="0"/>
                <w:sz w:val="24"/>
                <w:szCs w:val="20"/>
              </w:rPr>
            </w:pPr>
            <w:r>
              <w:rPr>
                <w:rFonts w:hint="eastAsia" w:ascii="Times New Roman" w:hAnsi="Times New Roman" w:eastAsia="黑体" w:cs="Times New Roman"/>
                <w:kern w:val="0"/>
                <w:sz w:val="24"/>
                <w:szCs w:val="20"/>
              </w:rPr>
              <w:t>管理人员级</w:t>
            </w:r>
          </w:p>
        </w:tc>
        <w:tc>
          <w:tcPr>
            <w:tcW w:w="1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kern w:val="0"/>
                <w:sz w:val="24"/>
                <w:szCs w:val="20"/>
              </w:rPr>
            </w:pPr>
            <w:r>
              <w:rPr>
                <w:rFonts w:hint="eastAsia" w:ascii="Times New Roman" w:hAnsi="Times New Roman" w:eastAsia="黑体" w:cs="Times New Roman"/>
                <w:kern w:val="0"/>
                <w:sz w:val="24"/>
                <w:szCs w:val="20"/>
              </w:rPr>
              <w:t>站级</w:t>
            </w:r>
          </w:p>
        </w:tc>
        <w:tc>
          <w:tcPr>
            <w:tcW w:w="16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208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油罐区</w:t>
            </w:r>
          </w:p>
        </w:tc>
        <w:tc>
          <w:tcPr>
            <w:tcW w:w="258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工艺连接错误造成混油；跑、冒、滴、漏；</w:t>
            </w:r>
          </w:p>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静电引起火灾；工艺管线渗漏造成环境污染、火灾、爆炸；车辆自滑拉断管线造成跑油、伤人、火灾爆炸；未密闭卸油引起火灾爆炸</w:t>
            </w:r>
          </w:p>
        </w:tc>
        <w:tc>
          <w:tcPr>
            <w:tcW w:w="47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粘贴品名标识，复核工艺，执行卸油看板作业，卸油时对液位监测不及时易造成油品跑冒。油品溢出罐外后，周围空气中油蒸气的浓度迅速上升，达到爆炸极限范围，遇到点火源，随即可能发生爆炸燃烧；检查油气回收装置完好；提醒驾驶员拉紧手制动；检查可燃气体报警装置完好</w:t>
            </w:r>
          </w:p>
        </w:tc>
        <w:tc>
          <w:tcPr>
            <w:tcW w:w="1420" w:type="dxa"/>
            <w:tcBorders>
              <w:top w:val="single" w:color="auto" w:sz="4" w:space="0"/>
              <w:left w:val="single" w:color="auto" w:sz="4" w:space="0"/>
              <w:bottom w:val="single" w:color="auto" w:sz="4" w:space="0"/>
              <w:right w:val="single" w:color="auto" w:sz="4" w:space="0"/>
            </w:tcBorders>
            <w:vAlign w:val="center"/>
          </w:tcPr>
          <w:p>
            <w:pPr>
              <w:pStyle w:val="2"/>
              <w:ind w:firstLine="240"/>
              <w:rPr>
                <w:rFonts w:hint="eastAsia" w:eastAsia="仿宋_GB2312"/>
                <w:lang w:eastAsia="zh-CN"/>
              </w:rPr>
            </w:pPr>
            <w:r>
              <w:rPr>
                <w:rFonts w:hint="eastAsia" w:hAnsi="Times New Roman" w:eastAsia="宋体" w:cs="Times New Roman"/>
                <w:kern w:val="0"/>
                <w:sz w:val="24"/>
                <w:szCs w:val="20"/>
                <w:lang w:val="en-US" w:eastAsia="zh-CN"/>
              </w:rPr>
              <w:t>刘波、母小菊</w:t>
            </w:r>
          </w:p>
        </w:tc>
        <w:tc>
          <w:tcPr>
            <w:tcW w:w="2251" w:type="dxa"/>
            <w:tcBorders>
              <w:top w:val="single" w:color="auto" w:sz="4" w:space="0"/>
              <w:left w:val="single" w:color="auto" w:sz="4" w:space="0"/>
              <w:bottom w:val="single" w:color="auto" w:sz="4" w:space="0"/>
              <w:right w:val="single" w:color="auto" w:sz="4" w:space="0"/>
            </w:tcBorders>
            <w:vAlign w:val="center"/>
          </w:tcPr>
          <w:p>
            <w:pPr>
              <w:ind w:firstLine="480"/>
              <w:rPr>
                <w:rFonts w:hint="eastAsia" w:ascii="Times New Roman" w:hAnsi="Times New Roman" w:eastAsia="宋体" w:cs="Times New Roman"/>
                <w:kern w:val="0"/>
                <w:sz w:val="24"/>
                <w:szCs w:val="20"/>
                <w:lang w:val="en-US" w:eastAsia="zh-CN"/>
              </w:rPr>
            </w:pPr>
            <w:r>
              <w:rPr>
                <w:rFonts w:hint="eastAsia" w:ascii="Times New Roman" w:hAnsi="Times New Roman" w:eastAsia="宋体" w:cs="Times New Roman"/>
                <w:kern w:val="0"/>
                <w:sz w:val="24"/>
                <w:szCs w:val="20"/>
                <w:lang w:val="en-US" w:eastAsia="zh-CN"/>
              </w:rPr>
              <w:t>刘沧锐</w:t>
            </w:r>
          </w:p>
        </w:tc>
        <w:tc>
          <w:tcPr>
            <w:tcW w:w="1164" w:type="dxa"/>
            <w:tcBorders>
              <w:top w:val="single" w:color="auto" w:sz="4" w:space="0"/>
              <w:left w:val="single" w:color="auto" w:sz="4" w:space="0"/>
              <w:bottom w:val="single" w:color="auto" w:sz="4" w:space="0"/>
              <w:right w:val="single" w:color="auto" w:sz="4" w:space="0"/>
            </w:tcBorders>
            <w:vAlign w:val="center"/>
          </w:tcPr>
          <w:p>
            <w:pPr>
              <w:ind w:firstLine="120" w:firstLineChars="5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lang w:val="en-US" w:eastAsia="zh-CN"/>
              </w:rPr>
              <w:t>刘沧锐</w:t>
            </w:r>
          </w:p>
        </w:tc>
        <w:tc>
          <w:tcPr>
            <w:tcW w:w="168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《加油站油罐重大安全风险管控清单》见表</w:t>
            </w:r>
            <w:r>
              <w:rPr>
                <w:rFonts w:ascii="Times New Roman" w:hAnsi="Times New Roman" w:eastAsia="宋体" w:cs="Times New Roman"/>
                <w:kern w:val="0"/>
                <w:sz w:val="24"/>
                <w:szCs w:val="20"/>
              </w:rPr>
              <w:t>2-2</w:t>
            </w:r>
            <w:r>
              <w:rPr>
                <w:rFonts w:hint="eastAsia" w:ascii="Times New Roman" w:hAnsi="Times New Roman" w:eastAsia="宋体" w:cs="Times New Roman"/>
                <w:kern w:val="0"/>
                <w:sz w:val="24"/>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加油现场</w:t>
            </w:r>
          </w:p>
        </w:tc>
        <w:tc>
          <w:tcPr>
            <w:tcW w:w="258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加油车辆自滑，拉断加油管线、操作不当油品外溢等原因，在加油口附近形成了一个爆炸危险区域，遇烟火、使用手机、铁钉鞋摩擦、金属碰撞、电器打火、发动机排气管喷火等都可能导致火灾。</w:t>
            </w:r>
          </w:p>
        </w:tc>
        <w:tc>
          <w:tcPr>
            <w:tcW w:w="4727" w:type="dxa"/>
            <w:tcBorders>
              <w:top w:val="single" w:color="auto" w:sz="4" w:space="0"/>
              <w:left w:val="single" w:color="auto" w:sz="4" w:space="0"/>
              <w:bottom w:val="single" w:color="auto" w:sz="4" w:space="0"/>
              <w:right w:val="single" w:color="auto" w:sz="4" w:space="0"/>
            </w:tcBorders>
            <w:vAlign w:val="center"/>
          </w:tcPr>
          <w:p>
            <w:pPr>
              <w:ind w:firstLine="48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严格执行操作规程，持枪加油；站内严禁使用手机，摩托车推出4.5米外发动；</w:t>
            </w:r>
          </w:p>
        </w:tc>
        <w:tc>
          <w:tcPr>
            <w:tcW w:w="1420" w:type="dxa"/>
            <w:tcBorders>
              <w:top w:val="single" w:color="auto" w:sz="4" w:space="0"/>
              <w:left w:val="single" w:color="auto" w:sz="4" w:space="0"/>
              <w:bottom w:val="single" w:color="auto" w:sz="4" w:space="0"/>
              <w:right w:val="single" w:color="auto" w:sz="4" w:space="0"/>
            </w:tcBorders>
            <w:vAlign w:val="center"/>
          </w:tcPr>
          <w:p>
            <w:pPr>
              <w:pStyle w:val="2"/>
              <w:ind w:firstLine="240"/>
              <w:rPr>
                <w:rFonts w:hint="eastAsia" w:eastAsia="仿宋_GB2312"/>
                <w:lang w:eastAsia="zh-CN"/>
              </w:rPr>
            </w:pPr>
            <w:r>
              <w:rPr>
                <w:rFonts w:hint="eastAsia" w:hAnsi="Times New Roman" w:eastAsia="宋体" w:cs="Times New Roman"/>
                <w:kern w:val="0"/>
                <w:sz w:val="24"/>
                <w:szCs w:val="20"/>
                <w:lang w:val="en-US" w:eastAsia="zh-CN"/>
              </w:rPr>
              <w:t>刘波、母小菊</w:t>
            </w:r>
          </w:p>
        </w:tc>
        <w:tc>
          <w:tcPr>
            <w:tcW w:w="2251" w:type="dxa"/>
            <w:tcBorders>
              <w:top w:val="single" w:color="auto" w:sz="4" w:space="0"/>
              <w:left w:val="single" w:color="auto" w:sz="4" w:space="0"/>
              <w:bottom w:val="single" w:color="auto" w:sz="4" w:space="0"/>
              <w:right w:val="single" w:color="auto" w:sz="4" w:space="0"/>
            </w:tcBorders>
            <w:vAlign w:val="center"/>
          </w:tcPr>
          <w:p>
            <w:pPr>
              <w:ind w:firstLine="48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lang w:val="en-US" w:eastAsia="zh-CN"/>
              </w:rPr>
              <w:t>刘沧锐</w:t>
            </w:r>
          </w:p>
        </w:tc>
        <w:tc>
          <w:tcPr>
            <w:tcW w:w="1164" w:type="dxa"/>
            <w:tcBorders>
              <w:top w:val="single" w:color="auto" w:sz="4" w:space="0"/>
              <w:left w:val="single" w:color="auto" w:sz="4" w:space="0"/>
              <w:bottom w:val="single" w:color="auto" w:sz="4" w:space="0"/>
              <w:right w:val="single" w:color="auto" w:sz="4" w:space="0"/>
            </w:tcBorders>
            <w:vAlign w:val="center"/>
          </w:tcPr>
          <w:p>
            <w:pPr>
              <w:ind w:firstLine="120" w:firstLineChars="5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lang w:val="en-US" w:eastAsia="zh-CN"/>
              </w:rPr>
              <w:t>刘沧锐</w:t>
            </w:r>
          </w:p>
        </w:tc>
        <w:tc>
          <w:tcPr>
            <w:tcW w:w="168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《加油现场重大安全风险管控清单》见表</w:t>
            </w:r>
            <w:r>
              <w:rPr>
                <w:rFonts w:ascii="Times New Roman" w:hAnsi="Times New Roman" w:eastAsia="宋体" w:cs="Times New Roman"/>
                <w:kern w:val="0"/>
                <w:sz w:val="24"/>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8" w:hRule="atLeast"/>
          <w:jc w:val="center"/>
        </w:trPr>
        <w:tc>
          <w:tcPr>
            <w:tcW w:w="208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维修、清罐作业</w:t>
            </w:r>
          </w:p>
        </w:tc>
        <w:tc>
          <w:tcPr>
            <w:tcW w:w="258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维修人员不遵守操作规程，常常会引起触电、高处坠落等安全事故，无法彻底清除油气和沉淀物，残余油气遇到静电、摩擦、点火花都可能导致火灾。</w:t>
            </w:r>
          </w:p>
        </w:tc>
        <w:tc>
          <w:tcPr>
            <w:tcW w:w="4727" w:type="dxa"/>
            <w:tcBorders>
              <w:top w:val="single" w:color="auto" w:sz="4" w:space="0"/>
              <w:left w:val="single" w:color="auto" w:sz="4" w:space="0"/>
              <w:bottom w:val="single" w:color="auto" w:sz="4" w:space="0"/>
              <w:right w:val="single" w:color="auto" w:sz="4" w:space="0"/>
            </w:tcBorders>
            <w:vAlign w:val="center"/>
          </w:tcPr>
          <w:p>
            <w:pPr>
              <w:ind w:firstLine="48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严格执行操作规程操作，佩戴绝缘手套，戴安全帽，系好好安全带，禁止使用化纤拖把，塑料扫把，穿防静电工作服，防止静电产生火花。</w:t>
            </w:r>
          </w:p>
        </w:tc>
        <w:tc>
          <w:tcPr>
            <w:tcW w:w="1420" w:type="dxa"/>
            <w:tcBorders>
              <w:top w:val="single" w:color="auto" w:sz="4" w:space="0"/>
              <w:left w:val="single" w:color="auto" w:sz="4" w:space="0"/>
              <w:bottom w:val="single" w:color="auto" w:sz="4" w:space="0"/>
              <w:right w:val="single" w:color="auto" w:sz="4" w:space="0"/>
            </w:tcBorders>
            <w:vAlign w:val="center"/>
          </w:tcPr>
          <w:p>
            <w:pPr>
              <w:pStyle w:val="2"/>
              <w:ind w:firstLine="240"/>
            </w:pPr>
            <w:r>
              <w:rPr>
                <w:rFonts w:hint="eastAsia" w:hAnsi="Times New Roman" w:eastAsia="宋体" w:cs="Times New Roman"/>
                <w:kern w:val="0"/>
                <w:sz w:val="24"/>
                <w:szCs w:val="20"/>
                <w:lang w:val="en-US" w:eastAsia="zh-CN"/>
              </w:rPr>
              <w:t>刘波、母小菊</w:t>
            </w:r>
          </w:p>
        </w:tc>
        <w:tc>
          <w:tcPr>
            <w:tcW w:w="2251" w:type="dxa"/>
            <w:tcBorders>
              <w:top w:val="single" w:color="auto" w:sz="4" w:space="0"/>
              <w:left w:val="single" w:color="auto" w:sz="4" w:space="0"/>
              <w:bottom w:val="single" w:color="auto" w:sz="4" w:space="0"/>
              <w:right w:val="single" w:color="auto" w:sz="4" w:space="0"/>
            </w:tcBorders>
            <w:vAlign w:val="center"/>
          </w:tcPr>
          <w:p>
            <w:pPr>
              <w:ind w:firstLine="48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lang w:val="en-US" w:eastAsia="zh-CN"/>
              </w:rPr>
              <w:t>刘沧锐</w:t>
            </w:r>
          </w:p>
        </w:tc>
        <w:tc>
          <w:tcPr>
            <w:tcW w:w="1164" w:type="dxa"/>
            <w:tcBorders>
              <w:top w:val="single" w:color="auto" w:sz="4" w:space="0"/>
              <w:left w:val="single" w:color="auto" w:sz="4" w:space="0"/>
              <w:bottom w:val="single" w:color="auto" w:sz="4" w:space="0"/>
              <w:right w:val="single" w:color="auto" w:sz="4" w:space="0"/>
            </w:tcBorders>
            <w:vAlign w:val="center"/>
          </w:tcPr>
          <w:p>
            <w:pPr>
              <w:ind w:firstLine="120" w:firstLineChars="5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lang w:val="en-US" w:eastAsia="zh-CN"/>
              </w:rPr>
              <w:t>刘沧锐</w:t>
            </w:r>
          </w:p>
        </w:tc>
        <w:tc>
          <w:tcPr>
            <w:tcW w:w="168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《加油维修作业重大安全风险管控清单》见表</w:t>
            </w: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8" w:hRule="atLeast"/>
          <w:jc w:val="center"/>
        </w:trPr>
        <w:tc>
          <w:tcPr>
            <w:tcW w:w="20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4"/>
                <w:szCs w:val="20"/>
              </w:rPr>
            </w:pPr>
            <w:r>
              <w:rPr>
                <w:rFonts w:hint="eastAsia"/>
                <w:kern w:val="0"/>
                <w:sz w:val="24"/>
              </w:rPr>
              <w:t>加注散装汽油</w:t>
            </w:r>
          </w:p>
        </w:tc>
        <w:tc>
          <w:tcPr>
            <w:tcW w:w="25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4"/>
                <w:szCs w:val="20"/>
              </w:rPr>
            </w:pPr>
            <w:r>
              <w:rPr>
                <w:rFonts w:hint="eastAsia"/>
                <w:kern w:val="0"/>
                <w:sz w:val="24"/>
              </w:rPr>
              <w:t>因静电、油品跑冒和散装油品非法使用发生火灾爆炸事故。</w:t>
            </w:r>
          </w:p>
        </w:tc>
        <w:tc>
          <w:tcPr>
            <w:tcW w:w="4727" w:type="dxa"/>
            <w:tcBorders>
              <w:top w:val="single" w:color="auto" w:sz="4" w:space="0"/>
              <w:left w:val="single" w:color="auto" w:sz="4" w:space="0"/>
              <w:bottom w:val="single" w:color="auto" w:sz="4" w:space="0"/>
              <w:right w:val="single" w:color="auto" w:sz="4" w:space="0"/>
            </w:tcBorders>
            <w:vAlign w:val="center"/>
          </w:tcPr>
          <w:p>
            <w:pPr>
              <w:rPr>
                <w:rStyle w:val="42"/>
              </w:rPr>
            </w:pPr>
            <w:r>
              <w:rPr>
                <w:rStyle w:val="42"/>
                <w:rFonts w:hint="eastAsia"/>
              </w:rPr>
              <w:t>1.按照国家及地方政府要求查验客户身份证明，登记建档或将加油信息录入系统；</w:t>
            </w:r>
          </w:p>
          <w:p>
            <w:pPr>
              <w:rPr>
                <w:rStyle w:val="42"/>
              </w:rPr>
            </w:pPr>
            <w:r>
              <w:rPr>
                <w:rStyle w:val="42"/>
                <w:rFonts w:hint="eastAsia"/>
              </w:rPr>
              <w:t>2.</w:t>
            </w:r>
            <w:r>
              <w:rPr>
                <w:rFonts w:hint="eastAsia"/>
                <w:kern w:val="0"/>
                <w:sz w:val="24"/>
              </w:rPr>
              <w:t xml:space="preserve"> 加油前确认容器材质可导静电，完好无渗漏</w:t>
            </w:r>
          </w:p>
          <w:p>
            <w:pPr>
              <w:rPr>
                <w:rStyle w:val="42"/>
              </w:rPr>
            </w:pPr>
            <w:r>
              <w:rPr>
                <w:rStyle w:val="42"/>
                <w:rFonts w:hint="eastAsia"/>
              </w:rPr>
              <w:t>3.静电接地夹完好有效，加油前释放人体静电，将静电接地夹一端夹在容器上，另一端连接接地装置；</w:t>
            </w:r>
          </w:p>
          <w:p>
            <w:pPr>
              <w:rPr>
                <w:kern w:val="0"/>
                <w:sz w:val="24"/>
              </w:rPr>
            </w:pPr>
            <w:r>
              <w:rPr>
                <w:rFonts w:hint="eastAsia"/>
                <w:kern w:val="0"/>
                <w:sz w:val="24"/>
              </w:rPr>
              <w:t>4.使用导流管插入容器底部；</w:t>
            </w:r>
          </w:p>
          <w:p>
            <w:pPr>
              <w:jc w:val="left"/>
              <w:rPr>
                <w:rFonts w:ascii="Times New Roman" w:hAnsi="Times New Roman" w:eastAsia="宋体" w:cs="Times New Roman"/>
                <w:kern w:val="0"/>
                <w:sz w:val="24"/>
                <w:szCs w:val="20"/>
              </w:rPr>
            </w:pPr>
            <w:r>
              <w:rPr>
                <w:rStyle w:val="42"/>
                <w:rFonts w:hint="eastAsia"/>
              </w:rPr>
              <w:t>5.现场布置消防器材，</w:t>
            </w:r>
            <w:r>
              <w:rPr>
                <w:rFonts w:hint="eastAsia"/>
                <w:kern w:val="0"/>
                <w:sz w:val="24"/>
              </w:rPr>
              <w:t>配备应急物资，</w:t>
            </w:r>
            <w:r>
              <w:rPr>
                <w:rStyle w:val="42"/>
                <w:rFonts w:hint="eastAsia"/>
              </w:rPr>
              <w:t>严格</w:t>
            </w:r>
            <w:r>
              <w:rPr>
                <w:rFonts w:hint="eastAsia"/>
                <w:kern w:val="0"/>
                <w:sz w:val="24"/>
              </w:rPr>
              <w:t>现场监护。</w:t>
            </w:r>
          </w:p>
        </w:tc>
        <w:tc>
          <w:tcPr>
            <w:tcW w:w="1420" w:type="dxa"/>
            <w:tcBorders>
              <w:top w:val="single" w:color="auto" w:sz="4" w:space="0"/>
              <w:left w:val="single" w:color="auto" w:sz="4" w:space="0"/>
              <w:bottom w:val="single" w:color="auto" w:sz="4" w:space="0"/>
              <w:right w:val="single" w:color="auto" w:sz="4" w:space="0"/>
            </w:tcBorders>
            <w:vAlign w:val="center"/>
          </w:tcPr>
          <w:p>
            <w:pPr>
              <w:pStyle w:val="2"/>
              <w:ind w:firstLine="240"/>
              <w:rPr>
                <w:rFonts w:hAnsi="Times New Roman" w:eastAsia="宋体" w:cs="Times New Roman"/>
                <w:kern w:val="0"/>
                <w:sz w:val="24"/>
                <w:szCs w:val="20"/>
              </w:rPr>
            </w:pPr>
            <w:r>
              <w:rPr>
                <w:rFonts w:hint="eastAsia" w:hAnsi="Times New Roman" w:eastAsia="宋体" w:cs="Times New Roman"/>
                <w:kern w:val="0"/>
                <w:sz w:val="24"/>
                <w:szCs w:val="20"/>
                <w:lang w:val="en-US" w:eastAsia="zh-CN"/>
              </w:rPr>
              <w:t>刘波、母小菊</w:t>
            </w:r>
          </w:p>
        </w:tc>
        <w:tc>
          <w:tcPr>
            <w:tcW w:w="2251" w:type="dxa"/>
            <w:tcBorders>
              <w:top w:val="single" w:color="auto" w:sz="4" w:space="0"/>
              <w:left w:val="single" w:color="auto" w:sz="4" w:space="0"/>
              <w:bottom w:val="single" w:color="auto" w:sz="4" w:space="0"/>
              <w:right w:val="single" w:color="auto" w:sz="4" w:space="0"/>
            </w:tcBorders>
            <w:vAlign w:val="center"/>
          </w:tcPr>
          <w:p>
            <w:pPr>
              <w:ind w:firstLine="48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lang w:val="en-US" w:eastAsia="zh-CN"/>
              </w:rPr>
              <w:t>刘沧锐</w:t>
            </w:r>
          </w:p>
        </w:tc>
        <w:tc>
          <w:tcPr>
            <w:tcW w:w="1164" w:type="dxa"/>
            <w:tcBorders>
              <w:top w:val="single" w:color="auto" w:sz="4" w:space="0"/>
              <w:left w:val="single" w:color="auto" w:sz="4" w:space="0"/>
              <w:bottom w:val="single" w:color="auto" w:sz="4" w:space="0"/>
              <w:right w:val="single" w:color="auto" w:sz="4" w:space="0"/>
            </w:tcBorders>
            <w:vAlign w:val="center"/>
          </w:tcPr>
          <w:p>
            <w:pPr>
              <w:ind w:firstLine="120" w:firstLineChars="5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lang w:val="en-US" w:eastAsia="zh-CN"/>
              </w:rPr>
              <w:t>刘沧锐</w:t>
            </w:r>
          </w:p>
        </w:tc>
        <w:tc>
          <w:tcPr>
            <w:tcW w:w="1689" w:type="dxa"/>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w:t>
            </w:r>
            <w:r>
              <w:rPr>
                <w:rFonts w:hint="eastAsia"/>
                <w:kern w:val="0"/>
                <w:sz w:val="24"/>
              </w:rPr>
              <w:t>加注散装汽油</w:t>
            </w:r>
            <w:r>
              <w:rPr>
                <w:kern w:val="0"/>
                <w:sz w:val="24"/>
              </w:rPr>
              <w:t>安全风险管控清单》见表</w:t>
            </w:r>
          </w:p>
          <w:p>
            <w:pPr>
              <w:rPr>
                <w:rFonts w:ascii="Times New Roman" w:hAnsi="Times New Roman" w:cs="Times New Roman"/>
                <w:kern w:val="0"/>
                <w:sz w:val="24"/>
                <w:szCs w:val="20"/>
              </w:rPr>
            </w:pPr>
            <w:r>
              <w:rPr>
                <w:rFonts w:hint="eastAsia"/>
                <w:kern w:val="0"/>
                <w:sz w:val="24"/>
              </w:rPr>
              <w:t>2-6</w:t>
            </w:r>
          </w:p>
        </w:tc>
      </w:tr>
    </w:tbl>
    <w:p>
      <w:pPr>
        <w:jc w:val="center"/>
        <w:rPr>
          <w:rFonts w:eastAsia="黑体"/>
          <w:kern w:val="0"/>
          <w:sz w:val="24"/>
        </w:rPr>
      </w:pPr>
      <w:r>
        <w:rPr>
          <w:rFonts w:eastAsia="楷体_GB2312"/>
          <w:kern w:val="0"/>
          <w:sz w:val="28"/>
          <w:szCs w:val="28"/>
        </w:rPr>
        <w:br w:type="page"/>
      </w:r>
      <w:r>
        <w:rPr>
          <w:rFonts w:hint="eastAsia" w:ascii="黑体" w:hAnsi="黑体" w:eastAsia="黑体" w:cs="黑体"/>
          <w:kern w:val="0"/>
          <w:sz w:val="32"/>
          <w:szCs w:val="32"/>
        </w:rPr>
        <w:t>2-2 加油站油罐重大安全风险管控清单</w:t>
      </w:r>
    </w:p>
    <w:tbl>
      <w:tblPr>
        <w:tblStyle w:val="19"/>
        <w:tblW w:w="15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660"/>
        <w:gridCol w:w="1186"/>
        <w:gridCol w:w="988"/>
        <w:gridCol w:w="2385"/>
        <w:gridCol w:w="235"/>
        <w:gridCol w:w="8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黑体" w:cs="Times New Roman"/>
                <w:sz w:val="24"/>
                <w:szCs w:val="20"/>
              </w:rPr>
            </w:pPr>
            <w:r>
              <w:rPr>
                <w:rFonts w:hint="eastAsia" w:ascii="Times New Roman" w:hAnsi="Times New Roman" w:eastAsia="黑体" w:cs="Times New Roman"/>
                <w:kern w:val="0"/>
                <w:sz w:val="24"/>
                <w:szCs w:val="20"/>
              </w:rPr>
              <w:t>风险点名称</w:t>
            </w:r>
          </w:p>
        </w:tc>
        <w:tc>
          <w:tcPr>
            <w:tcW w:w="217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仿宋" w:cs="Times New Roman"/>
                <w:sz w:val="24"/>
                <w:szCs w:val="20"/>
              </w:rPr>
            </w:pPr>
            <w:r>
              <w:rPr>
                <w:rFonts w:hint="eastAsia" w:ascii="Times New Roman" w:hAnsi="Times New Roman" w:eastAsia="仿宋" w:cs="Times New Roman"/>
                <w:kern w:val="0"/>
                <w:sz w:val="24"/>
                <w:szCs w:val="20"/>
              </w:rPr>
              <w:t>油罐</w:t>
            </w:r>
          </w:p>
        </w:tc>
        <w:tc>
          <w:tcPr>
            <w:tcW w:w="238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仿宋" w:cs="Times New Roman"/>
                <w:sz w:val="24"/>
                <w:szCs w:val="20"/>
              </w:rPr>
            </w:pPr>
            <w:r>
              <w:rPr>
                <w:rFonts w:hint="eastAsia" w:ascii="Times New Roman" w:hAnsi="Times New Roman" w:eastAsia="黑体" w:cs="Times New Roman"/>
                <w:kern w:val="0"/>
                <w:sz w:val="24"/>
                <w:szCs w:val="20"/>
              </w:rPr>
              <w:t>主要风险概述</w:t>
            </w:r>
          </w:p>
        </w:tc>
        <w:tc>
          <w:tcPr>
            <w:tcW w:w="9174"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跑、冒、滴、漏；静电接地失效引起火灾；工艺管线渗漏造成环境污染、火灾、爆炸；车辆自滑拉断管线造成跑油、伤人、火灾爆炸；未密闭卸油引起火灾爆炸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黑体" w:cs="Times New Roman"/>
                <w:sz w:val="24"/>
                <w:szCs w:val="20"/>
              </w:rPr>
            </w:pPr>
            <w:r>
              <w:rPr>
                <w:rFonts w:hint="eastAsia" w:ascii="Times New Roman" w:hAnsi="Times New Roman" w:eastAsia="黑体" w:cs="Times New Roman"/>
                <w:kern w:val="0"/>
                <w:sz w:val="24"/>
                <w:szCs w:val="20"/>
              </w:rPr>
              <w:t>风险点编号</w:t>
            </w:r>
          </w:p>
        </w:tc>
        <w:tc>
          <w:tcPr>
            <w:tcW w:w="217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仿宋" w:cs="Times New Roman"/>
                <w:sz w:val="24"/>
                <w:szCs w:val="20"/>
              </w:rPr>
            </w:pPr>
            <w:r>
              <w:rPr>
                <w:rFonts w:hint="eastAsia" w:ascii="Times New Roman" w:hAnsi="Times New Roman" w:eastAsia="仿宋" w:cs="Times New Roman"/>
                <w:kern w:val="0"/>
                <w:sz w:val="24"/>
                <w:szCs w:val="20"/>
              </w:rPr>
              <w:t>001</w:t>
            </w:r>
          </w:p>
        </w:tc>
        <w:tc>
          <w:tcPr>
            <w:tcW w:w="2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sz w:val="24"/>
                <w:szCs w:val="20"/>
              </w:rPr>
            </w:pPr>
          </w:p>
        </w:tc>
        <w:tc>
          <w:tcPr>
            <w:tcW w:w="91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黑体" w:cs="Times New Roman"/>
                <w:sz w:val="24"/>
                <w:szCs w:val="20"/>
              </w:rPr>
            </w:pPr>
            <w:r>
              <w:rPr>
                <w:rFonts w:hint="eastAsia" w:ascii="Times New Roman" w:hAnsi="Times New Roman" w:eastAsia="黑体" w:cs="Times New Roman"/>
                <w:kern w:val="0"/>
                <w:sz w:val="24"/>
                <w:szCs w:val="20"/>
              </w:rPr>
              <w:t>风险等级</w:t>
            </w:r>
          </w:p>
        </w:tc>
        <w:tc>
          <w:tcPr>
            <w:tcW w:w="217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仿宋" w:cs="Times New Roman"/>
                <w:sz w:val="24"/>
                <w:szCs w:val="20"/>
              </w:rPr>
            </w:pPr>
            <w:r>
              <w:rPr>
                <w:rFonts w:hint="eastAsia" w:ascii="Times New Roman" w:hAnsi="Times New Roman" w:eastAsia="仿宋" w:cs="Times New Roman"/>
                <w:kern w:val="0"/>
                <w:sz w:val="24"/>
                <w:szCs w:val="20"/>
              </w:rPr>
              <w:t>重大风险</w:t>
            </w:r>
          </w:p>
        </w:tc>
        <w:tc>
          <w:tcPr>
            <w:tcW w:w="2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sz w:val="24"/>
                <w:szCs w:val="20"/>
              </w:rPr>
            </w:pPr>
          </w:p>
        </w:tc>
        <w:tc>
          <w:tcPr>
            <w:tcW w:w="91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4"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关键控制指标</w:t>
            </w:r>
          </w:p>
        </w:tc>
        <w:tc>
          <w:tcPr>
            <w:tcW w:w="184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1、静电接地报警装置运行正常，跨接完好，无松动无变形。</w:t>
            </w:r>
          </w:p>
          <w:p>
            <w:pPr>
              <w:adjustRightInd w:val="0"/>
              <w:snapToGrid w:val="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2、防雷防静电完好，断接卡完好；</w:t>
            </w:r>
          </w:p>
          <w:p>
            <w:pPr>
              <w:adjustRightInd w:val="0"/>
              <w:snapToGrid w:val="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3、液位仪正常运行；</w:t>
            </w:r>
          </w:p>
          <w:p>
            <w:pPr>
              <w:adjustRightInd w:val="0"/>
              <w:snapToGrid w:val="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4、防渗漏监测正常运行；</w:t>
            </w:r>
          </w:p>
          <w:p>
            <w:pPr>
              <w:adjustRightInd w:val="0"/>
              <w:snapToGrid w:val="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5、消防器材完好在用</w:t>
            </w:r>
          </w:p>
        </w:tc>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关键管控措施</w:t>
            </w:r>
          </w:p>
        </w:tc>
        <w:tc>
          <w:tcPr>
            <w:tcW w:w="1155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firstLineChars="20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4"/>
                <w:szCs w:val="20"/>
              </w:rPr>
              <w:t>一、加油站：</w:t>
            </w:r>
          </w:p>
          <w:p>
            <w:pPr>
              <w:widowControl/>
              <w:adjustRightInd w:val="0"/>
              <w:snapToGrid w:val="0"/>
              <w:ind w:firstLine="360" w:firstLineChars="150"/>
              <w:textAlignment w:val="center"/>
              <w:rPr>
                <w:rStyle w:val="47"/>
                <w:rFonts w:hint="default" w:ascii="Times New Roman" w:hAnsi="Times New Roman" w:eastAsia="宋体" w:cs="Times New Roman"/>
                <w:kern w:val="0"/>
              </w:rPr>
            </w:pPr>
            <w:r>
              <w:rPr>
                <w:rFonts w:ascii="Times New Roman" w:hAnsi="Times New Roman" w:eastAsia="宋体" w:cs="Times New Roman"/>
                <w:kern w:val="0"/>
                <w:sz w:val="24"/>
                <w:szCs w:val="20"/>
              </w:rPr>
              <w:t xml:space="preserve"> 1</w:t>
            </w:r>
            <w:r>
              <w:rPr>
                <w:rStyle w:val="47"/>
                <w:rFonts w:hint="default" w:ascii="Times New Roman" w:hAnsi="Times New Roman" w:eastAsia="宋体" w:cs="Times New Roman"/>
                <w:kern w:val="0"/>
              </w:rPr>
              <w:t>.检查设备运行情况；</w:t>
            </w:r>
          </w:p>
          <w:p>
            <w:pPr>
              <w:widowControl/>
              <w:adjustRightInd w:val="0"/>
              <w:snapToGrid w:val="0"/>
              <w:ind w:firstLine="480" w:firstLineChars="200"/>
              <w:textAlignment w:val="center"/>
              <w:rPr>
                <w:rStyle w:val="42"/>
                <w:rFonts w:eastAsia="宋体"/>
                <w:kern w:val="0"/>
              </w:rPr>
            </w:pPr>
            <w:r>
              <w:rPr>
                <w:rStyle w:val="47"/>
                <w:rFonts w:hint="default" w:ascii="Times New Roman" w:hAnsi="Times New Roman" w:eastAsia="宋体" w:cs="Times New Roman"/>
                <w:kern w:val="0"/>
              </w:rPr>
              <w:t>2.</w:t>
            </w:r>
            <w:r>
              <w:rPr>
                <w:rFonts w:hint="eastAsia" w:ascii="Times New Roman" w:hAnsi="Times New Roman" w:eastAsia="宋体" w:cs="Times New Roman"/>
                <w:color w:val="000000"/>
                <w:kern w:val="0"/>
                <w:sz w:val="24"/>
                <w:szCs w:val="20"/>
              </w:rPr>
              <w:t>组织对油罐安全附件专项检查</w:t>
            </w:r>
            <w:r>
              <w:rPr>
                <w:rStyle w:val="47"/>
                <w:rFonts w:hint="default" w:ascii="Times New Roman" w:hAnsi="Times New Roman" w:eastAsia="宋体" w:cs="Times New Roman"/>
                <w:kern w:val="0"/>
              </w:rPr>
              <w:t>（4次/月）</w:t>
            </w:r>
            <w:r>
              <w:rPr>
                <w:rFonts w:hint="eastAsia" w:ascii="Times New Roman" w:hAnsi="Times New Roman" w:eastAsia="宋体" w:cs="Times New Roman"/>
                <w:color w:val="000000"/>
                <w:kern w:val="0"/>
                <w:sz w:val="24"/>
                <w:szCs w:val="20"/>
              </w:rPr>
              <w:t>；</w:t>
            </w:r>
          </w:p>
          <w:p>
            <w:pPr>
              <w:adjustRightInd w:val="0"/>
              <w:snapToGrid w:val="0"/>
              <w:ind w:firstLine="480" w:firstLineChars="200"/>
              <w:jc w:val="left"/>
              <w:rPr>
                <w:rStyle w:val="47"/>
                <w:rFonts w:hint="default" w:ascii="Times New Roman" w:hAnsi="Times New Roman" w:eastAsia="宋体" w:cs="Times New Roman"/>
                <w:kern w:val="0"/>
              </w:rPr>
            </w:pPr>
            <w:r>
              <w:rPr>
                <w:rStyle w:val="42"/>
                <w:rFonts w:eastAsia="宋体"/>
                <w:kern w:val="0"/>
              </w:rPr>
              <w:t>3</w:t>
            </w:r>
            <w:r>
              <w:rPr>
                <w:rStyle w:val="42"/>
                <w:rFonts w:hint="eastAsia" w:eastAsia="宋体"/>
                <w:kern w:val="0"/>
              </w:rPr>
              <w:t>.</w:t>
            </w:r>
            <w:r>
              <w:rPr>
                <w:rStyle w:val="47"/>
                <w:rFonts w:hint="default" w:ascii="Times New Roman" w:hAnsi="Times New Roman" w:eastAsia="宋体" w:cs="Times New Roman"/>
                <w:kern w:val="0"/>
              </w:rPr>
              <w:t>对消防器材进行检查（4次/月）；</w:t>
            </w:r>
          </w:p>
          <w:p>
            <w:pPr>
              <w:adjustRightInd w:val="0"/>
              <w:snapToGrid w:val="0"/>
              <w:ind w:firstLine="480" w:firstLineChars="200"/>
              <w:jc w:val="left"/>
              <w:rPr>
                <w:rStyle w:val="47"/>
                <w:rFonts w:hint="default" w:ascii="Times New Roman" w:hAnsi="Times New Roman" w:eastAsia="宋体" w:cs="Times New Roman"/>
                <w:kern w:val="0"/>
              </w:rPr>
            </w:pPr>
            <w:r>
              <w:rPr>
                <w:rStyle w:val="47"/>
                <w:rFonts w:hint="default" w:ascii="Times New Roman" w:hAnsi="Times New Roman" w:eastAsia="宋体" w:cs="Times New Roman"/>
                <w:kern w:val="0"/>
              </w:rPr>
              <w:t>4.对液位仪、防渗漏仪、通气管、阻火帽、PV阀等进行检查；</w:t>
            </w:r>
          </w:p>
          <w:p>
            <w:pPr>
              <w:adjustRightInd w:val="0"/>
              <w:snapToGrid w:val="0"/>
              <w:ind w:firstLine="480" w:firstLineChars="200"/>
              <w:jc w:val="left"/>
              <w:rPr>
                <w:rFonts w:ascii="Times New Roman" w:hAnsi="Times New Roman" w:eastAsia="宋体" w:cs="Times New Roman"/>
                <w:color w:val="000000"/>
                <w:kern w:val="0"/>
                <w:sz w:val="24"/>
                <w:szCs w:val="20"/>
              </w:rPr>
            </w:pPr>
            <w:r>
              <w:rPr>
                <w:rStyle w:val="47"/>
                <w:rFonts w:hint="default" w:ascii="Times New Roman" w:hAnsi="Times New Roman" w:eastAsia="宋体" w:cs="Times New Roman"/>
                <w:kern w:val="0"/>
              </w:rPr>
              <w:t>5.上报</w:t>
            </w:r>
            <w:r>
              <w:rPr>
                <w:rFonts w:hint="eastAsia" w:ascii="Times New Roman" w:hAnsi="Times New Roman" w:eastAsia="宋体" w:cs="Times New Roman"/>
                <w:color w:val="000000"/>
                <w:kern w:val="0"/>
                <w:sz w:val="24"/>
                <w:szCs w:val="20"/>
              </w:rPr>
              <w:t>可燃气体检测报警系统进行检定（1次</w:t>
            </w:r>
            <w:r>
              <w:rPr>
                <w:rFonts w:ascii="Times New Roman" w:hAnsi="Times New Roman" w:eastAsia="宋体" w:cs="Times New Roman"/>
                <w:color w:val="000000"/>
                <w:kern w:val="0"/>
                <w:sz w:val="24"/>
                <w:szCs w:val="20"/>
              </w:rPr>
              <w:t>/</w:t>
            </w:r>
            <w:r>
              <w:rPr>
                <w:rFonts w:hint="eastAsia" w:ascii="Times New Roman" w:hAnsi="Times New Roman" w:eastAsia="宋体" w:cs="Times New Roman"/>
                <w:color w:val="000000"/>
                <w:kern w:val="0"/>
                <w:sz w:val="24"/>
                <w:szCs w:val="20"/>
              </w:rPr>
              <w:t>年）</w:t>
            </w:r>
          </w:p>
          <w:p>
            <w:pPr>
              <w:adjustRightInd w:val="0"/>
              <w:snapToGrid w:val="0"/>
              <w:ind w:firstLine="480" w:firstLineChars="200"/>
              <w:jc w:val="left"/>
              <w:rPr>
                <w:rFonts w:ascii="Times New Roman" w:hAnsi="Times New Roman" w:eastAsia="宋体" w:cs="Times New Roman"/>
                <w:color w:val="000000"/>
                <w:kern w:val="0"/>
                <w:sz w:val="24"/>
                <w:szCs w:val="20"/>
              </w:rPr>
            </w:pPr>
            <w:r>
              <w:rPr>
                <w:rFonts w:hint="eastAsia" w:ascii="Times New Roman" w:hAnsi="Times New Roman" w:eastAsia="宋体" w:cs="Times New Roman"/>
                <w:color w:val="000000"/>
                <w:kern w:val="0"/>
                <w:sz w:val="24"/>
                <w:szCs w:val="20"/>
              </w:rPr>
              <w:t>二、管理人员级:</w:t>
            </w:r>
          </w:p>
          <w:p>
            <w:pPr>
              <w:adjustRightInd w:val="0"/>
              <w:snapToGrid w:val="0"/>
              <w:ind w:firstLine="480" w:firstLineChars="200"/>
              <w:jc w:val="left"/>
              <w:rPr>
                <w:rFonts w:ascii="Times New Roman" w:hAnsi="Times New Roman" w:eastAsia="宋体" w:cs="Times New Roman"/>
                <w:color w:val="000000"/>
                <w:kern w:val="0"/>
                <w:sz w:val="24"/>
                <w:szCs w:val="20"/>
              </w:rPr>
            </w:pPr>
            <w:r>
              <w:rPr>
                <w:rFonts w:hint="eastAsia" w:ascii="Times New Roman" w:hAnsi="Times New Roman" w:eastAsia="宋体" w:cs="Times New Roman"/>
                <w:color w:val="000000"/>
                <w:kern w:val="0"/>
                <w:sz w:val="24"/>
                <w:szCs w:val="20"/>
              </w:rPr>
              <w:t>1.组织员工进行安全巡检；</w:t>
            </w:r>
          </w:p>
          <w:p>
            <w:pPr>
              <w:adjustRightInd w:val="0"/>
              <w:snapToGrid w:val="0"/>
              <w:ind w:firstLine="480" w:firstLineChars="200"/>
              <w:jc w:val="left"/>
              <w:rPr>
                <w:rFonts w:ascii="Times New Roman" w:hAnsi="Times New Roman" w:eastAsia="宋体" w:cs="Times New Roman"/>
                <w:color w:val="000000"/>
                <w:kern w:val="0"/>
                <w:sz w:val="24"/>
                <w:szCs w:val="20"/>
              </w:rPr>
            </w:pPr>
            <w:r>
              <w:rPr>
                <w:rFonts w:hint="eastAsia" w:ascii="Times New Roman" w:hAnsi="Times New Roman" w:eastAsia="宋体" w:cs="Times New Roman"/>
                <w:color w:val="000000"/>
                <w:kern w:val="0"/>
                <w:sz w:val="24"/>
                <w:szCs w:val="20"/>
              </w:rPr>
              <w:t>2.定期对设备设施进行检查；</w:t>
            </w:r>
          </w:p>
          <w:p>
            <w:pPr>
              <w:adjustRightInd w:val="0"/>
              <w:snapToGrid w:val="0"/>
              <w:ind w:firstLine="480" w:firstLineChars="200"/>
              <w:jc w:val="left"/>
              <w:rPr>
                <w:rFonts w:ascii="Times New Roman" w:hAnsi="Times New Roman" w:eastAsia="宋体" w:cs="Times New Roman"/>
                <w:color w:val="000000"/>
                <w:kern w:val="0"/>
                <w:sz w:val="24"/>
                <w:szCs w:val="20"/>
              </w:rPr>
            </w:pPr>
            <w:r>
              <w:rPr>
                <w:rFonts w:hint="eastAsia" w:ascii="Times New Roman" w:hAnsi="Times New Roman" w:eastAsia="宋体" w:cs="Times New Roman"/>
                <w:color w:val="000000"/>
                <w:kern w:val="0"/>
                <w:sz w:val="24"/>
                <w:szCs w:val="20"/>
              </w:rPr>
              <w:t>3.对关键设备定期送检</w:t>
            </w:r>
          </w:p>
          <w:p>
            <w:pPr>
              <w:adjustRightInd w:val="0"/>
              <w:snapToGrid w:val="0"/>
              <w:ind w:firstLine="48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4"/>
                <w:szCs w:val="20"/>
              </w:rPr>
              <w:t>三、班组级：</w:t>
            </w:r>
          </w:p>
          <w:p>
            <w:pPr>
              <w:adjustRightInd w:val="0"/>
              <w:snapToGrid w:val="0"/>
              <w:ind w:firstLine="480"/>
              <w:jc w:val="left"/>
              <w:rPr>
                <w:rStyle w:val="47"/>
                <w:rFonts w:hint="default" w:ascii="Times New Roman" w:hAnsi="Times New Roman" w:eastAsia="宋体" w:cs="Times New Roman"/>
                <w:kern w:val="0"/>
              </w:rPr>
            </w:pPr>
            <w:r>
              <w:rPr>
                <w:rFonts w:ascii="Times New Roman" w:hAnsi="Times New Roman" w:eastAsia="宋体" w:cs="Times New Roman"/>
                <w:kern w:val="0"/>
                <w:sz w:val="24"/>
                <w:szCs w:val="20"/>
              </w:rPr>
              <w:t>1</w:t>
            </w:r>
            <w:r>
              <w:rPr>
                <w:rStyle w:val="47"/>
                <w:rFonts w:hint="default" w:ascii="Times New Roman" w:hAnsi="Times New Roman" w:eastAsia="宋体" w:cs="Times New Roman"/>
                <w:kern w:val="0"/>
              </w:rPr>
              <w:t>.每天定期进行巡查；</w:t>
            </w:r>
          </w:p>
          <w:p>
            <w:pPr>
              <w:adjustRightInd w:val="0"/>
              <w:snapToGrid w:val="0"/>
              <w:ind w:firstLine="480"/>
              <w:jc w:val="left"/>
              <w:rPr>
                <w:rStyle w:val="47"/>
                <w:rFonts w:hint="default" w:ascii="Times New Roman" w:hAnsi="Times New Roman" w:eastAsia="宋体" w:cs="Times New Roman"/>
                <w:kern w:val="0"/>
              </w:rPr>
            </w:pPr>
            <w:r>
              <w:rPr>
                <w:rStyle w:val="47"/>
                <w:rFonts w:hint="default" w:ascii="Times New Roman" w:hAnsi="Times New Roman" w:eastAsia="宋体" w:cs="Times New Roman"/>
                <w:kern w:val="0"/>
              </w:rPr>
              <w:t>2.确保</w:t>
            </w:r>
            <w:r>
              <w:rPr>
                <w:rStyle w:val="42"/>
                <w:rFonts w:hint="eastAsia" w:eastAsia="宋体"/>
                <w:kern w:val="0"/>
              </w:rPr>
              <w:t>静电接地装置完好在用</w:t>
            </w:r>
            <w:r>
              <w:rPr>
                <w:rStyle w:val="47"/>
                <w:rFonts w:hint="default" w:ascii="Times New Roman" w:hAnsi="Times New Roman" w:eastAsia="宋体" w:cs="Times New Roman"/>
                <w:kern w:val="0"/>
              </w:rPr>
              <w:t>；</w:t>
            </w:r>
          </w:p>
          <w:p>
            <w:pPr>
              <w:adjustRightInd w:val="0"/>
              <w:snapToGrid w:val="0"/>
              <w:ind w:firstLine="480"/>
              <w:jc w:val="left"/>
              <w:rPr>
                <w:rStyle w:val="47"/>
                <w:rFonts w:hint="default" w:ascii="Times New Roman" w:hAnsi="Times New Roman" w:eastAsia="宋体" w:cs="Times New Roman"/>
                <w:kern w:val="0"/>
              </w:rPr>
            </w:pPr>
            <w:r>
              <w:rPr>
                <w:rStyle w:val="47"/>
                <w:rFonts w:hint="default" w:ascii="Times New Roman" w:hAnsi="Times New Roman" w:eastAsia="宋体" w:cs="Times New Roman"/>
                <w:kern w:val="0"/>
              </w:rPr>
              <w:t>3.确保防雷防静电完好在用</w:t>
            </w:r>
          </w:p>
          <w:p>
            <w:pPr>
              <w:adjustRightInd w:val="0"/>
              <w:snapToGrid w:val="0"/>
              <w:ind w:firstLine="480"/>
              <w:jc w:val="left"/>
              <w:rPr>
                <w:rFonts w:ascii="Times New Roman" w:hAnsi="Times New Roman" w:eastAsia="宋体" w:cs="Times New Roman"/>
                <w:color w:val="000000"/>
                <w:kern w:val="0"/>
                <w:sz w:val="24"/>
                <w:szCs w:val="24"/>
              </w:rPr>
            </w:pPr>
            <w:r>
              <w:rPr>
                <w:rStyle w:val="47"/>
                <w:rFonts w:hint="default" w:ascii="Times New Roman" w:hAnsi="Times New Roman" w:eastAsia="宋体" w:cs="Times New Roman"/>
                <w:kern w:val="0"/>
              </w:rPr>
              <w:t>4.确保消防器材完好在用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exact"/>
          <w:jc w:val="center"/>
        </w:trPr>
        <w:tc>
          <w:tcPr>
            <w:tcW w:w="152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责任人</w:t>
            </w:r>
          </w:p>
        </w:tc>
        <w:tc>
          <w:tcPr>
            <w:tcW w:w="184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加油站级</w:t>
            </w:r>
          </w:p>
        </w:tc>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kern w:val="0"/>
                <w:sz w:val="24"/>
                <w:szCs w:val="20"/>
                <w:lang w:val="en-US" w:eastAsia="zh-CN"/>
              </w:rPr>
              <w:t>刘沧锐</w:t>
            </w:r>
          </w:p>
        </w:tc>
        <w:tc>
          <w:tcPr>
            <w:tcW w:w="26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主要事故类型</w:t>
            </w:r>
          </w:p>
        </w:tc>
        <w:tc>
          <w:tcPr>
            <w:tcW w:w="893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left"/>
              <w:rPr>
                <w:rFonts w:ascii="Times New Roman" w:hAnsi="Times New Roman" w:eastAsia="宋体" w:cs="Times New Roman"/>
                <w:sz w:val="24"/>
                <w:szCs w:val="20"/>
              </w:rPr>
            </w:pPr>
            <w:r>
              <w:rPr>
                <w:rFonts w:hint="eastAsia" w:ascii="Times New Roman" w:hAnsi="Times New Roman" w:eastAsia="宋体" w:cs="Times New Roman"/>
                <w:kern w:val="0"/>
                <w:sz w:val="24"/>
                <w:szCs w:val="20"/>
              </w:rPr>
              <w:t>火灾、爆炸事故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exact"/>
          <w:jc w:val="center"/>
        </w:trPr>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4"/>
                <w:szCs w:val="20"/>
              </w:rPr>
            </w:pPr>
          </w:p>
        </w:tc>
        <w:tc>
          <w:tcPr>
            <w:tcW w:w="184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24"/>
                <w:szCs w:val="20"/>
              </w:rPr>
            </w:pPr>
            <w:r>
              <w:rPr>
                <w:rFonts w:hint="eastAsia" w:ascii="Times New Roman" w:hAnsi="Times New Roman" w:eastAsia="宋体" w:cs="Times New Roman"/>
                <w:kern w:val="0"/>
                <w:sz w:val="24"/>
                <w:szCs w:val="20"/>
              </w:rPr>
              <w:t>管理人员级</w:t>
            </w:r>
          </w:p>
        </w:tc>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24"/>
                <w:szCs w:val="20"/>
              </w:rPr>
            </w:pPr>
            <w:r>
              <w:rPr>
                <w:rFonts w:hint="eastAsia" w:ascii="Times New Roman" w:hAnsi="Times New Roman" w:eastAsia="宋体" w:cs="Times New Roman"/>
                <w:kern w:val="0"/>
                <w:sz w:val="24"/>
                <w:szCs w:val="20"/>
                <w:lang w:val="en-US" w:eastAsia="zh-CN"/>
              </w:rPr>
              <w:t>刘沧锐</w:t>
            </w:r>
          </w:p>
        </w:tc>
        <w:tc>
          <w:tcPr>
            <w:tcW w:w="2620"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应急处置措施</w:t>
            </w:r>
          </w:p>
        </w:tc>
        <w:tc>
          <w:tcPr>
            <w:tcW w:w="893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left"/>
              <w:rPr>
                <w:rFonts w:ascii="Times New Roman" w:hAnsi="Times New Roman" w:eastAsia="宋体" w:cs="Times New Roman"/>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疏散罐区周边人员，对事故现场实施隔离和警戒；</w:t>
            </w:r>
          </w:p>
          <w:p>
            <w:pPr>
              <w:adjustRightInd w:val="0"/>
              <w:snapToGrid w:val="0"/>
              <w:ind w:firstLine="480"/>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对受伤人员及时组织救援，拨打</w:t>
            </w:r>
            <w:r>
              <w:rPr>
                <w:rFonts w:ascii="Times New Roman" w:hAnsi="Times New Roman" w:eastAsia="宋体" w:cs="Times New Roman"/>
                <w:kern w:val="0"/>
                <w:sz w:val="24"/>
                <w:szCs w:val="20"/>
              </w:rPr>
              <w:t>120</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119</w:t>
            </w:r>
            <w:r>
              <w:rPr>
                <w:rFonts w:hint="eastAsia" w:ascii="Times New Roman" w:hAnsi="Times New Roman" w:eastAsia="宋体" w:cs="Times New Roman"/>
                <w:kern w:val="0"/>
                <w:sz w:val="24"/>
                <w:szCs w:val="20"/>
              </w:rPr>
              <w:t>及</w:t>
            </w:r>
            <w:r>
              <w:rPr>
                <w:rFonts w:ascii="Times New Roman" w:hAnsi="Times New Roman" w:eastAsia="宋体" w:cs="Times New Roman"/>
                <w:kern w:val="0"/>
                <w:sz w:val="24"/>
                <w:szCs w:val="20"/>
              </w:rPr>
              <w:t>110</w:t>
            </w:r>
            <w:r>
              <w:rPr>
                <w:rFonts w:hint="eastAsia" w:ascii="Times New Roman" w:hAnsi="Times New Roman" w:eastAsia="宋体" w:cs="Times New Roman"/>
                <w:kern w:val="0"/>
                <w:sz w:val="24"/>
                <w:szCs w:val="20"/>
              </w:rPr>
              <w:t>求救；</w:t>
            </w:r>
          </w:p>
          <w:p>
            <w:pPr>
              <w:adjustRightInd w:val="0"/>
              <w:snapToGrid w:val="0"/>
              <w:ind w:firstLine="480"/>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事故发现人员立即根据应急预案进行处置并按要求上报；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exact"/>
          <w:jc w:val="center"/>
        </w:trPr>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4"/>
                <w:szCs w:val="20"/>
              </w:rPr>
            </w:pPr>
          </w:p>
        </w:tc>
        <w:tc>
          <w:tcPr>
            <w:tcW w:w="184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24"/>
                <w:szCs w:val="20"/>
              </w:rPr>
            </w:pPr>
            <w:r>
              <w:rPr>
                <w:rFonts w:hint="eastAsia" w:ascii="Times New Roman" w:hAnsi="Times New Roman" w:eastAsia="宋体" w:cs="Times New Roman"/>
                <w:kern w:val="0"/>
                <w:sz w:val="24"/>
                <w:szCs w:val="20"/>
              </w:rPr>
              <w:t>班组级</w:t>
            </w:r>
          </w:p>
        </w:tc>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sz w:val="24"/>
                <w:szCs w:val="20"/>
                <w:lang w:val="en-US" w:eastAsia="zh-CN"/>
              </w:rPr>
            </w:pPr>
            <w:r>
              <w:rPr>
                <w:rFonts w:hint="eastAsia" w:hAnsi="Times New Roman" w:eastAsia="宋体" w:cs="Times New Roman"/>
                <w:kern w:val="0"/>
                <w:sz w:val="18"/>
                <w:szCs w:val="18"/>
                <w:lang w:val="en-US" w:eastAsia="zh-CN"/>
              </w:rPr>
              <w:t>刘波、母小菊</w:t>
            </w:r>
          </w:p>
        </w:tc>
        <w:tc>
          <w:tcPr>
            <w:tcW w:w="26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4"/>
                <w:szCs w:val="20"/>
              </w:rPr>
            </w:pPr>
          </w:p>
        </w:tc>
        <w:tc>
          <w:tcPr>
            <w:tcW w:w="8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4"/>
                <w:szCs w:val="20"/>
              </w:rPr>
            </w:pPr>
          </w:p>
        </w:tc>
      </w:tr>
    </w:tbl>
    <w:p>
      <w:pPr>
        <w:jc w:val="center"/>
        <w:rPr>
          <w:rFonts w:ascii="黑体" w:hAnsi="黑体" w:eastAsia="黑体" w:cs="黑体"/>
          <w:kern w:val="0"/>
          <w:sz w:val="32"/>
          <w:szCs w:val="32"/>
        </w:rPr>
      </w:pPr>
    </w:p>
    <w:p>
      <w:pPr>
        <w:jc w:val="center"/>
        <w:rPr>
          <w:rFonts w:ascii="黑体" w:hAnsi="黑体" w:eastAsia="黑体" w:cs="黑体"/>
          <w:kern w:val="0"/>
          <w:sz w:val="32"/>
          <w:szCs w:val="32"/>
        </w:rPr>
      </w:pPr>
    </w:p>
    <w:p>
      <w:pPr>
        <w:jc w:val="center"/>
        <w:rPr>
          <w:rFonts w:ascii="黑体" w:hAnsi="黑体" w:eastAsia="黑体" w:cs="黑体"/>
          <w:kern w:val="0"/>
          <w:sz w:val="32"/>
          <w:szCs w:val="32"/>
        </w:rPr>
      </w:pPr>
    </w:p>
    <w:p>
      <w:pPr>
        <w:jc w:val="center"/>
        <w:rPr>
          <w:rFonts w:ascii="黑体" w:hAnsi="黑体" w:eastAsia="黑体" w:cs="黑体"/>
          <w:kern w:val="0"/>
          <w:sz w:val="32"/>
          <w:szCs w:val="32"/>
        </w:rPr>
      </w:pPr>
    </w:p>
    <w:p>
      <w:pPr>
        <w:jc w:val="center"/>
        <w:rPr>
          <w:rFonts w:ascii="黑体" w:hAnsi="黑体" w:eastAsia="黑体" w:cs="黑体"/>
          <w:kern w:val="0"/>
          <w:sz w:val="32"/>
          <w:szCs w:val="32"/>
        </w:rPr>
      </w:pPr>
    </w:p>
    <w:p>
      <w:pPr>
        <w:jc w:val="center"/>
        <w:rPr>
          <w:rFonts w:ascii="黑体" w:hAnsi="黑体" w:eastAsia="黑体" w:cs="黑体"/>
          <w:kern w:val="0"/>
          <w:sz w:val="32"/>
          <w:szCs w:val="32"/>
        </w:rPr>
      </w:pPr>
      <w:r>
        <w:rPr>
          <w:rFonts w:hint="eastAsia" w:ascii="黑体" w:hAnsi="黑体" w:eastAsia="黑体" w:cs="黑体"/>
          <w:kern w:val="0"/>
          <w:sz w:val="32"/>
          <w:szCs w:val="32"/>
        </w:rPr>
        <w:t>2-3 加油站现场重大安全风险管控清单</w:t>
      </w:r>
    </w:p>
    <w:tbl>
      <w:tblPr>
        <w:tblStyle w:val="19"/>
        <w:tblW w:w="15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57"/>
        <w:gridCol w:w="1183"/>
        <w:gridCol w:w="1140"/>
        <w:gridCol w:w="2221"/>
        <w:gridCol w:w="235"/>
        <w:gridCol w:w="8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风险点名称</w:t>
            </w:r>
          </w:p>
        </w:tc>
        <w:tc>
          <w:tcPr>
            <w:tcW w:w="232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加油作业区</w:t>
            </w:r>
          </w:p>
        </w:tc>
        <w:tc>
          <w:tcPr>
            <w:tcW w:w="22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主要风险概述</w:t>
            </w:r>
          </w:p>
        </w:tc>
        <w:tc>
          <w:tcPr>
            <w:tcW w:w="9196"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left"/>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加油作业操作不正确导致油品跑、冒，或者产生静电引发火灾爆炸事件；拉断加油机而引发事故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风险点编号</w:t>
            </w:r>
          </w:p>
        </w:tc>
        <w:tc>
          <w:tcPr>
            <w:tcW w:w="232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002</w:t>
            </w:r>
          </w:p>
        </w:tc>
        <w:tc>
          <w:tcPr>
            <w:tcW w:w="22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4"/>
                <w:szCs w:val="20"/>
              </w:rPr>
            </w:pPr>
          </w:p>
        </w:tc>
        <w:tc>
          <w:tcPr>
            <w:tcW w:w="919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风险等级</w:t>
            </w:r>
          </w:p>
        </w:tc>
        <w:tc>
          <w:tcPr>
            <w:tcW w:w="232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重大风险</w:t>
            </w:r>
          </w:p>
        </w:tc>
        <w:tc>
          <w:tcPr>
            <w:tcW w:w="22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4"/>
                <w:szCs w:val="20"/>
              </w:rPr>
            </w:pPr>
          </w:p>
        </w:tc>
        <w:tc>
          <w:tcPr>
            <w:tcW w:w="919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8"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关键控制指标</w:t>
            </w:r>
          </w:p>
        </w:tc>
        <w:tc>
          <w:tcPr>
            <w:tcW w:w="18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24"/>
                <w:szCs w:val="20"/>
              </w:rPr>
            </w:pPr>
            <w:r>
              <w:rPr>
                <w:rStyle w:val="42"/>
                <w:rFonts w:eastAsia="宋体"/>
                <w:kern w:val="0"/>
              </w:rPr>
              <w:t>1.</w:t>
            </w:r>
            <w:r>
              <w:rPr>
                <w:rStyle w:val="42"/>
                <w:rFonts w:hint="eastAsia" w:eastAsia="宋体"/>
                <w:kern w:val="0"/>
              </w:rPr>
              <w:t>加油机及附件完好</w:t>
            </w:r>
          </w:p>
          <w:p>
            <w:pPr>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加油管线完好；</w:t>
            </w:r>
          </w:p>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3、加油机油气回收装置完好；</w:t>
            </w:r>
          </w:p>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4、防雷防静电完好；</w:t>
            </w:r>
          </w:p>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5、静电跨接完好；</w:t>
            </w:r>
          </w:p>
          <w:p>
            <w:pP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6、加油员按操作流程进行操作</w:t>
            </w:r>
          </w:p>
          <w:p>
            <w:pPr>
              <w:adjustRightInd w:val="0"/>
              <w:snapToGrid w:val="0"/>
              <w:rPr>
                <w:rFonts w:ascii="Times New Roman" w:hAnsi="Times New Roman" w:eastAsia="宋体" w:cs="Times New Roman"/>
                <w:sz w:val="24"/>
                <w:szCs w:val="20"/>
              </w:rPr>
            </w:pPr>
            <w:r>
              <w:rPr>
                <w:rFonts w:hint="eastAsia" w:ascii="Times New Roman" w:hAnsi="Times New Roman" w:eastAsia="宋体" w:cs="Times New Roman"/>
                <w:sz w:val="24"/>
                <w:szCs w:val="20"/>
              </w:rPr>
              <w:t>7、极端天气暂停加油</w:t>
            </w:r>
          </w:p>
        </w:tc>
        <w:tc>
          <w:tcPr>
            <w:tcW w:w="114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关键管控措施</w:t>
            </w:r>
          </w:p>
        </w:tc>
        <w:tc>
          <w:tcPr>
            <w:tcW w:w="11417" w:type="dxa"/>
            <w:gridSpan w:val="3"/>
            <w:tcBorders>
              <w:top w:val="single" w:color="auto" w:sz="4" w:space="0"/>
              <w:left w:val="single" w:color="auto" w:sz="4" w:space="0"/>
              <w:bottom w:val="single" w:color="auto" w:sz="4" w:space="0"/>
              <w:right w:val="single" w:color="auto" w:sz="4" w:space="0"/>
            </w:tcBorders>
            <w:vAlign w:val="center"/>
          </w:tcPr>
          <w:p>
            <w:pPr>
              <w:ind w:firstLine="480"/>
              <w:jc w:val="left"/>
              <w:rPr>
                <w:rFonts w:ascii="Times New Roman" w:hAnsi="Times New Roman" w:eastAsia="宋体" w:cs="Times New Roman"/>
                <w:sz w:val="24"/>
                <w:szCs w:val="20"/>
              </w:rPr>
            </w:pPr>
            <w:r>
              <w:rPr>
                <w:rFonts w:hint="eastAsia" w:ascii="Times New Roman" w:hAnsi="Times New Roman" w:eastAsia="宋体" w:cs="Times New Roman"/>
                <w:kern w:val="0"/>
                <w:sz w:val="24"/>
                <w:szCs w:val="20"/>
              </w:rPr>
              <w:t>一、加油站级：</w:t>
            </w:r>
          </w:p>
          <w:p>
            <w:pPr>
              <w:widowControl/>
              <w:ind w:firstLine="480"/>
              <w:textAlignment w:val="center"/>
              <w:rPr>
                <w:rStyle w:val="47"/>
                <w:rFonts w:hint="default" w:ascii="Times New Roman" w:hAnsi="Times New Roman" w:eastAsia="宋体" w:cs="Times New Roman"/>
                <w:kern w:val="0"/>
              </w:rPr>
            </w:pPr>
            <w:r>
              <w:rPr>
                <w:rFonts w:ascii="Times New Roman" w:hAnsi="Times New Roman" w:eastAsia="宋体" w:cs="Times New Roman"/>
                <w:kern w:val="0"/>
                <w:sz w:val="24"/>
                <w:szCs w:val="20"/>
              </w:rPr>
              <w:t>1</w:t>
            </w:r>
            <w:r>
              <w:rPr>
                <w:rStyle w:val="47"/>
                <w:rFonts w:hint="default" w:ascii="Times New Roman" w:hAnsi="Times New Roman" w:eastAsia="宋体" w:cs="Times New Roman"/>
                <w:kern w:val="0"/>
              </w:rPr>
              <w:t>.定期对加油机及其附件进行检查</w:t>
            </w:r>
            <w:r>
              <w:rPr>
                <w:rFonts w:hint="eastAsia" w:ascii="Times New Roman" w:hAnsi="Times New Roman" w:eastAsia="宋体" w:cs="Times New Roman"/>
                <w:color w:val="000000"/>
                <w:kern w:val="0"/>
                <w:sz w:val="24"/>
                <w:szCs w:val="20"/>
              </w:rPr>
              <w:t>；</w:t>
            </w:r>
          </w:p>
          <w:p>
            <w:pPr>
              <w:ind w:firstLine="480" w:firstLineChars="200"/>
              <w:jc w:val="left"/>
              <w:rPr>
                <w:rStyle w:val="47"/>
                <w:rFonts w:hint="default" w:ascii="Times New Roman" w:hAnsi="Times New Roman" w:eastAsia="宋体" w:cs="Times New Roman"/>
                <w:kern w:val="0"/>
              </w:rPr>
            </w:pPr>
            <w:r>
              <w:rPr>
                <w:rStyle w:val="47"/>
                <w:rFonts w:hint="default" w:ascii="Times New Roman" w:hAnsi="Times New Roman" w:eastAsia="宋体" w:cs="Times New Roman"/>
                <w:kern w:val="0"/>
              </w:rPr>
              <w:t>2.配合技术监督局对加油机进行检定（1次/季度）;配合片区对加油机进行自校（1次/月）</w:t>
            </w:r>
          </w:p>
          <w:p>
            <w:pPr>
              <w:ind w:firstLine="48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4"/>
                <w:szCs w:val="20"/>
              </w:rPr>
              <w:t>二、管理人员级：</w:t>
            </w:r>
          </w:p>
          <w:p>
            <w:pPr>
              <w:widowControl/>
              <w:ind w:firstLine="480"/>
              <w:textAlignment w:val="center"/>
              <w:rPr>
                <w:rStyle w:val="47"/>
                <w:rFonts w:hint="default" w:ascii="Times New Roman" w:hAnsi="Times New Roman" w:eastAsia="宋体" w:cs="Times New Roman"/>
                <w:kern w:val="0"/>
              </w:rPr>
            </w:pPr>
            <w:r>
              <w:rPr>
                <w:rFonts w:ascii="Times New Roman" w:hAnsi="Times New Roman" w:eastAsia="宋体" w:cs="Times New Roman"/>
                <w:kern w:val="0"/>
                <w:sz w:val="24"/>
                <w:szCs w:val="20"/>
              </w:rPr>
              <w:t>1.</w:t>
            </w:r>
            <w:r>
              <w:rPr>
                <w:rStyle w:val="47"/>
                <w:rFonts w:hint="default" w:ascii="Times New Roman" w:hAnsi="Times New Roman" w:eastAsia="宋体" w:cs="Times New Roman"/>
                <w:kern w:val="0"/>
              </w:rPr>
              <w:t>检查加油胶管完好；</w:t>
            </w:r>
          </w:p>
          <w:p>
            <w:pPr>
              <w:widowControl/>
              <w:ind w:firstLine="480" w:firstLineChars="200"/>
              <w:textAlignment w:val="center"/>
              <w:rPr>
                <w:rFonts w:ascii="Times New Roman" w:hAnsi="Times New Roman" w:eastAsia="宋体" w:cs="Times New Roman"/>
                <w:color w:val="000000"/>
                <w:kern w:val="0"/>
                <w:sz w:val="24"/>
                <w:szCs w:val="20"/>
              </w:rPr>
            </w:pPr>
            <w:r>
              <w:rPr>
                <w:rStyle w:val="47"/>
                <w:rFonts w:hint="default" w:ascii="Times New Roman" w:hAnsi="Times New Roman" w:eastAsia="宋体" w:cs="Times New Roman"/>
                <w:kern w:val="0"/>
              </w:rPr>
              <w:t>2.</w:t>
            </w:r>
            <w:r>
              <w:rPr>
                <w:rFonts w:hint="eastAsia" w:ascii="Times New Roman" w:hAnsi="Times New Roman" w:eastAsia="宋体" w:cs="Times New Roman"/>
                <w:color w:val="000000"/>
                <w:kern w:val="0"/>
                <w:sz w:val="24"/>
                <w:szCs w:val="20"/>
              </w:rPr>
              <w:t>组织安全附件专项检查（1次</w:t>
            </w:r>
            <w:r>
              <w:rPr>
                <w:rFonts w:ascii="Times New Roman" w:hAnsi="Times New Roman" w:eastAsia="宋体" w:cs="Times New Roman"/>
                <w:color w:val="000000"/>
                <w:kern w:val="0"/>
                <w:sz w:val="24"/>
                <w:szCs w:val="20"/>
              </w:rPr>
              <w:t>/</w:t>
            </w:r>
            <w:r>
              <w:rPr>
                <w:rFonts w:hint="eastAsia" w:ascii="Times New Roman" w:hAnsi="Times New Roman" w:eastAsia="宋体" w:cs="Times New Roman"/>
                <w:color w:val="000000"/>
                <w:kern w:val="0"/>
                <w:sz w:val="24"/>
                <w:szCs w:val="20"/>
              </w:rPr>
              <w:t>周）；</w:t>
            </w:r>
          </w:p>
          <w:p>
            <w:pPr>
              <w:widowControl/>
              <w:ind w:firstLine="480" w:firstLineChars="200"/>
              <w:textAlignment w:val="center"/>
              <w:rPr>
                <w:rStyle w:val="42"/>
                <w:rFonts w:eastAsia="宋体"/>
                <w:kern w:val="0"/>
              </w:rPr>
            </w:pPr>
            <w:r>
              <w:rPr>
                <w:rFonts w:hint="eastAsia" w:ascii="Times New Roman" w:hAnsi="Times New Roman" w:eastAsia="宋体" w:cs="Times New Roman"/>
                <w:color w:val="000000"/>
                <w:kern w:val="0"/>
                <w:sz w:val="24"/>
                <w:szCs w:val="20"/>
              </w:rPr>
              <w:t>3、加油机无渗漏</w:t>
            </w:r>
          </w:p>
          <w:p>
            <w:pPr>
              <w:ind w:firstLine="48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4"/>
                <w:szCs w:val="20"/>
              </w:rPr>
              <w:t>三、班组级：</w:t>
            </w:r>
          </w:p>
          <w:p>
            <w:pPr>
              <w:ind w:firstLine="480"/>
              <w:jc w:val="left"/>
              <w:rPr>
                <w:rStyle w:val="47"/>
                <w:rFonts w:hint="default" w:ascii="Times New Roman" w:hAnsi="Times New Roman" w:eastAsia="宋体" w:cs="Times New Roman"/>
                <w:kern w:val="0"/>
              </w:rPr>
            </w:pPr>
            <w:r>
              <w:rPr>
                <w:rStyle w:val="47"/>
                <w:rFonts w:hint="default" w:ascii="Times New Roman" w:hAnsi="Times New Roman" w:eastAsia="宋体" w:cs="Times New Roman"/>
                <w:kern w:val="0"/>
              </w:rPr>
              <w:t>1.每天交接班对加油机及附件进行检查</w:t>
            </w:r>
          </w:p>
          <w:p>
            <w:pPr>
              <w:ind w:firstLine="480"/>
              <w:jc w:val="left"/>
              <w:rPr>
                <w:rStyle w:val="47"/>
                <w:rFonts w:hint="default" w:ascii="Times New Roman" w:hAnsi="Times New Roman" w:eastAsia="宋体" w:cs="Times New Roman"/>
                <w:kern w:val="0"/>
              </w:rPr>
            </w:pPr>
            <w:r>
              <w:rPr>
                <w:rStyle w:val="47"/>
                <w:rFonts w:hint="default" w:ascii="Times New Roman" w:hAnsi="Times New Roman" w:eastAsia="宋体" w:cs="Times New Roman"/>
                <w:kern w:val="0"/>
              </w:rPr>
              <w:t>2.加油机紧急按钮正常工作；</w:t>
            </w:r>
          </w:p>
          <w:p>
            <w:pPr>
              <w:ind w:firstLine="480"/>
              <w:jc w:val="left"/>
              <w:rPr>
                <w:rStyle w:val="47"/>
                <w:rFonts w:hint="default" w:ascii="Times New Roman" w:hAnsi="Times New Roman" w:eastAsia="宋体" w:cs="Times New Roman"/>
                <w:kern w:val="0"/>
              </w:rPr>
            </w:pPr>
            <w:r>
              <w:rPr>
                <w:rStyle w:val="47"/>
                <w:rFonts w:hint="default" w:ascii="Times New Roman" w:hAnsi="Times New Roman" w:eastAsia="宋体" w:cs="Times New Roman"/>
                <w:kern w:val="0"/>
              </w:rPr>
              <w:t>3.按操作规程进行操作</w:t>
            </w:r>
          </w:p>
          <w:p>
            <w:pPr>
              <w:ind w:firstLine="480"/>
              <w:jc w:val="left"/>
              <w:rPr>
                <w:rStyle w:val="47"/>
                <w:rFonts w:hint="default" w:ascii="Times New Roman" w:hAnsi="Times New Roman" w:eastAsia="宋体" w:cs="Times New Roman"/>
                <w:kern w:val="0"/>
              </w:rPr>
            </w:pPr>
            <w:r>
              <w:rPr>
                <w:rStyle w:val="47"/>
                <w:rFonts w:hint="default" w:ascii="Times New Roman" w:hAnsi="Times New Roman" w:eastAsia="宋体" w:cs="Times New Roman"/>
                <w:kern w:val="0"/>
              </w:rPr>
              <w:t>4.紧急切断阀无渗漏，运行灵活</w:t>
            </w:r>
          </w:p>
          <w:p>
            <w:pPr>
              <w:ind w:firstLine="480"/>
              <w:jc w:val="left"/>
              <w:rPr>
                <w:rFonts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52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责任人</w:t>
            </w:r>
          </w:p>
        </w:tc>
        <w:tc>
          <w:tcPr>
            <w:tcW w:w="18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加油站级</w:t>
            </w:r>
          </w:p>
        </w:tc>
        <w:tc>
          <w:tcPr>
            <w:tcW w:w="114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imes New Roman" w:hAnsi="Times New Roman" w:eastAsia="宋体" w:cs="Times New Roman"/>
                <w:sz w:val="24"/>
                <w:szCs w:val="20"/>
                <w:lang w:eastAsia="zh-CN"/>
              </w:rPr>
            </w:pPr>
            <w:r>
              <w:rPr>
                <w:rFonts w:hint="eastAsia" w:ascii="Times New Roman" w:hAnsi="Times New Roman" w:eastAsia="宋体" w:cs="Times New Roman"/>
                <w:kern w:val="0"/>
                <w:sz w:val="24"/>
                <w:szCs w:val="20"/>
                <w:lang w:val="en-US" w:eastAsia="zh-CN"/>
              </w:rPr>
              <w:t>刘沧锐</w:t>
            </w:r>
          </w:p>
        </w:tc>
        <w:tc>
          <w:tcPr>
            <w:tcW w:w="24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主要事故类型</w:t>
            </w:r>
          </w:p>
        </w:tc>
        <w:tc>
          <w:tcPr>
            <w:tcW w:w="8961" w:type="dxa"/>
            <w:tcBorders>
              <w:top w:val="single" w:color="auto" w:sz="4" w:space="0"/>
              <w:left w:val="single" w:color="auto" w:sz="4" w:space="0"/>
              <w:bottom w:val="single" w:color="auto" w:sz="4" w:space="0"/>
              <w:right w:val="single" w:color="auto" w:sz="4" w:space="0"/>
            </w:tcBorders>
            <w:vAlign w:val="center"/>
          </w:tcPr>
          <w:p>
            <w:pPr>
              <w:ind w:firstLine="480"/>
              <w:jc w:val="left"/>
              <w:rPr>
                <w:rFonts w:ascii="Times New Roman" w:hAnsi="Times New Roman" w:eastAsia="宋体" w:cs="Times New Roman"/>
                <w:sz w:val="24"/>
                <w:szCs w:val="20"/>
              </w:rPr>
            </w:pPr>
            <w:r>
              <w:rPr>
                <w:rFonts w:hint="eastAsia" w:ascii="Times New Roman" w:hAnsi="Times New Roman" w:eastAsia="宋体" w:cs="Times New Roman"/>
                <w:kern w:val="0"/>
                <w:sz w:val="24"/>
                <w:szCs w:val="20"/>
              </w:rPr>
              <w:t>火灾、爆炸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5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4"/>
                <w:szCs w:val="20"/>
              </w:rPr>
            </w:pPr>
          </w:p>
        </w:tc>
        <w:tc>
          <w:tcPr>
            <w:tcW w:w="18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24"/>
                <w:szCs w:val="20"/>
              </w:rPr>
            </w:pPr>
            <w:r>
              <w:rPr>
                <w:rFonts w:hint="eastAsia" w:ascii="Times New Roman" w:hAnsi="Times New Roman" w:eastAsia="宋体" w:cs="Times New Roman"/>
                <w:kern w:val="0"/>
                <w:sz w:val="24"/>
                <w:szCs w:val="20"/>
              </w:rPr>
              <w:t>管理人员级</w:t>
            </w:r>
          </w:p>
        </w:tc>
        <w:tc>
          <w:tcPr>
            <w:tcW w:w="114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imes New Roman" w:hAnsi="Times New Roman" w:eastAsia="宋体" w:cs="Times New Roman"/>
                <w:sz w:val="24"/>
                <w:szCs w:val="20"/>
                <w:lang w:eastAsia="zh-CN"/>
              </w:rPr>
            </w:pPr>
            <w:r>
              <w:rPr>
                <w:rFonts w:hint="eastAsia" w:ascii="Times New Roman" w:hAnsi="Times New Roman" w:eastAsia="宋体" w:cs="Times New Roman"/>
                <w:kern w:val="0"/>
                <w:sz w:val="24"/>
                <w:szCs w:val="20"/>
                <w:lang w:val="en-US" w:eastAsia="zh-CN"/>
              </w:rPr>
              <w:t>刘沧锐</w:t>
            </w:r>
          </w:p>
        </w:tc>
        <w:tc>
          <w:tcPr>
            <w:tcW w:w="2456"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应急处置措施</w:t>
            </w:r>
          </w:p>
        </w:tc>
        <w:tc>
          <w:tcPr>
            <w:tcW w:w="896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left"/>
              <w:rPr>
                <w:rFonts w:ascii="Times New Roman" w:hAnsi="Times New Roman" w:eastAsia="宋体" w:cs="Times New Roman"/>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疏散装置区周边人员，对事故现场实施隔离和警戒；</w:t>
            </w:r>
          </w:p>
          <w:p>
            <w:pPr>
              <w:adjustRightInd w:val="0"/>
              <w:snapToGrid w:val="0"/>
              <w:ind w:firstLine="480"/>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对受伤人员及时组织救援，拨打</w:t>
            </w:r>
            <w:r>
              <w:rPr>
                <w:rFonts w:ascii="Times New Roman" w:hAnsi="Times New Roman" w:eastAsia="宋体" w:cs="Times New Roman"/>
                <w:kern w:val="0"/>
                <w:sz w:val="24"/>
                <w:szCs w:val="20"/>
              </w:rPr>
              <w:t>120</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119</w:t>
            </w:r>
            <w:r>
              <w:rPr>
                <w:rFonts w:hint="eastAsia" w:ascii="Times New Roman" w:hAnsi="Times New Roman" w:eastAsia="宋体" w:cs="Times New Roman"/>
                <w:kern w:val="0"/>
                <w:sz w:val="24"/>
                <w:szCs w:val="20"/>
              </w:rPr>
              <w:t>及</w:t>
            </w:r>
            <w:r>
              <w:rPr>
                <w:rFonts w:ascii="Times New Roman" w:hAnsi="Times New Roman" w:eastAsia="宋体" w:cs="Times New Roman"/>
                <w:kern w:val="0"/>
                <w:sz w:val="24"/>
                <w:szCs w:val="20"/>
              </w:rPr>
              <w:t>110</w:t>
            </w:r>
            <w:r>
              <w:rPr>
                <w:rFonts w:hint="eastAsia" w:ascii="Times New Roman" w:hAnsi="Times New Roman" w:eastAsia="宋体" w:cs="Times New Roman"/>
                <w:kern w:val="0"/>
                <w:sz w:val="24"/>
                <w:szCs w:val="20"/>
              </w:rPr>
              <w:t>求救；</w:t>
            </w:r>
          </w:p>
          <w:p>
            <w:pPr>
              <w:adjustRightInd w:val="0"/>
              <w:snapToGrid w:val="0"/>
              <w:ind w:firstLine="480"/>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事故发现人员立即根据应急预案进行处置并按要求上报；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exact"/>
          <w:jc w:val="center"/>
        </w:trPr>
        <w:tc>
          <w:tcPr>
            <w:tcW w:w="15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4"/>
                <w:szCs w:val="20"/>
              </w:rPr>
            </w:pPr>
          </w:p>
        </w:tc>
        <w:tc>
          <w:tcPr>
            <w:tcW w:w="18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24"/>
                <w:szCs w:val="20"/>
              </w:rPr>
            </w:pPr>
            <w:r>
              <w:rPr>
                <w:rFonts w:hint="eastAsia" w:ascii="Times New Roman" w:hAnsi="Times New Roman" w:eastAsia="宋体" w:cs="Times New Roman"/>
                <w:kern w:val="0"/>
                <w:sz w:val="24"/>
                <w:szCs w:val="20"/>
              </w:rPr>
              <w:t>班组级</w:t>
            </w:r>
          </w:p>
        </w:tc>
        <w:tc>
          <w:tcPr>
            <w:tcW w:w="114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eastAsia="仿宋_GB2312"/>
                <w:lang w:val="en-US" w:eastAsia="zh-CN"/>
              </w:rPr>
            </w:pPr>
            <w:r>
              <w:rPr>
                <w:rFonts w:hint="eastAsia" w:hAnsi="Times New Roman" w:eastAsia="宋体" w:cs="Times New Roman"/>
                <w:kern w:val="0"/>
                <w:sz w:val="18"/>
                <w:szCs w:val="18"/>
                <w:lang w:val="en-US" w:eastAsia="zh-CN"/>
              </w:rPr>
              <w:t>刘波、母小菊</w:t>
            </w:r>
          </w:p>
        </w:tc>
        <w:tc>
          <w:tcPr>
            <w:tcW w:w="245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4"/>
                <w:szCs w:val="20"/>
              </w:rPr>
            </w:pPr>
          </w:p>
        </w:tc>
        <w:tc>
          <w:tcPr>
            <w:tcW w:w="89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4"/>
                <w:szCs w:val="20"/>
              </w:rPr>
            </w:pPr>
          </w:p>
        </w:tc>
      </w:tr>
    </w:tbl>
    <w:p>
      <w:pPr>
        <w:jc w:val="center"/>
        <w:rPr>
          <w:rFonts w:ascii="黑体" w:hAnsi="黑体" w:eastAsia="黑体" w:cs="黑体"/>
          <w:kern w:val="0"/>
          <w:sz w:val="32"/>
          <w:szCs w:val="32"/>
        </w:rPr>
      </w:pPr>
      <w:r>
        <w:br w:type="page"/>
      </w:r>
      <w:r>
        <w:rPr>
          <w:rFonts w:hint="eastAsia" w:ascii="黑体" w:hAnsi="黑体" w:eastAsia="黑体" w:cs="黑体"/>
          <w:kern w:val="0"/>
          <w:sz w:val="32"/>
          <w:szCs w:val="32"/>
        </w:rPr>
        <w:t>2-4维修、清罐作业重大安全风险管控清单</w:t>
      </w:r>
    </w:p>
    <w:tbl>
      <w:tblPr>
        <w:tblStyle w:val="19"/>
        <w:tblW w:w="15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61"/>
        <w:gridCol w:w="1190"/>
        <w:gridCol w:w="984"/>
        <w:gridCol w:w="2398"/>
        <w:gridCol w:w="236"/>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黑体" w:cs="Times New Roman"/>
                <w:sz w:val="24"/>
                <w:szCs w:val="20"/>
              </w:rPr>
            </w:pPr>
            <w:r>
              <w:rPr>
                <w:rFonts w:hint="eastAsia" w:ascii="Times New Roman" w:hAnsi="Times New Roman" w:eastAsia="黑体" w:cs="Times New Roman"/>
                <w:kern w:val="0"/>
                <w:sz w:val="24"/>
                <w:szCs w:val="20"/>
              </w:rPr>
              <w:t>风险点名称</w:t>
            </w:r>
          </w:p>
        </w:tc>
        <w:tc>
          <w:tcPr>
            <w:tcW w:w="217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4"/>
                <w:szCs w:val="20"/>
              </w:rPr>
            </w:pPr>
            <w:r>
              <w:rPr>
                <w:rFonts w:hint="eastAsia" w:ascii="Times New Roman" w:hAnsi="Times New Roman" w:eastAsia="仿宋" w:cs="Times New Roman"/>
                <w:kern w:val="0"/>
                <w:sz w:val="24"/>
                <w:szCs w:val="20"/>
              </w:rPr>
              <w:t>维修、清罐作业</w:t>
            </w:r>
          </w:p>
        </w:tc>
        <w:tc>
          <w:tcPr>
            <w:tcW w:w="239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仿宋" w:cs="Times New Roman"/>
                <w:sz w:val="24"/>
                <w:szCs w:val="20"/>
              </w:rPr>
            </w:pPr>
            <w:r>
              <w:rPr>
                <w:rFonts w:hint="eastAsia" w:ascii="Times New Roman" w:hAnsi="Times New Roman" w:eastAsia="黑体" w:cs="Times New Roman"/>
                <w:kern w:val="0"/>
                <w:sz w:val="24"/>
                <w:szCs w:val="20"/>
              </w:rPr>
              <w:t>主要风险概述</w:t>
            </w:r>
          </w:p>
        </w:tc>
        <w:tc>
          <w:tcPr>
            <w:tcW w:w="9161"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 w:cs="Times New Roman"/>
                <w:sz w:val="24"/>
                <w:szCs w:val="20"/>
              </w:rPr>
            </w:pPr>
            <w:r>
              <w:rPr>
                <w:rFonts w:hint="eastAsia" w:ascii="Times New Roman" w:hAnsi="Times New Roman" w:eastAsia="宋体" w:cs="Times New Roman"/>
                <w:kern w:val="0"/>
                <w:sz w:val="24"/>
                <w:szCs w:val="20"/>
              </w:rPr>
              <w:t>维修人员不遵守操作规程，常常会引起触电、高处坠落等安全事故，无法彻底清除油气和沉淀物，残余油气遇到静电、摩擦、点火花都可能导致火灾。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黑体" w:cs="Times New Roman"/>
                <w:sz w:val="24"/>
                <w:szCs w:val="20"/>
              </w:rPr>
            </w:pPr>
            <w:r>
              <w:rPr>
                <w:rFonts w:hint="eastAsia" w:ascii="Times New Roman" w:hAnsi="Times New Roman" w:eastAsia="黑体" w:cs="Times New Roman"/>
                <w:kern w:val="0"/>
                <w:sz w:val="24"/>
                <w:szCs w:val="20"/>
              </w:rPr>
              <w:t>风险点编号</w:t>
            </w:r>
          </w:p>
        </w:tc>
        <w:tc>
          <w:tcPr>
            <w:tcW w:w="2174"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eastAsia="仿宋" w:cs="Times New Roman"/>
                <w:sz w:val="24"/>
                <w:szCs w:val="20"/>
              </w:rPr>
            </w:pPr>
            <w:r>
              <w:rPr>
                <w:rFonts w:hint="eastAsia" w:ascii="Times New Roman" w:hAnsi="Times New Roman" w:eastAsia="仿宋" w:cs="Times New Roman"/>
                <w:kern w:val="0"/>
                <w:sz w:val="24"/>
                <w:szCs w:val="20"/>
              </w:rPr>
              <w:t>003</w:t>
            </w:r>
          </w:p>
        </w:tc>
        <w:tc>
          <w:tcPr>
            <w:tcW w:w="23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sz w:val="24"/>
                <w:szCs w:val="20"/>
              </w:rPr>
            </w:pPr>
          </w:p>
        </w:tc>
        <w:tc>
          <w:tcPr>
            <w:tcW w:w="9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黑体" w:cs="Times New Roman"/>
                <w:sz w:val="24"/>
                <w:szCs w:val="20"/>
              </w:rPr>
            </w:pPr>
            <w:r>
              <w:rPr>
                <w:rFonts w:hint="eastAsia" w:ascii="Times New Roman" w:hAnsi="Times New Roman" w:eastAsia="黑体" w:cs="Times New Roman"/>
                <w:kern w:val="0"/>
                <w:sz w:val="24"/>
                <w:szCs w:val="20"/>
              </w:rPr>
              <w:t>风险等级</w:t>
            </w:r>
          </w:p>
        </w:tc>
        <w:tc>
          <w:tcPr>
            <w:tcW w:w="2174"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eastAsia="仿宋" w:cs="Times New Roman"/>
                <w:sz w:val="24"/>
                <w:szCs w:val="20"/>
              </w:rPr>
            </w:pPr>
            <w:r>
              <w:rPr>
                <w:rFonts w:hint="eastAsia" w:ascii="Times New Roman" w:hAnsi="Times New Roman" w:eastAsia="仿宋" w:cs="Times New Roman"/>
                <w:kern w:val="0"/>
                <w:sz w:val="24"/>
                <w:szCs w:val="20"/>
              </w:rPr>
              <w:t>重大风险</w:t>
            </w:r>
          </w:p>
        </w:tc>
        <w:tc>
          <w:tcPr>
            <w:tcW w:w="23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sz w:val="24"/>
                <w:szCs w:val="20"/>
              </w:rPr>
            </w:pPr>
          </w:p>
        </w:tc>
        <w:tc>
          <w:tcPr>
            <w:tcW w:w="9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1"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关键控制指标</w:t>
            </w:r>
          </w:p>
        </w:tc>
        <w:tc>
          <w:tcPr>
            <w:tcW w:w="18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现场监护到位</w:t>
            </w:r>
          </w:p>
          <w:p>
            <w:pPr>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严格按操作规程进行操作</w:t>
            </w:r>
          </w:p>
          <w:p>
            <w:pPr>
              <w:rPr>
                <w:rFonts w:ascii="Times New Roman" w:hAnsi="Times New Roman" w:eastAsia="宋体" w:cs="Times New Roman"/>
                <w:sz w:val="24"/>
                <w:szCs w:val="20"/>
              </w:rPr>
            </w:pPr>
            <w:r>
              <w:rPr>
                <w:rFonts w:ascii="Times New Roman" w:hAnsi="Times New Roman" w:eastAsia="宋体" w:cs="Times New Roman"/>
                <w:color w:val="000000"/>
                <w:kern w:val="0"/>
                <w:sz w:val="24"/>
                <w:szCs w:val="20"/>
              </w:rPr>
              <w:t>3.</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消防器材到位</w:t>
            </w:r>
          </w:p>
        </w:tc>
        <w:tc>
          <w:tcPr>
            <w:tcW w:w="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关键管控措施</w:t>
            </w:r>
          </w:p>
        </w:tc>
        <w:tc>
          <w:tcPr>
            <w:tcW w:w="11559" w:type="dxa"/>
            <w:gridSpan w:val="3"/>
            <w:tcBorders>
              <w:top w:val="single" w:color="auto" w:sz="4" w:space="0"/>
              <w:left w:val="single" w:color="auto" w:sz="4" w:space="0"/>
              <w:bottom w:val="single" w:color="auto" w:sz="4" w:space="0"/>
              <w:right w:val="single" w:color="auto" w:sz="4" w:space="0"/>
            </w:tcBorders>
            <w:vAlign w:val="center"/>
          </w:tcPr>
          <w:p>
            <w:pPr>
              <w:ind w:firstLine="480"/>
              <w:jc w:val="left"/>
              <w:rPr>
                <w:rFonts w:ascii="Times New Roman" w:hAnsi="Times New Roman" w:eastAsia="宋体" w:cs="Times New Roman"/>
                <w:sz w:val="24"/>
                <w:szCs w:val="20"/>
              </w:rPr>
            </w:pPr>
            <w:r>
              <w:rPr>
                <w:rFonts w:hint="eastAsia" w:ascii="Times New Roman" w:hAnsi="Times New Roman" w:eastAsia="宋体" w:cs="Times New Roman"/>
                <w:kern w:val="0"/>
                <w:sz w:val="24"/>
                <w:szCs w:val="20"/>
              </w:rPr>
              <w:t>一、加油站级：</w:t>
            </w:r>
          </w:p>
          <w:p>
            <w:pPr>
              <w:ind w:firstLine="480" w:firstLineChars="200"/>
              <w:jc w:val="left"/>
              <w:rPr>
                <w:rStyle w:val="47"/>
                <w:rFonts w:hint="default" w:ascii="Times New Roman" w:hAnsi="Times New Roman" w:eastAsia="宋体" w:cs="Times New Roman"/>
                <w:kern w:val="0"/>
              </w:rPr>
            </w:pPr>
            <w:r>
              <w:rPr>
                <w:rFonts w:ascii="Times New Roman" w:hAnsi="Times New Roman" w:eastAsia="宋体" w:cs="Times New Roman"/>
                <w:kern w:val="0"/>
                <w:sz w:val="24"/>
                <w:szCs w:val="20"/>
              </w:rPr>
              <w:t>1</w:t>
            </w:r>
            <w:r>
              <w:rPr>
                <w:rStyle w:val="47"/>
                <w:rFonts w:hint="default" w:ascii="Times New Roman" w:hAnsi="Times New Roman" w:eastAsia="宋体" w:cs="Times New Roman"/>
                <w:kern w:val="0"/>
              </w:rPr>
              <w:t>.履行岗位职责，对维修、清罐作业进行现场监护；</w:t>
            </w:r>
          </w:p>
          <w:p>
            <w:pPr>
              <w:ind w:firstLine="480" w:firstLineChars="200"/>
              <w:jc w:val="left"/>
              <w:rPr>
                <w:rStyle w:val="47"/>
                <w:rFonts w:hint="default" w:ascii="Times New Roman" w:hAnsi="Times New Roman" w:eastAsia="宋体" w:cs="Times New Roman"/>
                <w:kern w:val="0"/>
              </w:rPr>
            </w:pPr>
            <w:r>
              <w:rPr>
                <w:rStyle w:val="47"/>
                <w:rFonts w:hint="default" w:ascii="Times New Roman" w:hAnsi="Times New Roman" w:eastAsia="宋体" w:cs="Times New Roman"/>
                <w:kern w:val="0"/>
              </w:rPr>
              <w:t>2.督促作业人员严格按照操作规程进行操作；</w:t>
            </w:r>
          </w:p>
          <w:p>
            <w:pPr>
              <w:ind w:firstLine="480" w:firstLineChars="200"/>
              <w:jc w:val="left"/>
              <w:rPr>
                <w:rStyle w:val="47"/>
                <w:rFonts w:hint="default" w:ascii="Times New Roman" w:hAnsi="Times New Roman" w:eastAsia="宋体" w:cs="Times New Roman"/>
                <w:kern w:val="0"/>
              </w:rPr>
            </w:pPr>
            <w:r>
              <w:rPr>
                <w:rStyle w:val="47"/>
                <w:rFonts w:hint="default" w:ascii="Times New Roman" w:hAnsi="Times New Roman" w:eastAsia="宋体" w:cs="Times New Roman"/>
                <w:kern w:val="0"/>
              </w:rPr>
              <w:t>3.对作业人员进行安全培训及告知</w:t>
            </w:r>
          </w:p>
          <w:p>
            <w:pPr>
              <w:ind w:firstLine="48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4"/>
                <w:szCs w:val="20"/>
              </w:rPr>
              <w:t>二、管理人员级：</w:t>
            </w:r>
          </w:p>
          <w:p>
            <w:pPr>
              <w:widowControl/>
              <w:ind w:firstLine="480"/>
              <w:textAlignment w:val="center"/>
              <w:rPr>
                <w:rStyle w:val="47"/>
                <w:rFonts w:hint="default" w:ascii="Times New Roman" w:hAnsi="Times New Roman" w:eastAsia="宋体" w:cs="Times New Roman"/>
                <w:kern w:val="0"/>
              </w:rPr>
            </w:pPr>
            <w:r>
              <w:rPr>
                <w:rFonts w:ascii="Times New Roman" w:hAnsi="Times New Roman" w:eastAsia="宋体" w:cs="Times New Roman"/>
                <w:kern w:val="0"/>
                <w:sz w:val="24"/>
                <w:szCs w:val="20"/>
              </w:rPr>
              <w:t>1</w:t>
            </w:r>
            <w:r>
              <w:rPr>
                <w:rStyle w:val="47"/>
                <w:rFonts w:hint="default" w:ascii="Times New Roman" w:hAnsi="Times New Roman" w:eastAsia="宋体" w:cs="Times New Roman"/>
                <w:kern w:val="0"/>
              </w:rPr>
              <w:t>.</w:t>
            </w:r>
            <w:r>
              <w:rPr>
                <w:rFonts w:hint="eastAsia" w:ascii="Times New Roman" w:hAnsi="Times New Roman" w:eastAsia="宋体" w:cs="Times New Roman"/>
                <w:color w:val="000000"/>
                <w:kern w:val="0"/>
                <w:sz w:val="24"/>
                <w:szCs w:val="20"/>
              </w:rPr>
              <w:t>对作业现场进行监护；</w:t>
            </w:r>
          </w:p>
          <w:p>
            <w:pPr>
              <w:widowControl/>
              <w:ind w:firstLine="480" w:firstLineChars="200"/>
              <w:textAlignment w:val="center"/>
              <w:rPr>
                <w:rStyle w:val="42"/>
                <w:rFonts w:eastAsia="宋体"/>
                <w:kern w:val="0"/>
              </w:rPr>
            </w:pPr>
            <w:r>
              <w:rPr>
                <w:rStyle w:val="47"/>
                <w:rFonts w:hint="default" w:ascii="Times New Roman" w:hAnsi="Times New Roman" w:eastAsia="宋体" w:cs="Times New Roman"/>
                <w:kern w:val="0"/>
              </w:rPr>
              <w:t>2.</w:t>
            </w:r>
            <w:r>
              <w:rPr>
                <w:rFonts w:hint="eastAsia" w:ascii="Times New Roman" w:hAnsi="Times New Roman" w:eastAsia="宋体" w:cs="Times New Roman"/>
                <w:kern w:val="0"/>
                <w:sz w:val="24"/>
                <w:szCs w:val="20"/>
              </w:rPr>
              <w:t>对违反操作规程的行为叫停</w:t>
            </w:r>
          </w:p>
          <w:p>
            <w:pPr>
              <w:ind w:firstLine="48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4"/>
                <w:szCs w:val="20"/>
              </w:rPr>
              <w:t>三、班组级：</w:t>
            </w:r>
          </w:p>
          <w:p>
            <w:pPr>
              <w:ind w:firstLine="480" w:firstLineChars="200"/>
              <w:jc w:val="left"/>
              <w:rPr>
                <w:rStyle w:val="47"/>
                <w:rFonts w:hint="default" w:ascii="Times New Roman" w:hAnsi="Times New Roman" w:eastAsia="宋体" w:cs="Times New Roman"/>
                <w:kern w:val="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现场进行监护、</w:t>
            </w:r>
            <w:r>
              <w:rPr>
                <w:rStyle w:val="47"/>
                <w:rFonts w:hint="default" w:ascii="Times New Roman" w:hAnsi="Times New Roman" w:eastAsia="宋体" w:cs="Times New Roman"/>
                <w:kern w:val="0"/>
              </w:rPr>
              <w:t>；</w:t>
            </w:r>
          </w:p>
          <w:p>
            <w:pPr>
              <w:ind w:firstLine="480"/>
              <w:jc w:val="left"/>
              <w:rPr>
                <w:rStyle w:val="47"/>
                <w:rFonts w:hint="default" w:ascii="Times New Roman" w:hAnsi="Times New Roman" w:eastAsia="宋体" w:cs="Times New Roman"/>
                <w:kern w:val="0"/>
              </w:rPr>
            </w:pPr>
            <w:r>
              <w:rPr>
                <w:rStyle w:val="47"/>
                <w:rFonts w:hint="default" w:ascii="Times New Roman" w:hAnsi="Times New Roman" w:eastAsia="宋体" w:cs="Times New Roman"/>
                <w:kern w:val="0"/>
              </w:rPr>
              <w:t>2.</w:t>
            </w:r>
            <w:r>
              <w:rPr>
                <w:rFonts w:hint="eastAsia" w:ascii="Times New Roman" w:hAnsi="Times New Roman" w:eastAsia="宋体" w:cs="Times New Roman"/>
                <w:kern w:val="0"/>
                <w:sz w:val="24"/>
                <w:szCs w:val="20"/>
              </w:rPr>
              <w:t>作业前安全防护到位，消防器材到位</w:t>
            </w:r>
          </w:p>
          <w:p>
            <w:pPr>
              <w:ind w:firstLine="480"/>
              <w:jc w:val="left"/>
              <w:rPr>
                <w:rFonts w:ascii="Times New Roman" w:hAnsi="Times New Roman" w:eastAsia="宋体" w:cs="Times New Roman"/>
                <w:color w:val="000000"/>
                <w:kern w:val="0"/>
                <w:sz w:val="24"/>
                <w:szCs w:val="24"/>
              </w:rPr>
            </w:pPr>
            <w:r>
              <w:rPr>
                <w:rStyle w:val="47"/>
                <w:rFonts w:hint="default" w:ascii="Times New Roman" w:hAnsi="Times New Roman" w:eastAsia="宋体" w:cs="Times New Roman"/>
                <w:kern w:val="0"/>
              </w:rPr>
              <w:t>3.</w:t>
            </w:r>
            <w:r>
              <w:rPr>
                <w:rFonts w:hint="eastAsia" w:ascii="Times New Roman" w:hAnsi="Times New Roman" w:eastAsia="宋体" w:cs="Times New Roman"/>
                <w:kern w:val="0"/>
                <w:sz w:val="24"/>
                <w:szCs w:val="20"/>
              </w:rPr>
              <w:t>发现问题及时上报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责任人</w:t>
            </w:r>
          </w:p>
        </w:tc>
        <w:tc>
          <w:tcPr>
            <w:tcW w:w="1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加油站级</w:t>
            </w:r>
          </w:p>
        </w:tc>
        <w:tc>
          <w:tcPr>
            <w:tcW w:w="98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imes New Roman" w:hAnsi="Times New Roman" w:eastAsia="宋体" w:cs="Times New Roman"/>
                <w:sz w:val="24"/>
                <w:szCs w:val="20"/>
                <w:lang w:eastAsia="zh-CN"/>
              </w:rPr>
            </w:pPr>
            <w:r>
              <w:rPr>
                <w:rFonts w:hint="eastAsia" w:ascii="Times New Roman" w:hAnsi="Times New Roman" w:eastAsia="宋体" w:cs="Times New Roman"/>
                <w:kern w:val="0"/>
                <w:sz w:val="24"/>
                <w:szCs w:val="20"/>
                <w:lang w:val="en-US" w:eastAsia="zh-CN"/>
              </w:rPr>
              <w:t>刘沧锐</w:t>
            </w:r>
          </w:p>
        </w:tc>
        <w:tc>
          <w:tcPr>
            <w:tcW w:w="2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主要事故类型</w:t>
            </w:r>
          </w:p>
        </w:tc>
        <w:tc>
          <w:tcPr>
            <w:tcW w:w="8925" w:type="dxa"/>
            <w:tcBorders>
              <w:top w:val="single" w:color="auto" w:sz="4" w:space="0"/>
              <w:left w:val="single" w:color="auto" w:sz="4" w:space="0"/>
              <w:bottom w:val="single" w:color="auto" w:sz="4" w:space="0"/>
              <w:right w:val="single" w:color="auto" w:sz="4" w:space="0"/>
            </w:tcBorders>
            <w:vAlign w:val="center"/>
          </w:tcPr>
          <w:p>
            <w:pPr>
              <w:ind w:firstLine="480"/>
              <w:jc w:val="left"/>
              <w:rPr>
                <w:rFonts w:ascii="Times New Roman" w:hAnsi="Times New Roman" w:eastAsia="宋体" w:cs="Times New Roman"/>
                <w:sz w:val="24"/>
                <w:szCs w:val="20"/>
              </w:rPr>
            </w:pPr>
            <w:r>
              <w:rPr>
                <w:rFonts w:hint="eastAsia" w:ascii="Times New Roman" w:hAnsi="Times New Roman" w:eastAsia="宋体" w:cs="Times New Roman"/>
                <w:kern w:val="0"/>
                <w:sz w:val="24"/>
                <w:szCs w:val="20"/>
              </w:rPr>
              <w:t>火灾、爆炸</w:t>
            </w:r>
            <w:r>
              <w:rPr>
                <w:rFonts w:hint="eastAsia" w:ascii="Times New Roman" w:hAnsi="Times New Roman" w:eastAsia="宋体" w:cs="Times New Roman"/>
                <w:kern w:val="0"/>
                <w:sz w:val="20"/>
                <w:szCs w:val="20"/>
              </w:rPr>
              <w:t>、</w:t>
            </w:r>
            <w:r>
              <w:rPr>
                <w:rFonts w:hint="eastAsia" w:ascii="Times New Roman" w:hAnsi="Times New Roman" w:eastAsia="宋体" w:cs="Times New Roman"/>
                <w:kern w:val="0"/>
                <w:sz w:val="24"/>
                <w:szCs w:val="24"/>
              </w:rPr>
              <w:t>中毒事件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4"/>
                <w:szCs w:val="20"/>
              </w:rPr>
            </w:pPr>
          </w:p>
        </w:tc>
        <w:tc>
          <w:tcPr>
            <w:tcW w:w="1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24"/>
                <w:szCs w:val="20"/>
              </w:rPr>
            </w:pPr>
            <w:r>
              <w:rPr>
                <w:rFonts w:hint="eastAsia" w:ascii="Times New Roman" w:hAnsi="Times New Roman" w:eastAsia="宋体" w:cs="Times New Roman"/>
                <w:kern w:val="0"/>
                <w:sz w:val="24"/>
                <w:szCs w:val="20"/>
              </w:rPr>
              <w:t>管理人员级</w:t>
            </w:r>
          </w:p>
        </w:tc>
        <w:tc>
          <w:tcPr>
            <w:tcW w:w="98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imes New Roman" w:hAnsi="Times New Roman" w:eastAsia="宋体" w:cs="Times New Roman"/>
                <w:sz w:val="24"/>
                <w:szCs w:val="20"/>
                <w:lang w:eastAsia="zh-CN"/>
              </w:rPr>
            </w:pPr>
            <w:r>
              <w:rPr>
                <w:rFonts w:hint="eastAsia" w:ascii="Times New Roman" w:hAnsi="Times New Roman" w:eastAsia="宋体" w:cs="Times New Roman"/>
                <w:kern w:val="0"/>
                <w:sz w:val="24"/>
                <w:szCs w:val="20"/>
                <w:lang w:val="en-US" w:eastAsia="zh-CN"/>
              </w:rPr>
              <w:t>刘沧锐</w:t>
            </w:r>
          </w:p>
        </w:tc>
        <w:tc>
          <w:tcPr>
            <w:tcW w:w="2634"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rFonts w:ascii="Times New Roman" w:hAnsi="Times New Roman" w:eastAsia="宋体" w:cs="Times New Roman"/>
                <w:sz w:val="24"/>
                <w:szCs w:val="20"/>
              </w:rPr>
            </w:pPr>
            <w:r>
              <w:rPr>
                <w:rFonts w:hint="eastAsia" w:ascii="Times New Roman" w:hAnsi="Times New Roman" w:eastAsia="宋体" w:cs="Times New Roman"/>
                <w:kern w:val="0"/>
                <w:sz w:val="24"/>
                <w:szCs w:val="20"/>
              </w:rPr>
              <w:t>应急处置措施</w:t>
            </w:r>
          </w:p>
        </w:tc>
        <w:tc>
          <w:tcPr>
            <w:tcW w:w="892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left"/>
              <w:rPr>
                <w:rFonts w:ascii="Times New Roman" w:hAnsi="Times New Roman" w:eastAsia="宋体" w:cs="Times New Roman"/>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疏散罐区周边人员，对事故现场实施隔离和警戒；</w:t>
            </w:r>
          </w:p>
          <w:p>
            <w:pPr>
              <w:adjustRightInd w:val="0"/>
              <w:snapToGrid w:val="0"/>
              <w:ind w:firstLine="480"/>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对受伤人员及时组织救援，拨打</w:t>
            </w:r>
            <w:r>
              <w:rPr>
                <w:rFonts w:ascii="Times New Roman" w:hAnsi="Times New Roman" w:eastAsia="宋体" w:cs="Times New Roman"/>
                <w:kern w:val="0"/>
                <w:sz w:val="24"/>
                <w:szCs w:val="20"/>
              </w:rPr>
              <w:t>120</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119</w:t>
            </w:r>
            <w:r>
              <w:rPr>
                <w:rFonts w:hint="eastAsia" w:ascii="Times New Roman" w:hAnsi="Times New Roman" w:eastAsia="宋体" w:cs="Times New Roman"/>
                <w:kern w:val="0"/>
                <w:sz w:val="24"/>
                <w:szCs w:val="20"/>
              </w:rPr>
              <w:t>及</w:t>
            </w:r>
            <w:r>
              <w:rPr>
                <w:rFonts w:ascii="Times New Roman" w:hAnsi="Times New Roman" w:eastAsia="宋体" w:cs="Times New Roman"/>
                <w:kern w:val="0"/>
                <w:sz w:val="24"/>
                <w:szCs w:val="20"/>
              </w:rPr>
              <w:t>110</w:t>
            </w:r>
            <w:r>
              <w:rPr>
                <w:rFonts w:hint="eastAsia" w:ascii="Times New Roman" w:hAnsi="Times New Roman" w:eastAsia="宋体" w:cs="Times New Roman"/>
                <w:kern w:val="0"/>
                <w:sz w:val="24"/>
                <w:szCs w:val="20"/>
              </w:rPr>
              <w:t>求救；</w:t>
            </w:r>
          </w:p>
          <w:p>
            <w:pPr>
              <w:adjustRightInd w:val="0"/>
              <w:snapToGrid w:val="0"/>
              <w:ind w:firstLine="480"/>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事故发现人员立即根据应急预案进行处置并按要求上报；</w:t>
            </w:r>
          </w:p>
          <w:p>
            <w:pPr>
              <w:ind w:firstLine="420"/>
              <w:jc w:val="left"/>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exact"/>
          <w:jc w:val="center"/>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4"/>
                <w:szCs w:val="20"/>
              </w:rPr>
            </w:pPr>
          </w:p>
        </w:tc>
        <w:tc>
          <w:tcPr>
            <w:tcW w:w="1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24"/>
                <w:szCs w:val="20"/>
              </w:rPr>
            </w:pPr>
            <w:r>
              <w:rPr>
                <w:rFonts w:hint="eastAsia" w:ascii="Times New Roman" w:hAnsi="Times New Roman" w:eastAsia="宋体" w:cs="Times New Roman"/>
                <w:kern w:val="0"/>
                <w:sz w:val="24"/>
                <w:szCs w:val="20"/>
              </w:rPr>
              <w:t>班组级</w:t>
            </w:r>
          </w:p>
        </w:tc>
        <w:tc>
          <w:tcPr>
            <w:tcW w:w="98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sz w:val="24"/>
                <w:szCs w:val="20"/>
                <w:lang w:val="en-US" w:eastAsia="zh-CN"/>
              </w:rPr>
            </w:pPr>
            <w:r>
              <w:rPr>
                <w:rFonts w:hint="eastAsia" w:hAnsi="Times New Roman" w:eastAsia="宋体" w:cs="Times New Roman"/>
                <w:kern w:val="0"/>
                <w:sz w:val="18"/>
                <w:szCs w:val="18"/>
                <w:lang w:val="en-US" w:eastAsia="zh-CN"/>
              </w:rPr>
              <w:t>刘波、母小菊</w:t>
            </w:r>
          </w:p>
        </w:tc>
        <w:tc>
          <w:tcPr>
            <w:tcW w:w="26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4"/>
                <w:szCs w:val="20"/>
              </w:rPr>
            </w:pPr>
          </w:p>
        </w:tc>
        <w:tc>
          <w:tcPr>
            <w:tcW w:w="89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4"/>
                <w:szCs w:val="20"/>
              </w:rPr>
            </w:pPr>
          </w:p>
        </w:tc>
      </w:tr>
    </w:tbl>
    <w:p>
      <w:pPr>
        <w:spacing w:line="300" w:lineRule="exact"/>
        <w:ind w:left="420" w:hanging="420" w:hangingChars="200"/>
      </w:pPr>
    </w:p>
    <w:p>
      <w:pPr>
        <w:widowControl/>
        <w:jc w:val="left"/>
        <w:sectPr>
          <w:type w:val="continuous"/>
          <w:pgSz w:w="16838" w:h="11906" w:orient="landscape"/>
          <w:pgMar w:top="567" w:right="567" w:bottom="567" w:left="567" w:header="851" w:footer="992" w:gutter="0"/>
          <w:cols w:space="720" w:num="1"/>
          <w:docGrid w:type="lines" w:linePitch="312" w:charSpace="0"/>
        </w:sectPr>
      </w:pPr>
      <w:r>
        <w:br w:type="page"/>
      </w:r>
    </w:p>
    <w:p>
      <w:pPr>
        <w:jc w:val="center"/>
        <w:rPr>
          <w:rFonts w:ascii="黑体" w:hAnsi="黑体" w:eastAsia="黑体" w:cs="黑体"/>
          <w:kern w:val="0"/>
          <w:sz w:val="32"/>
          <w:szCs w:val="32"/>
        </w:rPr>
      </w:pPr>
      <w:r>
        <w:rPr>
          <w:rFonts w:hint="eastAsia" w:ascii="黑体" w:hAnsi="黑体" w:eastAsia="黑体" w:cs="黑体"/>
          <w:kern w:val="0"/>
          <w:sz w:val="32"/>
          <w:szCs w:val="32"/>
        </w:rPr>
        <w:t>2-5中国石油四川南充销售分公司加油站卸油作业</w:t>
      </w:r>
      <w:r>
        <w:rPr>
          <w:rFonts w:ascii="黑体" w:hAnsi="黑体" w:eastAsia="黑体" w:cs="黑体"/>
          <w:kern w:val="0"/>
          <w:sz w:val="32"/>
          <w:szCs w:val="32"/>
        </w:rPr>
        <w:t>重大安全风险管控清单</w:t>
      </w:r>
    </w:p>
    <w:tbl>
      <w:tblPr>
        <w:tblStyle w:val="18"/>
        <w:tblW w:w="15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57"/>
        <w:gridCol w:w="1183"/>
        <w:gridCol w:w="1064"/>
        <w:gridCol w:w="2297"/>
        <w:gridCol w:w="235"/>
        <w:gridCol w:w="8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0" w:type="dxa"/>
            <w:gridSpan w:val="2"/>
            <w:vAlign w:val="center"/>
          </w:tcPr>
          <w:p>
            <w:pPr>
              <w:adjustRightInd w:val="0"/>
              <w:snapToGrid w:val="0"/>
              <w:jc w:val="center"/>
              <w:rPr>
                <w:rFonts w:ascii="方正黑体简体" w:eastAsia="方正黑体简体"/>
                <w:sz w:val="24"/>
              </w:rPr>
            </w:pPr>
            <w:r>
              <w:rPr>
                <w:rFonts w:hint="eastAsia" w:ascii="方正黑体简体" w:eastAsia="方正黑体简体"/>
                <w:sz w:val="24"/>
              </w:rPr>
              <w:t>风险点名称</w:t>
            </w:r>
          </w:p>
        </w:tc>
        <w:tc>
          <w:tcPr>
            <w:tcW w:w="2247" w:type="dxa"/>
            <w:gridSpan w:val="2"/>
            <w:vAlign w:val="center"/>
          </w:tcPr>
          <w:p>
            <w:pPr>
              <w:jc w:val="center"/>
              <w:rPr>
                <w:b/>
                <w:sz w:val="24"/>
              </w:rPr>
            </w:pPr>
            <w:r>
              <w:rPr>
                <w:rFonts w:hint="eastAsia"/>
                <w:b/>
                <w:sz w:val="24"/>
              </w:rPr>
              <w:t>加油站卸油作业</w:t>
            </w:r>
          </w:p>
        </w:tc>
        <w:tc>
          <w:tcPr>
            <w:tcW w:w="2297" w:type="dxa"/>
            <w:vMerge w:val="restart"/>
            <w:vAlign w:val="center"/>
          </w:tcPr>
          <w:p>
            <w:pPr>
              <w:adjustRightInd w:val="0"/>
              <w:snapToGrid w:val="0"/>
              <w:jc w:val="center"/>
              <w:rPr>
                <w:sz w:val="24"/>
              </w:rPr>
            </w:pPr>
            <w:r>
              <w:rPr>
                <w:sz w:val="24"/>
              </w:rPr>
              <w:t>主要风险概述</w:t>
            </w:r>
          </w:p>
        </w:tc>
        <w:tc>
          <w:tcPr>
            <w:tcW w:w="9196" w:type="dxa"/>
            <w:gridSpan w:val="2"/>
            <w:vMerge w:val="restart"/>
            <w:vAlign w:val="center"/>
          </w:tcPr>
          <w:p>
            <w:pPr>
              <w:adjustRightInd w:val="0"/>
              <w:snapToGrid w:val="0"/>
              <w:jc w:val="left"/>
              <w:rPr>
                <w:sz w:val="24"/>
              </w:rPr>
            </w:pPr>
            <w:r>
              <w:rPr>
                <w:rFonts w:hint="eastAsia"/>
                <w:kern w:val="0"/>
                <w:sz w:val="24"/>
              </w:rPr>
              <w:t>因静电、油品跑冒发生火灾爆炸事故。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0" w:type="dxa"/>
            <w:gridSpan w:val="2"/>
            <w:vAlign w:val="center"/>
          </w:tcPr>
          <w:p>
            <w:pPr>
              <w:adjustRightInd w:val="0"/>
              <w:snapToGrid w:val="0"/>
              <w:jc w:val="center"/>
              <w:rPr>
                <w:rFonts w:ascii="方正黑体简体" w:eastAsia="方正黑体简体"/>
                <w:sz w:val="24"/>
              </w:rPr>
            </w:pPr>
            <w:r>
              <w:rPr>
                <w:rFonts w:hint="eastAsia" w:ascii="方正黑体简体" w:eastAsia="方正黑体简体"/>
                <w:sz w:val="24"/>
              </w:rPr>
              <w:t>风险点编号</w:t>
            </w:r>
          </w:p>
        </w:tc>
        <w:tc>
          <w:tcPr>
            <w:tcW w:w="2247" w:type="dxa"/>
            <w:gridSpan w:val="2"/>
            <w:vAlign w:val="center"/>
          </w:tcPr>
          <w:p>
            <w:pPr>
              <w:jc w:val="center"/>
              <w:rPr>
                <w:b/>
                <w:sz w:val="24"/>
              </w:rPr>
            </w:pPr>
            <w:r>
              <w:rPr>
                <w:rFonts w:hint="eastAsia"/>
                <w:b/>
                <w:sz w:val="24"/>
              </w:rPr>
              <w:t>004</w:t>
            </w:r>
          </w:p>
        </w:tc>
        <w:tc>
          <w:tcPr>
            <w:tcW w:w="2297" w:type="dxa"/>
            <w:vMerge w:val="continue"/>
            <w:vAlign w:val="center"/>
          </w:tcPr>
          <w:p>
            <w:pPr>
              <w:adjustRightInd w:val="0"/>
              <w:snapToGrid w:val="0"/>
              <w:jc w:val="center"/>
              <w:rPr>
                <w:sz w:val="24"/>
              </w:rPr>
            </w:pPr>
          </w:p>
        </w:tc>
        <w:tc>
          <w:tcPr>
            <w:tcW w:w="9196" w:type="dxa"/>
            <w:gridSpan w:val="2"/>
            <w:vMerge w:val="continue"/>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80" w:type="dxa"/>
            <w:gridSpan w:val="2"/>
            <w:vAlign w:val="center"/>
          </w:tcPr>
          <w:p>
            <w:pPr>
              <w:adjustRightInd w:val="0"/>
              <w:snapToGrid w:val="0"/>
              <w:jc w:val="center"/>
              <w:rPr>
                <w:rFonts w:ascii="方正黑体简体" w:eastAsia="方正黑体简体"/>
                <w:sz w:val="24"/>
              </w:rPr>
            </w:pPr>
            <w:r>
              <w:rPr>
                <w:rFonts w:hint="eastAsia" w:ascii="方正黑体简体" w:eastAsia="方正黑体简体"/>
                <w:sz w:val="24"/>
              </w:rPr>
              <w:t>风险等级</w:t>
            </w:r>
          </w:p>
        </w:tc>
        <w:tc>
          <w:tcPr>
            <w:tcW w:w="2247" w:type="dxa"/>
            <w:gridSpan w:val="2"/>
            <w:vAlign w:val="center"/>
          </w:tcPr>
          <w:p>
            <w:pPr>
              <w:jc w:val="center"/>
              <w:rPr>
                <w:b/>
                <w:sz w:val="24"/>
              </w:rPr>
            </w:pPr>
            <w:r>
              <w:rPr>
                <w:rFonts w:hint="eastAsia"/>
                <w:b/>
                <w:sz w:val="24"/>
              </w:rPr>
              <w:t>重大</w:t>
            </w:r>
            <w:r>
              <w:rPr>
                <w:b/>
                <w:sz w:val="24"/>
              </w:rPr>
              <w:t>风险</w:t>
            </w:r>
          </w:p>
        </w:tc>
        <w:tc>
          <w:tcPr>
            <w:tcW w:w="2297" w:type="dxa"/>
            <w:vMerge w:val="continue"/>
            <w:vAlign w:val="center"/>
          </w:tcPr>
          <w:p>
            <w:pPr>
              <w:adjustRightInd w:val="0"/>
              <w:snapToGrid w:val="0"/>
              <w:jc w:val="center"/>
              <w:rPr>
                <w:sz w:val="24"/>
              </w:rPr>
            </w:pPr>
          </w:p>
        </w:tc>
        <w:tc>
          <w:tcPr>
            <w:tcW w:w="9196" w:type="dxa"/>
            <w:gridSpan w:val="2"/>
            <w:vMerge w:val="continue"/>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1523" w:type="dxa"/>
            <w:vAlign w:val="center"/>
          </w:tcPr>
          <w:p>
            <w:pPr>
              <w:adjustRightInd w:val="0"/>
              <w:snapToGrid w:val="0"/>
              <w:jc w:val="center"/>
              <w:rPr>
                <w:sz w:val="24"/>
              </w:rPr>
            </w:pPr>
            <w:r>
              <w:rPr>
                <w:sz w:val="24"/>
              </w:rPr>
              <w:t>关键控制指标</w:t>
            </w:r>
          </w:p>
        </w:tc>
        <w:tc>
          <w:tcPr>
            <w:tcW w:w="1840" w:type="dxa"/>
            <w:gridSpan w:val="2"/>
            <w:vAlign w:val="center"/>
          </w:tcPr>
          <w:p>
            <w:pPr>
              <w:rPr>
                <w:rStyle w:val="42"/>
              </w:rPr>
            </w:pPr>
            <w:r>
              <w:rPr>
                <w:rStyle w:val="42"/>
                <w:rFonts w:hint="eastAsia"/>
              </w:rPr>
              <w:t>1.汽车罐车进站停稳，将静电接地夹夹在罐车指定的位</w:t>
            </w:r>
            <w:r>
              <w:rPr>
                <w:rStyle w:val="42"/>
                <w:rFonts w:hint="eastAsia"/>
                <w:color w:val="auto"/>
              </w:rPr>
              <w:t>置，静置15分钟</w:t>
            </w:r>
            <w:r>
              <w:rPr>
                <w:rStyle w:val="42"/>
                <w:rFonts w:hint="eastAsia"/>
                <w:color w:val="FF0000"/>
              </w:rPr>
              <w:t>，</w:t>
            </w:r>
            <w:r>
              <w:rPr>
                <w:rStyle w:val="42"/>
                <w:rFonts w:hint="eastAsia"/>
              </w:rPr>
              <w:t>释放静电；</w:t>
            </w:r>
          </w:p>
          <w:p>
            <w:pPr>
              <w:rPr>
                <w:kern w:val="0"/>
                <w:sz w:val="24"/>
              </w:rPr>
            </w:pPr>
            <w:r>
              <w:rPr>
                <w:rFonts w:hint="eastAsia"/>
                <w:kern w:val="0"/>
                <w:sz w:val="24"/>
              </w:rPr>
              <w:t>2.油罐容量满足卸油数量，卸油及油气回收胶管静电导通；卸油管线、快速接头、阀门完好、无渗漏，量油口紧闭，通气管阀门启闭正确；</w:t>
            </w:r>
          </w:p>
          <w:p>
            <w:pPr>
              <w:rPr>
                <w:kern w:val="0"/>
                <w:sz w:val="24"/>
              </w:rPr>
            </w:pPr>
            <w:r>
              <w:rPr>
                <w:rStyle w:val="42"/>
                <w:rFonts w:hint="eastAsia"/>
              </w:rPr>
              <w:t>3.现场布置消防器材</w:t>
            </w:r>
            <w:r>
              <w:rPr>
                <w:rFonts w:hint="eastAsia"/>
                <w:kern w:val="0"/>
                <w:sz w:val="24"/>
              </w:rPr>
              <w:t>等应急物资，</w:t>
            </w:r>
            <w:r>
              <w:rPr>
                <w:rStyle w:val="42"/>
                <w:rFonts w:hint="eastAsia"/>
              </w:rPr>
              <w:t>严格</w:t>
            </w:r>
            <w:r>
              <w:rPr>
                <w:rFonts w:hint="eastAsia"/>
                <w:kern w:val="0"/>
                <w:sz w:val="24"/>
              </w:rPr>
              <w:t>现场监护；</w:t>
            </w:r>
          </w:p>
          <w:p>
            <w:pPr>
              <w:adjustRightInd w:val="0"/>
              <w:snapToGrid w:val="0"/>
              <w:jc w:val="left"/>
              <w:rPr>
                <w:sz w:val="24"/>
              </w:rPr>
            </w:pPr>
            <w:r>
              <w:rPr>
                <w:rFonts w:hint="eastAsia"/>
                <w:kern w:val="0"/>
                <w:sz w:val="24"/>
              </w:rPr>
              <w:t>4.卸油人员穿全套防静电工作服操作。</w:t>
            </w:r>
          </w:p>
        </w:tc>
        <w:tc>
          <w:tcPr>
            <w:tcW w:w="1064" w:type="dxa"/>
            <w:vAlign w:val="center"/>
          </w:tcPr>
          <w:p>
            <w:pPr>
              <w:adjustRightInd w:val="0"/>
              <w:snapToGrid w:val="0"/>
              <w:jc w:val="center"/>
              <w:rPr>
                <w:sz w:val="24"/>
              </w:rPr>
            </w:pPr>
            <w:r>
              <w:rPr>
                <w:sz w:val="24"/>
              </w:rPr>
              <w:t>关键管控措施</w:t>
            </w:r>
          </w:p>
        </w:tc>
        <w:tc>
          <w:tcPr>
            <w:tcW w:w="11493" w:type="dxa"/>
            <w:gridSpan w:val="3"/>
            <w:vAlign w:val="center"/>
          </w:tcPr>
          <w:p>
            <w:pPr>
              <w:jc w:val="left"/>
              <w:rPr>
                <w:sz w:val="24"/>
              </w:rPr>
            </w:pPr>
          </w:p>
          <w:p>
            <w:pPr>
              <w:jc w:val="left"/>
              <w:rPr>
                <w:b/>
                <w:sz w:val="24"/>
              </w:rPr>
            </w:pPr>
            <w:r>
              <w:rPr>
                <w:rFonts w:hint="eastAsia"/>
                <w:b/>
                <w:sz w:val="24"/>
              </w:rPr>
              <w:t>一</w:t>
            </w:r>
            <w:r>
              <w:rPr>
                <w:b/>
                <w:sz w:val="24"/>
              </w:rPr>
              <w:t>、</w:t>
            </w:r>
            <w:r>
              <w:rPr>
                <w:rFonts w:hint="eastAsia"/>
                <w:b/>
                <w:sz w:val="24"/>
              </w:rPr>
              <w:t>加油站</w:t>
            </w:r>
            <w:r>
              <w:rPr>
                <w:b/>
                <w:sz w:val="24"/>
              </w:rPr>
              <w:t>级</w:t>
            </w:r>
            <w:r>
              <w:rPr>
                <w:rFonts w:hint="eastAsia"/>
                <w:b/>
                <w:sz w:val="24"/>
              </w:rPr>
              <w:t>：</w:t>
            </w:r>
          </w:p>
          <w:p>
            <w:pPr>
              <w:adjustRightInd w:val="0"/>
              <w:snapToGrid w:val="0"/>
              <w:jc w:val="left"/>
              <w:rPr>
                <w:sz w:val="24"/>
              </w:rPr>
            </w:pPr>
            <w:r>
              <w:rPr>
                <w:rFonts w:hint="eastAsia"/>
                <w:sz w:val="24"/>
              </w:rPr>
              <w:t>1.卸油人员需经过培训合格，严格遵守卸油操作规程，杜绝违章行为，针对卸油设备开展巡检；</w:t>
            </w:r>
          </w:p>
          <w:p>
            <w:pPr>
              <w:adjustRightInd w:val="0"/>
              <w:snapToGrid w:val="0"/>
              <w:jc w:val="left"/>
              <w:rPr>
                <w:sz w:val="24"/>
              </w:rPr>
            </w:pPr>
            <w:r>
              <w:rPr>
                <w:rFonts w:hint="eastAsia"/>
                <w:sz w:val="24"/>
              </w:rPr>
              <w:t>2.卸油前认真检查静电接地夹能否正常工作，确保正确连接静电接地夹；</w:t>
            </w:r>
          </w:p>
          <w:p>
            <w:pPr>
              <w:adjustRightInd w:val="0"/>
              <w:snapToGrid w:val="0"/>
              <w:jc w:val="left"/>
              <w:rPr>
                <w:sz w:val="24"/>
              </w:rPr>
            </w:pPr>
            <w:r>
              <w:rPr>
                <w:rFonts w:hint="eastAsia"/>
                <w:sz w:val="24"/>
              </w:rPr>
              <w:t>3.卸油胶管与接头应有效跨接，作业前应按要求进行安全条件复查；</w:t>
            </w:r>
          </w:p>
          <w:p>
            <w:pPr>
              <w:adjustRightInd w:val="0"/>
              <w:snapToGrid w:val="0"/>
              <w:jc w:val="left"/>
              <w:rPr>
                <w:sz w:val="24"/>
              </w:rPr>
            </w:pPr>
            <w:r>
              <w:rPr>
                <w:rFonts w:hint="eastAsia"/>
                <w:sz w:val="24"/>
              </w:rPr>
              <w:t>4.卸油作业卸油员和驾驶员必须在场进行监护；</w:t>
            </w:r>
          </w:p>
          <w:p>
            <w:pPr>
              <w:adjustRightInd w:val="0"/>
              <w:snapToGrid w:val="0"/>
              <w:jc w:val="left"/>
              <w:rPr>
                <w:sz w:val="24"/>
              </w:rPr>
            </w:pPr>
            <w:r>
              <w:rPr>
                <w:rFonts w:hint="eastAsia"/>
                <w:sz w:val="24"/>
              </w:rPr>
              <w:t>5.卸油现场配备足够数量的消防器材且处于临战状态；</w:t>
            </w:r>
          </w:p>
          <w:p>
            <w:pPr>
              <w:adjustRightInd w:val="0"/>
              <w:snapToGrid w:val="0"/>
              <w:jc w:val="left"/>
              <w:rPr>
                <w:sz w:val="24"/>
              </w:rPr>
            </w:pPr>
            <w:r>
              <w:rPr>
                <w:rFonts w:hint="eastAsia"/>
                <w:sz w:val="24"/>
              </w:rPr>
              <w:t>6.卸油时设置明显的警戒线，禁止无关人员进入卸油作业现场；</w:t>
            </w:r>
          </w:p>
          <w:p>
            <w:pPr>
              <w:adjustRightInd w:val="0"/>
              <w:snapToGrid w:val="0"/>
              <w:jc w:val="left"/>
              <w:rPr>
                <w:sz w:val="24"/>
              </w:rPr>
            </w:pPr>
            <w:r>
              <w:rPr>
                <w:rFonts w:hint="eastAsia"/>
                <w:sz w:val="24"/>
              </w:rPr>
              <w:t>7.卸前确认所卸油罐空容。</w:t>
            </w:r>
          </w:p>
          <w:p>
            <w:pPr>
              <w:adjustRightInd w:val="0"/>
              <w:snapToGrid w:val="0"/>
              <w:jc w:val="left"/>
              <w:rPr>
                <w:sz w:val="24"/>
              </w:rPr>
            </w:pPr>
            <w:r>
              <w:rPr>
                <w:rFonts w:hint="eastAsia"/>
                <w:sz w:val="24"/>
              </w:rPr>
              <w:t>8.雷电下严禁进行卸油作业；</w:t>
            </w:r>
          </w:p>
          <w:p>
            <w:pPr>
              <w:adjustRightInd w:val="0"/>
              <w:snapToGrid w:val="0"/>
              <w:jc w:val="left"/>
              <w:rPr>
                <w:sz w:val="24"/>
              </w:rPr>
            </w:pPr>
            <w:r>
              <w:rPr>
                <w:rFonts w:hint="eastAsia"/>
                <w:sz w:val="24"/>
              </w:rPr>
              <w:t>9.正确穿戴和使用劳动防护用品及应急物资。</w:t>
            </w:r>
          </w:p>
          <w:p>
            <w:pPr>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4"/>
                <w:szCs w:val="20"/>
              </w:rPr>
              <w:t>二、管理人员级：</w:t>
            </w:r>
          </w:p>
          <w:p>
            <w:pPr>
              <w:widowControl/>
              <w:textAlignment w:val="center"/>
              <w:rPr>
                <w:rStyle w:val="47"/>
                <w:rFonts w:hint="default" w:ascii="Times New Roman" w:hAnsi="Times New Roman" w:eastAsia="宋体" w:cs="Times New Roman"/>
                <w:kern w:val="0"/>
              </w:rPr>
            </w:pPr>
            <w:r>
              <w:rPr>
                <w:rFonts w:ascii="Times New Roman" w:hAnsi="Times New Roman" w:eastAsia="宋体" w:cs="Times New Roman"/>
                <w:kern w:val="0"/>
                <w:sz w:val="24"/>
                <w:szCs w:val="20"/>
              </w:rPr>
              <w:t>1</w:t>
            </w:r>
            <w:r>
              <w:rPr>
                <w:rStyle w:val="47"/>
                <w:rFonts w:hint="default" w:ascii="Times New Roman" w:hAnsi="Times New Roman" w:eastAsia="宋体" w:cs="Times New Roman"/>
                <w:kern w:val="0"/>
              </w:rPr>
              <w:t>.</w:t>
            </w:r>
            <w:r>
              <w:rPr>
                <w:rFonts w:hint="eastAsia" w:ascii="Times New Roman" w:hAnsi="Times New Roman" w:eastAsia="宋体" w:cs="Times New Roman"/>
                <w:color w:val="000000"/>
                <w:kern w:val="0"/>
                <w:sz w:val="24"/>
                <w:szCs w:val="20"/>
              </w:rPr>
              <w:t>对作业现场进行监护；</w:t>
            </w:r>
          </w:p>
          <w:p>
            <w:pPr>
              <w:widowControl/>
              <w:textAlignment w:val="center"/>
              <w:rPr>
                <w:rStyle w:val="42"/>
                <w:rFonts w:eastAsia="宋体"/>
                <w:kern w:val="0"/>
              </w:rPr>
            </w:pPr>
            <w:r>
              <w:rPr>
                <w:rStyle w:val="47"/>
                <w:rFonts w:hint="default" w:ascii="Times New Roman" w:hAnsi="Times New Roman" w:eastAsia="宋体" w:cs="Times New Roman"/>
                <w:kern w:val="0"/>
              </w:rPr>
              <w:t>2.</w:t>
            </w:r>
            <w:r>
              <w:rPr>
                <w:rFonts w:hint="eastAsia" w:ascii="Times New Roman" w:hAnsi="Times New Roman" w:eastAsia="宋体" w:cs="Times New Roman"/>
                <w:kern w:val="0"/>
                <w:sz w:val="24"/>
                <w:szCs w:val="20"/>
              </w:rPr>
              <w:t>对违反操作规程的行为叫停</w:t>
            </w:r>
          </w:p>
          <w:p>
            <w:pPr>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4"/>
                <w:szCs w:val="20"/>
              </w:rPr>
              <w:t>三、班组级：</w:t>
            </w:r>
          </w:p>
          <w:p>
            <w:pPr>
              <w:jc w:val="left"/>
              <w:rPr>
                <w:rStyle w:val="47"/>
                <w:rFonts w:hint="default" w:ascii="Times New Roman" w:hAnsi="Times New Roman" w:eastAsia="宋体" w:cs="Times New Roman"/>
                <w:kern w:val="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现场进行监护、防止非作业人员进入卸油区</w:t>
            </w:r>
            <w:r>
              <w:rPr>
                <w:rStyle w:val="47"/>
                <w:rFonts w:hint="default" w:ascii="Times New Roman" w:hAnsi="Times New Roman" w:eastAsia="宋体" w:cs="Times New Roman"/>
                <w:kern w:val="0"/>
              </w:rPr>
              <w:t>；</w:t>
            </w:r>
          </w:p>
          <w:p>
            <w:pPr>
              <w:jc w:val="left"/>
              <w:rPr>
                <w:color w:val="000000"/>
                <w:kern w:val="0"/>
                <w:sz w:val="24"/>
              </w:rPr>
            </w:pPr>
            <w:r>
              <w:rPr>
                <w:rStyle w:val="47"/>
                <w:rFonts w:hint="default" w:ascii="Times New Roman" w:hAnsi="Times New Roman" w:eastAsia="宋体" w:cs="Times New Roman"/>
                <w:kern w:val="0"/>
              </w:rPr>
              <w:t>2.</w:t>
            </w:r>
            <w:r>
              <w:rPr>
                <w:rFonts w:hint="eastAsia" w:ascii="Times New Roman" w:hAnsi="Times New Roman" w:eastAsia="宋体" w:cs="Times New Roman"/>
                <w:kern w:val="0"/>
                <w:sz w:val="24"/>
                <w:szCs w:val="20"/>
              </w:rPr>
              <w:t>发现问题及时上报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523" w:type="dxa"/>
            <w:vMerge w:val="restart"/>
            <w:vAlign w:val="center"/>
          </w:tcPr>
          <w:p>
            <w:pPr>
              <w:adjustRightInd w:val="0"/>
              <w:snapToGrid w:val="0"/>
              <w:jc w:val="center"/>
              <w:rPr>
                <w:sz w:val="24"/>
              </w:rPr>
            </w:pPr>
            <w:r>
              <w:rPr>
                <w:sz w:val="24"/>
              </w:rPr>
              <w:t>责任人</w:t>
            </w:r>
          </w:p>
        </w:tc>
        <w:tc>
          <w:tcPr>
            <w:tcW w:w="1840" w:type="dxa"/>
            <w:gridSpan w:val="2"/>
            <w:vAlign w:val="center"/>
          </w:tcPr>
          <w:p>
            <w:pPr>
              <w:adjustRightInd w:val="0"/>
              <w:snapToGrid w:val="0"/>
              <w:rPr>
                <w:sz w:val="24"/>
              </w:rPr>
            </w:pPr>
            <w:r>
              <w:rPr>
                <w:rFonts w:hint="eastAsia" w:ascii="Times New Roman" w:hAnsi="Times New Roman" w:eastAsia="宋体" w:cs="Times New Roman"/>
                <w:kern w:val="0"/>
                <w:sz w:val="24"/>
                <w:szCs w:val="20"/>
              </w:rPr>
              <w:t>加油站级</w:t>
            </w:r>
          </w:p>
        </w:tc>
        <w:tc>
          <w:tcPr>
            <w:tcW w:w="1064" w:type="dxa"/>
            <w:vAlign w:val="center"/>
          </w:tcPr>
          <w:p>
            <w:pPr>
              <w:adjustRightInd w:val="0"/>
              <w:snapToGrid w:val="0"/>
              <w:rPr>
                <w:rFonts w:hint="default" w:eastAsiaTheme="minorEastAsia"/>
                <w:color w:val="FF0000"/>
                <w:sz w:val="24"/>
                <w:lang w:val="en-US" w:eastAsia="zh-CN"/>
              </w:rPr>
            </w:pPr>
            <w:r>
              <w:rPr>
                <w:rFonts w:hint="eastAsia"/>
                <w:color w:val="auto"/>
                <w:sz w:val="24"/>
                <w:lang w:val="en-US" w:eastAsia="zh-CN"/>
              </w:rPr>
              <w:t>刘沧锐</w:t>
            </w:r>
          </w:p>
        </w:tc>
        <w:tc>
          <w:tcPr>
            <w:tcW w:w="2532" w:type="dxa"/>
            <w:gridSpan w:val="2"/>
            <w:vAlign w:val="center"/>
          </w:tcPr>
          <w:p>
            <w:pPr>
              <w:adjustRightInd w:val="0"/>
              <w:snapToGrid w:val="0"/>
              <w:jc w:val="center"/>
              <w:rPr>
                <w:sz w:val="24"/>
              </w:rPr>
            </w:pPr>
            <w:r>
              <w:rPr>
                <w:sz w:val="24"/>
              </w:rPr>
              <w:t>主要事故类型</w:t>
            </w:r>
          </w:p>
        </w:tc>
        <w:tc>
          <w:tcPr>
            <w:tcW w:w="8961" w:type="dxa"/>
            <w:vAlign w:val="center"/>
          </w:tcPr>
          <w:p>
            <w:pPr>
              <w:jc w:val="left"/>
              <w:rPr>
                <w:sz w:val="24"/>
              </w:rPr>
            </w:pPr>
            <w:r>
              <w:rPr>
                <w:sz w:val="24"/>
              </w:rPr>
              <w:t>火灾、爆炸</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523" w:type="dxa"/>
            <w:vMerge w:val="continue"/>
            <w:vAlign w:val="center"/>
          </w:tcPr>
          <w:p>
            <w:pPr>
              <w:adjustRightInd w:val="0"/>
              <w:snapToGrid w:val="0"/>
              <w:jc w:val="center"/>
              <w:rPr>
                <w:sz w:val="24"/>
              </w:rPr>
            </w:pPr>
          </w:p>
        </w:tc>
        <w:tc>
          <w:tcPr>
            <w:tcW w:w="1840" w:type="dxa"/>
            <w:gridSpan w:val="2"/>
            <w:vAlign w:val="center"/>
          </w:tcPr>
          <w:p>
            <w:pPr>
              <w:adjustRightInd w:val="0"/>
              <w:snapToGrid w:val="0"/>
              <w:rPr>
                <w:sz w:val="24"/>
              </w:rPr>
            </w:pPr>
            <w:r>
              <w:rPr>
                <w:rFonts w:hint="eastAsia" w:ascii="Times New Roman" w:hAnsi="Times New Roman" w:eastAsia="宋体" w:cs="Times New Roman"/>
                <w:kern w:val="0"/>
                <w:sz w:val="24"/>
                <w:szCs w:val="20"/>
              </w:rPr>
              <w:t>管理人员级</w:t>
            </w:r>
          </w:p>
        </w:tc>
        <w:tc>
          <w:tcPr>
            <w:tcW w:w="1064" w:type="dxa"/>
            <w:vAlign w:val="center"/>
          </w:tcPr>
          <w:p>
            <w:pPr>
              <w:adjustRightInd w:val="0"/>
              <w:snapToGrid w:val="0"/>
              <w:rPr>
                <w:rFonts w:hint="eastAsia" w:eastAsiaTheme="minorEastAsia"/>
                <w:color w:val="FF0000"/>
                <w:sz w:val="24"/>
                <w:lang w:val="en-US" w:eastAsia="zh-CN"/>
              </w:rPr>
            </w:pPr>
            <w:r>
              <w:rPr>
                <w:rFonts w:hint="eastAsia" w:ascii="Times New Roman" w:hAnsi="Times New Roman" w:eastAsia="宋体" w:cs="Times New Roman"/>
                <w:kern w:val="0"/>
                <w:sz w:val="24"/>
                <w:szCs w:val="20"/>
                <w:lang w:val="en-US" w:eastAsia="zh-CN"/>
              </w:rPr>
              <w:t>刘沧锐</w:t>
            </w:r>
          </w:p>
        </w:tc>
        <w:tc>
          <w:tcPr>
            <w:tcW w:w="2532" w:type="dxa"/>
            <w:gridSpan w:val="2"/>
            <w:vMerge w:val="restart"/>
            <w:vAlign w:val="center"/>
          </w:tcPr>
          <w:p>
            <w:pPr>
              <w:adjustRightInd w:val="0"/>
              <w:snapToGrid w:val="0"/>
              <w:jc w:val="center"/>
              <w:rPr>
                <w:sz w:val="24"/>
              </w:rPr>
            </w:pPr>
            <w:r>
              <w:rPr>
                <w:sz w:val="24"/>
              </w:rPr>
              <w:t>应急处置措施</w:t>
            </w:r>
          </w:p>
        </w:tc>
        <w:tc>
          <w:tcPr>
            <w:tcW w:w="8961" w:type="dxa"/>
            <w:vMerge w:val="restart"/>
            <w:vAlign w:val="center"/>
          </w:tcPr>
          <w:p>
            <w:pPr>
              <w:adjustRightInd w:val="0"/>
              <w:snapToGrid w:val="0"/>
              <w:jc w:val="left"/>
              <w:rPr>
                <w:sz w:val="24"/>
              </w:rPr>
            </w:pPr>
            <w:r>
              <w:rPr>
                <w:sz w:val="24"/>
              </w:rPr>
              <w:t>1.疏散周边人员，对事故现场实施隔离和警戒；</w:t>
            </w:r>
          </w:p>
          <w:p>
            <w:pPr>
              <w:adjustRightInd w:val="0"/>
              <w:snapToGrid w:val="0"/>
              <w:jc w:val="left"/>
              <w:rPr>
                <w:sz w:val="24"/>
              </w:rPr>
            </w:pPr>
            <w:r>
              <w:rPr>
                <w:sz w:val="24"/>
              </w:rPr>
              <w:t>2.对受伤人员及时组织救援，拨打120、119</w:t>
            </w:r>
            <w:r>
              <w:rPr>
                <w:rFonts w:hint="eastAsia"/>
                <w:sz w:val="24"/>
              </w:rPr>
              <w:t>或</w:t>
            </w:r>
            <w:r>
              <w:rPr>
                <w:sz w:val="24"/>
              </w:rPr>
              <w:t>110求救；</w:t>
            </w:r>
          </w:p>
          <w:p>
            <w:pPr>
              <w:adjustRightInd w:val="0"/>
              <w:snapToGrid w:val="0"/>
              <w:jc w:val="left"/>
              <w:rPr>
                <w:sz w:val="24"/>
              </w:rPr>
            </w:pPr>
            <w:r>
              <w:rPr>
                <w:sz w:val="24"/>
              </w:rPr>
              <w:t>3.根据应急预案进行处置并按要求上报</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523" w:type="dxa"/>
            <w:vMerge w:val="continue"/>
            <w:vAlign w:val="center"/>
          </w:tcPr>
          <w:p>
            <w:pPr>
              <w:adjustRightInd w:val="0"/>
              <w:snapToGrid w:val="0"/>
              <w:jc w:val="center"/>
              <w:rPr>
                <w:sz w:val="24"/>
              </w:rPr>
            </w:pPr>
          </w:p>
        </w:tc>
        <w:tc>
          <w:tcPr>
            <w:tcW w:w="1840" w:type="dxa"/>
            <w:gridSpan w:val="2"/>
            <w:vAlign w:val="center"/>
          </w:tcPr>
          <w:p>
            <w:pPr>
              <w:adjustRightInd w:val="0"/>
              <w:snapToGrid w:val="0"/>
              <w:rPr>
                <w:sz w:val="24"/>
              </w:rPr>
            </w:pPr>
            <w:r>
              <w:rPr>
                <w:rFonts w:hint="eastAsia" w:ascii="Times New Roman" w:hAnsi="Times New Roman" w:eastAsia="宋体" w:cs="Times New Roman"/>
                <w:kern w:val="0"/>
                <w:sz w:val="24"/>
                <w:szCs w:val="20"/>
              </w:rPr>
              <w:t>班组级</w:t>
            </w:r>
          </w:p>
        </w:tc>
        <w:tc>
          <w:tcPr>
            <w:tcW w:w="1064" w:type="dxa"/>
            <w:vAlign w:val="center"/>
          </w:tcPr>
          <w:p>
            <w:pPr>
              <w:adjustRightInd w:val="0"/>
              <w:snapToGrid w:val="0"/>
              <w:rPr>
                <w:rFonts w:hint="default" w:eastAsiaTheme="minorEastAsia"/>
                <w:color w:val="FF0000"/>
                <w:sz w:val="24"/>
                <w:lang w:val="en-US" w:eastAsia="zh-CN"/>
              </w:rPr>
            </w:pPr>
            <w:r>
              <w:rPr>
                <w:rFonts w:hint="eastAsia" w:hAnsi="Times New Roman" w:eastAsia="宋体" w:cs="Times New Roman"/>
                <w:kern w:val="0"/>
                <w:sz w:val="18"/>
                <w:szCs w:val="18"/>
                <w:lang w:val="en-US" w:eastAsia="zh-CN"/>
              </w:rPr>
              <w:t>刘波、母小菊</w:t>
            </w:r>
          </w:p>
        </w:tc>
        <w:tc>
          <w:tcPr>
            <w:tcW w:w="2532" w:type="dxa"/>
            <w:gridSpan w:val="2"/>
            <w:vMerge w:val="continue"/>
            <w:vAlign w:val="center"/>
          </w:tcPr>
          <w:p>
            <w:pPr>
              <w:adjustRightInd w:val="0"/>
              <w:snapToGrid w:val="0"/>
              <w:jc w:val="center"/>
              <w:rPr>
                <w:sz w:val="24"/>
              </w:rPr>
            </w:pPr>
          </w:p>
        </w:tc>
        <w:tc>
          <w:tcPr>
            <w:tcW w:w="8961" w:type="dxa"/>
            <w:vMerge w:val="continue"/>
            <w:vAlign w:val="center"/>
          </w:tcPr>
          <w:p>
            <w:pPr>
              <w:adjustRightInd w:val="0"/>
              <w:snapToGrid w:val="0"/>
              <w:jc w:val="center"/>
              <w:rPr>
                <w:sz w:val="24"/>
              </w:rPr>
            </w:pPr>
          </w:p>
        </w:tc>
      </w:tr>
    </w:tbl>
    <w:p>
      <w:pPr>
        <w:widowControl/>
        <w:adjustRightInd w:val="0"/>
        <w:snapToGrid w:val="0"/>
        <w:jc w:val="center"/>
        <w:outlineLvl w:val="0"/>
        <w:rPr>
          <w:rFonts w:eastAsia="方正小标宋简体"/>
          <w:sz w:val="36"/>
          <w:szCs w:val="36"/>
        </w:rPr>
      </w:pPr>
      <w:r>
        <w:br w:type="page"/>
      </w:r>
    </w:p>
    <w:p>
      <w:pPr>
        <w:jc w:val="center"/>
        <w:rPr>
          <w:rFonts w:ascii="黑体" w:hAnsi="黑体" w:eastAsia="黑体" w:cs="黑体"/>
          <w:kern w:val="0"/>
          <w:sz w:val="32"/>
          <w:szCs w:val="32"/>
        </w:rPr>
      </w:pPr>
      <w:r>
        <w:rPr>
          <w:rFonts w:hint="eastAsia" w:ascii="黑体" w:hAnsi="黑体" w:eastAsia="黑体" w:cs="黑体"/>
          <w:kern w:val="0"/>
          <w:sz w:val="32"/>
          <w:szCs w:val="32"/>
        </w:rPr>
        <w:t>2-6</w:t>
      </w:r>
      <w:r>
        <w:rPr>
          <w:rFonts w:ascii="黑体" w:hAnsi="黑体" w:eastAsia="黑体" w:cs="黑体"/>
          <w:kern w:val="0"/>
          <w:sz w:val="32"/>
          <w:szCs w:val="32"/>
        </w:rPr>
        <w:t xml:space="preserve"> </w:t>
      </w:r>
      <w:r>
        <w:rPr>
          <w:rFonts w:hint="eastAsia" w:ascii="黑体" w:hAnsi="黑体" w:eastAsia="黑体" w:cs="黑体"/>
          <w:kern w:val="0"/>
          <w:sz w:val="32"/>
          <w:szCs w:val="32"/>
        </w:rPr>
        <w:t>中国石油四川南充销售分公司加注散装汽油</w:t>
      </w:r>
      <w:r>
        <w:rPr>
          <w:rFonts w:ascii="黑体" w:hAnsi="黑体" w:eastAsia="黑体" w:cs="黑体"/>
          <w:kern w:val="0"/>
          <w:sz w:val="32"/>
          <w:szCs w:val="32"/>
        </w:rPr>
        <w:t>重大安全风险管控清单</w:t>
      </w:r>
    </w:p>
    <w:tbl>
      <w:tblPr>
        <w:tblStyle w:val="18"/>
        <w:tblW w:w="15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61"/>
        <w:gridCol w:w="1190"/>
        <w:gridCol w:w="1450"/>
        <w:gridCol w:w="1932"/>
        <w:gridCol w:w="236"/>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7" w:type="dxa"/>
            <w:gridSpan w:val="2"/>
            <w:vAlign w:val="center"/>
          </w:tcPr>
          <w:p>
            <w:pPr>
              <w:adjustRightInd w:val="0"/>
              <w:snapToGrid w:val="0"/>
              <w:jc w:val="center"/>
              <w:rPr>
                <w:rFonts w:eastAsia="黑体"/>
                <w:sz w:val="24"/>
              </w:rPr>
            </w:pPr>
            <w:r>
              <w:rPr>
                <w:rFonts w:eastAsia="黑体"/>
                <w:sz w:val="24"/>
              </w:rPr>
              <w:t>风险点名称</w:t>
            </w:r>
          </w:p>
        </w:tc>
        <w:tc>
          <w:tcPr>
            <w:tcW w:w="2640" w:type="dxa"/>
            <w:gridSpan w:val="2"/>
            <w:vAlign w:val="center"/>
          </w:tcPr>
          <w:p>
            <w:pPr>
              <w:jc w:val="center"/>
              <w:rPr>
                <w:rFonts w:eastAsia="仿宋"/>
                <w:b/>
                <w:sz w:val="24"/>
              </w:rPr>
            </w:pPr>
            <w:r>
              <w:rPr>
                <w:rFonts w:hint="eastAsia"/>
                <w:b/>
                <w:sz w:val="24"/>
              </w:rPr>
              <w:t>加注散装汽油</w:t>
            </w:r>
          </w:p>
        </w:tc>
        <w:tc>
          <w:tcPr>
            <w:tcW w:w="1932" w:type="dxa"/>
            <w:vMerge w:val="restart"/>
            <w:vAlign w:val="center"/>
          </w:tcPr>
          <w:p>
            <w:pPr>
              <w:adjustRightInd w:val="0"/>
              <w:snapToGrid w:val="0"/>
              <w:jc w:val="center"/>
              <w:rPr>
                <w:rFonts w:eastAsia="仿宋"/>
                <w:sz w:val="24"/>
              </w:rPr>
            </w:pPr>
            <w:r>
              <w:rPr>
                <w:rFonts w:eastAsia="黑体"/>
                <w:sz w:val="24"/>
              </w:rPr>
              <w:t>主要风险概述</w:t>
            </w:r>
          </w:p>
        </w:tc>
        <w:tc>
          <w:tcPr>
            <w:tcW w:w="9161" w:type="dxa"/>
            <w:gridSpan w:val="2"/>
            <w:vMerge w:val="restart"/>
            <w:vAlign w:val="center"/>
          </w:tcPr>
          <w:p>
            <w:pPr>
              <w:adjustRightInd w:val="0"/>
              <w:snapToGrid w:val="0"/>
              <w:jc w:val="left"/>
              <w:rPr>
                <w:sz w:val="24"/>
              </w:rPr>
            </w:pPr>
            <w:r>
              <w:rPr>
                <w:rFonts w:hint="eastAsia"/>
                <w:kern w:val="0"/>
                <w:sz w:val="24"/>
              </w:rPr>
              <w:t>因静电、油品跑冒和散装油品非法使用发生火灾爆炸事故。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7" w:type="dxa"/>
            <w:gridSpan w:val="2"/>
            <w:vAlign w:val="center"/>
          </w:tcPr>
          <w:p>
            <w:pPr>
              <w:adjustRightInd w:val="0"/>
              <w:snapToGrid w:val="0"/>
              <w:jc w:val="center"/>
              <w:rPr>
                <w:rFonts w:eastAsia="黑体"/>
                <w:sz w:val="24"/>
              </w:rPr>
            </w:pPr>
            <w:r>
              <w:rPr>
                <w:rFonts w:eastAsia="黑体"/>
                <w:sz w:val="24"/>
              </w:rPr>
              <w:t>风险点编号</w:t>
            </w:r>
          </w:p>
        </w:tc>
        <w:tc>
          <w:tcPr>
            <w:tcW w:w="2640" w:type="dxa"/>
            <w:gridSpan w:val="2"/>
            <w:vAlign w:val="center"/>
          </w:tcPr>
          <w:p>
            <w:pPr>
              <w:jc w:val="center"/>
              <w:rPr>
                <w:rFonts w:eastAsia="仿宋"/>
                <w:b/>
                <w:sz w:val="24"/>
              </w:rPr>
            </w:pPr>
            <w:r>
              <w:rPr>
                <w:rFonts w:hint="eastAsia" w:eastAsia="仿宋"/>
                <w:b/>
                <w:sz w:val="24"/>
              </w:rPr>
              <w:t>005</w:t>
            </w:r>
          </w:p>
        </w:tc>
        <w:tc>
          <w:tcPr>
            <w:tcW w:w="1932" w:type="dxa"/>
            <w:vMerge w:val="continue"/>
            <w:vAlign w:val="center"/>
          </w:tcPr>
          <w:p>
            <w:pPr>
              <w:adjustRightInd w:val="0"/>
              <w:snapToGrid w:val="0"/>
              <w:jc w:val="center"/>
              <w:rPr>
                <w:rFonts w:eastAsia="仿宋"/>
                <w:sz w:val="24"/>
              </w:rPr>
            </w:pPr>
          </w:p>
        </w:tc>
        <w:tc>
          <w:tcPr>
            <w:tcW w:w="9161" w:type="dxa"/>
            <w:gridSpan w:val="2"/>
            <w:vMerge w:val="continue"/>
            <w:vAlign w:val="center"/>
          </w:tcPr>
          <w:p>
            <w:pPr>
              <w:adjustRightInd w:val="0"/>
              <w:snapToGrid w:val="0"/>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87" w:type="dxa"/>
            <w:gridSpan w:val="2"/>
            <w:vAlign w:val="center"/>
          </w:tcPr>
          <w:p>
            <w:pPr>
              <w:adjustRightInd w:val="0"/>
              <w:snapToGrid w:val="0"/>
              <w:jc w:val="center"/>
              <w:rPr>
                <w:rFonts w:eastAsia="黑体"/>
                <w:sz w:val="24"/>
              </w:rPr>
            </w:pPr>
            <w:r>
              <w:rPr>
                <w:rFonts w:eastAsia="黑体"/>
                <w:sz w:val="24"/>
              </w:rPr>
              <w:t>风险等级</w:t>
            </w:r>
          </w:p>
        </w:tc>
        <w:tc>
          <w:tcPr>
            <w:tcW w:w="2640" w:type="dxa"/>
            <w:gridSpan w:val="2"/>
            <w:vAlign w:val="center"/>
          </w:tcPr>
          <w:p>
            <w:pPr>
              <w:jc w:val="center"/>
              <w:rPr>
                <w:rFonts w:eastAsia="仿宋"/>
                <w:b/>
                <w:sz w:val="24"/>
              </w:rPr>
            </w:pPr>
            <w:r>
              <w:rPr>
                <w:rFonts w:hint="eastAsia"/>
                <w:b/>
                <w:sz w:val="24"/>
              </w:rPr>
              <w:t>重大</w:t>
            </w:r>
            <w:r>
              <w:rPr>
                <w:b/>
                <w:sz w:val="24"/>
              </w:rPr>
              <w:t>风险</w:t>
            </w:r>
          </w:p>
        </w:tc>
        <w:tc>
          <w:tcPr>
            <w:tcW w:w="1932" w:type="dxa"/>
            <w:vMerge w:val="continue"/>
            <w:vAlign w:val="center"/>
          </w:tcPr>
          <w:p>
            <w:pPr>
              <w:adjustRightInd w:val="0"/>
              <w:snapToGrid w:val="0"/>
              <w:jc w:val="center"/>
              <w:rPr>
                <w:rFonts w:eastAsia="仿宋"/>
                <w:sz w:val="24"/>
              </w:rPr>
            </w:pPr>
          </w:p>
        </w:tc>
        <w:tc>
          <w:tcPr>
            <w:tcW w:w="9161" w:type="dxa"/>
            <w:gridSpan w:val="2"/>
            <w:vMerge w:val="continue"/>
            <w:vAlign w:val="center"/>
          </w:tcPr>
          <w:p>
            <w:pPr>
              <w:adjustRightInd w:val="0"/>
              <w:snapToGrid w:val="0"/>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6" w:hRule="atLeast"/>
          <w:jc w:val="center"/>
        </w:trPr>
        <w:tc>
          <w:tcPr>
            <w:tcW w:w="1526" w:type="dxa"/>
            <w:vAlign w:val="center"/>
          </w:tcPr>
          <w:p>
            <w:pPr>
              <w:jc w:val="center"/>
              <w:rPr>
                <w:sz w:val="24"/>
              </w:rPr>
            </w:pPr>
            <w:r>
              <w:rPr>
                <w:sz w:val="24"/>
              </w:rPr>
              <w:t>关键控制指标</w:t>
            </w:r>
          </w:p>
        </w:tc>
        <w:tc>
          <w:tcPr>
            <w:tcW w:w="1851" w:type="dxa"/>
            <w:gridSpan w:val="2"/>
            <w:vAlign w:val="center"/>
          </w:tcPr>
          <w:p>
            <w:pPr>
              <w:rPr>
                <w:rStyle w:val="42"/>
              </w:rPr>
            </w:pPr>
            <w:r>
              <w:rPr>
                <w:rStyle w:val="42"/>
                <w:rFonts w:hint="eastAsia"/>
              </w:rPr>
              <w:t>1.按照国家及地方政府要求查验客户身份证明，登记建档或将加油信息录入系统；</w:t>
            </w:r>
          </w:p>
          <w:p>
            <w:pPr>
              <w:rPr>
                <w:rStyle w:val="42"/>
              </w:rPr>
            </w:pPr>
            <w:r>
              <w:rPr>
                <w:rStyle w:val="42"/>
                <w:rFonts w:hint="eastAsia"/>
              </w:rPr>
              <w:t>2.</w:t>
            </w:r>
            <w:r>
              <w:rPr>
                <w:rFonts w:hint="eastAsia"/>
                <w:kern w:val="0"/>
                <w:sz w:val="24"/>
              </w:rPr>
              <w:t xml:space="preserve"> 加油前确认容器材质可导静电，完好无渗漏</w:t>
            </w:r>
          </w:p>
          <w:p>
            <w:pPr>
              <w:rPr>
                <w:rStyle w:val="42"/>
              </w:rPr>
            </w:pPr>
            <w:r>
              <w:rPr>
                <w:rStyle w:val="42"/>
                <w:rFonts w:hint="eastAsia"/>
              </w:rPr>
              <w:t>3.静电接地夹完好有效，加油前释放人体静电，将静电接地夹一端夹在容器上，另一端连接接地装置；</w:t>
            </w:r>
          </w:p>
          <w:p>
            <w:pPr>
              <w:rPr>
                <w:kern w:val="0"/>
                <w:sz w:val="24"/>
              </w:rPr>
            </w:pPr>
            <w:r>
              <w:rPr>
                <w:rFonts w:hint="eastAsia"/>
                <w:kern w:val="0"/>
                <w:sz w:val="24"/>
              </w:rPr>
              <w:t>4.使用导流管插入容器底部；</w:t>
            </w:r>
          </w:p>
          <w:p>
            <w:pPr>
              <w:spacing w:line="280" w:lineRule="exact"/>
              <w:rPr>
                <w:sz w:val="24"/>
              </w:rPr>
            </w:pPr>
            <w:r>
              <w:rPr>
                <w:rStyle w:val="42"/>
                <w:rFonts w:hint="eastAsia"/>
              </w:rPr>
              <w:t>5.现场布置消防器材，</w:t>
            </w:r>
            <w:r>
              <w:rPr>
                <w:rFonts w:hint="eastAsia"/>
                <w:kern w:val="0"/>
                <w:sz w:val="24"/>
              </w:rPr>
              <w:t>配备应急物资，</w:t>
            </w:r>
            <w:r>
              <w:rPr>
                <w:rStyle w:val="42"/>
                <w:rFonts w:hint="eastAsia"/>
              </w:rPr>
              <w:t>严格</w:t>
            </w:r>
            <w:r>
              <w:rPr>
                <w:rFonts w:hint="eastAsia"/>
                <w:kern w:val="0"/>
                <w:sz w:val="24"/>
              </w:rPr>
              <w:t>现场监护。</w:t>
            </w:r>
          </w:p>
        </w:tc>
        <w:tc>
          <w:tcPr>
            <w:tcW w:w="1450" w:type="dxa"/>
            <w:vAlign w:val="center"/>
          </w:tcPr>
          <w:p>
            <w:pPr>
              <w:jc w:val="center"/>
              <w:rPr>
                <w:sz w:val="24"/>
              </w:rPr>
            </w:pPr>
            <w:r>
              <w:rPr>
                <w:sz w:val="24"/>
              </w:rPr>
              <w:t>关键管控措施</w:t>
            </w:r>
          </w:p>
        </w:tc>
        <w:tc>
          <w:tcPr>
            <w:tcW w:w="11093" w:type="dxa"/>
            <w:gridSpan w:val="3"/>
            <w:vAlign w:val="center"/>
          </w:tcPr>
          <w:p>
            <w:pPr>
              <w:adjustRightInd w:val="0"/>
              <w:snapToGrid w:val="0"/>
              <w:jc w:val="left"/>
              <w:rPr>
                <w:sz w:val="24"/>
              </w:rPr>
            </w:pPr>
          </w:p>
          <w:p>
            <w:pPr>
              <w:adjustRightInd w:val="0"/>
              <w:snapToGrid w:val="0"/>
              <w:jc w:val="left"/>
              <w:rPr>
                <w:b/>
                <w:sz w:val="24"/>
              </w:rPr>
            </w:pPr>
            <w:r>
              <w:rPr>
                <w:rFonts w:hint="eastAsia"/>
                <w:b/>
                <w:sz w:val="24"/>
              </w:rPr>
              <w:t>1</w:t>
            </w:r>
            <w:r>
              <w:rPr>
                <w:b/>
                <w:sz w:val="24"/>
              </w:rPr>
              <w:t>、</w:t>
            </w:r>
            <w:r>
              <w:rPr>
                <w:rFonts w:hint="eastAsia"/>
                <w:b/>
                <w:sz w:val="24"/>
              </w:rPr>
              <w:t>加油站</w:t>
            </w:r>
            <w:r>
              <w:rPr>
                <w:b/>
                <w:sz w:val="24"/>
              </w:rPr>
              <w:t>级</w:t>
            </w:r>
            <w:r>
              <w:rPr>
                <w:rFonts w:hint="eastAsia"/>
                <w:b/>
                <w:sz w:val="24"/>
              </w:rPr>
              <w:t>：</w:t>
            </w:r>
          </w:p>
          <w:p>
            <w:pPr>
              <w:adjustRightInd w:val="0"/>
              <w:snapToGrid w:val="0"/>
              <w:jc w:val="left"/>
              <w:rPr>
                <w:sz w:val="24"/>
              </w:rPr>
            </w:pPr>
            <w:r>
              <w:rPr>
                <w:rFonts w:hint="eastAsia"/>
                <w:sz w:val="24"/>
              </w:rPr>
              <w:t>1.加油人员需经过培训合格，严格遵守散装油加油操作规程，登记客户身份信息和加油信息，杜绝违章行为；</w:t>
            </w:r>
          </w:p>
          <w:p>
            <w:pPr>
              <w:adjustRightInd w:val="0"/>
              <w:snapToGrid w:val="0"/>
              <w:jc w:val="left"/>
              <w:rPr>
                <w:sz w:val="24"/>
              </w:rPr>
            </w:pPr>
            <w:r>
              <w:rPr>
                <w:rFonts w:hint="eastAsia"/>
                <w:sz w:val="24"/>
              </w:rPr>
              <w:t>2.加注前核对容器材质是否能导除静电，对容器进行安全检查，确保完好、无渗漏；</w:t>
            </w:r>
          </w:p>
          <w:p>
            <w:pPr>
              <w:adjustRightInd w:val="0"/>
              <w:snapToGrid w:val="0"/>
              <w:jc w:val="left"/>
              <w:rPr>
                <w:sz w:val="24"/>
              </w:rPr>
            </w:pPr>
            <w:r>
              <w:rPr>
                <w:rFonts w:hint="eastAsia"/>
                <w:sz w:val="24"/>
              </w:rPr>
              <w:t>3.加注前认真检查静电接地夹能否正常工作，将静电接地夹夹在容器上，并有效释放人体静电；</w:t>
            </w:r>
          </w:p>
          <w:p>
            <w:pPr>
              <w:adjustRightInd w:val="0"/>
              <w:snapToGrid w:val="0"/>
              <w:jc w:val="left"/>
              <w:rPr>
                <w:sz w:val="24"/>
              </w:rPr>
            </w:pPr>
            <w:r>
              <w:rPr>
                <w:rFonts w:hint="eastAsia"/>
                <w:sz w:val="24"/>
              </w:rPr>
              <w:t>4.加油人员持枪控制流速加注油品，正确使用导流管；</w:t>
            </w:r>
          </w:p>
          <w:p>
            <w:pPr>
              <w:adjustRightInd w:val="0"/>
              <w:snapToGrid w:val="0"/>
              <w:jc w:val="left"/>
              <w:rPr>
                <w:sz w:val="24"/>
              </w:rPr>
            </w:pPr>
            <w:r>
              <w:rPr>
                <w:rFonts w:hint="eastAsia"/>
                <w:sz w:val="24"/>
              </w:rPr>
              <w:t>5.现场配备足够数量的消防器材且处于临战状态；</w:t>
            </w:r>
          </w:p>
          <w:p>
            <w:pPr>
              <w:adjustRightInd w:val="0"/>
              <w:snapToGrid w:val="0"/>
              <w:jc w:val="left"/>
              <w:rPr>
                <w:sz w:val="24"/>
              </w:rPr>
            </w:pPr>
            <w:r>
              <w:rPr>
                <w:rFonts w:hint="eastAsia"/>
                <w:sz w:val="24"/>
              </w:rPr>
              <w:t>6.雷电天气下严禁进行加油作业；</w:t>
            </w:r>
          </w:p>
          <w:p>
            <w:pPr>
              <w:adjustRightInd w:val="0"/>
              <w:snapToGrid w:val="0"/>
              <w:jc w:val="left"/>
              <w:rPr>
                <w:sz w:val="24"/>
              </w:rPr>
            </w:pPr>
            <w:r>
              <w:rPr>
                <w:rFonts w:hint="eastAsia"/>
                <w:sz w:val="24"/>
              </w:rPr>
              <w:t>7.正确穿戴和使用劳动防护用品及应急物资。</w:t>
            </w:r>
          </w:p>
          <w:p>
            <w:pPr>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4"/>
                <w:szCs w:val="20"/>
              </w:rPr>
              <w:t>二、管理人员级：</w:t>
            </w:r>
          </w:p>
          <w:p>
            <w:pPr>
              <w:widowControl/>
              <w:textAlignment w:val="center"/>
              <w:rPr>
                <w:rStyle w:val="47"/>
                <w:rFonts w:hint="default" w:ascii="Times New Roman" w:hAnsi="Times New Roman" w:eastAsia="宋体" w:cs="Times New Roman"/>
                <w:kern w:val="0"/>
              </w:rPr>
            </w:pPr>
            <w:r>
              <w:rPr>
                <w:rFonts w:ascii="Times New Roman" w:hAnsi="Times New Roman" w:eastAsia="宋体" w:cs="Times New Roman"/>
                <w:kern w:val="0"/>
                <w:sz w:val="24"/>
                <w:szCs w:val="20"/>
              </w:rPr>
              <w:t>1</w:t>
            </w:r>
            <w:r>
              <w:rPr>
                <w:rStyle w:val="47"/>
                <w:rFonts w:hint="default" w:ascii="Times New Roman" w:hAnsi="Times New Roman" w:eastAsia="宋体" w:cs="Times New Roman"/>
                <w:kern w:val="0"/>
              </w:rPr>
              <w:t>.</w:t>
            </w:r>
            <w:r>
              <w:rPr>
                <w:rFonts w:hint="eastAsia" w:ascii="Times New Roman" w:hAnsi="Times New Roman" w:eastAsia="宋体" w:cs="Times New Roman"/>
                <w:color w:val="000000"/>
                <w:kern w:val="0"/>
                <w:sz w:val="24"/>
                <w:szCs w:val="20"/>
              </w:rPr>
              <w:t>对作业现场进行监护；</w:t>
            </w:r>
          </w:p>
          <w:p>
            <w:pPr>
              <w:widowControl/>
              <w:textAlignment w:val="center"/>
              <w:rPr>
                <w:rStyle w:val="42"/>
                <w:rFonts w:eastAsia="宋体"/>
                <w:kern w:val="0"/>
              </w:rPr>
            </w:pPr>
            <w:r>
              <w:rPr>
                <w:rStyle w:val="47"/>
                <w:rFonts w:hint="default" w:ascii="Times New Roman" w:hAnsi="Times New Roman" w:eastAsia="宋体" w:cs="Times New Roman"/>
                <w:kern w:val="0"/>
              </w:rPr>
              <w:t>2.</w:t>
            </w:r>
            <w:r>
              <w:rPr>
                <w:rFonts w:hint="eastAsia" w:ascii="Times New Roman" w:hAnsi="Times New Roman" w:eastAsia="宋体" w:cs="Times New Roman"/>
                <w:kern w:val="0"/>
                <w:sz w:val="24"/>
                <w:szCs w:val="20"/>
              </w:rPr>
              <w:t>对违反操作规程的行为叫停</w:t>
            </w:r>
          </w:p>
          <w:p>
            <w:pPr>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4"/>
                <w:szCs w:val="20"/>
              </w:rPr>
              <w:t>三、班组级：</w:t>
            </w:r>
          </w:p>
          <w:p>
            <w:pPr>
              <w:jc w:val="left"/>
              <w:rPr>
                <w:sz w:val="24"/>
              </w:rPr>
            </w:pPr>
            <w:r>
              <w:rPr>
                <w:rFonts w:ascii="Times New Roman" w:hAnsi="Times New Roman" w:eastAsia="宋体" w:cs="Times New Roman"/>
                <w:kern w:val="0"/>
                <w:sz w:val="24"/>
                <w:szCs w:val="20"/>
              </w:rPr>
              <w:t>1.</w:t>
            </w:r>
            <w:r>
              <w:rPr>
                <w:rFonts w:hint="eastAsia"/>
                <w:sz w:val="24"/>
              </w:rPr>
              <w:t>登记客户身份信息和加油信息</w:t>
            </w:r>
          </w:p>
          <w:p>
            <w:pPr>
              <w:jc w:val="left"/>
              <w:rPr>
                <w:sz w:val="24"/>
              </w:rPr>
            </w:pPr>
            <w:r>
              <w:rPr>
                <w:rFonts w:hint="eastAsia"/>
                <w:sz w:val="24"/>
              </w:rPr>
              <w:t>2.对容器进行安全检查，确保完好、无渗漏；</w:t>
            </w:r>
          </w:p>
          <w:p>
            <w:pPr>
              <w:jc w:val="left"/>
              <w:rPr>
                <w:sz w:val="24"/>
              </w:rPr>
            </w:pPr>
            <w:r>
              <w:rPr>
                <w:rFonts w:hint="eastAsia"/>
                <w:sz w:val="24"/>
              </w:rPr>
              <w:t>3.将静电接地夹夹在容器上，正确使用导流管.</w:t>
            </w:r>
          </w:p>
          <w:p>
            <w:pPr>
              <w:jc w:val="left"/>
              <w:rPr>
                <w:rStyle w:val="47"/>
                <w:rFonts w:hint="default" w:ascii="Times New Roman" w:hAnsi="Times New Roman" w:eastAsia="宋体" w:cs="Times New Roman"/>
                <w:kern w:val="0"/>
              </w:rPr>
            </w:pPr>
            <w:r>
              <w:rPr>
                <w:rStyle w:val="47"/>
                <w:rFonts w:hint="default" w:ascii="Times New Roman" w:hAnsi="Times New Roman" w:eastAsia="宋体" w:cs="Times New Roman"/>
                <w:kern w:val="0"/>
              </w:rPr>
              <w:t>4.</w:t>
            </w:r>
            <w:r>
              <w:rPr>
                <w:rFonts w:hint="eastAsia" w:ascii="Times New Roman" w:hAnsi="Times New Roman" w:eastAsia="宋体" w:cs="Times New Roman"/>
                <w:kern w:val="0"/>
                <w:sz w:val="24"/>
                <w:szCs w:val="20"/>
              </w:rPr>
              <w:t>作业前安全防护到位，消防器材到位</w:t>
            </w:r>
          </w:p>
          <w:p>
            <w:pPr>
              <w:jc w:val="left"/>
              <w:rPr>
                <w:color w:val="000000"/>
                <w:kern w:val="0"/>
                <w:sz w:val="24"/>
              </w:rPr>
            </w:pPr>
            <w:r>
              <w:rPr>
                <w:rStyle w:val="47"/>
                <w:rFonts w:hint="default" w:ascii="Times New Roman" w:hAnsi="Times New Roman" w:eastAsia="宋体" w:cs="Times New Roman"/>
                <w:kern w:val="0"/>
              </w:rPr>
              <w:t>5.</w:t>
            </w:r>
            <w:r>
              <w:rPr>
                <w:rFonts w:hint="eastAsia"/>
                <w:sz w:val="24"/>
              </w:rPr>
              <w:t>穿戴和使用劳动防护用品及应急物资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jc w:val="center"/>
        </w:trPr>
        <w:tc>
          <w:tcPr>
            <w:tcW w:w="1526" w:type="dxa"/>
            <w:vMerge w:val="restart"/>
            <w:vAlign w:val="center"/>
          </w:tcPr>
          <w:p>
            <w:pPr>
              <w:adjustRightInd w:val="0"/>
              <w:snapToGrid w:val="0"/>
              <w:jc w:val="center"/>
              <w:rPr>
                <w:sz w:val="24"/>
              </w:rPr>
            </w:pPr>
            <w:r>
              <w:rPr>
                <w:sz w:val="24"/>
              </w:rPr>
              <w:t>责任人</w:t>
            </w:r>
          </w:p>
        </w:tc>
        <w:tc>
          <w:tcPr>
            <w:tcW w:w="1851" w:type="dxa"/>
            <w:gridSpan w:val="2"/>
            <w:vAlign w:val="center"/>
          </w:tcPr>
          <w:p>
            <w:pPr>
              <w:adjustRightInd w:val="0"/>
              <w:snapToGrid w:val="0"/>
              <w:rPr>
                <w:sz w:val="24"/>
              </w:rPr>
            </w:pPr>
            <w:r>
              <w:rPr>
                <w:rFonts w:hint="eastAsia" w:ascii="Times New Roman" w:hAnsi="Times New Roman" w:eastAsia="宋体" w:cs="Times New Roman"/>
                <w:kern w:val="0"/>
                <w:sz w:val="24"/>
                <w:szCs w:val="20"/>
              </w:rPr>
              <w:t>加油站级</w:t>
            </w:r>
          </w:p>
        </w:tc>
        <w:tc>
          <w:tcPr>
            <w:tcW w:w="1450" w:type="dxa"/>
            <w:vAlign w:val="center"/>
          </w:tcPr>
          <w:p>
            <w:pPr>
              <w:adjustRightInd w:val="0"/>
              <w:snapToGrid w:val="0"/>
              <w:rPr>
                <w:rFonts w:hint="eastAsia" w:eastAsiaTheme="minorEastAsia"/>
                <w:color w:val="FF0000"/>
                <w:sz w:val="24"/>
                <w:lang w:eastAsia="zh-CN"/>
              </w:rPr>
            </w:pPr>
            <w:r>
              <w:rPr>
                <w:rFonts w:hint="eastAsia" w:ascii="Times New Roman" w:hAnsi="Times New Roman" w:eastAsia="宋体" w:cs="Times New Roman"/>
                <w:kern w:val="0"/>
                <w:sz w:val="24"/>
                <w:szCs w:val="20"/>
                <w:lang w:val="en-US" w:eastAsia="zh-CN"/>
              </w:rPr>
              <w:t>刘沧锐</w:t>
            </w:r>
          </w:p>
        </w:tc>
        <w:tc>
          <w:tcPr>
            <w:tcW w:w="2168" w:type="dxa"/>
            <w:gridSpan w:val="2"/>
            <w:vAlign w:val="center"/>
          </w:tcPr>
          <w:p>
            <w:pPr>
              <w:adjustRightInd w:val="0"/>
              <w:snapToGrid w:val="0"/>
              <w:jc w:val="center"/>
              <w:rPr>
                <w:sz w:val="24"/>
              </w:rPr>
            </w:pPr>
            <w:r>
              <w:rPr>
                <w:sz w:val="24"/>
              </w:rPr>
              <w:t>主要事故类型</w:t>
            </w:r>
          </w:p>
        </w:tc>
        <w:tc>
          <w:tcPr>
            <w:tcW w:w="8925" w:type="dxa"/>
            <w:vAlign w:val="center"/>
          </w:tcPr>
          <w:p>
            <w:pPr>
              <w:jc w:val="left"/>
              <w:rPr>
                <w:sz w:val="24"/>
              </w:rPr>
            </w:pPr>
            <w:r>
              <w:rPr>
                <w:sz w:val="24"/>
              </w:rPr>
              <w:t>火灾、爆炸</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exact"/>
          <w:jc w:val="center"/>
        </w:trPr>
        <w:tc>
          <w:tcPr>
            <w:tcW w:w="1526" w:type="dxa"/>
            <w:vMerge w:val="continue"/>
            <w:vAlign w:val="center"/>
          </w:tcPr>
          <w:p>
            <w:pPr>
              <w:adjustRightInd w:val="0"/>
              <w:snapToGrid w:val="0"/>
              <w:jc w:val="center"/>
              <w:rPr>
                <w:sz w:val="24"/>
              </w:rPr>
            </w:pPr>
          </w:p>
        </w:tc>
        <w:tc>
          <w:tcPr>
            <w:tcW w:w="1851" w:type="dxa"/>
            <w:gridSpan w:val="2"/>
            <w:vAlign w:val="center"/>
          </w:tcPr>
          <w:p>
            <w:pPr>
              <w:adjustRightInd w:val="0"/>
              <w:snapToGrid w:val="0"/>
              <w:rPr>
                <w:sz w:val="24"/>
              </w:rPr>
            </w:pPr>
            <w:r>
              <w:rPr>
                <w:rFonts w:hint="eastAsia" w:ascii="Times New Roman" w:hAnsi="Times New Roman" w:eastAsia="宋体" w:cs="Times New Roman"/>
                <w:kern w:val="0"/>
                <w:sz w:val="24"/>
                <w:szCs w:val="20"/>
              </w:rPr>
              <w:t>管理人员级</w:t>
            </w:r>
          </w:p>
        </w:tc>
        <w:tc>
          <w:tcPr>
            <w:tcW w:w="1450" w:type="dxa"/>
            <w:vAlign w:val="center"/>
          </w:tcPr>
          <w:p>
            <w:pPr>
              <w:adjustRightInd w:val="0"/>
              <w:snapToGrid w:val="0"/>
              <w:rPr>
                <w:rFonts w:hint="eastAsia" w:eastAsiaTheme="minorEastAsia"/>
                <w:color w:val="FF0000"/>
                <w:sz w:val="24"/>
                <w:lang w:eastAsia="zh-CN"/>
              </w:rPr>
            </w:pPr>
            <w:r>
              <w:rPr>
                <w:rFonts w:hint="eastAsia" w:ascii="Times New Roman" w:hAnsi="Times New Roman" w:eastAsia="宋体" w:cs="Times New Roman"/>
                <w:kern w:val="0"/>
                <w:sz w:val="24"/>
                <w:szCs w:val="20"/>
                <w:lang w:val="en-US" w:eastAsia="zh-CN"/>
              </w:rPr>
              <w:t>刘沧锐</w:t>
            </w:r>
          </w:p>
        </w:tc>
        <w:tc>
          <w:tcPr>
            <w:tcW w:w="2168" w:type="dxa"/>
            <w:gridSpan w:val="2"/>
            <w:vMerge w:val="restart"/>
            <w:vAlign w:val="center"/>
          </w:tcPr>
          <w:p>
            <w:pPr>
              <w:adjustRightInd w:val="0"/>
              <w:snapToGrid w:val="0"/>
              <w:jc w:val="center"/>
              <w:rPr>
                <w:sz w:val="24"/>
              </w:rPr>
            </w:pPr>
            <w:r>
              <w:rPr>
                <w:sz w:val="24"/>
              </w:rPr>
              <w:t>应急处置措施</w:t>
            </w:r>
          </w:p>
        </w:tc>
        <w:tc>
          <w:tcPr>
            <w:tcW w:w="8925" w:type="dxa"/>
            <w:vMerge w:val="restart"/>
            <w:vAlign w:val="center"/>
          </w:tcPr>
          <w:p>
            <w:pPr>
              <w:adjustRightInd w:val="0"/>
              <w:snapToGrid w:val="0"/>
              <w:jc w:val="left"/>
              <w:rPr>
                <w:sz w:val="24"/>
                <w:szCs w:val="24"/>
              </w:rPr>
            </w:pPr>
            <w:r>
              <w:rPr>
                <w:sz w:val="24"/>
                <w:szCs w:val="24"/>
              </w:rPr>
              <w:t>1.疏散周边人员，对事故现场实施隔离和警戒；</w:t>
            </w:r>
          </w:p>
          <w:p>
            <w:pPr>
              <w:adjustRightInd w:val="0"/>
              <w:snapToGrid w:val="0"/>
              <w:jc w:val="left"/>
              <w:rPr>
                <w:sz w:val="24"/>
                <w:szCs w:val="24"/>
              </w:rPr>
            </w:pPr>
            <w:r>
              <w:rPr>
                <w:sz w:val="24"/>
                <w:szCs w:val="24"/>
              </w:rPr>
              <w:t>2.对受伤人员及时组织救援，拨打120、119</w:t>
            </w:r>
            <w:r>
              <w:rPr>
                <w:rFonts w:hint="eastAsia"/>
                <w:sz w:val="24"/>
                <w:szCs w:val="24"/>
              </w:rPr>
              <w:t>或</w:t>
            </w:r>
            <w:r>
              <w:rPr>
                <w:sz w:val="24"/>
                <w:szCs w:val="24"/>
              </w:rPr>
              <w:t>110求救；</w:t>
            </w:r>
          </w:p>
          <w:p>
            <w:pPr>
              <w:adjustRightInd w:val="0"/>
              <w:snapToGrid w:val="0"/>
              <w:jc w:val="left"/>
              <w:rPr>
                <w:sz w:val="24"/>
              </w:rPr>
            </w:pPr>
            <w:r>
              <w:rPr>
                <w:sz w:val="24"/>
                <w:szCs w:val="24"/>
              </w:rPr>
              <w:t>3.根据应急预案进行处置并按要求上报</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exact"/>
          <w:jc w:val="center"/>
        </w:trPr>
        <w:tc>
          <w:tcPr>
            <w:tcW w:w="1526" w:type="dxa"/>
            <w:vMerge w:val="continue"/>
            <w:vAlign w:val="center"/>
          </w:tcPr>
          <w:p>
            <w:pPr>
              <w:adjustRightInd w:val="0"/>
              <w:snapToGrid w:val="0"/>
              <w:jc w:val="center"/>
              <w:rPr>
                <w:rFonts w:eastAsia="黑体"/>
                <w:sz w:val="24"/>
              </w:rPr>
            </w:pPr>
          </w:p>
        </w:tc>
        <w:tc>
          <w:tcPr>
            <w:tcW w:w="1851" w:type="dxa"/>
            <w:gridSpan w:val="2"/>
            <w:vAlign w:val="center"/>
          </w:tcPr>
          <w:p>
            <w:pPr>
              <w:adjustRightInd w:val="0"/>
              <w:snapToGrid w:val="0"/>
              <w:rPr>
                <w:sz w:val="24"/>
              </w:rPr>
            </w:pPr>
            <w:r>
              <w:rPr>
                <w:rFonts w:hint="eastAsia" w:ascii="Times New Roman" w:hAnsi="Times New Roman" w:eastAsia="宋体" w:cs="Times New Roman"/>
                <w:kern w:val="0"/>
                <w:sz w:val="24"/>
                <w:szCs w:val="20"/>
              </w:rPr>
              <w:t>班组级</w:t>
            </w:r>
          </w:p>
        </w:tc>
        <w:tc>
          <w:tcPr>
            <w:tcW w:w="1450" w:type="dxa"/>
            <w:vAlign w:val="center"/>
          </w:tcPr>
          <w:p>
            <w:pPr>
              <w:adjustRightInd w:val="0"/>
              <w:snapToGrid w:val="0"/>
              <w:rPr>
                <w:rFonts w:hint="eastAsia" w:eastAsiaTheme="minorEastAsia"/>
                <w:color w:val="FF0000"/>
                <w:sz w:val="24"/>
                <w:lang w:eastAsia="zh-CN"/>
              </w:rPr>
            </w:pPr>
            <w:r>
              <w:rPr>
                <w:rFonts w:hint="eastAsia" w:hAnsi="Times New Roman" w:eastAsia="宋体" w:cs="Times New Roman"/>
                <w:kern w:val="0"/>
                <w:sz w:val="18"/>
                <w:szCs w:val="18"/>
                <w:lang w:val="en-US" w:eastAsia="zh-CN"/>
              </w:rPr>
              <w:t>刘波、母小菊</w:t>
            </w:r>
          </w:p>
        </w:tc>
        <w:tc>
          <w:tcPr>
            <w:tcW w:w="2168" w:type="dxa"/>
            <w:gridSpan w:val="2"/>
            <w:vMerge w:val="continue"/>
            <w:vAlign w:val="center"/>
          </w:tcPr>
          <w:p>
            <w:pPr>
              <w:adjustRightInd w:val="0"/>
              <w:snapToGrid w:val="0"/>
              <w:jc w:val="center"/>
              <w:rPr>
                <w:sz w:val="24"/>
              </w:rPr>
            </w:pPr>
          </w:p>
        </w:tc>
        <w:tc>
          <w:tcPr>
            <w:tcW w:w="8925" w:type="dxa"/>
            <w:vMerge w:val="continue"/>
            <w:vAlign w:val="center"/>
          </w:tcPr>
          <w:p>
            <w:pPr>
              <w:adjustRightInd w:val="0"/>
              <w:snapToGrid w:val="0"/>
              <w:jc w:val="center"/>
              <w:rPr>
                <w:rFonts w:eastAsia="仿宋"/>
                <w:sz w:val="24"/>
              </w:rPr>
            </w:pPr>
          </w:p>
        </w:tc>
      </w:tr>
    </w:tbl>
    <w:p>
      <w:pPr>
        <w:widowControl/>
        <w:adjustRightInd w:val="0"/>
        <w:snapToGrid w:val="0"/>
        <w:jc w:val="center"/>
        <w:outlineLvl w:val="0"/>
        <w:rPr>
          <w:rFonts w:eastAsia="方正小标宋简体"/>
          <w:sz w:val="36"/>
          <w:szCs w:val="36"/>
        </w:rPr>
      </w:pPr>
    </w:p>
    <w:p>
      <w:pPr>
        <w:widowControl/>
        <w:adjustRightInd w:val="0"/>
        <w:snapToGrid w:val="0"/>
        <w:jc w:val="center"/>
        <w:outlineLvl w:val="0"/>
        <w:rPr>
          <w:rFonts w:eastAsia="方正小标宋简体"/>
          <w:sz w:val="36"/>
          <w:szCs w:val="36"/>
        </w:rPr>
      </w:pPr>
    </w:p>
    <w:p>
      <w:pPr>
        <w:widowControl/>
        <w:adjustRightInd w:val="0"/>
        <w:snapToGrid w:val="0"/>
        <w:jc w:val="center"/>
        <w:outlineLvl w:val="0"/>
        <w:rPr>
          <w:rFonts w:eastAsia="方正小标宋简体"/>
          <w:sz w:val="36"/>
          <w:szCs w:val="36"/>
        </w:rPr>
      </w:pPr>
    </w:p>
    <w:p>
      <w:pPr>
        <w:widowControl/>
        <w:adjustRightInd w:val="0"/>
        <w:snapToGrid w:val="0"/>
        <w:jc w:val="center"/>
        <w:outlineLvl w:val="0"/>
        <w:rPr>
          <w:rFonts w:eastAsia="方正小标宋简体"/>
          <w:sz w:val="36"/>
          <w:szCs w:val="36"/>
        </w:rPr>
      </w:pPr>
    </w:p>
    <w:p>
      <w:pPr>
        <w:widowControl/>
        <w:adjustRightInd w:val="0"/>
        <w:snapToGrid w:val="0"/>
        <w:jc w:val="center"/>
        <w:outlineLvl w:val="0"/>
        <w:rPr>
          <w:rFonts w:eastAsia="方正小标宋简体"/>
          <w:sz w:val="36"/>
          <w:szCs w:val="36"/>
        </w:rPr>
      </w:pPr>
    </w:p>
    <w:p>
      <w:pPr>
        <w:widowControl/>
        <w:adjustRightInd w:val="0"/>
        <w:snapToGrid w:val="0"/>
        <w:jc w:val="center"/>
        <w:outlineLvl w:val="0"/>
        <w:rPr>
          <w:rFonts w:eastAsia="方正小标宋简体"/>
          <w:sz w:val="36"/>
          <w:szCs w:val="36"/>
        </w:rPr>
      </w:pPr>
    </w:p>
    <w:p>
      <w:pPr>
        <w:widowControl/>
        <w:adjustRightInd w:val="0"/>
        <w:snapToGrid w:val="0"/>
        <w:jc w:val="center"/>
        <w:outlineLvl w:val="0"/>
        <w:rPr>
          <w:rFonts w:eastAsia="方正小标宋简体"/>
          <w:sz w:val="36"/>
          <w:szCs w:val="36"/>
        </w:rPr>
      </w:pPr>
    </w:p>
    <w:p>
      <w:pPr>
        <w:widowControl/>
        <w:adjustRightInd w:val="0"/>
        <w:snapToGrid w:val="0"/>
        <w:jc w:val="center"/>
        <w:outlineLvl w:val="0"/>
        <w:rPr>
          <w:rFonts w:eastAsia="方正小标宋简体"/>
          <w:sz w:val="36"/>
          <w:szCs w:val="36"/>
        </w:rPr>
      </w:pPr>
    </w:p>
    <w:p>
      <w:pPr>
        <w:widowControl/>
        <w:adjustRightInd w:val="0"/>
        <w:snapToGrid w:val="0"/>
        <w:jc w:val="center"/>
        <w:outlineLvl w:val="0"/>
        <w:rPr>
          <w:rFonts w:eastAsia="方正小标宋简体"/>
          <w:sz w:val="36"/>
          <w:szCs w:val="36"/>
        </w:rPr>
      </w:pPr>
    </w:p>
    <w:p>
      <w:pPr>
        <w:widowControl/>
        <w:adjustRightInd w:val="0"/>
        <w:snapToGrid w:val="0"/>
        <w:jc w:val="center"/>
        <w:outlineLvl w:val="0"/>
        <w:rPr>
          <w:rFonts w:eastAsia="方正小标宋简体"/>
          <w:sz w:val="36"/>
          <w:szCs w:val="36"/>
        </w:rPr>
      </w:pPr>
    </w:p>
    <w:p>
      <w:pPr>
        <w:widowControl/>
        <w:adjustRightInd w:val="0"/>
        <w:snapToGrid w:val="0"/>
        <w:jc w:val="center"/>
        <w:outlineLvl w:val="0"/>
        <w:rPr>
          <w:rFonts w:eastAsia="方正小标宋简体"/>
          <w:sz w:val="36"/>
          <w:szCs w:val="36"/>
        </w:rPr>
      </w:pPr>
    </w:p>
    <w:p>
      <w:pPr>
        <w:widowControl/>
        <w:adjustRightInd w:val="0"/>
        <w:snapToGrid w:val="0"/>
        <w:jc w:val="center"/>
        <w:outlineLvl w:val="0"/>
        <w:rPr>
          <w:rFonts w:eastAsia="方正小标宋简体"/>
          <w:sz w:val="36"/>
          <w:szCs w:val="36"/>
        </w:rPr>
      </w:pPr>
    </w:p>
    <w:p>
      <w:pPr>
        <w:widowControl/>
        <w:adjustRightInd w:val="0"/>
        <w:snapToGrid w:val="0"/>
        <w:jc w:val="center"/>
        <w:outlineLvl w:val="0"/>
        <w:rPr>
          <w:rFonts w:eastAsia="方正小标宋简体"/>
          <w:sz w:val="36"/>
          <w:szCs w:val="36"/>
        </w:rPr>
      </w:pPr>
    </w:p>
    <w:p>
      <w:pPr>
        <w:widowControl/>
        <w:adjustRightInd w:val="0"/>
        <w:snapToGrid w:val="0"/>
        <w:jc w:val="center"/>
        <w:outlineLvl w:val="0"/>
        <w:rPr>
          <w:rFonts w:eastAsia="方正小标宋简体"/>
          <w:sz w:val="36"/>
          <w:szCs w:val="36"/>
        </w:rPr>
      </w:pPr>
    </w:p>
    <w:p>
      <w:pPr>
        <w:widowControl/>
        <w:adjustRightInd w:val="0"/>
        <w:snapToGrid w:val="0"/>
        <w:jc w:val="center"/>
        <w:outlineLvl w:val="0"/>
        <w:rPr>
          <w:rFonts w:eastAsia="方正小标宋简体"/>
          <w:sz w:val="36"/>
          <w:szCs w:val="36"/>
        </w:rPr>
      </w:pPr>
    </w:p>
    <w:p>
      <w:pPr>
        <w:widowControl/>
        <w:adjustRightInd w:val="0"/>
        <w:snapToGrid w:val="0"/>
        <w:jc w:val="center"/>
        <w:outlineLvl w:val="0"/>
        <w:rPr>
          <w:rFonts w:eastAsia="方正小标宋简体"/>
          <w:sz w:val="36"/>
          <w:szCs w:val="36"/>
        </w:rPr>
      </w:pPr>
    </w:p>
    <w:p>
      <w:pPr>
        <w:spacing w:line="300" w:lineRule="exact"/>
      </w:pPr>
      <w:r>
        <w:br w:type="page"/>
      </w:r>
      <w:r>
        <w:rPr>
          <w:rFonts w:hint="eastAsia"/>
        </w:rPr>
        <w:t xml:space="preserve">                                                   </w:t>
      </w: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60" w:lineRule="auto"/>
        <w:jc w:val="center"/>
        <w:rPr>
          <w:sz w:val="36"/>
          <w:szCs w:val="36"/>
        </w:rPr>
      </w:pPr>
      <w:r>
        <w:rPr>
          <w:rFonts w:hint="eastAsia" w:eastAsia="方正小标宋简体"/>
          <w:sz w:val="36"/>
          <w:szCs w:val="36"/>
        </w:rPr>
        <w:t>三、日常安全工作清单</w:t>
      </w:r>
    </w:p>
    <w:p>
      <w:pPr>
        <w:spacing w:beforeLines="50" w:afterLines="50" w:line="400" w:lineRule="exact"/>
        <w:jc w:val="center"/>
        <w:outlineLvl w:val="1"/>
        <w:rPr>
          <w:rFonts w:eastAsia="黑体"/>
          <w:kern w:val="0"/>
          <w:sz w:val="32"/>
          <w:szCs w:val="32"/>
        </w:rPr>
      </w:pPr>
    </w:p>
    <w:p>
      <w:pPr>
        <w:spacing w:beforeLines="50" w:afterLines="50" w:line="400" w:lineRule="exact"/>
        <w:jc w:val="center"/>
        <w:outlineLvl w:val="1"/>
        <w:rPr>
          <w:rFonts w:eastAsia="黑体"/>
          <w:kern w:val="0"/>
          <w:sz w:val="32"/>
          <w:szCs w:val="32"/>
        </w:rPr>
      </w:pPr>
    </w:p>
    <w:p>
      <w:pPr>
        <w:spacing w:beforeLines="50" w:afterLines="50" w:line="400" w:lineRule="exact"/>
        <w:jc w:val="center"/>
        <w:outlineLvl w:val="1"/>
        <w:rPr>
          <w:rFonts w:eastAsia="黑体"/>
          <w:kern w:val="0"/>
          <w:sz w:val="32"/>
          <w:szCs w:val="32"/>
        </w:rPr>
      </w:pPr>
    </w:p>
    <w:p>
      <w:pPr>
        <w:spacing w:beforeLines="50" w:afterLines="50" w:line="400" w:lineRule="exact"/>
        <w:jc w:val="center"/>
        <w:outlineLvl w:val="1"/>
        <w:rPr>
          <w:rFonts w:eastAsia="黑体"/>
          <w:kern w:val="0"/>
          <w:sz w:val="32"/>
          <w:szCs w:val="32"/>
        </w:rPr>
      </w:pPr>
    </w:p>
    <w:p>
      <w:pPr>
        <w:spacing w:beforeLines="50" w:afterLines="50" w:line="400" w:lineRule="exact"/>
        <w:jc w:val="center"/>
        <w:outlineLvl w:val="1"/>
        <w:rPr>
          <w:rFonts w:eastAsia="黑体"/>
          <w:kern w:val="0"/>
          <w:sz w:val="32"/>
          <w:szCs w:val="32"/>
        </w:rPr>
      </w:pPr>
    </w:p>
    <w:p>
      <w:pPr>
        <w:spacing w:beforeLines="50" w:afterLines="50" w:line="400" w:lineRule="exact"/>
        <w:jc w:val="center"/>
        <w:outlineLvl w:val="1"/>
        <w:rPr>
          <w:rFonts w:eastAsia="黑体"/>
          <w:kern w:val="0"/>
          <w:sz w:val="32"/>
          <w:szCs w:val="32"/>
        </w:rPr>
      </w:pPr>
    </w:p>
    <w:p>
      <w:pPr>
        <w:spacing w:beforeLines="50" w:afterLines="50" w:line="400" w:lineRule="exact"/>
        <w:jc w:val="center"/>
        <w:outlineLvl w:val="1"/>
        <w:rPr>
          <w:rFonts w:eastAsia="黑体"/>
          <w:kern w:val="0"/>
          <w:sz w:val="32"/>
          <w:szCs w:val="32"/>
        </w:rPr>
      </w:pPr>
    </w:p>
    <w:p>
      <w:pPr>
        <w:spacing w:beforeLines="50" w:afterLines="50" w:line="400" w:lineRule="exact"/>
        <w:outlineLvl w:val="1"/>
        <w:rPr>
          <w:rFonts w:eastAsia="黑体"/>
          <w:kern w:val="0"/>
          <w:sz w:val="32"/>
          <w:szCs w:val="32"/>
        </w:rPr>
      </w:pPr>
    </w:p>
    <w:p>
      <w:pPr>
        <w:spacing w:beforeLines="50" w:afterLines="50" w:line="400" w:lineRule="exact"/>
        <w:jc w:val="center"/>
        <w:outlineLvl w:val="1"/>
        <w:rPr>
          <w:rFonts w:eastAsia="黑体"/>
          <w:kern w:val="0"/>
          <w:sz w:val="32"/>
          <w:szCs w:val="32"/>
        </w:rPr>
      </w:pPr>
      <w:r>
        <w:rPr>
          <w:rFonts w:hint="eastAsia" w:eastAsia="黑体"/>
          <w:kern w:val="0"/>
          <w:sz w:val="32"/>
          <w:szCs w:val="32"/>
        </w:rPr>
        <w:t>隐患排查治理清单</w:t>
      </w:r>
    </w:p>
    <w:p>
      <w:pPr>
        <w:spacing w:beforeLines="50" w:afterLines="50" w:line="400" w:lineRule="exact"/>
        <w:jc w:val="center"/>
        <w:outlineLvl w:val="2"/>
        <w:rPr>
          <w:rFonts w:eastAsia="黑体"/>
          <w:kern w:val="0"/>
          <w:sz w:val="30"/>
          <w:szCs w:val="30"/>
        </w:rPr>
      </w:pPr>
      <w:r>
        <w:rPr>
          <w:rFonts w:hint="eastAsia" w:ascii="黑体" w:hAnsi="黑体" w:eastAsia="黑体" w:cs="黑体"/>
          <w:kern w:val="0"/>
          <w:sz w:val="30"/>
          <w:szCs w:val="30"/>
          <w:lang w:val="en-US" w:eastAsia="zh-CN"/>
        </w:rPr>
        <w:t>莺花路</w:t>
      </w:r>
      <w:r>
        <w:rPr>
          <w:rFonts w:hint="eastAsia" w:ascii="黑体" w:hAnsi="黑体" w:eastAsia="黑体" w:cs="黑体"/>
          <w:kern w:val="0"/>
          <w:sz w:val="30"/>
          <w:szCs w:val="30"/>
        </w:rPr>
        <w:t>站隐患排查治理清单</w:t>
      </w:r>
    </w:p>
    <w:tbl>
      <w:tblPr>
        <w:tblStyle w:val="18"/>
        <w:tblW w:w="157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4"/>
        <w:gridCol w:w="1537"/>
        <w:gridCol w:w="552"/>
        <w:gridCol w:w="1761"/>
        <w:gridCol w:w="3378"/>
        <w:gridCol w:w="905"/>
        <w:gridCol w:w="895"/>
        <w:gridCol w:w="1630"/>
        <w:gridCol w:w="1205"/>
        <w:gridCol w:w="1104"/>
        <w:gridCol w:w="989"/>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9" w:hRule="atLeast"/>
          <w:jc w:val="center"/>
        </w:trPr>
        <w:tc>
          <w:tcPr>
            <w:tcW w:w="4834" w:type="dxa"/>
            <w:gridSpan w:val="4"/>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Style w:val="40"/>
                <w:rFonts w:hint="default" w:ascii="Times New Roman" w:eastAsia="黑体" w:cs="Times New Roman"/>
                <w:b w:val="0"/>
                <w:bCs/>
              </w:rPr>
            </w:pPr>
            <w:r>
              <w:rPr>
                <w:rStyle w:val="40"/>
                <w:rFonts w:hint="default" w:ascii="Times New Roman" w:eastAsia="黑体" w:cs="Times New Roman"/>
                <w:b w:val="0"/>
                <w:bCs/>
              </w:rPr>
              <w:t>检查情况</w:t>
            </w:r>
          </w:p>
        </w:tc>
        <w:tc>
          <w:tcPr>
            <w:tcW w:w="8013" w:type="dxa"/>
            <w:gridSpan w:val="5"/>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eastAsia="黑体"/>
                <w:bCs/>
                <w:color w:val="000000"/>
                <w:sz w:val="24"/>
              </w:rPr>
            </w:pPr>
            <w:r>
              <w:rPr>
                <w:rStyle w:val="46"/>
                <w:rFonts w:hint="default" w:ascii="Times New Roman" w:eastAsia="黑体" w:cs="Times New Roman"/>
                <w:b w:val="0"/>
                <w:bCs/>
              </w:rPr>
              <w:t>整改情况</w:t>
            </w:r>
          </w:p>
        </w:tc>
        <w:tc>
          <w:tcPr>
            <w:tcW w:w="2881" w:type="dxa"/>
            <w:gridSpan w:val="3"/>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Style w:val="46"/>
                <w:rFonts w:hint="default" w:ascii="Times New Roman" w:eastAsia="黑体" w:cs="Times New Roman"/>
                <w:b w:val="0"/>
                <w:bCs/>
              </w:rPr>
            </w:pPr>
            <w:r>
              <w:rPr>
                <w:rStyle w:val="46"/>
                <w:rFonts w:hint="default" w:ascii="Times New Roman" w:eastAsia="黑体" w:cs="Times New Roman"/>
                <w:b w:val="0"/>
                <w:bCs/>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6" w:hRule="atLeast"/>
          <w:jc w:val="center"/>
        </w:trPr>
        <w:tc>
          <w:tcPr>
            <w:tcW w:w="984"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eastAsia="黑体"/>
                <w:bCs/>
                <w:color w:val="000000"/>
                <w:sz w:val="24"/>
              </w:rPr>
            </w:pPr>
            <w:r>
              <w:rPr>
                <w:rStyle w:val="46"/>
                <w:rFonts w:hint="default" w:ascii="Times New Roman" w:eastAsia="黑体" w:cs="Times New Roman"/>
                <w:b w:val="0"/>
                <w:bCs/>
              </w:rPr>
              <w:t>检查时间</w:t>
            </w:r>
          </w:p>
        </w:tc>
        <w:tc>
          <w:tcPr>
            <w:tcW w:w="1537"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eastAsia="黑体"/>
                <w:bCs/>
                <w:color w:val="000000"/>
                <w:sz w:val="24"/>
              </w:rPr>
            </w:pPr>
            <w:r>
              <w:rPr>
                <w:rStyle w:val="46"/>
                <w:rFonts w:hint="default" w:ascii="Times New Roman" w:eastAsia="黑体" w:cs="Times New Roman"/>
                <w:b w:val="0"/>
                <w:bCs/>
              </w:rPr>
              <w:t>隐患描述</w:t>
            </w:r>
          </w:p>
        </w:tc>
        <w:tc>
          <w:tcPr>
            <w:tcW w:w="552"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eastAsia="黑体"/>
                <w:bCs/>
                <w:color w:val="000000"/>
                <w:sz w:val="24"/>
              </w:rPr>
            </w:pPr>
            <w:r>
              <w:rPr>
                <w:rStyle w:val="46"/>
                <w:rFonts w:hint="default" w:ascii="Times New Roman" w:eastAsia="黑体" w:cs="Times New Roman"/>
                <w:b w:val="0"/>
                <w:bCs/>
              </w:rPr>
              <w:t>隐患等级</w:t>
            </w:r>
          </w:p>
        </w:tc>
        <w:tc>
          <w:tcPr>
            <w:tcW w:w="1761"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eastAsia="黑体"/>
                <w:bCs/>
                <w:color w:val="000000"/>
                <w:sz w:val="24"/>
              </w:rPr>
            </w:pPr>
            <w:r>
              <w:rPr>
                <w:rStyle w:val="40"/>
                <w:rFonts w:hint="default" w:ascii="Times New Roman" w:eastAsia="黑体" w:cs="Times New Roman"/>
                <w:b w:val="0"/>
                <w:bCs/>
              </w:rPr>
              <w:t>原因分析</w:t>
            </w:r>
          </w:p>
        </w:tc>
        <w:tc>
          <w:tcPr>
            <w:tcW w:w="3378"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eastAsia="黑体"/>
                <w:bCs/>
                <w:color w:val="000000"/>
                <w:sz w:val="24"/>
              </w:rPr>
            </w:pPr>
            <w:r>
              <w:rPr>
                <w:rStyle w:val="46"/>
                <w:rFonts w:hint="default" w:ascii="Times New Roman" w:eastAsia="黑体" w:cs="Times New Roman"/>
                <w:b w:val="0"/>
                <w:bCs/>
              </w:rPr>
              <w:t>整改措施</w:t>
            </w:r>
          </w:p>
        </w:tc>
        <w:tc>
          <w:tcPr>
            <w:tcW w:w="905"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Style w:val="46"/>
                <w:rFonts w:hint="default" w:ascii="Times New Roman" w:eastAsia="黑体" w:cs="Times New Roman"/>
                <w:b w:val="0"/>
                <w:bCs/>
              </w:rPr>
            </w:pPr>
            <w:r>
              <w:rPr>
                <w:rStyle w:val="46"/>
                <w:rFonts w:hint="default" w:ascii="Times New Roman" w:eastAsia="黑体" w:cs="Times New Roman"/>
                <w:b w:val="0"/>
                <w:bCs/>
              </w:rPr>
              <w:t>整改</w:t>
            </w:r>
          </w:p>
          <w:p>
            <w:pPr>
              <w:widowControl/>
              <w:jc w:val="center"/>
              <w:textAlignment w:val="center"/>
            </w:pPr>
            <w:r>
              <w:rPr>
                <w:rStyle w:val="46"/>
                <w:rFonts w:hint="default" w:ascii="Times New Roman" w:eastAsia="黑体" w:cs="Times New Roman"/>
                <w:b w:val="0"/>
                <w:bCs/>
              </w:rPr>
              <w:t>责任人</w:t>
            </w:r>
          </w:p>
        </w:tc>
        <w:tc>
          <w:tcPr>
            <w:tcW w:w="895"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eastAsia="黑体"/>
                <w:bCs/>
                <w:color w:val="000000"/>
                <w:sz w:val="24"/>
              </w:rPr>
            </w:pPr>
            <w:r>
              <w:rPr>
                <w:rFonts w:hint="eastAsia" w:eastAsia="黑体"/>
                <w:bCs/>
                <w:color w:val="000000"/>
                <w:sz w:val="24"/>
              </w:rPr>
              <w:t>资金</w:t>
            </w:r>
          </w:p>
          <w:p>
            <w:pPr>
              <w:widowControl/>
              <w:jc w:val="center"/>
              <w:textAlignment w:val="center"/>
              <w:rPr>
                <w:rFonts w:eastAsia="黑体"/>
                <w:bCs/>
                <w:color w:val="000000"/>
                <w:sz w:val="24"/>
              </w:rPr>
            </w:pPr>
            <w:r>
              <w:rPr>
                <w:rFonts w:hint="eastAsia" w:eastAsia="黑体"/>
                <w:bCs/>
                <w:color w:val="000000"/>
                <w:sz w:val="24"/>
              </w:rPr>
              <w:t>预算</w:t>
            </w:r>
          </w:p>
          <w:p>
            <w:pPr>
              <w:widowControl/>
              <w:jc w:val="center"/>
              <w:textAlignment w:val="center"/>
              <w:rPr>
                <w:rFonts w:eastAsia="黑体"/>
                <w:bCs/>
                <w:color w:val="000000"/>
                <w:sz w:val="24"/>
              </w:rPr>
            </w:pPr>
            <w:r>
              <w:rPr>
                <w:rFonts w:hint="eastAsia" w:eastAsia="黑体"/>
                <w:bCs/>
                <w:color w:val="000000"/>
                <w:sz w:val="24"/>
              </w:rPr>
              <w:t>（元）</w:t>
            </w:r>
          </w:p>
        </w:tc>
        <w:tc>
          <w:tcPr>
            <w:tcW w:w="163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Style w:val="46"/>
                <w:rFonts w:hint="default" w:ascii="Times New Roman" w:eastAsia="黑体" w:cs="Times New Roman"/>
                <w:b w:val="0"/>
                <w:bCs/>
              </w:rPr>
            </w:pPr>
            <w:r>
              <w:rPr>
                <w:rStyle w:val="46"/>
                <w:rFonts w:hint="default" w:ascii="Times New Roman" w:eastAsia="黑体" w:cs="Times New Roman"/>
                <w:b w:val="0"/>
                <w:bCs/>
              </w:rPr>
              <w:t>应急预案</w:t>
            </w:r>
          </w:p>
        </w:tc>
        <w:tc>
          <w:tcPr>
            <w:tcW w:w="1205"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Style w:val="46"/>
                <w:rFonts w:hint="default" w:ascii="Times New Roman" w:eastAsia="黑体" w:cs="Times New Roman"/>
                <w:b w:val="0"/>
                <w:bCs/>
              </w:rPr>
            </w:pPr>
            <w:r>
              <w:rPr>
                <w:rStyle w:val="46"/>
                <w:rFonts w:hint="default" w:ascii="Times New Roman" w:eastAsia="黑体" w:cs="Times New Roman"/>
                <w:b w:val="0"/>
                <w:bCs/>
              </w:rPr>
              <w:t>整改完成时间</w:t>
            </w:r>
          </w:p>
        </w:tc>
        <w:tc>
          <w:tcPr>
            <w:tcW w:w="1104"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eastAsia="黑体"/>
                <w:bCs/>
                <w:color w:val="000000"/>
                <w:sz w:val="24"/>
              </w:rPr>
            </w:pPr>
            <w:r>
              <w:rPr>
                <w:rStyle w:val="46"/>
                <w:rFonts w:hint="default" w:ascii="Times New Roman" w:eastAsia="黑体" w:cs="Times New Roman"/>
                <w:b w:val="0"/>
                <w:bCs/>
              </w:rPr>
              <w:t>验收时间</w:t>
            </w:r>
          </w:p>
        </w:tc>
        <w:tc>
          <w:tcPr>
            <w:tcW w:w="989"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eastAsia="黑体"/>
                <w:bCs/>
                <w:color w:val="000000"/>
                <w:sz w:val="24"/>
              </w:rPr>
            </w:pPr>
            <w:r>
              <w:rPr>
                <w:rStyle w:val="46"/>
                <w:rFonts w:hint="default" w:ascii="Times New Roman" w:eastAsia="黑体" w:cs="Times New Roman"/>
                <w:b w:val="0"/>
                <w:bCs/>
              </w:rPr>
              <w:t>验收情况</w:t>
            </w:r>
          </w:p>
        </w:tc>
        <w:tc>
          <w:tcPr>
            <w:tcW w:w="788"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eastAsia="黑体"/>
                <w:bCs/>
                <w:color w:val="000000"/>
                <w:sz w:val="24"/>
              </w:rPr>
            </w:pPr>
            <w:r>
              <w:rPr>
                <w:rStyle w:val="46"/>
                <w:rFonts w:hint="default" w:ascii="Times New Roman" w:eastAsia="黑体" w:cs="Times New Roman"/>
                <w:b w:val="0"/>
                <w:bCs/>
              </w:rPr>
              <w:t>验收人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2" w:hRule="atLeast"/>
          <w:jc w:val="center"/>
        </w:trPr>
        <w:tc>
          <w:tcPr>
            <w:tcW w:w="98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1537"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55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1761"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3378"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90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89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1630"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120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110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989"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rPr>
                <w:sz w:val="24"/>
              </w:rPr>
            </w:pPr>
          </w:p>
        </w:tc>
        <w:tc>
          <w:tcPr>
            <w:tcW w:w="788"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44" w:hRule="atLeast"/>
          <w:jc w:val="center"/>
        </w:trPr>
        <w:tc>
          <w:tcPr>
            <w:tcW w:w="98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1537"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55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1761"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3378"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90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89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1630"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120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110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c>
          <w:tcPr>
            <w:tcW w:w="989"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rPr>
                <w:sz w:val="24"/>
              </w:rPr>
            </w:pPr>
          </w:p>
        </w:tc>
        <w:tc>
          <w:tcPr>
            <w:tcW w:w="788"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7" w:hRule="atLeast"/>
          <w:jc w:val="center"/>
        </w:trPr>
        <w:tc>
          <w:tcPr>
            <w:tcW w:w="98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color w:val="000000"/>
                <w:sz w:val="24"/>
              </w:rPr>
            </w:pPr>
          </w:p>
        </w:tc>
        <w:tc>
          <w:tcPr>
            <w:tcW w:w="1537"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color w:val="000000"/>
                <w:sz w:val="24"/>
              </w:rPr>
            </w:pPr>
          </w:p>
        </w:tc>
        <w:tc>
          <w:tcPr>
            <w:tcW w:w="55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color w:val="000000"/>
                <w:sz w:val="24"/>
              </w:rPr>
            </w:pPr>
          </w:p>
        </w:tc>
        <w:tc>
          <w:tcPr>
            <w:tcW w:w="1761"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color w:val="000000"/>
                <w:sz w:val="24"/>
              </w:rPr>
            </w:pPr>
          </w:p>
        </w:tc>
        <w:tc>
          <w:tcPr>
            <w:tcW w:w="3378"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color w:val="000000"/>
                <w:sz w:val="24"/>
              </w:rPr>
            </w:pPr>
          </w:p>
        </w:tc>
        <w:tc>
          <w:tcPr>
            <w:tcW w:w="90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color w:val="000000"/>
                <w:sz w:val="24"/>
              </w:rPr>
            </w:pPr>
          </w:p>
        </w:tc>
        <w:tc>
          <w:tcPr>
            <w:tcW w:w="89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color w:val="000000"/>
                <w:sz w:val="24"/>
              </w:rPr>
            </w:pPr>
          </w:p>
        </w:tc>
        <w:tc>
          <w:tcPr>
            <w:tcW w:w="1630"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color w:val="000000"/>
                <w:kern w:val="0"/>
                <w:sz w:val="24"/>
              </w:rPr>
            </w:pPr>
          </w:p>
        </w:tc>
        <w:tc>
          <w:tcPr>
            <w:tcW w:w="120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color w:val="000000"/>
                <w:kern w:val="0"/>
                <w:sz w:val="24"/>
              </w:rPr>
            </w:pPr>
          </w:p>
        </w:tc>
        <w:tc>
          <w:tcPr>
            <w:tcW w:w="110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color w:val="000000"/>
                <w:sz w:val="24"/>
              </w:rPr>
            </w:pPr>
          </w:p>
        </w:tc>
        <w:tc>
          <w:tcPr>
            <w:tcW w:w="989"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rPr>
                <w:color w:val="000000"/>
                <w:sz w:val="24"/>
              </w:rPr>
            </w:pPr>
          </w:p>
        </w:tc>
        <w:tc>
          <w:tcPr>
            <w:tcW w:w="788"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spacing w:line="3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2" w:hRule="atLeast"/>
          <w:jc w:val="center"/>
        </w:trPr>
        <w:tc>
          <w:tcPr>
            <w:tcW w:w="15728" w:type="dxa"/>
            <w:gridSpan w:val="12"/>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left"/>
              <w:textAlignment w:val="center"/>
              <w:rPr>
                <w:b/>
                <w:bCs/>
                <w:sz w:val="24"/>
              </w:rPr>
            </w:pPr>
            <w:r>
              <w:rPr>
                <w:rFonts w:hint="eastAsia"/>
                <w:b/>
                <w:bCs/>
                <w:sz w:val="24"/>
              </w:rPr>
              <w:t>备注：</w:t>
            </w:r>
          </w:p>
          <w:p>
            <w:pPr>
              <w:widowControl/>
              <w:jc w:val="left"/>
              <w:textAlignment w:val="center"/>
              <w:rPr>
                <w:sz w:val="24"/>
              </w:rPr>
            </w:pPr>
            <w:r>
              <w:rPr>
                <w:sz w:val="24"/>
              </w:rPr>
              <w:t>1.</w:t>
            </w:r>
            <w:r>
              <w:rPr>
                <w:rFonts w:hint="eastAsia"/>
                <w:sz w:val="24"/>
              </w:rPr>
              <w:t>隐患描述：明确隐患存在部位及具体内容；</w:t>
            </w:r>
            <w:r>
              <w:rPr>
                <w:sz w:val="24"/>
              </w:rPr>
              <w:br w:type="textWrapping"/>
            </w:r>
            <w:r>
              <w:rPr>
                <w:sz w:val="24"/>
              </w:rPr>
              <w:t>2.</w:t>
            </w:r>
            <w:r>
              <w:rPr>
                <w:rFonts w:hint="eastAsia"/>
                <w:sz w:val="24"/>
              </w:rPr>
              <w:t>原因分析：从人、物、环境、管理等方面分析；</w:t>
            </w:r>
            <w:r>
              <w:rPr>
                <w:sz w:val="24"/>
              </w:rPr>
              <w:br w:type="textWrapping"/>
            </w:r>
            <w:r>
              <w:rPr>
                <w:sz w:val="24"/>
              </w:rPr>
              <w:t>3.</w:t>
            </w:r>
            <w:r>
              <w:rPr>
                <w:rFonts w:hint="eastAsia"/>
                <w:sz w:val="24"/>
              </w:rPr>
              <w:t>整改措施：明确具体的整改措施；如不能立即整改，应明确临时性安全措施；</w:t>
            </w:r>
          </w:p>
          <w:p>
            <w:pPr>
              <w:widowControl/>
              <w:jc w:val="left"/>
              <w:textAlignment w:val="center"/>
              <w:rPr>
                <w:sz w:val="24"/>
              </w:rPr>
            </w:pPr>
            <w:r>
              <w:rPr>
                <w:sz w:val="24"/>
              </w:rPr>
              <w:t>4.</w:t>
            </w:r>
            <w:r>
              <w:rPr>
                <w:rFonts w:hint="eastAsia"/>
                <w:sz w:val="24"/>
              </w:rPr>
              <w:t>应急预案：针对重大隐患制定；</w:t>
            </w:r>
            <w:r>
              <w:rPr>
                <w:sz w:val="24"/>
              </w:rPr>
              <w:br w:type="textWrapping"/>
            </w:r>
            <w:r>
              <w:rPr>
                <w:sz w:val="24"/>
              </w:rPr>
              <w:t>5.</w:t>
            </w:r>
            <w:r>
              <w:rPr>
                <w:rFonts w:hint="eastAsia"/>
                <w:sz w:val="24"/>
              </w:rPr>
              <w:t>整改责任人和验收人：不能为同一人。</w:t>
            </w:r>
          </w:p>
        </w:tc>
      </w:tr>
    </w:tbl>
    <w:p>
      <w:pPr>
        <w:widowControl/>
        <w:jc w:val="left"/>
        <w:sectPr>
          <w:type w:val="continuous"/>
          <w:pgSz w:w="16838" w:h="11906" w:orient="landscape"/>
          <w:pgMar w:top="567" w:right="567" w:bottom="567" w:left="567" w:header="851" w:footer="992" w:gutter="0"/>
          <w:cols w:space="720" w:num="1"/>
          <w:docGrid w:type="lines" w:linePitch="312" w:charSpace="0"/>
        </w:sectPr>
      </w:pPr>
    </w:p>
    <w:p>
      <w:pPr>
        <w:spacing w:line="500" w:lineRule="exact"/>
        <w:jc w:val="center"/>
        <w:outlineLvl w:val="1"/>
        <w:rPr>
          <w:rFonts w:eastAsia="黑体"/>
          <w:kern w:val="0"/>
          <w:sz w:val="32"/>
          <w:szCs w:val="32"/>
        </w:rPr>
      </w:pPr>
      <w:r>
        <w:rPr>
          <w:rFonts w:eastAsia="黑体"/>
          <w:kern w:val="0"/>
          <w:sz w:val="32"/>
          <w:szCs w:val="32"/>
        </w:rPr>
        <w:t xml:space="preserve"> </w:t>
      </w:r>
      <w:r>
        <w:rPr>
          <w:rFonts w:hint="eastAsia" w:eastAsia="黑体"/>
          <w:kern w:val="0"/>
          <w:sz w:val="32"/>
          <w:szCs w:val="32"/>
        </w:rPr>
        <w:t>安全检查清单</w:t>
      </w:r>
    </w:p>
    <w:p>
      <w:pPr>
        <w:spacing w:beforeLines="50" w:afterLines="50" w:line="400" w:lineRule="exact"/>
        <w:jc w:val="center"/>
        <w:outlineLvl w:val="2"/>
        <w:rPr>
          <w:rFonts w:ascii="黑体" w:hAnsi="黑体" w:eastAsia="黑体" w:cs="黑体"/>
          <w:kern w:val="0"/>
          <w:sz w:val="30"/>
          <w:szCs w:val="30"/>
        </w:rPr>
      </w:pPr>
    </w:p>
    <w:p>
      <w:pPr>
        <w:spacing w:beforeLines="50" w:afterLines="50" w:line="400" w:lineRule="exact"/>
        <w:jc w:val="center"/>
        <w:outlineLvl w:val="2"/>
        <w:rPr>
          <w:rFonts w:ascii="黑体" w:hAnsi="黑体" w:eastAsia="黑体" w:cs="黑体"/>
          <w:kern w:val="0"/>
          <w:sz w:val="30"/>
          <w:szCs w:val="30"/>
        </w:rPr>
      </w:pPr>
      <w:r>
        <w:rPr>
          <w:rFonts w:hint="eastAsia" w:ascii="宋体" w:hAnsi="宋体" w:eastAsia="宋体" w:cs="宋体"/>
          <w:b/>
          <w:color w:val="000000"/>
          <w:kern w:val="0"/>
          <w:sz w:val="28"/>
          <w:szCs w:val="28"/>
        </w:rPr>
        <w:t>中国石油四川南充销售公司</w:t>
      </w:r>
      <w:r>
        <w:rPr>
          <w:rFonts w:hint="eastAsia" w:ascii="宋体" w:hAnsi="宋体" w:eastAsia="宋体" w:cs="宋体"/>
          <w:b/>
          <w:color w:val="000000"/>
          <w:kern w:val="0"/>
          <w:sz w:val="28"/>
          <w:szCs w:val="28"/>
          <w:lang w:val="en-US" w:eastAsia="zh-CN"/>
        </w:rPr>
        <w:t>莺花路</w:t>
      </w:r>
      <w:r>
        <w:rPr>
          <w:rFonts w:hint="eastAsia" w:ascii="黑体" w:hAnsi="黑体" w:eastAsia="黑体" w:cs="黑体"/>
          <w:kern w:val="0"/>
          <w:sz w:val="30"/>
          <w:szCs w:val="30"/>
        </w:rPr>
        <w:t>加油站专项检查清单</w:t>
      </w:r>
    </w:p>
    <w:p>
      <w:pPr>
        <w:spacing w:beforeLines="50" w:afterLines="50" w:line="400" w:lineRule="exact"/>
        <w:jc w:val="center"/>
        <w:outlineLvl w:val="2"/>
        <w:rPr>
          <w:rFonts w:ascii="黑体" w:hAnsi="黑体" w:eastAsia="黑体" w:cs="黑体"/>
          <w:kern w:val="0"/>
          <w:sz w:val="30"/>
          <w:szCs w:val="30"/>
        </w:rPr>
      </w:pPr>
      <w:r>
        <w:rPr>
          <w:rFonts w:hint="eastAsia" w:ascii="黑体" w:hAnsi="黑体" w:eastAsia="黑体" w:cs="黑体"/>
          <w:kern w:val="0"/>
          <w:sz w:val="30"/>
          <w:szCs w:val="30"/>
        </w:rPr>
        <w:t>加油机</w:t>
      </w:r>
    </w:p>
    <w:tbl>
      <w:tblPr>
        <w:tblStyle w:val="18"/>
        <w:tblpPr w:leftFromText="180" w:rightFromText="180" w:vertAnchor="text" w:horzAnchor="page" w:tblpX="1661" w:tblpY="67"/>
        <w:tblOverlap w:val="never"/>
        <w:tblW w:w="8526" w:type="dxa"/>
        <w:tblInd w:w="0" w:type="dxa"/>
        <w:tblLayout w:type="fixed"/>
        <w:tblCellMar>
          <w:top w:w="0" w:type="dxa"/>
          <w:left w:w="108" w:type="dxa"/>
          <w:bottom w:w="0" w:type="dxa"/>
          <w:right w:w="108" w:type="dxa"/>
        </w:tblCellMar>
      </w:tblPr>
      <w:tblGrid>
        <w:gridCol w:w="433"/>
        <w:gridCol w:w="825"/>
        <w:gridCol w:w="3281"/>
        <w:gridCol w:w="1681"/>
        <w:gridCol w:w="1106"/>
        <w:gridCol w:w="1200"/>
      </w:tblGrid>
      <w:tr>
        <w:tblPrEx>
          <w:tblLayout w:type="fixed"/>
          <w:tblCellMar>
            <w:top w:w="0" w:type="dxa"/>
            <w:left w:w="108" w:type="dxa"/>
            <w:bottom w:w="0" w:type="dxa"/>
            <w:right w:w="108" w:type="dxa"/>
          </w:tblCellMar>
        </w:tblPrEx>
        <w:trPr>
          <w:trHeight w:val="300"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序号</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检查项目</w:t>
            </w:r>
          </w:p>
        </w:tc>
        <w:tc>
          <w:tcPr>
            <w:tcW w:w="32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检查标准</w:t>
            </w:r>
          </w:p>
        </w:tc>
        <w:tc>
          <w:tcPr>
            <w:tcW w:w="16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检查情况</w:t>
            </w:r>
          </w:p>
        </w:tc>
        <w:tc>
          <w:tcPr>
            <w:tcW w:w="11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责任人</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整改验收人</w:t>
            </w:r>
          </w:p>
        </w:tc>
      </w:tr>
      <w:tr>
        <w:tblPrEx>
          <w:tblLayout w:type="fixed"/>
          <w:tblCellMar>
            <w:top w:w="0" w:type="dxa"/>
            <w:left w:w="108" w:type="dxa"/>
            <w:bottom w:w="0" w:type="dxa"/>
            <w:right w:w="108" w:type="dxa"/>
          </w:tblCellMar>
        </w:tblPrEx>
        <w:trPr>
          <w:trHeight w:val="300" w:hRule="atLeast"/>
        </w:trPr>
        <w:tc>
          <w:tcPr>
            <w:tcW w:w="4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1</w:t>
            </w:r>
          </w:p>
        </w:tc>
        <w:tc>
          <w:tcPr>
            <w:tcW w:w="82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机体</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外观完好</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82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外壳接地可靠</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82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紧固件连接牢固、无松动和锈蚀</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82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基座稳固，填沙适量，沙不能有油污</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82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整机运转平稳无噪音</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82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视油器镜面清洁，无汽泡</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570" w:hRule="atLeast"/>
        </w:trPr>
        <w:tc>
          <w:tcPr>
            <w:tcW w:w="4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2</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油枪</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外观无破损，密封完好，无泄漏，万向节完好灵活</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3</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加油胶管</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外观无破损，与加油枪和视油器连接可靠</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570" w:hRule="atLeast"/>
        </w:trPr>
        <w:tc>
          <w:tcPr>
            <w:tcW w:w="4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4</w:t>
            </w:r>
          </w:p>
        </w:tc>
        <w:tc>
          <w:tcPr>
            <w:tcW w:w="82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电脑</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显示屏应正确完好，背光源正常，不掉笔划，字迹完整清晰</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82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预置键盘灵活、完好</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5</w:t>
            </w:r>
          </w:p>
        </w:tc>
        <w:tc>
          <w:tcPr>
            <w:tcW w:w="82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电机</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启动开关启闭灵活</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82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防爆接线盒密封完好</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82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电机温度无异常</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82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电器部件无焦味</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82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电动机外壳保护接地良好</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6</w:t>
            </w:r>
          </w:p>
        </w:tc>
        <w:tc>
          <w:tcPr>
            <w:tcW w:w="82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油泵</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泵体及管线无渗漏</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82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V带松紧适度，无毛边、裂纹</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82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油泵压力正常</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7</w:t>
            </w:r>
          </w:p>
        </w:tc>
        <w:tc>
          <w:tcPr>
            <w:tcW w:w="82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油气分离器</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排气出口必须引出机箱并畅通</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82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工作时无冒油现象</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82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油管各连接部位，无渗漏现象</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82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过滤网清洁、无破损</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8</w:t>
            </w:r>
          </w:p>
        </w:tc>
        <w:tc>
          <w:tcPr>
            <w:tcW w:w="82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潜油泵</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加油机过滤器无渗漏</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82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控制箱指示灯显示正常，无异味</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300" w:hRule="atLeast"/>
        </w:trPr>
        <w:tc>
          <w:tcPr>
            <w:tcW w:w="43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82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宋体" w:eastAsia="黑体" w:cs="宋体"/>
                <w:kern w:val="0"/>
                <w:szCs w:val="21"/>
              </w:rPr>
            </w:pP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运行平稳无杂音</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510" w:hRule="atLeast"/>
        </w:trPr>
        <w:tc>
          <w:tcPr>
            <w:tcW w:w="4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9</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紧急切断阀</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完好，无锈蚀，工作正常</w:t>
            </w:r>
          </w:p>
        </w:tc>
        <w:tc>
          <w:tcPr>
            <w:tcW w:w="16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10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bl>
    <w:p>
      <w:pPr>
        <w:jc w:val="cente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rPr>
          <w:rFonts w:eastAsia="黑体"/>
          <w:kern w:val="0"/>
          <w:sz w:val="24"/>
        </w:rPr>
      </w:pPr>
    </w:p>
    <w:p>
      <w:pPr>
        <w:autoSpaceDE w:val="0"/>
        <w:autoSpaceDN w:val="0"/>
        <w:adjustRightInd w:val="0"/>
        <w:spacing w:beforeLines="50" w:afterLines="50" w:line="360" w:lineRule="exact"/>
        <w:rPr>
          <w:rFonts w:ascii="黑体" w:hAnsi="黑体" w:eastAsia="黑体" w:cs="黑体"/>
          <w:kern w:val="0"/>
          <w:sz w:val="30"/>
          <w:szCs w:val="30"/>
        </w:rPr>
      </w:pPr>
    </w:p>
    <w:p>
      <w:pPr>
        <w:autoSpaceDE w:val="0"/>
        <w:autoSpaceDN w:val="0"/>
        <w:adjustRightInd w:val="0"/>
        <w:spacing w:beforeLines="50" w:afterLines="50" w:line="360" w:lineRule="exact"/>
        <w:ind w:firstLine="3300" w:firstLineChars="1100"/>
        <w:rPr>
          <w:rFonts w:ascii="黑体" w:hAnsi="黑体" w:eastAsia="黑体" w:cs="黑体"/>
          <w:kern w:val="0"/>
          <w:sz w:val="30"/>
          <w:szCs w:val="30"/>
        </w:rPr>
      </w:pPr>
    </w:p>
    <w:p>
      <w:pPr>
        <w:autoSpaceDE w:val="0"/>
        <w:autoSpaceDN w:val="0"/>
        <w:adjustRightInd w:val="0"/>
        <w:spacing w:beforeLines="50" w:afterLines="50" w:line="360" w:lineRule="exact"/>
        <w:ind w:firstLine="4480" w:firstLineChars="1400"/>
        <w:rPr>
          <w:rFonts w:eastAsia="黑体"/>
          <w:kern w:val="0"/>
          <w:sz w:val="32"/>
          <w:szCs w:val="32"/>
        </w:rPr>
      </w:pPr>
    </w:p>
    <w:p>
      <w:pPr>
        <w:autoSpaceDE w:val="0"/>
        <w:autoSpaceDN w:val="0"/>
        <w:adjustRightInd w:val="0"/>
        <w:spacing w:beforeLines="50" w:afterLines="50" w:line="360" w:lineRule="exact"/>
        <w:ind w:firstLine="4480" w:firstLineChars="1400"/>
        <w:rPr>
          <w:rFonts w:eastAsia="黑体"/>
          <w:kern w:val="0"/>
          <w:sz w:val="32"/>
          <w:szCs w:val="32"/>
        </w:rPr>
      </w:pPr>
    </w:p>
    <w:p>
      <w:pPr>
        <w:autoSpaceDE w:val="0"/>
        <w:autoSpaceDN w:val="0"/>
        <w:adjustRightInd w:val="0"/>
        <w:spacing w:beforeLines="50" w:afterLines="50" w:line="360" w:lineRule="exact"/>
        <w:ind w:firstLine="4480" w:firstLineChars="1400"/>
        <w:rPr>
          <w:rFonts w:eastAsia="黑体"/>
          <w:kern w:val="0"/>
          <w:sz w:val="32"/>
          <w:szCs w:val="32"/>
        </w:rPr>
      </w:pPr>
    </w:p>
    <w:p>
      <w:pPr>
        <w:autoSpaceDE w:val="0"/>
        <w:autoSpaceDN w:val="0"/>
        <w:adjustRightInd w:val="0"/>
        <w:spacing w:beforeLines="50" w:afterLines="50" w:line="360" w:lineRule="exact"/>
        <w:ind w:firstLine="4480" w:firstLineChars="1400"/>
        <w:rPr>
          <w:rFonts w:eastAsia="黑体"/>
          <w:kern w:val="0"/>
          <w:sz w:val="32"/>
          <w:szCs w:val="32"/>
        </w:rPr>
      </w:pPr>
    </w:p>
    <w:p>
      <w:pPr>
        <w:autoSpaceDE w:val="0"/>
        <w:autoSpaceDN w:val="0"/>
        <w:adjustRightInd w:val="0"/>
        <w:spacing w:beforeLines="50" w:afterLines="50" w:line="360" w:lineRule="exact"/>
        <w:ind w:firstLine="4480" w:firstLineChars="1400"/>
        <w:rPr>
          <w:rFonts w:eastAsia="黑体"/>
          <w:kern w:val="0"/>
          <w:sz w:val="32"/>
          <w:szCs w:val="32"/>
        </w:rPr>
      </w:pPr>
    </w:p>
    <w:p>
      <w:pPr>
        <w:autoSpaceDE w:val="0"/>
        <w:autoSpaceDN w:val="0"/>
        <w:adjustRightInd w:val="0"/>
        <w:spacing w:beforeLines="50" w:afterLines="50" w:line="360" w:lineRule="exact"/>
        <w:ind w:firstLine="4480" w:firstLineChars="1400"/>
        <w:rPr>
          <w:rFonts w:eastAsia="黑体"/>
          <w:kern w:val="0"/>
          <w:sz w:val="32"/>
          <w:szCs w:val="32"/>
        </w:rPr>
      </w:pPr>
    </w:p>
    <w:p>
      <w:pPr>
        <w:autoSpaceDE w:val="0"/>
        <w:autoSpaceDN w:val="0"/>
        <w:adjustRightInd w:val="0"/>
        <w:spacing w:beforeLines="50" w:afterLines="50" w:line="360" w:lineRule="exact"/>
        <w:ind w:firstLine="4480" w:firstLineChars="1400"/>
        <w:rPr>
          <w:rFonts w:eastAsia="黑体"/>
          <w:kern w:val="0"/>
          <w:sz w:val="32"/>
          <w:szCs w:val="32"/>
        </w:rPr>
      </w:pPr>
    </w:p>
    <w:p>
      <w:pPr>
        <w:autoSpaceDE w:val="0"/>
        <w:autoSpaceDN w:val="0"/>
        <w:adjustRightInd w:val="0"/>
        <w:spacing w:beforeLines="50" w:afterLines="50" w:line="360" w:lineRule="exact"/>
        <w:ind w:firstLine="4480" w:firstLineChars="1400"/>
        <w:rPr>
          <w:rFonts w:eastAsia="黑体"/>
          <w:kern w:val="0"/>
          <w:sz w:val="32"/>
          <w:szCs w:val="32"/>
        </w:rPr>
      </w:pPr>
    </w:p>
    <w:p>
      <w:pPr>
        <w:autoSpaceDE w:val="0"/>
        <w:autoSpaceDN w:val="0"/>
        <w:adjustRightInd w:val="0"/>
        <w:spacing w:beforeLines="50" w:afterLines="50" w:line="360" w:lineRule="exact"/>
        <w:ind w:firstLine="4480" w:firstLineChars="1400"/>
        <w:rPr>
          <w:rFonts w:eastAsia="黑体"/>
          <w:kern w:val="0"/>
          <w:sz w:val="32"/>
          <w:szCs w:val="32"/>
        </w:rPr>
      </w:pPr>
    </w:p>
    <w:p>
      <w:pPr>
        <w:autoSpaceDE w:val="0"/>
        <w:autoSpaceDN w:val="0"/>
        <w:adjustRightInd w:val="0"/>
        <w:spacing w:beforeLines="50" w:afterLines="50" w:line="360" w:lineRule="exact"/>
        <w:ind w:firstLine="4480" w:firstLineChars="1400"/>
        <w:rPr>
          <w:rFonts w:eastAsia="黑体"/>
          <w:kern w:val="0"/>
          <w:sz w:val="32"/>
          <w:szCs w:val="32"/>
        </w:rPr>
      </w:pPr>
    </w:p>
    <w:p>
      <w:pPr>
        <w:autoSpaceDE w:val="0"/>
        <w:autoSpaceDN w:val="0"/>
        <w:adjustRightInd w:val="0"/>
        <w:spacing w:beforeLines="50" w:afterLines="50" w:line="360" w:lineRule="exact"/>
        <w:ind w:firstLine="4480" w:firstLineChars="1400"/>
        <w:rPr>
          <w:rFonts w:eastAsia="黑体"/>
          <w:kern w:val="0"/>
          <w:sz w:val="32"/>
          <w:szCs w:val="32"/>
        </w:rPr>
      </w:pPr>
    </w:p>
    <w:p>
      <w:pPr>
        <w:autoSpaceDE w:val="0"/>
        <w:autoSpaceDN w:val="0"/>
        <w:adjustRightInd w:val="0"/>
        <w:spacing w:beforeLines="50" w:afterLines="50" w:line="360" w:lineRule="exact"/>
        <w:ind w:firstLine="4480" w:firstLineChars="1400"/>
        <w:rPr>
          <w:rFonts w:eastAsia="黑体"/>
          <w:kern w:val="0"/>
          <w:sz w:val="32"/>
          <w:szCs w:val="32"/>
        </w:rPr>
      </w:pPr>
    </w:p>
    <w:p>
      <w:pPr>
        <w:autoSpaceDE w:val="0"/>
        <w:autoSpaceDN w:val="0"/>
        <w:adjustRightInd w:val="0"/>
        <w:spacing w:beforeLines="50" w:afterLines="50" w:line="360" w:lineRule="exact"/>
        <w:ind w:firstLine="4480" w:firstLineChars="1400"/>
        <w:rPr>
          <w:rFonts w:ascii="黑体" w:hAnsi="黑体" w:eastAsia="黑体" w:cs="黑体"/>
          <w:kern w:val="0"/>
          <w:sz w:val="30"/>
          <w:szCs w:val="30"/>
        </w:rPr>
      </w:pPr>
      <w:r>
        <w:rPr>
          <w:rFonts w:hint="eastAsia" w:eastAsia="黑体"/>
          <w:kern w:val="0"/>
          <w:sz w:val="32"/>
          <w:szCs w:val="32"/>
        </w:rPr>
        <w:t>安全检查清单</w:t>
      </w:r>
    </w:p>
    <w:p>
      <w:pPr>
        <w:autoSpaceDE w:val="0"/>
        <w:autoSpaceDN w:val="0"/>
        <w:adjustRightInd w:val="0"/>
        <w:spacing w:beforeLines="50" w:afterLines="50" w:line="360" w:lineRule="exact"/>
        <w:ind w:firstLine="3300" w:firstLineChars="1100"/>
        <w:rPr>
          <w:rFonts w:ascii="黑体" w:hAnsi="黑体" w:eastAsia="黑体" w:cs="黑体"/>
          <w:kern w:val="0"/>
          <w:sz w:val="30"/>
          <w:szCs w:val="30"/>
        </w:rPr>
      </w:pPr>
    </w:p>
    <w:p>
      <w:pPr>
        <w:autoSpaceDE w:val="0"/>
        <w:autoSpaceDN w:val="0"/>
        <w:adjustRightInd w:val="0"/>
        <w:spacing w:beforeLines="50" w:afterLines="50" w:line="360" w:lineRule="exact"/>
        <w:ind w:firstLine="1405" w:firstLineChars="500"/>
        <w:rPr>
          <w:rFonts w:ascii="方正仿宋简体" w:hAnsi="宋体" w:eastAsia="方正仿宋简体" w:cs="FZSSJW--GB1-0"/>
          <w:b/>
          <w:kern w:val="0"/>
          <w:sz w:val="32"/>
          <w:szCs w:val="32"/>
        </w:rPr>
      </w:pPr>
      <w:r>
        <w:rPr>
          <w:rFonts w:hint="eastAsia" w:ascii="宋体" w:hAnsi="宋体" w:eastAsia="宋体" w:cs="宋体"/>
          <w:b/>
          <w:color w:val="000000"/>
          <w:kern w:val="0"/>
          <w:sz w:val="28"/>
          <w:szCs w:val="28"/>
        </w:rPr>
        <w:t>中国石油四川南充销售公司</w:t>
      </w:r>
      <w:r>
        <w:rPr>
          <w:rFonts w:hint="eastAsia" w:ascii="黑体" w:hAnsi="黑体" w:eastAsia="黑体" w:cs="黑体"/>
          <w:kern w:val="0"/>
          <w:sz w:val="30"/>
          <w:szCs w:val="30"/>
          <w:lang w:val="en-US" w:eastAsia="zh-CN"/>
        </w:rPr>
        <w:t>莺花路</w:t>
      </w:r>
      <w:r>
        <w:rPr>
          <w:rFonts w:hint="eastAsia" w:ascii="黑体" w:hAnsi="黑体" w:eastAsia="黑体" w:cs="黑体"/>
          <w:kern w:val="0"/>
          <w:sz w:val="30"/>
          <w:szCs w:val="30"/>
        </w:rPr>
        <w:t>加油站</w:t>
      </w:r>
      <w:r>
        <w:rPr>
          <w:rFonts w:hint="eastAsia" w:ascii="方正仿宋简体" w:hAnsi="宋体" w:eastAsia="方正仿宋简体" w:cs="FZSSJW--GB1-0"/>
          <w:b/>
          <w:kern w:val="0"/>
          <w:sz w:val="32"/>
          <w:szCs w:val="32"/>
        </w:rPr>
        <w:t>专项检查清单</w:t>
      </w:r>
    </w:p>
    <w:tbl>
      <w:tblPr>
        <w:tblStyle w:val="18"/>
        <w:tblpPr w:leftFromText="180" w:rightFromText="180" w:vertAnchor="text" w:horzAnchor="page" w:tblpX="1867" w:tblpY="691"/>
        <w:tblOverlap w:val="never"/>
        <w:tblW w:w="8845" w:type="dxa"/>
        <w:tblInd w:w="0" w:type="dxa"/>
        <w:tblLayout w:type="fixed"/>
        <w:tblCellMar>
          <w:top w:w="0" w:type="dxa"/>
          <w:left w:w="108" w:type="dxa"/>
          <w:bottom w:w="0" w:type="dxa"/>
          <w:right w:w="108" w:type="dxa"/>
        </w:tblCellMar>
      </w:tblPr>
      <w:tblGrid>
        <w:gridCol w:w="567"/>
        <w:gridCol w:w="1107"/>
        <w:gridCol w:w="3759"/>
        <w:gridCol w:w="1050"/>
        <w:gridCol w:w="1069"/>
        <w:gridCol w:w="1293"/>
      </w:tblGrid>
      <w:tr>
        <w:tblPrEx>
          <w:tblLayout w:type="fixed"/>
          <w:tblCellMar>
            <w:top w:w="0" w:type="dxa"/>
            <w:left w:w="108" w:type="dxa"/>
            <w:bottom w:w="0" w:type="dxa"/>
            <w:right w:w="108" w:type="dxa"/>
          </w:tblCellMar>
        </w:tblPrEx>
        <w:trPr>
          <w:trHeight w:val="2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序号</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检查项目</w:t>
            </w:r>
          </w:p>
        </w:tc>
        <w:tc>
          <w:tcPr>
            <w:tcW w:w="37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检查标准</w:t>
            </w:r>
          </w:p>
        </w:tc>
        <w:tc>
          <w:tcPr>
            <w:tcW w:w="1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检查情况</w:t>
            </w:r>
          </w:p>
        </w:tc>
        <w:tc>
          <w:tcPr>
            <w:tcW w:w="10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责任人</w:t>
            </w:r>
          </w:p>
        </w:tc>
        <w:tc>
          <w:tcPr>
            <w:tcW w:w="12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整改验收人</w:t>
            </w:r>
          </w:p>
        </w:tc>
      </w:tr>
      <w:tr>
        <w:tblPrEx>
          <w:tblLayout w:type="fixed"/>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1</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防雷防静电装置</w:t>
            </w:r>
          </w:p>
        </w:tc>
        <w:tc>
          <w:tcPr>
            <w:tcW w:w="3759"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接地是否良好，无锈蚀，无断线，无松动，紧固件无缺失，连接可靠</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06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2</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储油罐</w:t>
            </w:r>
          </w:p>
        </w:tc>
        <w:tc>
          <w:tcPr>
            <w:tcW w:w="3759"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无渗漏，罐区地面无沉陷</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06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3</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卸油口</w:t>
            </w:r>
          </w:p>
        </w:tc>
        <w:tc>
          <w:tcPr>
            <w:tcW w:w="3759"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卸油口接头无损伤，阀门开关是否灵活，配有闷盖，配置有铜质锁并锁闭</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06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4</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管线</w:t>
            </w:r>
          </w:p>
        </w:tc>
        <w:tc>
          <w:tcPr>
            <w:tcW w:w="3759"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无锈蚀，无渗漏，工作时无异常振动</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06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5</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过滤器</w:t>
            </w:r>
          </w:p>
        </w:tc>
        <w:tc>
          <w:tcPr>
            <w:tcW w:w="3759"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过滤器无渗漏，卸油通畅</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06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6</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量油口</w:t>
            </w:r>
          </w:p>
        </w:tc>
        <w:tc>
          <w:tcPr>
            <w:tcW w:w="3759"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启闭灵活，配置有铜质锁，锁具完好有效并锁闭，密封垫完好，无油污，导尺槽完好</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06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7</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通气管</w:t>
            </w:r>
          </w:p>
        </w:tc>
        <w:tc>
          <w:tcPr>
            <w:tcW w:w="3759"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无锈蚀，连接牢固，无弯曲变形</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06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8</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卸油胶管</w:t>
            </w:r>
          </w:p>
        </w:tc>
        <w:tc>
          <w:tcPr>
            <w:tcW w:w="3759"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快速接头完好无破损，静电连接线压接良好，胶管无变形，配置有闷盖</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06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9</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入孔盖</w:t>
            </w:r>
          </w:p>
        </w:tc>
        <w:tc>
          <w:tcPr>
            <w:tcW w:w="3759"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无锈蚀、入孔密封垫完好无漏气、紧固件无松动</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06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10</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阻火透气帽</w:t>
            </w:r>
          </w:p>
        </w:tc>
        <w:tc>
          <w:tcPr>
            <w:tcW w:w="3759"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通畅、无堵塞、无蛛网、无锈蚀</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06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11</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操作井</w:t>
            </w:r>
          </w:p>
        </w:tc>
        <w:tc>
          <w:tcPr>
            <w:tcW w:w="3759"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井内无积水、无油污、井壁完好无破损</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06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12</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油罐附件</w:t>
            </w:r>
          </w:p>
        </w:tc>
        <w:tc>
          <w:tcPr>
            <w:tcW w:w="3759"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液位仪、潜油泵、阻火器、通气管、进出油管、入孔等部件连接牢固，运行良好、清洁卫生</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06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13</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警示标识</w:t>
            </w:r>
          </w:p>
        </w:tc>
        <w:tc>
          <w:tcPr>
            <w:tcW w:w="3759"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罐区安全警示标识、卸油操作规程内容完整、字迹清楚醒目</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06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14</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潜油泵</w:t>
            </w:r>
          </w:p>
        </w:tc>
        <w:tc>
          <w:tcPr>
            <w:tcW w:w="3759"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无渗漏、无锈蚀、运行平稳无异常</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06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bl>
    <w:p>
      <w:pPr>
        <w:jc w:val="center"/>
        <w:rPr>
          <w:rFonts w:eastAsia="黑体"/>
          <w:kern w:val="0"/>
          <w:sz w:val="24"/>
        </w:rPr>
      </w:pPr>
      <w:r>
        <w:rPr>
          <w:rFonts w:hint="eastAsia" w:ascii="方正仿宋简体" w:hAnsi="宋体" w:eastAsia="方正仿宋简体" w:cs="FZSSJW--GB1-0"/>
          <w:b/>
          <w:kern w:val="0"/>
          <w:sz w:val="32"/>
          <w:szCs w:val="32"/>
        </w:rPr>
        <w:t>油罐及管线</w:t>
      </w:r>
      <w:r>
        <w:rPr>
          <w:rFonts w:eastAsia="黑体"/>
          <w:kern w:val="0"/>
          <w:sz w:val="24"/>
        </w:rPr>
        <w:br w:type="page"/>
      </w:r>
    </w:p>
    <w:p>
      <w:pPr>
        <w:jc w:val="left"/>
        <w:rPr>
          <w:rFonts w:eastAsia="黑体"/>
          <w:kern w:val="0"/>
          <w:sz w:val="24"/>
        </w:rPr>
      </w:pPr>
    </w:p>
    <w:p>
      <w:pPr>
        <w:jc w:val="left"/>
        <w:rPr>
          <w:rFonts w:eastAsia="黑体"/>
          <w:kern w:val="0"/>
          <w:sz w:val="24"/>
        </w:rPr>
      </w:pPr>
    </w:p>
    <w:p>
      <w:pPr>
        <w:autoSpaceDE w:val="0"/>
        <w:autoSpaceDN w:val="0"/>
        <w:adjustRightInd w:val="0"/>
        <w:spacing w:beforeLines="50" w:afterLines="50" w:line="360" w:lineRule="exact"/>
        <w:ind w:firstLine="4480" w:firstLineChars="1400"/>
        <w:rPr>
          <w:rFonts w:ascii="黑体" w:hAnsi="黑体" w:eastAsia="黑体" w:cs="黑体"/>
          <w:kern w:val="0"/>
          <w:sz w:val="30"/>
          <w:szCs w:val="30"/>
        </w:rPr>
      </w:pPr>
      <w:r>
        <w:rPr>
          <w:rFonts w:hint="eastAsia" w:eastAsia="黑体"/>
          <w:kern w:val="0"/>
          <w:sz w:val="32"/>
          <w:szCs w:val="32"/>
        </w:rPr>
        <w:t>安全检查清单</w:t>
      </w:r>
    </w:p>
    <w:p>
      <w:pPr>
        <w:pStyle w:val="72"/>
        <w:rPr>
          <w:rFonts w:eastAsia="黑体"/>
          <w:sz w:val="30"/>
          <w:szCs w:val="30"/>
        </w:rPr>
      </w:pPr>
      <w:r>
        <w:rPr>
          <w:rFonts w:hint="eastAsia" w:eastAsia="黑体"/>
          <w:sz w:val="24"/>
        </w:rPr>
        <w:t xml:space="preserve"> </w:t>
      </w:r>
    </w:p>
    <w:p>
      <w:pPr>
        <w:autoSpaceDE w:val="0"/>
        <w:autoSpaceDN w:val="0"/>
        <w:adjustRightInd w:val="0"/>
        <w:spacing w:beforeLines="50" w:afterLines="50" w:line="360" w:lineRule="exact"/>
        <w:ind w:firstLine="2108" w:firstLineChars="700"/>
        <w:rPr>
          <w:rFonts w:ascii="方正仿宋简体" w:hAnsi="宋体" w:eastAsia="方正仿宋简体" w:cs="FZSSJW--GB1-0"/>
          <w:b/>
          <w:kern w:val="0"/>
          <w:sz w:val="32"/>
          <w:szCs w:val="32"/>
        </w:rPr>
      </w:pPr>
      <w:r>
        <w:rPr>
          <w:rFonts w:hint="eastAsia" w:ascii="宋体" w:hAnsi="宋体" w:eastAsia="宋体" w:cs="宋体"/>
          <w:b/>
          <w:color w:val="000000"/>
          <w:kern w:val="0"/>
          <w:sz w:val="30"/>
          <w:szCs w:val="30"/>
        </w:rPr>
        <w:t>中国石油四川南充销售公司</w:t>
      </w:r>
      <w:r>
        <w:rPr>
          <w:rFonts w:hint="eastAsia" w:ascii="黑体" w:hAnsi="黑体" w:eastAsia="黑体" w:cs="黑体"/>
          <w:kern w:val="0"/>
          <w:sz w:val="30"/>
          <w:szCs w:val="30"/>
          <w:lang w:eastAsia="zh-CN"/>
        </w:rPr>
        <w:t>莺花路</w:t>
      </w:r>
      <w:r>
        <w:rPr>
          <w:rFonts w:hint="eastAsia" w:ascii="黑体" w:hAnsi="黑体" w:eastAsia="黑体" w:cs="黑体"/>
          <w:kern w:val="0"/>
          <w:sz w:val="30"/>
          <w:szCs w:val="30"/>
        </w:rPr>
        <w:t>加油站</w:t>
      </w:r>
      <w:r>
        <w:rPr>
          <w:rFonts w:hint="eastAsia" w:ascii="方正仿宋简体" w:hAnsi="宋体" w:eastAsia="方正仿宋简体" w:cs="FZSSJW--GB1-0"/>
          <w:b/>
          <w:kern w:val="0"/>
          <w:sz w:val="30"/>
          <w:szCs w:val="30"/>
        </w:rPr>
        <w:t>专项检查清单</w:t>
      </w:r>
    </w:p>
    <w:p>
      <w:pPr>
        <w:jc w:val="left"/>
        <w:rPr>
          <w:rFonts w:eastAsia="黑体"/>
          <w:kern w:val="0"/>
          <w:sz w:val="24"/>
        </w:rPr>
      </w:pPr>
    </w:p>
    <w:p>
      <w:pPr>
        <w:jc w:val="center"/>
        <w:rPr>
          <w:rFonts w:eastAsia="黑体"/>
          <w:kern w:val="0"/>
          <w:sz w:val="24"/>
        </w:rPr>
      </w:pPr>
      <w:r>
        <w:rPr>
          <w:rFonts w:hint="eastAsia" w:ascii="方正仿宋简体" w:hAnsi="方正仿宋简体" w:eastAsia="方正仿宋简体" w:cs="方正仿宋简体"/>
          <w:b/>
          <w:bCs/>
          <w:sz w:val="32"/>
          <w:szCs w:val="32"/>
        </w:rPr>
        <w:t>发电机组</w:t>
      </w:r>
    </w:p>
    <w:p>
      <w:pPr>
        <w:autoSpaceDE w:val="0"/>
        <w:autoSpaceDN w:val="0"/>
        <w:adjustRightInd w:val="0"/>
        <w:spacing w:beforeLines="50" w:afterLines="50" w:line="360" w:lineRule="exact"/>
        <w:ind w:firstLine="1921" w:firstLineChars="600"/>
        <w:rPr>
          <w:rFonts w:ascii="方正仿宋简体" w:hAnsi="宋体" w:eastAsia="方正仿宋简体" w:cs="FZSSJW--GB1-0"/>
          <w:b/>
          <w:kern w:val="0"/>
          <w:sz w:val="32"/>
          <w:szCs w:val="32"/>
        </w:rPr>
      </w:pPr>
    </w:p>
    <w:tbl>
      <w:tblPr>
        <w:tblStyle w:val="18"/>
        <w:tblpPr w:leftFromText="180" w:rightFromText="180" w:vertAnchor="text" w:horzAnchor="page" w:tblpX="1867" w:tblpY="760"/>
        <w:tblOverlap w:val="never"/>
        <w:tblW w:w="8489" w:type="dxa"/>
        <w:tblInd w:w="0" w:type="dxa"/>
        <w:tblLayout w:type="fixed"/>
        <w:tblCellMar>
          <w:top w:w="0" w:type="dxa"/>
          <w:left w:w="108" w:type="dxa"/>
          <w:bottom w:w="0" w:type="dxa"/>
          <w:right w:w="108" w:type="dxa"/>
        </w:tblCellMar>
      </w:tblPr>
      <w:tblGrid>
        <w:gridCol w:w="595"/>
        <w:gridCol w:w="994"/>
        <w:gridCol w:w="3075"/>
        <w:gridCol w:w="1275"/>
        <w:gridCol w:w="1275"/>
        <w:gridCol w:w="1275"/>
      </w:tblGrid>
      <w:tr>
        <w:tblPrEx>
          <w:tblLayout w:type="fixed"/>
          <w:tblCellMar>
            <w:top w:w="0" w:type="dxa"/>
            <w:left w:w="108" w:type="dxa"/>
            <w:bottom w:w="0" w:type="dxa"/>
            <w:right w:w="108" w:type="dxa"/>
          </w:tblCellMar>
        </w:tblPrEx>
        <w:trPr>
          <w:trHeight w:val="285" w:hRule="atLeast"/>
        </w:trPr>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序号</w:t>
            </w:r>
          </w:p>
        </w:tc>
        <w:tc>
          <w:tcPr>
            <w:tcW w:w="9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检查项目</w:t>
            </w:r>
          </w:p>
        </w:tc>
        <w:tc>
          <w:tcPr>
            <w:tcW w:w="3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检查标准</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检查情况</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责任人</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整改验收人</w:t>
            </w:r>
          </w:p>
        </w:tc>
      </w:tr>
      <w:tr>
        <w:tblPrEx>
          <w:tblLayout w:type="fixed"/>
          <w:tblCellMar>
            <w:top w:w="0" w:type="dxa"/>
            <w:left w:w="108" w:type="dxa"/>
            <w:bottom w:w="0" w:type="dxa"/>
            <w:right w:w="108" w:type="dxa"/>
          </w:tblCellMar>
        </w:tblPrEx>
        <w:trPr>
          <w:trHeight w:val="285" w:hRule="atLeast"/>
        </w:trPr>
        <w:tc>
          <w:tcPr>
            <w:tcW w:w="595" w:type="dxa"/>
            <w:vMerge w:val="restart"/>
            <w:tcBorders>
              <w:top w:val="nil"/>
              <w:left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1</w:t>
            </w:r>
          </w:p>
        </w:tc>
        <w:tc>
          <w:tcPr>
            <w:tcW w:w="994" w:type="dxa"/>
            <w:vMerge w:val="restart"/>
            <w:tcBorders>
              <w:top w:val="nil"/>
              <w:left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油箱</w:t>
            </w: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油箱内燃油是否在正常范围内</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994"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油箱有无漏油现象</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vMerge w:val="restart"/>
            <w:tcBorders>
              <w:top w:val="nil"/>
              <w:left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2</w:t>
            </w:r>
          </w:p>
        </w:tc>
        <w:tc>
          <w:tcPr>
            <w:tcW w:w="994" w:type="dxa"/>
            <w:vMerge w:val="restart"/>
            <w:tcBorders>
              <w:top w:val="nil"/>
              <w:left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机油</w:t>
            </w: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机油标尺刻度是否在支撑范围内</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994"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有无渗漏</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vMerge w:val="restart"/>
            <w:tcBorders>
              <w:top w:val="nil"/>
              <w:left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4</w:t>
            </w:r>
          </w:p>
        </w:tc>
        <w:tc>
          <w:tcPr>
            <w:tcW w:w="994" w:type="dxa"/>
            <w:vMerge w:val="restart"/>
            <w:tcBorders>
              <w:top w:val="nil"/>
              <w:left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水箱</w:t>
            </w: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水箱水位是否在正常范围内</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994"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有无漏水现象</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5</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发动机转速</w:t>
            </w: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调速器档位固定是否牢固</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6</w:t>
            </w:r>
          </w:p>
        </w:tc>
        <w:tc>
          <w:tcPr>
            <w:tcW w:w="994"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蓄电池</w:t>
            </w: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蓄电池电压充足。</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7</w:t>
            </w:r>
          </w:p>
        </w:tc>
        <w:tc>
          <w:tcPr>
            <w:tcW w:w="994"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仪表</w:t>
            </w: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仪表正常</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8</w:t>
            </w:r>
          </w:p>
        </w:tc>
        <w:tc>
          <w:tcPr>
            <w:tcW w:w="9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附件、电缆</w:t>
            </w: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附件安装紧固，螺栓、机械连接件牢固</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99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电缆线无松动、破损。</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9</w:t>
            </w:r>
          </w:p>
        </w:tc>
        <w:tc>
          <w:tcPr>
            <w:tcW w:w="9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试机</w:t>
            </w: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启动后怠速、声音正常</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99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高速运行后输出电压和频率是否正常，声音是否正常。</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bl>
    <w:p>
      <w:pPr>
        <w:pStyle w:val="72"/>
        <w:ind w:left="0" w:firstLine="3840" w:firstLineChars="1200"/>
      </w:pPr>
    </w:p>
    <w:p>
      <w:pPr>
        <w:jc w:val="left"/>
        <w:rPr>
          <w:rFonts w:eastAsia="黑体"/>
          <w:kern w:val="0"/>
          <w:sz w:val="24"/>
        </w:rPr>
      </w:pPr>
    </w:p>
    <w:p>
      <w:pPr>
        <w:jc w:val="left"/>
        <w:rPr>
          <w:rFonts w:eastAsia="黑体"/>
          <w:kern w:val="0"/>
          <w:sz w:val="24"/>
        </w:rPr>
      </w:pPr>
    </w:p>
    <w:p>
      <w:pPr>
        <w:jc w:val="left"/>
        <w:rPr>
          <w:rFonts w:eastAsia="黑体"/>
          <w:kern w:val="0"/>
          <w:sz w:val="24"/>
        </w:rPr>
      </w:pPr>
    </w:p>
    <w:p>
      <w:pPr>
        <w:jc w:val="left"/>
        <w:rPr>
          <w:rFonts w:eastAsia="黑体"/>
          <w:kern w:val="0"/>
          <w:sz w:val="24"/>
        </w:rPr>
      </w:pPr>
    </w:p>
    <w:p>
      <w:pPr>
        <w:jc w:val="left"/>
        <w:rPr>
          <w:rFonts w:eastAsia="黑体"/>
          <w:kern w:val="0"/>
          <w:sz w:val="24"/>
        </w:rPr>
      </w:pPr>
    </w:p>
    <w:p>
      <w:pPr>
        <w:jc w:val="left"/>
        <w:rPr>
          <w:rFonts w:eastAsia="黑体"/>
          <w:kern w:val="0"/>
          <w:sz w:val="24"/>
        </w:rPr>
      </w:pPr>
    </w:p>
    <w:p>
      <w:pPr>
        <w:jc w:val="left"/>
        <w:rPr>
          <w:rFonts w:eastAsia="黑体"/>
          <w:kern w:val="0"/>
          <w:sz w:val="24"/>
        </w:rPr>
      </w:pPr>
    </w:p>
    <w:p>
      <w:pPr>
        <w:jc w:val="left"/>
        <w:rPr>
          <w:rFonts w:eastAsia="黑体"/>
          <w:kern w:val="0"/>
          <w:sz w:val="24"/>
        </w:rPr>
      </w:pPr>
    </w:p>
    <w:p>
      <w:pPr>
        <w:jc w:val="left"/>
        <w:rPr>
          <w:rFonts w:eastAsia="黑体"/>
          <w:kern w:val="0"/>
          <w:sz w:val="24"/>
        </w:rPr>
      </w:pPr>
    </w:p>
    <w:p>
      <w:pPr>
        <w:jc w:val="left"/>
        <w:rPr>
          <w:rFonts w:eastAsia="黑体"/>
          <w:kern w:val="0"/>
          <w:sz w:val="24"/>
        </w:rPr>
      </w:pPr>
    </w:p>
    <w:p>
      <w:pPr>
        <w:jc w:val="left"/>
        <w:rPr>
          <w:rFonts w:eastAsia="黑体"/>
          <w:kern w:val="0"/>
          <w:sz w:val="24"/>
        </w:rPr>
      </w:pPr>
    </w:p>
    <w:p>
      <w:pPr>
        <w:jc w:val="left"/>
        <w:rPr>
          <w:rFonts w:eastAsia="黑体"/>
          <w:kern w:val="0"/>
          <w:sz w:val="24"/>
        </w:rPr>
      </w:pPr>
    </w:p>
    <w:p>
      <w:pPr>
        <w:jc w:val="left"/>
        <w:rPr>
          <w:rFonts w:eastAsia="黑体"/>
          <w:kern w:val="0"/>
          <w:sz w:val="24"/>
        </w:rPr>
      </w:pPr>
    </w:p>
    <w:p>
      <w:pPr>
        <w:jc w:val="left"/>
        <w:rPr>
          <w:rFonts w:eastAsia="黑体"/>
          <w:kern w:val="0"/>
          <w:sz w:val="24"/>
        </w:rPr>
      </w:pPr>
    </w:p>
    <w:p>
      <w:pPr>
        <w:jc w:val="left"/>
        <w:rPr>
          <w:rFonts w:eastAsia="黑体"/>
          <w:kern w:val="0"/>
          <w:sz w:val="24"/>
        </w:rPr>
      </w:pPr>
    </w:p>
    <w:p>
      <w:pPr>
        <w:jc w:val="left"/>
        <w:rPr>
          <w:rFonts w:eastAsia="黑体"/>
          <w:kern w:val="0"/>
          <w:sz w:val="24"/>
        </w:rPr>
      </w:pPr>
    </w:p>
    <w:p>
      <w:pPr>
        <w:jc w:val="left"/>
        <w:rPr>
          <w:rFonts w:eastAsia="黑体"/>
          <w:kern w:val="0"/>
          <w:sz w:val="24"/>
        </w:rPr>
      </w:pPr>
    </w:p>
    <w:p>
      <w:pPr>
        <w:jc w:val="left"/>
        <w:rPr>
          <w:rFonts w:eastAsia="黑体"/>
          <w:kern w:val="0"/>
          <w:sz w:val="24"/>
        </w:rPr>
      </w:pPr>
    </w:p>
    <w:p>
      <w:pPr>
        <w:jc w:val="left"/>
        <w:rPr>
          <w:rFonts w:eastAsia="黑体"/>
          <w:kern w:val="0"/>
          <w:sz w:val="24"/>
        </w:rPr>
      </w:pPr>
    </w:p>
    <w:p>
      <w:pPr>
        <w:autoSpaceDE w:val="0"/>
        <w:autoSpaceDN w:val="0"/>
        <w:adjustRightInd w:val="0"/>
        <w:spacing w:beforeLines="50" w:afterLines="50" w:line="360" w:lineRule="exact"/>
        <w:ind w:firstLine="3360" w:firstLineChars="1400"/>
        <w:rPr>
          <w:rFonts w:eastAsia="黑体"/>
          <w:kern w:val="0"/>
          <w:sz w:val="24"/>
        </w:rPr>
      </w:pPr>
      <w:r>
        <w:rPr>
          <w:rFonts w:hint="eastAsia" w:eastAsia="黑体"/>
          <w:kern w:val="0"/>
          <w:sz w:val="24"/>
        </w:rPr>
        <w:t xml:space="preserve">   </w:t>
      </w:r>
    </w:p>
    <w:p>
      <w:pPr>
        <w:autoSpaceDE w:val="0"/>
        <w:autoSpaceDN w:val="0"/>
        <w:adjustRightInd w:val="0"/>
        <w:spacing w:beforeLines="50" w:afterLines="50" w:line="360" w:lineRule="exact"/>
        <w:ind w:firstLine="3360" w:firstLineChars="1400"/>
        <w:rPr>
          <w:rFonts w:eastAsia="黑体"/>
          <w:kern w:val="0"/>
          <w:sz w:val="24"/>
        </w:rPr>
      </w:pPr>
    </w:p>
    <w:p>
      <w:pPr>
        <w:autoSpaceDE w:val="0"/>
        <w:autoSpaceDN w:val="0"/>
        <w:adjustRightInd w:val="0"/>
        <w:spacing w:beforeLines="50" w:afterLines="50" w:line="360" w:lineRule="exact"/>
        <w:ind w:firstLine="3360" w:firstLineChars="1400"/>
        <w:rPr>
          <w:rFonts w:eastAsia="黑体"/>
          <w:kern w:val="0"/>
          <w:sz w:val="24"/>
        </w:rPr>
      </w:pPr>
    </w:p>
    <w:p>
      <w:pPr>
        <w:autoSpaceDE w:val="0"/>
        <w:autoSpaceDN w:val="0"/>
        <w:adjustRightInd w:val="0"/>
        <w:spacing w:beforeLines="50" w:afterLines="50" w:line="360" w:lineRule="exact"/>
        <w:ind w:firstLine="3360" w:firstLineChars="1400"/>
        <w:rPr>
          <w:rFonts w:eastAsia="黑体"/>
          <w:kern w:val="0"/>
          <w:sz w:val="24"/>
        </w:rPr>
      </w:pPr>
    </w:p>
    <w:p>
      <w:pPr>
        <w:autoSpaceDE w:val="0"/>
        <w:autoSpaceDN w:val="0"/>
        <w:adjustRightInd w:val="0"/>
        <w:spacing w:beforeLines="50" w:afterLines="50" w:line="360" w:lineRule="exact"/>
        <w:ind w:firstLine="3360" w:firstLineChars="1400"/>
        <w:rPr>
          <w:rFonts w:eastAsia="黑体"/>
          <w:kern w:val="0"/>
          <w:sz w:val="24"/>
        </w:rPr>
      </w:pPr>
    </w:p>
    <w:p>
      <w:pPr>
        <w:autoSpaceDE w:val="0"/>
        <w:autoSpaceDN w:val="0"/>
        <w:adjustRightInd w:val="0"/>
        <w:spacing w:beforeLines="50" w:afterLines="50" w:line="360" w:lineRule="exact"/>
        <w:ind w:firstLine="3360" w:firstLineChars="1400"/>
        <w:rPr>
          <w:rFonts w:eastAsia="黑体"/>
          <w:kern w:val="0"/>
          <w:sz w:val="24"/>
        </w:rPr>
      </w:pPr>
    </w:p>
    <w:p>
      <w:pPr>
        <w:autoSpaceDE w:val="0"/>
        <w:autoSpaceDN w:val="0"/>
        <w:adjustRightInd w:val="0"/>
        <w:spacing w:beforeLines="50" w:afterLines="50" w:line="360" w:lineRule="exact"/>
        <w:ind w:firstLine="3360" w:firstLineChars="1400"/>
        <w:rPr>
          <w:rFonts w:eastAsia="黑体"/>
          <w:kern w:val="0"/>
          <w:sz w:val="24"/>
        </w:rPr>
      </w:pPr>
    </w:p>
    <w:p>
      <w:pPr>
        <w:autoSpaceDE w:val="0"/>
        <w:autoSpaceDN w:val="0"/>
        <w:adjustRightInd w:val="0"/>
        <w:spacing w:beforeLines="50" w:afterLines="50" w:line="360" w:lineRule="exact"/>
        <w:ind w:firstLine="3360" w:firstLineChars="1400"/>
        <w:rPr>
          <w:rFonts w:eastAsia="黑体"/>
          <w:kern w:val="0"/>
          <w:sz w:val="24"/>
        </w:rPr>
      </w:pPr>
    </w:p>
    <w:p>
      <w:pPr>
        <w:autoSpaceDE w:val="0"/>
        <w:autoSpaceDN w:val="0"/>
        <w:adjustRightInd w:val="0"/>
        <w:spacing w:beforeLines="50" w:afterLines="50" w:line="360" w:lineRule="exact"/>
        <w:ind w:firstLine="3360" w:firstLineChars="1400"/>
        <w:rPr>
          <w:rFonts w:eastAsia="黑体"/>
          <w:kern w:val="0"/>
          <w:sz w:val="24"/>
        </w:rPr>
      </w:pPr>
    </w:p>
    <w:p>
      <w:pPr>
        <w:autoSpaceDE w:val="0"/>
        <w:autoSpaceDN w:val="0"/>
        <w:adjustRightInd w:val="0"/>
        <w:spacing w:beforeLines="50" w:afterLines="50" w:line="360" w:lineRule="exact"/>
        <w:rPr>
          <w:rFonts w:eastAsia="黑体"/>
          <w:kern w:val="0"/>
          <w:sz w:val="24"/>
        </w:rPr>
      </w:pPr>
    </w:p>
    <w:p>
      <w:pPr>
        <w:autoSpaceDE w:val="0"/>
        <w:autoSpaceDN w:val="0"/>
        <w:adjustRightInd w:val="0"/>
        <w:spacing w:beforeLines="50" w:afterLines="50" w:line="360" w:lineRule="exact"/>
        <w:ind w:firstLine="3360" w:firstLineChars="1400"/>
        <w:rPr>
          <w:rFonts w:eastAsia="黑体"/>
          <w:kern w:val="0"/>
          <w:sz w:val="24"/>
        </w:rPr>
      </w:pPr>
    </w:p>
    <w:p>
      <w:pPr>
        <w:autoSpaceDE w:val="0"/>
        <w:autoSpaceDN w:val="0"/>
        <w:adjustRightInd w:val="0"/>
        <w:spacing w:beforeLines="50" w:afterLines="50" w:line="360" w:lineRule="exact"/>
        <w:ind w:firstLine="3360" w:firstLineChars="1400"/>
        <w:rPr>
          <w:rFonts w:ascii="黑体" w:hAnsi="黑体" w:eastAsia="黑体" w:cs="黑体"/>
          <w:kern w:val="0"/>
          <w:sz w:val="30"/>
          <w:szCs w:val="30"/>
        </w:rPr>
      </w:pPr>
      <w:r>
        <w:rPr>
          <w:rFonts w:hint="eastAsia" w:eastAsia="黑体"/>
          <w:kern w:val="0"/>
          <w:sz w:val="24"/>
        </w:rPr>
        <w:t xml:space="preserve">       </w:t>
      </w:r>
      <w:r>
        <w:rPr>
          <w:rFonts w:hint="eastAsia" w:eastAsia="黑体"/>
          <w:kern w:val="0"/>
          <w:sz w:val="32"/>
          <w:szCs w:val="32"/>
        </w:rPr>
        <w:t>安全检查清单</w:t>
      </w:r>
    </w:p>
    <w:p>
      <w:pPr>
        <w:pStyle w:val="72"/>
        <w:rPr>
          <w:rFonts w:eastAsia="黑体"/>
          <w:sz w:val="24"/>
        </w:rPr>
      </w:pPr>
      <w:r>
        <w:rPr>
          <w:rFonts w:hint="eastAsia" w:eastAsia="黑体"/>
          <w:sz w:val="24"/>
        </w:rPr>
        <w:t xml:space="preserve"> </w:t>
      </w:r>
    </w:p>
    <w:p>
      <w:pPr>
        <w:autoSpaceDE w:val="0"/>
        <w:autoSpaceDN w:val="0"/>
        <w:adjustRightInd w:val="0"/>
        <w:spacing w:beforeLines="50" w:afterLines="50" w:line="360" w:lineRule="exact"/>
        <w:ind w:firstLine="2530" w:firstLineChars="900"/>
        <w:rPr>
          <w:rFonts w:ascii="方正仿宋简体" w:hAnsi="宋体" w:eastAsia="方正仿宋简体" w:cs="FZSSJW--GB1-0"/>
          <w:b/>
          <w:kern w:val="0"/>
          <w:sz w:val="32"/>
          <w:szCs w:val="32"/>
        </w:rPr>
      </w:pPr>
      <w:r>
        <w:rPr>
          <w:rFonts w:hint="eastAsia" w:ascii="宋体" w:hAnsi="宋体" w:eastAsia="宋体" w:cs="宋体"/>
          <w:b/>
          <w:color w:val="000000"/>
          <w:kern w:val="0"/>
          <w:sz w:val="28"/>
          <w:szCs w:val="28"/>
        </w:rPr>
        <w:t>中国石油四川南充销售公司</w:t>
      </w:r>
      <w:r>
        <w:rPr>
          <w:rFonts w:hint="eastAsia" w:ascii="黑体" w:hAnsi="黑体" w:eastAsia="黑体" w:cs="黑体"/>
          <w:kern w:val="0"/>
          <w:sz w:val="30"/>
          <w:szCs w:val="30"/>
          <w:lang w:eastAsia="zh-CN"/>
        </w:rPr>
        <w:t>莺花路</w:t>
      </w:r>
      <w:r>
        <w:rPr>
          <w:rFonts w:hint="eastAsia" w:ascii="黑体" w:hAnsi="黑体" w:eastAsia="黑体" w:cs="黑体"/>
          <w:kern w:val="0"/>
          <w:sz w:val="30"/>
          <w:szCs w:val="30"/>
        </w:rPr>
        <w:t>加油站</w:t>
      </w:r>
      <w:r>
        <w:rPr>
          <w:rFonts w:hint="eastAsia" w:ascii="方正仿宋简体" w:hAnsi="宋体" w:eastAsia="方正仿宋简体" w:cs="FZSSJW--GB1-0"/>
          <w:b/>
          <w:kern w:val="0"/>
          <w:sz w:val="32"/>
          <w:szCs w:val="32"/>
        </w:rPr>
        <w:t>专项检查清单</w:t>
      </w:r>
    </w:p>
    <w:p>
      <w:pPr>
        <w:jc w:val="left"/>
        <w:rPr>
          <w:rFonts w:eastAsia="黑体"/>
          <w:kern w:val="0"/>
          <w:sz w:val="24"/>
        </w:rPr>
      </w:pPr>
    </w:p>
    <w:p>
      <w:pPr>
        <w:jc w:val="center"/>
        <w:rPr>
          <w:rFonts w:eastAsia="黑体"/>
          <w:kern w:val="0"/>
          <w:sz w:val="24"/>
        </w:rPr>
      </w:pPr>
      <w:r>
        <w:rPr>
          <w:rFonts w:hint="eastAsia" w:eastAsia="黑体"/>
          <w:kern w:val="0"/>
          <w:sz w:val="24"/>
        </w:rPr>
        <w:t>消防器材</w:t>
      </w:r>
    </w:p>
    <w:tbl>
      <w:tblPr>
        <w:tblStyle w:val="18"/>
        <w:tblpPr w:leftFromText="180" w:rightFromText="180" w:vertAnchor="text" w:horzAnchor="page" w:tblpX="1867" w:tblpY="760"/>
        <w:tblOverlap w:val="never"/>
        <w:tblW w:w="8489" w:type="dxa"/>
        <w:tblInd w:w="0" w:type="dxa"/>
        <w:tblLayout w:type="fixed"/>
        <w:tblCellMar>
          <w:top w:w="0" w:type="dxa"/>
          <w:left w:w="108" w:type="dxa"/>
          <w:bottom w:w="0" w:type="dxa"/>
          <w:right w:w="108" w:type="dxa"/>
        </w:tblCellMar>
      </w:tblPr>
      <w:tblGrid>
        <w:gridCol w:w="595"/>
        <w:gridCol w:w="994"/>
        <w:gridCol w:w="3075"/>
        <w:gridCol w:w="1275"/>
        <w:gridCol w:w="1275"/>
        <w:gridCol w:w="1275"/>
      </w:tblGrid>
      <w:tr>
        <w:tblPrEx>
          <w:tblLayout w:type="fixed"/>
          <w:tblCellMar>
            <w:top w:w="0" w:type="dxa"/>
            <w:left w:w="108" w:type="dxa"/>
            <w:bottom w:w="0" w:type="dxa"/>
            <w:right w:w="108" w:type="dxa"/>
          </w:tblCellMar>
        </w:tblPrEx>
        <w:trPr>
          <w:trHeight w:val="285" w:hRule="atLeast"/>
        </w:trPr>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序号</w:t>
            </w:r>
          </w:p>
        </w:tc>
        <w:tc>
          <w:tcPr>
            <w:tcW w:w="9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检查项目</w:t>
            </w:r>
          </w:p>
        </w:tc>
        <w:tc>
          <w:tcPr>
            <w:tcW w:w="3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检查标准</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检查情况</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责任人</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整改验收人</w:t>
            </w:r>
          </w:p>
        </w:tc>
      </w:tr>
      <w:tr>
        <w:tblPrEx>
          <w:tblLayout w:type="fixed"/>
          <w:tblCellMar>
            <w:top w:w="0" w:type="dxa"/>
            <w:left w:w="108" w:type="dxa"/>
            <w:bottom w:w="0" w:type="dxa"/>
            <w:right w:w="108" w:type="dxa"/>
          </w:tblCellMar>
        </w:tblPrEx>
        <w:trPr>
          <w:trHeight w:val="285" w:hRule="atLeast"/>
        </w:trPr>
        <w:tc>
          <w:tcPr>
            <w:tcW w:w="595" w:type="dxa"/>
            <w:vMerge w:val="restart"/>
            <w:tcBorders>
              <w:top w:val="nil"/>
              <w:left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1</w:t>
            </w:r>
          </w:p>
        </w:tc>
        <w:tc>
          <w:tcPr>
            <w:tcW w:w="994" w:type="dxa"/>
            <w:vMerge w:val="restart"/>
            <w:tcBorders>
              <w:top w:val="nil"/>
              <w:left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干粉灭火器</w:t>
            </w: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黑体"/>
                <w:kern w:val="0"/>
                <w:szCs w:val="21"/>
              </w:rPr>
            </w:pPr>
            <w:r>
              <w:rPr>
                <w:rFonts w:hint="eastAsia" w:ascii="黑体" w:hAnsi="黑体" w:eastAsia="黑体" w:cs="黑体"/>
                <w:szCs w:val="21"/>
                <w:shd w:val="clear" w:color="auto" w:fill="F4F4F4"/>
              </w:rPr>
              <w:t>灭火器喷管无龟裂，插销、铅封正常无损，压力表、手柄无损坏。责任人和更换标签清晰。</w:t>
            </w:r>
            <w:r>
              <w:rPr>
                <w:rFonts w:hint="eastAsia" w:ascii="黑体" w:hAnsi="黑体" w:eastAsia="黑体" w:cs="黑体"/>
                <w:szCs w:val="21"/>
                <w:shd w:val="clear" w:color="auto" w:fill="F4F4F4"/>
              </w:rPr>
              <w:br w:type="textWrapping"/>
            </w:r>
            <w:r>
              <w:rPr>
                <w:rFonts w:hint="eastAsia" w:ascii="黑体" w:hAnsi="黑体" w:eastAsia="黑体" w:cs="黑体"/>
                <w:szCs w:val="21"/>
                <w:shd w:val="clear" w:color="auto" w:fill="F4F4F4"/>
              </w:rPr>
              <w:t>35KG手推式喷管无粘连。滑轮灵活完好。</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994"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3075" w:type="dxa"/>
            <w:tcBorders>
              <w:top w:val="nil"/>
              <w:left w:val="nil"/>
              <w:bottom w:val="single" w:color="auto" w:sz="4" w:space="0"/>
              <w:right w:val="single" w:color="auto" w:sz="4" w:space="0"/>
            </w:tcBorders>
            <w:shd w:val="clear" w:color="auto" w:fill="auto"/>
            <w:vAlign w:val="center"/>
          </w:tcPr>
          <w:p>
            <w:pPr>
              <w:pStyle w:val="14"/>
              <w:widowControl/>
              <w:shd w:val="clear" w:color="auto" w:fill="F4F4F4"/>
              <w:spacing w:beforeAutospacing="0" w:afterAutospacing="0"/>
              <w:ind w:firstLine="420"/>
              <w:rPr>
                <w:rFonts w:ascii="黑体" w:hAnsi="黑体" w:eastAsia="黑体" w:cs="黑体"/>
                <w:sz w:val="21"/>
                <w:szCs w:val="21"/>
              </w:rPr>
            </w:pPr>
            <w:r>
              <w:rPr>
                <w:rFonts w:hint="eastAsia" w:ascii="黑体" w:hAnsi="黑体" w:eastAsia="黑体" w:cs="黑体"/>
                <w:sz w:val="21"/>
                <w:szCs w:val="21"/>
                <w:shd w:val="clear" w:color="auto" w:fill="F4F4F4"/>
              </w:rPr>
              <w:t>灭火器指针应处在绿色区域，当指针指向红区时表明罐体压力不足，需重新换药，黄区表明压力大（工装压力），使用时也要注意安全。</w:t>
            </w:r>
          </w:p>
          <w:p>
            <w:pPr>
              <w:widowControl/>
              <w:jc w:val="left"/>
              <w:rPr>
                <w:rFonts w:ascii="黑体" w:hAnsi="黑体" w:eastAsia="黑体" w:cs="黑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tcBorders>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2</w:t>
            </w:r>
          </w:p>
        </w:tc>
        <w:tc>
          <w:tcPr>
            <w:tcW w:w="994" w:type="dxa"/>
            <w:tcBorders>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二氧化碳灭火器</w:t>
            </w: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每月称重一次，重量减少5%时需更换（查记录）</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vMerge w:val="restart"/>
            <w:tcBorders>
              <w:top w:val="nil"/>
              <w:left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3</w:t>
            </w:r>
          </w:p>
        </w:tc>
        <w:tc>
          <w:tcPr>
            <w:tcW w:w="994" w:type="dxa"/>
            <w:vMerge w:val="restart"/>
            <w:tcBorders>
              <w:top w:val="nil"/>
              <w:left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灭火毯</w:t>
            </w: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每块石棉被的面积不小于一平方米</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994"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石棉被应放置干燥处，不应有破损</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vMerge w:val="restart"/>
            <w:tcBorders>
              <w:top w:val="nil"/>
              <w:left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4</w:t>
            </w:r>
          </w:p>
        </w:tc>
        <w:tc>
          <w:tcPr>
            <w:tcW w:w="994" w:type="dxa"/>
            <w:vMerge w:val="restart"/>
            <w:tcBorders>
              <w:top w:val="nil"/>
              <w:left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消防沙</w:t>
            </w: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消防用沙要保持干燥</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994"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沙子颗粒要细，不允许有大块</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r>
        <w:tblPrEx>
          <w:tblLayout w:type="fixed"/>
          <w:tblCellMar>
            <w:top w:w="0" w:type="dxa"/>
            <w:left w:w="108" w:type="dxa"/>
            <w:bottom w:w="0" w:type="dxa"/>
            <w:right w:w="108" w:type="dxa"/>
          </w:tblCellMar>
        </w:tblPrEx>
        <w:trPr>
          <w:trHeight w:val="285"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5</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r>
              <w:rPr>
                <w:rFonts w:hint="eastAsia" w:ascii="黑体" w:hAnsi="宋体" w:eastAsia="黑体" w:cs="宋体"/>
                <w:kern w:val="0"/>
                <w:szCs w:val="21"/>
              </w:rPr>
              <w:t>消防桶、消防铲</w:t>
            </w:r>
          </w:p>
        </w:tc>
        <w:tc>
          <w:tcPr>
            <w:tcW w:w="3075"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kern w:val="0"/>
                <w:szCs w:val="21"/>
              </w:rPr>
            </w:pPr>
            <w:r>
              <w:rPr>
                <w:rFonts w:hint="eastAsia" w:ascii="黑体" w:hAnsi="宋体" w:eastAsia="黑体" w:cs="宋体"/>
                <w:kern w:val="0"/>
                <w:szCs w:val="21"/>
              </w:rPr>
              <w:t>检查有无锈蚀、破损，铲把及桶提手有无锈蚀、连接牢固，标准是否完好，有无脱色。</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Cs w:val="21"/>
              </w:rPr>
            </w:pPr>
          </w:p>
        </w:tc>
      </w:tr>
    </w:tbl>
    <w:p>
      <w:pPr>
        <w:jc w:val="left"/>
        <w:rPr>
          <w:rFonts w:eastAsia="黑体"/>
          <w:kern w:val="0"/>
          <w:sz w:val="24"/>
        </w:rPr>
      </w:pPr>
    </w:p>
    <w:p>
      <w:pPr>
        <w:jc w:val="left"/>
        <w:rPr>
          <w:rFonts w:eastAsia="黑体"/>
          <w:kern w:val="0"/>
          <w:sz w:val="24"/>
        </w:rPr>
      </w:pPr>
    </w:p>
    <w:p>
      <w:pPr>
        <w:jc w:val="left"/>
        <w:rPr>
          <w:rFonts w:eastAsia="黑体"/>
          <w:kern w:val="0"/>
          <w:sz w:val="24"/>
        </w:rPr>
      </w:pPr>
    </w:p>
    <w:p>
      <w:pPr>
        <w:jc w:val="left"/>
        <w:rPr>
          <w:rFonts w:eastAsia="黑体"/>
          <w:kern w:val="0"/>
          <w:sz w:val="24"/>
        </w:rPr>
      </w:pPr>
    </w:p>
    <w:p>
      <w:pPr>
        <w:ind w:firstLine="3360" w:firstLineChars="1400"/>
        <w:jc w:val="left"/>
        <w:rPr>
          <w:rFonts w:eastAsia="黑体"/>
          <w:kern w:val="0"/>
          <w:sz w:val="24"/>
        </w:rPr>
      </w:pPr>
      <w:r>
        <w:rPr>
          <w:rFonts w:hint="eastAsia" w:eastAsia="黑体"/>
          <w:kern w:val="0"/>
          <w:sz w:val="24"/>
        </w:rPr>
        <w:t xml:space="preserve"> </w:t>
      </w:r>
    </w:p>
    <w:p>
      <w:pPr>
        <w:ind w:firstLine="3360" w:firstLineChars="1400"/>
        <w:jc w:val="left"/>
        <w:rPr>
          <w:rFonts w:eastAsia="黑体"/>
          <w:kern w:val="0"/>
          <w:sz w:val="24"/>
        </w:rPr>
      </w:pPr>
    </w:p>
    <w:p>
      <w:pPr>
        <w:ind w:firstLine="3360" w:firstLineChars="1400"/>
        <w:jc w:val="left"/>
        <w:rPr>
          <w:rFonts w:eastAsia="黑体"/>
          <w:kern w:val="0"/>
          <w:sz w:val="24"/>
        </w:rPr>
      </w:pPr>
    </w:p>
    <w:p>
      <w:pPr>
        <w:ind w:firstLine="3360" w:firstLineChars="1400"/>
        <w:jc w:val="left"/>
        <w:rPr>
          <w:rFonts w:eastAsia="黑体"/>
          <w:kern w:val="0"/>
          <w:sz w:val="24"/>
        </w:rPr>
      </w:pPr>
    </w:p>
    <w:p>
      <w:pPr>
        <w:ind w:firstLine="3360" w:firstLineChars="1400"/>
        <w:jc w:val="left"/>
        <w:rPr>
          <w:rFonts w:eastAsia="黑体"/>
          <w:kern w:val="0"/>
          <w:sz w:val="24"/>
        </w:rPr>
      </w:pPr>
    </w:p>
    <w:p>
      <w:pPr>
        <w:ind w:firstLine="3360" w:firstLineChars="1400"/>
        <w:jc w:val="left"/>
        <w:rPr>
          <w:rFonts w:eastAsia="黑体"/>
          <w:kern w:val="0"/>
          <w:sz w:val="24"/>
        </w:rPr>
      </w:pPr>
    </w:p>
    <w:p>
      <w:pPr>
        <w:ind w:firstLine="3360" w:firstLineChars="1400"/>
        <w:jc w:val="left"/>
        <w:rPr>
          <w:rFonts w:eastAsia="黑体"/>
          <w:kern w:val="0"/>
          <w:sz w:val="24"/>
        </w:rPr>
      </w:pPr>
    </w:p>
    <w:p>
      <w:pPr>
        <w:ind w:firstLine="3360" w:firstLineChars="1400"/>
        <w:jc w:val="left"/>
        <w:rPr>
          <w:rFonts w:eastAsia="黑体"/>
          <w:kern w:val="0"/>
          <w:sz w:val="24"/>
        </w:rPr>
      </w:pPr>
    </w:p>
    <w:p>
      <w:pPr>
        <w:ind w:firstLine="3360" w:firstLineChars="1400"/>
        <w:jc w:val="left"/>
        <w:rPr>
          <w:rFonts w:eastAsia="黑体"/>
          <w:kern w:val="0"/>
          <w:sz w:val="24"/>
        </w:rPr>
      </w:pPr>
    </w:p>
    <w:p>
      <w:pPr>
        <w:ind w:firstLine="3360" w:firstLineChars="1400"/>
        <w:jc w:val="left"/>
        <w:rPr>
          <w:rFonts w:eastAsia="黑体"/>
          <w:kern w:val="0"/>
          <w:sz w:val="24"/>
        </w:rPr>
      </w:pPr>
    </w:p>
    <w:p>
      <w:pPr>
        <w:ind w:firstLine="3360" w:firstLineChars="1400"/>
        <w:jc w:val="left"/>
        <w:rPr>
          <w:rFonts w:eastAsia="黑体"/>
          <w:kern w:val="0"/>
          <w:sz w:val="24"/>
        </w:rPr>
      </w:pPr>
    </w:p>
    <w:p>
      <w:pPr>
        <w:ind w:firstLine="3360" w:firstLineChars="1400"/>
        <w:jc w:val="left"/>
        <w:rPr>
          <w:rFonts w:eastAsia="黑体"/>
          <w:kern w:val="0"/>
          <w:sz w:val="24"/>
        </w:rPr>
      </w:pPr>
    </w:p>
    <w:p>
      <w:pPr>
        <w:ind w:firstLine="3360" w:firstLineChars="1400"/>
        <w:jc w:val="left"/>
        <w:rPr>
          <w:rFonts w:eastAsia="黑体"/>
          <w:kern w:val="0"/>
          <w:sz w:val="24"/>
        </w:rPr>
      </w:pPr>
    </w:p>
    <w:p>
      <w:pPr>
        <w:ind w:firstLine="3360" w:firstLineChars="1400"/>
        <w:jc w:val="left"/>
        <w:rPr>
          <w:rFonts w:eastAsia="黑体"/>
          <w:kern w:val="0"/>
          <w:sz w:val="24"/>
        </w:rPr>
      </w:pPr>
    </w:p>
    <w:p>
      <w:pPr>
        <w:ind w:firstLine="3360" w:firstLineChars="1400"/>
        <w:jc w:val="left"/>
        <w:rPr>
          <w:rFonts w:eastAsia="黑体"/>
          <w:kern w:val="0"/>
          <w:sz w:val="24"/>
        </w:rPr>
      </w:pPr>
    </w:p>
    <w:p>
      <w:pPr>
        <w:ind w:firstLine="3360" w:firstLineChars="1400"/>
        <w:jc w:val="left"/>
        <w:rPr>
          <w:rFonts w:eastAsia="黑体"/>
          <w:kern w:val="0"/>
          <w:sz w:val="24"/>
        </w:rPr>
      </w:pPr>
    </w:p>
    <w:p>
      <w:pPr>
        <w:ind w:firstLine="3360" w:firstLineChars="1400"/>
        <w:jc w:val="left"/>
        <w:rPr>
          <w:rFonts w:eastAsia="黑体"/>
          <w:kern w:val="0"/>
          <w:sz w:val="24"/>
        </w:rPr>
      </w:pPr>
    </w:p>
    <w:p>
      <w:pPr>
        <w:ind w:firstLine="3360" w:firstLineChars="1400"/>
        <w:jc w:val="left"/>
        <w:rPr>
          <w:rFonts w:eastAsia="黑体"/>
          <w:kern w:val="0"/>
          <w:sz w:val="24"/>
        </w:rPr>
      </w:pPr>
    </w:p>
    <w:p>
      <w:pPr>
        <w:ind w:firstLine="4480" w:firstLineChars="1400"/>
        <w:jc w:val="left"/>
        <w:rPr>
          <w:rFonts w:eastAsia="黑体"/>
          <w:kern w:val="0"/>
          <w:sz w:val="32"/>
          <w:szCs w:val="32"/>
        </w:rPr>
      </w:pPr>
    </w:p>
    <w:p>
      <w:pPr>
        <w:ind w:firstLine="4480" w:firstLineChars="1400"/>
        <w:jc w:val="left"/>
        <w:rPr>
          <w:rFonts w:eastAsia="黑体"/>
          <w:kern w:val="0"/>
          <w:sz w:val="32"/>
          <w:szCs w:val="32"/>
        </w:rPr>
      </w:pPr>
    </w:p>
    <w:p>
      <w:pPr>
        <w:ind w:firstLine="4480" w:firstLineChars="1400"/>
        <w:jc w:val="left"/>
        <w:rPr>
          <w:rFonts w:eastAsia="黑体"/>
          <w:kern w:val="0"/>
          <w:sz w:val="32"/>
          <w:szCs w:val="32"/>
        </w:rPr>
      </w:pPr>
    </w:p>
    <w:p>
      <w:pPr>
        <w:ind w:firstLine="4480" w:firstLineChars="1400"/>
        <w:jc w:val="left"/>
        <w:rPr>
          <w:rFonts w:eastAsia="黑体"/>
          <w:kern w:val="0"/>
          <w:sz w:val="32"/>
          <w:szCs w:val="32"/>
        </w:rPr>
      </w:pPr>
    </w:p>
    <w:p>
      <w:pPr>
        <w:ind w:firstLine="4480" w:firstLineChars="1400"/>
        <w:jc w:val="left"/>
        <w:rPr>
          <w:rFonts w:eastAsia="黑体"/>
          <w:kern w:val="0"/>
          <w:sz w:val="32"/>
          <w:szCs w:val="32"/>
        </w:rPr>
      </w:pPr>
    </w:p>
    <w:p>
      <w:pPr>
        <w:ind w:firstLine="4480" w:firstLineChars="1400"/>
        <w:jc w:val="left"/>
        <w:rPr>
          <w:rFonts w:eastAsia="黑体"/>
          <w:kern w:val="0"/>
          <w:sz w:val="32"/>
          <w:szCs w:val="32"/>
        </w:rPr>
      </w:pPr>
    </w:p>
    <w:p>
      <w:pPr>
        <w:pStyle w:val="2"/>
        <w:ind w:firstLine="320"/>
        <w:rPr>
          <w:rFonts w:eastAsia="黑体"/>
          <w:kern w:val="0"/>
          <w:sz w:val="32"/>
          <w:szCs w:val="32"/>
        </w:rPr>
      </w:pPr>
    </w:p>
    <w:p>
      <w:pPr>
        <w:pStyle w:val="2"/>
        <w:ind w:firstLine="320"/>
        <w:rPr>
          <w:rFonts w:eastAsia="黑体"/>
          <w:kern w:val="0"/>
          <w:sz w:val="32"/>
          <w:szCs w:val="32"/>
        </w:rPr>
      </w:pPr>
    </w:p>
    <w:p>
      <w:pPr>
        <w:ind w:firstLine="4480" w:firstLineChars="1400"/>
        <w:jc w:val="left"/>
        <w:rPr>
          <w:rFonts w:eastAsia="黑体"/>
          <w:kern w:val="0"/>
          <w:sz w:val="32"/>
          <w:szCs w:val="32"/>
        </w:rPr>
      </w:pPr>
    </w:p>
    <w:tbl>
      <w:tblPr>
        <w:tblStyle w:val="18"/>
        <w:tblW w:w="10453" w:type="dxa"/>
        <w:tblInd w:w="0" w:type="dxa"/>
        <w:tblLayout w:type="fixed"/>
        <w:tblCellMar>
          <w:top w:w="0" w:type="dxa"/>
          <w:left w:w="0" w:type="dxa"/>
          <w:bottom w:w="0" w:type="dxa"/>
          <w:right w:w="0" w:type="dxa"/>
        </w:tblCellMar>
      </w:tblPr>
      <w:tblGrid>
        <w:gridCol w:w="975"/>
        <w:gridCol w:w="200"/>
        <w:gridCol w:w="5569"/>
        <w:gridCol w:w="105"/>
        <w:gridCol w:w="1238"/>
        <w:gridCol w:w="430"/>
        <w:gridCol w:w="907"/>
        <w:gridCol w:w="34"/>
        <w:gridCol w:w="966"/>
        <w:gridCol w:w="29"/>
      </w:tblGrid>
      <w:tr>
        <w:tblPrEx>
          <w:tblLayout w:type="fixed"/>
          <w:tblCellMar>
            <w:top w:w="0" w:type="dxa"/>
            <w:left w:w="0" w:type="dxa"/>
            <w:bottom w:w="0" w:type="dxa"/>
            <w:right w:w="0" w:type="dxa"/>
          </w:tblCellMar>
        </w:tblPrEx>
        <w:trPr>
          <w:gridAfter w:val="1"/>
          <w:wAfter w:w="29" w:type="dxa"/>
          <w:trHeight w:val="360" w:hRule="atLeast"/>
        </w:trPr>
        <w:tc>
          <w:tcPr>
            <w:tcW w:w="10424" w:type="dxa"/>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16"/>
                <w:szCs w:val="16"/>
              </w:rPr>
            </w:pPr>
            <w:r>
              <w:rPr>
                <w:rFonts w:hint="eastAsia" w:ascii="方正小标宋简体" w:hAnsi="方正小标宋简体" w:eastAsia="方正小标宋简体" w:cs="方正小标宋简体"/>
                <w:b/>
                <w:color w:val="000000"/>
                <w:kern w:val="0"/>
                <w:sz w:val="32"/>
                <w:szCs w:val="32"/>
              </w:rPr>
              <w:t>加油站日巡检记录表</w:t>
            </w:r>
          </w:p>
        </w:tc>
      </w:tr>
      <w:tr>
        <w:tblPrEx>
          <w:tblLayout w:type="fixed"/>
          <w:tblCellMar>
            <w:top w:w="0" w:type="dxa"/>
            <w:left w:w="0" w:type="dxa"/>
            <w:bottom w:w="0" w:type="dxa"/>
            <w:right w:w="0" w:type="dxa"/>
          </w:tblCellMar>
        </w:tblPrEx>
        <w:trPr>
          <w:gridAfter w:val="1"/>
          <w:wAfter w:w="29" w:type="dxa"/>
          <w:trHeight w:val="360" w:hRule="atLeast"/>
        </w:trPr>
        <w:tc>
          <w:tcPr>
            <w:tcW w:w="6849" w:type="dxa"/>
            <w:gridSpan w:val="4"/>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油站：</w:t>
            </w:r>
          </w:p>
        </w:tc>
        <w:tc>
          <w:tcPr>
            <w:tcW w:w="3575" w:type="dxa"/>
            <w:gridSpan w:val="5"/>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巡检区域</w:t>
            </w:r>
          </w:p>
        </w:tc>
        <w:tc>
          <w:tcPr>
            <w:tcW w:w="56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巡检标准</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检查情况</w:t>
            </w:r>
          </w:p>
        </w:tc>
        <w:tc>
          <w:tcPr>
            <w:tcW w:w="13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责任人</w:t>
            </w:r>
          </w:p>
        </w:tc>
        <w:tc>
          <w:tcPr>
            <w:tcW w:w="10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整改验收人</w:t>
            </w: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6"/>
                <w:szCs w:val="16"/>
              </w:rPr>
            </w:pPr>
          </w:p>
        </w:tc>
        <w:tc>
          <w:tcPr>
            <w:tcW w:w="56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6"/>
                <w:szCs w:val="16"/>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6"/>
                <w:szCs w:val="16"/>
              </w:rPr>
            </w:pPr>
          </w:p>
        </w:tc>
        <w:tc>
          <w:tcPr>
            <w:tcW w:w="13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6"/>
                <w:szCs w:val="16"/>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加油作业区</w:t>
            </w: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加油现场操作人员着装规范、正确佩戴工号牌</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员工精神饱满，服务动作标准、语言规范，开口营销</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堆头摆放规范整齐，商品价签完整规范</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燃油精空瓶规范收集和存放</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现场无过期宣传海报和促销信息</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现场清洁卫生，无纸屑、积水、油迹</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照明灯具完好，照度符合要求</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加油机</w:t>
            </w: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加油机外观完好无油污，整机运转平稳无噪音</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无提枪走字情况</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计量检定标识完好</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计数器显示清晰、字体无断笔，按键灵敏</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加油枪限位挡片复位正常，汽油枪集气罩完好，加油枪上油品标号牌清晰</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加油胶管拉线器、胶管挂钩完好，加油胶管无破损，万向接头、拉断阀无渗漏</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人体静电释放按钮完好无松动，视油器无气泡或杂质</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加油机计量器、编码器铅封完好</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内部各连接部件无松动，管线及连接处无渗漏，无油气味</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填沙干燥无油迹</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分散式油气回收泵阀运行正常，无漏气，无渗油、浸油现象</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加油岛及加油机隔层上无杂物堆放</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卸油作业区</w:t>
            </w: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卸油区整洁，无油污、无积水、无异常油气味</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管线及附件无渗漏，无锈蚀，阀门启闭灵活</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卸油口密闭并上锁</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静电接地报警器和人体静电释放桩清洁，能正常报警，接地线盘绕整齐</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固液危废物箱上锁</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油气回收检测口开关启闭正常，各阀门正确启闭</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油罐操作井</w:t>
            </w: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操作井内无积水、杂物，无异常油气味</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量油口密闭上锁</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潜油泵运行正常，无异常声音，无渗漏</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液位仪附件完好，信号线完好</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油罐及管线测漏仪及附件完好</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配电设备及配电间</w:t>
            </w: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配电柜仪表显示正常，线路规则有序，继电器动作灵敏</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接地保护有效完好</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各搭接部位线路无变色、烧结烧蚀，内部无乱接，电源线穿管封堵完好</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照明灯具无损坏，应急照明灯完好有效</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绝缘胶垫保持干燥，无破损。</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消防器材</w:t>
            </w: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各部位消防器材按规定配备，摆放位置正确，卫生良好</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灭火器压力显示正常，各灭火器喷管完好</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铅封完好，保险销抽取灵活</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环保沟及隔油池</w:t>
            </w: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隔油池水位正常</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隔油池无开裂、无浮油、无杂物；周边无可燃易燃物</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环保沟无堵塞、无杂物，排水通畅，环保沟盖板无破损和缺失</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站外周边排水沟内无油迹，保持畅通</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办公区、便利店及生活区</w:t>
            </w: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液位仪、油罐及管线测漏报警仪显示正常</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视频监控各摄像头照射区域符合管理要求且无黑屏</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加管系统、前台pos系统显示时间保持一致</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照明灯具完好，照度符合要求</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现场无过期宣传海报和促销信息</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便利店货架饱满</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生活区干净整洁，卧具及衣物放置整齐</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电线无私拉乱接，电源插座无烧蚀、电源线和信号线无破损，无打结</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构建筑物、油站进出口及油站周边</w:t>
            </w: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进出口保持畅通，站内无闲杂车辆停放</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站外无可疑人员及车辆停留或聚集</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汽服及外部驻站销售区域</w:t>
            </w: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外部销售人员遵守站内安全管理要求</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着装规范、服务规范</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汽服作业人员行为安全，汽服设备运行正常</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洗车场地整洁卫生</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洗车泥沙处置规范</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gridAfter w:val="1"/>
          <w:wAfter w:w="29" w:type="dxa"/>
          <w:trHeight w:val="360"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洗车机等设备接地完好</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10453"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6"/>
                <w:szCs w:val="16"/>
              </w:rPr>
            </w:pPr>
          </w:p>
          <w:p>
            <w:pPr>
              <w:widowControl/>
              <w:jc w:val="center"/>
              <w:textAlignment w:val="center"/>
              <w:rPr>
                <w:rFonts w:ascii="宋体" w:hAnsi="宋体" w:eastAsia="宋体" w:cs="宋体"/>
                <w:b/>
                <w:color w:val="000000"/>
                <w:kern w:val="0"/>
                <w:sz w:val="16"/>
                <w:szCs w:val="16"/>
              </w:rPr>
            </w:pPr>
          </w:p>
          <w:p>
            <w:pPr>
              <w:widowControl/>
              <w:jc w:val="center"/>
              <w:textAlignment w:val="center"/>
              <w:rPr>
                <w:rFonts w:ascii="宋体" w:hAnsi="宋体" w:eastAsia="宋体" w:cs="宋体"/>
                <w:b/>
                <w:color w:val="000000"/>
                <w:kern w:val="0"/>
                <w:sz w:val="16"/>
                <w:szCs w:val="16"/>
              </w:rPr>
            </w:pPr>
          </w:p>
          <w:p>
            <w:pPr>
              <w:widowControl/>
              <w:jc w:val="center"/>
              <w:textAlignment w:val="center"/>
              <w:rPr>
                <w:rFonts w:ascii="宋体" w:hAnsi="宋体" w:eastAsia="宋体" w:cs="宋体"/>
                <w:b/>
                <w:color w:val="000000"/>
                <w:kern w:val="0"/>
                <w:sz w:val="16"/>
                <w:szCs w:val="16"/>
              </w:rPr>
            </w:pPr>
          </w:p>
          <w:p>
            <w:pPr>
              <w:widowControl/>
              <w:jc w:val="center"/>
              <w:textAlignment w:val="center"/>
              <w:rPr>
                <w:rFonts w:ascii="宋体" w:hAnsi="宋体" w:eastAsia="宋体" w:cs="宋体"/>
                <w:b/>
                <w:color w:val="000000"/>
                <w:kern w:val="0"/>
                <w:sz w:val="16"/>
                <w:szCs w:val="16"/>
              </w:rPr>
            </w:pPr>
          </w:p>
          <w:p>
            <w:pPr>
              <w:widowControl/>
              <w:textAlignment w:val="center"/>
              <w:rPr>
                <w:rFonts w:ascii="宋体" w:hAnsi="宋体" w:eastAsia="宋体" w:cs="宋体"/>
                <w:b/>
                <w:color w:val="000000"/>
                <w:kern w:val="0"/>
                <w:sz w:val="16"/>
                <w:szCs w:val="16"/>
              </w:rPr>
            </w:pPr>
          </w:p>
          <w:p>
            <w:pPr>
              <w:widowControl/>
              <w:jc w:val="center"/>
              <w:textAlignment w:val="center"/>
              <w:rPr>
                <w:rFonts w:ascii="宋体" w:hAnsi="宋体" w:eastAsia="宋体" w:cs="宋体"/>
                <w:b/>
                <w:color w:val="000000"/>
                <w:kern w:val="0"/>
                <w:sz w:val="16"/>
                <w:szCs w:val="16"/>
              </w:rPr>
            </w:pPr>
          </w:p>
          <w:p>
            <w:pPr>
              <w:widowControl/>
              <w:jc w:val="center"/>
              <w:textAlignment w:val="center"/>
              <w:rPr>
                <w:rFonts w:ascii="宋体" w:hAnsi="宋体" w:eastAsia="宋体" w:cs="宋体"/>
                <w:b/>
                <w:color w:val="000000"/>
                <w:kern w:val="0"/>
                <w:sz w:val="16"/>
                <w:szCs w:val="16"/>
              </w:rPr>
            </w:pPr>
          </w:p>
          <w:p>
            <w:pPr>
              <w:widowControl/>
              <w:jc w:val="center"/>
              <w:textAlignment w:val="center"/>
              <w:rPr>
                <w:rFonts w:ascii="宋体" w:hAnsi="宋体" w:eastAsia="宋体" w:cs="宋体"/>
                <w:b/>
                <w:color w:val="000000"/>
                <w:kern w:val="0"/>
                <w:sz w:val="16"/>
                <w:szCs w:val="16"/>
              </w:rPr>
            </w:pP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32"/>
                <w:szCs w:val="32"/>
              </w:rPr>
              <w:t>加油站周巡检记录表</w:t>
            </w:r>
          </w:p>
        </w:tc>
      </w:tr>
      <w:tr>
        <w:tblPrEx>
          <w:tblLayout w:type="fixed"/>
          <w:tblCellMar>
            <w:top w:w="0" w:type="dxa"/>
            <w:left w:w="0" w:type="dxa"/>
            <w:bottom w:w="0" w:type="dxa"/>
            <w:right w:w="0" w:type="dxa"/>
          </w:tblCellMar>
        </w:tblPrEx>
        <w:trPr>
          <w:trHeight w:val="440" w:hRule="atLeast"/>
        </w:trPr>
        <w:tc>
          <w:tcPr>
            <w:tcW w:w="6744" w:type="dxa"/>
            <w:gridSpan w:val="3"/>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油站：</w:t>
            </w:r>
          </w:p>
        </w:tc>
        <w:tc>
          <w:tcPr>
            <w:tcW w:w="2714" w:type="dxa"/>
            <w:gridSpan w:val="5"/>
            <w:tcBorders>
              <w:top w:val="nil"/>
              <w:left w:val="nil"/>
              <w:bottom w:val="nil"/>
              <w:right w:val="nil"/>
            </w:tcBorders>
            <w:shd w:val="clear" w:color="auto" w:fill="auto"/>
            <w:tcMar>
              <w:top w:w="15" w:type="dxa"/>
              <w:left w:w="15" w:type="dxa"/>
              <w:right w:w="15" w:type="dxa"/>
            </w:tcMar>
            <w:vAlign w:val="center"/>
          </w:tcPr>
          <w:p>
            <w:pPr>
              <w:jc w:val="left"/>
              <w:rPr>
                <w:rFonts w:ascii="宋体" w:hAnsi="宋体" w:eastAsia="宋体" w:cs="宋体"/>
                <w:b/>
                <w:color w:val="000000"/>
                <w:sz w:val="16"/>
                <w:szCs w:val="16"/>
              </w:rPr>
            </w:pPr>
          </w:p>
        </w:tc>
        <w:tc>
          <w:tcPr>
            <w:tcW w:w="995" w:type="dxa"/>
            <w:gridSpan w:val="2"/>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巡检区域</w:t>
            </w: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巡检标准</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检查情况</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责任人</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整改验收人</w:t>
            </w:r>
          </w:p>
        </w:tc>
      </w:tr>
      <w:tr>
        <w:tblPrEx>
          <w:tblLayout w:type="fixed"/>
          <w:tblCellMar>
            <w:top w:w="0" w:type="dxa"/>
            <w:left w:w="0" w:type="dxa"/>
            <w:bottom w:w="0" w:type="dxa"/>
            <w:right w:w="0" w:type="dxa"/>
          </w:tblCellMar>
        </w:tblPrEx>
        <w:trPr>
          <w:trHeight w:val="440" w:hRule="atLeast"/>
        </w:trPr>
        <w:tc>
          <w:tcPr>
            <w:tcW w:w="975"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加油机</w:t>
            </w:r>
          </w:p>
        </w:tc>
        <w:tc>
          <w:tcPr>
            <w:tcW w:w="576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加油机内防爆封堵完好</w:t>
            </w:r>
          </w:p>
        </w:tc>
        <w:tc>
          <w:tcPr>
            <w:tcW w:w="177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底部填沙符合要求</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加油胶管导通</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静电接地及跨接无脱落，无松动</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设备“三定”管理牌完好，相关内容及时更新</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卸油</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作业区</w:t>
            </w: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“两禁”标识清洁完好，内容清晰</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卸油口盖胶圈完好</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卸油口箱盖与箱体有效接地</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管线及附件跨接完好有效</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通气管无锈蚀、无阻塞</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60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静电测试点及集中箱接地无锈蚀、无松动、无断裂，编号牌完整清晰，与断接卡一一对应，断接卡无锈蚀</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油气回收闸阀开关及安全操作提示牌完好，清洁，内容清晰</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油气回收三通接头完好，检测口封堵有效</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油气回收胶管无破损开裂，两端静电导通</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存放油气回收胶管的PVC管无破损，用专用螺旋盖扣盖</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水位观测井水位正常，无油渍</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集中式油气回收装置，运行正常，真空泵正常运转</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设备“三定”管理牌完好，相关内容及时更新</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油罐</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操作井</w:t>
            </w: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操作井盖密封良好</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管线、人孔盖无渗漏</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防爆接线盒密封良好，各穿线管封堵完好有效</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静电跨接和接地线完好无松动</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管线和油罐测漏报警仪运行正常。</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设备“三定”管理牌完好，相关内容及时更新</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发电机及</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发电间</w:t>
            </w: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发电间门能正常关闭并上锁</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操作规程牌清洁、完好</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安全警示牌完好</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发电机外观清洁，铭牌清晰，附件完好</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发电机安全防护罩和防烫伤装置完好</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皮带无松动龟裂</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发电机冷却水、燃油、机油充足</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发电机供油、润滑、冷却等系统各管路及接头无漏油，漏水</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电气线路无破损，各接头连接无松动，蓄电池无漏电，电气接地线接地完好无松动</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其他区域可见线路完好，无破损</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蓄电池电量充足</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应急照明灯完好有效，灯光能够照射到发电机操作位</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绝缘胶垫干燥、无破损</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设备“三定”管理牌完好，相关内容及时更新</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配电设备及配电间</w:t>
            </w: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操作规程牌完好、清洁</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配电间警示牌（严禁合闸警示牌/当心触电警示牌）清晰完好，无破损，正确悬挂在配电间操作规程牌下方，维修时悬挂在配电柜正面</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设备“三定”管理牌完好，相关内容及时更新</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消防器材</w:t>
            </w: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消防器材柜消防器材齐备，完好有效</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消防沙箱开启方便，消防沙充足，干燥，无石子、无油渍</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站内灭火器喷管无蛛网、无粘连，接头连接牢固</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灭火器筒体无锈蚀</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充装记录完好</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干粉灭火器上下晃动十次以上，防止结块</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35KG干粉灭火器车轮转动灵活，喷管无打结和拧绞，内部无结块，罐体固定</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灭火毯无破损、无霉变</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设备“三定”管理牌完好，相关内容及时更新</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构建筑物、油站进出口及油站周边</w:t>
            </w: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立柱“四禁”标识和限速标识清洁完好，内容清晰</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加油站站房、围墙完好，减速带完好，无变形或开裂</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罩棚包装、立柱完好</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罩棚、立柱灯箱和进出口标识接地完好</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bl>
    <w:p>
      <w:pPr>
        <w:ind w:firstLine="4480" w:firstLineChars="1400"/>
        <w:jc w:val="left"/>
        <w:rPr>
          <w:rFonts w:eastAsia="黑体"/>
          <w:kern w:val="0"/>
          <w:sz w:val="32"/>
          <w:szCs w:val="32"/>
        </w:rPr>
      </w:pPr>
    </w:p>
    <w:p>
      <w:pPr>
        <w:pStyle w:val="2"/>
        <w:ind w:firstLine="0" w:firstLineChars="0"/>
        <w:rPr>
          <w:rFonts w:eastAsia="黑体"/>
          <w:kern w:val="0"/>
          <w:sz w:val="32"/>
          <w:szCs w:val="32"/>
        </w:rPr>
      </w:pPr>
    </w:p>
    <w:p>
      <w:pPr>
        <w:pStyle w:val="2"/>
        <w:ind w:firstLine="320"/>
        <w:rPr>
          <w:rFonts w:eastAsia="黑体"/>
          <w:kern w:val="0"/>
          <w:sz w:val="32"/>
          <w:szCs w:val="32"/>
        </w:rPr>
      </w:pPr>
    </w:p>
    <w:tbl>
      <w:tblPr>
        <w:tblStyle w:val="18"/>
        <w:tblW w:w="9240" w:type="dxa"/>
        <w:tblInd w:w="0" w:type="dxa"/>
        <w:tblLayout w:type="fixed"/>
        <w:tblCellMar>
          <w:top w:w="0" w:type="dxa"/>
          <w:left w:w="0" w:type="dxa"/>
          <w:bottom w:w="0" w:type="dxa"/>
          <w:right w:w="0" w:type="dxa"/>
        </w:tblCellMar>
      </w:tblPr>
      <w:tblGrid>
        <w:gridCol w:w="1425"/>
        <w:gridCol w:w="3660"/>
        <w:gridCol w:w="1995"/>
        <w:gridCol w:w="1035"/>
        <w:gridCol w:w="1125"/>
      </w:tblGrid>
      <w:tr>
        <w:tblPrEx>
          <w:tblLayout w:type="fixed"/>
          <w:tblCellMar>
            <w:top w:w="0" w:type="dxa"/>
            <w:left w:w="0" w:type="dxa"/>
            <w:bottom w:w="0" w:type="dxa"/>
            <w:right w:w="0" w:type="dxa"/>
          </w:tblCellMar>
        </w:tblPrEx>
        <w:trPr>
          <w:trHeight w:val="285" w:hRule="atLeast"/>
        </w:trPr>
        <w:tc>
          <w:tcPr>
            <w:tcW w:w="9240" w:type="dxa"/>
            <w:gridSpan w:val="5"/>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加油站月巡检记录表</w:t>
            </w:r>
          </w:p>
        </w:tc>
      </w:tr>
      <w:tr>
        <w:tblPrEx>
          <w:tblLayout w:type="fixed"/>
          <w:tblCellMar>
            <w:top w:w="0" w:type="dxa"/>
            <w:left w:w="0" w:type="dxa"/>
            <w:bottom w:w="0" w:type="dxa"/>
            <w:right w:w="0" w:type="dxa"/>
          </w:tblCellMar>
        </w:tblPrEx>
        <w:trPr>
          <w:trHeight w:val="270" w:hRule="atLeast"/>
        </w:trPr>
        <w:tc>
          <w:tcPr>
            <w:tcW w:w="5085" w:type="dxa"/>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油站：</w:t>
            </w:r>
          </w:p>
        </w:tc>
        <w:tc>
          <w:tcPr>
            <w:tcW w:w="3030" w:type="dxa"/>
            <w:gridSpan w:val="2"/>
            <w:tcBorders>
              <w:top w:val="nil"/>
              <w:left w:val="nil"/>
              <w:bottom w:val="nil"/>
              <w:right w:val="nil"/>
            </w:tcBorders>
            <w:shd w:val="clear" w:color="auto" w:fill="auto"/>
            <w:tcMar>
              <w:top w:w="15" w:type="dxa"/>
              <w:left w:w="15" w:type="dxa"/>
              <w:right w:w="15" w:type="dxa"/>
            </w:tcMar>
            <w:vAlign w:val="center"/>
          </w:tcPr>
          <w:p>
            <w:pPr>
              <w:jc w:val="left"/>
              <w:rPr>
                <w:rFonts w:ascii="宋体" w:hAnsi="宋体" w:eastAsia="宋体" w:cs="宋体"/>
                <w:b/>
                <w:color w:val="000000"/>
                <w:sz w:val="20"/>
                <w:szCs w:val="20"/>
              </w:rPr>
            </w:pPr>
          </w:p>
        </w:tc>
        <w:tc>
          <w:tcPr>
            <w:tcW w:w="1125" w:type="dxa"/>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7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巡检区域</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巡检标准</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检查情况</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责任人</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整改验收人</w:t>
            </w:r>
          </w:p>
        </w:tc>
      </w:tr>
      <w:tr>
        <w:tblPrEx>
          <w:tblLayout w:type="fixed"/>
          <w:tblCellMar>
            <w:top w:w="0" w:type="dxa"/>
            <w:left w:w="0" w:type="dxa"/>
            <w:bottom w:w="0" w:type="dxa"/>
            <w:right w:w="0" w:type="dxa"/>
          </w:tblCellMar>
        </w:tblPrEx>
        <w:trPr>
          <w:trHeight w:val="270" w:hRule="atLeast"/>
        </w:trPr>
        <w:tc>
          <w:tcPr>
            <w:tcW w:w="142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加油机</w:t>
            </w:r>
          </w:p>
        </w:tc>
        <w:tc>
          <w:tcPr>
            <w:tcW w:w="36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计量检定在有效期内</w:t>
            </w:r>
          </w:p>
        </w:tc>
        <w:tc>
          <w:tcPr>
            <w:tcW w:w="19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0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480" w:hRule="atLeast"/>
        </w:trPr>
        <w:tc>
          <w:tcPr>
            <w:tcW w:w="14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主板保护盖无破损、无松动、铅封完好</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480" w:hRule="atLeast"/>
        </w:trPr>
        <w:tc>
          <w:tcPr>
            <w:tcW w:w="14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加油机基座固定螺栓紧固有效</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480" w:hRule="atLeast"/>
        </w:trPr>
        <w:tc>
          <w:tcPr>
            <w:tcW w:w="14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紧急切断阀U型卡安装设置规范，无松动</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48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卸油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作业区</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集液井口密闭，液位正常</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48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油罐区无超过1m高度的高杆植物</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480" w:hRule="atLeast"/>
        </w:trPr>
        <w:tc>
          <w:tcPr>
            <w:tcW w:w="142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发电机及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发电间</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房内无杂物，门窗无小动物可进入的孔缝</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480" w:hRule="atLeast"/>
        </w:trPr>
        <w:tc>
          <w:tcPr>
            <w:tcW w:w="14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发电机运转部件完好</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480" w:hRule="atLeast"/>
        </w:trPr>
        <w:tc>
          <w:tcPr>
            <w:tcW w:w="14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机体、机座紧固无锈蚀，地脚螺栓无松动</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720" w:hRule="atLeast"/>
        </w:trPr>
        <w:tc>
          <w:tcPr>
            <w:tcW w:w="142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配电设备及配电间</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配电间门启闭正常，门上张贴“有电危险”警示标志</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480" w:hRule="atLeast"/>
        </w:trPr>
        <w:tc>
          <w:tcPr>
            <w:tcW w:w="14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门窗干净无破损，无小动物进入孔洞</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480" w:hRule="atLeast"/>
        </w:trPr>
        <w:tc>
          <w:tcPr>
            <w:tcW w:w="14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配电线路图和标识完好</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720" w:hRule="atLeast"/>
        </w:trPr>
        <w:tc>
          <w:tcPr>
            <w:tcW w:w="14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穿线管完好，配电柜完好，柜门与柜体等电位连接完好</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48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消防器材</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二氧化碳灭火器每月称重比对并记录</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7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构建筑物、油站进出口及油站周边</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立柱“四禁”标识和限速标识清洁完好，内容清晰</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7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加油站站房、围墙完好，减速带完好，无变形或开裂</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罩棚包装、立柱完好</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48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罩棚、立柱灯箱和进出口标识接地完好</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bl>
    <w:p>
      <w:pPr>
        <w:jc w:val="left"/>
        <w:rPr>
          <w:rFonts w:eastAsia="黑体"/>
          <w:kern w:val="0"/>
          <w:sz w:val="32"/>
          <w:szCs w:val="32"/>
        </w:rPr>
      </w:pPr>
    </w:p>
    <w:p>
      <w:pPr>
        <w:ind w:firstLine="4480" w:firstLineChars="1400"/>
        <w:jc w:val="left"/>
        <w:rPr>
          <w:rFonts w:eastAsia="黑体"/>
          <w:kern w:val="0"/>
          <w:sz w:val="32"/>
          <w:szCs w:val="32"/>
        </w:rPr>
      </w:pPr>
    </w:p>
    <w:p>
      <w:pPr>
        <w:ind w:firstLine="4480" w:firstLineChars="1400"/>
        <w:jc w:val="left"/>
        <w:rPr>
          <w:rFonts w:eastAsia="黑体"/>
          <w:kern w:val="0"/>
          <w:sz w:val="32"/>
          <w:szCs w:val="32"/>
        </w:rPr>
      </w:pPr>
    </w:p>
    <w:p>
      <w:pPr>
        <w:ind w:firstLine="3520" w:firstLineChars="1100"/>
        <w:jc w:val="left"/>
        <w:rPr>
          <w:rFonts w:eastAsia="黑体"/>
          <w:kern w:val="0"/>
          <w:sz w:val="32"/>
          <w:szCs w:val="32"/>
        </w:rPr>
      </w:pPr>
    </w:p>
    <w:p>
      <w:pPr>
        <w:ind w:firstLine="3520" w:firstLineChars="1100"/>
        <w:jc w:val="left"/>
        <w:rPr>
          <w:rFonts w:eastAsia="黑体"/>
          <w:kern w:val="0"/>
          <w:sz w:val="32"/>
          <w:szCs w:val="32"/>
        </w:rPr>
      </w:pPr>
    </w:p>
    <w:p>
      <w:pPr>
        <w:ind w:firstLine="3520" w:firstLineChars="1100"/>
        <w:jc w:val="left"/>
        <w:rPr>
          <w:rFonts w:eastAsia="黑体"/>
          <w:kern w:val="0"/>
          <w:sz w:val="32"/>
          <w:szCs w:val="32"/>
        </w:rPr>
      </w:pPr>
    </w:p>
    <w:p>
      <w:pPr>
        <w:ind w:firstLine="3520" w:firstLineChars="1100"/>
        <w:jc w:val="left"/>
        <w:rPr>
          <w:rFonts w:eastAsia="黑体"/>
          <w:kern w:val="0"/>
          <w:sz w:val="32"/>
          <w:szCs w:val="32"/>
        </w:rPr>
      </w:pPr>
      <w:r>
        <w:rPr>
          <w:rFonts w:hint="eastAsia" w:eastAsia="黑体"/>
          <w:kern w:val="0"/>
          <w:sz w:val="32"/>
          <w:szCs w:val="32"/>
        </w:rPr>
        <w:t>岗位关键安全操作规程清单</w:t>
      </w:r>
    </w:p>
    <w:p>
      <w:pPr>
        <w:spacing w:beforeLines="50" w:afterLines="50" w:line="400" w:lineRule="exact"/>
        <w:jc w:val="center"/>
        <w:outlineLvl w:val="2"/>
        <w:rPr>
          <w:rFonts w:ascii="黑体" w:hAnsi="黑体" w:eastAsia="黑体" w:cs="黑体"/>
          <w:kern w:val="0"/>
          <w:sz w:val="30"/>
          <w:szCs w:val="30"/>
        </w:rPr>
      </w:pPr>
      <w:r>
        <w:rPr>
          <w:rFonts w:hint="eastAsia" w:ascii="黑体" w:hAnsi="黑体" w:eastAsia="黑体" w:cs="黑体"/>
          <w:kern w:val="0"/>
          <w:sz w:val="30"/>
          <w:szCs w:val="30"/>
          <w:lang w:eastAsia="zh-CN"/>
        </w:rPr>
        <w:t>莺花路</w:t>
      </w:r>
      <w:r>
        <w:rPr>
          <w:rFonts w:hint="eastAsia" w:ascii="黑体" w:hAnsi="黑体" w:eastAsia="黑体" w:cs="黑体"/>
          <w:kern w:val="0"/>
          <w:sz w:val="30"/>
          <w:szCs w:val="30"/>
        </w:rPr>
        <w:t>加油站卸车作业操作规程及关键操作清单</w:t>
      </w:r>
    </w:p>
    <w:tbl>
      <w:tblPr>
        <w:tblStyle w:val="18"/>
        <w:tblW w:w="10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0"/>
        <w:gridCol w:w="8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3" w:hRule="atLeast"/>
          <w:jc w:val="center"/>
        </w:trPr>
        <w:tc>
          <w:tcPr>
            <w:tcW w:w="1140" w:type="dxa"/>
            <w:vMerge w:val="restart"/>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color w:val="000000"/>
                <w:kern w:val="0"/>
                <w:sz w:val="24"/>
              </w:rPr>
            </w:pPr>
            <w:r>
              <w:rPr>
                <w:rFonts w:hint="eastAsia"/>
                <w:color w:val="000000"/>
                <w:kern w:val="0"/>
                <w:sz w:val="24"/>
              </w:rPr>
              <w:t>操作</w:t>
            </w:r>
          </w:p>
          <w:p>
            <w:pPr>
              <w:widowControl/>
              <w:jc w:val="center"/>
              <w:textAlignment w:val="center"/>
              <w:rPr>
                <w:color w:val="000000"/>
                <w:sz w:val="24"/>
              </w:rPr>
            </w:pPr>
            <w:r>
              <w:rPr>
                <w:rFonts w:hint="eastAsia"/>
                <w:color w:val="000000"/>
                <w:kern w:val="0"/>
                <w:sz w:val="24"/>
              </w:rPr>
              <w:t>规程</w:t>
            </w:r>
          </w:p>
        </w:tc>
        <w:tc>
          <w:tcPr>
            <w:tcW w:w="8959" w:type="dxa"/>
            <w:vMerge w:val="restart"/>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32"/>
                <w:szCs w:val="32"/>
              </w:rPr>
              <w:t xml:space="preserve"> </w:t>
            </w:r>
            <w:r>
              <w:rPr>
                <w:rFonts w:hint="eastAsia" w:ascii="方正仿宋简体" w:hAnsi="宋体" w:eastAsia="方正仿宋简体" w:cs="宋体"/>
                <w:color w:val="333333"/>
                <w:kern w:val="0"/>
                <w:sz w:val="18"/>
                <w:szCs w:val="18"/>
              </w:rPr>
              <w:t>一、卸油操作（地罐交接）</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（一）作业准备</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1）引导车辆。油罐车进站后，卸油人员清理卸油区，必要时打开卸油区照明，确保卸油区内无闲杂人员和车辆，疏导通道，指挥油罐车低速驶入卸油平台，且停车后车头朝向出口。驾驶员停车后拉紧手刹确保不溜车，以避免车辆自行移动。</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（2）安全提示。卸油人员对驾驶员进行安全提示，包括拉上手刹、打开海底阀、关闭发动机、切断罐车总电源、正确穿戴防静电工服、释放人体静电、严禁烟火、禁止使用手机等。</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3）释放静电。作业人员释放人体静电。卸油人员检查静电接地夹是否完好有效，将静电接地夹接在罐车专用接地端子上，不得接在距卸油口1.5m范围之内。罐车静电接地拖带有效接触地面，静置15min。如静电接地报警器故障，不得进行卸油操作。</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（4）安全准备。卸油人员须做好安全准备。</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①佩戴个人安全防护用品。</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②在距卸油口5～8m处的上风方向，放置1具35kg推车式干粉灭火器，并展开喷粉管，喷头对准卸油口，处于临战状态，在卸油区放置1块灭火毯。</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③在卸油区周围设置警示标志。</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④检查罐车、卸油现场是否安全，确认地罐计量孔密闭，卸油胶管、油气回收胶管完好。</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（5）检查铅封。卸油人员根据油罐车铅封登记本记录的铅封号，对油罐车卸油口处铅封进行核对并检查其完好性。如铅封号不一致或铅封破损，应立即上报上级公司，不予卸油。</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6）核对表单。卸油人员和驾驶员共同核对罐车所装油品品号、仓号与“成品油配送单”是否一致。卸油人员在加管系统中核对配送信息是否一致。如不一致，应立即停止卸油操作，向上级公司报告，按指示处理。如加管系统内没有收到此次进货的配送单，立即上报上级公司进行单据信息核对，根据指示，可进行无单收油操作（在系统中新建配送单收油）。</w:t>
            </w:r>
          </w:p>
          <w:p>
            <w:pPr>
              <w:ind w:firstLine="360" w:firstLineChars="200"/>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（7）计算空容。卸油人员读取液位仪显示的待进油罐罐存量、空容量数据。根据进油罐卸前空容量、“成品油配送单”上油品配送数量，确认卸后库存量是否在安全容量范围内。</w:t>
            </w:r>
          </w:p>
          <w:p>
            <w:pPr>
              <w:ind w:firstLine="360" w:firstLineChars="200"/>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如不能卸下该车油品，则向上级公司报告，按指示处理。</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（二）质量验收</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（1）取样。卸油人员正确连接下装式底部取样器，进行取样。多仓车依次进行取样。</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（2）表观质量验收。将油样倒入玻璃量筒内，对油品颜色、气味和水杂进行表观质量验收。具体检查方法如下。</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一看。看油品的外观。质量合格的油品一般是清澈的，表面没有漂浮物，中间没有悬浮物，底部没有沉淀物，无分层和浑浊现象。</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二闻。闻油品的气味。劣质的汽油闻起来有刺鼻、熏眼、恶臭等刺激性气味；劣质的柴油有煤油味、焦味、臭味等其他不正常的气味。嗅气味时，不要直接用鼻子对准油品闻，应用手轻轻扇动容器口嗅气味。</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三摇。观看油品的黏稠度和泡沫。合格油品摇后气泡很快消失，不合格油品摇后可观察到杂质。</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（3）试验法检查。汽油需进行水溶法（试纸法）验收，乙醇汽油除外。</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（4）密度比对。各地区公司根据实际情况可增加测量油品密度项目，计算出标准密度，与油品出库标准密度进行比对。</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通过质量验收，若发现罐车内油品质量异常，标准密度偏差超过1.2kg/m³，按加油站油品接卸质量异议处理程序处理。</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（三）卸油作业</w:t>
            </w:r>
          </w:p>
          <w:p>
            <w:pPr>
              <w:ind w:firstLine="360" w:firstLineChars="200"/>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（1）双方核对。卸油人员和驾驶员共同核对油品品号、罐号、仓号。</w:t>
            </w:r>
          </w:p>
          <w:p>
            <w:pPr>
              <w:ind w:firstLine="360" w:firstLineChars="200"/>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（2）连接管线。先连接油气回收管，后连接卸油管，卸油人员连接油罐端管线，驾驶员连接罐车端管线。</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（3）双方确认。卸油人员和驾驶员共同检查管线两端油品标识和罐号，确认连接正确。</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（4）静置稳油。营业员在POS中锁住进油罐对应加油枪，油罐稳油5min。</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（5）卸前计量。卸油人员在BOS中查找到油品配送信息，填写标准温度和标准密度，保存后点击“操作开始”，系统自动读取卸油前油品体积、温度等数据。</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（6）开启阀门。卸油人员开启加油站油气回收阀门和进油罐卸油口阀门。驾驶员开启油罐车油气回收阀门，缓慢（不少于3s）开启罐车对应油仓卸油口阀门。</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（7）监护卸油。卸油过程中，卸油人员、驾驶员不得离开现场，应集中精力监护卸油管线、相关阀门等设备的运行情况，随时应对突发事件。</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8）关闭阀门。卸油结束后，驾驶员关闭罐车卸油口阀门，将卸油管接罐车一端断开并举起，让卸油管内的油品完全流入油罐，然后将卸油管接油罐卸油口一端断开，将卸油管收回罐车。驾驶员关闭罐车油气回收阀门，卸油人员关闭油罐油气回收阀门后，驾驶员拆除油气回收管。卸油人员负责断开静电接地夹。驾驶员移动车辆，卸油员将罐车余油接尽回罐，盖好卸油口、油气回收口帽并上锁。</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（四）数量验收</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（1）卸后稳油。卸油结束后加油站对应进油罐稳油5min。</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（2）卸后计量。卸油人员在BOS中点击“操作结束”，输入液位仪显示的温度、“成品油配送单”上的标准密度，驾驶员确认数据，保存后点击“审核”。</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（3）卸后施封。卸油人员记录铅封号码，对罐车卸油口施封。</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（五）整理现场</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卸油人员引导罐车低速离站，将消防器材、静电接地夹等放回原位，清理现场。</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地罐交接中，根据合同约定，如由承运方负责接卸油品全程作业，承运方应做好与加油站的沟通与衔接。</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二、加油站不能接卸的几种情况</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（1）大雨、雷电、沙尘暴等恶劣天气。</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（2）卸油现场人员有违反安全规范的行为，且不听从劝阻。</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（3）消防器材、静电接地装置出现故障，不能正常使用。</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（4）油罐车铅封损坏，铅封无号码或铅封号码与成品油配送单不符。</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（5）采取罐车交接的加油站，油罐车无有效的油罐容积表，油罐容积表与车辆不匹配。</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（6）发现油样外观有可疑现象（有明显水杂或质量问题）。</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 xml:space="preserve">    （7）来油各项数据与随车单据中所列不符。</w:t>
            </w:r>
          </w:p>
          <w:p>
            <w:pPr>
              <w:jc w:val="left"/>
              <w:rPr>
                <w:rFonts w:ascii="方正仿宋简体" w:hAnsi="宋体" w:eastAsia="方正仿宋简体" w:cs="宋体"/>
                <w:color w:val="333333"/>
                <w:kern w:val="0"/>
                <w:sz w:val="15"/>
                <w:szCs w:val="15"/>
              </w:rPr>
            </w:pPr>
            <w:r>
              <w:rPr>
                <w:rFonts w:hint="eastAsia" w:ascii="方正仿宋简体" w:hAnsi="宋体" w:eastAsia="方正仿宋简体" w:cs="宋体"/>
                <w:color w:val="333333"/>
                <w:kern w:val="0"/>
                <w:sz w:val="18"/>
                <w:szCs w:val="18"/>
              </w:rPr>
              <w:t>　　如果接卸过程中发生或发现以上情况，须立即停止卸油并报告经理，由经理报告上级公司</w:t>
            </w:r>
            <w:r>
              <w:rPr>
                <w:rFonts w:hint="eastAsia" w:ascii="方正仿宋简体" w:hAnsi="宋体" w:eastAsia="方正仿宋简体" w:cs="宋体"/>
                <w:color w:val="333333"/>
                <w:kern w:val="0"/>
                <w:sz w:val="15"/>
                <w:szCs w:val="15"/>
              </w:rPr>
              <w:t>，按照上级公司处理意见执行。</w:t>
            </w:r>
          </w:p>
          <w:p>
            <w:pPr>
              <w:spacing w:line="360" w:lineRule="auto"/>
              <w:jc w:val="left"/>
              <w:rPr>
                <w:rFonts w:ascii="宋体" w:hAnsi="宋体"/>
                <w:sz w:val="24"/>
                <w:szCs w:val="24"/>
              </w:rPr>
            </w:pPr>
          </w:p>
          <w:p>
            <w:pPr>
              <w:spacing w:line="360" w:lineRule="auto"/>
              <w:jc w:val="left"/>
              <w:rPr>
                <w:rFonts w:ascii="宋体" w:hAnsi="宋体"/>
                <w:sz w:val="24"/>
                <w:szCs w:val="24"/>
              </w:rPr>
            </w:pPr>
          </w:p>
          <w:p/>
          <w:p>
            <w:pPr>
              <w:widowControl/>
              <w:textAlignment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7" w:hRule="atLeast"/>
          <w:jc w:val="center"/>
        </w:trPr>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 w:val="24"/>
              </w:rPr>
            </w:pPr>
          </w:p>
        </w:tc>
        <w:tc>
          <w:tcPr>
            <w:tcW w:w="89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2" w:hRule="atLeast"/>
          <w:jc w:val="center"/>
        </w:trPr>
        <w:tc>
          <w:tcPr>
            <w:tcW w:w="114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b/>
                <w:color w:val="000000"/>
                <w:kern w:val="0"/>
                <w:sz w:val="24"/>
              </w:rPr>
            </w:pPr>
            <w:r>
              <w:rPr>
                <w:rFonts w:hint="eastAsia"/>
                <w:b/>
                <w:color w:val="000000"/>
                <w:kern w:val="0"/>
                <w:sz w:val="24"/>
              </w:rPr>
              <w:t>关键操作</w:t>
            </w:r>
          </w:p>
          <w:p>
            <w:pPr>
              <w:widowControl/>
              <w:jc w:val="center"/>
              <w:textAlignment w:val="center"/>
              <w:rPr>
                <w:b/>
                <w:color w:val="000000"/>
                <w:sz w:val="24"/>
              </w:rPr>
            </w:pPr>
            <w:r>
              <w:rPr>
                <w:rFonts w:hint="eastAsia"/>
                <w:b/>
                <w:color w:val="000000"/>
                <w:kern w:val="0"/>
                <w:sz w:val="24"/>
              </w:rPr>
              <w:t>清单</w:t>
            </w:r>
          </w:p>
        </w:tc>
        <w:tc>
          <w:tcPr>
            <w:tcW w:w="8959"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numPr>
                <w:ilvl w:val="0"/>
                <w:numId w:val="4"/>
              </w:numPr>
              <w:textAlignment w:val="center"/>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卸油人员清理卸油区，确保卸油区内无闲杂人员和车辆。</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2、卸油人员对驾驶员进行安全提示，包括拉上手刹、打开海底阀、关闭发动机、切断罐车总电源、正确穿戴防静电工服、释放人体静电、严禁烟火、禁止使用手机等。</w:t>
            </w:r>
          </w:p>
          <w:p>
            <w:pPr>
              <w:widowControl/>
              <w:textAlignment w:val="center"/>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3、释放静电，检查静电接地夹是否完好有效，距卸油口1.5m以上。</w:t>
            </w:r>
          </w:p>
          <w:p>
            <w:pPr>
              <w:widowControl/>
              <w:textAlignment w:val="center"/>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4、在距卸油口5～8m处的上风方向，放置1具35kg推车式干粉灭火器，喷头对准卸油口，同时放置1块灭火毯，</w:t>
            </w:r>
          </w:p>
          <w:p>
            <w:pPr>
              <w:widowControl/>
              <w:textAlignment w:val="center"/>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罐车周围放置警示桩。</w:t>
            </w:r>
          </w:p>
          <w:p>
            <w:pPr>
              <w:numPr>
                <w:ilvl w:val="0"/>
                <w:numId w:val="5"/>
              </w:num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检查罐车、卸油现场是否安全，确认地罐计量孔密闭，卸油胶管、油气回收胶管完好，检查铅封，核对表单，进行质量验收。</w:t>
            </w:r>
          </w:p>
          <w:p>
            <w:pPr>
              <w:jc w:val="left"/>
              <w:rPr>
                <w:rFonts w:ascii="方正仿宋简体" w:hAnsi="宋体" w:eastAsia="方正仿宋简体" w:cs="宋体"/>
                <w:color w:val="333333"/>
                <w:kern w:val="0"/>
                <w:sz w:val="18"/>
                <w:szCs w:val="18"/>
              </w:rPr>
            </w:pPr>
            <w:r>
              <w:rPr>
                <w:rFonts w:hint="eastAsia" w:ascii="方正仿宋简体" w:hAnsi="宋体" w:eastAsia="方正仿宋简体" w:cs="宋体"/>
                <w:color w:val="333333"/>
                <w:kern w:val="0"/>
                <w:sz w:val="18"/>
                <w:szCs w:val="18"/>
              </w:rPr>
              <w:t>6、卸油过程中，卸油人员、驾驶员不得离开现场，应集中精力监护卸油管线、相关阀门等设备的运行情况，随时应对突发事件。</w:t>
            </w:r>
          </w:p>
          <w:p>
            <w:pPr>
              <w:widowControl/>
              <w:textAlignment w:val="center"/>
              <w:rPr>
                <w:rFonts w:ascii="方正仿宋简体" w:hAnsi="宋体" w:eastAsia="方正仿宋简体" w:cs="宋体"/>
                <w:color w:val="333333"/>
                <w:kern w:val="0"/>
                <w:sz w:val="18"/>
                <w:szCs w:val="18"/>
              </w:rPr>
            </w:pPr>
          </w:p>
        </w:tc>
      </w:tr>
    </w:tbl>
    <w:p>
      <w:pPr>
        <w:rPr>
          <w:rFonts w:eastAsia="黑体"/>
          <w:kern w:val="0"/>
          <w:sz w:val="32"/>
          <w:szCs w:val="32"/>
        </w:rPr>
      </w:pPr>
    </w:p>
    <w:p>
      <w:pPr>
        <w:jc w:val="center"/>
        <w:rPr>
          <w:rFonts w:eastAsia="黑体"/>
          <w:kern w:val="0"/>
          <w:sz w:val="32"/>
          <w:szCs w:val="32"/>
        </w:rPr>
      </w:pPr>
      <w:r>
        <w:rPr>
          <w:rFonts w:hint="eastAsia" w:eastAsia="黑体"/>
          <w:kern w:val="0"/>
          <w:sz w:val="32"/>
          <w:szCs w:val="32"/>
        </w:rPr>
        <w:t>岗位关键安全操作规程清单</w:t>
      </w:r>
    </w:p>
    <w:p>
      <w:pPr>
        <w:spacing w:beforeLines="50" w:afterLines="50" w:line="400" w:lineRule="exact"/>
        <w:jc w:val="center"/>
        <w:outlineLvl w:val="2"/>
        <w:rPr>
          <w:rFonts w:ascii="黑体" w:hAnsi="黑体" w:eastAsia="黑体" w:cs="黑体"/>
          <w:kern w:val="0"/>
          <w:sz w:val="30"/>
          <w:szCs w:val="30"/>
        </w:rPr>
      </w:pPr>
      <w:r>
        <w:rPr>
          <w:rFonts w:hint="eastAsia" w:ascii="黑体" w:hAnsi="黑体" w:eastAsia="黑体" w:cs="黑体"/>
          <w:kern w:val="0"/>
          <w:sz w:val="30"/>
          <w:szCs w:val="30"/>
          <w:lang w:eastAsia="zh-CN"/>
        </w:rPr>
        <w:t>莺花路</w:t>
      </w:r>
      <w:r>
        <w:rPr>
          <w:rFonts w:hint="eastAsia" w:ascii="黑体" w:hAnsi="黑体" w:eastAsia="黑体" w:cs="黑体"/>
          <w:kern w:val="0"/>
          <w:sz w:val="30"/>
          <w:szCs w:val="30"/>
        </w:rPr>
        <w:t>加油站加油作业操作规程及关键操作清单</w:t>
      </w:r>
    </w:p>
    <w:tbl>
      <w:tblPr>
        <w:tblStyle w:val="18"/>
        <w:tblW w:w="10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0"/>
        <w:gridCol w:w="8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3" w:hRule="atLeast"/>
          <w:jc w:val="center"/>
        </w:trPr>
        <w:tc>
          <w:tcPr>
            <w:tcW w:w="1140" w:type="dxa"/>
            <w:vMerge w:val="restart"/>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color w:val="000000"/>
                <w:kern w:val="0"/>
                <w:sz w:val="24"/>
              </w:rPr>
            </w:pPr>
            <w:r>
              <w:rPr>
                <w:rFonts w:hint="eastAsia"/>
                <w:color w:val="000000"/>
                <w:kern w:val="0"/>
                <w:sz w:val="24"/>
              </w:rPr>
              <w:t>操作</w:t>
            </w:r>
          </w:p>
          <w:p>
            <w:pPr>
              <w:widowControl/>
              <w:jc w:val="center"/>
              <w:textAlignment w:val="center"/>
              <w:rPr>
                <w:color w:val="000000"/>
                <w:sz w:val="24"/>
              </w:rPr>
            </w:pPr>
            <w:r>
              <w:rPr>
                <w:rFonts w:hint="eastAsia"/>
                <w:color w:val="000000"/>
                <w:kern w:val="0"/>
                <w:sz w:val="24"/>
              </w:rPr>
              <w:t>规程</w:t>
            </w:r>
          </w:p>
        </w:tc>
        <w:tc>
          <w:tcPr>
            <w:tcW w:w="8959" w:type="dxa"/>
            <w:vMerge w:val="restart"/>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spacing w:line="560" w:lineRule="exact"/>
              <w:ind w:firstLine="420" w:firstLineChars="200"/>
              <w:rPr>
                <w:rFonts w:ascii="方正仿宋简体" w:eastAsia="方正仿宋简体"/>
                <w:szCs w:val="21"/>
              </w:rPr>
            </w:pPr>
            <w:r>
              <w:rPr>
                <w:rFonts w:hint="eastAsia" w:ascii="方正仿宋简体" w:eastAsia="方正仿宋简体"/>
                <w:szCs w:val="21"/>
              </w:rPr>
              <w:t>1、迎候。加油员应站在加油岛靠近入口一侧，面向车辆进入方向迎接顾客。</w:t>
            </w:r>
          </w:p>
          <w:p>
            <w:pPr>
              <w:spacing w:line="560" w:lineRule="exact"/>
              <w:ind w:firstLine="420" w:firstLineChars="200"/>
              <w:rPr>
                <w:rFonts w:ascii="方正仿宋简体" w:eastAsia="方正仿宋简体"/>
                <w:szCs w:val="21"/>
              </w:rPr>
            </w:pPr>
            <w:r>
              <w:rPr>
                <w:rFonts w:hint="eastAsia" w:ascii="方正仿宋简体" w:eastAsia="方正仿宋简体"/>
                <w:szCs w:val="21"/>
              </w:rPr>
              <w:t>2、引导车辆。</w:t>
            </w:r>
          </w:p>
          <w:p>
            <w:pPr>
              <w:spacing w:line="560" w:lineRule="exact"/>
              <w:ind w:firstLine="420" w:firstLineChars="200"/>
              <w:rPr>
                <w:rFonts w:ascii="方正仿宋简体" w:eastAsia="方正仿宋简体"/>
                <w:szCs w:val="21"/>
              </w:rPr>
            </w:pPr>
            <w:r>
              <w:rPr>
                <w:rFonts w:hint="eastAsia" w:ascii="方正仿宋简体" w:eastAsia="方正仿宋简体"/>
                <w:szCs w:val="21"/>
              </w:rPr>
              <w:t>3、开启车门。车停稳后，加油员应主动为司机开启车门。</w:t>
            </w:r>
          </w:p>
          <w:p>
            <w:pPr>
              <w:spacing w:line="560" w:lineRule="exact"/>
              <w:ind w:firstLine="420" w:firstLineChars="200"/>
              <w:rPr>
                <w:rFonts w:ascii="方正仿宋简体" w:eastAsia="方正仿宋简体"/>
                <w:szCs w:val="21"/>
              </w:rPr>
            </w:pPr>
            <w:r>
              <w:rPr>
                <w:rFonts w:hint="eastAsia" w:ascii="方正仿宋简体" w:eastAsia="方正仿宋简体"/>
                <w:szCs w:val="21"/>
              </w:rPr>
              <w:t>4、微笑招呼。礼貌地向客户打招呼。</w:t>
            </w:r>
          </w:p>
          <w:p>
            <w:pPr>
              <w:spacing w:line="560" w:lineRule="exact"/>
              <w:ind w:firstLine="420" w:firstLineChars="200"/>
              <w:rPr>
                <w:rFonts w:ascii="方正仿宋简体" w:eastAsia="方正仿宋简体"/>
                <w:szCs w:val="21"/>
              </w:rPr>
            </w:pPr>
            <w:r>
              <w:rPr>
                <w:rFonts w:hint="eastAsia" w:ascii="方正仿宋简体" w:eastAsia="方正仿宋简体"/>
                <w:szCs w:val="21"/>
              </w:rPr>
              <w:t>5、礼貌询问。加油员应提醒司机熄灭发动机及烟火，并请顾客不要使用手机。</w:t>
            </w:r>
          </w:p>
          <w:p>
            <w:pPr>
              <w:spacing w:line="560" w:lineRule="exact"/>
              <w:ind w:firstLine="420" w:firstLineChars="200"/>
              <w:rPr>
                <w:rFonts w:ascii="方正仿宋简体" w:eastAsia="方正仿宋简体"/>
                <w:szCs w:val="21"/>
              </w:rPr>
            </w:pPr>
            <w:r>
              <w:rPr>
                <w:rFonts w:hint="eastAsia" w:ascii="方正仿宋简体" w:eastAsia="方正仿宋简体"/>
                <w:szCs w:val="21"/>
              </w:rPr>
              <w:t>6、开启油箱。加油员应主动为司机开启油箱，并将油箱旋塞挂在油箱外盖处。</w:t>
            </w:r>
          </w:p>
          <w:p>
            <w:pPr>
              <w:spacing w:line="560" w:lineRule="exact"/>
              <w:ind w:firstLine="420" w:firstLineChars="200"/>
              <w:rPr>
                <w:rFonts w:ascii="方正仿宋简体" w:eastAsia="方正仿宋简体"/>
                <w:szCs w:val="21"/>
              </w:rPr>
            </w:pPr>
            <w:r>
              <w:rPr>
                <w:rFonts w:hint="eastAsia" w:ascii="方正仿宋简体" w:eastAsia="方正仿宋简体"/>
                <w:szCs w:val="21"/>
              </w:rPr>
              <w:t>7、预置。根据顾客需要的加油数量或金额在加油机上预置，预置后应加以确认。</w:t>
            </w:r>
          </w:p>
          <w:p>
            <w:pPr>
              <w:spacing w:line="560" w:lineRule="exact"/>
              <w:ind w:firstLine="420" w:firstLineChars="200"/>
              <w:rPr>
                <w:rFonts w:ascii="方正仿宋简体" w:eastAsia="方正仿宋简体"/>
                <w:szCs w:val="21"/>
              </w:rPr>
            </w:pPr>
            <w:r>
              <w:rPr>
                <w:rFonts w:hint="eastAsia" w:ascii="方正仿宋简体" w:eastAsia="方正仿宋简体"/>
                <w:szCs w:val="21"/>
              </w:rPr>
              <w:t>8、提枪加油。提枪前须确认油品无误。加油过程中应密切注意油箱口，以防止油品溢出。</w:t>
            </w:r>
          </w:p>
          <w:p>
            <w:pPr>
              <w:spacing w:line="560" w:lineRule="exact"/>
              <w:ind w:firstLine="420" w:firstLineChars="200"/>
              <w:rPr>
                <w:rFonts w:ascii="方正仿宋简体" w:eastAsia="方正仿宋简体"/>
                <w:szCs w:val="21"/>
              </w:rPr>
            </w:pPr>
            <w:r>
              <w:rPr>
                <w:rFonts w:hint="eastAsia" w:ascii="方正仿宋简体" w:eastAsia="方正仿宋简体"/>
                <w:szCs w:val="21"/>
              </w:rPr>
              <w:t>9、收枪复位。加油完毕，应请顾客再次确认加油数量。</w:t>
            </w:r>
          </w:p>
          <w:p>
            <w:pPr>
              <w:spacing w:line="560" w:lineRule="exact"/>
              <w:ind w:firstLine="420" w:firstLineChars="200"/>
              <w:rPr>
                <w:rFonts w:ascii="方正仿宋简体" w:eastAsia="方正仿宋简体"/>
                <w:szCs w:val="21"/>
              </w:rPr>
            </w:pPr>
            <w:r>
              <w:rPr>
                <w:rFonts w:hint="eastAsia" w:ascii="方正仿宋简体" w:eastAsia="方正仿宋简体"/>
                <w:szCs w:val="21"/>
              </w:rPr>
              <w:t>10、擦车。询问顾客是否需要擦车，顾客同意后方可进行。</w:t>
            </w:r>
          </w:p>
          <w:p>
            <w:pPr>
              <w:spacing w:line="560" w:lineRule="exact"/>
              <w:ind w:firstLine="420" w:firstLineChars="200"/>
              <w:rPr>
                <w:rFonts w:ascii="方正仿宋简体" w:eastAsia="方正仿宋简体"/>
                <w:szCs w:val="21"/>
              </w:rPr>
            </w:pPr>
            <w:r>
              <w:rPr>
                <w:rFonts w:hint="eastAsia" w:ascii="方正仿宋简体" w:eastAsia="方正仿宋简体"/>
                <w:szCs w:val="21"/>
              </w:rPr>
              <w:t>11、提示付款。应给顾客开具付油凭证，主动向顾客指示付款地点，并目送顾客到营业厅。</w:t>
            </w:r>
          </w:p>
          <w:p>
            <w:pPr>
              <w:spacing w:line="560" w:lineRule="exact"/>
              <w:ind w:firstLine="420" w:firstLineChars="200"/>
              <w:rPr>
                <w:rFonts w:ascii="方正仿宋简体" w:eastAsia="方正仿宋简体"/>
                <w:szCs w:val="21"/>
              </w:rPr>
            </w:pPr>
            <w:r>
              <w:rPr>
                <w:rFonts w:hint="eastAsia" w:ascii="方正仿宋简体" w:eastAsia="方正仿宋简体"/>
                <w:szCs w:val="21"/>
              </w:rPr>
              <w:t>12、送行。确认顾客付完货款后，加油员应礼貌地与顾客道别。</w:t>
            </w:r>
          </w:p>
          <w:p>
            <w:pPr>
              <w:spacing w:line="560" w:lineRule="exact"/>
              <w:ind w:firstLine="420" w:firstLineChars="200"/>
              <w:rPr>
                <w:rFonts w:ascii="方正仿宋简体" w:eastAsia="方正仿宋简体"/>
                <w:szCs w:val="21"/>
              </w:rPr>
            </w:pPr>
            <w:r>
              <w:rPr>
                <w:rFonts w:hint="eastAsia" w:ascii="方正仿宋简体" w:eastAsia="方正仿宋简体"/>
                <w:szCs w:val="21"/>
              </w:rPr>
              <w:t>13、清洁。如果没有下一个顾客，则应按照要求盘好加油枪胶管，清理场地。</w:t>
            </w:r>
          </w:p>
          <w:p>
            <w:pPr>
              <w:widowControl/>
              <w:textAlignment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7" w:hRule="atLeast"/>
          <w:jc w:val="center"/>
        </w:trPr>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 w:val="24"/>
              </w:rPr>
            </w:pPr>
          </w:p>
        </w:tc>
        <w:tc>
          <w:tcPr>
            <w:tcW w:w="89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2" w:hRule="atLeast"/>
          <w:jc w:val="center"/>
        </w:trPr>
        <w:tc>
          <w:tcPr>
            <w:tcW w:w="114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b/>
                <w:color w:val="000000"/>
                <w:kern w:val="0"/>
                <w:sz w:val="24"/>
              </w:rPr>
            </w:pPr>
            <w:r>
              <w:rPr>
                <w:rFonts w:hint="eastAsia"/>
                <w:b/>
                <w:color w:val="000000"/>
                <w:kern w:val="0"/>
                <w:sz w:val="24"/>
              </w:rPr>
              <w:t>关键操作</w:t>
            </w:r>
          </w:p>
          <w:p>
            <w:pPr>
              <w:widowControl/>
              <w:jc w:val="center"/>
              <w:textAlignment w:val="center"/>
              <w:rPr>
                <w:b/>
                <w:color w:val="000000"/>
                <w:sz w:val="24"/>
              </w:rPr>
            </w:pPr>
            <w:r>
              <w:rPr>
                <w:rFonts w:hint="eastAsia"/>
                <w:b/>
                <w:color w:val="000000"/>
                <w:kern w:val="0"/>
                <w:sz w:val="24"/>
              </w:rPr>
              <w:t>清单</w:t>
            </w:r>
          </w:p>
        </w:tc>
        <w:tc>
          <w:tcPr>
            <w:tcW w:w="8959"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numPr>
                <w:ilvl w:val="0"/>
                <w:numId w:val="6"/>
              </w:numPr>
              <w:textAlignment w:val="center"/>
              <w:rPr>
                <w:rFonts w:ascii="方正仿宋简体" w:eastAsia="方正仿宋简体"/>
                <w:szCs w:val="21"/>
              </w:rPr>
            </w:pPr>
            <w:r>
              <w:rPr>
                <w:rFonts w:hint="eastAsia" w:ascii="方正仿宋简体" w:eastAsia="方正仿宋简体"/>
                <w:szCs w:val="21"/>
              </w:rPr>
              <w:t>不在加油区跑动，提示顾客不能长时间在站内逗留，防止输入性风险发生。</w:t>
            </w:r>
          </w:p>
          <w:p>
            <w:pPr>
              <w:numPr>
                <w:ilvl w:val="0"/>
                <w:numId w:val="6"/>
              </w:numPr>
              <w:spacing w:line="560" w:lineRule="exact"/>
              <w:rPr>
                <w:rFonts w:ascii="方正仿宋简体" w:eastAsia="方正仿宋简体"/>
                <w:szCs w:val="21"/>
              </w:rPr>
            </w:pPr>
            <w:r>
              <w:rPr>
                <w:rFonts w:hint="eastAsia" w:ascii="方正仿宋简体" w:eastAsia="方正仿宋简体"/>
                <w:szCs w:val="21"/>
              </w:rPr>
              <w:t>加油员应提醒司机熄灭发动机及烟火，不能在站内吸烟，并请顾客不要使用手机。</w:t>
            </w:r>
          </w:p>
          <w:p>
            <w:pPr>
              <w:numPr>
                <w:ilvl w:val="0"/>
                <w:numId w:val="6"/>
              </w:numPr>
              <w:spacing w:line="560" w:lineRule="exact"/>
              <w:rPr>
                <w:rFonts w:ascii="方正仿宋简体" w:eastAsia="方正仿宋简体"/>
                <w:szCs w:val="21"/>
              </w:rPr>
            </w:pPr>
            <w:r>
              <w:rPr>
                <w:rFonts w:hint="eastAsia" w:ascii="方正仿宋简体" w:eastAsia="方正仿宋简体"/>
                <w:szCs w:val="21"/>
              </w:rPr>
              <w:t>不得向塑料桶等非金属容器加注油品。</w:t>
            </w:r>
          </w:p>
          <w:p>
            <w:pPr>
              <w:numPr>
                <w:ilvl w:val="0"/>
                <w:numId w:val="6"/>
              </w:numPr>
              <w:spacing w:line="560" w:lineRule="exact"/>
              <w:rPr>
                <w:rFonts w:ascii="方正仿宋简体" w:eastAsia="方正仿宋简体"/>
                <w:szCs w:val="21"/>
              </w:rPr>
            </w:pPr>
            <w:r>
              <w:rPr>
                <w:rFonts w:hint="eastAsia" w:ascii="方正仿宋简体" w:eastAsia="方正仿宋简体"/>
                <w:szCs w:val="21"/>
              </w:rPr>
              <w:t>不得在高强闪电或雷击频繁时加油</w:t>
            </w:r>
          </w:p>
          <w:p>
            <w:pPr>
              <w:numPr>
                <w:ilvl w:val="0"/>
                <w:numId w:val="6"/>
              </w:numPr>
              <w:spacing w:line="560" w:lineRule="exact"/>
              <w:rPr>
                <w:rFonts w:ascii="方正仿宋简体" w:eastAsia="方正仿宋简体"/>
                <w:szCs w:val="21"/>
              </w:rPr>
            </w:pPr>
            <w:r>
              <w:rPr>
                <w:rFonts w:hint="eastAsia" w:ascii="方正仿宋简体" w:eastAsia="方正仿宋简体"/>
                <w:szCs w:val="21"/>
              </w:rPr>
              <w:t>摩托车加油后需推离4.5米后启动</w:t>
            </w:r>
          </w:p>
          <w:p>
            <w:pPr>
              <w:numPr>
                <w:ilvl w:val="0"/>
                <w:numId w:val="6"/>
              </w:numPr>
              <w:spacing w:line="560" w:lineRule="exact"/>
              <w:rPr>
                <w:rFonts w:ascii="方正仿宋简体" w:eastAsia="方正仿宋简体"/>
                <w:szCs w:val="21"/>
              </w:rPr>
            </w:pPr>
            <w:r>
              <w:rPr>
                <w:rFonts w:hint="eastAsia" w:ascii="方正仿宋简体" w:hAnsi="宋体" w:eastAsia="方正仿宋简体" w:cs="Tahoma"/>
                <w:szCs w:val="21"/>
                <w:lang w:val="zh-CN"/>
              </w:rPr>
              <w:t>油枪不能碰撞、敲击油箱口，</w:t>
            </w:r>
            <w:r>
              <w:rPr>
                <w:rFonts w:hint="eastAsia" w:ascii="方正仿宋简体" w:eastAsia="方正仿宋简体"/>
                <w:szCs w:val="21"/>
              </w:rPr>
              <w:t>加油过程中应密切注意油箱口，以防止油品溢出。</w:t>
            </w:r>
          </w:p>
          <w:p>
            <w:pPr>
              <w:numPr>
                <w:ilvl w:val="0"/>
                <w:numId w:val="6"/>
              </w:numPr>
              <w:spacing w:line="560" w:lineRule="exact"/>
              <w:rPr>
                <w:rFonts w:ascii="方正仿宋简体" w:eastAsia="方正仿宋简体"/>
                <w:szCs w:val="21"/>
              </w:rPr>
            </w:pPr>
            <w:r>
              <w:rPr>
                <w:rFonts w:ascii="方正仿宋简体" w:hAnsi="宋体" w:eastAsia="方正仿宋简体" w:cs="Tahoma"/>
                <w:szCs w:val="21"/>
                <w:lang w:val="zh-CN"/>
              </w:rPr>
              <w:t>加油完毕，等</w:t>
            </w:r>
            <w:r>
              <w:rPr>
                <w:rFonts w:hint="eastAsia" w:ascii="方正仿宋简体" w:hAnsi="宋体" w:eastAsia="方正仿宋简体" w:cs="Tahoma"/>
                <w:szCs w:val="21"/>
                <w:lang w:val="zh-CN"/>
              </w:rPr>
              <w:t>3-5</w:t>
            </w:r>
            <w:r>
              <w:rPr>
                <w:rFonts w:ascii="方正仿宋简体" w:hAnsi="宋体" w:eastAsia="方正仿宋简体" w:cs="Tahoma"/>
                <w:szCs w:val="21"/>
                <w:lang w:val="zh-CN"/>
              </w:rPr>
              <w:t>秒钟</w:t>
            </w:r>
            <w:r>
              <w:rPr>
                <w:rFonts w:hint="eastAsia" w:ascii="方正仿宋简体" w:hAnsi="宋体" w:eastAsia="方正仿宋简体" w:cs="Tahoma"/>
                <w:szCs w:val="21"/>
                <w:lang w:val="zh-CN"/>
              </w:rPr>
              <w:t>滴净余油</w:t>
            </w:r>
            <w:r>
              <w:rPr>
                <w:rFonts w:ascii="方正仿宋简体" w:hAnsi="宋体" w:eastAsia="方正仿宋简体" w:cs="Tahoma"/>
                <w:szCs w:val="21"/>
                <w:lang w:val="zh-CN"/>
              </w:rPr>
              <w:t>后挂回油枪。</w:t>
            </w:r>
          </w:p>
          <w:p>
            <w:pPr>
              <w:widowControl/>
              <w:numPr>
                <w:ilvl w:val="0"/>
                <w:numId w:val="5"/>
              </w:numPr>
              <w:spacing w:line="420" w:lineRule="atLeast"/>
              <w:jc w:val="left"/>
              <w:rPr>
                <w:rFonts w:ascii="方正仿宋简体" w:hAnsi="宋体" w:eastAsia="方正仿宋简体" w:cs="Tahoma"/>
                <w:szCs w:val="21"/>
                <w:lang w:val="zh-CN"/>
              </w:rPr>
            </w:pPr>
            <w:r>
              <w:rPr>
                <w:rFonts w:ascii="方正仿宋简体" w:hAnsi="宋体" w:eastAsia="方正仿宋简体" w:cs="Tahoma"/>
                <w:szCs w:val="21"/>
                <w:lang w:val="zh-CN"/>
              </w:rPr>
              <w:t>盘整加油枪胶管</w:t>
            </w:r>
            <w:r>
              <w:rPr>
                <w:rFonts w:hint="eastAsia" w:ascii="方正仿宋简体" w:hAnsi="宋体" w:eastAsia="方正仿宋简体" w:cs="Tahoma"/>
                <w:szCs w:val="21"/>
                <w:lang w:val="zh-CN"/>
              </w:rPr>
              <w:t>，避免被碾压或过度折弯，防止内部油气管线破损</w:t>
            </w:r>
          </w:p>
          <w:p>
            <w:pPr>
              <w:widowControl/>
              <w:numPr>
                <w:ilvl w:val="0"/>
                <w:numId w:val="5"/>
              </w:numPr>
              <w:spacing w:line="420" w:lineRule="atLeast"/>
              <w:jc w:val="left"/>
              <w:rPr>
                <w:rFonts w:ascii="方正仿宋简体" w:hAnsi="宋体" w:eastAsia="方正仿宋简体" w:cs="Tahoma"/>
                <w:szCs w:val="21"/>
                <w:lang w:val="zh-CN"/>
              </w:rPr>
            </w:pPr>
            <w:r>
              <w:rPr>
                <w:rFonts w:hint="eastAsia" w:ascii="方正仿宋简体" w:hAnsi="宋体" w:eastAsia="方正仿宋简体" w:cs="Tahoma"/>
                <w:szCs w:val="21"/>
                <w:lang w:val="zh-CN"/>
              </w:rPr>
              <w:t>防范车辆未制动，自滑撞人、拉断加油胶管或拉断阀伤人。</w:t>
            </w:r>
          </w:p>
          <w:p>
            <w:pPr>
              <w:widowControl/>
              <w:numPr>
                <w:ilvl w:val="0"/>
                <w:numId w:val="5"/>
              </w:numPr>
              <w:spacing w:line="420" w:lineRule="atLeast"/>
              <w:jc w:val="left"/>
              <w:rPr>
                <w:rFonts w:ascii="方正仿宋简体" w:hAnsi="宋体" w:eastAsia="方正仿宋简体" w:cs="Tahoma"/>
                <w:szCs w:val="21"/>
                <w:lang w:val="zh-CN"/>
              </w:rPr>
            </w:pPr>
            <w:r>
              <w:rPr>
                <w:rFonts w:hint="eastAsia" w:ascii="方正仿宋简体" w:hAnsi="宋体" w:eastAsia="方正仿宋简体" w:cs="Tahoma"/>
                <w:szCs w:val="21"/>
                <w:lang w:val="zh-CN"/>
              </w:rPr>
              <w:t>顾客未付款逃离，不能追击车辆，防止因追击车辆引发的交通事故。</w:t>
            </w:r>
          </w:p>
          <w:p>
            <w:pPr>
              <w:spacing w:line="560" w:lineRule="exact"/>
              <w:rPr>
                <w:rFonts w:ascii="方正仿宋简体" w:eastAsia="方正仿宋简体"/>
                <w:szCs w:val="21"/>
              </w:rPr>
            </w:pPr>
          </w:p>
        </w:tc>
      </w:tr>
    </w:tbl>
    <w:p>
      <w:pPr>
        <w:rPr>
          <w:rFonts w:eastAsia="仿宋_GB2312"/>
          <w:b/>
          <w:color w:val="000000"/>
          <w:kern w:val="0"/>
          <w:sz w:val="24"/>
        </w:rPr>
      </w:pPr>
      <w:r>
        <w:rPr>
          <w:rFonts w:eastAsia="仿宋_GB2312"/>
          <w:b/>
          <w:color w:val="000000"/>
          <w:kern w:val="0"/>
          <w:sz w:val="24"/>
        </w:rPr>
        <w:br w:type="page"/>
      </w:r>
      <w:r>
        <w:rPr>
          <w:rFonts w:hint="eastAsia" w:eastAsia="仿宋_GB2312"/>
          <w:b/>
          <w:color w:val="000000"/>
          <w:kern w:val="0"/>
          <w:sz w:val="24"/>
        </w:rPr>
        <w:t xml:space="preserve">                    </w:t>
      </w:r>
    </w:p>
    <w:p>
      <w:pPr>
        <w:rPr>
          <w:rFonts w:eastAsia="仿宋_GB2312"/>
          <w:b/>
          <w:color w:val="000000"/>
          <w:kern w:val="0"/>
          <w:sz w:val="24"/>
        </w:rPr>
      </w:pPr>
    </w:p>
    <w:p>
      <w:pPr>
        <w:jc w:val="center"/>
        <w:rPr>
          <w:rFonts w:eastAsia="仿宋_GB2312"/>
          <w:b/>
          <w:color w:val="000000"/>
          <w:kern w:val="0"/>
          <w:sz w:val="24"/>
        </w:rPr>
      </w:pPr>
      <w:r>
        <w:rPr>
          <w:rFonts w:hint="eastAsia" w:eastAsia="黑体"/>
          <w:kern w:val="0"/>
          <w:sz w:val="32"/>
          <w:szCs w:val="32"/>
        </w:rPr>
        <w:t>岗位关键安全操作规程清单</w:t>
      </w:r>
    </w:p>
    <w:p>
      <w:pPr>
        <w:rPr>
          <w:rFonts w:eastAsia="仿宋_GB2312"/>
          <w:b/>
          <w:color w:val="000000"/>
          <w:kern w:val="0"/>
          <w:sz w:val="24"/>
        </w:rPr>
      </w:pPr>
    </w:p>
    <w:p>
      <w:pPr>
        <w:rPr>
          <w:rFonts w:ascii="黑体" w:hAnsi="黑体" w:eastAsia="黑体" w:cs="黑体"/>
          <w:kern w:val="0"/>
          <w:sz w:val="30"/>
          <w:szCs w:val="30"/>
        </w:rPr>
      </w:pPr>
      <w:r>
        <w:rPr>
          <w:rFonts w:hint="eastAsia" w:eastAsia="仿宋_GB2312"/>
          <w:b/>
          <w:color w:val="000000"/>
          <w:kern w:val="0"/>
          <w:sz w:val="24"/>
        </w:rPr>
        <w:t xml:space="preserve">                     </w:t>
      </w:r>
      <w:r>
        <w:rPr>
          <w:rFonts w:hint="eastAsia" w:ascii="黑体" w:hAnsi="黑体" w:eastAsia="黑体" w:cs="黑体"/>
          <w:kern w:val="0"/>
          <w:sz w:val="30"/>
          <w:szCs w:val="30"/>
          <w:lang w:eastAsia="zh-CN"/>
        </w:rPr>
        <w:t>莺花路</w:t>
      </w:r>
      <w:r>
        <w:rPr>
          <w:rFonts w:hint="eastAsia" w:ascii="黑体" w:hAnsi="黑体" w:eastAsia="黑体" w:cs="黑体"/>
          <w:kern w:val="0"/>
          <w:sz w:val="30"/>
          <w:szCs w:val="30"/>
        </w:rPr>
        <w:t>加油站加油站动火作业操作规程及关键操作清单</w:t>
      </w:r>
    </w:p>
    <w:tbl>
      <w:tblPr>
        <w:tblStyle w:val="18"/>
        <w:tblW w:w="107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3"/>
        <w:gridCol w:w="9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1" w:hRule="atLeast"/>
          <w:jc w:val="center"/>
        </w:trPr>
        <w:tc>
          <w:tcPr>
            <w:tcW w:w="1233" w:type="dxa"/>
            <w:vMerge w:val="restart"/>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color w:val="000000"/>
                <w:kern w:val="0"/>
                <w:sz w:val="24"/>
              </w:rPr>
            </w:pPr>
            <w:r>
              <w:rPr>
                <w:rFonts w:hint="eastAsia"/>
                <w:color w:val="000000"/>
                <w:kern w:val="0"/>
                <w:sz w:val="24"/>
              </w:rPr>
              <w:t>操作</w:t>
            </w:r>
          </w:p>
          <w:p>
            <w:pPr>
              <w:widowControl/>
              <w:jc w:val="center"/>
              <w:textAlignment w:val="center"/>
              <w:rPr>
                <w:color w:val="000000"/>
                <w:sz w:val="24"/>
              </w:rPr>
            </w:pPr>
            <w:r>
              <w:rPr>
                <w:rFonts w:hint="eastAsia"/>
                <w:color w:val="000000"/>
                <w:kern w:val="0"/>
                <w:sz w:val="24"/>
              </w:rPr>
              <w:t>规程</w:t>
            </w:r>
          </w:p>
        </w:tc>
        <w:tc>
          <w:tcPr>
            <w:tcW w:w="9563" w:type="dxa"/>
            <w:vMerge w:val="restart"/>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1、动火作业前，开展风险辨识与评估，办理动火作业安全许可证；</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2.严格执行动火作业分级管理；</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3.对需要动火作业的设备、管线进行清洗、置换、分析合格并采取安全隔离措施；</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作业前应清除动火现场及周围的易燃物品，对空洞、地沟等进行封盖处理；</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4.对于动火点周围可能泄漏易燃、可燃物料的设备，采取隔离措施；</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5.配备消防器材，满足作业现场应急需求；</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6.使用气焊、气割动火作业时，乙炔瓶和氧气瓶的摆放应符合规定；</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7.安全管理人员、作业人员、作业监护人员对安全措施的进行逐一检查，确认无误后逐项确认、签字；</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8.监火人应负责进行动火作业全过程监护和安全检查；</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9.动火期间间距动火点30米内不应排放可燃气体；距动火点15米内部应排放可燃液体；在动火点10米范围内及用火点下方不应同时进行可燃溶剂或喷漆等作业；</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10.动火作业前应进行动火分析，动火作业期间应按要求持续进行动火分析；</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11.动火期间发现异常情况应立即停止动火，汇报安全管理人员，在确认安全并重新辨识风险后方可继续作业；</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12.用火结束后，应各方共同对现场验收并签字，清理作业现场，确认无残留火种；</w:t>
            </w:r>
          </w:p>
          <w:p>
            <w:pPr>
              <w:widowControl/>
              <w:jc w:val="left"/>
              <w:textAlignment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67" w:hRule="atLeast"/>
          <w:jc w:val="center"/>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 w:val="24"/>
              </w:rPr>
            </w:pPr>
          </w:p>
        </w:tc>
        <w:tc>
          <w:tcPr>
            <w:tcW w:w="9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11" w:hRule="atLeast"/>
          <w:jc w:val="center"/>
        </w:trPr>
        <w:tc>
          <w:tcPr>
            <w:tcW w:w="1233"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ascii="方正仿宋简体" w:hAnsi="方正仿宋简体" w:eastAsia="方正仿宋简体" w:cs="方正仿宋简体"/>
                <w:bCs/>
                <w:color w:val="000000"/>
                <w:kern w:val="0"/>
                <w:sz w:val="24"/>
              </w:rPr>
            </w:pPr>
            <w:r>
              <w:rPr>
                <w:rFonts w:hint="eastAsia" w:ascii="方正仿宋简体" w:hAnsi="方正仿宋简体" w:eastAsia="方正仿宋简体" w:cs="方正仿宋简体"/>
                <w:bCs/>
                <w:color w:val="000000"/>
                <w:kern w:val="0"/>
                <w:sz w:val="24"/>
              </w:rPr>
              <w:t>关键操作</w:t>
            </w:r>
          </w:p>
          <w:p>
            <w:pPr>
              <w:widowControl/>
              <w:jc w:val="center"/>
              <w:textAlignment w:val="center"/>
              <w:rPr>
                <w:rFonts w:ascii="方正仿宋简体" w:hAnsi="方正仿宋简体" w:eastAsia="方正仿宋简体" w:cs="方正仿宋简体"/>
                <w:bCs/>
                <w:color w:val="000000"/>
                <w:sz w:val="24"/>
              </w:rPr>
            </w:pPr>
            <w:r>
              <w:rPr>
                <w:rFonts w:hint="eastAsia" w:ascii="方正仿宋简体" w:hAnsi="方正仿宋简体" w:eastAsia="方正仿宋简体" w:cs="方正仿宋简体"/>
                <w:bCs/>
                <w:color w:val="000000"/>
                <w:kern w:val="0"/>
                <w:sz w:val="24"/>
              </w:rPr>
              <w:t>清单</w:t>
            </w:r>
          </w:p>
        </w:tc>
        <w:tc>
          <w:tcPr>
            <w:tcW w:w="9563"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left"/>
              <w:textAlignment w:val="center"/>
              <w:rPr>
                <w:rFonts w:ascii="方正仿宋简体" w:hAnsi="方正仿宋简体" w:eastAsia="方正仿宋简体" w:cs="方正仿宋简体"/>
                <w:bCs/>
                <w:color w:val="000000"/>
                <w:sz w:val="24"/>
              </w:rPr>
            </w:pPr>
            <w:r>
              <w:rPr>
                <w:rFonts w:hint="eastAsia" w:ascii="方正仿宋简体" w:hAnsi="方正仿宋简体" w:eastAsia="方正仿宋简体" w:cs="方正仿宋简体"/>
                <w:bCs/>
                <w:color w:val="000000"/>
                <w:kern w:val="0"/>
                <w:sz w:val="24"/>
              </w:rPr>
              <w:t>1.</w:t>
            </w:r>
            <w:r>
              <w:rPr>
                <w:rFonts w:hint="eastAsia" w:ascii="方正仿宋简体" w:hAnsi="方正仿宋简体" w:eastAsia="方正仿宋简体" w:cs="方正仿宋简体"/>
                <w:bCs/>
                <w:sz w:val="24"/>
              </w:rPr>
              <w:t>作业前，开展风险辨识与评估，</w:t>
            </w:r>
            <w:r>
              <w:rPr>
                <w:rFonts w:hint="eastAsia" w:ascii="方正仿宋简体" w:hAnsi="方正仿宋简体" w:eastAsia="方正仿宋简体" w:cs="方正仿宋简体"/>
                <w:bCs/>
                <w:color w:val="000000"/>
                <w:kern w:val="0"/>
                <w:sz w:val="24"/>
              </w:rPr>
              <w:t>办理动火作业安全许可证</w:t>
            </w:r>
            <w:r>
              <w:rPr>
                <w:rFonts w:hint="eastAsia" w:ascii="方正仿宋简体" w:hAnsi="方正仿宋简体" w:eastAsia="方正仿宋简体" w:cs="方正仿宋简体"/>
                <w:bCs/>
                <w:sz w:val="24"/>
              </w:rPr>
              <w:t>；</w:t>
            </w:r>
          </w:p>
          <w:p>
            <w:pPr>
              <w:widowControl/>
              <w:jc w:val="left"/>
              <w:textAlignment w:val="center"/>
              <w:rPr>
                <w:rFonts w:ascii="方正仿宋简体" w:hAnsi="方正仿宋简体" w:eastAsia="方正仿宋简体" w:cs="方正仿宋简体"/>
                <w:bCs/>
                <w:color w:val="000000"/>
                <w:sz w:val="24"/>
              </w:rPr>
            </w:pPr>
            <w:r>
              <w:rPr>
                <w:rFonts w:hint="eastAsia" w:ascii="方正仿宋简体" w:hAnsi="方正仿宋简体" w:eastAsia="方正仿宋简体" w:cs="方正仿宋简体"/>
                <w:bCs/>
                <w:color w:val="000000"/>
                <w:kern w:val="0"/>
                <w:sz w:val="24"/>
              </w:rPr>
              <w:t>2.确认设备、管线内部无可燃物；</w:t>
            </w:r>
          </w:p>
          <w:p>
            <w:pPr>
              <w:widowControl/>
              <w:jc w:val="left"/>
              <w:textAlignment w:val="center"/>
              <w:rPr>
                <w:rFonts w:ascii="方正仿宋简体" w:hAnsi="方正仿宋简体" w:eastAsia="方正仿宋简体" w:cs="方正仿宋简体"/>
                <w:bCs/>
                <w:color w:val="000000"/>
                <w:sz w:val="24"/>
              </w:rPr>
            </w:pPr>
            <w:r>
              <w:rPr>
                <w:rFonts w:hint="eastAsia" w:ascii="方正仿宋简体" w:hAnsi="方正仿宋简体" w:eastAsia="方正仿宋简体" w:cs="方正仿宋简体"/>
                <w:bCs/>
                <w:color w:val="000000"/>
                <w:kern w:val="0"/>
                <w:sz w:val="24"/>
              </w:rPr>
              <w:t>3.清理作业现场周围可燃物；</w:t>
            </w:r>
          </w:p>
          <w:p>
            <w:pPr>
              <w:widowControl/>
              <w:jc w:val="left"/>
              <w:textAlignment w:val="center"/>
              <w:rPr>
                <w:rFonts w:ascii="方正仿宋简体" w:hAnsi="方正仿宋简体" w:eastAsia="方正仿宋简体" w:cs="方正仿宋简体"/>
                <w:bCs/>
                <w:color w:val="000000"/>
                <w:sz w:val="24"/>
              </w:rPr>
            </w:pPr>
            <w:r>
              <w:rPr>
                <w:rFonts w:hint="eastAsia" w:ascii="方正仿宋简体" w:hAnsi="方正仿宋简体" w:eastAsia="方正仿宋简体" w:cs="方正仿宋简体"/>
                <w:bCs/>
                <w:color w:val="000000"/>
                <w:kern w:val="0"/>
                <w:sz w:val="24"/>
              </w:rPr>
              <w:t>4.各方均要对安全措施落实情况进行逐一检查；</w:t>
            </w:r>
          </w:p>
          <w:p>
            <w:pPr>
              <w:widowControl/>
              <w:jc w:val="left"/>
              <w:textAlignment w:val="center"/>
              <w:rPr>
                <w:rFonts w:ascii="方正仿宋简体" w:hAnsi="方正仿宋简体" w:eastAsia="方正仿宋简体" w:cs="方正仿宋简体"/>
                <w:bCs/>
                <w:color w:val="000000"/>
                <w:sz w:val="24"/>
              </w:rPr>
            </w:pPr>
            <w:r>
              <w:rPr>
                <w:rFonts w:hint="eastAsia" w:ascii="方正仿宋简体" w:hAnsi="方正仿宋简体" w:eastAsia="方正仿宋简体" w:cs="方正仿宋简体"/>
                <w:bCs/>
                <w:color w:val="000000"/>
                <w:kern w:val="0"/>
                <w:sz w:val="24"/>
              </w:rPr>
              <w:t>5.监火人必须到位，全程监护；</w:t>
            </w:r>
          </w:p>
          <w:p>
            <w:pPr>
              <w:widowControl/>
              <w:jc w:val="left"/>
              <w:textAlignment w:val="center"/>
              <w:rPr>
                <w:rFonts w:ascii="方正仿宋简体" w:hAnsi="方正仿宋简体" w:eastAsia="方正仿宋简体" w:cs="方正仿宋简体"/>
                <w:bCs/>
                <w:color w:val="000000"/>
                <w:sz w:val="24"/>
              </w:rPr>
            </w:pPr>
            <w:r>
              <w:rPr>
                <w:rFonts w:hint="eastAsia" w:ascii="方正仿宋简体" w:hAnsi="方正仿宋简体" w:eastAsia="方正仿宋简体" w:cs="方正仿宋简体"/>
                <w:bCs/>
                <w:color w:val="000000"/>
                <w:kern w:val="0"/>
                <w:sz w:val="24"/>
              </w:rPr>
              <w:t>6.作业过程要持续动火分析；</w:t>
            </w:r>
          </w:p>
          <w:p>
            <w:pPr>
              <w:widowControl/>
              <w:jc w:val="left"/>
              <w:textAlignment w:val="center"/>
              <w:rPr>
                <w:rFonts w:ascii="方正仿宋简体" w:hAnsi="方正仿宋简体" w:eastAsia="方正仿宋简体" w:cs="方正仿宋简体"/>
                <w:bCs/>
                <w:color w:val="000000"/>
                <w:sz w:val="24"/>
              </w:rPr>
            </w:pPr>
            <w:r>
              <w:rPr>
                <w:rFonts w:hint="eastAsia" w:ascii="方正仿宋简体" w:hAnsi="方正仿宋简体" w:eastAsia="方正仿宋简体" w:cs="方正仿宋简体"/>
                <w:bCs/>
                <w:color w:val="000000"/>
                <w:kern w:val="0"/>
                <w:sz w:val="24"/>
              </w:rPr>
              <w:t>7.作业结束，清理现场；</w:t>
            </w:r>
          </w:p>
          <w:p>
            <w:pPr>
              <w:widowControl/>
              <w:jc w:val="left"/>
              <w:textAlignment w:val="center"/>
              <w:rPr>
                <w:rFonts w:ascii="方正仿宋简体" w:hAnsi="方正仿宋简体" w:eastAsia="方正仿宋简体" w:cs="方正仿宋简体"/>
                <w:bCs/>
                <w:color w:val="000000"/>
                <w:sz w:val="24"/>
              </w:rPr>
            </w:pPr>
          </w:p>
        </w:tc>
      </w:tr>
    </w:tbl>
    <w:p>
      <w:pPr>
        <w:widowControl/>
        <w:jc w:val="left"/>
      </w:pPr>
    </w:p>
    <w:p>
      <w:pPr>
        <w:ind w:firstLine="3200" w:firstLineChars="1000"/>
        <w:rPr>
          <w:rFonts w:eastAsia="黑体"/>
          <w:kern w:val="0"/>
          <w:sz w:val="32"/>
          <w:szCs w:val="32"/>
        </w:rPr>
      </w:pPr>
    </w:p>
    <w:p>
      <w:pPr>
        <w:ind w:firstLine="3200" w:firstLineChars="1000"/>
        <w:rPr>
          <w:rFonts w:eastAsia="黑体"/>
          <w:kern w:val="0"/>
          <w:sz w:val="32"/>
          <w:szCs w:val="32"/>
        </w:rPr>
      </w:pPr>
    </w:p>
    <w:p>
      <w:pPr>
        <w:ind w:firstLine="3200" w:firstLineChars="1000"/>
        <w:rPr>
          <w:rFonts w:eastAsia="黑体"/>
          <w:kern w:val="0"/>
          <w:sz w:val="32"/>
          <w:szCs w:val="32"/>
        </w:rPr>
      </w:pPr>
    </w:p>
    <w:p>
      <w:pPr>
        <w:ind w:firstLine="3200" w:firstLineChars="1000"/>
        <w:rPr>
          <w:rFonts w:eastAsia="黑体"/>
          <w:kern w:val="0"/>
          <w:sz w:val="32"/>
          <w:szCs w:val="32"/>
        </w:rPr>
      </w:pPr>
    </w:p>
    <w:p>
      <w:pPr>
        <w:ind w:firstLine="3200" w:firstLineChars="1000"/>
        <w:rPr>
          <w:rFonts w:eastAsia="黑体"/>
          <w:kern w:val="0"/>
          <w:sz w:val="32"/>
          <w:szCs w:val="32"/>
        </w:rPr>
      </w:pPr>
    </w:p>
    <w:p>
      <w:pPr>
        <w:ind w:firstLine="3200" w:firstLineChars="1000"/>
        <w:rPr>
          <w:rFonts w:eastAsia="黑体"/>
          <w:kern w:val="0"/>
          <w:sz w:val="32"/>
          <w:szCs w:val="32"/>
        </w:rPr>
      </w:pPr>
    </w:p>
    <w:p>
      <w:pPr>
        <w:ind w:firstLine="3200" w:firstLineChars="1000"/>
        <w:rPr>
          <w:rFonts w:eastAsia="黑体"/>
          <w:kern w:val="0"/>
          <w:sz w:val="32"/>
          <w:szCs w:val="32"/>
        </w:rPr>
      </w:pPr>
    </w:p>
    <w:p>
      <w:pPr>
        <w:ind w:firstLine="3200" w:firstLineChars="1000"/>
        <w:rPr>
          <w:rFonts w:eastAsia="黑体"/>
          <w:kern w:val="0"/>
          <w:sz w:val="32"/>
          <w:szCs w:val="32"/>
        </w:rPr>
      </w:pPr>
    </w:p>
    <w:p>
      <w:pPr>
        <w:ind w:firstLine="3200" w:firstLineChars="1000"/>
        <w:rPr>
          <w:rFonts w:eastAsia="黑体"/>
          <w:kern w:val="0"/>
          <w:sz w:val="32"/>
          <w:szCs w:val="32"/>
        </w:rPr>
      </w:pPr>
    </w:p>
    <w:p>
      <w:pPr>
        <w:ind w:firstLine="3200" w:firstLineChars="1000"/>
        <w:rPr>
          <w:rFonts w:eastAsia="黑体"/>
          <w:kern w:val="0"/>
          <w:sz w:val="32"/>
          <w:szCs w:val="32"/>
        </w:rPr>
      </w:pPr>
    </w:p>
    <w:p>
      <w:pPr>
        <w:ind w:firstLine="3200" w:firstLineChars="1000"/>
        <w:rPr>
          <w:rFonts w:eastAsia="黑体"/>
          <w:kern w:val="0"/>
          <w:sz w:val="32"/>
          <w:szCs w:val="32"/>
        </w:rPr>
      </w:pPr>
    </w:p>
    <w:p>
      <w:pPr>
        <w:ind w:firstLine="3200" w:firstLineChars="1000"/>
        <w:rPr>
          <w:rFonts w:eastAsia="黑体"/>
          <w:kern w:val="0"/>
          <w:sz w:val="32"/>
          <w:szCs w:val="32"/>
        </w:rPr>
      </w:pPr>
    </w:p>
    <w:p>
      <w:pPr>
        <w:ind w:firstLine="3200" w:firstLineChars="1000"/>
        <w:rPr>
          <w:rFonts w:eastAsia="黑体"/>
          <w:kern w:val="0"/>
          <w:sz w:val="32"/>
          <w:szCs w:val="32"/>
        </w:rPr>
      </w:pPr>
    </w:p>
    <w:p>
      <w:pPr>
        <w:ind w:firstLine="3200" w:firstLineChars="1000"/>
        <w:rPr>
          <w:rFonts w:eastAsia="黑体"/>
          <w:kern w:val="0"/>
          <w:sz w:val="32"/>
          <w:szCs w:val="32"/>
        </w:rPr>
      </w:pPr>
    </w:p>
    <w:p>
      <w:pPr>
        <w:ind w:firstLine="3200" w:firstLineChars="1000"/>
        <w:rPr>
          <w:rFonts w:eastAsia="仿宋_GB2312"/>
          <w:b/>
          <w:color w:val="000000"/>
          <w:kern w:val="0"/>
          <w:sz w:val="24"/>
        </w:rPr>
      </w:pPr>
      <w:r>
        <w:rPr>
          <w:rFonts w:hint="eastAsia" w:eastAsia="黑体"/>
          <w:kern w:val="0"/>
          <w:sz w:val="32"/>
          <w:szCs w:val="32"/>
        </w:rPr>
        <w:t>岗位关键安全操作规程清单</w:t>
      </w:r>
    </w:p>
    <w:p>
      <w:pPr>
        <w:rPr>
          <w:rFonts w:eastAsia="仿宋_GB2312"/>
          <w:b/>
          <w:color w:val="000000"/>
          <w:kern w:val="0"/>
          <w:sz w:val="24"/>
        </w:rPr>
      </w:pPr>
    </w:p>
    <w:p>
      <w:pPr>
        <w:rPr>
          <w:rFonts w:ascii="黑体" w:hAnsi="黑体" w:eastAsia="黑体" w:cs="黑体"/>
          <w:kern w:val="0"/>
          <w:sz w:val="30"/>
          <w:szCs w:val="30"/>
        </w:rPr>
      </w:pPr>
      <w:r>
        <w:rPr>
          <w:rFonts w:hint="eastAsia" w:eastAsia="仿宋_GB2312"/>
          <w:b/>
          <w:color w:val="000000"/>
          <w:kern w:val="0"/>
          <w:sz w:val="24"/>
        </w:rPr>
        <w:t xml:space="preserve">                     </w:t>
      </w:r>
      <w:r>
        <w:rPr>
          <w:rFonts w:hint="eastAsia" w:ascii="黑体" w:hAnsi="黑体" w:eastAsia="黑体" w:cs="黑体"/>
          <w:kern w:val="0"/>
          <w:sz w:val="30"/>
          <w:szCs w:val="30"/>
          <w:lang w:eastAsia="zh-CN"/>
        </w:rPr>
        <w:t>莺花路</w:t>
      </w:r>
      <w:r>
        <w:rPr>
          <w:rFonts w:hint="eastAsia" w:ascii="黑体" w:hAnsi="黑体" w:eastAsia="黑体" w:cs="黑体"/>
          <w:kern w:val="0"/>
          <w:sz w:val="30"/>
          <w:szCs w:val="30"/>
        </w:rPr>
        <w:t>加油站加油站发电机操作规程及关键操作清单</w:t>
      </w:r>
    </w:p>
    <w:tbl>
      <w:tblPr>
        <w:tblStyle w:val="18"/>
        <w:tblW w:w="107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3"/>
        <w:gridCol w:w="9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1" w:hRule="atLeast"/>
          <w:jc w:val="center"/>
        </w:trPr>
        <w:tc>
          <w:tcPr>
            <w:tcW w:w="1233" w:type="dxa"/>
            <w:vMerge w:val="restart"/>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color w:val="000000"/>
                <w:kern w:val="0"/>
                <w:sz w:val="24"/>
              </w:rPr>
            </w:pPr>
            <w:r>
              <w:rPr>
                <w:rFonts w:hint="eastAsia"/>
                <w:color w:val="000000"/>
                <w:kern w:val="0"/>
                <w:sz w:val="24"/>
              </w:rPr>
              <w:t>操作</w:t>
            </w:r>
          </w:p>
          <w:p>
            <w:pPr>
              <w:widowControl/>
              <w:jc w:val="center"/>
              <w:textAlignment w:val="center"/>
              <w:rPr>
                <w:color w:val="000000"/>
                <w:sz w:val="24"/>
              </w:rPr>
            </w:pPr>
            <w:r>
              <w:rPr>
                <w:rFonts w:hint="eastAsia"/>
                <w:color w:val="000000"/>
                <w:kern w:val="0"/>
                <w:sz w:val="24"/>
              </w:rPr>
              <w:t>规程</w:t>
            </w:r>
          </w:p>
        </w:tc>
        <w:tc>
          <w:tcPr>
            <w:tcW w:w="9563" w:type="dxa"/>
            <w:vMerge w:val="restart"/>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发 电 机 操 作 规 程</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一、启动前</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1.检查机油高度是否在正常范围内，机油的粘度及清洁状况。</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2.检查油箱内燃油（柴油）是否足够</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3.检查水箱内冷却水是否足够、是否清洁</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4.检查传动皮带的松紧是否适度</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5.检查机组其他部件，观察机组是否正常</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二、启动</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1.启动必须保持空负荷，待低转速运转3-5分钟后，逐渐加速，升压至正常位置</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2.合上电闸，带负荷工作</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三、运行</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在发电机运行期间，应定时巡查，注意水箱、油箱、机油情况，必要时补充水、燃油、机油。发电机组一旦出现声音不正常或仪表读数异常或无电压输出等故障，应立即停机检查维修</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四、停机</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首先断开输出电闸，让发电机空负荷运转，待温度减低后，断开启动电源开关，即可停机，待温度降低后，做好清洁保养</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五、发电机必须由专人管理，做好发电机的运行记录</w:t>
            </w:r>
          </w:p>
          <w:p>
            <w:pPr>
              <w:widowControl/>
              <w:jc w:val="left"/>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六、不经常启用的发电机组，每周必须空载运行一次（10-15分钟），以确保处于良好状态。</w:t>
            </w:r>
          </w:p>
          <w:p>
            <w:pPr>
              <w:widowControl/>
              <w:jc w:val="left"/>
              <w:textAlignment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67" w:hRule="atLeast"/>
          <w:jc w:val="center"/>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 w:val="24"/>
              </w:rPr>
            </w:pPr>
          </w:p>
        </w:tc>
        <w:tc>
          <w:tcPr>
            <w:tcW w:w="9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11" w:hRule="atLeast"/>
          <w:jc w:val="center"/>
        </w:trPr>
        <w:tc>
          <w:tcPr>
            <w:tcW w:w="1233"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ascii="方正仿宋简体" w:hAnsi="方正仿宋简体" w:eastAsia="方正仿宋简体" w:cs="方正仿宋简体"/>
                <w:bCs/>
                <w:color w:val="000000"/>
                <w:kern w:val="0"/>
                <w:sz w:val="24"/>
              </w:rPr>
            </w:pPr>
            <w:r>
              <w:rPr>
                <w:rFonts w:hint="eastAsia" w:ascii="方正仿宋简体" w:hAnsi="方正仿宋简体" w:eastAsia="方正仿宋简体" w:cs="方正仿宋简体"/>
                <w:bCs/>
                <w:color w:val="000000"/>
                <w:kern w:val="0"/>
                <w:sz w:val="24"/>
              </w:rPr>
              <w:t>关键操作</w:t>
            </w:r>
          </w:p>
          <w:p>
            <w:pPr>
              <w:widowControl/>
              <w:jc w:val="center"/>
              <w:textAlignment w:val="center"/>
              <w:rPr>
                <w:rFonts w:ascii="方正仿宋简体" w:hAnsi="方正仿宋简体" w:eastAsia="方正仿宋简体" w:cs="方正仿宋简体"/>
                <w:bCs/>
                <w:color w:val="000000"/>
                <w:sz w:val="24"/>
              </w:rPr>
            </w:pPr>
            <w:r>
              <w:rPr>
                <w:rFonts w:hint="eastAsia" w:ascii="方正仿宋简体" w:hAnsi="方正仿宋简体" w:eastAsia="方正仿宋简体" w:cs="方正仿宋简体"/>
                <w:bCs/>
                <w:color w:val="000000"/>
                <w:kern w:val="0"/>
                <w:sz w:val="24"/>
              </w:rPr>
              <w:t>清单</w:t>
            </w:r>
          </w:p>
        </w:tc>
        <w:tc>
          <w:tcPr>
            <w:tcW w:w="9563"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numPr>
                <w:ilvl w:val="0"/>
                <w:numId w:val="7"/>
              </w:numPr>
              <w:jc w:val="left"/>
              <w:textAlignment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检查机油、燃油、冷却水是否足够、在正常范围内，有无漏水、漏油情况。</w:t>
            </w:r>
          </w:p>
          <w:p>
            <w:pPr>
              <w:pStyle w:val="2"/>
              <w:numPr>
                <w:ilvl w:val="0"/>
                <w:numId w:val="7"/>
              </w:numPr>
              <w:ind w:firstLine="24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检查皮带松紧是否合适、其他螺栓有无松动</w:t>
            </w:r>
          </w:p>
          <w:p>
            <w:pPr>
              <w:pStyle w:val="2"/>
              <w:numPr>
                <w:ilvl w:val="0"/>
                <w:numId w:val="7"/>
              </w:numPr>
              <w:ind w:firstLine="24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启动必须保持空负荷，待低转速运转3-5分钟后，逐渐加速，升压至正常位置</w:t>
            </w:r>
          </w:p>
          <w:p>
            <w:pPr>
              <w:pStyle w:val="2"/>
              <w:numPr>
                <w:ilvl w:val="0"/>
                <w:numId w:val="7"/>
              </w:numPr>
              <w:ind w:firstLine="24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在发电机运行期间，应定时巡查，注意水箱、油箱、机油情况，必要时补充水、燃油、机油</w:t>
            </w:r>
          </w:p>
          <w:p>
            <w:pPr>
              <w:pStyle w:val="2"/>
              <w:numPr>
                <w:ilvl w:val="0"/>
                <w:numId w:val="7"/>
              </w:numPr>
              <w:ind w:firstLine="240"/>
            </w:pPr>
            <w:r>
              <w:rPr>
                <w:rFonts w:hint="eastAsia" w:ascii="方正仿宋简体" w:hAnsi="方正仿宋简体" w:eastAsia="方正仿宋简体" w:cs="方正仿宋简体"/>
                <w:color w:val="000000"/>
                <w:sz w:val="24"/>
              </w:rPr>
              <w:t>停机首先断开输出电闸，让发电机空负荷运转，待温度减低后，断开启动电源开关</w:t>
            </w:r>
          </w:p>
        </w:tc>
      </w:tr>
    </w:tbl>
    <w:p>
      <w:pPr>
        <w:pStyle w:val="2"/>
        <w:ind w:firstLine="210"/>
      </w:pPr>
    </w:p>
    <w:p>
      <w:pPr>
        <w:pStyle w:val="2"/>
        <w:ind w:firstLine="210"/>
      </w:pPr>
    </w:p>
    <w:p>
      <w:pPr>
        <w:pStyle w:val="2"/>
        <w:ind w:firstLine="210"/>
      </w:pPr>
    </w:p>
    <w:p>
      <w:pPr>
        <w:jc w:val="center"/>
        <w:rPr>
          <w:rFonts w:eastAsia="黑体"/>
          <w:kern w:val="0"/>
          <w:sz w:val="32"/>
          <w:szCs w:val="32"/>
        </w:rPr>
      </w:pPr>
    </w:p>
    <w:p>
      <w:pPr>
        <w:jc w:val="center"/>
        <w:rPr>
          <w:rFonts w:eastAsia="黑体"/>
          <w:kern w:val="0"/>
          <w:sz w:val="32"/>
          <w:szCs w:val="32"/>
        </w:rPr>
      </w:pPr>
    </w:p>
    <w:p>
      <w:pPr>
        <w:jc w:val="center"/>
        <w:rPr>
          <w:rFonts w:eastAsia="黑体"/>
          <w:kern w:val="0"/>
          <w:sz w:val="32"/>
          <w:szCs w:val="32"/>
        </w:rPr>
      </w:pPr>
    </w:p>
    <w:p>
      <w:pPr>
        <w:jc w:val="center"/>
        <w:rPr>
          <w:rFonts w:eastAsia="黑体"/>
          <w:kern w:val="0"/>
          <w:sz w:val="32"/>
          <w:szCs w:val="32"/>
        </w:rPr>
      </w:pPr>
    </w:p>
    <w:p>
      <w:pPr>
        <w:jc w:val="center"/>
        <w:rPr>
          <w:rFonts w:eastAsia="黑体"/>
          <w:kern w:val="0"/>
          <w:sz w:val="32"/>
          <w:szCs w:val="32"/>
        </w:rPr>
      </w:pPr>
    </w:p>
    <w:p>
      <w:pPr>
        <w:jc w:val="center"/>
        <w:rPr>
          <w:rFonts w:eastAsia="黑体"/>
          <w:kern w:val="0"/>
          <w:sz w:val="32"/>
          <w:szCs w:val="32"/>
        </w:rPr>
      </w:pPr>
    </w:p>
    <w:p>
      <w:pPr>
        <w:jc w:val="center"/>
        <w:rPr>
          <w:rFonts w:eastAsia="黑体"/>
          <w:kern w:val="0"/>
          <w:sz w:val="32"/>
          <w:szCs w:val="32"/>
        </w:rPr>
      </w:pPr>
    </w:p>
    <w:p>
      <w:pPr>
        <w:jc w:val="center"/>
        <w:rPr>
          <w:rFonts w:eastAsia="黑体"/>
          <w:kern w:val="0"/>
          <w:sz w:val="32"/>
          <w:szCs w:val="32"/>
        </w:rPr>
      </w:pPr>
    </w:p>
    <w:p>
      <w:pPr>
        <w:jc w:val="center"/>
        <w:rPr>
          <w:rFonts w:eastAsia="黑体"/>
          <w:kern w:val="0"/>
          <w:sz w:val="32"/>
          <w:szCs w:val="32"/>
        </w:rPr>
      </w:pPr>
    </w:p>
    <w:p>
      <w:pPr>
        <w:jc w:val="center"/>
        <w:rPr>
          <w:rFonts w:eastAsia="黑体"/>
          <w:kern w:val="0"/>
          <w:sz w:val="32"/>
          <w:szCs w:val="32"/>
        </w:rPr>
      </w:pPr>
    </w:p>
    <w:p>
      <w:pPr>
        <w:jc w:val="center"/>
        <w:rPr>
          <w:rFonts w:eastAsia="黑体"/>
          <w:kern w:val="0"/>
          <w:sz w:val="32"/>
          <w:szCs w:val="32"/>
        </w:rPr>
      </w:pPr>
    </w:p>
    <w:p>
      <w:pPr>
        <w:jc w:val="center"/>
        <w:rPr>
          <w:rFonts w:eastAsia="黑体"/>
          <w:kern w:val="0"/>
          <w:sz w:val="32"/>
          <w:szCs w:val="32"/>
        </w:rPr>
      </w:pPr>
    </w:p>
    <w:p>
      <w:pPr>
        <w:jc w:val="center"/>
        <w:rPr>
          <w:rFonts w:eastAsia="黑体"/>
          <w:kern w:val="0"/>
          <w:sz w:val="32"/>
          <w:szCs w:val="32"/>
        </w:rPr>
      </w:pPr>
    </w:p>
    <w:p>
      <w:pPr>
        <w:jc w:val="center"/>
        <w:rPr>
          <w:rFonts w:eastAsia="黑体"/>
          <w:kern w:val="0"/>
          <w:sz w:val="32"/>
          <w:szCs w:val="32"/>
        </w:rPr>
      </w:pPr>
    </w:p>
    <w:p>
      <w:pPr>
        <w:jc w:val="center"/>
        <w:rPr>
          <w:rFonts w:eastAsia="黑体"/>
          <w:kern w:val="0"/>
          <w:sz w:val="32"/>
          <w:szCs w:val="32"/>
        </w:rPr>
      </w:pPr>
    </w:p>
    <w:p>
      <w:pPr>
        <w:jc w:val="center"/>
        <w:rPr>
          <w:rFonts w:eastAsia="仿宋_GB2312"/>
          <w:b/>
          <w:color w:val="000000"/>
          <w:kern w:val="0"/>
          <w:sz w:val="24"/>
        </w:rPr>
      </w:pPr>
      <w:r>
        <w:rPr>
          <w:rFonts w:hint="eastAsia" w:eastAsia="黑体"/>
          <w:kern w:val="0"/>
          <w:sz w:val="32"/>
          <w:szCs w:val="32"/>
        </w:rPr>
        <w:t>岗位关键安全操作规程清单</w:t>
      </w:r>
    </w:p>
    <w:p>
      <w:pPr>
        <w:rPr>
          <w:rFonts w:eastAsia="仿宋_GB2312"/>
          <w:b/>
          <w:color w:val="000000"/>
          <w:kern w:val="0"/>
          <w:sz w:val="24"/>
        </w:rPr>
      </w:pPr>
    </w:p>
    <w:p>
      <w:pPr>
        <w:rPr>
          <w:rFonts w:ascii="黑体" w:hAnsi="黑体" w:eastAsia="黑体" w:cs="黑体"/>
          <w:kern w:val="0"/>
          <w:sz w:val="30"/>
          <w:szCs w:val="30"/>
        </w:rPr>
      </w:pPr>
      <w:r>
        <w:rPr>
          <w:rFonts w:hint="eastAsia" w:eastAsia="仿宋_GB2312"/>
          <w:b/>
          <w:color w:val="000000"/>
          <w:kern w:val="0"/>
          <w:sz w:val="24"/>
        </w:rPr>
        <w:t xml:space="preserve">                     </w:t>
      </w:r>
      <w:r>
        <w:rPr>
          <w:rFonts w:hint="eastAsia" w:ascii="黑体" w:hAnsi="黑体" w:eastAsia="黑体" w:cs="黑体"/>
          <w:kern w:val="0"/>
          <w:sz w:val="30"/>
          <w:szCs w:val="30"/>
          <w:lang w:eastAsia="zh-CN"/>
        </w:rPr>
        <w:t>莺花路</w:t>
      </w:r>
      <w:r>
        <w:rPr>
          <w:rFonts w:hint="eastAsia" w:ascii="黑体" w:hAnsi="黑体" w:eastAsia="黑体" w:cs="黑体"/>
          <w:kern w:val="0"/>
          <w:sz w:val="30"/>
          <w:szCs w:val="30"/>
        </w:rPr>
        <w:t>加油站配电安全操作规程及关键操作清单</w:t>
      </w:r>
    </w:p>
    <w:tbl>
      <w:tblPr>
        <w:tblStyle w:val="18"/>
        <w:tblW w:w="107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3"/>
        <w:gridCol w:w="9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1" w:hRule="atLeast"/>
          <w:jc w:val="center"/>
        </w:trPr>
        <w:tc>
          <w:tcPr>
            <w:tcW w:w="1233" w:type="dxa"/>
            <w:vMerge w:val="restart"/>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color w:val="000000"/>
                <w:kern w:val="0"/>
                <w:sz w:val="24"/>
              </w:rPr>
            </w:pPr>
            <w:r>
              <w:rPr>
                <w:rFonts w:hint="eastAsia"/>
                <w:color w:val="000000"/>
                <w:kern w:val="0"/>
                <w:sz w:val="24"/>
              </w:rPr>
              <w:t>操作</w:t>
            </w:r>
          </w:p>
          <w:p>
            <w:pPr>
              <w:widowControl/>
              <w:jc w:val="center"/>
              <w:textAlignment w:val="center"/>
              <w:rPr>
                <w:color w:val="000000"/>
                <w:sz w:val="24"/>
              </w:rPr>
            </w:pPr>
            <w:r>
              <w:rPr>
                <w:rFonts w:hint="eastAsia"/>
                <w:color w:val="000000"/>
                <w:kern w:val="0"/>
                <w:sz w:val="24"/>
              </w:rPr>
              <w:t>规程</w:t>
            </w:r>
          </w:p>
        </w:tc>
        <w:tc>
          <w:tcPr>
            <w:tcW w:w="9563" w:type="dxa"/>
            <w:vMerge w:val="restart"/>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left"/>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rPr>
              <w:t>配电安全操作规程</w:t>
            </w:r>
          </w:p>
          <w:p>
            <w:pPr>
              <w:widowControl/>
              <w:jc w:val="left"/>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rPr>
              <w:t>1、操作前操作人员必须检查外壳接地线是否松动、外壳是否带电</w:t>
            </w:r>
          </w:p>
          <w:p>
            <w:pPr>
              <w:widowControl/>
              <w:jc w:val="left"/>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rPr>
              <w:t>2、操作人员首先戴好绝缘手套，脚踏绝缘胶垫，再合上倒顺开关，方可进行配电操作</w:t>
            </w:r>
          </w:p>
          <w:p>
            <w:pPr>
              <w:widowControl/>
              <w:jc w:val="left"/>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rPr>
              <w:t>3、合上倒顺开关后应先观察电压、电流等仪表数据是否正常，发现异常情况立即查明原因</w:t>
            </w:r>
          </w:p>
          <w:p>
            <w:pPr>
              <w:widowControl/>
              <w:jc w:val="left"/>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rPr>
              <w:t>4、当发现某一负荷相运行时，应立即切断电源、查明原因后方可恢复送电</w:t>
            </w:r>
          </w:p>
          <w:p>
            <w:pPr>
              <w:widowControl/>
              <w:jc w:val="left"/>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rPr>
              <w:t>5、加油站现场检修电器线路时，必须在配电屏上悬挂“严禁合闸”警示牌</w:t>
            </w:r>
          </w:p>
          <w:p>
            <w:pPr>
              <w:widowControl/>
              <w:jc w:val="left"/>
              <w:textAlignment w:val="center"/>
              <w:rPr>
                <w:color w:val="000000"/>
                <w:sz w:val="24"/>
              </w:rPr>
            </w:pPr>
            <w:r>
              <w:rPr>
                <w:rFonts w:hint="eastAsia" w:ascii="方正仿宋简体" w:hAnsi="方正仿宋简体" w:eastAsia="方正仿宋简体" w:cs="方正仿宋简体"/>
                <w:color w:val="000000"/>
                <w:sz w:val="24"/>
              </w:rPr>
              <w:t>6、随时关好配电房门窗，防止闲杂人员进入触电造成伤亡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11" w:hRule="atLeast"/>
          <w:jc w:val="center"/>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 w:val="24"/>
              </w:rPr>
            </w:pPr>
          </w:p>
        </w:tc>
        <w:tc>
          <w:tcPr>
            <w:tcW w:w="9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11" w:hRule="atLeast"/>
          <w:jc w:val="center"/>
        </w:trPr>
        <w:tc>
          <w:tcPr>
            <w:tcW w:w="1233"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ascii="方正仿宋简体" w:hAnsi="方正仿宋简体" w:eastAsia="方正仿宋简体" w:cs="方正仿宋简体"/>
                <w:bCs/>
                <w:color w:val="000000"/>
                <w:kern w:val="0"/>
                <w:sz w:val="24"/>
              </w:rPr>
            </w:pPr>
            <w:r>
              <w:rPr>
                <w:rFonts w:hint="eastAsia" w:ascii="方正仿宋简体" w:hAnsi="方正仿宋简体" w:eastAsia="方正仿宋简体" w:cs="方正仿宋简体"/>
                <w:bCs/>
                <w:color w:val="000000"/>
                <w:kern w:val="0"/>
                <w:sz w:val="24"/>
              </w:rPr>
              <w:t>关键操作</w:t>
            </w:r>
          </w:p>
          <w:p>
            <w:pPr>
              <w:widowControl/>
              <w:jc w:val="center"/>
              <w:textAlignment w:val="center"/>
              <w:rPr>
                <w:rFonts w:ascii="方正仿宋简体" w:hAnsi="方正仿宋简体" w:eastAsia="方正仿宋简体" w:cs="方正仿宋简体"/>
                <w:bCs/>
                <w:color w:val="000000"/>
                <w:sz w:val="24"/>
              </w:rPr>
            </w:pPr>
            <w:r>
              <w:rPr>
                <w:rFonts w:hint="eastAsia" w:ascii="方正仿宋简体" w:hAnsi="方正仿宋简体" w:eastAsia="方正仿宋简体" w:cs="方正仿宋简体"/>
                <w:bCs/>
                <w:color w:val="000000"/>
                <w:kern w:val="0"/>
                <w:sz w:val="24"/>
              </w:rPr>
              <w:t>清单</w:t>
            </w:r>
          </w:p>
        </w:tc>
        <w:tc>
          <w:tcPr>
            <w:tcW w:w="9563"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pStyle w:val="2"/>
              <w:numPr>
                <w:ilvl w:val="0"/>
                <w:numId w:val="8"/>
              </w:numPr>
              <w:ind w:firstLine="240"/>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rPr>
              <w:t>接地线是否松动、外壳是否带电</w:t>
            </w:r>
          </w:p>
          <w:p>
            <w:pPr>
              <w:pStyle w:val="2"/>
              <w:numPr>
                <w:ilvl w:val="0"/>
                <w:numId w:val="8"/>
              </w:numPr>
              <w:ind w:firstLine="240"/>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rPr>
              <w:t>操作人员必须佩戴绝缘手套，站在绝缘胶垫上操作</w:t>
            </w:r>
          </w:p>
          <w:p>
            <w:pPr>
              <w:pStyle w:val="2"/>
              <w:numPr>
                <w:ilvl w:val="0"/>
                <w:numId w:val="8"/>
              </w:numPr>
              <w:ind w:firstLine="240"/>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rPr>
              <w:t>检查电压、电流等仪表数据是否正常</w:t>
            </w:r>
          </w:p>
          <w:p>
            <w:pPr>
              <w:pStyle w:val="2"/>
              <w:numPr>
                <w:ilvl w:val="0"/>
                <w:numId w:val="8"/>
              </w:numPr>
              <w:ind w:firstLine="240"/>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rPr>
              <w:t>加油站检修电器线路时，必须在配电屏上悬挂“严禁合闸”警示牌</w:t>
            </w:r>
          </w:p>
          <w:p>
            <w:pPr>
              <w:pStyle w:val="2"/>
              <w:numPr>
                <w:ilvl w:val="0"/>
                <w:numId w:val="8"/>
              </w:numPr>
              <w:ind w:firstLine="240"/>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rPr>
              <w:t>随时关好配电室门窗，禁止闲杂人员进入配电室</w:t>
            </w:r>
          </w:p>
        </w:tc>
      </w:tr>
    </w:tbl>
    <w:p>
      <w:pPr>
        <w:pStyle w:val="2"/>
        <w:ind w:firstLine="0" w:firstLineChars="0"/>
        <w:sectPr>
          <w:footerReference r:id="rId5" w:type="default"/>
          <w:pgSz w:w="11906" w:h="16838"/>
          <w:pgMar w:top="567" w:right="567" w:bottom="567" w:left="567" w:header="851" w:footer="992" w:gutter="0"/>
          <w:cols w:space="720" w:num="1"/>
          <w:docGrid w:type="lines" w:linePitch="312" w:charSpace="0"/>
        </w:sectPr>
      </w:pPr>
    </w:p>
    <w:p>
      <w:pPr>
        <w:adjustRightInd w:val="0"/>
        <w:snapToGrid w:val="0"/>
        <w:spacing w:line="560" w:lineRule="exact"/>
        <w:jc w:val="center"/>
        <w:rPr>
          <w:rFonts w:ascii="方正仿宋简体" w:eastAsia="方正仿宋简体"/>
          <w:sz w:val="32"/>
          <w:szCs w:val="32"/>
        </w:rPr>
      </w:pPr>
      <w:r>
        <w:rPr>
          <w:rFonts w:hint="eastAsia" w:ascii="方正仿宋简体" w:eastAsia="方正仿宋简体"/>
          <w:sz w:val="32"/>
          <w:szCs w:val="32"/>
        </w:rPr>
        <w:t>应急清单</w:t>
      </w:r>
    </w:p>
    <w:p>
      <w:pPr>
        <w:adjustRightInd w:val="0"/>
        <w:snapToGrid w:val="0"/>
        <w:spacing w:line="560" w:lineRule="exact"/>
        <w:jc w:val="center"/>
        <w:rPr>
          <w:rFonts w:ascii="方正仿宋简体" w:eastAsia="方正仿宋简体"/>
          <w:sz w:val="32"/>
          <w:szCs w:val="32"/>
        </w:rPr>
      </w:pPr>
      <w:r>
        <w:rPr>
          <w:rFonts w:hint="eastAsia" w:ascii="方正仿宋简体" w:eastAsia="方正仿宋简体"/>
          <w:sz w:val="32"/>
          <w:szCs w:val="32"/>
        </w:rPr>
        <w:t>应急综合管理清单</w:t>
      </w:r>
    </w:p>
    <w:p>
      <w:pPr>
        <w:pStyle w:val="2"/>
        <w:ind w:firstLine="210"/>
      </w:pPr>
    </w:p>
    <w:tbl>
      <w:tblPr>
        <w:tblStyle w:val="18"/>
        <w:tblpPr w:leftFromText="180" w:rightFromText="180" w:vertAnchor="text" w:horzAnchor="page" w:tblpX="1639" w:tblpY="515"/>
        <w:tblOverlap w:val="never"/>
        <w:tblW w:w="8351"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157"/>
        <w:gridCol w:w="5402"/>
        <w:gridCol w:w="111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673" w:type="dxa"/>
            <w:vAlign w:val="center"/>
          </w:tcPr>
          <w:p>
            <w:pPr>
              <w:widowControl/>
              <w:spacing w:line="240" w:lineRule="exact"/>
              <w:jc w:val="center"/>
              <w:rPr>
                <w:rFonts w:ascii="宋体" w:hAnsi="宋体" w:cs="宋体"/>
                <w:b/>
                <w:color w:val="000000"/>
                <w:kern w:val="0"/>
                <w:szCs w:val="21"/>
              </w:rPr>
            </w:pPr>
            <w:r>
              <w:rPr>
                <w:rFonts w:hint="eastAsia" w:ascii="宋体" w:hAnsi="宋体" w:cs="宋体"/>
                <w:b/>
                <w:color w:val="000000"/>
                <w:kern w:val="0"/>
                <w:szCs w:val="21"/>
              </w:rPr>
              <w:t>序号</w:t>
            </w:r>
          </w:p>
        </w:tc>
        <w:tc>
          <w:tcPr>
            <w:tcW w:w="1157" w:type="dxa"/>
            <w:vAlign w:val="center"/>
          </w:tcPr>
          <w:p>
            <w:pPr>
              <w:widowControl/>
              <w:spacing w:line="240" w:lineRule="exact"/>
              <w:jc w:val="center"/>
              <w:rPr>
                <w:rFonts w:ascii="宋体" w:hAnsi="宋体" w:cs="宋体"/>
                <w:b/>
                <w:color w:val="000000"/>
                <w:kern w:val="0"/>
                <w:szCs w:val="21"/>
              </w:rPr>
            </w:pPr>
          </w:p>
        </w:tc>
        <w:tc>
          <w:tcPr>
            <w:tcW w:w="5402" w:type="dxa"/>
            <w:vAlign w:val="center"/>
          </w:tcPr>
          <w:p>
            <w:pPr>
              <w:widowControl/>
              <w:spacing w:line="240" w:lineRule="exact"/>
              <w:jc w:val="center"/>
              <w:rPr>
                <w:rFonts w:ascii="宋体" w:hAnsi="宋体" w:cs="宋体"/>
                <w:b/>
                <w:color w:val="000000"/>
                <w:kern w:val="0"/>
                <w:szCs w:val="21"/>
              </w:rPr>
            </w:pPr>
            <w:r>
              <w:rPr>
                <w:rFonts w:hint="eastAsia" w:ascii="宋体" w:hAnsi="宋体" w:cs="宋体"/>
                <w:b/>
                <w:color w:val="000000"/>
                <w:kern w:val="0"/>
                <w:szCs w:val="21"/>
              </w:rPr>
              <w:t>内容</w:t>
            </w:r>
          </w:p>
        </w:tc>
        <w:tc>
          <w:tcPr>
            <w:tcW w:w="1119" w:type="dxa"/>
            <w:vAlign w:val="center"/>
          </w:tcPr>
          <w:p>
            <w:pPr>
              <w:widowControl/>
              <w:spacing w:line="240" w:lineRule="exact"/>
              <w:jc w:val="center"/>
              <w:rPr>
                <w:rFonts w:ascii="宋体" w:hAnsi="宋体" w:cs="宋体"/>
                <w:b/>
                <w:color w:val="000000"/>
                <w:kern w:val="0"/>
                <w:szCs w:val="21"/>
              </w:rPr>
            </w:pPr>
            <w:r>
              <w:rPr>
                <w:rFonts w:hint="eastAsia" w:ascii="宋体" w:hAnsi="宋体" w:cs="宋体"/>
                <w:b/>
                <w:color w:val="000000"/>
                <w:kern w:val="0"/>
                <w:szCs w:val="21"/>
              </w:rPr>
              <w:t>备注</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blHeader/>
        </w:trPr>
        <w:tc>
          <w:tcPr>
            <w:tcW w:w="673" w:type="dxa"/>
            <w:vMerge w:val="restart"/>
            <w:vAlign w:val="center"/>
          </w:tcPr>
          <w:p>
            <w:pPr>
              <w:widowControl/>
              <w:numPr>
                <w:ilvl w:val="0"/>
                <w:numId w:val="9"/>
              </w:numPr>
              <w:spacing w:line="240" w:lineRule="exact"/>
              <w:jc w:val="center"/>
              <w:rPr>
                <w:rFonts w:asciiTheme="minorEastAsia" w:hAnsiTheme="minorEastAsia" w:cstheme="minorEastAsia"/>
                <w:color w:val="000000"/>
                <w:kern w:val="0"/>
                <w:sz w:val="18"/>
                <w:szCs w:val="18"/>
              </w:rPr>
            </w:pPr>
          </w:p>
        </w:tc>
        <w:tc>
          <w:tcPr>
            <w:tcW w:w="1157" w:type="dxa"/>
            <w:vMerge w:val="restart"/>
            <w:vAlign w:val="center"/>
          </w:tcPr>
          <w:p>
            <w:pPr>
              <w:widowControl/>
              <w:spacing w:line="240" w:lineRule="exact"/>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应急组织机构</w:t>
            </w:r>
          </w:p>
        </w:tc>
        <w:tc>
          <w:tcPr>
            <w:tcW w:w="5402" w:type="dxa"/>
            <w:vAlign w:val="center"/>
          </w:tcPr>
          <w:p>
            <w:pPr>
              <w:spacing w:line="240" w:lineRule="exact"/>
              <w:jc w:val="left"/>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cstheme="minorEastAsia"/>
                <w:color w:val="000000"/>
                <w:kern w:val="0"/>
                <w:sz w:val="18"/>
                <w:szCs w:val="18"/>
              </w:rPr>
              <w:t>总指挥：</w:t>
            </w:r>
            <w:r>
              <w:rPr>
                <w:rFonts w:hint="eastAsia" w:asciiTheme="minorEastAsia" w:hAnsiTheme="minorEastAsia" w:cstheme="minorEastAsia"/>
                <w:color w:val="000000"/>
                <w:kern w:val="0"/>
                <w:sz w:val="18"/>
                <w:szCs w:val="18"/>
                <w:lang w:val="en-US" w:eastAsia="zh-CN"/>
              </w:rPr>
              <w:t>刘沧锐</w:t>
            </w:r>
          </w:p>
        </w:tc>
        <w:tc>
          <w:tcPr>
            <w:tcW w:w="1119" w:type="dxa"/>
            <w:vAlign w:val="center"/>
          </w:tcPr>
          <w:p>
            <w:pPr>
              <w:spacing w:line="240" w:lineRule="exact"/>
              <w:jc w:val="left"/>
              <w:rPr>
                <w:rFonts w:asciiTheme="minorEastAsia" w:hAnsiTheme="minorEastAsia" w:cstheme="minorEastAsia"/>
                <w:color w:val="000000"/>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blHeader/>
        </w:trPr>
        <w:tc>
          <w:tcPr>
            <w:tcW w:w="673" w:type="dxa"/>
            <w:vMerge w:val="continue"/>
            <w:vAlign w:val="center"/>
          </w:tcPr>
          <w:p>
            <w:pPr>
              <w:widowControl/>
              <w:tabs>
                <w:tab w:val="left" w:pos="420"/>
              </w:tabs>
              <w:spacing w:line="240" w:lineRule="exact"/>
              <w:jc w:val="center"/>
              <w:rPr>
                <w:rFonts w:asciiTheme="minorEastAsia" w:hAnsiTheme="minorEastAsia" w:cstheme="minorEastAsia"/>
                <w:color w:val="000000"/>
                <w:kern w:val="0"/>
                <w:sz w:val="18"/>
                <w:szCs w:val="18"/>
              </w:rPr>
            </w:pPr>
          </w:p>
        </w:tc>
        <w:tc>
          <w:tcPr>
            <w:tcW w:w="1157" w:type="dxa"/>
            <w:vMerge w:val="continue"/>
            <w:vAlign w:val="center"/>
          </w:tcPr>
          <w:p>
            <w:pPr>
              <w:widowControl/>
              <w:spacing w:line="240" w:lineRule="exact"/>
              <w:jc w:val="center"/>
              <w:rPr>
                <w:rFonts w:asciiTheme="minorEastAsia" w:hAnsiTheme="minorEastAsia" w:cstheme="minorEastAsia"/>
                <w:color w:val="000000"/>
                <w:kern w:val="0"/>
                <w:sz w:val="18"/>
                <w:szCs w:val="18"/>
              </w:rPr>
            </w:pPr>
          </w:p>
        </w:tc>
        <w:tc>
          <w:tcPr>
            <w:tcW w:w="5402" w:type="dxa"/>
            <w:vAlign w:val="center"/>
          </w:tcPr>
          <w:p>
            <w:pPr>
              <w:spacing w:line="340" w:lineRule="exact"/>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rPr>
              <w:t>抢险救援组：</w:t>
            </w:r>
            <w:r>
              <w:rPr>
                <w:rFonts w:hint="eastAsia" w:asciiTheme="minorEastAsia" w:hAnsiTheme="minorEastAsia" w:cstheme="minorEastAsia"/>
                <w:sz w:val="18"/>
                <w:szCs w:val="18"/>
                <w:lang w:val="en-US" w:eastAsia="zh-CN"/>
              </w:rPr>
              <w:t>刘沧锐 刘波、母小菊</w:t>
            </w:r>
          </w:p>
          <w:p>
            <w:pPr>
              <w:pStyle w:val="2"/>
              <w:ind w:firstLine="0" w:firstLineChars="0"/>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后勤通讯组：</w:t>
            </w:r>
            <w:r>
              <w:rPr>
                <w:rFonts w:hint="eastAsia" w:asciiTheme="minorEastAsia" w:hAnsiTheme="minorEastAsia" w:eastAsiaTheme="minorEastAsia" w:cstheme="minorEastAsia"/>
                <w:color w:val="000000"/>
                <w:sz w:val="18"/>
                <w:szCs w:val="18"/>
                <w:lang w:val="en-US" w:eastAsia="zh-CN"/>
              </w:rPr>
              <w:t>刘波、母小菊</w:t>
            </w:r>
          </w:p>
          <w:p>
            <w:pPr>
              <w:pStyle w:val="2"/>
              <w:ind w:firstLine="0" w:firstLineChars="0"/>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警戒疏散组：</w:t>
            </w:r>
            <w:r>
              <w:rPr>
                <w:rFonts w:hint="eastAsia" w:asciiTheme="minorEastAsia" w:hAnsiTheme="minorEastAsia" w:eastAsiaTheme="minorEastAsia" w:cstheme="minorEastAsia"/>
                <w:color w:val="000000"/>
                <w:sz w:val="18"/>
                <w:szCs w:val="18"/>
                <w:lang w:val="en-US" w:eastAsia="zh-CN"/>
              </w:rPr>
              <w:t>刘沧锐</w:t>
            </w:r>
          </w:p>
        </w:tc>
        <w:tc>
          <w:tcPr>
            <w:tcW w:w="1119" w:type="dxa"/>
            <w:vAlign w:val="center"/>
          </w:tcPr>
          <w:p>
            <w:pPr>
              <w:spacing w:line="240" w:lineRule="exact"/>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当班加油员</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5587" w:hRule="atLeast"/>
          <w:tblHeader/>
        </w:trPr>
        <w:tc>
          <w:tcPr>
            <w:tcW w:w="673" w:type="dxa"/>
            <w:vAlign w:val="center"/>
          </w:tcPr>
          <w:p>
            <w:pPr>
              <w:widowControl/>
              <w:numPr>
                <w:ilvl w:val="0"/>
                <w:numId w:val="9"/>
              </w:numPr>
              <w:spacing w:line="240" w:lineRule="exact"/>
              <w:jc w:val="center"/>
              <w:rPr>
                <w:rFonts w:asciiTheme="minorEastAsia" w:hAnsiTheme="minorEastAsia" w:cstheme="minorEastAsia"/>
                <w:color w:val="000000"/>
                <w:kern w:val="0"/>
                <w:sz w:val="18"/>
                <w:szCs w:val="18"/>
              </w:rPr>
            </w:pPr>
          </w:p>
        </w:tc>
        <w:tc>
          <w:tcPr>
            <w:tcW w:w="1157" w:type="dxa"/>
            <w:vAlign w:val="center"/>
          </w:tcPr>
          <w:p>
            <w:pPr>
              <w:widowControl/>
              <w:spacing w:line="240" w:lineRule="exact"/>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预案修订与备案</w:t>
            </w:r>
          </w:p>
        </w:tc>
        <w:tc>
          <w:tcPr>
            <w:tcW w:w="5402" w:type="dxa"/>
            <w:vAlign w:val="center"/>
          </w:tcPr>
          <w:p>
            <w:pPr>
              <w:widowControl/>
              <w:adjustRightInd w:val="0"/>
              <w:snapToGrid w:val="0"/>
              <w:spacing w:line="360" w:lineRule="auto"/>
              <w:ind w:firstLine="360" w:firstLineChars="200"/>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1）依据的法律、法规、规章、标准及上位预案中的有关规定发生重大变化的；</w:t>
            </w:r>
          </w:p>
          <w:p>
            <w:pPr>
              <w:widowControl/>
              <w:adjustRightInd w:val="0"/>
              <w:snapToGrid w:val="0"/>
              <w:spacing w:line="360" w:lineRule="auto"/>
              <w:ind w:firstLine="360" w:firstLineChars="200"/>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2）应急指挥机构及其职责发生调整的；</w:t>
            </w:r>
          </w:p>
          <w:p>
            <w:pPr>
              <w:widowControl/>
              <w:adjustRightInd w:val="0"/>
              <w:snapToGrid w:val="0"/>
              <w:spacing w:line="360" w:lineRule="auto"/>
              <w:ind w:firstLine="360" w:firstLineChars="200"/>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3）面临的事故风险发生重大变化的；</w:t>
            </w:r>
          </w:p>
          <w:p>
            <w:pPr>
              <w:widowControl/>
              <w:adjustRightInd w:val="0"/>
              <w:snapToGrid w:val="0"/>
              <w:spacing w:line="360" w:lineRule="auto"/>
              <w:ind w:firstLine="360" w:firstLineChars="200"/>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4）重要应急资源发生重大变化的；</w:t>
            </w:r>
          </w:p>
          <w:p>
            <w:pPr>
              <w:widowControl/>
              <w:tabs>
                <w:tab w:val="center" w:pos="4819"/>
              </w:tabs>
              <w:adjustRightInd w:val="0"/>
              <w:snapToGrid w:val="0"/>
              <w:spacing w:line="360" w:lineRule="auto"/>
              <w:ind w:firstLine="360" w:firstLineChars="200"/>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5）预案中的其他重要信息发生变化的；</w:t>
            </w:r>
            <w:r>
              <w:rPr>
                <w:rFonts w:hint="eastAsia" w:asciiTheme="minorEastAsia" w:hAnsiTheme="minorEastAsia" w:cstheme="minorEastAsia"/>
                <w:color w:val="000000"/>
                <w:kern w:val="0"/>
                <w:sz w:val="18"/>
                <w:szCs w:val="18"/>
              </w:rPr>
              <w:tab/>
            </w:r>
          </w:p>
          <w:p>
            <w:pPr>
              <w:widowControl/>
              <w:adjustRightInd w:val="0"/>
              <w:snapToGrid w:val="0"/>
              <w:spacing w:line="360" w:lineRule="auto"/>
              <w:ind w:firstLine="360" w:firstLineChars="200"/>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6）在应急演练和事故应急救援中发现问题需要修订的；</w:t>
            </w:r>
          </w:p>
          <w:p>
            <w:pPr>
              <w:widowControl/>
              <w:adjustRightInd w:val="0"/>
              <w:snapToGrid w:val="0"/>
              <w:spacing w:line="360" w:lineRule="auto"/>
              <w:ind w:firstLine="360" w:firstLineChars="200"/>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7）本加油站认为应当修订的其他情况。</w:t>
            </w:r>
          </w:p>
          <w:p>
            <w:pPr>
              <w:widowControl/>
              <w:adjustRightInd w:val="0"/>
              <w:snapToGrid w:val="0"/>
              <w:spacing w:line="360" w:lineRule="auto"/>
              <w:ind w:firstLine="360" w:firstLineChars="200"/>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8）建立应急预案定期评估制度，每三年进行一次应急预案评估，对预案内容的针对性和实用性进行分析，并对应急预案是否需要修订作出结论。</w:t>
            </w:r>
          </w:p>
          <w:p>
            <w:pPr>
              <w:widowControl/>
              <w:adjustRightInd w:val="0"/>
              <w:snapToGrid w:val="0"/>
              <w:spacing w:line="360" w:lineRule="auto"/>
              <w:ind w:firstLine="360" w:firstLineChars="200"/>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9）应急预案评估可以邀请相关专业机构或者有关专家、有实际应急救援工作经验的人员参加，必要时可以委托安全生产技术服务机构实施。</w:t>
            </w:r>
          </w:p>
          <w:p>
            <w:pPr>
              <w:widowControl/>
              <w:adjustRightInd w:val="0"/>
              <w:snapToGrid w:val="0"/>
              <w:spacing w:line="360" w:lineRule="auto"/>
              <w:ind w:firstLine="360" w:firstLineChars="200"/>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10）修改后的预案要及时报属地应急管理局备案，并通报当地应急协作单位。</w:t>
            </w:r>
          </w:p>
          <w:p>
            <w:pPr>
              <w:spacing w:line="240" w:lineRule="exact"/>
              <w:jc w:val="left"/>
              <w:rPr>
                <w:rFonts w:asciiTheme="minorEastAsia" w:hAnsiTheme="minorEastAsia" w:cstheme="minorEastAsia"/>
                <w:color w:val="000000"/>
                <w:kern w:val="0"/>
                <w:sz w:val="18"/>
                <w:szCs w:val="18"/>
              </w:rPr>
            </w:pPr>
          </w:p>
        </w:tc>
        <w:tc>
          <w:tcPr>
            <w:tcW w:w="1119" w:type="dxa"/>
            <w:vAlign w:val="center"/>
          </w:tcPr>
          <w:p>
            <w:pPr>
              <w:spacing w:line="240" w:lineRule="exact"/>
              <w:jc w:val="left"/>
              <w:rPr>
                <w:rFonts w:asciiTheme="minorEastAsia" w:hAnsiTheme="minorEastAsia" w:cstheme="minorEastAsia"/>
                <w:sz w:val="18"/>
                <w:szCs w:val="18"/>
              </w:rPr>
            </w:pPr>
            <w:r>
              <w:rPr>
                <w:rFonts w:hint="eastAsia" w:asciiTheme="minorEastAsia" w:hAnsiTheme="minorEastAsia" w:cstheme="minorEastAsia"/>
                <w:sz w:val="18"/>
                <w:szCs w:val="18"/>
              </w:rPr>
              <w:t>急预案经评审后，由本单位主要负责人签署公布之日起20个工作日内报属地应急管理局备案，并通报当地应急协作单位。</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936" w:hRule="atLeast"/>
          <w:tblHeader/>
        </w:trPr>
        <w:tc>
          <w:tcPr>
            <w:tcW w:w="673" w:type="dxa"/>
            <w:vAlign w:val="center"/>
          </w:tcPr>
          <w:p>
            <w:pPr>
              <w:widowControl/>
              <w:numPr>
                <w:ilvl w:val="0"/>
                <w:numId w:val="9"/>
              </w:numPr>
              <w:spacing w:line="240" w:lineRule="exact"/>
              <w:jc w:val="center"/>
              <w:rPr>
                <w:rFonts w:asciiTheme="minorEastAsia" w:hAnsiTheme="minorEastAsia" w:cstheme="minorEastAsia"/>
                <w:color w:val="000000"/>
                <w:kern w:val="0"/>
                <w:sz w:val="18"/>
                <w:szCs w:val="18"/>
              </w:rPr>
            </w:pPr>
          </w:p>
        </w:tc>
        <w:tc>
          <w:tcPr>
            <w:tcW w:w="1157" w:type="dxa"/>
            <w:vAlign w:val="center"/>
          </w:tcPr>
          <w:p>
            <w:pPr>
              <w:widowControl/>
              <w:spacing w:line="240" w:lineRule="exact"/>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信息报告流程</w:t>
            </w:r>
          </w:p>
        </w:tc>
        <w:tc>
          <w:tcPr>
            <w:tcW w:w="5402" w:type="dxa"/>
            <w:vAlign w:val="center"/>
          </w:tcPr>
          <w:p>
            <w:pPr>
              <w:spacing w:line="600" w:lineRule="auto"/>
              <w:jc w:val="left"/>
              <w:rPr>
                <w:rFonts w:asciiTheme="minorEastAsia" w:hAnsiTheme="minorEastAsia" w:cstheme="minorEastAsia"/>
                <w:color w:val="000000"/>
                <w:kern w:val="0"/>
                <w:sz w:val="18"/>
                <w:szCs w:val="18"/>
              </w:rPr>
            </w:pPr>
            <w:r>
              <w:rPr>
                <w:rFonts w:hint="eastAsia" w:asciiTheme="minorEastAsia" w:hAnsiTheme="minorEastAsia" w:cstheme="minorEastAsia"/>
                <w:sz w:val="18"/>
                <w:szCs w:val="18"/>
              </w:rPr>
              <w:drawing>
                <wp:inline distT="0" distB="0" distL="114300" distR="114300">
                  <wp:extent cx="2856230" cy="1140460"/>
                  <wp:effectExtent l="0" t="0" r="1270" b="2540"/>
                  <wp:docPr id="1" name="图片 1" descr="企业微信截图_16024733318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企业微信截图_16024733318763"/>
                          <pic:cNvPicPr>
                            <a:picLocks noChangeAspect="1"/>
                          </pic:cNvPicPr>
                        </pic:nvPicPr>
                        <pic:blipFill>
                          <a:blip r:embed="rId10" cstate="print"/>
                          <a:stretch>
                            <a:fillRect/>
                          </a:stretch>
                        </pic:blipFill>
                        <pic:spPr>
                          <a:xfrm>
                            <a:off x="0" y="0"/>
                            <a:ext cx="2856230" cy="1140460"/>
                          </a:xfrm>
                          <a:prstGeom prst="rect">
                            <a:avLst/>
                          </a:prstGeom>
                        </pic:spPr>
                      </pic:pic>
                    </a:graphicData>
                  </a:graphic>
                </wp:inline>
              </w:drawing>
            </w:r>
          </w:p>
        </w:tc>
        <w:tc>
          <w:tcPr>
            <w:tcW w:w="1119" w:type="dxa"/>
            <w:vAlign w:val="center"/>
          </w:tcPr>
          <w:p>
            <w:pPr>
              <w:spacing w:line="240" w:lineRule="exact"/>
              <w:jc w:val="left"/>
              <w:rPr>
                <w:rFonts w:asciiTheme="minorEastAsia" w:hAnsiTheme="minorEastAsia" w:cstheme="minorEastAsia"/>
                <w:sz w:val="18"/>
                <w:szCs w:val="1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blHeader/>
        </w:trPr>
        <w:tc>
          <w:tcPr>
            <w:tcW w:w="673" w:type="dxa"/>
            <w:vMerge w:val="restart"/>
            <w:vAlign w:val="center"/>
          </w:tcPr>
          <w:p>
            <w:pPr>
              <w:widowControl/>
              <w:numPr>
                <w:ilvl w:val="0"/>
                <w:numId w:val="9"/>
              </w:numPr>
              <w:spacing w:line="240" w:lineRule="exact"/>
              <w:jc w:val="center"/>
              <w:rPr>
                <w:rFonts w:asciiTheme="minorEastAsia" w:hAnsiTheme="minorEastAsia" w:cstheme="minorEastAsia"/>
                <w:color w:val="000000"/>
                <w:kern w:val="0"/>
                <w:sz w:val="18"/>
                <w:szCs w:val="18"/>
              </w:rPr>
            </w:pPr>
          </w:p>
        </w:tc>
        <w:tc>
          <w:tcPr>
            <w:tcW w:w="1157" w:type="dxa"/>
            <w:vMerge w:val="restart"/>
            <w:vAlign w:val="center"/>
          </w:tcPr>
          <w:p>
            <w:pPr>
              <w:widowControl/>
              <w:spacing w:line="240" w:lineRule="exact"/>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应急预案体系</w:t>
            </w:r>
          </w:p>
        </w:tc>
        <w:tc>
          <w:tcPr>
            <w:tcW w:w="5402" w:type="dxa"/>
            <w:vAlign w:val="center"/>
          </w:tcPr>
          <w:p>
            <w:pPr>
              <w:widowControl/>
              <w:adjustRightInd w:val="0"/>
              <w:snapToGrid w:val="0"/>
              <w:spacing w:line="360" w:lineRule="auto"/>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安全生产事故综合应急预案</w:t>
            </w:r>
          </w:p>
          <w:p>
            <w:pPr>
              <w:spacing w:line="240" w:lineRule="exact"/>
              <w:jc w:val="left"/>
              <w:rPr>
                <w:rFonts w:asciiTheme="minorEastAsia" w:hAnsiTheme="minorEastAsia" w:cstheme="minorEastAsia"/>
                <w:color w:val="000000"/>
                <w:kern w:val="0"/>
                <w:sz w:val="18"/>
                <w:szCs w:val="18"/>
              </w:rPr>
            </w:pPr>
          </w:p>
        </w:tc>
        <w:tc>
          <w:tcPr>
            <w:tcW w:w="1119" w:type="dxa"/>
            <w:vAlign w:val="center"/>
          </w:tcPr>
          <w:p>
            <w:pPr>
              <w:spacing w:line="240" w:lineRule="exact"/>
              <w:jc w:val="left"/>
              <w:rPr>
                <w:rFonts w:asciiTheme="minorEastAsia" w:hAnsiTheme="minorEastAsia" w:cstheme="minorEastAsia"/>
                <w:sz w:val="18"/>
                <w:szCs w:val="1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blHeader/>
        </w:trPr>
        <w:tc>
          <w:tcPr>
            <w:tcW w:w="673" w:type="dxa"/>
            <w:vMerge w:val="continue"/>
            <w:vAlign w:val="center"/>
          </w:tcPr>
          <w:p>
            <w:pPr>
              <w:widowControl/>
              <w:tabs>
                <w:tab w:val="left" w:pos="420"/>
              </w:tabs>
              <w:spacing w:line="240" w:lineRule="exact"/>
              <w:jc w:val="center"/>
              <w:rPr>
                <w:rFonts w:asciiTheme="minorEastAsia" w:hAnsiTheme="minorEastAsia" w:cstheme="minorEastAsia"/>
                <w:color w:val="000000"/>
                <w:kern w:val="0"/>
                <w:sz w:val="18"/>
                <w:szCs w:val="18"/>
              </w:rPr>
            </w:pPr>
          </w:p>
        </w:tc>
        <w:tc>
          <w:tcPr>
            <w:tcW w:w="1157" w:type="dxa"/>
            <w:vMerge w:val="continue"/>
            <w:vAlign w:val="center"/>
          </w:tcPr>
          <w:p>
            <w:pPr>
              <w:widowControl/>
              <w:spacing w:line="240" w:lineRule="exact"/>
              <w:jc w:val="center"/>
              <w:rPr>
                <w:rFonts w:asciiTheme="minorEastAsia" w:hAnsiTheme="minorEastAsia" w:cstheme="minorEastAsia"/>
                <w:color w:val="000000"/>
                <w:kern w:val="0"/>
                <w:sz w:val="18"/>
                <w:szCs w:val="18"/>
              </w:rPr>
            </w:pPr>
          </w:p>
        </w:tc>
        <w:tc>
          <w:tcPr>
            <w:tcW w:w="5402" w:type="dxa"/>
            <w:vAlign w:val="center"/>
          </w:tcPr>
          <w:p>
            <w:pPr>
              <w:widowControl/>
              <w:adjustRightInd w:val="0"/>
              <w:snapToGrid w:val="0"/>
              <w:spacing w:line="360" w:lineRule="auto"/>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安全生产事故现场处置方案</w:t>
            </w:r>
          </w:p>
          <w:p>
            <w:pPr>
              <w:widowControl/>
              <w:adjustRightInd w:val="0"/>
              <w:snapToGrid w:val="0"/>
              <w:spacing w:line="360" w:lineRule="auto"/>
              <w:rPr>
                <w:rFonts w:asciiTheme="minorEastAsia" w:hAnsiTheme="minorEastAsia" w:cstheme="minorEastAsia"/>
                <w:b/>
                <w:kern w:val="0"/>
                <w:sz w:val="18"/>
                <w:szCs w:val="18"/>
              </w:rPr>
            </w:pPr>
            <w:r>
              <w:rPr>
                <w:rFonts w:hint="eastAsia" w:asciiTheme="minorEastAsia" w:hAnsiTheme="minorEastAsia" w:cstheme="minorEastAsia"/>
                <w:b/>
                <w:sz w:val="18"/>
                <w:szCs w:val="18"/>
              </w:rPr>
              <w:t>一、火灾爆炸现场</w:t>
            </w:r>
            <w:r>
              <w:rPr>
                <w:rFonts w:hint="eastAsia" w:asciiTheme="minorEastAsia" w:hAnsiTheme="minorEastAsia" w:cstheme="minorEastAsia"/>
                <w:b/>
                <w:bCs/>
                <w:sz w:val="18"/>
                <w:szCs w:val="18"/>
              </w:rPr>
              <w:t>处置方案</w:t>
            </w:r>
          </w:p>
          <w:p>
            <w:pPr>
              <w:widowControl/>
              <w:adjustRightInd w:val="0"/>
              <w:snapToGrid w:val="0"/>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1 卸油作业起火应急处置方案</w:t>
            </w:r>
          </w:p>
          <w:p>
            <w:pPr>
              <w:widowControl/>
              <w:adjustRightInd w:val="0"/>
              <w:snapToGrid w:val="0"/>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2 加油车辆起火应急处置方案</w:t>
            </w:r>
          </w:p>
          <w:p>
            <w:pPr>
              <w:widowControl/>
              <w:adjustRightInd w:val="0"/>
              <w:snapToGrid w:val="0"/>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3 加油机起火应急处置方案</w:t>
            </w:r>
          </w:p>
          <w:p>
            <w:pPr>
              <w:widowControl/>
              <w:adjustRightInd w:val="0"/>
              <w:snapToGrid w:val="0"/>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4 埋地油罐口起火应急处置方案</w:t>
            </w:r>
          </w:p>
          <w:p>
            <w:pPr>
              <w:widowControl/>
              <w:adjustRightInd w:val="0"/>
              <w:snapToGrid w:val="0"/>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5 电器火灾应急处置方案</w:t>
            </w:r>
          </w:p>
          <w:p>
            <w:pPr>
              <w:widowControl/>
              <w:adjustRightInd w:val="0"/>
              <w:snapToGrid w:val="0"/>
              <w:spacing w:line="360" w:lineRule="auto"/>
              <w:rPr>
                <w:rFonts w:asciiTheme="minorEastAsia" w:hAnsiTheme="minorEastAsia" w:cstheme="minorEastAsia"/>
                <w:b/>
                <w:sz w:val="18"/>
                <w:szCs w:val="18"/>
              </w:rPr>
            </w:pPr>
            <w:r>
              <w:rPr>
                <w:rFonts w:hint="eastAsia" w:asciiTheme="minorEastAsia" w:hAnsiTheme="minorEastAsia" w:cstheme="minorEastAsia"/>
                <w:b/>
                <w:sz w:val="18"/>
                <w:szCs w:val="18"/>
              </w:rPr>
              <w:t>二、油品泄漏现场处置方案</w:t>
            </w:r>
          </w:p>
          <w:p>
            <w:pPr>
              <w:widowControl/>
              <w:adjustRightInd w:val="0"/>
              <w:snapToGrid w:val="0"/>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6 加油作业跑冒油事件应急处置方案</w:t>
            </w:r>
          </w:p>
          <w:p>
            <w:pPr>
              <w:widowControl/>
              <w:adjustRightInd w:val="0"/>
              <w:snapToGrid w:val="0"/>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7 卸油作业中发生跑冒油事件应急处置方案</w:t>
            </w:r>
          </w:p>
          <w:p>
            <w:pPr>
              <w:widowControl/>
              <w:adjustRightInd w:val="0"/>
              <w:snapToGrid w:val="0"/>
              <w:spacing w:line="360" w:lineRule="auto"/>
              <w:rPr>
                <w:rFonts w:asciiTheme="minorEastAsia" w:hAnsiTheme="minorEastAsia" w:cstheme="minorEastAsia"/>
                <w:b/>
                <w:sz w:val="18"/>
                <w:szCs w:val="18"/>
              </w:rPr>
            </w:pPr>
            <w:r>
              <w:rPr>
                <w:rFonts w:hint="eastAsia" w:asciiTheme="minorEastAsia" w:hAnsiTheme="minorEastAsia" w:cstheme="minorEastAsia"/>
                <w:b/>
                <w:sz w:val="18"/>
                <w:szCs w:val="18"/>
              </w:rPr>
              <w:t>三、人员伤害事件现场处置方案</w:t>
            </w:r>
          </w:p>
          <w:p>
            <w:pPr>
              <w:widowControl/>
              <w:adjustRightInd w:val="0"/>
              <w:snapToGrid w:val="0"/>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8 人员伤害（触电、车辆伤害、高处坠落）应急处置方案</w:t>
            </w:r>
          </w:p>
          <w:p>
            <w:pPr>
              <w:widowControl/>
              <w:adjustRightInd w:val="0"/>
              <w:snapToGrid w:val="0"/>
              <w:spacing w:line="360" w:lineRule="auto"/>
              <w:rPr>
                <w:rFonts w:asciiTheme="minorEastAsia" w:hAnsiTheme="minorEastAsia" w:cstheme="minorEastAsia"/>
                <w:b/>
                <w:sz w:val="18"/>
                <w:szCs w:val="18"/>
              </w:rPr>
            </w:pPr>
            <w:r>
              <w:rPr>
                <w:rFonts w:hint="eastAsia" w:asciiTheme="minorEastAsia" w:hAnsiTheme="minorEastAsia" w:cstheme="minorEastAsia"/>
                <w:b/>
                <w:sz w:val="18"/>
                <w:szCs w:val="18"/>
              </w:rPr>
              <w:t>四、公共卫生事件现场处置方案</w:t>
            </w:r>
          </w:p>
          <w:p>
            <w:pPr>
              <w:widowControl/>
              <w:adjustRightInd w:val="0"/>
              <w:snapToGrid w:val="0"/>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9 急性职业中毒应急处置方案</w:t>
            </w:r>
          </w:p>
          <w:p>
            <w:pPr>
              <w:spacing w:line="240" w:lineRule="exact"/>
              <w:jc w:val="left"/>
              <w:rPr>
                <w:rFonts w:asciiTheme="minorEastAsia" w:hAnsiTheme="minorEastAsia" w:cstheme="minorEastAsia"/>
                <w:color w:val="000000"/>
                <w:kern w:val="0"/>
                <w:sz w:val="18"/>
                <w:szCs w:val="18"/>
              </w:rPr>
            </w:pPr>
          </w:p>
        </w:tc>
        <w:tc>
          <w:tcPr>
            <w:tcW w:w="1119" w:type="dxa"/>
            <w:vAlign w:val="center"/>
          </w:tcPr>
          <w:p>
            <w:pPr>
              <w:spacing w:line="240" w:lineRule="exact"/>
              <w:jc w:val="left"/>
              <w:rPr>
                <w:rFonts w:asciiTheme="minorEastAsia" w:hAnsiTheme="minorEastAsia" w:cstheme="minorEastAsia"/>
                <w:sz w:val="18"/>
                <w:szCs w:val="1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blHeader/>
        </w:trPr>
        <w:tc>
          <w:tcPr>
            <w:tcW w:w="673" w:type="dxa"/>
            <w:vAlign w:val="center"/>
          </w:tcPr>
          <w:p>
            <w:pPr>
              <w:widowControl/>
              <w:tabs>
                <w:tab w:val="left" w:pos="420"/>
              </w:tabs>
              <w:spacing w:line="240" w:lineRule="exact"/>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w:t>
            </w:r>
          </w:p>
        </w:tc>
        <w:tc>
          <w:tcPr>
            <w:tcW w:w="1157" w:type="dxa"/>
            <w:vAlign w:val="center"/>
          </w:tcPr>
          <w:p>
            <w:pPr>
              <w:widowControl/>
              <w:spacing w:line="240" w:lineRule="exact"/>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应急救援组织职责</w:t>
            </w:r>
          </w:p>
        </w:tc>
        <w:tc>
          <w:tcPr>
            <w:tcW w:w="5402" w:type="dxa"/>
            <w:vAlign w:val="center"/>
          </w:tcPr>
          <w:p>
            <w:pPr>
              <w:numPr>
                <w:ilvl w:val="0"/>
                <w:numId w:val="10"/>
              </w:numPr>
              <w:spacing w:line="240" w:lineRule="exact"/>
              <w:jc w:val="left"/>
              <w:rPr>
                <w:rFonts w:asciiTheme="minorEastAsia" w:hAnsiTheme="minorEastAsia" w:cstheme="minorEastAsia"/>
                <w:sz w:val="18"/>
                <w:szCs w:val="18"/>
              </w:rPr>
            </w:pPr>
            <w:r>
              <w:rPr>
                <w:rFonts w:hint="eastAsia" w:asciiTheme="minorEastAsia" w:hAnsiTheme="minorEastAsia" w:cstheme="minorEastAsia"/>
                <w:sz w:val="18"/>
                <w:szCs w:val="18"/>
              </w:rPr>
              <w:t>接受政府相关部门指令调动</w:t>
            </w:r>
          </w:p>
          <w:p>
            <w:pPr>
              <w:pStyle w:val="2"/>
              <w:numPr>
                <w:ilvl w:val="0"/>
                <w:numId w:val="10"/>
              </w:numPr>
              <w:ind w:firstLine="18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负责人员、资源配置、应急队伍的调动</w:t>
            </w:r>
          </w:p>
          <w:p>
            <w:pPr>
              <w:pStyle w:val="2"/>
              <w:numPr>
                <w:ilvl w:val="0"/>
                <w:numId w:val="10"/>
              </w:numPr>
              <w:ind w:firstLine="18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负责救援的决策和指挥，组织协调现场的救援工作</w:t>
            </w:r>
          </w:p>
          <w:p>
            <w:pPr>
              <w:pStyle w:val="2"/>
              <w:numPr>
                <w:ilvl w:val="0"/>
                <w:numId w:val="10"/>
              </w:numPr>
              <w:ind w:firstLine="18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启动和终止应急预案</w:t>
            </w:r>
          </w:p>
          <w:p>
            <w:pPr>
              <w:pStyle w:val="2"/>
              <w:numPr>
                <w:ilvl w:val="0"/>
                <w:numId w:val="10"/>
              </w:numPr>
              <w:ind w:firstLine="18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协调与外部应急力量、相关政府部门等关系，必要时提请政府部门启动加油站外应急响应</w:t>
            </w:r>
          </w:p>
          <w:p>
            <w:pPr>
              <w:pStyle w:val="2"/>
              <w:numPr>
                <w:ilvl w:val="0"/>
                <w:numId w:val="10"/>
              </w:numPr>
              <w:ind w:firstLine="18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负责通讯联络</w:t>
            </w:r>
          </w:p>
          <w:p>
            <w:pPr>
              <w:pStyle w:val="2"/>
              <w:numPr>
                <w:ilvl w:val="0"/>
                <w:numId w:val="10"/>
              </w:numPr>
              <w:ind w:firstLine="18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事故信息及总结的上报</w:t>
            </w:r>
          </w:p>
        </w:tc>
        <w:tc>
          <w:tcPr>
            <w:tcW w:w="1119" w:type="dxa"/>
            <w:vAlign w:val="center"/>
          </w:tcPr>
          <w:p>
            <w:pPr>
              <w:spacing w:line="240" w:lineRule="exact"/>
              <w:jc w:val="left"/>
              <w:rPr>
                <w:rFonts w:asciiTheme="minorEastAsia" w:hAnsiTheme="minorEastAsia" w:cstheme="minorEastAsia"/>
                <w:sz w:val="18"/>
                <w:szCs w:val="1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blHeader/>
        </w:trPr>
        <w:tc>
          <w:tcPr>
            <w:tcW w:w="673" w:type="dxa"/>
            <w:vAlign w:val="center"/>
          </w:tcPr>
          <w:p>
            <w:pPr>
              <w:widowControl/>
              <w:tabs>
                <w:tab w:val="left" w:pos="420"/>
              </w:tabs>
              <w:spacing w:line="240" w:lineRule="exact"/>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w:t>
            </w:r>
          </w:p>
        </w:tc>
        <w:tc>
          <w:tcPr>
            <w:tcW w:w="1157" w:type="dxa"/>
            <w:vAlign w:val="center"/>
          </w:tcPr>
          <w:p>
            <w:pPr>
              <w:widowControl/>
              <w:spacing w:line="240" w:lineRule="exact"/>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总指挥职责</w:t>
            </w:r>
          </w:p>
        </w:tc>
        <w:tc>
          <w:tcPr>
            <w:tcW w:w="5402" w:type="dxa"/>
            <w:vAlign w:val="center"/>
          </w:tcPr>
          <w:p>
            <w:pPr>
              <w:pStyle w:val="2"/>
              <w:numPr>
                <w:ilvl w:val="0"/>
                <w:numId w:val="11"/>
              </w:numPr>
              <w:ind w:firstLine="18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接受政府相关指令及调动</w:t>
            </w:r>
          </w:p>
          <w:p>
            <w:pPr>
              <w:pStyle w:val="2"/>
              <w:numPr>
                <w:ilvl w:val="0"/>
                <w:numId w:val="11"/>
              </w:numPr>
              <w:ind w:firstLine="18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批准预案的启动与终止</w:t>
            </w:r>
          </w:p>
          <w:p>
            <w:pPr>
              <w:pStyle w:val="2"/>
              <w:numPr>
                <w:ilvl w:val="0"/>
                <w:numId w:val="11"/>
              </w:numPr>
              <w:ind w:firstLine="18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指挥、协调应急响应行动</w:t>
            </w:r>
          </w:p>
          <w:p>
            <w:pPr>
              <w:pStyle w:val="2"/>
              <w:numPr>
                <w:ilvl w:val="0"/>
                <w:numId w:val="11"/>
              </w:numPr>
              <w:ind w:firstLine="18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与外部救援部门、组织、机构联络</w:t>
            </w:r>
          </w:p>
          <w:p>
            <w:pPr>
              <w:pStyle w:val="2"/>
              <w:numPr>
                <w:ilvl w:val="0"/>
                <w:numId w:val="11"/>
              </w:numPr>
              <w:ind w:firstLine="18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必要时负责向政府应急部门提出应急救援请求</w:t>
            </w:r>
          </w:p>
          <w:p>
            <w:pPr>
              <w:pStyle w:val="2"/>
              <w:numPr>
                <w:ilvl w:val="0"/>
                <w:numId w:val="11"/>
              </w:numPr>
              <w:ind w:firstLine="18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协调后勤方面以支援应急救援</w:t>
            </w:r>
          </w:p>
          <w:p>
            <w:pPr>
              <w:pStyle w:val="2"/>
              <w:numPr>
                <w:ilvl w:val="0"/>
                <w:numId w:val="11"/>
              </w:numPr>
              <w:ind w:firstLine="18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负责人员、资源配置、应急队伍的调动</w:t>
            </w:r>
          </w:p>
        </w:tc>
        <w:tc>
          <w:tcPr>
            <w:tcW w:w="1119" w:type="dxa"/>
            <w:vAlign w:val="center"/>
          </w:tcPr>
          <w:p>
            <w:pPr>
              <w:spacing w:line="240" w:lineRule="exact"/>
              <w:jc w:val="left"/>
              <w:rPr>
                <w:rFonts w:asciiTheme="minorEastAsia" w:hAnsiTheme="minorEastAsia" w:cstheme="minorEastAsia"/>
                <w:sz w:val="18"/>
                <w:szCs w:val="1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blHeader/>
        </w:trPr>
        <w:tc>
          <w:tcPr>
            <w:tcW w:w="673" w:type="dxa"/>
            <w:vAlign w:val="center"/>
          </w:tcPr>
          <w:p>
            <w:pPr>
              <w:widowControl/>
              <w:tabs>
                <w:tab w:val="left" w:pos="420"/>
              </w:tabs>
              <w:spacing w:line="240" w:lineRule="exact"/>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7</w:t>
            </w:r>
          </w:p>
        </w:tc>
        <w:tc>
          <w:tcPr>
            <w:tcW w:w="1157" w:type="dxa"/>
            <w:vAlign w:val="center"/>
          </w:tcPr>
          <w:p>
            <w:pPr>
              <w:widowControl/>
              <w:spacing w:line="240" w:lineRule="exact"/>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副总指挥职责</w:t>
            </w:r>
          </w:p>
        </w:tc>
        <w:tc>
          <w:tcPr>
            <w:tcW w:w="5402" w:type="dxa"/>
            <w:vAlign w:val="center"/>
          </w:tcPr>
          <w:p>
            <w:pPr>
              <w:pStyle w:val="2"/>
              <w:numPr>
                <w:ilvl w:val="0"/>
                <w:numId w:val="12"/>
              </w:numPr>
              <w:ind w:firstLine="18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在总指挥的领导下具体负责现场应急救援工作，总指挥不在时，代行总指挥职责</w:t>
            </w:r>
          </w:p>
          <w:p>
            <w:pPr>
              <w:pStyle w:val="2"/>
              <w:ind w:firstLine="0" w:firstLineChars="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2、接受政府相关指令及调动</w:t>
            </w:r>
          </w:p>
          <w:p>
            <w:pPr>
              <w:pStyle w:val="2"/>
              <w:ind w:firstLine="0" w:firstLineChars="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3、批准预案的启动与终止</w:t>
            </w:r>
          </w:p>
          <w:p>
            <w:pPr>
              <w:pStyle w:val="2"/>
              <w:ind w:firstLine="0" w:firstLineChars="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4、指挥、协调应急响应行动</w:t>
            </w:r>
          </w:p>
          <w:p>
            <w:pPr>
              <w:pStyle w:val="2"/>
              <w:ind w:firstLine="0" w:firstLineChars="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5、与外部救援部门、组织、机构联络</w:t>
            </w:r>
          </w:p>
          <w:p>
            <w:pPr>
              <w:pStyle w:val="2"/>
              <w:ind w:firstLine="0" w:firstLineChars="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6、必要时负责向政府应急部门提出应急救援请求</w:t>
            </w:r>
          </w:p>
          <w:p>
            <w:pPr>
              <w:pStyle w:val="2"/>
              <w:ind w:firstLine="0" w:firstLineChars="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7、协调后勤方面以支援应急救援</w:t>
            </w:r>
          </w:p>
          <w:p>
            <w:pPr>
              <w:pStyle w:val="2"/>
              <w:ind w:firstLine="0" w:firstLineChars="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8、负责人员、资源配置、应急队伍的调动</w:t>
            </w:r>
          </w:p>
        </w:tc>
        <w:tc>
          <w:tcPr>
            <w:tcW w:w="1119" w:type="dxa"/>
            <w:vAlign w:val="center"/>
          </w:tcPr>
          <w:p>
            <w:pPr>
              <w:spacing w:line="240" w:lineRule="exact"/>
              <w:jc w:val="left"/>
              <w:rPr>
                <w:rFonts w:asciiTheme="minorEastAsia" w:hAnsiTheme="minorEastAsia" w:cstheme="minorEastAsia"/>
                <w:sz w:val="18"/>
                <w:szCs w:val="1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blHeader/>
        </w:trPr>
        <w:tc>
          <w:tcPr>
            <w:tcW w:w="673" w:type="dxa"/>
            <w:vAlign w:val="center"/>
          </w:tcPr>
          <w:p>
            <w:pPr>
              <w:widowControl/>
              <w:tabs>
                <w:tab w:val="left" w:pos="420"/>
              </w:tabs>
              <w:spacing w:line="240" w:lineRule="exact"/>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w:t>
            </w:r>
          </w:p>
        </w:tc>
        <w:tc>
          <w:tcPr>
            <w:tcW w:w="1157" w:type="dxa"/>
            <w:vAlign w:val="center"/>
          </w:tcPr>
          <w:p>
            <w:pPr>
              <w:widowControl/>
              <w:spacing w:line="240" w:lineRule="exact"/>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抢险救援组职责</w:t>
            </w:r>
          </w:p>
        </w:tc>
        <w:tc>
          <w:tcPr>
            <w:tcW w:w="5402" w:type="dxa"/>
            <w:vAlign w:val="center"/>
          </w:tcPr>
          <w:p>
            <w:pPr>
              <w:spacing w:line="360" w:lineRule="auto"/>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在指挥长（副指挥长）的指挥下参加抢险救援，并负责组织当班人员在事故发生时将发生区域内的人员、物资抢救到安全地点。</w:t>
            </w:r>
          </w:p>
          <w:p>
            <w:pPr>
              <w:pStyle w:val="2"/>
              <w:ind w:firstLine="0" w:firstLineChars="0"/>
              <w:jc w:val="left"/>
              <w:rPr>
                <w:rFonts w:asciiTheme="minorEastAsia" w:hAnsiTheme="minorEastAsia" w:eastAsiaTheme="minorEastAsia" w:cstheme="minorEastAsia"/>
                <w:sz w:val="18"/>
                <w:szCs w:val="18"/>
              </w:rPr>
            </w:pPr>
          </w:p>
        </w:tc>
        <w:tc>
          <w:tcPr>
            <w:tcW w:w="1119" w:type="dxa"/>
            <w:vAlign w:val="center"/>
          </w:tcPr>
          <w:p>
            <w:pPr>
              <w:spacing w:line="240" w:lineRule="exact"/>
              <w:jc w:val="left"/>
              <w:rPr>
                <w:rFonts w:asciiTheme="minorEastAsia" w:hAnsiTheme="minorEastAsia" w:cstheme="minorEastAsia"/>
                <w:sz w:val="18"/>
                <w:szCs w:val="1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blHeader/>
        </w:trPr>
        <w:tc>
          <w:tcPr>
            <w:tcW w:w="673" w:type="dxa"/>
            <w:vAlign w:val="center"/>
          </w:tcPr>
          <w:p>
            <w:pPr>
              <w:widowControl/>
              <w:tabs>
                <w:tab w:val="left" w:pos="420"/>
              </w:tabs>
              <w:spacing w:line="240" w:lineRule="exact"/>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w:t>
            </w:r>
          </w:p>
        </w:tc>
        <w:tc>
          <w:tcPr>
            <w:tcW w:w="1157" w:type="dxa"/>
            <w:vAlign w:val="center"/>
          </w:tcPr>
          <w:p>
            <w:pPr>
              <w:widowControl/>
              <w:spacing w:line="240" w:lineRule="exact"/>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警戒疏散组职责</w:t>
            </w:r>
          </w:p>
        </w:tc>
        <w:tc>
          <w:tcPr>
            <w:tcW w:w="5402" w:type="dxa"/>
            <w:vAlign w:val="center"/>
          </w:tcPr>
          <w:p>
            <w:pPr>
              <w:spacing w:line="360" w:lineRule="auto"/>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协助医疗卫生部门抢救受伤人员；做好各类安全保障工作，协助周边单位和群众的安全疏散和撤离。</w:t>
            </w:r>
          </w:p>
          <w:p>
            <w:pPr>
              <w:pStyle w:val="2"/>
              <w:ind w:firstLine="0" w:firstLineChars="0"/>
              <w:jc w:val="left"/>
              <w:rPr>
                <w:rFonts w:asciiTheme="minorEastAsia" w:hAnsiTheme="minorEastAsia" w:eastAsiaTheme="minorEastAsia" w:cstheme="minorEastAsia"/>
                <w:sz w:val="18"/>
                <w:szCs w:val="18"/>
              </w:rPr>
            </w:pPr>
          </w:p>
        </w:tc>
        <w:tc>
          <w:tcPr>
            <w:tcW w:w="1119" w:type="dxa"/>
            <w:vAlign w:val="center"/>
          </w:tcPr>
          <w:p>
            <w:pPr>
              <w:spacing w:line="240" w:lineRule="exact"/>
              <w:jc w:val="left"/>
              <w:rPr>
                <w:rFonts w:asciiTheme="minorEastAsia" w:hAnsiTheme="minorEastAsia" w:cstheme="minorEastAsia"/>
                <w:sz w:val="18"/>
                <w:szCs w:val="1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blHeader/>
        </w:trPr>
        <w:tc>
          <w:tcPr>
            <w:tcW w:w="673" w:type="dxa"/>
            <w:vAlign w:val="center"/>
          </w:tcPr>
          <w:p>
            <w:pPr>
              <w:widowControl/>
              <w:tabs>
                <w:tab w:val="left" w:pos="420"/>
              </w:tabs>
              <w:spacing w:line="240" w:lineRule="exact"/>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w:t>
            </w:r>
          </w:p>
        </w:tc>
        <w:tc>
          <w:tcPr>
            <w:tcW w:w="1157" w:type="dxa"/>
            <w:vAlign w:val="center"/>
          </w:tcPr>
          <w:p>
            <w:pPr>
              <w:widowControl/>
              <w:spacing w:line="240" w:lineRule="exac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通讯联络组职责</w:t>
            </w:r>
          </w:p>
        </w:tc>
        <w:tc>
          <w:tcPr>
            <w:tcW w:w="5402" w:type="dxa"/>
            <w:vAlign w:val="center"/>
          </w:tcPr>
          <w:p>
            <w:pPr>
              <w:pStyle w:val="2"/>
              <w:ind w:firstLine="0" w:firstLineChars="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负责向应急处置指挥长（副指挥长）报告；负责与当地公安部门、消防部门、急救中心联系；负责现场的通讯联络任务。</w:t>
            </w:r>
          </w:p>
        </w:tc>
        <w:tc>
          <w:tcPr>
            <w:tcW w:w="1119" w:type="dxa"/>
            <w:vAlign w:val="center"/>
          </w:tcPr>
          <w:p>
            <w:pPr>
              <w:spacing w:line="240" w:lineRule="exact"/>
              <w:jc w:val="left"/>
              <w:rPr>
                <w:rFonts w:asciiTheme="minorEastAsia" w:hAnsiTheme="minorEastAsia" w:cstheme="minorEastAsia"/>
                <w:sz w:val="18"/>
                <w:szCs w:val="1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blHeader/>
        </w:trPr>
        <w:tc>
          <w:tcPr>
            <w:tcW w:w="673" w:type="dxa"/>
            <w:vMerge w:val="restart"/>
            <w:vAlign w:val="center"/>
          </w:tcPr>
          <w:p>
            <w:pPr>
              <w:widowControl/>
              <w:tabs>
                <w:tab w:val="left" w:pos="420"/>
              </w:tabs>
              <w:spacing w:line="240" w:lineRule="exact"/>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w:t>
            </w:r>
          </w:p>
        </w:tc>
        <w:tc>
          <w:tcPr>
            <w:tcW w:w="1157" w:type="dxa"/>
            <w:vMerge w:val="restart"/>
            <w:vAlign w:val="center"/>
          </w:tcPr>
          <w:p>
            <w:pPr>
              <w:widowControl/>
              <w:spacing w:line="240" w:lineRule="exac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应急管控培训演练</w:t>
            </w:r>
          </w:p>
        </w:tc>
        <w:tc>
          <w:tcPr>
            <w:tcW w:w="5402" w:type="dxa"/>
            <w:vAlign w:val="center"/>
          </w:tcPr>
          <w:p>
            <w:pPr>
              <w:pStyle w:val="2"/>
              <w:ind w:firstLine="0" w:firstLineChars="0"/>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培训目的：1、应急救援人员熟悉掌握应急救援预案的内容、程序和实施方法</w:t>
            </w:r>
          </w:p>
          <w:p>
            <w:pPr>
              <w:pStyle w:val="2"/>
              <w:numPr>
                <w:ilvl w:val="0"/>
                <w:numId w:val="12"/>
              </w:numPr>
              <w:ind w:firstLine="180"/>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了解掌握应急救援预案和实施程序变动情况</w:t>
            </w:r>
          </w:p>
          <w:p>
            <w:pPr>
              <w:pStyle w:val="2"/>
              <w:numPr>
                <w:ilvl w:val="0"/>
                <w:numId w:val="12"/>
              </w:numPr>
              <w:ind w:firstLine="180"/>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提高各级人员警惕性和应急反应综合素质</w:t>
            </w:r>
          </w:p>
        </w:tc>
        <w:tc>
          <w:tcPr>
            <w:tcW w:w="1119" w:type="dxa"/>
            <w:vAlign w:val="center"/>
          </w:tcPr>
          <w:p>
            <w:pPr>
              <w:spacing w:line="240" w:lineRule="exact"/>
              <w:jc w:val="left"/>
              <w:rPr>
                <w:rFonts w:asciiTheme="minorEastAsia" w:hAnsiTheme="minorEastAsia" w:cstheme="minorEastAsia"/>
                <w:sz w:val="18"/>
                <w:szCs w:val="1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blHeader/>
        </w:trPr>
        <w:tc>
          <w:tcPr>
            <w:tcW w:w="673" w:type="dxa"/>
            <w:vMerge w:val="continue"/>
            <w:vAlign w:val="center"/>
          </w:tcPr>
          <w:p>
            <w:pPr>
              <w:widowControl/>
              <w:tabs>
                <w:tab w:val="left" w:pos="420"/>
              </w:tabs>
              <w:spacing w:line="240" w:lineRule="exact"/>
              <w:jc w:val="center"/>
              <w:rPr>
                <w:rFonts w:asciiTheme="minorEastAsia" w:hAnsiTheme="minorEastAsia" w:cstheme="minorEastAsia"/>
                <w:color w:val="000000"/>
                <w:kern w:val="0"/>
                <w:sz w:val="18"/>
                <w:szCs w:val="18"/>
              </w:rPr>
            </w:pPr>
          </w:p>
        </w:tc>
        <w:tc>
          <w:tcPr>
            <w:tcW w:w="1157" w:type="dxa"/>
            <w:vMerge w:val="continue"/>
            <w:vAlign w:val="center"/>
          </w:tcPr>
          <w:p>
            <w:pPr>
              <w:widowControl/>
              <w:spacing w:line="240" w:lineRule="exact"/>
              <w:rPr>
                <w:rFonts w:asciiTheme="minorEastAsia" w:hAnsiTheme="minorEastAsia" w:cstheme="minorEastAsia"/>
                <w:color w:val="000000"/>
                <w:kern w:val="0"/>
                <w:sz w:val="18"/>
                <w:szCs w:val="18"/>
              </w:rPr>
            </w:pPr>
          </w:p>
        </w:tc>
        <w:tc>
          <w:tcPr>
            <w:tcW w:w="5402" w:type="dxa"/>
            <w:vAlign w:val="center"/>
          </w:tcPr>
          <w:p>
            <w:pPr>
              <w:pStyle w:val="2"/>
              <w:ind w:firstLine="0" w:firstLineChars="0"/>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培训内容与时间：</w:t>
            </w:r>
          </w:p>
          <w:p>
            <w:pPr>
              <w:widowControl/>
              <w:numPr>
                <w:ilvl w:val="0"/>
                <w:numId w:val="13"/>
              </w:numPr>
              <w:adjustRightInd w:val="0"/>
              <w:snapToGrid w:val="0"/>
              <w:spacing w:line="360" w:lineRule="auto"/>
              <w:ind w:firstLine="360" w:firstLineChars="200"/>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如何识别危险；</w:t>
            </w:r>
          </w:p>
          <w:p>
            <w:pPr>
              <w:widowControl/>
              <w:numPr>
                <w:ilvl w:val="0"/>
                <w:numId w:val="13"/>
              </w:numPr>
              <w:adjustRightInd w:val="0"/>
              <w:snapToGrid w:val="0"/>
              <w:spacing w:line="360" w:lineRule="auto"/>
              <w:ind w:firstLine="360" w:firstLineChars="200"/>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如何启动紧急警报系统；</w:t>
            </w:r>
          </w:p>
          <w:p>
            <w:pPr>
              <w:widowControl/>
              <w:numPr>
                <w:ilvl w:val="0"/>
                <w:numId w:val="13"/>
              </w:numPr>
              <w:adjustRightInd w:val="0"/>
              <w:snapToGrid w:val="0"/>
              <w:spacing w:line="360" w:lineRule="auto"/>
              <w:ind w:firstLine="360" w:firstLineChars="200"/>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初期火灾的处理措施；</w:t>
            </w:r>
          </w:p>
          <w:p>
            <w:pPr>
              <w:widowControl/>
              <w:numPr>
                <w:ilvl w:val="0"/>
                <w:numId w:val="13"/>
              </w:numPr>
              <w:adjustRightInd w:val="0"/>
              <w:snapToGrid w:val="0"/>
              <w:spacing w:line="360" w:lineRule="auto"/>
              <w:ind w:firstLine="360" w:firstLineChars="200"/>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易燃品泄漏处理措施；</w:t>
            </w:r>
          </w:p>
          <w:p>
            <w:pPr>
              <w:widowControl/>
              <w:numPr>
                <w:ilvl w:val="0"/>
                <w:numId w:val="13"/>
              </w:numPr>
              <w:adjustRightInd w:val="0"/>
              <w:snapToGrid w:val="0"/>
              <w:spacing w:line="360" w:lineRule="auto"/>
              <w:ind w:firstLine="360" w:firstLineChars="200"/>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各种应急设备的使用方法；</w:t>
            </w:r>
          </w:p>
          <w:p>
            <w:pPr>
              <w:widowControl/>
              <w:numPr>
                <w:ilvl w:val="0"/>
                <w:numId w:val="13"/>
              </w:numPr>
              <w:adjustRightInd w:val="0"/>
              <w:snapToGrid w:val="0"/>
              <w:spacing w:line="360" w:lineRule="auto"/>
              <w:ind w:firstLine="360" w:firstLineChars="200"/>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防护用品的佩戴；</w:t>
            </w:r>
          </w:p>
          <w:p>
            <w:pPr>
              <w:widowControl/>
              <w:numPr>
                <w:ilvl w:val="0"/>
                <w:numId w:val="13"/>
              </w:numPr>
              <w:adjustRightInd w:val="0"/>
              <w:snapToGrid w:val="0"/>
              <w:spacing w:line="360" w:lineRule="auto"/>
              <w:ind w:firstLine="360" w:firstLineChars="200"/>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如何安全疏散人群等基本操作。</w:t>
            </w:r>
          </w:p>
          <w:p>
            <w:pPr>
              <w:widowControl/>
              <w:numPr>
                <w:ilvl w:val="0"/>
                <w:numId w:val="13"/>
              </w:numPr>
              <w:adjustRightInd w:val="0"/>
              <w:snapToGrid w:val="0"/>
              <w:spacing w:line="360" w:lineRule="auto"/>
              <w:ind w:firstLine="360" w:firstLineChars="200"/>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管理人员的培训内容一般包括：</w:t>
            </w:r>
          </w:p>
          <w:p>
            <w:pPr>
              <w:widowControl/>
              <w:numPr>
                <w:ilvl w:val="0"/>
                <w:numId w:val="13"/>
              </w:numPr>
              <w:adjustRightInd w:val="0"/>
              <w:snapToGrid w:val="0"/>
              <w:spacing w:line="360" w:lineRule="auto"/>
              <w:ind w:firstLine="360" w:firstLineChars="200"/>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潜在的重大危险事故及其后果处理；</w:t>
            </w:r>
          </w:p>
          <w:p>
            <w:pPr>
              <w:widowControl/>
              <w:numPr>
                <w:ilvl w:val="0"/>
                <w:numId w:val="13"/>
              </w:numPr>
              <w:adjustRightInd w:val="0"/>
              <w:snapToGrid w:val="0"/>
              <w:spacing w:line="360" w:lineRule="auto"/>
              <w:ind w:firstLine="360" w:firstLineChars="200"/>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报警的基本程序；</w:t>
            </w:r>
          </w:p>
          <w:p>
            <w:pPr>
              <w:widowControl/>
              <w:numPr>
                <w:ilvl w:val="0"/>
                <w:numId w:val="13"/>
              </w:numPr>
              <w:adjustRightInd w:val="0"/>
              <w:snapToGrid w:val="0"/>
              <w:spacing w:line="360" w:lineRule="auto"/>
              <w:ind w:firstLine="360" w:firstLineChars="200"/>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灭火器的使用以及灭火步骤的训练；</w:t>
            </w:r>
          </w:p>
          <w:p>
            <w:pPr>
              <w:widowControl/>
              <w:numPr>
                <w:ilvl w:val="0"/>
                <w:numId w:val="13"/>
              </w:numPr>
              <w:adjustRightInd w:val="0"/>
              <w:snapToGrid w:val="0"/>
              <w:spacing w:line="360" w:lineRule="auto"/>
              <w:ind w:firstLine="360" w:firstLineChars="200"/>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基本防护知识；</w:t>
            </w:r>
          </w:p>
          <w:p>
            <w:pPr>
              <w:widowControl/>
              <w:numPr>
                <w:ilvl w:val="0"/>
                <w:numId w:val="13"/>
              </w:numPr>
              <w:adjustRightInd w:val="0"/>
              <w:snapToGrid w:val="0"/>
              <w:spacing w:line="360" w:lineRule="auto"/>
              <w:ind w:firstLine="360" w:firstLineChars="200"/>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撤离的组织、方法和程序；</w:t>
            </w:r>
          </w:p>
          <w:p>
            <w:pPr>
              <w:widowControl/>
              <w:numPr>
                <w:ilvl w:val="0"/>
                <w:numId w:val="13"/>
              </w:numPr>
              <w:adjustRightInd w:val="0"/>
              <w:snapToGrid w:val="0"/>
              <w:spacing w:line="360" w:lineRule="auto"/>
              <w:ind w:firstLine="360" w:firstLineChars="200"/>
              <w:jc w:val="left"/>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在危险区行动时必须遵守的规则；自救与互救的基本常识等。</w:t>
            </w:r>
          </w:p>
          <w:p>
            <w:pPr>
              <w:pStyle w:val="2"/>
              <w:ind w:firstLine="0" w:firstLineChars="0"/>
              <w:jc w:val="left"/>
              <w:rPr>
                <w:rFonts w:asciiTheme="minorEastAsia" w:hAnsiTheme="minorEastAsia" w:eastAsiaTheme="minorEastAsia" w:cstheme="minorEastAsia"/>
                <w:color w:val="000000"/>
                <w:sz w:val="18"/>
                <w:szCs w:val="18"/>
              </w:rPr>
            </w:pPr>
          </w:p>
        </w:tc>
        <w:tc>
          <w:tcPr>
            <w:tcW w:w="1119" w:type="dxa"/>
            <w:vAlign w:val="center"/>
          </w:tcPr>
          <w:p>
            <w:pPr>
              <w:spacing w:line="240" w:lineRule="exact"/>
              <w:jc w:val="left"/>
              <w:rPr>
                <w:rFonts w:asciiTheme="minorEastAsia" w:hAnsiTheme="minorEastAsia" w:cstheme="minorEastAsia"/>
                <w:sz w:val="18"/>
                <w:szCs w:val="18"/>
              </w:rPr>
            </w:pPr>
            <w:r>
              <w:rPr>
                <w:rFonts w:hint="eastAsia" w:asciiTheme="minorEastAsia" w:hAnsiTheme="minorEastAsia" w:cstheme="minorEastAsia"/>
                <w:sz w:val="18"/>
                <w:szCs w:val="18"/>
              </w:rPr>
              <w:t>1次/季</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tblHeader/>
        </w:trPr>
        <w:tc>
          <w:tcPr>
            <w:tcW w:w="673" w:type="dxa"/>
            <w:vMerge w:val="continue"/>
            <w:vAlign w:val="center"/>
          </w:tcPr>
          <w:p>
            <w:pPr>
              <w:widowControl/>
              <w:tabs>
                <w:tab w:val="left" w:pos="420"/>
              </w:tabs>
              <w:spacing w:line="240" w:lineRule="exact"/>
              <w:jc w:val="center"/>
              <w:rPr>
                <w:rFonts w:asciiTheme="minorEastAsia" w:hAnsiTheme="minorEastAsia" w:cstheme="minorEastAsia"/>
                <w:color w:val="000000"/>
                <w:kern w:val="0"/>
                <w:sz w:val="18"/>
                <w:szCs w:val="18"/>
              </w:rPr>
            </w:pPr>
          </w:p>
        </w:tc>
        <w:tc>
          <w:tcPr>
            <w:tcW w:w="1157" w:type="dxa"/>
            <w:vMerge w:val="continue"/>
            <w:vAlign w:val="center"/>
          </w:tcPr>
          <w:p>
            <w:pPr>
              <w:widowControl/>
              <w:spacing w:line="240" w:lineRule="exact"/>
              <w:rPr>
                <w:rFonts w:asciiTheme="minorEastAsia" w:hAnsiTheme="minorEastAsia" w:cstheme="minorEastAsia"/>
                <w:color w:val="000000"/>
                <w:kern w:val="0"/>
                <w:sz w:val="18"/>
                <w:szCs w:val="18"/>
              </w:rPr>
            </w:pPr>
          </w:p>
        </w:tc>
        <w:tc>
          <w:tcPr>
            <w:tcW w:w="5402" w:type="dxa"/>
            <w:vAlign w:val="center"/>
          </w:tcPr>
          <w:p>
            <w:pPr>
              <w:widowControl/>
              <w:adjustRightInd w:val="0"/>
              <w:snapToGrid w:val="0"/>
              <w:spacing w:line="360" w:lineRule="auto"/>
              <w:ind w:firstLine="360" w:firstLineChars="200"/>
              <w:rPr>
                <w:rFonts w:asciiTheme="minorEastAsia" w:hAnsiTheme="minorEastAsia" w:cstheme="minorEastAsia"/>
                <w:color w:val="000000"/>
                <w:kern w:val="0"/>
                <w:sz w:val="18"/>
                <w:szCs w:val="18"/>
              </w:rPr>
            </w:pPr>
            <w:r>
              <w:rPr>
                <w:rFonts w:hint="eastAsia" w:asciiTheme="minorEastAsia" w:hAnsiTheme="minorEastAsia" w:cstheme="minorEastAsia"/>
                <w:color w:val="000000"/>
                <w:sz w:val="18"/>
                <w:szCs w:val="18"/>
              </w:rPr>
              <w:t>演练与频次：</w:t>
            </w:r>
            <w:r>
              <w:rPr>
                <w:rFonts w:hint="eastAsia" w:asciiTheme="minorEastAsia" w:hAnsiTheme="minorEastAsia" w:cstheme="minorEastAsia"/>
                <w:color w:val="000000"/>
                <w:kern w:val="0"/>
                <w:sz w:val="18"/>
                <w:szCs w:val="18"/>
              </w:rPr>
              <w:t>综合应急救援预案每半年至少组织一次演练，现场处置方案每季度至少组织一次演练，必须全员参与演练。现场负责人应每季度组织一次应急救援预案演练。</w:t>
            </w:r>
          </w:p>
          <w:p>
            <w:pPr>
              <w:pStyle w:val="2"/>
              <w:ind w:firstLine="0" w:firstLineChars="0"/>
              <w:jc w:val="left"/>
              <w:rPr>
                <w:rFonts w:asciiTheme="minorEastAsia" w:hAnsiTheme="minorEastAsia" w:eastAsiaTheme="minorEastAsia" w:cstheme="minorEastAsia"/>
                <w:color w:val="000000"/>
                <w:sz w:val="18"/>
                <w:szCs w:val="18"/>
              </w:rPr>
            </w:pPr>
          </w:p>
          <w:p>
            <w:pPr>
              <w:pStyle w:val="2"/>
              <w:ind w:firstLine="0" w:firstLineChars="0"/>
              <w:jc w:val="left"/>
              <w:rPr>
                <w:rFonts w:asciiTheme="minorEastAsia" w:hAnsiTheme="minorEastAsia" w:eastAsiaTheme="minorEastAsia" w:cstheme="minorEastAsia"/>
                <w:color w:val="000000"/>
                <w:sz w:val="18"/>
                <w:szCs w:val="18"/>
              </w:rPr>
            </w:pPr>
          </w:p>
        </w:tc>
        <w:tc>
          <w:tcPr>
            <w:tcW w:w="1119" w:type="dxa"/>
            <w:vAlign w:val="center"/>
          </w:tcPr>
          <w:p>
            <w:pPr>
              <w:spacing w:line="240" w:lineRule="exact"/>
              <w:jc w:val="left"/>
              <w:rPr>
                <w:rFonts w:asciiTheme="minorEastAsia" w:hAnsiTheme="minorEastAsia" w:cstheme="minorEastAsia"/>
                <w:sz w:val="18"/>
                <w:szCs w:val="18"/>
              </w:rPr>
            </w:pPr>
          </w:p>
        </w:tc>
      </w:tr>
    </w:tbl>
    <w:p>
      <w:pPr>
        <w:adjustRightInd w:val="0"/>
        <w:snapToGrid w:val="0"/>
        <w:spacing w:line="560" w:lineRule="exact"/>
        <w:rPr>
          <w:rFonts w:asciiTheme="minorEastAsia" w:hAnsiTheme="minorEastAsia" w:cstheme="minorEastAsia"/>
          <w:sz w:val="18"/>
          <w:szCs w:val="18"/>
        </w:rPr>
      </w:pPr>
    </w:p>
    <w:p>
      <w:pPr>
        <w:pStyle w:val="2"/>
        <w:ind w:firstLine="210"/>
      </w:pPr>
    </w:p>
    <w:p>
      <w:pPr>
        <w:pStyle w:val="2"/>
        <w:ind w:firstLine="2940" w:firstLineChars="1400"/>
      </w:pPr>
      <w:r>
        <w:rPr>
          <w:rFonts w:hint="eastAsia"/>
        </w:rPr>
        <w:t>耀</w:t>
      </w:r>
    </w:p>
    <w:p>
      <w:pPr>
        <w:pStyle w:val="2"/>
        <w:ind w:firstLine="2940" w:firstLineChars="1400"/>
      </w:pPr>
    </w:p>
    <w:p>
      <w:pPr>
        <w:pStyle w:val="2"/>
        <w:ind w:firstLine="2940" w:firstLineChars="1400"/>
      </w:pPr>
    </w:p>
    <w:p>
      <w:pPr>
        <w:pStyle w:val="2"/>
        <w:ind w:firstLine="2940" w:firstLineChars="1400"/>
      </w:pPr>
    </w:p>
    <w:p>
      <w:pPr>
        <w:pStyle w:val="2"/>
        <w:ind w:firstLine="2940" w:firstLineChars="1400"/>
      </w:pPr>
    </w:p>
    <w:p>
      <w:pPr>
        <w:pStyle w:val="2"/>
        <w:ind w:firstLine="2700" w:firstLineChars="900"/>
        <w:rPr>
          <w:sz w:val="30"/>
          <w:szCs w:val="30"/>
        </w:rPr>
      </w:pPr>
      <w:r>
        <w:rPr>
          <w:rFonts w:hint="eastAsia"/>
          <w:sz w:val="30"/>
          <w:szCs w:val="30"/>
        </w:rPr>
        <w:t>燕</w:t>
      </w: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r>
        <w:rPr>
          <w:rFonts w:hint="eastAsia"/>
          <w:sz w:val="30"/>
          <w:szCs w:val="30"/>
        </w:rPr>
        <w:t>京</w:t>
      </w: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2700" w:firstLineChars="900"/>
        <w:rPr>
          <w:sz w:val="30"/>
          <w:szCs w:val="30"/>
        </w:rPr>
      </w:pPr>
    </w:p>
    <w:p>
      <w:pPr>
        <w:pStyle w:val="2"/>
        <w:ind w:firstLine="3300" w:firstLineChars="1100"/>
        <w:rPr>
          <w:sz w:val="30"/>
          <w:szCs w:val="30"/>
        </w:rPr>
      </w:pPr>
      <w:r>
        <w:rPr>
          <w:rFonts w:hint="eastAsia"/>
          <w:sz w:val="30"/>
          <w:szCs w:val="30"/>
          <w:lang w:eastAsia="zh-CN"/>
        </w:rPr>
        <w:t>莺花路</w:t>
      </w:r>
      <w:r>
        <w:rPr>
          <w:rFonts w:hint="eastAsia"/>
          <w:sz w:val="30"/>
          <w:szCs w:val="30"/>
        </w:rPr>
        <w:t>加油站应急物资清单</w:t>
      </w:r>
    </w:p>
    <w:p>
      <w:pPr>
        <w:pStyle w:val="2"/>
        <w:ind w:firstLine="2700" w:firstLineChars="900"/>
        <w:rPr>
          <w:sz w:val="30"/>
          <w:szCs w:val="30"/>
        </w:rPr>
      </w:pPr>
    </w:p>
    <w:p>
      <w:pPr>
        <w:rPr>
          <w:rFonts w:hint="eastAsia" w:ascii="宋体" w:hAnsi="宋体" w:cs="Tahoma" w:eastAsiaTheme="minorEastAsia"/>
          <w:color w:val="000000"/>
          <w:sz w:val="24"/>
          <w:lang w:eastAsia="zh-CN"/>
        </w:rPr>
      </w:pPr>
      <w:r>
        <w:rPr>
          <w:rFonts w:hint="eastAsia" w:ascii="宋体" w:hAnsi="宋体" w:cs="Tahoma"/>
          <w:color w:val="000000"/>
          <w:sz w:val="24"/>
        </w:rPr>
        <w:t xml:space="preserve">管理人： </w:t>
      </w:r>
      <w:r>
        <w:rPr>
          <w:rFonts w:hint="eastAsia" w:ascii="宋体" w:hAnsi="宋体" w:cs="Tahoma"/>
          <w:color w:val="000000"/>
          <w:sz w:val="24"/>
          <w:lang w:eastAsia="zh-CN"/>
        </w:rPr>
        <w:t>刘沧锐</w:t>
      </w:r>
      <w:r>
        <w:rPr>
          <w:rFonts w:hint="eastAsia"/>
          <w:color w:val="000000"/>
          <w:sz w:val="28"/>
          <w:szCs w:val="28"/>
        </w:rPr>
        <w:t xml:space="preserve">                      </w:t>
      </w:r>
      <w:r>
        <w:rPr>
          <w:rFonts w:hint="eastAsia" w:ascii="宋体" w:hAnsi="宋体" w:cs="Tahoma"/>
          <w:color w:val="000000"/>
          <w:sz w:val="24"/>
        </w:rPr>
        <w:t>联系电话：</w:t>
      </w:r>
      <w:r>
        <w:rPr>
          <w:rFonts w:hint="eastAsia" w:ascii="宋体" w:hAnsi="宋体"/>
          <w:color w:val="000000"/>
          <w:sz w:val="24"/>
          <w:lang w:eastAsia="zh-CN"/>
        </w:rPr>
        <w:t>15881748313</w:t>
      </w:r>
    </w:p>
    <w:tbl>
      <w:tblPr>
        <w:tblStyle w:val="18"/>
        <w:tblW w:w="9286"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157"/>
        <w:gridCol w:w="1911"/>
        <w:gridCol w:w="4316"/>
        <w:gridCol w:w="726"/>
        <w:gridCol w:w="5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73" w:type="dxa"/>
            <w:vAlign w:val="center"/>
          </w:tcPr>
          <w:p>
            <w:pPr>
              <w:widowControl/>
              <w:spacing w:line="240" w:lineRule="exact"/>
              <w:jc w:val="center"/>
              <w:rPr>
                <w:rFonts w:ascii="宋体" w:hAnsi="宋体" w:cs="宋体"/>
                <w:b/>
                <w:color w:val="000000"/>
                <w:kern w:val="0"/>
                <w:szCs w:val="21"/>
              </w:rPr>
            </w:pPr>
            <w:r>
              <w:rPr>
                <w:rFonts w:hint="eastAsia" w:ascii="宋体" w:hAnsi="宋体" w:cs="宋体"/>
                <w:b/>
                <w:color w:val="000000"/>
                <w:kern w:val="0"/>
                <w:szCs w:val="21"/>
              </w:rPr>
              <w:t>序号</w:t>
            </w:r>
          </w:p>
        </w:tc>
        <w:tc>
          <w:tcPr>
            <w:tcW w:w="1157" w:type="dxa"/>
            <w:vAlign w:val="center"/>
          </w:tcPr>
          <w:p>
            <w:pPr>
              <w:widowControl/>
              <w:spacing w:line="240" w:lineRule="exact"/>
              <w:jc w:val="center"/>
              <w:rPr>
                <w:rFonts w:ascii="宋体" w:hAnsi="宋体" w:cs="宋体"/>
                <w:b/>
                <w:color w:val="000000"/>
                <w:kern w:val="0"/>
                <w:szCs w:val="21"/>
              </w:rPr>
            </w:pPr>
            <w:r>
              <w:rPr>
                <w:rFonts w:hint="eastAsia" w:ascii="宋体" w:hAnsi="宋体" w:cs="宋体"/>
                <w:b/>
                <w:color w:val="000000"/>
                <w:kern w:val="0"/>
                <w:szCs w:val="21"/>
              </w:rPr>
              <w:t>种类</w:t>
            </w:r>
          </w:p>
        </w:tc>
        <w:tc>
          <w:tcPr>
            <w:tcW w:w="1911" w:type="dxa"/>
            <w:vAlign w:val="center"/>
          </w:tcPr>
          <w:p>
            <w:pPr>
              <w:widowControl/>
              <w:spacing w:line="240" w:lineRule="exact"/>
              <w:jc w:val="center"/>
              <w:rPr>
                <w:rFonts w:ascii="宋体" w:hAnsi="宋体" w:cs="宋体"/>
                <w:b/>
                <w:color w:val="000000"/>
                <w:kern w:val="0"/>
                <w:szCs w:val="21"/>
              </w:rPr>
            </w:pPr>
            <w:r>
              <w:rPr>
                <w:rFonts w:hint="eastAsia" w:ascii="宋体" w:hAnsi="宋体" w:cs="宋体"/>
                <w:b/>
                <w:color w:val="000000"/>
                <w:kern w:val="0"/>
                <w:szCs w:val="21"/>
              </w:rPr>
              <w:t>物资名称</w:t>
            </w:r>
          </w:p>
        </w:tc>
        <w:tc>
          <w:tcPr>
            <w:tcW w:w="4316" w:type="dxa"/>
            <w:vAlign w:val="center"/>
          </w:tcPr>
          <w:p>
            <w:pPr>
              <w:widowControl/>
              <w:spacing w:line="240" w:lineRule="exact"/>
              <w:jc w:val="center"/>
              <w:rPr>
                <w:rFonts w:ascii="宋体" w:hAnsi="宋体" w:cs="宋体"/>
                <w:b/>
                <w:color w:val="000000"/>
                <w:kern w:val="0"/>
                <w:szCs w:val="21"/>
              </w:rPr>
            </w:pPr>
            <w:r>
              <w:rPr>
                <w:rFonts w:hint="eastAsia" w:ascii="宋体" w:hAnsi="宋体" w:cs="宋体"/>
                <w:b/>
                <w:color w:val="000000"/>
                <w:kern w:val="0"/>
                <w:szCs w:val="21"/>
              </w:rPr>
              <w:t>主要用途或技术要求</w:t>
            </w:r>
          </w:p>
        </w:tc>
        <w:tc>
          <w:tcPr>
            <w:tcW w:w="726" w:type="dxa"/>
            <w:vAlign w:val="center"/>
          </w:tcPr>
          <w:p>
            <w:pPr>
              <w:widowControl/>
              <w:spacing w:line="240" w:lineRule="exact"/>
              <w:jc w:val="center"/>
              <w:rPr>
                <w:rFonts w:ascii="宋体" w:hAnsi="宋体" w:cs="宋体"/>
                <w:b/>
                <w:color w:val="000000"/>
                <w:kern w:val="0"/>
                <w:szCs w:val="21"/>
              </w:rPr>
            </w:pPr>
            <w:r>
              <w:rPr>
                <w:rFonts w:hint="eastAsia" w:ascii="宋体" w:hAnsi="宋体" w:cs="宋体"/>
                <w:b/>
                <w:color w:val="000000"/>
                <w:kern w:val="0"/>
                <w:szCs w:val="21"/>
              </w:rPr>
              <w:t>规格</w:t>
            </w:r>
          </w:p>
        </w:tc>
        <w:tc>
          <w:tcPr>
            <w:tcW w:w="503" w:type="dxa"/>
            <w:vAlign w:val="center"/>
          </w:tcPr>
          <w:p>
            <w:pPr>
              <w:widowControl/>
              <w:spacing w:line="240" w:lineRule="exact"/>
              <w:jc w:val="center"/>
              <w:rPr>
                <w:rFonts w:ascii="宋体" w:hAnsi="宋体" w:cs="宋体"/>
                <w:b/>
                <w:color w:val="000000"/>
                <w:kern w:val="0"/>
                <w:szCs w:val="21"/>
              </w:rPr>
            </w:pPr>
            <w:r>
              <w:rPr>
                <w:rFonts w:hint="eastAsia" w:ascii="宋体" w:hAnsi="宋体" w:cs="宋体"/>
                <w:b/>
                <w:color w:val="000000"/>
                <w:kern w:val="0"/>
                <w:szCs w:val="21"/>
              </w:rPr>
              <w:t>数量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blHeader/>
          <w:jc w:val="center"/>
        </w:trPr>
        <w:tc>
          <w:tcPr>
            <w:tcW w:w="673" w:type="dxa"/>
            <w:vAlign w:val="center"/>
          </w:tcPr>
          <w:p>
            <w:pPr>
              <w:widowControl/>
              <w:numPr>
                <w:ilvl w:val="0"/>
                <w:numId w:val="9"/>
              </w:numPr>
              <w:spacing w:line="240" w:lineRule="exact"/>
              <w:jc w:val="center"/>
              <w:rPr>
                <w:rFonts w:ascii="宋体" w:hAnsi="宋体" w:cs="宋体"/>
                <w:color w:val="000000"/>
                <w:kern w:val="0"/>
                <w:szCs w:val="21"/>
              </w:rPr>
            </w:pPr>
          </w:p>
        </w:tc>
        <w:tc>
          <w:tcPr>
            <w:tcW w:w="1157" w:type="dxa"/>
            <w:vMerge w:val="restart"/>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标识</w:t>
            </w:r>
          </w:p>
        </w:tc>
        <w:tc>
          <w:tcPr>
            <w:tcW w:w="1911" w:type="dxa"/>
            <w:vAlign w:val="center"/>
          </w:tcPr>
          <w:p>
            <w:pPr>
              <w:spacing w:line="240" w:lineRule="exact"/>
              <w:jc w:val="left"/>
              <w:rPr>
                <w:rFonts w:ascii="宋体" w:hAnsi="宋体" w:cs="宋体"/>
                <w:color w:val="000000"/>
                <w:kern w:val="0"/>
                <w:szCs w:val="21"/>
              </w:rPr>
            </w:pPr>
            <w:r>
              <w:rPr>
                <w:rFonts w:hint="eastAsia" w:ascii="宋体" w:hAnsi="宋体" w:cs="宋体"/>
                <w:color w:val="000000"/>
                <w:kern w:val="0"/>
                <w:szCs w:val="21"/>
              </w:rPr>
              <w:t>隔离警示桩</w:t>
            </w:r>
          </w:p>
        </w:tc>
        <w:tc>
          <w:tcPr>
            <w:tcW w:w="4316" w:type="dxa"/>
            <w:vAlign w:val="center"/>
          </w:tcPr>
          <w:p>
            <w:pPr>
              <w:spacing w:line="240" w:lineRule="exact"/>
              <w:jc w:val="left"/>
              <w:rPr>
                <w:rFonts w:ascii="宋体" w:hAnsi="宋体" w:cs="宋体"/>
                <w:color w:val="000000"/>
                <w:kern w:val="0"/>
                <w:szCs w:val="21"/>
              </w:rPr>
            </w:pPr>
            <w:r>
              <w:rPr>
                <w:rFonts w:hint="eastAsia" w:ascii="宋体" w:hAnsi="宋体" w:cs="宋体"/>
                <w:color w:val="000000"/>
                <w:kern w:val="0"/>
                <w:szCs w:val="21"/>
              </w:rPr>
              <w:t>灾害事故现场警戒。双面反光，每盘长度约</w:t>
            </w:r>
            <w:r>
              <w:rPr>
                <w:rFonts w:ascii="宋体" w:hAnsi="宋体" w:cs="宋体"/>
                <w:color w:val="000000"/>
                <w:kern w:val="0"/>
                <w:szCs w:val="21"/>
              </w:rPr>
              <w:t>500m</w:t>
            </w:r>
          </w:p>
        </w:tc>
        <w:tc>
          <w:tcPr>
            <w:tcW w:w="726" w:type="dxa"/>
            <w:vAlign w:val="center"/>
          </w:tcPr>
          <w:p>
            <w:pPr>
              <w:spacing w:line="240" w:lineRule="exact"/>
              <w:jc w:val="center"/>
              <w:rPr>
                <w:rFonts w:ascii="宋体" w:hAnsi="宋体" w:cs="宋体"/>
                <w:color w:val="000000"/>
                <w:kern w:val="0"/>
                <w:szCs w:val="21"/>
              </w:rPr>
            </w:pPr>
            <w:r>
              <w:rPr>
                <w:rFonts w:hint="eastAsia" w:ascii="宋体" w:hAnsi="宋体" w:cs="宋体"/>
                <w:color w:val="000000"/>
                <w:kern w:val="0"/>
                <w:szCs w:val="21"/>
              </w:rPr>
              <w:t>个</w:t>
            </w:r>
          </w:p>
        </w:tc>
        <w:tc>
          <w:tcPr>
            <w:tcW w:w="503" w:type="dxa"/>
            <w:vAlign w:val="center"/>
          </w:tcPr>
          <w:p>
            <w:pPr>
              <w:spacing w:line="240" w:lineRule="exact"/>
              <w:jc w:val="center"/>
              <w:rPr>
                <w:rFonts w:hint="eastAsia" w:ascii="宋体" w:hAnsi="宋体" w:cs="宋体" w:eastAsiaTheme="minorEastAsia"/>
                <w:color w:val="000000"/>
                <w:kern w:val="0"/>
                <w:szCs w:val="21"/>
                <w:lang w:eastAsia="zh-CN"/>
              </w:rPr>
            </w:pPr>
            <w:r>
              <w:rPr>
                <w:rFonts w:hint="eastAsia" w:ascii="宋体" w:hAnsi="宋体" w:cs="宋体"/>
                <w:color w:val="000000"/>
                <w:kern w:val="0"/>
                <w:szCs w:val="21"/>
                <w:lang w:val="en-US" w:eastAsia="zh-CN"/>
              </w:rPr>
              <w:t>5</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blHeader/>
          <w:jc w:val="center"/>
        </w:trPr>
        <w:tc>
          <w:tcPr>
            <w:tcW w:w="673" w:type="dxa"/>
            <w:vAlign w:val="center"/>
          </w:tcPr>
          <w:p>
            <w:pPr>
              <w:widowControl/>
              <w:numPr>
                <w:ilvl w:val="0"/>
                <w:numId w:val="9"/>
              </w:numPr>
              <w:spacing w:line="240" w:lineRule="exact"/>
              <w:jc w:val="center"/>
              <w:rPr>
                <w:rFonts w:ascii="宋体" w:hAnsi="宋体" w:cs="宋体"/>
                <w:color w:val="000000"/>
                <w:kern w:val="0"/>
                <w:szCs w:val="21"/>
              </w:rPr>
            </w:pPr>
          </w:p>
        </w:tc>
        <w:tc>
          <w:tcPr>
            <w:tcW w:w="1157" w:type="dxa"/>
            <w:vMerge w:val="continue"/>
            <w:vAlign w:val="center"/>
          </w:tcPr>
          <w:p>
            <w:pPr>
              <w:widowControl/>
              <w:spacing w:line="240" w:lineRule="exact"/>
              <w:jc w:val="center"/>
              <w:rPr>
                <w:rFonts w:ascii="宋体" w:hAnsi="宋体" w:cs="宋体"/>
                <w:color w:val="000000"/>
                <w:kern w:val="0"/>
                <w:szCs w:val="21"/>
              </w:rPr>
            </w:pPr>
          </w:p>
        </w:tc>
        <w:tc>
          <w:tcPr>
            <w:tcW w:w="1911" w:type="dxa"/>
            <w:vAlign w:val="center"/>
          </w:tcPr>
          <w:p>
            <w:pPr>
              <w:spacing w:line="240" w:lineRule="exact"/>
              <w:jc w:val="left"/>
              <w:rPr>
                <w:rFonts w:ascii="宋体" w:hAnsi="宋体" w:cs="宋体"/>
                <w:color w:val="000000"/>
                <w:kern w:val="0"/>
                <w:szCs w:val="21"/>
              </w:rPr>
            </w:pPr>
            <w:r>
              <w:rPr>
                <w:rFonts w:hint="eastAsia" w:ascii="宋体" w:hAnsi="宋体" w:cs="宋体"/>
                <w:color w:val="000000"/>
                <w:kern w:val="0"/>
                <w:szCs w:val="21"/>
              </w:rPr>
              <w:t>危险警示牌</w:t>
            </w:r>
          </w:p>
        </w:tc>
        <w:tc>
          <w:tcPr>
            <w:tcW w:w="4316" w:type="dxa"/>
            <w:vAlign w:val="center"/>
          </w:tcPr>
          <w:p>
            <w:pPr>
              <w:spacing w:line="240" w:lineRule="exact"/>
              <w:jc w:val="left"/>
              <w:rPr>
                <w:rFonts w:ascii="宋体" w:hAnsi="宋体" w:cs="宋体"/>
                <w:color w:val="000000"/>
                <w:kern w:val="0"/>
                <w:szCs w:val="21"/>
              </w:rPr>
            </w:pPr>
            <w:r>
              <w:rPr>
                <w:rFonts w:hint="eastAsia" w:ascii="宋体" w:hAnsi="宋体" w:cs="宋体"/>
                <w:color w:val="000000"/>
                <w:kern w:val="0"/>
                <w:szCs w:val="21"/>
              </w:rPr>
              <w:t>灾害事故现场警戒警示。分为有毒、易燃、泄漏、爆炸、危险等五种标志，图案为反光材料。与标志杆配套使用，易燃易爆环境必须为无火花材料</w:t>
            </w:r>
          </w:p>
        </w:tc>
        <w:tc>
          <w:tcPr>
            <w:tcW w:w="726" w:type="dxa"/>
            <w:vAlign w:val="center"/>
          </w:tcPr>
          <w:p>
            <w:pPr>
              <w:spacing w:line="240" w:lineRule="exact"/>
              <w:jc w:val="center"/>
              <w:rPr>
                <w:rFonts w:ascii="宋体" w:hAnsi="宋体" w:cs="宋体"/>
                <w:color w:val="000000"/>
                <w:kern w:val="0"/>
                <w:szCs w:val="21"/>
              </w:rPr>
            </w:pPr>
            <w:r>
              <w:rPr>
                <w:rFonts w:hint="eastAsia" w:ascii="宋体" w:hAnsi="宋体" w:cs="宋体"/>
                <w:color w:val="000000"/>
                <w:kern w:val="0"/>
                <w:szCs w:val="21"/>
              </w:rPr>
              <w:t>块</w:t>
            </w:r>
          </w:p>
        </w:tc>
        <w:tc>
          <w:tcPr>
            <w:tcW w:w="503" w:type="dxa"/>
            <w:vAlign w:val="center"/>
          </w:tcPr>
          <w:p>
            <w:pPr>
              <w:spacing w:line="240" w:lineRule="exact"/>
              <w:jc w:val="center"/>
              <w:rPr>
                <w:rFonts w:ascii="宋体" w:hAnsi="宋体" w:cs="宋体"/>
                <w:color w:val="000000"/>
                <w:kern w:val="0"/>
                <w:szCs w:val="21"/>
              </w:rPr>
            </w:pPr>
            <w:r>
              <w:rPr>
                <w:rFonts w:hint="eastAsia" w:ascii="宋体" w:hAnsi="宋体" w:cs="宋体"/>
                <w:color w:val="000000"/>
                <w:kern w:val="0"/>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blHeader/>
          <w:jc w:val="center"/>
        </w:trPr>
        <w:tc>
          <w:tcPr>
            <w:tcW w:w="673" w:type="dxa"/>
            <w:vMerge w:val="restart"/>
            <w:vAlign w:val="center"/>
          </w:tcPr>
          <w:p>
            <w:pPr>
              <w:widowControl/>
              <w:numPr>
                <w:ilvl w:val="0"/>
                <w:numId w:val="9"/>
              </w:numPr>
              <w:spacing w:line="240" w:lineRule="exact"/>
              <w:jc w:val="center"/>
              <w:rPr>
                <w:rFonts w:ascii="宋体" w:hAnsi="宋体" w:cs="宋体"/>
                <w:color w:val="000000"/>
                <w:kern w:val="0"/>
                <w:szCs w:val="21"/>
              </w:rPr>
            </w:pPr>
          </w:p>
        </w:tc>
        <w:tc>
          <w:tcPr>
            <w:tcW w:w="1157" w:type="dxa"/>
            <w:vMerge w:val="restart"/>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灭火</w:t>
            </w:r>
          </w:p>
        </w:tc>
        <w:tc>
          <w:tcPr>
            <w:tcW w:w="1911" w:type="dxa"/>
            <w:vMerge w:val="restart"/>
            <w:vAlign w:val="center"/>
          </w:tcPr>
          <w:p>
            <w:pPr>
              <w:spacing w:line="240" w:lineRule="exact"/>
              <w:jc w:val="left"/>
              <w:rPr>
                <w:rFonts w:ascii="宋体" w:hAnsi="宋体" w:cs="宋体"/>
                <w:color w:val="000000"/>
                <w:kern w:val="0"/>
                <w:szCs w:val="21"/>
              </w:rPr>
            </w:pPr>
            <w:r>
              <w:rPr>
                <w:rFonts w:hint="eastAsia" w:ascii="宋体" w:hAnsi="宋体" w:cs="宋体"/>
                <w:color w:val="000000"/>
                <w:kern w:val="0"/>
                <w:szCs w:val="21"/>
              </w:rPr>
              <w:t>干粉灭火器</w:t>
            </w:r>
          </w:p>
        </w:tc>
        <w:tc>
          <w:tcPr>
            <w:tcW w:w="4316" w:type="dxa"/>
            <w:vMerge w:val="restart"/>
            <w:vAlign w:val="center"/>
          </w:tcPr>
          <w:p>
            <w:pPr>
              <w:spacing w:line="240" w:lineRule="exact"/>
              <w:jc w:val="left"/>
            </w:pPr>
            <w:r>
              <w:rPr>
                <w:rFonts w:hint="eastAsia"/>
              </w:rPr>
              <w:t>扑救小面积火灾</w:t>
            </w:r>
          </w:p>
        </w:tc>
        <w:tc>
          <w:tcPr>
            <w:tcW w:w="726" w:type="dxa"/>
            <w:vAlign w:val="center"/>
          </w:tcPr>
          <w:p>
            <w:pPr>
              <w:spacing w:line="240" w:lineRule="exact"/>
              <w:jc w:val="center"/>
              <w:rPr>
                <w:rFonts w:ascii="宋体" w:hAnsi="宋体" w:cs="宋体"/>
                <w:color w:val="000000"/>
                <w:kern w:val="0"/>
                <w:szCs w:val="21"/>
              </w:rPr>
            </w:pPr>
            <w:r>
              <w:rPr>
                <w:rFonts w:hint="eastAsia" w:ascii="宋体" w:hAnsi="宋体" w:cs="宋体"/>
                <w:color w:val="000000"/>
                <w:kern w:val="0"/>
                <w:szCs w:val="21"/>
              </w:rPr>
              <w:t>4Kg</w:t>
            </w:r>
          </w:p>
        </w:tc>
        <w:tc>
          <w:tcPr>
            <w:tcW w:w="503" w:type="dxa"/>
            <w:vAlign w:val="center"/>
          </w:tcPr>
          <w:p>
            <w:pPr>
              <w:spacing w:line="240" w:lineRule="exact"/>
              <w:jc w:val="center"/>
              <w:rPr>
                <w:rFonts w:hint="default" w:ascii="宋体" w:hAnsi="宋体" w:cs="宋体" w:eastAsiaTheme="minorEastAsia"/>
                <w:color w:val="000000"/>
                <w:kern w:val="0"/>
                <w:szCs w:val="21"/>
                <w:lang w:val="en-US" w:eastAsia="zh-CN"/>
              </w:rPr>
            </w:pPr>
            <w:r>
              <w:rPr>
                <w:rFonts w:hint="eastAsia" w:ascii="宋体" w:hAnsi="宋体" w:cs="宋体"/>
                <w:color w:val="000000"/>
                <w:kern w:val="0"/>
                <w:szCs w:val="21"/>
                <w:lang w:val="en-US" w:eastAsia="zh-CN"/>
              </w:rPr>
              <w:t>14</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blHeader/>
          <w:jc w:val="center"/>
        </w:trPr>
        <w:tc>
          <w:tcPr>
            <w:tcW w:w="673" w:type="dxa"/>
            <w:vMerge w:val="continue"/>
            <w:vAlign w:val="center"/>
          </w:tcPr>
          <w:p>
            <w:pPr>
              <w:spacing w:line="240" w:lineRule="exact"/>
              <w:jc w:val="center"/>
            </w:pPr>
          </w:p>
        </w:tc>
        <w:tc>
          <w:tcPr>
            <w:tcW w:w="1157" w:type="dxa"/>
            <w:vMerge w:val="continue"/>
            <w:vAlign w:val="center"/>
          </w:tcPr>
          <w:p>
            <w:pPr>
              <w:spacing w:line="240" w:lineRule="exact"/>
              <w:jc w:val="center"/>
            </w:pPr>
          </w:p>
        </w:tc>
        <w:tc>
          <w:tcPr>
            <w:tcW w:w="1911" w:type="dxa"/>
            <w:vMerge w:val="continue"/>
            <w:vAlign w:val="center"/>
          </w:tcPr>
          <w:p>
            <w:pPr>
              <w:spacing w:line="240" w:lineRule="exact"/>
              <w:jc w:val="center"/>
            </w:pPr>
          </w:p>
        </w:tc>
        <w:tc>
          <w:tcPr>
            <w:tcW w:w="4316" w:type="dxa"/>
            <w:vMerge w:val="continue"/>
            <w:vAlign w:val="center"/>
          </w:tcPr>
          <w:p>
            <w:pPr>
              <w:spacing w:line="240" w:lineRule="exact"/>
              <w:jc w:val="center"/>
            </w:pPr>
          </w:p>
        </w:tc>
        <w:tc>
          <w:tcPr>
            <w:tcW w:w="726" w:type="dxa"/>
            <w:vAlign w:val="center"/>
          </w:tcPr>
          <w:p>
            <w:pPr>
              <w:spacing w:line="240" w:lineRule="exact"/>
              <w:jc w:val="center"/>
              <w:rPr>
                <w:rFonts w:hint="default" w:ascii="宋体" w:hAnsi="宋体" w:cs="宋体" w:eastAsiaTheme="minorEastAsia"/>
                <w:color w:val="000000"/>
                <w:kern w:val="0"/>
                <w:szCs w:val="21"/>
                <w:lang w:val="en-US" w:eastAsia="zh-CN"/>
              </w:rPr>
            </w:pPr>
            <w:r>
              <w:rPr>
                <w:rFonts w:hint="eastAsia" w:ascii="宋体" w:hAnsi="宋体" w:cs="宋体"/>
                <w:color w:val="000000"/>
                <w:kern w:val="0"/>
                <w:szCs w:val="21"/>
                <w:lang w:val="en-US" w:eastAsia="zh-CN"/>
              </w:rPr>
              <w:t>2kg</w:t>
            </w:r>
          </w:p>
        </w:tc>
        <w:tc>
          <w:tcPr>
            <w:tcW w:w="503" w:type="dxa"/>
            <w:vAlign w:val="center"/>
          </w:tcPr>
          <w:p>
            <w:pPr>
              <w:spacing w:line="240" w:lineRule="exact"/>
              <w:jc w:val="center"/>
              <w:rPr>
                <w:rFonts w:hint="eastAsia" w:ascii="宋体" w:hAnsi="宋体" w:cs="宋体" w:eastAsiaTheme="minorEastAsia"/>
                <w:color w:val="000000"/>
                <w:kern w:val="0"/>
                <w:szCs w:val="21"/>
                <w:lang w:val="en-US" w:eastAsia="zh-CN"/>
              </w:rPr>
            </w:pPr>
            <w:r>
              <w:rPr>
                <w:rFonts w:hint="eastAsia" w:ascii="宋体" w:hAnsi="宋体" w:cs="宋体"/>
                <w:color w:val="000000"/>
                <w:kern w:val="0"/>
                <w:szCs w:val="21"/>
                <w:lang w:val="en-US" w:eastAsia="zh-CN"/>
              </w:rPr>
              <w:t>5</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blHeader/>
          <w:jc w:val="center"/>
        </w:trPr>
        <w:tc>
          <w:tcPr>
            <w:tcW w:w="673" w:type="dxa"/>
            <w:vAlign w:val="center"/>
          </w:tcPr>
          <w:p>
            <w:pPr>
              <w:widowControl/>
              <w:numPr>
                <w:ilvl w:val="0"/>
                <w:numId w:val="9"/>
              </w:numPr>
              <w:spacing w:line="240" w:lineRule="exact"/>
              <w:jc w:val="center"/>
              <w:rPr>
                <w:rFonts w:ascii="宋体" w:hAnsi="宋体" w:cs="宋体"/>
                <w:color w:val="000000"/>
                <w:kern w:val="0"/>
                <w:szCs w:val="21"/>
              </w:rPr>
            </w:pPr>
          </w:p>
        </w:tc>
        <w:tc>
          <w:tcPr>
            <w:tcW w:w="1157" w:type="dxa"/>
            <w:vMerge w:val="continue"/>
            <w:vAlign w:val="center"/>
          </w:tcPr>
          <w:p>
            <w:pPr>
              <w:widowControl/>
              <w:spacing w:line="240" w:lineRule="exact"/>
              <w:jc w:val="center"/>
              <w:rPr>
                <w:rFonts w:ascii="宋体" w:hAnsi="宋体" w:cs="宋体"/>
                <w:color w:val="000000"/>
                <w:kern w:val="0"/>
                <w:szCs w:val="21"/>
              </w:rPr>
            </w:pPr>
          </w:p>
        </w:tc>
        <w:tc>
          <w:tcPr>
            <w:tcW w:w="1911" w:type="dxa"/>
            <w:vMerge w:val="restart"/>
            <w:vAlign w:val="center"/>
          </w:tcPr>
          <w:p>
            <w:pPr>
              <w:spacing w:line="240" w:lineRule="exact"/>
              <w:jc w:val="left"/>
              <w:rPr>
                <w:rFonts w:ascii="宋体" w:hAnsi="宋体" w:cs="宋体"/>
                <w:color w:val="000000"/>
                <w:kern w:val="0"/>
                <w:szCs w:val="21"/>
              </w:rPr>
            </w:pPr>
            <w:r>
              <w:rPr>
                <w:rFonts w:hint="eastAsia" w:ascii="宋体" w:hAnsi="宋体" w:cs="宋体"/>
                <w:color w:val="000000"/>
                <w:kern w:val="0"/>
                <w:szCs w:val="21"/>
              </w:rPr>
              <w:t>二氧化碳灭化器</w:t>
            </w:r>
          </w:p>
        </w:tc>
        <w:tc>
          <w:tcPr>
            <w:tcW w:w="4316" w:type="dxa"/>
            <w:vMerge w:val="restart"/>
            <w:vAlign w:val="center"/>
          </w:tcPr>
          <w:p>
            <w:pPr>
              <w:spacing w:line="240" w:lineRule="exact"/>
              <w:jc w:val="left"/>
            </w:pPr>
            <w:r>
              <w:rPr>
                <w:rFonts w:hint="eastAsia"/>
              </w:rPr>
              <w:t>扑救小面积火灾</w:t>
            </w:r>
          </w:p>
        </w:tc>
        <w:tc>
          <w:tcPr>
            <w:tcW w:w="726" w:type="dxa"/>
            <w:vMerge w:val="restart"/>
            <w:vAlign w:val="center"/>
          </w:tcPr>
          <w:p>
            <w:pPr>
              <w:spacing w:line="240" w:lineRule="exact"/>
              <w:jc w:val="center"/>
              <w:rPr>
                <w:rFonts w:ascii="宋体" w:hAnsi="宋体" w:cs="宋体"/>
                <w:color w:val="000000"/>
                <w:kern w:val="0"/>
                <w:szCs w:val="21"/>
              </w:rPr>
            </w:pPr>
            <w:r>
              <w:rPr>
                <w:rFonts w:hint="eastAsia" w:ascii="宋体" w:hAnsi="宋体" w:cs="宋体"/>
                <w:color w:val="000000"/>
                <w:kern w:val="0"/>
                <w:szCs w:val="21"/>
              </w:rPr>
              <w:t>3kg</w:t>
            </w:r>
          </w:p>
        </w:tc>
        <w:tc>
          <w:tcPr>
            <w:tcW w:w="503" w:type="dxa"/>
            <w:vMerge w:val="restart"/>
            <w:vAlign w:val="center"/>
          </w:tcPr>
          <w:p>
            <w:pPr>
              <w:spacing w:line="240" w:lineRule="exact"/>
              <w:jc w:val="center"/>
              <w:rPr>
                <w:rFonts w:hint="eastAsia" w:ascii="宋体" w:hAnsi="宋体" w:cs="宋体" w:eastAsiaTheme="minorEastAsia"/>
                <w:color w:val="000000"/>
                <w:kern w:val="0"/>
                <w:szCs w:val="21"/>
                <w:lang w:eastAsia="zh-CN"/>
              </w:rPr>
            </w:pPr>
            <w:r>
              <w:rPr>
                <w:rFonts w:hint="eastAsia" w:ascii="宋体" w:hAnsi="宋体" w:cs="宋体"/>
                <w:color w:val="000000"/>
                <w:kern w:val="0"/>
                <w:szCs w:val="21"/>
                <w:lang w:val="en-US" w:eastAsia="zh-CN"/>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blHeader/>
          <w:jc w:val="center"/>
        </w:trPr>
        <w:tc>
          <w:tcPr>
            <w:tcW w:w="673" w:type="dxa"/>
            <w:vAlign w:val="center"/>
          </w:tcPr>
          <w:p>
            <w:pPr>
              <w:widowControl/>
              <w:numPr>
                <w:ilvl w:val="0"/>
                <w:numId w:val="9"/>
              </w:numPr>
              <w:spacing w:line="240" w:lineRule="exact"/>
              <w:jc w:val="center"/>
              <w:rPr>
                <w:rFonts w:ascii="宋体" w:hAnsi="宋体" w:cs="宋体"/>
                <w:color w:val="000000"/>
                <w:kern w:val="0"/>
                <w:szCs w:val="21"/>
              </w:rPr>
            </w:pPr>
          </w:p>
        </w:tc>
        <w:tc>
          <w:tcPr>
            <w:tcW w:w="1157" w:type="dxa"/>
            <w:vMerge w:val="continue"/>
            <w:vAlign w:val="center"/>
          </w:tcPr>
          <w:p>
            <w:pPr>
              <w:widowControl/>
              <w:spacing w:line="240" w:lineRule="exact"/>
              <w:jc w:val="center"/>
              <w:rPr>
                <w:rFonts w:ascii="宋体" w:hAnsi="宋体" w:cs="宋体"/>
                <w:color w:val="000000"/>
                <w:kern w:val="0"/>
                <w:szCs w:val="21"/>
              </w:rPr>
            </w:pPr>
          </w:p>
        </w:tc>
        <w:tc>
          <w:tcPr>
            <w:tcW w:w="1911" w:type="dxa"/>
            <w:vMerge w:val="continue"/>
            <w:vAlign w:val="center"/>
          </w:tcPr>
          <w:p>
            <w:pPr>
              <w:spacing w:line="240" w:lineRule="exact"/>
              <w:jc w:val="left"/>
              <w:rPr>
                <w:rFonts w:ascii="宋体" w:hAnsi="宋体" w:cs="宋体"/>
                <w:color w:val="000000"/>
                <w:kern w:val="0"/>
                <w:szCs w:val="21"/>
              </w:rPr>
            </w:pPr>
          </w:p>
        </w:tc>
        <w:tc>
          <w:tcPr>
            <w:tcW w:w="4316" w:type="dxa"/>
            <w:vMerge w:val="continue"/>
            <w:vAlign w:val="center"/>
          </w:tcPr>
          <w:p>
            <w:pPr>
              <w:spacing w:line="240" w:lineRule="exact"/>
              <w:jc w:val="left"/>
              <w:rPr>
                <w:rFonts w:ascii="宋体" w:hAnsi="宋体" w:cs="宋体"/>
                <w:color w:val="000000"/>
                <w:kern w:val="0"/>
                <w:szCs w:val="21"/>
              </w:rPr>
            </w:pPr>
          </w:p>
        </w:tc>
        <w:tc>
          <w:tcPr>
            <w:tcW w:w="726" w:type="dxa"/>
            <w:vMerge w:val="continue"/>
            <w:vAlign w:val="center"/>
          </w:tcPr>
          <w:p>
            <w:pPr>
              <w:spacing w:line="240" w:lineRule="exact"/>
              <w:jc w:val="center"/>
              <w:rPr>
                <w:rFonts w:ascii="宋体" w:hAnsi="宋体" w:cs="宋体"/>
                <w:bCs/>
                <w:color w:val="000000"/>
                <w:kern w:val="44"/>
                <w:szCs w:val="21"/>
              </w:rPr>
            </w:pPr>
          </w:p>
        </w:tc>
        <w:tc>
          <w:tcPr>
            <w:tcW w:w="503" w:type="dxa"/>
            <w:vMerge w:val="continue"/>
            <w:vAlign w:val="center"/>
          </w:tcPr>
          <w:p>
            <w:pPr>
              <w:spacing w:line="240" w:lineRule="exact"/>
              <w:jc w:val="center"/>
              <w:rPr>
                <w:rFonts w:ascii="宋体" w:hAnsi="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blHeader/>
          <w:jc w:val="center"/>
        </w:trPr>
        <w:tc>
          <w:tcPr>
            <w:tcW w:w="673" w:type="dxa"/>
            <w:vAlign w:val="center"/>
          </w:tcPr>
          <w:p>
            <w:pPr>
              <w:widowControl/>
              <w:numPr>
                <w:ilvl w:val="0"/>
                <w:numId w:val="9"/>
              </w:numPr>
              <w:spacing w:line="240" w:lineRule="exact"/>
              <w:jc w:val="center"/>
              <w:rPr>
                <w:rFonts w:ascii="宋体" w:hAnsi="宋体" w:cs="宋体"/>
                <w:color w:val="000000"/>
                <w:kern w:val="0"/>
                <w:szCs w:val="21"/>
              </w:rPr>
            </w:pPr>
          </w:p>
        </w:tc>
        <w:tc>
          <w:tcPr>
            <w:tcW w:w="1157" w:type="dxa"/>
            <w:vMerge w:val="continue"/>
            <w:vAlign w:val="center"/>
          </w:tcPr>
          <w:p>
            <w:pPr>
              <w:widowControl/>
              <w:spacing w:line="240" w:lineRule="exact"/>
              <w:jc w:val="center"/>
              <w:rPr>
                <w:rFonts w:ascii="宋体" w:hAnsi="宋体" w:cs="宋体"/>
                <w:color w:val="000000"/>
                <w:kern w:val="0"/>
                <w:szCs w:val="21"/>
              </w:rPr>
            </w:pPr>
          </w:p>
        </w:tc>
        <w:tc>
          <w:tcPr>
            <w:tcW w:w="1911" w:type="dxa"/>
            <w:vAlign w:val="center"/>
          </w:tcPr>
          <w:p>
            <w:pPr>
              <w:spacing w:line="240" w:lineRule="exact"/>
              <w:jc w:val="left"/>
              <w:rPr>
                <w:rFonts w:ascii="宋体" w:hAnsi="宋体" w:cs="宋体"/>
                <w:color w:val="000000"/>
                <w:kern w:val="0"/>
                <w:szCs w:val="21"/>
              </w:rPr>
            </w:pPr>
            <w:r>
              <w:rPr>
                <w:rFonts w:hint="eastAsia" w:ascii="宋体" w:hAnsi="宋体" w:cs="宋体"/>
                <w:color w:val="000000"/>
                <w:kern w:val="0"/>
                <w:szCs w:val="21"/>
              </w:rPr>
              <w:t>推车式干粉灭火器</w:t>
            </w:r>
          </w:p>
        </w:tc>
        <w:tc>
          <w:tcPr>
            <w:tcW w:w="4316" w:type="dxa"/>
            <w:vAlign w:val="center"/>
          </w:tcPr>
          <w:p>
            <w:pPr>
              <w:spacing w:line="240" w:lineRule="exact"/>
              <w:jc w:val="left"/>
              <w:rPr>
                <w:rFonts w:ascii="宋体" w:hAnsi="宋体" w:cs="宋体"/>
                <w:color w:val="000000"/>
                <w:kern w:val="0"/>
                <w:szCs w:val="21"/>
              </w:rPr>
            </w:pPr>
            <w:r>
              <w:rPr>
                <w:rFonts w:hint="eastAsia" w:ascii="宋体" w:hAnsi="宋体" w:cs="宋体"/>
                <w:color w:val="000000"/>
                <w:kern w:val="0"/>
                <w:szCs w:val="21"/>
              </w:rPr>
              <w:t>扑救小面积火灾</w:t>
            </w:r>
          </w:p>
        </w:tc>
        <w:tc>
          <w:tcPr>
            <w:tcW w:w="726" w:type="dxa"/>
            <w:vAlign w:val="center"/>
          </w:tcPr>
          <w:p>
            <w:pPr>
              <w:spacing w:line="240" w:lineRule="exact"/>
              <w:jc w:val="center"/>
              <w:rPr>
                <w:rFonts w:ascii="宋体" w:hAnsi="宋体" w:cs="宋体"/>
                <w:color w:val="000000"/>
                <w:kern w:val="0"/>
                <w:szCs w:val="21"/>
              </w:rPr>
            </w:pPr>
            <w:r>
              <w:rPr>
                <w:rFonts w:hint="eastAsia" w:ascii="宋体" w:hAnsi="宋体" w:cs="宋体"/>
                <w:bCs/>
                <w:color w:val="000000"/>
                <w:kern w:val="44"/>
                <w:szCs w:val="21"/>
              </w:rPr>
              <w:t>35kg</w:t>
            </w:r>
          </w:p>
        </w:tc>
        <w:tc>
          <w:tcPr>
            <w:tcW w:w="503" w:type="dxa"/>
            <w:vAlign w:val="center"/>
          </w:tcPr>
          <w:p>
            <w:pPr>
              <w:spacing w:line="240" w:lineRule="exact"/>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blHeader/>
          <w:jc w:val="center"/>
        </w:trPr>
        <w:tc>
          <w:tcPr>
            <w:tcW w:w="673" w:type="dxa"/>
            <w:vAlign w:val="center"/>
          </w:tcPr>
          <w:p>
            <w:pPr>
              <w:widowControl/>
              <w:numPr>
                <w:ilvl w:val="0"/>
                <w:numId w:val="9"/>
              </w:numPr>
              <w:spacing w:line="240" w:lineRule="exact"/>
              <w:jc w:val="center"/>
              <w:rPr>
                <w:rFonts w:ascii="宋体" w:hAnsi="宋体" w:cs="宋体"/>
                <w:color w:val="000000"/>
                <w:kern w:val="0"/>
                <w:szCs w:val="21"/>
              </w:rPr>
            </w:pPr>
          </w:p>
        </w:tc>
        <w:tc>
          <w:tcPr>
            <w:tcW w:w="1157" w:type="dxa"/>
            <w:vMerge w:val="continue"/>
            <w:vAlign w:val="center"/>
          </w:tcPr>
          <w:p>
            <w:pPr>
              <w:widowControl/>
              <w:spacing w:line="240" w:lineRule="exact"/>
              <w:jc w:val="center"/>
              <w:rPr>
                <w:rFonts w:ascii="宋体" w:hAnsi="宋体" w:cs="宋体"/>
                <w:color w:val="000000"/>
                <w:kern w:val="0"/>
                <w:szCs w:val="21"/>
              </w:rPr>
            </w:pPr>
          </w:p>
        </w:tc>
        <w:tc>
          <w:tcPr>
            <w:tcW w:w="1911" w:type="dxa"/>
            <w:vAlign w:val="center"/>
          </w:tcPr>
          <w:p>
            <w:pPr>
              <w:spacing w:line="240" w:lineRule="exact"/>
              <w:jc w:val="left"/>
              <w:rPr>
                <w:rFonts w:ascii="宋体" w:hAnsi="宋体" w:cs="宋体"/>
                <w:color w:val="000000"/>
                <w:kern w:val="0"/>
                <w:szCs w:val="21"/>
              </w:rPr>
            </w:pPr>
            <w:r>
              <w:rPr>
                <w:rFonts w:hint="eastAsia" w:ascii="宋体" w:hAnsi="宋体" w:cs="宋体"/>
                <w:color w:val="000000"/>
                <w:kern w:val="0"/>
                <w:szCs w:val="21"/>
              </w:rPr>
              <w:t>灭火毯</w:t>
            </w:r>
          </w:p>
        </w:tc>
        <w:tc>
          <w:tcPr>
            <w:tcW w:w="4316" w:type="dxa"/>
            <w:vAlign w:val="center"/>
          </w:tcPr>
          <w:p>
            <w:pPr>
              <w:spacing w:line="240" w:lineRule="exact"/>
              <w:jc w:val="left"/>
              <w:rPr>
                <w:rFonts w:ascii="宋体" w:hAnsi="宋体" w:cs="宋体"/>
                <w:color w:val="000000"/>
                <w:kern w:val="0"/>
                <w:szCs w:val="21"/>
              </w:rPr>
            </w:pPr>
            <w:r>
              <w:rPr>
                <w:rFonts w:hint="eastAsia" w:ascii="宋体" w:hAnsi="宋体" w:cs="宋体"/>
                <w:color w:val="000000"/>
                <w:kern w:val="0"/>
                <w:szCs w:val="21"/>
              </w:rPr>
              <w:t>扑救小面积火灾，1×1m</w:t>
            </w:r>
          </w:p>
        </w:tc>
        <w:tc>
          <w:tcPr>
            <w:tcW w:w="726" w:type="dxa"/>
            <w:vAlign w:val="center"/>
          </w:tcPr>
          <w:p>
            <w:pPr>
              <w:spacing w:line="240" w:lineRule="exact"/>
              <w:jc w:val="center"/>
              <w:rPr>
                <w:rFonts w:ascii="宋体" w:hAnsi="宋体" w:cs="宋体"/>
                <w:color w:val="000000"/>
                <w:kern w:val="0"/>
                <w:szCs w:val="21"/>
              </w:rPr>
            </w:pPr>
            <w:r>
              <w:rPr>
                <w:rFonts w:hint="eastAsia" w:ascii="宋体" w:hAnsi="宋体" w:cs="宋体"/>
                <w:color w:val="000000"/>
                <w:kern w:val="0"/>
                <w:szCs w:val="21"/>
              </w:rPr>
              <w:t>块</w:t>
            </w:r>
          </w:p>
        </w:tc>
        <w:tc>
          <w:tcPr>
            <w:tcW w:w="503" w:type="dxa"/>
            <w:vAlign w:val="center"/>
          </w:tcPr>
          <w:p>
            <w:pPr>
              <w:spacing w:line="240" w:lineRule="exact"/>
              <w:jc w:val="center"/>
              <w:rPr>
                <w:rFonts w:hint="eastAsia" w:ascii="宋体" w:hAnsi="宋体" w:cs="宋体" w:eastAsiaTheme="minorEastAsia"/>
                <w:color w:val="000000"/>
                <w:kern w:val="0"/>
                <w:szCs w:val="21"/>
                <w:lang w:eastAsia="zh-CN"/>
              </w:rPr>
            </w:pPr>
            <w:r>
              <w:rPr>
                <w:rFonts w:hint="eastAsia" w:ascii="宋体" w:hAnsi="宋体" w:cs="宋体"/>
                <w:color w:val="000000"/>
                <w:kern w:val="0"/>
                <w:szCs w:val="21"/>
                <w:lang w:val="en-US" w:eastAsia="zh-CN"/>
              </w:rPr>
              <w:t>5</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blHeader/>
          <w:jc w:val="center"/>
        </w:trPr>
        <w:tc>
          <w:tcPr>
            <w:tcW w:w="673" w:type="dxa"/>
            <w:vAlign w:val="center"/>
          </w:tcPr>
          <w:p>
            <w:pPr>
              <w:widowControl/>
              <w:numPr>
                <w:ilvl w:val="0"/>
                <w:numId w:val="9"/>
              </w:numPr>
              <w:spacing w:line="240" w:lineRule="exact"/>
              <w:jc w:val="center"/>
              <w:rPr>
                <w:rFonts w:ascii="宋体" w:hAnsi="宋体" w:cs="宋体"/>
                <w:color w:val="000000"/>
                <w:kern w:val="0"/>
                <w:szCs w:val="21"/>
              </w:rPr>
            </w:pPr>
          </w:p>
        </w:tc>
        <w:tc>
          <w:tcPr>
            <w:tcW w:w="1157" w:type="dxa"/>
            <w:vMerge w:val="restart"/>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照明</w:t>
            </w:r>
          </w:p>
        </w:tc>
        <w:tc>
          <w:tcPr>
            <w:tcW w:w="1911" w:type="dxa"/>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kern w:val="0"/>
                <w:szCs w:val="21"/>
              </w:rPr>
              <w:t>应急照明</w:t>
            </w:r>
          </w:p>
        </w:tc>
        <w:tc>
          <w:tcPr>
            <w:tcW w:w="4316" w:type="dxa"/>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kern w:val="0"/>
                <w:szCs w:val="21"/>
              </w:rPr>
              <w:t>灾害现场应急照明</w:t>
            </w:r>
          </w:p>
        </w:tc>
        <w:tc>
          <w:tcPr>
            <w:tcW w:w="726" w:type="dxa"/>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个</w:t>
            </w:r>
          </w:p>
        </w:tc>
        <w:tc>
          <w:tcPr>
            <w:tcW w:w="503" w:type="dxa"/>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blHeader/>
          <w:jc w:val="center"/>
        </w:trPr>
        <w:tc>
          <w:tcPr>
            <w:tcW w:w="673" w:type="dxa"/>
          </w:tcPr>
          <w:p>
            <w:pPr>
              <w:widowControl/>
              <w:numPr>
                <w:ilvl w:val="0"/>
                <w:numId w:val="9"/>
              </w:numPr>
              <w:spacing w:line="240" w:lineRule="exact"/>
              <w:jc w:val="center"/>
              <w:rPr>
                <w:rFonts w:ascii="宋体" w:hAnsi="宋体" w:cs="宋体"/>
                <w:color w:val="000000"/>
                <w:kern w:val="0"/>
                <w:szCs w:val="21"/>
              </w:rPr>
            </w:pPr>
          </w:p>
        </w:tc>
        <w:tc>
          <w:tcPr>
            <w:tcW w:w="1157" w:type="dxa"/>
            <w:vMerge w:val="continue"/>
          </w:tcPr>
          <w:p>
            <w:pPr>
              <w:widowControl/>
              <w:spacing w:line="240" w:lineRule="exact"/>
              <w:jc w:val="center"/>
              <w:rPr>
                <w:rFonts w:ascii="宋体" w:hAnsi="宋体" w:cs="宋体"/>
                <w:color w:val="000000"/>
                <w:kern w:val="0"/>
                <w:szCs w:val="21"/>
              </w:rPr>
            </w:pPr>
          </w:p>
        </w:tc>
        <w:tc>
          <w:tcPr>
            <w:tcW w:w="191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摄像头</w:t>
            </w:r>
          </w:p>
        </w:tc>
        <w:tc>
          <w:tcPr>
            <w:tcW w:w="4316"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预防</w:t>
            </w:r>
          </w:p>
        </w:tc>
        <w:tc>
          <w:tcPr>
            <w:tcW w:w="726"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50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r>
    </w:tbl>
    <w:p>
      <w:pPr>
        <w:pStyle w:val="5"/>
        <w:spacing w:after="140" w:line="360" w:lineRule="auto"/>
        <w:rPr>
          <w:color w:val="000000"/>
        </w:rPr>
        <w:sectPr>
          <w:headerReference r:id="rId6" w:type="first"/>
          <w:pgSz w:w="11906" w:h="16838"/>
          <w:pgMar w:top="1418" w:right="1418" w:bottom="1418" w:left="1418" w:header="1021" w:footer="1021" w:gutter="0"/>
          <w:cols w:space="720" w:num="1"/>
          <w:titlePg/>
          <w:docGrid w:linePitch="435" w:charSpace="0"/>
        </w:sectPr>
      </w:pPr>
      <w:bookmarkStart w:id="0" w:name="_Toc957"/>
    </w:p>
    <w:p>
      <w:pPr>
        <w:pStyle w:val="5"/>
        <w:tabs>
          <w:tab w:val="left" w:pos="3014"/>
        </w:tabs>
        <w:spacing w:after="140" w:line="240" w:lineRule="auto"/>
        <w:rPr>
          <w:color w:val="000000"/>
        </w:rPr>
      </w:pPr>
    </w:p>
    <w:p>
      <w:pPr>
        <w:pStyle w:val="5"/>
        <w:spacing w:after="140" w:line="240" w:lineRule="auto"/>
        <w:ind w:firstLine="2891" w:firstLineChars="900"/>
        <w:rPr>
          <w:color w:val="000000"/>
        </w:rPr>
      </w:pPr>
      <w:r>
        <w:rPr>
          <w:rFonts w:hint="eastAsia"/>
          <w:color w:val="000000"/>
        </w:rPr>
        <w:t>.火灾爆炸现场处置</w:t>
      </w:r>
      <w:bookmarkEnd w:id="0"/>
      <w:r>
        <w:rPr>
          <w:rFonts w:hint="eastAsia"/>
          <w:color w:val="000000"/>
        </w:rPr>
        <w:t>措施</w:t>
      </w:r>
    </w:p>
    <w:p>
      <w:pPr>
        <w:pStyle w:val="6"/>
        <w:spacing w:before="140" w:after="20"/>
        <w:jc w:val="center"/>
        <w:rPr>
          <w:rFonts w:hint="default"/>
          <w:color w:val="000000"/>
        </w:rPr>
      </w:pPr>
      <w:bookmarkStart w:id="1" w:name="_Toc24234"/>
      <w:r>
        <w:rPr>
          <w:color w:val="000000"/>
        </w:rPr>
        <w:t>卸油作业起火应急处置</w:t>
      </w:r>
      <w:bookmarkEnd w:id="1"/>
      <w:r>
        <w:rPr>
          <w:color w:val="000000"/>
        </w:rPr>
        <w:t>措施</w:t>
      </w:r>
    </w:p>
    <w:p>
      <w:pPr>
        <w:rPr>
          <w:color w:val="000000"/>
        </w:rPr>
      </w:pPr>
    </w:p>
    <w:tbl>
      <w:tblPr>
        <w:tblStyle w:val="18"/>
        <w:tblW w:w="9286"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6658"/>
        <w:gridCol w:w="143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tcPr>
          <w:p>
            <w:pPr>
              <w:spacing w:line="34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步骤</w:t>
            </w:r>
          </w:p>
        </w:tc>
        <w:tc>
          <w:tcPr>
            <w:tcW w:w="6658" w:type="dxa"/>
          </w:tcPr>
          <w:p>
            <w:pPr>
              <w:spacing w:line="34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处置</w:t>
            </w:r>
          </w:p>
        </w:tc>
        <w:tc>
          <w:tcPr>
            <w:tcW w:w="1439" w:type="dxa"/>
          </w:tcPr>
          <w:p>
            <w:pPr>
              <w:spacing w:line="34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负责人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189" w:type="dxa"/>
            <w:vMerge w:val="restart"/>
            <w:vAlign w:val="center"/>
          </w:tcPr>
          <w:p>
            <w:pPr>
              <w:spacing w:line="340" w:lineRule="exact"/>
              <w:jc w:val="center"/>
              <w:rPr>
                <w:rFonts w:ascii="仿宋_GB2312" w:hAnsi="宋体" w:eastAsia="仿宋_GB2312"/>
                <w:color w:val="000000"/>
                <w:sz w:val="24"/>
              </w:rPr>
            </w:pPr>
            <w:r>
              <w:rPr>
                <w:rFonts w:hint="eastAsia" w:ascii="仿宋_GB2312" w:hAnsi="宋体" w:eastAsia="仿宋_GB2312"/>
                <w:color w:val="000000"/>
                <w:sz w:val="24"/>
              </w:rPr>
              <w:t>报警</w:t>
            </w:r>
          </w:p>
        </w:tc>
        <w:tc>
          <w:tcPr>
            <w:tcW w:w="6658" w:type="dxa"/>
          </w:tcPr>
          <w:p>
            <w:pPr>
              <w:spacing w:line="340" w:lineRule="exact"/>
              <w:rPr>
                <w:rFonts w:ascii="仿宋_GB2312" w:hAnsi="宋体" w:eastAsia="仿宋_GB2312"/>
                <w:color w:val="000000"/>
                <w:sz w:val="24"/>
              </w:rPr>
            </w:pPr>
            <w:r>
              <w:rPr>
                <w:rFonts w:hint="eastAsia" w:ascii="仿宋_GB2312" w:hAnsi="宋体" w:eastAsia="仿宋_GB2312"/>
                <w:color w:val="000000"/>
                <w:sz w:val="24"/>
              </w:rPr>
              <w:t>发现卸油作业过程中罐车、卸油口、油罐口起火，现场卸油员大声呼救，应立即用现场消防器材扑救初期火灾，并向报告。</w:t>
            </w:r>
          </w:p>
        </w:tc>
        <w:tc>
          <w:tcPr>
            <w:tcW w:w="1439" w:type="dxa"/>
            <w:vAlign w:val="center"/>
          </w:tcPr>
          <w:p>
            <w:pPr>
              <w:spacing w:line="340" w:lineRule="exact"/>
              <w:jc w:val="center"/>
              <w:rPr>
                <w:rFonts w:ascii="仿宋_GB2312" w:hAnsi="宋体" w:eastAsia="仿宋_GB2312"/>
                <w:color w:val="000000"/>
                <w:sz w:val="24"/>
              </w:rPr>
            </w:pPr>
            <w:r>
              <w:rPr>
                <w:rFonts w:hint="eastAsia" w:ascii="仿宋_GB2312" w:hAnsi="宋体" w:eastAsia="仿宋_GB2312"/>
                <w:color w:val="000000"/>
                <w:sz w:val="24"/>
              </w:rPr>
              <w:t>现场卸油员</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9" w:type="dxa"/>
            <w:vMerge w:val="continue"/>
          </w:tcPr>
          <w:p>
            <w:pPr>
              <w:spacing w:line="340" w:lineRule="exact"/>
              <w:rPr>
                <w:rFonts w:ascii="仿宋_GB2312" w:hAnsi="宋体" w:eastAsia="仿宋_GB2312"/>
                <w:color w:val="000000"/>
                <w:sz w:val="24"/>
              </w:rPr>
            </w:pPr>
          </w:p>
        </w:tc>
        <w:tc>
          <w:tcPr>
            <w:tcW w:w="6658" w:type="dxa"/>
          </w:tcPr>
          <w:p>
            <w:pPr>
              <w:spacing w:line="340" w:lineRule="exact"/>
              <w:rPr>
                <w:rFonts w:ascii="仿宋_GB2312" w:hAnsi="宋体" w:eastAsia="仿宋_GB2312"/>
                <w:color w:val="000000"/>
                <w:sz w:val="24"/>
              </w:rPr>
            </w:pPr>
            <w:r>
              <w:rPr>
                <w:rFonts w:hint="eastAsia" w:ascii="仿宋_GB2312" w:hAnsi="宋体" w:eastAsia="仿宋_GB2312"/>
                <w:color w:val="000000"/>
                <w:sz w:val="24"/>
              </w:rPr>
              <w:t>视情况向上级主管部门报告或拨打119、110电话，有人受伤时拨打120。</w:t>
            </w:r>
          </w:p>
        </w:tc>
        <w:tc>
          <w:tcPr>
            <w:tcW w:w="1439" w:type="dxa"/>
            <w:vAlign w:val="center"/>
          </w:tcPr>
          <w:p>
            <w:pPr>
              <w:spacing w:line="340" w:lineRule="exact"/>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9" w:type="dxa"/>
            <w:vMerge w:val="restart"/>
            <w:vAlign w:val="center"/>
          </w:tcPr>
          <w:p>
            <w:pPr>
              <w:spacing w:line="340" w:lineRule="exact"/>
              <w:jc w:val="center"/>
              <w:rPr>
                <w:rFonts w:ascii="仿宋_GB2312" w:hAnsi="宋体" w:eastAsia="仿宋_GB2312"/>
                <w:color w:val="000000"/>
                <w:sz w:val="24"/>
              </w:rPr>
            </w:pPr>
            <w:r>
              <w:rPr>
                <w:rFonts w:hint="eastAsia" w:ascii="仿宋_GB2312" w:hAnsi="宋体" w:eastAsia="仿宋_GB2312"/>
                <w:color w:val="000000"/>
                <w:sz w:val="24"/>
              </w:rPr>
              <w:t>应急启动</w:t>
            </w:r>
          </w:p>
        </w:tc>
        <w:tc>
          <w:tcPr>
            <w:tcW w:w="6658" w:type="dxa"/>
          </w:tcPr>
          <w:p>
            <w:pPr>
              <w:spacing w:line="340" w:lineRule="exact"/>
              <w:rPr>
                <w:rFonts w:ascii="仿宋_GB2312" w:hAnsi="宋体" w:eastAsia="仿宋_GB2312"/>
                <w:color w:val="000000"/>
                <w:sz w:val="24"/>
              </w:rPr>
            </w:pPr>
            <w:r>
              <w:rPr>
                <w:rFonts w:hint="eastAsia" w:ascii="仿宋_GB2312" w:hAnsi="宋体" w:eastAsia="仿宋_GB2312"/>
                <w:color w:val="000000"/>
                <w:sz w:val="24"/>
              </w:rPr>
              <w:t>通知其他应急人员增援</w:t>
            </w:r>
          </w:p>
        </w:tc>
        <w:tc>
          <w:tcPr>
            <w:tcW w:w="1439" w:type="dxa"/>
            <w:vAlign w:val="center"/>
          </w:tcPr>
          <w:p>
            <w:pPr>
              <w:spacing w:line="340" w:lineRule="exact"/>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eastAsia="zh-CN"/>
              </w:rPr>
              <w:t>刘沧锐</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vMerge w:val="continue"/>
          </w:tcPr>
          <w:p>
            <w:pPr>
              <w:spacing w:line="340" w:lineRule="exact"/>
              <w:rPr>
                <w:rFonts w:ascii="仿宋_GB2312" w:hAnsi="宋体" w:eastAsia="仿宋_GB2312"/>
                <w:color w:val="000000"/>
                <w:sz w:val="24"/>
              </w:rPr>
            </w:pPr>
          </w:p>
        </w:tc>
        <w:tc>
          <w:tcPr>
            <w:tcW w:w="6658" w:type="dxa"/>
          </w:tcPr>
          <w:p>
            <w:pPr>
              <w:spacing w:line="340" w:lineRule="exact"/>
              <w:rPr>
                <w:rFonts w:ascii="仿宋_GB2312" w:hAnsi="宋体" w:eastAsia="仿宋_GB2312"/>
                <w:color w:val="000000"/>
                <w:sz w:val="24"/>
              </w:rPr>
            </w:pPr>
            <w:r>
              <w:rPr>
                <w:rFonts w:hint="eastAsia" w:ascii="仿宋_GB2312" w:hAnsi="宋体" w:eastAsia="仿宋_GB2312"/>
                <w:color w:val="000000"/>
                <w:sz w:val="24"/>
              </w:rPr>
              <w:t>停止加油和其他维修作业，切断总电源。</w:t>
            </w:r>
          </w:p>
        </w:tc>
        <w:tc>
          <w:tcPr>
            <w:tcW w:w="1439" w:type="dxa"/>
            <w:vAlign w:val="center"/>
          </w:tcPr>
          <w:p>
            <w:pPr>
              <w:pStyle w:val="2"/>
              <w:ind w:firstLine="240"/>
            </w:pPr>
            <w:r>
              <w:rPr>
                <w:rFonts w:hint="eastAsia" w:ascii="仿宋_GB2312" w:hAnsi="宋体"/>
                <w:color w:val="000000"/>
                <w:sz w:val="24"/>
                <w:lang w:eastAsia="zh-CN"/>
              </w:rPr>
              <w:t>刘沧锐</w:t>
            </w:r>
            <w:r>
              <w:rPr>
                <w:rFonts w:hint="eastAsia" w:ascii="仿宋_GB2312" w:hAnsi="宋体" w:eastAsia="仿宋_GB2312"/>
                <w:color w:val="000000"/>
                <w:sz w:val="24"/>
              </w:rPr>
              <w:t>、</w:t>
            </w:r>
            <w:r>
              <w:rPr>
                <w:rFonts w:hint="eastAsia" w:ascii="仿宋_GB2312" w:hAnsi="宋体"/>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9" w:type="dxa"/>
            <w:vMerge w:val="restart"/>
            <w:vAlign w:val="center"/>
          </w:tcPr>
          <w:p>
            <w:pPr>
              <w:spacing w:line="340" w:lineRule="exact"/>
              <w:jc w:val="center"/>
              <w:rPr>
                <w:rFonts w:ascii="仿宋_GB2312" w:hAnsi="宋体" w:eastAsia="仿宋_GB2312"/>
                <w:color w:val="000000"/>
                <w:sz w:val="24"/>
              </w:rPr>
            </w:pPr>
            <w:r>
              <w:rPr>
                <w:rFonts w:hint="eastAsia" w:ascii="仿宋_GB2312" w:hAnsi="宋体" w:eastAsia="仿宋_GB2312"/>
                <w:color w:val="000000"/>
                <w:sz w:val="24"/>
              </w:rPr>
              <w:t>警戒</w:t>
            </w:r>
          </w:p>
        </w:tc>
        <w:tc>
          <w:tcPr>
            <w:tcW w:w="6658" w:type="dxa"/>
          </w:tcPr>
          <w:p>
            <w:pPr>
              <w:spacing w:line="340" w:lineRule="exact"/>
              <w:rPr>
                <w:rFonts w:ascii="仿宋_GB2312" w:hAnsi="宋体" w:eastAsia="仿宋_GB2312"/>
                <w:color w:val="000000"/>
                <w:sz w:val="24"/>
              </w:rPr>
            </w:pPr>
            <w:r>
              <w:rPr>
                <w:rFonts w:hint="eastAsia" w:ascii="仿宋_GB2312" w:hAnsi="宋体" w:eastAsia="仿宋_GB2312"/>
                <w:color w:val="000000"/>
                <w:sz w:val="24"/>
              </w:rPr>
              <w:t>划定危险区域、警戒范围并实施警戒。</w:t>
            </w:r>
          </w:p>
        </w:tc>
        <w:tc>
          <w:tcPr>
            <w:tcW w:w="1439" w:type="dxa"/>
          </w:tcPr>
          <w:p>
            <w:pPr>
              <w:pStyle w:val="2"/>
              <w:ind w:firstLine="210"/>
              <w:rPr>
                <w:rFonts w:hint="eastAsia" w:eastAsia="仿宋_GB2312"/>
                <w:lang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vMerge w:val="continue"/>
            <w:vAlign w:val="center"/>
          </w:tcPr>
          <w:p>
            <w:pPr>
              <w:spacing w:line="340" w:lineRule="exact"/>
              <w:jc w:val="center"/>
              <w:rPr>
                <w:rFonts w:ascii="仿宋_GB2312" w:hAnsi="宋体" w:eastAsia="仿宋_GB2312"/>
                <w:color w:val="000000"/>
                <w:sz w:val="24"/>
              </w:rPr>
            </w:pPr>
          </w:p>
        </w:tc>
        <w:tc>
          <w:tcPr>
            <w:tcW w:w="6658" w:type="dxa"/>
          </w:tcPr>
          <w:p>
            <w:pPr>
              <w:spacing w:line="340" w:lineRule="exact"/>
              <w:rPr>
                <w:rFonts w:ascii="仿宋_GB2312" w:hAnsi="宋体" w:eastAsia="仿宋_GB2312"/>
                <w:color w:val="000000"/>
                <w:sz w:val="24"/>
              </w:rPr>
            </w:pPr>
            <w:r>
              <w:rPr>
                <w:rFonts w:hint="eastAsia" w:ascii="仿宋_GB2312" w:hAnsi="宋体" w:eastAsia="仿宋_GB2312"/>
                <w:color w:val="000000"/>
                <w:sz w:val="24"/>
              </w:rPr>
              <w:t>组织无关人员及车辆（含施工人员）疏散。</w:t>
            </w:r>
          </w:p>
        </w:tc>
        <w:tc>
          <w:tcPr>
            <w:tcW w:w="1439" w:type="dxa"/>
          </w:tcPr>
          <w:p>
            <w:pPr>
              <w:spacing w:line="340" w:lineRule="exact"/>
              <w:jc w:val="center"/>
              <w:rPr>
                <w:rFonts w:hint="eastAsia" w:ascii="仿宋_GB2312" w:hAnsi="宋体" w:eastAsia="仿宋_GB2312"/>
                <w:color w:val="000000"/>
                <w:sz w:val="24"/>
                <w:lang w:eastAsia="zh-CN"/>
              </w:rPr>
            </w:pPr>
            <w:r>
              <w:rPr>
                <w:rFonts w:hint="eastAsia" w:eastAsia="仿宋_GB2312"/>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9" w:type="dxa"/>
            <w:vMerge w:val="restart"/>
            <w:vAlign w:val="center"/>
          </w:tcPr>
          <w:p>
            <w:pPr>
              <w:spacing w:line="340" w:lineRule="exact"/>
              <w:jc w:val="center"/>
              <w:rPr>
                <w:rFonts w:ascii="仿宋_GB2312" w:hAnsi="宋体" w:eastAsia="仿宋_GB2312"/>
                <w:color w:val="000000"/>
                <w:sz w:val="24"/>
              </w:rPr>
            </w:pPr>
            <w:r>
              <w:rPr>
                <w:rFonts w:hint="eastAsia" w:ascii="仿宋_GB2312" w:hAnsi="宋体" w:eastAsia="仿宋_GB2312"/>
                <w:color w:val="000000"/>
                <w:sz w:val="24"/>
              </w:rPr>
              <w:t>应急处置</w:t>
            </w:r>
          </w:p>
        </w:tc>
        <w:tc>
          <w:tcPr>
            <w:tcW w:w="6658" w:type="dxa"/>
          </w:tcPr>
          <w:p>
            <w:pPr>
              <w:spacing w:line="340" w:lineRule="exact"/>
              <w:rPr>
                <w:rFonts w:ascii="仿宋_GB2312" w:hAnsi="宋体" w:eastAsia="仿宋_GB2312"/>
                <w:color w:val="000000"/>
                <w:sz w:val="24"/>
              </w:rPr>
            </w:pPr>
            <w:r>
              <w:rPr>
                <w:rFonts w:hint="eastAsia" w:ascii="仿宋_GB2312" w:hAnsi="宋体" w:eastAsia="仿宋_GB2312"/>
                <w:color w:val="000000"/>
                <w:sz w:val="24"/>
              </w:rPr>
              <w:t xml:space="preserve">切断泄漏源：  </w:t>
            </w:r>
          </w:p>
          <w:p>
            <w:pPr>
              <w:spacing w:line="340" w:lineRule="exact"/>
              <w:rPr>
                <w:rFonts w:ascii="仿宋_GB2312" w:hAnsi="宋体" w:eastAsia="仿宋_GB2312"/>
                <w:color w:val="000000"/>
                <w:sz w:val="24"/>
              </w:rPr>
            </w:pPr>
            <w:r>
              <w:rPr>
                <w:rFonts w:hint="eastAsia" w:ascii="仿宋_GB2312" w:hAnsi="宋体" w:eastAsia="仿宋_GB2312"/>
                <w:color w:val="000000"/>
                <w:sz w:val="24"/>
              </w:rPr>
              <w:t>1.条件允许，关闭运油罐车卸油阀门。</w:t>
            </w:r>
          </w:p>
          <w:p>
            <w:pPr>
              <w:spacing w:line="340" w:lineRule="exact"/>
              <w:rPr>
                <w:rFonts w:ascii="仿宋_GB2312" w:hAnsi="宋体" w:eastAsia="仿宋_GB2312"/>
                <w:color w:val="000000"/>
                <w:sz w:val="24"/>
              </w:rPr>
            </w:pPr>
            <w:r>
              <w:rPr>
                <w:rFonts w:hint="eastAsia" w:ascii="仿宋_GB2312" w:hAnsi="宋体" w:eastAsia="仿宋_GB2312"/>
                <w:color w:val="000000"/>
                <w:sz w:val="24"/>
              </w:rPr>
              <w:t>2.有跑油时，应用沙包封堵外排沟。</w:t>
            </w:r>
          </w:p>
        </w:tc>
        <w:tc>
          <w:tcPr>
            <w:tcW w:w="1439" w:type="dxa"/>
            <w:vAlign w:val="center"/>
          </w:tcPr>
          <w:p>
            <w:pPr>
              <w:pStyle w:val="2"/>
              <w:ind w:firstLine="210"/>
              <w:rPr>
                <w:rFonts w:hint="eastAsia" w:eastAsia="仿宋_GB2312"/>
                <w:lang w:eastAsia="zh-CN"/>
              </w:rPr>
            </w:pPr>
            <w:r>
              <w:rPr>
                <w:rFonts w:hint="eastAsia"/>
                <w:lang w:val="en-US" w:eastAsia="zh-CN"/>
              </w:rPr>
              <w:t>刘沧锐</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vMerge w:val="continue"/>
            <w:vAlign w:val="center"/>
          </w:tcPr>
          <w:p>
            <w:pPr>
              <w:spacing w:line="340" w:lineRule="exact"/>
              <w:jc w:val="center"/>
              <w:rPr>
                <w:rFonts w:ascii="仿宋_GB2312" w:hAnsi="宋体" w:eastAsia="仿宋_GB2312"/>
                <w:color w:val="000000"/>
                <w:sz w:val="24"/>
              </w:rPr>
            </w:pPr>
          </w:p>
        </w:tc>
        <w:tc>
          <w:tcPr>
            <w:tcW w:w="6658" w:type="dxa"/>
          </w:tcPr>
          <w:p>
            <w:pPr>
              <w:spacing w:line="340" w:lineRule="exact"/>
              <w:jc w:val="left"/>
              <w:rPr>
                <w:rFonts w:ascii="仿宋_GB2312" w:hAnsi="宋体" w:eastAsia="仿宋_GB2312"/>
                <w:color w:val="000000"/>
                <w:sz w:val="24"/>
              </w:rPr>
            </w:pPr>
            <w:r>
              <w:rPr>
                <w:rFonts w:hint="eastAsia" w:ascii="仿宋_GB2312" w:hAnsi="宋体" w:eastAsia="仿宋_GB2312"/>
                <w:b/>
                <w:color w:val="000000"/>
                <w:sz w:val="24"/>
              </w:rPr>
              <w:t>灭火</w:t>
            </w:r>
            <w:r>
              <w:rPr>
                <w:rFonts w:hint="eastAsia" w:ascii="仿宋_GB2312" w:hAnsi="宋体" w:eastAsia="仿宋_GB2312"/>
                <w:color w:val="000000"/>
                <w:sz w:val="24"/>
              </w:rPr>
              <w:t>：</w:t>
            </w:r>
          </w:p>
          <w:p>
            <w:pPr>
              <w:spacing w:line="340" w:lineRule="exact"/>
              <w:ind w:firstLine="482" w:firstLineChars="200"/>
              <w:jc w:val="left"/>
              <w:rPr>
                <w:rFonts w:ascii="仿宋_GB2312" w:hAnsi="宋体" w:eastAsia="仿宋_GB2312"/>
                <w:color w:val="000000"/>
                <w:sz w:val="24"/>
              </w:rPr>
            </w:pPr>
            <w:r>
              <w:rPr>
                <w:rFonts w:hint="eastAsia" w:ascii="仿宋_GB2312" w:hAnsi="宋体" w:eastAsia="仿宋_GB2312"/>
                <w:b/>
                <w:color w:val="000000"/>
                <w:sz w:val="24"/>
              </w:rPr>
              <w:t>1.操作井起火：</w:t>
            </w:r>
            <w:r>
              <w:rPr>
                <w:rFonts w:hint="eastAsia" w:ascii="仿宋_GB2312" w:hAnsi="宋体" w:eastAsia="仿宋_GB2312"/>
                <w:color w:val="000000"/>
                <w:sz w:val="24"/>
              </w:rPr>
              <w:t>小火苗状态时，利用石棉被覆盖；大火苗时，用8KG或35kg干粉灭火器从上风处进行灭火。</w:t>
            </w:r>
          </w:p>
          <w:p>
            <w:pPr>
              <w:spacing w:line="340" w:lineRule="exact"/>
              <w:ind w:firstLine="482" w:firstLineChars="200"/>
              <w:jc w:val="left"/>
              <w:rPr>
                <w:rFonts w:ascii="仿宋_GB2312" w:hAnsi="宋体" w:eastAsia="仿宋_GB2312"/>
                <w:color w:val="000000"/>
                <w:sz w:val="24"/>
              </w:rPr>
            </w:pPr>
            <w:r>
              <w:rPr>
                <w:rFonts w:hint="eastAsia" w:ascii="仿宋_GB2312" w:hAnsi="宋体" w:eastAsia="仿宋_GB2312"/>
                <w:b/>
                <w:color w:val="000000"/>
                <w:sz w:val="24"/>
              </w:rPr>
              <w:t>2.卸油胶管处起火</w:t>
            </w:r>
            <w:r>
              <w:rPr>
                <w:rFonts w:hint="eastAsia" w:ascii="仿宋_GB2312" w:hAnsi="宋体" w:eastAsia="仿宋_GB2312"/>
                <w:color w:val="000000"/>
                <w:sz w:val="24"/>
              </w:rPr>
              <w:t>：利用石棉被覆盖，或用8KG干粉灭火器从上风处进行灭火。</w:t>
            </w:r>
          </w:p>
          <w:p>
            <w:pPr>
              <w:spacing w:line="340" w:lineRule="exact"/>
              <w:ind w:firstLine="482" w:firstLineChars="200"/>
              <w:jc w:val="left"/>
              <w:rPr>
                <w:rFonts w:ascii="仿宋_GB2312" w:hAnsi="宋体" w:eastAsia="仿宋_GB2312"/>
                <w:color w:val="000000"/>
                <w:sz w:val="24"/>
              </w:rPr>
            </w:pPr>
            <w:r>
              <w:rPr>
                <w:rFonts w:hint="eastAsia" w:ascii="仿宋_GB2312" w:hAnsi="宋体" w:eastAsia="仿宋_GB2312"/>
                <w:b/>
                <w:color w:val="000000"/>
                <w:sz w:val="24"/>
              </w:rPr>
              <w:t>3.运油罐车计量口起火</w:t>
            </w:r>
            <w:r>
              <w:rPr>
                <w:rFonts w:hint="eastAsia" w:ascii="仿宋_GB2312" w:hAnsi="宋体" w:eastAsia="仿宋_GB2312"/>
                <w:color w:val="000000"/>
                <w:sz w:val="24"/>
              </w:rPr>
              <w:t>：若人在罐顶上则利用石棉被马上覆盖计量口；对初起火苗用8KG干粉灭火器从上风处进行灭火。</w:t>
            </w:r>
          </w:p>
          <w:p>
            <w:pPr>
              <w:spacing w:line="340" w:lineRule="exact"/>
              <w:ind w:firstLine="482" w:firstLineChars="200"/>
              <w:jc w:val="left"/>
              <w:rPr>
                <w:rFonts w:ascii="仿宋_GB2312" w:hAnsi="宋体" w:eastAsia="仿宋_GB2312"/>
                <w:color w:val="000000"/>
                <w:sz w:val="24"/>
              </w:rPr>
            </w:pPr>
            <w:r>
              <w:rPr>
                <w:rFonts w:hint="eastAsia" w:ascii="仿宋_GB2312" w:hAnsi="宋体" w:eastAsia="仿宋_GB2312"/>
                <w:b/>
                <w:color w:val="000000"/>
                <w:sz w:val="24"/>
              </w:rPr>
              <w:t>4.流淌地面起火扑灭</w:t>
            </w:r>
            <w:r>
              <w:rPr>
                <w:rFonts w:hint="eastAsia" w:ascii="仿宋_GB2312" w:hAnsi="宋体" w:eastAsia="仿宋_GB2312"/>
                <w:color w:val="000000"/>
                <w:sz w:val="24"/>
              </w:rPr>
              <w:t>：利用消防沙进行围堵，或用8KG干粉灭火器从上风处进行灭火。</w:t>
            </w:r>
          </w:p>
        </w:tc>
        <w:tc>
          <w:tcPr>
            <w:tcW w:w="1439" w:type="dxa"/>
            <w:vAlign w:val="center"/>
          </w:tcPr>
          <w:p>
            <w:pPr>
              <w:pStyle w:val="2"/>
              <w:ind w:firstLine="210"/>
              <w:rPr>
                <w:rFonts w:ascii="仿宋_GB2312" w:hAnsi="宋体"/>
                <w:color w:val="000000"/>
                <w:sz w:val="24"/>
              </w:rPr>
            </w:pPr>
            <w:r>
              <w:rPr>
                <w:rFonts w:hint="eastAsia" w:ascii="仿宋_GB2312" w:hAnsi="宋体"/>
                <w:color w:val="000000"/>
                <w:sz w:val="24"/>
                <w:lang w:eastAsia="zh-CN"/>
              </w:rPr>
              <w:t>刘沧锐</w:t>
            </w:r>
            <w:r>
              <w:rPr>
                <w:rFonts w:hint="eastAsia" w:ascii="仿宋_GB2312" w:hAnsi="宋体" w:eastAsia="仿宋_GB2312"/>
                <w:color w:val="000000"/>
                <w:sz w:val="24"/>
              </w:rPr>
              <w:t>、</w:t>
            </w:r>
            <w:r>
              <w:rPr>
                <w:rFonts w:hint="eastAsia" w:ascii="仿宋_GB2312" w:hAnsi="宋体"/>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9" w:type="dxa"/>
            <w:vMerge w:val="continue"/>
            <w:vAlign w:val="center"/>
          </w:tcPr>
          <w:p>
            <w:pPr>
              <w:spacing w:line="340" w:lineRule="exact"/>
              <w:jc w:val="center"/>
              <w:rPr>
                <w:rFonts w:ascii="仿宋_GB2312" w:hAnsi="宋体" w:eastAsia="仿宋_GB2312"/>
                <w:color w:val="000000"/>
                <w:sz w:val="24"/>
              </w:rPr>
            </w:pPr>
          </w:p>
        </w:tc>
        <w:tc>
          <w:tcPr>
            <w:tcW w:w="6658" w:type="dxa"/>
          </w:tcPr>
          <w:p>
            <w:pPr>
              <w:spacing w:line="340" w:lineRule="exact"/>
              <w:rPr>
                <w:rFonts w:ascii="仿宋_GB2312" w:hAnsi="宋体" w:eastAsia="仿宋_GB2312"/>
                <w:color w:val="000000"/>
                <w:sz w:val="24"/>
              </w:rPr>
            </w:pPr>
            <w:r>
              <w:rPr>
                <w:rFonts w:hint="eastAsia" w:ascii="仿宋_GB2312" w:hAnsi="宋体" w:eastAsia="仿宋_GB2312"/>
                <w:color w:val="000000"/>
                <w:sz w:val="24"/>
              </w:rPr>
              <w:t>救护：对现场受伤者实施救护，受伤较严重的马上送往医院。</w:t>
            </w:r>
          </w:p>
        </w:tc>
        <w:tc>
          <w:tcPr>
            <w:tcW w:w="1439" w:type="dxa"/>
          </w:tcPr>
          <w:p>
            <w:pPr>
              <w:pStyle w:val="2"/>
              <w:ind w:firstLine="210"/>
              <w:rPr>
                <w:rFonts w:hint="eastAsia" w:eastAsia="仿宋_GB2312"/>
                <w:lang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vMerge w:val="restart"/>
            <w:vAlign w:val="center"/>
          </w:tcPr>
          <w:p>
            <w:pPr>
              <w:spacing w:line="340" w:lineRule="exact"/>
              <w:jc w:val="center"/>
              <w:rPr>
                <w:rFonts w:ascii="仿宋_GB2312" w:hAnsi="宋体" w:eastAsia="仿宋_GB2312"/>
                <w:color w:val="000000"/>
                <w:sz w:val="24"/>
              </w:rPr>
            </w:pPr>
            <w:r>
              <w:rPr>
                <w:rFonts w:hint="eastAsia" w:ascii="仿宋_GB2312" w:hAnsi="宋体" w:eastAsia="仿宋_GB2312"/>
                <w:color w:val="000000"/>
                <w:sz w:val="24"/>
              </w:rPr>
              <w:t>后期处置</w:t>
            </w:r>
          </w:p>
        </w:tc>
        <w:tc>
          <w:tcPr>
            <w:tcW w:w="6658" w:type="dxa"/>
          </w:tcPr>
          <w:p>
            <w:pPr>
              <w:spacing w:line="340" w:lineRule="exact"/>
              <w:rPr>
                <w:rFonts w:ascii="仿宋_GB2312" w:hAnsi="宋体" w:eastAsia="仿宋_GB2312"/>
                <w:color w:val="000000"/>
                <w:sz w:val="24"/>
              </w:rPr>
            </w:pPr>
            <w:r>
              <w:rPr>
                <w:rFonts w:hint="eastAsia" w:ascii="仿宋_GB2312" w:hAnsi="宋体" w:eastAsia="仿宋_GB2312"/>
                <w:color w:val="000000"/>
                <w:sz w:val="24"/>
              </w:rPr>
              <w:t>现场余火扑灭后，清点人数并检查是否有人受伤，清理现场。</w:t>
            </w:r>
          </w:p>
        </w:tc>
        <w:tc>
          <w:tcPr>
            <w:tcW w:w="1439" w:type="dxa"/>
          </w:tcPr>
          <w:p>
            <w:pPr>
              <w:spacing w:line="340" w:lineRule="exact"/>
              <w:jc w:val="center"/>
              <w:rPr>
                <w:rFonts w:hint="eastAsia" w:eastAsia="仿宋_GB2312"/>
                <w:lang w:eastAsia="zh-CN"/>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9" w:type="dxa"/>
            <w:vMerge w:val="continue"/>
          </w:tcPr>
          <w:p>
            <w:pPr>
              <w:spacing w:line="340" w:lineRule="exact"/>
              <w:rPr>
                <w:rFonts w:ascii="仿宋_GB2312" w:hAnsi="宋体" w:eastAsia="仿宋_GB2312"/>
                <w:color w:val="000000"/>
                <w:sz w:val="24"/>
              </w:rPr>
            </w:pPr>
          </w:p>
        </w:tc>
        <w:tc>
          <w:tcPr>
            <w:tcW w:w="6658" w:type="dxa"/>
          </w:tcPr>
          <w:p>
            <w:pPr>
              <w:spacing w:line="340" w:lineRule="exact"/>
              <w:rPr>
                <w:rFonts w:ascii="仿宋_GB2312" w:hAnsi="宋体" w:eastAsia="仿宋_GB2312"/>
                <w:color w:val="000000"/>
                <w:sz w:val="24"/>
              </w:rPr>
            </w:pPr>
            <w:r>
              <w:rPr>
                <w:rFonts w:hint="eastAsia" w:ascii="仿宋_GB2312" w:hAnsi="宋体" w:eastAsia="仿宋_GB2312"/>
                <w:color w:val="000000"/>
                <w:sz w:val="24"/>
              </w:rPr>
              <w:t>有泄漏油品时，用铝制或铜质容器将泄漏出的油品抽入容器内收集。</w:t>
            </w:r>
          </w:p>
        </w:tc>
        <w:tc>
          <w:tcPr>
            <w:tcW w:w="1439" w:type="dxa"/>
            <w:vAlign w:val="center"/>
          </w:tcPr>
          <w:p>
            <w:pPr>
              <w:spacing w:line="340" w:lineRule="exact"/>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刘沧锐</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vMerge w:val="continue"/>
          </w:tcPr>
          <w:p>
            <w:pPr>
              <w:spacing w:line="340" w:lineRule="exact"/>
              <w:rPr>
                <w:rFonts w:ascii="仿宋_GB2312" w:hAnsi="宋体" w:eastAsia="仿宋_GB2312"/>
                <w:color w:val="000000"/>
                <w:sz w:val="24"/>
              </w:rPr>
            </w:pPr>
          </w:p>
        </w:tc>
        <w:tc>
          <w:tcPr>
            <w:tcW w:w="6658" w:type="dxa"/>
          </w:tcPr>
          <w:p>
            <w:pPr>
              <w:spacing w:line="340" w:lineRule="exact"/>
              <w:rPr>
                <w:rFonts w:ascii="仿宋_GB2312" w:hAnsi="宋体" w:eastAsia="仿宋_GB2312"/>
                <w:color w:val="000000"/>
                <w:sz w:val="24"/>
              </w:rPr>
            </w:pPr>
            <w:r>
              <w:rPr>
                <w:rFonts w:hint="eastAsia" w:ascii="仿宋_GB2312" w:hAnsi="宋体" w:eastAsia="仿宋_GB2312"/>
                <w:color w:val="000000"/>
                <w:sz w:val="24"/>
              </w:rPr>
              <w:t>重新计量油品，计算损失。</w:t>
            </w:r>
          </w:p>
        </w:tc>
        <w:tc>
          <w:tcPr>
            <w:tcW w:w="1439" w:type="dxa"/>
          </w:tcPr>
          <w:p>
            <w:pPr>
              <w:spacing w:line="340" w:lineRule="exact"/>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刘沧锐</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189" w:type="dxa"/>
            <w:vMerge w:val="continue"/>
          </w:tcPr>
          <w:p>
            <w:pPr>
              <w:spacing w:line="340" w:lineRule="exact"/>
              <w:rPr>
                <w:rFonts w:ascii="仿宋_GB2312" w:hAnsi="宋体" w:eastAsia="仿宋_GB2312"/>
                <w:color w:val="000000"/>
                <w:sz w:val="24"/>
              </w:rPr>
            </w:pPr>
          </w:p>
        </w:tc>
        <w:tc>
          <w:tcPr>
            <w:tcW w:w="6658" w:type="dxa"/>
          </w:tcPr>
          <w:p>
            <w:pPr>
              <w:spacing w:line="340" w:lineRule="exact"/>
              <w:rPr>
                <w:rFonts w:ascii="仿宋_GB2312" w:hAnsi="宋体" w:eastAsia="仿宋_GB2312" w:cs="Arial"/>
                <w:color w:val="000000"/>
                <w:sz w:val="24"/>
              </w:rPr>
            </w:pPr>
            <w:r>
              <w:rPr>
                <w:rFonts w:hint="eastAsia" w:ascii="仿宋_GB2312" w:hAnsi="宋体" w:eastAsia="仿宋_GB2312" w:cs="Arial"/>
                <w:color w:val="000000"/>
                <w:sz w:val="24"/>
              </w:rPr>
              <w:t>请维修人员对受损设备进行维修，恢复生产。</w:t>
            </w:r>
          </w:p>
        </w:tc>
        <w:tc>
          <w:tcPr>
            <w:tcW w:w="1439" w:type="dxa"/>
          </w:tcPr>
          <w:p>
            <w:pPr>
              <w:spacing w:line="340" w:lineRule="exact"/>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刘沧锐</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vAlign w:val="center"/>
          </w:tcPr>
          <w:p>
            <w:pPr>
              <w:spacing w:line="340" w:lineRule="exact"/>
              <w:jc w:val="center"/>
              <w:rPr>
                <w:rFonts w:ascii="仿宋_GB2312" w:hAnsi="宋体" w:eastAsia="仿宋_GB2312"/>
                <w:color w:val="000000"/>
                <w:sz w:val="24"/>
              </w:rPr>
            </w:pPr>
            <w:r>
              <w:rPr>
                <w:rFonts w:hint="eastAsia" w:ascii="仿宋_GB2312" w:hAnsi="宋体" w:eastAsia="仿宋_GB2312"/>
                <w:color w:val="000000"/>
                <w:sz w:val="24"/>
              </w:rPr>
              <w:t>注意事项</w:t>
            </w:r>
          </w:p>
        </w:tc>
        <w:tc>
          <w:tcPr>
            <w:tcW w:w="6658" w:type="dxa"/>
          </w:tcPr>
          <w:p>
            <w:pPr>
              <w:spacing w:line="340" w:lineRule="exact"/>
              <w:rPr>
                <w:rFonts w:ascii="仿宋_GB2312" w:hAnsi="宋体" w:eastAsia="仿宋_GB2312"/>
                <w:color w:val="000000"/>
                <w:sz w:val="24"/>
              </w:rPr>
            </w:pPr>
            <w:r>
              <w:rPr>
                <w:rFonts w:hint="eastAsia" w:ascii="仿宋_GB2312" w:hAnsi="宋体" w:eastAsia="仿宋_GB2312"/>
                <w:color w:val="000000"/>
                <w:sz w:val="24"/>
              </w:rPr>
              <w:t>1.把握灭火最佳时机（为火苗初起阶段）。</w:t>
            </w:r>
          </w:p>
          <w:p>
            <w:pPr>
              <w:spacing w:line="340" w:lineRule="exact"/>
              <w:rPr>
                <w:rFonts w:ascii="仿宋_GB2312" w:hAnsi="宋体" w:eastAsia="仿宋_GB2312"/>
                <w:color w:val="000000"/>
                <w:sz w:val="24"/>
              </w:rPr>
            </w:pPr>
            <w:r>
              <w:rPr>
                <w:rFonts w:hint="eastAsia" w:ascii="仿宋_GB2312" w:hAnsi="宋体" w:eastAsia="仿宋_GB2312"/>
                <w:color w:val="000000"/>
                <w:sz w:val="24"/>
              </w:rPr>
              <w:t xml:space="preserve">2.合理选用灭火器材及灭火方式。 </w:t>
            </w:r>
          </w:p>
          <w:p>
            <w:pPr>
              <w:spacing w:line="340" w:lineRule="exact"/>
              <w:rPr>
                <w:rFonts w:ascii="仿宋_GB2312" w:hAnsi="宋体" w:eastAsia="仿宋_GB2312"/>
                <w:color w:val="000000"/>
                <w:sz w:val="24"/>
              </w:rPr>
            </w:pPr>
            <w:r>
              <w:rPr>
                <w:rFonts w:hint="eastAsia" w:ascii="仿宋_GB2312" w:hAnsi="宋体" w:eastAsia="仿宋_GB2312"/>
                <w:color w:val="000000"/>
                <w:sz w:val="24"/>
              </w:rPr>
              <w:t xml:space="preserve">3.报警时，须讲明着火地点、着火介质、火势、人员伤亡情况。  </w:t>
            </w:r>
          </w:p>
          <w:p>
            <w:pPr>
              <w:spacing w:line="340" w:lineRule="exact"/>
              <w:rPr>
                <w:rFonts w:ascii="仿宋_GB2312" w:hAnsi="宋体" w:eastAsia="仿宋_GB2312"/>
                <w:color w:val="000000"/>
                <w:sz w:val="24"/>
              </w:rPr>
            </w:pPr>
            <w:r>
              <w:rPr>
                <w:rFonts w:hint="eastAsia" w:ascii="仿宋_GB2312" w:hAnsi="宋体" w:eastAsia="仿宋_GB2312"/>
                <w:color w:val="000000"/>
                <w:sz w:val="24"/>
              </w:rPr>
              <w:t xml:space="preserve">4.如火势较大无法扑灭，现场人员要及时撤离。 </w:t>
            </w:r>
          </w:p>
          <w:p>
            <w:pPr>
              <w:spacing w:line="340" w:lineRule="exact"/>
              <w:rPr>
                <w:rFonts w:ascii="仿宋_GB2312" w:hAnsi="宋体" w:eastAsia="仿宋_GB2312"/>
                <w:color w:val="000000"/>
                <w:sz w:val="24"/>
              </w:rPr>
            </w:pPr>
            <w:r>
              <w:rPr>
                <w:rFonts w:hint="eastAsia" w:ascii="仿宋_GB2312" w:hAnsi="宋体" w:eastAsia="仿宋_GB2312"/>
                <w:color w:val="000000"/>
                <w:sz w:val="24"/>
              </w:rPr>
              <w:t>5.非本加油站新闻发言人不得擅自接收媒体采访。</w:t>
            </w:r>
          </w:p>
        </w:tc>
        <w:tc>
          <w:tcPr>
            <w:tcW w:w="1439" w:type="dxa"/>
            <w:vAlign w:val="center"/>
          </w:tcPr>
          <w:p>
            <w:pPr>
              <w:spacing w:line="340" w:lineRule="exact"/>
              <w:jc w:val="center"/>
              <w:rPr>
                <w:rFonts w:ascii="仿宋_GB2312" w:hAnsi="宋体" w:eastAsia="仿宋_GB2312"/>
                <w:color w:val="000000"/>
                <w:sz w:val="24"/>
              </w:rPr>
            </w:pPr>
          </w:p>
        </w:tc>
      </w:tr>
    </w:tbl>
    <w:p>
      <w:pPr>
        <w:pStyle w:val="6"/>
        <w:spacing w:after="140" w:line="360" w:lineRule="auto"/>
        <w:jc w:val="center"/>
        <w:rPr>
          <w:rFonts w:hint="default"/>
          <w:color w:val="000000"/>
        </w:rPr>
      </w:pPr>
      <w:bookmarkStart w:id="2" w:name="_Toc27745"/>
      <w:r>
        <w:rPr>
          <w:color w:val="000000"/>
        </w:rPr>
        <w:t>加油车辆起火应急处置</w:t>
      </w:r>
      <w:bookmarkEnd w:id="2"/>
      <w:r>
        <w:rPr>
          <w:color w:val="000000"/>
        </w:rPr>
        <w:t>措施</w:t>
      </w:r>
    </w:p>
    <w:p>
      <w:pPr>
        <w:rPr>
          <w:color w:val="000000"/>
        </w:rPr>
      </w:pPr>
    </w:p>
    <w:tbl>
      <w:tblPr>
        <w:tblStyle w:val="18"/>
        <w:tblW w:w="9354"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6658"/>
        <w:gridCol w:w="150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tcPr>
          <w:p>
            <w:pPr>
              <w:spacing w:line="360" w:lineRule="auto"/>
              <w:jc w:val="center"/>
              <w:rPr>
                <w:rFonts w:ascii="仿宋_GB2312" w:hAnsi="宋体" w:eastAsia="仿宋_GB2312"/>
                <w:b/>
                <w:color w:val="000000"/>
                <w:sz w:val="28"/>
                <w:szCs w:val="28"/>
              </w:rPr>
            </w:pPr>
            <w:r>
              <w:rPr>
                <w:rFonts w:hint="eastAsia" w:ascii="仿宋_GB2312" w:hAnsi="宋体" w:eastAsia="仿宋_GB2312"/>
                <w:b/>
                <w:color w:val="000000"/>
                <w:sz w:val="28"/>
                <w:szCs w:val="28"/>
              </w:rPr>
              <w:t>步骤</w:t>
            </w:r>
          </w:p>
        </w:tc>
        <w:tc>
          <w:tcPr>
            <w:tcW w:w="6658" w:type="dxa"/>
          </w:tcPr>
          <w:p>
            <w:pPr>
              <w:spacing w:line="360" w:lineRule="auto"/>
              <w:jc w:val="center"/>
              <w:rPr>
                <w:rFonts w:ascii="仿宋_GB2312" w:hAnsi="宋体" w:eastAsia="仿宋_GB2312"/>
                <w:b/>
                <w:color w:val="000000"/>
                <w:sz w:val="28"/>
                <w:szCs w:val="28"/>
              </w:rPr>
            </w:pPr>
            <w:r>
              <w:rPr>
                <w:rFonts w:hint="eastAsia" w:ascii="仿宋_GB2312" w:hAnsi="宋体" w:eastAsia="仿宋_GB2312"/>
                <w:b/>
                <w:color w:val="000000"/>
                <w:sz w:val="28"/>
                <w:szCs w:val="28"/>
              </w:rPr>
              <w:t>处置</w:t>
            </w:r>
          </w:p>
        </w:tc>
        <w:tc>
          <w:tcPr>
            <w:tcW w:w="1507" w:type="dxa"/>
          </w:tcPr>
          <w:p>
            <w:pPr>
              <w:spacing w:line="360" w:lineRule="auto"/>
              <w:jc w:val="center"/>
              <w:rPr>
                <w:rFonts w:ascii="仿宋_GB2312" w:hAnsi="宋体" w:eastAsia="仿宋_GB2312"/>
                <w:b/>
                <w:color w:val="000000"/>
                <w:sz w:val="28"/>
                <w:szCs w:val="28"/>
              </w:rPr>
            </w:pPr>
            <w:r>
              <w:rPr>
                <w:rFonts w:hint="eastAsia" w:ascii="仿宋_GB2312" w:hAnsi="宋体" w:eastAsia="仿宋_GB2312"/>
                <w:b/>
                <w:color w:val="000000"/>
                <w:sz w:val="28"/>
                <w:szCs w:val="28"/>
              </w:rPr>
              <w:t>负责人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189"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报警</w:t>
            </w:r>
          </w:p>
        </w:tc>
        <w:tc>
          <w:tcPr>
            <w:tcW w:w="6658"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当加油车辆起火，发现事件第一人应大声呼救，立即用现场消防器材扑救初期火灾， 并向报告。  </w:t>
            </w:r>
          </w:p>
        </w:tc>
        <w:tc>
          <w:tcPr>
            <w:tcW w:w="1507"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发现事件第一人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9" w:type="dxa"/>
            <w:vMerge w:val="continue"/>
          </w:tcPr>
          <w:p>
            <w:pPr>
              <w:spacing w:line="360" w:lineRule="auto"/>
              <w:rPr>
                <w:rFonts w:ascii="仿宋_GB2312" w:hAnsi="宋体" w:eastAsia="仿宋_GB2312"/>
                <w:color w:val="000000"/>
                <w:sz w:val="24"/>
              </w:rPr>
            </w:pPr>
          </w:p>
        </w:tc>
        <w:tc>
          <w:tcPr>
            <w:tcW w:w="6658"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视情况向上级主管部门报告或拨打119、110、120电话。</w:t>
            </w:r>
          </w:p>
        </w:tc>
        <w:tc>
          <w:tcPr>
            <w:tcW w:w="1507" w:type="dxa"/>
          </w:tcPr>
          <w:p>
            <w:pPr>
              <w:spacing w:line="340" w:lineRule="exact"/>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9"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应急启动</w:t>
            </w:r>
          </w:p>
        </w:tc>
        <w:tc>
          <w:tcPr>
            <w:tcW w:w="6658"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通知其他应急人员增援。</w:t>
            </w:r>
          </w:p>
        </w:tc>
        <w:tc>
          <w:tcPr>
            <w:tcW w:w="1507" w:type="dxa"/>
          </w:tcPr>
          <w:p>
            <w:pPr>
              <w:spacing w:line="340" w:lineRule="exact"/>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vMerge w:val="continue"/>
          </w:tcPr>
          <w:p>
            <w:pPr>
              <w:spacing w:line="360" w:lineRule="auto"/>
              <w:rPr>
                <w:rFonts w:ascii="仿宋_GB2312" w:hAnsi="宋体" w:eastAsia="仿宋_GB2312"/>
                <w:color w:val="000000"/>
                <w:sz w:val="24"/>
              </w:rPr>
            </w:pPr>
          </w:p>
        </w:tc>
        <w:tc>
          <w:tcPr>
            <w:tcW w:w="6658"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停止加油和其他维修作业，切断总电源。</w:t>
            </w:r>
          </w:p>
        </w:tc>
        <w:tc>
          <w:tcPr>
            <w:tcW w:w="1507" w:type="dxa"/>
          </w:tcPr>
          <w:p>
            <w:pPr>
              <w:pStyle w:val="2"/>
              <w:ind w:firstLine="210"/>
              <w:jc w:val="center"/>
              <w:rPr>
                <w:rFonts w:hint="eastAsia" w:eastAsia="仿宋_GB2312"/>
                <w:lang w:eastAsia="zh-CN"/>
              </w:rPr>
            </w:pPr>
            <w:r>
              <w:rPr>
                <w:rFonts w:hint="eastAsia" w:ascii="宋体" w:hAnsi="宋体" w:eastAsia="宋体" w:cs="宋体"/>
                <w:sz w:val="21"/>
                <w:szCs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9"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警戒</w:t>
            </w:r>
          </w:p>
        </w:tc>
        <w:tc>
          <w:tcPr>
            <w:tcW w:w="6658"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划定危险区域、警戒范围并实施警戒。</w:t>
            </w:r>
          </w:p>
        </w:tc>
        <w:tc>
          <w:tcPr>
            <w:tcW w:w="1507" w:type="dxa"/>
          </w:tcPr>
          <w:p>
            <w:pPr>
              <w:spacing w:line="340" w:lineRule="exact"/>
              <w:jc w:val="center"/>
              <w:rPr>
                <w:rFonts w:hint="eastAsia" w:eastAsiaTheme="minorEastAsia"/>
                <w:lang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vMerge w:val="continue"/>
            <w:vAlign w:val="center"/>
          </w:tcPr>
          <w:p>
            <w:pPr>
              <w:spacing w:line="360" w:lineRule="auto"/>
              <w:jc w:val="center"/>
              <w:rPr>
                <w:rFonts w:ascii="仿宋_GB2312" w:hAnsi="宋体" w:eastAsia="仿宋_GB2312"/>
                <w:color w:val="000000"/>
                <w:sz w:val="24"/>
              </w:rPr>
            </w:pPr>
          </w:p>
        </w:tc>
        <w:tc>
          <w:tcPr>
            <w:tcW w:w="6658"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组织无关人员及车辆（含施工人员）疏散。</w:t>
            </w:r>
          </w:p>
        </w:tc>
        <w:tc>
          <w:tcPr>
            <w:tcW w:w="1507" w:type="dxa"/>
            <w:vAlign w:val="center"/>
          </w:tcPr>
          <w:p>
            <w:pPr>
              <w:pStyle w:val="2"/>
              <w:ind w:firstLine="210"/>
              <w:rPr>
                <w:rFonts w:hint="eastAsia" w:eastAsia="仿宋_GB2312"/>
                <w:lang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应急处置</w:t>
            </w:r>
          </w:p>
        </w:tc>
        <w:tc>
          <w:tcPr>
            <w:tcW w:w="6658" w:type="dxa"/>
          </w:tcPr>
          <w:p>
            <w:pPr>
              <w:spacing w:line="360" w:lineRule="auto"/>
              <w:jc w:val="left"/>
              <w:rPr>
                <w:rFonts w:ascii="仿宋_GB2312" w:hAnsi="宋体" w:eastAsia="仿宋_GB2312"/>
                <w:color w:val="000000"/>
                <w:sz w:val="24"/>
              </w:rPr>
            </w:pPr>
            <w:r>
              <w:rPr>
                <w:rFonts w:hint="eastAsia" w:ascii="仿宋_GB2312" w:hAnsi="宋体" w:eastAsia="仿宋_GB2312"/>
                <w:b/>
                <w:color w:val="000000"/>
                <w:sz w:val="24"/>
              </w:rPr>
              <w:t>灭火</w:t>
            </w:r>
            <w:r>
              <w:rPr>
                <w:rFonts w:hint="eastAsia" w:ascii="仿宋_GB2312" w:hAnsi="宋体" w:eastAsia="仿宋_GB2312"/>
                <w:color w:val="000000"/>
                <w:sz w:val="24"/>
              </w:rPr>
              <w:t xml:space="preserve">：  </w:t>
            </w:r>
          </w:p>
          <w:p>
            <w:pPr>
              <w:spacing w:line="360" w:lineRule="auto"/>
              <w:ind w:firstLine="360" w:firstLineChars="150"/>
              <w:jc w:val="left"/>
              <w:rPr>
                <w:rFonts w:ascii="仿宋_GB2312" w:hAnsi="宋体" w:eastAsia="仿宋_GB2312"/>
                <w:color w:val="000000"/>
                <w:sz w:val="24"/>
              </w:rPr>
            </w:pPr>
            <w:r>
              <w:rPr>
                <w:rFonts w:hint="eastAsia" w:ascii="仿宋_GB2312" w:hAnsi="宋体" w:eastAsia="仿宋_GB2312"/>
                <w:color w:val="000000"/>
                <w:sz w:val="24"/>
              </w:rPr>
              <w:t>1.用石棉被覆盖加油汽车油箱口，或直接用灭火器对着火点进行喷射灭火。</w:t>
            </w:r>
          </w:p>
          <w:p>
            <w:pPr>
              <w:spacing w:line="360" w:lineRule="auto"/>
              <w:ind w:firstLine="360" w:firstLineChars="150"/>
              <w:jc w:val="left"/>
              <w:rPr>
                <w:rFonts w:ascii="仿宋_GB2312" w:hAnsi="宋体" w:eastAsia="仿宋_GB2312"/>
                <w:color w:val="000000"/>
                <w:sz w:val="24"/>
              </w:rPr>
            </w:pPr>
            <w:r>
              <w:rPr>
                <w:rFonts w:hint="eastAsia" w:ascii="仿宋_GB2312" w:hAnsi="宋体" w:eastAsia="仿宋_GB2312"/>
                <w:color w:val="000000"/>
                <w:sz w:val="24"/>
              </w:rPr>
              <w:t>2.若油品流淌地面起火。利用消防沙进行围堵，或用干粉灭火器从上风处进行灭火。</w:t>
            </w:r>
          </w:p>
          <w:p>
            <w:pPr>
              <w:spacing w:line="360" w:lineRule="auto"/>
              <w:ind w:firstLine="360" w:firstLineChars="150"/>
              <w:jc w:val="left"/>
              <w:rPr>
                <w:rFonts w:ascii="仿宋_GB2312" w:hAnsi="宋体" w:eastAsia="仿宋_GB2312"/>
                <w:color w:val="000000"/>
                <w:sz w:val="24"/>
              </w:rPr>
            </w:pPr>
            <w:r>
              <w:rPr>
                <w:rFonts w:hint="eastAsia" w:ascii="仿宋_GB2312" w:hAnsi="宋体" w:eastAsia="仿宋_GB2312"/>
                <w:color w:val="000000"/>
                <w:sz w:val="24"/>
              </w:rPr>
              <w:t>3.在可能的情况下，将着火车辆驶离或推出站区，再做处理。</w:t>
            </w:r>
          </w:p>
        </w:tc>
        <w:tc>
          <w:tcPr>
            <w:tcW w:w="1507" w:type="dxa"/>
            <w:vAlign w:val="center"/>
          </w:tcPr>
          <w:p>
            <w:pPr>
              <w:spacing w:line="340" w:lineRule="exact"/>
              <w:jc w:val="center"/>
              <w:rPr>
                <w:rFonts w:ascii="仿宋_GB2312" w:hAnsi="宋体" w:eastAsia="仿宋_GB2312"/>
                <w:color w:val="000000"/>
                <w:sz w:val="24"/>
              </w:rPr>
            </w:pPr>
          </w:p>
          <w:p>
            <w:pPr>
              <w:pStyle w:val="2"/>
              <w:ind w:firstLine="210"/>
              <w:rPr>
                <w:rFonts w:hint="eastAsia" w:ascii="仿宋_GB2312" w:hAnsi="宋体" w:eastAsia="仿宋_GB2312"/>
                <w:color w:val="000000"/>
                <w:sz w:val="24"/>
                <w:lang w:eastAsia="zh-CN"/>
              </w:rPr>
            </w:pPr>
            <w:r>
              <w:rPr>
                <w:rFonts w:hint="eastAsia" w:ascii="仿宋_GB2312" w:hAnsi="宋体"/>
                <w:color w:val="000000"/>
                <w:sz w:val="24"/>
                <w:lang w:eastAsia="zh-CN"/>
              </w:rPr>
              <w:t>刘沧锐</w:t>
            </w:r>
            <w:r>
              <w:rPr>
                <w:rFonts w:hint="eastAsia" w:ascii="仿宋_GB2312" w:hAnsi="宋体" w:eastAsia="仿宋_GB2312"/>
                <w:color w:val="000000"/>
                <w:sz w:val="24"/>
              </w:rPr>
              <w:t>、</w:t>
            </w:r>
            <w:r>
              <w:rPr>
                <w:rFonts w:hint="eastAsia" w:ascii="仿宋_GB2312" w:hAnsi="宋体"/>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9" w:type="dxa"/>
            <w:vMerge w:val="continue"/>
            <w:vAlign w:val="center"/>
          </w:tcPr>
          <w:p>
            <w:pPr>
              <w:spacing w:line="360" w:lineRule="auto"/>
              <w:jc w:val="center"/>
              <w:rPr>
                <w:rFonts w:ascii="仿宋_GB2312" w:hAnsi="宋体" w:eastAsia="仿宋_GB2312"/>
                <w:color w:val="000000"/>
                <w:sz w:val="24"/>
              </w:rPr>
            </w:pPr>
          </w:p>
        </w:tc>
        <w:tc>
          <w:tcPr>
            <w:tcW w:w="6658"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救护：对现场受伤者实施救护，及时送往附近医院。</w:t>
            </w:r>
          </w:p>
        </w:tc>
        <w:tc>
          <w:tcPr>
            <w:tcW w:w="1507" w:type="dxa"/>
            <w:vAlign w:val="center"/>
          </w:tcPr>
          <w:p>
            <w:pPr>
              <w:ind w:firstLine="240"/>
              <w:rPr>
                <w:rFonts w:hint="eastAsia" w:eastAsiaTheme="minorEastAsia"/>
                <w:lang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后期处置</w:t>
            </w:r>
          </w:p>
        </w:tc>
        <w:tc>
          <w:tcPr>
            <w:tcW w:w="6658"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现场余火扑灭后，清点人数并检查是否有人受伤，清理现场。</w:t>
            </w:r>
          </w:p>
        </w:tc>
        <w:tc>
          <w:tcPr>
            <w:tcW w:w="1507" w:type="dxa"/>
            <w:vAlign w:val="center"/>
          </w:tcPr>
          <w:p>
            <w:pPr>
              <w:ind w:firstLine="240"/>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9" w:type="dxa"/>
            <w:vMerge w:val="continue"/>
          </w:tcPr>
          <w:p>
            <w:pPr>
              <w:spacing w:line="360" w:lineRule="auto"/>
              <w:rPr>
                <w:rFonts w:ascii="仿宋_GB2312" w:hAnsi="宋体" w:eastAsia="仿宋_GB2312"/>
                <w:color w:val="000000"/>
                <w:sz w:val="24"/>
              </w:rPr>
            </w:pPr>
          </w:p>
        </w:tc>
        <w:tc>
          <w:tcPr>
            <w:tcW w:w="6658" w:type="dxa"/>
          </w:tcPr>
          <w:p>
            <w:pPr>
              <w:spacing w:line="360" w:lineRule="auto"/>
              <w:rPr>
                <w:rFonts w:ascii="仿宋_GB2312" w:hAnsi="宋体" w:eastAsia="仿宋_GB2312" w:cs="Arial"/>
                <w:color w:val="000000"/>
                <w:sz w:val="24"/>
              </w:rPr>
            </w:pPr>
            <w:r>
              <w:rPr>
                <w:rFonts w:hint="eastAsia" w:ascii="仿宋_GB2312" w:hAnsi="宋体" w:eastAsia="仿宋_GB2312" w:cs="Arial"/>
                <w:color w:val="000000"/>
                <w:sz w:val="24"/>
              </w:rPr>
              <w:t>请维修人员对受损设备进行维修，恢复生产。</w:t>
            </w:r>
          </w:p>
        </w:tc>
        <w:tc>
          <w:tcPr>
            <w:tcW w:w="1507"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注意事项</w:t>
            </w:r>
          </w:p>
        </w:tc>
        <w:tc>
          <w:tcPr>
            <w:tcW w:w="6658"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1. 若加油枪正插在油箱口时着火，不要拔出加油枪，而应先用灭火器灭火后再拔出油枪。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2.合理选用灭火器材及灭火方式。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3.报警时，须讲明着火地点、着火介质、火势、人员伤亡情况。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4.如火势较大无法扑灭，现场人员要及时撤离。</w:t>
            </w: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5.非本加油站新闻发言人不得擅自接收媒体采访。 </w:t>
            </w:r>
          </w:p>
        </w:tc>
        <w:tc>
          <w:tcPr>
            <w:tcW w:w="1507" w:type="dxa"/>
            <w:vAlign w:val="center"/>
          </w:tcPr>
          <w:p>
            <w:pPr>
              <w:spacing w:line="360" w:lineRule="auto"/>
              <w:jc w:val="center"/>
              <w:rPr>
                <w:rFonts w:ascii="仿宋_GB2312" w:hAnsi="宋体" w:eastAsia="仿宋_GB2312"/>
                <w:color w:val="000000"/>
                <w:sz w:val="24"/>
              </w:rPr>
            </w:pPr>
          </w:p>
        </w:tc>
      </w:tr>
    </w:tbl>
    <w:p>
      <w:pPr>
        <w:spacing w:line="240" w:lineRule="atLeast"/>
        <w:rPr>
          <w:rFonts w:ascii="仿宋_GB2312" w:hAnsi="宋体" w:eastAsia="仿宋_GB2312"/>
          <w:b/>
          <w:color w:val="000000"/>
          <w:sz w:val="24"/>
        </w:rPr>
        <w:sectPr>
          <w:footerReference r:id="rId8" w:type="first"/>
          <w:footerReference r:id="rId7" w:type="default"/>
          <w:pgSz w:w="11906" w:h="16838"/>
          <w:pgMar w:top="1418" w:right="1418" w:bottom="1418" w:left="1418" w:header="1021" w:footer="1021" w:gutter="0"/>
          <w:cols w:space="720" w:num="1"/>
          <w:docGrid w:linePitch="435" w:charSpace="0"/>
        </w:sectPr>
      </w:pPr>
    </w:p>
    <w:p>
      <w:pPr>
        <w:pStyle w:val="6"/>
        <w:spacing w:after="140" w:line="360" w:lineRule="auto"/>
        <w:jc w:val="center"/>
        <w:rPr>
          <w:rFonts w:hint="default"/>
          <w:color w:val="000000"/>
        </w:rPr>
      </w:pPr>
      <w:bookmarkStart w:id="3" w:name="_Toc13812"/>
      <w:r>
        <w:rPr>
          <w:color w:val="000000"/>
        </w:rPr>
        <w:t>加油机起火应急处置</w:t>
      </w:r>
      <w:bookmarkEnd w:id="3"/>
      <w:r>
        <w:rPr>
          <w:color w:val="000000"/>
        </w:rPr>
        <w:t>措施</w:t>
      </w:r>
    </w:p>
    <w:tbl>
      <w:tblPr>
        <w:tblStyle w:val="18"/>
        <w:tblW w:w="9288"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6660"/>
        <w:gridCol w:w="144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tcPr>
          <w:p>
            <w:pPr>
              <w:spacing w:line="360" w:lineRule="auto"/>
              <w:jc w:val="center"/>
              <w:rPr>
                <w:rFonts w:ascii="仿宋_GB2312" w:hAnsi="宋体" w:eastAsia="仿宋_GB2312"/>
                <w:b/>
                <w:color w:val="000000"/>
                <w:sz w:val="28"/>
                <w:szCs w:val="28"/>
              </w:rPr>
            </w:pPr>
            <w:r>
              <w:rPr>
                <w:rFonts w:hint="eastAsia" w:ascii="仿宋_GB2312" w:hAnsi="宋体" w:eastAsia="仿宋_GB2312"/>
                <w:b/>
                <w:color w:val="000000"/>
                <w:sz w:val="28"/>
                <w:szCs w:val="28"/>
              </w:rPr>
              <w:t>步骤</w:t>
            </w:r>
          </w:p>
        </w:tc>
        <w:tc>
          <w:tcPr>
            <w:tcW w:w="6660" w:type="dxa"/>
          </w:tcPr>
          <w:p>
            <w:pPr>
              <w:spacing w:line="360" w:lineRule="auto"/>
              <w:jc w:val="center"/>
              <w:rPr>
                <w:rFonts w:ascii="仿宋_GB2312" w:hAnsi="宋体" w:eastAsia="仿宋_GB2312"/>
                <w:b/>
                <w:color w:val="000000"/>
                <w:sz w:val="28"/>
                <w:szCs w:val="28"/>
              </w:rPr>
            </w:pPr>
            <w:r>
              <w:rPr>
                <w:rFonts w:hint="eastAsia" w:ascii="仿宋_GB2312" w:hAnsi="宋体" w:eastAsia="仿宋_GB2312"/>
                <w:b/>
                <w:color w:val="000000"/>
                <w:sz w:val="28"/>
                <w:szCs w:val="28"/>
              </w:rPr>
              <w:t>处置</w:t>
            </w:r>
          </w:p>
        </w:tc>
        <w:tc>
          <w:tcPr>
            <w:tcW w:w="1440" w:type="dxa"/>
          </w:tcPr>
          <w:p>
            <w:pPr>
              <w:spacing w:line="360" w:lineRule="auto"/>
              <w:jc w:val="center"/>
              <w:rPr>
                <w:rFonts w:ascii="仿宋_GB2312" w:hAnsi="宋体" w:eastAsia="仿宋_GB2312"/>
                <w:b/>
                <w:color w:val="000000"/>
                <w:sz w:val="28"/>
                <w:szCs w:val="28"/>
              </w:rPr>
            </w:pPr>
            <w:r>
              <w:rPr>
                <w:rFonts w:hint="eastAsia" w:ascii="仿宋_GB2312" w:hAnsi="宋体" w:eastAsia="仿宋_GB2312"/>
                <w:b/>
                <w:color w:val="000000"/>
                <w:sz w:val="28"/>
                <w:szCs w:val="28"/>
              </w:rPr>
              <w:t>负责人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188"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报警</w:t>
            </w:r>
          </w:p>
        </w:tc>
        <w:tc>
          <w:tcPr>
            <w:tcW w:w="6660" w:type="dxa"/>
          </w:tcPr>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当加油机起火，发现事件第一人应大声呼救立即用现场消防器材扑救初期火灾，并向报告。</w:t>
            </w:r>
          </w:p>
        </w:tc>
        <w:tc>
          <w:tcPr>
            <w:tcW w:w="1440"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发现事件第一人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Merge w:val="continue"/>
          </w:tcPr>
          <w:p>
            <w:pPr>
              <w:spacing w:line="360" w:lineRule="auto"/>
              <w:rPr>
                <w:rFonts w:ascii="仿宋_GB2312" w:hAnsi="宋体" w:eastAsia="仿宋_GB2312"/>
                <w:color w:val="000000"/>
                <w:sz w:val="24"/>
              </w:rPr>
            </w:pP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视情况向上级主管部门报告或拨打119、110电话，有人受伤时拨打120。</w:t>
            </w:r>
          </w:p>
        </w:tc>
        <w:tc>
          <w:tcPr>
            <w:tcW w:w="1440" w:type="dxa"/>
          </w:tcPr>
          <w:p>
            <w:pPr>
              <w:spacing w:line="340" w:lineRule="exact"/>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应急启动</w:t>
            </w: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通知其他应急人员增援</w:t>
            </w:r>
          </w:p>
        </w:tc>
        <w:tc>
          <w:tcPr>
            <w:tcW w:w="1440" w:type="dxa"/>
          </w:tcPr>
          <w:p>
            <w:pPr>
              <w:spacing w:line="340" w:lineRule="exact"/>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Merge w:val="continue"/>
          </w:tcPr>
          <w:p>
            <w:pPr>
              <w:spacing w:line="360" w:lineRule="auto"/>
              <w:rPr>
                <w:rFonts w:ascii="仿宋_GB2312" w:hAnsi="宋体" w:eastAsia="仿宋_GB2312"/>
                <w:color w:val="000000"/>
                <w:sz w:val="24"/>
              </w:rPr>
            </w:pP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停止加油和其他维修作业，切断总电源。</w:t>
            </w:r>
          </w:p>
        </w:tc>
        <w:tc>
          <w:tcPr>
            <w:tcW w:w="1440" w:type="dxa"/>
          </w:tcPr>
          <w:p>
            <w:pPr>
              <w:pStyle w:val="2"/>
              <w:ind w:firstLine="210"/>
              <w:rPr>
                <w:rFonts w:hint="eastAsia" w:eastAsia="仿宋_GB2312"/>
                <w:lang w:eastAsia="zh-CN"/>
              </w:rPr>
            </w:pPr>
            <w:r>
              <w:rPr>
                <w:rFonts w:hint="eastAsia"/>
              </w:rPr>
              <w:t xml:space="preserve"> </w:t>
            </w:r>
            <w:r>
              <w:rPr>
                <w:rFonts w:hint="eastAsia" w:ascii="仿宋_GB2312" w:hAnsi="宋体"/>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警戒</w:t>
            </w: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划定危险区域、警戒范围并实施警戒。</w:t>
            </w:r>
          </w:p>
        </w:tc>
        <w:tc>
          <w:tcPr>
            <w:tcW w:w="1440" w:type="dxa"/>
          </w:tcPr>
          <w:p>
            <w:pPr>
              <w:spacing w:line="340" w:lineRule="exact"/>
              <w:jc w:val="center"/>
              <w:rPr>
                <w:rFonts w:hint="eastAsia" w:eastAsiaTheme="minorEastAsia"/>
                <w:lang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Merge w:val="continue"/>
            <w:vAlign w:val="center"/>
          </w:tcPr>
          <w:p>
            <w:pPr>
              <w:spacing w:line="360" w:lineRule="auto"/>
              <w:jc w:val="center"/>
              <w:rPr>
                <w:rFonts w:ascii="仿宋_GB2312" w:hAnsi="宋体" w:eastAsia="仿宋_GB2312"/>
                <w:color w:val="000000"/>
                <w:sz w:val="24"/>
              </w:rPr>
            </w:pP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组织无关人员及车辆（含施工人员）疏散。</w:t>
            </w:r>
          </w:p>
        </w:tc>
        <w:tc>
          <w:tcPr>
            <w:tcW w:w="1440" w:type="dxa"/>
            <w:vAlign w:val="center"/>
          </w:tcPr>
          <w:p>
            <w:pPr>
              <w:pStyle w:val="2"/>
              <w:ind w:firstLine="210"/>
              <w:rPr>
                <w:rFonts w:hint="eastAsia" w:eastAsia="仿宋_GB2312"/>
                <w:lang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应急处置</w:t>
            </w:r>
          </w:p>
        </w:tc>
        <w:tc>
          <w:tcPr>
            <w:tcW w:w="6660" w:type="dxa"/>
          </w:tcPr>
          <w:p>
            <w:pPr>
              <w:spacing w:line="360" w:lineRule="auto"/>
              <w:jc w:val="left"/>
              <w:rPr>
                <w:rFonts w:ascii="仿宋_GB2312" w:hAnsi="宋体" w:eastAsia="仿宋_GB2312"/>
                <w:color w:val="000000"/>
                <w:sz w:val="24"/>
              </w:rPr>
            </w:pPr>
            <w:r>
              <w:rPr>
                <w:rFonts w:hint="eastAsia" w:ascii="仿宋_GB2312" w:hAnsi="宋体" w:eastAsia="仿宋_GB2312"/>
                <w:b/>
                <w:color w:val="000000"/>
                <w:sz w:val="24"/>
              </w:rPr>
              <w:t>1.灭火</w:t>
            </w:r>
            <w:r>
              <w:rPr>
                <w:rFonts w:hint="eastAsia" w:ascii="仿宋_GB2312" w:hAnsi="宋体" w:eastAsia="仿宋_GB2312"/>
                <w:color w:val="000000"/>
                <w:sz w:val="24"/>
              </w:rPr>
              <w:t xml:space="preserve">：  </w:t>
            </w:r>
          </w:p>
          <w:p>
            <w:pPr>
              <w:spacing w:line="360" w:lineRule="auto"/>
              <w:jc w:val="left"/>
              <w:rPr>
                <w:rFonts w:ascii="仿宋_GB2312" w:hAnsi="宋体" w:eastAsia="仿宋_GB2312"/>
                <w:color w:val="000000"/>
                <w:sz w:val="24"/>
              </w:rPr>
            </w:pPr>
            <w:r>
              <w:rPr>
                <w:rFonts w:hint="eastAsia" w:ascii="仿宋_GB2312" w:hAnsi="宋体" w:eastAsia="仿宋_GB2312"/>
                <w:color w:val="000000"/>
                <w:sz w:val="24"/>
              </w:rPr>
              <w:t xml:space="preserve">（1）直接用灭火器对着着火点进行喷射灭火；  </w:t>
            </w:r>
          </w:p>
          <w:p>
            <w:pPr>
              <w:spacing w:line="360" w:lineRule="auto"/>
              <w:jc w:val="left"/>
              <w:rPr>
                <w:rFonts w:ascii="仿宋_GB2312" w:hAnsi="宋体" w:eastAsia="仿宋_GB2312"/>
                <w:color w:val="000000"/>
                <w:sz w:val="24"/>
              </w:rPr>
            </w:pPr>
            <w:r>
              <w:rPr>
                <w:rFonts w:hint="eastAsia" w:ascii="仿宋_GB2312" w:hAnsi="宋体" w:eastAsia="仿宋_GB2312"/>
                <w:color w:val="000000"/>
                <w:sz w:val="24"/>
              </w:rPr>
              <w:t>（2）若油品流淌地面起火，则利用消防沙进行围堵，或用干粉灭火器从上风处进行灭火。</w:t>
            </w:r>
          </w:p>
        </w:tc>
        <w:tc>
          <w:tcPr>
            <w:tcW w:w="1440" w:type="dxa"/>
            <w:vAlign w:val="center"/>
          </w:tcPr>
          <w:p>
            <w:pPr>
              <w:pStyle w:val="2"/>
              <w:ind w:firstLine="240"/>
            </w:pPr>
            <w:r>
              <w:rPr>
                <w:rFonts w:hint="eastAsia" w:ascii="仿宋_GB2312" w:hAnsi="宋体"/>
                <w:color w:val="000000"/>
                <w:sz w:val="24"/>
                <w:lang w:eastAsia="zh-CN"/>
              </w:rPr>
              <w:t>刘沧锐</w:t>
            </w:r>
            <w:r>
              <w:rPr>
                <w:rFonts w:hint="eastAsia" w:ascii="仿宋_GB2312" w:hAnsi="宋体" w:eastAsia="仿宋_GB2312"/>
                <w:color w:val="000000"/>
                <w:sz w:val="24"/>
              </w:rPr>
              <w:t>、</w:t>
            </w:r>
            <w:r>
              <w:rPr>
                <w:rFonts w:hint="eastAsia" w:ascii="仿宋_GB2312" w:hAnsi="宋体"/>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Merge w:val="continue"/>
            <w:vAlign w:val="center"/>
          </w:tcPr>
          <w:p>
            <w:pPr>
              <w:spacing w:line="360" w:lineRule="auto"/>
              <w:jc w:val="center"/>
              <w:rPr>
                <w:rFonts w:ascii="仿宋_GB2312" w:hAnsi="宋体" w:eastAsia="仿宋_GB2312"/>
                <w:color w:val="000000"/>
                <w:sz w:val="24"/>
              </w:rPr>
            </w:pP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b/>
                <w:color w:val="000000"/>
                <w:sz w:val="24"/>
              </w:rPr>
              <w:t>2.救护</w:t>
            </w:r>
            <w:r>
              <w:rPr>
                <w:rFonts w:hint="eastAsia" w:ascii="仿宋_GB2312" w:hAnsi="宋体" w:eastAsia="仿宋_GB2312"/>
                <w:color w:val="000000"/>
                <w:sz w:val="24"/>
              </w:rPr>
              <w:t>：对现场受伤者实施救护及时送往医院。</w:t>
            </w:r>
          </w:p>
        </w:tc>
        <w:tc>
          <w:tcPr>
            <w:tcW w:w="1440" w:type="dxa"/>
            <w:vAlign w:val="center"/>
          </w:tcPr>
          <w:p>
            <w:pPr>
              <w:ind w:firstLine="240"/>
              <w:rPr>
                <w:rFonts w:hint="default" w:eastAsiaTheme="minorEastAsia"/>
                <w:lang w:val="en-US"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后期处置</w:t>
            </w: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现场余火扑灭后，清点人数并检查是否有人受伤，清理现场。</w:t>
            </w:r>
          </w:p>
        </w:tc>
        <w:tc>
          <w:tcPr>
            <w:tcW w:w="1440" w:type="dxa"/>
            <w:vAlign w:val="center"/>
          </w:tcPr>
          <w:p>
            <w:pPr>
              <w:ind w:firstLine="240"/>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Merge w:val="continue"/>
          </w:tcPr>
          <w:p>
            <w:pPr>
              <w:spacing w:line="360" w:lineRule="auto"/>
              <w:rPr>
                <w:rFonts w:ascii="仿宋_GB2312" w:hAnsi="宋体" w:eastAsia="仿宋_GB2312"/>
                <w:color w:val="000000"/>
                <w:sz w:val="24"/>
              </w:rPr>
            </w:pPr>
          </w:p>
        </w:tc>
        <w:tc>
          <w:tcPr>
            <w:tcW w:w="6660" w:type="dxa"/>
          </w:tcPr>
          <w:p>
            <w:pPr>
              <w:spacing w:line="360" w:lineRule="auto"/>
              <w:rPr>
                <w:rFonts w:ascii="仿宋_GB2312" w:hAnsi="宋体" w:eastAsia="仿宋_GB2312" w:cs="Arial"/>
                <w:color w:val="000000"/>
                <w:sz w:val="24"/>
              </w:rPr>
            </w:pPr>
            <w:r>
              <w:rPr>
                <w:rFonts w:hint="eastAsia" w:ascii="仿宋_GB2312" w:hAnsi="宋体" w:eastAsia="仿宋_GB2312" w:cs="Arial"/>
                <w:color w:val="000000"/>
                <w:sz w:val="24"/>
              </w:rPr>
              <w:t>请维修人员对受损设备进行维修，恢复生产。</w:t>
            </w:r>
          </w:p>
        </w:tc>
        <w:tc>
          <w:tcPr>
            <w:tcW w:w="1440"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注意事项</w:t>
            </w: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1.把握灭火最佳时机（为火苗初起阶段）。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2.合理选用灭火器材及灭火方式。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3.报警时，须讲明着火地点、着火介质、火势、人员伤亡情况。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4.如火势较大无法扑灭，现场人员要及时撤离。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5.非本加油站新闻发言人不得擅自接收媒体采访。</w:t>
            </w:r>
          </w:p>
        </w:tc>
        <w:tc>
          <w:tcPr>
            <w:tcW w:w="1440" w:type="dxa"/>
            <w:vAlign w:val="center"/>
          </w:tcPr>
          <w:p>
            <w:pPr>
              <w:spacing w:line="360" w:lineRule="auto"/>
              <w:jc w:val="center"/>
              <w:rPr>
                <w:rFonts w:ascii="仿宋_GB2312" w:hAnsi="宋体" w:eastAsia="仿宋_GB2312"/>
                <w:color w:val="000000"/>
                <w:sz w:val="24"/>
              </w:rPr>
            </w:pPr>
          </w:p>
        </w:tc>
      </w:tr>
    </w:tbl>
    <w:p>
      <w:pPr>
        <w:spacing w:line="240" w:lineRule="atLeast"/>
        <w:rPr>
          <w:rFonts w:ascii="仿宋_GB2312" w:hAnsi="宋体" w:eastAsia="仿宋_GB2312"/>
          <w:color w:val="000000"/>
          <w:sz w:val="24"/>
        </w:rPr>
      </w:pPr>
    </w:p>
    <w:p>
      <w:pPr>
        <w:spacing w:line="240" w:lineRule="atLeast"/>
        <w:rPr>
          <w:rFonts w:ascii="仿宋_GB2312" w:hAnsi="宋体" w:eastAsia="仿宋_GB2312"/>
          <w:b/>
          <w:color w:val="000000"/>
          <w:sz w:val="24"/>
        </w:rPr>
      </w:pPr>
    </w:p>
    <w:p>
      <w:pPr>
        <w:spacing w:line="240" w:lineRule="atLeast"/>
        <w:rPr>
          <w:rFonts w:ascii="仿宋_GB2312" w:hAnsi="宋体" w:eastAsia="仿宋_GB2312"/>
          <w:b/>
          <w:color w:val="000000"/>
          <w:sz w:val="24"/>
        </w:rPr>
      </w:pPr>
    </w:p>
    <w:p>
      <w:pPr>
        <w:spacing w:line="240" w:lineRule="atLeast"/>
        <w:rPr>
          <w:rFonts w:ascii="仿宋_GB2312" w:hAnsi="宋体" w:eastAsia="仿宋_GB2312"/>
          <w:b/>
          <w:color w:val="000000"/>
          <w:sz w:val="24"/>
        </w:rPr>
      </w:pPr>
    </w:p>
    <w:p>
      <w:pPr>
        <w:spacing w:line="240" w:lineRule="atLeast"/>
        <w:rPr>
          <w:rFonts w:ascii="仿宋_GB2312" w:hAnsi="宋体" w:eastAsia="仿宋_GB2312"/>
          <w:b/>
          <w:color w:val="000000"/>
          <w:sz w:val="24"/>
        </w:rPr>
        <w:sectPr>
          <w:pgSz w:w="11906" w:h="16838"/>
          <w:pgMar w:top="1418" w:right="1418" w:bottom="1418" w:left="1418" w:header="1021" w:footer="1021" w:gutter="0"/>
          <w:cols w:space="720" w:num="1"/>
          <w:titlePg/>
          <w:docGrid w:linePitch="435" w:charSpace="0"/>
        </w:sectPr>
      </w:pPr>
    </w:p>
    <w:p>
      <w:pPr>
        <w:spacing w:line="240" w:lineRule="atLeast"/>
        <w:rPr>
          <w:rFonts w:ascii="仿宋_GB2312" w:hAnsi="宋体" w:eastAsia="仿宋_GB2312"/>
          <w:b/>
          <w:color w:val="000000"/>
          <w:sz w:val="24"/>
        </w:rPr>
      </w:pPr>
    </w:p>
    <w:p>
      <w:pPr>
        <w:pStyle w:val="6"/>
        <w:spacing w:after="140" w:line="360" w:lineRule="auto"/>
        <w:jc w:val="center"/>
        <w:rPr>
          <w:rFonts w:hint="default"/>
          <w:color w:val="000000"/>
        </w:rPr>
      </w:pPr>
      <w:bookmarkStart w:id="4" w:name="_Toc22152"/>
      <w:r>
        <w:rPr>
          <w:color w:val="000000"/>
        </w:rPr>
        <w:t>埋地油罐口起火应急处置</w:t>
      </w:r>
      <w:bookmarkEnd w:id="4"/>
      <w:r>
        <w:rPr>
          <w:color w:val="000000"/>
        </w:rPr>
        <w:t>措施</w:t>
      </w:r>
    </w:p>
    <w:tbl>
      <w:tblPr>
        <w:tblStyle w:val="18"/>
        <w:tblW w:w="9286"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6658"/>
        <w:gridCol w:w="143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tcPr>
          <w:p>
            <w:pPr>
              <w:spacing w:line="360" w:lineRule="auto"/>
              <w:jc w:val="center"/>
              <w:rPr>
                <w:rFonts w:ascii="仿宋_GB2312" w:hAnsi="宋体" w:eastAsia="仿宋_GB2312"/>
                <w:b/>
                <w:color w:val="000000"/>
                <w:sz w:val="28"/>
                <w:szCs w:val="28"/>
              </w:rPr>
            </w:pPr>
            <w:r>
              <w:rPr>
                <w:rFonts w:hint="eastAsia" w:ascii="仿宋_GB2312" w:hAnsi="宋体" w:eastAsia="仿宋_GB2312"/>
                <w:b/>
                <w:color w:val="000000"/>
                <w:sz w:val="28"/>
                <w:szCs w:val="28"/>
              </w:rPr>
              <w:t>步骤</w:t>
            </w:r>
          </w:p>
        </w:tc>
        <w:tc>
          <w:tcPr>
            <w:tcW w:w="6658" w:type="dxa"/>
          </w:tcPr>
          <w:p>
            <w:pPr>
              <w:spacing w:line="360" w:lineRule="auto"/>
              <w:jc w:val="center"/>
              <w:rPr>
                <w:rFonts w:ascii="仿宋_GB2312" w:hAnsi="宋体" w:eastAsia="仿宋_GB2312"/>
                <w:b/>
                <w:color w:val="000000"/>
                <w:sz w:val="28"/>
                <w:szCs w:val="28"/>
              </w:rPr>
            </w:pPr>
            <w:r>
              <w:rPr>
                <w:rFonts w:hint="eastAsia" w:ascii="仿宋_GB2312" w:hAnsi="宋体" w:eastAsia="仿宋_GB2312"/>
                <w:b/>
                <w:color w:val="000000"/>
                <w:sz w:val="28"/>
                <w:szCs w:val="28"/>
              </w:rPr>
              <w:t>处置</w:t>
            </w:r>
          </w:p>
        </w:tc>
        <w:tc>
          <w:tcPr>
            <w:tcW w:w="1439" w:type="dxa"/>
          </w:tcPr>
          <w:p>
            <w:pPr>
              <w:spacing w:line="360" w:lineRule="auto"/>
              <w:jc w:val="center"/>
              <w:rPr>
                <w:rFonts w:ascii="仿宋_GB2312" w:hAnsi="宋体" w:eastAsia="仿宋_GB2312"/>
                <w:b/>
                <w:color w:val="000000"/>
                <w:sz w:val="28"/>
                <w:szCs w:val="28"/>
              </w:rPr>
            </w:pPr>
            <w:r>
              <w:rPr>
                <w:rFonts w:hint="eastAsia" w:ascii="仿宋_GB2312" w:hAnsi="宋体" w:eastAsia="仿宋_GB2312"/>
                <w:b/>
                <w:color w:val="000000"/>
                <w:sz w:val="28"/>
                <w:szCs w:val="28"/>
              </w:rPr>
              <w:t>负责人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189"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报警</w:t>
            </w:r>
          </w:p>
        </w:tc>
        <w:tc>
          <w:tcPr>
            <w:tcW w:w="6658" w:type="dxa"/>
          </w:tcPr>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当埋地油罐口起火，发现事件第一人应大声呼救立即用现场消防器材扑救初期火灾， 并向报告。</w:t>
            </w:r>
          </w:p>
        </w:tc>
        <w:tc>
          <w:tcPr>
            <w:tcW w:w="1439"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发现事件第一人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9" w:type="dxa"/>
            <w:vMerge w:val="continue"/>
          </w:tcPr>
          <w:p>
            <w:pPr>
              <w:spacing w:line="360" w:lineRule="auto"/>
              <w:rPr>
                <w:rFonts w:ascii="仿宋_GB2312" w:hAnsi="宋体" w:eastAsia="仿宋_GB2312"/>
                <w:color w:val="000000"/>
                <w:sz w:val="24"/>
              </w:rPr>
            </w:pPr>
          </w:p>
        </w:tc>
        <w:tc>
          <w:tcPr>
            <w:tcW w:w="6658"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视情况向上级主管部门报告或拨打119、110电话，有人受伤时拨打120。</w:t>
            </w:r>
          </w:p>
        </w:tc>
        <w:tc>
          <w:tcPr>
            <w:tcW w:w="1439" w:type="dxa"/>
          </w:tcPr>
          <w:p>
            <w:pPr>
              <w:spacing w:line="340" w:lineRule="exact"/>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9"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应急启动</w:t>
            </w:r>
          </w:p>
        </w:tc>
        <w:tc>
          <w:tcPr>
            <w:tcW w:w="6658"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通知其他应急人员增援</w:t>
            </w:r>
          </w:p>
        </w:tc>
        <w:tc>
          <w:tcPr>
            <w:tcW w:w="1439" w:type="dxa"/>
          </w:tcPr>
          <w:p>
            <w:pPr>
              <w:spacing w:line="340" w:lineRule="exact"/>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vMerge w:val="continue"/>
          </w:tcPr>
          <w:p>
            <w:pPr>
              <w:spacing w:line="360" w:lineRule="auto"/>
              <w:rPr>
                <w:rFonts w:ascii="仿宋_GB2312" w:hAnsi="宋体" w:eastAsia="仿宋_GB2312"/>
                <w:color w:val="000000"/>
                <w:sz w:val="24"/>
              </w:rPr>
            </w:pPr>
          </w:p>
        </w:tc>
        <w:tc>
          <w:tcPr>
            <w:tcW w:w="6658"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停止加油和其他维修作业，切断总电源。</w:t>
            </w:r>
          </w:p>
        </w:tc>
        <w:tc>
          <w:tcPr>
            <w:tcW w:w="1439" w:type="dxa"/>
          </w:tcPr>
          <w:p>
            <w:pPr>
              <w:pStyle w:val="2"/>
              <w:ind w:firstLine="210"/>
              <w:rPr>
                <w:rFonts w:hint="eastAsia" w:eastAsia="仿宋_GB2312"/>
                <w:lang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9"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警戒</w:t>
            </w:r>
          </w:p>
        </w:tc>
        <w:tc>
          <w:tcPr>
            <w:tcW w:w="6658"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划定危险区域、警戒范围并实施警戒。</w:t>
            </w:r>
          </w:p>
        </w:tc>
        <w:tc>
          <w:tcPr>
            <w:tcW w:w="1439" w:type="dxa"/>
          </w:tcPr>
          <w:p>
            <w:pPr>
              <w:spacing w:line="340" w:lineRule="exact"/>
              <w:jc w:val="center"/>
              <w:rPr>
                <w:rFonts w:hint="eastAsia" w:eastAsiaTheme="minorEastAsia"/>
                <w:lang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vMerge w:val="continue"/>
            <w:vAlign w:val="center"/>
          </w:tcPr>
          <w:p>
            <w:pPr>
              <w:spacing w:line="360" w:lineRule="auto"/>
              <w:jc w:val="center"/>
              <w:rPr>
                <w:rFonts w:ascii="仿宋_GB2312" w:hAnsi="宋体" w:eastAsia="仿宋_GB2312"/>
                <w:color w:val="000000"/>
                <w:sz w:val="24"/>
              </w:rPr>
            </w:pPr>
          </w:p>
        </w:tc>
        <w:tc>
          <w:tcPr>
            <w:tcW w:w="6658"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组织无关人员及车辆（含施工人员）疏散。</w:t>
            </w:r>
          </w:p>
        </w:tc>
        <w:tc>
          <w:tcPr>
            <w:tcW w:w="1439" w:type="dxa"/>
            <w:vAlign w:val="center"/>
          </w:tcPr>
          <w:p>
            <w:pPr>
              <w:pStyle w:val="2"/>
              <w:ind w:firstLine="210"/>
              <w:rPr>
                <w:rFonts w:hint="eastAsia" w:ascii="仿宋_GB2312" w:hAnsi="宋体" w:eastAsia="仿宋_GB2312"/>
                <w:color w:val="000000"/>
                <w:sz w:val="24"/>
                <w:lang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应急处置</w:t>
            </w:r>
          </w:p>
        </w:tc>
        <w:tc>
          <w:tcPr>
            <w:tcW w:w="6658" w:type="dxa"/>
          </w:tcPr>
          <w:p>
            <w:pPr>
              <w:spacing w:line="360" w:lineRule="auto"/>
              <w:jc w:val="left"/>
              <w:rPr>
                <w:rFonts w:ascii="仿宋_GB2312" w:hAnsi="宋体" w:eastAsia="仿宋_GB2312"/>
                <w:color w:val="000000"/>
                <w:sz w:val="24"/>
              </w:rPr>
            </w:pPr>
            <w:r>
              <w:rPr>
                <w:rFonts w:hint="eastAsia" w:ascii="仿宋_GB2312" w:hAnsi="宋体" w:eastAsia="仿宋_GB2312"/>
                <w:b/>
                <w:color w:val="000000"/>
                <w:sz w:val="24"/>
              </w:rPr>
              <w:t>1.灭火</w:t>
            </w:r>
            <w:r>
              <w:rPr>
                <w:rFonts w:hint="eastAsia" w:ascii="仿宋_GB2312" w:hAnsi="宋体" w:eastAsia="仿宋_GB2312"/>
                <w:color w:val="000000"/>
                <w:sz w:val="24"/>
              </w:rPr>
              <w:t>：先用灭火器对准油罐口将大火扑灭，再用灭火毯覆盖油罐口。</w:t>
            </w:r>
          </w:p>
        </w:tc>
        <w:tc>
          <w:tcPr>
            <w:tcW w:w="1439" w:type="dxa"/>
            <w:vAlign w:val="center"/>
          </w:tcPr>
          <w:p>
            <w:pPr>
              <w:spacing w:line="340" w:lineRule="exact"/>
              <w:jc w:val="center"/>
              <w:rPr>
                <w:rFonts w:ascii="仿宋_GB2312" w:hAnsi="宋体" w:eastAsia="仿宋_GB2312"/>
                <w:color w:val="000000"/>
                <w:sz w:val="24"/>
              </w:rPr>
            </w:pPr>
          </w:p>
          <w:p>
            <w:pPr>
              <w:pStyle w:val="2"/>
              <w:ind w:firstLine="240"/>
            </w:pPr>
            <w:r>
              <w:rPr>
                <w:rFonts w:hint="eastAsia" w:ascii="仿宋_GB2312" w:hAnsi="宋体"/>
                <w:color w:val="000000"/>
                <w:sz w:val="24"/>
                <w:lang w:eastAsia="zh-CN"/>
              </w:rPr>
              <w:t>刘沧锐</w:t>
            </w:r>
            <w:r>
              <w:rPr>
                <w:rFonts w:hint="eastAsia" w:ascii="仿宋_GB2312" w:hAnsi="宋体" w:eastAsia="仿宋_GB2312"/>
                <w:color w:val="000000"/>
                <w:sz w:val="24"/>
              </w:rPr>
              <w:t>、</w:t>
            </w:r>
            <w:r>
              <w:rPr>
                <w:rFonts w:hint="eastAsia" w:ascii="仿宋_GB2312" w:hAnsi="宋体"/>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1189" w:type="dxa"/>
            <w:vMerge w:val="continue"/>
            <w:vAlign w:val="center"/>
          </w:tcPr>
          <w:p>
            <w:pPr>
              <w:spacing w:line="360" w:lineRule="auto"/>
              <w:jc w:val="center"/>
              <w:rPr>
                <w:rFonts w:ascii="仿宋_GB2312" w:hAnsi="宋体" w:eastAsia="仿宋_GB2312"/>
                <w:color w:val="000000"/>
                <w:sz w:val="24"/>
              </w:rPr>
            </w:pPr>
          </w:p>
        </w:tc>
        <w:tc>
          <w:tcPr>
            <w:tcW w:w="6658" w:type="dxa"/>
          </w:tcPr>
          <w:p>
            <w:pPr>
              <w:spacing w:line="360" w:lineRule="auto"/>
              <w:rPr>
                <w:rFonts w:ascii="仿宋_GB2312" w:hAnsi="宋体" w:eastAsia="仿宋_GB2312"/>
                <w:color w:val="000000"/>
                <w:sz w:val="24"/>
              </w:rPr>
            </w:pPr>
            <w:r>
              <w:rPr>
                <w:rFonts w:hint="eastAsia" w:ascii="仿宋_GB2312" w:hAnsi="宋体" w:eastAsia="仿宋_GB2312"/>
                <w:b/>
                <w:color w:val="000000"/>
                <w:sz w:val="24"/>
              </w:rPr>
              <w:t>2.救护</w:t>
            </w:r>
            <w:r>
              <w:rPr>
                <w:rFonts w:hint="eastAsia" w:ascii="仿宋_GB2312" w:hAnsi="宋体" w:eastAsia="仿宋_GB2312"/>
                <w:color w:val="000000"/>
                <w:sz w:val="24"/>
              </w:rPr>
              <w:t>：对现场受伤者实施救护及时送往医院。</w:t>
            </w:r>
          </w:p>
        </w:tc>
        <w:tc>
          <w:tcPr>
            <w:tcW w:w="1439" w:type="dxa"/>
            <w:vAlign w:val="center"/>
          </w:tcPr>
          <w:p>
            <w:pPr>
              <w:ind w:firstLine="240"/>
              <w:rPr>
                <w:rFonts w:hint="eastAsia" w:eastAsiaTheme="minorEastAsia"/>
                <w:lang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后期处置</w:t>
            </w:r>
          </w:p>
        </w:tc>
        <w:tc>
          <w:tcPr>
            <w:tcW w:w="6658"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现场余火扑灭后，清点人数并检查是否有人受伤，清理现场。</w:t>
            </w:r>
          </w:p>
        </w:tc>
        <w:tc>
          <w:tcPr>
            <w:tcW w:w="1439" w:type="dxa"/>
            <w:vAlign w:val="center"/>
          </w:tcPr>
          <w:p>
            <w:pPr>
              <w:ind w:firstLine="240"/>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9" w:type="dxa"/>
            <w:vMerge w:val="continue"/>
          </w:tcPr>
          <w:p>
            <w:pPr>
              <w:spacing w:line="360" w:lineRule="auto"/>
              <w:rPr>
                <w:rFonts w:ascii="仿宋_GB2312" w:hAnsi="宋体" w:eastAsia="仿宋_GB2312"/>
                <w:color w:val="000000"/>
                <w:sz w:val="24"/>
              </w:rPr>
            </w:pPr>
          </w:p>
        </w:tc>
        <w:tc>
          <w:tcPr>
            <w:tcW w:w="6658" w:type="dxa"/>
          </w:tcPr>
          <w:p>
            <w:pPr>
              <w:spacing w:line="360" w:lineRule="auto"/>
              <w:rPr>
                <w:rFonts w:ascii="仿宋_GB2312" w:hAnsi="宋体" w:eastAsia="仿宋_GB2312" w:cs="Arial"/>
                <w:color w:val="000000"/>
                <w:sz w:val="24"/>
              </w:rPr>
            </w:pPr>
            <w:r>
              <w:rPr>
                <w:rFonts w:hint="eastAsia" w:ascii="仿宋_GB2312" w:hAnsi="宋体" w:eastAsia="仿宋_GB2312" w:cs="Arial"/>
                <w:color w:val="000000"/>
                <w:sz w:val="24"/>
              </w:rPr>
              <w:t>请维修人员对受损设备进行维修，恢复生产。</w:t>
            </w:r>
          </w:p>
        </w:tc>
        <w:tc>
          <w:tcPr>
            <w:tcW w:w="1439"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9"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注意事项</w:t>
            </w:r>
          </w:p>
        </w:tc>
        <w:tc>
          <w:tcPr>
            <w:tcW w:w="6658"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1.把握灭火最佳时机（为火苗初起阶段）。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2.合理选用灭火器材及灭火方式。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3.报警时，须讲明着火地点、着火介质、火势、人员伤亡情况。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4.如火势较大无法扑灭，现场人员要及时撤离。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5.非本加油站新闻发言人不得擅自接收媒体采访。</w:t>
            </w:r>
          </w:p>
        </w:tc>
        <w:tc>
          <w:tcPr>
            <w:tcW w:w="1439" w:type="dxa"/>
            <w:vAlign w:val="center"/>
          </w:tcPr>
          <w:p>
            <w:pPr>
              <w:spacing w:line="360" w:lineRule="auto"/>
              <w:jc w:val="center"/>
              <w:rPr>
                <w:rFonts w:ascii="仿宋_GB2312" w:hAnsi="宋体" w:eastAsia="仿宋_GB2312"/>
                <w:color w:val="000000"/>
                <w:sz w:val="24"/>
              </w:rPr>
            </w:pPr>
          </w:p>
        </w:tc>
      </w:tr>
    </w:tbl>
    <w:p>
      <w:pPr>
        <w:spacing w:line="240" w:lineRule="atLeast"/>
        <w:rPr>
          <w:rFonts w:ascii="仿宋_GB2312" w:hAnsi="宋体" w:eastAsia="仿宋_GB2312"/>
          <w:b/>
          <w:color w:val="000000"/>
          <w:sz w:val="24"/>
        </w:rPr>
      </w:pPr>
    </w:p>
    <w:p>
      <w:pPr>
        <w:spacing w:line="240" w:lineRule="atLeast"/>
        <w:rPr>
          <w:rFonts w:ascii="仿宋_GB2312" w:hAnsi="宋体" w:eastAsia="仿宋_GB2312"/>
          <w:b/>
          <w:color w:val="000000"/>
          <w:sz w:val="24"/>
        </w:rPr>
      </w:pPr>
    </w:p>
    <w:p>
      <w:pPr>
        <w:spacing w:line="240" w:lineRule="atLeast"/>
        <w:rPr>
          <w:rFonts w:ascii="仿宋_GB2312" w:hAnsi="宋体" w:eastAsia="仿宋_GB2312"/>
          <w:b/>
          <w:color w:val="000000"/>
          <w:sz w:val="24"/>
        </w:rPr>
        <w:sectPr>
          <w:pgSz w:w="11906" w:h="16838"/>
          <w:pgMar w:top="1418" w:right="1418" w:bottom="1418" w:left="1418" w:header="1021" w:footer="1021" w:gutter="0"/>
          <w:cols w:space="720" w:num="1"/>
          <w:titlePg/>
          <w:docGrid w:linePitch="435" w:charSpace="0"/>
        </w:sectPr>
      </w:pPr>
    </w:p>
    <w:p>
      <w:pPr>
        <w:pStyle w:val="5"/>
        <w:spacing w:after="140" w:line="360" w:lineRule="auto"/>
        <w:jc w:val="center"/>
        <w:rPr>
          <w:color w:val="000000"/>
        </w:rPr>
      </w:pPr>
      <w:bookmarkStart w:id="5" w:name="_Toc15511"/>
      <w:r>
        <w:rPr>
          <w:rFonts w:hint="eastAsia"/>
          <w:color w:val="000000"/>
        </w:rPr>
        <w:t>油品泄漏现场处置</w:t>
      </w:r>
      <w:bookmarkEnd w:id="5"/>
      <w:r>
        <w:rPr>
          <w:rFonts w:hint="eastAsia"/>
          <w:color w:val="000000"/>
        </w:rPr>
        <w:t>措施</w:t>
      </w:r>
    </w:p>
    <w:p>
      <w:pPr>
        <w:pStyle w:val="6"/>
        <w:spacing w:after="140" w:line="360" w:lineRule="auto"/>
        <w:jc w:val="center"/>
        <w:rPr>
          <w:rFonts w:hint="default"/>
          <w:color w:val="000000"/>
        </w:rPr>
      </w:pPr>
      <w:bookmarkStart w:id="6" w:name="_Toc13303"/>
      <w:r>
        <w:rPr>
          <w:color w:val="000000"/>
        </w:rPr>
        <w:t>加油作业跑冒油事件应急处置</w:t>
      </w:r>
      <w:bookmarkEnd w:id="6"/>
      <w:r>
        <w:rPr>
          <w:color w:val="000000"/>
        </w:rPr>
        <w:t>措施</w:t>
      </w:r>
    </w:p>
    <w:tbl>
      <w:tblPr>
        <w:tblStyle w:val="18"/>
        <w:tblW w:w="9288"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6660"/>
        <w:gridCol w:w="144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tcPr>
          <w:p>
            <w:pPr>
              <w:spacing w:line="4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步骤</w:t>
            </w:r>
          </w:p>
        </w:tc>
        <w:tc>
          <w:tcPr>
            <w:tcW w:w="6660" w:type="dxa"/>
          </w:tcPr>
          <w:p>
            <w:pPr>
              <w:spacing w:line="4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处置</w:t>
            </w:r>
          </w:p>
        </w:tc>
        <w:tc>
          <w:tcPr>
            <w:tcW w:w="1440" w:type="dxa"/>
            <w:vAlign w:val="center"/>
          </w:tcPr>
          <w:p>
            <w:pPr>
              <w:spacing w:line="4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负责人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188" w:type="dxa"/>
            <w:vAlign w:val="center"/>
          </w:tcPr>
          <w:p>
            <w:pPr>
              <w:spacing w:line="400" w:lineRule="exact"/>
              <w:jc w:val="center"/>
              <w:rPr>
                <w:rFonts w:ascii="仿宋_GB2312" w:hAnsi="宋体" w:eastAsia="仿宋_GB2312"/>
                <w:color w:val="000000"/>
                <w:sz w:val="24"/>
              </w:rPr>
            </w:pPr>
            <w:r>
              <w:rPr>
                <w:rFonts w:hint="eastAsia" w:ascii="仿宋_GB2312" w:hAnsi="宋体" w:eastAsia="仿宋_GB2312"/>
                <w:color w:val="000000"/>
                <w:sz w:val="24"/>
              </w:rPr>
              <w:t>报警</w:t>
            </w:r>
          </w:p>
        </w:tc>
        <w:tc>
          <w:tcPr>
            <w:tcW w:w="6660" w:type="dxa"/>
          </w:tcPr>
          <w:p>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发现加油过程中出现跑冒油事件，发现事件第一人大声呼救，立即停止加油、挂枪（切断电源），并向报告。</w:t>
            </w:r>
          </w:p>
        </w:tc>
        <w:tc>
          <w:tcPr>
            <w:tcW w:w="1440" w:type="dxa"/>
            <w:vAlign w:val="center"/>
          </w:tcPr>
          <w:p>
            <w:pPr>
              <w:spacing w:line="400" w:lineRule="exact"/>
              <w:jc w:val="center"/>
              <w:rPr>
                <w:rFonts w:ascii="仿宋_GB2312" w:hAnsi="宋体" w:eastAsia="仿宋_GB2312"/>
                <w:color w:val="000000"/>
                <w:sz w:val="24"/>
              </w:rPr>
            </w:pPr>
            <w:r>
              <w:rPr>
                <w:rFonts w:hint="eastAsia" w:ascii="仿宋_GB2312" w:hAnsi="宋体" w:eastAsia="仿宋_GB2312"/>
                <w:color w:val="000000"/>
                <w:sz w:val="24"/>
              </w:rPr>
              <w:t>发现事件第一人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Merge w:val="restart"/>
            <w:vAlign w:val="center"/>
          </w:tcPr>
          <w:p>
            <w:pPr>
              <w:spacing w:line="400" w:lineRule="exact"/>
              <w:jc w:val="center"/>
              <w:rPr>
                <w:rFonts w:ascii="仿宋_GB2312" w:hAnsi="宋体" w:eastAsia="仿宋_GB2312"/>
                <w:color w:val="000000"/>
                <w:sz w:val="24"/>
              </w:rPr>
            </w:pPr>
            <w:r>
              <w:rPr>
                <w:rFonts w:hint="eastAsia" w:ascii="仿宋_GB2312" w:hAnsi="宋体" w:eastAsia="仿宋_GB2312"/>
                <w:color w:val="000000"/>
                <w:sz w:val="24"/>
              </w:rPr>
              <w:t>应急启动</w:t>
            </w:r>
          </w:p>
        </w:tc>
        <w:tc>
          <w:tcPr>
            <w:tcW w:w="6660" w:type="dxa"/>
          </w:tcPr>
          <w:p>
            <w:pPr>
              <w:spacing w:line="400" w:lineRule="exact"/>
              <w:rPr>
                <w:rFonts w:ascii="仿宋_GB2312" w:hAnsi="宋体" w:eastAsia="仿宋_GB2312"/>
                <w:color w:val="000000"/>
                <w:sz w:val="24"/>
              </w:rPr>
            </w:pPr>
            <w:r>
              <w:rPr>
                <w:rFonts w:hint="eastAsia" w:ascii="仿宋_GB2312" w:hAnsi="宋体" w:eastAsia="仿宋_GB2312"/>
                <w:color w:val="000000"/>
                <w:sz w:val="24"/>
              </w:rPr>
              <w:t>通知其他应急人员增援，视情况向上级主管部门报告或拨打119、110电话，有人受伤时拨打120。</w:t>
            </w:r>
          </w:p>
        </w:tc>
        <w:tc>
          <w:tcPr>
            <w:tcW w:w="1440" w:type="dxa"/>
          </w:tcPr>
          <w:p>
            <w:pPr>
              <w:spacing w:line="340" w:lineRule="exact"/>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Merge w:val="continue"/>
          </w:tcPr>
          <w:p>
            <w:pPr>
              <w:spacing w:line="400" w:lineRule="exact"/>
              <w:rPr>
                <w:rFonts w:ascii="仿宋_GB2312" w:hAnsi="宋体" w:eastAsia="仿宋_GB2312"/>
                <w:color w:val="000000"/>
                <w:sz w:val="24"/>
              </w:rPr>
            </w:pPr>
          </w:p>
        </w:tc>
        <w:tc>
          <w:tcPr>
            <w:tcW w:w="6660" w:type="dxa"/>
          </w:tcPr>
          <w:p>
            <w:pPr>
              <w:spacing w:line="400" w:lineRule="exact"/>
              <w:rPr>
                <w:rFonts w:ascii="仿宋_GB2312" w:hAnsi="宋体" w:eastAsia="仿宋_GB2312"/>
                <w:color w:val="000000"/>
                <w:sz w:val="24"/>
              </w:rPr>
            </w:pPr>
            <w:r>
              <w:rPr>
                <w:rFonts w:hint="eastAsia" w:ascii="仿宋_GB2312" w:hAnsi="宋体" w:eastAsia="仿宋_GB2312"/>
                <w:color w:val="000000"/>
                <w:sz w:val="24"/>
              </w:rPr>
              <w:t>停止加油和其他维修作业，切断总电源。</w:t>
            </w:r>
          </w:p>
        </w:tc>
        <w:tc>
          <w:tcPr>
            <w:tcW w:w="1440" w:type="dxa"/>
          </w:tcPr>
          <w:p>
            <w:pPr>
              <w:pStyle w:val="2"/>
              <w:ind w:firstLine="210"/>
              <w:rPr>
                <w:rFonts w:hint="eastAsia" w:eastAsia="仿宋_GB2312"/>
                <w:lang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Merge w:val="restart"/>
            <w:vAlign w:val="center"/>
          </w:tcPr>
          <w:p>
            <w:pPr>
              <w:spacing w:line="400" w:lineRule="exact"/>
              <w:jc w:val="center"/>
              <w:rPr>
                <w:rFonts w:ascii="仿宋_GB2312" w:hAnsi="宋体" w:eastAsia="仿宋_GB2312"/>
                <w:color w:val="000000"/>
                <w:sz w:val="24"/>
              </w:rPr>
            </w:pPr>
            <w:r>
              <w:rPr>
                <w:rFonts w:hint="eastAsia" w:ascii="仿宋_GB2312" w:hAnsi="宋体" w:eastAsia="仿宋_GB2312"/>
                <w:color w:val="000000"/>
                <w:sz w:val="24"/>
              </w:rPr>
              <w:t>警戒</w:t>
            </w:r>
          </w:p>
        </w:tc>
        <w:tc>
          <w:tcPr>
            <w:tcW w:w="6660" w:type="dxa"/>
          </w:tcPr>
          <w:p>
            <w:pPr>
              <w:spacing w:line="400" w:lineRule="exact"/>
              <w:rPr>
                <w:rFonts w:ascii="仿宋_GB2312" w:hAnsi="宋体" w:eastAsia="仿宋_GB2312"/>
                <w:color w:val="000000"/>
                <w:sz w:val="24"/>
              </w:rPr>
            </w:pPr>
            <w:r>
              <w:rPr>
                <w:rFonts w:hint="eastAsia" w:ascii="仿宋_GB2312" w:hAnsi="宋体" w:eastAsia="仿宋_GB2312"/>
                <w:color w:val="000000"/>
                <w:sz w:val="24"/>
              </w:rPr>
              <w:t>划定危险区域、警戒范围并拉设警戒线。</w:t>
            </w:r>
          </w:p>
        </w:tc>
        <w:tc>
          <w:tcPr>
            <w:tcW w:w="1440" w:type="dxa"/>
          </w:tcPr>
          <w:p>
            <w:pPr>
              <w:spacing w:line="340" w:lineRule="exact"/>
              <w:jc w:val="center"/>
              <w:rPr>
                <w:rFonts w:hint="eastAsia" w:eastAsiaTheme="minorEastAsia"/>
                <w:lang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Merge w:val="continue"/>
            <w:vAlign w:val="center"/>
          </w:tcPr>
          <w:p>
            <w:pPr>
              <w:spacing w:line="400" w:lineRule="exact"/>
              <w:jc w:val="center"/>
              <w:rPr>
                <w:rFonts w:ascii="仿宋_GB2312" w:hAnsi="宋体" w:eastAsia="仿宋_GB2312"/>
                <w:color w:val="000000"/>
                <w:sz w:val="24"/>
              </w:rPr>
            </w:pPr>
          </w:p>
        </w:tc>
        <w:tc>
          <w:tcPr>
            <w:tcW w:w="6660" w:type="dxa"/>
          </w:tcPr>
          <w:p>
            <w:pPr>
              <w:spacing w:line="400" w:lineRule="exact"/>
              <w:rPr>
                <w:rFonts w:ascii="仿宋_GB2312" w:hAnsi="宋体" w:eastAsia="仿宋_GB2312"/>
                <w:color w:val="000000"/>
                <w:sz w:val="24"/>
              </w:rPr>
            </w:pPr>
            <w:r>
              <w:rPr>
                <w:rFonts w:hint="eastAsia" w:ascii="仿宋_GB2312" w:hAnsi="宋体" w:eastAsia="仿宋_GB2312"/>
                <w:color w:val="000000"/>
                <w:sz w:val="24"/>
              </w:rPr>
              <w:t>疏散现场无关人员及车辆（含施工人员）。</w:t>
            </w:r>
          </w:p>
        </w:tc>
        <w:tc>
          <w:tcPr>
            <w:tcW w:w="1440" w:type="dxa"/>
            <w:vAlign w:val="center"/>
          </w:tcPr>
          <w:p>
            <w:pPr>
              <w:pStyle w:val="2"/>
              <w:ind w:firstLine="210"/>
              <w:rPr>
                <w:rFonts w:hint="eastAsia" w:eastAsia="仿宋_GB2312"/>
                <w:lang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Align w:val="center"/>
          </w:tcPr>
          <w:p>
            <w:pPr>
              <w:spacing w:line="400" w:lineRule="exact"/>
              <w:jc w:val="center"/>
              <w:rPr>
                <w:rFonts w:ascii="仿宋_GB2312" w:hAnsi="宋体" w:eastAsia="仿宋_GB2312"/>
                <w:color w:val="000000"/>
                <w:sz w:val="24"/>
              </w:rPr>
            </w:pPr>
            <w:r>
              <w:rPr>
                <w:rFonts w:hint="eastAsia" w:ascii="仿宋_GB2312" w:hAnsi="宋体" w:eastAsia="仿宋_GB2312"/>
                <w:color w:val="000000"/>
                <w:sz w:val="24"/>
              </w:rPr>
              <w:t>应急处置</w:t>
            </w:r>
          </w:p>
        </w:tc>
        <w:tc>
          <w:tcPr>
            <w:tcW w:w="6660" w:type="dxa"/>
          </w:tcPr>
          <w:p>
            <w:pPr>
              <w:spacing w:line="40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1.应立即停止加油作业。</w:t>
            </w:r>
          </w:p>
          <w:p>
            <w:pPr>
              <w:spacing w:line="40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2.向顾客道歉，告知顾客禁止启动加油车辆，杜绝明火源接近。</w:t>
            </w:r>
          </w:p>
          <w:p>
            <w:pPr>
              <w:spacing w:line="40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3.会同现场其他人员将车辆推离现场，并在跑、冒油区用消防沙覆盖，或设置警戒标志。</w:t>
            </w:r>
          </w:p>
          <w:p>
            <w:pPr>
              <w:spacing w:line="40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4.用棉质拖把、毛巾吸干油面，在用干沙覆盖残油。待充分吸收残油后，将现场清理干净。</w:t>
            </w:r>
          </w:p>
          <w:p>
            <w:pPr>
              <w:spacing w:line="40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5.如冒油数量较多，应检查附近的排水渠，若有较多的油品进入排水渠，则应立即采取措施阻止油污流散（用消防沙或沙包、清理隔油池油污，严防溢出）。</w:t>
            </w:r>
          </w:p>
          <w:p>
            <w:pPr>
              <w:spacing w:line="40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6.与顾客共同确认跑冒油数量，视责任情况进行赔偿。如果跑冒油数量较大，协商不成，由处理。</w:t>
            </w:r>
          </w:p>
        </w:tc>
        <w:tc>
          <w:tcPr>
            <w:tcW w:w="1440" w:type="dxa"/>
            <w:vAlign w:val="center"/>
          </w:tcPr>
          <w:p>
            <w:pPr>
              <w:pStyle w:val="2"/>
              <w:ind w:firstLine="240"/>
            </w:pPr>
            <w:r>
              <w:rPr>
                <w:rFonts w:hint="eastAsia" w:ascii="仿宋_GB2312" w:hAnsi="宋体"/>
                <w:color w:val="000000"/>
                <w:sz w:val="24"/>
                <w:lang w:eastAsia="zh-CN"/>
              </w:rPr>
              <w:t>刘沧锐</w:t>
            </w:r>
            <w:r>
              <w:rPr>
                <w:rFonts w:hint="eastAsia" w:ascii="仿宋_GB2312" w:hAnsi="宋体" w:eastAsia="仿宋_GB2312"/>
                <w:color w:val="000000"/>
                <w:sz w:val="24"/>
              </w:rPr>
              <w:t>、</w:t>
            </w:r>
            <w:r>
              <w:rPr>
                <w:rFonts w:hint="eastAsia" w:ascii="仿宋_GB2312" w:hAnsi="宋体"/>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Merge w:val="restart"/>
            <w:vAlign w:val="center"/>
          </w:tcPr>
          <w:p>
            <w:pPr>
              <w:spacing w:line="400" w:lineRule="exact"/>
              <w:jc w:val="center"/>
              <w:rPr>
                <w:rFonts w:ascii="仿宋_GB2312" w:hAnsi="宋体" w:eastAsia="仿宋_GB2312"/>
                <w:color w:val="000000"/>
                <w:sz w:val="24"/>
              </w:rPr>
            </w:pPr>
            <w:r>
              <w:rPr>
                <w:rFonts w:hint="eastAsia" w:ascii="仿宋_GB2312" w:hAnsi="宋体" w:eastAsia="仿宋_GB2312"/>
                <w:color w:val="000000"/>
                <w:sz w:val="24"/>
              </w:rPr>
              <w:t>后期处置</w:t>
            </w:r>
          </w:p>
        </w:tc>
        <w:tc>
          <w:tcPr>
            <w:tcW w:w="6660" w:type="dxa"/>
          </w:tcPr>
          <w:p>
            <w:pPr>
              <w:spacing w:line="400" w:lineRule="exact"/>
              <w:rPr>
                <w:rFonts w:ascii="仿宋_GB2312" w:hAnsi="宋体" w:eastAsia="仿宋_GB2312"/>
                <w:color w:val="000000"/>
                <w:sz w:val="24"/>
              </w:rPr>
            </w:pPr>
            <w:r>
              <w:rPr>
                <w:rFonts w:hint="eastAsia" w:ascii="仿宋_GB2312" w:hAnsi="宋体" w:eastAsia="仿宋_GB2312"/>
                <w:color w:val="000000"/>
                <w:sz w:val="24"/>
              </w:rPr>
              <w:t>清理干净地面油污；</w:t>
            </w:r>
          </w:p>
        </w:tc>
        <w:tc>
          <w:tcPr>
            <w:tcW w:w="1440" w:type="dxa"/>
            <w:vAlign w:val="center"/>
          </w:tcPr>
          <w:p>
            <w:pPr>
              <w:pStyle w:val="2"/>
              <w:ind w:firstLine="210"/>
              <w:rPr>
                <w:rFonts w:hint="eastAsia" w:eastAsia="仿宋_GB2312"/>
                <w:lang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Merge w:val="continue"/>
            <w:vAlign w:val="center"/>
          </w:tcPr>
          <w:p>
            <w:pPr>
              <w:spacing w:line="400" w:lineRule="exact"/>
              <w:jc w:val="center"/>
              <w:rPr>
                <w:rFonts w:ascii="仿宋_GB2312" w:hAnsi="宋体" w:eastAsia="仿宋_GB2312"/>
                <w:color w:val="000000"/>
                <w:sz w:val="24"/>
              </w:rPr>
            </w:pPr>
          </w:p>
        </w:tc>
        <w:tc>
          <w:tcPr>
            <w:tcW w:w="6660" w:type="dxa"/>
          </w:tcPr>
          <w:p>
            <w:pPr>
              <w:spacing w:line="400" w:lineRule="exact"/>
              <w:rPr>
                <w:rFonts w:ascii="仿宋_GB2312" w:hAnsi="宋体" w:eastAsia="仿宋_GB2312"/>
                <w:color w:val="000000"/>
                <w:sz w:val="24"/>
              </w:rPr>
            </w:pPr>
            <w:r>
              <w:rPr>
                <w:rFonts w:hint="eastAsia" w:ascii="仿宋_GB2312" w:hAnsi="宋体" w:eastAsia="仿宋_GB2312" w:cs="Arial"/>
                <w:color w:val="000000"/>
                <w:sz w:val="24"/>
              </w:rPr>
              <w:t>请维修人员对受损设备进行维修，恢复生产。</w:t>
            </w:r>
          </w:p>
        </w:tc>
        <w:tc>
          <w:tcPr>
            <w:tcW w:w="1440" w:type="dxa"/>
            <w:vAlign w:val="center"/>
          </w:tcPr>
          <w:p>
            <w:pPr>
              <w:spacing w:line="340" w:lineRule="exact"/>
              <w:jc w:val="center"/>
              <w:rPr>
                <w:rFonts w:ascii="仿宋_GB2312" w:hAnsi="宋体" w:eastAsia="仿宋_GB2312"/>
                <w:color w:val="000000"/>
                <w:sz w:val="24"/>
              </w:rPr>
            </w:pPr>
          </w:p>
          <w:p>
            <w:pPr>
              <w:spacing w:line="400" w:lineRule="exact"/>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Merge w:val="continue"/>
          </w:tcPr>
          <w:p>
            <w:pPr>
              <w:spacing w:line="400" w:lineRule="exact"/>
              <w:rPr>
                <w:rFonts w:ascii="仿宋_GB2312" w:hAnsi="宋体" w:eastAsia="仿宋_GB2312"/>
                <w:color w:val="000000"/>
                <w:sz w:val="24"/>
              </w:rPr>
            </w:pPr>
          </w:p>
        </w:tc>
        <w:tc>
          <w:tcPr>
            <w:tcW w:w="6660" w:type="dxa"/>
          </w:tcPr>
          <w:p>
            <w:pPr>
              <w:spacing w:line="400" w:lineRule="exact"/>
              <w:rPr>
                <w:rFonts w:ascii="仿宋_GB2312" w:hAnsi="宋体" w:eastAsia="仿宋_GB2312" w:cs="Arial"/>
                <w:color w:val="000000"/>
                <w:sz w:val="24"/>
              </w:rPr>
            </w:pPr>
            <w:r>
              <w:rPr>
                <w:rFonts w:hint="eastAsia" w:ascii="仿宋_GB2312" w:hAnsi="宋体" w:eastAsia="仿宋_GB2312"/>
                <w:color w:val="000000"/>
                <w:sz w:val="24"/>
              </w:rPr>
              <w:t>计算油品损失。</w:t>
            </w:r>
          </w:p>
        </w:tc>
        <w:tc>
          <w:tcPr>
            <w:tcW w:w="1440" w:type="dxa"/>
            <w:vAlign w:val="center"/>
          </w:tcPr>
          <w:p>
            <w:pPr>
              <w:spacing w:line="400" w:lineRule="exact"/>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Align w:val="center"/>
          </w:tcPr>
          <w:p>
            <w:pPr>
              <w:spacing w:line="400" w:lineRule="exact"/>
              <w:jc w:val="center"/>
              <w:rPr>
                <w:rFonts w:ascii="仿宋_GB2312" w:hAnsi="宋体" w:eastAsia="仿宋_GB2312"/>
                <w:color w:val="000000"/>
                <w:sz w:val="24"/>
              </w:rPr>
            </w:pPr>
            <w:r>
              <w:rPr>
                <w:rFonts w:hint="eastAsia" w:ascii="仿宋_GB2312" w:hAnsi="宋体" w:eastAsia="仿宋_GB2312"/>
                <w:color w:val="000000"/>
                <w:sz w:val="24"/>
              </w:rPr>
              <w:t>注意事项</w:t>
            </w:r>
          </w:p>
        </w:tc>
        <w:tc>
          <w:tcPr>
            <w:tcW w:w="6660" w:type="dxa"/>
          </w:tcPr>
          <w:p>
            <w:pPr>
              <w:spacing w:line="40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1.应提醒现场人员不要惊慌，有序疏散。</w:t>
            </w:r>
          </w:p>
          <w:p>
            <w:pPr>
              <w:spacing w:line="40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2.油料泄漏量大时，应扩大警戒范围；若油料流入暗渠，要派人巡视或值守，禁止他人点火。</w:t>
            </w:r>
          </w:p>
          <w:p>
            <w:pPr>
              <w:spacing w:line="400" w:lineRule="exact"/>
              <w:ind w:firstLine="360" w:firstLineChars="150"/>
              <w:rPr>
                <w:rFonts w:ascii="仿宋_GB2312" w:hAnsi="宋体" w:eastAsia="仿宋_GB2312"/>
                <w:bCs/>
                <w:color w:val="000000"/>
                <w:sz w:val="24"/>
              </w:rPr>
            </w:pPr>
            <w:r>
              <w:rPr>
                <w:rFonts w:hint="eastAsia" w:ascii="仿宋_GB2312" w:hAnsi="宋体" w:eastAsia="仿宋_GB2312"/>
                <w:color w:val="000000"/>
                <w:sz w:val="24"/>
              </w:rPr>
              <w:t>3.</w:t>
            </w:r>
            <w:r>
              <w:rPr>
                <w:rFonts w:hint="eastAsia" w:ascii="仿宋_GB2312" w:hAnsi="宋体" w:eastAsia="仿宋_GB2312"/>
                <w:bCs/>
                <w:color w:val="000000"/>
                <w:sz w:val="24"/>
              </w:rPr>
              <w:t>在回收油品（油污）时，严禁使用铁制、化纤、塑料类材质等易产生静电或火花的工具、容器、扫把等。</w:t>
            </w:r>
            <w:r>
              <w:rPr>
                <w:rFonts w:hint="eastAsia" w:ascii="仿宋_GB2312" w:hAnsi="宋体" w:eastAsia="仿宋_GB2312"/>
                <w:color w:val="000000"/>
                <w:sz w:val="24"/>
              </w:rPr>
              <w:t>回收的废油或油污应集中统一处理，不能随意倾倒。</w:t>
            </w:r>
          </w:p>
        </w:tc>
        <w:tc>
          <w:tcPr>
            <w:tcW w:w="1440" w:type="dxa"/>
            <w:vAlign w:val="center"/>
          </w:tcPr>
          <w:p>
            <w:pPr>
              <w:spacing w:line="400" w:lineRule="exact"/>
              <w:jc w:val="center"/>
              <w:rPr>
                <w:rFonts w:ascii="仿宋_GB2312" w:hAnsi="宋体" w:eastAsia="仿宋_GB2312"/>
                <w:color w:val="000000"/>
                <w:sz w:val="24"/>
              </w:rPr>
            </w:pPr>
          </w:p>
        </w:tc>
      </w:tr>
    </w:tbl>
    <w:p>
      <w:pPr>
        <w:pStyle w:val="6"/>
        <w:spacing w:after="140" w:line="360" w:lineRule="auto"/>
        <w:jc w:val="center"/>
        <w:rPr>
          <w:rFonts w:hint="default"/>
          <w:color w:val="000000"/>
        </w:rPr>
      </w:pPr>
      <w:bookmarkStart w:id="7" w:name="_Toc3677"/>
      <w:r>
        <w:rPr>
          <w:color w:val="000000"/>
        </w:rPr>
        <w:t>卸油作业中发生跑冒油事件应急处置</w:t>
      </w:r>
      <w:bookmarkEnd w:id="7"/>
      <w:r>
        <w:rPr>
          <w:color w:val="000000"/>
        </w:rPr>
        <w:t>措施</w:t>
      </w:r>
    </w:p>
    <w:tbl>
      <w:tblPr>
        <w:tblStyle w:val="18"/>
        <w:tblW w:w="9288"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6660"/>
        <w:gridCol w:w="144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tcPr>
          <w:p>
            <w:pPr>
              <w:spacing w:line="42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步骤</w:t>
            </w:r>
          </w:p>
        </w:tc>
        <w:tc>
          <w:tcPr>
            <w:tcW w:w="6660" w:type="dxa"/>
          </w:tcPr>
          <w:p>
            <w:pPr>
              <w:spacing w:line="42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处置</w:t>
            </w:r>
          </w:p>
        </w:tc>
        <w:tc>
          <w:tcPr>
            <w:tcW w:w="1440" w:type="dxa"/>
          </w:tcPr>
          <w:p>
            <w:pPr>
              <w:spacing w:line="42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负责人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188"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rPr>
              <w:t>报警</w:t>
            </w:r>
          </w:p>
        </w:tc>
        <w:tc>
          <w:tcPr>
            <w:tcW w:w="6660" w:type="dxa"/>
          </w:tcPr>
          <w:p>
            <w:pPr>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发现卸油过程中出现跑冒油事件，现场卸油员应大声呼叫。并向报告</w:t>
            </w:r>
          </w:p>
        </w:tc>
        <w:tc>
          <w:tcPr>
            <w:tcW w:w="1440"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rPr>
              <w:t>现场卸油员</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rPr>
              <w:t>应急启动</w:t>
            </w:r>
          </w:p>
        </w:tc>
        <w:tc>
          <w:tcPr>
            <w:tcW w:w="6660" w:type="dxa"/>
          </w:tcPr>
          <w:p>
            <w:pPr>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通知其他应急人员增援，及时关闭油罐车卸油阀，情况严重的，应切断总电源，停止营业，视情况向上级主管部门报告或拨打119、110电话，有人受伤时拨打120。</w:t>
            </w:r>
          </w:p>
        </w:tc>
        <w:tc>
          <w:tcPr>
            <w:tcW w:w="1440"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Merge w:val="restart"/>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rPr>
              <w:t>警戒</w:t>
            </w:r>
          </w:p>
        </w:tc>
        <w:tc>
          <w:tcPr>
            <w:tcW w:w="6660" w:type="dxa"/>
          </w:tcPr>
          <w:p>
            <w:pPr>
              <w:spacing w:line="420" w:lineRule="exact"/>
              <w:rPr>
                <w:rFonts w:ascii="仿宋_GB2312" w:hAnsi="宋体" w:eastAsia="仿宋_GB2312"/>
                <w:color w:val="000000"/>
                <w:sz w:val="24"/>
              </w:rPr>
            </w:pPr>
            <w:r>
              <w:rPr>
                <w:rFonts w:hint="eastAsia" w:ascii="仿宋_GB2312" w:hAnsi="宋体" w:eastAsia="仿宋_GB2312"/>
                <w:color w:val="000000"/>
                <w:sz w:val="24"/>
              </w:rPr>
              <w:t>划定危险区域、警戒范围并实施警戒。</w:t>
            </w:r>
          </w:p>
        </w:tc>
        <w:tc>
          <w:tcPr>
            <w:tcW w:w="1440" w:type="dxa"/>
          </w:tcPr>
          <w:p>
            <w:pPr>
              <w:pStyle w:val="2"/>
              <w:ind w:firstLine="210"/>
              <w:rPr>
                <w:rFonts w:hint="default" w:eastAsia="仿宋_GB2312"/>
                <w:lang w:val="en-US"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188" w:type="dxa"/>
            <w:vMerge w:val="continue"/>
            <w:vAlign w:val="center"/>
          </w:tcPr>
          <w:p>
            <w:pPr>
              <w:spacing w:line="420" w:lineRule="exact"/>
              <w:jc w:val="center"/>
              <w:rPr>
                <w:rFonts w:ascii="仿宋_GB2312" w:hAnsi="宋体" w:eastAsia="仿宋_GB2312"/>
                <w:color w:val="000000"/>
                <w:sz w:val="24"/>
              </w:rPr>
            </w:pPr>
          </w:p>
        </w:tc>
        <w:tc>
          <w:tcPr>
            <w:tcW w:w="6660" w:type="dxa"/>
          </w:tcPr>
          <w:p>
            <w:pPr>
              <w:spacing w:line="420" w:lineRule="exact"/>
              <w:rPr>
                <w:rFonts w:ascii="仿宋_GB2312" w:hAnsi="宋体" w:eastAsia="仿宋_GB2312"/>
                <w:color w:val="000000"/>
                <w:sz w:val="24"/>
              </w:rPr>
            </w:pPr>
            <w:r>
              <w:rPr>
                <w:rFonts w:hint="eastAsia" w:ascii="仿宋_GB2312" w:hAnsi="宋体" w:eastAsia="仿宋_GB2312"/>
                <w:color w:val="000000"/>
                <w:sz w:val="24"/>
              </w:rPr>
              <w:t>组织无关人员及车辆（含施工人员）疏散。</w:t>
            </w:r>
          </w:p>
        </w:tc>
        <w:tc>
          <w:tcPr>
            <w:tcW w:w="1440" w:type="dxa"/>
          </w:tcPr>
          <w:p>
            <w:pPr>
              <w:spacing w:line="340" w:lineRule="exact"/>
              <w:jc w:val="center"/>
              <w:rPr>
                <w:rFonts w:hint="default" w:eastAsiaTheme="minorEastAsia"/>
                <w:lang w:val="en-US"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rPr>
              <w:t>应急处置</w:t>
            </w:r>
          </w:p>
        </w:tc>
        <w:tc>
          <w:tcPr>
            <w:tcW w:w="6660" w:type="dxa"/>
          </w:tcPr>
          <w:p>
            <w:pPr>
              <w:spacing w:line="42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1.现场警戒，疏散闲杂人员，严禁启动中的车辆等明火源靠近，消防器材就位，做好扑救准备。</w:t>
            </w:r>
          </w:p>
          <w:p>
            <w:pPr>
              <w:spacing w:line="42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2.查找泄漏源，采取隔断、围堵等处置措施，控制油品扩散；封闭下水道，防止油品下水道扩散；设法将油污水导入隔油池，如无法进入隔油池，应在排污口进行隔断。</w:t>
            </w:r>
          </w:p>
          <w:p>
            <w:pPr>
              <w:spacing w:line="42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3.对现场已跑冒油品用棉纱、毛巾、拖把、铝（铜）质容器等进行回收（禁止用铁铲、塑料桶等易产生静电火花的器皿进行回收）。回收后用沙土覆盖残留油渍，待充分吸收残油后将沙土清除干净。水上加油站无法回收的油品，用吸油毡消油。</w:t>
            </w:r>
          </w:p>
          <w:p>
            <w:pPr>
              <w:spacing w:line="42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4.检查所有井口及其他可能留有油品的区域，若有残油或隐患存在应及时清理干净。</w:t>
            </w:r>
          </w:p>
        </w:tc>
        <w:tc>
          <w:tcPr>
            <w:tcW w:w="1440" w:type="dxa"/>
            <w:vAlign w:val="center"/>
          </w:tcPr>
          <w:p>
            <w:pPr>
              <w:spacing w:line="340" w:lineRule="exact"/>
              <w:jc w:val="center"/>
              <w:rPr>
                <w:rFonts w:ascii="仿宋_GB2312" w:hAnsi="宋体" w:eastAsia="仿宋_GB2312"/>
                <w:color w:val="000000"/>
                <w:sz w:val="24"/>
              </w:rPr>
            </w:pPr>
          </w:p>
          <w:p>
            <w:pPr>
              <w:spacing w:line="420" w:lineRule="exact"/>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rPr>
              <w:t>后期处置</w:t>
            </w:r>
          </w:p>
        </w:tc>
        <w:tc>
          <w:tcPr>
            <w:tcW w:w="6660" w:type="dxa"/>
          </w:tcPr>
          <w:p>
            <w:pPr>
              <w:spacing w:line="42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1.计量确定跑冒油损失，做好外泄油品的确认，做好台账记录及事故汇报材料，上报主管部门。</w:t>
            </w:r>
          </w:p>
          <w:p>
            <w:pPr>
              <w:spacing w:line="42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2.应跟踪观察跑冒油对周边环境的影响，如情况严重的，应上报上级主管部门。</w:t>
            </w:r>
          </w:p>
        </w:tc>
        <w:tc>
          <w:tcPr>
            <w:tcW w:w="1440" w:type="dxa"/>
            <w:vAlign w:val="center"/>
          </w:tcPr>
          <w:p>
            <w:pPr>
              <w:spacing w:line="340" w:lineRule="exact"/>
              <w:jc w:val="center"/>
              <w:rPr>
                <w:rFonts w:ascii="仿宋_GB2312" w:hAnsi="宋体" w:eastAsia="仿宋_GB2312"/>
                <w:color w:val="000000"/>
                <w:sz w:val="24"/>
              </w:rPr>
            </w:pPr>
          </w:p>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rPr>
              <w:t>注意事项</w:t>
            </w:r>
          </w:p>
        </w:tc>
        <w:tc>
          <w:tcPr>
            <w:tcW w:w="6660" w:type="dxa"/>
          </w:tcPr>
          <w:p>
            <w:pPr>
              <w:spacing w:line="42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1.应提醒现场人员不要惊慌，积极配合现场应急处置。</w:t>
            </w:r>
          </w:p>
          <w:p>
            <w:pPr>
              <w:spacing w:line="42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2.必须坚持“速战速决”的原则，第一发现人立即呼喊发生警报并进行处理。</w:t>
            </w:r>
          </w:p>
          <w:p>
            <w:pPr>
              <w:spacing w:line="42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3.在以上应急处置动作的同时，另外的人员指挥在场车辆迅速疏散，防止蔓延。</w:t>
            </w:r>
          </w:p>
          <w:p>
            <w:pPr>
              <w:spacing w:line="42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4.现场油料回收时，注意使用防爆工具及通讯工具，同时安排人员在旁携带灭火器材做应急防备。</w:t>
            </w:r>
          </w:p>
        </w:tc>
        <w:tc>
          <w:tcPr>
            <w:tcW w:w="1440" w:type="dxa"/>
            <w:vAlign w:val="center"/>
          </w:tcPr>
          <w:p>
            <w:pPr>
              <w:spacing w:line="420" w:lineRule="exact"/>
              <w:jc w:val="center"/>
              <w:rPr>
                <w:rFonts w:ascii="仿宋_GB2312" w:hAnsi="宋体" w:eastAsia="仿宋_GB2312"/>
                <w:color w:val="000000"/>
                <w:sz w:val="24"/>
              </w:rPr>
            </w:pPr>
          </w:p>
        </w:tc>
      </w:tr>
    </w:tbl>
    <w:p>
      <w:pPr>
        <w:pStyle w:val="14"/>
        <w:adjustRightInd w:val="0"/>
        <w:snapToGrid w:val="0"/>
        <w:spacing w:beforeAutospacing="0" w:afterAutospacing="0" w:line="240" w:lineRule="atLeast"/>
        <w:rPr>
          <w:rFonts w:ascii="仿宋_GB2312" w:eastAsia="仿宋_GB2312"/>
          <w:b/>
          <w:color w:val="000000"/>
        </w:rPr>
        <w:sectPr>
          <w:pgSz w:w="11906" w:h="16838"/>
          <w:pgMar w:top="1418" w:right="1418" w:bottom="1418" w:left="1418" w:header="1021" w:footer="1021" w:gutter="0"/>
          <w:cols w:space="720" w:num="1"/>
          <w:titlePg/>
          <w:docGrid w:linePitch="435" w:charSpace="0"/>
        </w:sectPr>
      </w:pPr>
    </w:p>
    <w:p>
      <w:pPr>
        <w:pStyle w:val="6"/>
        <w:spacing w:after="140" w:line="360" w:lineRule="auto"/>
        <w:jc w:val="center"/>
        <w:rPr>
          <w:rFonts w:hint="default"/>
          <w:color w:val="000000"/>
        </w:rPr>
      </w:pPr>
      <w:bookmarkStart w:id="8" w:name="_Toc17925"/>
      <w:r>
        <w:rPr>
          <w:color w:val="000000"/>
        </w:rPr>
        <w:t>电器火灾应急处置</w:t>
      </w:r>
      <w:bookmarkEnd w:id="8"/>
      <w:r>
        <w:rPr>
          <w:color w:val="000000"/>
        </w:rPr>
        <w:t>措施</w:t>
      </w:r>
    </w:p>
    <w:tbl>
      <w:tblPr>
        <w:tblStyle w:val="18"/>
        <w:tblW w:w="9288"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6660"/>
        <w:gridCol w:w="144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tcPr>
          <w:p>
            <w:pPr>
              <w:spacing w:line="360" w:lineRule="auto"/>
              <w:jc w:val="center"/>
              <w:rPr>
                <w:rFonts w:ascii="仿宋_GB2312" w:hAnsi="宋体" w:eastAsia="仿宋_GB2312"/>
                <w:b/>
                <w:color w:val="000000"/>
                <w:sz w:val="28"/>
                <w:szCs w:val="28"/>
              </w:rPr>
            </w:pPr>
            <w:r>
              <w:rPr>
                <w:rFonts w:hint="eastAsia" w:ascii="仿宋_GB2312" w:hAnsi="宋体" w:eastAsia="仿宋_GB2312"/>
                <w:b/>
                <w:color w:val="000000"/>
                <w:sz w:val="28"/>
                <w:szCs w:val="28"/>
              </w:rPr>
              <w:t>步骤</w:t>
            </w:r>
          </w:p>
        </w:tc>
        <w:tc>
          <w:tcPr>
            <w:tcW w:w="6660" w:type="dxa"/>
          </w:tcPr>
          <w:p>
            <w:pPr>
              <w:spacing w:line="360" w:lineRule="auto"/>
              <w:jc w:val="center"/>
              <w:rPr>
                <w:rFonts w:ascii="仿宋_GB2312" w:hAnsi="宋体" w:eastAsia="仿宋_GB2312"/>
                <w:b/>
                <w:color w:val="000000"/>
                <w:sz w:val="28"/>
                <w:szCs w:val="28"/>
              </w:rPr>
            </w:pPr>
            <w:r>
              <w:rPr>
                <w:rFonts w:hint="eastAsia" w:ascii="仿宋_GB2312" w:hAnsi="宋体" w:eastAsia="仿宋_GB2312"/>
                <w:b/>
                <w:color w:val="000000"/>
                <w:sz w:val="28"/>
                <w:szCs w:val="28"/>
              </w:rPr>
              <w:t>处置</w:t>
            </w:r>
          </w:p>
        </w:tc>
        <w:tc>
          <w:tcPr>
            <w:tcW w:w="1440" w:type="dxa"/>
          </w:tcPr>
          <w:p>
            <w:pPr>
              <w:spacing w:line="360" w:lineRule="auto"/>
              <w:jc w:val="center"/>
              <w:rPr>
                <w:rFonts w:ascii="仿宋_GB2312" w:hAnsi="宋体" w:eastAsia="仿宋_GB2312"/>
                <w:b/>
                <w:color w:val="000000"/>
                <w:sz w:val="28"/>
                <w:szCs w:val="28"/>
              </w:rPr>
            </w:pPr>
            <w:r>
              <w:rPr>
                <w:rFonts w:hint="eastAsia" w:ascii="仿宋_GB2312" w:hAnsi="宋体" w:eastAsia="仿宋_GB2312"/>
                <w:b/>
                <w:color w:val="000000"/>
                <w:sz w:val="28"/>
                <w:szCs w:val="28"/>
              </w:rPr>
              <w:t>负责人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188"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报警</w:t>
            </w:r>
          </w:p>
        </w:tc>
        <w:tc>
          <w:tcPr>
            <w:tcW w:w="6660" w:type="dxa"/>
          </w:tcPr>
          <w:p>
            <w:pPr>
              <w:spacing w:line="360" w:lineRule="auto"/>
              <w:ind w:firstLine="360" w:firstLineChars="150"/>
              <w:rPr>
                <w:rFonts w:ascii="仿宋_GB2312" w:hAnsi="宋体" w:eastAsia="仿宋_GB2312"/>
                <w:color w:val="000000"/>
                <w:sz w:val="24"/>
              </w:rPr>
            </w:pPr>
            <w:r>
              <w:rPr>
                <w:rFonts w:hint="eastAsia" w:ascii="仿宋_GB2312" w:hAnsi="宋体" w:eastAsia="仿宋_GB2312"/>
                <w:color w:val="000000"/>
                <w:sz w:val="24"/>
              </w:rPr>
              <w:t>当电器发生火灾时，发现事件第一人应大声呼救立即用现场消防器材扑救初期火灾，并向报告。</w:t>
            </w:r>
          </w:p>
        </w:tc>
        <w:tc>
          <w:tcPr>
            <w:tcW w:w="1440"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发现事件第一人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Merge w:val="continue"/>
          </w:tcPr>
          <w:p>
            <w:pPr>
              <w:spacing w:line="360" w:lineRule="auto"/>
              <w:rPr>
                <w:rFonts w:ascii="仿宋_GB2312" w:hAnsi="宋体" w:eastAsia="仿宋_GB2312"/>
                <w:color w:val="000000"/>
                <w:sz w:val="24"/>
              </w:rPr>
            </w:pP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视情况向上级主管部门报告或拨打119、110电话，有人受伤时拨打120。</w:t>
            </w:r>
          </w:p>
        </w:tc>
        <w:tc>
          <w:tcPr>
            <w:tcW w:w="1440"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应急启动</w:t>
            </w: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通知其他应急人员增援</w:t>
            </w:r>
          </w:p>
        </w:tc>
        <w:tc>
          <w:tcPr>
            <w:tcW w:w="1440"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Merge w:val="continue"/>
          </w:tcPr>
          <w:p>
            <w:pPr>
              <w:spacing w:line="360" w:lineRule="auto"/>
              <w:rPr>
                <w:rFonts w:ascii="仿宋_GB2312" w:hAnsi="宋体" w:eastAsia="仿宋_GB2312"/>
                <w:color w:val="000000"/>
                <w:sz w:val="24"/>
              </w:rPr>
            </w:pP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停止加油和其他维修作业，切断总电源。</w:t>
            </w:r>
          </w:p>
        </w:tc>
        <w:tc>
          <w:tcPr>
            <w:tcW w:w="1440" w:type="dxa"/>
          </w:tcPr>
          <w:p>
            <w:pPr>
              <w:pStyle w:val="2"/>
              <w:ind w:firstLine="210"/>
              <w:rPr>
                <w:rFonts w:hint="eastAsia" w:eastAsia="仿宋_GB2312"/>
                <w:lang w:eastAsia="zh-CN"/>
              </w:rPr>
            </w:pPr>
            <w:r>
              <w:rPr>
                <w:rFonts w:hint="eastAsia"/>
              </w:rPr>
              <w:t xml:space="preserve">  </w:t>
            </w: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警戒</w:t>
            </w: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划定危险区域、警戒范围并实施警戒。</w:t>
            </w:r>
          </w:p>
        </w:tc>
        <w:tc>
          <w:tcPr>
            <w:tcW w:w="1440" w:type="dxa"/>
          </w:tcPr>
          <w:p>
            <w:pPr>
              <w:spacing w:line="340" w:lineRule="exact"/>
              <w:jc w:val="center"/>
              <w:rPr>
                <w:rFonts w:hint="eastAsia" w:eastAsiaTheme="minorEastAsia"/>
                <w:lang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Merge w:val="continue"/>
            <w:vAlign w:val="center"/>
          </w:tcPr>
          <w:p>
            <w:pPr>
              <w:spacing w:line="360" w:lineRule="auto"/>
              <w:jc w:val="center"/>
              <w:rPr>
                <w:rFonts w:ascii="仿宋_GB2312" w:hAnsi="宋体" w:eastAsia="仿宋_GB2312"/>
                <w:color w:val="000000"/>
                <w:sz w:val="24"/>
              </w:rPr>
            </w:pP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组织无关人员及车辆（含施工人员）疏散。</w:t>
            </w:r>
          </w:p>
        </w:tc>
        <w:tc>
          <w:tcPr>
            <w:tcW w:w="1440" w:type="dxa"/>
          </w:tcPr>
          <w:p>
            <w:pPr>
              <w:spacing w:line="340" w:lineRule="exact"/>
              <w:jc w:val="center"/>
              <w:rPr>
                <w:rFonts w:hint="eastAsia" w:ascii="仿宋_GB2312" w:hAnsi="宋体" w:eastAsia="仿宋_GB2312"/>
                <w:color w:val="000000"/>
                <w:sz w:val="24"/>
                <w:lang w:eastAsia="zh-CN"/>
              </w:rPr>
            </w:pPr>
            <w:r>
              <w:rPr>
                <w:rFonts w:hint="eastAsia" w:eastAsia="仿宋_GB2312"/>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应急处置</w:t>
            </w:r>
          </w:p>
        </w:tc>
        <w:tc>
          <w:tcPr>
            <w:tcW w:w="6660" w:type="dxa"/>
          </w:tcPr>
          <w:p>
            <w:pPr>
              <w:spacing w:line="360" w:lineRule="auto"/>
              <w:jc w:val="left"/>
              <w:rPr>
                <w:rFonts w:ascii="仿宋_GB2312" w:hAnsi="宋体" w:eastAsia="仿宋_GB2312"/>
                <w:color w:val="000000"/>
                <w:sz w:val="24"/>
              </w:rPr>
            </w:pPr>
            <w:r>
              <w:rPr>
                <w:rFonts w:hint="eastAsia" w:ascii="仿宋_GB2312" w:hAnsi="宋体" w:eastAsia="仿宋_GB2312"/>
                <w:b/>
                <w:color w:val="000000"/>
                <w:sz w:val="24"/>
              </w:rPr>
              <w:t>1.灭火</w:t>
            </w:r>
            <w:r>
              <w:rPr>
                <w:rFonts w:hint="eastAsia" w:ascii="仿宋_GB2312" w:hAnsi="宋体" w:eastAsia="仿宋_GB2312"/>
                <w:color w:val="000000"/>
                <w:sz w:val="24"/>
              </w:rPr>
              <w:t>：</w:t>
            </w:r>
          </w:p>
          <w:p>
            <w:pPr>
              <w:spacing w:line="360" w:lineRule="auto"/>
              <w:jc w:val="left"/>
              <w:rPr>
                <w:rFonts w:ascii="仿宋_GB2312" w:hAnsi="宋体" w:eastAsia="仿宋_GB2312"/>
                <w:color w:val="000000"/>
                <w:sz w:val="24"/>
              </w:rPr>
            </w:pPr>
            <w:r>
              <w:rPr>
                <w:rFonts w:hint="eastAsia" w:ascii="仿宋_GB2312" w:hAnsi="宋体" w:eastAsia="仿宋_GB2312"/>
                <w:color w:val="000000"/>
                <w:sz w:val="24"/>
              </w:rPr>
              <w:t xml:space="preserve">（1）用手提式二氧化碳或干粉灭火器对准火焰根部进行灭火。  </w:t>
            </w:r>
          </w:p>
          <w:p>
            <w:pPr>
              <w:spacing w:line="360" w:lineRule="auto"/>
              <w:jc w:val="left"/>
              <w:rPr>
                <w:rFonts w:ascii="仿宋_GB2312" w:hAnsi="宋体" w:eastAsia="仿宋_GB2312"/>
                <w:color w:val="000000"/>
                <w:sz w:val="24"/>
              </w:rPr>
            </w:pPr>
            <w:r>
              <w:rPr>
                <w:rFonts w:hint="eastAsia" w:ascii="仿宋_GB2312" w:hAnsi="宋体" w:eastAsia="仿宋_GB2312"/>
                <w:color w:val="000000"/>
                <w:sz w:val="24"/>
              </w:rPr>
              <w:t>（2）若总配室火灾，应迅速用手提式二氧化碳或干粉灭火器灭火，并想办法切断总电源开关；若无法断电则拨打电话，通知供电局停止供电， 防止火势蔓延。</w:t>
            </w:r>
          </w:p>
        </w:tc>
        <w:tc>
          <w:tcPr>
            <w:tcW w:w="1440" w:type="dxa"/>
            <w:vAlign w:val="center"/>
          </w:tcPr>
          <w:p>
            <w:pPr>
              <w:pStyle w:val="2"/>
              <w:ind w:firstLine="240"/>
            </w:pPr>
            <w:r>
              <w:rPr>
                <w:rFonts w:hint="eastAsia" w:ascii="仿宋_GB2312" w:hAnsi="宋体"/>
                <w:color w:val="000000"/>
                <w:sz w:val="24"/>
                <w:lang w:eastAsia="zh-CN"/>
              </w:rPr>
              <w:t>刘沧锐</w:t>
            </w:r>
            <w:r>
              <w:rPr>
                <w:rFonts w:hint="eastAsia" w:ascii="仿宋_GB2312" w:hAnsi="宋体" w:eastAsia="仿宋_GB2312"/>
                <w:color w:val="000000"/>
                <w:sz w:val="24"/>
              </w:rPr>
              <w:t>、</w:t>
            </w:r>
            <w:r>
              <w:rPr>
                <w:rFonts w:hint="eastAsia" w:ascii="仿宋_GB2312" w:hAnsi="宋体"/>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Merge w:val="continue"/>
            <w:vAlign w:val="center"/>
          </w:tcPr>
          <w:p>
            <w:pPr>
              <w:spacing w:line="360" w:lineRule="auto"/>
              <w:jc w:val="center"/>
              <w:rPr>
                <w:rFonts w:ascii="仿宋_GB2312" w:hAnsi="宋体" w:eastAsia="仿宋_GB2312"/>
                <w:color w:val="000000"/>
                <w:sz w:val="24"/>
              </w:rPr>
            </w:pP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b/>
                <w:color w:val="000000"/>
                <w:sz w:val="24"/>
              </w:rPr>
              <w:t>2.救护</w:t>
            </w:r>
            <w:r>
              <w:rPr>
                <w:rFonts w:hint="eastAsia" w:ascii="仿宋_GB2312" w:hAnsi="宋体" w:eastAsia="仿宋_GB2312"/>
                <w:color w:val="000000"/>
                <w:sz w:val="24"/>
              </w:rPr>
              <w:t>：对现场受伤者实施救护及时送往医院。</w:t>
            </w:r>
          </w:p>
        </w:tc>
        <w:tc>
          <w:tcPr>
            <w:tcW w:w="1440" w:type="dxa"/>
            <w:vAlign w:val="center"/>
          </w:tcPr>
          <w:p>
            <w:pPr>
              <w:pStyle w:val="2"/>
              <w:ind w:firstLine="210"/>
              <w:rPr>
                <w:rFonts w:hint="eastAsia" w:eastAsia="仿宋_GB2312"/>
                <w:lang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后期处置</w:t>
            </w: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现场余火扑灭后，清点人数并检查是否有人受伤，清理现场。</w:t>
            </w:r>
          </w:p>
        </w:tc>
        <w:tc>
          <w:tcPr>
            <w:tcW w:w="1440" w:type="dxa"/>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Merge w:val="continue"/>
          </w:tcPr>
          <w:p>
            <w:pPr>
              <w:spacing w:line="360" w:lineRule="auto"/>
              <w:rPr>
                <w:rFonts w:ascii="仿宋_GB2312" w:hAnsi="宋体" w:eastAsia="仿宋_GB2312"/>
                <w:color w:val="000000"/>
                <w:sz w:val="24"/>
              </w:rPr>
            </w:pPr>
          </w:p>
        </w:tc>
        <w:tc>
          <w:tcPr>
            <w:tcW w:w="6660" w:type="dxa"/>
          </w:tcPr>
          <w:p>
            <w:pPr>
              <w:spacing w:line="360" w:lineRule="auto"/>
              <w:rPr>
                <w:rFonts w:ascii="仿宋_GB2312" w:hAnsi="宋体" w:eastAsia="仿宋_GB2312" w:cs="Arial"/>
                <w:color w:val="000000"/>
                <w:sz w:val="24"/>
              </w:rPr>
            </w:pPr>
            <w:r>
              <w:rPr>
                <w:rFonts w:hint="eastAsia" w:ascii="仿宋_GB2312" w:hAnsi="宋体" w:eastAsia="仿宋_GB2312" w:cs="Arial"/>
                <w:color w:val="000000"/>
                <w:sz w:val="24"/>
              </w:rPr>
              <w:t>请维修人员对受损设备进行维修，恢复生产。</w:t>
            </w:r>
          </w:p>
        </w:tc>
        <w:tc>
          <w:tcPr>
            <w:tcW w:w="1440" w:type="dxa"/>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注意事项</w:t>
            </w: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1.把握灭火最佳时机。使用二氧化碳灭火器时，操作员的手不能接触喷管金属部位，若在狭小空间的则要迅速撤离，以免窒息或冻伤。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2. 带电灭火时应注意灭火器至电气设备安全距离符合要求，不可用泡沫、清水等导电灭火剂带电灭火。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3.报警时，须讲明着火地点、着火介质、火势、人员伤亡情况。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4.如火势较大无法扑灭，现场人员要及时撤离。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5.非本加油站新闻发言人不得擅自接收媒体采访。</w:t>
            </w:r>
          </w:p>
        </w:tc>
        <w:tc>
          <w:tcPr>
            <w:tcW w:w="1440" w:type="dxa"/>
            <w:vAlign w:val="center"/>
          </w:tcPr>
          <w:p>
            <w:pPr>
              <w:spacing w:line="360" w:lineRule="auto"/>
              <w:jc w:val="center"/>
              <w:rPr>
                <w:rFonts w:ascii="仿宋_GB2312" w:hAnsi="宋体" w:eastAsia="仿宋_GB2312"/>
                <w:color w:val="000000"/>
                <w:sz w:val="24"/>
              </w:rPr>
            </w:pPr>
          </w:p>
        </w:tc>
      </w:tr>
    </w:tbl>
    <w:p>
      <w:pPr>
        <w:spacing w:line="240" w:lineRule="atLeast"/>
        <w:rPr>
          <w:rFonts w:ascii="仿宋_GB2312" w:hAnsi="宋体" w:eastAsia="仿宋_GB2312"/>
          <w:color w:val="000000"/>
          <w:sz w:val="24"/>
        </w:rPr>
      </w:pPr>
    </w:p>
    <w:p>
      <w:pPr>
        <w:spacing w:line="240" w:lineRule="atLeast"/>
        <w:rPr>
          <w:rFonts w:ascii="仿宋_GB2312" w:hAnsi="宋体" w:eastAsia="仿宋_GB2312"/>
          <w:color w:val="000000"/>
          <w:sz w:val="24"/>
        </w:rPr>
        <w:sectPr>
          <w:pgSz w:w="11906" w:h="16838"/>
          <w:pgMar w:top="1418" w:right="1418" w:bottom="1418" w:left="1418" w:header="1021" w:footer="1021" w:gutter="0"/>
          <w:cols w:space="720" w:num="1"/>
          <w:titlePg/>
          <w:docGrid w:linePitch="435" w:charSpace="0"/>
        </w:sectPr>
      </w:pPr>
    </w:p>
    <w:p>
      <w:pPr>
        <w:pStyle w:val="5"/>
        <w:spacing w:after="140" w:line="360" w:lineRule="auto"/>
        <w:jc w:val="center"/>
        <w:rPr>
          <w:color w:val="000000"/>
        </w:rPr>
      </w:pPr>
      <w:bookmarkStart w:id="9" w:name="_Toc28977"/>
      <w:r>
        <w:rPr>
          <w:rFonts w:hint="eastAsia"/>
          <w:color w:val="000000"/>
        </w:rPr>
        <w:t>人员伤害事件现场处置</w:t>
      </w:r>
      <w:bookmarkEnd w:id="9"/>
      <w:r>
        <w:rPr>
          <w:rFonts w:hint="eastAsia"/>
          <w:color w:val="000000"/>
        </w:rPr>
        <w:t>措施</w:t>
      </w:r>
    </w:p>
    <w:tbl>
      <w:tblPr>
        <w:tblStyle w:val="18"/>
        <w:tblW w:w="9288"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6660"/>
        <w:gridCol w:w="144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blHeader/>
        </w:trPr>
        <w:tc>
          <w:tcPr>
            <w:tcW w:w="1188" w:type="dxa"/>
          </w:tcPr>
          <w:p>
            <w:pPr>
              <w:spacing w:line="42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步骤</w:t>
            </w:r>
          </w:p>
        </w:tc>
        <w:tc>
          <w:tcPr>
            <w:tcW w:w="6660" w:type="dxa"/>
          </w:tcPr>
          <w:p>
            <w:pPr>
              <w:spacing w:line="42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处置</w:t>
            </w:r>
          </w:p>
        </w:tc>
        <w:tc>
          <w:tcPr>
            <w:tcW w:w="1440" w:type="dxa"/>
            <w:vAlign w:val="center"/>
          </w:tcPr>
          <w:p>
            <w:pPr>
              <w:spacing w:line="42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负责人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88" w:type="dxa"/>
            <w:vMerge w:val="restart"/>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rPr>
              <w:t>报警</w:t>
            </w:r>
          </w:p>
        </w:tc>
        <w:tc>
          <w:tcPr>
            <w:tcW w:w="6660" w:type="dxa"/>
          </w:tcPr>
          <w:p>
            <w:pPr>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发现人员受到伤害（触电、机械伤害、车辆伤害、高处坠落、物体打击)，应立即向报告。若是触电，事件发现第一人应立即断开电源或运用绝缘物使触电 者脱离电源。</w:t>
            </w:r>
          </w:p>
        </w:tc>
        <w:tc>
          <w:tcPr>
            <w:tcW w:w="1440"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rPr>
              <w:t>事件发现第一人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188" w:type="dxa"/>
            <w:vMerge w:val="continue"/>
          </w:tcPr>
          <w:p>
            <w:pPr>
              <w:spacing w:line="420" w:lineRule="exact"/>
              <w:rPr>
                <w:rFonts w:ascii="仿宋_GB2312" w:hAnsi="宋体" w:eastAsia="仿宋_GB2312"/>
                <w:color w:val="000000"/>
                <w:sz w:val="24"/>
              </w:rPr>
            </w:pPr>
          </w:p>
        </w:tc>
        <w:tc>
          <w:tcPr>
            <w:tcW w:w="6660" w:type="dxa"/>
          </w:tcPr>
          <w:p>
            <w:pPr>
              <w:spacing w:line="420" w:lineRule="exact"/>
              <w:rPr>
                <w:rFonts w:ascii="仿宋_GB2312" w:hAnsi="宋体" w:eastAsia="仿宋_GB2312"/>
                <w:color w:val="000000"/>
                <w:sz w:val="24"/>
              </w:rPr>
            </w:pPr>
            <w:r>
              <w:rPr>
                <w:rFonts w:hint="eastAsia" w:ascii="仿宋_GB2312" w:hAnsi="宋体" w:eastAsia="仿宋_GB2312"/>
                <w:color w:val="000000"/>
                <w:sz w:val="24"/>
              </w:rPr>
              <w:t>立即向上级领导报告，视情况拨打120、119、110电话。</w:t>
            </w:r>
          </w:p>
        </w:tc>
        <w:tc>
          <w:tcPr>
            <w:tcW w:w="1440"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188"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rPr>
              <w:t>应急启动</w:t>
            </w:r>
          </w:p>
        </w:tc>
        <w:tc>
          <w:tcPr>
            <w:tcW w:w="6660" w:type="dxa"/>
          </w:tcPr>
          <w:p>
            <w:pPr>
              <w:spacing w:line="420" w:lineRule="exact"/>
              <w:rPr>
                <w:rFonts w:ascii="仿宋_GB2312" w:hAnsi="宋体" w:eastAsia="仿宋_GB2312"/>
                <w:color w:val="000000"/>
                <w:sz w:val="24"/>
              </w:rPr>
            </w:pPr>
            <w:r>
              <w:rPr>
                <w:rFonts w:hint="eastAsia" w:ascii="仿宋_GB2312" w:hAnsi="宋体" w:eastAsia="仿宋_GB2312"/>
                <w:color w:val="000000"/>
                <w:sz w:val="24"/>
              </w:rPr>
              <w:t>迅速组织现场人员救援。</w:t>
            </w:r>
          </w:p>
        </w:tc>
        <w:tc>
          <w:tcPr>
            <w:tcW w:w="1440"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88"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rPr>
              <w:t>警戒</w:t>
            </w:r>
          </w:p>
        </w:tc>
        <w:tc>
          <w:tcPr>
            <w:tcW w:w="6660" w:type="dxa"/>
          </w:tcPr>
          <w:p>
            <w:pPr>
              <w:spacing w:line="420" w:lineRule="exact"/>
              <w:rPr>
                <w:rFonts w:ascii="仿宋_GB2312" w:hAnsi="宋体" w:eastAsia="仿宋_GB2312"/>
                <w:color w:val="000000"/>
                <w:sz w:val="24"/>
              </w:rPr>
            </w:pPr>
            <w:r>
              <w:rPr>
                <w:rFonts w:hint="eastAsia" w:ascii="仿宋_GB2312" w:hAnsi="宋体" w:eastAsia="仿宋_GB2312"/>
                <w:color w:val="000000"/>
                <w:sz w:val="24"/>
              </w:rPr>
              <w:t>视事故现场发生情况，划定警戒范围。</w:t>
            </w:r>
          </w:p>
        </w:tc>
        <w:tc>
          <w:tcPr>
            <w:tcW w:w="1440" w:type="dxa"/>
          </w:tcPr>
          <w:p>
            <w:pPr>
              <w:pStyle w:val="2"/>
              <w:ind w:firstLine="210"/>
              <w:rPr>
                <w:rFonts w:hint="eastAsia" w:eastAsia="仿宋_GB2312"/>
                <w:lang w:eastAsia="zh-CN"/>
              </w:rPr>
            </w:pPr>
            <w:r>
              <w:rPr>
                <w:rFonts w:hint="eastAsia"/>
              </w:rPr>
              <w:t xml:space="preserve"> </w:t>
            </w: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188" w:type="dxa"/>
            <w:vMerge w:val="restart"/>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rPr>
              <w:t>应急处置</w:t>
            </w:r>
          </w:p>
        </w:tc>
        <w:tc>
          <w:tcPr>
            <w:tcW w:w="6660" w:type="dxa"/>
          </w:tcPr>
          <w:p>
            <w:pPr>
              <w:spacing w:line="420" w:lineRule="exact"/>
              <w:ind w:firstLine="360" w:firstLineChars="150"/>
              <w:jc w:val="left"/>
              <w:rPr>
                <w:rFonts w:ascii="仿宋_GB2312" w:hAnsi="宋体" w:eastAsia="仿宋_GB2312"/>
                <w:color w:val="000000"/>
                <w:sz w:val="24"/>
              </w:rPr>
            </w:pPr>
            <w:r>
              <w:rPr>
                <w:rFonts w:hint="eastAsia" w:ascii="仿宋_GB2312" w:hAnsi="宋体" w:eastAsia="仿宋_GB2312"/>
                <w:color w:val="000000"/>
                <w:sz w:val="24"/>
              </w:rPr>
              <w:t>将受到伤害的人员转移到安全的地方，并依据伤害部位和性质采取适当的措施救护受伤人员。</w:t>
            </w:r>
          </w:p>
        </w:tc>
        <w:tc>
          <w:tcPr>
            <w:tcW w:w="1440" w:type="dxa"/>
          </w:tcPr>
          <w:p>
            <w:pPr>
              <w:spacing w:line="340" w:lineRule="exact"/>
              <w:jc w:val="center"/>
              <w:rPr>
                <w:rFonts w:hint="eastAsia" w:eastAsiaTheme="minorEastAsia"/>
                <w:lang w:eastAsia="zh-CN"/>
              </w:rPr>
            </w:pPr>
            <w:r>
              <w:rPr>
                <w:rFonts w:hint="eastAsia" w:eastAsia="仿宋_GB2312"/>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145" w:hRule="atLeast"/>
        </w:trPr>
        <w:tc>
          <w:tcPr>
            <w:tcW w:w="1188" w:type="dxa"/>
            <w:vMerge w:val="continue"/>
            <w:vAlign w:val="center"/>
          </w:tcPr>
          <w:p>
            <w:pPr>
              <w:spacing w:line="420" w:lineRule="exact"/>
              <w:jc w:val="center"/>
              <w:rPr>
                <w:rFonts w:ascii="仿宋_GB2312" w:hAnsi="宋体" w:eastAsia="仿宋_GB2312"/>
                <w:color w:val="000000"/>
                <w:sz w:val="24"/>
              </w:rPr>
            </w:pPr>
          </w:p>
        </w:tc>
        <w:tc>
          <w:tcPr>
            <w:tcW w:w="6660" w:type="dxa"/>
          </w:tcPr>
          <w:p>
            <w:pPr>
              <w:spacing w:line="420" w:lineRule="exact"/>
              <w:jc w:val="left"/>
              <w:rPr>
                <w:rFonts w:ascii="仿宋_GB2312" w:hAnsi="宋体" w:eastAsia="仿宋_GB2312"/>
                <w:b/>
                <w:color w:val="000000"/>
                <w:sz w:val="24"/>
              </w:rPr>
            </w:pPr>
            <w:r>
              <w:rPr>
                <w:rFonts w:hint="eastAsia" w:ascii="仿宋_GB2312" w:hAnsi="宋体" w:eastAsia="仿宋_GB2312"/>
                <w:b/>
                <w:color w:val="000000"/>
                <w:sz w:val="24"/>
              </w:rPr>
              <w:t xml:space="preserve">1.触电急救：  </w:t>
            </w:r>
          </w:p>
          <w:p>
            <w:pPr>
              <w:spacing w:line="420" w:lineRule="exact"/>
              <w:jc w:val="left"/>
              <w:rPr>
                <w:rFonts w:ascii="仿宋_GB2312" w:hAnsi="宋体" w:eastAsia="仿宋_GB2312"/>
                <w:color w:val="000000"/>
                <w:sz w:val="24"/>
              </w:rPr>
            </w:pPr>
            <w:r>
              <w:rPr>
                <w:rFonts w:hint="eastAsia" w:ascii="仿宋_GB2312" w:hAnsi="宋体" w:eastAsia="仿宋_GB2312"/>
                <w:color w:val="000000"/>
                <w:sz w:val="24"/>
              </w:rPr>
              <w:t xml:space="preserve">当触电者脱离电源后，应根据其具体情况，迅速对症救治。  （1）对伤势不重、神态清醒者，应使其安静休息一小时，再送往医院观察。 </w:t>
            </w:r>
          </w:p>
          <w:p>
            <w:pPr>
              <w:spacing w:line="420" w:lineRule="exact"/>
              <w:jc w:val="left"/>
              <w:rPr>
                <w:rFonts w:ascii="仿宋_GB2312" w:hAnsi="宋体" w:eastAsia="仿宋_GB2312"/>
                <w:color w:val="000000"/>
                <w:sz w:val="24"/>
              </w:rPr>
            </w:pPr>
            <w:r>
              <w:rPr>
                <w:rFonts w:hint="eastAsia" w:ascii="仿宋_GB2312" w:hAnsi="宋体" w:eastAsia="仿宋_GB2312"/>
                <w:color w:val="000000"/>
                <w:sz w:val="24"/>
              </w:rPr>
              <w:t xml:space="preserve">（2）对伤势较重，已失去知觉，但心脏跳动和呼吸还存在，应使其舒适、安静平卧，并速请医生诊治或送往医院。 </w:t>
            </w:r>
          </w:p>
          <w:p>
            <w:pPr>
              <w:spacing w:line="420" w:lineRule="exact"/>
              <w:jc w:val="left"/>
              <w:rPr>
                <w:rFonts w:ascii="仿宋_GB2312" w:hAnsi="宋体" w:eastAsia="仿宋_GB2312"/>
                <w:color w:val="000000"/>
                <w:sz w:val="24"/>
              </w:rPr>
            </w:pPr>
            <w:r>
              <w:rPr>
                <w:rFonts w:hint="eastAsia" w:ascii="仿宋_GB2312" w:hAnsi="宋体" w:eastAsia="仿宋_GB2312"/>
                <w:color w:val="000000"/>
                <w:sz w:val="24"/>
              </w:rPr>
              <w:t>（3）对伤势严重、呼吸停止或二者都已停止，应立即施行人工呼吸和胸外挤压，并速请医生诊治或送往医院。必须注意，急救要尽快进行，不能等候医生，在送往医院的途中也不能中止急救。</w:t>
            </w:r>
          </w:p>
        </w:tc>
        <w:tc>
          <w:tcPr>
            <w:tcW w:w="1440"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188" w:type="dxa"/>
            <w:vMerge w:val="continue"/>
            <w:vAlign w:val="center"/>
          </w:tcPr>
          <w:p>
            <w:pPr>
              <w:spacing w:line="420" w:lineRule="exact"/>
              <w:jc w:val="center"/>
              <w:rPr>
                <w:rFonts w:ascii="仿宋_GB2312" w:hAnsi="宋体" w:eastAsia="仿宋_GB2312"/>
                <w:color w:val="000000"/>
                <w:sz w:val="24"/>
              </w:rPr>
            </w:pPr>
          </w:p>
        </w:tc>
        <w:tc>
          <w:tcPr>
            <w:tcW w:w="6660" w:type="dxa"/>
          </w:tcPr>
          <w:p>
            <w:pPr>
              <w:spacing w:line="420" w:lineRule="exact"/>
              <w:jc w:val="left"/>
              <w:rPr>
                <w:rFonts w:ascii="仿宋_GB2312" w:hAnsi="宋体" w:eastAsia="仿宋_GB2312"/>
                <w:b/>
                <w:color w:val="000000"/>
                <w:sz w:val="24"/>
              </w:rPr>
            </w:pPr>
            <w:r>
              <w:rPr>
                <w:rFonts w:hint="eastAsia" w:ascii="仿宋_GB2312" w:hAnsi="宋体" w:eastAsia="仿宋_GB2312"/>
                <w:b/>
                <w:color w:val="000000"/>
                <w:sz w:val="24"/>
              </w:rPr>
              <w:t xml:space="preserve">2.休克、昏迷急救：  </w:t>
            </w:r>
          </w:p>
          <w:p>
            <w:pPr>
              <w:spacing w:line="420" w:lineRule="exact"/>
              <w:ind w:firstLine="470" w:firstLineChars="196"/>
              <w:jc w:val="left"/>
              <w:rPr>
                <w:rFonts w:ascii="仿宋_GB2312" w:hAnsi="宋体" w:eastAsia="仿宋_GB2312"/>
                <w:color w:val="000000"/>
                <w:sz w:val="24"/>
              </w:rPr>
            </w:pPr>
            <w:r>
              <w:rPr>
                <w:rFonts w:hint="eastAsia" w:ascii="仿宋_GB2312" w:hAnsi="宋体" w:eastAsia="仿宋_GB2312"/>
                <w:color w:val="000000"/>
                <w:sz w:val="24"/>
              </w:rPr>
              <w:t xml:space="preserve">由于外伤、剧痛、脑脊髓损伤等可能造成工作现场的休克昏迷。要一般按以下程序处理：  </w:t>
            </w:r>
          </w:p>
          <w:p>
            <w:pPr>
              <w:spacing w:line="420" w:lineRule="exact"/>
              <w:jc w:val="left"/>
              <w:rPr>
                <w:rFonts w:ascii="仿宋_GB2312" w:hAnsi="宋体" w:eastAsia="仿宋_GB2312"/>
                <w:color w:val="000000"/>
                <w:sz w:val="24"/>
              </w:rPr>
            </w:pPr>
            <w:r>
              <w:rPr>
                <w:rFonts w:hint="eastAsia" w:ascii="仿宋_GB2312" w:hAnsi="宋体" w:eastAsia="仿宋_GB2312"/>
                <w:color w:val="000000"/>
                <w:sz w:val="24"/>
              </w:rPr>
              <w:t xml:space="preserve">（1）让休克者平卧，不用枕头，脚部抬高30度。若属于心原性休克同时伴有心力 衰竭、气急，不能平卧时可采用半卧。注意保暖和安静，尽量不要搬动，如必须搬动时，动作要轻。  </w:t>
            </w:r>
          </w:p>
          <w:p>
            <w:pPr>
              <w:spacing w:line="420" w:lineRule="exact"/>
              <w:jc w:val="left"/>
              <w:rPr>
                <w:rFonts w:ascii="仿宋_GB2312" w:hAnsi="宋体" w:eastAsia="仿宋_GB2312"/>
                <w:color w:val="000000"/>
                <w:sz w:val="24"/>
              </w:rPr>
            </w:pPr>
            <w:r>
              <w:rPr>
                <w:rFonts w:hint="eastAsia" w:ascii="仿宋_GB2312" w:hAnsi="宋体" w:eastAsia="仿宋_GB2312"/>
                <w:color w:val="000000"/>
                <w:sz w:val="24"/>
              </w:rPr>
              <w:t>（2）立即与医务工作者联系，请医生治疗。</w:t>
            </w:r>
          </w:p>
        </w:tc>
        <w:tc>
          <w:tcPr>
            <w:tcW w:w="1440" w:type="dxa"/>
            <w:vAlign w:val="center"/>
          </w:tcPr>
          <w:p>
            <w:pPr>
              <w:pStyle w:val="2"/>
              <w:ind w:firstLine="240"/>
            </w:pPr>
            <w:r>
              <w:rPr>
                <w:rFonts w:hint="eastAsia" w:ascii="仿宋_GB2312" w:hAnsi="宋体"/>
                <w:color w:val="000000"/>
                <w:sz w:val="24"/>
                <w:lang w:eastAsia="zh-CN"/>
              </w:rPr>
              <w:t>刘沧锐</w:t>
            </w:r>
            <w:r>
              <w:rPr>
                <w:rFonts w:hint="eastAsia" w:ascii="仿宋_GB2312" w:hAnsi="宋体" w:eastAsia="仿宋_GB2312"/>
                <w:color w:val="000000"/>
                <w:sz w:val="24"/>
              </w:rPr>
              <w:t>、</w:t>
            </w:r>
            <w:r>
              <w:rPr>
                <w:rFonts w:hint="eastAsia" w:ascii="仿宋_GB2312" w:hAnsi="宋体"/>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1188" w:type="dxa"/>
            <w:vMerge w:val="continue"/>
            <w:vAlign w:val="center"/>
          </w:tcPr>
          <w:p>
            <w:pPr>
              <w:spacing w:line="420" w:lineRule="exact"/>
              <w:jc w:val="center"/>
              <w:rPr>
                <w:rFonts w:ascii="仿宋_GB2312" w:hAnsi="宋体" w:eastAsia="仿宋_GB2312"/>
                <w:color w:val="000000"/>
                <w:sz w:val="24"/>
              </w:rPr>
            </w:pPr>
          </w:p>
        </w:tc>
        <w:tc>
          <w:tcPr>
            <w:tcW w:w="6660" w:type="dxa"/>
          </w:tcPr>
          <w:p>
            <w:pPr>
              <w:spacing w:line="420" w:lineRule="exact"/>
              <w:jc w:val="left"/>
              <w:rPr>
                <w:rFonts w:ascii="仿宋_GB2312" w:hAnsi="宋体" w:eastAsia="仿宋_GB2312"/>
                <w:b/>
                <w:color w:val="000000"/>
                <w:sz w:val="24"/>
              </w:rPr>
            </w:pPr>
            <w:r>
              <w:rPr>
                <w:rFonts w:hint="eastAsia" w:ascii="仿宋_GB2312" w:hAnsi="宋体" w:eastAsia="仿宋_GB2312"/>
                <w:b/>
                <w:color w:val="000000"/>
                <w:sz w:val="24"/>
              </w:rPr>
              <w:t xml:space="preserve">3.人员创伤急救程序：  </w:t>
            </w:r>
          </w:p>
          <w:p>
            <w:pPr>
              <w:spacing w:line="420" w:lineRule="exact"/>
              <w:jc w:val="left"/>
              <w:rPr>
                <w:rFonts w:ascii="仿宋_GB2312" w:hAnsi="宋体" w:eastAsia="仿宋_GB2312"/>
                <w:color w:val="000000"/>
                <w:sz w:val="24"/>
              </w:rPr>
            </w:pPr>
            <w:r>
              <w:rPr>
                <w:rFonts w:hint="eastAsia" w:ascii="仿宋_GB2312" w:hAnsi="宋体" w:eastAsia="仿宋_GB2312"/>
                <w:color w:val="000000"/>
                <w:sz w:val="24"/>
              </w:rPr>
              <w:t xml:space="preserve">（1）创伤急救原则上是先抢救，后固定，再送医院。  </w:t>
            </w:r>
          </w:p>
          <w:p>
            <w:pPr>
              <w:spacing w:line="420" w:lineRule="exact"/>
              <w:jc w:val="left"/>
              <w:rPr>
                <w:rFonts w:ascii="仿宋_GB2312" w:hAnsi="宋体" w:eastAsia="仿宋_GB2312"/>
                <w:color w:val="000000"/>
                <w:sz w:val="24"/>
              </w:rPr>
            </w:pPr>
            <w:r>
              <w:rPr>
                <w:rFonts w:hint="eastAsia" w:ascii="仿宋_GB2312" w:hAnsi="宋体" w:eastAsia="仿宋_GB2312"/>
                <w:color w:val="000000"/>
                <w:sz w:val="24"/>
              </w:rPr>
              <w:t xml:space="preserve">（2）抢救前先使伤员安静躺平，判断全身情况和受伤程度，有无出血、骨折和休克等。  </w:t>
            </w:r>
          </w:p>
          <w:p>
            <w:pPr>
              <w:spacing w:line="420" w:lineRule="exact"/>
              <w:jc w:val="left"/>
              <w:rPr>
                <w:rFonts w:ascii="仿宋_GB2312" w:hAnsi="宋体" w:eastAsia="仿宋_GB2312"/>
                <w:color w:val="000000"/>
                <w:sz w:val="24"/>
              </w:rPr>
            </w:pPr>
            <w:r>
              <w:rPr>
                <w:rFonts w:hint="eastAsia" w:ascii="仿宋_GB2312" w:hAnsi="宋体" w:eastAsia="仿宋_GB2312"/>
                <w:color w:val="000000"/>
                <w:sz w:val="24"/>
              </w:rPr>
              <w:t xml:space="preserve">（3）外部出血立即采取止血措施，防止失血过多而休克。  </w:t>
            </w:r>
          </w:p>
          <w:p>
            <w:pPr>
              <w:spacing w:line="420" w:lineRule="exact"/>
              <w:jc w:val="left"/>
              <w:rPr>
                <w:rFonts w:ascii="仿宋_GB2312" w:hAnsi="宋体" w:eastAsia="仿宋_GB2312"/>
                <w:color w:val="000000"/>
                <w:sz w:val="24"/>
              </w:rPr>
            </w:pPr>
            <w:r>
              <w:rPr>
                <w:rFonts w:hint="eastAsia" w:ascii="仿宋_GB2312" w:hAnsi="宋体" w:eastAsia="仿宋_GB2312"/>
                <w:color w:val="000000"/>
                <w:sz w:val="24"/>
              </w:rPr>
              <w:t>（4）外观无伤，但呈休克状态，要考虑胸腹部内脏或脑部受伤的可能性</w:t>
            </w:r>
          </w:p>
        </w:tc>
        <w:tc>
          <w:tcPr>
            <w:tcW w:w="1440" w:type="dxa"/>
            <w:vAlign w:val="center"/>
          </w:tcPr>
          <w:p>
            <w:pPr>
              <w:ind w:firstLine="240"/>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115" w:hRule="atLeast"/>
        </w:trPr>
        <w:tc>
          <w:tcPr>
            <w:tcW w:w="1188" w:type="dxa"/>
            <w:vMerge w:val="continue"/>
            <w:vAlign w:val="center"/>
          </w:tcPr>
          <w:p>
            <w:pPr>
              <w:spacing w:line="420" w:lineRule="exact"/>
              <w:jc w:val="center"/>
              <w:rPr>
                <w:rFonts w:ascii="仿宋_GB2312" w:hAnsi="宋体" w:eastAsia="仿宋_GB2312"/>
                <w:color w:val="000000"/>
                <w:sz w:val="24"/>
              </w:rPr>
            </w:pPr>
          </w:p>
        </w:tc>
        <w:tc>
          <w:tcPr>
            <w:tcW w:w="6660" w:type="dxa"/>
          </w:tcPr>
          <w:p>
            <w:pPr>
              <w:spacing w:line="420" w:lineRule="exact"/>
              <w:jc w:val="left"/>
              <w:rPr>
                <w:rFonts w:ascii="仿宋_GB2312" w:hAnsi="宋体" w:eastAsia="仿宋_GB2312"/>
                <w:b/>
                <w:color w:val="000000"/>
                <w:sz w:val="24"/>
              </w:rPr>
            </w:pPr>
            <w:r>
              <w:rPr>
                <w:rFonts w:hint="eastAsia" w:ascii="仿宋_GB2312" w:hAnsi="宋体" w:eastAsia="仿宋_GB2312"/>
                <w:b/>
                <w:color w:val="000000"/>
                <w:sz w:val="24"/>
              </w:rPr>
              <w:t xml:space="preserve">4.烧伤、烫伤急救： </w:t>
            </w:r>
          </w:p>
          <w:p>
            <w:pPr>
              <w:spacing w:line="420" w:lineRule="exact"/>
              <w:jc w:val="left"/>
              <w:rPr>
                <w:rFonts w:ascii="仿宋_GB2312" w:hAnsi="宋体" w:eastAsia="仿宋_GB2312"/>
                <w:color w:val="000000"/>
                <w:sz w:val="24"/>
              </w:rPr>
            </w:pPr>
            <w:r>
              <w:rPr>
                <w:rFonts w:hint="eastAsia" w:ascii="仿宋_GB2312" w:hAnsi="宋体" w:eastAsia="仿宋_GB2312"/>
                <w:color w:val="000000"/>
                <w:sz w:val="24"/>
              </w:rPr>
              <w:t xml:space="preserve">（1）烧伤急救就是采用各种有效的措施灭火，使伤员尽快脱离热源，尽量缩短烧伤时间。  </w:t>
            </w:r>
          </w:p>
          <w:p>
            <w:pPr>
              <w:spacing w:line="420" w:lineRule="exact"/>
              <w:jc w:val="left"/>
              <w:rPr>
                <w:rFonts w:ascii="仿宋_GB2312" w:hAnsi="宋体" w:eastAsia="仿宋_GB2312"/>
                <w:color w:val="000000"/>
                <w:sz w:val="24"/>
              </w:rPr>
            </w:pPr>
            <w:r>
              <w:rPr>
                <w:rFonts w:hint="eastAsia" w:ascii="仿宋_GB2312" w:hAnsi="宋体" w:eastAsia="仿宋_GB2312"/>
                <w:color w:val="000000"/>
                <w:sz w:val="24"/>
              </w:rPr>
              <w:t xml:space="preserve">（2）对已灭火而未脱衣服的伤员必须仔细检查全身状况，保持伤口清洁。伤员的衣服鞋袜用剪刀剪开后除去，伤口全部用清洁纱布覆盖，防止污染。  </w:t>
            </w:r>
          </w:p>
          <w:p>
            <w:pPr>
              <w:spacing w:line="420" w:lineRule="exact"/>
              <w:jc w:val="left"/>
              <w:rPr>
                <w:rFonts w:ascii="仿宋_GB2312" w:hAnsi="宋体" w:eastAsia="仿宋_GB2312"/>
                <w:color w:val="000000"/>
                <w:sz w:val="24"/>
              </w:rPr>
            </w:pPr>
            <w:r>
              <w:rPr>
                <w:rFonts w:hint="eastAsia" w:ascii="仿宋_GB2312" w:hAnsi="宋体" w:eastAsia="仿宋_GB2312"/>
                <w:color w:val="000000"/>
                <w:sz w:val="24"/>
              </w:rPr>
              <w:t xml:space="preserve">（3）四肢烧伤时，先用清洁冷水冲洗，然后用清洁纱布、消毒纱布覆盖并送往医院。 </w:t>
            </w:r>
          </w:p>
          <w:p>
            <w:pPr>
              <w:spacing w:line="420" w:lineRule="exact"/>
              <w:jc w:val="left"/>
              <w:rPr>
                <w:rFonts w:ascii="仿宋_GB2312" w:hAnsi="宋体" w:eastAsia="仿宋_GB2312"/>
                <w:color w:val="000000"/>
                <w:sz w:val="24"/>
              </w:rPr>
            </w:pPr>
            <w:r>
              <w:rPr>
                <w:rFonts w:hint="eastAsia" w:ascii="仿宋_GB2312" w:hAnsi="宋体" w:eastAsia="仿宋_GB2312"/>
                <w:color w:val="000000"/>
                <w:sz w:val="24"/>
              </w:rPr>
              <w:t>（4）对爆炸冲击波烧伤的伤员要注意有无脑颅损伤，腹腔损伤和呼吸道损伤。</w:t>
            </w:r>
          </w:p>
        </w:tc>
        <w:tc>
          <w:tcPr>
            <w:tcW w:w="1440" w:type="dxa"/>
            <w:vAlign w:val="center"/>
          </w:tcPr>
          <w:p>
            <w:pPr>
              <w:ind w:firstLine="240"/>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201" w:hRule="atLeast"/>
        </w:trPr>
        <w:tc>
          <w:tcPr>
            <w:tcW w:w="1188" w:type="dxa"/>
            <w:vMerge w:val="continue"/>
            <w:vAlign w:val="center"/>
          </w:tcPr>
          <w:p>
            <w:pPr>
              <w:spacing w:line="420" w:lineRule="exact"/>
              <w:jc w:val="center"/>
              <w:rPr>
                <w:rFonts w:ascii="仿宋_GB2312" w:hAnsi="宋体" w:eastAsia="仿宋_GB2312"/>
                <w:color w:val="000000"/>
                <w:sz w:val="24"/>
              </w:rPr>
            </w:pPr>
          </w:p>
        </w:tc>
        <w:tc>
          <w:tcPr>
            <w:tcW w:w="6660" w:type="dxa"/>
          </w:tcPr>
          <w:p>
            <w:pPr>
              <w:spacing w:line="420" w:lineRule="exact"/>
              <w:jc w:val="left"/>
              <w:rPr>
                <w:rFonts w:ascii="仿宋_GB2312" w:hAnsi="宋体" w:eastAsia="仿宋_GB2312"/>
                <w:color w:val="000000"/>
                <w:sz w:val="24"/>
              </w:rPr>
            </w:pPr>
            <w:r>
              <w:rPr>
                <w:rFonts w:hint="eastAsia" w:ascii="仿宋_GB2312" w:hAnsi="宋体" w:eastAsia="仿宋_GB2312"/>
                <w:b/>
                <w:color w:val="000000"/>
                <w:sz w:val="24"/>
              </w:rPr>
              <w:t>5.中暑人员的急救</w:t>
            </w:r>
            <w:r>
              <w:rPr>
                <w:rFonts w:hint="eastAsia" w:ascii="仿宋_GB2312" w:hAnsi="宋体" w:eastAsia="仿宋_GB2312"/>
                <w:color w:val="000000"/>
                <w:sz w:val="24"/>
              </w:rPr>
              <w:t>：</w:t>
            </w:r>
          </w:p>
          <w:p>
            <w:pPr>
              <w:spacing w:line="42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中暑是人在高温的环境下，由于身体热量不能及时散发，体温失调而引起的一种疾病轻者会全身乏力、头晕、心慌；重者可能昏迷不醒。一旦发生中暑，应立即采取措施进行急救：</w:t>
            </w:r>
          </w:p>
          <w:p>
            <w:pPr>
              <w:spacing w:line="420" w:lineRule="exact"/>
              <w:jc w:val="left"/>
              <w:rPr>
                <w:rFonts w:ascii="仿宋_GB2312" w:hAnsi="宋体" w:eastAsia="仿宋_GB2312"/>
                <w:color w:val="000000"/>
                <w:sz w:val="24"/>
              </w:rPr>
            </w:pPr>
            <w:r>
              <w:rPr>
                <w:rFonts w:hint="eastAsia" w:ascii="仿宋_GB2312" w:hAnsi="宋体" w:eastAsia="仿宋_GB2312"/>
                <w:color w:val="000000"/>
                <w:sz w:val="24"/>
              </w:rPr>
              <w:t>（1）让患者躺在阴凉通风处，松开衣扣和腰带。能喝水时、应马上喝凉开水、淡盐水或糖水等，也可让病人服用十滴水、仁丹、藿香正气水等消暑药。同时用湿毛巾包敷患者头部和胸部，不断给其扇风吹凉。</w:t>
            </w:r>
          </w:p>
          <w:p>
            <w:pPr>
              <w:spacing w:line="420" w:lineRule="exact"/>
              <w:jc w:val="left"/>
              <w:rPr>
                <w:rFonts w:ascii="仿宋_GB2312" w:hAnsi="宋体" w:eastAsia="仿宋_GB2312"/>
                <w:b/>
                <w:color w:val="000000"/>
                <w:sz w:val="24"/>
              </w:rPr>
            </w:pPr>
            <w:r>
              <w:rPr>
                <w:rFonts w:hint="eastAsia" w:ascii="仿宋_GB2312" w:hAnsi="宋体" w:eastAsia="仿宋_GB2312"/>
                <w:color w:val="000000"/>
                <w:sz w:val="24"/>
              </w:rPr>
              <w:t>（2）患者高热、昏迷、呼吸困难时，应进行人工呼吸，并及时送医院诊治。</w:t>
            </w:r>
          </w:p>
        </w:tc>
        <w:tc>
          <w:tcPr>
            <w:tcW w:w="1440" w:type="dxa"/>
            <w:vAlign w:val="center"/>
          </w:tcPr>
          <w:p>
            <w:pPr>
              <w:ind w:firstLine="240"/>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rPr>
              <w:t>后期处置</w:t>
            </w:r>
          </w:p>
        </w:tc>
        <w:tc>
          <w:tcPr>
            <w:tcW w:w="6660" w:type="dxa"/>
          </w:tcPr>
          <w:p>
            <w:pPr>
              <w:spacing w:line="420" w:lineRule="exact"/>
              <w:rPr>
                <w:rFonts w:ascii="仿宋_GB2312" w:hAnsi="宋体" w:eastAsia="仿宋_GB2312"/>
                <w:color w:val="000000"/>
                <w:sz w:val="24"/>
              </w:rPr>
            </w:pPr>
            <w:r>
              <w:rPr>
                <w:rFonts w:hint="eastAsia" w:ascii="仿宋_GB2312" w:hAnsi="宋体" w:eastAsia="仿宋_GB2312"/>
                <w:color w:val="000000"/>
                <w:sz w:val="24"/>
              </w:rPr>
              <w:t>检查设备、工艺，组织人员抢修，清理现场，恢复生产。</w:t>
            </w:r>
          </w:p>
        </w:tc>
        <w:tc>
          <w:tcPr>
            <w:tcW w:w="1440"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188"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rPr>
              <w:t>注意事项</w:t>
            </w:r>
          </w:p>
        </w:tc>
        <w:tc>
          <w:tcPr>
            <w:tcW w:w="6660" w:type="dxa"/>
          </w:tcPr>
          <w:p>
            <w:pPr>
              <w:spacing w:line="420" w:lineRule="exact"/>
              <w:rPr>
                <w:rFonts w:ascii="仿宋_GB2312" w:hAnsi="宋体" w:eastAsia="仿宋_GB2312"/>
                <w:color w:val="000000"/>
                <w:sz w:val="24"/>
              </w:rPr>
            </w:pPr>
            <w:r>
              <w:rPr>
                <w:rFonts w:hint="eastAsia" w:ascii="仿宋_GB2312" w:hAnsi="宋体" w:eastAsia="仿宋_GB2312"/>
                <w:b/>
                <w:color w:val="000000"/>
                <w:sz w:val="24"/>
              </w:rPr>
              <w:t>人工呼吸法</w:t>
            </w:r>
            <w:r>
              <w:rPr>
                <w:rFonts w:hint="eastAsia" w:ascii="仿宋_GB2312" w:hAnsi="宋体" w:eastAsia="仿宋_GB2312"/>
                <w:color w:val="000000"/>
                <w:sz w:val="24"/>
              </w:rPr>
              <w:t>：施行人工呼吸法以口对口人工呼吸法效果最好。捏紧必救者鼻孔，深吸一口气后紧贴被救者的口，向其口内吹气，时间约为5秒钟。吹气完毕后，立即离开被救者的口，并松开其鼻孔，让其自行呼气，时间约为3秒钟。如此以每分钟约12次的速度进行。</w:t>
            </w:r>
          </w:p>
        </w:tc>
        <w:tc>
          <w:tcPr>
            <w:tcW w:w="1440" w:type="dxa"/>
            <w:vAlign w:val="center"/>
          </w:tcPr>
          <w:p>
            <w:pPr>
              <w:spacing w:line="420" w:lineRule="exact"/>
              <w:jc w:val="center"/>
              <w:rPr>
                <w:rFonts w:ascii="仿宋_GB2312" w:hAnsi="宋体" w:eastAsia="仿宋_GB2312"/>
                <w:color w:val="000000"/>
                <w:sz w:val="24"/>
              </w:rPr>
            </w:pPr>
          </w:p>
        </w:tc>
      </w:tr>
    </w:tbl>
    <w:p>
      <w:pPr>
        <w:pStyle w:val="14"/>
        <w:adjustRightInd w:val="0"/>
        <w:snapToGrid w:val="0"/>
        <w:spacing w:beforeAutospacing="0" w:afterAutospacing="0" w:line="240" w:lineRule="atLeast"/>
        <w:rPr>
          <w:rFonts w:ascii="仿宋_GB2312" w:eastAsia="仿宋_GB2312"/>
          <w:b/>
          <w:color w:val="000000"/>
        </w:rPr>
      </w:pPr>
    </w:p>
    <w:p>
      <w:pPr>
        <w:pStyle w:val="14"/>
        <w:adjustRightInd w:val="0"/>
        <w:snapToGrid w:val="0"/>
        <w:spacing w:beforeAutospacing="0" w:afterAutospacing="0" w:line="240" w:lineRule="atLeast"/>
        <w:rPr>
          <w:rFonts w:ascii="仿宋_GB2312" w:eastAsia="仿宋_GB2312"/>
          <w:b/>
          <w:color w:val="000000"/>
        </w:rPr>
        <w:sectPr>
          <w:pgSz w:w="11906" w:h="16838"/>
          <w:pgMar w:top="1418" w:right="1418" w:bottom="1418" w:left="1418" w:header="1021" w:footer="1021" w:gutter="0"/>
          <w:cols w:space="720" w:num="1"/>
          <w:titlePg/>
          <w:docGrid w:linePitch="435" w:charSpace="0"/>
        </w:sectPr>
      </w:pPr>
    </w:p>
    <w:p>
      <w:pPr>
        <w:pStyle w:val="5"/>
        <w:spacing w:after="140" w:line="360" w:lineRule="auto"/>
        <w:jc w:val="center"/>
        <w:rPr>
          <w:color w:val="000000"/>
        </w:rPr>
      </w:pPr>
      <w:bookmarkStart w:id="10" w:name="_Toc17717"/>
      <w:r>
        <w:rPr>
          <w:rFonts w:hint="eastAsia"/>
          <w:color w:val="000000"/>
        </w:rPr>
        <w:t>公共卫生事件现场处置</w:t>
      </w:r>
      <w:bookmarkEnd w:id="10"/>
      <w:r>
        <w:rPr>
          <w:rFonts w:hint="eastAsia"/>
          <w:color w:val="000000"/>
        </w:rPr>
        <w:t>措施</w:t>
      </w:r>
    </w:p>
    <w:tbl>
      <w:tblPr>
        <w:tblStyle w:val="18"/>
        <w:tblpPr w:leftFromText="180" w:rightFromText="180" w:vertAnchor="text" w:horzAnchor="page" w:tblpX="1521" w:tblpY="261"/>
        <w:tblOverlap w:val="never"/>
        <w:tblW w:w="9288"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6660"/>
        <w:gridCol w:w="144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tcPr>
          <w:p>
            <w:pPr>
              <w:spacing w:line="360" w:lineRule="auto"/>
              <w:jc w:val="center"/>
              <w:rPr>
                <w:rFonts w:ascii="仿宋_GB2312" w:hAnsi="宋体" w:eastAsia="仿宋_GB2312"/>
                <w:b/>
                <w:color w:val="000000"/>
                <w:sz w:val="28"/>
                <w:szCs w:val="28"/>
              </w:rPr>
            </w:pPr>
            <w:r>
              <w:rPr>
                <w:rFonts w:hint="eastAsia" w:ascii="仿宋_GB2312" w:hAnsi="宋体" w:eastAsia="仿宋_GB2312"/>
                <w:b/>
                <w:color w:val="000000"/>
                <w:sz w:val="28"/>
                <w:szCs w:val="28"/>
              </w:rPr>
              <w:t>步骤</w:t>
            </w:r>
          </w:p>
        </w:tc>
        <w:tc>
          <w:tcPr>
            <w:tcW w:w="6660" w:type="dxa"/>
          </w:tcPr>
          <w:p>
            <w:pPr>
              <w:spacing w:line="360" w:lineRule="auto"/>
              <w:jc w:val="center"/>
              <w:rPr>
                <w:rFonts w:ascii="仿宋_GB2312" w:hAnsi="宋体" w:eastAsia="仿宋_GB2312"/>
                <w:b/>
                <w:color w:val="000000"/>
                <w:sz w:val="28"/>
                <w:szCs w:val="28"/>
              </w:rPr>
            </w:pPr>
            <w:r>
              <w:rPr>
                <w:rFonts w:hint="eastAsia" w:ascii="仿宋_GB2312" w:hAnsi="宋体" w:eastAsia="仿宋_GB2312"/>
                <w:b/>
                <w:color w:val="000000"/>
                <w:sz w:val="28"/>
                <w:szCs w:val="28"/>
              </w:rPr>
              <w:t>处置</w:t>
            </w:r>
          </w:p>
        </w:tc>
        <w:tc>
          <w:tcPr>
            <w:tcW w:w="1440" w:type="dxa"/>
          </w:tcPr>
          <w:p>
            <w:pPr>
              <w:spacing w:line="360" w:lineRule="auto"/>
              <w:jc w:val="center"/>
              <w:rPr>
                <w:rFonts w:ascii="仿宋_GB2312" w:hAnsi="宋体" w:eastAsia="仿宋_GB2312"/>
                <w:b/>
                <w:color w:val="000000"/>
                <w:sz w:val="28"/>
                <w:szCs w:val="28"/>
              </w:rPr>
            </w:pPr>
            <w:r>
              <w:rPr>
                <w:rFonts w:hint="eastAsia" w:ascii="仿宋_GB2312" w:hAnsi="宋体" w:eastAsia="仿宋_GB2312"/>
                <w:b/>
                <w:color w:val="000000"/>
                <w:sz w:val="28"/>
                <w:szCs w:val="28"/>
              </w:rPr>
              <w:t>负责人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88"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报警</w:t>
            </w:r>
          </w:p>
        </w:tc>
        <w:tc>
          <w:tcPr>
            <w:tcW w:w="6660"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发现人员急性职业中毒（油气中毒）应立即向报告。</w:t>
            </w:r>
          </w:p>
        </w:tc>
        <w:tc>
          <w:tcPr>
            <w:tcW w:w="1440"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事件发现第一人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1188" w:type="dxa"/>
            <w:vMerge w:val="continue"/>
          </w:tcPr>
          <w:p>
            <w:pPr>
              <w:spacing w:line="360" w:lineRule="auto"/>
              <w:rPr>
                <w:rFonts w:ascii="仿宋_GB2312" w:hAnsi="宋体" w:eastAsia="仿宋_GB2312"/>
                <w:color w:val="000000"/>
                <w:sz w:val="24"/>
              </w:rPr>
            </w:pP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立即启动应急处置预案，拨打120急救。</w:t>
            </w:r>
          </w:p>
        </w:tc>
        <w:tc>
          <w:tcPr>
            <w:tcW w:w="1440" w:type="dxa"/>
            <w:vAlign w:val="center"/>
          </w:tcPr>
          <w:p>
            <w:pPr>
              <w:spacing w:line="420" w:lineRule="exact"/>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1188" w:type="dxa"/>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应急启动</w:t>
            </w: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通知其他应急人员增援，同时电话上报地区应急办。</w:t>
            </w:r>
          </w:p>
        </w:tc>
        <w:tc>
          <w:tcPr>
            <w:tcW w:w="1440" w:type="dxa"/>
          </w:tcPr>
          <w:p>
            <w:pPr>
              <w:pStyle w:val="2"/>
              <w:ind w:firstLine="210"/>
              <w:rPr>
                <w:rFonts w:ascii="仿宋_GB2312" w:hAnsi="宋体"/>
                <w:color w:val="000000"/>
                <w:sz w:val="24"/>
              </w:rPr>
            </w:pPr>
            <w:r>
              <w:rPr>
                <w:rFonts w:hint="eastAsia" w:ascii="仿宋_GB2312" w:hAnsi="宋体"/>
                <w:color w:val="000000"/>
                <w:sz w:val="24"/>
                <w:lang w:eastAsia="zh-CN"/>
              </w:rPr>
              <w:t>刘沧锐</w:t>
            </w:r>
            <w:r>
              <w:rPr>
                <w:rFonts w:hint="eastAsia" w:ascii="仿宋_GB2312" w:hAnsi="宋体" w:eastAsia="仿宋_GB2312"/>
                <w:color w:val="000000"/>
                <w:sz w:val="24"/>
              </w:rPr>
              <w:t>、</w:t>
            </w:r>
            <w:r>
              <w:rPr>
                <w:rFonts w:hint="eastAsia" w:ascii="仿宋_GB2312" w:hAnsi="宋体"/>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188"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警戒</w:t>
            </w:r>
          </w:p>
        </w:tc>
        <w:tc>
          <w:tcPr>
            <w:tcW w:w="6660" w:type="dxa"/>
            <w:vAlign w:val="center"/>
          </w:tcPr>
          <w:p>
            <w:pPr>
              <w:spacing w:line="360" w:lineRule="auto"/>
              <w:rPr>
                <w:rFonts w:ascii="仿宋_GB2312" w:hAnsi="宋体" w:eastAsia="仿宋_GB2312"/>
                <w:color w:val="000000"/>
                <w:sz w:val="24"/>
              </w:rPr>
            </w:pPr>
            <w:r>
              <w:rPr>
                <w:rFonts w:hint="eastAsia" w:ascii="仿宋_GB2312" w:hAnsi="宋体" w:eastAsia="仿宋_GB2312"/>
                <w:color w:val="000000"/>
                <w:sz w:val="24"/>
              </w:rPr>
              <w:t>视事故现场发生情况，划定警戒范围。</w:t>
            </w:r>
          </w:p>
        </w:tc>
        <w:tc>
          <w:tcPr>
            <w:tcW w:w="1440" w:type="dxa"/>
          </w:tcPr>
          <w:p>
            <w:pPr>
              <w:spacing w:line="340" w:lineRule="exact"/>
              <w:jc w:val="center"/>
              <w:rPr>
                <w:rFonts w:hint="eastAsia" w:eastAsiaTheme="minorEastAsia"/>
                <w:lang w:val="en-US" w:eastAsia="zh-CN"/>
              </w:rPr>
            </w:pPr>
            <w:r>
              <w:rPr>
                <w:rFonts w:hint="eastAsia"/>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188" w:type="dxa"/>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应急处置</w:t>
            </w:r>
          </w:p>
        </w:tc>
        <w:tc>
          <w:tcPr>
            <w:tcW w:w="6660" w:type="dxa"/>
          </w:tcPr>
          <w:p>
            <w:pPr>
              <w:spacing w:line="360" w:lineRule="auto"/>
              <w:jc w:val="left"/>
              <w:rPr>
                <w:rFonts w:ascii="仿宋_GB2312" w:hAnsi="宋体" w:eastAsia="仿宋_GB2312"/>
                <w:color w:val="000000"/>
                <w:sz w:val="24"/>
              </w:rPr>
            </w:pPr>
            <w:r>
              <w:rPr>
                <w:rFonts w:hint="eastAsia" w:ascii="仿宋_GB2312" w:hAnsi="宋体" w:eastAsia="仿宋_GB2312"/>
                <w:b/>
                <w:color w:val="000000"/>
                <w:sz w:val="24"/>
              </w:rPr>
              <w:t>油气中毒时</w:t>
            </w:r>
            <w:r>
              <w:rPr>
                <w:rFonts w:hint="eastAsia" w:ascii="仿宋_GB2312" w:hAnsi="宋体" w:eastAsia="仿宋_GB2312"/>
                <w:color w:val="000000"/>
                <w:sz w:val="24"/>
              </w:rPr>
              <w:t>：迅速将患者搬离中毒场所至空气新鲜处。保持患者安静，并立即松解患者衣领和腰带，以维持呼吸道畅通，并注意保暖。同时严密观察患者的一般状况，尤其是神志、呼吸和循环系统功能等。</w:t>
            </w:r>
          </w:p>
        </w:tc>
        <w:tc>
          <w:tcPr>
            <w:tcW w:w="1440" w:type="dxa"/>
            <w:vAlign w:val="center"/>
          </w:tcPr>
          <w:p>
            <w:pPr>
              <w:spacing w:line="340" w:lineRule="exact"/>
              <w:jc w:val="center"/>
              <w:rPr>
                <w:rFonts w:ascii="仿宋_GB2312" w:hAnsi="宋体" w:eastAsia="仿宋_GB2312"/>
                <w:color w:val="000000"/>
                <w:sz w:val="24"/>
              </w:rPr>
            </w:pPr>
          </w:p>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1188" w:type="dxa"/>
            <w:vMerge w:val="continue"/>
            <w:vAlign w:val="center"/>
          </w:tcPr>
          <w:p>
            <w:pPr>
              <w:spacing w:line="360" w:lineRule="auto"/>
              <w:jc w:val="center"/>
              <w:rPr>
                <w:rFonts w:ascii="仿宋_GB2312" w:hAnsi="宋体" w:eastAsia="仿宋_GB2312"/>
                <w:color w:val="000000"/>
                <w:sz w:val="24"/>
              </w:rPr>
            </w:pPr>
          </w:p>
        </w:tc>
        <w:tc>
          <w:tcPr>
            <w:tcW w:w="6660" w:type="dxa"/>
          </w:tcPr>
          <w:p>
            <w:pPr>
              <w:spacing w:line="360" w:lineRule="auto"/>
              <w:jc w:val="left"/>
              <w:rPr>
                <w:rFonts w:ascii="仿宋_GB2312" w:hAnsi="宋体" w:eastAsia="仿宋_GB2312"/>
                <w:color w:val="000000"/>
                <w:sz w:val="24"/>
              </w:rPr>
            </w:pPr>
            <w:r>
              <w:rPr>
                <w:rFonts w:hint="eastAsia" w:ascii="仿宋_GB2312" w:hAnsi="宋体" w:eastAsia="仿宋_GB2312"/>
                <w:color w:val="000000"/>
                <w:sz w:val="24"/>
              </w:rPr>
              <w:t>若判定中毒者失去知觉，应使用其灌浓茶，进行人工呼吸，随后急送医院治疗。</w:t>
            </w:r>
          </w:p>
        </w:tc>
        <w:tc>
          <w:tcPr>
            <w:tcW w:w="1440" w:type="dxa"/>
            <w:vAlign w:val="center"/>
          </w:tcPr>
          <w:p>
            <w:pPr>
              <w:spacing w:line="340" w:lineRule="exact"/>
              <w:jc w:val="center"/>
              <w:rPr>
                <w:rFonts w:ascii="仿宋_GB2312" w:hAnsi="宋体" w:eastAsia="仿宋_GB2312"/>
                <w:color w:val="000000"/>
                <w:sz w:val="24"/>
              </w:rPr>
            </w:pPr>
          </w:p>
          <w:p>
            <w:pPr>
              <w:pStyle w:val="2"/>
              <w:ind w:firstLine="240"/>
            </w:pPr>
            <w:r>
              <w:rPr>
                <w:rFonts w:hint="eastAsia" w:ascii="仿宋_GB2312" w:hAnsi="宋体"/>
                <w:color w:val="000000"/>
                <w:sz w:val="24"/>
                <w:lang w:eastAsia="zh-CN"/>
              </w:rPr>
              <w:t>刘沧锐</w:t>
            </w:r>
            <w:r>
              <w:rPr>
                <w:rFonts w:hint="eastAsia" w:ascii="仿宋_GB2312" w:hAnsi="宋体" w:eastAsia="仿宋_GB2312"/>
                <w:color w:val="000000"/>
                <w:sz w:val="24"/>
              </w:rPr>
              <w:t>、</w:t>
            </w:r>
            <w:r>
              <w:rPr>
                <w:rFonts w:hint="eastAsia" w:ascii="仿宋_GB2312" w:hAnsi="宋体"/>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后期处置</w:t>
            </w: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检查设备、工艺，组织人员抢修，清理现场，恢复生产。</w:t>
            </w:r>
          </w:p>
        </w:tc>
        <w:tc>
          <w:tcPr>
            <w:tcW w:w="1440"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8"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注意事项</w:t>
            </w:r>
          </w:p>
        </w:tc>
        <w:tc>
          <w:tcPr>
            <w:tcW w:w="6660"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（1）进入油罐的救护人员须穿戴有毒气体防护器具，腰上要系好安全绳，在有他人现场监护的情况下进行施救。</w:t>
            </w:r>
          </w:p>
          <w:p>
            <w:pPr>
              <w:spacing w:line="360" w:lineRule="auto"/>
              <w:rPr>
                <w:rFonts w:ascii="仿宋_GB2312" w:hAnsi="宋体" w:eastAsia="仿宋_GB2312"/>
                <w:color w:val="000000"/>
                <w:sz w:val="24"/>
              </w:rPr>
            </w:pPr>
            <w:r>
              <w:rPr>
                <w:rFonts w:hint="eastAsia" w:ascii="仿宋_GB2312" w:hAnsi="宋体" w:eastAsia="仿宋_GB2312"/>
                <w:color w:val="000000"/>
                <w:sz w:val="24"/>
              </w:rPr>
              <w:t>（2）3小时内形成《异常事件》上报主管部门。</w:t>
            </w:r>
          </w:p>
        </w:tc>
        <w:tc>
          <w:tcPr>
            <w:tcW w:w="1440" w:type="dxa"/>
            <w:vAlign w:val="center"/>
          </w:tcPr>
          <w:p>
            <w:pPr>
              <w:spacing w:line="360" w:lineRule="auto"/>
              <w:jc w:val="center"/>
              <w:rPr>
                <w:rFonts w:ascii="仿宋_GB2312" w:hAnsi="宋体" w:eastAsia="仿宋_GB2312"/>
                <w:color w:val="000000"/>
                <w:sz w:val="24"/>
              </w:rPr>
            </w:pPr>
          </w:p>
        </w:tc>
      </w:tr>
    </w:tbl>
    <w:p>
      <w:pPr>
        <w:spacing w:line="240" w:lineRule="atLeast"/>
        <w:rPr>
          <w:rFonts w:ascii="仿宋_GB2312" w:hAnsi="宋体" w:eastAsia="仿宋_GB2312"/>
          <w:b/>
          <w:color w:val="000000"/>
          <w:sz w:val="24"/>
        </w:rPr>
      </w:pPr>
    </w:p>
    <w:p>
      <w:pPr>
        <w:adjustRightInd w:val="0"/>
        <w:snapToGrid w:val="0"/>
        <w:spacing w:line="560" w:lineRule="exact"/>
        <w:rPr>
          <w:rFonts w:ascii="方正仿宋简体" w:eastAsia="方正仿宋简体"/>
          <w:sz w:val="32"/>
          <w:szCs w:val="32"/>
        </w:rPr>
      </w:pPr>
    </w:p>
    <w:tbl>
      <w:tblPr>
        <w:tblStyle w:val="18"/>
        <w:tblW w:w="9660" w:type="dxa"/>
        <w:tblInd w:w="0" w:type="dxa"/>
        <w:tblLayout w:type="fixed"/>
        <w:tblCellMar>
          <w:top w:w="0" w:type="dxa"/>
          <w:left w:w="0" w:type="dxa"/>
          <w:bottom w:w="0" w:type="dxa"/>
          <w:right w:w="0" w:type="dxa"/>
        </w:tblCellMar>
      </w:tblPr>
      <w:tblGrid>
        <w:gridCol w:w="509"/>
        <w:gridCol w:w="622"/>
        <w:gridCol w:w="1590"/>
        <w:gridCol w:w="975"/>
        <w:gridCol w:w="5145"/>
        <w:gridCol w:w="819"/>
      </w:tblGrid>
      <w:tr>
        <w:tblPrEx>
          <w:tblLayout w:type="fixed"/>
          <w:tblCellMar>
            <w:top w:w="0" w:type="dxa"/>
            <w:left w:w="0" w:type="dxa"/>
            <w:bottom w:w="0" w:type="dxa"/>
            <w:right w:w="0" w:type="dxa"/>
          </w:tblCellMar>
        </w:tblPrEx>
        <w:trPr>
          <w:trHeight w:val="754" w:hRule="atLeast"/>
        </w:trPr>
        <w:tc>
          <w:tcPr>
            <w:tcW w:w="9660" w:type="dxa"/>
            <w:gridSpan w:val="6"/>
            <w:tcBorders>
              <w:top w:val="nil"/>
              <w:left w:val="nil"/>
              <w:bottom w:val="nil"/>
              <w:right w:val="nil"/>
            </w:tcBorders>
            <w:shd w:val="clear" w:color="auto" w:fill="auto"/>
            <w:tcMar>
              <w:top w:w="15" w:type="dxa"/>
              <w:left w:w="15" w:type="dxa"/>
              <w:right w:w="15" w:type="dxa"/>
            </w:tcMar>
            <w:vAlign w:val="center"/>
          </w:tcPr>
          <w:p>
            <w:pPr>
              <w:widowControl/>
              <w:textAlignment w:val="center"/>
              <w:rPr>
                <w:rFonts w:ascii="方正小标宋简体" w:hAnsi="方正小标宋简体" w:eastAsia="方正小标宋简体" w:cs="方正小标宋简体"/>
                <w:color w:val="000000"/>
                <w:kern w:val="0"/>
                <w:sz w:val="40"/>
                <w:szCs w:val="40"/>
              </w:rPr>
            </w:pPr>
          </w:p>
          <w:p>
            <w:pPr>
              <w:widowControl/>
              <w:jc w:val="center"/>
              <w:textAlignment w:val="center"/>
              <w:rPr>
                <w:rFonts w:ascii="方正小标宋简体" w:hAnsi="方正小标宋简体" w:eastAsia="方正小标宋简体" w:cs="方正小标宋简体"/>
                <w:color w:val="000000"/>
                <w:kern w:val="0"/>
                <w:sz w:val="40"/>
                <w:szCs w:val="40"/>
              </w:rPr>
            </w:pPr>
          </w:p>
          <w:p>
            <w:pPr>
              <w:widowControl/>
              <w:jc w:val="center"/>
              <w:textAlignment w:val="center"/>
              <w:rPr>
                <w:rFonts w:ascii="方正小标宋简体" w:hAnsi="方正小标宋简体" w:eastAsia="方正小标宋简体" w:cs="方正小标宋简体"/>
                <w:color w:val="000000"/>
                <w:sz w:val="40"/>
                <w:szCs w:val="40"/>
              </w:rPr>
            </w:pPr>
            <w:r>
              <w:rPr>
                <w:rFonts w:ascii="方正小标宋简体" w:hAnsi="方正小标宋简体" w:eastAsia="方正小标宋简体" w:cs="方正小标宋简体"/>
                <w:color w:val="000000"/>
                <w:kern w:val="0"/>
                <w:sz w:val="40"/>
                <w:szCs w:val="40"/>
              </w:rPr>
              <w:t>加油站应急处置</w:t>
            </w:r>
            <w:r>
              <w:rPr>
                <w:rFonts w:hint="eastAsia" w:ascii="方正小标宋简体" w:hAnsi="方正小标宋简体" w:eastAsia="方正小标宋简体" w:cs="方正小标宋简体"/>
                <w:color w:val="000000"/>
                <w:kern w:val="0"/>
                <w:sz w:val="40"/>
                <w:szCs w:val="40"/>
              </w:rPr>
              <w:t>措施</w:t>
            </w:r>
          </w:p>
        </w:tc>
      </w:tr>
      <w:tr>
        <w:tblPrEx>
          <w:tblLayout w:type="fixed"/>
          <w:tblCellMar>
            <w:top w:w="0" w:type="dxa"/>
            <w:left w:w="0" w:type="dxa"/>
            <w:bottom w:w="0" w:type="dxa"/>
            <w:right w:w="0" w:type="dxa"/>
          </w:tblCellMar>
        </w:tblPrEx>
        <w:trPr>
          <w:trHeight w:val="607"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序号</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岗位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责任清单</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应急类型</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履职清单</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责任人</w:t>
            </w:r>
          </w:p>
        </w:tc>
      </w:tr>
      <w:tr>
        <w:tblPrEx>
          <w:tblLayout w:type="fixed"/>
          <w:tblCellMar>
            <w:top w:w="0" w:type="dxa"/>
            <w:left w:w="0" w:type="dxa"/>
            <w:bottom w:w="0" w:type="dxa"/>
            <w:right w:w="0" w:type="dxa"/>
          </w:tblCellMar>
        </w:tblPrEx>
        <w:trPr>
          <w:trHeight w:val="5857"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1</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加油站经理（应急指挥）</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分析紧急状态和确定相关危险类型、潜在后果、现有资源和控制紧急情况的行动类型；启动应急预案；指挥、协调应急反应行动；与企业外应急人员、部门、组织和机构进行联络；应急评估，确定升高或降低应急警报级别；决定请求外部援助；上报地方政府和上级公司；决定应急撤离。</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火灾爆炸事故</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初期局部火灾先行灭火，火势较大则及时报119火警，说明火场地点、着火介质、火势大小等情况；如有伤员及时救助并呼叫120。                                      </w:t>
            </w:r>
            <w:r>
              <w:rPr>
                <w:rStyle w:val="71"/>
              </w:rPr>
              <w:t>2.抢险:</w:t>
            </w:r>
            <w:r>
              <w:rPr>
                <w:rStyle w:val="70"/>
              </w:rPr>
              <w:t xml:space="preserve">组织指挥员工现场施救，对初期火灾进行扑灭，尽可能阻止火势蔓延至罐区及危险区域，疏散人员车辆，转移钱款票证，告知相邻单位和当地部门， 设置警戒线，防止外人进入，等待救援，当上级部门到达现场时，移交指挥权，汇报现场抢险情况，并接受上级的统一指挥。                                                       </w:t>
            </w:r>
            <w:r>
              <w:rPr>
                <w:rStyle w:val="71"/>
              </w:rPr>
              <w:t>3.撤离:</w:t>
            </w:r>
            <w:r>
              <w:rPr>
                <w:rStyle w:val="70"/>
              </w:rPr>
              <w:t>火势失控则尽快撤离人员至安全地带。</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sz w:val="24"/>
                <w:szCs w:val="24"/>
                <w:lang w:eastAsia="zh-CN"/>
              </w:rPr>
            </w:pPr>
            <w:r>
              <w:rPr>
                <w:rFonts w:hint="eastAsia" w:ascii="仿宋_GB2312" w:hAnsi="宋体" w:eastAsia="仿宋_GB2312"/>
                <w:color w:val="000000"/>
                <w:sz w:val="24"/>
                <w:lang w:eastAsia="zh-CN"/>
              </w:rPr>
              <w:t>刘沧锐</w:t>
            </w:r>
          </w:p>
        </w:tc>
      </w:tr>
      <w:tr>
        <w:tblPrEx>
          <w:tblLayout w:type="fixed"/>
          <w:tblCellMar>
            <w:top w:w="0" w:type="dxa"/>
            <w:left w:w="0" w:type="dxa"/>
            <w:bottom w:w="0" w:type="dxa"/>
            <w:right w:w="0" w:type="dxa"/>
          </w:tblCellMar>
        </w:tblPrEx>
        <w:trPr>
          <w:trHeight w:val="469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防恐反恐</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首先控制局面，防止人员伤亡，防止损失扩大；事态失控马上报警，并根据情况向119、120报告并同时报告上级；　　　　　　　　　　　　　　　　</w:t>
            </w:r>
            <w:r>
              <w:rPr>
                <w:rStyle w:val="70"/>
                <w:rFonts w:hint="eastAsia"/>
              </w:rPr>
              <w:t xml:space="preserve">   </w:t>
            </w:r>
            <w:r>
              <w:rPr>
                <w:rStyle w:val="70"/>
              </w:rPr>
              <w:t>　　　</w:t>
            </w:r>
            <w:r>
              <w:rPr>
                <w:rStyle w:val="71"/>
              </w:rPr>
              <w:t>２.抢险：</w:t>
            </w:r>
            <w:r>
              <w:rPr>
                <w:rStyle w:val="70"/>
              </w:rPr>
              <w:t>冷静应对，处置原则是：优先确保人员安全，其次考虑财物安全；当上级部门到达现场时，移交指挥权，汇报现场抢险情况，并接受上级的统一指挥。注意保护现场。　　　　　　　　　　　　　　　　　　　　　　　</w:t>
            </w:r>
            <w:r>
              <w:rPr>
                <w:rStyle w:val="71"/>
              </w:rPr>
              <w:t>3.撤离:</w:t>
            </w:r>
            <w:r>
              <w:rPr>
                <w:rStyle w:val="70"/>
              </w:rPr>
              <w:t>事态失控，下达撤离命令。</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sz w:val="24"/>
                <w:szCs w:val="24"/>
                <w:lang w:eastAsia="zh-CN"/>
              </w:rPr>
            </w:pPr>
            <w:r>
              <w:rPr>
                <w:rFonts w:hint="eastAsia" w:ascii="仿宋_GB2312" w:hAnsi="宋体" w:eastAsia="仿宋_GB2312"/>
                <w:color w:val="000000"/>
                <w:sz w:val="24"/>
                <w:lang w:eastAsia="zh-CN"/>
              </w:rPr>
              <w:t>刘沧锐</w:t>
            </w:r>
          </w:p>
        </w:tc>
      </w:tr>
      <w:tr>
        <w:tblPrEx>
          <w:tblLayout w:type="fixed"/>
          <w:tblCellMar>
            <w:top w:w="0" w:type="dxa"/>
            <w:left w:w="0" w:type="dxa"/>
            <w:bottom w:w="0" w:type="dxa"/>
            <w:right w:w="0" w:type="dxa"/>
          </w:tblCellMar>
        </w:tblPrEx>
        <w:trPr>
          <w:trHeight w:val="469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自然灾害</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及时报告上级及当地政府应急救援部门。                                                                        </w:t>
            </w:r>
            <w:r>
              <w:rPr>
                <w:rStyle w:val="71"/>
              </w:rPr>
              <w:t>2.抢险：</w:t>
            </w:r>
            <w:r>
              <w:rPr>
                <w:rStyle w:val="70"/>
              </w:rPr>
              <w:t xml:space="preserve">首先组织员工自救，疏散人员车辆，转移钱款票证，防止人员伤亡，防止损失扩大；事态失控要冷静应对，处置原则是：优先确保人员安全，其次确保财物安全；设置警戒，等待救援；当上级部门到达现场时，移交指挥权，汇报现场抢险情况，并接受上级的统一指挥。                                            </w:t>
            </w:r>
            <w:r>
              <w:rPr>
                <w:rStyle w:val="71"/>
              </w:rPr>
              <w:t>3.撤离:</w:t>
            </w:r>
            <w:r>
              <w:rPr>
                <w:rStyle w:val="70"/>
              </w:rPr>
              <w:t>事态失控，下达撤离命令。</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sz w:val="24"/>
                <w:szCs w:val="24"/>
                <w:lang w:eastAsia="zh-CN"/>
              </w:rPr>
            </w:pPr>
            <w:r>
              <w:rPr>
                <w:rFonts w:hint="eastAsia" w:ascii="仿宋_GB2312" w:hAnsi="宋体" w:eastAsia="仿宋_GB2312"/>
                <w:color w:val="000000"/>
                <w:sz w:val="24"/>
                <w:lang w:eastAsia="zh-CN"/>
              </w:rPr>
              <w:t>刘沧锐</w:t>
            </w:r>
          </w:p>
        </w:tc>
      </w:tr>
      <w:tr>
        <w:tblPrEx>
          <w:tblLayout w:type="fixed"/>
          <w:tblCellMar>
            <w:top w:w="0" w:type="dxa"/>
            <w:left w:w="0" w:type="dxa"/>
            <w:bottom w:w="0" w:type="dxa"/>
            <w:right w:w="0" w:type="dxa"/>
          </w:tblCellMar>
        </w:tblPrEx>
        <w:trPr>
          <w:trHeight w:val="7607"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环境污染</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发生大量的跑冒油或造成环境污染时，要及时报119火警，当地环境监测部门和上一级主管部门。                                                                                                       </w:t>
            </w:r>
            <w:r>
              <w:rPr>
                <w:rStyle w:val="71"/>
              </w:rPr>
              <w:t>2.抢险：</w:t>
            </w:r>
            <w:r>
              <w:rPr>
                <w:rStyle w:val="70"/>
              </w:rPr>
              <w:t xml:space="preserve">立即迅速关闭油罐车跑冒油控制阀门，阻断跑冒油来源；控制现场引火源，防止起火爆炸；控制落地油流向，迅速设置临时围堰，用拖把、面纱、毛巾等纯棉织物回收落地油，来不及回收的用沙土覆盖，流入排水沟要设置临时隔油设施，防止油品流入城市管网或下水沟；布置消防器材和警戒线；阻断外部起火窜入的途径；迅速查明原因。当上级部门到达现场时，移交指挥权，汇报现场抢险情况，并接受上级的统一指挥。                                                               </w:t>
            </w:r>
            <w:r>
              <w:rPr>
                <w:rStyle w:val="71"/>
              </w:rPr>
              <w:t>3.急救:</w:t>
            </w:r>
            <w:r>
              <w:rPr>
                <w:rStyle w:val="70"/>
              </w:rPr>
              <w:t>组织将中毒或受伤人员转移到安全区，并作必要的救护。</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sz w:val="24"/>
                <w:szCs w:val="24"/>
                <w:lang w:eastAsia="zh-CN"/>
              </w:rPr>
            </w:pPr>
            <w:r>
              <w:rPr>
                <w:rFonts w:hint="eastAsia" w:ascii="仿宋_GB2312" w:hAnsi="宋体" w:eastAsia="仿宋_GB2312"/>
                <w:color w:val="000000"/>
                <w:sz w:val="24"/>
                <w:lang w:eastAsia="zh-CN"/>
              </w:rPr>
              <w:t>刘沧锐</w:t>
            </w:r>
          </w:p>
        </w:tc>
      </w:tr>
      <w:tr>
        <w:tblPrEx>
          <w:tblLayout w:type="fixed"/>
          <w:tblCellMar>
            <w:top w:w="0" w:type="dxa"/>
            <w:left w:w="0" w:type="dxa"/>
            <w:bottom w:w="0" w:type="dxa"/>
            <w:right w:w="0" w:type="dxa"/>
          </w:tblCellMar>
        </w:tblPrEx>
        <w:trPr>
          <w:trHeight w:val="469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数质量纠纷</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如遇投诉要马上报告上级，如遇无理取闹或敲诈勒索，解释或劝阻无效，马上报警并报告上级，根据情况报告当地油品数质量管理部门。                                                                                          </w:t>
            </w:r>
            <w:r>
              <w:rPr>
                <w:rStyle w:val="71"/>
              </w:rPr>
              <w:t>2.处理:</w:t>
            </w:r>
            <w:r>
              <w:rPr>
                <w:rStyle w:val="70"/>
              </w:rPr>
              <w:t>请客户进办公室协商，缓和气氛；倾听客户意见，查看相关票据，询问当班工作人员；向客户出具当地部门出具的计量检定证明等资料，解释相关规定和政策，协商处理办法。质量投诉，做好现场抽检工作，同时立即对所投诉油品取样送检。</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sz w:val="24"/>
                <w:szCs w:val="24"/>
                <w:lang w:eastAsia="zh-CN"/>
              </w:rPr>
            </w:pPr>
            <w:r>
              <w:rPr>
                <w:rFonts w:hint="eastAsia" w:ascii="仿宋_GB2312" w:hAnsi="宋体" w:eastAsia="仿宋_GB2312"/>
                <w:color w:val="000000"/>
                <w:sz w:val="24"/>
                <w:lang w:eastAsia="zh-CN"/>
              </w:rPr>
              <w:t>刘沧锐</w:t>
            </w:r>
          </w:p>
        </w:tc>
      </w:tr>
      <w:tr>
        <w:tblPrEx>
          <w:tblLayout w:type="fixed"/>
          <w:tblCellMar>
            <w:top w:w="0" w:type="dxa"/>
            <w:left w:w="0" w:type="dxa"/>
            <w:bottom w:w="0" w:type="dxa"/>
            <w:right w:w="0" w:type="dxa"/>
          </w:tblCellMar>
        </w:tblPrEx>
        <w:trPr>
          <w:trHeight w:val="2357"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新闻危机</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1.报告：</w:t>
            </w:r>
            <w:r>
              <w:rPr>
                <w:rStyle w:val="70"/>
              </w:rPr>
              <w:t xml:space="preserve">报告上级单位；                                                                                                                </w:t>
            </w:r>
            <w:r>
              <w:rPr>
                <w:rStyle w:val="71"/>
              </w:rPr>
              <w:t>2.处理:</w:t>
            </w:r>
            <w:r>
              <w:rPr>
                <w:rStyle w:val="70"/>
              </w:rPr>
              <w:t>依照预案标准语言答复记者提问，婉拒诱导性、假设性和不确定的问题；警惕记者暗访，婉拒客户提出的与服务无关的问题，请客户与上级联系。</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sz w:val="24"/>
                <w:szCs w:val="24"/>
                <w:lang w:eastAsia="zh-CN"/>
              </w:rPr>
            </w:pPr>
            <w:r>
              <w:rPr>
                <w:rFonts w:hint="eastAsia" w:ascii="仿宋_GB2312" w:hAnsi="宋体" w:eastAsia="仿宋_GB2312"/>
                <w:color w:val="000000"/>
                <w:sz w:val="24"/>
                <w:lang w:eastAsia="zh-CN"/>
              </w:rPr>
              <w:t>刘沧锐</w:t>
            </w:r>
          </w:p>
        </w:tc>
      </w:tr>
      <w:tr>
        <w:tblPrEx>
          <w:tblLayout w:type="fixed"/>
          <w:tblCellMar>
            <w:top w:w="0" w:type="dxa"/>
            <w:left w:w="0" w:type="dxa"/>
            <w:bottom w:w="0" w:type="dxa"/>
            <w:right w:w="0" w:type="dxa"/>
          </w:tblCellMar>
        </w:tblPrEx>
        <w:trPr>
          <w:trHeight w:val="469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2</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综合管理员</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协助加油站经理启动应急预案；执行应急指挥命令参加应急反应行动。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火灾爆炸事故</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初期局部火灾先行灭火，火势较大则及时报119火警，说明火场地点、着火介质、火势大小等情况；如有伤员及时救助并呼叫120。                                      </w:t>
            </w:r>
            <w:r>
              <w:rPr>
                <w:rStyle w:val="71"/>
              </w:rPr>
              <w:t>2.抢险:</w:t>
            </w:r>
            <w:r>
              <w:rPr>
                <w:rStyle w:val="70"/>
              </w:rPr>
              <w:t xml:space="preserve">协助经理组织指挥员工现场施救，对初期火灾进行扑灭，尽可能阻止火势蔓延至罐区及危险区域，疏散人员车辆，转移钱款票证，告知相邻单位和当地部门， 设置警戒线，防止外人进入，等待救援。                                                       </w:t>
            </w:r>
            <w:r>
              <w:rPr>
                <w:rStyle w:val="71"/>
              </w:rPr>
              <w:t>3.撤离:</w:t>
            </w:r>
            <w:r>
              <w:rPr>
                <w:rStyle w:val="70"/>
              </w:rPr>
              <w:t>火势失控则尽快撤离人员至安全地带。</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刘沧锐</w:t>
            </w:r>
          </w:p>
        </w:tc>
      </w:tr>
      <w:tr>
        <w:tblPrEx>
          <w:tblLayout w:type="fixed"/>
          <w:tblCellMar>
            <w:top w:w="0" w:type="dxa"/>
            <w:left w:w="0" w:type="dxa"/>
            <w:bottom w:w="0" w:type="dxa"/>
            <w:right w:w="0" w:type="dxa"/>
          </w:tblCellMar>
        </w:tblPrEx>
        <w:trPr>
          <w:trHeight w:val="3524"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防恐反恐</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协助经理控制局面，防止人员伤亡，防止损失扩大；事态失控马上报警，并根据情况向119、120报告并同时报告上级；　　　　　　　　　　　　　　　　　　　</w:t>
            </w:r>
            <w:r>
              <w:rPr>
                <w:rStyle w:val="71"/>
              </w:rPr>
              <w:t>２.抢险：</w:t>
            </w:r>
            <w:r>
              <w:rPr>
                <w:rStyle w:val="70"/>
              </w:rPr>
              <w:t>冷静应对，处置原则是：优先确保人员安全，其次考虑财物安全；注意保护现场。　　　　　　　　　　　　　　　　　　　　　　　</w:t>
            </w:r>
            <w:r>
              <w:rPr>
                <w:rStyle w:val="71"/>
              </w:rPr>
              <w:t>3.撤离:</w:t>
            </w:r>
            <w:r>
              <w:rPr>
                <w:rStyle w:val="70"/>
              </w:rPr>
              <w:t>事态失控，执行撤离命令，负责转移救助伤员。</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刘沧锐</w:t>
            </w:r>
          </w:p>
        </w:tc>
      </w:tr>
      <w:tr>
        <w:tblPrEx>
          <w:tblLayout w:type="fixed"/>
          <w:tblCellMar>
            <w:top w:w="0" w:type="dxa"/>
            <w:left w:w="0" w:type="dxa"/>
            <w:bottom w:w="0" w:type="dxa"/>
            <w:right w:w="0" w:type="dxa"/>
          </w:tblCellMar>
        </w:tblPrEx>
        <w:trPr>
          <w:trHeight w:val="4107"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自然灾害</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负责报告上级及当地政府应急救援部门。                                                                                    </w:t>
            </w:r>
            <w:r>
              <w:rPr>
                <w:rStyle w:val="71"/>
              </w:rPr>
              <w:t>2.抢险：</w:t>
            </w:r>
            <w:r>
              <w:rPr>
                <w:rStyle w:val="70"/>
              </w:rPr>
              <w:t xml:space="preserve">协助应急指挥，组织员工自救，疏散人员车辆，转移钱款票证，防止人员伤亡，防止损失扩大；事态失控要冷静应对，处置原则是：优先确保人员安全，其次确保财物安全；设置警戒，等待救援。                                            </w:t>
            </w:r>
            <w:r>
              <w:rPr>
                <w:rStyle w:val="71"/>
              </w:rPr>
              <w:t>3.撤离:</w:t>
            </w:r>
            <w:r>
              <w:rPr>
                <w:rStyle w:val="70"/>
              </w:rPr>
              <w:t>事态失控，负责撤离时疏散人员和转移救助伤员。</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刘沧锐</w:t>
            </w:r>
          </w:p>
        </w:tc>
      </w:tr>
      <w:tr>
        <w:tblPrEx>
          <w:tblLayout w:type="fixed"/>
          <w:tblCellMar>
            <w:top w:w="0" w:type="dxa"/>
            <w:left w:w="0" w:type="dxa"/>
            <w:bottom w:w="0" w:type="dxa"/>
            <w:right w:w="0" w:type="dxa"/>
          </w:tblCellMar>
        </w:tblPrEx>
        <w:trPr>
          <w:trHeight w:val="1354"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环境污染</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发生大量的跑冒油或造成环境污染时，负责报119火警，当地环境监测部门和上一级主管部门。                                                                               </w:t>
            </w:r>
            <w:r>
              <w:rPr>
                <w:rStyle w:val="71"/>
              </w:rPr>
              <w:t>2.抢险：</w:t>
            </w:r>
            <w:r>
              <w:rPr>
                <w:rStyle w:val="70"/>
              </w:rPr>
              <w:t xml:space="preserve">迅速关闭油罐车跑冒油控制阀门，阻断跑冒油来源；控制现场引火源，防止起火爆炸；控制落地油流向，迅速设置临时围堰，用拖把、面纱、毛巾等纯棉织物回收落地油，来不及回收的用沙土覆盖，油品流入排水沟要设置临时隔油设施，防止油品流入城市管网或下水沟；布置消防器材和警戒线；阻断外部起火窜入的途径；迅速查明原因。                                                              </w:t>
            </w:r>
            <w:r>
              <w:rPr>
                <w:rStyle w:val="71"/>
              </w:rPr>
              <w:t>3.急救:</w:t>
            </w:r>
            <w:r>
              <w:rPr>
                <w:rStyle w:val="70"/>
              </w:rPr>
              <w:t>协助组织将中毒或受伤人员转移到安全区，并作必要的救护。</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刘沧锐</w:t>
            </w:r>
          </w:p>
        </w:tc>
      </w:tr>
      <w:tr>
        <w:tblPrEx>
          <w:tblLayout w:type="fixed"/>
          <w:tblCellMar>
            <w:top w:w="0" w:type="dxa"/>
            <w:left w:w="0" w:type="dxa"/>
            <w:bottom w:w="0" w:type="dxa"/>
            <w:right w:w="0" w:type="dxa"/>
          </w:tblCellMar>
        </w:tblPrEx>
        <w:trPr>
          <w:trHeight w:val="469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数质量纠纷</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如遇投诉要马上报告上级，遇无理取闹或敲诈勒索，解释或劝阻无效，马上报警并报告上级，根据情况报告当地油品数质量管理部门。   </w:t>
            </w:r>
            <w:r>
              <w:rPr>
                <w:rStyle w:val="71"/>
              </w:rPr>
              <w:t>2.处理:</w:t>
            </w:r>
            <w:r>
              <w:rPr>
                <w:rStyle w:val="70"/>
              </w:rPr>
              <w:t>请客户进办公室协商，缓和气氛；倾听客户意见，查看相关票据，询问当班工作人员；向客户出具当地部门出具的计量检定证明等资料，解释相关规定和政策，协商处理办法。质量投诉，做好现场抽检工作，组织对所投诉油品取样送检。</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刘沧锐</w:t>
            </w:r>
          </w:p>
        </w:tc>
      </w:tr>
      <w:tr>
        <w:tblPrEx>
          <w:tblLayout w:type="fixed"/>
          <w:tblCellMar>
            <w:top w:w="0" w:type="dxa"/>
            <w:left w:w="0" w:type="dxa"/>
            <w:bottom w:w="0" w:type="dxa"/>
            <w:right w:w="0" w:type="dxa"/>
          </w:tblCellMar>
        </w:tblPrEx>
        <w:trPr>
          <w:trHeight w:val="2357"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新闻危机</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1.报告：</w:t>
            </w:r>
            <w:r>
              <w:rPr>
                <w:rStyle w:val="70"/>
              </w:rPr>
              <w:t xml:space="preserve">报告上级单位；                                                                                                                        </w:t>
            </w:r>
            <w:r>
              <w:rPr>
                <w:rStyle w:val="71"/>
              </w:rPr>
              <w:t>2.处理:</w:t>
            </w:r>
            <w:r>
              <w:rPr>
                <w:rStyle w:val="70"/>
              </w:rPr>
              <w:t>依照预案标准语言答复记者提问，婉拒诱导性、假设性和不确定的问题；警惕记者暗访，婉拒客户提出的与服务无关的问题，请客户与上级联系。</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刘沧锐</w:t>
            </w:r>
          </w:p>
        </w:tc>
      </w:tr>
      <w:tr>
        <w:tblPrEx>
          <w:tblLayout w:type="fixed"/>
          <w:tblCellMar>
            <w:top w:w="0" w:type="dxa"/>
            <w:left w:w="0" w:type="dxa"/>
            <w:bottom w:w="0" w:type="dxa"/>
            <w:right w:w="0" w:type="dxa"/>
          </w:tblCellMar>
        </w:tblPrEx>
        <w:trPr>
          <w:trHeight w:val="5857"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3</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前庭主管</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按照应急预案参与应急行动，执行应急指挥命令。</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火灾爆炸事故</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 初期局部火灾先行灭火，火势较大及时报警。                                                                                 </w:t>
            </w:r>
            <w:r>
              <w:rPr>
                <w:rStyle w:val="71"/>
              </w:rPr>
              <w:t>2.抢险:</w:t>
            </w:r>
            <w:r>
              <w:rPr>
                <w:rStyle w:val="70"/>
              </w:rPr>
              <w:t xml:space="preserve"> 立即关闭相关阀门，停止加油；用现场配置的消防器材设备对着火部实施扑救，阻止火势蔓延；切断电源；对火灾现场附近的易燃易爆物质进行清除、隔离控制火源；组织、指挥加油车辆闲杂人员撤出加油站；转移加油现场的各种票据和资料；完成抢险组下达的其他任务。                                                                     </w:t>
            </w:r>
            <w:r>
              <w:rPr>
                <w:rStyle w:val="71"/>
              </w:rPr>
              <w:t>3.撤离:</w:t>
            </w:r>
            <w:r>
              <w:rPr>
                <w:rStyle w:val="70"/>
              </w:rPr>
              <w:t>将受伤人员撤离到安全区域，作必要的救护；火焰威胁人员安全时，从上风向撤离，按照应急疏散指示方向或选择距隔离区最近路线撤离。</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sz w:val="24"/>
                <w:szCs w:val="24"/>
                <w:lang w:eastAsia="zh-CN"/>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Layout w:type="fixed"/>
          <w:tblCellMar>
            <w:top w:w="0" w:type="dxa"/>
            <w:left w:w="0" w:type="dxa"/>
            <w:bottom w:w="0" w:type="dxa"/>
            <w:right w:w="0" w:type="dxa"/>
          </w:tblCellMar>
        </w:tblPrEx>
        <w:trPr>
          <w:trHeight w:val="469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防恐反恐</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 尽可能保持冷静和警惕，马上向上级及当地公安、派出所等报警。                                                                                                                </w:t>
            </w:r>
            <w:r>
              <w:rPr>
                <w:rStyle w:val="71"/>
              </w:rPr>
              <w:t xml:space="preserve"> 2.抢险:</w:t>
            </w:r>
            <w:r>
              <w:rPr>
                <w:rStyle w:val="70"/>
              </w:rPr>
              <w:t xml:space="preserve">停止作业，设备复位，控制局面，防止人员伤亡，防止损失扩大；尽量与恐怖分子周旋，不与恐怖分子发生正面冲突，记住恐怖事件的关键特征，做好接应救援准备；保护现场；如有人员伤亡，启动“人员伤亡”紧急处理程序。                                                                                                                    </w:t>
            </w:r>
            <w:r>
              <w:rPr>
                <w:rStyle w:val="71"/>
              </w:rPr>
              <w:t>3.撤离:</w:t>
            </w:r>
            <w:r>
              <w:rPr>
                <w:rStyle w:val="70"/>
              </w:rPr>
              <w:t>事态失控，设法脱险。</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Layout w:type="fixed"/>
          <w:tblCellMar>
            <w:top w:w="0" w:type="dxa"/>
            <w:left w:w="0" w:type="dxa"/>
            <w:bottom w:w="0" w:type="dxa"/>
            <w:right w:w="0" w:type="dxa"/>
          </w:tblCellMar>
        </w:tblPrEx>
        <w:trPr>
          <w:trHeight w:val="3524"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自然灾害</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运用电话、警报器、呼喊、自动报警等方式发出警报信号。                                                      </w:t>
            </w:r>
            <w:r>
              <w:rPr>
                <w:rStyle w:val="71"/>
              </w:rPr>
              <w:t>2.抢险:</w:t>
            </w:r>
            <w:r>
              <w:rPr>
                <w:rStyle w:val="70"/>
              </w:rPr>
              <w:t xml:space="preserve">立即停止加油作业，停泵关阀断电，疏散车辆；确保员工和外来人员人身安全，运用现场抢险救灾工具，开展自救，参加抢险，做好接应救援准备。                                                                                                       </w:t>
            </w:r>
            <w:r>
              <w:rPr>
                <w:rStyle w:val="71"/>
              </w:rPr>
              <w:t>3.撤离:</w:t>
            </w:r>
            <w:r>
              <w:rPr>
                <w:rStyle w:val="70"/>
              </w:rPr>
              <w:t>事态失控要设法脱险。</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Layout w:type="fixed"/>
          <w:tblCellMar>
            <w:top w:w="0" w:type="dxa"/>
            <w:left w:w="0" w:type="dxa"/>
            <w:bottom w:w="0" w:type="dxa"/>
            <w:right w:w="0" w:type="dxa"/>
          </w:tblCellMar>
        </w:tblPrEx>
        <w:trPr>
          <w:trHeight w:val="5857"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环境污染</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发生少量的跑冒油时，按抢险程序及时处理，发生大量的跑冒油及环境污染时，立即报警。                                                                                  </w:t>
            </w:r>
            <w:r>
              <w:rPr>
                <w:rStyle w:val="71"/>
              </w:rPr>
              <w:t>2.抢险:</w:t>
            </w:r>
            <w:r>
              <w:rPr>
                <w:rStyle w:val="70"/>
              </w:rPr>
              <w:t xml:space="preserve">立即停止加油作业，阻断跑冒油来源；油品泄漏区禁止起动车辆和电气保持原状态；迅速设置临时围堰，用拖把、面纱、毛巾等纯棉织物回收落地油，来不及回收的尽量用沙土覆盖，待充分吸收残油后，清除沙土，就近回收含有污水；油品流入排水沟要设置临时隔油设施，防止油品流入城市管网或下水沟；沿途预警，阻断外部起火窜入的途径。                                                                                                                           </w:t>
            </w:r>
            <w:r>
              <w:rPr>
                <w:rStyle w:val="71"/>
              </w:rPr>
              <w:t>3.急救:</w:t>
            </w:r>
            <w:r>
              <w:rPr>
                <w:rStyle w:val="70"/>
              </w:rPr>
              <w:t>将中毒或受伤人员转移到安全区，作必要救护。</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Layout w:type="fixed"/>
          <w:tblCellMar>
            <w:top w:w="0" w:type="dxa"/>
            <w:left w:w="0" w:type="dxa"/>
            <w:bottom w:w="0" w:type="dxa"/>
            <w:right w:w="0" w:type="dxa"/>
          </w:tblCellMar>
        </w:tblPrEx>
        <w:trPr>
          <w:trHeight w:val="3524"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数质量纠纷</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1.报告:</w:t>
            </w:r>
            <w:r>
              <w:rPr>
                <w:rStyle w:val="70"/>
              </w:rPr>
              <w:t xml:space="preserve"> 立即向经理报告。                                                                                                                             </w:t>
            </w:r>
            <w:r>
              <w:rPr>
                <w:rStyle w:val="71"/>
              </w:rPr>
              <w:t>2.处理:</w:t>
            </w:r>
            <w:r>
              <w:rPr>
                <w:rStyle w:val="70"/>
              </w:rPr>
              <w:t>请客户进办公室协商，缓和气氛；倾听客户意见，查看相关票据；向客户出具当地部门出具的计量检定证明等资料，解释相关规定和政策，协商处理办法。质量投诉，做好现场抽检工作，对投诉油品取样送检。</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Layout w:type="fixed"/>
          <w:tblCellMar>
            <w:top w:w="0" w:type="dxa"/>
            <w:left w:w="0" w:type="dxa"/>
            <w:bottom w:w="0" w:type="dxa"/>
            <w:right w:w="0" w:type="dxa"/>
          </w:tblCellMar>
        </w:tblPrEx>
        <w:trPr>
          <w:trHeight w:val="2357"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新闻危机</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 xml:space="preserve">1.报告: </w:t>
            </w:r>
            <w:r>
              <w:rPr>
                <w:rStyle w:val="70"/>
              </w:rPr>
              <w:t xml:space="preserve">立即向上级报告。                                                                                                               </w:t>
            </w:r>
            <w:r>
              <w:rPr>
                <w:rStyle w:val="71"/>
              </w:rPr>
              <w:t>2.处理:</w:t>
            </w:r>
            <w:r>
              <w:rPr>
                <w:rStyle w:val="70"/>
              </w:rPr>
              <w:t>依照预案标准语言答复记者提问，婉拒诱导性、假设性和不确定的问题；警惕记者暗访，婉拒客户提出的与服务无关的问题，请客户与上级联系。</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Layout w:type="fixed"/>
          <w:tblCellMar>
            <w:top w:w="0" w:type="dxa"/>
            <w:left w:w="0" w:type="dxa"/>
            <w:bottom w:w="0" w:type="dxa"/>
            <w:right w:w="0" w:type="dxa"/>
          </w:tblCellMar>
        </w:tblPrEx>
        <w:trPr>
          <w:trHeight w:val="5857"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4</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收银员</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按照应急预案参与应急行动，执行应急指挥命令。</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火灾爆炸事故</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 初期局部火灾先行灭火，火势较大及时报警。                                                                                 </w:t>
            </w:r>
            <w:r>
              <w:rPr>
                <w:rStyle w:val="71"/>
              </w:rPr>
              <w:t>2.抢险:</w:t>
            </w:r>
            <w:r>
              <w:rPr>
                <w:rStyle w:val="70"/>
              </w:rPr>
              <w:t xml:space="preserve"> 立即关闭相关阀门，停止加油；用现场配置的消防器材设备对着火部实施扑救，阻止火势蔓延；切断电源；对火灾现场附近的易燃易爆物质进行清除、隔离控制火源；组织、指挥加油车辆闲杂人员撤出加油站；转移加油现场的各种票据和资料；完成抢险组下达的其他任务。                                                                     </w:t>
            </w:r>
            <w:r>
              <w:rPr>
                <w:rStyle w:val="71"/>
              </w:rPr>
              <w:t>3.撤离:</w:t>
            </w:r>
            <w:r>
              <w:rPr>
                <w:rStyle w:val="70"/>
              </w:rPr>
              <w:t>将受伤人员撤离到安全区域，作必要的救护；火焰威胁人员安全时，从上风向撤离，按照应急疏散指示方向或选择距隔离区最近路线撤离。</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ind w:firstLine="0" w:firstLineChars="0"/>
            </w:pPr>
            <w:r>
              <w:rPr>
                <w:rFonts w:hint="eastAsia" w:ascii="仿宋_GB2312" w:hAnsi="宋体"/>
                <w:color w:val="000000"/>
                <w:sz w:val="24"/>
                <w:lang w:eastAsia="zh-CN"/>
              </w:rPr>
              <w:t>刘沧锐</w:t>
            </w:r>
            <w:r>
              <w:rPr>
                <w:rFonts w:hint="eastAsia" w:ascii="仿宋_GB2312" w:hAnsi="宋体" w:eastAsia="仿宋_GB2312"/>
                <w:color w:val="000000"/>
                <w:sz w:val="24"/>
              </w:rPr>
              <w:t>、</w:t>
            </w:r>
            <w:r>
              <w:rPr>
                <w:rFonts w:hint="eastAsia" w:ascii="仿宋_GB2312" w:hAnsi="宋体"/>
                <w:color w:val="000000"/>
                <w:sz w:val="24"/>
                <w:lang w:val="en-US" w:eastAsia="zh-CN"/>
              </w:rPr>
              <w:t>刘波、母小菊</w:t>
            </w:r>
          </w:p>
        </w:tc>
      </w:tr>
      <w:tr>
        <w:tblPrEx>
          <w:tblLayout w:type="fixed"/>
          <w:tblCellMar>
            <w:top w:w="0" w:type="dxa"/>
            <w:left w:w="0" w:type="dxa"/>
            <w:bottom w:w="0" w:type="dxa"/>
            <w:right w:w="0" w:type="dxa"/>
          </w:tblCellMar>
        </w:tblPrEx>
        <w:trPr>
          <w:trHeight w:val="469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防恐反恐</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 尽可能保持冷静和警惕，马上向上级及当地公安、派出所等报警。                                                                                                                </w:t>
            </w:r>
            <w:r>
              <w:rPr>
                <w:rStyle w:val="71"/>
              </w:rPr>
              <w:t xml:space="preserve"> 2.抢险:</w:t>
            </w:r>
            <w:r>
              <w:rPr>
                <w:rStyle w:val="70"/>
              </w:rPr>
              <w:t xml:space="preserve">停止作业，设备复位，控制局面，防止人员伤亡，防止损失扩大；尽量与恐怖分子周旋，不与恐怖分子发生正面冲突，记住恐怖事件的关键特征，做好接应救援准备；保护现场；如有人员伤亡，启动“人员伤亡”紧急处理程序。                                                                                                                    </w:t>
            </w:r>
            <w:r>
              <w:rPr>
                <w:rStyle w:val="71"/>
              </w:rPr>
              <w:t>3.撤离:</w:t>
            </w:r>
            <w:r>
              <w:rPr>
                <w:rStyle w:val="70"/>
              </w:rPr>
              <w:t>事态失控，设法脱险。</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Layout w:type="fixed"/>
          <w:tblCellMar>
            <w:top w:w="0" w:type="dxa"/>
            <w:left w:w="0" w:type="dxa"/>
            <w:bottom w:w="0" w:type="dxa"/>
            <w:right w:w="0" w:type="dxa"/>
          </w:tblCellMar>
        </w:tblPrEx>
        <w:trPr>
          <w:trHeight w:val="3524"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自然灾害</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运用电话、警报器、呼喊、自动报警等方式发出警报信号。                                                      </w:t>
            </w:r>
            <w:r>
              <w:rPr>
                <w:rStyle w:val="71"/>
              </w:rPr>
              <w:t>2.抢险:</w:t>
            </w:r>
            <w:r>
              <w:rPr>
                <w:rStyle w:val="70"/>
              </w:rPr>
              <w:t xml:space="preserve">立即停止加油作业，停泵关阀断电，疏散车辆；确保员工和外来人员人身安全，运用现场抢险救灾工具，开展自救，参加抢险，做好接应救援准备。                                                                                                       </w:t>
            </w:r>
            <w:r>
              <w:rPr>
                <w:rStyle w:val="71"/>
              </w:rPr>
              <w:t>3.撤离:</w:t>
            </w:r>
            <w:r>
              <w:rPr>
                <w:rStyle w:val="70"/>
              </w:rPr>
              <w:t>事态失控要设法脱险。</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Layout w:type="fixed"/>
          <w:tblCellMar>
            <w:top w:w="0" w:type="dxa"/>
            <w:left w:w="0" w:type="dxa"/>
            <w:bottom w:w="0" w:type="dxa"/>
            <w:right w:w="0" w:type="dxa"/>
          </w:tblCellMar>
        </w:tblPrEx>
        <w:trPr>
          <w:trHeight w:val="5857"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环境污染</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发生少量的跑冒油时，按抢险程序及时处理，发生大量的跑冒油及环境污染时，立即报警。                                                                                  </w:t>
            </w:r>
            <w:r>
              <w:rPr>
                <w:rStyle w:val="71"/>
              </w:rPr>
              <w:t>2.抢险:</w:t>
            </w:r>
            <w:r>
              <w:rPr>
                <w:rStyle w:val="70"/>
              </w:rPr>
              <w:t xml:space="preserve">立即停止加油作业，阻断跑冒油来源；油品泄漏区禁止起动车辆和电气保持原状态；迅速设置临时围堰，用拖把、面纱、毛巾等纯棉织物回收落地油，来不及回收的尽量用沙土覆盖，待充分吸收残油后，清除沙土，就近回收含有污水；油品流入排水沟要设置临时隔油设施，防止油品流入城市管网或下水沟；沿途预警，阻断外部起火窜入的途径。                                                                                                                           </w:t>
            </w:r>
            <w:r>
              <w:rPr>
                <w:rStyle w:val="71"/>
              </w:rPr>
              <w:t>3.急救:</w:t>
            </w:r>
            <w:r>
              <w:rPr>
                <w:rStyle w:val="70"/>
              </w:rPr>
              <w:t>将中毒或受伤人员转移到安全区，作必要救护。</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Layout w:type="fixed"/>
          <w:tblCellMar>
            <w:top w:w="0" w:type="dxa"/>
            <w:left w:w="0" w:type="dxa"/>
            <w:bottom w:w="0" w:type="dxa"/>
            <w:right w:w="0" w:type="dxa"/>
          </w:tblCellMar>
        </w:tblPrEx>
        <w:trPr>
          <w:trHeight w:val="3524"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数质量纠纷</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1.报告:</w:t>
            </w:r>
            <w:r>
              <w:rPr>
                <w:rStyle w:val="70"/>
              </w:rPr>
              <w:t xml:space="preserve"> 立即向经理报告。                                                                                                                             </w:t>
            </w:r>
            <w:r>
              <w:rPr>
                <w:rStyle w:val="71"/>
              </w:rPr>
              <w:t>2.处理:</w:t>
            </w:r>
            <w:r>
              <w:rPr>
                <w:rStyle w:val="70"/>
              </w:rPr>
              <w:t>请客户进办公室协商，缓和气氛；倾听客户意见，查看相关票据；向客户出具当地部门出具的计量检定证明等资料，解释相关规定和政策，协商处理办法。质量投诉，做好现场抽检工作，对投诉油品取样送检。</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Layout w:type="fixed"/>
          <w:tblCellMar>
            <w:top w:w="0" w:type="dxa"/>
            <w:left w:w="0" w:type="dxa"/>
            <w:bottom w:w="0" w:type="dxa"/>
            <w:right w:w="0" w:type="dxa"/>
          </w:tblCellMar>
        </w:tblPrEx>
        <w:trPr>
          <w:trHeight w:val="2357"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新闻危机</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 xml:space="preserve">1.报告: </w:t>
            </w:r>
            <w:r>
              <w:rPr>
                <w:rStyle w:val="70"/>
              </w:rPr>
              <w:t xml:space="preserve">立即向上级报告。                                                                                                               </w:t>
            </w:r>
            <w:r>
              <w:rPr>
                <w:rStyle w:val="71"/>
              </w:rPr>
              <w:t>2.处理:</w:t>
            </w:r>
            <w:r>
              <w:rPr>
                <w:rStyle w:val="70"/>
              </w:rPr>
              <w:t>依照预案标准语言答复记者提问，婉拒诱导性、假设性和不确定的问题；警惕记者暗访，婉拒客户提出的与服务无关的问题，请客户与上级联系。</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r>
              <w:rPr>
                <w:rFonts w:hint="eastAsia" w:ascii="仿宋_GB2312" w:hAnsi="宋体" w:eastAsia="仿宋_GB2312"/>
                <w:color w:val="000000"/>
                <w:sz w:val="24"/>
                <w:lang w:eastAsia="zh-CN"/>
              </w:rPr>
              <w:t>刘沧锐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Layout w:type="fixed"/>
          <w:tblCellMar>
            <w:top w:w="0" w:type="dxa"/>
            <w:left w:w="0" w:type="dxa"/>
            <w:bottom w:w="0" w:type="dxa"/>
            <w:right w:w="0" w:type="dxa"/>
          </w:tblCellMar>
        </w:tblPrEx>
        <w:trPr>
          <w:trHeight w:val="5857"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5</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加油员</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按照应急预案参与应急行动，执行应急指挥命令。</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火灾爆炸事故</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 初期局部火灾先行灭火，火势较大及时报警。                                                                                 </w:t>
            </w:r>
            <w:r>
              <w:rPr>
                <w:rStyle w:val="71"/>
              </w:rPr>
              <w:t>2.抢险:</w:t>
            </w:r>
            <w:r>
              <w:rPr>
                <w:rStyle w:val="70"/>
              </w:rPr>
              <w:t xml:space="preserve"> 立即关闭相关阀门，停止加油；用现场配置的消防器材设备对着火部实施扑救，阻止火势蔓延；切断电源；对火灾现场附近的易燃易爆物质进行清除、隔离控制火源；组织、指挥加油车辆闲杂人员撤出加油站；转移加油现场的各种票据和资料；完成抢险组下达的其他任务。                                                                     </w:t>
            </w:r>
            <w:r>
              <w:rPr>
                <w:rStyle w:val="71"/>
              </w:rPr>
              <w:t>3.撤离:</w:t>
            </w:r>
            <w:r>
              <w:rPr>
                <w:rStyle w:val="70"/>
              </w:rPr>
              <w:t>将受伤人员撤离到安全区域，作必要的救护；火焰威胁人员安全时，从上风向撤离，按照应急疏散指示方向或选择距隔离区最近路线撤离。</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ind w:firstLine="0" w:firstLineChars="0"/>
              <w:rPr>
                <w:sz w:val="28"/>
                <w:szCs w:val="36"/>
              </w:rPr>
            </w:pPr>
            <w:r>
              <w:rPr>
                <w:rFonts w:hint="eastAsia" w:ascii="仿宋_GB2312" w:hAnsi="宋体"/>
                <w:color w:val="000000"/>
                <w:sz w:val="24"/>
                <w:lang w:eastAsia="zh-CN"/>
              </w:rPr>
              <w:t>刘沧锐</w:t>
            </w:r>
            <w:r>
              <w:rPr>
                <w:rFonts w:hint="eastAsia" w:ascii="仿宋_GB2312" w:hAnsi="宋体" w:eastAsia="仿宋_GB2312"/>
                <w:color w:val="000000"/>
                <w:sz w:val="24"/>
              </w:rPr>
              <w:t>、</w:t>
            </w:r>
            <w:r>
              <w:rPr>
                <w:rFonts w:hint="eastAsia" w:ascii="仿宋_GB2312" w:hAnsi="宋体"/>
                <w:color w:val="000000"/>
                <w:sz w:val="24"/>
                <w:lang w:val="en-US" w:eastAsia="zh-CN"/>
              </w:rPr>
              <w:t>刘波、母小菊</w:t>
            </w:r>
          </w:p>
          <w:p>
            <w:pPr>
              <w:pStyle w:val="2"/>
              <w:ind w:firstLine="0" w:firstLineChars="0"/>
            </w:pPr>
          </w:p>
        </w:tc>
      </w:tr>
      <w:tr>
        <w:tblPrEx>
          <w:tblLayout w:type="fixed"/>
          <w:tblCellMar>
            <w:top w:w="0" w:type="dxa"/>
            <w:left w:w="0" w:type="dxa"/>
            <w:bottom w:w="0" w:type="dxa"/>
            <w:right w:w="0" w:type="dxa"/>
          </w:tblCellMar>
        </w:tblPrEx>
        <w:trPr>
          <w:trHeight w:val="469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防恐反恐</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 尽可能保持冷静和警惕，马上向上级及当地公安、派出所等报警。                                                                                                                </w:t>
            </w:r>
            <w:r>
              <w:rPr>
                <w:rStyle w:val="71"/>
              </w:rPr>
              <w:t xml:space="preserve"> 2.抢险:</w:t>
            </w:r>
            <w:r>
              <w:rPr>
                <w:rStyle w:val="70"/>
              </w:rPr>
              <w:t xml:space="preserve">停止作业，设备复位，控制局面，防止人员伤亡，防止损失扩大；尽量与恐怖分子周旋，不与恐怖分子发生正面冲突，记住恐怖事件的关键特征，做好接应救援准备；保护现场；如有人员伤亡，启动“人员伤亡”紧急处理程序。                                                                                                                    </w:t>
            </w:r>
            <w:r>
              <w:rPr>
                <w:rStyle w:val="71"/>
              </w:rPr>
              <w:t>3.撤离:</w:t>
            </w:r>
            <w:r>
              <w:rPr>
                <w:rStyle w:val="70"/>
              </w:rPr>
              <w:t>事态失控，设法脱险。</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ind w:firstLine="0" w:firstLineChars="0"/>
            </w:pPr>
            <w:r>
              <w:rPr>
                <w:rFonts w:hint="eastAsia" w:ascii="仿宋_GB2312" w:hAnsi="宋体"/>
                <w:color w:val="000000"/>
                <w:sz w:val="24"/>
                <w:lang w:eastAsia="zh-CN"/>
              </w:rPr>
              <w:t>刘沧锐</w:t>
            </w:r>
            <w:r>
              <w:rPr>
                <w:rFonts w:hint="eastAsia" w:ascii="仿宋_GB2312" w:hAnsi="宋体" w:eastAsia="仿宋_GB2312"/>
                <w:color w:val="000000"/>
                <w:sz w:val="24"/>
              </w:rPr>
              <w:t>、</w:t>
            </w:r>
            <w:r>
              <w:rPr>
                <w:rFonts w:hint="eastAsia" w:ascii="仿宋_GB2312" w:hAnsi="宋体"/>
                <w:color w:val="000000"/>
                <w:sz w:val="24"/>
                <w:lang w:val="en-US" w:eastAsia="zh-CN"/>
              </w:rPr>
              <w:t>刘波、母小菊</w:t>
            </w:r>
          </w:p>
          <w:p>
            <w:pPr>
              <w:pStyle w:val="2"/>
              <w:ind w:firstLine="0" w:firstLineChars="0"/>
            </w:pPr>
          </w:p>
        </w:tc>
      </w:tr>
      <w:tr>
        <w:tblPrEx>
          <w:tblLayout w:type="fixed"/>
          <w:tblCellMar>
            <w:top w:w="0" w:type="dxa"/>
            <w:left w:w="0" w:type="dxa"/>
            <w:bottom w:w="0" w:type="dxa"/>
            <w:right w:w="0" w:type="dxa"/>
          </w:tblCellMar>
        </w:tblPrEx>
        <w:trPr>
          <w:trHeight w:val="3524"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自然灾害</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运用电话、警报器、呼喊、自动报警等方式发出警报信号。                                                      </w:t>
            </w:r>
            <w:r>
              <w:rPr>
                <w:rStyle w:val="71"/>
              </w:rPr>
              <w:t>2.抢险:</w:t>
            </w:r>
            <w:r>
              <w:rPr>
                <w:rStyle w:val="70"/>
              </w:rPr>
              <w:t xml:space="preserve">立即停止加油作业，停泵关阀断电，疏散车辆；确保员工和外来人员人身安全，运用现场抢险救灾工具，开展自救，参加抢险，做好接应救援准备。                                                                                                       </w:t>
            </w:r>
            <w:r>
              <w:rPr>
                <w:rStyle w:val="71"/>
              </w:rPr>
              <w:t>3.撤离:</w:t>
            </w:r>
            <w:r>
              <w:rPr>
                <w:rStyle w:val="70"/>
              </w:rPr>
              <w:t>事态失控要设法脱险。</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r>
              <w:rPr>
                <w:rFonts w:hint="eastAsia" w:ascii="仿宋_GB2312" w:hAnsi="宋体" w:eastAsia="仿宋_GB2312"/>
                <w:color w:val="000000"/>
                <w:sz w:val="24"/>
                <w:lang w:val="en-US" w:eastAsia="zh-CN"/>
              </w:rPr>
              <w:t>刘</w:t>
            </w:r>
            <w:r>
              <w:rPr>
                <w:rFonts w:hint="eastAsia" w:ascii="仿宋_GB2312" w:hAnsi="宋体" w:eastAsia="仿宋_GB2312"/>
                <w:color w:val="000000"/>
                <w:sz w:val="24"/>
                <w:lang w:eastAsia="zh-CN"/>
              </w:rPr>
              <w:t>沧锐</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刘波、母小菊</w:t>
            </w:r>
          </w:p>
        </w:tc>
      </w:tr>
      <w:tr>
        <w:tblPrEx>
          <w:tblLayout w:type="fixed"/>
          <w:tblCellMar>
            <w:top w:w="0" w:type="dxa"/>
            <w:left w:w="0" w:type="dxa"/>
            <w:bottom w:w="0" w:type="dxa"/>
            <w:right w:w="0" w:type="dxa"/>
          </w:tblCellMar>
        </w:tblPrEx>
        <w:trPr>
          <w:trHeight w:val="5857"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环境污染</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1.报警:</w:t>
            </w:r>
            <w:r>
              <w:rPr>
                <w:rStyle w:val="70"/>
              </w:rPr>
              <w:t xml:space="preserve">发生少量的跑冒油时，按抢险程序及时处理，发生大量的跑冒油及环境污染时，立即报警。                                                                                  </w:t>
            </w:r>
            <w:r>
              <w:rPr>
                <w:rStyle w:val="71"/>
              </w:rPr>
              <w:t>2.抢险:</w:t>
            </w:r>
            <w:r>
              <w:rPr>
                <w:rStyle w:val="70"/>
              </w:rPr>
              <w:t xml:space="preserve">立即停止加油作业，阻断跑冒油来源；油品泄漏区禁止起动车辆和电气保持原状态；迅速设置临时围堰，用拖把、面纱、毛巾等纯棉织物回收落地油，来不及回收的尽量用沙土覆盖，待充分吸收残油后，清除沙土，就近回收含有污水；油品流入排水沟要设置临时隔油设施，防止油品流入城市管网或下水沟；沿途预警，阻断外部起火窜入的途径。                                                                                                                           </w:t>
            </w:r>
            <w:r>
              <w:rPr>
                <w:rStyle w:val="71"/>
              </w:rPr>
              <w:t>3.急救:</w:t>
            </w:r>
            <w:r>
              <w:rPr>
                <w:rStyle w:val="70"/>
              </w:rPr>
              <w:t>将中毒或受伤人员转移到安全区，作必要救护。</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ind w:firstLine="0" w:firstLineChars="0"/>
            </w:pPr>
            <w:r>
              <w:rPr>
                <w:rFonts w:hint="eastAsia" w:ascii="仿宋_GB2312" w:hAnsi="宋体"/>
                <w:color w:val="000000"/>
                <w:sz w:val="24"/>
                <w:lang w:eastAsia="zh-CN"/>
              </w:rPr>
              <w:t>刘沧锐</w:t>
            </w:r>
            <w:r>
              <w:rPr>
                <w:rFonts w:hint="eastAsia" w:ascii="仿宋_GB2312" w:hAnsi="宋体" w:eastAsia="仿宋_GB2312"/>
                <w:color w:val="000000"/>
                <w:sz w:val="24"/>
              </w:rPr>
              <w:t>、</w:t>
            </w:r>
            <w:r>
              <w:rPr>
                <w:rFonts w:hint="eastAsia" w:ascii="仿宋_GB2312" w:hAnsi="宋体"/>
                <w:color w:val="000000"/>
                <w:sz w:val="24"/>
                <w:lang w:val="en-US" w:eastAsia="zh-CN"/>
              </w:rPr>
              <w:t>刘波、母小菊</w:t>
            </w:r>
          </w:p>
          <w:p>
            <w:pPr>
              <w:pStyle w:val="2"/>
              <w:ind w:firstLine="0" w:firstLineChars="0"/>
              <w:rPr>
                <w:sz w:val="24"/>
                <w:szCs w:val="32"/>
              </w:rPr>
            </w:pPr>
          </w:p>
          <w:p>
            <w:pP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3524"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数质量纠纷</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1.报告:</w:t>
            </w:r>
            <w:r>
              <w:rPr>
                <w:rStyle w:val="70"/>
              </w:rPr>
              <w:t xml:space="preserve"> 立即向经理报告。                                                                                                                             </w:t>
            </w:r>
            <w:r>
              <w:rPr>
                <w:rStyle w:val="71"/>
              </w:rPr>
              <w:t>2.处理:</w:t>
            </w:r>
            <w:r>
              <w:rPr>
                <w:rStyle w:val="70"/>
              </w:rPr>
              <w:t>请客户进办公室协商，缓和气氛；倾听客户意见，查看相关票据；向客户出具当地部门出具的计量检定证明等资料，解释相关规定和政策，协商处理办法。质量投诉，做好现场抽检工作，对投诉油品取样送检。</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ind w:firstLine="0" w:firstLineChars="0"/>
              <w:rPr>
                <w:sz w:val="24"/>
                <w:szCs w:val="32"/>
              </w:rPr>
            </w:pPr>
            <w:r>
              <w:rPr>
                <w:rFonts w:hint="eastAsia" w:ascii="仿宋_GB2312" w:hAnsi="宋体"/>
                <w:color w:val="000000"/>
                <w:sz w:val="24"/>
                <w:lang w:eastAsia="zh-CN"/>
              </w:rPr>
              <w:t>刘</w:t>
            </w:r>
            <w:bookmarkStart w:id="11" w:name="_GoBack"/>
            <w:bookmarkEnd w:id="11"/>
            <w:r>
              <w:rPr>
                <w:rFonts w:hint="eastAsia" w:ascii="仿宋_GB2312" w:hAnsi="宋体"/>
                <w:color w:val="000000"/>
                <w:sz w:val="24"/>
                <w:lang w:eastAsia="zh-CN"/>
              </w:rPr>
              <w:t>沧锐</w:t>
            </w:r>
            <w:r>
              <w:rPr>
                <w:rFonts w:hint="eastAsia" w:ascii="仿宋_GB2312" w:hAnsi="宋体" w:eastAsia="仿宋_GB2312"/>
                <w:color w:val="000000"/>
                <w:sz w:val="24"/>
              </w:rPr>
              <w:t>、</w:t>
            </w:r>
            <w:r>
              <w:rPr>
                <w:rFonts w:hint="eastAsia" w:ascii="仿宋_GB2312" w:hAnsi="宋体"/>
                <w:color w:val="000000"/>
                <w:sz w:val="24"/>
                <w:lang w:val="en-US" w:eastAsia="zh-CN"/>
              </w:rPr>
              <w:t>刘波、母小菊</w:t>
            </w:r>
          </w:p>
          <w:p>
            <w:pP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366"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简体" w:hAnsi="方正仿宋简体" w:eastAsia="方正仿宋简体" w:cs="方正仿宋简体"/>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简体" w:hAnsi="方正仿宋简体" w:eastAsia="方正仿宋简体" w:cs="方正仿宋简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简体" w:hAnsi="方正仿宋简体" w:eastAsia="方正仿宋简体" w:cs="方正仿宋简体"/>
                <w:color w:val="000000"/>
                <w:sz w:val="20"/>
                <w:szCs w:val="20"/>
              </w:rPr>
            </w:pPr>
            <w:r>
              <w:rPr>
                <w:rFonts w:ascii="方正仿宋简体" w:hAnsi="方正仿宋简体" w:eastAsia="方正仿宋简体" w:cs="方正仿宋简体"/>
                <w:color w:val="000000"/>
                <w:kern w:val="0"/>
                <w:sz w:val="20"/>
                <w:szCs w:val="20"/>
              </w:rPr>
              <w:t>新闻危机</w:t>
            </w:r>
          </w:p>
        </w:tc>
        <w:tc>
          <w:tcPr>
            <w:tcW w:w="5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简体" w:hAnsi="方正仿宋简体" w:eastAsia="方正仿宋简体" w:cs="方正仿宋简体"/>
                <w:b/>
                <w:color w:val="000000"/>
                <w:sz w:val="20"/>
                <w:szCs w:val="20"/>
              </w:rPr>
            </w:pPr>
            <w:r>
              <w:rPr>
                <w:rFonts w:ascii="方正仿宋简体" w:hAnsi="方正仿宋简体" w:eastAsia="方正仿宋简体" w:cs="方正仿宋简体"/>
                <w:b/>
                <w:color w:val="000000"/>
                <w:kern w:val="0"/>
                <w:sz w:val="20"/>
                <w:szCs w:val="20"/>
              </w:rPr>
              <w:t xml:space="preserve">1.报告: </w:t>
            </w:r>
            <w:r>
              <w:rPr>
                <w:rStyle w:val="70"/>
              </w:rPr>
              <w:t xml:space="preserve">立即向上级报告。                                                                                                               </w:t>
            </w:r>
            <w:r>
              <w:rPr>
                <w:rStyle w:val="71"/>
              </w:rPr>
              <w:t>2.处理:</w:t>
            </w:r>
            <w:r>
              <w:rPr>
                <w:rStyle w:val="70"/>
              </w:rPr>
              <w:t>依照预案标准语言答复记者提问，婉拒诱导性、假设性和不确定的问题；警惕记者暗访，婉拒客户提出的与服务无关的问题，请客户与上级联系。</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ind w:firstLine="0" w:firstLineChars="0"/>
              <w:rPr>
                <w:sz w:val="24"/>
                <w:szCs w:val="32"/>
              </w:rPr>
            </w:pPr>
            <w:r>
              <w:rPr>
                <w:rFonts w:hint="eastAsia" w:ascii="仿宋_GB2312" w:hAnsi="宋体"/>
                <w:color w:val="000000"/>
                <w:sz w:val="24"/>
                <w:lang w:eastAsia="zh-CN"/>
              </w:rPr>
              <w:t>刘沧锐</w:t>
            </w:r>
            <w:r>
              <w:rPr>
                <w:rFonts w:hint="eastAsia" w:ascii="仿宋_GB2312" w:hAnsi="宋体" w:eastAsia="仿宋_GB2312"/>
                <w:color w:val="000000"/>
                <w:sz w:val="24"/>
              </w:rPr>
              <w:t>、</w:t>
            </w:r>
            <w:r>
              <w:rPr>
                <w:rFonts w:hint="eastAsia" w:ascii="仿宋_GB2312" w:hAnsi="宋体"/>
                <w:color w:val="000000"/>
                <w:sz w:val="24"/>
                <w:lang w:val="en-US" w:eastAsia="zh-CN"/>
              </w:rPr>
              <w:t>刘波、母小菊</w:t>
            </w:r>
          </w:p>
          <w:p>
            <w:pPr>
              <w:rPr>
                <w:rFonts w:ascii="宋体" w:hAnsi="宋体" w:eastAsia="宋体" w:cs="宋体"/>
                <w:color w:val="000000"/>
                <w:sz w:val="24"/>
                <w:szCs w:val="24"/>
              </w:rPr>
            </w:pPr>
          </w:p>
        </w:tc>
      </w:tr>
    </w:tbl>
    <w:p>
      <w:pPr>
        <w:adjustRightInd w:val="0"/>
        <w:snapToGrid w:val="0"/>
        <w:spacing w:line="560" w:lineRule="exact"/>
        <w:rPr>
          <w:rFonts w:ascii="宋体" w:hAnsi="宋体"/>
          <w:b/>
          <w:sz w:val="24"/>
        </w:rPr>
      </w:pPr>
    </w:p>
    <w:p>
      <w:pPr>
        <w:adjustRightInd w:val="0"/>
        <w:snapToGrid w:val="0"/>
        <w:spacing w:line="560" w:lineRule="exact"/>
        <w:rPr>
          <w:rFonts w:ascii="宋体" w:hAnsi="宋体"/>
          <w:b/>
          <w:sz w:val="24"/>
        </w:rPr>
      </w:pPr>
    </w:p>
    <w:p>
      <w:pPr>
        <w:pStyle w:val="2"/>
        <w:ind w:firstLine="281"/>
        <w:jc w:val="center"/>
        <w:rPr>
          <w:rFonts w:asciiTheme="minorEastAsia" w:hAnsiTheme="minorEastAsia" w:eastAsiaTheme="minorEastAsia" w:cstheme="minorEastAsia"/>
          <w:b/>
          <w:sz w:val="28"/>
          <w:szCs w:val="28"/>
        </w:rPr>
      </w:pPr>
    </w:p>
    <w:p>
      <w:pPr>
        <w:pStyle w:val="2"/>
        <w:ind w:firstLine="281"/>
        <w:jc w:val="center"/>
        <w:rPr>
          <w:rFonts w:asciiTheme="minorEastAsia" w:hAnsiTheme="minorEastAsia" w:eastAsiaTheme="minorEastAsia" w:cstheme="minorEastAsia"/>
          <w:b/>
          <w:sz w:val="28"/>
          <w:szCs w:val="28"/>
        </w:rPr>
      </w:pPr>
    </w:p>
    <w:p>
      <w:pPr>
        <w:pStyle w:val="2"/>
        <w:ind w:firstLine="281"/>
        <w:jc w:val="center"/>
        <w:rPr>
          <w:rFonts w:asciiTheme="minorEastAsia" w:hAnsiTheme="minorEastAsia" w:eastAsiaTheme="minorEastAsia" w:cstheme="minorEastAsia"/>
          <w:b/>
          <w:sz w:val="28"/>
          <w:szCs w:val="28"/>
        </w:rPr>
      </w:pPr>
    </w:p>
    <w:p>
      <w:pPr>
        <w:pStyle w:val="2"/>
        <w:ind w:firstLine="281"/>
        <w:jc w:val="center"/>
        <w:rPr>
          <w:rFonts w:asciiTheme="minorEastAsia" w:hAnsiTheme="minorEastAsia" w:eastAsiaTheme="minorEastAsia" w:cstheme="minorEastAsia"/>
          <w:b/>
          <w:sz w:val="28"/>
          <w:szCs w:val="28"/>
        </w:rPr>
      </w:pPr>
    </w:p>
    <w:p>
      <w:pPr>
        <w:pStyle w:val="2"/>
        <w:ind w:firstLine="281"/>
        <w:jc w:val="center"/>
        <w:rPr>
          <w:rFonts w:asciiTheme="minorEastAsia" w:hAnsiTheme="minorEastAsia" w:eastAsiaTheme="minorEastAsia" w:cstheme="minorEastAsia"/>
          <w:b/>
          <w:sz w:val="28"/>
          <w:szCs w:val="28"/>
        </w:rPr>
      </w:pPr>
    </w:p>
    <w:p>
      <w:pPr>
        <w:pStyle w:val="2"/>
        <w:ind w:firstLine="281"/>
        <w:jc w:val="center"/>
        <w:rPr>
          <w:rFonts w:asciiTheme="minorEastAsia" w:hAnsiTheme="minorEastAsia" w:eastAsiaTheme="minorEastAsia" w:cstheme="minorEastAsia"/>
          <w:b/>
          <w:sz w:val="28"/>
          <w:szCs w:val="28"/>
        </w:rPr>
      </w:pPr>
    </w:p>
    <w:p>
      <w:pPr>
        <w:pStyle w:val="2"/>
        <w:ind w:firstLine="281"/>
        <w:jc w:val="center"/>
        <w:rPr>
          <w:rFonts w:asciiTheme="minorEastAsia" w:hAnsiTheme="minorEastAsia" w:eastAsiaTheme="minorEastAsia" w:cstheme="minorEastAsia"/>
          <w:b/>
          <w:sz w:val="28"/>
          <w:szCs w:val="28"/>
        </w:rPr>
      </w:pPr>
    </w:p>
    <w:p>
      <w:pPr>
        <w:pStyle w:val="2"/>
        <w:ind w:firstLine="281"/>
        <w:jc w:val="center"/>
        <w:rPr>
          <w:rFonts w:asciiTheme="minorEastAsia" w:hAnsiTheme="minorEastAsia" w:eastAsiaTheme="minorEastAsia" w:cstheme="minorEastAsia"/>
          <w:b/>
          <w:sz w:val="28"/>
          <w:szCs w:val="28"/>
        </w:rPr>
      </w:pPr>
    </w:p>
    <w:p>
      <w:pPr>
        <w:pStyle w:val="2"/>
        <w:ind w:firstLine="281"/>
        <w:jc w:val="center"/>
        <w:rPr>
          <w:rFonts w:asciiTheme="minorEastAsia" w:hAnsiTheme="minorEastAsia" w:eastAsiaTheme="minorEastAsia" w:cstheme="minorEastAsia"/>
          <w:b/>
          <w:sz w:val="28"/>
          <w:szCs w:val="28"/>
        </w:rPr>
      </w:pPr>
    </w:p>
    <w:p>
      <w:pPr>
        <w:pStyle w:val="2"/>
        <w:ind w:firstLine="281"/>
        <w:jc w:val="center"/>
        <w:rPr>
          <w:rFonts w:asciiTheme="minorEastAsia" w:hAnsiTheme="minorEastAsia" w:eastAsiaTheme="minorEastAsia" w:cstheme="minorEastAsia"/>
          <w:b/>
          <w:sz w:val="28"/>
          <w:szCs w:val="28"/>
        </w:rPr>
      </w:pPr>
    </w:p>
    <w:p>
      <w:pPr>
        <w:pStyle w:val="2"/>
        <w:ind w:firstLine="281"/>
        <w:jc w:val="center"/>
        <w:rPr>
          <w:rFonts w:asciiTheme="minorEastAsia" w:hAnsiTheme="minorEastAsia" w:eastAsiaTheme="minorEastAsia" w:cstheme="minorEastAsia"/>
          <w:b/>
          <w:sz w:val="28"/>
          <w:szCs w:val="28"/>
        </w:rPr>
      </w:pPr>
    </w:p>
    <w:p>
      <w:pPr>
        <w:pStyle w:val="2"/>
        <w:ind w:firstLine="281"/>
        <w:jc w:val="center"/>
        <w:rPr>
          <w:rFonts w:asciiTheme="minorEastAsia" w:hAnsiTheme="minorEastAsia" w:eastAsiaTheme="minorEastAsia" w:cstheme="minorEastAsia"/>
          <w:b/>
          <w:sz w:val="28"/>
          <w:szCs w:val="28"/>
        </w:rPr>
      </w:pPr>
    </w:p>
    <w:p>
      <w:pPr>
        <w:pStyle w:val="2"/>
        <w:ind w:firstLine="281"/>
        <w:jc w:val="center"/>
        <w:rPr>
          <w:rFonts w:asciiTheme="minorEastAsia" w:hAnsiTheme="minorEastAsia" w:eastAsiaTheme="minorEastAsia" w:cstheme="minorEastAsia"/>
          <w:b/>
          <w:sz w:val="28"/>
          <w:szCs w:val="28"/>
        </w:rPr>
      </w:pPr>
    </w:p>
    <w:p>
      <w:pPr>
        <w:pStyle w:val="2"/>
        <w:ind w:firstLine="281"/>
        <w:jc w:val="center"/>
        <w:rPr>
          <w:rFonts w:asciiTheme="minorEastAsia" w:hAnsiTheme="minorEastAsia" w:eastAsiaTheme="minorEastAsia" w:cstheme="minorEastAsia"/>
          <w:b/>
          <w:sz w:val="28"/>
          <w:szCs w:val="28"/>
        </w:rPr>
      </w:pPr>
    </w:p>
    <w:p>
      <w:pPr>
        <w:pStyle w:val="2"/>
        <w:ind w:firstLine="281"/>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安全标语标识清单</w:t>
      </w:r>
    </w:p>
    <w:tbl>
      <w:tblPr>
        <w:tblStyle w:val="19"/>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437"/>
        <w:gridCol w:w="1275"/>
        <w:gridCol w:w="648"/>
        <w:gridCol w:w="1579"/>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ascii="宋体" w:hAnsi="宋体"/>
                <w:b/>
              </w:rPr>
            </w:pPr>
            <w:r>
              <w:rPr>
                <w:rFonts w:hint="eastAsia" w:ascii="宋体" w:hAnsi="宋体"/>
                <w:b/>
              </w:rPr>
              <w:t>编号</w:t>
            </w:r>
          </w:p>
        </w:tc>
        <w:tc>
          <w:tcPr>
            <w:tcW w:w="4437" w:type="dxa"/>
            <w:vAlign w:val="center"/>
          </w:tcPr>
          <w:p>
            <w:pPr>
              <w:spacing w:line="360" w:lineRule="auto"/>
              <w:jc w:val="center"/>
              <w:rPr>
                <w:rFonts w:ascii="宋体" w:hAnsi="宋体"/>
                <w:b/>
              </w:rPr>
            </w:pPr>
            <w:r>
              <w:rPr>
                <w:rFonts w:hint="eastAsia" w:ascii="宋体" w:hAnsi="宋体"/>
                <w:b/>
              </w:rPr>
              <w:t>图形标志</w:t>
            </w:r>
          </w:p>
        </w:tc>
        <w:tc>
          <w:tcPr>
            <w:tcW w:w="1275" w:type="dxa"/>
            <w:vAlign w:val="center"/>
          </w:tcPr>
          <w:p>
            <w:pPr>
              <w:spacing w:line="360" w:lineRule="auto"/>
              <w:jc w:val="center"/>
              <w:rPr>
                <w:rFonts w:ascii="宋体" w:hAnsi="宋体"/>
                <w:b/>
              </w:rPr>
            </w:pPr>
            <w:r>
              <w:rPr>
                <w:rFonts w:hint="eastAsia" w:ascii="宋体" w:hAnsi="宋体"/>
                <w:b/>
              </w:rPr>
              <w:t>名称</w:t>
            </w:r>
          </w:p>
        </w:tc>
        <w:tc>
          <w:tcPr>
            <w:tcW w:w="648" w:type="dxa"/>
            <w:vAlign w:val="center"/>
          </w:tcPr>
          <w:p>
            <w:pPr>
              <w:spacing w:line="360" w:lineRule="auto"/>
              <w:jc w:val="center"/>
              <w:rPr>
                <w:rFonts w:ascii="宋体" w:hAnsi="宋体"/>
                <w:b/>
              </w:rPr>
            </w:pPr>
            <w:r>
              <w:rPr>
                <w:rFonts w:hint="eastAsia" w:ascii="宋体" w:hAnsi="宋体"/>
                <w:b/>
              </w:rPr>
              <w:t>标志种类</w:t>
            </w:r>
          </w:p>
        </w:tc>
        <w:tc>
          <w:tcPr>
            <w:tcW w:w="1596" w:type="dxa"/>
            <w:gridSpan w:val="2"/>
            <w:vAlign w:val="center"/>
          </w:tcPr>
          <w:p>
            <w:pPr>
              <w:spacing w:line="360" w:lineRule="auto"/>
              <w:jc w:val="center"/>
              <w:rPr>
                <w:rFonts w:ascii="宋体" w:hAnsi="宋体"/>
                <w:b/>
              </w:rPr>
            </w:pPr>
            <w:r>
              <w:rPr>
                <w:rFonts w:hint="eastAsia" w:ascii="宋体" w:hAnsi="宋体"/>
                <w:b/>
              </w:rPr>
              <w:t>设置范围和地点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ascii="宋体" w:hAnsi="宋体"/>
              </w:rPr>
            </w:pPr>
            <w:r>
              <w:rPr>
                <w:rFonts w:hint="eastAsia" w:ascii="宋体" w:hAnsi="宋体"/>
              </w:rPr>
              <w:t>1－1</w:t>
            </w:r>
          </w:p>
        </w:tc>
        <w:tc>
          <w:tcPr>
            <w:tcW w:w="4437" w:type="dxa"/>
            <w:vAlign w:val="center"/>
          </w:tcPr>
          <w:p>
            <w:pPr>
              <w:spacing w:line="360" w:lineRule="auto"/>
              <w:jc w:val="center"/>
              <w:rPr>
                <w:rFonts w:ascii="宋体" w:hAnsi="宋体"/>
              </w:rPr>
            </w:pPr>
            <w:r>
              <w:rPr>
                <w:rFonts w:hint="eastAsia" w:ascii="宋体" w:hAnsi="宋体" w:cs="Tahoma"/>
                <w:kern w:val="0"/>
                <w:sz w:val="12"/>
                <w:szCs w:val="12"/>
              </w:rPr>
              <w:fldChar w:fldCharType="begin"/>
            </w:r>
            <w:r>
              <w:rPr>
                <w:rFonts w:hint="eastAsia" w:ascii="宋体" w:hAnsi="宋体" w:cs="Tahoma"/>
                <w:kern w:val="0"/>
                <w:sz w:val="12"/>
                <w:szCs w:val="12"/>
              </w:rPr>
              <w:instrText xml:space="preserve"> INCLUDEPICTURE "http://www.hbsafety.cn/article/UploadPic/2006-12/2006122711938598.gif" \* MERGEFORMATINET </w:instrText>
            </w:r>
            <w:r>
              <w:rPr>
                <w:rFonts w:hint="eastAsia" w:ascii="宋体" w:hAnsi="宋体" w:cs="Tahoma"/>
                <w:kern w:val="0"/>
                <w:sz w:val="12"/>
                <w:szCs w:val="12"/>
              </w:rPr>
              <w:fldChar w:fldCharType="separate"/>
            </w:r>
            <w:r>
              <w:rPr>
                <w:rFonts w:ascii="宋体" w:hAnsi="宋体" w:cs="Tahoma"/>
                <w:kern w:val="0"/>
                <w:sz w:val="12"/>
                <w:szCs w:val="12"/>
              </w:rPr>
              <w:drawing>
                <wp:inline distT="0" distB="0" distL="114300" distR="114300">
                  <wp:extent cx="2019300" cy="2019300"/>
                  <wp:effectExtent l="0" t="0" r="0" b="0"/>
                  <wp:docPr id="2" name="图片 1" descr="2006122711938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006122711938598"/>
                          <pic:cNvPicPr>
                            <a:picLocks noChangeAspect="1"/>
                          </pic:cNvPicPr>
                        </pic:nvPicPr>
                        <pic:blipFill>
                          <a:blip r:embed="rId11" cstate="print"/>
                          <a:stretch>
                            <a:fillRect/>
                          </a:stretch>
                        </pic:blipFill>
                        <pic:spPr>
                          <a:xfrm>
                            <a:off x="0" y="0"/>
                            <a:ext cx="2019300" cy="2019300"/>
                          </a:xfrm>
                          <a:prstGeom prst="rect">
                            <a:avLst/>
                          </a:prstGeom>
                          <a:noFill/>
                          <a:ln>
                            <a:noFill/>
                          </a:ln>
                        </pic:spPr>
                      </pic:pic>
                    </a:graphicData>
                  </a:graphic>
                </wp:inline>
              </w:drawing>
            </w:r>
            <w:r>
              <w:rPr>
                <w:rFonts w:hint="eastAsia" w:ascii="宋体" w:hAnsi="宋体" w:cs="Tahoma"/>
                <w:kern w:val="0"/>
                <w:sz w:val="12"/>
                <w:szCs w:val="12"/>
              </w:rPr>
              <w:fldChar w:fldCharType="end"/>
            </w:r>
          </w:p>
        </w:tc>
        <w:tc>
          <w:tcPr>
            <w:tcW w:w="1275" w:type="dxa"/>
            <w:vAlign w:val="center"/>
          </w:tcPr>
          <w:p>
            <w:pPr>
              <w:spacing w:line="360" w:lineRule="auto"/>
              <w:jc w:val="center"/>
              <w:rPr>
                <w:rFonts w:ascii="宋体" w:hAnsi="宋体"/>
              </w:rPr>
            </w:pPr>
            <w:r>
              <w:rPr>
                <w:rFonts w:hint="eastAsia" w:ascii="宋体" w:hAnsi="宋体"/>
              </w:rPr>
              <w:t>禁止吸烟</w:t>
            </w:r>
          </w:p>
          <w:p>
            <w:pPr>
              <w:spacing w:line="360" w:lineRule="auto"/>
              <w:jc w:val="center"/>
              <w:rPr>
                <w:rFonts w:ascii="宋体" w:hAnsi="宋体"/>
              </w:rPr>
            </w:pPr>
            <w:r>
              <w:rPr>
                <w:rFonts w:hint="eastAsia" w:ascii="宋体" w:hAnsi="宋体"/>
              </w:rPr>
              <w:t>No smoking</w:t>
            </w:r>
          </w:p>
        </w:tc>
        <w:tc>
          <w:tcPr>
            <w:tcW w:w="648" w:type="dxa"/>
            <w:vAlign w:val="center"/>
          </w:tcPr>
          <w:p>
            <w:pPr>
              <w:spacing w:line="360" w:lineRule="auto"/>
              <w:jc w:val="center"/>
              <w:rPr>
                <w:rFonts w:ascii="宋体" w:hAnsi="宋体"/>
              </w:rPr>
            </w:pPr>
            <w:r>
              <w:rPr>
                <w:rFonts w:hint="eastAsia" w:ascii="宋体" w:hAnsi="宋体"/>
              </w:rPr>
              <w:t>6</w:t>
            </w:r>
          </w:p>
        </w:tc>
        <w:tc>
          <w:tcPr>
            <w:tcW w:w="1596" w:type="dxa"/>
            <w:gridSpan w:val="2"/>
            <w:vAlign w:val="center"/>
          </w:tcPr>
          <w:p>
            <w:pPr>
              <w:spacing w:line="360" w:lineRule="auto"/>
              <w:ind w:firstLine="210" w:firstLineChars="100"/>
              <w:rPr>
                <w:rFonts w:ascii="宋体" w:hAnsi="宋体"/>
              </w:rPr>
            </w:pPr>
            <w:r>
              <w:rPr>
                <w:rFonts w:hint="eastAsia" w:ascii="宋体" w:hAnsi="宋体"/>
              </w:rPr>
              <w:t>润滑油储存区域、加油区域、卸油区域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ascii="宋体" w:hAnsi="宋体"/>
              </w:rPr>
            </w:pPr>
            <w:r>
              <w:rPr>
                <w:rFonts w:hint="eastAsia" w:ascii="宋体" w:hAnsi="宋体"/>
              </w:rPr>
              <w:t>1－2</w:t>
            </w:r>
          </w:p>
        </w:tc>
        <w:tc>
          <w:tcPr>
            <w:tcW w:w="4437" w:type="dxa"/>
            <w:vAlign w:val="center"/>
          </w:tcPr>
          <w:p>
            <w:pPr>
              <w:spacing w:line="360" w:lineRule="auto"/>
              <w:jc w:val="center"/>
              <w:rPr>
                <w:rFonts w:ascii="宋体" w:hAnsi="宋体"/>
              </w:rPr>
            </w:pPr>
            <w:r>
              <w:rPr>
                <w:rFonts w:hint="eastAsia" w:ascii="宋体" w:hAnsi="宋体" w:cs="Tahoma"/>
                <w:kern w:val="0"/>
                <w:sz w:val="12"/>
                <w:szCs w:val="12"/>
              </w:rPr>
              <w:fldChar w:fldCharType="begin"/>
            </w:r>
            <w:r>
              <w:rPr>
                <w:rFonts w:hint="eastAsia" w:ascii="宋体" w:hAnsi="宋体" w:cs="Tahoma"/>
                <w:kern w:val="0"/>
                <w:sz w:val="12"/>
                <w:szCs w:val="12"/>
              </w:rPr>
              <w:instrText xml:space="preserve"> INCLUDEPICTURE "http://www.hbsafety.cn/article/UploadPic/2006-12/2006122711938993.gif" \* MERGEFORMATINET </w:instrText>
            </w:r>
            <w:r>
              <w:rPr>
                <w:rFonts w:hint="eastAsia" w:ascii="宋体" w:hAnsi="宋体" w:cs="Tahoma"/>
                <w:kern w:val="0"/>
                <w:sz w:val="12"/>
                <w:szCs w:val="12"/>
              </w:rPr>
              <w:fldChar w:fldCharType="separate"/>
            </w:r>
            <w:r>
              <w:rPr>
                <w:rFonts w:ascii="宋体" w:hAnsi="宋体" w:cs="Tahoma"/>
                <w:kern w:val="0"/>
                <w:sz w:val="12"/>
                <w:szCs w:val="12"/>
              </w:rPr>
              <w:drawing>
                <wp:inline distT="0" distB="0" distL="114300" distR="114300">
                  <wp:extent cx="2019300" cy="2019300"/>
                  <wp:effectExtent l="0" t="0" r="0" b="0"/>
                  <wp:docPr id="3" name="图片 2" descr="200612271193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006122711938993"/>
                          <pic:cNvPicPr>
                            <a:picLocks noChangeAspect="1"/>
                          </pic:cNvPicPr>
                        </pic:nvPicPr>
                        <pic:blipFill>
                          <a:blip r:embed="rId12" cstate="print"/>
                          <a:stretch>
                            <a:fillRect/>
                          </a:stretch>
                        </pic:blipFill>
                        <pic:spPr>
                          <a:xfrm>
                            <a:off x="0" y="0"/>
                            <a:ext cx="2019300" cy="2019300"/>
                          </a:xfrm>
                          <a:prstGeom prst="rect">
                            <a:avLst/>
                          </a:prstGeom>
                          <a:noFill/>
                          <a:ln>
                            <a:noFill/>
                          </a:ln>
                        </pic:spPr>
                      </pic:pic>
                    </a:graphicData>
                  </a:graphic>
                </wp:inline>
              </w:drawing>
            </w:r>
            <w:r>
              <w:rPr>
                <w:rFonts w:hint="eastAsia" w:ascii="宋体" w:hAnsi="宋体" w:cs="Tahoma"/>
                <w:kern w:val="0"/>
                <w:sz w:val="12"/>
                <w:szCs w:val="12"/>
              </w:rPr>
              <w:fldChar w:fldCharType="end"/>
            </w:r>
          </w:p>
        </w:tc>
        <w:tc>
          <w:tcPr>
            <w:tcW w:w="1275" w:type="dxa"/>
            <w:vAlign w:val="center"/>
          </w:tcPr>
          <w:p>
            <w:pPr>
              <w:spacing w:line="360" w:lineRule="auto"/>
              <w:jc w:val="center"/>
              <w:rPr>
                <w:rFonts w:ascii="宋体" w:hAnsi="宋体"/>
              </w:rPr>
            </w:pPr>
            <w:r>
              <w:rPr>
                <w:rFonts w:hint="eastAsia" w:ascii="宋体" w:hAnsi="宋体"/>
              </w:rPr>
              <w:t>禁止烟火</w:t>
            </w:r>
          </w:p>
          <w:p>
            <w:pPr>
              <w:spacing w:line="360" w:lineRule="auto"/>
              <w:jc w:val="center"/>
              <w:rPr>
                <w:rFonts w:ascii="宋体" w:hAnsi="宋体"/>
              </w:rPr>
            </w:pPr>
            <w:r>
              <w:rPr>
                <w:rFonts w:ascii="宋体" w:hAnsi="宋体"/>
              </w:rPr>
              <w:t>N</w:t>
            </w:r>
            <w:r>
              <w:rPr>
                <w:rFonts w:hint="eastAsia" w:ascii="宋体" w:hAnsi="宋体"/>
              </w:rPr>
              <w:t>o burning</w:t>
            </w:r>
          </w:p>
        </w:tc>
        <w:tc>
          <w:tcPr>
            <w:tcW w:w="648" w:type="dxa"/>
            <w:vAlign w:val="center"/>
          </w:tcPr>
          <w:p>
            <w:pPr>
              <w:spacing w:line="360" w:lineRule="auto"/>
              <w:jc w:val="center"/>
              <w:rPr>
                <w:rFonts w:ascii="宋体" w:hAnsi="宋体"/>
              </w:rPr>
            </w:pPr>
            <w:r>
              <w:rPr>
                <w:rFonts w:hint="eastAsia" w:ascii="宋体" w:hAnsi="宋体"/>
              </w:rPr>
              <w:t>6</w:t>
            </w:r>
          </w:p>
        </w:tc>
        <w:tc>
          <w:tcPr>
            <w:tcW w:w="1596" w:type="dxa"/>
            <w:gridSpan w:val="2"/>
            <w:vAlign w:val="center"/>
          </w:tcPr>
          <w:p>
            <w:pPr>
              <w:spacing w:line="360" w:lineRule="auto"/>
              <w:rPr>
                <w:rFonts w:ascii="宋体" w:hAnsi="宋体"/>
              </w:rPr>
            </w:pPr>
            <w:r>
              <w:rPr>
                <w:rFonts w:hint="eastAsia" w:ascii="宋体" w:hAnsi="宋体"/>
              </w:rPr>
              <w:t>加油站出入口及周边作业防火区内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9" w:hRule="atLeast"/>
        </w:trPr>
        <w:tc>
          <w:tcPr>
            <w:tcW w:w="828" w:type="dxa"/>
            <w:vAlign w:val="center"/>
          </w:tcPr>
          <w:p>
            <w:pPr>
              <w:spacing w:line="360" w:lineRule="auto"/>
              <w:jc w:val="center"/>
              <w:rPr>
                <w:rFonts w:ascii="宋体" w:hAnsi="宋体"/>
              </w:rPr>
            </w:pPr>
            <w:r>
              <w:rPr>
                <w:rFonts w:hint="eastAsia" w:ascii="宋体" w:hAnsi="宋体"/>
              </w:rPr>
              <w:t>1-3</w:t>
            </w:r>
          </w:p>
        </w:tc>
        <w:tc>
          <w:tcPr>
            <w:tcW w:w="4437" w:type="dxa"/>
            <w:vAlign w:val="center"/>
          </w:tcPr>
          <w:p>
            <w:pPr>
              <w:widowControl/>
              <w:jc w:val="left"/>
            </w:pPr>
            <w:r>
              <w:rPr>
                <w:rFonts w:ascii="宋体" w:hAnsi="宋体" w:eastAsia="宋体" w:cs="宋体"/>
                <w:sz w:val="24"/>
                <w:szCs w:val="24"/>
              </w:rPr>
              <w:drawing>
                <wp:inline distT="0" distB="0" distL="114300" distR="114300">
                  <wp:extent cx="2007235" cy="2520950"/>
                  <wp:effectExtent l="0" t="0" r="12065" b="12700"/>
                  <wp:docPr id="88" name="图片 85" descr="点击查看源网页">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5" descr="点击查看源网页"/>
                          <pic:cNvPicPr>
                            <a:picLocks noChangeAspect="1"/>
                          </pic:cNvPicPr>
                        </pic:nvPicPr>
                        <pic:blipFill>
                          <a:blip r:embed="rId14" cstate="print"/>
                          <a:stretch>
                            <a:fillRect/>
                          </a:stretch>
                        </pic:blipFill>
                        <pic:spPr>
                          <a:xfrm>
                            <a:off x="0" y="0"/>
                            <a:ext cx="2007235" cy="2520950"/>
                          </a:xfrm>
                          <a:prstGeom prst="rect">
                            <a:avLst/>
                          </a:prstGeom>
                          <a:noFill/>
                          <a:ln w="9525">
                            <a:noFill/>
                          </a:ln>
                        </pic:spPr>
                      </pic:pic>
                    </a:graphicData>
                  </a:graphic>
                </wp:inline>
              </w:drawing>
            </w:r>
          </w:p>
          <w:p>
            <w:pPr>
              <w:spacing w:line="360" w:lineRule="auto"/>
              <w:jc w:val="center"/>
              <w:rPr>
                <w:rFonts w:ascii="宋体" w:hAnsi="宋体"/>
              </w:rPr>
            </w:pPr>
          </w:p>
        </w:tc>
        <w:tc>
          <w:tcPr>
            <w:tcW w:w="1275" w:type="dxa"/>
            <w:vAlign w:val="center"/>
          </w:tcPr>
          <w:p>
            <w:pPr>
              <w:spacing w:line="360" w:lineRule="auto"/>
              <w:jc w:val="center"/>
              <w:rPr>
                <w:rFonts w:ascii="宋体" w:hAnsi="宋体"/>
              </w:rPr>
            </w:pPr>
            <w:r>
              <w:rPr>
                <w:rFonts w:hint="eastAsia" w:ascii="宋体" w:hAnsi="宋体"/>
              </w:rPr>
              <w:t>熄火加油</w:t>
            </w:r>
          </w:p>
        </w:tc>
        <w:tc>
          <w:tcPr>
            <w:tcW w:w="648" w:type="dxa"/>
            <w:vAlign w:val="center"/>
          </w:tcPr>
          <w:p>
            <w:pPr>
              <w:spacing w:line="360" w:lineRule="auto"/>
              <w:jc w:val="center"/>
              <w:rPr>
                <w:rFonts w:ascii="宋体" w:hAnsi="宋体"/>
              </w:rPr>
            </w:pPr>
            <w:r>
              <w:rPr>
                <w:rFonts w:hint="eastAsia" w:ascii="宋体" w:hAnsi="宋体"/>
              </w:rPr>
              <w:t>4</w:t>
            </w:r>
          </w:p>
        </w:tc>
        <w:tc>
          <w:tcPr>
            <w:tcW w:w="1596" w:type="dxa"/>
            <w:gridSpan w:val="2"/>
            <w:vAlign w:val="center"/>
          </w:tcPr>
          <w:p>
            <w:pPr>
              <w:spacing w:line="360" w:lineRule="auto"/>
              <w:ind w:left="630" w:leftChars="100" w:hanging="420" w:hangingChars="200"/>
              <w:rPr>
                <w:rFonts w:ascii="宋体" w:hAnsi="宋体"/>
              </w:rPr>
            </w:pPr>
            <w:r>
              <w:rPr>
                <w:rFonts w:hint="eastAsia" w:ascii="宋体" w:hAnsi="宋体"/>
              </w:rPr>
              <w:t>加油作业场所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ascii="宋体" w:hAnsi="宋体"/>
              </w:rPr>
            </w:pPr>
            <w:r>
              <w:rPr>
                <w:rFonts w:hint="eastAsia" w:ascii="宋体" w:hAnsi="宋体"/>
              </w:rPr>
              <w:t>1-4</w:t>
            </w:r>
          </w:p>
        </w:tc>
        <w:tc>
          <w:tcPr>
            <w:tcW w:w="4437" w:type="dxa"/>
            <w:vAlign w:val="center"/>
          </w:tcPr>
          <w:p>
            <w:pPr>
              <w:widowControl/>
              <w:jc w:val="left"/>
            </w:pPr>
            <w:r>
              <w:rPr>
                <w:rFonts w:ascii="宋体" w:hAnsi="宋体" w:eastAsia="宋体" w:cs="宋体"/>
                <w:sz w:val="24"/>
                <w:szCs w:val="24"/>
              </w:rPr>
              <w:drawing>
                <wp:inline distT="0" distB="0" distL="114300" distR="114300">
                  <wp:extent cx="2029460" cy="2029460"/>
                  <wp:effectExtent l="0" t="0" r="8890" b="8890"/>
                  <wp:docPr id="5" name="图片 2" descr="点击查看源网页">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点击查看源网页"/>
                          <pic:cNvPicPr>
                            <a:picLocks noChangeAspect="1"/>
                          </pic:cNvPicPr>
                        </pic:nvPicPr>
                        <pic:blipFill>
                          <a:blip r:embed="rId16" cstate="print"/>
                          <a:stretch>
                            <a:fillRect/>
                          </a:stretch>
                        </pic:blipFill>
                        <pic:spPr>
                          <a:xfrm>
                            <a:off x="0" y="0"/>
                            <a:ext cx="2029460" cy="2029460"/>
                          </a:xfrm>
                          <a:prstGeom prst="rect">
                            <a:avLst/>
                          </a:prstGeom>
                          <a:noFill/>
                          <a:ln w="9525">
                            <a:noFill/>
                          </a:ln>
                        </pic:spPr>
                      </pic:pic>
                    </a:graphicData>
                  </a:graphic>
                </wp:inline>
              </w:drawing>
            </w:r>
          </w:p>
          <w:p>
            <w:pPr>
              <w:spacing w:line="360" w:lineRule="auto"/>
              <w:jc w:val="center"/>
              <w:rPr>
                <w:rFonts w:ascii="宋体" w:hAnsi="宋体"/>
              </w:rPr>
            </w:pPr>
          </w:p>
        </w:tc>
        <w:tc>
          <w:tcPr>
            <w:tcW w:w="1275" w:type="dxa"/>
            <w:vAlign w:val="center"/>
          </w:tcPr>
          <w:p>
            <w:pPr>
              <w:spacing w:line="360" w:lineRule="auto"/>
              <w:rPr>
                <w:rFonts w:ascii="宋体" w:hAnsi="宋体"/>
              </w:rPr>
            </w:pPr>
            <w:r>
              <w:rPr>
                <w:rFonts w:hint="eastAsia" w:ascii="宋体" w:hAnsi="宋体"/>
              </w:rPr>
              <w:t>限高标识</w:t>
            </w:r>
          </w:p>
        </w:tc>
        <w:tc>
          <w:tcPr>
            <w:tcW w:w="648" w:type="dxa"/>
            <w:vAlign w:val="center"/>
          </w:tcPr>
          <w:p>
            <w:pPr>
              <w:spacing w:line="360" w:lineRule="auto"/>
              <w:jc w:val="center"/>
              <w:rPr>
                <w:rFonts w:ascii="宋体" w:hAnsi="宋体"/>
              </w:rPr>
            </w:pPr>
            <w:r>
              <w:rPr>
                <w:rFonts w:hint="eastAsia" w:ascii="宋体" w:hAnsi="宋体"/>
              </w:rPr>
              <w:t>1</w:t>
            </w:r>
          </w:p>
        </w:tc>
        <w:tc>
          <w:tcPr>
            <w:tcW w:w="1596" w:type="dxa"/>
            <w:gridSpan w:val="2"/>
            <w:vAlign w:val="center"/>
          </w:tcPr>
          <w:p>
            <w:pPr>
              <w:spacing w:line="360" w:lineRule="auto"/>
              <w:ind w:left="630" w:leftChars="100" w:hanging="420" w:hangingChars="200"/>
              <w:rPr>
                <w:rFonts w:ascii="宋体" w:hAnsi="宋体"/>
              </w:rPr>
            </w:pPr>
            <w:r>
              <w:rPr>
                <w:rFonts w:hint="eastAsia" w:ascii="宋体" w:hAnsi="宋体"/>
              </w:rPr>
              <w:t>加油站作业场所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ascii="宋体" w:hAnsi="宋体"/>
              </w:rPr>
            </w:pPr>
          </w:p>
        </w:tc>
        <w:tc>
          <w:tcPr>
            <w:tcW w:w="4437" w:type="dxa"/>
            <w:vAlign w:val="center"/>
          </w:tcPr>
          <w:p>
            <w:pPr>
              <w:spacing w:line="360" w:lineRule="auto"/>
              <w:jc w:val="center"/>
              <w:rPr>
                <w:rFonts w:ascii="宋体" w:hAnsi="宋体"/>
              </w:rPr>
            </w:pPr>
          </w:p>
        </w:tc>
        <w:tc>
          <w:tcPr>
            <w:tcW w:w="1275" w:type="dxa"/>
            <w:vAlign w:val="center"/>
          </w:tcPr>
          <w:p>
            <w:pPr>
              <w:spacing w:line="360" w:lineRule="auto"/>
              <w:rPr>
                <w:rFonts w:ascii="宋体" w:hAnsi="宋体"/>
              </w:rPr>
            </w:pPr>
          </w:p>
        </w:tc>
        <w:tc>
          <w:tcPr>
            <w:tcW w:w="648" w:type="dxa"/>
            <w:vAlign w:val="center"/>
          </w:tcPr>
          <w:p>
            <w:pPr>
              <w:spacing w:line="360" w:lineRule="auto"/>
              <w:jc w:val="center"/>
              <w:rPr>
                <w:rFonts w:ascii="宋体" w:hAnsi="宋体"/>
              </w:rPr>
            </w:pPr>
          </w:p>
        </w:tc>
        <w:tc>
          <w:tcPr>
            <w:tcW w:w="1596" w:type="dxa"/>
            <w:gridSpan w:val="2"/>
            <w:vAlign w:val="center"/>
          </w:tcPr>
          <w:p>
            <w:pPr>
              <w:spacing w:line="360" w:lineRule="auto"/>
              <w:ind w:firstLine="210" w:firstLineChars="10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ascii="宋体" w:hAnsi="宋体"/>
              </w:rPr>
            </w:pPr>
            <w:r>
              <w:rPr>
                <w:rFonts w:hint="eastAsia" w:ascii="宋体" w:hAnsi="宋体"/>
              </w:rPr>
              <w:t>1－5</w:t>
            </w:r>
          </w:p>
        </w:tc>
        <w:tc>
          <w:tcPr>
            <w:tcW w:w="4437" w:type="dxa"/>
            <w:vAlign w:val="center"/>
          </w:tcPr>
          <w:p>
            <w:pPr>
              <w:spacing w:line="360" w:lineRule="auto"/>
              <w:jc w:val="center"/>
              <w:rPr>
                <w:rFonts w:ascii="宋体" w:hAnsi="宋体"/>
              </w:rPr>
            </w:pPr>
            <w:r>
              <w:rPr>
                <w:rFonts w:hint="eastAsia" w:ascii="宋体" w:hAnsi="宋体" w:cs="Tahoma"/>
                <w:kern w:val="0"/>
                <w:sz w:val="12"/>
                <w:szCs w:val="12"/>
              </w:rPr>
              <w:fldChar w:fldCharType="begin"/>
            </w:r>
            <w:r>
              <w:rPr>
                <w:rFonts w:hint="eastAsia" w:ascii="宋体" w:hAnsi="宋体" w:cs="Tahoma"/>
                <w:kern w:val="0"/>
                <w:sz w:val="12"/>
                <w:szCs w:val="12"/>
              </w:rPr>
              <w:instrText xml:space="preserve"> INCLUDEPICTURE "http://www.hbsafety.cn/article/UploadPic/2006-12/2006122711938537.gif" \* MERGEFORMATINET </w:instrText>
            </w:r>
            <w:r>
              <w:rPr>
                <w:rFonts w:hint="eastAsia" w:ascii="宋体" w:hAnsi="宋体" w:cs="Tahoma"/>
                <w:kern w:val="0"/>
                <w:sz w:val="12"/>
                <w:szCs w:val="12"/>
              </w:rPr>
              <w:fldChar w:fldCharType="separate"/>
            </w:r>
            <w:r>
              <w:rPr>
                <w:rFonts w:ascii="宋体" w:hAnsi="宋体" w:cs="Tahoma"/>
                <w:kern w:val="0"/>
                <w:sz w:val="12"/>
                <w:szCs w:val="12"/>
              </w:rPr>
              <w:drawing>
                <wp:inline distT="0" distB="0" distL="114300" distR="114300">
                  <wp:extent cx="2019300" cy="2019300"/>
                  <wp:effectExtent l="0" t="0" r="0" b="0"/>
                  <wp:docPr id="9" name="图片 8" descr="200612271193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2006122711938537"/>
                          <pic:cNvPicPr>
                            <a:picLocks noChangeAspect="1"/>
                          </pic:cNvPicPr>
                        </pic:nvPicPr>
                        <pic:blipFill>
                          <a:blip r:embed="rId17" cstate="print"/>
                          <a:stretch>
                            <a:fillRect/>
                          </a:stretch>
                        </pic:blipFill>
                        <pic:spPr>
                          <a:xfrm>
                            <a:off x="0" y="0"/>
                            <a:ext cx="2019300" cy="2019300"/>
                          </a:xfrm>
                          <a:prstGeom prst="rect">
                            <a:avLst/>
                          </a:prstGeom>
                          <a:noFill/>
                          <a:ln>
                            <a:noFill/>
                          </a:ln>
                        </pic:spPr>
                      </pic:pic>
                    </a:graphicData>
                  </a:graphic>
                </wp:inline>
              </w:drawing>
            </w:r>
            <w:r>
              <w:rPr>
                <w:rFonts w:hint="eastAsia" w:ascii="宋体" w:hAnsi="宋体" w:cs="Tahoma"/>
                <w:kern w:val="0"/>
                <w:sz w:val="12"/>
                <w:szCs w:val="12"/>
              </w:rPr>
              <w:fldChar w:fldCharType="end"/>
            </w:r>
          </w:p>
        </w:tc>
        <w:tc>
          <w:tcPr>
            <w:tcW w:w="1275" w:type="dxa"/>
            <w:vAlign w:val="center"/>
          </w:tcPr>
          <w:p>
            <w:pPr>
              <w:spacing w:line="360" w:lineRule="auto"/>
              <w:jc w:val="center"/>
              <w:rPr>
                <w:rFonts w:ascii="宋体" w:hAnsi="宋体"/>
              </w:rPr>
            </w:pPr>
            <w:r>
              <w:rPr>
                <w:rFonts w:hint="eastAsia" w:ascii="宋体" w:hAnsi="宋体"/>
              </w:rPr>
              <w:t>禁止合闸</w:t>
            </w:r>
          </w:p>
          <w:p>
            <w:pPr>
              <w:spacing w:line="360" w:lineRule="auto"/>
              <w:rPr>
                <w:rFonts w:ascii="宋体" w:hAnsi="宋体"/>
              </w:rPr>
            </w:pPr>
            <w:r>
              <w:rPr>
                <w:rFonts w:ascii="宋体" w:hAnsi="宋体"/>
              </w:rPr>
              <w:t>N</w:t>
            </w:r>
            <w:r>
              <w:rPr>
                <w:rFonts w:hint="eastAsia" w:ascii="宋体" w:hAnsi="宋体"/>
              </w:rPr>
              <w:t>o switching on</w:t>
            </w:r>
          </w:p>
        </w:tc>
        <w:tc>
          <w:tcPr>
            <w:tcW w:w="648" w:type="dxa"/>
            <w:vAlign w:val="center"/>
          </w:tcPr>
          <w:p>
            <w:pPr>
              <w:spacing w:line="360" w:lineRule="auto"/>
              <w:jc w:val="center"/>
              <w:rPr>
                <w:rFonts w:ascii="宋体" w:hAnsi="宋体"/>
              </w:rPr>
            </w:pPr>
            <w:r>
              <w:rPr>
                <w:rFonts w:hint="eastAsia" w:ascii="宋体" w:hAnsi="宋体"/>
              </w:rPr>
              <w:t>1</w:t>
            </w:r>
          </w:p>
        </w:tc>
        <w:tc>
          <w:tcPr>
            <w:tcW w:w="1596" w:type="dxa"/>
            <w:gridSpan w:val="2"/>
            <w:vAlign w:val="center"/>
          </w:tcPr>
          <w:p>
            <w:pPr>
              <w:spacing w:line="360" w:lineRule="auto"/>
              <w:ind w:firstLine="210" w:firstLineChars="100"/>
              <w:rPr>
                <w:rFonts w:ascii="宋体" w:hAnsi="宋体"/>
              </w:rPr>
            </w:pPr>
            <w:r>
              <w:rPr>
                <w:rFonts w:hint="eastAsia" w:ascii="宋体" w:hAnsi="宋体"/>
              </w:rPr>
              <w:t>配电间、电气设备维修时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ascii="宋体" w:hAnsi="宋体"/>
              </w:rPr>
            </w:pPr>
            <w:r>
              <w:rPr>
                <w:rFonts w:hint="eastAsia" w:ascii="宋体" w:hAnsi="宋体"/>
              </w:rPr>
              <w:t>1-6</w:t>
            </w:r>
          </w:p>
        </w:tc>
        <w:tc>
          <w:tcPr>
            <w:tcW w:w="4437" w:type="dxa"/>
            <w:vAlign w:val="center"/>
          </w:tcPr>
          <w:p>
            <w:pPr>
              <w:widowControl/>
              <w:jc w:val="left"/>
            </w:pPr>
            <w:r>
              <w:rPr>
                <w:rFonts w:ascii="宋体" w:hAnsi="宋体" w:eastAsia="宋体" w:cs="宋体"/>
                <w:sz w:val="24"/>
                <w:szCs w:val="24"/>
              </w:rPr>
              <w:drawing>
                <wp:inline distT="0" distB="0" distL="114300" distR="114300">
                  <wp:extent cx="1893570" cy="2327275"/>
                  <wp:effectExtent l="0" t="0" r="11430" b="15875"/>
                  <wp:docPr id="4" name="图片 1" descr="点击查看源网页">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点击查看源网页"/>
                          <pic:cNvPicPr>
                            <a:picLocks noChangeAspect="1"/>
                          </pic:cNvPicPr>
                        </pic:nvPicPr>
                        <pic:blipFill>
                          <a:blip r:embed="rId19" cstate="print"/>
                          <a:stretch>
                            <a:fillRect/>
                          </a:stretch>
                        </pic:blipFill>
                        <pic:spPr>
                          <a:xfrm>
                            <a:off x="0" y="0"/>
                            <a:ext cx="1893570" cy="2327275"/>
                          </a:xfrm>
                          <a:prstGeom prst="rect">
                            <a:avLst/>
                          </a:prstGeom>
                          <a:noFill/>
                          <a:ln w="9525">
                            <a:noFill/>
                          </a:ln>
                        </pic:spPr>
                      </pic:pic>
                    </a:graphicData>
                  </a:graphic>
                </wp:inline>
              </w:drawing>
            </w:r>
          </w:p>
          <w:p>
            <w:pPr>
              <w:spacing w:line="360" w:lineRule="auto"/>
              <w:jc w:val="center"/>
              <w:rPr>
                <w:rFonts w:ascii="宋体" w:hAnsi="宋体"/>
              </w:rPr>
            </w:pPr>
          </w:p>
        </w:tc>
        <w:tc>
          <w:tcPr>
            <w:tcW w:w="1275" w:type="dxa"/>
            <w:vAlign w:val="center"/>
          </w:tcPr>
          <w:p>
            <w:pPr>
              <w:spacing w:line="360" w:lineRule="auto"/>
              <w:ind w:firstLine="420" w:firstLineChars="200"/>
              <w:rPr>
                <w:rFonts w:ascii="宋体" w:hAnsi="宋体"/>
              </w:rPr>
            </w:pPr>
            <w:r>
              <w:rPr>
                <w:rFonts w:hint="eastAsia" w:ascii="宋体" w:hAnsi="宋体"/>
              </w:rPr>
              <w:t>限速标识</w:t>
            </w:r>
          </w:p>
        </w:tc>
        <w:tc>
          <w:tcPr>
            <w:tcW w:w="648" w:type="dxa"/>
            <w:vAlign w:val="center"/>
          </w:tcPr>
          <w:p>
            <w:pPr>
              <w:spacing w:line="360" w:lineRule="auto"/>
              <w:jc w:val="center"/>
              <w:rPr>
                <w:rFonts w:ascii="宋体" w:hAnsi="宋体"/>
              </w:rPr>
            </w:pPr>
            <w:r>
              <w:rPr>
                <w:rFonts w:hint="eastAsia" w:ascii="宋体" w:hAnsi="宋体"/>
              </w:rPr>
              <w:t>2</w:t>
            </w:r>
          </w:p>
        </w:tc>
        <w:tc>
          <w:tcPr>
            <w:tcW w:w="1596" w:type="dxa"/>
            <w:gridSpan w:val="2"/>
            <w:vAlign w:val="center"/>
          </w:tcPr>
          <w:p>
            <w:pPr>
              <w:spacing w:line="360" w:lineRule="auto"/>
              <w:rPr>
                <w:rFonts w:ascii="宋体" w:hAnsi="宋体"/>
              </w:rPr>
            </w:pPr>
            <w:r>
              <w:rPr>
                <w:rFonts w:hint="eastAsia" w:ascii="宋体" w:hAnsi="宋体"/>
              </w:rPr>
              <w:t>加油站出入口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ascii="宋体" w:hAnsi="宋体"/>
              </w:rPr>
            </w:pPr>
            <w:r>
              <w:rPr>
                <w:rFonts w:hint="eastAsia" w:ascii="宋体" w:hAnsi="宋体"/>
              </w:rPr>
              <w:t>1－7</w:t>
            </w:r>
          </w:p>
        </w:tc>
        <w:tc>
          <w:tcPr>
            <w:tcW w:w="4437" w:type="dxa"/>
            <w:vAlign w:val="center"/>
          </w:tcPr>
          <w:p>
            <w:pPr>
              <w:spacing w:line="360" w:lineRule="auto"/>
              <w:jc w:val="center"/>
              <w:rPr>
                <w:rFonts w:ascii="宋体" w:hAnsi="宋体"/>
              </w:rPr>
            </w:pPr>
            <w:r>
              <w:rPr>
                <w:rFonts w:hint="eastAsia" w:ascii="宋体" w:hAnsi="宋体"/>
              </w:rPr>
              <w:drawing>
                <wp:inline distT="0" distB="0" distL="114300" distR="114300">
                  <wp:extent cx="2200275" cy="2171700"/>
                  <wp:effectExtent l="0" t="0" r="9525" b="0"/>
                  <wp:docPr id="32" name="图片 31" descr="禁止开启无线移动通讯设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1" descr="禁止开启无线移动通讯设备"/>
                          <pic:cNvPicPr>
                            <a:picLocks noChangeAspect="1"/>
                          </pic:cNvPicPr>
                        </pic:nvPicPr>
                        <pic:blipFill>
                          <a:blip r:embed="rId20" cstate="print"/>
                          <a:stretch>
                            <a:fillRect/>
                          </a:stretch>
                        </pic:blipFill>
                        <pic:spPr>
                          <a:xfrm>
                            <a:off x="0" y="0"/>
                            <a:ext cx="2200275" cy="2171700"/>
                          </a:xfrm>
                          <a:prstGeom prst="rect">
                            <a:avLst/>
                          </a:prstGeom>
                          <a:noFill/>
                          <a:ln>
                            <a:noFill/>
                          </a:ln>
                        </pic:spPr>
                      </pic:pic>
                    </a:graphicData>
                  </a:graphic>
                </wp:inline>
              </w:drawing>
            </w:r>
          </w:p>
        </w:tc>
        <w:tc>
          <w:tcPr>
            <w:tcW w:w="1275" w:type="dxa"/>
            <w:vAlign w:val="center"/>
          </w:tcPr>
          <w:p>
            <w:pPr>
              <w:spacing w:line="360" w:lineRule="auto"/>
              <w:jc w:val="center"/>
              <w:rPr>
                <w:rFonts w:ascii="宋体" w:hAnsi="宋体"/>
              </w:rPr>
            </w:pPr>
            <w:r>
              <w:rPr>
                <w:rFonts w:hint="eastAsia" w:ascii="宋体" w:hAnsi="宋体"/>
              </w:rPr>
              <w:t>禁止开启无线移动通讯设备</w:t>
            </w:r>
          </w:p>
          <w:p>
            <w:pPr>
              <w:spacing w:line="360" w:lineRule="auto"/>
              <w:jc w:val="center"/>
              <w:rPr>
                <w:rFonts w:ascii="宋体" w:hAnsi="宋体"/>
              </w:rPr>
            </w:pPr>
            <w:r>
              <w:rPr>
                <w:rFonts w:ascii="宋体" w:hAnsi="宋体"/>
              </w:rPr>
              <w:t>N</w:t>
            </w:r>
            <w:r>
              <w:rPr>
                <w:rFonts w:hint="eastAsia" w:ascii="宋体" w:hAnsi="宋体"/>
              </w:rPr>
              <w:t>o activated mobile phones</w:t>
            </w:r>
          </w:p>
        </w:tc>
        <w:tc>
          <w:tcPr>
            <w:tcW w:w="648" w:type="dxa"/>
            <w:vAlign w:val="center"/>
          </w:tcPr>
          <w:p>
            <w:pPr>
              <w:spacing w:line="360" w:lineRule="auto"/>
              <w:jc w:val="center"/>
              <w:rPr>
                <w:rFonts w:ascii="宋体" w:hAnsi="宋体"/>
              </w:rPr>
            </w:pPr>
            <w:r>
              <w:rPr>
                <w:rFonts w:hint="eastAsia" w:ascii="宋体" w:hAnsi="宋体"/>
              </w:rPr>
              <w:t>4</w:t>
            </w:r>
          </w:p>
        </w:tc>
        <w:tc>
          <w:tcPr>
            <w:tcW w:w="1596" w:type="dxa"/>
            <w:gridSpan w:val="2"/>
            <w:vAlign w:val="center"/>
          </w:tcPr>
          <w:p>
            <w:pPr>
              <w:spacing w:line="360" w:lineRule="auto"/>
              <w:ind w:firstLine="210" w:firstLineChars="100"/>
              <w:rPr>
                <w:rFonts w:ascii="宋体" w:hAnsi="宋体"/>
              </w:rPr>
            </w:pPr>
            <w:r>
              <w:rPr>
                <w:rFonts w:hint="eastAsia" w:ascii="宋体" w:hAnsi="宋体"/>
              </w:rPr>
              <w:t>加油站加油区域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Pr>
        <w:tc>
          <w:tcPr>
            <w:tcW w:w="828" w:type="dxa"/>
            <w:vAlign w:val="center"/>
          </w:tcPr>
          <w:p>
            <w:pPr>
              <w:spacing w:line="360" w:lineRule="auto"/>
              <w:jc w:val="center"/>
              <w:rPr>
                <w:rFonts w:ascii="宋体" w:hAnsi="宋体"/>
              </w:rPr>
            </w:pPr>
            <w:r>
              <w:rPr>
                <w:rFonts w:hint="eastAsia" w:ascii="宋体" w:hAnsi="宋体"/>
              </w:rPr>
              <w:t>1－8</w:t>
            </w:r>
          </w:p>
        </w:tc>
        <w:tc>
          <w:tcPr>
            <w:tcW w:w="4437" w:type="dxa"/>
            <w:vAlign w:val="center"/>
          </w:tcPr>
          <w:p>
            <w:pPr>
              <w:spacing w:line="360" w:lineRule="auto"/>
              <w:jc w:val="center"/>
              <w:rPr>
                <w:rFonts w:ascii="宋体" w:hAnsi="宋体"/>
              </w:rPr>
            </w:pPr>
            <w:r>
              <w:rPr>
                <w:rFonts w:hint="eastAsia" w:ascii="宋体" w:hAnsi="宋体" w:cs="Tahoma"/>
                <w:kern w:val="0"/>
                <w:sz w:val="12"/>
                <w:szCs w:val="12"/>
              </w:rPr>
              <w:fldChar w:fldCharType="begin"/>
            </w:r>
            <w:r>
              <w:rPr>
                <w:rFonts w:hint="eastAsia" w:ascii="宋体" w:hAnsi="宋体" w:cs="Tahoma"/>
                <w:kern w:val="0"/>
                <w:sz w:val="12"/>
                <w:szCs w:val="12"/>
              </w:rPr>
              <w:instrText xml:space="preserve"> INCLUDEPICTURE "http://www.hbsafety.cn/article/UploadPic/2006-12/2006122711938224.gif" \* MERGEFORMATINET </w:instrText>
            </w:r>
            <w:r>
              <w:rPr>
                <w:rFonts w:hint="eastAsia" w:ascii="宋体" w:hAnsi="宋体" w:cs="Tahoma"/>
                <w:kern w:val="0"/>
                <w:sz w:val="12"/>
                <w:szCs w:val="12"/>
              </w:rPr>
              <w:fldChar w:fldCharType="separate"/>
            </w:r>
            <w:r>
              <w:rPr>
                <w:rFonts w:ascii="宋体" w:hAnsi="宋体" w:cs="Tahoma"/>
                <w:kern w:val="0"/>
                <w:sz w:val="12"/>
                <w:szCs w:val="12"/>
              </w:rPr>
              <w:drawing>
                <wp:inline distT="0" distB="0" distL="114300" distR="114300">
                  <wp:extent cx="2019300" cy="2019300"/>
                  <wp:effectExtent l="0" t="0" r="0" b="0"/>
                  <wp:docPr id="8" name="图片 1" descr="200612271193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2006122711938224"/>
                          <pic:cNvPicPr>
                            <a:picLocks noChangeAspect="1"/>
                          </pic:cNvPicPr>
                        </pic:nvPicPr>
                        <pic:blipFill>
                          <a:blip r:embed="rId21" cstate="print"/>
                          <a:stretch>
                            <a:fillRect/>
                          </a:stretch>
                        </pic:blipFill>
                        <pic:spPr>
                          <a:xfrm>
                            <a:off x="0" y="0"/>
                            <a:ext cx="2019300" cy="2019300"/>
                          </a:xfrm>
                          <a:prstGeom prst="rect">
                            <a:avLst/>
                          </a:prstGeom>
                          <a:noFill/>
                          <a:ln>
                            <a:noFill/>
                          </a:ln>
                        </pic:spPr>
                      </pic:pic>
                    </a:graphicData>
                  </a:graphic>
                </wp:inline>
              </w:drawing>
            </w:r>
            <w:r>
              <w:rPr>
                <w:rFonts w:hint="eastAsia" w:ascii="宋体" w:hAnsi="宋体" w:cs="Tahoma"/>
                <w:kern w:val="0"/>
                <w:sz w:val="12"/>
                <w:szCs w:val="12"/>
              </w:rPr>
              <w:fldChar w:fldCharType="end"/>
            </w:r>
          </w:p>
        </w:tc>
        <w:tc>
          <w:tcPr>
            <w:tcW w:w="1275" w:type="dxa"/>
            <w:vAlign w:val="center"/>
          </w:tcPr>
          <w:p>
            <w:pPr>
              <w:spacing w:line="360" w:lineRule="auto"/>
              <w:jc w:val="center"/>
              <w:rPr>
                <w:rFonts w:ascii="宋体" w:hAnsi="宋体"/>
              </w:rPr>
            </w:pPr>
            <w:r>
              <w:rPr>
                <w:rFonts w:hint="eastAsia" w:ascii="宋体" w:hAnsi="宋体"/>
              </w:rPr>
              <w:t>禁止放置易燃物</w:t>
            </w:r>
          </w:p>
          <w:p>
            <w:pPr>
              <w:spacing w:line="360" w:lineRule="auto"/>
              <w:rPr>
                <w:rFonts w:ascii="宋体" w:hAnsi="宋体"/>
              </w:rPr>
            </w:pPr>
            <w:r>
              <w:rPr>
                <w:rFonts w:ascii="宋体" w:hAnsi="宋体"/>
              </w:rPr>
              <w:t>N</w:t>
            </w:r>
            <w:r>
              <w:rPr>
                <w:rFonts w:hint="eastAsia" w:ascii="宋体" w:hAnsi="宋体"/>
              </w:rPr>
              <w:t>o laying inflammable thing</w:t>
            </w:r>
          </w:p>
        </w:tc>
        <w:tc>
          <w:tcPr>
            <w:tcW w:w="648" w:type="dxa"/>
            <w:vAlign w:val="center"/>
          </w:tcPr>
          <w:p>
            <w:pPr>
              <w:spacing w:line="360" w:lineRule="auto"/>
              <w:jc w:val="center"/>
              <w:rPr>
                <w:rFonts w:ascii="宋体" w:hAnsi="宋体"/>
              </w:rPr>
            </w:pPr>
            <w:r>
              <w:rPr>
                <w:rFonts w:hint="eastAsia" w:ascii="宋体" w:hAnsi="宋体"/>
              </w:rPr>
              <w:t>4</w:t>
            </w:r>
          </w:p>
        </w:tc>
        <w:tc>
          <w:tcPr>
            <w:tcW w:w="1579" w:type="dxa"/>
            <w:vAlign w:val="center"/>
          </w:tcPr>
          <w:p>
            <w:pPr>
              <w:spacing w:line="360" w:lineRule="auto"/>
              <w:rPr>
                <w:rFonts w:ascii="宋体" w:hAnsi="宋体"/>
              </w:rPr>
            </w:pPr>
            <w:r>
              <w:rPr>
                <w:rFonts w:hint="eastAsia" w:ascii="宋体" w:hAnsi="宋体"/>
              </w:rPr>
              <w:t xml:space="preserve"> 作业场所动火时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Pr>
        <w:tc>
          <w:tcPr>
            <w:tcW w:w="828" w:type="dxa"/>
            <w:vAlign w:val="center"/>
          </w:tcPr>
          <w:p>
            <w:pPr>
              <w:spacing w:line="360" w:lineRule="auto"/>
              <w:jc w:val="center"/>
              <w:rPr>
                <w:rFonts w:ascii="宋体" w:hAnsi="宋体"/>
              </w:rPr>
            </w:pPr>
          </w:p>
        </w:tc>
        <w:tc>
          <w:tcPr>
            <w:tcW w:w="4437" w:type="dxa"/>
            <w:vAlign w:val="center"/>
          </w:tcPr>
          <w:p>
            <w:pPr>
              <w:spacing w:line="360" w:lineRule="auto"/>
              <w:jc w:val="center"/>
              <w:rPr>
                <w:rFonts w:ascii="宋体" w:hAnsi="宋体"/>
              </w:rPr>
            </w:pPr>
          </w:p>
        </w:tc>
        <w:tc>
          <w:tcPr>
            <w:tcW w:w="1275" w:type="dxa"/>
            <w:vAlign w:val="center"/>
          </w:tcPr>
          <w:p>
            <w:pPr>
              <w:spacing w:line="360" w:lineRule="auto"/>
              <w:jc w:val="center"/>
              <w:rPr>
                <w:rFonts w:ascii="宋体" w:hAnsi="宋体"/>
              </w:rPr>
            </w:pPr>
          </w:p>
        </w:tc>
        <w:tc>
          <w:tcPr>
            <w:tcW w:w="648" w:type="dxa"/>
            <w:vAlign w:val="center"/>
          </w:tcPr>
          <w:p>
            <w:pPr>
              <w:spacing w:line="360" w:lineRule="auto"/>
              <w:jc w:val="center"/>
              <w:rPr>
                <w:rFonts w:ascii="宋体" w:hAnsi="宋体"/>
              </w:rPr>
            </w:pPr>
          </w:p>
        </w:tc>
        <w:tc>
          <w:tcPr>
            <w:tcW w:w="1579" w:type="dxa"/>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1948" w:hRule="atLeast"/>
        </w:trPr>
        <w:tc>
          <w:tcPr>
            <w:tcW w:w="828" w:type="dxa"/>
            <w:vAlign w:val="center"/>
          </w:tcPr>
          <w:p>
            <w:pPr>
              <w:spacing w:line="360" w:lineRule="auto"/>
              <w:jc w:val="center"/>
              <w:rPr>
                <w:rFonts w:ascii="宋体" w:hAnsi="宋体"/>
              </w:rPr>
            </w:pPr>
            <w:r>
              <w:rPr>
                <w:rFonts w:hint="eastAsia" w:ascii="宋体" w:hAnsi="宋体"/>
              </w:rPr>
              <w:t>1-9</w:t>
            </w:r>
          </w:p>
        </w:tc>
        <w:tc>
          <w:tcPr>
            <w:tcW w:w="4437" w:type="dxa"/>
            <w:vAlign w:val="center"/>
          </w:tcPr>
          <w:p>
            <w:pPr>
              <w:spacing w:line="360" w:lineRule="auto"/>
              <w:jc w:val="center"/>
              <w:rPr>
                <w:rFonts w:ascii="宋体" w:hAnsi="宋体"/>
              </w:rPr>
            </w:pPr>
            <w:r>
              <w:rPr>
                <w:rFonts w:hint="eastAsia" w:ascii="宋体" w:hAnsi="宋体"/>
              </w:rPr>
              <w:drawing>
                <wp:inline distT="0" distB="0" distL="114300" distR="114300">
                  <wp:extent cx="2120900" cy="2005965"/>
                  <wp:effectExtent l="0" t="0" r="12700" b="13335"/>
                  <wp:docPr id="6" name="图片 6" descr="4187a29d8f944701ecc3eb23dae2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187a29d8f944701ecc3eb23dae2afc"/>
                          <pic:cNvPicPr>
                            <a:picLocks noChangeAspect="1"/>
                          </pic:cNvPicPr>
                        </pic:nvPicPr>
                        <pic:blipFill>
                          <a:blip r:embed="rId22" cstate="print"/>
                          <a:stretch>
                            <a:fillRect/>
                          </a:stretch>
                        </pic:blipFill>
                        <pic:spPr>
                          <a:xfrm>
                            <a:off x="0" y="0"/>
                            <a:ext cx="2120900" cy="2005965"/>
                          </a:xfrm>
                          <a:prstGeom prst="rect">
                            <a:avLst/>
                          </a:prstGeom>
                        </pic:spPr>
                      </pic:pic>
                    </a:graphicData>
                  </a:graphic>
                </wp:inline>
              </w:drawing>
            </w:r>
          </w:p>
        </w:tc>
        <w:tc>
          <w:tcPr>
            <w:tcW w:w="1275" w:type="dxa"/>
            <w:vAlign w:val="center"/>
          </w:tcPr>
          <w:p>
            <w:pPr>
              <w:spacing w:line="360" w:lineRule="auto"/>
              <w:jc w:val="center"/>
              <w:rPr>
                <w:rFonts w:ascii="宋体" w:hAnsi="宋体"/>
              </w:rPr>
            </w:pPr>
            <w:r>
              <w:rPr>
                <w:rFonts w:hint="eastAsia" w:ascii="宋体" w:hAnsi="宋体"/>
              </w:rPr>
              <w:t>出入口</w:t>
            </w:r>
          </w:p>
        </w:tc>
        <w:tc>
          <w:tcPr>
            <w:tcW w:w="648" w:type="dxa"/>
            <w:vAlign w:val="center"/>
          </w:tcPr>
          <w:p>
            <w:pPr>
              <w:spacing w:line="360" w:lineRule="auto"/>
              <w:jc w:val="center"/>
              <w:rPr>
                <w:rFonts w:ascii="宋体" w:hAnsi="宋体"/>
              </w:rPr>
            </w:pPr>
            <w:r>
              <w:rPr>
                <w:rFonts w:hint="eastAsia" w:ascii="宋体" w:hAnsi="宋体"/>
              </w:rPr>
              <w:t>3</w:t>
            </w:r>
          </w:p>
        </w:tc>
        <w:tc>
          <w:tcPr>
            <w:tcW w:w="1579" w:type="dxa"/>
            <w:vAlign w:val="center"/>
          </w:tcPr>
          <w:p>
            <w:pPr>
              <w:spacing w:line="360" w:lineRule="auto"/>
              <w:rPr>
                <w:rFonts w:ascii="宋体" w:hAnsi="宋体"/>
              </w:rPr>
            </w:pPr>
            <w:r>
              <w:rPr>
                <w:rFonts w:hint="eastAsia" w:ascii="宋体" w:hAnsi="宋体"/>
              </w:rPr>
              <w:t>加油作出入口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1998" w:hRule="atLeast"/>
        </w:trPr>
        <w:tc>
          <w:tcPr>
            <w:tcW w:w="828" w:type="dxa"/>
            <w:vAlign w:val="center"/>
          </w:tcPr>
          <w:p>
            <w:pPr>
              <w:spacing w:line="360" w:lineRule="auto"/>
              <w:jc w:val="center"/>
              <w:rPr>
                <w:rFonts w:ascii="宋体" w:hAnsi="宋体"/>
              </w:rPr>
            </w:pPr>
            <w:r>
              <w:rPr>
                <w:rFonts w:hint="eastAsia" w:ascii="宋体" w:hAnsi="宋体"/>
              </w:rPr>
              <w:t>1-10</w:t>
            </w:r>
          </w:p>
        </w:tc>
        <w:tc>
          <w:tcPr>
            <w:tcW w:w="4437" w:type="dxa"/>
            <w:vAlign w:val="center"/>
          </w:tcPr>
          <w:p>
            <w:pPr>
              <w:spacing w:line="360" w:lineRule="auto"/>
              <w:jc w:val="center"/>
              <w:rPr>
                <w:rFonts w:ascii="宋体" w:hAnsi="宋体"/>
              </w:rPr>
            </w:pPr>
            <w:r>
              <w:rPr>
                <w:rFonts w:hint="eastAsia" w:ascii="宋体" w:hAnsi="宋体" w:cs="Tahoma"/>
                <w:kern w:val="0"/>
                <w:sz w:val="12"/>
                <w:szCs w:val="12"/>
              </w:rPr>
              <w:fldChar w:fldCharType="begin"/>
            </w:r>
            <w:r>
              <w:rPr>
                <w:rFonts w:hint="eastAsia" w:ascii="宋体" w:hAnsi="宋体" w:cs="Tahoma"/>
                <w:kern w:val="0"/>
                <w:sz w:val="12"/>
                <w:szCs w:val="12"/>
              </w:rPr>
              <w:instrText xml:space="preserve"> INCLUDEPICTURE "http://www.hbsafety.cn/article/UploadPic/2006-12/2006122711937312.gif" \* MERGEFORMATINET </w:instrText>
            </w:r>
            <w:r>
              <w:rPr>
                <w:rFonts w:hint="eastAsia" w:ascii="宋体" w:hAnsi="宋体" w:cs="Tahoma"/>
                <w:kern w:val="0"/>
                <w:sz w:val="12"/>
                <w:szCs w:val="12"/>
              </w:rPr>
              <w:fldChar w:fldCharType="separate"/>
            </w:r>
            <w:r>
              <w:rPr>
                <w:rFonts w:ascii="宋体" w:hAnsi="宋体" w:cs="Tahoma"/>
                <w:kern w:val="0"/>
                <w:sz w:val="12"/>
                <w:szCs w:val="12"/>
              </w:rPr>
              <w:drawing>
                <wp:inline distT="0" distB="0" distL="114300" distR="114300">
                  <wp:extent cx="2019300" cy="2019300"/>
                  <wp:effectExtent l="0" t="0" r="0" b="0"/>
                  <wp:docPr id="11" name="图片 2" descr="2006122711937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2006122711937312"/>
                          <pic:cNvPicPr>
                            <a:picLocks noChangeAspect="1"/>
                          </pic:cNvPicPr>
                        </pic:nvPicPr>
                        <pic:blipFill>
                          <a:blip r:embed="rId23" cstate="print"/>
                          <a:stretch>
                            <a:fillRect/>
                          </a:stretch>
                        </pic:blipFill>
                        <pic:spPr>
                          <a:xfrm>
                            <a:off x="0" y="0"/>
                            <a:ext cx="2019300" cy="2019300"/>
                          </a:xfrm>
                          <a:prstGeom prst="rect">
                            <a:avLst/>
                          </a:prstGeom>
                          <a:noFill/>
                          <a:ln>
                            <a:noFill/>
                          </a:ln>
                        </pic:spPr>
                      </pic:pic>
                    </a:graphicData>
                  </a:graphic>
                </wp:inline>
              </w:drawing>
            </w:r>
            <w:r>
              <w:rPr>
                <w:rFonts w:hint="eastAsia" w:ascii="宋体" w:hAnsi="宋体" w:cs="Tahoma"/>
                <w:kern w:val="0"/>
                <w:sz w:val="12"/>
                <w:szCs w:val="12"/>
              </w:rPr>
              <w:fldChar w:fldCharType="end"/>
            </w:r>
          </w:p>
        </w:tc>
        <w:tc>
          <w:tcPr>
            <w:tcW w:w="1275" w:type="dxa"/>
            <w:vAlign w:val="center"/>
          </w:tcPr>
          <w:p>
            <w:pPr>
              <w:spacing w:line="360" w:lineRule="auto"/>
              <w:jc w:val="center"/>
              <w:rPr>
                <w:rFonts w:ascii="宋体" w:hAnsi="宋体"/>
              </w:rPr>
            </w:pPr>
            <w:r>
              <w:rPr>
                <w:rFonts w:hint="eastAsia" w:ascii="宋体" w:hAnsi="宋体"/>
              </w:rPr>
              <w:t>禁止穿化纤服装</w:t>
            </w:r>
          </w:p>
          <w:p>
            <w:pPr>
              <w:spacing w:line="360" w:lineRule="auto"/>
              <w:rPr>
                <w:rFonts w:ascii="宋体" w:hAnsi="宋体"/>
              </w:rPr>
            </w:pPr>
            <w:r>
              <w:rPr>
                <w:rFonts w:ascii="宋体" w:hAnsi="宋体"/>
              </w:rPr>
              <w:t>N</w:t>
            </w:r>
            <w:r>
              <w:rPr>
                <w:rFonts w:hint="eastAsia" w:ascii="宋体" w:hAnsi="宋体"/>
              </w:rPr>
              <w:t>o putting on chemical fibre clothings</w:t>
            </w:r>
          </w:p>
        </w:tc>
        <w:tc>
          <w:tcPr>
            <w:tcW w:w="648" w:type="dxa"/>
            <w:vAlign w:val="center"/>
          </w:tcPr>
          <w:p>
            <w:pPr>
              <w:spacing w:line="360" w:lineRule="auto"/>
              <w:jc w:val="center"/>
              <w:rPr>
                <w:rFonts w:ascii="宋体" w:hAnsi="宋体"/>
              </w:rPr>
            </w:pPr>
            <w:r>
              <w:rPr>
                <w:rFonts w:hint="eastAsia" w:ascii="宋体" w:hAnsi="宋体"/>
              </w:rPr>
              <w:t>4</w:t>
            </w:r>
          </w:p>
        </w:tc>
        <w:tc>
          <w:tcPr>
            <w:tcW w:w="1579" w:type="dxa"/>
            <w:vAlign w:val="center"/>
          </w:tcPr>
          <w:p>
            <w:pPr>
              <w:spacing w:line="360" w:lineRule="auto"/>
              <w:ind w:firstLine="210" w:firstLineChars="100"/>
              <w:rPr>
                <w:rFonts w:ascii="宋体" w:hAnsi="宋体"/>
              </w:rPr>
            </w:pPr>
            <w:r>
              <w:rPr>
                <w:rFonts w:hint="eastAsia" w:ascii="宋体" w:hAnsi="宋体"/>
              </w:rPr>
              <w:t>加油区、卸油区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331" w:hRule="atLeast"/>
        </w:trPr>
        <w:tc>
          <w:tcPr>
            <w:tcW w:w="828" w:type="dxa"/>
            <w:vAlign w:val="center"/>
          </w:tcPr>
          <w:p>
            <w:pPr>
              <w:spacing w:line="360" w:lineRule="auto"/>
              <w:jc w:val="center"/>
              <w:rPr>
                <w:rFonts w:ascii="宋体" w:hAnsi="宋体"/>
              </w:rPr>
            </w:pPr>
            <w:r>
              <w:rPr>
                <w:rFonts w:hint="eastAsia" w:ascii="宋体" w:hAnsi="宋体"/>
              </w:rPr>
              <w:t>1－11</w:t>
            </w:r>
          </w:p>
        </w:tc>
        <w:tc>
          <w:tcPr>
            <w:tcW w:w="4437" w:type="dxa"/>
            <w:vAlign w:val="center"/>
          </w:tcPr>
          <w:p>
            <w:pPr>
              <w:spacing w:line="360" w:lineRule="auto"/>
              <w:jc w:val="center"/>
              <w:rPr>
                <w:rFonts w:ascii="宋体" w:hAnsi="宋体"/>
              </w:rPr>
            </w:pPr>
            <w:r>
              <w:rPr>
                <w:rFonts w:hint="eastAsia" w:ascii="宋体" w:hAnsi="宋体" w:cs="Tahoma"/>
                <w:kern w:val="0"/>
                <w:sz w:val="12"/>
                <w:szCs w:val="12"/>
              </w:rPr>
              <w:fldChar w:fldCharType="begin"/>
            </w:r>
            <w:r>
              <w:rPr>
                <w:rFonts w:hint="eastAsia" w:ascii="宋体" w:hAnsi="宋体" w:cs="Tahoma"/>
                <w:kern w:val="0"/>
                <w:sz w:val="12"/>
                <w:szCs w:val="12"/>
              </w:rPr>
              <w:instrText xml:space="preserve"> INCLUDEPICTURE "http://www.hbsafety.cn/article/UploadPic/2006-12/2006122711939639.gif" \* MERGEFORMATINET </w:instrText>
            </w:r>
            <w:r>
              <w:rPr>
                <w:rFonts w:hint="eastAsia" w:ascii="宋体" w:hAnsi="宋体" w:cs="Tahoma"/>
                <w:kern w:val="0"/>
                <w:sz w:val="12"/>
                <w:szCs w:val="12"/>
              </w:rPr>
              <w:fldChar w:fldCharType="separate"/>
            </w:r>
            <w:r>
              <w:rPr>
                <w:rFonts w:ascii="宋体" w:hAnsi="宋体" w:cs="Tahoma"/>
                <w:kern w:val="0"/>
                <w:sz w:val="12"/>
                <w:szCs w:val="12"/>
              </w:rPr>
              <w:drawing>
                <wp:inline distT="0" distB="0" distL="114300" distR="114300">
                  <wp:extent cx="2019300" cy="1766570"/>
                  <wp:effectExtent l="0" t="0" r="0" b="5080"/>
                  <wp:docPr id="13" name="图片 3" descr="2006122711939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2006122711939639"/>
                          <pic:cNvPicPr>
                            <a:picLocks noChangeAspect="1"/>
                          </pic:cNvPicPr>
                        </pic:nvPicPr>
                        <pic:blipFill>
                          <a:blip r:embed="rId24" cstate="print"/>
                          <a:stretch>
                            <a:fillRect/>
                          </a:stretch>
                        </pic:blipFill>
                        <pic:spPr>
                          <a:xfrm>
                            <a:off x="0" y="0"/>
                            <a:ext cx="2019300" cy="1766570"/>
                          </a:xfrm>
                          <a:prstGeom prst="rect">
                            <a:avLst/>
                          </a:prstGeom>
                          <a:noFill/>
                          <a:ln>
                            <a:noFill/>
                          </a:ln>
                        </pic:spPr>
                      </pic:pic>
                    </a:graphicData>
                  </a:graphic>
                </wp:inline>
              </w:drawing>
            </w:r>
            <w:r>
              <w:rPr>
                <w:rFonts w:hint="eastAsia" w:ascii="宋体" w:hAnsi="宋体" w:cs="Tahoma"/>
                <w:kern w:val="0"/>
                <w:sz w:val="12"/>
                <w:szCs w:val="12"/>
              </w:rPr>
              <w:fldChar w:fldCharType="end"/>
            </w:r>
          </w:p>
        </w:tc>
        <w:tc>
          <w:tcPr>
            <w:tcW w:w="1275" w:type="dxa"/>
            <w:vAlign w:val="center"/>
          </w:tcPr>
          <w:p>
            <w:pPr>
              <w:spacing w:line="360" w:lineRule="auto"/>
              <w:jc w:val="center"/>
              <w:rPr>
                <w:rFonts w:ascii="宋体" w:hAnsi="宋体"/>
              </w:rPr>
            </w:pPr>
            <w:r>
              <w:rPr>
                <w:rFonts w:hint="eastAsia" w:ascii="宋体" w:hAnsi="宋体"/>
              </w:rPr>
              <w:t>当心触电</w:t>
            </w:r>
          </w:p>
          <w:p>
            <w:pPr>
              <w:spacing w:line="360" w:lineRule="auto"/>
              <w:jc w:val="center"/>
              <w:rPr>
                <w:rFonts w:ascii="宋体" w:hAnsi="宋体"/>
              </w:rPr>
            </w:pPr>
            <w:r>
              <w:rPr>
                <w:rFonts w:ascii="宋体" w:hAnsi="宋体"/>
              </w:rPr>
              <w:t>W</w:t>
            </w:r>
            <w:r>
              <w:rPr>
                <w:rFonts w:hint="eastAsia" w:ascii="宋体" w:hAnsi="宋体"/>
              </w:rPr>
              <w:t>arning electric shock</w:t>
            </w:r>
          </w:p>
        </w:tc>
        <w:tc>
          <w:tcPr>
            <w:tcW w:w="648" w:type="dxa"/>
            <w:vAlign w:val="center"/>
          </w:tcPr>
          <w:p>
            <w:pPr>
              <w:spacing w:line="360" w:lineRule="auto"/>
              <w:jc w:val="center"/>
              <w:rPr>
                <w:rFonts w:ascii="宋体" w:hAnsi="宋体"/>
              </w:rPr>
            </w:pPr>
            <w:r>
              <w:rPr>
                <w:rFonts w:hint="eastAsia" w:ascii="宋体" w:hAnsi="宋体"/>
              </w:rPr>
              <w:t>J</w:t>
            </w:r>
          </w:p>
        </w:tc>
        <w:tc>
          <w:tcPr>
            <w:tcW w:w="1579" w:type="dxa"/>
            <w:vAlign w:val="center"/>
          </w:tcPr>
          <w:p>
            <w:pPr>
              <w:spacing w:line="360" w:lineRule="auto"/>
              <w:rPr>
                <w:rFonts w:ascii="宋体" w:hAnsi="宋体"/>
              </w:rPr>
            </w:pPr>
            <w:r>
              <w:rPr>
                <w:rFonts w:hint="eastAsia" w:ascii="宋体" w:hAnsi="宋体"/>
              </w:rPr>
              <w:t>配电室、发电间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Pr>
        <w:tc>
          <w:tcPr>
            <w:tcW w:w="828" w:type="dxa"/>
            <w:vAlign w:val="center"/>
          </w:tcPr>
          <w:p>
            <w:pPr>
              <w:spacing w:line="360" w:lineRule="auto"/>
              <w:jc w:val="center"/>
              <w:rPr>
                <w:rFonts w:ascii="宋体" w:hAnsi="宋体"/>
              </w:rPr>
            </w:pPr>
            <w:r>
              <w:rPr>
                <w:rFonts w:hint="eastAsia" w:ascii="宋体" w:hAnsi="宋体"/>
              </w:rPr>
              <w:t>1-12</w:t>
            </w:r>
          </w:p>
        </w:tc>
        <w:tc>
          <w:tcPr>
            <w:tcW w:w="4437" w:type="dxa"/>
            <w:vAlign w:val="center"/>
          </w:tcPr>
          <w:p>
            <w:pPr>
              <w:spacing w:line="360" w:lineRule="auto"/>
              <w:jc w:val="center"/>
              <w:rPr>
                <w:rFonts w:ascii="宋体" w:hAnsi="宋体"/>
              </w:rPr>
            </w:pPr>
            <w:r>
              <w:rPr>
                <w:rFonts w:hint="eastAsia" w:ascii="宋体" w:hAnsi="宋体"/>
              </w:rPr>
              <w:drawing>
                <wp:inline distT="0" distB="0" distL="114300" distR="114300">
                  <wp:extent cx="1705610" cy="2456815"/>
                  <wp:effectExtent l="0" t="0" r="8890" b="635"/>
                  <wp:docPr id="14" name="图片 14" descr="59a4b076f3eeb22059576040c16d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9a4b076f3eeb22059576040c16d5027"/>
                          <pic:cNvPicPr>
                            <a:picLocks noChangeAspect="1"/>
                          </pic:cNvPicPr>
                        </pic:nvPicPr>
                        <pic:blipFill>
                          <a:blip r:embed="rId25" cstate="print"/>
                          <a:stretch>
                            <a:fillRect/>
                          </a:stretch>
                        </pic:blipFill>
                        <pic:spPr>
                          <a:xfrm>
                            <a:off x="0" y="0"/>
                            <a:ext cx="1705610" cy="2456815"/>
                          </a:xfrm>
                          <a:prstGeom prst="rect">
                            <a:avLst/>
                          </a:prstGeom>
                        </pic:spPr>
                      </pic:pic>
                    </a:graphicData>
                  </a:graphic>
                </wp:inline>
              </w:drawing>
            </w:r>
          </w:p>
        </w:tc>
        <w:tc>
          <w:tcPr>
            <w:tcW w:w="1275" w:type="dxa"/>
            <w:vAlign w:val="center"/>
          </w:tcPr>
          <w:p>
            <w:pPr>
              <w:spacing w:line="360" w:lineRule="auto"/>
              <w:jc w:val="center"/>
              <w:rPr>
                <w:rFonts w:ascii="宋体" w:hAnsi="宋体"/>
              </w:rPr>
            </w:pPr>
            <w:r>
              <w:rPr>
                <w:rFonts w:hint="eastAsia" w:ascii="宋体" w:hAnsi="宋体"/>
              </w:rPr>
              <w:t>小心地滑</w:t>
            </w:r>
          </w:p>
        </w:tc>
        <w:tc>
          <w:tcPr>
            <w:tcW w:w="648" w:type="dxa"/>
            <w:vAlign w:val="center"/>
          </w:tcPr>
          <w:p>
            <w:pPr>
              <w:spacing w:line="360" w:lineRule="auto"/>
              <w:jc w:val="center"/>
              <w:rPr>
                <w:rFonts w:ascii="宋体" w:hAnsi="宋体"/>
              </w:rPr>
            </w:pPr>
            <w:r>
              <w:rPr>
                <w:rFonts w:hint="eastAsia" w:ascii="宋体" w:hAnsi="宋体"/>
              </w:rPr>
              <w:t>1</w:t>
            </w:r>
          </w:p>
        </w:tc>
        <w:tc>
          <w:tcPr>
            <w:tcW w:w="1579" w:type="dxa"/>
            <w:vAlign w:val="center"/>
          </w:tcPr>
          <w:p>
            <w:pPr>
              <w:spacing w:line="360" w:lineRule="auto"/>
              <w:rPr>
                <w:rFonts w:ascii="宋体" w:hAnsi="宋体"/>
              </w:rPr>
            </w:pPr>
            <w:r>
              <w:rPr>
                <w:rFonts w:hint="eastAsia" w:ascii="宋体" w:hAnsi="宋体"/>
              </w:rPr>
              <w:t>卫生间、楼梯间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Pr>
        <w:tc>
          <w:tcPr>
            <w:tcW w:w="828" w:type="dxa"/>
            <w:vAlign w:val="center"/>
          </w:tcPr>
          <w:p>
            <w:pPr>
              <w:spacing w:line="360" w:lineRule="auto"/>
              <w:jc w:val="center"/>
              <w:rPr>
                <w:rFonts w:ascii="宋体" w:hAnsi="宋体"/>
              </w:rPr>
            </w:pPr>
            <w:r>
              <w:rPr>
                <w:rFonts w:hint="eastAsia" w:ascii="宋体" w:hAnsi="宋体"/>
              </w:rPr>
              <w:t>1-13</w:t>
            </w:r>
          </w:p>
        </w:tc>
        <w:tc>
          <w:tcPr>
            <w:tcW w:w="4437" w:type="dxa"/>
            <w:vAlign w:val="center"/>
          </w:tcPr>
          <w:p>
            <w:pPr>
              <w:spacing w:line="360" w:lineRule="auto"/>
              <w:jc w:val="center"/>
              <w:rPr>
                <w:rFonts w:ascii="宋体" w:hAnsi="宋体"/>
              </w:rPr>
            </w:pPr>
            <w:r>
              <w:rPr>
                <w:rFonts w:hint="eastAsia" w:ascii="宋体" w:hAnsi="宋体"/>
              </w:rPr>
              <w:drawing>
                <wp:inline distT="0" distB="0" distL="114300" distR="114300">
                  <wp:extent cx="1541145" cy="2026920"/>
                  <wp:effectExtent l="0" t="0" r="1905" b="11430"/>
                  <wp:docPr id="15" name="图片 15" descr="d078cd06d473ff3e30455965c4180c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d078cd06d473ff3e30455965c4180c64"/>
                          <pic:cNvPicPr>
                            <a:picLocks noChangeAspect="1"/>
                          </pic:cNvPicPr>
                        </pic:nvPicPr>
                        <pic:blipFill>
                          <a:blip r:embed="rId26" cstate="print"/>
                          <a:stretch>
                            <a:fillRect/>
                          </a:stretch>
                        </pic:blipFill>
                        <pic:spPr>
                          <a:xfrm>
                            <a:off x="0" y="0"/>
                            <a:ext cx="1541145" cy="2026920"/>
                          </a:xfrm>
                          <a:prstGeom prst="rect">
                            <a:avLst/>
                          </a:prstGeom>
                        </pic:spPr>
                      </pic:pic>
                    </a:graphicData>
                  </a:graphic>
                </wp:inline>
              </w:drawing>
            </w:r>
          </w:p>
        </w:tc>
        <w:tc>
          <w:tcPr>
            <w:tcW w:w="1275" w:type="dxa"/>
            <w:vAlign w:val="center"/>
          </w:tcPr>
          <w:p>
            <w:pPr>
              <w:spacing w:line="360" w:lineRule="auto"/>
              <w:jc w:val="center"/>
              <w:rPr>
                <w:rFonts w:ascii="宋体" w:hAnsi="宋体"/>
              </w:rPr>
            </w:pPr>
            <w:r>
              <w:rPr>
                <w:rFonts w:hint="eastAsia" w:ascii="宋体" w:hAnsi="宋体"/>
              </w:rPr>
              <w:t>禁止停车</w:t>
            </w:r>
          </w:p>
        </w:tc>
        <w:tc>
          <w:tcPr>
            <w:tcW w:w="648" w:type="dxa"/>
            <w:vAlign w:val="center"/>
          </w:tcPr>
          <w:p>
            <w:pPr>
              <w:spacing w:line="360" w:lineRule="auto"/>
              <w:jc w:val="center"/>
              <w:rPr>
                <w:rFonts w:ascii="宋体" w:hAnsi="宋体"/>
              </w:rPr>
            </w:pPr>
            <w:r>
              <w:rPr>
                <w:rFonts w:hint="eastAsia" w:ascii="宋体" w:hAnsi="宋体"/>
              </w:rPr>
              <w:t>1</w:t>
            </w:r>
          </w:p>
        </w:tc>
        <w:tc>
          <w:tcPr>
            <w:tcW w:w="1579" w:type="dxa"/>
            <w:vAlign w:val="center"/>
          </w:tcPr>
          <w:p>
            <w:pPr>
              <w:spacing w:line="360" w:lineRule="auto"/>
              <w:rPr>
                <w:rFonts w:ascii="宋体" w:hAnsi="宋体"/>
              </w:rPr>
            </w:pPr>
            <w:r>
              <w:rPr>
                <w:rFonts w:hint="eastAsia" w:ascii="宋体" w:hAnsi="宋体"/>
              </w:rPr>
              <w:t>加油站进出口、非停车位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Pr>
        <w:tc>
          <w:tcPr>
            <w:tcW w:w="828" w:type="dxa"/>
            <w:vAlign w:val="center"/>
          </w:tcPr>
          <w:p>
            <w:pPr>
              <w:spacing w:line="360" w:lineRule="auto"/>
              <w:jc w:val="center"/>
              <w:rPr>
                <w:rFonts w:ascii="宋体" w:hAnsi="宋体"/>
              </w:rPr>
            </w:pPr>
            <w:r>
              <w:rPr>
                <w:rFonts w:hint="eastAsia" w:ascii="宋体" w:hAnsi="宋体"/>
              </w:rPr>
              <w:t>1-14</w:t>
            </w:r>
          </w:p>
        </w:tc>
        <w:tc>
          <w:tcPr>
            <w:tcW w:w="4437" w:type="dxa"/>
            <w:vAlign w:val="center"/>
          </w:tcPr>
          <w:p>
            <w:pPr>
              <w:widowControl/>
              <w:jc w:val="left"/>
            </w:pPr>
          </w:p>
          <w:p>
            <w:pPr>
              <w:widowControl/>
              <w:jc w:val="left"/>
            </w:pPr>
            <w:r>
              <w:rPr>
                <w:rFonts w:hint="eastAsia"/>
              </w:rPr>
              <w:drawing>
                <wp:inline distT="0" distB="0" distL="114300" distR="114300">
                  <wp:extent cx="2201545" cy="2831465"/>
                  <wp:effectExtent l="0" t="0" r="8255" b="6985"/>
                  <wp:docPr id="19" name="图片 19"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timg"/>
                          <pic:cNvPicPr>
                            <a:picLocks noChangeAspect="1"/>
                          </pic:cNvPicPr>
                        </pic:nvPicPr>
                        <pic:blipFill>
                          <a:blip r:embed="rId27" cstate="print"/>
                          <a:stretch>
                            <a:fillRect/>
                          </a:stretch>
                        </pic:blipFill>
                        <pic:spPr>
                          <a:xfrm>
                            <a:off x="0" y="0"/>
                            <a:ext cx="2201545" cy="2831465"/>
                          </a:xfrm>
                          <a:prstGeom prst="rect">
                            <a:avLst/>
                          </a:prstGeom>
                        </pic:spPr>
                      </pic:pic>
                    </a:graphicData>
                  </a:graphic>
                </wp:inline>
              </w:drawing>
            </w:r>
          </w:p>
          <w:p>
            <w:pPr>
              <w:widowControl/>
              <w:jc w:val="left"/>
            </w:pPr>
          </w:p>
          <w:p>
            <w:pPr>
              <w:spacing w:line="360" w:lineRule="auto"/>
              <w:jc w:val="center"/>
              <w:rPr>
                <w:rFonts w:ascii="宋体" w:hAnsi="宋体"/>
              </w:rPr>
            </w:pPr>
          </w:p>
        </w:tc>
        <w:tc>
          <w:tcPr>
            <w:tcW w:w="1275" w:type="dxa"/>
            <w:vAlign w:val="center"/>
          </w:tcPr>
          <w:p>
            <w:pPr>
              <w:spacing w:line="360" w:lineRule="auto"/>
              <w:jc w:val="center"/>
              <w:rPr>
                <w:rFonts w:ascii="宋体" w:hAnsi="宋体"/>
              </w:rPr>
            </w:pPr>
            <w:r>
              <w:rPr>
                <w:rFonts w:hint="eastAsia" w:ascii="宋体" w:hAnsi="宋体"/>
              </w:rPr>
              <w:t>禁用塑料桶</w:t>
            </w:r>
          </w:p>
        </w:tc>
        <w:tc>
          <w:tcPr>
            <w:tcW w:w="648" w:type="dxa"/>
            <w:vAlign w:val="center"/>
          </w:tcPr>
          <w:p>
            <w:pPr>
              <w:spacing w:line="360" w:lineRule="auto"/>
              <w:jc w:val="center"/>
              <w:rPr>
                <w:rFonts w:ascii="宋体" w:hAnsi="宋体"/>
              </w:rPr>
            </w:pPr>
            <w:r>
              <w:rPr>
                <w:rFonts w:hint="eastAsia" w:ascii="宋体" w:hAnsi="宋体"/>
              </w:rPr>
              <w:t>4</w:t>
            </w:r>
          </w:p>
        </w:tc>
        <w:tc>
          <w:tcPr>
            <w:tcW w:w="1579" w:type="dxa"/>
            <w:vAlign w:val="center"/>
          </w:tcPr>
          <w:p>
            <w:pPr>
              <w:spacing w:line="360" w:lineRule="auto"/>
              <w:rPr>
                <w:rFonts w:ascii="宋体" w:hAnsi="宋体"/>
              </w:rPr>
            </w:pPr>
            <w:r>
              <w:rPr>
                <w:rFonts w:hint="eastAsia" w:ascii="宋体" w:hAnsi="宋体"/>
              </w:rPr>
              <w:t>加油站作业区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Pr>
        <w:tc>
          <w:tcPr>
            <w:tcW w:w="828" w:type="dxa"/>
            <w:vAlign w:val="center"/>
          </w:tcPr>
          <w:p>
            <w:pPr>
              <w:spacing w:line="360" w:lineRule="auto"/>
              <w:jc w:val="center"/>
              <w:rPr>
                <w:rFonts w:ascii="宋体" w:hAnsi="宋体"/>
              </w:rPr>
            </w:pPr>
            <w:r>
              <w:rPr>
                <w:rFonts w:hint="eastAsia" w:ascii="宋体" w:hAnsi="宋体"/>
              </w:rPr>
              <w:t>1-15</w:t>
            </w:r>
          </w:p>
        </w:tc>
        <w:tc>
          <w:tcPr>
            <w:tcW w:w="4437" w:type="dxa"/>
            <w:vAlign w:val="center"/>
          </w:tcPr>
          <w:p>
            <w:pPr>
              <w:spacing w:line="360" w:lineRule="auto"/>
              <w:jc w:val="center"/>
              <w:rPr>
                <w:rFonts w:ascii="宋体" w:hAnsi="宋体"/>
              </w:rPr>
            </w:pPr>
            <w:r>
              <w:rPr>
                <w:rFonts w:hint="eastAsia" w:ascii="宋体" w:hAnsi="宋体"/>
              </w:rPr>
              <w:drawing>
                <wp:inline distT="0" distB="0" distL="114300" distR="114300">
                  <wp:extent cx="2680335" cy="2980690"/>
                  <wp:effectExtent l="0" t="0" r="5715" b="10160"/>
                  <wp:docPr id="20" name="图片 20" descr="timgY64EAM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timgY64EAMO0"/>
                          <pic:cNvPicPr>
                            <a:picLocks noChangeAspect="1"/>
                          </pic:cNvPicPr>
                        </pic:nvPicPr>
                        <pic:blipFill>
                          <a:blip r:embed="rId28" cstate="print"/>
                          <a:stretch>
                            <a:fillRect/>
                          </a:stretch>
                        </pic:blipFill>
                        <pic:spPr>
                          <a:xfrm>
                            <a:off x="0" y="0"/>
                            <a:ext cx="2680335" cy="2980690"/>
                          </a:xfrm>
                          <a:prstGeom prst="rect">
                            <a:avLst/>
                          </a:prstGeom>
                        </pic:spPr>
                      </pic:pic>
                    </a:graphicData>
                  </a:graphic>
                </wp:inline>
              </w:drawing>
            </w:r>
          </w:p>
        </w:tc>
        <w:tc>
          <w:tcPr>
            <w:tcW w:w="1275" w:type="dxa"/>
            <w:vAlign w:val="center"/>
          </w:tcPr>
          <w:p>
            <w:pPr>
              <w:spacing w:line="360" w:lineRule="auto"/>
              <w:rPr>
                <w:rFonts w:ascii="宋体" w:hAnsi="宋体"/>
              </w:rPr>
            </w:pPr>
            <w:r>
              <w:rPr>
                <w:rFonts w:hint="eastAsia" w:ascii="宋体" w:hAnsi="宋体"/>
              </w:rPr>
              <w:t>加油站内禁止维修</w:t>
            </w:r>
          </w:p>
        </w:tc>
        <w:tc>
          <w:tcPr>
            <w:tcW w:w="648" w:type="dxa"/>
            <w:vAlign w:val="center"/>
          </w:tcPr>
          <w:p>
            <w:pPr>
              <w:spacing w:line="360" w:lineRule="auto"/>
              <w:jc w:val="center"/>
              <w:rPr>
                <w:rFonts w:ascii="宋体" w:hAnsi="宋体"/>
              </w:rPr>
            </w:pPr>
            <w:r>
              <w:rPr>
                <w:rFonts w:hint="eastAsia" w:ascii="宋体" w:hAnsi="宋体"/>
              </w:rPr>
              <w:t>4</w:t>
            </w:r>
          </w:p>
        </w:tc>
        <w:tc>
          <w:tcPr>
            <w:tcW w:w="1579" w:type="dxa"/>
            <w:vAlign w:val="center"/>
          </w:tcPr>
          <w:p>
            <w:pPr>
              <w:spacing w:line="360" w:lineRule="auto"/>
              <w:rPr>
                <w:rFonts w:ascii="宋体" w:hAnsi="宋体"/>
              </w:rPr>
            </w:pPr>
            <w:r>
              <w:rPr>
                <w:rFonts w:hint="eastAsia" w:ascii="宋体" w:hAnsi="宋体"/>
              </w:rPr>
              <w:t>加油作业场所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Pr>
        <w:tc>
          <w:tcPr>
            <w:tcW w:w="828" w:type="dxa"/>
            <w:vAlign w:val="center"/>
          </w:tcPr>
          <w:p>
            <w:pPr>
              <w:spacing w:line="360" w:lineRule="auto"/>
              <w:jc w:val="center"/>
              <w:rPr>
                <w:rFonts w:ascii="宋体" w:hAnsi="宋体"/>
              </w:rPr>
            </w:pPr>
            <w:r>
              <w:rPr>
                <w:rFonts w:hint="eastAsia" w:ascii="宋体" w:hAnsi="宋体"/>
              </w:rPr>
              <w:t>1-16</w:t>
            </w:r>
          </w:p>
        </w:tc>
        <w:tc>
          <w:tcPr>
            <w:tcW w:w="4437" w:type="dxa"/>
            <w:vAlign w:val="center"/>
          </w:tcPr>
          <w:p>
            <w:pPr>
              <w:spacing w:line="360" w:lineRule="auto"/>
              <w:jc w:val="center"/>
              <w:rPr>
                <w:rFonts w:ascii="宋体" w:hAnsi="宋体"/>
              </w:rPr>
            </w:pPr>
            <w:r>
              <w:rPr>
                <w:rFonts w:hint="eastAsia" w:ascii="宋体" w:hAnsi="宋体"/>
              </w:rPr>
              <w:drawing>
                <wp:inline distT="0" distB="0" distL="114300" distR="114300">
                  <wp:extent cx="2558415" cy="1806575"/>
                  <wp:effectExtent l="0" t="0" r="13335" b="3175"/>
                  <wp:docPr id="21" name="图片 21" descr="u=631001906,1014485156&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u=631001906,1014485156&amp;fm=26&amp;gp=0"/>
                          <pic:cNvPicPr>
                            <a:picLocks noChangeAspect="1"/>
                          </pic:cNvPicPr>
                        </pic:nvPicPr>
                        <pic:blipFill>
                          <a:blip r:embed="rId29" cstate="print"/>
                          <a:stretch>
                            <a:fillRect/>
                          </a:stretch>
                        </pic:blipFill>
                        <pic:spPr>
                          <a:xfrm>
                            <a:off x="0" y="0"/>
                            <a:ext cx="2558415" cy="1806575"/>
                          </a:xfrm>
                          <a:prstGeom prst="rect">
                            <a:avLst/>
                          </a:prstGeom>
                        </pic:spPr>
                      </pic:pic>
                    </a:graphicData>
                  </a:graphic>
                </wp:inline>
              </w:drawing>
            </w:r>
          </w:p>
        </w:tc>
        <w:tc>
          <w:tcPr>
            <w:tcW w:w="1275" w:type="dxa"/>
            <w:vAlign w:val="center"/>
          </w:tcPr>
          <w:p>
            <w:pPr>
              <w:spacing w:line="360" w:lineRule="auto"/>
              <w:jc w:val="center"/>
              <w:rPr>
                <w:rFonts w:ascii="宋体" w:hAnsi="宋体"/>
              </w:rPr>
            </w:pPr>
            <w:r>
              <w:rPr>
                <w:rFonts w:hint="eastAsia" w:ascii="宋体" w:hAnsi="宋体"/>
              </w:rPr>
              <w:t>监控视频范围</w:t>
            </w:r>
          </w:p>
        </w:tc>
        <w:tc>
          <w:tcPr>
            <w:tcW w:w="648" w:type="dxa"/>
            <w:vAlign w:val="center"/>
          </w:tcPr>
          <w:p>
            <w:pPr>
              <w:spacing w:line="360" w:lineRule="auto"/>
              <w:jc w:val="center"/>
              <w:rPr>
                <w:rFonts w:ascii="宋体" w:hAnsi="宋体"/>
              </w:rPr>
            </w:pPr>
            <w:r>
              <w:rPr>
                <w:rFonts w:hint="eastAsia" w:ascii="宋体" w:hAnsi="宋体"/>
              </w:rPr>
              <w:t>4</w:t>
            </w:r>
          </w:p>
        </w:tc>
        <w:tc>
          <w:tcPr>
            <w:tcW w:w="1579" w:type="dxa"/>
            <w:vAlign w:val="center"/>
          </w:tcPr>
          <w:p>
            <w:pPr>
              <w:spacing w:line="360" w:lineRule="auto"/>
              <w:ind w:firstLine="210" w:firstLineChars="100"/>
              <w:rPr>
                <w:rFonts w:ascii="宋体" w:hAnsi="宋体"/>
              </w:rPr>
            </w:pPr>
            <w:r>
              <w:rPr>
                <w:rFonts w:hint="eastAsia" w:ascii="宋体" w:hAnsi="宋体"/>
              </w:rPr>
              <w:t>加油站内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2751" w:hRule="atLeast"/>
        </w:trPr>
        <w:tc>
          <w:tcPr>
            <w:tcW w:w="828" w:type="dxa"/>
            <w:vAlign w:val="center"/>
          </w:tcPr>
          <w:p>
            <w:pPr>
              <w:spacing w:line="360" w:lineRule="auto"/>
              <w:jc w:val="center"/>
              <w:rPr>
                <w:rFonts w:ascii="宋体" w:hAnsi="宋体"/>
              </w:rPr>
            </w:pPr>
            <w:r>
              <w:rPr>
                <w:rFonts w:hint="eastAsia" w:ascii="宋体" w:hAnsi="宋体"/>
              </w:rPr>
              <w:t>1-17</w:t>
            </w:r>
          </w:p>
        </w:tc>
        <w:tc>
          <w:tcPr>
            <w:tcW w:w="4437" w:type="dxa"/>
            <w:vAlign w:val="center"/>
          </w:tcPr>
          <w:p>
            <w:pPr>
              <w:spacing w:line="360" w:lineRule="auto"/>
              <w:jc w:val="center"/>
              <w:rPr>
                <w:rFonts w:ascii="宋体" w:hAnsi="宋体"/>
              </w:rPr>
            </w:pPr>
            <w:r>
              <w:rPr>
                <w:rFonts w:hint="eastAsia" w:ascii="宋体" w:hAnsi="宋体"/>
              </w:rPr>
              <w:t>职业危害告知牌</w:t>
            </w:r>
          </w:p>
        </w:tc>
        <w:tc>
          <w:tcPr>
            <w:tcW w:w="1275" w:type="dxa"/>
            <w:vAlign w:val="center"/>
          </w:tcPr>
          <w:p>
            <w:pPr>
              <w:spacing w:line="360" w:lineRule="auto"/>
              <w:jc w:val="center"/>
              <w:rPr>
                <w:rFonts w:ascii="宋体" w:hAnsi="宋体"/>
              </w:rPr>
            </w:pPr>
            <w:r>
              <w:rPr>
                <w:rFonts w:hint="eastAsia" w:ascii="宋体" w:hAnsi="宋体"/>
              </w:rPr>
              <w:t>汽油、柴油危害告知</w:t>
            </w:r>
          </w:p>
        </w:tc>
        <w:tc>
          <w:tcPr>
            <w:tcW w:w="648" w:type="dxa"/>
            <w:vAlign w:val="center"/>
          </w:tcPr>
          <w:p>
            <w:pPr>
              <w:spacing w:line="360" w:lineRule="auto"/>
              <w:jc w:val="center"/>
              <w:rPr>
                <w:rFonts w:ascii="宋体" w:hAnsi="宋体"/>
              </w:rPr>
            </w:pPr>
            <w:r>
              <w:rPr>
                <w:rFonts w:hint="eastAsia" w:ascii="宋体" w:hAnsi="宋体"/>
              </w:rPr>
              <w:t>1</w:t>
            </w:r>
          </w:p>
        </w:tc>
        <w:tc>
          <w:tcPr>
            <w:tcW w:w="1579" w:type="dxa"/>
            <w:vAlign w:val="center"/>
          </w:tcPr>
          <w:p>
            <w:pPr>
              <w:spacing w:line="360" w:lineRule="auto"/>
              <w:rPr>
                <w:rFonts w:ascii="宋体" w:hAnsi="宋体"/>
              </w:rPr>
            </w:pPr>
            <w:r>
              <w:rPr>
                <w:rFonts w:hint="eastAsia" w:ascii="宋体" w:hAnsi="宋体"/>
              </w:rPr>
              <w:t>加油作业场所</w:t>
            </w:r>
          </w:p>
        </w:tc>
      </w:tr>
    </w:tbl>
    <w:p>
      <w:pPr>
        <w:adjustRightInd w:val="0"/>
        <w:snapToGrid w:val="0"/>
        <w:spacing w:line="560" w:lineRule="exact"/>
        <w:rPr>
          <w:rFonts w:ascii="方正仿宋简体" w:eastAsia="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ZSSJW--GB1-0">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6pebnPAAAA&#10;BQEAAA8AAAAAAAAAAQAgAAAAIgAAAGRycy9kb3ducmV2LnhtbFBLAQIUABQAAAAIAIdO4kCCFB3C&#10;tAEAAFwDAAAOAAAAAAAAAAEAIAAAAB4BAABkcnMvZTJvRG9jLnhtbFBLBQYAAAAABgAGAFkBAABE&#10;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Hy6Tn2z&#10;AQAAXQMAAA4AAAAAAAAAAQAgAAAAHgEAAGRycy9lMm9Eb2MueG1sUEsFBgAAAAAGAAYAWQEAAEMF&#10;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88Or&#10;irUBAABdAwAADgAAAAAAAAABACAAAAAeAQAAZHJzL2Uyb0RvYy54bWxQSwUGAAAAAAYABgBZAQAA&#10;RQU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b/>
        <w:bCs/>
        <w:sz w:val="21"/>
        <w:szCs w:val="21"/>
      </w:rPr>
    </w:pPr>
    <w:r>
      <w:rPr>
        <w:rFonts w:hint="eastAsia"/>
        <w:b/>
        <w:bCs/>
        <w:sz w:val="21"/>
        <w:szCs w:val="21"/>
      </w:rPr>
      <w:t xml:space="preserve">                                       </w:t>
    </w:r>
  </w:p>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B3A3AA"/>
    <w:multiLevelType w:val="singleLevel"/>
    <w:tmpl w:val="8BB3A3AA"/>
    <w:lvl w:ilvl="0" w:tentative="0">
      <w:start w:val="1"/>
      <w:numFmt w:val="decimal"/>
      <w:suff w:val="nothing"/>
      <w:lvlText w:val="%1、"/>
      <w:lvlJc w:val="left"/>
    </w:lvl>
  </w:abstractNum>
  <w:abstractNum w:abstractNumId="1">
    <w:nsid w:val="A4CEAA0C"/>
    <w:multiLevelType w:val="singleLevel"/>
    <w:tmpl w:val="A4CEAA0C"/>
    <w:lvl w:ilvl="0" w:tentative="0">
      <w:start w:val="1"/>
      <w:numFmt w:val="decimal"/>
      <w:lvlText w:val="%1."/>
      <w:lvlJc w:val="left"/>
      <w:pPr>
        <w:tabs>
          <w:tab w:val="left" w:pos="312"/>
        </w:tabs>
        <w:ind w:left="0" w:firstLine="0"/>
      </w:pPr>
    </w:lvl>
  </w:abstractNum>
  <w:abstractNum w:abstractNumId="2">
    <w:nsid w:val="DC7585E5"/>
    <w:multiLevelType w:val="singleLevel"/>
    <w:tmpl w:val="DC7585E5"/>
    <w:lvl w:ilvl="0" w:tentative="0">
      <w:start w:val="1"/>
      <w:numFmt w:val="decimal"/>
      <w:suff w:val="nothing"/>
      <w:lvlText w:val="%1、"/>
      <w:lvlJc w:val="left"/>
    </w:lvl>
  </w:abstractNum>
  <w:abstractNum w:abstractNumId="3">
    <w:nsid w:val="EF7C0BF1"/>
    <w:multiLevelType w:val="singleLevel"/>
    <w:tmpl w:val="EF7C0BF1"/>
    <w:lvl w:ilvl="0" w:tentative="0">
      <w:start w:val="1"/>
      <w:numFmt w:val="decimalEnclosedCircleChinese"/>
      <w:suff w:val="nothing"/>
      <w:lvlText w:val="%1　"/>
      <w:lvlJc w:val="left"/>
      <w:pPr>
        <w:ind w:left="0" w:firstLine="400"/>
      </w:pPr>
      <w:rPr>
        <w:rFonts w:hint="eastAsia"/>
      </w:rPr>
    </w:lvl>
  </w:abstractNum>
  <w:abstractNum w:abstractNumId="4">
    <w:nsid w:val="F59B235A"/>
    <w:multiLevelType w:val="singleLevel"/>
    <w:tmpl w:val="F59B235A"/>
    <w:lvl w:ilvl="0" w:tentative="0">
      <w:start w:val="1"/>
      <w:numFmt w:val="decimal"/>
      <w:suff w:val="nothing"/>
      <w:lvlText w:val="%1、"/>
      <w:lvlJc w:val="left"/>
    </w:lvl>
  </w:abstractNum>
  <w:abstractNum w:abstractNumId="5">
    <w:nsid w:val="15263C18"/>
    <w:multiLevelType w:val="singleLevel"/>
    <w:tmpl w:val="15263C18"/>
    <w:lvl w:ilvl="0" w:tentative="0">
      <w:start w:val="1"/>
      <w:numFmt w:val="decimal"/>
      <w:lvlText w:val="%1."/>
      <w:lvlJc w:val="left"/>
      <w:pPr>
        <w:tabs>
          <w:tab w:val="left" w:pos="312"/>
        </w:tabs>
        <w:ind w:left="0" w:firstLine="0"/>
      </w:pPr>
    </w:lvl>
  </w:abstractNum>
  <w:abstractNum w:abstractNumId="6">
    <w:nsid w:val="1AD59C09"/>
    <w:multiLevelType w:val="singleLevel"/>
    <w:tmpl w:val="1AD59C09"/>
    <w:lvl w:ilvl="0" w:tentative="0">
      <w:start w:val="1"/>
      <w:numFmt w:val="decimal"/>
      <w:suff w:val="nothing"/>
      <w:lvlText w:val="%1、"/>
      <w:lvlJc w:val="left"/>
    </w:lvl>
  </w:abstractNum>
  <w:abstractNum w:abstractNumId="7">
    <w:nsid w:val="286317F1"/>
    <w:multiLevelType w:val="singleLevel"/>
    <w:tmpl w:val="286317F1"/>
    <w:lvl w:ilvl="0" w:tentative="0">
      <w:start w:val="1"/>
      <w:numFmt w:val="decimal"/>
      <w:suff w:val="nothing"/>
      <w:lvlText w:val="%1、"/>
      <w:lvlJc w:val="left"/>
    </w:lvl>
  </w:abstractNum>
  <w:abstractNum w:abstractNumId="8">
    <w:nsid w:val="478325D0"/>
    <w:multiLevelType w:val="multilevel"/>
    <w:tmpl w:val="478325D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D3AABE4"/>
    <w:multiLevelType w:val="singleLevel"/>
    <w:tmpl w:val="4D3AABE4"/>
    <w:lvl w:ilvl="0" w:tentative="0">
      <w:start w:val="1"/>
      <w:numFmt w:val="decimal"/>
      <w:suff w:val="nothing"/>
      <w:lvlText w:val="%1、"/>
      <w:lvlJc w:val="left"/>
    </w:lvl>
  </w:abstractNum>
  <w:abstractNum w:abstractNumId="10">
    <w:nsid w:val="5CB32A77"/>
    <w:multiLevelType w:val="singleLevel"/>
    <w:tmpl w:val="5CB32A77"/>
    <w:lvl w:ilvl="0" w:tentative="0">
      <w:start w:val="1"/>
      <w:numFmt w:val="decimal"/>
      <w:suff w:val="nothing"/>
      <w:lvlText w:val="%1、"/>
      <w:lvlJc w:val="left"/>
    </w:lvl>
  </w:abstractNum>
  <w:abstractNum w:abstractNumId="11">
    <w:nsid w:val="6D285E26"/>
    <w:multiLevelType w:val="singleLevel"/>
    <w:tmpl w:val="6D285E26"/>
    <w:lvl w:ilvl="0" w:tentative="0">
      <w:start w:val="5"/>
      <w:numFmt w:val="decimal"/>
      <w:suff w:val="nothing"/>
      <w:lvlText w:val="%1、"/>
      <w:lvlJc w:val="left"/>
    </w:lvl>
  </w:abstractNum>
  <w:num w:numId="1">
    <w:abstractNumId w:val="5"/>
  </w:num>
  <w:num w:numId="2">
    <w:abstractNumId w:val="5"/>
    <w:lvlOverride w:ilvl="0">
      <w:startOverride w:val="1"/>
    </w:lvlOverride>
  </w:num>
  <w:num w:numId="3">
    <w:abstractNumId w:val="1"/>
    <w:lvlOverride w:ilvl="0">
      <w:startOverride w:val="1"/>
    </w:lvlOverride>
  </w:num>
  <w:num w:numId="4">
    <w:abstractNumId w:val="4"/>
  </w:num>
  <w:num w:numId="5">
    <w:abstractNumId w:val="11"/>
  </w:num>
  <w:num w:numId="6">
    <w:abstractNumId w:val="10"/>
  </w:num>
  <w:num w:numId="7">
    <w:abstractNumId w:val="2"/>
  </w:num>
  <w:num w:numId="8">
    <w:abstractNumId w:val="6"/>
  </w:num>
  <w:num w:numId="9">
    <w:abstractNumId w:val="8"/>
  </w:num>
  <w:num w:numId="10">
    <w:abstractNumId w:val="7"/>
  </w:num>
  <w:num w:numId="11">
    <w:abstractNumId w:val="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F30"/>
    <w:rsid w:val="000040E7"/>
    <w:rsid w:val="000406CE"/>
    <w:rsid w:val="00056BC1"/>
    <w:rsid w:val="00093C1A"/>
    <w:rsid w:val="000A64D0"/>
    <w:rsid w:val="000B0001"/>
    <w:rsid w:val="000B08CE"/>
    <w:rsid w:val="0017264D"/>
    <w:rsid w:val="001730E5"/>
    <w:rsid w:val="00175F6F"/>
    <w:rsid w:val="001B0DC5"/>
    <w:rsid w:val="001B5C3A"/>
    <w:rsid w:val="001C43A4"/>
    <w:rsid w:val="001F2884"/>
    <w:rsid w:val="0024507E"/>
    <w:rsid w:val="00393781"/>
    <w:rsid w:val="003A127C"/>
    <w:rsid w:val="003D6814"/>
    <w:rsid w:val="00456646"/>
    <w:rsid w:val="004A3F1D"/>
    <w:rsid w:val="004D5380"/>
    <w:rsid w:val="004E3B39"/>
    <w:rsid w:val="004E5496"/>
    <w:rsid w:val="0050562F"/>
    <w:rsid w:val="005123C4"/>
    <w:rsid w:val="00532259"/>
    <w:rsid w:val="00553A82"/>
    <w:rsid w:val="00591954"/>
    <w:rsid w:val="00613AED"/>
    <w:rsid w:val="006478DF"/>
    <w:rsid w:val="00660E11"/>
    <w:rsid w:val="006674CE"/>
    <w:rsid w:val="00686D40"/>
    <w:rsid w:val="006F451E"/>
    <w:rsid w:val="006F578B"/>
    <w:rsid w:val="007300D4"/>
    <w:rsid w:val="00735CFB"/>
    <w:rsid w:val="00742FFF"/>
    <w:rsid w:val="00793606"/>
    <w:rsid w:val="007A252D"/>
    <w:rsid w:val="007A59C2"/>
    <w:rsid w:val="007B60EA"/>
    <w:rsid w:val="007D5151"/>
    <w:rsid w:val="007F1B6F"/>
    <w:rsid w:val="00837DDB"/>
    <w:rsid w:val="00843766"/>
    <w:rsid w:val="00882D1E"/>
    <w:rsid w:val="00895800"/>
    <w:rsid w:val="008D34E0"/>
    <w:rsid w:val="00906EE3"/>
    <w:rsid w:val="00910D19"/>
    <w:rsid w:val="00953F2F"/>
    <w:rsid w:val="00954316"/>
    <w:rsid w:val="00960492"/>
    <w:rsid w:val="009875EE"/>
    <w:rsid w:val="00A17869"/>
    <w:rsid w:val="00A33CA7"/>
    <w:rsid w:val="00A6743F"/>
    <w:rsid w:val="00AB174C"/>
    <w:rsid w:val="00AF4F30"/>
    <w:rsid w:val="00B207AD"/>
    <w:rsid w:val="00B21CF6"/>
    <w:rsid w:val="00B60F6F"/>
    <w:rsid w:val="00BC4163"/>
    <w:rsid w:val="00BC5A14"/>
    <w:rsid w:val="00BD56BB"/>
    <w:rsid w:val="00C368E6"/>
    <w:rsid w:val="00C62737"/>
    <w:rsid w:val="00CA2B18"/>
    <w:rsid w:val="00CA4283"/>
    <w:rsid w:val="00CB2B55"/>
    <w:rsid w:val="00CE504C"/>
    <w:rsid w:val="00D243E9"/>
    <w:rsid w:val="00D90237"/>
    <w:rsid w:val="00D90EA8"/>
    <w:rsid w:val="00DA6E1D"/>
    <w:rsid w:val="00DF02EB"/>
    <w:rsid w:val="00DF5BFA"/>
    <w:rsid w:val="00DF5D82"/>
    <w:rsid w:val="00DF5D9D"/>
    <w:rsid w:val="00E03257"/>
    <w:rsid w:val="00E3231B"/>
    <w:rsid w:val="00E43FEA"/>
    <w:rsid w:val="00E57DCE"/>
    <w:rsid w:val="00E87E83"/>
    <w:rsid w:val="00F14818"/>
    <w:rsid w:val="00F153F5"/>
    <w:rsid w:val="00F97A80"/>
    <w:rsid w:val="00FA3650"/>
    <w:rsid w:val="00FD4DCC"/>
    <w:rsid w:val="00FE115B"/>
    <w:rsid w:val="00FF0E5D"/>
    <w:rsid w:val="01676B9F"/>
    <w:rsid w:val="022B4FCB"/>
    <w:rsid w:val="02725C29"/>
    <w:rsid w:val="04D8599C"/>
    <w:rsid w:val="0501182B"/>
    <w:rsid w:val="05224E80"/>
    <w:rsid w:val="07AF1A35"/>
    <w:rsid w:val="08303A0D"/>
    <w:rsid w:val="08443B3E"/>
    <w:rsid w:val="0B503B0A"/>
    <w:rsid w:val="0B78625E"/>
    <w:rsid w:val="0C616787"/>
    <w:rsid w:val="0D7D3208"/>
    <w:rsid w:val="0DE815B3"/>
    <w:rsid w:val="0E4249FE"/>
    <w:rsid w:val="10846415"/>
    <w:rsid w:val="13AB4DA0"/>
    <w:rsid w:val="15324E0A"/>
    <w:rsid w:val="168C053E"/>
    <w:rsid w:val="18301BFB"/>
    <w:rsid w:val="18593A86"/>
    <w:rsid w:val="1A1155BF"/>
    <w:rsid w:val="1CB91F4E"/>
    <w:rsid w:val="1CBB4FAC"/>
    <w:rsid w:val="1F54750E"/>
    <w:rsid w:val="1FA947C5"/>
    <w:rsid w:val="20E52124"/>
    <w:rsid w:val="21A859C1"/>
    <w:rsid w:val="225F7145"/>
    <w:rsid w:val="22676569"/>
    <w:rsid w:val="22A90ECE"/>
    <w:rsid w:val="24A12949"/>
    <w:rsid w:val="27893634"/>
    <w:rsid w:val="27E2217B"/>
    <w:rsid w:val="2BEE054E"/>
    <w:rsid w:val="2CCB0E62"/>
    <w:rsid w:val="2D7B0759"/>
    <w:rsid w:val="2F5D179C"/>
    <w:rsid w:val="32A14E43"/>
    <w:rsid w:val="342660A1"/>
    <w:rsid w:val="35AD7BD6"/>
    <w:rsid w:val="37A82188"/>
    <w:rsid w:val="38277824"/>
    <w:rsid w:val="38340D96"/>
    <w:rsid w:val="383D4204"/>
    <w:rsid w:val="39F66CF8"/>
    <w:rsid w:val="3C48594C"/>
    <w:rsid w:val="3CD563EE"/>
    <w:rsid w:val="3E6F55A7"/>
    <w:rsid w:val="41187897"/>
    <w:rsid w:val="43984EE8"/>
    <w:rsid w:val="44C67800"/>
    <w:rsid w:val="471B42E1"/>
    <w:rsid w:val="482269D0"/>
    <w:rsid w:val="489C1999"/>
    <w:rsid w:val="493E43C9"/>
    <w:rsid w:val="495B428A"/>
    <w:rsid w:val="4AE96E01"/>
    <w:rsid w:val="4B514C11"/>
    <w:rsid w:val="4C6E491F"/>
    <w:rsid w:val="538418DC"/>
    <w:rsid w:val="5485593F"/>
    <w:rsid w:val="564A03A3"/>
    <w:rsid w:val="56B51C24"/>
    <w:rsid w:val="57854BAF"/>
    <w:rsid w:val="57FB45CD"/>
    <w:rsid w:val="5A4F7378"/>
    <w:rsid w:val="5BB60127"/>
    <w:rsid w:val="5BF00DA8"/>
    <w:rsid w:val="5C1F356C"/>
    <w:rsid w:val="5CA77DA8"/>
    <w:rsid w:val="5CE348AB"/>
    <w:rsid w:val="5D51478D"/>
    <w:rsid w:val="5DD11238"/>
    <w:rsid w:val="6782662B"/>
    <w:rsid w:val="685004E8"/>
    <w:rsid w:val="68FF1F2A"/>
    <w:rsid w:val="69011325"/>
    <w:rsid w:val="6C715C06"/>
    <w:rsid w:val="6CC97B2C"/>
    <w:rsid w:val="6D410795"/>
    <w:rsid w:val="6D4F2EE7"/>
    <w:rsid w:val="6DA14E8E"/>
    <w:rsid w:val="6EA65286"/>
    <w:rsid w:val="6EED2FB9"/>
    <w:rsid w:val="76F578FF"/>
    <w:rsid w:val="7C542650"/>
    <w:rsid w:val="7D882D22"/>
    <w:rsid w:val="7F6B4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name="Salutation"/>
    <w:lsdException w:qFormat="1" w:uiPriority="99" w:name="Date"/>
    <w:lsdException w:qFormat="1" w:unhideWhenUsed="0" w:uiPriority="0" w:semiHidden="0" w:name="Body Text First Indent"/>
    <w:lsdException w:uiPriority="99" w:name="Body Text First Indent 2"/>
    <w:lsdException w:qFormat="1" w:uiPriority="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54"/>
    <w:qFormat/>
    <w:uiPriority w:val="0"/>
    <w:pPr>
      <w:keepNext/>
      <w:keepLines/>
      <w:spacing w:before="340" w:after="330" w:line="578" w:lineRule="auto"/>
      <w:jc w:val="center"/>
      <w:outlineLvl w:val="0"/>
    </w:pPr>
    <w:rPr>
      <w:rFonts w:ascii="Times New Roman" w:hAnsi="Times New Roman" w:eastAsia="宋体" w:cs="Times New Roman"/>
      <w:b/>
      <w:bCs/>
      <w:kern w:val="0"/>
      <w:sz w:val="32"/>
      <w:szCs w:val="44"/>
    </w:rPr>
  </w:style>
  <w:style w:type="paragraph" w:styleId="5">
    <w:name w:val="heading 2"/>
    <w:basedOn w:val="1"/>
    <w:next w:val="1"/>
    <w:qFormat/>
    <w:uiPriority w:val="0"/>
    <w:pPr>
      <w:keepNext/>
      <w:keepLines/>
      <w:spacing w:before="260" w:after="260" w:line="416" w:lineRule="auto"/>
      <w:outlineLvl w:val="1"/>
    </w:pPr>
    <w:rPr>
      <w:rFonts w:ascii="Cambria" w:hAnsi="Cambria" w:eastAsia="黑体"/>
      <w:b/>
      <w:bCs/>
      <w:sz w:val="32"/>
      <w:szCs w:val="32"/>
    </w:rPr>
  </w:style>
  <w:style w:type="paragraph" w:styleId="6">
    <w:name w:val="heading 3"/>
    <w:basedOn w:val="1"/>
    <w:next w:val="1"/>
    <w:link w:val="55"/>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5">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ascii="Times New Roman"/>
      <w:sz w:val="21"/>
      <w:szCs w:val="24"/>
    </w:rPr>
  </w:style>
  <w:style w:type="paragraph" w:styleId="3">
    <w:name w:val="Body Text"/>
    <w:basedOn w:val="1"/>
    <w:qFormat/>
    <w:uiPriority w:val="0"/>
    <w:rPr>
      <w:rFonts w:ascii="仿宋_GB2312" w:eastAsia="仿宋_GB2312"/>
      <w:sz w:val="30"/>
    </w:rPr>
  </w:style>
  <w:style w:type="paragraph" w:styleId="7">
    <w:name w:val="Note Heading"/>
    <w:basedOn w:val="1"/>
    <w:next w:val="1"/>
    <w:link w:val="24"/>
    <w:semiHidden/>
    <w:unhideWhenUsed/>
    <w:qFormat/>
    <w:uiPriority w:val="0"/>
    <w:pPr>
      <w:jc w:val="center"/>
    </w:pPr>
    <w:rPr>
      <w:rFonts w:ascii="Times New Roman" w:hAnsi="Times New Roman" w:eastAsia="宋体" w:cs="Times New Roman"/>
      <w:szCs w:val="24"/>
    </w:rPr>
  </w:style>
  <w:style w:type="paragraph" w:styleId="8">
    <w:name w:val="Salutation"/>
    <w:basedOn w:val="1"/>
    <w:next w:val="1"/>
    <w:link w:val="22"/>
    <w:semiHidden/>
    <w:unhideWhenUsed/>
    <w:qFormat/>
    <w:uiPriority w:val="0"/>
    <w:pPr>
      <w:spacing w:line="540" w:lineRule="exact"/>
    </w:pPr>
    <w:rPr>
      <w:rFonts w:ascii="Times New Roman" w:hAnsi="Times New Roman" w:eastAsia="仿宋_GB2312" w:cs="Times New Roman"/>
      <w:spacing w:val="-2"/>
      <w:sz w:val="32"/>
      <w:szCs w:val="20"/>
    </w:rPr>
  </w:style>
  <w:style w:type="paragraph" w:styleId="9">
    <w:name w:val="Plain Text"/>
    <w:basedOn w:val="1"/>
    <w:link w:val="63"/>
    <w:qFormat/>
    <w:uiPriority w:val="0"/>
    <w:rPr>
      <w:rFonts w:ascii="Courier New" w:hAnsi="Courier New" w:eastAsia="方正仿宋简体" w:cs="Times New Roman"/>
      <w:sz w:val="32"/>
      <w:szCs w:val="20"/>
    </w:rPr>
  </w:style>
  <w:style w:type="paragraph" w:styleId="10">
    <w:name w:val="Date"/>
    <w:basedOn w:val="1"/>
    <w:next w:val="1"/>
    <w:link w:val="23"/>
    <w:semiHidden/>
    <w:unhideWhenUsed/>
    <w:qFormat/>
    <w:uiPriority w:val="99"/>
    <w:pPr>
      <w:ind w:left="100" w:leftChars="2500"/>
    </w:pPr>
    <w:rPr>
      <w:rFonts w:ascii="Times New Roman" w:hAnsi="Times New Roman" w:eastAsia="宋体" w:cs="Times New Roman"/>
      <w:szCs w:val="24"/>
    </w:rPr>
  </w:style>
  <w:style w:type="paragraph" w:styleId="11">
    <w:name w:val="Balloon Text"/>
    <w:basedOn w:val="1"/>
    <w:link w:val="25"/>
    <w:semiHidden/>
    <w:unhideWhenUsed/>
    <w:qFormat/>
    <w:uiPriority w:val="0"/>
    <w:rPr>
      <w:rFonts w:ascii="Times New Roman" w:hAnsi="Times New Roman" w:eastAsia="宋体" w:cs="Times New Roman"/>
      <w:sz w:val="18"/>
      <w:szCs w:val="18"/>
    </w:rPr>
  </w:style>
  <w:style w:type="paragraph" w:styleId="12">
    <w:name w:val="footer"/>
    <w:basedOn w:val="1"/>
    <w:link w:val="21"/>
    <w:unhideWhenUsed/>
    <w:qFormat/>
    <w:uiPriority w:val="0"/>
    <w:pPr>
      <w:tabs>
        <w:tab w:val="center" w:pos="4153"/>
        <w:tab w:val="right" w:pos="8306"/>
      </w:tabs>
      <w:snapToGrid w:val="0"/>
      <w:jc w:val="left"/>
    </w:pPr>
    <w:rPr>
      <w:sz w:val="18"/>
      <w:szCs w:val="18"/>
    </w:rPr>
  </w:style>
  <w:style w:type="paragraph" w:styleId="13">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character" w:styleId="16">
    <w:name w:val="page number"/>
    <w:basedOn w:val="15"/>
    <w:qFormat/>
    <w:uiPriority w:val="0"/>
    <w:rPr>
      <w:rFonts w:eastAsia="宋体"/>
      <w:sz w:val="21"/>
      <w:szCs w:val="20"/>
    </w:rPr>
  </w:style>
  <w:style w:type="character" w:styleId="17">
    <w:name w:val="Hyperlink"/>
    <w:qFormat/>
    <w:uiPriority w:val="0"/>
    <w:rPr>
      <w:color w:val="0000FF"/>
      <w:u w:val="single"/>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页眉 Char"/>
    <w:basedOn w:val="15"/>
    <w:link w:val="13"/>
    <w:semiHidden/>
    <w:qFormat/>
    <w:uiPriority w:val="0"/>
    <w:rPr>
      <w:sz w:val="18"/>
      <w:szCs w:val="18"/>
    </w:rPr>
  </w:style>
  <w:style w:type="character" w:customStyle="1" w:styleId="21">
    <w:name w:val="页脚 Char"/>
    <w:basedOn w:val="15"/>
    <w:link w:val="12"/>
    <w:semiHidden/>
    <w:qFormat/>
    <w:uiPriority w:val="0"/>
    <w:rPr>
      <w:sz w:val="18"/>
      <w:szCs w:val="18"/>
    </w:rPr>
  </w:style>
  <w:style w:type="character" w:customStyle="1" w:styleId="22">
    <w:name w:val="称呼 Char"/>
    <w:basedOn w:val="15"/>
    <w:link w:val="8"/>
    <w:semiHidden/>
    <w:qFormat/>
    <w:uiPriority w:val="0"/>
    <w:rPr>
      <w:rFonts w:ascii="Times New Roman" w:hAnsi="Times New Roman" w:eastAsia="仿宋_GB2312" w:cs="Times New Roman"/>
      <w:spacing w:val="-2"/>
      <w:sz w:val="32"/>
      <w:szCs w:val="20"/>
    </w:rPr>
  </w:style>
  <w:style w:type="character" w:customStyle="1" w:styleId="23">
    <w:name w:val="日期 Char"/>
    <w:basedOn w:val="15"/>
    <w:link w:val="10"/>
    <w:semiHidden/>
    <w:qFormat/>
    <w:uiPriority w:val="99"/>
    <w:rPr>
      <w:rFonts w:ascii="Times New Roman" w:hAnsi="Times New Roman" w:eastAsia="宋体" w:cs="Times New Roman"/>
      <w:szCs w:val="24"/>
    </w:rPr>
  </w:style>
  <w:style w:type="character" w:customStyle="1" w:styleId="24">
    <w:name w:val="注释标题 Char"/>
    <w:basedOn w:val="15"/>
    <w:link w:val="7"/>
    <w:semiHidden/>
    <w:qFormat/>
    <w:uiPriority w:val="0"/>
    <w:rPr>
      <w:rFonts w:ascii="Times New Roman" w:hAnsi="Times New Roman" w:eastAsia="宋体" w:cs="Times New Roman"/>
      <w:szCs w:val="24"/>
    </w:rPr>
  </w:style>
  <w:style w:type="character" w:customStyle="1" w:styleId="25">
    <w:name w:val="批注框文本 Char"/>
    <w:basedOn w:val="15"/>
    <w:link w:val="11"/>
    <w:semiHidden/>
    <w:qFormat/>
    <w:uiPriority w:val="0"/>
    <w:rPr>
      <w:rFonts w:ascii="Times New Roman" w:hAnsi="Times New Roman" w:eastAsia="宋体" w:cs="Times New Roman"/>
      <w:sz w:val="18"/>
      <w:szCs w:val="18"/>
    </w:rPr>
  </w:style>
  <w:style w:type="paragraph" w:customStyle="1" w:styleId="26">
    <w:name w:val="主题标"/>
    <w:basedOn w:val="1"/>
    <w:next w:val="8"/>
    <w:qFormat/>
    <w:uiPriority w:val="0"/>
    <w:pPr>
      <w:spacing w:line="540" w:lineRule="exact"/>
      <w:jc w:val="center"/>
    </w:pPr>
    <w:rPr>
      <w:rFonts w:ascii="Times New Roman" w:hAnsi="Times New Roman" w:eastAsia="方正小标宋简体" w:cs="Times New Roman"/>
      <w:spacing w:val="-2"/>
      <w:sz w:val="44"/>
      <w:szCs w:val="20"/>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8">
    <w:name w:val="公文主体 Char"/>
    <w:link w:val="29"/>
    <w:qFormat/>
    <w:locked/>
    <w:uiPriority w:val="0"/>
    <w:rPr>
      <w:rFonts w:ascii="仿宋_GB2312" w:eastAsia="仿宋_GB2312"/>
      <w:sz w:val="32"/>
      <w:szCs w:val="24"/>
    </w:rPr>
  </w:style>
  <w:style w:type="paragraph" w:customStyle="1" w:styleId="29">
    <w:name w:val="公文主体"/>
    <w:basedOn w:val="1"/>
    <w:link w:val="28"/>
    <w:qFormat/>
    <w:uiPriority w:val="0"/>
    <w:pPr>
      <w:spacing w:line="580" w:lineRule="exact"/>
      <w:ind w:firstLine="200" w:firstLineChars="200"/>
    </w:pPr>
    <w:rPr>
      <w:rFonts w:ascii="仿宋_GB2312" w:eastAsia="仿宋_GB2312"/>
      <w:sz w:val="32"/>
      <w:szCs w:val="24"/>
    </w:rPr>
  </w:style>
  <w:style w:type="paragraph" w:customStyle="1" w:styleId="30">
    <w:name w:val="小标题"/>
    <w:basedOn w:val="29"/>
    <w:next w:val="29"/>
    <w:qFormat/>
    <w:uiPriority w:val="0"/>
    <w:pPr>
      <w:ind w:firstLine="0" w:firstLineChars="0"/>
      <w:jc w:val="center"/>
      <w:outlineLvl w:val="1"/>
    </w:pPr>
    <w:rPr>
      <w:rFonts w:eastAsia="方正小标宋简体"/>
    </w:rPr>
  </w:style>
  <w:style w:type="paragraph" w:customStyle="1" w:styleId="31">
    <w:name w:val="主送单位"/>
    <w:basedOn w:val="29"/>
    <w:next w:val="29"/>
    <w:qFormat/>
    <w:uiPriority w:val="0"/>
    <w:pPr>
      <w:ind w:firstLine="0" w:firstLineChars="0"/>
      <w:outlineLvl w:val="1"/>
    </w:pPr>
  </w:style>
  <w:style w:type="paragraph" w:customStyle="1" w:styleId="32">
    <w:name w:val="标题注释"/>
    <w:basedOn w:val="29"/>
    <w:next w:val="1"/>
    <w:qFormat/>
    <w:uiPriority w:val="0"/>
    <w:pPr>
      <w:ind w:firstLine="0" w:firstLineChars="0"/>
      <w:jc w:val="center"/>
      <w:outlineLvl w:val="1"/>
    </w:pPr>
    <w:rPr>
      <w:rFonts w:eastAsia="楷体_GB2312"/>
    </w:rPr>
  </w:style>
  <w:style w:type="character" w:customStyle="1" w:styleId="33">
    <w:name w:val="二级标题 Char"/>
    <w:link w:val="34"/>
    <w:qFormat/>
    <w:locked/>
    <w:uiPriority w:val="0"/>
    <w:rPr>
      <w:rFonts w:ascii="楷体_GB2312" w:eastAsia="楷体_GB2312"/>
      <w:sz w:val="32"/>
      <w:szCs w:val="24"/>
    </w:rPr>
  </w:style>
  <w:style w:type="paragraph" w:customStyle="1" w:styleId="34">
    <w:name w:val="二级标题"/>
    <w:basedOn w:val="29"/>
    <w:next w:val="29"/>
    <w:link w:val="33"/>
    <w:qFormat/>
    <w:uiPriority w:val="0"/>
    <w:pPr>
      <w:outlineLvl w:val="3"/>
    </w:pPr>
    <w:rPr>
      <w:rFonts w:ascii="楷体_GB2312" w:eastAsia="楷体_GB2312"/>
    </w:rPr>
  </w:style>
  <w:style w:type="character" w:customStyle="1" w:styleId="35">
    <w:name w:val="一级标题 Char"/>
    <w:link w:val="36"/>
    <w:qFormat/>
    <w:locked/>
    <w:uiPriority w:val="0"/>
    <w:rPr>
      <w:rFonts w:ascii="黑体" w:hAnsi="黑体" w:eastAsia="黑体"/>
      <w:sz w:val="32"/>
      <w:szCs w:val="24"/>
    </w:rPr>
  </w:style>
  <w:style w:type="paragraph" w:customStyle="1" w:styleId="36">
    <w:name w:val="一级标题"/>
    <w:basedOn w:val="29"/>
    <w:next w:val="29"/>
    <w:link w:val="35"/>
    <w:qFormat/>
    <w:uiPriority w:val="0"/>
    <w:pPr>
      <w:outlineLvl w:val="2"/>
    </w:pPr>
    <w:rPr>
      <w:rFonts w:ascii="黑体" w:hAnsi="黑体" w:eastAsia="黑体"/>
    </w:rPr>
  </w:style>
  <w:style w:type="paragraph" w:customStyle="1" w:styleId="37">
    <w:name w:val="大标题"/>
    <w:basedOn w:val="29"/>
    <w:next w:val="32"/>
    <w:qFormat/>
    <w:uiPriority w:val="0"/>
    <w:pPr>
      <w:ind w:firstLine="0" w:firstLineChars="0"/>
      <w:jc w:val="center"/>
      <w:outlineLvl w:val="0"/>
    </w:pPr>
    <w:rPr>
      <w:rFonts w:eastAsia="方正小标宋简体"/>
      <w:sz w:val="44"/>
    </w:rPr>
  </w:style>
  <w:style w:type="paragraph" w:customStyle="1" w:styleId="38">
    <w:name w:val="落款"/>
    <w:basedOn w:val="1"/>
    <w:next w:val="1"/>
    <w:qFormat/>
    <w:uiPriority w:val="0"/>
    <w:pPr>
      <w:spacing w:line="540" w:lineRule="exact"/>
      <w:ind w:right="624"/>
      <w:jc w:val="right"/>
    </w:pPr>
    <w:rPr>
      <w:rFonts w:ascii="Times New Roman" w:hAnsi="Times New Roman" w:eastAsia="仿宋_GB2312" w:cs="Times New Roman"/>
      <w:spacing w:val="-2"/>
      <w:sz w:val="32"/>
      <w:szCs w:val="20"/>
    </w:rPr>
  </w:style>
  <w:style w:type="paragraph" w:customStyle="1" w:styleId="39">
    <w:name w:val="成文日期"/>
    <w:basedOn w:val="29"/>
    <w:next w:val="29"/>
    <w:qFormat/>
    <w:uiPriority w:val="0"/>
    <w:pPr>
      <w:ind w:right="550" w:rightChars="550" w:firstLine="0" w:firstLineChars="0"/>
      <w:jc w:val="right"/>
      <w:outlineLvl w:val="2"/>
    </w:pPr>
  </w:style>
  <w:style w:type="character" w:customStyle="1" w:styleId="40">
    <w:name w:val="font71"/>
    <w:basedOn w:val="15"/>
    <w:qFormat/>
    <w:uiPriority w:val="0"/>
    <w:rPr>
      <w:rFonts w:hint="eastAsia" w:ascii="仿宋_GB2312" w:eastAsia="仿宋_GB2312" w:cs="仿宋_GB2312"/>
      <w:b/>
      <w:color w:val="000000"/>
      <w:sz w:val="24"/>
      <w:szCs w:val="24"/>
      <w:u w:val="none"/>
    </w:rPr>
  </w:style>
  <w:style w:type="character" w:customStyle="1" w:styleId="41">
    <w:name w:val="font51"/>
    <w:basedOn w:val="15"/>
    <w:qFormat/>
    <w:uiPriority w:val="0"/>
    <w:rPr>
      <w:rFonts w:hint="eastAsia" w:ascii="黑体" w:hAnsi="宋体" w:eastAsia="黑体" w:cs="黑体"/>
      <w:color w:val="000000"/>
      <w:sz w:val="22"/>
      <w:szCs w:val="22"/>
      <w:u w:val="none"/>
    </w:rPr>
  </w:style>
  <w:style w:type="character" w:customStyle="1" w:styleId="42">
    <w:name w:val="font91"/>
    <w:basedOn w:val="15"/>
    <w:qFormat/>
    <w:uiPriority w:val="0"/>
    <w:rPr>
      <w:rFonts w:hint="default" w:ascii="Times New Roman" w:hAnsi="Times New Roman" w:cs="Times New Roman"/>
      <w:color w:val="000000"/>
      <w:sz w:val="24"/>
      <w:szCs w:val="24"/>
      <w:u w:val="none"/>
    </w:rPr>
  </w:style>
  <w:style w:type="character" w:customStyle="1" w:styleId="43">
    <w:name w:val="font41"/>
    <w:basedOn w:val="15"/>
    <w:qFormat/>
    <w:uiPriority w:val="0"/>
    <w:rPr>
      <w:rFonts w:hint="eastAsia" w:ascii="黑体" w:hAnsi="宋体" w:eastAsia="黑体" w:cs="黑体"/>
      <w:color w:val="000000"/>
      <w:sz w:val="24"/>
      <w:szCs w:val="24"/>
      <w:u w:val="none"/>
    </w:rPr>
  </w:style>
  <w:style w:type="character" w:customStyle="1" w:styleId="44">
    <w:name w:val="font31"/>
    <w:basedOn w:val="15"/>
    <w:qFormat/>
    <w:uiPriority w:val="0"/>
    <w:rPr>
      <w:rFonts w:hint="default" w:ascii="Times New Roman" w:hAnsi="Times New Roman" w:cs="Times New Roman"/>
      <w:color w:val="000000"/>
      <w:sz w:val="24"/>
      <w:szCs w:val="24"/>
      <w:u w:val="none"/>
    </w:rPr>
  </w:style>
  <w:style w:type="character" w:customStyle="1" w:styleId="45">
    <w:name w:val="font151"/>
    <w:basedOn w:val="15"/>
    <w:qFormat/>
    <w:uiPriority w:val="0"/>
    <w:rPr>
      <w:rFonts w:hint="eastAsia" w:ascii="黑体" w:hAnsi="宋体" w:eastAsia="黑体" w:cs="黑体"/>
      <w:color w:val="000000"/>
      <w:sz w:val="24"/>
      <w:szCs w:val="24"/>
      <w:u w:val="none"/>
    </w:rPr>
  </w:style>
  <w:style w:type="character" w:customStyle="1" w:styleId="46">
    <w:name w:val="font81"/>
    <w:basedOn w:val="15"/>
    <w:qFormat/>
    <w:uiPriority w:val="0"/>
    <w:rPr>
      <w:rFonts w:hint="eastAsia" w:ascii="仿宋_GB2312" w:eastAsia="仿宋_GB2312" w:cs="仿宋_GB2312"/>
      <w:b/>
      <w:color w:val="000000"/>
      <w:sz w:val="24"/>
      <w:szCs w:val="24"/>
      <w:u w:val="none"/>
    </w:rPr>
  </w:style>
  <w:style w:type="character" w:customStyle="1" w:styleId="47">
    <w:name w:val="font21"/>
    <w:basedOn w:val="15"/>
    <w:qFormat/>
    <w:uiPriority w:val="0"/>
    <w:rPr>
      <w:rFonts w:hint="eastAsia" w:ascii="仿宋_GB2312" w:eastAsia="仿宋_GB2312" w:cs="仿宋_GB2312"/>
      <w:color w:val="000000"/>
      <w:sz w:val="24"/>
      <w:szCs w:val="24"/>
      <w:u w:val="none"/>
    </w:rPr>
  </w:style>
  <w:style w:type="character" w:customStyle="1" w:styleId="48">
    <w:name w:val="日期 Char1"/>
    <w:basedOn w:val="15"/>
    <w:semiHidden/>
    <w:qFormat/>
    <w:uiPriority w:val="99"/>
    <w:rPr>
      <w:kern w:val="2"/>
      <w:sz w:val="21"/>
      <w:szCs w:val="24"/>
    </w:rPr>
  </w:style>
  <w:style w:type="paragraph" w:customStyle="1" w:styleId="49">
    <w:name w:val="联合行文日期"/>
    <w:basedOn w:val="29"/>
    <w:next w:val="29"/>
    <w:qFormat/>
    <w:uiPriority w:val="0"/>
    <w:pPr>
      <w:ind w:left="1050" w:leftChars="1050" w:right="1050" w:rightChars="1050" w:firstLine="0" w:firstLineChars="0"/>
      <w:jc w:val="distribute"/>
      <w:outlineLvl w:val="2"/>
    </w:pPr>
  </w:style>
  <w:style w:type="paragraph" w:customStyle="1" w:styleId="50">
    <w:name w:val="表格"/>
    <w:basedOn w:val="29"/>
    <w:next w:val="29"/>
    <w:qFormat/>
    <w:uiPriority w:val="0"/>
    <w:pPr>
      <w:spacing w:line="440" w:lineRule="exact"/>
      <w:ind w:firstLine="0" w:firstLineChars="0"/>
      <w:jc w:val="center"/>
    </w:pPr>
    <w:rPr>
      <w:rFonts w:eastAsia="宋体"/>
      <w:sz w:val="28"/>
    </w:rPr>
  </w:style>
  <w:style w:type="paragraph" w:customStyle="1" w:styleId="51">
    <w:name w:val="表格宋右10小五"/>
    <w:basedOn w:val="50"/>
    <w:qFormat/>
    <w:uiPriority w:val="0"/>
    <w:pPr>
      <w:spacing w:line="200" w:lineRule="exact"/>
      <w:jc w:val="right"/>
    </w:pPr>
    <w:rPr>
      <w:rFonts w:ascii="宋体" w:hAnsi="宋体"/>
      <w:sz w:val="18"/>
    </w:rPr>
  </w:style>
  <w:style w:type="paragraph" w:customStyle="1" w:styleId="52">
    <w:name w:val="表格黑左10小五"/>
    <w:basedOn w:val="50"/>
    <w:next w:val="51"/>
    <w:qFormat/>
    <w:uiPriority w:val="0"/>
    <w:pPr>
      <w:spacing w:line="200" w:lineRule="exact"/>
      <w:jc w:val="left"/>
    </w:pPr>
    <w:rPr>
      <w:rFonts w:ascii="黑体" w:hAnsi="宋体" w:eastAsia="黑体"/>
      <w:sz w:val="18"/>
    </w:rPr>
  </w:style>
  <w:style w:type="paragraph" w:customStyle="1" w:styleId="53">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character" w:customStyle="1" w:styleId="54">
    <w:name w:val="标题 1 Char"/>
    <w:basedOn w:val="15"/>
    <w:link w:val="4"/>
    <w:qFormat/>
    <w:uiPriority w:val="0"/>
    <w:rPr>
      <w:rFonts w:ascii="Times New Roman" w:hAnsi="Times New Roman" w:eastAsia="宋体" w:cs="Times New Roman"/>
      <w:b/>
      <w:bCs/>
      <w:kern w:val="0"/>
      <w:sz w:val="32"/>
      <w:szCs w:val="44"/>
    </w:rPr>
  </w:style>
  <w:style w:type="character" w:customStyle="1" w:styleId="55">
    <w:name w:val="标题 3 Char"/>
    <w:basedOn w:val="15"/>
    <w:link w:val="6"/>
    <w:qFormat/>
    <w:uiPriority w:val="0"/>
    <w:rPr>
      <w:rFonts w:ascii="宋体" w:hAnsi="宋体" w:eastAsia="宋体" w:cs="Times New Roman"/>
      <w:b/>
      <w:kern w:val="0"/>
      <w:sz w:val="27"/>
      <w:szCs w:val="27"/>
    </w:rPr>
  </w:style>
  <w:style w:type="character" w:customStyle="1" w:styleId="56">
    <w:name w:val="文字内容 Char"/>
    <w:link w:val="57"/>
    <w:qFormat/>
    <w:locked/>
    <w:uiPriority w:val="0"/>
    <w:rPr>
      <w:rFonts w:ascii="方正仿宋简体" w:eastAsia="方正仿宋简体" w:cs="宋体"/>
      <w:sz w:val="32"/>
    </w:rPr>
  </w:style>
  <w:style w:type="paragraph" w:customStyle="1" w:styleId="57">
    <w:name w:val="文字内容"/>
    <w:basedOn w:val="1"/>
    <w:link w:val="56"/>
    <w:qFormat/>
    <w:uiPriority w:val="0"/>
    <w:pPr>
      <w:spacing w:line="560" w:lineRule="exact"/>
      <w:ind w:firstLine="640" w:firstLineChars="200"/>
    </w:pPr>
    <w:rPr>
      <w:rFonts w:ascii="方正仿宋简体" w:eastAsia="方正仿宋简体" w:cs="宋体"/>
      <w:sz w:val="32"/>
    </w:rPr>
  </w:style>
  <w:style w:type="character" w:customStyle="1" w:styleId="58">
    <w:name w:val="段 Char"/>
    <w:link w:val="59"/>
    <w:qFormat/>
    <w:uiPriority w:val="0"/>
    <w:rPr>
      <w:rFonts w:ascii="宋体"/>
    </w:rPr>
  </w:style>
  <w:style w:type="paragraph" w:customStyle="1" w:styleId="59">
    <w:name w:val="段"/>
    <w:link w:val="58"/>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60">
    <w:name w:val="一级条标题"/>
    <w:basedOn w:val="61"/>
    <w:next w:val="59"/>
    <w:qFormat/>
    <w:uiPriority w:val="0"/>
    <w:pPr>
      <w:numPr>
        <w:ilvl w:val="2"/>
      </w:numPr>
      <w:tabs>
        <w:tab w:val="left" w:pos="312"/>
      </w:tabs>
      <w:spacing w:beforeLines="0" w:afterLines="0"/>
      <w:outlineLvl w:val="2"/>
    </w:pPr>
  </w:style>
  <w:style w:type="paragraph" w:customStyle="1" w:styleId="61">
    <w:name w:val="章标题"/>
    <w:next w:val="59"/>
    <w:qFormat/>
    <w:uiPriority w:val="0"/>
    <w:pPr>
      <w:numPr>
        <w:ilvl w:val="1"/>
        <w:numId w:val="1"/>
      </w:numPr>
      <w:tabs>
        <w:tab w:val="left" w:pos="312"/>
      </w:tabs>
      <w:spacing w:beforeLines="50" w:afterLines="50"/>
      <w:jc w:val="both"/>
      <w:outlineLvl w:val="1"/>
    </w:pPr>
    <w:rPr>
      <w:rFonts w:ascii="黑体" w:hAnsi="Times New Roman" w:eastAsia="黑体" w:cs="Times New Roman"/>
      <w:sz w:val="21"/>
      <w:lang w:val="en-US" w:eastAsia="zh-CN" w:bidi="ar-SA"/>
    </w:rPr>
  </w:style>
  <w:style w:type="paragraph" w:styleId="62">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63">
    <w:name w:val="纯文本 Char"/>
    <w:basedOn w:val="15"/>
    <w:link w:val="9"/>
    <w:qFormat/>
    <w:uiPriority w:val="0"/>
    <w:rPr>
      <w:rFonts w:ascii="Courier New" w:hAnsi="Courier New" w:eastAsia="方正仿宋简体" w:cs="Times New Roman"/>
      <w:sz w:val="32"/>
      <w:szCs w:val="20"/>
    </w:rPr>
  </w:style>
  <w:style w:type="paragraph" w:customStyle="1" w:styleId="64">
    <w:name w:val="三级条标题"/>
    <w:basedOn w:val="65"/>
    <w:next w:val="59"/>
    <w:qFormat/>
    <w:uiPriority w:val="0"/>
    <w:pPr>
      <w:numPr>
        <w:ilvl w:val="4"/>
      </w:numPr>
      <w:tabs>
        <w:tab w:val="left" w:pos="312"/>
      </w:tabs>
      <w:outlineLvl w:val="4"/>
    </w:pPr>
  </w:style>
  <w:style w:type="paragraph" w:customStyle="1" w:styleId="65">
    <w:name w:val="二级条标题"/>
    <w:basedOn w:val="60"/>
    <w:next w:val="59"/>
    <w:qFormat/>
    <w:uiPriority w:val="0"/>
    <w:pPr>
      <w:numPr>
        <w:ilvl w:val="3"/>
      </w:numPr>
      <w:outlineLvl w:val="3"/>
    </w:pPr>
  </w:style>
  <w:style w:type="paragraph" w:customStyle="1" w:styleId="66">
    <w:name w:val="Char Char Char Char"/>
    <w:basedOn w:val="1"/>
    <w:qFormat/>
    <w:uiPriority w:val="0"/>
    <w:rPr>
      <w:rFonts w:ascii="Times New Roman" w:hAnsi="Times New Roman" w:eastAsia="宋体" w:cs="Times New Roman"/>
      <w:sz w:val="32"/>
      <w:szCs w:val="20"/>
    </w:rPr>
  </w:style>
  <w:style w:type="paragraph" w:customStyle="1" w:styleId="67">
    <w:name w:val="五级条标题"/>
    <w:basedOn w:val="68"/>
    <w:next w:val="59"/>
    <w:qFormat/>
    <w:uiPriority w:val="0"/>
    <w:pPr>
      <w:numPr>
        <w:ilvl w:val="6"/>
      </w:numPr>
      <w:tabs>
        <w:tab w:val="left" w:pos="312"/>
      </w:tabs>
      <w:outlineLvl w:val="6"/>
    </w:pPr>
  </w:style>
  <w:style w:type="paragraph" w:customStyle="1" w:styleId="68">
    <w:name w:val="四级条标题"/>
    <w:basedOn w:val="64"/>
    <w:next w:val="59"/>
    <w:qFormat/>
    <w:uiPriority w:val="0"/>
    <w:pPr>
      <w:numPr>
        <w:ilvl w:val="5"/>
      </w:numPr>
      <w:outlineLvl w:val="5"/>
    </w:pPr>
  </w:style>
  <w:style w:type="paragraph" w:customStyle="1" w:styleId="69">
    <w:name w:val="前言、引言标题"/>
    <w:next w:val="1"/>
    <w:qFormat/>
    <w:uiPriority w:val="0"/>
    <w:pPr>
      <w:shd w:val="clear" w:color="FFFFFF" w:fill="FFFFFF"/>
      <w:tabs>
        <w:tab w:val="left" w:pos="312"/>
      </w:tabs>
      <w:spacing w:before="640" w:after="560"/>
      <w:jc w:val="center"/>
      <w:outlineLvl w:val="0"/>
    </w:pPr>
    <w:rPr>
      <w:rFonts w:ascii="黑体" w:hAnsi="Times New Roman" w:eastAsia="黑体" w:cs="Times New Roman"/>
      <w:sz w:val="32"/>
      <w:lang w:val="en-US" w:eastAsia="zh-CN" w:bidi="ar-SA"/>
    </w:rPr>
  </w:style>
  <w:style w:type="character" w:customStyle="1" w:styleId="70">
    <w:name w:val="font01"/>
    <w:basedOn w:val="15"/>
    <w:qFormat/>
    <w:uiPriority w:val="0"/>
    <w:rPr>
      <w:rFonts w:hint="default" w:ascii="方正仿宋简体" w:hAnsi="方正仿宋简体" w:eastAsia="方正仿宋简体" w:cs="方正仿宋简体"/>
      <w:color w:val="000000"/>
      <w:sz w:val="20"/>
      <w:szCs w:val="20"/>
      <w:u w:val="none"/>
    </w:rPr>
  </w:style>
  <w:style w:type="character" w:customStyle="1" w:styleId="71">
    <w:name w:val="font11"/>
    <w:basedOn w:val="15"/>
    <w:qFormat/>
    <w:uiPriority w:val="0"/>
    <w:rPr>
      <w:rFonts w:hint="default" w:ascii="方正仿宋简体" w:hAnsi="方正仿宋简体" w:eastAsia="方正仿宋简体" w:cs="方正仿宋简体"/>
      <w:b/>
      <w:color w:val="000000"/>
      <w:sz w:val="20"/>
      <w:szCs w:val="20"/>
      <w:u w:val="none"/>
    </w:rPr>
  </w:style>
  <w:style w:type="paragraph" w:customStyle="1" w:styleId="72">
    <w:name w:val="3级标题"/>
    <w:basedOn w:val="1"/>
    <w:qFormat/>
    <w:uiPriority w:val="0"/>
    <w:pPr>
      <w:keepNext/>
      <w:keepLines/>
      <w:spacing w:before="156" w:after="156" w:line="360" w:lineRule="exact"/>
      <w:ind w:left="640"/>
      <w:outlineLvl w:val="2"/>
    </w:pPr>
    <w:rPr>
      <w:rFonts w:ascii="方正黑体简体" w:hAnsi="宋体" w:eastAsia="方正黑体简体" w:cs="宋体"/>
      <w:bCs/>
      <w:kern w:val="0"/>
      <w:sz w:val="32"/>
      <w:szCs w:val="20"/>
    </w:rPr>
  </w:style>
  <w:style w:type="character" w:customStyle="1" w:styleId="7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7.jpeg"/><Relationship Id="rId28" Type="http://schemas.openxmlformats.org/officeDocument/2006/relationships/image" Target="media/image16.jpeg"/><Relationship Id="rId27" Type="http://schemas.openxmlformats.org/officeDocument/2006/relationships/image" Target="media/image15.jpeg"/><Relationship Id="rId26" Type="http://schemas.openxmlformats.org/officeDocument/2006/relationships/image" Target="media/image14.jpeg"/><Relationship Id="rId25" Type="http://schemas.openxmlformats.org/officeDocument/2006/relationships/image" Target="media/image13.jpe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jpe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hyperlink" Target="http://www.sohu.com/a/324462131_100159151" TargetMode="External"/><Relationship Id="rId17" Type="http://schemas.openxmlformats.org/officeDocument/2006/relationships/image" Target="media/image6.png"/><Relationship Id="rId16" Type="http://schemas.openxmlformats.org/officeDocument/2006/relationships/image" Target="media/image5.jpeg"/><Relationship Id="rId15" Type="http://schemas.openxmlformats.org/officeDocument/2006/relationships/hyperlink" Target="http://www.nipic.com/show/25863176.html" TargetMode="External"/><Relationship Id="rId14" Type="http://schemas.openxmlformats.org/officeDocument/2006/relationships/image" Target="media/image4.jpeg"/><Relationship Id="rId13" Type="http://schemas.openxmlformats.org/officeDocument/2006/relationships/hyperlink" Target="http://588ku.com/image/jiayouzhanjinzhibiaozhi.html" TargetMode="Externa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80</Pages>
  <Words>6706</Words>
  <Characters>38226</Characters>
  <Lines>318</Lines>
  <Paragraphs>89</Paragraphs>
  <TotalTime>2</TotalTime>
  <ScaleCrop>false</ScaleCrop>
  <LinksUpToDate>false</LinksUpToDate>
  <CharactersWithSpaces>44843</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2020-07-30T12:08:00Z</dcterms:created>
  <dc:creator>shendu</dc:creator>
  <cp:lastModifiedBy>lenovo</cp:lastModifiedBy>
  <dcterms:modified xsi:type="dcterms:W3CDTF">2023-06-18T09:10:43Z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