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60" w:lineRule="auto"/>
        <w:ind w:right="94" w:rightChars="45"/>
        <w:jc w:val="center"/>
        <w:outlineLvl w:val="0"/>
        <w:rPr>
          <w:rStyle w:val="17"/>
          <w:rFonts w:hint="eastAsia" w:ascii="黑体" w:hAnsi="黑体" w:eastAsia="黑体" w:cs="黑体"/>
          <w:sz w:val="44"/>
          <w:szCs w:val="44"/>
          <w:lang w:val="en-US" w:eastAsia="zh-CN"/>
        </w:rPr>
      </w:pPr>
      <w:bookmarkStart w:id="0" w:name="_Toc21934"/>
      <w:bookmarkStart w:id="1" w:name="_Toc24586"/>
      <w:bookmarkStart w:id="2" w:name="_Toc15396"/>
      <w:bookmarkStart w:id="3" w:name="_Toc8314"/>
      <w:bookmarkStart w:id="4" w:name="_Toc30916"/>
      <w:bookmarkStart w:id="5" w:name="_Toc29311"/>
      <w:r>
        <w:rPr>
          <w:rStyle w:val="17"/>
          <w:rFonts w:hint="eastAsia" w:ascii="黑体" w:hAnsi="黑体" w:eastAsia="黑体" w:cs="黑体"/>
          <w:sz w:val="44"/>
          <w:szCs w:val="44"/>
        </w:rPr>
        <w:t>南部县滨江万达小区等老旧小区改造项目</w:t>
      </w:r>
      <w:r>
        <w:rPr>
          <w:rStyle w:val="17"/>
          <w:rFonts w:hint="eastAsia" w:ascii="黑体" w:hAnsi="黑体" w:eastAsia="黑体" w:cs="黑体"/>
          <w:sz w:val="44"/>
          <w:szCs w:val="44"/>
          <w:lang w:eastAsia="zh-CN"/>
        </w:rPr>
        <w:t>（</w:t>
      </w:r>
      <w:r>
        <w:rPr>
          <w:rStyle w:val="17"/>
          <w:rFonts w:hint="eastAsia" w:ascii="黑体" w:hAnsi="黑体" w:eastAsia="黑体" w:cs="黑体"/>
          <w:sz w:val="44"/>
          <w:szCs w:val="44"/>
          <w:lang w:val="en-US" w:eastAsia="zh-CN"/>
        </w:rPr>
        <w:t>一期)</w:t>
      </w:r>
      <w:bookmarkEnd w:id="0"/>
      <w:bookmarkEnd w:id="1"/>
      <w:bookmarkEnd w:id="2"/>
      <w:bookmarkEnd w:id="3"/>
      <w:bookmarkEnd w:id="4"/>
      <w:bookmarkEnd w:id="5"/>
    </w:p>
    <w:p>
      <w:pPr>
        <w:jc w:val="center"/>
        <w:rPr>
          <w:rFonts w:hint="eastAsia" w:ascii="黑体" w:hAnsi="黑体" w:eastAsia="黑体" w:cs="黑体"/>
          <w:sz w:val="52"/>
          <w:szCs w:val="52"/>
          <w:lang w:val="en-US" w:eastAsia="zh-CN"/>
        </w:rPr>
      </w:pPr>
    </w:p>
    <w:p>
      <w:pPr>
        <w:pStyle w:val="2"/>
        <w:rPr>
          <w:rFonts w:hint="eastAsia"/>
          <w:lang w:val="en-US" w:eastAsia="zh-CN"/>
        </w:rPr>
      </w:pP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主</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体</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责</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任</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清</w:t>
      </w:r>
    </w:p>
    <w:p>
      <w:pPr>
        <w:jc w:val="center"/>
        <w:rPr>
          <w:rFonts w:hint="eastAsia" w:ascii="黑体" w:hAnsi="黑体" w:eastAsia="黑体" w:cs="黑体"/>
          <w:sz w:val="52"/>
          <w:szCs w:val="52"/>
          <w:lang w:val="en-US" w:eastAsia="zh-CN"/>
        </w:rPr>
      </w:pPr>
      <w:bookmarkStart w:id="13" w:name="_GoBack"/>
      <w:bookmarkEnd w:id="13"/>
      <w:r>
        <w:rPr>
          <w:rFonts w:hint="eastAsia" w:ascii="黑体" w:hAnsi="黑体" w:eastAsia="黑体" w:cs="黑体"/>
          <w:sz w:val="52"/>
          <w:szCs w:val="52"/>
          <w:lang w:val="en-US" w:eastAsia="zh-CN"/>
        </w:rPr>
        <w:t>单</w:t>
      </w:r>
    </w:p>
    <w:p>
      <w:pPr>
        <w:jc w:val="center"/>
        <w:rPr>
          <w:rFonts w:hint="default" w:ascii="黑体" w:hAnsi="黑体" w:eastAsia="黑体" w:cs="黑体"/>
          <w:sz w:val="52"/>
          <w:szCs w:val="52"/>
          <w:lang w:val="en-US" w:eastAsia="zh-CN"/>
        </w:rPr>
      </w:pPr>
    </w:p>
    <w:p>
      <w:pPr>
        <w:rPr>
          <w:rFonts w:hint="eastAsia" w:ascii="黑体" w:hAnsi="黑体" w:eastAsia="黑体" w:cs="黑体"/>
          <w:lang w:val="en-US" w:eastAsia="zh-CN"/>
        </w:rPr>
      </w:pPr>
    </w:p>
    <w:p>
      <w:pPr>
        <w:pStyle w:val="18"/>
        <w:rPr>
          <w:rFonts w:hint="eastAsia"/>
          <w:lang w:val="en-US" w:eastAsia="zh-CN"/>
        </w:rPr>
      </w:pPr>
    </w:p>
    <w:p>
      <w:pPr>
        <w:pStyle w:val="18"/>
        <w:rPr>
          <w:rFonts w:hint="eastAsia"/>
          <w:lang w:val="en-US" w:eastAsia="zh-CN"/>
        </w:rPr>
      </w:pPr>
    </w:p>
    <w:p>
      <w:pPr>
        <w:pStyle w:val="4"/>
        <w:outlineLvl w:val="9"/>
        <w:rPr>
          <w:rFonts w:hint="eastAsia" w:ascii="黑体" w:hAnsi="黑体" w:eastAsia="黑体" w:cs="黑体"/>
          <w:lang w:val="en-US" w:eastAsia="zh-CN"/>
        </w:rPr>
      </w:pPr>
    </w:p>
    <w:p>
      <w:pPr>
        <w:rPr>
          <w:rFonts w:hint="eastAsia" w:ascii="黑体" w:hAnsi="黑体" w:eastAsia="黑体" w:cs="黑体"/>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成都建工工业设备安装有限公司           2023年9月</w:t>
      </w:r>
    </w:p>
    <w:p>
      <w:pPr>
        <w:pStyle w:val="16"/>
        <w:spacing w:line="360" w:lineRule="auto"/>
        <w:ind w:firstLine="643" w:firstLineChars="200"/>
        <w:jc w:val="center"/>
        <w:rPr>
          <w:rFonts w:hint="eastAsia" w:asciiTheme="minorEastAsia" w:hAnsiTheme="minorEastAsia" w:eastAsiaTheme="minorEastAsia" w:cstheme="minorEastAsia"/>
          <w:b/>
          <w:bCs/>
          <w:sz w:val="32"/>
          <w:szCs w:val="32"/>
          <w:lang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p>
    <w:sdt>
      <w:sdtPr>
        <w:rPr>
          <w:rFonts w:hint="eastAsia" w:ascii="黑体" w:hAnsi="黑体" w:eastAsia="黑体" w:cs="黑体"/>
          <w:kern w:val="2"/>
          <w:sz w:val="44"/>
          <w:szCs w:val="44"/>
          <w:lang w:val="en-US" w:eastAsia="zh-CN" w:bidi="ar-SA"/>
        </w:rPr>
        <w:id w:val="147474489"/>
        <w15:color w:val="DBDBDB"/>
        <w:docPartObj>
          <w:docPartGallery w:val="Table of Contents"/>
          <w:docPartUnique/>
        </w:docPartObj>
      </w:sdtPr>
      <w:sdtEndPr>
        <w:rPr>
          <w:rFonts w:hint="eastAsia" w:ascii="仿宋" w:hAnsi="仿宋" w:eastAsia="仿宋" w:cs="仿宋"/>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目录</w:t>
          </w:r>
        </w:p>
        <w:p>
          <w:pPr>
            <w:pStyle w:val="15"/>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_Toc10653 </w:instrText>
          </w:r>
          <w:r>
            <w:rPr>
              <w:rFonts w:hint="eastAsia" w:ascii="仿宋" w:hAnsi="仿宋" w:eastAsia="仿宋" w:cs="仿宋"/>
              <w:sz w:val="32"/>
              <w:szCs w:val="32"/>
            </w:rPr>
            <w:fldChar w:fldCharType="separate"/>
          </w:r>
          <w:r>
            <w:rPr>
              <w:rFonts w:hint="eastAsia" w:ascii="仿宋" w:hAnsi="仿宋" w:eastAsia="仿宋" w:cs="仿宋"/>
              <w:sz w:val="32"/>
              <w:szCs w:val="32"/>
            </w:rPr>
            <w:t>一、 目的</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_Toc10653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_Toc26630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二、 适用范围</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_Toc26630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_Toc29675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三、 术语、定义</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_Toc29675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_Toc14033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四、 项目部负责人现场带班职责</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_Toc14033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_Toc18064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五、 相关要求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_Toc18064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_Toc10611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六、 监督检査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_Toc10611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rPr>
              <w:rFonts w:hint="eastAsia" w:ascii="仿宋" w:hAnsi="仿宋" w:eastAsia="仿宋" w:cs="仿宋"/>
              <w:sz w:val="32"/>
              <w:szCs w:val="32"/>
            </w:rPr>
          </w:pPr>
          <w:r>
            <w:rPr>
              <w:rFonts w:hint="eastAsia" w:ascii="仿宋" w:hAnsi="仿宋" w:eastAsia="仿宋" w:cs="仿宋"/>
              <w:sz w:val="32"/>
              <w:szCs w:val="32"/>
            </w:rPr>
            <w:fldChar w:fldCharType="end"/>
          </w:r>
        </w:p>
      </w:sdtContent>
    </w:sdt>
    <w:p>
      <w:pPr>
        <w:jc w:val="center"/>
        <w:outlineLvl w:val="0"/>
        <w:rPr>
          <w:rFonts w:hint="eastAsia" w:ascii="黑体" w:hAnsi="黑体" w:eastAsia="黑体" w:cs="黑体"/>
          <w:sz w:val="44"/>
          <w:szCs w:val="44"/>
          <w:lang w:val="en-US" w:eastAsia="zh-CN"/>
        </w:rPr>
      </w:pPr>
      <w:bookmarkStart w:id="6" w:name="_Toc8254"/>
    </w:p>
    <w:p>
      <w:pPr>
        <w:tabs>
          <w:tab w:val="center" w:pos="4153"/>
        </w:tabs>
        <w:bidi w:val="0"/>
        <w:jc w:val="left"/>
        <w:rPr>
          <w:rFonts w:hint="eastAsia" w:asciiTheme="minorHAnsi" w:hAnsiTheme="minorHAnsi" w:eastAsiaTheme="minorEastAsia" w:cstheme="minorBidi"/>
          <w:kern w:val="2"/>
          <w:sz w:val="21"/>
          <w:szCs w:val="24"/>
          <w:lang w:val="en-US" w:eastAsia="zh-CN" w:bidi="ar-SA"/>
        </w:rPr>
        <w:sectPr>
          <w:pgSz w:w="11906" w:h="16838"/>
          <w:pgMar w:top="1440" w:right="1800" w:bottom="1440" w:left="1800" w:header="851" w:footer="992" w:gutter="0"/>
          <w:cols w:space="425" w:num="1"/>
          <w:docGrid w:type="lines" w:linePitch="312" w:charSpace="0"/>
        </w:sectPr>
      </w:pPr>
      <w:r>
        <w:rPr>
          <w:rFonts w:hint="eastAsia" w:cstheme="minorBidi"/>
          <w:kern w:val="2"/>
          <w:sz w:val="21"/>
          <w:szCs w:val="24"/>
          <w:lang w:val="en-US" w:eastAsia="zh-CN" w:bidi="ar-SA"/>
        </w:rPr>
        <w:tab/>
      </w:r>
    </w:p>
    <w:bookmarkEnd w:id="6"/>
    <w:p>
      <w:pPr>
        <w:jc w:val="center"/>
        <w:rPr>
          <w:rFonts w:hint="eastAsia" w:ascii="仿宋" w:hAnsi="仿宋" w:eastAsia="仿宋" w:cs="仿宋"/>
          <w:sz w:val="32"/>
          <w:szCs w:val="32"/>
        </w:rPr>
      </w:pPr>
    </w:p>
    <w:p>
      <w:pPr>
        <w:numPr>
          <w:ilvl w:val="0"/>
          <w:numId w:val="1"/>
        </w:numPr>
        <w:outlineLvl w:val="0"/>
        <w:rPr>
          <w:rFonts w:hint="eastAsia" w:ascii="黑体" w:hAnsi="黑体" w:eastAsia="黑体" w:cs="黑体"/>
          <w:sz w:val="32"/>
          <w:szCs w:val="32"/>
        </w:rPr>
      </w:pPr>
      <w:bookmarkStart w:id="7" w:name="_Toc10653"/>
      <w:r>
        <w:rPr>
          <w:rFonts w:hint="eastAsia" w:ascii="黑体" w:hAnsi="黑体" w:eastAsia="黑体" w:cs="黑体"/>
          <w:sz w:val="32"/>
          <w:szCs w:val="32"/>
        </w:rPr>
        <w:t>目的</w:t>
      </w:r>
      <w:bookmarkEnd w:id="7"/>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根据《国务院关于进一步加强企业安全生产工作的通知》(国发﹝2010﹞23号)及省</w:t>
      </w:r>
      <w:r>
        <w:rPr>
          <w:rFonts w:hint="eastAsia" w:ascii="仿宋" w:hAnsi="仿宋" w:eastAsia="仿宋" w:cs="仿宋"/>
          <w:sz w:val="32"/>
          <w:szCs w:val="32"/>
          <w:lang w:eastAsia="zh-CN"/>
        </w:rPr>
        <w:t>、</w:t>
      </w:r>
      <w:r>
        <w:rPr>
          <w:rFonts w:hint="eastAsia" w:ascii="仿宋" w:hAnsi="仿宋" w:eastAsia="仿宋" w:cs="仿宋"/>
          <w:sz w:val="32"/>
          <w:szCs w:val="32"/>
        </w:rPr>
        <w:t>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w:t>
      </w:r>
      <w:r>
        <w:rPr>
          <w:rFonts w:hint="eastAsia" w:ascii="仿宋" w:hAnsi="仿宋" w:eastAsia="仿宋" w:cs="仿宋"/>
          <w:sz w:val="32"/>
          <w:szCs w:val="32"/>
        </w:rPr>
        <w:t>相关文件规定，为认真落实建筑施工企业及项目部领导施工现场值班带班制度，进一步加强房屋建筑工程安全生产管理工作</w:t>
      </w:r>
      <w:r>
        <w:rPr>
          <w:rFonts w:hint="eastAsia" w:ascii="仿宋" w:hAnsi="仿宋" w:eastAsia="仿宋" w:cs="仿宋"/>
          <w:sz w:val="32"/>
          <w:szCs w:val="32"/>
          <w:lang w:eastAsia="zh-CN"/>
        </w:rPr>
        <w:t>，</w:t>
      </w:r>
      <w:r>
        <w:rPr>
          <w:rFonts w:hint="eastAsia" w:ascii="仿宋" w:hAnsi="仿宋" w:eastAsia="仿宋" w:cs="仿宋"/>
          <w:sz w:val="32"/>
          <w:szCs w:val="32"/>
        </w:rPr>
        <w:t>为切实抓好项目部安全生产、增强领导及施工人员的安全意识，进一步落实安全生产责任制，特制定本制度。</w:t>
      </w:r>
    </w:p>
    <w:p>
      <w:pPr>
        <w:numPr>
          <w:ilvl w:val="0"/>
          <w:numId w:val="1"/>
        </w:numPr>
        <w:outlineLvl w:val="0"/>
        <w:rPr>
          <w:rFonts w:hint="eastAsia" w:ascii="黑体" w:hAnsi="黑体" w:eastAsia="黑体" w:cs="黑体"/>
          <w:sz w:val="32"/>
          <w:szCs w:val="32"/>
          <w:lang w:val="en-US" w:eastAsia="zh-CN"/>
        </w:rPr>
      </w:pPr>
      <w:bookmarkStart w:id="8" w:name="_Toc26630"/>
      <w:r>
        <w:rPr>
          <w:rFonts w:hint="eastAsia" w:ascii="黑体" w:hAnsi="黑体" w:eastAsia="黑体" w:cs="黑体"/>
          <w:sz w:val="32"/>
          <w:szCs w:val="32"/>
          <w:lang w:val="en-US" w:eastAsia="zh-CN"/>
        </w:rPr>
        <w:t>适用范围</w:t>
      </w:r>
      <w:bookmarkEnd w:id="8"/>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本制度适用于</w:t>
      </w:r>
      <w:r>
        <w:rPr>
          <w:rFonts w:hint="eastAsia" w:ascii="仿宋" w:hAnsi="仿宋" w:eastAsia="仿宋" w:cs="仿宋"/>
          <w:sz w:val="32"/>
          <w:szCs w:val="32"/>
          <w:lang w:val="en-US" w:eastAsia="zh-CN"/>
        </w:rPr>
        <w:t>由四川凯同建筑工程有限公司承建的南部县云岭家苑等老旧小区改造项目施工</w:t>
      </w:r>
      <w:r>
        <w:rPr>
          <w:rFonts w:hint="eastAsia" w:ascii="仿宋" w:hAnsi="仿宋" w:eastAsia="仿宋" w:cs="仿宋"/>
          <w:sz w:val="32"/>
          <w:szCs w:val="32"/>
        </w:rPr>
        <w:t>项目经理部。</w:t>
      </w:r>
    </w:p>
    <w:p>
      <w:pPr>
        <w:numPr>
          <w:ilvl w:val="0"/>
          <w:numId w:val="1"/>
        </w:numPr>
        <w:outlineLvl w:val="0"/>
        <w:rPr>
          <w:rFonts w:hint="eastAsia" w:ascii="黑体" w:hAnsi="黑体" w:eastAsia="黑体" w:cs="黑体"/>
          <w:sz w:val="32"/>
          <w:szCs w:val="32"/>
          <w:lang w:val="en-US" w:eastAsia="zh-CN"/>
        </w:rPr>
      </w:pPr>
      <w:bookmarkStart w:id="9" w:name="_Toc29675"/>
      <w:r>
        <w:rPr>
          <w:rFonts w:hint="eastAsia" w:ascii="黑体" w:hAnsi="黑体" w:eastAsia="黑体" w:cs="黑体"/>
          <w:sz w:val="32"/>
          <w:szCs w:val="32"/>
          <w:lang w:val="en-US" w:eastAsia="zh-CN"/>
        </w:rPr>
        <w:t>术语、定义</w:t>
      </w:r>
      <w:bookmarkEnd w:id="9"/>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施工现场:指进行房屋建筑和市政工程施工作业活动的场所</w:t>
      </w:r>
      <w:r>
        <w:rPr>
          <w:rFonts w:hint="eastAsia" w:ascii="仿宋" w:hAnsi="仿宋" w:eastAsia="仿宋" w:cs="仿宋"/>
          <w:sz w:val="32"/>
          <w:szCs w:val="32"/>
          <w:lang w:eastAsia="zh-CN"/>
        </w:rPr>
        <w:t>。</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项目负责人:是指工程项目的项目经理。</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带班检查:指由项目负责人带队实施对工程项目质量安全生产状况的检查。</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项目负责人带班生产:指项目负责人在施工现场组织协调工程项目的质量安全生产活动。</w:t>
      </w:r>
    </w:p>
    <w:p>
      <w:pPr>
        <w:numPr>
          <w:ilvl w:val="0"/>
          <w:numId w:val="1"/>
        </w:numPr>
        <w:outlineLvl w:val="0"/>
        <w:rPr>
          <w:rFonts w:hint="eastAsia" w:ascii="黑体" w:hAnsi="黑体" w:eastAsia="黑体" w:cs="黑体"/>
          <w:sz w:val="32"/>
          <w:szCs w:val="32"/>
          <w:lang w:val="en-US" w:eastAsia="zh-CN"/>
        </w:rPr>
      </w:pPr>
      <w:bookmarkStart w:id="10" w:name="_Toc14033"/>
      <w:r>
        <w:rPr>
          <w:rFonts w:hint="eastAsia" w:ascii="黑体" w:hAnsi="黑体" w:eastAsia="黑体" w:cs="黑体"/>
          <w:sz w:val="32"/>
          <w:szCs w:val="32"/>
          <w:lang w:val="en-US" w:eastAsia="zh-CN"/>
        </w:rPr>
        <w:t>项目部负责人现场带班职责</w:t>
      </w:r>
      <w:bookmarkEnd w:id="10"/>
    </w:p>
    <w:p>
      <w:pPr>
        <w:numPr>
          <w:ilvl w:val="0"/>
          <w:numId w:val="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项目部负责人要把保证安全生产作为第一位的责任，切实全面掌握当班安全生产状况，加强对重点部位、关键环节、危险源点的检查，认真落实安全生产管理相关规定，加强对重点部位、关键环节的检査巡视</w:t>
      </w:r>
      <w:r>
        <w:rPr>
          <w:rFonts w:hint="eastAsia" w:ascii="仿宋" w:hAnsi="仿宋" w:eastAsia="仿宋" w:cs="仿宋"/>
          <w:sz w:val="32"/>
          <w:szCs w:val="32"/>
          <w:lang w:eastAsia="zh-CN"/>
        </w:rPr>
        <w:t>；</w:t>
      </w:r>
      <w:r>
        <w:rPr>
          <w:rFonts w:hint="eastAsia" w:ascii="仿宋" w:hAnsi="仿宋" w:eastAsia="仿宋" w:cs="仿宋"/>
          <w:sz w:val="32"/>
          <w:szCs w:val="32"/>
        </w:rPr>
        <w:t>并指导现场人员安全作业。</w:t>
      </w:r>
    </w:p>
    <w:p>
      <w:pPr>
        <w:numPr>
          <w:ilvl w:val="0"/>
          <w:numId w:val="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及时发现和组织消除事故隐患和险情，及时制止违章违规行为，严禁违章指挥</w:t>
      </w:r>
      <w:r>
        <w:rPr>
          <w:rFonts w:hint="eastAsia" w:ascii="仿宋" w:hAnsi="仿宋" w:eastAsia="仿宋" w:cs="仿宋"/>
          <w:sz w:val="32"/>
          <w:szCs w:val="32"/>
          <w:lang w:eastAsia="zh-CN"/>
        </w:rPr>
        <w:t>；</w:t>
      </w:r>
      <w:r>
        <w:rPr>
          <w:rFonts w:hint="eastAsia" w:ascii="仿宋" w:hAnsi="仿宋" w:eastAsia="仿宋" w:cs="仿宋"/>
          <w:sz w:val="32"/>
          <w:szCs w:val="32"/>
        </w:rPr>
        <w:t>排查隐患并要求相关人员立即落实整改，现场无法整改的隐患问题，必须下达整改通知单;限期整改并按期复查验收。</w:t>
      </w:r>
    </w:p>
    <w:p>
      <w:pPr>
        <w:numPr>
          <w:ilvl w:val="0"/>
          <w:numId w:val="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当现场出现重大安全隐患或遇到险情时，及时采取紧急处置措施，并立即下达停工令，组织涉险区域人员及时有序撤离到安全地带。并报公司生产、安全部门研究处理。</w:t>
      </w:r>
    </w:p>
    <w:p>
      <w:pPr>
        <w:numPr>
          <w:ilvl w:val="0"/>
          <w:numId w:val="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严</w:t>
      </w:r>
      <w:r>
        <w:rPr>
          <w:rFonts w:hint="eastAsia" w:ascii="仿宋" w:hAnsi="仿宋" w:eastAsia="仿宋" w:cs="仿宋"/>
          <w:sz w:val="32"/>
          <w:szCs w:val="32"/>
        </w:rPr>
        <w:t>格落实制止“三违”相关规定，及时制止违章违纪行为，在现场发现违章问题，立即纠错并按规定给予处罚，严禁违章指挥。</w:t>
      </w:r>
    </w:p>
    <w:p>
      <w:pPr>
        <w:numPr>
          <w:ilvl w:val="0"/>
          <w:numId w:val="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解决生产中的突发问题，现场无法解决处理的，立即报生产技术部。</w:t>
      </w:r>
      <w:r>
        <w:rPr>
          <w:rFonts w:hint="eastAsia" w:ascii="仿宋" w:hAnsi="仿宋" w:eastAsia="仿宋" w:cs="仿宋"/>
          <w:sz w:val="32"/>
          <w:szCs w:val="32"/>
          <w:lang w:val="en-US" w:eastAsia="zh-CN"/>
        </w:rPr>
        <w:t>严禁</w:t>
      </w:r>
      <w:r>
        <w:rPr>
          <w:rFonts w:hint="eastAsia" w:ascii="仿宋" w:hAnsi="仿宋" w:eastAsia="仿宋" w:cs="仿宋"/>
          <w:sz w:val="32"/>
          <w:szCs w:val="32"/>
        </w:rPr>
        <w:t>超能力组织生产。</w:t>
      </w:r>
    </w:p>
    <w:p>
      <w:pPr>
        <w:numPr>
          <w:ilvl w:val="0"/>
          <w:numId w:val="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现场发生危及职工生命安全的重大隐患和严重问题时，带班人员要立即组织采取停产、撤人、排除隐患等紧急处置措施，并及时向公司主要领导</w:t>
      </w:r>
      <w:r>
        <w:rPr>
          <w:rFonts w:hint="eastAsia" w:ascii="仿宋" w:hAnsi="仿宋" w:eastAsia="仿宋" w:cs="仿宋"/>
          <w:sz w:val="32"/>
          <w:szCs w:val="32"/>
          <w:lang w:eastAsia="zh-CN"/>
        </w:rPr>
        <w:t>、</w:t>
      </w:r>
      <w:r>
        <w:rPr>
          <w:rFonts w:hint="eastAsia" w:ascii="仿宋" w:hAnsi="仿宋" w:eastAsia="仿宋" w:cs="仿宋"/>
          <w:sz w:val="32"/>
          <w:szCs w:val="32"/>
        </w:rPr>
        <w:t>生产安全部门报告。</w:t>
      </w:r>
    </w:p>
    <w:p>
      <w:pPr>
        <w:numPr>
          <w:ilvl w:val="0"/>
          <w:numId w:val="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项目部成立时必须建立项目部负责人施工现场值班带班制度</w:t>
      </w:r>
      <w:r>
        <w:rPr>
          <w:rFonts w:hint="eastAsia" w:ascii="仿宋" w:hAnsi="仿宋" w:eastAsia="仿宋" w:cs="仿宋"/>
          <w:sz w:val="32"/>
          <w:szCs w:val="32"/>
          <w:lang w:eastAsia="zh-CN"/>
        </w:rPr>
        <w:t>；</w:t>
      </w:r>
      <w:r>
        <w:rPr>
          <w:rFonts w:hint="eastAsia" w:ascii="仿宋" w:hAnsi="仿宋" w:eastAsia="仿宋" w:cs="仿宋"/>
          <w:sz w:val="32"/>
          <w:szCs w:val="32"/>
        </w:rPr>
        <w:t>负责人施工现场带班生产、值班交接班记录由当班负责人填写，由资料员负责整理，并存档备查。</w:t>
      </w:r>
    </w:p>
    <w:p>
      <w:pPr>
        <w:numPr>
          <w:ilvl w:val="0"/>
          <w:numId w:val="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项目负责人每月带班生产时间不得少于本月施工时间的80％。因其他事务需离开施工现场时，应向工程项目的建设单位请假，经批准后方可离开。离开期间应委托项目相关负责人负责其外出时的日常工作。</w:t>
      </w:r>
    </w:p>
    <w:p>
      <w:pPr>
        <w:numPr>
          <w:ilvl w:val="0"/>
          <w:numId w:val="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工程项目进行危险性较大的分部分项工程施工时，项目负责人必须到施工现场进行带班检查。</w:t>
      </w:r>
    </w:p>
    <w:p>
      <w:pPr>
        <w:numPr>
          <w:ilvl w:val="0"/>
          <w:numId w:val="1"/>
        </w:numPr>
        <w:outlineLvl w:val="0"/>
        <w:rPr>
          <w:rFonts w:hint="eastAsia" w:ascii="黑体" w:hAnsi="黑体" w:eastAsia="黑体" w:cs="黑体"/>
          <w:sz w:val="32"/>
          <w:szCs w:val="32"/>
          <w:lang w:val="en-US" w:eastAsia="zh-CN"/>
        </w:rPr>
      </w:pPr>
      <w:bookmarkStart w:id="11" w:name="_Toc18064"/>
      <w:r>
        <w:rPr>
          <w:rFonts w:hint="eastAsia" w:ascii="黑体" w:hAnsi="黑体" w:eastAsia="黑体" w:cs="黑体"/>
          <w:sz w:val="32"/>
          <w:szCs w:val="32"/>
          <w:lang w:val="en-US" w:eastAsia="zh-CN"/>
        </w:rPr>
        <w:t>相关要求</w:t>
      </w:r>
      <w:bookmarkEnd w:id="11"/>
    </w:p>
    <w:p>
      <w:pPr>
        <w:numPr>
          <w:ilvl w:val="0"/>
          <w:numId w:val="3"/>
        </w:num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现场带班人员要高度重视，认真履行带班职责，严格执行现场带班人员的规定，减少外出，深入现场靠前指挥，切实把安全生产工作的各项任务落到实处</w:t>
      </w:r>
      <w:r>
        <w:rPr>
          <w:rFonts w:hint="eastAsia" w:ascii="仿宋" w:hAnsi="仿宋" w:eastAsia="仿宋" w:cs="仿宋"/>
          <w:sz w:val="32"/>
          <w:szCs w:val="32"/>
          <w:lang w:eastAsia="zh-CN"/>
        </w:rPr>
        <w:t>。</w:t>
      </w:r>
    </w:p>
    <w:p>
      <w:pPr>
        <w:numPr>
          <w:ilvl w:val="0"/>
          <w:numId w:val="3"/>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现场带班人员有特殊情况必须向上级请假，并通知相关部门安排人员替班，同时将替班人员通知相关部门及人员。</w:t>
      </w:r>
    </w:p>
    <w:p>
      <w:pPr>
        <w:numPr>
          <w:ilvl w:val="0"/>
          <w:numId w:val="3"/>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现场带班人员必须严格穿戴劳保</w:t>
      </w:r>
      <w:r>
        <w:rPr>
          <w:rFonts w:hint="eastAsia" w:ascii="仿宋" w:hAnsi="仿宋" w:eastAsia="仿宋" w:cs="仿宋"/>
          <w:sz w:val="32"/>
          <w:szCs w:val="32"/>
          <w:lang w:val="en-US" w:eastAsia="zh-CN"/>
        </w:rPr>
        <w:t>用品</w:t>
      </w:r>
      <w:r>
        <w:rPr>
          <w:rFonts w:hint="eastAsia" w:ascii="仿宋" w:hAnsi="仿宋" w:eastAsia="仿宋" w:cs="仿宋"/>
          <w:sz w:val="32"/>
          <w:szCs w:val="32"/>
        </w:rPr>
        <w:t>，不准着便装进入生产现场。</w:t>
      </w:r>
    </w:p>
    <w:p>
      <w:pPr>
        <w:numPr>
          <w:ilvl w:val="0"/>
          <w:numId w:val="3"/>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现场带班人员要认真记录检査问题，并由单位现场负责人签字。</w:t>
      </w:r>
    </w:p>
    <w:p>
      <w:pPr>
        <w:numPr>
          <w:ilvl w:val="0"/>
          <w:numId w:val="3"/>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现场带班人员在巡査中所发现的违章行为，一并给予单位和责任人进行处罚，情节严重的要进行相关教育</w:t>
      </w:r>
      <w:r>
        <w:rPr>
          <w:rFonts w:hint="eastAsia" w:ascii="仿宋" w:hAnsi="仿宋" w:eastAsia="仿宋" w:cs="仿宋"/>
          <w:sz w:val="32"/>
          <w:szCs w:val="32"/>
          <w:lang w:eastAsia="zh-CN"/>
        </w:rPr>
        <w:t>。</w:t>
      </w:r>
    </w:p>
    <w:p>
      <w:pPr>
        <w:numPr>
          <w:ilvl w:val="0"/>
          <w:numId w:val="1"/>
        </w:numPr>
        <w:outlineLvl w:val="0"/>
        <w:rPr>
          <w:rFonts w:hint="eastAsia" w:ascii="黑体" w:hAnsi="黑体" w:eastAsia="黑体" w:cs="黑体"/>
          <w:sz w:val="32"/>
          <w:szCs w:val="32"/>
          <w:lang w:val="en-US" w:eastAsia="zh-CN"/>
        </w:rPr>
      </w:pPr>
      <w:bookmarkStart w:id="12" w:name="_Toc10611"/>
      <w:r>
        <w:rPr>
          <w:rFonts w:hint="eastAsia" w:ascii="黑体" w:hAnsi="黑体" w:eastAsia="黑体" w:cs="黑体"/>
          <w:sz w:val="32"/>
          <w:szCs w:val="32"/>
          <w:lang w:val="en-US" w:eastAsia="zh-CN"/>
        </w:rPr>
        <w:t>监督检査</w:t>
      </w:r>
      <w:bookmarkEnd w:id="12"/>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对项目部日常带班情况，由公司安全部门对其进行监督检查，检査内容包括实际带班人员、档案管理、带班记录填写等情况。</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5F6DD5"/>
    <w:multiLevelType w:val="singleLevel"/>
    <w:tmpl w:val="DD5F6DD5"/>
    <w:lvl w:ilvl="0" w:tentative="0">
      <w:start w:val="1"/>
      <w:numFmt w:val="decimal"/>
      <w:suff w:val="nothing"/>
      <w:lvlText w:val="%1、"/>
      <w:lvlJc w:val="left"/>
    </w:lvl>
  </w:abstractNum>
  <w:abstractNum w:abstractNumId="1">
    <w:nsid w:val="43966D2D"/>
    <w:multiLevelType w:val="singleLevel"/>
    <w:tmpl w:val="43966D2D"/>
    <w:lvl w:ilvl="0" w:tentative="0">
      <w:start w:val="1"/>
      <w:numFmt w:val="chineseCounting"/>
      <w:suff w:val="nothing"/>
      <w:lvlText w:val="%1、"/>
      <w:lvlJc w:val="left"/>
      <w:rPr>
        <w:rFonts w:hint="eastAsia"/>
      </w:rPr>
    </w:lvl>
  </w:abstractNum>
  <w:abstractNum w:abstractNumId="2">
    <w:nsid w:val="4A3C8CDA"/>
    <w:multiLevelType w:val="singleLevel"/>
    <w:tmpl w:val="4A3C8CD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ZjU5MDVjNGU1ZjMzMjM5YjIxYjMyOTU3N2ZhNDUifQ=="/>
  </w:docVars>
  <w:rsids>
    <w:rsidRoot w:val="00000000"/>
    <w:rsid w:val="03AD4862"/>
    <w:rsid w:val="12DC0010"/>
    <w:rsid w:val="258A17F3"/>
    <w:rsid w:val="278557A5"/>
    <w:rsid w:val="3E855884"/>
    <w:rsid w:val="44C946BF"/>
    <w:rsid w:val="45F44306"/>
    <w:rsid w:val="48144FCB"/>
    <w:rsid w:val="69763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7"/>
    <w:qFormat/>
    <w:uiPriority w:val="0"/>
    <w:pPr>
      <w:keepNext/>
      <w:keepLines/>
      <w:spacing w:before="340" w:beforeLines="0" w:beforeAutospacing="0" w:after="330" w:afterLines="0" w:afterAutospacing="0" w:line="576" w:lineRule="auto"/>
      <w:jc w:val="center"/>
      <w:outlineLvl w:val="0"/>
    </w:pPr>
    <w:rPr>
      <w:rFonts w:eastAsia="宋体"/>
      <w:b/>
      <w:kern w:val="44"/>
      <w:sz w:val="44"/>
    </w:rPr>
  </w:style>
  <w:style w:type="paragraph" w:styleId="4">
    <w:name w:val="heading 2"/>
    <w:basedOn w:val="1"/>
    <w:next w:val="1"/>
    <w:qFormat/>
    <w:uiPriority w:val="0"/>
    <w:pPr>
      <w:keepNext/>
      <w:keepLines/>
      <w:spacing w:line="360" w:lineRule="auto"/>
      <w:jc w:val="left"/>
      <w:outlineLvl w:val="1"/>
    </w:pPr>
    <w:rPr>
      <w:rFonts w:ascii="黑体" w:hAnsi="黑体"/>
      <w:bCs/>
      <w:sz w:val="24"/>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60"/>
      <w:ind w:left="120"/>
    </w:pPr>
    <w:rPr>
      <w:rFonts w:ascii="宋体" w:hAnsi="宋体" w:eastAsia="宋体" w:cs="宋体"/>
      <w:sz w:val="24"/>
      <w:szCs w:val="24"/>
    </w:rPr>
  </w:style>
  <w:style w:type="paragraph" w:styleId="5">
    <w:name w:val="Body Text Indent"/>
    <w:basedOn w:val="1"/>
    <w:next w:val="1"/>
    <w:qFormat/>
    <w:uiPriority w:val="0"/>
    <w:pPr>
      <w:spacing w:after="120" w:afterLines="0" w:afterAutospacing="0"/>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toc 2"/>
    <w:basedOn w:val="1"/>
    <w:next w:val="1"/>
    <w:autoRedefine/>
    <w:qFormat/>
    <w:uiPriority w:val="39"/>
    <w:pPr>
      <w:ind w:left="420" w:leftChars="200"/>
    </w:pPr>
  </w:style>
  <w:style w:type="paragraph" w:styleId="10">
    <w:name w:val="Title"/>
    <w:basedOn w:val="1"/>
    <w:autoRedefine/>
    <w:qFormat/>
    <w:uiPriority w:val="0"/>
    <w:pPr>
      <w:spacing w:before="240" w:after="60"/>
      <w:jc w:val="center"/>
      <w:outlineLvl w:val="0"/>
    </w:pPr>
    <w:rPr>
      <w:rFonts w:ascii="Arial" w:hAnsi="Arial" w:eastAsiaTheme="majorEastAsia"/>
      <w:b/>
      <w:sz w:val="52"/>
    </w:rPr>
  </w:style>
  <w:style w:type="paragraph" w:styleId="11">
    <w:name w:val="Body Text First Indent 2"/>
    <w:basedOn w:val="5"/>
    <w:next w:val="1"/>
    <w:autoRedefine/>
    <w:qFormat/>
    <w:uiPriority w:val="0"/>
    <w:pPr>
      <w:ind w:firstLine="420" w:firstLineChars="2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WPSOffice手动目录 1"/>
    <w:autoRedefine/>
    <w:qFormat/>
    <w:uiPriority w:val="0"/>
    <w:pPr>
      <w:ind w:leftChars="0"/>
    </w:pPr>
    <w:rPr>
      <w:rFonts w:asciiTheme="minorHAnsi" w:hAnsiTheme="minorHAnsi" w:eastAsiaTheme="minorEastAsia" w:cstheme="minorBidi"/>
      <w:sz w:val="20"/>
      <w:szCs w:val="20"/>
    </w:rPr>
  </w:style>
  <w:style w:type="paragraph" w:styleId="16">
    <w:name w:val="No Spacing"/>
    <w:autoRedefine/>
    <w:qFormat/>
    <w:uiPriority w:val="1"/>
    <w:rPr>
      <w:rFonts w:ascii="Calibri" w:hAnsi="Calibri" w:eastAsia="宋体" w:cs="Times New Roman"/>
      <w:sz w:val="22"/>
      <w:szCs w:val="22"/>
      <w:lang w:val="en-US" w:eastAsia="en-US" w:bidi="en-US"/>
    </w:rPr>
  </w:style>
  <w:style w:type="character" w:customStyle="1" w:styleId="17">
    <w:name w:val="标题 1 Char"/>
    <w:link w:val="3"/>
    <w:autoRedefine/>
    <w:qFormat/>
    <w:uiPriority w:val="0"/>
    <w:rPr>
      <w:rFonts w:eastAsia="宋体"/>
      <w:b/>
      <w:kern w:val="44"/>
      <w:sz w:val="44"/>
    </w:rPr>
  </w:style>
  <w:style w:type="paragraph" w:customStyle="1" w:styleId="18">
    <w:name w:val="#正文段落"/>
    <w:autoRedefine/>
    <w:semiHidden/>
    <w:qFormat/>
    <w:uiPriority w:val="0"/>
    <w:pPr>
      <w:widowControl w:val="0"/>
      <w:snapToGrid w:val="0"/>
      <w:spacing w:line="360" w:lineRule="auto"/>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1350</Words>
  <Characters>1355</Characters>
  <Lines>0</Lines>
  <Paragraphs>0</Paragraphs>
  <TotalTime>0</TotalTime>
  <ScaleCrop>false</ScaleCrop>
  <LinksUpToDate>false</LinksUpToDate>
  <CharactersWithSpaces>1380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2021-11-30T08:15:00Z</dcterms:created>
  <dc:creator>hw648</dc:creator>
  <cp:lastModifiedBy>維總</cp:lastModifiedBy>
  <dcterms:modified xsi:type="dcterms:W3CDTF">2024-04-19T09:59:12Z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19F1EF25344C477391F65CB523D51780</vt:lpwstr>
  </property>
</Properties>
</file>