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企业主体责任清单</w:t>
      </w:r>
    </w:p>
    <w:p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一、遵守安全生产和职业病防治的法律法规、标准规范，建立健全安全生产和职业病防治责任制，推进安全生产标准化建设;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二、设置安全生产和职业病防治管理机构，配备专职的管理人员，依照法律法规履行相关职责;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三、保证主要负责人、管理人员和其他从业人员具备安全生产和职业病防治知识，熟悉安全生产和职业病防治的规章制度和安全操作规程;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四、落实金属治炼行业风险点危险源辨识、管控和隐患排查整治责任，严格实行高温熔融吊运，治炼煤气、热轧、锻压、有限空间作业等危险作业安全管理;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五、落实职业病危害因素(高温、粉尘，噪声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等)申报、检测、评价，职业健康检查，建立劳动者职业健康监护档案;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六、组织生产安全和职业病危害事故应急预案的</w:t>
      </w:r>
      <w:bookmarkStart w:id="0" w:name="_GoBack"/>
      <w:bookmarkEnd w:id="0"/>
      <w:r>
        <w:rPr>
          <w:rFonts w:hint="eastAsia"/>
        </w:rPr>
        <w:t>制定及演练;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七、及时，如实报告生产安全和职业病事故，承担事故的相关责任;</w:t>
      </w:r>
    </w:p>
    <w:p>
      <w:pPr>
        <w:spacing w:line="360" w:lineRule="auto"/>
      </w:pPr>
      <w:r>
        <w:rPr>
          <w:rFonts w:hint="eastAsia"/>
        </w:rPr>
        <w:t>八、法律、法规规定的其他安全生产和职业病防治工作责任。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hMjM0NWI3MjJmNzlmZjc5MTVhZWY2MmFmMGFkNDcifQ=="/>
  </w:docVars>
  <w:rsids>
    <w:rsidRoot w:val="581E57C3"/>
    <w:rsid w:val="581E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2024-04-17T07:12:00Z</dcterms:created>
  <dc:creator>acer</dc:creator>
  <cp:lastModifiedBy>acer</cp:lastModifiedBy>
  <dcterms:modified xsi:type="dcterms:W3CDTF">2024-04-17T07:13:51Z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5070D30FFB53431FAA45063A994CAF60_11</vt:lpwstr>
  </property>
</Properties>
</file>