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1" w:rightChars="10"/>
        <w:jc w:val="center"/>
      </w:pPr>
      <w:bookmarkStart w:id="0" w:name="_GoBack"/>
      <w:bookmarkEnd w:id="0"/>
    </w:p>
    <w:p>
      <w:pPr>
        <w:jc w:val="center"/>
        <w:rPr>
          <w:rFonts w:ascii="黑体" w:hAnsi="黑体" w:eastAsia="黑体" w:cs="黑体"/>
          <w:sz w:val="36"/>
          <w:szCs w:val="36"/>
        </w:rPr>
      </w:pPr>
      <w:r>
        <w:rPr>
          <w:rFonts w:hint="eastAsia" w:ascii="黑体" w:hAnsi="黑体" w:eastAsia="黑体" w:cs="黑体"/>
          <w:sz w:val="36"/>
          <w:szCs w:val="36"/>
        </w:rPr>
        <w:t>企业安全生产主体责任清单</w:t>
      </w:r>
    </w:p>
    <w:tbl>
      <w:tblPr>
        <w:tblStyle w:val="8"/>
        <w:tblW w:w="9720" w:type="dxa"/>
        <w:jc w:val="center"/>
        <w:tblLayout w:type="fixed"/>
        <w:tblCellMar>
          <w:top w:w="15" w:type="dxa"/>
          <w:left w:w="15" w:type="dxa"/>
          <w:bottom w:w="15" w:type="dxa"/>
          <w:right w:w="15" w:type="dxa"/>
        </w:tblCellMar>
      </w:tblPr>
      <w:tblGrid>
        <w:gridCol w:w="660"/>
        <w:gridCol w:w="1845"/>
        <w:gridCol w:w="7215"/>
      </w:tblGrid>
      <w:tr>
        <w:tblPrEx>
          <w:tblCellMar>
            <w:top w:w="15" w:type="dxa"/>
            <w:left w:w="15" w:type="dxa"/>
            <w:bottom w:w="15" w:type="dxa"/>
            <w:right w:w="15" w:type="dxa"/>
          </w:tblCellMar>
        </w:tblPrEx>
        <w:trPr>
          <w:trHeight w:val="30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序号</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责任</w:t>
            </w:r>
          </w:p>
        </w:tc>
        <w:tc>
          <w:tcPr>
            <w:tcW w:w="72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b/>
                <w:bCs/>
                <w:color w:val="000000"/>
                <w:kern w:val="0"/>
                <w:sz w:val="24"/>
                <w:lang w:bidi="ar"/>
              </w:rPr>
              <w:t>责任内容</w:t>
            </w:r>
          </w:p>
        </w:tc>
      </w:tr>
      <w:tr>
        <w:tblPrEx>
          <w:tblCellMar>
            <w:top w:w="15" w:type="dxa"/>
            <w:left w:w="15" w:type="dxa"/>
            <w:bottom w:w="15" w:type="dxa"/>
            <w:right w:w="15" w:type="dxa"/>
          </w:tblCellMar>
        </w:tblPrEx>
        <w:trPr>
          <w:trHeight w:val="28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b/>
                <w:bCs/>
                <w:color w:val="000000"/>
                <w:sz w:val="24"/>
              </w:rPr>
            </w:pP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名称</w:t>
            </w:r>
          </w:p>
        </w:tc>
        <w:tc>
          <w:tcPr>
            <w:tcW w:w="7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r>
      <w:tr>
        <w:tblPrEx>
          <w:tblCellMar>
            <w:top w:w="15" w:type="dxa"/>
            <w:left w:w="15" w:type="dxa"/>
            <w:bottom w:w="15" w:type="dxa"/>
            <w:right w:w="15" w:type="dxa"/>
          </w:tblCellMar>
        </w:tblPrEx>
        <w:trPr>
          <w:trHeight w:val="285"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一</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具备安全生产条件</w:t>
            </w: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1.企业应具备本表所列安全生产条件（主体责任）；</w:t>
            </w:r>
          </w:p>
        </w:tc>
      </w:tr>
      <w:tr>
        <w:tblPrEx>
          <w:tblCellMar>
            <w:top w:w="15" w:type="dxa"/>
            <w:left w:w="15" w:type="dxa"/>
            <w:bottom w:w="15" w:type="dxa"/>
            <w:right w:w="15" w:type="dxa"/>
          </w:tblCellMar>
        </w:tblPrEx>
        <w:trPr>
          <w:trHeight w:val="57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r>
              <w:rPr>
                <w:rStyle w:val="29"/>
                <w:rFonts w:hint="default" w:ascii="仿宋" w:hAnsi="仿宋" w:eastAsia="仿宋" w:cs="仿宋"/>
                <w:lang w:bidi="ar"/>
              </w:rPr>
              <w:t>企业的生产经营场所和设备、设施符合有关安全生产法律、法规的规定和有关国家标准或者行业标准的要求。</w:t>
            </w:r>
          </w:p>
        </w:tc>
      </w:tr>
      <w:tr>
        <w:tblPrEx>
          <w:tblCellMar>
            <w:top w:w="15" w:type="dxa"/>
            <w:left w:w="15" w:type="dxa"/>
            <w:bottom w:w="15" w:type="dxa"/>
            <w:right w:w="15" w:type="dxa"/>
          </w:tblCellMar>
        </w:tblPrEx>
        <w:trPr>
          <w:trHeight w:val="855"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二</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建立安全生产责任制度</w:t>
            </w: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r>
              <w:rPr>
                <w:rStyle w:val="29"/>
                <w:rFonts w:hint="default" w:ascii="仿宋" w:hAnsi="仿宋" w:eastAsia="仿宋" w:cs="仿宋"/>
                <w:lang w:bidi="ar"/>
              </w:rPr>
              <w:t>依法建立健全本单位安全生产责任制度，并将本单位安全生产责任管理范围、内容、要求分解到各部门、各岗位，明确责任人员、责任内容和考核奖惩标准；</w:t>
            </w:r>
          </w:p>
        </w:tc>
      </w:tr>
      <w:tr>
        <w:tblPrEx>
          <w:tblCellMar>
            <w:top w:w="15" w:type="dxa"/>
            <w:left w:w="15" w:type="dxa"/>
            <w:bottom w:w="15" w:type="dxa"/>
            <w:right w:w="15" w:type="dxa"/>
          </w:tblCellMar>
        </w:tblPrEx>
        <w:trPr>
          <w:trHeight w:val="57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r>
              <w:rPr>
                <w:rStyle w:val="29"/>
                <w:rFonts w:hint="default" w:ascii="仿宋" w:hAnsi="仿宋" w:eastAsia="仿宋" w:cs="仿宋"/>
                <w:lang w:bidi="ar"/>
              </w:rPr>
              <w:t>生产经营单位应当建立相应的机制，加强对安全生产责任制落实情况的监督考核，保证安全生产责任制的落实。</w:t>
            </w:r>
          </w:p>
        </w:tc>
      </w:tr>
      <w:tr>
        <w:tblPrEx>
          <w:tblCellMar>
            <w:top w:w="15" w:type="dxa"/>
            <w:left w:w="15" w:type="dxa"/>
            <w:bottom w:w="15" w:type="dxa"/>
            <w:right w:w="15" w:type="dxa"/>
          </w:tblCellMar>
        </w:tblPrEx>
        <w:trPr>
          <w:trHeight w:val="4845"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三</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制定安全生产管理制度和操作规程</w:t>
            </w: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r>
              <w:rPr>
                <w:rStyle w:val="29"/>
                <w:rFonts w:hint="default" w:ascii="仿宋" w:hAnsi="仿宋" w:eastAsia="仿宋" w:cs="仿宋"/>
                <w:lang w:bidi="ar"/>
              </w:rPr>
              <w:t>安全生产管理制度：（1）安全生产例会等安全生产会议制度；（2）安全生产检查制度；（3）安全生产教育和培训制度；（4）劳动防护用品配备和管理制度；（5）安全生产奖励和惩罚制度；（6）安全生产事故报告和处理制度；（7）具有较大危险因素的生产经营场所、设备和设施的安全管理制度（注：只要存在“具有较大危险因素的生产经营场所、设备和设施”，就应当建立相应的制度）；（8）危险作业管理制度；（9）危险物品安全管理制度（注：如涉及有关危险物品生产、经营、储存、运输、废弃物处置的，应当按照对应的有关规定，制定相应的制度）；（10）隐患排查治理和建档监控制度；（11）领导干部和管理人员现场带班制度；（12）安全生产责任考核制度;（13）作业场所职工安全卫生健康管理制度；（14）生产经营单位对重大危险源应当登记建档，进行定期检测、评估、监控，并制定应急预案，告知从业人员和相关人员在紧急情况下应当采取的应急措施。生产经营单位应当按照国家有关规定将本单位重大危险源及有关安全措施、应急措施报有关地方人民政府安全生产监督管理部门和有关部门备案；（15）其他保证安全生产的规章制度。</w:t>
            </w:r>
          </w:p>
        </w:tc>
      </w:tr>
      <w:tr>
        <w:tblPrEx>
          <w:tblCellMar>
            <w:top w:w="15" w:type="dxa"/>
            <w:left w:w="15" w:type="dxa"/>
            <w:bottom w:w="15" w:type="dxa"/>
            <w:right w:w="15" w:type="dxa"/>
          </w:tblCellMar>
        </w:tblPrEx>
        <w:trPr>
          <w:trHeight w:val="28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r>
              <w:rPr>
                <w:rStyle w:val="29"/>
                <w:rFonts w:hint="default" w:ascii="仿宋" w:hAnsi="仿宋" w:eastAsia="仿宋" w:cs="仿宋"/>
                <w:lang w:bidi="ar"/>
              </w:rPr>
              <w:t>根据本企业特点，分专业、分工艺制定各岗位安全操作规程。</w:t>
            </w:r>
          </w:p>
        </w:tc>
      </w:tr>
      <w:tr>
        <w:tblPrEx>
          <w:tblCellMar>
            <w:top w:w="15" w:type="dxa"/>
            <w:left w:w="15" w:type="dxa"/>
            <w:bottom w:w="15" w:type="dxa"/>
            <w:right w:w="15" w:type="dxa"/>
          </w:tblCellMar>
        </w:tblPrEx>
        <w:trPr>
          <w:trHeight w:val="285"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四</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保证安全生产资金有效投入</w:t>
            </w: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r>
              <w:rPr>
                <w:rStyle w:val="29"/>
                <w:rFonts w:hint="default" w:ascii="仿宋" w:hAnsi="仿宋" w:eastAsia="仿宋" w:cs="仿宋"/>
                <w:lang w:bidi="ar"/>
              </w:rPr>
              <w:t>保证企业应当具备的安全生产条件所必须的资金投入；</w:t>
            </w:r>
          </w:p>
        </w:tc>
      </w:tr>
      <w:tr>
        <w:tblPrEx>
          <w:tblCellMar>
            <w:top w:w="15" w:type="dxa"/>
            <w:left w:w="15" w:type="dxa"/>
            <w:bottom w:w="15" w:type="dxa"/>
            <w:right w:w="15" w:type="dxa"/>
          </w:tblCellMar>
        </w:tblPrEx>
        <w:trPr>
          <w:trHeight w:val="57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r>
              <w:rPr>
                <w:rStyle w:val="29"/>
                <w:rFonts w:hint="default" w:ascii="仿宋" w:hAnsi="仿宋" w:eastAsia="仿宋" w:cs="仿宋"/>
                <w:lang w:bidi="ar"/>
              </w:rPr>
              <w:t>有关企业按照国家财政、安监部门的规定提取和使用安全生产费用。</w:t>
            </w:r>
          </w:p>
        </w:tc>
      </w:tr>
      <w:tr>
        <w:tblPrEx>
          <w:tblCellMar>
            <w:top w:w="15" w:type="dxa"/>
            <w:left w:w="15" w:type="dxa"/>
            <w:bottom w:w="15" w:type="dxa"/>
            <w:right w:w="15" w:type="dxa"/>
          </w:tblCellMar>
        </w:tblPrEx>
        <w:trPr>
          <w:trHeight w:val="855"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五</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设置安全生产管理机构和配备安全生产管理人员</w:t>
            </w: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r>
              <w:rPr>
                <w:rStyle w:val="29"/>
                <w:rFonts w:hint="default" w:ascii="仿宋" w:hAnsi="仿宋" w:eastAsia="仿宋" w:cs="仿宋"/>
                <w:lang w:bidi="ar"/>
              </w:rPr>
              <w:t>金属冶炼、建筑施工、道路运输单位和危险物品的生产、经营、储存单位，应当设置安全生产管理机构或者配备专职安全生产管理人员；</w:t>
            </w:r>
          </w:p>
        </w:tc>
      </w:tr>
      <w:tr>
        <w:tblPrEx>
          <w:tblCellMar>
            <w:top w:w="15" w:type="dxa"/>
            <w:left w:w="15" w:type="dxa"/>
            <w:bottom w:w="15" w:type="dxa"/>
            <w:right w:w="15" w:type="dxa"/>
          </w:tblCellMar>
        </w:tblPrEx>
        <w:trPr>
          <w:trHeight w:val="85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r>
              <w:rPr>
                <w:rStyle w:val="29"/>
                <w:rFonts w:hint="default" w:ascii="仿宋" w:hAnsi="仿宋" w:eastAsia="仿宋" w:cs="仿宋"/>
                <w:lang w:bidi="ar"/>
              </w:rPr>
              <w:t>其他生产经营单位，从业人员超过一百人的，应当设置安全生产管理机构或者配备专职安全生产管理人员；从业人员在一百人以下的，应当配备专职或者兼职的安全生产管理人员；</w:t>
            </w:r>
          </w:p>
        </w:tc>
      </w:tr>
      <w:tr>
        <w:tblPrEx>
          <w:tblCellMar>
            <w:top w:w="15" w:type="dxa"/>
            <w:left w:w="15" w:type="dxa"/>
            <w:bottom w:w="15" w:type="dxa"/>
            <w:right w:w="15" w:type="dxa"/>
          </w:tblCellMar>
        </w:tblPrEx>
        <w:trPr>
          <w:trHeight w:val="66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r>
              <w:rPr>
                <w:rStyle w:val="29"/>
                <w:rFonts w:hint="default" w:ascii="仿宋" w:hAnsi="仿宋" w:eastAsia="仿宋" w:cs="仿宋"/>
                <w:lang w:bidi="ar"/>
              </w:rPr>
              <w:t>危险物品的生产、储存单位以及金属冶炼单位的安全生产管理人员的任免，应当告知主管的负有安全生产监督管理职责的部门；</w:t>
            </w:r>
          </w:p>
        </w:tc>
      </w:tr>
      <w:tr>
        <w:tblPrEx>
          <w:tblCellMar>
            <w:top w:w="15" w:type="dxa"/>
            <w:left w:w="15" w:type="dxa"/>
            <w:bottom w:w="15" w:type="dxa"/>
            <w:right w:w="15" w:type="dxa"/>
          </w:tblCellMar>
        </w:tblPrEx>
        <w:trPr>
          <w:trHeight w:val="85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r>
              <w:rPr>
                <w:rStyle w:val="29"/>
                <w:rFonts w:hint="default" w:ascii="仿宋" w:hAnsi="仿宋" w:eastAsia="仿宋" w:cs="仿宋"/>
                <w:lang w:bidi="ar"/>
              </w:rPr>
              <w:t>危险物品的生产、储存单位以及金属冶炼单位应当有注册安全工程师从事安全生产管理工作。鼓励其他生产经营单位聘用注册安全工程师从事安全生产管理工作；</w:t>
            </w:r>
          </w:p>
        </w:tc>
      </w:tr>
      <w:tr>
        <w:tblPrEx>
          <w:tblCellMar>
            <w:top w:w="15" w:type="dxa"/>
            <w:left w:w="15" w:type="dxa"/>
            <w:bottom w:w="15" w:type="dxa"/>
            <w:right w:w="15" w:type="dxa"/>
          </w:tblCellMar>
        </w:tblPrEx>
        <w:trPr>
          <w:trHeight w:val="142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r>
              <w:rPr>
                <w:rStyle w:val="29"/>
                <w:rFonts w:hint="default" w:ascii="仿宋" w:hAnsi="仿宋" w:eastAsia="仿宋" w:cs="仿宋"/>
                <w:lang w:bidi="ar"/>
              </w:rPr>
              <w:t>从业人员在100人及以上或年主营业务收入2000万元及以上的矿山、建筑、交通运输、危险化学品、金属冶炼等行业，以及粉尘涉爆、涉氨制冷、船舶修造等领域的企业应当试行安全总监制度；人数偏少、组织机构简单但年主营业务收入2000万元及以上的化工企业应当赋予分管安全生产的负责人安全总监的职责；</w:t>
            </w:r>
          </w:p>
        </w:tc>
      </w:tr>
      <w:tr>
        <w:tblPrEx>
          <w:tblCellMar>
            <w:top w:w="15" w:type="dxa"/>
            <w:left w:w="15" w:type="dxa"/>
            <w:bottom w:w="15" w:type="dxa"/>
            <w:right w:w="15" w:type="dxa"/>
          </w:tblCellMar>
        </w:tblPrEx>
        <w:trPr>
          <w:trHeight w:val="66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r>
              <w:rPr>
                <w:rStyle w:val="29"/>
                <w:rFonts w:hint="default" w:ascii="仿宋" w:hAnsi="仿宋" w:eastAsia="仿宋" w:cs="仿宋"/>
                <w:lang w:bidi="ar"/>
              </w:rPr>
              <w:t>、规模以上或从业人员100人以上的建筑、交通运输、危化品、金属冶炼、粉尘涉爆、涉氨制冷、煤气作业、构成重大危险源、船舶修造以及涉及“两重点一重大”的化工等十大行业领域的企业必须配备安全总监，作为企业领导班子成员，享受本企业副总或总工程师、总会计师待遇，可以由分管安全生产的副总兼任，也可以根据实际情况聘任，聘任的必须要到岗、在岗。</w:t>
            </w:r>
          </w:p>
        </w:tc>
      </w:tr>
      <w:tr>
        <w:tblPrEx>
          <w:tblCellMar>
            <w:top w:w="15" w:type="dxa"/>
            <w:left w:w="15" w:type="dxa"/>
            <w:bottom w:w="15" w:type="dxa"/>
            <w:right w:w="15" w:type="dxa"/>
          </w:tblCellMar>
        </w:tblPrEx>
        <w:trPr>
          <w:trHeight w:val="855"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六</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建设项目安全设施必须“三同时”</w:t>
            </w: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r>
              <w:rPr>
                <w:rStyle w:val="29"/>
                <w:rFonts w:hint="default" w:ascii="仿宋" w:hAnsi="仿宋" w:eastAsia="仿宋" w:cs="仿宋"/>
                <w:lang w:bidi="ar"/>
              </w:rPr>
              <w:t>新建、改建、扩建工程项目（以下统称建设项目）的安全设施，必须与主体工程同时设计、同时施工、同时投入生产和使用。安全设施投资应当纳入建设项目概算；</w:t>
            </w:r>
          </w:p>
        </w:tc>
      </w:tr>
      <w:tr>
        <w:tblPrEx>
          <w:tblCellMar>
            <w:top w:w="15" w:type="dxa"/>
            <w:left w:w="15" w:type="dxa"/>
            <w:bottom w:w="15" w:type="dxa"/>
            <w:right w:w="15" w:type="dxa"/>
          </w:tblCellMar>
        </w:tblPrEx>
        <w:trPr>
          <w:trHeight w:val="57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r>
              <w:rPr>
                <w:rStyle w:val="29"/>
                <w:rFonts w:hint="default" w:ascii="仿宋" w:hAnsi="仿宋" w:eastAsia="仿宋" w:cs="仿宋"/>
                <w:lang w:bidi="ar"/>
              </w:rPr>
              <w:t>金属冶炼建设项目和用于生产、储存、装卸危险物品的建设项目，应当按照国家有关规定进行安全评价；</w:t>
            </w:r>
          </w:p>
        </w:tc>
      </w:tr>
      <w:tr>
        <w:tblPrEx>
          <w:tblCellMar>
            <w:top w:w="15" w:type="dxa"/>
            <w:left w:w="15" w:type="dxa"/>
            <w:bottom w:w="15" w:type="dxa"/>
            <w:right w:w="15" w:type="dxa"/>
          </w:tblCellMar>
        </w:tblPrEx>
        <w:trPr>
          <w:trHeight w:val="57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r>
              <w:rPr>
                <w:rStyle w:val="29"/>
                <w:rFonts w:hint="default" w:ascii="仿宋" w:hAnsi="仿宋" w:eastAsia="仿宋" w:cs="仿宋"/>
                <w:lang w:bidi="ar"/>
              </w:rPr>
              <w:t>金属冶炼建设项目和用于生产、储存、装卸危险物品的建设项目的安全设施设计应当按照国家有关规定报经有关部门审查；</w:t>
            </w:r>
          </w:p>
        </w:tc>
      </w:tr>
      <w:tr>
        <w:tblPrEx>
          <w:tblCellMar>
            <w:top w:w="15" w:type="dxa"/>
            <w:left w:w="15" w:type="dxa"/>
            <w:bottom w:w="15" w:type="dxa"/>
            <w:right w:w="15" w:type="dxa"/>
          </w:tblCellMar>
        </w:tblPrEx>
        <w:trPr>
          <w:trHeight w:val="85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r>
              <w:rPr>
                <w:rStyle w:val="29"/>
                <w:rFonts w:hint="default" w:ascii="仿宋" w:hAnsi="仿宋" w:eastAsia="仿宋" w:cs="仿宋"/>
                <w:lang w:bidi="ar"/>
              </w:rPr>
              <w:t>金属冶炼建设项目和用于生产、储存、装卸危险物品的建设项目的施工单位必须按照批准的安全设施设计施工，并对安全设施的工程质量负责；</w:t>
            </w:r>
          </w:p>
        </w:tc>
      </w:tr>
      <w:tr>
        <w:tblPrEx>
          <w:tblCellMar>
            <w:top w:w="15" w:type="dxa"/>
            <w:left w:w="15" w:type="dxa"/>
            <w:bottom w:w="15" w:type="dxa"/>
            <w:right w:w="15" w:type="dxa"/>
          </w:tblCellMar>
        </w:tblPrEx>
        <w:trPr>
          <w:trHeight w:val="85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r>
              <w:rPr>
                <w:rStyle w:val="29"/>
                <w:rFonts w:hint="default" w:ascii="仿宋" w:hAnsi="仿宋" w:eastAsia="仿宋" w:cs="仿宋"/>
                <w:lang w:bidi="ar"/>
              </w:rPr>
              <w:t>金属冶炼建设项目和用于生产、储存危险物品的建设项目竣工投入生产或者使用前，应当由建设单位负责组织对安全设施进行验收；验收合格后，方可投入生产和使用。</w:t>
            </w:r>
          </w:p>
        </w:tc>
      </w:tr>
      <w:tr>
        <w:tblPrEx>
          <w:tblCellMar>
            <w:top w:w="15" w:type="dxa"/>
            <w:left w:w="15" w:type="dxa"/>
            <w:bottom w:w="15" w:type="dxa"/>
            <w:right w:w="15" w:type="dxa"/>
          </w:tblCellMar>
        </w:tblPrEx>
        <w:trPr>
          <w:trHeight w:val="285"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七</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开展安全</w:t>
            </w:r>
          </w:p>
        </w:tc>
        <w:tc>
          <w:tcPr>
            <w:tcW w:w="72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改善安全生产条件，推进安全生产标准化建设，提高安全生产水平，确保安全生产。</w:t>
            </w:r>
          </w:p>
        </w:tc>
      </w:tr>
      <w:tr>
        <w:tblPrEx>
          <w:tblCellMar>
            <w:top w:w="15" w:type="dxa"/>
            <w:left w:w="15" w:type="dxa"/>
            <w:bottom w:w="15" w:type="dxa"/>
            <w:right w:w="15" w:type="dxa"/>
          </w:tblCellMar>
        </w:tblPrEx>
        <w:trPr>
          <w:trHeight w:val="28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生产标准化建设</w:t>
            </w:r>
          </w:p>
        </w:tc>
        <w:tc>
          <w:tcPr>
            <w:tcW w:w="7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s="仿宋"/>
                <w:color w:val="000000"/>
                <w:sz w:val="24"/>
              </w:rPr>
            </w:pPr>
          </w:p>
        </w:tc>
      </w:tr>
      <w:tr>
        <w:tblPrEx>
          <w:tblCellMar>
            <w:top w:w="15" w:type="dxa"/>
            <w:left w:w="15" w:type="dxa"/>
            <w:bottom w:w="15" w:type="dxa"/>
            <w:right w:w="15" w:type="dxa"/>
          </w:tblCellMar>
        </w:tblPrEx>
        <w:trPr>
          <w:trHeight w:val="57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八</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依法开展安全隐患排查治理</w:t>
            </w: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r>
              <w:rPr>
                <w:rStyle w:val="29"/>
                <w:rFonts w:hint="default" w:ascii="仿宋" w:hAnsi="仿宋" w:eastAsia="仿宋" w:cs="仿宋"/>
                <w:lang w:bidi="ar"/>
              </w:rPr>
              <w:t>企业应当定期组织安全生产管理人员、工程技术人员和其他相关人员，采取技术、管理措施，及时发现并消除事故隐患；</w:t>
            </w:r>
          </w:p>
        </w:tc>
      </w:tr>
      <w:tr>
        <w:tblPrEx>
          <w:tblCellMar>
            <w:top w:w="15" w:type="dxa"/>
            <w:left w:w="15" w:type="dxa"/>
            <w:bottom w:w="15" w:type="dxa"/>
            <w:right w:w="15" w:type="dxa"/>
          </w:tblCellMar>
        </w:tblPrEx>
        <w:trPr>
          <w:trHeight w:val="57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r>
              <w:rPr>
                <w:rStyle w:val="29"/>
                <w:rFonts w:hint="default" w:ascii="仿宋" w:hAnsi="仿宋" w:eastAsia="仿宋" w:cs="仿宋"/>
                <w:lang w:bidi="ar"/>
              </w:rPr>
              <w:t>对排查出的事故隐患，应当按照事故隐患的等级进行登记，建立事故隐患信息档案，并按照职责分工实施监控治理；</w:t>
            </w:r>
          </w:p>
        </w:tc>
      </w:tr>
      <w:tr>
        <w:tblPrEx>
          <w:tblCellMar>
            <w:top w:w="15" w:type="dxa"/>
            <w:left w:w="15" w:type="dxa"/>
            <w:bottom w:w="15" w:type="dxa"/>
            <w:right w:w="15" w:type="dxa"/>
          </w:tblCellMar>
        </w:tblPrEx>
        <w:trPr>
          <w:trHeight w:val="171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r>
              <w:rPr>
                <w:rStyle w:val="29"/>
                <w:rFonts w:hint="default" w:ascii="仿宋" w:hAnsi="仿宋" w:eastAsia="仿宋" w:cs="仿宋"/>
                <w:lang w:bidi="ar"/>
              </w:rPr>
              <w:t>在事故隐患治理过程中，应当采取相应的安全防范措施，防止事故发生。事故隐患排除前或者排除过程中无法保证安全的，应当从危险区域内撤出作业人员，并疏散可能危及的其他人员，设置警戒标志，暂时停产停业或者停止使用；对暂时难以停产或者停止使用的相关生产储存装置、设施、设备，应当加强维护和保养，防止事故发生；</w:t>
            </w:r>
          </w:p>
        </w:tc>
      </w:tr>
      <w:tr>
        <w:tblPrEx>
          <w:tblCellMar>
            <w:top w:w="15" w:type="dxa"/>
            <w:left w:w="15" w:type="dxa"/>
            <w:bottom w:w="15" w:type="dxa"/>
            <w:right w:w="15" w:type="dxa"/>
          </w:tblCellMar>
        </w:tblPrEx>
        <w:trPr>
          <w:trHeight w:val="85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r>
              <w:rPr>
                <w:rStyle w:val="29"/>
                <w:rFonts w:hint="default" w:ascii="仿宋" w:hAnsi="仿宋" w:eastAsia="仿宋" w:cs="仿宋"/>
                <w:lang w:bidi="ar"/>
              </w:rPr>
              <w:t>企业应当按照规定对本单位事故隐患排查治理情况进行统计分析，向安全监管监察部门和有关部门报送书面统计分析表。对于重大事故隐患，还应当及时向安全监管监察部门和有关部门报告；</w:t>
            </w:r>
          </w:p>
        </w:tc>
      </w:tr>
      <w:tr>
        <w:tblPrEx>
          <w:tblCellMar>
            <w:top w:w="15" w:type="dxa"/>
            <w:left w:w="15" w:type="dxa"/>
            <w:bottom w:w="15" w:type="dxa"/>
            <w:right w:w="15" w:type="dxa"/>
          </w:tblCellMar>
        </w:tblPrEx>
        <w:trPr>
          <w:trHeight w:val="28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r>
              <w:rPr>
                <w:rStyle w:val="29"/>
                <w:rFonts w:hint="default" w:ascii="仿宋" w:hAnsi="仿宋" w:eastAsia="仿宋" w:cs="仿宋"/>
                <w:lang w:bidi="ar"/>
              </w:rPr>
              <w:t>事故隐患排查治理情况应当如实记录，并向从业人员通报。</w:t>
            </w:r>
          </w:p>
        </w:tc>
      </w:tr>
      <w:tr>
        <w:tblPrEx>
          <w:tblCellMar>
            <w:top w:w="15" w:type="dxa"/>
            <w:left w:w="15" w:type="dxa"/>
            <w:bottom w:w="15" w:type="dxa"/>
            <w:right w:w="15" w:type="dxa"/>
          </w:tblCellMar>
        </w:tblPrEx>
        <w:trPr>
          <w:trHeight w:val="114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九</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落实对相关各方的安全生产管理职责</w:t>
            </w: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r>
              <w:rPr>
                <w:rStyle w:val="29"/>
                <w:rFonts w:hint="default" w:ascii="仿宋" w:hAnsi="仿宋" w:eastAsia="仿宋" w:cs="仿宋"/>
                <w:lang w:bidi="ar"/>
              </w:rPr>
              <w:t>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tc>
      </w:tr>
      <w:tr>
        <w:tblPrEx>
          <w:tblCellMar>
            <w:top w:w="15" w:type="dxa"/>
            <w:left w:w="15" w:type="dxa"/>
            <w:bottom w:w="15" w:type="dxa"/>
            <w:right w:w="15" w:type="dxa"/>
          </w:tblCellMar>
        </w:tblPrEx>
        <w:trPr>
          <w:trHeight w:val="57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r>
              <w:rPr>
                <w:rStyle w:val="29"/>
                <w:rFonts w:hint="default" w:ascii="仿宋" w:hAnsi="仿宋" w:eastAsia="仿宋" w:cs="仿宋"/>
                <w:lang w:bidi="ar"/>
              </w:rPr>
              <w:t>生产经营单位不得将生产经营项目、场所、设备发包或者出租给不具备安全生产条件或者相应资质的单位或者个人。</w:t>
            </w:r>
          </w:p>
        </w:tc>
      </w:tr>
      <w:tr>
        <w:tblPrEx>
          <w:tblCellMar>
            <w:top w:w="15" w:type="dxa"/>
            <w:left w:w="15" w:type="dxa"/>
            <w:bottom w:w="15" w:type="dxa"/>
            <w:right w:w="15" w:type="dxa"/>
          </w:tblCellMar>
        </w:tblPrEx>
        <w:trPr>
          <w:trHeight w:val="85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r>
              <w:rPr>
                <w:rStyle w:val="29"/>
                <w:rFonts w:hint="default" w:ascii="仿宋" w:hAnsi="仿宋" w:eastAsia="仿宋" w:cs="仿宋"/>
                <w:lang w:bidi="ar"/>
              </w:rPr>
              <w:t>生产经营项目、场所发包或者出租给其他单位的，生产经营单位应当与承包单位、承租单位签订专门的安全生产管理协议，或者在承包合同、租赁合同中约定各自的安全生产管理职责；</w:t>
            </w:r>
          </w:p>
        </w:tc>
      </w:tr>
      <w:tr>
        <w:tblPrEx>
          <w:tblCellMar>
            <w:top w:w="15" w:type="dxa"/>
            <w:left w:w="15" w:type="dxa"/>
            <w:bottom w:w="15" w:type="dxa"/>
            <w:right w:w="15" w:type="dxa"/>
          </w:tblCellMar>
        </w:tblPrEx>
        <w:trPr>
          <w:trHeight w:val="57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r>
              <w:rPr>
                <w:rStyle w:val="29"/>
                <w:rFonts w:hint="default" w:ascii="仿宋" w:hAnsi="仿宋" w:eastAsia="仿宋" w:cs="仿宋"/>
                <w:lang w:bidi="ar"/>
              </w:rPr>
              <w:t>生产经营单位对承包单位、承租单位的安全生产工作统一协调、管理，定期进行安全检查，发现安全问题的，应当及时督促整改。</w:t>
            </w:r>
          </w:p>
        </w:tc>
      </w:tr>
      <w:tr>
        <w:tblPrEx>
          <w:tblCellMar>
            <w:top w:w="15" w:type="dxa"/>
            <w:left w:w="15" w:type="dxa"/>
            <w:bottom w:w="15" w:type="dxa"/>
            <w:right w:w="15" w:type="dxa"/>
          </w:tblCellMar>
        </w:tblPrEx>
        <w:trPr>
          <w:trHeight w:val="57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十</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履行向从业人员告知和教育、督促义务</w:t>
            </w: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r>
              <w:rPr>
                <w:rStyle w:val="29"/>
                <w:rFonts w:hint="default" w:ascii="仿宋" w:hAnsi="仿宋" w:eastAsia="仿宋" w:cs="仿宋"/>
                <w:lang w:bidi="ar"/>
              </w:rPr>
              <w:t>企业应当教育和督促从业人员严格执行本单位的安全生产规章制度和安全操作规程；</w:t>
            </w:r>
          </w:p>
        </w:tc>
      </w:tr>
      <w:tr>
        <w:tblPrEx>
          <w:tblCellMar>
            <w:top w:w="15" w:type="dxa"/>
            <w:left w:w="15" w:type="dxa"/>
            <w:bottom w:w="15" w:type="dxa"/>
            <w:right w:w="15" w:type="dxa"/>
          </w:tblCellMar>
        </w:tblPrEx>
        <w:trPr>
          <w:trHeight w:val="85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r>
              <w:rPr>
                <w:rStyle w:val="29"/>
                <w:rFonts w:hint="default" w:ascii="仿宋" w:hAnsi="仿宋" w:eastAsia="仿宋" w:cs="仿宋"/>
                <w:lang w:bidi="ar"/>
              </w:rPr>
              <w:t>企业必须在醒目位置设置公告栏，在存在安全生产风险的岗位设置公告卡，分别标明本企业、本岗位主要危险危害因素、后果、事故预防及应急措施、报告电话等内容；</w:t>
            </w:r>
          </w:p>
        </w:tc>
      </w:tr>
      <w:tr>
        <w:tblPrEx>
          <w:tblCellMar>
            <w:top w:w="15" w:type="dxa"/>
            <w:left w:w="15" w:type="dxa"/>
            <w:bottom w:w="15" w:type="dxa"/>
            <w:right w:w="15" w:type="dxa"/>
          </w:tblCellMar>
        </w:tblPrEx>
        <w:trPr>
          <w:trHeight w:val="28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r>
              <w:rPr>
                <w:rStyle w:val="29"/>
                <w:rFonts w:hint="default" w:ascii="仿宋" w:hAnsi="仿宋" w:eastAsia="仿宋" w:cs="仿宋"/>
                <w:lang w:bidi="ar"/>
              </w:rPr>
              <w:t>企业必须在工作岗位标明安全操作要点。</w:t>
            </w:r>
          </w:p>
        </w:tc>
      </w:tr>
      <w:tr>
        <w:tblPrEx>
          <w:tblCellMar>
            <w:top w:w="15" w:type="dxa"/>
            <w:left w:w="15" w:type="dxa"/>
            <w:bottom w:w="15" w:type="dxa"/>
            <w:right w:w="15" w:type="dxa"/>
          </w:tblCellMar>
        </w:tblPrEx>
        <w:trPr>
          <w:trHeight w:val="855"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十一</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落实危险作业（活动）的安全管理措施</w:t>
            </w: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r>
              <w:rPr>
                <w:rStyle w:val="29"/>
                <w:rFonts w:hint="default" w:ascii="仿宋" w:hAnsi="仿宋" w:eastAsia="仿宋" w:cs="仿宋"/>
                <w:lang w:bidi="ar"/>
              </w:rPr>
              <w:t>生产经营单位进行爆破、吊装以及国务院安全生产监督管理部门会同国务院有关部门规定的其他危险作业，应当安排专门人员进行现场安全管理，确保操作规程的遵守和安全措施的落实；</w:t>
            </w:r>
          </w:p>
        </w:tc>
      </w:tr>
      <w:tr>
        <w:tblPrEx>
          <w:tblCellMar>
            <w:top w:w="15" w:type="dxa"/>
            <w:left w:w="15" w:type="dxa"/>
            <w:bottom w:w="15" w:type="dxa"/>
            <w:right w:w="15" w:type="dxa"/>
          </w:tblCellMar>
        </w:tblPrEx>
        <w:trPr>
          <w:trHeight w:val="57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r>
              <w:rPr>
                <w:rStyle w:val="29"/>
                <w:rFonts w:hint="default" w:ascii="仿宋" w:hAnsi="仿宋" w:eastAsia="仿宋" w:cs="仿宋"/>
                <w:lang w:bidi="ar"/>
              </w:rPr>
              <w:t>八大危险作业应符合《化学品生产单位特殊作业安全规范》（GB30871-2014）（注：适用于化学品生产单位）。</w:t>
            </w:r>
          </w:p>
        </w:tc>
      </w:tr>
      <w:tr>
        <w:tblPrEx>
          <w:tblCellMar>
            <w:top w:w="15" w:type="dxa"/>
            <w:left w:w="15" w:type="dxa"/>
            <w:bottom w:w="15" w:type="dxa"/>
            <w:right w:w="15" w:type="dxa"/>
          </w:tblCellMar>
        </w:tblPrEx>
        <w:trPr>
          <w:trHeight w:val="57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十二</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组织安全生产培训教育</w:t>
            </w: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r>
              <w:rPr>
                <w:rStyle w:val="29"/>
                <w:rFonts w:hint="default" w:ascii="仿宋" w:hAnsi="仿宋" w:eastAsia="仿宋" w:cs="仿宋"/>
                <w:lang w:bidi="ar"/>
              </w:rPr>
              <w:t>企业主要负责人和安全生产管理人员应当接受安全培训，具备与所从事的生产经营活动相适应的安全生产知识和管理能力；</w:t>
            </w:r>
          </w:p>
        </w:tc>
      </w:tr>
      <w:tr>
        <w:tblPrEx>
          <w:tblCellMar>
            <w:top w:w="15" w:type="dxa"/>
            <w:left w:w="15" w:type="dxa"/>
            <w:bottom w:w="15" w:type="dxa"/>
            <w:right w:w="15" w:type="dxa"/>
          </w:tblCellMar>
        </w:tblPrEx>
        <w:trPr>
          <w:trHeight w:val="85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r>
              <w:rPr>
                <w:rStyle w:val="29"/>
                <w:rFonts w:hint="default" w:ascii="仿宋" w:hAnsi="仿宋" w:eastAsia="仿宋" w:cs="仿宋"/>
                <w:lang w:bidi="ar"/>
              </w:rPr>
              <w:t>危险物品生产、经营、储存单位以及金属冶炼、建筑施工、道路运输企业的主要负责人、安全生产管理人员应当接受安全生产教育和培训，经主管的负有安全生产监督管理部门考核合格；</w:t>
            </w:r>
          </w:p>
        </w:tc>
      </w:tr>
      <w:tr>
        <w:tblPrEx>
          <w:tblCellMar>
            <w:top w:w="15" w:type="dxa"/>
            <w:left w:w="15" w:type="dxa"/>
            <w:bottom w:w="15" w:type="dxa"/>
            <w:right w:w="15" w:type="dxa"/>
          </w:tblCellMar>
        </w:tblPrEx>
        <w:trPr>
          <w:trHeight w:val="85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r>
              <w:rPr>
                <w:rStyle w:val="29"/>
                <w:rFonts w:hint="default" w:ascii="仿宋" w:hAnsi="仿宋" w:eastAsia="仿宋" w:cs="仿宋"/>
                <w:lang w:bidi="ar"/>
              </w:rPr>
              <w:t>企业应当对主要负责人、安全生产管理人员以外的其他从业人员按照有关规定进行安全生产教育和培训，未经教育和培训合格的从业人员，不得安排上岗作业；</w:t>
            </w:r>
          </w:p>
        </w:tc>
      </w:tr>
      <w:tr>
        <w:tblPrEx>
          <w:tblCellMar>
            <w:top w:w="15" w:type="dxa"/>
            <w:left w:w="15" w:type="dxa"/>
            <w:bottom w:w="15" w:type="dxa"/>
            <w:right w:w="15" w:type="dxa"/>
          </w:tblCellMar>
        </w:tblPrEx>
        <w:trPr>
          <w:trHeight w:val="85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r>
              <w:rPr>
                <w:rStyle w:val="29"/>
                <w:rFonts w:hint="default" w:ascii="仿宋" w:hAnsi="仿宋" w:eastAsia="仿宋" w:cs="仿宋"/>
                <w:lang w:bidi="ar"/>
              </w:rPr>
              <w:t>生产经营单位使用被派遣劳动者，应当将其纳入本单位从业人员统一管理，对其进行岗位安全操作规程和安全操作技能的教育培训；</w:t>
            </w:r>
          </w:p>
        </w:tc>
      </w:tr>
      <w:tr>
        <w:tblPrEx>
          <w:tblCellMar>
            <w:top w:w="15" w:type="dxa"/>
            <w:left w:w="15" w:type="dxa"/>
            <w:bottom w:w="15" w:type="dxa"/>
            <w:right w:w="15" w:type="dxa"/>
          </w:tblCellMar>
        </w:tblPrEx>
        <w:trPr>
          <w:trHeight w:val="57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r>
              <w:rPr>
                <w:rStyle w:val="29"/>
                <w:rFonts w:hint="default" w:ascii="仿宋" w:hAnsi="仿宋" w:eastAsia="仿宋" w:cs="仿宋"/>
                <w:lang w:bidi="ar"/>
              </w:rPr>
              <w:t>企业接受中等职业学校、高等学校学生实习的，应当对其进行相应的安全生产教育和培训，提供必要的劳动防护用品；</w:t>
            </w:r>
          </w:p>
        </w:tc>
      </w:tr>
      <w:tr>
        <w:tblPrEx>
          <w:tblCellMar>
            <w:top w:w="15" w:type="dxa"/>
            <w:left w:w="15" w:type="dxa"/>
            <w:bottom w:w="15" w:type="dxa"/>
            <w:right w:w="15" w:type="dxa"/>
          </w:tblCellMar>
        </w:tblPrEx>
        <w:trPr>
          <w:trHeight w:val="57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r>
              <w:rPr>
                <w:rStyle w:val="29"/>
                <w:rFonts w:hint="default" w:ascii="仿宋" w:hAnsi="仿宋" w:eastAsia="仿宋" w:cs="仿宋"/>
                <w:lang w:bidi="ar"/>
              </w:rPr>
              <w:t>企业采用新工艺、新技术、新材料或者使用新设备，应当对从业人员进行专门的安全生产教育和培训；</w:t>
            </w:r>
          </w:p>
        </w:tc>
      </w:tr>
      <w:tr>
        <w:tblPrEx>
          <w:tblCellMar>
            <w:top w:w="15" w:type="dxa"/>
            <w:left w:w="15" w:type="dxa"/>
            <w:bottom w:w="15" w:type="dxa"/>
            <w:right w:w="15" w:type="dxa"/>
          </w:tblCellMar>
        </w:tblPrEx>
        <w:trPr>
          <w:trHeight w:val="28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7.</w:t>
            </w:r>
            <w:r>
              <w:rPr>
                <w:rStyle w:val="29"/>
                <w:rFonts w:hint="default" w:ascii="仿宋" w:hAnsi="仿宋" w:eastAsia="仿宋" w:cs="仿宋"/>
                <w:lang w:bidi="ar"/>
              </w:rPr>
              <w:t>企业应当按照规定对从业人员每年组织再教育和培训；</w:t>
            </w:r>
          </w:p>
        </w:tc>
      </w:tr>
      <w:tr>
        <w:tblPrEx>
          <w:tblCellMar>
            <w:top w:w="15" w:type="dxa"/>
            <w:left w:w="15" w:type="dxa"/>
            <w:bottom w:w="15" w:type="dxa"/>
            <w:right w:w="15" w:type="dxa"/>
          </w:tblCellMar>
        </w:tblPrEx>
        <w:trPr>
          <w:trHeight w:val="85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8.</w:t>
            </w:r>
            <w:r>
              <w:rPr>
                <w:rStyle w:val="29"/>
                <w:rFonts w:hint="default" w:ascii="仿宋" w:hAnsi="仿宋" w:eastAsia="仿宋" w:cs="仿宋"/>
                <w:lang w:bidi="ar"/>
              </w:rPr>
              <w:t>特种作业人员必须按照国家有关法律、法规的规定接受专门的安全培训，经考核合格取得特种作业操作资格证书后，方可上岗作业；</w:t>
            </w:r>
          </w:p>
        </w:tc>
      </w:tr>
      <w:tr>
        <w:tblPrEx>
          <w:tblCellMar>
            <w:top w:w="15" w:type="dxa"/>
            <w:left w:w="15" w:type="dxa"/>
            <w:bottom w:w="15" w:type="dxa"/>
            <w:right w:w="15" w:type="dxa"/>
          </w:tblCellMar>
        </w:tblPrEx>
        <w:trPr>
          <w:trHeight w:val="285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9.</w:t>
            </w:r>
            <w:r>
              <w:rPr>
                <w:rStyle w:val="29"/>
                <w:rFonts w:hint="default" w:ascii="仿宋" w:hAnsi="仿宋" w:eastAsia="仿宋" w:cs="仿宋"/>
                <w:lang w:bidi="ar"/>
              </w:rPr>
              <w:t>危化品生产企业主要负责人、分管安全负责人和分管技术负责人的基本从业条件：（1）能认真履行安全生产法律、法规赋予的安全生产工作职责；无严重违反国家有关安全生产法律法规行为；无因未履行法定安全生产工作职责，导致发生生产安全事故，依法受到撤职处分或刑事处罚；（2）3年以上化工行业从业经历；（3）主要负责人、分管安全负责人和分管技术负责人应具有大学专科以上学历，其中至少有1人具有国民教育化工专业大学专科以上学历，或者具有化工专业高级技术职称；（4）接受安全生产法律法规和危化品安全管理知识的教育培训，经安监部门考核合格，取得危化品生产经营单位主要负责人安全资格证书；</w:t>
            </w:r>
          </w:p>
        </w:tc>
      </w:tr>
      <w:tr>
        <w:tblPrEx>
          <w:tblCellMar>
            <w:top w:w="15" w:type="dxa"/>
            <w:left w:w="15" w:type="dxa"/>
            <w:bottom w:w="15" w:type="dxa"/>
            <w:right w:w="15" w:type="dxa"/>
          </w:tblCellMar>
        </w:tblPrEx>
        <w:trPr>
          <w:trHeight w:val="142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r>
              <w:rPr>
                <w:rStyle w:val="29"/>
                <w:rFonts w:hint="default" w:ascii="仿宋" w:hAnsi="仿宋" w:eastAsia="仿宋" w:cs="仿宋"/>
                <w:lang w:bidi="ar"/>
              </w:rPr>
              <w:t>危化品生产企业专职安全管理人员的基本从业条件：（1）具有国民教育化工或相关专业大学专科以上学历；或者取得注册安全工程师执业资格证书；或者具有化工专业中级以上技术职称；（2）3年以上化工行业从业经历；（3）接受安全生产法律法规和危化品安全管理知识的教育培训，经安监部门考核合格；</w:t>
            </w:r>
          </w:p>
        </w:tc>
      </w:tr>
      <w:tr>
        <w:tblPrEx>
          <w:tblCellMar>
            <w:top w:w="15" w:type="dxa"/>
            <w:left w:w="15" w:type="dxa"/>
            <w:bottom w:w="15" w:type="dxa"/>
            <w:right w:w="15" w:type="dxa"/>
          </w:tblCellMar>
        </w:tblPrEx>
        <w:trPr>
          <w:trHeight w:val="171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11.</w:t>
            </w:r>
            <w:r>
              <w:rPr>
                <w:rStyle w:val="29"/>
                <w:rFonts w:hint="default" w:ascii="仿宋" w:hAnsi="仿宋" w:eastAsia="仿宋" w:cs="仿宋"/>
                <w:lang w:bidi="ar"/>
              </w:rPr>
              <w:t>危化品生产企业主要危险作业岗位操作人员的基本从业条件:(1) 具有国民教育化工专业中等职业教育以上学历；或者具有高中以上学历，并具有5年以上直接从事危险作业岗位操作的从业经历； (2) 依法接受国家规定的从业人员安全生产培训，参加本岗位有关工艺、设备、电气、仪表等岗位操作知识和操作技能的培训，通过考试，取得培训合格证。</w:t>
            </w:r>
          </w:p>
        </w:tc>
      </w:tr>
      <w:tr>
        <w:tblPrEx>
          <w:tblCellMar>
            <w:top w:w="15" w:type="dxa"/>
            <w:left w:w="15" w:type="dxa"/>
            <w:bottom w:w="15" w:type="dxa"/>
            <w:right w:w="15" w:type="dxa"/>
          </w:tblCellMar>
        </w:tblPrEx>
        <w:trPr>
          <w:trHeight w:val="57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十三</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严格管理危险物品</w:t>
            </w: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r>
              <w:rPr>
                <w:rStyle w:val="29"/>
                <w:rFonts w:hint="default" w:ascii="仿宋" w:hAnsi="仿宋" w:eastAsia="仿宋" w:cs="仿宋"/>
                <w:lang w:bidi="ar"/>
              </w:rPr>
              <w:t>从事生产最终产品或者中间产品列入《危险化学品目录》的化工企业应取得危险化学品安全生产许可证；</w:t>
            </w:r>
          </w:p>
        </w:tc>
      </w:tr>
      <w:tr>
        <w:tblPrEx>
          <w:tblCellMar>
            <w:top w:w="15" w:type="dxa"/>
            <w:left w:w="15" w:type="dxa"/>
            <w:bottom w:w="15" w:type="dxa"/>
            <w:right w:w="15" w:type="dxa"/>
          </w:tblCellMar>
        </w:tblPrEx>
        <w:trPr>
          <w:trHeight w:val="57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r>
              <w:rPr>
                <w:rStyle w:val="29"/>
                <w:rFonts w:hint="default" w:ascii="仿宋" w:hAnsi="仿宋" w:eastAsia="仿宋" w:cs="仿宋"/>
                <w:lang w:bidi="ar"/>
              </w:rPr>
              <w:t>使用危险化学品从事生产并且达到危险化学品使用量的数量标准的化工企业应取得危险化学品安全使用许可证；</w:t>
            </w:r>
          </w:p>
        </w:tc>
      </w:tr>
      <w:tr>
        <w:tblPrEx>
          <w:tblCellMar>
            <w:top w:w="15" w:type="dxa"/>
            <w:left w:w="15" w:type="dxa"/>
            <w:bottom w:w="15" w:type="dxa"/>
            <w:right w:w="15" w:type="dxa"/>
          </w:tblCellMar>
        </w:tblPrEx>
        <w:trPr>
          <w:trHeight w:val="28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r>
              <w:rPr>
                <w:rStyle w:val="29"/>
                <w:rFonts w:hint="default" w:ascii="仿宋" w:hAnsi="仿宋" w:eastAsia="仿宋" w:cs="仿宋"/>
                <w:lang w:bidi="ar"/>
              </w:rPr>
              <w:t>经营危险化学品的应当取得危险化学品经营许可证；</w:t>
            </w:r>
          </w:p>
        </w:tc>
      </w:tr>
      <w:tr>
        <w:tblPrEx>
          <w:tblCellMar>
            <w:top w:w="15" w:type="dxa"/>
            <w:left w:w="15" w:type="dxa"/>
            <w:bottom w:w="15" w:type="dxa"/>
            <w:right w:w="15" w:type="dxa"/>
          </w:tblCellMar>
        </w:tblPrEx>
        <w:trPr>
          <w:trHeight w:val="28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r>
              <w:rPr>
                <w:rStyle w:val="29"/>
                <w:rFonts w:hint="default" w:ascii="仿宋" w:hAnsi="仿宋" w:eastAsia="仿宋" w:cs="仿宋"/>
                <w:lang w:bidi="ar"/>
              </w:rPr>
              <w:t>运输和处置危险化学品也应当经过相关部门审批；</w:t>
            </w:r>
          </w:p>
        </w:tc>
      </w:tr>
      <w:tr>
        <w:tblPrEx>
          <w:tblCellMar>
            <w:top w:w="15" w:type="dxa"/>
            <w:left w:w="15" w:type="dxa"/>
            <w:bottom w:w="15" w:type="dxa"/>
            <w:right w:w="15" w:type="dxa"/>
          </w:tblCellMar>
        </w:tblPrEx>
        <w:trPr>
          <w:trHeight w:val="57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r>
              <w:rPr>
                <w:rStyle w:val="29"/>
                <w:rFonts w:hint="default" w:ascii="仿宋" w:hAnsi="仿宋" w:eastAsia="仿宋" w:cs="仿宋"/>
                <w:lang w:bidi="ar"/>
              </w:rPr>
              <w:t>经营、储存、运输、使用和处置烟花爆竹、民用爆炸物品、燃气、放射性物品等危险物品，也应当取得相关部门审批；</w:t>
            </w:r>
          </w:p>
        </w:tc>
      </w:tr>
      <w:tr>
        <w:tblPrEx>
          <w:tblCellMar>
            <w:top w:w="15" w:type="dxa"/>
            <w:left w:w="15" w:type="dxa"/>
            <w:bottom w:w="15" w:type="dxa"/>
            <w:right w:w="15" w:type="dxa"/>
          </w:tblCellMar>
        </w:tblPrEx>
        <w:trPr>
          <w:trHeight w:val="85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r>
              <w:rPr>
                <w:rStyle w:val="29"/>
                <w:rFonts w:hint="default" w:ascii="仿宋" w:hAnsi="仿宋" w:eastAsia="仿宋" w:cs="仿宋"/>
                <w:lang w:bidi="ar"/>
              </w:rPr>
              <w:t>生产、经营、储存、运输、使用和处置易燃易爆物品、危险化学品、放射性物品等危险物品的，必须执行有关法律法规和国家标准或者行业标准，采取可靠的安全措施；</w:t>
            </w:r>
          </w:p>
        </w:tc>
      </w:tr>
      <w:tr>
        <w:tblPrEx>
          <w:tblCellMar>
            <w:top w:w="15" w:type="dxa"/>
            <w:left w:w="15" w:type="dxa"/>
            <w:bottom w:w="15" w:type="dxa"/>
            <w:right w:w="15" w:type="dxa"/>
          </w:tblCellMar>
        </w:tblPrEx>
        <w:trPr>
          <w:trHeight w:val="142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7.</w:t>
            </w:r>
            <w:r>
              <w:rPr>
                <w:rStyle w:val="29"/>
                <w:rFonts w:hint="default" w:ascii="仿宋" w:hAnsi="仿宋" w:eastAsia="仿宋" w:cs="仿宋"/>
                <w:lang w:bidi="ar"/>
              </w:rPr>
              <w:t>存在重大危险源的企业，应当对重大危险源登记建档，定期检测、评估、监控，并制定应急预案，告知从业人员和相关人员在紧急情况下应当采取的应急措施。并应当按照国家有关规定将本单位重大危险源及有关安全措施、应急措施报有关地方人民政府安全生产监督管理部门和有关部门备案；</w:t>
            </w:r>
          </w:p>
        </w:tc>
      </w:tr>
      <w:tr>
        <w:tblPrEx>
          <w:tblCellMar>
            <w:top w:w="15" w:type="dxa"/>
            <w:left w:w="15" w:type="dxa"/>
            <w:bottom w:w="15" w:type="dxa"/>
            <w:right w:w="15" w:type="dxa"/>
          </w:tblCellMar>
        </w:tblPrEx>
        <w:trPr>
          <w:trHeight w:val="57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8.</w:t>
            </w:r>
            <w:r>
              <w:rPr>
                <w:rStyle w:val="29"/>
                <w:rFonts w:hint="default" w:ascii="仿宋" w:hAnsi="仿宋" w:eastAsia="仿宋" w:cs="仿宋"/>
                <w:lang w:bidi="ar"/>
              </w:rPr>
              <w:t>生产、经营、储存、使用危险物品的车间、商店、仓库不得与员工宿舍在同一座建筑物内，并应当与员工宿舍保持安全距离。</w:t>
            </w:r>
          </w:p>
        </w:tc>
      </w:tr>
      <w:tr>
        <w:tblPrEx>
          <w:tblCellMar>
            <w:top w:w="15" w:type="dxa"/>
            <w:left w:w="15" w:type="dxa"/>
            <w:bottom w:w="15" w:type="dxa"/>
            <w:right w:w="15" w:type="dxa"/>
          </w:tblCellMar>
        </w:tblPrEx>
        <w:trPr>
          <w:trHeight w:val="57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十四</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设备、工艺符合安全规定</w:t>
            </w: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r>
              <w:rPr>
                <w:rStyle w:val="29"/>
                <w:rFonts w:hint="default" w:ascii="仿宋" w:hAnsi="仿宋" w:eastAsia="仿宋" w:cs="仿宋"/>
                <w:lang w:bidi="ar"/>
              </w:rPr>
              <w:t>安全设备的设计、制造、安装、使用、检测、维修、改造和报废，应当符合国家标准或者行业标准；</w:t>
            </w:r>
          </w:p>
        </w:tc>
      </w:tr>
      <w:tr>
        <w:tblPrEx>
          <w:tblCellMar>
            <w:top w:w="15" w:type="dxa"/>
            <w:left w:w="15" w:type="dxa"/>
            <w:bottom w:w="15" w:type="dxa"/>
            <w:right w:w="15" w:type="dxa"/>
          </w:tblCellMar>
        </w:tblPrEx>
        <w:trPr>
          <w:trHeight w:val="57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企业必须对安全设备进行经常性维护、保养，并定期检测，保证正常运转。维护、保养、检测应当作好记录，并由有关人员签字。</w:t>
            </w:r>
          </w:p>
        </w:tc>
      </w:tr>
      <w:tr>
        <w:tblPrEx>
          <w:tblCellMar>
            <w:top w:w="15" w:type="dxa"/>
            <w:left w:w="15" w:type="dxa"/>
            <w:bottom w:w="15" w:type="dxa"/>
            <w:right w:w="15" w:type="dxa"/>
          </w:tblCellMar>
        </w:tblPrEx>
        <w:trPr>
          <w:trHeight w:val="85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r>
              <w:rPr>
                <w:rStyle w:val="29"/>
                <w:rFonts w:hint="default" w:ascii="仿宋" w:hAnsi="仿宋" w:eastAsia="仿宋" w:cs="仿宋"/>
                <w:lang w:bidi="ar"/>
              </w:rPr>
              <w:t>企业使用的危险物品的容器、运输工具，必须按照国家有关规定，由专业生产单位生产，并经具有专业资质的检测、检验机构检测、检验合格，取得安全使用证或者安全标志，方可投入使用；</w:t>
            </w:r>
          </w:p>
        </w:tc>
      </w:tr>
      <w:tr>
        <w:tblPrEx>
          <w:tblCellMar>
            <w:top w:w="15" w:type="dxa"/>
            <w:left w:w="15" w:type="dxa"/>
            <w:bottom w:w="15" w:type="dxa"/>
            <w:right w:w="15" w:type="dxa"/>
          </w:tblCellMar>
        </w:tblPrEx>
        <w:trPr>
          <w:trHeight w:val="57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r>
              <w:rPr>
                <w:rStyle w:val="29"/>
                <w:rFonts w:hint="default" w:ascii="仿宋" w:hAnsi="仿宋" w:eastAsia="仿宋" w:cs="仿宋"/>
                <w:lang w:bidi="ar"/>
              </w:rPr>
              <w:t>企业不得使用国家、省、自治区、直辖市人民政府公布的应当淘汰的危及生产安全的工艺、设备；</w:t>
            </w:r>
          </w:p>
        </w:tc>
      </w:tr>
      <w:tr>
        <w:tblPrEx>
          <w:tblCellMar>
            <w:top w:w="15" w:type="dxa"/>
            <w:left w:w="15" w:type="dxa"/>
            <w:bottom w:w="15" w:type="dxa"/>
            <w:right w:w="15" w:type="dxa"/>
          </w:tblCellMar>
        </w:tblPrEx>
        <w:trPr>
          <w:trHeight w:val="114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r>
              <w:rPr>
                <w:rStyle w:val="29"/>
                <w:rFonts w:hint="default" w:ascii="仿宋" w:hAnsi="仿宋" w:eastAsia="仿宋" w:cs="仿宋"/>
                <w:lang w:bidi="ar"/>
              </w:rPr>
              <w:t>企业应当加强在役安全生产设施设备的检测、评估，对不符合安全生产要求的安全生产设施设备应当及时维修或者更新；发现在役设备、现有工艺存在危及生产安全因素的，应当及时改进或者更新；</w:t>
            </w:r>
          </w:p>
        </w:tc>
      </w:tr>
      <w:tr>
        <w:tblPrEx>
          <w:tblCellMar>
            <w:top w:w="15" w:type="dxa"/>
            <w:left w:w="15" w:type="dxa"/>
            <w:bottom w:w="15" w:type="dxa"/>
            <w:right w:w="15" w:type="dxa"/>
          </w:tblCellMar>
        </w:tblPrEx>
        <w:trPr>
          <w:trHeight w:val="85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r>
              <w:rPr>
                <w:rStyle w:val="29"/>
                <w:rFonts w:hint="default" w:ascii="仿宋" w:hAnsi="仿宋" w:eastAsia="仿宋" w:cs="仿宋"/>
                <w:lang w:bidi="ar"/>
              </w:rPr>
              <w:t>企业采用新工艺、新技术、新材料或者使用新设备，必须了解、掌握其安全技术性能，采取有效的安全防护措施，保证采用新工艺、新技术、新材料或者使用新设备安全。</w:t>
            </w:r>
          </w:p>
        </w:tc>
      </w:tr>
      <w:tr>
        <w:tblPrEx>
          <w:tblCellMar>
            <w:top w:w="15" w:type="dxa"/>
            <w:left w:w="15" w:type="dxa"/>
            <w:bottom w:w="15" w:type="dxa"/>
            <w:right w:w="15" w:type="dxa"/>
          </w:tblCellMar>
        </w:tblPrEx>
        <w:trPr>
          <w:trHeight w:val="85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十五</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相关场所设施设备上设置警示标志</w:t>
            </w: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企业应当在有较大危险因素的生产经营场所和有关设施、设备上，设置明显的安全警示标志。</w:t>
            </w:r>
          </w:p>
        </w:tc>
      </w:tr>
      <w:tr>
        <w:tblPrEx>
          <w:tblCellMar>
            <w:top w:w="15" w:type="dxa"/>
            <w:left w:w="15" w:type="dxa"/>
            <w:bottom w:w="15" w:type="dxa"/>
            <w:right w:w="15" w:type="dxa"/>
          </w:tblCellMar>
        </w:tblPrEx>
        <w:trPr>
          <w:trHeight w:val="85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十六</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生产经营场所和员工宿舍设置符合要求的出口</w:t>
            </w: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工作场所和员工宿舍应设有符合紧急疏散要求、标志明显、保持畅通的出口；安全出口数目、疏散宽度和距离，应当符合国家有关建筑设计防火规范的规定。</w:t>
            </w:r>
          </w:p>
        </w:tc>
      </w:tr>
      <w:tr>
        <w:tblPrEx>
          <w:tblCellMar>
            <w:top w:w="15" w:type="dxa"/>
            <w:left w:w="15" w:type="dxa"/>
            <w:bottom w:w="15" w:type="dxa"/>
            <w:right w:w="15" w:type="dxa"/>
          </w:tblCellMar>
        </w:tblPrEx>
        <w:trPr>
          <w:trHeight w:val="855"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十七</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职业健康及劳动防护用品配置</w:t>
            </w: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r>
              <w:rPr>
                <w:rStyle w:val="29"/>
                <w:rFonts w:hint="default" w:ascii="仿宋" w:hAnsi="仿宋" w:eastAsia="仿宋" w:cs="仿宋"/>
                <w:lang w:bidi="ar"/>
              </w:rPr>
              <w:t>企业必须保证工作场所符合职业卫生要求，主动申报职业病危害项目，设置职业危害公告栏，定期进行职业病危害检测，组织劳动者职业健康检查并建立监护档案。</w:t>
            </w:r>
          </w:p>
        </w:tc>
      </w:tr>
      <w:tr>
        <w:tblPrEx>
          <w:tblCellMar>
            <w:top w:w="15" w:type="dxa"/>
            <w:left w:w="15" w:type="dxa"/>
            <w:bottom w:w="15" w:type="dxa"/>
            <w:right w:w="15" w:type="dxa"/>
          </w:tblCellMar>
        </w:tblPrEx>
        <w:trPr>
          <w:trHeight w:val="57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r>
              <w:rPr>
                <w:rStyle w:val="29"/>
                <w:rFonts w:hint="default" w:ascii="仿宋" w:hAnsi="仿宋" w:eastAsia="仿宋" w:cs="仿宋"/>
                <w:lang w:bidi="ar"/>
              </w:rPr>
              <w:t>企业必须为从业人员提供符合国家标准或者行业标准的劳动防护用品，并监督、教育从业人员按照使用规则佩戴、使用。</w:t>
            </w:r>
          </w:p>
        </w:tc>
      </w:tr>
      <w:tr>
        <w:tblPrEx>
          <w:tblCellMar>
            <w:top w:w="15" w:type="dxa"/>
            <w:left w:w="15" w:type="dxa"/>
            <w:bottom w:w="15" w:type="dxa"/>
            <w:right w:w="15" w:type="dxa"/>
          </w:tblCellMar>
        </w:tblPrEx>
        <w:trPr>
          <w:trHeight w:val="855"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十八</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做好生产安全事故应急救援工作</w:t>
            </w: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r>
              <w:rPr>
                <w:rStyle w:val="29"/>
                <w:rFonts w:hint="default" w:ascii="仿宋" w:hAnsi="仿宋" w:eastAsia="仿宋" w:cs="仿宋"/>
                <w:lang w:bidi="ar"/>
              </w:rPr>
              <w:t>企业应当制定本单位生产安全事故应急救援预案，与所在地县级以上地方人民政府组织制定的生产安全事故应急救援预案相衔接，并每年至少组织演练1次；</w:t>
            </w:r>
          </w:p>
        </w:tc>
      </w:tr>
      <w:tr>
        <w:tblPrEx>
          <w:tblCellMar>
            <w:top w:w="15" w:type="dxa"/>
            <w:left w:w="15" w:type="dxa"/>
            <w:bottom w:w="15" w:type="dxa"/>
            <w:right w:w="15" w:type="dxa"/>
          </w:tblCellMar>
        </w:tblPrEx>
        <w:trPr>
          <w:trHeight w:val="85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r>
              <w:rPr>
                <w:rStyle w:val="29"/>
                <w:rFonts w:hint="default" w:ascii="仿宋" w:hAnsi="仿宋" w:eastAsia="仿宋" w:cs="仿宋"/>
                <w:lang w:bidi="ar"/>
              </w:rPr>
              <w:t>危险物品的生产、经营、储存单位以及金属冶炼、城市轨道交通运营、建筑施工单位应当建立应急救援组织；生产经营规模较小的，可以不建立应急救援组织，但应当指定兼职的应急救援人员；</w:t>
            </w:r>
          </w:p>
        </w:tc>
      </w:tr>
      <w:tr>
        <w:tblPrEx>
          <w:tblCellMar>
            <w:top w:w="15" w:type="dxa"/>
            <w:left w:w="15" w:type="dxa"/>
            <w:bottom w:w="15" w:type="dxa"/>
            <w:right w:w="15" w:type="dxa"/>
          </w:tblCellMar>
        </w:tblPrEx>
        <w:trPr>
          <w:trHeight w:val="85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r>
              <w:rPr>
                <w:rStyle w:val="29"/>
                <w:rFonts w:hint="default" w:ascii="仿宋" w:hAnsi="仿宋" w:eastAsia="仿宋" w:cs="仿宋"/>
                <w:lang w:bidi="ar"/>
              </w:rPr>
              <w:t>危险物品的生产、经营、储存、运输单位以及金属冶炼、城市轨道交通运营、建筑施工单位应当配备必要的应急救援器材、设备和物资，并进行经常性维护、保养，保证正常运转；</w:t>
            </w:r>
          </w:p>
        </w:tc>
      </w:tr>
      <w:tr>
        <w:tblPrEx>
          <w:tblCellMar>
            <w:top w:w="15" w:type="dxa"/>
            <w:left w:w="15" w:type="dxa"/>
            <w:bottom w:w="15" w:type="dxa"/>
            <w:right w:w="15" w:type="dxa"/>
          </w:tblCellMar>
        </w:tblPrEx>
        <w:trPr>
          <w:trHeight w:val="57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r>
              <w:rPr>
                <w:rStyle w:val="29"/>
                <w:rFonts w:hint="default" w:ascii="仿宋" w:hAnsi="仿宋" w:eastAsia="仿宋" w:cs="仿宋"/>
                <w:lang w:bidi="ar"/>
              </w:rPr>
              <w:t>其他企业必须建立专（兼）职应急救援队伍或与邻近专职救援队签订救援协议，配备必要的应急装备、物资；</w:t>
            </w:r>
          </w:p>
        </w:tc>
      </w:tr>
      <w:tr>
        <w:tblPrEx>
          <w:tblCellMar>
            <w:top w:w="15" w:type="dxa"/>
            <w:left w:w="15" w:type="dxa"/>
            <w:bottom w:w="15" w:type="dxa"/>
            <w:right w:w="15" w:type="dxa"/>
          </w:tblCellMar>
        </w:tblPrEx>
        <w:trPr>
          <w:trHeight w:val="57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r>
              <w:rPr>
                <w:rStyle w:val="29"/>
                <w:rFonts w:hint="default" w:ascii="仿宋" w:hAnsi="仿宋" w:eastAsia="仿宋" w:cs="仿宋"/>
                <w:lang w:bidi="ar"/>
              </w:rPr>
              <w:t>必须在险情或事故发生后第一时间做好先期处置，及时采取隔离和疏散措施，并按照有关规定如实向当地政府及有关部门报告。</w:t>
            </w:r>
          </w:p>
        </w:tc>
      </w:tr>
    </w:tbl>
    <w:p/>
    <w:p/>
    <w:p/>
    <w:p/>
    <w:p/>
    <w:p/>
    <w:p/>
    <w:p/>
    <w:p/>
    <w:p/>
    <w:p/>
    <w:p/>
    <w:p/>
    <w:p/>
    <w:p/>
    <w:p/>
    <w:p/>
    <w:p/>
    <w:p/>
    <w:p/>
    <w:p/>
    <w:p/>
    <w:p/>
    <w:p/>
    <w:p/>
    <w:p/>
    <w:p/>
    <w:p/>
    <w:p/>
    <w:p/>
    <w:p/>
    <w:p/>
    <w:p/>
    <w:p/>
    <w:p/>
    <w:p/>
    <w:p/>
    <w:p/>
    <w:p/>
    <w:p/>
    <w:p/>
    <w:p/>
    <w:p/>
    <w:p/>
    <w:p/>
    <w:p/>
    <w:p/>
    <w:p/>
    <w:p/>
    <w:p/>
    <w:p/>
    <w:p/>
    <w:p/>
    <w:p/>
    <w:p/>
    <w:sectPr>
      <w:footerReference r:id="rId3" w:type="default"/>
      <w:pgSz w:w="11906" w:h="16838"/>
      <w:pgMar w:top="1440" w:right="1393" w:bottom="1440"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2010601030101010101"/>
    <w:charset w:val="86"/>
    <w:family w:val="auto"/>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造字工房力黑（非商用）常规体">
    <w:altName w:val="黑体"/>
    <w:panose1 w:val="00000000000000000000"/>
    <w:charset w:val="86"/>
    <w:family w:val="moder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5493988"/>
      <w:docPartObj>
        <w:docPartGallery w:val="AutoText"/>
      </w:docPartObj>
    </w:sdtPr>
    <w:sdtContent>
      <w:p>
        <w:pPr>
          <w:pStyle w:val="5"/>
          <w:jc w:val="right"/>
        </w:pPr>
        <w:r>
          <w:rPr>
            <w:rFonts w:hint="eastAsia"/>
          </w:rPr>
          <w:t>第</w:t>
        </w:r>
        <w:r>
          <w:fldChar w:fldCharType="begin"/>
        </w:r>
        <w:r>
          <w:instrText xml:space="preserve"> </w:instrText>
        </w:r>
        <w:r>
          <w:rPr>
            <w:rFonts w:hint="eastAsia"/>
          </w:rPr>
          <w:instrText xml:space="preserve">PAGE  \* Arabic  \* MERGEFORMAT</w:instrText>
        </w:r>
        <w:r>
          <w:instrText xml:space="preserve"> </w:instrText>
        </w:r>
        <w:r>
          <w:fldChar w:fldCharType="separate"/>
        </w:r>
        <w:r>
          <w:t>6</w:t>
        </w:r>
        <w:r>
          <w:fldChar w:fldCharType="end"/>
        </w:r>
        <w:r>
          <w:rPr>
            <w:rFonts w:hint="eastAsia"/>
          </w:rPr>
          <w:t>页</w:t>
        </w:r>
        <w:r>
          <w:t>/</w:t>
        </w:r>
        <w:r>
          <w:rPr>
            <w:rFonts w:hint="eastAsia"/>
          </w:rPr>
          <w:t>共</w:t>
        </w:r>
        <w:r>
          <w:fldChar w:fldCharType="begin"/>
        </w:r>
        <w:r>
          <w:instrText xml:space="preserve"> NUMPAGES  \* Arabic  \* MERGEFORMAT </w:instrText>
        </w:r>
        <w:r>
          <w:fldChar w:fldCharType="separate"/>
        </w:r>
        <w:r>
          <w:t>8</w:t>
        </w:r>
        <w:r>
          <w:fldChar w:fldCharType="end"/>
        </w:r>
        <w:r>
          <w:rPr>
            <w:rFonts w:hint="eastAsia"/>
          </w:rPr>
          <w:t>页</w:t>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MSwiaGRpZCI6IjJjM2ZjMmIyNmZlNWM2OTdhZmJhMDk3ZjZmZmUxM2NlIiwidXNlckNvdW50IjoxfQ=="/>
  </w:docVars>
  <w:rsids>
    <w:rsidRoot w:val="0B837891"/>
    <w:rsid w:val="000216AC"/>
    <w:rsid w:val="00043347"/>
    <w:rsid w:val="00057E9D"/>
    <w:rsid w:val="000A70D8"/>
    <w:rsid w:val="001226FF"/>
    <w:rsid w:val="001353B6"/>
    <w:rsid w:val="001D1AF8"/>
    <w:rsid w:val="00223028"/>
    <w:rsid w:val="00227738"/>
    <w:rsid w:val="0024000F"/>
    <w:rsid w:val="00267BB0"/>
    <w:rsid w:val="00294DAC"/>
    <w:rsid w:val="002D1AFF"/>
    <w:rsid w:val="00415BFB"/>
    <w:rsid w:val="00476409"/>
    <w:rsid w:val="004911F4"/>
    <w:rsid w:val="005527B0"/>
    <w:rsid w:val="005D240B"/>
    <w:rsid w:val="005F2339"/>
    <w:rsid w:val="0065569E"/>
    <w:rsid w:val="006730A9"/>
    <w:rsid w:val="006E74EE"/>
    <w:rsid w:val="00747F48"/>
    <w:rsid w:val="00796405"/>
    <w:rsid w:val="0083101E"/>
    <w:rsid w:val="008670F3"/>
    <w:rsid w:val="00897DB1"/>
    <w:rsid w:val="008E04A7"/>
    <w:rsid w:val="00952F50"/>
    <w:rsid w:val="00A40992"/>
    <w:rsid w:val="00AC32B4"/>
    <w:rsid w:val="00B4008E"/>
    <w:rsid w:val="00B65644"/>
    <w:rsid w:val="00B66F17"/>
    <w:rsid w:val="00BA2C2E"/>
    <w:rsid w:val="00BD181A"/>
    <w:rsid w:val="00C63539"/>
    <w:rsid w:val="00D9238A"/>
    <w:rsid w:val="00D938C5"/>
    <w:rsid w:val="00DD2D80"/>
    <w:rsid w:val="00DF5507"/>
    <w:rsid w:val="00F004DE"/>
    <w:rsid w:val="00F02255"/>
    <w:rsid w:val="00FD50FB"/>
    <w:rsid w:val="00FF1B53"/>
    <w:rsid w:val="0B837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22"/>
    <w:autoRedefine/>
    <w:qFormat/>
    <w:uiPriority w:val="9"/>
    <w:pPr>
      <w:keepNext/>
      <w:keepLines/>
      <w:spacing w:before="80" w:after="80"/>
      <w:outlineLvl w:val="0"/>
    </w:pPr>
    <w:rPr>
      <w:rFonts w:eastAsia="方正小标宋简体"/>
      <w:bCs/>
      <w:kern w:val="44"/>
      <w:sz w:val="44"/>
      <w:szCs w:val="44"/>
    </w:rPr>
  </w:style>
  <w:style w:type="paragraph" w:styleId="3">
    <w:name w:val="heading 2"/>
    <w:basedOn w:val="1"/>
    <w:next w:val="1"/>
    <w:link w:val="27"/>
    <w:semiHidden/>
    <w:unhideWhenUsed/>
    <w:qFormat/>
    <w:uiPriority w:val="9"/>
    <w:pPr>
      <w:keepNext/>
      <w:keepLines/>
      <w:spacing w:before="40" w:after="40"/>
      <w:outlineLvl w:val="1"/>
    </w:pPr>
    <w:rPr>
      <w:rFonts w:asciiTheme="majorHAnsi" w:hAnsiTheme="majorHAnsi" w:eastAsiaTheme="majorEastAsia" w:cstheme="majorBidi"/>
      <w:b/>
      <w:bCs/>
      <w:sz w:val="32"/>
      <w:szCs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Document Map"/>
    <w:basedOn w:val="1"/>
    <w:link w:val="14"/>
    <w:semiHidden/>
    <w:unhideWhenUsed/>
    <w:uiPriority w:val="99"/>
    <w:rPr>
      <w:rFonts w:ascii="Microsoft YaHei UI" w:eastAsia="Microsoft YaHei UI"/>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28"/>
    <w:autoRedefine/>
    <w:qFormat/>
    <w:uiPriority w:val="10"/>
    <w:pPr>
      <w:spacing w:before="40" w:after="40"/>
      <w:jc w:val="center"/>
      <w:outlineLvl w:val="2"/>
    </w:pPr>
    <w:rPr>
      <w:rFonts w:asciiTheme="majorHAnsi" w:hAnsiTheme="majorHAnsi" w:eastAsiaTheme="majorEastAsia" w:cstheme="majorBidi"/>
      <w:b/>
      <w:bCs/>
      <w:sz w:val="28"/>
      <w:szCs w:val="32"/>
    </w:rPr>
  </w:style>
  <w:style w:type="character" w:styleId="10">
    <w:name w:val="page number"/>
    <w:basedOn w:val="9"/>
    <w:uiPriority w:val="0"/>
  </w:style>
  <w:style w:type="character" w:customStyle="1" w:styleId="11">
    <w:name w:val="页眉 字符"/>
    <w:basedOn w:val="9"/>
    <w:link w:val="6"/>
    <w:uiPriority w:val="99"/>
    <w:rPr>
      <w:sz w:val="18"/>
      <w:szCs w:val="18"/>
    </w:rPr>
  </w:style>
  <w:style w:type="character" w:customStyle="1" w:styleId="12">
    <w:name w:val="页脚 字符"/>
    <w:basedOn w:val="9"/>
    <w:link w:val="5"/>
    <w:uiPriority w:val="99"/>
    <w:rPr>
      <w:sz w:val="18"/>
      <w:szCs w:val="18"/>
    </w:rPr>
  </w:style>
  <w:style w:type="paragraph" w:customStyle="1" w:styleId="13">
    <w:name w:val="Char Char Char Char Char Char Char"/>
    <w:basedOn w:val="4"/>
    <w:uiPriority w:val="0"/>
    <w:pPr>
      <w:shd w:val="clear" w:color="auto" w:fill="000080"/>
      <w:adjustRightInd w:val="0"/>
      <w:spacing w:line="436" w:lineRule="exact"/>
      <w:ind w:left="357"/>
      <w:jc w:val="left"/>
      <w:outlineLvl w:val="3"/>
    </w:pPr>
    <w:rPr>
      <w:rFonts w:hint="eastAsia" w:ascii="Times New Roman" w:eastAsia="宋体"/>
      <w:sz w:val="21"/>
      <w:szCs w:val="20"/>
    </w:rPr>
  </w:style>
  <w:style w:type="character" w:customStyle="1" w:styleId="14">
    <w:name w:val="文档结构图 字符"/>
    <w:basedOn w:val="9"/>
    <w:link w:val="4"/>
    <w:autoRedefine/>
    <w:semiHidden/>
    <w:qFormat/>
    <w:uiPriority w:val="99"/>
    <w:rPr>
      <w:rFonts w:ascii="Microsoft YaHei UI" w:hAnsi="Times New Roman" w:eastAsia="Microsoft YaHei UI" w:cs="Times New Roman"/>
      <w:sz w:val="18"/>
      <w:szCs w:val="18"/>
    </w:rPr>
  </w:style>
  <w:style w:type="paragraph" w:customStyle="1" w:styleId="15">
    <w:name w:val="主标题"/>
    <w:basedOn w:val="1"/>
    <w:link w:val="17"/>
    <w:qFormat/>
    <w:uiPriority w:val="0"/>
    <w:pPr>
      <w:spacing w:line="540" w:lineRule="exact"/>
      <w:jc w:val="center"/>
    </w:pPr>
    <w:rPr>
      <w:rFonts w:ascii="宋体" w:hAnsi="宋体"/>
      <w:b/>
      <w:bCs/>
      <w:sz w:val="36"/>
    </w:rPr>
  </w:style>
  <w:style w:type="paragraph" w:customStyle="1" w:styleId="16">
    <w:name w:val="副标题1"/>
    <w:basedOn w:val="1"/>
    <w:link w:val="19"/>
    <w:qFormat/>
    <w:uiPriority w:val="0"/>
    <w:pPr>
      <w:spacing w:line="540" w:lineRule="exact"/>
      <w:jc w:val="center"/>
    </w:pPr>
    <w:rPr>
      <w:rFonts w:ascii="楷体_GB2312" w:hAnsi="楷体_GB2312" w:eastAsia="楷体_GB2312"/>
      <w:sz w:val="30"/>
    </w:rPr>
  </w:style>
  <w:style w:type="character" w:customStyle="1" w:styleId="17">
    <w:name w:val="主标题 字符"/>
    <w:basedOn w:val="9"/>
    <w:link w:val="15"/>
    <w:uiPriority w:val="0"/>
    <w:rPr>
      <w:rFonts w:ascii="宋体" w:hAnsi="宋体" w:eastAsia="宋体" w:cs="Times New Roman"/>
      <w:b/>
      <w:bCs/>
      <w:sz w:val="36"/>
      <w:szCs w:val="20"/>
    </w:rPr>
  </w:style>
  <w:style w:type="paragraph" w:customStyle="1" w:styleId="18">
    <w:name w:val="正文1"/>
    <w:basedOn w:val="1"/>
    <w:link w:val="21"/>
    <w:qFormat/>
    <w:uiPriority w:val="0"/>
    <w:pPr>
      <w:spacing w:line="540" w:lineRule="exact"/>
      <w:ind w:firstLine="200" w:firstLineChars="200"/>
    </w:pPr>
    <w:rPr>
      <w:rFonts w:ascii="仿宋_GB2312" w:hAnsi="仿宋_GB2312" w:eastAsia="仿宋_GB2312"/>
      <w:sz w:val="30"/>
    </w:rPr>
  </w:style>
  <w:style w:type="character" w:customStyle="1" w:styleId="19">
    <w:name w:val="副标题1 字符"/>
    <w:basedOn w:val="9"/>
    <w:link w:val="16"/>
    <w:uiPriority w:val="0"/>
    <w:rPr>
      <w:rFonts w:ascii="楷体_GB2312" w:hAnsi="楷体_GB2312" w:eastAsia="楷体_GB2312" w:cs="Times New Roman"/>
      <w:sz w:val="30"/>
      <w:szCs w:val="20"/>
    </w:rPr>
  </w:style>
  <w:style w:type="character" w:styleId="20">
    <w:name w:val="Placeholder Text"/>
    <w:basedOn w:val="9"/>
    <w:semiHidden/>
    <w:uiPriority w:val="99"/>
    <w:rPr>
      <w:color w:val="808080"/>
    </w:rPr>
  </w:style>
  <w:style w:type="character" w:customStyle="1" w:styleId="21">
    <w:name w:val="正文1 字符"/>
    <w:basedOn w:val="9"/>
    <w:link w:val="18"/>
    <w:uiPriority w:val="0"/>
    <w:rPr>
      <w:rFonts w:ascii="仿宋_GB2312" w:hAnsi="仿宋_GB2312" w:eastAsia="仿宋_GB2312" w:cs="Times New Roman"/>
      <w:sz w:val="30"/>
      <w:szCs w:val="20"/>
    </w:rPr>
  </w:style>
  <w:style w:type="character" w:customStyle="1" w:styleId="22">
    <w:name w:val="标题 1 字符"/>
    <w:basedOn w:val="9"/>
    <w:link w:val="2"/>
    <w:uiPriority w:val="9"/>
    <w:rPr>
      <w:rFonts w:ascii="Times New Roman" w:hAnsi="Times New Roman" w:eastAsia="方正小标宋简体" w:cs="Times New Roman"/>
      <w:bCs/>
      <w:kern w:val="44"/>
      <w:sz w:val="44"/>
      <w:szCs w:val="44"/>
    </w:rPr>
  </w:style>
  <w:style w:type="paragraph" w:customStyle="1" w:styleId="23">
    <w:name w:val="正文2"/>
    <w:basedOn w:val="1"/>
    <w:link w:val="25"/>
    <w:qFormat/>
    <w:uiPriority w:val="0"/>
    <w:pPr>
      <w:spacing w:line="440" w:lineRule="exact"/>
      <w:ind w:firstLine="200" w:firstLineChars="200"/>
    </w:pPr>
    <w:rPr>
      <w:rFonts w:ascii="微软雅黑" w:hAnsi="微软雅黑" w:eastAsia="微软雅黑"/>
      <w:sz w:val="22"/>
    </w:rPr>
  </w:style>
  <w:style w:type="paragraph" w:customStyle="1" w:styleId="24">
    <w:name w:val="主题标1"/>
    <w:basedOn w:val="2"/>
    <w:link w:val="26"/>
    <w:autoRedefine/>
    <w:qFormat/>
    <w:uiPriority w:val="0"/>
    <w:pPr>
      <w:spacing w:line="540" w:lineRule="exact"/>
      <w:ind w:right="21" w:rightChars="10"/>
    </w:pPr>
    <w:rPr>
      <w:rFonts w:ascii="造字工房力黑（非商用）常规体" w:hAnsi="造字工房力黑（非商用）常规体" w:eastAsia="造字工房力黑（非商用）常规体"/>
      <w:color w:val="005D7F"/>
      <w:sz w:val="80"/>
      <w:szCs w:val="80"/>
      <w14:textFill>
        <w14:gradFill>
          <w14:gsLst>
            <w14:gs w14:pos="0">
              <w14:srgbClr w14:val="005D7F">
                <w14:shade w14:val="30000"/>
                <w14:satMod w14:val="115000"/>
              </w14:srgbClr>
            </w14:gs>
            <w14:gs w14:pos="50000">
              <w14:srgbClr w14:val="005D7F">
                <w14:shade w14:val="67500"/>
                <w14:satMod w14:val="115000"/>
              </w14:srgbClr>
            </w14:gs>
            <w14:gs w14:pos="100000">
              <w14:srgbClr w14:val="005D7F">
                <w14:shade w14:val="100000"/>
                <w14:satMod w14:val="115000"/>
              </w14:srgbClr>
            </w14:gs>
          </w14:gsLst>
          <w14:lin w14:ang="16200000" w14:scaled="0"/>
        </w14:gradFill>
      </w14:textFill>
    </w:rPr>
  </w:style>
  <w:style w:type="character" w:customStyle="1" w:styleId="25">
    <w:name w:val="正文2 字符"/>
    <w:basedOn w:val="9"/>
    <w:link w:val="23"/>
    <w:autoRedefine/>
    <w:qFormat/>
    <w:uiPriority w:val="0"/>
    <w:rPr>
      <w:rFonts w:ascii="微软雅黑" w:hAnsi="微软雅黑" w:eastAsia="微软雅黑" w:cs="Times New Roman"/>
      <w:sz w:val="22"/>
      <w:szCs w:val="20"/>
    </w:rPr>
  </w:style>
  <w:style w:type="character" w:customStyle="1" w:styleId="26">
    <w:name w:val="主题标1 字符"/>
    <w:basedOn w:val="22"/>
    <w:link w:val="24"/>
    <w:autoRedefine/>
    <w:qFormat/>
    <w:uiPriority w:val="0"/>
    <w:rPr>
      <w:rFonts w:ascii="造字工房力黑（非商用）常规体" w:hAnsi="造字工房力黑（非商用）常规体" w:eastAsia="造字工房力黑（非商用）常规体" w:cs="Times New Roman"/>
      <w:color w:val="005D7F"/>
      <w:kern w:val="44"/>
      <w:sz w:val="80"/>
      <w:szCs w:val="80"/>
      <w14:textFill>
        <w14:gradFill>
          <w14:gsLst>
            <w14:gs w14:pos="0">
              <w14:srgbClr w14:val="005D7F">
                <w14:shade w14:val="30000"/>
                <w14:satMod w14:val="115000"/>
              </w14:srgbClr>
            </w14:gs>
            <w14:gs w14:pos="50000">
              <w14:srgbClr w14:val="005D7F">
                <w14:shade w14:val="67500"/>
                <w14:satMod w14:val="115000"/>
              </w14:srgbClr>
            </w14:gs>
            <w14:gs w14:pos="100000">
              <w14:srgbClr w14:val="005D7F">
                <w14:shade w14:val="100000"/>
                <w14:satMod w14:val="115000"/>
              </w14:srgbClr>
            </w14:gs>
          </w14:gsLst>
          <w14:lin w14:ang="16200000" w14:scaled="0"/>
        </w14:gradFill>
      </w14:textFill>
    </w:rPr>
  </w:style>
  <w:style w:type="character" w:customStyle="1" w:styleId="27">
    <w:name w:val="标题 2 字符"/>
    <w:basedOn w:val="9"/>
    <w:link w:val="3"/>
    <w:autoRedefine/>
    <w:semiHidden/>
    <w:qFormat/>
    <w:uiPriority w:val="9"/>
    <w:rPr>
      <w:rFonts w:asciiTheme="majorHAnsi" w:hAnsiTheme="majorHAnsi" w:eastAsiaTheme="majorEastAsia" w:cstheme="majorBidi"/>
      <w:b/>
      <w:bCs/>
      <w:sz w:val="32"/>
      <w:szCs w:val="32"/>
    </w:rPr>
  </w:style>
  <w:style w:type="character" w:customStyle="1" w:styleId="28">
    <w:name w:val="标题 字符"/>
    <w:basedOn w:val="9"/>
    <w:link w:val="7"/>
    <w:autoRedefine/>
    <w:qFormat/>
    <w:uiPriority w:val="10"/>
    <w:rPr>
      <w:rFonts w:asciiTheme="majorHAnsi" w:hAnsiTheme="majorHAnsi" w:eastAsiaTheme="majorEastAsia" w:cstheme="majorBidi"/>
      <w:b/>
      <w:bCs/>
      <w:sz w:val="28"/>
      <w:szCs w:val="32"/>
    </w:rPr>
  </w:style>
  <w:style w:type="character" w:customStyle="1" w:styleId="29">
    <w:name w:val="font11"/>
    <w:basedOn w:val="9"/>
    <w:autoRedefine/>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c022447a-0b90-4e0e-bfdd-b06c1a89aefb\&#20225;&#19994;&#23433;&#20840;&#29983;&#20135;&#20027;&#20307;&#36131;&#20219;&#28165;&#21333;.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企业安全生产主体责任清单.docx</Template>
  <Pages>8</Pages>
  <Words>5376</Words>
  <Characters>5476</Characters>
  <Lines>41</Lines>
  <Paragraphs>11</Paragraphs>
  <TotalTime>4</TotalTime>
  <ScaleCrop>false</ScaleCrop>
  <LinksUpToDate>false</LinksUpToDate>
  <CharactersWithSpaces>5479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2024-04-15T07:54:00Z</dcterms:created>
  <dc:creator>大河向东刘女士</dc:creator>
  <cp:lastModifiedBy>大河向东刘女士</cp:lastModifiedBy>
  <dcterms:modified xsi:type="dcterms:W3CDTF">2024-04-15T07:54:54Z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KSOTemplateUUID">
    <vt:lpwstr>v1.0_mb_31L5azE6XYJ1UZD3ySoP8w==</vt:lpwstr>
  </property>
  <property fmtid="{D5CDD505-2E9C-101B-9397-08002B2CF9AE}" pid="4" name="ICV">
    <vt:lpwstr>264161C8FB704A0E92093A2B5DBDCFCE_11</vt:lpwstr>
  </property>
</Properties>
</file>