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486" w:type="dxa"/>
        <w:jc w:val="center"/>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2"/>
        <w:gridCol w:w="953"/>
        <w:gridCol w:w="1169"/>
        <w:gridCol w:w="1011"/>
        <w:gridCol w:w="702"/>
        <w:gridCol w:w="945"/>
        <w:gridCol w:w="971"/>
        <w:gridCol w:w="3013"/>
      </w:tblGrid>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502" w:type="dxa"/>
            <w:gridSpan w:val="6"/>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szCs w:val="21"/>
              </w:rPr>
            </w:pPr>
            <w:r>
              <w:rPr>
                <w:rFonts w:hint="eastAsia" w:ascii="等线" w:hAnsi="等线" w:cs="仿宋"/>
                <w:szCs w:val="21"/>
              </w:rPr>
              <w:t>成都万科物业服务有限公司南充分公司</w:t>
            </w:r>
            <w:r>
              <w:rPr>
                <w:rFonts w:hint="eastAsia" w:ascii="等线" w:hAnsi="等线" w:cs="仿宋"/>
                <w:szCs w:val="21"/>
                <w:lang w:val="en-US" w:eastAsia="zh-CN"/>
              </w:rPr>
              <w:t>安全生产</w:t>
            </w:r>
            <w:r>
              <w:rPr>
                <w:rFonts w:hint="eastAsia" w:ascii="等线" w:hAnsi="等线" w:cs="仿宋"/>
                <w:szCs w:val="21"/>
              </w:rPr>
              <w:t>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编号</w:t>
            </w:r>
          </w:p>
        </w:tc>
        <w:tc>
          <w:tcPr>
            <w:tcW w:w="3013" w:type="dxa"/>
            <w:tcBorders>
              <w:tl2br w:val="nil"/>
              <w:tr2bl w:val="nil"/>
            </w:tcBorders>
            <w:tcMar>
              <w:top w:w="0" w:type="dxa"/>
              <w:left w:w="108" w:type="dxa"/>
              <w:bottom w:w="0" w:type="dxa"/>
              <w:right w:w="108" w:type="dxa"/>
            </w:tcMar>
            <w:vAlign w:val="center"/>
          </w:tcPr>
          <w:p>
            <w:pPr>
              <w:pBdr>
                <w:bottom w:val="none" w:color="auto" w:sz="0" w:space="0"/>
              </w:pBdr>
              <w:spacing w:line="360" w:lineRule="auto"/>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AQSCZTZRQD-2024</w:t>
            </w:r>
            <w:r>
              <w:rPr>
                <w:rFonts w:ascii="宋体" w:hAnsi="宋体"/>
              </w:rPr>
              <w:t>-00</w:t>
            </w:r>
            <w:r>
              <w:rPr>
                <w:rFonts w:hint="eastAsia" w:ascii="宋体" w:hAnsi="宋体"/>
                <w:lang w:val="en-US" w:eastAsia="zh-CN"/>
              </w:rPr>
              <w:t>1</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22"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名称</w:t>
            </w:r>
          </w:p>
        </w:tc>
        <w:tc>
          <w:tcPr>
            <w:tcW w:w="4780" w:type="dxa"/>
            <w:gridSpan w:val="5"/>
            <w:tcBorders>
              <w:tl2br w:val="nil"/>
              <w:tr2bl w:val="nil"/>
            </w:tcBorders>
            <w:tcMar>
              <w:top w:w="0" w:type="dxa"/>
              <w:left w:w="108" w:type="dxa"/>
              <w:bottom w:w="0" w:type="dxa"/>
              <w:right w:w="108" w:type="dxa"/>
            </w:tcMar>
            <w:vAlign w:val="center"/>
          </w:tcPr>
          <w:p>
            <w:pPr>
              <w:pBdr>
                <w:bottom w:val="none" w:color="auto" w:sz="0" w:space="0"/>
              </w:pBdr>
              <w:spacing w:line="360" w:lineRule="auto"/>
              <w:jc w:val="center"/>
              <w:rPr>
                <w:rFonts w:hint="default" w:ascii="宋体" w:hAnsi="宋体" w:eastAsiaTheme="minorEastAsia"/>
                <w:szCs w:val="21"/>
                <w:lang w:val="en-US" w:eastAsia="zh-CN"/>
              </w:rPr>
            </w:pPr>
            <w:r>
              <w:rPr>
                <w:rFonts w:hint="default" w:ascii="宋体" w:hAnsi="宋体" w:eastAsiaTheme="minorEastAsia"/>
                <w:szCs w:val="21"/>
                <w:lang w:val="en-US" w:eastAsia="zh-CN"/>
              </w:rPr>
              <w:t>主体责任清单</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版本</w:t>
            </w:r>
          </w:p>
        </w:tc>
        <w:tc>
          <w:tcPr>
            <w:tcW w:w="3013"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rFonts w:hint="default"/>
                <w:b/>
                <w:bCs/>
                <w:lang w:val="en-US"/>
              </w:rPr>
            </w:pPr>
            <w:r>
              <w:rPr>
                <w:rFonts w:hint="eastAsia"/>
              </w:rPr>
              <w:t>A/</w:t>
            </w:r>
            <w:r>
              <w:rPr>
                <w:rFonts w:hint="eastAsia"/>
                <w:lang w:val="en-US" w:eastAsia="zh-CN"/>
              </w:rPr>
              <w:t>0  密级：内部公开</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217" w:hRule="atLeast"/>
          <w:jc w:val="center"/>
        </w:trPr>
        <w:tc>
          <w:tcPr>
            <w:tcW w:w="722"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编制</w:t>
            </w:r>
          </w:p>
        </w:tc>
        <w:tc>
          <w:tcPr>
            <w:tcW w:w="953" w:type="dxa"/>
            <w:tcBorders>
              <w:bottom w:val="single" w:color="000000" w:sz="4" w:space="0"/>
            </w:tcBorders>
            <w:tcMar>
              <w:top w:w="0" w:type="dxa"/>
              <w:left w:w="108" w:type="dxa"/>
              <w:bottom w:w="0" w:type="dxa"/>
              <w:right w:w="108" w:type="dxa"/>
            </w:tcMar>
            <w:vAlign w:val="center"/>
          </w:tcPr>
          <w:p>
            <w:pPr>
              <w:pBdr>
                <w:bottom w:val="none" w:color="auto" w:sz="0" w:space="0"/>
              </w:pBdr>
              <w:spacing w:line="360" w:lineRule="auto"/>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1169"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审核</w:t>
            </w:r>
          </w:p>
        </w:tc>
        <w:tc>
          <w:tcPr>
            <w:tcW w:w="1011"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rFonts w:hint="eastAsia" w:eastAsiaTheme="minorEastAsia"/>
                <w:lang w:val="en-US" w:eastAsia="zh-CN"/>
              </w:rPr>
            </w:pPr>
            <w:r>
              <w:rPr>
                <w:rFonts w:hint="eastAsia"/>
                <w:lang w:val="en-US" w:eastAsia="zh-CN"/>
              </w:rPr>
              <w:t>谌永忠</w:t>
            </w:r>
          </w:p>
        </w:tc>
        <w:tc>
          <w:tcPr>
            <w:tcW w:w="702"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批准</w:t>
            </w:r>
          </w:p>
        </w:tc>
        <w:tc>
          <w:tcPr>
            <w:tcW w:w="945" w:type="dxa"/>
            <w:tcBorders>
              <w:bottom w:val="single" w:color="000000" w:sz="4" w:space="0"/>
            </w:tcBorders>
            <w:tcMar>
              <w:top w:w="0" w:type="dxa"/>
              <w:left w:w="108" w:type="dxa"/>
              <w:bottom w:w="0" w:type="dxa"/>
              <w:right w:w="108" w:type="dxa"/>
            </w:tcMar>
            <w:vAlign w:val="center"/>
          </w:tcPr>
          <w:p>
            <w:pPr>
              <w:pBdr>
                <w:bottom w:val="none" w:color="auto" w:sz="0" w:space="0"/>
              </w:pBdr>
              <w:spacing w:line="360" w:lineRule="auto"/>
              <w:jc w:val="center"/>
            </w:pPr>
            <w:r>
              <w:rPr>
                <w:rFonts w:hint="eastAsia"/>
                <w:lang w:val="en-US" w:eastAsia="zh-CN"/>
              </w:rPr>
              <w:t>夏勇</w:t>
            </w:r>
          </w:p>
        </w:tc>
        <w:tc>
          <w:tcPr>
            <w:tcW w:w="971"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生效期</w:t>
            </w:r>
          </w:p>
        </w:tc>
        <w:tc>
          <w:tcPr>
            <w:tcW w:w="3013"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pPr>
            <w:r>
              <w:rPr>
                <w:rFonts w:hint="eastAsia"/>
                <w:b/>
                <w:bCs/>
              </w:rPr>
              <w:t>202</w:t>
            </w:r>
            <w:r>
              <w:rPr>
                <w:rFonts w:hint="eastAsia"/>
                <w:b/>
                <w:bCs/>
                <w:lang w:val="en-US" w:eastAsia="zh-CN"/>
              </w:rPr>
              <w:t>4</w:t>
            </w:r>
            <w:r>
              <w:rPr>
                <w:rFonts w:hint="eastAsia"/>
                <w:b/>
                <w:bCs/>
              </w:rPr>
              <w:t>年</w:t>
            </w:r>
            <w:r>
              <w:rPr>
                <w:rFonts w:hint="eastAsia"/>
                <w:b/>
                <w:bCs/>
                <w:lang w:val="en-US" w:eastAsia="zh-CN"/>
              </w:rPr>
              <w:t>01</w:t>
            </w:r>
            <w:r>
              <w:rPr>
                <w:rFonts w:hint="eastAsia"/>
                <w:b/>
                <w:bCs/>
              </w:rPr>
              <w:t>月</w:t>
            </w:r>
            <w:r>
              <w:rPr>
                <w:rFonts w:hint="eastAsia"/>
                <w:b/>
                <w:bCs/>
                <w:lang w:val="en-US" w:eastAsia="zh-CN"/>
              </w:rPr>
              <w:t>01</w:t>
            </w:r>
            <w:r>
              <w:rPr>
                <w:rFonts w:hint="eastAsia"/>
                <w:b/>
                <w:bCs/>
              </w:rPr>
              <w:t>日</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12753" w:hRule="atLeast"/>
          <w:jc w:val="center"/>
        </w:trPr>
        <w:tc>
          <w:tcPr>
            <w:tcW w:w="9486" w:type="dxa"/>
            <w:gridSpan w:val="8"/>
            <w:tcBorders>
              <w:top w:val="single" w:color="000000" w:sz="4" w:space="0"/>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成都万科物业服务有限公司南充分公司</w:t>
            </w:r>
          </w:p>
          <w:p>
            <w:pPr>
              <w:pStyle w:val="9"/>
              <w:pBdr>
                <w:bottom w:val="none" w:color="auto" w:sz="0" w:space="0"/>
              </w:pBdr>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主体责任清单</w:t>
            </w:r>
          </w:p>
          <w:p>
            <w:pPr>
              <w:pStyle w:val="9"/>
              <w:pBdr>
                <w:bottom w:val="none" w:color="auto" w:sz="0" w:space="0"/>
              </w:pBdr>
              <w:spacing w:line="360" w:lineRule="auto"/>
              <w:jc w:val="center"/>
              <w:rPr>
                <w:rFonts w:hint="eastAsia" w:ascii="黑体" w:hAnsi="黑体" w:eastAsia="黑体" w:cs="黑体"/>
                <w:sz w:val="36"/>
                <w:szCs w:val="36"/>
                <w:lang w:val="en-US" w:eastAsia="zh-CN"/>
              </w:rPr>
            </w:pPr>
          </w:p>
          <w:p>
            <w:pPr>
              <w:pStyle w:val="9"/>
              <w:pBdr>
                <w:bottom w:val="none" w:color="auto" w:sz="0" w:space="0"/>
              </w:pBdr>
              <w:spacing w:line="360" w:lineRule="auto"/>
              <w:jc w:val="center"/>
              <w:rPr>
                <w:rFonts w:hint="eastAsia" w:ascii="黑体" w:hAnsi="黑体" w:eastAsia="黑体" w:cs="黑体"/>
                <w:sz w:val="36"/>
                <w:szCs w:val="36"/>
                <w:lang w:val="en-US" w:eastAsia="zh-CN"/>
              </w:rPr>
            </w:pPr>
          </w:p>
          <w:p>
            <w:pPr>
              <w:pStyle w:val="9"/>
              <w:pBdr>
                <w:bottom w:val="none" w:color="auto" w:sz="0" w:space="0"/>
              </w:pBdr>
              <w:spacing w:line="360" w:lineRule="auto"/>
              <w:jc w:val="center"/>
              <w:rPr>
                <w:rFonts w:hint="eastAsia" w:ascii="黑体" w:hAnsi="黑体" w:eastAsia="黑体" w:cs="黑体"/>
                <w:sz w:val="36"/>
                <w:szCs w:val="36"/>
                <w:lang w:val="en-US" w:eastAsia="zh-CN"/>
              </w:rPr>
            </w:pPr>
          </w:p>
          <w:p>
            <w:pPr>
              <w:pStyle w:val="9"/>
              <w:pBdr>
                <w:bottom w:val="none" w:color="auto" w:sz="0" w:space="0"/>
              </w:pBdr>
              <w:spacing w:line="360" w:lineRule="auto"/>
              <w:jc w:val="center"/>
              <w:rPr>
                <w:rFonts w:hint="default" w:ascii="黑体" w:hAnsi="黑体" w:eastAsia="黑体" w:cs="黑体"/>
                <w:sz w:val="30"/>
                <w:szCs w:val="30"/>
                <w:u w:val="single"/>
                <w:lang w:val="en-US" w:eastAsia="zh-CN"/>
              </w:rPr>
            </w:pPr>
            <w:r>
              <w:rPr>
                <w:rFonts w:hint="eastAsia" w:ascii="黑体" w:hAnsi="黑体" w:eastAsia="黑体" w:cs="黑体"/>
                <w:sz w:val="30"/>
                <w:szCs w:val="30"/>
                <w:lang w:val="en-US" w:eastAsia="zh-CN"/>
              </w:rPr>
              <w:t>编制：</w:t>
            </w:r>
            <w:r>
              <w:rPr>
                <w:rFonts w:hint="eastAsia" w:ascii="黑体" w:hAnsi="黑体" w:eastAsia="黑体" w:cs="黑体"/>
                <w:sz w:val="30"/>
                <w:szCs w:val="30"/>
                <w:u w:val="single"/>
                <w:lang w:val="en-US" w:eastAsia="zh-CN"/>
              </w:rPr>
              <w:t xml:space="preserve">    任  佳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2024-01-01  </w:t>
            </w:r>
          </w:p>
          <w:p>
            <w:pPr>
              <w:pStyle w:val="9"/>
              <w:pBdr>
                <w:bottom w:val="none" w:color="auto" w:sz="0" w:space="0"/>
              </w:pBdr>
              <w:spacing w:line="360" w:lineRule="auto"/>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审核：</w:t>
            </w:r>
            <w:r>
              <w:rPr>
                <w:rFonts w:hint="eastAsia" w:ascii="黑体" w:hAnsi="黑体" w:eastAsia="黑体" w:cs="黑体"/>
                <w:sz w:val="30"/>
                <w:szCs w:val="30"/>
                <w:u w:val="single"/>
                <w:lang w:val="en-US" w:eastAsia="zh-CN"/>
              </w:rPr>
              <w:t xml:space="preserve">    谌永忠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2024-01-01  </w:t>
            </w: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r>
              <w:rPr>
                <w:rFonts w:hint="eastAsia" w:ascii="黑体" w:hAnsi="黑体" w:eastAsia="黑体" w:cs="黑体"/>
                <w:sz w:val="30"/>
                <w:szCs w:val="30"/>
                <w:lang w:val="en-US" w:eastAsia="zh-CN"/>
              </w:rPr>
              <w:t>批准：</w:t>
            </w:r>
            <w:r>
              <w:rPr>
                <w:rFonts w:hint="eastAsia" w:ascii="黑体" w:hAnsi="黑体" w:eastAsia="黑体" w:cs="黑体"/>
                <w:sz w:val="30"/>
                <w:szCs w:val="30"/>
                <w:u w:val="single"/>
                <w:lang w:val="en-US" w:eastAsia="zh-CN"/>
              </w:rPr>
              <w:t xml:space="preserve">    夏  勇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2024-01-01  </w:t>
            </w: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default" w:ascii="黑体" w:hAnsi="黑体" w:eastAsia="黑体" w:cs="黑体"/>
                <w:sz w:val="30"/>
                <w:szCs w:val="30"/>
                <w:u w:val="single"/>
                <w:lang w:val="en-US" w:eastAsia="zh-CN"/>
              </w:rPr>
            </w:pPr>
            <w:r>
              <w:rPr>
                <w:rFonts w:hint="eastAsia" w:ascii="黑体" w:hAnsi="黑体" w:eastAsia="黑体" w:cs="黑体"/>
                <w:sz w:val="30"/>
                <w:szCs w:val="30"/>
                <w:u w:val="none"/>
                <w:lang w:val="en-US" w:eastAsia="zh-CN"/>
              </w:rPr>
              <w:t>生效日期：2024年01月01日</w:t>
            </w:r>
          </w:p>
        </w:tc>
      </w:tr>
    </w:tbl>
    <w:p>
      <w:pPr>
        <w:spacing w:line="360" w:lineRule="auto"/>
        <w:rPr>
          <w:rFonts w:hint="eastAsia"/>
          <w:lang w:val="en-US" w:eastAsia="zh-CN"/>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titlePg/>
          <w:rtlGutter w:val="0"/>
          <w:docGrid w:type="lines" w:linePitch="314" w:charSpace="0"/>
        </w:sectPr>
      </w:pPr>
      <w:r>
        <w:rPr>
          <w:rFonts w:hint="eastAsia" w:ascii="黑体" w:hAnsi="黑体" w:eastAsia="黑体" w:cs="黑体"/>
          <w:sz w:val="36"/>
          <w:szCs w:val="36"/>
          <w:lang w:val="en-US" w:eastAsia="zh-CN"/>
        </w:rPr>
        <w:br w:type="page"/>
      </w:r>
    </w:p>
    <w:p>
      <w:pPr>
        <w:spacing w:line="360" w:lineRule="auto"/>
        <w:rPr>
          <w:rFonts w:hint="eastAsia" w:ascii="宋体" w:hAnsi="宋体" w:eastAsia="宋体" w:cs="宋体"/>
          <w:sz w:val="36"/>
          <w:szCs w:val="44"/>
        </w:rPr>
      </w:pPr>
    </w:p>
    <w:sdt>
      <w:sdtPr>
        <w:rPr>
          <w:rFonts w:ascii="宋体" w:hAnsi="宋体" w:eastAsia="宋体" w:cstheme="minorBidi"/>
          <w:kern w:val="2"/>
          <w:sz w:val="21"/>
          <w:szCs w:val="24"/>
          <w:lang w:val="en-US" w:eastAsia="zh-CN" w:bidi="ar-SA"/>
        </w:rPr>
        <w:id w:val="147454084"/>
        <w15:color w:val="DBDBDB"/>
        <w:docPartObj>
          <w:docPartGallery w:val="Table of Contents"/>
          <w:docPartUnique/>
        </w:docPartObj>
      </w:sdtPr>
      <w:sdtEndPr>
        <w:rPr>
          <w:rFonts w:hint="eastAsia" w:ascii="宋体" w:hAnsi="宋体" w:eastAsia="宋体" w:cs="宋体"/>
          <w:kern w:val="2"/>
          <w:sz w:val="36"/>
          <w:szCs w:val="36"/>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t>目录</w:t>
          </w:r>
        </w:p>
        <w:p>
          <w:pPr>
            <w:pStyle w:val="13"/>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_Toc14923 </w:instrText>
          </w:r>
          <w:r>
            <w:rPr>
              <w:rFonts w:hint="eastAsia" w:ascii="宋体" w:hAnsi="宋体" w:eastAsia="宋体" w:cs="宋体"/>
              <w:sz w:val="28"/>
              <w:szCs w:val="28"/>
            </w:rPr>
            <w:fldChar w:fldCharType="separate"/>
          </w:r>
          <w:r>
            <w:rPr>
              <w:rFonts w:hint="eastAsia" w:ascii="宋体" w:hAnsi="宋体" w:eastAsia="宋体" w:cs="宋体"/>
              <w:sz w:val="28"/>
              <w:szCs w:val="28"/>
            </w:rPr>
            <w:t>1. 目的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_Toc14923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_Toc29556 </w:instrText>
          </w:r>
          <w:r>
            <w:rPr>
              <w:rFonts w:hint="eastAsia" w:ascii="宋体" w:hAnsi="宋体" w:eastAsia="宋体" w:cs="宋体"/>
              <w:sz w:val="28"/>
              <w:szCs w:val="28"/>
            </w:rPr>
            <w:fldChar w:fldCharType="separate"/>
          </w:r>
          <w:r>
            <w:rPr>
              <w:rFonts w:hint="eastAsia" w:ascii="宋体" w:hAnsi="宋体" w:eastAsia="宋体" w:cs="宋体"/>
              <w:sz w:val="28"/>
              <w:szCs w:val="28"/>
            </w:rPr>
            <w:t>2. 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_Toc29556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_Toc7612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3. </w:t>
          </w:r>
          <w:r>
            <w:rPr>
              <w:rFonts w:hint="eastAsia" w:ascii="宋体" w:hAnsi="宋体" w:eastAsia="宋体" w:cs="宋体"/>
              <w:sz w:val="28"/>
              <w:szCs w:val="28"/>
              <w:lang w:eastAsia="zh-CN"/>
            </w:rPr>
            <w:t>术语和</w:t>
          </w:r>
          <w:r>
            <w:rPr>
              <w:rFonts w:hint="eastAsia" w:ascii="宋体" w:hAnsi="宋体" w:eastAsia="宋体" w:cs="宋体"/>
              <w:sz w:val="28"/>
              <w:szCs w:val="28"/>
            </w:rPr>
            <w:t>定义</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_Toc7612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_Toc18319 </w:instrText>
          </w:r>
          <w:r>
            <w:rPr>
              <w:rFonts w:hint="eastAsia" w:ascii="宋体" w:hAnsi="宋体" w:eastAsia="宋体" w:cs="宋体"/>
              <w:sz w:val="28"/>
              <w:szCs w:val="28"/>
            </w:rPr>
            <w:fldChar w:fldCharType="separate"/>
          </w:r>
          <w:r>
            <w:rPr>
              <w:rFonts w:hint="eastAsia" w:ascii="宋体" w:hAnsi="宋体" w:eastAsia="宋体" w:cs="宋体"/>
              <w:sz w:val="28"/>
              <w:szCs w:val="28"/>
            </w:rPr>
            <w:t>4. 职责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_Toc18319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_Toc4676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5. 安全主体责任清单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_Toc4676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_Toc21255 </w:instrText>
          </w:r>
          <w:r>
            <w:rPr>
              <w:rFonts w:hint="eastAsia" w:ascii="宋体" w:hAnsi="宋体" w:eastAsia="宋体" w:cs="宋体"/>
              <w:sz w:val="28"/>
              <w:szCs w:val="28"/>
            </w:rPr>
            <w:fldChar w:fldCharType="separate"/>
          </w:r>
          <w:r>
            <w:rPr>
              <w:rFonts w:hint="eastAsia" w:ascii="宋体" w:hAnsi="宋体" w:eastAsia="宋体" w:cs="宋体"/>
              <w:kern w:val="2"/>
              <w:sz w:val="28"/>
              <w:szCs w:val="28"/>
              <w:lang w:val="en-US" w:eastAsia="zh-CN" w:bidi="ar-SA"/>
            </w:rPr>
            <w:t>6. 重点岗位责任清单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_Toc21255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360" w:lineRule="auto"/>
            <w:rPr>
              <w:rFonts w:hint="eastAsia" w:ascii="宋体" w:hAnsi="宋体" w:eastAsia="宋体" w:cs="宋体"/>
              <w:sz w:val="36"/>
              <w:szCs w:val="36"/>
            </w:rPr>
          </w:pPr>
          <w:r>
            <w:rPr>
              <w:rFonts w:hint="eastAsia" w:ascii="宋体" w:hAnsi="宋体" w:eastAsia="宋体" w:cs="宋体"/>
              <w:sz w:val="28"/>
              <w:szCs w:val="28"/>
            </w:rPr>
            <w:fldChar w:fldCharType="end"/>
          </w:r>
        </w:p>
      </w:sdtContent>
    </w:sdt>
    <w:p>
      <w:pPr>
        <w:spacing w:line="360" w:lineRule="auto"/>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br w:type="page"/>
      </w:r>
    </w:p>
    <w:p>
      <w:pPr>
        <w:pStyle w:val="19"/>
        <w:numPr>
          <w:ilvl w:val="0"/>
          <w:numId w:val="2"/>
        </w:numPr>
        <w:spacing w:line="360" w:lineRule="auto"/>
        <w:ind w:left="284" w:hanging="284" w:firstLineChars="0"/>
        <w:outlineLvl w:val="0"/>
        <w:rPr>
          <w:rFonts w:hint="eastAsia" w:ascii="宋体" w:hAnsi="宋体" w:eastAsia="宋体" w:cs="宋体"/>
          <w:b/>
          <w:sz w:val="24"/>
          <w:szCs w:val="24"/>
        </w:rPr>
      </w:pPr>
      <w:bookmarkStart w:id="0" w:name="_Toc14923"/>
      <w:r>
        <w:rPr>
          <w:rFonts w:hint="eastAsia" w:ascii="宋体" w:hAnsi="宋体" w:eastAsia="宋体" w:cs="宋体"/>
          <w:b/>
          <w:sz w:val="24"/>
          <w:szCs w:val="24"/>
        </w:rPr>
        <w:t>目的</w:t>
      </w:r>
      <w:bookmarkEnd w:id="0"/>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明确</w:t>
      </w:r>
      <w:r>
        <w:rPr>
          <w:rFonts w:hint="eastAsia" w:ascii="宋体" w:hAnsi="宋体" w:eastAsia="宋体" w:cs="宋体"/>
          <w:sz w:val="24"/>
          <w:szCs w:val="24"/>
          <w:lang w:val="en-US" w:eastAsia="zh-CN"/>
        </w:rPr>
        <w:t>成都万科物业服务有限公司南充分公司</w:t>
      </w:r>
      <w:r>
        <w:rPr>
          <w:rFonts w:hint="eastAsia" w:ascii="宋体" w:hAnsi="宋体" w:eastAsia="宋体" w:cs="宋体"/>
          <w:sz w:val="24"/>
          <w:szCs w:val="24"/>
        </w:rPr>
        <w:t>安全生产管理组织</w:t>
      </w:r>
      <w:r>
        <w:rPr>
          <w:rFonts w:hint="eastAsia" w:ascii="宋体" w:hAnsi="宋体" w:eastAsia="宋体" w:cs="宋体"/>
          <w:sz w:val="24"/>
          <w:szCs w:val="24"/>
          <w:lang w:eastAsia="zh-CN"/>
        </w:rPr>
        <w:t>架构</w:t>
      </w:r>
      <w:r>
        <w:rPr>
          <w:rFonts w:hint="eastAsia" w:ascii="宋体" w:hAnsi="宋体" w:eastAsia="宋体" w:cs="宋体"/>
          <w:sz w:val="24"/>
          <w:szCs w:val="24"/>
        </w:rPr>
        <w:t>及</w:t>
      </w:r>
      <w:r>
        <w:rPr>
          <w:rFonts w:hint="eastAsia" w:ascii="宋体" w:hAnsi="宋体" w:eastAsia="宋体" w:cs="宋体"/>
          <w:sz w:val="24"/>
          <w:szCs w:val="24"/>
          <w:lang w:eastAsia="zh-CN"/>
        </w:rPr>
        <w:t>职责分工</w:t>
      </w:r>
      <w:r>
        <w:rPr>
          <w:rFonts w:hint="eastAsia" w:ascii="宋体" w:hAnsi="宋体" w:eastAsia="宋体" w:cs="宋体"/>
          <w:sz w:val="24"/>
          <w:szCs w:val="24"/>
        </w:rPr>
        <w:t>，规范安全生产管理流程，有效控制安全生产风险，杜绝生产安全事故，保障</w:t>
      </w:r>
      <w:r>
        <w:rPr>
          <w:rFonts w:hint="eastAsia" w:ascii="宋体" w:hAnsi="宋体" w:eastAsia="宋体" w:cs="宋体"/>
          <w:sz w:val="24"/>
          <w:szCs w:val="24"/>
          <w:lang w:val="en-US" w:eastAsia="zh-CN"/>
        </w:rPr>
        <w:t>成都万科物业服务有限公司南充分公司项目</w:t>
      </w:r>
      <w:r>
        <w:rPr>
          <w:rFonts w:hint="eastAsia" w:ascii="宋体" w:hAnsi="宋体" w:eastAsia="宋体" w:cs="宋体"/>
          <w:sz w:val="24"/>
          <w:szCs w:val="24"/>
          <w:lang w:eastAsia="zh-CN"/>
        </w:rPr>
        <w:t>物业服务和</w:t>
      </w:r>
      <w:r>
        <w:rPr>
          <w:rFonts w:hint="eastAsia" w:ascii="宋体" w:hAnsi="宋体" w:eastAsia="宋体" w:cs="宋体"/>
          <w:sz w:val="24"/>
          <w:szCs w:val="24"/>
        </w:rPr>
        <w:t>经营活动</w:t>
      </w:r>
      <w:r>
        <w:rPr>
          <w:rFonts w:hint="eastAsia" w:ascii="宋体" w:hAnsi="宋体" w:eastAsia="宋体" w:cs="宋体"/>
          <w:sz w:val="24"/>
          <w:szCs w:val="24"/>
          <w:lang w:eastAsia="zh-CN"/>
        </w:rPr>
        <w:t>的</w:t>
      </w:r>
      <w:r>
        <w:rPr>
          <w:rFonts w:hint="eastAsia" w:ascii="宋体" w:hAnsi="宋体" w:eastAsia="宋体" w:cs="宋体"/>
          <w:sz w:val="24"/>
          <w:szCs w:val="24"/>
        </w:rPr>
        <w:t>正常开展。</w:t>
      </w:r>
    </w:p>
    <w:p>
      <w:pPr>
        <w:snapToGrid w:val="0"/>
        <w:spacing w:line="360" w:lineRule="auto"/>
        <w:rPr>
          <w:rFonts w:hint="eastAsia" w:ascii="宋体" w:hAnsi="宋体" w:eastAsia="宋体" w:cs="宋体"/>
          <w:sz w:val="24"/>
          <w:szCs w:val="24"/>
          <w:lang w:eastAsia="zh-CN"/>
        </w:rPr>
      </w:pPr>
    </w:p>
    <w:p>
      <w:pPr>
        <w:pStyle w:val="19"/>
        <w:numPr>
          <w:ilvl w:val="0"/>
          <w:numId w:val="2"/>
        </w:numPr>
        <w:spacing w:line="360" w:lineRule="auto"/>
        <w:ind w:left="284" w:hanging="284" w:firstLineChars="0"/>
        <w:outlineLvl w:val="0"/>
        <w:rPr>
          <w:rFonts w:hint="eastAsia" w:ascii="宋体" w:hAnsi="宋体" w:eastAsia="宋体" w:cs="宋体"/>
          <w:b/>
          <w:sz w:val="24"/>
          <w:szCs w:val="24"/>
        </w:rPr>
      </w:pPr>
      <w:bookmarkStart w:id="1" w:name="_Toc29556"/>
      <w:r>
        <w:rPr>
          <w:rFonts w:hint="eastAsia" w:ascii="宋体" w:hAnsi="宋体" w:eastAsia="宋体" w:cs="宋体"/>
          <w:b/>
          <w:sz w:val="24"/>
          <w:szCs w:val="24"/>
        </w:rPr>
        <w:t>范围</w:t>
      </w:r>
      <w:bookmarkEnd w:id="1"/>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适用于</w:t>
      </w:r>
      <w:r>
        <w:rPr>
          <w:rFonts w:hint="eastAsia" w:ascii="宋体" w:hAnsi="宋体" w:eastAsia="宋体" w:cs="宋体"/>
          <w:sz w:val="24"/>
          <w:szCs w:val="24"/>
          <w:lang w:val="en-US" w:eastAsia="zh-CN"/>
        </w:rPr>
        <w:t>成都万科物业服务有限公司南充分公司</w:t>
      </w:r>
      <w:r>
        <w:rPr>
          <w:rFonts w:hint="eastAsia" w:ascii="宋体" w:hAnsi="宋体" w:eastAsia="宋体" w:cs="宋体"/>
          <w:sz w:val="24"/>
          <w:szCs w:val="24"/>
          <w:lang w:eastAsia="zh-CN"/>
        </w:rPr>
        <w:t>在管的住宅项目</w:t>
      </w:r>
      <w:r>
        <w:rPr>
          <w:rFonts w:hint="eastAsia" w:ascii="宋体" w:hAnsi="宋体" w:eastAsia="宋体" w:cs="宋体"/>
          <w:sz w:val="24"/>
          <w:szCs w:val="24"/>
        </w:rPr>
        <w:t>。</w:t>
      </w:r>
    </w:p>
    <w:p>
      <w:pPr>
        <w:snapToGrid w:val="0"/>
        <w:spacing w:line="360" w:lineRule="auto"/>
        <w:rPr>
          <w:rFonts w:hint="eastAsia" w:ascii="宋体" w:hAnsi="宋体" w:eastAsia="宋体" w:cs="宋体"/>
          <w:sz w:val="24"/>
          <w:szCs w:val="24"/>
        </w:rPr>
      </w:pPr>
      <w:bookmarkStart w:id="6" w:name="_GoBack"/>
      <w:bookmarkEnd w:id="6"/>
    </w:p>
    <w:p>
      <w:pPr>
        <w:pStyle w:val="19"/>
        <w:numPr>
          <w:ilvl w:val="0"/>
          <w:numId w:val="2"/>
        </w:numPr>
        <w:spacing w:line="360" w:lineRule="auto"/>
        <w:ind w:left="284" w:hanging="284" w:firstLineChars="0"/>
        <w:outlineLvl w:val="0"/>
        <w:rPr>
          <w:rFonts w:hint="eastAsia" w:ascii="宋体" w:hAnsi="宋体" w:eastAsia="宋体" w:cs="宋体"/>
          <w:b/>
          <w:sz w:val="24"/>
          <w:szCs w:val="24"/>
        </w:rPr>
      </w:pPr>
      <w:bookmarkStart w:id="2" w:name="_Toc7612"/>
      <w:r>
        <w:rPr>
          <w:rFonts w:hint="eastAsia" w:ascii="宋体" w:hAnsi="宋体" w:eastAsia="宋体" w:cs="宋体"/>
          <w:b/>
          <w:sz w:val="24"/>
          <w:szCs w:val="24"/>
          <w:lang w:eastAsia="zh-CN"/>
        </w:rPr>
        <w:t>术语和</w:t>
      </w:r>
      <w:r>
        <w:rPr>
          <w:rFonts w:hint="eastAsia" w:ascii="宋体" w:hAnsi="宋体" w:eastAsia="宋体" w:cs="宋体"/>
          <w:b/>
          <w:sz w:val="24"/>
          <w:szCs w:val="24"/>
        </w:rPr>
        <w:t>定义</w:t>
      </w:r>
      <w:bookmarkEnd w:id="2"/>
    </w:p>
    <w:p>
      <w:pPr>
        <w:pStyle w:val="9"/>
        <w:widowControl w:val="0"/>
        <w:spacing w:line="360" w:lineRule="auto"/>
        <w:ind w:firstLine="0" w:firstLineChars="0"/>
        <w:jc w:val="both"/>
        <w:rPr>
          <w:rFonts w:hint="eastAsia" w:ascii="宋体" w:hAnsi="宋体" w:eastAsia="宋体" w:cs="宋体"/>
          <w:sz w:val="24"/>
          <w:szCs w:val="24"/>
        </w:rPr>
      </w:pPr>
      <w:r>
        <w:rPr>
          <w:rFonts w:hint="eastAsia" w:ascii="宋体" w:hAnsi="宋体" w:eastAsia="宋体" w:cs="宋体"/>
          <w:b/>
          <w:sz w:val="24"/>
          <w:szCs w:val="24"/>
        </w:rPr>
        <w:t>安全生产：</w:t>
      </w:r>
      <w:r>
        <w:rPr>
          <w:rFonts w:hint="eastAsia" w:ascii="宋体" w:hAnsi="宋体" w:eastAsia="宋体" w:cs="宋体"/>
          <w:sz w:val="24"/>
          <w:szCs w:val="24"/>
        </w:rPr>
        <w:t>安全生产是指在生产经营活动中，为了避免造成人员伤亡和财产损失的事故而采取相应的事故预防和控制措施，使生产过程在符合规定的条件下进行，以保证从业人员的人身安全与健康、设备和设施免受损坏、环境免遭破坏、生产经营活动得以顺利进行的相关活动。</w:t>
      </w:r>
    </w:p>
    <w:p>
      <w:pPr>
        <w:pStyle w:val="9"/>
        <w:widowControl w:val="0"/>
        <w:spacing w:line="360" w:lineRule="auto"/>
        <w:ind w:firstLine="0" w:firstLineChars="0"/>
        <w:jc w:val="both"/>
        <w:rPr>
          <w:rFonts w:hint="eastAsia" w:ascii="宋体" w:hAnsi="宋体" w:eastAsia="宋体" w:cs="宋体"/>
          <w:b/>
          <w:sz w:val="24"/>
          <w:szCs w:val="24"/>
        </w:rPr>
      </w:pPr>
    </w:p>
    <w:p>
      <w:pPr>
        <w:pStyle w:val="19"/>
        <w:numPr>
          <w:ilvl w:val="0"/>
          <w:numId w:val="2"/>
        </w:numPr>
        <w:spacing w:line="360" w:lineRule="auto"/>
        <w:ind w:left="284" w:hanging="284" w:firstLineChars="0"/>
        <w:outlineLvl w:val="0"/>
        <w:rPr>
          <w:rFonts w:hint="eastAsia" w:ascii="宋体" w:hAnsi="宋体" w:eastAsia="宋体" w:cs="宋体"/>
          <w:b/>
          <w:sz w:val="24"/>
          <w:szCs w:val="24"/>
        </w:rPr>
      </w:pPr>
      <w:bookmarkStart w:id="3" w:name="_Toc18319"/>
      <w:r>
        <w:rPr>
          <w:rFonts w:hint="eastAsia" w:ascii="宋体" w:hAnsi="宋体" w:eastAsia="宋体" w:cs="宋体"/>
          <w:b/>
          <w:sz w:val="24"/>
          <w:szCs w:val="24"/>
        </w:rPr>
        <w:t>职责</w:t>
      </w:r>
      <w:bookmarkEnd w:id="3"/>
    </w:p>
    <w:tbl>
      <w:tblPr>
        <w:tblStyle w:val="1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40"/>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07" w:type="dxa"/>
            <w:shd w:val="clear" w:color="auto" w:fill="D8D8D8" w:themeFill="background1" w:themeFillShade="D9"/>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部门/岗位</w:t>
            </w:r>
          </w:p>
        </w:tc>
        <w:tc>
          <w:tcPr>
            <w:tcW w:w="7307" w:type="dxa"/>
            <w:gridSpan w:val="2"/>
            <w:shd w:val="clear" w:color="auto" w:fill="D8D8D8" w:themeFill="background1" w:themeFillShade="D9"/>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安全生产管理顾问</w:t>
            </w:r>
          </w:p>
        </w:tc>
        <w:tc>
          <w:tcPr>
            <w:tcW w:w="7307" w:type="dxa"/>
            <w:gridSpan w:val="2"/>
            <w:vAlign w:val="center"/>
          </w:tcPr>
          <w:p>
            <w:pPr>
              <w:pStyle w:val="19"/>
              <w:numPr>
                <w:ilvl w:val="0"/>
                <w:numId w:val="3"/>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建立、健全安全生产责任制。</w:t>
            </w:r>
          </w:p>
          <w:p>
            <w:pPr>
              <w:pStyle w:val="19"/>
              <w:numPr>
                <w:ilvl w:val="0"/>
                <w:numId w:val="3"/>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组织制定安全生产规章制度和操作规程。</w:t>
            </w:r>
          </w:p>
          <w:p>
            <w:pPr>
              <w:pStyle w:val="19"/>
              <w:numPr>
                <w:ilvl w:val="0"/>
                <w:numId w:val="3"/>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制定、下达安全生产工作计划与目标。</w:t>
            </w:r>
          </w:p>
          <w:p>
            <w:pPr>
              <w:pStyle w:val="19"/>
              <w:numPr>
                <w:ilvl w:val="0"/>
                <w:numId w:val="3"/>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保证各住宅项目具备安全生产条件所必需的资金投入。</w:t>
            </w:r>
          </w:p>
          <w:p>
            <w:pPr>
              <w:pStyle w:val="19"/>
              <w:numPr>
                <w:ilvl w:val="0"/>
                <w:numId w:val="3"/>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协调解决安全生产中的重大问题。</w:t>
            </w:r>
          </w:p>
          <w:p>
            <w:pPr>
              <w:pStyle w:val="19"/>
              <w:numPr>
                <w:ilvl w:val="0"/>
                <w:numId w:val="3"/>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协调内、外部资源，确保服务中心各项目均具备安全生产条件。</w:t>
            </w:r>
          </w:p>
          <w:p>
            <w:pPr>
              <w:pStyle w:val="19"/>
              <w:numPr>
                <w:ilvl w:val="0"/>
                <w:numId w:val="3"/>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组织开展安全生产宣传。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安全生产管理组长</w:t>
            </w:r>
          </w:p>
        </w:tc>
        <w:tc>
          <w:tcPr>
            <w:tcW w:w="7307" w:type="dxa"/>
            <w:gridSpan w:val="2"/>
            <w:vAlign w:val="center"/>
          </w:tcPr>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建立健全全员安全生产责任制。定期组织全员尽职履责考核。</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组织、推动企业安全生产标准化建设。</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成立企业安全生产管理委员会，定期组织召开安全生产会议，听取安全生产工作汇报，部署安全生产管理工作任务。</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依法设置安全生产管理机构或者配备专（兼）职安全生产管理人员。</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加强学习，不断提升安全生产意识和管理能力。</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组织制定并批准企业安全生产规章制度、操作规程等。</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组织制定并批准企业安全教育及培训计划。</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与投资人进行沟通及协调，获取安全生产资金、技术、人员等投入支持，确保安全生产投入的有效落实。</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组织建立并落实安全风险分级管控和隐患排查治理双重预防工作机制。加强双重预防工作落实情况的督促检查。</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组织制定并批准生产安全事故应急预案，督促落实配置应急救援物资、装备，督促定期组织预案演练。</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出现生产安全事故，应迅速采取有效措施，组织救援，防止事故扩大，减少人员伤亡和财产损失，并按照国家有关规定及时、如实向相关部门报告生产安全事故。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安全生产管理副组长</w:t>
            </w:r>
          </w:p>
        </w:tc>
        <w:tc>
          <w:tcPr>
            <w:tcW w:w="7307" w:type="dxa"/>
            <w:gridSpan w:val="2"/>
            <w:vAlign w:val="center"/>
          </w:tcPr>
          <w:p>
            <w:pPr>
              <w:pStyle w:val="19"/>
              <w:numPr>
                <w:ilvl w:val="0"/>
                <w:numId w:val="5"/>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加强安全生产知识学习，提升安全生产管理能力。</w:t>
            </w:r>
          </w:p>
          <w:p>
            <w:pPr>
              <w:pStyle w:val="19"/>
              <w:numPr>
                <w:ilvl w:val="0"/>
                <w:numId w:val="5"/>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组织或参与企业安全生产规章制度、操作规程和生产安全事故应急救援预案的拟定，并组织落实执行。定期对制度、规程落实执行情况进行审核评价，依据评价结果不断修订完善安全生产规章制度、操作规程。</w:t>
            </w:r>
          </w:p>
          <w:p>
            <w:pPr>
              <w:pStyle w:val="19"/>
              <w:numPr>
                <w:ilvl w:val="0"/>
                <w:numId w:val="5"/>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组织或参与企业安全生产教育培训，并建立教育培训档案，如实记录安全生产教育培训时间、内容、从业人员以及考核结果等情况。</w:t>
            </w:r>
          </w:p>
          <w:p>
            <w:pPr>
              <w:pStyle w:val="19"/>
              <w:numPr>
                <w:ilvl w:val="0"/>
                <w:numId w:val="5"/>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组织开展企业危险源辨识、风险评价，依据评价结果，拟定安全风险分级管控措施，并组织落实执行。定期对风险分级管控情况进行监督、检查。</w:t>
            </w:r>
          </w:p>
          <w:p>
            <w:pPr>
              <w:pStyle w:val="19"/>
              <w:numPr>
                <w:ilvl w:val="0"/>
                <w:numId w:val="5"/>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组织开展事故隐患排查，对排查出的隐患，会同相关 部门、责任人提出整改措施，并督促整改，消除隐患。</w:t>
            </w:r>
          </w:p>
          <w:p>
            <w:pPr>
              <w:pStyle w:val="19"/>
              <w:numPr>
                <w:ilvl w:val="0"/>
                <w:numId w:val="5"/>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定期组织企业生产安全事故应急救援预案演练。并结 合实际，不断修订完善预案。</w:t>
            </w:r>
          </w:p>
          <w:p>
            <w:pPr>
              <w:pStyle w:val="19"/>
              <w:numPr>
                <w:ilvl w:val="0"/>
                <w:numId w:val="5"/>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定期组织安全生产检查，制止和纠正违章指挥、强令 冒险作业、违反操作规程的行为。</w:t>
            </w:r>
          </w:p>
          <w:p>
            <w:pPr>
              <w:pStyle w:val="19"/>
              <w:numPr>
                <w:ilvl w:val="0"/>
                <w:numId w:val="5"/>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定期组织企业安全生产状况评估，并根据评估结果， 提出改善措施，及时报告企业负责人，落实整改，提升安全生产管理水平。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Merge w:val="restart"/>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安全生产管理组员</w:t>
            </w:r>
          </w:p>
        </w:tc>
        <w:tc>
          <w:tcPr>
            <w:tcW w:w="940" w:type="dxa"/>
            <w:vAlign w:val="center"/>
          </w:tcPr>
          <w:p>
            <w:pPr>
              <w:pStyle w:val="19"/>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项目设施设备维养部负责人</w:t>
            </w:r>
          </w:p>
        </w:tc>
        <w:tc>
          <w:tcPr>
            <w:tcW w:w="6367" w:type="dxa"/>
            <w:vAlign w:val="center"/>
          </w:tcPr>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落实本部门全员安全生产责任制。明确各岗位安全生产责任人、责任范围，并定期对部门员工尽职履责情况进 行监督检查。</w:t>
            </w:r>
          </w:p>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对照物业服务、安全生产标准化标准规范部门的各项服务和安全生产工作，实现标准化体系的建立并保持有效的运行，实现常态化的安全生产管理。</w:t>
            </w:r>
          </w:p>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依照工作计划安排组织部门员工对项目共用设施设备的日常运行进行管理维护，确保设施设备的安全正常运行。</w:t>
            </w:r>
          </w:p>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组织本部门员工开展生产过程中危险源识别，落实安全风险分级管控措施。</w:t>
            </w:r>
          </w:p>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组织本部门员工开展生产过程中事故隐患排查，并根据工作安排，积极参与隐患治理，及时消除事故隐患。</w:t>
            </w:r>
          </w:p>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定期对本部门使用的各类机具设备、防护用品进行检测保养，规范使用，确保使用机具设备、防护用品安全、可靠。</w:t>
            </w:r>
          </w:p>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落实危险作业管理制度，对高处作业、有限空间作业、 动火作业等危险作业坚持作业票审批管理和现场监护管理。</w:t>
            </w:r>
          </w:p>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负责对消防、电梯、监控维保等外包单位安全生产监督、检查。</w:t>
            </w:r>
          </w:p>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开展安全生产检查，制止和纠正违章指挥、强令冒险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Merge w:val="continue"/>
            <w:vAlign w:val="center"/>
          </w:tcPr>
          <w:p>
            <w:pPr>
              <w:spacing w:line="360" w:lineRule="auto"/>
              <w:jc w:val="center"/>
              <w:rPr>
                <w:rFonts w:hint="eastAsia" w:ascii="宋体" w:hAnsi="宋体" w:eastAsia="宋体" w:cs="宋体"/>
                <w:sz w:val="24"/>
                <w:szCs w:val="24"/>
                <w:lang w:val="en-US" w:eastAsia="zh-CN"/>
              </w:rPr>
            </w:pPr>
          </w:p>
        </w:tc>
        <w:tc>
          <w:tcPr>
            <w:tcW w:w="940" w:type="dxa"/>
            <w:vAlign w:val="center"/>
          </w:tcPr>
          <w:p>
            <w:pPr>
              <w:pStyle w:val="19"/>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项目客户服务部负责人</w:t>
            </w:r>
          </w:p>
        </w:tc>
        <w:tc>
          <w:tcPr>
            <w:tcW w:w="6367" w:type="dxa"/>
            <w:vAlign w:val="center"/>
          </w:tcPr>
          <w:p>
            <w:pPr>
              <w:pStyle w:val="19"/>
              <w:numPr>
                <w:ilvl w:val="0"/>
                <w:numId w:val="7"/>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落实本部门安全生产责任制，明确各岗位安全生产责任人、责任范围，并定期对部门员工尽职履责情况进行监 督检查。</w:t>
            </w:r>
          </w:p>
          <w:p>
            <w:pPr>
              <w:pStyle w:val="19"/>
              <w:numPr>
                <w:ilvl w:val="0"/>
                <w:numId w:val="7"/>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对照物业服务、安全生产标准化标准规范部门的各项服务和安全生产工作，实现标准化体系的建立并保持有效 的运行，实现常态化的安全生产管理。</w:t>
            </w:r>
          </w:p>
          <w:p>
            <w:pPr>
              <w:pStyle w:val="19"/>
              <w:numPr>
                <w:ilvl w:val="0"/>
                <w:numId w:val="7"/>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组织本部门员工开展生产过程中危险源识别，落实风险分级管控措施。</w:t>
            </w:r>
          </w:p>
          <w:p>
            <w:pPr>
              <w:pStyle w:val="19"/>
              <w:numPr>
                <w:ilvl w:val="0"/>
                <w:numId w:val="7"/>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组织本部门员工开展生产过程中事故隐患排查，并根据工作安排，积极参与隐患治理，及时消除事故隐患。</w:t>
            </w:r>
          </w:p>
          <w:p>
            <w:pPr>
              <w:pStyle w:val="19"/>
              <w:numPr>
                <w:ilvl w:val="0"/>
                <w:numId w:val="7"/>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定期对本部门使用的各类设施设备、防护用品进行检测保养，规范使用，确保员工使用机具设备、防护用品安全、可靠。</w:t>
            </w:r>
          </w:p>
          <w:p>
            <w:pPr>
              <w:pStyle w:val="19"/>
              <w:numPr>
                <w:ilvl w:val="0"/>
                <w:numId w:val="7"/>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负责对业主、物业使用人安全生产、安全知识宣传（如：禁止高空抛物、电动自行车规范充电等），提升安全防护意识，提高自救互助能力。</w:t>
            </w:r>
          </w:p>
          <w:p>
            <w:pPr>
              <w:pStyle w:val="19"/>
              <w:numPr>
                <w:ilvl w:val="0"/>
                <w:numId w:val="7"/>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组织本部门员工开展专项应急演练或现场处置应急演练，不断提升应急处置能力。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Merge w:val="continue"/>
            <w:vAlign w:val="center"/>
          </w:tcPr>
          <w:p>
            <w:pPr>
              <w:spacing w:line="360" w:lineRule="auto"/>
              <w:jc w:val="center"/>
              <w:rPr>
                <w:rFonts w:hint="eastAsia" w:ascii="宋体" w:hAnsi="宋体" w:eastAsia="宋体" w:cs="宋体"/>
                <w:sz w:val="24"/>
                <w:szCs w:val="24"/>
                <w:lang w:val="en-US" w:eastAsia="zh-CN"/>
              </w:rPr>
            </w:pPr>
          </w:p>
        </w:tc>
        <w:tc>
          <w:tcPr>
            <w:tcW w:w="940" w:type="dxa"/>
            <w:vAlign w:val="center"/>
          </w:tcPr>
          <w:p>
            <w:pPr>
              <w:pStyle w:val="19"/>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项目秩序维护部负责人</w:t>
            </w:r>
          </w:p>
        </w:tc>
        <w:tc>
          <w:tcPr>
            <w:tcW w:w="6367" w:type="dxa"/>
            <w:vAlign w:val="center"/>
          </w:tcPr>
          <w:p>
            <w:pPr>
              <w:pStyle w:val="19"/>
              <w:numPr>
                <w:ilvl w:val="0"/>
                <w:numId w:val="8"/>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落实本部门安全生产责任制，明确各岗位安全生产责任人、责任范围，并定期对部门员工尽职履责情况进行监 督检查。</w:t>
            </w:r>
          </w:p>
          <w:p>
            <w:pPr>
              <w:pStyle w:val="19"/>
              <w:numPr>
                <w:ilvl w:val="0"/>
                <w:numId w:val="8"/>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对照物业服务、安全生产标准化标准规范部门的各项服务和安全生产工作，实现标准化体系的建立并保持有效 的运行，实现常态化的安全生产管理。</w:t>
            </w:r>
          </w:p>
          <w:p>
            <w:pPr>
              <w:pStyle w:val="19"/>
              <w:numPr>
                <w:ilvl w:val="0"/>
                <w:numId w:val="8"/>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依照工作计划安排组织部门员工落实本项目公共秩序维护工作。包括： 项目安防及消防设施设备使用管理； 交通秩序维护；治安、安全等事件应急处置等。</w:t>
            </w:r>
          </w:p>
          <w:p>
            <w:pPr>
              <w:pStyle w:val="19"/>
              <w:numPr>
                <w:ilvl w:val="0"/>
                <w:numId w:val="8"/>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组织本部门员工开展生产过程中危险源识别，落实风险分级管控措施。</w:t>
            </w:r>
          </w:p>
          <w:p>
            <w:pPr>
              <w:pStyle w:val="19"/>
              <w:numPr>
                <w:ilvl w:val="0"/>
                <w:numId w:val="8"/>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组织本部门员工开展生产过程中事故隐患排查，并根据工作安排，积极参与隐患治理，及时消除事故隐患。</w:t>
            </w:r>
          </w:p>
          <w:p>
            <w:pPr>
              <w:pStyle w:val="19"/>
              <w:numPr>
                <w:ilvl w:val="0"/>
                <w:numId w:val="8"/>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管理维护本部门使用的各类设施设备、防护用品，以及应急救援物资、装备等。</w:t>
            </w:r>
          </w:p>
          <w:p>
            <w:pPr>
              <w:pStyle w:val="19"/>
              <w:numPr>
                <w:ilvl w:val="0"/>
                <w:numId w:val="8"/>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组织本部门员工经常性开展安全生产和岗位业务操作技能培训。</w:t>
            </w:r>
          </w:p>
          <w:p>
            <w:pPr>
              <w:pStyle w:val="19"/>
              <w:numPr>
                <w:ilvl w:val="0"/>
                <w:numId w:val="8"/>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组织本部门员工开展专项应急演练或现场处置应急演练，不断提升应急处置能力。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资料管理员</w:t>
            </w:r>
            <w:r>
              <w:rPr>
                <w:rFonts w:hint="eastAsia" w:ascii="宋体" w:hAnsi="宋体" w:eastAsia="宋体" w:cs="宋体"/>
                <w:sz w:val="24"/>
                <w:szCs w:val="24"/>
                <w:lang w:eastAsia="zh-CN"/>
              </w:rPr>
              <w:t>（兼）</w:t>
            </w:r>
          </w:p>
        </w:tc>
        <w:tc>
          <w:tcPr>
            <w:tcW w:w="7307" w:type="dxa"/>
            <w:gridSpan w:val="2"/>
            <w:vAlign w:val="center"/>
          </w:tcPr>
          <w:p>
            <w:pPr>
              <w:pStyle w:val="19"/>
              <w:numPr>
                <w:ilvl w:val="0"/>
                <w:numId w:val="9"/>
              </w:numPr>
              <w:spacing w:line="360" w:lineRule="auto"/>
              <w:ind w:firstLineChars="0"/>
              <w:rPr>
                <w:rFonts w:hint="eastAsia" w:ascii="宋体" w:hAnsi="宋体" w:eastAsia="宋体" w:cs="宋体"/>
                <w:sz w:val="24"/>
                <w:szCs w:val="24"/>
                <w:lang w:eastAsia="zh-CN"/>
              </w:rPr>
            </w:pPr>
            <w:r>
              <w:rPr>
                <w:rFonts w:hint="eastAsia" w:ascii="宋体" w:hAnsi="宋体" w:eastAsia="宋体" w:cs="宋体"/>
                <w:sz w:val="24"/>
                <w:szCs w:val="24"/>
              </w:rPr>
              <w:t>对</w:t>
            </w:r>
            <w:r>
              <w:rPr>
                <w:rFonts w:hint="eastAsia" w:ascii="宋体" w:hAnsi="宋体" w:eastAsia="宋体" w:cs="宋体"/>
                <w:sz w:val="24"/>
                <w:szCs w:val="24"/>
                <w:lang w:eastAsia="zh-CN"/>
              </w:rPr>
              <w:t>安全生产管理</w:t>
            </w:r>
            <w:r>
              <w:rPr>
                <w:rFonts w:hint="eastAsia" w:ascii="宋体" w:hAnsi="宋体" w:eastAsia="宋体" w:cs="宋体"/>
                <w:sz w:val="24"/>
                <w:szCs w:val="24"/>
              </w:rPr>
              <w:t>资料进行整理、归档。</w:t>
            </w:r>
          </w:p>
        </w:tc>
      </w:tr>
    </w:tbl>
    <w:p>
      <w:pPr>
        <w:tabs>
          <w:tab w:val="left" w:pos="540"/>
          <w:tab w:val="left" w:pos="1843"/>
        </w:tabs>
        <w:spacing w:line="360" w:lineRule="auto"/>
        <w:rPr>
          <w:rFonts w:hint="eastAsia" w:ascii="宋体" w:hAnsi="宋体" w:eastAsia="宋体" w:cs="宋体"/>
          <w:b/>
          <w:color w:val="000000"/>
          <w:sz w:val="24"/>
          <w:szCs w:val="24"/>
        </w:rPr>
      </w:pPr>
    </w:p>
    <w:p>
      <w:pPr>
        <w:pStyle w:val="19"/>
        <w:numPr>
          <w:ilvl w:val="0"/>
          <w:numId w:val="2"/>
        </w:numPr>
        <w:spacing w:line="360" w:lineRule="auto"/>
        <w:ind w:left="284" w:hanging="284" w:firstLineChars="0"/>
        <w:outlineLvl w:val="0"/>
        <w:rPr>
          <w:rFonts w:hint="eastAsia" w:ascii="宋体" w:hAnsi="宋体" w:eastAsia="宋体" w:cs="宋体"/>
          <w:b/>
          <w:sz w:val="24"/>
          <w:szCs w:val="24"/>
          <w:lang w:val="en-US" w:eastAsia="zh-CN"/>
        </w:rPr>
      </w:pPr>
      <w:bookmarkStart w:id="4" w:name="_Toc4676"/>
      <w:r>
        <w:rPr>
          <w:rFonts w:hint="eastAsia" w:ascii="宋体" w:hAnsi="宋体" w:eastAsia="宋体" w:cs="宋体"/>
          <w:b/>
          <w:sz w:val="24"/>
          <w:szCs w:val="24"/>
          <w:lang w:val="en-US" w:eastAsia="zh-CN"/>
        </w:rPr>
        <w:t>安全主体责任清单</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5.1消防安全主体责任清单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5.1.1主要火灾风险：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840" w:firstLineChars="35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（1）电气线路故障、电气线路短路、电气设备故障、雷击等可能引发电气火灾事故。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20" w:firstLineChars="17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（2）应急出口独立，通风系统失效、排烟系统失效应急照明失效，可能在发生火灾时，人员无法及时有效疏散，从而造成人员因烟气中毒、踩踏、烧伤等事故；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5.1.2消防安全重点部位：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840" w:firstLineChars="35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消防控制室、消防水泵房、档案室、财务室、中心数据机房、变配电室；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5.1.3消防控制室值班人数以及持证上岗人数：6人；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5.1.4主要消防器材设施：</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840" w:leftChars="400"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自动喷水灭火系统、气体灭火系统、火灾自动报警系统、室内消火栓、室外消火栓、灭火器；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5.1.5主要责任内容：</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1）明确各级、各岗位消防安全责任人及其职责，制定本单位的消防安全制度、消防安全操作规程、灭火和应急疏散预案•定期组织开展灭火和应急疏散演练，进行消防工作检査考核，保证各项制度落实；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960" w:firstLineChars="4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履行标准：</w:t>
      </w:r>
    </w:p>
    <w:p>
      <w:pPr>
        <w:keepNext w:val="0"/>
        <w:keepLines w:val="0"/>
        <w:pageBreakBefore w:val="0"/>
        <w:widowControl w:val="0"/>
        <w:numPr>
          <w:ilvl w:val="0"/>
          <w:numId w:val="10"/>
        </w:numPr>
        <w:tabs>
          <w:tab w:val="left" w:pos="420"/>
          <w:tab w:val="clear" w:pos="87"/>
        </w:tabs>
        <w:kinsoku/>
        <w:wordWrap/>
        <w:overflowPunct/>
        <w:topLinePunct w:val="0"/>
        <w:autoSpaceDE/>
        <w:autoSpaceDN/>
        <w:bidi w:val="0"/>
        <w:adjustRightInd/>
        <w:snapToGrid/>
        <w:spacing w:line="360" w:lineRule="auto"/>
        <w:ind w:left="420" w:leftChars="200" w:firstLine="420" w:firstLineChars="17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建立健全消防安全责任制，将本单位管理范围、内容、要求分解到各部门、各岗位，明确责任人员、责任内容和考核奖惩标准。</w:t>
      </w:r>
    </w:p>
    <w:p>
      <w:pPr>
        <w:keepNext w:val="0"/>
        <w:keepLines w:val="0"/>
        <w:pageBreakBefore w:val="0"/>
        <w:widowControl w:val="0"/>
        <w:numPr>
          <w:ilvl w:val="0"/>
          <w:numId w:val="10"/>
        </w:numPr>
        <w:tabs>
          <w:tab w:val="left" w:pos="420"/>
          <w:tab w:val="clear" w:pos="87"/>
        </w:tabs>
        <w:kinsoku/>
        <w:wordWrap/>
        <w:overflowPunct/>
        <w:topLinePunct w:val="0"/>
        <w:autoSpaceDE/>
        <w:autoSpaceDN/>
        <w:bidi w:val="0"/>
        <w:adjustRightInd/>
        <w:snapToGrid/>
        <w:spacing w:line="360" w:lineRule="auto"/>
        <w:ind w:left="420" w:leftChars="200" w:firstLine="420" w:firstLineChars="17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国家有关规定，结合自身的特点，建立健全各项消防安全制度和保障消防安全的操作规程，并公布执行。消防安全制度主要包括以下内容：消防安全教育、培训；防火巡查、检査；安全疏散设施管理；消防(控制室)值班；消防设施、器材维护管理；火灾隐患整改；用火、用电安全管理：易燃易爆危险物品和场所防火防爆；专职和义务消防队的组织管理：灭火和应急疏散预案演练：燃气和电气设备的检査和管理(包括防雷、防静电)；消防安全工作考评和奖惩；其他必要的消防安全内容.</w:t>
      </w:r>
    </w:p>
    <w:p>
      <w:pPr>
        <w:keepNext w:val="0"/>
        <w:keepLines w:val="0"/>
        <w:pageBreakBefore w:val="0"/>
        <w:widowControl w:val="0"/>
        <w:numPr>
          <w:ilvl w:val="0"/>
          <w:numId w:val="10"/>
        </w:numPr>
        <w:tabs>
          <w:tab w:val="left" w:pos="420"/>
          <w:tab w:val="clear" w:pos="87"/>
        </w:tabs>
        <w:kinsoku/>
        <w:wordWrap/>
        <w:overflowPunct/>
        <w:topLinePunct w:val="0"/>
        <w:autoSpaceDE/>
        <w:autoSpaceDN/>
        <w:bidi w:val="0"/>
        <w:adjustRightInd/>
        <w:snapToGrid/>
        <w:spacing w:line="360" w:lineRule="auto"/>
        <w:ind w:left="420" w:leftChars="200" w:firstLine="420" w:firstLineChars="17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确定火灾事故源，分析可能发生的火灾亊故类型及危害程度和影咱范围，依椐分析结果，针对可能发生的火灾，组织制定灭火和应急預案。</w:t>
      </w:r>
    </w:p>
    <w:p>
      <w:pPr>
        <w:keepNext w:val="0"/>
        <w:keepLines w:val="0"/>
        <w:pageBreakBefore w:val="0"/>
        <w:widowControl w:val="0"/>
        <w:numPr>
          <w:ilvl w:val="0"/>
          <w:numId w:val="10"/>
        </w:numPr>
        <w:tabs>
          <w:tab w:val="left" w:pos="420"/>
          <w:tab w:val="clear" w:pos="87"/>
        </w:tabs>
        <w:kinsoku/>
        <w:wordWrap/>
        <w:overflowPunct/>
        <w:topLinePunct w:val="0"/>
        <w:autoSpaceDE/>
        <w:autoSpaceDN/>
        <w:bidi w:val="0"/>
        <w:adjustRightInd/>
        <w:snapToGrid/>
        <w:spacing w:line="360" w:lineRule="auto"/>
        <w:ind w:left="420" w:leftChars="200" w:firstLine="420" w:firstLineChars="17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消防安全重点单位至少每半年进行一次演练，其他单位应当至少每年组织一次演练.</w:t>
      </w:r>
    </w:p>
    <w:p>
      <w:pPr>
        <w:keepNext w:val="0"/>
        <w:keepLines w:val="0"/>
        <w:pageBreakBefore w:val="0"/>
        <w:widowControl w:val="0"/>
        <w:numPr>
          <w:ilvl w:val="0"/>
          <w:numId w:val="10"/>
        </w:numPr>
        <w:tabs>
          <w:tab w:val="left" w:pos="420"/>
          <w:tab w:val="clear" w:pos="87"/>
        </w:tabs>
        <w:kinsoku/>
        <w:wordWrap/>
        <w:overflowPunct/>
        <w:topLinePunct w:val="0"/>
        <w:autoSpaceDE/>
        <w:autoSpaceDN/>
        <w:bidi w:val="0"/>
        <w:adjustRightInd/>
        <w:snapToGrid/>
        <w:spacing w:line="360" w:lineRule="auto"/>
        <w:ind w:left="420" w:leftChars="200" w:firstLine="420" w:firstLineChars="17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将消防安全工作纳入内部检査、考核、评比内容。对成绩突出的部门(班组)和个人，给予表彰奖励。对未依法履行消防安全职责或者违反消防安全制度的行为，依照有规定对责任人员给予处罚。</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保证防火检査巡査、消防设施器材维护保养、建筑消防设施检测、火灾隐患整改、专职或志愿消防队和微型消防站建设等消防工作所需资金的投入，生产经营单位安全费用应当保适当比例用于消防工作。</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Chars="5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履行标准：</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line="360" w:lineRule="auto"/>
        <w:ind w:left="1099"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建立消防安全费用投入保障和使用管理制度、办法；</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line="360" w:lineRule="auto"/>
        <w:ind w:left="1099"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建立消防安全费用使用管理台账；</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line="360" w:lineRule="auto"/>
        <w:ind w:left="420" w:leftChars="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制定并实施包含以下方面的消防安全费用使用计划：建筑消防设施设备的检查、维修、保养；消防专用设施设备的购置；消防安全宣传、比赛、演练等活动所需的印刷费、外聘专家授课费、资料费、材料费等；消防档案管理所需要的相关费用；公司批准的其他消防支出项目；</w:t>
      </w:r>
    </w:p>
    <w:p>
      <w:pPr>
        <w:keepNext w:val="0"/>
        <w:keepLines w:val="0"/>
        <w:pageBreakBefore w:val="0"/>
        <w:widowControl w:val="0"/>
        <w:numPr>
          <w:ilvl w:val="0"/>
          <w:numId w:val="11"/>
        </w:numPr>
        <w:tabs>
          <w:tab w:val="left" w:pos="42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sz w:val="24"/>
          <w:szCs w:val="24"/>
          <w:lang w:eastAsia="zh-CN"/>
        </w:rPr>
      </w:pPr>
      <w:r>
        <w:rPr>
          <w:rFonts w:hint="eastAsia" w:ascii="宋体" w:hAnsi="宋体" w:eastAsia="宋体" w:cs="宋体"/>
          <w:sz w:val="24"/>
          <w:szCs w:val="24"/>
        </w:rPr>
        <w:t>按照相关标准</w:t>
      </w:r>
      <w:r>
        <w:rPr>
          <w:rFonts w:hint="eastAsia" w:ascii="宋体" w:hAnsi="宋体" w:eastAsia="宋体" w:cs="宋体"/>
          <w:sz w:val="24"/>
          <w:szCs w:val="24"/>
          <w:lang w:val="en-US" w:eastAsia="zh-CN"/>
        </w:rPr>
        <w:t>配备</w:t>
      </w:r>
      <w:r>
        <w:rPr>
          <w:rFonts w:hint="eastAsia" w:ascii="宋体" w:hAnsi="宋体" w:eastAsia="宋体" w:cs="宋体"/>
          <w:sz w:val="24"/>
          <w:szCs w:val="24"/>
        </w:rPr>
        <w:t>消防</w:t>
      </w:r>
      <w:r>
        <w:rPr>
          <w:rFonts w:hint="eastAsia" w:ascii="宋体" w:hAnsi="宋体" w:eastAsia="宋体" w:cs="宋体"/>
          <w:sz w:val="24"/>
          <w:szCs w:val="24"/>
          <w:lang w:val="en-US" w:eastAsia="zh-CN"/>
        </w:rPr>
        <w:t>设施</w:t>
      </w:r>
      <w:r>
        <w:rPr>
          <w:rFonts w:hint="eastAsia" w:ascii="宋体" w:hAnsi="宋体" w:eastAsia="宋体" w:cs="宋体"/>
          <w:sz w:val="24"/>
          <w:szCs w:val="24"/>
        </w:rPr>
        <w:t>、器材，设置消防安全标志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定期检验</w:t>
      </w:r>
      <w:r>
        <w:rPr>
          <w:rFonts w:hint="eastAsia" w:ascii="宋体" w:hAnsi="宋体" w:eastAsia="宋体" w:cs="宋体"/>
          <w:sz w:val="24"/>
          <w:szCs w:val="24"/>
        </w:rPr>
        <w:t>维修，对建筑消防设施每年至少进行一次全面检测，确保完好有效，设有消防控制</w:t>
      </w:r>
      <w:r>
        <w:rPr>
          <w:rFonts w:hint="eastAsia" w:ascii="宋体" w:hAnsi="宋体" w:eastAsia="宋体" w:cs="宋体"/>
          <w:sz w:val="24"/>
          <w:szCs w:val="24"/>
          <w:lang w:val="en-US" w:eastAsia="zh-CN"/>
        </w:rPr>
        <w:t>室</w:t>
      </w:r>
      <w:r>
        <w:rPr>
          <w:rFonts w:hint="eastAsia" w:ascii="宋体" w:hAnsi="宋体" w:eastAsia="宋体" w:cs="宋体"/>
          <w:sz w:val="24"/>
          <w:szCs w:val="24"/>
        </w:rPr>
        <w:t>的，实行24小时值班制度，每班不少于2人，并持证上岗</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200"/>
        </w:tabs>
        <w:kinsoku/>
        <w:wordWrap/>
        <w:overflowPunct/>
        <w:topLinePunct w:val="0"/>
        <w:autoSpaceDE/>
        <w:autoSpaceDN/>
        <w:bidi w:val="0"/>
        <w:adjustRightInd/>
        <w:snapToGrid/>
        <w:spacing w:line="360" w:lineRule="auto"/>
        <w:ind w:left="559" w:leftChars="266" w:firstLine="499" w:firstLineChars="208"/>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建筑消防设施应每年至少检测一次，检测对象包括全部设备、组件，系统投入运行后每一年底前，将年度检测记录报当地消防机构的备案。在重大的节日、重大的活动前或者期间，应根据当地消防机构的要求对建筑消防设施进行检测。</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559" w:leftChars="266" w:firstLine="499" w:firstLineChars="208"/>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消防设施操作人员应通过消防行业特有工种职业技能鉴定，持有中级技能以上等级的职业资格证书，实行每日24h值班制度，毎班工作时间应不大于8h,每班人员应不少于2人，值班人员对火灾报警控制器进行日检査、接班、交班时、应填写《消防控制室值班记录表》相关内容。值班期间每2h记录一次消防控制室内消防设备的运行情况，及时记录消防控制室内消防设备的火警或故障情况。</w:t>
      </w:r>
    </w:p>
    <w:p>
      <w:pPr>
        <w:keepNext w:val="0"/>
        <w:keepLines w:val="0"/>
        <w:pageBreakBefore w:val="0"/>
        <w:widowControl w:val="0"/>
        <w:numPr>
          <w:ilvl w:val="0"/>
          <w:numId w:val="11"/>
        </w:numPr>
        <w:tabs>
          <w:tab w:val="left" w:pos="42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保障疏散通道、安全出口、消防车通道畅通，保证防火防烟分区、防火间距符合消防技术标准。人员密集场所的门窗不得设置影响逃生和灭火救援的障碍物，保证建筑构件、建筑材料和室内装修装饰材料等符合消防技术标准.  </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履行标准：严格按照《建设工程消防设计审査验收管理暂行规定》的要求，开展新建、扩建、改建《含室内外装修、建筑保温、用途变更）等建设工程的消防设计审査、验收、备案等工作。</w:t>
      </w:r>
    </w:p>
    <w:p>
      <w:pPr>
        <w:keepNext w:val="0"/>
        <w:keepLines w:val="0"/>
        <w:pageBreakBefore w:val="0"/>
        <w:widowControl w:val="0"/>
        <w:numPr>
          <w:ilvl w:val="0"/>
          <w:numId w:val="11"/>
        </w:numPr>
        <w:tabs>
          <w:tab w:val="left" w:pos="63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定期开展防火检査、巡査，及时消除火灾隐患。</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履行标准：</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Chars="4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1.每日防火巡查，并将巡查的人员、内容、部位和频次落实到相关工作岗位；</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Chars="4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2.每月进行一次防火检查；</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Chars="4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3.开展特殊时期、季节性等专项安全检查，督促安全隐患整改。</w:t>
      </w:r>
    </w:p>
    <w:p>
      <w:pPr>
        <w:keepNext w:val="0"/>
        <w:keepLines w:val="0"/>
        <w:pageBreakBefore w:val="0"/>
        <w:widowControl w:val="0"/>
        <w:numPr>
          <w:ilvl w:val="0"/>
          <w:numId w:val="11"/>
        </w:numPr>
        <w:tabs>
          <w:tab w:val="left" w:pos="630"/>
          <w:tab w:val="left" w:pos="84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根据需要建立专职或志愿消防队、微型消防站，加强队伍建设，定期组织训练演练，加强消防装备配备和灭火药剂储备，建立与公安消防队联勤联动机制，提高扑救初起火灾能力。</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履行标准：</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1.除按照消防法规须建立专职消防队的重点单位外，其他设有消防控制室的重点单位设置微型消防站。组织开展日常业务训练，训练内容包括体能训练、灭火器材和个人防护器材的使用等。</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2.配合当地消防救援队将微型消防站纳入当地灭火救援联勤联动体系，参与周边区域灭火处置工作。</w:t>
      </w:r>
    </w:p>
    <w:p>
      <w:pPr>
        <w:keepNext w:val="0"/>
        <w:keepLines w:val="0"/>
        <w:pageBreakBefore w:val="0"/>
        <w:widowControl w:val="0"/>
        <w:numPr>
          <w:ilvl w:val="0"/>
          <w:numId w:val="11"/>
        </w:numPr>
        <w:tabs>
          <w:tab w:val="left" w:pos="63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消防法律、法规、规章以及政策文件规定的其他职责。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5.2特种设备安全主体责任清单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5.2.1职责</w:t>
      </w:r>
    </w:p>
    <w:tbl>
      <w:tblPr>
        <w:tblStyle w:val="16"/>
        <w:tblW w:w="0" w:type="auto"/>
        <w:tblInd w:w="1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8"/>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部门/岗位</w:t>
            </w:r>
          </w:p>
        </w:tc>
        <w:tc>
          <w:tcPr>
            <w:tcW w:w="560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专业管理部门</w:t>
            </w:r>
          </w:p>
        </w:tc>
        <w:tc>
          <w:tcPr>
            <w:tcW w:w="560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规范电梯设备管理标准；监督指导各服务中心电梯设备房管理情况；电梯供方维护情况进行评估。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 xml:space="preserve">项目经理   </w:t>
            </w:r>
          </w:p>
        </w:tc>
        <w:tc>
          <w:tcPr>
            <w:tcW w:w="560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监督本部门电梯设备管理。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指定电梯设备外包监督责任人；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维修经理</w:t>
            </w:r>
          </w:p>
        </w:tc>
        <w:tc>
          <w:tcPr>
            <w:tcW w:w="560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监督电梯外包方及外包监督责任人职责落实情况；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对电梯外包方工作评估。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设备监督责任人</w:t>
            </w:r>
          </w:p>
        </w:tc>
        <w:tc>
          <w:tcPr>
            <w:tcW w:w="560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对电梯供方定期维护工作进行监督、评估。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电梯维保外包方</w:t>
            </w:r>
          </w:p>
        </w:tc>
        <w:tc>
          <w:tcPr>
            <w:tcW w:w="560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依照外包合同及本作业指导书要求落实维保职责。</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5.2.2责任清单</w:t>
      </w:r>
    </w:p>
    <w:p>
      <w:pPr>
        <w:numPr>
          <w:ilvl w:val="0"/>
          <w:numId w:val="0"/>
        </w:numPr>
        <w:spacing w:line="360" w:lineRule="auto"/>
        <w:ind w:left="84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1）特种设备使用单位应当使用取得许可生产并经检验合格的特种设备；</w:t>
      </w:r>
    </w:p>
    <w:p>
      <w:pPr>
        <w:numPr>
          <w:ilvl w:val="0"/>
          <w:numId w:val="0"/>
        </w:numPr>
        <w:spacing w:line="360" w:lineRule="auto"/>
        <w:ind w:left="84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2）禁止使用国家明令淘汰和己经报废的特种设备：</w:t>
      </w:r>
    </w:p>
    <w:p>
      <w:pPr>
        <w:numPr>
          <w:ilvl w:val="0"/>
          <w:numId w:val="0"/>
        </w:numPr>
        <w:spacing w:line="360" w:lineRule="auto"/>
        <w:ind w:left="84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3）严格做到"三落实、两有证、双预防、一检验、一预案”：</w:t>
      </w:r>
    </w:p>
    <w:p>
      <w:pPr>
        <w:numPr>
          <w:ilvl w:val="0"/>
          <w:numId w:val="0"/>
        </w:numPr>
        <w:spacing w:line="360" w:lineRule="auto"/>
        <w:ind w:left="84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 桉照安全技术规范要求设置安全管理机构、健全安全管理制度：</w:t>
      </w:r>
    </w:p>
    <w:p>
      <w:pPr>
        <w:numPr>
          <w:ilvl w:val="0"/>
          <w:numId w:val="0"/>
        </w:numPr>
        <w:spacing w:line="360" w:lineRule="auto"/>
        <w:ind w:left="84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 配置安全管理人员和特种设备作业人员，办理使用登记证、特种设备作业人员证；</w:t>
      </w:r>
    </w:p>
    <w:p>
      <w:pPr>
        <w:numPr>
          <w:ilvl w:val="0"/>
          <w:numId w:val="0"/>
        </w:numPr>
        <w:spacing w:line="360" w:lineRule="auto"/>
        <w:ind w:left="84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 开展特种设备安全风险辨识管控和隐患排查整治:</w:t>
      </w:r>
    </w:p>
    <w:p>
      <w:pPr>
        <w:numPr>
          <w:ilvl w:val="0"/>
          <w:numId w:val="0"/>
        </w:numPr>
        <w:spacing w:line="360" w:lineRule="auto"/>
        <w:ind w:left="84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 及时申报法定检验：</w:t>
      </w:r>
    </w:p>
    <w:p>
      <w:pPr>
        <w:numPr>
          <w:ilvl w:val="0"/>
          <w:numId w:val="0"/>
        </w:numPr>
        <w:spacing w:line="360" w:lineRule="auto"/>
        <w:ind w:left="84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 制定特种设备事故应忽专项预案并组织演练；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5.3其他安全主体责任清单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5.3.1员工的安全生产责任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1、认真遵守安全生产规章制度和安全操作规程，正确佩戴使用劳动防护用品；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2、认真做好班前班后的交接，并做好安全记录和提醒下一班人员应注意的事项；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3、做好作业前和作业后的安全检查，发现事故隐患立即排除或上报；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树立“安全第一”的思想，有权越级报告安全生产真实情况，遇有严重及人身的不安全作业而无保证措施时，有权拒绝作业，同时立即报告上级有关部门处理，不违章指挥，不违章作业，不违反劳动纪律，彻底杜绝“三违”现象；积极参加集团、物业、班组组织的安全教育培训，掌握操作技能和安全防护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5、维护保养好使用的设备和各种安全防护设施，认真进行巡回检查，发现问题及时处理并报告；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6、对各级提出的事故隐患，按规定要求及时整改；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7、特种作业人员必须持证上岗；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8、发生事故或未遂事故，立即向上级报告，保护现场，科学施救。参加有关事故分析，吸取事故教训，积极提出预防措施 和促进安全生产、改善劳动条件的合理意见；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9、积极参加安全活动，提出有关安全生产的合理化建议；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5.3.2企业的安全生产责任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1、对安全生产和员工人身安全、健康负责；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2、发现事故苗头和事故隐患及时处理和上报；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3、组织安全检查活动，坚持班前讲安全、防火，班中检查安全、防火，班后总结安全、防火工作；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4、认真贯彻执行安全规章制度，严格执行操作规程；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5、发生事故立即报告，并采取积极有效措施，制止事故扩大，组织员工分析事故原因；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6、对从事有明显危险或严重违反操作规程的员工有权停止操作，并安排好岗位操作人员，报告上级领导；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7、有权制止未经安全教育和安全考核不合格员工独立操作；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8、搞好安全和消防设施、设备的检查和维护保养工作，检查员工合理使用劳保用品和正确使用各类消防器材。</w:t>
      </w:r>
    </w:p>
    <w:p>
      <w:pPr>
        <w:pStyle w:val="19"/>
        <w:numPr>
          <w:ilvl w:val="0"/>
          <w:numId w:val="2"/>
        </w:numPr>
        <w:spacing w:line="360" w:lineRule="auto"/>
        <w:ind w:left="284" w:hanging="284" w:firstLineChars="0"/>
        <w:outlineLvl w:val="0"/>
        <w:rPr>
          <w:rFonts w:hint="eastAsia" w:ascii="宋体" w:hAnsi="宋体" w:eastAsia="宋体" w:cs="宋体"/>
          <w:b/>
          <w:kern w:val="2"/>
          <w:sz w:val="24"/>
          <w:szCs w:val="24"/>
          <w:lang w:val="en-US" w:eastAsia="zh-CN" w:bidi="ar-SA"/>
        </w:rPr>
      </w:pPr>
      <w:r>
        <w:rPr>
          <w:rFonts w:hint="eastAsia" w:ascii="宋体" w:hAnsi="宋体" w:eastAsia="宋体" w:cs="宋体"/>
          <w:kern w:val="2"/>
          <w:sz w:val="24"/>
          <w:szCs w:val="24"/>
          <w:lang w:val="en-US" w:eastAsia="zh-CN" w:bidi="ar-SA"/>
        </w:rPr>
        <w:br w:type="page"/>
      </w:r>
      <w:bookmarkStart w:id="5" w:name="_Toc21255"/>
      <w:r>
        <w:rPr>
          <w:rFonts w:hint="eastAsia" w:ascii="宋体" w:hAnsi="宋体" w:eastAsia="宋体" w:cs="宋体"/>
          <w:b/>
          <w:kern w:val="2"/>
          <w:sz w:val="24"/>
          <w:szCs w:val="24"/>
          <w:lang w:val="en-US" w:eastAsia="zh-CN" w:bidi="ar-SA"/>
        </w:rPr>
        <w:t>重点岗位责任清单</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6.1业务支持电工安全生产责任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1、掌握安全用电基本知识和用电设备的机械性能，定期检查各种设备的运转憒况，严禁带病运转。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2、用电设备安装前，操作者必须按照有关规定正确使用防护用品，检查电气装置和保护设施是否完好有效；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3、停止使用的设备必须拉闸断电并销好开关箱；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4、负责保护所有用电设备的负荷线，保护线和开关箱 ，发 现问题及时解决；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5、搬动或拆除用电设备时，必须由电工作妥善处理后进行。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6、及时填写电气维修工作记录，定期检查记录，临时用电工程检查验收表；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7、所有绝缘检验工具，应妥善保管，严禁使用，并应定期检查校验；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8、现场施工用高低设备及线路，应按照施工设计及有关电 气安装技术规程安装和架设；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9、线路上禁止带负荷接电或断电，并禁止带电操作；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10、有人触电，立即切断电源进行急救；电气着火，应立即将有关电源切断，使用泡沫灭火器或干砂灭火。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6.2作业人员安全生产责任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1、认真学习和严格执行安全技术操作规程，模范遵守安全生 产规章制度。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2、严禁酒后上班、严禁吸烟，不得隨意进入危险场所或触 摸非本人操作的设备、电闸、阀门、开关等。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3、积极参加安全活动，认真执行安全交底，不违章作业， 服从领导和安全员的指挥。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4、发扬团结友爱精神，在安全生产方面做到互相监督，向 新员工传授安全知识 ，维护一切安全设施和防护用具，做到正确使用，不擅自拆改，不随意挪动消防设施。对不安全作业要积极提出意见，并拒绝违章指令。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5、发生伤亡和未遂事故时，保护事故现场并立即上报。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6.3人力资源安全生产责任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1、对员工进行定期的教育考核，将安全、技术知识列为员工培训、考评的内容之一，对新员工的资格审核，保证提供的人员具有一定的安全素质；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2、认真落实国家和省、市有关劳动保护的法规，严格执行有关人员的劳动保护待遇，并监督实施情况。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3、参加因工伤事故的处理，调查过程，从用工方面分析事故原因，提出防范措施，并认真执行对事故责任者的处理意见。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4、根据国家和省、市及集团公司安全生产的方针、政策及企业实际，为安全监察及生产队组、地面车间配备具有一定文化程度、基数和实践经验的安全管理人员，保证管理人员的素质。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5、认真贯彻执行《中华人民共和国劳动法》和有关劳动和社会保障方面的方针、政策 、法规 、法律，建立、健全劳动和社会保障管理制度。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6、根据公司生产的需要，充分控制企业内部劳动潜力，将人力资源用好、用活，提高劳动效率、工时利用率、出勤率， 按定额、定员组织生产，提高定额、定员管理水平。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7、加强劳动合同制管理，负责劳动人员招收、录用、分配和终止劳动合同等事宜，建立徤全劳动合同制工人档案、台帐和管理制度。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8、做好企业内部员工调配、调剂，搞好内部人力资源管理，确保人员队伍满足安全生产需求；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9、负责养老保险、失业保险、工伤保险费用的征收、代缴工作，企业和个人缴纳的养老、失业、工伤保险金，按规定及时缴纳；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6.4出纳安全生产责任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1、在负责人领导下,负责项目生产经营现金收付、银行存款收付业务,对本职安全工作负责；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2、加强现金、空白支票和保险箱的管理,做好防火、防盗工作,确保安全；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3、经领导批准的购置安全设施和抢险救灾急需的资金要优先保证；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4、负责保管和安全使用有关财务和领导印章;做好发放资、奖金和各种津贴时的安全工作；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5、从银行提取现金,必须配备保安人员、专车专程前往,确保资金安全。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6、严格执行国家的财经政策和各项规章制度,每天的库存现金量不高于规定的标准,同时保证不坐支、无白条；</w:t>
      </w:r>
    </w:p>
    <w:sectPr>
      <w:headerReference r:id="rId5" w:type="default"/>
      <w:footerReference r:id="rId6"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奖惩</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10</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1"/>
      </w:pBdr>
      <w:jc w:val="both"/>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AQSCZTZRQD-2024</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default" w:ascii="宋体" w:hAnsi="宋体" w:eastAsiaTheme="minorEastAsia"/>
              <w:szCs w:val="21"/>
              <w:lang w:val="en-US" w:eastAsia="zh-CN"/>
            </w:rPr>
            <w:t>主体责任清单</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13</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4</w:t>
          </w:r>
          <w:r>
            <w:rPr>
              <w:rFonts w:hint="eastAsia"/>
              <w:b/>
              <w:bCs/>
            </w:rPr>
            <w:t>年</w:t>
          </w:r>
          <w:r>
            <w:rPr>
              <w:rFonts w:hint="eastAsia"/>
              <w:b/>
              <w:bCs/>
              <w:lang w:val="en-US" w:eastAsia="zh-CN"/>
            </w:rPr>
            <w:t>01</w:t>
          </w:r>
          <w:r>
            <w:rPr>
              <w:rFonts w:hint="eastAsia"/>
              <w:b/>
              <w:bCs/>
            </w:rPr>
            <w:t>月</w:t>
          </w:r>
          <w:r>
            <w:rPr>
              <w:rFonts w:hint="eastAsia"/>
              <w:b/>
              <w:bCs/>
              <w:lang w:val="en-US" w:eastAsia="zh-CN"/>
            </w:rPr>
            <w:t>01</w:t>
          </w:r>
          <w:r>
            <w:rPr>
              <w:rFonts w:hint="eastAsia"/>
              <w:b/>
              <w:bCs/>
            </w:rPr>
            <w:t>日</w:t>
          </w:r>
        </w:p>
      </w:tc>
    </w:tr>
  </w:tbl>
  <w:p>
    <w:pPr>
      <w:pStyle w:val="1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F33AF"/>
    <w:multiLevelType w:val="singleLevel"/>
    <w:tmpl w:val="8C0F33AF"/>
    <w:lvl w:ilvl="0" w:tentative="0">
      <w:start w:val="1"/>
      <w:numFmt w:val="decimal"/>
      <w:lvlText w:val="%1."/>
      <w:lvlJc w:val="left"/>
      <w:pPr>
        <w:tabs>
          <w:tab w:val="left" w:pos="87"/>
        </w:tabs>
      </w:pPr>
      <w:rPr>
        <w:rFonts w:hint="default"/>
      </w:rPr>
    </w:lvl>
  </w:abstractNum>
  <w:abstractNum w:abstractNumId="1">
    <w:nsid w:val="CE620C01"/>
    <w:multiLevelType w:val="multilevel"/>
    <w:tmpl w:val="CE620C01"/>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041496E"/>
    <w:multiLevelType w:val="singleLevel"/>
    <w:tmpl w:val="E041496E"/>
    <w:lvl w:ilvl="0" w:tentative="0">
      <w:start w:val="2"/>
      <w:numFmt w:val="decimal"/>
      <w:suff w:val="nothing"/>
      <w:lvlText w:val="%1）"/>
      <w:lvlJc w:val="left"/>
    </w:lvl>
  </w:abstractNum>
  <w:abstractNum w:abstractNumId="3">
    <w:nsid w:val="E96C5BF3"/>
    <w:multiLevelType w:val="multilevel"/>
    <w:tmpl w:val="E96C5BF3"/>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ED5C5165"/>
    <w:multiLevelType w:val="multilevel"/>
    <w:tmpl w:val="ED5C5165"/>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4C0A87"/>
    <w:multiLevelType w:val="singleLevel"/>
    <w:tmpl w:val="034C0A87"/>
    <w:lvl w:ilvl="0" w:tentative="0">
      <w:start w:val="1"/>
      <w:numFmt w:val="decimal"/>
      <w:lvlText w:val="%1."/>
      <w:lvlJc w:val="left"/>
      <w:pPr>
        <w:tabs>
          <w:tab w:val="left" w:pos="312"/>
        </w:tabs>
        <w:ind w:left="1099" w:leftChars="0" w:firstLine="0" w:firstLineChars="0"/>
      </w:pPr>
    </w:lvl>
  </w:abstractNum>
  <w:abstractNum w:abstractNumId="6">
    <w:nsid w:val="31302D61"/>
    <w:multiLevelType w:val="multilevel"/>
    <w:tmpl w:val="31302D61"/>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0F2C9C"/>
    <w:multiLevelType w:val="multilevel"/>
    <w:tmpl w:val="440F2C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F128A8"/>
    <w:multiLevelType w:val="multilevel"/>
    <w:tmpl w:val="4DF128A8"/>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8966F1"/>
    <w:multiLevelType w:val="multilevel"/>
    <w:tmpl w:val="6A8966F1"/>
    <w:lvl w:ilvl="0" w:tentative="0">
      <w:start w:val="1"/>
      <w:numFmt w:val="decimal"/>
      <w:lvlText w:val="%1."/>
      <w:lvlJc w:val="left"/>
      <w:pPr>
        <w:ind w:left="425" w:hanging="425"/>
      </w:pPr>
      <w:rPr>
        <w:b/>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2"/>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abstractNum w:abstractNumId="11">
    <w:nsid w:val="740C49F1"/>
    <w:multiLevelType w:val="multilevel"/>
    <w:tmpl w:val="740C49F1"/>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9"/>
  </w:num>
  <w:num w:numId="3">
    <w:abstractNumId w:val="11"/>
  </w:num>
  <w:num w:numId="4">
    <w:abstractNumId w:val="6"/>
  </w:num>
  <w:num w:numId="5">
    <w:abstractNumId w:val="3"/>
  </w:num>
  <w:num w:numId="6">
    <w:abstractNumId w:val="8"/>
  </w:num>
  <w:num w:numId="7">
    <w:abstractNumId w:val="4"/>
  </w:num>
  <w:num w:numId="8">
    <w:abstractNumId w:val="1"/>
  </w:num>
  <w:num w:numId="9">
    <w:abstractNumId w:val="7"/>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0FD141C3"/>
    <w:rsid w:val="11A706B9"/>
    <w:rsid w:val="11D334FB"/>
    <w:rsid w:val="11F600D7"/>
    <w:rsid w:val="13145075"/>
    <w:rsid w:val="17E8173E"/>
    <w:rsid w:val="19475930"/>
    <w:rsid w:val="1B715B45"/>
    <w:rsid w:val="1C540E62"/>
    <w:rsid w:val="1EA60393"/>
    <w:rsid w:val="202C0FB4"/>
    <w:rsid w:val="213C4FC9"/>
    <w:rsid w:val="22A7542C"/>
    <w:rsid w:val="260E2B09"/>
    <w:rsid w:val="26473ED0"/>
    <w:rsid w:val="2A5C51C0"/>
    <w:rsid w:val="2B383CD5"/>
    <w:rsid w:val="2DAD42EB"/>
    <w:rsid w:val="2DD41286"/>
    <w:rsid w:val="2EE971D6"/>
    <w:rsid w:val="2FAC16F6"/>
    <w:rsid w:val="31F87619"/>
    <w:rsid w:val="32B94714"/>
    <w:rsid w:val="33021B8B"/>
    <w:rsid w:val="33237387"/>
    <w:rsid w:val="34A640F4"/>
    <w:rsid w:val="35377ED2"/>
    <w:rsid w:val="374F76FB"/>
    <w:rsid w:val="38D25620"/>
    <w:rsid w:val="3CF01CCF"/>
    <w:rsid w:val="3F6D0A65"/>
    <w:rsid w:val="3FBA776C"/>
    <w:rsid w:val="414A7C46"/>
    <w:rsid w:val="41FC66A4"/>
    <w:rsid w:val="42267595"/>
    <w:rsid w:val="42522137"/>
    <w:rsid w:val="42892A33"/>
    <w:rsid w:val="429955FF"/>
    <w:rsid w:val="432F3B2D"/>
    <w:rsid w:val="43CC3AB9"/>
    <w:rsid w:val="44160433"/>
    <w:rsid w:val="44BB575E"/>
    <w:rsid w:val="47533CBC"/>
    <w:rsid w:val="48A907DA"/>
    <w:rsid w:val="499800C1"/>
    <w:rsid w:val="4B257199"/>
    <w:rsid w:val="4C87182C"/>
    <w:rsid w:val="4D633F8B"/>
    <w:rsid w:val="4DCA4FE6"/>
    <w:rsid w:val="4EDB3540"/>
    <w:rsid w:val="4F2828FA"/>
    <w:rsid w:val="51000C05"/>
    <w:rsid w:val="539D78BB"/>
    <w:rsid w:val="56355A77"/>
    <w:rsid w:val="59A958FF"/>
    <w:rsid w:val="59B209F8"/>
    <w:rsid w:val="5A3E57E0"/>
    <w:rsid w:val="5C273FB3"/>
    <w:rsid w:val="5C2955BA"/>
    <w:rsid w:val="5D727568"/>
    <w:rsid w:val="5ED36EC0"/>
    <w:rsid w:val="5F650707"/>
    <w:rsid w:val="5FCA5376"/>
    <w:rsid w:val="60FD01C3"/>
    <w:rsid w:val="6157146B"/>
    <w:rsid w:val="623969F3"/>
    <w:rsid w:val="6271764A"/>
    <w:rsid w:val="62E9411A"/>
    <w:rsid w:val="668579AF"/>
    <w:rsid w:val="6BE7740C"/>
    <w:rsid w:val="6C004B0A"/>
    <w:rsid w:val="6C0F0CED"/>
    <w:rsid w:val="6C2E204E"/>
    <w:rsid w:val="6CE71124"/>
    <w:rsid w:val="6CF438D5"/>
    <w:rsid w:val="6D25144D"/>
    <w:rsid w:val="6E5864B7"/>
    <w:rsid w:val="6F867812"/>
    <w:rsid w:val="70620E64"/>
    <w:rsid w:val="706F589F"/>
    <w:rsid w:val="710B44B6"/>
    <w:rsid w:val="73BD355B"/>
    <w:rsid w:val="741E2752"/>
    <w:rsid w:val="76922A9F"/>
    <w:rsid w:val="78363B67"/>
    <w:rsid w:val="78A91184"/>
    <w:rsid w:val="79616112"/>
    <w:rsid w:val="7A3420E8"/>
    <w:rsid w:val="7A820227"/>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3"/>
    <w:basedOn w:val="1"/>
    <w:next w:val="1"/>
    <w:qFormat/>
    <w:uiPriority w:val="0"/>
    <w:pPr>
      <w:keepNext/>
      <w:keepLines/>
      <w:widowControl w:val="0"/>
      <w:spacing w:before="260" w:after="260" w:line="416" w:lineRule="auto"/>
      <w:jc w:val="both"/>
      <w:outlineLvl w:val="2"/>
    </w:pPr>
    <w:rPr>
      <w:rFonts w:ascii="Times New Roman" w:hAnsi="Times New Roman"/>
      <w:b/>
      <w:bCs/>
      <w:kern w:val="2"/>
      <w:sz w:val="32"/>
      <w:szCs w:val="32"/>
      <w:lang w:val="en-US" w:eastAsia="zh-CN"/>
    </w:rPr>
  </w:style>
  <w:style w:type="paragraph" w:styleId="6">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7">
    <w:name w:val="Body Text Indent"/>
    <w:basedOn w:val="1"/>
    <w:qFormat/>
    <w:uiPriority w:val="0"/>
    <w:pPr>
      <w:spacing w:line="360" w:lineRule="auto"/>
      <w:ind w:firstLine="482" w:firstLineChars="200"/>
    </w:pPr>
    <w:rPr>
      <w:rFonts w:ascii="宋体" w:hAnsi="宋体"/>
      <w:b/>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widowControl/>
      <w:spacing w:after="120" w:line="480" w:lineRule="auto"/>
      <w:ind w:left="420" w:leftChars="200"/>
      <w:jc w:val="left"/>
    </w:pPr>
    <w:rPr>
      <w:kern w:val="0"/>
      <w:sz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9">
    <w:name w:val="List Paragraph"/>
    <w:basedOn w:val="1"/>
    <w:qFormat/>
    <w:uiPriority w:val="1"/>
    <w:pPr>
      <w:ind w:firstLine="420" w:firstLineChars="200"/>
    </w:pPr>
  </w:style>
  <w:style w:type="paragraph" w:customStyle="1" w:styleId="20">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标题 4_NM"/>
    <w:basedOn w:val="6"/>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3">
    <w:name w:val="标题 2_NM"/>
    <w:basedOn w:val="4"/>
    <w:qFormat/>
    <w:uiPriority w:val="0"/>
    <w:pPr>
      <w:outlineLvl w:val="9"/>
    </w:pPr>
    <w:rPr>
      <w:b w:val="0"/>
      <w:lang w:val="zh-CN"/>
    </w:rPr>
  </w:style>
  <w:style w:type="character" w:customStyle="1" w:styleId="24">
    <w:name w:val="Book Title"/>
    <w:basedOn w:val="17"/>
    <w:qFormat/>
    <w:uiPriority w:val="33"/>
    <w:rPr>
      <w:b/>
      <w:bCs/>
      <w:i/>
      <w:iCs/>
      <w:spacing w:val="5"/>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7066</Words>
  <Characters>7200</Characters>
  <Lines>0</Lines>
  <Paragraphs>0</Paragraphs>
  <TotalTime>5</TotalTime>
  <ScaleCrop>false</ScaleCrop>
  <LinksUpToDate>false</LinksUpToDate>
  <CharactersWithSpaces>7311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2024-01-16T06:13:54Z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