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color w:val="auto"/>
          <w:kern w:val="2"/>
          <w:sz w:val="44"/>
          <w:szCs w:val="44"/>
          <w:lang w:val="en-US" w:eastAsia="zh-CN" w:bidi="ar-SA"/>
        </w:rPr>
      </w:pPr>
      <w:r>
        <w:rPr>
          <w:rFonts w:hint="eastAsia" w:ascii="方正小标宋简体" w:hAnsi="方正小标宋简体" w:eastAsia="方正小标宋简体" w:cs="方正小标宋简体"/>
          <w:b w:val="0"/>
          <w:bCs/>
          <w:color w:val="auto"/>
          <w:kern w:val="2"/>
          <w:sz w:val="44"/>
          <w:szCs w:val="44"/>
          <w:lang w:val="en-US" w:eastAsia="zh-CN" w:bidi="ar-SA"/>
        </w:rPr>
        <w:t>四川嘉陵江新政航电开发有限公司</w:t>
      </w:r>
    </w:p>
    <w:p>
      <w:pPr>
        <w:spacing w:line="600" w:lineRule="exact"/>
        <w:jc w:val="center"/>
        <w:rPr>
          <w:rFonts w:hint="eastAsia" w:ascii="方正小标宋简体" w:hAnsi="方正小标宋简体" w:eastAsia="方正小标宋简体" w:cs="方正小标宋简体"/>
          <w:b/>
          <w:sz w:val="44"/>
          <w:szCs w:val="44"/>
          <w:shd w:val="clear" w:color="auto" w:fill="FFFFFF"/>
        </w:rPr>
      </w:pPr>
      <w:r>
        <w:rPr>
          <w:rFonts w:hint="eastAsia" w:ascii="方正小标宋简体" w:hAnsi="方正小标宋简体" w:eastAsia="方正小标宋简体" w:cs="方正小标宋简体"/>
          <w:b w:val="0"/>
          <w:bCs/>
          <w:color w:val="auto"/>
          <w:kern w:val="2"/>
          <w:sz w:val="44"/>
          <w:szCs w:val="44"/>
          <w:lang w:val="en-US" w:eastAsia="zh-CN" w:bidi="ar-SA"/>
        </w:rPr>
        <w:t>企业安全生产主体责任清单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365"/>
        <w:gridCol w:w="10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7" w:type="dxa"/>
            <w:noWrap w:val="0"/>
            <w:vAlign w:val="center"/>
          </w:tcPr>
          <w:p>
            <w:pPr>
              <w:adjustRightInd w:val="0"/>
              <w:snapToGrid w:val="0"/>
              <w:spacing w:line="300" w:lineRule="exact"/>
              <w:jc w:val="center"/>
              <w:rPr>
                <w:rFonts w:hint="eastAsia" w:eastAsia="黑体"/>
                <w:sz w:val="21"/>
                <w:szCs w:val="21"/>
              </w:rPr>
            </w:pPr>
            <w:r>
              <w:rPr>
                <w:rFonts w:hint="eastAsia" w:eastAsia="黑体"/>
                <w:sz w:val="21"/>
                <w:szCs w:val="21"/>
              </w:rPr>
              <w:t>序号</w:t>
            </w:r>
          </w:p>
        </w:tc>
        <w:tc>
          <w:tcPr>
            <w:tcW w:w="2365" w:type="dxa"/>
            <w:noWrap w:val="0"/>
            <w:vAlign w:val="center"/>
          </w:tcPr>
          <w:p>
            <w:pPr>
              <w:adjustRightInd w:val="0"/>
              <w:snapToGrid w:val="0"/>
              <w:spacing w:line="300" w:lineRule="exact"/>
              <w:jc w:val="center"/>
              <w:rPr>
                <w:rFonts w:hint="eastAsia" w:eastAsia="黑体"/>
                <w:sz w:val="21"/>
                <w:szCs w:val="21"/>
                <w:lang w:eastAsia="zh-CN"/>
              </w:rPr>
            </w:pPr>
            <w:r>
              <w:rPr>
                <w:rFonts w:hint="eastAsia" w:eastAsia="黑体"/>
                <w:sz w:val="21"/>
                <w:szCs w:val="21"/>
              </w:rPr>
              <w:t>责任</w:t>
            </w:r>
            <w:r>
              <w:rPr>
                <w:rFonts w:hint="eastAsia" w:eastAsia="黑体"/>
                <w:sz w:val="21"/>
                <w:szCs w:val="21"/>
                <w:lang w:eastAsia="zh-CN"/>
              </w:rPr>
              <w:t>项目</w:t>
            </w:r>
          </w:p>
        </w:tc>
        <w:tc>
          <w:tcPr>
            <w:tcW w:w="10657" w:type="dxa"/>
            <w:noWrap w:val="0"/>
            <w:vAlign w:val="center"/>
          </w:tcPr>
          <w:p>
            <w:pPr>
              <w:adjustRightInd w:val="0"/>
              <w:snapToGrid w:val="0"/>
              <w:spacing w:line="300" w:lineRule="exact"/>
              <w:jc w:val="center"/>
              <w:rPr>
                <w:rFonts w:hint="eastAsia" w:eastAsia="黑体"/>
                <w:sz w:val="21"/>
                <w:szCs w:val="21"/>
                <w:lang w:eastAsia="zh-CN"/>
              </w:rPr>
            </w:pPr>
            <w:r>
              <w:rPr>
                <w:rFonts w:hint="eastAsia" w:eastAsia="黑体"/>
                <w:sz w:val="21"/>
                <w:szCs w:val="21"/>
                <w:lang w:eastAsia="zh-CN"/>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 w:type="dxa"/>
            <w:noWrap w:val="0"/>
            <w:vAlign w:val="center"/>
          </w:tcPr>
          <w:p>
            <w:pPr>
              <w:jc w:val="center"/>
              <w:rPr>
                <w:rFonts w:hint="default" w:ascii="仿宋" w:hAnsi="仿宋" w:eastAsia="仿宋" w:cs="仿宋"/>
                <w:b/>
                <w:color w:val="auto"/>
                <w:sz w:val="21"/>
                <w:szCs w:val="21"/>
                <w:shd w:val="clear" w:color="auto" w:fill="FFFFFF"/>
                <w:lang w:val="en-US" w:eastAsia="zh-CN"/>
              </w:rPr>
            </w:pPr>
            <w:r>
              <w:rPr>
                <w:rFonts w:hint="eastAsia" w:eastAsia="黑体"/>
                <w:sz w:val="21"/>
                <w:szCs w:val="21"/>
                <w:lang w:val="en-US" w:eastAsia="zh-CN"/>
              </w:rPr>
              <w:t>1</w:t>
            </w:r>
          </w:p>
        </w:tc>
        <w:tc>
          <w:tcPr>
            <w:tcW w:w="2365" w:type="dxa"/>
            <w:noWrap w:val="0"/>
            <w:vAlign w:val="center"/>
          </w:tcPr>
          <w:p>
            <w:pPr>
              <w:jc w:val="left"/>
              <w:rPr>
                <w:rFonts w:hint="eastAsia" w:ascii="仿宋" w:hAnsi="仿宋" w:eastAsia="仿宋" w:cs="仿宋"/>
                <w:b/>
                <w:color w:val="auto"/>
                <w:sz w:val="18"/>
                <w:szCs w:val="18"/>
                <w:shd w:val="clear" w:color="auto" w:fill="FFFFFF"/>
              </w:rPr>
            </w:pPr>
            <w:r>
              <w:rPr>
                <w:rFonts w:hint="eastAsia" w:eastAsia="黑体"/>
                <w:sz w:val="18"/>
                <w:szCs w:val="18"/>
              </w:rPr>
              <w:t>贯彻落实有关安全工作的规定、部署、要求</w:t>
            </w:r>
          </w:p>
        </w:tc>
        <w:tc>
          <w:tcPr>
            <w:tcW w:w="10657" w:type="dxa"/>
            <w:noWrap w:val="0"/>
            <w:vAlign w:val="top"/>
          </w:tcPr>
          <w:p>
            <w:pPr>
              <w:numPr>
                <w:ilvl w:val="0"/>
                <w:numId w:val="1"/>
              </w:numPr>
              <w:spacing w:line="300" w:lineRule="exact"/>
              <w:rPr>
                <w:rFonts w:hint="eastAsia" w:ascii="宋体" w:hAnsi="宋体" w:eastAsia="宋体" w:cs="宋体"/>
                <w:sz w:val="18"/>
                <w:szCs w:val="18"/>
              </w:rPr>
            </w:pPr>
            <w:r>
              <w:rPr>
                <w:rFonts w:hint="eastAsia" w:ascii="宋体" w:hAnsi="宋体" w:eastAsia="宋体" w:cs="宋体"/>
                <w:sz w:val="18"/>
                <w:szCs w:val="18"/>
              </w:rPr>
              <w:t>贯彻执行党中央关于安全生产的决策部署和指示精神，落实国家、行业以及上级公司有关安全生产法律法规、制度标准和工作要求，把安全生产纳入企业发展战略和整体规划。</w:t>
            </w:r>
          </w:p>
          <w:p>
            <w:pPr>
              <w:numPr>
                <w:ilvl w:val="0"/>
                <w:numId w:val="1"/>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安全生产工作遵循“安全第一、预防为主、综合治理”的方针，树立安全发展理念，坚守“发展决不能以牺牲安全为代价”的红线，保证公司安全发展。</w:t>
            </w:r>
          </w:p>
          <w:p>
            <w:pPr>
              <w:numPr>
                <w:ilvl w:val="0"/>
                <w:numId w:val="1"/>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具备法律、法规、规章、国家标准和行业标准规定的安全生产条件。如实告知从业人员作业场所和工作岗位存在的危险、危害因素、防范措施和事故应急措施，教育职工自觉承担安全生产义务。</w:t>
            </w:r>
          </w:p>
          <w:p>
            <w:pPr>
              <w:numPr>
                <w:ilvl w:val="0"/>
                <w:numId w:val="0"/>
              </w:numPr>
              <w:spacing w:line="300" w:lineRule="exact"/>
              <w:ind w:leftChars="0"/>
              <w:rPr>
                <w:rFonts w:hint="eastAsia" w:ascii="宋体" w:hAnsi="宋体" w:eastAsia="宋体" w:cs="宋体"/>
                <w:sz w:val="18"/>
                <w:szCs w:val="18"/>
              </w:rPr>
            </w:pPr>
            <w:r>
              <w:rPr>
                <w:rFonts w:hint="eastAsia" w:ascii="宋体" w:hAnsi="宋体" w:eastAsia="宋体" w:cs="宋体"/>
                <w:sz w:val="18"/>
                <w:szCs w:val="18"/>
              </w:rPr>
              <w:t>4、严格履行安全生产法定责任，建立企业全过程安全生产管理制度，做到安全责任、管理、投入、培训和应急救援“五到位”。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 w:type="dxa"/>
            <w:noWrap w:val="0"/>
            <w:vAlign w:val="center"/>
          </w:tcPr>
          <w:p>
            <w:pPr>
              <w:jc w:val="center"/>
              <w:rPr>
                <w:rFonts w:hint="eastAsia" w:eastAsia="黑体"/>
                <w:sz w:val="21"/>
                <w:szCs w:val="21"/>
                <w:lang w:val="en-US" w:eastAsia="zh-CN"/>
              </w:rPr>
            </w:pPr>
          </w:p>
          <w:p>
            <w:pPr>
              <w:jc w:val="center"/>
              <w:rPr>
                <w:rFonts w:hint="eastAsia" w:eastAsia="黑体"/>
                <w:sz w:val="21"/>
                <w:szCs w:val="21"/>
                <w:lang w:val="en-US" w:eastAsia="zh-CN"/>
              </w:rPr>
            </w:pPr>
          </w:p>
          <w:p>
            <w:pPr>
              <w:jc w:val="center"/>
              <w:rPr>
                <w:rFonts w:hint="eastAsia" w:eastAsia="黑体"/>
                <w:sz w:val="21"/>
                <w:szCs w:val="21"/>
                <w:lang w:val="en-US" w:eastAsia="zh-CN"/>
              </w:rPr>
            </w:pPr>
          </w:p>
          <w:p>
            <w:pPr>
              <w:jc w:val="center"/>
              <w:rPr>
                <w:rFonts w:hint="default" w:eastAsia="黑体"/>
                <w:sz w:val="21"/>
                <w:szCs w:val="21"/>
                <w:lang w:val="en-US" w:eastAsia="zh-CN"/>
              </w:rPr>
            </w:pPr>
            <w:r>
              <w:rPr>
                <w:rFonts w:hint="eastAsia" w:eastAsia="黑体"/>
                <w:sz w:val="21"/>
                <w:szCs w:val="21"/>
                <w:lang w:val="en-US" w:eastAsia="zh-CN"/>
              </w:rPr>
              <w:t>2</w:t>
            </w:r>
          </w:p>
        </w:tc>
        <w:tc>
          <w:tcPr>
            <w:tcW w:w="2365" w:type="dxa"/>
            <w:noWrap w:val="0"/>
            <w:vAlign w:val="center"/>
          </w:tcPr>
          <w:p>
            <w:pPr>
              <w:jc w:val="left"/>
              <w:rPr>
                <w:rFonts w:hint="eastAsia" w:eastAsia="黑体"/>
                <w:sz w:val="18"/>
                <w:szCs w:val="18"/>
              </w:rPr>
            </w:pPr>
            <w:r>
              <w:rPr>
                <w:rFonts w:hint="eastAsia" w:eastAsia="黑体"/>
                <w:sz w:val="18"/>
                <w:szCs w:val="18"/>
              </w:rPr>
              <w:t>建立健全安全生产责任制</w:t>
            </w:r>
          </w:p>
        </w:tc>
        <w:tc>
          <w:tcPr>
            <w:tcW w:w="10657" w:type="dxa"/>
            <w:noWrap w:val="0"/>
            <w:vAlign w:val="top"/>
          </w:tcPr>
          <w:p>
            <w:pPr>
              <w:numPr>
                <w:ilvl w:val="0"/>
                <w:numId w:val="2"/>
              </w:numPr>
              <w:spacing w:line="300" w:lineRule="exact"/>
              <w:rPr>
                <w:rFonts w:hint="eastAsia" w:ascii="宋体" w:hAnsi="宋体" w:eastAsia="宋体" w:cs="宋体"/>
                <w:sz w:val="18"/>
                <w:szCs w:val="18"/>
              </w:rPr>
            </w:pPr>
            <w:r>
              <w:rPr>
                <w:rFonts w:hint="eastAsia" w:ascii="宋体" w:hAnsi="宋体" w:eastAsia="宋体" w:cs="宋体"/>
                <w:sz w:val="18"/>
                <w:szCs w:val="18"/>
              </w:rPr>
              <w:t>按照“党政同责、一岗双责、齐抓共管、失职追责”和“谁主管谁负责、管业务必须管安全”要求，建立健全与本单位组织机构相适应的全员安全岗位责任制、安全岗位责任清单和各项管理制度，进行动态管理。</w:t>
            </w:r>
          </w:p>
          <w:p>
            <w:pPr>
              <w:numPr>
                <w:ilvl w:val="0"/>
                <w:numId w:val="2"/>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完善监督考核机制，严格安全生产履职绩效考核和失职责任追究，保证安全生产责任制的落实。</w:t>
            </w:r>
          </w:p>
          <w:p>
            <w:pPr>
              <w:numPr>
                <w:ilvl w:val="0"/>
                <w:numId w:val="0"/>
              </w:numPr>
              <w:spacing w:line="300" w:lineRule="exact"/>
              <w:ind w:leftChars="0"/>
              <w:rPr>
                <w:rFonts w:hint="eastAsia" w:ascii="宋体" w:hAnsi="宋体" w:eastAsia="宋体" w:cs="宋体"/>
                <w:sz w:val="18"/>
                <w:szCs w:val="18"/>
              </w:rPr>
            </w:pPr>
            <w:r>
              <w:rPr>
                <w:rFonts w:hint="eastAsia" w:ascii="宋体" w:hAnsi="宋体" w:eastAsia="宋体" w:cs="宋体"/>
                <w:sz w:val="18"/>
                <w:szCs w:val="18"/>
              </w:rPr>
              <w:t>3、落实安全生产报告制度，定期向公司党委、董事会、工会报告安全生产情况，并向全体员工公示。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 w:type="dxa"/>
            <w:noWrap w:val="0"/>
            <w:vAlign w:val="center"/>
          </w:tcPr>
          <w:p>
            <w:pPr>
              <w:jc w:val="center"/>
              <w:rPr>
                <w:rFonts w:hint="default" w:eastAsia="黑体"/>
                <w:sz w:val="21"/>
                <w:szCs w:val="21"/>
                <w:lang w:val="en-US" w:eastAsia="zh-CN"/>
              </w:rPr>
            </w:pPr>
            <w:r>
              <w:rPr>
                <w:rFonts w:hint="eastAsia" w:eastAsia="黑体"/>
                <w:sz w:val="21"/>
                <w:szCs w:val="21"/>
                <w:lang w:val="en-US" w:eastAsia="zh-CN"/>
              </w:rPr>
              <w:t>3</w:t>
            </w:r>
          </w:p>
        </w:tc>
        <w:tc>
          <w:tcPr>
            <w:tcW w:w="2365" w:type="dxa"/>
            <w:noWrap w:val="0"/>
            <w:vAlign w:val="center"/>
          </w:tcPr>
          <w:p>
            <w:pPr>
              <w:jc w:val="left"/>
              <w:rPr>
                <w:rFonts w:hint="eastAsia" w:eastAsia="黑体"/>
                <w:sz w:val="18"/>
                <w:szCs w:val="18"/>
              </w:rPr>
            </w:pPr>
            <w:r>
              <w:rPr>
                <w:rFonts w:hint="eastAsia" w:eastAsia="黑体"/>
                <w:sz w:val="18"/>
                <w:szCs w:val="18"/>
              </w:rPr>
              <w:t>建立健全安全生产工作组织机构</w:t>
            </w:r>
          </w:p>
        </w:tc>
        <w:tc>
          <w:tcPr>
            <w:tcW w:w="10657" w:type="dxa"/>
            <w:noWrap w:val="0"/>
            <w:vAlign w:val="top"/>
          </w:tcPr>
          <w:p>
            <w:pPr>
              <w:numPr>
                <w:ilvl w:val="0"/>
                <w:numId w:val="3"/>
              </w:numPr>
              <w:spacing w:line="300" w:lineRule="exact"/>
              <w:rPr>
                <w:rFonts w:hint="eastAsia" w:ascii="宋体" w:hAnsi="宋体" w:eastAsia="宋体" w:cs="宋体"/>
                <w:sz w:val="18"/>
                <w:szCs w:val="18"/>
              </w:rPr>
            </w:pPr>
            <w:r>
              <w:rPr>
                <w:rFonts w:hint="eastAsia" w:ascii="宋体" w:hAnsi="宋体" w:eastAsia="宋体" w:cs="宋体"/>
                <w:sz w:val="18"/>
                <w:szCs w:val="18"/>
              </w:rPr>
              <w:t>成立公司安全生产委员会，由公司负责人担任主任</w:t>
            </w:r>
            <w:r>
              <w:rPr>
                <w:rFonts w:hint="eastAsia" w:ascii="宋体" w:hAnsi="宋体" w:eastAsia="宋体" w:cs="宋体"/>
                <w:sz w:val="18"/>
                <w:szCs w:val="18"/>
                <w:lang w:eastAsia="zh-CN"/>
              </w:rPr>
              <w:t>，</w:t>
            </w:r>
            <w:r>
              <w:rPr>
                <w:rFonts w:hint="eastAsia" w:ascii="宋体" w:hAnsi="宋体" w:eastAsia="宋体" w:cs="宋体"/>
                <w:sz w:val="18"/>
                <w:szCs w:val="18"/>
              </w:rPr>
              <w:t>按照实际情况及时调整。</w:t>
            </w:r>
          </w:p>
          <w:p>
            <w:pPr>
              <w:numPr>
                <w:ilvl w:val="0"/>
                <w:numId w:val="3"/>
              </w:numPr>
              <w:spacing w:line="300" w:lineRule="exact"/>
              <w:ind w:left="0" w:leftChars="0" w:firstLine="0" w:firstLineChars="0"/>
              <w:rPr>
                <w:rFonts w:hint="eastAsia" w:ascii="宋体" w:hAnsi="宋体" w:eastAsia="宋体" w:cs="宋体"/>
                <w:sz w:val="18"/>
                <w:szCs w:val="18"/>
                <w:lang w:eastAsia="zh-CN"/>
              </w:rPr>
            </w:pPr>
            <w:r>
              <w:rPr>
                <w:rFonts w:hint="eastAsia" w:ascii="宋体" w:hAnsi="宋体" w:eastAsia="宋体" w:cs="宋体"/>
                <w:sz w:val="18"/>
                <w:szCs w:val="18"/>
              </w:rPr>
              <w:t>公司主要负责人、分管领导和安全生产管理人员必须具备相应的安全生产知识和管理能力，依法取得安全生产管理资格证</w:t>
            </w:r>
            <w:r>
              <w:rPr>
                <w:rFonts w:hint="eastAsia" w:ascii="宋体" w:hAnsi="宋体" w:eastAsia="宋体" w:cs="宋体"/>
                <w:sz w:val="18"/>
                <w:szCs w:val="18"/>
                <w:lang w:eastAsia="zh-CN"/>
              </w:rPr>
              <w:t>。</w:t>
            </w:r>
          </w:p>
          <w:p>
            <w:pPr>
              <w:numPr>
                <w:ilvl w:val="0"/>
                <w:numId w:val="3"/>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建立和完善安全生产保障体系，明确各部门、各岗位的安全管理职责。</w:t>
            </w:r>
          </w:p>
          <w:p>
            <w:pPr>
              <w:numPr>
                <w:ilvl w:val="0"/>
                <w:numId w:val="3"/>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根据国家和上级单位规定要求，设置安全生产监督管理机构，配备满足安全生产要求的各级安全监督人员和所需的设施器材。</w:t>
            </w:r>
          </w:p>
          <w:p>
            <w:pPr>
              <w:numPr>
                <w:ilvl w:val="0"/>
                <w:numId w:val="0"/>
              </w:numPr>
              <w:spacing w:line="300" w:lineRule="exact"/>
              <w:ind w:leftChars="0"/>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建立安全生产监督体系，健全安全生产监督网络，每月召开安全生产监督会议，并做好会议记录。安全生产监督网络要严格履行安全生产职责，布置、督促、落实企业的安全生产工作，检查安全生产工作开展情况，纠正违反安全生产规章制度的行为，严格安全生产考核，安全监督工作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 w:type="dxa"/>
            <w:noWrap w:val="0"/>
            <w:vAlign w:val="center"/>
          </w:tcPr>
          <w:p>
            <w:pPr>
              <w:jc w:val="center"/>
              <w:rPr>
                <w:rFonts w:hint="default" w:eastAsia="黑体"/>
                <w:sz w:val="21"/>
                <w:szCs w:val="21"/>
                <w:lang w:val="en-US" w:eastAsia="zh-CN"/>
              </w:rPr>
            </w:pPr>
            <w:r>
              <w:rPr>
                <w:rFonts w:hint="eastAsia" w:eastAsia="黑体"/>
                <w:sz w:val="21"/>
                <w:szCs w:val="21"/>
                <w:lang w:val="en-US" w:eastAsia="zh-CN"/>
              </w:rPr>
              <w:t>4</w:t>
            </w:r>
          </w:p>
        </w:tc>
        <w:tc>
          <w:tcPr>
            <w:tcW w:w="2365" w:type="dxa"/>
            <w:noWrap w:val="0"/>
            <w:vAlign w:val="center"/>
          </w:tcPr>
          <w:p>
            <w:pPr>
              <w:jc w:val="left"/>
              <w:rPr>
                <w:rFonts w:hint="eastAsia" w:eastAsia="黑体"/>
                <w:sz w:val="18"/>
                <w:szCs w:val="18"/>
              </w:rPr>
            </w:pPr>
            <w:r>
              <w:rPr>
                <w:rFonts w:hint="eastAsia" w:eastAsia="黑体"/>
                <w:sz w:val="18"/>
                <w:szCs w:val="18"/>
              </w:rPr>
              <w:t>制定安全生产规章制度和操作规程</w:t>
            </w:r>
          </w:p>
        </w:tc>
        <w:tc>
          <w:tcPr>
            <w:tcW w:w="10657" w:type="dxa"/>
            <w:noWrap w:val="0"/>
            <w:vAlign w:val="top"/>
          </w:tcPr>
          <w:p>
            <w:pPr>
              <w:numPr>
                <w:ilvl w:val="0"/>
                <w:numId w:val="4"/>
              </w:numPr>
              <w:spacing w:line="300" w:lineRule="exact"/>
              <w:rPr>
                <w:rFonts w:hint="eastAsia" w:ascii="宋体" w:hAnsi="宋体" w:eastAsia="宋体" w:cs="宋体"/>
                <w:sz w:val="18"/>
                <w:szCs w:val="18"/>
              </w:rPr>
            </w:pPr>
            <w:r>
              <w:rPr>
                <w:rFonts w:hint="eastAsia" w:ascii="宋体" w:hAnsi="宋体" w:eastAsia="宋体" w:cs="宋体"/>
                <w:sz w:val="18"/>
                <w:szCs w:val="18"/>
                <w:lang w:val="en-US" w:eastAsia="zh-CN"/>
              </w:rPr>
              <w:t>建立健全符合国家法律、法规及行业标准要求的各项规章制度，并发放到相关工作岗位，规范从业人员的生产作业行为。</w:t>
            </w:r>
            <w:r>
              <w:rPr>
                <w:rFonts w:hint="eastAsia" w:ascii="宋体" w:hAnsi="宋体" w:eastAsia="宋体" w:cs="宋体"/>
                <w:sz w:val="18"/>
                <w:szCs w:val="18"/>
              </w:rPr>
              <w:t>建立持续完善机制，保证安全工作制度化、规范化、标准化。</w:t>
            </w:r>
          </w:p>
          <w:p>
            <w:pPr>
              <w:numPr>
                <w:ilvl w:val="0"/>
                <w:numId w:val="4"/>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组织建立涵盖各专业、各岗位、各业务流程与安全工作相关的规章制度、现场规程、技术标准，并持续改进。</w:t>
            </w:r>
          </w:p>
          <w:p>
            <w:pPr>
              <w:numPr>
                <w:ilvl w:val="0"/>
                <w:numId w:val="0"/>
              </w:numPr>
              <w:spacing w:line="300" w:lineRule="exact"/>
              <w:ind w:leftChars="0"/>
              <w:rPr>
                <w:rFonts w:hint="eastAsia" w:ascii="宋体" w:hAnsi="宋体" w:eastAsia="宋体" w:cs="宋体"/>
                <w:sz w:val="18"/>
                <w:szCs w:val="18"/>
              </w:rPr>
            </w:pPr>
            <w:r>
              <w:rPr>
                <w:rFonts w:hint="eastAsia" w:ascii="宋体" w:hAnsi="宋体" w:eastAsia="宋体" w:cs="宋体"/>
                <w:sz w:val="18"/>
                <w:szCs w:val="18"/>
              </w:rPr>
              <w:t>3、根据实际变化情况，每年开展一次现行安全生产规章制度、标准规范有效性和执行情况评估，公布现行有效安全生产规章制度和标准规范清单。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 w:type="dxa"/>
            <w:noWrap w:val="0"/>
            <w:vAlign w:val="center"/>
          </w:tcPr>
          <w:p>
            <w:pPr>
              <w:jc w:val="center"/>
              <w:rPr>
                <w:rFonts w:hint="eastAsia" w:eastAsia="黑体"/>
                <w:sz w:val="21"/>
                <w:szCs w:val="21"/>
                <w:lang w:val="en-US" w:eastAsia="zh-CN"/>
              </w:rPr>
            </w:pPr>
          </w:p>
          <w:p>
            <w:pPr>
              <w:jc w:val="center"/>
              <w:rPr>
                <w:rFonts w:hint="eastAsia" w:eastAsia="黑体"/>
                <w:sz w:val="21"/>
                <w:szCs w:val="21"/>
                <w:lang w:val="en-US" w:eastAsia="zh-CN"/>
              </w:rPr>
            </w:pPr>
          </w:p>
          <w:p>
            <w:pPr>
              <w:jc w:val="center"/>
              <w:rPr>
                <w:rFonts w:hint="default" w:eastAsia="黑体"/>
                <w:sz w:val="21"/>
                <w:szCs w:val="21"/>
                <w:lang w:val="en-US" w:eastAsia="zh-CN"/>
              </w:rPr>
            </w:pPr>
            <w:r>
              <w:rPr>
                <w:rFonts w:hint="eastAsia" w:eastAsia="黑体"/>
                <w:sz w:val="21"/>
                <w:szCs w:val="21"/>
                <w:lang w:val="en-US" w:eastAsia="zh-CN"/>
              </w:rPr>
              <w:t>5</w:t>
            </w:r>
          </w:p>
        </w:tc>
        <w:tc>
          <w:tcPr>
            <w:tcW w:w="2365" w:type="dxa"/>
            <w:noWrap w:val="0"/>
            <w:vAlign w:val="center"/>
          </w:tcPr>
          <w:p>
            <w:pPr>
              <w:jc w:val="left"/>
              <w:rPr>
                <w:rFonts w:hint="eastAsia" w:eastAsia="黑体"/>
                <w:sz w:val="18"/>
                <w:szCs w:val="18"/>
              </w:rPr>
            </w:pPr>
            <w:r>
              <w:rPr>
                <w:rFonts w:hint="eastAsia" w:eastAsia="黑体"/>
                <w:sz w:val="18"/>
                <w:szCs w:val="18"/>
              </w:rPr>
              <w:t>保证安全生产投入的有效实施</w:t>
            </w:r>
          </w:p>
        </w:tc>
        <w:tc>
          <w:tcPr>
            <w:tcW w:w="10657" w:type="dxa"/>
            <w:noWrap w:val="0"/>
            <w:vAlign w:val="top"/>
          </w:tcPr>
          <w:p>
            <w:pPr>
              <w:numPr>
                <w:ilvl w:val="0"/>
                <w:numId w:val="5"/>
              </w:numPr>
              <w:spacing w:line="300" w:lineRule="exact"/>
              <w:rPr>
                <w:rFonts w:hint="eastAsia" w:ascii="宋体" w:hAnsi="宋体" w:eastAsia="宋体" w:cs="宋体"/>
                <w:sz w:val="18"/>
                <w:szCs w:val="18"/>
              </w:rPr>
            </w:pPr>
            <w:r>
              <w:rPr>
                <w:rFonts w:hint="eastAsia" w:ascii="宋体" w:hAnsi="宋体" w:eastAsia="宋体" w:cs="宋体"/>
                <w:sz w:val="18"/>
                <w:szCs w:val="18"/>
              </w:rPr>
              <w:t>应具备有关法律、行政法规和国家标准或者行业标准规定的安全生产条件；不具备安全生产条件的，不得从事生产经营活动。</w:t>
            </w:r>
          </w:p>
          <w:p>
            <w:pPr>
              <w:numPr>
                <w:ilvl w:val="0"/>
                <w:numId w:val="5"/>
              </w:numPr>
              <w:spacing w:line="300" w:lineRule="exact"/>
              <w:ind w:left="0" w:leftChars="0" w:firstLine="0" w:firstLineChars="0"/>
              <w:rPr>
                <w:rFonts w:hint="eastAsia" w:ascii="宋体" w:hAnsi="宋体" w:eastAsia="宋体" w:cs="宋体"/>
                <w:sz w:val="18"/>
                <w:szCs w:val="18"/>
                <w:lang w:eastAsia="zh-CN"/>
              </w:rPr>
            </w:pPr>
            <w:r>
              <w:rPr>
                <w:rFonts w:hint="eastAsia" w:ascii="宋体" w:hAnsi="宋体" w:eastAsia="宋体" w:cs="宋体"/>
                <w:sz w:val="18"/>
                <w:szCs w:val="18"/>
              </w:rPr>
              <w:t>按规定建立安全投入机制，将安全生产相关费用纳入年度预算管理并规范使用，每年制定满足安全生产需要安全生产费用提取及使用计划，确保资金投入满足安全生产条件需要</w:t>
            </w:r>
            <w:r>
              <w:rPr>
                <w:rFonts w:hint="eastAsia" w:ascii="宋体" w:hAnsi="宋体" w:eastAsia="宋体" w:cs="宋体"/>
                <w:sz w:val="18"/>
                <w:szCs w:val="18"/>
                <w:lang w:eastAsia="zh-CN"/>
              </w:rPr>
              <w:t>。</w:t>
            </w:r>
          </w:p>
          <w:p>
            <w:pPr>
              <w:numPr>
                <w:ilvl w:val="0"/>
                <w:numId w:val="0"/>
              </w:numPr>
              <w:spacing w:line="300" w:lineRule="exact"/>
              <w:ind w:leftChars="0"/>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定期组织有关部门对执行情况进行检查、考核。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 w:type="dxa"/>
            <w:noWrap w:val="0"/>
            <w:vAlign w:val="center"/>
          </w:tcPr>
          <w:p>
            <w:pPr>
              <w:jc w:val="center"/>
              <w:rPr>
                <w:rFonts w:hint="default" w:eastAsia="黑体"/>
                <w:sz w:val="21"/>
                <w:szCs w:val="21"/>
                <w:lang w:val="en-US" w:eastAsia="zh-CN"/>
              </w:rPr>
            </w:pPr>
            <w:r>
              <w:rPr>
                <w:rFonts w:hint="eastAsia" w:eastAsia="黑体"/>
                <w:sz w:val="21"/>
                <w:szCs w:val="21"/>
                <w:lang w:val="en-US" w:eastAsia="zh-CN"/>
              </w:rPr>
              <w:t>6</w:t>
            </w:r>
          </w:p>
        </w:tc>
        <w:tc>
          <w:tcPr>
            <w:tcW w:w="2365" w:type="dxa"/>
            <w:noWrap w:val="0"/>
            <w:vAlign w:val="center"/>
          </w:tcPr>
          <w:p>
            <w:pPr>
              <w:jc w:val="left"/>
              <w:rPr>
                <w:rFonts w:hint="eastAsia" w:eastAsia="黑体"/>
                <w:sz w:val="18"/>
                <w:szCs w:val="18"/>
              </w:rPr>
            </w:pPr>
            <w:r>
              <w:rPr>
                <w:rFonts w:hint="eastAsia" w:eastAsia="黑体"/>
                <w:sz w:val="18"/>
                <w:szCs w:val="18"/>
              </w:rPr>
              <w:t>开展安全生产教育和培训</w:t>
            </w:r>
          </w:p>
        </w:tc>
        <w:tc>
          <w:tcPr>
            <w:tcW w:w="10657" w:type="dxa"/>
            <w:noWrap w:val="0"/>
            <w:vAlign w:val="top"/>
          </w:tcPr>
          <w:p>
            <w:pPr>
              <w:numPr>
                <w:ilvl w:val="0"/>
                <w:numId w:val="6"/>
              </w:numPr>
              <w:spacing w:line="300" w:lineRule="exact"/>
              <w:rPr>
                <w:rFonts w:hint="eastAsia" w:ascii="宋体" w:hAnsi="宋体" w:eastAsia="宋体" w:cs="宋体"/>
                <w:sz w:val="18"/>
                <w:szCs w:val="18"/>
              </w:rPr>
            </w:pPr>
            <w:r>
              <w:rPr>
                <w:rFonts w:hint="eastAsia" w:ascii="宋体" w:hAnsi="宋体" w:eastAsia="宋体" w:cs="宋体"/>
                <w:sz w:val="18"/>
                <w:szCs w:val="18"/>
              </w:rPr>
              <w:t>制定并实施安全生产教育和培训计划。保证从业人员具备必要的安全生产知识，熟悉有关的安全生产规章制度和安全操作规程，掌握本岗位的安全操作技能，了解事故应急处理措施，知悉自身在安全生产方面的权利和义务。</w:t>
            </w:r>
          </w:p>
          <w:p>
            <w:pPr>
              <w:numPr>
                <w:ilvl w:val="0"/>
                <w:numId w:val="6"/>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组织开展企业负责人、安全管理人、生产人员安全法律法规、规章制度、规程规范学习培训，每年组织开展生产人员《安规》考试。</w:t>
            </w:r>
          </w:p>
          <w:p>
            <w:pPr>
              <w:numPr>
                <w:ilvl w:val="0"/>
                <w:numId w:val="6"/>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开展各专业安全生产培训，并按照规定进行考试、考核。特种作业人员必须按照国家法律、法规接受专门的安全培训，经考核合格取得特种作业操作资格证书后，方可上岗作业。</w:t>
            </w:r>
          </w:p>
          <w:p>
            <w:pPr>
              <w:numPr>
                <w:ilvl w:val="0"/>
                <w:numId w:val="0"/>
              </w:numPr>
              <w:spacing w:line="300" w:lineRule="exact"/>
              <w:ind w:leftChars="0"/>
              <w:rPr>
                <w:rFonts w:hint="eastAsia" w:ascii="宋体" w:hAnsi="宋体" w:eastAsia="宋体" w:cs="宋体"/>
                <w:sz w:val="18"/>
                <w:szCs w:val="18"/>
              </w:rPr>
            </w:pPr>
            <w:r>
              <w:rPr>
                <w:rFonts w:hint="eastAsia" w:ascii="宋体" w:hAnsi="宋体" w:eastAsia="宋体" w:cs="宋体"/>
                <w:sz w:val="18"/>
                <w:szCs w:val="18"/>
              </w:rPr>
              <w:t>4、按照上级或本单位安排部署，组织开展各类安全生产宣传活动。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897" w:type="dxa"/>
            <w:noWrap w:val="0"/>
            <w:vAlign w:val="center"/>
          </w:tcPr>
          <w:p>
            <w:pPr>
              <w:jc w:val="center"/>
              <w:rPr>
                <w:rFonts w:hint="default" w:eastAsia="黑体"/>
                <w:sz w:val="21"/>
                <w:szCs w:val="21"/>
                <w:lang w:val="en-US" w:eastAsia="zh-CN"/>
              </w:rPr>
            </w:pPr>
            <w:r>
              <w:rPr>
                <w:rFonts w:hint="eastAsia" w:eastAsia="黑体"/>
                <w:sz w:val="21"/>
                <w:szCs w:val="21"/>
                <w:lang w:val="en-US" w:eastAsia="zh-CN"/>
              </w:rPr>
              <w:t>7</w:t>
            </w:r>
          </w:p>
        </w:tc>
        <w:tc>
          <w:tcPr>
            <w:tcW w:w="2365" w:type="dxa"/>
            <w:noWrap w:val="0"/>
            <w:vAlign w:val="center"/>
          </w:tcPr>
          <w:p>
            <w:pPr>
              <w:jc w:val="left"/>
              <w:rPr>
                <w:rFonts w:hint="eastAsia" w:eastAsia="黑体"/>
                <w:sz w:val="18"/>
                <w:szCs w:val="18"/>
              </w:rPr>
            </w:pPr>
            <w:r>
              <w:rPr>
                <w:rFonts w:hint="eastAsia" w:eastAsia="黑体"/>
                <w:sz w:val="18"/>
                <w:szCs w:val="18"/>
              </w:rPr>
              <w:t>开展安全例行工作</w:t>
            </w:r>
          </w:p>
        </w:tc>
        <w:tc>
          <w:tcPr>
            <w:tcW w:w="10657" w:type="dxa"/>
            <w:noWrap w:val="0"/>
            <w:vAlign w:val="top"/>
          </w:tcPr>
          <w:p>
            <w:pPr>
              <w:numPr>
                <w:ilvl w:val="0"/>
                <w:numId w:val="7"/>
              </w:numPr>
              <w:spacing w:line="300" w:lineRule="exact"/>
              <w:rPr>
                <w:rFonts w:hint="eastAsia" w:ascii="宋体" w:hAnsi="宋体" w:eastAsia="宋体" w:cs="宋体"/>
                <w:sz w:val="18"/>
                <w:szCs w:val="18"/>
              </w:rPr>
            </w:pPr>
            <w:r>
              <w:rPr>
                <w:rFonts w:hint="eastAsia" w:ascii="宋体" w:hAnsi="宋体" w:eastAsia="宋体" w:cs="宋体"/>
                <w:sz w:val="18"/>
                <w:szCs w:val="18"/>
              </w:rPr>
              <w:t>每季度组织召开一次安委会会议，分析研究重大安全问题，并督促相关措施要求的落实。</w:t>
            </w:r>
          </w:p>
          <w:p>
            <w:pPr>
              <w:numPr>
                <w:ilvl w:val="0"/>
                <w:numId w:val="7"/>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组织召开年度安全工作会议、安全生产月度例会等，分析总结安全情况，布置安全生产工作。</w:t>
            </w:r>
          </w:p>
          <w:p>
            <w:pPr>
              <w:numPr>
                <w:ilvl w:val="0"/>
                <w:numId w:val="7"/>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组织制定并实施安全技术及劳动保护措施计划和反事故措施计划。</w:t>
            </w:r>
          </w:p>
          <w:p>
            <w:pPr>
              <w:numPr>
                <w:ilvl w:val="0"/>
                <w:numId w:val="7"/>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开展年度安全活动、安全生产月、专题安全日、班组安全活动等。</w:t>
            </w:r>
          </w:p>
          <w:p>
            <w:pPr>
              <w:numPr>
                <w:ilvl w:val="0"/>
                <w:numId w:val="7"/>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建立反违章的工作机制，开展违章查纠工作。</w:t>
            </w:r>
          </w:p>
          <w:p>
            <w:pPr>
              <w:numPr>
                <w:ilvl w:val="0"/>
                <w:numId w:val="7"/>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积极采取先进的安全生产技术、设备和工艺，提高安全生产科技保障水平；确保所使用的工艺装备及相关劳动工具符合安全生产要求。</w:t>
            </w:r>
          </w:p>
          <w:p>
            <w:pPr>
              <w:numPr>
                <w:ilvl w:val="0"/>
                <w:numId w:val="7"/>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统一协调管理承包、承租单位安全生产工作。</w:t>
            </w:r>
          </w:p>
          <w:p>
            <w:pPr>
              <w:numPr>
                <w:ilvl w:val="0"/>
                <w:numId w:val="7"/>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及时发现、治理和消除本单位安全事故隐患。</w:t>
            </w:r>
          </w:p>
          <w:p>
            <w:pPr>
              <w:numPr>
                <w:ilvl w:val="0"/>
                <w:numId w:val="7"/>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开展“四不两直”安全督查、季节性安全检查及其他专项安全检查。</w:t>
            </w:r>
          </w:p>
          <w:p>
            <w:pPr>
              <w:numPr>
                <w:ilvl w:val="0"/>
                <w:numId w:val="7"/>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做好特种设备安全管理、高危作业安全管理、消防安全管理、大坝安全管理</w:t>
            </w:r>
            <w:r>
              <w:rPr>
                <w:rFonts w:hint="eastAsia" w:ascii="宋体" w:hAnsi="宋体" w:eastAsia="宋体" w:cs="宋体"/>
                <w:sz w:val="18"/>
                <w:szCs w:val="18"/>
                <w:lang w:val="en-US" w:eastAsia="zh-CN"/>
              </w:rPr>
              <w:t>及</w:t>
            </w:r>
            <w:r>
              <w:rPr>
                <w:rFonts w:hint="eastAsia" w:ascii="宋体" w:hAnsi="宋体" w:eastAsia="宋体" w:cs="宋体"/>
                <w:sz w:val="18"/>
                <w:szCs w:val="18"/>
              </w:rPr>
              <w:t>法律、法规规定的其他安全生产责任。</w:t>
            </w:r>
          </w:p>
          <w:p>
            <w:pPr>
              <w:numPr>
                <w:ilvl w:val="0"/>
                <w:numId w:val="7"/>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lang w:val="en-US" w:eastAsia="zh-CN"/>
              </w:rPr>
              <w:t>做好</w:t>
            </w:r>
            <w:r>
              <w:rPr>
                <w:rFonts w:hint="eastAsia" w:ascii="宋体" w:hAnsi="宋体" w:eastAsia="宋体" w:cs="宋体"/>
                <w:sz w:val="18"/>
                <w:szCs w:val="18"/>
              </w:rPr>
              <w:t>危化品采购、储存</w:t>
            </w:r>
            <w:r>
              <w:rPr>
                <w:rFonts w:hint="eastAsia" w:ascii="宋体" w:hAnsi="宋体" w:eastAsia="宋体" w:cs="宋体"/>
                <w:sz w:val="18"/>
                <w:szCs w:val="18"/>
                <w:lang w:eastAsia="zh-CN"/>
              </w:rPr>
              <w:t>、</w:t>
            </w:r>
            <w:r>
              <w:rPr>
                <w:rFonts w:hint="eastAsia" w:ascii="宋体" w:hAnsi="宋体" w:eastAsia="宋体" w:cs="宋体"/>
                <w:sz w:val="18"/>
                <w:szCs w:val="18"/>
              </w:rPr>
              <w:t>使用</w:t>
            </w:r>
            <w:r>
              <w:rPr>
                <w:rFonts w:hint="eastAsia" w:ascii="宋体" w:hAnsi="宋体" w:eastAsia="宋体" w:cs="宋体"/>
                <w:sz w:val="18"/>
                <w:szCs w:val="18"/>
                <w:lang w:val="en-US" w:eastAsia="zh-CN"/>
              </w:rPr>
              <w:t>和</w:t>
            </w:r>
            <w:r>
              <w:rPr>
                <w:rFonts w:hint="eastAsia" w:ascii="宋体" w:hAnsi="宋体" w:eastAsia="宋体" w:cs="宋体"/>
                <w:sz w:val="18"/>
                <w:szCs w:val="18"/>
              </w:rPr>
              <w:t>危险废物收集、转运、暂存</w:t>
            </w:r>
            <w:r>
              <w:rPr>
                <w:rFonts w:hint="eastAsia" w:ascii="宋体" w:hAnsi="宋体" w:eastAsia="宋体" w:cs="宋体"/>
                <w:sz w:val="18"/>
                <w:szCs w:val="18"/>
                <w:lang w:eastAsia="zh-CN"/>
              </w:rPr>
              <w:t>、</w:t>
            </w:r>
            <w:r>
              <w:rPr>
                <w:rFonts w:hint="eastAsia" w:ascii="宋体" w:hAnsi="宋体" w:eastAsia="宋体" w:cs="宋体"/>
                <w:sz w:val="18"/>
                <w:szCs w:val="18"/>
              </w:rPr>
              <w:t>转移、处置</w:t>
            </w:r>
            <w:r>
              <w:rPr>
                <w:rFonts w:hint="eastAsia" w:ascii="宋体" w:hAnsi="宋体" w:eastAsia="宋体" w:cs="宋体"/>
                <w:sz w:val="18"/>
                <w:szCs w:val="18"/>
                <w:lang w:val="en-US" w:eastAsia="zh-CN"/>
              </w:rPr>
              <w:t>等</w:t>
            </w:r>
            <w:r>
              <w:rPr>
                <w:rFonts w:hint="eastAsia" w:ascii="宋体" w:hAnsi="宋体" w:eastAsia="宋体" w:cs="宋体"/>
                <w:sz w:val="18"/>
                <w:szCs w:val="18"/>
              </w:rPr>
              <w:t>管理</w:t>
            </w:r>
            <w:r>
              <w:rPr>
                <w:rFonts w:hint="eastAsia" w:ascii="宋体" w:hAnsi="宋体" w:eastAsia="宋体" w:cs="宋体"/>
                <w:sz w:val="18"/>
                <w:szCs w:val="18"/>
                <w:lang w:val="en-US"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 w:type="dxa"/>
            <w:noWrap w:val="0"/>
            <w:vAlign w:val="center"/>
          </w:tcPr>
          <w:p>
            <w:pPr>
              <w:jc w:val="center"/>
              <w:rPr>
                <w:rFonts w:hint="default" w:eastAsia="黑体"/>
                <w:sz w:val="21"/>
                <w:szCs w:val="21"/>
                <w:lang w:val="en-US" w:eastAsia="zh-CN"/>
              </w:rPr>
            </w:pPr>
            <w:r>
              <w:rPr>
                <w:rFonts w:hint="eastAsia" w:eastAsia="黑体"/>
                <w:sz w:val="21"/>
                <w:szCs w:val="21"/>
                <w:lang w:val="en-US" w:eastAsia="zh-CN"/>
              </w:rPr>
              <w:t>8</w:t>
            </w:r>
          </w:p>
        </w:tc>
        <w:tc>
          <w:tcPr>
            <w:tcW w:w="2365" w:type="dxa"/>
            <w:noWrap w:val="0"/>
            <w:vAlign w:val="center"/>
          </w:tcPr>
          <w:p>
            <w:pPr>
              <w:jc w:val="left"/>
              <w:rPr>
                <w:rFonts w:hint="eastAsia" w:eastAsia="黑体"/>
                <w:sz w:val="18"/>
                <w:szCs w:val="18"/>
              </w:rPr>
            </w:pPr>
            <w:r>
              <w:rPr>
                <w:rFonts w:hint="eastAsia" w:eastAsia="黑体"/>
                <w:sz w:val="18"/>
                <w:szCs w:val="18"/>
              </w:rPr>
              <w:t>开展安全生产标准化建设</w:t>
            </w:r>
          </w:p>
        </w:tc>
        <w:tc>
          <w:tcPr>
            <w:tcW w:w="10657" w:type="dxa"/>
            <w:noWrap w:val="0"/>
            <w:vAlign w:val="top"/>
          </w:tcPr>
          <w:p>
            <w:pPr>
              <w:numPr>
                <w:ilvl w:val="0"/>
                <w:numId w:val="8"/>
              </w:numPr>
              <w:spacing w:line="300" w:lineRule="exact"/>
              <w:rPr>
                <w:rFonts w:hint="eastAsia" w:ascii="宋体" w:hAnsi="宋体" w:eastAsia="宋体" w:cs="宋体"/>
                <w:sz w:val="18"/>
                <w:szCs w:val="18"/>
              </w:rPr>
            </w:pPr>
            <w:r>
              <w:rPr>
                <w:rFonts w:hint="eastAsia" w:ascii="宋体" w:hAnsi="宋体" w:eastAsia="宋体" w:cs="宋体"/>
                <w:sz w:val="18"/>
                <w:szCs w:val="18"/>
              </w:rPr>
              <w:t>以安全风险管理、隐患排查治理、职业病危害防治为基础，以安全生产责任制为核心，建立安全生产标准化管理体系，实现全员参与，全面提升安全生产管理水平，持续改进安全生产工作，不断提升安全生产绩效，预防和减少事故的发生，保障人身安全健康，保证生产经营活动的有序进行。</w:t>
            </w:r>
          </w:p>
          <w:p>
            <w:pPr>
              <w:numPr>
                <w:ilvl w:val="0"/>
                <w:numId w:val="8"/>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改善安全生产条件，推进安全生产标准化建设，提高安全生产水平，确保安全生产。</w:t>
            </w:r>
          </w:p>
          <w:p>
            <w:pPr>
              <w:numPr>
                <w:ilvl w:val="0"/>
                <w:numId w:val="0"/>
              </w:numPr>
              <w:spacing w:line="300" w:lineRule="exact"/>
              <w:ind w:leftChars="0"/>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保证新建、改建、扩建工程项目依法实施安全设施“三同时”的相关规定。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 w:type="dxa"/>
            <w:noWrap w:val="0"/>
            <w:vAlign w:val="center"/>
          </w:tcPr>
          <w:p>
            <w:pPr>
              <w:jc w:val="center"/>
              <w:rPr>
                <w:rFonts w:hint="default" w:eastAsia="黑体"/>
                <w:sz w:val="21"/>
                <w:szCs w:val="21"/>
                <w:lang w:val="en-US" w:eastAsia="zh-CN"/>
              </w:rPr>
            </w:pPr>
            <w:r>
              <w:rPr>
                <w:rFonts w:hint="eastAsia" w:eastAsia="黑体"/>
                <w:sz w:val="21"/>
                <w:szCs w:val="21"/>
                <w:lang w:val="en-US" w:eastAsia="zh-CN"/>
              </w:rPr>
              <w:t>9</w:t>
            </w:r>
          </w:p>
        </w:tc>
        <w:tc>
          <w:tcPr>
            <w:tcW w:w="2365" w:type="dxa"/>
            <w:noWrap w:val="0"/>
            <w:vAlign w:val="center"/>
          </w:tcPr>
          <w:p>
            <w:pPr>
              <w:jc w:val="left"/>
              <w:rPr>
                <w:rFonts w:hint="eastAsia" w:eastAsia="黑体"/>
                <w:sz w:val="18"/>
                <w:szCs w:val="18"/>
              </w:rPr>
            </w:pPr>
            <w:r>
              <w:rPr>
                <w:rFonts w:hint="eastAsia" w:eastAsia="黑体"/>
                <w:sz w:val="18"/>
                <w:szCs w:val="18"/>
              </w:rPr>
              <w:t>建立健全风险分级管控和隐患排查治理双重预防工作机制</w:t>
            </w:r>
          </w:p>
        </w:tc>
        <w:tc>
          <w:tcPr>
            <w:tcW w:w="10657" w:type="dxa"/>
            <w:noWrap w:val="0"/>
            <w:vAlign w:val="top"/>
          </w:tcPr>
          <w:p>
            <w:pPr>
              <w:numPr>
                <w:ilvl w:val="0"/>
                <w:numId w:val="9"/>
              </w:numPr>
              <w:spacing w:line="300" w:lineRule="exact"/>
              <w:rPr>
                <w:rFonts w:hint="eastAsia" w:ascii="宋体" w:hAnsi="宋体" w:eastAsia="宋体" w:cs="宋体"/>
                <w:sz w:val="18"/>
                <w:szCs w:val="18"/>
              </w:rPr>
            </w:pPr>
            <w:r>
              <w:rPr>
                <w:rFonts w:hint="eastAsia" w:ascii="宋体" w:hAnsi="宋体" w:eastAsia="宋体" w:cs="宋体"/>
                <w:sz w:val="18"/>
                <w:szCs w:val="18"/>
              </w:rPr>
              <w:t>组织开展电力运行风险预警管理，开展作业安全风险管控、施工风险管控、网络信息风险管控等工作，组织开展相关专业安全性评价，持续改进安全管理工作。</w:t>
            </w:r>
          </w:p>
          <w:p>
            <w:pPr>
              <w:numPr>
                <w:ilvl w:val="0"/>
                <w:numId w:val="9"/>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按照“全方位覆盖、全过程闭环”的原则，实施隐患“发现、评估、报告、治理、验收、销号”的闭环管理。保证隐患治理责任、措施、资金、期限、预案“五落实”。建立隐患排查治理定期通报工作机制。</w:t>
            </w:r>
          </w:p>
          <w:p>
            <w:pPr>
              <w:numPr>
                <w:ilvl w:val="0"/>
                <w:numId w:val="0"/>
              </w:numPr>
              <w:spacing w:line="300" w:lineRule="exact"/>
              <w:ind w:leftChars="0"/>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、按规定向政府有关部门报告重大风险、重大危险源，按规定开展重大隐患挂牌督办和治理情况“双报告”。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noWrap w:val="0"/>
            <w:vAlign w:val="center"/>
          </w:tcPr>
          <w:p>
            <w:pPr>
              <w:jc w:val="center"/>
              <w:rPr>
                <w:rFonts w:hint="default" w:eastAsia="黑体"/>
                <w:sz w:val="21"/>
                <w:szCs w:val="21"/>
                <w:lang w:val="en-US" w:eastAsia="zh-CN"/>
              </w:rPr>
            </w:pPr>
            <w:r>
              <w:rPr>
                <w:rFonts w:hint="eastAsia" w:eastAsia="黑体"/>
                <w:sz w:val="21"/>
                <w:szCs w:val="21"/>
                <w:lang w:val="en-US" w:eastAsia="zh-CN"/>
              </w:rPr>
              <w:t>10</w:t>
            </w:r>
          </w:p>
        </w:tc>
        <w:tc>
          <w:tcPr>
            <w:tcW w:w="2365" w:type="dxa"/>
            <w:noWrap w:val="0"/>
            <w:vAlign w:val="center"/>
          </w:tcPr>
          <w:p>
            <w:pPr>
              <w:jc w:val="left"/>
              <w:rPr>
                <w:rFonts w:hint="eastAsia" w:eastAsia="黑体"/>
                <w:sz w:val="18"/>
                <w:szCs w:val="18"/>
              </w:rPr>
            </w:pPr>
            <w:r>
              <w:rPr>
                <w:rFonts w:hint="eastAsia" w:eastAsia="黑体"/>
                <w:sz w:val="18"/>
                <w:szCs w:val="18"/>
              </w:rPr>
              <w:t>开展应急管理工作</w:t>
            </w:r>
          </w:p>
        </w:tc>
        <w:tc>
          <w:tcPr>
            <w:tcW w:w="10657" w:type="dxa"/>
            <w:noWrap w:val="0"/>
            <w:vAlign w:val="top"/>
          </w:tcPr>
          <w:p>
            <w:pPr>
              <w:numPr>
                <w:ilvl w:val="0"/>
                <w:numId w:val="10"/>
              </w:numPr>
              <w:spacing w:line="300" w:lineRule="exact"/>
              <w:rPr>
                <w:rFonts w:hint="eastAsia" w:ascii="宋体" w:hAnsi="宋体" w:eastAsia="宋体" w:cs="宋体"/>
                <w:sz w:val="18"/>
                <w:szCs w:val="18"/>
              </w:rPr>
            </w:pPr>
            <w:r>
              <w:rPr>
                <w:rFonts w:hint="eastAsia" w:ascii="宋体" w:hAnsi="宋体" w:eastAsia="宋体" w:cs="宋体"/>
                <w:sz w:val="18"/>
                <w:szCs w:val="18"/>
              </w:rPr>
              <w:t>按照“统一指挥、结构合理、功能实用、运转高效、反应灵敏、资源共享、保障有力”的要求，建立系统、完整的应急体系。</w:t>
            </w:r>
          </w:p>
          <w:p>
            <w:pPr>
              <w:numPr>
                <w:ilvl w:val="0"/>
                <w:numId w:val="10"/>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建立应急管理工作机制，建立健全公司应急管理工作网络，组织开展应急管理人员的培训、应急救援队伍组建。</w:t>
            </w:r>
          </w:p>
          <w:p>
            <w:pPr>
              <w:numPr>
                <w:ilvl w:val="0"/>
                <w:numId w:val="10"/>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编制完善生产安全事故综合应急预案、专项应急预案和现场处置方案，定期</w:t>
            </w:r>
            <w:r>
              <w:rPr>
                <w:rFonts w:hint="eastAsia" w:ascii="宋体" w:hAnsi="宋体" w:eastAsia="宋体" w:cs="宋体"/>
                <w:sz w:val="18"/>
                <w:szCs w:val="18"/>
                <w:lang w:val="en-US" w:eastAsia="zh-CN"/>
              </w:rPr>
              <w:t>组织</w:t>
            </w:r>
            <w:r>
              <w:rPr>
                <w:rFonts w:hint="eastAsia" w:ascii="宋体" w:hAnsi="宋体" w:eastAsia="宋体" w:cs="宋体"/>
                <w:sz w:val="18"/>
                <w:szCs w:val="18"/>
              </w:rPr>
              <w:t>开展预案的评估、评审、备案、修订、培训及演练。</w:t>
            </w:r>
          </w:p>
          <w:p>
            <w:pPr>
              <w:numPr>
                <w:ilvl w:val="0"/>
                <w:numId w:val="10"/>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配备合格足用的与本企业风险等级相适应的应急救援器材、设备和装备等物资，做好应急物质的管理工作。</w:t>
            </w:r>
          </w:p>
          <w:p>
            <w:pPr>
              <w:numPr>
                <w:ilvl w:val="0"/>
                <w:numId w:val="10"/>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组织开展应急能力建设评估工作。</w:t>
            </w:r>
          </w:p>
          <w:p>
            <w:pPr>
              <w:numPr>
                <w:ilvl w:val="0"/>
                <w:numId w:val="0"/>
              </w:numPr>
              <w:spacing w:line="300" w:lineRule="exact"/>
              <w:ind w:leftChars="0"/>
              <w:rPr>
                <w:rFonts w:hint="eastAsia" w:ascii="宋体" w:hAnsi="宋体" w:eastAsia="宋体" w:cs="宋体"/>
                <w:sz w:val="18"/>
                <w:szCs w:val="18"/>
              </w:rPr>
            </w:pPr>
            <w:r>
              <w:rPr>
                <w:rFonts w:hint="eastAsia" w:ascii="宋体" w:hAnsi="宋体" w:eastAsia="宋体" w:cs="宋体"/>
                <w:sz w:val="18"/>
                <w:szCs w:val="18"/>
              </w:rPr>
              <w:t>6、协调突发事件的应急救援，建立与政府及有关部门的协调沟通机制。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 w:type="dxa"/>
            <w:noWrap w:val="0"/>
            <w:vAlign w:val="center"/>
          </w:tcPr>
          <w:p>
            <w:pPr>
              <w:jc w:val="center"/>
              <w:rPr>
                <w:rFonts w:hint="eastAsia" w:eastAsia="黑体"/>
                <w:sz w:val="21"/>
                <w:szCs w:val="21"/>
                <w:lang w:val="en-US" w:eastAsia="zh-CN"/>
              </w:rPr>
            </w:pPr>
          </w:p>
          <w:p>
            <w:pPr>
              <w:jc w:val="center"/>
              <w:rPr>
                <w:rFonts w:hint="default" w:eastAsia="黑体"/>
                <w:sz w:val="21"/>
                <w:szCs w:val="21"/>
                <w:lang w:val="en-US" w:eastAsia="zh-CN"/>
              </w:rPr>
            </w:pPr>
            <w:r>
              <w:rPr>
                <w:rFonts w:hint="eastAsia" w:eastAsia="黑体"/>
                <w:sz w:val="21"/>
                <w:szCs w:val="21"/>
                <w:lang w:val="en-US" w:eastAsia="zh-CN"/>
              </w:rPr>
              <w:t>11</w:t>
            </w:r>
          </w:p>
        </w:tc>
        <w:tc>
          <w:tcPr>
            <w:tcW w:w="2365" w:type="dxa"/>
            <w:noWrap w:val="0"/>
            <w:vAlign w:val="center"/>
          </w:tcPr>
          <w:p>
            <w:pPr>
              <w:jc w:val="left"/>
              <w:rPr>
                <w:rFonts w:hint="eastAsia" w:eastAsia="黑体"/>
                <w:sz w:val="18"/>
                <w:szCs w:val="18"/>
              </w:rPr>
            </w:pPr>
            <w:r>
              <w:rPr>
                <w:rFonts w:hint="eastAsia" w:eastAsia="黑体"/>
                <w:sz w:val="18"/>
                <w:szCs w:val="18"/>
              </w:rPr>
              <w:t>开展职业健康卫生工作</w:t>
            </w:r>
          </w:p>
        </w:tc>
        <w:tc>
          <w:tcPr>
            <w:tcW w:w="10657" w:type="dxa"/>
            <w:noWrap w:val="0"/>
            <w:vAlign w:val="top"/>
          </w:tcPr>
          <w:p>
            <w:pPr>
              <w:numPr>
                <w:ilvl w:val="0"/>
                <w:numId w:val="11"/>
              </w:numPr>
              <w:spacing w:line="300" w:lineRule="exact"/>
              <w:rPr>
                <w:rFonts w:hint="eastAsia" w:ascii="宋体" w:hAnsi="宋体" w:eastAsia="宋体" w:cs="宋体"/>
                <w:sz w:val="18"/>
                <w:szCs w:val="18"/>
              </w:rPr>
            </w:pPr>
            <w:r>
              <w:rPr>
                <w:rFonts w:hint="eastAsia" w:ascii="宋体" w:hAnsi="宋体" w:eastAsia="宋体" w:cs="宋体"/>
                <w:sz w:val="18"/>
                <w:szCs w:val="18"/>
              </w:rPr>
              <w:t>贯彻落实国家职业健康卫，生法律、法规、标准以及上级职业健康卫生管理制度。</w:t>
            </w:r>
          </w:p>
          <w:p>
            <w:pPr>
              <w:numPr>
                <w:ilvl w:val="0"/>
                <w:numId w:val="11"/>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保证工作场所符合职业卫生要求，主动申报职业病危害项目，设置职业危害公告栏，定期进行职业病危害检测，组织劳动者职业健康检查并建立健康监护档案。</w:t>
            </w:r>
          </w:p>
          <w:p>
            <w:pPr>
              <w:numPr>
                <w:ilvl w:val="0"/>
                <w:numId w:val="11"/>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建立健全职业病防治的各项规章制度</w:t>
            </w:r>
            <w:r>
              <w:rPr>
                <w:rFonts w:hint="eastAsia" w:ascii="宋体" w:hAnsi="宋体" w:eastAsia="宋体" w:cs="宋体"/>
                <w:sz w:val="18"/>
                <w:szCs w:val="18"/>
                <w:lang w:eastAsia="zh-CN"/>
              </w:rPr>
              <w:t>，</w:t>
            </w:r>
            <w:r>
              <w:rPr>
                <w:rFonts w:hint="eastAsia" w:ascii="宋体" w:hAnsi="宋体" w:eastAsia="宋体" w:cs="宋体"/>
                <w:sz w:val="18"/>
                <w:szCs w:val="18"/>
              </w:rPr>
              <w:t>设置职业</w:t>
            </w:r>
            <w:r>
              <w:rPr>
                <w:rFonts w:hint="eastAsia" w:ascii="宋体" w:hAnsi="宋体" w:eastAsia="宋体" w:cs="宋体"/>
                <w:sz w:val="18"/>
                <w:szCs w:val="18"/>
                <w:lang w:val="en-US" w:eastAsia="zh-CN"/>
              </w:rPr>
              <w:t>病危害防治</w:t>
            </w:r>
            <w:r>
              <w:rPr>
                <w:rFonts w:hint="eastAsia" w:ascii="宋体" w:hAnsi="宋体" w:eastAsia="宋体" w:cs="宋体"/>
                <w:sz w:val="18"/>
                <w:szCs w:val="18"/>
              </w:rPr>
              <w:t>管理机构</w:t>
            </w:r>
            <w:r>
              <w:rPr>
                <w:rFonts w:hint="eastAsia" w:ascii="宋体" w:hAnsi="宋体" w:eastAsia="宋体" w:cs="宋体"/>
                <w:sz w:val="18"/>
                <w:szCs w:val="18"/>
                <w:lang w:eastAsia="zh-CN"/>
              </w:rPr>
              <w:t>，</w:t>
            </w:r>
            <w:r>
              <w:rPr>
                <w:rFonts w:hint="eastAsia" w:ascii="宋体" w:hAnsi="宋体" w:eastAsia="宋体" w:cs="宋体"/>
                <w:sz w:val="18"/>
                <w:szCs w:val="18"/>
              </w:rPr>
              <w:t>配备专职或者兼职的职业卫生管理人员，负责公司的职业病防治工作。</w:t>
            </w:r>
          </w:p>
          <w:p>
            <w:pPr>
              <w:numPr>
                <w:ilvl w:val="0"/>
                <w:numId w:val="11"/>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提供符合国家标准或者行业标准的劳动防护用品，并监督、教育从业人员按照使用规则佩戴、使用。</w:t>
            </w:r>
          </w:p>
          <w:p>
            <w:pPr>
              <w:numPr>
                <w:ilvl w:val="0"/>
                <w:numId w:val="0"/>
              </w:numPr>
              <w:spacing w:line="300" w:lineRule="exact"/>
              <w:ind w:leftChars="0"/>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、制定和实施职业卫生教育培训计划，公司主要负责人、职业卫生管理人员每年接受职业卫生培训。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noWrap w:val="0"/>
            <w:vAlign w:val="center"/>
          </w:tcPr>
          <w:p>
            <w:pPr>
              <w:jc w:val="center"/>
              <w:rPr>
                <w:rFonts w:hint="eastAsia" w:eastAsia="黑体"/>
                <w:sz w:val="21"/>
                <w:szCs w:val="21"/>
                <w:lang w:val="en-US" w:eastAsia="zh-CN"/>
              </w:rPr>
            </w:pPr>
          </w:p>
          <w:p>
            <w:pPr>
              <w:jc w:val="center"/>
              <w:rPr>
                <w:rFonts w:hint="eastAsia" w:eastAsia="黑体"/>
                <w:sz w:val="21"/>
                <w:szCs w:val="21"/>
                <w:lang w:val="en-US" w:eastAsia="zh-CN"/>
              </w:rPr>
            </w:pPr>
          </w:p>
          <w:p>
            <w:pPr>
              <w:jc w:val="center"/>
              <w:rPr>
                <w:rFonts w:hint="default" w:eastAsia="黑体"/>
                <w:sz w:val="21"/>
                <w:szCs w:val="21"/>
                <w:lang w:val="en-US" w:eastAsia="zh-CN"/>
              </w:rPr>
            </w:pPr>
            <w:r>
              <w:rPr>
                <w:rFonts w:hint="eastAsia" w:eastAsia="黑体"/>
                <w:sz w:val="21"/>
                <w:szCs w:val="21"/>
                <w:lang w:val="en-US" w:eastAsia="zh-CN"/>
              </w:rPr>
              <w:t>12</w:t>
            </w:r>
          </w:p>
        </w:tc>
        <w:tc>
          <w:tcPr>
            <w:tcW w:w="2365" w:type="dxa"/>
            <w:noWrap w:val="0"/>
            <w:vAlign w:val="center"/>
          </w:tcPr>
          <w:p>
            <w:pPr>
              <w:jc w:val="left"/>
              <w:rPr>
                <w:rFonts w:hint="eastAsia" w:eastAsia="黑体"/>
                <w:sz w:val="18"/>
                <w:szCs w:val="18"/>
              </w:rPr>
            </w:pPr>
            <w:r>
              <w:rPr>
                <w:rFonts w:hint="eastAsia" w:eastAsia="黑体"/>
                <w:sz w:val="18"/>
                <w:szCs w:val="18"/>
              </w:rPr>
              <w:t>开展安全事故（事件）调查处理</w:t>
            </w:r>
          </w:p>
        </w:tc>
        <w:tc>
          <w:tcPr>
            <w:tcW w:w="10657" w:type="dxa"/>
            <w:noWrap w:val="0"/>
            <w:vAlign w:val="top"/>
          </w:tcPr>
          <w:p>
            <w:pPr>
              <w:numPr>
                <w:ilvl w:val="0"/>
                <w:numId w:val="12"/>
              </w:numPr>
              <w:spacing w:line="300" w:lineRule="exact"/>
              <w:rPr>
                <w:rFonts w:hint="eastAsia" w:ascii="宋体" w:hAnsi="宋体" w:eastAsia="宋体" w:cs="宋体"/>
                <w:sz w:val="18"/>
                <w:szCs w:val="18"/>
              </w:rPr>
            </w:pPr>
            <w:r>
              <w:rPr>
                <w:rFonts w:hint="eastAsia" w:ascii="宋体" w:hAnsi="宋体" w:eastAsia="宋体" w:cs="宋体"/>
                <w:sz w:val="18"/>
                <w:szCs w:val="18"/>
              </w:rPr>
              <w:t>组织或参加安全事故（事件）调查、分析和处理，编发事故快报、通报，监督“四不放过”原则的贯彻落实。</w:t>
            </w:r>
          </w:p>
          <w:p>
            <w:pPr>
              <w:numPr>
                <w:ilvl w:val="0"/>
                <w:numId w:val="12"/>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按</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生产安全事故报告和调查处理条例</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国务院令493号）、《电力安全事故应急处置和调查处置条例》（国务院令599号）、《特种设备事故报告和调查处理规定》（国家质检总局令第115号）、《四川省生产安全事故报告和调查处理规定》（省政府令第225号）及相关法律法规</w:t>
            </w:r>
            <w:r>
              <w:rPr>
                <w:rFonts w:hint="eastAsia" w:ascii="宋体" w:hAnsi="宋体" w:eastAsia="宋体" w:cs="宋体"/>
                <w:sz w:val="18"/>
                <w:szCs w:val="18"/>
              </w:rPr>
              <w:t>及时、如实报告安全事故（事件），</w:t>
            </w:r>
            <w:r>
              <w:rPr>
                <w:rFonts w:hint="eastAsia" w:ascii="宋体" w:hAnsi="宋体" w:eastAsia="宋体" w:cs="宋体"/>
                <w:sz w:val="18"/>
                <w:szCs w:val="18"/>
                <w:lang w:val="en-US" w:eastAsia="zh-CN"/>
              </w:rPr>
              <w:t>事故发生事故现场人员应立即报告，单位负责人1小时内报告，</w:t>
            </w:r>
            <w:r>
              <w:rPr>
                <w:rFonts w:hint="eastAsia" w:ascii="宋体" w:hAnsi="宋体" w:eastAsia="宋体" w:cs="宋体"/>
                <w:sz w:val="18"/>
                <w:szCs w:val="18"/>
              </w:rPr>
              <w:t>定期对事故进行统计、分析，并做好向上级单位的信息报送。</w:t>
            </w:r>
          </w:p>
          <w:p>
            <w:pPr>
              <w:numPr>
                <w:ilvl w:val="0"/>
                <w:numId w:val="12"/>
              </w:numPr>
              <w:spacing w:line="30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做好事故抢险救援，妥善处理对事故伤亡人员依法赔偿等事故善后工作。</w:t>
            </w:r>
          </w:p>
          <w:p>
            <w:pPr>
              <w:numPr>
                <w:ilvl w:val="0"/>
                <w:numId w:val="0"/>
              </w:numPr>
              <w:spacing w:line="300" w:lineRule="exact"/>
              <w:ind w:leftChars="0"/>
              <w:rPr>
                <w:rFonts w:hint="eastAsia" w:ascii="宋体" w:hAnsi="宋体" w:eastAsia="宋体" w:cs="宋体"/>
                <w:sz w:val="18"/>
                <w:szCs w:val="18"/>
              </w:rPr>
            </w:pPr>
            <w:r>
              <w:rPr>
                <w:rFonts w:hint="eastAsia" w:ascii="宋体" w:hAnsi="宋体" w:eastAsia="宋体" w:cs="宋体"/>
                <w:sz w:val="18"/>
                <w:szCs w:val="18"/>
              </w:rPr>
              <w:t>4、配合上级单位的安全生产事故（事件）调查。</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22663"/>
    <w:multiLevelType w:val="singleLevel"/>
    <w:tmpl w:val="8C822663"/>
    <w:lvl w:ilvl="0" w:tentative="0">
      <w:start w:val="1"/>
      <w:numFmt w:val="decimal"/>
      <w:suff w:val="nothing"/>
      <w:lvlText w:val="%1、"/>
      <w:lvlJc w:val="left"/>
    </w:lvl>
  </w:abstractNum>
  <w:abstractNum w:abstractNumId="1">
    <w:nsid w:val="8E16F7BC"/>
    <w:multiLevelType w:val="singleLevel"/>
    <w:tmpl w:val="8E16F7BC"/>
    <w:lvl w:ilvl="0" w:tentative="0">
      <w:start w:val="1"/>
      <w:numFmt w:val="decimal"/>
      <w:suff w:val="nothing"/>
      <w:lvlText w:val="%1、"/>
      <w:lvlJc w:val="left"/>
    </w:lvl>
  </w:abstractNum>
  <w:abstractNum w:abstractNumId="2">
    <w:nsid w:val="9CEF91C6"/>
    <w:multiLevelType w:val="singleLevel"/>
    <w:tmpl w:val="9CEF91C6"/>
    <w:lvl w:ilvl="0" w:tentative="0">
      <w:start w:val="1"/>
      <w:numFmt w:val="decimal"/>
      <w:suff w:val="nothing"/>
      <w:lvlText w:val="%1、"/>
      <w:lvlJc w:val="left"/>
    </w:lvl>
  </w:abstractNum>
  <w:abstractNum w:abstractNumId="3">
    <w:nsid w:val="A456AC79"/>
    <w:multiLevelType w:val="singleLevel"/>
    <w:tmpl w:val="A456AC79"/>
    <w:lvl w:ilvl="0" w:tentative="0">
      <w:start w:val="1"/>
      <w:numFmt w:val="decimal"/>
      <w:suff w:val="nothing"/>
      <w:lvlText w:val="%1、"/>
      <w:lvlJc w:val="left"/>
    </w:lvl>
  </w:abstractNum>
  <w:abstractNum w:abstractNumId="4">
    <w:nsid w:val="C8EA4F48"/>
    <w:multiLevelType w:val="singleLevel"/>
    <w:tmpl w:val="C8EA4F48"/>
    <w:lvl w:ilvl="0" w:tentative="0">
      <w:start w:val="1"/>
      <w:numFmt w:val="decimal"/>
      <w:suff w:val="nothing"/>
      <w:lvlText w:val="%1、"/>
      <w:lvlJc w:val="left"/>
    </w:lvl>
  </w:abstractNum>
  <w:abstractNum w:abstractNumId="5">
    <w:nsid w:val="CE12A7AE"/>
    <w:multiLevelType w:val="singleLevel"/>
    <w:tmpl w:val="CE12A7AE"/>
    <w:lvl w:ilvl="0" w:tentative="0">
      <w:start w:val="1"/>
      <w:numFmt w:val="decimal"/>
      <w:suff w:val="nothing"/>
      <w:lvlText w:val="%1、"/>
      <w:lvlJc w:val="left"/>
    </w:lvl>
  </w:abstractNum>
  <w:abstractNum w:abstractNumId="6">
    <w:nsid w:val="D69459D7"/>
    <w:multiLevelType w:val="singleLevel"/>
    <w:tmpl w:val="D69459D7"/>
    <w:lvl w:ilvl="0" w:tentative="0">
      <w:start w:val="1"/>
      <w:numFmt w:val="decimal"/>
      <w:suff w:val="nothing"/>
      <w:lvlText w:val="%1、"/>
      <w:lvlJc w:val="left"/>
    </w:lvl>
  </w:abstractNum>
  <w:abstractNum w:abstractNumId="7">
    <w:nsid w:val="277B9627"/>
    <w:multiLevelType w:val="singleLevel"/>
    <w:tmpl w:val="277B9627"/>
    <w:lvl w:ilvl="0" w:tentative="0">
      <w:start w:val="1"/>
      <w:numFmt w:val="decimal"/>
      <w:suff w:val="nothing"/>
      <w:lvlText w:val="%1、"/>
      <w:lvlJc w:val="left"/>
    </w:lvl>
  </w:abstractNum>
  <w:abstractNum w:abstractNumId="8">
    <w:nsid w:val="3AB65501"/>
    <w:multiLevelType w:val="singleLevel"/>
    <w:tmpl w:val="3AB65501"/>
    <w:lvl w:ilvl="0" w:tentative="0">
      <w:start w:val="1"/>
      <w:numFmt w:val="decimal"/>
      <w:suff w:val="nothing"/>
      <w:lvlText w:val="%1、"/>
      <w:lvlJc w:val="left"/>
    </w:lvl>
  </w:abstractNum>
  <w:abstractNum w:abstractNumId="9">
    <w:nsid w:val="4E7AD09F"/>
    <w:multiLevelType w:val="singleLevel"/>
    <w:tmpl w:val="4E7AD09F"/>
    <w:lvl w:ilvl="0" w:tentative="0">
      <w:start w:val="1"/>
      <w:numFmt w:val="decimal"/>
      <w:suff w:val="nothing"/>
      <w:lvlText w:val="%1、"/>
      <w:lvlJc w:val="left"/>
    </w:lvl>
  </w:abstractNum>
  <w:abstractNum w:abstractNumId="10">
    <w:nsid w:val="5C5C05C5"/>
    <w:multiLevelType w:val="singleLevel"/>
    <w:tmpl w:val="5C5C05C5"/>
    <w:lvl w:ilvl="0" w:tentative="0">
      <w:start w:val="1"/>
      <w:numFmt w:val="decimal"/>
      <w:suff w:val="nothing"/>
      <w:lvlText w:val="%1、"/>
      <w:lvlJc w:val="left"/>
    </w:lvl>
  </w:abstractNum>
  <w:abstractNum w:abstractNumId="11">
    <w:nsid w:val="7F39938A"/>
    <w:multiLevelType w:val="singleLevel"/>
    <w:tmpl w:val="7F39938A"/>
    <w:lvl w:ilvl="0" w:tentative="0">
      <w:start w:val="1"/>
      <w:numFmt w:val="decimal"/>
      <w:suff w:val="nothing"/>
      <w:lvlText w:val="%1、"/>
      <w:lvlJc w:val="left"/>
    </w:lvl>
  </w:abstractNum>
  <w:num w:numId="1">
    <w:abstractNumId w:val="4"/>
  </w:num>
  <w:num w:numId="2">
    <w:abstractNumId w:val="6"/>
  </w:num>
  <w:num w:numId="3">
    <w:abstractNumId w:val="3"/>
  </w:num>
  <w:num w:numId="4">
    <w:abstractNumId w:val="11"/>
  </w:num>
  <w:num w:numId="5">
    <w:abstractNumId w:val="1"/>
  </w:num>
  <w:num w:numId="6">
    <w:abstractNumId w:val="10"/>
  </w:num>
  <w:num w:numId="7">
    <w:abstractNumId w:val="0"/>
  </w:num>
  <w:num w:numId="8">
    <w:abstractNumId w:val="5"/>
  </w:num>
  <w:num w:numId="9">
    <w:abstractNumId w:val="2"/>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B7A29"/>
    <w:rsid w:val="240B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Unicode MS" w:hAnsi="Arial Unicode MS" w:eastAsia="宋体"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2023-07-28T06:38:00Z</dcterms:created>
  <dc:creator>张成珊</dc:creator>
  <cp:lastModifiedBy>张成珊</cp:lastModifiedBy>
  <dcterms:modified xsi:type="dcterms:W3CDTF">2023-07-28T06:39:13Z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2B55F2358C714AF28FA0FA4FB94DF235</vt:lpwstr>
  </property>
</Properties>
</file>