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4859" w:firstLineChars="1100"/>
        <w:jc w:val="both"/>
        <w:outlineLvl w:val="0"/>
        <w:rPr>
          <w:rFonts w:hint="eastAsia" w:ascii="宋体" w:hAnsi="宋体" w:eastAsia="宋体" w:cs="宋体"/>
          <w:b/>
          <w:bCs/>
          <w:sz w:val="44"/>
          <w:szCs w:val="44"/>
          <w:lang w:val="en-US" w:eastAsia="zh-CN"/>
        </w:rPr>
      </w:pPr>
      <w:bookmarkStart w:id="0" w:name="_Toc19240"/>
      <w:r>
        <w:rPr>
          <w:rFonts w:hint="eastAsia" w:ascii="宋体" w:hAnsi="宋体" w:cs="宋体"/>
          <w:b/>
          <w:bCs/>
          <w:i w:val="0"/>
          <w:iCs w:val="0"/>
          <w:caps w:val="0"/>
          <w:color w:val="333333"/>
          <w:spacing w:val="0"/>
          <w:sz w:val="44"/>
          <w:szCs w:val="44"/>
          <w:shd w:val="clear" w:color="auto" w:fill="FFFFFF"/>
          <w:lang w:eastAsia="zh-CN"/>
        </w:rPr>
        <w:t>三、</w:t>
      </w:r>
      <w:r>
        <w:rPr>
          <w:rFonts w:hint="eastAsia" w:ascii="宋体" w:hAnsi="宋体" w:eastAsia="宋体" w:cs="宋体"/>
          <w:b/>
          <w:bCs/>
          <w:i w:val="0"/>
          <w:iCs w:val="0"/>
          <w:caps w:val="0"/>
          <w:color w:val="333333"/>
          <w:spacing w:val="0"/>
          <w:sz w:val="44"/>
          <w:szCs w:val="44"/>
          <w:shd w:val="clear" w:color="auto" w:fill="FFFFFF"/>
          <w:lang w:eastAsia="zh-CN"/>
        </w:rPr>
        <w:t>企业</w:t>
      </w:r>
      <w:r>
        <w:rPr>
          <w:rFonts w:hint="eastAsia" w:ascii="宋体" w:hAnsi="宋体" w:cs="宋体"/>
          <w:b/>
          <w:bCs/>
          <w:i w:val="0"/>
          <w:iCs w:val="0"/>
          <w:caps w:val="0"/>
          <w:color w:val="333333"/>
          <w:spacing w:val="0"/>
          <w:sz w:val="44"/>
          <w:szCs w:val="44"/>
          <w:shd w:val="clear" w:color="auto" w:fill="FFFFFF"/>
          <w:lang w:eastAsia="zh-CN"/>
        </w:rPr>
        <w:t>主体</w:t>
      </w:r>
      <w:r>
        <w:rPr>
          <w:rFonts w:hint="eastAsia" w:ascii="宋体" w:hAnsi="宋体" w:eastAsia="宋体" w:cs="宋体"/>
          <w:b/>
          <w:bCs/>
          <w:i w:val="0"/>
          <w:iCs w:val="0"/>
          <w:caps w:val="0"/>
          <w:color w:val="333333"/>
          <w:spacing w:val="0"/>
          <w:sz w:val="44"/>
          <w:szCs w:val="44"/>
          <w:shd w:val="clear" w:color="auto" w:fill="FFFFFF"/>
          <w:lang w:eastAsia="zh-CN"/>
        </w:rPr>
        <w:t>责任清单</w:t>
      </w:r>
      <w:bookmarkEnd w:id="0"/>
    </w:p>
    <w:tbl>
      <w:tblPr>
        <w:tblStyle w:val="4"/>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72"/>
        <w:gridCol w:w="1664"/>
        <w:gridCol w:w="1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9" w:type="dxa"/>
            <w:noWrap w:val="0"/>
            <w:vAlign w:val="center"/>
          </w:tcPr>
          <w:p>
            <w:pPr>
              <w:jc w:val="center"/>
              <w:rPr>
                <w:rFonts w:ascii="宋体" w:cs="宋体"/>
                <w:b/>
                <w:bCs/>
                <w:sz w:val="24"/>
              </w:rPr>
            </w:pPr>
            <w:r>
              <w:rPr>
                <w:rFonts w:hint="eastAsia" w:ascii="宋体" w:hAnsi="宋体" w:cs="宋体"/>
                <w:b/>
                <w:bCs/>
                <w:sz w:val="24"/>
              </w:rPr>
              <w:t>责任类别</w:t>
            </w:r>
          </w:p>
        </w:tc>
        <w:tc>
          <w:tcPr>
            <w:tcW w:w="572" w:type="dxa"/>
            <w:noWrap w:val="0"/>
            <w:vAlign w:val="center"/>
          </w:tcPr>
          <w:p>
            <w:pPr>
              <w:jc w:val="center"/>
              <w:rPr>
                <w:rFonts w:ascii="宋体" w:cs="宋体"/>
                <w:b/>
                <w:bCs/>
                <w:sz w:val="24"/>
              </w:rPr>
            </w:pPr>
            <w:r>
              <w:rPr>
                <w:rFonts w:hint="eastAsia" w:ascii="宋体" w:hAnsi="宋体" w:cs="宋体"/>
                <w:b/>
                <w:bCs/>
                <w:sz w:val="24"/>
              </w:rPr>
              <w:t>序号</w:t>
            </w:r>
          </w:p>
        </w:tc>
        <w:tc>
          <w:tcPr>
            <w:tcW w:w="1664"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责任类别</w:t>
            </w:r>
          </w:p>
        </w:tc>
        <w:tc>
          <w:tcPr>
            <w:tcW w:w="12019" w:type="dxa"/>
            <w:noWrap w:val="0"/>
            <w:vAlign w:val="center"/>
          </w:tcPr>
          <w:p>
            <w:pPr>
              <w:jc w:val="center"/>
              <w:rPr>
                <w:rFonts w:hint="eastAsia" w:ascii="宋体" w:eastAsia="宋体" w:cs="宋体"/>
                <w:b/>
                <w:bCs/>
                <w:sz w:val="24"/>
                <w:lang w:eastAsia="zh-CN"/>
              </w:rPr>
            </w:pPr>
            <w:r>
              <w:rPr>
                <w:rFonts w:hint="eastAsia"/>
                <w:b/>
                <w:bCs/>
                <w:sz w:val="24"/>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99" w:type="dxa"/>
            <w:vMerge w:val="restart"/>
            <w:noWrap w:val="0"/>
            <w:vAlign w:val="center"/>
          </w:tcPr>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default" w:ascii="宋体" w:eastAsia="宋体" w:cs="宋体"/>
                <w:b/>
                <w:bCs/>
                <w:sz w:val="24"/>
                <w:lang w:val="en-US" w:eastAsia="zh-CN"/>
              </w:rPr>
            </w:pPr>
            <w:r>
              <w:rPr>
                <w:rFonts w:hint="eastAsia" w:ascii="宋体" w:cs="宋体"/>
                <w:b/>
                <w:bCs/>
                <w:sz w:val="24"/>
                <w:lang w:val="en-US" w:eastAsia="zh-CN"/>
              </w:rPr>
              <w:t xml:space="preserve">    </w:t>
            </w: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pStyle w:val="3"/>
              <w:rPr>
                <w:rFonts w:ascii="宋体" w:cs="宋体"/>
                <w:b/>
                <w:bCs/>
                <w:sz w:val="24"/>
              </w:rPr>
            </w:pPr>
          </w:p>
          <w:p>
            <w:pPr>
              <w:rPr>
                <w:rFonts w:ascii="宋体" w:cs="宋体"/>
                <w:b/>
                <w:bCs/>
                <w:sz w:val="24"/>
              </w:rPr>
            </w:pPr>
          </w:p>
          <w:p>
            <w:pPr>
              <w:pStyle w:val="3"/>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both"/>
              <w:rPr>
                <w:rFonts w:hint="eastAsia" w:ascii="宋体" w:hAns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1</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安全生产</w:t>
            </w:r>
          </w:p>
          <w:p>
            <w:pPr>
              <w:jc w:val="center"/>
              <w:rPr>
                <w:rFonts w:ascii="宋体" w:hAnsi="宋体" w:cs="宋体"/>
                <w:sz w:val="22"/>
                <w:szCs w:val="22"/>
              </w:rPr>
            </w:pPr>
            <w:r>
              <w:rPr>
                <w:rFonts w:hint="eastAsia" w:ascii="宋体" w:hAnsi="宋体" w:cs="宋体"/>
                <w:sz w:val="22"/>
                <w:szCs w:val="22"/>
              </w:rPr>
              <w:t>管理</w:t>
            </w:r>
          </w:p>
        </w:tc>
        <w:tc>
          <w:tcPr>
            <w:tcW w:w="12019" w:type="dxa"/>
            <w:noWrap w:val="0"/>
            <w:vAlign w:val="center"/>
          </w:tcPr>
          <w:p>
            <w:pPr>
              <w:ind w:firstLine="480" w:firstLineChars="200"/>
              <w:jc w:val="left"/>
              <w:rPr>
                <w:rFonts w:hint="eastAsia" w:ascii="仿宋" w:hAnsi="仿宋" w:eastAsia="仿宋" w:cs="仿宋"/>
                <w:b w:val="0"/>
                <w:bCs w:val="0"/>
                <w:sz w:val="24"/>
                <w:szCs w:val="24"/>
              </w:rPr>
            </w:pPr>
            <w:r>
              <w:rPr>
                <w:rFonts w:hint="eastAsia" w:ascii="仿宋" w:hAnsi="仿宋" w:eastAsia="仿宋" w:cs="仿宋"/>
                <w:sz w:val="24"/>
                <w:szCs w:val="24"/>
              </w:rPr>
              <w:t>1、贯彻落实</w:t>
            </w:r>
            <w:r>
              <w:rPr>
                <w:rFonts w:hint="eastAsia" w:ascii="仿宋" w:hAnsi="仿宋" w:eastAsia="仿宋" w:cs="仿宋"/>
                <w:b w:val="0"/>
                <w:bCs w:val="0"/>
                <w:sz w:val="24"/>
                <w:szCs w:val="24"/>
                <w:lang w:eastAsia="zh-CN"/>
              </w:rPr>
              <w:t>安全生产法以及</w:t>
            </w:r>
            <w:r>
              <w:rPr>
                <w:rFonts w:hint="eastAsia" w:ascii="仿宋" w:hAnsi="仿宋" w:eastAsia="仿宋" w:cs="仿宋"/>
                <w:b w:val="0"/>
                <w:bCs w:val="0"/>
                <w:sz w:val="24"/>
                <w:szCs w:val="24"/>
              </w:rPr>
              <w:t>国家粮食和物资储备局制定的“一规定、两守则”，</w:t>
            </w:r>
            <w:r>
              <w:rPr>
                <w:rFonts w:hint="eastAsia" w:ascii="仿宋" w:hAnsi="仿宋" w:eastAsia="仿宋" w:cs="仿宋"/>
                <w:b w:val="0"/>
                <w:bCs w:val="0"/>
                <w:sz w:val="24"/>
                <w:szCs w:val="24"/>
                <w:lang w:eastAsia="zh-CN"/>
              </w:rPr>
              <w:t>建立完善全员</w:t>
            </w:r>
            <w:r>
              <w:rPr>
                <w:rFonts w:hint="eastAsia" w:ascii="仿宋" w:hAnsi="仿宋" w:eastAsia="仿宋" w:cs="仿宋"/>
                <w:b w:val="0"/>
                <w:bCs w:val="0"/>
                <w:sz w:val="24"/>
                <w:szCs w:val="24"/>
              </w:rPr>
              <w:t>安全生产责任制，</w:t>
            </w:r>
            <w:r>
              <w:rPr>
                <w:rFonts w:hint="eastAsia" w:ascii="仿宋" w:hAnsi="仿宋" w:eastAsia="仿宋" w:cs="仿宋"/>
                <w:b w:val="0"/>
                <w:bCs w:val="0"/>
                <w:sz w:val="24"/>
                <w:szCs w:val="24"/>
                <w:lang w:eastAsia="zh-CN"/>
              </w:rPr>
              <w:t>推进安全风险分级管控和隐患排查治理双重预防机制建设</w:t>
            </w:r>
            <w:r>
              <w:rPr>
                <w:rFonts w:hint="eastAsia" w:ascii="仿宋" w:hAnsi="仿宋" w:eastAsia="仿宋" w:cs="仿宋"/>
                <w:b w:val="0"/>
                <w:bCs w:val="0"/>
                <w:sz w:val="24"/>
                <w:szCs w:val="24"/>
              </w:rPr>
              <w:t>，确保企业</w:t>
            </w:r>
            <w:r>
              <w:rPr>
                <w:rFonts w:hint="eastAsia" w:ascii="仿宋" w:hAnsi="仿宋" w:eastAsia="仿宋" w:cs="仿宋"/>
                <w:b w:val="0"/>
                <w:bCs w:val="0"/>
                <w:sz w:val="24"/>
                <w:szCs w:val="24"/>
                <w:lang w:eastAsia="zh-CN"/>
              </w:rPr>
              <w:t>安全储粮和安全生产</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rPr>
            </w:pPr>
            <w:r>
              <w:rPr>
                <w:rFonts w:hint="eastAsia" w:ascii="仿宋" w:hAnsi="仿宋" w:eastAsia="仿宋" w:cs="仿宋"/>
                <w:b w:val="0"/>
                <w:bCs w:val="0"/>
                <w:sz w:val="24"/>
                <w:szCs w:val="24"/>
              </w:rPr>
              <w:t>2、企业的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r>
              <w:rPr>
                <w:rFonts w:hint="eastAsia" w:ascii="仿宋" w:hAnsi="仿宋" w:eastAsia="仿宋" w:cs="仿宋"/>
                <w:sz w:val="24"/>
                <w:szCs w:val="24"/>
              </w:rPr>
              <w:t>应明确各岗位的责任人员、责任范围和考核标准等内容。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落实安全生产“一岗双责”责任制，制定主要负责人、领导班子成员、各级管理人员和从业人员的安全岗位职责。</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4、建立相应的</w:t>
            </w:r>
            <w:r>
              <w:rPr>
                <w:rFonts w:hint="eastAsia" w:ascii="仿宋" w:hAnsi="仿宋" w:eastAsia="仿宋" w:cs="仿宋"/>
                <w:sz w:val="24"/>
                <w:szCs w:val="24"/>
                <w:lang w:eastAsia="zh-CN"/>
              </w:rPr>
              <w:t>安全生产</w:t>
            </w:r>
            <w:r>
              <w:rPr>
                <w:rFonts w:hint="eastAsia" w:ascii="仿宋" w:hAnsi="仿宋" w:eastAsia="仿宋" w:cs="仿宋"/>
                <w:sz w:val="24"/>
                <w:szCs w:val="24"/>
              </w:rPr>
              <w:t>管理、</w:t>
            </w:r>
            <w:r>
              <w:rPr>
                <w:rFonts w:hint="eastAsia" w:ascii="仿宋" w:hAnsi="仿宋" w:eastAsia="仿宋" w:cs="仿宋"/>
                <w:sz w:val="24"/>
                <w:szCs w:val="24"/>
                <w:lang w:eastAsia="zh-CN"/>
              </w:rPr>
              <w:t>安全生产费用提取、</w:t>
            </w:r>
            <w:r>
              <w:rPr>
                <w:rFonts w:hint="eastAsia" w:ascii="仿宋" w:hAnsi="仿宋" w:eastAsia="仿宋" w:cs="仿宋"/>
                <w:sz w:val="24"/>
                <w:szCs w:val="24"/>
              </w:rPr>
              <w:t>考核、奖惩机制。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2</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安全生产机构设置和人员配备</w:t>
            </w:r>
          </w:p>
        </w:tc>
        <w:tc>
          <w:tcPr>
            <w:tcW w:w="12019" w:type="dxa"/>
            <w:noWrap w:val="0"/>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建立</w:t>
            </w:r>
            <w:r>
              <w:rPr>
                <w:rFonts w:hint="eastAsia" w:ascii="仿宋" w:hAnsi="仿宋" w:eastAsia="仿宋" w:cs="仿宋"/>
                <w:sz w:val="24"/>
                <w:szCs w:val="24"/>
              </w:rPr>
              <w:t>安全生产领导小组，企业主要负责人担任组长。</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2、建立安全生产管理机构和</w:t>
            </w:r>
            <w:r>
              <w:rPr>
                <w:rFonts w:hint="eastAsia" w:ascii="仿宋" w:hAnsi="仿宋" w:eastAsia="仿宋" w:cs="仿宋"/>
                <w:sz w:val="24"/>
                <w:szCs w:val="24"/>
                <w:lang w:eastAsia="zh-CN"/>
              </w:rPr>
              <w:t>专职或兼职管理人员履职清单，</w:t>
            </w:r>
            <w:r>
              <w:rPr>
                <w:rFonts w:hint="eastAsia" w:ascii="仿宋" w:hAnsi="仿宋" w:eastAsia="仿宋" w:cs="仿宋"/>
                <w:sz w:val="24"/>
                <w:szCs w:val="24"/>
              </w:rPr>
              <w:t>并赋予安全管理人员</w:t>
            </w:r>
            <w:r>
              <w:rPr>
                <w:rFonts w:hint="eastAsia" w:ascii="仿宋" w:hAnsi="仿宋" w:eastAsia="仿宋" w:cs="仿宋"/>
                <w:sz w:val="24"/>
                <w:szCs w:val="24"/>
                <w:lang w:eastAsia="zh-CN"/>
              </w:rPr>
              <w:t>的</w:t>
            </w:r>
            <w:r>
              <w:rPr>
                <w:rFonts w:hint="eastAsia" w:ascii="仿宋" w:hAnsi="仿宋" w:eastAsia="仿宋" w:cs="仿宋"/>
                <w:sz w:val="24"/>
                <w:szCs w:val="24"/>
              </w:rPr>
              <w:t>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制定安全生产</w:t>
            </w:r>
          </w:p>
          <w:p>
            <w:pPr>
              <w:jc w:val="center"/>
              <w:rPr>
                <w:rFonts w:ascii="宋体" w:hAnsi="宋体" w:cs="宋体"/>
                <w:sz w:val="22"/>
                <w:szCs w:val="22"/>
              </w:rPr>
            </w:pPr>
            <w:r>
              <w:rPr>
                <w:rFonts w:hint="eastAsia" w:ascii="宋体" w:hAnsi="宋体" w:cs="宋体"/>
                <w:sz w:val="22"/>
                <w:szCs w:val="22"/>
              </w:rPr>
              <w:t>规章制度</w:t>
            </w:r>
          </w:p>
        </w:tc>
        <w:tc>
          <w:tcPr>
            <w:tcW w:w="12019" w:type="dxa"/>
            <w:noWrap w:val="0"/>
            <w:vAlign w:val="center"/>
          </w:tcPr>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建立健全安全生产各项规章制度</w:t>
            </w:r>
            <w:r>
              <w:rPr>
                <w:rFonts w:hint="eastAsia" w:ascii="仿宋" w:hAnsi="仿宋" w:eastAsia="仿宋" w:cs="仿宋"/>
                <w:sz w:val="24"/>
                <w:szCs w:val="24"/>
                <w:lang w:eastAsia="zh-CN"/>
              </w:rPr>
              <w:t>、操作规程</w:t>
            </w:r>
            <w:r>
              <w:rPr>
                <w:rFonts w:hint="eastAsia" w:ascii="仿宋" w:hAnsi="仿宋" w:eastAsia="仿宋" w:cs="仿宋"/>
                <w:sz w:val="24"/>
                <w:szCs w:val="24"/>
              </w:rPr>
              <w:t>，改善安全生产条件。</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建立和完善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3、积极推进安全生产标准化建设。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99" w:type="dxa"/>
            <w:vMerge w:val="continue"/>
            <w:noWrap w:val="0"/>
            <w:vAlign w:val="center"/>
          </w:tcPr>
          <w:p>
            <w:pPr>
              <w:jc w:val="center"/>
              <w:rPr>
                <w:rFonts w:ascii="宋体" w:hAnsi="宋体" w:cs="宋体"/>
                <w:b/>
                <w:bCs/>
                <w:sz w:val="24"/>
              </w:rPr>
            </w:pPr>
          </w:p>
        </w:tc>
        <w:tc>
          <w:tcPr>
            <w:tcW w:w="572" w:type="dxa"/>
            <w:tcBorders>
              <w:bottom w:val="single" w:color="auto" w:sz="4" w:space="0"/>
            </w:tcBorders>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4</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安全教育培训</w:t>
            </w:r>
          </w:p>
        </w:tc>
        <w:tc>
          <w:tcPr>
            <w:tcW w:w="12019" w:type="dxa"/>
            <w:noWrap w:val="0"/>
            <w:vAlign w:val="center"/>
          </w:tcPr>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sz w:val="24"/>
                <w:szCs w:val="24"/>
              </w:rPr>
              <w:t>对新入职员工进行</w:t>
            </w:r>
            <w:r>
              <w:rPr>
                <w:rFonts w:hint="eastAsia" w:ascii="仿宋" w:hAnsi="仿宋" w:eastAsia="仿宋" w:cs="仿宋"/>
                <w:sz w:val="24"/>
                <w:szCs w:val="24"/>
                <w:lang w:eastAsia="zh-CN"/>
              </w:rPr>
              <w:t>不低于</w:t>
            </w:r>
            <w:r>
              <w:rPr>
                <w:rFonts w:hint="eastAsia" w:ascii="仿宋" w:hAnsi="仿宋" w:eastAsia="仿宋" w:cs="仿宋"/>
                <w:sz w:val="24"/>
                <w:szCs w:val="24"/>
                <w:lang w:val="en-US" w:eastAsia="zh-CN"/>
              </w:rPr>
              <w:t>24学时的</w:t>
            </w:r>
            <w:r>
              <w:rPr>
                <w:rFonts w:hint="eastAsia" w:ascii="仿宋" w:hAnsi="仿宋" w:eastAsia="仿宋" w:cs="仿宋"/>
                <w:sz w:val="24"/>
                <w:szCs w:val="24"/>
              </w:rPr>
              <w:t>岗前教育培训，未经培训不得上岗</w:t>
            </w:r>
            <w:r>
              <w:rPr>
                <w:rFonts w:hint="eastAsia" w:ascii="仿宋" w:hAnsi="仿宋" w:eastAsia="仿宋" w:cs="仿宋"/>
                <w:sz w:val="24"/>
                <w:szCs w:val="24"/>
                <w:lang w:eastAsia="zh-CN"/>
              </w:rPr>
              <w:t>，企业负责人和安全管理人员初次安全培训时间不得少于</w:t>
            </w:r>
            <w:r>
              <w:rPr>
                <w:rFonts w:hint="eastAsia" w:ascii="仿宋" w:hAnsi="仿宋" w:eastAsia="仿宋" w:cs="仿宋"/>
                <w:sz w:val="24"/>
                <w:szCs w:val="24"/>
                <w:lang w:val="en-US" w:eastAsia="zh-CN"/>
              </w:rPr>
              <w:t>32学时，每年再培训时间不得少于12学时</w:t>
            </w:r>
            <w:r>
              <w:rPr>
                <w:rFonts w:hint="eastAsia" w:ascii="仿宋" w:hAnsi="仿宋" w:eastAsia="仿宋" w:cs="仿宋"/>
                <w:sz w:val="24"/>
                <w:szCs w:val="24"/>
              </w:rPr>
              <w:t>。</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b w:val="0"/>
                <w:bCs w:val="0"/>
                <w:sz w:val="24"/>
                <w:szCs w:val="24"/>
                <w:lang w:eastAsia="zh-CN"/>
              </w:rPr>
              <w:t>制定安全教育定期培训计划</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对</w:t>
            </w:r>
            <w:r>
              <w:rPr>
                <w:rFonts w:hint="eastAsia" w:ascii="仿宋" w:hAnsi="仿宋" w:eastAsia="仿宋" w:cs="仿宋"/>
                <w:sz w:val="24"/>
                <w:szCs w:val="24"/>
              </w:rPr>
              <w:t>从业人员进行各类安全培训教育。</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应要求</w:t>
            </w:r>
            <w:r>
              <w:rPr>
                <w:rFonts w:hint="eastAsia" w:ascii="仿宋" w:hAnsi="仿宋" w:eastAsia="仿宋" w:cs="仿宋"/>
                <w:sz w:val="24"/>
                <w:szCs w:val="24"/>
              </w:rPr>
              <w:t>外包</w:t>
            </w:r>
            <w:r>
              <w:rPr>
                <w:rFonts w:hint="eastAsia" w:ascii="仿宋" w:hAnsi="仿宋" w:eastAsia="仿宋" w:cs="仿宋"/>
                <w:sz w:val="24"/>
                <w:szCs w:val="24"/>
                <w:lang w:eastAsia="zh-CN"/>
              </w:rPr>
              <w:t>单位对外包</w:t>
            </w:r>
            <w:r>
              <w:rPr>
                <w:rFonts w:hint="eastAsia" w:ascii="仿宋" w:hAnsi="仿宋" w:eastAsia="仿宋" w:cs="仿宋"/>
                <w:sz w:val="24"/>
                <w:szCs w:val="24"/>
              </w:rPr>
              <w:t>作业人员</w:t>
            </w:r>
            <w:r>
              <w:rPr>
                <w:rFonts w:hint="eastAsia" w:ascii="仿宋" w:hAnsi="仿宋" w:eastAsia="仿宋" w:cs="仿宋"/>
                <w:sz w:val="24"/>
                <w:szCs w:val="24"/>
                <w:lang w:eastAsia="zh-CN"/>
              </w:rPr>
              <w:t>进行岗前安全生产教育培训，并做好记录，未经培训，不得上岗。</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企业应当教育和督促从业人员严格执行企业制定的安全生产规章制度和安全操作规程，并向从业人员如实告知作业现场和工作岗位</w:t>
            </w:r>
            <w:r>
              <w:rPr>
                <w:rFonts w:hint="eastAsia" w:ascii="仿宋" w:hAnsi="仿宋" w:eastAsia="仿宋" w:cs="仿宋"/>
                <w:sz w:val="24"/>
                <w:szCs w:val="24"/>
                <w:lang w:eastAsia="zh-CN"/>
              </w:rPr>
              <w:t>可能</w:t>
            </w:r>
            <w:r>
              <w:rPr>
                <w:rFonts w:hint="eastAsia" w:ascii="仿宋" w:hAnsi="仿宋" w:eastAsia="仿宋" w:cs="仿宋"/>
                <w:sz w:val="24"/>
                <w:szCs w:val="24"/>
              </w:rPr>
              <w:t>存在的危险因素</w:t>
            </w:r>
            <w:r>
              <w:rPr>
                <w:rFonts w:hint="eastAsia" w:ascii="仿宋" w:hAnsi="仿宋" w:eastAsia="仿宋" w:cs="仿宋"/>
                <w:sz w:val="24"/>
                <w:szCs w:val="24"/>
                <w:lang w:eastAsia="zh-CN"/>
              </w:rPr>
              <w:t>、隐患类别、</w:t>
            </w:r>
            <w:r>
              <w:rPr>
                <w:rFonts w:hint="eastAsia" w:ascii="仿宋" w:hAnsi="仿宋" w:eastAsia="仿宋" w:cs="仿宋"/>
                <w:sz w:val="24"/>
                <w:szCs w:val="24"/>
              </w:rPr>
              <w:t>防范措施以及事故应急措施。</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5、建立</w:t>
            </w:r>
            <w:r>
              <w:rPr>
                <w:rFonts w:hint="eastAsia" w:ascii="仿宋" w:hAnsi="仿宋" w:eastAsia="仿宋" w:cs="仿宋"/>
                <w:sz w:val="24"/>
                <w:szCs w:val="24"/>
              </w:rPr>
              <w:t>安全生产教育和培训档案</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设施设备</w:t>
            </w:r>
          </w:p>
          <w:p>
            <w:pPr>
              <w:jc w:val="center"/>
              <w:rPr>
                <w:rFonts w:ascii="宋体" w:hAnsi="宋体" w:cs="宋体"/>
                <w:sz w:val="22"/>
                <w:szCs w:val="22"/>
              </w:rPr>
            </w:pPr>
            <w:r>
              <w:rPr>
                <w:rFonts w:hint="eastAsia" w:ascii="宋体" w:hAnsi="宋体" w:cs="宋体"/>
                <w:sz w:val="22"/>
                <w:szCs w:val="22"/>
              </w:rPr>
              <w:t>保障</w:t>
            </w:r>
          </w:p>
        </w:tc>
        <w:tc>
          <w:tcPr>
            <w:tcW w:w="12019" w:type="dxa"/>
            <w:noWrap w:val="0"/>
            <w:vAlign w:val="center"/>
          </w:tcPr>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企业应对采用新技术、新装置设施运行前进行安全检查。</w:t>
            </w:r>
          </w:p>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加强设施设备的维修保养，并做好相应记录。</w:t>
            </w:r>
          </w:p>
          <w:p>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建立特种设备规范管理制度以及特种设备台账和档案</w:t>
            </w:r>
            <w:r>
              <w:rPr>
                <w:rFonts w:hint="eastAsia" w:ascii="仿宋" w:hAnsi="仿宋" w:eastAsia="仿宋" w:cs="仿宋"/>
                <w:sz w:val="24"/>
                <w:szCs w:val="24"/>
                <w:lang w:eastAsia="zh-CN"/>
              </w:rPr>
              <w:t>，作业人员须持证上岗。</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对特种设备定期进行安全性检测。</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、建立安全设施管理台账，严格执行安全措施管理制度。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、安全设施配备</w:t>
            </w:r>
            <w:r>
              <w:rPr>
                <w:rFonts w:hint="eastAsia" w:ascii="仿宋" w:hAnsi="仿宋" w:eastAsia="仿宋" w:cs="仿宋"/>
                <w:sz w:val="24"/>
                <w:szCs w:val="24"/>
                <w:lang w:eastAsia="zh-CN"/>
              </w:rPr>
              <w:t>应</w:t>
            </w:r>
            <w:r>
              <w:rPr>
                <w:rFonts w:hint="eastAsia" w:ascii="仿宋" w:hAnsi="仿宋" w:eastAsia="仿宋" w:cs="仿宋"/>
                <w:sz w:val="24"/>
                <w:szCs w:val="24"/>
              </w:rPr>
              <w:t>符合国家有关规定和标准。</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、安全设施</w:t>
            </w:r>
            <w:r>
              <w:rPr>
                <w:rFonts w:hint="eastAsia" w:ascii="仿宋" w:hAnsi="仿宋" w:eastAsia="仿宋" w:cs="仿宋"/>
                <w:sz w:val="24"/>
                <w:szCs w:val="24"/>
                <w:lang w:eastAsia="zh-CN"/>
              </w:rPr>
              <w:t>应有相应的管理责任人</w:t>
            </w:r>
            <w:r>
              <w:rPr>
                <w:rFonts w:hint="eastAsia" w:ascii="仿宋" w:hAnsi="仿宋" w:eastAsia="仿宋" w:cs="仿宋"/>
                <w:sz w:val="24"/>
                <w:szCs w:val="24"/>
              </w:rPr>
              <w:t>，定期检查和维护保养。</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、淘汰、停止使用危及生命安全的工艺、设备。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6</w:t>
            </w:r>
          </w:p>
        </w:tc>
        <w:tc>
          <w:tcPr>
            <w:tcW w:w="1664" w:type="dxa"/>
            <w:noWrap w:val="0"/>
            <w:vAlign w:val="center"/>
          </w:tcPr>
          <w:p>
            <w:pPr>
              <w:jc w:val="center"/>
              <w:rPr>
                <w:rFonts w:ascii="宋体" w:cs="宋体"/>
                <w:sz w:val="22"/>
                <w:szCs w:val="22"/>
              </w:rPr>
            </w:pPr>
            <w:r>
              <w:rPr>
                <w:rFonts w:hint="eastAsia" w:ascii="宋体" w:cs="宋体"/>
                <w:sz w:val="22"/>
                <w:szCs w:val="22"/>
              </w:rPr>
              <w:t>资金投入</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1、建立和落实安全生产费用管理制度。</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rPr>
              <w:t>2、按</w:t>
            </w:r>
            <w:r>
              <w:rPr>
                <w:rFonts w:hint="eastAsia" w:ascii="仿宋" w:hAnsi="仿宋" w:eastAsia="仿宋" w:cs="仿宋"/>
                <w:b w:val="0"/>
                <w:bCs w:val="0"/>
                <w:sz w:val="24"/>
                <w:szCs w:val="24"/>
                <w:lang w:eastAsia="zh-CN"/>
              </w:rPr>
              <w:t>不少于固定资产</w:t>
            </w:r>
            <w:r>
              <w:rPr>
                <w:rFonts w:hint="eastAsia" w:ascii="仿宋" w:hAnsi="仿宋" w:eastAsia="仿宋" w:cs="仿宋"/>
                <w:b w:val="0"/>
                <w:bCs w:val="0"/>
                <w:sz w:val="24"/>
                <w:szCs w:val="24"/>
                <w:lang w:val="en-US" w:eastAsia="zh-CN"/>
              </w:rPr>
              <w:t>2‰的比例</w:t>
            </w:r>
            <w:r>
              <w:rPr>
                <w:rFonts w:hint="eastAsia" w:ascii="仿宋" w:hAnsi="仿宋" w:eastAsia="仿宋" w:cs="仿宋"/>
                <w:b w:val="0"/>
                <w:bCs w:val="0"/>
                <w:sz w:val="24"/>
                <w:szCs w:val="24"/>
                <w:lang w:eastAsia="zh-CN"/>
              </w:rPr>
              <w:t>提取和</w:t>
            </w:r>
            <w:r>
              <w:rPr>
                <w:rFonts w:hint="eastAsia" w:ascii="仿宋" w:hAnsi="仿宋" w:eastAsia="仿宋" w:cs="仿宋"/>
                <w:b w:val="0"/>
                <w:bCs w:val="0"/>
                <w:sz w:val="24"/>
                <w:szCs w:val="24"/>
              </w:rPr>
              <w:t>使用安全生产费用。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3、建立安全生产经费投入</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default" w:ascii="宋体" w:cs="宋体"/>
                <w:b/>
                <w:bCs/>
                <w:sz w:val="24"/>
                <w:lang w:val="en-US" w:eastAsia="zh-CN"/>
              </w:rPr>
            </w:pPr>
            <w:r>
              <w:rPr>
                <w:rFonts w:hint="eastAsia" w:ascii="宋体" w:cs="宋体"/>
                <w:b/>
                <w:bCs/>
                <w:sz w:val="24"/>
                <w:lang w:val="en-US" w:eastAsia="zh-CN"/>
              </w:rPr>
              <w:t>7</w:t>
            </w:r>
          </w:p>
        </w:tc>
        <w:tc>
          <w:tcPr>
            <w:tcW w:w="1664" w:type="dxa"/>
            <w:noWrap w:val="0"/>
            <w:vAlign w:val="center"/>
          </w:tcPr>
          <w:p>
            <w:pPr>
              <w:jc w:val="center"/>
              <w:rPr>
                <w:rFonts w:hint="eastAsia" w:ascii="宋体" w:eastAsia="宋体" w:cs="宋体"/>
                <w:sz w:val="22"/>
                <w:szCs w:val="22"/>
                <w:lang w:eastAsia="zh-CN"/>
              </w:rPr>
            </w:pPr>
            <w:r>
              <w:rPr>
                <w:rFonts w:hint="eastAsia" w:ascii="宋体" w:cs="宋体"/>
                <w:sz w:val="22"/>
                <w:szCs w:val="22"/>
                <w:lang w:eastAsia="zh-CN"/>
              </w:rPr>
              <w:t>隐患排查和治理</w:t>
            </w:r>
          </w:p>
        </w:tc>
        <w:tc>
          <w:tcPr>
            <w:tcW w:w="12019" w:type="dxa"/>
            <w:noWrap w:val="0"/>
            <w:vAlign w:val="center"/>
          </w:tcPr>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组织事故隐患排查，对隐患进行风险自评，并登记建档</w:t>
            </w:r>
            <w:r>
              <w:rPr>
                <w:rFonts w:hint="eastAsia" w:ascii="仿宋" w:hAnsi="仿宋" w:eastAsia="仿宋" w:cs="仿宋"/>
                <w:sz w:val="24"/>
                <w:szCs w:val="24"/>
                <w:lang w:val="en-US" w:eastAsia="zh-CN"/>
              </w:rPr>
              <w:t>,对较大风险隐患，在公告栏进行告示</w:t>
            </w:r>
            <w:r>
              <w:rPr>
                <w:rFonts w:hint="eastAsia" w:ascii="仿宋" w:hAnsi="仿宋" w:eastAsia="仿宋" w:cs="仿宋"/>
                <w:sz w:val="24"/>
                <w:szCs w:val="24"/>
              </w:rPr>
              <w:t>。</w:t>
            </w:r>
          </w:p>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隐患做到限期治理，做到整改措施、责任、资金、时限和预案“五到位”。</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3、不具备整改条件的重大事故隐患，采取防范措施，纳入计划，限期整改或停止生产（使用）。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、事故整改和预防措施具体，有针对性和可操作性</w:t>
            </w:r>
            <w:r>
              <w:rPr>
                <w:rFonts w:hint="eastAsia" w:ascii="仿宋" w:hAnsi="仿宋" w:eastAsia="仿宋" w:cs="仿宋"/>
                <w:sz w:val="24"/>
                <w:szCs w:val="24"/>
                <w:lang w:eastAsia="zh-CN"/>
              </w:rPr>
              <w:t>，要落实到位</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8</w:t>
            </w:r>
          </w:p>
        </w:tc>
        <w:tc>
          <w:tcPr>
            <w:tcW w:w="1664" w:type="dxa"/>
            <w:noWrap w:val="0"/>
            <w:vAlign w:val="center"/>
          </w:tcPr>
          <w:p>
            <w:pPr>
              <w:jc w:val="center"/>
              <w:rPr>
                <w:rFonts w:hint="eastAsia" w:ascii="宋体" w:cs="宋体"/>
                <w:sz w:val="22"/>
                <w:szCs w:val="22"/>
              </w:rPr>
            </w:pPr>
            <w:r>
              <w:rPr>
                <w:rFonts w:hint="eastAsia" w:ascii="宋体" w:cs="宋体"/>
                <w:sz w:val="22"/>
                <w:szCs w:val="22"/>
              </w:rPr>
              <w:t>事故报告</w:t>
            </w:r>
          </w:p>
          <w:p>
            <w:pPr>
              <w:jc w:val="center"/>
              <w:rPr>
                <w:rFonts w:ascii="宋体" w:cs="宋体"/>
                <w:sz w:val="22"/>
                <w:szCs w:val="22"/>
              </w:rPr>
            </w:pPr>
            <w:r>
              <w:rPr>
                <w:rFonts w:hint="eastAsia" w:ascii="宋体" w:cs="宋体"/>
                <w:sz w:val="22"/>
                <w:szCs w:val="22"/>
              </w:rPr>
              <w:t>和应急救援</w:t>
            </w:r>
          </w:p>
        </w:tc>
        <w:tc>
          <w:tcPr>
            <w:tcW w:w="12019" w:type="dxa"/>
            <w:noWrap w:val="0"/>
            <w:vAlign w:val="center"/>
          </w:tcPr>
          <w:p>
            <w:pPr>
              <w:widowControl w:val="0"/>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1、发生生产安全事故后，事故现场有关人员应当立即报告企业负责人，企业应立即组织抢救并及时、如实向上级主管部门和属地安全监管部门上报生产安全事故。</w:t>
            </w:r>
          </w:p>
          <w:p>
            <w:pPr>
              <w:widowControl w:val="0"/>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2、</w:t>
            </w:r>
            <w:r>
              <w:rPr>
                <w:rFonts w:hint="eastAsia" w:ascii="仿宋" w:hAnsi="仿宋" w:eastAsia="仿宋" w:cs="仿宋"/>
                <w:b w:val="0"/>
                <w:bCs w:val="0"/>
                <w:sz w:val="24"/>
                <w:szCs w:val="24"/>
              </w:rPr>
              <w:t>制定</w:t>
            </w:r>
            <w:r>
              <w:rPr>
                <w:rFonts w:hint="eastAsia" w:ascii="仿宋" w:hAnsi="仿宋" w:eastAsia="仿宋" w:cs="仿宋"/>
                <w:b w:val="0"/>
                <w:bCs w:val="0"/>
                <w:sz w:val="24"/>
                <w:szCs w:val="24"/>
                <w:lang w:eastAsia="zh-CN"/>
              </w:rPr>
              <w:t>（修订）</w:t>
            </w:r>
            <w:r>
              <w:rPr>
                <w:rFonts w:hint="eastAsia" w:ascii="仿宋" w:hAnsi="仿宋" w:eastAsia="仿宋" w:cs="仿宋"/>
                <w:b w:val="0"/>
                <w:bCs w:val="0"/>
                <w:sz w:val="24"/>
                <w:szCs w:val="24"/>
              </w:rPr>
              <w:t>符合企业实际</w:t>
            </w:r>
            <w:r>
              <w:rPr>
                <w:rFonts w:hint="eastAsia" w:ascii="仿宋" w:hAnsi="仿宋" w:eastAsia="仿宋" w:cs="仿宋"/>
                <w:b w:val="0"/>
                <w:bCs w:val="0"/>
                <w:sz w:val="24"/>
                <w:szCs w:val="24"/>
                <w:lang w:eastAsia="zh-CN"/>
              </w:rPr>
              <w:t>和</w:t>
            </w:r>
            <w:r>
              <w:rPr>
                <w:rFonts w:hint="eastAsia" w:ascii="仿宋" w:hAnsi="仿宋" w:eastAsia="仿宋" w:cs="仿宋"/>
                <w:b w:val="0"/>
                <w:bCs w:val="0"/>
                <w:sz w:val="24"/>
                <w:szCs w:val="24"/>
              </w:rPr>
              <w:t>相关标准要求</w:t>
            </w:r>
            <w:r>
              <w:rPr>
                <w:rFonts w:hint="eastAsia" w:ascii="仿宋" w:hAnsi="仿宋" w:eastAsia="仿宋" w:cs="仿宋"/>
                <w:b w:val="0"/>
                <w:bCs w:val="0"/>
                <w:sz w:val="24"/>
                <w:szCs w:val="24"/>
                <w:lang w:eastAsia="zh-CN"/>
              </w:rPr>
              <w:t>的</w:t>
            </w:r>
            <w:r>
              <w:rPr>
                <w:rFonts w:hint="eastAsia" w:ascii="仿宋" w:hAnsi="仿宋" w:eastAsia="仿宋" w:cs="仿宋"/>
                <w:b w:val="0"/>
                <w:bCs w:val="0"/>
                <w:sz w:val="24"/>
                <w:szCs w:val="24"/>
              </w:rPr>
              <w:t>生产安全事故应急预案</w:t>
            </w:r>
            <w:r>
              <w:rPr>
                <w:rFonts w:hint="eastAsia" w:ascii="仿宋" w:hAnsi="仿宋" w:eastAsia="仿宋" w:cs="仿宋"/>
                <w:b w:val="0"/>
                <w:bCs w:val="0"/>
                <w:sz w:val="24"/>
                <w:szCs w:val="24"/>
                <w:lang w:eastAsia="zh-CN"/>
              </w:rPr>
              <w:t>前要进行应急救援资源调查</w:t>
            </w:r>
            <w:r>
              <w:rPr>
                <w:rFonts w:hint="eastAsia" w:ascii="仿宋" w:hAnsi="仿宋" w:eastAsia="仿宋" w:cs="仿宋"/>
                <w:b w:val="0"/>
                <w:bCs w:val="0"/>
                <w:sz w:val="24"/>
                <w:szCs w:val="24"/>
              </w:rPr>
              <w:t>。</w:t>
            </w:r>
          </w:p>
          <w:p>
            <w:pPr>
              <w:numPr>
                <w:ilvl w:val="0"/>
                <w:numId w:val="4"/>
              </w:numPr>
              <w:ind w:left="0" w:leftChars="0"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定期进行</w:t>
            </w:r>
            <w:r>
              <w:rPr>
                <w:rFonts w:hint="eastAsia" w:ascii="仿宋" w:hAnsi="仿宋" w:eastAsia="仿宋" w:cs="仿宋"/>
                <w:b w:val="0"/>
                <w:bCs w:val="0"/>
                <w:sz w:val="24"/>
                <w:szCs w:val="24"/>
              </w:rPr>
              <w:t>安全生产应急救援演练，进行演练效果评价</w:t>
            </w:r>
            <w:r>
              <w:rPr>
                <w:rFonts w:hint="eastAsia" w:ascii="仿宋" w:hAnsi="仿宋" w:eastAsia="仿宋" w:cs="仿宋"/>
                <w:b w:val="0"/>
                <w:bCs w:val="0"/>
                <w:sz w:val="24"/>
                <w:szCs w:val="24"/>
                <w:lang w:eastAsia="zh-CN"/>
              </w:rPr>
              <w:t>。</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制定（修订）后</w:t>
            </w:r>
            <w:r>
              <w:rPr>
                <w:rFonts w:hint="eastAsia" w:ascii="仿宋" w:hAnsi="仿宋" w:eastAsia="仿宋" w:cs="仿宋"/>
                <w:b w:val="0"/>
                <w:bCs w:val="0"/>
                <w:sz w:val="24"/>
                <w:szCs w:val="24"/>
              </w:rPr>
              <w:t>应报备企业主管部门</w:t>
            </w:r>
            <w:r>
              <w:rPr>
                <w:rFonts w:hint="eastAsia" w:ascii="仿宋" w:hAnsi="仿宋" w:eastAsia="仿宋" w:cs="仿宋"/>
                <w:b w:val="0"/>
                <w:bCs w:val="0"/>
                <w:sz w:val="24"/>
                <w:szCs w:val="24"/>
                <w:lang w:eastAsia="zh-CN"/>
              </w:rPr>
              <w:t>和属地安全监管部门，并建立应急抢险队伍</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、企业应积极配合相关安全生产执法部门</w:t>
            </w:r>
            <w:r>
              <w:rPr>
                <w:rFonts w:hint="eastAsia" w:ascii="仿宋" w:hAnsi="仿宋" w:eastAsia="仿宋" w:cs="仿宋"/>
                <w:b w:val="0"/>
                <w:bCs w:val="0"/>
                <w:sz w:val="24"/>
                <w:szCs w:val="24"/>
                <w:lang w:eastAsia="zh-CN"/>
              </w:rPr>
              <w:t>对事故的</w:t>
            </w:r>
            <w:r>
              <w:rPr>
                <w:rFonts w:hint="eastAsia" w:ascii="仿宋" w:hAnsi="仿宋" w:eastAsia="仿宋" w:cs="仿宋"/>
                <w:b w:val="0"/>
                <w:bCs w:val="0"/>
                <w:sz w:val="24"/>
                <w:szCs w:val="24"/>
              </w:rPr>
              <w:t>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cs="宋体"/>
                <w:b/>
                <w:bCs/>
                <w:sz w:val="24"/>
                <w:lang w:val="en-US" w:eastAsia="zh-CN"/>
              </w:rPr>
            </w:pPr>
            <w:r>
              <w:rPr>
                <w:rFonts w:hint="eastAsia" w:ascii="宋体" w:hAnsi="宋体" w:cs="宋体"/>
                <w:b/>
                <w:bCs/>
                <w:sz w:val="24"/>
                <w:lang w:val="en-US" w:eastAsia="zh-CN"/>
              </w:rPr>
              <w:t>9</w:t>
            </w:r>
          </w:p>
        </w:tc>
        <w:tc>
          <w:tcPr>
            <w:tcW w:w="1664" w:type="dxa"/>
            <w:noWrap w:val="0"/>
            <w:vAlign w:val="center"/>
          </w:tcPr>
          <w:p>
            <w:pPr>
              <w:jc w:val="center"/>
              <w:rPr>
                <w:rFonts w:hint="eastAsia" w:ascii="宋体" w:hAnsi="宋体" w:cs="宋体"/>
                <w:sz w:val="22"/>
                <w:szCs w:val="22"/>
              </w:rPr>
            </w:pPr>
            <w:r>
              <w:rPr>
                <w:rFonts w:hint="eastAsia" w:ascii="宋体" w:cs="宋体"/>
                <w:b w:val="0"/>
                <w:bCs w:val="0"/>
                <w:sz w:val="22"/>
                <w:szCs w:val="22"/>
                <w:lang w:eastAsia="zh-CN"/>
              </w:rPr>
              <w:t>粮食和物资储备的安全管理</w:t>
            </w:r>
          </w:p>
        </w:tc>
        <w:tc>
          <w:tcPr>
            <w:tcW w:w="12019" w:type="dxa"/>
            <w:noWrap w:val="0"/>
            <w:vAlign w:val="center"/>
          </w:tcPr>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严格落实储粮（物）安全管理制度，确保粮食（物资）储备安全。</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配备专职保管员对粮食（物资）进行管理。</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落实粮情（物资）检查制度，定期检查粮食（物资）的保管（养护）情况，并如实记录。</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做好粮食（物资）的防潮、防虫措施以及防火、防汛应急物资的落实情况。</w:t>
            </w:r>
          </w:p>
          <w:p>
            <w:pPr>
              <w:numPr>
                <w:ilvl w:val="0"/>
                <w:numId w:val="5"/>
              </w:numPr>
              <w:ind w:left="420" w:leftChars="0" w:firstLineChars="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应当按设计规范或行业标准及要求装粮、堆码储备物资。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危化品</w:t>
            </w:r>
          </w:p>
          <w:p>
            <w:pPr>
              <w:jc w:val="center"/>
              <w:rPr>
                <w:rFonts w:hint="eastAsia" w:ascii="宋体" w:hAnsi="宋体" w:eastAsia="宋体" w:cs="宋体"/>
                <w:sz w:val="22"/>
                <w:szCs w:val="22"/>
                <w:lang w:eastAsia="zh-CN"/>
              </w:rPr>
            </w:pPr>
            <w:r>
              <w:rPr>
                <w:rFonts w:hint="eastAsia" w:ascii="宋体" w:hAnsi="宋体" w:cs="宋体"/>
                <w:sz w:val="22"/>
                <w:szCs w:val="22"/>
              </w:rPr>
              <w:t>安全</w:t>
            </w:r>
            <w:r>
              <w:rPr>
                <w:rFonts w:hint="eastAsia" w:ascii="宋体" w:hAnsi="宋体" w:cs="宋体"/>
                <w:sz w:val="22"/>
                <w:szCs w:val="22"/>
                <w:lang w:eastAsia="zh-CN"/>
              </w:rPr>
              <w:t>管理</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1、熏蒸药品的运输、</w:t>
            </w:r>
            <w:r>
              <w:rPr>
                <w:rFonts w:hint="eastAsia" w:ascii="仿宋" w:hAnsi="仿宋" w:eastAsia="仿宋" w:cs="仿宋"/>
                <w:sz w:val="24"/>
                <w:szCs w:val="24"/>
                <w:lang w:eastAsia="zh-CN"/>
              </w:rPr>
              <w:t>临时</w:t>
            </w:r>
            <w:r>
              <w:rPr>
                <w:rFonts w:hint="eastAsia" w:ascii="仿宋" w:hAnsi="仿宋" w:eastAsia="仿宋" w:cs="仿宋"/>
                <w:sz w:val="24"/>
                <w:szCs w:val="24"/>
              </w:rPr>
              <w:t>保管与使用必须按照国家有关规定和粮食行业“一规定、两守则”的相关规定进行。</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2、严格执行熏蒸药剂零库存管理制度。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3、严格执行化学药品</w:t>
            </w:r>
            <w:r>
              <w:rPr>
                <w:rFonts w:hint="eastAsia" w:ascii="仿宋" w:hAnsi="仿宋" w:eastAsia="仿宋" w:cs="仿宋"/>
                <w:sz w:val="24"/>
                <w:szCs w:val="24"/>
                <w:lang w:eastAsia="zh-CN"/>
              </w:rPr>
              <w:t>审批以及</w:t>
            </w:r>
            <w:r>
              <w:rPr>
                <w:rFonts w:hint="eastAsia" w:ascii="仿宋" w:hAnsi="仿宋" w:eastAsia="仿宋" w:cs="仿宋"/>
                <w:sz w:val="24"/>
                <w:szCs w:val="24"/>
              </w:rPr>
              <w:t>“五双”管理制度（双人、双锁、双帐、双收、双发）。</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4、粮食熏蒸化学药品库应与办公区、员工休息区（宿舍）分开，</w:t>
            </w:r>
            <w:r>
              <w:rPr>
                <w:rFonts w:hint="eastAsia" w:ascii="仿宋" w:hAnsi="仿宋" w:eastAsia="仿宋" w:cs="仿宋"/>
                <w:b w:val="0"/>
                <w:bCs w:val="0"/>
                <w:sz w:val="24"/>
                <w:szCs w:val="24"/>
                <w:lang w:eastAsia="zh-CN"/>
              </w:rPr>
              <w:t>且远离居民区和水源地，</w:t>
            </w:r>
            <w:r>
              <w:rPr>
                <w:rFonts w:hint="eastAsia" w:ascii="仿宋" w:hAnsi="仿宋" w:eastAsia="仿宋" w:cs="仿宋"/>
                <w:b w:val="0"/>
                <w:bCs w:val="0"/>
                <w:sz w:val="24"/>
                <w:szCs w:val="24"/>
              </w:rPr>
              <w:t>安全距离符合要求。</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、药品库应做到防潮、防漏，有排风换气装置，有防火、防盗</w:t>
            </w:r>
            <w:r>
              <w:rPr>
                <w:rFonts w:hint="eastAsia" w:ascii="仿宋" w:hAnsi="仿宋" w:eastAsia="仿宋" w:cs="仿宋"/>
                <w:b w:val="0"/>
                <w:bCs w:val="0"/>
                <w:sz w:val="24"/>
                <w:szCs w:val="24"/>
                <w:lang w:eastAsia="zh-CN"/>
              </w:rPr>
              <w:t>等</w:t>
            </w:r>
            <w:r>
              <w:rPr>
                <w:rFonts w:hint="eastAsia" w:ascii="仿宋" w:hAnsi="仿宋" w:eastAsia="仿宋" w:cs="仿宋"/>
                <w:b w:val="0"/>
                <w:bCs w:val="0"/>
                <w:sz w:val="24"/>
                <w:szCs w:val="24"/>
              </w:rPr>
              <w:t>人防技防安全措施，</w:t>
            </w:r>
            <w:r>
              <w:rPr>
                <w:rFonts w:hint="eastAsia" w:ascii="仿宋" w:hAnsi="仿宋" w:eastAsia="仿宋" w:cs="仿宋"/>
                <w:b w:val="0"/>
                <w:bCs w:val="0"/>
                <w:sz w:val="24"/>
                <w:szCs w:val="24"/>
                <w:lang w:eastAsia="zh-CN"/>
              </w:rPr>
              <w:t>须安装防爆电器，</w:t>
            </w:r>
            <w:r>
              <w:rPr>
                <w:rFonts w:hint="eastAsia" w:ascii="仿宋" w:hAnsi="仿宋" w:eastAsia="仿宋" w:cs="仿宋"/>
                <w:b w:val="0"/>
                <w:bCs w:val="0"/>
                <w:sz w:val="24"/>
                <w:szCs w:val="24"/>
              </w:rPr>
              <w:t>有醒目安全</w:t>
            </w:r>
            <w:r>
              <w:rPr>
                <w:rFonts w:hint="eastAsia" w:ascii="仿宋" w:hAnsi="仿宋" w:eastAsia="仿宋" w:cs="仿宋"/>
                <w:b w:val="0"/>
                <w:bCs w:val="0"/>
                <w:sz w:val="24"/>
                <w:szCs w:val="24"/>
                <w:lang w:eastAsia="zh-CN"/>
              </w:rPr>
              <w:t>标识</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p>
          <w:p>
            <w:pPr>
              <w:jc w:val="center"/>
              <w:rPr>
                <w:rFonts w:ascii="宋体" w:hAnsi="宋体" w:cs="宋体"/>
                <w:b/>
                <w:bCs/>
                <w:sz w:val="24"/>
              </w:rPr>
            </w:pPr>
          </w:p>
          <w:p>
            <w:pPr>
              <w:jc w:val="both"/>
              <w:rPr>
                <w:rFonts w:ascii="宋体" w:hAnsi="宋体" w:cs="宋体"/>
                <w:b/>
                <w:bCs/>
                <w:sz w:val="24"/>
              </w:rPr>
            </w:pPr>
          </w:p>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11</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tc>
        <w:tc>
          <w:tcPr>
            <w:tcW w:w="1664" w:type="dxa"/>
            <w:noWrap w:val="0"/>
            <w:vAlign w:val="center"/>
          </w:tcPr>
          <w:p>
            <w:pPr>
              <w:ind w:firstLine="440" w:firstLineChars="200"/>
              <w:jc w:val="center"/>
              <w:rPr>
                <w:rFonts w:ascii="宋体" w:cs="宋体"/>
                <w:sz w:val="22"/>
                <w:szCs w:val="22"/>
              </w:rPr>
            </w:pPr>
          </w:p>
          <w:p>
            <w:pPr>
              <w:jc w:val="center"/>
              <w:rPr>
                <w:rFonts w:ascii="宋体" w:cs="宋体"/>
                <w:sz w:val="22"/>
                <w:szCs w:val="22"/>
              </w:rPr>
            </w:pPr>
            <w:r>
              <w:rPr>
                <w:rFonts w:hint="eastAsia" w:ascii="宋体" w:cs="宋体"/>
                <w:sz w:val="22"/>
                <w:szCs w:val="22"/>
              </w:rPr>
              <w:t>危化品防护措施</w:t>
            </w:r>
            <w:r>
              <w:rPr>
                <w:rFonts w:hint="eastAsia" w:ascii="宋体" w:cs="宋体"/>
                <w:sz w:val="22"/>
                <w:szCs w:val="22"/>
                <w:lang w:eastAsia="zh-CN"/>
              </w:rPr>
              <w:t>及</w:t>
            </w:r>
            <w:r>
              <w:rPr>
                <w:rFonts w:hint="eastAsia" w:ascii="宋体" w:cs="宋体"/>
                <w:sz w:val="22"/>
                <w:szCs w:val="22"/>
              </w:rPr>
              <w:t>应急救援管理</w:t>
            </w:r>
          </w:p>
        </w:tc>
        <w:tc>
          <w:tcPr>
            <w:tcW w:w="12019" w:type="dxa"/>
            <w:noWrap w:val="0"/>
            <w:vAlign w:val="center"/>
          </w:tcPr>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为从业人员提供符合国家标准或行业标准的个人防护用品，并监督从业人员正确佩戴和使用。</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防护器具应定点妥善存放，便于及时取用，并落实保管</w:t>
            </w:r>
            <w:r>
              <w:rPr>
                <w:rFonts w:hint="eastAsia" w:ascii="仿宋" w:hAnsi="仿宋" w:eastAsia="仿宋" w:cs="仿宋"/>
                <w:sz w:val="24"/>
                <w:szCs w:val="24"/>
                <w:lang w:eastAsia="zh-CN"/>
              </w:rPr>
              <w:t>人员</w:t>
            </w:r>
            <w:r>
              <w:rPr>
                <w:rFonts w:hint="eastAsia" w:ascii="仿宋" w:hAnsi="仿宋" w:eastAsia="仿宋" w:cs="仿宋"/>
                <w:sz w:val="24"/>
                <w:szCs w:val="24"/>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定期对正压式空气呼吸器等防护用品进行保养、检验，确保其随时能投入使用</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建立防护用品保管</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按规定正确佩戴使用正压式空气呼吸器，严禁使用过滤罐式防毒面具</w:t>
            </w:r>
            <w:r>
              <w:rPr>
                <w:rFonts w:hint="eastAsia" w:ascii="仿宋" w:hAnsi="仿宋" w:eastAsia="仿宋" w:cs="仿宋"/>
                <w:sz w:val="24"/>
                <w:szCs w:val="24"/>
                <w:lang w:eastAsia="zh-CN"/>
              </w:rPr>
              <w:t>，</w:t>
            </w:r>
            <w:r>
              <w:rPr>
                <w:rFonts w:hint="eastAsia" w:ascii="仿宋" w:hAnsi="仿宋" w:eastAsia="仿宋" w:cs="仿宋"/>
                <w:sz w:val="24"/>
                <w:szCs w:val="24"/>
              </w:rPr>
              <w:t>严禁使用不合格防护用品。</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w:t>
            </w:r>
            <w:r>
              <w:rPr>
                <w:rFonts w:hint="eastAsia" w:ascii="仿宋" w:hAnsi="仿宋" w:eastAsia="仿宋" w:cs="仿宋"/>
                <w:b w:val="0"/>
                <w:bCs w:val="0"/>
                <w:sz w:val="24"/>
                <w:szCs w:val="24"/>
                <w:lang w:eastAsia="zh-CN"/>
              </w:rPr>
              <w:t>建立应急救援队伍，明确相关职责</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、配备应急装备，储备应急物资</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12</w:t>
            </w:r>
          </w:p>
        </w:tc>
        <w:tc>
          <w:tcPr>
            <w:tcW w:w="1664" w:type="dxa"/>
            <w:noWrap w:val="0"/>
            <w:vAlign w:val="center"/>
          </w:tcPr>
          <w:p>
            <w:pPr>
              <w:jc w:val="center"/>
              <w:rPr>
                <w:rFonts w:hint="eastAsia" w:ascii="宋体" w:cs="宋体"/>
                <w:sz w:val="22"/>
                <w:szCs w:val="22"/>
              </w:rPr>
            </w:pPr>
            <w:r>
              <w:rPr>
                <w:rFonts w:hint="eastAsia" w:ascii="宋体" w:cs="宋体"/>
                <w:sz w:val="22"/>
                <w:szCs w:val="22"/>
              </w:rPr>
              <w:t>风险源</w:t>
            </w:r>
          </w:p>
          <w:p>
            <w:pPr>
              <w:jc w:val="center"/>
              <w:rPr>
                <w:rFonts w:ascii="宋体" w:cs="宋体"/>
                <w:sz w:val="22"/>
                <w:szCs w:val="22"/>
              </w:rPr>
            </w:pPr>
            <w:r>
              <w:rPr>
                <w:rFonts w:hint="eastAsia" w:ascii="宋体" w:cs="宋体"/>
                <w:sz w:val="22"/>
                <w:szCs w:val="22"/>
              </w:rPr>
              <w:t>分级管控</w:t>
            </w:r>
          </w:p>
        </w:tc>
        <w:tc>
          <w:tcPr>
            <w:tcW w:w="12019" w:type="dxa"/>
            <w:noWrap w:val="0"/>
            <w:vAlign w:val="center"/>
          </w:tcPr>
          <w:p>
            <w:pPr>
              <w:numPr>
                <w:ilvl w:val="0"/>
                <w:numId w:val="7"/>
              </w:numPr>
              <w:ind w:left="-62" w:leftChars="0" w:firstLine="482" w:firstLineChars="0"/>
              <w:jc w:val="left"/>
              <w:rPr>
                <w:rFonts w:hint="eastAsia" w:ascii="仿宋" w:hAnsi="仿宋" w:eastAsia="仿宋" w:cs="仿宋"/>
                <w:sz w:val="24"/>
                <w:szCs w:val="24"/>
              </w:rPr>
            </w:pPr>
            <w:r>
              <w:rPr>
                <w:rFonts w:hint="eastAsia" w:ascii="仿宋" w:hAnsi="仿宋" w:eastAsia="仿宋" w:cs="仿宋"/>
                <w:sz w:val="24"/>
                <w:szCs w:val="24"/>
              </w:rPr>
              <w:t>对危险源进行风险评</w:t>
            </w:r>
            <w:r>
              <w:rPr>
                <w:rFonts w:hint="eastAsia" w:ascii="仿宋" w:hAnsi="仿宋" w:eastAsia="仿宋" w:cs="仿宋"/>
                <w:b w:val="0"/>
                <w:bCs w:val="0"/>
                <w:sz w:val="24"/>
                <w:szCs w:val="24"/>
              </w:rPr>
              <w:t>估</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建立档案</w:t>
            </w:r>
            <w:r>
              <w:rPr>
                <w:rFonts w:hint="eastAsia" w:ascii="仿宋" w:hAnsi="仿宋" w:eastAsia="仿宋" w:cs="仿宋"/>
                <w:b w:val="0"/>
                <w:bCs w:val="0"/>
                <w:sz w:val="24"/>
                <w:szCs w:val="24"/>
                <w:lang w:eastAsia="zh-CN"/>
              </w:rPr>
              <w:t>、动态跟踪、定期更新</w:t>
            </w:r>
            <w:r>
              <w:rPr>
                <w:rFonts w:hint="eastAsia" w:ascii="仿宋" w:hAnsi="仿宋" w:eastAsia="仿宋" w:cs="仿宋"/>
                <w:b w:val="0"/>
                <w:bCs w:val="0"/>
                <w:sz w:val="24"/>
                <w:szCs w:val="24"/>
              </w:rPr>
              <w:t>。</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设立危险源</w:t>
            </w:r>
            <w:r>
              <w:rPr>
                <w:rFonts w:hint="eastAsia" w:ascii="仿宋" w:hAnsi="仿宋" w:eastAsia="仿宋" w:cs="仿宋"/>
                <w:sz w:val="24"/>
                <w:szCs w:val="24"/>
                <w:lang w:eastAsia="zh-CN"/>
              </w:rPr>
              <w:t>安全警示</w:t>
            </w:r>
            <w:r>
              <w:rPr>
                <w:rFonts w:hint="eastAsia" w:ascii="仿宋" w:hAnsi="仿宋" w:eastAsia="仿宋" w:cs="仿宋"/>
                <w:sz w:val="24"/>
                <w:szCs w:val="24"/>
              </w:rPr>
              <w:t>牌，利用图文形式告知危险的种类、后果及应急措施等</w:t>
            </w:r>
            <w:r>
              <w:rPr>
                <w:rFonts w:hint="eastAsia" w:ascii="仿宋" w:hAnsi="仿宋" w:eastAsia="仿宋" w:cs="仿宋"/>
                <w:sz w:val="24"/>
                <w:szCs w:val="24"/>
                <w:lang w:eastAsia="zh-CN"/>
              </w:rPr>
              <w:t>，</w:t>
            </w:r>
            <w:r>
              <w:rPr>
                <w:rFonts w:hint="eastAsia" w:ascii="仿宋" w:hAnsi="仿宋" w:eastAsia="仿宋" w:cs="仿宋"/>
                <w:sz w:val="24"/>
                <w:szCs w:val="24"/>
              </w:rPr>
              <w:t>在设施设备检维修</w:t>
            </w:r>
            <w:r>
              <w:rPr>
                <w:rFonts w:hint="eastAsia" w:ascii="仿宋" w:hAnsi="仿宋" w:eastAsia="仿宋" w:cs="仿宋"/>
                <w:sz w:val="24"/>
                <w:szCs w:val="24"/>
                <w:lang w:eastAsia="zh-CN"/>
              </w:rPr>
              <w:t>和各</w:t>
            </w:r>
            <w:r>
              <w:rPr>
                <w:rFonts w:hint="eastAsia" w:ascii="仿宋" w:hAnsi="仿宋" w:eastAsia="仿宋" w:cs="仿宋"/>
                <w:sz w:val="24"/>
                <w:szCs w:val="24"/>
              </w:rPr>
              <w:t>作业现场应设置警戒区</w:t>
            </w:r>
            <w:r>
              <w:rPr>
                <w:rFonts w:hint="eastAsia" w:ascii="仿宋" w:hAnsi="仿宋" w:eastAsia="仿宋" w:cs="仿宋"/>
                <w:sz w:val="24"/>
                <w:szCs w:val="24"/>
                <w:lang w:eastAsia="zh-CN"/>
              </w:rPr>
              <w:t>或</w:t>
            </w:r>
            <w:r>
              <w:rPr>
                <w:rFonts w:hint="eastAsia" w:ascii="仿宋" w:hAnsi="仿宋" w:eastAsia="仿宋" w:cs="仿宋"/>
                <w:sz w:val="24"/>
                <w:szCs w:val="24"/>
              </w:rPr>
              <w:t>警示标志</w:t>
            </w:r>
            <w:r>
              <w:rPr>
                <w:rFonts w:hint="eastAsia" w:ascii="仿宋" w:hAnsi="仿宋" w:eastAsia="仿宋" w:cs="仿宋"/>
                <w:sz w:val="24"/>
                <w:szCs w:val="24"/>
                <w:lang w:eastAsia="zh-CN"/>
              </w:rPr>
              <w:t>，</w:t>
            </w:r>
            <w:r>
              <w:rPr>
                <w:rFonts w:hint="eastAsia" w:ascii="仿宋" w:hAnsi="仿宋" w:eastAsia="仿宋" w:cs="仿宋"/>
                <w:sz w:val="24"/>
                <w:szCs w:val="24"/>
              </w:rPr>
              <w:t>危险源防护距离应符合国家标准或行业标准要求。</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对危险源设施、设备定期检查，并做好检查情况记录</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ascii="宋体" w:hAnsi="宋体" w:cs="宋体"/>
                <w:b/>
                <w:bCs/>
                <w:sz w:val="24"/>
              </w:rPr>
              <w:t>1</w:t>
            </w:r>
            <w:r>
              <w:rPr>
                <w:rFonts w:hint="eastAsia" w:ascii="宋体" w:hAns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项目建设</w:t>
            </w:r>
          </w:p>
          <w:p>
            <w:pPr>
              <w:jc w:val="center"/>
              <w:rPr>
                <w:rFonts w:ascii="宋体" w:cs="宋体"/>
                <w:sz w:val="22"/>
                <w:szCs w:val="22"/>
              </w:rPr>
            </w:pPr>
            <w:r>
              <w:rPr>
                <w:rFonts w:hint="eastAsia" w:ascii="宋体" w:hAnsi="宋体" w:cs="宋体"/>
                <w:sz w:val="22"/>
                <w:szCs w:val="22"/>
              </w:rPr>
              <w:t>“三同时”</w:t>
            </w:r>
          </w:p>
        </w:tc>
        <w:tc>
          <w:tcPr>
            <w:tcW w:w="12019" w:type="dxa"/>
            <w:noWrap w:val="0"/>
            <w:vAlign w:val="center"/>
          </w:tcPr>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确保建设项目安全设施与主体工程同时设计、同时施工、同时投入生产和使用。</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按照建设项目安全许可有关规定，对建设项目的设立、设计、生产和竣工验收阶段进行规范管理。</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对建设项目施工作业的全过程进行风险管理。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eastAsia="宋体" w:cs="宋体"/>
                <w:b/>
                <w:bCs/>
                <w:sz w:val="24"/>
                <w:lang w:val="en-US" w:eastAsia="zh-CN"/>
              </w:rPr>
            </w:pPr>
            <w:r>
              <w:rPr>
                <w:rFonts w:hint="eastAsia" w:ascii="宋体" w:cs="宋体"/>
                <w:b/>
                <w:bCs/>
                <w:sz w:val="24"/>
                <w:lang w:val="en-US" w:eastAsia="zh-CN"/>
              </w:rPr>
              <w:t>14</w:t>
            </w:r>
          </w:p>
        </w:tc>
        <w:tc>
          <w:tcPr>
            <w:tcW w:w="1664" w:type="dxa"/>
            <w:noWrap w:val="0"/>
            <w:vAlign w:val="center"/>
          </w:tcPr>
          <w:p>
            <w:pPr>
              <w:jc w:val="center"/>
              <w:rPr>
                <w:rFonts w:hint="eastAsia" w:ascii="宋体" w:cs="宋体"/>
                <w:sz w:val="22"/>
                <w:szCs w:val="22"/>
              </w:rPr>
            </w:pPr>
            <w:r>
              <w:rPr>
                <w:rFonts w:hint="eastAsia" w:ascii="宋体" w:cs="宋体"/>
                <w:sz w:val="22"/>
                <w:szCs w:val="22"/>
              </w:rPr>
              <w:t>外包（租）</w:t>
            </w:r>
          </w:p>
          <w:p>
            <w:pPr>
              <w:jc w:val="center"/>
              <w:rPr>
                <w:rFonts w:ascii="宋体" w:cs="宋体"/>
                <w:sz w:val="22"/>
                <w:szCs w:val="22"/>
              </w:rPr>
            </w:pPr>
            <w:r>
              <w:rPr>
                <w:rFonts w:hint="eastAsia" w:ascii="宋体" w:cs="宋体"/>
                <w:sz w:val="22"/>
                <w:szCs w:val="22"/>
              </w:rPr>
              <w:t>业务管理</w:t>
            </w:r>
          </w:p>
        </w:tc>
        <w:tc>
          <w:tcPr>
            <w:tcW w:w="12019" w:type="dxa"/>
            <w:noWrap w:val="0"/>
            <w:vAlign w:val="center"/>
          </w:tcPr>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对承包（外包）</w:t>
            </w:r>
            <w:r>
              <w:rPr>
                <w:rFonts w:hint="eastAsia" w:ascii="仿宋" w:hAnsi="仿宋" w:eastAsia="仿宋" w:cs="仿宋"/>
                <w:sz w:val="24"/>
                <w:szCs w:val="24"/>
                <w:lang w:eastAsia="zh-CN"/>
              </w:rPr>
              <w:t>单位</w:t>
            </w:r>
            <w:r>
              <w:rPr>
                <w:rFonts w:hint="eastAsia" w:ascii="仿宋" w:hAnsi="仿宋" w:eastAsia="仿宋" w:cs="仿宋"/>
                <w:sz w:val="24"/>
                <w:szCs w:val="24"/>
              </w:rPr>
              <w:t>作业资质进行审查，选择使用合格的承包（外包）商。</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若</w:t>
            </w:r>
            <w:r>
              <w:rPr>
                <w:rFonts w:hint="eastAsia" w:ascii="仿宋" w:hAnsi="仿宋" w:eastAsia="仿宋" w:cs="仿宋"/>
                <w:sz w:val="24"/>
                <w:szCs w:val="24"/>
              </w:rPr>
              <w:t>同一作业区域</w:t>
            </w:r>
            <w:r>
              <w:rPr>
                <w:rFonts w:hint="eastAsia" w:ascii="仿宋" w:hAnsi="仿宋" w:eastAsia="仿宋" w:cs="仿宋"/>
                <w:sz w:val="24"/>
                <w:szCs w:val="24"/>
                <w:lang w:eastAsia="zh-CN"/>
              </w:rPr>
              <w:t>与</w:t>
            </w:r>
            <w:r>
              <w:rPr>
                <w:rFonts w:hint="eastAsia" w:ascii="仿宋" w:hAnsi="仿宋" w:eastAsia="仿宋" w:cs="仿宋"/>
                <w:sz w:val="24"/>
                <w:szCs w:val="24"/>
              </w:rPr>
              <w:t>外包（租）商</w:t>
            </w:r>
            <w:r>
              <w:rPr>
                <w:rFonts w:hint="eastAsia" w:ascii="仿宋" w:hAnsi="仿宋" w:eastAsia="仿宋" w:cs="仿宋"/>
                <w:sz w:val="24"/>
                <w:szCs w:val="24"/>
                <w:lang w:eastAsia="zh-CN"/>
              </w:rPr>
              <w:t>共同作业，应与其</w:t>
            </w:r>
            <w:r>
              <w:rPr>
                <w:rFonts w:hint="eastAsia" w:ascii="仿宋" w:hAnsi="仿宋" w:eastAsia="仿宋" w:cs="仿宋"/>
                <w:sz w:val="24"/>
                <w:szCs w:val="24"/>
              </w:rPr>
              <w:t>签订安全生产协议。</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作业现场应</w:t>
            </w:r>
            <w:r>
              <w:rPr>
                <w:rFonts w:hint="eastAsia" w:ascii="仿宋" w:hAnsi="仿宋" w:eastAsia="仿宋" w:cs="仿宋"/>
                <w:sz w:val="24"/>
                <w:szCs w:val="24"/>
                <w:lang w:eastAsia="zh-CN"/>
              </w:rPr>
              <w:t>安排</w:t>
            </w:r>
            <w:r>
              <w:rPr>
                <w:rFonts w:hint="eastAsia" w:ascii="仿宋" w:hAnsi="仿宋" w:eastAsia="仿宋" w:cs="仿宋"/>
                <w:sz w:val="24"/>
                <w:szCs w:val="24"/>
              </w:rPr>
              <w:t>安全员进行安全检查，及时纠正、制止违章作业行为，协调现场工作并做好记录，发现安全隐患及时督促整改。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cs="宋体"/>
                <w:b/>
                <w:bCs/>
                <w:sz w:val="24"/>
                <w:lang w:val="en-US" w:eastAsia="zh-CN"/>
              </w:rPr>
            </w:pPr>
            <w:r>
              <w:rPr>
                <w:rFonts w:hint="eastAsia" w:ascii="宋体" w:cs="宋体"/>
                <w:b/>
                <w:bCs/>
                <w:sz w:val="24"/>
                <w:lang w:val="en-US" w:eastAsia="zh-CN"/>
              </w:rPr>
              <w:t>15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法律法规、规章规定的其它责任</w:t>
            </w:r>
          </w:p>
        </w:tc>
        <w:tc>
          <w:tcPr>
            <w:tcW w:w="12019" w:type="dxa"/>
            <w:noWrap w:val="0"/>
            <w:vAlign w:val="center"/>
          </w:tcPr>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企业与从业人员订立劳动合同。</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劳动合同中应明确从业人员劳动安全、职业危害和工伤亡保险事项。</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劳动合同中不得存在企业安全免责的内容。</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鼓励实行安全生产责任保险。</w:t>
            </w:r>
          </w:p>
        </w:tc>
      </w:tr>
    </w:tbl>
    <w:p>
      <w:pPr>
        <w:rPr>
          <w:rFonts w:hint="eastAsia" w:ascii="方正小标宋简体" w:hAnsi="方正小标宋简体" w:eastAsia="方正小标宋简体" w:cs="方正小标宋简体"/>
          <w:b/>
          <w:bCs/>
          <w:sz w:val="24"/>
        </w:rPr>
      </w:pPr>
    </w:p>
    <w:p>
      <w:pPr>
        <w:ind w:firstLine="482" w:firstLineChars="200"/>
        <w:rPr>
          <w:rFonts w:hint="eastAsia" w:ascii="仿宋" w:hAnsi="仿宋" w:eastAsia="仿宋" w:cs="仿宋"/>
          <w:sz w:val="24"/>
          <w:szCs w:val="24"/>
        </w:rPr>
      </w:pPr>
      <w:r>
        <w:rPr>
          <w:rFonts w:hint="eastAsia" w:ascii="仿宋" w:hAnsi="仿宋" w:eastAsia="仿宋" w:cs="仿宋"/>
          <w:b/>
          <w:bCs/>
          <w:sz w:val="24"/>
          <w:szCs w:val="24"/>
        </w:rPr>
        <w:t>企业安全生产主体责任：</w:t>
      </w:r>
      <w:r>
        <w:rPr>
          <w:rFonts w:hint="eastAsia" w:ascii="仿宋" w:hAnsi="仿宋" w:eastAsia="仿宋" w:cs="仿宋"/>
          <w:sz w:val="24"/>
          <w:szCs w:val="24"/>
        </w:rPr>
        <w:t>是指企业依照法律、法规规定应当履行的安全生产法定责任和义务，并对未履行法定责任和义务导致的后果负责。</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主体责任的主要内容包括：</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安全生产管理；</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安全生产机构设置和人员配备；</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制定安全生产规章制度；</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安全教育培训；</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设施</w:t>
      </w:r>
      <w:r>
        <w:rPr>
          <w:rFonts w:hint="eastAsia" w:ascii="仿宋" w:hAnsi="仿宋" w:eastAsia="仿宋" w:cs="仿宋"/>
          <w:b w:val="0"/>
          <w:bCs w:val="0"/>
          <w:sz w:val="24"/>
          <w:szCs w:val="24"/>
          <w:lang w:eastAsia="zh-CN"/>
        </w:rPr>
        <w:t>设备</w:t>
      </w:r>
      <w:r>
        <w:rPr>
          <w:rFonts w:hint="eastAsia" w:ascii="仿宋" w:hAnsi="仿宋" w:eastAsia="仿宋" w:cs="仿宋"/>
          <w:b w:val="0"/>
          <w:bCs w:val="0"/>
          <w:sz w:val="24"/>
          <w:szCs w:val="24"/>
        </w:rPr>
        <w:t>保障；</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资金投入；</w:t>
      </w:r>
    </w:p>
    <w:p>
      <w:pPr>
        <w:numPr>
          <w:ilvl w:val="0"/>
          <w:numId w:val="0"/>
        </w:num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事故报告和应急救援；</w:t>
      </w:r>
    </w:p>
    <w:p>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、法律、法规、规章规定的其它责任。</w:t>
      </w:r>
    </w:p>
    <w:p>
      <w:pPr>
        <w:ind w:firstLine="480" w:firstLineChars="200"/>
        <w:rPr>
          <w:rFonts w:hint="eastAsia" w:ascii="仿宋" w:hAnsi="仿宋" w:eastAsia="仿宋" w:cs="仿宋"/>
          <w:sz w:val="24"/>
          <w:szCs w:val="24"/>
          <w:lang w:eastAsia="zh-CN"/>
        </w:rPr>
      </w:pPr>
    </w:p>
    <w:p>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根据行业特点和企业特性又针对性的列出了下列企业的主体责任：</w:t>
      </w:r>
    </w:p>
    <w:p>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9、隐患排查和治理；</w:t>
      </w:r>
    </w:p>
    <w:p>
      <w:pPr>
        <w:numPr>
          <w:ilvl w:val="0"/>
          <w:numId w:val="0"/>
        </w:num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10、粮食和物资储备的安全管理；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11、危化品安全管理；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12、危化品防护措施及应急救援管理；</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13、风险源分级管控；</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14、项目建设“三同时”；</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15、外包（租）业务管理。</w:t>
      </w: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BF41"/>
    <w:multiLevelType w:val="singleLevel"/>
    <w:tmpl w:val="8659BF41"/>
    <w:lvl w:ilvl="0" w:tentative="0">
      <w:start w:val="1"/>
      <w:numFmt w:val="decimal"/>
      <w:suff w:val="nothing"/>
      <w:lvlText w:val="%1、"/>
      <w:lvlJc w:val="left"/>
      <w:rPr>
        <w:rFonts w:cs="Times New Roman"/>
      </w:rPr>
    </w:lvl>
  </w:abstractNum>
  <w:abstractNum w:abstractNumId="1">
    <w:nsid w:val="87FFFD32"/>
    <w:multiLevelType w:val="singleLevel"/>
    <w:tmpl w:val="87FFFD32"/>
    <w:lvl w:ilvl="0" w:tentative="0">
      <w:start w:val="1"/>
      <w:numFmt w:val="decimal"/>
      <w:suff w:val="nothing"/>
      <w:lvlText w:val="%1、"/>
      <w:lvlJc w:val="left"/>
    </w:lvl>
  </w:abstractNum>
  <w:abstractNum w:abstractNumId="2">
    <w:nsid w:val="B91442A3"/>
    <w:multiLevelType w:val="singleLevel"/>
    <w:tmpl w:val="B91442A3"/>
    <w:lvl w:ilvl="0" w:tentative="0">
      <w:start w:val="1"/>
      <w:numFmt w:val="decimal"/>
      <w:suff w:val="nothing"/>
      <w:lvlText w:val="%1、"/>
      <w:lvlJc w:val="left"/>
      <w:pPr>
        <w:ind w:left="-62"/>
      </w:pPr>
      <w:rPr>
        <w:rFonts w:cs="Times New Roman"/>
      </w:rPr>
    </w:lvl>
  </w:abstractNum>
  <w:abstractNum w:abstractNumId="3">
    <w:nsid w:val="BCD7CE6B"/>
    <w:multiLevelType w:val="singleLevel"/>
    <w:tmpl w:val="BCD7CE6B"/>
    <w:lvl w:ilvl="0" w:tentative="0">
      <w:start w:val="1"/>
      <w:numFmt w:val="decimal"/>
      <w:suff w:val="nothing"/>
      <w:lvlText w:val="%1、"/>
      <w:lvlJc w:val="left"/>
      <w:rPr>
        <w:rFonts w:cs="Times New Roman"/>
      </w:rPr>
    </w:lvl>
  </w:abstractNum>
  <w:abstractNum w:abstractNumId="4">
    <w:nsid w:val="D3DC0642"/>
    <w:multiLevelType w:val="singleLevel"/>
    <w:tmpl w:val="D3DC0642"/>
    <w:lvl w:ilvl="0" w:tentative="0">
      <w:start w:val="1"/>
      <w:numFmt w:val="decimal"/>
      <w:suff w:val="nothing"/>
      <w:lvlText w:val="%1、"/>
      <w:lvlJc w:val="left"/>
      <w:rPr>
        <w:rFonts w:cs="Times New Roman"/>
      </w:rPr>
    </w:lvl>
  </w:abstractNum>
  <w:abstractNum w:abstractNumId="5">
    <w:nsid w:val="05856513"/>
    <w:multiLevelType w:val="singleLevel"/>
    <w:tmpl w:val="05856513"/>
    <w:lvl w:ilvl="0" w:tentative="0">
      <w:start w:val="1"/>
      <w:numFmt w:val="decimal"/>
      <w:suff w:val="nothing"/>
      <w:lvlText w:val="%1、"/>
      <w:lvlJc w:val="left"/>
      <w:rPr>
        <w:rFonts w:cs="Times New Roman"/>
      </w:rPr>
    </w:lvl>
  </w:abstractNum>
  <w:abstractNum w:abstractNumId="6">
    <w:nsid w:val="1635A9AA"/>
    <w:multiLevelType w:val="singleLevel"/>
    <w:tmpl w:val="1635A9AA"/>
    <w:lvl w:ilvl="0" w:tentative="0">
      <w:start w:val="1"/>
      <w:numFmt w:val="decimal"/>
      <w:suff w:val="nothing"/>
      <w:lvlText w:val="%1、"/>
      <w:lvlJc w:val="left"/>
      <w:rPr>
        <w:rFonts w:cs="Times New Roman"/>
      </w:rPr>
    </w:lvl>
  </w:abstractNum>
  <w:abstractNum w:abstractNumId="7">
    <w:nsid w:val="18FDF40B"/>
    <w:multiLevelType w:val="singleLevel"/>
    <w:tmpl w:val="18FDF40B"/>
    <w:lvl w:ilvl="0" w:tentative="0">
      <w:start w:val="1"/>
      <w:numFmt w:val="decimal"/>
      <w:suff w:val="nothing"/>
      <w:lvlText w:val="%1、"/>
      <w:lvlJc w:val="left"/>
      <w:rPr>
        <w:rFonts w:cs="Times New Roman"/>
      </w:rPr>
    </w:lvl>
  </w:abstractNum>
  <w:abstractNum w:abstractNumId="8">
    <w:nsid w:val="61317036"/>
    <w:multiLevelType w:val="singleLevel"/>
    <w:tmpl w:val="61317036"/>
    <w:lvl w:ilvl="0" w:tentative="0">
      <w:start w:val="1"/>
      <w:numFmt w:val="decimal"/>
      <w:suff w:val="nothing"/>
      <w:lvlText w:val="%1、"/>
      <w:lvlJc w:val="left"/>
      <w:pPr>
        <w:ind w:left="420"/>
      </w:p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409D505A"/>
    <w:rsid w:val="409D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2023-05-08T07:16:00Z</dcterms:created>
  <dc:creator>气定神闲</dc:creator>
  <cp:lastModifiedBy>气定神闲</cp:lastModifiedBy>
  <dcterms:modified xsi:type="dcterms:W3CDTF">2023-05-08T07:17:19Z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4EE38F73C19E4CC0BC7CB879AA2E657D_11</vt:lpwstr>
  </property>
</Properties>
</file>