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AA6" w:rsidRPr="00DB4AA6" w:rsidRDefault="00DB4AA6" w:rsidP="00DB4AA6">
      <w:pPr>
        <w:ind w:firstLineChars="0" w:firstLine="0"/>
        <w:jc w:val="center"/>
        <w:rPr>
          <w:rFonts w:ascii="仿宋_GB2312" w:hAnsi="仿宋_GB2312" w:cs="仿宋_GB2312"/>
          <w:b/>
          <w:bCs/>
          <w:sz w:val="36"/>
          <w:szCs w:val="36"/>
        </w:rPr>
      </w:pPr>
      <w:r w:rsidRPr="00DB4AA6">
        <w:rPr>
          <w:rFonts w:ascii="仿宋_GB2312" w:hAnsi="Times New Roman" w:cs="Times New Roman" w:hint="eastAsia"/>
          <w:b/>
          <w:bCs/>
          <w:sz w:val="36"/>
          <w:szCs w:val="36"/>
        </w:rPr>
        <w:t>四川南充当代运业（集团）有限公司</w:t>
      </w:r>
      <w:r w:rsidRPr="00DB4AA6">
        <w:rPr>
          <w:rFonts w:ascii="仿宋_GB2312" w:hAnsi="仿宋_GB2312" w:cs="仿宋_GB2312" w:hint="eastAsia"/>
          <w:b/>
          <w:bCs/>
          <w:sz w:val="36"/>
          <w:szCs w:val="36"/>
        </w:rPr>
        <w:t>仪陇分公司</w:t>
      </w:r>
    </w:p>
    <w:p w:rsidR="00DB4AA6" w:rsidRPr="00DB4AA6" w:rsidRDefault="00DB4AA6" w:rsidP="00667139">
      <w:pPr>
        <w:ind w:firstLineChars="0" w:firstLine="0"/>
        <w:jc w:val="center"/>
        <w:rPr>
          <w:rFonts w:ascii="仿宋_GB2312" w:hAnsi="Times New Roman" w:cs="Times New Roman"/>
          <w:b/>
          <w:sz w:val="36"/>
          <w:szCs w:val="36"/>
        </w:rPr>
      </w:pPr>
      <w:bookmarkStart w:id="0" w:name="_GoBack"/>
      <w:bookmarkEnd w:id="0"/>
      <w:r w:rsidRPr="00DB4AA6">
        <w:rPr>
          <w:rFonts w:ascii="仿宋_GB2312" w:hAnsi="Times New Roman" w:cs="Times New Roman" w:hint="eastAsia"/>
          <w:b/>
          <w:sz w:val="36"/>
          <w:szCs w:val="36"/>
        </w:rPr>
        <w:t>安全生产主体责任清单</w:t>
      </w:r>
    </w:p>
    <w:tbl>
      <w:tblPr>
        <w:tblW w:w="15456"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013"/>
        <w:gridCol w:w="7355"/>
        <w:gridCol w:w="6416"/>
      </w:tblGrid>
      <w:tr w:rsidR="00DB4AA6" w:rsidRPr="00DB4AA6" w:rsidTr="00DB4AA6">
        <w:trPr>
          <w:cantSplit/>
          <w:trHeight w:val="440"/>
        </w:trPr>
        <w:tc>
          <w:tcPr>
            <w:tcW w:w="672" w:type="dxa"/>
            <w:vAlign w:val="center"/>
          </w:tcPr>
          <w:p w:rsidR="00DB4AA6" w:rsidRPr="00DB4AA6" w:rsidRDefault="00DB4AA6" w:rsidP="00DB4AA6">
            <w:pPr>
              <w:ind w:firstLineChars="0" w:firstLine="0"/>
              <w:jc w:val="center"/>
              <w:rPr>
                <w:rFonts w:ascii="仿宋_GB2312" w:hAnsi="等线" w:cs="宋体"/>
                <w:b/>
                <w:sz w:val="21"/>
                <w:szCs w:val="21"/>
              </w:rPr>
            </w:pPr>
            <w:r w:rsidRPr="00DB4AA6">
              <w:rPr>
                <w:rFonts w:ascii="仿宋_GB2312" w:hAnsi="等线" w:cs="宋体" w:hint="eastAsia"/>
                <w:b/>
                <w:sz w:val="21"/>
                <w:szCs w:val="21"/>
              </w:rPr>
              <w:t>序号</w:t>
            </w:r>
          </w:p>
        </w:tc>
        <w:tc>
          <w:tcPr>
            <w:tcW w:w="1013" w:type="dxa"/>
            <w:vAlign w:val="center"/>
          </w:tcPr>
          <w:p w:rsidR="00DB4AA6" w:rsidRPr="00DB4AA6" w:rsidRDefault="00DB4AA6" w:rsidP="00DB4AA6">
            <w:pPr>
              <w:ind w:firstLineChars="0" w:firstLine="0"/>
              <w:jc w:val="center"/>
              <w:rPr>
                <w:rFonts w:ascii="仿宋_GB2312" w:hAnsi="等线" w:cs="宋体"/>
                <w:b/>
                <w:sz w:val="21"/>
                <w:szCs w:val="21"/>
              </w:rPr>
            </w:pPr>
            <w:r w:rsidRPr="00DB4AA6">
              <w:rPr>
                <w:rFonts w:ascii="仿宋_GB2312" w:hAnsi="等线" w:cs="宋体" w:hint="eastAsia"/>
                <w:b/>
                <w:sz w:val="21"/>
                <w:szCs w:val="21"/>
              </w:rPr>
              <w:t>责任</w:t>
            </w:r>
          </w:p>
          <w:p w:rsidR="00DB4AA6" w:rsidRPr="00DB4AA6" w:rsidRDefault="00DB4AA6" w:rsidP="00DB4AA6">
            <w:pPr>
              <w:ind w:firstLineChars="0" w:firstLine="0"/>
              <w:jc w:val="center"/>
              <w:rPr>
                <w:rFonts w:ascii="仿宋_GB2312" w:hAnsi="等线" w:cs="宋体"/>
                <w:b/>
                <w:sz w:val="21"/>
                <w:szCs w:val="21"/>
              </w:rPr>
            </w:pPr>
            <w:r w:rsidRPr="00DB4AA6">
              <w:rPr>
                <w:rFonts w:ascii="仿宋_GB2312" w:hAnsi="等线" w:cs="宋体" w:hint="eastAsia"/>
                <w:b/>
                <w:sz w:val="21"/>
                <w:szCs w:val="21"/>
              </w:rPr>
              <w:t>名称</w:t>
            </w:r>
          </w:p>
        </w:tc>
        <w:tc>
          <w:tcPr>
            <w:tcW w:w="7355" w:type="dxa"/>
            <w:vAlign w:val="center"/>
          </w:tcPr>
          <w:p w:rsidR="00DB4AA6" w:rsidRPr="00DB4AA6" w:rsidRDefault="00DB4AA6" w:rsidP="00DB4AA6">
            <w:pPr>
              <w:ind w:firstLineChars="0" w:firstLine="0"/>
              <w:jc w:val="center"/>
              <w:rPr>
                <w:rFonts w:ascii="仿宋_GB2312" w:hAnsi="等线" w:cs="宋体"/>
                <w:b/>
                <w:sz w:val="21"/>
                <w:szCs w:val="21"/>
              </w:rPr>
            </w:pPr>
            <w:r w:rsidRPr="00DB4AA6">
              <w:rPr>
                <w:rFonts w:ascii="仿宋_GB2312" w:hAnsi="等线" w:cs="宋体" w:hint="eastAsia"/>
                <w:b/>
                <w:sz w:val="21"/>
                <w:szCs w:val="21"/>
              </w:rPr>
              <w:t>责任内容</w:t>
            </w:r>
          </w:p>
        </w:tc>
        <w:tc>
          <w:tcPr>
            <w:tcW w:w="6416" w:type="dxa"/>
            <w:vAlign w:val="center"/>
          </w:tcPr>
          <w:p w:rsidR="00DB4AA6" w:rsidRPr="00DB4AA6" w:rsidRDefault="00DB4AA6" w:rsidP="00DB4AA6">
            <w:pPr>
              <w:ind w:firstLineChars="0" w:firstLine="0"/>
              <w:jc w:val="center"/>
              <w:rPr>
                <w:rFonts w:ascii="仿宋_GB2312" w:hAnsi="等线" w:cs="宋体"/>
                <w:b/>
                <w:sz w:val="21"/>
                <w:szCs w:val="21"/>
              </w:rPr>
            </w:pPr>
            <w:r w:rsidRPr="00DB4AA6">
              <w:rPr>
                <w:rFonts w:ascii="仿宋_GB2312" w:hAnsi="等线" w:cs="宋体" w:hint="eastAsia"/>
                <w:b/>
                <w:sz w:val="21"/>
                <w:szCs w:val="21"/>
              </w:rPr>
              <w:t>依据（法律法规规范文件标准）</w:t>
            </w:r>
          </w:p>
        </w:tc>
      </w:tr>
      <w:tr w:rsidR="00DB4AA6" w:rsidRPr="00DB4AA6" w:rsidTr="00DB4AA6">
        <w:trPr>
          <w:cantSplit/>
          <w:trHeight w:val="147"/>
        </w:trPr>
        <w:tc>
          <w:tcPr>
            <w:tcW w:w="672"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1</w:t>
            </w:r>
          </w:p>
        </w:tc>
        <w:tc>
          <w:tcPr>
            <w:tcW w:w="1013"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经营许可条件</w:t>
            </w:r>
          </w:p>
        </w:tc>
        <w:tc>
          <w:tcPr>
            <w:tcW w:w="7355"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1.应持有有效的营业执照、经营许可证等生产经营资质，并按照许可的范围开展生产经营活动；</w:t>
            </w:r>
          </w:p>
        </w:tc>
        <w:tc>
          <w:tcPr>
            <w:tcW w:w="6416"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《中华人民共和国安全生产法（2021年修正）》第17条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《中华人民共和国公司法（2018年修正）》第122条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《中华人民共和国道路运输条例》（国务院令第666号）第8条、第十条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《四川省道路运输条例（修订）（2014年）》第8条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《道路旅客运输及客运站管理规定》（交通运输部第82号令）第11条、第12条</w:t>
            </w:r>
          </w:p>
        </w:tc>
      </w:tr>
      <w:tr w:rsidR="00DB4AA6" w:rsidRPr="00DB4AA6" w:rsidTr="00DB4AA6">
        <w:trPr>
          <w:cantSplit/>
          <w:trHeight w:val="4832"/>
        </w:trPr>
        <w:tc>
          <w:tcPr>
            <w:tcW w:w="672"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lastRenderedPageBreak/>
              <w:t>2</w:t>
            </w:r>
          </w:p>
        </w:tc>
        <w:tc>
          <w:tcPr>
            <w:tcW w:w="1013"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安全生产规章制度和操作规程</w:t>
            </w:r>
          </w:p>
        </w:tc>
        <w:tc>
          <w:tcPr>
            <w:tcW w:w="7355"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2.建立健全安全生产责任体系，明确各部门、各岗位安全生产责任，定期实施考核奖惩；</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3.建立健全符合法律法规、标准并符合企业实际的安全生产管理制度，制度至少应包括：安全目标管理制度、安全生产承诺制度、安全生产责任制、安全生产会议制度、安全生产投入管理制度、安全生产考核和奖惩制度、安全风险分级管控和隐患排查治理制度、安全生产检查制度、事故报告调查处理统计管理制度、安全教育培训制度、车辆技术管理制度、劳动防护用品管理制度、驾驶员安全管理制度、消防安全管理制度、职业健康管理制度、车辆动态监控管理制度、安全生产举报制度、应急管理制度、安全档案管理制度、报停班管理制度、线路牌领用发放管理制度和其他保证安全生产的规章制度；</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4.应制定以下安全生产操作规程：驾驶员安全操作规程、动态监控操作规程和其他安全操作规程；</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5.应定期对安全生产管理制度和操作规程进行有效性、适用性、符合性评审和修订，并及时组织相关人员培训学习；</w:t>
            </w:r>
          </w:p>
        </w:tc>
        <w:tc>
          <w:tcPr>
            <w:tcW w:w="6416"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《中华人民共和国安全生产法（2021年修正））》第4条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《中华人民共和国道路运输条例》（国务院令第666号）第8条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《四川省生产经营单位安全生产责任规定》第7条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《企业安全生产标准化基本规范》(GB/T 33000)</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w:t>
            </w:r>
            <w:proofErr w:type="gramStart"/>
            <w:r w:rsidRPr="00DB4AA6">
              <w:rPr>
                <w:rFonts w:ascii="仿宋_GB2312" w:hAnsi="等线" w:cs="宋体" w:hint="eastAsia"/>
                <w:sz w:val="21"/>
                <w:szCs w:val="21"/>
              </w:rPr>
              <w:t>交运发</w:t>
            </w:r>
            <w:proofErr w:type="gramEnd"/>
            <w:r w:rsidRPr="00DB4AA6">
              <w:rPr>
                <w:rFonts w:ascii="仿宋_GB2312" w:hAnsi="等线" w:cs="宋体" w:hint="eastAsia"/>
                <w:sz w:val="21"/>
                <w:szCs w:val="21"/>
              </w:rPr>
              <w:t>〔2018〕55）第4章</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《道路旅客运输企业安全生产规范》（DB51/T  2242)</w:t>
            </w:r>
            <w:bookmarkStart w:id="1" w:name="_Toc449461284"/>
            <w:bookmarkStart w:id="2" w:name="_Toc451793474"/>
            <w:bookmarkStart w:id="3" w:name="_Toc449616047"/>
            <w:bookmarkStart w:id="4" w:name="_Toc449615068"/>
            <w:bookmarkStart w:id="5" w:name="_Toc449616870"/>
            <w:bookmarkStart w:id="6" w:name="_Toc449460524"/>
            <w:r w:rsidRPr="00DB4AA6">
              <w:rPr>
                <w:rFonts w:ascii="仿宋_GB2312" w:hAnsi="等线" w:cs="宋体" w:hint="eastAsia"/>
                <w:sz w:val="21"/>
                <w:szCs w:val="21"/>
              </w:rPr>
              <w:t>第5.2</w:t>
            </w:r>
            <w:bookmarkEnd w:id="1"/>
            <w:bookmarkEnd w:id="2"/>
            <w:bookmarkEnd w:id="3"/>
            <w:bookmarkEnd w:id="4"/>
            <w:bookmarkEnd w:id="5"/>
            <w:bookmarkEnd w:id="6"/>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《交通运输企业安全生产标准化建设基本规范》（JT/T1180）第2部分</w:t>
            </w:r>
          </w:p>
        </w:tc>
      </w:tr>
      <w:tr w:rsidR="00DB4AA6" w:rsidRPr="00DB4AA6" w:rsidTr="00DB4AA6">
        <w:trPr>
          <w:cantSplit/>
          <w:trHeight w:val="147"/>
        </w:trPr>
        <w:tc>
          <w:tcPr>
            <w:tcW w:w="672"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3</w:t>
            </w:r>
          </w:p>
        </w:tc>
        <w:tc>
          <w:tcPr>
            <w:tcW w:w="1013"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设置安全生产领导机构、管理部门和配备安全生产管理人员</w:t>
            </w:r>
          </w:p>
        </w:tc>
        <w:tc>
          <w:tcPr>
            <w:tcW w:w="7355"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6.依法建立健全安全生产领导机构（即：成立安全生产委员会或安全生产工作领导小组），领导机构应当包括企业主要负责人（含法定代表人和实际控制人、其他分管负责人）、各职能部门负责人及分支机构的主要负责人；</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7.依法设置专职安全生产管理部门并配备与经营规模相适应的专职安全管理人员（按照每30辆客运车辆配备1人的标准，至少应配备1名专职安全生产管理人员）；</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8.配置与企业安全生产相适应的其他职能部门或科室；</w:t>
            </w:r>
          </w:p>
        </w:tc>
        <w:tc>
          <w:tcPr>
            <w:tcW w:w="6416"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《中华人民共和国安全生产法（2021年修正）》第21条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《企业安全生产责任体系五落实五到位规定》（安监总办〔2015〕27号）第4条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《四川省生产经营单位安全生产责任规定》第9条</w:t>
            </w:r>
          </w:p>
          <w:p w:rsidR="00DB4AA6" w:rsidRPr="00DB4AA6" w:rsidRDefault="00DB4AA6" w:rsidP="00DB4AA6">
            <w:pPr>
              <w:spacing w:after="120"/>
              <w:ind w:firstLineChars="0" w:firstLine="0"/>
              <w:rPr>
                <w:rFonts w:ascii="仿宋_GB2312" w:hAnsi="等线" w:cs="Times New Roman"/>
                <w:sz w:val="21"/>
                <w:szCs w:val="21"/>
              </w:rPr>
            </w:pPr>
            <w:r w:rsidRPr="00DB4AA6">
              <w:rPr>
                <w:rFonts w:ascii="仿宋_GB2312" w:hAnsi="等线" w:cs="Times New Roman" w:hint="eastAsia"/>
                <w:sz w:val="21"/>
                <w:szCs w:val="21"/>
              </w:rPr>
              <w:t>《四川省旅客运输管理办法》（四川省人民政府令第338号）第32条第1款；</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w:t>
            </w:r>
            <w:proofErr w:type="gramStart"/>
            <w:r w:rsidRPr="00DB4AA6">
              <w:rPr>
                <w:rFonts w:ascii="仿宋_GB2312" w:hAnsi="等线" w:cs="宋体" w:hint="eastAsia"/>
                <w:sz w:val="21"/>
                <w:szCs w:val="21"/>
              </w:rPr>
              <w:t>交运发</w:t>
            </w:r>
            <w:proofErr w:type="gramEnd"/>
            <w:r w:rsidRPr="00DB4AA6">
              <w:rPr>
                <w:rFonts w:ascii="仿宋_GB2312" w:hAnsi="等线" w:cs="宋体" w:hint="eastAsia"/>
                <w:sz w:val="21"/>
                <w:szCs w:val="21"/>
              </w:rPr>
              <w:t>〔2018〕55）第7条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《道路旅客运输企业安全生产规范》（DB51/T 2242)第5.1.2</w:t>
            </w:r>
          </w:p>
        </w:tc>
      </w:tr>
      <w:tr w:rsidR="00DB4AA6" w:rsidRPr="00DB4AA6" w:rsidTr="00DB4AA6">
        <w:trPr>
          <w:cantSplit/>
          <w:trHeight w:val="147"/>
        </w:trPr>
        <w:tc>
          <w:tcPr>
            <w:tcW w:w="672"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lastRenderedPageBreak/>
              <w:t>4</w:t>
            </w:r>
          </w:p>
        </w:tc>
        <w:tc>
          <w:tcPr>
            <w:tcW w:w="1013"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保证安全生产资金有效投入</w:t>
            </w:r>
          </w:p>
        </w:tc>
        <w:tc>
          <w:tcPr>
            <w:tcW w:w="7355"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9.企业的决策机构、主要负责人应当保证安全生产条件所必需的资金投入，按照上年度实际营业收入1.5%比例提取安全生产经费，并依法规范使用；</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10.依法参加工伤保险，为从业人员缴纳保险费，配备安全生产必备的劳动防护用品；</w:t>
            </w:r>
          </w:p>
        </w:tc>
        <w:tc>
          <w:tcPr>
            <w:tcW w:w="6416"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《中华人民共和国安全生产法（2021年修正）》第20条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《中华人民共和国劳动法（2018）》第70条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《四川省生产经营单位安全生产责任规定》第13条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《企业安全生产费用提取和使用管理办法》（财企〔2012〕16号）第9条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w:t>
            </w:r>
            <w:proofErr w:type="gramStart"/>
            <w:r w:rsidRPr="00DB4AA6">
              <w:rPr>
                <w:rFonts w:ascii="仿宋_GB2312" w:hAnsi="等线" w:cs="宋体" w:hint="eastAsia"/>
                <w:sz w:val="21"/>
                <w:szCs w:val="21"/>
              </w:rPr>
              <w:t>交运发</w:t>
            </w:r>
            <w:proofErr w:type="gramEnd"/>
            <w:r w:rsidRPr="00DB4AA6">
              <w:rPr>
                <w:rFonts w:ascii="仿宋_GB2312" w:hAnsi="等线" w:cs="宋体" w:hint="eastAsia"/>
                <w:sz w:val="21"/>
                <w:szCs w:val="21"/>
              </w:rPr>
              <w:t>〔2018〕55）第11条</w:t>
            </w:r>
          </w:p>
        </w:tc>
      </w:tr>
      <w:tr w:rsidR="00DB4AA6" w:rsidRPr="00DB4AA6" w:rsidTr="00DB4AA6">
        <w:trPr>
          <w:cantSplit/>
          <w:trHeight w:val="147"/>
        </w:trPr>
        <w:tc>
          <w:tcPr>
            <w:tcW w:w="672"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5</w:t>
            </w:r>
          </w:p>
        </w:tc>
        <w:tc>
          <w:tcPr>
            <w:tcW w:w="1013"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安全生产会议</w:t>
            </w:r>
          </w:p>
        </w:tc>
        <w:tc>
          <w:tcPr>
            <w:tcW w:w="7355"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11.按照相关法规和安全生产会议制度，定期召开安全生产领导机构会议、安全例会和安全专题会议，分析安全形势，安排各项安全生产工作。</w:t>
            </w:r>
          </w:p>
        </w:tc>
        <w:tc>
          <w:tcPr>
            <w:tcW w:w="6416"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《四川省生产经营单位安全生产责任规定》第7条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w:t>
            </w:r>
            <w:proofErr w:type="gramStart"/>
            <w:r w:rsidRPr="00DB4AA6">
              <w:rPr>
                <w:rFonts w:ascii="仿宋_GB2312" w:hAnsi="等线" w:cs="宋体" w:hint="eastAsia"/>
                <w:sz w:val="21"/>
                <w:szCs w:val="21"/>
              </w:rPr>
              <w:t>交运发</w:t>
            </w:r>
            <w:proofErr w:type="gramEnd"/>
            <w:r w:rsidRPr="00DB4AA6">
              <w:rPr>
                <w:rFonts w:ascii="仿宋_GB2312" w:hAnsi="等线" w:cs="宋体" w:hint="eastAsia"/>
                <w:sz w:val="21"/>
                <w:szCs w:val="21"/>
              </w:rPr>
              <w:t xml:space="preserve">〔2018〕55）第10条 </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《四川省道路旅客运输企业安全生产规范》（DB51/T2242—2016）第5.5</w:t>
            </w:r>
          </w:p>
        </w:tc>
      </w:tr>
      <w:tr w:rsidR="00DB4AA6" w:rsidRPr="00DB4AA6" w:rsidTr="00DB4AA6">
        <w:trPr>
          <w:cantSplit/>
          <w:trHeight w:val="147"/>
        </w:trPr>
        <w:tc>
          <w:tcPr>
            <w:tcW w:w="672"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6</w:t>
            </w:r>
          </w:p>
        </w:tc>
        <w:tc>
          <w:tcPr>
            <w:tcW w:w="1013"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安全生产培训教育</w:t>
            </w:r>
          </w:p>
        </w:tc>
        <w:tc>
          <w:tcPr>
            <w:tcW w:w="7355"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12.依法制定符合企业需求的安全生产教育培训计划，并按计划实施；</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13.主要负责人和安全管理人员应当接受安全培训，初次培训时间不少于24学时，每年再培训时间不少于12学时，具备与所从事的生产经营活动相适应的安全生产知识和管理能力，且经主管部门考核合格，并持证上岗；</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14.应当对从业人员按照有关规定进行安全生产教育培训,</w:t>
            </w:r>
            <w:r w:rsidRPr="00DB4AA6">
              <w:rPr>
                <w:rFonts w:ascii="仿宋_GB2312" w:hAnsi="等线" w:cs="等线" w:hint="eastAsia"/>
                <w:sz w:val="21"/>
                <w:szCs w:val="21"/>
              </w:rPr>
              <w:t>岗前安全</w:t>
            </w:r>
            <w:r w:rsidRPr="00DB4AA6">
              <w:rPr>
                <w:rFonts w:ascii="仿宋_GB2312" w:hAnsi="等线" w:cs="宋体" w:hint="eastAsia"/>
                <w:sz w:val="21"/>
                <w:szCs w:val="21"/>
              </w:rPr>
              <w:t>培训时间不少于24学时，未经教育培训合格的从业人员，不得安排上岗作业；</w:t>
            </w:r>
          </w:p>
        </w:tc>
        <w:tc>
          <w:tcPr>
            <w:tcW w:w="6416"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《中华人民共和国安全生产法（2021年修正）》第25、26、27条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《国务院安委会关于进一步加强安全培训工作的决定》（安委〔2012〕10号）</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《道路运输企业主要负责人和安全生产管理人员安全考核管理办法》</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《四川省生产经营单位安全生产责任规定》第11条、第15条</w:t>
            </w:r>
          </w:p>
        </w:tc>
      </w:tr>
      <w:tr w:rsidR="00DB4AA6" w:rsidRPr="00DB4AA6" w:rsidTr="00DB4AA6">
        <w:trPr>
          <w:cantSplit/>
          <w:trHeight w:val="2020"/>
        </w:trPr>
        <w:tc>
          <w:tcPr>
            <w:tcW w:w="672" w:type="dxa"/>
            <w:vAlign w:val="center"/>
          </w:tcPr>
          <w:p w:rsidR="00DB4AA6" w:rsidRPr="00DB4AA6" w:rsidRDefault="00DB4AA6" w:rsidP="00DB4AA6">
            <w:pPr>
              <w:ind w:firstLineChars="0" w:firstLine="0"/>
              <w:jc w:val="center"/>
              <w:rPr>
                <w:rFonts w:ascii="仿宋_GB2312" w:hAnsi="等线" w:cs="宋体"/>
                <w:sz w:val="21"/>
                <w:szCs w:val="21"/>
              </w:rPr>
            </w:pPr>
            <w:bookmarkStart w:id="7" w:name="_Hlk54037057"/>
            <w:r w:rsidRPr="00DB4AA6">
              <w:rPr>
                <w:rFonts w:ascii="仿宋_GB2312" w:hAnsi="等线" w:cs="宋体" w:hint="eastAsia"/>
                <w:sz w:val="21"/>
                <w:szCs w:val="21"/>
              </w:rPr>
              <w:lastRenderedPageBreak/>
              <w:t>7</w:t>
            </w:r>
          </w:p>
        </w:tc>
        <w:tc>
          <w:tcPr>
            <w:tcW w:w="1013"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车辆技术管理</w:t>
            </w:r>
          </w:p>
        </w:tc>
        <w:tc>
          <w:tcPr>
            <w:tcW w:w="7355"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15.依法设置车辆技术专职管理部门，并按照50辆客运车辆配备1人的标准配置车辆技术专职管理人员，至少应配备1名车辆技术专职管理人员；</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16.按照相关法规和车辆技术管理制度，对车辆实施全过程管理；</w:t>
            </w:r>
          </w:p>
        </w:tc>
        <w:tc>
          <w:tcPr>
            <w:tcW w:w="6416"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《中华人民共和国安全生产法（2021年修正）》第33条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《中华人民共和国道路交通安全法》（2021年修正）第10条、第13条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《道路旅客运输企业安全管理规范》第29条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《交通运输部关于修改&lt;道路运输车辆技术管理规定&gt;的决定》（交通运输部令2019年第19号）第11条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《机动车强制报废标准规定》(商务部、</w:t>
            </w:r>
            <w:proofErr w:type="gramStart"/>
            <w:r w:rsidRPr="00DB4AA6">
              <w:rPr>
                <w:rFonts w:ascii="仿宋_GB2312" w:hAnsi="等线" w:cs="宋体" w:hint="eastAsia"/>
                <w:sz w:val="21"/>
                <w:szCs w:val="21"/>
              </w:rPr>
              <w:t>发改委</w:t>
            </w:r>
            <w:proofErr w:type="gramEnd"/>
            <w:r w:rsidRPr="00DB4AA6">
              <w:rPr>
                <w:rFonts w:ascii="仿宋_GB2312" w:hAnsi="等线" w:cs="宋体" w:hint="eastAsia"/>
                <w:sz w:val="21"/>
                <w:szCs w:val="21"/>
              </w:rPr>
              <w:t>、公安部、环境保护部令  2012年第12号)</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w:t>
            </w:r>
            <w:proofErr w:type="gramStart"/>
            <w:r w:rsidRPr="00DB4AA6">
              <w:rPr>
                <w:rFonts w:ascii="仿宋_GB2312" w:hAnsi="等线" w:cs="宋体" w:hint="eastAsia"/>
                <w:sz w:val="21"/>
                <w:szCs w:val="21"/>
              </w:rPr>
              <w:t>交运发</w:t>
            </w:r>
            <w:proofErr w:type="gramEnd"/>
            <w:r w:rsidRPr="00DB4AA6">
              <w:rPr>
                <w:rFonts w:ascii="仿宋_GB2312" w:hAnsi="等线" w:cs="宋体" w:hint="eastAsia"/>
                <w:sz w:val="21"/>
                <w:szCs w:val="21"/>
              </w:rPr>
              <w:t>〔2018〕55号）第29条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《机动车运行安全技术条件》（GB 7528）</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《车辆维护、检测、诊断技术规范》(GB/T18344)</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《道路运输企业车辆技术管理规范》（JT/T1045）</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《营运客车安全例行检查技术规范》（JT/T 893）</w:t>
            </w:r>
          </w:p>
        </w:tc>
      </w:tr>
      <w:tr w:rsidR="00DB4AA6" w:rsidRPr="00DB4AA6" w:rsidTr="00DB4AA6">
        <w:trPr>
          <w:cantSplit/>
          <w:trHeight w:val="1910"/>
        </w:trPr>
        <w:tc>
          <w:tcPr>
            <w:tcW w:w="672" w:type="dxa"/>
            <w:vAlign w:val="center"/>
          </w:tcPr>
          <w:p w:rsidR="00DB4AA6" w:rsidRPr="00DB4AA6" w:rsidRDefault="00DB4AA6" w:rsidP="00DB4AA6">
            <w:pPr>
              <w:ind w:firstLineChars="0" w:firstLine="0"/>
              <w:jc w:val="center"/>
              <w:rPr>
                <w:rFonts w:ascii="仿宋_GB2312" w:hAnsi="等线" w:cs="宋体"/>
                <w:sz w:val="21"/>
                <w:szCs w:val="21"/>
              </w:rPr>
            </w:pPr>
            <w:bookmarkStart w:id="8" w:name="_Hlk54037629"/>
            <w:bookmarkEnd w:id="7"/>
            <w:r w:rsidRPr="00DB4AA6">
              <w:rPr>
                <w:rFonts w:ascii="仿宋_GB2312" w:hAnsi="等线" w:cs="宋体" w:hint="eastAsia"/>
                <w:sz w:val="21"/>
                <w:szCs w:val="21"/>
              </w:rPr>
              <w:t>8</w:t>
            </w:r>
          </w:p>
        </w:tc>
        <w:tc>
          <w:tcPr>
            <w:tcW w:w="1013"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车辆动态监控</w:t>
            </w:r>
          </w:p>
        </w:tc>
        <w:tc>
          <w:tcPr>
            <w:tcW w:w="7355"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17.依法建设车辆动态监控平台，车辆安装符合国家、行业标准的车载终端，接入监控平台，对所属道路运输车辆和驾驶员运行过程进行实时监控和管理；</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 xml:space="preserve">18.应当配备专职监控人员，原则上应按照监控平台每接入100辆车设1人的标准配备，最低不少于2人； </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19.三类以上班线客车、旅游客车应安装主动安全智能防控系统；</w:t>
            </w:r>
          </w:p>
        </w:tc>
        <w:tc>
          <w:tcPr>
            <w:tcW w:w="6416"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《中华人民共和国安全生产法（2021年修正）》第33条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《道路交通安全法实施条例》第14条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关于贯彻《道路运输车辆动态监督管理办法》的实施意见（交通运输部第55号令）</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w:t>
            </w:r>
            <w:proofErr w:type="gramStart"/>
            <w:r w:rsidRPr="00DB4AA6">
              <w:rPr>
                <w:rFonts w:ascii="仿宋_GB2312" w:hAnsi="等线" w:cs="宋体" w:hint="eastAsia"/>
                <w:sz w:val="21"/>
                <w:szCs w:val="21"/>
              </w:rPr>
              <w:t>交运发</w:t>
            </w:r>
            <w:proofErr w:type="gramEnd"/>
            <w:r w:rsidRPr="00DB4AA6">
              <w:rPr>
                <w:rFonts w:ascii="仿宋_GB2312" w:hAnsi="等线" w:cs="宋体" w:hint="eastAsia"/>
                <w:sz w:val="21"/>
                <w:szCs w:val="21"/>
              </w:rPr>
              <w:t>〔2018〕55号）第49至57条</w:t>
            </w:r>
          </w:p>
        </w:tc>
      </w:tr>
      <w:tr w:rsidR="00DB4AA6" w:rsidRPr="00DB4AA6" w:rsidTr="00DB4AA6">
        <w:trPr>
          <w:cantSplit/>
          <w:trHeight w:val="3184"/>
        </w:trPr>
        <w:tc>
          <w:tcPr>
            <w:tcW w:w="672" w:type="dxa"/>
            <w:vAlign w:val="center"/>
          </w:tcPr>
          <w:p w:rsidR="00DB4AA6" w:rsidRPr="00DB4AA6" w:rsidRDefault="00DB4AA6" w:rsidP="00DB4AA6">
            <w:pPr>
              <w:ind w:firstLineChars="0" w:firstLine="0"/>
              <w:jc w:val="center"/>
              <w:rPr>
                <w:rFonts w:ascii="仿宋_GB2312" w:hAnsi="等线" w:cs="宋体"/>
                <w:sz w:val="21"/>
                <w:szCs w:val="21"/>
              </w:rPr>
            </w:pPr>
            <w:bookmarkStart w:id="9" w:name="_Hlk54038319"/>
            <w:bookmarkEnd w:id="8"/>
            <w:r w:rsidRPr="00DB4AA6">
              <w:rPr>
                <w:rFonts w:ascii="仿宋_GB2312" w:hAnsi="等线" w:cs="宋体" w:hint="eastAsia"/>
                <w:sz w:val="21"/>
                <w:szCs w:val="21"/>
              </w:rPr>
              <w:lastRenderedPageBreak/>
              <w:t>9</w:t>
            </w:r>
          </w:p>
        </w:tc>
        <w:tc>
          <w:tcPr>
            <w:tcW w:w="1013"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驾驶员管理</w:t>
            </w:r>
          </w:p>
        </w:tc>
        <w:tc>
          <w:tcPr>
            <w:tcW w:w="7355"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20.按照相关法规和驾驶员安全管理制度，规范驾驶员招聘、岗前培训和日常管理等，其中驾驶员岗前培训不少于24学时，并应在此基础上实际跟车实习，在岗学习每月不少于一次，每次不少于2学时，并对驾驶员实施全过程管理；</w:t>
            </w:r>
          </w:p>
        </w:tc>
        <w:tc>
          <w:tcPr>
            <w:tcW w:w="6416"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《中华人民共和国道路交通安全法》（2021年修正） 第19条、第23条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《道路交通安全法实施条例》第20条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《中华人民共和国道路运输条例》（国务院令第666号）第9条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w:t>
            </w:r>
            <w:proofErr w:type="gramStart"/>
            <w:r w:rsidRPr="00DB4AA6">
              <w:rPr>
                <w:rFonts w:ascii="仿宋_GB2312" w:hAnsi="等线" w:cs="宋体" w:hint="eastAsia"/>
                <w:sz w:val="21"/>
                <w:szCs w:val="21"/>
              </w:rPr>
              <w:t>交运发</w:t>
            </w:r>
            <w:proofErr w:type="gramEnd"/>
            <w:r w:rsidRPr="00DB4AA6">
              <w:rPr>
                <w:rFonts w:ascii="仿宋_GB2312" w:hAnsi="等线" w:cs="宋体" w:hint="eastAsia"/>
                <w:sz w:val="21"/>
                <w:szCs w:val="21"/>
              </w:rPr>
              <w:t>〔2018〕55号）第20至27条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《道路运输从业人员管理规定》（交通运输部令2019年第18号）第9条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《道路运输驾驶员继续教育办法》</w:t>
            </w:r>
          </w:p>
        </w:tc>
      </w:tr>
      <w:bookmarkEnd w:id="9"/>
      <w:tr w:rsidR="00DB4AA6" w:rsidRPr="00DB4AA6" w:rsidTr="00DB4AA6">
        <w:trPr>
          <w:cantSplit/>
          <w:trHeight w:val="1910"/>
        </w:trPr>
        <w:tc>
          <w:tcPr>
            <w:tcW w:w="672"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10</w:t>
            </w:r>
          </w:p>
        </w:tc>
        <w:tc>
          <w:tcPr>
            <w:tcW w:w="1013"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运输组织保障</w:t>
            </w:r>
          </w:p>
        </w:tc>
        <w:tc>
          <w:tcPr>
            <w:tcW w:w="7355"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21.依据相关法律法规和经营许可事项从事，规范开展客运经营活动，制定运行方案和安全防范措施；</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22.按照相关法律法规，对客运驾驶员配备和驾驶时间及休息时间等实施全过程管理；</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23.按照相关法律法规，对运输服务实施全过程管理，有效实施客运经营报停管理；</w:t>
            </w:r>
          </w:p>
        </w:tc>
        <w:tc>
          <w:tcPr>
            <w:tcW w:w="6416"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《道路旅客运输及客运站管理规定》</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w:t>
            </w:r>
            <w:proofErr w:type="gramStart"/>
            <w:r w:rsidRPr="00DB4AA6">
              <w:rPr>
                <w:rFonts w:ascii="仿宋_GB2312" w:hAnsi="等线" w:cs="宋体" w:hint="eastAsia"/>
                <w:sz w:val="21"/>
                <w:szCs w:val="21"/>
              </w:rPr>
              <w:t>交运发</w:t>
            </w:r>
            <w:proofErr w:type="gramEnd"/>
            <w:r w:rsidRPr="00DB4AA6">
              <w:rPr>
                <w:rFonts w:ascii="仿宋_GB2312" w:hAnsi="等线" w:cs="宋体" w:hint="eastAsia"/>
                <w:sz w:val="21"/>
                <w:szCs w:val="21"/>
              </w:rPr>
              <w:t>〔2018〕55号）</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《四川省道路运输条例（修订）》（2014年）第12、13条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《四川省道路旅客运输管理办法（修订）》（2020年）（四川省人民政府令第307号）第11条、第12条、第15条、第16条</w:t>
            </w:r>
          </w:p>
        </w:tc>
      </w:tr>
      <w:tr w:rsidR="00DB4AA6" w:rsidRPr="00DB4AA6" w:rsidTr="00DB4AA6">
        <w:trPr>
          <w:cantSplit/>
          <w:trHeight w:val="2043"/>
        </w:trPr>
        <w:tc>
          <w:tcPr>
            <w:tcW w:w="672"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11</w:t>
            </w:r>
          </w:p>
        </w:tc>
        <w:tc>
          <w:tcPr>
            <w:tcW w:w="1013"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双重预防机制</w:t>
            </w:r>
          </w:p>
        </w:tc>
        <w:tc>
          <w:tcPr>
            <w:tcW w:w="7355"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24.建立安全风险分级管控和隐患排查治理双重预防机制，定期开展风险辨识、评估、分级，制定分级管控措施。形成不同风险等级的企业管</w:t>
            </w:r>
            <w:proofErr w:type="gramStart"/>
            <w:r w:rsidRPr="00DB4AA6">
              <w:rPr>
                <w:rFonts w:ascii="仿宋_GB2312" w:hAnsi="等线" w:cs="宋体" w:hint="eastAsia"/>
                <w:sz w:val="21"/>
                <w:szCs w:val="21"/>
              </w:rPr>
              <w:t>控责任</w:t>
            </w:r>
            <w:proofErr w:type="gramEnd"/>
            <w:r w:rsidRPr="00DB4AA6">
              <w:rPr>
                <w:rFonts w:ascii="仿宋_GB2312" w:hAnsi="等线" w:cs="宋体" w:hint="eastAsia"/>
                <w:sz w:val="21"/>
                <w:szCs w:val="21"/>
              </w:rPr>
              <w:t xml:space="preserve">清单、管控措施清单、“明白卡”和安全风险手册； </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25.根据风险点开展隐患排查治理，并建立</w:t>
            </w:r>
            <w:proofErr w:type="gramStart"/>
            <w:r w:rsidRPr="00DB4AA6">
              <w:rPr>
                <w:rFonts w:ascii="仿宋_GB2312" w:hAnsi="等线" w:cs="宋体" w:hint="eastAsia"/>
                <w:sz w:val="21"/>
                <w:szCs w:val="21"/>
              </w:rPr>
              <w:t>完善台</w:t>
            </w:r>
            <w:proofErr w:type="gramEnd"/>
            <w:r w:rsidRPr="00DB4AA6">
              <w:rPr>
                <w:rFonts w:ascii="仿宋_GB2312" w:hAnsi="等线" w:cs="宋体" w:hint="eastAsia"/>
                <w:sz w:val="21"/>
                <w:szCs w:val="21"/>
              </w:rPr>
              <w:t>账和档案；</w:t>
            </w:r>
          </w:p>
        </w:tc>
        <w:tc>
          <w:tcPr>
            <w:tcW w:w="6416"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《中共中央 国务院关于推进安全生产领域改革发展的意见》（中发〔2016〕32号）第5大项第20至22小项</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《中华人民共和国安全生产法（2021年修正）》第38条、第43条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《四川省生产经营单位安全生产责任规定》第29条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《公路水路行业安全生产风险管理暂行办法》</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《道路旅客运输企业安全管理规范》第71、78条</w:t>
            </w:r>
          </w:p>
        </w:tc>
      </w:tr>
      <w:tr w:rsidR="00DB4AA6" w:rsidRPr="00DB4AA6" w:rsidTr="00DB4AA6">
        <w:trPr>
          <w:cantSplit/>
          <w:trHeight w:val="2244"/>
        </w:trPr>
        <w:tc>
          <w:tcPr>
            <w:tcW w:w="672"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lastRenderedPageBreak/>
              <w:t>12</w:t>
            </w:r>
          </w:p>
        </w:tc>
        <w:tc>
          <w:tcPr>
            <w:tcW w:w="1013"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应急</w:t>
            </w:r>
          </w:p>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管理</w:t>
            </w:r>
          </w:p>
        </w:tc>
        <w:tc>
          <w:tcPr>
            <w:tcW w:w="7355"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26.建立与生产经营活动相适应的应急救援体系；</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27.编制各类应急救援预案，并按照规定进行评审、备案、培训和演练，每年至少组织一次综合应急预案或者专项应急预案演练，每半年至少组织一次现场处置方案演练；</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28.建立应急救援队伍，配备必要的应急装备和物资；</w:t>
            </w:r>
          </w:p>
        </w:tc>
        <w:tc>
          <w:tcPr>
            <w:tcW w:w="6416"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《中华人民共和国安全生产法（2021年修正）》第47、78条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《生产安全事故报告和调查处理条例》（国务院令第493号）第9、14条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《生产安全事故应急条例》（国务院令第708号）第6、10、17条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《四川省生产经营单位安全生产责任规定》第31条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《生产安全事故应急预案管理办法》（应急管理部令第2号）</w:t>
            </w:r>
          </w:p>
        </w:tc>
      </w:tr>
      <w:tr w:rsidR="00DB4AA6" w:rsidRPr="00DB4AA6" w:rsidTr="00DB4AA6">
        <w:trPr>
          <w:cantSplit/>
          <w:trHeight w:val="614"/>
        </w:trPr>
        <w:tc>
          <w:tcPr>
            <w:tcW w:w="672"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15</w:t>
            </w:r>
          </w:p>
        </w:tc>
        <w:tc>
          <w:tcPr>
            <w:tcW w:w="1013"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生产安全事故管理</w:t>
            </w:r>
          </w:p>
        </w:tc>
        <w:tc>
          <w:tcPr>
            <w:tcW w:w="7355"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29.按照相关法律法规和事故报告调查处理统计管理制度，及时、如实向有关部门报告事故情况；</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30.按照“四不放过”原则开展事故调查处理工作；</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31.按照行业要求，定期开展事故统计分析工作；</w:t>
            </w:r>
          </w:p>
        </w:tc>
        <w:tc>
          <w:tcPr>
            <w:tcW w:w="6416"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《中华人民共和国安全生产法（2021年修正）》第80条、第84条</w:t>
            </w:r>
            <w:r w:rsidRPr="00DB4AA6">
              <w:rPr>
                <w:rFonts w:ascii="仿宋_GB2312" w:hAnsi="等线" w:cs="宋体" w:hint="eastAsia"/>
                <w:sz w:val="21"/>
                <w:szCs w:val="21"/>
              </w:rPr>
              <w:t> </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《生产安全事故应急条例》（国务院令第708号）第17条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《生产安全事故报告和调查处理条例》（国务院令第493号）第9条、第12条、第14条、第33条</w:t>
            </w:r>
          </w:p>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《生产安全事故统计管理办法》</w:t>
            </w:r>
          </w:p>
        </w:tc>
      </w:tr>
      <w:tr w:rsidR="00DB4AA6" w:rsidRPr="00DB4AA6" w:rsidTr="00DB4AA6">
        <w:trPr>
          <w:cantSplit/>
          <w:trHeight w:val="638"/>
        </w:trPr>
        <w:tc>
          <w:tcPr>
            <w:tcW w:w="672"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16</w:t>
            </w:r>
          </w:p>
        </w:tc>
        <w:tc>
          <w:tcPr>
            <w:tcW w:w="1013" w:type="dxa"/>
            <w:vAlign w:val="center"/>
          </w:tcPr>
          <w:p w:rsidR="00DB4AA6" w:rsidRPr="00DB4AA6" w:rsidRDefault="00DB4AA6" w:rsidP="00DB4AA6">
            <w:pPr>
              <w:ind w:firstLineChars="0" w:firstLine="0"/>
              <w:jc w:val="center"/>
              <w:rPr>
                <w:rFonts w:ascii="仿宋_GB2312" w:hAnsi="等线" w:cs="宋体"/>
                <w:sz w:val="21"/>
                <w:szCs w:val="21"/>
              </w:rPr>
            </w:pPr>
            <w:r w:rsidRPr="00DB4AA6">
              <w:rPr>
                <w:rFonts w:ascii="仿宋_GB2312" w:hAnsi="等线" w:cs="宋体" w:hint="eastAsia"/>
                <w:sz w:val="21"/>
                <w:szCs w:val="21"/>
              </w:rPr>
              <w:t>其他</w:t>
            </w:r>
          </w:p>
        </w:tc>
        <w:tc>
          <w:tcPr>
            <w:tcW w:w="7355" w:type="dxa"/>
            <w:vAlign w:val="center"/>
          </w:tcPr>
          <w:p w:rsidR="00DB4AA6" w:rsidRPr="00DB4AA6" w:rsidRDefault="00DB4AA6" w:rsidP="00DB4AA6">
            <w:pPr>
              <w:ind w:firstLineChars="0" w:firstLine="0"/>
              <w:rPr>
                <w:rFonts w:ascii="仿宋_GB2312" w:hAnsi="等线" w:cs="宋体"/>
                <w:sz w:val="21"/>
                <w:szCs w:val="21"/>
              </w:rPr>
            </w:pPr>
            <w:r w:rsidRPr="00DB4AA6">
              <w:rPr>
                <w:rFonts w:ascii="仿宋_GB2312" w:hAnsi="等线" w:cs="宋体" w:hint="eastAsia"/>
                <w:sz w:val="21"/>
                <w:szCs w:val="21"/>
              </w:rPr>
              <w:t>32.法律、法规、规章规定的其他安全生产责任。</w:t>
            </w:r>
          </w:p>
        </w:tc>
        <w:tc>
          <w:tcPr>
            <w:tcW w:w="6416" w:type="dxa"/>
            <w:vAlign w:val="center"/>
          </w:tcPr>
          <w:p w:rsidR="00DB4AA6" w:rsidRPr="00DB4AA6" w:rsidRDefault="00DB4AA6" w:rsidP="00DB4AA6">
            <w:pPr>
              <w:ind w:firstLineChars="0" w:firstLine="0"/>
              <w:rPr>
                <w:rFonts w:ascii="仿宋_GB2312" w:hAnsi="等线" w:cs="宋体"/>
                <w:sz w:val="21"/>
                <w:szCs w:val="21"/>
              </w:rPr>
            </w:pPr>
          </w:p>
        </w:tc>
      </w:tr>
    </w:tbl>
    <w:p w:rsidR="00E7569F" w:rsidRPr="00DB4AA6" w:rsidRDefault="00E7569F" w:rsidP="00DB4AA6">
      <w:pPr>
        <w:ind w:firstLineChars="0" w:firstLine="0"/>
        <w:rPr>
          <w:rFonts w:hint="eastAsia"/>
        </w:rPr>
      </w:pPr>
    </w:p>
    <w:sectPr w:rsidR="00E7569F" w:rsidRPr="00DB4AA6" w:rsidSect="00DB4AA6">
      <w:pgSz w:w="16838" w:h="11906" w:orient="landscape"/>
      <w:pgMar w:top="851" w:right="1134" w:bottom="851" w:left="1134"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A6"/>
    <w:rsid w:val="00667139"/>
    <w:rsid w:val="00DB4AA6"/>
    <w:rsid w:val="00E7569F"/>
    <w:rsid w:val="00EB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0F60"/>
  <w15:chartTrackingRefBased/>
  <w15:docId w15:val="{36FAE7F1-46DF-4099-B906-662A3C23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1C5"/>
    <w:pPr>
      <w:widowControl w:val="0"/>
      <w:ind w:firstLineChars="200" w:firstLine="20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c:creator>
  <cp:keywords/>
  <dc:description/>
  <cp:lastModifiedBy>Cai</cp:lastModifiedBy>
  <cp:revision>1</cp:revision>
  <dcterms:created xsi:type="dcterms:W3CDTF">2023-04-24T02:47:00Z</dcterms:created>
  <dcterms:modified xsi:type="dcterms:W3CDTF">2023-04-24T02:55:00Z</dcterms:modified>
</cp:coreProperties>
</file>