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22" w:rightChars="-8" w:firstLine="562"/>
        <w:rPr>
          <w:rFonts w:ascii="宋体" w:hAnsi="宋体" w:cs="宋体"/>
          <w:b/>
          <w:szCs w:val="28"/>
        </w:rPr>
      </w:pPr>
      <w:r>
        <w:rPr>
          <w:rFonts w:hint="eastAsia" w:ascii="宋体" w:hAnsi="宋体" w:cs="宋体"/>
          <w:b/>
          <w:szCs w:val="28"/>
        </w:rPr>
        <w:t>预案编号：</w:t>
      </w:r>
      <w:r>
        <w:rPr>
          <w:rFonts w:ascii="宋体" w:hAnsi="宋体" w:cs="宋体"/>
          <w:b/>
          <w:szCs w:val="28"/>
        </w:rPr>
        <w:t>NBTRQ</w:t>
      </w:r>
      <w:r>
        <w:rPr>
          <w:rFonts w:hint="eastAsia" w:ascii="宋体" w:hAnsi="宋体" w:cs="宋体"/>
          <w:b/>
          <w:szCs w:val="28"/>
        </w:rPr>
        <w:t>-YJYA-01-202</w:t>
      </w:r>
      <w:r>
        <w:rPr>
          <w:rFonts w:ascii="宋体" w:hAnsi="宋体" w:cs="宋体"/>
          <w:b/>
          <w:szCs w:val="28"/>
        </w:rPr>
        <w:t>2</w:t>
      </w:r>
    </w:p>
    <w:p>
      <w:pPr>
        <w:pStyle w:val="19"/>
        <w:ind w:firstLine="562"/>
        <w:rPr>
          <w:rFonts w:ascii="宋体" w:hAnsi="宋体"/>
          <w:b/>
          <w:i w:val="0"/>
          <w:sz w:val="28"/>
          <w:szCs w:val="28"/>
        </w:rPr>
      </w:pPr>
      <w:r>
        <w:rPr>
          <w:rFonts w:hint="eastAsia" w:ascii="宋体" w:hAnsi="宋体"/>
          <w:b/>
          <w:i w:val="0"/>
          <w:sz w:val="28"/>
          <w:szCs w:val="28"/>
        </w:rPr>
        <w:t>预案版本号：V</w:t>
      </w:r>
      <w:r>
        <w:rPr>
          <w:rFonts w:ascii="宋体" w:hAnsi="宋体"/>
          <w:b/>
          <w:i w:val="0"/>
          <w:sz w:val="28"/>
          <w:szCs w:val="28"/>
        </w:rPr>
        <w:t>2.0(</w:t>
      </w:r>
      <w:r>
        <w:rPr>
          <w:rFonts w:hint="eastAsia" w:ascii="宋体" w:hAnsi="宋体"/>
          <w:b/>
          <w:i w:val="0"/>
          <w:sz w:val="28"/>
          <w:szCs w:val="28"/>
        </w:rPr>
        <w:t>第二版)</w:t>
      </w:r>
    </w:p>
    <w:p>
      <w:pPr>
        <w:pStyle w:val="95"/>
        <w:spacing w:before="120" w:beforeLines="50" w:beforeAutospacing="0" w:after="120" w:afterLines="50" w:afterAutospacing="0"/>
        <w:ind w:firstLine="883"/>
        <w:jc w:val="center"/>
        <w:rPr>
          <w:rFonts w:hAnsi="宋体"/>
          <w:b/>
          <w:bCs/>
          <w:sz w:val="44"/>
          <w:szCs w:val="44"/>
        </w:rPr>
      </w:pPr>
    </w:p>
    <w:p>
      <w:pPr>
        <w:ind w:firstLine="723"/>
        <w:jc w:val="center"/>
        <w:rPr>
          <w:rFonts w:ascii="宋体" w:hAnsi="宋体" w:cs="宋体"/>
          <w:b/>
          <w:sz w:val="36"/>
          <w:szCs w:val="36"/>
        </w:rPr>
      </w:pPr>
    </w:p>
    <w:p>
      <w:pPr>
        <w:ind w:firstLine="723"/>
        <w:jc w:val="center"/>
        <w:rPr>
          <w:rFonts w:ascii="宋体" w:hAnsi="宋体" w:cs="宋体"/>
          <w:b/>
          <w:sz w:val="36"/>
          <w:szCs w:val="36"/>
        </w:rPr>
      </w:pPr>
    </w:p>
    <w:p>
      <w:pPr>
        <w:spacing w:line="560" w:lineRule="exact"/>
        <w:jc w:val="center"/>
        <w:rPr>
          <w:rFonts w:ascii="宋体" w:cs="仿宋_GB2312"/>
          <w:b/>
          <w:sz w:val="44"/>
          <w:szCs w:val="44"/>
        </w:rPr>
      </w:pPr>
      <w:r>
        <w:rPr>
          <w:rFonts w:hint="eastAsia"/>
          <w:b/>
          <w:sz w:val="44"/>
          <w:szCs w:val="44"/>
          <w:lang w:val="en-US" w:eastAsia="zh-CN"/>
        </w:rPr>
        <w:t>四川省</w:t>
      </w:r>
      <w:r>
        <w:rPr>
          <w:rFonts w:hint="eastAsia"/>
          <w:b/>
          <w:sz w:val="44"/>
          <w:szCs w:val="44"/>
        </w:rPr>
        <w:t>南部县天然气有限责任公司</w:t>
      </w:r>
    </w:p>
    <w:p>
      <w:pPr>
        <w:pStyle w:val="72"/>
        <w:rPr>
          <w:rFonts w:hAnsi="宋体"/>
          <w:b/>
          <w:color w:val="auto"/>
          <w:sz w:val="36"/>
          <w:szCs w:val="36"/>
        </w:rPr>
      </w:pPr>
    </w:p>
    <w:p>
      <w:pPr>
        <w:jc w:val="center"/>
        <w:rPr>
          <w:rFonts w:ascii="宋体" w:hAnsi="宋体" w:cs="宋体"/>
          <w:b/>
          <w:bCs/>
          <w:spacing w:val="70"/>
          <w:sz w:val="44"/>
          <w:szCs w:val="44"/>
        </w:rPr>
      </w:pPr>
      <w:r>
        <w:rPr>
          <w:rFonts w:hint="eastAsia" w:ascii="宋体" w:hAnsi="宋体" w:cs="宋体"/>
          <w:b/>
          <w:sz w:val="52"/>
          <w:szCs w:val="52"/>
        </w:rPr>
        <w:t>生产安全事故应急预案</w:t>
      </w:r>
    </w:p>
    <w:p>
      <w:pPr>
        <w:spacing w:before="600" w:beforeLines="250"/>
        <w:jc w:val="center"/>
        <w:rPr>
          <w:rFonts w:ascii="宋体" w:hAnsi="宋体" w:cs="宋体"/>
          <w:b/>
          <w:szCs w:val="28"/>
        </w:rPr>
      </w:pPr>
      <w:r>
        <w:rPr>
          <w:rFonts w:hint="eastAsia" w:ascii="宋体" w:hAnsi="宋体" w:cs="宋体"/>
          <w:b/>
          <w:szCs w:val="28"/>
        </w:rPr>
        <w:t>(第二版)</w:t>
      </w:r>
    </w:p>
    <w:p>
      <w:pPr>
        <w:ind w:firstLine="2080" w:firstLineChars="740"/>
        <w:rPr>
          <w:rFonts w:ascii="宋体" w:hAnsi="宋体" w:cs="宋体"/>
          <w:b/>
          <w:szCs w:val="28"/>
        </w:rPr>
      </w:pPr>
      <w:r>
        <w:rPr>
          <w:rFonts w:hint="eastAsia" w:ascii="宋体" w:hAnsi="宋体" w:cs="宋体"/>
          <w:b/>
          <w:szCs w:val="28"/>
        </w:rPr>
        <w:t xml:space="preserve">  </w:t>
      </w:r>
    </w:p>
    <w:p>
      <w:pPr>
        <w:ind w:firstLine="1400" w:firstLineChars="500"/>
        <w:rPr>
          <w:rFonts w:ascii="宋体" w:hAnsi="宋体" w:cs="宋体"/>
        </w:rPr>
      </w:pPr>
    </w:p>
    <w:p>
      <w:pPr>
        <w:ind w:firstLine="560"/>
        <w:rPr>
          <w:rFonts w:ascii="宋体" w:hAnsi="宋体" w:cs="宋体"/>
        </w:rPr>
      </w:pPr>
    </w:p>
    <w:p>
      <w:pPr>
        <w:ind w:firstLine="560"/>
        <w:rPr>
          <w:rFonts w:ascii="宋体" w:hAnsi="宋体" w:cs="宋体"/>
        </w:rPr>
      </w:pPr>
    </w:p>
    <w:p>
      <w:pPr>
        <w:ind w:firstLine="354" w:firstLineChars="147"/>
        <w:rPr>
          <w:rFonts w:ascii="宋体" w:hAnsi="宋体" w:cs="宋体"/>
          <w:b/>
          <w:sz w:val="24"/>
          <w:szCs w:val="24"/>
          <w:u w:val="single"/>
        </w:rPr>
      </w:pPr>
    </w:p>
    <w:p>
      <w:pPr>
        <w:ind w:firstLine="354" w:firstLineChars="147"/>
        <w:rPr>
          <w:rFonts w:ascii="宋体" w:hAnsi="宋体" w:cs="宋体"/>
          <w:b/>
          <w:sz w:val="24"/>
          <w:szCs w:val="24"/>
          <w:u w:val="single"/>
        </w:rPr>
      </w:pPr>
    </w:p>
    <w:p>
      <w:pPr>
        <w:ind w:firstLine="354" w:firstLineChars="147"/>
        <w:rPr>
          <w:rFonts w:ascii="宋体" w:hAnsi="宋体" w:cs="宋体"/>
          <w:b/>
          <w:sz w:val="24"/>
          <w:szCs w:val="24"/>
          <w:u w:val="single"/>
        </w:rPr>
      </w:pPr>
    </w:p>
    <w:p>
      <w:pPr>
        <w:ind w:firstLine="354" w:firstLineChars="147"/>
        <w:rPr>
          <w:rFonts w:ascii="宋体" w:hAnsi="宋体" w:cs="宋体"/>
          <w:b/>
          <w:sz w:val="24"/>
          <w:szCs w:val="24"/>
          <w:u w:val="single"/>
        </w:rPr>
      </w:pPr>
    </w:p>
    <w:p>
      <w:pPr>
        <w:jc w:val="center"/>
        <w:rPr>
          <w:rFonts w:ascii="宋体" w:hAnsi="宋体" w:cs="宋体"/>
          <w:b/>
          <w:szCs w:val="28"/>
          <w:u w:val="single"/>
        </w:rPr>
      </w:pPr>
      <w:r>
        <w:rPr>
          <w:rFonts w:hint="eastAsia" w:ascii="宋体" w:hAnsi="宋体" w:cs="宋体"/>
          <w:b/>
          <w:szCs w:val="28"/>
          <w:u w:val="single"/>
        </w:rPr>
        <w:t>发布时间：202</w:t>
      </w:r>
      <w:r>
        <w:rPr>
          <w:rFonts w:ascii="宋体" w:hAnsi="宋体" w:cs="宋体"/>
          <w:b/>
          <w:szCs w:val="28"/>
          <w:u w:val="single"/>
        </w:rPr>
        <w:t>2</w:t>
      </w:r>
      <w:r>
        <w:rPr>
          <w:rFonts w:hint="eastAsia" w:ascii="宋体" w:hAnsi="宋体" w:cs="宋体"/>
          <w:b/>
          <w:szCs w:val="28"/>
          <w:u w:val="single"/>
        </w:rPr>
        <w:t>年</w:t>
      </w:r>
      <w:r>
        <w:rPr>
          <w:rFonts w:ascii="宋体" w:hAnsi="宋体" w:cs="宋体"/>
          <w:b/>
          <w:szCs w:val="28"/>
          <w:u w:val="single"/>
        </w:rPr>
        <w:t>5</w:t>
      </w:r>
      <w:r>
        <w:rPr>
          <w:rFonts w:hint="eastAsia" w:ascii="宋体" w:hAnsi="宋体" w:cs="宋体"/>
          <w:b/>
          <w:szCs w:val="28"/>
          <w:u w:val="single"/>
        </w:rPr>
        <w:t>月</w:t>
      </w:r>
      <w:r>
        <w:rPr>
          <w:rFonts w:ascii="宋体" w:hAnsi="宋体" w:cs="宋体"/>
          <w:b/>
          <w:szCs w:val="28"/>
          <w:u w:val="single"/>
        </w:rPr>
        <w:t>10</w:t>
      </w:r>
      <w:r>
        <w:rPr>
          <w:rFonts w:hint="eastAsia" w:ascii="宋体" w:hAnsi="宋体" w:cs="宋体"/>
          <w:b/>
          <w:szCs w:val="28"/>
          <w:u w:val="single"/>
        </w:rPr>
        <w:t xml:space="preserve">日   </w:t>
      </w:r>
      <w:r>
        <w:rPr>
          <w:rFonts w:ascii="宋体" w:hAnsi="宋体" w:cs="宋体"/>
          <w:b/>
          <w:szCs w:val="28"/>
          <w:u w:val="single"/>
        </w:rPr>
        <w:t xml:space="preserve"> </w:t>
      </w:r>
      <w:r>
        <w:rPr>
          <w:rFonts w:hint="eastAsia" w:ascii="宋体" w:hAnsi="宋体" w:cs="宋体"/>
          <w:b/>
          <w:szCs w:val="28"/>
          <w:u w:val="single"/>
        </w:rPr>
        <w:t>实施时间：202</w:t>
      </w:r>
      <w:r>
        <w:rPr>
          <w:rFonts w:ascii="宋体" w:hAnsi="宋体" w:cs="宋体"/>
          <w:b/>
          <w:szCs w:val="28"/>
          <w:u w:val="single"/>
        </w:rPr>
        <w:t>2</w:t>
      </w:r>
      <w:r>
        <w:rPr>
          <w:rFonts w:hint="eastAsia" w:ascii="宋体" w:hAnsi="宋体" w:cs="宋体"/>
          <w:b/>
          <w:szCs w:val="28"/>
          <w:u w:val="single"/>
        </w:rPr>
        <w:t>年</w:t>
      </w:r>
      <w:r>
        <w:rPr>
          <w:rFonts w:ascii="宋体" w:hAnsi="宋体" w:cs="宋体"/>
          <w:b/>
          <w:szCs w:val="28"/>
          <w:u w:val="single"/>
        </w:rPr>
        <w:t>5</w:t>
      </w:r>
      <w:r>
        <w:rPr>
          <w:rFonts w:hint="eastAsia" w:ascii="宋体" w:hAnsi="宋体" w:cs="宋体"/>
          <w:b/>
          <w:szCs w:val="28"/>
          <w:u w:val="single"/>
        </w:rPr>
        <w:t>月</w:t>
      </w:r>
      <w:r>
        <w:rPr>
          <w:rFonts w:ascii="宋体" w:hAnsi="宋体" w:cs="宋体"/>
          <w:b/>
          <w:szCs w:val="28"/>
          <w:u w:val="single"/>
        </w:rPr>
        <w:t>10</w:t>
      </w:r>
      <w:r>
        <w:rPr>
          <w:rFonts w:hint="eastAsia" w:ascii="宋体" w:hAnsi="宋体" w:cs="宋体"/>
          <w:b/>
          <w:szCs w:val="28"/>
          <w:u w:val="single"/>
        </w:rPr>
        <w:t>日</w:t>
      </w:r>
    </w:p>
    <w:p>
      <w:pPr>
        <w:ind w:firstLine="643"/>
        <w:jc w:val="center"/>
        <w:rPr>
          <w:rFonts w:ascii="宋体" w:hAnsi="宋体" w:cs="宋体"/>
          <w:b/>
          <w:sz w:val="32"/>
          <w:szCs w:val="32"/>
        </w:rPr>
      </w:pPr>
    </w:p>
    <w:p>
      <w:pPr>
        <w:spacing w:line="560" w:lineRule="exact"/>
        <w:jc w:val="center"/>
        <w:rPr>
          <w:rFonts w:ascii="宋体" w:cs="仿宋_GB2312"/>
          <w:b/>
          <w:sz w:val="44"/>
          <w:szCs w:val="44"/>
        </w:rPr>
      </w:pPr>
      <w:r>
        <w:rPr>
          <w:rFonts w:hint="eastAsia" w:ascii="宋体" w:hAnsi="宋体" w:cs="宋体"/>
          <w:b/>
          <w:szCs w:val="28"/>
        </w:rPr>
        <w:t>编制单位：</w:t>
      </w:r>
      <w:r>
        <w:rPr>
          <w:rFonts w:hint="eastAsia" w:ascii="宋体" w:hAnsi="宋体" w:cs="宋体"/>
          <w:b/>
          <w:szCs w:val="28"/>
          <w:lang w:val="en-US" w:eastAsia="zh-CN"/>
        </w:rPr>
        <w:t>四川省</w:t>
      </w:r>
      <w:r>
        <w:rPr>
          <w:rFonts w:hint="eastAsia"/>
          <w:b/>
          <w:szCs w:val="28"/>
        </w:rPr>
        <w:t>南部县天然气有限责任公司</w:t>
      </w:r>
    </w:p>
    <w:p>
      <w:pPr>
        <w:spacing w:line="560" w:lineRule="exact"/>
        <w:ind w:firstLine="562"/>
        <w:jc w:val="center"/>
        <w:rPr>
          <w:rFonts w:ascii="宋体" w:cs="仿宋_GB2312"/>
          <w:b/>
          <w:szCs w:val="28"/>
        </w:rPr>
      </w:pPr>
    </w:p>
    <w:p>
      <w:pPr>
        <w:ind w:firstLine="2527" w:firstLineChars="600"/>
        <w:jc w:val="both"/>
        <w:rPr>
          <w:rFonts w:ascii="宋体" w:hAnsi="宋体" w:cs="宋体"/>
          <w:b/>
          <w:bCs/>
          <w:spacing w:val="70"/>
          <w:szCs w:val="28"/>
        </w:rPr>
      </w:pPr>
    </w:p>
    <w:p>
      <w:pPr>
        <w:pStyle w:val="19"/>
        <w:ind w:firstLine="560"/>
        <w:rPr>
          <w:sz w:val="28"/>
          <w:szCs w:val="28"/>
        </w:rPr>
        <w:sectPr>
          <w:headerReference r:id="rId4" w:type="first"/>
          <w:footerReference r:id="rId5" w:type="even"/>
          <w:pgSz w:w="11906" w:h="16838"/>
          <w:pgMar w:top="1440" w:right="1800" w:bottom="1440" w:left="1800" w:header="708" w:footer="708" w:gutter="0"/>
          <w:cols w:space="708" w:num="1"/>
          <w:docGrid w:linePitch="360" w:charSpace="0"/>
        </w:sectPr>
      </w:pPr>
    </w:p>
    <w:p>
      <w:pPr>
        <w:adjustRightInd/>
        <w:snapToGrid/>
        <w:spacing w:after="0"/>
        <w:ind w:firstLine="863"/>
        <w:rPr>
          <w:rFonts w:ascii="宋体" w:hAnsi="宋体" w:cs="宋体"/>
          <w:b/>
          <w:bCs/>
          <w:spacing w:val="70"/>
          <w:sz w:val="36"/>
          <w:szCs w:val="36"/>
        </w:rPr>
      </w:pPr>
      <w:r>
        <w:rPr>
          <w:rFonts w:ascii="宋体" w:hAnsi="宋体" w:cs="宋体"/>
          <w:b/>
          <w:bCs/>
          <w:spacing w:val="70"/>
          <w:sz w:val="36"/>
          <w:szCs w:val="36"/>
        </w:rPr>
        <w:br w:type="page"/>
      </w:r>
    </w:p>
    <w:p>
      <w:pPr>
        <w:spacing w:after="312" w:afterLines="100" w:line="360" w:lineRule="auto"/>
        <w:jc w:val="center"/>
        <w:rPr>
          <w:rFonts w:ascii="宋体" w:hAnsi="宋体" w:cs="宋体"/>
          <w:b/>
          <w:bCs/>
          <w:spacing w:val="70"/>
          <w:sz w:val="36"/>
          <w:szCs w:val="36"/>
        </w:rPr>
      </w:pPr>
      <w:r>
        <w:rPr>
          <w:rFonts w:hint="eastAsia" w:ascii="宋体" w:hAnsi="宋体" w:cs="宋体"/>
          <w:b/>
          <w:bCs/>
          <w:spacing w:val="70"/>
          <w:sz w:val="36"/>
          <w:szCs w:val="36"/>
        </w:rPr>
        <w:t>批准页</w:t>
      </w:r>
    </w:p>
    <w:p>
      <w:pPr>
        <w:spacing w:after="0" w:line="560" w:lineRule="exact"/>
        <w:ind w:firstLine="560" w:firstLineChars="200"/>
        <w:jc w:val="both"/>
        <w:rPr>
          <w:rFonts w:ascii="宋体" w:hAnsi="宋体" w:cs="宋体"/>
          <w:szCs w:val="28"/>
        </w:rPr>
      </w:pPr>
      <w:r>
        <w:rPr>
          <w:rFonts w:hint="eastAsia" w:ascii="宋体" w:hAnsi="宋体" w:cs="宋体"/>
          <w:szCs w:val="28"/>
        </w:rPr>
        <w:t>根据《中华人民共和国安全生产法》《中华人民共和国消防法》《中华人民共和国环境保护法》《中华人民共和国职业病防治法》《中华人民共和国突发事件应对法》《生产安全事故应急条例》（国务院令第708号令）《突发事件应急预案管理办法》（国办发〔2013〕101号）《生产经营单位生产安全事故应急预案编制导则（GB/T 29639-2020）》《生产安全事故应急预案管理办法》（原国家安监总局88号令发布，应急管理部2号令修订）等有关法律法规及规定的要求，确保本企业员工的生命财产安全，在事故发生后能迅速、有效、有序地实施救援，本企业应急预案编写小组编写了《</w:t>
      </w:r>
      <w:r>
        <w:rPr>
          <w:rFonts w:hint="eastAsia" w:ascii="宋体" w:hAnsi="宋体" w:cs="宋体"/>
          <w:szCs w:val="28"/>
          <w:lang w:val="en-US" w:eastAsia="zh-CN"/>
        </w:rPr>
        <w:t>四川省</w:t>
      </w:r>
      <w:r>
        <w:rPr>
          <w:rFonts w:hint="eastAsia" w:ascii="宋体" w:hAnsi="宋体" w:cs="宋体"/>
          <w:bCs/>
          <w:szCs w:val="28"/>
        </w:rPr>
        <w:t>南部县天然气有限责任公司</w:t>
      </w:r>
      <w:r>
        <w:rPr>
          <w:rFonts w:hint="eastAsia" w:ascii="宋体" w:hAnsi="宋体" w:cs="宋体"/>
          <w:szCs w:val="28"/>
        </w:rPr>
        <w:t>生产安全事故应急预案》。该预案是本企业实施应急救援的规范性文件，用于指导本企业内生产安全事故的应急救援行动。</w:t>
      </w:r>
    </w:p>
    <w:p>
      <w:pPr>
        <w:adjustRightInd/>
        <w:snapToGrid/>
        <w:spacing w:after="0" w:line="560" w:lineRule="exact"/>
        <w:ind w:firstLine="560" w:firstLineChars="200"/>
        <w:jc w:val="both"/>
      </w:pPr>
      <w:r>
        <w:rPr>
          <w:rFonts w:hint="eastAsia" w:ascii="宋体" w:hAnsi="宋体" w:cs="宋体"/>
          <w:szCs w:val="28"/>
        </w:rPr>
        <w:t>本预案由生产安全事故综合应急预案、专项应急预案、现场处置方案组成，于202</w:t>
      </w:r>
      <w:r>
        <w:rPr>
          <w:rFonts w:ascii="宋体" w:hAnsi="宋体" w:cs="宋体"/>
          <w:szCs w:val="28"/>
        </w:rPr>
        <w:t>2</w:t>
      </w:r>
      <w:r>
        <w:rPr>
          <w:rFonts w:hint="eastAsia" w:ascii="宋体" w:hAnsi="宋体" w:cs="宋体"/>
          <w:szCs w:val="28"/>
        </w:rPr>
        <w:t>年</w:t>
      </w:r>
      <w:r>
        <w:rPr>
          <w:rFonts w:ascii="宋体" w:hAnsi="宋体" w:cs="宋体"/>
          <w:szCs w:val="28"/>
        </w:rPr>
        <w:t>5</w:t>
      </w:r>
      <w:r>
        <w:rPr>
          <w:rFonts w:hint="eastAsia" w:ascii="宋体" w:hAnsi="宋体" w:cs="宋体"/>
          <w:szCs w:val="28"/>
        </w:rPr>
        <w:t>月1</w:t>
      </w:r>
      <w:r>
        <w:rPr>
          <w:rFonts w:ascii="宋体" w:hAnsi="宋体" w:cs="宋体"/>
          <w:szCs w:val="28"/>
        </w:rPr>
        <w:t>0</w:t>
      </w:r>
      <w:r>
        <w:rPr>
          <w:rFonts w:hint="eastAsia" w:ascii="宋体" w:hAnsi="宋体" w:cs="宋体"/>
          <w:szCs w:val="28"/>
        </w:rPr>
        <w:t>日经本企业</w:t>
      </w:r>
      <w:r>
        <w:rPr>
          <w:rFonts w:hint="eastAsia" w:ascii="宋体" w:hAnsi="宋体" w:cs="宋体"/>
          <w:color w:val="auto"/>
          <w:szCs w:val="28"/>
        </w:rPr>
        <w:t>安全</w:t>
      </w:r>
      <w:r>
        <w:rPr>
          <w:rFonts w:hint="eastAsia" w:ascii="宋体" w:hAnsi="宋体" w:cs="宋体"/>
          <w:color w:val="auto"/>
          <w:szCs w:val="28"/>
          <w:lang w:eastAsia="zh-CN"/>
        </w:rPr>
        <w:t>管理</w:t>
      </w:r>
      <w:r>
        <w:rPr>
          <w:rFonts w:hint="eastAsia" w:ascii="宋体" w:hAnsi="宋体" w:cs="宋体"/>
          <w:color w:val="auto"/>
          <w:szCs w:val="28"/>
        </w:rPr>
        <w:t>领导小组</w:t>
      </w:r>
      <w:r>
        <w:rPr>
          <w:rFonts w:hint="eastAsia" w:ascii="宋体" w:hAnsi="宋体" w:cs="宋体"/>
          <w:szCs w:val="28"/>
        </w:rPr>
        <w:t>审议通过，现予公布，自202</w:t>
      </w:r>
      <w:r>
        <w:rPr>
          <w:rFonts w:ascii="宋体" w:hAnsi="宋体" w:cs="宋体"/>
          <w:szCs w:val="28"/>
        </w:rPr>
        <w:t>2</w:t>
      </w:r>
      <w:r>
        <w:rPr>
          <w:rFonts w:hint="eastAsia" w:ascii="宋体" w:hAnsi="宋体" w:cs="宋体"/>
          <w:szCs w:val="28"/>
        </w:rPr>
        <w:t>年</w:t>
      </w:r>
      <w:r>
        <w:rPr>
          <w:rFonts w:ascii="宋体" w:hAnsi="宋体" w:cs="宋体"/>
          <w:szCs w:val="28"/>
        </w:rPr>
        <w:t>5</w:t>
      </w:r>
      <w:r>
        <w:rPr>
          <w:rFonts w:hint="eastAsia" w:ascii="宋体" w:hAnsi="宋体" w:cs="宋体"/>
          <w:szCs w:val="28"/>
        </w:rPr>
        <w:t>月</w:t>
      </w:r>
      <w:r>
        <w:rPr>
          <w:rFonts w:ascii="宋体" w:hAnsi="宋体" w:cs="宋体"/>
          <w:szCs w:val="28"/>
        </w:rPr>
        <w:t>10</w:t>
      </w:r>
      <w:r>
        <w:rPr>
          <w:rFonts w:hint="eastAsia" w:ascii="宋体" w:hAnsi="宋体" w:cs="宋体"/>
          <w:szCs w:val="28"/>
        </w:rPr>
        <w:t>日起施行。本企业内所有部门、员工均应严格遵守执行。</w:t>
      </w:r>
    </w:p>
    <w:p>
      <w:pPr>
        <w:pStyle w:val="19"/>
        <w:spacing w:line="360" w:lineRule="auto"/>
        <w:ind w:firstLine="560"/>
        <w:rPr>
          <w:rFonts w:ascii="宋体" w:hAnsi="宋体"/>
          <w:i w:val="0"/>
          <w:iCs/>
          <w:sz w:val="28"/>
          <w:szCs w:val="28"/>
        </w:rPr>
      </w:pPr>
      <w:r>
        <w:rPr>
          <w:rFonts w:hint="eastAsia" w:ascii="宋体" w:hAnsi="宋体"/>
          <w:sz w:val="28"/>
          <w:szCs w:val="28"/>
        </w:rPr>
        <w:t xml:space="preserve">    </w:t>
      </w:r>
      <w:r>
        <w:rPr>
          <w:rFonts w:hint="eastAsia" w:ascii="宋体" w:hAnsi="宋体"/>
          <w:i w:val="0"/>
          <w:iCs/>
          <w:sz w:val="28"/>
          <w:szCs w:val="28"/>
        </w:rPr>
        <w:t xml:space="preserve">   </w:t>
      </w:r>
      <w:r>
        <w:rPr>
          <w:rFonts w:ascii="宋体" w:hAnsi="宋体"/>
          <w:i w:val="0"/>
          <w:iCs/>
          <w:sz w:val="28"/>
          <w:szCs w:val="28"/>
        </w:rPr>
        <w:t xml:space="preserve">                    </w:t>
      </w:r>
    </w:p>
    <w:p>
      <w:pPr>
        <w:pStyle w:val="19"/>
        <w:spacing w:line="360" w:lineRule="auto"/>
        <w:ind w:firstLine="560"/>
        <w:jc w:val="right"/>
        <w:rPr>
          <w:rFonts w:ascii="宋体" w:hAnsi="宋体"/>
          <w:i w:val="0"/>
          <w:iCs/>
          <w:sz w:val="28"/>
          <w:szCs w:val="28"/>
        </w:rPr>
      </w:pPr>
      <w:r>
        <w:rPr>
          <w:rFonts w:ascii="宋体" w:hAnsi="宋体"/>
          <w:i w:val="0"/>
          <w:iCs/>
          <w:sz w:val="28"/>
          <w:szCs w:val="28"/>
        </w:rPr>
        <w:t xml:space="preserve">  </w:t>
      </w:r>
      <w:r>
        <w:rPr>
          <w:rFonts w:hint="eastAsia" w:ascii="宋体" w:hAnsi="宋体"/>
          <w:i w:val="0"/>
          <w:iCs/>
          <w:sz w:val="28"/>
          <w:szCs w:val="28"/>
          <w:lang w:eastAsia="zh-CN"/>
        </w:rPr>
        <w:t>四川省</w:t>
      </w:r>
      <w:r>
        <w:rPr>
          <w:rFonts w:hint="eastAsia" w:ascii="宋体" w:hAnsi="宋体"/>
          <w:bCs/>
          <w:i w:val="0"/>
          <w:iCs/>
          <w:sz w:val="28"/>
          <w:szCs w:val="28"/>
        </w:rPr>
        <w:t>南部县天然气有限责任公司</w:t>
      </w:r>
    </w:p>
    <w:p>
      <w:pPr>
        <w:spacing w:line="360" w:lineRule="auto"/>
        <w:ind w:right="-22" w:rightChars="-8" w:firstLine="4340" w:firstLineChars="1550"/>
        <w:rPr>
          <w:rFonts w:ascii="宋体" w:hAnsi="宋体" w:cs="宋体"/>
          <w:b/>
          <w:szCs w:val="28"/>
        </w:rPr>
      </w:pPr>
      <w:r>
        <w:rPr>
          <w:rFonts w:hint="eastAsia" w:ascii="宋体" w:hAnsi="宋体" w:cs="宋体"/>
          <w:szCs w:val="28"/>
        </w:rPr>
        <w:t xml:space="preserve"> 负责人（签字）：</w:t>
      </w:r>
    </w:p>
    <w:p>
      <w:pPr>
        <w:spacing w:line="360" w:lineRule="auto"/>
        <w:ind w:right="-22" w:rightChars="-8" w:firstLine="562"/>
        <w:rPr>
          <w:rFonts w:ascii="宋体" w:hAnsi="宋体" w:cs="宋体"/>
          <w:szCs w:val="28"/>
        </w:rPr>
      </w:pPr>
      <w:r>
        <w:rPr>
          <w:rFonts w:hint="eastAsia" w:ascii="宋体" w:hAnsi="宋体" w:cs="宋体"/>
          <w:b/>
          <w:szCs w:val="28"/>
        </w:rPr>
        <w:t xml:space="preserve">                                       </w:t>
      </w:r>
      <w:r>
        <w:rPr>
          <w:rFonts w:hint="eastAsia" w:ascii="宋体" w:hAnsi="宋体" w:cs="宋体"/>
          <w:szCs w:val="28"/>
        </w:rPr>
        <w:t>202</w:t>
      </w:r>
      <w:r>
        <w:rPr>
          <w:rFonts w:ascii="宋体" w:hAnsi="宋体" w:cs="宋体"/>
          <w:szCs w:val="28"/>
        </w:rPr>
        <w:t>2</w:t>
      </w:r>
      <w:r>
        <w:rPr>
          <w:rFonts w:hint="eastAsia" w:ascii="宋体" w:hAnsi="宋体" w:cs="宋体"/>
          <w:szCs w:val="28"/>
        </w:rPr>
        <w:t>年</w:t>
      </w:r>
      <w:r>
        <w:rPr>
          <w:rFonts w:ascii="宋体" w:hAnsi="宋体" w:cs="宋体"/>
          <w:szCs w:val="28"/>
        </w:rPr>
        <w:t>5</w:t>
      </w:r>
      <w:r>
        <w:rPr>
          <w:rFonts w:hint="eastAsia" w:ascii="宋体" w:hAnsi="宋体" w:cs="宋体"/>
          <w:szCs w:val="28"/>
        </w:rPr>
        <w:t>月</w:t>
      </w:r>
      <w:r>
        <w:rPr>
          <w:rFonts w:ascii="宋体" w:hAnsi="宋体" w:cs="宋体"/>
          <w:szCs w:val="28"/>
        </w:rPr>
        <w:t>10</w:t>
      </w:r>
      <w:r>
        <w:rPr>
          <w:rFonts w:hint="eastAsia" w:ascii="宋体" w:hAnsi="宋体" w:cs="宋体"/>
          <w:szCs w:val="28"/>
        </w:rPr>
        <w:t>日</w:t>
      </w:r>
    </w:p>
    <w:p>
      <w:pPr>
        <w:spacing w:line="360" w:lineRule="auto"/>
        <w:ind w:right="-22" w:rightChars="-8" w:firstLine="560"/>
        <w:rPr>
          <w:rFonts w:ascii="宋体" w:hAnsi="宋体" w:cs="宋体"/>
          <w:szCs w:val="28"/>
        </w:rPr>
      </w:pPr>
    </w:p>
    <w:p>
      <w:pPr>
        <w:spacing w:line="360" w:lineRule="auto"/>
        <w:ind w:right="-22" w:rightChars="-8" w:firstLine="640"/>
        <w:jc w:val="center"/>
      </w:pPr>
      <w:r>
        <w:rPr>
          <w:rFonts w:hint="eastAsia" w:asciiTheme="majorEastAsia" w:hAnsiTheme="majorEastAsia" w:eastAsiaTheme="majorEastAsia"/>
          <w:sz w:val="32"/>
        </w:rPr>
        <w:t>应急预案编写执行部门签署页</w:t>
      </w:r>
    </w:p>
    <w:tbl>
      <w:tblPr>
        <w:tblStyle w:val="4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382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2830" w:type="dxa"/>
            <w:vAlign w:val="center"/>
          </w:tcPr>
          <w:p>
            <w:pPr>
              <w:pStyle w:val="72"/>
              <w:jc w:val="center"/>
              <w:rPr>
                <w:color w:val="auto"/>
              </w:rPr>
            </w:pPr>
            <w:r>
              <w:rPr>
                <w:rFonts w:hint="eastAsia"/>
                <w:color w:val="auto"/>
              </w:rPr>
              <w:t>应急预案编写执行部门</w:t>
            </w:r>
          </w:p>
        </w:tc>
        <w:tc>
          <w:tcPr>
            <w:tcW w:w="3828" w:type="dxa"/>
            <w:vAlign w:val="center"/>
          </w:tcPr>
          <w:p>
            <w:pPr>
              <w:pStyle w:val="72"/>
              <w:jc w:val="center"/>
              <w:rPr>
                <w:color w:val="auto"/>
              </w:rPr>
            </w:pPr>
            <w:r>
              <w:rPr>
                <w:rFonts w:hint="eastAsia"/>
                <w:color w:val="auto"/>
              </w:rPr>
              <w:t>姓名及职务</w:t>
            </w:r>
          </w:p>
        </w:tc>
        <w:tc>
          <w:tcPr>
            <w:tcW w:w="1701" w:type="dxa"/>
            <w:vAlign w:val="center"/>
          </w:tcPr>
          <w:p>
            <w:pPr>
              <w:pStyle w:val="72"/>
              <w:jc w:val="center"/>
              <w:rPr>
                <w:color w:val="auto"/>
              </w:rPr>
            </w:pPr>
            <w:r>
              <w:rPr>
                <w:rFonts w:hint="eastAsia"/>
                <w:color w:val="auto"/>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pPr>
              <w:spacing w:line="360" w:lineRule="exact"/>
              <w:ind w:firstLine="480"/>
              <w:jc w:val="center"/>
              <w:rPr>
                <w:rFonts w:ascii="宋体" w:hAnsi="宋体" w:cs="宋体"/>
                <w:sz w:val="24"/>
              </w:rPr>
            </w:pPr>
          </w:p>
        </w:tc>
        <w:tc>
          <w:tcPr>
            <w:tcW w:w="3828" w:type="dxa"/>
            <w:vAlign w:val="center"/>
          </w:tcPr>
          <w:p>
            <w:pPr>
              <w:pStyle w:val="72"/>
              <w:jc w:val="center"/>
              <w:rPr>
                <w:color w:val="auto"/>
              </w:rPr>
            </w:pPr>
          </w:p>
        </w:tc>
        <w:tc>
          <w:tcPr>
            <w:tcW w:w="1701" w:type="dxa"/>
            <w:vAlign w:val="center"/>
          </w:tcPr>
          <w:p>
            <w:pPr>
              <w:pStyle w:val="72"/>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pPr>
              <w:ind w:firstLine="480"/>
              <w:jc w:val="center"/>
              <w:rPr>
                <w:rFonts w:ascii="宋体" w:hAnsi="宋体" w:cs="宋体"/>
                <w:sz w:val="24"/>
              </w:rPr>
            </w:pPr>
          </w:p>
        </w:tc>
        <w:tc>
          <w:tcPr>
            <w:tcW w:w="3828" w:type="dxa"/>
            <w:vAlign w:val="center"/>
          </w:tcPr>
          <w:p>
            <w:pPr>
              <w:pStyle w:val="72"/>
              <w:jc w:val="center"/>
              <w:rPr>
                <w:color w:val="auto"/>
              </w:rPr>
            </w:pPr>
          </w:p>
        </w:tc>
        <w:tc>
          <w:tcPr>
            <w:tcW w:w="1701" w:type="dxa"/>
            <w:vAlign w:val="center"/>
          </w:tcPr>
          <w:p>
            <w:pPr>
              <w:pStyle w:val="72"/>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pPr>
              <w:ind w:firstLine="480"/>
              <w:jc w:val="center"/>
              <w:rPr>
                <w:rFonts w:ascii="宋体" w:hAnsi="宋体" w:cs="宋体"/>
                <w:sz w:val="24"/>
              </w:rPr>
            </w:pPr>
          </w:p>
        </w:tc>
        <w:tc>
          <w:tcPr>
            <w:tcW w:w="3828" w:type="dxa"/>
            <w:vAlign w:val="center"/>
          </w:tcPr>
          <w:p>
            <w:pPr>
              <w:pStyle w:val="72"/>
              <w:jc w:val="center"/>
              <w:rPr>
                <w:color w:val="auto"/>
              </w:rPr>
            </w:pPr>
          </w:p>
        </w:tc>
        <w:tc>
          <w:tcPr>
            <w:tcW w:w="1701" w:type="dxa"/>
            <w:vAlign w:val="center"/>
          </w:tcPr>
          <w:p>
            <w:pPr>
              <w:pStyle w:val="72"/>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pPr>
              <w:ind w:firstLine="480"/>
              <w:jc w:val="center"/>
              <w:rPr>
                <w:rFonts w:ascii="宋体" w:hAnsi="宋体" w:cs="宋体"/>
                <w:sz w:val="24"/>
              </w:rPr>
            </w:pPr>
          </w:p>
        </w:tc>
        <w:tc>
          <w:tcPr>
            <w:tcW w:w="3828" w:type="dxa"/>
            <w:vAlign w:val="center"/>
          </w:tcPr>
          <w:p>
            <w:pPr>
              <w:pStyle w:val="72"/>
              <w:jc w:val="center"/>
              <w:rPr>
                <w:color w:val="auto"/>
              </w:rPr>
            </w:pPr>
          </w:p>
        </w:tc>
        <w:tc>
          <w:tcPr>
            <w:tcW w:w="1701" w:type="dxa"/>
            <w:vAlign w:val="center"/>
          </w:tcPr>
          <w:p>
            <w:pPr>
              <w:pStyle w:val="72"/>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pPr>
              <w:ind w:firstLine="480"/>
              <w:jc w:val="center"/>
              <w:rPr>
                <w:rFonts w:ascii="宋体" w:hAnsi="宋体" w:cs="宋体"/>
                <w:sz w:val="24"/>
              </w:rPr>
            </w:pPr>
          </w:p>
        </w:tc>
        <w:tc>
          <w:tcPr>
            <w:tcW w:w="3828" w:type="dxa"/>
            <w:vAlign w:val="center"/>
          </w:tcPr>
          <w:p>
            <w:pPr>
              <w:pStyle w:val="72"/>
              <w:jc w:val="center"/>
              <w:rPr>
                <w:color w:val="auto"/>
              </w:rPr>
            </w:pPr>
          </w:p>
        </w:tc>
        <w:tc>
          <w:tcPr>
            <w:tcW w:w="1701" w:type="dxa"/>
            <w:vAlign w:val="center"/>
          </w:tcPr>
          <w:p>
            <w:pPr>
              <w:pStyle w:val="72"/>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pPr>
              <w:ind w:firstLine="480"/>
              <w:jc w:val="center"/>
              <w:rPr>
                <w:rFonts w:ascii="宋体" w:hAnsi="宋体" w:cs="宋体"/>
                <w:sz w:val="24"/>
              </w:rPr>
            </w:pPr>
          </w:p>
        </w:tc>
        <w:tc>
          <w:tcPr>
            <w:tcW w:w="3828" w:type="dxa"/>
            <w:vAlign w:val="center"/>
          </w:tcPr>
          <w:p>
            <w:pPr>
              <w:pStyle w:val="72"/>
              <w:jc w:val="center"/>
              <w:rPr>
                <w:color w:val="auto"/>
              </w:rPr>
            </w:pPr>
          </w:p>
        </w:tc>
        <w:tc>
          <w:tcPr>
            <w:tcW w:w="1701" w:type="dxa"/>
            <w:vAlign w:val="center"/>
          </w:tcPr>
          <w:p>
            <w:pPr>
              <w:pStyle w:val="72"/>
              <w:jc w:val="center"/>
              <w:rPr>
                <w:color w:val="auto"/>
              </w:rPr>
            </w:pPr>
          </w:p>
        </w:tc>
      </w:tr>
    </w:tbl>
    <w:p>
      <w:pPr>
        <w:spacing w:line="360" w:lineRule="auto"/>
        <w:ind w:firstLine="800"/>
        <w:rPr>
          <w:rFonts w:ascii="宋体" w:hAnsi="Times New Roman" w:cs="宋体"/>
          <w:sz w:val="40"/>
          <w:szCs w:val="40"/>
          <w:lang w:val="zh-CN"/>
        </w:rPr>
      </w:pPr>
      <w:r>
        <w:rPr>
          <w:sz w:val="40"/>
          <w:szCs w:val="40"/>
          <w:lang w:val="zh-CN"/>
        </w:rPr>
        <w:br w:type="page"/>
      </w:r>
    </w:p>
    <w:p>
      <w:pPr>
        <w:pStyle w:val="72"/>
        <w:ind w:firstLine="3600" w:firstLineChars="900"/>
        <w:rPr>
          <w:color w:val="auto"/>
          <w:sz w:val="40"/>
          <w:szCs w:val="40"/>
        </w:rPr>
      </w:pPr>
      <w:r>
        <w:rPr>
          <w:color w:val="auto"/>
          <w:sz w:val="40"/>
          <w:szCs w:val="40"/>
          <w:lang w:val="zh-CN"/>
        </w:rPr>
        <w:t>目</w:t>
      </w:r>
      <w:r>
        <w:rPr>
          <w:rFonts w:hint="eastAsia"/>
          <w:color w:val="auto"/>
          <w:sz w:val="40"/>
          <w:szCs w:val="40"/>
        </w:rPr>
        <w:t xml:space="preserve">  </w:t>
      </w:r>
      <w:r>
        <w:rPr>
          <w:color w:val="auto"/>
          <w:sz w:val="40"/>
          <w:szCs w:val="40"/>
          <w:lang w:val="zh-CN"/>
        </w:rPr>
        <w:t>录</w:t>
      </w:r>
    </w:p>
    <w:p>
      <w:pPr>
        <w:pStyle w:val="31"/>
        <w:tabs>
          <w:tab w:val="right" w:leader="dot" w:pos="8296"/>
        </w:tabs>
        <w:rPr>
          <w:rFonts w:asciiTheme="minorEastAsia" w:hAnsiTheme="minorEastAsia" w:eastAsiaTheme="minorEastAsia" w:cstheme="minorBidi"/>
          <w:b w:val="0"/>
          <w:bCs w:val="0"/>
          <w:caps w:val="0"/>
          <w:sz w:val="24"/>
          <w:szCs w:val="24"/>
        </w:rPr>
      </w:pPr>
      <w:r>
        <w:rPr>
          <w:rFonts w:asciiTheme="minorEastAsia" w:hAnsiTheme="minorEastAsia" w:eastAsiaTheme="minorEastAsia"/>
          <w:b w:val="0"/>
          <w:sz w:val="24"/>
          <w:szCs w:val="24"/>
        </w:rPr>
        <w:fldChar w:fldCharType="begin"/>
      </w:r>
      <w:r>
        <w:rPr>
          <w:rFonts w:asciiTheme="minorEastAsia" w:hAnsiTheme="minorEastAsia" w:eastAsiaTheme="minorEastAsia"/>
          <w:b w:val="0"/>
          <w:sz w:val="24"/>
          <w:szCs w:val="24"/>
        </w:rPr>
        <w:instrText xml:space="preserve"> TOC \o "1-3" \h \z \u </w:instrText>
      </w:r>
      <w:r>
        <w:rPr>
          <w:rFonts w:asciiTheme="minorEastAsia" w:hAnsiTheme="minorEastAsia" w:eastAsiaTheme="minorEastAsia"/>
          <w:b w:val="0"/>
          <w:sz w:val="24"/>
          <w:szCs w:val="24"/>
        </w:rPr>
        <w:fldChar w:fldCharType="separate"/>
      </w:r>
      <w:r>
        <w:fldChar w:fldCharType="begin"/>
      </w:r>
      <w:r>
        <w:instrText xml:space="preserve"> HYPERLINK \l "_Toc101798255" </w:instrText>
      </w:r>
      <w:r>
        <w:fldChar w:fldCharType="separate"/>
      </w:r>
      <w:r>
        <w:rPr>
          <w:rStyle w:val="48"/>
          <w:rFonts w:asciiTheme="minorEastAsia" w:hAnsiTheme="minorEastAsia" w:eastAsiaTheme="minorEastAsia"/>
          <w:sz w:val="24"/>
          <w:szCs w:val="24"/>
        </w:rPr>
        <w:t>第一篇 生产安全事故综合应急预案</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_Toc101798255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"_Toc101798256" </w:instrText>
      </w:r>
      <w:r>
        <w:fldChar w:fldCharType="separate"/>
      </w:r>
      <w:r>
        <w:rPr>
          <w:rStyle w:val="48"/>
          <w:rFonts w:asciiTheme="minorEastAsia" w:hAnsiTheme="minorEastAsia" w:eastAsiaTheme="minorEastAsia"/>
          <w:i w:val="0"/>
          <w:sz w:val="24"/>
          <w:szCs w:val="24"/>
        </w:rPr>
        <w:t>1 总则</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_Toc101798256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1</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"_Toc101798257" </w:instrText>
      </w:r>
      <w:r>
        <w:fldChar w:fldCharType="separate"/>
      </w:r>
      <w:r>
        <w:rPr>
          <w:rStyle w:val="48"/>
          <w:rFonts w:asciiTheme="minorEastAsia" w:hAnsiTheme="minorEastAsia" w:eastAsiaTheme="minorEastAsia"/>
          <w:i w:val="0"/>
          <w:iCs w:val="0"/>
          <w:sz w:val="24"/>
          <w:szCs w:val="24"/>
        </w:rPr>
        <w:t>1.1适用范围</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_Toc101798257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"_Toc101798258" </w:instrText>
      </w:r>
      <w:r>
        <w:fldChar w:fldCharType="separate"/>
      </w:r>
      <w:r>
        <w:rPr>
          <w:rStyle w:val="48"/>
          <w:rFonts w:asciiTheme="minorEastAsia" w:hAnsiTheme="minorEastAsia" w:eastAsiaTheme="minorEastAsia"/>
          <w:i w:val="0"/>
          <w:iCs w:val="0"/>
          <w:sz w:val="24"/>
          <w:szCs w:val="24"/>
        </w:rPr>
        <w:t>1.2响应分级</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_Toc101798258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"_Toc101798259" </w:instrText>
      </w:r>
      <w:r>
        <w:fldChar w:fldCharType="separate"/>
      </w:r>
      <w:r>
        <w:rPr>
          <w:rStyle w:val="48"/>
          <w:rFonts w:asciiTheme="minorEastAsia" w:hAnsiTheme="minorEastAsia" w:eastAsiaTheme="minorEastAsia"/>
          <w:i w:val="0"/>
          <w:sz w:val="24"/>
          <w:szCs w:val="24"/>
        </w:rPr>
        <w:t>2 应急救援组织机构及职责</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_Toc101798259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1</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"_Toc101798260" </w:instrText>
      </w:r>
      <w:r>
        <w:fldChar w:fldCharType="separate"/>
      </w:r>
      <w:r>
        <w:rPr>
          <w:rStyle w:val="48"/>
          <w:rFonts w:asciiTheme="minorEastAsia" w:hAnsiTheme="minorEastAsia" w:eastAsiaTheme="minorEastAsia"/>
          <w:i w:val="0"/>
          <w:iCs w:val="0"/>
          <w:sz w:val="24"/>
          <w:szCs w:val="24"/>
        </w:rPr>
        <w:t>2.1应急组织体系</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_Toc101798260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3</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"_Toc101798261" </w:instrText>
      </w:r>
      <w:r>
        <w:fldChar w:fldCharType="separate"/>
      </w:r>
      <w:r>
        <w:rPr>
          <w:rStyle w:val="48"/>
          <w:rFonts w:asciiTheme="minorEastAsia" w:hAnsiTheme="minorEastAsia" w:eastAsiaTheme="minorEastAsia"/>
          <w:i w:val="0"/>
          <w:iCs w:val="0"/>
          <w:sz w:val="24"/>
          <w:szCs w:val="24"/>
        </w:rPr>
        <w:t>2.2指挥机构及职责</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_Toc101798261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3</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"_Toc101798262" </w:instrText>
      </w:r>
      <w:r>
        <w:fldChar w:fldCharType="separate"/>
      </w:r>
      <w:r>
        <w:rPr>
          <w:rStyle w:val="48"/>
          <w:rFonts w:asciiTheme="minorEastAsia" w:hAnsiTheme="minorEastAsia" w:eastAsiaTheme="minorEastAsia"/>
          <w:i w:val="0"/>
          <w:sz w:val="24"/>
          <w:szCs w:val="24"/>
        </w:rPr>
        <w:t>3 应急响应</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_Toc101798262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10</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"_Toc101798263" </w:instrText>
      </w:r>
      <w:r>
        <w:fldChar w:fldCharType="separate"/>
      </w:r>
      <w:r>
        <w:rPr>
          <w:rStyle w:val="48"/>
          <w:rFonts w:asciiTheme="minorEastAsia" w:hAnsiTheme="minorEastAsia" w:eastAsiaTheme="minorEastAsia"/>
          <w:i w:val="0"/>
          <w:iCs w:val="0"/>
          <w:sz w:val="24"/>
          <w:szCs w:val="24"/>
        </w:rPr>
        <w:t>3.1信息报告</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_Toc101798263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10</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"_Toc101798264" </w:instrText>
      </w:r>
      <w:r>
        <w:fldChar w:fldCharType="separate"/>
      </w:r>
      <w:r>
        <w:rPr>
          <w:rStyle w:val="48"/>
          <w:rFonts w:asciiTheme="minorEastAsia" w:hAnsiTheme="minorEastAsia" w:eastAsiaTheme="minorEastAsia"/>
          <w:i w:val="0"/>
          <w:iCs w:val="0"/>
          <w:sz w:val="24"/>
          <w:szCs w:val="24"/>
        </w:rPr>
        <w:t>3.2 预警</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_Toc101798264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12</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"_Toc101798265" </w:instrText>
      </w:r>
      <w:r>
        <w:fldChar w:fldCharType="separate"/>
      </w:r>
      <w:r>
        <w:rPr>
          <w:rStyle w:val="48"/>
          <w:rFonts w:asciiTheme="minorEastAsia" w:hAnsiTheme="minorEastAsia" w:eastAsiaTheme="minorEastAsia"/>
          <w:i w:val="0"/>
          <w:iCs w:val="0"/>
          <w:sz w:val="24"/>
          <w:szCs w:val="24"/>
        </w:rPr>
        <w:t>3.3响应启动</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_Toc101798265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14</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"_Toc101798266" </w:instrText>
      </w:r>
      <w:r>
        <w:fldChar w:fldCharType="separate"/>
      </w:r>
      <w:r>
        <w:rPr>
          <w:rStyle w:val="48"/>
          <w:rFonts w:cs="宋体" w:asciiTheme="minorEastAsia" w:hAnsiTheme="minorEastAsia" w:eastAsiaTheme="minorEastAsia"/>
          <w:i w:val="0"/>
          <w:iCs w:val="0"/>
          <w:sz w:val="24"/>
          <w:szCs w:val="24"/>
        </w:rPr>
        <w:t>3.4应急处置</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_Toc101798266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19</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"_Toc101798267" </w:instrText>
      </w:r>
      <w:r>
        <w:fldChar w:fldCharType="separate"/>
      </w:r>
      <w:r>
        <w:rPr>
          <w:rStyle w:val="48"/>
          <w:rFonts w:asciiTheme="minorEastAsia" w:hAnsiTheme="minorEastAsia" w:eastAsiaTheme="minorEastAsia"/>
          <w:i w:val="0"/>
          <w:iCs w:val="0"/>
          <w:sz w:val="24"/>
          <w:szCs w:val="24"/>
        </w:rPr>
        <w:t>3.5应急支援</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_Toc101798267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22</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"_Toc101798268" </w:instrText>
      </w:r>
      <w:r>
        <w:fldChar w:fldCharType="separate"/>
      </w:r>
      <w:r>
        <w:rPr>
          <w:rStyle w:val="48"/>
          <w:rFonts w:asciiTheme="minorEastAsia" w:hAnsiTheme="minorEastAsia" w:eastAsiaTheme="minorEastAsia"/>
          <w:i w:val="0"/>
          <w:iCs w:val="0"/>
          <w:sz w:val="24"/>
          <w:szCs w:val="24"/>
        </w:rPr>
        <w:t>3.6响应终止</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_Toc101798268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22</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"_Toc101798269" </w:instrText>
      </w:r>
      <w:r>
        <w:fldChar w:fldCharType="separate"/>
      </w:r>
      <w:r>
        <w:rPr>
          <w:rStyle w:val="48"/>
          <w:rFonts w:asciiTheme="minorEastAsia" w:hAnsiTheme="minorEastAsia" w:eastAsiaTheme="minorEastAsia"/>
          <w:i w:val="0"/>
          <w:sz w:val="24"/>
          <w:szCs w:val="24"/>
        </w:rPr>
        <w:t>4后期处置</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_Toc101798269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23</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"_Toc101798270" </w:instrText>
      </w:r>
      <w:r>
        <w:fldChar w:fldCharType="separate"/>
      </w:r>
      <w:r>
        <w:rPr>
          <w:rStyle w:val="48"/>
          <w:rFonts w:asciiTheme="minorEastAsia" w:hAnsiTheme="minorEastAsia" w:eastAsiaTheme="minorEastAsia"/>
          <w:i w:val="0"/>
          <w:iCs w:val="0"/>
          <w:sz w:val="24"/>
          <w:szCs w:val="24"/>
        </w:rPr>
        <w:t>4.1污染物处理</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_Toc101798270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23</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"_Toc101798271" </w:instrText>
      </w:r>
      <w:r>
        <w:fldChar w:fldCharType="separate"/>
      </w:r>
      <w:r>
        <w:rPr>
          <w:rStyle w:val="48"/>
          <w:rFonts w:asciiTheme="minorEastAsia" w:hAnsiTheme="minorEastAsia" w:eastAsiaTheme="minorEastAsia" w:cstheme="majorEastAsia"/>
          <w:i w:val="0"/>
          <w:iCs w:val="0"/>
          <w:sz w:val="24"/>
          <w:szCs w:val="24"/>
        </w:rPr>
        <w:t>4.2事故后果影响消除</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_Toc101798271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23</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"_Toc101798272" </w:instrText>
      </w:r>
      <w:r>
        <w:fldChar w:fldCharType="separate"/>
      </w:r>
      <w:r>
        <w:rPr>
          <w:rStyle w:val="48"/>
          <w:rFonts w:asciiTheme="minorEastAsia" w:hAnsiTheme="minorEastAsia" w:eastAsiaTheme="minorEastAsia" w:cstheme="majorEastAsia"/>
          <w:i w:val="0"/>
          <w:iCs w:val="0"/>
          <w:sz w:val="24"/>
          <w:szCs w:val="24"/>
        </w:rPr>
        <w:t>4.3生产秩序恢复</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_Toc101798272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23</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"_Toc101798273" </w:instrText>
      </w:r>
      <w:r>
        <w:fldChar w:fldCharType="separate"/>
      </w:r>
      <w:r>
        <w:rPr>
          <w:rStyle w:val="48"/>
          <w:rFonts w:asciiTheme="minorEastAsia" w:hAnsiTheme="minorEastAsia" w:eastAsiaTheme="minorEastAsia" w:cstheme="majorEastAsia"/>
          <w:i w:val="0"/>
          <w:iCs w:val="0"/>
          <w:sz w:val="24"/>
          <w:szCs w:val="24"/>
        </w:rPr>
        <w:t>4.4医疗救治</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_Toc101798273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23</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"_Toc101798274" </w:instrText>
      </w:r>
      <w:r>
        <w:fldChar w:fldCharType="separate"/>
      </w:r>
      <w:r>
        <w:rPr>
          <w:rStyle w:val="48"/>
          <w:rFonts w:asciiTheme="minorEastAsia" w:hAnsiTheme="minorEastAsia" w:eastAsiaTheme="minorEastAsia" w:cstheme="majorEastAsia"/>
          <w:i w:val="0"/>
          <w:iCs w:val="0"/>
          <w:sz w:val="24"/>
          <w:szCs w:val="24"/>
        </w:rPr>
        <w:t>4.5善后处置与赔偿</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_Toc101798274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24</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"_Toc101798275" </w:instrText>
      </w:r>
      <w:r>
        <w:fldChar w:fldCharType="separate"/>
      </w:r>
      <w:r>
        <w:rPr>
          <w:rStyle w:val="48"/>
          <w:rFonts w:asciiTheme="minorEastAsia" w:hAnsiTheme="minorEastAsia" w:eastAsiaTheme="minorEastAsia"/>
          <w:i w:val="0"/>
          <w:sz w:val="24"/>
          <w:szCs w:val="24"/>
        </w:rPr>
        <w:t>5 应急保障</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_Toc101798275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24</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"_Toc101798276" </w:instrText>
      </w:r>
      <w:r>
        <w:fldChar w:fldCharType="separate"/>
      </w:r>
      <w:r>
        <w:rPr>
          <w:rStyle w:val="48"/>
          <w:rFonts w:asciiTheme="minorEastAsia" w:hAnsiTheme="minorEastAsia" w:eastAsiaTheme="minorEastAsia"/>
          <w:i w:val="0"/>
          <w:iCs w:val="0"/>
          <w:sz w:val="24"/>
          <w:szCs w:val="24"/>
        </w:rPr>
        <w:t>5.1 通信与信息保障</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_Toc101798276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24</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"_Toc101798277" </w:instrText>
      </w:r>
      <w:r>
        <w:fldChar w:fldCharType="separate"/>
      </w:r>
      <w:r>
        <w:rPr>
          <w:rStyle w:val="48"/>
          <w:rFonts w:asciiTheme="minorEastAsia" w:hAnsiTheme="minorEastAsia" w:eastAsiaTheme="minorEastAsia"/>
          <w:i w:val="0"/>
          <w:iCs w:val="0"/>
          <w:sz w:val="24"/>
          <w:szCs w:val="24"/>
        </w:rPr>
        <w:t>5.2应急物资装备保障</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_Toc101798277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24</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"_Toc101798278" </w:instrText>
      </w:r>
      <w:r>
        <w:fldChar w:fldCharType="separate"/>
      </w:r>
      <w:r>
        <w:rPr>
          <w:rStyle w:val="48"/>
          <w:rFonts w:asciiTheme="minorEastAsia" w:hAnsiTheme="minorEastAsia" w:eastAsiaTheme="minorEastAsia"/>
          <w:i w:val="0"/>
          <w:iCs w:val="0"/>
          <w:sz w:val="24"/>
          <w:szCs w:val="24"/>
        </w:rPr>
        <w:t>5.3 经费保障</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_Toc101798278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24</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"_Toc101798279" </w:instrText>
      </w:r>
      <w:r>
        <w:fldChar w:fldCharType="separate"/>
      </w:r>
      <w:r>
        <w:rPr>
          <w:rStyle w:val="48"/>
          <w:rFonts w:asciiTheme="minorEastAsia" w:hAnsiTheme="minorEastAsia" w:eastAsiaTheme="minorEastAsia"/>
          <w:i w:val="0"/>
          <w:iCs w:val="0"/>
          <w:sz w:val="24"/>
          <w:szCs w:val="24"/>
        </w:rPr>
        <w:t>5.4其他保障</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_Toc101798279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25</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1"/>
        <w:tabs>
          <w:tab w:val="right" w:leader="dot" w:pos="8296"/>
        </w:tabs>
        <w:rPr>
          <w:rFonts w:asciiTheme="minorEastAsia" w:hAnsiTheme="minorEastAsia" w:eastAsiaTheme="minorEastAsia" w:cstheme="minorBidi"/>
          <w:b w:val="0"/>
          <w:bCs w:val="0"/>
          <w:caps w:val="0"/>
          <w:sz w:val="24"/>
          <w:szCs w:val="24"/>
        </w:rPr>
      </w:pPr>
      <w:r>
        <w:fldChar w:fldCharType="begin"/>
      </w:r>
      <w:r>
        <w:instrText xml:space="preserve"> HYPERLINK \l "_Toc101798280" </w:instrText>
      </w:r>
      <w:r>
        <w:fldChar w:fldCharType="separate"/>
      </w:r>
      <w:r>
        <w:rPr>
          <w:rStyle w:val="48"/>
          <w:rFonts w:asciiTheme="minorEastAsia" w:hAnsiTheme="minorEastAsia" w:eastAsiaTheme="minorEastAsia"/>
          <w:snapToGrid w:val="0"/>
          <w:kern w:val="0"/>
          <w:sz w:val="24"/>
          <w:szCs w:val="24"/>
        </w:rPr>
        <w:t>第二篇 专项应急预案</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_Toc101798280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26</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"_Toc101798281" </w:instrText>
      </w:r>
      <w:r>
        <w:fldChar w:fldCharType="separate"/>
      </w:r>
      <w:r>
        <w:rPr>
          <w:rStyle w:val="48"/>
          <w:rFonts w:asciiTheme="minorEastAsia" w:hAnsiTheme="minorEastAsia" w:eastAsiaTheme="minorEastAsia"/>
          <w:i w:val="0"/>
          <w:sz w:val="24"/>
          <w:szCs w:val="24"/>
        </w:rPr>
        <w:t>1 消防事故专项应急预案</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_Toc101798281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26</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"_Toc101798282" </w:instrText>
      </w:r>
      <w:r>
        <w:fldChar w:fldCharType="separate"/>
      </w:r>
      <w:r>
        <w:rPr>
          <w:rStyle w:val="48"/>
          <w:rFonts w:asciiTheme="minorEastAsia" w:hAnsiTheme="minorEastAsia" w:eastAsiaTheme="minorEastAsia"/>
          <w:i w:val="0"/>
          <w:iCs w:val="0"/>
          <w:sz w:val="24"/>
          <w:szCs w:val="24"/>
        </w:rPr>
        <w:t>1.1适用范围</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_Toc101798282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"_Toc101798283" </w:instrText>
      </w:r>
      <w:r>
        <w:fldChar w:fldCharType="separate"/>
      </w:r>
      <w:r>
        <w:rPr>
          <w:rStyle w:val="48"/>
          <w:rFonts w:asciiTheme="minorEastAsia" w:hAnsiTheme="minorEastAsia" w:eastAsiaTheme="minorEastAsia"/>
          <w:i w:val="0"/>
          <w:iCs w:val="0"/>
          <w:sz w:val="24"/>
          <w:szCs w:val="24"/>
        </w:rPr>
        <w:t>1.2应急指挥机构及职责</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_Toc101798283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"_Toc101798284" </w:instrText>
      </w:r>
      <w:r>
        <w:fldChar w:fldCharType="separate"/>
      </w:r>
      <w:r>
        <w:rPr>
          <w:rStyle w:val="48"/>
          <w:rFonts w:asciiTheme="minorEastAsia" w:hAnsiTheme="minorEastAsia" w:eastAsiaTheme="minorEastAsia"/>
          <w:i w:val="0"/>
          <w:iCs w:val="0"/>
          <w:sz w:val="24"/>
          <w:szCs w:val="24"/>
        </w:rPr>
        <w:t>1.3响应启动</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_Toc101798284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"_Toc101798285" </w:instrText>
      </w:r>
      <w:r>
        <w:fldChar w:fldCharType="separate"/>
      </w:r>
      <w:r>
        <w:rPr>
          <w:rStyle w:val="48"/>
          <w:rFonts w:asciiTheme="minorEastAsia" w:hAnsiTheme="minorEastAsia" w:eastAsiaTheme="minorEastAsia"/>
          <w:i w:val="0"/>
          <w:iCs w:val="0"/>
          <w:sz w:val="24"/>
          <w:szCs w:val="24"/>
        </w:rPr>
        <w:t>1.4应急处置措施</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_Toc101798285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"_Toc101798286" </w:instrText>
      </w:r>
      <w:r>
        <w:fldChar w:fldCharType="separate"/>
      </w:r>
      <w:r>
        <w:rPr>
          <w:rStyle w:val="48"/>
          <w:rFonts w:asciiTheme="minorEastAsia" w:hAnsiTheme="minorEastAsia" w:eastAsiaTheme="minorEastAsia"/>
          <w:i w:val="0"/>
          <w:iCs w:val="0"/>
          <w:sz w:val="24"/>
          <w:szCs w:val="24"/>
        </w:rPr>
        <w:t>1.5应急保障</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_Toc101798286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29</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"_Toc101798287" </w:instrText>
      </w:r>
      <w:r>
        <w:fldChar w:fldCharType="separate"/>
      </w:r>
      <w:r>
        <w:rPr>
          <w:rStyle w:val="48"/>
          <w:rFonts w:asciiTheme="minorEastAsia" w:hAnsiTheme="minorEastAsia" w:eastAsiaTheme="minorEastAsia"/>
          <w:i w:val="0"/>
          <w:sz w:val="24"/>
          <w:szCs w:val="24"/>
        </w:rPr>
        <w:t>2管道</w:t>
      </w:r>
      <w:r>
        <w:rPr>
          <w:rStyle w:val="48"/>
          <w:rFonts w:cs="宋体" w:asciiTheme="minorEastAsia" w:hAnsiTheme="minorEastAsia" w:eastAsiaTheme="minorEastAsia"/>
          <w:i w:val="0"/>
          <w:sz w:val="24"/>
          <w:szCs w:val="24"/>
        </w:rPr>
        <w:t>事故专项应急预案</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_Toc101798287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30</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"_Toc101798288" </w:instrText>
      </w:r>
      <w:r>
        <w:fldChar w:fldCharType="separate"/>
      </w:r>
      <w:r>
        <w:rPr>
          <w:rStyle w:val="48"/>
          <w:rFonts w:asciiTheme="minorEastAsia" w:hAnsiTheme="minorEastAsia" w:eastAsiaTheme="minorEastAsia"/>
          <w:i w:val="0"/>
          <w:iCs w:val="0"/>
          <w:sz w:val="24"/>
          <w:szCs w:val="24"/>
        </w:rPr>
        <w:t>2.1适用范围</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_Toc101798288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30</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"_Toc101798289" </w:instrText>
      </w:r>
      <w:r>
        <w:fldChar w:fldCharType="separate"/>
      </w:r>
      <w:r>
        <w:rPr>
          <w:rStyle w:val="48"/>
          <w:rFonts w:asciiTheme="minorEastAsia" w:hAnsiTheme="minorEastAsia" w:eastAsiaTheme="minorEastAsia"/>
          <w:i w:val="0"/>
          <w:iCs w:val="0"/>
          <w:sz w:val="24"/>
          <w:szCs w:val="24"/>
        </w:rPr>
        <w:t>2.2应急指挥机构及职责</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_Toc101798289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30</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"_Toc101798290" </w:instrText>
      </w:r>
      <w:r>
        <w:fldChar w:fldCharType="separate"/>
      </w:r>
      <w:r>
        <w:rPr>
          <w:rStyle w:val="48"/>
          <w:rFonts w:asciiTheme="minorEastAsia" w:hAnsiTheme="minorEastAsia" w:eastAsiaTheme="minorEastAsia"/>
          <w:i w:val="0"/>
          <w:iCs w:val="0"/>
          <w:sz w:val="24"/>
          <w:szCs w:val="24"/>
        </w:rPr>
        <w:t>2.3响应启动</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_Toc101798290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30</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"_Toc101798291" </w:instrText>
      </w:r>
      <w:r>
        <w:fldChar w:fldCharType="separate"/>
      </w:r>
      <w:r>
        <w:rPr>
          <w:rStyle w:val="48"/>
          <w:rFonts w:asciiTheme="minorEastAsia" w:hAnsiTheme="minorEastAsia" w:eastAsiaTheme="minorEastAsia"/>
          <w:i w:val="0"/>
          <w:iCs w:val="0"/>
          <w:sz w:val="24"/>
          <w:szCs w:val="24"/>
        </w:rPr>
        <w:t>2.4应急处置措施</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_Toc101798291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30</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"_Toc101798292" </w:instrText>
      </w:r>
      <w:r>
        <w:fldChar w:fldCharType="separate"/>
      </w:r>
      <w:r>
        <w:rPr>
          <w:rStyle w:val="48"/>
          <w:rFonts w:asciiTheme="minorEastAsia" w:hAnsiTheme="minorEastAsia" w:eastAsiaTheme="minorEastAsia"/>
          <w:i w:val="0"/>
          <w:iCs w:val="0"/>
          <w:sz w:val="24"/>
          <w:szCs w:val="24"/>
        </w:rPr>
        <w:t>2.5应急保障</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_Toc101798292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36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"_Toc101798293" </w:instrText>
      </w:r>
      <w:r>
        <w:fldChar w:fldCharType="separate"/>
      </w:r>
      <w:r>
        <w:rPr>
          <w:rStyle w:val="48"/>
          <w:rFonts w:asciiTheme="minorEastAsia" w:hAnsiTheme="minorEastAsia" w:eastAsiaTheme="minorEastAsia"/>
          <w:i w:val="0"/>
          <w:sz w:val="24"/>
          <w:szCs w:val="24"/>
        </w:rPr>
        <w:t>3 燃气场站事故专项应急预案</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_Toc101798293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36</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"_Toc101798294" </w:instrText>
      </w:r>
      <w:r>
        <w:fldChar w:fldCharType="separate"/>
      </w:r>
      <w:r>
        <w:rPr>
          <w:rStyle w:val="48"/>
          <w:rFonts w:asciiTheme="minorEastAsia" w:hAnsiTheme="minorEastAsia" w:eastAsiaTheme="minorEastAsia"/>
          <w:i w:val="0"/>
          <w:iCs w:val="0"/>
          <w:sz w:val="24"/>
          <w:szCs w:val="24"/>
        </w:rPr>
        <w:t>3.1适用范围</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_Toc101798294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36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"_Toc101798295" </w:instrText>
      </w:r>
      <w:r>
        <w:fldChar w:fldCharType="separate"/>
      </w:r>
      <w:r>
        <w:rPr>
          <w:rStyle w:val="48"/>
          <w:rFonts w:asciiTheme="minorEastAsia" w:hAnsiTheme="minorEastAsia" w:eastAsiaTheme="minorEastAsia"/>
          <w:i w:val="0"/>
          <w:iCs w:val="0"/>
          <w:sz w:val="24"/>
          <w:szCs w:val="24"/>
        </w:rPr>
        <w:t>3.2应急指挥机构及职责</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_Toc101798295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36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"_Toc101798296" </w:instrText>
      </w:r>
      <w:r>
        <w:fldChar w:fldCharType="separate"/>
      </w:r>
      <w:r>
        <w:rPr>
          <w:rStyle w:val="48"/>
          <w:rFonts w:asciiTheme="minorEastAsia" w:hAnsiTheme="minorEastAsia" w:eastAsiaTheme="minorEastAsia"/>
          <w:i w:val="0"/>
          <w:iCs w:val="0"/>
          <w:sz w:val="24"/>
          <w:szCs w:val="24"/>
        </w:rPr>
        <w:t>3.3响应启动</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_Toc101798296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36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"_Toc101798297" </w:instrText>
      </w:r>
      <w:r>
        <w:fldChar w:fldCharType="separate"/>
      </w:r>
      <w:r>
        <w:rPr>
          <w:rStyle w:val="48"/>
          <w:rFonts w:asciiTheme="minorEastAsia" w:hAnsiTheme="minorEastAsia" w:eastAsiaTheme="minorEastAsia"/>
          <w:i w:val="0"/>
          <w:iCs w:val="0"/>
          <w:sz w:val="24"/>
          <w:szCs w:val="24"/>
        </w:rPr>
        <w:t>3.4应急处置措施</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_Toc101798297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36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"_Toc101798298" </w:instrText>
      </w:r>
      <w:r>
        <w:fldChar w:fldCharType="separate"/>
      </w:r>
      <w:r>
        <w:rPr>
          <w:rStyle w:val="48"/>
          <w:rFonts w:asciiTheme="minorEastAsia" w:hAnsiTheme="minorEastAsia" w:eastAsiaTheme="minorEastAsia"/>
          <w:i w:val="0"/>
          <w:iCs w:val="0"/>
          <w:sz w:val="24"/>
          <w:szCs w:val="24"/>
        </w:rPr>
        <w:t>3.5应急保障</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_Toc101798298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40</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"_Toc101798299" </w:instrText>
      </w:r>
      <w:r>
        <w:fldChar w:fldCharType="separate"/>
      </w:r>
      <w:r>
        <w:rPr>
          <w:rStyle w:val="48"/>
          <w:rFonts w:asciiTheme="minorEastAsia" w:hAnsiTheme="minorEastAsia" w:eastAsiaTheme="minorEastAsia"/>
          <w:i w:val="0"/>
          <w:sz w:val="24"/>
          <w:szCs w:val="24"/>
        </w:rPr>
        <w:t>4 地震专项应急预案</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_Toc101798299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40</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"_Toc101798300" </w:instrText>
      </w:r>
      <w:r>
        <w:fldChar w:fldCharType="separate"/>
      </w:r>
      <w:r>
        <w:rPr>
          <w:rStyle w:val="48"/>
          <w:rFonts w:asciiTheme="minorEastAsia" w:hAnsiTheme="minorEastAsia" w:eastAsiaTheme="minorEastAsia"/>
          <w:i w:val="0"/>
          <w:iCs w:val="0"/>
          <w:sz w:val="24"/>
          <w:szCs w:val="24"/>
        </w:rPr>
        <w:t>4.1适用范围</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_Toc101798300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40</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"_Toc101798301" </w:instrText>
      </w:r>
      <w:r>
        <w:fldChar w:fldCharType="separate"/>
      </w:r>
      <w:r>
        <w:rPr>
          <w:rStyle w:val="48"/>
          <w:rFonts w:asciiTheme="minorEastAsia" w:hAnsiTheme="minorEastAsia" w:eastAsiaTheme="minorEastAsia"/>
          <w:i w:val="0"/>
          <w:iCs w:val="0"/>
          <w:sz w:val="24"/>
          <w:szCs w:val="24"/>
        </w:rPr>
        <w:t>4.2应急指挥机构及职责</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_Toc101798301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40</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"_Toc101798302" </w:instrText>
      </w:r>
      <w:r>
        <w:fldChar w:fldCharType="separate"/>
      </w:r>
      <w:r>
        <w:rPr>
          <w:rStyle w:val="48"/>
          <w:rFonts w:asciiTheme="minorEastAsia" w:hAnsiTheme="minorEastAsia" w:eastAsiaTheme="minorEastAsia"/>
          <w:i w:val="0"/>
          <w:iCs w:val="0"/>
          <w:sz w:val="24"/>
          <w:szCs w:val="24"/>
        </w:rPr>
        <w:t>4.3响应启动</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_Toc101798302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40</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"_Toc101798303" </w:instrText>
      </w:r>
      <w:r>
        <w:fldChar w:fldCharType="separate"/>
      </w:r>
      <w:r>
        <w:rPr>
          <w:rStyle w:val="48"/>
          <w:rFonts w:asciiTheme="minorEastAsia" w:hAnsiTheme="minorEastAsia" w:eastAsiaTheme="minorEastAsia"/>
          <w:i w:val="0"/>
          <w:iCs w:val="0"/>
          <w:sz w:val="24"/>
          <w:szCs w:val="24"/>
        </w:rPr>
        <w:t>4.4应急处置措施</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_Toc101798303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40</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"_Toc101798304" </w:instrText>
      </w:r>
      <w:r>
        <w:fldChar w:fldCharType="separate"/>
      </w:r>
      <w:r>
        <w:rPr>
          <w:rStyle w:val="48"/>
          <w:rFonts w:asciiTheme="minorEastAsia" w:hAnsiTheme="minorEastAsia" w:eastAsiaTheme="minorEastAsia"/>
          <w:i w:val="0"/>
          <w:iCs w:val="0"/>
          <w:sz w:val="24"/>
          <w:szCs w:val="24"/>
        </w:rPr>
        <w:t>4.5应急保障</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_Toc101798304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42</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"_Toc101798305" </w:instrText>
      </w:r>
      <w:r>
        <w:fldChar w:fldCharType="separate"/>
      </w:r>
      <w:r>
        <w:rPr>
          <w:rStyle w:val="48"/>
          <w:rFonts w:asciiTheme="minorEastAsia" w:hAnsiTheme="minorEastAsia" w:eastAsiaTheme="minorEastAsia"/>
          <w:i w:val="0"/>
          <w:sz w:val="24"/>
          <w:szCs w:val="24"/>
        </w:rPr>
        <w:t>5防洪抗汛专项应急预案</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_Toc101798305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43</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"_Toc101798306" </w:instrText>
      </w:r>
      <w:r>
        <w:fldChar w:fldCharType="separate"/>
      </w:r>
      <w:r>
        <w:rPr>
          <w:rStyle w:val="48"/>
          <w:rFonts w:asciiTheme="minorEastAsia" w:hAnsiTheme="minorEastAsia" w:eastAsiaTheme="minorEastAsia"/>
          <w:i w:val="0"/>
          <w:iCs w:val="0"/>
          <w:sz w:val="24"/>
          <w:szCs w:val="24"/>
        </w:rPr>
        <w:t>5.1适用范围</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_Toc101798306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43</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"_Toc101798307" </w:instrText>
      </w:r>
      <w:r>
        <w:fldChar w:fldCharType="separate"/>
      </w:r>
      <w:r>
        <w:rPr>
          <w:rStyle w:val="48"/>
          <w:rFonts w:asciiTheme="minorEastAsia" w:hAnsiTheme="minorEastAsia" w:eastAsiaTheme="minorEastAsia"/>
          <w:i w:val="0"/>
          <w:iCs w:val="0"/>
          <w:sz w:val="24"/>
          <w:szCs w:val="24"/>
        </w:rPr>
        <w:t>5.2应急指挥机构及职责</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_Toc101798307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43</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"_Toc101798308" </w:instrText>
      </w:r>
      <w:r>
        <w:fldChar w:fldCharType="separate"/>
      </w:r>
      <w:r>
        <w:rPr>
          <w:rStyle w:val="48"/>
          <w:rFonts w:asciiTheme="minorEastAsia" w:hAnsiTheme="minorEastAsia" w:eastAsiaTheme="minorEastAsia"/>
          <w:i w:val="0"/>
          <w:iCs w:val="0"/>
          <w:sz w:val="24"/>
          <w:szCs w:val="24"/>
        </w:rPr>
        <w:t>5.3响应启动</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_Toc101798308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43</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"_Toc101798309" </w:instrText>
      </w:r>
      <w:r>
        <w:fldChar w:fldCharType="separate"/>
      </w:r>
      <w:r>
        <w:rPr>
          <w:rStyle w:val="48"/>
          <w:rFonts w:asciiTheme="minorEastAsia" w:hAnsiTheme="minorEastAsia" w:eastAsiaTheme="minorEastAsia"/>
          <w:i w:val="0"/>
          <w:iCs w:val="0"/>
          <w:sz w:val="24"/>
          <w:szCs w:val="24"/>
        </w:rPr>
        <w:t>5.4应急处置措施</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_Toc101798309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43</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"_Toc101798310" </w:instrText>
      </w:r>
      <w:r>
        <w:fldChar w:fldCharType="separate"/>
      </w:r>
      <w:r>
        <w:rPr>
          <w:rStyle w:val="48"/>
          <w:rFonts w:asciiTheme="minorEastAsia" w:hAnsiTheme="minorEastAsia" w:eastAsiaTheme="minorEastAsia" w:cstheme="minorEastAsia"/>
          <w:i w:val="0"/>
          <w:iCs w:val="0"/>
          <w:sz w:val="24"/>
          <w:szCs w:val="24"/>
        </w:rPr>
        <w:t>5.5应急物资与装备保障</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_Toc101798310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45</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"_Toc101798311" </w:instrText>
      </w:r>
      <w:r>
        <w:fldChar w:fldCharType="separate"/>
      </w:r>
      <w:r>
        <w:rPr>
          <w:rStyle w:val="48"/>
          <w:rFonts w:asciiTheme="minorEastAsia" w:hAnsiTheme="minorEastAsia" w:eastAsiaTheme="minorEastAsia"/>
          <w:i w:val="0"/>
          <w:sz w:val="24"/>
          <w:szCs w:val="24"/>
        </w:rPr>
        <w:t>6防暴恐袭击专项应急预案</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_Toc101798311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45</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"_Toc101798312" </w:instrText>
      </w:r>
      <w:r>
        <w:fldChar w:fldCharType="separate"/>
      </w:r>
      <w:r>
        <w:rPr>
          <w:rStyle w:val="48"/>
          <w:rFonts w:asciiTheme="minorEastAsia" w:hAnsiTheme="minorEastAsia" w:eastAsiaTheme="minorEastAsia"/>
          <w:i w:val="0"/>
          <w:iCs w:val="0"/>
          <w:sz w:val="24"/>
          <w:szCs w:val="24"/>
        </w:rPr>
        <w:t>6.1适用范围</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_Toc101798312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45</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"_Toc101798313" </w:instrText>
      </w:r>
      <w:r>
        <w:fldChar w:fldCharType="separate"/>
      </w:r>
      <w:r>
        <w:rPr>
          <w:rStyle w:val="48"/>
          <w:rFonts w:asciiTheme="minorEastAsia" w:hAnsiTheme="minorEastAsia" w:eastAsiaTheme="minorEastAsia"/>
          <w:i w:val="0"/>
          <w:iCs w:val="0"/>
          <w:sz w:val="24"/>
          <w:szCs w:val="24"/>
        </w:rPr>
        <w:t>6.2应急指挥机构及职责</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_Toc101798313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"_Toc101798314" </w:instrText>
      </w:r>
      <w:r>
        <w:fldChar w:fldCharType="separate"/>
      </w:r>
      <w:r>
        <w:rPr>
          <w:rStyle w:val="48"/>
          <w:rFonts w:asciiTheme="minorEastAsia" w:hAnsiTheme="minorEastAsia" w:eastAsiaTheme="minorEastAsia"/>
          <w:i w:val="0"/>
          <w:iCs w:val="0"/>
          <w:sz w:val="24"/>
          <w:szCs w:val="24"/>
        </w:rPr>
        <w:t>6.3响应启动</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_Toc101798314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"_Toc101798315" </w:instrText>
      </w:r>
      <w:r>
        <w:fldChar w:fldCharType="separate"/>
      </w:r>
      <w:r>
        <w:rPr>
          <w:rStyle w:val="48"/>
          <w:rFonts w:asciiTheme="minorEastAsia" w:hAnsiTheme="minorEastAsia" w:eastAsiaTheme="minorEastAsia"/>
          <w:i w:val="0"/>
          <w:iCs w:val="0"/>
          <w:sz w:val="24"/>
          <w:szCs w:val="24"/>
        </w:rPr>
        <w:t>6.4应急处置措施</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_Toc101798315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"_Toc101798316" </w:instrText>
      </w:r>
      <w:r>
        <w:fldChar w:fldCharType="separate"/>
      </w:r>
      <w:r>
        <w:rPr>
          <w:rStyle w:val="48"/>
          <w:rFonts w:asciiTheme="minorEastAsia" w:hAnsiTheme="minorEastAsia" w:eastAsiaTheme="minorEastAsia" w:cstheme="minorEastAsia"/>
          <w:i w:val="0"/>
          <w:iCs w:val="0"/>
          <w:sz w:val="24"/>
          <w:szCs w:val="24"/>
        </w:rPr>
        <w:t>6.5应急物资与装备保障</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_Toc101798316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48</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1"/>
        <w:tabs>
          <w:tab w:val="right" w:leader="dot" w:pos="8296"/>
        </w:tabs>
        <w:rPr>
          <w:rFonts w:asciiTheme="minorEastAsia" w:hAnsiTheme="minorEastAsia" w:eastAsiaTheme="minorEastAsia" w:cstheme="minorBidi"/>
          <w:b w:val="0"/>
          <w:bCs w:val="0"/>
          <w:caps w:val="0"/>
          <w:sz w:val="24"/>
          <w:szCs w:val="24"/>
        </w:rPr>
      </w:pPr>
      <w:r>
        <w:fldChar w:fldCharType="begin"/>
      </w:r>
      <w:r>
        <w:instrText xml:space="preserve"> HYPERLINK \l "_Toc101798317" </w:instrText>
      </w:r>
      <w:r>
        <w:fldChar w:fldCharType="separate"/>
      </w:r>
      <w:r>
        <w:rPr>
          <w:rStyle w:val="48"/>
          <w:rFonts w:asciiTheme="minorEastAsia" w:hAnsiTheme="minorEastAsia" w:eastAsiaTheme="minorEastAsia"/>
          <w:snapToGrid w:val="0"/>
          <w:kern w:val="0"/>
          <w:sz w:val="24"/>
          <w:szCs w:val="24"/>
        </w:rPr>
        <w:t>第三篇 现场处置方案</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_Toc101798317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49</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"_Toc101798318" </w:instrText>
      </w:r>
      <w:r>
        <w:fldChar w:fldCharType="separate"/>
      </w:r>
      <w:r>
        <w:rPr>
          <w:rStyle w:val="48"/>
          <w:rFonts w:asciiTheme="minorEastAsia" w:hAnsiTheme="minorEastAsia" w:eastAsiaTheme="minorEastAsia"/>
          <w:i w:val="0"/>
          <w:sz w:val="24"/>
          <w:szCs w:val="24"/>
        </w:rPr>
        <w:t>1.火灾、爆炸事故现场处置方案</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_Toc101798318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49</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"_Toc101798319" </w:instrText>
      </w:r>
      <w:r>
        <w:fldChar w:fldCharType="separate"/>
      </w:r>
      <w:r>
        <w:rPr>
          <w:rStyle w:val="48"/>
          <w:rFonts w:asciiTheme="minorEastAsia" w:hAnsiTheme="minorEastAsia" w:eastAsiaTheme="minorEastAsia" w:cstheme="majorEastAsia"/>
          <w:i w:val="0"/>
          <w:sz w:val="24"/>
          <w:szCs w:val="24"/>
        </w:rPr>
        <w:t>2.管道燃气泄漏现场处置方案</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_Toc101798319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51</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"_Toc101798320" </w:instrText>
      </w:r>
      <w:r>
        <w:fldChar w:fldCharType="separate"/>
      </w:r>
      <w:r>
        <w:rPr>
          <w:rStyle w:val="48"/>
          <w:rFonts w:asciiTheme="minorEastAsia" w:hAnsiTheme="minorEastAsia" w:eastAsiaTheme="minorEastAsia"/>
          <w:i w:val="0"/>
          <w:sz w:val="24"/>
          <w:szCs w:val="24"/>
        </w:rPr>
        <w:t>3.户内燃气泄漏现场处置方案</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_Toc101798320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54</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"_Toc101798321" </w:instrText>
      </w:r>
      <w:r>
        <w:fldChar w:fldCharType="separate"/>
      </w:r>
      <w:r>
        <w:rPr>
          <w:rStyle w:val="48"/>
          <w:rFonts w:asciiTheme="minorEastAsia" w:hAnsiTheme="minorEastAsia" w:eastAsiaTheme="minorEastAsia"/>
          <w:i w:val="0"/>
          <w:sz w:val="24"/>
          <w:szCs w:val="24"/>
        </w:rPr>
        <w:t>4.四氢噻吩泄漏现场处置方案</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_Toc101798321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56</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"_Toc101798322" </w:instrText>
      </w:r>
      <w:r>
        <w:fldChar w:fldCharType="separate"/>
      </w:r>
      <w:r>
        <w:rPr>
          <w:rStyle w:val="48"/>
          <w:rFonts w:asciiTheme="minorEastAsia" w:hAnsiTheme="minorEastAsia" w:eastAsiaTheme="minorEastAsia"/>
          <w:i w:val="0"/>
          <w:sz w:val="24"/>
          <w:szCs w:val="24"/>
        </w:rPr>
        <w:t>5.</w:t>
      </w:r>
      <w:r>
        <w:rPr>
          <w:rStyle w:val="48"/>
          <w:rFonts w:asciiTheme="minorEastAsia" w:hAnsiTheme="minorEastAsia" w:eastAsiaTheme="minorEastAsia" w:cstheme="majorEastAsia"/>
          <w:i w:val="0"/>
          <w:sz w:val="24"/>
          <w:szCs w:val="24"/>
        </w:rPr>
        <w:t>触电事故现场处置方案</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_Toc101798322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58</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"_Toc101798323" </w:instrText>
      </w:r>
      <w:r>
        <w:fldChar w:fldCharType="separate"/>
      </w:r>
      <w:r>
        <w:rPr>
          <w:rStyle w:val="48"/>
          <w:rFonts w:asciiTheme="minorEastAsia" w:hAnsiTheme="minorEastAsia" w:eastAsiaTheme="minorEastAsia"/>
          <w:i w:val="0"/>
          <w:sz w:val="24"/>
          <w:szCs w:val="24"/>
        </w:rPr>
        <w:t>6.中毒窒息现场处置方案</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_Toc101798323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59</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"_Toc101798324" </w:instrText>
      </w:r>
      <w:r>
        <w:fldChar w:fldCharType="separate"/>
      </w:r>
      <w:r>
        <w:rPr>
          <w:rStyle w:val="48"/>
          <w:rFonts w:asciiTheme="minorEastAsia" w:hAnsiTheme="minorEastAsia" w:eastAsiaTheme="minorEastAsia"/>
          <w:i w:val="0"/>
          <w:sz w:val="24"/>
          <w:szCs w:val="24"/>
        </w:rPr>
        <w:t>7.调压计量装置燃气泄漏现场处置方案</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_Toc101798324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62</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1"/>
        <w:tabs>
          <w:tab w:val="right" w:leader="dot" w:pos="8296"/>
        </w:tabs>
        <w:rPr>
          <w:rFonts w:asciiTheme="minorEastAsia" w:hAnsiTheme="minorEastAsia" w:eastAsiaTheme="minorEastAsia" w:cstheme="minorBidi"/>
          <w:b w:val="0"/>
          <w:bCs w:val="0"/>
          <w:caps w:val="0"/>
          <w:sz w:val="24"/>
          <w:szCs w:val="24"/>
        </w:rPr>
      </w:pPr>
      <w:r>
        <w:fldChar w:fldCharType="begin"/>
      </w:r>
      <w:r>
        <w:instrText xml:space="preserve"> HYPERLINK \l "_Toc101798325" </w:instrText>
      </w:r>
      <w:r>
        <w:fldChar w:fldCharType="separate"/>
      </w:r>
      <w:r>
        <w:rPr>
          <w:rStyle w:val="48"/>
          <w:rFonts w:asciiTheme="minorEastAsia" w:hAnsiTheme="minorEastAsia" w:eastAsiaTheme="minorEastAsia"/>
          <w:sz w:val="24"/>
          <w:szCs w:val="24"/>
        </w:rPr>
        <w:t>第四篇 附件</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_Toc101798325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66</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"_Toc101798326" </w:instrText>
      </w:r>
      <w:r>
        <w:fldChar w:fldCharType="separate"/>
      </w:r>
      <w:r>
        <w:rPr>
          <w:rStyle w:val="48"/>
          <w:rFonts w:asciiTheme="minorEastAsia" w:hAnsiTheme="minorEastAsia" w:eastAsiaTheme="minorEastAsia"/>
          <w:i w:val="0"/>
          <w:sz w:val="24"/>
          <w:szCs w:val="24"/>
        </w:rPr>
        <w:t>附件1 生产经营单位概况</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_Toc101798326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66</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"_Toc101798327" </w:instrText>
      </w:r>
      <w:r>
        <w:fldChar w:fldCharType="separate"/>
      </w:r>
      <w:r>
        <w:rPr>
          <w:rStyle w:val="48"/>
          <w:rFonts w:asciiTheme="minorEastAsia" w:hAnsiTheme="minorEastAsia" w:eastAsiaTheme="minorEastAsia"/>
          <w:i w:val="0"/>
          <w:sz w:val="24"/>
          <w:szCs w:val="24"/>
        </w:rPr>
        <w:t>附件2 风险评估的结果</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_Toc101798327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68</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"_Toc101798328" </w:instrText>
      </w:r>
      <w:r>
        <w:fldChar w:fldCharType="separate"/>
      </w:r>
      <w:r>
        <w:rPr>
          <w:rStyle w:val="48"/>
          <w:rFonts w:asciiTheme="minorEastAsia" w:hAnsiTheme="minorEastAsia" w:eastAsiaTheme="minorEastAsia"/>
          <w:i w:val="0"/>
          <w:sz w:val="24"/>
          <w:szCs w:val="24"/>
        </w:rPr>
        <w:t>附件3 预案体系与衔接</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_Toc101798328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69</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"_Toc101798329" </w:instrText>
      </w:r>
      <w:r>
        <w:fldChar w:fldCharType="separate"/>
      </w:r>
      <w:r>
        <w:rPr>
          <w:rStyle w:val="48"/>
          <w:rFonts w:asciiTheme="minorEastAsia" w:hAnsiTheme="minorEastAsia" w:eastAsiaTheme="minorEastAsia"/>
          <w:i w:val="0"/>
          <w:sz w:val="24"/>
          <w:szCs w:val="24"/>
        </w:rPr>
        <w:t>附件4 应急物资装备的名录或清单</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_Toc101798329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70</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"_Toc101798330" </w:instrText>
      </w:r>
      <w:r>
        <w:fldChar w:fldCharType="separate"/>
      </w:r>
      <w:r>
        <w:rPr>
          <w:rStyle w:val="48"/>
          <w:rFonts w:asciiTheme="minorEastAsia" w:hAnsiTheme="minorEastAsia" w:eastAsiaTheme="minorEastAsia"/>
          <w:i w:val="0"/>
          <w:sz w:val="24"/>
          <w:szCs w:val="24"/>
        </w:rPr>
        <w:t>附件5 有关应急部门、机构或人员的联系方式</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_Toc101798330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74</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"_Toc101798331" </w:instrText>
      </w:r>
      <w:r>
        <w:fldChar w:fldCharType="separate"/>
      </w:r>
      <w:r>
        <w:rPr>
          <w:rStyle w:val="48"/>
          <w:rFonts w:asciiTheme="minorEastAsia" w:hAnsiTheme="minorEastAsia" w:eastAsiaTheme="minorEastAsia"/>
          <w:i w:val="0"/>
          <w:sz w:val="24"/>
          <w:szCs w:val="24"/>
        </w:rPr>
        <w:t>附件6 格式化文本</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_Toc101798331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81</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"_Toc101798332" </w:instrText>
      </w:r>
      <w:r>
        <w:fldChar w:fldCharType="separate"/>
      </w:r>
      <w:r>
        <w:rPr>
          <w:rStyle w:val="48"/>
          <w:rFonts w:asciiTheme="minorEastAsia" w:hAnsiTheme="minorEastAsia" w:eastAsiaTheme="minorEastAsia"/>
          <w:i w:val="0"/>
          <w:sz w:val="24"/>
          <w:szCs w:val="24"/>
        </w:rPr>
        <w:t>附件7 关键的路线、标识和图纸</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_Toc101798332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84</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1"/>
        <w:tabs>
          <w:tab w:val="right" w:leader="dot" w:pos="8296"/>
        </w:tabs>
        <w:rPr>
          <w:rFonts w:asciiTheme="minorEastAsia" w:hAnsiTheme="minorEastAsia" w:eastAsiaTheme="minorEastAsia" w:cstheme="minorBidi"/>
          <w:b w:val="0"/>
          <w:bCs w:val="0"/>
          <w:caps w:val="0"/>
          <w:sz w:val="24"/>
          <w:szCs w:val="24"/>
        </w:rPr>
      </w:pPr>
      <w:r>
        <w:fldChar w:fldCharType="begin"/>
      </w:r>
      <w:r>
        <w:instrText xml:space="preserve"> HYPERLINK \l "_Toc101798333" </w:instrText>
      </w:r>
      <w:r>
        <w:fldChar w:fldCharType="separate"/>
      </w:r>
      <w:r>
        <w:rPr>
          <w:rStyle w:val="48"/>
          <w:rFonts w:asciiTheme="minorEastAsia" w:hAnsiTheme="minorEastAsia" w:eastAsiaTheme="minorEastAsia"/>
          <w:sz w:val="24"/>
          <w:szCs w:val="24"/>
        </w:rPr>
        <w:t>附录A 生产安全事故风险评估报告</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_Toc101798333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87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"_Toc101798334" </w:instrText>
      </w:r>
      <w:r>
        <w:fldChar w:fldCharType="separate"/>
      </w:r>
      <w:r>
        <w:rPr>
          <w:rStyle w:val="48"/>
          <w:rFonts w:asciiTheme="minorEastAsia" w:hAnsiTheme="minorEastAsia" w:eastAsiaTheme="minorEastAsia"/>
          <w:i w:val="0"/>
          <w:sz w:val="24"/>
          <w:szCs w:val="24"/>
        </w:rPr>
        <w:t>一、危险有害因素辨识</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_Toc101798334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87</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"_Toc101798335" </w:instrText>
      </w:r>
      <w:r>
        <w:fldChar w:fldCharType="separate"/>
      </w:r>
      <w:r>
        <w:rPr>
          <w:rStyle w:val="48"/>
          <w:rFonts w:asciiTheme="minorEastAsia" w:hAnsiTheme="minorEastAsia" w:eastAsiaTheme="minorEastAsia"/>
          <w:i w:val="0"/>
          <w:iCs w:val="0"/>
          <w:sz w:val="24"/>
          <w:szCs w:val="24"/>
        </w:rPr>
        <w:t>1.本企业供气系统流程</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_Toc101798335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87</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"_Toc101798336" </w:instrText>
      </w:r>
      <w:r>
        <w:fldChar w:fldCharType="separate"/>
      </w:r>
      <w:r>
        <w:rPr>
          <w:rStyle w:val="48"/>
          <w:rFonts w:asciiTheme="minorEastAsia" w:hAnsiTheme="minorEastAsia" w:eastAsiaTheme="minorEastAsia"/>
          <w:i w:val="0"/>
          <w:iCs w:val="0"/>
          <w:sz w:val="24"/>
          <w:szCs w:val="24"/>
        </w:rPr>
        <w:t>2.经营过程中涉及的物料</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_Toc101798336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88</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"_Toc101798337" </w:instrText>
      </w:r>
      <w:r>
        <w:fldChar w:fldCharType="separate"/>
      </w:r>
      <w:r>
        <w:rPr>
          <w:rStyle w:val="48"/>
          <w:rFonts w:asciiTheme="minorEastAsia" w:hAnsiTheme="minorEastAsia" w:eastAsiaTheme="minorEastAsia"/>
          <w:i w:val="0"/>
          <w:iCs w:val="0"/>
          <w:sz w:val="24"/>
          <w:szCs w:val="24"/>
        </w:rPr>
        <w:t>3.经营活动中使用的主要设备、设施</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_Toc101798337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101</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"_Toc101798338" </w:instrText>
      </w:r>
      <w:r>
        <w:fldChar w:fldCharType="separate"/>
      </w:r>
      <w:r>
        <w:rPr>
          <w:rStyle w:val="48"/>
          <w:rFonts w:asciiTheme="minorEastAsia" w:hAnsiTheme="minorEastAsia" w:eastAsiaTheme="minorEastAsia"/>
          <w:i w:val="0"/>
          <w:iCs w:val="0"/>
          <w:sz w:val="24"/>
          <w:szCs w:val="24"/>
        </w:rPr>
        <w:t>4.自然条件影响因素</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_Toc101798338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106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"_Toc101798339" </w:instrText>
      </w:r>
      <w:r>
        <w:fldChar w:fldCharType="separate"/>
      </w:r>
      <w:r>
        <w:rPr>
          <w:rStyle w:val="48"/>
          <w:rFonts w:asciiTheme="minorEastAsia" w:hAnsiTheme="minorEastAsia" w:eastAsiaTheme="minorEastAsia"/>
          <w:i w:val="0"/>
          <w:iCs w:val="0"/>
          <w:sz w:val="24"/>
          <w:szCs w:val="24"/>
        </w:rPr>
        <w:t>5.危险有害因素辨识</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_Toc101798339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107</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"_Toc101798340" </w:instrText>
      </w:r>
      <w:r>
        <w:fldChar w:fldCharType="separate"/>
      </w:r>
      <w:r>
        <w:rPr>
          <w:rStyle w:val="48"/>
          <w:rFonts w:asciiTheme="minorEastAsia" w:hAnsiTheme="minorEastAsia" w:eastAsiaTheme="minorEastAsia"/>
          <w:i w:val="0"/>
          <w:sz w:val="24"/>
          <w:szCs w:val="24"/>
        </w:rPr>
        <w:t>二、事故风险分析</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_Toc101798340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108</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"_Toc101798341" </w:instrText>
      </w:r>
      <w:r>
        <w:fldChar w:fldCharType="separate"/>
      </w:r>
      <w:r>
        <w:rPr>
          <w:rStyle w:val="48"/>
          <w:rFonts w:asciiTheme="minorEastAsia" w:hAnsiTheme="minorEastAsia" w:eastAsiaTheme="minorEastAsia"/>
          <w:i w:val="0"/>
          <w:iCs w:val="0"/>
          <w:sz w:val="24"/>
          <w:szCs w:val="24"/>
        </w:rPr>
        <w:t>1.事故风险、有害因素类型</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_Toc101798341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109</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"_Toc101798342" </w:instrText>
      </w:r>
      <w:r>
        <w:fldChar w:fldCharType="separate"/>
      </w:r>
      <w:r>
        <w:rPr>
          <w:rStyle w:val="48"/>
          <w:rFonts w:cs="宋体" w:asciiTheme="minorEastAsia" w:hAnsiTheme="minorEastAsia" w:eastAsiaTheme="minorEastAsia"/>
          <w:i w:val="0"/>
          <w:iCs w:val="0"/>
          <w:sz w:val="24"/>
          <w:szCs w:val="24"/>
        </w:rPr>
        <w:t>2.事故类型分析汇总</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_Toc101798342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117</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"_Toc101798343" </w:instrText>
      </w:r>
      <w:r>
        <w:fldChar w:fldCharType="separate"/>
      </w:r>
      <w:r>
        <w:rPr>
          <w:rStyle w:val="48"/>
          <w:rFonts w:asciiTheme="minorEastAsia" w:hAnsiTheme="minorEastAsia" w:eastAsiaTheme="minorEastAsia"/>
          <w:i w:val="0"/>
          <w:iCs w:val="0"/>
          <w:sz w:val="24"/>
          <w:szCs w:val="24"/>
        </w:rPr>
        <w:t>3.重大危险源辨识</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_Toc101798343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117</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"_Toc101798344" </w:instrText>
      </w:r>
      <w:r>
        <w:fldChar w:fldCharType="separate"/>
      </w:r>
      <w:r>
        <w:rPr>
          <w:rStyle w:val="48"/>
          <w:rFonts w:asciiTheme="minorEastAsia" w:hAnsiTheme="minorEastAsia" w:eastAsiaTheme="minorEastAsia"/>
          <w:i w:val="0"/>
          <w:sz w:val="24"/>
          <w:szCs w:val="24"/>
        </w:rPr>
        <w:t>三、事故风险评价</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_Toc101798344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118</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"_Toc101798345" </w:instrText>
      </w:r>
      <w:r>
        <w:fldChar w:fldCharType="separate"/>
      </w:r>
      <w:r>
        <w:rPr>
          <w:rStyle w:val="48"/>
          <w:rFonts w:cs="宋体" w:asciiTheme="minorEastAsia" w:hAnsiTheme="minorEastAsia" w:eastAsiaTheme="minorEastAsia"/>
          <w:i w:val="0"/>
          <w:sz w:val="24"/>
          <w:szCs w:val="24"/>
        </w:rPr>
        <w:t>四、风险防控建议和事故风险评估结论</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_Toc101798345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119</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"_Toc101798346" </w:instrText>
      </w:r>
      <w:r>
        <w:fldChar w:fldCharType="separate"/>
      </w:r>
      <w:r>
        <w:rPr>
          <w:rStyle w:val="48"/>
          <w:rFonts w:cs="宋体" w:asciiTheme="minorEastAsia" w:hAnsiTheme="minorEastAsia" w:eastAsiaTheme="minorEastAsia"/>
          <w:i w:val="0"/>
          <w:iCs w:val="0"/>
          <w:sz w:val="24"/>
          <w:szCs w:val="24"/>
        </w:rPr>
        <w:t>1.主要风险防控建议</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_Toc101798346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120</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"_Toc101798347" </w:instrText>
      </w:r>
      <w:r>
        <w:fldChar w:fldCharType="separate"/>
      </w:r>
      <w:r>
        <w:rPr>
          <w:rStyle w:val="48"/>
          <w:rFonts w:asciiTheme="minorEastAsia" w:hAnsiTheme="minorEastAsia" w:eastAsiaTheme="minorEastAsia"/>
          <w:i w:val="0"/>
          <w:iCs w:val="0"/>
          <w:sz w:val="24"/>
          <w:szCs w:val="24"/>
        </w:rPr>
        <w:t>2.事故风险评估结论</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_Toc101798347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125</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1"/>
        <w:tabs>
          <w:tab w:val="right" w:leader="dot" w:pos="8296"/>
        </w:tabs>
        <w:rPr>
          <w:rFonts w:asciiTheme="minorEastAsia" w:hAnsiTheme="minorEastAsia" w:eastAsiaTheme="minorEastAsia" w:cstheme="minorBidi"/>
          <w:b w:val="0"/>
          <w:bCs w:val="0"/>
          <w:caps w:val="0"/>
          <w:sz w:val="24"/>
          <w:szCs w:val="24"/>
        </w:rPr>
      </w:pPr>
      <w:r>
        <w:fldChar w:fldCharType="begin"/>
      </w:r>
      <w:r>
        <w:instrText xml:space="preserve"> HYPERLINK \l "_Toc101798348" </w:instrText>
      </w:r>
      <w:r>
        <w:fldChar w:fldCharType="separate"/>
      </w:r>
      <w:r>
        <w:rPr>
          <w:rStyle w:val="48"/>
          <w:rFonts w:asciiTheme="minorEastAsia" w:hAnsiTheme="minorEastAsia" w:eastAsiaTheme="minorEastAsia"/>
          <w:sz w:val="24"/>
          <w:szCs w:val="24"/>
        </w:rPr>
        <w:t>附录B 应急资源调查报告</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_Toc101798348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127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"_Toc101798349" </w:instrText>
      </w:r>
      <w:r>
        <w:fldChar w:fldCharType="separate"/>
      </w:r>
      <w:r>
        <w:rPr>
          <w:rStyle w:val="48"/>
          <w:rFonts w:asciiTheme="minorEastAsia" w:hAnsiTheme="minorEastAsia" w:eastAsiaTheme="minorEastAsia"/>
          <w:i w:val="0"/>
          <w:sz w:val="24"/>
          <w:szCs w:val="24"/>
        </w:rPr>
        <w:t>一、单位内部应急资源</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_Toc101798349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127</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"_Toc101798350" </w:instrText>
      </w:r>
      <w:r>
        <w:fldChar w:fldCharType="separate"/>
      </w:r>
      <w:r>
        <w:rPr>
          <w:rStyle w:val="48"/>
          <w:rFonts w:asciiTheme="minorEastAsia" w:hAnsiTheme="minorEastAsia" w:eastAsiaTheme="minorEastAsia"/>
          <w:i w:val="0"/>
          <w:iCs w:val="0"/>
          <w:sz w:val="24"/>
          <w:szCs w:val="24"/>
        </w:rPr>
        <w:t>1.1编制生产安全事故应急救援预案</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_Toc101798350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127</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"_Toc101798351" </w:instrText>
      </w:r>
      <w:r>
        <w:fldChar w:fldCharType="separate"/>
      </w:r>
      <w:r>
        <w:rPr>
          <w:rStyle w:val="48"/>
          <w:rFonts w:asciiTheme="minorEastAsia" w:hAnsiTheme="minorEastAsia" w:eastAsiaTheme="minorEastAsia"/>
          <w:i w:val="0"/>
          <w:iCs w:val="0"/>
          <w:sz w:val="24"/>
          <w:szCs w:val="24"/>
        </w:rPr>
        <w:t>1.2强化应急救援演练</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_Toc101798351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128</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"_Toc101798352" </w:instrText>
      </w:r>
      <w:r>
        <w:fldChar w:fldCharType="separate"/>
      </w:r>
      <w:r>
        <w:rPr>
          <w:rStyle w:val="48"/>
          <w:rFonts w:asciiTheme="minorEastAsia" w:hAnsiTheme="minorEastAsia" w:eastAsiaTheme="minorEastAsia"/>
          <w:i w:val="0"/>
          <w:iCs w:val="0"/>
          <w:sz w:val="24"/>
          <w:szCs w:val="24"/>
        </w:rPr>
        <w:t>1.3应急专项资金投入</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_Toc101798352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129</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"_Toc101798353" </w:instrText>
      </w:r>
      <w:r>
        <w:fldChar w:fldCharType="separate"/>
      </w:r>
      <w:r>
        <w:rPr>
          <w:rStyle w:val="48"/>
          <w:rFonts w:asciiTheme="minorEastAsia" w:hAnsiTheme="minorEastAsia" w:eastAsiaTheme="minorEastAsia"/>
          <w:i w:val="0"/>
          <w:iCs w:val="0"/>
          <w:sz w:val="24"/>
          <w:szCs w:val="24"/>
        </w:rPr>
        <w:t>1.4应急组织体系</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_Toc101798353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129</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"_Toc101798354" </w:instrText>
      </w:r>
      <w:r>
        <w:fldChar w:fldCharType="separate"/>
      </w:r>
      <w:r>
        <w:rPr>
          <w:rStyle w:val="48"/>
          <w:rFonts w:asciiTheme="minorEastAsia" w:hAnsiTheme="minorEastAsia" w:eastAsiaTheme="minorEastAsia"/>
          <w:i w:val="0"/>
          <w:sz w:val="24"/>
          <w:szCs w:val="24"/>
        </w:rPr>
        <w:t>二、单位外部救援资源</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_Toc101798354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136</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"_Toc101798355" </w:instrText>
      </w:r>
      <w:r>
        <w:fldChar w:fldCharType="separate"/>
      </w:r>
      <w:r>
        <w:rPr>
          <w:rStyle w:val="48"/>
          <w:rFonts w:asciiTheme="minorEastAsia" w:hAnsiTheme="minorEastAsia" w:eastAsiaTheme="minorEastAsia"/>
          <w:i w:val="0"/>
          <w:iCs w:val="0"/>
          <w:sz w:val="24"/>
          <w:szCs w:val="24"/>
        </w:rPr>
        <w:t>2.1外部救援</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_Toc101798355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136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"_Toc101798356" </w:instrText>
      </w:r>
      <w:r>
        <w:fldChar w:fldCharType="separate"/>
      </w:r>
      <w:r>
        <w:rPr>
          <w:rStyle w:val="48"/>
          <w:rFonts w:asciiTheme="minorEastAsia" w:hAnsiTheme="minorEastAsia" w:eastAsiaTheme="minorEastAsia"/>
          <w:i w:val="0"/>
          <w:iCs w:val="0"/>
          <w:sz w:val="24"/>
          <w:szCs w:val="24"/>
        </w:rPr>
        <w:t>2.2应急救援过程</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_Toc101798356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136</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"_Toc101798357" </w:instrText>
      </w:r>
      <w:r>
        <w:fldChar w:fldCharType="separate"/>
      </w:r>
      <w:r>
        <w:rPr>
          <w:rStyle w:val="48"/>
          <w:rFonts w:asciiTheme="minorEastAsia" w:hAnsiTheme="minorEastAsia" w:eastAsiaTheme="minorEastAsia"/>
          <w:i w:val="0"/>
          <w:sz w:val="24"/>
          <w:szCs w:val="24"/>
        </w:rPr>
        <w:t>三、应急资源差距分析</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_Toc101798357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137</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35"/>
        <w:rPr>
          <w:rFonts w:asciiTheme="minorEastAsia" w:hAnsiTheme="minorEastAsia" w:eastAsiaTheme="minorEastAsia" w:cstheme="minorBidi"/>
          <w:i w:val="0"/>
          <w:smallCaps w:val="0"/>
          <w:sz w:val="24"/>
          <w:szCs w:val="24"/>
        </w:rPr>
      </w:pPr>
      <w:r>
        <w:fldChar w:fldCharType="begin"/>
      </w:r>
      <w:r>
        <w:instrText xml:space="preserve"> HYPERLINK \l "_Toc101798358" </w:instrText>
      </w:r>
      <w:r>
        <w:fldChar w:fldCharType="separate"/>
      </w:r>
      <w:r>
        <w:rPr>
          <w:rStyle w:val="48"/>
          <w:rFonts w:asciiTheme="minorEastAsia" w:hAnsiTheme="minorEastAsia" w:eastAsiaTheme="minorEastAsia"/>
          <w:i w:val="0"/>
          <w:sz w:val="24"/>
          <w:szCs w:val="24"/>
        </w:rPr>
        <w:t>四、结论意见</w:t>
      </w:r>
      <w:r>
        <w:rPr>
          <w:rFonts w:asciiTheme="minorEastAsia" w:hAnsiTheme="minorEastAsia" w:eastAsiaTheme="minorEastAsia"/>
          <w:i w:val="0"/>
          <w:sz w:val="24"/>
          <w:szCs w:val="24"/>
        </w:rPr>
        <w:tab/>
      </w:r>
      <w:r>
        <w:rPr>
          <w:rFonts w:asciiTheme="minorEastAsia" w:hAnsiTheme="minorEastAsia" w:eastAsiaTheme="minorEastAsia"/>
          <w:i w:val="0"/>
          <w:sz w:val="24"/>
          <w:szCs w:val="24"/>
        </w:rPr>
        <w:fldChar w:fldCharType="begin"/>
      </w:r>
      <w:r>
        <w:rPr>
          <w:rFonts w:asciiTheme="minorEastAsia" w:hAnsiTheme="minorEastAsia" w:eastAsiaTheme="minorEastAsia"/>
          <w:i w:val="0"/>
          <w:sz w:val="24"/>
          <w:szCs w:val="24"/>
        </w:rPr>
        <w:instrText xml:space="preserve"> PAGEREF _Toc101798358 \h </w:instrText>
      </w:r>
      <w:r>
        <w:rPr>
          <w:rFonts w:asciiTheme="minorEastAsia" w:hAnsiTheme="minorEastAsia" w:eastAsiaTheme="minorEastAsia"/>
          <w:i w:val="0"/>
          <w:sz w:val="24"/>
          <w:szCs w:val="24"/>
        </w:rPr>
        <w:fldChar w:fldCharType="separate"/>
      </w:r>
      <w:r>
        <w:rPr>
          <w:rFonts w:asciiTheme="minorEastAsia" w:hAnsiTheme="minorEastAsia" w:eastAsiaTheme="minorEastAsia"/>
          <w:i w:val="0"/>
          <w:sz w:val="24"/>
          <w:szCs w:val="24"/>
        </w:rPr>
        <w:t>137</w:t>
      </w:r>
      <w:r>
        <w:rPr>
          <w:rFonts w:asciiTheme="minorEastAsia" w:hAnsiTheme="minorEastAsia" w:eastAsiaTheme="minorEastAsia"/>
          <w:i w:val="0"/>
          <w:sz w:val="24"/>
          <w:szCs w:val="24"/>
        </w:rPr>
        <w:fldChar w:fldCharType="end"/>
      </w:r>
      <w:r>
        <w:rPr>
          <w:rFonts w:asciiTheme="minorEastAsia" w:hAnsiTheme="minorEastAsia" w:eastAsiaTheme="minorEastAsia"/>
          <w:i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"_Toc101798359" </w:instrText>
      </w:r>
      <w:r>
        <w:fldChar w:fldCharType="separate"/>
      </w:r>
      <w:r>
        <w:rPr>
          <w:rStyle w:val="48"/>
          <w:rFonts w:asciiTheme="minorEastAsia" w:hAnsiTheme="minorEastAsia" w:eastAsiaTheme="minorEastAsia"/>
          <w:i w:val="0"/>
          <w:iCs w:val="0"/>
          <w:sz w:val="24"/>
          <w:szCs w:val="24"/>
        </w:rPr>
        <w:t>附件1：应急救援指挥部成员及内部紧急联系电话表</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_Toc101798359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139</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"_Toc101798360" </w:instrText>
      </w:r>
      <w:r>
        <w:fldChar w:fldCharType="separate"/>
      </w:r>
      <w:r>
        <w:rPr>
          <w:rStyle w:val="48"/>
          <w:rFonts w:asciiTheme="minorEastAsia" w:hAnsiTheme="minorEastAsia" w:eastAsiaTheme="minorEastAsia"/>
          <w:i w:val="0"/>
          <w:iCs w:val="0"/>
          <w:sz w:val="24"/>
          <w:szCs w:val="24"/>
        </w:rPr>
        <w:t>附件2：外部救援单位联系方式</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_Toc101798360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145</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pStyle w:val="21"/>
        <w:tabs>
          <w:tab w:val="right" w:leader="dot" w:pos="8296"/>
        </w:tabs>
        <w:rPr>
          <w:rFonts w:asciiTheme="minorEastAsia" w:hAnsiTheme="minorEastAsia" w:eastAsiaTheme="minorEastAsia" w:cstheme="minorBidi"/>
          <w:i w:val="0"/>
          <w:iCs w:val="0"/>
          <w:sz w:val="24"/>
          <w:szCs w:val="24"/>
        </w:rPr>
      </w:pPr>
      <w:r>
        <w:fldChar w:fldCharType="begin"/>
      </w:r>
      <w:r>
        <w:instrText xml:space="preserve"> HYPERLINK \l "_Toc101798361" </w:instrText>
      </w:r>
      <w:r>
        <w:fldChar w:fldCharType="separate"/>
      </w:r>
      <w:r>
        <w:rPr>
          <w:rStyle w:val="48"/>
          <w:rFonts w:asciiTheme="minorEastAsia" w:hAnsiTheme="minorEastAsia" w:eastAsiaTheme="minorEastAsia"/>
          <w:i w:val="0"/>
          <w:iCs w:val="0"/>
          <w:sz w:val="24"/>
          <w:szCs w:val="24"/>
        </w:rPr>
        <w:t>附件3：应急物资、装备清单</w:t>
      </w:r>
      <w:r>
        <w:rPr>
          <w:rFonts w:asciiTheme="minorEastAsia" w:hAnsiTheme="minorEastAsia" w:eastAsiaTheme="minorEastAsia"/>
          <w:i w:val="0"/>
          <w:iCs w:val="0"/>
          <w:sz w:val="24"/>
          <w:szCs w:val="24"/>
        </w:rPr>
        <w:tab/>
      </w:r>
      <w:r>
        <w:rPr>
          <w:rFonts w:asciiTheme="minorEastAsia" w:hAnsiTheme="minorEastAsia" w:eastAsiaTheme="minorEastAsia"/>
          <w:i w:val="0"/>
          <w:iCs w:val="0"/>
          <w:sz w:val="24"/>
          <w:szCs w:val="24"/>
        </w:rPr>
        <w:fldChar w:fldCharType="begin"/>
      </w:r>
      <w:r>
        <w:rPr>
          <w:rFonts w:asciiTheme="minorEastAsia" w:hAnsiTheme="minorEastAsia" w:eastAsiaTheme="minorEastAsia"/>
          <w:i w:val="0"/>
          <w:iCs w:val="0"/>
          <w:sz w:val="24"/>
          <w:szCs w:val="24"/>
        </w:rPr>
        <w:instrText xml:space="preserve"> PAGEREF _Toc101798361 \h </w:instrText>
      </w:r>
      <w:r>
        <w:rPr>
          <w:rFonts w:asciiTheme="minorEastAsia" w:hAnsiTheme="minorEastAsia" w:eastAsiaTheme="minorEastAsia"/>
          <w:i w:val="0"/>
          <w:iCs w:val="0"/>
          <w:sz w:val="24"/>
          <w:szCs w:val="24"/>
        </w:rPr>
        <w:fldChar w:fldCharType="separate"/>
      </w:r>
      <w:r>
        <w:rPr>
          <w:rFonts w:asciiTheme="minorEastAsia" w:hAnsiTheme="minorEastAsia" w:eastAsiaTheme="minorEastAsia"/>
          <w:i w:val="0"/>
          <w:iCs w:val="0"/>
          <w:sz w:val="24"/>
          <w:szCs w:val="24"/>
        </w:rPr>
        <w:t>147</w:t>
      </w:r>
      <w:r>
        <w:rPr>
          <w:rFonts w:asciiTheme="minorEastAsia" w:hAnsiTheme="minorEastAsia" w:eastAsiaTheme="minorEastAsia"/>
          <w:i w:val="0"/>
          <w:iCs w:val="0"/>
          <w:sz w:val="24"/>
          <w:szCs w:val="24"/>
        </w:rPr>
        <w:fldChar w:fldCharType="end"/>
      </w:r>
      <w:r>
        <w:rPr>
          <w:rFonts w:asciiTheme="minorEastAsia" w:hAnsiTheme="minorEastAsia" w:eastAsiaTheme="minorEastAsia"/>
          <w:i w:val="0"/>
          <w:iCs w:val="0"/>
          <w:sz w:val="24"/>
          <w:szCs w:val="24"/>
        </w:rPr>
        <w:fldChar w:fldCharType="end"/>
      </w:r>
    </w:p>
    <w:p>
      <w:pPr>
        <w:ind w:firstLine="480"/>
        <w:rPr>
          <w:rFonts w:asciiTheme="minorEastAsia" w:hAnsiTheme="minorEastAsia" w:eastAsiaTheme="minorEastAsia"/>
          <w:sz w:val="24"/>
          <w:szCs w:val="24"/>
        </w:rPr>
        <w:sectPr>
          <w:footerReference r:id="rId6" w:type="default"/>
          <w:pgSz w:w="11906" w:h="16838"/>
          <w:pgMar w:top="1440" w:right="1800" w:bottom="1440" w:left="1800" w:header="851" w:footer="992" w:gutter="0"/>
          <w:cols w:space="720" w:num="1"/>
          <w:docGrid w:type="lines" w:linePitch="312" w:charSpace="0"/>
        </w:sectPr>
      </w:pPr>
      <w:r>
        <w:rPr>
          <w:rFonts w:asciiTheme="minorEastAsia" w:hAnsiTheme="minorEastAsia" w:eastAsiaTheme="minorEastAsia"/>
          <w:sz w:val="24"/>
          <w:szCs w:val="24"/>
        </w:rPr>
        <w:fldChar w:fldCharType="end"/>
      </w:r>
    </w:p>
    <w:p>
      <w:pPr>
        <w:pStyle w:val="5"/>
        <w:tabs>
          <w:tab w:val="clear" w:pos="0"/>
        </w:tabs>
        <w:spacing w:before="0" w:after="0" w:line="360" w:lineRule="auto"/>
        <w:ind w:left="0"/>
        <w:jc w:val="center"/>
        <w:rPr>
          <w:rFonts w:asciiTheme="majorEastAsia" w:hAnsiTheme="majorEastAsia" w:eastAsiaTheme="majorEastAsia"/>
          <w:sz w:val="36"/>
          <w:szCs w:val="28"/>
        </w:rPr>
      </w:pPr>
      <w:bookmarkStart w:id="0" w:name="_Toc13572_WPSOffice_Level1"/>
      <w:bookmarkStart w:id="1" w:name="_Toc101798255"/>
      <w:r>
        <w:rPr>
          <w:rFonts w:hint="eastAsia" w:asciiTheme="majorEastAsia" w:hAnsiTheme="majorEastAsia" w:eastAsiaTheme="majorEastAsia"/>
          <w:sz w:val="36"/>
          <w:szCs w:val="28"/>
        </w:rPr>
        <w:t>第一</w:t>
      </w:r>
      <w:bookmarkStart w:id="2" w:name="_Toc286847803"/>
      <w:r>
        <w:rPr>
          <w:rFonts w:hint="eastAsia" w:asciiTheme="majorEastAsia" w:hAnsiTheme="majorEastAsia" w:eastAsiaTheme="majorEastAsia"/>
          <w:sz w:val="36"/>
          <w:szCs w:val="28"/>
        </w:rPr>
        <w:t>篇 生产安全事故综合应急预案</w:t>
      </w:r>
      <w:bookmarkEnd w:id="0"/>
      <w:bookmarkEnd w:id="1"/>
      <w:bookmarkEnd w:id="2"/>
    </w:p>
    <w:p>
      <w:pPr>
        <w:pStyle w:val="6"/>
      </w:pPr>
      <w:bookmarkStart w:id="3" w:name="_Toc505002412"/>
      <w:bookmarkStart w:id="4" w:name="_Toc101798256"/>
      <w:r>
        <w:rPr>
          <w:rFonts w:hint="eastAsia"/>
        </w:rPr>
        <w:t>1 总则</w:t>
      </w:r>
      <w:bookmarkEnd w:id="3"/>
      <w:bookmarkEnd w:id="4"/>
    </w:p>
    <w:p>
      <w:pPr>
        <w:spacing w:after="0" w:line="560" w:lineRule="exact"/>
        <w:ind w:firstLine="560" w:firstLineChars="200"/>
        <w:rPr>
          <w:rFonts w:cs="宋体" w:asciiTheme="majorEastAsia" w:hAnsiTheme="majorEastAsia" w:eastAsiaTheme="majorEastAsia"/>
          <w:szCs w:val="28"/>
        </w:rPr>
      </w:pPr>
      <w:r>
        <w:rPr>
          <w:rFonts w:hint="eastAsia" w:cs="宋体" w:asciiTheme="majorEastAsia" w:hAnsiTheme="majorEastAsia" w:eastAsiaTheme="majorEastAsia"/>
          <w:szCs w:val="28"/>
        </w:rPr>
        <w:t>本应急预案是针对</w:t>
      </w:r>
      <w:r>
        <w:rPr>
          <w:rFonts w:hint="eastAsia" w:cs="宋体" w:asciiTheme="majorEastAsia" w:hAnsiTheme="majorEastAsia" w:eastAsiaTheme="majorEastAsia"/>
          <w:szCs w:val="28"/>
          <w:lang w:val="en-US" w:eastAsia="zh-CN"/>
        </w:rPr>
        <w:t>四川省</w:t>
      </w:r>
      <w:r>
        <w:rPr>
          <w:rFonts w:hint="eastAsia" w:cs="宋体" w:asciiTheme="majorEastAsia" w:hAnsiTheme="majorEastAsia" w:eastAsiaTheme="majorEastAsia"/>
          <w:szCs w:val="28"/>
        </w:rPr>
        <w:t>南部县天然气有限责任公司可能发生的生产事故，保证迅速、有效、有序地开展应急救援行动，预防、降低事故损失而预先制定的应急方案；是本企业各部门开展应急救援的行动指南。</w:t>
      </w:r>
    </w:p>
    <w:p>
      <w:pPr>
        <w:pStyle w:val="7"/>
      </w:pPr>
      <w:bookmarkStart w:id="5" w:name="_Toc101798257"/>
      <w:bookmarkStart w:id="6" w:name="_Toc518914433"/>
      <w:bookmarkStart w:id="7" w:name="_Toc505002414"/>
      <w:r>
        <w:rPr>
          <w:rFonts w:hint="eastAsia"/>
        </w:rPr>
        <w:t>1.1适用范围</w:t>
      </w:r>
      <w:bookmarkEnd w:id="5"/>
      <w:bookmarkEnd w:id="6"/>
    </w:p>
    <w:p>
      <w:pPr>
        <w:spacing w:after="0" w:line="560" w:lineRule="exact"/>
        <w:ind w:firstLine="560" w:firstLineChars="200"/>
        <w:rPr>
          <w:rFonts w:cs="宋体" w:asciiTheme="majorEastAsia" w:hAnsiTheme="majorEastAsia" w:eastAsiaTheme="majorEastAsia"/>
          <w:szCs w:val="28"/>
        </w:rPr>
      </w:pPr>
      <w:r>
        <w:rPr>
          <w:rFonts w:hint="eastAsia" w:cs="宋体" w:asciiTheme="majorEastAsia" w:hAnsiTheme="majorEastAsia" w:eastAsiaTheme="majorEastAsia"/>
          <w:szCs w:val="28"/>
        </w:rPr>
        <w:t>本预案适用于</w:t>
      </w:r>
      <w:r>
        <w:rPr>
          <w:rFonts w:hint="eastAsia" w:cs="宋体" w:asciiTheme="majorEastAsia" w:hAnsiTheme="majorEastAsia" w:eastAsiaTheme="majorEastAsia"/>
          <w:szCs w:val="28"/>
          <w:lang w:val="en-US" w:eastAsia="zh-CN"/>
        </w:rPr>
        <w:t>四川省</w:t>
      </w:r>
      <w:r>
        <w:rPr>
          <w:rFonts w:hint="eastAsia" w:cs="宋体" w:asciiTheme="majorEastAsia" w:hAnsiTheme="majorEastAsia" w:eastAsiaTheme="majorEastAsia"/>
          <w:szCs w:val="28"/>
        </w:rPr>
        <w:t>南部县天然气有限责任公司内发生生产安全事故的相关应急处置及救援程序等。</w:t>
      </w:r>
    </w:p>
    <w:bookmarkEnd w:id="7"/>
    <w:p>
      <w:pPr>
        <w:pStyle w:val="7"/>
      </w:pPr>
      <w:bookmarkStart w:id="8" w:name="_Toc101798258"/>
      <w:bookmarkStart w:id="9" w:name="_Toc505002416"/>
      <w:r>
        <w:rPr>
          <w:rFonts w:hint="eastAsia"/>
        </w:rPr>
        <w:t>1.2响应分级</w:t>
      </w:r>
      <w:bookmarkEnd w:id="8"/>
    </w:p>
    <w:p>
      <w:pPr>
        <w:pStyle w:val="6"/>
      </w:pPr>
      <w:bookmarkStart w:id="10" w:name="_Toc101798259"/>
      <w:r>
        <w:rPr>
          <w:rFonts w:hint="eastAsia" w:ascii="宋体" w:hAnsi="宋体"/>
        </w:rPr>
        <w:t>事故及事故等级的划分</w:t>
      </w:r>
    </w:p>
    <w:p>
      <w:pPr>
        <w:ind w:firstLine="980" w:firstLineChars="350"/>
        <w:rPr>
          <w:sz w:val="28"/>
          <w:szCs w:val="28"/>
        </w:rPr>
      </w:pPr>
      <w:r>
        <w:rPr>
          <w:rFonts w:hint="eastAsia"/>
          <w:sz w:val="28"/>
          <w:szCs w:val="28"/>
        </w:rPr>
        <w:t>公司安全管理体系中所指的事故包括安全生产、道路交通事故、设备事故、火灾事故、危化品事故、职业病危害事故以及对社会造成影响的其它安全事故。</w:t>
      </w:r>
    </w:p>
    <w:p>
      <w:pPr>
        <w:pStyle w:val="7"/>
        <w:ind w:firstLine="281"/>
      </w:pPr>
      <w:bookmarkStart w:id="11" w:name="_Toc437130555"/>
      <w:bookmarkEnd w:id="11"/>
      <w:bookmarkStart w:id="12" w:name="_Toc14270"/>
      <w:r>
        <w:rPr>
          <w:rFonts w:hint="eastAsia" w:ascii="宋体" w:hAnsi="宋体"/>
        </w:rPr>
        <w:t>按国家规定划分事故等级</w:t>
      </w:r>
      <w:bookmarkEnd w:id="12"/>
    </w:p>
    <w:p>
      <w:pPr>
        <w:ind w:firstLine="560"/>
        <w:rPr>
          <w:sz w:val="28"/>
          <w:szCs w:val="28"/>
        </w:rPr>
      </w:pPr>
      <w:r>
        <w:rPr>
          <w:rFonts w:hint="eastAsia"/>
          <w:sz w:val="28"/>
          <w:szCs w:val="28"/>
        </w:rPr>
        <w:t>1</w:t>
      </w:r>
      <w:r>
        <w:rPr>
          <w:rFonts w:hint="eastAsia" w:ascii="宋体" w:hAnsi="宋体"/>
          <w:sz w:val="28"/>
          <w:szCs w:val="28"/>
        </w:rPr>
        <w:t>）特别重大事故：死亡</w:t>
      </w:r>
      <w:r>
        <w:rPr>
          <w:rFonts w:hint="eastAsia"/>
          <w:sz w:val="28"/>
          <w:szCs w:val="28"/>
        </w:rPr>
        <w:t>30</w:t>
      </w:r>
      <w:r>
        <w:rPr>
          <w:rFonts w:hint="eastAsia" w:ascii="宋体" w:hAnsi="宋体"/>
          <w:sz w:val="28"/>
          <w:szCs w:val="28"/>
        </w:rPr>
        <w:t>人以上，重伤（包括急性工业中毒，下同）</w:t>
      </w:r>
      <w:r>
        <w:rPr>
          <w:rFonts w:hint="eastAsia"/>
          <w:sz w:val="28"/>
          <w:szCs w:val="28"/>
        </w:rPr>
        <w:t>100</w:t>
      </w:r>
      <w:r>
        <w:rPr>
          <w:rFonts w:hint="eastAsia" w:ascii="宋体" w:hAnsi="宋体"/>
          <w:sz w:val="28"/>
          <w:szCs w:val="28"/>
        </w:rPr>
        <w:t>人以上，直接经济损失</w:t>
      </w:r>
      <w:r>
        <w:rPr>
          <w:rFonts w:hint="eastAsia"/>
          <w:sz w:val="28"/>
          <w:szCs w:val="28"/>
        </w:rPr>
        <w:t>1</w:t>
      </w:r>
      <w:r>
        <w:rPr>
          <w:rFonts w:hint="eastAsia" w:ascii="宋体" w:hAnsi="宋体"/>
          <w:sz w:val="28"/>
          <w:szCs w:val="28"/>
        </w:rPr>
        <w:t>亿以上，上报国务院，国务院处理。</w:t>
      </w:r>
    </w:p>
    <w:p>
      <w:pPr>
        <w:ind w:firstLine="560"/>
        <w:rPr>
          <w:sz w:val="28"/>
          <w:szCs w:val="28"/>
        </w:rPr>
      </w:pPr>
      <w:r>
        <w:rPr>
          <w:rFonts w:hint="eastAsia"/>
          <w:sz w:val="28"/>
          <w:szCs w:val="28"/>
        </w:rPr>
        <w:t>2</w:t>
      </w:r>
      <w:r>
        <w:rPr>
          <w:rFonts w:hint="eastAsia" w:ascii="宋体" w:hAnsi="宋体"/>
          <w:sz w:val="28"/>
          <w:szCs w:val="28"/>
        </w:rPr>
        <w:t>）重大事故：死亡</w:t>
      </w:r>
      <w:r>
        <w:rPr>
          <w:rFonts w:hint="eastAsia"/>
          <w:sz w:val="28"/>
          <w:szCs w:val="28"/>
        </w:rPr>
        <w:t>10</w:t>
      </w:r>
      <w:r>
        <w:rPr>
          <w:rFonts w:hint="eastAsia" w:ascii="宋体" w:hAnsi="宋体"/>
          <w:sz w:val="28"/>
          <w:szCs w:val="28"/>
        </w:rPr>
        <w:t>至</w:t>
      </w:r>
      <w:r>
        <w:rPr>
          <w:rFonts w:hint="eastAsia"/>
          <w:sz w:val="28"/>
          <w:szCs w:val="28"/>
        </w:rPr>
        <w:t>29</w:t>
      </w:r>
      <w:r>
        <w:rPr>
          <w:rFonts w:hint="eastAsia" w:ascii="宋体" w:hAnsi="宋体"/>
          <w:sz w:val="28"/>
          <w:szCs w:val="28"/>
        </w:rPr>
        <w:t>人，重伤</w:t>
      </w:r>
      <w:r>
        <w:rPr>
          <w:rFonts w:hint="eastAsia"/>
          <w:sz w:val="28"/>
          <w:szCs w:val="28"/>
        </w:rPr>
        <w:t>50</w:t>
      </w:r>
      <w:r>
        <w:rPr>
          <w:rFonts w:hint="eastAsia" w:ascii="宋体" w:hAnsi="宋体"/>
          <w:sz w:val="28"/>
          <w:szCs w:val="28"/>
        </w:rPr>
        <w:t>至</w:t>
      </w:r>
      <w:r>
        <w:rPr>
          <w:rFonts w:hint="eastAsia"/>
          <w:sz w:val="28"/>
          <w:szCs w:val="28"/>
        </w:rPr>
        <w:t>99</w:t>
      </w:r>
      <w:r>
        <w:rPr>
          <w:rFonts w:hint="eastAsia" w:ascii="宋体" w:hAnsi="宋体"/>
          <w:sz w:val="28"/>
          <w:szCs w:val="28"/>
        </w:rPr>
        <w:t>人，直接经济损失</w:t>
      </w:r>
      <w:r>
        <w:rPr>
          <w:rFonts w:hint="eastAsia"/>
          <w:sz w:val="28"/>
          <w:szCs w:val="28"/>
        </w:rPr>
        <w:t>5000</w:t>
      </w:r>
      <w:r>
        <w:rPr>
          <w:rFonts w:hint="eastAsia" w:ascii="宋体" w:hAnsi="宋体"/>
          <w:sz w:val="28"/>
          <w:szCs w:val="28"/>
        </w:rPr>
        <w:t>万至</w:t>
      </w:r>
      <w:r>
        <w:rPr>
          <w:rFonts w:hint="eastAsia"/>
          <w:sz w:val="28"/>
          <w:szCs w:val="28"/>
        </w:rPr>
        <w:t>1</w:t>
      </w:r>
      <w:r>
        <w:rPr>
          <w:rFonts w:hint="eastAsia" w:ascii="宋体" w:hAnsi="宋体"/>
          <w:sz w:val="28"/>
          <w:szCs w:val="28"/>
        </w:rPr>
        <w:t>亿，上报国务院，省级处理。</w:t>
      </w:r>
    </w:p>
    <w:p>
      <w:pPr>
        <w:ind w:firstLine="560"/>
        <w:rPr>
          <w:sz w:val="28"/>
          <w:szCs w:val="28"/>
        </w:rPr>
      </w:pPr>
      <w:r>
        <w:rPr>
          <w:rFonts w:hint="eastAsia"/>
          <w:sz w:val="28"/>
          <w:szCs w:val="28"/>
        </w:rPr>
        <w:t>3</w:t>
      </w:r>
      <w:r>
        <w:rPr>
          <w:rFonts w:hint="eastAsia" w:ascii="宋体" w:hAnsi="宋体"/>
          <w:sz w:val="28"/>
          <w:szCs w:val="28"/>
        </w:rPr>
        <w:t>）较大事故：死亡</w:t>
      </w:r>
      <w:r>
        <w:rPr>
          <w:rFonts w:hint="eastAsia"/>
          <w:sz w:val="28"/>
          <w:szCs w:val="28"/>
        </w:rPr>
        <w:t>3</w:t>
      </w:r>
      <w:r>
        <w:rPr>
          <w:rFonts w:hint="eastAsia" w:ascii="宋体" w:hAnsi="宋体"/>
          <w:sz w:val="28"/>
          <w:szCs w:val="28"/>
        </w:rPr>
        <w:t>至</w:t>
      </w:r>
      <w:r>
        <w:rPr>
          <w:rFonts w:hint="eastAsia"/>
          <w:sz w:val="28"/>
          <w:szCs w:val="28"/>
        </w:rPr>
        <w:t>9</w:t>
      </w:r>
      <w:r>
        <w:rPr>
          <w:rFonts w:hint="eastAsia" w:ascii="宋体" w:hAnsi="宋体"/>
          <w:sz w:val="28"/>
          <w:szCs w:val="28"/>
        </w:rPr>
        <w:t>人，重伤</w:t>
      </w:r>
      <w:r>
        <w:rPr>
          <w:rFonts w:hint="eastAsia"/>
          <w:sz w:val="28"/>
          <w:szCs w:val="28"/>
        </w:rPr>
        <w:t>10</w:t>
      </w:r>
      <w:r>
        <w:rPr>
          <w:rFonts w:hint="eastAsia" w:ascii="宋体" w:hAnsi="宋体"/>
          <w:sz w:val="28"/>
          <w:szCs w:val="28"/>
        </w:rPr>
        <w:t>至</w:t>
      </w:r>
      <w:r>
        <w:rPr>
          <w:rFonts w:hint="eastAsia"/>
          <w:sz w:val="28"/>
          <w:szCs w:val="28"/>
        </w:rPr>
        <w:t>49</w:t>
      </w:r>
      <w:r>
        <w:rPr>
          <w:rFonts w:hint="eastAsia" w:ascii="宋体" w:hAnsi="宋体"/>
          <w:sz w:val="28"/>
          <w:szCs w:val="28"/>
        </w:rPr>
        <w:t>人，直接经济损失</w:t>
      </w:r>
      <w:r>
        <w:rPr>
          <w:rFonts w:hint="eastAsia"/>
          <w:sz w:val="28"/>
          <w:szCs w:val="28"/>
        </w:rPr>
        <w:t>1000</w:t>
      </w:r>
      <w:r>
        <w:rPr>
          <w:rFonts w:hint="eastAsia" w:ascii="宋体" w:hAnsi="宋体"/>
          <w:sz w:val="28"/>
          <w:szCs w:val="28"/>
        </w:rPr>
        <w:t>万至</w:t>
      </w:r>
      <w:r>
        <w:rPr>
          <w:rFonts w:hint="eastAsia"/>
          <w:sz w:val="28"/>
          <w:szCs w:val="28"/>
        </w:rPr>
        <w:t>5000</w:t>
      </w:r>
      <w:r>
        <w:rPr>
          <w:rFonts w:hint="eastAsia" w:ascii="宋体" w:hAnsi="宋体"/>
          <w:sz w:val="28"/>
          <w:szCs w:val="28"/>
        </w:rPr>
        <w:t>万，停气</w:t>
      </w:r>
      <w:r>
        <w:rPr>
          <w:rFonts w:hint="eastAsia"/>
          <w:sz w:val="28"/>
          <w:szCs w:val="28"/>
        </w:rPr>
        <w:t>10</w:t>
      </w:r>
      <w:r>
        <w:rPr>
          <w:rFonts w:hint="eastAsia" w:ascii="宋体" w:hAnsi="宋体"/>
          <w:sz w:val="28"/>
          <w:szCs w:val="28"/>
        </w:rPr>
        <w:t>万户及以上，上报省级，市级处理。</w:t>
      </w:r>
    </w:p>
    <w:p>
      <w:pPr>
        <w:ind w:firstLine="560"/>
        <w:rPr>
          <w:sz w:val="28"/>
          <w:szCs w:val="28"/>
        </w:rPr>
      </w:pPr>
      <w:r>
        <w:rPr>
          <w:rFonts w:hint="eastAsia"/>
          <w:sz w:val="28"/>
          <w:szCs w:val="28"/>
        </w:rPr>
        <w:t>4</w:t>
      </w:r>
      <w:r>
        <w:rPr>
          <w:rFonts w:hint="eastAsia" w:ascii="宋体" w:hAnsi="宋体"/>
          <w:sz w:val="28"/>
          <w:szCs w:val="28"/>
        </w:rPr>
        <w:t>）一般事故：死亡</w:t>
      </w:r>
      <w:r>
        <w:rPr>
          <w:rFonts w:hint="eastAsia"/>
          <w:sz w:val="28"/>
          <w:szCs w:val="28"/>
        </w:rPr>
        <w:t>1</w:t>
      </w:r>
      <w:r>
        <w:rPr>
          <w:rFonts w:hint="eastAsia" w:ascii="宋体" w:hAnsi="宋体"/>
          <w:sz w:val="28"/>
          <w:szCs w:val="28"/>
        </w:rPr>
        <w:t>至</w:t>
      </w:r>
      <w:r>
        <w:rPr>
          <w:rFonts w:hint="eastAsia"/>
          <w:sz w:val="28"/>
          <w:szCs w:val="28"/>
        </w:rPr>
        <w:t>2</w:t>
      </w:r>
      <w:r>
        <w:rPr>
          <w:rFonts w:hint="eastAsia" w:ascii="宋体" w:hAnsi="宋体"/>
          <w:sz w:val="28"/>
          <w:szCs w:val="28"/>
        </w:rPr>
        <w:t>人，重伤</w:t>
      </w:r>
      <w:r>
        <w:rPr>
          <w:rFonts w:hint="eastAsia"/>
          <w:sz w:val="28"/>
          <w:szCs w:val="28"/>
        </w:rPr>
        <w:t>1</w:t>
      </w:r>
      <w:r>
        <w:rPr>
          <w:rFonts w:hint="eastAsia" w:ascii="宋体" w:hAnsi="宋体"/>
          <w:sz w:val="28"/>
          <w:szCs w:val="28"/>
        </w:rPr>
        <w:t>至</w:t>
      </w:r>
      <w:r>
        <w:rPr>
          <w:rFonts w:hint="eastAsia"/>
          <w:sz w:val="28"/>
          <w:szCs w:val="28"/>
        </w:rPr>
        <w:t>9</w:t>
      </w:r>
      <w:r>
        <w:rPr>
          <w:rFonts w:hint="eastAsia" w:ascii="宋体" w:hAnsi="宋体"/>
          <w:sz w:val="28"/>
          <w:szCs w:val="28"/>
        </w:rPr>
        <w:t>人，直接经济损失</w:t>
      </w:r>
      <w:r>
        <w:rPr>
          <w:rFonts w:hint="eastAsia"/>
          <w:sz w:val="28"/>
          <w:szCs w:val="28"/>
        </w:rPr>
        <w:t>100</w:t>
      </w:r>
      <w:r>
        <w:rPr>
          <w:rFonts w:hint="eastAsia" w:ascii="宋体" w:hAnsi="宋体"/>
          <w:sz w:val="28"/>
          <w:szCs w:val="28"/>
        </w:rPr>
        <w:t>万至</w:t>
      </w:r>
      <w:r>
        <w:rPr>
          <w:rFonts w:hint="eastAsia"/>
          <w:sz w:val="28"/>
          <w:szCs w:val="28"/>
        </w:rPr>
        <w:t>900</w:t>
      </w:r>
      <w:r>
        <w:rPr>
          <w:rFonts w:hint="eastAsia" w:ascii="宋体" w:hAnsi="宋体"/>
          <w:sz w:val="28"/>
          <w:szCs w:val="28"/>
        </w:rPr>
        <w:t>万，停气</w:t>
      </w:r>
      <w:r>
        <w:rPr>
          <w:rFonts w:hint="eastAsia"/>
          <w:sz w:val="28"/>
          <w:szCs w:val="28"/>
        </w:rPr>
        <w:t>1</w:t>
      </w:r>
      <w:r>
        <w:rPr>
          <w:rFonts w:hint="eastAsia" w:ascii="宋体" w:hAnsi="宋体"/>
          <w:sz w:val="28"/>
          <w:szCs w:val="28"/>
        </w:rPr>
        <w:t>万户至</w:t>
      </w:r>
      <w:r>
        <w:rPr>
          <w:rFonts w:hint="eastAsia"/>
          <w:sz w:val="28"/>
          <w:szCs w:val="28"/>
        </w:rPr>
        <w:t>10</w:t>
      </w:r>
      <w:r>
        <w:rPr>
          <w:rFonts w:hint="eastAsia" w:ascii="宋体" w:hAnsi="宋体"/>
          <w:sz w:val="28"/>
          <w:szCs w:val="28"/>
        </w:rPr>
        <w:t>万户，上报市级，县级处理。</w:t>
      </w:r>
    </w:p>
    <w:p>
      <w:pPr>
        <w:ind w:firstLine="560"/>
        <w:rPr>
          <w:color w:val="FF0000"/>
          <w:sz w:val="28"/>
          <w:szCs w:val="28"/>
        </w:rPr>
      </w:pPr>
      <w:r>
        <w:rPr>
          <w:rFonts w:hint="eastAsia"/>
          <w:sz w:val="28"/>
          <w:szCs w:val="28"/>
        </w:rPr>
        <w:t>5</w:t>
      </w:r>
      <w:r>
        <w:rPr>
          <w:rFonts w:hint="eastAsia" w:ascii="宋体" w:hAnsi="宋体"/>
          <w:sz w:val="28"/>
          <w:szCs w:val="28"/>
        </w:rPr>
        <w:t>）</w:t>
      </w:r>
      <w:r>
        <w:rPr>
          <w:rFonts w:hint="eastAsia"/>
          <w:sz w:val="28"/>
          <w:szCs w:val="28"/>
        </w:rPr>
        <w:t>轻微事故：无死亡，无重伤，直接经济损失100</w:t>
      </w:r>
      <w:r>
        <w:rPr>
          <w:rFonts w:hint="eastAsia" w:ascii="宋体" w:hAnsi="宋体"/>
          <w:sz w:val="28"/>
          <w:szCs w:val="28"/>
        </w:rPr>
        <w:t>万元以下，停气</w:t>
      </w:r>
      <w:r>
        <w:rPr>
          <w:sz w:val="28"/>
          <w:szCs w:val="28"/>
        </w:rPr>
        <w:t>1</w:t>
      </w:r>
      <w:r>
        <w:rPr>
          <w:rFonts w:hint="eastAsia"/>
          <w:sz w:val="28"/>
          <w:szCs w:val="28"/>
        </w:rPr>
        <w:t>万户以下，站场或燃气管道发生泄漏、燃烧、爆炸，公司处理，其中相对较大的事故上报县级。</w:t>
      </w:r>
    </w:p>
    <w:p>
      <w:pPr>
        <w:pStyle w:val="7"/>
        <w:ind w:firstLine="281"/>
      </w:pPr>
      <w:bookmarkStart w:id="13" w:name="_Toc222840952"/>
      <w:bookmarkEnd w:id="13"/>
      <w:bookmarkStart w:id="14" w:name="_Toc222651764"/>
      <w:bookmarkEnd w:id="14"/>
      <w:bookmarkStart w:id="15" w:name="_Toc188332632"/>
      <w:bookmarkEnd w:id="15"/>
      <w:bookmarkStart w:id="16" w:name="_Toc437130556"/>
      <w:bookmarkEnd w:id="16"/>
      <w:bookmarkStart w:id="17" w:name="_Toc397070349"/>
      <w:bookmarkEnd w:id="17"/>
      <w:bookmarkStart w:id="18" w:name="_Toc133059494"/>
      <w:bookmarkStart w:id="19" w:name="_Toc9026"/>
      <w:r>
        <w:rPr>
          <w:rFonts w:hint="eastAsia"/>
        </w:rPr>
        <w:t xml:space="preserve"> </w:t>
      </w:r>
      <w:r>
        <w:rPr>
          <w:rFonts w:hint="eastAsia" w:ascii="宋体" w:hAnsi="宋体"/>
        </w:rPr>
        <w:t>公司级事故等级划分</w:t>
      </w:r>
      <w:bookmarkEnd w:id="18"/>
      <w:bookmarkEnd w:id="19"/>
    </w:p>
    <w:p>
      <w:pPr>
        <w:ind w:firstLine="980" w:firstLineChars="350"/>
        <w:rPr>
          <w:sz w:val="28"/>
          <w:szCs w:val="28"/>
        </w:rPr>
      </w:pPr>
      <w:r>
        <w:rPr>
          <w:rFonts w:hint="eastAsia"/>
          <w:sz w:val="28"/>
          <w:szCs w:val="28"/>
        </w:rPr>
        <w:t>公司为加强事故管理，将前述轻微事故作为公司级事故对待，并根据事故的危害程度、影响</w:t>
      </w:r>
      <w:r>
        <w:rPr>
          <w:sz w:val="28"/>
          <w:szCs w:val="28"/>
        </w:rPr>
        <w:t>范围和单位控制事态的能力，将</w:t>
      </w:r>
      <w:r>
        <w:rPr>
          <w:rFonts w:hint="eastAsia"/>
          <w:sz w:val="28"/>
          <w:szCs w:val="28"/>
        </w:rPr>
        <w:t>其又划分为公司级的重大、较大、一般和轻微四个等级</w:t>
      </w:r>
      <w:r>
        <w:rPr>
          <w:sz w:val="28"/>
          <w:szCs w:val="28"/>
        </w:rPr>
        <w:t>。</w:t>
      </w:r>
      <w:r>
        <w:rPr>
          <w:rFonts w:hint="eastAsia"/>
          <w:sz w:val="28"/>
          <w:szCs w:val="28"/>
        </w:rPr>
        <w:t>其中停气是指连续停供24</w:t>
      </w:r>
      <w:r>
        <w:rPr>
          <w:rFonts w:hint="eastAsia" w:ascii="宋体" w:hAnsi="宋体"/>
          <w:sz w:val="28"/>
          <w:szCs w:val="28"/>
        </w:rPr>
        <w:t>小时以上</w:t>
      </w:r>
    </w:p>
    <w:p>
      <w:pPr>
        <w:ind w:firstLine="560"/>
        <w:rPr>
          <w:sz w:val="28"/>
          <w:szCs w:val="28"/>
        </w:rPr>
      </w:pPr>
      <w:bookmarkStart w:id="20" w:name="_Toc397070350"/>
      <w:bookmarkEnd w:id="20"/>
      <w:r>
        <w:rPr>
          <w:rFonts w:hint="eastAsia"/>
          <w:sz w:val="28"/>
          <w:szCs w:val="28"/>
        </w:rPr>
        <w:t>1</w:t>
      </w:r>
      <w:r>
        <w:rPr>
          <w:rFonts w:hint="eastAsia" w:ascii="宋体" w:hAnsi="宋体"/>
          <w:sz w:val="28"/>
          <w:szCs w:val="28"/>
        </w:rPr>
        <w:t>）公司级重大</w:t>
      </w:r>
      <w:r>
        <w:rPr>
          <w:sz w:val="28"/>
          <w:szCs w:val="28"/>
        </w:rPr>
        <w:t>事故</w:t>
      </w:r>
    </w:p>
    <w:p>
      <w:pPr>
        <w:ind w:firstLine="560"/>
        <w:rPr>
          <w:sz w:val="28"/>
          <w:szCs w:val="28"/>
        </w:rPr>
      </w:pPr>
      <w:r>
        <w:rPr>
          <w:sz w:val="28"/>
          <w:szCs w:val="28"/>
        </w:rPr>
        <w:t>符合下列条件之一者，即为</w:t>
      </w:r>
      <w:r>
        <w:rPr>
          <w:rFonts w:hint="eastAsia"/>
          <w:sz w:val="28"/>
          <w:szCs w:val="28"/>
        </w:rPr>
        <w:t>公司级重大</w:t>
      </w:r>
      <w:r>
        <w:rPr>
          <w:sz w:val="28"/>
          <w:szCs w:val="28"/>
        </w:rPr>
        <w:t>事故</w:t>
      </w:r>
      <w:r>
        <w:rPr>
          <w:rFonts w:hint="eastAsia"/>
          <w:sz w:val="28"/>
          <w:szCs w:val="28"/>
        </w:rPr>
        <w:t>，经理处理，上报县级人民政府相关部门。</w:t>
      </w:r>
    </w:p>
    <w:p>
      <w:pPr>
        <w:ind w:firstLine="560"/>
        <w:rPr>
          <w:sz w:val="28"/>
          <w:szCs w:val="28"/>
        </w:rPr>
      </w:pPr>
      <w:r>
        <w:rPr>
          <w:rFonts w:hint="eastAsia"/>
          <w:sz w:val="28"/>
          <w:szCs w:val="28"/>
        </w:rPr>
        <w:t>（1</w:t>
      </w:r>
      <w:r>
        <w:rPr>
          <w:rFonts w:hint="eastAsia" w:ascii="宋体" w:hAnsi="宋体"/>
          <w:sz w:val="28"/>
          <w:szCs w:val="28"/>
        </w:rPr>
        <w:t>）轻伤</w:t>
      </w:r>
      <w:r>
        <w:rPr>
          <w:rFonts w:hint="eastAsia"/>
          <w:sz w:val="28"/>
          <w:szCs w:val="28"/>
        </w:rPr>
        <w:t>10</w:t>
      </w:r>
      <w:r>
        <w:rPr>
          <w:rFonts w:hint="eastAsia" w:ascii="宋体" w:hAnsi="宋体"/>
          <w:sz w:val="28"/>
          <w:szCs w:val="28"/>
        </w:rPr>
        <w:t>人及以上；</w:t>
      </w:r>
    </w:p>
    <w:p>
      <w:pPr>
        <w:ind w:firstLine="560"/>
        <w:rPr>
          <w:sz w:val="28"/>
          <w:szCs w:val="28"/>
        </w:rPr>
      </w:pPr>
      <w:r>
        <w:rPr>
          <w:rFonts w:hint="eastAsia"/>
          <w:sz w:val="28"/>
          <w:szCs w:val="28"/>
        </w:rPr>
        <w:t>（2</w:t>
      </w:r>
      <w:r>
        <w:rPr>
          <w:rFonts w:hint="eastAsia" w:ascii="宋体" w:hAnsi="宋体"/>
          <w:sz w:val="28"/>
          <w:szCs w:val="28"/>
        </w:rPr>
        <w:t>）直接经济损失</w:t>
      </w:r>
      <w:r>
        <w:rPr>
          <w:rFonts w:hint="eastAsia"/>
          <w:sz w:val="28"/>
          <w:szCs w:val="28"/>
        </w:rPr>
        <w:t>50</w:t>
      </w:r>
      <w:r>
        <w:rPr>
          <w:rFonts w:hint="eastAsia" w:ascii="宋体" w:hAnsi="宋体"/>
          <w:sz w:val="28"/>
          <w:szCs w:val="28"/>
        </w:rPr>
        <w:t>万元至</w:t>
      </w:r>
      <w:r>
        <w:rPr>
          <w:rFonts w:hint="eastAsia"/>
          <w:sz w:val="28"/>
          <w:szCs w:val="28"/>
        </w:rPr>
        <w:t>100</w:t>
      </w:r>
      <w:r>
        <w:rPr>
          <w:rFonts w:hint="eastAsia" w:ascii="宋体" w:hAnsi="宋体"/>
          <w:sz w:val="28"/>
          <w:szCs w:val="28"/>
        </w:rPr>
        <w:t>万元；</w:t>
      </w:r>
    </w:p>
    <w:p>
      <w:pPr>
        <w:ind w:firstLine="560"/>
        <w:rPr>
          <w:sz w:val="28"/>
          <w:szCs w:val="28"/>
        </w:rPr>
      </w:pPr>
      <w:r>
        <w:rPr>
          <w:rFonts w:hint="eastAsia"/>
          <w:sz w:val="28"/>
          <w:szCs w:val="28"/>
        </w:rPr>
        <w:t>（3</w:t>
      </w:r>
      <w:r>
        <w:rPr>
          <w:rFonts w:hint="eastAsia" w:ascii="宋体" w:hAnsi="宋体"/>
          <w:sz w:val="28"/>
          <w:szCs w:val="28"/>
        </w:rPr>
        <w:t>）停气</w:t>
      </w:r>
      <w:r>
        <w:rPr>
          <w:rFonts w:hint="eastAsia"/>
          <w:sz w:val="28"/>
          <w:szCs w:val="28"/>
        </w:rPr>
        <w:t>5</w:t>
      </w:r>
      <w:r>
        <w:rPr>
          <w:rFonts w:hint="eastAsia" w:ascii="宋体" w:hAnsi="宋体"/>
          <w:sz w:val="28"/>
          <w:szCs w:val="28"/>
        </w:rPr>
        <w:t>千户至</w:t>
      </w:r>
      <w:r>
        <w:rPr>
          <w:rFonts w:hint="eastAsia"/>
          <w:sz w:val="28"/>
          <w:szCs w:val="28"/>
        </w:rPr>
        <w:t>1</w:t>
      </w:r>
      <w:r>
        <w:rPr>
          <w:rFonts w:hint="eastAsia" w:ascii="宋体" w:hAnsi="宋体"/>
          <w:sz w:val="28"/>
          <w:szCs w:val="28"/>
        </w:rPr>
        <w:t>万户；</w:t>
      </w:r>
    </w:p>
    <w:p>
      <w:pPr>
        <w:ind w:firstLine="560"/>
        <w:rPr>
          <w:sz w:val="28"/>
          <w:szCs w:val="28"/>
        </w:rPr>
      </w:pPr>
      <w:r>
        <w:rPr>
          <w:rFonts w:hint="eastAsia"/>
          <w:sz w:val="28"/>
          <w:szCs w:val="28"/>
        </w:rPr>
        <w:t>（4</w:t>
      </w:r>
      <w:r>
        <w:rPr>
          <w:rFonts w:hint="eastAsia" w:ascii="宋体" w:hAnsi="宋体"/>
          <w:sz w:val="28"/>
          <w:szCs w:val="28"/>
        </w:rPr>
        <w:t>）站场或高、中压管道的燃烧、爆炸。</w:t>
      </w:r>
    </w:p>
    <w:p>
      <w:pPr>
        <w:ind w:firstLine="560"/>
        <w:rPr>
          <w:sz w:val="28"/>
          <w:szCs w:val="28"/>
        </w:rPr>
      </w:pPr>
      <w:bookmarkStart w:id="21" w:name="_Toc397070351"/>
      <w:bookmarkEnd w:id="21"/>
      <w:r>
        <w:rPr>
          <w:rFonts w:hint="eastAsia"/>
          <w:sz w:val="28"/>
          <w:szCs w:val="28"/>
        </w:rPr>
        <w:t>2</w:t>
      </w:r>
      <w:r>
        <w:rPr>
          <w:rFonts w:hint="eastAsia" w:ascii="宋体" w:hAnsi="宋体"/>
          <w:sz w:val="28"/>
          <w:szCs w:val="28"/>
        </w:rPr>
        <w:t>）</w:t>
      </w:r>
      <w:r>
        <w:rPr>
          <w:rFonts w:hint="eastAsia"/>
          <w:sz w:val="28"/>
          <w:szCs w:val="28"/>
        </w:rPr>
        <w:t>公司级较大</w:t>
      </w:r>
      <w:r>
        <w:rPr>
          <w:sz w:val="28"/>
          <w:szCs w:val="28"/>
        </w:rPr>
        <w:t>事故</w:t>
      </w:r>
    </w:p>
    <w:p>
      <w:pPr>
        <w:ind w:firstLine="560"/>
        <w:rPr>
          <w:sz w:val="28"/>
          <w:szCs w:val="28"/>
        </w:rPr>
      </w:pPr>
      <w:r>
        <w:rPr>
          <w:rFonts w:hint="eastAsia"/>
          <w:sz w:val="28"/>
          <w:szCs w:val="28"/>
        </w:rPr>
        <w:t>符合下列条件之一者，</w:t>
      </w:r>
      <w:r>
        <w:rPr>
          <w:sz w:val="28"/>
          <w:szCs w:val="28"/>
        </w:rPr>
        <w:t>即为</w:t>
      </w:r>
      <w:r>
        <w:rPr>
          <w:rFonts w:hint="eastAsia"/>
          <w:sz w:val="28"/>
          <w:szCs w:val="28"/>
        </w:rPr>
        <w:t>公司级较大</w:t>
      </w:r>
      <w:r>
        <w:rPr>
          <w:sz w:val="28"/>
          <w:szCs w:val="28"/>
        </w:rPr>
        <w:t>事故</w:t>
      </w:r>
      <w:r>
        <w:rPr>
          <w:rFonts w:hint="eastAsia"/>
          <w:sz w:val="28"/>
          <w:szCs w:val="28"/>
        </w:rPr>
        <w:t>，分管经理处理，上报经理。</w:t>
      </w:r>
    </w:p>
    <w:p>
      <w:pPr>
        <w:ind w:firstLine="560"/>
        <w:rPr>
          <w:sz w:val="28"/>
          <w:szCs w:val="28"/>
        </w:rPr>
      </w:pPr>
      <w:r>
        <w:rPr>
          <w:rFonts w:hint="eastAsia"/>
          <w:sz w:val="28"/>
          <w:szCs w:val="28"/>
        </w:rPr>
        <w:t>（1</w:t>
      </w:r>
      <w:r>
        <w:rPr>
          <w:rFonts w:hint="eastAsia" w:ascii="宋体" w:hAnsi="宋体"/>
          <w:sz w:val="28"/>
          <w:szCs w:val="28"/>
        </w:rPr>
        <w:t>）轻伤</w:t>
      </w:r>
      <w:r>
        <w:rPr>
          <w:rFonts w:hint="eastAsia"/>
          <w:sz w:val="28"/>
          <w:szCs w:val="28"/>
        </w:rPr>
        <w:t>6</w:t>
      </w:r>
      <w:r>
        <w:rPr>
          <w:rFonts w:hint="eastAsia" w:ascii="宋体" w:hAnsi="宋体"/>
          <w:sz w:val="28"/>
          <w:szCs w:val="28"/>
        </w:rPr>
        <w:t>人至</w:t>
      </w:r>
      <w:r>
        <w:rPr>
          <w:rFonts w:hint="eastAsia"/>
          <w:sz w:val="28"/>
          <w:szCs w:val="28"/>
        </w:rPr>
        <w:t>9</w:t>
      </w:r>
      <w:r>
        <w:rPr>
          <w:rFonts w:hint="eastAsia" w:ascii="宋体" w:hAnsi="宋体"/>
          <w:sz w:val="28"/>
          <w:szCs w:val="28"/>
        </w:rPr>
        <w:t>人；</w:t>
      </w:r>
    </w:p>
    <w:p>
      <w:pPr>
        <w:ind w:firstLine="560"/>
        <w:rPr>
          <w:sz w:val="28"/>
          <w:szCs w:val="28"/>
        </w:rPr>
      </w:pPr>
      <w:r>
        <w:rPr>
          <w:rFonts w:hint="eastAsia"/>
          <w:sz w:val="28"/>
          <w:szCs w:val="28"/>
        </w:rPr>
        <w:t>（2</w:t>
      </w:r>
      <w:r>
        <w:rPr>
          <w:rFonts w:hint="eastAsia" w:ascii="宋体" w:hAnsi="宋体"/>
          <w:sz w:val="28"/>
          <w:szCs w:val="28"/>
        </w:rPr>
        <w:t>）直接经济损失</w:t>
      </w:r>
      <w:r>
        <w:rPr>
          <w:rFonts w:hint="eastAsia"/>
          <w:sz w:val="28"/>
          <w:szCs w:val="28"/>
        </w:rPr>
        <w:t>10</w:t>
      </w:r>
      <w:r>
        <w:rPr>
          <w:rFonts w:hint="eastAsia" w:ascii="宋体" w:hAnsi="宋体"/>
          <w:sz w:val="28"/>
          <w:szCs w:val="28"/>
        </w:rPr>
        <w:t>万元至</w:t>
      </w:r>
      <w:r>
        <w:rPr>
          <w:rFonts w:hint="eastAsia"/>
          <w:sz w:val="28"/>
          <w:szCs w:val="28"/>
        </w:rPr>
        <w:t>50</w:t>
      </w:r>
      <w:r>
        <w:rPr>
          <w:rFonts w:hint="eastAsia" w:ascii="宋体" w:hAnsi="宋体"/>
          <w:sz w:val="28"/>
          <w:szCs w:val="28"/>
        </w:rPr>
        <w:t>万元；</w:t>
      </w:r>
    </w:p>
    <w:p>
      <w:pPr>
        <w:ind w:firstLine="560"/>
        <w:rPr>
          <w:sz w:val="28"/>
          <w:szCs w:val="28"/>
        </w:rPr>
      </w:pPr>
      <w:r>
        <w:rPr>
          <w:rFonts w:hint="eastAsia"/>
          <w:sz w:val="28"/>
          <w:szCs w:val="28"/>
        </w:rPr>
        <w:t>（3</w:t>
      </w:r>
      <w:r>
        <w:rPr>
          <w:rFonts w:hint="eastAsia" w:ascii="宋体" w:hAnsi="宋体"/>
          <w:sz w:val="28"/>
          <w:szCs w:val="28"/>
        </w:rPr>
        <w:t>）停气</w:t>
      </w:r>
      <w:r>
        <w:rPr>
          <w:rFonts w:hint="eastAsia"/>
          <w:sz w:val="28"/>
          <w:szCs w:val="28"/>
        </w:rPr>
        <w:t>1</w:t>
      </w:r>
      <w:r>
        <w:rPr>
          <w:rFonts w:hint="eastAsia" w:ascii="宋体" w:hAnsi="宋体"/>
          <w:sz w:val="28"/>
          <w:szCs w:val="28"/>
        </w:rPr>
        <w:t>千户至</w:t>
      </w:r>
      <w:r>
        <w:rPr>
          <w:rFonts w:hint="eastAsia"/>
          <w:sz w:val="28"/>
          <w:szCs w:val="28"/>
        </w:rPr>
        <w:t>5</w:t>
      </w:r>
      <w:r>
        <w:rPr>
          <w:rFonts w:hint="eastAsia" w:ascii="宋体" w:hAnsi="宋体"/>
          <w:sz w:val="28"/>
          <w:szCs w:val="28"/>
        </w:rPr>
        <w:t>千户；</w:t>
      </w:r>
    </w:p>
    <w:p>
      <w:pPr>
        <w:ind w:firstLine="560"/>
        <w:rPr>
          <w:sz w:val="28"/>
          <w:szCs w:val="28"/>
        </w:rPr>
      </w:pPr>
      <w:r>
        <w:rPr>
          <w:rFonts w:hint="eastAsia"/>
          <w:sz w:val="28"/>
          <w:szCs w:val="28"/>
        </w:rPr>
        <w:t>（4</w:t>
      </w:r>
      <w:r>
        <w:rPr>
          <w:rFonts w:hint="eastAsia" w:ascii="宋体" w:hAnsi="宋体"/>
          <w:sz w:val="28"/>
          <w:szCs w:val="28"/>
        </w:rPr>
        <w:t>）低压燃气管道的燃烧、爆炸；</w:t>
      </w:r>
    </w:p>
    <w:p>
      <w:pPr>
        <w:ind w:firstLine="560"/>
        <w:rPr>
          <w:sz w:val="28"/>
          <w:szCs w:val="28"/>
        </w:rPr>
      </w:pPr>
      <w:r>
        <w:rPr>
          <w:rFonts w:hint="eastAsia"/>
          <w:sz w:val="28"/>
          <w:szCs w:val="28"/>
        </w:rPr>
        <w:t>（5</w:t>
      </w:r>
      <w:r>
        <w:rPr>
          <w:rFonts w:hint="eastAsia" w:ascii="宋体" w:hAnsi="宋体"/>
          <w:sz w:val="28"/>
          <w:szCs w:val="28"/>
        </w:rPr>
        <w:t>）站场或高、中压管道发生严重泄漏。</w:t>
      </w:r>
    </w:p>
    <w:p>
      <w:pPr>
        <w:ind w:firstLine="560"/>
        <w:rPr>
          <w:sz w:val="28"/>
          <w:szCs w:val="28"/>
        </w:rPr>
      </w:pPr>
      <w:bookmarkStart w:id="22" w:name="_Toc397070352"/>
      <w:bookmarkEnd w:id="22"/>
      <w:r>
        <w:rPr>
          <w:rFonts w:hint="eastAsia"/>
          <w:sz w:val="28"/>
          <w:szCs w:val="28"/>
        </w:rPr>
        <w:t>3</w:t>
      </w:r>
      <w:r>
        <w:rPr>
          <w:rFonts w:hint="eastAsia" w:ascii="宋体" w:hAnsi="宋体"/>
          <w:sz w:val="28"/>
          <w:szCs w:val="28"/>
        </w:rPr>
        <w:t>）公司级一般</w:t>
      </w:r>
      <w:r>
        <w:rPr>
          <w:sz w:val="28"/>
          <w:szCs w:val="28"/>
        </w:rPr>
        <w:t>事故</w:t>
      </w:r>
    </w:p>
    <w:p>
      <w:pPr>
        <w:ind w:firstLine="560"/>
        <w:rPr>
          <w:sz w:val="28"/>
          <w:szCs w:val="28"/>
        </w:rPr>
      </w:pPr>
      <w:r>
        <w:rPr>
          <w:rFonts w:hint="eastAsia"/>
          <w:sz w:val="28"/>
          <w:szCs w:val="28"/>
        </w:rPr>
        <w:t>符合下列条件之一者，</w:t>
      </w:r>
      <w:r>
        <w:rPr>
          <w:sz w:val="28"/>
          <w:szCs w:val="28"/>
        </w:rPr>
        <w:t>即为</w:t>
      </w:r>
      <w:r>
        <w:rPr>
          <w:rFonts w:hint="eastAsia"/>
          <w:sz w:val="28"/>
          <w:szCs w:val="28"/>
        </w:rPr>
        <w:t>公司级一般</w:t>
      </w:r>
      <w:r>
        <w:rPr>
          <w:sz w:val="28"/>
          <w:szCs w:val="28"/>
        </w:rPr>
        <w:t>事故</w:t>
      </w:r>
      <w:r>
        <w:rPr>
          <w:rFonts w:hint="eastAsia"/>
          <w:sz w:val="28"/>
          <w:szCs w:val="28"/>
        </w:rPr>
        <w:t>，部门负责人处理，上报分管经理。</w:t>
      </w:r>
    </w:p>
    <w:p>
      <w:pPr>
        <w:ind w:firstLine="560"/>
        <w:rPr>
          <w:sz w:val="28"/>
          <w:szCs w:val="28"/>
        </w:rPr>
      </w:pPr>
      <w:r>
        <w:rPr>
          <w:rFonts w:hint="eastAsia"/>
          <w:sz w:val="28"/>
          <w:szCs w:val="28"/>
        </w:rPr>
        <w:t>（1</w:t>
      </w:r>
      <w:r>
        <w:rPr>
          <w:rFonts w:hint="eastAsia" w:ascii="宋体" w:hAnsi="宋体"/>
          <w:sz w:val="28"/>
          <w:szCs w:val="28"/>
        </w:rPr>
        <w:t>）轻伤</w:t>
      </w:r>
      <w:r>
        <w:rPr>
          <w:rFonts w:hint="eastAsia"/>
          <w:sz w:val="28"/>
          <w:szCs w:val="28"/>
        </w:rPr>
        <w:t>3</w:t>
      </w:r>
      <w:r>
        <w:rPr>
          <w:rFonts w:hint="eastAsia" w:ascii="宋体" w:hAnsi="宋体"/>
          <w:sz w:val="28"/>
          <w:szCs w:val="28"/>
        </w:rPr>
        <w:t>人至</w:t>
      </w:r>
      <w:r>
        <w:rPr>
          <w:rFonts w:hint="eastAsia"/>
          <w:sz w:val="28"/>
          <w:szCs w:val="28"/>
        </w:rPr>
        <w:t>5</w:t>
      </w:r>
      <w:r>
        <w:rPr>
          <w:rFonts w:hint="eastAsia" w:ascii="宋体" w:hAnsi="宋体"/>
          <w:sz w:val="28"/>
          <w:szCs w:val="28"/>
        </w:rPr>
        <w:t>人；</w:t>
      </w:r>
    </w:p>
    <w:p>
      <w:pPr>
        <w:ind w:firstLine="560"/>
        <w:rPr>
          <w:sz w:val="28"/>
          <w:szCs w:val="28"/>
        </w:rPr>
      </w:pPr>
      <w:r>
        <w:rPr>
          <w:rFonts w:hint="eastAsia"/>
          <w:sz w:val="28"/>
          <w:szCs w:val="28"/>
        </w:rPr>
        <w:t>（2</w:t>
      </w:r>
      <w:r>
        <w:rPr>
          <w:rFonts w:hint="eastAsia" w:ascii="宋体" w:hAnsi="宋体"/>
          <w:sz w:val="28"/>
          <w:szCs w:val="28"/>
        </w:rPr>
        <w:t>）直接经济损失</w:t>
      </w:r>
      <w:r>
        <w:rPr>
          <w:rFonts w:hint="eastAsia"/>
          <w:sz w:val="28"/>
          <w:szCs w:val="28"/>
        </w:rPr>
        <w:t>5</w:t>
      </w:r>
      <w:r>
        <w:rPr>
          <w:rFonts w:hint="eastAsia" w:ascii="宋体" w:hAnsi="宋体"/>
          <w:sz w:val="28"/>
          <w:szCs w:val="28"/>
        </w:rPr>
        <w:t>万元至</w:t>
      </w:r>
      <w:r>
        <w:rPr>
          <w:rFonts w:hint="eastAsia"/>
          <w:sz w:val="28"/>
          <w:szCs w:val="28"/>
        </w:rPr>
        <w:t>10</w:t>
      </w:r>
      <w:r>
        <w:rPr>
          <w:rFonts w:hint="eastAsia" w:ascii="宋体" w:hAnsi="宋体"/>
          <w:sz w:val="28"/>
          <w:szCs w:val="28"/>
        </w:rPr>
        <w:t xml:space="preserve">万元； </w:t>
      </w:r>
    </w:p>
    <w:p>
      <w:pPr>
        <w:ind w:firstLine="560"/>
        <w:rPr>
          <w:sz w:val="28"/>
          <w:szCs w:val="28"/>
        </w:rPr>
      </w:pPr>
      <w:r>
        <w:rPr>
          <w:rFonts w:hint="eastAsia"/>
          <w:sz w:val="28"/>
          <w:szCs w:val="28"/>
        </w:rPr>
        <w:t>（3</w:t>
      </w:r>
      <w:r>
        <w:rPr>
          <w:rFonts w:hint="eastAsia" w:ascii="宋体" w:hAnsi="宋体"/>
          <w:sz w:val="28"/>
          <w:szCs w:val="28"/>
        </w:rPr>
        <w:t>）停气</w:t>
      </w:r>
      <w:r>
        <w:rPr>
          <w:rFonts w:hint="eastAsia"/>
          <w:sz w:val="28"/>
          <w:szCs w:val="28"/>
        </w:rPr>
        <w:t>500</w:t>
      </w:r>
      <w:r>
        <w:rPr>
          <w:rFonts w:hint="eastAsia" w:ascii="宋体" w:hAnsi="宋体"/>
          <w:sz w:val="28"/>
          <w:szCs w:val="28"/>
        </w:rPr>
        <w:t>户至</w:t>
      </w:r>
      <w:r>
        <w:rPr>
          <w:rFonts w:hint="eastAsia"/>
          <w:sz w:val="28"/>
          <w:szCs w:val="28"/>
        </w:rPr>
        <w:t>1</w:t>
      </w:r>
      <w:r>
        <w:rPr>
          <w:rFonts w:hint="eastAsia" w:ascii="宋体" w:hAnsi="宋体"/>
          <w:sz w:val="28"/>
          <w:szCs w:val="28"/>
        </w:rPr>
        <w:t>千户；</w:t>
      </w:r>
    </w:p>
    <w:p>
      <w:pPr>
        <w:ind w:firstLine="560"/>
        <w:rPr>
          <w:sz w:val="28"/>
          <w:szCs w:val="28"/>
        </w:rPr>
      </w:pPr>
      <w:r>
        <w:rPr>
          <w:rFonts w:hint="eastAsia"/>
          <w:sz w:val="28"/>
          <w:szCs w:val="28"/>
        </w:rPr>
        <w:t>（4</w:t>
      </w:r>
      <w:r>
        <w:rPr>
          <w:rFonts w:hint="eastAsia" w:ascii="宋体" w:hAnsi="宋体"/>
          <w:sz w:val="28"/>
          <w:szCs w:val="28"/>
        </w:rPr>
        <w:t>）燃气管道、燃气设施发生泄漏。</w:t>
      </w:r>
    </w:p>
    <w:p>
      <w:pPr>
        <w:ind w:firstLine="560"/>
        <w:rPr>
          <w:sz w:val="28"/>
          <w:szCs w:val="28"/>
        </w:rPr>
      </w:pPr>
      <w:bookmarkStart w:id="23" w:name="_Toc397070353"/>
      <w:bookmarkEnd w:id="23"/>
      <w:r>
        <w:rPr>
          <w:rFonts w:hint="eastAsia"/>
          <w:sz w:val="28"/>
          <w:szCs w:val="28"/>
        </w:rPr>
        <w:t>4</w:t>
      </w:r>
      <w:r>
        <w:rPr>
          <w:rFonts w:hint="eastAsia" w:ascii="宋体" w:hAnsi="宋体"/>
          <w:sz w:val="28"/>
          <w:szCs w:val="28"/>
        </w:rPr>
        <w:t>）公司级轻微</w:t>
      </w:r>
      <w:r>
        <w:rPr>
          <w:sz w:val="28"/>
          <w:szCs w:val="28"/>
        </w:rPr>
        <w:t>事故</w:t>
      </w:r>
    </w:p>
    <w:p>
      <w:pPr>
        <w:ind w:firstLine="560"/>
        <w:rPr>
          <w:sz w:val="28"/>
          <w:szCs w:val="28"/>
        </w:rPr>
      </w:pPr>
      <w:r>
        <w:rPr>
          <w:rFonts w:hint="eastAsia"/>
          <w:sz w:val="28"/>
          <w:szCs w:val="28"/>
        </w:rPr>
        <w:t>符合下列条件之一者，即为公司级轻微</w:t>
      </w:r>
      <w:r>
        <w:rPr>
          <w:sz w:val="28"/>
          <w:szCs w:val="28"/>
        </w:rPr>
        <w:t>事故</w:t>
      </w:r>
      <w:r>
        <w:rPr>
          <w:rFonts w:hint="eastAsia"/>
          <w:sz w:val="28"/>
          <w:szCs w:val="28"/>
        </w:rPr>
        <w:t>，部门负责人处理，上报分管经理。</w:t>
      </w:r>
    </w:p>
    <w:p>
      <w:pPr>
        <w:ind w:firstLine="560"/>
        <w:rPr>
          <w:sz w:val="28"/>
          <w:szCs w:val="28"/>
        </w:rPr>
      </w:pPr>
      <w:r>
        <w:rPr>
          <w:rFonts w:hint="eastAsia"/>
          <w:sz w:val="28"/>
          <w:szCs w:val="28"/>
        </w:rPr>
        <w:t>（1</w:t>
      </w:r>
      <w:r>
        <w:rPr>
          <w:rFonts w:hint="eastAsia" w:ascii="宋体" w:hAnsi="宋体"/>
          <w:sz w:val="28"/>
          <w:szCs w:val="28"/>
        </w:rPr>
        <w:t>）轻伤</w:t>
      </w:r>
      <w:r>
        <w:rPr>
          <w:rFonts w:hint="eastAsia"/>
          <w:sz w:val="28"/>
          <w:szCs w:val="28"/>
        </w:rPr>
        <w:t>2</w:t>
      </w:r>
      <w:r>
        <w:rPr>
          <w:rFonts w:hint="eastAsia" w:ascii="宋体" w:hAnsi="宋体"/>
          <w:sz w:val="28"/>
          <w:szCs w:val="28"/>
        </w:rPr>
        <w:t>人及以下；</w:t>
      </w:r>
    </w:p>
    <w:p>
      <w:pPr>
        <w:ind w:firstLine="560"/>
        <w:rPr>
          <w:sz w:val="28"/>
          <w:szCs w:val="28"/>
        </w:rPr>
      </w:pPr>
      <w:r>
        <w:rPr>
          <w:rFonts w:hint="eastAsia"/>
          <w:sz w:val="28"/>
          <w:szCs w:val="28"/>
        </w:rPr>
        <w:t>（2</w:t>
      </w:r>
      <w:r>
        <w:rPr>
          <w:rFonts w:hint="eastAsia" w:ascii="宋体" w:hAnsi="宋体"/>
          <w:sz w:val="28"/>
          <w:szCs w:val="28"/>
        </w:rPr>
        <w:t>）事故直接经济损失</w:t>
      </w:r>
      <w:r>
        <w:rPr>
          <w:rFonts w:hint="eastAsia" w:ascii="宋体" w:hAnsi="宋体"/>
          <w:sz w:val="28"/>
          <w:szCs w:val="28"/>
          <w:lang w:val="en-US" w:eastAsia="zh-CN"/>
        </w:rPr>
        <w:t>500元至</w:t>
      </w:r>
      <w:r>
        <w:rPr>
          <w:rFonts w:hint="eastAsia"/>
          <w:sz w:val="28"/>
          <w:szCs w:val="28"/>
        </w:rPr>
        <w:t>5</w:t>
      </w:r>
      <w:r>
        <w:rPr>
          <w:rFonts w:hint="eastAsia" w:ascii="宋体" w:hAnsi="宋体"/>
          <w:sz w:val="28"/>
          <w:szCs w:val="28"/>
        </w:rPr>
        <w:t>万元；</w:t>
      </w:r>
    </w:p>
    <w:p>
      <w:pPr>
        <w:ind w:firstLine="560"/>
        <w:rPr>
          <w:sz w:val="28"/>
          <w:szCs w:val="28"/>
        </w:rPr>
      </w:pPr>
      <w:r>
        <w:rPr>
          <w:rFonts w:hint="eastAsia"/>
          <w:sz w:val="28"/>
          <w:szCs w:val="28"/>
        </w:rPr>
        <w:t>（3</w:t>
      </w:r>
      <w:r>
        <w:rPr>
          <w:rFonts w:hint="eastAsia" w:ascii="宋体" w:hAnsi="宋体"/>
          <w:sz w:val="28"/>
          <w:szCs w:val="28"/>
        </w:rPr>
        <w:t>）停气</w:t>
      </w:r>
      <w:r>
        <w:rPr>
          <w:rFonts w:hint="eastAsia"/>
          <w:sz w:val="28"/>
          <w:szCs w:val="28"/>
        </w:rPr>
        <w:t>500</w:t>
      </w:r>
      <w:r>
        <w:rPr>
          <w:rFonts w:hint="eastAsia" w:ascii="宋体" w:hAnsi="宋体"/>
          <w:sz w:val="28"/>
          <w:szCs w:val="28"/>
        </w:rPr>
        <w:t>户以下。</w:t>
      </w:r>
    </w:p>
    <w:p>
      <w:pPr>
        <w:pStyle w:val="6"/>
      </w:pPr>
      <w:r>
        <w:rPr>
          <w:rFonts w:hint="eastAsia"/>
        </w:rPr>
        <w:t>2 应急救援组织机构及职责</w:t>
      </w:r>
      <w:bookmarkEnd w:id="10"/>
    </w:p>
    <w:p>
      <w:pPr>
        <w:pStyle w:val="7"/>
      </w:pPr>
      <w:bookmarkStart w:id="24" w:name="_Toc505002423"/>
      <w:bookmarkStart w:id="25" w:name="_Toc101798260"/>
      <w:r>
        <w:rPr>
          <w:rFonts w:hint="eastAsia"/>
        </w:rPr>
        <w:t>2.1</w:t>
      </w:r>
      <w:bookmarkEnd w:id="24"/>
      <w:r>
        <w:rPr>
          <w:rFonts w:hint="eastAsia"/>
        </w:rPr>
        <w:t>应急组织体系</w:t>
      </w:r>
      <w:bookmarkEnd w:id="25"/>
    </w:p>
    <w:p>
      <w:pPr>
        <w:spacing w:after="0" w:line="560" w:lineRule="exact"/>
        <w:ind w:firstLine="560" w:firstLineChars="200"/>
        <w:jc w:val="both"/>
        <w:rPr>
          <w:rFonts w:ascii="宋体" w:hAnsi="宋体" w:cs="宋体"/>
          <w:szCs w:val="28"/>
        </w:rPr>
      </w:pPr>
      <w:r>
        <w:rPr>
          <w:rFonts w:hint="eastAsia" w:ascii="宋体" w:hAnsi="宋体" w:cs="宋体"/>
          <w:szCs w:val="28"/>
        </w:rPr>
        <w:t>公司成立应急救援指挥部。按事故灾难等级和分级响应原则，由相应等级人员或熟悉事故现场情况的有关人员具体负责现场指挥（详见3</w:t>
      </w:r>
      <w:r>
        <w:rPr>
          <w:rFonts w:ascii="宋体" w:hAnsi="宋体" w:cs="宋体"/>
          <w:szCs w:val="28"/>
        </w:rPr>
        <w:t>.3.1</w:t>
      </w:r>
      <w:r>
        <w:rPr>
          <w:rFonts w:hint="eastAsia" w:ascii="宋体" w:hAnsi="宋体" w:cs="宋体"/>
          <w:szCs w:val="28"/>
        </w:rPr>
        <w:t>）。指挥部下设事故联络组、</w:t>
      </w:r>
      <w:r>
        <w:rPr>
          <w:rFonts w:hint="eastAsia" w:ascii="宋体" w:hAnsi="宋体" w:cs="宋体"/>
          <w:szCs w:val="28"/>
          <w:lang w:val="en-US" w:eastAsia="zh-CN"/>
        </w:rPr>
        <w:t>事故</w:t>
      </w:r>
      <w:r>
        <w:rPr>
          <w:rFonts w:hint="eastAsia" w:ascii="宋体" w:hAnsi="宋体" w:cs="宋体"/>
          <w:szCs w:val="28"/>
        </w:rPr>
        <w:t>现场救援组、技术支持组、交通组、医疗</w:t>
      </w:r>
      <w:r>
        <w:rPr>
          <w:rFonts w:hint="eastAsia" w:ascii="宋体" w:hAnsi="宋体" w:cs="宋体"/>
          <w:szCs w:val="28"/>
          <w:lang w:val="en-US" w:eastAsia="zh-CN"/>
        </w:rPr>
        <w:t>救护</w:t>
      </w:r>
      <w:r>
        <w:rPr>
          <w:rFonts w:hint="eastAsia" w:ascii="宋体" w:hAnsi="宋体" w:cs="宋体"/>
          <w:szCs w:val="28"/>
        </w:rPr>
        <w:t>组。公司应急组织体系如下图所示：</w:t>
      </w:r>
    </w:p>
    <w:p>
      <w:pPr>
        <w:spacing w:after="0" w:line="560" w:lineRule="exact"/>
        <w:ind w:firstLine="560"/>
        <w:jc w:val="center"/>
      </w:pPr>
      <w:r>
        <w:rPr>
          <w:szCs w:val="28"/>
        </w:rPr>
        <w:t xml:space="preserve"> </w:t>
      </w:r>
      <w:r>
        <w:rPr>
          <w:rFonts w:hint="eastAsia" w:ascii="宋体" w:hAnsi="宋体" w:cs="宋体"/>
          <w:szCs w:val="28"/>
        </w:rPr>
        <w:t>图</w:t>
      </w:r>
      <w:r>
        <w:rPr>
          <w:rFonts w:ascii="宋体" w:hAnsi="宋体" w:cs="宋体"/>
          <w:szCs w:val="28"/>
        </w:rPr>
        <w:t>2</w:t>
      </w:r>
      <w:r>
        <w:rPr>
          <w:rFonts w:hint="eastAsia" w:ascii="宋体" w:hAnsi="宋体" w:cs="宋体"/>
          <w:szCs w:val="28"/>
        </w:rPr>
        <w:t>.</w:t>
      </w:r>
      <w:r>
        <w:rPr>
          <w:rFonts w:ascii="宋体" w:hAnsi="宋体" w:cs="宋体"/>
          <w:szCs w:val="28"/>
        </w:rPr>
        <w:t>1</w:t>
      </w:r>
      <w:r>
        <w:rPr>
          <w:rFonts w:hint="eastAsia" w:ascii="宋体" w:hAnsi="宋体" w:cs="宋体"/>
          <w:szCs w:val="28"/>
        </w:rPr>
        <w:t>-1应急组织体系图</w:t>
      </w:r>
    </w:p>
    <w:p>
      <w:pPr>
        <w:ind w:firstLine="560"/>
        <w:rPr>
          <w:b/>
          <w:bCs/>
        </w:rPr>
      </w:pPr>
      <w:r>
        <w:rPr>
          <w:rFonts w:hint="eastAsia" w:hAnsi="宋体"/>
          <w:bCs/>
          <w:szCs w:val="28"/>
        </w:rPr>
        <mc:AlternateContent>
          <mc:Choice Requires="wpc">
            <w:drawing>
              <wp:anchor distT="0" distB="0" distL="114300" distR="114300" simplePos="0" relativeHeight="251697152" behindDoc="1" locked="0" layoutInCell="1" allowOverlap="1">
                <wp:simplePos x="0" y="0"/>
                <wp:positionH relativeFrom="margin">
                  <wp:posOffset>600710</wp:posOffset>
                </wp:positionH>
                <wp:positionV relativeFrom="paragraph">
                  <wp:posOffset>11430</wp:posOffset>
                </wp:positionV>
                <wp:extent cx="5948680" cy="3242945"/>
                <wp:effectExtent l="0" t="0" r="13970" b="5501005"/>
                <wp:wrapNone/>
                <wp:docPr id="961" name="画布 96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65" name="文本框 965"/>
                        <wps:cNvSpPr txBox="1"/>
                        <wps:spPr>
                          <a:xfrm>
                            <a:off x="459317" y="1545250"/>
                            <a:ext cx="388620" cy="1312250"/>
                          </a:xfrm>
                          <a:prstGeom prst="rect">
                            <a:avLst/>
                          </a:prstGeom>
                          <a:solidFill>
                            <a:schemeClr val="lt1"/>
                          </a:solidFill>
                          <a:ln w="6350">
                            <a:solidFill>
                              <a:prstClr val="black"/>
                            </a:solidFill>
                          </a:ln>
                        </wps:spPr>
                        <wps:txbx>
                          <w:txbxContent>
                            <w:p>
                              <w:pPr>
                                <w:rPr>
                                  <w:sz w:val="24"/>
                                  <w:szCs w:val="24"/>
                                </w:rPr>
                              </w:pPr>
                              <w:r>
                                <w:rPr>
                                  <w:rFonts w:hint="eastAsia"/>
                                  <w:sz w:val="24"/>
                                  <w:szCs w:val="24"/>
                                </w:rPr>
                                <w:t>事故联络组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965"/>
                        <wps:cNvSpPr txBox="1"/>
                        <wps:spPr>
                          <a:xfrm>
                            <a:off x="1381125" y="1537335"/>
                            <a:ext cx="388620" cy="1460500"/>
                          </a:xfrm>
                          <a:prstGeom prst="rect">
                            <a:avLst/>
                          </a:prstGeom>
                          <a:solidFill>
                            <a:schemeClr val="lt1"/>
                          </a:solidFill>
                          <a:ln w="6350">
                            <a:solidFill>
                              <a:prstClr val="black"/>
                            </a:solidFill>
                          </a:ln>
                        </wps:spPr>
                        <wps:txbx>
                          <w:txbxContent>
                            <w:p>
                              <w:pPr>
                                <w:rPr>
                                  <w:rFonts w:hAnsi="微软雅黑"/>
                                  <w:sz w:val="24"/>
                                  <w:szCs w:val="24"/>
                                </w:rPr>
                              </w:pPr>
                              <w:r>
                                <w:rPr>
                                  <w:rFonts w:hint="eastAsia" w:hAnsi="微软雅黑"/>
                                  <w:sz w:val="24"/>
                                  <w:szCs w:val="24"/>
                                  <w:lang w:val="en-US" w:eastAsia="zh-CN"/>
                                </w:rPr>
                                <w:t>事故</w:t>
                              </w:r>
                              <w:r>
                                <w:rPr>
                                  <w:rFonts w:hint="eastAsia" w:hAnsi="微软雅黑"/>
                                  <w:sz w:val="24"/>
                                  <w:szCs w:val="24"/>
                                </w:rPr>
                                <w:t>现场救援组</w:t>
                              </w:r>
                            </w:p>
                          </w:txbxContent>
                        </wps:txbx>
                        <wps:bodyPr rot="0" spcFirstLastPara="0" vert="horz" wrap="square" lIns="91440" tIns="45720" rIns="91440" bIns="45720" numCol="1" spcCol="0" rtlCol="0" fromWordArt="0" anchor="t" anchorCtr="0" forceAA="0" compatLnSpc="1">
                          <a:noAutofit/>
                        </wps:bodyPr>
                      </wps:wsp>
                      <wps:wsp>
                        <wps:cNvPr id="163" name="文本框 965"/>
                        <wps:cNvSpPr txBox="1"/>
                        <wps:spPr>
                          <a:xfrm>
                            <a:off x="2400898" y="1555344"/>
                            <a:ext cx="388620" cy="1328449"/>
                          </a:xfrm>
                          <a:prstGeom prst="rect">
                            <a:avLst/>
                          </a:prstGeom>
                          <a:solidFill>
                            <a:schemeClr val="lt1"/>
                          </a:solidFill>
                          <a:ln w="6350">
                            <a:solidFill>
                              <a:prstClr val="black"/>
                            </a:solidFill>
                          </a:ln>
                        </wps:spPr>
                        <wps:txbx>
                          <w:txbxContent>
                            <w:p>
                              <w:pPr>
                                <w:rPr>
                                  <w:rFonts w:hAnsi="微软雅黑"/>
                                  <w:sz w:val="24"/>
                                  <w:szCs w:val="24"/>
                                </w:rPr>
                              </w:pPr>
                              <w:r>
                                <w:rPr>
                                  <w:rFonts w:hint="eastAsia" w:hAnsi="微软雅黑"/>
                                  <w:sz w:val="24"/>
                                  <w:szCs w:val="24"/>
                                </w:rPr>
                                <w:t>技术支持组</w:t>
                              </w:r>
                            </w:p>
                          </w:txbxContent>
                        </wps:txbx>
                        <wps:bodyPr rot="0" spcFirstLastPara="0" vert="horz" wrap="square" lIns="91440" tIns="45720" rIns="91440" bIns="45720" numCol="1" spcCol="0" rtlCol="0" fromWordArt="0" anchor="t" anchorCtr="0" forceAA="0" compatLnSpc="1">
                          <a:noAutofit/>
                        </wps:bodyPr>
                      </wps:wsp>
                      <wps:wsp>
                        <wps:cNvPr id="164" name="文本框 965"/>
                        <wps:cNvSpPr txBox="1"/>
                        <wps:spPr>
                          <a:xfrm>
                            <a:off x="3620770" y="1574800"/>
                            <a:ext cx="388620" cy="1309370"/>
                          </a:xfrm>
                          <a:prstGeom prst="rect">
                            <a:avLst/>
                          </a:prstGeom>
                          <a:solidFill>
                            <a:schemeClr val="lt1"/>
                          </a:solidFill>
                          <a:ln w="6350">
                            <a:solidFill>
                              <a:prstClr val="black"/>
                            </a:solidFill>
                          </a:ln>
                        </wps:spPr>
                        <wps:txbx>
                          <w:txbxContent>
                            <w:p>
                              <w:pPr>
                                <w:rPr>
                                  <w:rFonts w:hAnsi="微软雅黑"/>
                                  <w:sz w:val="24"/>
                                  <w:szCs w:val="24"/>
                                </w:rPr>
                              </w:pPr>
                              <w:r>
                                <w:rPr>
                                  <w:rFonts w:hint="eastAsia" w:hAnsi="微软雅黑"/>
                                  <w:sz w:val="24"/>
                                  <w:szCs w:val="24"/>
                                </w:rPr>
                                <w:t>交通组</w:t>
                              </w:r>
                            </w:p>
                          </w:txbxContent>
                        </wps:txbx>
                        <wps:bodyPr rot="0" spcFirstLastPara="0" vert="horz" wrap="square" lIns="91440" tIns="45720" rIns="91440" bIns="45720" numCol="1" spcCol="0" rtlCol="0" fromWordArt="0" anchor="t" anchorCtr="0" forceAA="0" compatLnSpc="1">
                          <a:noAutofit/>
                        </wps:bodyPr>
                      </wps:wsp>
                      <wps:wsp>
                        <wps:cNvPr id="166" name="文本框 965"/>
                        <wps:cNvSpPr txBox="1"/>
                        <wps:spPr>
                          <a:xfrm>
                            <a:off x="4546260" y="1587500"/>
                            <a:ext cx="388620" cy="1296670"/>
                          </a:xfrm>
                          <a:prstGeom prst="rect">
                            <a:avLst/>
                          </a:prstGeom>
                          <a:solidFill>
                            <a:schemeClr val="lt1"/>
                          </a:solidFill>
                          <a:ln w="6350">
                            <a:solidFill>
                              <a:prstClr val="black"/>
                            </a:solidFill>
                          </a:ln>
                        </wps:spPr>
                        <wps:txbx>
                          <w:txbxContent>
                            <w:p>
                              <w:pPr>
                                <w:rPr>
                                  <w:rFonts w:hAnsi="微软雅黑"/>
                                  <w:sz w:val="24"/>
                                  <w:szCs w:val="24"/>
                                </w:rPr>
                              </w:pPr>
                              <w:r>
                                <w:rPr>
                                  <w:rFonts w:hint="eastAsia" w:hAnsi="微软雅黑"/>
                                  <w:sz w:val="24"/>
                                  <w:szCs w:val="24"/>
                                </w:rPr>
                                <w:t>医疗</w:t>
                              </w:r>
                              <w:r>
                                <w:rPr>
                                  <w:rFonts w:hint="eastAsia" w:hAnsi="微软雅黑"/>
                                  <w:sz w:val="24"/>
                                  <w:szCs w:val="24"/>
                                  <w:lang w:val="en-US" w:eastAsia="zh-CN"/>
                                </w:rPr>
                                <w:t>救护</w:t>
                              </w:r>
                              <w:r>
                                <w:rPr>
                                  <w:rFonts w:hint="eastAsia" w:hAnsi="微软雅黑"/>
                                  <w:sz w:val="24"/>
                                  <w:szCs w:val="24"/>
                                </w:rPr>
                                <w:t>组</w:t>
                              </w:r>
                            </w:p>
                          </w:txbxContent>
                        </wps:txbx>
                        <wps:bodyPr rot="0" spcFirstLastPara="0" vert="horz" wrap="square" lIns="91440" tIns="45720" rIns="91440" bIns="45720" numCol="1" spcCol="0" rtlCol="0" fromWordArt="0" anchor="t" anchorCtr="0" forceAA="0" compatLnSpc="1">
                          <a:noAutofit/>
                        </wps:bodyPr>
                      </wps:wsp>
                      <wps:wsp>
                        <wps:cNvPr id="967" name="文本框 967"/>
                        <wps:cNvSpPr txBox="1"/>
                        <wps:spPr>
                          <a:xfrm>
                            <a:off x="1654810" y="124460"/>
                            <a:ext cx="1965960" cy="345440"/>
                          </a:xfrm>
                          <a:prstGeom prst="rect">
                            <a:avLst/>
                          </a:prstGeom>
                          <a:solidFill>
                            <a:schemeClr val="lt1"/>
                          </a:solidFill>
                          <a:ln w="6350">
                            <a:solidFill>
                              <a:prstClr val="black"/>
                            </a:solidFill>
                          </a:ln>
                        </wps:spPr>
                        <wps:txbx>
                          <w:txbxContent>
                            <w:p>
                              <w:pPr>
                                <w:pStyle w:val="16"/>
                                <w:jc w:val="center"/>
                                <w:rPr>
                                  <w:sz w:val="24"/>
                                  <w:szCs w:val="24"/>
                                </w:rPr>
                              </w:pPr>
                              <w:r>
                                <w:rPr>
                                  <w:rFonts w:hint="eastAsia"/>
                                  <w:sz w:val="24"/>
                                  <w:szCs w:val="24"/>
                                </w:rPr>
                                <w:t>公司应急救援指挥部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直接箭头连接符 175"/>
                        <wps:cNvCnPr/>
                        <wps:spPr>
                          <a:xfrm>
                            <a:off x="3223555" y="7554255"/>
                            <a:ext cx="0" cy="448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6" name="直接箭头连接符 176"/>
                        <wps:cNvCnPr/>
                        <wps:spPr>
                          <a:xfrm>
                            <a:off x="3375955" y="7706655"/>
                            <a:ext cx="0" cy="448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9" name="直接箭头连接符 179"/>
                        <wps:cNvCnPr/>
                        <wps:spPr>
                          <a:xfrm>
                            <a:off x="3090205" y="7605055"/>
                            <a:ext cx="0" cy="448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76" name="直接连接符 976"/>
                        <wps:cNvCnPr/>
                        <wps:spPr>
                          <a:xfrm>
                            <a:off x="654050" y="1117600"/>
                            <a:ext cx="4102100" cy="12700"/>
                          </a:xfrm>
                          <a:prstGeom prst="line">
                            <a:avLst/>
                          </a:prstGeom>
                        </wps:spPr>
                        <wps:style>
                          <a:lnRef idx="1">
                            <a:schemeClr val="dk1"/>
                          </a:lnRef>
                          <a:fillRef idx="0">
                            <a:schemeClr val="dk1"/>
                          </a:fillRef>
                          <a:effectRef idx="0">
                            <a:schemeClr val="dk1"/>
                          </a:effectRef>
                          <a:fontRef idx="minor">
                            <a:schemeClr val="tx1"/>
                          </a:fontRef>
                        </wps:style>
                        <wps:bodyPr/>
                      </wps:wsp>
                      <wps:wsp>
                        <wps:cNvPr id="977" name="直接连接符 977"/>
                        <wps:cNvCnPr/>
                        <wps:spPr>
                          <a:xfrm>
                            <a:off x="2608240" y="948504"/>
                            <a:ext cx="13" cy="169096"/>
                          </a:xfrm>
                          <a:prstGeom prst="line">
                            <a:avLst/>
                          </a:prstGeom>
                        </wps:spPr>
                        <wps:style>
                          <a:lnRef idx="1">
                            <a:schemeClr val="dk1"/>
                          </a:lnRef>
                          <a:fillRef idx="0">
                            <a:schemeClr val="dk1"/>
                          </a:fillRef>
                          <a:effectRef idx="0">
                            <a:schemeClr val="dk1"/>
                          </a:effectRef>
                          <a:fontRef idx="minor">
                            <a:schemeClr val="tx1"/>
                          </a:fontRef>
                        </wps:style>
                        <wps:bodyPr/>
                      </wps:wsp>
                      <wps:wsp>
                        <wps:cNvPr id="185" name="直接连接符 185"/>
                        <wps:cNvCnPr>
                          <a:endCxn id="162" idx="0"/>
                        </wps:cNvCnPr>
                        <wps:spPr>
                          <a:xfrm>
                            <a:off x="1575730" y="1109640"/>
                            <a:ext cx="0" cy="427650"/>
                          </a:xfrm>
                          <a:prstGeom prst="line">
                            <a:avLst/>
                          </a:prstGeom>
                        </wps:spPr>
                        <wps:style>
                          <a:lnRef idx="1">
                            <a:schemeClr val="dk1"/>
                          </a:lnRef>
                          <a:fillRef idx="0">
                            <a:schemeClr val="dk1"/>
                          </a:fillRef>
                          <a:effectRef idx="0">
                            <a:schemeClr val="dk1"/>
                          </a:effectRef>
                          <a:fontRef idx="minor">
                            <a:schemeClr val="tx1"/>
                          </a:fontRef>
                        </wps:style>
                        <wps:bodyPr/>
                      </wps:wsp>
                      <wps:wsp>
                        <wps:cNvPr id="186" name="直接连接符 186"/>
                        <wps:cNvCnPr>
                          <a:endCxn id="965" idx="0"/>
                        </wps:cNvCnPr>
                        <wps:spPr>
                          <a:xfrm flipH="1">
                            <a:off x="653627" y="1117600"/>
                            <a:ext cx="8890" cy="427650"/>
                          </a:xfrm>
                          <a:prstGeom prst="line">
                            <a:avLst/>
                          </a:prstGeom>
                        </wps:spPr>
                        <wps:style>
                          <a:lnRef idx="1">
                            <a:schemeClr val="dk1"/>
                          </a:lnRef>
                          <a:fillRef idx="0">
                            <a:schemeClr val="dk1"/>
                          </a:fillRef>
                          <a:effectRef idx="0">
                            <a:schemeClr val="dk1"/>
                          </a:effectRef>
                          <a:fontRef idx="minor">
                            <a:schemeClr val="tx1"/>
                          </a:fontRef>
                        </wps:style>
                        <wps:bodyPr/>
                      </wps:wsp>
                      <wps:wsp>
                        <wps:cNvPr id="187" name="直接连接符 187"/>
                        <wps:cNvCnPr>
                          <a:endCxn id="164" idx="0"/>
                        </wps:cNvCnPr>
                        <wps:spPr>
                          <a:xfrm>
                            <a:off x="3815080" y="1123950"/>
                            <a:ext cx="0" cy="450850"/>
                          </a:xfrm>
                          <a:prstGeom prst="line">
                            <a:avLst/>
                          </a:prstGeom>
                        </wps:spPr>
                        <wps:style>
                          <a:lnRef idx="1">
                            <a:schemeClr val="dk1"/>
                          </a:lnRef>
                          <a:fillRef idx="0">
                            <a:schemeClr val="dk1"/>
                          </a:fillRef>
                          <a:effectRef idx="0">
                            <a:schemeClr val="dk1"/>
                          </a:effectRef>
                          <a:fontRef idx="minor">
                            <a:schemeClr val="tx1"/>
                          </a:fontRef>
                        </wps:style>
                        <wps:bodyPr/>
                      </wps:wsp>
                      <wps:wsp>
                        <wps:cNvPr id="188" name="直接连接符 188"/>
                        <wps:cNvCnPr>
                          <a:endCxn id="166" idx="0"/>
                        </wps:cNvCnPr>
                        <wps:spPr>
                          <a:xfrm flipH="1">
                            <a:off x="4740570" y="1130300"/>
                            <a:ext cx="923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189" name="文本框 967"/>
                        <wps:cNvSpPr txBox="1"/>
                        <wps:spPr>
                          <a:xfrm>
                            <a:off x="1625260" y="647700"/>
                            <a:ext cx="1965960" cy="311150"/>
                          </a:xfrm>
                          <a:prstGeom prst="rect">
                            <a:avLst/>
                          </a:prstGeom>
                          <a:solidFill>
                            <a:schemeClr val="lt1"/>
                          </a:solidFill>
                          <a:ln w="6350">
                            <a:solidFill>
                              <a:prstClr val="black"/>
                            </a:solidFill>
                          </a:ln>
                        </wps:spPr>
                        <wps:txbx>
                          <w:txbxContent>
                            <w:p>
                              <w:pPr>
                                <w:jc w:val="center"/>
                                <w:rPr>
                                  <w:rFonts w:asciiTheme="minorEastAsia" w:hAnsiTheme="minorEastAsia" w:eastAsiaTheme="minorEastAsia"/>
                                  <w:szCs w:val="28"/>
                                </w:rPr>
                              </w:pPr>
                              <w:r>
                                <w:rPr>
                                  <w:rFonts w:hint="eastAsia" w:asciiTheme="minorEastAsia" w:hAnsiTheme="minorEastAsia" w:eastAsiaTheme="minorEastAsia"/>
                                  <w:szCs w:val="28"/>
                                </w:rPr>
                                <w:t>现场指挥部</w:t>
                              </w:r>
                            </w:p>
                          </w:txbxContent>
                        </wps:txbx>
                        <wps:bodyPr rot="0" spcFirstLastPara="0" vert="horz" wrap="square" lIns="91440" tIns="45720" rIns="91440" bIns="45720" numCol="1" spcCol="0" rtlCol="0" fromWordArt="0" anchor="t" anchorCtr="0" forceAA="0" compatLnSpc="1">
                          <a:noAutofit/>
                        </wps:bodyPr>
                      </wps:wsp>
                      <wps:wsp>
                        <wps:cNvPr id="191" name="直接连接符 191"/>
                        <wps:cNvCnPr/>
                        <wps:spPr>
                          <a:xfrm>
                            <a:off x="4065565" y="7844450"/>
                            <a:ext cx="0" cy="590550"/>
                          </a:xfrm>
                          <a:prstGeom prst="line">
                            <a:avLst/>
                          </a:prstGeom>
                        </wps:spPr>
                        <wps:style>
                          <a:lnRef idx="1">
                            <a:schemeClr val="dk1"/>
                          </a:lnRef>
                          <a:fillRef idx="0">
                            <a:schemeClr val="dk1"/>
                          </a:fillRef>
                          <a:effectRef idx="0">
                            <a:schemeClr val="dk1"/>
                          </a:effectRef>
                          <a:fontRef idx="minor">
                            <a:schemeClr val="tx1"/>
                          </a:fontRef>
                        </wps:style>
                        <wps:bodyPr/>
                      </wps:wsp>
                      <wps:wsp>
                        <wps:cNvPr id="192" name="直接连接符 192"/>
                        <wps:cNvCnPr/>
                        <wps:spPr>
                          <a:xfrm>
                            <a:off x="5098075" y="8003200"/>
                            <a:ext cx="0" cy="450850"/>
                          </a:xfrm>
                          <a:prstGeom prst="line">
                            <a:avLst/>
                          </a:prstGeom>
                        </wps:spPr>
                        <wps:style>
                          <a:lnRef idx="1">
                            <a:schemeClr val="dk1"/>
                          </a:lnRef>
                          <a:fillRef idx="0">
                            <a:schemeClr val="dk1"/>
                          </a:fillRef>
                          <a:effectRef idx="0">
                            <a:schemeClr val="dk1"/>
                          </a:effectRef>
                          <a:fontRef idx="minor">
                            <a:schemeClr val="tx1"/>
                          </a:fontRef>
                        </wps:style>
                        <wps:bodyPr/>
                      </wps:wsp>
                      <wps:wsp>
                        <wps:cNvPr id="193" name="直接连接符 193"/>
                        <wps:cNvCnPr/>
                        <wps:spPr>
                          <a:xfrm>
                            <a:off x="5250475" y="8155600"/>
                            <a:ext cx="0" cy="450850"/>
                          </a:xfrm>
                          <a:prstGeom prst="line">
                            <a:avLst/>
                          </a:prstGeom>
                        </wps:spPr>
                        <wps:style>
                          <a:lnRef idx="1">
                            <a:schemeClr val="dk1"/>
                          </a:lnRef>
                          <a:fillRef idx="0">
                            <a:schemeClr val="dk1"/>
                          </a:fillRef>
                          <a:effectRef idx="0">
                            <a:schemeClr val="dk1"/>
                          </a:effectRef>
                          <a:fontRef idx="minor">
                            <a:schemeClr val="tx1"/>
                          </a:fontRef>
                        </wps:style>
                        <wps:bodyPr/>
                      </wps:wsp>
                      <wps:wsp>
                        <wps:cNvPr id="979" name="直接连接符 979"/>
                        <wps:cNvCnPr>
                          <a:endCxn id="189" idx="0"/>
                        </wps:cNvCnPr>
                        <wps:spPr>
                          <a:xfrm>
                            <a:off x="2608240" y="476250"/>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文本框 967"/>
                        <wps:cNvSpPr txBox="1"/>
                        <wps:spPr>
                          <a:xfrm>
                            <a:off x="3782354" y="124460"/>
                            <a:ext cx="1359535" cy="343875"/>
                          </a:xfrm>
                          <a:prstGeom prst="rect">
                            <a:avLst/>
                          </a:prstGeom>
                          <a:solidFill>
                            <a:schemeClr val="lt1"/>
                          </a:solidFill>
                          <a:ln w="6350">
                            <a:solidFill>
                              <a:prstClr val="black"/>
                            </a:solidFill>
                          </a:ln>
                        </wps:spPr>
                        <wps:txbx>
                          <w:txbxContent>
                            <w:p>
                              <w:pPr>
                                <w:jc w:val="center"/>
                                <w:rPr>
                                  <w:rFonts w:asciiTheme="minorEastAsia" w:hAnsiTheme="minorEastAsia" w:eastAsiaTheme="minorEastAsia"/>
                                  <w:szCs w:val="28"/>
                                </w:rPr>
                              </w:pPr>
                              <w:r>
                                <w:rPr>
                                  <w:rFonts w:hint="eastAsia"/>
                                  <w:sz w:val="24"/>
                                  <w:szCs w:val="24"/>
                                </w:rPr>
                                <w:t>指挥部办公室</w:t>
                              </w:r>
                            </w:p>
                          </w:txbxContent>
                        </wps:txbx>
                        <wps:bodyPr rot="0" spcFirstLastPara="0" vert="horz" wrap="square" lIns="91440" tIns="45720" rIns="91440" bIns="45720" numCol="1" spcCol="0" rtlCol="0" fromWordArt="0" anchor="t" anchorCtr="0" forceAA="0" compatLnSpc="1">
                          <a:noAutofit/>
                        </wps:bodyPr>
                      </wps:wsp>
                      <wps:wsp>
                        <wps:cNvPr id="1" name="直接连接符 1"/>
                        <wps:cNvCnPr>
                          <a:endCxn id="153" idx="1"/>
                        </wps:cNvCnPr>
                        <wps:spPr>
                          <a:xfrm>
                            <a:off x="3612243" y="294821"/>
                            <a:ext cx="170111" cy="1577"/>
                          </a:xfrm>
                          <a:prstGeom prst="line">
                            <a:avLst/>
                          </a:prstGeom>
                        </wps:spPr>
                        <wps:style>
                          <a:lnRef idx="1">
                            <a:schemeClr val="dk1"/>
                          </a:lnRef>
                          <a:fillRef idx="0">
                            <a:schemeClr val="dk1"/>
                          </a:fillRef>
                          <a:effectRef idx="0">
                            <a:schemeClr val="dk1"/>
                          </a:effectRef>
                          <a:fontRef idx="minor">
                            <a:schemeClr val="tx1"/>
                          </a:fontRef>
                        </wps:style>
                        <wps:bodyPr/>
                      </wps:wsp>
                      <wps:wsp>
                        <wps:cNvPr id="183" name="直接连接符 183"/>
                        <wps:cNvCnPr/>
                        <wps:spPr>
                          <a:xfrm>
                            <a:off x="3640115" y="8316890"/>
                            <a:ext cx="0" cy="427355"/>
                          </a:xfrm>
                          <a:prstGeom prst="line">
                            <a:avLst/>
                          </a:prstGeom>
                        </wps:spPr>
                        <wps:style>
                          <a:lnRef idx="1">
                            <a:schemeClr val="dk1"/>
                          </a:lnRef>
                          <a:fillRef idx="0">
                            <a:schemeClr val="dk1"/>
                          </a:fillRef>
                          <a:effectRef idx="0">
                            <a:schemeClr val="dk1"/>
                          </a:effectRef>
                          <a:fontRef idx="minor">
                            <a:schemeClr val="tx1"/>
                          </a:fontRef>
                        </wps:style>
                        <wps:bodyPr/>
                      </wps:wsp>
                      <wps:wsp>
                        <wps:cNvPr id="3" name="直接连接符 3"/>
                        <wps:cNvCnPr/>
                        <wps:spPr>
                          <a:xfrm>
                            <a:off x="2607945" y="1111250"/>
                            <a:ext cx="0" cy="414655"/>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anchor>
            </w:drawing>
          </mc:Choice>
          <mc:Fallback>
            <w:pict>
              <v:group id="_x0000_s1026" o:spid="_x0000_s1026" o:spt="203" style="position:absolute;left:0pt;margin-left:47.3pt;margin-top:0.9pt;height:255.35pt;width:468.4pt;mso-position-horizontal-relative:margin;z-index:-251619328;mso-width-relative:page;mso-height-relative:page;" coordsize="5948680,3242945" editas="canvas" o:gfxdata="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">
                <o:lock v:ext="edit" aspectratio="f"/>
                <v:shape id="_x0000_s1026" o:spid="_x0000_s1026" style="position:absolute;left:0;top:0;height:3242945;width:5948680;" fillcolor="#FFFFFF" filled="t" stroked="f" coordsize="21600,21600" o:gfxdata="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">
                  <v:fill on="t" focussize="0,0"/>
                  <v:stroke on="f"/>
                  <v:imagedata o:title=""/>
                  <o:lock v:ext="edit" aspectratio="t"/>
                </v:shape>
                <v:shape id="_x0000_s1026" o:spid="_x0000_s1026" o:spt="202" type="#_x0000_t202" style="position:absolute;left:459317;top:1545250;height:1312250;width:388620;" fillcolor="#FFFFFF [3201]" filled="t" stroked="t" coordsize="21600,21600" o:gfxdata="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E7X4tYAAAAJAQAADwAAAAAAAAABACAAAAAiAAAAZHJzL2Rvd25yZXYueG1sUEsBAhQAFAAA&#10;AAgAh07iQORcbtxjAgAAxgQAAA4AAAAAAAAAAQAgAAAAJQEAAGRycy9lMm9Eb2MueG1sUEsFBgAA&#10;AAAGAAYAWQEAAPoFAAAAAA==&#10;">
                  <v:fill on="t" focussize="0,0"/>
                  <v:stroke weight="0.5pt" color="#000000" joinstyle="round"/>
                  <v:imagedata o:title=""/>
                  <o:lock v:ext="edit" aspectratio="f"/>
                  <v:textbox>
                    <w:txbxContent>
                      <w:p>
                        <w:pPr>
                          <w:rPr>
                            <w:sz w:val="24"/>
                            <w:szCs w:val="24"/>
                          </w:rPr>
                        </w:pPr>
                        <w:r>
                          <w:rPr>
                            <w:rFonts w:hint="eastAsia"/>
                            <w:sz w:val="24"/>
                            <w:szCs w:val="24"/>
                          </w:rPr>
                          <w:t>事故联络组</w:t>
                        </w:r>
                      </w:p>
                    </w:txbxContent>
                  </v:textbox>
                </v:shape>
                <v:shape id="文本框 965" o:spid="_x0000_s1026" o:spt="202" type="#_x0000_t202" style="position:absolute;left:1381125;top:1537335;height:1460500;width:388620;" fillcolor="#FFFFFF [3201]" filled="t" stroked="t" coordsize="21600,21600" o:gfxdata="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QTtfi1gAAAAkB&#10;AAAPAAAAAAAAAAEAIAAAACIAAABkcnMvZG93bnJldi54bWxQSwECFAAUAAAACACHTuJA87qYqVYC&#10;AACXBAAADgAAAAAAAAABACAAAAAlAQAAZHJzL2Uyb0RvYy54bWxQSwUGAAAAAAYABgBZAQAA7QUA&#10;AAAA&#10;">
                  <v:fill on="t" focussize="0,0"/>
                  <v:stroke weight="0.5pt" color="#000000" joinstyle="round"/>
                  <v:imagedata o:title=""/>
                  <o:lock v:ext="edit" aspectratio="f"/>
                  <v:textbox>
                    <w:txbxContent>
                      <w:p>
                        <w:pPr>
                          <w:rPr>
                            <w:rFonts w:hAnsi="微软雅黑"/>
                            <w:sz w:val="24"/>
                            <w:szCs w:val="24"/>
                          </w:rPr>
                        </w:pPr>
                        <w:r>
                          <w:rPr>
                            <w:rFonts w:hint="eastAsia" w:hAnsi="微软雅黑"/>
                            <w:sz w:val="24"/>
                            <w:szCs w:val="24"/>
                            <w:lang w:val="en-US" w:eastAsia="zh-CN"/>
                          </w:rPr>
                          <w:t>事故</w:t>
                        </w:r>
                        <w:r>
                          <w:rPr>
                            <w:rFonts w:hint="eastAsia" w:hAnsi="微软雅黑"/>
                            <w:sz w:val="24"/>
                            <w:szCs w:val="24"/>
                          </w:rPr>
                          <w:t>现场救援组</w:t>
                        </w:r>
                      </w:p>
                    </w:txbxContent>
                  </v:textbox>
                </v:shape>
                <v:shape id="文本框 965" o:spid="_x0000_s1026" o:spt="202" type="#_x0000_t202" style="position:absolute;left:2400898;top:1555344;height:1328449;width:388620;" fillcolor="#FFFFFF [3201]" filled="t" stroked="t" coordsize="21600,21600" o:gfxdata="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BO1+LWAAAACQEA&#10;AA8AAAAAAAAAAQAgAAAAIgAAAGRycy9kb3ducmV2LnhtbFBLAQIUABQAAAAIAIdO4kCfAi2MVQIA&#10;AJcEAAAOAAAAAAAAAAEAIAAAACUBAABkcnMvZTJvRG9jLnhtbFBLBQYAAAAABgAGAFkBAADsBQAA&#10;AAA=&#10;">
                  <v:fill on="t" focussize="0,0"/>
                  <v:stroke weight="0.5pt" color="#000000" joinstyle="round"/>
                  <v:imagedata o:title=""/>
                  <o:lock v:ext="edit" aspectratio="f"/>
                  <v:textbox>
                    <w:txbxContent>
                      <w:p>
                        <w:pPr>
                          <w:rPr>
                            <w:rFonts w:hAnsi="微软雅黑"/>
                            <w:sz w:val="24"/>
                            <w:szCs w:val="24"/>
                          </w:rPr>
                        </w:pPr>
                        <w:r>
                          <w:rPr>
                            <w:rFonts w:hint="eastAsia" w:hAnsi="微软雅黑"/>
                            <w:sz w:val="24"/>
                            <w:szCs w:val="24"/>
                          </w:rPr>
                          <w:t>技术支持组</w:t>
                        </w:r>
                      </w:p>
                    </w:txbxContent>
                  </v:textbox>
                </v:shape>
                <v:shape id="文本框 965" o:spid="_x0000_s1026" o:spt="202" type="#_x0000_t202" style="position:absolute;left:3620770;top:1574800;height:1309370;width:388620;" fillcolor="#FFFFFF [3201]" filled="t" stroked="t" coordsize="21600,21600" o:gfxdata="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E7X4tYAAAAJAQAADwAA&#10;AAAAAAABACAAAAAiAAAAZHJzL2Rvd25yZXYueG1sUEsBAhQAFAAAAAgAh07iQE3sMhtRAgAAlwQA&#10;AA4AAAAAAAAAAQAgAAAAJQEAAGRycy9lMm9Eb2MueG1sUEsFBgAAAAAGAAYAWQEAAOgFAAAAAA==&#10;">
                  <v:fill on="t" focussize="0,0"/>
                  <v:stroke weight="0.5pt" color="#000000" joinstyle="round"/>
                  <v:imagedata o:title=""/>
                  <o:lock v:ext="edit" aspectratio="f"/>
                  <v:textbox>
                    <w:txbxContent>
                      <w:p>
                        <w:pPr>
                          <w:rPr>
                            <w:rFonts w:hAnsi="微软雅黑"/>
                            <w:sz w:val="24"/>
                            <w:szCs w:val="24"/>
                          </w:rPr>
                        </w:pPr>
                        <w:r>
                          <w:rPr>
                            <w:rFonts w:hint="eastAsia" w:hAnsi="微软雅黑"/>
                            <w:sz w:val="24"/>
                            <w:szCs w:val="24"/>
                          </w:rPr>
                          <w:t>交通组</w:t>
                        </w:r>
                      </w:p>
                    </w:txbxContent>
                  </v:textbox>
                </v:shape>
                <v:shape id="文本框 965" o:spid="_x0000_s1026" o:spt="202" type="#_x0000_t202" style="position:absolute;left:4546260;top:1587500;height:1296670;width:388620;" fillcolor="#FFFFFF [3201]" filled="t" stroked="t" coordsize="21600,21600" o:gfxdata="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BO1+LWAAAACQEA&#10;AA8AAAAAAAAAAQAgAAAAIgAAAGRycy9kb3ducmV2LnhtbFBLAQIUABQAAAAIAIdO4kB0zNWOVQIA&#10;AJcEAAAOAAAAAAAAAAEAIAAAACUBAABkcnMvZTJvRG9jLnhtbFBLBQYAAAAABgAGAFkBAADsBQAA&#10;AAA=&#10;">
                  <v:fill on="t" focussize="0,0"/>
                  <v:stroke weight="0.5pt" color="#000000" joinstyle="round"/>
                  <v:imagedata o:title=""/>
                  <o:lock v:ext="edit" aspectratio="f"/>
                  <v:textbox>
                    <w:txbxContent>
                      <w:p>
                        <w:pPr>
                          <w:rPr>
                            <w:rFonts w:hAnsi="微软雅黑"/>
                            <w:sz w:val="24"/>
                            <w:szCs w:val="24"/>
                          </w:rPr>
                        </w:pPr>
                        <w:r>
                          <w:rPr>
                            <w:rFonts w:hint="eastAsia" w:hAnsi="微软雅黑"/>
                            <w:sz w:val="24"/>
                            <w:szCs w:val="24"/>
                          </w:rPr>
                          <w:t>医疗</w:t>
                        </w:r>
                        <w:r>
                          <w:rPr>
                            <w:rFonts w:hint="eastAsia" w:hAnsi="微软雅黑"/>
                            <w:sz w:val="24"/>
                            <w:szCs w:val="24"/>
                            <w:lang w:val="en-US" w:eastAsia="zh-CN"/>
                          </w:rPr>
                          <w:t>救护</w:t>
                        </w:r>
                        <w:r>
                          <w:rPr>
                            <w:rFonts w:hint="eastAsia" w:hAnsi="微软雅黑"/>
                            <w:sz w:val="24"/>
                            <w:szCs w:val="24"/>
                          </w:rPr>
                          <w:t>组</w:t>
                        </w:r>
                      </w:p>
                    </w:txbxContent>
                  </v:textbox>
                </v:shape>
                <v:shape id="_x0000_s1026" o:spid="_x0000_s1026" o:spt="202" type="#_x0000_t202" style="position:absolute;left:1654810;top:124460;height:345440;width:1965960;" fillcolor="#FFFFFF [3201]" filled="t" stroked="t" coordsize="21600,21600" o:gfxdata="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BO1+LWAAAACQEAAA8AAAAAAAAAAQAgAAAAIgAAAGRycy9kb3ducmV2LnhtbFBLAQIUABQA&#10;AAAIAIdO4kAAb5tSZAIAAMYEAAAOAAAAAAAAAAEAIAAAACUBAABkcnMvZTJvRG9jLnhtbFBLBQYA&#10;AAAABgAGAFkBAAD7BQAAAAA=&#10;">
                  <v:fill on="t" focussize="0,0"/>
                  <v:stroke weight="0.5pt" color="#000000" joinstyle="round"/>
                  <v:imagedata o:title=""/>
                  <o:lock v:ext="edit" aspectratio="f"/>
                  <v:textbox>
                    <w:txbxContent>
                      <w:p>
                        <w:pPr>
                          <w:pStyle w:val="16"/>
                          <w:jc w:val="center"/>
                          <w:rPr>
                            <w:sz w:val="24"/>
                            <w:szCs w:val="24"/>
                          </w:rPr>
                        </w:pPr>
                        <w:r>
                          <w:rPr>
                            <w:rFonts w:hint="eastAsia"/>
                            <w:sz w:val="24"/>
                            <w:szCs w:val="24"/>
                          </w:rPr>
                          <w:t>公司应急救援指挥部</w:t>
                        </w:r>
                      </w:p>
                    </w:txbxContent>
                  </v:textbox>
                </v:shape>
                <v:shape id="_x0000_s1026" o:spid="_x0000_s1026" o:spt="32" type="#_x0000_t32" style="position:absolute;left:3223555;top:7554255;height:448310;width:0;" filled="f" stroked="t" coordsize="21600,21600" o:gfxdata="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bTYinZAAAACQEAAA8AAAAAAAAAAQAgAAAAIgAAAGRycy9kb3ducmV2LnhtbFBLAQIUABQA&#10;AAAIAIdO4kD9T4/xKAIAABIEAAAOAAAAAAAAAAEAIAAAACgBAABkcnMvZTJvRG9jLnhtbFBLBQYA&#10;AAAABgAGAFkBAADCBQAAAAA=&#10;">
                  <v:fill on="f" focussize="0,0"/>
                  <v:stroke color="#4A7EBB [3204]" joinstyle="round" endarrow="block"/>
                  <v:imagedata o:title=""/>
                  <o:lock v:ext="edit" aspectratio="f"/>
                </v:shape>
                <v:shape id="_x0000_s1026" o:spid="_x0000_s1026" o:spt="32" type="#_x0000_t32" style="position:absolute;left:3375955;top:7706655;height:448310;width:0;" filled="f" stroked="t" coordsize="21600,21600" o:gfxdata="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tNiKdkAAAAJAQAADwAAAAAAAAABACAAAAAiAAAAZHJzL2Rvd25yZXYueG1sUEsBAhQAFAAA&#10;AAgAh07iQK1B7MQnAgAAEgQAAA4AAAAAAAAAAQAgAAAAKAEAAGRycy9lMm9Eb2MueG1sUEsFBgAA&#10;AAAGAAYAWQEAAMEFAAAAAA==&#10;">
                  <v:fill on="f" focussize="0,0"/>
                  <v:stroke color="#4A7EBB [3204]" joinstyle="round" endarrow="block"/>
                  <v:imagedata o:title=""/>
                  <o:lock v:ext="edit" aspectratio="f"/>
                </v:shape>
                <v:shape id="_x0000_s1026" o:spid="_x0000_s1026" o:spt="32" type="#_x0000_t32" style="position:absolute;left:3090205;top:7605055;height:448310;width:0;" filled="f" stroked="t" coordsize="21600,21600" o:gfxdata="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tNiKdkAAAAJAQAADwAAAAAAAAABACAAAAAiAAAAZHJzL2Rvd25yZXYueG1sUEsBAhQA&#10;FAAAAAgAh07iQCDD2bkqAgAAEgQAAA4AAAAAAAAAAQAgAAAAKAEAAGRycy9lMm9Eb2MueG1sUEsF&#10;BgAAAAAGAAYAWQEAAMQFAAAAAA==&#10;">
                  <v:fill on="f" focussize="0,0"/>
                  <v:stroke color="#4A7EBB [3204]" joinstyle="round" endarrow="block"/>
                  <v:imagedata o:title=""/>
                  <o:lock v:ext="edit" aspectratio="f"/>
                </v:shape>
                <v:line id="_x0000_s1026" o:spid="_x0000_s1026" o:spt="20" style="position:absolute;left:654050;top:1117600;height:12700;width:4102100;" filled="f" stroked="t" coordsize="21600,21600" o:gfxdata="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kD5cdcAAAAJAQAADwAAAAAAAAABACAAAAAiAAAAZHJzL2Rvd25y&#10;ZXYueG1sUEsBAhQAFAAAAAgAh07iQODv7Yb/AQAA5gMAAA4AAAAAAAAAAQAgAAAAJgEAAGRycy9l&#10;Mm9Eb2MueG1sUEsFBgAAAAAGAAYAWQEAAJcFAAAAAA==&#10;">
                  <v:fill on="f" focussize="0,0"/>
                  <v:stroke color="#000000 [3200]" joinstyle="round"/>
                  <v:imagedata o:title=""/>
                  <o:lock v:ext="edit" aspectratio="f"/>
                </v:line>
                <v:line id="_x0000_s1026" o:spid="_x0000_s1026" o:spt="20" style="position:absolute;left:2608240;top:948504;height:169096;width:13;" filled="f" stroked="t" coordsize="21600,21600" o:gfxdata="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kD5cdcAAAAJAQAADwAAAAAAAAABACAAAAAiAAAAZHJzL2Rvd25y&#10;ZXYueG1sUEsBAhQAFAAAAAgAh07iQMRfcQ//AQAA4gMAAA4AAAAAAAAAAQAgAAAAJgEAAGRycy9l&#10;Mm9Eb2MueG1sUEsFBgAAAAAGAAYAWQEAAJcFAAAAAA==&#10;">
                  <v:fill on="f" focussize="0,0"/>
                  <v:stroke color="#000000 [3200]" joinstyle="round"/>
                  <v:imagedata o:title=""/>
                  <o:lock v:ext="edit" aspectratio="f"/>
                </v:line>
                <v:line id="_x0000_s1026" o:spid="_x0000_s1026" o:spt="20" style="position:absolute;left:1575730;top:1109640;height:427650;width:0;" filled="f" stroked="t" coordsize="21600,21600" o:gfxdata="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5A+XHXAAAACQEAAA8AAAAAAAAAAQAg&#10;AAAAIgAAAGRycy9kb3ducmV2LnhtbFBLAQIUABQAAAAIAIdO4kCWlowbDwIAAAsEAAAOAAAAAAAA&#10;AAEAIAAAACYBAABkcnMvZTJvRG9jLnhtbFBLBQYAAAAABgAGAFkBAACnBQAAAAA=&#10;">
                  <v:fill on="f" focussize="0,0"/>
                  <v:stroke color="#000000 [3200]" joinstyle="round"/>
                  <v:imagedata o:title=""/>
                  <o:lock v:ext="edit" aspectratio="f"/>
                </v:line>
                <v:line id="_x0000_s1026" o:spid="_x0000_s1026" o:spt="20" style="position:absolute;left:653627;top:1117600;flip:x;height:427650;width:8890;" filled="f" stroked="t" coordsize="21600,21600" o:gfxdata="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PQ/rdcAAAAJAQAA&#10;DwAAAAAAAAABACAAAAAiAAAAZHJzL2Rvd25yZXYueG1sUEsBAhQAFAAAAAgAh07iQBb/UwoaAgAA&#10;FwQAAA4AAAAAAAAAAQAgAAAAJgEAAGRycy9lMm9Eb2MueG1sUEsFBgAAAAAGAAYAWQEAALIFAAAA&#10;AA==&#10;">
                  <v:fill on="f" focussize="0,0"/>
                  <v:stroke color="#000000 [3200]" joinstyle="round"/>
                  <v:imagedata o:title=""/>
                  <o:lock v:ext="edit" aspectratio="f"/>
                </v:line>
                <v:line id="_x0000_s1026" o:spid="_x0000_s1026" o:spt="20" style="position:absolute;left:3815080;top:1123950;height:450850;width:0;" filled="f" stroked="t" coordsize="21600,21600" o:gfxdata="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QPlx1wAAAAkBAAAPAAAAAAAAAAEAIAAA&#10;ACIAAABkcnMvZG93bnJldi54bWxQSwECFAAUAAAACACHTuJAC8P8Fw0CAAALBAAADgAAAAAAAAAB&#10;ACAAAAAmAQAAZHJzL2Uyb0RvYy54bWxQSwUGAAAAAAYABgBZAQAApQUAAAAA&#10;">
                  <v:fill on="f" focussize="0,0"/>
                  <v:stroke color="#000000 [3200]" joinstyle="round"/>
                  <v:imagedata o:title=""/>
                  <o:lock v:ext="edit" aspectratio="f"/>
                </v:line>
                <v:line id="_x0000_s1026" o:spid="_x0000_s1026" o:spt="20" style="position:absolute;left:4740570;top:1130300;flip:x;height:457200;width:9230;" filled="f" stroked="t" coordsize="21600,21600" o:gfxdata="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PQ/rdcAAAAJAQAADwAA&#10;AAAAAAABACAAAAAiAAAAZHJzL2Rvd25yZXYueG1sUEsBAhQAFAAAAAgAh07iQBtI3/4XAgAAGAQA&#10;AA4AAAAAAAAAAQAgAAAAJgEAAGRycy9lMm9Eb2MueG1sUEsFBgAAAAAGAAYAWQEAAK8FAAAAAA==&#10;">
                  <v:fill on="f" focussize="0,0"/>
                  <v:stroke color="#000000 [3200]" joinstyle="round"/>
                  <v:imagedata o:title=""/>
                  <o:lock v:ext="edit" aspectratio="f"/>
                </v:line>
                <v:shape id="文本框 967" o:spid="_x0000_s1026" o:spt="202" type="#_x0000_t202" style="position:absolute;left:1625260;top:647700;height:311150;width:1965960;" fillcolor="#FFFFFF [3201]" filled="t" stroked="t" coordsize="21600,21600" o:gfxdata="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BO1+LWAAAACQEAAA8A&#10;AAAAAAAAAQAgAAAAIgAAAGRycy9kb3ducmV2LnhtbFBLAQIUABQAAAAIAIdO4kAQFsieUgIAAJYE&#10;AAAOAAAAAAAAAAEAIAAAACUBAABkcnMvZTJvRG9jLnhtbFBLBQYAAAAABgAGAFkBAADpBQAAAAA=&#10;">
                  <v:fill on="t" focussize="0,0"/>
                  <v:stroke weight="0.5pt" color="#000000" joinstyle="round"/>
                  <v:imagedata o:title=""/>
                  <o:lock v:ext="edit" aspectratio="f"/>
                  <v:textbox>
                    <w:txbxContent>
                      <w:p>
                        <w:pPr>
                          <w:jc w:val="center"/>
                          <w:rPr>
                            <w:rFonts w:asciiTheme="minorEastAsia" w:hAnsiTheme="minorEastAsia" w:eastAsiaTheme="minorEastAsia"/>
                            <w:szCs w:val="28"/>
                          </w:rPr>
                        </w:pPr>
                        <w:r>
                          <w:rPr>
                            <w:rFonts w:hint="eastAsia" w:asciiTheme="minorEastAsia" w:hAnsiTheme="minorEastAsia" w:eastAsiaTheme="minorEastAsia"/>
                            <w:szCs w:val="28"/>
                          </w:rPr>
                          <w:t>现场指挥部</w:t>
                        </w:r>
                      </w:p>
                    </w:txbxContent>
                  </v:textbox>
                </v:shape>
                <v:line id="_x0000_s1026" o:spid="_x0000_s1026" o:spt="20" style="position:absolute;left:4065565;top:7844450;height:590550;width:0;" filled="f" stroked="t" coordsize="21600,21600" o:gfxdata="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kD5cdcAAAAJAQAADwAAAAAAAAABACAAAAAiAAAAZHJzL2Rvd25y&#10;ZXYueG1sUEsBAhQAFAAAAAgAh07iQJS1ryH/AQAA4gMAAA4AAAAAAAAAAQAgAAAAJgEAAGRycy9l&#10;Mm9Eb2MueG1sUEsFBgAAAAAGAAYAWQEAAJcFAAAAAA==&#10;">
                  <v:fill on="f" focussize="0,0"/>
                  <v:stroke color="#000000 [3200]" joinstyle="round"/>
                  <v:imagedata o:title=""/>
                  <o:lock v:ext="edit" aspectratio="f"/>
                </v:line>
                <v:line id="_x0000_s1026" o:spid="_x0000_s1026" o:spt="20" style="position:absolute;left:5098075;top:8003200;height:450850;width:0;" filled="f" stroked="t" coordsize="21600,21600" o:gfxdata="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kD5cdcAAAAJAQAADwAAAAAAAAABACAAAAAiAAAAZHJzL2Rvd25y&#10;ZXYueG1sUEsBAhQAFAAAAAgAh07iQKpmaa//AQAA4gMAAA4AAAAAAAAAAQAgAAAAJgEAAGRycy9l&#10;Mm9Eb2MueG1sUEsFBgAAAAAGAAYAWQEAAJcFAAAAAA==&#10;">
                  <v:fill on="f" focussize="0,0"/>
                  <v:stroke color="#000000 [3200]" joinstyle="round"/>
                  <v:imagedata o:title=""/>
                  <o:lock v:ext="edit" aspectratio="f"/>
                </v:line>
                <v:line id="_x0000_s1026" o:spid="_x0000_s1026" o:spt="20" style="position:absolute;left:5250475;top:8155600;height:450850;width:0;" filled="f" stroked="t" coordsize="21600,21600" o:gfxdata="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kD5cdcAAAAJAQAADwAAAAAAAAABACAAAAAiAAAAZHJzL2Rvd25y&#10;ZXYueG1sUEsBAhQAFAAAAAgAh07iQCtYOSD/AQAA4gMAAA4AAAAAAAAAAQAgAAAAJgEAAGRycy9l&#10;Mm9Eb2MueG1sUEsFBgAAAAAGAAYAWQEAAJcFAAAAAA==&#10;">
                  <v:fill on="f" focussize="0,0"/>
                  <v:stroke color="#000000 [3200]" joinstyle="round"/>
                  <v:imagedata o:title=""/>
                  <o:lock v:ext="edit" aspectratio="f"/>
                </v:line>
                <v:line id="_x0000_s1026" o:spid="_x0000_s1026" o:spt="20" style="position:absolute;left:2608240;top:476250;height:171450;width:0;" filled="f" stroked="t" coordsize="21600,21600" o:gfxdata="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kD5cdcAAAAJAQAADwAAAAAAAAABACAA&#10;AAAiAAAAZHJzL2Rvd25yZXYueG1sUEsBAhQAFAAAAAgAh07iQCjC3doOAgAACgQAAA4AAAAAAAAA&#10;AQAgAAAAJgEAAGRycy9lMm9Eb2MueG1sUEsFBgAAAAAGAAYAWQEAAKYFAAAAAA==&#10;">
                  <v:fill on="f" focussize="0,0"/>
                  <v:stroke color="#000000 [3200]" joinstyle="round"/>
                  <v:imagedata o:title=""/>
                  <o:lock v:ext="edit" aspectratio="f"/>
                </v:line>
                <v:shape id="文本框 967" o:spid="_x0000_s1026" o:spt="202" type="#_x0000_t202" style="position:absolute;left:3782354;top:124460;height:343875;width:1359535;" fillcolor="#FFFFFF [3201]" filled="t" stroked="t" coordsize="21600,21600" o:gfxdata="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QTtfi1gAAAAkB&#10;AAAPAAAAAAAAAAEAIAAAACIAAABkcnMvZG93bnJldi54bWxQSwECFAAUAAAACACHTuJAhCP2VFYC&#10;AACWBAAADgAAAAAAAAABACAAAAAlAQAAZHJzL2Uyb0RvYy54bWxQSwUGAAAAAAYABgBZAQAA7QUA&#10;AAAA&#10;">
                  <v:fill on="t" focussize="0,0"/>
                  <v:stroke weight="0.5pt" color="#000000" joinstyle="round"/>
                  <v:imagedata o:title=""/>
                  <o:lock v:ext="edit" aspectratio="f"/>
                  <v:textbox>
                    <w:txbxContent>
                      <w:p>
                        <w:pPr>
                          <w:jc w:val="center"/>
                          <w:rPr>
                            <w:rFonts w:asciiTheme="minorEastAsia" w:hAnsiTheme="minorEastAsia" w:eastAsiaTheme="minorEastAsia"/>
                            <w:szCs w:val="28"/>
                          </w:rPr>
                        </w:pPr>
                        <w:r>
                          <w:rPr>
                            <w:rFonts w:hint="eastAsia"/>
                            <w:sz w:val="24"/>
                            <w:szCs w:val="24"/>
                          </w:rPr>
                          <w:t>指挥部办公室</w:t>
                        </w:r>
                      </w:p>
                    </w:txbxContent>
                  </v:textbox>
                </v:shape>
                <v:line id="_x0000_s1026" o:spid="_x0000_s1026" o:spt="20" style="position:absolute;left:3612243;top:294821;height:1577;width:170111;" filled="f" stroked="t" coordsize="21600,21600" o:gfxdata="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QPlx1wAAAAkBAAAPAAAAAAAAAAEA&#10;IAAAACIAAABkcnMvZG93bnJldi54bWxQSwECFAAUAAAACACHTuJAjZkcOxACAAAJBAAADgAAAAAA&#10;AAABACAAAAAmAQAAZHJzL2Uyb0RvYy54bWxQSwUGAAAAAAYABgBZAQAAqAUAAAAA&#10;">
                  <v:fill on="f" focussize="0,0"/>
                  <v:stroke color="#000000 [3200]" joinstyle="round"/>
                  <v:imagedata o:title=""/>
                  <o:lock v:ext="edit" aspectratio="f"/>
                </v:line>
                <v:line id="_x0000_s1026" o:spid="_x0000_s1026" o:spt="20" style="position:absolute;left:3640115;top:8316890;height:427355;width:0;" filled="f" stroked="t" coordsize="21600,21600" o:gfxdata="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5A+XHXAAAACQEAAA8AAAAAAAAAAQAgAAAAIgAAAGRycy9kb3du&#10;cmV2LnhtbFBLAQIUABQAAAAIAIdO4kAeUO5JAAIAAOIDAAAOAAAAAAAAAAEAIAAAACYBAABkcnMv&#10;ZTJvRG9jLnhtbFBLBQYAAAAABgAGAFkBAACYBQAAAAA=&#10;">
                  <v:fill on="f" focussize="0,0"/>
                  <v:stroke color="#000000 [3200]" joinstyle="round"/>
                  <v:imagedata o:title=""/>
                  <o:lock v:ext="edit" aspectratio="f"/>
                </v:line>
                <v:line id="_x0000_s1026" o:spid="_x0000_s1026" o:spt="20" style="position:absolute;left:2607945;top:1111250;height:414655;width:0;" filled="f" stroked="t" coordsize="21600,21600" o:gfxdata="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Plx1wAAAAkBAAAPAAAAAAAAAAEAIAAAACIAAABkcnMvZG93bnJldi54&#10;bWxQSwECFAAUAAAACACHTuJAMmWhKvsBAADeAwAADgAAAAAAAAABACAAAAAmAQAAZHJzL2Uyb0Rv&#10;Yy54bWxQSwUGAAAAAAYABgBZAQAAkwUAAAAA&#10;">
                  <v:fill on="f" focussize="0,0"/>
                  <v:stroke color="#000000 [3200]" joinstyle="round"/>
                  <v:imagedata o:title=""/>
                  <o:lock v:ext="edit" aspectratio="f"/>
                </v:line>
              </v:group>
            </w:pict>
          </mc:Fallback>
        </mc:AlternateContent>
      </w:r>
      <w:r>
        <w:rPr>
          <w:b/>
          <w:bCs/>
        </w:rPr>
        <w:t xml:space="preserve"> </w:t>
      </w:r>
    </w:p>
    <w:p>
      <w:pPr>
        <w:pStyle w:val="19"/>
        <w:ind w:firstLine="420"/>
      </w:pPr>
    </w:p>
    <w:p>
      <w:pPr>
        <w:pStyle w:val="19"/>
        <w:ind w:firstLine="420"/>
      </w:pPr>
    </w:p>
    <w:p>
      <w:pPr>
        <w:pStyle w:val="19"/>
        <w:ind w:firstLine="420"/>
      </w:pPr>
    </w:p>
    <w:p>
      <w:pPr>
        <w:pStyle w:val="19"/>
        <w:ind w:firstLine="420"/>
      </w:pPr>
    </w:p>
    <w:p>
      <w:pPr>
        <w:pStyle w:val="19"/>
        <w:ind w:firstLine="420"/>
      </w:pPr>
    </w:p>
    <w:p>
      <w:pPr>
        <w:pStyle w:val="19"/>
        <w:ind w:firstLine="420"/>
      </w:pPr>
    </w:p>
    <w:p>
      <w:pPr>
        <w:pStyle w:val="19"/>
        <w:ind w:firstLine="420"/>
      </w:pPr>
    </w:p>
    <w:p>
      <w:pPr>
        <w:pStyle w:val="19"/>
        <w:ind w:firstLine="420"/>
      </w:pPr>
    </w:p>
    <w:p>
      <w:pPr>
        <w:pStyle w:val="19"/>
        <w:ind w:firstLine="420"/>
      </w:pPr>
    </w:p>
    <w:p>
      <w:pPr>
        <w:pStyle w:val="7"/>
      </w:pPr>
      <w:bookmarkStart w:id="26" w:name="_Toc101798261"/>
      <w:bookmarkStart w:id="27" w:name="_Toc505002424"/>
      <w:r>
        <w:rPr>
          <w:rFonts w:hint="eastAsia"/>
        </w:rPr>
        <w:t>2.2指挥机构及职责</w:t>
      </w:r>
      <w:bookmarkEnd w:id="26"/>
      <w:bookmarkEnd w:id="27"/>
    </w:p>
    <w:p>
      <w:pPr>
        <w:spacing w:after="0" w:line="560" w:lineRule="exact"/>
        <w:ind w:firstLine="560" w:firstLineChars="200"/>
        <w:rPr>
          <w:rFonts w:ascii="宋体" w:hAnsi="宋体" w:cs="宋体"/>
          <w:szCs w:val="28"/>
        </w:rPr>
      </w:pPr>
      <w:bookmarkStart w:id="28" w:name="_Toc311752114"/>
      <w:bookmarkStart w:id="29" w:name="_Toc301303846"/>
      <w:bookmarkStart w:id="30" w:name="_Toc311752126"/>
      <w:bookmarkStart w:id="31" w:name="_Toc309770138"/>
      <w:bookmarkStart w:id="32" w:name="_Toc505002430"/>
      <w:bookmarkStart w:id="33" w:name="_Toc311735547"/>
      <w:bookmarkStart w:id="34" w:name="_Toc286847820"/>
      <w:bookmarkStart w:id="35" w:name="_Toc287624803"/>
      <w:bookmarkStart w:id="36" w:name="_Toc288552567"/>
      <w:r>
        <w:rPr>
          <w:rFonts w:hint="eastAsia" w:ascii="宋体" w:hAnsi="宋体" w:cs="宋体"/>
          <w:szCs w:val="28"/>
        </w:rPr>
        <w:t>2.2.1应急救援指挥部</w:t>
      </w:r>
      <w:bookmarkEnd w:id="28"/>
    </w:p>
    <w:p>
      <w:pPr>
        <w:spacing w:after="0" w:line="560" w:lineRule="exact"/>
        <w:ind w:firstLine="560" w:firstLineChars="200"/>
        <w:rPr>
          <w:rFonts w:ascii="宋体" w:hAnsi="宋体" w:cs="宋体"/>
          <w:szCs w:val="28"/>
        </w:rPr>
      </w:pPr>
      <w:r>
        <w:rPr>
          <w:rFonts w:hint="eastAsia" w:ascii="宋体" w:hAnsi="宋体" w:cs="宋体"/>
          <w:szCs w:val="28"/>
        </w:rPr>
        <w:t>指挥部成员由指挥长、副指挥长、领导成员组成。</w:t>
      </w:r>
    </w:p>
    <w:p>
      <w:pPr>
        <w:spacing w:after="0" w:line="560" w:lineRule="exact"/>
        <w:ind w:firstLine="560" w:firstLineChars="200"/>
        <w:rPr>
          <w:rFonts w:ascii="宋体" w:hAnsi="宋体" w:cs="宋体"/>
          <w:szCs w:val="28"/>
        </w:rPr>
      </w:pPr>
      <w:r>
        <w:rPr>
          <w:rFonts w:hint="eastAsia" w:ascii="宋体" w:hAnsi="宋体" w:cs="宋体"/>
          <w:szCs w:val="28"/>
        </w:rPr>
        <w:t>指挥长：公司</w:t>
      </w:r>
      <w:r>
        <w:rPr>
          <w:rFonts w:hint="eastAsia" w:ascii="宋体" w:hAnsi="宋体" w:cs="宋体"/>
          <w:szCs w:val="28"/>
          <w:lang w:val="en-US" w:eastAsia="zh-CN"/>
        </w:rPr>
        <w:t>总</w:t>
      </w:r>
      <w:r>
        <w:rPr>
          <w:rFonts w:hint="eastAsia" w:ascii="宋体" w:hAnsi="宋体" w:cs="宋体"/>
          <w:szCs w:val="28"/>
        </w:rPr>
        <w:t>经理</w:t>
      </w:r>
    </w:p>
    <w:p>
      <w:pPr>
        <w:spacing w:after="0" w:line="560" w:lineRule="exact"/>
        <w:ind w:firstLine="560" w:firstLineChars="200"/>
        <w:rPr>
          <w:rFonts w:ascii="宋体" w:hAnsi="宋体" w:cs="宋体"/>
          <w:szCs w:val="28"/>
        </w:rPr>
      </w:pPr>
      <w:r>
        <w:rPr>
          <w:rFonts w:hint="eastAsia" w:ascii="宋体" w:hAnsi="宋体" w:cs="宋体"/>
          <w:szCs w:val="28"/>
        </w:rPr>
        <w:t>副指挥长：分管安全的副经理。</w:t>
      </w:r>
    </w:p>
    <w:p>
      <w:pPr>
        <w:spacing w:after="0" w:line="560" w:lineRule="exact"/>
        <w:ind w:firstLine="560" w:firstLineChars="200"/>
        <w:rPr>
          <w:rFonts w:hint="eastAsia" w:ascii="宋体" w:hAnsi="宋体" w:cs="宋体"/>
          <w:szCs w:val="28"/>
        </w:rPr>
      </w:pPr>
      <w:r>
        <w:rPr>
          <w:rFonts w:hint="eastAsia" w:ascii="宋体" w:hAnsi="宋体" w:cs="宋体"/>
          <w:szCs w:val="28"/>
        </w:rPr>
        <w:t>领导成员：黄光伟、谢仕强、鲜红梅、安全科、生产技术科、维修抢险队、后勤科等部门负责人常任公司指挥部领导成员，据事故级别确定是否临时增加财务科等相关负责人。</w:t>
      </w:r>
    </w:p>
    <w:p>
      <w:pPr>
        <w:spacing w:after="0" w:line="560" w:lineRule="exact"/>
        <w:ind w:firstLine="560" w:firstLineChars="200"/>
        <w:rPr>
          <w:rFonts w:ascii="宋体" w:hAnsi="宋体" w:cs="宋体"/>
          <w:szCs w:val="28"/>
        </w:rPr>
      </w:pPr>
      <w:r>
        <w:rPr>
          <w:rFonts w:hint="eastAsia" w:ascii="宋体" w:hAnsi="宋体" w:cs="宋体"/>
          <w:szCs w:val="28"/>
        </w:rPr>
        <w:t>当上述人员因故不能到场时，由其职位的副职人员按职务高低及排序情况从上到下依次替代，或指挥长指定人员进入指挥部行使临时权力。</w:t>
      </w:r>
    </w:p>
    <w:p>
      <w:pPr>
        <w:pStyle w:val="19"/>
        <w:spacing w:after="0" w:line="560" w:lineRule="exact"/>
        <w:ind w:firstLine="560" w:firstLineChars="200"/>
        <w:rPr>
          <w:rFonts w:ascii="宋体" w:hAnsi="宋体"/>
          <w:i w:val="0"/>
          <w:sz w:val="28"/>
          <w:szCs w:val="28"/>
        </w:rPr>
      </w:pPr>
      <w:bookmarkStart w:id="37" w:name="_Hlk101803485"/>
      <w:bookmarkStart w:id="38" w:name="_Hlk101972356"/>
      <w:r>
        <w:rPr>
          <w:rFonts w:hint="eastAsia" w:ascii="宋体" w:hAnsi="宋体"/>
          <w:i w:val="0"/>
          <w:sz w:val="28"/>
          <w:szCs w:val="28"/>
        </w:rPr>
        <w:t>指挥部办公室设在安全科，负有调度职责的部门、行政办参与，由安全科负责人兼任办公室主任。</w:t>
      </w:r>
    </w:p>
    <w:bookmarkEnd w:id="37"/>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主</w:t>
      </w:r>
      <w:r>
        <w:rPr>
          <w:rFonts w:ascii="宋体" w:hAnsi="宋体"/>
          <w:i w:val="0"/>
          <w:sz w:val="28"/>
          <w:szCs w:val="28"/>
        </w:rPr>
        <w:t xml:space="preserve">  </w:t>
      </w:r>
      <w:r>
        <w:rPr>
          <w:rFonts w:hint="eastAsia" w:ascii="宋体" w:hAnsi="宋体"/>
          <w:i w:val="0"/>
          <w:sz w:val="28"/>
          <w:szCs w:val="28"/>
        </w:rPr>
        <w:t>任：王 亚</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副主任：赵 超</w:t>
      </w:r>
    </w:p>
    <w:p>
      <w:pPr>
        <w:spacing w:after="0" w:line="560" w:lineRule="exact"/>
        <w:ind w:firstLine="560" w:firstLineChars="200"/>
        <w:rPr>
          <w:rFonts w:ascii="宋体" w:hAnsi="宋体"/>
          <w:szCs w:val="28"/>
        </w:rPr>
      </w:pPr>
      <w:r>
        <w:rPr>
          <w:rFonts w:hint="eastAsia" w:ascii="宋体" w:hAnsi="宋体"/>
          <w:szCs w:val="28"/>
        </w:rPr>
        <w:t>成  员：</w:t>
      </w:r>
      <w:r>
        <w:rPr>
          <w:rFonts w:hint="eastAsia" w:ascii="宋体" w:hAnsi="宋体"/>
          <w:szCs w:val="28"/>
          <w:lang w:val="en-US" w:eastAsia="zh-CN"/>
        </w:rPr>
        <w:t xml:space="preserve"> </w:t>
      </w:r>
      <w:r>
        <w:rPr>
          <w:rFonts w:hint="eastAsia" w:ascii="宋体" w:hAnsi="宋体"/>
          <w:szCs w:val="28"/>
        </w:rPr>
        <w:t>王 荣</w:t>
      </w:r>
      <w:r>
        <w:rPr>
          <w:rFonts w:hint="eastAsia" w:ascii="宋体" w:hAnsi="宋体"/>
          <w:szCs w:val="28"/>
          <w:lang w:val="en-US" w:eastAsia="zh-CN"/>
        </w:rPr>
        <w:t xml:space="preserve">  </w:t>
      </w:r>
      <w:r>
        <w:rPr>
          <w:rFonts w:hint="eastAsia" w:ascii="宋体" w:hAnsi="宋体"/>
          <w:szCs w:val="28"/>
        </w:rPr>
        <w:t>罗 钊</w:t>
      </w:r>
      <w:r>
        <w:rPr>
          <w:rFonts w:hint="eastAsia" w:ascii="宋体" w:hAnsi="宋体"/>
          <w:szCs w:val="28"/>
          <w:lang w:val="en-US" w:eastAsia="zh-CN"/>
        </w:rPr>
        <w:t xml:space="preserve">  </w:t>
      </w:r>
      <w:r>
        <w:rPr>
          <w:rFonts w:hint="eastAsia" w:ascii="宋体" w:hAnsi="宋体"/>
          <w:szCs w:val="28"/>
        </w:rPr>
        <w:t>李建明</w:t>
      </w:r>
      <w:r>
        <w:rPr>
          <w:rFonts w:hint="eastAsia" w:ascii="宋体" w:hAnsi="宋体"/>
          <w:szCs w:val="28"/>
          <w:lang w:val="en-US" w:eastAsia="zh-CN"/>
        </w:rPr>
        <w:t xml:space="preserve">  </w:t>
      </w:r>
      <w:r>
        <w:rPr>
          <w:rFonts w:hint="eastAsia" w:ascii="宋体" w:hAnsi="宋体"/>
          <w:szCs w:val="28"/>
        </w:rPr>
        <w:t>李柯薇</w:t>
      </w:r>
      <w:r>
        <w:rPr>
          <w:rFonts w:hint="eastAsia" w:ascii="宋体" w:hAnsi="宋体"/>
          <w:szCs w:val="28"/>
          <w:lang w:val="en-US" w:eastAsia="zh-CN"/>
        </w:rPr>
        <w:t xml:space="preserve">  </w:t>
      </w:r>
      <w:r>
        <w:rPr>
          <w:rFonts w:hint="eastAsia" w:ascii="宋体" w:hAnsi="宋体"/>
          <w:szCs w:val="28"/>
        </w:rPr>
        <w:t>郑宇卓</w:t>
      </w:r>
      <w:r>
        <w:rPr>
          <w:rFonts w:hint="eastAsia" w:ascii="宋体" w:hAnsi="宋体"/>
          <w:szCs w:val="28"/>
          <w:lang w:val="en-US" w:eastAsia="zh-CN"/>
        </w:rPr>
        <w:t xml:space="preserve">  </w:t>
      </w:r>
      <w:r>
        <w:rPr>
          <w:rFonts w:hint="eastAsia" w:ascii="宋体" w:hAnsi="宋体"/>
          <w:szCs w:val="28"/>
        </w:rPr>
        <w:t>邓代举</w:t>
      </w:r>
      <w:r>
        <w:rPr>
          <w:rFonts w:hint="eastAsia" w:ascii="宋体" w:hAnsi="宋体"/>
          <w:szCs w:val="28"/>
          <w:lang w:val="en-US" w:eastAsia="zh-CN"/>
        </w:rPr>
        <w:t xml:space="preserve">  </w:t>
      </w:r>
      <w:r>
        <w:rPr>
          <w:rFonts w:hint="eastAsia" w:ascii="宋体" w:hAnsi="宋体"/>
          <w:szCs w:val="28"/>
        </w:rPr>
        <w:t>何建辉</w:t>
      </w:r>
      <w:r>
        <w:rPr>
          <w:rFonts w:hint="eastAsia" w:ascii="宋体" w:hAnsi="宋体"/>
          <w:szCs w:val="28"/>
          <w:lang w:val="en-US" w:eastAsia="zh-CN"/>
        </w:rPr>
        <w:t xml:space="preserve">   </w:t>
      </w:r>
      <w:r>
        <w:rPr>
          <w:rFonts w:hint="eastAsia" w:ascii="宋体" w:hAnsi="宋体"/>
          <w:szCs w:val="28"/>
        </w:rPr>
        <w:t>廖青林</w:t>
      </w:r>
      <w:r>
        <w:rPr>
          <w:rFonts w:hint="eastAsia" w:ascii="宋体" w:hAnsi="宋体"/>
          <w:szCs w:val="28"/>
          <w:lang w:val="en-US" w:eastAsia="zh-CN"/>
        </w:rPr>
        <w:t xml:space="preserve">  </w:t>
      </w:r>
      <w:r>
        <w:rPr>
          <w:rFonts w:hint="eastAsia" w:ascii="宋体" w:hAnsi="宋体"/>
          <w:szCs w:val="28"/>
        </w:rPr>
        <w:t>唐晓飞</w:t>
      </w:r>
      <w:bookmarkStart w:id="39" w:name="_Hlk101790831"/>
    </w:p>
    <w:bookmarkEnd w:id="38"/>
    <w:bookmarkEnd w:id="39"/>
    <w:p>
      <w:pPr>
        <w:pStyle w:val="19"/>
        <w:spacing w:after="0" w:line="560" w:lineRule="exact"/>
        <w:ind w:firstLine="560" w:firstLineChars="200"/>
        <w:rPr>
          <w:rFonts w:ascii="宋体" w:hAnsi="宋体"/>
          <w:i w:val="0"/>
          <w:kern w:val="2"/>
          <w:sz w:val="28"/>
          <w:szCs w:val="28"/>
        </w:rPr>
      </w:pPr>
      <w:r>
        <w:rPr>
          <w:rFonts w:hint="eastAsia" w:ascii="宋体" w:hAnsi="宋体"/>
          <w:i w:val="0"/>
          <w:kern w:val="2"/>
          <w:sz w:val="28"/>
          <w:szCs w:val="28"/>
        </w:rPr>
        <w:t>2</w:t>
      </w:r>
      <w:r>
        <w:rPr>
          <w:rFonts w:ascii="宋体" w:hAnsi="宋体"/>
          <w:i w:val="0"/>
          <w:kern w:val="2"/>
          <w:sz w:val="28"/>
          <w:szCs w:val="28"/>
        </w:rPr>
        <w:t>.2.2</w:t>
      </w:r>
      <w:r>
        <w:rPr>
          <w:rFonts w:hint="eastAsia" w:ascii="宋体" w:hAnsi="宋体"/>
          <w:i w:val="0"/>
          <w:kern w:val="2"/>
          <w:sz w:val="28"/>
          <w:szCs w:val="28"/>
        </w:rPr>
        <w:t>职责</w:t>
      </w:r>
    </w:p>
    <w:p>
      <w:pPr>
        <w:spacing w:after="0" w:line="560" w:lineRule="exact"/>
        <w:ind w:firstLine="560" w:firstLineChars="200"/>
        <w:rPr>
          <w:rFonts w:ascii="宋体" w:hAnsi="宋体" w:cs="宋体"/>
          <w:kern w:val="2"/>
          <w:szCs w:val="28"/>
        </w:rPr>
      </w:pPr>
      <w:bookmarkStart w:id="40" w:name="_Hlk101715390"/>
      <w:r>
        <w:rPr>
          <w:rFonts w:hint="eastAsia" w:ascii="宋体" w:hAnsi="宋体" w:cs="宋体"/>
          <w:kern w:val="2"/>
          <w:szCs w:val="28"/>
        </w:rPr>
        <w:t>（1）指挥长职责</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1）分析紧急状态，根据对应级别，发布或同意发布进入应急状态的命令，启动应急指挥系统。</w:t>
      </w:r>
    </w:p>
    <w:p>
      <w:pPr>
        <w:pStyle w:val="90"/>
        <w:tabs>
          <w:tab w:val="left" w:pos="0"/>
        </w:tabs>
        <w:spacing w:line="560" w:lineRule="exact"/>
        <w:ind w:firstLine="560"/>
        <w:rPr>
          <w:rFonts w:ascii="宋体" w:hAnsi="宋体" w:cs="宋体"/>
          <w:sz w:val="28"/>
          <w:szCs w:val="28"/>
        </w:rPr>
      </w:pPr>
      <w:r>
        <w:rPr>
          <w:rFonts w:ascii="宋体" w:hAnsi="宋体" w:cs="宋体"/>
          <w:sz w:val="28"/>
          <w:szCs w:val="28"/>
        </w:rPr>
        <w:t>2</w:t>
      </w:r>
      <w:r>
        <w:rPr>
          <w:rFonts w:hint="eastAsia" w:ascii="宋体" w:hAnsi="宋体" w:cs="宋体"/>
          <w:sz w:val="28"/>
          <w:szCs w:val="28"/>
        </w:rPr>
        <w:t xml:space="preserve">）指挥副指挥长、现场指挥综合协调各组开展各项应急工作，决策现场重大应急行动。 </w:t>
      </w:r>
    </w:p>
    <w:p>
      <w:pPr>
        <w:pStyle w:val="90"/>
        <w:tabs>
          <w:tab w:val="left" w:pos="0"/>
        </w:tabs>
        <w:spacing w:line="560" w:lineRule="exact"/>
        <w:ind w:firstLine="560"/>
        <w:rPr>
          <w:rFonts w:ascii="宋体" w:hAnsi="宋体" w:cs="宋体"/>
          <w:sz w:val="28"/>
          <w:szCs w:val="28"/>
        </w:rPr>
      </w:pPr>
      <w:r>
        <w:rPr>
          <w:rFonts w:ascii="宋体" w:hAnsi="宋体" w:cs="宋体"/>
          <w:sz w:val="28"/>
          <w:szCs w:val="28"/>
        </w:rPr>
        <w:t>3</w:t>
      </w:r>
      <w:r>
        <w:rPr>
          <w:rFonts w:hint="eastAsia" w:ascii="宋体" w:hAnsi="宋体" w:cs="宋体"/>
          <w:sz w:val="28"/>
          <w:szCs w:val="28"/>
        </w:rPr>
        <w:t xml:space="preserve">）坚持“以人为本”原则，最大限度的降低人员伤亡，确保抢险救灾人员的生命安全。 </w:t>
      </w:r>
    </w:p>
    <w:p>
      <w:pPr>
        <w:tabs>
          <w:tab w:val="left" w:pos="0"/>
        </w:tabs>
        <w:spacing w:after="0" w:line="560" w:lineRule="exact"/>
        <w:ind w:firstLine="560" w:firstLineChars="200"/>
        <w:rPr>
          <w:rFonts w:ascii="宋体" w:hAnsi="宋体" w:cs="宋体"/>
          <w:kern w:val="2"/>
          <w:szCs w:val="28"/>
        </w:rPr>
      </w:pPr>
      <w:r>
        <w:rPr>
          <w:rFonts w:ascii="宋体" w:hAnsi="宋体" w:cs="宋体"/>
          <w:kern w:val="2"/>
          <w:szCs w:val="28"/>
        </w:rPr>
        <w:t>4</w:t>
      </w:r>
      <w:r>
        <w:rPr>
          <w:rFonts w:hint="eastAsia" w:ascii="宋体" w:hAnsi="宋体" w:cs="宋体"/>
          <w:kern w:val="2"/>
          <w:szCs w:val="28"/>
        </w:rPr>
        <w:t>）根据对应级别，宣布应急状态的终止。</w:t>
      </w:r>
    </w:p>
    <w:p>
      <w:pPr>
        <w:tabs>
          <w:tab w:val="left" w:pos="0"/>
        </w:tabs>
        <w:spacing w:after="0" w:line="560" w:lineRule="exact"/>
        <w:ind w:firstLine="560" w:firstLineChars="200"/>
        <w:rPr>
          <w:rFonts w:ascii="宋体" w:hAnsi="宋体" w:cs="宋体"/>
          <w:kern w:val="2"/>
          <w:szCs w:val="28"/>
        </w:rPr>
      </w:pPr>
      <w:r>
        <w:rPr>
          <w:rFonts w:ascii="宋体" w:hAnsi="宋体" w:cs="宋体"/>
          <w:kern w:val="2"/>
          <w:szCs w:val="28"/>
        </w:rPr>
        <w:t>5</w:t>
      </w:r>
      <w:r>
        <w:rPr>
          <w:rFonts w:hint="eastAsia" w:ascii="宋体" w:hAnsi="宋体" w:cs="宋体"/>
          <w:kern w:val="2"/>
          <w:szCs w:val="28"/>
        </w:rPr>
        <w:t>）扩大应急情况下，在政府部门领导赶赴现场后立即移交应急救援指挥权，并协助政府部门开展应急救援预工作。</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（2）副指挥长职责</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1)协助指挥长做好事故应急救援工作。</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2)当指挥长不在时，行使指挥长职责。</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（3）现场指挥职责</w:t>
      </w:r>
    </w:p>
    <w:p>
      <w:pPr>
        <w:pStyle w:val="90"/>
        <w:tabs>
          <w:tab w:val="left" w:pos="0"/>
        </w:tabs>
        <w:spacing w:line="360" w:lineRule="auto"/>
        <w:ind w:firstLine="560"/>
        <w:rPr>
          <w:rFonts w:ascii="宋体" w:hAnsi="宋体" w:cs="宋体"/>
          <w:sz w:val="28"/>
          <w:szCs w:val="28"/>
        </w:rPr>
      </w:pPr>
      <w:r>
        <w:rPr>
          <w:rFonts w:hint="eastAsia" w:ascii="宋体" w:hAnsi="宋体" w:cs="宋体"/>
          <w:sz w:val="28"/>
          <w:szCs w:val="28"/>
        </w:rPr>
        <w:t>1)</w:t>
      </w:r>
      <w:r>
        <w:rPr>
          <w:rFonts w:ascii="宋体" w:hAnsi="宋体" w:cs="宋体"/>
          <w:sz w:val="28"/>
          <w:szCs w:val="28"/>
        </w:rPr>
        <w:t xml:space="preserve"> </w:t>
      </w:r>
      <w:r>
        <w:rPr>
          <w:rFonts w:hint="eastAsia" w:ascii="宋体" w:hAnsi="宋体" w:cs="宋体"/>
          <w:sz w:val="28"/>
          <w:szCs w:val="28"/>
        </w:rPr>
        <w:t>在指挥长、副指挥长领导下做好事故现场应急救援工作。</w:t>
      </w:r>
    </w:p>
    <w:p>
      <w:pPr>
        <w:pStyle w:val="90"/>
        <w:tabs>
          <w:tab w:val="left" w:pos="0"/>
        </w:tabs>
        <w:spacing w:line="360" w:lineRule="auto"/>
        <w:ind w:firstLine="560"/>
        <w:rPr>
          <w:rFonts w:ascii="宋体" w:hAnsi="宋体" w:cs="宋体"/>
          <w:sz w:val="28"/>
          <w:szCs w:val="28"/>
        </w:rPr>
      </w:pPr>
      <w:r>
        <w:rPr>
          <w:rFonts w:hint="eastAsia" w:ascii="宋体" w:hAnsi="宋体" w:cs="宋体"/>
          <w:sz w:val="28"/>
          <w:szCs w:val="28"/>
        </w:rPr>
        <w:t>2)</w:t>
      </w:r>
      <w:r>
        <w:rPr>
          <w:rFonts w:ascii="宋体" w:hAnsi="宋体" w:cs="宋体"/>
          <w:sz w:val="28"/>
          <w:szCs w:val="28"/>
        </w:rPr>
        <w:t xml:space="preserve"> </w:t>
      </w:r>
      <w:r>
        <w:rPr>
          <w:rFonts w:hint="eastAsia" w:ascii="宋体" w:hAnsi="宋体" w:cs="宋体"/>
          <w:sz w:val="28"/>
          <w:szCs w:val="28"/>
        </w:rPr>
        <w:t>组织现场救援。</w:t>
      </w:r>
    </w:p>
    <w:p>
      <w:pPr>
        <w:pStyle w:val="90"/>
        <w:tabs>
          <w:tab w:val="left" w:pos="0"/>
        </w:tabs>
        <w:spacing w:line="360" w:lineRule="auto"/>
        <w:ind w:firstLine="560"/>
        <w:rPr>
          <w:rFonts w:ascii="宋体" w:hAnsi="宋体" w:cs="宋体"/>
          <w:sz w:val="28"/>
          <w:szCs w:val="28"/>
        </w:rPr>
      </w:pPr>
      <w:r>
        <w:rPr>
          <w:rFonts w:hint="eastAsia" w:ascii="宋体" w:hAnsi="宋体" w:cs="宋体"/>
          <w:sz w:val="28"/>
          <w:szCs w:val="28"/>
        </w:rPr>
        <w:t>3）召开现场工作会，与现场内外部救援力量进行沟通协调。</w:t>
      </w:r>
    </w:p>
    <w:p>
      <w:pPr>
        <w:pStyle w:val="90"/>
        <w:tabs>
          <w:tab w:val="left" w:pos="0"/>
        </w:tabs>
        <w:spacing w:line="360" w:lineRule="auto"/>
        <w:ind w:firstLine="560"/>
        <w:rPr>
          <w:rFonts w:ascii="宋体" w:hAnsi="宋体" w:cs="宋体"/>
          <w:sz w:val="28"/>
          <w:szCs w:val="28"/>
        </w:rPr>
      </w:pPr>
      <w:r>
        <w:rPr>
          <w:rFonts w:hint="eastAsia" w:ascii="宋体" w:hAnsi="宋体" w:cs="宋体"/>
          <w:sz w:val="28"/>
          <w:szCs w:val="28"/>
          <w:lang w:val="en-US" w:eastAsia="zh-CN"/>
        </w:rPr>
        <w:t>4</w:t>
      </w:r>
      <w:r>
        <w:rPr>
          <w:rFonts w:hint="eastAsia" w:ascii="宋体" w:hAnsi="宋体" w:cs="宋体"/>
          <w:sz w:val="28"/>
          <w:szCs w:val="28"/>
        </w:rPr>
        <w:t>）应急终止后，组织现场恢复工作。</w:t>
      </w:r>
    </w:p>
    <w:p>
      <w:pPr>
        <w:spacing w:after="0" w:line="560" w:lineRule="exact"/>
        <w:ind w:firstLine="560" w:firstLineChars="200"/>
        <w:rPr>
          <w:rFonts w:ascii="宋体" w:hAnsi="宋体" w:cs="宋体"/>
          <w:kern w:val="2"/>
          <w:szCs w:val="28"/>
        </w:rPr>
      </w:pPr>
      <w:r>
        <w:rPr>
          <w:rFonts w:hint="eastAsia" w:ascii="宋体" w:hAnsi="宋体" w:cs="宋体"/>
          <w:kern w:val="2"/>
          <w:szCs w:val="28"/>
        </w:rPr>
        <w:t>（</w:t>
      </w:r>
      <w:r>
        <w:rPr>
          <w:rFonts w:ascii="宋体" w:hAnsi="宋体" w:cs="宋体"/>
          <w:kern w:val="2"/>
          <w:szCs w:val="28"/>
        </w:rPr>
        <w:t>4</w:t>
      </w:r>
      <w:r>
        <w:rPr>
          <w:rFonts w:hint="eastAsia" w:ascii="宋体" w:hAnsi="宋体" w:cs="宋体"/>
          <w:kern w:val="2"/>
          <w:szCs w:val="28"/>
        </w:rPr>
        <w:t>）指挥部职责</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1)负责组织本企业</w:t>
      </w:r>
      <w:r>
        <w:rPr>
          <w:rFonts w:hint="eastAsia" w:ascii="宋体" w:hAnsi="宋体" w:cs="宋体"/>
          <w:sz w:val="28"/>
          <w:szCs w:val="28"/>
          <w:lang w:eastAsia="zh-CN"/>
        </w:rPr>
        <w:t>《南部县天然气公司事故</w:t>
      </w:r>
      <w:r>
        <w:rPr>
          <w:rFonts w:hint="eastAsia" w:ascii="宋体" w:hAnsi="宋体" w:cs="宋体"/>
          <w:sz w:val="28"/>
          <w:szCs w:val="28"/>
        </w:rPr>
        <w:t>应急救援预案</w:t>
      </w:r>
      <w:r>
        <w:rPr>
          <w:rFonts w:hint="eastAsia" w:ascii="宋体" w:hAnsi="宋体" w:cs="宋体"/>
          <w:sz w:val="28"/>
          <w:szCs w:val="28"/>
          <w:lang w:eastAsia="zh-CN"/>
        </w:rPr>
        <w:t>》</w:t>
      </w:r>
      <w:r>
        <w:rPr>
          <w:rFonts w:hint="eastAsia" w:ascii="宋体" w:hAnsi="宋体" w:cs="宋体"/>
          <w:sz w:val="28"/>
          <w:szCs w:val="28"/>
        </w:rPr>
        <w:t>的</w:t>
      </w:r>
      <w:r>
        <w:rPr>
          <w:rFonts w:hint="eastAsia" w:ascii="宋体" w:hAnsi="宋体" w:cs="宋体"/>
          <w:sz w:val="28"/>
          <w:szCs w:val="28"/>
          <w:lang w:eastAsia="zh-CN"/>
        </w:rPr>
        <w:t>编</w:t>
      </w:r>
      <w:r>
        <w:rPr>
          <w:rFonts w:hint="eastAsia" w:ascii="宋体" w:hAnsi="宋体" w:cs="宋体"/>
          <w:sz w:val="28"/>
          <w:szCs w:val="28"/>
        </w:rPr>
        <w:t>制、修</w:t>
      </w:r>
      <w:r>
        <w:rPr>
          <w:rFonts w:hint="eastAsia" w:ascii="宋体" w:hAnsi="宋体" w:cs="宋体"/>
          <w:sz w:val="28"/>
          <w:szCs w:val="28"/>
          <w:lang w:eastAsia="zh-CN"/>
        </w:rPr>
        <w:t>订</w:t>
      </w:r>
      <w:r>
        <w:rPr>
          <w:rFonts w:hint="eastAsia" w:ascii="宋体" w:hAnsi="宋体" w:cs="宋体"/>
          <w:sz w:val="28"/>
          <w:szCs w:val="28"/>
        </w:rPr>
        <w:t>；组建应急救援专业队伍，组织实施和演练；检查监督好重大事故的预防措施和应急救援的各项准备工作（包括医疗用具、灭火设备、救援人员个人防护用品等）。</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2)分析判断事故、事件或灾情的受影响区域、危害程度，根据级别发布启动预警、响应的指令。</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3)按对应级别启动预警或应急响应，组织、指挥、协调各应急小组进行应急救援行动。</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4) 批准成立现场指挥部，批准现场重大救援方案（或现场预案）。</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5)报告上级机关，与地方政府应急反应组织或机构进行联系，通报事故、事件或灾害情况。</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6)评估事态发展程度，决定升高或降低警报级别、应急救援级别。</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7)根据事态发展，决定请求外部援助。</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8)监察应急操作人员的行动，保证现场抢救和现场外其他人员的安全。</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9)决定救援人员、员工从事故区域撤离，决定请求地方政府组织周边群众从事故受影响区域撤离。</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10)协调物资、设备、医疗、通讯、后勤等方面以支持反应组织。</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11) 按对应级别宣布应急恢复、应急结束。</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12)组织本企业各类事故应急救援演练，监督各下属各部门开展事故应急演练。</w:t>
      </w:r>
    </w:p>
    <w:p>
      <w:pPr>
        <w:spacing w:after="0" w:line="560" w:lineRule="exact"/>
        <w:ind w:firstLine="560" w:firstLineChars="200"/>
        <w:rPr>
          <w:rFonts w:ascii="宋体" w:hAnsi="宋体" w:cs="宋体"/>
          <w:szCs w:val="28"/>
        </w:rPr>
      </w:pPr>
      <w:r>
        <w:rPr>
          <w:rFonts w:hint="eastAsia" w:ascii="宋体" w:hAnsi="宋体" w:cs="宋体"/>
          <w:szCs w:val="28"/>
        </w:rPr>
        <w:t>（5）指挥部办公室职责</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1）负责应急指挥部的日常工作。</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2）具体负责应急预案的编制、评审、备案等工作，按规定组织应急演练。</w:t>
      </w:r>
    </w:p>
    <w:p>
      <w:pPr>
        <w:pStyle w:val="19"/>
        <w:spacing w:after="0" w:line="560" w:lineRule="exact"/>
        <w:ind w:firstLine="560" w:firstLineChars="200"/>
        <w:rPr>
          <w:rFonts w:ascii="宋体" w:hAnsi="宋体"/>
          <w:i w:val="0"/>
          <w:sz w:val="28"/>
          <w:szCs w:val="28"/>
        </w:rPr>
      </w:pPr>
      <w:r>
        <w:rPr>
          <w:rFonts w:ascii="宋体" w:hAnsi="宋体"/>
          <w:i w:val="0"/>
          <w:sz w:val="28"/>
          <w:szCs w:val="28"/>
        </w:rPr>
        <w:t>3</w:t>
      </w:r>
      <w:r>
        <w:rPr>
          <w:rFonts w:hint="eastAsia" w:ascii="宋体" w:hAnsi="宋体"/>
          <w:i w:val="0"/>
          <w:sz w:val="28"/>
          <w:szCs w:val="28"/>
        </w:rPr>
        <w:t>）负责指挥部各类文书起草、归档等工作。</w:t>
      </w:r>
    </w:p>
    <w:p>
      <w:pPr>
        <w:pStyle w:val="19"/>
        <w:spacing w:after="0" w:line="560" w:lineRule="exact"/>
        <w:ind w:firstLine="560" w:firstLineChars="200"/>
        <w:rPr>
          <w:rFonts w:ascii="宋体" w:hAnsi="宋体"/>
          <w:i w:val="0"/>
          <w:sz w:val="28"/>
          <w:szCs w:val="28"/>
        </w:rPr>
      </w:pPr>
      <w:r>
        <w:rPr>
          <w:rFonts w:ascii="宋体" w:hAnsi="宋体"/>
          <w:i w:val="0"/>
          <w:sz w:val="28"/>
          <w:szCs w:val="28"/>
        </w:rPr>
        <w:t>4</w:t>
      </w:r>
      <w:r>
        <w:rPr>
          <w:rFonts w:hint="eastAsia" w:ascii="宋体" w:hAnsi="宋体"/>
          <w:i w:val="0"/>
          <w:sz w:val="28"/>
          <w:szCs w:val="28"/>
        </w:rPr>
        <w:t>）牵头开展事故调查。</w:t>
      </w:r>
    </w:p>
    <w:p>
      <w:pPr>
        <w:spacing w:after="0" w:line="560" w:lineRule="exact"/>
        <w:ind w:firstLine="560" w:firstLineChars="200"/>
        <w:rPr>
          <w:rFonts w:ascii="宋体" w:hAnsi="宋体" w:cs="宋体"/>
          <w:szCs w:val="28"/>
        </w:rPr>
      </w:pPr>
      <w:r>
        <w:rPr>
          <w:rFonts w:hint="eastAsia" w:ascii="宋体" w:hAnsi="宋体" w:cs="宋体"/>
          <w:szCs w:val="28"/>
        </w:rPr>
        <w:t>2</w:t>
      </w:r>
      <w:r>
        <w:rPr>
          <w:rFonts w:ascii="宋体" w:hAnsi="宋体" w:cs="宋体"/>
          <w:szCs w:val="28"/>
        </w:rPr>
        <w:t>.2.3</w:t>
      </w:r>
      <w:r>
        <w:rPr>
          <w:rFonts w:hint="eastAsia" w:ascii="宋体" w:hAnsi="宋体" w:cs="宋体"/>
          <w:szCs w:val="28"/>
        </w:rPr>
        <w:t>成员单位（相关部门）职责</w:t>
      </w:r>
    </w:p>
    <w:p>
      <w:pPr>
        <w:spacing w:after="0" w:line="560" w:lineRule="exact"/>
        <w:ind w:firstLine="560" w:firstLineChars="200"/>
        <w:rPr>
          <w:rFonts w:ascii="宋体" w:hAnsi="宋体" w:cs="宋体"/>
          <w:szCs w:val="28"/>
        </w:rPr>
      </w:pPr>
      <w:r>
        <w:rPr>
          <w:rFonts w:hint="eastAsia" w:ascii="宋体" w:hAnsi="宋体" w:cs="宋体"/>
          <w:szCs w:val="28"/>
        </w:rPr>
        <w:t>（1）安全管理科职责</w:t>
      </w:r>
    </w:p>
    <w:p>
      <w:pPr>
        <w:spacing w:after="0" w:line="560" w:lineRule="exact"/>
        <w:ind w:firstLine="560" w:firstLineChars="200"/>
        <w:rPr>
          <w:rFonts w:ascii="宋体" w:hAnsi="宋体" w:cs="宋体"/>
          <w:szCs w:val="28"/>
        </w:rPr>
      </w:pPr>
      <w:r>
        <w:rPr>
          <w:rFonts w:hint="eastAsia" w:ascii="宋体" w:hAnsi="宋体" w:cs="宋体"/>
          <w:szCs w:val="28"/>
        </w:rPr>
        <w:t>1）在公司指挥部的领导下，做好事故应急救援的协调工作，传达指令，落实救援工作，防止事故扩大；</w:t>
      </w:r>
    </w:p>
    <w:p>
      <w:pPr>
        <w:spacing w:after="0" w:line="560" w:lineRule="exact"/>
        <w:ind w:firstLine="560" w:firstLineChars="200"/>
        <w:rPr>
          <w:rFonts w:ascii="宋体" w:hAnsi="宋体" w:cs="宋体"/>
          <w:szCs w:val="28"/>
        </w:rPr>
      </w:pPr>
      <w:r>
        <w:rPr>
          <w:rFonts w:hint="eastAsia" w:ascii="宋体" w:hAnsi="宋体" w:cs="宋体"/>
          <w:szCs w:val="28"/>
        </w:rPr>
        <w:t>2）协助保护事故现场；</w:t>
      </w:r>
    </w:p>
    <w:p>
      <w:pPr>
        <w:spacing w:after="0" w:line="560" w:lineRule="exact"/>
        <w:ind w:firstLine="560" w:firstLineChars="200"/>
        <w:rPr>
          <w:rFonts w:ascii="宋体" w:hAnsi="宋体" w:cs="宋体"/>
          <w:szCs w:val="28"/>
        </w:rPr>
      </w:pPr>
      <w:r>
        <w:rPr>
          <w:rFonts w:hint="eastAsia" w:ascii="宋体" w:hAnsi="宋体" w:cs="宋体"/>
          <w:szCs w:val="28"/>
        </w:rPr>
        <w:t>3）事故后开展事故调查，报告等工作。</w:t>
      </w:r>
    </w:p>
    <w:p>
      <w:pPr>
        <w:spacing w:after="0" w:line="560" w:lineRule="exact"/>
        <w:ind w:firstLine="560" w:firstLineChars="200"/>
        <w:rPr>
          <w:rFonts w:ascii="宋体" w:hAnsi="宋体" w:cs="宋体"/>
          <w:szCs w:val="28"/>
        </w:rPr>
      </w:pPr>
      <w:r>
        <w:rPr>
          <w:rFonts w:hint="eastAsia" w:ascii="宋体" w:hAnsi="宋体" w:cs="宋体"/>
          <w:szCs w:val="28"/>
        </w:rPr>
        <w:t>（</w:t>
      </w:r>
      <w:r>
        <w:rPr>
          <w:rFonts w:ascii="宋体" w:hAnsi="宋体" w:cs="宋体"/>
          <w:szCs w:val="28"/>
        </w:rPr>
        <w:t>2</w:t>
      </w:r>
      <w:r>
        <w:rPr>
          <w:rFonts w:hint="eastAsia" w:ascii="宋体" w:hAnsi="宋体" w:cs="宋体"/>
          <w:szCs w:val="28"/>
        </w:rPr>
        <w:t>）维修抢险队职责</w:t>
      </w:r>
    </w:p>
    <w:p>
      <w:pPr>
        <w:spacing w:after="0" w:line="560" w:lineRule="exact"/>
        <w:ind w:firstLine="560" w:firstLineChars="200"/>
        <w:rPr>
          <w:rFonts w:ascii="宋体" w:hAnsi="宋体" w:cs="宋体"/>
          <w:szCs w:val="28"/>
        </w:rPr>
      </w:pPr>
      <w:r>
        <w:rPr>
          <w:rFonts w:hint="eastAsia" w:ascii="宋体" w:hAnsi="宋体" w:cs="宋体"/>
          <w:szCs w:val="28"/>
        </w:rPr>
        <w:t>1）在公司指挥部领导下，做好各类事故的应急抢险救援工作；</w:t>
      </w:r>
    </w:p>
    <w:p>
      <w:pPr>
        <w:spacing w:after="0" w:line="560" w:lineRule="exact"/>
        <w:ind w:firstLine="560" w:firstLineChars="200"/>
        <w:rPr>
          <w:rFonts w:ascii="宋体" w:hAnsi="宋体" w:cs="宋体"/>
          <w:szCs w:val="28"/>
        </w:rPr>
      </w:pPr>
      <w:r>
        <w:rPr>
          <w:rFonts w:hint="eastAsia" w:ascii="宋体" w:hAnsi="宋体" w:cs="宋体"/>
          <w:szCs w:val="28"/>
        </w:rPr>
        <w:t>2）不断完善抢险设备、设施和流程，将事故损失及影响范围控制到最小</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3）负责2</w:t>
      </w:r>
      <w:r>
        <w:rPr>
          <w:rFonts w:ascii="宋体" w:hAnsi="宋体"/>
          <w:i w:val="0"/>
          <w:sz w:val="28"/>
          <w:szCs w:val="28"/>
        </w:rPr>
        <w:t>4</w:t>
      </w:r>
      <w:r>
        <w:rPr>
          <w:rFonts w:hint="eastAsia" w:ascii="宋体" w:hAnsi="宋体"/>
          <w:i w:val="0"/>
          <w:sz w:val="28"/>
          <w:szCs w:val="28"/>
        </w:rPr>
        <w:t>小时应急电话的值班值守。</w:t>
      </w:r>
    </w:p>
    <w:p>
      <w:pPr>
        <w:pStyle w:val="19"/>
        <w:spacing w:after="0" w:line="560" w:lineRule="exact"/>
        <w:ind w:firstLine="560" w:firstLineChars="200"/>
        <w:rPr>
          <w:rFonts w:ascii="宋体" w:hAnsi="宋体"/>
          <w:i w:val="0"/>
          <w:sz w:val="28"/>
          <w:szCs w:val="28"/>
        </w:rPr>
      </w:pPr>
      <w:r>
        <w:rPr>
          <w:rFonts w:ascii="宋体" w:hAnsi="宋体"/>
          <w:i w:val="0"/>
          <w:sz w:val="28"/>
          <w:szCs w:val="28"/>
        </w:rPr>
        <w:t>4</w:t>
      </w:r>
      <w:r>
        <w:rPr>
          <w:rFonts w:hint="eastAsia" w:ascii="宋体" w:hAnsi="宋体"/>
          <w:i w:val="0"/>
          <w:sz w:val="28"/>
          <w:szCs w:val="28"/>
        </w:rPr>
        <w:t>）接报事故后，进行初步分析研判，为相应级别负责人发布预警、响应指令提供科学依据。</w:t>
      </w:r>
    </w:p>
    <w:p>
      <w:pPr>
        <w:spacing w:after="0" w:line="560" w:lineRule="exact"/>
        <w:ind w:firstLine="560" w:firstLineChars="200"/>
        <w:rPr>
          <w:rFonts w:ascii="宋体" w:hAnsi="宋体" w:cs="宋体"/>
          <w:szCs w:val="28"/>
        </w:rPr>
      </w:pPr>
      <w:r>
        <w:rPr>
          <w:rFonts w:hint="eastAsia" w:ascii="宋体" w:hAnsi="宋体" w:cs="宋体"/>
          <w:szCs w:val="28"/>
        </w:rPr>
        <w:t>（3）生产技术科职责</w:t>
      </w:r>
    </w:p>
    <w:p>
      <w:pPr>
        <w:spacing w:after="0" w:line="560" w:lineRule="exact"/>
        <w:ind w:firstLine="560" w:firstLineChars="200"/>
        <w:rPr>
          <w:rFonts w:ascii="宋体" w:hAnsi="宋体" w:cs="宋体"/>
          <w:szCs w:val="28"/>
        </w:rPr>
      </w:pPr>
      <w:r>
        <w:rPr>
          <w:rFonts w:hint="eastAsia" w:ascii="宋体" w:hAnsi="宋体" w:cs="宋体"/>
          <w:szCs w:val="28"/>
        </w:rPr>
        <w:t>在公司指挥部领导下，提供需要的相关资料及技术支持工作。</w:t>
      </w:r>
    </w:p>
    <w:p>
      <w:pPr>
        <w:spacing w:after="0" w:line="560" w:lineRule="exact"/>
        <w:ind w:firstLine="560" w:firstLineChars="200"/>
        <w:rPr>
          <w:rFonts w:ascii="宋体" w:hAnsi="宋体" w:cs="宋体"/>
          <w:szCs w:val="28"/>
        </w:rPr>
      </w:pPr>
      <w:r>
        <w:rPr>
          <w:rFonts w:hint="eastAsia" w:ascii="宋体" w:hAnsi="宋体" w:cs="宋体"/>
          <w:szCs w:val="28"/>
        </w:rPr>
        <w:t>（4）后勤管理科等职责</w:t>
      </w:r>
    </w:p>
    <w:p>
      <w:pPr>
        <w:spacing w:after="0" w:line="560" w:lineRule="exact"/>
        <w:ind w:firstLine="560" w:firstLineChars="200"/>
        <w:rPr>
          <w:rFonts w:ascii="宋体" w:hAnsi="宋体" w:cs="宋体"/>
          <w:szCs w:val="28"/>
        </w:rPr>
      </w:pPr>
      <w:r>
        <w:rPr>
          <w:rFonts w:hint="eastAsia" w:ascii="宋体" w:hAnsi="宋体" w:cs="宋体"/>
          <w:szCs w:val="28"/>
        </w:rPr>
        <w:t>1）在公司指挥部领导下，做好应急抢险救援过程中的应急救援车辆、指挥车辆的管理工作，救护组织工作和抢险结束后的工伤保险工作（以前职责在办公室）；</w:t>
      </w:r>
    </w:p>
    <w:p>
      <w:pPr>
        <w:spacing w:after="0" w:line="560" w:lineRule="exact"/>
        <w:ind w:firstLine="560" w:firstLineChars="200"/>
        <w:rPr>
          <w:rFonts w:ascii="宋体" w:hAnsi="宋体" w:cs="宋体"/>
          <w:szCs w:val="28"/>
        </w:rPr>
      </w:pPr>
      <w:r>
        <w:rPr>
          <w:rFonts w:hint="eastAsia" w:ascii="宋体" w:hAnsi="宋体" w:cs="宋体"/>
          <w:szCs w:val="28"/>
        </w:rPr>
        <w:t>2）做好应急抢险救援过程中的后勤保障工作。</w:t>
      </w:r>
    </w:p>
    <w:p>
      <w:pPr>
        <w:spacing w:after="0" w:line="560" w:lineRule="exact"/>
        <w:ind w:firstLine="560" w:firstLineChars="200"/>
        <w:rPr>
          <w:rFonts w:ascii="宋体" w:hAnsi="宋体" w:cs="宋体"/>
          <w:szCs w:val="28"/>
        </w:rPr>
      </w:pPr>
      <w:r>
        <w:rPr>
          <w:rFonts w:hint="eastAsia" w:ascii="宋体" w:hAnsi="宋体" w:cs="宋体"/>
          <w:szCs w:val="28"/>
        </w:rPr>
        <w:t>（5）财务科职责</w:t>
      </w:r>
    </w:p>
    <w:p>
      <w:pPr>
        <w:spacing w:after="0" w:line="560" w:lineRule="exact"/>
        <w:ind w:firstLine="560" w:firstLineChars="200"/>
        <w:rPr>
          <w:rFonts w:ascii="宋体" w:hAnsi="宋体" w:cs="宋体"/>
          <w:szCs w:val="28"/>
        </w:rPr>
      </w:pPr>
      <w:r>
        <w:rPr>
          <w:rFonts w:hint="eastAsia" w:ascii="宋体" w:hAnsi="宋体" w:cs="宋体"/>
          <w:szCs w:val="28"/>
        </w:rPr>
        <w:t>1）在公司指挥部领导下，做好在事故应急抢险救援过程中对人员抢救的资金保障工作；</w:t>
      </w:r>
    </w:p>
    <w:p>
      <w:pPr>
        <w:spacing w:after="0" w:line="560" w:lineRule="exact"/>
        <w:ind w:firstLine="560" w:firstLineChars="200"/>
        <w:rPr>
          <w:rFonts w:ascii="宋体" w:hAnsi="宋体" w:cs="宋体"/>
          <w:szCs w:val="28"/>
        </w:rPr>
      </w:pPr>
      <w:r>
        <w:rPr>
          <w:rFonts w:hint="eastAsia" w:ascii="宋体" w:hAnsi="宋体" w:cs="宋体"/>
          <w:szCs w:val="28"/>
        </w:rPr>
        <w:t>2）配合做好抢险结束后的财产保险理赔工作。</w:t>
      </w:r>
    </w:p>
    <w:p>
      <w:pPr>
        <w:spacing w:after="0" w:line="560" w:lineRule="exact"/>
        <w:ind w:firstLine="560" w:firstLineChars="200"/>
        <w:rPr>
          <w:rFonts w:ascii="宋体" w:hAnsi="宋体" w:cs="宋体"/>
          <w:szCs w:val="28"/>
        </w:rPr>
      </w:pPr>
      <w:r>
        <w:rPr>
          <w:rFonts w:hint="eastAsia" w:ascii="宋体" w:hAnsi="宋体" w:cs="宋体"/>
          <w:szCs w:val="28"/>
        </w:rPr>
        <w:t>（6）经营管理科职责</w:t>
      </w:r>
    </w:p>
    <w:p>
      <w:pPr>
        <w:spacing w:after="0" w:line="560" w:lineRule="exact"/>
        <w:ind w:firstLine="560" w:firstLineChars="200"/>
        <w:rPr>
          <w:rFonts w:ascii="宋体" w:hAnsi="宋体" w:cs="宋体"/>
          <w:szCs w:val="28"/>
        </w:rPr>
      </w:pPr>
      <w:r>
        <w:rPr>
          <w:rFonts w:hint="eastAsia" w:ascii="宋体" w:hAnsi="宋体" w:cs="宋体"/>
          <w:szCs w:val="28"/>
        </w:rPr>
        <w:t>（1）在公司领导下，配合相关科室各事故的应急抢险救援工作；</w:t>
      </w:r>
    </w:p>
    <w:p>
      <w:pPr>
        <w:spacing w:after="0" w:line="560" w:lineRule="exact"/>
        <w:ind w:firstLine="560" w:firstLineChars="200"/>
        <w:rPr>
          <w:rFonts w:ascii="宋体" w:hAnsi="宋体" w:cs="宋体"/>
          <w:szCs w:val="28"/>
        </w:rPr>
      </w:pPr>
      <w:r>
        <w:rPr>
          <w:rFonts w:hint="eastAsia" w:ascii="宋体" w:hAnsi="宋体" w:cs="宋体"/>
          <w:szCs w:val="28"/>
        </w:rPr>
        <w:t>（2）配合安全科做好事故原因的调查、分析工作。</w:t>
      </w:r>
    </w:p>
    <w:p>
      <w:pPr>
        <w:spacing w:after="0" w:line="560" w:lineRule="exact"/>
        <w:ind w:firstLine="560" w:firstLineChars="200"/>
        <w:rPr>
          <w:rFonts w:ascii="宋体" w:hAnsi="宋体" w:cs="宋体"/>
          <w:szCs w:val="28"/>
        </w:rPr>
      </w:pPr>
      <w:r>
        <w:rPr>
          <w:rFonts w:hint="eastAsia" w:ascii="宋体" w:hAnsi="宋体" w:cs="宋体"/>
          <w:szCs w:val="28"/>
        </w:rPr>
        <w:t>（7）物资管理科、材料设备采购科职责</w:t>
      </w:r>
    </w:p>
    <w:p>
      <w:pPr>
        <w:spacing w:after="0" w:line="560" w:lineRule="exact"/>
        <w:ind w:firstLine="560" w:firstLineChars="200"/>
        <w:rPr>
          <w:rFonts w:ascii="宋体" w:hAnsi="宋体" w:cs="宋体"/>
          <w:szCs w:val="28"/>
        </w:rPr>
      </w:pPr>
      <w:r>
        <w:rPr>
          <w:rFonts w:hint="eastAsia" w:ascii="宋体" w:hAnsi="宋体" w:cs="宋体"/>
          <w:szCs w:val="28"/>
        </w:rPr>
        <w:t>在公司领导下，做好材料、设备的准备工作；</w:t>
      </w:r>
    </w:p>
    <w:bookmarkEnd w:id="40"/>
    <w:p>
      <w:pPr>
        <w:spacing w:after="0" w:line="560" w:lineRule="exact"/>
        <w:ind w:firstLine="560" w:firstLineChars="200"/>
        <w:rPr>
          <w:rFonts w:ascii="宋体" w:hAnsi="宋体" w:cs="宋体"/>
          <w:szCs w:val="28"/>
        </w:rPr>
      </w:pPr>
      <w:r>
        <w:rPr>
          <w:rFonts w:hint="eastAsia" w:ascii="宋体" w:hAnsi="宋体" w:cs="宋体"/>
          <w:szCs w:val="28"/>
        </w:rPr>
        <w:t>2</w:t>
      </w:r>
      <w:r>
        <w:rPr>
          <w:rFonts w:ascii="宋体" w:hAnsi="宋体" w:cs="宋体"/>
          <w:szCs w:val="28"/>
        </w:rPr>
        <w:t>.2.4</w:t>
      </w:r>
      <w:r>
        <w:rPr>
          <w:rFonts w:hint="eastAsia" w:ascii="宋体" w:hAnsi="宋体" w:cs="宋体"/>
          <w:szCs w:val="28"/>
        </w:rPr>
        <w:t>应急救援小组</w:t>
      </w:r>
    </w:p>
    <w:p>
      <w:pPr>
        <w:spacing w:after="0" w:line="560" w:lineRule="exact"/>
        <w:ind w:firstLine="560" w:firstLineChars="200"/>
        <w:rPr>
          <w:rFonts w:ascii="宋体" w:hAnsi="宋体" w:cs="宋体"/>
          <w:szCs w:val="28"/>
        </w:rPr>
      </w:pPr>
      <w:r>
        <w:rPr>
          <w:rFonts w:hint="eastAsia" w:ascii="宋体" w:hAnsi="宋体" w:cs="宋体"/>
          <w:szCs w:val="28"/>
        </w:rPr>
        <w:t>（1）</w:t>
      </w:r>
      <w:bookmarkStart w:id="41" w:name="_Hlk101973575"/>
      <w:r>
        <w:rPr>
          <w:rFonts w:hint="eastAsia" w:ascii="宋体" w:hAnsi="宋体" w:cs="宋体"/>
          <w:szCs w:val="28"/>
        </w:rPr>
        <w:t>事故联络组</w:t>
      </w:r>
      <w:bookmarkEnd w:id="41"/>
    </w:p>
    <w:p>
      <w:pPr>
        <w:spacing w:after="0" w:line="560" w:lineRule="exact"/>
        <w:ind w:firstLine="560" w:firstLineChars="200"/>
        <w:rPr>
          <w:rFonts w:ascii="宋体" w:hAnsi="宋体" w:cs="宋体"/>
          <w:szCs w:val="28"/>
        </w:rPr>
      </w:pPr>
      <w:r>
        <w:rPr>
          <w:rFonts w:hint="eastAsia" w:ascii="宋体" w:hAnsi="宋体" w:cs="宋体"/>
          <w:szCs w:val="28"/>
        </w:rPr>
        <w:t xml:space="preserve"> 组长：黄光伟（若不在，可由李柯薇担任）</w:t>
      </w:r>
    </w:p>
    <w:p>
      <w:pPr>
        <w:spacing w:after="0" w:line="560" w:lineRule="exact"/>
        <w:ind w:firstLine="560" w:firstLineChars="200"/>
        <w:rPr>
          <w:rFonts w:ascii="宋体" w:hAnsi="宋体" w:cs="宋体"/>
          <w:szCs w:val="28"/>
        </w:rPr>
      </w:pPr>
      <w:r>
        <w:rPr>
          <w:rFonts w:hint="eastAsia" w:ascii="宋体" w:hAnsi="宋体" w:cs="宋体"/>
          <w:szCs w:val="28"/>
        </w:rPr>
        <w:t>人员： 李柯薇  唐晓飞  宋俊宏  邓代举  洪玉  罗丽华  冯巧娟   赵琼  张春燕  李国庆  吴瑜  吴雨芹</w:t>
      </w:r>
    </w:p>
    <w:p>
      <w:pPr>
        <w:spacing w:after="0" w:line="560" w:lineRule="exact"/>
        <w:ind w:firstLine="560" w:firstLineChars="200"/>
        <w:rPr>
          <w:rFonts w:ascii="宋体" w:hAnsi="宋体" w:cs="宋体"/>
          <w:szCs w:val="28"/>
        </w:rPr>
      </w:pPr>
      <w:r>
        <w:rPr>
          <w:rFonts w:hint="eastAsia" w:ascii="宋体" w:hAnsi="宋体" w:cs="宋体"/>
          <w:szCs w:val="28"/>
        </w:rPr>
        <w:t>任务：负责内部信息的联络沟通和对外信息发布。</w:t>
      </w:r>
    </w:p>
    <w:p>
      <w:pPr>
        <w:spacing w:after="0" w:line="560" w:lineRule="exact"/>
        <w:ind w:firstLine="560" w:firstLineChars="200"/>
        <w:rPr>
          <w:rFonts w:ascii="宋体" w:hAnsi="宋体" w:cs="宋体"/>
          <w:szCs w:val="28"/>
        </w:rPr>
      </w:pPr>
      <w:r>
        <w:rPr>
          <w:rFonts w:hint="eastAsia" w:ascii="宋体" w:hAnsi="宋体" w:cs="宋体"/>
          <w:szCs w:val="28"/>
        </w:rPr>
        <w:t>黄光伟负责对外信息发布。</w:t>
      </w:r>
    </w:p>
    <w:p>
      <w:pPr>
        <w:spacing w:after="0" w:line="560" w:lineRule="exact"/>
        <w:ind w:firstLine="560" w:firstLineChars="200"/>
        <w:rPr>
          <w:rFonts w:ascii="宋体" w:hAnsi="宋体" w:cs="宋体"/>
          <w:szCs w:val="28"/>
        </w:rPr>
      </w:pPr>
      <w:r>
        <w:rPr>
          <w:rFonts w:hint="eastAsia" w:ascii="宋体" w:hAnsi="宋体" w:cs="宋体"/>
          <w:szCs w:val="28"/>
        </w:rPr>
        <w:t>李柯薇负责对内对外应急信息联络。</w:t>
      </w:r>
    </w:p>
    <w:p>
      <w:pPr>
        <w:spacing w:after="0" w:line="560" w:lineRule="exact"/>
        <w:ind w:firstLine="560" w:firstLineChars="200"/>
        <w:rPr>
          <w:rFonts w:ascii="宋体" w:hAnsi="宋体" w:cs="宋体"/>
          <w:szCs w:val="28"/>
        </w:rPr>
      </w:pPr>
      <w:r>
        <w:rPr>
          <w:rFonts w:hint="eastAsia" w:ascii="宋体" w:hAnsi="宋体" w:cs="宋体"/>
          <w:szCs w:val="28"/>
        </w:rPr>
        <w:t>宋俊宏在组长的授权下负责对外媒体新闻抢险信息发布。</w:t>
      </w:r>
    </w:p>
    <w:p>
      <w:pPr>
        <w:spacing w:after="0" w:line="560" w:lineRule="exact"/>
        <w:ind w:firstLine="560" w:firstLineChars="200"/>
        <w:rPr>
          <w:rFonts w:ascii="宋体" w:hAnsi="宋体" w:cs="宋体"/>
          <w:szCs w:val="28"/>
        </w:rPr>
      </w:pPr>
      <w:r>
        <w:rPr>
          <w:rFonts w:hint="eastAsia" w:ascii="宋体" w:hAnsi="宋体" w:cs="宋体"/>
          <w:szCs w:val="28"/>
        </w:rPr>
        <w:t>邓代举负责配气站的信息收集和传达输供气指令。</w:t>
      </w:r>
    </w:p>
    <w:p>
      <w:pPr>
        <w:spacing w:after="0" w:line="560" w:lineRule="exact"/>
        <w:ind w:firstLine="560" w:firstLineChars="200"/>
        <w:rPr>
          <w:rFonts w:ascii="宋体" w:hAnsi="宋体" w:cs="宋体"/>
          <w:szCs w:val="28"/>
        </w:rPr>
      </w:pPr>
      <w:r>
        <w:rPr>
          <w:rFonts w:hint="eastAsia" w:ascii="宋体" w:hAnsi="宋体" w:cs="宋体"/>
          <w:szCs w:val="28"/>
        </w:rPr>
        <w:t>调度室值班员负责应急抢险信息的收集和报告。</w:t>
      </w:r>
    </w:p>
    <w:p>
      <w:pPr>
        <w:spacing w:after="0" w:line="560" w:lineRule="exact"/>
        <w:ind w:firstLine="560" w:firstLineChars="200"/>
        <w:rPr>
          <w:rFonts w:ascii="宋体" w:hAnsi="宋体" w:cs="宋体"/>
          <w:szCs w:val="28"/>
        </w:rPr>
      </w:pPr>
      <w:r>
        <w:rPr>
          <w:rFonts w:hint="eastAsia" w:ascii="宋体" w:hAnsi="宋体" w:cs="宋体"/>
          <w:szCs w:val="28"/>
        </w:rPr>
        <w:t>要求：严格保证事故救援机构运行的顺畅联络；</w:t>
      </w:r>
    </w:p>
    <w:p>
      <w:pPr>
        <w:spacing w:after="0" w:line="560" w:lineRule="exact"/>
        <w:ind w:firstLine="560" w:firstLineChars="200"/>
        <w:rPr>
          <w:rFonts w:ascii="宋体" w:hAnsi="宋体" w:cs="宋体"/>
          <w:szCs w:val="28"/>
        </w:rPr>
      </w:pPr>
      <w:bookmarkStart w:id="42" w:name="_Hlk101973591"/>
      <w:r>
        <w:rPr>
          <w:rFonts w:hint="eastAsia" w:ascii="宋体" w:hAnsi="宋体" w:cs="宋体"/>
          <w:szCs w:val="28"/>
        </w:rPr>
        <w:t>（2）事故现场救援组</w:t>
      </w:r>
      <w:bookmarkEnd w:id="42"/>
    </w:p>
    <w:p>
      <w:pPr>
        <w:spacing w:after="0" w:line="560" w:lineRule="exact"/>
        <w:ind w:firstLine="560" w:firstLineChars="200"/>
        <w:rPr>
          <w:rFonts w:ascii="宋体" w:hAnsi="宋体" w:cs="宋体"/>
          <w:szCs w:val="28"/>
        </w:rPr>
      </w:pPr>
      <w:r>
        <w:rPr>
          <w:rFonts w:hint="eastAsia" w:ascii="宋体" w:hAnsi="宋体" w:cs="宋体"/>
          <w:szCs w:val="28"/>
        </w:rPr>
        <w:t>组  长：李建</w:t>
      </w:r>
      <w:r>
        <w:rPr>
          <w:rFonts w:hint="eastAsia" w:ascii="宋体" w:hAnsi="宋体" w:cs="宋体"/>
          <w:szCs w:val="28"/>
          <w:lang w:val="en-US" w:eastAsia="zh-CN"/>
        </w:rPr>
        <w:t>明</w:t>
      </w:r>
      <w:r>
        <w:rPr>
          <w:rFonts w:hint="eastAsia" w:ascii="宋体" w:hAnsi="宋体" w:cs="宋体"/>
          <w:szCs w:val="28"/>
        </w:rPr>
        <w:t xml:space="preserve">（若不在，可由何建辉担任） </w:t>
      </w:r>
    </w:p>
    <w:p>
      <w:pPr>
        <w:spacing w:after="0" w:line="560" w:lineRule="exact"/>
        <w:ind w:firstLine="560" w:firstLineChars="200"/>
        <w:rPr>
          <w:rFonts w:ascii="宋体" w:hAnsi="宋体" w:cs="宋体"/>
          <w:szCs w:val="28"/>
        </w:rPr>
      </w:pPr>
      <w:r>
        <w:rPr>
          <w:rFonts w:hint="eastAsia" w:ascii="宋体" w:hAnsi="宋体" w:cs="宋体"/>
          <w:szCs w:val="28"/>
        </w:rPr>
        <w:t>副组长：何建辉（若不在，可由苟文担任）</w:t>
      </w:r>
    </w:p>
    <w:p>
      <w:pPr>
        <w:spacing w:after="0" w:line="560" w:lineRule="exact"/>
        <w:ind w:firstLine="560" w:firstLineChars="200"/>
        <w:rPr>
          <w:rFonts w:hint="default" w:ascii="宋体" w:hAnsi="宋体" w:eastAsia="宋体" w:cs="宋体"/>
          <w:color w:val="auto"/>
          <w:szCs w:val="28"/>
          <w:lang w:val="en-US" w:eastAsia="zh-CN"/>
        </w:rPr>
      </w:pPr>
      <w:r>
        <w:rPr>
          <w:rFonts w:hint="eastAsia" w:ascii="宋体" w:hAnsi="宋体" w:cs="宋体"/>
          <w:color w:val="auto"/>
          <w:szCs w:val="28"/>
        </w:rPr>
        <w:t>成员：郑宇卓 李果 苟文</w:t>
      </w:r>
      <w:r>
        <w:rPr>
          <w:rFonts w:hint="eastAsia" w:ascii="宋体" w:hAnsi="宋体" w:cs="宋体"/>
          <w:color w:val="auto"/>
          <w:szCs w:val="28"/>
          <w:lang w:val="en-US" w:eastAsia="zh-CN"/>
        </w:rPr>
        <w:t xml:space="preserve"> </w:t>
      </w:r>
      <w:r>
        <w:rPr>
          <w:rFonts w:hint="eastAsia" w:ascii="宋体" w:hAnsi="宋体" w:cs="宋体"/>
          <w:color w:val="auto"/>
          <w:szCs w:val="28"/>
        </w:rPr>
        <w:t>李鑫 刘刚 郑志刚  刘健 罗刚  石津榜 杨国波</w:t>
      </w:r>
      <w:r>
        <w:rPr>
          <w:rFonts w:hint="eastAsia" w:ascii="宋体" w:hAnsi="宋体" w:cs="宋体"/>
          <w:color w:val="auto"/>
          <w:szCs w:val="28"/>
          <w:lang w:val="en-US" w:eastAsia="zh-CN"/>
        </w:rPr>
        <w:t xml:space="preserve"> </w:t>
      </w:r>
      <w:r>
        <w:rPr>
          <w:rFonts w:hint="eastAsia" w:ascii="宋体" w:hAnsi="宋体" w:cs="宋体"/>
          <w:color w:val="auto"/>
          <w:szCs w:val="28"/>
        </w:rPr>
        <w:t>何刚 陈汶建  范树伟 蒲焕辉 杨</w:t>
      </w:r>
      <w:r>
        <w:rPr>
          <w:rFonts w:hint="eastAsia" w:ascii="宋体" w:hAnsi="宋体" w:cs="宋体"/>
          <w:color w:val="auto"/>
          <w:szCs w:val="28"/>
          <w:lang w:val="en-US" w:eastAsia="zh-CN"/>
        </w:rPr>
        <w:t>竞</w:t>
      </w:r>
      <w:r>
        <w:rPr>
          <w:rFonts w:hint="eastAsia" w:ascii="宋体" w:hAnsi="宋体" w:cs="宋体"/>
          <w:color w:val="auto"/>
          <w:szCs w:val="28"/>
        </w:rPr>
        <w:t>智  王进 涂发生  刘红 徐旸 汪峰毅 陈治 杜雄林 杜剑锋 杨波 蒲凌燕 姜大明 张杰 马钰禧 任超 王淏 李锐 马林 曹振华 冯斌 赵洪斌 刘冠</w:t>
      </w:r>
      <w:r>
        <w:rPr>
          <w:rFonts w:hint="eastAsia" w:ascii="宋体" w:hAnsi="宋体" w:cs="宋体"/>
          <w:color w:val="auto"/>
          <w:szCs w:val="28"/>
          <w:lang w:val="en-US" w:eastAsia="zh-CN"/>
        </w:rPr>
        <w:t xml:space="preserve">宏 </w:t>
      </w:r>
      <w:r>
        <w:rPr>
          <w:rFonts w:hint="eastAsia" w:ascii="宋体" w:hAnsi="宋体" w:cs="宋体"/>
          <w:color w:val="auto"/>
          <w:szCs w:val="28"/>
        </w:rPr>
        <w:t>罗斌</w:t>
      </w:r>
      <w:r>
        <w:rPr>
          <w:rFonts w:hint="eastAsia" w:ascii="宋体" w:hAnsi="宋体" w:cs="宋体"/>
          <w:color w:val="auto"/>
          <w:szCs w:val="28"/>
          <w:lang w:val="en-US" w:eastAsia="zh-CN"/>
        </w:rPr>
        <w:t xml:space="preserve">  </w:t>
      </w:r>
      <w:r>
        <w:rPr>
          <w:rFonts w:hint="eastAsia" w:ascii="宋体" w:hAnsi="宋体" w:cs="宋体"/>
          <w:color w:val="auto"/>
          <w:szCs w:val="28"/>
        </w:rPr>
        <w:t>刘健</w:t>
      </w:r>
      <w:r>
        <w:rPr>
          <w:rFonts w:hint="eastAsia" w:ascii="宋体" w:hAnsi="宋体" w:cs="宋体"/>
          <w:color w:val="auto"/>
          <w:szCs w:val="28"/>
          <w:lang w:val="en-US" w:eastAsia="zh-CN"/>
        </w:rPr>
        <w:t xml:space="preserve"> </w:t>
      </w:r>
      <w:r>
        <w:rPr>
          <w:rFonts w:hint="eastAsia" w:ascii="宋体" w:hAnsi="宋体" w:cs="宋体"/>
          <w:color w:val="auto"/>
          <w:szCs w:val="28"/>
        </w:rPr>
        <w:t xml:space="preserve">张小龙 </w:t>
      </w:r>
      <w:r>
        <w:rPr>
          <w:rFonts w:hint="eastAsia" w:ascii="宋体" w:hAnsi="宋体" w:cs="宋体"/>
          <w:color w:val="auto"/>
          <w:szCs w:val="28"/>
          <w:lang w:val="en-US" w:eastAsia="zh-CN"/>
        </w:rPr>
        <w:t xml:space="preserve"> </w:t>
      </w:r>
      <w:r>
        <w:rPr>
          <w:rFonts w:hint="eastAsia" w:ascii="宋体" w:hAnsi="宋体" w:cs="宋体"/>
          <w:color w:val="auto"/>
          <w:szCs w:val="28"/>
        </w:rPr>
        <w:t>赵兴壮</w:t>
      </w:r>
      <w:r>
        <w:rPr>
          <w:rFonts w:hint="eastAsia" w:ascii="宋体" w:hAnsi="宋体" w:cs="宋体"/>
          <w:color w:val="auto"/>
          <w:szCs w:val="28"/>
          <w:lang w:val="en-US" w:eastAsia="zh-CN"/>
        </w:rPr>
        <w:t xml:space="preserve"> </w:t>
      </w:r>
      <w:r>
        <w:rPr>
          <w:rFonts w:hint="eastAsia" w:ascii="宋体" w:hAnsi="宋体" w:cs="宋体"/>
          <w:color w:val="auto"/>
          <w:szCs w:val="28"/>
        </w:rPr>
        <w:t>温国喜</w:t>
      </w:r>
      <w:r>
        <w:rPr>
          <w:rFonts w:hint="eastAsia" w:ascii="宋体" w:hAnsi="宋体" w:cs="宋体"/>
          <w:color w:val="auto"/>
          <w:szCs w:val="28"/>
          <w:lang w:val="en-US" w:eastAsia="zh-CN"/>
        </w:rPr>
        <w:t xml:space="preserve">  </w:t>
      </w:r>
      <w:r>
        <w:rPr>
          <w:rFonts w:hint="eastAsia" w:ascii="宋体" w:hAnsi="宋体" w:cs="宋体"/>
          <w:color w:val="auto"/>
          <w:szCs w:val="28"/>
        </w:rPr>
        <w:t>杜雄</w:t>
      </w:r>
      <w:r>
        <w:rPr>
          <w:rFonts w:hint="eastAsia" w:ascii="宋体" w:hAnsi="宋体" w:cs="宋体"/>
          <w:color w:val="auto"/>
          <w:szCs w:val="28"/>
          <w:lang w:val="en-US" w:eastAsia="zh-CN"/>
        </w:rPr>
        <w:t xml:space="preserve">  </w:t>
      </w:r>
      <w:r>
        <w:rPr>
          <w:rFonts w:hint="eastAsia" w:ascii="宋体" w:hAnsi="宋体" w:cs="宋体"/>
          <w:color w:val="auto"/>
          <w:szCs w:val="28"/>
        </w:rPr>
        <w:t xml:space="preserve">谢绍功 </w:t>
      </w:r>
    </w:p>
    <w:p>
      <w:pPr>
        <w:spacing w:after="0" w:line="560" w:lineRule="exact"/>
        <w:ind w:firstLine="560" w:firstLineChars="200"/>
        <w:rPr>
          <w:rFonts w:ascii="宋体" w:hAnsi="宋体" w:cs="宋体"/>
          <w:color w:val="auto"/>
          <w:szCs w:val="28"/>
        </w:rPr>
      </w:pPr>
      <w:r>
        <w:rPr>
          <w:rFonts w:hint="eastAsia" w:ascii="宋体" w:hAnsi="宋体" w:cs="宋体"/>
          <w:color w:val="auto"/>
          <w:szCs w:val="28"/>
        </w:rPr>
        <w:t>气源截断组：</w:t>
      </w:r>
      <w:r>
        <w:rPr>
          <w:rFonts w:hint="eastAsia" w:ascii="宋体" w:hAnsi="宋体" w:cs="宋体"/>
          <w:color w:val="auto"/>
          <w:szCs w:val="28"/>
          <w:lang w:eastAsia="zh-CN"/>
        </w:rPr>
        <w:t>涂发生</w:t>
      </w:r>
      <w:r>
        <w:rPr>
          <w:rFonts w:hint="eastAsia" w:ascii="宋体" w:hAnsi="宋体" w:cs="宋体"/>
          <w:color w:val="auto"/>
          <w:szCs w:val="28"/>
          <w:lang w:val="en-US" w:eastAsia="zh-CN"/>
        </w:rPr>
        <w:t xml:space="preserve">  </w:t>
      </w:r>
      <w:r>
        <w:rPr>
          <w:rFonts w:hint="eastAsia" w:ascii="宋体" w:hAnsi="宋体" w:cs="宋体"/>
          <w:color w:val="auto"/>
          <w:szCs w:val="28"/>
        </w:rPr>
        <w:t xml:space="preserve">陈汶建 </w:t>
      </w:r>
    </w:p>
    <w:p>
      <w:pPr>
        <w:spacing w:after="0" w:line="560" w:lineRule="exact"/>
        <w:ind w:firstLine="560" w:firstLineChars="200"/>
        <w:rPr>
          <w:rFonts w:ascii="宋体" w:hAnsi="宋体" w:cs="宋体"/>
          <w:color w:val="auto"/>
          <w:szCs w:val="28"/>
        </w:rPr>
      </w:pPr>
      <w:r>
        <w:rPr>
          <w:rFonts w:hint="eastAsia" w:ascii="宋体" w:hAnsi="宋体" w:cs="宋体"/>
          <w:color w:val="auto"/>
          <w:szCs w:val="28"/>
        </w:rPr>
        <w:t>天然气浓度分析员：刘</w:t>
      </w:r>
      <w:r>
        <w:rPr>
          <w:rFonts w:hint="eastAsia" w:ascii="宋体" w:hAnsi="宋体" w:cs="宋体"/>
          <w:color w:val="auto"/>
          <w:szCs w:val="28"/>
          <w:lang w:val="en-US" w:eastAsia="zh-CN"/>
        </w:rPr>
        <w:t xml:space="preserve">  </w:t>
      </w:r>
      <w:r>
        <w:rPr>
          <w:rFonts w:hint="eastAsia" w:ascii="宋体" w:hAnsi="宋体" w:cs="宋体"/>
          <w:color w:val="auto"/>
          <w:szCs w:val="28"/>
        </w:rPr>
        <w:t xml:space="preserve">刚  </w:t>
      </w:r>
    </w:p>
    <w:p>
      <w:pPr>
        <w:spacing w:after="0" w:line="560" w:lineRule="exact"/>
        <w:ind w:firstLine="560" w:firstLineChars="200"/>
        <w:rPr>
          <w:rFonts w:ascii="宋体" w:hAnsi="宋体" w:cs="宋体"/>
          <w:color w:val="auto"/>
          <w:szCs w:val="28"/>
        </w:rPr>
      </w:pPr>
      <w:r>
        <w:rPr>
          <w:rFonts w:hint="eastAsia" w:ascii="宋体" w:hAnsi="宋体" w:cs="宋体"/>
          <w:color w:val="auto"/>
          <w:szCs w:val="28"/>
        </w:rPr>
        <w:t xml:space="preserve">风 向 观  测  员：石津榜  </w:t>
      </w:r>
    </w:p>
    <w:p>
      <w:pPr>
        <w:spacing w:after="0" w:line="560" w:lineRule="exact"/>
        <w:ind w:firstLine="560" w:firstLineChars="200"/>
        <w:rPr>
          <w:rFonts w:ascii="宋体" w:hAnsi="宋体" w:cs="宋体"/>
          <w:color w:val="auto"/>
          <w:szCs w:val="28"/>
        </w:rPr>
      </w:pPr>
      <w:r>
        <w:rPr>
          <w:rFonts w:hint="eastAsia" w:ascii="宋体" w:hAnsi="宋体" w:cs="宋体"/>
          <w:color w:val="auto"/>
          <w:szCs w:val="28"/>
        </w:rPr>
        <w:t xml:space="preserve">灭火组一小组组长：李  鑫     </w:t>
      </w:r>
      <w:r>
        <w:rPr>
          <w:rFonts w:hint="eastAsia" w:ascii="宋体" w:hAnsi="宋体" w:cs="宋体"/>
          <w:color w:val="auto"/>
          <w:szCs w:val="28"/>
          <w:lang w:val="en-US" w:eastAsia="zh-CN"/>
        </w:rPr>
        <w:t xml:space="preserve"> </w:t>
      </w:r>
      <w:r>
        <w:rPr>
          <w:rFonts w:hint="eastAsia" w:ascii="宋体" w:hAnsi="宋体" w:cs="宋体"/>
          <w:color w:val="auto"/>
          <w:szCs w:val="28"/>
        </w:rPr>
        <w:t>成</w:t>
      </w:r>
      <w:r>
        <w:rPr>
          <w:rFonts w:hint="eastAsia" w:ascii="宋体" w:hAnsi="宋体" w:cs="宋体"/>
          <w:color w:val="auto"/>
          <w:szCs w:val="28"/>
          <w:lang w:val="en-US" w:eastAsia="zh-CN"/>
        </w:rPr>
        <w:t xml:space="preserve"> </w:t>
      </w:r>
      <w:r>
        <w:rPr>
          <w:rFonts w:hint="eastAsia" w:ascii="宋体" w:hAnsi="宋体" w:cs="宋体"/>
          <w:color w:val="auto"/>
          <w:szCs w:val="28"/>
        </w:rPr>
        <w:t>员：罗</w:t>
      </w:r>
      <w:r>
        <w:rPr>
          <w:rFonts w:hint="eastAsia" w:ascii="宋体" w:hAnsi="宋体" w:cs="宋体"/>
          <w:color w:val="auto"/>
          <w:szCs w:val="28"/>
          <w:lang w:val="en-US" w:eastAsia="zh-CN"/>
        </w:rPr>
        <w:t xml:space="preserve">  </w:t>
      </w:r>
      <w:r>
        <w:rPr>
          <w:rFonts w:hint="eastAsia" w:ascii="宋体" w:hAnsi="宋体" w:cs="宋体"/>
          <w:color w:val="auto"/>
          <w:szCs w:val="28"/>
        </w:rPr>
        <w:t>刚</w:t>
      </w:r>
      <w:r>
        <w:rPr>
          <w:rFonts w:hint="eastAsia" w:ascii="宋体" w:hAnsi="宋体" w:cs="宋体"/>
          <w:color w:val="auto"/>
          <w:szCs w:val="28"/>
          <w:lang w:val="en-US" w:eastAsia="zh-CN"/>
        </w:rPr>
        <w:t xml:space="preserve">  </w:t>
      </w:r>
      <w:r>
        <w:rPr>
          <w:rFonts w:hint="eastAsia" w:ascii="宋体" w:hAnsi="宋体" w:cs="宋体"/>
          <w:color w:val="auto"/>
          <w:szCs w:val="28"/>
        </w:rPr>
        <w:t>张小龙</w:t>
      </w:r>
      <w:r>
        <w:rPr>
          <w:rFonts w:hint="eastAsia" w:ascii="宋体" w:hAnsi="宋体" w:cs="宋体"/>
          <w:color w:val="auto"/>
          <w:szCs w:val="28"/>
          <w:lang w:val="en-US" w:eastAsia="zh-CN"/>
        </w:rPr>
        <w:t xml:space="preserve">  </w:t>
      </w:r>
      <w:r>
        <w:rPr>
          <w:rFonts w:hint="eastAsia" w:ascii="宋体" w:hAnsi="宋体" w:cs="宋体"/>
          <w:color w:val="auto"/>
          <w:szCs w:val="28"/>
        </w:rPr>
        <w:t>杨</w:t>
      </w:r>
      <w:r>
        <w:rPr>
          <w:rFonts w:hint="eastAsia" w:ascii="宋体" w:hAnsi="宋体" w:cs="宋体"/>
          <w:color w:val="auto"/>
          <w:szCs w:val="28"/>
          <w:lang w:val="en-US" w:eastAsia="zh-CN"/>
        </w:rPr>
        <w:t>竞</w:t>
      </w:r>
      <w:r>
        <w:rPr>
          <w:rFonts w:hint="eastAsia" w:ascii="宋体" w:hAnsi="宋体" w:cs="宋体"/>
          <w:color w:val="auto"/>
          <w:szCs w:val="28"/>
        </w:rPr>
        <w:t>智</w:t>
      </w:r>
    </w:p>
    <w:p>
      <w:pPr>
        <w:spacing w:after="0" w:line="560" w:lineRule="exact"/>
        <w:ind w:firstLine="560" w:firstLineChars="200"/>
        <w:rPr>
          <w:rFonts w:ascii="宋体" w:hAnsi="宋体" w:cs="宋体"/>
          <w:color w:val="auto"/>
          <w:szCs w:val="28"/>
        </w:rPr>
      </w:pPr>
      <w:r>
        <w:rPr>
          <w:rFonts w:hint="eastAsia" w:ascii="宋体" w:hAnsi="宋体" w:cs="宋体"/>
          <w:color w:val="auto"/>
          <w:szCs w:val="28"/>
        </w:rPr>
        <w:t>灭火组二小组组长：苟</w:t>
      </w:r>
      <w:r>
        <w:rPr>
          <w:rFonts w:hint="eastAsia" w:ascii="宋体" w:hAnsi="宋体" w:cs="宋体"/>
          <w:color w:val="auto"/>
          <w:szCs w:val="28"/>
          <w:lang w:val="en-US" w:eastAsia="zh-CN"/>
        </w:rPr>
        <w:t xml:space="preserve">  </w:t>
      </w:r>
      <w:r>
        <w:rPr>
          <w:rFonts w:hint="eastAsia" w:ascii="宋体" w:hAnsi="宋体" w:cs="宋体"/>
          <w:color w:val="auto"/>
          <w:szCs w:val="28"/>
        </w:rPr>
        <w:t>文      成</w:t>
      </w:r>
      <w:r>
        <w:rPr>
          <w:rFonts w:hint="eastAsia" w:ascii="宋体" w:hAnsi="宋体" w:cs="宋体"/>
          <w:color w:val="auto"/>
          <w:szCs w:val="28"/>
          <w:lang w:val="en-US" w:eastAsia="zh-CN"/>
        </w:rPr>
        <w:t xml:space="preserve"> </w:t>
      </w:r>
      <w:r>
        <w:rPr>
          <w:rFonts w:hint="eastAsia" w:ascii="宋体" w:hAnsi="宋体" w:cs="宋体"/>
          <w:color w:val="auto"/>
          <w:szCs w:val="28"/>
        </w:rPr>
        <w:t>员：罗</w:t>
      </w:r>
      <w:r>
        <w:rPr>
          <w:rFonts w:hint="eastAsia" w:ascii="宋体" w:hAnsi="宋体" w:cs="宋体"/>
          <w:color w:val="auto"/>
          <w:szCs w:val="28"/>
          <w:lang w:val="en-US" w:eastAsia="zh-CN"/>
        </w:rPr>
        <w:t xml:space="preserve">  </w:t>
      </w:r>
      <w:r>
        <w:rPr>
          <w:rFonts w:hint="eastAsia" w:ascii="宋体" w:hAnsi="宋体" w:cs="宋体"/>
          <w:color w:val="auto"/>
          <w:szCs w:val="28"/>
        </w:rPr>
        <w:t>斌</w:t>
      </w:r>
      <w:r>
        <w:rPr>
          <w:rFonts w:hint="eastAsia" w:ascii="宋体" w:hAnsi="宋体" w:cs="宋体"/>
          <w:color w:val="auto"/>
          <w:szCs w:val="28"/>
          <w:lang w:val="en-US" w:eastAsia="zh-CN"/>
        </w:rPr>
        <w:t xml:space="preserve">  </w:t>
      </w:r>
      <w:r>
        <w:rPr>
          <w:rFonts w:hint="eastAsia" w:ascii="宋体" w:hAnsi="宋体" w:cs="宋体"/>
          <w:color w:val="auto"/>
          <w:szCs w:val="28"/>
        </w:rPr>
        <w:t>刘</w:t>
      </w:r>
      <w:r>
        <w:rPr>
          <w:rFonts w:hint="eastAsia" w:ascii="宋体" w:hAnsi="宋体" w:cs="宋体"/>
          <w:color w:val="auto"/>
          <w:szCs w:val="28"/>
          <w:lang w:val="en-US" w:eastAsia="zh-CN"/>
        </w:rPr>
        <w:t xml:space="preserve">  </w:t>
      </w:r>
      <w:r>
        <w:rPr>
          <w:rFonts w:hint="eastAsia" w:ascii="宋体" w:hAnsi="宋体" w:cs="宋体"/>
          <w:color w:val="auto"/>
          <w:szCs w:val="28"/>
        </w:rPr>
        <w:t>健</w:t>
      </w:r>
      <w:r>
        <w:rPr>
          <w:rFonts w:hint="eastAsia" w:ascii="宋体" w:hAnsi="宋体" w:cs="宋体"/>
          <w:color w:val="auto"/>
          <w:szCs w:val="28"/>
          <w:lang w:val="en-US" w:eastAsia="zh-CN"/>
        </w:rPr>
        <w:t xml:space="preserve">  </w:t>
      </w:r>
      <w:r>
        <w:rPr>
          <w:rFonts w:hint="eastAsia" w:ascii="宋体" w:hAnsi="宋体" w:cs="宋体"/>
          <w:color w:val="auto"/>
          <w:szCs w:val="28"/>
        </w:rPr>
        <w:t xml:space="preserve">赵兴壮 </w:t>
      </w:r>
    </w:p>
    <w:p>
      <w:pPr>
        <w:spacing w:after="0" w:line="560" w:lineRule="exact"/>
        <w:ind w:firstLine="560" w:firstLineChars="200"/>
        <w:rPr>
          <w:rFonts w:hint="eastAsia" w:ascii="宋体" w:hAnsi="宋体"/>
          <w:szCs w:val="28"/>
        </w:rPr>
      </w:pPr>
      <w:r>
        <w:rPr>
          <w:rFonts w:hint="eastAsia" w:ascii="宋体" w:hAnsi="宋体" w:cs="宋体"/>
          <w:color w:val="auto"/>
          <w:szCs w:val="28"/>
        </w:rPr>
        <w:t xml:space="preserve">维修抢险组组长：  杨国波  </w:t>
      </w:r>
      <w:r>
        <w:rPr>
          <w:rFonts w:hint="eastAsia" w:ascii="宋体" w:hAnsi="宋体" w:cs="宋体"/>
          <w:color w:val="auto"/>
          <w:szCs w:val="28"/>
          <w:lang w:val="en-US" w:eastAsia="zh-CN"/>
        </w:rPr>
        <w:t xml:space="preserve">   </w:t>
      </w:r>
      <w:r>
        <w:rPr>
          <w:rFonts w:hint="eastAsia" w:ascii="宋体" w:hAnsi="宋体" w:cs="宋体"/>
          <w:color w:val="auto"/>
          <w:szCs w:val="28"/>
        </w:rPr>
        <w:t xml:space="preserve"> 成</w:t>
      </w:r>
      <w:r>
        <w:rPr>
          <w:rFonts w:hint="eastAsia" w:ascii="宋体" w:hAnsi="宋体" w:cs="宋体"/>
          <w:color w:val="auto"/>
          <w:szCs w:val="28"/>
          <w:lang w:val="en-US" w:eastAsia="zh-CN"/>
        </w:rPr>
        <w:t xml:space="preserve"> </w:t>
      </w:r>
      <w:r>
        <w:rPr>
          <w:rFonts w:hint="eastAsia" w:ascii="宋体" w:hAnsi="宋体" w:cs="宋体"/>
          <w:color w:val="auto"/>
          <w:szCs w:val="28"/>
        </w:rPr>
        <w:t>员：温国喜</w:t>
      </w:r>
      <w:r>
        <w:rPr>
          <w:rFonts w:hint="eastAsia" w:ascii="宋体" w:hAnsi="宋体" w:cs="宋体"/>
          <w:color w:val="auto"/>
          <w:szCs w:val="28"/>
          <w:lang w:val="en-US" w:eastAsia="zh-CN"/>
        </w:rPr>
        <w:t xml:space="preserve">  </w:t>
      </w:r>
      <w:r>
        <w:rPr>
          <w:rFonts w:hint="eastAsia" w:ascii="宋体" w:hAnsi="宋体" w:cs="宋体"/>
          <w:color w:val="auto"/>
          <w:szCs w:val="28"/>
        </w:rPr>
        <w:t>杜</w:t>
      </w:r>
      <w:r>
        <w:rPr>
          <w:rFonts w:hint="eastAsia" w:ascii="宋体" w:hAnsi="宋体" w:cs="宋体"/>
          <w:color w:val="auto"/>
          <w:szCs w:val="28"/>
          <w:lang w:val="en-US" w:eastAsia="zh-CN"/>
        </w:rPr>
        <w:t xml:space="preserve">  </w:t>
      </w:r>
      <w:r>
        <w:rPr>
          <w:rFonts w:hint="eastAsia" w:ascii="宋体" w:hAnsi="宋体" w:cs="宋体"/>
          <w:color w:val="auto"/>
          <w:szCs w:val="28"/>
        </w:rPr>
        <w:t>雄</w:t>
      </w:r>
      <w:r>
        <w:rPr>
          <w:rFonts w:hint="eastAsia" w:ascii="宋体" w:hAnsi="宋体" w:cs="宋体"/>
          <w:color w:val="auto"/>
          <w:szCs w:val="28"/>
          <w:lang w:val="en-US" w:eastAsia="zh-CN"/>
        </w:rPr>
        <w:t xml:space="preserve">  </w:t>
      </w:r>
      <w:r>
        <w:rPr>
          <w:rFonts w:hint="eastAsia" w:ascii="宋体" w:hAnsi="宋体" w:cs="宋体"/>
          <w:color w:val="auto"/>
          <w:szCs w:val="28"/>
        </w:rPr>
        <w:t>谢绍功</w:t>
      </w:r>
      <w:r>
        <w:rPr>
          <w:rFonts w:hint="eastAsia" w:ascii="宋体" w:hAnsi="宋体" w:cs="宋体"/>
          <w:color w:val="0000FF"/>
          <w:szCs w:val="28"/>
        </w:rPr>
        <w:t xml:space="preserve"> </w:t>
      </w:r>
      <w:r>
        <w:rPr>
          <w:rFonts w:hint="eastAsia" w:ascii="宋体" w:hAnsi="宋体" w:cs="宋体"/>
          <w:szCs w:val="28"/>
        </w:rPr>
        <w:t xml:space="preserve"> </w:t>
      </w:r>
      <w:r>
        <w:rPr>
          <w:rFonts w:hint="eastAsia" w:ascii="宋体" w:hAnsi="宋体"/>
          <w:szCs w:val="28"/>
        </w:rPr>
        <w:t xml:space="preserve"> </w:t>
      </w:r>
    </w:p>
    <w:p>
      <w:pPr>
        <w:pStyle w:val="2"/>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以上成员的剩余人员均为现场疏散引导人员</w:t>
      </w:r>
    </w:p>
    <w:p>
      <w:pPr>
        <w:spacing w:after="0" w:line="560" w:lineRule="exact"/>
        <w:ind w:firstLine="560" w:firstLineChars="200"/>
        <w:rPr>
          <w:rFonts w:ascii="宋体" w:hAnsi="宋体"/>
          <w:szCs w:val="28"/>
        </w:rPr>
      </w:pPr>
      <w:r>
        <w:rPr>
          <w:rFonts w:hint="eastAsia" w:ascii="宋体" w:hAnsi="宋体"/>
          <w:szCs w:val="28"/>
        </w:rPr>
        <w:t>任  务：在现场救援指挥部的指挥下，负责组织指挥人员安全快速地撤离、现场人员的抢救，实施公司的应急救援，重要、危险物品的转移，并保证外部救援车辆的畅通等。</w:t>
      </w:r>
    </w:p>
    <w:p>
      <w:pPr>
        <w:spacing w:after="0" w:line="560" w:lineRule="exact"/>
        <w:ind w:firstLine="560" w:firstLineChars="200"/>
        <w:rPr>
          <w:rFonts w:hint="eastAsia" w:ascii="宋体" w:hAnsi="宋体"/>
          <w:szCs w:val="28"/>
        </w:rPr>
      </w:pPr>
      <w:r>
        <w:rPr>
          <w:rFonts w:hint="eastAsia" w:ascii="宋体" w:hAnsi="宋体"/>
          <w:szCs w:val="28"/>
        </w:rPr>
        <w:t>要求：</w:t>
      </w:r>
      <w:r>
        <w:rPr>
          <w:rFonts w:hint="eastAsia" w:ascii="宋体" w:hAnsi="宋体"/>
          <w:szCs w:val="28"/>
          <w:lang w:val="en-US" w:eastAsia="zh-CN"/>
        </w:rPr>
        <w:t>1.</w:t>
      </w:r>
      <w:r>
        <w:rPr>
          <w:rFonts w:hint="eastAsia" w:ascii="宋体" w:hAnsi="宋体"/>
          <w:szCs w:val="28"/>
        </w:rPr>
        <w:t>按人员疏散的要求，准确及时地指挥所有的人员撤离现场，在指定地点集合并进行人数清点；清除救援通道上的障碍物，确保通道畅通，开启所有安全通道，保证救援队伍能及时顺利进入出事地点和抢救转移工作；</w:t>
      </w:r>
      <w:bookmarkStart w:id="43" w:name="_Hlk102126715"/>
      <w:r>
        <w:rPr>
          <w:rFonts w:hint="eastAsia" w:ascii="宋体" w:hAnsi="宋体"/>
          <w:szCs w:val="28"/>
        </w:rPr>
        <w:t>按应急救援方案实施公司救援能力范围内的应急救援，在现场指挥的指挥下，有序高效地进行灾害处理的各项工作，如</w:t>
      </w:r>
      <w:bookmarkStart w:id="44" w:name="_Hlk101858358"/>
      <w:r>
        <w:rPr>
          <w:rFonts w:hint="eastAsia" w:ascii="宋体" w:hAnsi="宋体"/>
          <w:szCs w:val="28"/>
        </w:rPr>
        <w:t>停气、灭火、检漏、堵漏、修补、恢复</w:t>
      </w:r>
      <w:bookmarkEnd w:id="44"/>
      <w:r>
        <w:rPr>
          <w:rFonts w:hint="eastAsia" w:ascii="宋体" w:hAnsi="宋体"/>
          <w:szCs w:val="28"/>
        </w:rPr>
        <w:t>等。</w:t>
      </w:r>
      <w:bookmarkEnd w:id="43"/>
      <w:bookmarkStart w:id="45" w:name="_Hlk101972397"/>
    </w:p>
    <w:p>
      <w:pPr>
        <w:spacing w:after="0" w:line="560" w:lineRule="exact"/>
        <w:ind w:firstLine="560" w:firstLineChars="200"/>
        <w:rPr>
          <w:rFonts w:ascii="宋体" w:hAnsi="宋体"/>
          <w:szCs w:val="28"/>
        </w:rPr>
      </w:pPr>
      <w:r>
        <w:rPr>
          <w:rFonts w:hint="eastAsia" w:ascii="宋体" w:hAnsi="宋体"/>
          <w:szCs w:val="28"/>
        </w:rPr>
        <w:t>（3）技术支持组</w:t>
      </w:r>
    </w:p>
    <w:p>
      <w:pPr>
        <w:spacing w:after="0" w:line="560" w:lineRule="exact"/>
        <w:ind w:firstLine="840" w:firstLineChars="300"/>
        <w:rPr>
          <w:rFonts w:ascii="宋体" w:hAnsi="宋体"/>
          <w:szCs w:val="28"/>
        </w:rPr>
      </w:pPr>
      <w:r>
        <w:rPr>
          <w:rFonts w:hint="eastAsia" w:ascii="宋体" w:hAnsi="宋体"/>
          <w:szCs w:val="28"/>
        </w:rPr>
        <w:t>组长：谢仕强  （若不在，可由王荣担任）</w:t>
      </w:r>
    </w:p>
    <w:p>
      <w:pPr>
        <w:spacing w:after="0" w:line="560" w:lineRule="exact"/>
        <w:ind w:firstLine="840" w:firstLineChars="300"/>
        <w:rPr>
          <w:rFonts w:ascii="宋体" w:hAnsi="宋体"/>
          <w:szCs w:val="28"/>
        </w:rPr>
      </w:pPr>
      <w:r>
        <w:rPr>
          <w:rFonts w:hint="eastAsia" w:ascii="宋体" w:hAnsi="宋体"/>
          <w:szCs w:val="28"/>
        </w:rPr>
        <w:t>成员：王荣 汪洋 宋杨  梁家铭  陈俊宇  梁</w:t>
      </w:r>
      <w:r>
        <w:rPr>
          <w:rFonts w:hint="eastAsia" w:ascii="宋体" w:hAnsi="宋体"/>
          <w:szCs w:val="28"/>
          <w:lang w:eastAsia="zh-CN"/>
        </w:rPr>
        <w:t>颢</w:t>
      </w:r>
      <w:r>
        <w:rPr>
          <w:rFonts w:hint="eastAsia" w:ascii="宋体" w:hAnsi="宋体"/>
          <w:szCs w:val="28"/>
        </w:rPr>
        <w:t>钟等主要技术人员。</w:t>
      </w:r>
    </w:p>
    <w:p>
      <w:pPr>
        <w:spacing w:after="0" w:line="560" w:lineRule="exact"/>
        <w:ind w:firstLine="840" w:firstLineChars="300"/>
        <w:rPr>
          <w:rFonts w:ascii="宋体" w:hAnsi="宋体"/>
          <w:szCs w:val="28"/>
        </w:rPr>
      </w:pPr>
      <w:r>
        <w:rPr>
          <w:rFonts w:hint="eastAsia" w:ascii="宋体" w:hAnsi="宋体"/>
          <w:szCs w:val="28"/>
        </w:rPr>
        <w:t>任务：为现场应急处置提供技术支持，提供技术方案。</w:t>
      </w:r>
    </w:p>
    <w:p>
      <w:pPr>
        <w:spacing w:after="0" w:line="560" w:lineRule="exact"/>
        <w:ind w:firstLine="840" w:firstLineChars="300"/>
        <w:rPr>
          <w:rFonts w:ascii="宋体" w:hAnsi="宋体"/>
          <w:szCs w:val="28"/>
        </w:rPr>
      </w:pPr>
      <w:r>
        <w:rPr>
          <w:rFonts w:hint="eastAsia" w:ascii="宋体" w:hAnsi="宋体"/>
          <w:szCs w:val="28"/>
        </w:rPr>
        <w:t>要求：当发生紧急情况时，技术支持组成员立即赶赴现场进行勘察，协助现场指挥进行救援方案的选定或制定；提供需要的技术数据、技术资料等，解答相关技术知识；必要时联络专家支持系统请求相应专家支援，并负责组织执行其技术方案；其他技术支持等。</w:t>
      </w:r>
    </w:p>
    <w:p>
      <w:pPr>
        <w:spacing w:after="0" w:line="560" w:lineRule="exact"/>
        <w:ind w:firstLine="560" w:firstLineChars="200"/>
        <w:rPr>
          <w:rFonts w:ascii="宋体" w:hAnsi="宋体"/>
          <w:szCs w:val="28"/>
        </w:rPr>
      </w:pPr>
      <w:r>
        <w:rPr>
          <w:rFonts w:hint="eastAsia" w:ascii="宋体" w:hAnsi="宋体"/>
          <w:szCs w:val="28"/>
        </w:rPr>
        <w:t>（4）交通组</w:t>
      </w:r>
    </w:p>
    <w:p>
      <w:pPr>
        <w:pStyle w:val="19"/>
        <w:spacing w:after="0" w:line="560" w:lineRule="exact"/>
        <w:ind w:firstLine="560" w:firstLineChars="200"/>
        <w:rPr>
          <w:rFonts w:hint="eastAsia" w:ascii="宋体" w:hAnsi="宋体" w:cs="Times New Roman"/>
          <w:i w:val="0"/>
          <w:sz w:val="28"/>
          <w:szCs w:val="28"/>
        </w:rPr>
      </w:pPr>
      <w:r>
        <w:rPr>
          <w:rFonts w:hint="eastAsia" w:ascii="宋体" w:hAnsi="宋体" w:cs="Times New Roman"/>
          <w:i w:val="0"/>
          <w:sz w:val="28"/>
          <w:szCs w:val="28"/>
        </w:rPr>
        <w:t>组长：鲜红梅 （若不在，可由梁伟林担任）</w:t>
      </w:r>
    </w:p>
    <w:p>
      <w:pPr>
        <w:pStyle w:val="19"/>
        <w:spacing w:after="0" w:line="560" w:lineRule="exact"/>
        <w:ind w:firstLine="560" w:firstLineChars="200"/>
        <w:rPr>
          <w:rFonts w:ascii="宋体" w:hAnsi="宋体" w:cs="Times New Roman"/>
          <w:i w:val="0"/>
          <w:sz w:val="28"/>
          <w:szCs w:val="28"/>
        </w:rPr>
      </w:pPr>
      <w:r>
        <w:rPr>
          <w:rFonts w:hint="eastAsia" w:ascii="宋体" w:hAnsi="宋体" w:cs="Times New Roman"/>
          <w:i w:val="0"/>
          <w:sz w:val="28"/>
          <w:szCs w:val="28"/>
        </w:rPr>
        <w:t>成员：梁伟林</w:t>
      </w:r>
      <w:r>
        <w:rPr>
          <w:rFonts w:hint="eastAsia" w:ascii="宋体" w:hAnsi="宋体" w:cs="Times New Roman"/>
          <w:i w:val="0"/>
          <w:sz w:val="28"/>
          <w:szCs w:val="28"/>
          <w:lang w:val="en-US" w:eastAsia="zh-CN"/>
        </w:rPr>
        <w:t xml:space="preserve">  </w:t>
      </w:r>
      <w:r>
        <w:rPr>
          <w:rFonts w:hint="eastAsia" w:ascii="宋体" w:hAnsi="宋体" w:cs="Times New Roman"/>
          <w:i w:val="0"/>
          <w:sz w:val="28"/>
          <w:szCs w:val="28"/>
        </w:rPr>
        <w:t>杨</w:t>
      </w:r>
      <w:r>
        <w:rPr>
          <w:rFonts w:hint="eastAsia" w:ascii="宋体" w:hAnsi="宋体" w:cs="Times New Roman"/>
          <w:i w:val="0"/>
          <w:sz w:val="28"/>
          <w:szCs w:val="28"/>
          <w:lang w:val="en-US" w:eastAsia="zh-CN"/>
        </w:rPr>
        <w:t xml:space="preserve"> </w:t>
      </w:r>
      <w:r>
        <w:rPr>
          <w:rFonts w:hint="eastAsia" w:ascii="宋体" w:hAnsi="宋体" w:cs="Times New Roman"/>
          <w:i w:val="0"/>
          <w:sz w:val="28"/>
          <w:szCs w:val="28"/>
        </w:rPr>
        <w:t>辉</w:t>
      </w:r>
      <w:r>
        <w:rPr>
          <w:rFonts w:hint="eastAsia" w:ascii="宋体" w:hAnsi="宋体" w:cs="Times New Roman"/>
          <w:i w:val="0"/>
          <w:sz w:val="28"/>
          <w:szCs w:val="28"/>
          <w:lang w:val="en-US" w:eastAsia="zh-CN"/>
        </w:rPr>
        <w:t xml:space="preserve">   </w:t>
      </w:r>
      <w:r>
        <w:rPr>
          <w:rFonts w:hint="eastAsia" w:ascii="宋体" w:hAnsi="宋体" w:cs="Times New Roman"/>
          <w:i w:val="0"/>
          <w:sz w:val="28"/>
          <w:szCs w:val="28"/>
        </w:rPr>
        <w:t>费仲勋</w:t>
      </w:r>
      <w:r>
        <w:rPr>
          <w:rFonts w:hint="eastAsia" w:ascii="宋体" w:hAnsi="宋体" w:cs="Times New Roman"/>
          <w:i w:val="0"/>
          <w:sz w:val="28"/>
          <w:szCs w:val="28"/>
          <w:lang w:val="en-US" w:eastAsia="zh-CN"/>
        </w:rPr>
        <w:t xml:space="preserve">   </w:t>
      </w:r>
      <w:r>
        <w:rPr>
          <w:rFonts w:hint="eastAsia" w:ascii="宋体" w:hAnsi="宋体" w:cs="Times New Roman"/>
          <w:i w:val="0"/>
          <w:sz w:val="28"/>
          <w:szCs w:val="28"/>
        </w:rPr>
        <w:t>范培强</w:t>
      </w:r>
      <w:r>
        <w:rPr>
          <w:rFonts w:hint="eastAsia" w:ascii="宋体" w:hAnsi="宋体" w:cs="Times New Roman"/>
          <w:i w:val="0"/>
          <w:sz w:val="28"/>
          <w:szCs w:val="28"/>
          <w:lang w:val="en-US" w:eastAsia="zh-CN"/>
        </w:rPr>
        <w:t xml:space="preserve">  </w:t>
      </w:r>
      <w:r>
        <w:rPr>
          <w:rFonts w:hint="eastAsia" w:ascii="宋体" w:hAnsi="宋体" w:cs="Times New Roman"/>
          <w:i w:val="0"/>
          <w:sz w:val="28"/>
          <w:szCs w:val="28"/>
        </w:rPr>
        <w:t>赵</w:t>
      </w:r>
      <w:r>
        <w:rPr>
          <w:rFonts w:hint="eastAsia" w:ascii="宋体" w:hAnsi="宋体" w:cs="Times New Roman"/>
          <w:i w:val="0"/>
          <w:sz w:val="28"/>
          <w:szCs w:val="28"/>
          <w:lang w:eastAsia="zh-CN"/>
        </w:rPr>
        <w:t>青</w:t>
      </w:r>
      <w:r>
        <w:rPr>
          <w:rFonts w:hint="eastAsia" w:ascii="宋体" w:hAnsi="宋体" w:cs="Times New Roman"/>
          <w:i w:val="0"/>
          <w:sz w:val="28"/>
          <w:szCs w:val="28"/>
        </w:rPr>
        <w:t>年</w:t>
      </w:r>
      <w:r>
        <w:rPr>
          <w:rFonts w:hint="eastAsia" w:ascii="宋体" w:hAnsi="宋体" w:cs="Times New Roman"/>
          <w:i w:val="0"/>
          <w:sz w:val="28"/>
          <w:szCs w:val="28"/>
          <w:lang w:val="en-US" w:eastAsia="zh-CN"/>
        </w:rPr>
        <w:t xml:space="preserve">  </w:t>
      </w:r>
      <w:r>
        <w:rPr>
          <w:rFonts w:hint="eastAsia" w:ascii="宋体" w:hAnsi="宋体" w:cs="Times New Roman"/>
          <w:i w:val="0"/>
          <w:sz w:val="28"/>
          <w:szCs w:val="28"/>
        </w:rPr>
        <w:t>何勇</w:t>
      </w:r>
      <w:r>
        <w:rPr>
          <w:rFonts w:hint="eastAsia" w:ascii="宋体" w:hAnsi="宋体" w:cs="Times New Roman"/>
          <w:i w:val="0"/>
          <w:sz w:val="28"/>
          <w:szCs w:val="28"/>
          <w:lang w:val="en-US" w:eastAsia="zh-CN"/>
        </w:rPr>
        <w:t xml:space="preserve">  </w:t>
      </w:r>
      <w:r>
        <w:rPr>
          <w:rFonts w:hint="eastAsia" w:ascii="宋体" w:hAnsi="宋体" w:cs="Times New Roman"/>
          <w:i w:val="0"/>
          <w:sz w:val="28"/>
          <w:szCs w:val="28"/>
        </w:rPr>
        <w:t>杨兵</w:t>
      </w:r>
      <w:r>
        <w:rPr>
          <w:rFonts w:hint="eastAsia" w:ascii="宋体" w:hAnsi="宋体" w:cs="Times New Roman"/>
          <w:i w:val="0"/>
          <w:sz w:val="28"/>
          <w:szCs w:val="28"/>
          <w:lang w:val="en-US" w:eastAsia="zh-CN"/>
        </w:rPr>
        <w:t xml:space="preserve">  </w:t>
      </w:r>
      <w:r>
        <w:rPr>
          <w:rFonts w:hint="eastAsia" w:ascii="宋体" w:hAnsi="宋体" w:cs="Times New Roman"/>
          <w:i w:val="0"/>
          <w:sz w:val="28"/>
          <w:szCs w:val="28"/>
        </w:rPr>
        <w:t>欧效辰</w:t>
      </w:r>
      <w:r>
        <w:rPr>
          <w:rFonts w:hint="eastAsia" w:ascii="宋体" w:hAnsi="宋体" w:cs="Times New Roman"/>
          <w:i w:val="0"/>
          <w:sz w:val="28"/>
          <w:szCs w:val="28"/>
          <w:lang w:val="en-US" w:eastAsia="zh-CN"/>
        </w:rPr>
        <w:t xml:space="preserve">  </w:t>
      </w:r>
      <w:r>
        <w:rPr>
          <w:rFonts w:hint="eastAsia" w:ascii="宋体" w:hAnsi="宋体" w:cs="Times New Roman"/>
          <w:i w:val="0"/>
          <w:sz w:val="28"/>
          <w:szCs w:val="28"/>
        </w:rPr>
        <w:t>罗</w:t>
      </w:r>
      <w:r>
        <w:rPr>
          <w:rFonts w:hint="eastAsia" w:ascii="宋体" w:hAnsi="宋体" w:cs="Times New Roman"/>
          <w:i w:val="0"/>
          <w:sz w:val="28"/>
          <w:szCs w:val="28"/>
          <w:lang w:val="en-US" w:eastAsia="zh-CN"/>
        </w:rPr>
        <w:t xml:space="preserve"> </w:t>
      </w:r>
      <w:r>
        <w:rPr>
          <w:rFonts w:hint="eastAsia" w:ascii="宋体" w:hAnsi="宋体" w:cs="Times New Roman"/>
          <w:i w:val="0"/>
          <w:sz w:val="28"/>
          <w:szCs w:val="28"/>
        </w:rPr>
        <w:t>仲</w:t>
      </w:r>
      <w:r>
        <w:rPr>
          <w:rFonts w:hint="eastAsia" w:ascii="宋体" w:hAnsi="宋体" w:cs="Times New Roman"/>
          <w:i w:val="0"/>
          <w:sz w:val="28"/>
          <w:szCs w:val="28"/>
          <w:lang w:val="en-US" w:eastAsia="zh-CN"/>
        </w:rPr>
        <w:t xml:space="preserve"> </w:t>
      </w:r>
      <w:r>
        <w:rPr>
          <w:rFonts w:hint="eastAsia" w:ascii="宋体" w:hAnsi="宋体" w:cs="Times New Roman"/>
          <w:i w:val="0"/>
          <w:sz w:val="28"/>
          <w:szCs w:val="28"/>
        </w:rPr>
        <w:t>罗红斌</w:t>
      </w:r>
    </w:p>
    <w:p>
      <w:pPr>
        <w:pStyle w:val="19"/>
        <w:spacing w:after="0" w:line="560" w:lineRule="exact"/>
        <w:ind w:firstLine="560" w:firstLineChars="200"/>
        <w:rPr>
          <w:rFonts w:ascii="宋体" w:hAnsi="宋体" w:cs="Times New Roman"/>
          <w:i w:val="0"/>
          <w:sz w:val="28"/>
          <w:szCs w:val="28"/>
        </w:rPr>
      </w:pPr>
      <w:r>
        <w:rPr>
          <w:rFonts w:hint="eastAsia" w:ascii="宋体" w:hAnsi="宋体" w:cs="Times New Roman"/>
          <w:i w:val="0"/>
          <w:sz w:val="28"/>
          <w:szCs w:val="28"/>
        </w:rPr>
        <w:t>任务：负责车辆组织和交通引导</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要求：在日常状态下做好应急车辆的调度、管理、维护，在应急状态下，组织好救援车辆，在现场指挥的领导下负责组织交通临时指挥，并引导消防车、救护车到达出事地点，防止车道受阻；当政府专业救援队伍到达后，所有的指挥权交由政府应急救援机构或专业机构负责。</w:t>
      </w:r>
    </w:p>
    <w:p>
      <w:pPr>
        <w:spacing w:after="0" w:line="560" w:lineRule="exact"/>
        <w:ind w:firstLine="560" w:firstLineChars="200"/>
        <w:rPr>
          <w:rFonts w:ascii="宋体" w:hAnsi="宋体" w:cs="宋体"/>
          <w:szCs w:val="28"/>
        </w:rPr>
      </w:pPr>
      <w:r>
        <w:rPr>
          <w:rFonts w:hint="eastAsia" w:ascii="宋体" w:hAnsi="宋体" w:cs="宋体"/>
          <w:szCs w:val="28"/>
        </w:rPr>
        <w:t>（</w:t>
      </w:r>
      <w:r>
        <w:rPr>
          <w:rFonts w:ascii="宋体" w:hAnsi="宋体" w:cs="宋体"/>
          <w:szCs w:val="28"/>
        </w:rPr>
        <w:t>5</w:t>
      </w:r>
      <w:r>
        <w:rPr>
          <w:rFonts w:hint="eastAsia" w:ascii="宋体" w:hAnsi="宋体" w:cs="宋体"/>
          <w:szCs w:val="28"/>
        </w:rPr>
        <w:t>）医疗救护组</w:t>
      </w:r>
    </w:p>
    <w:p>
      <w:pPr>
        <w:pStyle w:val="19"/>
        <w:spacing w:after="0" w:line="560" w:lineRule="exact"/>
        <w:ind w:firstLine="560" w:firstLineChars="200"/>
        <w:rPr>
          <w:rFonts w:hint="eastAsia" w:ascii="宋体" w:hAnsi="宋体" w:cs="Times New Roman"/>
          <w:i w:val="0"/>
          <w:sz w:val="28"/>
          <w:szCs w:val="28"/>
        </w:rPr>
      </w:pPr>
      <w:r>
        <w:rPr>
          <w:rFonts w:hint="eastAsia" w:ascii="宋体" w:hAnsi="宋体" w:eastAsia="宋体" w:cs="宋体"/>
          <w:i w:val="0"/>
          <w:sz w:val="28"/>
          <w:szCs w:val="28"/>
          <w:lang w:val="en-US" w:eastAsia="zh-CN" w:bidi="ar-SA"/>
        </w:rPr>
        <w:t>组长：罗钊  （若不在，可由宋平担任）</w:t>
      </w:r>
    </w:p>
    <w:p>
      <w:pPr>
        <w:spacing w:after="0" w:line="560" w:lineRule="exact"/>
        <w:ind w:firstLine="560" w:firstLineChars="200"/>
        <w:rPr>
          <w:rFonts w:ascii="宋体" w:hAnsi="宋体" w:cs="宋体"/>
          <w:szCs w:val="28"/>
        </w:rPr>
      </w:pPr>
      <w:r>
        <w:rPr>
          <w:rFonts w:hint="eastAsia" w:ascii="宋体" w:hAnsi="宋体" w:cs="宋体"/>
          <w:szCs w:val="28"/>
        </w:rPr>
        <w:t>成员：宋平</w:t>
      </w:r>
      <w:r>
        <w:rPr>
          <w:rFonts w:hint="eastAsia" w:ascii="宋体" w:hAnsi="宋体" w:cs="宋体"/>
          <w:szCs w:val="28"/>
          <w:lang w:val="en-US" w:eastAsia="zh-CN"/>
        </w:rPr>
        <w:t xml:space="preserve"> </w:t>
      </w:r>
      <w:r>
        <w:rPr>
          <w:rFonts w:hint="eastAsia" w:ascii="宋体" w:hAnsi="宋体" w:cs="宋体"/>
          <w:szCs w:val="28"/>
        </w:rPr>
        <w:t>杨龙章</w:t>
      </w:r>
      <w:r>
        <w:rPr>
          <w:rFonts w:hint="eastAsia" w:ascii="宋体" w:hAnsi="宋体" w:cs="宋体"/>
          <w:szCs w:val="28"/>
          <w:lang w:val="en-US" w:eastAsia="zh-CN"/>
        </w:rPr>
        <w:t xml:space="preserve">  </w:t>
      </w:r>
      <w:r>
        <w:rPr>
          <w:rFonts w:hint="eastAsia" w:ascii="宋体" w:hAnsi="宋体" w:cs="宋体"/>
          <w:szCs w:val="28"/>
        </w:rPr>
        <w:t>叶勇远</w:t>
      </w:r>
      <w:r>
        <w:rPr>
          <w:rFonts w:hint="eastAsia" w:ascii="宋体" w:hAnsi="宋体" w:cs="宋体"/>
          <w:szCs w:val="28"/>
          <w:lang w:val="en-US" w:eastAsia="zh-CN"/>
        </w:rPr>
        <w:t xml:space="preserve">  </w:t>
      </w:r>
      <w:r>
        <w:rPr>
          <w:rFonts w:hint="eastAsia" w:ascii="宋体" w:hAnsi="宋体" w:cs="宋体"/>
          <w:szCs w:val="28"/>
        </w:rPr>
        <w:t>罗勇等经营科相关人员。</w:t>
      </w:r>
    </w:p>
    <w:bookmarkEnd w:id="45"/>
    <w:p>
      <w:pPr>
        <w:spacing w:after="0" w:line="560" w:lineRule="exact"/>
        <w:ind w:firstLine="560" w:firstLineChars="200"/>
        <w:rPr>
          <w:rFonts w:ascii="宋体" w:hAnsi="宋体" w:cs="宋体"/>
          <w:szCs w:val="28"/>
        </w:rPr>
      </w:pPr>
      <w:r>
        <w:rPr>
          <w:rFonts w:hint="eastAsia" w:ascii="宋体" w:hAnsi="宋体" w:cs="宋体"/>
          <w:szCs w:val="28"/>
        </w:rPr>
        <w:t>任务：负责医疗人员及物资的组织，开展初期医疗救助。</w:t>
      </w:r>
    </w:p>
    <w:p>
      <w:pPr>
        <w:spacing w:after="0" w:line="560" w:lineRule="exact"/>
        <w:ind w:firstLine="560" w:firstLineChars="200"/>
        <w:rPr>
          <w:rFonts w:hint="eastAsia" w:ascii="宋体" w:hAnsi="宋体" w:cs="宋体"/>
          <w:szCs w:val="28"/>
        </w:rPr>
      </w:pPr>
      <w:r>
        <w:rPr>
          <w:rFonts w:hint="eastAsia" w:ascii="宋体" w:hAnsi="宋体" w:cs="宋体"/>
          <w:szCs w:val="28"/>
        </w:rPr>
        <w:t>要求：负责抢救事件现场的受伤人员，拔打急救电话，对伤员进行紧急的简单包扎，止血或人工呼吸，以最快速度将伤员送到就近医院抢救，或协助专业医疗单位救助伤员。</w:t>
      </w:r>
    </w:p>
    <w:p>
      <w:pPr>
        <w:pStyle w:val="2"/>
      </w:pPr>
      <w:r>
        <w:rPr>
          <w:rFonts w:hint="eastAsia" w:ascii="宋体" w:hAnsi="宋体"/>
          <w:szCs w:val="28"/>
          <w:lang w:val="en-US" w:eastAsia="zh-CN"/>
        </w:rPr>
        <w:t>（6）当以上小组成员若因事不能赶到现场时，由组长临时指定其他人员履行职责。</w:t>
      </w:r>
    </w:p>
    <w:p>
      <w:pPr>
        <w:pStyle w:val="6"/>
      </w:pPr>
      <w:bookmarkStart w:id="46" w:name="_Toc101798262"/>
      <w:r>
        <w:rPr>
          <w:rFonts w:hint="eastAsia"/>
        </w:rPr>
        <w:t>3 应急响应</w:t>
      </w:r>
      <w:bookmarkEnd w:id="29"/>
      <w:bookmarkEnd w:id="30"/>
      <w:bookmarkEnd w:id="31"/>
      <w:bookmarkEnd w:id="32"/>
      <w:bookmarkEnd w:id="33"/>
      <w:bookmarkEnd w:id="34"/>
      <w:bookmarkEnd w:id="46"/>
    </w:p>
    <w:p>
      <w:pPr>
        <w:pStyle w:val="7"/>
      </w:pPr>
      <w:bookmarkStart w:id="47" w:name="_Toc101798263"/>
      <w:bookmarkStart w:id="48" w:name="_Toc311752127"/>
      <w:bookmarkStart w:id="49" w:name="_Toc309770139"/>
      <w:bookmarkStart w:id="50" w:name="_Toc311735548"/>
      <w:bookmarkStart w:id="51" w:name="_Toc505002431"/>
      <w:bookmarkStart w:id="52" w:name="_Toc301303847"/>
      <w:r>
        <w:rPr>
          <w:rFonts w:hint="eastAsia"/>
        </w:rPr>
        <w:t>3.1信息报告</w:t>
      </w:r>
      <w:bookmarkEnd w:id="47"/>
    </w:p>
    <w:p>
      <w:pPr>
        <w:spacing w:after="0" w:line="560" w:lineRule="exact"/>
        <w:ind w:firstLine="560" w:firstLineChars="200"/>
        <w:rPr>
          <w:rFonts w:cs="宋体" w:asciiTheme="minorEastAsia" w:hAnsiTheme="minorEastAsia" w:eastAsiaTheme="minorEastAsia"/>
          <w:szCs w:val="28"/>
        </w:rPr>
      </w:pPr>
      <w:r>
        <w:rPr>
          <w:rFonts w:hint="eastAsia" w:cs="宋体" w:asciiTheme="minorEastAsia" w:hAnsiTheme="minorEastAsia" w:eastAsiaTheme="minorEastAsia"/>
          <w:szCs w:val="28"/>
        </w:rPr>
        <w:t>3.1.1信息接报</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1</w:t>
      </w:r>
      <w:r>
        <w:rPr>
          <w:rFonts w:asciiTheme="minorEastAsia" w:hAnsiTheme="minorEastAsia" w:eastAsiaTheme="minorEastAsia"/>
          <w:i w:val="0"/>
          <w:iCs/>
          <w:sz w:val="28"/>
          <w:szCs w:val="28"/>
        </w:rPr>
        <w:t>.</w:t>
      </w:r>
      <w:r>
        <w:rPr>
          <w:rFonts w:hint="eastAsia" w:asciiTheme="minorEastAsia" w:hAnsiTheme="minorEastAsia" w:eastAsiaTheme="minorEastAsia"/>
          <w:i w:val="0"/>
          <w:iCs/>
          <w:sz w:val="28"/>
          <w:szCs w:val="28"/>
        </w:rPr>
        <w:t>信息接报</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险情信息最早的接报或发现人员，应当立即通知周围人员（或提醒报险人），并向现场负责人员或公司值班室（24小时应急值守办公室电话</w:t>
      </w:r>
      <w:r>
        <w:rPr>
          <w:rFonts w:hint="eastAsia" w:cs="Times New Roman" w:asciiTheme="minorEastAsia" w:hAnsiTheme="minorEastAsia" w:eastAsiaTheme="minorEastAsia"/>
          <w:i w:val="0"/>
          <w:kern w:val="2"/>
          <w:sz w:val="28"/>
          <w:szCs w:val="28"/>
        </w:rPr>
        <w:t>5522874</w:t>
      </w:r>
      <w:r>
        <w:rPr>
          <w:rFonts w:hint="eastAsia" w:asciiTheme="minorEastAsia" w:hAnsiTheme="minorEastAsia" w:eastAsiaTheme="minorEastAsia"/>
          <w:i w:val="0"/>
          <w:iCs/>
          <w:sz w:val="28"/>
          <w:szCs w:val="28"/>
        </w:rPr>
        <w:t>）报告，接报的值班人员或现场负责人员应详细询问了解现场情况，对事故信息进行初步研判，属于正常维修的交办事发责任部门或相关部门进行处置；具备事故响应（预警）条件立即按3</w:t>
      </w:r>
      <w:r>
        <w:rPr>
          <w:rFonts w:asciiTheme="minorEastAsia" w:hAnsiTheme="minorEastAsia" w:eastAsiaTheme="minorEastAsia"/>
          <w:i w:val="0"/>
          <w:iCs/>
          <w:sz w:val="28"/>
          <w:szCs w:val="28"/>
        </w:rPr>
        <w:t>.1.2</w:t>
      </w:r>
      <w:r>
        <w:rPr>
          <w:rFonts w:hint="eastAsia" w:asciiTheme="minorEastAsia" w:hAnsiTheme="minorEastAsia" w:eastAsiaTheme="minorEastAsia"/>
          <w:i w:val="0"/>
          <w:iCs/>
          <w:sz w:val="28"/>
          <w:szCs w:val="28"/>
        </w:rPr>
        <w:t>的要求进行报告处置。对于造成严重人员伤亡、财产损失、社会影响且十分紧急的事故信息，值班人员或生产现场管理人员可直接向公司应急指挥部指挥长以及上级政府部门报告。</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2．信息初报</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发生人员伤亡、较大财产损失、或造成较大社会影响的事故，</w:t>
      </w:r>
      <w:bookmarkStart w:id="53" w:name="_Hlk101774124"/>
      <w:r>
        <w:rPr>
          <w:rFonts w:hint="eastAsia" w:asciiTheme="minorEastAsia" w:hAnsiTheme="minorEastAsia" w:eastAsiaTheme="minorEastAsia"/>
          <w:i w:val="0"/>
          <w:iCs/>
          <w:sz w:val="28"/>
          <w:szCs w:val="28"/>
        </w:rPr>
        <w:t>应急指挥部指挥长应当于1小时内向南部县住建局、南部县应急管理局有关部门报告。未造成人员伤亡、较大财产损失和社会影响较小的事故</w:t>
      </w:r>
      <w:bookmarkStart w:id="54" w:name="_Hlk101774265"/>
      <w:r>
        <w:rPr>
          <w:rFonts w:hint="eastAsia" w:asciiTheme="minorEastAsia" w:hAnsiTheme="minorEastAsia" w:eastAsiaTheme="minorEastAsia"/>
          <w:i w:val="0"/>
          <w:iCs/>
          <w:sz w:val="28"/>
          <w:szCs w:val="28"/>
        </w:rPr>
        <w:t>由指挥部指派人员或事故联络组</w:t>
      </w:r>
      <w:bookmarkEnd w:id="54"/>
      <w:r>
        <w:rPr>
          <w:rFonts w:hint="eastAsia" w:asciiTheme="minorEastAsia" w:hAnsiTheme="minorEastAsia" w:eastAsiaTheme="minorEastAsia"/>
          <w:i w:val="0"/>
          <w:iCs/>
          <w:sz w:val="28"/>
          <w:szCs w:val="28"/>
        </w:rPr>
        <w:t>按政府要求进行报告</w:t>
      </w:r>
      <w:bookmarkEnd w:id="53"/>
      <w:r>
        <w:rPr>
          <w:rFonts w:hint="eastAsia" w:asciiTheme="minorEastAsia" w:hAnsiTheme="minorEastAsia" w:eastAsiaTheme="minorEastAsia"/>
          <w:i w:val="0"/>
          <w:iCs/>
          <w:sz w:val="28"/>
          <w:szCs w:val="28"/>
        </w:rPr>
        <w:t xml:space="preserve">。报告内容如下： </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（1）本企业概况；</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（2）事故发生的时间、地点以及事故现场情况；</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（3）事故的简要经过；</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（4）事故已经造成或者可能造成的伤亡人数（包括下落不明的人数）和初步估计的直接经济损失；</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（5）已经采取的应急处置措施；</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（6）其他应当报告的情况。</w:t>
      </w:r>
    </w:p>
    <w:p>
      <w:pPr>
        <w:shd w:val="clear" w:color="auto" w:fill="FFFFFF"/>
        <w:adjustRightInd/>
        <w:snapToGrid/>
        <w:spacing w:after="0" w:line="560" w:lineRule="exact"/>
        <w:ind w:firstLine="560" w:firstLineChars="200"/>
        <w:rPr>
          <w:rFonts w:cs="宋体" w:asciiTheme="minorEastAsia" w:hAnsiTheme="minorEastAsia" w:eastAsiaTheme="minorEastAsia"/>
          <w:iCs/>
          <w:szCs w:val="28"/>
        </w:rPr>
      </w:pPr>
      <w:r>
        <w:rPr>
          <w:rFonts w:hint="eastAsia" w:cs="宋体" w:asciiTheme="minorEastAsia" w:hAnsiTheme="minorEastAsia" w:eastAsiaTheme="minorEastAsia"/>
          <w:iCs/>
          <w:szCs w:val="28"/>
        </w:rPr>
        <w:t>3．信息补报</w:t>
      </w:r>
    </w:p>
    <w:p>
      <w:pPr>
        <w:shd w:val="clear" w:color="auto" w:fill="FFFFFF"/>
        <w:adjustRightInd/>
        <w:snapToGrid/>
        <w:spacing w:after="0" w:line="560" w:lineRule="exact"/>
        <w:ind w:firstLine="560" w:firstLineChars="200"/>
        <w:rPr>
          <w:rFonts w:cs="宋体" w:asciiTheme="minorEastAsia" w:hAnsiTheme="minorEastAsia" w:eastAsiaTheme="minorEastAsia"/>
          <w:iCs/>
          <w:szCs w:val="28"/>
        </w:rPr>
      </w:pPr>
      <w:r>
        <w:rPr>
          <w:rFonts w:cs="宋体" w:asciiTheme="minorEastAsia" w:hAnsiTheme="minorEastAsia" w:eastAsiaTheme="minorEastAsia"/>
          <w:iCs/>
          <w:szCs w:val="28"/>
        </w:rPr>
        <w:t>事故报告后出现新情况的，应当及时补报。</w:t>
      </w:r>
      <w:bookmarkStart w:id="55" w:name="_Hlk101774495"/>
      <w:r>
        <w:rPr>
          <w:rFonts w:hint="eastAsia" w:cs="宋体" w:asciiTheme="minorEastAsia" w:hAnsiTheme="minorEastAsia" w:eastAsiaTheme="minorEastAsia"/>
          <w:iCs/>
          <w:szCs w:val="28"/>
        </w:rPr>
        <w:t>补报由指挥部指派人员或事故联络组负责。</w:t>
      </w:r>
    </w:p>
    <w:bookmarkEnd w:id="55"/>
    <w:p>
      <w:pPr>
        <w:shd w:val="clear" w:color="auto" w:fill="FFFFFF"/>
        <w:spacing w:after="0" w:line="560" w:lineRule="exact"/>
        <w:ind w:firstLine="560" w:firstLineChars="200"/>
        <w:rPr>
          <w:rFonts w:cs="宋体" w:asciiTheme="minorEastAsia" w:hAnsiTheme="minorEastAsia" w:eastAsiaTheme="minorEastAsia"/>
          <w:iCs/>
          <w:szCs w:val="28"/>
        </w:rPr>
      </w:pPr>
      <w:r>
        <w:rPr>
          <w:rFonts w:cs="宋体" w:asciiTheme="minorEastAsia" w:hAnsiTheme="minorEastAsia" w:eastAsiaTheme="minorEastAsia"/>
          <w:iCs/>
          <w:szCs w:val="28"/>
        </w:rPr>
        <w:t>自事故发生之日起30日内，事故造成的伤亡人数发生变化的，应当及时补报。</w:t>
      </w:r>
      <w:r>
        <w:fldChar w:fldCharType="begin"/>
      </w:r>
      <w:r>
        <w:instrText xml:space="preserve"> HYPERLINK "https://baike.baidu.com/item/%E9%81%93%E8%B7%AF%E4%BA%A4%E9%80%9A%E4%BA%8B%E6%95%85" \t "_blank" </w:instrText>
      </w:r>
      <w:r>
        <w:fldChar w:fldCharType="separate"/>
      </w:r>
      <w:r>
        <w:rPr>
          <w:rFonts w:cs="宋体" w:asciiTheme="minorEastAsia" w:hAnsiTheme="minorEastAsia" w:eastAsiaTheme="minorEastAsia"/>
          <w:iCs/>
          <w:szCs w:val="28"/>
        </w:rPr>
        <w:t>道路交通事故</w:t>
      </w:r>
      <w:r>
        <w:rPr>
          <w:rFonts w:cs="宋体" w:asciiTheme="minorEastAsia" w:hAnsiTheme="minorEastAsia" w:eastAsiaTheme="minorEastAsia"/>
          <w:iCs/>
          <w:szCs w:val="28"/>
        </w:rPr>
        <w:fldChar w:fldCharType="end"/>
      </w:r>
      <w:r>
        <w:rPr>
          <w:rFonts w:cs="宋体" w:asciiTheme="minorEastAsia" w:hAnsiTheme="minorEastAsia" w:eastAsiaTheme="minorEastAsia"/>
          <w:iCs/>
          <w:szCs w:val="28"/>
        </w:rPr>
        <w:t>、火灾事故自发生之日起7日内，事故造成的伤亡人数发生变化的，应当及时补报。</w:t>
      </w:r>
    </w:p>
    <w:p>
      <w:pPr>
        <w:pStyle w:val="19"/>
        <w:spacing w:after="0" w:line="560" w:lineRule="exact"/>
        <w:ind w:firstLine="560" w:firstLineChars="200"/>
        <w:rPr>
          <w:rFonts w:asciiTheme="minorEastAsia" w:hAnsiTheme="minorEastAsia" w:eastAsiaTheme="minorEastAsia"/>
          <w:i w:val="0"/>
          <w:iCs/>
          <w:sz w:val="28"/>
          <w:szCs w:val="28"/>
        </w:rPr>
      </w:pPr>
      <w:r>
        <w:rPr>
          <w:rFonts w:asciiTheme="minorEastAsia" w:hAnsiTheme="minorEastAsia" w:eastAsiaTheme="minorEastAsia"/>
          <w:i w:val="0"/>
          <w:iCs/>
          <w:sz w:val="28"/>
          <w:szCs w:val="28"/>
        </w:rPr>
        <w:t>4</w:t>
      </w:r>
      <w:r>
        <w:rPr>
          <w:rFonts w:hint="eastAsia" w:asciiTheme="minorEastAsia" w:hAnsiTheme="minorEastAsia" w:eastAsiaTheme="minorEastAsia"/>
          <w:i w:val="0"/>
          <w:iCs/>
          <w:sz w:val="28"/>
          <w:szCs w:val="28"/>
        </w:rPr>
        <w:t>．信息传递</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（1）事故发现者信息传递采取电话、短信、通讯软件或当面报告的方式。</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（2）本企业内部信息传递采取电话、短信、通讯软件、办公软件或当面报告等联络方式。</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（3）本企业向上级主管部门、地方人民政府传递信息采取电话、短信、通讯软件、传真、电子邮箱、会议等传递方式。</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（4）事故信息应逐级传递，必要时可越级传递。要求信息传递清晰准确。</w:t>
      </w:r>
    </w:p>
    <w:p>
      <w:pPr>
        <w:pStyle w:val="19"/>
        <w:spacing w:after="0" w:line="560" w:lineRule="exact"/>
        <w:ind w:firstLine="560" w:firstLineChars="200"/>
        <w:rPr>
          <w:rFonts w:asciiTheme="minorEastAsia" w:hAnsiTheme="minorEastAsia" w:eastAsiaTheme="minorEastAsia"/>
          <w:i w:val="0"/>
          <w:iCs/>
          <w:sz w:val="28"/>
          <w:szCs w:val="28"/>
        </w:rPr>
      </w:pPr>
      <w:r>
        <w:rPr>
          <w:rFonts w:hint="eastAsia" w:asciiTheme="minorEastAsia" w:hAnsiTheme="minorEastAsia" w:eastAsiaTheme="minorEastAsia"/>
          <w:i w:val="0"/>
          <w:iCs/>
          <w:sz w:val="28"/>
          <w:szCs w:val="28"/>
        </w:rPr>
        <w:t>（5）事故信息传递程序如下图所示：</w:t>
      </w:r>
    </w:p>
    <w:p>
      <w:pPr>
        <w:pStyle w:val="19"/>
        <w:spacing w:after="0" w:line="560" w:lineRule="exact"/>
        <w:ind w:firstLine="420" w:firstLineChars="200"/>
      </w:pPr>
    </w:p>
    <w:p>
      <w:pPr>
        <w:pStyle w:val="90"/>
        <w:ind w:firstLine="0" w:firstLineChars="0"/>
        <w:jc w:val="center"/>
        <w:rPr>
          <w:rFonts w:ascii="宋体" w:hAnsi="宋体" w:cs="宋体"/>
          <w:b/>
          <w:bCs/>
          <w:sz w:val="24"/>
          <w:szCs w:val="24"/>
        </w:rPr>
      </w:pPr>
      <w:r>
        <w:rPr>
          <w:rFonts w:hint="eastAsia" w:ascii="宋体" w:hAnsi="宋体" w:cs="宋体"/>
          <w:b/>
          <w:bCs/>
          <w:sz w:val="24"/>
          <w:szCs w:val="24"/>
        </w:rPr>
        <w:t>图3.1</w:t>
      </w:r>
      <w:r>
        <w:rPr>
          <w:rFonts w:ascii="宋体" w:hAnsi="宋体" w:cs="宋体"/>
          <w:b/>
          <w:bCs/>
          <w:sz w:val="24"/>
          <w:szCs w:val="24"/>
        </w:rPr>
        <w:t>-</w:t>
      </w:r>
      <w:r>
        <w:rPr>
          <w:rFonts w:hint="eastAsia" w:ascii="宋体" w:hAnsi="宋体" w:cs="宋体"/>
          <w:b/>
          <w:bCs/>
          <w:sz w:val="24"/>
          <w:szCs w:val="24"/>
        </w:rPr>
        <w:t>1事故信息传递程序流程图</w:t>
      </w:r>
    </w:p>
    <w:p>
      <w:pPr>
        <w:spacing w:after="0" w:line="360" w:lineRule="auto"/>
        <w:ind w:firstLine="560" w:firstLineChars="200"/>
        <w:rPr>
          <w:rFonts w:ascii="宋体" w:hAnsi="宋体" w:cs="宋体"/>
          <w:szCs w:val="28"/>
        </w:rPr>
      </w:pPr>
    </w:p>
    <w:p>
      <w:pPr>
        <w:spacing w:line="360" w:lineRule="auto"/>
        <w:ind w:firstLine="480"/>
        <w:rPr>
          <w:rFonts w:ascii="宋体" w:hAnsi="宋体" w:cs="宋体"/>
          <w:sz w:val="24"/>
          <w:szCs w:val="24"/>
        </w:rPr>
      </w:pPr>
      <w:r>
        <w:rPr>
          <w:rFonts w:ascii="宋体" w:hAnsi="宋体" w:cs="宋体"/>
          <w:sz w:val="24"/>
          <w:szCs w:val="24"/>
        </w:rPr>
        <mc:AlternateContent>
          <mc:Choice Requires="wpg">
            <w:drawing>
              <wp:anchor distT="0" distB="0" distL="114300" distR="114300" simplePos="0" relativeHeight="251764736" behindDoc="0" locked="0" layoutInCell="1" allowOverlap="1">
                <wp:simplePos x="0" y="0"/>
                <wp:positionH relativeFrom="margin">
                  <wp:posOffset>0</wp:posOffset>
                </wp:positionH>
                <wp:positionV relativeFrom="paragraph">
                  <wp:posOffset>32385</wp:posOffset>
                </wp:positionV>
                <wp:extent cx="5993130" cy="1588135"/>
                <wp:effectExtent l="0" t="0" r="26670" b="12065"/>
                <wp:wrapNone/>
                <wp:docPr id="1042" name="组合 6"/>
                <wp:cNvGraphicFramePr/>
                <a:graphic xmlns:a="http://schemas.openxmlformats.org/drawingml/2006/main">
                  <a:graphicData uri="http://schemas.microsoft.com/office/word/2010/wordprocessingGroup">
                    <wpg:wgp>
                      <wpg:cNvGrpSpPr/>
                      <wpg:grpSpPr>
                        <a:xfrm>
                          <a:off x="0" y="0"/>
                          <a:ext cx="5993130" cy="1588135"/>
                          <a:chOff x="45721" y="-83846"/>
                          <a:chExt cx="5993764" cy="1588796"/>
                        </a:xfrm>
                      </wpg:grpSpPr>
                      <wps:wsp>
                        <wps:cNvPr id="1054" name="矩形 157"/>
                        <wps:cNvSpPr>
                          <a:spLocks noChangeArrowheads="1"/>
                        </wps:cNvSpPr>
                        <wps:spPr bwMode="auto">
                          <a:xfrm>
                            <a:off x="1773963" y="-44460"/>
                            <a:ext cx="739630" cy="739025"/>
                          </a:xfrm>
                          <a:prstGeom prst="rect">
                            <a:avLst/>
                          </a:prstGeom>
                          <a:solidFill>
                            <a:srgbClr val="FFFFFF"/>
                          </a:solidFill>
                          <a:ln w="9525">
                            <a:solidFill>
                              <a:srgbClr val="000000"/>
                            </a:solidFill>
                            <a:miter lim="800000"/>
                          </a:ln>
                        </wps:spPr>
                        <wps:txbx>
                          <w:txbxContent>
                            <w:p>
                              <w:pPr>
                                <w:rPr>
                                  <w:rFonts w:ascii="宋体" w:hAnsi="宋体"/>
                                  <w:sz w:val="20"/>
                                  <w:szCs w:val="20"/>
                                </w:rPr>
                              </w:pPr>
                              <w:r>
                                <w:rPr>
                                  <w:rFonts w:hint="eastAsia" w:ascii="宋体" w:hAnsi="宋体" w:cs="宋体"/>
                                  <w:sz w:val="20"/>
                                  <w:szCs w:val="20"/>
                                </w:rPr>
                                <w:t>值班人员或现场负责人</w:t>
                              </w:r>
                            </w:p>
                          </w:txbxContent>
                        </wps:txbx>
                        <wps:bodyPr rot="0" vert="horz" wrap="square" lIns="91440" tIns="45720" rIns="91440" bIns="45720" anchor="t" anchorCtr="0" upright="1">
                          <a:noAutofit/>
                        </wps:bodyPr>
                      </wps:wsp>
                      <wps:wsp>
                        <wps:cNvPr id="1052" name="矩形 161"/>
                        <wps:cNvSpPr>
                          <a:spLocks noChangeArrowheads="1"/>
                        </wps:cNvSpPr>
                        <wps:spPr bwMode="auto">
                          <a:xfrm>
                            <a:off x="4527550" y="182880"/>
                            <a:ext cx="1080770" cy="304800"/>
                          </a:xfrm>
                          <a:prstGeom prst="rect">
                            <a:avLst/>
                          </a:prstGeom>
                          <a:solidFill>
                            <a:srgbClr val="FFFFFF"/>
                          </a:solidFill>
                          <a:ln w="9525">
                            <a:solidFill>
                              <a:srgbClr val="000000"/>
                            </a:solidFill>
                            <a:miter lim="800000"/>
                          </a:ln>
                        </wps:spPr>
                        <wps:txbx>
                          <w:txbxContent>
                            <w:p>
                              <w:pPr>
                                <w:rPr>
                                  <w:rFonts w:ascii="宋体" w:hAnsi="宋体" w:cs="宋体"/>
                                  <w:sz w:val="20"/>
                                  <w:szCs w:val="20"/>
                                </w:rPr>
                              </w:pPr>
                              <w:r>
                                <w:rPr>
                                  <w:rFonts w:hint="eastAsia" w:ascii="宋体" w:hAnsi="宋体" w:cs="宋体"/>
                                  <w:sz w:val="20"/>
                                  <w:szCs w:val="20"/>
                                </w:rPr>
                                <w:t>外部救援力量</w:t>
                              </w:r>
                            </w:p>
                          </w:txbxContent>
                        </wps:txbx>
                        <wps:bodyPr rot="0" vert="horz" wrap="square" lIns="91440" tIns="45720" rIns="91440" bIns="45720" anchor="t" anchorCtr="0" upright="1">
                          <a:noAutofit/>
                        </wps:bodyPr>
                      </wps:wsp>
                      <wps:wsp>
                        <wps:cNvPr id="1051" name="自选图形 162"/>
                        <wps:cNvCnPr>
                          <a:cxnSpLocks noChangeShapeType="1"/>
                          <a:stCxn id="1049" idx="3"/>
                          <a:endCxn id="1052" idx="1"/>
                        </wps:cNvCnPr>
                        <wps:spPr bwMode="auto">
                          <a:xfrm>
                            <a:off x="3918585" y="331455"/>
                            <a:ext cx="608965" cy="3826"/>
                          </a:xfrm>
                          <a:prstGeom prst="straightConnector1">
                            <a:avLst/>
                          </a:prstGeom>
                          <a:noFill/>
                          <a:ln w="9525">
                            <a:solidFill>
                              <a:srgbClr val="000000"/>
                            </a:solidFill>
                            <a:round/>
                            <a:tailEnd type="triangle" w="med" len="med"/>
                          </a:ln>
                        </wps:spPr>
                        <wps:bodyPr/>
                      </wps:wsp>
                      <wps:wsp>
                        <wps:cNvPr id="1050" name="矩形 156"/>
                        <wps:cNvSpPr>
                          <a:spLocks noChangeArrowheads="1"/>
                        </wps:cNvSpPr>
                        <wps:spPr bwMode="auto">
                          <a:xfrm>
                            <a:off x="45721" y="97115"/>
                            <a:ext cx="662940" cy="410886"/>
                          </a:xfrm>
                          <a:prstGeom prst="rect">
                            <a:avLst/>
                          </a:prstGeom>
                          <a:solidFill>
                            <a:srgbClr val="FFFFFF"/>
                          </a:solidFill>
                          <a:ln w="9525">
                            <a:solidFill>
                              <a:srgbClr val="000000"/>
                            </a:solidFill>
                            <a:miter lim="800000"/>
                          </a:ln>
                        </wps:spPr>
                        <wps:txbx>
                          <w:txbxContent>
                            <w:p>
                              <w:r>
                                <w:rPr>
                                  <w:rFonts w:hint="eastAsia" w:ascii="宋体" w:hAnsi="宋体" w:cs="宋体"/>
                                  <w:sz w:val="20"/>
                                  <w:szCs w:val="20"/>
                                </w:rPr>
                                <w:t>事故发现者</w:t>
                              </w:r>
                            </w:p>
                          </w:txbxContent>
                        </wps:txbx>
                        <wps:bodyPr rot="0" vert="horz" wrap="square" lIns="91440" tIns="45720" rIns="91440" bIns="45720" anchor="t" anchorCtr="0" upright="1">
                          <a:noAutofit/>
                        </wps:bodyPr>
                      </wps:wsp>
                      <wps:wsp>
                        <wps:cNvPr id="1049" name="矩形 158"/>
                        <wps:cNvSpPr>
                          <a:spLocks noChangeArrowheads="1"/>
                        </wps:cNvSpPr>
                        <wps:spPr bwMode="auto">
                          <a:xfrm>
                            <a:off x="3246460" y="-83846"/>
                            <a:ext cx="672125" cy="830602"/>
                          </a:xfrm>
                          <a:prstGeom prst="rect">
                            <a:avLst/>
                          </a:prstGeom>
                          <a:solidFill>
                            <a:srgbClr val="FFFFFF"/>
                          </a:solidFill>
                          <a:ln w="9525">
                            <a:solidFill>
                              <a:srgbClr val="000000"/>
                            </a:solidFill>
                            <a:miter lim="800000"/>
                          </a:ln>
                        </wps:spPr>
                        <wps:txbx>
                          <w:txbxContent>
                            <w:p>
                              <w:pPr>
                                <w:rPr>
                                  <w:rFonts w:ascii="宋体" w:hAnsi="宋体" w:cs="宋体"/>
                                  <w:sz w:val="20"/>
                                  <w:szCs w:val="20"/>
                                </w:rPr>
                              </w:pPr>
                              <w:r>
                                <w:rPr>
                                  <w:rFonts w:hint="eastAsia" w:ascii="宋体" w:hAnsi="宋体" w:cs="宋体"/>
                                  <w:sz w:val="20"/>
                                  <w:szCs w:val="20"/>
                                </w:rPr>
                                <w:t>应急指挥部对应级别负责人</w:t>
                              </w:r>
                            </w:p>
                          </w:txbxContent>
                        </wps:txbx>
                        <wps:bodyPr rot="0" vert="horz" wrap="square" lIns="91440" tIns="45720" rIns="91440" bIns="45720" anchor="t" anchorCtr="0" upright="1">
                          <a:noAutofit/>
                        </wps:bodyPr>
                      </wps:wsp>
                      <wps:wsp>
                        <wps:cNvPr id="1045" name="自选图形 159"/>
                        <wps:cNvCnPr>
                          <a:cxnSpLocks noChangeShapeType="1"/>
                          <a:stCxn id="1054" idx="3"/>
                          <a:endCxn id="1049" idx="1"/>
                        </wps:cNvCnPr>
                        <wps:spPr bwMode="auto">
                          <a:xfrm>
                            <a:off x="2513593" y="325053"/>
                            <a:ext cx="732867" cy="6402"/>
                          </a:xfrm>
                          <a:prstGeom prst="straightConnector1">
                            <a:avLst/>
                          </a:prstGeom>
                          <a:noFill/>
                          <a:ln w="9525">
                            <a:solidFill>
                              <a:srgbClr val="000000"/>
                            </a:solidFill>
                            <a:round/>
                            <a:tailEnd type="triangle" w="med" len="med"/>
                          </a:ln>
                        </wps:spPr>
                        <wps:bodyPr/>
                      </wps:wsp>
                      <wps:wsp>
                        <wps:cNvPr id="1043" name="Rectangle 998"/>
                        <wps:cNvSpPr>
                          <a:spLocks noChangeArrowheads="1"/>
                        </wps:cNvSpPr>
                        <wps:spPr bwMode="auto">
                          <a:xfrm>
                            <a:off x="4485640" y="754380"/>
                            <a:ext cx="1553845" cy="750570"/>
                          </a:xfrm>
                          <a:prstGeom prst="rect">
                            <a:avLst/>
                          </a:prstGeom>
                          <a:solidFill>
                            <a:srgbClr val="FFFFFF"/>
                          </a:solidFill>
                          <a:ln w="9525">
                            <a:solidFill>
                              <a:srgbClr val="000000"/>
                            </a:solidFill>
                            <a:miter lim="800000"/>
                          </a:ln>
                        </wps:spPr>
                        <wps:txbx>
                          <w:txbxContent>
                            <w:p>
                              <w:pPr>
                                <w:rPr>
                                  <w:rFonts w:ascii="宋体" w:hAnsi="宋体" w:cs="宋体"/>
                                  <w:sz w:val="20"/>
                                  <w:szCs w:val="20"/>
                                </w:rPr>
                              </w:pPr>
                              <w:r>
                                <w:rPr>
                                  <w:rFonts w:hint="eastAsia" w:ascii="宋体" w:hAnsi="宋体" w:cs="宋体"/>
                                  <w:sz w:val="20"/>
                                  <w:szCs w:val="20"/>
                                </w:rPr>
                                <w:t>县住建部门、应急管理部门和有关部门</w:t>
                              </w:r>
                            </w:p>
                          </w:txbxContent>
                        </wps:txbx>
                        <wps:bodyPr rot="0" vert="horz" wrap="square" lIns="91440" tIns="45720" rIns="91440" bIns="45720" anchor="t" anchorCtr="0" upright="1">
                          <a:noAutofit/>
                        </wps:bodyPr>
                      </wps:wsp>
                      <wps:wsp>
                        <wps:cNvPr id="1048" name="AutoShape 607"/>
                        <wps:cNvCnPr>
                          <a:cxnSpLocks noChangeShapeType="1"/>
                        </wps:cNvCnPr>
                        <wps:spPr bwMode="auto">
                          <a:xfrm>
                            <a:off x="4145280" y="1112520"/>
                            <a:ext cx="337820" cy="0"/>
                          </a:xfrm>
                          <a:prstGeom prst="straightConnector1">
                            <a:avLst/>
                          </a:prstGeom>
                          <a:noFill/>
                          <a:ln w="9525">
                            <a:solidFill>
                              <a:srgbClr val="000000"/>
                            </a:solidFill>
                            <a:round/>
                            <a:tailEnd type="triangle" w="med" len="med"/>
                          </a:ln>
                        </wps:spPr>
                        <wps:bodyPr/>
                      </wps:wsp>
                      <wps:wsp>
                        <wps:cNvPr id="200" name="Line 602"/>
                        <wps:cNvCnPr>
                          <a:cxnSpLocks noChangeShapeType="1"/>
                        </wps:cNvCnPr>
                        <wps:spPr bwMode="auto">
                          <a:xfrm>
                            <a:off x="4145280" y="336550"/>
                            <a:ext cx="0" cy="775970"/>
                          </a:xfrm>
                          <a:prstGeom prst="line">
                            <a:avLst/>
                          </a:prstGeom>
                          <a:noFill/>
                          <a:ln w="9525">
                            <a:solidFill>
                              <a:srgbClr val="000000"/>
                            </a:solidFill>
                            <a:round/>
                          </a:ln>
                        </wps:spPr>
                        <wps:bodyPr/>
                      </wps:wsp>
                    </wpg:wgp>
                  </a:graphicData>
                </a:graphic>
              </wp:anchor>
            </w:drawing>
          </mc:Choice>
          <mc:Fallback>
            <w:pict>
              <v:group id="组合 6" o:spid="_x0000_s1026" o:spt="203" style="position:absolute;left:0pt;margin-left:0pt;margin-top:2.55pt;height:125.05pt;width:471.9pt;mso-position-horizontal-relative:margin;z-index:251764736;mso-width-relative:page;mso-height-relative:page;" coordorigin="45721,-83846" coordsize="5993764,1588796" o:gfxdata="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">
                <o:lock v:ext="edit" aspectratio="f"/>
                <v:rect id="矩形 157" o:spid="_x0000_s1026" o:spt="1" style="position:absolute;left:1773963;top:-44460;height:739025;width:739630;" fillcolor="#FFFFFF" filled="t" stroked="t" coordsize="21600,21600" o:gfxdata="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rtXG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rFonts w:ascii="宋体" w:hAnsi="宋体"/>
                            <w:sz w:val="20"/>
                            <w:szCs w:val="20"/>
                          </w:rPr>
                        </w:pPr>
                        <w:r>
                          <w:rPr>
                            <w:rFonts w:hint="eastAsia" w:ascii="宋体" w:hAnsi="宋体" w:cs="宋体"/>
                            <w:sz w:val="20"/>
                            <w:szCs w:val="20"/>
                          </w:rPr>
                          <w:t>值班人员或现场负责人</w:t>
                        </w:r>
                      </w:p>
                    </w:txbxContent>
                  </v:textbox>
                </v:rect>
                <v:rect id="矩形 161" o:spid="_x0000_s1026" o:spt="1" style="position:absolute;left:4527550;top:182880;height:304800;width:1080770;" fillcolor="#FFFFFF" filled="t" stroked="t" coordsize="21600,21600" o:gfxdata="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OiJ6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rFonts w:ascii="宋体" w:hAnsi="宋体" w:cs="宋体"/>
                            <w:sz w:val="20"/>
                            <w:szCs w:val="20"/>
                          </w:rPr>
                        </w:pPr>
                        <w:r>
                          <w:rPr>
                            <w:rFonts w:hint="eastAsia" w:ascii="宋体" w:hAnsi="宋体" w:cs="宋体"/>
                            <w:sz w:val="20"/>
                            <w:szCs w:val="20"/>
                          </w:rPr>
                          <w:t>外部救援力量</w:t>
                        </w:r>
                      </w:p>
                    </w:txbxContent>
                  </v:textbox>
                </v:rect>
                <v:shape id="自选图形 162" o:spid="_x0000_s1026" o:spt="32" type="#_x0000_t32" style="position:absolute;left:3918585;top:331455;height:3826;width:608965;" filled="f" stroked="t" coordsize="21600,21600" o:gfxdata="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Q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156" o:spid="_x0000_s1026" o:spt="1" style="position:absolute;left:45721;top:97115;height:410886;width:662940;" fillcolor="#FFFFFF" filled="t" stroked="t" coordsize="21600,21600" o:gfxdata="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Czcr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r>
                          <w:rPr>
                            <w:rFonts w:hint="eastAsia" w:ascii="宋体" w:hAnsi="宋体" w:cs="宋体"/>
                            <w:sz w:val="20"/>
                            <w:szCs w:val="20"/>
                          </w:rPr>
                          <w:t>事故发现者</w:t>
                        </w:r>
                      </w:p>
                    </w:txbxContent>
                  </v:textbox>
                </v:rect>
                <v:rect id="矩形 158" o:spid="_x0000_s1026" o:spt="1" style="position:absolute;left:3246460;top:-83846;height:830602;width:672125;" fillcolor="#FFFFFF" filled="t" stroked="t" coordsize="21600,21600" o:gfxdata="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M4wy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rFonts w:ascii="宋体" w:hAnsi="宋体" w:cs="宋体"/>
                            <w:sz w:val="20"/>
                            <w:szCs w:val="20"/>
                          </w:rPr>
                        </w:pPr>
                        <w:r>
                          <w:rPr>
                            <w:rFonts w:hint="eastAsia" w:ascii="宋体" w:hAnsi="宋体" w:cs="宋体"/>
                            <w:sz w:val="20"/>
                            <w:szCs w:val="20"/>
                          </w:rPr>
                          <w:t>应急指挥部对应级别负责人</w:t>
                        </w:r>
                      </w:p>
                    </w:txbxContent>
                  </v:textbox>
                </v:rect>
                <v:shape id="自选图形 159" o:spid="_x0000_s1026" o:spt="32" type="#_x0000_t32" style="position:absolute;left:2513593;top:325053;height:6402;width:732867;" filled="f" stroked="t" coordsize="21600,21600" o:gfxdata="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ef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998" o:spid="_x0000_s1026" o:spt="1" style="position:absolute;left:4485640;top:754380;height:750570;width:1553845;" fillcolor="#FFFFFF" filled="t" stroked="t" coordsize="21600,21600" o:gfxdata="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bu9i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rFonts w:ascii="宋体" w:hAnsi="宋体" w:cs="宋体"/>
                            <w:sz w:val="20"/>
                            <w:szCs w:val="20"/>
                          </w:rPr>
                        </w:pPr>
                        <w:r>
                          <w:rPr>
                            <w:rFonts w:hint="eastAsia" w:ascii="宋体" w:hAnsi="宋体" w:cs="宋体"/>
                            <w:sz w:val="20"/>
                            <w:szCs w:val="20"/>
                          </w:rPr>
                          <w:t>县住建部门、应急管理部门和有关部门</w:t>
                        </w:r>
                      </w:p>
                    </w:txbxContent>
                  </v:textbox>
                </v:rect>
                <v:shape id="AutoShape 607" o:spid="_x0000_s1026" o:spt="32" type="#_x0000_t32" style="position:absolute;left:4145280;top:1112520;height:0;width:337820;" filled="f" stroked="t" coordsize="21600,21600" o:gfxdata="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Zj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line id="Line 602" o:spid="_x0000_s1026" o:spt="20" style="position:absolute;left:4145280;top:336550;height:775970;width:0;" filled="f" stroked="t" coordsize="21600,21600" o:gfxdata="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j4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652780</wp:posOffset>
                </wp:positionH>
                <wp:positionV relativeFrom="paragraph">
                  <wp:posOffset>422910</wp:posOffset>
                </wp:positionV>
                <wp:extent cx="1075055" cy="10160"/>
                <wp:effectExtent l="0" t="0" r="0" b="0"/>
                <wp:wrapNone/>
                <wp:docPr id="4" name="自选图形 159"/>
                <wp:cNvGraphicFramePr/>
                <a:graphic xmlns:a="http://schemas.openxmlformats.org/drawingml/2006/main">
                  <a:graphicData uri="http://schemas.microsoft.com/office/word/2010/wordprocessingShape">
                    <wps:wsp>
                      <wps:cNvCnPr>
                        <a:cxnSpLocks noChangeShapeType="1"/>
                      </wps:cNvCnPr>
                      <wps:spPr bwMode="auto">
                        <a:xfrm>
                          <a:off x="0" y="0"/>
                          <a:ext cx="1075349" cy="10089"/>
                        </a:xfrm>
                        <a:prstGeom prst="straightConnector1">
                          <a:avLst/>
                        </a:prstGeom>
                        <a:noFill/>
                        <a:ln w="9525">
                          <a:solidFill>
                            <a:srgbClr val="000000"/>
                          </a:solidFill>
                          <a:round/>
                          <a:tailEnd type="triangle" w="med" len="med"/>
                        </a:ln>
                      </wps:spPr>
                      <wps:bodyPr/>
                    </wps:wsp>
                  </a:graphicData>
                </a:graphic>
              </wp:anchor>
            </w:drawing>
          </mc:Choice>
          <mc:Fallback>
            <w:pict>
              <v:shape id="自选图形 159" o:spid="_x0000_s1026" o:spt="32" type="#_x0000_t32" style="position:absolute;left:0pt;margin-left:51.4pt;margin-top:33.3pt;height:0.8pt;width:84.65pt;z-index:251765760;mso-width-relative:page;mso-height-relative:page;" filled="f" stroked="t" coordsize="21600,21600" o:gfxdata="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eoE5/YAAAACQEAAA8AAAAAAAAAAQAg&#10;AAAAIgAAAGRycy9kb3ducmV2LnhtbFBLAQIUABQAAAAIAIdO4kAzHLzkDgIAAOkDAAAOAAAAAAAA&#10;AAEAIAAAACcBAABkcnMvZTJvRG9jLnhtbFBLBQYAAAAABgAGAFkBAACnBQAAAAA=&#10;">
                <v:fill on="f" focussize="0,0"/>
                <v:stroke color="#000000" joinstyle="round" endarrow="block"/>
                <v:imagedata o:title=""/>
                <o:lock v:ext="edit" aspectratio="f"/>
              </v:shape>
            </w:pict>
          </mc:Fallback>
        </mc:AlternateContent>
      </w:r>
    </w:p>
    <w:p>
      <w:pPr>
        <w:spacing w:line="360" w:lineRule="auto"/>
        <w:ind w:firstLine="560"/>
        <w:rPr>
          <w:rFonts w:ascii="宋体" w:hAnsi="宋体" w:cs="宋体"/>
          <w:sz w:val="24"/>
          <w:szCs w:val="24"/>
        </w:rPr>
      </w:pPr>
      <w:r>
        <mc:AlternateContent>
          <mc:Choice Requires="wps">
            <w:drawing>
              <wp:anchor distT="0" distB="0" distL="114300" distR="114300" simplePos="0" relativeHeight="251701248" behindDoc="0" locked="0" layoutInCell="1" allowOverlap="1">
                <wp:simplePos x="0" y="0"/>
                <wp:positionH relativeFrom="column">
                  <wp:posOffset>483870</wp:posOffset>
                </wp:positionH>
                <wp:positionV relativeFrom="paragraph">
                  <wp:posOffset>85090</wp:posOffset>
                </wp:positionV>
                <wp:extent cx="6350" cy="731520"/>
                <wp:effectExtent l="0" t="0" r="31750" b="11430"/>
                <wp:wrapNone/>
                <wp:docPr id="962" name="直接连接符 962"/>
                <wp:cNvGraphicFramePr/>
                <a:graphic xmlns:a="http://schemas.openxmlformats.org/drawingml/2006/main">
                  <a:graphicData uri="http://schemas.microsoft.com/office/word/2010/wordprocessingShape">
                    <wps:wsp>
                      <wps:cNvCnPr/>
                      <wps:spPr>
                        <a:xfrm flipV="1">
                          <a:off x="0" y="0"/>
                          <a:ext cx="635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8.1pt;margin-top:6.7pt;height:57.6pt;width:0.5pt;z-index:251701248;mso-width-relative:page;mso-height-relative:page;" filled="f" stroked="t" coordsize="21600,21600" o:gfxdata="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Kvm981QAAAAgBAAAPAAAAAAAAAAEAIAAAACIAAABkcnMvZG93bnJldi54&#10;bWxQSwECFAAUAAAACACHTuJAniL5pf0BAADjAwAADgAAAAAAAAABACAAAAAkAQAAZHJzL2Uyb0Rv&#10;Yy54bWxQSwUGAAAAAAYABgBZAQAAkwUAAAAA&#10;">
                <v:fill on="f" focussize="0,0"/>
                <v:stroke color="#000000 [3200]" joinstyle="round"/>
                <v:imagedata o:title=""/>
                <o:lock v:ext="edit" aspectratio="f"/>
              </v:line>
            </w:pict>
          </mc:Fallback>
        </mc:AlternateContent>
      </w:r>
    </w:p>
    <w:p>
      <w:pPr>
        <w:spacing w:line="360" w:lineRule="auto"/>
        <w:ind w:firstLine="560"/>
        <w:rPr>
          <w:rFonts w:ascii="宋体" w:hAnsi="宋体" w:cs="宋体"/>
          <w:sz w:val="24"/>
          <w:szCs w:val="24"/>
        </w:rPr>
      </w:pPr>
      <w:r>
        <mc:AlternateContent>
          <mc:Choice Requires="wps">
            <w:drawing>
              <wp:anchor distT="0" distB="0" distL="114300" distR="114300" simplePos="0" relativeHeight="251699200" behindDoc="0" locked="0" layoutInCell="1" allowOverlap="1">
                <wp:simplePos x="0" y="0"/>
                <wp:positionH relativeFrom="column">
                  <wp:posOffset>2023745</wp:posOffset>
                </wp:positionH>
                <wp:positionV relativeFrom="paragraph">
                  <wp:posOffset>6350</wp:posOffset>
                </wp:positionV>
                <wp:extent cx="5080" cy="381000"/>
                <wp:effectExtent l="0" t="0" r="33020" b="19050"/>
                <wp:wrapNone/>
                <wp:docPr id="8" name="Line 602"/>
                <wp:cNvGraphicFramePr/>
                <a:graphic xmlns:a="http://schemas.openxmlformats.org/drawingml/2006/main">
                  <a:graphicData uri="http://schemas.microsoft.com/office/word/2010/wordprocessingShape">
                    <wps:wsp>
                      <wps:cNvCnPr>
                        <a:cxnSpLocks noChangeShapeType="1"/>
                      </wps:cNvCnPr>
                      <wps:spPr bwMode="auto">
                        <a:xfrm flipH="1">
                          <a:off x="0" y="0"/>
                          <a:ext cx="5080" cy="381000"/>
                        </a:xfrm>
                        <a:prstGeom prst="line">
                          <a:avLst/>
                        </a:prstGeom>
                        <a:noFill/>
                        <a:ln w="9525">
                          <a:solidFill>
                            <a:srgbClr val="000000"/>
                          </a:solidFill>
                          <a:round/>
                        </a:ln>
                      </wps:spPr>
                      <wps:bodyPr/>
                    </wps:wsp>
                  </a:graphicData>
                </a:graphic>
              </wp:anchor>
            </w:drawing>
          </mc:Choice>
          <mc:Fallback>
            <w:pict>
              <v:line id="Line 602" o:spid="_x0000_s1026" o:spt="20" style="position:absolute;left:0pt;flip:x;margin-left:159.35pt;margin-top:0.5pt;height:30pt;width:0.4pt;z-index:251699200;mso-width-relative:page;mso-height-relative:page;" filled="f" stroked="t" coordsize="21600,21600" o:gfxdata="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NZElDWAAAACAEAAA8AAAAAAAAAAQAgAAAA&#10;IgAAAGRycy9kb3ducmV2LnhtbFBLAQIUABQAAAAIAIdO4kBxyg7w1AEAAK0DAAAOAAAAAAAAAAEA&#10;IAAAACUBAABkcnMvZTJvRG9jLnhtbFBLBQYAAAAABgAGAFkBAABr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473710</wp:posOffset>
                </wp:positionH>
                <wp:positionV relativeFrom="paragraph">
                  <wp:posOffset>391160</wp:posOffset>
                </wp:positionV>
                <wp:extent cx="3977640" cy="0"/>
                <wp:effectExtent l="0" t="76200" r="22860" b="95250"/>
                <wp:wrapNone/>
                <wp:docPr id="960" name="直接箭头连接符 960"/>
                <wp:cNvGraphicFramePr/>
                <a:graphic xmlns:a="http://schemas.openxmlformats.org/drawingml/2006/main">
                  <a:graphicData uri="http://schemas.microsoft.com/office/word/2010/wordprocessingShape">
                    <wps:wsp>
                      <wps:cNvCnPr/>
                      <wps:spPr>
                        <a:xfrm>
                          <a:off x="0" y="0"/>
                          <a:ext cx="39776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7.3pt;margin-top:30.8pt;height:0pt;width:313.2pt;z-index:251700224;mso-width-relative:page;mso-height-relative:page;" filled="f" stroked="t" coordsize="21600,21600" o:gfxdata="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84dd81wAAAAgBAAAPAAAAAAAA&#10;AAEAIAAAACIAAABkcnMvZG93bnJldi54bWxQSwECFAAUAAAACACHTuJALnT4nhMCAAAHBAAADgAA&#10;AAAAAAABACAAAAAmAQAAZHJzL2Uyb0RvYy54bWxQSwUGAAAAAAYABgBZAQAAqwUAAAAA&#10;">
                <v:fill on="f" focussize="0,0"/>
                <v:stroke color="#000000 [3200]" joinstyle="round" endarrow="block"/>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margin">
                  <wp:posOffset>2302510</wp:posOffset>
                </wp:positionH>
                <wp:positionV relativeFrom="paragraph">
                  <wp:posOffset>133350</wp:posOffset>
                </wp:positionV>
                <wp:extent cx="1651000" cy="304800"/>
                <wp:effectExtent l="0" t="0" r="0" b="0"/>
                <wp:wrapNone/>
                <wp:docPr id="7" name="矩形 161"/>
                <wp:cNvGraphicFramePr/>
                <a:graphic xmlns:a="http://schemas.openxmlformats.org/drawingml/2006/main">
                  <a:graphicData uri="http://schemas.microsoft.com/office/word/2010/wordprocessingShape">
                    <wps:wsp>
                      <wps:cNvSpPr>
                        <a:spLocks noChangeArrowheads="1"/>
                      </wps:cNvSpPr>
                      <wps:spPr bwMode="auto">
                        <a:xfrm>
                          <a:off x="0" y="0"/>
                          <a:ext cx="1650789" cy="304800"/>
                        </a:xfrm>
                        <a:prstGeom prst="rect">
                          <a:avLst/>
                        </a:prstGeom>
                        <a:noFill/>
                        <a:ln w="9525">
                          <a:noFill/>
                          <a:miter lim="800000"/>
                        </a:ln>
                      </wps:spPr>
                      <wps:txbx>
                        <w:txbxContent>
                          <w:p>
                            <w:pPr>
                              <w:rPr>
                                <w:sz w:val="21"/>
                                <w:szCs w:val="21"/>
                              </w:rPr>
                            </w:pPr>
                            <w:r>
                              <w:rPr>
                                <w:rFonts w:hint="eastAsia" w:cs="宋体"/>
                                <w:sz w:val="21"/>
                                <w:szCs w:val="21"/>
                              </w:rPr>
                              <w:t>特别严重和紧急的事故</w:t>
                            </w:r>
                          </w:p>
                        </w:txbxContent>
                      </wps:txbx>
                      <wps:bodyPr rot="0" vert="horz" wrap="square" lIns="91440" tIns="45720" rIns="91440" bIns="45720" anchor="t" anchorCtr="0" upright="1">
                        <a:noAutofit/>
                      </wps:bodyPr>
                    </wps:wsp>
                  </a:graphicData>
                </a:graphic>
              </wp:anchor>
            </w:drawing>
          </mc:Choice>
          <mc:Fallback>
            <w:pict>
              <v:rect id="矩形 161" o:spid="_x0000_s1026" o:spt="1" style="position:absolute;left:0pt;margin-left:181.3pt;margin-top:10.5pt;height:24pt;width:130pt;mso-position-horizontal-relative:margin;z-index:251698176;mso-width-relative:page;mso-height-relative:page;" filled="f" stroked="f" coordsize="21600,21600" o:gfxdata="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qh4&#10;j9kAAAAJAQAADwAAAAAAAAABACAAAAAiAAAAZHJzL2Rvd25yZXYueG1sUEsBAhQAFAAAAAgAh07i&#10;QDJxYmQhAgAAKgQAAA4AAAAAAAAAAQAgAAAAKAEAAGRycy9lMm9Eb2MueG1sUEsFBgAAAAAGAAYA&#10;WQEAALsFAAAAAA==&#10;">
                <v:fill on="f" focussize="0,0"/>
                <v:stroke on="f" miterlimit="8" joinstyle="miter"/>
                <v:imagedata o:title=""/>
                <o:lock v:ext="edit" aspectratio="f"/>
                <v:textbox>
                  <w:txbxContent>
                    <w:p>
                      <w:pPr>
                        <w:rPr>
                          <w:sz w:val="21"/>
                          <w:szCs w:val="21"/>
                        </w:rPr>
                      </w:pPr>
                      <w:r>
                        <w:rPr>
                          <w:rFonts w:hint="eastAsia" w:cs="宋体"/>
                          <w:sz w:val="21"/>
                          <w:szCs w:val="21"/>
                        </w:rPr>
                        <w:t>特别严重和紧急的事故</w:t>
                      </w:r>
                    </w:p>
                  </w:txbxContent>
                </v:textbox>
              </v:rect>
            </w:pict>
          </mc:Fallback>
        </mc:AlternateContent>
      </w:r>
    </w:p>
    <w:p>
      <w:pPr>
        <w:pStyle w:val="90"/>
        <w:ind w:left="890" w:leftChars="318" w:firstLine="2168" w:firstLineChars="900"/>
        <w:rPr>
          <w:rFonts w:ascii="宋体" w:hAnsi="宋体" w:cs="宋体"/>
          <w:b/>
          <w:bCs/>
          <w:sz w:val="24"/>
          <w:szCs w:val="24"/>
        </w:rPr>
      </w:pPr>
    </w:p>
    <w:p>
      <w:pPr>
        <w:pStyle w:val="90"/>
        <w:ind w:left="890" w:leftChars="318" w:firstLine="2168" w:firstLineChars="900"/>
        <w:rPr>
          <w:rFonts w:ascii="宋体" w:hAnsi="宋体" w:cs="宋体"/>
          <w:b/>
          <w:bCs/>
          <w:sz w:val="24"/>
          <w:szCs w:val="24"/>
        </w:rPr>
      </w:pPr>
    </w:p>
    <w:p>
      <w:pPr>
        <w:ind w:firstLine="560"/>
        <w:rPr>
          <w:rFonts w:ascii="宋体" w:hAnsi="宋体" w:cs="宋体"/>
          <w:szCs w:val="28"/>
        </w:rPr>
      </w:pPr>
    </w:p>
    <w:p>
      <w:pPr>
        <w:spacing w:after="0" w:line="560" w:lineRule="exact"/>
        <w:ind w:firstLine="560" w:firstLineChars="200"/>
        <w:rPr>
          <w:rFonts w:ascii="宋体" w:hAnsi="宋体" w:cs="宋体"/>
          <w:szCs w:val="28"/>
        </w:rPr>
      </w:pPr>
      <w:r>
        <w:rPr>
          <w:rFonts w:hint="eastAsia" w:ascii="宋体" w:hAnsi="宋体" w:cs="宋体"/>
          <w:szCs w:val="28"/>
        </w:rPr>
        <w:t>3.1.</w:t>
      </w:r>
      <w:r>
        <w:rPr>
          <w:rFonts w:ascii="宋体" w:hAnsi="宋体" w:cs="宋体"/>
          <w:szCs w:val="28"/>
        </w:rPr>
        <w:t>2</w:t>
      </w:r>
      <w:r>
        <w:rPr>
          <w:rFonts w:hint="eastAsia" w:ascii="宋体" w:hAnsi="宋体" w:cs="宋体"/>
          <w:szCs w:val="28"/>
        </w:rPr>
        <w:t>信息处置与研判</w:t>
      </w:r>
    </w:p>
    <w:p>
      <w:pPr>
        <w:spacing w:after="0" w:line="560" w:lineRule="exact"/>
        <w:ind w:firstLine="560" w:firstLineChars="200"/>
        <w:rPr>
          <w:rFonts w:ascii="宋体" w:hAnsi="宋体" w:cs="宋体"/>
          <w:szCs w:val="28"/>
        </w:rPr>
      </w:pPr>
      <w:r>
        <w:rPr>
          <w:rFonts w:hint="eastAsia" w:ascii="宋体" w:hAnsi="宋体" w:cs="宋体"/>
          <w:szCs w:val="28"/>
        </w:rPr>
        <w:t>值班人员或现场负责人员进行初步研判，指挥部办公室负责人进行再研判后报送的事故信息，按下述要求报送至公司应急指挥部对应级别人员，进行处置、研判，以及决定是否启动对应级别的响应。</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1</w:t>
      </w:r>
      <w:r>
        <w:rPr>
          <w:rFonts w:ascii="宋体" w:hAnsi="宋体"/>
          <w:i w:val="0"/>
          <w:sz w:val="28"/>
          <w:szCs w:val="28"/>
        </w:rPr>
        <w:t>.</w:t>
      </w:r>
      <w:r>
        <w:rPr>
          <w:rFonts w:hint="eastAsia" w:ascii="宋体" w:hAnsi="宋体"/>
          <w:i w:val="0"/>
          <w:sz w:val="28"/>
          <w:szCs w:val="28"/>
        </w:rPr>
        <w:t>发生</w:t>
      </w:r>
      <w:r>
        <w:rPr>
          <w:rFonts w:hint="eastAsia" w:ascii="宋体" w:hAnsi="宋体"/>
          <w:i w:val="0"/>
          <w:sz w:val="28"/>
          <w:szCs w:val="28"/>
          <w:lang w:eastAsia="zh-CN"/>
        </w:rPr>
        <w:t>公司级重大事故</w:t>
      </w:r>
      <w:r>
        <w:rPr>
          <w:rFonts w:hint="eastAsia" w:ascii="宋体" w:hAnsi="宋体"/>
          <w:i w:val="0"/>
          <w:sz w:val="28"/>
          <w:szCs w:val="28"/>
        </w:rPr>
        <w:t>以上的信息，报告至公司应急指挥部指挥长，由指挥长研判，并做出是否启动Ⅰ级应急响应的指令。</w:t>
      </w:r>
    </w:p>
    <w:p>
      <w:pPr>
        <w:pStyle w:val="19"/>
        <w:spacing w:after="0" w:line="560" w:lineRule="exact"/>
        <w:ind w:firstLine="560" w:firstLineChars="200"/>
        <w:rPr>
          <w:rFonts w:ascii="宋体" w:hAnsi="宋体"/>
          <w:i w:val="0"/>
          <w:sz w:val="28"/>
          <w:szCs w:val="28"/>
        </w:rPr>
      </w:pPr>
      <w:r>
        <w:rPr>
          <w:rFonts w:ascii="宋体" w:hAnsi="宋体"/>
          <w:i w:val="0"/>
          <w:sz w:val="28"/>
          <w:szCs w:val="28"/>
        </w:rPr>
        <w:t>2.</w:t>
      </w:r>
      <w:r>
        <w:rPr>
          <w:rFonts w:hint="eastAsia" w:ascii="宋体" w:hAnsi="宋体"/>
          <w:i w:val="0"/>
          <w:sz w:val="28"/>
          <w:szCs w:val="28"/>
        </w:rPr>
        <w:t>发生</w:t>
      </w:r>
      <w:r>
        <w:rPr>
          <w:rFonts w:hint="eastAsia" w:ascii="宋体" w:hAnsi="宋体"/>
          <w:i w:val="0"/>
          <w:sz w:val="28"/>
          <w:szCs w:val="28"/>
          <w:lang w:eastAsia="zh-CN"/>
        </w:rPr>
        <w:t>公司级较大事故</w:t>
      </w:r>
      <w:r>
        <w:rPr>
          <w:rFonts w:hint="eastAsia" w:ascii="宋体" w:hAnsi="宋体"/>
          <w:i w:val="0"/>
          <w:sz w:val="28"/>
          <w:szCs w:val="28"/>
        </w:rPr>
        <w:t>的信息，报告至责任部门）管领导，由分管领导研判并报公司应急指挥部指挥长同意后，做出是否启动Ⅱ级应急响应的指令。</w:t>
      </w:r>
    </w:p>
    <w:p>
      <w:pPr>
        <w:pStyle w:val="19"/>
        <w:spacing w:after="0" w:line="560" w:lineRule="exact"/>
        <w:ind w:firstLine="560" w:firstLineChars="200"/>
        <w:rPr>
          <w:rFonts w:ascii="宋体" w:hAnsi="宋体"/>
          <w:i w:val="0"/>
          <w:sz w:val="28"/>
          <w:szCs w:val="28"/>
        </w:rPr>
      </w:pPr>
      <w:r>
        <w:rPr>
          <w:rFonts w:ascii="宋体" w:hAnsi="宋体"/>
          <w:i w:val="0"/>
          <w:sz w:val="28"/>
          <w:szCs w:val="28"/>
        </w:rPr>
        <w:t>3.</w:t>
      </w:r>
      <w:r>
        <w:rPr>
          <w:rFonts w:hint="eastAsia" w:ascii="宋体" w:hAnsi="宋体"/>
          <w:i w:val="0"/>
          <w:sz w:val="28"/>
          <w:szCs w:val="28"/>
        </w:rPr>
        <w:t>发生</w:t>
      </w:r>
      <w:r>
        <w:rPr>
          <w:rFonts w:hint="eastAsia" w:ascii="宋体" w:hAnsi="宋体"/>
          <w:i w:val="0"/>
          <w:sz w:val="28"/>
          <w:szCs w:val="28"/>
          <w:lang w:eastAsia="zh-CN"/>
        </w:rPr>
        <w:t>公司级一般事故</w:t>
      </w:r>
      <w:r>
        <w:rPr>
          <w:rFonts w:hint="eastAsia" w:ascii="宋体" w:hAnsi="宋体"/>
          <w:i w:val="0"/>
          <w:sz w:val="28"/>
          <w:szCs w:val="28"/>
        </w:rPr>
        <w:t>的信息，报告至事发部门负责人，由部门负责人研判并报分管领导同意后，做出是否启动Ⅲ级应急响应的指令。</w:t>
      </w:r>
    </w:p>
    <w:p>
      <w:pPr>
        <w:pStyle w:val="19"/>
        <w:spacing w:after="0" w:line="560" w:lineRule="exact"/>
        <w:ind w:firstLine="560" w:firstLineChars="200"/>
        <w:rPr>
          <w:rFonts w:ascii="宋体" w:hAnsi="宋体"/>
          <w:i w:val="0"/>
          <w:sz w:val="28"/>
          <w:szCs w:val="28"/>
        </w:rPr>
      </w:pPr>
      <w:r>
        <w:rPr>
          <w:rFonts w:ascii="宋体" w:hAnsi="宋体"/>
          <w:i w:val="0"/>
          <w:sz w:val="28"/>
          <w:szCs w:val="28"/>
        </w:rPr>
        <w:t>4.</w:t>
      </w:r>
      <w:r>
        <w:rPr>
          <w:rFonts w:hint="eastAsia" w:ascii="宋体" w:hAnsi="宋体"/>
          <w:i w:val="0"/>
          <w:sz w:val="28"/>
          <w:szCs w:val="28"/>
        </w:rPr>
        <w:t>发生</w:t>
      </w:r>
      <w:r>
        <w:rPr>
          <w:rFonts w:hint="eastAsia" w:ascii="宋体" w:hAnsi="宋体"/>
          <w:i w:val="0"/>
          <w:sz w:val="28"/>
          <w:szCs w:val="28"/>
          <w:lang w:eastAsia="zh-CN"/>
        </w:rPr>
        <w:t>公司级轻微事故</w:t>
      </w:r>
      <w:r>
        <w:rPr>
          <w:rFonts w:hint="eastAsia" w:ascii="宋体" w:hAnsi="宋体"/>
          <w:i w:val="0"/>
          <w:sz w:val="28"/>
          <w:szCs w:val="28"/>
        </w:rPr>
        <w:t>的信息，报告至事发部门负责人，由部门负责人研判，做出是否启动Ⅳ级应急响应的指令。但有人员受伤的</w:t>
      </w:r>
      <w:r>
        <w:rPr>
          <w:rFonts w:hint="eastAsia" w:ascii="宋体" w:hAnsi="宋体"/>
          <w:i w:val="0"/>
          <w:sz w:val="28"/>
          <w:szCs w:val="28"/>
          <w:lang w:eastAsia="zh-CN"/>
        </w:rPr>
        <w:t>轻微</w:t>
      </w:r>
      <w:r>
        <w:rPr>
          <w:rFonts w:hint="eastAsia" w:ascii="宋体" w:hAnsi="宋体"/>
          <w:i w:val="0"/>
          <w:sz w:val="28"/>
          <w:szCs w:val="28"/>
        </w:rPr>
        <w:t>级一般事故，随即要上报分管领导及企业负责工伤管理的部门。</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（注：应急响应级别的划分及对应处置要求详见 3</w:t>
      </w:r>
      <w:r>
        <w:rPr>
          <w:rFonts w:ascii="宋体" w:hAnsi="宋体"/>
          <w:i w:val="0"/>
          <w:sz w:val="28"/>
          <w:szCs w:val="28"/>
        </w:rPr>
        <w:t>.3.1</w:t>
      </w:r>
      <w:r>
        <w:rPr>
          <w:rFonts w:hint="eastAsia" w:ascii="宋体" w:hAnsi="宋体"/>
          <w:i w:val="0"/>
          <w:sz w:val="28"/>
          <w:szCs w:val="28"/>
        </w:rPr>
        <w:t>相应级别）</w:t>
      </w:r>
    </w:p>
    <w:p>
      <w:pPr>
        <w:spacing w:after="0" w:line="560" w:lineRule="exact"/>
        <w:ind w:firstLine="560" w:firstLineChars="200"/>
        <w:rPr>
          <w:rFonts w:ascii="宋体" w:hAnsi="宋体" w:cs="宋体"/>
          <w:szCs w:val="28"/>
        </w:rPr>
      </w:pPr>
      <w:r>
        <w:rPr>
          <w:rFonts w:hint="eastAsia" w:ascii="宋体" w:hAnsi="宋体" w:cs="宋体"/>
          <w:szCs w:val="28"/>
        </w:rPr>
        <w:t>若经研判未达到响应启动条件，但不能完全排除事故可能时，研判人员可按3</w:t>
      </w:r>
      <w:r>
        <w:rPr>
          <w:rFonts w:ascii="宋体" w:hAnsi="宋体" w:cs="宋体"/>
          <w:szCs w:val="28"/>
        </w:rPr>
        <w:t>.2.1规定</w:t>
      </w:r>
      <w:r>
        <w:rPr>
          <w:rFonts w:hint="eastAsia" w:ascii="宋体" w:hAnsi="宋体" w:cs="宋体"/>
          <w:szCs w:val="28"/>
        </w:rPr>
        <w:t>作出预警启动的决策，做好响应准备，实时跟踪事态发展。</w:t>
      </w:r>
    </w:p>
    <w:p>
      <w:pPr>
        <w:spacing w:after="0" w:line="560" w:lineRule="exact"/>
        <w:ind w:firstLine="560" w:firstLineChars="200"/>
        <w:rPr>
          <w:rFonts w:ascii="宋体" w:hAnsi="宋体" w:cs="宋体"/>
          <w:szCs w:val="28"/>
        </w:rPr>
      </w:pPr>
      <w:r>
        <w:rPr>
          <w:rFonts w:hint="eastAsia" w:ascii="宋体" w:hAnsi="宋体" w:cs="宋体"/>
          <w:szCs w:val="28"/>
        </w:rPr>
        <w:t>响应启动后，值班人员、事故现场负责人应注意跟踪事态发展，科学分析处置需求，若现场情况发生变化时应急指挥部应及时调整响应级别，避免响应不足或过度响应。</w:t>
      </w:r>
    </w:p>
    <w:p>
      <w:pPr>
        <w:spacing w:after="0" w:line="560" w:lineRule="exact"/>
        <w:ind w:firstLine="560" w:firstLineChars="200"/>
        <w:rPr>
          <w:rFonts w:ascii="宋体" w:hAnsi="宋体" w:cs="宋体"/>
          <w:szCs w:val="28"/>
        </w:rPr>
      </w:pPr>
      <w:r>
        <w:rPr>
          <w:rFonts w:hint="eastAsia" w:ascii="宋体" w:hAnsi="宋体" w:cs="宋体"/>
          <w:szCs w:val="28"/>
        </w:rPr>
        <w:t>当现场险情与初次报告时情况发生较大变化时，值班人员、现场负责人应立即联系应急指挥部对应级别人员沟通最新事故情况，视最新情况重新按上述规定进行研判后，做出是否改变响应等级的决定。如应急指挥部决定对响应等级进行调整，则应通过电话、事故广播等形式对响应等级变更的情况进行发布。</w:t>
      </w:r>
    </w:p>
    <w:p>
      <w:pPr>
        <w:pStyle w:val="7"/>
      </w:pPr>
      <w:bookmarkStart w:id="56" w:name="_Toc101798264"/>
      <w:r>
        <w:rPr>
          <w:rFonts w:hint="eastAsia"/>
        </w:rPr>
        <w:t>3.2 预警</w:t>
      </w:r>
      <w:bookmarkEnd w:id="56"/>
    </w:p>
    <w:p>
      <w:pPr>
        <w:spacing w:after="0" w:line="560" w:lineRule="exact"/>
        <w:ind w:firstLine="560" w:firstLineChars="200"/>
        <w:rPr>
          <w:rFonts w:ascii="宋体" w:hAnsi="宋体" w:cs="宋体"/>
          <w:szCs w:val="24"/>
        </w:rPr>
      </w:pPr>
      <w:r>
        <w:rPr>
          <w:rFonts w:hint="eastAsia" w:ascii="宋体" w:hAnsi="宋体" w:cs="宋体"/>
          <w:szCs w:val="24"/>
        </w:rPr>
        <w:t>3</w:t>
      </w:r>
      <w:r>
        <w:rPr>
          <w:rFonts w:ascii="宋体" w:hAnsi="宋体" w:cs="宋体"/>
          <w:szCs w:val="24"/>
        </w:rPr>
        <w:t>.2.1</w:t>
      </w:r>
      <w:r>
        <w:rPr>
          <w:rFonts w:hint="eastAsia" w:ascii="宋体" w:hAnsi="宋体" w:cs="宋体"/>
          <w:szCs w:val="24"/>
        </w:rPr>
        <w:t>预警启动</w:t>
      </w:r>
    </w:p>
    <w:p>
      <w:pPr>
        <w:spacing w:after="0" w:line="560" w:lineRule="exact"/>
        <w:ind w:firstLine="560" w:firstLineChars="200"/>
        <w:rPr>
          <w:rFonts w:ascii="宋体" w:hAnsi="宋体" w:cs="宋体"/>
          <w:szCs w:val="24"/>
        </w:rPr>
      </w:pPr>
      <w:r>
        <w:rPr>
          <w:rFonts w:hint="eastAsia" w:ascii="宋体" w:hAnsi="宋体" w:cs="宋体"/>
          <w:szCs w:val="24"/>
        </w:rPr>
        <w:t>1</w:t>
      </w:r>
      <w:r>
        <w:rPr>
          <w:rFonts w:ascii="宋体" w:hAnsi="宋体" w:cs="宋体"/>
          <w:szCs w:val="24"/>
        </w:rPr>
        <w:t>.</w:t>
      </w:r>
      <w:r>
        <w:rPr>
          <w:rFonts w:hint="eastAsia" w:ascii="宋体" w:hAnsi="宋体" w:cs="宋体"/>
          <w:szCs w:val="24"/>
        </w:rPr>
        <w:t>企业应急指挥部通过以下途径，获取突发事件预报信息：</w:t>
      </w:r>
    </w:p>
    <w:p>
      <w:pPr>
        <w:spacing w:after="0" w:line="560" w:lineRule="exact"/>
        <w:ind w:firstLine="560" w:firstLineChars="200"/>
        <w:rPr>
          <w:rFonts w:ascii="宋体" w:hAnsi="宋体" w:cs="宋体"/>
          <w:szCs w:val="24"/>
        </w:rPr>
      </w:pPr>
      <w:r>
        <w:rPr>
          <w:rFonts w:hint="eastAsia" w:ascii="宋体" w:hAnsi="宋体" w:cs="宋体"/>
          <w:szCs w:val="24"/>
        </w:rPr>
        <w:t>（1）政府主管部门告知的预报信息；</w:t>
      </w:r>
    </w:p>
    <w:p>
      <w:pPr>
        <w:spacing w:after="0" w:line="560" w:lineRule="exact"/>
        <w:ind w:firstLine="560" w:firstLineChars="200"/>
        <w:rPr>
          <w:rFonts w:ascii="宋体" w:hAnsi="宋体" w:cs="宋体"/>
          <w:szCs w:val="24"/>
        </w:rPr>
      </w:pPr>
      <w:r>
        <w:rPr>
          <w:rFonts w:hint="eastAsia" w:ascii="宋体" w:hAnsi="宋体" w:cs="宋体"/>
          <w:szCs w:val="24"/>
        </w:rPr>
        <w:t>（2）通过政府新闻媒体公开发布的预警信息；</w:t>
      </w:r>
    </w:p>
    <w:p>
      <w:pPr>
        <w:spacing w:after="0" w:line="560" w:lineRule="exact"/>
        <w:ind w:firstLine="560" w:firstLineChars="200"/>
        <w:rPr>
          <w:rFonts w:ascii="宋体" w:hAnsi="宋体" w:cs="宋体"/>
          <w:szCs w:val="24"/>
        </w:rPr>
      </w:pPr>
      <w:r>
        <w:rPr>
          <w:rFonts w:hint="eastAsia" w:ascii="宋体" w:hAnsi="宋体" w:cs="宋体"/>
          <w:szCs w:val="24"/>
        </w:rPr>
        <w:t>（3）单位内部报告（监控）的预警信息；</w:t>
      </w:r>
    </w:p>
    <w:p>
      <w:pPr>
        <w:spacing w:after="0" w:line="560" w:lineRule="exact"/>
        <w:ind w:firstLine="560" w:firstLineChars="200"/>
        <w:rPr>
          <w:rFonts w:ascii="宋体" w:hAnsi="宋体" w:cs="宋体"/>
          <w:szCs w:val="24"/>
        </w:rPr>
      </w:pPr>
      <w:r>
        <w:rPr>
          <w:rFonts w:hint="eastAsia" w:ascii="宋体" w:hAnsi="宋体" w:cs="宋体"/>
          <w:szCs w:val="24"/>
        </w:rPr>
        <w:t>（4）接获政府有关部门、客户、社会群众和有关单位的报警信息；</w:t>
      </w:r>
    </w:p>
    <w:p>
      <w:pPr>
        <w:spacing w:after="0" w:line="560" w:lineRule="exact"/>
        <w:ind w:firstLine="560" w:firstLineChars="200"/>
        <w:rPr>
          <w:rFonts w:ascii="宋体" w:hAnsi="宋体" w:cs="宋体"/>
          <w:szCs w:val="24"/>
        </w:rPr>
      </w:pPr>
      <w:r>
        <w:rPr>
          <w:rFonts w:hint="eastAsia" w:ascii="宋体" w:hAnsi="宋体" w:cs="宋体"/>
          <w:szCs w:val="24"/>
        </w:rPr>
        <w:t>（5）经风险评估得出可能发生的一般事故A级以上的突发事件。</w:t>
      </w:r>
    </w:p>
    <w:p>
      <w:pPr>
        <w:spacing w:after="0" w:line="560" w:lineRule="exact"/>
        <w:ind w:firstLine="560" w:firstLineChars="200"/>
        <w:rPr>
          <w:rFonts w:ascii="宋体" w:hAnsi="宋体" w:cs="宋体"/>
          <w:szCs w:val="24"/>
        </w:rPr>
      </w:pPr>
      <w:r>
        <w:rPr>
          <w:rFonts w:hint="eastAsia" w:ascii="宋体" w:hAnsi="宋体" w:cs="宋体"/>
          <w:szCs w:val="24"/>
        </w:rPr>
        <w:t>本企业应急指挥部人员根据预报信息分析、判断突发事件的危害程度、紧急程度和发展态势。</w:t>
      </w:r>
    </w:p>
    <w:bookmarkEnd w:id="35"/>
    <w:bookmarkEnd w:id="36"/>
    <w:bookmarkEnd w:id="48"/>
    <w:bookmarkEnd w:id="49"/>
    <w:bookmarkEnd w:id="50"/>
    <w:bookmarkEnd w:id="51"/>
    <w:bookmarkEnd w:id="52"/>
    <w:p>
      <w:pPr>
        <w:spacing w:after="0" w:line="560" w:lineRule="exact"/>
        <w:ind w:firstLine="560" w:firstLineChars="200"/>
        <w:rPr>
          <w:rFonts w:ascii="宋体" w:hAnsi="宋体" w:cs="宋体"/>
          <w:szCs w:val="24"/>
        </w:rPr>
      </w:pPr>
      <w:bookmarkStart w:id="57" w:name="_Toc505002433"/>
      <w:bookmarkStart w:id="58" w:name="_Toc366488062"/>
      <w:r>
        <w:rPr>
          <w:rFonts w:ascii="宋体" w:hAnsi="宋体" w:cs="宋体"/>
          <w:szCs w:val="24"/>
        </w:rPr>
        <w:t>2.</w:t>
      </w:r>
      <w:r>
        <w:rPr>
          <w:rFonts w:hint="eastAsia" w:ascii="宋体" w:hAnsi="宋体" w:cs="宋体"/>
          <w:szCs w:val="24"/>
        </w:rPr>
        <w:t>预警条件</w:t>
      </w:r>
    </w:p>
    <w:p>
      <w:pPr>
        <w:spacing w:after="0" w:line="560" w:lineRule="exact"/>
        <w:ind w:firstLine="560" w:firstLineChars="200"/>
        <w:rPr>
          <w:rFonts w:ascii="宋体" w:hAnsi="宋体" w:cs="宋体"/>
          <w:szCs w:val="24"/>
        </w:rPr>
      </w:pPr>
      <w:r>
        <w:rPr>
          <w:rFonts w:hint="eastAsia" w:ascii="宋体" w:hAnsi="宋体" w:cs="宋体"/>
          <w:szCs w:val="24"/>
        </w:rPr>
        <w:t>根据事故征兆或隐患可能导致事故后果的严重性，将预警分为四级：</w:t>
      </w:r>
    </w:p>
    <w:p>
      <w:pPr>
        <w:spacing w:after="0" w:line="560" w:lineRule="exact"/>
        <w:ind w:firstLine="560" w:firstLineChars="200"/>
        <w:rPr>
          <w:rFonts w:ascii="宋体" w:hAnsi="宋体" w:cs="宋体"/>
          <w:szCs w:val="24"/>
        </w:rPr>
      </w:pPr>
      <w:r>
        <w:rPr>
          <w:rFonts w:hint="eastAsia" w:ascii="宋体" w:hAnsi="宋体" w:cs="宋体"/>
          <w:szCs w:val="24"/>
        </w:rPr>
        <w:t>一级预警（红色）：是指针对可能发生一般事故A级及以上事故的征兆或隐患而做出的相应预警。</w:t>
      </w:r>
    </w:p>
    <w:p>
      <w:pPr>
        <w:spacing w:after="0" w:line="560" w:lineRule="exact"/>
        <w:ind w:firstLine="560" w:firstLineChars="200"/>
        <w:rPr>
          <w:rFonts w:ascii="宋体" w:hAnsi="宋体" w:cs="宋体"/>
          <w:szCs w:val="24"/>
        </w:rPr>
      </w:pPr>
      <w:r>
        <w:rPr>
          <w:rFonts w:hint="eastAsia" w:ascii="宋体" w:hAnsi="宋体" w:cs="宋体"/>
          <w:szCs w:val="24"/>
        </w:rPr>
        <w:t>二级预警（橙色）：是指针对可能发生一般事故</w:t>
      </w:r>
      <w:r>
        <w:rPr>
          <w:rFonts w:ascii="宋体" w:hAnsi="宋体" w:cs="宋体"/>
          <w:szCs w:val="24"/>
        </w:rPr>
        <w:t>B</w:t>
      </w:r>
      <w:r>
        <w:rPr>
          <w:rFonts w:hint="eastAsia" w:ascii="宋体" w:hAnsi="宋体" w:cs="宋体"/>
          <w:szCs w:val="24"/>
        </w:rPr>
        <w:t>级事故的征兆或隐患而做出的相应预警。</w:t>
      </w:r>
    </w:p>
    <w:p>
      <w:pPr>
        <w:spacing w:after="0" w:line="560" w:lineRule="exact"/>
        <w:ind w:firstLine="560" w:firstLineChars="200"/>
        <w:rPr>
          <w:rFonts w:ascii="宋体" w:hAnsi="宋体" w:cs="宋体"/>
          <w:szCs w:val="24"/>
        </w:rPr>
      </w:pPr>
      <w:r>
        <w:rPr>
          <w:rFonts w:hint="eastAsia" w:ascii="宋体" w:hAnsi="宋体" w:cs="宋体"/>
          <w:szCs w:val="24"/>
        </w:rPr>
        <w:t>三级预警（黄色）：是指针对可能发生一般事故C级及以上事故的征兆或隐患而做出的相应预警。</w:t>
      </w:r>
    </w:p>
    <w:p>
      <w:pPr>
        <w:spacing w:after="0" w:line="560" w:lineRule="exact"/>
        <w:ind w:firstLine="560" w:firstLineChars="200"/>
        <w:rPr>
          <w:rFonts w:ascii="宋体" w:hAnsi="宋体" w:cs="宋体"/>
          <w:szCs w:val="24"/>
        </w:rPr>
      </w:pPr>
      <w:r>
        <w:rPr>
          <w:rFonts w:hint="eastAsia" w:ascii="宋体" w:hAnsi="宋体" w:cs="宋体"/>
          <w:szCs w:val="24"/>
        </w:rPr>
        <w:t>四级预警（蓝色）：是指针对可能发生一般事故D级及轻微事故的征兆或隐患而做出的相应预警。</w:t>
      </w:r>
    </w:p>
    <w:p>
      <w:pPr>
        <w:spacing w:after="0" w:line="560" w:lineRule="exact"/>
        <w:ind w:firstLine="560" w:firstLineChars="200"/>
        <w:rPr>
          <w:rFonts w:ascii="宋体" w:hAnsi="宋体" w:cs="宋体"/>
          <w:szCs w:val="24"/>
        </w:rPr>
      </w:pPr>
      <w:r>
        <w:rPr>
          <w:rFonts w:ascii="宋体" w:hAnsi="宋体" w:cs="宋体"/>
          <w:szCs w:val="24"/>
        </w:rPr>
        <w:t>3</w:t>
      </w:r>
      <w:r>
        <w:rPr>
          <w:rFonts w:hint="eastAsia" w:ascii="宋体" w:hAnsi="宋体" w:cs="宋体"/>
          <w:szCs w:val="24"/>
        </w:rPr>
        <w:t>.预警报告程序</w:t>
      </w:r>
    </w:p>
    <w:p>
      <w:pPr>
        <w:spacing w:after="0" w:line="560" w:lineRule="exact"/>
        <w:ind w:firstLine="560" w:firstLineChars="200"/>
        <w:rPr>
          <w:rFonts w:ascii="宋体" w:hAnsi="宋体" w:cs="宋体"/>
          <w:szCs w:val="24"/>
        </w:rPr>
      </w:pPr>
      <w:r>
        <w:rPr>
          <w:rFonts w:hint="eastAsia" w:ascii="宋体" w:hAnsi="宋体" w:cs="宋体"/>
          <w:szCs w:val="24"/>
        </w:rPr>
        <w:t>危险源监控系统报警或现场作业人员发现事故征兆或隐患时，发现人员应及时按照正确的途径逐级上报，不得迟报、瞒报、漏报和不报，若发生可能导致死亡事故或多人重伤的事故征兆或隐患时，可以越级上报或向当地政府部门进行报告。预警报告程序参照3</w:t>
      </w:r>
      <w:r>
        <w:rPr>
          <w:rFonts w:ascii="宋体" w:hAnsi="宋体" w:cs="宋体"/>
          <w:szCs w:val="24"/>
        </w:rPr>
        <w:t>.1</w:t>
      </w:r>
      <w:r>
        <w:rPr>
          <w:rFonts w:hint="eastAsia" w:ascii="宋体" w:hAnsi="宋体" w:cs="宋体"/>
          <w:szCs w:val="24"/>
        </w:rPr>
        <w:t>的规定执行。</w:t>
      </w:r>
    </w:p>
    <w:p>
      <w:pPr>
        <w:spacing w:after="0" w:line="560" w:lineRule="exact"/>
        <w:ind w:firstLine="560" w:firstLineChars="200"/>
        <w:rPr>
          <w:rFonts w:ascii="宋体" w:hAnsi="宋体" w:cs="宋体"/>
          <w:szCs w:val="24"/>
        </w:rPr>
      </w:pPr>
      <w:r>
        <w:rPr>
          <w:rFonts w:hint="eastAsia" w:ascii="宋体" w:hAnsi="宋体" w:cs="宋体"/>
          <w:szCs w:val="24"/>
        </w:rPr>
        <w:t>3．预警发布</w:t>
      </w:r>
    </w:p>
    <w:p>
      <w:pPr>
        <w:spacing w:after="0" w:line="560" w:lineRule="exact"/>
        <w:ind w:firstLine="560" w:firstLineChars="200"/>
        <w:rPr>
          <w:rFonts w:ascii="宋体" w:hAnsi="宋体" w:cs="宋体"/>
          <w:szCs w:val="24"/>
        </w:rPr>
      </w:pPr>
      <w:r>
        <w:rPr>
          <w:rFonts w:hint="eastAsia" w:ascii="宋体" w:hAnsi="宋体" w:cs="宋体"/>
          <w:szCs w:val="24"/>
        </w:rPr>
        <w:t>一级预警由企业负责人发布；</w:t>
      </w:r>
    </w:p>
    <w:p>
      <w:pPr>
        <w:spacing w:after="0" w:line="560" w:lineRule="exact"/>
        <w:ind w:firstLine="560" w:firstLineChars="200"/>
        <w:rPr>
          <w:rFonts w:ascii="宋体" w:hAnsi="宋体" w:cs="宋体"/>
          <w:szCs w:val="24"/>
        </w:rPr>
      </w:pPr>
      <w:r>
        <w:rPr>
          <w:rFonts w:hint="eastAsia" w:ascii="宋体" w:hAnsi="宋体" w:cs="宋体"/>
          <w:szCs w:val="24"/>
        </w:rPr>
        <w:t>二级预警由分管领导发布；</w:t>
      </w:r>
    </w:p>
    <w:p>
      <w:pPr>
        <w:spacing w:after="0" w:line="560" w:lineRule="exact"/>
        <w:ind w:firstLine="560" w:firstLineChars="200"/>
        <w:rPr>
          <w:rFonts w:ascii="宋体" w:hAnsi="宋体" w:cs="宋体"/>
          <w:szCs w:val="24"/>
        </w:rPr>
      </w:pPr>
      <w:r>
        <w:rPr>
          <w:rFonts w:hint="eastAsia" w:ascii="宋体" w:hAnsi="宋体" w:cs="宋体"/>
          <w:szCs w:val="24"/>
        </w:rPr>
        <w:t>三级预警由部门负责人发布；</w:t>
      </w:r>
    </w:p>
    <w:p>
      <w:pPr>
        <w:spacing w:after="0" w:line="560" w:lineRule="exact"/>
        <w:ind w:firstLine="560" w:firstLineChars="200"/>
        <w:rPr>
          <w:rFonts w:ascii="宋体" w:hAnsi="宋体" w:cs="宋体"/>
          <w:szCs w:val="24"/>
        </w:rPr>
      </w:pPr>
      <w:r>
        <w:rPr>
          <w:rFonts w:hint="eastAsia" w:ascii="宋体" w:hAnsi="宋体" w:cs="宋体"/>
          <w:szCs w:val="24"/>
        </w:rPr>
        <w:t>四级预警由部门负责人或现场负责人发布。</w:t>
      </w:r>
    </w:p>
    <w:p>
      <w:pPr>
        <w:spacing w:after="0" w:line="560" w:lineRule="exact"/>
        <w:ind w:firstLine="560" w:firstLineChars="200"/>
        <w:rPr>
          <w:rFonts w:ascii="宋体" w:hAnsi="宋体" w:cs="宋体"/>
          <w:szCs w:val="24"/>
        </w:rPr>
      </w:pPr>
      <w:r>
        <w:rPr>
          <w:rFonts w:hint="eastAsia" w:ascii="宋体" w:hAnsi="宋体" w:cs="宋体"/>
          <w:szCs w:val="24"/>
        </w:rPr>
        <w:t>预警发布可通过口头、网络、电话、短信、对讲机或广播等形式发布，也可通过逐级下达的方式。达到政府预警级别的，可借助政府平台发布。</w:t>
      </w:r>
    </w:p>
    <w:p>
      <w:pPr>
        <w:spacing w:after="0" w:line="560" w:lineRule="exact"/>
        <w:ind w:firstLine="560" w:firstLineChars="200"/>
        <w:rPr>
          <w:rFonts w:ascii="宋体" w:hAnsi="宋体" w:cs="宋体"/>
          <w:szCs w:val="24"/>
        </w:rPr>
      </w:pPr>
      <w:r>
        <w:rPr>
          <w:rFonts w:hint="eastAsia" w:ascii="宋体" w:hAnsi="宋体" w:cs="宋体"/>
          <w:szCs w:val="24"/>
        </w:rPr>
        <w:t>3.2.2响应准备</w:t>
      </w:r>
    </w:p>
    <w:p>
      <w:pPr>
        <w:spacing w:after="0" w:line="560" w:lineRule="exact"/>
        <w:ind w:firstLine="560" w:firstLineChars="200"/>
        <w:rPr>
          <w:rFonts w:ascii="宋体" w:hAnsi="宋体" w:cs="宋体"/>
          <w:szCs w:val="24"/>
        </w:rPr>
      </w:pPr>
      <w:r>
        <w:rPr>
          <w:rFonts w:hint="eastAsia" w:ascii="宋体" w:hAnsi="宋体" w:cs="宋体"/>
          <w:szCs w:val="24"/>
        </w:rPr>
        <w:t>根据预警级别，各级人员按3</w:t>
      </w:r>
      <w:r>
        <w:rPr>
          <w:rFonts w:ascii="宋体" w:hAnsi="宋体" w:cs="宋体"/>
          <w:szCs w:val="24"/>
        </w:rPr>
        <w:t>.3.1</w:t>
      </w:r>
      <w:r>
        <w:rPr>
          <w:rFonts w:hint="eastAsia" w:ascii="宋体" w:hAnsi="宋体" w:cs="宋体"/>
          <w:szCs w:val="24"/>
        </w:rPr>
        <w:t>规定的对应响应级别的要求做好应急准备。</w:t>
      </w:r>
    </w:p>
    <w:p>
      <w:pPr>
        <w:spacing w:after="0" w:line="560" w:lineRule="exact"/>
        <w:ind w:firstLine="560" w:firstLineChars="200"/>
        <w:rPr>
          <w:rFonts w:ascii="宋体" w:hAnsi="宋体" w:cs="宋体"/>
          <w:szCs w:val="24"/>
        </w:rPr>
      </w:pPr>
      <w:r>
        <w:rPr>
          <w:rFonts w:ascii="宋体" w:hAnsi="宋体" w:cs="宋体"/>
          <w:szCs w:val="24"/>
        </w:rPr>
        <w:t>1.</w:t>
      </w:r>
      <w:r>
        <w:rPr>
          <w:rFonts w:hint="eastAsia" w:ascii="宋体" w:hAnsi="宋体" w:cs="宋体"/>
          <w:szCs w:val="24"/>
        </w:rPr>
        <w:t>对应级别人员、应急救援队伍、负有特定职责的人员进入待命状态，并动员后备人员做好参加应急救援和处置工作的准备。</w:t>
      </w:r>
    </w:p>
    <w:p>
      <w:pPr>
        <w:spacing w:after="0" w:line="560" w:lineRule="exact"/>
        <w:ind w:firstLine="560" w:firstLineChars="200"/>
        <w:rPr>
          <w:rFonts w:ascii="宋体" w:hAnsi="宋体" w:cs="宋体"/>
          <w:szCs w:val="24"/>
        </w:rPr>
      </w:pPr>
      <w:r>
        <w:rPr>
          <w:rFonts w:ascii="宋体" w:hAnsi="宋体" w:cs="宋体"/>
          <w:szCs w:val="24"/>
        </w:rPr>
        <w:t>2.</w:t>
      </w:r>
      <w:r>
        <w:rPr>
          <w:rFonts w:hint="eastAsia" w:ascii="宋体" w:hAnsi="宋体" w:cs="宋体"/>
          <w:szCs w:val="24"/>
        </w:rPr>
        <w:t>调集应急救援所需物资、设备、工具，准备应急设施和避难场所，并确保其处于良好状态、随时可以投入正常使用。</w:t>
      </w:r>
    </w:p>
    <w:p>
      <w:pPr>
        <w:spacing w:after="0" w:line="560" w:lineRule="exact"/>
        <w:ind w:firstLine="560" w:firstLineChars="200"/>
        <w:rPr>
          <w:rFonts w:ascii="宋体" w:hAnsi="宋体" w:cs="宋体"/>
          <w:szCs w:val="24"/>
        </w:rPr>
      </w:pPr>
      <w:r>
        <w:rPr>
          <w:rFonts w:ascii="宋体" w:hAnsi="宋体" w:cs="宋体"/>
          <w:szCs w:val="24"/>
        </w:rPr>
        <w:t>3.</w:t>
      </w:r>
      <w:r>
        <w:rPr>
          <w:rFonts w:hint="eastAsia" w:ascii="宋体" w:hAnsi="宋体" w:cs="宋体"/>
          <w:szCs w:val="24"/>
        </w:rPr>
        <w:t>加强对重点单位、重要部位的安全保卫；确保重要供气设施设备的安全和正常运行。</w:t>
      </w:r>
    </w:p>
    <w:p>
      <w:pPr>
        <w:spacing w:after="0" w:line="560" w:lineRule="exact"/>
        <w:ind w:firstLine="560" w:firstLineChars="200"/>
        <w:rPr>
          <w:rFonts w:ascii="宋体" w:hAnsi="宋体" w:cs="宋体"/>
          <w:szCs w:val="24"/>
        </w:rPr>
      </w:pPr>
      <w:r>
        <w:rPr>
          <w:rFonts w:hint="eastAsia" w:ascii="宋体" w:hAnsi="宋体" w:cs="宋体"/>
          <w:szCs w:val="24"/>
        </w:rPr>
        <w:t>3.2.3预警解除</w:t>
      </w:r>
    </w:p>
    <w:p>
      <w:pPr>
        <w:spacing w:after="0" w:line="560" w:lineRule="exact"/>
        <w:ind w:firstLine="560" w:firstLineChars="200"/>
        <w:rPr>
          <w:rFonts w:ascii="宋体" w:hAnsi="宋体" w:cs="宋体"/>
          <w:szCs w:val="24"/>
        </w:rPr>
      </w:pPr>
      <w:r>
        <w:rPr>
          <w:rFonts w:hint="eastAsia" w:ascii="宋体" w:hAnsi="宋体" w:cs="宋体"/>
          <w:szCs w:val="24"/>
        </w:rPr>
        <w:t>现场负责人员在充分了解和认真分析事故现场情况后，确认事故现场对相关人员和周边环境不会再造成危害，事故现场得以控制，事故隐患消除后，报告预警发布人员解除预警。预警发布人员按3</w:t>
      </w:r>
      <w:r>
        <w:rPr>
          <w:rFonts w:ascii="宋体" w:hAnsi="宋体" w:cs="宋体"/>
          <w:szCs w:val="24"/>
        </w:rPr>
        <w:t>.1.2</w:t>
      </w:r>
      <w:r>
        <w:rPr>
          <w:rFonts w:hint="eastAsia" w:ascii="宋体" w:hAnsi="宋体" w:cs="宋体"/>
          <w:szCs w:val="24"/>
        </w:rPr>
        <w:t>的规定重新进行研判确认后，宣布预警解除。并通知本单位相关部门、周边社区及人员事故危险已解除。</w:t>
      </w:r>
    </w:p>
    <w:p>
      <w:pPr>
        <w:pStyle w:val="7"/>
      </w:pPr>
      <w:bookmarkStart w:id="59" w:name="_Toc101798265"/>
      <w:r>
        <w:rPr>
          <w:rFonts w:hint="eastAsia"/>
        </w:rPr>
        <w:t>3.3响应启动</w:t>
      </w:r>
      <w:bookmarkEnd w:id="59"/>
    </w:p>
    <w:p>
      <w:pPr>
        <w:shd w:val="clear" w:color="auto" w:fill="FFFFFF"/>
        <w:spacing w:after="0"/>
        <w:ind w:firstLine="560" w:firstLineChars="200"/>
        <w:rPr>
          <w:rFonts w:ascii="宋体" w:hAnsi="宋体" w:cs="宋体"/>
          <w:szCs w:val="24"/>
        </w:rPr>
      </w:pPr>
      <w:bookmarkStart w:id="60" w:name="_Toc430294362"/>
      <w:r>
        <w:rPr>
          <w:rFonts w:hint="eastAsia" w:ascii="宋体" w:hAnsi="宋体" w:cs="宋体"/>
          <w:szCs w:val="24"/>
        </w:rPr>
        <w:t>3.3.1响应级别</w:t>
      </w:r>
    </w:p>
    <w:p>
      <w:pPr>
        <w:spacing w:after="0" w:line="560" w:lineRule="exact"/>
        <w:ind w:firstLine="560" w:firstLineChars="200"/>
        <w:rPr>
          <w:rFonts w:ascii="宋体" w:hAnsi="宋体" w:cs="宋体"/>
          <w:szCs w:val="24"/>
        </w:rPr>
      </w:pPr>
      <w:r>
        <w:rPr>
          <w:rFonts w:hint="eastAsia" w:ascii="宋体" w:hAnsi="宋体" w:cs="宋体"/>
          <w:szCs w:val="24"/>
        </w:rPr>
        <w:t xml:space="preserve">依据事故已造成或可能造成的危害程度、波及范围、影响力大小、人员及财产损失等情况，由高到低划分为Ⅰ级、Ⅱ级、Ⅲ级、Ⅳ级四个级别。（研判并发布应急响应指令的权限划分见 </w:t>
      </w:r>
      <w:r>
        <w:rPr>
          <w:rFonts w:hint="eastAsia" w:ascii="宋体" w:hAnsi="宋体" w:cs="宋体"/>
          <w:szCs w:val="28"/>
        </w:rPr>
        <w:t>3.1.</w:t>
      </w:r>
      <w:r>
        <w:rPr>
          <w:rFonts w:ascii="宋体" w:hAnsi="宋体" w:cs="宋体"/>
          <w:szCs w:val="28"/>
        </w:rPr>
        <w:t>2</w:t>
      </w:r>
      <w:r>
        <w:rPr>
          <w:rFonts w:hint="eastAsia" w:ascii="宋体" w:hAnsi="宋体" w:cs="宋体"/>
          <w:szCs w:val="28"/>
        </w:rPr>
        <w:t>信息处置与研判</w:t>
      </w:r>
      <w:r>
        <w:rPr>
          <w:rFonts w:hint="eastAsia" w:ascii="宋体" w:hAnsi="宋体" w:cs="宋体"/>
          <w:szCs w:val="24"/>
        </w:rPr>
        <w:t>）</w:t>
      </w:r>
    </w:p>
    <w:p>
      <w:pPr>
        <w:spacing w:after="0" w:line="560" w:lineRule="exact"/>
        <w:ind w:firstLine="560" w:firstLineChars="200"/>
        <w:rPr>
          <w:rFonts w:ascii="宋体" w:hAnsi="宋体" w:cs="宋体"/>
          <w:szCs w:val="24"/>
        </w:rPr>
      </w:pPr>
      <w:r>
        <w:rPr>
          <w:rFonts w:hint="eastAsia" w:ascii="宋体" w:hAnsi="宋体" w:cs="宋体"/>
          <w:szCs w:val="24"/>
        </w:rPr>
        <w:t>Ⅰ级响应：当发生公司</w:t>
      </w:r>
      <w:r>
        <w:rPr>
          <w:rFonts w:hint="eastAsia" w:ascii="宋体" w:hAnsi="宋体" w:cs="宋体"/>
          <w:szCs w:val="24"/>
          <w:lang w:eastAsia="zh-CN"/>
        </w:rPr>
        <w:t>级</w:t>
      </w:r>
      <w:r>
        <w:rPr>
          <w:rFonts w:hint="eastAsia" w:ascii="宋体" w:hAnsi="宋体" w:cs="宋体"/>
          <w:szCs w:val="24"/>
        </w:rPr>
        <w:t>重大事故时，启动Ⅰ级应急响应。由公司应急救援指挥部指挥长赶赴现场，并亲自担任现场指挥。公司各应急救援小组按职责参与救援工作，进行灾情控制和先期处置，随时向政府有关部门报告现场及救援工作进展情况情况，向可救援的力量请求协助。待政府按事故相应级别启动预案后并进行指挥时，进行指挥权的移交，并在政府统一指挥下开展救援工作。</w:t>
      </w:r>
    </w:p>
    <w:p>
      <w:pPr>
        <w:spacing w:after="0" w:line="560" w:lineRule="exact"/>
        <w:ind w:firstLine="560" w:firstLineChars="200"/>
        <w:rPr>
          <w:rFonts w:ascii="宋体" w:hAnsi="宋体" w:cs="宋体"/>
          <w:szCs w:val="24"/>
        </w:rPr>
      </w:pPr>
      <w:r>
        <w:rPr>
          <w:rFonts w:hint="eastAsia" w:ascii="宋体" w:hAnsi="宋体" w:cs="宋体"/>
          <w:szCs w:val="24"/>
        </w:rPr>
        <w:t>Ⅱ级响应：</w:t>
      </w:r>
      <w:r>
        <w:rPr>
          <w:rFonts w:hint="eastAsia" w:ascii="宋体" w:hAnsi="宋体" w:cs="宋体"/>
          <w:szCs w:val="24"/>
          <w:lang w:eastAsia="zh-CN"/>
        </w:rPr>
        <w:t>当</w:t>
      </w:r>
      <w:r>
        <w:rPr>
          <w:rFonts w:hint="eastAsia" w:ascii="宋体" w:hAnsi="宋体" w:cs="宋体"/>
          <w:szCs w:val="24"/>
        </w:rPr>
        <w:t>发生</w:t>
      </w:r>
      <w:bookmarkStart w:id="61" w:name="_Hlk101633845"/>
      <w:r>
        <w:rPr>
          <w:rFonts w:hint="eastAsia" w:ascii="宋体" w:hAnsi="宋体" w:cs="宋体"/>
          <w:szCs w:val="24"/>
        </w:rPr>
        <w:t>公司</w:t>
      </w:r>
      <w:r>
        <w:rPr>
          <w:rFonts w:hint="eastAsia" w:ascii="宋体" w:hAnsi="宋体" w:cs="宋体"/>
          <w:szCs w:val="24"/>
          <w:lang w:eastAsia="zh-CN"/>
        </w:rPr>
        <w:t>级较大</w:t>
      </w:r>
      <w:r>
        <w:rPr>
          <w:rFonts w:hint="eastAsia" w:ascii="宋体" w:hAnsi="宋体" w:cs="宋体"/>
          <w:szCs w:val="24"/>
        </w:rPr>
        <w:t>事故</w:t>
      </w:r>
      <w:bookmarkEnd w:id="61"/>
      <w:r>
        <w:rPr>
          <w:rFonts w:hint="eastAsia" w:ascii="宋体" w:hAnsi="宋体" w:cs="宋体"/>
          <w:szCs w:val="24"/>
        </w:rPr>
        <w:t>时，启动Ⅱ级应急响应。公司应急救援指挥部指挥长靠前指挥，视情况到现场，指派副指挥长或事发部门分管领导担任现场指挥，公司各应急救援小组按职责参与救援工作，进行灾情控制和应急处置，及时向政府有关部门报告现场及救援工作进展情况。</w:t>
      </w:r>
    </w:p>
    <w:p>
      <w:pPr>
        <w:spacing w:after="0" w:line="560" w:lineRule="exact"/>
        <w:ind w:firstLine="560" w:firstLineChars="200"/>
        <w:rPr>
          <w:rFonts w:ascii="宋体" w:hAnsi="宋体" w:cs="宋体"/>
          <w:szCs w:val="24"/>
        </w:rPr>
      </w:pPr>
      <w:bookmarkStart w:id="62" w:name="_Hlk101596115"/>
      <w:r>
        <w:rPr>
          <w:rFonts w:hint="eastAsia" w:ascii="宋体" w:hAnsi="宋体" w:cs="宋体"/>
          <w:szCs w:val="24"/>
        </w:rPr>
        <w:t>Ⅲ</w:t>
      </w:r>
      <w:bookmarkEnd w:id="62"/>
      <w:r>
        <w:rPr>
          <w:rFonts w:hint="eastAsia" w:ascii="宋体" w:hAnsi="宋体" w:cs="宋体"/>
          <w:szCs w:val="24"/>
        </w:rPr>
        <w:t>级响应：</w:t>
      </w:r>
      <w:r>
        <w:rPr>
          <w:rFonts w:hint="eastAsia" w:ascii="宋体" w:hAnsi="宋体" w:cs="宋体"/>
          <w:szCs w:val="24"/>
          <w:lang w:eastAsia="zh-CN"/>
        </w:rPr>
        <w:t>当</w:t>
      </w:r>
      <w:r>
        <w:rPr>
          <w:rFonts w:hint="eastAsia" w:ascii="宋体" w:hAnsi="宋体" w:cs="宋体"/>
          <w:szCs w:val="24"/>
        </w:rPr>
        <w:t>发生公司</w:t>
      </w:r>
      <w:r>
        <w:rPr>
          <w:rFonts w:hint="eastAsia" w:ascii="宋体" w:hAnsi="宋体" w:cs="宋体"/>
          <w:szCs w:val="24"/>
          <w:lang w:eastAsia="zh-CN"/>
        </w:rPr>
        <w:t>级</w:t>
      </w:r>
      <w:r>
        <w:rPr>
          <w:rFonts w:hint="eastAsia" w:ascii="宋体" w:hAnsi="宋体" w:cs="宋体"/>
          <w:szCs w:val="24"/>
        </w:rPr>
        <w:t>一般事故时，启动Ⅲ级应急响应。事发部门分管领导向指挥长报告后，靠前指挥，视情况到现场，指派事发部门负责人担任现场指挥，公司各应急救援小组按职责配合开展救援工作，按规定向政府有关部门报告现场及救援工作进展情况。</w:t>
      </w:r>
    </w:p>
    <w:p>
      <w:pPr>
        <w:spacing w:after="0" w:line="560" w:lineRule="exact"/>
        <w:ind w:firstLine="560" w:firstLineChars="200"/>
        <w:rPr>
          <w:rFonts w:ascii="宋体" w:hAnsi="宋体" w:cs="宋体"/>
          <w:szCs w:val="24"/>
        </w:rPr>
      </w:pPr>
      <w:r>
        <w:rPr>
          <w:rFonts w:hint="eastAsia" w:ascii="宋体" w:hAnsi="宋体" w:cs="宋体"/>
          <w:szCs w:val="24"/>
        </w:rPr>
        <w:t>Ⅳ级响应：</w:t>
      </w:r>
      <w:r>
        <w:rPr>
          <w:rFonts w:hint="eastAsia" w:ascii="宋体" w:hAnsi="宋体" w:cs="宋体"/>
          <w:szCs w:val="24"/>
          <w:lang w:eastAsia="zh-CN"/>
        </w:rPr>
        <w:t>当</w:t>
      </w:r>
      <w:r>
        <w:rPr>
          <w:rFonts w:hint="eastAsia" w:ascii="宋体" w:hAnsi="宋体" w:cs="宋体"/>
          <w:szCs w:val="24"/>
        </w:rPr>
        <w:t>发生公司</w:t>
      </w:r>
      <w:r>
        <w:rPr>
          <w:rFonts w:hint="eastAsia" w:ascii="宋体" w:hAnsi="宋体" w:cs="宋体"/>
          <w:szCs w:val="24"/>
          <w:lang w:eastAsia="zh-CN"/>
        </w:rPr>
        <w:t>级轻微</w:t>
      </w:r>
      <w:r>
        <w:rPr>
          <w:rFonts w:hint="eastAsia" w:ascii="宋体" w:hAnsi="宋体" w:cs="宋体"/>
          <w:szCs w:val="24"/>
        </w:rPr>
        <w:t>事故时，事发部门负责人向分管领导报告后，靠前指挥，视情况到现场或指派相关班组进行现场处置。超出部门处置能力时，及时报公司应急救援指挥部。</w:t>
      </w:r>
    </w:p>
    <w:p>
      <w:pPr>
        <w:pStyle w:val="19"/>
        <w:spacing w:after="0" w:line="560" w:lineRule="exact"/>
        <w:ind w:firstLine="560" w:firstLineChars="200"/>
        <w:rPr>
          <w:rFonts w:ascii="宋体" w:hAnsi="宋体"/>
          <w:i w:val="0"/>
          <w:sz w:val="28"/>
        </w:rPr>
      </w:pPr>
      <w:r>
        <w:rPr>
          <w:rFonts w:hint="eastAsia" w:ascii="宋体" w:hAnsi="宋体"/>
          <w:i w:val="0"/>
          <w:sz w:val="28"/>
        </w:rPr>
        <w:t>注1：以上分级原则企业可视外部要求、现场情况等因素而进行提级管理，提级后按新级别进行响应。</w:t>
      </w:r>
    </w:p>
    <w:p>
      <w:pPr>
        <w:pStyle w:val="19"/>
        <w:spacing w:after="0" w:line="560" w:lineRule="exact"/>
        <w:ind w:firstLine="560" w:firstLineChars="200"/>
        <w:rPr>
          <w:rFonts w:ascii="宋体" w:hAnsi="宋体"/>
          <w:i w:val="0"/>
          <w:sz w:val="28"/>
        </w:rPr>
      </w:pPr>
      <w:r>
        <w:rPr>
          <w:rFonts w:hint="eastAsia" w:ascii="宋体" w:hAnsi="宋体"/>
          <w:i w:val="0"/>
          <w:sz w:val="28"/>
        </w:rPr>
        <w:t>注2：发生公司</w:t>
      </w:r>
      <w:r>
        <w:rPr>
          <w:rFonts w:hint="eastAsia" w:ascii="宋体" w:hAnsi="宋体"/>
          <w:i w:val="0"/>
          <w:sz w:val="28"/>
          <w:lang w:eastAsia="zh-CN"/>
        </w:rPr>
        <w:t>级较大</w:t>
      </w:r>
      <w:r>
        <w:rPr>
          <w:rFonts w:hint="eastAsia" w:ascii="宋体" w:hAnsi="宋体"/>
          <w:i w:val="0"/>
          <w:sz w:val="28"/>
        </w:rPr>
        <w:t>事故时</w:t>
      </w:r>
      <w:r>
        <w:rPr>
          <w:rFonts w:hint="eastAsia" w:ascii="宋体" w:hAnsi="宋体"/>
          <w:i w:val="0"/>
          <w:sz w:val="28"/>
        </w:rPr>
        <w:t>，当政府认为有必要启动政府应急响应并进行直接指挥时，企业响应级别自动</w:t>
      </w:r>
      <w:bookmarkStart w:id="457" w:name="_GoBack"/>
      <w:bookmarkEnd w:id="457"/>
      <w:r>
        <w:rPr>
          <w:rFonts w:hint="eastAsia" w:ascii="宋体" w:hAnsi="宋体"/>
          <w:i w:val="0"/>
          <w:sz w:val="28"/>
        </w:rPr>
        <w:t>提升为Ⅰ级，并按Ⅰ级响应要求进行处置。</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3</w:t>
      </w:r>
      <w:r>
        <w:rPr>
          <w:rFonts w:ascii="宋体" w:hAnsi="宋体" w:cs="宋体"/>
          <w:szCs w:val="28"/>
          <w:shd w:val="clear" w:color="auto" w:fill="FFFFFF"/>
          <w:lang w:bidi="ar"/>
        </w:rPr>
        <w:t>.3.2</w:t>
      </w:r>
      <w:r>
        <w:rPr>
          <w:rFonts w:hint="eastAsia" w:ascii="宋体" w:hAnsi="宋体" w:cs="宋体"/>
          <w:szCs w:val="28"/>
          <w:shd w:val="clear" w:color="auto" w:fill="FFFFFF"/>
          <w:lang w:bidi="ar"/>
        </w:rPr>
        <w:t>现场应急会议</w:t>
      </w:r>
      <w:bookmarkEnd w:id="60"/>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1、</w:t>
      </w:r>
      <w:r>
        <w:rPr>
          <w:rFonts w:hint="eastAsia" w:ascii="宋体" w:hAnsi="宋体" w:cs="宋体"/>
          <w:szCs w:val="24"/>
        </w:rPr>
        <w:t>Ⅲ级以上响应应</w:t>
      </w:r>
      <w:r>
        <w:rPr>
          <w:rFonts w:hint="eastAsia" w:ascii="宋体" w:hAnsi="宋体" w:cs="宋体"/>
          <w:szCs w:val="28"/>
          <w:shd w:val="clear" w:color="auto" w:fill="FFFFFF"/>
          <w:lang w:bidi="ar"/>
        </w:rPr>
        <w:t>成立现场指挥部，</w:t>
      </w:r>
      <w:r>
        <w:rPr>
          <w:rFonts w:hint="eastAsia" w:ascii="宋体" w:hAnsi="宋体" w:cs="宋体"/>
          <w:szCs w:val="24"/>
        </w:rPr>
        <w:t>Ⅳ级响应可以不成立现场指挥部，但应明确现场负责人员。</w:t>
      </w:r>
      <w:r>
        <w:rPr>
          <w:rFonts w:hint="eastAsia" w:ascii="宋体" w:hAnsi="宋体" w:cs="宋体"/>
          <w:szCs w:val="28"/>
          <w:shd w:val="clear" w:color="auto" w:fill="FFFFFF"/>
          <w:lang w:bidi="ar"/>
        </w:rPr>
        <w:t>现场指挥部应急会议由本企业现场指挥主持召开。会议内容包括但不限于：</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（1）通报生产安全事故情况；</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（2）明确现场应急救援工作要求；</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（3）明确各应急工作组成和任务；</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（4）初步判断所需调配的内外部应急资源；</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（5）确定应急上报的地方政府有关部门和内容。</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3、现场指挥根据事态发展及处置情况，适时召开后续应急会议。</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4、现场指挥部负责应急会议记录，形成会议纪要。</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5、现场指挥部建立各应急工作组之间的信息沟通渠道，沟通、传达相关信息。</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6、各应急专业组落实工作任务，及时将负责的工作情况及决定报告现场指挥。</w:t>
      </w:r>
    </w:p>
    <w:p>
      <w:pPr>
        <w:shd w:val="clear" w:color="auto" w:fill="FFFFFF"/>
        <w:spacing w:after="0" w:line="560" w:lineRule="exact"/>
        <w:ind w:firstLine="560" w:firstLineChars="200"/>
        <w:rPr>
          <w:rFonts w:ascii="宋体" w:hAnsi="宋体" w:cs="宋体"/>
          <w:szCs w:val="28"/>
          <w:shd w:val="clear" w:color="auto" w:fill="FFFFFF"/>
          <w:lang w:bidi="ar"/>
        </w:rPr>
      </w:pPr>
      <w:bookmarkStart w:id="63" w:name="_Toc430294363"/>
      <w:bookmarkStart w:id="64" w:name="_Toc307921634"/>
      <w:r>
        <w:rPr>
          <w:rFonts w:hint="eastAsia" w:ascii="宋体" w:hAnsi="宋体" w:cs="宋体"/>
          <w:szCs w:val="28"/>
          <w:shd w:val="clear" w:color="auto" w:fill="FFFFFF"/>
          <w:lang w:bidi="ar"/>
        </w:rPr>
        <w:t>3.3.</w:t>
      </w:r>
      <w:r>
        <w:rPr>
          <w:rFonts w:ascii="宋体" w:hAnsi="宋体" w:cs="宋体"/>
          <w:szCs w:val="28"/>
          <w:shd w:val="clear" w:color="auto" w:fill="FFFFFF"/>
          <w:lang w:bidi="ar"/>
        </w:rPr>
        <w:t>3</w:t>
      </w:r>
      <w:r>
        <w:rPr>
          <w:rFonts w:hint="eastAsia" w:ascii="宋体" w:hAnsi="宋体" w:cs="宋体"/>
          <w:szCs w:val="28"/>
          <w:shd w:val="clear" w:color="auto" w:fill="FFFFFF"/>
          <w:lang w:bidi="ar"/>
        </w:rPr>
        <w:t xml:space="preserve"> </w:t>
      </w:r>
      <w:bookmarkEnd w:id="63"/>
      <w:r>
        <w:rPr>
          <w:rFonts w:hint="eastAsia" w:ascii="宋体" w:hAnsi="宋体" w:cs="宋体"/>
          <w:szCs w:val="28"/>
          <w:shd w:val="clear" w:color="auto" w:fill="FFFFFF"/>
          <w:lang w:bidi="ar"/>
        </w:rPr>
        <w:t>信息上报</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1</w:t>
      </w:r>
      <w:r>
        <w:rPr>
          <w:rFonts w:ascii="宋体" w:hAnsi="宋体" w:cs="宋体"/>
          <w:szCs w:val="28"/>
          <w:shd w:val="clear" w:color="auto" w:fill="FFFFFF"/>
          <w:lang w:bidi="ar"/>
        </w:rPr>
        <w:t>.</w:t>
      </w:r>
      <w:r>
        <w:rPr>
          <w:rFonts w:hint="eastAsia" w:ascii="宋体" w:hAnsi="宋体" w:cs="宋体"/>
          <w:szCs w:val="28"/>
          <w:shd w:val="clear" w:color="auto" w:fill="FFFFFF"/>
          <w:lang w:bidi="ar"/>
        </w:rPr>
        <w:t>初报、补报</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信息的初报、补报的要求见3</w:t>
      </w:r>
      <w:r>
        <w:rPr>
          <w:rFonts w:ascii="宋体" w:hAnsi="宋体" w:cs="宋体"/>
          <w:szCs w:val="28"/>
          <w:shd w:val="clear" w:color="auto" w:fill="FFFFFF"/>
          <w:lang w:bidi="ar"/>
        </w:rPr>
        <w:t>.1.1</w:t>
      </w:r>
      <w:r>
        <w:rPr>
          <w:rFonts w:hint="eastAsia" w:ascii="宋体" w:hAnsi="宋体" w:cs="宋体"/>
          <w:szCs w:val="28"/>
          <w:shd w:val="clear" w:color="auto" w:fill="FFFFFF"/>
          <w:lang w:bidi="ar"/>
        </w:rPr>
        <w:t>。</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2</w:t>
      </w:r>
      <w:r>
        <w:rPr>
          <w:rFonts w:ascii="宋体" w:hAnsi="宋体" w:cs="宋体"/>
          <w:szCs w:val="28"/>
          <w:shd w:val="clear" w:color="auto" w:fill="FFFFFF"/>
          <w:lang w:bidi="ar"/>
        </w:rPr>
        <w:t>.</w:t>
      </w:r>
      <w:r>
        <w:rPr>
          <w:rFonts w:hint="eastAsia" w:ascii="宋体" w:hAnsi="宋体" w:cs="宋体"/>
          <w:szCs w:val="28"/>
          <w:shd w:val="clear" w:color="auto" w:fill="FFFFFF"/>
          <w:lang w:bidi="ar"/>
        </w:rPr>
        <w:t>续报</w:t>
      </w:r>
    </w:p>
    <w:p>
      <w:pPr>
        <w:shd w:val="clear" w:color="auto" w:fill="FFFFFF"/>
        <w:spacing w:after="0" w:line="560" w:lineRule="exact"/>
        <w:ind w:firstLine="560" w:firstLineChars="200"/>
        <w:rPr>
          <w:rFonts w:ascii="宋体" w:hAnsi="宋体" w:cs="宋体"/>
          <w:iCs/>
          <w:szCs w:val="28"/>
          <w:shd w:val="clear" w:color="auto" w:fill="FFFFFF"/>
          <w:lang w:bidi="ar"/>
        </w:rPr>
      </w:pPr>
      <w:r>
        <w:rPr>
          <w:rFonts w:hint="eastAsia" w:ascii="宋体" w:hAnsi="宋体" w:cs="宋体"/>
          <w:szCs w:val="28"/>
          <w:shd w:val="clear" w:color="auto" w:fill="FFFFFF"/>
          <w:lang w:bidi="ar"/>
        </w:rPr>
        <w:t>现场指挥部（负责人员）要随时收集现场信息及事故处置进展情况，及时报告企业应急响应级别对应负责人。</w:t>
      </w:r>
      <w:r>
        <w:rPr>
          <w:rFonts w:hint="eastAsia" w:ascii="宋体" w:hAnsi="宋体" w:cs="宋体"/>
          <w:iCs/>
          <w:szCs w:val="28"/>
          <w:shd w:val="clear" w:color="auto" w:fill="FFFFFF"/>
          <w:lang w:bidi="ar"/>
        </w:rPr>
        <w:t>续报由负有事故联络职责的人员或指挥部指派人员负责。</w:t>
      </w:r>
    </w:p>
    <w:p>
      <w:pPr>
        <w:pStyle w:val="19"/>
        <w:spacing w:after="0" w:line="560" w:lineRule="exact"/>
        <w:ind w:firstLine="560" w:firstLineChars="200"/>
        <w:rPr>
          <w:rFonts w:ascii="宋体" w:hAnsi="宋体"/>
          <w:i w:val="0"/>
          <w:sz w:val="28"/>
          <w:szCs w:val="28"/>
          <w:shd w:val="clear" w:color="auto" w:fill="FFFFFF"/>
          <w:lang w:bidi="ar"/>
        </w:rPr>
      </w:pPr>
      <w:r>
        <w:rPr>
          <w:rFonts w:hint="eastAsia" w:ascii="宋体" w:hAnsi="宋体"/>
          <w:i w:val="0"/>
          <w:sz w:val="28"/>
          <w:szCs w:val="28"/>
          <w:shd w:val="clear" w:color="auto" w:fill="FFFFFF"/>
          <w:lang w:bidi="ar"/>
        </w:rPr>
        <w:t>3.事故调查上报</w:t>
      </w:r>
    </w:p>
    <w:p>
      <w:pPr>
        <w:pStyle w:val="19"/>
        <w:spacing w:after="0" w:line="560" w:lineRule="exact"/>
        <w:ind w:firstLine="560" w:firstLineChars="200"/>
        <w:rPr>
          <w:rFonts w:ascii="宋体" w:hAnsi="宋体"/>
          <w:i w:val="0"/>
          <w:sz w:val="28"/>
          <w:szCs w:val="28"/>
          <w:shd w:val="clear" w:color="auto" w:fill="FFFFFF"/>
          <w:lang w:bidi="ar"/>
        </w:rPr>
      </w:pPr>
      <w:r>
        <w:rPr>
          <w:rFonts w:hint="eastAsia" w:ascii="宋体" w:hAnsi="宋体"/>
          <w:i w:val="0"/>
          <w:sz w:val="28"/>
          <w:szCs w:val="28"/>
          <w:shd w:val="clear" w:color="auto" w:fill="FFFFFF"/>
          <w:lang w:bidi="ar"/>
        </w:rPr>
        <w:t>详见3</w:t>
      </w:r>
      <w:r>
        <w:rPr>
          <w:rFonts w:ascii="宋体" w:hAnsi="宋体"/>
          <w:i w:val="0"/>
          <w:sz w:val="28"/>
          <w:szCs w:val="28"/>
          <w:shd w:val="clear" w:color="auto" w:fill="FFFFFF"/>
          <w:lang w:bidi="ar"/>
        </w:rPr>
        <w:t>.6.2.</w:t>
      </w:r>
    </w:p>
    <w:p>
      <w:pPr>
        <w:shd w:val="clear" w:color="auto" w:fill="FFFFFF"/>
        <w:spacing w:after="0" w:line="560" w:lineRule="exact"/>
        <w:ind w:firstLine="560" w:firstLineChars="200"/>
        <w:rPr>
          <w:rFonts w:ascii="宋体" w:hAnsi="宋体" w:cs="宋体"/>
          <w:szCs w:val="28"/>
          <w:shd w:val="clear" w:color="auto" w:fill="FFFFFF"/>
          <w:lang w:bidi="ar"/>
        </w:rPr>
      </w:pPr>
      <w:bookmarkStart w:id="65" w:name="_Toc430294364"/>
      <w:bookmarkStart w:id="66" w:name="_Toc307921636"/>
      <w:r>
        <w:rPr>
          <w:rFonts w:hint="eastAsia" w:ascii="宋体" w:hAnsi="宋体" w:cs="宋体"/>
          <w:szCs w:val="28"/>
          <w:shd w:val="clear" w:color="auto" w:fill="FFFFFF"/>
          <w:lang w:bidi="ar"/>
        </w:rPr>
        <w:t>3.3.</w:t>
      </w:r>
      <w:r>
        <w:rPr>
          <w:rFonts w:ascii="宋体" w:hAnsi="宋体" w:cs="宋体"/>
          <w:szCs w:val="28"/>
          <w:shd w:val="clear" w:color="auto" w:fill="FFFFFF"/>
          <w:lang w:bidi="ar"/>
        </w:rPr>
        <w:t>4</w:t>
      </w:r>
      <w:r>
        <w:rPr>
          <w:rFonts w:hint="eastAsia" w:ascii="宋体" w:hAnsi="宋体" w:cs="宋体"/>
          <w:szCs w:val="28"/>
          <w:shd w:val="clear" w:color="auto" w:fill="FFFFFF"/>
          <w:lang w:bidi="ar"/>
        </w:rPr>
        <w:t>协调资源</w:t>
      </w:r>
      <w:bookmarkEnd w:id="65"/>
      <w:bookmarkEnd w:id="66"/>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1、本企业各职能部门派赴现场人员</w:t>
      </w:r>
      <w:bookmarkEnd w:id="64"/>
      <w:r>
        <w:rPr>
          <w:rFonts w:hint="eastAsia" w:ascii="宋体" w:hAnsi="宋体" w:cs="宋体"/>
          <w:szCs w:val="28"/>
          <w:shd w:val="clear" w:color="auto" w:fill="FFFFFF"/>
          <w:lang w:bidi="ar"/>
        </w:rPr>
        <w:t>、各应急小组选调应急人员迅速到场投入应急行动。</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2、根据生产安全事故现场需求，事故联络组及时组织调配、协调应急救援队伍，并协调原辅料，维持事故单位和波及单位的生产平衡，降低事故损失。</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3、事故联络组调配应急救援队伍和应急物资装备渠道：</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（1）从本企业所属各部门协议应急救援机构调配；</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（2）请求地方政府部门调配。</w:t>
      </w:r>
    </w:p>
    <w:p>
      <w:pPr>
        <w:shd w:val="clear" w:color="auto" w:fill="FFFFFF"/>
        <w:spacing w:after="0" w:line="560" w:lineRule="exact"/>
        <w:ind w:firstLine="560" w:firstLineChars="200"/>
        <w:rPr>
          <w:rFonts w:ascii="宋体" w:hAnsi="宋体" w:cs="宋体"/>
          <w:szCs w:val="28"/>
          <w:shd w:val="clear" w:color="auto" w:fill="FFFFFF"/>
          <w:lang w:bidi="ar"/>
        </w:rPr>
      </w:pPr>
      <w:bookmarkStart w:id="67" w:name="_Toc430294366"/>
      <w:bookmarkStart w:id="68" w:name="_Toc307921638"/>
      <w:bookmarkStart w:id="69" w:name="_Toc430294365"/>
      <w:r>
        <w:rPr>
          <w:rFonts w:hint="eastAsia" w:ascii="宋体" w:hAnsi="宋体" w:cs="宋体"/>
          <w:szCs w:val="28"/>
          <w:shd w:val="clear" w:color="auto" w:fill="FFFFFF"/>
          <w:lang w:bidi="ar"/>
        </w:rPr>
        <w:t>3.3.</w:t>
      </w:r>
      <w:r>
        <w:rPr>
          <w:rFonts w:ascii="宋体" w:hAnsi="宋体" w:cs="宋体"/>
          <w:szCs w:val="28"/>
          <w:shd w:val="clear" w:color="auto" w:fill="FFFFFF"/>
          <w:lang w:bidi="ar"/>
        </w:rPr>
        <w:t>5</w:t>
      </w:r>
      <w:r>
        <w:rPr>
          <w:rFonts w:hint="eastAsia" w:ascii="宋体" w:hAnsi="宋体" w:cs="宋体"/>
          <w:szCs w:val="28"/>
          <w:shd w:val="clear" w:color="auto" w:fill="FFFFFF"/>
          <w:lang w:bidi="ar"/>
        </w:rPr>
        <w:t>信息公开</w:t>
      </w:r>
      <w:bookmarkEnd w:id="67"/>
    </w:p>
    <w:p>
      <w:pPr>
        <w:shd w:val="clear" w:color="auto" w:fill="FFFFFF"/>
        <w:spacing w:after="0" w:line="560" w:lineRule="exact"/>
        <w:ind w:firstLine="560" w:firstLineChars="200"/>
        <w:rPr>
          <w:rFonts w:ascii="宋体" w:hAnsi="宋体" w:cs="宋体"/>
          <w:szCs w:val="28"/>
          <w:shd w:val="clear" w:color="auto" w:fill="FFFFFF"/>
          <w:lang w:bidi="ar"/>
        </w:rPr>
      </w:pPr>
      <w:r>
        <w:rPr>
          <w:rFonts w:ascii="宋体" w:hAnsi="宋体" w:cs="宋体"/>
          <w:szCs w:val="28"/>
          <w:shd w:val="clear" w:color="auto" w:fill="FFFFFF"/>
          <w:lang w:bidi="ar"/>
        </w:rPr>
        <w:t>1</w:t>
      </w:r>
      <w:r>
        <w:rPr>
          <w:rFonts w:hint="eastAsia" w:ascii="宋体" w:hAnsi="宋体" w:cs="宋体"/>
          <w:szCs w:val="28"/>
          <w:shd w:val="clear" w:color="auto" w:fill="FFFFFF"/>
          <w:lang w:bidi="ar"/>
        </w:rPr>
        <w:t>新闻媒体沟通、信息发布</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（1）本企业新闻发言人负责对外信息披露。现场新闻代理发言人由本企业应急指挥部指派或授权指定，未经授权任何人不得擅自对外发布信息和接受媒体采访；</w:t>
      </w:r>
      <w:r>
        <w:rPr>
          <w:rFonts w:ascii="宋体" w:hAnsi="宋体" w:cs="宋体"/>
          <w:szCs w:val="28"/>
          <w:shd w:val="clear" w:color="auto" w:fill="FFFFFF"/>
          <w:lang w:bidi="ar"/>
        </w:rPr>
        <w:t xml:space="preserve"> </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w:t>
      </w:r>
      <w:r>
        <w:rPr>
          <w:rFonts w:ascii="宋体" w:hAnsi="宋体" w:cs="宋体"/>
          <w:szCs w:val="28"/>
          <w:shd w:val="clear" w:color="auto" w:fill="FFFFFF"/>
          <w:lang w:bidi="ar"/>
        </w:rPr>
        <w:t>2</w:t>
      </w:r>
      <w:r>
        <w:rPr>
          <w:rFonts w:hint="eastAsia" w:ascii="宋体" w:hAnsi="宋体" w:cs="宋体"/>
          <w:szCs w:val="28"/>
          <w:shd w:val="clear" w:color="auto" w:fill="FFFFFF"/>
          <w:lang w:bidi="ar"/>
        </w:rPr>
        <w:t>）新闻发言（稿）内容应与地方政府有关部门沟通，保持内容的一致性；</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w:t>
      </w:r>
      <w:r>
        <w:rPr>
          <w:rFonts w:ascii="宋体" w:hAnsi="宋体" w:cs="宋体"/>
          <w:szCs w:val="28"/>
          <w:shd w:val="clear" w:color="auto" w:fill="FFFFFF"/>
          <w:lang w:bidi="ar"/>
        </w:rPr>
        <w:t>3</w:t>
      </w:r>
      <w:r>
        <w:rPr>
          <w:rFonts w:hint="eastAsia" w:ascii="宋体" w:hAnsi="宋体" w:cs="宋体"/>
          <w:szCs w:val="28"/>
          <w:shd w:val="clear" w:color="auto" w:fill="FFFFFF"/>
          <w:lang w:bidi="ar"/>
        </w:rPr>
        <w:t>）首次新闻发布内容应包括，但不限于：事件的时间、地点、初步情况，以及对人员、环境、社会的影响，应急处置阶段性进展情况。</w:t>
      </w:r>
    </w:p>
    <w:p>
      <w:pPr>
        <w:shd w:val="clear" w:color="auto" w:fill="FFFFFF"/>
        <w:spacing w:after="0" w:line="560" w:lineRule="exact"/>
        <w:ind w:firstLine="560" w:firstLineChars="200"/>
        <w:rPr>
          <w:rFonts w:ascii="宋体" w:hAnsi="宋体" w:cs="宋体"/>
          <w:szCs w:val="28"/>
          <w:shd w:val="clear" w:color="auto" w:fill="FFFFFF"/>
          <w:lang w:bidi="ar"/>
        </w:rPr>
      </w:pPr>
      <w:r>
        <w:rPr>
          <w:rFonts w:ascii="宋体" w:hAnsi="宋体" w:cs="宋体"/>
          <w:szCs w:val="28"/>
          <w:shd w:val="clear" w:color="auto" w:fill="FFFFFF"/>
          <w:lang w:bidi="ar"/>
        </w:rPr>
        <w:t>2</w:t>
      </w:r>
      <w:r>
        <w:rPr>
          <w:rFonts w:hint="eastAsia" w:ascii="宋体" w:hAnsi="宋体" w:cs="宋体"/>
          <w:szCs w:val="28"/>
          <w:shd w:val="clear" w:color="auto" w:fill="FFFFFF"/>
          <w:lang w:bidi="ar"/>
        </w:rPr>
        <w:t>内部员工信息告知的要求</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对内部员工告知突发事件的情况，应及时进行正面引导，确保齐心协力，共同应对突发事件。</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信息告知主要采用内部网站、内部宣传材料等渠道或信息沟通会等方式。</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相关应急小组配合做好对内部员工的宣传引导工作，注意收集员工对事件的反应、意见及建议。员工不得对外披露或内部传播与本企业告知不相符的内容。</w:t>
      </w:r>
    </w:p>
    <w:p>
      <w:pPr>
        <w:shd w:val="clear" w:color="auto" w:fill="FFFFFF"/>
        <w:spacing w:after="0" w:line="560" w:lineRule="exact"/>
        <w:ind w:firstLine="560" w:firstLineChars="200"/>
        <w:rPr>
          <w:rFonts w:ascii="宋体" w:hAnsi="宋体" w:cs="宋体"/>
          <w:szCs w:val="28"/>
          <w:shd w:val="clear" w:color="auto" w:fill="FFFFFF"/>
          <w:lang w:bidi="ar"/>
        </w:rPr>
      </w:pPr>
      <w:r>
        <w:rPr>
          <w:rFonts w:ascii="宋体" w:hAnsi="宋体" w:cs="宋体"/>
          <w:szCs w:val="28"/>
          <w:shd w:val="clear" w:color="auto" w:fill="FFFFFF"/>
          <w:lang w:bidi="ar"/>
        </w:rPr>
        <w:t>3</w:t>
      </w:r>
      <w:r>
        <w:rPr>
          <w:rFonts w:hint="eastAsia" w:ascii="宋体" w:hAnsi="宋体" w:cs="宋体"/>
          <w:szCs w:val="28"/>
          <w:shd w:val="clear" w:color="auto" w:fill="FFFFFF"/>
          <w:lang w:bidi="ar"/>
        </w:rPr>
        <w:t>．受事故影响的相关方的告知要求</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当发生突发事件，供气服务等部门应尽可能及时地向受到影响的相关方告知有关情况，相应的应急措施和方法。必要时，协调政府有关部门做好受影响相关方的告知和解释工作。</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因突发事件影响城镇燃气供气的，应当按《城镇燃气管理条例》和地方法规要求及时通知受影响的燃气用户。</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3.3.</w:t>
      </w:r>
      <w:bookmarkEnd w:id="68"/>
      <w:bookmarkStart w:id="70" w:name="_Toc307921639"/>
      <w:r>
        <w:rPr>
          <w:rFonts w:ascii="宋体" w:hAnsi="宋体" w:cs="宋体"/>
          <w:szCs w:val="28"/>
          <w:shd w:val="clear" w:color="auto" w:fill="FFFFFF"/>
          <w:lang w:bidi="ar"/>
        </w:rPr>
        <w:t>6</w:t>
      </w:r>
      <w:r>
        <w:rPr>
          <w:rFonts w:hint="eastAsia" w:ascii="宋体" w:hAnsi="宋体" w:cs="宋体"/>
          <w:szCs w:val="28"/>
          <w:shd w:val="clear" w:color="auto" w:fill="FFFFFF"/>
          <w:lang w:bidi="ar"/>
        </w:rPr>
        <w:t>应急过程后勤及财力保障</w:t>
      </w:r>
      <w:bookmarkEnd w:id="69"/>
      <w:bookmarkEnd w:id="70"/>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1、在应急处置过程中，应确保本企业应急指挥部与现场应急指挥部、各小组成员的网络、电话及传真通畅，确保现场实时记录（录音、录像）及时录制和保存。</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2、做好应急处置过程中的交通、食宿、医疗等后勤保障工作。如需进行灾民处置，在地方政府的领导下，本企业会同有关部门做好受灾员工和公众的基本生活保障工作。</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3、做好安全保卫工作，确保本企业办公场所正常工作秩序。</w:t>
      </w:r>
    </w:p>
    <w:p>
      <w:pPr>
        <w:shd w:val="clear" w:color="auto" w:fill="FFFFFF"/>
        <w:spacing w:after="0" w:line="560" w:lineRule="exact"/>
        <w:ind w:firstLine="560" w:firstLineChars="200"/>
        <w:rPr>
          <w:rFonts w:ascii="宋体" w:hAnsi="宋体" w:cs="宋体"/>
          <w:szCs w:val="28"/>
          <w:shd w:val="clear" w:color="auto" w:fill="FFFFFF"/>
          <w:lang w:bidi="ar"/>
        </w:rPr>
      </w:pPr>
      <w:r>
        <w:rPr>
          <w:rFonts w:hint="eastAsia" w:ascii="宋体" w:hAnsi="宋体" w:cs="宋体"/>
          <w:szCs w:val="28"/>
          <w:shd w:val="clear" w:color="auto" w:fill="FFFFFF"/>
          <w:lang w:bidi="ar"/>
        </w:rPr>
        <w:t>4、按照本企业应急指挥部指令，落实应急资金。</w:t>
      </w:r>
    </w:p>
    <w:p>
      <w:pPr>
        <w:pStyle w:val="19"/>
        <w:spacing w:line="560" w:lineRule="exact"/>
        <w:ind w:firstLine="560" w:firstLineChars="200"/>
        <w:rPr>
          <w:lang w:bidi="ar"/>
        </w:rPr>
      </w:pPr>
      <w:r>
        <w:rPr>
          <w:rFonts w:hint="eastAsia" w:ascii="宋体" w:hAnsi="宋体"/>
          <w:i w:val="0"/>
          <w:sz w:val="28"/>
          <w:szCs w:val="28"/>
          <w:shd w:val="clear" w:color="auto" w:fill="FFFFFF"/>
          <w:lang w:bidi="ar"/>
        </w:rPr>
        <w:t>本企业应急响应程序及处理流程见下图：</w:t>
      </w:r>
    </w:p>
    <w:p>
      <w:pPr>
        <w:spacing w:after="0" w:line="360" w:lineRule="auto"/>
        <w:ind w:left="1120" w:leftChars="200" w:hanging="560" w:hangingChars="200"/>
        <w:rPr>
          <w:rFonts w:ascii="宋体" w:hAnsi="宋体" w:cs="宋体"/>
          <w:szCs w:val="28"/>
        </w:rPr>
      </w:pPr>
      <w:r>
        <w:rPr>
          <w:rFonts w:hint="eastAsia" w:ascii="宋体" w:hAnsi="宋体" w:cs="宋体"/>
          <w:szCs w:val="28"/>
        </w:rPr>
        <w:t xml:space="preserve">                   </w:t>
      </w:r>
      <w:r>
        <w:drawing>
          <wp:inline distT="0" distB="0" distL="0" distR="0">
            <wp:extent cx="4622800" cy="5003800"/>
            <wp:effectExtent l="0" t="0" r="6350" b="6350"/>
            <wp:docPr id="963" name="图片 963" descr="C:\DOCUME~1\ADMINI~1\LOCALS~1\Temp\ksohtml\wpsB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图片 963" descr="C:\DOCUME~1\ADMINI~1\LOCALS~1\Temp\ksohtml\wpsBB.tm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22800" cy="5003800"/>
                    </a:xfrm>
                    <a:prstGeom prst="rect">
                      <a:avLst/>
                    </a:prstGeom>
                    <a:noFill/>
                    <a:ln>
                      <a:noFill/>
                    </a:ln>
                  </pic:spPr>
                </pic:pic>
              </a:graphicData>
            </a:graphic>
          </wp:inline>
        </w:drawing>
      </w:r>
      <w:r>
        <w:rPr>
          <w:rFonts w:hint="eastAsia" w:ascii="宋体" w:hAnsi="宋体" w:cs="宋体"/>
          <w:szCs w:val="28"/>
        </w:rPr>
        <w:t xml:space="preserve">                                                                       </w:t>
      </w:r>
    </w:p>
    <w:p>
      <w:pPr>
        <w:spacing w:line="500" w:lineRule="exact"/>
        <w:rPr>
          <w:rFonts w:asciiTheme="majorEastAsia" w:hAnsiTheme="majorEastAsia" w:eastAsiaTheme="majorEastAsia" w:cstheme="majorEastAsia"/>
          <w:b/>
          <w:bCs/>
          <w:sz w:val="24"/>
          <w:szCs w:val="24"/>
        </w:rPr>
      </w:pPr>
      <w:r>
        <w:rPr>
          <w:rFonts w:hint="eastAsia" w:ascii="宋体" w:hAnsi="宋体" w:cs="宋体"/>
          <w:szCs w:val="28"/>
        </w:rPr>
        <w:t xml:space="preserve">                    </w:t>
      </w:r>
      <w:r>
        <w:rPr>
          <w:rFonts w:hint="eastAsia" w:asciiTheme="majorEastAsia" w:hAnsiTheme="majorEastAsia" w:eastAsiaTheme="majorEastAsia" w:cstheme="majorEastAsia"/>
          <w:b/>
          <w:bCs/>
          <w:sz w:val="24"/>
          <w:szCs w:val="24"/>
        </w:rPr>
        <w:t xml:space="preserve"> 图3.3-1应急响应程序及处理流程图</w:t>
      </w:r>
    </w:p>
    <w:p>
      <w:pPr>
        <w:pStyle w:val="7"/>
      </w:pPr>
      <w:bookmarkStart w:id="71" w:name="_Toc101798266"/>
      <w:r>
        <w:rPr>
          <w:rFonts w:hint="eastAsia"/>
        </w:rPr>
        <w:t>3.4应急处置</w:t>
      </w:r>
      <w:bookmarkEnd w:id="71"/>
      <w:r>
        <w:rPr>
          <w:rFonts w:hint="eastAsia"/>
        </w:rPr>
        <w:t xml:space="preserve"> </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1</w:t>
      </w:r>
      <w:bookmarkStart w:id="72" w:name="_Toc311725447"/>
      <w:bookmarkStart w:id="73" w:name="_Toc311641578"/>
      <w:bookmarkStart w:id="74" w:name="_Toc320632497"/>
      <w:bookmarkStart w:id="75" w:name="_Toc312796822"/>
      <w:r>
        <w:rPr>
          <w:rFonts w:hint="eastAsia" w:ascii="宋体" w:hAnsi="宋体" w:cs="宋体"/>
          <w:szCs w:val="28"/>
        </w:rPr>
        <w:t>.警戒疏散</w:t>
      </w:r>
      <w:bookmarkEnd w:id="72"/>
      <w:bookmarkEnd w:id="73"/>
      <w:bookmarkEnd w:id="74"/>
      <w:bookmarkEnd w:id="75"/>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发生事故后，为防止无关人员误入现场造成伤害，</w:t>
      </w:r>
      <w:r>
        <w:rPr>
          <w:rFonts w:hint="eastAsia" w:ascii="宋体" w:hAnsi="宋体" w:cs="宋体"/>
          <w:szCs w:val="28"/>
          <w:lang w:val="en-US" w:eastAsia="zh-CN"/>
        </w:rPr>
        <w:t>应</w:t>
      </w:r>
      <w:r>
        <w:rPr>
          <w:rFonts w:hint="eastAsia" w:ascii="宋体" w:hAnsi="宋体" w:cs="宋体"/>
          <w:szCs w:val="28"/>
        </w:rPr>
        <w:t>根据事故的大小划定警戒区，设立标识，在其位置设置一个警戒人员。警戒人员负责对警戒区内的人员进行疏导，带领至指定的安全地点，同时禁止无关人员和车辆进入警戒区。</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作业人员撤离岗位前，在确保安全的前提下，应关闭工作中的设备操作开关或者作业开关以及运行设备和电源总开关等，避免发生次生事故。</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各场所负责人听到紧急疏散通知后，要立即采取措施，停止生产运行，并迅速组织员工撤离。</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所有人员到达指定安全地点后，由</w:t>
      </w:r>
      <w:r>
        <w:rPr>
          <w:rFonts w:hint="eastAsia" w:ascii="宋体" w:hAnsi="宋体" w:cs="宋体"/>
          <w:color w:val="auto"/>
          <w:szCs w:val="28"/>
        </w:rPr>
        <w:t>警戒疏散</w:t>
      </w:r>
      <w:r>
        <w:rPr>
          <w:rFonts w:hint="eastAsia" w:ascii="宋体" w:hAnsi="宋体" w:cs="宋体"/>
          <w:color w:val="auto"/>
          <w:szCs w:val="28"/>
          <w:lang w:eastAsia="zh-CN"/>
        </w:rPr>
        <w:t>人员</w:t>
      </w:r>
      <w:r>
        <w:rPr>
          <w:rFonts w:hint="eastAsia" w:ascii="宋体" w:hAnsi="宋体" w:cs="宋体"/>
          <w:szCs w:val="28"/>
        </w:rPr>
        <w:t>或指定专人对人员进行清点，并将清点情况报告给上级领导，确保所有人员全部撤离危险地点。如发现有人失踪时，必须第一时间通知指挥部，说明失踪人员最后出现的地点及当时正在从事的工作等详细情形。</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事故周边区域的单位</w:t>
      </w:r>
      <w:r>
        <w:rPr>
          <w:rFonts w:hint="eastAsia" w:ascii="宋体" w:hAnsi="宋体" w:cs="宋体"/>
          <w:szCs w:val="28"/>
          <w:lang w:val="en-US" w:eastAsia="zh-CN"/>
        </w:rPr>
        <w:t>和群众</w:t>
      </w:r>
      <w:r>
        <w:rPr>
          <w:rFonts w:hint="eastAsia" w:ascii="宋体" w:hAnsi="宋体" w:cs="宋体"/>
          <w:szCs w:val="28"/>
        </w:rPr>
        <w:t>的疏散由政府协助进行，但本企业必须事先做好准备，包括向政府提出疏散建议。所以，本企业管理层应该积极与地方政府主管部门合作，保护公众免受紧急事故危害。</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2.人员搜救、医疗救治</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（1）突发事故发生后，由现场应急指挥部根据事故情况开展应急救援工作的指挥与协调，通知有关各部门及医疗救护组赶赴事故现场进行事故抢险救护工作。</w:t>
      </w:r>
    </w:p>
    <w:p>
      <w:pPr>
        <w:autoSpaceDE w:val="0"/>
        <w:autoSpaceDN w:val="0"/>
        <w:spacing w:after="0" w:line="560" w:lineRule="exact"/>
        <w:ind w:firstLine="560" w:firstLineChars="200"/>
        <w:rPr>
          <w:rFonts w:ascii="宋体" w:hAnsi="宋体" w:cs="宋体"/>
          <w:color w:val="FF0000"/>
          <w:szCs w:val="28"/>
        </w:rPr>
      </w:pPr>
      <w:r>
        <w:rPr>
          <w:rFonts w:hint="eastAsia" w:ascii="宋体" w:hAnsi="宋体" w:cs="宋体"/>
          <w:szCs w:val="28"/>
        </w:rPr>
        <w:t>（2）</w:t>
      </w:r>
      <w:r>
        <w:rPr>
          <w:rFonts w:hint="eastAsia" w:ascii="宋体" w:hAnsi="宋体" w:cs="宋体"/>
          <w:color w:val="auto"/>
          <w:szCs w:val="28"/>
        </w:rPr>
        <w:t>医疗救护组</w:t>
      </w:r>
      <w:r>
        <w:rPr>
          <w:rFonts w:hint="eastAsia" w:ascii="宋体" w:hAnsi="宋体" w:cs="宋体"/>
          <w:szCs w:val="28"/>
        </w:rPr>
        <w:t>接到通知后，携带急救医疗器械、抢救工具及常用药品，立即赶往现场进行搜救。</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3）事故中，发现有人员受伤，将受伤人员转移至安全地点，采取简单的救助措施。伤势较轻的，利用运输工具将受伤人员送往附近医院救治；如伤势较为严重，立即拨打120急救电话，请求医疗支援，并将情况通知给医疗救护组和应急指挥部。</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3.技术支持</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建立安全环境预警机制，确保在启动预警前、事件发生后负责环境监测的人员能迅速到位，为指挥决策提供服务。必要时请求由上级部门派遣相关专家进行及时支持。</w:t>
      </w:r>
    </w:p>
    <w:p>
      <w:pPr>
        <w:autoSpaceDE w:val="0"/>
        <w:autoSpaceDN w:val="0"/>
        <w:spacing w:after="0" w:line="560" w:lineRule="exact"/>
        <w:ind w:firstLine="560" w:firstLineChars="200"/>
        <w:rPr>
          <w:rFonts w:ascii="宋体" w:hAnsi="宋体" w:cs="宋体"/>
          <w:szCs w:val="28"/>
        </w:rPr>
      </w:pPr>
      <w:r>
        <w:rPr>
          <w:rFonts w:ascii="宋体" w:hAnsi="宋体" w:cs="宋体"/>
          <w:szCs w:val="28"/>
        </w:rPr>
        <w:t>4</w:t>
      </w:r>
      <w:r>
        <w:rPr>
          <w:rFonts w:hint="eastAsia" w:ascii="宋体" w:hAnsi="宋体" w:cs="宋体"/>
          <w:szCs w:val="28"/>
        </w:rPr>
        <w:t>.工程抢险</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因突发事件引发，正在产生严重危害或即将产生严重危害，必须迅速采取措施的工程，或因应对突发事件需要在短期内完成的抢险修复工程等应急抢险救灾工程建设项目，可依法申请办理的各项审批手续实施工程抢险。</w:t>
      </w:r>
    </w:p>
    <w:p>
      <w:pPr>
        <w:autoSpaceDE w:val="0"/>
        <w:autoSpaceDN w:val="0"/>
        <w:spacing w:after="0" w:line="560" w:lineRule="exact"/>
        <w:ind w:firstLine="560" w:firstLineChars="200"/>
        <w:rPr>
          <w:rFonts w:ascii="宋体" w:hAnsi="宋体" w:cs="宋体"/>
          <w:szCs w:val="28"/>
        </w:rPr>
      </w:pPr>
      <w:r>
        <w:rPr>
          <w:rFonts w:ascii="宋体" w:hAnsi="宋体" w:cs="宋体"/>
          <w:szCs w:val="28"/>
        </w:rPr>
        <w:t>5</w:t>
      </w:r>
      <w:r>
        <w:rPr>
          <w:rFonts w:hint="eastAsia" w:ascii="宋体" w:hAnsi="宋体" w:cs="宋体"/>
          <w:szCs w:val="28"/>
        </w:rPr>
        <w:t>.环境保护</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如事故对现场环境产生影响，应划定保护区域，并安排保安人员对事故周围环境进行巡逻检查，禁止非相关人员进行事故现场。针对不同事故，确定相应的洗消方式。</w:t>
      </w:r>
    </w:p>
    <w:p>
      <w:pPr>
        <w:autoSpaceDE w:val="0"/>
        <w:autoSpaceDN w:val="0"/>
        <w:spacing w:after="0" w:line="560" w:lineRule="exact"/>
        <w:ind w:firstLine="560" w:firstLineChars="200"/>
        <w:rPr>
          <w:rFonts w:ascii="宋体" w:hAnsi="宋体" w:cs="宋体"/>
          <w:szCs w:val="28"/>
        </w:rPr>
      </w:pPr>
      <w:r>
        <w:rPr>
          <w:rFonts w:ascii="宋体" w:hAnsi="宋体" w:cs="宋体"/>
          <w:szCs w:val="28"/>
        </w:rPr>
        <w:t>6</w:t>
      </w:r>
      <w:r>
        <w:rPr>
          <w:rFonts w:hint="eastAsia" w:ascii="宋体" w:hAnsi="宋体" w:cs="宋体"/>
          <w:szCs w:val="28"/>
        </w:rPr>
        <w:t>.人员防护</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⑴在处置突发生产安全事故时，应当对事发地现场的安全情况进行科学评估，保障现场应急工作人员的人身安全。现场应急救援人员应根据需要携带相应的专业防护装备，采取安全防护措施，应急人员进入危险区域，必须至少两人一组，不得单独行动。</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⑵发生火灾时扑救人员应站在上风或侧风位置，以免遭受有毒有害气体的侵害，进行火情侦察、火灾扑救及火场疏散人员应有针对性地采取自我防护措施，如佩戴防护面具，穿戴专用防护服等，正确选择最适应的灭火剂和灭火方法。</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⑶对有可能发生火灾、爆炸等特别危险需紧急撤退的情况，应按照统一的撤退信号和撤退方法及时撤退。</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fldChar w:fldCharType="begin"/>
      </w:r>
      <w:r>
        <w:rPr>
          <w:rFonts w:hint="eastAsia" w:ascii="宋体" w:hAnsi="宋体" w:cs="宋体"/>
          <w:szCs w:val="28"/>
        </w:rPr>
        <w:instrText xml:space="preserve"> = 4 \* GB2 </w:instrText>
      </w:r>
      <w:r>
        <w:rPr>
          <w:rFonts w:hint="eastAsia" w:ascii="宋体" w:hAnsi="宋体" w:cs="宋体"/>
          <w:szCs w:val="28"/>
        </w:rPr>
        <w:fldChar w:fldCharType="separate"/>
      </w:r>
      <w:r>
        <w:rPr>
          <w:rFonts w:hint="eastAsia" w:ascii="宋体" w:hAnsi="宋体" w:cs="宋体"/>
          <w:szCs w:val="28"/>
        </w:rPr>
        <w:t>⑷</w:t>
      </w:r>
      <w:r>
        <w:rPr>
          <w:rFonts w:hint="eastAsia" w:ascii="宋体" w:hAnsi="宋体" w:cs="宋体"/>
          <w:szCs w:val="28"/>
        </w:rPr>
        <w:fldChar w:fldCharType="end"/>
      </w:r>
      <w:r>
        <w:rPr>
          <w:rFonts w:hint="eastAsia" w:ascii="宋体" w:hAnsi="宋体" w:cs="宋体"/>
          <w:szCs w:val="28"/>
        </w:rPr>
        <w:t>普通防护用具，如口罩、手套等，由应急人员所在部门（班组）自行提供；专用防护用具由本企业应急指挥部提供。</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fldChar w:fldCharType="begin"/>
      </w:r>
      <w:r>
        <w:rPr>
          <w:rFonts w:hint="eastAsia" w:ascii="宋体" w:hAnsi="宋体" w:cs="宋体"/>
          <w:szCs w:val="28"/>
        </w:rPr>
        <w:instrText xml:space="preserve"> = 5 \* GB2 </w:instrText>
      </w:r>
      <w:r>
        <w:rPr>
          <w:rFonts w:hint="eastAsia" w:ascii="宋体" w:hAnsi="宋体" w:cs="宋体"/>
          <w:szCs w:val="28"/>
        </w:rPr>
        <w:fldChar w:fldCharType="separate"/>
      </w:r>
      <w:r>
        <w:rPr>
          <w:rFonts w:hint="eastAsia" w:ascii="宋体" w:hAnsi="宋体" w:cs="宋体"/>
          <w:szCs w:val="28"/>
        </w:rPr>
        <w:t>⑸</w:t>
      </w:r>
      <w:r>
        <w:rPr>
          <w:rFonts w:hint="eastAsia" w:ascii="宋体" w:hAnsi="宋体" w:cs="宋体"/>
          <w:szCs w:val="28"/>
        </w:rPr>
        <w:fldChar w:fldCharType="end"/>
      </w:r>
      <w:r>
        <w:rPr>
          <w:rFonts w:hint="eastAsia" w:ascii="宋体" w:hAnsi="宋体" w:cs="宋体"/>
          <w:szCs w:val="28"/>
        </w:rPr>
        <w:t>防护用具涉及部门及相关人员应本着“安全高于一切”的原则，从快从简办理手续，及时将防护用具分发到救援人员的手中。</w:t>
      </w:r>
    </w:p>
    <w:p>
      <w:pPr>
        <w:pStyle w:val="7"/>
      </w:pPr>
      <w:bookmarkStart w:id="76" w:name="_Toc101798267"/>
      <w:r>
        <w:rPr>
          <w:rFonts w:hint="eastAsia"/>
        </w:rPr>
        <w:t>3.5应急支援</w:t>
      </w:r>
      <w:bookmarkEnd w:id="76"/>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凡超出本企业应急处置能力范围的或会对周边环境造成危害的事故应立即启动外部响应，即：立即向当地应急管理部门和公安、消防、急救、环保等有关部门报警，请求救援。救援队伍到位后，现场指挥权移交给救援队伍。</w:t>
      </w:r>
    </w:p>
    <w:p>
      <w:pPr>
        <w:pStyle w:val="7"/>
      </w:pPr>
      <w:bookmarkStart w:id="77" w:name="_Toc101798268"/>
      <w:r>
        <w:rPr>
          <w:rFonts w:hint="eastAsia"/>
        </w:rPr>
        <w:t>3.6响应</w:t>
      </w:r>
      <w:bookmarkEnd w:id="57"/>
      <w:bookmarkEnd w:id="58"/>
      <w:r>
        <w:rPr>
          <w:rFonts w:hint="eastAsia"/>
        </w:rPr>
        <w:t>终止</w:t>
      </w:r>
      <w:bookmarkEnd w:id="77"/>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3.6.1</w:t>
      </w:r>
      <w:r>
        <w:rPr>
          <w:rFonts w:ascii="宋体" w:hAnsi="宋体" w:cs="宋体"/>
          <w:szCs w:val="28"/>
        </w:rPr>
        <w:t xml:space="preserve"> </w:t>
      </w:r>
      <w:r>
        <w:rPr>
          <w:rFonts w:hint="eastAsia" w:ascii="宋体" w:hAnsi="宋体" w:cs="宋体"/>
          <w:szCs w:val="28"/>
        </w:rPr>
        <w:t>终止条件</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本企业发生生产安全事故后，若满足下列条件时，则可以停止应急救援工作：</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1）生产安全事故得到控制，影响已经消除；</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2）环境危害污染得到有效控制；</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3）事故造成的危害已被彻底清除，无继续发生的可能；</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4）伤亡人员全部救出或转移，设备设施处于正常或受控状态；</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5）事故现场的各种专业应急处置行动已无继续的必要。</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应急救援现场指挥根据现场应急救援工作的进展情况，在确认事故现场已得到控制，环境符合有关标准要求，导致次生、衍生事故的隐患消除后，报请结束应急救援工作。应急响应启动指令发出人员在全面进行综合研判后，宣布应急救援工作结束。</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3.6.2</w:t>
      </w:r>
      <w:r>
        <w:rPr>
          <w:rFonts w:ascii="宋体" w:hAnsi="宋体" w:cs="宋体"/>
          <w:szCs w:val="28"/>
        </w:rPr>
        <w:t xml:space="preserve"> </w:t>
      </w:r>
      <w:r>
        <w:rPr>
          <w:rFonts w:hint="eastAsia" w:ascii="宋体" w:hAnsi="宋体" w:cs="宋体"/>
          <w:szCs w:val="28"/>
        </w:rPr>
        <w:t>事故调查上报事项</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应急结束后，企业应急指挥部成立事故调查小组（或指派指挥部办公室），在规定的时间内作出事故调查报告，向上级部门或政府应急管理部门报告事故发生的单位、时间、地点、人员伤亡、直接经济损失、应急救援情况、原因分析、责任划分、采取的预防措施等相关内容。政府主持进行事故调查的，事故调查小组（或指挥部办公室）应全力配合。</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3.6.3需向事故调查处理小组移交的相关事项</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若政府应急管理部门成立事故调查小组，本企业应向事故调查小组移交事故现场收集的物证和口供，若事故现场不能保存的，应移交相关现场照片和其他相关资料。</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3.6.4事故应急救援工作总结报告</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应急响应结束后，本企业各部门应认真分析事故原因，制定防范措施，落实安全生产责任制，防止类似事故发生。</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本企业应急救援指挥部负责收集、整理应急救援工作记录、方案、文件等资料，组织专家对应急救援过程和应急救援保障等工作进行总结和评估，提出改进意见和建议，并在应急响应结束一个月内，将总结评估报告报应急管理部门。</w:t>
      </w:r>
    </w:p>
    <w:p>
      <w:pPr>
        <w:pStyle w:val="6"/>
      </w:pPr>
      <w:bookmarkStart w:id="78" w:name="_Toc101798269"/>
      <w:bookmarkStart w:id="79" w:name="_Toc301303850"/>
      <w:bookmarkStart w:id="80" w:name="_Toc311752130"/>
      <w:bookmarkStart w:id="81" w:name="_Toc311735551"/>
      <w:bookmarkStart w:id="82" w:name="_Toc505002434"/>
      <w:bookmarkStart w:id="83" w:name="_Toc309770142"/>
      <w:r>
        <w:rPr>
          <w:rFonts w:hint="eastAsia"/>
        </w:rPr>
        <w:t>4后期处置</w:t>
      </w:r>
      <w:bookmarkEnd w:id="78"/>
    </w:p>
    <w:p>
      <w:pPr>
        <w:pStyle w:val="7"/>
      </w:pPr>
      <w:bookmarkStart w:id="84" w:name="_Toc101798270"/>
      <w:r>
        <w:rPr>
          <w:rFonts w:hint="eastAsia"/>
        </w:rPr>
        <w:t>4.1污染物处理</w:t>
      </w:r>
      <w:bookmarkEnd w:id="84"/>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事故造成的污染物不得随意丢弃，应进行妥善收集。污染物、废弃物处理，严格按照有关法律法规进行，必要时请环保部门协助进行处理。</w:t>
      </w:r>
    </w:p>
    <w:p>
      <w:pPr>
        <w:pStyle w:val="7"/>
      </w:pPr>
      <w:bookmarkStart w:id="85" w:name="_Toc2673"/>
      <w:bookmarkStart w:id="86" w:name="_Toc101798271"/>
      <w:r>
        <w:rPr>
          <w:rFonts w:hint="eastAsia"/>
        </w:rPr>
        <w:t>4.2事故后果影响消除</w:t>
      </w:r>
      <w:bookmarkEnd w:id="85"/>
      <w:bookmarkEnd w:id="86"/>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主要工作包括事故现场的清理（包括对损坏设备的拆除、修复、检测等），由本企业应急救援组（事故现场救援组）负责，若自身力量无法完成，应当向本企业领导报告，由本企业负责人决定是否救助外部专业队伍。</w:t>
      </w:r>
    </w:p>
    <w:p>
      <w:pPr>
        <w:pStyle w:val="7"/>
        <w:rPr>
          <w:b w:val="0"/>
          <w:bCs w:val="0"/>
        </w:rPr>
      </w:pPr>
      <w:bookmarkStart w:id="87" w:name="_Toc101798272"/>
      <w:r>
        <w:rPr>
          <w:rFonts w:hint="eastAsia"/>
        </w:rPr>
        <w:t>4.3生产秩序恢复</w:t>
      </w:r>
      <w:bookmarkEnd w:id="87"/>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待事故后果影响消除后、事故原因已查明并采取了有效的预防措施，且得到上级主管部门或本企业负责人的允许，方可恢复生产。</w:t>
      </w:r>
    </w:p>
    <w:p>
      <w:pPr>
        <w:pStyle w:val="7"/>
      </w:pPr>
      <w:bookmarkStart w:id="88" w:name="_Toc101798273"/>
      <w:bookmarkStart w:id="89" w:name="_Toc3486"/>
      <w:r>
        <w:rPr>
          <w:rFonts w:hint="eastAsia"/>
        </w:rPr>
        <w:t>4.4医疗救治</w:t>
      </w:r>
      <w:bookmarkEnd w:id="88"/>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积极组织对伤员的医疗救治；本企业及时支付医疗救治费用。</w:t>
      </w:r>
    </w:p>
    <w:p>
      <w:pPr>
        <w:pStyle w:val="7"/>
        <w:spacing w:line="360" w:lineRule="auto"/>
        <w:ind w:firstLine="562"/>
        <w:rPr>
          <w:rFonts w:asciiTheme="majorEastAsia" w:hAnsiTheme="majorEastAsia" w:eastAsiaTheme="majorEastAsia" w:cstheme="majorEastAsia"/>
          <w:szCs w:val="28"/>
        </w:rPr>
      </w:pPr>
      <w:bookmarkStart w:id="90" w:name="_Toc101798274"/>
      <w:r>
        <w:rPr>
          <w:rFonts w:hint="eastAsia" w:asciiTheme="majorEastAsia" w:hAnsiTheme="majorEastAsia" w:eastAsiaTheme="majorEastAsia" w:cstheme="majorEastAsia"/>
          <w:szCs w:val="28"/>
        </w:rPr>
        <w:t>4.5善后处置与赔偿</w:t>
      </w:r>
      <w:bookmarkEnd w:id="89"/>
      <w:bookmarkEnd w:id="90"/>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事故的善后处理，在本企业应急救援指挥长的带领下开展工作，包括伤亡救援人员、遇难人员补偿、亲属安置、征用物资补偿，救援费用支付，灾后重建，污染物收集、清理与处理等事项；负责恢复正常工作秩序，消除事故后果和影响，安抚受害和受影响人员，保证社会稳定。</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善后赔偿包括事故所造成损失的赔偿，若有购买企业财产保险，由财务人员向保险本企业索赔。</w:t>
      </w:r>
    </w:p>
    <w:p>
      <w:pPr>
        <w:pStyle w:val="6"/>
        <w:spacing w:before="0" w:after="0" w:line="360" w:lineRule="auto"/>
        <w:ind w:firstLine="562"/>
        <w:rPr>
          <w:rFonts w:hAnsi="宋体"/>
          <w:szCs w:val="28"/>
        </w:rPr>
      </w:pPr>
      <w:bookmarkStart w:id="91" w:name="_Toc101798275"/>
      <w:r>
        <w:rPr>
          <w:rFonts w:hint="eastAsia" w:hAnsi="宋体"/>
          <w:szCs w:val="28"/>
        </w:rPr>
        <w:t>5 应急保障</w:t>
      </w:r>
      <w:bookmarkEnd w:id="91"/>
    </w:p>
    <w:p>
      <w:pPr>
        <w:pStyle w:val="7"/>
        <w:spacing w:line="360" w:lineRule="auto"/>
        <w:ind w:firstLine="562"/>
        <w:rPr>
          <w:rFonts w:hAnsi="宋体"/>
          <w:szCs w:val="28"/>
        </w:rPr>
      </w:pPr>
      <w:bookmarkStart w:id="92" w:name="_Toc101798276"/>
      <w:r>
        <w:rPr>
          <w:rFonts w:hint="eastAsia" w:hAnsi="宋体"/>
          <w:szCs w:val="28"/>
        </w:rPr>
        <w:t>5.1 通信与信息保障</w:t>
      </w:r>
      <w:bookmarkEnd w:id="92"/>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应急指挥部成员及救援联系电话：见附件5表一。</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地方求助和报告电话：见附件5表二。</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值班室24小时有人值守（应急值守人员），必须备有应急救援人员及救援组通信录，并保证及时更新，确保通信畅通。</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凡应急机构人员在未取得指挥部批准的情况下禁止关机、停机等不利应急联系的事项的发生，必须24小时处于开机状态。</w:t>
      </w:r>
    </w:p>
    <w:p>
      <w:pPr>
        <w:pStyle w:val="7"/>
        <w:spacing w:line="360" w:lineRule="auto"/>
        <w:ind w:firstLine="562"/>
        <w:rPr>
          <w:rFonts w:hAnsi="宋体"/>
          <w:szCs w:val="28"/>
        </w:rPr>
      </w:pPr>
      <w:bookmarkStart w:id="93" w:name="_Toc101798277"/>
      <w:r>
        <w:rPr>
          <w:rFonts w:hint="eastAsia" w:hAnsi="宋体"/>
          <w:szCs w:val="28"/>
        </w:rPr>
        <w:t>5.</w:t>
      </w:r>
      <w:r>
        <w:rPr>
          <w:rFonts w:hAnsi="宋体"/>
          <w:szCs w:val="28"/>
        </w:rPr>
        <w:t>2</w:t>
      </w:r>
      <w:r>
        <w:rPr>
          <w:rFonts w:hint="eastAsia" w:hAnsi="宋体"/>
          <w:szCs w:val="28"/>
        </w:rPr>
        <w:t>应急物资装备保障</w:t>
      </w:r>
      <w:bookmarkEnd w:id="93"/>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按照规定各作业区都配备了相应应急救援设施，需要时，由应急救援指挥部统一调配使用。</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应急救援设施的日常管理、维护由作业场所自行开展，本企业应急救援指挥部负责对各部门应急救援设施的日常管理、维护进行监督。</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应急物资装备储备详见附件4。</w:t>
      </w:r>
    </w:p>
    <w:p>
      <w:pPr>
        <w:pStyle w:val="7"/>
        <w:spacing w:line="360" w:lineRule="auto"/>
        <w:ind w:firstLine="562"/>
        <w:rPr>
          <w:rFonts w:hAnsi="宋体"/>
          <w:szCs w:val="28"/>
        </w:rPr>
      </w:pPr>
      <w:bookmarkStart w:id="94" w:name="_Toc101798278"/>
      <w:r>
        <w:rPr>
          <w:rFonts w:hint="eastAsia" w:hAnsi="宋体"/>
          <w:szCs w:val="28"/>
        </w:rPr>
        <w:t>5.</w:t>
      </w:r>
      <w:r>
        <w:rPr>
          <w:rFonts w:hAnsi="宋体"/>
          <w:szCs w:val="28"/>
        </w:rPr>
        <w:t>3</w:t>
      </w:r>
      <w:r>
        <w:rPr>
          <w:rFonts w:hint="eastAsia" w:hAnsi="宋体"/>
          <w:szCs w:val="28"/>
        </w:rPr>
        <w:t xml:space="preserve"> 经费保障</w:t>
      </w:r>
      <w:bookmarkEnd w:id="94"/>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设立安全专项费用，包括应急救援专项经费，用于应急救援预案演练、应急救援物资装备的配备等与应急救援工作相关的支出。</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应急经费从安全专项费用中提取。安全专项费用的提取和使用严格执行本企业管理规定。</w:t>
      </w:r>
    </w:p>
    <w:p>
      <w:pPr>
        <w:pStyle w:val="7"/>
        <w:spacing w:line="360" w:lineRule="auto"/>
        <w:ind w:firstLine="562"/>
        <w:rPr>
          <w:rFonts w:hAnsi="宋体"/>
          <w:szCs w:val="28"/>
        </w:rPr>
      </w:pPr>
      <w:bookmarkStart w:id="95" w:name="_Toc101798279"/>
      <w:r>
        <w:rPr>
          <w:rFonts w:hint="eastAsia" w:hAnsi="宋体"/>
          <w:szCs w:val="28"/>
        </w:rPr>
        <w:t>5.</w:t>
      </w:r>
      <w:r>
        <w:rPr>
          <w:rFonts w:hAnsi="宋体"/>
          <w:szCs w:val="28"/>
        </w:rPr>
        <w:t>4</w:t>
      </w:r>
      <w:r>
        <w:rPr>
          <w:rFonts w:hint="eastAsia" w:hAnsi="宋体"/>
          <w:szCs w:val="28"/>
        </w:rPr>
        <w:t>其他保障</w:t>
      </w:r>
      <w:bookmarkEnd w:id="95"/>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应急救援时，本企业各生产作业区的专业技术人员，接到支援指令时，必须立刻赶赴现场，提供相关的技术支援。</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根据自身生产经营场所地理位置、周边环境和危险源的情况，确定交通运输、治安、技术、医疗保障、后勤保障等所需的人员、物资、设备等。</w:t>
      </w:r>
    </w:p>
    <w:p>
      <w:pPr>
        <w:autoSpaceDE w:val="0"/>
        <w:autoSpaceDN w:val="0"/>
        <w:spacing w:after="0" w:line="560" w:lineRule="exact"/>
        <w:ind w:firstLine="560" w:firstLineChars="200"/>
        <w:rPr>
          <w:rFonts w:ascii="宋体" w:hAnsi="宋体" w:cs="宋体"/>
          <w:szCs w:val="28"/>
        </w:rPr>
      </w:pPr>
      <w:r>
        <w:rPr>
          <w:rFonts w:hint="eastAsia" w:ascii="宋体" w:hAnsi="宋体" w:cs="宋体"/>
          <w:szCs w:val="28"/>
        </w:rPr>
        <w:t>本企业根据突发事件性质、严重程度、范围等选择应急处置和救援可依托的外部专业机构、物资、技术等，并签订互助协议，确保突发事件的应急处置、医疗救治、治安保卫、交通运输等应急救援力量到位。</w:t>
      </w:r>
    </w:p>
    <w:p>
      <w:pPr>
        <w:autoSpaceDE w:val="0"/>
        <w:autoSpaceDN w:val="0"/>
        <w:spacing w:after="0" w:line="360" w:lineRule="auto"/>
        <w:ind w:firstLine="560" w:firstLineChars="200"/>
        <w:rPr>
          <w:rFonts w:ascii="宋体" w:hAnsi="宋体" w:cs="宋体"/>
          <w:szCs w:val="28"/>
        </w:rPr>
      </w:pPr>
    </w:p>
    <w:p>
      <w:pPr>
        <w:pStyle w:val="72"/>
        <w:spacing w:line="360" w:lineRule="auto"/>
        <w:rPr>
          <w:color w:val="auto"/>
        </w:rPr>
      </w:pPr>
    </w:p>
    <w:bookmarkEnd w:id="9"/>
    <w:bookmarkEnd w:id="79"/>
    <w:bookmarkEnd w:id="80"/>
    <w:bookmarkEnd w:id="81"/>
    <w:bookmarkEnd w:id="82"/>
    <w:bookmarkEnd w:id="83"/>
    <w:p>
      <w:pPr>
        <w:pStyle w:val="5"/>
        <w:pageBreakBefore/>
        <w:tabs>
          <w:tab w:val="clear" w:pos="0"/>
        </w:tabs>
        <w:spacing w:line="500" w:lineRule="exact"/>
        <w:ind w:left="0" w:firstLine="803"/>
        <w:jc w:val="center"/>
        <w:rPr>
          <w:rFonts w:hAnsi="宋体"/>
          <w:snapToGrid w:val="0"/>
          <w:kern w:val="0"/>
          <w:sz w:val="40"/>
        </w:rPr>
      </w:pPr>
      <w:bookmarkStart w:id="96" w:name="_Toc24632_WPSOffice_Level1"/>
      <w:bookmarkStart w:id="97" w:name="_Toc505002459"/>
      <w:bookmarkStart w:id="98" w:name="_Toc101798280"/>
      <w:bookmarkStart w:id="99" w:name="_Toc26225_WPSOffice_Level1"/>
      <w:bookmarkStart w:id="100" w:name="_Toc505002514"/>
      <w:r>
        <w:rPr>
          <w:rFonts w:hint="eastAsia" w:hAnsi="宋体"/>
          <w:snapToGrid w:val="0"/>
          <w:kern w:val="0"/>
          <w:sz w:val="40"/>
        </w:rPr>
        <w:t>第二篇 专项应急预案</w:t>
      </w:r>
      <w:bookmarkEnd w:id="96"/>
      <w:bookmarkEnd w:id="97"/>
      <w:bookmarkEnd w:id="98"/>
    </w:p>
    <w:p>
      <w:pPr>
        <w:spacing w:line="500" w:lineRule="exact"/>
        <w:ind w:firstLine="560" w:firstLineChars="200"/>
      </w:pPr>
      <w:r>
        <w:rPr>
          <w:rFonts w:hint="eastAsia" w:ascii="宋体" w:hAnsi="宋体" w:cs="宋体"/>
          <w:szCs w:val="28"/>
        </w:rPr>
        <w:t>针对某种特有或具体的事故、事件或灾难风险导致的紧急情况应急而制定的救援预案。本企业制定的专项预案包括：消防事故专项应急预案、燃气场站事故专项应急预案、管道事故专项应急预案、地震专项应急预案、防洪抗汛专项应急预案、防暴恐袭击专项应急预案等。</w:t>
      </w:r>
      <w:r>
        <w:rPr>
          <w:rFonts w:hint="eastAsia"/>
        </w:rPr>
        <w:t xml:space="preserve">     </w:t>
      </w:r>
    </w:p>
    <w:p>
      <w:pPr>
        <w:pStyle w:val="6"/>
      </w:pPr>
      <w:bookmarkStart w:id="101" w:name="_Toc505002460"/>
      <w:bookmarkStart w:id="102" w:name="_Toc101798281"/>
      <w:r>
        <w:rPr>
          <w:rFonts w:hint="eastAsia"/>
        </w:rPr>
        <w:t>1 消防事故专项应急预案</w:t>
      </w:r>
      <w:bookmarkEnd w:id="101"/>
      <w:bookmarkEnd w:id="102"/>
    </w:p>
    <w:p>
      <w:pPr>
        <w:pStyle w:val="7"/>
        <w:spacing w:line="360" w:lineRule="auto"/>
        <w:ind w:firstLine="562"/>
        <w:rPr>
          <w:rFonts w:hAnsi="宋体"/>
          <w:szCs w:val="28"/>
        </w:rPr>
      </w:pPr>
      <w:bookmarkStart w:id="103" w:name="_Toc101798282"/>
      <w:bookmarkStart w:id="104" w:name="_Toc505002461"/>
      <w:r>
        <w:rPr>
          <w:rFonts w:hint="eastAsia" w:hAnsi="宋体"/>
          <w:szCs w:val="28"/>
        </w:rPr>
        <w:t>1.1适用范围</w:t>
      </w:r>
      <w:bookmarkEnd w:id="103"/>
    </w:p>
    <w:p>
      <w:pPr>
        <w:spacing w:after="0" w:line="560" w:lineRule="exact"/>
        <w:ind w:firstLine="560" w:firstLineChars="200"/>
        <w:rPr>
          <w:rFonts w:ascii="宋体" w:hAnsi="宋体" w:cs="宋体"/>
          <w:szCs w:val="24"/>
        </w:rPr>
      </w:pPr>
      <w:bookmarkStart w:id="105" w:name="_Toc17598"/>
      <w:bookmarkStart w:id="106" w:name="_Toc20957"/>
      <w:r>
        <w:rPr>
          <w:rFonts w:hint="eastAsia" w:ascii="宋体" w:hAnsi="宋体" w:cs="宋体"/>
          <w:szCs w:val="24"/>
        </w:rPr>
        <w:t>本专项应急预案适用于本企业内发生火灾、爆炸等消防事故后的相关应急处置及救援程序等</w:t>
      </w:r>
      <w:bookmarkEnd w:id="105"/>
      <w:bookmarkEnd w:id="106"/>
      <w:r>
        <w:rPr>
          <w:rFonts w:hint="eastAsia" w:ascii="宋体" w:hAnsi="宋体" w:cs="宋体"/>
          <w:szCs w:val="24"/>
        </w:rPr>
        <w:t>，是本企业综合应急预案的组成部分。</w:t>
      </w:r>
    </w:p>
    <w:p>
      <w:pPr>
        <w:pStyle w:val="7"/>
        <w:spacing w:line="360" w:lineRule="auto"/>
        <w:ind w:firstLine="562"/>
        <w:rPr>
          <w:rFonts w:hAnsi="宋体"/>
          <w:szCs w:val="28"/>
        </w:rPr>
      </w:pPr>
      <w:bookmarkStart w:id="107" w:name="_Toc101798283"/>
      <w:r>
        <w:rPr>
          <w:rFonts w:hint="eastAsia" w:hAnsi="宋体"/>
          <w:szCs w:val="28"/>
        </w:rPr>
        <w:t>1.2应急指挥机构及职责</w:t>
      </w:r>
      <w:bookmarkEnd w:id="107"/>
    </w:p>
    <w:p>
      <w:pPr>
        <w:spacing w:after="0" w:line="560" w:lineRule="exact"/>
        <w:ind w:firstLine="560" w:firstLineChars="200"/>
        <w:rPr>
          <w:rFonts w:ascii="宋体" w:hAnsi="宋体" w:cs="宋体"/>
          <w:szCs w:val="24"/>
        </w:rPr>
      </w:pPr>
      <w:bookmarkStart w:id="108" w:name="_Toc22209"/>
      <w:bookmarkStart w:id="109" w:name="_Toc29565"/>
      <w:r>
        <w:rPr>
          <w:rFonts w:hint="eastAsia" w:ascii="宋体" w:hAnsi="宋体" w:cs="宋体"/>
          <w:szCs w:val="24"/>
        </w:rPr>
        <w:t>应急组织机构及职责与综合应急预案一致，见2章节。</w:t>
      </w:r>
    </w:p>
    <w:bookmarkEnd w:id="108"/>
    <w:bookmarkEnd w:id="109"/>
    <w:p>
      <w:pPr>
        <w:pStyle w:val="7"/>
        <w:spacing w:line="360" w:lineRule="auto"/>
        <w:ind w:firstLine="562"/>
        <w:rPr>
          <w:rFonts w:hAnsi="宋体"/>
          <w:szCs w:val="28"/>
        </w:rPr>
      </w:pPr>
      <w:bookmarkStart w:id="110" w:name="_Toc101798284"/>
      <w:r>
        <w:rPr>
          <w:rFonts w:hint="eastAsia" w:hAnsi="宋体"/>
          <w:szCs w:val="28"/>
        </w:rPr>
        <w:t>1.3响应启动</w:t>
      </w:r>
      <w:bookmarkEnd w:id="110"/>
    </w:p>
    <w:p>
      <w:pPr>
        <w:spacing w:after="0" w:line="560" w:lineRule="exact"/>
        <w:ind w:firstLine="560" w:firstLineChars="200"/>
        <w:rPr>
          <w:rFonts w:ascii="宋体" w:hAnsi="宋体" w:cs="宋体"/>
          <w:szCs w:val="24"/>
        </w:rPr>
      </w:pPr>
      <w:bookmarkStart w:id="111" w:name="_Toc367812198"/>
      <w:bookmarkStart w:id="112" w:name="_Toc365881805"/>
      <w:r>
        <w:rPr>
          <w:rFonts w:hint="eastAsia" w:ascii="宋体" w:hAnsi="宋体" w:cs="宋体"/>
          <w:szCs w:val="24"/>
        </w:rPr>
        <w:t>响应启动与综合应急预案一致，见3.3响应启动。</w:t>
      </w:r>
    </w:p>
    <w:bookmarkEnd w:id="111"/>
    <w:bookmarkEnd w:id="112"/>
    <w:p>
      <w:pPr>
        <w:pStyle w:val="7"/>
        <w:spacing w:line="360" w:lineRule="auto"/>
        <w:ind w:firstLine="562"/>
        <w:rPr>
          <w:rFonts w:hAnsi="宋体"/>
          <w:szCs w:val="28"/>
        </w:rPr>
      </w:pPr>
      <w:bookmarkStart w:id="113" w:name="_Toc505002466"/>
      <w:bookmarkStart w:id="114" w:name="_Toc367812199"/>
      <w:bookmarkStart w:id="115" w:name="_Toc365881806"/>
      <w:bookmarkStart w:id="116" w:name="_Toc101798285"/>
      <w:r>
        <w:rPr>
          <w:rFonts w:hint="eastAsia" w:hAnsi="宋体"/>
          <w:szCs w:val="28"/>
        </w:rPr>
        <w:t>1.4应急处置</w:t>
      </w:r>
      <w:bookmarkEnd w:id="113"/>
      <w:bookmarkEnd w:id="114"/>
      <w:bookmarkEnd w:id="115"/>
      <w:r>
        <w:rPr>
          <w:rFonts w:hint="eastAsia" w:hAnsi="宋体"/>
          <w:szCs w:val="28"/>
        </w:rPr>
        <w:t>措施</w:t>
      </w:r>
      <w:bookmarkEnd w:id="116"/>
    </w:p>
    <w:p>
      <w:pPr>
        <w:spacing w:after="0" w:line="560" w:lineRule="exact"/>
        <w:ind w:firstLine="560" w:firstLineChars="200"/>
        <w:rPr>
          <w:rFonts w:ascii="宋体" w:hAnsi="宋体" w:cs="宋体"/>
          <w:szCs w:val="24"/>
        </w:rPr>
      </w:pPr>
      <w:bookmarkStart w:id="117" w:name="_Toc4338"/>
      <w:bookmarkStart w:id="118" w:name="_Toc19903"/>
      <w:bookmarkStart w:id="119" w:name="_Toc23209"/>
      <w:r>
        <w:rPr>
          <w:rFonts w:hint="eastAsia" w:ascii="宋体" w:hAnsi="宋体" w:cs="宋体"/>
          <w:szCs w:val="24"/>
        </w:rPr>
        <w:t>1.4.1事故处置原则</w:t>
      </w:r>
      <w:bookmarkEnd w:id="117"/>
      <w:bookmarkEnd w:id="118"/>
      <w:bookmarkEnd w:id="119"/>
    </w:p>
    <w:p>
      <w:pPr>
        <w:spacing w:after="0" w:line="560" w:lineRule="exact"/>
        <w:ind w:firstLine="560" w:firstLineChars="200"/>
        <w:rPr>
          <w:rFonts w:ascii="宋体" w:hAnsi="宋体" w:cs="宋体"/>
          <w:szCs w:val="24"/>
        </w:rPr>
      </w:pPr>
      <w:r>
        <w:rPr>
          <w:rFonts w:hint="eastAsia" w:ascii="宋体" w:hAnsi="宋体" w:cs="宋体"/>
          <w:szCs w:val="24"/>
        </w:rPr>
        <w:t>针对本企业可能发生的火灾爆炸事故类型，遵循以人为本，生命至上的原则采取相应的应急措施。</w:t>
      </w:r>
    </w:p>
    <w:p>
      <w:pPr>
        <w:spacing w:after="0" w:line="560" w:lineRule="exact"/>
        <w:ind w:firstLine="560" w:firstLineChars="200"/>
        <w:rPr>
          <w:rFonts w:ascii="宋体" w:hAnsi="宋体" w:cs="宋体"/>
          <w:szCs w:val="24"/>
        </w:rPr>
      </w:pPr>
      <w:bookmarkStart w:id="120" w:name="_Toc29844"/>
      <w:bookmarkStart w:id="121" w:name="_Toc26842"/>
      <w:bookmarkStart w:id="122" w:name="_Toc26351"/>
      <w:r>
        <w:rPr>
          <w:rFonts w:hint="eastAsia" w:ascii="宋体" w:hAnsi="宋体" w:cs="宋体"/>
          <w:szCs w:val="24"/>
        </w:rPr>
        <w:t>1.4.2处置措施</w:t>
      </w:r>
      <w:bookmarkEnd w:id="120"/>
      <w:bookmarkEnd w:id="121"/>
      <w:bookmarkEnd w:id="122"/>
    </w:p>
    <w:p>
      <w:pPr>
        <w:spacing w:after="0" w:line="560" w:lineRule="exact"/>
        <w:ind w:firstLine="560" w:firstLineChars="200"/>
        <w:rPr>
          <w:rFonts w:ascii="宋体" w:hAnsi="宋体" w:cs="宋体"/>
          <w:szCs w:val="24"/>
        </w:rPr>
      </w:pPr>
      <w:bookmarkStart w:id="123" w:name="_Toc15400"/>
      <w:bookmarkStart w:id="124" w:name="_Toc15130"/>
      <w:bookmarkStart w:id="125" w:name="_Toc14194"/>
      <w:r>
        <w:rPr>
          <w:rFonts w:hint="eastAsia" w:ascii="宋体" w:hAnsi="宋体" w:cs="宋体"/>
          <w:szCs w:val="24"/>
        </w:rPr>
        <w:t>1.4.2.1发生火灾爆炸处置措施</w:t>
      </w:r>
      <w:bookmarkEnd w:id="123"/>
      <w:bookmarkEnd w:id="124"/>
      <w:bookmarkEnd w:id="125"/>
    </w:p>
    <w:p>
      <w:pPr>
        <w:spacing w:after="0" w:line="560" w:lineRule="exact"/>
        <w:ind w:firstLine="560" w:firstLineChars="200"/>
        <w:rPr>
          <w:rFonts w:ascii="宋体" w:hAnsi="宋体" w:cs="宋体"/>
          <w:szCs w:val="24"/>
        </w:rPr>
      </w:pPr>
      <w:r>
        <w:rPr>
          <w:rFonts w:hint="eastAsia" w:ascii="宋体" w:hAnsi="宋体" w:cs="宋体"/>
          <w:szCs w:val="24"/>
        </w:rPr>
        <w:t>1、生产现场岗位人员高声呼喊方式向现场负责人或电话向公司值班电话报警，同时迅速提起附近的灭火器材对着火物实施初期灭火。</w:t>
      </w:r>
    </w:p>
    <w:p>
      <w:pPr>
        <w:spacing w:after="0" w:line="560" w:lineRule="exact"/>
        <w:ind w:firstLine="560" w:firstLineChars="200"/>
        <w:rPr>
          <w:rFonts w:ascii="宋体" w:hAnsi="宋体" w:cs="宋体"/>
          <w:szCs w:val="24"/>
        </w:rPr>
      </w:pPr>
      <w:r>
        <w:rPr>
          <w:rFonts w:hint="eastAsia" w:ascii="宋体" w:hAnsi="宋体" w:cs="宋体"/>
          <w:szCs w:val="24"/>
        </w:rPr>
        <w:t xml:space="preserve">2、本企业应急指挥部立即启动火灾爆炸事故应急救援预案，指挥本企业应急救援人员火速赶到火灾爆炸现场实施应急救援，同时明确专人立即向119报警求援。  </w:t>
      </w:r>
    </w:p>
    <w:p>
      <w:pPr>
        <w:spacing w:after="0" w:line="560" w:lineRule="exact"/>
        <w:ind w:firstLine="560" w:firstLineChars="200"/>
        <w:rPr>
          <w:rFonts w:ascii="宋体" w:hAnsi="宋体" w:cs="宋体"/>
          <w:szCs w:val="24"/>
        </w:rPr>
      </w:pPr>
      <w:r>
        <w:rPr>
          <w:rFonts w:ascii="宋体" w:hAnsi="宋体" w:cs="宋体"/>
          <w:szCs w:val="24"/>
        </w:rPr>
        <w:t>3</w:t>
      </w:r>
      <w:r>
        <w:rPr>
          <w:rFonts w:hint="eastAsia" w:ascii="宋体" w:hAnsi="宋体" w:cs="宋体"/>
          <w:szCs w:val="24"/>
        </w:rPr>
        <w:t xml:space="preserve">、本企业应急队伍及全体员工为初期灭火的主要力量。应急队员应以移动（手提）灭火器材为主要灭火工具，在确保自身安全的前提下，根据火场燃烧物质的种类，及时切断气源电源，正确使用灭火器材，积极投入灭火救援；当消防人员参加扑救时，应服从消防人员的调遣。 </w:t>
      </w:r>
    </w:p>
    <w:p>
      <w:pPr>
        <w:spacing w:after="0" w:line="560" w:lineRule="exact"/>
        <w:ind w:firstLine="560" w:firstLineChars="200"/>
        <w:rPr>
          <w:rFonts w:ascii="宋体" w:hAnsi="宋体" w:cs="宋体"/>
          <w:szCs w:val="24"/>
        </w:rPr>
      </w:pPr>
      <w:r>
        <w:rPr>
          <w:rFonts w:hint="eastAsia" w:ascii="宋体" w:hAnsi="宋体" w:cs="宋体"/>
          <w:szCs w:val="24"/>
        </w:rPr>
        <w:t>4、如火势转大，应在消防人员指挥下，根据火焰辐射热所涉及到的范围建立警戒区，警戒区域的边界应设警示标志并有专人警戒。对于火势较大的火灾和爆炸，应视不同情况分别进行紧急处理：</w:t>
      </w:r>
    </w:p>
    <w:p>
      <w:pPr>
        <w:spacing w:after="0" w:line="560" w:lineRule="exact"/>
        <w:ind w:firstLine="560" w:firstLineChars="200"/>
        <w:rPr>
          <w:rFonts w:ascii="宋体" w:hAnsi="宋体" w:cs="宋体"/>
          <w:szCs w:val="24"/>
        </w:rPr>
      </w:pPr>
      <w:r>
        <w:rPr>
          <w:rFonts w:hint="eastAsia" w:ascii="宋体" w:hAnsi="宋体" w:cs="宋体"/>
          <w:szCs w:val="24"/>
        </w:rPr>
        <w:t xml:space="preserve"> 1）发生火灾、爆炸事故时，发现险情人员（或接报人员）应向现场负责人或公司值班电话0</w:t>
      </w:r>
      <w:r>
        <w:rPr>
          <w:rFonts w:ascii="宋体" w:hAnsi="宋体" w:cs="宋体"/>
          <w:szCs w:val="24"/>
        </w:rPr>
        <w:t>817-</w:t>
      </w:r>
      <w:r>
        <w:rPr>
          <w:rFonts w:hint="eastAsia" w:ascii="宋体" w:hAnsi="宋体" w:cs="宋体"/>
          <w:szCs w:val="24"/>
        </w:rPr>
        <w:t>5</w:t>
      </w:r>
      <w:r>
        <w:rPr>
          <w:rFonts w:ascii="宋体" w:hAnsi="宋体" w:cs="宋体"/>
          <w:szCs w:val="24"/>
        </w:rPr>
        <w:t>522874</w:t>
      </w:r>
      <w:r>
        <w:rPr>
          <w:rFonts w:hint="eastAsia" w:ascii="宋体" w:hAnsi="宋体" w:cs="宋体"/>
          <w:szCs w:val="24"/>
        </w:rPr>
        <w:t>报告；</w:t>
      </w:r>
      <w:r>
        <w:rPr>
          <w:rFonts w:ascii="宋体" w:hAnsi="宋体" w:cs="宋体"/>
          <w:szCs w:val="24"/>
        </w:rPr>
        <w:t xml:space="preserve"> </w:t>
      </w:r>
    </w:p>
    <w:p>
      <w:pPr>
        <w:spacing w:after="0" w:line="560" w:lineRule="exact"/>
        <w:ind w:firstLine="560" w:firstLineChars="200"/>
        <w:rPr>
          <w:rFonts w:ascii="宋体" w:hAnsi="宋体" w:cs="宋体"/>
          <w:szCs w:val="24"/>
        </w:rPr>
      </w:pPr>
      <w:r>
        <w:rPr>
          <w:rFonts w:hint="eastAsia" w:ascii="宋体" w:hAnsi="宋体" w:cs="宋体"/>
          <w:szCs w:val="24"/>
        </w:rPr>
        <w:t xml:space="preserve"> 2）公司值班人员通过初步研判事故大小、性质等情况后，按事故级别向对应级别负责人报告，由对应级别负责人最终研判启动响应； </w:t>
      </w:r>
    </w:p>
    <w:p>
      <w:pPr>
        <w:spacing w:after="0" w:line="560" w:lineRule="exact"/>
        <w:ind w:firstLine="560" w:firstLineChars="200"/>
        <w:rPr>
          <w:rFonts w:ascii="宋体" w:hAnsi="宋体" w:cs="宋体"/>
          <w:szCs w:val="24"/>
        </w:rPr>
      </w:pPr>
      <w:r>
        <w:rPr>
          <w:rFonts w:hint="eastAsia" w:ascii="宋体" w:hAnsi="宋体" w:cs="宋体"/>
          <w:szCs w:val="24"/>
        </w:rPr>
        <w:t xml:space="preserve"> 3）发现火灾、爆炸的员工报警后应立即根据火灾的不同类型，用相应的灭火器材扑救，控制火灾蔓延； </w:t>
      </w:r>
    </w:p>
    <w:p>
      <w:pPr>
        <w:spacing w:after="0" w:line="560" w:lineRule="exact"/>
        <w:ind w:firstLine="560" w:firstLineChars="200"/>
        <w:rPr>
          <w:rFonts w:ascii="宋体" w:hAnsi="宋体" w:cs="宋体"/>
          <w:szCs w:val="24"/>
        </w:rPr>
      </w:pPr>
      <w:r>
        <w:rPr>
          <w:rFonts w:hint="eastAsia" w:ascii="宋体" w:hAnsi="宋体" w:cs="宋体"/>
          <w:szCs w:val="24"/>
        </w:rPr>
        <w:t xml:space="preserve">4）当班值班人员迅速组织有关人员查清着火部位和着火物质来源并及时准确的处理，如关闭阀门以切断火源；  </w:t>
      </w:r>
    </w:p>
    <w:p>
      <w:pPr>
        <w:spacing w:after="0" w:line="560" w:lineRule="exact"/>
        <w:ind w:firstLine="560" w:firstLineChars="200"/>
        <w:rPr>
          <w:rFonts w:ascii="宋体" w:hAnsi="宋体" w:cs="宋体"/>
          <w:szCs w:val="24"/>
        </w:rPr>
      </w:pPr>
      <w:r>
        <w:rPr>
          <w:rFonts w:ascii="宋体" w:hAnsi="宋体" w:cs="宋体"/>
          <w:szCs w:val="24"/>
        </w:rPr>
        <w:t>5</w:t>
      </w:r>
      <w:r>
        <w:rPr>
          <w:rFonts w:hint="eastAsia" w:ascii="宋体" w:hAnsi="宋体" w:cs="宋体"/>
          <w:szCs w:val="24"/>
        </w:rPr>
        <w:t xml:space="preserve">）当班值班人员应按照操作规程、安全技术规程并根据火势和爆炸情况，作出是否停止运行的决定或采取其他工艺措施，如大火一时难以扑灭，在保障人身安全的前提下，尽力保护要害部位，转移危险物品。  </w:t>
      </w:r>
    </w:p>
    <w:p>
      <w:pPr>
        <w:spacing w:after="0" w:line="560" w:lineRule="exact"/>
        <w:ind w:firstLine="560" w:firstLineChars="200"/>
        <w:rPr>
          <w:rFonts w:ascii="宋体" w:hAnsi="宋体" w:cs="宋体"/>
          <w:szCs w:val="24"/>
        </w:rPr>
      </w:pPr>
      <w:r>
        <w:rPr>
          <w:rFonts w:ascii="宋体" w:hAnsi="宋体" w:cs="宋体"/>
          <w:szCs w:val="24"/>
        </w:rPr>
        <w:t>6</w:t>
      </w:r>
      <w:r>
        <w:rPr>
          <w:rFonts w:hint="eastAsia" w:ascii="宋体" w:hAnsi="宋体" w:cs="宋体"/>
          <w:szCs w:val="24"/>
        </w:rPr>
        <w:t>）当专业消防人员到达火灾、爆炸现场后，火灾发现者、报警者等有关人员应主动介绍火灾情况、生产工艺情况以及已经采取的措施，配合消防队员排除险情，扑灭火灾；</w:t>
      </w:r>
    </w:p>
    <w:p>
      <w:pPr>
        <w:spacing w:after="0" w:line="560" w:lineRule="exact"/>
        <w:ind w:firstLine="560" w:firstLineChars="200"/>
        <w:rPr>
          <w:rFonts w:ascii="宋体" w:hAnsi="宋体" w:cs="宋体"/>
          <w:szCs w:val="24"/>
        </w:rPr>
      </w:pPr>
      <w:r>
        <w:rPr>
          <w:rFonts w:hint="eastAsia" w:ascii="宋体" w:hAnsi="宋体" w:cs="宋体"/>
          <w:szCs w:val="24"/>
        </w:rPr>
        <w:t>1.4.2.</w:t>
      </w:r>
      <w:r>
        <w:rPr>
          <w:rFonts w:ascii="宋体" w:hAnsi="宋体" w:cs="宋体"/>
          <w:szCs w:val="24"/>
        </w:rPr>
        <w:t>2</w:t>
      </w:r>
      <w:r>
        <w:rPr>
          <w:rFonts w:hint="eastAsia" w:ascii="宋体" w:hAnsi="宋体" w:cs="宋体"/>
          <w:szCs w:val="24"/>
        </w:rPr>
        <w:t>.发生电气火灾、爆炸的处置措施</w:t>
      </w:r>
    </w:p>
    <w:p>
      <w:pPr>
        <w:spacing w:after="0" w:line="560" w:lineRule="exact"/>
        <w:ind w:firstLine="560" w:firstLineChars="200"/>
        <w:rPr>
          <w:rFonts w:ascii="宋体" w:hAnsi="宋体" w:cs="宋体"/>
          <w:szCs w:val="24"/>
        </w:rPr>
      </w:pPr>
      <w:r>
        <w:rPr>
          <w:rFonts w:hint="eastAsia" w:ascii="宋体" w:hAnsi="宋体" w:cs="宋体"/>
          <w:szCs w:val="24"/>
        </w:rPr>
        <w:t xml:space="preserve">当发现电气设备初起火灾时，现场操作人员应根据火势的大小分别采取紧急措施。 </w:t>
      </w:r>
    </w:p>
    <w:p>
      <w:pPr>
        <w:spacing w:after="0" w:line="560" w:lineRule="exact"/>
        <w:ind w:firstLine="560" w:firstLineChars="200"/>
        <w:rPr>
          <w:rFonts w:ascii="宋体" w:hAnsi="宋体" w:cs="宋体"/>
          <w:szCs w:val="24"/>
        </w:rPr>
      </w:pPr>
      <w:r>
        <w:rPr>
          <w:rFonts w:hint="eastAsia" w:ascii="宋体" w:hAnsi="宋体" w:cs="宋体"/>
          <w:szCs w:val="24"/>
        </w:rPr>
        <w:t xml:space="preserve">1）使用绝缘良好的工具； </w:t>
      </w:r>
    </w:p>
    <w:p>
      <w:pPr>
        <w:spacing w:after="0" w:line="560" w:lineRule="exact"/>
        <w:ind w:firstLine="560" w:firstLineChars="200"/>
        <w:rPr>
          <w:rFonts w:ascii="宋体" w:hAnsi="宋体" w:cs="宋体"/>
          <w:szCs w:val="24"/>
        </w:rPr>
      </w:pPr>
      <w:r>
        <w:rPr>
          <w:rFonts w:hint="eastAsia" w:ascii="宋体" w:hAnsi="宋体" w:cs="宋体"/>
          <w:szCs w:val="24"/>
        </w:rPr>
        <w:t>2）选择恰当的切断电源地点；</w:t>
      </w:r>
    </w:p>
    <w:p>
      <w:pPr>
        <w:spacing w:after="0" w:line="560" w:lineRule="exact"/>
        <w:ind w:firstLine="560" w:firstLineChars="200"/>
        <w:rPr>
          <w:rFonts w:ascii="宋体" w:hAnsi="宋体" w:cs="宋体"/>
          <w:szCs w:val="24"/>
        </w:rPr>
      </w:pPr>
      <w:r>
        <w:rPr>
          <w:rFonts w:hint="eastAsia" w:ascii="宋体" w:hAnsi="宋体" w:cs="宋体"/>
          <w:szCs w:val="24"/>
        </w:rPr>
        <w:t>3）切断电源后，应向当班负责人报告。</w:t>
      </w:r>
    </w:p>
    <w:p>
      <w:pPr>
        <w:spacing w:after="0" w:line="560" w:lineRule="exact"/>
        <w:ind w:firstLine="560" w:firstLineChars="200"/>
        <w:rPr>
          <w:rFonts w:ascii="宋体" w:hAnsi="宋体" w:cs="宋体"/>
          <w:szCs w:val="24"/>
        </w:rPr>
      </w:pPr>
      <w:r>
        <w:rPr>
          <w:rFonts w:ascii="宋体" w:hAnsi="宋体" w:cs="宋体"/>
          <w:szCs w:val="24"/>
        </w:rPr>
        <w:t>4</w:t>
      </w:r>
      <w:r>
        <w:rPr>
          <w:rFonts w:hint="eastAsia" w:ascii="宋体" w:hAnsi="宋体" w:cs="宋体"/>
          <w:szCs w:val="24"/>
        </w:rPr>
        <w:t>）若来不及切断电源或生产需要不允许断电时，应注意；</w:t>
      </w:r>
    </w:p>
    <w:p>
      <w:pPr>
        <w:spacing w:after="0" w:line="560" w:lineRule="exact"/>
        <w:ind w:firstLine="560" w:firstLineChars="200"/>
        <w:rPr>
          <w:rFonts w:ascii="宋体" w:hAnsi="宋体" w:cs="宋体"/>
          <w:szCs w:val="24"/>
        </w:rPr>
      </w:pPr>
      <w:r>
        <w:rPr>
          <w:rFonts w:hint="eastAsia" w:ascii="宋体" w:hAnsi="宋体" w:cs="宋体"/>
          <w:szCs w:val="24"/>
        </w:rPr>
        <w:t xml:space="preserve">①带电体与人体保持必要的安全距离（室内大于4m, 室外大于8m ）；  </w:t>
      </w:r>
    </w:p>
    <w:p>
      <w:pPr>
        <w:spacing w:after="0" w:line="560" w:lineRule="exact"/>
        <w:ind w:firstLine="560" w:firstLineChars="200"/>
        <w:rPr>
          <w:rFonts w:ascii="宋体" w:hAnsi="宋体" w:cs="宋体"/>
          <w:szCs w:val="24"/>
        </w:rPr>
      </w:pPr>
      <w:r>
        <w:rPr>
          <w:rFonts w:hint="eastAsia" w:ascii="宋体" w:hAnsi="宋体" w:cs="宋体"/>
          <w:szCs w:val="24"/>
        </w:rPr>
        <w:t>②选用CO2灭火剂、干粉灭火剂对电气设备灭火并保持机体喷嘴与带电体的安全距离（10kv 及以下大于0.4m ）；注意不能用带金属喷嘴的灭火器进行电气火灾灭火。</w:t>
      </w:r>
    </w:p>
    <w:p>
      <w:pPr>
        <w:spacing w:after="0" w:line="560" w:lineRule="exact"/>
        <w:ind w:firstLine="560" w:firstLineChars="200"/>
        <w:rPr>
          <w:rFonts w:ascii="宋体" w:hAnsi="宋体" w:cs="宋体"/>
          <w:szCs w:val="24"/>
        </w:rPr>
      </w:pPr>
      <w:r>
        <w:rPr>
          <w:rFonts w:hint="eastAsia" w:ascii="宋体" w:hAnsi="宋体" w:cs="宋体"/>
          <w:szCs w:val="24"/>
        </w:rPr>
        <w:t xml:space="preserve">③ 对架空路线及空中设备灭火时，人体位置与带电体之间的仰角不应大于45°。 </w:t>
      </w:r>
    </w:p>
    <w:p>
      <w:pPr>
        <w:spacing w:after="0" w:line="560" w:lineRule="exact"/>
        <w:ind w:firstLine="560" w:firstLineChars="200"/>
        <w:rPr>
          <w:rFonts w:ascii="宋体" w:hAnsi="宋体" w:cs="宋体"/>
          <w:szCs w:val="24"/>
        </w:rPr>
      </w:pPr>
      <w:r>
        <w:rPr>
          <w:rFonts w:hint="eastAsia" w:ascii="宋体" w:hAnsi="宋体" w:cs="宋体"/>
          <w:szCs w:val="24"/>
        </w:rPr>
        <w:t>1.4.2.</w:t>
      </w:r>
      <w:r>
        <w:rPr>
          <w:rFonts w:ascii="宋体" w:hAnsi="宋体" w:cs="宋体"/>
          <w:szCs w:val="24"/>
        </w:rPr>
        <w:t>3.</w:t>
      </w:r>
      <w:r>
        <w:rPr>
          <w:rFonts w:hint="eastAsia" w:ascii="宋体" w:hAnsi="宋体" w:cs="宋体"/>
          <w:szCs w:val="24"/>
        </w:rPr>
        <w:t>天然气泄漏引起火灾、爆炸的处置措施</w:t>
      </w:r>
    </w:p>
    <w:p>
      <w:pPr>
        <w:spacing w:after="0" w:line="560" w:lineRule="exact"/>
        <w:ind w:firstLine="560" w:firstLineChars="200"/>
        <w:rPr>
          <w:rFonts w:ascii="宋体" w:hAnsi="宋体" w:cs="宋体"/>
          <w:szCs w:val="24"/>
        </w:rPr>
      </w:pPr>
      <w:r>
        <w:rPr>
          <w:rFonts w:hint="eastAsia" w:ascii="宋体" w:hAnsi="宋体" w:cs="宋体"/>
          <w:szCs w:val="24"/>
        </w:rPr>
        <w:t>1）及时关控阀门，有效控制气源，应根据现场形势缓慢关闭阀门，防止回火引发管道物理爆炸，要保持管道内微正压。</w:t>
      </w:r>
    </w:p>
    <w:p>
      <w:pPr>
        <w:spacing w:after="0" w:line="560" w:lineRule="exact"/>
        <w:ind w:firstLine="560" w:firstLineChars="200"/>
        <w:rPr>
          <w:rFonts w:ascii="宋体" w:hAnsi="宋体" w:cs="宋体"/>
          <w:szCs w:val="24"/>
        </w:rPr>
      </w:pPr>
      <w:r>
        <w:rPr>
          <w:rFonts w:hint="eastAsia" w:ascii="宋体" w:hAnsi="宋体" w:cs="宋体"/>
          <w:szCs w:val="24"/>
        </w:rPr>
        <w:t>2）发生初起火灾时，本企业应急队伍及全体员工为初期灭火的主要力量。应急队员应以移动（手提）灭火器材为主要灭火工具，在确保自身安全的前提下，根据火场燃烧物质的种类，及时切断气源电源，正确使用灭火器材，积极投入灭火救援；当消防人员参加扑救时，应服从消防人员的调遣。</w:t>
      </w:r>
    </w:p>
    <w:p>
      <w:pPr>
        <w:spacing w:after="0" w:line="560" w:lineRule="exact"/>
        <w:ind w:firstLine="560" w:firstLineChars="200"/>
        <w:rPr>
          <w:rFonts w:ascii="宋体" w:hAnsi="宋体" w:cs="宋体"/>
          <w:szCs w:val="24"/>
        </w:rPr>
      </w:pPr>
      <w:r>
        <w:rPr>
          <w:rFonts w:ascii="宋体" w:hAnsi="宋体" w:cs="宋体"/>
          <w:szCs w:val="24"/>
        </w:rPr>
        <w:t>3</w:t>
      </w:r>
      <w:r>
        <w:rPr>
          <w:rFonts w:hint="eastAsia" w:ascii="宋体" w:hAnsi="宋体" w:cs="宋体"/>
          <w:szCs w:val="24"/>
        </w:rPr>
        <w:t xml:space="preserve">）在实施扑救过程中，首先应重点控制工艺区、管线设施、电气设备、易燃材料集中点等重点防火部位，防止其着火或火势加大，减少火灾造成的环境影响和财产损失。同时注意风向和火势的变化，以及周围烟气的扩散等情况，以便能在火势万一转大后撤离到安全位置。   </w:t>
      </w:r>
    </w:p>
    <w:p>
      <w:pPr>
        <w:spacing w:after="0" w:line="560" w:lineRule="exact"/>
        <w:ind w:firstLine="560" w:firstLineChars="200"/>
        <w:rPr>
          <w:rFonts w:ascii="宋体" w:hAnsi="宋体" w:cs="宋体"/>
          <w:szCs w:val="24"/>
        </w:rPr>
      </w:pPr>
      <w:r>
        <w:rPr>
          <w:rFonts w:ascii="宋体" w:hAnsi="宋体" w:cs="宋体"/>
          <w:szCs w:val="24"/>
        </w:rPr>
        <w:t>4</w:t>
      </w:r>
      <w:r>
        <w:rPr>
          <w:rFonts w:hint="eastAsia" w:ascii="宋体" w:hAnsi="宋体" w:cs="宋体"/>
          <w:szCs w:val="24"/>
        </w:rPr>
        <w:t xml:space="preserve">）若因抢险抢修造成下游用户停气的，应及时报告政府有关部门，做好宣传告知与解释工作，同时积极协调气源，保障居民和重点用户燃气供应，维护稳定。 </w:t>
      </w:r>
    </w:p>
    <w:p>
      <w:pPr>
        <w:spacing w:after="0" w:line="560" w:lineRule="exact"/>
        <w:ind w:firstLine="560" w:firstLineChars="200"/>
        <w:rPr>
          <w:rFonts w:ascii="宋体" w:hAnsi="宋体" w:cs="宋体"/>
          <w:szCs w:val="24"/>
        </w:rPr>
      </w:pPr>
      <w:r>
        <w:rPr>
          <w:rFonts w:hint="eastAsia" w:ascii="宋体" w:hAnsi="宋体" w:cs="宋体"/>
          <w:szCs w:val="24"/>
        </w:rPr>
        <w:t>1.4.2.</w:t>
      </w:r>
      <w:r>
        <w:rPr>
          <w:rFonts w:ascii="宋体" w:hAnsi="宋体" w:cs="宋体"/>
          <w:szCs w:val="24"/>
        </w:rPr>
        <w:t>4</w:t>
      </w:r>
      <w:r>
        <w:rPr>
          <w:rFonts w:hint="eastAsia" w:ascii="宋体" w:hAnsi="宋体" w:cs="宋体"/>
          <w:szCs w:val="24"/>
        </w:rPr>
        <w:t xml:space="preserve">.人身着火的处置措施 </w:t>
      </w:r>
    </w:p>
    <w:p>
      <w:pPr>
        <w:spacing w:after="0" w:line="560" w:lineRule="exact"/>
        <w:ind w:firstLine="560" w:firstLineChars="200"/>
        <w:rPr>
          <w:rFonts w:ascii="宋体" w:hAnsi="宋体" w:cs="宋体"/>
          <w:szCs w:val="24"/>
        </w:rPr>
      </w:pPr>
      <w:r>
        <w:rPr>
          <w:rFonts w:hint="eastAsia" w:ascii="宋体" w:hAnsi="宋体" w:cs="宋体"/>
          <w:szCs w:val="24"/>
        </w:rPr>
        <w:t xml:space="preserve"> 1）若衣服着火又不能及时扑灭时，应立即脱掉衣服，如来不及或无法脱掉应就地打滚，用身体压灭火种或就地用水灭火，切勿跑动；  </w:t>
      </w:r>
    </w:p>
    <w:p>
      <w:pPr>
        <w:spacing w:after="0" w:line="560" w:lineRule="exact"/>
        <w:ind w:firstLine="560" w:firstLineChars="200"/>
        <w:rPr>
          <w:rFonts w:ascii="宋体" w:hAnsi="宋体" w:cs="宋体"/>
          <w:szCs w:val="24"/>
        </w:rPr>
      </w:pPr>
      <w:r>
        <w:rPr>
          <w:rFonts w:hint="eastAsia" w:ascii="宋体" w:hAnsi="宋体" w:cs="宋体"/>
          <w:szCs w:val="24"/>
        </w:rPr>
        <w:t>2） 若发现人身溅油着火，在场者应制止其跑动并尽快将其摁倒，用石棉布或棉衣棉被覆盖（最好用水浸湿）；也可用灭火剂扑救，但注意不要对着其面部。</w:t>
      </w:r>
    </w:p>
    <w:p>
      <w:pPr>
        <w:pStyle w:val="7"/>
        <w:spacing w:line="360" w:lineRule="auto"/>
        <w:ind w:firstLine="643"/>
        <w:rPr>
          <w:rFonts w:hAnsi="宋体"/>
        </w:rPr>
      </w:pPr>
      <w:bookmarkStart w:id="126" w:name="_Toc101798286"/>
      <w:bookmarkStart w:id="127" w:name="_Toc365881807"/>
      <w:bookmarkStart w:id="128" w:name="_Toc505002467"/>
      <w:bookmarkStart w:id="129" w:name="_Toc367812200"/>
      <w:r>
        <w:rPr>
          <w:rFonts w:hint="eastAsia" w:hAnsi="宋体"/>
        </w:rPr>
        <w:t>1.5应急保障</w:t>
      </w:r>
      <w:bookmarkEnd w:id="126"/>
      <w:bookmarkEnd w:id="127"/>
      <w:bookmarkEnd w:id="128"/>
      <w:bookmarkEnd w:id="129"/>
    </w:p>
    <w:p>
      <w:pPr>
        <w:spacing w:after="0" w:line="560" w:lineRule="exact"/>
        <w:ind w:firstLine="560" w:firstLineChars="200"/>
        <w:rPr>
          <w:rFonts w:ascii="宋体" w:hAnsi="宋体" w:cs="宋体"/>
          <w:szCs w:val="24"/>
        </w:rPr>
      </w:pPr>
      <w:r>
        <w:rPr>
          <w:rFonts w:hint="eastAsia" w:ascii="宋体" w:hAnsi="宋体" w:cs="宋体"/>
          <w:szCs w:val="24"/>
        </w:rPr>
        <w:t>消防事故应急物资和装备根据应急救援的需求提出配置申请，按本企业相关规定采购和储备。必要时，对应急装备的使用应进行培训或组织演练，确保应急时应急装备的正确使用。日常应加强应急物资和装备的管理和维护。</w:t>
      </w:r>
    </w:p>
    <w:p>
      <w:pPr>
        <w:spacing w:after="0" w:line="560" w:lineRule="exact"/>
        <w:ind w:firstLine="560" w:firstLineChars="200"/>
        <w:rPr>
          <w:rFonts w:ascii="宋体" w:hAnsi="宋体" w:cs="宋体"/>
          <w:szCs w:val="24"/>
        </w:rPr>
      </w:pPr>
      <w:r>
        <w:rPr>
          <w:rFonts w:hint="eastAsia" w:ascii="宋体" w:hAnsi="宋体" w:cs="宋体"/>
          <w:szCs w:val="24"/>
        </w:rPr>
        <w:t>专项用于消防事故的消防应急物资见附件4。</w:t>
      </w:r>
    </w:p>
    <w:p>
      <w:pPr>
        <w:pStyle w:val="19"/>
        <w:ind w:firstLine="420"/>
      </w:pPr>
      <w:r>
        <w:br w:type="page"/>
      </w:r>
    </w:p>
    <w:p>
      <w:pPr>
        <w:pStyle w:val="6"/>
      </w:pPr>
      <w:bookmarkStart w:id="130" w:name="_Toc101798287"/>
      <w:r>
        <w:rPr>
          <w:rFonts w:hint="eastAsia"/>
        </w:rPr>
        <w:t>2管道事故专项应急预案</w:t>
      </w:r>
      <w:bookmarkEnd w:id="130"/>
    </w:p>
    <w:p>
      <w:pPr>
        <w:pStyle w:val="7"/>
        <w:spacing w:line="360" w:lineRule="auto"/>
        <w:ind w:firstLine="643"/>
        <w:rPr>
          <w:rFonts w:hAnsi="宋体"/>
        </w:rPr>
      </w:pPr>
      <w:bookmarkStart w:id="131" w:name="_Toc78796041"/>
      <w:bookmarkStart w:id="132" w:name="_Toc101798288"/>
      <w:r>
        <w:rPr>
          <w:rFonts w:hint="eastAsia" w:hAnsi="宋体"/>
        </w:rPr>
        <w:t>2.1适用范围</w:t>
      </w:r>
      <w:bookmarkEnd w:id="131"/>
      <w:bookmarkEnd w:id="132"/>
    </w:p>
    <w:p>
      <w:pPr>
        <w:spacing w:line="360" w:lineRule="auto"/>
        <w:ind w:firstLine="560" w:firstLineChars="200"/>
        <w:rPr>
          <w:rFonts w:asciiTheme="majorEastAsia" w:hAnsiTheme="majorEastAsia" w:eastAsiaTheme="majorEastAsia" w:cstheme="majorEastAsia"/>
          <w:szCs w:val="28"/>
        </w:rPr>
      </w:pPr>
      <w:bookmarkStart w:id="133" w:name="_Toc29873"/>
      <w:bookmarkStart w:id="134" w:name="_Toc14662"/>
      <w:r>
        <w:rPr>
          <w:rFonts w:hint="eastAsia" w:asciiTheme="majorEastAsia" w:hAnsiTheme="majorEastAsia" w:eastAsiaTheme="majorEastAsia" w:cstheme="majorEastAsia"/>
          <w:szCs w:val="28"/>
        </w:rPr>
        <w:t>本专项应急预案适用于本企业天然气经营区域发生管道事故后的相关应急处置及救援程序等</w:t>
      </w:r>
      <w:bookmarkEnd w:id="133"/>
      <w:bookmarkEnd w:id="134"/>
      <w:r>
        <w:rPr>
          <w:rFonts w:hint="eastAsia" w:asciiTheme="majorEastAsia" w:hAnsiTheme="majorEastAsia" w:eastAsiaTheme="majorEastAsia" w:cstheme="majorEastAsia"/>
          <w:szCs w:val="28"/>
        </w:rPr>
        <w:t>，是本企业综合预案的组成部分。</w:t>
      </w:r>
    </w:p>
    <w:p>
      <w:pPr>
        <w:pStyle w:val="7"/>
        <w:spacing w:line="360" w:lineRule="auto"/>
        <w:ind w:firstLine="643"/>
        <w:rPr>
          <w:rFonts w:hAnsi="宋体"/>
        </w:rPr>
      </w:pPr>
      <w:bookmarkStart w:id="135" w:name="_Toc78796042"/>
      <w:bookmarkStart w:id="136" w:name="_Toc101798289"/>
      <w:r>
        <w:rPr>
          <w:rFonts w:hint="eastAsia" w:hAnsi="宋体"/>
        </w:rPr>
        <w:t>2.2应急指挥机构及职责</w:t>
      </w:r>
      <w:bookmarkEnd w:id="135"/>
      <w:bookmarkEnd w:id="136"/>
    </w:p>
    <w:p>
      <w:pPr>
        <w:ind w:firstLine="560" w:firstLineChars="200"/>
        <w:rPr>
          <w:rFonts w:ascii="宋体" w:hAnsi="宋体" w:cs="宋体"/>
          <w:szCs w:val="28"/>
        </w:rPr>
      </w:pPr>
      <w:bookmarkStart w:id="137" w:name="_Toc28417"/>
      <w:r>
        <w:rPr>
          <w:rFonts w:hint="eastAsia" w:ascii="宋体" w:hAnsi="宋体" w:cs="宋体"/>
          <w:szCs w:val="28"/>
        </w:rPr>
        <w:t>应急组织机构及职责与综合应急预案一致，见2章节。</w:t>
      </w:r>
    </w:p>
    <w:bookmarkEnd w:id="137"/>
    <w:p>
      <w:pPr>
        <w:pStyle w:val="7"/>
        <w:spacing w:line="360" w:lineRule="auto"/>
        <w:ind w:firstLine="643"/>
        <w:rPr>
          <w:rFonts w:hAnsi="宋体"/>
        </w:rPr>
      </w:pPr>
      <w:bookmarkStart w:id="138" w:name="_Toc78796043"/>
      <w:bookmarkStart w:id="139" w:name="_Toc101798290"/>
      <w:r>
        <w:rPr>
          <w:rFonts w:hint="eastAsia" w:hAnsi="宋体"/>
        </w:rPr>
        <w:t>2.3响应启动</w:t>
      </w:r>
      <w:bookmarkEnd w:id="138"/>
      <w:bookmarkEnd w:id="139"/>
    </w:p>
    <w:p>
      <w:pPr>
        <w:spacing w:line="560" w:lineRule="exact"/>
        <w:ind w:firstLine="560" w:firstLineChars="200"/>
        <w:rPr>
          <w:rFonts w:ascii="宋体" w:hAnsi="宋体" w:cs="宋体"/>
          <w:szCs w:val="28"/>
        </w:rPr>
      </w:pPr>
      <w:r>
        <w:rPr>
          <w:rFonts w:hint="eastAsia" w:ascii="宋体" w:hAnsi="宋体" w:cs="宋体"/>
          <w:szCs w:val="24"/>
        </w:rPr>
        <w:t>响应启动内容</w:t>
      </w:r>
      <w:r>
        <w:rPr>
          <w:rFonts w:hint="eastAsia" w:ascii="宋体" w:hAnsi="宋体" w:cs="宋体"/>
          <w:szCs w:val="28"/>
        </w:rPr>
        <w:t>与综合应急预案一致，见3.3响应启动。</w:t>
      </w:r>
    </w:p>
    <w:p>
      <w:pPr>
        <w:pStyle w:val="7"/>
        <w:spacing w:line="500" w:lineRule="exact"/>
        <w:ind w:firstLine="562"/>
        <w:rPr>
          <w:rFonts w:hAnsi="宋体"/>
          <w:szCs w:val="28"/>
        </w:rPr>
      </w:pPr>
      <w:bookmarkStart w:id="140" w:name="_Toc101798291"/>
      <w:bookmarkStart w:id="141" w:name="_Toc78796044"/>
      <w:r>
        <w:rPr>
          <w:rFonts w:hint="eastAsia" w:hAnsi="宋体"/>
          <w:szCs w:val="28"/>
        </w:rPr>
        <w:t>2.4应急处置措施</w:t>
      </w:r>
      <w:bookmarkEnd w:id="140"/>
      <w:bookmarkEnd w:id="141"/>
    </w:p>
    <w:p>
      <w:pPr>
        <w:spacing w:after="0" w:line="560" w:lineRule="exact"/>
        <w:ind w:firstLine="560" w:firstLineChars="200"/>
        <w:rPr>
          <w:rFonts w:ascii="宋体" w:hAnsi="宋体" w:cs="宋体"/>
          <w:szCs w:val="24"/>
        </w:rPr>
      </w:pPr>
      <w:bookmarkStart w:id="142" w:name="_Toc15603"/>
      <w:bookmarkStart w:id="143" w:name="_Toc1782"/>
      <w:r>
        <w:rPr>
          <w:rFonts w:hint="eastAsia" w:ascii="宋体" w:hAnsi="宋体" w:cs="宋体"/>
          <w:szCs w:val="24"/>
        </w:rPr>
        <w:t>2.4.1事故处置原则</w:t>
      </w:r>
      <w:bookmarkEnd w:id="142"/>
      <w:bookmarkEnd w:id="143"/>
    </w:p>
    <w:p>
      <w:pPr>
        <w:spacing w:after="0" w:line="560" w:lineRule="exact"/>
        <w:ind w:firstLine="560" w:firstLineChars="200"/>
        <w:rPr>
          <w:rFonts w:ascii="宋体" w:hAnsi="宋体" w:cs="宋体"/>
          <w:szCs w:val="24"/>
        </w:rPr>
      </w:pPr>
      <w:r>
        <w:rPr>
          <w:rFonts w:hint="eastAsia" w:ascii="宋体" w:hAnsi="宋体" w:cs="宋体"/>
          <w:szCs w:val="24"/>
        </w:rPr>
        <w:t>针对本企业可能发生的管道事故类型，遵循以人为本，生命至上的原则采取相应的应急措施。</w:t>
      </w:r>
    </w:p>
    <w:p>
      <w:pPr>
        <w:spacing w:after="0" w:line="560" w:lineRule="exact"/>
        <w:ind w:firstLine="560" w:firstLineChars="200"/>
        <w:rPr>
          <w:rFonts w:ascii="宋体" w:hAnsi="宋体" w:cs="宋体"/>
          <w:szCs w:val="24"/>
        </w:rPr>
      </w:pPr>
      <w:r>
        <w:rPr>
          <w:rFonts w:hint="eastAsia" w:ascii="宋体" w:hAnsi="宋体" w:cs="宋体"/>
          <w:szCs w:val="24"/>
        </w:rPr>
        <w:t>2.4.</w:t>
      </w:r>
      <w:r>
        <w:rPr>
          <w:rFonts w:ascii="宋体" w:hAnsi="宋体" w:cs="宋体"/>
          <w:szCs w:val="24"/>
        </w:rPr>
        <w:t>2</w:t>
      </w:r>
      <w:r>
        <w:rPr>
          <w:rFonts w:hint="eastAsia" w:ascii="宋体" w:hAnsi="宋体" w:cs="宋体"/>
          <w:szCs w:val="24"/>
        </w:rPr>
        <w:t>抢险现场安全措施</w:t>
      </w:r>
    </w:p>
    <w:p>
      <w:pPr>
        <w:spacing w:after="0" w:line="560" w:lineRule="exact"/>
        <w:ind w:firstLine="560" w:firstLineChars="200"/>
        <w:rPr>
          <w:rFonts w:ascii="宋体" w:hAnsi="宋体" w:cs="宋体"/>
          <w:szCs w:val="24"/>
        </w:rPr>
      </w:pPr>
      <w:r>
        <w:rPr>
          <w:rFonts w:ascii="宋体" w:hAnsi="宋体" w:cs="宋体"/>
          <w:szCs w:val="24"/>
        </w:rPr>
        <w:t>1</w:t>
      </w:r>
      <w:r>
        <w:rPr>
          <w:rFonts w:hint="eastAsia" w:ascii="宋体" w:hAnsi="宋体" w:cs="宋体"/>
          <w:szCs w:val="24"/>
        </w:rPr>
        <w:t>、到达抢险现场后，应根据燃气泄漏程度及范围设立封闭警戒区及警示标志；</w:t>
      </w:r>
    </w:p>
    <w:p>
      <w:pPr>
        <w:spacing w:after="0" w:line="560" w:lineRule="exact"/>
        <w:ind w:firstLine="560" w:firstLineChars="200"/>
        <w:rPr>
          <w:rFonts w:ascii="宋体" w:hAnsi="宋体" w:cs="宋体"/>
          <w:szCs w:val="24"/>
        </w:rPr>
      </w:pPr>
      <w:r>
        <w:rPr>
          <w:rFonts w:hint="eastAsia" w:ascii="宋体" w:hAnsi="宋体" w:cs="宋体"/>
          <w:szCs w:val="24"/>
        </w:rPr>
        <w:t>2、在警戒区内严禁明火，应管制交通，严禁无关人员入内；</w:t>
      </w:r>
    </w:p>
    <w:p>
      <w:pPr>
        <w:spacing w:after="0" w:line="560" w:lineRule="exact"/>
        <w:ind w:firstLine="560" w:firstLineChars="200"/>
        <w:rPr>
          <w:rFonts w:ascii="宋体" w:hAnsi="宋体" w:cs="宋体"/>
          <w:szCs w:val="24"/>
        </w:rPr>
      </w:pPr>
      <w:r>
        <w:rPr>
          <w:rFonts w:ascii="宋体" w:hAnsi="宋体" w:cs="宋体"/>
          <w:szCs w:val="24"/>
        </w:rPr>
        <w:t>3</w:t>
      </w:r>
      <w:r>
        <w:rPr>
          <w:rFonts w:hint="eastAsia" w:ascii="宋体" w:hAnsi="宋体" w:cs="宋体"/>
          <w:szCs w:val="24"/>
        </w:rPr>
        <w:t>、事故地点如在交通要道或人员密集处，应将闲散人员及围观群众及时疏散，必要时可求助110联动及交警部门配合；</w:t>
      </w:r>
    </w:p>
    <w:p>
      <w:pPr>
        <w:spacing w:after="0" w:line="560" w:lineRule="exact"/>
        <w:ind w:firstLine="560" w:firstLineChars="200"/>
        <w:rPr>
          <w:rFonts w:ascii="宋体" w:hAnsi="宋体" w:cs="宋体"/>
          <w:szCs w:val="24"/>
        </w:rPr>
      </w:pPr>
      <w:r>
        <w:rPr>
          <w:rFonts w:hint="eastAsia" w:ascii="宋体" w:hAnsi="宋体" w:cs="宋体"/>
          <w:szCs w:val="24"/>
        </w:rPr>
        <w:t>4、根据现场环境、风向，确认是否需要现场切断电源、明火设施，并采取防中毒、防起火、防爆炸措施；</w:t>
      </w:r>
    </w:p>
    <w:p>
      <w:pPr>
        <w:spacing w:after="0" w:line="560" w:lineRule="exact"/>
        <w:ind w:firstLine="560" w:firstLineChars="200"/>
        <w:rPr>
          <w:rFonts w:ascii="宋体" w:hAnsi="宋体" w:cs="宋体"/>
          <w:szCs w:val="24"/>
        </w:rPr>
      </w:pPr>
      <w:r>
        <w:rPr>
          <w:rFonts w:hint="eastAsia" w:ascii="宋体" w:hAnsi="宋体" w:cs="宋体"/>
          <w:szCs w:val="24"/>
        </w:rPr>
        <w:t>5、抢险现场夜间须设置警示灯；</w:t>
      </w:r>
    </w:p>
    <w:p>
      <w:pPr>
        <w:spacing w:after="0" w:line="560" w:lineRule="exact"/>
        <w:ind w:firstLine="560" w:firstLineChars="200"/>
        <w:rPr>
          <w:rFonts w:ascii="宋体" w:hAnsi="宋体" w:cs="宋体"/>
          <w:szCs w:val="24"/>
        </w:rPr>
      </w:pPr>
      <w:r>
        <w:rPr>
          <w:rFonts w:hint="eastAsia" w:ascii="宋体" w:hAnsi="宋体" w:cs="宋体"/>
          <w:szCs w:val="24"/>
        </w:rPr>
        <w:t>6、埋地管道漏气的，确定燃气泄漏范围后，应立即打开临近的地下空间井盖（污水井、自来水井、电信井、电缆井等），检测可燃气体浓度，同时做好监护工作；</w:t>
      </w:r>
    </w:p>
    <w:p>
      <w:pPr>
        <w:spacing w:after="0" w:line="560" w:lineRule="exact"/>
        <w:ind w:firstLine="560" w:firstLineChars="200"/>
        <w:rPr>
          <w:rFonts w:ascii="宋体" w:hAnsi="宋体" w:cs="宋体"/>
          <w:szCs w:val="24"/>
        </w:rPr>
      </w:pPr>
      <w:r>
        <w:rPr>
          <w:rFonts w:hint="eastAsia" w:ascii="宋体" w:hAnsi="宋体" w:cs="宋体"/>
          <w:szCs w:val="24"/>
        </w:rPr>
        <w:t>7、联系相关单位或附近居民了解在燃气泄漏区域内是否有其它密闭空间（如地下室、地下井窑等），同时检查管线附近居民室内是否窜入泄漏燃气，并采取相应措施；</w:t>
      </w:r>
    </w:p>
    <w:p>
      <w:pPr>
        <w:spacing w:after="0" w:line="560" w:lineRule="exact"/>
        <w:ind w:firstLine="560" w:firstLineChars="200"/>
        <w:rPr>
          <w:rFonts w:ascii="宋体" w:hAnsi="宋体" w:cs="宋体"/>
          <w:szCs w:val="24"/>
        </w:rPr>
      </w:pPr>
      <w:r>
        <w:rPr>
          <w:rFonts w:hint="eastAsia" w:ascii="宋体" w:hAnsi="宋体" w:cs="宋体"/>
          <w:szCs w:val="24"/>
        </w:rPr>
        <w:t>8、对于查找到的漏气点，可视具体情况采取降低燃气压力临时包扎或强制通风等措施，防止燃气大量泄漏和聚积。</w:t>
      </w:r>
    </w:p>
    <w:p>
      <w:pPr>
        <w:spacing w:after="0" w:line="560" w:lineRule="exact"/>
        <w:ind w:firstLine="560" w:firstLineChars="200"/>
        <w:rPr>
          <w:rFonts w:ascii="宋体" w:hAnsi="宋体" w:cs="宋体"/>
          <w:szCs w:val="24"/>
        </w:rPr>
      </w:pPr>
      <w:r>
        <w:rPr>
          <w:rFonts w:hint="eastAsia" w:ascii="宋体" w:hAnsi="宋体" w:cs="宋体"/>
          <w:szCs w:val="24"/>
        </w:rPr>
        <w:t>9、应急队伍人员进行搜救、疏散、联络、抢险等活动时，必须配备各类防爆器材和工具，防止发生二次事故。</w:t>
      </w:r>
    </w:p>
    <w:p>
      <w:pPr>
        <w:spacing w:after="0" w:line="560" w:lineRule="exact"/>
        <w:ind w:firstLine="560" w:firstLineChars="200"/>
        <w:rPr>
          <w:rFonts w:ascii="宋体" w:hAnsi="宋体" w:cs="宋体"/>
          <w:szCs w:val="24"/>
        </w:rPr>
      </w:pPr>
      <w:r>
        <w:rPr>
          <w:rFonts w:hint="eastAsia" w:ascii="宋体" w:hAnsi="宋体" w:cs="宋体"/>
          <w:szCs w:val="24"/>
        </w:rPr>
        <w:t>1</w:t>
      </w:r>
      <w:r>
        <w:rPr>
          <w:rFonts w:ascii="宋体" w:hAnsi="宋体" w:cs="宋体"/>
          <w:szCs w:val="24"/>
        </w:rPr>
        <w:t>0</w:t>
      </w:r>
      <w:r>
        <w:rPr>
          <w:rFonts w:hint="eastAsia" w:ascii="宋体" w:hAnsi="宋体" w:cs="宋体"/>
          <w:szCs w:val="24"/>
        </w:rPr>
        <w:t>、进行户内燃气泄漏故事处置时，首先应开窗通风、严格禁止开、关电气设备，防止二次事故的发生。</w:t>
      </w:r>
    </w:p>
    <w:p>
      <w:pPr>
        <w:spacing w:after="0" w:line="560" w:lineRule="exact"/>
        <w:ind w:firstLine="560" w:firstLineChars="200"/>
        <w:rPr>
          <w:rFonts w:ascii="宋体" w:hAnsi="宋体" w:cs="宋体"/>
          <w:szCs w:val="24"/>
        </w:rPr>
      </w:pPr>
      <w:bookmarkStart w:id="144" w:name="_Toc16441"/>
      <w:bookmarkStart w:id="145" w:name="_Toc25494"/>
      <w:r>
        <w:rPr>
          <w:rFonts w:hint="eastAsia" w:ascii="宋体" w:hAnsi="宋体" w:cs="宋体"/>
          <w:szCs w:val="24"/>
        </w:rPr>
        <w:t>2.4.</w:t>
      </w:r>
      <w:r>
        <w:rPr>
          <w:rFonts w:ascii="宋体" w:hAnsi="宋体" w:cs="宋体"/>
          <w:szCs w:val="24"/>
        </w:rPr>
        <w:t>3</w:t>
      </w:r>
      <w:r>
        <w:rPr>
          <w:rFonts w:hint="eastAsia" w:ascii="宋体" w:hAnsi="宋体" w:cs="宋体"/>
          <w:szCs w:val="24"/>
        </w:rPr>
        <w:t>处置措施</w:t>
      </w:r>
      <w:bookmarkEnd w:id="144"/>
      <w:bookmarkEnd w:id="145"/>
    </w:p>
    <w:p>
      <w:pPr>
        <w:spacing w:after="0" w:line="560" w:lineRule="exact"/>
        <w:ind w:firstLine="560" w:firstLineChars="200"/>
        <w:rPr>
          <w:rFonts w:ascii="宋体" w:hAnsi="宋体" w:cs="宋体"/>
          <w:szCs w:val="24"/>
        </w:rPr>
      </w:pPr>
      <w:r>
        <w:rPr>
          <w:rFonts w:ascii="宋体" w:hAnsi="宋体" w:cs="宋体"/>
          <w:szCs w:val="24"/>
        </w:rPr>
        <w:t>1、管网泄漏处置措施</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1）抢修作业前，应根据城市燃气管网管理系统提供的管线资料，搞清作业地点的管线材质、规格、走向分布及影响区域范围，并通知</w:t>
      </w:r>
      <w:r>
        <w:rPr>
          <w:rFonts w:hint="eastAsia" w:ascii="宋体" w:hAnsi="宋体" w:cs="宋体"/>
          <w:szCs w:val="24"/>
        </w:rPr>
        <w:t>用户</w:t>
      </w:r>
      <w:r>
        <w:rPr>
          <w:rFonts w:ascii="宋体" w:hAnsi="宋体" w:cs="宋体"/>
          <w:szCs w:val="24"/>
        </w:rPr>
        <w:t>管理部门做好受影响区域内的停气宣传工作;</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2）</w:t>
      </w:r>
      <w:r>
        <w:rPr>
          <w:rFonts w:hint="eastAsia" w:ascii="宋体" w:hAnsi="宋体" w:cs="宋体"/>
          <w:szCs w:val="24"/>
        </w:rPr>
        <w:t>妥善</w:t>
      </w:r>
      <w:r>
        <w:rPr>
          <w:rFonts w:ascii="宋体" w:hAnsi="宋体" w:cs="宋体"/>
          <w:szCs w:val="24"/>
        </w:rPr>
        <w:t>设置放散点，对管线进行停气放空；</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3</w:t>
      </w:r>
      <w:r>
        <w:rPr>
          <w:rFonts w:hint="eastAsia" w:ascii="宋体" w:hAnsi="宋体" w:cs="宋体"/>
          <w:szCs w:val="24"/>
        </w:rPr>
        <w:t>）及时关控阀门，有效控制气源，应根据现场形势缓慢关控阀门，严禁直接关闭阀门，防止回火引发管道物理爆炸，要保持管道内微正压。燃气设施泄漏的抢修应在降低燃气压力或切断气源后进行。</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4</w:t>
      </w:r>
      <w:r>
        <w:rPr>
          <w:rFonts w:hint="eastAsia" w:ascii="宋体" w:hAnsi="宋体" w:cs="宋体"/>
          <w:szCs w:val="24"/>
        </w:rPr>
        <w:t>）通过地面打孔及检漏仪的测量分析，初步确定漏气位置，并组织进行开挖。实施地下泄漏点开挖作业时，应注意以下事项；</w:t>
      </w:r>
    </w:p>
    <w:p>
      <w:pPr>
        <w:spacing w:after="0" w:line="560" w:lineRule="exact"/>
        <w:ind w:firstLine="560" w:firstLineChars="200"/>
        <w:rPr>
          <w:rFonts w:ascii="宋体" w:hAnsi="宋体" w:cs="宋体"/>
          <w:szCs w:val="24"/>
        </w:rPr>
      </w:pPr>
      <w:r>
        <w:rPr>
          <w:rFonts w:ascii="宋体" w:hAnsi="宋体" w:cs="宋体"/>
          <w:szCs w:val="24"/>
        </w:rPr>
        <w:t>1）抢修人员应根据管道敷设资料确定开挖点，并对周围建（构）筑物进行监测。当发现漏出的燃气已渗入周围建（构）筑物时，应及时疏散建（构）筑物内人员并清除聚积的燃气；</w:t>
      </w:r>
    </w:p>
    <w:p>
      <w:pPr>
        <w:spacing w:after="0" w:line="560" w:lineRule="exact"/>
        <w:ind w:firstLine="560" w:firstLineChars="200"/>
        <w:rPr>
          <w:rFonts w:ascii="宋体" w:hAnsi="宋体" w:cs="宋体"/>
          <w:szCs w:val="24"/>
        </w:rPr>
      </w:pPr>
      <w:r>
        <w:rPr>
          <w:rFonts w:ascii="宋体" w:hAnsi="宋体" w:cs="宋体"/>
          <w:szCs w:val="24"/>
        </w:rPr>
        <w:t>2）应对作业点进行燃气检测。当燃气浓度在爆炸极限和中毒浓度范围以内时，必须强制通风，降低浓度后方可作业；</w:t>
      </w:r>
    </w:p>
    <w:p>
      <w:pPr>
        <w:spacing w:after="0" w:line="560" w:lineRule="exact"/>
        <w:ind w:firstLine="560" w:firstLineChars="200"/>
        <w:rPr>
          <w:rFonts w:ascii="宋体" w:hAnsi="宋体" w:cs="宋体"/>
          <w:szCs w:val="24"/>
        </w:rPr>
      </w:pPr>
      <w:r>
        <w:rPr>
          <w:rFonts w:ascii="宋体" w:hAnsi="宋体" w:cs="宋体"/>
          <w:szCs w:val="24"/>
        </w:rPr>
        <w:t>3）开挖时须派专人密切关注地下管网情况，防止机械开挖时破坏燃气管线和其它管线、电缆等；</w:t>
      </w:r>
    </w:p>
    <w:p>
      <w:pPr>
        <w:spacing w:after="0" w:line="560" w:lineRule="exact"/>
        <w:ind w:firstLine="560" w:firstLineChars="200"/>
        <w:rPr>
          <w:rFonts w:ascii="宋体" w:hAnsi="宋体" w:cs="宋体"/>
          <w:szCs w:val="24"/>
        </w:rPr>
      </w:pPr>
      <w:r>
        <w:rPr>
          <w:rFonts w:ascii="宋体" w:hAnsi="宋体" w:cs="宋体"/>
          <w:szCs w:val="24"/>
        </w:rPr>
        <w:t>4）找出漏气点后，分析漏气原因，确定维修方案及准备机具、材料；</w:t>
      </w:r>
    </w:p>
    <w:p>
      <w:pPr>
        <w:spacing w:after="0" w:line="560" w:lineRule="exact"/>
        <w:ind w:firstLine="560" w:firstLineChars="200"/>
        <w:rPr>
          <w:rFonts w:ascii="宋体" w:hAnsi="宋体" w:cs="宋体"/>
          <w:szCs w:val="24"/>
        </w:rPr>
      </w:pPr>
      <w:r>
        <w:rPr>
          <w:rFonts w:ascii="宋体" w:hAnsi="宋体" w:cs="宋体"/>
          <w:szCs w:val="24"/>
        </w:rPr>
        <w:t>5）抢修需动火作业时，应制定动火方案并审批。如来不及审批，可在现场领导小组同意后先行动火抢修，抢修完毕要及时补办审批手续；</w:t>
      </w:r>
    </w:p>
    <w:p>
      <w:pPr>
        <w:spacing w:after="0" w:line="560" w:lineRule="exact"/>
        <w:ind w:firstLine="560" w:firstLineChars="200"/>
        <w:rPr>
          <w:rFonts w:ascii="宋体" w:hAnsi="宋体" w:cs="宋体"/>
          <w:szCs w:val="24"/>
        </w:rPr>
      </w:pPr>
      <w:r>
        <w:rPr>
          <w:rFonts w:ascii="宋体" w:hAnsi="宋体" w:cs="宋体"/>
          <w:szCs w:val="24"/>
        </w:rPr>
        <w:t>6）当抢修中无法消除漏气现象或不能切断气源时，禁止动火作业，并作好事故现场的安全防护工作；</w:t>
      </w:r>
    </w:p>
    <w:p>
      <w:pPr>
        <w:spacing w:after="0" w:line="560" w:lineRule="exact"/>
        <w:ind w:firstLine="560" w:firstLineChars="200"/>
        <w:rPr>
          <w:rFonts w:ascii="宋体" w:hAnsi="宋体" w:cs="宋体"/>
          <w:szCs w:val="24"/>
        </w:rPr>
      </w:pPr>
      <w:r>
        <w:rPr>
          <w:rFonts w:ascii="宋体" w:hAnsi="宋体" w:cs="宋体"/>
          <w:szCs w:val="24"/>
        </w:rPr>
        <w:t>7）当抢修条件具备后，由维修队伍对损坏管道进行补漏、抽换、改道等作业；</w:t>
      </w:r>
    </w:p>
    <w:p>
      <w:pPr>
        <w:spacing w:after="0" w:line="560" w:lineRule="exact"/>
        <w:ind w:firstLine="560" w:firstLineChars="200"/>
        <w:rPr>
          <w:rFonts w:ascii="宋体" w:hAnsi="宋体" w:cs="宋体"/>
          <w:szCs w:val="24"/>
        </w:rPr>
      </w:pPr>
      <w:r>
        <w:rPr>
          <w:rFonts w:ascii="宋体" w:hAnsi="宋体" w:cs="宋体"/>
          <w:szCs w:val="24"/>
        </w:rPr>
        <w:t>8）管道修理完毕后，按规定对抢险管道进行检漏、防腐、回填处理；</w:t>
      </w:r>
    </w:p>
    <w:p>
      <w:pPr>
        <w:spacing w:after="0" w:line="560" w:lineRule="exact"/>
        <w:ind w:firstLine="560" w:firstLineChars="200"/>
        <w:rPr>
          <w:rFonts w:ascii="宋体" w:hAnsi="宋体" w:cs="宋体"/>
          <w:szCs w:val="24"/>
        </w:rPr>
      </w:pPr>
      <w:r>
        <w:rPr>
          <w:rFonts w:ascii="宋体" w:hAnsi="宋体" w:cs="宋体"/>
          <w:szCs w:val="24"/>
        </w:rPr>
        <w:t>2</w:t>
      </w:r>
      <w:r>
        <w:rPr>
          <w:rFonts w:hint="eastAsia" w:ascii="宋体" w:hAnsi="宋体" w:cs="宋体"/>
          <w:szCs w:val="24"/>
        </w:rPr>
        <w:t>、阀门（井）漏气的处置程序</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1</w:t>
      </w:r>
      <w:r>
        <w:rPr>
          <w:rFonts w:hint="eastAsia" w:ascii="宋体" w:hAnsi="宋体" w:cs="宋体"/>
          <w:szCs w:val="24"/>
        </w:rPr>
        <w:t>）查明漏气原因，确定抢修方案；</w:t>
      </w:r>
    </w:p>
    <w:p>
      <w:pPr>
        <w:spacing w:after="0" w:line="560" w:lineRule="exact"/>
        <w:ind w:firstLine="560" w:firstLineChars="200"/>
        <w:rPr>
          <w:rFonts w:hint="eastAsia" w:ascii="宋体" w:hAnsi="宋体" w:eastAsia="宋体" w:cs="宋体"/>
          <w:szCs w:val="24"/>
          <w:lang w:eastAsia="zh-CN"/>
        </w:rPr>
      </w:pPr>
      <w:r>
        <w:rPr>
          <w:rFonts w:hint="eastAsia" w:ascii="宋体" w:hAnsi="宋体" w:cs="宋体"/>
          <w:szCs w:val="24"/>
        </w:rPr>
        <w:t>（</w:t>
      </w:r>
      <w:r>
        <w:rPr>
          <w:rFonts w:ascii="宋体" w:hAnsi="宋体" w:cs="宋体"/>
          <w:szCs w:val="24"/>
        </w:rPr>
        <w:t>2</w:t>
      </w:r>
      <w:r>
        <w:rPr>
          <w:rFonts w:hint="eastAsia" w:ascii="宋体" w:hAnsi="宋体" w:cs="宋体"/>
          <w:szCs w:val="24"/>
        </w:rPr>
        <w:t>）确定阀门的型号、规格，准备好待更换的阀门、钢短管、螺栓、垫片、黄油、灭火器及所需工具；</w:t>
      </w:r>
    </w:p>
    <w:p>
      <w:pPr>
        <w:spacing w:after="0" w:line="560" w:lineRule="exact"/>
        <w:ind w:firstLine="560" w:firstLineChars="200"/>
        <w:rPr>
          <w:rFonts w:ascii="宋体" w:hAnsi="宋体" w:cs="宋体"/>
          <w:szCs w:val="24"/>
        </w:rPr>
      </w:pPr>
      <w:r>
        <w:rPr>
          <w:rFonts w:ascii="宋体" w:hAnsi="宋体" w:cs="宋体"/>
          <w:szCs w:val="24"/>
        </w:rPr>
        <w:t xml:space="preserve">    </w:t>
      </w:r>
      <w:r>
        <w:rPr>
          <w:rFonts w:hint="eastAsia" w:ascii="宋体" w:hAnsi="宋体" w:cs="宋体"/>
          <w:szCs w:val="24"/>
        </w:rPr>
        <w:t>（</w:t>
      </w:r>
      <w:r>
        <w:rPr>
          <w:rFonts w:ascii="宋体" w:hAnsi="宋体" w:cs="宋体"/>
          <w:szCs w:val="24"/>
        </w:rPr>
        <w:t>3</w:t>
      </w:r>
      <w:r>
        <w:rPr>
          <w:rFonts w:hint="eastAsia" w:ascii="宋体" w:hAnsi="宋体" w:cs="宋体"/>
          <w:szCs w:val="24"/>
        </w:rPr>
        <w:t>）如需井内动火，应将阀门井井盖吊离原位。吊离时要操作平稳，避免出现火花；</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4</w:t>
      </w:r>
      <w:r>
        <w:rPr>
          <w:rFonts w:hint="eastAsia" w:ascii="宋体" w:hAnsi="宋体" w:cs="宋体"/>
          <w:szCs w:val="24"/>
        </w:rPr>
        <w:t>）关闭相关阀门，进行放散降压；</w:t>
      </w:r>
      <w:r>
        <w:rPr>
          <w:rFonts w:ascii="宋体" w:hAnsi="宋体" w:cs="宋体"/>
          <w:szCs w:val="24"/>
        </w:rPr>
        <w:t xml:space="preserve"> </w:t>
      </w:r>
    </w:p>
    <w:p>
      <w:pPr>
        <w:spacing w:after="0" w:line="560" w:lineRule="exact"/>
        <w:ind w:firstLine="560" w:firstLineChars="200"/>
        <w:rPr>
          <w:rFonts w:hint="eastAsia" w:ascii="宋体" w:hAnsi="宋体" w:eastAsia="宋体" w:cs="宋体"/>
          <w:szCs w:val="24"/>
          <w:lang w:eastAsia="zh-CN"/>
        </w:rPr>
      </w:pPr>
      <w:r>
        <w:rPr>
          <w:rFonts w:hint="eastAsia" w:ascii="宋体" w:hAnsi="宋体" w:cs="宋体"/>
          <w:szCs w:val="24"/>
        </w:rPr>
        <w:t>（</w:t>
      </w:r>
      <w:r>
        <w:rPr>
          <w:rFonts w:ascii="宋体" w:hAnsi="宋体" w:cs="宋体"/>
          <w:szCs w:val="24"/>
        </w:rPr>
        <w:t>5</w:t>
      </w:r>
      <w:r>
        <w:rPr>
          <w:rFonts w:hint="eastAsia" w:ascii="宋体" w:hAnsi="宋体" w:cs="宋体"/>
          <w:szCs w:val="24"/>
        </w:rPr>
        <w:t>）拆除已坏阀门，将准备好的阀门安装好，操作时要使用防爆工具，操作现场要有专人监护；</w:t>
      </w:r>
      <w:r>
        <w:rPr>
          <w:rFonts w:ascii="宋体" w:hAnsi="宋体" w:cs="宋体"/>
          <w:szCs w:val="24"/>
        </w:rPr>
        <w:t xml:space="preserve"> </w:t>
      </w:r>
    </w:p>
    <w:p>
      <w:pPr>
        <w:spacing w:after="0" w:line="560" w:lineRule="exact"/>
        <w:ind w:firstLine="560" w:firstLineChars="200"/>
        <w:rPr>
          <w:rFonts w:ascii="宋体" w:hAnsi="宋体" w:cs="宋体"/>
          <w:szCs w:val="24"/>
        </w:rPr>
      </w:pPr>
      <w:r>
        <w:rPr>
          <w:rFonts w:ascii="宋体" w:hAnsi="宋体" w:cs="宋体"/>
          <w:szCs w:val="24"/>
        </w:rPr>
        <w:t xml:space="preserve">    </w:t>
      </w:r>
      <w:r>
        <w:rPr>
          <w:rFonts w:hint="eastAsia" w:ascii="宋体" w:hAnsi="宋体" w:cs="宋体"/>
          <w:szCs w:val="24"/>
        </w:rPr>
        <w:t>（</w:t>
      </w:r>
      <w:r>
        <w:rPr>
          <w:rFonts w:ascii="宋体" w:hAnsi="宋体" w:cs="宋体"/>
          <w:szCs w:val="24"/>
        </w:rPr>
        <w:t>6</w:t>
      </w:r>
      <w:r>
        <w:rPr>
          <w:rFonts w:hint="eastAsia" w:ascii="宋体" w:hAnsi="宋体" w:cs="宋体"/>
          <w:szCs w:val="24"/>
        </w:rPr>
        <w:t>）恢复供气后要对各接口用采用发泡剂或检漏仪器进行检漏；确认无泄漏后，将井盖就位。</w:t>
      </w:r>
    </w:p>
    <w:p>
      <w:pPr>
        <w:spacing w:after="0" w:line="560" w:lineRule="exact"/>
        <w:ind w:firstLine="560" w:firstLineChars="200"/>
        <w:rPr>
          <w:rFonts w:ascii="宋体" w:hAnsi="宋体" w:cs="宋体"/>
          <w:szCs w:val="24"/>
        </w:rPr>
      </w:pPr>
      <w:r>
        <w:rPr>
          <w:rFonts w:hint="eastAsia" w:ascii="宋体" w:hAnsi="宋体" w:cs="宋体"/>
          <w:szCs w:val="24"/>
        </w:rPr>
        <w:t>3</w:t>
      </w:r>
      <w:r>
        <w:rPr>
          <w:rFonts w:ascii="宋体" w:hAnsi="宋体" w:cs="宋体"/>
          <w:szCs w:val="24"/>
        </w:rPr>
        <w:t>.</w:t>
      </w:r>
      <w:r>
        <w:rPr>
          <w:rFonts w:hint="eastAsia" w:ascii="宋体" w:hAnsi="宋体" w:cs="宋体"/>
          <w:szCs w:val="24"/>
        </w:rPr>
        <w:t>调压器（箱、柜）漏气抢修方案</w:t>
      </w:r>
    </w:p>
    <w:p>
      <w:pPr>
        <w:spacing w:after="0" w:line="560" w:lineRule="exact"/>
        <w:ind w:firstLine="560" w:firstLineChars="200"/>
        <w:rPr>
          <w:rFonts w:ascii="宋体" w:hAnsi="宋体" w:cs="宋体"/>
          <w:szCs w:val="24"/>
        </w:rPr>
      </w:pPr>
      <w:r>
        <w:rPr>
          <w:rFonts w:hint="eastAsia" w:ascii="宋体" w:hAnsi="宋体" w:cs="宋体"/>
          <w:szCs w:val="24"/>
        </w:rPr>
        <w:t>（1）带好准备好的消防器材，防毒面具及调压器所需的各种维修材料和机具。</w:t>
      </w:r>
    </w:p>
    <w:p>
      <w:pPr>
        <w:spacing w:after="0" w:line="560" w:lineRule="exact"/>
        <w:ind w:firstLine="560" w:firstLineChars="200"/>
        <w:rPr>
          <w:rFonts w:ascii="宋体" w:hAnsi="宋体" w:cs="宋体"/>
          <w:szCs w:val="24"/>
        </w:rPr>
      </w:pPr>
      <w:r>
        <w:rPr>
          <w:rFonts w:hint="eastAsia" w:ascii="宋体" w:hAnsi="宋体" w:cs="宋体"/>
          <w:szCs w:val="24"/>
        </w:rPr>
        <w:t>（2）赴现场后，在泄漏区域外关闭调压器（箱、柜）进、出口阀门，切断气源（对调压柜在不产生静电或火花的情况下打开柜门，保持通风）。在漏气消失后关闭发生故障的调压器的前后阀门。</w:t>
      </w:r>
    </w:p>
    <w:p>
      <w:pPr>
        <w:spacing w:after="0" w:line="560" w:lineRule="exact"/>
        <w:ind w:firstLine="560" w:firstLineChars="200"/>
        <w:rPr>
          <w:rFonts w:ascii="宋体" w:hAnsi="宋体" w:cs="宋体"/>
          <w:szCs w:val="24"/>
        </w:rPr>
      </w:pPr>
      <w:r>
        <w:rPr>
          <w:rFonts w:hint="eastAsia" w:ascii="宋体" w:hAnsi="宋体" w:cs="宋体"/>
          <w:szCs w:val="24"/>
        </w:rPr>
        <w:t>（3）查看分析调压器发生故障的原因，确定维修方案。</w:t>
      </w:r>
    </w:p>
    <w:p>
      <w:pPr>
        <w:spacing w:after="0" w:line="560" w:lineRule="exact"/>
        <w:ind w:firstLine="560" w:firstLineChars="200"/>
        <w:rPr>
          <w:rFonts w:ascii="宋体" w:hAnsi="宋体" w:cs="宋体"/>
          <w:szCs w:val="24"/>
        </w:rPr>
      </w:pPr>
      <w:r>
        <w:rPr>
          <w:rFonts w:hint="eastAsia" w:ascii="宋体" w:hAnsi="宋体" w:cs="宋体"/>
          <w:szCs w:val="24"/>
        </w:rPr>
        <w:t>（4）不允许停气时，开启旁通或启用备用调压器通气。对发生泄漏的调压器进行维修或更换，工作时必须使用配置的防爆工具进行维修。</w:t>
      </w:r>
    </w:p>
    <w:p>
      <w:pPr>
        <w:spacing w:after="0" w:line="560" w:lineRule="exact"/>
        <w:ind w:firstLine="560" w:firstLineChars="200"/>
        <w:rPr>
          <w:rFonts w:ascii="宋体" w:hAnsi="宋体" w:cs="宋体"/>
          <w:szCs w:val="24"/>
        </w:rPr>
      </w:pPr>
      <w:r>
        <w:rPr>
          <w:rFonts w:hint="eastAsia" w:ascii="宋体" w:hAnsi="宋体" w:cs="宋体"/>
          <w:szCs w:val="24"/>
        </w:rPr>
        <w:t>（5）在确认被检修或更换的调压器正常后，启动调压器试运行。</w:t>
      </w:r>
    </w:p>
    <w:p>
      <w:pPr>
        <w:spacing w:after="0" w:line="560" w:lineRule="exact"/>
        <w:ind w:firstLine="560" w:firstLineChars="200"/>
        <w:rPr>
          <w:rFonts w:ascii="宋体" w:hAnsi="宋体" w:cs="宋体"/>
          <w:szCs w:val="24"/>
        </w:rPr>
      </w:pPr>
      <w:r>
        <w:rPr>
          <w:rFonts w:hint="eastAsia" w:ascii="宋体" w:hAnsi="宋体" w:cs="宋体"/>
          <w:szCs w:val="24"/>
        </w:rPr>
        <w:t>（6）调压器试运行后，维修人员应在现场进行监护，观查调压器的运行情况，一般需经过一个用气高峰，调压器运行正常后，方可撤销观察。</w:t>
      </w:r>
    </w:p>
    <w:p>
      <w:pPr>
        <w:spacing w:after="0" w:line="560" w:lineRule="exact"/>
        <w:ind w:firstLine="560" w:firstLineChars="200"/>
        <w:rPr>
          <w:rFonts w:ascii="宋体" w:hAnsi="宋体" w:cs="宋体"/>
          <w:szCs w:val="24"/>
        </w:rPr>
      </w:pPr>
      <w:r>
        <w:rPr>
          <w:rFonts w:hint="eastAsia" w:ascii="宋体" w:hAnsi="宋体" w:cs="宋体"/>
          <w:szCs w:val="24"/>
        </w:rPr>
        <w:t>（7）维修期间用户停气，在停气期间及恢复供气前要告之用户。</w:t>
      </w:r>
    </w:p>
    <w:p>
      <w:pPr>
        <w:spacing w:after="0" w:line="560" w:lineRule="exact"/>
        <w:ind w:firstLine="560" w:firstLineChars="200"/>
        <w:rPr>
          <w:rFonts w:ascii="宋体" w:hAnsi="宋体" w:cs="宋体"/>
          <w:szCs w:val="24"/>
        </w:rPr>
      </w:pPr>
      <w:r>
        <w:rPr>
          <w:rFonts w:hint="eastAsia" w:ascii="宋体" w:hAnsi="宋体" w:cs="宋体"/>
          <w:szCs w:val="24"/>
        </w:rPr>
        <w:t>（8）做好抢修记录，存档备案。</w:t>
      </w:r>
    </w:p>
    <w:p>
      <w:pPr>
        <w:spacing w:after="0" w:line="560" w:lineRule="exact"/>
        <w:ind w:firstLine="560" w:firstLineChars="200"/>
        <w:rPr>
          <w:rFonts w:ascii="宋体" w:hAnsi="宋体" w:cs="宋体"/>
          <w:szCs w:val="24"/>
        </w:rPr>
      </w:pPr>
      <w:r>
        <w:rPr>
          <w:rFonts w:hint="eastAsia" w:ascii="宋体" w:hAnsi="宋体" w:cs="宋体"/>
          <w:szCs w:val="24"/>
        </w:rPr>
        <w:t>4</w:t>
      </w:r>
      <w:r>
        <w:rPr>
          <w:rFonts w:ascii="宋体" w:hAnsi="宋体" w:cs="宋体"/>
          <w:szCs w:val="24"/>
        </w:rPr>
        <w:t>.</w:t>
      </w:r>
      <w:r>
        <w:rPr>
          <w:rFonts w:hint="eastAsia" w:ascii="宋体" w:hAnsi="宋体" w:cs="宋体"/>
          <w:szCs w:val="24"/>
        </w:rPr>
        <w:t>引入管漏气抢修方案</w:t>
      </w:r>
    </w:p>
    <w:p>
      <w:pPr>
        <w:spacing w:after="0" w:line="560" w:lineRule="exact"/>
        <w:ind w:firstLine="560" w:firstLineChars="200"/>
        <w:rPr>
          <w:rFonts w:ascii="宋体" w:hAnsi="宋体" w:cs="宋体"/>
          <w:szCs w:val="24"/>
        </w:rPr>
      </w:pPr>
      <w:r>
        <w:rPr>
          <w:rFonts w:hint="eastAsia" w:ascii="宋体" w:hAnsi="宋体" w:cs="宋体"/>
          <w:szCs w:val="24"/>
        </w:rPr>
        <w:t>（1）值班员接到报警后，立即指派应急救援队带好救援抢修工具、材料迅速赶到现场，并及时通知用户小区物管人员。</w:t>
      </w:r>
    </w:p>
    <w:p>
      <w:pPr>
        <w:spacing w:after="0" w:line="560" w:lineRule="exact"/>
        <w:ind w:firstLine="560" w:firstLineChars="200"/>
        <w:rPr>
          <w:rFonts w:ascii="宋体" w:hAnsi="宋体" w:cs="宋体"/>
          <w:szCs w:val="24"/>
        </w:rPr>
      </w:pPr>
      <w:r>
        <w:rPr>
          <w:rFonts w:hint="eastAsia" w:ascii="宋体" w:hAnsi="宋体" w:cs="宋体"/>
          <w:szCs w:val="24"/>
        </w:rPr>
        <w:t>（2）应急救援队到达现场后应迅速找到可切断的阀门并关闭，若已由物管协同人员关闭，则进行检查，确认已关闭。</w:t>
      </w:r>
    </w:p>
    <w:p>
      <w:pPr>
        <w:spacing w:after="0" w:line="560" w:lineRule="exact"/>
        <w:ind w:firstLine="560" w:firstLineChars="200"/>
        <w:rPr>
          <w:rFonts w:ascii="宋体" w:hAnsi="宋体" w:cs="宋体"/>
          <w:szCs w:val="24"/>
        </w:rPr>
      </w:pPr>
      <w:r>
        <w:rPr>
          <w:rFonts w:hint="eastAsia" w:ascii="宋体" w:hAnsi="宋体" w:cs="宋体"/>
          <w:szCs w:val="24"/>
        </w:rPr>
        <w:t>（3）关闭阀门后赴漏气区域观察情况，用燃气泄漏仪检测燃气浓度。当浓度过高应指挥人员远离；</w:t>
      </w:r>
    </w:p>
    <w:p>
      <w:pPr>
        <w:spacing w:after="0" w:line="560" w:lineRule="exact"/>
        <w:ind w:firstLine="560" w:firstLineChars="200"/>
        <w:rPr>
          <w:rFonts w:ascii="宋体" w:hAnsi="宋体" w:cs="宋体"/>
          <w:szCs w:val="24"/>
        </w:rPr>
      </w:pPr>
      <w:r>
        <w:rPr>
          <w:rFonts w:hint="eastAsia" w:ascii="宋体" w:hAnsi="宋体" w:cs="宋体"/>
          <w:szCs w:val="24"/>
        </w:rPr>
        <w:t>（4）当浓度下降至安全范围内后，尽快弄清漏气点，准备组织抢修，同时组织人员入户检查相邻用户室内的燃气浓度，发现燃气串入用户室内，立即采取开窗通风等措施，直至安全。</w:t>
      </w:r>
    </w:p>
    <w:p>
      <w:pPr>
        <w:spacing w:after="0" w:line="560" w:lineRule="exact"/>
        <w:ind w:firstLine="560" w:firstLineChars="200"/>
        <w:rPr>
          <w:rFonts w:ascii="宋体" w:hAnsi="宋体" w:cs="宋体"/>
          <w:szCs w:val="24"/>
        </w:rPr>
      </w:pPr>
      <w:r>
        <w:rPr>
          <w:rFonts w:hint="eastAsia" w:ascii="宋体" w:hAnsi="宋体" w:cs="宋体"/>
          <w:szCs w:val="24"/>
        </w:rPr>
        <w:t>（5）向用户下达停气通知，要求用户关闭灶前阀门。</w:t>
      </w:r>
    </w:p>
    <w:p>
      <w:pPr>
        <w:spacing w:after="0" w:line="560" w:lineRule="exact"/>
        <w:ind w:firstLine="560" w:firstLineChars="200"/>
        <w:rPr>
          <w:rFonts w:ascii="宋体" w:hAnsi="宋体" w:cs="宋体"/>
          <w:szCs w:val="24"/>
        </w:rPr>
      </w:pPr>
      <w:r>
        <w:rPr>
          <w:rFonts w:hint="eastAsia" w:ascii="宋体" w:hAnsi="宋体" w:cs="宋体"/>
          <w:szCs w:val="24"/>
        </w:rPr>
        <w:t>（6）开挖后更换引入管，开挖和更换同前面相关要求。</w:t>
      </w:r>
    </w:p>
    <w:p>
      <w:pPr>
        <w:spacing w:after="0" w:line="560" w:lineRule="exact"/>
        <w:ind w:firstLine="560" w:firstLineChars="200"/>
        <w:rPr>
          <w:rFonts w:ascii="宋体" w:hAnsi="宋体" w:cs="宋体"/>
          <w:szCs w:val="24"/>
        </w:rPr>
      </w:pPr>
      <w:r>
        <w:rPr>
          <w:rFonts w:hint="eastAsia" w:ascii="宋体" w:hAnsi="宋体" w:cs="宋体"/>
          <w:szCs w:val="24"/>
        </w:rPr>
        <w:t>（7）修复完毕，用肥皂水检漏。检漏合格，恢复供气。</w:t>
      </w:r>
    </w:p>
    <w:p>
      <w:pPr>
        <w:spacing w:after="0" w:line="560" w:lineRule="exact"/>
        <w:ind w:firstLine="560" w:firstLineChars="200"/>
        <w:rPr>
          <w:rFonts w:ascii="宋体" w:hAnsi="宋体" w:cs="宋体"/>
          <w:szCs w:val="24"/>
        </w:rPr>
      </w:pPr>
      <w:r>
        <w:rPr>
          <w:rFonts w:hint="eastAsia" w:ascii="宋体" w:hAnsi="宋体" w:cs="宋体"/>
          <w:szCs w:val="24"/>
        </w:rPr>
        <w:t>（8）通气后从楼最上层放散，待含氧量小于</w:t>
      </w:r>
      <w:r>
        <w:rPr>
          <w:rFonts w:ascii="宋体" w:hAnsi="宋体" w:cs="宋体"/>
          <w:szCs w:val="24"/>
        </w:rPr>
        <w:t>2%</w:t>
      </w:r>
      <w:r>
        <w:rPr>
          <w:rFonts w:hint="eastAsia" w:ascii="宋体" w:hAnsi="宋体" w:cs="宋体"/>
          <w:szCs w:val="24"/>
        </w:rPr>
        <w:t>，给用户点火，检查每一家灶具点火正常后，方可撤离现场，并做好抢修记录。</w:t>
      </w:r>
    </w:p>
    <w:p>
      <w:pPr>
        <w:spacing w:after="0" w:line="560" w:lineRule="exact"/>
        <w:ind w:firstLine="560" w:firstLineChars="200"/>
        <w:rPr>
          <w:rFonts w:ascii="宋体" w:hAnsi="宋体" w:cs="宋体"/>
          <w:color w:val="auto"/>
          <w:szCs w:val="24"/>
        </w:rPr>
      </w:pPr>
      <w:r>
        <w:rPr>
          <w:rFonts w:ascii="宋体" w:hAnsi="宋体" w:cs="宋体"/>
          <w:szCs w:val="24"/>
        </w:rPr>
        <w:t>5</w:t>
      </w:r>
      <w:r>
        <w:rPr>
          <w:rFonts w:hint="eastAsia" w:ascii="宋体" w:hAnsi="宋体" w:cs="宋体"/>
          <w:szCs w:val="24"/>
        </w:rPr>
        <w:t>、管道天然气泄漏引起火灾、爆炸的</w:t>
      </w:r>
      <w:r>
        <w:rPr>
          <w:rFonts w:hint="eastAsia" w:ascii="宋体" w:hAnsi="宋体" w:cs="宋体"/>
          <w:color w:val="auto"/>
          <w:szCs w:val="24"/>
        </w:rPr>
        <w:t>处置措施</w:t>
      </w:r>
    </w:p>
    <w:p>
      <w:pPr>
        <w:spacing w:after="0" w:line="560" w:lineRule="exact"/>
        <w:ind w:firstLine="560" w:firstLineChars="200"/>
        <w:rPr>
          <w:rFonts w:ascii="宋体" w:hAnsi="宋体" w:cs="宋体"/>
          <w:szCs w:val="24"/>
        </w:rPr>
      </w:pPr>
      <w:r>
        <w:rPr>
          <w:rFonts w:hint="eastAsia" w:ascii="宋体" w:hAnsi="宋体" w:cs="宋体"/>
          <w:szCs w:val="24"/>
        </w:rPr>
        <w:t>（1）及时关控阀门，有效控制气源，应根据现场形势缓慢关控阀门，严禁直接关闭阀门，防止回火引发管道物理爆炸，要保持管道内微正压。</w:t>
      </w:r>
    </w:p>
    <w:p>
      <w:pPr>
        <w:spacing w:after="0" w:line="560" w:lineRule="exact"/>
        <w:ind w:firstLine="560" w:firstLineChars="200"/>
        <w:rPr>
          <w:rFonts w:ascii="宋体" w:hAnsi="宋体" w:cs="宋体"/>
          <w:szCs w:val="24"/>
        </w:rPr>
      </w:pPr>
      <w:r>
        <w:rPr>
          <w:rFonts w:hint="eastAsia" w:ascii="宋体" w:hAnsi="宋体" w:cs="宋体"/>
          <w:szCs w:val="24"/>
        </w:rPr>
        <w:t>（2）发生初起火灾时，本企业应急队伍及全体员工为初期灭火的主要力量。应急队员应以移动（手提）灭火器材为主要灭火工具，在确保自身安全的前提下，根据火场燃烧物质的种类，及时切断气源电源，正确使用灭火器材，积极投入灭火救援；当消防人员参加扑救时，应服从消防人员的调遣。</w:t>
      </w:r>
    </w:p>
    <w:p>
      <w:pPr>
        <w:spacing w:after="0" w:line="560" w:lineRule="exact"/>
        <w:ind w:firstLine="560" w:firstLineChars="200"/>
        <w:rPr>
          <w:rFonts w:ascii="宋体" w:hAnsi="宋体" w:cs="宋体"/>
          <w:szCs w:val="24"/>
        </w:rPr>
      </w:pPr>
      <w:r>
        <w:rPr>
          <w:rFonts w:hint="eastAsia" w:ascii="宋体" w:hAnsi="宋体" w:cs="宋体"/>
          <w:szCs w:val="24"/>
        </w:rPr>
        <w:t xml:space="preserve">（3）在实施扑救过程中，首先应重点控制工艺区、管线设施、电气设备、易燃材料集中点等重点防火部位，防止其着火或火势加大，减少火灾造成的环境影响和财产损失。同时注意风向和火势的变化，以及周围烟气的扩散等情况，以便能在火势万一转大后撤离到安全位置。   </w:t>
      </w:r>
    </w:p>
    <w:p>
      <w:pPr>
        <w:spacing w:after="0" w:line="560" w:lineRule="exact"/>
        <w:ind w:firstLine="560" w:firstLineChars="200"/>
        <w:rPr>
          <w:rFonts w:ascii="宋体" w:hAnsi="宋体" w:cs="宋体"/>
          <w:szCs w:val="24"/>
        </w:rPr>
      </w:pPr>
      <w:r>
        <w:rPr>
          <w:rFonts w:hint="eastAsia" w:ascii="宋体" w:hAnsi="宋体" w:cs="宋体"/>
          <w:szCs w:val="24"/>
        </w:rPr>
        <w:t>（4）若因抢险抢修造成下游用户停气的，应及时报告政府有关部门，做好宣传告知与解释工作，同时积极协调气源，保障居民和重点用户燃气供应，维护稳定。</w:t>
      </w:r>
    </w:p>
    <w:p>
      <w:pPr>
        <w:spacing w:after="0" w:line="560" w:lineRule="exact"/>
        <w:ind w:firstLine="560" w:firstLineChars="200"/>
        <w:rPr>
          <w:rFonts w:ascii="宋体" w:hAnsi="宋体" w:cs="宋体"/>
          <w:szCs w:val="24"/>
        </w:rPr>
      </w:pPr>
      <w:r>
        <w:rPr>
          <w:rFonts w:ascii="宋体" w:hAnsi="宋体" w:cs="宋体"/>
          <w:szCs w:val="24"/>
        </w:rPr>
        <w:t>6.</w:t>
      </w:r>
      <w:r>
        <w:rPr>
          <w:rFonts w:hint="eastAsia" w:ascii="宋体" w:hAnsi="宋体" w:cs="宋体"/>
          <w:szCs w:val="24"/>
        </w:rPr>
        <w:t>室内管道漏气、燃爆抢修方案</w:t>
      </w:r>
    </w:p>
    <w:p>
      <w:pPr>
        <w:spacing w:after="0" w:line="560" w:lineRule="exact"/>
        <w:ind w:firstLine="560" w:firstLineChars="200"/>
        <w:rPr>
          <w:rFonts w:ascii="宋体" w:hAnsi="宋体" w:cs="宋体"/>
          <w:szCs w:val="24"/>
        </w:rPr>
      </w:pPr>
      <w:r>
        <w:rPr>
          <w:rFonts w:hint="eastAsia" w:ascii="宋体" w:hAnsi="宋体" w:cs="宋体"/>
          <w:szCs w:val="24"/>
        </w:rPr>
        <w:t>（1）接到用户室内燃气设施发生泄漏报警后，应带好室内抢修工具、材料迅速赶到现场。</w:t>
      </w:r>
    </w:p>
    <w:p>
      <w:pPr>
        <w:spacing w:after="0" w:line="560" w:lineRule="exact"/>
        <w:ind w:firstLine="560" w:firstLineChars="200"/>
        <w:rPr>
          <w:rFonts w:ascii="宋体" w:hAnsi="宋体" w:cs="宋体"/>
          <w:szCs w:val="24"/>
        </w:rPr>
      </w:pPr>
      <w:r>
        <w:rPr>
          <w:rFonts w:hint="eastAsia" w:ascii="宋体" w:hAnsi="宋体" w:cs="宋体"/>
          <w:szCs w:val="24"/>
        </w:rPr>
        <w:t>（2）到达现场（住户外）后，确认安全的情况下，应立即就近关闭气源阀门（如立管阀门），控制燃气继续泄漏。</w:t>
      </w:r>
    </w:p>
    <w:p>
      <w:pPr>
        <w:spacing w:after="0" w:line="560" w:lineRule="exact"/>
        <w:ind w:firstLine="560" w:firstLineChars="200"/>
        <w:rPr>
          <w:rFonts w:ascii="宋体" w:hAnsi="宋体" w:cs="宋体"/>
          <w:szCs w:val="24"/>
        </w:rPr>
      </w:pPr>
      <w:r>
        <w:rPr>
          <w:rFonts w:hint="eastAsia" w:ascii="宋体" w:hAnsi="宋体" w:cs="宋体"/>
          <w:szCs w:val="24"/>
        </w:rPr>
        <w:t>（3）入室作业前要带好防毒面具，穿好防静电服装，禁止携带使用手机、火机等，入室后，缓慢开启窗户进行通风，严禁开启换气扇和排烟机等一切电源开关，检查室内有无人员中毒。</w:t>
      </w:r>
    </w:p>
    <w:p>
      <w:pPr>
        <w:spacing w:after="0" w:line="560" w:lineRule="exact"/>
        <w:ind w:firstLine="560" w:firstLineChars="200"/>
        <w:rPr>
          <w:rFonts w:ascii="宋体" w:hAnsi="宋体" w:cs="宋体"/>
          <w:szCs w:val="24"/>
        </w:rPr>
      </w:pPr>
      <w:r>
        <w:rPr>
          <w:rFonts w:hint="eastAsia" w:ascii="宋体" w:hAnsi="宋体" w:cs="宋体"/>
          <w:szCs w:val="24"/>
        </w:rPr>
        <w:t>（4）当燃气泄漏发生燃气爆炸或火灾时，要设法关闭离事故现场最近的燃气阀门，控制事故的扩大，紧急疏散群众，设置安全警戒区，确保安全范围内无人，并利用灭火器将火扑灭。当着火较小时，可用湿抹布扑灭；如有烧伤人员，应采取急救措施并送往医院。</w:t>
      </w:r>
    </w:p>
    <w:p>
      <w:pPr>
        <w:spacing w:after="0" w:line="560" w:lineRule="exact"/>
        <w:ind w:firstLine="560" w:firstLineChars="200"/>
        <w:rPr>
          <w:rFonts w:ascii="宋体" w:hAnsi="宋体" w:cs="宋体"/>
          <w:szCs w:val="24"/>
        </w:rPr>
      </w:pPr>
      <w:r>
        <w:rPr>
          <w:rFonts w:hint="eastAsia" w:ascii="宋体" w:hAnsi="宋体" w:cs="宋体"/>
          <w:szCs w:val="24"/>
        </w:rPr>
        <w:t>（5）找出泄漏点，如属于燃气表、立管、活接、三通、阀门等损坏导致燃气泄漏，应立即进行更换修复；如因胶管老化破裂导致燃气泄漏，应立即更换胶管；如属于灶具开关未关导致燃气泄漏，应立即关闭开关，并对用户进行安全常识教育。</w:t>
      </w:r>
    </w:p>
    <w:p>
      <w:pPr>
        <w:spacing w:after="0" w:line="560" w:lineRule="exact"/>
        <w:ind w:firstLine="560" w:firstLineChars="200"/>
        <w:rPr>
          <w:rFonts w:ascii="宋体" w:hAnsi="宋体" w:cs="宋体"/>
          <w:szCs w:val="24"/>
        </w:rPr>
      </w:pPr>
      <w:r>
        <w:rPr>
          <w:rFonts w:hint="eastAsia" w:ascii="宋体" w:hAnsi="宋体" w:cs="宋体"/>
          <w:szCs w:val="24"/>
        </w:rPr>
        <w:t>（6）组织抢修的同时，应拍照记录现场情况，确定事故的责任，避免纠纷。</w:t>
      </w:r>
    </w:p>
    <w:p>
      <w:pPr>
        <w:spacing w:after="0" w:line="560" w:lineRule="exact"/>
        <w:ind w:firstLine="560" w:firstLineChars="200"/>
        <w:rPr>
          <w:rFonts w:ascii="宋体" w:hAnsi="宋体" w:cs="宋体"/>
          <w:szCs w:val="24"/>
        </w:rPr>
      </w:pPr>
      <w:r>
        <w:rPr>
          <w:rFonts w:ascii="宋体" w:hAnsi="宋体" w:cs="宋体"/>
          <w:szCs w:val="24"/>
        </w:rPr>
        <w:t>7</w:t>
      </w:r>
      <w:r>
        <w:rPr>
          <w:rFonts w:hint="eastAsia" w:ascii="宋体" w:hAnsi="宋体" w:cs="宋体"/>
          <w:szCs w:val="24"/>
        </w:rPr>
        <w:t>、恢复供气</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1</w:t>
      </w:r>
      <w:r>
        <w:rPr>
          <w:rFonts w:hint="eastAsia" w:ascii="宋体" w:hAnsi="宋体" w:cs="宋体"/>
          <w:szCs w:val="24"/>
        </w:rPr>
        <w:t>）抢修完毕恢复供气之前，要由供气管网所对因抢修造成的停气区域进行恢复供气宣传。根据本企业实际情况，冬春季节</w:t>
      </w:r>
      <w:r>
        <w:rPr>
          <w:rFonts w:ascii="宋体" w:hAnsi="宋体" w:cs="宋体"/>
          <w:szCs w:val="24"/>
        </w:rPr>
        <w:t>(10月1日—4月30日)民用</w:t>
      </w:r>
      <w:r>
        <w:rPr>
          <w:rFonts w:hint="eastAsia" w:ascii="宋体" w:hAnsi="宋体" w:cs="宋体"/>
          <w:szCs w:val="24"/>
        </w:rPr>
        <w:t>气恢复供气时间应在早上</w:t>
      </w:r>
      <w:r>
        <w:rPr>
          <w:rFonts w:ascii="宋体" w:hAnsi="宋体" w:cs="宋体"/>
          <w:szCs w:val="24"/>
        </w:rPr>
        <w:t>6:30后进行;夏秋季节(5月1日—9月30日)民用</w:t>
      </w:r>
      <w:r>
        <w:rPr>
          <w:rFonts w:hint="eastAsia" w:ascii="宋体" w:hAnsi="宋体" w:cs="宋体"/>
          <w:szCs w:val="24"/>
        </w:rPr>
        <w:t>气恢复供气时间应在早上</w:t>
      </w:r>
      <w:r>
        <w:rPr>
          <w:rFonts w:ascii="宋体" w:hAnsi="宋体" w:cs="宋体"/>
          <w:szCs w:val="24"/>
        </w:rPr>
        <w:t>5:30后进行。商业用气夜间停气后的恢复供气，原则上在燃气设施维护检修或抢修作业完成后立即恢复供气，但必须有专人负责全面检查以确保安全。</w:t>
      </w:r>
    </w:p>
    <w:p>
      <w:pPr>
        <w:spacing w:after="0" w:line="560" w:lineRule="exact"/>
        <w:ind w:firstLine="560" w:firstLineChars="200"/>
        <w:rPr>
          <w:rFonts w:ascii="宋体" w:hAnsi="宋体" w:cs="宋体"/>
          <w:szCs w:val="24"/>
        </w:rPr>
      </w:pPr>
      <w:r>
        <w:rPr>
          <w:rFonts w:hint="eastAsia" w:ascii="宋体" w:hAnsi="宋体" w:cs="宋体"/>
          <w:szCs w:val="24"/>
        </w:rPr>
        <w:t>在以上恢复供气之前</w:t>
      </w:r>
      <w:r>
        <w:rPr>
          <w:rFonts w:ascii="宋体" w:hAnsi="宋体" w:cs="宋体"/>
          <w:szCs w:val="24"/>
        </w:rPr>
        <w:t>,都必须有效通知用户</w:t>
      </w:r>
      <w:r>
        <w:rPr>
          <w:rFonts w:hint="eastAsia" w:ascii="宋体" w:hAnsi="宋体" w:cs="宋体"/>
          <w:szCs w:val="24"/>
        </w:rPr>
        <w:t>。</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2</w:t>
      </w:r>
      <w:r>
        <w:rPr>
          <w:rFonts w:hint="eastAsia" w:ascii="宋体" w:hAnsi="宋体" w:cs="宋体"/>
          <w:szCs w:val="24"/>
        </w:rPr>
        <w:t>）恢复供气时，缓慢开启阀门，逐渐升高压力，启动调压器，恢复供气；</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3</w:t>
      </w:r>
      <w:r>
        <w:rPr>
          <w:rFonts w:hint="eastAsia" w:ascii="宋体" w:hAnsi="宋体" w:cs="宋体"/>
          <w:szCs w:val="24"/>
        </w:rPr>
        <w:t>）恢复供气后，再次对抢修部位、周围密闭空间及居民户内进行检测，确认无燃气泄漏后，抢险人员方可结束抢险工作，撤离现场；</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4</w:t>
      </w:r>
      <w:r>
        <w:rPr>
          <w:rFonts w:hint="eastAsia" w:ascii="宋体" w:hAnsi="宋体" w:cs="宋体"/>
          <w:szCs w:val="24"/>
        </w:rPr>
        <w:t>）抢修完毕，要根据实际情况，由安全员分析事故原因，计算抢修费用，填写抢修记录。</w:t>
      </w:r>
    </w:p>
    <w:p>
      <w:pPr>
        <w:pStyle w:val="7"/>
        <w:ind w:firstLine="643"/>
      </w:pPr>
      <w:bookmarkStart w:id="146" w:name="_Toc101798292"/>
      <w:bookmarkStart w:id="147" w:name="_Toc78796045"/>
      <w:r>
        <w:rPr>
          <w:rFonts w:hint="eastAsia"/>
        </w:rPr>
        <w:t>2.5应急保障</w:t>
      </w:r>
      <w:bookmarkEnd w:id="146"/>
      <w:bookmarkEnd w:id="147"/>
    </w:p>
    <w:p>
      <w:pPr>
        <w:spacing w:after="0" w:line="560" w:lineRule="exact"/>
        <w:ind w:firstLine="560" w:firstLineChars="200"/>
        <w:rPr>
          <w:rFonts w:ascii="宋体" w:hAnsi="宋体" w:cs="宋体"/>
          <w:szCs w:val="24"/>
        </w:rPr>
      </w:pPr>
      <w:r>
        <w:rPr>
          <w:rFonts w:hint="eastAsia" w:ascii="宋体" w:hAnsi="宋体" w:cs="宋体"/>
          <w:szCs w:val="24"/>
        </w:rPr>
        <w:t>管道事故应急物资和装备根据应急救援的需求提出配置申请，按本企业相关规定采购和储备。必要时，对应急装备的使用应进行培训或组织演练，确保应急时应急装备的正确使用。日常应加强应急物资和装备的管理和维护。</w:t>
      </w:r>
    </w:p>
    <w:p>
      <w:pPr>
        <w:spacing w:after="0" w:line="560" w:lineRule="exact"/>
        <w:ind w:firstLine="560" w:firstLineChars="200"/>
        <w:rPr>
          <w:rFonts w:ascii="宋体" w:hAnsi="宋体" w:cs="宋体"/>
          <w:szCs w:val="24"/>
        </w:rPr>
      </w:pPr>
      <w:r>
        <w:rPr>
          <w:rFonts w:hint="eastAsia" w:ascii="宋体" w:hAnsi="宋体" w:cs="宋体"/>
          <w:szCs w:val="24"/>
        </w:rPr>
        <w:t>应急物资见附件4。</w:t>
      </w:r>
    </w:p>
    <w:p>
      <w:pPr>
        <w:pStyle w:val="19"/>
        <w:ind w:firstLine="420"/>
      </w:pPr>
    </w:p>
    <w:p>
      <w:pPr>
        <w:pStyle w:val="6"/>
      </w:pPr>
      <w:bookmarkStart w:id="148" w:name="_Toc101798293"/>
      <w:r>
        <w:rPr>
          <w:rFonts w:hint="eastAsia"/>
        </w:rPr>
        <w:t>3</w:t>
      </w:r>
      <w:r>
        <w:t xml:space="preserve"> </w:t>
      </w:r>
      <w:r>
        <w:rPr>
          <w:rFonts w:hint="eastAsia"/>
        </w:rPr>
        <w:t>燃气场站事故专项应急预案</w:t>
      </w:r>
      <w:bookmarkEnd w:id="148"/>
    </w:p>
    <w:p>
      <w:pPr>
        <w:pStyle w:val="7"/>
        <w:ind w:firstLine="643"/>
      </w:pPr>
      <w:bookmarkStart w:id="149" w:name="_Toc101798294"/>
      <w:r>
        <w:t>3</w:t>
      </w:r>
      <w:r>
        <w:rPr>
          <w:rFonts w:hint="eastAsia"/>
        </w:rPr>
        <w:t>.1适用范围</w:t>
      </w:r>
      <w:bookmarkEnd w:id="149"/>
    </w:p>
    <w:p>
      <w:pPr>
        <w:spacing w:line="360" w:lineRule="auto"/>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本专项应急预案适用于本企业天然气经营区域发生场站事故后的相关应急处置及救援程序等，是本企业综合预案的组成部分。</w:t>
      </w:r>
    </w:p>
    <w:p>
      <w:pPr>
        <w:pStyle w:val="7"/>
        <w:ind w:firstLine="643"/>
      </w:pPr>
      <w:bookmarkStart w:id="150" w:name="_Toc101798295"/>
      <w:r>
        <w:t>3</w:t>
      </w:r>
      <w:r>
        <w:rPr>
          <w:rFonts w:hint="eastAsia"/>
        </w:rPr>
        <w:t>.2应急指挥机构及职责</w:t>
      </w:r>
      <w:bookmarkEnd w:id="150"/>
    </w:p>
    <w:p>
      <w:pPr>
        <w:ind w:firstLine="560" w:firstLineChars="200"/>
        <w:rPr>
          <w:rFonts w:ascii="宋体" w:hAnsi="宋体" w:cs="宋体"/>
          <w:szCs w:val="28"/>
        </w:rPr>
      </w:pPr>
      <w:r>
        <w:rPr>
          <w:rFonts w:hint="eastAsia" w:ascii="宋体" w:hAnsi="宋体" w:cs="宋体"/>
          <w:szCs w:val="28"/>
        </w:rPr>
        <w:t>应急组织机构及职责与综合应急预案一致，见2章节。</w:t>
      </w:r>
    </w:p>
    <w:p>
      <w:pPr>
        <w:pStyle w:val="7"/>
        <w:ind w:firstLine="643"/>
      </w:pPr>
      <w:bookmarkStart w:id="151" w:name="_Toc101798296"/>
      <w:r>
        <w:t>3</w:t>
      </w:r>
      <w:r>
        <w:rPr>
          <w:rFonts w:hint="eastAsia"/>
        </w:rPr>
        <w:t>.3响应启动</w:t>
      </w:r>
      <w:bookmarkEnd w:id="151"/>
    </w:p>
    <w:p>
      <w:pPr>
        <w:spacing w:line="560" w:lineRule="exact"/>
        <w:ind w:firstLine="560" w:firstLineChars="200"/>
        <w:rPr>
          <w:rFonts w:ascii="宋体" w:hAnsi="宋体" w:cs="宋体"/>
          <w:szCs w:val="28"/>
        </w:rPr>
      </w:pPr>
      <w:r>
        <w:rPr>
          <w:rFonts w:hint="eastAsia" w:ascii="宋体" w:hAnsi="宋体" w:cs="宋体"/>
          <w:szCs w:val="24"/>
        </w:rPr>
        <w:t>响应启动内容</w:t>
      </w:r>
      <w:r>
        <w:rPr>
          <w:rFonts w:hint="eastAsia" w:ascii="宋体" w:hAnsi="宋体" w:cs="宋体"/>
          <w:szCs w:val="28"/>
        </w:rPr>
        <w:t>与综合应急预案一致，见3.3响应启动。</w:t>
      </w:r>
    </w:p>
    <w:p>
      <w:pPr>
        <w:pStyle w:val="7"/>
        <w:ind w:firstLine="643"/>
      </w:pPr>
      <w:bookmarkStart w:id="152" w:name="_Toc101798297"/>
      <w:r>
        <w:t>3</w:t>
      </w:r>
      <w:r>
        <w:rPr>
          <w:rFonts w:hint="eastAsia"/>
        </w:rPr>
        <w:t>.4应急处置措施</w:t>
      </w:r>
      <w:bookmarkEnd w:id="152"/>
    </w:p>
    <w:p>
      <w:pPr>
        <w:pStyle w:val="22"/>
        <w:spacing w:line="560" w:lineRule="exact"/>
        <w:ind w:firstLine="560" w:firstLineChars="200"/>
        <w:rPr>
          <w:rFonts w:hAnsi="宋体" w:cs="宋体"/>
          <w:kern w:val="0"/>
          <w:sz w:val="28"/>
          <w:szCs w:val="28"/>
        </w:rPr>
      </w:pPr>
      <w:r>
        <w:rPr>
          <w:rFonts w:hAnsi="宋体" w:cs="宋体"/>
          <w:kern w:val="0"/>
          <w:sz w:val="28"/>
          <w:szCs w:val="28"/>
        </w:rPr>
        <w:t>3.4.1</w:t>
      </w:r>
      <w:r>
        <w:rPr>
          <w:rFonts w:hint="eastAsia" w:hAnsi="宋体" w:cs="宋体"/>
          <w:kern w:val="0"/>
          <w:sz w:val="28"/>
          <w:szCs w:val="28"/>
        </w:rPr>
        <w:t>场站泄漏事故应急处置</w:t>
      </w:r>
    </w:p>
    <w:p>
      <w:pPr>
        <w:ind w:firstLine="560"/>
        <w:rPr>
          <w:rFonts w:ascii="宋体" w:hAnsi="宋体" w:cs="宋体"/>
          <w:szCs w:val="28"/>
        </w:rPr>
      </w:pPr>
      <w:r>
        <w:rPr>
          <w:rFonts w:ascii="宋体" w:hAnsi="宋体" w:cs="宋体"/>
          <w:szCs w:val="28"/>
        </w:rPr>
        <w:t>1.</w:t>
      </w:r>
      <w:r>
        <w:rPr>
          <w:rFonts w:hint="eastAsia" w:ascii="宋体" w:hAnsi="宋体" w:cs="宋体"/>
          <w:szCs w:val="28"/>
        </w:rPr>
        <w:t>泄漏等级判断</w:t>
      </w:r>
    </w:p>
    <w:p>
      <w:pPr>
        <w:ind w:firstLine="560"/>
        <w:rPr>
          <w:rFonts w:ascii="宋体" w:hAnsi="宋体" w:cs="宋体"/>
          <w:szCs w:val="28"/>
        </w:rPr>
      </w:pPr>
      <w:r>
        <w:rPr>
          <w:rFonts w:hint="eastAsia" w:ascii="宋体" w:hAnsi="宋体" w:cs="宋体"/>
          <w:szCs w:val="28"/>
        </w:rPr>
        <w:t>分大量泄漏、少量泄漏和微量泄漏三个等级，各级特征参见表</w:t>
      </w:r>
      <w:r>
        <w:rPr>
          <w:rFonts w:ascii="宋体" w:hAnsi="宋体" w:cs="宋体"/>
          <w:szCs w:val="28"/>
        </w:rPr>
        <w:t>3.4.1-1</w:t>
      </w:r>
      <w:r>
        <w:rPr>
          <w:rFonts w:hint="eastAsia" w:ascii="宋体" w:hAnsi="宋体" w:cs="宋体"/>
          <w:szCs w:val="28"/>
        </w:rPr>
        <w:t>。</w:t>
      </w:r>
    </w:p>
    <w:p>
      <w:pPr>
        <w:ind w:firstLine="560"/>
        <w:rPr>
          <w:rFonts w:ascii="宋体" w:hAnsi="宋体" w:cs="宋体"/>
          <w:szCs w:val="28"/>
        </w:rPr>
      </w:pPr>
      <w:r>
        <w:rPr>
          <w:rFonts w:hint="eastAsia" w:ascii="宋体" w:hAnsi="宋体" w:cs="宋体"/>
          <w:szCs w:val="28"/>
        </w:rPr>
        <w:t>大量泄漏是指泄漏口面积大于0.1倍管道截面的情况；</w:t>
      </w:r>
    </w:p>
    <w:p>
      <w:pPr>
        <w:ind w:firstLine="560"/>
        <w:rPr>
          <w:rFonts w:ascii="宋体" w:hAnsi="宋体" w:cs="宋体"/>
          <w:szCs w:val="28"/>
        </w:rPr>
      </w:pPr>
      <w:r>
        <w:rPr>
          <w:rFonts w:hint="eastAsia" w:ascii="宋体" w:hAnsi="宋体" w:cs="宋体"/>
          <w:szCs w:val="28"/>
        </w:rPr>
        <w:t>少量泄漏是指泄漏口面积小于0.1倍管道截面且大于微漏的情况；</w:t>
      </w:r>
    </w:p>
    <w:p>
      <w:pPr>
        <w:ind w:firstLine="560"/>
        <w:rPr>
          <w:rFonts w:ascii="宋体" w:hAnsi="宋体" w:cs="宋体"/>
          <w:szCs w:val="28"/>
        </w:rPr>
      </w:pPr>
      <w:r>
        <w:rPr>
          <w:rFonts w:hint="eastAsia" w:ascii="宋体" w:hAnsi="宋体" w:cs="宋体"/>
          <w:szCs w:val="28"/>
        </w:rPr>
        <w:t>微量泄漏是指泄漏点很小且难以观察泄漏量的情况。</w:t>
      </w:r>
    </w:p>
    <w:p>
      <w:pPr>
        <w:spacing w:before="62" w:beforeLines="20"/>
        <w:jc w:val="center"/>
        <w:rPr>
          <w:rFonts w:ascii="宋体" w:hAnsi="宋体"/>
          <w:szCs w:val="28"/>
        </w:rPr>
      </w:pPr>
      <w:r>
        <w:rPr>
          <w:rFonts w:hint="eastAsia" w:ascii="宋体" w:hAnsi="宋体"/>
          <w:b/>
          <w:bCs/>
        </w:rPr>
        <w:t>表</w:t>
      </w:r>
      <w:r>
        <w:rPr>
          <w:rFonts w:ascii="宋体" w:hAnsi="宋体"/>
          <w:b/>
          <w:bCs/>
        </w:rPr>
        <w:t>3.4.1-1</w:t>
      </w:r>
      <w:r>
        <w:rPr>
          <w:rFonts w:hint="eastAsia" w:ascii="宋体" w:hAnsi="宋体"/>
          <w:b/>
          <w:bCs/>
        </w:rPr>
        <w:t xml:space="preserve">  泄漏级别及特征参考</w:t>
      </w:r>
    </w:p>
    <w:tbl>
      <w:tblPr>
        <w:tblStyle w:val="43"/>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70" w:type="dxa"/>
            <w:tcBorders>
              <w:top w:val="single" w:color="auto" w:sz="4" w:space="0"/>
              <w:left w:val="single" w:color="auto" w:sz="4" w:space="0"/>
              <w:bottom w:val="single" w:color="auto" w:sz="4" w:space="0"/>
              <w:right w:val="single" w:color="auto" w:sz="4" w:space="0"/>
            </w:tcBorders>
          </w:tcPr>
          <w:p>
            <w:pPr>
              <w:spacing w:line="400" w:lineRule="atLeast"/>
              <w:jc w:val="center"/>
              <w:rPr>
                <w:rFonts w:ascii="宋体" w:hAnsi="宋体" w:eastAsia="黑体"/>
                <w:sz w:val="24"/>
                <w:szCs w:val="24"/>
              </w:rPr>
            </w:pPr>
            <w:r>
              <w:rPr>
                <w:rFonts w:hint="eastAsia" w:ascii="宋体" w:hAnsi="宋体" w:eastAsia="黑体"/>
                <w:sz w:val="24"/>
                <w:szCs w:val="24"/>
              </w:rPr>
              <w:t>泄漏等级</w:t>
            </w:r>
          </w:p>
        </w:tc>
        <w:tc>
          <w:tcPr>
            <w:tcW w:w="7706" w:type="dxa"/>
            <w:tcBorders>
              <w:top w:val="single" w:color="auto" w:sz="4" w:space="0"/>
              <w:left w:val="nil"/>
              <w:bottom w:val="single" w:color="auto" w:sz="4" w:space="0"/>
              <w:right w:val="single" w:color="auto" w:sz="4" w:space="0"/>
            </w:tcBorders>
          </w:tcPr>
          <w:p>
            <w:pPr>
              <w:spacing w:line="400" w:lineRule="atLeast"/>
              <w:jc w:val="center"/>
              <w:rPr>
                <w:rFonts w:ascii="宋体" w:hAnsi="宋体" w:eastAsia="黑体"/>
                <w:sz w:val="24"/>
                <w:szCs w:val="24"/>
              </w:rPr>
            </w:pPr>
            <w:r>
              <w:rPr>
                <w:rFonts w:hint="eastAsia" w:ascii="宋体" w:hAnsi="宋体" w:eastAsia="黑体"/>
                <w:sz w:val="24"/>
                <w:szCs w:val="24"/>
              </w:rPr>
              <w:t>泄漏特征参考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before="62" w:beforeLines="20" w:line="240" w:lineRule="atLeast"/>
              <w:jc w:val="center"/>
              <w:rPr>
                <w:rFonts w:ascii="宋体" w:hAnsi="宋体" w:eastAsia="黑体"/>
                <w:sz w:val="24"/>
                <w:szCs w:val="24"/>
              </w:rPr>
            </w:pPr>
            <w:r>
              <w:rPr>
                <w:rFonts w:hint="eastAsia" w:ascii="宋体" w:hAnsi="宋体" w:eastAsia="黑体"/>
                <w:sz w:val="24"/>
                <w:szCs w:val="24"/>
              </w:rPr>
              <w:t>大量泄漏</w:t>
            </w:r>
          </w:p>
        </w:tc>
        <w:tc>
          <w:tcPr>
            <w:tcW w:w="7706" w:type="dxa"/>
            <w:tcBorders>
              <w:top w:val="single" w:color="auto" w:sz="4" w:space="0"/>
              <w:left w:val="nil"/>
              <w:bottom w:val="single" w:color="auto" w:sz="4" w:space="0"/>
              <w:right w:val="single" w:color="auto" w:sz="4" w:space="0"/>
            </w:tcBorders>
          </w:tcPr>
          <w:p>
            <w:pPr>
              <w:spacing w:before="62" w:beforeLines="20" w:line="240" w:lineRule="atLeast"/>
              <w:rPr>
                <w:rFonts w:ascii="宋体" w:hAnsi="宋体" w:eastAsia="黑体"/>
                <w:sz w:val="24"/>
                <w:szCs w:val="24"/>
              </w:rPr>
            </w:pPr>
            <w:r>
              <w:rPr>
                <w:rFonts w:hint="eastAsia" w:ascii="宋体" w:hAnsi="宋体" w:eastAsia="黑体"/>
                <w:sz w:val="24"/>
                <w:szCs w:val="24"/>
              </w:rPr>
              <w:t>1.管道、容器等破裂时可能伴有爆炸声，也可能由小裂口扩大为大裂口。</w:t>
            </w:r>
          </w:p>
          <w:p>
            <w:pPr>
              <w:spacing w:line="240" w:lineRule="atLeast"/>
              <w:ind w:left="175"/>
              <w:rPr>
                <w:rFonts w:ascii="宋体" w:hAnsi="宋体" w:eastAsia="黑体"/>
                <w:sz w:val="24"/>
                <w:szCs w:val="24"/>
              </w:rPr>
            </w:pPr>
            <w:r>
              <w:rPr>
                <w:rFonts w:hint="eastAsia" w:ascii="宋体" w:hAnsi="宋体" w:eastAsia="黑体"/>
                <w:sz w:val="24"/>
                <w:szCs w:val="24"/>
              </w:rPr>
              <w:t>2.大破裂瞬间天然气泄放，蒸汽云向上扩散；之后呈持续喷射状气流，遇阻碍物会改变流向。</w:t>
            </w:r>
          </w:p>
          <w:p>
            <w:pPr>
              <w:spacing w:line="240" w:lineRule="atLeast"/>
              <w:rPr>
                <w:rFonts w:ascii="宋体" w:hAnsi="宋体" w:eastAsia="黑体"/>
                <w:sz w:val="24"/>
                <w:szCs w:val="24"/>
              </w:rPr>
            </w:pPr>
            <w:r>
              <w:rPr>
                <w:rFonts w:hint="eastAsia" w:ascii="宋体" w:hAnsi="宋体" w:eastAsia="黑体"/>
                <w:sz w:val="24"/>
                <w:szCs w:val="24"/>
              </w:rPr>
              <w:t>3.喷射气可达站内任何位置，流速较低区域遇明火将燃烧或爆炸。</w:t>
            </w:r>
          </w:p>
          <w:p>
            <w:pPr>
              <w:spacing w:after="62" w:afterLines="20" w:line="240" w:lineRule="atLeast"/>
              <w:rPr>
                <w:rFonts w:ascii="宋体" w:hAnsi="宋体" w:eastAsia="黑体"/>
                <w:sz w:val="24"/>
                <w:szCs w:val="24"/>
              </w:rPr>
            </w:pPr>
            <w:r>
              <w:rPr>
                <w:rFonts w:hint="eastAsia" w:ascii="宋体" w:hAnsi="宋体" w:eastAsia="黑体"/>
                <w:sz w:val="24"/>
                <w:szCs w:val="24"/>
              </w:rPr>
              <w:t>4.泄漏喷射长度可达10~40m（中压）甚至数百米（数MPa时）。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before="62" w:beforeLines="20" w:line="240" w:lineRule="atLeast"/>
              <w:jc w:val="center"/>
              <w:rPr>
                <w:rFonts w:ascii="宋体" w:hAnsi="宋体" w:eastAsia="黑体"/>
                <w:sz w:val="24"/>
                <w:szCs w:val="24"/>
              </w:rPr>
            </w:pPr>
            <w:r>
              <w:rPr>
                <w:rFonts w:hint="eastAsia" w:ascii="宋体" w:hAnsi="宋体" w:eastAsia="黑体"/>
                <w:sz w:val="24"/>
                <w:szCs w:val="24"/>
              </w:rPr>
              <w:t>少量泄漏</w:t>
            </w:r>
          </w:p>
        </w:tc>
        <w:tc>
          <w:tcPr>
            <w:tcW w:w="7706" w:type="dxa"/>
            <w:tcBorders>
              <w:top w:val="single" w:color="auto" w:sz="4" w:space="0"/>
              <w:left w:val="nil"/>
              <w:bottom w:val="single" w:color="auto" w:sz="4" w:space="0"/>
              <w:right w:val="single" w:color="auto" w:sz="4" w:space="0"/>
            </w:tcBorders>
          </w:tcPr>
          <w:p>
            <w:pPr>
              <w:spacing w:before="62" w:beforeLines="20" w:line="240" w:lineRule="atLeast"/>
              <w:rPr>
                <w:rFonts w:ascii="宋体" w:hAnsi="宋体" w:eastAsia="黑体"/>
                <w:sz w:val="24"/>
                <w:szCs w:val="24"/>
              </w:rPr>
            </w:pPr>
            <w:r>
              <w:rPr>
                <w:rFonts w:hint="eastAsia" w:ascii="宋体" w:hAnsi="宋体" w:eastAsia="黑体"/>
                <w:sz w:val="24"/>
                <w:szCs w:val="24"/>
              </w:rPr>
              <w:t>1. 管道、容器等破裂口小且可见，有泄漏气流声。</w:t>
            </w:r>
          </w:p>
          <w:p>
            <w:pPr>
              <w:spacing w:line="240" w:lineRule="atLeast"/>
              <w:ind w:left="175"/>
              <w:rPr>
                <w:rFonts w:ascii="宋体" w:hAnsi="宋体" w:eastAsia="黑体"/>
                <w:sz w:val="24"/>
                <w:szCs w:val="24"/>
              </w:rPr>
            </w:pPr>
            <w:r>
              <w:rPr>
                <w:rFonts w:hint="eastAsia" w:ascii="宋体" w:hAnsi="宋体" w:eastAsia="黑体"/>
                <w:sz w:val="24"/>
                <w:szCs w:val="24"/>
              </w:rPr>
              <w:t>2.呈持续有方向的喷射状气流，喷射距离有限，遇阻碍物会改变流向，无阻碍物时尾端向上大面积扩散。</w:t>
            </w:r>
          </w:p>
          <w:p>
            <w:pPr>
              <w:spacing w:line="240" w:lineRule="atLeast"/>
              <w:rPr>
                <w:rFonts w:ascii="宋体" w:hAnsi="宋体" w:eastAsia="黑体"/>
                <w:sz w:val="24"/>
                <w:szCs w:val="24"/>
              </w:rPr>
            </w:pPr>
            <w:r>
              <w:rPr>
                <w:rFonts w:hint="eastAsia" w:ascii="宋体" w:hAnsi="宋体" w:eastAsia="黑体"/>
                <w:sz w:val="24"/>
                <w:szCs w:val="24"/>
              </w:rPr>
              <w:t>3.喷射气流区域遇明火或静电等会燃烧，高温区靠近泄漏点。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before="62" w:beforeLines="20" w:line="240" w:lineRule="atLeast"/>
              <w:jc w:val="center"/>
              <w:rPr>
                <w:rFonts w:ascii="宋体" w:hAnsi="宋体" w:eastAsia="黑体"/>
                <w:sz w:val="24"/>
                <w:szCs w:val="24"/>
              </w:rPr>
            </w:pPr>
            <w:r>
              <w:rPr>
                <w:rFonts w:hint="eastAsia" w:ascii="宋体" w:hAnsi="宋体" w:eastAsia="黑体"/>
                <w:sz w:val="24"/>
                <w:szCs w:val="24"/>
              </w:rPr>
              <w:t>微量泄漏</w:t>
            </w:r>
          </w:p>
        </w:tc>
        <w:tc>
          <w:tcPr>
            <w:tcW w:w="7706" w:type="dxa"/>
            <w:tcBorders>
              <w:top w:val="single" w:color="auto" w:sz="4" w:space="0"/>
              <w:left w:val="nil"/>
              <w:bottom w:val="single" w:color="auto" w:sz="4" w:space="0"/>
              <w:right w:val="single" w:color="auto" w:sz="4" w:space="0"/>
            </w:tcBorders>
          </w:tcPr>
          <w:p>
            <w:pPr>
              <w:spacing w:before="62" w:beforeLines="20" w:line="240" w:lineRule="atLeast"/>
              <w:rPr>
                <w:rFonts w:ascii="宋体" w:hAnsi="宋体" w:eastAsia="黑体"/>
                <w:sz w:val="24"/>
                <w:szCs w:val="24"/>
              </w:rPr>
            </w:pPr>
            <w:r>
              <w:rPr>
                <w:rFonts w:hint="eastAsia" w:ascii="宋体" w:hAnsi="宋体" w:eastAsia="黑体"/>
                <w:sz w:val="24"/>
                <w:szCs w:val="24"/>
              </w:rPr>
              <w:t>1.阀门等泄漏口不易发现，无泄漏气流声，可检测到泄漏或闻到臭剂。</w:t>
            </w:r>
          </w:p>
          <w:p>
            <w:pPr>
              <w:spacing w:line="240" w:lineRule="atLeast"/>
              <w:ind w:left="175"/>
              <w:rPr>
                <w:rFonts w:ascii="宋体" w:hAnsi="宋体" w:eastAsia="黑体"/>
                <w:sz w:val="24"/>
                <w:szCs w:val="24"/>
              </w:rPr>
            </w:pPr>
            <w:r>
              <w:rPr>
                <w:rFonts w:hint="eastAsia" w:ascii="宋体" w:hAnsi="宋体" w:eastAsia="黑体"/>
                <w:sz w:val="24"/>
                <w:szCs w:val="24"/>
              </w:rPr>
              <w:t>2.无喷射气流，呈小空间向上扩散泄漏，泄漏扩散区以外暂无危险。</w:t>
            </w:r>
          </w:p>
          <w:p>
            <w:pPr>
              <w:spacing w:line="240" w:lineRule="atLeast"/>
              <w:rPr>
                <w:rFonts w:ascii="宋体" w:hAnsi="宋体" w:eastAsia="黑体"/>
                <w:sz w:val="24"/>
                <w:szCs w:val="24"/>
              </w:rPr>
            </w:pPr>
            <w:r>
              <w:rPr>
                <w:rFonts w:hint="eastAsia" w:ascii="宋体" w:hAnsi="宋体" w:eastAsia="黑体"/>
                <w:sz w:val="24"/>
                <w:szCs w:val="24"/>
              </w:rPr>
              <w:t>3扩散泄漏区遇明火或静电等会燃烧，紧贴泄漏点燃烧。</w:t>
            </w:r>
          </w:p>
          <w:p>
            <w:pPr>
              <w:spacing w:after="62" w:afterLines="20" w:line="240" w:lineRule="atLeast"/>
              <w:rPr>
                <w:rFonts w:ascii="宋体" w:hAnsi="宋体" w:eastAsia="黑体"/>
                <w:sz w:val="24"/>
                <w:szCs w:val="24"/>
              </w:rPr>
            </w:pPr>
            <w:r>
              <w:rPr>
                <w:rFonts w:hint="eastAsia" w:ascii="宋体" w:hAnsi="宋体" w:eastAsia="黑体"/>
                <w:sz w:val="24"/>
                <w:szCs w:val="24"/>
              </w:rPr>
              <w:t>4.泄漏量微小，不易计测。</w:t>
            </w:r>
          </w:p>
        </w:tc>
      </w:tr>
    </w:tbl>
    <w:p>
      <w:pPr>
        <w:spacing w:line="240" w:lineRule="atLeast"/>
        <w:ind w:firstLine="560"/>
        <w:rPr>
          <w:szCs w:val="28"/>
        </w:rPr>
      </w:pPr>
    </w:p>
    <w:p>
      <w:pPr>
        <w:ind w:firstLine="560"/>
        <w:rPr>
          <w:rFonts w:ascii="宋体" w:hAnsi="宋体" w:cs="宋体"/>
          <w:szCs w:val="28"/>
        </w:rPr>
      </w:pPr>
      <w:r>
        <w:rPr>
          <w:rFonts w:ascii="宋体" w:hAnsi="宋体" w:cs="宋体"/>
          <w:szCs w:val="28"/>
        </w:rPr>
        <w:t>2.</w:t>
      </w:r>
      <w:r>
        <w:rPr>
          <w:rFonts w:hint="eastAsia" w:ascii="宋体" w:hAnsi="宋体" w:cs="宋体"/>
          <w:szCs w:val="28"/>
        </w:rPr>
        <w:t>泄漏处置</w:t>
      </w:r>
    </w:p>
    <w:p>
      <w:pPr>
        <w:ind w:firstLine="560"/>
        <w:rPr>
          <w:rFonts w:ascii="宋体" w:hAnsi="宋体" w:cs="宋体"/>
          <w:szCs w:val="28"/>
        </w:rPr>
      </w:pPr>
      <w:r>
        <w:rPr>
          <w:rFonts w:hint="eastAsia" w:ascii="宋体" w:hAnsi="宋体" w:cs="宋体"/>
          <w:szCs w:val="28"/>
        </w:rPr>
        <w:t>泄漏时的一般现场应急处置详见下表：</w:t>
      </w:r>
    </w:p>
    <w:p>
      <w:pPr>
        <w:jc w:val="center"/>
        <w:rPr>
          <w:rFonts w:ascii="宋体" w:hAnsi="宋体"/>
          <w:szCs w:val="28"/>
        </w:rPr>
      </w:pPr>
      <w:r>
        <w:rPr>
          <w:rFonts w:hint="eastAsia" w:ascii="宋体" w:hAnsi="宋体"/>
          <w:b/>
          <w:bCs/>
        </w:rPr>
        <w:t>表3</w:t>
      </w:r>
      <w:r>
        <w:rPr>
          <w:rFonts w:ascii="宋体" w:hAnsi="宋体"/>
          <w:b/>
          <w:bCs/>
        </w:rPr>
        <w:t>.4.1-2</w:t>
      </w:r>
      <w:r>
        <w:rPr>
          <w:rFonts w:hint="eastAsia" w:ascii="宋体" w:hAnsi="宋体"/>
          <w:b/>
          <w:bCs/>
        </w:rPr>
        <w:t xml:space="preserve">   泄漏一般现场应急预案</w:t>
      </w:r>
    </w:p>
    <w:tbl>
      <w:tblPr>
        <w:tblStyle w:val="43"/>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708"/>
        <w:gridCol w:w="7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70" w:type="dxa"/>
            <w:gridSpan w:val="2"/>
            <w:tcBorders>
              <w:top w:val="single" w:color="auto" w:sz="4" w:space="0"/>
              <w:left w:val="single" w:color="auto" w:sz="4" w:space="0"/>
              <w:bottom w:val="single" w:color="auto" w:sz="4" w:space="0"/>
              <w:right w:val="single" w:color="auto" w:sz="4" w:space="0"/>
            </w:tcBorders>
          </w:tcPr>
          <w:p>
            <w:pPr>
              <w:spacing w:line="400" w:lineRule="atLeast"/>
              <w:jc w:val="center"/>
              <w:rPr>
                <w:rFonts w:ascii="宋体" w:hAnsi="宋体" w:eastAsia="黑体"/>
                <w:sz w:val="24"/>
                <w:szCs w:val="24"/>
              </w:rPr>
            </w:pPr>
            <w:r>
              <w:rPr>
                <w:rFonts w:hint="eastAsia" w:ascii="宋体" w:hAnsi="宋体" w:eastAsia="黑体"/>
                <w:sz w:val="24"/>
                <w:szCs w:val="24"/>
              </w:rPr>
              <w:t>应急步骤</w:t>
            </w:r>
          </w:p>
        </w:tc>
        <w:tc>
          <w:tcPr>
            <w:tcW w:w="7706" w:type="dxa"/>
            <w:tcBorders>
              <w:top w:val="single" w:color="auto" w:sz="4" w:space="0"/>
              <w:left w:val="nil"/>
              <w:bottom w:val="single" w:color="auto" w:sz="4" w:space="0"/>
              <w:right w:val="single" w:color="auto" w:sz="4" w:space="0"/>
            </w:tcBorders>
          </w:tcPr>
          <w:p>
            <w:pPr>
              <w:spacing w:line="400" w:lineRule="atLeast"/>
              <w:jc w:val="center"/>
              <w:rPr>
                <w:rFonts w:ascii="宋体" w:hAnsi="宋体" w:eastAsia="黑体"/>
                <w:sz w:val="24"/>
                <w:szCs w:val="24"/>
              </w:rPr>
            </w:pPr>
            <w:r>
              <w:rPr>
                <w:rFonts w:hint="eastAsia" w:ascii="宋体" w:hAnsi="宋体" w:eastAsia="黑体"/>
                <w:sz w:val="24"/>
                <w:szCs w:val="24"/>
              </w:rPr>
              <w:t>应急行动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70" w:type="dxa"/>
            <w:gridSpan w:val="2"/>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240" w:lineRule="atLeast"/>
              <w:jc w:val="center"/>
              <w:rPr>
                <w:rFonts w:ascii="宋体" w:hAnsi="宋体" w:eastAsia="黑体"/>
                <w:sz w:val="24"/>
                <w:szCs w:val="24"/>
              </w:rPr>
            </w:pPr>
            <w:r>
              <w:rPr>
                <w:rFonts w:hint="eastAsia" w:ascii="宋体" w:hAnsi="宋体" w:eastAsia="黑体"/>
                <w:sz w:val="24"/>
                <w:szCs w:val="24"/>
              </w:rPr>
              <w:t>1.判断</w:t>
            </w:r>
          </w:p>
        </w:tc>
        <w:tc>
          <w:tcPr>
            <w:tcW w:w="7706" w:type="dxa"/>
            <w:tcBorders>
              <w:top w:val="single" w:color="auto" w:sz="4" w:space="0"/>
              <w:left w:val="nil"/>
              <w:bottom w:val="single" w:color="auto" w:sz="4" w:space="0"/>
              <w:right w:val="single" w:color="auto" w:sz="4" w:space="0"/>
            </w:tcBorders>
          </w:tcPr>
          <w:p>
            <w:pPr>
              <w:spacing w:before="62" w:beforeLines="20" w:line="240" w:lineRule="atLeast"/>
              <w:rPr>
                <w:rFonts w:ascii="宋体" w:hAnsi="宋体" w:eastAsia="黑体"/>
                <w:sz w:val="24"/>
                <w:szCs w:val="24"/>
              </w:rPr>
            </w:pPr>
            <w:r>
              <w:rPr>
                <w:rFonts w:hint="eastAsia" w:ascii="宋体" w:hAnsi="宋体" w:eastAsia="黑体"/>
                <w:sz w:val="24"/>
                <w:szCs w:val="24"/>
              </w:rPr>
              <w:t>1.迅速判断泄漏等级：是大量、少量还是微量等级。</w:t>
            </w:r>
          </w:p>
          <w:p>
            <w:pPr>
              <w:spacing w:line="240" w:lineRule="atLeast"/>
              <w:ind w:left="204"/>
              <w:rPr>
                <w:rFonts w:ascii="宋体" w:hAnsi="宋体" w:eastAsia="黑体"/>
                <w:sz w:val="24"/>
                <w:szCs w:val="24"/>
              </w:rPr>
            </w:pPr>
            <w:r>
              <w:rPr>
                <w:rFonts w:hint="eastAsia" w:ascii="宋体" w:hAnsi="宋体" w:eastAsia="黑体"/>
                <w:sz w:val="24"/>
                <w:szCs w:val="24"/>
              </w:rPr>
              <w:t>2.迅速准确判定泄漏、扩散区域和风向。</w:t>
            </w:r>
          </w:p>
          <w:p>
            <w:pPr>
              <w:spacing w:after="62" w:afterLines="20" w:line="240" w:lineRule="atLeast"/>
              <w:ind w:left="204"/>
              <w:rPr>
                <w:rFonts w:ascii="宋体" w:hAnsi="宋体" w:eastAsia="黑体"/>
                <w:sz w:val="24"/>
                <w:szCs w:val="24"/>
              </w:rPr>
            </w:pPr>
            <w:r>
              <w:rPr>
                <w:rFonts w:hint="eastAsia" w:ascii="宋体" w:hAnsi="宋体" w:eastAsia="黑体"/>
                <w:sz w:val="24"/>
                <w:szCs w:val="24"/>
              </w:rPr>
              <w:t>3.做好初期灭火、防护和紧急撤离等的准备。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70" w:type="dxa"/>
            <w:gridSpan w:val="2"/>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240" w:lineRule="atLeast"/>
              <w:jc w:val="center"/>
              <w:rPr>
                <w:rFonts w:ascii="宋体" w:hAnsi="宋体" w:eastAsia="黑体"/>
                <w:sz w:val="24"/>
                <w:szCs w:val="24"/>
              </w:rPr>
            </w:pPr>
            <w:r>
              <w:rPr>
                <w:rFonts w:hint="eastAsia" w:ascii="宋体" w:hAnsi="宋体" w:eastAsia="黑体"/>
                <w:sz w:val="24"/>
                <w:szCs w:val="24"/>
              </w:rPr>
              <w:t>2.报警</w:t>
            </w:r>
          </w:p>
        </w:tc>
        <w:tc>
          <w:tcPr>
            <w:tcW w:w="7706" w:type="dxa"/>
            <w:tcBorders>
              <w:top w:val="single" w:color="auto" w:sz="4" w:space="0"/>
              <w:left w:val="nil"/>
              <w:bottom w:val="single" w:color="auto" w:sz="4" w:space="0"/>
              <w:right w:val="single" w:color="auto" w:sz="4" w:space="0"/>
            </w:tcBorders>
          </w:tcPr>
          <w:p>
            <w:pPr>
              <w:spacing w:before="62" w:beforeLines="20" w:line="240" w:lineRule="atLeast"/>
              <w:rPr>
                <w:rFonts w:ascii="宋体" w:hAnsi="宋体" w:eastAsia="黑体"/>
                <w:sz w:val="24"/>
                <w:szCs w:val="24"/>
              </w:rPr>
            </w:pPr>
            <w:r>
              <w:rPr>
                <w:rFonts w:hint="eastAsia" w:ascii="宋体" w:hAnsi="宋体" w:eastAsia="黑体"/>
                <w:sz w:val="24"/>
                <w:szCs w:val="24"/>
              </w:rPr>
              <w:t>1.若非微量泄漏，应迅速按下遇险报警按钮，或用值班电话报警。</w:t>
            </w:r>
          </w:p>
          <w:p>
            <w:pPr>
              <w:spacing w:line="240" w:lineRule="atLeast"/>
              <w:ind w:left="204"/>
              <w:rPr>
                <w:rFonts w:ascii="宋体" w:hAnsi="宋体" w:eastAsia="黑体"/>
                <w:sz w:val="24"/>
                <w:szCs w:val="24"/>
              </w:rPr>
            </w:pPr>
            <w:r>
              <w:rPr>
                <w:rFonts w:hint="eastAsia" w:ascii="宋体" w:hAnsi="宋体" w:eastAsia="黑体"/>
                <w:sz w:val="24"/>
                <w:szCs w:val="24"/>
              </w:rPr>
              <w:t>2.若是微量泄漏，可不报警，但需迅速报告。</w:t>
            </w:r>
          </w:p>
          <w:p>
            <w:pPr>
              <w:spacing w:after="62" w:afterLines="20" w:line="240" w:lineRule="atLeast"/>
              <w:rPr>
                <w:rFonts w:ascii="宋体" w:hAnsi="宋体" w:eastAsia="黑体"/>
                <w:sz w:val="24"/>
                <w:szCs w:val="24"/>
              </w:rPr>
            </w:pPr>
            <w:r>
              <w:rPr>
                <w:rFonts w:hint="eastAsia" w:ascii="宋体" w:hAnsi="宋体" w:eastAsia="黑体"/>
                <w:sz w:val="24"/>
                <w:szCs w:val="24"/>
              </w:rPr>
              <w:t>3.若有对站外警示（如声光警示），应连锁启动，警告撤离和禁止入内。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70" w:type="dxa"/>
            <w:gridSpan w:val="2"/>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240" w:lineRule="atLeast"/>
              <w:jc w:val="center"/>
              <w:rPr>
                <w:rFonts w:ascii="宋体" w:hAnsi="宋体" w:eastAsia="黑体"/>
                <w:sz w:val="24"/>
                <w:szCs w:val="24"/>
              </w:rPr>
            </w:pPr>
            <w:r>
              <w:rPr>
                <w:rFonts w:hint="eastAsia" w:ascii="宋体" w:hAnsi="宋体" w:eastAsia="黑体"/>
                <w:sz w:val="24"/>
                <w:szCs w:val="24"/>
              </w:rPr>
              <w:t>3.切断电源</w:t>
            </w:r>
          </w:p>
        </w:tc>
        <w:tc>
          <w:tcPr>
            <w:tcW w:w="7706" w:type="dxa"/>
            <w:tcBorders>
              <w:top w:val="single" w:color="auto" w:sz="4" w:space="0"/>
              <w:left w:val="nil"/>
              <w:bottom w:val="single" w:color="auto" w:sz="4" w:space="0"/>
              <w:right w:val="single" w:color="auto" w:sz="4" w:space="0"/>
            </w:tcBorders>
          </w:tcPr>
          <w:p>
            <w:pPr>
              <w:spacing w:before="62" w:beforeLines="20" w:line="240" w:lineRule="atLeast"/>
              <w:rPr>
                <w:rFonts w:ascii="宋体" w:hAnsi="宋体" w:eastAsia="黑体"/>
                <w:sz w:val="24"/>
                <w:szCs w:val="24"/>
              </w:rPr>
            </w:pPr>
            <w:r>
              <w:rPr>
                <w:rFonts w:hint="eastAsia" w:ascii="宋体" w:hAnsi="宋体" w:eastAsia="黑体"/>
                <w:sz w:val="24"/>
                <w:szCs w:val="24"/>
              </w:rPr>
              <w:t>1.紧急切断无关电源，同时（应自动）启动应急电源。</w:t>
            </w:r>
          </w:p>
          <w:p>
            <w:pPr>
              <w:spacing w:after="62" w:afterLines="20" w:line="240" w:lineRule="atLeast"/>
              <w:rPr>
                <w:rFonts w:ascii="宋体" w:hAnsi="宋体" w:eastAsia="黑体"/>
                <w:sz w:val="24"/>
                <w:szCs w:val="24"/>
              </w:rPr>
            </w:pPr>
            <w:r>
              <w:rPr>
                <w:rFonts w:hint="eastAsia" w:ascii="宋体" w:hAnsi="宋体" w:eastAsia="黑体"/>
                <w:sz w:val="24"/>
                <w:szCs w:val="24"/>
              </w:rPr>
              <w:t>2.若站内有火源（无论是否在安全区内），应立即灭掉火源。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762" w:type="dxa"/>
            <w:vMerge w:val="restart"/>
            <w:tcBorders>
              <w:top w:val="nil"/>
              <w:left w:val="single" w:color="auto" w:sz="4" w:space="0"/>
              <w:bottom w:val="single" w:color="auto" w:sz="4" w:space="0"/>
              <w:right w:val="single" w:color="auto" w:sz="4" w:space="0"/>
            </w:tcBorders>
            <w:vAlign w:val="center"/>
          </w:tcPr>
          <w:p>
            <w:pPr>
              <w:spacing w:line="240" w:lineRule="atLeast"/>
              <w:ind w:left="-62" w:leftChars="-22" w:right="-126" w:rightChars="-45"/>
              <w:jc w:val="center"/>
              <w:rPr>
                <w:rFonts w:ascii="宋体" w:hAnsi="宋体" w:eastAsia="黑体"/>
                <w:sz w:val="24"/>
                <w:szCs w:val="24"/>
              </w:rPr>
            </w:pPr>
            <w:r>
              <w:rPr>
                <w:rFonts w:hint="eastAsia" w:ascii="宋体" w:hAnsi="宋体" w:eastAsia="黑体"/>
                <w:sz w:val="24"/>
                <w:szCs w:val="24"/>
              </w:rPr>
              <w:t>4.关阀</w:t>
            </w:r>
          </w:p>
        </w:tc>
        <w:tc>
          <w:tcPr>
            <w:tcW w:w="708" w:type="dxa"/>
            <w:tcBorders>
              <w:top w:val="single" w:color="auto" w:sz="4" w:space="0"/>
              <w:left w:val="nil"/>
              <w:bottom w:val="single" w:color="auto" w:sz="4" w:space="0"/>
              <w:right w:val="single" w:color="auto" w:sz="4" w:space="0"/>
            </w:tcBorders>
            <w:vAlign w:val="center"/>
          </w:tcPr>
          <w:p>
            <w:pPr>
              <w:spacing w:line="240" w:lineRule="atLeast"/>
              <w:ind w:left="-92" w:leftChars="-33" w:right="-126" w:rightChars="-45"/>
              <w:jc w:val="center"/>
              <w:rPr>
                <w:rFonts w:ascii="宋体" w:hAnsi="宋体" w:eastAsia="黑体"/>
                <w:sz w:val="24"/>
                <w:szCs w:val="24"/>
              </w:rPr>
            </w:pPr>
            <w:r>
              <w:rPr>
                <w:rFonts w:hint="eastAsia" w:ascii="宋体" w:hAnsi="宋体" w:eastAsia="黑体"/>
                <w:sz w:val="24"/>
                <w:szCs w:val="24"/>
              </w:rPr>
              <w:t>阀在泄漏区域外</w:t>
            </w:r>
          </w:p>
        </w:tc>
        <w:tc>
          <w:tcPr>
            <w:tcW w:w="7706" w:type="dxa"/>
            <w:tcBorders>
              <w:top w:val="single" w:color="auto" w:sz="4" w:space="0"/>
              <w:left w:val="nil"/>
              <w:bottom w:val="single" w:color="auto" w:sz="4" w:space="0"/>
              <w:right w:val="single" w:color="auto" w:sz="4" w:space="0"/>
            </w:tcBorders>
          </w:tcPr>
          <w:p>
            <w:pPr>
              <w:spacing w:before="62" w:beforeLines="20" w:line="240" w:lineRule="atLeast"/>
              <w:rPr>
                <w:rFonts w:ascii="宋体" w:hAnsi="宋体" w:eastAsia="黑体"/>
                <w:sz w:val="24"/>
                <w:szCs w:val="24"/>
              </w:rPr>
            </w:pPr>
            <w:r>
              <w:rPr>
                <w:rFonts w:hint="eastAsia" w:ascii="宋体" w:hAnsi="宋体" w:eastAsia="黑体"/>
                <w:sz w:val="24"/>
                <w:szCs w:val="24"/>
              </w:rPr>
              <w:t>1.大量泄漏时，迅速先关闭进站总阀，后关闭出站总阀。</w:t>
            </w:r>
          </w:p>
          <w:p>
            <w:pPr>
              <w:spacing w:line="240" w:lineRule="atLeast"/>
              <w:rPr>
                <w:rFonts w:ascii="宋体" w:hAnsi="宋体" w:eastAsia="黑体"/>
                <w:sz w:val="24"/>
                <w:szCs w:val="24"/>
              </w:rPr>
            </w:pPr>
            <w:r>
              <w:rPr>
                <w:rFonts w:hint="eastAsia" w:ascii="宋体" w:hAnsi="宋体" w:eastAsia="黑体"/>
                <w:sz w:val="24"/>
                <w:szCs w:val="24"/>
              </w:rPr>
              <w:t>2.少量泄漏时，迅速关闭泄漏点上下端的就近阀门。</w:t>
            </w:r>
          </w:p>
          <w:p>
            <w:pPr>
              <w:spacing w:line="240" w:lineRule="atLeast"/>
              <w:rPr>
                <w:rFonts w:ascii="宋体" w:hAnsi="宋体" w:eastAsia="黑体"/>
                <w:sz w:val="24"/>
                <w:szCs w:val="24"/>
              </w:rPr>
            </w:pPr>
            <w:r>
              <w:rPr>
                <w:rFonts w:hint="eastAsia" w:ascii="宋体" w:hAnsi="宋体" w:eastAsia="黑体"/>
                <w:sz w:val="24"/>
                <w:szCs w:val="24"/>
              </w:rPr>
              <w:t>3.微量泄漏时，可关小或关闭泄漏点上下端的就近阀门。</w:t>
            </w:r>
          </w:p>
          <w:p>
            <w:pPr>
              <w:spacing w:after="62" w:afterLines="20" w:line="240" w:lineRule="atLeast"/>
              <w:rPr>
                <w:rFonts w:ascii="宋体" w:hAnsi="宋体" w:eastAsia="黑体"/>
                <w:sz w:val="24"/>
                <w:szCs w:val="24"/>
              </w:rPr>
            </w:pPr>
            <w:r>
              <w:rPr>
                <w:rFonts w:hint="eastAsia" w:ascii="宋体" w:hAnsi="宋体" w:eastAsia="黑体"/>
                <w:sz w:val="24"/>
                <w:szCs w:val="24"/>
              </w:rPr>
              <w:t>注：（1）若所关阀为自动紧急切断阀（如电动阀等）：a.若有联动，应在报警的同时自动紧急关闭；b.若非联动，应按下紧急切断按钮，或在控制屏上执行紧急切断动作关闭。（2）若所关阀门为手动切断阀，应在安全的情况下迅速手动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762" w:type="dxa"/>
            <w:vMerge w:val="continue"/>
            <w:tcBorders>
              <w:top w:val="nil"/>
              <w:left w:val="single" w:color="auto" w:sz="4" w:space="0"/>
              <w:bottom w:val="single" w:color="auto" w:sz="4" w:space="0"/>
              <w:right w:val="single" w:color="auto" w:sz="4" w:space="0"/>
            </w:tcBorders>
            <w:vAlign w:val="center"/>
          </w:tcPr>
          <w:p>
            <w:pPr>
              <w:rPr>
                <w:rFonts w:ascii="宋体" w:hAnsi="宋体" w:eastAsia="黑体"/>
                <w:sz w:val="24"/>
                <w:szCs w:val="24"/>
              </w:rPr>
            </w:pPr>
          </w:p>
        </w:tc>
        <w:tc>
          <w:tcPr>
            <w:tcW w:w="708" w:type="dxa"/>
            <w:tcBorders>
              <w:top w:val="single" w:color="auto" w:sz="4" w:space="0"/>
              <w:left w:val="nil"/>
              <w:bottom w:val="single" w:color="auto" w:sz="4" w:space="0"/>
              <w:right w:val="single" w:color="auto" w:sz="4" w:space="0"/>
            </w:tcBorders>
            <w:vAlign w:val="center"/>
          </w:tcPr>
          <w:p>
            <w:pPr>
              <w:spacing w:before="62" w:beforeLines="20" w:line="240" w:lineRule="atLeast"/>
              <w:jc w:val="center"/>
              <w:rPr>
                <w:rFonts w:ascii="宋体" w:hAnsi="宋体" w:eastAsia="黑体"/>
                <w:sz w:val="24"/>
                <w:szCs w:val="24"/>
              </w:rPr>
            </w:pPr>
            <w:r>
              <w:rPr>
                <w:rFonts w:hint="eastAsia" w:ascii="宋体" w:hAnsi="宋体" w:eastAsia="黑体"/>
                <w:sz w:val="24"/>
                <w:szCs w:val="24"/>
              </w:rPr>
              <w:t>阀在泄漏区域内</w:t>
            </w:r>
          </w:p>
        </w:tc>
        <w:tc>
          <w:tcPr>
            <w:tcW w:w="7706" w:type="dxa"/>
            <w:tcBorders>
              <w:top w:val="single" w:color="auto" w:sz="4" w:space="0"/>
              <w:left w:val="nil"/>
              <w:bottom w:val="single" w:color="auto" w:sz="4" w:space="0"/>
              <w:right w:val="single" w:color="auto" w:sz="4" w:space="0"/>
            </w:tcBorders>
          </w:tcPr>
          <w:p>
            <w:pPr>
              <w:spacing w:before="62" w:beforeLines="20" w:line="240" w:lineRule="atLeast"/>
              <w:rPr>
                <w:rFonts w:ascii="宋体" w:hAnsi="宋体" w:eastAsia="黑体"/>
                <w:sz w:val="24"/>
                <w:szCs w:val="24"/>
              </w:rPr>
            </w:pPr>
            <w:r>
              <w:rPr>
                <w:rFonts w:hint="eastAsia" w:ascii="宋体" w:hAnsi="宋体" w:eastAsia="黑体"/>
                <w:sz w:val="24"/>
                <w:szCs w:val="24"/>
              </w:rPr>
              <w:t>1.在泄漏区域外寻找关闭阀。如进、出站总阀在泄漏、扩散区域内时应选择站外阀甚至更上游端的阀等。</w:t>
            </w:r>
          </w:p>
          <w:p>
            <w:pPr>
              <w:spacing w:line="240" w:lineRule="atLeast"/>
              <w:rPr>
                <w:rFonts w:ascii="宋体" w:hAnsi="宋体" w:eastAsia="黑体"/>
                <w:sz w:val="24"/>
                <w:szCs w:val="24"/>
              </w:rPr>
            </w:pPr>
            <w:r>
              <w:rPr>
                <w:rFonts w:hint="eastAsia" w:ascii="宋体" w:hAnsi="宋体" w:eastAsia="黑体"/>
                <w:sz w:val="24"/>
                <w:szCs w:val="24"/>
              </w:rPr>
              <w:t>2.按上面要旨或要求应急行动（关阀）。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70" w:type="dxa"/>
            <w:gridSpan w:val="2"/>
            <w:tcBorders>
              <w:top w:val="single" w:color="auto" w:sz="4" w:space="0"/>
              <w:left w:val="single" w:color="auto" w:sz="4" w:space="0"/>
              <w:bottom w:val="single" w:color="auto" w:sz="4" w:space="0"/>
              <w:right w:val="single" w:color="auto" w:sz="4" w:space="0"/>
            </w:tcBorders>
            <w:vAlign w:val="center"/>
          </w:tcPr>
          <w:p>
            <w:pPr>
              <w:spacing w:before="62" w:beforeLines="20" w:line="240" w:lineRule="atLeast"/>
              <w:jc w:val="center"/>
              <w:rPr>
                <w:rFonts w:ascii="宋体" w:hAnsi="宋体" w:eastAsia="黑体"/>
                <w:sz w:val="24"/>
                <w:szCs w:val="24"/>
              </w:rPr>
            </w:pPr>
            <w:r>
              <w:rPr>
                <w:rFonts w:hint="eastAsia" w:ascii="宋体" w:hAnsi="宋体" w:eastAsia="黑体"/>
                <w:sz w:val="24"/>
                <w:szCs w:val="24"/>
              </w:rPr>
              <w:t>5.观察</w:t>
            </w:r>
          </w:p>
        </w:tc>
        <w:tc>
          <w:tcPr>
            <w:tcW w:w="7706" w:type="dxa"/>
            <w:tcBorders>
              <w:top w:val="single" w:color="auto" w:sz="4" w:space="0"/>
              <w:left w:val="nil"/>
              <w:bottom w:val="single" w:color="auto" w:sz="4" w:space="0"/>
              <w:right w:val="single" w:color="auto" w:sz="4" w:space="0"/>
            </w:tcBorders>
          </w:tcPr>
          <w:p>
            <w:pPr>
              <w:spacing w:before="62" w:beforeLines="20" w:after="62" w:afterLines="20" w:line="240" w:lineRule="atLeast"/>
              <w:ind w:left="2"/>
              <w:rPr>
                <w:rFonts w:ascii="宋体" w:hAnsi="宋体" w:eastAsia="黑体"/>
                <w:sz w:val="24"/>
                <w:szCs w:val="24"/>
              </w:rPr>
            </w:pPr>
            <w:r>
              <w:rPr>
                <w:rFonts w:hint="eastAsia" w:ascii="宋体" w:hAnsi="宋体" w:eastAsia="黑体"/>
                <w:sz w:val="24"/>
                <w:szCs w:val="24"/>
              </w:rPr>
              <w:t>观察泄漏是否减弱或停止。若没有减弱或停止，则应关闭与所关阀门关联的阀门，直至泄漏停止（或微量泄漏时减弱至安全范围）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70" w:type="dxa"/>
            <w:gridSpan w:val="2"/>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240" w:lineRule="atLeast"/>
              <w:jc w:val="center"/>
              <w:rPr>
                <w:rFonts w:ascii="宋体" w:hAnsi="宋体" w:eastAsia="黑体"/>
                <w:sz w:val="24"/>
                <w:szCs w:val="24"/>
              </w:rPr>
            </w:pPr>
            <w:r>
              <w:rPr>
                <w:rFonts w:hint="eastAsia" w:ascii="宋体" w:hAnsi="宋体" w:eastAsia="黑体"/>
                <w:sz w:val="24"/>
                <w:szCs w:val="24"/>
              </w:rPr>
              <w:t>6.待援</w:t>
            </w:r>
          </w:p>
        </w:tc>
        <w:tc>
          <w:tcPr>
            <w:tcW w:w="7706" w:type="dxa"/>
            <w:tcBorders>
              <w:top w:val="single" w:color="auto" w:sz="4" w:space="0"/>
              <w:left w:val="nil"/>
              <w:bottom w:val="single" w:color="auto" w:sz="4" w:space="0"/>
              <w:right w:val="single" w:color="auto" w:sz="4" w:space="0"/>
            </w:tcBorders>
          </w:tcPr>
          <w:p>
            <w:pPr>
              <w:spacing w:before="62" w:beforeLines="20" w:after="62" w:afterLines="20" w:line="240" w:lineRule="atLeast"/>
              <w:rPr>
                <w:rFonts w:ascii="宋体" w:hAnsi="宋体" w:eastAsia="黑体"/>
                <w:sz w:val="24"/>
                <w:szCs w:val="24"/>
              </w:rPr>
            </w:pPr>
            <w:r>
              <w:rPr>
                <w:rFonts w:hint="eastAsia" w:ascii="宋体" w:hAnsi="宋体" w:eastAsia="黑体"/>
                <w:sz w:val="24"/>
                <w:szCs w:val="24"/>
              </w:rPr>
              <w:t>若现场不可控制，应迅速撤离到安全地带待援。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70" w:type="dxa"/>
            <w:gridSpan w:val="2"/>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240" w:lineRule="atLeast"/>
              <w:jc w:val="center"/>
              <w:rPr>
                <w:rFonts w:ascii="宋体" w:hAnsi="宋体" w:eastAsia="黑体"/>
                <w:sz w:val="24"/>
                <w:szCs w:val="24"/>
              </w:rPr>
            </w:pPr>
            <w:r>
              <w:rPr>
                <w:rFonts w:hint="eastAsia" w:ascii="宋体" w:hAnsi="宋体" w:eastAsia="黑体"/>
                <w:sz w:val="24"/>
                <w:szCs w:val="24"/>
              </w:rPr>
              <w:t>7.疏散</w:t>
            </w:r>
          </w:p>
        </w:tc>
        <w:tc>
          <w:tcPr>
            <w:tcW w:w="7706" w:type="dxa"/>
            <w:tcBorders>
              <w:top w:val="single" w:color="auto" w:sz="4" w:space="0"/>
              <w:left w:val="nil"/>
              <w:bottom w:val="single" w:color="auto" w:sz="4" w:space="0"/>
              <w:right w:val="single" w:color="auto" w:sz="4" w:space="0"/>
            </w:tcBorders>
          </w:tcPr>
          <w:p>
            <w:pPr>
              <w:spacing w:before="62" w:beforeLines="20" w:after="62" w:afterLines="20" w:line="240" w:lineRule="atLeast"/>
              <w:ind w:left="2"/>
              <w:rPr>
                <w:rFonts w:ascii="宋体" w:hAnsi="宋体" w:eastAsia="黑体"/>
                <w:sz w:val="24"/>
                <w:szCs w:val="24"/>
              </w:rPr>
            </w:pPr>
            <w:r>
              <w:rPr>
                <w:rFonts w:hint="eastAsia" w:ascii="宋体" w:hAnsi="宋体" w:eastAsia="黑体"/>
                <w:sz w:val="24"/>
                <w:szCs w:val="24"/>
              </w:rPr>
              <w:t>若现场不可控制，并有危险扩展的趋势时，应组织周边人员等迅速向安全地带疏散，并切断周边电源、火源等。</w:t>
            </w:r>
          </w:p>
        </w:tc>
      </w:tr>
    </w:tbl>
    <w:p>
      <w:pPr>
        <w:spacing w:line="240" w:lineRule="atLeast"/>
        <w:ind w:firstLine="560"/>
        <w:rPr>
          <w:szCs w:val="28"/>
        </w:rPr>
      </w:pPr>
    </w:p>
    <w:p>
      <w:pPr>
        <w:pStyle w:val="22"/>
        <w:spacing w:line="560" w:lineRule="exact"/>
        <w:ind w:firstLine="560" w:firstLineChars="200"/>
        <w:rPr>
          <w:rFonts w:hAnsi="宋体" w:cs="宋体"/>
          <w:kern w:val="0"/>
          <w:sz w:val="28"/>
          <w:szCs w:val="28"/>
        </w:rPr>
      </w:pPr>
      <w:bookmarkStart w:id="153" w:name="_Toc437130614"/>
      <w:bookmarkEnd w:id="153"/>
      <w:bookmarkStart w:id="154" w:name="_Toc18165"/>
      <w:r>
        <w:rPr>
          <w:rFonts w:hint="eastAsia" w:hAnsi="宋体" w:cs="宋体"/>
          <w:kern w:val="0"/>
          <w:sz w:val="28"/>
          <w:szCs w:val="28"/>
        </w:rPr>
        <w:t>3.</w:t>
      </w:r>
      <w:r>
        <w:rPr>
          <w:rFonts w:hAnsi="宋体" w:cs="宋体"/>
          <w:kern w:val="0"/>
          <w:sz w:val="28"/>
          <w:szCs w:val="28"/>
        </w:rPr>
        <w:t>4</w:t>
      </w:r>
      <w:r>
        <w:rPr>
          <w:rFonts w:hint="eastAsia" w:hAnsi="宋体" w:cs="宋体"/>
          <w:kern w:val="0"/>
          <w:sz w:val="28"/>
          <w:szCs w:val="28"/>
        </w:rPr>
        <w:t>.2 场站泄漏火灾事故应急救援预案</w:t>
      </w:r>
      <w:bookmarkEnd w:id="154"/>
    </w:p>
    <w:p>
      <w:pPr>
        <w:spacing w:after="0" w:line="560" w:lineRule="exact"/>
        <w:ind w:firstLine="560" w:firstLineChars="200"/>
        <w:rPr>
          <w:rFonts w:ascii="宋体" w:hAnsi="宋体" w:cs="宋体"/>
          <w:szCs w:val="28"/>
        </w:rPr>
      </w:pPr>
      <w:r>
        <w:rPr>
          <w:rFonts w:ascii="宋体" w:hAnsi="宋体" w:cs="宋体"/>
          <w:szCs w:val="28"/>
        </w:rPr>
        <w:t>1.</w:t>
      </w:r>
      <w:r>
        <w:rPr>
          <w:rFonts w:hint="eastAsia" w:ascii="宋体" w:hAnsi="宋体" w:cs="宋体"/>
          <w:szCs w:val="28"/>
        </w:rPr>
        <w:t>泄漏火灾等级判断</w:t>
      </w:r>
    </w:p>
    <w:p>
      <w:pPr>
        <w:spacing w:after="0" w:line="560" w:lineRule="exact"/>
        <w:ind w:firstLine="560" w:firstLineChars="200"/>
        <w:rPr>
          <w:rFonts w:ascii="宋体" w:hAnsi="宋体" w:cs="宋体"/>
          <w:szCs w:val="28"/>
        </w:rPr>
      </w:pPr>
      <w:r>
        <w:rPr>
          <w:rFonts w:hint="eastAsia" w:ascii="宋体" w:hAnsi="宋体" w:cs="宋体"/>
          <w:szCs w:val="28"/>
        </w:rPr>
        <w:t>泄漏火灾是指因燃气泄漏后遇火源引发的火灾，此类火灾分三种情况：</w:t>
      </w:r>
    </w:p>
    <w:p>
      <w:pPr>
        <w:spacing w:after="0" w:line="560" w:lineRule="exact"/>
        <w:ind w:firstLine="560" w:firstLineChars="200"/>
        <w:rPr>
          <w:rFonts w:ascii="宋体" w:hAnsi="宋体" w:cs="宋体"/>
          <w:szCs w:val="28"/>
        </w:rPr>
      </w:pPr>
      <w:r>
        <w:rPr>
          <w:rFonts w:hint="eastAsia" w:ascii="宋体" w:hAnsi="宋体" w:cs="宋体"/>
          <w:szCs w:val="28"/>
        </w:rPr>
        <w:t>（1）着火区域有燃气装置；</w:t>
      </w:r>
    </w:p>
    <w:p>
      <w:pPr>
        <w:spacing w:after="0" w:line="560" w:lineRule="exact"/>
        <w:ind w:firstLine="560" w:firstLineChars="200"/>
        <w:rPr>
          <w:rFonts w:ascii="宋体" w:hAnsi="宋体" w:cs="宋体"/>
          <w:szCs w:val="28"/>
        </w:rPr>
      </w:pPr>
      <w:r>
        <w:rPr>
          <w:rFonts w:hint="eastAsia" w:ascii="宋体" w:hAnsi="宋体" w:cs="宋体"/>
          <w:szCs w:val="28"/>
        </w:rPr>
        <w:t>（2）着火区域有二次灾害可能；</w:t>
      </w:r>
    </w:p>
    <w:p>
      <w:pPr>
        <w:spacing w:after="0" w:line="560" w:lineRule="exact"/>
        <w:ind w:firstLine="560" w:firstLineChars="200"/>
        <w:rPr>
          <w:rFonts w:ascii="宋体" w:hAnsi="宋体" w:cs="宋体"/>
          <w:szCs w:val="28"/>
        </w:rPr>
      </w:pPr>
      <w:r>
        <w:rPr>
          <w:rFonts w:hint="eastAsia" w:ascii="宋体" w:hAnsi="宋体" w:cs="宋体"/>
          <w:szCs w:val="28"/>
        </w:rPr>
        <w:t>（3）着火区域无二次灾害可能。</w:t>
      </w:r>
    </w:p>
    <w:p>
      <w:pPr>
        <w:spacing w:after="0" w:line="560" w:lineRule="exact"/>
        <w:ind w:firstLine="560" w:firstLineChars="200"/>
        <w:rPr>
          <w:rFonts w:ascii="宋体" w:hAnsi="宋体" w:cs="宋体"/>
          <w:szCs w:val="28"/>
        </w:rPr>
      </w:pPr>
      <w:r>
        <w:rPr>
          <w:rFonts w:hint="eastAsia" w:ascii="宋体" w:hAnsi="宋体" w:cs="宋体"/>
          <w:szCs w:val="28"/>
        </w:rPr>
        <w:t>上述燃气装置是指装置内有燃气的管道、设备和设施，包括加臭装置。泄漏火灾的三种情况见下表。</w:t>
      </w:r>
    </w:p>
    <w:p>
      <w:pPr>
        <w:ind w:firstLine="560"/>
        <w:rPr>
          <w:szCs w:val="28"/>
        </w:rPr>
      </w:pPr>
    </w:p>
    <w:p>
      <w:pPr>
        <w:spacing w:before="62" w:beforeLines="20"/>
        <w:jc w:val="center"/>
        <w:rPr>
          <w:rFonts w:ascii="宋体" w:hAnsi="宋体"/>
          <w:szCs w:val="28"/>
        </w:rPr>
      </w:pPr>
      <w:r>
        <w:rPr>
          <w:rFonts w:hint="eastAsia" w:ascii="宋体" w:hAnsi="宋体"/>
          <w:b/>
          <w:bCs/>
        </w:rPr>
        <w:t>表3</w:t>
      </w:r>
      <w:r>
        <w:rPr>
          <w:rFonts w:ascii="宋体" w:hAnsi="宋体"/>
          <w:b/>
          <w:bCs/>
        </w:rPr>
        <w:t>.4.2-1</w:t>
      </w:r>
      <w:r>
        <w:rPr>
          <w:rFonts w:hint="eastAsia" w:ascii="宋体" w:hAnsi="宋体"/>
          <w:b/>
          <w:bCs/>
        </w:rPr>
        <w:t xml:space="preserve">     泄漏火灾各类情况表</w:t>
      </w:r>
    </w:p>
    <w:tbl>
      <w:tblPr>
        <w:tblStyle w:val="43"/>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70" w:type="dxa"/>
            <w:tcBorders>
              <w:top w:val="single" w:color="auto" w:sz="4" w:space="0"/>
              <w:left w:val="single" w:color="auto" w:sz="4" w:space="0"/>
              <w:bottom w:val="single" w:color="auto" w:sz="4" w:space="0"/>
              <w:right w:val="single" w:color="auto" w:sz="4" w:space="0"/>
            </w:tcBorders>
          </w:tcPr>
          <w:p>
            <w:pPr>
              <w:spacing w:line="40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着火区域</w:t>
            </w:r>
          </w:p>
        </w:tc>
        <w:tc>
          <w:tcPr>
            <w:tcW w:w="7706" w:type="dxa"/>
            <w:tcBorders>
              <w:top w:val="single" w:color="auto" w:sz="4" w:space="0"/>
              <w:left w:val="nil"/>
              <w:bottom w:val="single" w:color="auto" w:sz="4" w:space="0"/>
              <w:right w:val="single" w:color="auto" w:sz="4" w:space="0"/>
            </w:tcBorders>
          </w:tcPr>
          <w:p>
            <w:pPr>
              <w:spacing w:line="40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灾情预测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before="62" w:beforeLines="20"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有燃气装置</w:t>
            </w:r>
          </w:p>
        </w:tc>
        <w:tc>
          <w:tcPr>
            <w:tcW w:w="7706" w:type="dxa"/>
            <w:tcBorders>
              <w:top w:val="single" w:color="auto" w:sz="4" w:space="0"/>
              <w:left w:val="nil"/>
              <w:bottom w:val="single" w:color="auto" w:sz="4" w:space="0"/>
              <w:right w:val="single" w:color="auto" w:sz="4" w:space="0"/>
            </w:tcBorders>
          </w:tcPr>
          <w:p>
            <w:pPr>
              <w:spacing w:before="62" w:beforeLines="20" w:line="24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1.燃气装置因火焰高温致使装置变形，导致密封失效而产生新的泄漏，并被点燃形成新的着火区域，使灾情加重直至不可控制。</w:t>
            </w:r>
          </w:p>
          <w:p>
            <w:pPr>
              <w:spacing w:line="24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2.燃气装置因火焰高温致使装置强度急剧降低，导致装置破裂、爆炸，产生碎片和爆炸气团，使灾情加重直至不可控制。</w:t>
            </w:r>
          </w:p>
          <w:p>
            <w:pPr>
              <w:spacing w:after="62" w:afterLines="20" w:line="24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3.耐火材料抗高温能力可能为数分钟至十多分钟，但非耐火材料可能在数秒中失效。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before="62" w:beforeLines="20"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有二次灾害</w:t>
            </w:r>
          </w:p>
        </w:tc>
        <w:tc>
          <w:tcPr>
            <w:tcW w:w="7706" w:type="dxa"/>
            <w:tcBorders>
              <w:top w:val="single" w:color="auto" w:sz="4" w:space="0"/>
              <w:left w:val="nil"/>
              <w:bottom w:val="single" w:color="auto" w:sz="4" w:space="0"/>
              <w:right w:val="single" w:color="auto" w:sz="4" w:space="0"/>
            </w:tcBorders>
          </w:tcPr>
          <w:p>
            <w:pPr>
              <w:spacing w:before="62" w:beforeLines="20" w:line="24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1.引燃可燃物、电线电缆、绿化树木等，导致二次灾害。</w:t>
            </w:r>
          </w:p>
          <w:p>
            <w:pPr>
              <w:spacing w:line="24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2.持续燃烧超过建筑物的耐火等级，造成建、构筑物坍塌。</w:t>
            </w:r>
          </w:p>
          <w:p>
            <w:pPr>
              <w:spacing w:after="62" w:afterLines="20" w:line="24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3.其他二次灾害。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无二次灾害</w:t>
            </w:r>
          </w:p>
        </w:tc>
        <w:tc>
          <w:tcPr>
            <w:tcW w:w="7706" w:type="dxa"/>
            <w:tcBorders>
              <w:top w:val="single" w:color="auto" w:sz="4" w:space="0"/>
              <w:left w:val="nil"/>
              <w:bottom w:val="single" w:color="auto" w:sz="4" w:space="0"/>
              <w:right w:val="single" w:color="auto" w:sz="4" w:space="0"/>
            </w:tcBorders>
          </w:tcPr>
          <w:p>
            <w:pPr>
              <w:spacing w:before="62" w:beforeLines="20" w:after="62" w:afterLines="20" w:line="24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如对空燃烧，着火区域为空地、围墙等。</w:t>
            </w:r>
          </w:p>
        </w:tc>
      </w:tr>
    </w:tbl>
    <w:p>
      <w:pPr>
        <w:spacing w:line="240" w:lineRule="atLeast"/>
        <w:ind w:firstLine="560"/>
        <w:rPr>
          <w:szCs w:val="28"/>
        </w:rPr>
      </w:pPr>
    </w:p>
    <w:p>
      <w:pPr>
        <w:ind w:firstLine="560"/>
        <w:rPr>
          <w:rFonts w:ascii="宋体" w:hAnsi="宋体" w:cs="宋体"/>
          <w:szCs w:val="28"/>
        </w:rPr>
      </w:pPr>
      <w:r>
        <w:rPr>
          <w:rFonts w:ascii="宋体" w:hAnsi="宋体" w:cs="宋体"/>
          <w:szCs w:val="28"/>
        </w:rPr>
        <w:t>2.</w:t>
      </w:r>
      <w:r>
        <w:rPr>
          <w:rFonts w:hint="eastAsia" w:ascii="宋体" w:hAnsi="宋体" w:cs="宋体"/>
          <w:szCs w:val="28"/>
        </w:rPr>
        <w:t>现场应急处置</w:t>
      </w:r>
    </w:p>
    <w:p>
      <w:pPr>
        <w:ind w:firstLine="560"/>
        <w:rPr>
          <w:rFonts w:ascii="宋体" w:hAnsi="宋体" w:cs="宋体"/>
          <w:szCs w:val="28"/>
        </w:rPr>
      </w:pPr>
      <w:r>
        <w:rPr>
          <w:rFonts w:hint="eastAsia" w:ascii="宋体" w:hAnsi="宋体" w:cs="宋体"/>
          <w:szCs w:val="28"/>
        </w:rPr>
        <w:t>泄漏火灾时的一般现场应急处置见下表。</w:t>
      </w:r>
    </w:p>
    <w:p>
      <w:pPr>
        <w:spacing w:before="62" w:beforeLines="20"/>
        <w:jc w:val="center"/>
        <w:rPr>
          <w:rFonts w:asciiTheme="minorEastAsia" w:hAnsiTheme="minorEastAsia" w:eastAsiaTheme="minorEastAsia"/>
          <w:b/>
          <w:bCs/>
          <w:szCs w:val="28"/>
        </w:rPr>
      </w:pPr>
      <w:r>
        <w:rPr>
          <w:rFonts w:hint="eastAsia" w:asciiTheme="minorEastAsia" w:hAnsiTheme="minorEastAsia" w:eastAsiaTheme="minorEastAsia"/>
          <w:b/>
          <w:bCs/>
        </w:rPr>
        <w:t>表3</w:t>
      </w:r>
      <w:r>
        <w:rPr>
          <w:rFonts w:asciiTheme="minorEastAsia" w:hAnsiTheme="minorEastAsia" w:eastAsiaTheme="minorEastAsia"/>
          <w:b/>
          <w:bCs/>
        </w:rPr>
        <w:t>.4.2-2</w:t>
      </w:r>
      <w:r>
        <w:rPr>
          <w:rFonts w:hint="eastAsia" w:asciiTheme="minorEastAsia" w:hAnsiTheme="minorEastAsia" w:eastAsiaTheme="minorEastAsia"/>
          <w:b/>
          <w:bCs/>
        </w:rPr>
        <w:t xml:space="preserve">   泄漏火灾一般现场应急预案</w:t>
      </w:r>
    </w:p>
    <w:tbl>
      <w:tblPr>
        <w:tblStyle w:val="43"/>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7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809" w:type="dxa"/>
            <w:tcBorders>
              <w:top w:val="single" w:color="auto" w:sz="4" w:space="0"/>
              <w:left w:val="single" w:color="auto" w:sz="4" w:space="0"/>
              <w:bottom w:val="single" w:color="auto" w:sz="4" w:space="0"/>
              <w:right w:val="single" w:color="auto" w:sz="4" w:space="0"/>
            </w:tcBorders>
          </w:tcPr>
          <w:p>
            <w:pPr>
              <w:spacing w:line="400" w:lineRule="atLeast"/>
              <w:jc w:val="center"/>
              <w:rPr>
                <w:rFonts w:ascii="宋体" w:hAnsi="宋体" w:eastAsia="黑体"/>
                <w:sz w:val="24"/>
                <w:szCs w:val="24"/>
              </w:rPr>
            </w:pPr>
            <w:r>
              <w:rPr>
                <w:rFonts w:hint="eastAsia" w:ascii="宋体" w:hAnsi="宋体" w:eastAsia="黑体"/>
                <w:sz w:val="24"/>
                <w:szCs w:val="24"/>
              </w:rPr>
              <w:t>应急步骤</w:t>
            </w:r>
          </w:p>
        </w:tc>
        <w:tc>
          <w:tcPr>
            <w:tcW w:w="7367" w:type="dxa"/>
            <w:tcBorders>
              <w:top w:val="single" w:color="auto" w:sz="4" w:space="0"/>
              <w:left w:val="nil"/>
              <w:bottom w:val="single" w:color="auto" w:sz="4" w:space="0"/>
              <w:right w:val="single" w:color="auto" w:sz="4" w:space="0"/>
            </w:tcBorders>
          </w:tcPr>
          <w:p>
            <w:pPr>
              <w:spacing w:line="400" w:lineRule="atLeast"/>
              <w:jc w:val="center"/>
              <w:rPr>
                <w:rFonts w:ascii="宋体" w:hAnsi="宋体" w:eastAsia="黑体"/>
                <w:sz w:val="24"/>
                <w:szCs w:val="24"/>
              </w:rPr>
            </w:pPr>
            <w:r>
              <w:rPr>
                <w:rFonts w:hint="eastAsia" w:ascii="宋体" w:hAnsi="宋体" w:eastAsia="黑体"/>
                <w:sz w:val="24"/>
                <w:szCs w:val="24"/>
              </w:rPr>
              <w:t>应急行动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240" w:lineRule="atLeast"/>
              <w:jc w:val="center"/>
              <w:rPr>
                <w:rFonts w:ascii="宋体" w:hAnsi="宋体" w:eastAsia="黑体"/>
                <w:sz w:val="24"/>
                <w:szCs w:val="24"/>
              </w:rPr>
            </w:pPr>
            <w:r>
              <w:rPr>
                <w:rFonts w:hint="eastAsia" w:ascii="宋体" w:hAnsi="宋体" w:eastAsia="黑体"/>
                <w:sz w:val="24"/>
                <w:szCs w:val="24"/>
              </w:rPr>
              <w:t>1.报警</w:t>
            </w:r>
          </w:p>
        </w:tc>
        <w:tc>
          <w:tcPr>
            <w:tcW w:w="7367" w:type="dxa"/>
            <w:tcBorders>
              <w:top w:val="single" w:color="auto" w:sz="4" w:space="0"/>
              <w:left w:val="nil"/>
              <w:bottom w:val="single" w:color="auto" w:sz="4" w:space="0"/>
              <w:right w:val="single" w:color="auto" w:sz="4" w:space="0"/>
            </w:tcBorders>
          </w:tcPr>
          <w:p>
            <w:pPr>
              <w:spacing w:before="62" w:beforeLines="20" w:line="240" w:lineRule="atLeast"/>
              <w:rPr>
                <w:rFonts w:ascii="宋体" w:hAnsi="宋体" w:eastAsia="黑体"/>
                <w:sz w:val="24"/>
                <w:szCs w:val="24"/>
              </w:rPr>
            </w:pPr>
            <w:r>
              <w:rPr>
                <w:rFonts w:hint="eastAsia" w:ascii="宋体" w:hAnsi="宋体" w:eastAsia="黑体"/>
                <w:sz w:val="24"/>
                <w:szCs w:val="24"/>
              </w:rPr>
              <w:t>1.拨打119电话报火警。</w:t>
            </w:r>
          </w:p>
          <w:p>
            <w:pPr>
              <w:spacing w:line="240" w:lineRule="atLeast"/>
              <w:rPr>
                <w:rFonts w:ascii="宋体" w:hAnsi="宋体" w:eastAsia="黑体"/>
                <w:sz w:val="24"/>
                <w:szCs w:val="24"/>
              </w:rPr>
            </w:pPr>
            <w:r>
              <w:rPr>
                <w:rFonts w:hint="eastAsia" w:ascii="宋体" w:hAnsi="宋体" w:eastAsia="黑体"/>
                <w:sz w:val="24"/>
                <w:szCs w:val="24"/>
              </w:rPr>
              <w:t>2.做好初期灭火、防护和紧急撤离等的准备。</w:t>
            </w:r>
          </w:p>
          <w:p>
            <w:pPr>
              <w:spacing w:after="62" w:afterLines="20" w:line="240" w:lineRule="atLeast"/>
              <w:rPr>
                <w:rFonts w:ascii="宋体" w:hAnsi="宋体" w:eastAsia="黑体"/>
                <w:sz w:val="24"/>
                <w:szCs w:val="24"/>
              </w:rPr>
            </w:pPr>
            <w:r>
              <w:rPr>
                <w:rFonts w:hint="eastAsia" w:ascii="宋体" w:hAnsi="宋体" w:eastAsia="黑体"/>
                <w:sz w:val="24"/>
                <w:szCs w:val="24"/>
              </w:rPr>
              <w:t>3.微小火灾，应先灭火。灭火迅速成功可不报警，但需上报按程序处理；灭火不成功应迅速报警。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240" w:lineRule="atLeast"/>
              <w:jc w:val="center"/>
              <w:rPr>
                <w:rFonts w:ascii="宋体" w:hAnsi="宋体" w:eastAsia="黑体"/>
                <w:sz w:val="24"/>
                <w:szCs w:val="24"/>
              </w:rPr>
            </w:pPr>
            <w:r>
              <w:rPr>
                <w:rFonts w:hint="eastAsia" w:ascii="宋体" w:hAnsi="宋体" w:eastAsia="黑体"/>
                <w:sz w:val="24"/>
                <w:szCs w:val="24"/>
              </w:rPr>
              <w:t>2.切断燃气</w:t>
            </w:r>
          </w:p>
        </w:tc>
        <w:tc>
          <w:tcPr>
            <w:tcW w:w="7367" w:type="dxa"/>
            <w:tcBorders>
              <w:top w:val="single" w:color="auto" w:sz="4" w:space="0"/>
              <w:left w:val="nil"/>
              <w:bottom w:val="single" w:color="auto" w:sz="4" w:space="0"/>
              <w:right w:val="single" w:color="auto" w:sz="4" w:space="0"/>
            </w:tcBorders>
          </w:tcPr>
          <w:p>
            <w:pPr>
              <w:spacing w:before="62" w:beforeLines="20" w:after="62" w:afterLines="20" w:line="240" w:lineRule="atLeast"/>
              <w:rPr>
                <w:rFonts w:ascii="宋体" w:hAnsi="宋体" w:eastAsia="黑体"/>
                <w:sz w:val="24"/>
                <w:szCs w:val="24"/>
              </w:rPr>
            </w:pPr>
            <w:r>
              <w:rPr>
                <w:rFonts w:hint="eastAsia" w:ascii="宋体" w:hAnsi="宋体" w:eastAsia="黑体"/>
                <w:sz w:val="24"/>
                <w:szCs w:val="24"/>
              </w:rPr>
              <w:t>同前述泄漏现场应急预案（只能在火灾区域外）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240" w:lineRule="atLeast"/>
              <w:jc w:val="center"/>
              <w:rPr>
                <w:rFonts w:ascii="宋体" w:hAnsi="宋体" w:eastAsia="黑体"/>
                <w:sz w:val="24"/>
                <w:szCs w:val="24"/>
              </w:rPr>
            </w:pPr>
            <w:r>
              <w:rPr>
                <w:rFonts w:hint="eastAsia" w:ascii="宋体" w:hAnsi="宋体" w:eastAsia="黑体"/>
                <w:sz w:val="24"/>
                <w:szCs w:val="24"/>
              </w:rPr>
              <w:t>3.初期灭火</w:t>
            </w:r>
          </w:p>
        </w:tc>
        <w:tc>
          <w:tcPr>
            <w:tcW w:w="7367" w:type="dxa"/>
            <w:tcBorders>
              <w:top w:val="single" w:color="auto" w:sz="4" w:space="0"/>
              <w:left w:val="nil"/>
              <w:bottom w:val="single" w:color="auto" w:sz="4" w:space="0"/>
              <w:right w:val="single" w:color="auto" w:sz="4" w:space="0"/>
            </w:tcBorders>
          </w:tcPr>
          <w:p>
            <w:pPr>
              <w:spacing w:before="62" w:beforeLines="20" w:line="240" w:lineRule="atLeast"/>
              <w:rPr>
                <w:rFonts w:ascii="宋体" w:hAnsi="宋体" w:eastAsia="黑体"/>
                <w:sz w:val="24"/>
                <w:szCs w:val="24"/>
              </w:rPr>
            </w:pPr>
            <w:r>
              <w:rPr>
                <w:rFonts w:hint="eastAsia" w:ascii="宋体" w:hAnsi="宋体" w:eastAsia="黑体"/>
                <w:sz w:val="24"/>
                <w:szCs w:val="24"/>
              </w:rPr>
              <w:t>1.利用站内灭火器材进行初期灭火（包括启动消防水）。</w:t>
            </w:r>
          </w:p>
          <w:p>
            <w:pPr>
              <w:spacing w:line="240" w:lineRule="atLeast"/>
              <w:rPr>
                <w:rFonts w:ascii="宋体" w:hAnsi="宋体" w:eastAsia="黑体"/>
                <w:sz w:val="24"/>
                <w:szCs w:val="24"/>
              </w:rPr>
            </w:pPr>
            <w:r>
              <w:rPr>
                <w:rFonts w:hint="eastAsia" w:ascii="宋体" w:hAnsi="宋体" w:eastAsia="黑体"/>
                <w:sz w:val="24"/>
                <w:szCs w:val="24"/>
              </w:rPr>
              <w:t>2.大量泄漏时，必须在关闭阀门后才能进行灭火。</w:t>
            </w:r>
          </w:p>
          <w:p>
            <w:pPr>
              <w:spacing w:after="62" w:afterLines="20" w:line="240" w:lineRule="atLeast"/>
              <w:rPr>
                <w:rFonts w:ascii="宋体" w:hAnsi="宋体" w:eastAsia="黑体"/>
                <w:sz w:val="24"/>
                <w:szCs w:val="24"/>
              </w:rPr>
            </w:pPr>
            <w:r>
              <w:rPr>
                <w:rFonts w:hint="eastAsia" w:ascii="宋体" w:hAnsi="宋体" w:eastAsia="黑体"/>
                <w:sz w:val="24"/>
                <w:szCs w:val="24"/>
              </w:rPr>
              <w:t>3.少量泄漏和微量泄漏时，可在安全的前提下（着火区域稳定，不靠近灼热区域等）先灭火或与关闭同时灭火。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240" w:lineRule="atLeast"/>
              <w:jc w:val="center"/>
              <w:rPr>
                <w:rFonts w:ascii="宋体" w:hAnsi="宋体" w:eastAsia="黑体"/>
                <w:sz w:val="24"/>
                <w:szCs w:val="24"/>
              </w:rPr>
            </w:pPr>
            <w:r>
              <w:rPr>
                <w:rFonts w:hint="eastAsia" w:ascii="宋体" w:hAnsi="宋体" w:eastAsia="黑体"/>
                <w:sz w:val="24"/>
                <w:szCs w:val="24"/>
              </w:rPr>
              <w:t>4.放散处置</w:t>
            </w:r>
          </w:p>
        </w:tc>
        <w:tc>
          <w:tcPr>
            <w:tcW w:w="7367" w:type="dxa"/>
            <w:tcBorders>
              <w:top w:val="single" w:color="auto" w:sz="4" w:space="0"/>
              <w:left w:val="nil"/>
              <w:bottom w:val="single" w:color="auto" w:sz="4" w:space="0"/>
              <w:right w:val="single" w:color="auto" w:sz="4" w:space="0"/>
            </w:tcBorders>
          </w:tcPr>
          <w:p>
            <w:pPr>
              <w:spacing w:before="62" w:beforeLines="20" w:after="62" w:afterLines="20" w:line="240" w:lineRule="atLeast"/>
              <w:rPr>
                <w:rFonts w:ascii="宋体" w:hAnsi="宋体" w:eastAsia="黑体"/>
                <w:sz w:val="24"/>
                <w:szCs w:val="24"/>
              </w:rPr>
            </w:pPr>
            <w:r>
              <w:rPr>
                <w:rFonts w:hint="eastAsia" w:ascii="宋体" w:hAnsi="宋体" w:eastAsia="黑体"/>
                <w:sz w:val="24"/>
                <w:szCs w:val="24"/>
              </w:rPr>
              <w:t>着火部位若需放散燃气且有实施条件，应按放散程序实施紧急放散降压。放散必须安全。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240" w:lineRule="atLeast"/>
              <w:jc w:val="center"/>
              <w:rPr>
                <w:rFonts w:ascii="宋体" w:hAnsi="宋体" w:eastAsia="黑体"/>
                <w:sz w:val="24"/>
                <w:szCs w:val="24"/>
              </w:rPr>
            </w:pPr>
            <w:r>
              <w:rPr>
                <w:rFonts w:hint="eastAsia" w:ascii="宋体" w:hAnsi="宋体" w:eastAsia="黑体"/>
                <w:sz w:val="24"/>
                <w:szCs w:val="24"/>
              </w:rPr>
              <w:t>5.撤离待援</w:t>
            </w:r>
          </w:p>
        </w:tc>
        <w:tc>
          <w:tcPr>
            <w:tcW w:w="7367" w:type="dxa"/>
            <w:tcBorders>
              <w:top w:val="single" w:color="auto" w:sz="4" w:space="0"/>
              <w:left w:val="nil"/>
              <w:bottom w:val="single" w:color="auto" w:sz="4" w:space="0"/>
              <w:right w:val="single" w:color="auto" w:sz="4" w:space="0"/>
            </w:tcBorders>
          </w:tcPr>
          <w:p>
            <w:pPr>
              <w:spacing w:before="62" w:beforeLines="20" w:after="62" w:afterLines="20" w:line="240" w:lineRule="atLeast"/>
              <w:rPr>
                <w:rFonts w:ascii="宋体" w:hAnsi="宋体" w:eastAsia="黑体"/>
                <w:sz w:val="24"/>
                <w:szCs w:val="24"/>
              </w:rPr>
            </w:pPr>
            <w:r>
              <w:rPr>
                <w:rFonts w:hint="eastAsia" w:ascii="宋体" w:hAnsi="宋体" w:eastAsia="黑体"/>
                <w:sz w:val="24"/>
                <w:szCs w:val="24"/>
              </w:rPr>
              <w:t>若为不可控火灾，应迅速撤离。等待消防队伍救援。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pPr>
              <w:spacing w:before="62" w:beforeLines="20" w:after="62" w:afterLines="20" w:line="240" w:lineRule="atLeast"/>
              <w:jc w:val="center"/>
              <w:rPr>
                <w:rFonts w:ascii="宋体" w:hAnsi="宋体" w:eastAsia="黑体"/>
                <w:sz w:val="24"/>
                <w:szCs w:val="24"/>
              </w:rPr>
            </w:pPr>
            <w:r>
              <w:rPr>
                <w:rFonts w:hint="eastAsia" w:ascii="宋体" w:hAnsi="宋体" w:eastAsia="黑体"/>
                <w:sz w:val="24"/>
                <w:szCs w:val="24"/>
              </w:rPr>
              <w:t>6.灭火后处置</w:t>
            </w:r>
          </w:p>
        </w:tc>
        <w:tc>
          <w:tcPr>
            <w:tcW w:w="7367" w:type="dxa"/>
            <w:tcBorders>
              <w:top w:val="single" w:color="auto" w:sz="4" w:space="0"/>
              <w:left w:val="nil"/>
              <w:bottom w:val="single" w:color="auto" w:sz="4" w:space="0"/>
              <w:right w:val="single" w:color="auto" w:sz="4" w:space="0"/>
            </w:tcBorders>
          </w:tcPr>
          <w:p>
            <w:pPr>
              <w:spacing w:before="62" w:beforeLines="20" w:line="240" w:lineRule="atLeast"/>
              <w:rPr>
                <w:rFonts w:ascii="宋体" w:hAnsi="宋体" w:eastAsia="黑体"/>
                <w:sz w:val="24"/>
                <w:szCs w:val="24"/>
              </w:rPr>
            </w:pPr>
            <w:r>
              <w:rPr>
                <w:rFonts w:hint="eastAsia" w:ascii="宋体" w:hAnsi="宋体" w:eastAsia="黑体"/>
                <w:sz w:val="24"/>
                <w:szCs w:val="24"/>
              </w:rPr>
              <w:t>1.灭火后应继续冷却原着火部位直至常温。</w:t>
            </w:r>
          </w:p>
          <w:p>
            <w:pPr>
              <w:spacing w:after="62" w:afterLines="20" w:line="240" w:lineRule="atLeast"/>
              <w:rPr>
                <w:rFonts w:ascii="宋体" w:hAnsi="宋体" w:eastAsia="黑体"/>
                <w:sz w:val="24"/>
                <w:szCs w:val="24"/>
              </w:rPr>
            </w:pPr>
            <w:r>
              <w:rPr>
                <w:rFonts w:hint="eastAsia" w:ascii="宋体" w:hAnsi="宋体" w:eastAsia="黑体"/>
                <w:sz w:val="24"/>
                <w:szCs w:val="24"/>
              </w:rPr>
              <w:t>2.若需放散若需放散燃气，应按放散程序经批准后放散。</w:t>
            </w:r>
          </w:p>
        </w:tc>
      </w:tr>
    </w:tbl>
    <w:p>
      <w:pPr>
        <w:pStyle w:val="7"/>
        <w:ind w:firstLine="643"/>
      </w:pPr>
      <w:bookmarkStart w:id="155" w:name="_Toc101798298"/>
      <w:r>
        <w:t>3</w:t>
      </w:r>
      <w:r>
        <w:rPr>
          <w:rFonts w:hint="eastAsia"/>
        </w:rPr>
        <w:t>.5应急保障</w:t>
      </w:r>
      <w:bookmarkEnd w:id="155"/>
    </w:p>
    <w:p>
      <w:pPr>
        <w:spacing w:after="0" w:line="560" w:lineRule="exact"/>
        <w:ind w:firstLine="560" w:firstLineChars="200"/>
        <w:rPr>
          <w:rFonts w:ascii="宋体" w:hAnsi="宋体" w:cs="宋体"/>
          <w:szCs w:val="24"/>
        </w:rPr>
      </w:pPr>
      <w:r>
        <w:rPr>
          <w:rFonts w:hint="eastAsia" w:ascii="宋体" w:hAnsi="宋体" w:cs="宋体"/>
          <w:szCs w:val="24"/>
        </w:rPr>
        <w:t>场站事故应急物资和装备根据应急救援的需求提出配置申请，按本企业相关规定采购和储备。必要时，对应急装备的使用应进行培训或组织演练，确保应急时应急装备的正确使用。日常应加强应急物资和装备的管理和维护。</w:t>
      </w:r>
    </w:p>
    <w:p>
      <w:pPr>
        <w:spacing w:after="0" w:line="560" w:lineRule="exact"/>
        <w:ind w:firstLine="560" w:firstLineChars="200"/>
        <w:rPr>
          <w:rFonts w:ascii="宋体" w:hAnsi="宋体" w:cs="宋体"/>
          <w:szCs w:val="24"/>
        </w:rPr>
      </w:pPr>
      <w:r>
        <w:rPr>
          <w:rFonts w:hint="eastAsia" w:ascii="宋体" w:hAnsi="宋体" w:cs="宋体"/>
          <w:szCs w:val="24"/>
        </w:rPr>
        <w:t>应急物资见附件4。</w:t>
      </w:r>
    </w:p>
    <w:p>
      <w:pPr>
        <w:ind w:firstLine="560"/>
      </w:pPr>
    </w:p>
    <w:p>
      <w:pPr>
        <w:pStyle w:val="19"/>
        <w:ind w:firstLine="420"/>
      </w:pPr>
    </w:p>
    <w:p>
      <w:pPr>
        <w:pStyle w:val="6"/>
      </w:pPr>
      <w:bookmarkStart w:id="156" w:name="_Toc78796046"/>
      <w:bookmarkStart w:id="157" w:name="_Toc101798299"/>
      <w:r>
        <w:t>4</w:t>
      </w:r>
      <w:r>
        <w:rPr>
          <w:rFonts w:hint="eastAsia"/>
        </w:rPr>
        <w:t xml:space="preserve"> 地震专项应急预案</w:t>
      </w:r>
      <w:bookmarkEnd w:id="156"/>
      <w:bookmarkEnd w:id="157"/>
    </w:p>
    <w:p>
      <w:pPr>
        <w:pStyle w:val="7"/>
        <w:spacing w:line="360" w:lineRule="auto"/>
        <w:ind w:firstLine="643"/>
        <w:rPr>
          <w:rFonts w:hAnsi="宋体"/>
        </w:rPr>
      </w:pPr>
      <w:bookmarkStart w:id="158" w:name="_Toc101798300"/>
      <w:bookmarkStart w:id="159" w:name="_Toc78796047"/>
      <w:r>
        <w:rPr>
          <w:rFonts w:hAnsi="宋体"/>
        </w:rPr>
        <w:t>4</w:t>
      </w:r>
      <w:r>
        <w:rPr>
          <w:rFonts w:hint="eastAsia" w:hAnsi="宋体"/>
        </w:rPr>
        <w:t>.1适用范围</w:t>
      </w:r>
      <w:bookmarkEnd w:id="158"/>
      <w:bookmarkEnd w:id="159"/>
    </w:p>
    <w:p>
      <w:pPr>
        <w:spacing w:after="0" w:line="560" w:lineRule="exact"/>
        <w:ind w:firstLine="560" w:firstLineChars="200"/>
        <w:rPr>
          <w:rFonts w:ascii="宋体" w:hAnsi="宋体" w:cs="宋体"/>
          <w:szCs w:val="24"/>
        </w:rPr>
      </w:pPr>
      <w:bookmarkStart w:id="160" w:name="_Toc24041"/>
      <w:r>
        <w:rPr>
          <w:rFonts w:hint="eastAsia" w:ascii="宋体" w:hAnsi="宋体" w:cs="宋体"/>
          <w:szCs w:val="24"/>
        </w:rPr>
        <w:t>本专项应急预案适用于本企业经营范围内发生地震后的相关应急处置及救援程序等。</w:t>
      </w:r>
      <w:bookmarkEnd w:id="160"/>
    </w:p>
    <w:p>
      <w:pPr>
        <w:pStyle w:val="7"/>
        <w:spacing w:line="360" w:lineRule="auto"/>
        <w:ind w:firstLine="643"/>
        <w:rPr>
          <w:rFonts w:hAnsi="宋体"/>
        </w:rPr>
      </w:pPr>
      <w:bookmarkStart w:id="161" w:name="_Toc78796048"/>
      <w:bookmarkStart w:id="162" w:name="_Toc101798301"/>
      <w:r>
        <w:rPr>
          <w:rFonts w:hAnsi="宋体"/>
        </w:rPr>
        <w:t>4</w:t>
      </w:r>
      <w:r>
        <w:rPr>
          <w:rFonts w:hint="eastAsia" w:hAnsi="宋体"/>
        </w:rPr>
        <w:t>.2应急指挥机构及职责</w:t>
      </w:r>
      <w:bookmarkEnd w:id="161"/>
      <w:bookmarkEnd w:id="162"/>
    </w:p>
    <w:p>
      <w:pPr>
        <w:spacing w:after="0" w:line="560" w:lineRule="exact"/>
        <w:ind w:firstLine="560" w:firstLineChars="200"/>
        <w:rPr>
          <w:rFonts w:ascii="宋体" w:hAnsi="宋体" w:cs="宋体"/>
          <w:szCs w:val="24"/>
        </w:rPr>
      </w:pPr>
      <w:bookmarkStart w:id="163" w:name="_Toc13726"/>
      <w:r>
        <w:rPr>
          <w:rFonts w:hint="eastAsia" w:ascii="宋体" w:hAnsi="宋体" w:cs="宋体"/>
          <w:szCs w:val="24"/>
        </w:rPr>
        <w:t>应急组织机构及职责与综合应急预案一致，见2章节。</w:t>
      </w:r>
    </w:p>
    <w:bookmarkEnd w:id="163"/>
    <w:p>
      <w:pPr>
        <w:pStyle w:val="7"/>
        <w:spacing w:line="360" w:lineRule="auto"/>
        <w:ind w:firstLine="643"/>
        <w:rPr>
          <w:rFonts w:hAnsi="宋体"/>
        </w:rPr>
      </w:pPr>
      <w:bookmarkStart w:id="164" w:name="_Toc78796049"/>
      <w:bookmarkStart w:id="165" w:name="_Toc101798302"/>
      <w:r>
        <w:rPr>
          <w:rFonts w:hAnsi="宋体"/>
        </w:rPr>
        <w:t>4</w:t>
      </w:r>
      <w:r>
        <w:rPr>
          <w:rFonts w:hint="eastAsia" w:hAnsi="宋体"/>
        </w:rPr>
        <w:t>.3响应启动</w:t>
      </w:r>
      <w:bookmarkEnd w:id="164"/>
      <w:bookmarkEnd w:id="165"/>
    </w:p>
    <w:p>
      <w:pPr>
        <w:spacing w:after="0" w:line="560" w:lineRule="exact"/>
        <w:ind w:firstLine="560" w:firstLineChars="200"/>
        <w:rPr>
          <w:rFonts w:ascii="宋体" w:hAnsi="宋体" w:cs="宋体"/>
          <w:szCs w:val="24"/>
        </w:rPr>
      </w:pPr>
      <w:r>
        <w:rPr>
          <w:rFonts w:hint="eastAsia" w:ascii="宋体" w:hAnsi="宋体" w:cs="宋体"/>
          <w:szCs w:val="24"/>
        </w:rPr>
        <w:t>响应启动内容与综合应急预案一致，见</w:t>
      </w:r>
      <w:r>
        <w:rPr>
          <w:rFonts w:ascii="宋体" w:hAnsi="宋体" w:cs="宋体"/>
          <w:szCs w:val="24"/>
        </w:rPr>
        <w:t>3.3</w:t>
      </w:r>
      <w:r>
        <w:rPr>
          <w:rFonts w:hint="eastAsia" w:ascii="宋体" w:hAnsi="宋体" w:cs="宋体"/>
          <w:szCs w:val="24"/>
        </w:rPr>
        <w:t>响应启动。</w:t>
      </w:r>
    </w:p>
    <w:p>
      <w:pPr>
        <w:pStyle w:val="7"/>
        <w:spacing w:line="360" w:lineRule="auto"/>
        <w:ind w:firstLine="643"/>
        <w:rPr>
          <w:rFonts w:hAnsi="宋体"/>
        </w:rPr>
      </w:pPr>
      <w:bookmarkStart w:id="166" w:name="_Toc78796050"/>
      <w:bookmarkStart w:id="167" w:name="_Toc101798303"/>
      <w:r>
        <w:rPr>
          <w:rFonts w:hAnsi="宋体"/>
        </w:rPr>
        <w:t>4</w:t>
      </w:r>
      <w:r>
        <w:rPr>
          <w:rFonts w:hint="eastAsia" w:hAnsi="宋体"/>
        </w:rPr>
        <w:t>.4应急处置措施</w:t>
      </w:r>
      <w:bookmarkEnd w:id="166"/>
      <w:bookmarkEnd w:id="167"/>
    </w:p>
    <w:p>
      <w:pPr>
        <w:spacing w:after="0" w:line="560" w:lineRule="exact"/>
        <w:ind w:firstLine="560" w:firstLineChars="200"/>
        <w:rPr>
          <w:rFonts w:ascii="宋体" w:hAnsi="宋体" w:cs="宋体"/>
          <w:szCs w:val="24"/>
        </w:rPr>
      </w:pPr>
      <w:bookmarkStart w:id="168" w:name="_Toc15791"/>
      <w:bookmarkStart w:id="169" w:name="_Toc18995"/>
      <w:r>
        <w:rPr>
          <w:rFonts w:ascii="宋体" w:hAnsi="宋体" w:cs="宋体"/>
          <w:szCs w:val="24"/>
        </w:rPr>
        <w:t>4</w:t>
      </w:r>
      <w:r>
        <w:rPr>
          <w:rFonts w:hint="eastAsia" w:ascii="宋体" w:hAnsi="宋体" w:cs="宋体"/>
          <w:szCs w:val="24"/>
        </w:rPr>
        <w:t>.4.1事故处置原则</w:t>
      </w:r>
      <w:bookmarkEnd w:id="168"/>
      <w:bookmarkEnd w:id="169"/>
    </w:p>
    <w:p>
      <w:pPr>
        <w:spacing w:after="0" w:line="560" w:lineRule="exact"/>
        <w:ind w:firstLine="560" w:firstLineChars="200"/>
        <w:rPr>
          <w:rFonts w:ascii="宋体" w:hAnsi="宋体" w:cs="宋体"/>
          <w:szCs w:val="24"/>
        </w:rPr>
      </w:pPr>
      <w:r>
        <w:rPr>
          <w:rFonts w:hint="eastAsia" w:ascii="宋体" w:hAnsi="宋体" w:cs="宋体"/>
          <w:szCs w:val="24"/>
        </w:rPr>
        <w:t>针对本企业经营范围内可能发生的地震自然灾害，遵循以人为本，生命至上的原则采取相应的应急措施。</w:t>
      </w:r>
    </w:p>
    <w:p>
      <w:pPr>
        <w:spacing w:after="0" w:line="560" w:lineRule="exact"/>
        <w:ind w:firstLine="560" w:firstLineChars="200"/>
        <w:rPr>
          <w:rFonts w:ascii="宋体" w:hAnsi="宋体" w:cs="宋体"/>
          <w:szCs w:val="24"/>
        </w:rPr>
      </w:pPr>
      <w:r>
        <w:rPr>
          <w:rFonts w:ascii="宋体" w:hAnsi="宋体" w:cs="宋体"/>
          <w:szCs w:val="24"/>
        </w:rPr>
        <w:t>4</w:t>
      </w:r>
      <w:r>
        <w:rPr>
          <w:rFonts w:hint="eastAsia" w:ascii="宋体" w:hAnsi="宋体" w:cs="宋体"/>
          <w:szCs w:val="24"/>
        </w:rPr>
        <w:t>.4.2处置措施</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1）人员逃生与疏散</w:t>
      </w:r>
    </w:p>
    <w:p>
      <w:pPr>
        <w:spacing w:after="0" w:line="560" w:lineRule="exact"/>
        <w:ind w:firstLine="560" w:firstLineChars="200"/>
        <w:rPr>
          <w:rFonts w:ascii="宋体" w:hAnsi="宋体" w:cs="宋体"/>
          <w:szCs w:val="24"/>
        </w:rPr>
      </w:pPr>
      <w:r>
        <w:rPr>
          <w:rFonts w:hint="eastAsia" w:ascii="宋体" w:hAnsi="宋体" w:cs="宋体"/>
          <w:szCs w:val="24"/>
        </w:rPr>
        <w:t>地震时人的生命是最重要的。地震突然发生时，要第一时间沿安全通道有持续的撤离到室外安全区域，千万不要乘坐电梯，不可盲目跳楼。相对安全时，可考虑用绳索（没有绳索用撕开的衣服等连成绳索）通过窗口、阳台下滑到下面楼层，再寻找安全通道逃生。在没有逃生机会的情况下，在重心较低、且结实牢固的桌子下面躲避，并紧紧抓牢桌子腿。在没有桌子等可供藏身的场合，也要用坐垫等物保护好头部。</w:t>
      </w:r>
    </w:p>
    <w:p>
      <w:pPr>
        <w:spacing w:after="0" w:line="560" w:lineRule="exact"/>
        <w:ind w:firstLine="560" w:firstLineChars="200"/>
        <w:rPr>
          <w:rFonts w:ascii="宋体" w:hAnsi="宋体" w:cs="宋体"/>
          <w:szCs w:val="24"/>
        </w:rPr>
      </w:pPr>
      <w:r>
        <w:rPr>
          <w:rFonts w:hint="eastAsia" w:ascii="宋体" w:hAnsi="宋体" w:cs="宋体"/>
          <w:szCs w:val="24"/>
        </w:rPr>
        <w:t>在建筑中遭遇地震，可从阳台或临街的窗口向外部发出求救信号，比如白天挥动鲜艳的物品、向楼下抛物、击打东西发出声响，夜间可用发光的手电、应急灯等。</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2）人员救护</w:t>
      </w:r>
    </w:p>
    <w:p>
      <w:pPr>
        <w:spacing w:after="0" w:line="560" w:lineRule="exact"/>
        <w:ind w:firstLine="560" w:firstLineChars="200"/>
        <w:rPr>
          <w:rFonts w:ascii="宋体" w:hAnsi="宋体" w:cs="宋体"/>
          <w:szCs w:val="24"/>
        </w:rPr>
      </w:pPr>
      <w:r>
        <w:rPr>
          <w:rFonts w:hint="eastAsia" w:ascii="宋体" w:hAnsi="宋体" w:cs="宋体"/>
          <w:szCs w:val="24"/>
        </w:rPr>
        <w:t>逃生人员在确保自身安全的前提下，要第一时间开展自救与互救。等待相关救援队伍赶到后，配合开展救援。各部门要迅速查清职工伤亡情况，及时上报。在政府专业机构指导下，协助做好医疗救护和开展防疫工作。</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3）应急指挥部现场处置</w:t>
      </w:r>
    </w:p>
    <w:p>
      <w:pPr>
        <w:spacing w:after="0" w:line="560" w:lineRule="exact"/>
        <w:ind w:firstLine="560" w:firstLineChars="200"/>
        <w:rPr>
          <w:rFonts w:ascii="宋体" w:hAnsi="宋体" w:cs="宋体"/>
          <w:szCs w:val="24"/>
        </w:rPr>
      </w:pPr>
      <w:r>
        <w:rPr>
          <w:rFonts w:ascii="宋体" w:hAnsi="宋体" w:cs="宋体"/>
          <w:szCs w:val="24"/>
        </w:rPr>
        <w:t>1）沟通汇集并及时上报信息，包括地震破坏、人员伤亡和救援行动进展情况；</w:t>
      </w:r>
    </w:p>
    <w:p>
      <w:pPr>
        <w:spacing w:after="0" w:line="560" w:lineRule="exact"/>
        <w:ind w:firstLine="560" w:firstLineChars="200"/>
        <w:rPr>
          <w:rFonts w:ascii="宋体" w:hAnsi="宋体" w:cs="宋体"/>
          <w:szCs w:val="24"/>
        </w:rPr>
      </w:pPr>
      <w:r>
        <w:rPr>
          <w:rFonts w:ascii="宋体" w:hAnsi="宋体" w:cs="宋体"/>
          <w:szCs w:val="24"/>
        </w:rPr>
        <w:t>2）分配救援任务、划分责任区域，协调各级各类救援队伍的行动；</w:t>
      </w:r>
    </w:p>
    <w:p>
      <w:pPr>
        <w:spacing w:after="0" w:line="560" w:lineRule="exact"/>
        <w:ind w:firstLine="560" w:firstLineChars="200"/>
        <w:rPr>
          <w:rFonts w:ascii="宋体" w:hAnsi="宋体" w:cs="宋体"/>
          <w:szCs w:val="24"/>
        </w:rPr>
      </w:pPr>
      <w:r>
        <w:rPr>
          <w:rFonts w:ascii="宋体" w:hAnsi="宋体" w:cs="宋体"/>
          <w:szCs w:val="24"/>
        </w:rPr>
        <w:t>3）查明次生灾害危害或威胁；组织力量加以消除危害后果；</w:t>
      </w:r>
    </w:p>
    <w:p>
      <w:pPr>
        <w:spacing w:after="0" w:line="560" w:lineRule="exact"/>
        <w:ind w:firstLine="560" w:firstLineChars="200"/>
        <w:rPr>
          <w:rFonts w:ascii="宋体" w:hAnsi="宋体" w:cs="宋体"/>
          <w:szCs w:val="24"/>
        </w:rPr>
      </w:pPr>
      <w:r>
        <w:rPr>
          <w:rFonts w:ascii="宋体" w:hAnsi="宋体" w:cs="宋体"/>
          <w:szCs w:val="24"/>
        </w:rPr>
        <w:t>4）组织采取防御措施，必要时采取管制、切断气源、疏散员工等非常措施；</w:t>
      </w:r>
    </w:p>
    <w:p>
      <w:pPr>
        <w:spacing w:after="0" w:line="560" w:lineRule="exact"/>
        <w:ind w:firstLine="560" w:firstLineChars="200"/>
        <w:rPr>
          <w:rFonts w:ascii="宋体" w:hAnsi="宋体" w:cs="宋体"/>
          <w:szCs w:val="24"/>
        </w:rPr>
      </w:pPr>
      <w:r>
        <w:rPr>
          <w:rFonts w:ascii="宋体" w:hAnsi="宋体" w:cs="宋体"/>
          <w:szCs w:val="24"/>
        </w:rPr>
        <w:t>5）组织协调开展供气检查、抢险、维修恢复工作；</w:t>
      </w:r>
    </w:p>
    <w:p>
      <w:pPr>
        <w:spacing w:after="0" w:line="560" w:lineRule="exact"/>
        <w:ind w:firstLine="560" w:firstLineChars="200"/>
        <w:rPr>
          <w:rFonts w:ascii="宋体" w:hAnsi="宋体" w:cs="宋体"/>
          <w:szCs w:val="24"/>
        </w:rPr>
      </w:pPr>
      <w:r>
        <w:rPr>
          <w:rFonts w:ascii="宋体" w:hAnsi="宋体" w:cs="宋体"/>
          <w:szCs w:val="24"/>
        </w:rPr>
        <w:t>6）估计救灾需求，组织援助物资的接收与分配；</w:t>
      </w:r>
    </w:p>
    <w:p>
      <w:pPr>
        <w:spacing w:after="0" w:line="560" w:lineRule="exact"/>
        <w:ind w:firstLine="560" w:firstLineChars="200"/>
        <w:rPr>
          <w:rFonts w:ascii="宋体" w:hAnsi="宋体" w:cs="宋体"/>
          <w:szCs w:val="24"/>
        </w:rPr>
      </w:pPr>
      <w:r>
        <w:rPr>
          <w:rFonts w:ascii="宋体" w:hAnsi="宋体" w:cs="宋体"/>
          <w:szCs w:val="24"/>
        </w:rPr>
        <w:t>7）组织灾害损失评估工作。</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4</w:t>
      </w:r>
      <w:r>
        <w:rPr>
          <w:rFonts w:hint="eastAsia" w:ascii="宋体" w:hAnsi="宋体" w:cs="宋体"/>
          <w:szCs w:val="24"/>
        </w:rPr>
        <w:t>）供气抢险与恢复</w:t>
      </w:r>
    </w:p>
    <w:p>
      <w:pPr>
        <w:spacing w:after="0" w:line="560" w:lineRule="exact"/>
        <w:ind w:firstLine="560" w:firstLineChars="200"/>
        <w:rPr>
          <w:rFonts w:ascii="宋体" w:hAnsi="宋体" w:cs="宋体"/>
          <w:szCs w:val="24"/>
        </w:rPr>
      </w:pPr>
      <w:r>
        <w:rPr>
          <w:rFonts w:ascii="宋体" w:hAnsi="宋体" w:cs="宋体"/>
          <w:szCs w:val="24"/>
        </w:rPr>
        <w:t>1）</w:t>
      </w:r>
      <w:r>
        <w:rPr>
          <w:rFonts w:hint="eastAsia" w:ascii="宋体" w:hAnsi="宋体" w:cs="宋体"/>
          <w:color w:val="000000" w:themeColor="text1"/>
          <w:szCs w:val="24"/>
          <w14:textFill>
            <w14:solidFill>
              <w14:schemeClr w14:val="tx1"/>
            </w14:solidFill>
          </w14:textFill>
        </w:rPr>
        <w:t>负有</w:t>
      </w:r>
      <w:r>
        <w:rPr>
          <w:rFonts w:ascii="宋体" w:hAnsi="宋体" w:cs="宋体"/>
          <w:color w:val="000000" w:themeColor="text1"/>
          <w:szCs w:val="24"/>
          <w14:textFill>
            <w14:solidFill>
              <w14:schemeClr w14:val="tx1"/>
            </w14:solidFill>
          </w14:textFill>
        </w:rPr>
        <w:t>供气</w:t>
      </w:r>
      <w:r>
        <w:rPr>
          <w:rFonts w:hint="eastAsia" w:ascii="宋体" w:hAnsi="宋体" w:cs="宋体"/>
          <w:color w:val="000000" w:themeColor="text1"/>
          <w:szCs w:val="24"/>
          <w14:textFill>
            <w14:solidFill>
              <w14:schemeClr w14:val="tx1"/>
            </w14:solidFill>
          </w14:textFill>
        </w:rPr>
        <w:t>职责的</w:t>
      </w:r>
      <w:r>
        <w:rPr>
          <w:rFonts w:ascii="宋体" w:hAnsi="宋体" w:cs="宋体"/>
          <w:color w:val="000000" w:themeColor="text1"/>
          <w:szCs w:val="24"/>
          <w14:textFill>
            <w14:solidFill>
              <w14:schemeClr w14:val="tx1"/>
            </w14:solidFill>
          </w14:textFill>
        </w:rPr>
        <w:t>部门迅</w:t>
      </w:r>
      <w:r>
        <w:rPr>
          <w:rFonts w:ascii="宋体" w:hAnsi="宋体" w:cs="宋体"/>
          <w:szCs w:val="24"/>
        </w:rPr>
        <w:t>速查清供气设施、设备损坏情况，组织抢修队伍，调集抢修物资，指挥开展供气设备、设施的抢修工作，尽快恢复设备运行和天然气供气。</w:t>
      </w:r>
    </w:p>
    <w:p>
      <w:pPr>
        <w:spacing w:after="0" w:line="560" w:lineRule="exact"/>
        <w:ind w:firstLine="560" w:firstLineChars="200"/>
        <w:rPr>
          <w:rFonts w:ascii="宋体" w:hAnsi="宋体" w:cs="宋体"/>
          <w:szCs w:val="24"/>
        </w:rPr>
      </w:pPr>
      <w:r>
        <w:rPr>
          <w:rFonts w:ascii="宋体" w:hAnsi="宋体" w:cs="宋体"/>
          <w:szCs w:val="24"/>
        </w:rPr>
        <w:t>2）</w:t>
      </w:r>
      <w:r>
        <w:rPr>
          <w:rFonts w:hint="eastAsia" w:ascii="宋体" w:hAnsi="宋体" w:cs="宋体"/>
          <w:szCs w:val="24"/>
        </w:rPr>
        <w:t>负有</w:t>
      </w:r>
      <w:r>
        <w:rPr>
          <w:rFonts w:ascii="宋体" w:hAnsi="宋体" w:cs="宋体"/>
          <w:szCs w:val="24"/>
        </w:rPr>
        <w:t>调度</w:t>
      </w:r>
      <w:r>
        <w:rPr>
          <w:rFonts w:hint="eastAsia" w:ascii="宋体" w:hAnsi="宋体" w:cs="宋体"/>
          <w:szCs w:val="24"/>
        </w:rPr>
        <w:t>职责的</w:t>
      </w:r>
      <w:r>
        <w:rPr>
          <w:rFonts w:ascii="宋体" w:hAnsi="宋体" w:cs="宋体"/>
          <w:szCs w:val="24"/>
        </w:rPr>
        <w:t>部门根据震情和燃气设施受破坏情况，发布气源调度、管制、切断等相关指令。加强与上游气源单位联系，合理调度组织气源。迅速恢复供气。</w:t>
      </w:r>
      <w:r>
        <w:rPr>
          <w:rFonts w:hint="eastAsia" w:ascii="宋体" w:hAnsi="宋体" w:cs="宋体"/>
          <w:szCs w:val="24"/>
        </w:rPr>
        <w:t>负有</w:t>
      </w:r>
      <w:r>
        <w:rPr>
          <w:rFonts w:ascii="宋体" w:hAnsi="宋体" w:cs="宋体"/>
          <w:szCs w:val="24"/>
        </w:rPr>
        <w:t>供气</w:t>
      </w:r>
      <w:r>
        <w:rPr>
          <w:rFonts w:hint="eastAsia" w:ascii="宋体" w:hAnsi="宋体" w:cs="宋体"/>
          <w:szCs w:val="24"/>
        </w:rPr>
        <w:t>职责的</w:t>
      </w:r>
      <w:r>
        <w:rPr>
          <w:rFonts w:ascii="宋体" w:hAnsi="宋体" w:cs="宋体"/>
          <w:szCs w:val="24"/>
        </w:rPr>
        <w:t>部门做好停气和恢复供气的操作及用户通知工作。</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5） 物资供应</w:t>
      </w:r>
    </w:p>
    <w:p>
      <w:pPr>
        <w:spacing w:after="0" w:line="560" w:lineRule="exact"/>
        <w:ind w:firstLine="560" w:firstLineChars="200"/>
        <w:rPr>
          <w:rFonts w:ascii="宋体" w:hAnsi="宋体" w:cs="宋体"/>
          <w:szCs w:val="24"/>
        </w:rPr>
      </w:pPr>
      <w:r>
        <w:rPr>
          <w:rFonts w:hint="eastAsia" w:ascii="宋体" w:hAnsi="宋体" w:cs="宋体"/>
          <w:szCs w:val="24"/>
        </w:rPr>
        <w:t>负有物资供应职责部门迅速掌握本企业抢险物资需求，及时向抢险部门调集、运输抢修设备和所需应急物资。</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6） 保卫与消防</w:t>
      </w:r>
    </w:p>
    <w:p>
      <w:pPr>
        <w:spacing w:after="0" w:line="560" w:lineRule="exact"/>
        <w:ind w:firstLine="560" w:firstLineChars="200"/>
        <w:rPr>
          <w:rFonts w:ascii="宋体" w:hAnsi="宋体" w:cs="宋体"/>
          <w:szCs w:val="24"/>
        </w:rPr>
      </w:pPr>
      <w:r>
        <w:rPr>
          <w:rFonts w:hint="eastAsia" w:ascii="宋体" w:hAnsi="宋体" w:cs="宋体"/>
          <w:szCs w:val="24"/>
        </w:rPr>
        <w:t>负有安全保卫职责的部门迅速组织治安保卫人员，做好本企业区域及供气设施的保卫工作，保障救援队伍、物资运输和人群疏散的交通畅通。协助公安部门预防和打击各种违法犯罪活动。对各类危险物质、火灾因素等落实防范措施，避免发生不必要的伤害。</w:t>
      </w:r>
    </w:p>
    <w:p>
      <w:pPr>
        <w:spacing w:after="0" w:line="560" w:lineRule="exact"/>
        <w:ind w:firstLine="560" w:firstLineChars="200"/>
        <w:rPr>
          <w:rFonts w:ascii="宋体" w:hAnsi="宋体" w:cs="宋体"/>
          <w:szCs w:val="24"/>
        </w:rPr>
      </w:pPr>
      <w:r>
        <w:rPr>
          <w:rFonts w:hint="eastAsia" w:ascii="宋体" w:hAnsi="宋体" w:cs="宋体"/>
          <w:szCs w:val="24"/>
        </w:rPr>
        <w:t>（</w:t>
      </w:r>
      <w:r>
        <w:rPr>
          <w:rFonts w:ascii="宋体" w:hAnsi="宋体" w:cs="宋体"/>
          <w:szCs w:val="24"/>
        </w:rPr>
        <w:t>7） 信息发布</w:t>
      </w:r>
    </w:p>
    <w:p>
      <w:pPr>
        <w:spacing w:after="0" w:line="560" w:lineRule="exact"/>
        <w:ind w:firstLine="560" w:firstLineChars="200"/>
        <w:rPr>
          <w:rFonts w:ascii="宋体" w:hAnsi="宋体" w:cs="宋体"/>
          <w:szCs w:val="24"/>
        </w:rPr>
      </w:pPr>
      <w:r>
        <w:rPr>
          <w:rFonts w:hint="eastAsia" w:ascii="宋体" w:hAnsi="宋体" w:cs="宋体"/>
          <w:szCs w:val="24"/>
        </w:rPr>
        <w:t>信息的发布由指挥部决定发布方式、内容和范围，指挥部办公室、联络组负责发布的具体事宜，有关部门参加。任何部门和个人未经领导小组同意，不得擅自发布相关信息。</w:t>
      </w:r>
    </w:p>
    <w:p>
      <w:pPr>
        <w:ind w:firstLine="560" w:firstLineChars="200"/>
        <w:rPr>
          <w:rFonts w:ascii="仿宋_GB2312" w:hAnsi="宋体" w:eastAsia="仿宋_GB2312"/>
          <w:szCs w:val="28"/>
        </w:rPr>
      </w:pPr>
    </w:p>
    <w:p>
      <w:pPr>
        <w:pStyle w:val="7"/>
        <w:spacing w:line="360" w:lineRule="auto"/>
        <w:ind w:firstLine="643"/>
        <w:rPr>
          <w:rFonts w:hAnsi="宋体"/>
        </w:rPr>
      </w:pPr>
      <w:bookmarkStart w:id="170" w:name="_Toc78796051"/>
      <w:bookmarkStart w:id="171" w:name="_Toc101798304"/>
      <w:r>
        <w:rPr>
          <w:rFonts w:hAnsi="宋体"/>
        </w:rPr>
        <w:t>4</w:t>
      </w:r>
      <w:r>
        <w:rPr>
          <w:rFonts w:hint="eastAsia" w:hAnsi="宋体"/>
        </w:rPr>
        <w:t>.5应急保障</w:t>
      </w:r>
      <w:bookmarkEnd w:id="170"/>
      <w:bookmarkEnd w:id="171"/>
    </w:p>
    <w:p>
      <w:pPr>
        <w:spacing w:after="0" w:line="560" w:lineRule="exact"/>
        <w:ind w:firstLine="560" w:firstLineChars="200"/>
        <w:rPr>
          <w:rFonts w:ascii="宋体" w:hAnsi="宋体" w:cs="宋体"/>
          <w:szCs w:val="24"/>
        </w:rPr>
      </w:pPr>
      <w:r>
        <w:rPr>
          <w:rFonts w:hint="eastAsia" w:ascii="宋体" w:hAnsi="宋体" w:cs="宋体"/>
          <w:szCs w:val="24"/>
        </w:rPr>
        <w:t>地震灾害应急装备根据应急救援的需求提出配置申请，按本企业相关规定采购和储备。必要时，对应急装备的使用应进行培训或组织演练，确保应急时应急装备的正确使用。日常应加强应急物资和装备的管理和维护。</w:t>
      </w:r>
    </w:p>
    <w:p>
      <w:pPr>
        <w:pStyle w:val="19"/>
        <w:ind w:firstLine="420"/>
      </w:pPr>
    </w:p>
    <w:p>
      <w:pPr>
        <w:pStyle w:val="19"/>
        <w:ind w:firstLine="420"/>
      </w:pPr>
    </w:p>
    <w:p>
      <w:pPr>
        <w:pStyle w:val="6"/>
      </w:pPr>
      <w:bookmarkStart w:id="172" w:name="_Toc78796058"/>
      <w:bookmarkStart w:id="173" w:name="_Toc101798305"/>
      <w:r>
        <w:t>5</w:t>
      </w:r>
      <w:r>
        <w:rPr>
          <w:rFonts w:hint="eastAsia"/>
        </w:rPr>
        <w:t>防洪抗汛专项应急预案</w:t>
      </w:r>
      <w:bookmarkEnd w:id="172"/>
      <w:bookmarkEnd w:id="173"/>
    </w:p>
    <w:p>
      <w:pPr>
        <w:pStyle w:val="7"/>
        <w:spacing w:line="360" w:lineRule="auto"/>
        <w:ind w:firstLine="562"/>
        <w:rPr>
          <w:rFonts w:hAnsi="宋体"/>
          <w:szCs w:val="28"/>
        </w:rPr>
      </w:pPr>
      <w:bookmarkStart w:id="174" w:name="_Toc101798306"/>
      <w:bookmarkStart w:id="175" w:name="_Toc78796059"/>
      <w:r>
        <w:rPr>
          <w:rFonts w:hAnsi="宋体"/>
          <w:szCs w:val="28"/>
        </w:rPr>
        <w:t>5</w:t>
      </w:r>
      <w:r>
        <w:rPr>
          <w:rFonts w:hint="eastAsia" w:hAnsi="宋体"/>
          <w:szCs w:val="28"/>
        </w:rPr>
        <w:t>.1适用范围</w:t>
      </w:r>
      <w:bookmarkEnd w:id="174"/>
      <w:bookmarkEnd w:id="175"/>
    </w:p>
    <w:p>
      <w:pPr>
        <w:spacing w:line="360" w:lineRule="auto"/>
        <w:ind w:firstLine="560" w:firstLineChars="200"/>
        <w:rPr>
          <w:rFonts w:ascii="宋体" w:hAnsi="宋体" w:cs="宋体"/>
          <w:szCs w:val="24"/>
        </w:rPr>
      </w:pPr>
      <w:r>
        <w:rPr>
          <w:rFonts w:hint="eastAsia" w:ascii="宋体" w:hAnsi="宋体" w:cs="宋体"/>
          <w:szCs w:val="24"/>
        </w:rPr>
        <w:t>本专项应急预案适用于本企业经营范围内发生的洪涝灾害的相关应急处置及救援程序等，是本企业综合预案的组成部分。</w:t>
      </w:r>
    </w:p>
    <w:p>
      <w:pPr>
        <w:pStyle w:val="7"/>
        <w:spacing w:line="360" w:lineRule="auto"/>
        <w:ind w:firstLine="562"/>
        <w:rPr>
          <w:rFonts w:hAnsi="宋体"/>
          <w:szCs w:val="28"/>
        </w:rPr>
      </w:pPr>
      <w:bookmarkStart w:id="176" w:name="_Toc101798307"/>
      <w:bookmarkStart w:id="177" w:name="_Toc78796060"/>
      <w:r>
        <w:rPr>
          <w:rFonts w:hAnsi="宋体"/>
          <w:szCs w:val="28"/>
        </w:rPr>
        <w:t>5</w:t>
      </w:r>
      <w:r>
        <w:rPr>
          <w:rFonts w:hint="eastAsia" w:hAnsi="宋体"/>
          <w:szCs w:val="28"/>
        </w:rPr>
        <w:t>.2应急指挥机构及职责</w:t>
      </w:r>
      <w:bookmarkEnd w:id="176"/>
      <w:bookmarkEnd w:id="177"/>
    </w:p>
    <w:p>
      <w:pPr>
        <w:spacing w:line="360" w:lineRule="auto"/>
        <w:ind w:firstLine="560" w:firstLineChars="200"/>
        <w:rPr>
          <w:rFonts w:ascii="宋体" w:hAnsi="宋体" w:cs="宋体"/>
          <w:szCs w:val="24"/>
        </w:rPr>
      </w:pPr>
      <w:r>
        <w:rPr>
          <w:rFonts w:hint="eastAsia" w:ascii="宋体" w:hAnsi="宋体" w:cs="宋体"/>
          <w:szCs w:val="24"/>
        </w:rPr>
        <w:t>应急组织机构及职责与综合应急预案一致，见2章节。</w:t>
      </w:r>
    </w:p>
    <w:p>
      <w:pPr>
        <w:pStyle w:val="7"/>
        <w:spacing w:line="360" w:lineRule="auto"/>
        <w:ind w:firstLine="643"/>
        <w:rPr>
          <w:rFonts w:hAnsi="宋体"/>
        </w:rPr>
      </w:pPr>
      <w:bookmarkStart w:id="178" w:name="_Toc101798308"/>
      <w:bookmarkStart w:id="179" w:name="_Toc78796061"/>
      <w:r>
        <w:rPr>
          <w:rFonts w:hAnsi="宋体"/>
        </w:rPr>
        <w:t>5</w:t>
      </w:r>
      <w:r>
        <w:rPr>
          <w:rFonts w:hint="eastAsia" w:hAnsi="宋体"/>
        </w:rPr>
        <w:t>.3响应启动</w:t>
      </w:r>
      <w:bookmarkEnd w:id="178"/>
      <w:bookmarkEnd w:id="179"/>
    </w:p>
    <w:p>
      <w:pPr>
        <w:spacing w:line="360" w:lineRule="auto"/>
        <w:ind w:firstLine="560" w:firstLineChars="200"/>
        <w:rPr>
          <w:rFonts w:ascii="宋体" w:hAnsi="宋体" w:cs="宋体"/>
          <w:szCs w:val="24"/>
        </w:rPr>
      </w:pPr>
      <w:r>
        <w:rPr>
          <w:rFonts w:hint="eastAsia" w:ascii="宋体" w:hAnsi="宋体" w:cs="宋体"/>
          <w:szCs w:val="24"/>
        </w:rPr>
        <w:t>响应启动内容与综合应急预案一致，见3.3响应启动。</w:t>
      </w:r>
    </w:p>
    <w:p>
      <w:pPr>
        <w:pStyle w:val="7"/>
        <w:spacing w:line="360" w:lineRule="auto"/>
        <w:ind w:firstLine="643"/>
        <w:rPr>
          <w:rFonts w:hAnsi="宋体"/>
        </w:rPr>
      </w:pPr>
      <w:bookmarkStart w:id="180" w:name="_Toc101798309"/>
      <w:bookmarkStart w:id="181" w:name="_Toc78796062"/>
      <w:r>
        <w:rPr>
          <w:rFonts w:hAnsi="宋体"/>
        </w:rPr>
        <w:t>5</w:t>
      </w:r>
      <w:r>
        <w:rPr>
          <w:rFonts w:hint="eastAsia" w:hAnsi="宋体"/>
        </w:rPr>
        <w:t>.4应急处置措施</w:t>
      </w:r>
      <w:bookmarkEnd w:id="180"/>
      <w:bookmarkEnd w:id="181"/>
    </w:p>
    <w:p>
      <w:pPr>
        <w:spacing w:line="360" w:lineRule="auto"/>
        <w:ind w:firstLine="560" w:firstLineChars="200"/>
        <w:rPr>
          <w:rFonts w:ascii="宋体" w:hAnsi="宋体" w:cs="宋体"/>
          <w:szCs w:val="24"/>
        </w:rPr>
      </w:pPr>
      <w:bookmarkStart w:id="182" w:name="_Toc10821"/>
      <w:r>
        <w:rPr>
          <w:rFonts w:ascii="宋体" w:hAnsi="宋体" w:cs="宋体"/>
          <w:szCs w:val="24"/>
        </w:rPr>
        <w:t>5</w:t>
      </w:r>
      <w:r>
        <w:rPr>
          <w:rFonts w:hint="eastAsia" w:ascii="宋体" w:hAnsi="宋体" w:cs="宋体"/>
          <w:szCs w:val="24"/>
        </w:rPr>
        <w:t>.4.1事故处置原则</w:t>
      </w:r>
      <w:bookmarkEnd w:id="182"/>
    </w:p>
    <w:p>
      <w:pPr>
        <w:spacing w:line="360" w:lineRule="auto"/>
        <w:ind w:firstLine="560" w:firstLineChars="200"/>
        <w:rPr>
          <w:rFonts w:ascii="宋体" w:hAnsi="宋体" w:cs="宋体"/>
          <w:szCs w:val="24"/>
        </w:rPr>
      </w:pPr>
      <w:r>
        <w:rPr>
          <w:rFonts w:hint="eastAsia" w:ascii="宋体" w:hAnsi="宋体" w:cs="宋体"/>
          <w:szCs w:val="24"/>
        </w:rPr>
        <w:t>针对本企业可能发生的洪涝灾害，遵循以人为本，生命至上的原则采取相应的应急措施。</w:t>
      </w:r>
    </w:p>
    <w:p>
      <w:pPr>
        <w:spacing w:after="0" w:line="360" w:lineRule="auto"/>
        <w:ind w:firstLine="560" w:firstLineChars="200"/>
        <w:rPr>
          <w:rFonts w:ascii="宋体" w:hAnsi="宋体" w:cs="宋体"/>
          <w:szCs w:val="24"/>
        </w:rPr>
      </w:pPr>
      <w:r>
        <w:rPr>
          <w:rFonts w:ascii="宋体" w:hAnsi="宋体" w:cs="宋体"/>
          <w:szCs w:val="24"/>
        </w:rPr>
        <w:t>5</w:t>
      </w:r>
      <w:r>
        <w:rPr>
          <w:rFonts w:hint="eastAsia" w:ascii="宋体" w:hAnsi="宋体" w:cs="宋体"/>
          <w:szCs w:val="24"/>
        </w:rPr>
        <w:t>.4.2处置措施</w:t>
      </w:r>
    </w:p>
    <w:p>
      <w:pPr>
        <w:spacing w:after="0" w:line="360" w:lineRule="auto"/>
        <w:ind w:firstLine="560" w:firstLineChars="200"/>
        <w:rPr>
          <w:rFonts w:ascii="宋体" w:hAnsi="宋体" w:cs="宋体"/>
          <w:szCs w:val="24"/>
        </w:rPr>
      </w:pPr>
      <w:r>
        <w:rPr>
          <w:rFonts w:ascii="宋体" w:hAnsi="宋体" w:cs="宋体"/>
          <w:szCs w:val="24"/>
        </w:rPr>
        <w:t>1、</w:t>
      </w:r>
      <w:r>
        <w:rPr>
          <w:rFonts w:hint="eastAsia" w:ascii="宋体" w:hAnsi="宋体" w:cs="宋体"/>
          <w:szCs w:val="24"/>
        </w:rPr>
        <w:t>应急指挥部现场处置</w:t>
      </w:r>
    </w:p>
    <w:p>
      <w:pPr>
        <w:spacing w:after="0" w:line="360" w:lineRule="auto"/>
        <w:ind w:firstLine="560" w:firstLineChars="200"/>
        <w:rPr>
          <w:rFonts w:ascii="宋体" w:hAnsi="宋体" w:cs="宋体"/>
          <w:szCs w:val="24"/>
        </w:rPr>
      </w:pPr>
      <w:r>
        <w:rPr>
          <w:rFonts w:hint="eastAsia" w:ascii="宋体" w:hAnsi="宋体" w:cs="宋体"/>
          <w:szCs w:val="24"/>
        </w:rPr>
        <w:t>（</w:t>
      </w:r>
      <w:r>
        <w:rPr>
          <w:rFonts w:ascii="宋体" w:hAnsi="宋体" w:cs="宋体"/>
          <w:szCs w:val="24"/>
        </w:rPr>
        <w:t>1）</w:t>
      </w:r>
      <w:r>
        <w:rPr>
          <w:rFonts w:hint="eastAsia" w:ascii="宋体" w:hAnsi="宋体" w:cs="宋体"/>
          <w:szCs w:val="24"/>
        </w:rPr>
        <w:t>沟通汇集并及时上报信息，包括洪灾破坏、人员伤亡和救援行动进展情况；</w:t>
      </w:r>
    </w:p>
    <w:p>
      <w:pPr>
        <w:spacing w:after="0" w:line="360" w:lineRule="auto"/>
        <w:ind w:firstLine="560" w:firstLineChars="200"/>
        <w:rPr>
          <w:rFonts w:ascii="宋体" w:hAnsi="宋体" w:cs="宋体"/>
          <w:szCs w:val="24"/>
        </w:rPr>
      </w:pPr>
      <w:r>
        <w:rPr>
          <w:rFonts w:ascii="宋体" w:hAnsi="宋体" w:cs="宋体"/>
          <w:szCs w:val="24"/>
        </w:rPr>
        <w:t>2）分配救援任务、划分责任区域，协调各级各类救援队伍的行动；</w:t>
      </w:r>
    </w:p>
    <w:p>
      <w:pPr>
        <w:spacing w:after="0" w:line="360" w:lineRule="auto"/>
        <w:ind w:firstLine="560" w:firstLineChars="200"/>
        <w:rPr>
          <w:rFonts w:ascii="宋体" w:hAnsi="宋体" w:cs="宋体"/>
          <w:szCs w:val="24"/>
        </w:rPr>
      </w:pPr>
      <w:r>
        <w:rPr>
          <w:rFonts w:ascii="宋体" w:hAnsi="宋体" w:cs="宋体"/>
          <w:szCs w:val="24"/>
        </w:rPr>
        <w:t>3）查明次生灾害危害或威胁；组织力量加以消除危害后果；</w:t>
      </w:r>
    </w:p>
    <w:p>
      <w:pPr>
        <w:spacing w:after="0" w:line="360" w:lineRule="auto"/>
        <w:ind w:firstLine="560" w:firstLineChars="200"/>
        <w:rPr>
          <w:rFonts w:ascii="宋体" w:hAnsi="宋体" w:cs="宋体"/>
          <w:szCs w:val="24"/>
        </w:rPr>
      </w:pPr>
      <w:r>
        <w:rPr>
          <w:rFonts w:ascii="宋体" w:hAnsi="宋体" w:cs="宋体"/>
          <w:szCs w:val="24"/>
        </w:rPr>
        <w:t>4）组织采取防御措施，必要时采取管制、切断气源、疏散员工等非常措施；</w:t>
      </w:r>
    </w:p>
    <w:p>
      <w:pPr>
        <w:spacing w:after="0" w:line="360" w:lineRule="auto"/>
        <w:ind w:firstLine="560" w:firstLineChars="200"/>
        <w:rPr>
          <w:rFonts w:ascii="宋体" w:hAnsi="宋体" w:cs="宋体"/>
          <w:szCs w:val="24"/>
        </w:rPr>
      </w:pPr>
      <w:r>
        <w:rPr>
          <w:rFonts w:ascii="宋体" w:hAnsi="宋体" w:cs="宋体"/>
          <w:szCs w:val="24"/>
        </w:rPr>
        <w:t>5）组织协调开展供气检查、抢险、维修恢复工作；</w:t>
      </w:r>
    </w:p>
    <w:p>
      <w:pPr>
        <w:spacing w:after="0" w:line="360" w:lineRule="auto"/>
        <w:ind w:firstLine="560" w:firstLineChars="200"/>
        <w:rPr>
          <w:rFonts w:ascii="宋体" w:hAnsi="宋体" w:cs="宋体"/>
          <w:szCs w:val="24"/>
        </w:rPr>
      </w:pPr>
      <w:r>
        <w:rPr>
          <w:rFonts w:ascii="宋体" w:hAnsi="宋体" w:cs="宋体"/>
          <w:szCs w:val="24"/>
        </w:rPr>
        <w:t>6）估计救灾需求，组织援助物资的接收与分配；</w:t>
      </w:r>
    </w:p>
    <w:p>
      <w:pPr>
        <w:spacing w:after="0" w:line="360" w:lineRule="auto"/>
        <w:ind w:firstLine="560" w:firstLineChars="200"/>
        <w:rPr>
          <w:rFonts w:ascii="宋体" w:hAnsi="宋体" w:cs="宋体"/>
          <w:szCs w:val="24"/>
        </w:rPr>
      </w:pPr>
      <w:r>
        <w:rPr>
          <w:rFonts w:ascii="宋体" w:hAnsi="宋体" w:cs="宋体"/>
          <w:szCs w:val="24"/>
        </w:rPr>
        <w:t>7）组织灾害损失评估工作。</w:t>
      </w:r>
    </w:p>
    <w:p>
      <w:pPr>
        <w:spacing w:after="0" w:line="360" w:lineRule="auto"/>
        <w:ind w:firstLine="560" w:firstLineChars="200"/>
        <w:rPr>
          <w:rFonts w:ascii="宋体" w:hAnsi="宋体" w:cs="宋体"/>
          <w:szCs w:val="24"/>
        </w:rPr>
      </w:pPr>
      <w:r>
        <w:rPr>
          <w:rFonts w:hint="eastAsia" w:ascii="宋体" w:hAnsi="宋体" w:cs="宋体"/>
          <w:szCs w:val="24"/>
        </w:rPr>
        <w:t>（</w:t>
      </w:r>
      <w:r>
        <w:rPr>
          <w:rFonts w:ascii="宋体" w:hAnsi="宋体" w:cs="宋体"/>
          <w:szCs w:val="24"/>
        </w:rPr>
        <w:t>2</w:t>
      </w:r>
      <w:r>
        <w:rPr>
          <w:rFonts w:hint="eastAsia" w:ascii="宋体" w:hAnsi="宋体" w:cs="宋体"/>
          <w:szCs w:val="24"/>
        </w:rPr>
        <w:t>）处置措施</w:t>
      </w:r>
    </w:p>
    <w:p>
      <w:pPr>
        <w:spacing w:after="0" w:line="360" w:lineRule="auto"/>
        <w:ind w:firstLine="560" w:firstLineChars="200"/>
        <w:rPr>
          <w:rFonts w:ascii="宋体" w:hAnsi="宋体" w:cs="宋体"/>
          <w:szCs w:val="24"/>
        </w:rPr>
      </w:pPr>
      <w:r>
        <w:rPr>
          <w:rFonts w:ascii="宋体" w:hAnsi="宋体" w:cs="宋体"/>
          <w:szCs w:val="24"/>
        </w:rPr>
        <w:t>1</w:t>
      </w:r>
      <w:r>
        <w:rPr>
          <w:rFonts w:hint="eastAsia" w:ascii="宋体" w:hAnsi="宋体" w:cs="宋体"/>
          <w:szCs w:val="24"/>
        </w:rPr>
        <w:t>）强降雨，本企业气站瞬时大量积水</w:t>
      </w:r>
    </w:p>
    <w:p>
      <w:pPr>
        <w:spacing w:after="0" w:line="360" w:lineRule="auto"/>
        <w:ind w:firstLine="560" w:firstLineChars="200"/>
        <w:rPr>
          <w:rFonts w:ascii="宋体" w:hAnsi="宋体" w:cs="宋体"/>
          <w:szCs w:val="24"/>
        </w:rPr>
      </w:pPr>
      <w:r>
        <w:rPr>
          <w:rFonts w:hint="eastAsia" w:ascii="宋体" w:hAnsi="宋体" w:cs="宋体"/>
          <w:szCs w:val="24"/>
        </w:rPr>
        <w:t>①安排人员立即关闭电源。如发生管道泄漏，应及时关闭关联阀门切断起源。如已无法切断气源，应通知上游供气单位关闭出站阀。</w:t>
      </w:r>
    </w:p>
    <w:p>
      <w:pPr>
        <w:spacing w:after="0" w:line="360" w:lineRule="auto"/>
        <w:ind w:firstLine="560" w:firstLineChars="200"/>
        <w:rPr>
          <w:rFonts w:ascii="宋体" w:hAnsi="宋体" w:cs="宋体"/>
          <w:szCs w:val="24"/>
        </w:rPr>
      </w:pPr>
      <w:r>
        <w:rPr>
          <w:rFonts w:hint="eastAsia" w:ascii="宋体" w:hAnsi="宋体" w:cs="宋体"/>
          <w:szCs w:val="24"/>
        </w:rPr>
        <w:t>②立即通过各种通讯手段与本企业应急指挥部取得联系，汇报道路、所缺物资、场站积水情况和人员安全状况。</w:t>
      </w:r>
    </w:p>
    <w:p>
      <w:pPr>
        <w:spacing w:after="0" w:line="360" w:lineRule="auto"/>
        <w:ind w:firstLine="560" w:firstLineChars="200"/>
        <w:rPr>
          <w:rFonts w:ascii="宋体" w:hAnsi="宋体" w:cs="宋体"/>
          <w:szCs w:val="24"/>
        </w:rPr>
      </w:pPr>
      <w:r>
        <w:rPr>
          <w:rFonts w:hint="eastAsia" w:ascii="宋体" w:hAnsi="宋体" w:cs="宋体"/>
          <w:szCs w:val="24"/>
        </w:rPr>
        <w:t>③当班人员抢救转移重要设备设施、资料至高处安全房屋内。</w:t>
      </w:r>
    </w:p>
    <w:p>
      <w:pPr>
        <w:spacing w:after="0" w:line="360" w:lineRule="auto"/>
        <w:ind w:firstLine="560" w:firstLineChars="200"/>
        <w:rPr>
          <w:rFonts w:ascii="宋体" w:hAnsi="宋体" w:cs="宋体"/>
          <w:szCs w:val="24"/>
        </w:rPr>
      </w:pPr>
      <w:r>
        <w:rPr>
          <w:rFonts w:hint="eastAsia" w:ascii="宋体" w:hAnsi="宋体" w:cs="宋体"/>
          <w:szCs w:val="24"/>
        </w:rPr>
        <w:t>④出现危及人身安全紧急情况时，如住房、坡坎倒塌滑坡、水位继续上涨等，指挥全体人员撤离至安全地带，等待救援。</w:t>
      </w:r>
    </w:p>
    <w:p>
      <w:pPr>
        <w:spacing w:after="0" w:line="360" w:lineRule="auto"/>
        <w:ind w:firstLine="560" w:firstLineChars="200"/>
        <w:rPr>
          <w:rFonts w:ascii="宋体" w:hAnsi="宋体" w:cs="宋体"/>
          <w:szCs w:val="24"/>
        </w:rPr>
      </w:pPr>
      <w:r>
        <w:rPr>
          <w:rFonts w:hint="eastAsia" w:ascii="宋体" w:hAnsi="宋体" w:cs="宋体"/>
          <w:szCs w:val="24"/>
        </w:rPr>
        <w:t>⑤休班人员就近采购干粮、方便面、矿泉水等生活必需品，做应急之用。</w:t>
      </w:r>
    </w:p>
    <w:p>
      <w:pPr>
        <w:spacing w:after="0" w:line="360" w:lineRule="auto"/>
        <w:ind w:firstLine="560" w:firstLineChars="200"/>
        <w:rPr>
          <w:rFonts w:ascii="宋体" w:hAnsi="宋体" w:cs="宋体"/>
          <w:szCs w:val="24"/>
        </w:rPr>
      </w:pPr>
      <w:r>
        <w:rPr>
          <w:rFonts w:hint="eastAsia" w:ascii="宋体" w:hAnsi="宋体" w:cs="宋体"/>
          <w:szCs w:val="24"/>
        </w:rPr>
        <w:t>⑥退水后查明情况，向本企业汇报损失，所需物资，开展自救。</w:t>
      </w:r>
    </w:p>
    <w:p>
      <w:pPr>
        <w:spacing w:after="0" w:line="360" w:lineRule="auto"/>
        <w:ind w:firstLine="560" w:firstLineChars="200"/>
        <w:rPr>
          <w:rFonts w:ascii="宋体" w:hAnsi="宋体" w:cs="宋体"/>
          <w:szCs w:val="24"/>
        </w:rPr>
      </w:pPr>
      <w:r>
        <w:rPr>
          <w:rFonts w:ascii="宋体" w:hAnsi="宋体" w:cs="宋体"/>
          <w:szCs w:val="24"/>
        </w:rPr>
        <w:t>2）</w:t>
      </w:r>
      <w:r>
        <w:rPr>
          <w:rFonts w:hint="eastAsia" w:ascii="宋体" w:hAnsi="宋体" w:cs="宋体"/>
          <w:szCs w:val="24"/>
        </w:rPr>
        <w:t>生产电器设施或线路进水</w:t>
      </w:r>
    </w:p>
    <w:p>
      <w:pPr>
        <w:spacing w:after="0" w:line="360" w:lineRule="auto"/>
        <w:ind w:firstLine="560" w:firstLineChars="200"/>
        <w:rPr>
          <w:rFonts w:ascii="宋体" w:hAnsi="宋体" w:cs="宋体"/>
          <w:szCs w:val="24"/>
        </w:rPr>
      </w:pPr>
      <w:r>
        <w:rPr>
          <w:rFonts w:hint="eastAsia" w:ascii="宋体" w:hAnsi="宋体" w:cs="宋体"/>
          <w:szCs w:val="24"/>
        </w:rPr>
        <w:t>①若有人受伤，现场人员立即组织人员救助伤者，当班人员用绝缘棒切断进站电源，同时按报告程序向应急指挥部汇报。</w:t>
      </w:r>
    </w:p>
    <w:p>
      <w:pPr>
        <w:spacing w:after="0" w:line="360" w:lineRule="auto"/>
        <w:ind w:firstLine="560" w:firstLineChars="200"/>
        <w:rPr>
          <w:rFonts w:ascii="宋体" w:hAnsi="宋体" w:cs="宋体"/>
          <w:szCs w:val="24"/>
        </w:rPr>
      </w:pPr>
      <w:r>
        <w:rPr>
          <w:rFonts w:hint="eastAsia" w:ascii="宋体" w:hAnsi="宋体" w:cs="宋体"/>
          <w:szCs w:val="24"/>
        </w:rPr>
        <w:t>②休班人员转移电器至站内高处或高处民房内，放出积水，禁止使用。</w:t>
      </w:r>
    </w:p>
    <w:p>
      <w:pPr>
        <w:spacing w:after="0" w:line="360" w:lineRule="auto"/>
        <w:ind w:firstLine="560" w:firstLineChars="200"/>
        <w:rPr>
          <w:rFonts w:ascii="宋体" w:hAnsi="宋体" w:cs="宋体"/>
          <w:szCs w:val="24"/>
        </w:rPr>
      </w:pPr>
      <w:r>
        <w:rPr>
          <w:rFonts w:hint="eastAsia" w:ascii="宋体" w:hAnsi="宋体" w:cs="宋体"/>
          <w:szCs w:val="24"/>
        </w:rPr>
        <w:t>③统计损失情况和所需物资向本企业汇报。</w:t>
      </w:r>
    </w:p>
    <w:p>
      <w:pPr>
        <w:spacing w:after="0" w:line="360" w:lineRule="auto"/>
        <w:ind w:firstLine="560" w:firstLineChars="200"/>
        <w:rPr>
          <w:rFonts w:ascii="宋体" w:hAnsi="宋体" w:cs="宋体"/>
          <w:szCs w:val="24"/>
        </w:rPr>
      </w:pPr>
      <w:r>
        <w:rPr>
          <w:rFonts w:ascii="宋体" w:hAnsi="宋体" w:cs="宋体"/>
          <w:szCs w:val="24"/>
        </w:rPr>
        <w:t>3）</w:t>
      </w:r>
      <w:r>
        <w:rPr>
          <w:rFonts w:hint="eastAsia" w:ascii="宋体" w:hAnsi="宋体" w:cs="宋体"/>
          <w:szCs w:val="24"/>
        </w:rPr>
        <w:t>输气管线周边山体滑坡</w:t>
      </w:r>
    </w:p>
    <w:p>
      <w:pPr>
        <w:spacing w:after="0" w:line="360" w:lineRule="auto"/>
        <w:ind w:firstLine="560" w:firstLineChars="200"/>
        <w:rPr>
          <w:rFonts w:ascii="宋体" w:hAnsi="宋体" w:cs="宋体"/>
          <w:szCs w:val="24"/>
        </w:rPr>
      </w:pPr>
      <w:r>
        <w:rPr>
          <w:rFonts w:hint="eastAsia" w:ascii="宋体" w:hAnsi="宋体" w:cs="宋体"/>
          <w:szCs w:val="24"/>
        </w:rPr>
        <w:t>①安排人员带上警戒带、灭火器材赶扑事发现场，设立警戒线，标明危险区，同时上报应急指挥部。</w:t>
      </w:r>
    </w:p>
    <w:p>
      <w:pPr>
        <w:spacing w:after="0" w:line="360" w:lineRule="auto"/>
        <w:ind w:firstLine="560" w:firstLineChars="200"/>
        <w:rPr>
          <w:rFonts w:ascii="宋体" w:hAnsi="宋体" w:cs="宋体"/>
          <w:szCs w:val="24"/>
        </w:rPr>
      </w:pPr>
      <w:r>
        <w:rPr>
          <w:rFonts w:hint="eastAsia" w:ascii="宋体" w:hAnsi="宋体" w:cs="宋体"/>
          <w:szCs w:val="24"/>
        </w:rPr>
        <w:t>②若未出现管线破损、天然气泄漏，安排专人在安全地点随时观察，并上报应急指挥部。</w:t>
      </w:r>
    </w:p>
    <w:p>
      <w:pPr>
        <w:spacing w:after="0" w:line="360" w:lineRule="auto"/>
        <w:ind w:firstLine="560" w:firstLineChars="200"/>
        <w:rPr>
          <w:rFonts w:ascii="宋体" w:hAnsi="宋体" w:cs="宋体"/>
          <w:szCs w:val="24"/>
        </w:rPr>
      </w:pPr>
      <w:r>
        <w:rPr>
          <w:rFonts w:hint="eastAsia" w:ascii="宋体" w:hAnsi="宋体" w:cs="宋体"/>
          <w:szCs w:val="24"/>
        </w:rPr>
        <w:t>③若出现泄漏，启动《管道事故应急救援专项预案》</w:t>
      </w:r>
      <w:r>
        <w:rPr>
          <w:rFonts w:ascii="宋体" w:hAnsi="宋体" w:cs="宋体"/>
          <w:szCs w:val="24"/>
        </w:rPr>
        <w:t>,关闭关联阀门，同时上报</w:t>
      </w:r>
      <w:r>
        <w:rPr>
          <w:rFonts w:hint="eastAsia" w:ascii="宋体" w:hAnsi="宋体" w:cs="宋体"/>
          <w:szCs w:val="24"/>
        </w:rPr>
        <w:t>应急指挥部</w:t>
      </w:r>
      <w:r>
        <w:rPr>
          <w:rFonts w:ascii="宋体" w:hAnsi="宋体" w:cs="宋体"/>
          <w:szCs w:val="24"/>
        </w:rPr>
        <w:t>。</w:t>
      </w:r>
    </w:p>
    <w:p>
      <w:pPr>
        <w:spacing w:after="0" w:line="360" w:lineRule="auto"/>
        <w:ind w:firstLine="560" w:firstLineChars="200"/>
        <w:rPr>
          <w:rFonts w:ascii="宋体" w:hAnsi="宋体" w:cs="宋体"/>
          <w:szCs w:val="24"/>
        </w:rPr>
      </w:pPr>
      <w:r>
        <w:rPr>
          <w:rFonts w:hint="eastAsia" w:ascii="宋体" w:hAnsi="宋体" w:cs="宋体"/>
          <w:szCs w:val="24"/>
        </w:rPr>
        <w:t>④统计损失情况和所需物资向应急指挥部汇报。</w:t>
      </w:r>
    </w:p>
    <w:p>
      <w:pPr>
        <w:spacing w:after="0" w:line="360" w:lineRule="auto"/>
        <w:ind w:firstLine="560" w:firstLineChars="200"/>
        <w:rPr>
          <w:rFonts w:ascii="宋体" w:hAnsi="宋体" w:cs="宋体"/>
          <w:szCs w:val="24"/>
        </w:rPr>
      </w:pPr>
      <w:r>
        <w:rPr>
          <w:rFonts w:hint="eastAsia" w:ascii="宋体" w:hAnsi="宋体" w:cs="宋体"/>
          <w:szCs w:val="24"/>
        </w:rPr>
        <w:t>（</w:t>
      </w:r>
      <w:r>
        <w:rPr>
          <w:rFonts w:ascii="宋体" w:hAnsi="宋体" w:cs="宋体"/>
          <w:szCs w:val="24"/>
        </w:rPr>
        <w:t>3</w:t>
      </w:r>
      <w:r>
        <w:rPr>
          <w:rFonts w:hint="eastAsia" w:ascii="宋体" w:hAnsi="宋体" w:cs="宋体"/>
          <w:szCs w:val="24"/>
        </w:rPr>
        <w:t>）供气抢险与恢复</w:t>
      </w:r>
    </w:p>
    <w:p>
      <w:pPr>
        <w:spacing w:after="0" w:line="360" w:lineRule="auto"/>
        <w:ind w:firstLine="560" w:firstLineChars="200"/>
        <w:rPr>
          <w:rFonts w:ascii="宋体" w:hAnsi="宋体" w:cs="宋体"/>
          <w:szCs w:val="24"/>
        </w:rPr>
      </w:pPr>
      <w:r>
        <w:rPr>
          <w:rFonts w:ascii="宋体" w:hAnsi="宋体" w:cs="宋体"/>
          <w:szCs w:val="24"/>
        </w:rPr>
        <w:t>1）</w:t>
      </w:r>
      <w:r>
        <w:rPr>
          <w:rFonts w:hint="eastAsia" w:ascii="宋体" w:hAnsi="宋体" w:cs="宋体"/>
          <w:szCs w:val="24"/>
        </w:rPr>
        <w:t>负有</w:t>
      </w:r>
      <w:r>
        <w:rPr>
          <w:rFonts w:ascii="宋体" w:hAnsi="宋体" w:cs="宋体"/>
          <w:szCs w:val="24"/>
        </w:rPr>
        <w:t>供气</w:t>
      </w:r>
      <w:r>
        <w:rPr>
          <w:rFonts w:hint="eastAsia" w:ascii="宋体" w:hAnsi="宋体" w:cs="宋体"/>
          <w:szCs w:val="24"/>
        </w:rPr>
        <w:t>职责的</w:t>
      </w:r>
      <w:r>
        <w:rPr>
          <w:rFonts w:ascii="宋体" w:hAnsi="宋体" w:cs="宋体"/>
          <w:szCs w:val="24"/>
        </w:rPr>
        <w:t>部门迅速查清供气设施、设备损坏情况，组织抢修队伍，调集抢修物资，指挥开展供气设备、设施的抢修工作，尽快恢复设备运行和天然气供气。</w:t>
      </w:r>
    </w:p>
    <w:p>
      <w:pPr>
        <w:spacing w:after="0" w:line="360" w:lineRule="auto"/>
        <w:ind w:firstLine="560" w:firstLineChars="200"/>
        <w:rPr>
          <w:rFonts w:ascii="宋体" w:hAnsi="宋体" w:cs="宋体"/>
          <w:szCs w:val="24"/>
        </w:rPr>
      </w:pPr>
      <w:r>
        <w:rPr>
          <w:rFonts w:ascii="宋体" w:hAnsi="宋体" w:cs="宋体"/>
          <w:szCs w:val="24"/>
        </w:rPr>
        <w:t>2）</w:t>
      </w:r>
      <w:r>
        <w:rPr>
          <w:rFonts w:hint="eastAsia" w:ascii="宋体" w:hAnsi="宋体" w:cs="宋体"/>
          <w:szCs w:val="24"/>
        </w:rPr>
        <w:t>负有</w:t>
      </w:r>
      <w:r>
        <w:rPr>
          <w:rFonts w:ascii="宋体" w:hAnsi="宋体" w:cs="宋体"/>
          <w:szCs w:val="24"/>
        </w:rPr>
        <w:t>调度</w:t>
      </w:r>
      <w:r>
        <w:rPr>
          <w:rFonts w:hint="eastAsia" w:ascii="宋体" w:hAnsi="宋体" w:cs="宋体"/>
          <w:szCs w:val="24"/>
        </w:rPr>
        <w:t>职责部门</w:t>
      </w:r>
      <w:r>
        <w:rPr>
          <w:rFonts w:ascii="宋体" w:hAnsi="宋体" w:cs="宋体"/>
          <w:szCs w:val="24"/>
        </w:rPr>
        <w:t>根据灾情和燃气设施受破坏情况，发布气源调度、管制、切断等相关指令。加强与上游气源单位联系，合理调度组织气源。迅速恢复供气。</w:t>
      </w:r>
      <w:r>
        <w:rPr>
          <w:rFonts w:hint="eastAsia" w:ascii="宋体" w:hAnsi="宋体" w:cs="宋体"/>
          <w:szCs w:val="24"/>
        </w:rPr>
        <w:t>负有</w:t>
      </w:r>
      <w:r>
        <w:rPr>
          <w:rFonts w:ascii="宋体" w:hAnsi="宋体" w:cs="宋体"/>
          <w:szCs w:val="24"/>
        </w:rPr>
        <w:t>供气</w:t>
      </w:r>
      <w:r>
        <w:rPr>
          <w:rFonts w:hint="eastAsia" w:ascii="宋体" w:hAnsi="宋体" w:cs="宋体"/>
          <w:szCs w:val="24"/>
        </w:rPr>
        <w:t>职责的</w:t>
      </w:r>
      <w:r>
        <w:rPr>
          <w:rFonts w:ascii="宋体" w:hAnsi="宋体" w:cs="宋体"/>
          <w:szCs w:val="24"/>
        </w:rPr>
        <w:t>部门做好停气和恢复供气的操作及用户通知工作。</w:t>
      </w:r>
    </w:p>
    <w:p>
      <w:pPr>
        <w:spacing w:after="0" w:line="360" w:lineRule="auto"/>
        <w:ind w:firstLine="560" w:firstLineChars="200"/>
        <w:rPr>
          <w:rFonts w:ascii="宋体" w:hAnsi="宋体" w:cs="宋体"/>
          <w:szCs w:val="24"/>
        </w:rPr>
      </w:pPr>
      <w:r>
        <w:rPr>
          <w:rFonts w:ascii="宋体" w:hAnsi="宋体" w:cs="宋体"/>
          <w:szCs w:val="24"/>
        </w:rPr>
        <w:t>3）</w:t>
      </w:r>
      <w:r>
        <w:rPr>
          <w:rFonts w:hint="eastAsia" w:ascii="宋体" w:hAnsi="宋体" w:cs="宋体"/>
          <w:szCs w:val="24"/>
        </w:rPr>
        <w:t>物资供应</w:t>
      </w:r>
    </w:p>
    <w:p>
      <w:pPr>
        <w:spacing w:after="0" w:line="360" w:lineRule="auto"/>
        <w:ind w:firstLine="560" w:firstLineChars="200"/>
        <w:rPr>
          <w:rFonts w:ascii="宋体" w:hAnsi="宋体" w:cs="宋体"/>
          <w:szCs w:val="24"/>
        </w:rPr>
      </w:pPr>
      <w:r>
        <w:rPr>
          <w:rFonts w:hint="eastAsia" w:ascii="宋体" w:hAnsi="宋体" w:cs="宋体"/>
          <w:szCs w:val="24"/>
        </w:rPr>
        <w:t>负有物资供应职责的部门迅速掌握本企业抢险物资需求，及时向抢险部门调集、运输抢修设备和所需应急物资。</w:t>
      </w:r>
    </w:p>
    <w:p>
      <w:pPr>
        <w:spacing w:after="0" w:line="360" w:lineRule="auto"/>
        <w:ind w:firstLine="560" w:firstLineChars="200"/>
        <w:rPr>
          <w:rFonts w:ascii="宋体" w:hAnsi="宋体" w:cs="宋体"/>
          <w:szCs w:val="24"/>
        </w:rPr>
      </w:pPr>
      <w:r>
        <w:rPr>
          <w:rFonts w:ascii="宋体" w:hAnsi="宋体" w:cs="宋体"/>
          <w:szCs w:val="24"/>
        </w:rPr>
        <w:t>4）</w:t>
      </w:r>
      <w:r>
        <w:rPr>
          <w:rFonts w:hint="eastAsia" w:ascii="宋体" w:hAnsi="宋体" w:cs="宋体"/>
          <w:szCs w:val="24"/>
        </w:rPr>
        <w:t>保卫与消防</w:t>
      </w:r>
    </w:p>
    <w:p>
      <w:pPr>
        <w:spacing w:after="0" w:line="360" w:lineRule="auto"/>
        <w:ind w:firstLine="560" w:firstLineChars="200"/>
        <w:rPr>
          <w:rFonts w:ascii="宋体" w:hAnsi="宋体" w:cs="宋体"/>
          <w:szCs w:val="24"/>
        </w:rPr>
      </w:pPr>
      <w:r>
        <w:rPr>
          <w:rFonts w:hint="eastAsia" w:ascii="宋体" w:hAnsi="宋体" w:cs="宋体"/>
          <w:szCs w:val="24"/>
        </w:rPr>
        <w:t>负有安全保卫责任的部门迅速组织治安保卫人员，做好本企业区域及供气设施的保卫工作，保障救援队伍、物资运输和人群疏散的交通畅通。协助公安部门预防和打击各种违法犯罪活动。对各类危险物质等落实防范措施，避免发生不必要的伤害。</w:t>
      </w:r>
    </w:p>
    <w:p>
      <w:pPr>
        <w:pStyle w:val="7"/>
        <w:spacing w:line="360" w:lineRule="auto"/>
        <w:ind w:firstLine="562"/>
        <w:rPr>
          <w:rFonts w:asciiTheme="minorEastAsia" w:hAnsiTheme="minorEastAsia" w:eastAsiaTheme="minorEastAsia" w:cstheme="minorEastAsia"/>
          <w:szCs w:val="28"/>
        </w:rPr>
      </w:pPr>
      <w:bookmarkStart w:id="183" w:name="_Toc101798310"/>
      <w:bookmarkStart w:id="184" w:name="_Toc78796063"/>
      <w:r>
        <w:rPr>
          <w:rFonts w:asciiTheme="minorEastAsia" w:hAnsiTheme="minorEastAsia" w:eastAsiaTheme="minorEastAsia" w:cstheme="minorEastAsia"/>
          <w:szCs w:val="28"/>
        </w:rPr>
        <w:t>5.5</w:t>
      </w:r>
      <w:r>
        <w:rPr>
          <w:rFonts w:hint="eastAsia" w:asciiTheme="minorEastAsia" w:hAnsiTheme="minorEastAsia" w:eastAsiaTheme="minorEastAsia" w:cstheme="minorEastAsia"/>
          <w:szCs w:val="28"/>
        </w:rPr>
        <w:t>应急物资与装备保障</w:t>
      </w:r>
      <w:bookmarkEnd w:id="183"/>
      <w:bookmarkEnd w:id="184"/>
    </w:p>
    <w:p>
      <w:pPr>
        <w:spacing w:after="0" w:line="360" w:lineRule="auto"/>
        <w:ind w:firstLine="560" w:firstLineChars="200"/>
        <w:rPr>
          <w:rFonts w:ascii="宋体" w:hAnsi="宋体" w:cs="宋体"/>
          <w:szCs w:val="24"/>
        </w:rPr>
      </w:pPr>
      <w:r>
        <w:rPr>
          <w:rFonts w:hint="eastAsia" w:ascii="宋体" w:hAnsi="宋体" w:cs="宋体"/>
          <w:szCs w:val="24"/>
        </w:rPr>
        <w:t>防汛抗洪应急物资和装备根据应急救援的需求提出配置申请，按本企业相关规定采购和储备。必要时，对应急装备的使用应进行培训或组织演练，确保应急时应急装备的正确使用。日常应加强应急物资和装备的管理和维护。</w:t>
      </w:r>
    </w:p>
    <w:p>
      <w:pPr>
        <w:spacing w:after="0" w:line="360" w:lineRule="auto"/>
        <w:ind w:firstLine="560" w:firstLineChars="200"/>
        <w:rPr>
          <w:rFonts w:ascii="宋体" w:hAnsi="宋体" w:cs="宋体"/>
          <w:szCs w:val="24"/>
        </w:rPr>
      </w:pPr>
    </w:p>
    <w:p>
      <w:pPr>
        <w:pStyle w:val="19"/>
        <w:ind w:firstLine="420"/>
      </w:pPr>
    </w:p>
    <w:p>
      <w:pPr>
        <w:pStyle w:val="6"/>
      </w:pPr>
      <w:bookmarkStart w:id="185" w:name="_Toc101798311"/>
      <w:r>
        <w:t>6</w:t>
      </w:r>
      <w:r>
        <w:rPr>
          <w:rFonts w:hint="eastAsia"/>
        </w:rPr>
        <w:t>防暴恐袭击专项应急预案</w:t>
      </w:r>
      <w:bookmarkEnd w:id="185"/>
    </w:p>
    <w:p>
      <w:pPr>
        <w:pStyle w:val="7"/>
        <w:spacing w:line="360" w:lineRule="auto"/>
        <w:ind w:firstLine="562"/>
        <w:rPr>
          <w:rFonts w:hAnsi="宋体"/>
          <w:szCs w:val="28"/>
        </w:rPr>
      </w:pPr>
      <w:bookmarkStart w:id="186" w:name="_Toc101798312"/>
      <w:r>
        <w:rPr>
          <w:rFonts w:hAnsi="宋体"/>
          <w:szCs w:val="28"/>
        </w:rPr>
        <w:t>6</w:t>
      </w:r>
      <w:r>
        <w:rPr>
          <w:rFonts w:hint="eastAsia" w:hAnsi="宋体"/>
          <w:szCs w:val="28"/>
        </w:rPr>
        <w:t>.1适用范围</w:t>
      </w:r>
      <w:bookmarkEnd w:id="186"/>
    </w:p>
    <w:p>
      <w:pPr>
        <w:spacing w:line="360" w:lineRule="auto"/>
        <w:ind w:firstLine="560" w:firstLineChars="200"/>
        <w:rPr>
          <w:rFonts w:ascii="宋体" w:hAnsi="宋体" w:cs="宋体"/>
          <w:szCs w:val="24"/>
        </w:rPr>
      </w:pPr>
      <w:r>
        <w:rPr>
          <w:rFonts w:hint="eastAsia" w:ascii="宋体" w:hAnsi="宋体" w:cs="宋体"/>
          <w:szCs w:val="24"/>
        </w:rPr>
        <w:t>本专项应急预案适用于本企业经营范围内发生的暴恐袭击的相关应急处置及救援程序等，是本企业综合预案的组成部分。</w:t>
      </w:r>
    </w:p>
    <w:p>
      <w:pPr>
        <w:pStyle w:val="7"/>
        <w:spacing w:line="360" w:lineRule="auto"/>
        <w:ind w:firstLine="562"/>
        <w:rPr>
          <w:rFonts w:hAnsi="宋体"/>
          <w:szCs w:val="28"/>
        </w:rPr>
      </w:pPr>
      <w:bookmarkStart w:id="187" w:name="_Toc101798313"/>
      <w:r>
        <w:rPr>
          <w:rFonts w:hAnsi="宋体"/>
          <w:szCs w:val="28"/>
        </w:rPr>
        <w:t>6</w:t>
      </w:r>
      <w:r>
        <w:rPr>
          <w:rFonts w:hint="eastAsia" w:hAnsi="宋体"/>
          <w:szCs w:val="28"/>
        </w:rPr>
        <w:t>.2应急指挥机构及职责</w:t>
      </w:r>
      <w:bookmarkEnd w:id="187"/>
    </w:p>
    <w:p>
      <w:pPr>
        <w:spacing w:line="360" w:lineRule="auto"/>
        <w:ind w:firstLine="560" w:firstLineChars="200"/>
        <w:rPr>
          <w:rFonts w:ascii="宋体" w:hAnsi="宋体" w:cs="宋体"/>
          <w:szCs w:val="24"/>
        </w:rPr>
      </w:pPr>
      <w:r>
        <w:rPr>
          <w:rFonts w:hint="eastAsia" w:ascii="宋体" w:hAnsi="宋体" w:cs="宋体"/>
          <w:szCs w:val="24"/>
        </w:rPr>
        <w:t>应急组织机构及职责与综合应急预案一致，见2章节。</w:t>
      </w:r>
    </w:p>
    <w:p>
      <w:pPr>
        <w:pStyle w:val="7"/>
        <w:spacing w:line="360" w:lineRule="auto"/>
        <w:ind w:firstLine="643"/>
        <w:rPr>
          <w:rFonts w:hAnsi="宋体"/>
        </w:rPr>
      </w:pPr>
      <w:bookmarkStart w:id="188" w:name="_Toc101798314"/>
      <w:r>
        <w:rPr>
          <w:rFonts w:hAnsi="宋体"/>
        </w:rPr>
        <w:t>6</w:t>
      </w:r>
      <w:r>
        <w:rPr>
          <w:rFonts w:hint="eastAsia" w:hAnsi="宋体"/>
        </w:rPr>
        <w:t>.3响应启动</w:t>
      </w:r>
      <w:bookmarkEnd w:id="188"/>
    </w:p>
    <w:p>
      <w:pPr>
        <w:spacing w:line="360" w:lineRule="auto"/>
        <w:ind w:firstLine="560" w:firstLineChars="200"/>
        <w:rPr>
          <w:rFonts w:ascii="宋体" w:hAnsi="宋体" w:cs="宋体"/>
          <w:szCs w:val="24"/>
        </w:rPr>
      </w:pPr>
      <w:r>
        <w:rPr>
          <w:rFonts w:hint="eastAsia" w:ascii="宋体" w:hAnsi="宋体" w:cs="宋体"/>
          <w:szCs w:val="24"/>
        </w:rPr>
        <w:t>响应启动内容与综合应急预案一致，见3.3响应启动。</w:t>
      </w:r>
    </w:p>
    <w:p>
      <w:pPr>
        <w:pStyle w:val="7"/>
        <w:spacing w:line="360" w:lineRule="auto"/>
        <w:ind w:firstLine="643"/>
        <w:rPr>
          <w:rFonts w:hAnsi="宋体"/>
        </w:rPr>
      </w:pPr>
      <w:bookmarkStart w:id="189" w:name="_Toc101798315"/>
      <w:r>
        <w:rPr>
          <w:rFonts w:hAnsi="宋体"/>
        </w:rPr>
        <w:t>6</w:t>
      </w:r>
      <w:r>
        <w:rPr>
          <w:rFonts w:hint="eastAsia" w:hAnsi="宋体"/>
        </w:rPr>
        <w:t>.4应急处置措施</w:t>
      </w:r>
      <w:bookmarkEnd w:id="189"/>
    </w:p>
    <w:p>
      <w:pPr>
        <w:spacing w:after="0" w:line="560" w:lineRule="exact"/>
        <w:ind w:firstLine="560" w:firstLineChars="200"/>
        <w:rPr>
          <w:rFonts w:ascii="宋体" w:hAnsi="宋体" w:cs="宋体"/>
          <w:szCs w:val="24"/>
        </w:rPr>
      </w:pPr>
      <w:r>
        <w:rPr>
          <w:rFonts w:ascii="宋体" w:hAnsi="宋体" w:cs="宋体"/>
          <w:szCs w:val="24"/>
        </w:rPr>
        <w:t>6.</w:t>
      </w:r>
      <w:r>
        <w:rPr>
          <w:rFonts w:hint="eastAsia" w:ascii="宋体" w:hAnsi="宋体" w:cs="宋体"/>
          <w:szCs w:val="24"/>
        </w:rPr>
        <w:t>4.1遭遇冷兵器行凶事件的应急处理程措施 </w:t>
      </w:r>
    </w:p>
    <w:p>
      <w:pPr>
        <w:spacing w:after="0" w:line="560" w:lineRule="exact"/>
        <w:ind w:firstLine="560" w:firstLineChars="200"/>
        <w:rPr>
          <w:rFonts w:ascii="宋体" w:hAnsi="宋体" w:cs="宋体"/>
          <w:szCs w:val="24"/>
        </w:rPr>
      </w:pPr>
      <w:r>
        <w:rPr>
          <w:rFonts w:hint="eastAsia" w:ascii="宋体" w:hAnsi="宋体" w:cs="宋体"/>
          <w:szCs w:val="24"/>
        </w:rPr>
        <w:t>(1)获得事件信息的任何人都应当在拨打1lO报警，并适机向应急指挥部报告。</w:t>
      </w:r>
    </w:p>
    <w:p>
      <w:pPr>
        <w:spacing w:after="0" w:line="560" w:lineRule="exact"/>
        <w:ind w:firstLine="560" w:firstLineChars="200"/>
        <w:rPr>
          <w:rFonts w:ascii="宋体" w:hAnsi="宋体" w:cs="宋体"/>
          <w:szCs w:val="24"/>
        </w:rPr>
      </w:pPr>
      <w:r>
        <w:rPr>
          <w:rFonts w:hint="eastAsia" w:ascii="宋体" w:hAnsi="宋体" w:cs="宋体"/>
          <w:szCs w:val="24"/>
        </w:rPr>
        <w:t>(2)现场人员应立即自动组织起来，确保自身和提醒他人有效实施避险和防险，使犯罪分子无法继续实施人身伤害、无法破坏重要设施，尽可能防止事态扩大。 </w:t>
      </w:r>
    </w:p>
    <w:p>
      <w:pPr>
        <w:spacing w:after="0" w:line="560" w:lineRule="exact"/>
        <w:ind w:firstLine="560" w:firstLineChars="200"/>
        <w:rPr>
          <w:rFonts w:ascii="宋体" w:hAnsi="宋体" w:cs="宋体"/>
          <w:szCs w:val="24"/>
        </w:rPr>
      </w:pPr>
      <w:r>
        <w:rPr>
          <w:rFonts w:hint="eastAsia" w:ascii="宋体" w:hAnsi="宋体" w:cs="宋体"/>
          <w:szCs w:val="24"/>
        </w:rPr>
        <w:t>(3)应急指挥部宣布公司进入全面应急状态，立即报告并</w:t>
      </w:r>
      <w:r>
        <w:rPr>
          <w:rFonts w:hint="eastAsia" w:ascii="宋体" w:hAnsi="宋体" w:cs="宋体"/>
          <w:szCs w:val="24"/>
          <w:lang w:eastAsia="zh-CN"/>
        </w:rPr>
        <w:t>实施</w:t>
      </w:r>
      <w:r>
        <w:rPr>
          <w:rFonts w:hint="eastAsia" w:ascii="宋体" w:hAnsi="宋体" w:cs="宋体"/>
          <w:szCs w:val="24"/>
        </w:rPr>
        <w:t>应急救援行动。</w:t>
      </w:r>
    </w:p>
    <w:p>
      <w:pPr>
        <w:spacing w:after="0" w:line="560" w:lineRule="exact"/>
        <w:ind w:firstLine="560" w:firstLineChars="200"/>
        <w:rPr>
          <w:rFonts w:ascii="宋体" w:hAnsi="宋体" w:cs="宋体"/>
          <w:szCs w:val="24"/>
        </w:rPr>
      </w:pPr>
      <w:r>
        <w:rPr>
          <w:rFonts w:hint="eastAsia" w:ascii="宋体" w:hAnsi="宋体" w:cs="宋体"/>
          <w:szCs w:val="24"/>
        </w:rPr>
        <w:t>(4)集结优势力量，携带防卫器械，与犯罪分子周旋，为警方到达现场赢得时闻。在绝对有利条件和能保证处置人员自身安全前提下也可设法制服犯罪分子。 </w:t>
      </w:r>
    </w:p>
    <w:p>
      <w:pPr>
        <w:spacing w:after="0" w:line="560" w:lineRule="exact"/>
        <w:ind w:firstLine="560" w:firstLineChars="200"/>
        <w:rPr>
          <w:rFonts w:ascii="宋体" w:hAnsi="宋体" w:cs="宋体"/>
          <w:szCs w:val="24"/>
        </w:rPr>
      </w:pPr>
      <w:r>
        <w:rPr>
          <w:rFonts w:hint="eastAsia" w:ascii="宋体" w:hAnsi="宋体" w:cs="宋体"/>
          <w:szCs w:val="24"/>
        </w:rPr>
        <w:t>(5)配合把群众和无关人员撤离至安全区域。</w:t>
      </w:r>
    </w:p>
    <w:p>
      <w:pPr>
        <w:spacing w:after="0" w:line="560" w:lineRule="exact"/>
        <w:ind w:firstLine="560" w:firstLineChars="200"/>
        <w:rPr>
          <w:rFonts w:ascii="宋体" w:hAnsi="宋体" w:cs="宋体"/>
          <w:szCs w:val="24"/>
        </w:rPr>
      </w:pPr>
      <w:r>
        <w:rPr>
          <w:rFonts w:hint="eastAsia" w:ascii="宋体" w:hAnsi="宋体" w:cs="宋体"/>
          <w:szCs w:val="24"/>
        </w:rPr>
        <w:t>(6)配合救护受伤人员。 </w:t>
      </w:r>
    </w:p>
    <w:p>
      <w:pPr>
        <w:spacing w:after="0" w:line="560" w:lineRule="exact"/>
        <w:ind w:firstLine="560" w:firstLineChars="200"/>
        <w:rPr>
          <w:rFonts w:ascii="宋体" w:hAnsi="宋体" w:cs="宋体"/>
          <w:szCs w:val="24"/>
        </w:rPr>
      </w:pPr>
      <w:r>
        <w:rPr>
          <w:rFonts w:hint="eastAsia" w:ascii="宋体" w:hAnsi="宋体" w:cs="宋体"/>
          <w:szCs w:val="24"/>
        </w:rPr>
        <w:t>(7)配合实施事件现场警戒，阻止无关人员进入现场，维护现场秩序，引导外部救援人员进入事件现场。 </w:t>
      </w:r>
    </w:p>
    <w:p>
      <w:pPr>
        <w:spacing w:after="0" w:line="560" w:lineRule="exact"/>
        <w:ind w:firstLine="560" w:firstLineChars="200"/>
        <w:rPr>
          <w:rFonts w:ascii="宋体" w:hAnsi="宋体" w:cs="宋体"/>
          <w:szCs w:val="24"/>
        </w:rPr>
      </w:pPr>
      <w:r>
        <w:rPr>
          <w:rFonts w:ascii="宋体" w:hAnsi="宋体" w:cs="宋体"/>
          <w:szCs w:val="24"/>
        </w:rPr>
        <w:t>6.</w:t>
      </w:r>
      <w:r>
        <w:rPr>
          <w:rFonts w:hint="eastAsia" w:ascii="宋体" w:hAnsi="宋体" w:cs="宋体"/>
          <w:szCs w:val="24"/>
        </w:rPr>
        <w:t>4.2遭遇爆炸、放火、枪击、驾驶冲撞等袭击的应急措施： </w:t>
      </w:r>
    </w:p>
    <w:p>
      <w:pPr>
        <w:spacing w:after="0" w:line="560" w:lineRule="exact"/>
        <w:ind w:firstLine="560" w:firstLineChars="200"/>
        <w:rPr>
          <w:rFonts w:ascii="宋体" w:hAnsi="宋体" w:cs="宋体"/>
          <w:szCs w:val="24"/>
        </w:rPr>
      </w:pPr>
      <w:r>
        <w:rPr>
          <w:rFonts w:hint="eastAsia" w:ascii="宋体" w:hAnsi="宋体" w:cs="宋体"/>
          <w:szCs w:val="24"/>
        </w:rPr>
        <w:t>（1）现场人员立即报警，请求公安、消防、交警及社会力量的支援，然后立即上报。</w:t>
      </w:r>
    </w:p>
    <w:p>
      <w:pPr>
        <w:spacing w:after="0" w:line="560" w:lineRule="exact"/>
        <w:ind w:firstLine="560" w:firstLineChars="200"/>
        <w:rPr>
          <w:rFonts w:ascii="宋体" w:hAnsi="宋体" w:cs="宋体"/>
          <w:szCs w:val="24"/>
        </w:rPr>
      </w:pPr>
      <w:r>
        <w:rPr>
          <w:rFonts w:hint="eastAsia" w:ascii="宋体" w:hAnsi="宋体" w:cs="宋体"/>
          <w:szCs w:val="24"/>
        </w:rPr>
        <w:t>（2）现场人员应立即自动组织起来，确保自身和提醒他人有效实施避险和防险，第一要务是保证人身安全，第二才是保证设备财产安全。 </w:t>
      </w:r>
    </w:p>
    <w:p>
      <w:pPr>
        <w:spacing w:after="0" w:line="560" w:lineRule="exact"/>
        <w:ind w:firstLine="560" w:firstLineChars="200"/>
        <w:rPr>
          <w:rFonts w:ascii="宋体" w:hAnsi="宋体" w:cs="宋体"/>
          <w:szCs w:val="24"/>
        </w:rPr>
      </w:pPr>
      <w:r>
        <w:rPr>
          <w:rFonts w:hint="eastAsia" w:ascii="宋体" w:hAnsi="宋体" w:cs="宋体"/>
          <w:szCs w:val="24"/>
        </w:rPr>
        <w:t>(3)应急指挥部宣布公司进入全面应急状态，立即报告并</w:t>
      </w:r>
      <w:r>
        <w:rPr>
          <w:rFonts w:hint="eastAsia" w:ascii="宋体" w:hAnsi="宋体" w:cs="宋体"/>
          <w:szCs w:val="24"/>
          <w:lang w:eastAsia="zh-CN"/>
        </w:rPr>
        <w:t>实施</w:t>
      </w:r>
      <w:r>
        <w:rPr>
          <w:rFonts w:hint="eastAsia" w:ascii="宋体" w:hAnsi="宋体" w:cs="宋体"/>
          <w:szCs w:val="24"/>
        </w:rPr>
        <w:t>应急救援行动。</w:t>
      </w:r>
    </w:p>
    <w:p>
      <w:pPr>
        <w:spacing w:after="0" w:line="560" w:lineRule="exact"/>
        <w:ind w:firstLine="560" w:firstLineChars="200"/>
        <w:rPr>
          <w:rFonts w:ascii="宋体" w:hAnsi="宋体" w:cs="宋体"/>
          <w:szCs w:val="24"/>
        </w:rPr>
      </w:pPr>
      <w:r>
        <w:rPr>
          <w:rFonts w:hint="eastAsia" w:ascii="宋体" w:hAnsi="宋体" w:cs="宋体"/>
          <w:szCs w:val="24"/>
        </w:rPr>
        <w:t>(4)现场指挥人员应立即指挥人员疏散，切断相关气源、电源，并合理划出设置警戒区域，阻止无关人员进入现场，维护现场秩序，引导外部救援人员进入事件现场。 </w:t>
      </w:r>
    </w:p>
    <w:p>
      <w:pPr>
        <w:spacing w:after="0" w:line="560" w:lineRule="exact"/>
        <w:ind w:firstLine="560" w:firstLineChars="200"/>
        <w:rPr>
          <w:rFonts w:ascii="宋体" w:hAnsi="宋体" w:cs="宋体"/>
          <w:szCs w:val="24"/>
        </w:rPr>
      </w:pPr>
      <w:r>
        <w:rPr>
          <w:rFonts w:hint="eastAsia" w:ascii="宋体" w:hAnsi="宋体" w:cs="宋体"/>
          <w:szCs w:val="24"/>
        </w:rPr>
        <w:t>(5)外部救援力量到达后，公司应在上级指挥下全力配合相关救援和抢险抢修工作。</w:t>
      </w:r>
    </w:p>
    <w:p>
      <w:pPr>
        <w:spacing w:after="0" w:line="560" w:lineRule="exact"/>
        <w:ind w:firstLine="560" w:firstLineChars="200"/>
        <w:rPr>
          <w:rFonts w:ascii="宋体" w:hAnsi="宋体" w:cs="宋体"/>
          <w:szCs w:val="24"/>
        </w:rPr>
      </w:pPr>
      <w:r>
        <w:rPr>
          <w:rFonts w:hint="eastAsia" w:ascii="宋体" w:hAnsi="宋体" w:cs="宋体"/>
          <w:szCs w:val="24"/>
        </w:rPr>
        <w:t>(6)全力配合调查和善后工作。</w:t>
      </w:r>
    </w:p>
    <w:p>
      <w:pPr>
        <w:spacing w:after="0" w:line="560" w:lineRule="exact"/>
        <w:ind w:firstLine="560" w:firstLineChars="200"/>
        <w:rPr>
          <w:rFonts w:ascii="宋体" w:hAnsi="宋体" w:cs="宋体"/>
          <w:szCs w:val="24"/>
        </w:rPr>
      </w:pPr>
      <w:r>
        <w:rPr>
          <w:rFonts w:ascii="宋体" w:hAnsi="宋体" w:cs="宋体"/>
          <w:szCs w:val="24"/>
        </w:rPr>
        <w:t>6.</w:t>
      </w:r>
      <w:r>
        <w:rPr>
          <w:rFonts w:hint="eastAsia" w:ascii="宋体" w:hAnsi="宋体" w:cs="宋体"/>
          <w:szCs w:val="24"/>
        </w:rPr>
        <w:t>4.3发现可疑人物应急处理程序 </w:t>
      </w:r>
    </w:p>
    <w:p>
      <w:pPr>
        <w:spacing w:after="0" w:line="560" w:lineRule="exact"/>
        <w:ind w:firstLine="560" w:firstLineChars="200"/>
        <w:rPr>
          <w:rFonts w:ascii="宋体" w:hAnsi="宋体" w:cs="宋体"/>
          <w:szCs w:val="24"/>
        </w:rPr>
      </w:pPr>
      <w:r>
        <w:rPr>
          <w:rFonts w:hint="eastAsia" w:ascii="宋体" w:hAnsi="宋体" w:cs="宋体"/>
          <w:szCs w:val="24"/>
        </w:rPr>
        <w:t>（1）在公司内发现形迹可疑，四处游荡，可能作案的可疑人物，在场人员都应当立即向领导报告。 </w:t>
      </w:r>
    </w:p>
    <w:p>
      <w:pPr>
        <w:spacing w:after="0" w:line="560" w:lineRule="exact"/>
        <w:ind w:firstLine="560" w:firstLineChars="200"/>
        <w:rPr>
          <w:rFonts w:ascii="宋体" w:hAnsi="宋体" w:cs="宋体"/>
          <w:szCs w:val="24"/>
        </w:rPr>
      </w:pPr>
      <w:r>
        <w:rPr>
          <w:rFonts w:hint="eastAsia" w:ascii="宋体" w:hAnsi="宋体" w:cs="宋体"/>
          <w:szCs w:val="24"/>
        </w:rPr>
        <w:t>（2）指派安全人员立即对此人进行询问，采取妥善措施尽可能把他的行动限制在局部区域内。 </w:t>
      </w:r>
    </w:p>
    <w:p>
      <w:pPr>
        <w:spacing w:after="0" w:line="560" w:lineRule="exact"/>
        <w:ind w:firstLine="560" w:firstLineChars="200"/>
        <w:rPr>
          <w:rFonts w:ascii="宋体" w:hAnsi="宋体" w:cs="宋体"/>
          <w:szCs w:val="24"/>
        </w:rPr>
      </w:pPr>
      <w:r>
        <w:rPr>
          <w:rFonts w:hint="eastAsia" w:ascii="宋体" w:hAnsi="宋体" w:cs="宋体"/>
          <w:szCs w:val="24"/>
        </w:rPr>
        <w:t>（3）若有证据表明此人是危险人物或犯罪嫌疑人，应立即打llO报警，并与之周旋，等待警方到来。</w:t>
      </w:r>
    </w:p>
    <w:p>
      <w:pPr>
        <w:spacing w:after="0" w:line="560" w:lineRule="exact"/>
        <w:ind w:firstLine="560" w:firstLineChars="200"/>
        <w:rPr>
          <w:rFonts w:ascii="宋体" w:hAnsi="宋体" w:cs="宋体"/>
          <w:szCs w:val="24"/>
        </w:rPr>
      </w:pPr>
      <w:r>
        <w:rPr>
          <w:rFonts w:hint="eastAsia" w:ascii="宋体" w:hAnsi="宋体" w:cs="宋体"/>
          <w:szCs w:val="24"/>
        </w:rPr>
        <w:t>（4）若可疑人物在盘问时夺路逃跑。盘问人员应当将其相貌、身高、衣着及其它特征和</w:t>
      </w:r>
      <w:r>
        <w:rPr>
          <w:rFonts w:hint="eastAsia" w:ascii="宋体" w:hAnsi="宋体" w:cs="宋体"/>
          <w:szCs w:val="24"/>
          <w:lang w:eastAsia="zh-CN"/>
        </w:rPr>
        <w:t>行</w:t>
      </w:r>
      <w:r>
        <w:rPr>
          <w:rFonts w:hint="eastAsia" w:ascii="宋体" w:hAnsi="宋体" w:cs="宋体"/>
          <w:szCs w:val="24"/>
        </w:rPr>
        <w:t>走方向向警方报告。同时，公司应当做好此人再一次闯入公司作案的思想准备。 </w:t>
      </w:r>
    </w:p>
    <w:p>
      <w:pPr>
        <w:spacing w:after="0" w:line="560" w:lineRule="exact"/>
        <w:ind w:firstLine="560" w:firstLineChars="200"/>
        <w:rPr>
          <w:rFonts w:ascii="宋体" w:hAnsi="宋体" w:cs="宋体"/>
          <w:szCs w:val="24"/>
        </w:rPr>
      </w:pPr>
      <w:r>
        <w:rPr>
          <w:rFonts w:hint="eastAsia" w:ascii="宋体" w:hAnsi="宋体" w:cs="宋体"/>
          <w:szCs w:val="24"/>
        </w:rPr>
        <w:t>（5）在整个过程中，应采取切实有效的措施，防范可疑人物使用暴力，确保周围人员的安全。 </w:t>
      </w:r>
    </w:p>
    <w:p>
      <w:pPr>
        <w:spacing w:after="0" w:line="560" w:lineRule="exact"/>
        <w:ind w:firstLine="560" w:firstLineChars="200"/>
        <w:rPr>
          <w:rFonts w:ascii="宋体" w:hAnsi="宋体" w:cs="宋体"/>
          <w:szCs w:val="24"/>
        </w:rPr>
      </w:pPr>
      <w:r>
        <w:rPr>
          <w:rFonts w:hint="eastAsia" w:ascii="宋体" w:hAnsi="宋体" w:cs="宋体"/>
          <w:szCs w:val="24"/>
        </w:rPr>
        <w:t>（6）应把事件情况及时向公安机关报告。</w:t>
      </w:r>
    </w:p>
    <w:p>
      <w:pPr>
        <w:spacing w:after="0" w:line="560" w:lineRule="exact"/>
        <w:ind w:firstLine="560" w:firstLineChars="200"/>
        <w:rPr>
          <w:rFonts w:ascii="宋体" w:hAnsi="宋体" w:cs="宋体"/>
          <w:szCs w:val="24"/>
        </w:rPr>
      </w:pPr>
      <w:r>
        <w:rPr>
          <w:rFonts w:ascii="宋体" w:hAnsi="宋体" w:cs="宋体"/>
          <w:szCs w:val="24"/>
        </w:rPr>
        <w:t>6.</w:t>
      </w:r>
      <w:r>
        <w:rPr>
          <w:rFonts w:hint="eastAsia" w:ascii="宋体" w:hAnsi="宋体" w:cs="宋体"/>
          <w:szCs w:val="24"/>
        </w:rPr>
        <w:t>4.4发现可疑物品的应急处理程序 </w:t>
      </w:r>
    </w:p>
    <w:p>
      <w:pPr>
        <w:spacing w:after="0" w:line="560" w:lineRule="exact"/>
        <w:ind w:firstLine="560" w:firstLineChars="200"/>
        <w:rPr>
          <w:rFonts w:ascii="宋体" w:hAnsi="宋体" w:cs="宋体"/>
          <w:szCs w:val="24"/>
        </w:rPr>
      </w:pPr>
      <w:r>
        <w:rPr>
          <w:rFonts w:hint="eastAsia" w:ascii="宋体" w:hAnsi="宋体" w:cs="宋体"/>
          <w:szCs w:val="24"/>
        </w:rPr>
        <w:t>（1）收到可疑邮包或发现可疑物品的任何人员都要在第一时间向上级报告。可疑物品是指：物品外表、重量、气味可疑，不是本单位的物品也从无看到过此种物品，却突然摆放在公司某处。 </w:t>
      </w:r>
    </w:p>
    <w:p>
      <w:pPr>
        <w:spacing w:after="0" w:line="560" w:lineRule="exact"/>
        <w:ind w:firstLine="560" w:firstLineChars="200"/>
        <w:rPr>
          <w:rFonts w:ascii="宋体" w:hAnsi="宋体" w:cs="宋体"/>
          <w:szCs w:val="24"/>
        </w:rPr>
      </w:pPr>
      <w:r>
        <w:rPr>
          <w:rFonts w:hint="eastAsia" w:ascii="宋体" w:hAnsi="宋体" w:cs="宋体"/>
          <w:szCs w:val="24"/>
        </w:rPr>
        <w:t>（2）发现可疑邮包和可疑物品的任何人员，都不应当试图打开或随意摆弄它，要禁止在周围吸烟或使用手机，或发动机动车辆等。 </w:t>
      </w:r>
    </w:p>
    <w:p>
      <w:pPr>
        <w:spacing w:after="0" w:line="560" w:lineRule="exact"/>
        <w:ind w:firstLine="560" w:firstLineChars="200"/>
        <w:rPr>
          <w:rFonts w:ascii="宋体" w:hAnsi="宋体" w:cs="宋体"/>
          <w:szCs w:val="24"/>
        </w:rPr>
      </w:pPr>
      <w:r>
        <w:rPr>
          <w:rFonts w:hint="eastAsia" w:ascii="宋体" w:hAnsi="宋体" w:cs="宋体"/>
          <w:szCs w:val="24"/>
        </w:rPr>
        <w:t>（3）公司应当指派具有一定经验的人员进行初步鉴别，判断是不是危险物品；若不能排除危险物品，应立即打l10报警请警方专业人员进行检测和处理。 </w:t>
      </w:r>
    </w:p>
    <w:p>
      <w:pPr>
        <w:spacing w:after="0" w:line="560" w:lineRule="exact"/>
        <w:ind w:firstLine="560" w:firstLineChars="200"/>
        <w:rPr>
          <w:rFonts w:ascii="宋体" w:hAnsi="宋体" w:cs="宋体"/>
          <w:szCs w:val="24"/>
        </w:rPr>
      </w:pPr>
      <w:r>
        <w:rPr>
          <w:rFonts w:hint="eastAsia" w:ascii="宋体" w:hAnsi="宋体" w:cs="宋体"/>
          <w:szCs w:val="24"/>
        </w:rPr>
        <w:t>（4）若可疑邮包和物品被警方确定为危险物品，公司应立即在其周围设置警戒线，无关人员应立即撤离，并采取严密的防范措施。 </w:t>
      </w:r>
    </w:p>
    <w:p>
      <w:pPr>
        <w:spacing w:after="0" w:line="560" w:lineRule="exact"/>
        <w:ind w:firstLine="560" w:firstLineChars="200"/>
        <w:rPr>
          <w:rFonts w:ascii="宋体" w:hAnsi="宋体" w:cs="宋体"/>
          <w:szCs w:val="24"/>
        </w:rPr>
      </w:pPr>
      <w:r>
        <w:rPr>
          <w:rFonts w:hint="eastAsia" w:ascii="宋体" w:hAnsi="宋体" w:cs="宋体"/>
          <w:szCs w:val="24"/>
        </w:rPr>
        <w:t>（5）公司应当配合警方组织人员在公司其它区域搜寻检查，确定在公司内是否还有其它可疑物品。</w:t>
      </w:r>
    </w:p>
    <w:p>
      <w:pPr>
        <w:pStyle w:val="7"/>
        <w:spacing w:line="360" w:lineRule="auto"/>
        <w:ind w:firstLine="562"/>
        <w:rPr>
          <w:rFonts w:asciiTheme="minorEastAsia" w:hAnsiTheme="minorEastAsia" w:eastAsiaTheme="minorEastAsia" w:cstheme="minorEastAsia"/>
          <w:szCs w:val="28"/>
        </w:rPr>
      </w:pPr>
      <w:bookmarkStart w:id="190" w:name="_Toc101798316"/>
      <w:r>
        <w:rPr>
          <w:rFonts w:asciiTheme="minorEastAsia" w:hAnsiTheme="minorEastAsia" w:eastAsiaTheme="minorEastAsia" w:cstheme="minorEastAsia"/>
          <w:szCs w:val="28"/>
        </w:rPr>
        <w:t>6.5</w:t>
      </w:r>
      <w:r>
        <w:rPr>
          <w:rFonts w:hint="eastAsia" w:asciiTheme="minorEastAsia" w:hAnsiTheme="minorEastAsia" w:eastAsiaTheme="minorEastAsia" w:cstheme="minorEastAsia"/>
          <w:szCs w:val="28"/>
        </w:rPr>
        <w:t>应急物资与装备保障</w:t>
      </w:r>
      <w:bookmarkEnd w:id="190"/>
    </w:p>
    <w:p>
      <w:pPr>
        <w:spacing w:after="0" w:line="560" w:lineRule="exact"/>
        <w:ind w:firstLine="560" w:firstLineChars="200"/>
        <w:rPr>
          <w:rFonts w:ascii="宋体" w:hAnsi="宋体" w:cs="宋体"/>
          <w:szCs w:val="24"/>
        </w:rPr>
      </w:pPr>
      <w:r>
        <w:rPr>
          <w:rFonts w:hint="eastAsia" w:ascii="宋体" w:hAnsi="宋体" w:cs="宋体"/>
          <w:szCs w:val="24"/>
        </w:rPr>
        <w:t>反暴恐应急物资和装备根据应急救援的需求提出配置申请，按本企业相关规定采购和储备。必要时，对应急装备的使用应进行培训或组织演练，确保应急时应急装备的正确使用。日常应加强应急物资和装备的管理和维护。</w:t>
      </w:r>
    </w:p>
    <w:p>
      <w:pPr>
        <w:pStyle w:val="19"/>
        <w:ind w:firstLine="420"/>
      </w:pPr>
    </w:p>
    <w:bookmarkEnd w:id="104"/>
    <w:p>
      <w:pPr>
        <w:pStyle w:val="5"/>
        <w:pageBreakBefore/>
        <w:tabs>
          <w:tab w:val="clear" w:pos="0"/>
        </w:tabs>
        <w:spacing w:line="500" w:lineRule="exact"/>
        <w:ind w:left="0"/>
        <w:jc w:val="center"/>
        <w:rPr>
          <w:rFonts w:hAnsi="宋体"/>
          <w:snapToGrid w:val="0"/>
          <w:kern w:val="0"/>
        </w:rPr>
      </w:pPr>
      <w:bookmarkStart w:id="191" w:name="_Toc101798317"/>
      <w:r>
        <w:rPr>
          <w:rFonts w:hint="eastAsia" w:hAnsi="宋体"/>
          <w:snapToGrid w:val="0"/>
          <w:kern w:val="0"/>
        </w:rPr>
        <w:t>第三篇 现场处置方案</w:t>
      </w:r>
      <w:bookmarkEnd w:id="99"/>
      <w:bookmarkEnd w:id="100"/>
      <w:bookmarkEnd w:id="191"/>
    </w:p>
    <w:p>
      <w:pPr>
        <w:pStyle w:val="6"/>
        <w:ind w:firstLine="562"/>
        <w:rPr>
          <w:rFonts w:asciiTheme="majorEastAsia" w:hAnsiTheme="majorEastAsia" w:eastAsiaTheme="majorEastAsia"/>
          <w:szCs w:val="28"/>
        </w:rPr>
      </w:pPr>
      <w:bookmarkStart w:id="192" w:name="_Toc101798318"/>
      <w:bookmarkStart w:id="193" w:name="_Toc78796065"/>
      <w:bookmarkStart w:id="194" w:name="_Toc262910327"/>
      <w:bookmarkStart w:id="195" w:name="_Toc491896820"/>
      <w:bookmarkStart w:id="196" w:name="_Toc492828909"/>
      <w:bookmarkStart w:id="197" w:name="_Toc505002520"/>
      <w:bookmarkStart w:id="198" w:name="_Toc505760464"/>
      <w:bookmarkStart w:id="199" w:name="_Toc505002546"/>
      <w:bookmarkStart w:id="200" w:name="_Toc358032899"/>
      <w:bookmarkStart w:id="201" w:name="_Toc11196_WPSOffice_Level1"/>
      <w:bookmarkStart w:id="202" w:name="_Toc498763627"/>
      <w:r>
        <w:rPr>
          <w:rFonts w:hint="eastAsia" w:asciiTheme="majorEastAsia" w:hAnsiTheme="majorEastAsia" w:eastAsiaTheme="majorEastAsia"/>
          <w:szCs w:val="28"/>
        </w:rPr>
        <w:t>1.火灾、爆炸事故现场处置方案</w:t>
      </w:r>
      <w:bookmarkEnd w:id="192"/>
      <w:bookmarkEnd w:id="193"/>
    </w:p>
    <w:tbl>
      <w:tblPr>
        <w:tblStyle w:val="4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755"/>
        <w:gridCol w:w="6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405" w:type="dxa"/>
            <w:gridSpan w:val="2"/>
            <w:vAlign w:val="center"/>
          </w:tcPr>
          <w:p>
            <w:pPr>
              <w:pStyle w:val="108"/>
              <w:spacing w:line="240" w:lineRule="auto"/>
              <w:jc w:val="center"/>
              <w:rPr>
                <w:rFonts w:asciiTheme="majorEastAsia" w:hAnsiTheme="majorEastAsia" w:eastAsiaTheme="majorEastAsia" w:cstheme="majorEastAsia"/>
                <w:sz w:val="24"/>
                <w:szCs w:val="24"/>
              </w:rPr>
            </w:pPr>
            <w:bookmarkStart w:id="203" w:name="_Hlk512367414"/>
            <w:r>
              <w:rPr>
                <w:rFonts w:hint="eastAsia" w:asciiTheme="majorEastAsia" w:hAnsiTheme="majorEastAsia" w:eastAsiaTheme="majorEastAsia" w:cstheme="majorEastAsia"/>
                <w:sz w:val="24"/>
                <w:szCs w:val="24"/>
              </w:rPr>
              <w:t>项目</w:t>
            </w:r>
          </w:p>
        </w:tc>
        <w:tc>
          <w:tcPr>
            <w:tcW w:w="6280"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事故风险描述</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危险性分析</w:t>
            </w:r>
          </w:p>
        </w:tc>
        <w:tc>
          <w:tcPr>
            <w:tcW w:w="6280" w:type="dxa"/>
            <w:vAlign w:val="center"/>
          </w:tcPr>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在本企业生产经营过程中，工艺区、管网系统、现场设备、材料放置区、焊接作业区、办公区域、服务网点等均存在着或多或少的易燃、可燃物质。这些易燃、可燃物质遇到助燃物且温度达到燃点时，就有可能发生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可能发生的</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事故类型</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火灾、爆炸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区域（设备）名称</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工艺区、管网系统、现场设备、材料放置区、焊接作业区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可能发生的季节、时段</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火灾事故多发生于干燥、多风的春秋季节，但燃气泄漏、电器故障、生产作业活动等引发的火灾事故则没有明显的季节特征，随时都有发生的可能。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事故危害程度</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人员伤亡、财产损失、环境污染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事故征兆</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由于企业工艺特点以及天然气的特性，事故前可能出现的征兆可能有散发四氢噻吩臭味、头晕等。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应急组织与职责</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组织与人员</w:t>
            </w:r>
          </w:p>
        </w:tc>
        <w:tc>
          <w:tcPr>
            <w:tcW w:w="6280" w:type="dxa"/>
            <w:vAlign w:val="center"/>
          </w:tcPr>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现场指挥：现场组长</w:t>
            </w:r>
          </w:p>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t>员：现场班组全体组员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具体职责</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一、现场发现者职责：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1）当作业现场人员发现有火灾爆炸事故发生后，应立即向当班组长报告；</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2）在救援人员到达现场前，做好现场警戒，设置警示标志，防止无关人员进入或误操作；</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二、现场组长职责：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1）接到事故报告后，马上按规定上报本企业值班电话0</w:t>
            </w:r>
            <w:r>
              <w:rPr>
                <w:rFonts w:asciiTheme="majorEastAsia" w:hAnsiTheme="majorEastAsia" w:eastAsiaTheme="majorEastAsia" w:cstheme="majorEastAsia"/>
                <w:sz w:val="24"/>
                <w:szCs w:val="24"/>
              </w:rPr>
              <w:t>817-5522874；</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2）启动现场处置方案立即组织现场救援工作，采取措施抢救人员，控制事态发展；</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三、岗位其他人员职责：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1）全力以赴进行现场救护、抢险工作。</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2）做好信息联络、救援人员引导等工作。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应急处置</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事故应急</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处置程序</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发生事故应急时，发现人员必须第一时间向现场组长报告的同时，开展初期灭火工作。现场组长接到报告后立即指挥现场应急救援工作，并报告应急指挥部。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现场应急</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处置措施</w:t>
            </w:r>
          </w:p>
        </w:tc>
        <w:tc>
          <w:tcPr>
            <w:tcW w:w="6280" w:type="dxa"/>
            <w:vAlign w:val="center"/>
          </w:tcPr>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1处置初起火灾的具体措施：</w:t>
            </w:r>
          </w:p>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1.1</w:t>
            </w:r>
            <w:r>
              <w:rPr>
                <w:rFonts w:hint="eastAsia" w:asciiTheme="majorEastAsia" w:hAnsiTheme="majorEastAsia" w:eastAsiaTheme="majorEastAsia" w:cstheme="majorEastAsia"/>
                <w:sz w:val="24"/>
                <w:szCs w:val="24"/>
              </w:rPr>
              <w:t xml:space="preserve">发生火灾时，本企业应急队伍及全体员工为初期灭火的主要力量。应急队员应以移动（手提）灭火器材为主要灭火工具，在确保自身安全的前提下，根据火场燃烧物质的种类，及时切断气源电源，正确使用灭火器材，积极投入灭火战斗；当消防人员参加扑救时，应服从消防人员的调遣。 </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在实施扑救过程中，首先应重点控制管线设施、电气设备、易燃材料集中点等重点防火部位，防止其着火或火势加大，减少火灾造成的环境影响和财产损失。同时注意风向和火势的变化，以及周围烟气的扩散等情况，以便能在火势万一转大后撤离到安全位置。</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1.3要在负有调度职责的部门的指挥下及时切断气源。使用消防水灭火时，一定要先断开电源。  </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2火势转大应采取的安全防范措施： </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2.1如火势转大，应在消防人员指挥下，根据火焰辐射热所涉及到的范围建立警戒区，警戒区域的边界应设警示标志并有专人警戒。  </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2.2根据火势蔓延情况和火场周围可能引起爆炸、毒害的部位，进行转移或隔离，具体措施如下：</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a）在应急救援小组指挥下，迅速将警戒区内的群众与事故应急处理无关的人员撤离，必要时通报相邻单位和周围居民区，以减少不必要的人员伤亡。</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b)明确专人引导和护送疏散人员到安全区域，并在疏散或撤离的路线上设立哨位，指明方向。</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c)协助查清是否有人留在着火区与污染区。 </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d)协助将受伤的人员送往医院救护。 </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e)疏散时人员不要拥挤，不准乘坐电梯。如已经被火隔离，能够穿越时尽量减少身上的化纤织物、闭气、护头、快速通过；不能穿越时应尽量用浸湿的织物或报纸掩住口鼻，等待救援。</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f）保证消防通道畅通，保障车辆的正常通行，维护正常救护秩序。</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g） 注意因火灾爆炸而变形，可能发生倒塌的建筑物发生坍塌，预先采取防范措施。 </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3火灾扑灭后，仍然要派人监护，消灭余火，保护现场，并协助上级部门调查火灾原因，核定火灾损失，查明火灾责任，进行善后处理。未经公安部门和上级安全监督管理部门的同意，不得擅自清理火灾现场。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通讯联系</w:t>
            </w:r>
          </w:p>
        </w:tc>
        <w:tc>
          <w:tcPr>
            <w:tcW w:w="6280" w:type="dxa"/>
            <w:vAlign w:val="center"/>
          </w:tcPr>
          <w:p>
            <w:pPr>
              <w:pStyle w:val="108"/>
              <w:spacing w:line="24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本企业24小时应急值守电话：</w:t>
            </w:r>
            <w:r>
              <w:rPr>
                <w:rFonts w:hint="eastAsia" w:asciiTheme="minorEastAsia" w:hAnsiTheme="minorEastAsia" w:eastAsiaTheme="minorEastAsia" w:cstheme="minorEastAsia"/>
                <w:color w:val="FF0000"/>
                <w:sz w:val="24"/>
                <w:szCs w:val="24"/>
              </w:rPr>
              <w:t xml:space="preserve">  </w:t>
            </w:r>
            <w:r>
              <w:rPr>
                <w:rFonts w:hint="eastAsia" w:asciiTheme="minorEastAsia" w:hAnsiTheme="minorEastAsia" w:eastAsiaTheme="minorEastAsia" w:cstheme="minorEastAsia"/>
                <w:sz w:val="24"/>
                <w:szCs w:val="24"/>
              </w:rPr>
              <w:t>0817—5522874</w:t>
            </w:r>
          </w:p>
          <w:p>
            <w:pPr>
              <w:pStyle w:val="108"/>
              <w:spacing w:line="240" w:lineRule="auto"/>
              <w:rPr>
                <w:rFonts w:asciiTheme="majorEastAsia" w:hAnsiTheme="majorEastAsia" w:eastAsiaTheme="majorEastAsia" w:cstheme="majorEastAsia"/>
                <w:sz w:val="24"/>
                <w:szCs w:val="24"/>
              </w:rPr>
            </w:pPr>
            <w:r>
              <w:rPr>
                <w:rFonts w:hint="eastAsia" w:asciiTheme="minorEastAsia" w:hAnsiTheme="minorEastAsia" w:eastAsiaTheme="minorEastAsia" w:cstheme="minorEastAsia"/>
                <w:sz w:val="24"/>
                <w:szCs w:val="24"/>
              </w:rPr>
              <w:t>火警：119   急救中心：120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注意事项</w:t>
            </w:r>
          </w:p>
        </w:tc>
        <w:tc>
          <w:tcPr>
            <w:tcW w:w="8035" w:type="dxa"/>
            <w:gridSpan w:val="2"/>
            <w:vAlign w:val="center"/>
          </w:tcPr>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（1）佩戴个人防护器具方面的注意事项</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参加火灾事故应急救援行动，应急救援人员必须佩戴和使用符合要求的防护用品。严禁救援人员在没有采取防护措施的情况下盲目施救。</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（2）使用抢险救援器材方面的注意事项</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1）在可能发生燃爆区域必须配备防爆救援器材和防静电劳保用品。</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2）在危险区域以外才可设置应急照明灯。 </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（3）采取救援对策或措施方面的注意事项</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1）应急救援时，应贯彻“以人为本”的原则，先抢救受伤人员。</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2）应急救援时应注意，防止事故扩大。</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3）应急救援人员必须采取可靠的安全防护措施后方可进入现场，参加应急救援行动。</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 应急救援结束后的注意事项：注意保护好事故现场，便于调查分析事故原因。</w:t>
            </w:r>
          </w:p>
        </w:tc>
      </w:tr>
      <w:bookmarkEnd w:id="203"/>
    </w:tbl>
    <w:p>
      <w:pPr>
        <w:pStyle w:val="6"/>
        <w:ind w:firstLine="562"/>
        <w:rPr>
          <w:rFonts w:asciiTheme="majorEastAsia" w:hAnsiTheme="majorEastAsia" w:eastAsiaTheme="majorEastAsia" w:cstheme="majorEastAsia"/>
        </w:rPr>
      </w:pPr>
      <w:bookmarkStart w:id="204" w:name="_Toc491896809"/>
      <w:bookmarkStart w:id="205" w:name="_Toc43818903"/>
      <w:bookmarkStart w:id="206" w:name="_Toc101798319"/>
      <w:bookmarkStart w:id="207" w:name="_Toc78796066"/>
      <w:r>
        <w:rPr>
          <w:rFonts w:hint="eastAsia" w:asciiTheme="majorEastAsia" w:hAnsiTheme="majorEastAsia" w:eastAsiaTheme="majorEastAsia" w:cstheme="majorEastAsia"/>
          <w:szCs w:val="28"/>
        </w:rPr>
        <w:t>2.</w:t>
      </w:r>
      <w:bookmarkEnd w:id="194"/>
      <w:bookmarkEnd w:id="204"/>
      <w:bookmarkEnd w:id="205"/>
      <w:r>
        <w:rPr>
          <w:rFonts w:hint="eastAsia" w:asciiTheme="majorEastAsia" w:hAnsiTheme="majorEastAsia" w:eastAsiaTheme="majorEastAsia" w:cstheme="majorEastAsia"/>
        </w:rPr>
        <w:t>管道燃气泄漏现场处置方案</w:t>
      </w:r>
      <w:bookmarkEnd w:id="195"/>
      <w:bookmarkEnd w:id="196"/>
      <w:bookmarkEnd w:id="206"/>
      <w:bookmarkEnd w:id="207"/>
    </w:p>
    <w:tbl>
      <w:tblPr>
        <w:tblStyle w:val="4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755"/>
        <w:gridCol w:w="6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405" w:type="dxa"/>
            <w:gridSpan w:val="2"/>
            <w:vAlign w:val="center"/>
          </w:tcPr>
          <w:p>
            <w:pPr>
              <w:pStyle w:val="108"/>
              <w:spacing w:line="240" w:lineRule="auto"/>
              <w:jc w:val="center"/>
              <w:rPr>
                <w:rFonts w:asciiTheme="majorEastAsia" w:hAnsiTheme="majorEastAsia" w:eastAsiaTheme="majorEastAsia" w:cstheme="majorEastAsia"/>
                <w:sz w:val="24"/>
                <w:szCs w:val="24"/>
              </w:rPr>
            </w:pPr>
            <w:bookmarkStart w:id="208" w:name="_Toc492828910"/>
            <w:bookmarkStart w:id="209" w:name="_Toc491896821"/>
            <w:r>
              <w:rPr>
                <w:rFonts w:hint="eastAsia" w:asciiTheme="majorEastAsia" w:hAnsiTheme="majorEastAsia" w:eastAsiaTheme="majorEastAsia" w:cstheme="majorEastAsia"/>
                <w:sz w:val="24"/>
                <w:szCs w:val="24"/>
              </w:rPr>
              <w:t>项目</w:t>
            </w:r>
          </w:p>
        </w:tc>
        <w:tc>
          <w:tcPr>
            <w:tcW w:w="6280"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事故风险描述</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危险性分析</w:t>
            </w:r>
          </w:p>
        </w:tc>
        <w:tc>
          <w:tcPr>
            <w:tcW w:w="6280" w:type="dxa"/>
            <w:vAlign w:val="center"/>
          </w:tcPr>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rPr>
              <w:t>室外管道及调压设施、室内管道及计量仪表、管道阀门井等，受材质、制造工艺、安装、自然灾害、人为破坏、严重腐蚀、操作不当和维护不到位等因素的影响，在运行或安全附件失效时，会出现管道穿孔、破裂等情况，造成天然气的泄漏，如果泄漏的天然气遇火，将产生喷射火焰，甚至发生火灾、爆炸事故，从而引起热辐射和爆炸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可能发生的</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事故类型</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火灾、爆炸、中毒窒息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区域（设备）名称</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室外管道及调压设施、室内管道及计量仪表、管道阀门井等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可能发生的季节、时段</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天然气泄漏无季节性。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事故危害程度</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人员伤亡、财产损失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事故征兆</w:t>
            </w:r>
          </w:p>
        </w:tc>
        <w:tc>
          <w:tcPr>
            <w:tcW w:w="6280" w:type="dxa"/>
            <w:vAlign w:val="center"/>
          </w:tcPr>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1）空气中会有燃气加臭剂气味；2）</w:t>
            </w:r>
            <w:r>
              <w:rPr>
                <w:rFonts w:hint="eastAsia" w:asciiTheme="majorEastAsia" w:hAnsiTheme="majorEastAsia" w:eastAsiaTheme="majorEastAsia" w:cstheme="majorEastAsia"/>
                <w:sz w:val="24"/>
                <w:szCs w:val="24"/>
              </w:rPr>
              <w:t>漏点较大能听到漏气声</w:t>
            </w:r>
            <w:r>
              <w:rPr>
                <w:rFonts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t>漏点附近易出现土壤变色、周围植物非正常枯萎或死亡等现象。</w:t>
            </w:r>
            <w:r>
              <w:rPr>
                <w:rFonts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t>用气时，计量表产生流量。</w:t>
            </w:r>
            <w:r>
              <w:rPr>
                <w:rFonts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rPr>
              <w:t>泄漏点用发泡剂检测，会产生气泡。</w:t>
            </w:r>
            <w:r>
              <w:rPr>
                <w:rFonts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t>当空气中的浓度达到</w:t>
            </w:r>
            <w:r>
              <w:rPr>
                <w:rFonts w:asciiTheme="majorEastAsia" w:hAnsiTheme="majorEastAsia" w:eastAsiaTheme="majorEastAsia" w:cstheme="majorEastAsia"/>
                <w:sz w:val="24"/>
                <w:szCs w:val="24"/>
              </w:rPr>
              <w:t>25%时，可导致人体缺氧而造成神经系统损害，严重时可表现呼吸麻痹、昏迷、甚至死亡</w:t>
            </w:r>
            <w:r>
              <w:rPr>
                <w:rFonts w:hint="eastAsia" w:asciiTheme="majorEastAsia" w:hAnsiTheme="majorEastAsia" w:eastAsiaTheme="majorEastAsia" w:cstheme="maj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应急组织与职责</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组织与人员</w:t>
            </w:r>
          </w:p>
        </w:tc>
        <w:tc>
          <w:tcPr>
            <w:tcW w:w="6280" w:type="dxa"/>
            <w:vAlign w:val="center"/>
          </w:tcPr>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现场指挥：现场组长</w:t>
            </w:r>
          </w:p>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t>员：现场班组全体组员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具体职责</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一、现场发现者职责：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1）当作业现场人员发现有火灾爆炸事故发生后，应立即向现场组长报告；</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2）在救援人员到达现场前，做好现场警戒，设置警示标志，防止无关人员进入或误操作；</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二、现场组长职责：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1）接到事故报告后，马上按规定上报本企业值班电话0</w:t>
            </w:r>
            <w:r>
              <w:rPr>
                <w:rFonts w:asciiTheme="majorEastAsia" w:hAnsiTheme="majorEastAsia" w:eastAsiaTheme="majorEastAsia" w:cstheme="majorEastAsia"/>
                <w:sz w:val="24"/>
                <w:szCs w:val="24"/>
              </w:rPr>
              <w:t>817-5522874；</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2）启动现场处置方案立即组织现场救援工作，采取措施抢救人员，控制事态发展；</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三、岗位其他人员职责：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1）全力以赴进行现场救护、抢险工作。</w:t>
            </w:r>
          </w:p>
          <w:p>
            <w:pPr>
              <w:pStyle w:val="108"/>
              <w:spacing w:line="240" w:lineRule="auto"/>
              <w:jc w:val="left"/>
              <w:rPr>
                <w:rFonts w:ascii="Tahoma" w:hAnsi="Tahoma" w:eastAsia="微软雅黑"/>
                <w:szCs w:val="22"/>
              </w:rPr>
            </w:pPr>
            <w:r>
              <w:rPr>
                <w:rFonts w:hint="eastAsia" w:asciiTheme="majorEastAsia" w:hAnsiTheme="majorEastAsia" w:eastAsiaTheme="majorEastAsia" w:cstheme="majorEastAsia"/>
                <w:sz w:val="24"/>
                <w:szCs w:val="24"/>
              </w:rPr>
              <w:t>2）做好信息联络、救援人员引导等工作。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应急处置</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事故应急</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处置程序</w:t>
            </w:r>
          </w:p>
        </w:tc>
        <w:tc>
          <w:tcPr>
            <w:tcW w:w="6280" w:type="dxa"/>
            <w:vAlign w:val="center"/>
          </w:tcPr>
          <w:p>
            <w:pPr>
              <w:pStyle w:val="108"/>
              <w:spacing w:line="240" w:lineRule="auto"/>
              <w:jc w:val="left"/>
              <w:rPr>
                <w:rFonts w:ascii="Tahoma" w:hAnsi="Tahoma" w:eastAsia="微软雅黑"/>
                <w:szCs w:val="22"/>
              </w:rPr>
            </w:pPr>
            <w:r>
              <w:rPr>
                <w:rFonts w:hint="eastAsia" w:asciiTheme="majorEastAsia" w:hAnsiTheme="majorEastAsia" w:eastAsiaTheme="majorEastAsia" w:cstheme="majorEastAsia"/>
                <w:sz w:val="24"/>
                <w:szCs w:val="24"/>
              </w:rPr>
              <w:t>发生事故应急时，发现人员必须第一时间向现场组长报告的同时，开展初期灭火工作。现场组长接到报告后立即指挥现场应急救援工作，并报告应急指挥部。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现场应急</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处置措施</w:t>
            </w:r>
          </w:p>
        </w:tc>
        <w:tc>
          <w:tcPr>
            <w:tcW w:w="6280" w:type="dxa"/>
            <w:vAlign w:val="center"/>
          </w:tcPr>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应根据其泄漏所处环境和燃烧特点，迅速有效地排除险情，避免发生爆炸燃烧事故。处置过程必须坚持“先防爆、后排险”，“先控制火源、后控制泄漏”，“边处置边汇报”的原则。</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1 室外燃气管道泄漏 </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a) 用可燃气体检测仪检测现场燃气浓度，确定泄漏点，以漏点为中心设置有效警戒区，禁止无关人员、车辆进入，禁止一切火源进入，切断泄漏点周围的电源，移除易燃物。</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b) 对漏点位于开放空间，警戒区设置半径超过10米，且泄漏点已确认为微小泄漏的，可采取包扎、pe管夹具堵漏的方式进行临时处理。监护到抢修队伍到达再停气维修。</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c) 对漏点位于密闭空间、或燃气已扩散到密闭空间（包括暗沟、室内等）、或临近重要场所（加油、加气站，易燃物堆积区、人员密集区），必须立即关闭阀门、切断气源，在安全区域进行放空，并做好现场监护工作。</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d) 对漏气量大、周围环境复杂、无法及时切断气源的，应立即逐级上报，通知当地政府、住建、公安、消防、应急等部门，迅速组织对泄漏点稀释，疏散事故发生地的人员、车辆或进行交通管制、道路封闭等。</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e) 对已发生燃烧的，小火用干粉灭火器或二氧化碳灭火器灭，大火迅速拨打“119”消防电话，用喷水或喷水雾来扑灭火源。同时立即关闭气源、做好现场的警戒工作。有人员伤亡的立即拨打“120”急救电话。</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f) 对已发生爆炸的，立即关闭气源，并逐级汇报，按应急抢险预案执行。</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 室内燃气管泄漏</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a) 立即关闭阀门，切断气源。</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b) 用可燃气体检测仪检测现场燃气浓度后，迅速打开门窗通风，动作要缓慢。检测过程禁止使用无防爆的工具、设备、电源。禁止无关人员、一切火源进入，不得开关室内外任何电源或拨打电话。</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b) 对已发生燃烧的，小火用干粉灭火器或二氧化碳灭火器灭，大火迅速关闭气源后拨打“119”消防电话，由消防人员来扑灭火源。做好现场人员疏散等配合协调工作。</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3.3 管道阀门井泄漏</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a) 用可燃气体检测仪检测现场燃气浓度，判断漏气程度和确认漏点位置是否在阀井内。</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b) 以阀井为中心设置警戒区，警戒区半径不小于10米，禁止无关人员、车辆进入，禁止一切火源进入，切断泄漏点周围的电源，移除易燃物。</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c) 使用防爆工具打开阀井盖，用防爆轴流风机送风，进行空气置换。</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d) 用可燃气体检测仪不间断检测阀井内燃气浓度。</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e) 下井检测必须有两人以上监护，下井人员必须佩防毒空呼器，穿戴防静电劳保用品。</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f) 对阀门螺栓静密封点轻微泄漏，可用防爆工具进行紧固处理。</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g) 对阀井内管道泄漏或阀门泄漏较大的，立即出井，关闭上流阀门，放空气源后组织抢修。</w:t>
            </w:r>
          </w:p>
          <w:p>
            <w:pPr>
              <w:pStyle w:val="108"/>
              <w:spacing w:line="240" w:lineRule="auto"/>
              <w:jc w:val="left"/>
              <w:rPr>
                <w:rFonts w:ascii="Tahoma" w:hAnsi="Tahoma" w:eastAsia="微软雅黑"/>
                <w:szCs w:val="22"/>
              </w:rPr>
            </w:pPr>
            <w:r>
              <w:rPr>
                <w:rFonts w:hint="eastAsia" w:asciiTheme="majorEastAsia" w:hAnsiTheme="majorEastAsia" w:eastAsiaTheme="majorEastAsia" w:cstheme="majorEastAsia"/>
                <w:sz w:val="24"/>
                <w:szCs w:val="24"/>
              </w:rPr>
              <w:t>h) 如阀井内已发生燃烧、爆炸，立即关闭上流阀门，待火势扑灭、气源切断后，按应急抢险预案执行。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通讯联系</w:t>
            </w:r>
          </w:p>
        </w:tc>
        <w:tc>
          <w:tcPr>
            <w:tcW w:w="6280" w:type="dxa"/>
            <w:vAlign w:val="center"/>
          </w:tcPr>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zh-CN"/>
              </w:rPr>
              <w:t>本企业24小时应急值守电话：</w:t>
            </w:r>
            <w:r>
              <w:rPr>
                <w:rFonts w:hint="eastAsia" w:ascii="宋体" w:hAnsi="宋体" w:cs="宋体" w:eastAsiaTheme="majorEastAsia"/>
                <w:sz w:val="24"/>
                <w:szCs w:val="24"/>
              </w:rPr>
              <w:t>0817—5522874</w:t>
            </w:r>
          </w:p>
          <w:p>
            <w:pPr>
              <w:pStyle w:val="108"/>
              <w:spacing w:line="240" w:lineRule="auto"/>
              <w:rPr>
                <w:rFonts w:ascii="Tahoma" w:hAnsi="Tahoma" w:eastAsia="微软雅黑"/>
                <w:szCs w:val="22"/>
              </w:rPr>
            </w:pPr>
            <w:r>
              <w:rPr>
                <w:rFonts w:hint="eastAsia" w:asciiTheme="majorEastAsia" w:hAnsiTheme="majorEastAsia" w:eastAsiaTheme="majorEastAsia" w:cstheme="majorEastAsia"/>
                <w:sz w:val="24"/>
                <w:szCs w:val="24"/>
              </w:rPr>
              <w:t>火警：119   急救中心：120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注意事项</w:t>
            </w:r>
          </w:p>
        </w:tc>
        <w:tc>
          <w:tcPr>
            <w:tcW w:w="8035" w:type="dxa"/>
            <w:gridSpan w:val="2"/>
            <w:vAlign w:val="center"/>
          </w:tcPr>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r>
              <w:rPr>
                <w:rFonts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rPr>
              <w:t>抢险人员应佩带职责标志；</w:t>
            </w:r>
          </w:p>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rPr>
              <w:t>对事故现场应考虑全面、决策果断、措施到位。对周围环境要细致观察，判断是否会产生次生、衍生事故，从而采取相应的处置措施。</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r>
              <w:rPr>
                <w:rFonts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rPr>
              <w:t>要根据现场情况设置警戒区域，警戒区内禁止使用手机等通讯工具和非防爆型机电设备及仪器、禁止吸烟和使用动火外的一切明火。</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4.处置过程中，要加强安全监护，穿戴规定的劳保、防护用品。</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r>
              <w:rPr>
                <w:rFonts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rPr>
              <w:t>处置操作中，在现场燃气浓度未降为0之前，必须使用防爆、防静电工具。紧固操作时，力量要均匀，对没有把握的操作不能蛮干，以免造成更大的破坏。</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w:t>
            </w:r>
            <w:r>
              <w:rPr>
                <w:rFonts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rPr>
              <w:t>密闭空间或半封闭空间作业，应确认无火源产生，必须有专人监护，必须采取消除静电措施，必要时要戴防毒面具方可进出。</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7</w:t>
            </w:r>
            <w:r>
              <w:rPr>
                <w:rFonts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rPr>
              <w:t>埋地管道泄漏，必须对漏气点周围其他阀井(如热力、电信、污水、上水等阀井)用可燃气体检测仪进行检测，确认是否窜入燃气，如已经窜入燃气，则打开这些井盖放散，并且由专人在一旁监护。</w:t>
            </w:r>
          </w:p>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8.</w:t>
            </w:r>
            <w:r>
              <w:rPr>
                <w:rFonts w:hint="eastAsia" w:asciiTheme="majorEastAsia" w:hAnsiTheme="majorEastAsia" w:eastAsiaTheme="majorEastAsia" w:cstheme="majorEastAsia"/>
                <w:sz w:val="24"/>
                <w:szCs w:val="24"/>
              </w:rPr>
              <w:t>若室内有因燃中毒或昏迷人员，迅速将受害人员转移至室外，拨打“120”急救电话，必要时进行人工呼吸施救，并对救出的人员采取必要的保暖措施。</w:t>
            </w:r>
          </w:p>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9.</w:t>
            </w:r>
            <w:r>
              <w:rPr>
                <w:rFonts w:hint="eastAsia" w:asciiTheme="majorEastAsia" w:hAnsiTheme="majorEastAsia" w:eastAsiaTheme="majorEastAsia" w:cstheme="majorEastAsia"/>
                <w:sz w:val="24"/>
                <w:szCs w:val="24"/>
              </w:rPr>
              <w:t>对已发生燃烧或爆炸，且现场抢险人员无法控制的情况，应迅速撤离到安全地带汇报，寻求后续支援。</w:t>
            </w:r>
          </w:p>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10.</w:t>
            </w:r>
            <w:r>
              <w:rPr>
                <w:rFonts w:hint="eastAsia" w:asciiTheme="majorEastAsia" w:hAnsiTheme="majorEastAsia" w:eastAsiaTheme="majorEastAsia" w:cstheme="majorEastAsia"/>
                <w:sz w:val="24"/>
                <w:szCs w:val="24"/>
              </w:rPr>
              <w:t>应急处置完毕或抢修完毕后，应对现场及周边区域进行复查，确认无燃气浓度后，方可离开。</w:t>
            </w:r>
          </w:p>
          <w:p>
            <w:pPr>
              <w:pStyle w:val="108"/>
              <w:spacing w:line="240" w:lineRule="auto"/>
              <w:jc w:val="left"/>
              <w:rPr>
                <w:rFonts w:ascii="Tahoma" w:hAnsi="Tahoma" w:eastAsia="微软雅黑"/>
                <w:szCs w:val="22"/>
              </w:rPr>
            </w:pPr>
            <w:r>
              <w:rPr>
                <w:rFonts w:asciiTheme="majorEastAsia" w:hAnsiTheme="majorEastAsia" w:eastAsiaTheme="majorEastAsia" w:cstheme="majorEastAsia"/>
                <w:sz w:val="24"/>
                <w:szCs w:val="24"/>
              </w:rPr>
              <w:t>11.</w:t>
            </w:r>
            <w:r>
              <w:rPr>
                <w:rFonts w:hint="eastAsia" w:asciiTheme="majorEastAsia" w:hAnsiTheme="majorEastAsia" w:eastAsiaTheme="majorEastAsia" w:cstheme="majorEastAsia"/>
                <w:sz w:val="24"/>
                <w:szCs w:val="24"/>
              </w:rPr>
              <w:t>事后要做好事故处置记录和事故汇报工作。</w:t>
            </w:r>
          </w:p>
        </w:tc>
      </w:tr>
      <w:bookmarkEnd w:id="208"/>
      <w:bookmarkEnd w:id="209"/>
    </w:tbl>
    <w:p>
      <w:pPr>
        <w:pStyle w:val="6"/>
        <w:spacing w:line="500" w:lineRule="exact"/>
        <w:ind w:firstLine="562"/>
        <w:rPr>
          <w:rFonts w:hAnsi="宋体"/>
          <w:szCs w:val="28"/>
        </w:rPr>
      </w:pPr>
      <w:bookmarkStart w:id="210" w:name="_Toc78796067"/>
      <w:bookmarkStart w:id="211" w:name="_Toc101798320"/>
      <w:r>
        <w:rPr>
          <w:rFonts w:hint="eastAsia" w:hAnsi="宋体"/>
          <w:szCs w:val="28"/>
        </w:rPr>
        <w:t>3.户内燃气泄漏现场处置方案</w:t>
      </w:r>
      <w:bookmarkEnd w:id="197"/>
      <w:bookmarkEnd w:id="210"/>
      <w:bookmarkEnd w:id="211"/>
    </w:p>
    <w:tbl>
      <w:tblPr>
        <w:tblStyle w:val="4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755"/>
        <w:gridCol w:w="6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405" w:type="dxa"/>
            <w:gridSpan w:val="2"/>
            <w:vAlign w:val="center"/>
          </w:tcPr>
          <w:p>
            <w:pPr>
              <w:pStyle w:val="108"/>
              <w:spacing w:line="240" w:lineRule="auto"/>
              <w:jc w:val="center"/>
              <w:rPr>
                <w:rFonts w:asciiTheme="majorEastAsia" w:hAnsiTheme="majorEastAsia" w:eastAsiaTheme="majorEastAsia" w:cstheme="majorEastAsia"/>
                <w:sz w:val="24"/>
                <w:szCs w:val="24"/>
              </w:rPr>
            </w:pPr>
            <w:bookmarkStart w:id="212" w:name="_Toc505002521"/>
            <w:bookmarkStart w:id="213" w:name="_Toc492828900"/>
            <w:bookmarkStart w:id="214" w:name="_Toc491896811"/>
            <w:r>
              <w:rPr>
                <w:rFonts w:hint="eastAsia" w:asciiTheme="majorEastAsia" w:hAnsiTheme="majorEastAsia" w:eastAsiaTheme="majorEastAsia" w:cstheme="majorEastAsia"/>
                <w:sz w:val="24"/>
                <w:szCs w:val="24"/>
              </w:rPr>
              <w:t>项目</w:t>
            </w:r>
          </w:p>
        </w:tc>
        <w:tc>
          <w:tcPr>
            <w:tcW w:w="6280"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事故风险描述</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危险性分析</w:t>
            </w:r>
          </w:p>
        </w:tc>
        <w:tc>
          <w:tcPr>
            <w:tcW w:w="6280" w:type="dxa"/>
            <w:vAlign w:val="center"/>
          </w:tcPr>
          <w:p>
            <w:pPr>
              <w:pStyle w:val="108"/>
              <w:spacing w:line="24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1）户内燃气管线和燃气设施腐蚀老化。部分管线和燃气设施因腐蚀严重造成穿孔漏气，可能导致燃烧或爆炸事故；</w:t>
            </w:r>
          </w:p>
          <w:p>
            <w:pPr>
              <w:jc w:val="both"/>
              <w:rPr>
                <w:rFonts w:ascii="宋体" w:hAnsi="宋体" w:cs="宋体"/>
                <w:sz w:val="24"/>
                <w:szCs w:val="24"/>
              </w:rPr>
            </w:pPr>
            <w:r>
              <w:rPr>
                <w:rFonts w:cs="宋体" w:asciiTheme="minorEastAsia" w:hAnsiTheme="minorEastAsia" w:eastAsiaTheme="minorEastAsia"/>
                <w:kern w:val="2"/>
                <w:sz w:val="24"/>
                <w:szCs w:val="24"/>
              </w:rPr>
              <w:t>2）因用户私自违规将燃气设施、管道敷设在卧室、浴室、厕所、地下室、易燃易爆品的仓库、有腐蚀介质的房间、配电室等地方；或者密封在橱柜、天花板、墙壁等密闭空间内，燃气一旦泄漏，极易发生严重的爆炸事故</w:t>
            </w:r>
            <w:r>
              <w:rPr>
                <w:rFonts w:hint="eastAsia" w:cs="宋体"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可能发生的</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事故类型</w:t>
            </w:r>
          </w:p>
        </w:tc>
        <w:tc>
          <w:tcPr>
            <w:tcW w:w="6280" w:type="dxa"/>
            <w:vAlign w:val="center"/>
          </w:tcPr>
          <w:p>
            <w:pPr>
              <w:pStyle w:val="108"/>
              <w:spacing w:line="240" w:lineRule="auto"/>
              <w:jc w:val="left"/>
              <w:rPr>
                <w:rFonts w:ascii="宋体" w:hAnsi="宋体" w:cs="宋体"/>
                <w:sz w:val="24"/>
                <w:szCs w:val="24"/>
              </w:rPr>
            </w:pPr>
            <w:r>
              <w:rPr>
                <w:rFonts w:hint="eastAsia" w:ascii="宋体" w:hAnsi="宋体" w:cs="宋体"/>
                <w:sz w:val="24"/>
                <w:szCs w:val="24"/>
              </w:rPr>
              <w:t>火灾、爆炸、中毒和窒息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区域（设备）名称</w:t>
            </w:r>
          </w:p>
        </w:tc>
        <w:tc>
          <w:tcPr>
            <w:tcW w:w="6280" w:type="dxa"/>
            <w:vAlign w:val="center"/>
          </w:tcPr>
          <w:p>
            <w:pPr>
              <w:pStyle w:val="108"/>
              <w:spacing w:line="240" w:lineRule="auto"/>
              <w:jc w:val="left"/>
              <w:rPr>
                <w:rFonts w:ascii="宋体" w:hAnsi="宋体" w:cs="宋体"/>
                <w:sz w:val="24"/>
                <w:szCs w:val="24"/>
              </w:rPr>
            </w:pPr>
            <w:r>
              <w:rPr>
                <w:rFonts w:hint="eastAsia" w:ascii="宋体" w:hAnsi="宋体" w:cs="宋体"/>
                <w:sz w:val="24"/>
                <w:szCs w:val="24"/>
              </w:rPr>
              <w:t>用户户内管线或燃气器具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可能发生的季节、时段</w:t>
            </w:r>
          </w:p>
        </w:tc>
        <w:tc>
          <w:tcPr>
            <w:tcW w:w="6280" w:type="dxa"/>
            <w:vAlign w:val="center"/>
          </w:tcPr>
          <w:p>
            <w:pPr>
              <w:pStyle w:val="108"/>
              <w:spacing w:line="240" w:lineRule="auto"/>
              <w:jc w:val="left"/>
              <w:rPr>
                <w:rFonts w:ascii="宋体" w:hAnsi="宋体" w:cs="宋体"/>
                <w:sz w:val="24"/>
                <w:szCs w:val="24"/>
              </w:rPr>
            </w:pPr>
            <w:r>
              <w:rPr>
                <w:rFonts w:hint="eastAsia" w:ascii="宋体" w:hAnsi="宋体" w:cs="宋体"/>
                <w:sz w:val="24"/>
                <w:szCs w:val="24"/>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事故危害程度</w:t>
            </w:r>
          </w:p>
        </w:tc>
        <w:tc>
          <w:tcPr>
            <w:tcW w:w="6280" w:type="dxa"/>
            <w:vAlign w:val="center"/>
          </w:tcPr>
          <w:p>
            <w:pPr>
              <w:pStyle w:val="108"/>
              <w:spacing w:line="240" w:lineRule="auto"/>
              <w:jc w:val="left"/>
              <w:rPr>
                <w:rFonts w:ascii="宋体" w:hAnsi="宋体" w:cs="宋体"/>
                <w:sz w:val="24"/>
                <w:szCs w:val="24"/>
              </w:rPr>
            </w:pPr>
            <w:r>
              <w:rPr>
                <w:rFonts w:hint="eastAsia" w:ascii="宋体" w:hAnsi="宋体" w:cs="宋体"/>
                <w:sz w:val="24"/>
                <w:szCs w:val="24"/>
              </w:rPr>
              <w:t>人员伤亡、财产损失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事故征兆</w:t>
            </w:r>
          </w:p>
        </w:tc>
        <w:tc>
          <w:tcPr>
            <w:tcW w:w="6280" w:type="dxa"/>
            <w:vAlign w:val="center"/>
          </w:tcPr>
          <w:p>
            <w:pPr>
              <w:pStyle w:val="108"/>
              <w:spacing w:line="240" w:lineRule="auto"/>
              <w:jc w:val="left"/>
              <w:rPr>
                <w:rFonts w:ascii="宋体" w:hAnsi="宋体" w:cs="宋体"/>
                <w:sz w:val="24"/>
                <w:szCs w:val="24"/>
              </w:rPr>
            </w:pPr>
            <w:r>
              <w:rPr>
                <w:rFonts w:hint="eastAsia" w:asciiTheme="majorEastAsia" w:hAnsiTheme="majorEastAsia" w:eastAsiaTheme="majorEastAsia" w:cstheme="majorEastAsia"/>
                <w:sz w:val="24"/>
                <w:szCs w:val="24"/>
              </w:rPr>
              <w:t>1）空气中会有燃气加臭剂气味；2）漏点较大能听到漏气声；3）不用气时，计量表产生流量；</w:t>
            </w:r>
            <w:r>
              <w:rPr>
                <w:rFonts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t>）泄漏点用发泡剂检测，会产生气泡；5）当空气中的浓度达到25%时，可导致人体缺氧而造成神经系统损害，严重时可表现呼吸麻痹、昏迷、甚至死亡。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应急组织与职责</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组织与人员</w:t>
            </w:r>
          </w:p>
        </w:tc>
        <w:tc>
          <w:tcPr>
            <w:tcW w:w="6280" w:type="dxa"/>
            <w:vAlign w:val="center"/>
          </w:tcPr>
          <w:p>
            <w:pPr>
              <w:rPr>
                <w:rFonts w:ascii="宋体" w:hAnsi="宋体" w:cs="宋体"/>
                <w:sz w:val="24"/>
                <w:szCs w:val="24"/>
              </w:rPr>
            </w:pPr>
            <w:r>
              <w:rPr>
                <w:rFonts w:hint="eastAsia" w:ascii="宋体" w:hAnsi="宋体" w:cs="宋体"/>
                <w:sz w:val="24"/>
                <w:szCs w:val="24"/>
              </w:rPr>
              <w:t>现场指挥：现场班组长</w:t>
            </w:r>
          </w:p>
          <w:p>
            <w:pPr>
              <w:rPr>
                <w:rFonts w:ascii="宋体" w:hAnsi="宋体" w:cs="宋体"/>
                <w:sz w:val="24"/>
                <w:szCs w:val="24"/>
              </w:rPr>
            </w:pPr>
            <w:r>
              <w:rPr>
                <w:rFonts w:hint="eastAsia" w:ascii="宋体" w:hAnsi="宋体" w:cs="宋体"/>
                <w:sz w:val="24"/>
                <w:szCs w:val="24"/>
              </w:rPr>
              <w:t>成</w:t>
            </w:r>
            <w:r>
              <w:rPr>
                <w:rFonts w:hint="eastAsia" w:ascii="宋体" w:hAnsi="宋体" w:cs="宋体"/>
                <w:sz w:val="24"/>
                <w:szCs w:val="24"/>
              </w:rPr>
              <w:tab/>
            </w:r>
            <w:r>
              <w:rPr>
                <w:rFonts w:hint="eastAsia" w:ascii="宋体" w:hAnsi="宋体" w:cs="宋体"/>
                <w:sz w:val="24"/>
                <w:szCs w:val="24"/>
              </w:rPr>
              <w:t>员：现场全体组员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具体职责</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一、现场组长职责：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1）接到事故报告后，马上按规定上报本企业值班电话0</w:t>
            </w:r>
            <w:r>
              <w:rPr>
                <w:rFonts w:asciiTheme="majorEastAsia" w:hAnsiTheme="majorEastAsia" w:eastAsiaTheme="majorEastAsia" w:cstheme="majorEastAsia"/>
                <w:sz w:val="24"/>
                <w:szCs w:val="24"/>
              </w:rPr>
              <w:t>817-5522874；</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2）启动现场处置方案立即组织现场救援工作，采取措施抢救人员，控制事态发展；</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二、岗位其他人员职责：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1）全力以赴进行现场救护、抢险工作。</w:t>
            </w:r>
          </w:p>
          <w:p>
            <w:pPr>
              <w:spacing w:after="0"/>
              <w:rPr>
                <w:rFonts w:ascii="宋体" w:hAnsi="宋体" w:cs="宋体"/>
                <w:kern w:val="2"/>
                <w:sz w:val="24"/>
                <w:szCs w:val="24"/>
              </w:rPr>
            </w:pPr>
            <w:r>
              <w:rPr>
                <w:rFonts w:hint="eastAsia" w:asciiTheme="majorEastAsia" w:hAnsiTheme="majorEastAsia" w:eastAsiaTheme="majorEastAsia" w:cstheme="majorEastAsia"/>
                <w:sz w:val="24"/>
                <w:szCs w:val="24"/>
              </w:rPr>
              <w:t>2）做好信息联络、救援人员引导等工作。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事故应急</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处置程序</w:t>
            </w:r>
          </w:p>
        </w:tc>
        <w:tc>
          <w:tcPr>
            <w:tcW w:w="6280" w:type="dxa"/>
            <w:vAlign w:val="center"/>
          </w:tcPr>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r>
              <w:rPr>
                <w:rFonts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rPr>
              <w:t>接到用户报险 ( 电话或来访)，首先问明详细地址、报险人姓名、联系电话、报险内容 (如漏气、着火、爆炸等及事故大小)，做好记录，并记录接到报险时间；</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rPr>
              <w:t>抢险值班人员根据报险情况合理安排，接到报险后须立即组织人员带上通讯工具、检漏仪及抢险工具，确保城区内20分钟内到达事故现场，郊区3</w:t>
            </w:r>
            <w:r>
              <w:rPr>
                <w:rFonts w:asciiTheme="majorEastAsia" w:hAnsiTheme="majorEastAsia" w:eastAsiaTheme="majorEastAsia" w:cstheme="majorEastAsia"/>
                <w:sz w:val="24"/>
                <w:szCs w:val="24"/>
              </w:rPr>
              <w:t>0</w:t>
            </w:r>
            <w:r>
              <w:rPr>
                <w:rFonts w:hint="eastAsia" w:asciiTheme="majorEastAsia" w:hAnsiTheme="majorEastAsia" w:eastAsiaTheme="majorEastAsia" w:cstheme="majorEastAsia"/>
                <w:sz w:val="24"/>
                <w:szCs w:val="24"/>
              </w:rPr>
              <w:t>分钟内到达事故现场；</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3.抢险车上随车应携带相应的抢险工具和消防器材；</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w:t>
            </w:r>
            <w:r>
              <w:rPr>
                <w:rFonts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rPr>
              <w:t>到达现场后，根据记录或在报险人的引导下，使用工具、仪器探明险情，确认是否漏气。如属群众误报，应耐心向群众做好解释工作，消除群众顾虑；</w:t>
            </w:r>
          </w:p>
          <w:p>
            <w:pPr>
              <w:pStyle w:val="108"/>
              <w:spacing w:line="240" w:lineRule="auto"/>
              <w:jc w:val="left"/>
              <w:rPr>
                <w:rFonts w:ascii="宋体" w:hAnsi="宋体" w:cs="宋体"/>
                <w:sz w:val="24"/>
                <w:szCs w:val="24"/>
              </w:rPr>
            </w:pPr>
            <w:r>
              <w:rPr>
                <w:rFonts w:hint="eastAsia" w:asciiTheme="majorEastAsia" w:hAnsiTheme="majorEastAsia" w:eastAsiaTheme="majorEastAsia" w:cstheme="majorEastAsia"/>
                <w:sz w:val="24"/>
                <w:szCs w:val="24"/>
              </w:rPr>
              <w:t>5</w:t>
            </w:r>
            <w:r>
              <w:rPr>
                <w:rFonts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rPr>
              <w:t>如确认燃气泄漏或不能排除燃气泄漏可能，应立即实施抢险现场安全措施。当险情超过现场人员处置能力时，应立即疏散人员、迅速离开现场，在安全的地方向值班电话报告，请求启动上一级的抢险应急预案。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应急处置</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现场应急</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处置措施</w:t>
            </w:r>
          </w:p>
        </w:tc>
        <w:tc>
          <w:tcPr>
            <w:tcW w:w="6280" w:type="dxa"/>
            <w:vAlign w:val="center"/>
          </w:tcPr>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r>
              <w:rPr>
                <w:rFonts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rPr>
              <w:t>发生事故，应马上组织抢救伤者，首先观察伤者的受伤情况，部位、伤害性质；如伤员发生休克，应先处理休克。</w:t>
            </w:r>
          </w:p>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rPr>
              <w:t>当燃气设施发生火灾时，应采取切断气源或降低压力等方法及时控制火势，并应防止产生负压；</w:t>
            </w:r>
          </w:p>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t>发生火灾或爆炸时，应迅速采取有效措施进行先期处置，阻止险情扩大；</w:t>
            </w:r>
          </w:p>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t xml:space="preserve">险情严重时，应立即拨打 119、110、120求助；  </w:t>
            </w:r>
          </w:p>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rPr>
              <w:t>严格保护事故现场，采取拍照、摄像、绘图、采样等方法记录事故现场原貌，妥善保护事故现场物证；</w:t>
            </w:r>
          </w:p>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t>火势得到控制后，按有关规定进行抢修。</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7</w:t>
            </w:r>
            <w:r>
              <w:rPr>
                <w:rFonts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rPr>
              <w:t>当漏气原因未查清或隐患未消除时不得撤离现场，应采取安全措施，直至查清事故原因并消除隐患为止；</w:t>
            </w:r>
          </w:p>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w:t>
            </w:r>
            <w:r>
              <w:rPr>
                <w:rFonts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rPr>
              <w:t>待后续抢修人员到达现场后，要详细移交现场情况，在得到许可后，方可撤离现场；</w:t>
            </w:r>
          </w:p>
          <w:p>
            <w:pPr>
              <w:pStyle w:val="108"/>
              <w:spacing w:line="240" w:lineRule="auto"/>
              <w:jc w:val="left"/>
              <w:rPr>
                <w:rFonts w:ascii="宋体" w:hAnsi="宋体" w:cs="宋体"/>
                <w:sz w:val="24"/>
                <w:szCs w:val="24"/>
              </w:rPr>
            </w:pPr>
            <w:r>
              <w:rPr>
                <w:rFonts w:asciiTheme="majorEastAsia" w:hAnsiTheme="majorEastAsia" w:eastAsiaTheme="majorEastAsia" w:cstheme="majorEastAsia"/>
                <w:sz w:val="24"/>
                <w:szCs w:val="24"/>
              </w:rPr>
              <w:t>9.</w:t>
            </w:r>
            <w:r>
              <w:rPr>
                <w:rFonts w:hint="eastAsia" w:asciiTheme="majorEastAsia" w:hAnsiTheme="majorEastAsia" w:eastAsiaTheme="majorEastAsia" w:cstheme="majorEastAsia"/>
                <w:sz w:val="24"/>
                <w:szCs w:val="24"/>
              </w:rPr>
              <w:t>认真如实填写抢险抢修记录备案。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通讯联系</w:t>
            </w:r>
          </w:p>
        </w:tc>
        <w:tc>
          <w:tcPr>
            <w:tcW w:w="6280" w:type="dxa"/>
            <w:vAlign w:val="center"/>
          </w:tcPr>
          <w:p>
            <w:pPr>
              <w:pStyle w:val="108"/>
              <w:spacing w:line="240" w:lineRule="auto"/>
              <w:rPr>
                <w:rFonts w:ascii="宋体" w:hAnsi="宋体" w:cs="宋体" w:eastAsiaTheme="majorEastAsia"/>
                <w:sz w:val="24"/>
              </w:rPr>
            </w:pPr>
            <w:r>
              <w:rPr>
                <w:rFonts w:hint="eastAsia" w:asciiTheme="majorEastAsia" w:hAnsiTheme="majorEastAsia" w:eastAsiaTheme="majorEastAsia" w:cstheme="majorEastAsia"/>
                <w:sz w:val="24"/>
                <w:szCs w:val="24"/>
                <w:lang w:val="zh-CN"/>
              </w:rPr>
              <w:t>本企业24小时应急值守电话：</w:t>
            </w:r>
            <w:r>
              <w:rPr>
                <w:rFonts w:hint="eastAsia" w:ascii="宋体" w:hAnsi="宋体" w:cs="宋体" w:eastAsiaTheme="majorEastAsia"/>
                <w:sz w:val="24"/>
                <w:szCs w:val="24"/>
              </w:rPr>
              <w:t>0817—5522874</w:t>
            </w:r>
          </w:p>
          <w:p>
            <w:pPr>
              <w:pStyle w:val="108"/>
              <w:spacing w:line="240" w:lineRule="auto"/>
              <w:rPr>
                <w:rFonts w:ascii="宋体" w:hAnsi="宋体" w:cs="宋体"/>
                <w:sz w:val="24"/>
                <w:szCs w:val="24"/>
              </w:rPr>
            </w:pPr>
            <w:r>
              <w:rPr>
                <w:rFonts w:hint="eastAsia" w:asciiTheme="majorEastAsia" w:hAnsiTheme="majorEastAsia" w:eastAsiaTheme="majorEastAsia" w:cstheme="majorEastAsia"/>
                <w:sz w:val="24"/>
                <w:szCs w:val="24"/>
              </w:rPr>
              <w:t>火警：119   急救中心：120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注意事项</w:t>
            </w:r>
          </w:p>
        </w:tc>
        <w:tc>
          <w:tcPr>
            <w:tcW w:w="8035" w:type="dxa"/>
            <w:gridSpan w:val="2"/>
            <w:vAlign w:val="center"/>
          </w:tcPr>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t>抢险人员应佩带职责标志；</w:t>
            </w:r>
          </w:p>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rPr>
              <w:t>进入警戒区的操作人员应按规定穿戴防护用具，作业时应有专人监护，严禁单独作业；</w:t>
            </w:r>
          </w:p>
          <w:p>
            <w:pPr>
              <w:pStyle w:val="108"/>
              <w:spacing w:line="240" w:lineRule="auto"/>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t>警戒区内禁止使用手机等通讯工具和非防爆型机电设备及仪器、仪表；</w:t>
            </w:r>
          </w:p>
          <w:p>
            <w:pPr>
              <w:spacing w:after="0"/>
              <w:rPr>
                <w:rFonts w:ascii="宋体" w:hAnsi="宋体" w:cs="宋体"/>
                <w:kern w:val="2"/>
                <w:sz w:val="24"/>
                <w:szCs w:val="24"/>
              </w:rPr>
            </w:pPr>
            <w:r>
              <w:rPr>
                <w:rFonts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t>警戒区内禁止吸烟。</w:t>
            </w:r>
          </w:p>
        </w:tc>
      </w:tr>
    </w:tbl>
    <w:p>
      <w:pPr>
        <w:ind w:firstLine="560"/>
        <w:rPr>
          <w:rFonts w:ascii="宋体" w:hAnsi="宋体" w:cs="宋体"/>
          <w:szCs w:val="28"/>
        </w:rPr>
      </w:pPr>
    </w:p>
    <w:bookmarkEnd w:id="212"/>
    <w:bookmarkEnd w:id="213"/>
    <w:bookmarkEnd w:id="214"/>
    <w:p>
      <w:pPr>
        <w:pStyle w:val="6"/>
        <w:spacing w:line="500" w:lineRule="exact"/>
        <w:ind w:firstLine="562"/>
        <w:rPr>
          <w:rFonts w:hAnsi="宋体"/>
          <w:szCs w:val="28"/>
        </w:rPr>
      </w:pPr>
      <w:bookmarkStart w:id="215" w:name="_Toc78796068"/>
      <w:bookmarkStart w:id="216" w:name="_Toc101798321"/>
      <w:r>
        <w:rPr>
          <w:rFonts w:hAnsi="宋体"/>
          <w:szCs w:val="28"/>
        </w:rPr>
        <w:t>4</w:t>
      </w:r>
      <w:r>
        <w:rPr>
          <w:rFonts w:hint="eastAsia" w:hAnsi="宋体"/>
          <w:szCs w:val="28"/>
        </w:rPr>
        <w:t>.四氢噻吩泄漏现场处置方案</w:t>
      </w:r>
      <w:bookmarkEnd w:id="215"/>
      <w:bookmarkEnd w:id="216"/>
    </w:p>
    <w:tbl>
      <w:tblPr>
        <w:tblStyle w:val="4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755"/>
        <w:gridCol w:w="6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405" w:type="dxa"/>
            <w:gridSpan w:val="2"/>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w:t>
            </w:r>
          </w:p>
        </w:tc>
        <w:tc>
          <w:tcPr>
            <w:tcW w:w="6280"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事故风险描述</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危险性分析</w:t>
            </w:r>
          </w:p>
        </w:tc>
        <w:tc>
          <w:tcPr>
            <w:tcW w:w="6280" w:type="dxa"/>
            <w:vAlign w:val="center"/>
          </w:tcPr>
          <w:p>
            <w:pPr>
              <w:jc w:val="both"/>
              <w:rPr>
                <w:rFonts w:ascii="宋体" w:hAnsi="宋体" w:cs="宋体"/>
                <w:sz w:val="24"/>
                <w:szCs w:val="24"/>
              </w:rPr>
            </w:pPr>
            <w:r>
              <w:rPr>
                <w:rFonts w:hint="eastAsia" w:asciiTheme="majorEastAsia" w:hAnsiTheme="majorEastAsia" w:eastAsiaTheme="majorEastAsia" w:cstheme="majorEastAsia"/>
                <w:kern w:val="2"/>
                <w:sz w:val="24"/>
                <w:szCs w:val="24"/>
              </w:rPr>
              <w:t>四氢噻吩加臭设备、连接管道及计量仪表等安全附件，受材质、制造工艺、安装、自然灾害、人为破坏、严重腐蚀、操作不当和维护不到位等因素的影响，在运行或安全附件失效时，会出现设备和管道穿孔、破裂等情况，造成四氢噻吩的泄漏，如果泄漏的四氢噻吩遇火，将发生火灾、爆炸、中毒窒息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可能发生的</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事故类型</w:t>
            </w:r>
          </w:p>
        </w:tc>
        <w:tc>
          <w:tcPr>
            <w:tcW w:w="6280" w:type="dxa"/>
            <w:vAlign w:val="center"/>
          </w:tcPr>
          <w:p>
            <w:pPr>
              <w:pStyle w:val="108"/>
              <w:spacing w:line="240" w:lineRule="auto"/>
              <w:jc w:val="left"/>
              <w:rPr>
                <w:rFonts w:ascii="宋体" w:hAnsi="宋体" w:cs="宋体"/>
                <w:sz w:val="24"/>
                <w:szCs w:val="24"/>
              </w:rPr>
            </w:pPr>
            <w:r>
              <w:rPr>
                <w:rFonts w:hint="eastAsia" w:ascii="宋体" w:hAnsi="宋体" w:cs="宋体"/>
                <w:sz w:val="24"/>
                <w:szCs w:val="24"/>
              </w:rPr>
              <w:t>火灾、爆炸、中毒和窒息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区域（设备）名称</w:t>
            </w:r>
          </w:p>
        </w:tc>
        <w:tc>
          <w:tcPr>
            <w:tcW w:w="6280" w:type="dxa"/>
            <w:vAlign w:val="center"/>
          </w:tcPr>
          <w:p>
            <w:pPr>
              <w:pStyle w:val="108"/>
              <w:spacing w:line="240" w:lineRule="auto"/>
              <w:jc w:val="left"/>
              <w:rPr>
                <w:rFonts w:ascii="宋体" w:hAnsi="宋体" w:cs="宋体"/>
                <w:sz w:val="24"/>
                <w:szCs w:val="24"/>
              </w:rPr>
            </w:pPr>
            <w:r>
              <w:rPr>
                <w:rFonts w:hint="eastAsia" w:ascii="宋体" w:hAnsi="宋体" w:cs="宋体"/>
                <w:sz w:val="24"/>
                <w:szCs w:val="24"/>
              </w:rPr>
              <w:t>加臭设备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可能发生的季节、时段</w:t>
            </w:r>
          </w:p>
        </w:tc>
        <w:tc>
          <w:tcPr>
            <w:tcW w:w="6280" w:type="dxa"/>
            <w:vAlign w:val="center"/>
          </w:tcPr>
          <w:p>
            <w:pPr>
              <w:pStyle w:val="108"/>
              <w:spacing w:line="240" w:lineRule="auto"/>
              <w:jc w:val="left"/>
              <w:rPr>
                <w:rFonts w:ascii="宋体" w:hAnsi="宋体" w:cs="宋体"/>
                <w:sz w:val="24"/>
                <w:szCs w:val="24"/>
              </w:rPr>
            </w:pPr>
            <w:r>
              <w:rPr>
                <w:rFonts w:hint="eastAsia" w:ascii="宋体" w:hAnsi="宋体" w:cs="宋体"/>
                <w:sz w:val="24"/>
                <w:szCs w:val="24"/>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事故危害程度</w:t>
            </w:r>
          </w:p>
        </w:tc>
        <w:tc>
          <w:tcPr>
            <w:tcW w:w="6280" w:type="dxa"/>
            <w:vAlign w:val="center"/>
          </w:tcPr>
          <w:p>
            <w:pPr>
              <w:pStyle w:val="108"/>
              <w:spacing w:line="240" w:lineRule="auto"/>
              <w:jc w:val="left"/>
              <w:rPr>
                <w:rFonts w:ascii="宋体" w:hAnsi="宋体" w:cs="宋体"/>
                <w:sz w:val="24"/>
                <w:szCs w:val="24"/>
              </w:rPr>
            </w:pPr>
            <w:r>
              <w:rPr>
                <w:rFonts w:hint="eastAsia" w:ascii="宋体" w:hAnsi="宋体" w:cs="宋体"/>
                <w:sz w:val="24"/>
                <w:szCs w:val="24"/>
              </w:rPr>
              <w:t>人员伤亡、财产损失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事故征兆</w:t>
            </w:r>
          </w:p>
        </w:tc>
        <w:tc>
          <w:tcPr>
            <w:tcW w:w="6280" w:type="dxa"/>
            <w:vAlign w:val="center"/>
          </w:tcPr>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1)空气中会有燃气加臭剂气味。</w:t>
            </w:r>
          </w:p>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2)漏点较大能明显闻到刺激性臭味。</w:t>
            </w:r>
          </w:p>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3)漏点附近能明显看到液体渗漏。</w:t>
            </w:r>
          </w:p>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4)未加臭时，四氢噻吩计量表产生流量。</w:t>
            </w:r>
          </w:p>
          <w:p>
            <w:pPr>
              <w:pStyle w:val="108"/>
              <w:spacing w:line="240" w:lineRule="auto"/>
              <w:jc w:val="left"/>
              <w:rPr>
                <w:rFonts w:ascii="宋体" w:hAnsi="宋体" w:cs="宋体"/>
                <w:sz w:val="24"/>
                <w:szCs w:val="24"/>
              </w:rPr>
            </w:pPr>
            <w:r>
              <w:rPr>
                <w:rFonts w:hint="eastAsia" w:asciiTheme="majorEastAsia" w:hAnsiTheme="majorEastAsia" w:eastAsiaTheme="majorEastAsia" w:cstheme="majorEastAsia"/>
                <w:sz w:val="24"/>
                <w:szCs w:val="24"/>
              </w:rPr>
              <w:t>5)四氢噻吩具有麻醉作用。当吸入中毒时，会发生运动性兴奋、共济失调、麻醉，严重时可能出现死亡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应急组织与职责</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组织与人员</w:t>
            </w:r>
          </w:p>
        </w:tc>
        <w:tc>
          <w:tcPr>
            <w:tcW w:w="6280" w:type="dxa"/>
            <w:vAlign w:val="center"/>
          </w:tcPr>
          <w:p>
            <w:pPr>
              <w:rPr>
                <w:rFonts w:ascii="宋体" w:hAnsi="宋体" w:cs="宋体"/>
                <w:sz w:val="24"/>
                <w:szCs w:val="24"/>
              </w:rPr>
            </w:pPr>
            <w:r>
              <w:rPr>
                <w:rFonts w:hint="eastAsia" w:ascii="宋体" w:hAnsi="宋体" w:cs="宋体"/>
                <w:sz w:val="24"/>
                <w:szCs w:val="24"/>
              </w:rPr>
              <w:t>现场指挥：现场班组长</w:t>
            </w:r>
          </w:p>
          <w:p>
            <w:pPr>
              <w:rPr>
                <w:rFonts w:ascii="宋体" w:hAnsi="宋体" w:cs="宋体"/>
                <w:sz w:val="24"/>
                <w:szCs w:val="24"/>
              </w:rPr>
            </w:pPr>
            <w:r>
              <w:rPr>
                <w:rFonts w:hint="eastAsia" w:ascii="宋体" w:hAnsi="宋体" w:cs="宋体"/>
                <w:sz w:val="24"/>
                <w:szCs w:val="24"/>
              </w:rPr>
              <w:t>成</w:t>
            </w:r>
            <w:r>
              <w:rPr>
                <w:rFonts w:hint="eastAsia" w:ascii="宋体" w:hAnsi="宋体" w:cs="宋体"/>
                <w:sz w:val="24"/>
                <w:szCs w:val="24"/>
              </w:rPr>
              <w:tab/>
            </w:r>
            <w:r>
              <w:rPr>
                <w:rFonts w:hint="eastAsia" w:ascii="宋体" w:hAnsi="宋体" w:cs="宋体"/>
                <w:sz w:val="24"/>
                <w:szCs w:val="24"/>
              </w:rPr>
              <w:t>员：现场全体组员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具体职责</w:t>
            </w:r>
          </w:p>
        </w:tc>
        <w:tc>
          <w:tcPr>
            <w:tcW w:w="6280" w:type="dxa"/>
            <w:vAlign w:val="center"/>
          </w:tcPr>
          <w:p>
            <w:pPr>
              <w:spacing w:after="0"/>
              <w:rPr>
                <w:rFonts w:ascii="宋体" w:hAnsi="宋体" w:cs="宋体"/>
                <w:sz w:val="24"/>
                <w:szCs w:val="24"/>
              </w:rPr>
            </w:pPr>
            <w:r>
              <w:rPr>
                <w:rFonts w:hint="eastAsia" w:ascii="宋体" w:hAnsi="宋体" w:cs="宋体"/>
                <w:sz w:val="24"/>
                <w:szCs w:val="24"/>
              </w:rPr>
              <w:t>应急小组职责：</w:t>
            </w:r>
          </w:p>
          <w:p>
            <w:pPr>
              <w:spacing w:after="0"/>
              <w:rPr>
                <w:rFonts w:ascii="宋体" w:hAnsi="宋体" w:cs="宋体"/>
                <w:sz w:val="24"/>
                <w:szCs w:val="24"/>
              </w:rPr>
            </w:pPr>
            <w:r>
              <w:rPr>
                <w:rFonts w:hint="eastAsia" w:ascii="宋体" w:hAnsi="宋体" w:cs="宋体"/>
                <w:sz w:val="24"/>
                <w:szCs w:val="24"/>
              </w:rPr>
              <w:t>1)组长负责现场抢险工作的指挥、协调、信息传递、组织自救、互救和避灾职责。现场所有人员必须服从指挥。</w:t>
            </w:r>
          </w:p>
          <w:p>
            <w:pPr>
              <w:spacing w:after="0"/>
              <w:rPr>
                <w:rFonts w:ascii="宋体" w:hAnsi="宋体" w:cs="宋体"/>
                <w:sz w:val="24"/>
                <w:szCs w:val="24"/>
              </w:rPr>
            </w:pPr>
            <w:r>
              <w:rPr>
                <w:rFonts w:hint="eastAsia" w:ascii="宋体" w:hAnsi="宋体" w:cs="宋体"/>
                <w:sz w:val="24"/>
                <w:szCs w:val="24"/>
              </w:rPr>
              <w:t>2)在遇到险情不可控时，组长有在第一时间下达关闭加臭设备、人员撤离命令的直接决策权和指挥权。如以上人员均不在现场，现场最有经验的员工也有第一时间下达关闭加臭设备、撤除人员命令的直接决策权和指挥权。</w:t>
            </w:r>
          </w:p>
          <w:p>
            <w:pPr>
              <w:spacing w:after="0"/>
              <w:rPr>
                <w:rFonts w:ascii="宋体" w:hAnsi="宋体" w:cs="宋体"/>
                <w:kern w:val="2"/>
                <w:sz w:val="24"/>
                <w:szCs w:val="24"/>
              </w:rPr>
            </w:pPr>
            <w:r>
              <w:rPr>
                <w:rFonts w:hint="eastAsia" w:ascii="宋体" w:hAnsi="宋体" w:cs="宋体"/>
                <w:sz w:val="24"/>
                <w:szCs w:val="24"/>
              </w:rPr>
              <w:t>3)及时按汇报程序，逐级上报险情。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50" w:type="dxa"/>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事故应急</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处置程序</w:t>
            </w:r>
          </w:p>
        </w:tc>
        <w:tc>
          <w:tcPr>
            <w:tcW w:w="6280" w:type="dxa"/>
            <w:vAlign w:val="center"/>
          </w:tcPr>
          <w:p>
            <w:pPr>
              <w:pStyle w:val="108"/>
              <w:spacing w:line="240" w:lineRule="auto"/>
              <w:rPr>
                <w:rFonts w:ascii="宋体" w:hAnsi="宋体" w:cs="宋体"/>
                <w:sz w:val="24"/>
                <w:szCs w:val="24"/>
              </w:rPr>
            </w:pPr>
            <w:r>
              <w:rPr>
                <w:rFonts w:hint="eastAsia" w:asciiTheme="majorEastAsia" w:hAnsiTheme="majorEastAsia" w:eastAsiaTheme="majorEastAsia" w:cstheme="majorEastAsia"/>
                <w:sz w:val="24"/>
                <w:szCs w:val="24"/>
              </w:rPr>
              <w:t>第一发现人发现泄漏后，应立即向现场组长报告。如属轻微泄漏事故，应采取相应措施解决泄漏问题，确保设备安全运行，同时向部门报告；如出现大量泄漏事故，最早发现者应立即向本企业值班电话报警，若造成其他次生灾害还应及时向120、119报警，并采取措施切断事故源，防止事态扩大。值班人员接到报警后，根据事故发生地点、种类、强度和事故可能的危害，进行初步研判，再按对应级别进行报告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应急处置</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现场应急</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处置措施</w:t>
            </w:r>
          </w:p>
        </w:tc>
        <w:tc>
          <w:tcPr>
            <w:tcW w:w="6280" w:type="dxa"/>
            <w:vAlign w:val="center"/>
          </w:tcPr>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 配气站值班人员在值班中如发现臭剂泄漏时应立即关闭控制器，关闭臭剂储罐出口阀。如果泄漏量少时可先行用砂土、活性碳掩埋，后通知班组进行后续处理；如出现大量泄漏，值班人员无法自行处理时，应先报告企业值班电话，启动预案后按职责组织周边居民疏散，对泄漏臭剂进行处理。</w:t>
            </w:r>
          </w:p>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 当泄漏量较大时，应构筑围堤或挖坑收容，采取措施防止泄漏的四氢噻吩加臭剂流入下水道、排洪沟等，并使用吸附剂或消除剂稀释液等及时消除四氢噻吩加臭剂造成的污染。泄漏出的四氢噻吩加臭剂液体可用吸附剂进行吸附,吸附后的废弃物应放入封闭的容器中并按照有关规定进行处理。</w:t>
            </w:r>
          </w:p>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 四氢噻吩加臭剂消除剂的氧化性较强，为避免反应过于剧烈导致起火，严禁用消除剂直接接触四氢噻吩加臭剂；四氢噻吩加臭剂消除剂的稀释液要由消除剂和水按重量比1：4配成，配置溶液时需佩戴防护用具，并使用玻璃或塑料容器。</w:t>
            </w:r>
          </w:p>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 如臭剂接触皮肤应立即用肥皂水清洗；如臭剂溅入眼睛应立即用清水冲洗并就医治疗；如不慎吸入臭剂应迅速脱离现场至空气新鲜处，如出现呼吸困难应立即就医。</w:t>
            </w:r>
          </w:p>
          <w:p>
            <w:pPr>
              <w:pStyle w:val="108"/>
              <w:spacing w:line="240" w:lineRule="auto"/>
              <w:jc w:val="left"/>
              <w:rPr>
                <w:rFonts w:ascii="宋体" w:hAnsi="宋体" w:cs="宋体"/>
                <w:sz w:val="24"/>
                <w:szCs w:val="24"/>
              </w:rPr>
            </w:pPr>
            <w:r>
              <w:rPr>
                <w:rFonts w:hint="eastAsia" w:asciiTheme="majorEastAsia" w:hAnsiTheme="majorEastAsia" w:eastAsiaTheme="majorEastAsia" w:cstheme="majorEastAsia"/>
                <w:sz w:val="24"/>
                <w:szCs w:val="24"/>
              </w:rPr>
              <w:t>5) 如站场内已发生燃烧、人员损伤，立即关闭加臭设备，并逐级汇报，按应急抢险预案执行。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通讯联系</w:t>
            </w:r>
          </w:p>
        </w:tc>
        <w:tc>
          <w:tcPr>
            <w:tcW w:w="6280" w:type="dxa"/>
            <w:vAlign w:val="center"/>
          </w:tcPr>
          <w:p>
            <w:pPr>
              <w:pStyle w:val="108"/>
              <w:spacing w:line="240" w:lineRule="auto"/>
              <w:rPr>
                <w:rFonts w:ascii="宋体" w:hAnsi="宋体" w:cs="宋体" w:eastAsiaTheme="majorEastAsia"/>
                <w:sz w:val="24"/>
              </w:rPr>
            </w:pPr>
            <w:r>
              <w:rPr>
                <w:rFonts w:hint="eastAsia" w:asciiTheme="majorEastAsia" w:hAnsiTheme="majorEastAsia" w:eastAsiaTheme="majorEastAsia" w:cstheme="majorEastAsia"/>
                <w:sz w:val="24"/>
                <w:szCs w:val="24"/>
                <w:lang w:val="zh-CN"/>
              </w:rPr>
              <w:t>本企业24小时应急值守电话：</w:t>
            </w:r>
            <w:r>
              <w:rPr>
                <w:rFonts w:hint="eastAsia" w:ascii="宋体" w:hAnsi="宋体" w:cs="宋体" w:eastAsiaTheme="majorEastAsia"/>
                <w:sz w:val="24"/>
                <w:szCs w:val="24"/>
              </w:rPr>
              <w:t>0817—5522874</w:t>
            </w:r>
          </w:p>
          <w:p>
            <w:pPr>
              <w:pStyle w:val="108"/>
              <w:spacing w:line="240" w:lineRule="auto"/>
              <w:rPr>
                <w:rFonts w:ascii="宋体" w:hAnsi="宋体" w:cs="宋体"/>
                <w:sz w:val="24"/>
                <w:szCs w:val="24"/>
              </w:rPr>
            </w:pPr>
            <w:r>
              <w:rPr>
                <w:rFonts w:hint="eastAsia" w:asciiTheme="majorEastAsia" w:hAnsiTheme="majorEastAsia" w:eastAsiaTheme="majorEastAsia" w:cstheme="majorEastAsia"/>
                <w:sz w:val="24"/>
                <w:szCs w:val="24"/>
              </w:rPr>
              <w:t>火警：119   急救中心：120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注意事项</w:t>
            </w:r>
          </w:p>
        </w:tc>
        <w:tc>
          <w:tcPr>
            <w:tcW w:w="8035" w:type="dxa"/>
            <w:gridSpan w:val="2"/>
            <w:vAlign w:val="center"/>
          </w:tcPr>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 对事故现场应考虑全面、决策果断、措施到位。对周围环境要细致观察，判断是否会产生次生、衍生事故，从而采取相应的处置措施。</w:t>
            </w:r>
          </w:p>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 处置过程中，要加强安全监护，穿戴规定的自给正压式呼吸器。</w:t>
            </w:r>
          </w:p>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 处置操作中，操作者必须为经过专门培训的人员，严格遵守操作规程。操作人员必须佩戴自吸过滤式防毒面具（半面罩），戴安全防护眼镜，穿防毒物渗透工作服，戴橡胶耐油手套；远离火种、热源，工作场所严禁吸烟；使用防爆型的通风系统和设备；防止蒸气泄漏到工作场所空气中。</w:t>
            </w:r>
          </w:p>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4若有中毒或昏迷人员，应将受害人员迅速撤离泄漏污染区，并进行隔离，严格限制出入，拨打“120”急救电话，并对救出的人员采取必要的保暖措施。</w:t>
            </w:r>
          </w:p>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 对已发生燃烧或爆炸，且现场抢险人员无法控制的情况，应迅速撤离到安全地带汇报，寻求后续支援。</w:t>
            </w:r>
          </w:p>
          <w:p>
            <w:pPr>
              <w:pStyle w:val="108"/>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 应急处置完毕或抢修完毕后，应对现场及周边区域进行复查，确认无四氢噻吩浓度后，方可离开。</w:t>
            </w:r>
          </w:p>
          <w:p>
            <w:pPr>
              <w:spacing w:after="0"/>
              <w:rPr>
                <w:rFonts w:ascii="宋体" w:hAnsi="宋体" w:cs="宋体"/>
                <w:kern w:val="2"/>
                <w:sz w:val="24"/>
                <w:szCs w:val="24"/>
              </w:rPr>
            </w:pPr>
            <w:r>
              <w:rPr>
                <w:rFonts w:hint="eastAsia" w:asciiTheme="majorEastAsia" w:hAnsiTheme="majorEastAsia" w:eastAsiaTheme="majorEastAsia" w:cstheme="majorEastAsia"/>
                <w:sz w:val="24"/>
                <w:szCs w:val="24"/>
              </w:rPr>
              <w:t>7事后要做好事故处置记录和事故汇报工作。</w:t>
            </w:r>
          </w:p>
        </w:tc>
      </w:tr>
    </w:tbl>
    <w:p>
      <w:pPr>
        <w:pStyle w:val="6"/>
        <w:ind w:firstLine="643"/>
        <w:rPr>
          <w:rFonts w:asciiTheme="majorEastAsia" w:hAnsiTheme="majorEastAsia" w:eastAsiaTheme="majorEastAsia" w:cstheme="majorEastAsia"/>
        </w:rPr>
      </w:pPr>
      <w:bookmarkStart w:id="217" w:name="_Toc101798322"/>
      <w:r>
        <w:rPr>
          <w:rFonts w:hint="eastAsia"/>
        </w:rPr>
        <w:t>5</w:t>
      </w:r>
      <w:r>
        <w:t>.</w:t>
      </w:r>
      <w:r>
        <w:rPr>
          <w:rFonts w:hint="eastAsia" w:asciiTheme="majorEastAsia" w:hAnsiTheme="majorEastAsia" w:eastAsiaTheme="majorEastAsia" w:cstheme="majorEastAsia"/>
        </w:rPr>
        <w:t>触电事故现场处置方案</w:t>
      </w:r>
      <w:bookmarkEnd w:id="217"/>
    </w:p>
    <w:tbl>
      <w:tblPr>
        <w:tblStyle w:val="4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755"/>
        <w:gridCol w:w="6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405" w:type="dxa"/>
            <w:gridSpan w:val="2"/>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w:t>
            </w:r>
          </w:p>
        </w:tc>
        <w:tc>
          <w:tcPr>
            <w:tcW w:w="6280"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事故风险描述</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危险性分析</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1）生产区域的设备设施接地不良、漏电；2）电气线路、设备老化，绝缘损坏；3）雷击；4）设备及电气线路检维修作业时违规操作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可能发生的</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事故类型</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区域（设备）名称</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各生产区域，生产用电作业场所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可能发生的季节、时段</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全年，但生产作业活动引发的触电事故则没有明显的季节特征。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事故危害程度</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人员伤亡、财产损失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事故征兆</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用电设备漏电、绝缘损坏、雷击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应急工作职责</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组织与人员</w:t>
            </w:r>
          </w:p>
        </w:tc>
        <w:tc>
          <w:tcPr>
            <w:tcW w:w="6280" w:type="dxa"/>
            <w:vAlign w:val="center"/>
          </w:tcPr>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现场指挥：现场组长</w:t>
            </w:r>
          </w:p>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t>员：现场班组全体组员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具体职责</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一、现场发现者职责：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1）当作业现场人员发现有触电事故发生后，应立即按应急处置措施进行处置，并向当班组长报告；</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2）做好现场警戒，设置警示标志，防止无关人员进入或误操作；</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二、现场组长职责：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1）接到事故报告后，马上按规定上报本企业值班电话0</w:t>
            </w:r>
            <w:r>
              <w:rPr>
                <w:rFonts w:asciiTheme="majorEastAsia" w:hAnsiTheme="majorEastAsia" w:eastAsiaTheme="majorEastAsia" w:cstheme="majorEastAsia"/>
                <w:sz w:val="24"/>
                <w:szCs w:val="24"/>
              </w:rPr>
              <w:t>817-5522874；</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2）启动现场处置方案立即组织现场救援工作，采取措施抢救人员，控制事态发展；</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三、岗位其他人员职责：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1）全力以赴进行现场救护、抢险工作。</w:t>
            </w:r>
          </w:p>
          <w:p>
            <w:pPr>
              <w:pStyle w:val="108"/>
              <w:spacing w:line="240" w:lineRule="auto"/>
              <w:jc w:val="left"/>
              <w:rPr>
                <w:rFonts w:ascii="Tahoma" w:hAnsi="Tahoma" w:eastAsia="微软雅黑"/>
                <w:szCs w:val="22"/>
              </w:rPr>
            </w:pPr>
            <w:r>
              <w:rPr>
                <w:rFonts w:hint="eastAsia" w:asciiTheme="majorEastAsia" w:hAnsiTheme="majorEastAsia" w:eastAsiaTheme="majorEastAsia" w:cstheme="majorEastAsia"/>
                <w:sz w:val="24"/>
                <w:szCs w:val="24"/>
              </w:rPr>
              <w:t>2）做好信息联络、救援人员引导等工作。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restart"/>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应急处置</w:t>
            </w: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事故应急</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处置程序</w:t>
            </w:r>
          </w:p>
        </w:tc>
        <w:tc>
          <w:tcPr>
            <w:tcW w:w="6280" w:type="dxa"/>
            <w:vAlign w:val="center"/>
          </w:tcPr>
          <w:p>
            <w:pPr>
              <w:pStyle w:val="108"/>
              <w:spacing w:line="240" w:lineRule="auto"/>
              <w:jc w:val="left"/>
              <w:rPr>
                <w:rFonts w:ascii="Tahoma" w:hAnsi="Tahoma" w:eastAsia="微软雅黑"/>
                <w:szCs w:val="22"/>
              </w:rPr>
            </w:pPr>
            <w:r>
              <w:rPr>
                <w:rFonts w:hint="eastAsia" w:asciiTheme="majorEastAsia" w:hAnsiTheme="majorEastAsia" w:eastAsiaTheme="majorEastAsia" w:cstheme="majorEastAsia"/>
                <w:sz w:val="24"/>
                <w:szCs w:val="24"/>
              </w:rPr>
              <w:t>发生事故应急时，发现人员必须第一时间进行断电处置，并向现场组长报告。现场组长接到报告后立即指挥现场应急救援工作，并报告应急指挥部。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现场应急</w:t>
            </w:r>
          </w:p>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处置措施</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1）发生触电事故，应立即切断电源，“就地、迅速、正确、坚持”地进行现场急救。</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切断电源时就近关闭与事故相应的电源开关或拔掉电源插头；如不能切断，可用干燥的竹竿、木棍、绝缘手套、干燥的衣服或不导电的绝缘材料将伤者与电源分离开，使触电者脱离电源。不主张采用剪断电源线的做法，因为剪断电源线，带电的一端如果掉到地面上可能造成其他人员触电事故。</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3）触电伤者可能出现呼吸困难、心跳停止跳动征象，当触电者脱离电源后，立即进行现场人工呼吸和胸外挤压复苏术急救。救护者实施人工呼吸抢救要坚持不能间断和停止抢救（包括运送医院途中）。</w:t>
            </w:r>
          </w:p>
          <w:p>
            <w:pPr>
              <w:pStyle w:val="108"/>
              <w:spacing w:line="240" w:lineRule="auto"/>
              <w:jc w:val="left"/>
              <w:rPr>
                <w:rFonts w:ascii="Tahoma" w:hAnsi="Tahoma" w:eastAsia="微软雅黑"/>
                <w:szCs w:val="22"/>
              </w:rPr>
            </w:pPr>
            <w:r>
              <w:rPr>
                <w:rFonts w:hint="eastAsia" w:asciiTheme="majorEastAsia" w:hAnsiTheme="majorEastAsia" w:eastAsiaTheme="majorEastAsia" w:cstheme="majorEastAsia"/>
                <w:sz w:val="24"/>
                <w:szCs w:val="24"/>
              </w:rPr>
              <w:t>4）电击、电弧烧伤人员要采取现场急救措施，对烧伤面进行简单清洁、消毒，待救护车到达后（或就近联系车辆）送往附近医院治疗。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ajorEastAsia" w:hAnsiTheme="majorEastAsia" w:eastAsiaTheme="majorEastAsia" w:cstheme="majorEastAsia"/>
                <w:sz w:val="24"/>
                <w:szCs w:val="24"/>
              </w:rPr>
            </w:pPr>
          </w:p>
        </w:tc>
        <w:tc>
          <w:tcPr>
            <w:tcW w:w="1755"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通讯联系</w:t>
            </w:r>
          </w:p>
        </w:tc>
        <w:tc>
          <w:tcPr>
            <w:tcW w:w="6280" w:type="dxa"/>
            <w:vAlign w:val="center"/>
          </w:tcPr>
          <w:p>
            <w:pPr>
              <w:pStyle w:val="108"/>
              <w:spacing w:line="24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zh-CN"/>
              </w:rPr>
              <w:t>本企业24小时应急值守电话：</w:t>
            </w:r>
            <w:r>
              <w:rPr>
                <w:rFonts w:hint="eastAsia" w:ascii="宋体" w:hAnsi="宋体" w:cs="宋体" w:eastAsiaTheme="majorEastAsia"/>
                <w:sz w:val="24"/>
                <w:szCs w:val="24"/>
              </w:rPr>
              <w:t>0817—5522874</w:t>
            </w:r>
          </w:p>
          <w:p>
            <w:pPr>
              <w:pStyle w:val="108"/>
              <w:spacing w:line="240" w:lineRule="auto"/>
              <w:rPr>
                <w:rFonts w:ascii="Tahoma" w:hAnsi="Tahoma" w:eastAsia="微软雅黑"/>
                <w:szCs w:val="22"/>
              </w:rPr>
            </w:pPr>
            <w:r>
              <w:rPr>
                <w:rFonts w:hint="eastAsia" w:asciiTheme="majorEastAsia" w:hAnsiTheme="majorEastAsia" w:eastAsiaTheme="majorEastAsia" w:cstheme="majorEastAsia"/>
                <w:sz w:val="24"/>
                <w:szCs w:val="24"/>
              </w:rPr>
              <w:t>火警：119   急救中心：120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Align w:val="center"/>
          </w:tcPr>
          <w:p>
            <w:pPr>
              <w:pStyle w:val="108"/>
              <w:spacing w:line="24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注意事项</w:t>
            </w:r>
          </w:p>
        </w:tc>
        <w:tc>
          <w:tcPr>
            <w:tcW w:w="8035" w:type="dxa"/>
            <w:gridSpan w:val="2"/>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在使触电者脱离电源时应注意的事项：</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1）未采取绝缘措施前，救护人不得直接触及触电者的皮肤、潮湿的衣服和可能的带电体。</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2）严禁救护人员直接用手推、拉和触摸触电者；救护人不得采用金属或其他绝缘性能差的物体（如潮湿木棒、布带等）作为救护工具。</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3）在拉拽触电者脱离电源的过程中，救护人宜用单手操作。</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4）当触电者位于高位时，应采取措施预防触电者在脱离电源后坠地摔伤或摔死，发生二次伤害事故。</w:t>
            </w:r>
          </w:p>
          <w:p>
            <w:pPr>
              <w:pStyle w:val="108"/>
              <w:spacing w:line="240" w:lineRule="auto"/>
              <w:jc w:val="left"/>
              <w:rPr>
                <w:rFonts w:ascii="Tahoma" w:hAnsi="Tahoma" w:eastAsia="微软雅黑"/>
                <w:szCs w:val="22"/>
              </w:rPr>
            </w:pPr>
            <w:r>
              <w:rPr>
                <w:rFonts w:hint="eastAsia" w:asciiTheme="majorEastAsia" w:hAnsiTheme="majorEastAsia" w:eastAsiaTheme="majorEastAsia" w:cstheme="majorEastAsia"/>
                <w:sz w:val="24"/>
                <w:szCs w:val="24"/>
              </w:rPr>
              <w:t>5）夜间发生触电事故，应考虑切断电源后的临时照明问题，以利救护。</w:t>
            </w:r>
          </w:p>
        </w:tc>
      </w:tr>
    </w:tbl>
    <w:p>
      <w:pPr>
        <w:pStyle w:val="6"/>
        <w:spacing w:line="500" w:lineRule="exact"/>
        <w:ind w:firstLine="562"/>
        <w:rPr>
          <w:rFonts w:hAnsi="宋体"/>
          <w:color w:val="00B0F0"/>
          <w:szCs w:val="28"/>
        </w:rPr>
      </w:pPr>
      <w:bookmarkStart w:id="218" w:name="_Toc101798323"/>
      <w:r>
        <w:rPr>
          <w:rFonts w:hint="eastAsia" w:hAnsi="宋体"/>
          <w:szCs w:val="28"/>
        </w:rPr>
        <w:t>6</w:t>
      </w:r>
      <w:r>
        <w:rPr>
          <w:rFonts w:hAnsi="宋体"/>
          <w:szCs w:val="28"/>
        </w:rPr>
        <w:t>.</w:t>
      </w:r>
      <w:r>
        <w:rPr>
          <w:rFonts w:hint="eastAsia" w:hAnsi="宋体"/>
          <w:szCs w:val="28"/>
        </w:rPr>
        <w:t>中毒窒息现场处置方案</w:t>
      </w:r>
      <w:bookmarkEnd w:id="218"/>
    </w:p>
    <w:tbl>
      <w:tblPr>
        <w:tblStyle w:val="131"/>
        <w:tblW w:w="868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88"/>
        <w:gridCol w:w="1290"/>
        <w:gridCol w:w="690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4" w:hRule="atLeast"/>
          <w:jc w:val="center"/>
        </w:trPr>
        <w:tc>
          <w:tcPr>
            <w:tcW w:w="1778" w:type="dxa"/>
            <w:gridSpan w:val="2"/>
            <w:tcBorders>
              <w:bottom w:val="single" w:color="000000" w:sz="4" w:space="0"/>
              <w:right w:val="single" w:color="000000" w:sz="4" w:space="0"/>
            </w:tcBorders>
          </w:tcPr>
          <w:p>
            <w:pPr>
              <w:pStyle w:val="129"/>
              <w:spacing w:before="111"/>
              <w:ind w:left="106"/>
              <w:rPr>
                <w:rFonts w:eastAsiaTheme="minorEastAsia"/>
                <w:sz w:val="24"/>
                <w:szCs w:val="24"/>
              </w:rPr>
            </w:pPr>
            <w:r>
              <w:rPr>
                <w:rFonts w:eastAsiaTheme="minorEastAsia"/>
                <w:sz w:val="24"/>
                <w:szCs w:val="24"/>
              </w:rPr>
              <w:t>项目</w:t>
            </w:r>
          </w:p>
        </w:tc>
        <w:tc>
          <w:tcPr>
            <w:tcW w:w="6907" w:type="dxa"/>
            <w:tcBorders>
              <w:left w:val="single" w:color="000000" w:sz="4" w:space="0"/>
              <w:bottom w:val="single" w:color="000000" w:sz="4" w:space="0"/>
            </w:tcBorders>
          </w:tcPr>
          <w:p>
            <w:pPr>
              <w:pStyle w:val="129"/>
              <w:spacing w:before="111"/>
              <w:ind w:left="116"/>
              <w:rPr>
                <w:rFonts w:eastAsiaTheme="minorEastAsia"/>
                <w:sz w:val="24"/>
                <w:szCs w:val="24"/>
              </w:rPr>
            </w:pPr>
            <w:r>
              <w:rPr>
                <w:rFonts w:eastAsiaTheme="minorEastAsia"/>
                <w:sz w:val="24"/>
                <w:szCs w:val="24"/>
              </w:rPr>
              <w:t>内容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jc w:val="center"/>
        </w:trPr>
        <w:tc>
          <w:tcPr>
            <w:tcW w:w="488" w:type="dxa"/>
            <w:vMerge w:val="restart"/>
            <w:tcBorders>
              <w:top w:val="single" w:color="000000" w:sz="4" w:space="0"/>
              <w:bottom w:val="single" w:color="000000" w:sz="4" w:space="0"/>
              <w:right w:val="single" w:color="000000" w:sz="4" w:space="0"/>
            </w:tcBorders>
          </w:tcPr>
          <w:p>
            <w:pPr>
              <w:pStyle w:val="129"/>
              <w:rPr>
                <w:rFonts w:eastAsiaTheme="minorEastAsia"/>
                <w:sz w:val="24"/>
                <w:szCs w:val="24"/>
              </w:rPr>
            </w:pPr>
          </w:p>
          <w:p>
            <w:pPr>
              <w:pStyle w:val="129"/>
              <w:rPr>
                <w:rFonts w:eastAsiaTheme="minorEastAsia"/>
                <w:sz w:val="24"/>
                <w:szCs w:val="24"/>
              </w:rPr>
            </w:pPr>
          </w:p>
          <w:p>
            <w:pPr>
              <w:pStyle w:val="129"/>
              <w:spacing w:before="10"/>
              <w:rPr>
                <w:rFonts w:eastAsiaTheme="minorEastAsia"/>
                <w:sz w:val="24"/>
                <w:szCs w:val="24"/>
              </w:rPr>
            </w:pPr>
          </w:p>
          <w:p>
            <w:pPr>
              <w:pStyle w:val="129"/>
              <w:spacing w:line="242" w:lineRule="auto"/>
              <w:ind w:left="106" w:right="150"/>
              <w:jc w:val="both"/>
              <w:rPr>
                <w:rFonts w:eastAsiaTheme="minorEastAsia"/>
                <w:sz w:val="24"/>
                <w:szCs w:val="24"/>
              </w:rPr>
            </w:pPr>
            <w:r>
              <w:rPr>
                <w:rFonts w:eastAsiaTheme="minorEastAsia"/>
                <w:sz w:val="24"/>
                <w:szCs w:val="24"/>
              </w:rPr>
              <w:t>事故风险</w:t>
            </w:r>
            <w:r>
              <w:rPr>
                <w:rFonts w:hint="eastAsia" w:eastAsiaTheme="minorEastAsia"/>
                <w:sz w:val="24"/>
                <w:szCs w:val="24"/>
                <w:lang w:eastAsia="zh-CN"/>
              </w:rPr>
              <w:t>描述</w:t>
            </w:r>
          </w:p>
        </w:tc>
        <w:tc>
          <w:tcPr>
            <w:tcW w:w="1290" w:type="dxa"/>
            <w:tcBorders>
              <w:top w:val="single" w:color="000000" w:sz="4" w:space="0"/>
              <w:left w:val="single" w:color="000000" w:sz="4" w:space="0"/>
              <w:bottom w:val="single" w:color="000000" w:sz="4" w:space="0"/>
              <w:right w:val="single" w:color="000000" w:sz="4" w:space="0"/>
            </w:tcBorders>
          </w:tcPr>
          <w:p>
            <w:pPr>
              <w:pStyle w:val="129"/>
              <w:spacing w:before="135"/>
              <w:ind w:left="118"/>
              <w:rPr>
                <w:rFonts w:eastAsiaTheme="minorEastAsia"/>
                <w:sz w:val="24"/>
                <w:szCs w:val="24"/>
              </w:rPr>
            </w:pPr>
            <w:r>
              <w:rPr>
                <w:rFonts w:eastAsiaTheme="minorEastAsia"/>
                <w:sz w:val="24"/>
                <w:szCs w:val="24"/>
              </w:rPr>
              <w:t>危险性分析</w:t>
            </w:r>
          </w:p>
        </w:tc>
        <w:tc>
          <w:tcPr>
            <w:tcW w:w="6907" w:type="dxa"/>
            <w:tcBorders>
              <w:top w:val="single" w:color="000000" w:sz="4" w:space="0"/>
              <w:left w:val="single" w:color="000000" w:sz="4" w:space="0"/>
              <w:bottom w:val="single" w:color="000000" w:sz="4" w:space="0"/>
            </w:tcBorders>
          </w:tcPr>
          <w:p>
            <w:pPr>
              <w:pStyle w:val="129"/>
              <w:spacing w:before="1"/>
              <w:ind w:left="116"/>
              <w:rPr>
                <w:rFonts w:eastAsiaTheme="minorEastAsia"/>
                <w:sz w:val="24"/>
                <w:szCs w:val="24"/>
                <w:lang w:eastAsia="zh-CN"/>
              </w:rPr>
            </w:pPr>
            <w:r>
              <w:rPr>
                <w:rFonts w:hint="eastAsia" w:eastAsiaTheme="minorEastAsia"/>
                <w:sz w:val="24"/>
                <w:szCs w:val="24"/>
                <w:lang w:eastAsia="zh-CN"/>
              </w:rPr>
              <w:t>（1）</w:t>
            </w:r>
            <w:r>
              <w:rPr>
                <w:rFonts w:eastAsiaTheme="minorEastAsia"/>
                <w:sz w:val="24"/>
                <w:szCs w:val="24"/>
                <w:lang w:eastAsia="zh-CN"/>
              </w:rPr>
              <w:t>供气输气管道</w:t>
            </w:r>
            <w:r>
              <w:rPr>
                <w:rFonts w:hint="eastAsia" w:eastAsiaTheme="minorEastAsia"/>
                <w:sz w:val="24"/>
                <w:szCs w:val="24"/>
                <w:lang w:eastAsia="zh-CN"/>
              </w:rPr>
              <w:t>、调压装置和阀井</w:t>
            </w:r>
            <w:r>
              <w:rPr>
                <w:rFonts w:eastAsiaTheme="minorEastAsia"/>
                <w:sz w:val="24"/>
                <w:szCs w:val="24"/>
                <w:lang w:eastAsia="zh-CN"/>
              </w:rPr>
              <w:t>，若天然气发生泄漏，相关人员吸入过量导致人员中毒窒息。</w:t>
            </w:r>
            <w:r>
              <w:rPr>
                <w:rFonts w:hint="eastAsia" w:eastAsiaTheme="minorEastAsia"/>
                <w:sz w:val="24"/>
                <w:szCs w:val="24"/>
                <w:lang w:eastAsia="zh-CN"/>
              </w:rPr>
              <w:t>（2）用户端用气装置、管道故障老化、管道漏气，发生天然气或一氧化碳中毒窒息。（3）进入有限空间作业，发生一氧化碳或硫化物中毒。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jc w:val="center"/>
        </w:trPr>
        <w:tc>
          <w:tcPr>
            <w:tcW w:w="488" w:type="dxa"/>
            <w:vMerge w:val="continue"/>
            <w:tcBorders>
              <w:top w:val="nil"/>
              <w:bottom w:val="single" w:color="000000" w:sz="4" w:space="0"/>
              <w:right w:val="single" w:color="000000" w:sz="4" w:space="0"/>
            </w:tcBorders>
          </w:tcPr>
          <w:p>
            <w:pPr>
              <w:widowControl w:val="0"/>
              <w:autoSpaceDE w:val="0"/>
              <w:autoSpaceDN w:val="0"/>
              <w:rPr>
                <w:rFonts w:ascii="宋体" w:hAnsi="宋体" w:eastAsiaTheme="minorEastAsia" w:cstheme="minorBidi"/>
                <w:sz w:val="24"/>
                <w:szCs w:val="24"/>
                <w:lang w:eastAsia="en-US"/>
              </w:rPr>
            </w:pPr>
          </w:p>
        </w:tc>
        <w:tc>
          <w:tcPr>
            <w:tcW w:w="1290" w:type="dxa"/>
            <w:tcBorders>
              <w:top w:val="single" w:color="000000" w:sz="4" w:space="0"/>
              <w:left w:val="single" w:color="000000" w:sz="4" w:space="0"/>
              <w:bottom w:val="single" w:color="000000" w:sz="4" w:space="0"/>
              <w:right w:val="single" w:color="000000" w:sz="4" w:space="0"/>
            </w:tcBorders>
          </w:tcPr>
          <w:p>
            <w:pPr>
              <w:pStyle w:val="129"/>
              <w:ind w:left="118"/>
              <w:rPr>
                <w:rFonts w:eastAsiaTheme="minorEastAsia"/>
                <w:sz w:val="24"/>
                <w:szCs w:val="24"/>
              </w:rPr>
            </w:pPr>
            <w:r>
              <w:rPr>
                <w:rFonts w:eastAsiaTheme="minorEastAsia"/>
                <w:sz w:val="24"/>
                <w:szCs w:val="24"/>
              </w:rPr>
              <w:t>可能发生的</w:t>
            </w:r>
          </w:p>
          <w:p>
            <w:pPr>
              <w:pStyle w:val="129"/>
              <w:spacing w:before="2" w:line="253" w:lineRule="exact"/>
              <w:ind w:left="118"/>
              <w:rPr>
                <w:rFonts w:eastAsiaTheme="minorEastAsia"/>
                <w:sz w:val="24"/>
                <w:szCs w:val="24"/>
              </w:rPr>
            </w:pPr>
            <w:r>
              <w:rPr>
                <w:rFonts w:eastAsiaTheme="minorEastAsia"/>
                <w:sz w:val="24"/>
                <w:szCs w:val="24"/>
              </w:rPr>
              <w:t>事故类型</w:t>
            </w:r>
          </w:p>
        </w:tc>
        <w:tc>
          <w:tcPr>
            <w:tcW w:w="6907" w:type="dxa"/>
            <w:tcBorders>
              <w:top w:val="single" w:color="000000" w:sz="4" w:space="0"/>
              <w:left w:val="single" w:color="000000" w:sz="4" w:space="0"/>
              <w:bottom w:val="single" w:color="000000" w:sz="4" w:space="0"/>
            </w:tcBorders>
          </w:tcPr>
          <w:p>
            <w:pPr>
              <w:pStyle w:val="129"/>
              <w:spacing w:before="134"/>
              <w:ind w:left="116"/>
              <w:rPr>
                <w:rFonts w:eastAsiaTheme="minorEastAsia"/>
                <w:sz w:val="24"/>
                <w:szCs w:val="24"/>
              </w:rPr>
            </w:pPr>
            <w:r>
              <w:rPr>
                <w:rFonts w:eastAsiaTheme="minorEastAsia"/>
                <w:sz w:val="24"/>
                <w:szCs w:val="24"/>
              </w:rPr>
              <w:t>中毒与窒息事故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jc w:val="center"/>
        </w:trPr>
        <w:tc>
          <w:tcPr>
            <w:tcW w:w="488" w:type="dxa"/>
            <w:vMerge w:val="continue"/>
            <w:tcBorders>
              <w:top w:val="nil"/>
              <w:bottom w:val="single" w:color="000000" w:sz="4" w:space="0"/>
              <w:right w:val="single" w:color="000000" w:sz="4" w:space="0"/>
            </w:tcBorders>
          </w:tcPr>
          <w:p>
            <w:pPr>
              <w:widowControl w:val="0"/>
              <w:autoSpaceDE w:val="0"/>
              <w:autoSpaceDN w:val="0"/>
              <w:rPr>
                <w:rFonts w:ascii="宋体" w:hAnsi="宋体" w:eastAsiaTheme="minorEastAsia" w:cstheme="minorBidi"/>
                <w:sz w:val="24"/>
                <w:szCs w:val="24"/>
                <w:lang w:eastAsia="en-US"/>
              </w:rPr>
            </w:pPr>
          </w:p>
        </w:tc>
        <w:tc>
          <w:tcPr>
            <w:tcW w:w="1290" w:type="dxa"/>
            <w:tcBorders>
              <w:top w:val="single" w:color="000000" w:sz="4" w:space="0"/>
              <w:left w:val="single" w:color="000000" w:sz="4" w:space="0"/>
              <w:bottom w:val="single" w:color="000000" w:sz="4" w:space="0"/>
              <w:right w:val="single" w:color="000000" w:sz="4" w:space="0"/>
            </w:tcBorders>
          </w:tcPr>
          <w:p>
            <w:pPr>
              <w:pStyle w:val="129"/>
              <w:ind w:left="118" w:right="-29"/>
              <w:rPr>
                <w:rFonts w:eastAsiaTheme="minorEastAsia"/>
                <w:sz w:val="24"/>
                <w:szCs w:val="24"/>
              </w:rPr>
            </w:pPr>
            <w:r>
              <w:rPr>
                <w:rFonts w:eastAsiaTheme="minorEastAsia"/>
                <w:spacing w:val="-43"/>
                <w:sz w:val="24"/>
                <w:szCs w:val="24"/>
              </w:rPr>
              <w:t>区域</w:t>
            </w:r>
            <w:r>
              <w:rPr>
                <w:rFonts w:eastAsiaTheme="minorEastAsia"/>
                <w:sz w:val="24"/>
                <w:szCs w:val="24"/>
              </w:rPr>
              <w:t>（</w:t>
            </w:r>
            <w:r>
              <w:rPr>
                <w:rFonts w:eastAsiaTheme="minorEastAsia"/>
                <w:spacing w:val="2"/>
                <w:sz w:val="24"/>
                <w:szCs w:val="24"/>
              </w:rPr>
              <w:t>设备</w:t>
            </w:r>
            <w:r>
              <w:rPr>
                <w:rFonts w:eastAsiaTheme="minorEastAsia"/>
                <w:sz w:val="24"/>
                <w:szCs w:val="24"/>
              </w:rPr>
              <w:t>）</w:t>
            </w:r>
          </w:p>
          <w:p>
            <w:pPr>
              <w:pStyle w:val="129"/>
              <w:spacing w:before="5" w:line="251" w:lineRule="exact"/>
              <w:ind w:left="118"/>
              <w:rPr>
                <w:rFonts w:eastAsiaTheme="minorEastAsia"/>
                <w:sz w:val="24"/>
                <w:szCs w:val="24"/>
              </w:rPr>
            </w:pPr>
            <w:r>
              <w:rPr>
                <w:rFonts w:eastAsiaTheme="minorEastAsia"/>
                <w:sz w:val="24"/>
                <w:szCs w:val="24"/>
              </w:rPr>
              <w:t>名称</w:t>
            </w:r>
          </w:p>
        </w:tc>
        <w:tc>
          <w:tcPr>
            <w:tcW w:w="6907" w:type="dxa"/>
            <w:tcBorders>
              <w:top w:val="single" w:color="000000" w:sz="4" w:space="0"/>
              <w:left w:val="single" w:color="000000" w:sz="4" w:space="0"/>
              <w:bottom w:val="single" w:color="000000" w:sz="4" w:space="0"/>
            </w:tcBorders>
          </w:tcPr>
          <w:p>
            <w:pPr>
              <w:pStyle w:val="129"/>
              <w:spacing w:before="135"/>
              <w:ind w:left="116"/>
              <w:rPr>
                <w:rFonts w:eastAsiaTheme="minorEastAsia"/>
                <w:sz w:val="24"/>
                <w:szCs w:val="24"/>
                <w:lang w:eastAsia="zh-CN"/>
              </w:rPr>
            </w:pPr>
            <w:r>
              <w:rPr>
                <w:rFonts w:hint="eastAsia" w:eastAsiaTheme="minorEastAsia"/>
                <w:sz w:val="24"/>
                <w:szCs w:val="24"/>
                <w:lang w:eastAsia="zh-CN"/>
              </w:rPr>
              <w:t>场站、</w:t>
            </w:r>
            <w:r>
              <w:rPr>
                <w:rFonts w:eastAsiaTheme="minorEastAsia"/>
                <w:sz w:val="24"/>
                <w:szCs w:val="24"/>
                <w:lang w:eastAsia="zh-CN"/>
              </w:rPr>
              <w:t>供气输气管道</w:t>
            </w:r>
            <w:r>
              <w:rPr>
                <w:rFonts w:hint="eastAsia" w:eastAsiaTheme="minorEastAsia"/>
                <w:sz w:val="24"/>
                <w:szCs w:val="24"/>
                <w:lang w:eastAsia="zh-CN"/>
              </w:rPr>
              <w:t>、调压装置、阀井、密闭空间、用户端用气装置</w:t>
            </w:r>
            <w:r>
              <w:rPr>
                <w:rFonts w:eastAsiaTheme="minorEastAsia"/>
                <w:sz w:val="24"/>
                <w:szCs w:val="24"/>
                <w:lang w:eastAsia="zh-CN"/>
              </w:rPr>
              <w:t>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jc w:val="center"/>
        </w:trPr>
        <w:tc>
          <w:tcPr>
            <w:tcW w:w="488" w:type="dxa"/>
            <w:vMerge w:val="continue"/>
            <w:tcBorders>
              <w:top w:val="nil"/>
              <w:bottom w:val="single" w:color="000000" w:sz="4" w:space="0"/>
              <w:right w:val="single" w:color="000000" w:sz="4" w:space="0"/>
            </w:tcBorders>
          </w:tcPr>
          <w:p>
            <w:pPr>
              <w:widowControl w:val="0"/>
              <w:autoSpaceDE w:val="0"/>
              <w:autoSpaceDN w:val="0"/>
              <w:rPr>
                <w:rFonts w:ascii="宋体" w:hAnsi="宋体" w:eastAsiaTheme="minorEastAsia" w:cstheme="minorBidi"/>
                <w:sz w:val="24"/>
                <w:szCs w:val="24"/>
                <w:lang w:eastAsia="en-US"/>
              </w:rPr>
            </w:pPr>
          </w:p>
        </w:tc>
        <w:tc>
          <w:tcPr>
            <w:tcW w:w="1290" w:type="dxa"/>
            <w:tcBorders>
              <w:top w:val="single" w:color="000000" w:sz="4" w:space="0"/>
              <w:left w:val="single" w:color="000000" w:sz="4" w:space="0"/>
              <w:bottom w:val="single" w:color="000000" w:sz="4" w:space="0"/>
              <w:right w:val="single" w:color="000000" w:sz="4" w:space="0"/>
            </w:tcBorders>
          </w:tcPr>
          <w:p>
            <w:pPr>
              <w:pStyle w:val="129"/>
              <w:ind w:left="118"/>
              <w:rPr>
                <w:rFonts w:eastAsiaTheme="minorEastAsia"/>
                <w:sz w:val="24"/>
                <w:szCs w:val="24"/>
                <w:lang w:eastAsia="zh-CN"/>
              </w:rPr>
            </w:pPr>
            <w:r>
              <w:rPr>
                <w:rFonts w:eastAsiaTheme="minorEastAsia"/>
                <w:spacing w:val="5"/>
                <w:w w:val="95"/>
                <w:sz w:val="24"/>
                <w:szCs w:val="24"/>
                <w:lang w:eastAsia="zh-CN"/>
              </w:rPr>
              <w:t>可能发生的</w:t>
            </w:r>
          </w:p>
          <w:p>
            <w:pPr>
              <w:pStyle w:val="129"/>
              <w:spacing w:before="4" w:line="251" w:lineRule="exact"/>
              <w:ind w:left="118"/>
              <w:rPr>
                <w:rFonts w:eastAsiaTheme="minorEastAsia"/>
                <w:sz w:val="24"/>
                <w:szCs w:val="24"/>
                <w:lang w:eastAsia="zh-CN"/>
              </w:rPr>
            </w:pPr>
            <w:r>
              <w:rPr>
                <w:rFonts w:eastAsiaTheme="minorEastAsia"/>
                <w:w w:val="95"/>
                <w:sz w:val="24"/>
                <w:szCs w:val="24"/>
                <w:lang w:eastAsia="zh-CN"/>
              </w:rPr>
              <w:t>季节、时段</w:t>
            </w:r>
          </w:p>
        </w:tc>
        <w:tc>
          <w:tcPr>
            <w:tcW w:w="6907" w:type="dxa"/>
            <w:tcBorders>
              <w:top w:val="single" w:color="000000" w:sz="4" w:space="0"/>
              <w:left w:val="single" w:color="000000" w:sz="4" w:space="0"/>
              <w:bottom w:val="single" w:color="000000" w:sz="4" w:space="0"/>
            </w:tcBorders>
          </w:tcPr>
          <w:p>
            <w:pPr>
              <w:pStyle w:val="129"/>
              <w:spacing w:before="137"/>
              <w:ind w:left="116"/>
              <w:rPr>
                <w:rFonts w:eastAsiaTheme="minorEastAsia"/>
                <w:sz w:val="24"/>
                <w:szCs w:val="24"/>
                <w:lang w:eastAsia="zh-CN"/>
              </w:rPr>
            </w:pPr>
            <w:r>
              <w:rPr>
                <w:rFonts w:eastAsiaTheme="minorEastAsia"/>
                <w:sz w:val="24"/>
                <w:szCs w:val="24"/>
                <w:lang w:eastAsia="zh-CN"/>
              </w:rPr>
              <w:t>春季、夏季、秋季、冬季都有可能发生，具有突发性强的特点。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3" w:hRule="atLeast"/>
          <w:jc w:val="center"/>
        </w:trPr>
        <w:tc>
          <w:tcPr>
            <w:tcW w:w="488" w:type="dxa"/>
            <w:vMerge w:val="continue"/>
            <w:tcBorders>
              <w:top w:val="nil"/>
              <w:bottom w:val="single" w:color="000000" w:sz="4" w:space="0"/>
              <w:right w:val="single" w:color="000000" w:sz="4" w:space="0"/>
            </w:tcBorders>
          </w:tcPr>
          <w:p>
            <w:pPr>
              <w:widowControl w:val="0"/>
              <w:autoSpaceDE w:val="0"/>
              <w:autoSpaceDN w:val="0"/>
              <w:rPr>
                <w:rFonts w:ascii="宋体" w:hAnsi="宋体" w:eastAsiaTheme="minorEastAsia" w:cstheme="minorBidi"/>
                <w:sz w:val="24"/>
                <w:szCs w:val="24"/>
                <w:lang w:eastAsia="en-US"/>
              </w:rPr>
            </w:pPr>
          </w:p>
        </w:tc>
        <w:tc>
          <w:tcPr>
            <w:tcW w:w="1290" w:type="dxa"/>
            <w:tcBorders>
              <w:top w:val="single" w:color="000000" w:sz="4" w:space="0"/>
              <w:left w:val="single" w:color="000000" w:sz="4" w:space="0"/>
              <w:bottom w:val="single" w:color="000000" w:sz="4" w:space="0"/>
              <w:right w:val="single" w:color="000000" w:sz="4" w:space="0"/>
            </w:tcBorders>
          </w:tcPr>
          <w:p>
            <w:pPr>
              <w:pStyle w:val="129"/>
              <w:spacing w:line="268" w:lineRule="exact"/>
              <w:ind w:left="118"/>
              <w:rPr>
                <w:rFonts w:eastAsiaTheme="minorEastAsia"/>
                <w:sz w:val="24"/>
                <w:szCs w:val="24"/>
              </w:rPr>
            </w:pPr>
            <w:r>
              <w:rPr>
                <w:rFonts w:eastAsiaTheme="minorEastAsia"/>
                <w:sz w:val="24"/>
                <w:szCs w:val="24"/>
              </w:rPr>
              <w:t>事故危害程</w:t>
            </w:r>
          </w:p>
          <w:p>
            <w:pPr>
              <w:pStyle w:val="129"/>
              <w:spacing w:before="4" w:line="251" w:lineRule="exact"/>
              <w:ind w:left="118"/>
              <w:rPr>
                <w:rFonts w:eastAsiaTheme="minorEastAsia"/>
                <w:sz w:val="24"/>
                <w:szCs w:val="24"/>
              </w:rPr>
            </w:pPr>
            <w:r>
              <w:rPr>
                <w:rFonts w:eastAsiaTheme="minorEastAsia"/>
                <w:w w:val="99"/>
                <w:sz w:val="24"/>
                <w:szCs w:val="24"/>
              </w:rPr>
              <w:t>度</w:t>
            </w:r>
          </w:p>
        </w:tc>
        <w:tc>
          <w:tcPr>
            <w:tcW w:w="6907" w:type="dxa"/>
            <w:tcBorders>
              <w:top w:val="single" w:color="000000" w:sz="4" w:space="0"/>
              <w:left w:val="single" w:color="000000" w:sz="4" w:space="0"/>
              <w:bottom w:val="single" w:color="000000" w:sz="4" w:space="0"/>
            </w:tcBorders>
          </w:tcPr>
          <w:p>
            <w:pPr>
              <w:pStyle w:val="129"/>
              <w:spacing w:before="136"/>
              <w:ind w:left="116"/>
              <w:rPr>
                <w:rFonts w:eastAsiaTheme="minorEastAsia"/>
                <w:sz w:val="24"/>
                <w:szCs w:val="24"/>
                <w:lang w:eastAsia="zh-CN"/>
              </w:rPr>
            </w:pPr>
            <w:r>
              <w:rPr>
                <w:rFonts w:eastAsiaTheme="minorEastAsia"/>
                <w:sz w:val="24"/>
                <w:szCs w:val="24"/>
                <w:lang w:eastAsia="zh-CN"/>
              </w:rPr>
              <w:t>发生中毒和窒息事故可能造成作业人员昏迷，重者可能危及生命。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jc w:val="center"/>
        </w:trPr>
        <w:tc>
          <w:tcPr>
            <w:tcW w:w="488" w:type="dxa"/>
            <w:vMerge w:val="continue"/>
            <w:tcBorders>
              <w:top w:val="nil"/>
              <w:bottom w:val="single" w:color="000000" w:sz="4" w:space="0"/>
              <w:right w:val="single" w:color="000000" w:sz="4" w:space="0"/>
            </w:tcBorders>
          </w:tcPr>
          <w:p>
            <w:pPr>
              <w:widowControl w:val="0"/>
              <w:autoSpaceDE w:val="0"/>
              <w:autoSpaceDN w:val="0"/>
              <w:rPr>
                <w:rFonts w:ascii="宋体" w:hAnsi="宋体" w:eastAsiaTheme="minorEastAsia" w:cstheme="minorBidi"/>
                <w:sz w:val="24"/>
                <w:szCs w:val="24"/>
                <w:lang w:eastAsia="en-US"/>
              </w:rPr>
            </w:pPr>
          </w:p>
        </w:tc>
        <w:tc>
          <w:tcPr>
            <w:tcW w:w="1290" w:type="dxa"/>
            <w:tcBorders>
              <w:top w:val="single" w:color="000000" w:sz="4" w:space="0"/>
              <w:left w:val="single" w:color="000000" w:sz="4" w:space="0"/>
              <w:bottom w:val="single" w:color="000000" w:sz="4" w:space="0"/>
              <w:right w:val="single" w:color="000000" w:sz="4" w:space="0"/>
            </w:tcBorders>
          </w:tcPr>
          <w:p>
            <w:pPr>
              <w:pStyle w:val="129"/>
              <w:spacing w:before="136"/>
              <w:ind w:left="118"/>
              <w:rPr>
                <w:rFonts w:eastAsiaTheme="minorEastAsia"/>
                <w:bCs/>
                <w:sz w:val="24"/>
                <w:szCs w:val="24"/>
              </w:rPr>
            </w:pPr>
            <w:r>
              <w:rPr>
                <w:rFonts w:eastAsiaTheme="minorEastAsia"/>
                <w:bCs/>
                <w:sz w:val="24"/>
                <w:szCs w:val="24"/>
              </w:rPr>
              <w:t>事故征兆</w:t>
            </w:r>
          </w:p>
        </w:tc>
        <w:tc>
          <w:tcPr>
            <w:tcW w:w="6907" w:type="dxa"/>
            <w:tcBorders>
              <w:top w:val="single" w:color="000000" w:sz="4" w:space="0"/>
              <w:left w:val="single" w:color="000000" w:sz="4" w:space="0"/>
              <w:bottom w:val="single" w:color="000000" w:sz="4" w:space="0"/>
            </w:tcBorders>
          </w:tcPr>
          <w:p>
            <w:pPr>
              <w:pStyle w:val="129"/>
              <w:spacing w:before="1" w:line="270" w:lineRule="atLeast"/>
              <w:ind w:left="116" w:right="76"/>
              <w:rPr>
                <w:rFonts w:eastAsiaTheme="minorEastAsia"/>
                <w:sz w:val="24"/>
                <w:szCs w:val="24"/>
                <w:lang w:eastAsia="zh-CN"/>
              </w:rPr>
            </w:pPr>
            <w:r>
              <w:rPr>
                <w:rFonts w:eastAsiaTheme="minorEastAsia"/>
                <w:spacing w:val="-5"/>
                <w:w w:val="95"/>
                <w:sz w:val="24"/>
                <w:szCs w:val="24"/>
                <w:lang w:eastAsia="zh-CN"/>
              </w:rPr>
              <w:t xml:space="preserve">眼睛、喉咙感觉不适，呼吸困难等；发现作业现场有人晕倒；作业人员发  </w:t>
            </w:r>
            <w:r>
              <w:rPr>
                <w:rFonts w:eastAsiaTheme="minorEastAsia"/>
                <w:spacing w:val="-5"/>
                <w:sz w:val="24"/>
                <w:szCs w:val="24"/>
                <w:lang w:eastAsia="zh-CN"/>
              </w:rPr>
              <w:t>生昏迷、晕倒现象。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jc w:val="center"/>
        </w:trPr>
        <w:tc>
          <w:tcPr>
            <w:tcW w:w="488" w:type="dxa"/>
            <w:vMerge w:val="restart"/>
            <w:tcBorders>
              <w:top w:val="single" w:color="000000" w:sz="4" w:space="0"/>
              <w:bottom w:val="single" w:color="000000" w:sz="4" w:space="0"/>
              <w:right w:val="single" w:color="000000" w:sz="4" w:space="0"/>
            </w:tcBorders>
          </w:tcPr>
          <w:p>
            <w:pPr>
              <w:pStyle w:val="129"/>
              <w:rPr>
                <w:rFonts w:eastAsiaTheme="minorEastAsia"/>
                <w:sz w:val="24"/>
                <w:szCs w:val="24"/>
                <w:lang w:eastAsia="zh-CN"/>
              </w:rPr>
            </w:pPr>
          </w:p>
          <w:p>
            <w:pPr>
              <w:pStyle w:val="129"/>
              <w:rPr>
                <w:rFonts w:eastAsiaTheme="minorEastAsia"/>
                <w:sz w:val="24"/>
                <w:szCs w:val="24"/>
                <w:lang w:eastAsia="zh-CN"/>
              </w:rPr>
            </w:pPr>
          </w:p>
          <w:p>
            <w:pPr>
              <w:pStyle w:val="129"/>
              <w:rPr>
                <w:rFonts w:eastAsiaTheme="minorEastAsia"/>
                <w:sz w:val="24"/>
                <w:szCs w:val="24"/>
                <w:lang w:eastAsia="zh-CN"/>
              </w:rPr>
            </w:pPr>
          </w:p>
          <w:p>
            <w:pPr>
              <w:pStyle w:val="129"/>
              <w:rPr>
                <w:rFonts w:eastAsiaTheme="minorEastAsia"/>
                <w:sz w:val="24"/>
                <w:szCs w:val="24"/>
                <w:lang w:eastAsia="zh-CN"/>
              </w:rPr>
            </w:pPr>
          </w:p>
          <w:p>
            <w:pPr>
              <w:pStyle w:val="129"/>
              <w:spacing w:before="7"/>
              <w:rPr>
                <w:rFonts w:eastAsiaTheme="minorEastAsia"/>
                <w:sz w:val="24"/>
                <w:szCs w:val="24"/>
                <w:lang w:eastAsia="zh-CN"/>
              </w:rPr>
            </w:pPr>
          </w:p>
          <w:p>
            <w:pPr>
              <w:pStyle w:val="129"/>
              <w:spacing w:line="242" w:lineRule="auto"/>
              <w:ind w:left="106" w:right="150"/>
              <w:jc w:val="both"/>
              <w:rPr>
                <w:rFonts w:eastAsiaTheme="minorEastAsia"/>
                <w:sz w:val="24"/>
                <w:szCs w:val="24"/>
              </w:rPr>
            </w:pPr>
            <w:r>
              <w:rPr>
                <w:rFonts w:eastAsiaTheme="minorEastAsia"/>
                <w:sz w:val="24"/>
                <w:szCs w:val="24"/>
              </w:rPr>
              <w:t>应急</w:t>
            </w:r>
            <w:r>
              <w:rPr>
                <w:rFonts w:hint="eastAsia" w:eastAsiaTheme="minorEastAsia"/>
                <w:sz w:val="24"/>
                <w:szCs w:val="24"/>
                <w:lang w:eastAsia="zh-CN"/>
              </w:rPr>
              <w:t>工作</w:t>
            </w:r>
            <w:r>
              <w:rPr>
                <w:rFonts w:eastAsiaTheme="minorEastAsia"/>
                <w:sz w:val="24"/>
                <w:szCs w:val="24"/>
              </w:rPr>
              <w:t>职责</w:t>
            </w:r>
          </w:p>
        </w:tc>
        <w:tc>
          <w:tcPr>
            <w:tcW w:w="1290" w:type="dxa"/>
            <w:tcBorders>
              <w:top w:val="single" w:color="000000" w:sz="4" w:space="0"/>
              <w:left w:val="single" w:color="000000" w:sz="4" w:space="0"/>
              <w:bottom w:val="single" w:color="000000" w:sz="4" w:space="0"/>
              <w:right w:val="single" w:color="000000" w:sz="4" w:space="0"/>
            </w:tcBorders>
          </w:tcPr>
          <w:p>
            <w:pPr>
              <w:pStyle w:val="129"/>
              <w:ind w:left="118"/>
              <w:rPr>
                <w:rFonts w:eastAsiaTheme="minorEastAsia"/>
                <w:sz w:val="24"/>
                <w:szCs w:val="24"/>
              </w:rPr>
            </w:pPr>
            <w:r>
              <w:rPr>
                <w:rFonts w:eastAsiaTheme="minorEastAsia"/>
                <w:sz w:val="24"/>
                <w:szCs w:val="24"/>
              </w:rPr>
              <w:t>组织与人员</w:t>
            </w:r>
          </w:p>
        </w:tc>
        <w:tc>
          <w:tcPr>
            <w:tcW w:w="6907" w:type="dxa"/>
            <w:tcBorders>
              <w:top w:val="single" w:color="000000" w:sz="4" w:space="0"/>
              <w:left w:val="single" w:color="000000" w:sz="4" w:space="0"/>
              <w:bottom w:val="single" w:color="000000" w:sz="4" w:space="0"/>
            </w:tcBorders>
            <w:vAlign w:val="center"/>
          </w:tcPr>
          <w:p>
            <w:pPr>
              <w:widowControl w:val="0"/>
              <w:autoSpaceDE w:val="0"/>
              <w:autoSpaceDN w:val="0"/>
              <w:rPr>
                <w:rFonts w:asciiTheme="majorEastAsia" w:hAnsiTheme="majorEastAsia" w:eastAsiaTheme="majorEastAsia" w:cstheme="majorEastAsia"/>
                <w:sz w:val="24"/>
                <w:szCs w:val="24"/>
                <w:lang w:eastAsia="en-US"/>
              </w:rPr>
            </w:pPr>
            <w:r>
              <w:rPr>
                <w:rFonts w:hint="eastAsia" w:asciiTheme="majorEastAsia" w:hAnsiTheme="majorEastAsia" w:eastAsiaTheme="majorEastAsia" w:cstheme="majorEastAsia"/>
                <w:sz w:val="24"/>
                <w:szCs w:val="24"/>
                <w:lang w:eastAsia="en-US"/>
              </w:rPr>
              <w:t>现场指挥：现场组长</w:t>
            </w:r>
          </w:p>
          <w:p>
            <w:pPr>
              <w:pStyle w:val="129"/>
              <w:spacing w:before="1" w:line="242" w:lineRule="auto"/>
              <w:ind w:left="116" w:right="74"/>
              <w:rPr>
                <w:rFonts w:eastAsiaTheme="minorEastAsia"/>
                <w:sz w:val="24"/>
                <w:szCs w:val="24"/>
                <w:lang w:eastAsia="zh-CN"/>
              </w:rPr>
            </w:pPr>
            <w:r>
              <w:rPr>
                <w:rFonts w:hint="eastAsia" w:asciiTheme="majorEastAsia" w:hAnsiTheme="majorEastAsia" w:eastAsiaTheme="majorEastAsia" w:cstheme="majorEastAsia"/>
                <w:sz w:val="24"/>
                <w:szCs w:val="24"/>
                <w:lang w:eastAsia="zh-CN"/>
              </w:rPr>
              <w:t>成</w:t>
            </w:r>
            <w:r>
              <w:rPr>
                <w:rFonts w:hint="eastAsia" w:asciiTheme="majorEastAsia" w:hAnsiTheme="majorEastAsia" w:eastAsiaTheme="majorEastAsia" w:cstheme="majorEastAsia"/>
                <w:sz w:val="24"/>
                <w:szCs w:val="24"/>
                <w:lang w:eastAsia="zh-CN"/>
              </w:rPr>
              <w:tab/>
            </w:r>
            <w:r>
              <w:rPr>
                <w:rFonts w:hint="eastAsia" w:asciiTheme="majorEastAsia" w:hAnsiTheme="majorEastAsia" w:eastAsiaTheme="majorEastAsia" w:cstheme="majorEastAsia"/>
                <w:sz w:val="24"/>
                <w:szCs w:val="24"/>
                <w:lang w:eastAsia="zh-CN"/>
              </w:rPr>
              <w:t>员：现场班组全体组员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73" w:hRule="atLeast"/>
          <w:jc w:val="center"/>
        </w:trPr>
        <w:tc>
          <w:tcPr>
            <w:tcW w:w="488" w:type="dxa"/>
            <w:vMerge w:val="continue"/>
            <w:tcBorders>
              <w:top w:val="nil"/>
              <w:bottom w:val="single" w:color="000000" w:sz="4" w:space="0"/>
              <w:right w:val="single" w:color="000000" w:sz="4" w:space="0"/>
            </w:tcBorders>
          </w:tcPr>
          <w:p>
            <w:pPr>
              <w:widowControl w:val="0"/>
              <w:autoSpaceDE w:val="0"/>
              <w:autoSpaceDN w:val="0"/>
              <w:rPr>
                <w:rFonts w:ascii="宋体" w:hAnsi="宋体" w:eastAsiaTheme="minorEastAsia" w:cstheme="minorBidi"/>
                <w:sz w:val="24"/>
                <w:szCs w:val="24"/>
                <w:lang w:eastAsia="en-US"/>
              </w:rPr>
            </w:pPr>
          </w:p>
        </w:tc>
        <w:tc>
          <w:tcPr>
            <w:tcW w:w="1290" w:type="dxa"/>
            <w:tcBorders>
              <w:top w:val="single" w:color="000000" w:sz="4" w:space="0"/>
              <w:left w:val="single" w:color="000000" w:sz="4" w:space="0"/>
              <w:bottom w:val="single" w:color="000000" w:sz="4" w:space="0"/>
              <w:right w:val="single" w:color="000000" w:sz="4" w:space="0"/>
            </w:tcBorders>
          </w:tcPr>
          <w:p>
            <w:pPr>
              <w:pStyle w:val="129"/>
              <w:rPr>
                <w:rFonts w:eastAsiaTheme="minorEastAsia"/>
                <w:sz w:val="24"/>
                <w:szCs w:val="24"/>
                <w:lang w:eastAsia="zh-CN"/>
              </w:rPr>
            </w:pPr>
          </w:p>
          <w:p>
            <w:pPr>
              <w:pStyle w:val="129"/>
              <w:rPr>
                <w:rFonts w:eastAsiaTheme="minorEastAsia"/>
                <w:sz w:val="24"/>
                <w:szCs w:val="24"/>
                <w:lang w:eastAsia="zh-CN"/>
              </w:rPr>
            </w:pPr>
          </w:p>
          <w:p>
            <w:pPr>
              <w:pStyle w:val="129"/>
              <w:rPr>
                <w:rFonts w:eastAsiaTheme="minorEastAsia"/>
                <w:sz w:val="24"/>
                <w:szCs w:val="24"/>
                <w:lang w:eastAsia="zh-CN"/>
              </w:rPr>
            </w:pPr>
          </w:p>
          <w:p>
            <w:pPr>
              <w:pStyle w:val="129"/>
              <w:rPr>
                <w:rFonts w:eastAsiaTheme="minorEastAsia"/>
                <w:sz w:val="24"/>
                <w:szCs w:val="24"/>
                <w:lang w:eastAsia="zh-CN"/>
              </w:rPr>
            </w:pPr>
          </w:p>
          <w:p>
            <w:pPr>
              <w:pStyle w:val="129"/>
              <w:rPr>
                <w:rFonts w:eastAsiaTheme="minorEastAsia"/>
                <w:sz w:val="24"/>
                <w:szCs w:val="24"/>
                <w:lang w:eastAsia="zh-CN"/>
              </w:rPr>
            </w:pPr>
          </w:p>
          <w:p>
            <w:pPr>
              <w:pStyle w:val="129"/>
              <w:spacing w:before="1"/>
              <w:rPr>
                <w:rFonts w:eastAsiaTheme="minorEastAsia"/>
                <w:sz w:val="24"/>
                <w:szCs w:val="24"/>
                <w:lang w:eastAsia="zh-CN"/>
              </w:rPr>
            </w:pPr>
          </w:p>
          <w:p>
            <w:pPr>
              <w:pStyle w:val="129"/>
              <w:spacing w:before="1"/>
              <w:ind w:left="118"/>
              <w:rPr>
                <w:rFonts w:eastAsiaTheme="minorEastAsia"/>
                <w:sz w:val="24"/>
                <w:szCs w:val="24"/>
              </w:rPr>
            </w:pPr>
            <w:r>
              <w:rPr>
                <w:rFonts w:eastAsiaTheme="minorEastAsia"/>
                <w:sz w:val="24"/>
                <w:szCs w:val="24"/>
              </w:rPr>
              <w:t>具体职责</w:t>
            </w:r>
          </w:p>
        </w:tc>
        <w:tc>
          <w:tcPr>
            <w:tcW w:w="6907" w:type="dxa"/>
            <w:tcBorders>
              <w:top w:val="single" w:color="000000" w:sz="4" w:space="0"/>
              <w:left w:val="single" w:color="000000" w:sz="4" w:space="0"/>
              <w:bottom w:val="single" w:color="000000" w:sz="4" w:space="0"/>
            </w:tcBorders>
            <w:vAlign w:val="center"/>
          </w:tcPr>
          <w:p>
            <w:pPr>
              <w:pStyle w:val="108"/>
              <w:autoSpaceDE w:val="0"/>
              <w:autoSpaceDN w:val="0"/>
              <w:spacing w:line="240" w:lineRule="auto"/>
              <w:jc w:val="left"/>
              <w:rPr>
                <w:rFonts w:asciiTheme="majorEastAsia" w:hAnsiTheme="majorEastAsia" w:eastAsiaTheme="majorEastAsia" w:cstheme="majorEastAsia"/>
                <w:sz w:val="24"/>
                <w:szCs w:val="24"/>
                <w:lang w:eastAsia="en-US"/>
              </w:rPr>
            </w:pPr>
            <w:r>
              <w:rPr>
                <w:rFonts w:hint="eastAsia" w:asciiTheme="majorEastAsia" w:hAnsiTheme="majorEastAsia" w:eastAsiaTheme="majorEastAsia" w:cstheme="majorEastAsia"/>
                <w:sz w:val="24"/>
                <w:szCs w:val="24"/>
                <w:lang w:eastAsia="en-US"/>
              </w:rPr>
              <w:t>一、现场发现者职责：</w:t>
            </w:r>
          </w:p>
          <w:p>
            <w:pPr>
              <w:pStyle w:val="108"/>
              <w:autoSpaceDE w:val="0"/>
              <w:autoSpaceDN w:val="0"/>
              <w:spacing w:line="240" w:lineRule="auto"/>
              <w:jc w:val="left"/>
              <w:rPr>
                <w:rFonts w:asciiTheme="majorEastAsia" w:hAnsiTheme="majorEastAsia" w:eastAsiaTheme="majorEastAsia" w:cstheme="majorEastAsia"/>
                <w:sz w:val="24"/>
                <w:szCs w:val="24"/>
                <w:lang w:eastAsia="en-US"/>
              </w:rPr>
            </w:pPr>
            <w:r>
              <w:rPr>
                <w:rFonts w:hint="eastAsia" w:asciiTheme="majorEastAsia" w:hAnsiTheme="majorEastAsia" w:eastAsiaTheme="majorEastAsia" w:cstheme="majorEastAsia"/>
                <w:sz w:val="24"/>
                <w:szCs w:val="24"/>
                <w:lang w:eastAsia="en-US"/>
              </w:rPr>
              <w:t>1）当作业现场人员发现有中毒窒息事故发生后，应立即向当班组长报告；</w:t>
            </w:r>
          </w:p>
          <w:p>
            <w:pPr>
              <w:pStyle w:val="108"/>
              <w:autoSpaceDE w:val="0"/>
              <w:autoSpaceDN w:val="0"/>
              <w:spacing w:line="240" w:lineRule="auto"/>
              <w:jc w:val="left"/>
              <w:rPr>
                <w:rFonts w:asciiTheme="majorEastAsia" w:hAnsiTheme="majorEastAsia" w:eastAsiaTheme="majorEastAsia" w:cstheme="majorEastAsia"/>
                <w:sz w:val="24"/>
                <w:szCs w:val="24"/>
                <w:lang w:eastAsia="en-US"/>
              </w:rPr>
            </w:pPr>
            <w:r>
              <w:rPr>
                <w:rFonts w:hint="eastAsia" w:asciiTheme="majorEastAsia" w:hAnsiTheme="majorEastAsia" w:eastAsiaTheme="majorEastAsia" w:cstheme="majorEastAsia"/>
                <w:sz w:val="24"/>
                <w:szCs w:val="24"/>
                <w:lang w:eastAsia="en-US"/>
              </w:rPr>
              <w:t>2）在救援人员到达现场前，做好现场警戒，设置警示标志，防止无关人员进入或误操作；</w:t>
            </w:r>
          </w:p>
          <w:p>
            <w:pPr>
              <w:pStyle w:val="108"/>
              <w:autoSpaceDE w:val="0"/>
              <w:autoSpaceDN w:val="0"/>
              <w:spacing w:line="240" w:lineRule="auto"/>
              <w:jc w:val="left"/>
              <w:rPr>
                <w:rFonts w:asciiTheme="majorEastAsia" w:hAnsiTheme="majorEastAsia" w:eastAsiaTheme="majorEastAsia" w:cstheme="majorEastAsia"/>
                <w:sz w:val="24"/>
                <w:szCs w:val="24"/>
                <w:lang w:eastAsia="en-US"/>
              </w:rPr>
            </w:pPr>
            <w:r>
              <w:rPr>
                <w:rFonts w:hint="eastAsia" w:asciiTheme="majorEastAsia" w:hAnsiTheme="majorEastAsia" w:eastAsiaTheme="majorEastAsia" w:cstheme="majorEastAsia"/>
                <w:sz w:val="24"/>
                <w:szCs w:val="24"/>
                <w:lang w:eastAsia="en-US"/>
              </w:rPr>
              <w:t>二、现场组长职责：</w:t>
            </w:r>
          </w:p>
          <w:p>
            <w:pPr>
              <w:pStyle w:val="108"/>
              <w:autoSpaceDE w:val="0"/>
              <w:autoSpaceDN w:val="0"/>
              <w:spacing w:line="240" w:lineRule="auto"/>
              <w:jc w:val="left"/>
              <w:rPr>
                <w:rFonts w:asciiTheme="majorEastAsia" w:hAnsiTheme="majorEastAsia" w:eastAsiaTheme="majorEastAsia" w:cstheme="majorEastAsia"/>
                <w:sz w:val="24"/>
                <w:szCs w:val="24"/>
                <w:lang w:eastAsia="en-US"/>
              </w:rPr>
            </w:pPr>
            <w:r>
              <w:rPr>
                <w:rFonts w:hint="eastAsia" w:asciiTheme="majorEastAsia" w:hAnsiTheme="majorEastAsia" w:eastAsiaTheme="majorEastAsia" w:cstheme="majorEastAsia"/>
                <w:sz w:val="24"/>
                <w:szCs w:val="24"/>
                <w:lang w:eastAsia="en-US"/>
              </w:rPr>
              <w:t>1）接到事故报告后，马上按规定上报本企业值班电话0</w:t>
            </w:r>
            <w:r>
              <w:rPr>
                <w:rFonts w:asciiTheme="majorEastAsia" w:hAnsiTheme="majorEastAsia" w:eastAsiaTheme="majorEastAsia" w:cstheme="majorEastAsia"/>
                <w:sz w:val="24"/>
                <w:szCs w:val="24"/>
                <w:lang w:eastAsia="en-US"/>
              </w:rPr>
              <w:t>817-5522874；</w:t>
            </w:r>
          </w:p>
          <w:p>
            <w:pPr>
              <w:pStyle w:val="108"/>
              <w:autoSpaceDE w:val="0"/>
              <w:autoSpaceDN w:val="0"/>
              <w:spacing w:line="240" w:lineRule="auto"/>
              <w:jc w:val="left"/>
              <w:rPr>
                <w:rFonts w:asciiTheme="majorEastAsia" w:hAnsiTheme="majorEastAsia" w:eastAsiaTheme="majorEastAsia" w:cstheme="majorEastAsia"/>
                <w:sz w:val="24"/>
                <w:szCs w:val="24"/>
                <w:lang w:eastAsia="en-US"/>
              </w:rPr>
            </w:pPr>
            <w:r>
              <w:rPr>
                <w:rFonts w:hint="eastAsia" w:asciiTheme="majorEastAsia" w:hAnsiTheme="majorEastAsia" w:eastAsiaTheme="majorEastAsia" w:cstheme="majorEastAsia"/>
                <w:sz w:val="24"/>
                <w:szCs w:val="24"/>
                <w:lang w:eastAsia="en-US"/>
              </w:rPr>
              <w:t>2）启动现场处置方案立即组织现场救援工作，采取措施抢救人员，控制事态发展；</w:t>
            </w:r>
          </w:p>
          <w:p>
            <w:pPr>
              <w:pStyle w:val="108"/>
              <w:autoSpaceDE w:val="0"/>
              <w:autoSpaceDN w:val="0"/>
              <w:spacing w:line="240" w:lineRule="auto"/>
              <w:jc w:val="left"/>
              <w:rPr>
                <w:rFonts w:asciiTheme="majorEastAsia" w:hAnsiTheme="majorEastAsia" w:eastAsiaTheme="majorEastAsia" w:cstheme="majorEastAsia"/>
                <w:sz w:val="24"/>
                <w:szCs w:val="24"/>
                <w:lang w:eastAsia="en-US"/>
              </w:rPr>
            </w:pPr>
            <w:r>
              <w:rPr>
                <w:rFonts w:hint="eastAsia" w:asciiTheme="majorEastAsia" w:hAnsiTheme="majorEastAsia" w:eastAsiaTheme="majorEastAsia" w:cstheme="majorEastAsia"/>
                <w:sz w:val="24"/>
                <w:szCs w:val="24"/>
                <w:lang w:eastAsia="en-US"/>
              </w:rPr>
              <w:t>三、岗位其他人员职责：</w:t>
            </w:r>
          </w:p>
          <w:p>
            <w:pPr>
              <w:pStyle w:val="108"/>
              <w:autoSpaceDE w:val="0"/>
              <w:autoSpaceDN w:val="0"/>
              <w:spacing w:line="240" w:lineRule="auto"/>
              <w:jc w:val="left"/>
              <w:rPr>
                <w:rFonts w:asciiTheme="majorEastAsia" w:hAnsiTheme="majorEastAsia" w:eastAsiaTheme="majorEastAsia" w:cstheme="majorEastAsia"/>
                <w:sz w:val="24"/>
                <w:szCs w:val="24"/>
                <w:lang w:eastAsia="en-US"/>
              </w:rPr>
            </w:pPr>
            <w:r>
              <w:rPr>
                <w:rFonts w:hint="eastAsia" w:asciiTheme="majorEastAsia" w:hAnsiTheme="majorEastAsia" w:eastAsiaTheme="majorEastAsia" w:cstheme="majorEastAsia"/>
                <w:sz w:val="24"/>
                <w:szCs w:val="24"/>
                <w:lang w:eastAsia="en-US"/>
              </w:rPr>
              <w:t>1）全力以赴进行现场救护、抢险工作。</w:t>
            </w:r>
          </w:p>
          <w:p>
            <w:pPr>
              <w:pStyle w:val="129"/>
              <w:spacing w:before="2" w:line="242" w:lineRule="auto"/>
              <w:ind w:left="116" w:right="-29"/>
              <w:rPr>
                <w:rFonts w:eastAsiaTheme="minorEastAsia"/>
                <w:sz w:val="24"/>
                <w:szCs w:val="24"/>
                <w:lang w:eastAsia="zh-CN"/>
              </w:rPr>
            </w:pPr>
            <w:r>
              <w:rPr>
                <w:rFonts w:hint="eastAsia" w:asciiTheme="majorEastAsia" w:hAnsiTheme="majorEastAsia" w:eastAsiaTheme="majorEastAsia" w:cstheme="majorEastAsia"/>
                <w:sz w:val="24"/>
                <w:szCs w:val="24"/>
                <w:lang w:eastAsia="zh-CN"/>
              </w:rPr>
              <w:t>2）做好信息联络、救援人员引导等工作。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4" w:hRule="atLeast"/>
          <w:jc w:val="center"/>
        </w:trPr>
        <w:tc>
          <w:tcPr>
            <w:tcW w:w="488" w:type="dxa"/>
            <w:tcBorders>
              <w:top w:val="single" w:color="000000" w:sz="4" w:space="0"/>
              <w:right w:val="single" w:color="000000" w:sz="4" w:space="0"/>
            </w:tcBorders>
          </w:tcPr>
          <w:p>
            <w:pPr>
              <w:pStyle w:val="129"/>
              <w:rPr>
                <w:rFonts w:eastAsiaTheme="minorEastAsia"/>
                <w:sz w:val="24"/>
                <w:szCs w:val="24"/>
                <w:lang w:eastAsia="zh-CN"/>
              </w:rPr>
            </w:pPr>
          </w:p>
        </w:tc>
        <w:tc>
          <w:tcPr>
            <w:tcW w:w="1290" w:type="dxa"/>
            <w:tcBorders>
              <w:top w:val="single" w:color="000000" w:sz="4" w:space="0"/>
              <w:left w:val="single" w:color="000000" w:sz="4" w:space="0"/>
              <w:right w:val="single" w:color="000000" w:sz="4" w:space="0"/>
            </w:tcBorders>
          </w:tcPr>
          <w:p>
            <w:pPr>
              <w:pStyle w:val="129"/>
              <w:spacing w:line="270" w:lineRule="atLeast"/>
              <w:ind w:left="118" w:right="84"/>
              <w:rPr>
                <w:rFonts w:eastAsiaTheme="minorEastAsia"/>
                <w:b/>
                <w:sz w:val="24"/>
                <w:szCs w:val="24"/>
              </w:rPr>
            </w:pPr>
            <w:r>
              <w:rPr>
                <w:rFonts w:eastAsiaTheme="minorEastAsia"/>
                <w:bCs/>
                <w:sz w:val="24"/>
                <w:szCs w:val="24"/>
              </w:rPr>
              <w:t>事故应急处置程序</w:t>
            </w:r>
          </w:p>
        </w:tc>
        <w:tc>
          <w:tcPr>
            <w:tcW w:w="6907" w:type="dxa"/>
            <w:tcBorders>
              <w:top w:val="single" w:color="000000" w:sz="4" w:space="0"/>
              <w:left w:val="single" w:color="000000" w:sz="4" w:space="0"/>
            </w:tcBorders>
            <w:vAlign w:val="center"/>
          </w:tcPr>
          <w:p>
            <w:pPr>
              <w:pStyle w:val="129"/>
              <w:spacing w:line="269" w:lineRule="exact"/>
              <w:ind w:left="116" w:right="-29"/>
              <w:rPr>
                <w:rFonts w:eastAsiaTheme="minorEastAsia"/>
                <w:sz w:val="24"/>
                <w:szCs w:val="24"/>
                <w:lang w:eastAsia="zh-CN"/>
              </w:rPr>
            </w:pPr>
            <w:r>
              <w:rPr>
                <w:rFonts w:hint="eastAsia" w:asciiTheme="majorEastAsia" w:hAnsiTheme="majorEastAsia" w:eastAsiaTheme="majorEastAsia" w:cstheme="majorEastAsia"/>
                <w:sz w:val="24"/>
                <w:szCs w:val="24"/>
                <w:lang w:eastAsia="zh-CN"/>
              </w:rPr>
              <w:t>发生事故应急时，发现人员必须第一时间向现场组长报告的同时，开展初期救援工作。</w:t>
            </w:r>
          </w:p>
        </w:tc>
      </w:tr>
    </w:tbl>
    <w:p>
      <w:pPr>
        <w:pStyle w:val="17"/>
        <w:spacing w:before="2"/>
        <w:ind w:firstLine="100"/>
        <w:rPr>
          <w:rFonts w:ascii="黑体"/>
          <w:sz w:val="5"/>
        </w:rPr>
      </w:pPr>
    </w:p>
    <w:tbl>
      <w:tblPr>
        <w:tblStyle w:val="131"/>
        <w:tblW w:w="868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88"/>
        <w:gridCol w:w="1290"/>
        <w:gridCol w:w="690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4" w:hRule="atLeast"/>
          <w:jc w:val="center"/>
        </w:trPr>
        <w:tc>
          <w:tcPr>
            <w:tcW w:w="488" w:type="dxa"/>
            <w:vMerge w:val="restart"/>
            <w:tcBorders>
              <w:top w:val="nil"/>
              <w:bottom w:val="single" w:color="000000" w:sz="4" w:space="0"/>
              <w:right w:val="single" w:color="000000" w:sz="4" w:space="0"/>
            </w:tcBorders>
          </w:tcPr>
          <w:p>
            <w:pPr>
              <w:widowControl w:val="0"/>
              <w:autoSpaceDE w:val="0"/>
              <w:autoSpaceDN w:val="0"/>
              <w:rPr>
                <w:rFonts w:ascii="宋体" w:hAnsi="宋体" w:eastAsiaTheme="minorEastAsia" w:cstheme="minorBidi"/>
                <w:sz w:val="24"/>
                <w:szCs w:val="24"/>
                <w:lang w:eastAsia="en-US"/>
              </w:rPr>
            </w:pPr>
          </w:p>
        </w:tc>
        <w:tc>
          <w:tcPr>
            <w:tcW w:w="1290" w:type="dxa"/>
            <w:tcBorders>
              <w:top w:val="single" w:color="000000" w:sz="4" w:space="0"/>
              <w:left w:val="single" w:color="000000" w:sz="4" w:space="0"/>
              <w:bottom w:val="single" w:color="000000" w:sz="4" w:space="0"/>
              <w:right w:val="single" w:color="000000" w:sz="4" w:space="0"/>
            </w:tcBorders>
          </w:tcPr>
          <w:p>
            <w:pPr>
              <w:pStyle w:val="129"/>
              <w:rPr>
                <w:rFonts w:eastAsiaTheme="minorEastAsia"/>
                <w:sz w:val="24"/>
                <w:szCs w:val="24"/>
                <w:lang w:eastAsia="zh-CN"/>
              </w:rPr>
            </w:pPr>
          </w:p>
          <w:p>
            <w:pPr>
              <w:pStyle w:val="129"/>
              <w:spacing w:before="6"/>
              <w:rPr>
                <w:rFonts w:eastAsiaTheme="minorEastAsia"/>
                <w:sz w:val="24"/>
                <w:szCs w:val="24"/>
                <w:lang w:eastAsia="zh-CN"/>
              </w:rPr>
            </w:pPr>
          </w:p>
          <w:p>
            <w:pPr>
              <w:pStyle w:val="129"/>
              <w:spacing w:line="242" w:lineRule="auto"/>
              <w:ind w:left="118" w:right="84"/>
              <w:rPr>
                <w:rFonts w:eastAsiaTheme="minorEastAsia"/>
                <w:sz w:val="24"/>
                <w:szCs w:val="24"/>
              </w:rPr>
            </w:pPr>
            <w:r>
              <w:rPr>
                <w:rFonts w:eastAsiaTheme="minorEastAsia"/>
                <w:sz w:val="24"/>
                <w:szCs w:val="24"/>
              </w:rPr>
              <w:t>现场应急处置措施</w:t>
            </w:r>
          </w:p>
        </w:tc>
        <w:tc>
          <w:tcPr>
            <w:tcW w:w="6907" w:type="dxa"/>
            <w:tcBorders>
              <w:top w:val="single" w:color="000000" w:sz="4" w:space="0"/>
              <w:left w:val="single" w:color="000000" w:sz="4" w:space="0"/>
              <w:bottom w:val="single" w:color="000000" w:sz="4" w:space="0"/>
            </w:tcBorders>
          </w:tcPr>
          <w:p>
            <w:pPr>
              <w:pStyle w:val="129"/>
              <w:spacing w:line="242" w:lineRule="auto"/>
              <w:ind w:left="116" w:right="76"/>
              <w:rPr>
                <w:rFonts w:eastAsiaTheme="minorEastAsia"/>
                <w:spacing w:val="-3"/>
                <w:w w:val="95"/>
                <w:sz w:val="24"/>
                <w:szCs w:val="24"/>
                <w:lang w:eastAsia="zh-CN"/>
              </w:rPr>
            </w:pPr>
            <w:r>
              <w:rPr>
                <w:rFonts w:hint="eastAsia" w:eastAsiaTheme="minorEastAsia"/>
                <w:spacing w:val="-3"/>
                <w:w w:val="95"/>
                <w:sz w:val="24"/>
                <w:szCs w:val="24"/>
                <w:lang w:eastAsia="zh-CN"/>
              </w:rPr>
              <w:t>及时切断有毒物质来源，设置警戒区域，如现场有毒物来源无法切断，应根据风向等条件扩大警戒区域。</w:t>
            </w:r>
          </w:p>
          <w:p>
            <w:pPr>
              <w:pStyle w:val="129"/>
              <w:spacing w:line="242" w:lineRule="auto"/>
              <w:ind w:left="116" w:right="76"/>
              <w:rPr>
                <w:rFonts w:eastAsiaTheme="minorEastAsia"/>
                <w:sz w:val="24"/>
                <w:szCs w:val="24"/>
                <w:lang w:eastAsia="zh-CN"/>
              </w:rPr>
            </w:pPr>
            <w:r>
              <w:rPr>
                <w:rFonts w:eastAsiaTheme="minorEastAsia"/>
                <w:spacing w:val="-3"/>
                <w:w w:val="95"/>
                <w:sz w:val="24"/>
                <w:szCs w:val="24"/>
                <w:lang w:eastAsia="zh-CN"/>
              </w:rPr>
              <w:t>救助人员</w:t>
            </w:r>
            <w:r>
              <w:rPr>
                <w:rFonts w:hint="eastAsia" w:eastAsiaTheme="minorEastAsia"/>
                <w:spacing w:val="-3"/>
                <w:w w:val="95"/>
                <w:sz w:val="24"/>
                <w:szCs w:val="24"/>
                <w:lang w:eastAsia="zh-CN"/>
              </w:rPr>
              <w:t>在进入有毒区域前必须检测有毒气体浓度，现场通风不畅的必须采取机械通风措施。救助人员在穿戴好防护用品后，才能进入有毒区域开展</w:t>
            </w:r>
            <w:r>
              <w:rPr>
                <w:rFonts w:eastAsiaTheme="minorEastAsia"/>
                <w:spacing w:val="-3"/>
                <w:w w:val="95"/>
                <w:sz w:val="24"/>
                <w:szCs w:val="24"/>
                <w:lang w:eastAsia="zh-CN"/>
              </w:rPr>
              <w:t>抢救</w:t>
            </w:r>
            <w:r>
              <w:rPr>
                <w:rFonts w:hint="eastAsia" w:eastAsiaTheme="minorEastAsia"/>
                <w:spacing w:val="-3"/>
                <w:w w:val="95"/>
                <w:sz w:val="24"/>
                <w:szCs w:val="24"/>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4" w:hRule="atLeast"/>
          <w:jc w:val="center"/>
        </w:trPr>
        <w:tc>
          <w:tcPr>
            <w:tcW w:w="488" w:type="dxa"/>
            <w:vMerge w:val="continue"/>
            <w:tcBorders>
              <w:top w:val="nil"/>
              <w:bottom w:val="single" w:color="000000" w:sz="4" w:space="0"/>
              <w:right w:val="single" w:color="000000" w:sz="4" w:space="0"/>
            </w:tcBorders>
          </w:tcPr>
          <w:p>
            <w:pPr>
              <w:widowControl w:val="0"/>
              <w:autoSpaceDE w:val="0"/>
              <w:autoSpaceDN w:val="0"/>
              <w:rPr>
                <w:rFonts w:ascii="宋体" w:hAnsi="宋体" w:eastAsiaTheme="minorEastAsia" w:cstheme="minorBidi"/>
                <w:sz w:val="24"/>
                <w:szCs w:val="24"/>
                <w:lang w:eastAsia="en-US"/>
              </w:rPr>
            </w:pPr>
          </w:p>
        </w:tc>
        <w:tc>
          <w:tcPr>
            <w:tcW w:w="1290" w:type="dxa"/>
            <w:tcBorders>
              <w:top w:val="single" w:color="000000" w:sz="4" w:space="0"/>
              <w:left w:val="single" w:color="000000" w:sz="4" w:space="0"/>
              <w:bottom w:val="single" w:color="000000" w:sz="4" w:space="0"/>
              <w:right w:val="single" w:color="000000" w:sz="4" w:space="0"/>
            </w:tcBorders>
          </w:tcPr>
          <w:p>
            <w:pPr>
              <w:pStyle w:val="129"/>
              <w:rPr>
                <w:rFonts w:eastAsiaTheme="minorEastAsia"/>
                <w:sz w:val="24"/>
                <w:szCs w:val="24"/>
                <w:lang w:eastAsia="zh-CN"/>
              </w:rPr>
            </w:pPr>
          </w:p>
          <w:p>
            <w:pPr>
              <w:pStyle w:val="129"/>
              <w:spacing w:before="6"/>
              <w:rPr>
                <w:rFonts w:eastAsiaTheme="minorEastAsia"/>
                <w:sz w:val="24"/>
                <w:szCs w:val="24"/>
                <w:lang w:eastAsia="zh-CN"/>
              </w:rPr>
            </w:pPr>
          </w:p>
          <w:p>
            <w:pPr>
              <w:pStyle w:val="129"/>
              <w:spacing w:line="242" w:lineRule="auto"/>
              <w:ind w:left="118" w:right="84"/>
              <w:rPr>
                <w:rFonts w:eastAsiaTheme="minorEastAsia"/>
                <w:sz w:val="24"/>
                <w:szCs w:val="24"/>
              </w:rPr>
            </w:pPr>
            <w:r>
              <w:rPr>
                <w:rFonts w:eastAsiaTheme="minorEastAsia"/>
                <w:sz w:val="24"/>
                <w:szCs w:val="24"/>
              </w:rPr>
              <w:t>人员急救处置措施</w:t>
            </w:r>
          </w:p>
        </w:tc>
        <w:tc>
          <w:tcPr>
            <w:tcW w:w="6907" w:type="dxa"/>
            <w:tcBorders>
              <w:top w:val="single" w:color="000000" w:sz="4" w:space="0"/>
              <w:left w:val="single" w:color="000000" w:sz="4" w:space="0"/>
              <w:bottom w:val="single" w:color="000000" w:sz="4" w:space="0"/>
            </w:tcBorders>
          </w:tcPr>
          <w:p>
            <w:pPr>
              <w:pStyle w:val="129"/>
              <w:spacing w:before="2" w:line="242" w:lineRule="auto"/>
              <w:ind w:left="116" w:right="-29"/>
              <w:rPr>
                <w:rFonts w:eastAsiaTheme="minorEastAsia"/>
                <w:sz w:val="24"/>
                <w:szCs w:val="24"/>
              </w:rPr>
            </w:pPr>
            <w:r>
              <w:rPr>
                <w:rFonts w:eastAsiaTheme="minorEastAsia"/>
                <w:color w:val="auto"/>
                <w:spacing w:val="3"/>
                <w:sz w:val="24"/>
                <w:szCs w:val="24"/>
                <w:lang w:eastAsia="zh-CN"/>
              </w:rPr>
              <w:t>（1）</w:t>
            </w:r>
            <w:r>
              <w:rPr>
                <w:rFonts w:eastAsiaTheme="minorEastAsia"/>
                <w:color w:val="auto"/>
                <w:sz w:val="24"/>
                <w:szCs w:val="24"/>
                <w:lang w:eastAsia="zh-CN"/>
              </w:rPr>
              <w:t>迅速将染毒者迅速撤离现场，转移到上风或侧上风方向空气无污染</w:t>
            </w:r>
            <w:r>
              <w:rPr>
                <w:rFonts w:eastAsiaTheme="minorEastAsia"/>
                <w:b w:val="0"/>
                <w:bCs w:val="0"/>
                <w:color w:val="auto"/>
                <w:spacing w:val="-5"/>
                <w:w w:val="95"/>
                <w:sz w:val="24"/>
                <w:szCs w:val="24"/>
                <w:lang w:eastAsia="zh-CN"/>
              </w:rPr>
              <w:t>地区，防止继续吸入染毒</w:t>
            </w:r>
            <w:r>
              <w:rPr>
                <w:rFonts w:hint="eastAsia" w:eastAsiaTheme="minorEastAsia"/>
                <w:b w:val="0"/>
                <w:bCs w:val="0"/>
                <w:color w:val="auto"/>
                <w:spacing w:val="-5"/>
                <w:w w:val="95"/>
                <w:sz w:val="24"/>
                <w:szCs w:val="24"/>
                <w:lang w:eastAsia="zh-CN"/>
              </w:rPr>
              <w:t>物</w:t>
            </w:r>
            <w:r>
              <w:rPr>
                <w:rFonts w:eastAsiaTheme="minorEastAsia"/>
                <w:b w:val="0"/>
                <w:bCs w:val="0"/>
                <w:color w:val="auto"/>
                <w:spacing w:val="-5"/>
                <w:w w:val="95"/>
                <w:sz w:val="24"/>
                <w:szCs w:val="24"/>
                <w:lang w:eastAsia="zh-CN"/>
              </w:rPr>
              <w:t>。</w:t>
            </w:r>
            <w:r>
              <w:rPr>
                <w:rFonts w:eastAsiaTheme="minorEastAsia"/>
                <w:color w:val="auto"/>
                <w:w w:val="95"/>
                <w:sz w:val="24"/>
                <w:szCs w:val="24"/>
                <w:lang w:eastAsia="zh-CN"/>
              </w:rPr>
              <w:t xml:space="preserve">（2）  </w:t>
            </w:r>
            <w:r>
              <w:rPr>
                <w:rFonts w:hint="eastAsia" w:eastAsiaTheme="minorEastAsia"/>
                <w:color w:val="auto"/>
                <w:w w:val="95"/>
                <w:sz w:val="24"/>
                <w:szCs w:val="24"/>
                <w:lang w:eastAsia="zh-CN"/>
              </w:rPr>
              <w:t>有污染物的，</w:t>
            </w:r>
            <w:r>
              <w:rPr>
                <w:rFonts w:eastAsiaTheme="minorEastAsia"/>
                <w:color w:val="auto"/>
                <w:spacing w:val="-3"/>
                <w:sz w:val="24"/>
                <w:szCs w:val="24"/>
                <w:lang w:eastAsia="zh-CN"/>
              </w:rPr>
              <w:t>立即</w:t>
            </w:r>
            <w:r>
              <w:rPr>
                <w:rFonts w:hint="eastAsia" w:eastAsiaTheme="minorEastAsia"/>
                <w:color w:val="auto"/>
                <w:spacing w:val="-3"/>
                <w:sz w:val="24"/>
                <w:szCs w:val="24"/>
                <w:lang w:eastAsia="zh-CN"/>
              </w:rPr>
              <w:t>松开</w:t>
            </w:r>
            <w:r>
              <w:rPr>
                <w:rFonts w:eastAsiaTheme="minorEastAsia"/>
                <w:color w:val="auto"/>
                <w:spacing w:val="-3"/>
                <w:sz w:val="24"/>
                <w:szCs w:val="24"/>
                <w:lang w:eastAsia="zh-CN"/>
              </w:rPr>
              <w:t>被污染者的服装</w:t>
            </w:r>
            <w:r>
              <w:rPr>
                <w:rFonts w:hint="eastAsia" w:eastAsiaTheme="minorEastAsia"/>
                <w:color w:val="auto"/>
                <w:spacing w:val="-3"/>
                <w:sz w:val="24"/>
                <w:szCs w:val="24"/>
                <w:lang w:eastAsia="zh-CN"/>
              </w:rPr>
              <w:t>，</w:t>
            </w:r>
            <w:r>
              <w:rPr>
                <w:rFonts w:eastAsiaTheme="minorEastAsia"/>
                <w:color w:val="auto"/>
                <w:spacing w:val="-3"/>
                <w:sz w:val="24"/>
                <w:szCs w:val="24"/>
                <w:lang w:eastAsia="zh-CN"/>
              </w:rPr>
              <w:t>用流动清水冲洗；眼睛污染</w:t>
            </w:r>
            <w:r>
              <w:rPr>
                <w:rFonts w:eastAsiaTheme="minorEastAsia"/>
                <w:color w:val="auto"/>
                <w:sz w:val="24"/>
                <w:szCs w:val="24"/>
                <w:lang w:eastAsia="zh-CN"/>
              </w:rPr>
              <w:t>者，用大量流动清水彻底冲洗。</w:t>
            </w:r>
            <w:r>
              <w:rPr>
                <w:rFonts w:eastAsiaTheme="minorEastAsia"/>
                <w:color w:val="auto"/>
                <w:spacing w:val="3"/>
                <w:sz w:val="24"/>
                <w:szCs w:val="24"/>
                <w:lang w:eastAsia="zh-CN"/>
              </w:rPr>
              <w:t>（3）</w:t>
            </w:r>
            <w:r>
              <w:rPr>
                <w:rFonts w:eastAsiaTheme="minorEastAsia"/>
                <w:color w:val="auto"/>
                <w:sz w:val="24"/>
                <w:szCs w:val="24"/>
                <w:lang w:eastAsia="zh-CN"/>
              </w:rPr>
              <w:t>对呼吸、心跳停止者，应立即进行</w:t>
            </w:r>
            <w:r>
              <w:rPr>
                <w:rFonts w:eastAsiaTheme="minorEastAsia"/>
                <w:color w:val="auto"/>
                <w:spacing w:val="-9"/>
                <w:w w:val="95"/>
                <w:sz w:val="24"/>
                <w:szCs w:val="24"/>
                <w:lang w:eastAsia="zh-CN"/>
              </w:rPr>
              <w:t>人工呼吸和心脏挤压，采取心肺复苏措施，并给予吸氧气</w:t>
            </w:r>
            <w:r>
              <w:rPr>
                <w:rFonts w:eastAsiaTheme="minorEastAsia"/>
                <w:color w:val="auto"/>
                <w:w w:val="95"/>
                <w:sz w:val="24"/>
                <w:szCs w:val="24"/>
                <w:lang w:eastAsia="zh-CN"/>
              </w:rPr>
              <w:t>（液化的</w:t>
            </w:r>
            <w:r>
              <w:rPr>
                <w:rFonts w:eastAsiaTheme="minorEastAsia"/>
                <w:color w:val="auto"/>
                <w:spacing w:val="-39"/>
                <w:w w:val="95"/>
                <w:sz w:val="24"/>
                <w:szCs w:val="24"/>
                <w:lang w:eastAsia="zh-CN"/>
              </w:rPr>
              <w:t>）</w:t>
            </w:r>
            <w:r>
              <w:rPr>
                <w:rFonts w:eastAsiaTheme="minorEastAsia"/>
                <w:color w:val="auto"/>
                <w:spacing w:val="-77"/>
                <w:w w:val="95"/>
                <w:sz w:val="24"/>
                <w:szCs w:val="24"/>
                <w:lang w:eastAsia="zh-CN"/>
              </w:rPr>
              <w:t>。</w:t>
            </w:r>
            <w:r>
              <w:rPr>
                <w:rFonts w:eastAsiaTheme="minorEastAsia"/>
                <w:color w:val="auto"/>
                <w:w w:val="95"/>
                <w:sz w:val="24"/>
                <w:szCs w:val="24"/>
              </w:rPr>
              <w:t>（4）</w:t>
            </w:r>
            <w:r>
              <w:rPr>
                <w:rFonts w:eastAsiaTheme="minorEastAsia"/>
                <w:color w:val="auto"/>
                <w:sz w:val="24"/>
                <w:szCs w:val="24"/>
              </w:rPr>
              <w:t>严重者立即送往医院观察治疗</w:t>
            </w:r>
            <w:r>
              <w:rPr>
                <w:rFonts w:eastAsiaTheme="minorEastAsia"/>
                <w:sz w:val="24"/>
                <w:szCs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0" w:hRule="atLeast"/>
          <w:jc w:val="center"/>
        </w:trPr>
        <w:tc>
          <w:tcPr>
            <w:tcW w:w="488" w:type="dxa"/>
            <w:vMerge w:val="continue"/>
            <w:tcBorders>
              <w:top w:val="nil"/>
              <w:bottom w:val="single" w:color="000000" w:sz="4" w:space="0"/>
              <w:right w:val="single" w:color="000000" w:sz="4" w:space="0"/>
            </w:tcBorders>
          </w:tcPr>
          <w:p>
            <w:pPr>
              <w:widowControl w:val="0"/>
              <w:autoSpaceDE w:val="0"/>
              <w:autoSpaceDN w:val="0"/>
              <w:rPr>
                <w:rFonts w:ascii="宋体" w:hAnsi="宋体" w:eastAsiaTheme="minorEastAsia" w:cstheme="minorBidi"/>
                <w:sz w:val="24"/>
                <w:szCs w:val="24"/>
                <w:lang w:eastAsia="en-US"/>
              </w:rPr>
            </w:pPr>
          </w:p>
        </w:tc>
        <w:tc>
          <w:tcPr>
            <w:tcW w:w="1290" w:type="dxa"/>
            <w:tcBorders>
              <w:top w:val="single" w:color="000000" w:sz="4" w:space="0"/>
              <w:left w:val="single" w:color="000000" w:sz="4" w:space="0"/>
              <w:bottom w:val="single" w:color="000000" w:sz="4" w:space="0"/>
              <w:right w:val="single" w:color="000000" w:sz="4" w:space="0"/>
            </w:tcBorders>
          </w:tcPr>
          <w:p>
            <w:pPr>
              <w:pStyle w:val="129"/>
              <w:rPr>
                <w:rFonts w:eastAsiaTheme="minorEastAsia"/>
                <w:sz w:val="24"/>
                <w:szCs w:val="24"/>
                <w:lang w:eastAsia="zh-CN"/>
              </w:rPr>
            </w:pPr>
          </w:p>
          <w:p>
            <w:pPr>
              <w:pStyle w:val="129"/>
              <w:spacing w:before="152"/>
              <w:ind w:left="118"/>
              <w:rPr>
                <w:rFonts w:eastAsiaTheme="minorEastAsia"/>
                <w:sz w:val="24"/>
                <w:szCs w:val="24"/>
              </w:rPr>
            </w:pPr>
            <w:r>
              <w:rPr>
                <w:rFonts w:eastAsiaTheme="minorEastAsia"/>
                <w:sz w:val="24"/>
                <w:szCs w:val="24"/>
              </w:rPr>
              <w:t>现场恢复</w:t>
            </w:r>
          </w:p>
        </w:tc>
        <w:tc>
          <w:tcPr>
            <w:tcW w:w="6907" w:type="dxa"/>
            <w:tcBorders>
              <w:top w:val="single" w:color="000000" w:sz="4" w:space="0"/>
              <w:left w:val="single" w:color="000000" w:sz="4" w:space="0"/>
              <w:bottom w:val="single" w:color="000000" w:sz="4" w:space="0"/>
            </w:tcBorders>
          </w:tcPr>
          <w:p>
            <w:pPr>
              <w:pStyle w:val="129"/>
              <w:spacing w:line="244" w:lineRule="auto"/>
              <w:ind w:left="116" w:right="2779"/>
              <w:rPr>
                <w:rFonts w:eastAsiaTheme="minorEastAsia"/>
                <w:sz w:val="24"/>
                <w:szCs w:val="24"/>
                <w:lang w:eastAsia="zh-CN"/>
              </w:rPr>
            </w:pPr>
            <w:r>
              <w:rPr>
                <w:rFonts w:eastAsiaTheme="minorEastAsia"/>
                <w:w w:val="95"/>
                <w:sz w:val="24"/>
                <w:szCs w:val="24"/>
                <w:lang w:eastAsia="zh-CN"/>
              </w:rPr>
              <w:t xml:space="preserve">清点人员、物资及器材，并根据要求补足； </w:t>
            </w:r>
            <w:r>
              <w:rPr>
                <w:rFonts w:eastAsiaTheme="minorEastAsia"/>
                <w:sz w:val="24"/>
                <w:szCs w:val="24"/>
                <w:lang w:eastAsia="zh-CN"/>
              </w:rPr>
              <w:t>保护现场，进行事故调查；</w:t>
            </w:r>
          </w:p>
          <w:p>
            <w:pPr>
              <w:pStyle w:val="129"/>
              <w:spacing w:line="265" w:lineRule="exact"/>
              <w:ind w:left="116"/>
              <w:rPr>
                <w:rFonts w:eastAsiaTheme="minorEastAsia"/>
                <w:sz w:val="13"/>
                <w:szCs w:val="13"/>
                <w:lang w:eastAsia="zh-CN"/>
              </w:rPr>
            </w:pPr>
            <w:r>
              <w:rPr>
                <w:rFonts w:eastAsiaTheme="minorEastAsia"/>
                <w:sz w:val="24"/>
                <w:szCs w:val="24"/>
                <w:lang w:eastAsia="zh-CN"/>
              </w:rPr>
              <w:t>撤除警戒，清理现场，对可能发生次生灾害的隐患进行排查和消除；</w:t>
            </w:r>
          </w:p>
          <w:p>
            <w:pPr>
              <w:pStyle w:val="129"/>
              <w:spacing w:before="5" w:line="251" w:lineRule="exact"/>
              <w:ind w:left="116"/>
              <w:rPr>
                <w:rFonts w:eastAsiaTheme="minorEastAsia"/>
                <w:sz w:val="24"/>
                <w:szCs w:val="24"/>
              </w:rPr>
            </w:pPr>
            <w:r>
              <w:rPr>
                <w:rFonts w:eastAsiaTheme="minorEastAsia"/>
                <w:sz w:val="24"/>
                <w:szCs w:val="24"/>
              </w:rPr>
              <w:t>恢复现场。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5" w:hRule="atLeast"/>
          <w:jc w:val="center"/>
        </w:trPr>
        <w:tc>
          <w:tcPr>
            <w:tcW w:w="488" w:type="dxa"/>
            <w:vMerge w:val="restart"/>
            <w:tcBorders>
              <w:top w:val="single" w:color="000000" w:sz="4" w:space="0"/>
              <w:right w:val="single" w:color="000000" w:sz="4" w:space="0"/>
            </w:tcBorders>
          </w:tcPr>
          <w:p>
            <w:pPr>
              <w:pStyle w:val="129"/>
              <w:rPr>
                <w:rFonts w:eastAsiaTheme="minorEastAsia"/>
                <w:sz w:val="24"/>
                <w:szCs w:val="24"/>
                <w:lang w:eastAsia="zh-CN"/>
              </w:rPr>
            </w:pPr>
          </w:p>
          <w:p>
            <w:pPr>
              <w:pStyle w:val="129"/>
              <w:rPr>
                <w:rFonts w:eastAsiaTheme="minorEastAsia"/>
                <w:sz w:val="24"/>
                <w:szCs w:val="24"/>
                <w:lang w:eastAsia="zh-CN"/>
              </w:rPr>
            </w:pPr>
          </w:p>
          <w:p>
            <w:pPr>
              <w:pStyle w:val="129"/>
              <w:rPr>
                <w:rFonts w:eastAsiaTheme="minorEastAsia"/>
                <w:sz w:val="24"/>
                <w:szCs w:val="24"/>
                <w:lang w:eastAsia="zh-CN"/>
              </w:rPr>
            </w:pPr>
          </w:p>
          <w:p>
            <w:pPr>
              <w:pStyle w:val="129"/>
              <w:rPr>
                <w:rFonts w:eastAsiaTheme="minorEastAsia"/>
                <w:sz w:val="24"/>
                <w:szCs w:val="24"/>
                <w:lang w:eastAsia="zh-CN"/>
              </w:rPr>
            </w:pPr>
          </w:p>
          <w:p>
            <w:pPr>
              <w:pStyle w:val="129"/>
              <w:rPr>
                <w:rFonts w:eastAsiaTheme="minorEastAsia"/>
                <w:sz w:val="24"/>
                <w:szCs w:val="24"/>
                <w:lang w:eastAsia="zh-CN"/>
              </w:rPr>
            </w:pPr>
          </w:p>
          <w:p>
            <w:pPr>
              <w:pStyle w:val="129"/>
              <w:rPr>
                <w:rFonts w:eastAsiaTheme="minorEastAsia"/>
                <w:sz w:val="24"/>
                <w:szCs w:val="24"/>
                <w:lang w:eastAsia="zh-CN"/>
              </w:rPr>
            </w:pPr>
          </w:p>
          <w:p>
            <w:pPr>
              <w:pStyle w:val="129"/>
              <w:spacing w:before="2"/>
              <w:rPr>
                <w:rFonts w:eastAsiaTheme="minorEastAsia"/>
                <w:sz w:val="24"/>
                <w:szCs w:val="24"/>
                <w:lang w:eastAsia="zh-CN"/>
              </w:rPr>
            </w:pPr>
          </w:p>
          <w:p>
            <w:pPr>
              <w:pStyle w:val="129"/>
              <w:spacing w:line="242" w:lineRule="auto"/>
              <w:ind w:left="106" w:right="150"/>
              <w:jc w:val="both"/>
              <w:rPr>
                <w:rFonts w:eastAsiaTheme="minorEastAsia"/>
                <w:sz w:val="24"/>
                <w:szCs w:val="24"/>
              </w:rPr>
            </w:pPr>
            <w:r>
              <w:rPr>
                <w:rFonts w:eastAsiaTheme="minorEastAsia"/>
                <w:sz w:val="24"/>
                <w:szCs w:val="24"/>
              </w:rPr>
              <w:t>注意事项</w:t>
            </w:r>
          </w:p>
        </w:tc>
        <w:tc>
          <w:tcPr>
            <w:tcW w:w="1290" w:type="dxa"/>
            <w:tcBorders>
              <w:top w:val="single" w:color="000000" w:sz="4" w:space="0"/>
              <w:left w:val="single" w:color="000000" w:sz="4" w:space="0"/>
              <w:bottom w:val="single" w:color="000000" w:sz="4" w:space="0"/>
              <w:right w:val="single" w:color="000000" w:sz="4" w:space="0"/>
            </w:tcBorders>
          </w:tcPr>
          <w:p>
            <w:pPr>
              <w:pStyle w:val="129"/>
              <w:spacing w:before="137"/>
              <w:ind w:left="118"/>
              <w:rPr>
                <w:rFonts w:eastAsiaTheme="minorEastAsia"/>
                <w:sz w:val="24"/>
                <w:szCs w:val="24"/>
              </w:rPr>
            </w:pPr>
            <w:r>
              <w:rPr>
                <w:rFonts w:eastAsiaTheme="minorEastAsia"/>
                <w:sz w:val="24"/>
                <w:szCs w:val="24"/>
              </w:rPr>
              <w:t>防护器具</w:t>
            </w:r>
          </w:p>
        </w:tc>
        <w:tc>
          <w:tcPr>
            <w:tcW w:w="6907" w:type="dxa"/>
            <w:tcBorders>
              <w:top w:val="single" w:color="000000" w:sz="4" w:space="0"/>
              <w:left w:val="single" w:color="000000" w:sz="4" w:space="0"/>
              <w:bottom w:val="single" w:color="000000" w:sz="4" w:space="0"/>
            </w:tcBorders>
          </w:tcPr>
          <w:p>
            <w:pPr>
              <w:pStyle w:val="129"/>
              <w:ind w:left="116"/>
              <w:rPr>
                <w:rFonts w:eastAsiaTheme="minorEastAsia"/>
                <w:sz w:val="24"/>
                <w:szCs w:val="24"/>
                <w:lang w:eastAsia="zh-CN"/>
              </w:rPr>
            </w:pPr>
            <w:r>
              <w:rPr>
                <w:rFonts w:eastAsiaTheme="minorEastAsia"/>
                <w:sz w:val="24"/>
                <w:szCs w:val="24"/>
                <w:lang w:eastAsia="zh-CN"/>
              </w:rPr>
              <w:t>参加事故应急救援行动的救援人员必须佩戴好个体防护用品。严禁救援人</w:t>
            </w:r>
          </w:p>
          <w:p>
            <w:pPr>
              <w:pStyle w:val="129"/>
              <w:spacing w:before="4" w:line="241" w:lineRule="exact"/>
              <w:ind w:left="116"/>
              <w:rPr>
                <w:rFonts w:eastAsiaTheme="minorEastAsia"/>
                <w:sz w:val="24"/>
                <w:szCs w:val="24"/>
                <w:lang w:eastAsia="zh-CN"/>
              </w:rPr>
            </w:pPr>
            <w:r>
              <w:rPr>
                <w:rFonts w:eastAsiaTheme="minorEastAsia"/>
                <w:sz w:val="24"/>
                <w:szCs w:val="24"/>
                <w:lang w:eastAsia="zh-CN"/>
              </w:rPr>
              <w:t>员在没有采取防护措施的情况下盲目施救。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jc w:val="center"/>
        </w:trPr>
        <w:tc>
          <w:tcPr>
            <w:tcW w:w="488" w:type="dxa"/>
            <w:vMerge w:val="continue"/>
            <w:tcBorders>
              <w:top w:val="nil"/>
              <w:right w:val="single" w:color="000000" w:sz="4" w:space="0"/>
            </w:tcBorders>
          </w:tcPr>
          <w:p>
            <w:pPr>
              <w:widowControl w:val="0"/>
              <w:autoSpaceDE w:val="0"/>
              <w:autoSpaceDN w:val="0"/>
              <w:rPr>
                <w:rFonts w:ascii="宋体" w:hAnsi="宋体" w:eastAsiaTheme="minorEastAsia" w:cstheme="minorBidi"/>
                <w:sz w:val="24"/>
                <w:szCs w:val="24"/>
                <w:lang w:eastAsia="en-US"/>
              </w:rPr>
            </w:pPr>
          </w:p>
        </w:tc>
        <w:tc>
          <w:tcPr>
            <w:tcW w:w="1290" w:type="dxa"/>
            <w:tcBorders>
              <w:top w:val="single" w:color="000000" w:sz="4" w:space="0"/>
              <w:left w:val="single" w:color="000000" w:sz="4" w:space="0"/>
              <w:bottom w:val="single" w:color="000000" w:sz="4" w:space="0"/>
              <w:right w:val="single" w:color="000000" w:sz="4" w:space="0"/>
            </w:tcBorders>
          </w:tcPr>
          <w:p>
            <w:pPr>
              <w:pStyle w:val="129"/>
              <w:spacing w:before="97"/>
              <w:ind w:left="118"/>
              <w:rPr>
                <w:rFonts w:eastAsiaTheme="minorEastAsia"/>
                <w:sz w:val="24"/>
                <w:szCs w:val="24"/>
              </w:rPr>
            </w:pPr>
            <w:r>
              <w:rPr>
                <w:rFonts w:eastAsiaTheme="minorEastAsia"/>
                <w:sz w:val="24"/>
                <w:szCs w:val="24"/>
              </w:rPr>
              <w:t>救援器材</w:t>
            </w:r>
          </w:p>
        </w:tc>
        <w:tc>
          <w:tcPr>
            <w:tcW w:w="6907" w:type="dxa"/>
            <w:tcBorders>
              <w:top w:val="single" w:color="000000" w:sz="4" w:space="0"/>
              <w:left w:val="single" w:color="000000" w:sz="4" w:space="0"/>
              <w:bottom w:val="single" w:color="000000" w:sz="4" w:space="0"/>
            </w:tcBorders>
          </w:tcPr>
          <w:p>
            <w:pPr>
              <w:pStyle w:val="129"/>
              <w:spacing w:before="97"/>
              <w:ind w:left="116"/>
              <w:rPr>
                <w:rFonts w:eastAsiaTheme="minorEastAsia"/>
                <w:sz w:val="24"/>
                <w:szCs w:val="24"/>
                <w:lang w:eastAsia="zh-CN"/>
              </w:rPr>
            </w:pPr>
            <w:r>
              <w:rPr>
                <w:rFonts w:eastAsiaTheme="minorEastAsia"/>
                <w:sz w:val="24"/>
                <w:szCs w:val="24"/>
                <w:lang w:eastAsia="zh-CN"/>
              </w:rPr>
              <w:t>空气呼吸器，防护服等。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4" w:hRule="atLeast"/>
          <w:jc w:val="center"/>
        </w:trPr>
        <w:tc>
          <w:tcPr>
            <w:tcW w:w="488" w:type="dxa"/>
            <w:vMerge w:val="continue"/>
            <w:tcBorders>
              <w:top w:val="nil"/>
              <w:right w:val="single" w:color="000000" w:sz="4" w:space="0"/>
            </w:tcBorders>
          </w:tcPr>
          <w:p>
            <w:pPr>
              <w:widowControl w:val="0"/>
              <w:autoSpaceDE w:val="0"/>
              <w:autoSpaceDN w:val="0"/>
              <w:rPr>
                <w:rFonts w:ascii="宋体" w:hAnsi="宋体" w:eastAsiaTheme="minorEastAsia" w:cstheme="minorBidi"/>
                <w:sz w:val="24"/>
                <w:szCs w:val="24"/>
                <w:lang w:eastAsia="en-US"/>
              </w:rPr>
            </w:pPr>
          </w:p>
        </w:tc>
        <w:tc>
          <w:tcPr>
            <w:tcW w:w="1290" w:type="dxa"/>
            <w:tcBorders>
              <w:top w:val="single" w:color="000000" w:sz="4" w:space="0"/>
              <w:left w:val="single" w:color="000000" w:sz="4" w:space="0"/>
              <w:bottom w:val="single" w:color="000000" w:sz="4" w:space="0"/>
              <w:right w:val="single" w:color="000000" w:sz="4" w:space="0"/>
            </w:tcBorders>
          </w:tcPr>
          <w:p>
            <w:pPr>
              <w:pStyle w:val="129"/>
              <w:spacing w:before="6"/>
              <w:rPr>
                <w:rFonts w:eastAsiaTheme="minorEastAsia"/>
                <w:sz w:val="24"/>
                <w:szCs w:val="24"/>
                <w:lang w:eastAsia="zh-CN"/>
              </w:rPr>
            </w:pPr>
          </w:p>
          <w:p>
            <w:pPr>
              <w:pStyle w:val="129"/>
              <w:ind w:left="118"/>
              <w:rPr>
                <w:rFonts w:eastAsiaTheme="minorEastAsia"/>
                <w:sz w:val="24"/>
                <w:szCs w:val="24"/>
              </w:rPr>
            </w:pPr>
            <w:r>
              <w:rPr>
                <w:rFonts w:eastAsiaTheme="minorEastAsia"/>
                <w:sz w:val="24"/>
                <w:szCs w:val="24"/>
              </w:rPr>
              <w:t>救援对策</w:t>
            </w:r>
          </w:p>
        </w:tc>
        <w:tc>
          <w:tcPr>
            <w:tcW w:w="6907" w:type="dxa"/>
            <w:tcBorders>
              <w:top w:val="single" w:color="000000" w:sz="4" w:space="0"/>
              <w:left w:val="single" w:color="000000" w:sz="4" w:space="0"/>
              <w:bottom w:val="single" w:color="000000" w:sz="4" w:space="0"/>
            </w:tcBorders>
          </w:tcPr>
          <w:p>
            <w:pPr>
              <w:pStyle w:val="129"/>
              <w:spacing w:before="90" w:line="242" w:lineRule="auto"/>
              <w:ind w:left="116" w:right="76"/>
              <w:rPr>
                <w:rFonts w:eastAsiaTheme="minorEastAsia"/>
                <w:sz w:val="24"/>
                <w:szCs w:val="24"/>
                <w:lang w:eastAsia="zh-CN"/>
              </w:rPr>
            </w:pPr>
            <w:r>
              <w:rPr>
                <w:rFonts w:eastAsiaTheme="minorEastAsia"/>
                <w:spacing w:val="-1"/>
                <w:w w:val="95"/>
                <w:sz w:val="24"/>
                <w:szCs w:val="24"/>
                <w:lang w:eastAsia="zh-CN"/>
              </w:rPr>
              <w:t>应急救援人员必须采取可靠的安全防护措施后方可进入现场，参加应急救</w:t>
            </w:r>
            <w:r>
              <w:rPr>
                <w:rFonts w:eastAsiaTheme="minorEastAsia"/>
                <w:spacing w:val="-1"/>
                <w:sz w:val="24"/>
                <w:szCs w:val="24"/>
                <w:lang w:eastAsia="zh-CN"/>
              </w:rPr>
              <w:t>援行动。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85" w:hRule="atLeast"/>
          <w:jc w:val="center"/>
        </w:trPr>
        <w:tc>
          <w:tcPr>
            <w:tcW w:w="488" w:type="dxa"/>
            <w:vMerge w:val="continue"/>
            <w:tcBorders>
              <w:top w:val="nil"/>
              <w:right w:val="single" w:color="000000" w:sz="4" w:space="0"/>
            </w:tcBorders>
          </w:tcPr>
          <w:p>
            <w:pPr>
              <w:widowControl w:val="0"/>
              <w:autoSpaceDE w:val="0"/>
              <w:autoSpaceDN w:val="0"/>
              <w:rPr>
                <w:rFonts w:ascii="宋体" w:hAnsi="宋体" w:eastAsiaTheme="minorEastAsia" w:cstheme="minorBidi"/>
                <w:sz w:val="24"/>
                <w:szCs w:val="24"/>
                <w:lang w:eastAsia="en-US"/>
              </w:rPr>
            </w:pPr>
          </w:p>
        </w:tc>
        <w:tc>
          <w:tcPr>
            <w:tcW w:w="1290" w:type="dxa"/>
            <w:tcBorders>
              <w:top w:val="single" w:color="000000" w:sz="4" w:space="0"/>
              <w:left w:val="single" w:color="000000" w:sz="4" w:space="0"/>
              <w:bottom w:val="single" w:color="000000" w:sz="4" w:space="0"/>
              <w:right w:val="single" w:color="000000" w:sz="4" w:space="0"/>
            </w:tcBorders>
          </w:tcPr>
          <w:p>
            <w:pPr>
              <w:pStyle w:val="129"/>
              <w:rPr>
                <w:rFonts w:eastAsiaTheme="minorEastAsia"/>
                <w:sz w:val="24"/>
                <w:szCs w:val="24"/>
                <w:lang w:eastAsia="zh-CN"/>
              </w:rPr>
            </w:pPr>
          </w:p>
          <w:p>
            <w:pPr>
              <w:pStyle w:val="129"/>
              <w:rPr>
                <w:rFonts w:eastAsiaTheme="minorEastAsia"/>
                <w:sz w:val="24"/>
                <w:szCs w:val="24"/>
                <w:lang w:eastAsia="zh-CN"/>
              </w:rPr>
            </w:pPr>
          </w:p>
          <w:p>
            <w:pPr>
              <w:pStyle w:val="129"/>
              <w:rPr>
                <w:rFonts w:eastAsiaTheme="minorEastAsia"/>
                <w:sz w:val="24"/>
                <w:szCs w:val="24"/>
                <w:lang w:eastAsia="zh-CN"/>
              </w:rPr>
            </w:pPr>
          </w:p>
          <w:p>
            <w:pPr>
              <w:pStyle w:val="129"/>
              <w:ind w:left="118"/>
              <w:rPr>
                <w:rFonts w:eastAsiaTheme="minorEastAsia"/>
                <w:sz w:val="24"/>
                <w:szCs w:val="24"/>
              </w:rPr>
            </w:pPr>
            <w:r>
              <w:rPr>
                <w:rFonts w:eastAsiaTheme="minorEastAsia"/>
                <w:sz w:val="24"/>
                <w:szCs w:val="24"/>
              </w:rPr>
              <w:t>自救与互救</w:t>
            </w:r>
          </w:p>
        </w:tc>
        <w:tc>
          <w:tcPr>
            <w:tcW w:w="6907" w:type="dxa"/>
            <w:tcBorders>
              <w:top w:val="single" w:color="000000" w:sz="4" w:space="0"/>
              <w:left w:val="single" w:color="000000" w:sz="4" w:space="0"/>
              <w:bottom w:val="single" w:color="000000" w:sz="4" w:space="0"/>
            </w:tcBorders>
          </w:tcPr>
          <w:p>
            <w:pPr>
              <w:pStyle w:val="129"/>
              <w:spacing w:line="242" w:lineRule="auto"/>
              <w:ind w:left="116" w:right="47"/>
              <w:jc w:val="both"/>
              <w:rPr>
                <w:rFonts w:eastAsiaTheme="minorEastAsia"/>
                <w:sz w:val="24"/>
                <w:szCs w:val="24"/>
                <w:lang w:eastAsia="zh-CN"/>
              </w:rPr>
            </w:pPr>
            <w:r>
              <w:rPr>
                <w:rFonts w:eastAsiaTheme="minorEastAsia"/>
                <w:spacing w:val="-4"/>
                <w:sz w:val="24"/>
                <w:szCs w:val="24"/>
                <w:lang w:eastAsia="zh-CN"/>
              </w:rPr>
              <w:t>判断病人意识、心跳、呼吸是否停止。如病人突然倒地或抽搐后，可用指</w:t>
            </w:r>
            <w:r>
              <w:rPr>
                <w:rFonts w:eastAsiaTheme="minorEastAsia"/>
                <w:spacing w:val="-4"/>
                <w:w w:val="95"/>
                <w:sz w:val="24"/>
                <w:szCs w:val="24"/>
                <w:lang w:eastAsia="zh-CN"/>
              </w:rPr>
              <w:t xml:space="preserve">甲掐鼻唇沟处，如毫无反应为意识丧失，无胸腹部呼吸动作为呼吸停止。  </w:t>
            </w:r>
            <w:r>
              <w:rPr>
                <w:rFonts w:eastAsiaTheme="minorEastAsia"/>
                <w:spacing w:val="-6"/>
                <w:sz w:val="24"/>
                <w:szCs w:val="24"/>
                <w:lang w:eastAsia="zh-CN"/>
              </w:rPr>
              <w:t>在颈动脉摸不到脉跳为心脏停止，颈动脉最易摸到的位置在喉结与胸锁乳突肌之间。</w:t>
            </w:r>
          </w:p>
          <w:p>
            <w:pPr>
              <w:pStyle w:val="129"/>
              <w:ind w:left="116"/>
              <w:rPr>
                <w:rFonts w:eastAsiaTheme="minorEastAsia"/>
                <w:sz w:val="24"/>
                <w:szCs w:val="24"/>
                <w:lang w:eastAsia="zh-CN"/>
              </w:rPr>
            </w:pPr>
            <w:r>
              <w:rPr>
                <w:rFonts w:eastAsiaTheme="minorEastAsia"/>
                <w:spacing w:val="-3"/>
                <w:w w:val="95"/>
                <w:sz w:val="24"/>
                <w:szCs w:val="24"/>
                <w:lang w:eastAsia="zh-CN"/>
              </w:rPr>
              <w:t>当确定病人意识已完全丧失，无心跳、无呼吸或仅有极微弱缓慢的心跳和</w:t>
            </w:r>
            <w:r>
              <w:rPr>
                <w:rFonts w:eastAsiaTheme="minorEastAsia"/>
                <w:spacing w:val="-2"/>
                <w:sz w:val="24"/>
                <w:szCs w:val="24"/>
                <w:lang w:eastAsia="zh-CN"/>
              </w:rPr>
              <w:t>呼吸时均应立即开始心肺复苏术。可以先用中等力量拳击心前区，若心脏</w:t>
            </w:r>
            <w:r>
              <w:rPr>
                <w:rFonts w:eastAsiaTheme="minorEastAsia"/>
                <w:spacing w:val="-2"/>
                <w:w w:val="95"/>
                <w:sz w:val="24"/>
                <w:szCs w:val="24"/>
                <w:lang w:eastAsia="zh-CN"/>
              </w:rPr>
              <w:t>不复跳，应立即进行胸外心脏按压和口对口人工呼吸，尽快向医院求救。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7" w:hRule="atLeast"/>
          <w:jc w:val="center"/>
        </w:trPr>
        <w:tc>
          <w:tcPr>
            <w:tcW w:w="488" w:type="dxa"/>
            <w:vMerge w:val="continue"/>
            <w:tcBorders>
              <w:top w:val="nil"/>
              <w:right w:val="single" w:color="000000" w:sz="4" w:space="0"/>
            </w:tcBorders>
          </w:tcPr>
          <w:p>
            <w:pPr>
              <w:widowControl w:val="0"/>
              <w:autoSpaceDE w:val="0"/>
              <w:autoSpaceDN w:val="0"/>
              <w:rPr>
                <w:rFonts w:ascii="宋体" w:hAnsi="宋体" w:eastAsiaTheme="minorEastAsia" w:cstheme="minorBidi"/>
                <w:sz w:val="24"/>
                <w:szCs w:val="24"/>
                <w:lang w:eastAsia="en-US"/>
              </w:rPr>
            </w:pPr>
          </w:p>
        </w:tc>
        <w:tc>
          <w:tcPr>
            <w:tcW w:w="1290" w:type="dxa"/>
            <w:tcBorders>
              <w:top w:val="single" w:color="000000" w:sz="4" w:space="0"/>
              <w:left w:val="single" w:color="000000" w:sz="4" w:space="0"/>
              <w:right w:val="single" w:color="000000" w:sz="4" w:space="0"/>
            </w:tcBorders>
          </w:tcPr>
          <w:p>
            <w:pPr>
              <w:pStyle w:val="129"/>
              <w:rPr>
                <w:rFonts w:eastAsiaTheme="minorEastAsia"/>
                <w:sz w:val="24"/>
                <w:szCs w:val="24"/>
                <w:lang w:eastAsia="zh-CN"/>
              </w:rPr>
            </w:pPr>
          </w:p>
          <w:p>
            <w:pPr>
              <w:pStyle w:val="129"/>
              <w:spacing w:before="132"/>
              <w:ind w:left="118"/>
              <w:rPr>
                <w:rFonts w:eastAsiaTheme="minorEastAsia"/>
                <w:b/>
                <w:sz w:val="24"/>
                <w:szCs w:val="24"/>
              </w:rPr>
            </w:pPr>
            <w:r>
              <w:rPr>
                <w:rFonts w:eastAsiaTheme="minorEastAsia"/>
                <w:bCs/>
                <w:sz w:val="24"/>
                <w:szCs w:val="24"/>
              </w:rPr>
              <w:t>人员能力</w:t>
            </w:r>
          </w:p>
        </w:tc>
        <w:tc>
          <w:tcPr>
            <w:tcW w:w="6907" w:type="dxa"/>
            <w:tcBorders>
              <w:top w:val="single" w:color="000000" w:sz="4" w:space="0"/>
              <w:left w:val="single" w:color="000000" w:sz="4" w:space="0"/>
            </w:tcBorders>
          </w:tcPr>
          <w:p>
            <w:pPr>
              <w:pStyle w:val="129"/>
              <w:spacing w:line="249" w:lineRule="exact"/>
              <w:ind w:left="116"/>
              <w:rPr>
                <w:rFonts w:eastAsiaTheme="minorEastAsia"/>
                <w:sz w:val="24"/>
                <w:szCs w:val="24"/>
                <w:lang w:eastAsia="zh-CN"/>
              </w:rPr>
            </w:pPr>
            <w:r>
              <w:rPr>
                <w:rFonts w:eastAsiaTheme="minorEastAsia"/>
                <w:spacing w:val="6"/>
                <w:w w:val="95"/>
                <w:sz w:val="24"/>
                <w:szCs w:val="24"/>
                <w:lang w:eastAsia="zh-CN"/>
              </w:rPr>
              <w:t>进入事故现场进行应急处置的救援人员均必须接受过专门的业务培训和</w:t>
            </w:r>
            <w:r>
              <w:rPr>
                <w:rFonts w:eastAsiaTheme="minorEastAsia"/>
                <w:w w:val="95"/>
                <w:sz w:val="24"/>
                <w:szCs w:val="24"/>
                <w:lang w:eastAsia="zh-CN"/>
              </w:rPr>
              <w:t xml:space="preserve">训练，应对事故现场有毒有害物质的化学性质和反应特性有充分的了解。  </w:t>
            </w:r>
            <w:r>
              <w:rPr>
                <w:rFonts w:eastAsiaTheme="minorEastAsia"/>
                <w:spacing w:val="-3"/>
                <w:w w:val="95"/>
                <w:sz w:val="24"/>
                <w:szCs w:val="24"/>
                <w:lang w:eastAsia="zh-CN"/>
              </w:rPr>
              <w:t>在进入现场之前，应针对事故现场有毒有害物质的理化性质，采取有效的</w:t>
            </w:r>
            <w:r>
              <w:rPr>
                <w:rFonts w:eastAsiaTheme="minorEastAsia"/>
                <w:spacing w:val="-12"/>
                <w:w w:val="95"/>
                <w:sz w:val="24"/>
                <w:szCs w:val="24"/>
                <w:lang w:eastAsia="zh-CN"/>
              </w:rPr>
              <w:t>个人防护。穿</w:t>
            </w:r>
            <w:r>
              <w:rPr>
                <w:rFonts w:eastAsiaTheme="minorEastAsia"/>
                <w:w w:val="95"/>
                <w:sz w:val="24"/>
                <w:szCs w:val="24"/>
                <w:lang w:eastAsia="zh-CN"/>
              </w:rPr>
              <w:t>（佩</w:t>
            </w:r>
            <w:r>
              <w:rPr>
                <w:rFonts w:eastAsiaTheme="minorEastAsia"/>
                <w:spacing w:val="-32"/>
                <w:w w:val="95"/>
                <w:sz w:val="24"/>
                <w:szCs w:val="24"/>
                <w:lang w:eastAsia="zh-CN"/>
              </w:rPr>
              <w:t>）</w:t>
            </w:r>
            <w:r>
              <w:rPr>
                <w:rFonts w:eastAsiaTheme="minorEastAsia"/>
                <w:spacing w:val="-5"/>
                <w:w w:val="95"/>
                <w:sz w:val="24"/>
                <w:szCs w:val="24"/>
                <w:lang w:eastAsia="zh-CN"/>
              </w:rPr>
              <w:t>戴防护用品前，应认真对防护用品进行安全性能检查，</w:t>
            </w:r>
          </w:p>
        </w:tc>
      </w:tr>
    </w:tbl>
    <w:p>
      <w:pPr>
        <w:pStyle w:val="17"/>
        <w:spacing w:before="2"/>
        <w:ind w:firstLine="100"/>
        <w:rPr>
          <w:rFonts w:ascii="黑体"/>
          <w:sz w:val="5"/>
        </w:rPr>
      </w:pPr>
    </w:p>
    <w:tbl>
      <w:tblPr>
        <w:tblStyle w:val="131"/>
        <w:tblW w:w="868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88"/>
        <w:gridCol w:w="1290"/>
        <w:gridCol w:w="690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7" w:hRule="atLeast"/>
          <w:jc w:val="center"/>
        </w:trPr>
        <w:tc>
          <w:tcPr>
            <w:tcW w:w="488" w:type="dxa"/>
            <w:vMerge w:val="restart"/>
            <w:tcBorders>
              <w:right w:val="single" w:color="000000" w:sz="4" w:space="0"/>
            </w:tcBorders>
          </w:tcPr>
          <w:p>
            <w:pPr>
              <w:pStyle w:val="129"/>
              <w:rPr>
                <w:rFonts w:ascii="Times New Roman" w:eastAsiaTheme="minorEastAsia"/>
                <w:sz w:val="24"/>
                <w:szCs w:val="24"/>
                <w:lang w:eastAsia="zh-CN"/>
              </w:rPr>
            </w:pPr>
          </w:p>
        </w:tc>
        <w:tc>
          <w:tcPr>
            <w:tcW w:w="1290" w:type="dxa"/>
            <w:vMerge w:val="restart"/>
            <w:tcBorders>
              <w:left w:val="single" w:color="000000" w:sz="4" w:space="0"/>
              <w:bottom w:val="single" w:color="000000" w:sz="4" w:space="0"/>
              <w:right w:val="single" w:color="000000" w:sz="4" w:space="0"/>
            </w:tcBorders>
          </w:tcPr>
          <w:p>
            <w:pPr>
              <w:pStyle w:val="129"/>
              <w:rPr>
                <w:rFonts w:ascii="Times New Roman" w:eastAsiaTheme="minorEastAsia"/>
                <w:sz w:val="24"/>
                <w:szCs w:val="24"/>
                <w:lang w:eastAsia="zh-CN"/>
              </w:rPr>
            </w:pPr>
          </w:p>
        </w:tc>
        <w:tc>
          <w:tcPr>
            <w:tcW w:w="6907" w:type="dxa"/>
            <w:tcBorders>
              <w:left w:val="single" w:color="000000" w:sz="4" w:space="0"/>
              <w:bottom w:val="nil"/>
            </w:tcBorders>
          </w:tcPr>
          <w:p>
            <w:pPr>
              <w:pStyle w:val="129"/>
              <w:spacing w:line="218" w:lineRule="exact"/>
              <w:ind w:left="116"/>
              <w:rPr>
                <w:rFonts w:eastAsiaTheme="minorEastAsia"/>
                <w:sz w:val="24"/>
                <w:szCs w:val="24"/>
                <w:lang w:eastAsia="zh-CN"/>
              </w:rPr>
            </w:pPr>
            <w:r>
              <w:rPr>
                <w:rFonts w:eastAsiaTheme="minorEastAsia"/>
                <w:sz w:val="24"/>
                <w:szCs w:val="24"/>
                <w:lang w:eastAsia="zh-CN"/>
              </w:rPr>
              <w:t>确认完好后，方能使用。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488" w:type="dxa"/>
            <w:vMerge w:val="continue"/>
            <w:tcBorders>
              <w:top w:val="nil"/>
              <w:right w:val="single" w:color="000000" w:sz="4" w:space="0"/>
            </w:tcBorders>
          </w:tcPr>
          <w:p>
            <w:pPr>
              <w:widowControl w:val="0"/>
              <w:autoSpaceDE w:val="0"/>
              <w:autoSpaceDN w:val="0"/>
              <w:rPr>
                <w:rFonts w:eastAsiaTheme="minorEastAsia" w:cstheme="minorBidi"/>
                <w:sz w:val="24"/>
                <w:szCs w:val="24"/>
                <w:lang w:eastAsia="en-US"/>
              </w:rPr>
            </w:pPr>
          </w:p>
        </w:tc>
        <w:tc>
          <w:tcPr>
            <w:tcW w:w="1290" w:type="dxa"/>
            <w:vMerge w:val="continue"/>
            <w:tcBorders>
              <w:top w:val="nil"/>
              <w:left w:val="single" w:color="000000" w:sz="4" w:space="0"/>
              <w:bottom w:val="single" w:color="000000" w:sz="4" w:space="0"/>
              <w:right w:val="single" w:color="000000" w:sz="4" w:space="0"/>
            </w:tcBorders>
          </w:tcPr>
          <w:p>
            <w:pPr>
              <w:widowControl w:val="0"/>
              <w:autoSpaceDE w:val="0"/>
              <w:autoSpaceDN w:val="0"/>
              <w:rPr>
                <w:rFonts w:eastAsiaTheme="minorEastAsia" w:cstheme="minorBidi"/>
                <w:sz w:val="24"/>
                <w:szCs w:val="24"/>
                <w:lang w:eastAsia="en-US"/>
              </w:rPr>
            </w:pPr>
          </w:p>
        </w:tc>
        <w:tc>
          <w:tcPr>
            <w:tcW w:w="6907" w:type="dxa"/>
            <w:tcBorders>
              <w:top w:val="nil"/>
              <w:left w:val="single" w:color="000000" w:sz="4" w:space="0"/>
              <w:bottom w:val="nil"/>
            </w:tcBorders>
          </w:tcPr>
          <w:p>
            <w:pPr>
              <w:pStyle w:val="129"/>
              <w:spacing w:line="221" w:lineRule="exact"/>
              <w:ind w:left="116"/>
              <w:rPr>
                <w:rFonts w:eastAsiaTheme="minorEastAsia"/>
                <w:sz w:val="24"/>
                <w:szCs w:val="24"/>
                <w:lang w:eastAsia="zh-CN"/>
              </w:rPr>
            </w:pPr>
            <w:r>
              <w:rPr>
                <w:rFonts w:eastAsiaTheme="minorEastAsia"/>
                <w:sz w:val="24"/>
                <w:szCs w:val="24"/>
                <w:lang w:eastAsia="zh-CN"/>
              </w:rPr>
              <w:t>应当详细记录进入、撤出事故现场的人员姓名和时间，紧急撤离时应进行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jc w:val="center"/>
        </w:trPr>
        <w:tc>
          <w:tcPr>
            <w:tcW w:w="488" w:type="dxa"/>
            <w:vMerge w:val="continue"/>
            <w:tcBorders>
              <w:top w:val="nil"/>
              <w:right w:val="single" w:color="000000" w:sz="4" w:space="0"/>
            </w:tcBorders>
          </w:tcPr>
          <w:p>
            <w:pPr>
              <w:widowControl w:val="0"/>
              <w:autoSpaceDE w:val="0"/>
              <w:autoSpaceDN w:val="0"/>
              <w:rPr>
                <w:rFonts w:eastAsiaTheme="minorEastAsia" w:cstheme="minorBidi"/>
                <w:sz w:val="24"/>
                <w:szCs w:val="24"/>
                <w:lang w:eastAsia="en-US"/>
              </w:rPr>
            </w:pPr>
          </w:p>
        </w:tc>
        <w:tc>
          <w:tcPr>
            <w:tcW w:w="1290" w:type="dxa"/>
            <w:vMerge w:val="continue"/>
            <w:tcBorders>
              <w:top w:val="nil"/>
              <w:left w:val="single" w:color="000000" w:sz="4" w:space="0"/>
              <w:bottom w:val="single" w:color="000000" w:sz="4" w:space="0"/>
              <w:right w:val="single" w:color="000000" w:sz="4" w:space="0"/>
            </w:tcBorders>
          </w:tcPr>
          <w:p>
            <w:pPr>
              <w:widowControl w:val="0"/>
              <w:autoSpaceDE w:val="0"/>
              <w:autoSpaceDN w:val="0"/>
              <w:rPr>
                <w:rFonts w:eastAsiaTheme="minorEastAsia" w:cstheme="minorBidi"/>
                <w:sz w:val="24"/>
                <w:szCs w:val="24"/>
                <w:lang w:eastAsia="en-US"/>
              </w:rPr>
            </w:pPr>
          </w:p>
        </w:tc>
        <w:tc>
          <w:tcPr>
            <w:tcW w:w="6907" w:type="dxa"/>
            <w:tcBorders>
              <w:top w:val="nil"/>
              <w:left w:val="single" w:color="000000" w:sz="4" w:space="0"/>
              <w:bottom w:val="nil"/>
            </w:tcBorders>
          </w:tcPr>
          <w:p>
            <w:pPr>
              <w:pStyle w:val="129"/>
              <w:spacing w:line="222" w:lineRule="exact"/>
              <w:ind w:left="116"/>
              <w:rPr>
                <w:rFonts w:eastAsiaTheme="minorEastAsia"/>
                <w:sz w:val="24"/>
                <w:szCs w:val="24"/>
              </w:rPr>
            </w:pPr>
            <w:r>
              <w:rPr>
                <w:rFonts w:eastAsiaTheme="minorEastAsia"/>
                <w:sz w:val="24"/>
                <w:szCs w:val="24"/>
              </w:rPr>
              <w:t>点名。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7" w:hRule="atLeast"/>
          <w:jc w:val="center"/>
        </w:trPr>
        <w:tc>
          <w:tcPr>
            <w:tcW w:w="488" w:type="dxa"/>
            <w:vMerge w:val="continue"/>
            <w:tcBorders>
              <w:top w:val="nil"/>
              <w:right w:val="single" w:color="000000" w:sz="4" w:space="0"/>
            </w:tcBorders>
          </w:tcPr>
          <w:p>
            <w:pPr>
              <w:widowControl w:val="0"/>
              <w:autoSpaceDE w:val="0"/>
              <w:autoSpaceDN w:val="0"/>
              <w:rPr>
                <w:rFonts w:eastAsiaTheme="minorEastAsia" w:cstheme="minorBidi"/>
                <w:sz w:val="24"/>
                <w:szCs w:val="24"/>
                <w:lang w:eastAsia="en-US"/>
              </w:rPr>
            </w:pPr>
          </w:p>
        </w:tc>
        <w:tc>
          <w:tcPr>
            <w:tcW w:w="1290" w:type="dxa"/>
            <w:vMerge w:val="continue"/>
            <w:tcBorders>
              <w:top w:val="nil"/>
              <w:left w:val="single" w:color="000000" w:sz="4" w:space="0"/>
              <w:bottom w:val="single" w:color="000000" w:sz="4" w:space="0"/>
              <w:right w:val="single" w:color="000000" w:sz="4" w:space="0"/>
            </w:tcBorders>
          </w:tcPr>
          <w:p>
            <w:pPr>
              <w:widowControl w:val="0"/>
              <w:autoSpaceDE w:val="0"/>
              <w:autoSpaceDN w:val="0"/>
              <w:rPr>
                <w:rFonts w:eastAsiaTheme="minorEastAsia" w:cstheme="minorBidi"/>
                <w:sz w:val="24"/>
                <w:szCs w:val="24"/>
                <w:lang w:eastAsia="en-US"/>
              </w:rPr>
            </w:pPr>
          </w:p>
        </w:tc>
        <w:tc>
          <w:tcPr>
            <w:tcW w:w="6907" w:type="dxa"/>
            <w:tcBorders>
              <w:top w:val="nil"/>
              <w:left w:val="single" w:color="000000" w:sz="4" w:space="0"/>
              <w:bottom w:val="single" w:color="000000" w:sz="4" w:space="0"/>
            </w:tcBorders>
          </w:tcPr>
          <w:p>
            <w:pPr>
              <w:pStyle w:val="129"/>
              <w:spacing w:line="228" w:lineRule="exact"/>
              <w:ind w:left="116"/>
              <w:rPr>
                <w:rFonts w:eastAsiaTheme="minorEastAsia"/>
                <w:sz w:val="24"/>
                <w:szCs w:val="24"/>
                <w:lang w:eastAsia="zh-CN"/>
              </w:rPr>
            </w:pPr>
            <w:r>
              <w:rPr>
                <w:rFonts w:eastAsiaTheme="minorEastAsia"/>
                <w:sz w:val="24"/>
                <w:szCs w:val="24"/>
                <w:lang w:eastAsia="zh-CN"/>
              </w:rPr>
              <w:t>严禁单独行动。现场应准备特效解毒剂和其它急救医药用品。</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7" w:hRule="atLeast"/>
          <w:jc w:val="center"/>
        </w:trPr>
        <w:tc>
          <w:tcPr>
            <w:tcW w:w="488" w:type="dxa"/>
            <w:vMerge w:val="continue"/>
            <w:tcBorders>
              <w:top w:val="nil"/>
              <w:right w:val="single" w:color="000000" w:sz="4" w:space="0"/>
            </w:tcBorders>
          </w:tcPr>
          <w:p>
            <w:pPr>
              <w:widowControl w:val="0"/>
              <w:autoSpaceDE w:val="0"/>
              <w:autoSpaceDN w:val="0"/>
              <w:rPr>
                <w:rFonts w:eastAsiaTheme="minorEastAsia" w:cstheme="minorBidi"/>
                <w:sz w:val="24"/>
                <w:szCs w:val="24"/>
                <w:lang w:eastAsia="en-US"/>
              </w:rPr>
            </w:pPr>
          </w:p>
        </w:tc>
        <w:tc>
          <w:tcPr>
            <w:tcW w:w="1290" w:type="dxa"/>
            <w:tcBorders>
              <w:top w:val="single" w:color="000000" w:sz="4" w:space="0"/>
              <w:left w:val="single" w:color="000000" w:sz="4" w:space="0"/>
              <w:bottom w:val="nil"/>
              <w:right w:val="single" w:color="000000" w:sz="4" w:space="0"/>
            </w:tcBorders>
          </w:tcPr>
          <w:p>
            <w:pPr>
              <w:pStyle w:val="129"/>
              <w:rPr>
                <w:rFonts w:ascii="Times New Roman" w:eastAsiaTheme="minorEastAsia"/>
                <w:sz w:val="24"/>
                <w:szCs w:val="24"/>
                <w:lang w:eastAsia="zh-CN"/>
              </w:rPr>
            </w:pPr>
          </w:p>
        </w:tc>
        <w:tc>
          <w:tcPr>
            <w:tcW w:w="6907" w:type="dxa"/>
            <w:tcBorders>
              <w:top w:val="single" w:color="000000" w:sz="4" w:space="0"/>
              <w:left w:val="single" w:color="000000" w:sz="4" w:space="0"/>
              <w:bottom w:val="nil"/>
            </w:tcBorders>
          </w:tcPr>
          <w:p>
            <w:pPr>
              <w:pStyle w:val="129"/>
              <w:spacing w:line="228" w:lineRule="exact"/>
              <w:ind w:left="116"/>
              <w:rPr>
                <w:rFonts w:eastAsiaTheme="minorEastAsia"/>
                <w:sz w:val="24"/>
                <w:szCs w:val="24"/>
                <w:lang w:eastAsia="zh-CN"/>
              </w:rPr>
            </w:pPr>
            <w:r>
              <w:rPr>
                <w:rFonts w:eastAsiaTheme="minorEastAsia"/>
                <w:sz w:val="24"/>
                <w:szCs w:val="24"/>
                <w:lang w:eastAsia="zh-CN"/>
              </w:rPr>
              <w:t>险情排除后，组织相关人员对现场进行认真的检查，防止遗漏，再次造成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488" w:type="dxa"/>
            <w:vMerge w:val="continue"/>
            <w:tcBorders>
              <w:top w:val="nil"/>
              <w:right w:val="single" w:color="000000" w:sz="4" w:space="0"/>
            </w:tcBorders>
          </w:tcPr>
          <w:p>
            <w:pPr>
              <w:widowControl w:val="0"/>
              <w:autoSpaceDE w:val="0"/>
              <w:autoSpaceDN w:val="0"/>
              <w:rPr>
                <w:rFonts w:eastAsiaTheme="minorEastAsia" w:cstheme="minorBidi"/>
                <w:sz w:val="24"/>
                <w:szCs w:val="24"/>
                <w:lang w:eastAsia="en-US"/>
              </w:rPr>
            </w:pPr>
          </w:p>
        </w:tc>
        <w:tc>
          <w:tcPr>
            <w:tcW w:w="1290" w:type="dxa"/>
            <w:tcBorders>
              <w:top w:val="nil"/>
              <w:left w:val="single" w:color="000000" w:sz="4" w:space="0"/>
              <w:bottom w:val="nil"/>
              <w:right w:val="single" w:color="000000" w:sz="4" w:space="0"/>
            </w:tcBorders>
          </w:tcPr>
          <w:p>
            <w:pPr>
              <w:pStyle w:val="129"/>
              <w:rPr>
                <w:rFonts w:ascii="Times New Roman" w:eastAsiaTheme="minorEastAsia"/>
                <w:sz w:val="24"/>
                <w:szCs w:val="24"/>
                <w:lang w:eastAsia="zh-CN"/>
              </w:rPr>
            </w:pPr>
          </w:p>
        </w:tc>
        <w:tc>
          <w:tcPr>
            <w:tcW w:w="6907" w:type="dxa"/>
            <w:tcBorders>
              <w:top w:val="nil"/>
              <w:left w:val="single" w:color="000000" w:sz="4" w:space="0"/>
              <w:bottom w:val="nil"/>
            </w:tcBorders>
          </w:tcPr>
          <w:p>
            <w:pPr>
              <w:pStyle w:val="129"/>
              <w:spacing w:line="221" w:lineRule="exact"/>
              <w:ind w:left="116"/>
              <w:rPr>
                <w:rFonts w:eastAsiaTheme="minorEastAsia"/>
                <w:sz w:val="24"/>
                <w:szCs w:val="24"/>
              </w:rPr>
            </w:pPr>
            <w:r>
              <w:rPr>
                <w:rFonts w:eastAsiaTheme="minorEastAsia"/>
                <w:sz w:val="24"/>
                <w:szCs w:val="24"/>
              </w:rPr>
              <w:t>事故或环境危害。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jc w:val="center"/>
        </w:trPr>
        <w:tc>
          <w:tcPr>
            <w:tcW w:w="488" w:type="dxa"/>
            <w:vMerge w:val="continue"/>
            <w:tcBorders>
              <w:top w:val="nil"/>
              <w:right w:val="single" w:color="000000" w:sz="4" w:space="0"/>
            </w:tcBorders>
          </w:tcPr>
          <w:p>
            <w:pPr>
              <w:widowControl w:val="0"/>
              <w:autoSpaceDE w:val="0"/>
              <w:autoSpaceDN w:val="0"/>
              <w:rPr>
                <w:rFonts w:eastAsiaTheme="minorEastAsia" w:cstheme="minorBidi"/>
                <w:sz w:val="24"/>
                <w:szCs w:val="24"/>
                <w:lang w:eastAsia="en-US"/>
              </w:rPr>
            </w:pPr>
          </w:p>
        </w:tc>
        <w:tc>
          <w:tcPr>
            <w:tcW w:w="1290" w:type="dxa"/>
            <w:tcBorders>
              <w:top w:val="nil"/>
              <w:left w:val="single" w:color="000000" w:sz="4" w:space="0"/>
              <w:bottom w:val="nil"/>
              <w:right w:val="single" w:color="000000" w:sz="4" w:space="0"/>
            </w:tcBorders>
          </w:tcPr>
          <w:p>
            <w:pPr>
              <w:pStyle w:val="129"/>
              <w:spacing w:line="222" w:lineRule="exact"/>
              <w:ind w:left="118"/>
              <w:rPr>
                <w:rFonts w:eastAsiaTheme="minorEastAsia"/>
                <w:b/>
                <w:sz w:val="24"/>
                <w:szCs w:val="24"/>
              </w:rPr>
            </w:pPr>
            <w:r>
              <w:rPr>
                <w:rFonts w:eastAsiaTheme="minorEastAsia"/>
                <w:b/>
                <w:sz w:val="24"/>
                <w:szCs w:val="24"/>
              </w:rPr>
              <w:t>救援结束</w:t>
            </w:r>
          </w:p>
        </w:tc>
        <w:tc>
          <w:tcPr>
            <w:tcW w:w="6907" w:type="dxa"/>
            <w:tcBorders>
              <w:top w:val="nil"/>
              <w:left w:val="single" w:color="000000" w:sz="4" w:space="0"/>
              <w:bottom w:val="nil"/>
            </w:tcBorders>
          </w:tcPr>
          <w:p>
            <w:pPr>
              <w:pStyle w:val="129"/>
              <w:spacing w:line="222" w:lineRule="exact"/>
              <w:ind w:left="116"/>
              <w:rPr>
                <w:rFonts w:eastAsiaTheme="minorEastAsia"/>
                <w:sz w:val="24"/>
                <w:szCs w:val="24"/>
                <w:lang w:eastAsia="zh-CN"/>
              </w:rPr>
            </w:pPr>
            <w:r>
              <w:rPr>
                <w:rFonts w:eastAsiaTheme="minorEastAsia"/>
                <w:sz w:val="24"/>
                <w:szCs w:val="24"/>
                <w:lang w:eastAsia="zh-CN"/>
              </w:rPr>
              <w:t>保护好现场，以便查清事故原因，吸取教训，制定防范措施。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jc w:val="center"/>
        </w:trPr>
        <w:tc>
          <w:tcPr>
            <w:tcW w:w="488" w:type="dxa"/>
            <w:vMerge w:val="continue"/>
            <w:tcBorders>
              <w:top w:val="nil"/>
              <w:right w:val="single" w:color="000000" w:sz="4" w:space="0"/>
            </w:tcBorders>
          </w:tcPr>
          <w:p>
            <w:pPr>
              <w:widowControl w:val="0"/>
              <w:autoSpaceDE w:val="0"/>
              <w:autoSpaceDN w:val="0"/>
              <w:rPr>
                <w:rFonts w:eastAsiaTheme="minorEastAsia" w:cstheme="minorBidi"/>
                <w:sz w:val="24"/>
                <w:szCs w:val="24"/>
                <w:lang w:eastAsia="en-US"/>
              </w:rPr>
            </w:pPr>
          </w:p>
        </w:tc>
        <w:tc>
          <w:tcPr>
            <w:tcW w:w="1290" w:type="dxa"/>
            <w:tcBorders>
              <w:top w:val="nil"/>
              <w:left w:val="single" w:color="000000" w:sz="4" w:space="0"/>
              <w:bottom w:val="nil"/>
              <w:right w:val="single" w:color="000000" w:sz="4" w:space="0"/>
            </w:tcBorders>
          </w:tcPr>
          <w:p>
            <w:pPr>
              <w:pStyle w:val="129"/>
              <w:rPr>
                <w:rFonts w:ascii="Times New Roman" w:eastAsiaTheme="minorEastAsia"/>
                <w:sz w:val="24"/>
                <w:szCs w:val="24"/>
                <w:lang w:eastAsia="zh-CN"/>
              </w:rPr>
            </w:pPr>
          </w:p>
        </w:tc>
        <w:tc>
          <w:tcPr>
            <w:tcW w:w="6907" w:type="dxa"/>
            <w:tcBorders>
              <w:top w:val="nil"/>
              <w:left w:val="single" w:color="000000" w:sz="4" w:space="0"/>
              <w:bottom w:val="nil"/>
            </w:tcBorders>
          </w:tcPr>
          <w:p>
            <w:pPr>
              <w:pStyle w:val="129"/>
              <w:spacing w:line="222" w:lineRule="exact"/>
              <w:ind w:left="116"/>
              <w:rPr>
                <w:rFonts w:eastAsiaTheme="minorEastAsia"/>
                <w:sz w:val="24"/>
                <w:szCs w:val="24"/>
                <w:lang w:eastAsia="zh-CN"/>
              </w:rPr>
            </w:pPr>
            <w:r>
              <w:rPr>
                <w:rFonts w:eastAsiaTheme="minorEastAsia"/>
                <w:sz w:val="24"/>
                <w:szCs w:val="24"/>
                <w:lang w:eastAsia="zh-CN"/>
              </w:rPr>
              <w:t>待现场原因调查完领导同意后，人员、设备、现场卫生，全面到位后通知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8" w:hRule="atLeast"/>
          <w:jc w:val="center"/>
        </w:trPr>
        <w:tc>
          <w:tcPr>
            <w:tcW w:w="488" w:type="dxa"/>
            <w:vMerge w:val="continue"/>
            <w:tcBorders>
              <w:top w:val="nil"/>
              <w:right w:val="single" w:color="000000" w:sz="4" w:space="0"/>
            </w:tcBorders>
          </w:tcPr>
          <w:p>
            <w:pPr>
              <w:widowControl w:val="0"/>
              <w:autoSpaceDE w:val="0"/>
              <w:autoSpaceDN w:val="0"/>
              <w:rPr>
                <w:rFonts w:eastAsiaTheme="minorEastAsia" w:cstheme="minorBidi"/>
                <w:sz w:val="24"/>
                <w:szCs w:val="24"/>
                <w:lang w:eastAsia="en-US"/>
              </w:rPr>
            </w:pPr>
          </w:p>
        </w:tc>
        <w:tc>
          <w:tcPr>
            <w:tcW w:w="1290" w:type="dxa"/>
            <w:tcBorders>
              <w:top w:val="nil"/>
              <w:left w:val="single" w:color="000000" w:sz="4" w:space="0"/>
              <w:bottom w:val="single" w:color="000000" w:sz="4" w:space="0"/>
              <w:right w:val="single" w:color="000000" w:sz="4" w:space="0"/>
            </w:tcBorders>
          </w:tcPr>
          <w:p>
            <w:pPr>
              <w:pStyle w:val="129"/>
              <w:rPr>
                <w:rFonts w:ascii="Times New Roman" w:eastAsiaTheme="minorEastAsia"/>
                <w:sz w:val="24"/>
                <w:szCs w:val="24"/>
                <w:lang w:eastAsia="zh-CN"/>
              </w:rPr>
            </w:pPr>
          </w:p>
        </w:tc>
        <w:tc>
          <w:tcPr>
            <w:tcW w:w="6907" w:type="dxa"/>
            <w:tcBorders>
              <w:top w:val="nil"/>
              <w:left w:val="single" w:color="000000" w:sz="4" w:space="0"/>
              <w:bottom w:val="single" w:color="000000" w:sz="4" w:space="0"/>
            </w:tcBorders>
          </w:tcPr>
          <w:p>
            <w:pPr>
              <w:pStyle w:val="129"/>
              <w:spacing w:line="228" w:lineRule="exact"/>
              <w:ind w:left="116"/>
              <w:rPr>
                <w:rFonts w:eastAsiaTheme="minorEastAsia"/>
                <w:sz w:val="24"/>
                <w:szCs w:val="24"/>
              </w:rPr>
            </w:pPr>
            <w:r>
              <w:rPr>
                <w:rFonts w:eastAsiaTheme="minorEastAsia"/>
                <w:sz w:val="24"/>
                <w:szCs w:val="24"/>
              </w:rPr>
              <w:t>相关部门。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3" w:hRule="atLeast"/>
          <w:jc w:val="center"/>
        </w:trPr>
        <w:tc>
          <w:tcPr>
            <w:tcW w:w="488" w:type="dxa"/>
            <w:vMerge w:val="continue"/>
            <w:tcBorders>
              <w:top w:val="nil"/>
              <w:right w:val="single" w:color="000000" w:sz="4" w:space="0"/>
            </w:tcBorders>
          </w:tcPr>
          <w:p>
            <w:pPr>
              <w:widowControl w:val="0"/>
              <w:autoSpaceDE w:val="0"/>
              <w:autoSpaceDN w:val="0"/>
              <w:rPr>
                <w:rFonts w:eastAsiaTheme="minorEastAsia" w:cstheme="minorBidi"/>
                <w:sz w:val="24"/>
                <w:szCs w:val="24"/>
                <w:lang w:eastAsia="en-US"/>
              </w:rPr>
            </w:pPr>
          </w:p>
        </w:tc>
        <w:tc>
          <w:tcPr>
            <w:tcW w:w="1290" w:type="dxa"/>
            <w:tcBorders>
              <w:top w:val="single" w:color="000000" w:sz="4" w:space="0"/>
              <w:left w:val="single" w:color="000000" w:sz="4" w:space="0"/>
              <w:right w:val="single" w:color="000000" w:sz="4" w:space="0"/>
            </w:tcBorders>
          </w:tcPr>
          <w:p>
            <w:pPr>
              <w:pStyle w:val="129"/>
              <w:spacing w:before="7"/>
              <w:rPr>
                <w:rFonts w:ascii="黑体" w:eastAsiaTheme="minorEastAsia"/>
                <w:sz w:val="24"/>
                <w:szCs w:val="24"/>
              </w:rPr>
            </w:pPr>
          </w:p>
          <w:p>
            <w:pPr>
              <w:pStyle w:val="129"/>
              <w:spacing w:before="1"/>
              <w:ind w:left="118"/>
              <w:rPr>
                <w:rFonts w:eastAsiaTheme="minorEastAsia"/>
                <w:b/>
                <w:sz w:val="24"/>
                <w:szCs w:val="24"/>
              </w:rPr>
            </w:pPr>
            <w:r>
              <w:rPr>
                <w:rFonts w:eastAsiaTheme="minorEastAsia"/>
                <w:b/>
                <w:sz w:val="24"/>
                <w:szCs w:val="24"/>
              </w:rPr>
              <w:t>特别警示</w:t>
            </w:r>
          </w:p>
        </w:tc>
        <w:tc>
          <w:tcPr>
            <w:tcW w:w="6907" w:type="dxa"/>
            <w:tcBorders>
              <w:top w:val="single" w:color="000000" w:sz="4" w:space="0"/>
              <w:left w:val="single" w:color="000000" w:sz="4" w:space="0"/>
            </w:tcBorders>
          </w:tcPr>
          <w:p>
            <w:pPr>
              <w:pStyle w:val="129"/>
              <w:spacing w:before="89" w:line="244" w:lineRule="auto"/>
              <w:ind w:left="116" w:right="76"/>
              <w:rPr>
                <w:rFonts w:eastAsiaTheme="minorEastAsia"/>
                <w:sz w:val="24"/>
                <w:szCs w:val="24"/>
                <w:lang w:eastAsia="zh-CN"/>
              </w:rPr>
            </w:pPr>
            <w:r>
              <w:rPr>
                <w:rFonts w:eastAsiaTheme="minorEastAsia"/>
                <w:spacing w:val="-3"/>
                <w:w w:val="95"/>
                <w:sz w:val="24"/>
                <w:szCs w:val="24"/>
                <w:lang w:eastAsia="zh-CN"/>
              </w:rPr>
              <w:t xml:space="preserve">保持救援电话畅通；对应急救援器材进行经常性的检查和保养；应急疏散  </w:t>
            </w:r>
            <w:r>
              <w:rPr>
                <w:rFonts w:eastAsiaTheme="minorEastAsia"/>
                <w:spacing w:val="-3"/>
                <w:sz w:val="24"/>
                <w:szCs w:val="24"/>
                <w:lang w:eastAsia="zh-CN"/>
              </w:rPr>
              <w:t>时的人数清点；救援结束后的人员、物资查点。</w:t>
            </w:r>
          </w:p>
        </w:tc>
      </w:tr>
    </w:tbl>
    <w:p>
      <w:pPr>
        <w:ind w:firstLine="723"/>
        <w:rPr>
          <w:b/>
          <w:bCs/>
          <w:kern w:val="44"/>
          <w:sz w:val="36"/>
        </w:rPr>
      </w:pPr>
    </w:p>
    <w:p>
      <w:pPr>
        <w:pStyle w:val="6"/>
        <w:spacing w:line="500" w:lineRule="exact"/>
        <w:ind w:firstLine="562"/>
        <w:rPr>
          <w:rFonts w:hAnsi="宋体"/>
          <w:szCs w:val="28"/>
        </w:rPr>
      </w:pPr>
      <w:bookmarkStart w:id="219" w:name="_Toc101798324"/>
      <w:r>
        <w:rPr>
          <w:rFonts w:hAnsi="宋体"/>
          <w:szCs w:val="28"/>
        </w:rPr>
        <w:t>7</w:t>
      </w:r>
      <w:r>
        <w:rPr>
          <w:rFonts w:hint="eastAsia" w:hAnsi="宋体"/>
          <w:szCs w:val="28"/>
        </w:rPr>
        <w:t>.调压计量装置燃气泄漏现场处置方案</w:t>
      </w:r>
      <w:bookmarkEnd w:id="219"/>
    </w:p>
    <w:tbl>
      <w:tblPr>
        <w:tblStyle w:val="42"/>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755"/>
        <w:gridCol w:w="6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405" w:type="dxa"/>
            <w:gridSpan w:val="2"/>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项目</w:t>
            </w:r>
          </w:p>
        </w:tc>
        <w:tc>
          <w:tcPr>
            <w:tcW w:w="6280" w:type="dxa"/>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0" w:type="dxa"/>
            <w:vMerge w:val="restart"/>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事故风险描述</w:t>
            </w:r>
          </w:p>
        </w:tc>
        <w:tc>
          <w:tcPr>
            <w:tcW w:w="1755" w:type="dxa"/>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危险性分析</w:t>
            </w:r>
          </w:p>
        </w:tc>
        <w:tc>
          <w:tcPr>
            <w:tcW w:w="6280" w:type="dxa"/>
            <w:vAlign w:val="center"/>
          </w:tcPr>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调压计量装置集中了重要阀门，压力容器，调压计量工艺装置，放散、排污系统，消防系统等设备设施。调压计量装置有一定数量的员工进行巡检、维护值守操作，生产运行过程中可能存在发生燃气失控泄漏、火灾爆炸、人员伤亡等风险。</w:t>
            </w:r>
          </w:p>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燃气失控泄漏风险危害和影响范围最大，最容易引发其他次生灾害，调压计量装置燃气泄漏主要原因包括：</w:t>
            </w:r>
          </w:p>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质量因素：工艺、结构设计不合理；管件与阀门的连接不紧密；材质太薄；耐压不够；材料本身缺陷；制造、加工质量差；施工安装质量低劣；阀门、法兰密封失效；与设备设施相连的管道、阀门、过滤器、液位计等选型不当，防腐、安装、焊接质量不良，密封性能不良等。</w:t>
            </w:r>
          </w:p>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工艺因素：如介质在工艺设备设施中流动时产生冲击与磨损；反复应力的作用；低温下材料冷脆断裂、老化变质；高压燃气窜入低压设备设施造成破裂；燃气含有的腐蚀性物质内部腐蚀、外部环境锈蚀产生的穿孔、破损；燃气中杂质过多或含有水分，净化处理不彻底，可能导致管道或阀门堵塞、冰堵造成损坏等。</w:t>
            </w:r>
          </w:p>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（3）安全附件缺失或失效：如安全阀、压力表等安全附件存在质量问题，没有定期检测，或出现故障失效，会造成泄漏。</w:t>
            </w:r>
          </w:p>
          <w:p>
            <w:pPr>
              <w:jc w:val="both"/>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外来因素破坏：如外力撞击、磨损；支架不稳定；地震、滑坡、崩塌、地面沉降等地质灾害导致损坏；暴雨等灾害天气引起的洪水、泥石流的破坏；环境温度变化引发材质产生拉伸造成破坏；气流脉动引起的振动；操作失误引起泄漏；超温、超压、超负荷传输；维护不周，不及时维修</w:t>
            </w:r>
            <w:r>
              <w:rPr>
                <w:rFonts w:hint="eastAsia" w:cs="宋体" w:asciiTheme="minorEastAsia" w:hAnsiTheme="minorEastAsia" w:eastAsiaTheme="minorEastAsia"/>
                <w:color w:val="000000" w:themeColor="text1"/>
                <w:sz w:val="24"/>
                <w:szCs w:val="24"/>
                <w14:textFill>
                  <w14:solidFill>
                    <w14:schemeClr w14:val="tx1"/>
                  </w14:solidFill>
                </w14:textFill>
              </w:rPr>
              <w:t>；</w:t>
            </w:r>
            <w:r>
              <w:rPr>
                <w:rFonts w:hint="eastAsia" w:cs="宋体" w:asciiTheme="minorEastAsia" w:hAnsiTheme="minorEastAsia" w:eastAsiaTheme="minorEastAsia"/>
                <w:sz w:val="24"/>
                <w:szCs w:val="24"/>
              </w:rPr>
              <w:t>对工艺装置维修不当；人为有意破坏等。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0" w:type="dxa"/>
            <w:vMerge w:val="continue"/>
            <w:vAlign w:val="center"/>
          </w:tcPr>
          <w:p>
            <w:pPr>
              <w:pStyle w:val="108"/>
              <w:spacing w:line="240" w:lineRule="auto"/>
              <w:jc w:val="center"/>
              <w:rPr>
                <w:rFonts w:asciiTheme="minorEastAsia" w:hAnsiTheme="minorEastAsia" w:eastAsiaTheme="minorEastAsia" w:cstheme="majorEastAsia"/>
                <w:sz w:val="24"/>
                <w:szCs w:val="24"/>
              </w:rPr>
            </w:pPr>
          </w:p>
        </w:tc>
        <w:tc>
          <w:tcPr>
            <w:tcW w:w="1755" w:type="dxa"/>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可能发生的</w:t>
            </w:r>
          </w:p>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事故类型</w:t>
            </w:r>
          </w:p>
        </w:tc>
        <w:tc>
          <w:tcPr>
            <w:tcW w:w="6280" w:type="dxa"/>
            <w:vAlign w:val="center"/>
          </w:tcPr>
          <w:p>
            <w:pPr>
              <w:pStyle w:val="108"/>
              <w:spacing w:line="24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火灾、爆炸、中毒和窒息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0" w:type="dxa"/>
            <w:vMerge w:val="continue"/>
            <w:vAlign w:val="center"/>
          </w:tcPr>
          <w:p>
            <w:pPr>
              <w:pStyle w:val="108"/>
              <w:spacing w:line="240" w:lineRule="auto"/>
              <w:jc w:val="center"/>
              <w:rPr>
                <w:rFonts w:asciiTheme="minorEastAsia" w:hAnsiTheme="minorEastAsia" w:eastAsiaTheme="minorEastAsia" w:cstheme="majorEastAsia"/>
                <w:sz w:val="24"/>
                <w:szCs w:val="24"/>
              </w:rPr>
            </w:pPr>
          </w:p>
        </w:tc>
        <w:tc>
          <w:tcPr>
            <w:tcW w:w="1755" w:type="dxa"/>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区域（设备）名称</w:t>
            </w:r>
          </w:p>
        </w:tc>
        <w:tc>
          <w:tcPr>
            <w:tcW w:w="6280" w:type="dxa"/>
            <w:vAlign w:val="center"/>
          </w:tcPr>
          <w:p>
            <w:pPr>
              <w:pStyle w:val="108"/>
              <w:spacing w:line="24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各类调压装置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0" w:type="dxa"/>
            <w:vMerge w:val="continue"/>
            <w:vAlign w:val="center"/>
          </w:tcPr>
          <w:p>
            <w:pPr>
              <w:pStyle w:val="108"/>
              <w:spacing w:line="240" w:lineRule="auto"/>
              <w:jc w:val="center"/>
              <w:rPr>
                <w:rFonts w:asciiTheme="minorEastAsia" w:hAnsiTheme="minorEastAsia" w:eastAsiaTheme="minorEastAsia" w:cstheme="majorEastAsia"/>
                <w:sz w:val="24"/>
                <w:szCs w:val="24"/>
              </w:rPr>
            </w:pPr>
          </w:p>
        </w:tc>
        <w:tc>
          <w:tcPr>
            <w:tcW w:w="1755" w:type="dxa"/>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可能发生的季节、时段</w:t>
            </w:r>
          </w:p>
        </w:tc>
        <w:tc>
          <w:tcPr>
            <w:tcW w:w="6280" w:type="dxa"/>
            <w:vAlign w:val="center"/>
          </w:tcPr>
          <w:p>
            <w:pPr>
              <w:pStyle w:val="108"/>
              <w:spacing w:line="24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50" w:type="dxa"/>
            <w:vMerge w:val="continue"/>
            <w:vAlign w:val="center"/>
          </w:tcPr>
          <w:p>
            <w:pPr>
              <w:pStyle w:val="108"/>
              <w:spacing w:line="240" w:lineRule="auto"/>
              <w:jc w:val="center"/>
              <w:rPr>
                <w:rFonts w:asciiTheme="minorEastAsia" w:hAnsiTheme="minorEastAsia" w:eastAsiaTheme="minorEastAsia" w:cstheme="majorEastAsia"/>
                <w:sz w:val="24"/>
                <w:szCs w:val="24"/>
              </w:rPr>
            </w:pPr>
          </w:p>
        </w:tc>
        <w:tc>
          <w:tcPr>
            <w:tcW w:w="1755" w:type="dxa"/>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事故危害程度</w:t>
            </w:r>
          </w:p>
        </w:tc>
        <w:tc>
          <w:tcPr>
            <w:tcW w:w="6280" w:type="dxa"/>
            <w:vAlign w:val="center"/>
          </w:tcPr>
          <w:p>
            <w:pPr>
              <w:pStyle w:val="108"/>
              <w:spacing w:line="24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人员伤亡、财产损失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vAlign w:val="center"/>
          </w:tcPr>
          <w:p>
            <w:pPr>
              <w:pStyle w:val="108"/>
              <w:spacing w:line="240" w:lineRule="auto"/>
              <w:jc w:val="center"/>
              <w:rPr>
                <w:rFonts w:asciiTheme="minorEastAsia" w:hAnsiTheme="minorEastAsia" w:eastAsiaTheme="minorEastAsia" w:cstheme="majorEastAsia"/>
                <w:sz w:val="24"/>
                <w:szCs w:val="24"/>
              </w:rPr>
            </w:pPr>
          </w:p>
        </w:tc>
        <w:tc>
          <w:tcPr>
            <w:tcW w:w="1755" w:type="dxa"/>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事故征兆</w:t>
            </w:r>
          </w:p>
        </w:tc>
        <w:tc>
          <w:tcPr>
            <w:tcW w:w="6280" w:type="dxa"/>
            <w:vAlign w:val="center"/>
          </w:tcPr>
          <w:p>
            <w:pPr>
              <w:pStyle w:val="108"/>
              <w:spacing w:line="240" w:lineRule="auto"/>
              <w:jc w:val="left"/>
              <w:rPr>
                <w:rFonts w:cs="宋体" w:asciiTheme="minorEastAsia" w:hAnsiTheme="minorEastAsia" w:eastAsiaTheme="minorEastAsia"/>
                <w:sz w:val="24"/>
                <w:szCs w:val="24"/>
              </w:rPr>
            </w:pPr>
            <w:r>
              <w:rPr>
                <w:rFonts w:hint="eastAsia" w:asciiTheme="minorEastAsia" w:hAnsiTheme="minorEastAsia" w:eastAsiaTheme="minorEastAsia" w:cstheme="majorEastAsia"/>
                <w:sz w:val="24"/>
                <w:szCs w:val="24"/>
              </w:rPr>
              <w:t>1）空气中会有燃气加臭剂气味；2）漏点较大能听到漏气声3）不用气时，计量表产生流量。</w:t>
            </w:r>
            <w:r>
              <w:rPr>
                <w:rFonts w:asciiTheme="minorEastAsia" w:hAnsiTheme="minorEastAsia" w:eastAsiaTheme="minorEastAsia" w:cstheme="majorEastAsia"/>
                <w:sz w:val="24"/>
                <w:szCs w:val="24"/>
              </w:rPr>
              <w:t>4</w:t>
            </w:r>
            <w:r>
              <w:rPr>
                <w:rFonts w:hint="eastAsia" w:asciiTheme="minorEastAsia" w:hAnsiTheme="minorEastAsia" w:eastAsiaTheme="minorEastAsia" w:cstheme="majorEastAsia"/>
                <w:sz w:val="24"/>
                <w:szCs w:val="24"/>
              </w:rPr>
              <w:t>）泄漏点用发泡剂检测，会产生气泡。5）当空气中的浓度达到25%时，可导致人体缺氧而造成神经系统损害，严重时可表现呼吸麻痹、昏迷、甚至死亡。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应急组织与职责</w:t>
            </w:r>
          </w:p>
        </w:tc>
        <w:tc>
          <w:tcPr>
            <w:tcW w:w="1755" w:type="dxa"/>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组织与人员</w:t>
            </w:r>
          </w:p>
        </w:tc>
        <w:tc>
          <w:tcPr>
            <w:tcW w:w="6280" w:type="dxa"/>
            <w:vAlign w:val="center"/>
          </w:tcPr>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现场指挥：现场组长</w:t>
            </w:r>
          </w:p>
          <w:p>
            <w:pPr>
              <w:rPr>
                <w:rFonts w:cs="宋体" w:asciiTheme="minorEastAsia" w:hAnsiTheme="minorEastAsia" w:eastAsiaTheme="minorEastAsia"/>
                <w:sz w:val="24"/>
                <w:szCs w:val="24"/>
              </w:rPr>
            </w:pPr>
            <w:r>
              <w:rPr>
                <w:rFonts w:hint="eastAsia" w:asciiTheme="majorEastAsia" w:hAnsiTheme="majorEastAsia" w:eastAsiaTheme="majorEastAsia" w:cstheme="majorEastAsia"/>
                <w:sz w:val="24"/>
                <w:szCs w:val="24"/>
              </w:rPr>
              <w:t>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t>员：现场班组全体组员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inorEastAsia" w:hAnsiTheme="minorEastAsia" w:eastAsiaTheme="minorEastAsia" w:cstheme="majorEastAsia"/>
                <w:sz w:val="24"/>
                <w:szCs w:val="24"/>
              </w:rPr>
            </w:pPr>
          </w:p>
        </w:tc>
        <w:tc>
          <w:tcPr>
            <w:tcW w:w="1755" w:type="dxa"/>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具体职责</w:t>
            </w:r>
          </w:p>
        </w:tc>
        <w:tc>
          <w:tcPr>
            <w:tcW w:w="6280" w:type="dxa"/>
            <w:vAlign w:val="center"/>
          </w:tcPr>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一、现场发现者职责：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1）当作业现场人员发现有泄漏事故发生后，应立即向当班组长报告；</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2）在救援人员到达现场前，做好现场警戒，设置警示标志，防止无关人员进入或误操作；</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二、现场组长职责：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1）接到事故报告后，马上按规定上报本企业值班电话0</w:t>
            </w:r>
            <w:r>
              <w:rPr>
                <w:rFonts w:asciiTheme="majorEastAsia" w:hAnsiTheme="majorEastAsia" w:eastAsiaTheme="majorEastAsia" w:cstheme="majorEastAsia"/>
                <w:sz w:val="24"/>
                <w:szCs w:val="24"/>
              </w:rPr>
              <w:t>817-5522874；</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2）启动现场处置方案立即组织现场救援工作，采取措施抢救人员，控制事态发展；</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三、岗位其他人员职责：</w:t>
            </w:r>
          </w:p>
          <w:p>
            <w:pPr>
              <w:pStyle w:val="108"/>
              <w:spacing w:line="240" w:lineRule="auto"/>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1）全力以赴进行现场救护、抢险工作。</w:t>
            </w:r>
          </w:p>
          <w:p>
            <w:pPr>
              <w:spacing w:after="0"/>
              <w:rPr>
                <w:rFonts w:cs="宋体" w:asciiTheme="minorEastAsia" w:hAnsiTheme="minorEastAsia" w:eastAsiaTheme="minorEastAsia"/>
                <w:kern w:val="2"/>
                <w:sz w:val="24"/>
                <w:szCs w:val="24"/>
              </w:rPr>
            </w:pPr>
            <w:r>
              <w:rPr>
                <w:rFonts w:hint="eastAsia" w:asciiTheme="majorEastAsia" w:hAnsiTheme="majorEastAsia" w:eastAsiaTheme="majorEastAsia" w:cstheme="majorEastAsia"/>
                <w:sz w:val="24"/>
                <w:szCs w:val="24"/>
              </w:rPr>
              <w:t>2）做好信息联络、救援人员引导等工作。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Align w:val="center"/>
          </w:tcPr>
          <w:p>
            <w:pPr>
              <w:pStyle w:val="108"/>
              <w:spacing w:line="240" w:lineRule="auto"/>
              <w:jc w:val="center"/>
              <w:rPr>
                <w:rFonts w:asciiTheme="minorEastAsia" w:hAnsiTheme="minorEastAsia" w:eastAsiaTheme="minorEastAsia" w:cstheme="majorEastAsia"/>
                <w:sz w:val="24"/>
                <w:szCs w:val="24"/>
              </w:rPr>
            </w:pPr>
          </w:p>
        </w:tc>
        <w:tc>
          <w:tcPr>
            <w:tcW w:w="1755" w:type="dxa"/>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事故应急</w:t>
            </w:r>
          </w:p>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处置程序</w:t>
            </w:r>
          </w:p>
        </w:tc>
        <w:tc>
          <w:tcPr>
            <w:tcW w:w="6280" w:type="dxa"/>
            <w:vAlign w:val="center"/>
          </w:tcPr>
          <w:p>
            <w:pPr>
              <w:pStyle w:val="108"/>
              <w:spacing w:line="240" w:lineRule="auto"/>
              <w:jc w:val="left"/>
              <w:rPr>
                <w:rFonts w:cs="宋体" w:asciiTheme="minorEastAsia" w:hAnsiTheme="minorEastAsia" w:eastAsiaTheme="minorEastAsia"/>
                <w:sz w:val="24"/>
                <w:szCs w:val="24"/>
              </w:rPr>
            </w:pPr>
            <w:r>
              <w:rPr>
                <w:rFonts w:hint="eastAsia" w:asciiTheme="majorEastAsia" w:hAnsiTheme="majorEastAsia" w:eastAsiaTheme="majorEastAsia" w:cstheme="majorEastAsia"/>
                <w:sz w:val="24"/>
                <w:szCs w:val="24"/>
              </w:rPr>
              <w:t>发生事故应急时，发现人员必须第一时间向现场组长报告的同时，开展气源切断及初期灭火工作。现场组长接到报告后立即指挥现场应急救援工作，并报告应急指挥部。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restart"/>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应急处置</w:t>
            </w:r>
          </w:p>
        </w:tc>
        <w:tc>
          <w:tcPr>
            <w:tcW w:w="1755" w:type="dxa"/>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现场应急</w:t>
            </w:r>
          </w:p>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处置措施</w:t>
            </w:r>
          </w:p>
        </w:tc>
        <w:tc>
          <w:tcPr>
            <w:tcW w:w="6280" w:type="dxa"/>
            <w:vAlign w:val="center"/>
          </w:tcPr>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1</w:t>
            </w:r>
            <w:r>
              <w:rPr>
                <w:rFonts w:asciiTheme="minorEastAsia" w:hAnsiTheme="minorEastAsia" w:eastAsiaTheme="minorEastAsia" w:cstheme="majorEastAsia"/>
                <w:sz w:val="24"/>
                <w:szCs w:val="24"/>
              </w:rPr>
              <w:t>.</w:t>
            </w:r>
            <w:r>
              <w:rPr>
                <w:rFonts w:hint="eastAsia" w:asciiTheme="minorEastAsia" w:hAnsiTheme="minorEastAsia" w:eastAsiaTheme="minorEastAsia" w:cstheme="majorEastAsia"/>
                <w:sz w:val="24"/>
                <w:szCs w:val="24"/>
              </w:rPr>
              <w:t>维抢修队队长处置措施</w:t>
            </w:r>
          </w:p>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（1）接到事件信息后，立即组织人员赶赴现场；</w:t>
            </w:r>
          </w:p>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 xml:space="preserve">（2）指挥现场应急救援处置工作； </w:t>
            </w:r>
          </w:p>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（3）组织制定现场抢修方案并下达指令；</w:t>
            </w:r>
          </w:p>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（4）根据情况，通知公安、消防等单位；</w:t>
            </w:r>
          </w:p>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（5）跟踪、落实、记录现场抢修进展情况并向本企业应急办公室汇报；</w:t>
            </w:r>
          </w:p>
          <w:p>
            <w:pPr>
              <w:pStyle w:val="108"/>
              <w:spacing w:line="240" w:lineRule="auto"/>
              <w:jc w:val="left"/>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（6）抢修完毕，组织现场验收并下达应急结束指令。</w:t>
            </w:r>
          </w:p>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维抢修工应急处置措施</w:t>
            </w:r>
          </w:p>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（1）发现调压计量装置燃气泄漏时，及时向维抢修队队长和调度室报告； </w:t>
            </w:r>
          </w:p>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（2）关闭阀门，打开门窗通风，对现场周围持续进行可燃气体检测；</w:t>
            </w:r>
          </w:p>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（3）消除火种，疏散人员，对现场实施警戒；</w:t>
            </w:r>
          </w:p>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（4）按照抢修方案组织设施修复并进行现场监护；</w:t>
            </w:r>
          </w:p>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（5）向维抢修队队长汇报情况并执行相应指令；</w:t>
            </w:r>
          </w:p>
          <w:p>
            <w:pPr>
              <w:pStyle w:val="108"/>
              <w:spacing w:line="24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（6）做好受影响用户停复气告知工作。</w:t>
            </w:r>
          </w:p>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3调度室处置措施</w:t>
            </w:r>
          </w:p>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（1）接到报警后，记录信息，对事件进行判级，按程序通报相关机构、部门和人员；</w:t>
            </w:r>
          </w:p>
          <w:p>
            <w:pPr>
              <w:pStyle w:val="108"/>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（2）接到第三方报警时，应告知其注意事项并请求协助做好现场有关工作；</w:t>
            </w:r>
          </w:p>
          <w:p>
            <w:pPr>
              <w:pStyle w:val="108"/>
              <w:spacing w:line="24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（3）负责跟踪、监控事件发展势态，及时通报事件处置情况。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Merge w:val="continue"/>
            <w:vAlign w:val="center"/>
          </w:tcPr>
          <w:p>
            <w:pPr>
              <w:pStyle w:val="108"/>
              <w:spacing w:line="240" w:lineRule="auto"/>
              <w:jc w:val="center"/>
              <w:rPr>
                <w:rFonts w:asciiTheme="minorEastAsia" w:hAnsiTheme="minorEastAsia" w:eastAsiaTheme="minorEastAsia" w:cstheme="majorEastAsia"/>
                <w:sz w:val="24"/>
                <w:szCs w:val="24"/>
              </w:rPr>
            </w:pPr>
          </w:p>
        </w:tc>
        <w:tc>
          <w:tcPr>
            <w:tcW w:w="1755" w:type="dxa"/>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通讯联系</w:t>
            </w:r>
          </w:p>
        </w:tc>
        <w:tc>
          <w:tcPr>
            <w:tcW w:w="6280" w:type="dxa"/>
            <w:vAlign w:val="center"/>
          </w:tcPr>
          <w:p>
            <w:pPr>
              <w:pStyle w:val="108"/>
              <w:spacing w:line="240" w:lineRule="auto"/>
              <w:rPr>
                <w:rFonts w:ascii="宋体" w:hAnsi="宋体" w:cs="宋体" w:eastAsiaTheme="majorEastAsia"/>
                <w:sz w:val="24"/>
                <w:szCs w:val="24"/>
              </w:rPr>
            </w:pPr>
            <w:r>
              <w:rPr>
                <w:rFonts w:hint="eastAsia" w:asciiTheme="minorEastAsia" w:hAnsiTheme="minorEastAsia" w:eastAsiaTheme="minorEastAsia" w:cstheme="majorEastAsia"/>
                <w:sz w:val="24"/>
                <w:szCs w:val="24"/>
                <w:lang w:val="zh-CN"/>
              </w:rPr>
              <w:t>本企业24小时应急值守电话：</w:t>
            </w:r>
            <w:r>
              <w:rPr>
                <w:rFonts w:hint="eastAsia" w:ascii="宋体" w:hAnsi="宋体" w:cs="宋体" w:eastAsiaTheme="majorEastAsia"/>
                <w:sz w:val="24"/>
                <w:szCs w:val="24"/>
              </w:rPr>
              <w:t>0817—5522874</w:t>
            </w:r>
          </w:p>
          <w:p>
            <w:pPr>
              <w:pStyle w:val="108"/>
              <w:spacing w:line="240" w:lineRule="auto"/>
              <w:rPr>
                <w:rFonts w:cs="宋体" w:asciiTheme="minorEastAsia" w:hAnsiTheme="minorEastAsia" w:eastAsiaTheme="minorEastAsia"/>
                <w:sz w:val="24"/>
                <w:szCs w:val="24"/>
              </w:rPr>
            </w:pPr>
            <w:r>
              <w:rPr>
                <w:rFonts w:hint="eastAsia" w:asciiTheme="minorEastAsia" w:hAnsiTheme="minorEastAsia" w:eastAsiaTheme="minorEastAsia" w:cstheme="majorEastAsia"/>
                <w:sz w:val="24"/>
                <w:szCs w:val="24"/>
              </w:rPr>
              <w:t>火警：119   急救中心：120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50" w:type="dxa"/>
            <w:vAlign w:val="center"/>
          </w:tcPr>
          <w:p>
            <w:pPr>
              <w:pStyle w:val="108"/>
              <w:spacing w:line="24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注意事项</w:t>
            </w:r>
          </w:p>
        </w:tc>
        <w:tc>
          <w:tcPr>
            <w:tcW w:w="8035" w:type="dxa"/>
            <w:gridSpan w:val="2"/>
            <w:vAlign w:val="center"/>
          </w:tcPr>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1现场抢险人员必须佩带有效防护用品，禁止携带手机、火种进入抢险区域；</w:t>
            </w:r>
          </w:p>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2应根据现场检测燃气浓度进行探边警戒，划定警戒线，尤其要关注下风向区域或场所；</w:t>
            </w:r>
          </w:p>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3对燃气泄漏区域要重点关注邻近沟井燃气浓度检测，防止天然气窜入邻近沟井；</w:t>
            </w:r>
          </w:p>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4泄漏抢险区域应设置风向标、静电释放柱，抢修作业人员进出作业区域应触摸释放静电；</w:t>
            </w:r>
          </w:p>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5恢复生产后，应安排专人对抢险区域的抢险物进行巡查和检测；</w:t>
            </w:r>
          </w:p>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6扩大检测排查时，对未开挖区域可能积聚燃气浓度，应采取打检测探孔的方式，重点连续监测，根据变化情况判断分析；</w:t>
            </w:r>
          </w:p>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7及时跟踪观察伤者情况变化，做好救助工作；</w:t>
            </w:r>
          </w:p>
          <w:p>
            <w:pPr>
              <w:pStyle w:val="108"/>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8应及时安置受伤人员家属，做好安抚与解释工作；</w:t>
            </w:r>
          </w:p>
          <w:p>
            <w:pPr>
              <w:spacing w:after="0"/>
              <w:rPr>
                <w:rFonts w:cs="宋体" w:asciiTheme="minorEastAsia" w:hAnsiTheme="minorEastAsia" w:eastAsiaTheme="minorEastAsia"/>
                <w:kern w:val="2"/>
                <w:sz w:val="24"/>
                <w:szCs w:val="24"/>
              </w:rPr>
            </w:pPr>
            <w:r>
              <w:rPr>
                <w:rFonts w:asciiTheme="minorEastAsia" w:hAnsiTheme="minorEastAsia" w:eastAsiaTheme="minorEastAsia" w:cstheme="majorEastAsia"/>
                <w:sz w:val="24"/>
                <w:szCs w:val="24"/>
              </w:rPr>
              <w:t>9</w:t>
            </w:r>
            <w:r>
              <w:rPr>
                <w:rFonts w:hint="eastAsia" w:asciiTheme="minorEastAsia" w:hAnsiTheme="minorEastAsia" w:eastAsiaTheme="minorEastAsia" w:cstheme="majorEastAsia"/>
                <w:sz w:val="24"/>
                <w:szCs w:val="24"/>
              </w:rPr>
              <w:t>若处置过程中发生次生灾害事件，应同时启动关联预案。</w:t>
            </w:r>
          </w:p>
        </w:tc>
      </w:tr>
    </w:tbl>
    <w:p>
      <w:pPr>
        <w:ind w:firstLine="720"/>
        <w:rPr>
          <w:sz w:val="36"/>
          <w:szCs w:val="32"/>
        </w:rPr>
      </w:pPr>
    </w:p>
    <w:p>
      <w:pPr>
        <w:pStyle w:val="19"/>
        <w:ind w:firstLine="420"/>
        <w:rPr>
          <w:rFonts w:ascii="宋体"/>
          <w:kern w:val="44"/>
        </w:rPr>
      </w:pPr>
      <w:r>
        <w:br w:type="page"/>
      </w:r>
    </w:p>
    <w:p>
      <w:pPr>
        <w:pStyle w:val="5"/>
        <w:ind w:left="0"/>
        <w:jc w:val="center"/>
        <w:rPr>
          <w:sz w:val="36"/>
          <w:szCs w:val="32"/>
        </w:rPr>
      </w:pPr>
      <w:bookmarkStart w:id="220" w:name="_Toc101798325"/>
      <w:r>
        <w:rPr>
          <w:rFonts w:hint="eastAsia"/>
          <w:sz w:val="36"/>
          <w:szCs w:val="32"/>
        </w:rPr>
        <w:t>第四篇 附 件</w:t>
      </w:r>
      <w:bookmarkEnd w:id="220"/>
    </w:p>
    <w:p>
      <w:pPr>
        <w:pStyle w:val="6"/>
      </w:pPr>
      <w:bookmarkStart w:id="221" w:name="_Toc101798326"/>
      <w:r>
        <w:rPr>
          <w:rFonts w:hint="eastAsia"/>
        </w:rPr>
        <w:t>附件1</w:t>
      </w:r>
      <w:r>
        <w:t xml:space="preserve"> </w:t>
      </w:r>
      <w:r>
        <w:rPr>
          <w:rFonts w:hint="eastAsia"/>
        </w:rPr>
        <w:t>生产经营单位概况</w:t>
      </w:r>
      <w:bookmarkEnd w:id="221"/>
    </w:p>
    <w:p>
      <w:pPr>
        <w:spacing w:after="0" w:line="560" w:lineRule="exact"/>
        <w:ind w:firstLine="560" w:firstLineChars="200"/>
        <w:rPr>
          <w:rFonts w:ascii="宋体" w:hAnsi="宋体" w:cs="宋体"/>
          <w:szCs w:val="28"/>
        </w:rPr>
      </w:pPr>
      <w:bookmarkStart w:id="222" w:name="_Toc2501"/>
      <w:bookmarkStart w:id="223" w:name="_Toc504051501"/>
      <w:r>
        <w:rPr>
          <w:rFonts w:hint="eastAsia" w:ascii="宋体" w:hAnsi="宋体" w:cs="宋体"/>
          <w:szCs w:val="28"/>
        </w:rPr>
        <w:t>1</w:t>
      </w:r>
      <w:r>
        <w:rPr>
          <w:rFonts w:ascii="宋体" w:hAnsi="宋体" w:cs="宋体"/>
          <w:szCs w:val="28"/>
        </w:rPr>
        <w:t>.</w:t>
      </w:r>
      <w:r>
        <w:rPr>
          <w:rFonts w:hint="eastAsia" w:ascii="宋体" w:hAnsi="宋体" w:cs="宋体"/>
          <w:szCs w:val="28"/>
        </w:rPr>
        <w:t>单位简介</w:t>
      </w:r>
    </w:p>
    <w:p>
      <w:pPr>
        <w:spacing w:after="0" w:line="560" w:lineRule="exact"/>
        <w:ind w:firstLine="560" w:firstLineChars="200"/>
        <w:rPr>
          <w:rFonts w:ascii="宋体" w:hAnsi="宋体" w:cs="宋体"/>
          <w:szCs w:val="28"/>
        </w:rPr>
      </w:pPr>
      <w:r>
        <w:rPr>
          <w:rFonts w:hint="eastAsia" w:ascii="宋体" w:hAnsi="宋体" w:cs="宋体"/>
          <w:szCs w:val="28"/>
        </w:rPr>
        <w:t>南部县天然气有限公司成立近32年来，一直致力城镇燃气的供应，截止2022年1月，高压管道90千米，中压管道260千米，11座门站和调压站（柜），30台调压柜和4800台调压箱，用户19万多户。主要供气范围为南部县县城（滨江街道办事处、蜀北街道办事处、南隆镇）</w:t>
      </w:r>
      <w:r>
        <w:rPr>
          <w:rFonts w:ascii="宋体" w:hAnsi="宋体" w:cs="宋体"/>
          <w:szCs w:val="28"/>
        </w:rPr>
        <w:t xml:space="preserve"> </w:t>
      </w:r>
      <w:r>
        <w:rPr>
          <w:rFonts w:hint="eastAsia" w:ascii="宋体" w:hAnsi="宋体" w:cs="宋体"/>
          <w:szCs w:val="28"/>
        </w:rPr>
        <w:t>、河东镇、火烽乡、定水镇、盘龙镇、老鸦镇部分（望水村1</w:t>
      </w:r>
      <w:r>
        <w:rPr>
          <w:rFonts w:ascii="宋体" w:hAnsi="宋体" w:cs="宋体"/>
          <w:szCs w:val="28"/>
        </w:rPr>
        <w:t>.5.6.7.8.9.10</w:t>
      </w:r>
      <w:r>
        <w:rPr>
          <w:rFonts w:hint="eastAsia" w:ascii="宋体" w:hAnsi="宋体" w:cs="宋体"/>
          <w:szCs w:val="28"/>
        </w:rPr>
        <w:t>社，碾娅村）、建兴镇、东坝镇、平桥乡、伏虎镇、升钟镇、大王镇。</w:t>
      </w:r>
    </w:p>
    <w:p>
      <w:pPr>
        <w:pStyle w:val="18"/>
        <w:spacing w:after="0" w:line="560" w:lineRule="exact"/>
        <w:ind w:left="0" w:right="0" w:firstLine="560" w:firstLineChars="200"/>
        <w:rPr>
          <w:rFonts w:ascii="宋体" w:hAnsi="宋体" w:cs="宋体"/>
          <w:szCs w:val="28"/>
        </w:rPr>
      </w:pPr>
      <w:r>
        <w:rPr>
          <w:rFonts w:ascii="宋体" w:hAnsi="宋体" w:cs="宋体"/>
          <w:szCs w:val="28"/>
        </w:rPr>
        <w:t>2</w:t>
      </w:r>
      <w:r>
        <w:rPr>
          <w:rFonts w:hint="eastAsia" w:ascii="宋体" w:hAnsi="宋体" w:cs="宋体"/>
          <w:szCs w:val="28"/>
        </w:rPr>
        <w:t>.重点区域</w:t>
      </w:r>
      <w:r>
        <w:rPr>
          <w:rFonts w:hint="eastAsia" w:cs="宋体" w:asciiTheme="minorEastAsia" w:hAnsiTheme="minorEastAsia" w:eastAsiaTheme="minorEastAsia"/>
          <w:szCs w:val="28"/>
        </w:rPr>
        <w:t>：</w:t>
      </w:r>
      <w:r>
        <w:rPr>
          <w:rFonts w:hint="eastAsia" w:asciiTheme="minorEastAsia" w:hAnsiTheme="minorEastAsia" w:eastAsiaTheme="minorEastAsia"/>
          <w:szCs w:val="28"/>
        </w:rPr>
        <w:t>长沟村储配站、蜀北配气站、次高压A级管道、中压A级管道、各乡镇调压站、低压管道、</w:t>
      </w:r>
      <w:r>
        <w:rPr>
          <w:rFonts w:hint="eastAsia" w:cs="宋体" w:asciiTheme="minorEastAsia" w:hAnsiTheme="minorEastAsia" w:eastAsiaTheme="minorEastAsia"/>
          <w:szCs w:val="28"/>
        </w:rPr>
        <w:t>加臭装置、调压装置、阀井、穿越管线</w:t>
      </w:r>
      <w:r>
        <w:rPr>
          <w:rFonts w:hint="eastAsia" w:ascii="宋体" w:hAnsi="宋体" w:cs="宋体"/>
          <w:szCs w:val="28"/>
        </w:rPr>
        <w:t>。</w:t>
      </w:r>
    </w:p>
    <w:p>
      <w:pPr>
        <w:pStyle w:val="18"/>
        <w:spacing w:after="0" w:line="560" w:lineRule="exact"/>
        <w:ind w:left="0" w:right="0" w:firstLine="560" w:firstLineChars="200"/>
        <w:rPr>
          <w:rFonts w:ascii="宋体" w:hAnsi="宋体" w:cs="宋体"/>
          <w:szCs w:val="28"/>
        </w:rPr>
      </w:pPr>
      <w:r>
        <w:rPr>
          <w:rFonts w:hint="eastAsia" w:ascii="宋体" w:hAnsi="宋体" w:cs="宋体"/>
          <w:szCs w:val="28"/>
        </w:rPr>
        <w:t>3</w:t>
      </w:r>
      <w:r>
        <w:rPr>
          <w:rFonts w:ascii="宋体" w:hAnsi="宋体" w:cs="宋体"/>
          <w:szCs w:val="28"/>
        </w:rPr>
        <w:t>.</w:t>
      </w:r>
      <w:r>
        <w:rPr>
          <w:rFonts w:hint="eastAsia"/>
        </w:rPr>
        <w:t xml:space="preserve"> </w:t>
      </w:r>
      <w:r>
        <w:rPr>
          <w:rFonts w:hint="eastAsia" w:ascii="宋体" w:hAnsi="宋体" w:cs="宋体"/>
          <w:szCs w:val="28"/>
        </w:rPr>
        <w:t>重点岗位：安装、运行、维护、抢修人员。</w:t>
      </w:r>
    </w:p>
    <w:p>
      <w:pPr>
        <w:pStyle w:val="18"/>
        <w:spacing w:after="0" w:line="560" w:lineRule="exact"/>
        <w:ind w:left="0" w:right="0" w:firstLine="560" w:firstLineChars="200"/>
        <w:rPr>
          <w:rFonts w:ascii="宋体" w:hAnsi="宋体" w:cs="宋体"/>
          <w:szCs w:val="28"/>
        </w:rPr>
      </w:pPr>
      <w:r>
        <w:rPr>
          <w:rFonts w:hint="eastAsia" w:ascii="宋体" w:hAnsi="宋体" w:cs="宋体"/>
          <w:szCs w:val="28"/>
        </w:rPr>
        <w:t>4</w:t>
      </w:r>
      <w:r>
        <w:rPr>
          <w:rFonts w:ascii="宋体" w:hAnsi="宋体" w:cs="宋体"/>
          <w:szCs w:val="28"/>
        </w:rPr>
        <w:t>.</w:t>
      </w:r>
      <w:r>
        <w:rPr>
          <w:rFonts w:hint="eastAsia" w:ascii="宋体" w:hAnsi="宋体" w:cs="宋体"/>
          <w:szCs w:val="28"/>
        </w:rPr>
        <w:t>重要设施：管储装置、加臭装置、调压柜。</w:t>
      </w:r>
    </w:p>
    <w:p>
      <w:pPr>
        <w:pStyle w:val="18"/>
        <w:spacing w:after="0" w:line="560" w:lineRule="exact"/>
        <w:ind w:left="0" w:right="0" w:firstLine="560" w:firstLineChars="200"/>
        <w:rPr>
          <w:rFonts w:ascii="宋体" w:hAnsi="宋体" w:cs="宋体"/>
          <w:szCs w:val="28"/>
        </w:rPr>
      </w:pPr>
      <w:r>
        <w:rPr>
          <w:rFonts w:hint="eastAsia" w:ascii="宋体" w:hAnsi="宋体" w:cs="宋体"/>
          <w:szCs w:val="28"/>
        </w:rPr>
        <w:t>5</w:t>
      </w:r>
      <w:r>
        <w:rPr>
          <w:rFonts w:ascii="宋体" w:hAnsi="宋体" w:cs="宋体"/>
          <w:szCs w:val="28"/>
        </w:rPr>
        <w:t>.</w:t>
      </w:r>
      <w:r>
        <w:rPr>
          <w:rFonts w:hint="eastAsia" w:ascii="宋体" w:hAnsi="宋体" w:cs="宋体"/>
          <w:szCs w:val="28"/>
        </w:rPr>
        <w:t>重要防护目标：储气管道、加臭装置、调压设施、穿越管线。</w:t>
      </w:r>
    </w:p>
    <w:p>
      <w:pPr>
        <w:pStyle w:val="18"/>
        <w:spacing w:after="0" w:line="560" w:lineRule="exact"/>
        <w:ind w:left="0" w:right="0" w:firstLine="560" w:firstLineChars="200"/>
        <w:rPr>
          <w:rFonts w:ascii="宋体" w:hAnsi="宋体" w:cs="宋体"/>
          <w:szCs w:val="28"/>
        </w:rPr>
      </w:pPr>
      <w:r>
        <w:rPr>
          <w:rFonts w:ascii="宋体" w:hAnsi="宋体" w:cs="宋体"/>
          <w:szCs w:val="28"/>
        </w:rPr>
        <w:t>6</w:t>
      </w:r>
      <w:r>
        <w:rPr>
          <w:rFonts w:hint="eastAsia" w:ascii="宋体" w:hAnsi="宋体" w:cs="宋体"/>
          <w:szCs w:val="28"/>
        </w:rPr>
        <w:t>.周边重大危险源:本企业周边均为城镇街道、乡村区域，不涉及重大危险源。</w:t>
      </w:r>
    </w:p>
    <w:p>
      <w:pPr>
        <w:tabs>
          <w:tab w:val="center" w:pos="4153"/>
        </w:tabs>
        <w:spacing w:after="0" w:line="560" w:lineRule="exact"/>
        <w:ind w:firstLine="560" w:firstLineChars="200"/>
        <w:rPr>
          <w:rFonts w:ascii="宋体" w:hAnsi="宋体" w:cs="宋体"/>
          <w:szCs w:val="28"/>
        </w:rPr>
      </w:pPr>
      <w:r>
        <w:rPr>
          <w:rFonts w:ascii="宋体" w:hAnsi="宋体" w:cs="宋体"/>
          <w:szCs w:val="28"/>
        </w:rPr>
        <w:t>7.</w:t>
      </w:r>
      <w:r>
        <w:rPr>
          <w:rFonts w:hint="eastAsia" w:ascii="宋体" w:hAnsi="宋体" w:cs="宋体"/>
          <w:szCs w:val="28"/>
        </w:rPr>
        <w:t>地理位置：</w:t>
      </w:r>
    </w:p>
    <w:p>
      <w:pPr>
        <w:pStyle w:val="18"/>
        <w:spacing w:after="0" w:line="560" w:lineRule="exact"/>
        <w:ind w:left="0" w:right="0" w:firstLine="560" w:firstLineChars="200"/>
        <w:rPr>
          <w:rFonts w:ascii="宋体" w:hAnsi="宋体" w:cs="宋体"/>
          <w:szCs w:val="28"/>
        </w:rPr>
      </w:pPr>
      <w:r>
        <w:rPr>
          <w:rFonts w:hint="eastAsia" w:ascii="宋体" w:hAnsi="宋体" w:cs="宋体"/>
          <w:szCs w:val="28"/>
          <w:lang w:val="en-US" w:eastAsia="zh-CN"/>
        </w:rPr>
        <w:t>四川省</w:t>
      </w:r>
      <w:r>
        <w:rPr>
          <w:rFonts w:hint="eastAsia" w:ascii="宋体" w:hAnsi="宋体" w:cs="宋体"/>
          <w:szCs w:val="28"/>
        </w:rPr>
        <w:t>南部县天然气有限责任公司位于南充市南部县。南部县</w:t>
      </w:r>
      <w:r>
        <w:rPr>
          <w:rFonts w:ascii="宋体" w:hAnsi="宋体" w:cs="宋体"/>
          <w:szCs w:val="28"/>
        </w:rPr>
        <w:t>隶属四川省</w:t>
      </w:r>
      <w:r>
        <w:fldChar w:fldCharType="begin"/>
      </w:r>
      <w:r>
        <w:instrText xml:space="preserve"> HYPERLINK "https://baike.baidu.com/item/%E5%8D%97%E5%85%85%E5%B8%82/2206003" \t "_blank" </w:instrText>
      </w:r>
      <w:r>
        <w:fldChar w:fldCharType="separate"/>
      </w:r>
      <w:r>
        <w:rPr>
          <w:rFonts w:ascii="宋体" w:hAnsi="宋体" w:cs="宋体"/>
          <w:szCs w:val="28"/>
        </w:rPr>
        <w:t>南充市</w:t>
      </w:r>
      <w:r>
        <w:rPr>
          <w:rFonts w:ascii="宋体" w:hAnsi="宋体" w:cs="宋体"/>
          <w:szCs w:val="28"/>
        </w:rPr>
        <w:fldChar w:fldCharType="end"/>
      </w:r>
      <w:r>
        <w:rPr>
          <w:rFonts w:ascii="宋体" w:hAnsi="宋体" w:cs="宋体"/>
          <w:szCs w:val="28"/>
        </w:rPr>
        <w:t>，位于四川盆地北部、南充市西北方、嘉陵江中上游，县境东接</w:t>
      </w:r>
      <w:r>
        <w:fldChar w:fldCharType="begin"/>
      </w:r>
      <w:r>
        <w:instrText xml:space="preserve"> HYPERLINK "https://baike.baidu.com/item/%E4%BB%AA%E9%99%87/413575" \t "_blank" </w:instrText>
      </w:r>
      <w:r>
        <w:fldChar w:fldCharType="separate"/>
      </w:r>
      <w:r>
        <w:rPr>
          <w:rFonts w:ascii="宋体" w:hAnsi="宋体" w:cs="宋体"/>
          <w:szCs w:val="28"/>
        </w:rPr>
        <w:t>仪陇</w:t>
      </w:r>
      <w:r>
        <w:rPr>
          <w:rFonts w:ascii="宋体" w:hAnsi="宋体" w:cs="宋体"/>
          <w:szCs w:val="28"/>
        </w:rPr>
        <w:fldChar w:fldCharType="end"/>
      </w:r>
      <w:r>
        <w:rPr>
          <w:rFonts w:ascii="宋体" w:hAnsi="宋体" w:cs="宋体"/>
          <w:szCs w:val="28"/>
        </w:rPr>
        <w:t>、</w:t>
      </w:r>
      <w:r>
        <w:fldChar w:fldCharType="begin"/>
      </w:r>
      <w:r>
        <w:instrText xml:space="preserve"> HYPERLINK "https://baike.baidu.com/item/%E8%93%AC%E5%AE%89/414171" \t "_blank" </w:instrText>
      </w:r>
      <w:r>
        <w:fldChar w:fldCharType="separate"/>
      </w:r>
      <w:r>
        <w:rPr>
          <w:rFonts w:ascii="宋体" w:hAnsi="宋体" w:cs="宋体"/>
          <w:szCs w:val="28"/>
        </w:rPr>
        <w:t>蓬安</w:t>
      </w:r>
      <w:r>
        <w:rPr>
          <w:rFonts w:ascii="宋体" w:hAnsi="宋体" w:cs="宋体"/>
          <w:szCs w:val="28"/>
        </w:rPr>
        <w:fldChar w:fldCharType="end"/>
      </w:r>
      <w:r>
        <w:rPr>
          <w:rFonts w:ascii="宋体" w:hAnsi="宋体" w:cs="宋体"/>
          <w:szCs w:val="28"/>
        </w:rPr>
        <w:t>，西邻盐亭、梓潼，南靠</w:t>
      </w:r>
      <w:r>
        <w:fldChar w:fldCharType="begin"/>
      </w:r>
      <w:r>
        <w:instrText xml:space="preserve"> HYPERLINK "https://baike.baidu.com/item/%E8%A5%BF%E5%85%85/410956" \t "_blank" </w:instrText>
      </w:r>
      <w:r>
        <w:fldChar w:fldCharType="separate"/>
      </w:r>
      <w:r>
        <w:rPr>
          <w:rFonts w:ascii="宋体" w:hAnsi="宋体" w:cs="宋体"/>
          <w:szCs w:val="28"/>
        </w:rPr>
        <w:t>西充</w:t>
      </w:r>
      <w:r>
        <w:rPr>
          <w:rFonts w:ascii="宋体" w:hAnsi="宋体" w:cs="宋体"/>
          <w:szCs w:val="28"/>
        </w:rPr>
        <w:fldChar w:fldCharType="end"/>
      </w:r>
      <w:r>
        <w:rPr>
          <w:rFonts w:ascii="宋体" w:hAnsi="宋体" w:cs="宋体"/>
          <w:szCs w:val="28"/>
        </w:rPr>
        <w:t>、</w:t>
      </w:r>
      <w:r>
        <w:fldChar w:fldCharType="begin"/>
      </w:r>
      <w:r>
        <w:instrText xml:space="preserve"> HYPERLINK "https://baike.baidu.com/item/%E9%A1%BA%E5%BA%86/412050" \t "_blank" </w:instrText>
      </w:r>
      <w:r>
        <w:fldChar w:fldCharType="separate"/>
      </w:r>
      <w:r>
        <w:rPr>
          <w:rFonts w:ascii="宋体" w:hAnsi="宋体" w:cs="宋体"/>
          <w:szCs w:val="28"/>
        </w:rPr>
        <w:t>顺庆</w:t>
      </w:r>
      <w:r>
        <w:rPr>
          <w:rFonts w:ascii="宋体" w:hAnsi="宋体" w:cs="宋体"/>
          <w:szCs w:val="28"/>
        </w:rPr>
        <w:fldChar w:fldCharType="end"/>
      </w:r>
      <w:r>
        <w:rPr>
          <w:rFonts w:ascii="宋体" w:hAnsi="宋体" w:cs="宋体"/>
          <w:szCs w:val="28"/>
        </w:rPr>
        <w:t>，北连</w:t>
      </w:r>
      <w:r>
        <w:fldChar w:fldCharType="begin"/>
      </w:r>
      <w:r>
        <w:instrText xml:space="preserve"> HYPERLINK "https://baike.baidu.com/item/%E9%98%86%E4%B8%AD/169154" \t "_blank" </w:instrText>
      </w:r>
      <w:r>
        <w:fldChar w:fldCharType="separate"/>
      </w:r>
      <w:r>
        <w:rPr>
          <w:rFonts w:ascii="宋体" w:hAnsi="宋体" w:cs="宋体"/>
          <w:szCs w:val="28"/>
        </w:rPr>
        <w:t>阆中</w:t>
      </w:r>
      <w:r>
        <w:rPr>
          <w:rFonts w:ascii="宋体" w:hAnsi="宋体" w:cs="宋体"/>
          <w:szCs w:val="28"/>
        </w:rPr>
        <w:fldChar w:fldCharType="end"/>
      </w:r>
      <w:r>
        <w:rPr>
          <w:rFonts w:ascii="宋体" w:hAnsi="宋体" w:cs="宋体"/>
          <w:szCs w:val="28"/>
        </w:rPr>
        <w:t>、剑阁。南部县地处秦巴山区，是川陕革命老区核心区域，县政府驻蜀北街道办事处迎宾大道8号。全县面积2229平方公里，耕地7.8万公顷，林地9.5万公顷。辖4个街道、38个乡镇，根据第七次人口普查数据，截至2020年11月1日零时，南部县常住人口817235人。</w:t>
      </w:r>
    </w:p>
    <w:p>
      <w:pPr>
        <w:pStyle w:val="18"/>
        <w:spacing w:after="0" w:line="560" w:lineRule="exact"/>
        <w:ind w:left="0" w:right="0" w:firstLine="560" w:firstLineChars="200"/>
        <w:rPr>
          <w:rFonts w:ascii="宋体" w:hAnsi="宋体" w:cs="宋体"/>
          <w:szCs w:val="28"/>
        </w:rPr>
      </w:pPr>
      <w:r>
        <w:rPr>
          <w:rFonts w:hint="eastAsia" w:ascii="宋体" w:hAnsi="宋体" w:cs="宋体"/>
          <w:szCs w:val="28"/>
        </w:rPr>
        <w:t>本企业地理位置图见下图。</w:t>
      </w:r>
    </w:p>
    <w:p>
      <w:pPr>
        <w:pStyle w:val="72"/>
        <w:jc w:val="center"/>
        <w:rPr>
          <w:color w:val="auto"/>
        </w:rPr>
      </w:pPr>
      <w:r>
        <w:rPr>
          <w:color w:val="auto"/>
        </w:rPr>
        <w:t xml:space="preserve"> </w:t>
      </w:r>
      <w:r>
        <w:rPr>
          <w:color w:val="auto"/>
        </w:rPr>
        <w:drawing>
          <wp:inline distT="0" distB="0" distL="0" distR="0">
            <wp:extent cx="5898515" cy="3398520"/>
            <wp:effectExtent l="0" t="0" r="6985" b="0"/>
            <wp:docPr id="973"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图片 9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24521" cy="3413504"/>
                    </a:xfrm>
                    <a:prstGeom prst="rect">
                      <a:avLst/>
                    </a:prstGeom>
                    <a:noFill/>
                    <a:ln>
                      <a:noFill/>
                    </a:ln>
                  </pic:spPr>
                </pic:pic>
              </a:graphicData>
            </a:graphic>
          </wp:inline>
        </w:drawing>
      </w:r>
    </w:p>
    <w:p>
      <w:pPr>
        <w:pStyle w:val="72"/>
        <w:rPr>
          <w:color w:val="auto"/>
        </w:rPr>
      </w:pPr>
    </w:p>
    <w:p>
      <w:pPr>
        <w:spacing w:line="360" w:lineRule="auto"/>
        <w:ind w:firstLine="560"/>
        <w:jc w:val="center"/>
      </w:pPr>
      <w:r>
        <w:rPr>
          <w:rFonts w:hint="eastAsia" w:ascii="宋体" w:hAnsi="宋体" w:cs="宋体"/>
          <w:szCs w:val="28"/>
        </w:rPr>
        <w:t>附图1</w:t>
      </w:r>
      <w:r>
        <w:rPr>
          <w:rFonts w:ascii="宋体" w:hAnsi="宋体" w:cs="宋体"/>
          <w:szCs w:val="28"/>
        </w:rPr>
        <w:t>-1</w:t>
      </w:r>
      <w:r>
        <w:rPr>
          <w:rFonts w:hint="eastAsia" w:ascii="宋体" w:hAnsi="宋体"/>
          <w:szCs w:val="28"/>
        </w:rPr>
        <w:t>本企业地理位置</w:t>
      </w:r>
    </w:p>
    <w:p>
      <w:pPr>
        <w:pStyle w:val="18"/>
        <w:spacing w:after="0" w:line="560" w:lineRule="exact"/>
        <w:ind w:left="0" w:right="0" w:firstLine="560" w:firstLineChars="200"/>
        <w:rPr>
          <w:rFonts w:ascii="宋体" w:hAnsi="宋体" w:cs="宋体"/>
          <w:szCs w:val="28"/>
        </w:rPr>
      </w:pPr>
      <w:r>
        <w:rPr>
          <w:rFonts w:ascii="宋体" w:hAnsi="宋体" w:cs="宋体"/>
          <w:szCs w:val="28"/>
        </w:rPr>
        <w:t>8</w:t>
      </w:r>
      <w:r>
        <w:rPr>
          <w:rFonts w:hint="eastAsia" w:ascii="宋体" w:hAnsi="宋体" w:cs="宋体"/>
          <w:szCs w:val="28"/>
        </w:rPr>
        <w:t>.周边环境：</w:t>
      </w:r>
    </w:p>
    <w:p>
      <w:pPr>
        <w:pStyle w:val="18"/>
        <w:spacing w:after="0" w:line="560" w:lineRule="exact"/>
        <w:ind w:left="0" w:right="0" w:firstLine="560" w:firstLineChars="200"/>
        <w:rPr>
          <w:rFonts w:ascii="宋体" w:hAnsi="宋体" w:cs="宋体"/>
          <w:szCs w:val="28"/>
        </w:rPr>
      </w:pPr>
      <w:r>
        <w:rPr>
          <w:rFonts w:hint="eastAsia" w:ascii="宋体" w:hAnsi="宋体" w:cs="宋体"/>
          <w:szCs w:val="28"/>
        </w:rPr>
        <w:t>本企业办公地点位于南部县</w:t>
      </w:r>
      <w:r>
        <w:rPr>
          <w:rFonts w:ascii="宋体" w:hAnsi="宋体" w:cs="宋体"/>
          <w:szCs w:val="28"/>
        </w:rPr>
        <w:t>兴盛街</w:t>
      </w:r>
      <w:r>
        <w:rPr>
          <w:rFonts w:hint="eastAsia" w:ascii="宋体" w:hAnsi="宋体" w:cs="宋体"/>
          <w:szCs w:val="28"/>
        </w:rPr>
        <w:t>70</w:t>
      </w:r>
      <w:r>
        <w:rPr>
          <w:rFonts w:ascii="宋体" w:hAnsi="宋体" w:cs="宋体"/>
          <w:szCs w:val="28"/>
        </w:rPr>
        <w:t>号</w:t>
      </w:r>
      <w:r>
        <w:rPr>
          <w:rFonts w:hint="eastAsia" w:ascii="宋体" w:hAnsi="宋体" w:cs="宋体"/>
          <w:szCs w:val="28"/>
        </w:rPr>
        <w:t>，周边均为商铺和居住区，周边关系情况如下图所示。</w:t>
      </w:r>
    </w:p>
    <w:p>
      <w:pPr>
        <w:pStyle w:val="19"/>
        <w:spacing w:line="360" w:lineRule="auto"/>
        <w:ind w:firstLine="420"/>
        <w:jc w:val="center"/>
      </w:pPr>
      <w:r>
        <w:drawing>
          <wp:inline distT="0" distB="0" distL="0" distR="0">
            <wp:extent cx="6148070" cy="3017520"/>
            <wp:effectExtent l="0" t="0" r="5080" b="0"/>
            <wp:docPr id="974" name="图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图片 9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96058" cy="3040811"/>
                    </a:xfrm>
                    <a:prstGeom prst="rect">
                      <a:avLst/>
                    </a:prstGeom>
                    <a:noFill/>
                    <a:ln>
                      <a:noFill/>
                    </a:ln>
                  </pic:spPr>
                </pic:pic>
              </a:graphicData>
            </a:graphic>
          </wp:inline>
        </w:drawing>
      </w:r>
    </w:p>
    <w:p>
      <w:pPr>
        <w:pStyle w:val="19"/>
        <w:spacing w:line="360" w:lineRule="auto"/>
        <w:ind w:firstLine="560"/>
        <w:jc w:val="center"/>
        <w:rPr>
          <w:i w:val="0"/>
        </w:rPr>
      </w:pPr>
      <w:r>
        <w:rPr>
          <w:rFonts w:hint="eastAsia" w:ascii="宋体" w:hAnsi="宋体"/>
          <w:i w:val="0"/>
          <w:sz w:val="28"/>
          <w:szCs w:val="28"/>
        </w:rPr>
        <w:t>附图1</w:t>
      </w:r>
      <w:r>
        <w:rPr>
          <w:rFonts w:ascii="宋体" w:hAnsi="宋体"/>
          <w:i w:val="0"/>
          <w:sz w:val="28"/>
          <w:szCs w:val="28"/>
        </w:rPr>
        <w:t>-2</w:t>
      </w:r>
      <w:r>
        <w:rPr>
          <w:rFonts w:hint="eastAsia" w:ascii="宋体" w:hAnsi="宋体"/>
          <w:i w:val="0"/>
          <w:sz w:val="28"/>
          <w:szCs w:val="28"/>
        </w:rPr>
        <w:t>本企业周边关系情况图</w:t>
      </w:r>
    </w:p>
    <w:p>
      <w:pPr>
        <w:pStyle w:val="18"/>
        <w:spacing w:line="360" w:lineRule="auto"/>
        <w:ind w:left="0" w:right="238" w:firstLine="560"/>
        <w:rPr>
          <w:rFonts w:ascii="宋体" w:hAnsi="宋体" w:cs="宋体"/>
          <w:szCs w:val="28"/>
        </w:rPr>
      </w:pPr>
      <w:r>
        <w:rPr>
          <w:rFonts w:ascii="宋体" w:hAnsi="宋体" w:cs="宋体"/>
          <w:szCs w:val="28"/>
        </w:rPr>
        <w:t>9</w:t>
      </w:r>
      <w:r>
        <w:rPr>
          <w:rFonts w:hint="eastAsia" w:ascii="宋体" w:hAnsi="宋体" w:cs="宋体"/>
          <w:szCs w:val="28"/>
        </w:rPr>
        <w:t>.生产规模</w:t>
      </w:r>
    </w:p>
    <w:p>
      <w:pPr>
        <w:ind w:firstLine="560"/>
        <w:jc w:val="center"/>
      </w:pPr>
      <w:r>
        <w:rPr>
          <w:rFonts w:hint="eastAsia" w:ascii="宋体" w:hAnsi="宋体" w:cs="宋体"/>
          <w:szCs w:val="28"/>
        </w:rPr>
        <w:t>附表</w:t>
      </w:r>
      <w:r>
        <w:rPr>
          <w:rFonts w:ascii="宋体" w:hAnsi="宋体" w:cs="宋体"/>
          <w:szCs w:val="28"/>
        </w:rPr>
        <w:t>1-1</w:t>
      </w:r>
      <w:r>
        <w:rPr>
          <w:rFonts w:hint="eastAsia" w:ascii="宋体" w:hAnsi="宋体" w:cs="宋体"/>
          <w:szCs w:val="28"/>
        </w:rPr>
        <w:t>燃气供应规模情况表</w:t>
      </w:r>
    </w:p>
    <w:tbl>
      <w:tblPr>
        <w:tblStyle w:val="42"/>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571"/>
        <w:gridCol w:w="1540"/>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exact"/>
          <w:jc w:val="center"/>
        </w:trPr>
        <w:tc>
          <w:tcPr>
            <w:tcW w:w="992" w:type="dxa"/>
            <w:vAlign w:val="center"/>
          </w:tcPr>
          <w:p>
            <w:pPr>
              <w:pStyle w:val="25"/>
              <w:adjustRightInd/>
              <w:snapToGrid/>
              <w:spacing w:line="240" w:lineRule="auto"/>
              <w:ind w:firstLine="0" w:firstLineChars="0"/>
              <w:jc w:val="center"/>
              <w:rPr>
                <w:bCs/>
                <w:sz w:val="24"/>
                <w:szCs w:val="21"/>
              </w:rPr>
            </w:pPr>
            <w:r>
              <w:rPr>
                <w:bCs/>
                <w:sz w:val="24"/>
                <w:szCs w:val="21"/>
              </w:rPr>
              <w:t>序号</w:t>
            </w:r>
          </w:p>
        </w:tc>
        <w:tc>
          <w:tcPr>
            <w:tcW w:w="2571" w:type="dxa"/>
            <w:vAlign w:val="center"/>
          </w:tcPr>
          <w:p>
            <w:pPr>
              <w:pStyle w:val="25"/>
              <w:adjustRightInd/>
              <w:snapToGrid/>
              <w:spacing w:line="240" w:lineRule="auto"/>
              <w:ind w:firstLine="0" w:firstLineChars="0"/>
              <w:jc w:val="center"/>
              <w:rPr>
                <w:bCs/>
                <w:sz w:val="24"/>
                <w:szCs w:val="21"/>
              </w:rPr>
            </w:pPr>
            <w:r>
              <w:rPr>
                <w:bCs/>
                <w:sz w:val="24"/>
                <w:szCs w:val="21"/>
              </w:rPr>
              <w:t>名称</w:t>
            </w:r>
          </w:p>
        </w:tc>
        <w:tc>
          <w:tcPr>
            <w:tcW w:w="1540" w:type="dxa"/>
            <w:vAlign w:val="center"/>
          </w:tcPr>
          <w:p>
            <w:pPr>
              <w:pStyle w:val="25"/>
              <w:adjustRightInd/>
              <w:snapToGrid/>
              <w:spacing w:line="240" w:lineRule="auto"/>
              <w:ind w:firstLine="0" w:firstLineChars="0"/>
              <w:jc w:val="center"/>
              <w:rPr>
                <w:bCs/>
                <w:sz w:val="24"/>
                <w:szCs w:val="21"/>
              </w:rPr>
            </w:pPr>
            <w:r>
              <w:rPr>
                <w:bCs/>
                <w:sz w:val="24"/>
                <w:szCs w:val="21"/>
              </w:rPr>
              <w:t>规格</w:t>
            </w:r>
          </w:p>
        </w:tc>
        <w:tc>
          <w:tcPr>
            <w:tcW w:w="1559" w:type="dxa"/>
            <w:vAlign w:val="center"/>
          </w:tcPr>
          <w:p>
            <w:pPr>
              <w:pStyle w:val="25"/>
              <w:adjustRightInd/>
              <w:snapToGrid/>
              <w:spacing w:line="240" w:lineRule="auto"/>
              <w:ind w:firstLine="0" w:firstLineChars="0"/>
              <w:jc w:val="center"/>
              <w:rPr>
                <w:bCs/>
                <w:sz w:val="24"/>
                <w:szCs w:val="21"/>
              </w:rPr>
            </w:pPr>
            <w:r>
              <w:rPr>
                <w:bCs/>
                <w:sz w:val="24"/>
                <w:szCs w:val="21"/>
              </w:rPr>
              <w:t>年</w:t>
            </w:r>
            <w:r>
              <w:rPr>
                <w:rFonts w:hint="eastAsia"/>
                <w:bCs/>
                <w:sz w:val="24"/>
                <w:szCs w:val="21"/>
              </w:rPr>
              <w:t>供应量</w:t>
            </w:r>
          </w:p>
        </w:tc>
        <w:tc>
          <w:tcPr>
            <w:tcW w:w="1559" w:type="dxa"/>
            <w:vAlign w:val="center"/>
          </w:tcPr>
          <w:p>
            <w:pPr>
              <w:pStyle w:val="25"/>
              <w:adjustRightInd/>
              <w:snapToGrid/>
              <w:spacing w:line="240" w:lineRule="auto"/>
              <w:ind w:firstLine="0" w:firstLineChars="0"/>
              <w:jc w:val="center"/>
              <w:rPr>
                <w:bCs/>
                <w:sz w:val="24"/>
                <w:szCs w:val="21"/>
              </w:rPr>
            </w:pPr>
            <w:r>
              <w:rPr>
                <w:bCs/>
                <w:sz w:val="24"/>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exact"/>
          <w:jc w:val="center"/>
        </w:trPr>
        <w:tc>
          <w:tcPr>
            <w:tcW w:w="992" w:type="dxa"/>
            <w:vAlign w:val="center"/>
          </w:tcPr>
          <w:p>
            <w:pPr>
              <w:pStyle w:val="25"/>
              <w:adjustRightInd/>
              <w:snapToGrid/>
              <w:spacing w:line="240" w:lineRule="auto"/>
              <w:ind w:firstLine="0" w:firstLineChars="0"/>
              <w:jc w:val="center"/>
              <w:rPr>
                <w:bCs/>
                <w:sz w:val="24"/>
                <w:szCs w:val="21"/>
              </w:rPr>
            </w:pPr>
            <w:r>
              <w:rPr>
                <w:bCs/>
                <w:sz w:val="24"/>
                <w:szCs w:val="21"/>
              </w:rPr>
              <w:t>1</w:t>
            </w:r>
          </w:p>
        </w:tc>
        <w:tc>
          <w:tcPr>
            <w:tcW w:w="2571" w:type="dxa"/>
            <w:vAlign w:val="center"/>
          </w:tcPr>
          <w:p>
            <w:pPr>
              <w:pStyle w:val="25"/>
              <w:adjustRightInd/>
              <w:snapToGrid/>
              <w:spacing w:line="240" w:lineRule="auto"/>
              <w:ind w:firstLine="0" w:firstLineChars="0"/>
              <w:jc w:val="center"/>
              <w:rPr>
                <w:bCs/>
                <w:sz w:val="24"/>
                <w:szCs w:val="21"/>
              </w:rPr>
            </w:pPr>
            <w:r>
              <w:rPr>
                <w:rFonts w:hint="eastAsia"/>
                <w:bCs/>
                <w:sz w:val="24"/>
                <w:szCs w:val="21"/>
              </w:rPr>
              <w:t>城镇燃气供应</w:t>
            </w:r>
          </w:p>
        </w:tc>
        <w:tc>
          <w:tcPr>
            <w:tcW w:w="1540" w:type="dxa"/>
            <w:vAlign w:val="center"/>
          </w:tcPr>
          <w:p>
            <w:pPr>
              <w:pStyle w:val="25"/>
              <w:adjustRightInd/>
              <w:snapToGrid/>
              <w:spacing w:line="240" w:lineRule="auto"/>
              <w:ind w:firstLine="0" w:firstLineChars="0"/>
              <w:jc w:val="center"/>
              <w:rPr>
                <w:bCs/>
                <w:sz w:val="24"/>
                <w:szCs w:val="21"/>
              </w:rPr>
            </w:pPr>
            <w:r>
              <w:rPr>
                <w:rFonts w:hint="eastAsia"/>
                <w:bCs/>
                <w:sz w:val="24"/>
                <w:szCs w:val="21"/>
              </w:rPr>
              <w:t>/</w:t>
            </w:r>
          </w:p>
        </w:tc>
        <w:tc>
          <w:tcPr>
            <w:tcW w:w="1559" w:type="dxa"/>
            <w:vAlign w:val="center"/>
          </w:tcPr>
          <w:p>
            <w:pPr>
              <w:pStyle w:val="25"/>
              <w:adjustRightInd/>
              <w:snapToGrid/>
              <w:spacing w:line="240" w:lineRule="auto"/>
              <w:ind w:firstLine="0" w:firstLineChars="0"/>
              <w:jc w:val="center"/>
              <w:rPr>
                <w:bCs/>
                <w:sz w:val="24"/>
                <w:szCs w:val="21"/>
              </w:rPr>
            </w:pPr>
            <w:r>
              <w:rPr>
                <w:bCs/>
                <w:sz w:val="24"/>
                <w:szCs w:val="21"/>
              </w:rPr>
              <w:t>5900</w:t>
            </w:r>
            <w:r>
              <w:rPr>
                <w:rFonts w:hint="eastAsia"/>
                <w:bCs/>
                <w:sz w:val="24"/>
                <w:szCs w:val="21"/>
              </w:rPr>
              <w:t>万</w:t>
            </w:r>
          </w:p>
        </w:tc>
        <w:tc>
          <w:tcPr>
            <w:tcW w:w="1559" w:type="dxa"/>
            <w:vAlign w:val="center"/>
          </w:tcPr>
          <w:p>
            <w:pPr>
              <w:pStyle w:val="25"/>
              <w:adjustRightInd/>
              <w:snapToGrid/>
              <w:spacing w:line="240" w:lineRule="auto"/>
              <w:ind w:left="916" w:leftChars="327" w:firstLine="0" w:firstLineChars="0"/>
              <w:rPr>
                <w:bCs/>
                <w:sz w:val="24"/>
                <w:szCs w:val="21"/>
                <w:vertAlign w:val="superscript"/>
              </w:rPr>
            </w:pPr>
            <w:r>
              <w:rPr>
                <w:rFonts w:hint="eastAsia"/>
                <w:bCs/>
                <w:sz w:val="24"/>
                <w:szCs w:val="21"/>
              </w:rPr>
              <w:t>m</w:t>
            </w:r>
            <w:r>
              <w:rPr>
                <w:bCs/>
                <w:sz w:val="24"/>
                <w:szCs w:val="21"/>
                <w:vertAlign w:val="superscript"/>
              </w:rPr>
              <w:t>3</w:t>
            </w:r>
          </w:p>
        </w:tc>
      </w:tr>
    </w:tbl>
    <w:p>
      <w:pPr>
        <w:pStyle w:val="19"/>
        <w:ind w:firstLine="420"/>
      </w:pPr>
    </w:p>
    <w:p>
      <w:pPr>
        <w:pStyle w:val="19"/>
        <w:ind w:firstLine="420"/>
      </w:pPr>
    </w:p>
    <w:p>
      <w:pPr>
        <w:pStyle w:val="19"/>
        <w:ind w:firstLine="420"/>
      </w:pPr>
    </w:p>
    <w:p>
      <w:pPr>
        <w:pStyle w:val="19"/>
        <w:ind w:firstLine="420"/>
      </w:pPr>
    </w:p>
    <w:p>
      <w:pPr>
        <w:pStyle w:val="6"/>
      </w:pPr>
      <w:bookmarkStart w:id="224" w:name="_Toc101798327"/>
      <w:r>
        <w:rPr>
          <w:rFonts w:hint="eastAsia"/>
        </w:rPr>
        <w:t>附件2</w:t>
      </w:r>
      <w:r>
        <w:t xml:space="preserve"> </w:t>
      </w:r>
      <w:r>
        <w:rPr>
          <w:rFonts w:hint="eastAsia"/>
        </w:rPr>
        <w:t>风险评估的结果</w:t>
      </w:r>
      <w:bookmarkEnd w:id="224"/>
    </w:p>
    <w:p>
      <w:pPr>
        <w:spacing w:line="360" w:lineRule="auto"/>
        <w:ind w:firstLine="562" w:firstLineChars="200"/>
      </w:pPr>
      <w:r>
        <w:rPr>
          <w:rFonts w:hint="eastAsia" w:ascii="宋体" w:hAnsi="宋体" w:cs="宋体"/>
          <w:b/>
          <w:bCs/>
          <w:szCs w:val="28"/>
        </w:rPr>
        <w:t>通过上述风险评估，本企业在燃气经营中主要存在火灾爆炸、触电、机械伤害、物体打击、车辆伤害、灼烫、高处坠落、中毒窒息、坍塌等事故风险。经辨识本企业不构成危险化学品重大危险源。通过采取风险防控措施后，本企业事故风险可控。</w:t>
      </w:r>
    </w:p>
    <w:p>
      <w:pPr>
        <w:pStyle w:val="6"/>
        <w:ind w:firstLine="643"/>
      </w:pPr>
      <w:bookmarkStart w:id="225" w:name="_Toc101798328"/>
      <w:r>
        <w:rPr>
          <w:rFonts w:hint="eastAsia"/>
        </w:rPr>
        <w:t>附件3</w:t>
      </w:r>
      <w:r>
        <w:t xml:space="preserve"> </w:t>
      </w:r>
      <w:r>
        <w:rPr>
          <w:rFonts w:hint="eastAsia"/>
        </w:rPr>
        <w:t>预案体系与衔接</w:t>
      </w:r>
      <w:bookmarkEnd w:id="225"/>
    </w:p>
    <w:p>
      <w:pPr>
        <w:spacing w:after="0" w:line="360" w:lineRule="auto"/>
        <w:ind w:firstLine="560" w:firstLineChars="200"/>
      </w:pPr>
      <w:r>
        <w:rPr>
          <w:rFonts w:hint="eastAsia" w:cs="宋体" w:asciiTheme="majorEastAsia" w:hAnsiTheme="majorEastAsia" w:eastAsiaTheme="majorEastAsia"/>
          <w:szCs w:val="28"/>
        </w:rPr>
        <w:t>本企业生产安全事故应急预案包括综合应急预案、专项应急预案合和现场处置方案，预案体系与南部县住建局城镇燃气突发事故应急预案相衔接，本企业应急预案体系见下图。</w:t>
      </w:r>
    </w:p>
    <w:p>
      <w:pPr>
        <w:pStyle w:val="19"/>
        <w:ind w:firstLine="420"/>
      </w:pPr>
      <w:r>
        <w:rPr>
          <w:rFonts w:ascii="宋体" w:hAnsi="宋体"/>
        </w:rPr>
        <mc:AlternateContent>
          <mc:Choice Requires="wps">
            <w:drawing>
              <wp:anchor distT="0" distB="0" distL="114300" distR="114300" simplePos="0" relativeHeight="251708416" behindDoc="0" locked="0" layoutInCell="1" allowOverlap="1">
                <wp:simplePos x="0" y="0"/>
                <wp:positionH relativeFrom="column">
                  <wp:posOffset>1171575</wp:posOffset>
                </wp:positionH>
                <wp:positionV relativeFrom="paragraph">
                  <wp:posOffset>19050</wp:posOffset>
                </wp:positionV>
                <wp:extent cx="3289300" cy="384175"/>
                <wp:effectExtent l="0" t="0" r="25400" b="15875"/>
                <wp:wrapNone/>
                <wp:docPr id="9" name="矩形 240"/>
                <wp:cNvGraphicFramePr/>
                <a:graphic xmlns:a="http://schemas.openxmlformats.org/drawingml/2006/main">
                  <a:graphicData uri="http://schemas.microsoft.com/office/word/2010/wordprocessingShape">
                    <wps:wsp>
                      <wps:cNvSpPr>
                        <a:spLocks noChangeArrowheads="1"/>
                      </wps:cNvSpPr>
                      <wps:spPr bwMode="auto">
                        <a:xfrm>
                          <a:off x="0" y="0"/>
                          <a:ext cx="3289300" cy="384175"/>
                        </a:xfrm>
                        <a:prstGeom prst="rect">
                          <a:avLst/>
                        </a:prstGeom>
                        <a:noFill/>
                        <a:ln w="15875">
                          <a:solidFill>
                            <a:srgbClr val="000000"/>
                          </a:solidFill>
                          <a:miter lim="800000"/>
                        </a:ln>
                      </wps:spPr>
                      <wps:txbx>
                        <w:txbxContent>
                          <w:p>
                            <w:pPr>
                              <w:jc w:val="center"/>
                              <w:rPr>
                                <w:rFonts w:ascii="宋体" w:hAnsi="宋体"/>
                                <w:sz w:val="24"/>
                              </w:rPr>
                            </w:pPr>
                            <w:r>
                              <w:rPr>
                                <w:rFonts w:hint="eastAsia" w:ascii="宋体" w:hAnsi="宋体"/>
                                <w:sz w:val="24"/>
                              </w:rPr>
                              <w:t>南部</w:t>
                            </w:r>
                            <w:r>
                              <w:rPr>
                                <w:rFonts w:ascii="宋体" w:hAnsi="宋体"/>
                                <w:sz w:val="24"/>
                              </w:rPr>
                              <w:t>县</w:t>
                            </w:r>
                            <w:r>
                              <w:rPr>
                                <w:rFonts w:hint="eastAsia" w:ascii="宋体" w:hAnsi="宋体"/>
                                <w:sz w:val="24"/>
                              </w:rPr>
                              <w:t>城镇燃气突发事故应急预案</w:t>
                            </w:r>
                          </w:p>
                          <w:p>
                            <w:pPr>
                              <w:pStyle w:val="30"/>
                              <w:pBdr>
                                <w:bottom w:val="thickThinSmallGap" w:color="622423" w:sz="24" w:space="1"/>
                              </w:pBdr>
                              <w:ind w:firstLine="480"/>
                              <w:jc w:val="center"/>
                              <w:rPr>
                                <w:rFonts w:ascii="宋体" w:hAnsi="宋体" w:cs="Cambria"/>
                                <w:sz w:val="24"/>
                                <w:szCs w:val="24"/>
                              </w:rPr>
                            </w:pPr>
                            <w:r>
                              <w:rPr>
                                <w:rFonts w:hint="eastAsia" w:ascii="宋体" w:hAnsi="宋体" w:cs="宋体"/>
                                <w:sz w:val="24"/>
                                <w:szCs w:val="24"/>
                              </w:rPr>
                              <w:t>自贡市公交集团有限责任公司综合预案</w:t>
                            </w:r>
                          </w:p>
                          <w:p>
                            <w:pPr>
                              <w:ind w:firstLine="560"/>
                              <w:jc w:val="center"/>
                              <w:rPr>
                                <w:rFonts w:ascii="宋体" w:hAnsi="宋体"/>
                              </w:rPr>
                            </w:pPr>
                            <w:r>
                              <w:rPr>
                                <w:rFonts w:hint="eastAsia" w:ascii="宋体" w:hAnsi="宋体" w:cs="宋体"/>
                              </w:rPr>
                              <w:t>综合应急预案</w:t>
                            </w:r>
                          </w:p>
                          <w:p>
                            <w:pPr>
                              <w:ind w:firstLine="560"/>
                              <w:jc w:val="center"/>
                            </w:pPr>
                          </w:p>
                        </w:txbxContent>
                      </wps:txbx>
                      <wps:bodyPr rot="0" vert="horz" wrap="square" lIns="91440" tIns="45720" rIns="91440" bIns="45720" anchor="t" anchorCtr="0" upright="1">
                        <a:noAutofit/>
                      </wps:bodyPr>
                    </wps:wsp>
                  </a:graphicData>
                </a:graphic>
              </wp:anchor>
            </w:drawing>
          </mc:Choice>
          <mc:Fallback>
            <w:pict>
              <v:rect id="矩形 240" o:spid="_x0000_s1026" o:spt="1" style="position:absolute;left:0pt;margin-left:92.25pt;margin-top:1.5pt;height:30.25pt;width:259pt;z-index:251708416;mso-width-relative:page;mso-height-relative:page;" filled="f" stroked="t" coordsize="21600,21600" o:gfxdata="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Inu/TWAAAACAEAAA8AAAAAAAAAAQAgAAAAIgAAAGRycy9kb3ducmV2Lnht&#10;bFBLAQIUABQAAAAIAIdO4kAK8/LUNAIAAFQEAAAOAAAAAAAAAAEAIAAAACUBAABkcnMvZTJvRG9j&#10;LnhtbFBLBQYAAAAABgAGAFkBAADLBQAAAAA=&#10;">
                <v:fill on="f" focussize="0,0"/>
                <v:stroke weight="1.25pt" color="#000000" miterlimit="8" joinstyle="miter"/>
                <v:imagedata o:title=""/>
                <o:lock v:ext="edit" aspectratio="f"/>
                <v:textbox>
                  <w:txbxContent>
                    <w:p>
                      <w:pPr>
                        <w:jc w:val="center"/>
                        <w:rPr>
                          <w:rFonts w:ascii="宋体" w:hAnsi="宋体"/>
                          <w:sz w:val="24"/>
                        </w:rPr>
                      </w:pPr>
                      <w:r>
                        <w:rPr>
                          <w:rFonts w:hint="eastAsia" w:ascii="宋体" w:hAnsi="宋体"/>
                          <w:sz w:val="24"/>
                        </w:rPr>
                        <w:t>南部</w:t>
                      </w:r>
                      <w:r>
                        <w:rPr>
                          <w:rFonts w:ascii="宋体" w:hAnsi="宋体"/>
                          <w:sz w:val="24"/>
                        </w:rPr>
                        <w:t>县</w:t>
                      </w:r>
                      <w:r>
                        <w:rPr>
                          <w:rFonts w:hint="eastAsia" w:ascii="宋体" w:hAnsi="宋体"/>
                          <w:sz w:val="24"/>
                        </w:rPr>
                        <w:t>城镇燃气突发事故应急预案</w:t>
                      </w:r>
                    </w:p>
                    <w:p>
                      <w:pPr>
                        <w:pStyle w:val="30"/>
                        <w:pBdr>
                          <w:bottom w:val="thickThinSmallGap" w:color="622423" w:sz="24" w:space="1"/>
                        </w:pBdr>
                        <w:ind w:firstLine="480"/>
                        <w:jc w:val="center"/>
                        <w:rPr>
                          <w:rFonts w:ascii="宋体" w:hAnsi="宋体" w:cs="Cambria"/>
                          <w:sz w:val="24"/>
                          <w:szCs w:val="24"/>
                        </w:rPr>
                      </w:pPr>
                      <w:r>
                        <w:rPr>
                          <w:rFonts w:hint="eastAsia" w:ascii="宋体" w:hAnsi="宋体" w:cs="宋体"/>
                          <w:sz w:val="24"/>
                          <w:szCs w:val="24"/>
                        </w:rPr>
                        <w:t>自贡市公交集团有限责任公司综合预案</w:t>
                      </w:r>
                    </w:p>
                    <w:p>
                      <w:pPr>
                        <w:ind w:firstLine="560"/>
                        <w:jc w:val="center"/>
                        <w:rPr>
                          <w:rFonts w:ascii="宋体" w:hAnsi="宋体"/>
                        </w:rPr>
                      </w:pPr>
                      <w:r>
                        <w:rPr>
                          <w:rFonts w:hint="eastAsia" w:ascii="宋体" w:hAnsi="宋体" w:cs="宋体"/>
                        </w:rPr>
                        <w:t>综合应急预案</w:t>
                      </w:r>
                    </w:p>
                    <w:p>
                      <w:pPr>
                        <w:ind w:firstLine="560"/>
                        <w:jc w:val="center"/>
                      </w:pPr>
                    </w:p>
                  </w:txbxContent>
                </v:textbox>
              </v:rect>
            </w:pict>
          </mc:Fallback>
        </mc:AlternateContent>
      </w:r>
    </w:p>
    <w:p>
      <w:pPr>
        <w:pStyle w:val="19"/>
        <w:ind w:firstLine="420"/>
      </w:pPr>
      <w:r>
        <w:rPr>
          <w:rFonts w:ascii="宋体" w:hAnsi="宋体"/>
        </w:rPr>
        <mc:AlternateContent>
          <mc:Choice Requires="wps">
            <w:drawing>
              <wp:anchor distT="0" distB="0" distL="114300" distR="114300" simplePos="0" relativeHeight="251709440" behindDoc="0" locked="0" layoutInCell="1" allowOverlap="1">
                <wp:simplePos x="0" y="0"/>
                <wp:positionH relativeFrom="column">
                  <wp:posOffset>2753995</wp:posOffset>
                </wp:positionH>
                <wp:positionV relativeFrom="paragraph">
                  <wp:posOffset>112395</wp:posOffset>
                </wp:positionV>
                <wp:extent cx="0" cy="281305"/>
                <wp:effectExtent l="76200" t="0" r="57150" b="61595"/>
                <wp:wrapNone/>
                <wp:docPr id="10" name="AutoShape 20"/>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tailEnd type="triangle" w="med" len="med"/>
                        </a:ln>
                      </wps:spPr>
                      <wps:bodyPr/>
                    </wps:wsp>
                  </a:graphicData>
                </a:graphic>
              </wp:anchor>
            </w:drawing>
          </mc:Choice>
          <mc:Fallback>
            <w:pict>
              <v:shape id="AutoShape 20" o:spid="_x0000_s1026" o:spt="32" type="#_x0000_t32" style="position:absolute;left:0pt;margin-left:216.85pt;margin-top:8.85pt;height:22.15pt;width:0pt;z-index:251709440;mso-width-relative:page;mso-height-relative:page;" filled="f" stroked="t" coordsize="21600,21600" o:gfxdata="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3BitNkAAAAJAQAADwAAAAAAAAABACAAAAAiAAAAZHJzL2Rvd25yZXYueG1sUEsBAhQAFAAA&#10;AAgAh07iQCNB8JzuAQAA4QMAAA4AAAAAAAAAAQAgAAAAKAEAAGRycy9lMm9Eb2MueG1sUEsFBgAA&#10;AAAGAAYAWQEAAIgFAAAAAA==&#10;">
                <v:fill on="f" focussize="0,0"/>
                <v:stroke color="#000000" joinstyle="round" endarrow="block"/>
                <v:imagedata o:title=""/>
                <o:lock v:ext="edit" aspectratio="f"/>
              </v:shape>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1143000</wp:posOffset>
                </wp:positionH>
                <wp:positionV relativeFrom="paragraph">
                  <wp:posOffset>111125</wp:posOffset>
                </wp:positionV>
                <wp:extent cx="3289300" cy="283210"/>
                <wp:effectExtent l="0" t="0" r="25400" b="22225"/>
                <wp:wrapNone/>
                <wp:docPr id="32" name="矩形 240"/>
                <wp:cNvGraphicFramePr/>
                <a:graphic xmlns:a="http://schemas.openxmlformats.org/drawingml/2006/main">
                  <a:graphicData uri="http://schemas.microsoft.com/office/word/2010/wordprocessingShape">
                    <wps:wsp>
                      <wps:cNvSpPr>
                        <a:spLocks noChangeArrowheads="1"/>
                      </wps:cNvSpPr>
                      <wps:spPr bwMode="auto">
                        <a:xfrm>
                          <a:off x="0" y="0"/>
                          <a:ext cx="3289300" cy="283028"/>
                        </a:xfrm>
                        <a:prstGeom prst="rect">
                          <a:avLst/>
                        </a:prstGeom>
                        <a:noFill/>
                        <a:ln w="15875">
                          <a:solidFill>
                            <a:srgbClr val="000000"/>
                          </a:solidFill>
                          <a:miter lim="800000"/>
                        </a:ln>
                      </wps:spPr>
                      <wps:txbx>
                        <w:txbxContent>
                          <w:p>
                            <w:pPr>
                              <w:jc w:val="center"/>
                              <w:rPr>
                                <w:rFonts w:ascii="宋体" w:hAnsi="宋体"/>
                                <w:sz w:val="24"/>
                              </w:rPr>
                            </w:pPr>
                            <w:r>
                              <w:rPr>
                                <w:rFonts w:hint="eastAsia" w:ascii="宋体" w:hAnsi="宋体"/>
                                <w:sz w:val="24"/>
                              </w:rPr>
                              <w:t>南部</w:t>
                            </w:r>
                            <w:r>
                              <w:rPr>
                                <w:rFonts w:ascii="宋体" w:hAnsi="宋体"/>
                                <w:sz w:val="24"/>
                              </w:rPr>
                              <w:t>县</w:t>
                            </w:r>
                            <w:r>
                              <w:rPr>
                                <w:rFonts w:hint="eastAsia" w:ascii="宋体" w:hAnsi="宋体"/>
                                <w:sz w:val="24"/>
                              </w:rPr>
                              <w:t>天然气公司生产安全事故应急救援预案</w:t>
                            </w:r>
                          </w:p>
                          <w:p>
                            <w:pPr>
                              <w:pStyle w:val="30"/>
                              <w:pBdr>
                                <w:bottom w:val="thickThinSmallGap" w:color="622423" w:sz="24" w:space="1"/>
                              </w:pBdr>
                              <w:ind w:firstLine="480"/>
                              <w:jc w:val="center"/>
                              <w:rPr>
                                <w:rFonts w:ascii="宋体" w:hAnsi="宋体" w:cs="Cambria"/>
                                <w:sz w:val="24"/>
                                <w:szCs w:val="24"/>
                              </w:rPr>
                            </w:pPr>
                            <w:r>
                              <w:rPr>
                                <w:rFonts w:hint="eastAsia" w:ascii="宋体" w:hAnsi="宋体" w:cs="宋体"/>
                                <w:sz w:val="24"/>
                                <w:szCs w:val="24"/>
                              </w:rPr>
                              <w:t>自贡市公交集团有限责任公司综合预案</w:t>
                            </w:r>
                          </w:p>
                          <w:p>
                            <w:pPr>
                              <w:ind w:firstLine="560"/>
                              <w:jc w:val="center"/>
                              <w:rPr>
                                <w:rFonts w:ascii="宋体" w:hAnsi="宋体"/>
                              </w:rPr>
                            </w:pPr>
                            <w:r>
                              <w:rPr>
                                <w:rFonts w:hint="eastAsia" w:ascii="宋体" w:hAnsi="宋体" w:cs="宋体"/>
                              </w:rPr>
                              <w:t>综合应急预案</w:t>
                            </w:r>
                          </w:p>
                          <w:p>
                            <w:pPr>
                              <w:ind w:firstLine="560"/>
                              <w:jc w:val="center"/>
                            </w:pPr>
                          </w:p>
                        </w:txbxContent>
                      </wps:txbx>
                      <wps:bodyPr rot="0" vert="horz" wrap="square" lIns="91440" tIns="45720" rIns="91440" bIns="45720" anchor="t" anchorCtr="0" upright="1">
                        <a:noAutofit/>
                      </wps:bodyPr>
                    </wps:wsp>
                  </a:graphicData>
                </a:graphic>
              </wp:anchor>
            </w:drawing>
          </mc:Choice>
          <mc:Fallback>
            <w:pict>
              <v:rect id="矩形 240" o:spid="_x0000_s1026" o:spt="1" style="position:absolute;left:0pt;margin-left:90pt;margin-top:8.75pt;height:22.3pt;width:259pt;z-index:251659264;mso-width-relative:page;mso-height-relative:page;" filled="f" stroked="t" coordsize="21600,21600" o:gfxdata="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cQFB3WAAAACQEAAA8AAAAAAAAAAQAgAAAAIgAAAGRycy9kb3ducmV2&#10;LnhtbFBLAQIUABQAAAAIAIdO4kA/ab62NwIAAFUEAAAOAAAAAAAAAAEAIAAAACUBAABkcnMvZTJv&#10;RG9jLnhtbFBLBQYAAAAABgAGAFkBAADOBQAAAAA=&#10;">
                <v:fill on="f" focussize="0,0"/>
                <v:stroke weight="1.25pt" color="#000000" miterlimit="8" joinstyle="miter"/>
                <v:imagedata o:title=""/>
                <o:lock v:ext="edit" aspectratio="f"/>
                <v:textbox>
                  <w:txbxContent>
                    <w:p>
                      <w:pPr>
                        <w:jc w:val="center"/>
                        <w:rPr>
                          <w:rFonts w:ascii="宋体" w:hAnsi="宋体"/>
                          <w:sz w:val="24"/>
                        </w:rPr>
                      </w:pPr>
                      <w:r>
                        <w:rPr>
                          <w:rFonts w:hint="eastAsia" w:ascii="宋体" w:hAnsi="宋体"/>
                          <w:sz w:val="24"/>
                        </w:rPr>
                        <w:t>南部</w:t>
                      </w:r>
                      <w:r>
                        <w:rPr>
                          <w:rFonts w:ascii="宋体" w:hAnsi="宋体"/>
                          <w:sz w:val="24"/>
                        </w:rPr>
                        <w:t>县</w:t>
                      </w:r>
                      <w:r>
                        <w:rPr>
                          <w:rFonts w:hint="eastAsia" w:ascii="宋体" w:hAnsi="宋体"/>
                          <w:sz w:val="24"/>
                        </w:rPr>
                        <w:t>天然气公司生产安全事故应急救援预案</w:t>
                      </w:r>
                    </w:p>
                    <w:p>
                      <w:pPr>
                        <w:pStyle w:val="30"/>
                        <w:pBdr>
                          <w:bottom w:val="thickThinSmallGap" w:color="622423" w:sz="24" w:space="1"/>
                        </w:pBdr>
                        <w:ind w:firstLine="480"/>
                        <w:jc w:val="center"/>
                        <w:rPr>
                          <w:rFonts w:ascii="宋体" w:hAnsi="宋体" w:cs="Cambria"/>
                          <w:sz w:val="24"/>
                          <w:szCs w:val="24"/>
                        </w:rPr>
                      </w:pPr>
                      <w:r>
                        <w:rPr>
                          <w:rFonts w:hint="eastAsia" w:ascii="宋体" w:hAnsi="宋体" w:cs="宋体"/>
                          <w:sz w:val="24"/>
                          <w:szCs w:val="24"/>
                        </w:rPr>
                        <w:t>自贡市公交集团有限责任公司综合预案</w:t>
                      </w:r>
                    </w:p>
                    <w:p>
                      <w:pPr>
                        <w:ind w:firstLine="560"/>
                        <w:jc w:val="center"/>
                        <w:rPr>
                          <w:rFonts w:ascii="宋体" w:hAnsi="宋体"/>
                        </w:rPr>
                      </w:pPr>
                      <w:r>
                        <w:rPr>
                          <w:rFonts w:hint="eastAsia" w:ascii="宋体" w:hAnsi="宋体" w:cs="宋体"/>
                        </w:rPr>
                        <w:t>综合应急预案</w:t>
                      </w:r>
                    </w:p>
                    <w:p>
                      <w:pPr>
                        <w:ind w:firstLine="560"/>
                        <w:jc w:val="center"/>
                      </w:pPr>
                    </w:p>
                  </w:txbxContent>
                </v:textbox>
              </v:rect>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2720975</wp:posOffset>
                </wp:positionH>
                <wp:positionV relativeFrom="paragraph">
                  <wp:posOffset>43815</wp:posOffset>
                </wp:positionV>
                <wp:extent cx="0" cy="281305"/>
                <wp:effectExtent l="76200" t="0" r="57150" b="61595"/>
                <wp:wrapNone/>
                <wp:docPr id="33" name="AutoShape 20"/>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tailEnd type="triangle" w="med" len="med"/>
                        </a:ln>
                      </wps:spPr>
                      <wps:bodyPr/>
                    </wps:wsp>
                  </a:graphicData>
                </a:graphic>
              </wp:anchor>
            </w:drawing>
          </mc:Choice>
          <mc:Fallback>
            <w:pict>
              <v:shape id="AutoShape 20" o:spid="_x0000_s1026" o:spt="32" type="#_x0000_t32" style="position:absolute;left:0pt;margin-left:214.25pt;margin-top:3.45pt;height:22.15pt;width:0pt;z-index:251660288;mso-width-relative:page;mso-height-relative:page;" filled="f" stroked="t" coordsize="21600,21600" o:gfxdata="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Vk/d51wAAAAgBAAAPAAAAAAAAAAEAIAAAACIAAABkcnMvZG93bnJldi54bWxQSwECFAAUAAAA&#10;CACHTuJA110xOu8BAADhAwAADgAAAAAAAAABACAAAAAmAQAAZHJzL2Uyb0RvYy54bWxQSwUGAAAA&#10;AAYABgBZAQAAhwU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661312" behindDoc="0" locked="0" layoutInCell="1" allowOverlap="1">
                <wp:simplePos x="0" y="0"/>
                <wp:positionH relativeFrom="column">
                  <wp:posOffset>2108200</wp:posOffset>
                </wp:positionH>
                <wp:positionV relativeFrom="paragraph">
                  <wp:posOffset>356235</wp:posOffset>
                </wp:positionV>
                <wp:extent cx="1242060" cy="312420"/>
                <wp:effectExtent l="0" t="0" r="15240" b="11430"/>
                <wp:wrapNone/>
                <wp:docPr id="34" name="矩形 252"/>
                <wp:cNvGraphicFramePr/>
                <a:graphic xmlns:a="http://schemas.openxmlformats.org/drawingml/2006/main">
                  <a:graphicData uri="http://schemas.microsoft.com/office/word/2010/wordprocessingShape">
                    <wps:wsp>
                      <wps:cNvSpPr>
                        <a:spLocks noChangeArrowheads="1"/>
                      </wps:cNvSpPr>
                      <wps:spPr bwMode="auto">
                        <a:xfrm>
                          <a:off x="0" y="0"/>
                          <a:ext cx="1242060" cy="31242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综合应急预案</w:t>
                            </w:r>
                          </w:p>
                        </w:txbxContent>
                      </wps:txbx>
                      <wps:bodyPr rot="0" vert="horz" wrap="square" lIns="91440" tIns="45720" rIns="91440" bIns="45720" anchor="t" anchorCtr="0" upright="1">
                        <a:noAutofit/>
                      </wps:bodyPr>
                    </wps:wsp>
                  </a:graphicData>
                </a:graphic>
              </wp:anchor>
            </w:drawing>
          </mc:Choice>
          <mc:Fallback>
            <w:pict>
              <v:rect id="矩形 252" o:spid="_x0000_s1026" o:spt="1" style="position:absolute;left:0pt;margin-left:166pt;margin-top:28.05pt;height:24.6pt;width:97.8pt;z-index:251661312;mso-width-relative:page;mso-height-relative:page;" filled="f" stroked="t" coordsize="21600,21600" o:gfxdata="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PZ/OtkAAAAKAQAADwAAAAAAAAABACAAAAAiAAAAZHJzL2Rvd25yZXYu&#10;eG1sUEsBAhQAFAAAAAgAh07iQFi2G+ozAgAAVQQAAA4AAAAAAAAAAQAgAAAAKAEAAGRycy9lMm9E&#10;b2MueG1sUEsFBgAAAAAGAAYAWQEAAM0FA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综合应急预案</w:t>
                      </w:r>
                    </w:p>
                  </w:txbxContent>
                </v:textbox>
              </v:rect>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662336" behindDoc="0" locked="0" layoutInCell="1" allowOverlap="1">
                <wp:simplePos x="0" y="0"/>
                <wp:positionH relativeFrom="column">
                  <wp:posOffset>2728595</wp:posOffset>
                </wp:positionH>
                <wp:positionV relativeFrom="paragraph">
                  <wp:posOffset>344805</wp:posOffset>
                </wp:positionV>
                <wp:extent cx="0" cy="254635"/>
                <wp:effectExtent l="76200" t="0" r="57150" b="50165"/>
                <wp:wrapNone/>
                <wp:docPr id="35" name="AutoShape 22"/>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straightConnector1">
                          <a:avLst/>
                        </a:prstGeom>
                        <a:noFill/>
                        <a:ln w="9525">
                          <a:solidFill>
                            <a:srgbClr val="000000"/>
                          </a:solidFill>
                          <a:round/>
                          <a:tailEnd type="triangle" w="med" len="med"/>
                        </a:ln>
                      </wps:spPr>
                      <wps:bodyPr/>
                    </wps:wsp>
                  </a:graphicData>
                </a:graphic>
              </wp:anchor>
            </w:drawing>
          </mc:Choice>
          <mc:Fallback>
            <w:pict>
              <v:shape id="AutoShape 22" o:spid="_x0000_s1026" o:spt="32" type="#_x0000_t32" style="position:absolute;left:0pt;margin-left:214.85pt;margin-top:27.15pt;height:20.05pt;width:0pt;z-index:251662336;mso-width-relative:page;mso-height-relative:page;" filled="f" stroked="t" coordsize="21600,21600" o:gfxdata="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aIMPtkAAAAJAQAADwAAAAAAAAABACAAAAAiAAAAZHJzL2Rvd25yZXYueG1sUEsBAhQAFAAA&#10;AAgAh07iQKaXWK3uAQAA4QMAAA4AAAAAAAAAAQAgAAAAKAEAAGRycy9lMm9Eb2MueG1sUEsFBgAA&#10;AAAGAAYAWQEAAIgFAAAAAA==&#10;">
                <v:fill on="f" focussize="0,0"/>
                <v:stroke color="#000000" joinstyle="round" endarrow="block"/>
                <v:imagedata o:title=""/>
                <o:lock v:ext="edit" aspectratio="f"/>
              </v:shape>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663360" behindDoc="0" locked="0" layoutInCell="1" allowOverlap="1">
                <wp:simplePos x="0" y="0"/>
                <wp:positionH relativeFrom="column">
                  <wp:posOffset>2115185</wp:posOffset>
                </wp:positionH>
                <wp:positionV relativeFrom="paragraph">
                  <wp:posOffset>289560</wp:posOffset>
                </wp:positionV>
                <wp:extent cx="1259840" cy="312420"/>
                <wp:effectExtent l="0" t="0" r="16510" b="11430"/>
                <wp:wrapNone/>
                <wp:docPr id="36" name="矩形 241"/>
                <wp:cNvGraphicFramePr/>
                <a:graphic xmlns:a="http://schemas.openxmlformats.org/drawingml/2006/main">
                  <a:graphicData uri="http://schemas.microsoft.com/office/word/2010/wordprocessingShape">
                    <wps:wsp>
                      <wps:cNvSpPr>
                        <a:spLocks noChangeArrowheads="1"/>
                      </wps:cNvSpPr>
                      <wps:spPr bwMode="auto">
                        <a:xfrm>
                          <a:off x="0" y="0"/>
                          <a:ext cx="1259840" cy="31242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专项应急预案</w:t>
                            </w:r>
                          </w:p>
                        </w:txbxContent>
                      </wps:txbx>
                      <wps:bodyPr rot="0" vert="horz" wrap="square" lIns="91440" tIns="45720" rIns="91440" bIns="45720" anchor="t" anchorCtr="0" upright="1">
                        <a:noAutofit/>
                      </wps:bodyPr>
                    </wps:wsp>
                  </a:graphicData>
                </a:graphic>
              </wp:anchor>
            </w:drawing>
          </mc:Choice>
          <mc:Fallback>
            <w:pict>
              <v:rect id="矩形 241" o:spid="_x0000_s1026" o:spt="1" style="position:absolute;left:0pt;margin-left:166.55pt;margin-top:22.8pt;height:24.6pt;width:99.2pt;z-index:251663360;mso-width-relative:page;mso-height-relative:page;" filled="f" stroked="t" coordsize="21600,21600" o:gfxdata="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NdoQ9kAAAAJAQAADwAAAAAAAAABACAAAAAiAAAAZHJzL2Rvd25y&#10;ZXYueG1sUEsBAhQAFAAAAAgAh07iQK6vhfs2AgAAVQQAAA4AAAAAAAAAAQAgAAAAKAEAAGRycy9l&#10;Mm9Eb2MueG1sUEsFBgAAAAAGAAYAWQEAANAFA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专项应急预案</w:t>
                      </w:r>
                    </w:p>
                  </w:txbxContent>
                </v:textbox>
              </v:rect>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664384" behindDoc="0" locked="0" layoutInCell="1" allowOverlap="1">
                <wp:simplePos x="0" y="0"/>
                <wp:positionH relativeFrom="column">
                  <wp:posOffset>2724785</wp:posOffset>
                </wp:positionH>
                <wp:positionV relativeFrom="paragraph">
                  <wp:posOffset>235585</wp:posOffset>
                </wp:positionV>
                <wp:extent cx="2540" cy="232410"/>
                <wp:effectExtent l="76200" t="0" r="73660" b="53340"/>
                <wp:wrapNone/>
                <wp:docPr id="42" name="AutoShape 25"/>
                <wp:cNvGraphicFramePr/>
                <a:graphic xmlns:a="http://schemas.openxmlformats.org/drawingml/2006/main">
                  <a:graphicData uri="http://schemas.microsoft.com/office/word/2010/wordprocessingShape">
                    <wps:wsp>
                      <wps:cNvCnPr>
                        <a:cxnSpLocks noChangeShapeType="1"/>
                      </wps:cNvCnPr>
                      <wps:spPr bwMode="auto">
                        <a:xfrm flipH="1">
                          <a:off x="0" y="0"/>
                          <a:ext cx="2540" cy="232410"/>
                        </a:xfrm>
                        <a:prstGeom prst="straightConnector1">
                          <a:avLst/>
                        </a:prstGeom>
                        <a:noFill/>
                        <a:ln w="9525">
                          <a:solidFill>
                            <a:srgbClr val="000000"/>
                          </a:solidFill>
                          <a:round/>
                          <a:tailEnd type="triangle" w="med" len="med"/>
                        </a:ln>
                      </wps:spPr>
                      <wps:bodyPr/>
                    </wps:wsp>
                  </a:graphicData>
                </a:graphic>
              </wp:anchor>
            </w:drawing>
          </mc:Choice>
          <mc:Fallback>
            <w:pict>
              <v:shape id="AutoShape 25" o:spid="_x0000_s1026" o:spt="32" type="#_x0000_t32" style="position:absolute;left:0pt;flip:x;margin-left:214.55pt;margin-top:18.55pt;height:18.3pt;width:0.2pt;z-index:251664384;mso-width-relative:page;mso-height-relative:page;" filled="f" stroked="t" coordsize="21600,21600" o:gfxdata="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PLaUNkAAAAJAQAADwAAAAAAAAABACAAAAAiAAAAZHJzL2Rvd25yZXYueG1s&#10;UEsBAhQAFAAAAAgAh07iQPIxOg/3AQAA7gMAAA4AAAAAAAAAAQAgAAAAKAEAAGRycy9lMm9Eb2Mu&#10;eG1sUEsFBgAAAAAGAAYAWQEAAJEFAAAAAA==&#10;">
                <v:fill on="f" focussize="0,0"/>
                <v:stroke color="#000000" joinstyle="round" endarrow="block"/>
                <v:imagedata o:title=""/>
                <o:lock v:ext="edit" aspectratio="f"/>
              </v:shape>
            </w:pict>
          </mc:Fallback>
        </mc:AlternateContent>
      </w:r>
    </w:p>
    <w:p>
      <w:pPr>
        <w:tabs>
          <w:tab w:val="left" w:pos="993"/>
        </w:tabs>
        <w:ind w:firstLine="560"/>
        <w:jc w:val="center"/>
        <w:rPr>
          <w:rFonts w:ascii="宋体" w:hAnsi="宋体" w:cs="宋体"/>
        </w:rPr>
      </w:pPr>
      <w:r>
        <w:rPr>
          <w:rFonts w:ascii="宋体" w:hAnsi="宋体" w:cs="宋体"/>
        </w:rPr>
        <mc:AlternateContent>
          <mc:Choice Requires="wps">
            <w:drawing>
              <wp:anchor distT="0" distB="0" distL="114300" distR="114300" simplePos="0" relativeHeight="251688960" behindDoc="0" locked="0" layoutInCell="1" allowOverlap="1">
                <wp:simplePos x="0" y="0"/>
                <wp:positionH relativeFrom="column">
                  <wp:posOffset>696595</wp:posOffset>
                </wp:positionH>
                <wp:positionV relativeFrom="paragraph">
                  <wp:posOffset>87630</wp:posOffset>
                </wp:positionV>
                <wp:extent cx="4393565" cy="10160"/>
                <wp:effectExtent l="0" t="0" r="26035" b="27940"/>
                <wp:wrapNone/>
                <wp:docPr id="37" name="直接连接符 37"/>
                <wp:cNvGraphicFramePr/>
                <a:graphic xmlns:a="http://schemas.openxmlformats.org/drawingml/2006/main">
                  <a:graphicData uri="http://schemas.microsoft.com/office/word/2010/wordprocessingShape">
                    <wps:wsp>
                      <wps:cNvCnPr/>
                      <wps:spPr>
                        <a:xfrm flipV="1">
                          <a:off x="0" y="0"/>
                          <a:ext cx="439356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54.85pt;margin-top:6.9pt;height:0.8pt;width:345.95pt;z-index:251688960;mso-width-relative:page;mso-height-relative:page;" filled="f" stroked="t" coordsize="21600,21600" o:gfxdata="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atPp1wAAAAkBAAAPAAAAAAAAAAEAIAAAACIAAABkcnMvZG93bnJl&#10;di54bWxQSwECFAAUAAAACACHTuJAcug3cP4BAADjAwAADgAAAAAAAAABACAAAAAmAQAAZHJzL2Uy&#10;b0RvYy54bWxQSwUGAAAAAAYABgBZAQAAlgUAAAAA&#10;">
                <v:fill on="f" focussize="0,0"/>
                <v:stroke color="#000000 [3200]" joinstyle="round"/>
                <v:imagedata o:title=""/>
                <o:lock v:ext="edit" aspectratio="f"/>
              </v:line>
            </w:pict>
          </mc:Fallback>
        </mc:AlternateContent>
      </w:r>
      <w:r>
        <w:rPr>
          <w:rFonts w:ascii="宋体" w:hAnsi="宋体" w:cs="宋体"/>
        </w:rPr>
        <mc:AlternateContent>
          <mc:Choice Requires="wps">
            <w:drawing>
              <wp:anchor distT="0" distB="0" distL="114300" distR="114300" simplePos="0" relativeHeight="251672576" behindDoc="0" locked="0" layoutInCell="1" allowOverlap="1">
                <wp:simplePos x="0" y="0"/>
                <wp:positionH relativeFrom="column">
                  <wp:posOffset>1512570</wp:posOffset>
                </wp:positionH>
                <wp:positionV relativeFrom="paragraph">
                  <wp:posOffset>82550</wp:posOffset>
                </wp:positionV>
                <wp:extent cx="635" cy="351790"/>
                <wp:effectExtent l="76200" t="0" r="75565" b="48260"/>
                <wp:wrapNone/>
                <wp:docPr id="41" name="AutoShape 82"/>
                <wp:cNvGraphicFramePr/>
                <a:graphic xmlns:a="http://schemas.openxmlformats.org/drawingml/2006/main">
                  <a:graphicData uri="http://schemas.microsoft.com/office/word/2010/wordprocessingShape">
                    <wps:wsp>
                      <wps:cNvCnPr>
                        <a:cxnSpLocks noChangeShapeType="1"/>
                      </wps:cNvCnPr>
                      <wps:spPr bwMode="auto">
                        <a:xfrm>
                          <a:off x="0" y="0"/>
                          <a:ext cx="635" cy="351790"/>
                        </a:xfrm>
                        <a:prstGeom prst="straightConnector1">
                          <a:avLst/>
                        </a:prstGeom>
                        <a:noFill/>
                        <a:ln w="9525">
                          <a:solidFill>
                            <a:srgbClr val="000000"/>
                          </a:solidFill>
                          <a:round/>
                          <a:tailEnd type="triangle" w="med" len="med"/>
                        </a:ln>
                      </wps:spPr>
                      <wps:bodyPr/>
                    </wps:wsp>
                  </a:graphicData>
                </a:graphic>
              </wp:anchor>
            </w:drawing>
          </mc:Choice>
          <mc:Fallback>
            <w:pict>
              <v:shape id="AutoShape 82" o:spid="_x0000_s1026" o:spt="32" type="#_x0000_t32" style="position:absolute;left:0pt;margin-left:119.1pt;margin-top:6.5pt;height:27.7pt;width:0.05pt;z-index:251672576;mso-width-relative:page;mso-height-relative:page;" filled="f" stroked="t" coordsize="21600,21600" o:gfxdata="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K1M0tkAAAAJAQAADwAAAAAAAAABACAAAAAiAAAAZHJzL2Rvd25yZXYueG1sUEsB&#10;AhQAFAAAAAgAh07iQGqUGVX0AQAA4wMAAA4AAAAAAAAAAQAgAAAAKAEAAGRycy9lMm9Eb2MueG1s&#10;UEsFBgAAAAAGAAYAWQEAAI4FA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705344" behindDoc="0" locked="0" layoutInCell="1" allowOverlap="1">
                <wp:simplePos x="0" y="0"/>
                <wp:positionH relativeFrom="column">
                  <wp:posOffset>5099050</wp:posOffset>
                </wp:positionH>
                <wp:positionV relativeFrom="paragraph">
                  <wp:posOffset>93345</wp:posOffset>
                </wp:positionV>
                <wp:extent cx="635" cy="351790"/>
                <wp:effectExtent l="76200" t="0" r="75565" b="48260"/>
                <wp:wrapNone/>
                <wp:docPr id="969" name="AutoShape 82"/>
                <wp:cNvGraphicFramePr/>
                <a:graphic xmlns:a="http://schemas.openxmlformats.org/drawingml/2006/main">
                  <a:graphicData uri="http://schemas.microsoft.com/office/word/2010/wordprocessingShape">
                    <wps:wsp>
                      <wps:cNvCnPr>
                        <a:cxnSpLocks noChangeShapeType="1"/>
                      </wps:cNvCnPr>
                      <wps:spPr bwMode="auto">
                        <a:xfrm>
                          <a:off x="0" y="0"/>
                          <a:ext cx="635" cy="351790"/>
                        </a:xfrm>
                        <a:prstGeom prst="straightConnector1">
                          <a:avLst/>
                        </a:prstGeom>
                        <a:noFill/>
                        <a:ln w="9525">
                          <a:solidFill>
                            <a:srgbClr val="000000"/>
                          </a:solidFill>
                          <a:round/>
                          <a:tailEnd type="triangle" w="med" len="med"/>
                        </a:ln>
                      </wps:spPr>
                      <wps:bodyPr/>
                    </wps:wsp>
                  </a:graphicData>
                </a:graphic>
              </wp:anchor>
            </w:drawing>
          </mc:Choice>
          <mc:Fallback>
            <w:pict>
              <v:shape id="AutoShape 82" o:spid="_x0000_s1026" o:spt="32" type="#_x0000_t32" style="position:absolute;left:0pt;margin-left:401.5pt;margin-top:7.35pt;height:27.7pt;width:0.05pt;z-index:251705344;mso-width-relative:page;mso-height-relative:page;" filled="f" stroked="t" coordsize="21600,21600" o:gfxdata="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fnbGnZAAAACQEAAA8AAAAAAAAAAQAgAAAAIgAAAGRycy9kb3ducmV2LnhtbFBL&#10;AQIUABQAAAAIAIdO4kAP2tKe9QEAAOQDAAAOAAAAAAAAAAEAIAAAACgBAABkcnMvZTJvRG9jLnht&#10;bFBLBQYAAAAABgAGAFkBAACPBQ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666432" behindDoc="0" locked="0" layoutInCell="1" allowOverlap="1">
                <wp:simplePos x="0" y="0"/>
                <wp:positionH relativeFrom="column">
                  <wp:posOffset>4175125</wp:posOffset>
                </wp:positionH>
                <wp:positionV relativeFrom="paragraph">
                  <wp:posOffset>85725</wp:posOffset>
                </wp:positionV>
                <wp:extent cx="635" cy="349885"/>
                <wp:effectExtent l="76200" t="0" r="75565" b="50165"/>
                <wp:wrapNone/>
                <wp:docPr id="38" name="AutoShape 29"/>
                <wp:cNvGraphicFramePr/>
                <a:graphic xmlns:a="http://schemas.openxmlformats.org/drawingml/2006/main">
                  <a:graphicData uri="http://schemas.microsoft.com/office/word/2010/wordprocessingShape">
                    <wps:wsp>
                      <wps:cNvCnPr>
                        <a:cxnSpLocks noChangeShapeType="1"/>
                      </wps:cNvCnPr>
                      <wps:spPr bwMode="auto">
                        <a:xfrm>
                          <a:off x="0" y="0"/>
                          <a:ext cx="635" cy="349885"/>
                        </a:xfrm>
                        <a:prstGeom prst="straightConnector1">
                          <a:avLst/>
                        </a:prstGeom>
                        <a:noFill/>
                        <a:ln w="9525">
                          <a:solidFill>
                            <a:srgbClr val="000000"/>
                          </a:solidFill>
                          <a:round/>
                          <a:tailEnd type="triangle" w="med" len="med"/>
                        </a:ln>
                      </wps:spPr>
                      <wps:bodyPr/>
                    </wps:wsp>
                  </a:graphicData>
                </a:graphic>
              </wp:anchor>
            </w:drawing>
          </mc:Choice>
          <mc:Fallback>
            <w:pict>
              <v:shape id="AutoShape 29" o:spid="_x0000_s1026" o:spt="32" type="#_x0000_t32" style="position:absolute;left:0pt;margin-left:328.75pt;margin-top:6.75pt;height:27.55pt;width:0.05pt;z-index:251666432;mso-width-relative:page;mso-height-relative:page;" filled="f" stroked="t" coordsize="21600,21600" o:gfxdata="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BJPt7YAAAACQEAAA8AAAAAAAAAAQAgAAAAIgAAAGRycy9kb3ducmV2LnhtbFBLAQIU&#10;ABQAAAAIAIdO4kDNXhLz8wEAAOMDAAAOAAAAAAAAAAEAIAAAACcBAABkcnMvZTJvRG9jLnhtbFBL&#10;BQYAAAAABgAGAFkBAACMBQ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669504" behindDoc="0" locked="0" layoutInCell="1" allowOverlap="1">
                <wp:simplePos x="0" y="0"/>
                <wp:positionH relativeFrom="column">
                  <wp:posOffset>3228975</wp:posOffset>
                </wp:positionH>
                <wp:positionV relativeFrom="paragraph">
                  <wp:posOffset>94615</wp:posOffset>
                </wp:positionV>
                <wp:extent cx="635" cy="349885"/>
                <wp:effectExtent l="76200" t="0" r="75565" b="50165"/>
                <wp:wrapNone/>
                <wp:docPr id="39" name="AutoShape 56"/>
                <wp:cNvGraphicFramePr/>
                <a:graphic xmlns:a="http://schemas.openxmlformats.org/drawingml/2006/main">
                  <a:graphicData uri="http://schemas.microsoft.com/office/word/2010/wordprocessingShape">
                    <wps:wsp>
                      <wps:cNvCnPr>
                        <a:cxnSpLocks noChangeShapeType="1"/>
                      </wps:cNvCnPr>
                      <wps:spPr bwMode="auto">
                        <a:xfrm>
                          <a:off x="0" y="0"/>
                          <a:ext cx="635" cy="349885"/>
                        </a:xfrm>
                        <a:prstGeom prst="straightConnector1">
                          <a:avLst/>
                        </a:prstGeom>
                        <a:noFill/>
                        <a:ln w="9525">
                          <a:solidFill>
                            <a:srgbClr val="000000"/>
                          </a:solidFill>
                          <a:round/>
                          <a:tailEnd type="triangle" w="med" len="med"/>
                        </a:ln>
                      </wps:spPr>
                      <wps:bodyPr/>
                    </wps:wsp>
                  </a:graphicData>
                </a:graphic>
              </wp:anchor>
            </w:drawing>
          </mc:Choice>
          <mc:Fallback>
            <w:pict>
              <v:shape id="AutoShape 56" o:spid="_x0000_s1026" o:spt="32" type="#_x0000_t32" style="position:absolute;left:0pt;margin-left:254.25pt;margin-top:7.45pt;height:27.55pt;width:0.05pt;z-index:251669504;mso-width-relative:page;mso-height-relative:page;" filled="f" stroked="t" coordsize="21600,21600" o:gfxdata="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94vGTYAAAACQEAAA8AAAAAAAAAAQAgAAAAIgAAAGRycy9kb3ducmV2LnhtbFBLAQIU&#10;ABQAAAAIAIdO4kCrAqZ+8wEAAOMDAAAOAAAAAAAAAAEAIAAAACcBAABkcnMvZTJvRG9jLnhtbFBL&#10;BQYAAAAABgAGAFkBAACMBQ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665408" behindDoc="0" locked="0" layoutInCell="1" allowOverlap="1">
                <wp:simplePos x="0" y="0"/>
                <wp:positionH relativeFrom="column">
                  <wp:posOffset>2252345</wp:posOffset>
                </wp:positionH>
                <wp:positionV relativeFrom="paragraph">
                  <wp:posOffset>90170</wp:posOffset>
                </wp:positionV>
                <wp:extent cx="635" cy="351790"/>
                <wp:effectExtent l="76200" t="0" r="75565" b="48260"/>
                <wp:wrapNone/>
                <wp:docPr id="40" name="AutoShape 24"/>
                <wp:cNvGraphicFramePr/>
                <a:graphic xmlns:a="http://schemas.openxmlformats.org/drawingml/2006/main">
                  <a:graphicData uri="http://schemas.microsoft.com/office/word/2010/wordprocessingShape">
                    <wps:wsp>
                      <wps:cNvCnPr>
                        <a:cxnSpLocks noChangeShapeType="1"/>
                      </wps:cNvCnPr>
                      <wps:spPr bwMode="auto">
                        <a:xfrm>
                          <a:off x="0" y="0"/>
                          <a:ext cx="635" cy="351790"/>
                        </a:xfrm>
                        <a:prstGeom prst="straightConnector1">
                          <a:avLst/>
                        </a:prstGeom>
                        <a:noFill/>
                        <a:ln w="9525">
                          <a:solidFill>
                            <a:srgbClr val="000000"/>
                          </a:solidFill>
                          <a:round/>
                          <a:tailEnd type="triangle" w="med" len="med"/>
                        </a:ln>
                      </wps:spPr>
                      <wps:bodyPr/>
                    </wps:wsp>
                  </a:graphicData>
                </a:graphic>
              </wp:anchor>
            </w:drawing>
          </mc:Choice>
          <mc:Fallback>
            <w:pict>
              <v:shape id="AutoShape 24" o:spid="_x0000_s1026" o:spt="32" type="#_x0000_t32" style="position:absolute;left:0pt;margin-left:177.35pt;margin-top:7.1pt;height:27.7pt;width:0.05pt;z-index:251665408;mso-width-relative:page;mso-height-relative:page;" filled="f" stroked="t" coordsize="21600,21600" o:gfxdata="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VKHtkAAAAJAQAADwAAAAAAAAABACAAAAAiAAAAZHJzL2Rvd25yZXYueG1sUEsB&#10;AhQAFAAAAAgAh07iQBH5ltn0AQAA4wMAAA4AAAAAAAAAAQAgAAAAKAEAAGRycy9lMm9Eb2MueG1s&#10;UEsFBgAAAAAGAAYAWQEAAI4FA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704320" behindDoc="0" locked="0" layoutInCell="1" allowOverlap="1">
                <wp:simplePos x="0" y="0"/>
                <wp:positionH relativeFrom="column">
                  <wp:posOffset>689610</wp:posOffset>
                </wp:positionH>
                <wp:positionV relativeFrom="paragraph">
                  <wp:posOffset>94615</wp:posOffset>
                </wp:positionV>
                <wp:extent cx="635" cy="351790"/>
                <wp:effectExtent l="76200" t="0" r="75565" b="48260"/>
                <wp:wrapNone/>
                <wp:docPr id="968" name="AutoShape 82"/>
                <wp:cNvGraphicFramePr/>
                <a:graphic xmlns:a="http://schemas.openxmlformats.org/drawingml/2006/main">
                  <a:graphicData uri="http://schemas.microsoft.com/office/word/2010/wordprocessingShape">
                    <wps:wsp>
                      <wps:cNvCnPr>
                        <a:cxnSpLocks noChangeShapeType="1"/>
                      </wps:cNvCnPr>
                      <wps:spPr bwMode="auto">
                        <a:xfrm>
                          <a:off x="0" y="0"/>
                          <a:ext cx="635" cy="351790"/>
                        </a:xfrm>
                        <a:prstGeom prst="straightConnector1">
                          <a:avLst/>
                        </a:prstGeom>
                        <a:noFill/>
                        <a:ln w="9525">
                          <a:solidFill>
                            <a:srgbClr val="000000"/>
                          </a:solidFill>
                          <a:round/>
                          <a:tailEnd type="triangle" w="med" len="med"/>
                        </a:ln>
                      </wps:spPr>
                      <wps:bodyPr/>
                    </wps:wsp>
                  </a:graphicData>
                </a:graphic>
              </wp:anchor>
            </w:drawing>
          </mc:Choice>
          <mc:Fallback>
            <w:pict>
              <v:shape id="AutoShape 82" o:spid="_x0000_s1026" o:spt="32" type="#_x0000_t32" style="position:absolute;left:0pt;margin-left:54.3pt;margin-top:7.45pt;height:27.7pt;width:0.05pt;z-index:251704320;mso-width-relative:page;mso-height-relative:page;" filled="f" stroked="t" coordsize="21600,21600" o:gfxdata="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AoIWNkAAAAJAQAADwAAAAAAAAABACAAAAAiAAAAZHJzL2Rvd25yZXYueG1sUEsB&#10;AhQAFAAAAAgAh07iQOQvCZj0AQAA5AMAAA4AAAAAAAAAAQAgAAAAKAEAAGRycy9lMm9Eb2MueG1s&#10;UEsFBgAAAAAGAAYAWQEAAI4FAAAAAA==&#10;">
                <v:fill on="f" focussize="0,0"/>
                <v:stroke color="#000000" joinstyle="round" endarrow="block"/>
                <v:imagedata o:title=""/>
                <o:lock v:ext="edit" aspectratio="f"/>
              </v:shape>
            </w:pict>
          </mc:Fallback>
        </mc:AlternateContent>
      </w:r>
    </w:p>
    <w:p>
      <w:pPr>
        <w:tabs>
          <w:tab w:val="left" w:pos="993"/>
        </w:tabs>
        <w:ind w:firstLine="560"/>
        <w:jc w:val="center"/>
        <w:rPr>
          <w:rFonts w:ascii="宋体" w:hAnsi="宋体" w:cs="宋体"/>
        </w:rPr>
      </w:pPr>
      <w:r>
        <w:rPr>
          <w:rFonts w:ascii="宋体" w:hAnsi="宋体" w:cs="宋体"/>
        </w:rPr>
        <mc:AlternateContent>
          <mc:Choice Requires="wps">
            <w:drawing>
              <wp:anchor distT="0" distB="0" distL="114300" distR="114300" simplePos="0" relativeHeight="251702272" behindDoc="0" locked="0" layoutInCell="1" allowOverlap="1">
                <wp:simplePos x="0" y="0"/>
                <wp:positionH relativeFrom="column">
                  <wp:posOffset>1165860</wp:posOffset>
                </wp:positionH>
                <wp:positionV relativeFrom="paragraph">
                  <wp:posOffset>95250</wp:posOffset>
                </wp:positionV>
                <wp:extent cx="631825" cy="1106805"/>
                <wp:effectExtent l="0" t="0" r="15875" b="17145"/>
                <wp:wrapNone/>
                <wp:docPr id="964" name="Rectangle 35"/>
                <wp:cNvGraphicFramePr/>
                <a:graphic xmlns:a="http://schemas.openxmlformats.org/drawingml/2006/main">
                  <a:graphicData uri="http://schemas.microsoft.com/office/word/2010/wordprocessingShape">
                    <wps:wsp>
                      <wps:cNvSpPr>
                        <a:spLocks noChangeArrowheads="1"/>
                      </wps:cNvSpPr>
                      <wps:spPr bwMode="auto">
                        <a:xfrm>
                          <a:off x="0" y="0"/>
                          <a:ext cx="631825" cy="1106805"/>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场站事故专项应急预案</w:t>
                            </w:r>
                          </w:p>
                        </w:txbxContent>
                      </wps:txbx>
                      <wps:bodyPr rot="0" vert="horz" wrap="square" lIns="91440" tIns="45720" rIns="91440" bIns="45720" anchor="t" anchorCtr="0" upright="1">
                        <a:noAutofit/>
                      </wps:bodyPr>
                    </wps:wsp>
                  </a:graphicData>
                </a:graphic>
              </wp:anchor>
            </w:drawing>
          </mc:Choice>
          <mc:Fallback>
            <w:pict>
              <v:rect id="Rectangle 35" o:spid="_x0000_s1026" o:spt="1" style="position:absolute;left:0pt;margin-left:91.8pt;margin-top:7.5pt;height:87.15pt;width:49.75pt;z-index:251702272;mso-width-relative:page;mso-height-relative:page;" filled="f" stroked="t" coordsize="21600,21600" o:gfxdata="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jbDObXAAAACgEAAA8AAAAAAAAAAQAgAAAAIgAAAGRycy9kb3ducmV2LnhtbFBLAQIU&#10;ABQAAAAIAIdO4kDACmkXLQIAAFgEAAAOAAAAAAAAAAEAIAAAACYBAABkcnMvZTJvRG9jLnhtbFBL&#10;BQYAAAAABgAGAFkBAADF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场站事故专项应急预案</w:t>
                      </w:r>
                    </w:p>
                  </w:txbxContent>
                </v:textbox>
              </v:rect>
            </w:pict>
          </mc:Fallback>
        </mc:AlternateContent>
      </w:r>
      <w:r>
        <w:rPr>
          <w:rFonts w:ascii="宋体" w:hAnsi="宋体" w:cs="宋体"/>
        </w:rPr>
        <mc:AlternateContent>
          <mc:Choice Requires="wps">
            <w:drawing>
              <wp:anchor distT="0" distB="0" distL="114300" distR="114300" simplePos="0" relativeHeight="251667456" behindDoc="0" locked="0" layoutInCell="1" allowOverlap="1">
                <wp:simplePos x="0" y="0"/>
                <wp:positionH relativeFrom="column">
                  <wp:posOffset>1951990</wp:posOffset>
                </wp:positionH>
                <wp:positionV relativeFrom="paragraph">
                  <wp:posOffset>95885</wp:posOffset>
                </wp:positionV>
                <wp:extent cx="636270" cy="1102360"/>
                <wp:effectExtent l="0" t="0" r="11430" b="21590"/>
                <wp:wrapNone/>
                <wp:docPr id="45" name="矩形 245"/>
                <wp:cNvGraphicFramePr/>
                <a:graphic xmlns:a="http://schemas.openxmlformats.org/drawingml/2006/main">
                  <a:graphicData uri="http://schemas.microsoft.com/office/word/2010/wordprocessingShape">
                    <wps:wsp>
                      <wps:cNvSpPr>
                        <a:spLocks noChangeArrowheads="1"/>
                      </wps:cNvSpPr>
                      <wps:spPr bwMode="auto">
                        <a:xfrm>
                          <a:off x="0" y="0"/>
                          <a:ext cx="636270" cy="110236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火灾爆炸专项应急预案</w:t>
                            </w:r>
                          </w:p>
                        </w:txbxContent>
                      </wps:txbx>
                      <wps:bodyPr rot="0" vert="horz" wrap="square" lIns="91440" tIns="45720" rIns="91440" bIns="45720" anchor="t" anchorCtr="0" upright="1">
                        <a:noAutofit/>
                      </wps:bodyPr>
                    </wps:wsp>
                  </a:graphicData>
                </a:graphic>
              </wp:anchor>
            </w:drawing>
          </mc:Choice>
          <mc:Fallback>
            <w:pict>
              <v:rect id="矩形 245" o:spid="_x0000_s1026" o:spt="1" style="position:absolute;left:0pt;margin-left:153.7pt;margin-top:7.55pt;height:86.8pt;width:50.1pt;z-index:251667456;mso-width-relative:page;mso-height-relative:page;" filled="f" stroked="t" coordsize="21600,21600" o:gfxdata="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38ZnZAAAACgEAAA8AAAAAAAAAAQAgAAAAIgAAAGRycy9kb3du&#10;cmV2LnhtbFBLAQIUABQAAAAIAIdO4kCsNu2ENwIAAFUEAAAOAAAAAAAAAAEAIAAAACgBAABkcnMv&#10;ZTJvRG9jLnhtbFBLBQYAAAAABgAGAFkBAADR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火灾爆炸专项应急预案</w:t>
                      </w:r>
                    </w:p>
                  </w:txbxContent>
                </v:textbox>
              </v:rect>
            </w:pict>
          </mc:Fallback>
        </mc:AlternateContent>
      </w:r>
      <w:r>
        <w:rPr>
          <w:rFonts w:ascii="宋体" w:hAnsi="宋体" w:cs="宋体"/>
        </w:rPr>
        <mc:AlternateContent>
          <mc:Choice Requires="wps">
            <w:drawing>
              <wp:anchor distT="0" distB="0" distL="114300" distR="114300" simplePos="0" relativeHeight="251673600" behindDoc="0" locked="0" layoutInCell="1" allowOverlap="1">
                <wp:simplePos x="0" y="0"/>
                <wp:positionH relativeFrom="column">
                  <wp:posOffset>2903855</wp:posOffset>
                </wp:positionH>
                <wp:positionV relativeFrom="paragraph">
                  <wp:posOffset>96520</wp:posOffset>
                </wp:positionV>
                <wp:extent cx="636270" cy="1102360"/>
                <wp:effectExtent l="0" t="0" r="11430" b="21590"/>
                <wp:wrapNone/>
                <wp:docPr id="44" name="矩形 245"/>
                <wp:cNvGraphicFramePr/>
                <a:graphic xmlns:a="http://schemas.openxmlformats.org/drawingml/2006/main">
                  <a:graphicData uri="http://schemas.microsoft.com/office/word/2010/wordprocessingShape">
                    <wps:wsp>
                      <wps:cNvSpPr>
                        <a:spLocks noChangeArrowheads="1"/>
                      </wps:cNvSpPr>
                      <wps:spPr bwMode="auto">
                        <a:xfrm>
                          <a:off x="0" y="0"/>
                          <a:ext cx="636270" cy="110236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地震</w:t>
                            </w:r>
                            <w:r>
                              <w:rPr>
                                <w:rFonts w:ascii="宋体" w:hAnsi="宋体"/>
                                <w:sz w:val="24"/>
                              </w:rPr>
                              <w:t>灾害</w:t>
                            </w:r>
                            <w:r>
                              <w:rPr>
                                <w:rFonts w:hint="eastAsia" w:ascii="宋体" w:hAnsi="宋体"/>
                                <w:sz w:val="24"/>
                              </w:rPr>
                              <w:t>专项应急预案</w:t>
                            </w:r>
                          </w:p>
                        </w:txbxContent>
                      </wps:txbx>
                      <wps:bodyPr rot="0" vert="horz" wrap="square" lIns="91440" tIns="45720" rIns="91440" bIns="45720" anchor="t" anchorCtr="0" upright="1">
                        <a:noAutofit/>
                      </wps:bodyPr>
                    </wps:wsp>
                  </a:graphicData>
                </a:graphic>
              </wp:anchor>
            </w:drawing>
          </mc:Choice>
          <mc:Fallback>
            <w:pict>
              <v:rect id="矩形 245" o:spid="_x0000_s1026" o:spt="1" style="position:absolute;left:0pt;margin-left:228.65pt;margin-top:7.6pt;height:86.8pt;width:50.1pt;z-index:251673600;mso-width-relative:page;mso-height-relative:page;" filled="f" stroked="t" coordsize="21600,21600" o:gfxdata="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LtLDrZAAAACgEAAA8AAAAAAAAAAQAgAAAAIgAAAGRycy9kb3du&#10;cmV2LnhtbFBLAQIUABQAAAAIAIdO4kBAu174NwIAAFUEAAAOAAAAAAAAAAEAIAAAACgBAABkcnMv&#10;ZTJvRG9jLnhtbFBLBQYAAAAABgAGAFkBAADR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地震</w:t>
                      </w:r>
                      <w:r>
                        <w:rPr>
                          <w:rFonts w:ascii="宋体" w:hAnsi="宋体"/>
                          <w:sz w:val="24"/>
                        </w:rPr>
                        <w:t>灾害</w:t>
                      </w:r>
                      <w:r>
                        <w:rPr>
                          <w:rFonts w:hint="eastAsia" w:ascii="宋体" w:hAnsi="宋体"/>
                          <w:sz w:val="24"/>
                        </w:rPr>
                        <w:t>专项应急预案</w:t>
                      </w:r>
                    </w:p>
                  </w:txbxContent>
                </v:textbox>
              </v:rect>
            </w:pict>
          </mc:Fallback>
        </mc:AlternateContent>
      </w:r>
      <w:r>
        <w:rPr>
          <w:rFonts w:ascii="宋体" w:hAnsi="宋体" w:cs="宋体"/>
        </w:rPr>
        <mc:AlternateContent>
          <mc:Choice Requires="wps">
            <w:drawing>
              <wp:anchor distT="0" distB="0" distL="114300" distR="114300" simplePos="0" relativeHeight="251703296" behindDoc="0" locked="0" layoutInCell="1" allowOverlap="1">
                <wp:simplePos x="0" y="0"/>
                <wp:positionH relativeFrom="column">
                  <wp:posOffset>4794250</wp:posOffset>
                </wp:positionH>
                <wp:positionV relativeFrom="paragraph">
                  <wp:posOffset>91440</wp:posOffset>
                </wp:positionV>
                <wp:extent cx="619125" cy="1102360"/>
                <wp:effectExtent l="0" t="0" r="28575" b="21590"/>
                <wp:wrapNone/>
                <wp:docPr id="966" name="Rectangle 34"/>
                <wp:cNvGraphicFramePr/>
                <a:graphic xmlns:a="http://schemas.openxmlformats.org/drawingml/2006/main">
                  <a:graphicData uri="http://schemas.microsoft.com/office/word/2010/wordprocessingShape">
                    <wps:wsp>
                      <wps:cNvSpPr>
                        <a:spLocks noChangeArrowheads="1"/>
                      </wps:cNvSpPr>
                      <wps:spPr bwMode="auto">
                        <a:xfrm>
                          <a:off x="0" y="0"/>
                          <a:ext cx="619125" cy="110236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反暴恐专项应急预案</w:t>
                            </w:r>
                          </w:p>
                        </w:txbxContent>
                      </wps:txbx>
                      <wps:bodyPr rot="0" vert="horz" wrap="square" lIns="91440" tIns="45720" rIns="91440" bIns="45720" anchor="t" anchorCtr="0" upright="1">
                        <a:noAutofit/>
                      </wps:bodyPr>
                    </wps:wsp>
                  </a:graphicData>
                </a:graphic>
              </wp:anchor>
            </w:drawing>
          </mc:Choice>
          <mc:Fallback>
            <w:pict>
              <v:rect id="Rectangle 34" o:spid="_x0000_s1026" o:spt="1" style="position:absolute;left:0pt;margin-left:377.5pt;margin-top:7.2pt;height:86.8pt;width:48.75pt;z-index:251703296;mso-width-relative:page;mso-height-relative:page;" filled="f" stroked="t" coordsize="21600,21600" o:gfxdata="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q5Y/raAAAACgEAAA8AAAAAAAAAAQAgAAAAIgAAAGRycy9kb3ducmV2LnhtbFBL&#10;AQIUABQAAAAIAIdO4kDvekjoLQIAAFgEAAAOAAAAAAAAAAEAIAAAACkBAABkcnMvZTJvRG9jLnht&#10;bFBLBQYAAAAABgAGAFkBAADI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反暴恐专项应急预案</w:t>
                      </w:r>
                    </w:p>
                  </w:txbxContent>
                </v:textbox>
              </v:rect>
            </w:pict>
          </mc:Fallback>
        </mc:AlternateContent>
      </w:r>
      <w:r>
        <w:rPr>
          <w:rFonts w:ascii="宋体" w:hAnsi="宋体" w:cs="宋体"/>
        </w:rPr>
        <mc:AlternateContent>
          <mc:Choice Requires="wps">
            <w:drawing>
              <wp:anchor distT="0" distB="0" distL="114300" distR="114300" simplePos="0" relativeHeight="251668480" behindDoc="0" locked="0" layoutInCell="1" allowOverlap="1">
                <wp:simplePos x="0" y="0"/>
                <wp:positionH relativeFrom="column">
                  <wp:posOffset>3866515</wp:posOffset>
                </wp:positionH>
                <wp:positionV relativeFrom="paragraph">
                  <wp:posOffset>92075</wp:posOffset>
                </wp:positionV>
                <wp:extent cx="619125" cy="1102360"/>
                <wp:effectExtent l="0" t="0" r="28575" b="21590"/>
                <wp:wrapNone/>
                <wp:docPr id="46" name="Rectangle 34"/>
                <wp:cNvGraphicFramePr/>
                <a:graphic xmlns:a="http://schemas.openxmlformats.org/drawingml/2006/main">
                  <a:graphicData uri="http://schemas.microsoft.com/office/word/2010/wordprocessingShape">
                    <wps:wsp>
                      <wps:cNvSpPr>
                        <a:spLocks noChangeArrowheads="1"/>
                      </wps:cNvSpPr>
                      <wps:spPr bwMode="auto">
                        <a:xfrm>
                          <a:off x="0" y="0"/>
                          <a:ext cx="619125" cy="110236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防洪抗汛专项应急预案</w:t>
                            </w:r>
                          </w:p>
                        </w:txbxContent>
                      </wps:txbx>
                      <wps:bodyPr rot="0" vert="horz" wrap="square" lIns="91440" tIns="45720" rIns="91440" bIns="45720" anchor="t" anchorCtr="0" upright="1">
                        <a:noAutofit/>
                      </wps:bodyPr>
                    </wps:wsp>
                  </a:graphicData>
                </a:graphic>
              </wp:anchor>
            </w:drawing>
          </mc:Choice>
          <mc:Fallback>
            <w:pict>
              <v:rect id="Rectangle 34" o:spid="_x0000_s1026" o:spt="1" style="position:absolute;left:0pt;margin-left:304.45pt;margin-top:7.25pt;height:86.8pt;width:48.75pt;z-index:251668480;mso-width-relative:page;mso-height-relative:page;" filled="f" stroked="t" coordsize="21600,21600" o:gfxdata="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FlNzv2QAAAAoBAAAPAAAAAAAAAAEAIAAAACIAAABkcnMvZG93bnJldi54bWxQSwEC&#10;FAAUAAAACACHTuJA9aPNwSwCAABXBAAADgAAAAAAAAABACAAAAAoAQAAZHJzL2Uyb0RvYy54bWxQ&#10;SwUGAAAAAAYABgBZAQAAxgU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防洪抗汛专项应急预案</w:t>
                      </w:r>
                    </w:p>
                  </w:txbxContent>
                </v:textbox>
              </v:rect>
            </w:pict>
          </mc:Fallback>
        </mc:AlternateContent>
      </w:r>
      <w:r>
        <w:rPr>
          <w:rFonts w:ascii="宋体" w:hAnsi="宋体" w:cs="宋体"/>
        </w:rPr>
        <mc:AlternateContent>
          <mc:Choice Requires="wps">
            <w:drawing>
              <wp:anchor distT="0" distB="0" distL="114300" distR="114300" simplePos="0" relativeHeight="251670528" behindDoc="0" locked="0" layoutInCell="1" allowOverlap="1">
                <wp:simplePos x="0" y="0"/>
                <wp:positionH relativeFrom="column">
                  <wp:posOffset>342900</wp:posOffset>
                </wp:positionH>
                <wp:positionV relativeFrom="paragraph">
                  <wp:posOffset>100965</wp:posOffset>
                </wp:positionV>
                <wp:extent cx="631825" cy="1106805"/>
                <wp:effectExtent l="0" t="0" r="15875" b="17145"/>
                <wp:wrapNone/>
                <wp:docPr id="43" name="Rectangle 35"/>
                <wp:cNvGraphicFramePr/>
                <a:graphic xmlns:a="http://schemas.openxmlformats.org/drawingml/2006/main">
                  <a:graphicData uri="http://schemas.microsoft.com/office/word/2010/wordprocessingShape">
                    <wps:wsp>
                      <wps:cNvSpPr>
                        <a:spLocks noChangeArrowheads="1"/>
                      </wps:cNvSpPr>
                      <wps:spPr bwMode="auto">
                        <a:xfrm>
                          <a:off x="0" y="0"/>
                          <a:ext cx="631825" cy="1106805"/>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管道事故专项应急预案</w:t>
                            </w:r>
                          </w:p>
                        </w:txbxContent>
                      </wps:txbx>
                      <wps:bodyPr rot="0" vert="horz" wrap="square" lIns="91440" tIns="45720" rIns="91440" bIns="45720" anchor="t" anchorCtr="0" upright="1">
                        <a:noAutofit/>
                      </wps:bodyPr>
                    </wps:wsp>
                  </a:graphicData>
                </a:graphic>
              </wp:anchor>
            </w:drawing>
          </mc:Choice>
          <mc:Fallback>
            <w:pict>
              <v:rect id="Rectangle 35" o:spid="_x0000_s1026" o:spt="1" style="position:absolute;left:0pt;margin-left:27pt;margin-top:7.95pt;height:87.15pt;width:49.75pt;z-index:251670528;mso-width-relative:page;mso-height-relative:page;" filled="f" stroked="t" coordsize="21600,21600" o:gfxdata="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oRjYAAAACQEAAA8AAAAAAAAAAQAgAAAAIgAAAGRycy9kb3ducmV2LnhtbFBLAQIU&#10;ABQAAAAIAIdO4kDxatPALAIAAFcEAAAOAAAAAAAAAAEAIAAAACcBAABkcnMvZTJvRG9jLnhtbFBL&#10;BQYAAAAABgAGAFkBAADF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管道事故专项应急预案</w:t>
                      </w:r>
                    </w:p>
                  </w:txbxContent>
                </v:textbox>
              </v:rect>
            </w:pict>
          </mc:Fallback>
        </mc:AlternateContent>
      </w:r>
    </w:p>
    <w:p>
      <w:pPr>
        <w:ind w:firstLine="560"/>
        <w:jc w:val="center"/>
        <w:rPr>
          <w:rFonts w:ascii="宋体" w:hAnsi="宋体" w:cs="宋体"/>
        </w:rPr>
      </w:pPr>
    </w:p>
    <w:p>
      <w:pPr>
        <w:ind w:firstLine="560"/>
        <w:jc w:val="center"/>
        <w:rPr>
          <w:rFonts w:ascii="宋体" w:hAnsi="宋体" w:cs="宋体"/>
        </w:rPr>
      </w:pP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706368" behindDoc="0" locked="0" layoutInCell="1" allowOverlap="1">
                <wp:simplePos x="0" y="0"/>
                <wp:positionH relativeFrom="column">
                  <wp:posOffset>541020</wp:posOffset>
                </wp:positionH>
                <wp:positionV relativeFrom="paragraph">
                  <wp:posOffset>129540</wp:posOffset>
                </wp:positionV>
                <wp:extent cx="0" cy="142875"/>
                <wp:effectExtent l="0" t="0" r="38100" b="28575"/>
                <wp:wrapNone/>
                <wp:docPr id="970" name="AutoShape 83"/>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ln>
                      </wps:spPr>
                      <wps:bodyPr/>
                    </wps:wsp>
                  </a:graphicData>
                </a:graphic>
              </wp:anchor>
            </w:drawing>
          </mc:Choice>
          <mc:Fallback>
            <w:pict>
              <v:shape id="AutoShape 83" o:spid="_x0000_s1026" o:spt="32" type="#_x0000_t32" style="position:absolute;left:0pt;margin-left:42.6pt;margin-top:10.2pt;height:11.25pt;width:0pt;z-index:251706368;mso-width-relative:page;mso-height-relative:page;" filled="f" stroked="t" coordsize="21600,21600" o:gfxdata="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MUS+NQAAAAHAQAADwAAAAAAAAABACAAAAAi&#10;AAAAZHJzL2Rvd25yZXYueG1sUEsBAhQAFAAAAAgAh07iQHUMMCvVAQAAtAMAAA4AAAAAAAAAAQAg&#10;AAAAIwEAAGRycy9lMm9Eb2MueG1sUEsFBgAAAAAGAAYAWQEAAGoFAAAAAA==&#10;">
                <v:fill on="f" focussize="0,0"/>
                <v:stroke color="#000000" joinstyle="round"/>
                <v:imagedata o:title=""/>
                <o:lock v:ext="edit" aspectratio="f"/>
              </v:shape>
            </w:pict>
          </mc:Fallback>
        </mc:AlternateContent>
      </w:r>
      <w:r>
        <w:rPr>
          <w:rFonts w:ascii="宋体" w:hAnsi="宋体" w:cs="宋体"/>
        </w:rPr>
        <mc:AlternateContent>
          <mc:Choice Requires="wps">
            <w:drawing>
              <wp:anchor distT="0" distB="0" distL="114300" distR="114300" simplePos="0" relativeHeight="251707392" behindDoc="0" locked="0" layoutInCell="1" allowOverlap="1">
                <wp:simplePos x="0" y="0"/>
                <wp:positionH relativeFrom="column">
                  <wp:posOffset>5078095</wp:posOffset>
                </wp:positionH>
                <wp:positionV relativeFrom="paragraph">
                  <wp:posOffset>141605</wp:posOffset>
                </wp:positionV>
                <wp:extent cx="0" cy="142875"/>
                <wp:effectExtent l="0" t="0" r="38100" b="28575"/>
                <wp:wrapNone/>
                <wp:docPr id="971" name="AutoShape 83"/>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ln>
                      </wps:spPr>
                      <wps:bodyPr/>
                    </wps:wsp>
                  </a:graphicData>
                </a:graphic>
              </wp:anchor>
            </w:drawing>
          </mc:Choice>
          <mc:Fallback>
            <w:pict>
              <v:shape id="AutoShape 83" o:spid="_x0000_s1026" o:spt="32" type="#_x0000_t32" style="position:absolute;left:0pt;margin-left:399.85pt;margin-top:11.15pt;height:11.25pt;width:0pt;z-index:251707392;mso-width-relative:page;mso-height-relative:page;" filled="f" stroked="t" coordsize="21600,21600" o:gfxdata="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z+jTfXAAAACQEAAA8AAAAAAAAAAQAg&#10;AAAAIgAAAGRycy9kb3ducmV2LnhtbFBLAQIUABQAAAAIAIdO4kBJqde31gEAALQDAAAOAAAAAAAA&#10;AAEAIAAAACYBAABkcnMvZTJvRG9jLnhtbFBLBQYAAAAABgAGAFkBAABuBQAAAAA=&#10;">
                <v:fill on="f" focussize="0,0"/>
                <v:stroke color="#000000" joinstyle="round"/>
                <v:imagedata o:title=""/>
                <o:lock v:ext="edit" aspectratio="f"/>
              </v:shape>
            </w:pict>
          </mc:Fallback>
        </mc:AlternateContent>
      </w:r>
      <w:r>
        <w:rPr>
          <w:rFonts w:ascii="宋体" w:hAnsi="宋体" w:cs="宋体"/>
        </w:rPr>
        <mc:AlternateContent>
          <mc:Choice Requires="wps">
            <w:drawing>
              <wp:anchor distT="0" distB="0" distL="114300" distR="114300" simplePos="0" relativeHeight="251689984" behindDoc="0" locked="0" layoutInCell="1" allowOverlap="1">
                <wp:simplePos x="0" y="0"/>
                <wp:positionH relativeFrom="column">
                  <wp:posOffset>525145</wp:posOffset>
                </wp:positionH>
                <wp:positionV relativeFrom="paragraph">
                  <wp:posOffset>280670</wp:posOffset>
                </wp:positionV>
                <wp:extent cx="4559300" cy="0"/>
                <wp:effectExtent l="0" t="0" r="0" b="0"/>
                <wp:wrapNone/>
                <wp:docPr id="51" name="直接连接符 51"/>
                <wp:cNvGraphicFramePr/>
                <a:graphic xmlns:a="http://schemas.openxmlformats.org/drawingml/2006/main">
                  <a:graphicData uri="http://schemas.microsoft.com/office/word/2010/wordprocessingShape">
                    <wps:wsp>
                      <wps:cNvCnPr/>
                      <wps:spPr>
                        <a:xfrm flipV="1">
                          <a:off x="0" y="0"/>
                          <a:ext cx="455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41.35pt;margin-top:22.1pt;height:0pt;width:359pt;z-index:251689984;mso-width-relative:page;mso-height-relative:page;" filled="f" stroked="t" coordsize="21600,21600" o:gfxdata="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QumFjVAAAACAEAAA8AAAAAAAAAAQAgAAAAIgAAAGRycy9kb3ducmV2LnhtbFBL&#10;AQIUABQAAAAIAIdO4kDHxBQ0+QEAAN8DAAAOAAAAAAAAAAEAIAAAACQBAABkcnMvZTJvRG9jLnht&#10;bFBLBQYAAAAABgAGAFkBAACPBQAAAAA=&#10;">
                <v:fill on="f" focussize="0,0"/>
                <v:stroke color="#000000 [3200]" joinstyle="round"/>
                <v:imagedata o:title=""/>
                <o:lock v:ext="edit" aspectratio="f"/>
              </v:line>
            </w:pict>
          </mc:Fallback>
        </mc:AlternateContent>
      </w:r>
      <w:r>
        <w:rPr>
          <w:rFonts w:ascii="宋体" w:hAnsi="宋体" w:cs="宋体"/>
        </w:rPr>
        <mc:AlternateContent>
          <mc:Choice Requires="wps">
            <w:drawing>
              <wp:anchor distT="0" distB="0" distL="114300" distR="114300" simplePos="0" relativeHeight="251676672" behindDoc="0" locked="0" layoutInCell="1" allowOverlap="1">
                <wp:simplePos x="0" y="0"/>
                <wp:positionH relativeFrom="column">
                  <wp:posOffset>4191635</wp:posOffset>
                </wp:positionH>
                <wp:positionV relativeFrom="paragraph">
                  <wp:posOffset>121920</wp:posOffset>
                </wp:positionV>
                <wp:extent cx="635" cy="133350"/>
                <wp:effectExtent l="0" t="0" r="37465" b="19050"/>
                <wp:wrapNone/>
                <wp:docPr id="47" name="Line 58"/>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line">
                          <a:avLst/>
                        </a:prstGeom>
                        <a:noFill/>
                        <a:ln w="9525">
                          <a:solidFill>
                            <a:srgbClr val="000000"/>
                          </a:solidFill>
                          <a:round/>
                        </a:ln>
                      </wps:spPr>
                      <wps:bodyPr/>
                    </wps:wsp>
                  </a:graphicData>
                </a:graphic>
              </wp:anchor>
            </w:drawing>
          </mc:Choice>
          <mc:Fallback>
            <w:pict>
              <v:line id="Line 58" o:spid="_x0000_s1026" o:spt="20" style="position:absolute;left:0pt;margin-left:330.05pt;margin-top:9.6pt;height:10.5pt;width:0.05pt;z-index:251676672;mso-width-relative:page;mso-height-relative:page;" filled="f" stroked="t" coordsize="21600,21600" o:gfxdata="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yKnJTVAAAACQEAAA8AAAAAAAAAAQAgAAAAIgAAAGRy&#10;cy9kb3ducmV2LnhtbFBLAQIUABQAAAAIAIdO4kDLXKc8zwEAAKIDAAAOAAAAAAAAAAEAIAAAACQB&#10;AABkcnMvZTJvRG9jLnhtbFBLBQYAAAAABgAGAFkBAABlBQAAAAA=&#10;">
                <v:fill on="f" focussize="0,0"/>
                <v:stroke color="#000000" joinstyle="round"/>
                <v:imagedata o:title=""/>
                <o:lock v:ext="edit" aspectratio="f"/>
              </v:line>
            </w:pict>
          </mc:Fallback>
        </mc:AlternateContent>
      </w:r>
      <w:r>
        <w:rPr>
          <w:rFonts w:ascii="宋体" w:hAnsi="宋体" w:cs="宋体"/>
        </w:rPr>
        <mc:AlternateContent>
          <mc:Choice Requires="wps">
            <w:drawing>
              <wp:anchor distT="0" distB="0" distL="114300" distR="114300" simplePos="0" relativeHeight="251677696" behindDoc="0" locked="0" layoutInCell="1" allowOverlap="1">
                <wp:simplePos x="0" y="0"/>
                <wp:positionH relativeFrom="column">
                  <wp:posOffset>2773045</wp:posOffset>
                </wp:positionH>
                <wp:positionV relativeFrom="paragraph">
                  <wp:posOffset>262890</wp:posOffset>
                </wp:positionV>
                <wp:extent cx="0" cy="259080"/>
                <wp:effectExtent l="76200" t="0" r="57150" b="64770"/>
                <wp:wrapNone/>
                <wp:docPr id="52" name="AutoShape 41"/>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tailEnd type="triangle" w="med" len="med"/>
                        </a:ln>
                      </wps:spPr>
                      <wps:bodyPr/>
                    </wps:wsp>
                  </a:graphicData>
                </a:graphic>
              </wp:anchor>
            </w:drawing>
          </mc:Choice>
          <mc:Fallback>
            <w:pict>
              <v:shape id="AutoShape 41" o:spid="_x0000_s1026" o:spt="32" type="#_x0000_t32" style="position:absolute;left:0pt;margin-left:218.35pt;margin-top:20.7pt;height:20.4pt;width:0pt;z-index:251677696;mso-width-relative:page;mso-height-relative:page;" filled="f" stroked="t" coordsize="21600,21600" o:gfxdata="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9TxS2AAAAAkBAAAPAAAAAAAAAAEAIAAAACIAAABkcnMvZG93bnJldi54bWxQSwECFAAUAAAA&#10;CACHTuJAI3Xi9u4BAADhAwAADgAAAAAAAAABACAAAAAnAQAAZHJzL2Uyb0RvYy54bWxQSwUGAAAA&#10;AAYABgBZAQAAhwU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674624" behindDoc="0" locked="0" layoutInCell="1" allowOverlap="1">
                <wp:simplePos x="0" y="0"/>
                <wp:positionH relativeFrom="column">
                  <wp:posOffset>2267585</wp:posOffset>
                </wp:positionH>
                <wp:positionV relativeFrom="paragraph">
                  <wp:posOffset>141605</wp:posOffset>
                </wp:positionV>
                <wp:extent cx="0" cy="142875"/>
                <wp:effectExtent l="0" t="0" r="38100" b="28575"/>
                <wp:wrapNone/>
                <wp:docPr id="49" name="AutoShape 78"/>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ln>
                      </wps:spPr>
                      <wps:bodyPr/>
                    </wps:wsp>
                  </a:graphicData>
                </a:graphic>
              </wp:anchor>
            </w:drawing>
          </mc:Choice>
          <mc:Fallback>
            <w:pict>
              <v:shape id="AutoShape 78" o:spid="_x0000_s1026" o:spt="32" type="#_x0000_t32" style="position:absolute;left:0pt;margin-left:178.55pt;margin-top:11.15pt;height:11.25pt;width:0pt;z-index:251674624;mso-width-relative:page;mso-height-relative:page;" filled="f" stroked="t" coordsize="21600,21600" o:gfxdata="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3AGgbYAAAACQEAAA8AAAAAAAAAAQAg&#10;AAAAIgAAAGRycy9kb3ducmV2LnhtbFBLAQIUABQAAAAIAIdO4kDK/lhY1QEAALMDAAAOAAAAAAAA&#10;AAEAIAAAACcBAABkcnMvZTJvRG9jLnhtbFBLBQYAAAAABgAGAFkBAABuBQAAAAA=&#10;">
                <v:fill on="f" focussize="0,0"/>
                <v:stroke color="#000000" joinstyle="round"/>
                <v:imagedata o:title=""/>
                <o:lock v:ext="edit" aspectratio="f"/>
              </v:shape>
            </w:pict>
          </mc:Fallback>
        </mc:AlternateContent>
      </w:r>
      <w:r>
        <w:rPr>
          <w:rFonts w:ascii="宋体" w:hAnsi="宋体" w:cs="宋体"/>
        </w:rPr>
        <mc:AlternateContent>
          <mc:Choice Requires="wps">
            <w:drawing>
              <wp:anchor distT="0" distB="0" distL="114300" distR="114300" simplePos="0" relativeHeight="251671552" behindDoc="0" locked="0" layoutInCell="1" allowOverlap="1">
                <wp:simplePos x="0" y="0"/>
                <wp:positionH relativeFrom="column">
                  <wp:posOffset>3190240</wp:posOffset>
                </wp:positionH>
                <wp:positionV relativeFrom="paragraph">
                  <wp:posOffset>138430</wp:posOffset>
                </wp:positionV>
                <wp:extent cx="635" cy="133350"/>
                <wp:effectExtent l="0" t="0" r="37465" b="19050"/>
                <wp:wrapNone/>
                <wp:docPr id="48" name="Line 58"/>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line">
                          <a:avLst/>
                        </a:prstGeom>
                        <a:noFill/>
                        <a:ln w="9525">
                          <a:solidFill>
                            <a:srgbClr val="000000"/>
                          </a:solidFill>
                          <a:round/>
                        </a:ln>
                      </wps:spPr>
                      <wps:bodyPr/>
                    </wps:wsp>
                  </a:graphicData>
                </a:graphic>
              </wp:anchor>
            </w:drawing>
          </mc:Choice>
          <mc:Fallback>
            <w:pict>
              <v:line id="Line 58" o:spid="_x0000_s1026" o:spt="20" style="position:absolute;left:0pt;margin-left:251.2pt;margin-top:10.9pt;height:10.5pt;width:0.05pt;z-index:251671552;mso-width-relative:page;mso-height-relative:page;" filled="f" stroked="t" coordsize="21600,21600" o:gfxdata="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LQ3UnWAAAACQEAAA8AAAAAAAAAAQAgAAAAIgAAAGRy&#10;cy9kb3ducmV2LnhtbFBLAQIUABQAAAAIAIdO4kC1d5N0zgEAAKIDAAAOAAAAAAAAAAEAIAAAACUB&#10;AABkcnMvZTJvRG9jLnhtbFBLBQYAAAAABgAGAFkBAABlBQAAAAA=&#10;">
                <v:fill on="f" focussize="0,0"/>
                <v:stroke color="#000000" joinstyle="round"/>
                <v:imagedata o:title=""/>
                <o:lock v:ext="edit" aspectratio="f"/>
              </v:line>
            </w:pict>
          </mc:Fallback>
        </mc:AlternateContent>
      </w:r>
      <w:r>
        <w:rPr>
          <w:rFonts w:ascii="宋体" w:hAnsi="宋体" w:cs="宋体"/>
        </w:rPr>
        <mc:AlternateContent>
          <mc:Choice Requires="wps">
            <w:drawing>
              <wp:anchor distT="0" distB="0" distL="114300" distR="114300" simplePos="0" relativeHeight="251675648" behindDoc="0" locked="0" layoutInCell="1" allowOverlap="1">
                <wp:simplePos x="0" y="0"/>
                <wp:positionH relativeFrom="column">
                  <wp:posOffset>1433195</wp:posOffset>
                </wp:positionH>
                <wp:positionV relativeFrom="paragraph">
                  <wp:posOffset>127000</wp:posOffset>
                </wp:positionV>
                <wp:extent cx="0" cy="142875"/>
                <wp:effectExtent l="0" t="0" r="19050" b="28575"/>
                <wp:wrapNone/>
                <wp:docPr id="50" name="AutoShape 83"/>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ln>
                      </wps:spPr>
                      <wps:bodyPr/>
                    </wps:wsp>
                  </a:graphicData>
                </a:graphic>
              </wp:anchor>
            </w:drawing>
          </mc:Choice>
          <mc:Fallback>
            <w:pict>
              <v:shape id="AutoShape 83" o:spid="_x0000_s1026" o:spt="32" type="#_x0000_t32" style="position:absolute;left:0pt;margin-left:112.85pt;margin-top:10pt;height:11.25pt;width:0pt;z-index:251675648;mso-width-relative:page;mso-height-relative:page;" filled="f" stroked="t" coordsize="21600,21600" o:gfxdata="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bbjtfWAAAACQEAAA8AAAAAAAAAAQAgAAAA&#10;IgAAAGRycy9kb3ducmV2LnhtbFBLAQIUABQAAAAIAIdO4kDobXME1AEAALMDAAAOAAAAAAAAAAEA&#10;IAAAACUBAABkcnMvZTJvRG9jLnhtbFBLBQYAAAAABgAGAFkBAABrBQAAAAA=&#10;">
                <v:fill on="f" focussize="0,0"/>
                <v:stroke color="#000000" joinstyle="round"/>
                <v:imagedata o:title=""/>
                <o:lock v:ext="edit" aspectratio="f"/>
              </v:shape>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678720" behindDoc="0" locked="0" layoutInCell="1" allowOverlap="1">
                <wp:simplePos x="0" y="0"/>
                <wp:positionH relativeFrom="column">
                  <wp:posOffset>2192655</wp:posOffset>
                </wp:positionH>
                <wp:positionV relativeFrom="paragraph">
                  <wp:posOffset>189865</wp:posOffset>
                </wp:positionV>
                <wp:extent cx="1181100" cy="320675"/>
                <wp:effectExtent l="0" t="0" r="19050" b="22225"/>
                <wp:wrapNone/>
                <wp:docPr id="53" name="矩形 260"/>
                <wp:cNvGraphicFramePr/>
                <a:graphic xmlns:a="http://schemas.openxmlformats.org/drawingml/2006/main">
                  <a:graphicData uri="http://schemas.microsoft.com/office/word/2010/wordprocessingShape">
                    <wps:wsp>
                      <wps:cNvSpPr>
                        <a:spLocks noChangeArrowheads="1"/>
                      </wps:cNvSpPr>
                      <wps:spPr bwMode="auto">
                        <a:xfrm>
                          <a:off x="0" y="0"/>
                          <a:ext cx="1181100" cy="320675"/>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现场处置方案</w:t>
                            </w:r>
                          </w:p>
                        </w:txbxContent>
                      </wps:txbx>
                      <wps:bodyPr rot="0" vert="horz" wrap="square" lIns="91440" tIns="45720" rIns="91440" bIns="45720" anchor="t" anchorCtr="0" upright="1">
                        <a:noAutofit/>
                      </wps:bodyPr>
                    </wps:wsp>
                  </a:graphicData>
                </a:graphic>
              </wp:anchor>
            </w:drawing>
          </mc:Choice>
          <mc:Fallback>
            <w:pict>
              <v:rect id="矩形 260" o:spid="_x0000_s1026" o:spt="1" style="position:absolute;left:0pt;margin-left:172.65pt;margin-top:14.95pt;height:25.25pt;width:93pt;z-index:251678720;mso-width-relative:page;mso-height-relative:page;" filled="f" stroked="t" coordsize="21600,21600" o:gfxdata="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R0jFE2QAAAAkBAAAPAAAAAAAAAAEAIAAAACIAAABkcnMvZG93bnJl&#10;di54bWxQSwECFAAUAAAACACHTuJAtx4XKDUCAABVBAAADgAAAAAAAAABACAAAAAoAQAAZHJzL2Uy&#10;b0RvYy54bWxQSwUGAAAAAAYABgBZAQAAzwU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现场处置方案</w:t>
                      </w:r>
                    </w:p>
                  </w:txbxContent>
                </v:textbox>
              </v:rect>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679744" behindDoc="0" locked="0" layoutInCell="1" allowOverlap="1">
                <wp:simplePos x="0" y="0"/>
                <wp:positionH relativeFrom="column">
                  <wp:posOffset>2773045</wp:posOffset>
                </wp:positionH>
                <wp:positionV relativeFrom="paragraph">
                  <wp:posOffset>157480</wp:posOffset>
                </wp:positionV>
                <wp:extent cx="0" cy="255905"/>
                <wp:effectExtent l="76200" t="0" r="57150" b="48895"/>
                <wp:wrapNone/>
                <wp:docPr id="54" name="AutoShape 44"/>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tailEnd type="triangle" w="med" len="med"/>
                        </a:ln>
                      </wps:spPr>
                      <wps:bodyPr/>
                    </wps:wsp>
                  </a:graphicData>
                </a:graphic>
              </wp:anchor>
            </w:drawing>
          </mc:Choice>
          <mc:Fallback>
            <w:pict>
              <v:shape id="AutoShape 44" o:spid="_x0000_s1026" o:spt="32" type="#_x0000_t32" style="position:absolute;left:0pt;margin-left:218.35pt;margin-top:12.4pt;height:20.15pt;width:0pt;z-index:251679744;mso-width-relative:page;mso-height-relative:page;" filled="f" stroked="t" coordsize="21600,21600" o:gfxdata="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cWL+2AAAAAkBAAAPAAAAAAAAAAEAIAAAACIAAABkcnMvZG93bnJldi54bWxQSwECFAAUAAAA&#10;CACHTuJAIHI3wu4BAADhAwAADgAAAAAAAAABACAAAAAnAQAAZHJzL2Uyb0RvYy54bWxQSwUGAAAA&#10;AAYABgBZAQAAhwUAAAAA&#10;">
                <v:fill on="f" focussize="0,0"/>
                <v:stroke color="#000000" joinstyle="round" endarrow="block"/>
                <v:imagedata o:title=""/>
                <o:lock v:ext="edit" aspectratio="f"/>
              </v:shape>
            </w:pict>
          </mc:Fallback>
        </mc:AlternateContent>
      </w:r>
    </w:p>
    <w:p>
      <w:pPr>
        <w:ind w:firstLine="560"/>
        <w:jc w:val="center"/>
        <w:rPr>
          <w:rFonts w:ascii="宋体" w:hAnsi="宋体" w:cs="宋体"/>
        </w:rPr>
      </w:pPr>
      <w:r>
        <mc:AlternateContent>
          <mc:Choice Requires="wps">
            <w:drawing>
              <wp:anchor distT="0" distB="0" distL="114300" distR="114300" simplePos="0" relativeHeight="251683840" behindDoc="0" locked="0" layoutInCell="1" allowOverlap="1">
                <wp:simplePos x="0" y="0"/>
                <wp:positionH relativeFrom="column">
                  <wp:posOffset>2776855</wp:posOffset>
                </wp:positionH>
                <wp:positionV relativeFrom="paragraph">
                  <wp:posOffset>76200</wp:posOffset>
                </wp:positionV>
                <wp:extent cx="0" cy="179705"/>
                <wp:effectExtent l="76200" t="0" r="57150" b="48895"/>
                <wp:wrapNone/>
                <wp:docPr id="59" name="Line 89"/>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tailEnd type="triangle" w="med" len="med"/>
                        </a:ln>
                      </wps:spPr>
                      <wps:bodyPr/>
                    </wps:wsp>
                  </a:graphicData>
                </a:graphic>
              </wp:anchor>
            </w:drawing>
          </mc:Choice>
          <mc:Fallback>
            <w:pict>
              <v:line id="Line 89" o:spid="_x0000_s1026" o:spt="20" style="position:absolute;left:0pt;margin-left:218.65pt;margin-top:6pt;height:14.15pt;width:0pt;z-index:251683840;mso-width-relative:page;mso-height-relative:page;" filled="f" stroked="t" coordsize="21600,21600" o:gfxdata="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fvGatgAAAAJ&#10;AQAADwAAAAAAAAABACAAAAAiAAAAZHJzL2Rvd25yZXYueG1sUEsBAhQAFAAAAAgAh07iQMKaKzDj&#10;AQAAzgMAAA4AAAAAAAAAAQAgAAAAJwEAAGRycy9lMm9Eb2MueG1sUEsFBgAAAAAGAAYAWQEAAHw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577215</wp:posOffset>
                </wp:positionH>
                <wp:positionV relativeFrom="paragraph">
                  <wp:posOffset>82550</wp:posOffset>
                </wp:positionV>
                <wp:extent cx="4476750" cy="0"/>
                <wp:effectExtent l="0" t="0" r="0" b="0"/>
                <wp:wrapNone/>
                <wp:docPr id="55" name="直接连接符 55"/>
                <wp:cNvGraphicFramePr/>
                <a:graphic xmlns:a="http://schemas.openxmlformats.org/drawingml/2006/main">
                  <a:graphicData uri="http://schemas.microsoft.com/office/word/2010/wordprocessingShape">
                    <wps:wsp>
                      <wps:cNvCnPr/>
                      <wps:spPr>
                        <a:xfrm>
                          <a:off x="0" y="0"/>
                          <a:ext cx="447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5.45pt;margin-top:6.5pt;height:0pt;width:352.5pt;z-index:251695104;mso-width-relative:page;mso-height-relative:page;" filled="f" stroked="t" coordsize="21600,21600" o:gfxdata="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sCgrv1AAAAAgBAAAPAAAAAAAAAAEAIAAAACIAAABkcnMvZG93bnJldi54bWxQSwECFAAUAAAA&#10;CACHTuJAChIt1fIBAADVAwAADgAAAAAAAAABACAAAAAjAQAAZHJzL2Uyb0RvYy54bWxQSwUGAAAA&#10;AAYABgBZAQAAhwUAAAAA&#10;">
                <v:fill on="f" focussize="0,0"/>
                <v:stroke color="#000000 [3200]" joinstyle="round"/>
                <v:imagedata o:title=""/>
                <o:lock v:ext="edit" aspectratio="f"/>
              </v:lin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4758690</wp:posOffset>
                </wp:positionH>
                <wp:positionV relativeFrom="paragraph">
                  <wp:posOffset>321945</wp:posOffset>
                </wp:positionV>
                <wp:extent cx="621665" cy="1348740"/>
                <wp:effectExtent l="0" t="0" r="26035" b="22860"/>
                <wp:wrapNone/>
                <wp:docPr id="995" name="Rectangle 84"/>
                <wp:cNvGraphicFramePr/>
                <a:graphic xmlns:a="http://schemas.openxmlformats.org/drawingml/2006/main">
                  <a:graphicData uri="http://schemas.microsoft.com/office/word/2010/wordprocessingShape">
                    <wps:wsp>
                      <wps:cNvSpPr>
                        <a:spLocks noChangeArrowheads="1"/>
                      </wps:cNvSpPr>
                      <wps:spPr bwMode="auto">
                        <a:xfrm>
                          <a:off x="0" y="0"/>
                          <a:ext cx="621665" cy="134874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触电事故现场处置方案</w:t>
                            </w:r>
                          </w:p>
                        </w:txbxContent>
                      </wps:txbx>
                      <wps:bodyPr rot="0" vert="horz" wrap="square" lIns="91440" tIns="45720" rIns="91440" bIns="45720" anchor="t" anchorCtr="0" upright="1">
                        <a:noAutofit/>
                      </wps:bodyPr>
                    </wps:wsp>
                  </a:graphicData>
                </a:graphic>
              </wp:anchor>
            </w:drawing>
          </mc:Choice>
          <mc:Fallback>
            <w:pict>
              <v:rect id="Rectangle 84" o:spid="_x0000_s1026" o:spt="1" style="position:absolute;left:0pt;margin-left:374.7pt;margin-top:25.35pt;height:106.2pt;width:48.95pt;z-index:251692032;mso-width-relative:page;mso-height-relative:page;" filled="f" stroked="t" coordsize="21600,21600" o:gfxdata="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anPv7aAAAACgEAAA8AAAAAAAAAAQAgAAAAIgAAAGRycy9kb3ducmV2LnhtbFBL&#10;AQIUABQAAAAIAIdO4kD20oPuLQIAAFgEAAAOAAAAAAAAAAEAIAAAACkBAABkcnMvZTJvRG9jLnht&#10;bFBLBQYAAAAABgAGAFkBAADI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触电事故现场处置方案</w:t>
                      </w:r>
                    </w:p>
                  </w:txbxContent>
                </v:textbox>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4041140</wp:posOffset>
                </wp:positionH>
                <wp:positionV relativeFrom="paragraph">
                  <wp:posOffset>317500</wp:posOffset>
                </wp:positionV>
                <wp:extent cx="621665" cy="1348740"/>
                <wp:effectExtent l="0" t="0" r="26035" b="22860"/>
                <wp:wrapNone/>
                <wp:docPr id="996" name="Rectangle 84"/>
                <wp:cNvGraphicFramePr/>
                <a:graphic xmlns:a="http://schemas.openxmlformats.org/drawingml/2006/main">
                  <a:graphicData uri="http://schemas.microsoft.com/office/word/2010/wordprocessingShape">
                    <wps:wsp>
                      <wps:cNvSpPr>
                        <a:spLocks noChangeArrowheads="1"/>
                      </wps:cNvSpPr>
                      <wps:spPr bwMode="auto">
                        <a:xfrm>
                          <a:off x="0" y="0"/>
                          <a:ext cx="621665" cy="134874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中毒窒息事故现场处置方案</w:t>
                            </w:r>
                          </w:p>
                        </w:txbxContent>
                      </wps:txbx>
                      <wps:bodyPr rot="0" vert="horz" wrap="square" lIns="91440" tIns="45720" rIns="91440" bIns="45720" anchor="t" anchorCtr="0" upright="1">
                        <a:noAutofit/>
                      </wps:bodyPr>
                    </wps:wsp>
                  </a:graphicData>
                </a:graphic>
              </wp:anchor>
            </w:drawing>
          </mc:Choice>
          <mc:Fallback>
            <w:pict>
              <v:rect id="Rectangle 84" o:spid="_x0000_s1026" o:spt="1" style="position:absolute;left:0pt;margin-left:318.2pt;margin-top:25pt;height:106.2pt;width:48.95pt;z-index:251691008;mso-width-relative:page;mso-height-relative:page;" filled="f" stroked="t" coordsize="21600,21600" o:gfxdata="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qoT8raAAAACgEAAA8AAAAAAAAAAQAgAAAAIgAAAGRycy9kb3ducmV2LnhtbFBL&#10;AQIUABQAAAAIAIdO4kCkksVMLQIAAFgEAAAOAAAAAAAAAAEAIAAAACkBAABkcnMvZTJvRG9jLnht&#10;bFBLBQYAAAAABgAGAFkBAADI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中毒窒息事故现场处置方案</w:t>
                      </w:r>
                    </w:p>
                  </w:txbxContent>
                </v:textbox>
              </v:rect>
            </w:pict>
          </mc:Fallback>
        </mc:AlternateContent>
      </w:r>
      <w:r>
        <w:rPr>
          <w:rFonts w:ascii="宋体" w:hAnsi="宋体" w:cs="宋体"/>
        </w:rPr>
        <mc:AlternateContent>
          <mc:Choice Requires="wps">
            <w:drawing>
              <wp:anchor distT="0" distB="0" distL="114300" distR="114300" simplePos="0" relativeHeight="251715584" behindDoc="0" locked="0" layoutInCell="1" allowOverlap="1">
                <wp:simplePos x="0" y="0"/>
                <wp:positionH relativeFrom="column">
                  <wp:posOffset>3302000</wp:posOffset>
                </wp:positionH>
                <wp:positionV relativeFrom="paragraph">
                  <wp:posOffset>315595</wp:posOffset>
                </wp:positionV>
                <wp:extent cx="621665" cy="1360170"/>
                <wp:effectExtent l="0" t="0" r="26035" b="11430"/>
                <wp:wrapNone/>
                <wp:docPr id="982" name="Rectangle 84"/>
                <wp:cNvGraphicFramePr/>
                <a:graphic xmlns:a="http://schemas.openxmlformats.org/drawingml/2006/main">
                  <a:graphicData uri="http://schemas.microsoft.com/office/word/2010/wordprocessingShape">
                    <wps:wsp>
                      <wps:cNvSpPr>
                        <a:spLocks noChangeArrowheads="1"/>
                      </wps:cNvSpPr>
                      <wps:spPr bwMode="auto">
                        <a:xfrm>
                          <a:off x="0" y="0"/>
                          <a:ext cx="621665" cy="136017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调压计量设施现场处置方案</w:t>
                            </w:r>
                          </w:p>
                        </w:txbxContent>
                      </wps:txbx>
                      <wps:bodyPr rot="0" vert="horz" wrap="square" lIns="91440" tIns="45720" rIns="91440" bIns="45720" anchor="t" anchorCtr="0" upright="1">
                        <a:noAutofit/>
                      </wps:bodyPr>
                    </wps:wsp>
                  </a:graphicData>
                </a:graphic>
              </wp:anchor>
            </w:drawing>
          </mc:Choice>
          <mc:Fallback>
            <w:pict>
              <v:rect id="Rectangle 84" o:spid="_x0000_s1026" o:spt="1" style="position:absolute;left:0pt;margin-left:260pt;margin-top:24.85pt;height:107.1pt;width:48.95pt;z-index:251715584;mso-width-relative:page;mso-height-relative:page;" filled="f" stroked="t" coordsize="21600,21600" o:gfxdata="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n+x8S2AAAAAoBAAAPAAAAAAAAAAEAIAAAACIAAABkcnMvZG93bnJldi54bWxQSwEC&#10;FAAUAAAACACHTuJAawTLKC0CAABYBAAADgAAAAAAAAABACAAAAAnAQAAZHJzL2Uyb0RvYy54bWxQ&#10;SwUGAAAAAAYABgBZAQAAxgU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调压计量设施现场处置方案</w:t>
                      </w:r>
                    </w:p>
                  </w:txbxContent>
                </v:textbox>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2505710</wp:posOffset>
                </wp:positionH>
                <wp:positionV relativeFrom="paragraph">
                  <wp:posOffset>314960</wp:posOffset>
                </wp:positionV>
                <wp:extent cx="621665" cy="1360170"/>
                <wp:effectExtent l="0" t="0" r="26035" b="11430"/>
                <wp:wrapNone/>
                <wp:docPr id="994" name="Rectangle 84"/>
                <wp:cNvGraphicFramePr/>
                <a:graphic xmlns:a="http://schemas.openxmlformats.org/drawingml/2006/main">
                  <a:graphicData uri="http://schemas.microsoft.com/office/word/2010/wordprocessingShape">
                    <wps:wsp>
                      <wps:cNvSpPr>
                        <a:spLocks noChangeArrowheads="1"/>
                      </wps:cNvSpPr>
                      <wps:spPr bwMode="auto">
                        <a:xfrm>
                          <a:off x="0" y="0"/>
                          <a:ext cx="621665" cy="136017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四氢噻吩泄漏现场处置方案</w:t>
                            </w:r>
                          </w:p>
                        </w:txbxContent>
                      </wps:txbx>
                      <wps:bodyPr rot="0" vert="horz" wrap="square" lIns="91440" tIns="45720" rIns="91440" bIns="45720" anchor="t" anchorCtr="0" upright="1">
                        <a:noAutofit/>
                      </wps:bodyPr>
                    </wps:wsp>
                  </a:graphicData>
                </a:graphic>
              </wp:anchor>
            </w:drawing>
          </mc:Choice>
          <mc:Fallback>
            <w:pict>
              <v:rect id="Rectangle 84" o:spid="_x0000_s1026" o:spt="1" style="position:absolute;left:0pt;margin-left:197.3pt;margin-top:24.8pt;height:107.1pt;width:48.95pt;z-index:251687936;mso-width-relative:page;mso-height-relative:page;" filled="f" stroked="t" coordsize="21600,21600" o:gfxdata="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CxYc/aAAAACgEAAA8AAAAAAAAAAQAgAAAAIgAAAGRycy9kb3ducmV2LnhtbFBL&#10;AQIUABQAAAAIAIdO4kAGr4vLLQIAAFgEAAAOAAAAAAAAAAEAIAAAACkBAABkcnMvZTJvRG9jLnht&#10;bFBLBQYAAAAABgAGAFkBAADI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四氢噻吩泄漏现场处置方案</w:t>
                      </w:r>
                    </w:p>
                  </w:txbxContent>
                </v:textbox>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242570</wp:posOffset>
                </wp:positionH>
                <wp:positionV relativeFrom="paragraph">
                  <wp:posOffset>288925</wp:posOffset>
                </wp:positionV>
                <wp:extent cx="621665" cy="1371600"/>
                <wp:effectExtent l="0" t="0" r="26035" b="19050"/>
                <wp:wrapNone/>
                <wp:docPr id="63" name="Rectangle 52"/>
                <wp:cNvGraphicFramePr/>
                <a:graphic xmlns:a="http://schemas.openxmlformats.org/drawingml/2006/main">
                  <a:graphicData uri="http://schemas.microsoft.com/office/word/2010/wordprocessingShape">
                    <wps:wsp>
                      <wps:cNvSpPr>
                        <a:spLocks noChangeArrowheads="1"/>
                      </wps:cNvSpPr>
                      <wps:spPr bwMode="auto">
                        <a:xfrm>
                          <a:off x="0" y="0"/>
                          <a:ext cx="621665" cy="137160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管道燃气泄漏现场处置方案</w:t>
                            </w:r>
                          </w:p>
                        </w:txbxContent>
                      </wps:txbx>
                      <wps:bodyPr rot="0" vert="horz" wrap="square" lIns="91440" tIns="45720" rIns="91440" bIns="45720" anchor="t" anchorCtr="0" upright="1">
                        <a:noAutofit/>
                      </wps:bodyPr>
                    </wps:wsp>
                  </a:graphicData>
                </a:graphic>
              </wp:anchor>
            </w:drawing>
          </mc:Choice>
          <mc:Fallback>
            <w:pict>
              <v:rect id="Rectangle 52" o:spid="_x0000_s1026" o:spt="1" style="position:absolute;left:0pt;margin-left:19.1pt;margin-top:22.75pt;height:108pt;width:48.95pt;z-index:251681792;mso-width-relative:page;mso-height-relative:page;" filled="f" stroked="t" coordsize="21600,21600" o:gfxdata="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N2g7jYAAAACQEAAA8AAAAAAAAAAQAgAAAAIgAAAGRycy9kb3ducmV2LnhtbFBLAQIU&#10;ABQAAAAIAIdO4kDa5tMCLAIAAFcEAAAOAAAAAAAAAAEAIAAAACcBAABkcnMvZTJvRG9jLnhtbFBL&#10;BQYAAAAABgAGAFkBAADF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管道燃气泄漏现场处置方案</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1743710</wp:posOffset>
                </wp:positionH>
                <wp:positionV relativeFrom="paragraph">
                  <wp:posOffset>316865</wp:posOffset>
                </wp:positionV>
                <wp:extent cx="621665" cy="1360170"/>
                <wp:effectExtent l="0" t="0" r="26035" b="11430"/>
                <wp:wrapNone/>
                <wp:docPr id="992" name="Rectangle 84"/>
                <wp:cNvGraphicFramePr/>
                <a:graphic xmlns:a="http://schemas.openxmlformats.org/drawingml/2006/main">
                  <a:graphicData uri="http://schemas.microsoft.com/office/word/2010/wordprocessingShape">
                    <wps:wsp>
                      <wps:cNvSpPr>
                        <a:spLocks noChangeArrowheads="1"/>
                      </wps:cNvSpPr>
                      <wps:spPr bwMode="auto">
                        <a:xfrm>
                          <a:off x="0" y="0"/>
                          <a:ext cx="621665" cy="136017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突发火灾爆炸现场处置方案</w:t>
                            </w:r>
                          </w:p>
                        </w:txbxContent>
                      </wps:txbx>
                      <wps:bodyPr rot="0" vert="horz" wrap="square" lIns="91440" tIns="45720" rIns="91440" bIns="45720" anchor="t" anchorCtr="0" upright="1">
                        <a:noAutofit/>
                      </wps:bodyPr>
                    </wps:wsp>
                  </a:graphicData>
                </a:graphic>
              </wp:anchor>
            </w:drawing>
          </mc:Choice>
          <mc:Fallback>
            <w:pict>
              <v:rect id="Rectangle 84" o:spid="_x0000_s1026" o:spt="1" style="position:absolute;left:0pt;margin-left:137.3pt;margin-top:24.95pt;height:107.1pt;width:48.95pt;z-index:251684864;mso-width-relative:page;mso-height-relative:page;" filled="f" stroked="t" coordsize="21600,21600" o:gfxdata="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AGje3aAAAACgEAAA8AAAAAAAAAAQAgAAAAIgAAAGRycy9kb3ducmV2LnhtbFBL&#10;AQIUABQAAAAIAIdO4kDjKXZULQIAAFgEAAAOAAAAAAAAAAEAIAAAACkBAABkcnMvZTJvRG9jLnht&#10;bFBLBQYAAAAABgAGAFkBAADI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突发火灾爆炸现场处置方案</w:t>
                      </w:r>
                    </w:p>
                  </w:txbxContent>
                </v:textbox>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948055</wp:posOffset>
                </wp:positionH>
                <wp:positionV relativeFrom="paragraph">
                  <wp:posOffset>299720</wp:posOffset>
                </wp:positionV>
                <wp:extent cx="628015" cy="1382395"/>
                <wp:effectExtent l="0" t="0" r="19685" b="27305"/>
                <wp:wrapNone/>
                <wp:docPr id="993" name="Rectangle 85"/>
                <wp:cNvGraphicFramePr/>
                <a:graphic xmlns:a="http://schemas.openxmlformats.org/drawingml/2006/main">
                  <a:graphicData uri="http://schemas.microsoft.com/office/word/2010/wordprocessingShape">
                    <wps:wsp>
                      <wps:cNvSpPr>
                        <a:spLocks noChangeArrowheads="1"/>
                      </wps:cNvSpPr>
                      <wps:spPr bwMode="auto">
                        <a:xfrm>
                          <a:off x="0" y="0"/>
                          <a:ext cx="628015" cy="1382395"/>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户内燃气泄漏现场处置方案</w:t>
                            </w:r>
                          </w:p>
                        </w:txbxContent>
                      </wps:txbx>
                      <wps:bodyPr rot="0" vert="horz" wrap="square" lIns="91440" tIns="45720" rIns="91440" bIns="45720" anchor="t" anchorCtr="0" upright="1">
                        <a:noAutofit/>
                      </wps:bodyPr>
                    </wps:wsp>
                  </a:graphicData>
                </a:graphic>
              </wp:anchor>
            </w:drawing>
          </mc:Choice>
          <mc:Fallback>
            <w:pict>
              <v:rect id="Rectangle 85" o:spid="_x0000_s1026" o:spt="1" style="position:absolute;left:0pt;margin-left:74.65pt;margin-top:23.6pt;height:108.85pt;width:49.45pt;z-index:251686912;mso-width-relative:page;mso-height-relative:page;" filled="f" stroked="t" coordsize="21600,21600" o:gfxdata="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DsvLG2AAAAAoBAAAPAAAAAAAAAAEAIAAAACIAAABkcnMvZG93bnJldi54bWxQSwEC&#10;FAAUAAAACACHTuJADvAJWS0CAABYBAAADgAAAAAAAAABACAAAAAnAQAAZHJzL2Uyb0RvYy54bWxQ&#10;SwUGAAAAAAYABgBZAQAAxgU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户内燃气泄漏现场处置方案</w:t>
                      </w:r>
                    </w:p>
                  </w:txbxContent>
                </v:textbox>
              </v:rect>
            </w:pict>
          </mc:Fallback>
        </mc:AlternateContent>
      </w:r>
      <w:r>
        <w:rPr>
          <w:rFonts w:ascii="宋体" w:hAnsi="宋体" w:cs="宋体"/>
        </w:rPr>
        <mc:AlternateContent>
          <mc:Choice Requires="wps">
            <w:drawing>
              <wp:anchor distT="0" distB="0" distL="114300" distR="114300" simplePos="0" relativeHeight="251714560" behindDoc="0" locked="0" layoutInCell="1" allowOverlap="1">
                <wp:simplePos x="0" y="0"/>
                <wp:positionH relativeFrom="column">
                  <wp:posOffset>3594100</wp:posOffset>
                </wp:positionH>
                <wp:positionV relativeFrom="paragraph">
                  <wp:posOffset>74295</wp:posOffset>
                </wp:positionV>
                <wp:extent cx="0" cy="179705"/>
                <wp:effectExtent l="76200" t="0" r="57150" b="48895"/>
                <wp:wrapNone/>
                <wp:docPr id="981" name="Line 89"/>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tailEnd type="triangle" w="med" len="med"/>
                        </a:ln>
                      </wps:spPr>
                      <wps:bodyPr/>
                    </wps:wsp>
                  </a:graphicData>
                </a:graphic>
              </wp:anchor>
            </w:drawing>
          </mc:Choice>
          <mc:Fallback>
            <w:pict>
              <v:line id="Line 89" o:spid="_x0000_s1026" o:spt="20" style="position:absolute;left:0pt;margin-left:283pt;margin-top:5.85pt;height:14.15pt;width:0pt;z-index:251714560;mso-width-relative:page;mso-height-relative:page;" filled="f" stroked="t" coordsize="21600,21600" o:gfxdata="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3FgmtgAAAAJ&#10;AQAADwAAAAAAAAABACAAAAAiAAAAZHJzL2Rvd25yZXYueG1sUEsBAhQAFAAAAAgAh07iQD8tcFnj&#10;AQAAzwMAAA4AAAAAAAAAAQAgAAAAJwEAAGRycy9lMm9Eb2MueG1sUEsFBgAAAAAGAAYAWQEAAHw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4321810</wp:posOffset>
                </wp:positionH>
                <wp:positionV relativeFrom="paragraph">
                  <wp:posOffset>82550</wp:posOffset>
                </wp:positionV>
                <wp:extent cx="0" cy="179070"/>
                <wp:effectExtent l="76200" t="0" r="57150" b="49530"/>
                <wp:wrapNone/>
                <wp:docPr id="61" name="Line 89"/>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tailEnd type="triangle" w="med" len="med"/>
                        </a:ln>
                      </wps:spPr>
                      <wps:bodyPr/>
                    </wps:wsp>
                  </a:graphicData>
                </a:graphic>
              </wp:anchor>
            </w:drawing>
          </mc:Choice>
          <mc:Fallback>
            <w:pict>
              <v:line id="Line 89" o:spid="_x0000_s1026" o:spt="20" style="position:absolute;left:0pt;margin-left:340.3pt;margin-top:6.5pt;height:14.1pt;width:0pt;z-index:251685888;mso-width-relative:page;mso-height-relative:page;" filled="f" stroked="t" coordsize="21600,21600" o:gfxdata="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2uxk2AAA&#10;AAkBAAAPAAAAAAAAAAEAIAAAACIAAABkcnMvZG93bnJldi54bWxQSwECFAAUAAAACACHTuJAjMBh&#10;Y+UBAADOAwAADgAAAAAAAAABACAAAAAnAQAAZHJzL2Uyb0RvYy54bWxQSwUGAAAAAAYABgBZAQAA&#10;f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5035550</wp:posOffset>
                </wp:positionH>
                <wp:positionV relativeFrom="paragraph">
                  <wp:posOffset>99060</wp:posOffset>
                </wp:positionV>
                <wp:extent cx="0" cy="179070"/>
                <wp:effectExtent l="76200" t="0" r="57150" b="49530"/>
                <wp:wrapNone/>
                <wp:docPr id="56" name="Line 50"/>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tailEnd type="triangle" w="med" len="med"/>
                        </a:ln>
                      </wps:spPr>
                      <wps:bodyPr/>
                    </wps:wsp>
                  </a:graphicData>
                </a:graphic>
              </wp:anchor>
            </w:drawing>
          </mc:Choice>
          <mc:Fallback>
            <w:pict>
              <v:line id="Line 50" o:spid="_x0000_s1026" o:spt="20" style="position:absolute;left:0pt;margin-left:396.5pt;margin-top:7.8pt;height:14.1pt;width:0pt;z-index:251693056;mso-width-relative:page;mso-height-relative:page;" filled="f" stroked="t" coordsize="21600,21600" o:gfxdata="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yFemtkA&#10;AAAJAQAADwAAAAAAAAABACAAAAAiAAAAZHJzL2Rvd25yZXYueG1sUEsBAhQAFAAAAAgAh07iQN8f&#10;kJjlAQAAzgMAAA4AAAAAAAAAAQAgAAAAKAEAAGRycy9lMm9Eb2MueG1sUEsFBgAAAAAGAAYAWQEA&#10;AH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2079625</wp:posOffset>
                </wp:positionH>
                <wp:positionV relativeFrom="paragraph">
                  <wp:posOffset>72390</wp:posOffset>
                </wp:positionV>
                <wp:extent cx="0" cy="179705"/>
                <wp:effectExtent l="76200" t="0" r="57150" b="48895"/>
                <wp:wrapNone/>
                <wp:docPr id="58" name="Line 88"/>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tailEnd type="triangle" w="med" len="med"/>
                        </a:ln>
                      </wps:spPr>
                      <wps:bodyPr/>
                    </wps:wsp>
                  </a:graphicData>
                </a:graphic>
              </wp:anchor>
            </w:drawing>
          </mc:Choice>
          <mc:Fallback>
            <w:pict>
              <v:line id="Line 88" o:spid="_x0000_s1026" o:spt="20" style="position:absolute;left:0pt;margin-left:163.75pt;margin-top:5.7pt;height:14.15pt;width:0pt;z-index:251682816;mso-width-relative:page;mso-height-relative:page;" filled="f" stroked="t" coordsize="21600,21600" o:gfxdata="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brn1zZAAAA&#10;CQEAAA8AAAAAAAAAAQAgAAAAIgAAAGRycy9kb3ducmV2LnhtbFBLAQIUABQAAAAIAIdO4kAoaNro&#10;4wEAAM4DAAAOAAAAAAAAAAEAIAAAACgBAABkcnMvZTJvRG9jLnhtbFBLBQYAAAAABgAGAFkBAAB9&#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1252220</wp:posOffset>
                </wp:positionH>
                <wp:positionV relativeFrom="paragraph">
                  <wp:posOffset>113030</wp:posOffset>
                </wp:positionV>
                <wp:extent cx="0" cy="179705"/>
                <wp:effectExtent l="76200" t="0" r="57150" b="48895"/>
                <wp:wrapNone/>
                <wp:docPr id="62" name="Line 50"/>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tailEnd type="triangle" w="med" len="med"/>
                        </a:ln>
                      </wps:spPr>
                      <wps:bodyPr/>
                    </wps:wsp>
                  </a:graphicData>
                </a:graphic>
              </wp:anchor>
            </w:drawing>
          </mc:Choice>
          <mc:Fallback>
            <w:pict>
              <v:line id="Line 50" o:spid="_x0000_s1026" o:spt="20" style="position:absolute;left:0pt;margin-left:98.6pt;margin-top:8.9pt;height:14.15pt;width:0pt;z-index:251680768;mso-width-relative:page;mso-height-relative:page;" filled="f" stroked="t" coordsize="21600,21600" o:gfxdata="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ZsF0XYAAAA&#10;CQEAAA8AAAAAAAAAAQAgAAAAIgAAAGRycy9kb3ducmV2LnhtbFBLAQIUABQAAAAIAIdO4kCxf7vk&#10;5AEAAM4DAAAOAAAAAAAAAAEAIAAAACcBAABkcnMvZTJvRG9jLnhtbFBLBQYAAAAABgAGAFkBAAB9&#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593725</wp:posOffset>
                </wp:positionH>
                <wp:positionV relativeFrom="paragraph">
                  <wp:posOffset>76200</wp:posOffset>
                </wp:positionV>
                <wp:extent cx="0" cy="179070"/>
                <wp:effectExtent l="76200" t="0" r="57150" b="49530"/>
                <wp:wrapNone/>
                <wp:docPr id="60" name="Line 89"/>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tailEnd type="triangle" w="med" len="med"/>
                        </a:ln>
                      </wps:spPr>
                      <wps:bodyPr/>
                    </wps:wsp>
                  </a:graphicData>
                </a:graphic>
              </wp:anchor>
            </w:drawing>
          </mc:Choice>
          <mc:Fallback>
            <w:pict>
              <v:line id="Line 89" o:spid="_x0000_s1026" o:spt="20" style="position:absolute;left:0pt;margin-left:46.75pt;margin-top:6pt;height:14.1pt;width:0pt;z-index:251694080;mso-width-relative:page;mso-height-relative:page;" filled="f" stroked="t" coordsize="21600,21600" o:gfxdata="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QJy7bXAAAA&#10;BwEAAA8AAAAAAAAAAQAgAAAAIgAAAGRycy9kb3ducmV2LnhtbFBLAQIUABQAAAAIAIdO4kDL+AbT&#10;5QEAAM4DAAAOAAAAAAAAAAEAIAAAACYBAABkcnMvZTJvRG9jLnhtbFBLBQYAAAAABgAGAFkBAAB9&#10;BQAAAAA=&#10;">
                <v:fill on="f" focussize="0,0"/>
                <v:stroke color="#000000" joinstyle="round" endarrow="block"/>
                <v:imagedata o:title=""/>
                <o:lock v:ext="edit" aspectratio="f"/>
              </v:line>
            </w:pict>
          </mc:Fallback>
        </mc:AlternateContent>
      </w:r>
    </w:p>
    <w:p>
      <w:pPr>
        <w:ind w:firstLine="560"/>
        <w:jc w:val="center"/>
        <w:rPr>
          <w:rFonts w:ascii="宋体" w:hAnsi="宋体" w:cs="宋体"/>
        </w:rPr>
      </w:pPr>
    </w:p>
    <w:p>
      <w:pPr>
        <w:ind w:firstLine="560"/>
        <w:rPr>
          <w:rFonts w:ascii="宋体" w:hAnsi="宋体" w:cs="宋体"/>
        </w:rPr>
      </w:pPr>
    </w:p>
    <w:p>
      <w:pPr>
        <w:ind w:firstLine="560"/>
        <w:rPr>
          <w:rFonts w:ascii="宋体" w:hAnsi="宋体" w:cs="宋体"/>
        </w:rPr>
      </w:pPr>
      <w:r>
        <w:rPr>
          <w:rFonts w:ascii="宋体" w:hAnsi="宋体" w:cs="宋体"/>
        </w:rPr>
        <w:tab/>
      </w:r>
    </w:p>
    <w:p>
      <w:pPr>
        <w:ind w:firstLine="560"/>
        <w:jc w:val="center"/>
        <w:rPr>
          <w:rFonts w:ascii="宋体" w:hAnsi="宋体" w:cs="宋体"/>
        </w:rPr>
      </w:pPr>
    </w:p>
    <w:p>
      <w:pPr>
        <w:tabs>
          <w:tab w:val="left" w:pos="3935"/>
        </w:tabs>
        <w:spacing w:after="0"/>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附图</w:t>
      </w:r>
      <w:r>
        <w:rPr>
          <w:rFonts w:asciiTheme="minorEastAsia" w:hAnsiTheme="minorEastAsia" w:eastAsiaTheme="minorEastAsia" w:cstheme="minorEastAsia"/>
          <w:b/>
          <w:bCs/>
          <w:sz w:val="24"/>
          <w:szCs w:val="24"/>
        </w:rPr>
        <w:t>3-1</w:t>
      </w:r>
      <w:r>
        <w:rPr>
          <w:rFonts w:hint="eastAsia" w:asciiTheme="minorEastAsia" w:hAnsiTheme="minorEastAsia" w:eastAsiaTheme="minorEastAsia" w:cstheme="minorEastAsia"/>
          <w:b/>
          <w:bCs/>
          <w:sz w:val="24"/>
          <w:szCs w:val="24"/>
        </w:rPr>
        <w:t xml:space="preserve"> 应急预案体系图</w:t>
      </w:r>
    </w:p>
    <w:p>
      <w:pPr>
        <w:adjustRightInd/>
        <w:snapToGrid/>
        <w:spacing w:after="0"/>
        <w:ind w:firstLine="560"/>
        <w:rPr>
          <w:rFonts w:ascii="Times New Roman" w:hAnsi="Times New Roman" w:cs="宋体"/>
          <w:i/>
          <w:sz w:val="21"/>
          <w:szCs w:val="24"/>
        </w:rPr>
      </w:pPr>
      <w:r>
        <w:br w:type="page"/>
      </w:r>
    </w:p>
    <w:p>
      <w:pPr>
        <w:pStyle w:val="6"/>
        <w:ind w:firstLine="643"/>
      </w:pPr>
      <w:bookmarkStart w:id="226" w:name="_Toc101798329"/>
      <w:r>
        <w:rPr>
          <w:rFonts w:hint="eastAsia"/>
        </w:rPr>
        <w:t>附件4 应急物资装备的名录或清单</w:t>
      </w:r>
      <w:bookmarkEnd w:id="226"/>
    </w:p>
    <w:p>
      <w:pPr>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本企业应急物资、装备清单见</w:t>
      </w:r>
      <w:r>
        <w:rPr>
          <w:rFonts w:hint="eastAsia" w:ascii="宋体" w:hAnsi="宋体" w:cs="宋体"/>
          <w:szCs w:val="28"/>
        </w:rPr>
        <w:t>附表</w:t>
      </w:r>
      <w:r>
        <w:rPr>
          <w:rFonts w:asciiTheme="majorEastAsia" w:hAnsiTheme="majorEastAsia" w:eastAsiaTheme="majorEastAsia" w:cstheme="majorEastAsia"/>
          <w:szCs w:val="28"/>
        </w:rPr>
        <w:t>4</w:t>
      </w:r>
      <w:r>
        <w:rPr>
          <w:rFonts w:hint="eastAsia" w:asciiTheme="majorEastAsia" w:hAnsiTheme="majorEastAsia" w:eastAsiaTheme="majorEastAsia" w:cstheme="majorEastAsia"/>
          <w:szCs w:val="28"/>
        </w:rPr>
        <w:t>。</w:t>
      </w:r>
    </w:p>
    <w:p>
      <w:pPr>
        <w:ind w:firstLine="562"/>
        <w:jc w:val="center"/>
        <w:rPr>
          <w:rFonts w:asciiTheme="minorEastAsia" w:hAnsiTheme="minorEastAsia" w:eastAsiaTheme="minorEastAsia"/>
          <w:b/>
          <w:szCs w:val="24"/>
        </w:rPr>
      </w:pPr>
      <w:r>
        <w:rPr>
          <w:rFonts w:hint="eastAsia" w:ascii="宋体" w:hAnsi="宋体" w:cs="宋体"/>
          <w:b/>
          <w:szCs w:val="28"/>
        </w:rPr>
        <w:t>附表4</w:t>
      </w:r>
      <w:r>
        <w:rPr>
          <w:rFonts w:ascii="宋体" w:hAnsi="宋体" w:cs="宋体"/>
          <w:b/>
          <w:szCs w:val="28"/>
        </w:rPr>
        <w:t xml:space="preserve"> </w:t>
      </w:r>
      <w:r>
        <w:rPr>
          <w:rFonts w:hint="eastAsia" w:asciiTheme="minorEastAsia" w:hAnsiTheme="minorEastAsia" w:eastAsiaTheme="minorEastAsia"/>
          <w:b/>
          <w:szCs w:val="24"/>
        </w:rPr>
        <w:t>应急物资、装备清单</w:t>
      </w:r>
    </w:p>
    <w:p>
      <w:pPr>
        <w:ind w:firstLine="562"/>
        <w:jc w:val="distribute"/>
        <w:rPr>
          <w:rFonts w:ascii="宋体" w:hAnsi="宋体"/>
          <w:b/>
          <w:bCs/>
          <w:szCs w:val="28"/>
        </w:rPr>
      </w:pPr>
      <w:r>
        <w:rPr>
          <w:rFonts w:hint="eastAsia" w:ascii="宋体" w:hAnsi="宋体"/>
          <w:b/>
          <w:bCs/>
          <w:szCs w:val="28"/>
        </w:rPr>
        <w:t xml:space="preserve">场站名称：长沟门站 </w:t>
      </w:r>
      <w:r>
        <w:rPr>
          <w:rFonts w:ascii="宋体" w:hAnsi="宋体"/>
          <w:b/>
          <w:bCs/>
          <w:szCs w:val="28"/>
        </w:rPr>
        <w:t xml:space="preserve">                            </w:t>
      </w:r>
      <w:r>
        <w:rPr>
          <w:rFonts w:hint="eastAsia" w:ascii="宋体" w:hAnsi="宋体"/>
          <w:b/>
          <w:bCs/>
          <w:szCs w:val="28"/>
        </w:rPr>
        <w:t>编号：场站1</w:t>
      </w:r>
    </w:p>
    <w:tbl>
      <w:tblPr>
        <w:tblStyle w:val="4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276"/>
        <w:gridCol w:w="2410"/>
        <w:gridCol w:w="850"/>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b/>
                <w:bCs/>
                <w:szCs w:val="28"/>
              </w:rPr>
            </w:pPr>
            <w:r>
              <w:rPr>
                <w:rFonts w:ascii="宋体" w:hAnsi="宋体" w:eastAsia="黑体"/>
                <w:b/>
                <w:bCs/>
                <w:szCs w:val="28"/>
              </w:rPr>
              <w:t>危险物品名称</w:t>
            </w: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天然气</w:t>
            </w:r>
          </w:p>
        </w:tc>
        <w:tc>
          <w:tcPr>
            <w:tcW w:w="3260" w:type="dxa"/>
            <w:gridSpan w:val="2"/>
            <w:tcBorders>
              <w:top w:val="single" w:color="auto" w:sz="4" w:space="0"/>
              <w:left w:val="nil"/>
              <w:bottom w:val="single" w:color="auto" w:sz="4" w:space="0"/>
              <w:right w:val="single" w:color="auto" w:sz="4" w:space="0"/>
            </w:tcBorders>
            <w:vAlign w:val="center"/>
          </w:tcPr>
          <w:p>
            <w:pPr>
              <w:jc w:val="center"/>
              <w:rPr>
                <w:rFonts w:ascii="宋体" w:hAnsi="宋体" w:eastAsia="黑体"/>
                <w:b/>
                <w:bCs/>
                <w:szCs w:val="28"/>
              </w:rPr>
            </w:pPr>
            <w:r>
              <w:rPr>
                <w:rFonts w:ascii="宋体" w:hAnsi="宋体" w:eastAsia="黑体"/>
                <w:b/>
                <w:bCs/>
                <w:szCs w:val="28"/>
              </w:rPr>
              <w:t>物品主要危害性质</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易燃易爆、窒息性中毒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b/>
                <w:bCs/>
                <w:color w:val="FF0000"/>
                <w:szCs w:val="28"/>
              </w:rPr>
            </w:pPr>
            <w:r>
              <w:rPr>
                <w:rFonts w:ascii="宋体" w:hAnsi="宋体" w:eastAsia="黑体"/>
                <w:b/>
                <w:bCs/>
                <w:szCs w:val="28"/>
              </w:rPr>
              <w:t>检测、报警设备配置</w:t>
            </w:r>
          </w:p>
        </w:tc>
        <w:tc>
          <w:tcPr>
            <w:tcW w:w="1276" w:type="dxa"/>
            <w:tcBorders>
              <w:top w:val="single" w:color="auto" w:sz="4" w:space="0"/>
              <w:left w:val="nil"/>
              <w:bottom w:val="single" w:color="auto" w:sz="4" w:space="0"/>
              <w:right w:val="single" w:color="auto" w:sz="4" w:space="0"/>
            </w:tcBorders>
          </w:tcPr>
          <w:p>
            <w:pPr>
              <w:jc w:val="center"/>
              <w:rPr>
                <w:rFonts w:ascii="宋体" w:hAnsi="宋体" w:eastAsia="黑体"/>
                <w:b/>
                <w:bCs/>
                <w:szCs w:val="28"/>
              </w:rPr>
            </w:pPr>
            <w:r>
              <w:rPr>
                <w:rFonts w:ascii="宋体" w:hAnsi="宋体" w:eastAsia="黑体"/>
                <w:b/>
                <w:bCs/>
                <w:szCs w:val="28"/>
              </w:rPr>
              <w:t>在用情况</w:t>
            </w:r>
          </w:p>
        </w:tc>
        <w:tc>
          <w:tcPr>
            <w:tcW w:w="2410" w:type="dxa"/>
            <w:tcBorders>
              <w:top w:val="single" w:color="auto" w:sz="4" w:space="0"/>
              <w:left w:val="nil"/>
              <w:bottom w:val="single" w:color="auto" w:sz="4" w:space="0"/>
              <w:right w:val="single" w:color="auto" w:sz="4" w:space="0"/>
            </w:tcBorders>
          </w:tcPr>
          <w:p>
            <w:pPr>
              <w:jc w:val="center"/>
              <w:rPr>
                <w:rFonts w:ascii="宋体" w:hAnsi="宋体" w:eastAsia="黑体"/>
                <w:b/>
                <w:bCs/>
                <w:szCs w:val="28"/>
              </w:rPr>
            </w:pPr>
            <w:r>
              <w:rPr>
                <w:rFonts w:ascii="宋体" w:hAnsi="宋体" w:eastAsia="黑体"/>
                <w:b/>
                <w:bCs/>
                <w:szCs w:val="28"/>
              </w:rPr>
              <w:t>型号与规格</w:t>
            </w:r>
          </w:p>
        </w:tc>
        <w:tc>
          <w:tcPr>
            <w:tcW w:w="850" w:type="dxa"/>
            <w:tcBorders>
              <w:top w:val="single" w:color="auto" w:sz="4" w:space="0"/>
              <w:left w:val="nil"/>
              <w:bottom w:val="single" w:color="auto" w:sz="4" w:space="0"/>
              <w:right w:val="single" w:color="auto" w:sz="4" w:space="0"/>
            </w:tcBorders>
          </w:tcPr>
          <w:p>
            <w:pPr>
              <w:jc w:val="center"/>
              <w:rPr>
                <w:rFonts w:ascii="宋体" w:hAnsi="宋体" w:eastAsia="黑体"/>
                <w:b/>
                <w:bCs/>
                <w:szCs w:val="28"/>
              </w:rPr>
            </w:pPr>
            <w:r>
              <w:rPr>
                <w:rFonts w:ascii="宋体" w:hAnsi="宋体" w:eastAsia="黑体"/>
                <w:b/>
                <w:bCs/>
                <w:szCs w:val="28"/>
              </w:rPr>
              <w:t>数量</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b/>
                <w:bCs/>
                <w:szCs w:val="28"/>
              </w:rPr>
            </w:pPr>
            <w:r>
              <w:rPr>
                <w:rFonts w:ascii="宋体" w:hAnsi="宋体" w:eastAsia="黑体"/>
                <w:b/>
                <w:bCs/>
                <w:szCs w:val="28"/>
              </w:rPr>
              <w:t>配置地点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泄漏监测报警仪</w:t>
            </w: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XP2000</w:t>
            </w: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1</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增压站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rPr>
                <w:rFonts w:ascii="宋体" w:hAnsi="宋体" w:eastAsia="黑体"/>
                <w:szCs w:val="28"/>
              </w:rPr>
            </w:pP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color w:val="FF0000"/>
                <w:szCs w:val="28"/>
              </w:rPr>
            </w:pP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便携式泄漏探测仪</w:t>
            </w: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JL269</w:t>
            </w: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2</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火灾监测报警器</w:t>
            </w: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AEC2302a</w:t>
            </w: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1</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Cs w:val="28"/>
              </w:rPr>
            </w:pP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Cs w:val="28"/>
              </w:rPr>
            </w:pP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b/>
                <w:bCs/>
                <w:szCs w:val="28"/>
              </w:rPr>
            </w:pPr>
            <w:r>
              <w:rPr>
                <w:rFonts w:hint="eastAsia" w:ascii="宋体" w:hAnsi="宋体" w:eastAsia="黑体"/>
                <w:szCs w:val="28"/>
              </w:rPr>
              <w:t>报警电话</w:t>
            </w: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5531073</w:t>
            </w: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长沟村值班室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Cs w:val="28"/>
              </w:rPr>
            </w:pP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b/>
                <w:bCs/>
                <w:szCs w:val="28"/>
              </w:rPr>
            </w:pPr>
            <w:r>
              <w:rPr>
                <w:rFonts w:ascii="宋体" w:hAnsi="宋体" w:eastAsia="黑体"/>
                <w:b/>
                <w:bCs/>
                <w:szCs w:val="28"/>
              </w:rPr>
              <w:t>应急设备与器具</w:t>
            </w: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应急电源</w:t>
            </w: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CDE13LXBT</w:t>
            </w: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1</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b/>
                <w:bCs/>
                <w:szCs w:val="28"/>
              </w:rPr>
            </w:pPr>
            <w:r>
              <w:rPr>
                <w:rFonts w:hint="eastAsia" w:ascii="宋体" w:hAnsi="宋体" w:eastAsia="黑体"/>
                <w:szCs w:val="28"/>
              </w:rPr>
              <w:t>应急照明</w:t>
            </w: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GJ-ZFZD-E3W-A1</w:t>
            </w: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5</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办公区和增压站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tcBorders>
              <w:top w:val="nil"/>
              <w:left w:val="single" w:color="auto" w:sz="4" w:space="0"/>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灭火器</w:t>
            </w: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pacing w:val="-20"/>
                <w:szCs w:val="28"/>
              </w:rPr>
            </w:pPr>
            <w:r>
              <w:rPr>
                <w:rFonts w:hint="eastAsia" w:ascii="宋体" w:hAnsi="宋体" w:eastAsia="黑体"/>
                <w:spacing w:val="-20"/>
                <w:szCs w:val="28"/>
              </w:rPr>
              <w:t>MFZ/ABC35Kg灭火器</w:t>
            </w: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2具</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tcBorders>
              <w:top w:val="nil"/>
              <w:left w:val="single" w:color="auto" w:sz="4" w:space="0"/>
              <w:bottom w:val="single" w:color="auto" w:sz="4" w:space="0"/>
              <w:right w:val="single" w:color="auto" w:sz="4" w:space="0"/>
            </w:tcBorders>
            <w:vAlign w:val="center"/>
          </w:tcPr>
          <w:p>
            <w:pPr>
              <w:rPr>
                <w:rFonts w:ascii="宋体" w:hAnsi="宋体" w:eastAsia="黑体"/>
                <w:szCs w:val="28"/>
              </w:rPr>
            </w:pP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pacing w:val="-6"/>
                <w:szCs w:val="28"/>
              </w:rPr>
            </w:pPr>
            <w:r>
              <w:rPr>
                <w:rFonts w:hint="eastAsia" w:ascii="宋体" w:hAnsi="宋体" w:eastAsia="黑体"/>
                <w:spacing w:val="-6"/>
                <w:szCs w:val="28"/>
              </w:rPr>
              <w:t>MFZ/ABC8Kg灭火器</w:t>
            </w: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4具</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防火沙箱</w:t>
            </w: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500kg</w:t>
            </w: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1个</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消防栓</w:t>
            </w: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DN50</w:t>
            </w: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2个</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消防水枪</w:t>
            </w:r>
          </w:p>
        </w:tc>
        <w:tc>
          <w:tcPr>
            <w:tcW w:w="1276" w:type="dxa"/>
            <w:tcBorders>
              <w:top w:val="single" w:color="auto" w:sz="4" w:space="0"/>
              <w:left w:val="nil"/>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DN50</w:t>
            </w: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2个</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消防水龙带</w:t>
            </w:r>
          </w:p>
        </w:tc>
        <w:tc>
          <w:tcPr>
            <w:tcW w:w="1276" w:type="dxa"/>
            <w:tcBorders>
              <w:top w:val="single" w:color="auto" w:sz="4" w:space="0"/>
              <w:left w:val="nil"/>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100米/根</w:t>
            </w: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4根</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消防水池</w:t>
            </w:r>
          </w:p>
        </w:tc>
        <w:tc>
          <w:tcPr>
            <w:tcW w:w="1276" w:type="dxa"/>
            <w:tcBorders>
              <w:top w:val="single" w:color="auto" w:sz="4" w:space="0"/>
              <w:left w:val="nil"/>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1000m</w:t>
            </w:r>
            <w:r>
              <w:rPr>
                <w:rFonts w:hint="eastAsia" w:ascii="宋体" w:hAnsi="宋体" w:eastAsia="黑体"/>
                <w:szCs w:val="28"/>
                <w:vertAlign w:val="superscript"/>
              </w:rPr>
              <w:t>3</w:t>
            </w: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1个</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消防撬</w:t>
            </w:r>
          </w:p>
        </w:tc>
        <w:tc>
          <w:tcPr>
            <w:tcW w:w="1276" w:type="dxa"/>
            <w:tcBorders>
              <w:top w:val="single" w:color="auto" w:sz="4" w:space="0"/>
              <w:left w:val="nil"/>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tcPr>
          <w:p>
            <w:pPr>
              <w:jc w:val="center"/>
              <w:rPr>
                <w:rFonts w:ascii="宋体" w:hAnsi="宋体" w:eastAsia="黑体"/>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4把</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消防桶</w:t>
            </w:r>
          </w:p>
        </w:tc>
        <w:tc>
          <w:tcPr>
            <w:tcW w:w="1276" w:type="dxa"/>
            <w:tcBorders>
              <w:top w:val="single" w:color="auto" w:sz="4" w:space="0"/>
              <w:left w:val="nil"/>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tcPr>
          <w:p>
            <w:pPr>
              <w:jc w:val="center"/>
              <w:rPr>
                <w:rFonts w:ascii="宋体" w:hAnsi="宋体" w:eastAsia="黑体"/>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4只</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消防火钩</w:t>
            </w:r>
          </w:p>
        </w:tc>
        <w:tc>
          <w:tcPr>
            <w:tcW w:w="1276" w:type="dxa"/>
            <w:tcBorders>
              <w:top w:val="single" w:color="auto" w:sz="4" w:space="0"/>
              <w:left w:val="nil"/>
              <w:bottom w:val="single" w:color="auto" w:sz="4" w:space="0"/>
              <w:right w:val="single" w:color="auto" w:sz="4" w:space="0"/>
            </w:tcBorders>
          </w:tcPr>
          <w:p>
            <w:pPr>
              <w:jc w:val="center"/>
              <w:rPr>
                <w:rFonts w:ascii="宋体" w:hAnsi="宋体" w:eastAsia="黑体"/>
                <w:szCs w:val="28"/>
              </w:rPr>
            </w:pPr>
            <w:r>
              <w:rPr>
                <w:rFonts w:hint="eastAsia" w:ascii="宋体" w:hAnsi="宋体" w:eastAsia="黑体"/>
                <w:szCs w:val="28"/>
              </w:rPr>
              <w:t>在用</w:t>
            </w:r>
          </w:p>
        </w:tc>
        <w:tc>
          <w:tcPr>
            <w:tcW w:w="2410" w:type="dxa"/>
            <w:tcBorders>
              <w:top w:val="single" w:color="auto" w:sz="4" w:space="0"/>
              <w:left w:val="nil"/>
              <w:bottom w:val="single" w:color="auto" w:sz="4" w:space="0"/>
              <w:right w:val="single" w:color="auto" w:sz="4" w:space="0"/>
            </w:tcBorders>
          </w:tcPr>
          <w:p>
            <w:pPr>
              <w:jc w:val="center"/>
              <w:rPr>
                <w:rFonts w:ascii="宋体" w:hAnsi="宋体" w:eastAsia="黑体"/>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r>
              <w:rPr>
                <w:rFonts w:hint="eastAsia" w:ascii="宋体" w:hAnsi="宋体" w:eastAsia="黑体"/>
                <w:szCs w:val="28"/>
              </w:rPr>
              <w:t>4把</w:t>
            </w: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Cs w:val="28"/>
              </w:rPr>
            </w:pP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Cs w:val="28"/>
              </w:rPr>
            </w:pPr>
          </w:p>
        </w:tc>
        <w:tc>
          <w:tcPr>
            <w:tcW w:w="1276"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宋体" w:hAnsi="宋体" w:eastAsia="黑体"/>
                <w:szCs w:val="28"/>
              </w:rPr>
            </w:pPr>
          </w:p>
        </w:tc>
      </w:tr>
    </w:tbl>
    <w:p>
      <w:pPr>
        <w:pStyle w:val="19"/>
        <w:ind w:firstLine="560"/>
        <w:rPr>
          <w:sz w:val="28"/>
          <w:szCs w:val="28"/>
        </w:rPr>
      </w:pPr>
    </w:p>
    <w:p>
      <w:pPr>
        <w:ind w:firstLine="560"/>
        <w:jc w:val="distribute"/>
        <w:rPr>
          <w:rFonts w:ascii="宋体" w:hAnsi="宋体"/>
          <w:szCs w:val="28"/>
        </w:rPr>
      </w:pPr>
      <w:r>
        <w:rPr>
          <w:rFonts w:hint="eastAsia" w:ascii="宋体" w:hAnsi="宋体"/>
          <w:szCs w:val="28"/>
        </w:rPr>
        <w:t xml:space="preserve">场站名称：蜀北配气站 </w:t>
      </w:r>
      <w:r>
        <w:rPr>
          <w:rFonts w:ascii="宋体" w:hAnsi="宋体"/>
          <w:szCs w:val="28"/>
        </w:rPr>
        <w:t xml:space="preserve">                                 </w:t>
      </w:r>
      <w:r>
        <w:rPr>
          <w:rFonts w:hint="eastAsia" w:ascii="宋体" w:hAnsi="宋体"/>
          <w:szCs w:val="28"/>
        </w:rPr>
        <w:t>编号：场站2</w:t>
      </w:r>
    </w:p>
    <w:tbl>
      <w:tblPr>
        <w:tblStyle w:val="4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276"/>
        <w:gridCol w:w="2410"/>
        <w:gridCol w:w="850"/>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Cs w:val="28"/>
              </w:rPr>
            </w:pPr>
            <w:r>
              <w:rPr>
                <w:rFonts w:asciiTheme="minorEastAsia" w:hAnsiTheme="minorEastAsia" w:eastAsiaTheme="minorEastAsia"/>
                <w:b/>
                <w:bCs/>
                <w:szCs w:val="28"/>
              </w:rPr>
              <w:t>危险物品名称</w:t>
            </w:r>
          </w:p>
        </w:tc>
        <w:tc>
          <w:tcPr>
            <w:tcW w:w="127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天然气</w:t>
            </w:r>
          </w:p>
        </w:tc>
        <w:tc>
          <w:tcPr>
            <w:tcW w:w="3260" w:type="dxa"/>
            <w:gridSpan w:val="2"/>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zCs w:val="28"/>
              </w:rPr>
            </w:pPr>
            <w:r>
              <w:rPr>
                <w:rFonts w:asciiTheme="minorEastAsia" w:hAnsiTheme="minorEastAsia" w:eastAsiaTheme="minorEastAsia"/>
                <w:b/>
                <w:bCs/>
                <w:szCs w:val="28"/>
              </w:rPr>
              <w:t>物品主要危害性质</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易燃易爆、窒息性中毒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b/>
                <w:bCs/>
                <w:color w:val="FF0000"/>
                <w:szCs w:val="28"/>
              </w:rPr>
            </w:pPr>
            <w:r>
              <w:rPr>
                <w:rFonts w:asciiTheme="minorEastAsia" w:hAnsiTheme="minorEastAsia" w:eastAsiaTheme="minorEastAsia"/>
                <w:b/>
                <w:bCs/>
                <w:szCs w:val="28"/>
              </w:rPr>
              <w:t>检测、报警设备配置</w:t>
            </w:r>
          </w:p>
        </w:tc>
        <w:tc>
          <w:tcPr>
            <w:tcW w:w="1276"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b/>
                <w:bCs/>
                <w:szCs w:val="28"/>
              </w:rPr>
            </w:pPr>
            <w:r>
              <w:rPr>
                <w:rFonts w:asciiTheme="minorEastAsia" w:hAnsiTheme="minorEastAsia" w:eastAsiaTheme="minorEastAsia"/>
                <w:b/>
                <w:bCs/>
                <w:szCs w:val="28"/>
              </w:rPr>
              <w:t>在用情况</w:t>
            </w:r>
          </w:p>
        </w:tc>
        <w:tc>
          <w:tcPr>
            <w:tcW w:w="2410"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b/>
                <w:bCs/>
                <w:szCs w:val="28"/>
              </w:rPr>
            </w:pPr>
            <w:r>
              <w:rPr>
                <w:rFonts w:asciiTheme="minorEastAsia" w:hAnsiTheme="minorEastAsia" w:eastAsiaTheme="minorEastAsia"/>
                <w:b/>
                <w:bCs/>
                <w:szCs w:val="28"/>
              </w:rPr>
              <w:t>型号与规格</w:t>
            </w:r>
          </w:p>
        </w:tc>
        <w:tc>
          <w:tcPr>
            <w:tcW w:w="850"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b/>
                <w:bCs/>
                <w:szCs w:val="28"/>
              </w:rPr>
            </w:pPr>
            <w:r>
              <w:rPr>
                <w:rFonts w:asciiTheme="minorEastAsia" w:hAnsiTheme="minorEastAsia" w:eastAsiaTheme="minorEastAsia"/>
                <w:b/>
                <w:bCs/>
                <w:szCs w:val="28"/>
              </w:rPr>
              <w:t>数量</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zCs w:val="28"/>
              </w:rPr>
            </w:pPr>
            <w:r>
              <w:rPr>
                <w:rFonts w:asciiTheme="minorEastAsia" w:hAnsiTheme="minorEastAsia" w:eastAsiaTheme="minorEastAsia"/>
                <w:b/>
                <w:bCs/>
                <w:szCs w:val="28"/>
              </w:rPr>
              <w:t>配置地点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泄漏监测报警仪</w:t>
            </w:r>
          </w:p>
        </w:tc>
        <w:tc>
          <w:tcPr>
            <w:tcW w:w="127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停用</w:t>
            </w:r>
          </w:p>
        </w:tc>
        <w:tc>
          <w:tcPr>
            <w:tcW w:w="241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便携式泄漏探测仪</w:t>
            </w:r>
          </w:p>
        </w:tc>
        <w:tc>
          <w:tcPr>
            <w:tcW w:w="127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JL269</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2</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火灾监测报警器</w:t>
            </w:r>
          </w:p>
        </w:tc>
        <w:tc>
          <w:tcPr>
            <w:tcW w:w="127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停用</w:t>
            </w:r>
          </w:p>
        </w:tc>
        <w:tc>
          <w:tcPr>
            <w:tcW w:w="241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Cs w:val="28"/>
              </w:rPr>
            </w:pPr>
            <w:r>
              <w:rPr>
                <w:rFonts w:hint="eastAsia" w:asciiTheme="minorEastAsia" w:hAnsiTheme="minorEastAsia" w:eastAsiaTheme="minorEastAsia"/>
                <w:szCs w:val="28"/>
              </w:rPr>
              <w:t>报警电话</w:t>
            </w:r>
          </w:p>
        </w:tc>
        <w:tc>
          <w:tcPr>
            <w:tcW w:w="127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b/>
                <w:bCs/>
                <w:szCs w:val="28"/>
              </w:rPr>
              <w:t>5572121</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Cs w:val="28"/>
              </w:rPr>
            </w:pPr>
            <w:r>
              <w:rPr>
                <w:rFonts w:asciiTheme="minorEastAsia" w:hAnsiTheme="minorEastAsia" w:eastAsiaTheme="minorEastAsia"/>
                <w:b/>
                <w:bCs/>
                <w:szCs w:val="28"/>
              </w:rPr>
              <w:t>应急设备与器具</w:t>
            </w:r>
          </w:p>
        </w:tc>
        <w:tc>
          <w:tcPr>
            <w:tcW w:w="127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241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应急电源</w:t>
            </w:r>
          </w:p>
        </w:tc>
        <w:tc>
          <w:tcPr>
            <w:tcW w:w="127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241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zCs w:val="28"/>
              </w:rPr>
            </w:pPr>
            <w:r>
              <w:rPr>
                <w:rFonts w:hint="eastAsia" w:asciiTheme="minorEastAsia" w:hAnsiTheme="minorEastAsia" w:eastAsiaTheme="minorEastAsia"/>
                <w:szCs w:val="28"/>
              </w:rPr>
              <w:t>应急照明</w:t>
            </w:r>
          </w:p>
        </w:tc>
        <w:tc>
          <w:tcPr>
            <w:tcW w:w="127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GJ-ZFZD-E3W-A1</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2</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灭火器</w:t>
            </w:r>
          </w:p>
        </w:tc>
        <w:tc>
          <w:tcPr>
            <w:tcW w:w="127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pacing w:val="-20"/>
                <w:szCs w:val="28"/>
              </w:rPr>
            </w:pPr>
            <w:r>
              <w:rPr>
                <w:rFonts w:hint="eastAsia" w:asciiTheme="minorEastAsia" w:hAnsiTheme="minorEastAsia" w:eastAsiaTheme="minorEastAsia"/>
                <w:spacing w:val="-20"/>
                <w:szCs w:val="28"/>
              </w:rPr>
              <w:t>MFZ/ABC35Kg灭火器</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color w:val="FF0000"/>
                <w:szCs w:val="28"/>
              </w:rPr>
              <w:t>4</w:t>
            </w:r>
            <w:r>
              <w:rPr>
                <w:rFonts w:hint="eastAsia" w:asciiTheme="minorEastAsia" w:hAnsiTheme="minorEastAsia" w:eastAsiaTheme="minorEastAsia"/>
                <w:szCs w:val="28"/>
              </w:rPr>
              <w:t>具</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tcBorders>
              <w:top w:val="nil"/>
              <w:left w:val="single" w:color="auto" w:sz="4" w:space="0"/>
              <w:bottom w:val="single" w:color="auto" w:sz="4" w:space="0"/>
              <w:right w:val="single" w:color="auto" w:sz="4" w:space="0"/>
            </w:tcBorders>
            <w:vAlign w:val="center"/>
          </w:tcPr>
          <w:p>
            <w:pPr>
              <w:rPr>
                <w:rFonts w:asciiTheme="minorEastAsia" w:hAnsiTheme="minorEastAsia" w:eastAsiaTheme="minorEastAsia"/>
                <w:szCs w:val="28"/>
              </w:rPr>
            </w:pPr>
          </w:p>
        </w:tc>
        <w:tc>
          <w:tcPr>
            <w:tcW w:w="127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pacing w:val="-6"/>
                <w:szCs w:val="28"/>
              </w:rPr>
            </w:pPr>
            <w:r>
              <w:rPr>
                <w:rFonts w:hint="eastAsia" w:asciiTheme="minorEastAsia" w:hAnsiTheme="minorEastAsia" w:eastAsiaTheme="minorEastAsia"/>
                <w:spacing w:val="-6"/>
                <w:szCs w:val="28"/>
              </w:rPr>
              <w:t>MFZ/ABC8Kg灭火器</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color w:val="FF0000"/>
                <w:szCs w:val="28"/>
              </w:rPr>
              <w:t>8</w:t>
            </w:r>
            <w:r>
              <w:rPr>
                <w:rFonts w:hint="eastAsia" w:asciiTheme="minorEastAsia" w:hAnsiTheme="minorEastAsia" w:eastAsiaTheme="minorEastAsia"/>
                <w:szCs w:val="28"/>
              </w:rPr>
              <w:t>具</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防火沙箱</w:t>
            </w:r>
          </w:p>
        </w:tc>
        <w:tc>
          <w:tcPr>
            <w:tcW w:w="127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500kg</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1个</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消防栓</w:t>
            </w:r>
          </w:p>
        </w:tc>
        <w:tc>
          <w:tcPr>
            <w:tcW w:w="127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在用</w:t>
            </w:r>
          </w:p>
        </w:tc>
        <w:tc>
          <w:tcPr>
            <w:tcW w:w="241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DN50</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color w:val="FF0000"/>
                <w:szCs w:val="28"/>
              </w:rPr>
              <w:t>2</w:t>
            </w:r>
            <w:r>
              <w:rPr>
                <w:rFonts w:hint="eastAsia" w:asciiTheme="minorEastAsia" w:hAnsiTheme="minorEastAsia" w:eastAsiaTheme="minorEastAsia"/>
                <w:szCs w:val="28"/>
              </w:rPr>
              <w:t>个</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消防水枪</w:t>
            </w:r>
          </w:p>
        </w:tc>
        <w:tc>
          <w:tcPr>
            <w:tcW w:w="1276"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在用</w:t>
            </w:r>
          </w:p>
        </w:tc>
        <w:tc>
          <w:tcPr>
            <w:tcW w:w="2410"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DN50</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color w:val="FF0000"/>
                <w:szCs w:val="28"/>
              </w:rPr>
              <w:t>2</w:t>
            </w:r>
            <w:r>
              <w:rPr>
                <w:rFonts w:hint="eastAsia" w:asciiTheme="minorEastAsia" w:hAnsiTheme="minorEastAsia" w:eastAsiaTheme="minorEastAsia"/>
                <w:szCs w:val="28"/>
              </w:rPr>
              <w:t>个</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消防水龙带</w:t>
            </w:r>
          </w:p>
        </w:tc>
        <w:tc>
          <w:tcPr>
            <w:tcW w:w="1276"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在用</w:t>
            </w:r>
          </w:p>
        </w:tc>
        <w:tc>
          <w:tcPr>
            <w:tcW w:w="2410"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100米/根</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4根</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消防水池</w:t>
            </w:r>
          </w:p>
        </w:tc>
        <w:tc>
          <w:tcPr>
            <w:tcW w:w="1276"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在用</w:t>
            </w:r>
          </w:p>
        </w:tc>
        <w:tc>
          <w:tcPr>
            <w:tcW w:w="2410"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500m</w:t>
            </w:r>
            <w:r>
              <w:rPr>
                <w:rFonts w:hint="eastAsia" w:asciiTheme="minorEastAsia" w:hAnsiTheme="minorEastAsia" w:eastAsiaTheme="minorEastAsia"/>
                <w:szCs w:val="28"/>
                <w:vertAlign w:val="superscript"/>
              </w:rPr>
              <w:t>3</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1个</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消防撬</w:t>
            </w:r>
          </w:p>
        </w:tc>
        <w:tc>
          <w:tcPr>
            <w:tcW w:w="1276"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在用</w:t>
            </w:r>
          </w:p>
        </w:tc>
        <w:tc>
          <w:tcPr>
            <w:tcW w:w="2410"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4把</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消防桶</w:t>
            </w:r>
          </w:p>
        </w:tc>
        <w:tc>
          <w:tcPr>
            <w:tcW w:w="1276"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在用</w:t>
            </w:r>
          </w:p>
        </w:tc>
        <w:tc>
          <w:tcPr>
            <w:tcW w:w="2410"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4只</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消防火钩</w:t>
            </w:r>
          </w:p>
        </w:tc>
        <w:tc>
          <w:tcPr>
            <w:tcW w:w="1276"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r>
              <w:rPr>
                <w:rFonts w:hint="eastAsia" w:asciiTheme="minorEastAsia" w:hAnsiTheme="minorEastAsia" w:eastAsiaTheme="minorEastAsia"/>
                <w:szCs w:val="28"/>
              </w:rPr>
              <w:t>在用</w:t>
            </w:r>
          </w:p>
        </w:tc>
        <w:tc>
          <w:tcPr>
            <w:tcW w:w="2410"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4把</w:t>
            </w: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Cs w:val="28"/>
              </w:rPr>
            </w:pPr>
          </w:p>
        </w:tc>
        <w:tc>
          <w:tcPr>
            <w:tcW w:w="1276"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p>
        </w:tc>
        <w:tc>
          <w:tcPr>
            <w:tcW w:w="2410" w:type="dxa"/>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Cs w:val="28"/>
              </w:rPr>
            </w:pP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280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bl>
    <w:p>
      <w:pPr>
        <w:pStyle w:val="19"/>
        <w:ind w:firstLine="560"/>
        <w:rPr>
          <w:rFonts w:ascii="宋体" w:hAnsi="宋体"/>
          <w:sz w:val="28"/>
          <w:szCs w:val="28"/>
        </w:rPr>
      </w:pPr>
    </w:p>
    <w:p>
      <w:pPr>
        <w:ind w:firstLine="560"/>
        <w:jc w:val="center"/>
        <w:rPr>
          <w:rFonts w:ascii="宋体" w:hAnsi="宋体"/>
          <w:szCs w:val="28"/>
        </w:rPr>
      </w:pPr>
      <w:r>
        <w:rPr>
          <w:rFonts w:hint="eastAsia" w:ascii="宋体" w:hAnsi="宋体"/>
          <w:szCs w:val="28"/>
        </w:rPr>
        <w:t>管道应急救援配置情况表</w:t>
      </w:r>
    </w:p>
    <w:tbl>
      <w:tblPr>
        <w:tblStyle w:val="4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268"/>
        <w:gridCol w:w="1701"/>
        <w:gridCol w:w="1275"/>
        <w:gridCol w:w="1418"/>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 w:val="24"/>
                <w:szCs w:val="24"/>
              </w:rPr>
            </w:pPr>
            <w:r>
              <w:rPr>
                <w:rFonts w:ascii="宋体" w:hAnsi="宋体" w:eastAsia="黑体"/>
                <w:sz w:val="24"/>
                <w:szCs w:val="24"/>
              </w:rPr>
              <w:t>危险物品名称</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天然气</w:t>
            </w:r>
          </w:p>
        </w:tc>
        <w:tc>
          <w:tcPr>
            <w:tcW w:w="2693" w:type="dxa"/>
            <w:gridSpan w:val="2"/>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ascii="宋体" w:hAnsi="宋体" w:eastAsia="黑体"/>
                <w:sz w:val="24"/>
                <w:szCs w:val="24"/>
              </w:rPr>
              <w:t>物品主要危害性质</w:t>
            </w:r>
          </w:p>
        </w:tc>
        <w:tc>
          <w:tcPr>
            <w:tcW w:w="265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易燃易爆、窒息性中毒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eastAsia="黑体"/>
                <w:sz w:val="24"/>
                <w:szCs w:val="24"/>
              </w:rPr>
            </w:pPr>
            <w:r>
              <w:rPr>
                <w:rFonts w:ascii="宋体" w:hAnsi="宋体" w:eastAsia="黑体"/>
                <w:sz w:val="24"/>
                <w:szCs w:val="24"/>
              </w:rPr>
              <w:t>序号</w:t>
            </w:r>
          </w:p>
        </w:tc>
        <w:tc>
          <w:tcPr>
            <w:tcW w:w="2268" w:type="dxa"/>
            <w:tcBorders>
              <w:top w:val="single" w:color="auto" w:sz="4" w:space="0"/>
              <w:left w:val="nil"/>
              <w:bottom w:val="single" w:color="auto" w:sz="4" w:space="0"/>
              <w:right w:val="single" w:color="auto" w:sz="4" w:space="0"/>
            </w:tcBorders>
          </w:tcPr>
          <w:p>
            <w:pPr>
              <w:spacing w:line="240" w:lineRule="atLeast"/>
              <w:jc w:val="center"/>
              <w:rPr>
                <w:rFonts w:ascii="宋体" w:hAnsi="宋体" w:eastAsia="黑体"/>
                <w:sz w:val="24"/>
                <w:szCs w:val="24"/>
              </w:rPr>
            </w:pPr>
            <w:r>
              <w:rPr>
                <w:rFonts w:ascii="宋体" w:hAnsi="宋体" w:eastAsia="黑体"/>
                <w:sz w:val="24"/>
                <w:szCs w:val="24"/>
              </w:rPr>
              <w:t>管道名称</w:t>
            </w:r>
          </w:p>
          <w:p>
            <w:pPr>
              <w:spacing w:line="240" w:lineRule="atLeast"/>
              <w:jc w:val="center"/>
              <w:rPr>
                <w:rFonts w:ascii="宋体" w:hAnsi="宋体" w:eastAsia="黑体"/>
                <w:color w:val="FF0000"/>
                <w:sz w:val="24"/>
                <w:szCs w:val="24"/>
              </w:rPr>
            </w:pPr>
            <w:r>
              <w:rPr>
                <w:rFonts w:ascii="宋体" w:hAnsi="宋体" w:eastAsia="黑体"/>
                <w:sz w:val="24"/>
                <w:szCs w:val="24"/>
              </w:rPr>
              <w:t>（压力级别）</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ascii="宋体" w:hAnsi="宋体" w:eastAsia="黑体"/>
                <w:sz w:val="24"/>
                <w:szCs w:val="24"/>
              </w:rPr>
              <w:t>起</w:t>
            </w:r>
            <w:r>
              <w:rPr>
                <w:rFonts w:hint="eastAsia" w:ascii="宋体" w:hAnsi="宋体" w:eastAsia="黑体"/>
                <w:sz w:val="24"/>
                <w:szCs w:val="24"/>
              </w:rPr>
              <w:t>点-终</w:t>
            </w:r>
            <w:r>
              <w:rPr>
                <w:rFonts w:ascii="宋体" w:hAnsi="宋体" w:eastAsia="黑体"/>
                <w:sz w:val="24"/>
                <w:szCs w:val="24"/>
              </w:rPr>
              <w:t>点</w:t>
            </w:r>
          </w:p>
        </w:tc>
        <w:tc>
          <w:tcPr>
            <w:tcW w:w="1275" w:type="dxa"/>
            <w:tcBorders>
              <w:top w:val="single" w:color="auto" w:sz="4" w:space="0"/>
              <w:left w:val="nil"/>
              <w:bottom w:val="single" w:color="auto" w:sz="4" w:space="0"/>
              <w:right w:val="single" w:color="auto" w:sz="4" w:space="0"/>
            </w:tcBorders>
            <w:vAlign w:val="center"/>
          </w:tcPr>
          <w:p>
            <w:pPr>
              <w:spacing w:line="240" w:lineRule="atLeast"/>
              <w:jc w:val="center"/>
              <w:rPr>
                <w:rFonts w:ascii="宋体" w:hAnsi="宋体" w:eastAsia="黑体"/>
                <w:sz w:val="24"/>
                <w:szCs w:val="24"/>
              </w:rPr>
            </w:pPr>
            <w:r>
              <w:rPr>
                <w:rFonts w:ascii="宋体" w:hAnsi="宋体" w:eastAsia="黑体"/>
                <w:sz w:val="24"/>
                <w:szCs w:val="24"/>
              </w:rPr>
              <w:t>出站压力表编号</w:t>
            </w:r>
          </w:p>
        </w:tc>
        <w:tc>
          <w:tcPr>
            <w:tcW w:w="141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ascii="宋体" w:hAnsi="宋体" w:eastAsia="黑体"/>
                <w:sz w:val="24"/>
                <w:szCs w:val="24"/>
              </w:rPr>
              <w:t>管径-长度</w:t>
            </w:r>
          </w:p>
        </w:tc>
        <w:tc>
          <w:tcPr>
            <w:tcW w:w="2658" w:type="dxa"/>
            <w:tcBorders>
              <w:top w:val="single" w:color="auto" w:sz="4" w:space="0"/>
              <w:left w:val="nil"/>
              <w:bottom w:val="single" w:color="auto" w:sz="4" w:space="0"/>
              <w:right w:val="single" w:color="auto" w:sz="4" w:space="0"/>
            </w:tcBorders>
            <w:vAlign w:val="center"/>
          </w:tcPr>
          <w:p>
            <w:pPr>
              <w:spacing w:line="240" w:lineRule="atLeast"/>
              <w:jc w:val="center"/>
              <w:rPr>
                <w:rFonts w:ascii="宋体" w:hAnsi="宋体" w:eastAsia="黑体"/>
                <w:sz w:val="24"/>
                <w:szCs w:val="24"/>
              </w:rPr>
            </w:pPr>
            <w:r>
              <w:rPr>
                <w:rFonts w:ascii="宋体" w:hAnsi="宋体" w:eastAsia="黑体"/>
                <w:sz w:val="24"/>
                <w:szCs w:val="24"/>
              </w:rPr>
              <w:t>巡线捡漏仪</w:t>
            </w:r>
          </w:p>
          <w:p>
            <w:pPr>
              <w:spacing w:line="240" w:lineRule="atLeast"/>
              <w:jc w:val="center"/>
              <w:rPr>
                <w:rFonts w:ascii="宋体" w:hAnsi="宋体" w:eastAsia="黑体"/>
                <w:sz w:val="24"/>
                <w:szCs w:val="24"/>
              </w:rPr>
            </w:pPr>
            <w:r>
              <w:rPr>
                <w:rFonts w:ascii="宋体" w:hAnsi="宋体" w:eastAsia="黑体"/>
                <w:sz w:val="24"/>
                <w:szCs w:val="24"/>
              </w:rPr>
              <w:t>（型号-台数）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1</w:t>
            </w:r>
          </w:p>
        </w:tc>
        <w:tc>
          <w:tcPr>
            <w:tcW w:w="226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管道（高A）</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双龙-南部</w:t>
            </w:r>
          </w:p>
        </w:tc>
        <w:tc>
          <w:tcPr>
            <w:tcW w:w="1275"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line="240" w:lineRule="atLeast"/>
              <w:jc w:val="center"/>
              <w:rPr>
                <w:rFonts w:ascii="宋体" w:hAnsi="宋体" w:eastAsia="黑体"/>
                <w:sz w:val="24"/>
                <w:szCs w:val="24"/>
              </w:rPr>
            </w:pPr>
            <w:r>
              <w:rPr>
                <w:rFonts w:hint="eastAsia" w:ascii="宋体" w:hAnsi="宋体" w:eastAsia="黑体"/>
                <w:sz w:val="24"/>
                <w:szCs w:val="24"/>
              </w:rPr>
              <w:t>D219-48km</w:t>
            </w:r>
          </w:p>
        </w:tc>
        <w:tc>
          <w:tcPr>
            <w:tcW w:w="265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2</w:t>
            </w:r>
          </w:p>
        </w:tc>
        <w:tc>
          <w:tcPr>
            <w:tcW w:w="226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管道（高A）</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定水-南部</w:t>
            </w:r>
          </w:p>
        </w:tc>
        <w:tc>
          <w:tcPr>
            <w:tcW w:w="1275"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line="240" w:lineRule="atLeast"/>
              <w:jc w:val="center"/>
              <w:rPr>
                <w:rFonts w:ascii="宋体" w:hAnsi="宋体" w:eastAsia="黑体"/>
                <w:sz w:val="24"/>
                <w:szCs w:val="24"/>
              </w:rPr>
            </w:pPr>
            <w:r>
              <w:rPr>
                <w:rFonts w:hint="eastAsia" w:ascii="宋体" w:hAnsi="宋体" w:eastAsia="黑体"/>
                <w:sz w:val="24"/>
                <w:szCs w:val="24"/>
              </w:rPr>
              <w:t>D108-12km</w:t>
            </w:r>
          </w:p>
        </w:tc>
        <w:tc>
          <w:tcPr>
            <w:tcW w:w="265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3</w:t>
            </w:r>
          </w:p>
        </w:tc>
        <w:tc>
          <w:tcPr>
            <w:tcW w:w="226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城区管道（中A）</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长沟门站</w:t>
            </w:r>
          </w:p>
        </w:tc>
        <w:tc>
          <w:tcPr>
            <w:tcW w:w="1275"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line="240" w:lineRule="atLeast"/>
              <w:jc w:val="center"/>
              <w:rPr>
                <w:rFonts w:ascii="宋体" w:hAnsi="宋体" w:eastAsia="黑体"/>
                <w:sz w:val="24"/>
                <w:szCs w:val="24"/>
              </w:rPr>
            </w:pPr>
            <w:r>
              <w:rPr>
                <w:rFonts w:hint="eastAsia" w:ascii="宋体" w:hAnsi="宋体" w:eastAsia="黑体"/>
                <w:sz w:val="24"/>
                <w:szCs w:val="24"/>
              </w:rPr>
              <w:t>D219~D57</w:t>
            </w:r>
          </w:p>
          <w:p>
            <w:pPr>
              <w:spacing w:line="240" w:lineRule="atLeast"/>
              <w:jc w:val="center"/>
              <w:rPr>
                <w:rFonts w:ascii="宋体" w:hAnsi="宋体" w:eastAsia="黑体"/>
                <w:sz w:val="24"/>
                <w:szCs w:val="24"/>
              </w:rPr>
            </w:pPr>
            <w:r>
              <w:rPr>
                <w:rFonts w:hint="eastAsia" w:ascii="宋体" w:hAnsi="宋体" w:eastAsia="黑体"/>
                <w:sz w:val="24"/>
                <w:szCs w:val="24"/>
              </w:rPr>
              <w:t>25km</w:t>
            </w:r>
          </w:p>
        </w:tc>
        <w:tc>
          <w:tcPr>
            <w:tcW w:w="265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4</w:t>
            </w:r>
          </w:p>
        </w:tc>
        <w:tc>
          <w:tcPr>
            <w:tcW w:w="226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东坝镇管道（中A）</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东坝调压站-公三井</w:t>
            </w:r>
          </w:p>
        </w:tc>
        <w:tc>
          <w:tcPr>
            <w:tcW w:w="1275" w:type="dxa"/>
            <w:tcBorders>
              <w:top w:val="single" w:color="auto" w:sz="4" w:space="0"/>
              <w:left w:val="nil"/>
              <w:bottom w:val="single" w:color="auto" w:sz="4" w:space="0"/>
              <w:right w:val="single" w:color="auto" w:sz="4" w:space="0"/>
            </w:tcBorders>
            <w:vAlign w:val="center"/>
          </w:tcPr>
          <w:p>
            <w:pPr>
              <w:jc w:val="center"/>
              <w:rPr>
                <w:rFonts w:ascii="宋体" w:hAnsi="宋体" w:eastAsia="黑体"/>
                <w:color w:val="FF0000"/>
                <w:sz w:val="24"/>
                <w:szCs w:val="24"/>
              </w:rPr>
            </w:pPr>
          </w:p>
        </w:tc>
        <w:tc>
          <w:tcPr>
            <w:tcW w:w="1418" w:type="dxa"/>
            <w:tcBorders>
              <w:top w:val="single" w:color="auto" w:sz="4" w:space="0"/>
              <w:left w:val="nil"/>
              <w:bottom w:val="single" w:color="auto" w:sz="4" w:space="0"/>
              <w:right w:val="single" w:color="auto" w:sz="4" w:space="0"/>
            </w:tcBorders>
            <w:vAlign w:val="center"/>
          </w:tcPr>
          <w:p>
            <w:pPr>
              <w:spacing w:line="240" w:lineRule="atLeast"/>
              <w:jc w:val="center"/>
              <w:rPr>
                <w:rFonts w:ascii="宋体" w:hAnsi="宋体" w:eastAsia="黑体"/>
                <w:sz w:val="24"/>
                <w:szCs w:val="24"/>
              </w:rPr>
            </w:pPr>
            <w:r>
              <w:rPr>
                <w:rFonts w:hint="eastAsia" w:ascii="宋体" w:hAnsi="宋体" w:eastAsia="黑体"/>
                <w:sz w:val="24"/>
                <w:szCs w:val="24"/>
              </w:rPr>
              <w:t>D108-3km</w:t>
            </w:r>
          </w:p>
        </w:tc>
        <w:tc>
          <w:tcPr>
            <w:tcW w:w="265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color w:val="FF0000"/>
                <w:sz w:val="24"/>
                <w:szCs w:val="24"/>
              </w:rPr>
              <w:t>2</w:t>
            </w:r>
            <w:r>
              <w:rPr>
                <w:rFonts w:hint="eastAsia" w:ascii="宋体" w:hAnsi="宋体" w:eastAsia="黑体"/>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5</w:t>
            </w:r>
          </w:p>
        </w:tc>
        <w:tc>
          <w:tcPr>
            <w:tcW w:w="226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盘龙镇管道（中A）</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盘龙调压站-县城</w:t>
            </w:r>
          </w:p>
        </w:tc>
        <w:tc>
          <w:tcPr>
            <w:tcW w:w="1275" w:type="dxa"/>
            <w:tcBorders>
              <w:top w:val="single" w:color="auto" w:sz="4" w:space="0"/>
              <w:left w:val="nil"/>
              <w:bottom w:val="single" w:color="auto" w:sz="4" w:space="0"/>
              <w:right w:val="single" w:color="auto" w:sz="4" w:space="0"/>
            </w:tcBorders>
            <w:vAlign w:val="center"/>
          </w:tcPr>
          <w:p>
            <w:pPr>
              <w:jc w:val="center"/>
              <w:rPr>
                <w:rFonts w:ascii="宋体" w:hAnsi="宋体" w:eastAsia="黑体"/>
                <w:color w:val="FF0000"/>
                <w:sz w:val="24"/>
                <w:szCs w:val="24"/>
              </w:rPr>
            </w:pPr>
          </w:p>
        </w:tc>
        <w:tc>
          <w:tcPr>
            <w:tcW w:w="1418" w:type="dxa"/>
            <w:tcBorders>
              <w:top w:val="single" w:color="auto" w:sz="4" w:space="0"/>
              <w:left w:val="nil"/>
              <w:bottom w:val="single" w:color="auto" w:sz="4" w:space="0"/>
              <w:right w:val="single" w:color="auto" w:sz="4" w:space="0"/>
            </w:tcBorders>
            <w:vAlign w:val="center"/>
          </w:tcPr>
          <w:p>
            <w:pPr>
              <w:spacing w:line="240" w:lineRule="atLeast"/>
              <w:jc w:val="center"/>
              <w:rPr>
                <w:rFonts w:ascii="宋体" w:hAnsi="宋体" w:eastAsia="黑体"/>
                <w:color w:val="FF0000"/>
                <w:sz w:val="24"/>
                <w:szCs w:val="24"/>
              </w:rPr>
            </w:pPr>
            <w:r>
              <w:rPr>
                <w:rFonts w:hint="eastAsia" w:ascii="宋体" w:hAnsi="宋体" w:eastAsia="黑体"/>
                <w:sz w:val="24"/>
                <w:szCs w:val="24"/>
              </w:rPr>
              <w:t>D108-12km</w:t>
            </w:r>
          </w:p>
        </w:tc>
        <w:tc>
          <w:tcPr>
            <w:tcW w:w="2658" w:type="dxa"/>
            <w:tcBorders>
              <w:top w:val="single" w:color="auto" w:sz="4" w:space="0"/>
              <w:left w:val="nil"/>
              <w:bottom w:val="single" w:color="auto" w:sz="4" w:space="0"/>
              <w:right w:val="single" w:color="auto" w:sz="4" w:space="0"/>
            </w:tcBorders>
            <w:vAlign w:val="center"/>
          </w:tcPr>
          <w:p>
            <w:pPr>
              <w:jc w:val="center"/>
              <w:rPr>
                <w:rFonts w:ascii="宋体" w:hAnsi="宋体" w:eastAsia="黑体"/>
                <w:color w:val="FF0000"/>
                <w:sz w:val="24"/>
                <w:szCs w:val="24"/>
              </w:rPr>
            </w:pPr>
            <w:r>
              <w:rPr>
                <w:rFonts w:hint="eastAsia" w:ascii="宋体" w:hAnsi="宋体" w:eastAsia="黑体"/>
                <w:color w:val="FF0000"/>
                <w:sz w:val="24"/>
                <w:szCs w:val="24"/>
              </w:rPr>
              <w:t>2</w:t>
            </w:r>
            <w:r>
              <w:rPr>
                <w:rFonts w:hint="eastAsia" w:ascii="宋体" w:hAnsi="宋体" w:eastAsia="黑体"/>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6</w:t>
            </w:r>
          </w:p>
        </w:tc>
        <w:tc>
          <w:tcPr>
            <w:tcW w:w="226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定水镇管道（中A）</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定水调压站</w:t>
            </w:r>
          </w:p>
        </w:tc>
        <w:tc>
          <w:tcPr>
            <w:tcW w:w="1275" w:type="dxa"/>
            <w:tcBorders>
              <w:top w:val="single" w:color="auto" w:sz="4" w:space="0"/>
              <w:left w:val="nil"/>
              <w:bottom w:val="single" w:color="auto" w:sz="4" w:space="0"/>
              <w:right w:val="single" w:color="auto" w:sz="4" w:space="0"/>
            </w:tcBorders>
            <w:vAlign w:val="center"/>
          </w:tcPr>
          <w:p>
            <w:pPr>
              <w:jc w:val="center"/>
              <w:rPr>
                <w:rFonts w:ascii="宋体" w:hAnsi="宋体" w:eastAsia="黑体"/>
                <w:color w:val="FF0000"/>
                <w:sz w:val="24"/>
                <w:szCs w:val="24"/>
              </w:rPr>
            </w:pPr>
          </w:p>
        </w:tc>
        <w:tc>
          <w:tcPr>
            <w:tcW w:w="1418" w:type="dxa"/>
            <w:tcBorders>
              <w:top w:val="single" w:color="auto" w:sz="4" w:space="0"/>
              <w:left w:val="nil"/>
              <w:bottom w:val="single" w:color="auto" w:sz="4" w:space="0"/>
              <w:right w:val="single" w:color="auto" w:sz="4" w:space="0"/>
            </w:tcBorders>
            <w:vAlign w:val="center"/>
          </w:tcPr>
          <w:p>
            <w:pPr>
              <w:spacing w:line="240" w:lineRule="atLeast"/>
              <w:jc w:val="center"/>
              <w:rPr>
                <w:rFonts w:ascii="宋体" w:hAnsi="宋体" w:eastAsia="黑体"/>
                <w:color w:val="FF0000"/>
                <w:sz w:val="24"/>
                <w:szCs w:val="24"/>
              </w:rPr>
            </w:pPr>
          </w:p>
        </w:tc>
        <w:tc>
          <w:tcPr>
            <w:tcW w:w="2658" w:type="dxa"/>
            <w:tcBorders>
              <w:top w:val="single" w:color="auto" w:sz="4" w:space="0"/>
              <w:left w:val="nil"/>
              <w:bottom w:val="single" w:color="auto" w:sz="4" w:space="0"/>
              <w:right w:val="single" w:color="auto" w:sz="4" w:space="0"/>
            </w:tcBorders>
            <w:vAlign w:val="center"/>
          </w:tcPr>
          <w:p>
            <w:pPr>
              <w:jc w:val="center"/>
              <w:rPr>
                <w:rFonts w:ascii="宋体" w:hAnsi="宋体" w:eastAsia="黑体"/>
                <w:color w:val="FF0000"/>
                <w:sz w:val="24"/>
                <w:szCs w:val="24"/>
              </w:rPr>
            </w:pPr>
            <w:r>
              <w:rPr>
                <w:rFonts w:hint="eastAsia" w:ascii="宋体" w:hAnsi="宋体" w:eastAsia="黑体"/>
                <w:color w:val="FF0000"/>
                <w:sz w:val="24"/>
                <w:szCs w:val="24"/>
              </w:rPr>
              <w:t>2</w:t>
            </w:r>
            <w:r>
              <w:rPr>
                <w:rFonts w:hint="eastAsia" w:ascii="宋体" w:hAnsi="宋体" w:eastAsia="黑体"/>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7</w:t>
            </w:r>
          </w:p>
        </w:tc>
        <w:tc>
          <w:tcPr>
            <w:tcW w:w="226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建兴镇管道（中A）</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建兴调压站-定水</w:t>
            </w:r>
          </w:p>
        </w:tc>
        <w:tc>
          <w:tcPr>
            <w:tcW w:w="1275"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line="240" w:lineRule="atLeast"/>
              <w:jc w:val="center"/>
              <w:rPr>
                <w:rFonts w:ascii="宋体" w:hAnsi="宋体" w:eastAsia="黑体"/>
                <w:sz w:val="24"/>
                <w:szCs w:val="24"/>
              </w:rPr>
            </w:pPr>
            <w:r>
              <w:rPr>
                <w:rFonts w:hint="eastAsia" w:ascii="宋体" w:hAnsi="宋体" w:eastAsia="黑体"/>
                <w:sz w:val="24"/>
                <w:szCs w:val="24"/>
              </w:rPr>
              <w:t>D108-12km</w:t>
            </w:r>
          </w:p>
        </w:tc>
        <w:tc>
          <w:tcPr>
            <w:tcW w:w="265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color w:val="FF0000"/>
                <w:sz w:val="24"/>
                <w:szCs w:val="24"/>
              </w:rPr>
              <w:t>2</w:t>
            </w:r>
            <w:r>
              <w:rPr>
                <w:rFonts w:hint="eastAsia" w:ascii="宋体" w:hAnsi="宋体" w:eastAsia="黑体"/>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8</w:t>
            </w:r>
          </w:p>
        </w:tc>
        <w:tc>
          <w:tcPr>
            <w:tcW w:w="226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伏虎镇管道（中A）</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伏虎调压站-狮一井</w:t>
            </w:r>
          </w:p>
        </w:tc>
        <w:tc>
          <w:tcPr>
            <w:tcW w:w="1275"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line="240" w:lineRule="atLeast"/>
              <w:jc w:val="center"/>
              <w:rPr>
                <w:rFonts w:ascii="宋体" w:hAnsi="宋体" w:eastAsia="黑体"/>
                <w:sz w:val="24"/>
                <w:szCs w:val="24"/>
              </w:rPr>
            </w:pPr>
          </w:p>
        </w:tc>
        <w:tc>
          <w:tcPr>
            <w:tcW w:w="265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color w:val="FF0000"/>
                <w:sz w:val="24"/>
                <w:szCs w:val="24"/>
              </w:rPr>
              <w:t>2</w:t>
            </w:r>
            <w:r>
              <w:rPr>
                <w:rFonts w:hint="eastAsia" w:ascii="宋体" w:hAnsi="宋体" w:eastAsia="黑体"/>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9</w:t>
            </w:r>
          </w:p>
        </w:tc>
        <w:tc>
          <w:tcPr>
            <w:tcW w:w="226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升钟镇管道（中A）</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升钟调压站-狮二井</w:t>
            </w:r>
          </w:p>
        </w:tc>
        <w:tc>
          <w:tcPr>
            <w:tcW w:w="1275"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line="240" w:lineRule="atLeast"/>
              <w:jc w:val="center"/>
              <w:rPr>
                <w:rFonts w:ascii="宋体" w:hAnsi="宋体" w:eastAsia="黑体"/>
                <w:sz w:val="24"/>
                <w:szCs w:val="24"/>
              </w:rPr>
            </w:pPr>
            <w:r>
              <w:rPr>
                <w:rFonts w:hint="eastAsia" w:ascii="宋体" w:hAnsi="宋体" w:eastAsia="黑体"/>
                <w:sz w:val="24"/>
                <w:szCs w:val="24"/>
              </w:rPr>
              <w:t>D108-8km</w:t>
            </w:r>
          </w:p>
        </w:tc>
        <w:tc>
          <w:tcPr>
            <w:tcW w:w="265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color w:val="FF0000"/>
                <w:sz w:val="24"/>
                <w:szCs w:val="24"/>
              </w:rPr>
              <w:t>2</w:t>
            </w:r>
            <w:r>
              <w:rPr>
                <w:rFonts w:hint="eastAsia" w:ascii="宋体" w:hAnsi="宋体" w:eastAsia="黑体"/>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10</w:t>
            </w:r>
          </w:p>
        </w:tc>
        <w:tc>
          <w:tcPr>
            <w:tcW w:w="2268" w:type="dxa"/>
            <w:tcBorders>
              <w:top w:val="single" w:color="auto" w:sz="4" w:space="0"/>
              <w:left w:val="nil"/>
              <w:bottom w:val="single" w:color="auto" w:sz="4" w:space="0"/>
              <w:right w:val="single" w:color="auto" w:sz="4" w:space="0"/>
            </w:tcBorders>
            <w:vAlign w:val="center"/>
          </w:tcPr>
          <w:p>
            <w:pPr>
              <w:jc w:val="center"/>
              <w:rPr>
                <w:rFonts w:ascii="宋体" w:hAnsi="宋体" w:eastAsia="黑体"/>
                <w:b/>
                <w:bCs/>
                <w:sz w:val="24"/>
                <w:szCs w:val="24"/>
              </w:rPr>
            </w:pPr>
            <w:r>
              <w:rPr>
                <w:rFonts w:hint="eastAsia" w:ascii="宋体" w:hAnsi="宋体" w:eastAsia="黑体"/>
                <w:sz w:val="24"/>
                <w:szCs w:val="24"/>
              </w:rPr>
              <w:t>庭院管道（低）</w:t>
            </w: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用户调压箱</w:t>
            </w:r>
          </w:p>
        </w:tc>
        <w:tc>
          <w:tcPr>
            <w:tcW w:w="1275"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w:t>
            </w:r>
          </w:p>
        </w:tc>
        <w:tc>
          <w:tcPr>
            <w:tcW w:w="1418" w:type="dxa"/>
            <w:tcBorders>
              <w:top w:val="single" w:color="auto" w:sz="4" w:space="0"/>
              <w:left w:val="nil"/>
              <w:bottom w:val="single" w:color="auto" w:sz="4" w:space="0"/>
              <w:right w:val="single" w:color="auto" w:sz="4" w:space="0"/>
            </w:tcBorders>
            <w:vAlign w:val="center"/>
          </w:tcPr>
          <w:p>
            <w:pPr>
              <w:spacing w:line="240" w:lineRule="atLeast"/>
              <w:jc w:val="center"/>
              <w:rPr>
                <w:rFonts w:ascii="宋体" w:hAnsi="宋体" w:eastAsia="黑体"/>
                <w:sz w:val="24"/>
                <w:szCs w:val="24"/>
              </w:rPr>
            </w:pPr>
            <w:r>
              <w:rPr>
                <w:rFonts w:hint="eastAsia" w:ascii="宋体" w:hAnsi="宋体" w:eastAsia="黑体"/>
                <w:sz w:val="24"/>
                <w:szCs w:val="24"/>
              </w:rPr>
              <w:t>D89~D45</w:t>
            </w:r>
          </w:p>
          <w:p>
            <w:pPr>
              <w:spacing w:line="240" w:lineRule="atLeast"/>
              <w:jc w:val="center"/>
              <w:rPr>
                <w:rFonts w:ascii="宋体" w:hAnsi="宋体" w:eastAsia="黑体"/>
                <w:sz w:val="24"/>
                <w:szCs w:val="24"/>
              </w:rPr>
            </w:pPr>
            <w:r>
              <w:rPr>
                <w:rFonts w:hint="eastAsia" w:ascii="宋体" w:hAnsi="宋体" w:eastAsia="黑体"/>
                <w:sz w:val="24"/>
                <w:szCs w:val="24"/>
              </w:rPr>
              <w:t>15km</w:t>
            </w:r>
          </w:p>
        </w:tc>
        <w:tc>
          <w:tcPr>
            <w:tcW w:w="265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 xml:space="preserve">  </w:t>
            </w:r>
            <w:r>
              <w:rPr>
                <w:rFonts w:hint="eastAsia" w:ascii="宋体" w:hAnsi="宋体" w:eastAsia="黑体"/>
                <w:color w:val="FF0000"/>
                <w:sz w:val="24"/>
                <w:szCs w:val="24"/>
              </w:rPr>
              <w:t>2</w:t>
            </w:r>
            <w:r>
              <w:rPr>
                <w:rFonts w:hint="eastAsia" w:ascii="宋体" w:hAnsi="宋体" w:eastAsia="黑体"/>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黑体"/>
                <w:sz w:val="24"/>
                <w:szCs w:val="24"/>
              </w:rPr>
            </w:pPr>
            <w:r>
              <w:rPr>
                <w:rFonts w:hint="eastAsia" w:ascii="宋体" w:hAnsi="宋体" w:eastAsia="黑体"/>
                <w:sz w:val="24"/>
                <w:szCs w:val="24"/>
              </w:rPr>
              <w:t>11</w:t>
            </w:r>
          </w:p>
        </w:tc>
        <w:tc>
          <w:tcPr>
            <w:tcW w:w="2268" w:type="dxa"/>
            <w:tcBorders>
              <w:top w:val="single" w:color="auto" w:sz="4" w:space="0"/>
              <w:left w:val="nil"/>
              <w:bottom w:val="single" w:color="auto" w:sz="4" w:space="0"/>
              <w:right w:val="single" w:color="auto" w:sz="4" w:space="0"/>
            </w:tcBorders>
            <w:vAlign w:val="center"/>
          </w:tcPr>
          <w:p>
            <w:pPr>
              <w:jc w:val="center"/>
              <w:rPr>
                <w:rFonts w:ascii="宋体" w:hAnsi="宋体" w:eastAsia="黑体"/>
                <w:b/>
                <w:bCs/>
                <w:sz w:val="24"/>
                <w:szCs w:val="24"/>
              </w:rPr>
            </w:pPr>
          </w:p>
        </w:tc>
        <w:tc>
          <w:tcPr>
            <w:tcW w:w="1701"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p>
        </w:tc>
        <w:tc>
          <w:tcPr>
            <w:tcW w:w="1275"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line="240" w:lineRule="atLeast"/>
              <w:jc w:val="center"/>
              <w:rPr>
                <w:rFonts w:ascii="宋体" w:hAnsi="宋体" w:eastAsia="黑体"/>
                <w:sz w:val="24"/>
                <w:szCs w:val="24"/>
              </w:rPr>
            </w:pPr>
          </w:p>
        </w:tc>
        <w:tc>
          <w:tcPr>
            <w:tcW w:w="2658" w:type="dxa"/>
            <w:tcBorders>
              <w:top w:val="single" w:color="auto" w:sz="4" w:space="0"/>
              <w:left w:val="nil"/>
              <w:bottom w:val="single" w:color="auto" w:sz="4" w:space="0"/>
              <w:right w:val="single" w:color="auto" w:sz="4" w:space="0"/>
            </w:tcBorders>
            <w:vAlign w:val="center"/>
          </w:tcPr>
          <w:p>
            <w:pPr>
              <w:jc w:val="center"/>
              <w:rPr>
                <w:rFonts w:ascii="宋体" w:hAnsi="宋体" w:eastAsia="黑体"/>
                <w:sz w:val="24"/>
                <w:szCs w:val="24"/>
              </w:rPr>
            </w:pPr>
          </w:p>
        </w:tc>
      </w:tr>
    </w:tbl>
    <w:p>
      <w:pPr>
        <w:pStyle w:val="19"/>
        <w:ind w:firstLine="560"/>
        <w:rPr>
          <w:sz w:val="28"/>
          <w:szCs w:val="28"/>
        </w:rPr>
      </w:pPr>
    </w:p>
    <w:p>
      <w:pPr>
        <w:ind w:firstLine="560"/>
        <w:jc w:val="center"/>
        <w:rPr>
          <w:rFonts w:asciiTheme="minorEastAsia" w:hAnsiTheme="minorEastAsia" w:eastAsiaTheme="minorEastAsia"/>
          <w:szCs w:val="28"/>
        </w:rPr>
      </w:pPr>
      <w:r>
        <w:rPr>
          <w:rFonts w:hint="eastAsia" w:asciiTheme="minorEastAsia" w:hAnsiTheme="minorEastAsia" w:eastAsiaTheme="minorEastAsia"/>
          <w:szCs w:val="28"/>
        </w:rPr>
        <w:t>公司维修抢险队配置情况表</w:t>
      </w:r>
    </w:p>
    <w:tbl>
      <w:tblPr>
        <w:tblStyle w:val="43"/>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805"/>
        <w:gridCol w:w="2505"/>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序号</w:t>
            </w:r>
          </w:p>
        </w:tc>
        <w:tc>
          <w:tcPr>
            <w:tcW w:w="2805"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设 备 名 称</w:t>
            </w:r>
          </w:p>
        </w:tc>
        <w:tc>
          <w:tcPr>
            <w:tcW w:w="250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数    量</w:t>
            </w:r>
          </w:p>
        </w:tc>
        <w:tc>
          <w:tcPr>
            <w:tcW w:w="343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1</w:t>
            </w:r>
          </w:p>
        </w:tc>
        <w:tc>
          <w:tcPr>
            <w:tcW w:w="2805"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发电机3000W</w:t>
            </w:r>
          </w:p>
        </w:tc>
        <w:tc>
          <w:tcPr>
            <w:tcW w:w="250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1台</w:t>
            </w:r>
          </w:p>
        </w:tc>
        <w:tc>
          <w:tcPr>
            <w:tcW w:w="343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2</w:t>
            </w:r>
          </w:p>
        </w:tc>
        <w:tc>
          <w:tcPr>
            <w:tcW w:w="2805"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套丝机</w:t>
            </w:r>
          </w:p>
        </w:tc>
        <w:tc>
          <w:tcPr>
            <w:tcW w:w="250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2台</w:t>
            </w:r>
          </w:p>
        </w:tc>
        <w:tc>
          <w:tcPr>
            <w:tcW w:w="343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3</w:t>
            </w:r>
          </w:p>
        </w:tc>
        <w:tc>
          <w:tcPr>
            <w:tcW w:w="2805"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电锤</w:t>
            </w:r>
          </w:p>
        </w:tc>
        <w:tc>
          <w:tcPr>
            <w:tcW w:w="250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2把</w:t>
            </w:r>
          </w:p>
        </w:tc>
        <w:tc>
          <w:tcPr>
            <w:tcW w:w="343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4</w:t>
            </w:r>
          </w:p>
        </w:tc>
        <w:tc>
          <w:tcPr>
            <w:tcW w:w="2805"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电焊机</w:t>
            </w:r>
          </w:p>
        </w:tc>
        <w:tc>
          <w:tcPr>
            <w:tcW w:w="250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1台</w:t>
            </w:r>
          </w:p>
        </w:tc>
        <w:tc>
          <w:tcPr>
            <w:tcW w:w="343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5</w:t>
            </w:r>
          </w:p>
        </w:tc>
        <w:tc>
          <w:tcPr>
            <w:tcW w:w="2805"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热接机</w:t>
            </w:r>
          </w:p>
        </w:tc>
        <w:tc>
          <w:tcPr>
            <w:tcW w:w="250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1台</w:t>
            </w:r>
          </w:p>
        </w:tc>
        <w:tc>
          <w:tcPr>
            <w:tcW w:w="343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6</w:t>
            </w:r>
          </w:p>
        </w:tc>
        <w:tc>
          <w:tcPr>
            <w:tcW w:w="2805"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电熔机</w:t>
            </w:r>
          </w:p>
        </w:tc>
        <w:tc>
          <w:tcPr>
            <w:tcW w:w="250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1台</w:t>
            </w:r>
          </w:p>
        </w:tc>
        <w:tc>
          <w:tcPr>
            <w:tcW w:w="343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7</w:t>
            </w:r>
          </w:p>
        </w:tc>
        <w:tc>
          <w:tcPr>
            <w:tcW w:w="2805"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手电筒</w:t>
            </w:r>
          </w:p>
        </w:tc>
        <w:tc>
          <w:tcPr>
            <w:tcW w:w="250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2把</w:t>
            </w:r>
          </w:p>
        </w:tc>
        <w:tc>
          <w:tcPr>
            <w:tcW w:w="343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8</w:t>
            </w:r>
          </w:p>
        </w:tc>
        <w:tc>
          <w:tcPr>
            <w:tcW w:w="2805"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探管仪</w:t>
            </w:r>
          </w:p>
        </w:tc>
        <w:tc>
          <w:tcPr>
            <w:tcW w:w="250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1台</w:t>
            </w:r>
          </w:p>
        </w:tc>
        <w:tc>
          <w:tcPr>
            <w:tcW w:w="343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9</w:t>
            </w:r>
          </w:p>
        </w:tc>
        <w:tc>
          <w:tcPr>
            <w:tcW w:w="2805"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测漏仪</w:t>
            </w:r>
          </w:p>
        </w:tc>
        <w:tc>
          <w:tcPr>
            <w:tcW w:w="250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1台</w:t>
            </w:r>
          </w:p>
        </w:tc>
        <w:tc>
          <w:tcPr>
            <w:tcW w:w="343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10</w:t>
            </w:r>
          </w:p>
        </w:tc>
        <w:tc>
          <w:tcPr>
            <w:tcW w:w="2805"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消防云梯</w:t>
            </w:r>
          </w:p>
        </w:tc>
        <w:tc>
          <w:tcPr>
            <w:tcW w:w="250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1把</w:t>
            </w:r>
          </w:p>
        </w:tc>
        <w:tc>
          <w:tcPr>
            <w:tcW w:w="343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11</w:t>
            </w:r>
          </w:p>
        </w:tc>
        <w:tc>
          <w:tcPr>
            <w:tcW w:w="2805"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专职抢险车</w:t>
            </w:r>
          </w:p>
        </w:tc>
        <w:tc>
          <w:tcPr>
            <w:tcW w:w="250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8辆</w:t>
            </w:r>
          </w:p>
        </w:tc>
        <w:tc>
          <w:tcPr>
            <w:tcW w:w="343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12</w:t>
            </w:r>
          </w:p>
        </w:tc>
        <w:tc>
          <w:tcPr>
            <w:tcW w:w="2805" w:type="dxa"/>
            <w:tcBorders>
              <w:top w:val="single" w:color="auto" w:sz="4" w:space="0"/>
              <w:left w:val="single" w:color="auto" w:sz="4" w:space="0"/>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工作人员</w:t>
            </w:r>
          </w:p>
        </w:tc>
        <w:tc>
          <w:tcPr>
            <w:tcW w:w="250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r>
              <w:rPr>
                <w:rFonts w:hint="eastAsia" w:ascii="宋体" w:hAnsi="宋体" w:eastAsia="黑体"/>
                <w:sz w:val="24"/>
                <w:szCs w:val="24"/>
              </w:rPr>
              <w:t>8人</w:t>
            </w:r>
          </w:p>
        </w:tc>
        <w:tc>
          <w:tcPr>
            <w:tcW w:w="3435" w:type="dxa"/>
            <w:tcBorders>
              <w:top w:val="single" w:color="auto" w:sz="4" w:space="0"/>
              <w:left w:val="nil"/>
              <w:bottom w:val="single" w:color="auto" w:sz="4" w:space="0"/>
              <w:right w:val="single" w:color="auto" w:sz="4" w:space="0"/>
            </w:tcBorders>
          </w:tcPr>
          <w:p>
            <w:pPr>
              <w:jc w:val="center"/>
              <w:rPr>
                <w:rFonts w:ascii="宋体" w:hAnsi="宋体" w:eastAsia="黑体"/>
                <w:sz w:val="24"/>
                <w:szCs w:val="24"/>
              </w:rPr>
            </w:pPr>
          </w:p>
        </w:tc>
      </w:tr>
    </w:tbl>
    <w:p>
      <w:pPr>
        <w:pStyle w:val="19"/>
        <w:ind w:firstLine="420"/>
        <w:rPr>
          <w:rFonts w:ascii="宋体"/>
          <w:sz w:val="32"/>
          <w:szCs w:val="32"/>
        </w:rPr>
      </w:pPr>
      <w:r>
        <w:br w:type="page"/>
      </w:r>
    </w:p>
    <w:p>
      <w:pPr>
        <w:pStyle w:val="6"/>
        <w:ind w:firstLine="643"/>
      </w:pPr>
      <w:bookmarkStart w:id="227" w:name="_Toc101798330"/>
      <w:r>
        <w:rPr>
          <w:rFonts w:hint="eastAsia"/>
        </w:rPr>
        <w:t>附件5 有关应急部门、机构或人员的联系方式</w:t>
      </w:r>
      <w:bookmarkEnd w:id="227"/>
    </w:p>
    <w:p>
      <w:pPr>
        <w:spacing w:after="0" w:line="560" w:lineRule="exact"/>
        <w:jc w:val="center"/>
        <w:rPr>
          <w:rFonts w:ascii="宋体" w:hAnsi="宋体" w:cs="宋体"/>
          <w:b/>
          <w:szCs w:val="28"/>
        </w:rPr>
      </w:pPr>
      <w:r>
        <w:rPr>
          <w:rFonts w:hint="eastAsia" w:ascii="宋体" w:hAnsi="宋体" w:cs="宋体"/>
          <w:b/>
          <w:szCs w:val="28"/>
        </w:rPr>
        <w:t>附表5</w:t>
      </w:r>
      <w:r>
        <w:rPr>
          <w:rFonts w:ascii="宋体" w:hAnsi="宋体" w:cs="宋体"/>
          <w:b/>
          <w:szCs w:val="28"/>
        </w:rPr>
        <w:t>-1</w:t>
      </w:r>
      <w:bookmarkStart w:id="228" w:name="_Toc29238710"/>
      <w:bookmarkStart w:id="229" w:name="_Toc24230"/>
      <w:r>
        <w:rPr>
          <w:rFonts w:hint="eastAsia" w:ascii="宋体" w:hAnsi="宋体" w:cs="宋体"/>
          <w:b/>
          <w:szCs w:val="28"/>
        </w:rPr>
        <w:t>公司应急指挥部成员名单</w:t>
      </w:r>
    </w:p>
    <w:tbl>
      <w:tblPr>
        <w:tblStyle w:val="43"/>
        <w:tblW w:w="9886"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024"/>
        <w:gridCol w:w="3879"/>
        <w:gridCol w:w="2597"/>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序 号</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姓  名</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工作单位</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职务/职称</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苟连云</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总经理</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13990783499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汪晓林</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副经理</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13980303922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黄光伟</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副经理</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13340761999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4</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谢仕强</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副经理</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13990755788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5</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鲜红梅</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工会主席</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15682175888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6</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王  荣</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总工程师</w:t>
            </w:r>
          </w:p>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生产技术科科长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13890797796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7</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王  亚</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安全管理科科长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13550590058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8</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赵  超</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安全管理科副科长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13990762569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9</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李建明</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维修抢险队队长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15892775299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10</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苟  文</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维修抢险队副队长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13990827883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11</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梁伟林</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后勤管理科科长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13990808006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12</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邓代举</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输气管理科科长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13980303362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罗  钊</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经营管理科科长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13890852497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14</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李柯薇</w:t>
            </w:r>
          </w:p>
        </w:tc>
        <w:tc>
          <w:tcPr>
            <w:tcW w:w="3879" w:type="dxa"/>
            <w:tcBorders>
              <w:top w:val="single" w:color="auto" w:sz="4" w:space="0"/>
              <w:left w:val="nil"/>
              <w:bottom w:val="single" w:color="auto" w:sz="4" w:space="0"/>
              <w:right w:val="single" w:color="auto" w:sz="4" w:space="0"/>
            </w:tcBorders>
          </w:tcPr>
          <w:p>
            <w:pPr>
              <w:spacing w:after="0" w:line="320" w:lineRule="exact"/>
              <w:jc w:val="both"/>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行政办公室主任</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18608171905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15</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董  浩</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财务科科长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13619050555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16</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杨浩琼</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财务科主办会计</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13778190423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17</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唐晓飞</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监察室主任</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13808272819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18</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何建辉</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工程安装管理科科长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13890880068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20</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郑宇卓</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管网管理科科长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13890832899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21</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汪  洋</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生产技术科副科长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13980306219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22</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文建军</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物资供应科科长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13088131856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23</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庞红英</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物资供应科副科长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13890849345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24</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宋俊宏</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网络信息管理科科长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15892791823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25</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高志强</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材料成本核算科科长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13508082977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26</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廖青林</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专职安全员</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15183567834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27</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宋  平</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东城管理所所长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13990812575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28</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罗  勇</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北城管理所所长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13890748288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29</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叶勇远</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西城管理所所长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18784777922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30</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杨龙章</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南城管理所所长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13990739686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31</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林小惠</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经营管理科副科长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13990780798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32</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李  果</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工程安装管理科副科长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13649059699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33</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刘  勇</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升钟</w:t>
            </w:r>
            <w:r>
              <w:rPr>
                <w:rFonts w:hint="eastAsia" w:ascii="宋体" w:hAnsi="宋体" w:eastAsia="黑体"/>
                <w:kern w:val="2"/>
                <w:sz w:val="24"/>
                <w:szCs w:val="24"/>
              </w:rPr>
              <w:t>管理站站长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13508274319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34</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谢平文</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定水</w:t>
            </w:r>
            <w:r>
              <w:rPr>
                <w:rFonts w:hint="eastAsia" w:ascii="宋体" w:hAnsi="宋体" w:eastAsia="黑体"/>
                <w:kern w:val="2"/>
                <w:sz w:val="24"/>
                <w:szCs w:val="24"/>
              </w:rPr>
              <w:t>管理站站长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13890736992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35</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罗丕芳</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盘龙</w:t>
            </w:r>
            <w:r>
              <w:rPr>
                <w:rFonts w:hint="eastAsia" w:ascii="宋体" w:hAnsi="宋体" w:eastAsia="黑体"/>
                <w:kern w:val="2"/>
                <w:sz w:val="24"/>
                <w:szCs w:val="24"/>
              </w:rPr>
              <w:t>管理站站长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13890841971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36</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赵  威</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建兴</w:t>
            </w:r>
            <w:r>
              <w:rPr>
                <w:rFonts w:hint="eastAsia" w:ascii="宋体" w:hAnsi="宋体" w:eastAsia="黑体"/>
                <w:kern w:val="2"/>
                <w:sz w:val="24"/>
                <w:szCs w:val="24"/>
              </w:rPr>
              <w:t>管理站站长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13890760165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37</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柴永成</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伏虎</w:t>
            </w:r>
            <w:r>
              <w:rPr>
                <w:rFonts w:hint="eastAsia" w:ascii="宋体" w:hAnsi="宋体" w:eastAsia="黑体"/>
                <w:kern w:val="2"/>
                <w:sz w:val="24"/>
                <w:szCs w:val="24"/>
              </w:rPr>
              <w:t>管理站站长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13890841350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38</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王  栋</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四川省</w:t>
            </w:r>
            <w:r>
              <w:rPr>
                <w:rFonts w:hint="eastAsia" w:ascii="宋体" w:hAnsi="宋体" w:eastAsia="黑体"/>
                <w:kern w:val="2"/>
                <w:sz w:val="24"/>
                <w:szCs w:val="24"/>
              </w:rPr>
              <w:t>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东坝</w:t>
            </w:r>
            <w:r>
              <w:rPr>
                <w:rFonts w:hint="eastAsia" w:ascii="宋体" w:hAnsi="宋体" w:eastAsia="黑体"/>
                <w:kern w:val="2"/>
                <w:sz w:val="24"/>
                <w:szCs w:val="24"/>
              </w:rPr>
              <w:t>管理站站长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15881753238</w:t>
            </w:r>
          </w:p>
        </w:tc>
      </w:tr>
    </w:tbl>
    <w:p>
      <w:pPr>
        <w:spacing w:after="0" w:line="320" w:lineRule="exact"/>
        <w:jc w:val="center"/>
        <w:rPr>
          <w:rFonts w:ascii="宋体" w:hAnsi="宋体"/>
          <w:kern w:val="2"/>
          <w:sz w:val="24"/>
          <w:szCs w:val="24"/>
        </w:rPr>
      </w:pPr>
    </w:p>
    <w:p>
      <w:pPr>
        <w:spacing w:after="0" w:line="560" w:lineRule="exact"/>
        <w:jc w:val="center"/>
        <w:rPr>
          <w:rFonts w:ascii="宋体" w:hAnsi="宋体"/>
          <w:kern w:val="2"/>
          <w:sz w:val="24"/>
          <w:szCs w:val="24"/>
        </w:rPr>
      </w:pPr>
      <w:r>
        <w:rPr>
          <w:rFonts w:hint="eastAsia" w:ascii="宋体" w:hAnsi="宋体" w:cs="宋体"/>
          <w:b/>
          <w:szCs w:val="28"/>
        </w:rPr>
        <w:t xml:space="preserve">指挥部办公室成员名单  </w:t>
      </w:r>
      <w:r>
        <w:rPr>
          <w:rFonts w:hint="eastAsia" w:ascii="宋体" w:hAnsi="宋体"/>
          <w:kern w:val="2"/>
          <w:sz w:val="24"/>
          <w:szCs w:val="24"/>
        </w:rPr>
        <w:t xml:space="preserve">             </w:t>
      </w:r>
    </w:p>
    <w:tbl>
      <w:tblPr>
        <w:tblStyle w:val="42"/>
        <w:tblW w:w="9899"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250"/>
        <w:gridCol w:w="3487"/>
        <w:gridCol w:w="184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序  号</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姓  名</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工作部门</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务</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王 荣</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生产技术科</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总工程师</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13890797796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2</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王亚</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安全管理科</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科长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13550590058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3</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赵超</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安全管理科</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副科长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13990762569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4</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罗  钊</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经营管理科</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科长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13890852497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5</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李建明</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队长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15892775299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6</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李柯薇</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行政办公室</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主任</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18608171905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7</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郑宇卓</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管网管理科</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科长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13890832899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8</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邓代举</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输气管理科</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科长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13980303362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9</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何建辉</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工程安装管理科</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科长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13890880068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10</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廖青林</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安全管理科</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专职安全员</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15183567834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11</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唐晓飞</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监察室</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主任</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13808272819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ind w:firstLine="240" w:firstLineChars="100"/>
              <w:jc w:val="both"/>
              <w:rPr>
                <w:rFonts w:ascii="宋体" w:hAnsi="宋体"/>
                <w:kern w:val="2"/>
                <w:sz w:val="24"/>
                <w:szCs w:val="24"/>
              </w:rPr>
            </w:pPr>
            <w:r>
              <w:rPr>
                <w:rFonts w:hint="eastAsia" w:ascii="宋体" w:hAnsi="宋体"/>
                <w:kern w:val="2"/>
                <w:sz w:val="24"/>
                <w:szCs w:val="24"/>
              </w:rPr>
              <w:t>12</w:t>
            </w:r>
          </w:p>
        </w:tc>
        <w:tc>
          <w:tcPr>
            <w:tcW w:w="1250" w:type="dxa"/>
            <w:tcBorders>
              <w:top w:val="single" w:color="auto" w:sz="4" w:space="0"/>
              <w:left w:val="nil"/>
              <w:bottom w:val="single" w:color="auto" w:sz="4" w:space="0"/>
              <w:right w:val="single" w:color="auto" w:sz="4" w:space="0"/>
            </w:tcBorders>
          </w:tcPr>
          <w:p>
            <w:pPr>
              <w:spacing w:after="0" w:line="320" w:lineRule="exact"/>
              <w:ind w:firstLine="240" w:firstLineChars="100"/>
              <w:jc w:val="both"/>
              <w:rPr>
                <w:rFonts w:ascii="宋体" w:hAnsi="宋体"/>
                <w:kern w:val="2"/>
                <w:sz w:val="24"/>
                <w:szCs w:val="24"/>
              </w:rPr>
            </w:pPr>
            <w:r>
              <w:rPr>
                <w:rFonts w:hint="eastAsia" w:ascii="宋体" w:hAnsi="宋体"/>
                <w:kern w:val="2"/>
                <w:sz w:val="24"/>
                <w:szCs w:val="24"/>
              </w:rPr>
              <w:t>文建军</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物质供应科</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科长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13088131856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ind w:firstLine="240" w:firstLineChars="100"/>
              <w:jc w:val="both"/>
              <w:rPr>
                <w:rFonts w:ascii="宋体" w:hAnsi="宋体"/>
                <w:kern w:val="2"/>
                <w:sz w:val="24"/>
                <w:szCs w:val="24"/>
              </w:rPr>
            </w:pPr>
            <w:r>
              <w:rPr>
                <w:rFonts w:hint="eastAsia" w:ascii="宋体" w:hAnsi="宋体"/>
                <w:kern w:val="2"/>
                <w:sz w:val="24"/>
                <w:szCs w:val="24"/>
              </w:rPr>
              <w:t>13</w:t>
            </w:r>
          </w:p>
        </w:tc>
        <w:tc>
          <w:tcPr>
            <w:tcW w:w="1250" w:type="dxa"/>
            <w:tcBorders>
              <w:top w:val="single" w:color="auto" w:sz="4" w:space="0"/>
              <w:left w:val="nil"/>
              <w:bottom w:val="single" w:color="auto" w:sz="4" w:space="0"/>
              <w:right w:val="single" w:color="auto" w:sz="4" w:space="0"/>
            </w:tcBorders>
          </w:tcPr>
          <w:p>
            <w:pPr>
              <w:spacing w:after="0" w:line="320" w:lineRule="exact"/>
              <w:ind w:firstLine="240" w:firstLineChars="100"/>
              <w:jc w:val="both"/>
              <w:rPr>
                <w:rFonts w:ascii="宋体" w:hAnsi="宋体"/>
                <w:kern w:val="2"/>
                <w:sz w:val="24"/>
                <w:szCs w:val="24"/>
              </w:rPr>
            </w:pPr>
            <w:r>
              <w:rPr>
                <w:rFonts w:hint="eastAsia" w:ascii="宋体" w:hAnsi="宋体"/>
                <w:kern w:val="2"/>
                <w:sz w:val="24"/>
                <w:szCs w:val="24"/>
              </w:rPr>
              <w:t>梁伟林</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后勤科</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科长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13990808006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ind w:firstLine="240" w:firstLineChars="100"/>
              <w:jc w:val="both"/>
              <w:rPr>
                <w:rFonts w:ascii="宋体" w:hAnsi="宋体"/>
                <w:color w:val="auto"/>
                <w:kern w:val="2"/>
                <w:sz w:val="24"/>
                <w:szCs w:val="24"/>
              </w:rPr>
            </w:pPr>
            <w:r>
              <w:rPr>
                <w:rFonts w:hint="eastAsia" w:ascii="宋体" w:hAnsi="宋体"/>
                <w:color w:val="auto"/>
                <w:kern w:val="2"/>
                <w:sz w:val="24"/>
                <w:szCs w:val="24"/>
              </w:rPr>
              <w:t>14</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冯巧娟</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维修抢险队</w:t>
            </w:r>
          </w:p>
        </w:tc>
        <w:tc>
          <w:tcPr>
            <w:tcW w:w="18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15196793881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ind w:firstLine="240" w:firstLineChars="100"/>
              <w:jc w:val="both"/>
              <w:rPr>
                <w:rFonts w:ascii="宋体" w:hAnsi="宋体"/>
                <w:color w:val="auto"/>
                <w:kern w:val="2"/>
                <w:sz w:val="24"/>
                <w:szCs w:val="24"/>
              </w:rPr>
            </w:pPr>
            <w:r>
              <w:rPr>
                <w:rFonts w:hint="eastAsia" w:ascii="宋体" w:hAnsi="宋体"/>
                <w:color w:val="auto"/>
                <w:kern w:val="2"/>
                <w:sz w:val="24"/>
                <w:szCs w:val="24"/>
              </w:rPr>
              <w:t>15</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洪  玉</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维修抢险队</w:t>
            </w:r>
          </w:p>
        </w:tc>
        <w:tc>
          <w:tcPr>
            <w:tcW w:w="18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13419136800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ind w:firstLine="240" w:firstLineChars="100"/>
              <w:jc w:val="both"/>
              <w:rPr>
                <w:rFonts w:ascii="宋体" w:hAnsi="宋体"/>
                <w:color w:val="auto"/>
                <w:kern w:val="2"/>
                <w:sz w:val="24"/>
                <w:szCs w:val="24"/>
              </w:rPr>
            </w:pPr>
            <w:r>
              <w:rPr>
                <w:rFonts w:hint="eastAsia" w:ascii="宋体" w:hAnsi="宋体"/>
                <w:color w:val="auto"/>
                <w:kern w:val="2"/>
                <w:sz w:val="24"/>
                <w:szCs w:val="24"/>
              </w:rPr>
              <w:t>16</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罗丽华</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维修抢险队</w:t>
            </w:r>
          </w:p>
        </w:tc>
        <w:tc>
          <w:tcPr>
            <w:tcW w:w="18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15281729433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ind w:firstLine="240" w:firstLineChars="100"/>
              <w:jc w:val="both"/>
              <w:rPr>
                <w:rFonts w:ascii="宋体" w:hAnsi="宋体"/>
                <w:color w:val="auto"/>
                <w:kern w:val="2"/>
                <w:sz w:val="24"/>
                <w:szCs w:val="24"/>
              </w:rPr>
            </w:pPr>
            <w:r>
              <w:rPr>
                <w:rFonts w:hint="eastAsia" w:ascii="宋体" w:hAnsi="宋体"/>
                <w:color w:val="auto"/>
                <w:kern w:val="2"/>
                <w:sz w:val="24"/>
                <w:szCs w:val="24"/>
              </w:rPr>
              <w:t>17</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张春燕</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维修抢险队</w:t>
            </w:r>
          </w:p>
        </w:tc>
        <w:tc>
          <w:tcPr>
            <w:tcW w:w="18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color w:val="auto"/>
                <w:kern w:val="2"/>
                <w:sz w:val="24"/>
                <w:szCs w:val="24"/>
              </w:rPr>
            </w:pPr>
            <w:r>
              <w:rPr>
                <w:rFonts w:hint="eastAsia" w:ascii="宋体" w:hAnsi="宋体"/>
                <w:color w:val="auto"/>
                <w:kern w:val="2"/>
                <w:sz w:val="24"/>
                <w:szCs w:val="24"/>
              </w:rPr>
              <w:t>13980313667</w:t>
            </w:r>
          </w:p>
        </w:tc>
      </w:tr>
    </w:tbl>
    <w:p>
      <w:pPr>
        <w:spacing w:after="0" w:line="320" w:lineRule="exact"/>
        <w:jc w:val="center"/>
        <w:rPr>
          <w:rFonts w:ascii="宋体" w:hAnsi="宋体"/>
          <w:kern w:val="2"/>
          <w:sz w:val="24"/>
          <w:szCs w:val="24"/>
        </w:rPr>
      </w:pPr>
    </w:p>
    <w:p>
      <w:pPr>
        <w:spacing w:after="0" w:line="320" w:lineRule="exact"/>
        <w:jc w:val="center"/>
        <w:rPr>
          <w:rFonts w:ascii="宋体" w:hAnsi="宋体"/>
          <w:kern w:val="2"/>
          <w:sz w:val="24"/>
          <w:szCs w:val="24"/>
        </w:rPr>
      </w:pPr>
    </w:p>
    <w:p>
      <w:pPr>
        <w:spacing w:after="0" w:line="560" w:lineRule="exact"/>
        <w:jc w:val="center"/>
        <w:rPr>
          <w:rFonts w:ascii="宋体" w:hAnsi="宋体" w:cs="宋体"/>
          <w:b/>
          <w:szCs w:val="28"/>
        </w:rPr>
      </w:pPr>
      <w:r>
        <w:rPr>
          <w:rFonts w:hint="eastAsia" w:ascii="宋体" w:hAnsi="宋体" w:cs="宋体"/>
          <w:b/>
          <w:szCs w:val="28"/>
        </w:rPr>
        <w:t xml:space="preserve">   现场救援组成员名单</w:t>
      </w:r>
    </w:p>
    <w:tbl>
      <w:tblPr>
        <w:tblStyle w:val="42"/>
        <w:tblW w:w="9946"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042"/>
        <w:gridCol w:w="3828"/>
        <w:gridCol w:w="198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序  号</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姓  名</w:t>
            </w:r>
          </w:p>
        </w:tc>
        <w:tc>
          <w:tcPr>
            <w:tcW w:w="382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工作部门</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务</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李建明</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队</w:t>
            </w:r>
            <w:r>
              <w:rPr>
                <w:rFonts w:hint="eastAsia" w:ascii="宋体" w:hAnsi="宋体"/>
                <w:kern w:val="2"/>
                <w:sz w:val="24"/>
                <w:szCs w:val="24"/>
                <w:lang w:val="en-US" w:eastAsia="zh-CN"/>
              </w:rPr>
              <w:t xml:space="preserve">  </w:t>
            </w:r>
            <w:r>
              <w:rPr>
                <w:rFonts w:hint="eastAsia" w:ascii="宋体" w:hAnsi="宋体"/>
                <w:kern w:val="2"/>
                <w:sz w:val="24"/>
                <w:szCs w:val="24"/>
              </w:rPr>
              <w:t>长</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15892775299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2</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何建辉</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工程安装科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rPr>
            </w:pPr>
            <w:r>
              <w:rPr>
                <w:rFonts w:hint="eastAsia" w:ascii="宋体" w:hAnsi="宋体"/>
                <w:kern w:val="2"/>
                <w:sz w:val="24"/>
                <w:szCs w:val="24"/>
              </w:rPr>
              <w:t>副队长</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13890880068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苟  文</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职</w:t>
            </w:r>
            <w:r>
              <w:rPr>
                <w:rFonts w:hint="eastAsia" w:ascii="宋体" w:hAnsi="宋体"/>
                <w:kern w:val="2"/>
                <w:sz w:val="24"/>
                <w:szCs w:val="24"/>
                <w:lang w:val="en-US" w:eastAsia="zh-CN"/>
              </w:rPr>
              <w:t xml:space="preserve">  </w:t>
            </w:r>
            <w:r>
              <w:rPr>
                <w:rFonts w:hint="eastAsia" w:ascii="宋体" w:hAnsi="宋体"/>
                <w:kern w:val="2"/>
                <w:sz w:val="24"/>
                <w:szCs w:val="24"/>
                <w:lang w:eastAsia="zh-CN"/>
              </w:rPr>
              <w:t>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13990827883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4</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李  鑫</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15181704788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5</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梁  川</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15182974999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6</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刘  刚</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15181748000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7</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郑志刚</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13778181851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8</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刘  健</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18382978111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9</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罗  刚</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13990708055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10</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石金榜</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13458228782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rPr>
              <w:t>1</w:t>
            </w:r>
            <w:r>
              <w:rPr>
                <w:rFonts w:hint="eastAsia" w:ascii="宋体" w:hAnsi="宋体"/>
                <w:kern w:val="2"/>
                <w:sz w:val="24"/>
                <w:szCs w:val="24"/>
                <w:lang w:val="en-US" w:eastAsia="zh-CN"/>
              </w:rPr>
              <w:t>1</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郑宇卓</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13890862899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rPr>
              <w:t>1</w:t>
            </w:r>
            <w:r>
              <w:rPr>
                <w:rFonts w:hint="eastAsia" w:ascii="宋体" w:hAnsi="宋体"/>
                <w:kern w:val="2"/>
                <w:sz w:val="24"/>
                <w:szCs w:val="24"/>
                <w:lang w:val="en-US" w:eastAsia="zh-CN"/>
              </w:rPr>
              <w:t>2</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何  刚</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13980303302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rPr>
              <w:t>1</w:t>
            </w:r>
            <w:r>
              <w:rPr>
                <w:rFonts w:hint="eastAsia" w:ascii="宋体" w:hAnsi="宋体"/>
                <w:kern w:val="2"/>
                <w:sz w:val="24"/>
                <w:szCs w:val="24"/>
                <w:lang w:val="en-US" w:eastAsia="zh-CN"/>
              </w:rPr>
              <w:t>3</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何岱泉</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15681064555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14</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马</w:t>
            </w:r>
            <w:r>
              <w:rPr>
                <w:rFonts w:hint="eastAsia" w:ascii="宋体" w:hAnsi="宋体"/>
                <w:kern w:val="2"/>
                <w:sz w:val="24"/>
                <w:szCs w:val="24"/>
                <w:lang w:val="en-US" w:eastAsia="zh-CN"/>
              </w:rPr>
              <w:t xml:space="preserve">  </w:t>
            </w:r>
            <w:r>
              <w:rPr>
                <w:rFonts w:hint="eastAsia" w:ascii="宋体" w:hAnsi="宋体"/>
                <w:kern w:val="2"/>
                <w:sz w:val="24"/>
                <w:szCs w:val="24"/>
                <w:lang w:eastAsia="zh-CN"/>
              </w:rPr>
              <w:t>林</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13990887700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陈汶建</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18381765876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16</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范树伟</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15882609171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17</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蒲焕辉</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13990708055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杨竞智</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18781780100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19</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王</w:t>
            </w:r>
            <w:r>
              <w:rPr>
                <w:rFonts w:hint="eastAsia" w:ascii="宋体" w:hAnsi="宋体"/>
                <w:kern w:val="2"/>
                <w:sz w:val="24"/>
                <w:szCs w:val="24"/>
                <w:lang w:val="en-US" w:eastAsia="zh-CN"/>
              </w:rPr>
              <w:t xml:space="preserve">  </w:t>
            </w:r>
            <w:r>
              <w:rPr>
                <w:rFonts w:hint="eastAsia" w:ascii="宋体" w:hAnsi="宋体"/>
                <w:kern w:val="2"/>
                <w:sz w:val="24"/>
                <w:szCs w:val="24"/>
                <w:lang w:eastAsia="zh-CN"/>
              </w:rPr>
              <w:t>进</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15082787038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20</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涂发生</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13518285731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21</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李</w:t>
            </w:r>
            <w:r>
              <w:rPr>
                <w:rFonts w:hint="eastAsia" w:ascii="宋体" w:hAnsi="宋体"/>
                <w:kern w:val="2"/>
                <w:sz w:val="24"/>
                <w:szCs w:val="24"/>
                <w:lang w:val="en-US" w:eastAsia="zh-CN"/>
              </w:rPr>
              <w:t xml:space="preserve">  </w:t>
            </w:r>
            <w:r>
              <w:rPr>
                <w:rFonts w:hint="eastAsia" w:ascii="宋体" w:hAnsi="宋体"/>
                <w:kern w:val="2"/>
                <w:sz w:val="24"/>
                <w:szCs w:val="24"/>
                <w:lang w:eastAsia="zh-CN"/>
              </w:rPr>
              <w:t>果</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工程安装科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13649059699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22</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李</w:t>
            </w:r>
            <w:r>
              <w:rPr>
                <w:rFonts w:hint="eastAsia" w:ascii="宋体" w:hAnsi="宋体"/>
                <w:kern w:val="2"/>
                <w:sz w:val="24"/>
                <w:szCs w:val="24"/>
                <w:lang w:val="en-US" w:eastAsia="zh-CN"/>
              </w:rPr>
              <w:t xml:space="preserve">  </w:t>
            </w:r>
            <w:r>
              <w:rPr>
                <w:rFonts w:hint="eastAsia" w:ascii="宋体" w:hAnsi="宋体"/>
                <w:kern w:val="2"/>
                <w:sz w:val="24"/>
                <w:szCs w:val="24"/>
                <w:lang w:eastAsia="zh-CN"/>
              </w:rPr>
              <w:t>锐</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工程安装科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18090590325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23</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张</w:t>
            </w:r>
            <w:r>
              <w:rPr>
                <w:rFonts w:hint="eastAsia" w:ascii="宋体" w:hAnsi="宋体"/>
                <w:kern w:val="2"/>
                <w:sz w:val="24"/>
                <w:szCs w:val="24"/>
                <w:lang w:val="en-US" w:eastAsia="zh-CN"/>
              </w:rPr>
              <w:t xml:space="preserve">  </w:t>
            </w:r>
            <w:r>
              <w:rPr>
                <w:rFonts w:hint="eastAsia" w:ascii="宋体" w:hAnsi="宋体"/>
                <w:kern w:val="2"/>
                <w:sz w:val="24"/>
                <w:szCs w:val="24"/>
                <w:lang w:eastAsia="zh-CN"/>
              </w:rPr>
              <w:t>杰</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工程安装科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18086905688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24</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任</w:t>
            </w:r>
            <w:r>
              <w:rPr>
                <w:rFonts w:hint="eastAsia" w:ascii="宋体" w:hAnsi="宋体"/>
                <w:kern w:val="2"/>
                <w:sz w:val="24"/>
                <w:szCs w:val="24"/>
                <w:lang w:val="en-US" w:eastAsia="zh-CN"/>
              </w:rPr>
              <w:t xml:space="preserve">  </w:t>
            </w:r>
            <w:r>
              <w:rPr>
                <w:rFonts w:hint="eastAsia" w:ascii="宋体" w:hAnsi="宋体"/>
                <w:kern w:val="2"/>
                <w:sz w:val="24"/>
                <w:szCs w:val="24"/>
                <w:lang w:eastAsia="zh-CN"/>
              </w:rPr>
              <w:t>超</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工程安装科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15882690329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25</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曹振华</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18696767841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26</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刘</w:t>
            </w:r>
            <w:r>
              <w:rPr>
                <w:rFonts w:hint="eastAsia" w:ascii="宋体" w:hAnsi="宋体"/>
                <w:kern w:val="2"/>
                <w:sz w:val="24"/>
                <w:szCs w:val="24"/>
                <w:lang w:val="en-US" w:eastAsia="zh-CN"/>
              </w:rPr>
              <w:t xml:space="preserve">  </w:t>
            </w:r>
            <w:r>
              <w:rPr>
                <w:rFonts w:hint="eastAsia" w:ascii="宋体" w:hAnsi="宋体"/>
                <w:kern w:val="2"/>
                <w:sz w:val="24"/>
                <w:szCs w:val="24"/>
                <w:lang w:eastAsia="zh-CN"/>
              </w:rPr>
              <w:t>红</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18990856378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27</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徐</w:t>
            </w:r>
            <w:r>
              <w:rPr>
                <w:rFonts w:hint="eastAsia" w:ascii="宋体" w:hAnsi="宋体"/>
                <w:kern w:val="2"/>
                <w:sz w:val="24"/>
                <w:szCs w:val="24"/>
                <w:lang w:val="en-US" w:eastAsia="zh-CN"/>
              </w:rPr>
              <w:t xml:space="preserve">  </w:t>
            </w:r>
            <w:r>
              <w:rPr>
                <w:rFonts w:hint="eastAsia" w:ascii="宋体" w:hAnsi="宋体"/>
                <w:kern w:val="2"/>
                <w:sz w:val="24"/>
                <w:szCs w:val="24"/>
                <w:lang w:eastAsia="zh-CN"/>
              </w:rPr>
              <w:t>旸</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18781747666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28</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汪峰毅</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15882637999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29</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陈</w:t>
            </w:r>
            <w:r>
              <w:rPr>
                <w:rFonts w:hint="eastAsia" w:ascii="宋体" w:hAnsi="宋体"/>
                <w:kern w:val="2"/>
                <w:sz w:val="24"/>
                <w:szCs w:val="24"/>
                <w:lang w:val="en-US" w:eastAsia="zh-CN"/>
              </w:rPr>
              <w:t xml:space="preserve">  </w:t>
            </w:r>
            <w:r>
              <w:rPr>
                <w:rFonts w:hint="eastAsia" w:ascii="宋体" w:hAnsi="宋体"/>
                <w:kern w:val="2"/>
                <w:sz w:val="24"/>
                <w:szCs w:val="24"/>
                <w:lang w:eastAsia="zh-CN"/>
              </w:rPr>
              <w:t>治</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18011691655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30</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杜雄林</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13568606186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31</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杜剑锋</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15228168605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32</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杨</w:t>
            </w:r>
            <w:r>
              <w:rPr>
                <w:rFonts w:hint="eastAsia" w:ascii="宋体" w:hAnsi="宋体"/>
                <w:kern w:val="2"/>
                <w:sz w:val="24"/>
                <w:szCs w:val="24"/>
                <w:lang w:val="en-US" w:eastAsia="zh-CN"/>
              </w:rPr>
              <w:t xml:space="preserve">  </w:t>
            </w:r>
            <w:r>
              <w:rPr>
                <w:rFonts w:hint="eastAsia" w:ascii="宋体" w:hAnsi="宋体"/>
                <w:kern w:val="2"/>
                <w:sz w:val="24"/>
                <w:szCs w:val="24"/>
                <w:lang w:eastAsia="zh-CN"/>
              </w:rPr>
              <w:t>波</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15881778785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33</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蒲凌燕</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13890849137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34</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姜大明</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15082792525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35</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冯</w:t>
            </w:r>
            <w:r>
              <w:rPr>
                <w:rFonts w:hint="eastAsia" w:ascii="宋体" w:hAnsi="宋体"/>
                <w:kern w:val="2"/>
                <w:sz w:val="24"/>
                <w:szCs w:val="24"/>
                <w:lang w:val="en-US" w:eastAsia="zh-CN"/>
              </w:rPr>
              <w:t xml:space="preserve">  </w:t>
            </w:r>
            <w:r>
              <w:rPr>
                <w:rFonts w:hint="eastAsia" w:ascii="宋体" w:hAnsi="宋体"/>
                <w:kern w:val="2"/>
                <w:sz w:val="24"/>
                <w:szCs w:val="24"/>
                <w:lang w:eastAsia="zh-CN"/>
              </w:rPr>
              <w:t>斌</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13890861333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36</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赵洪斌</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18780767000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37</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刘冠红</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13980303999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38</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马钰禧</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材料成本核算科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18881795173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39</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王</w:t>
            </w:r>
            <w:r>
              <w:rPr>
                <w:rFonts w:hint="eastAsia" w:ascii="宋体" w:hAnsi="宋体"/>
                <w:kern w:val="2"/>
                <w:sz w:val="24"/>
                <w:szCs w:val="24"/>
                <w:lang w:val="en-US" w:eastAsia="zh-CN"/>
              </w:rPr>
              <w:t xml:space="preserve">  </w:t>
            </w:r>
            <w:r>
              <w:rPr>
                <w:rFonts w:hint="eastAsia" w:ascii="宋体" w:hAnsi="宋体"/>
                <w:kern w:val="2"/>
                <w:sz w:val="24"/>
                <w:szCs w:val="24"/>
                <w:lang w:eastAsia="zh-CN"/>
              </w:rPr>
              <w:t>淏</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材料成本核算科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15892434400</w:t>
            </w:r>
          </w:p>
        </w:tc>
      </w:tr>
    </w:tbl>
    <w:p>
      <w:pPr>
        <w:spacing w:after="0" w:line="320" w:lineRule="exact"/>
        <w:jc w:val="center"/>
        <w:rPr>
          <w:rFonts w:ascii="宋体" w:hAnsi="宋体"/>
          <w:kern w:val="2"/>
          <w:sz w:val="24"/>
          <w:szCs w:val="24"/>
        </w:rPr>
      </w:pPr>
      <w:r>
        <w:rPr>
          <w:rFonts w:hint="eastAsia" w:ascii="宋体" w:hAnsi="宋体"/>
          <w:kern w:val="2"/>
          <w:sz w:val="24"/>
          <w:szCs w:val="24"/>
        </w:rPr>
        <w:t xml:space="preserve"> </w:t>
      </w:r>
    </w:p>
    <w:p>
      <w:pPr>
        <w:spacing w:after="0" w:line="560" w:lineRule="exact"/>
        <w:jc w:val="center"/>
        <w:rPr>
          <w:rFonts w:ascii="宋体" w:hAnsi="宋体" w:cs="宋体"/>
          <w:b/>
          <w:szCs w:val="28"/>
        </w:rPr>
      </w:pPr>
      <w:r>
        <w:rPr>
          <w:rFonts w:hint="eastAsia" w:ascii="宋体" w:hAnsi="宋体" w:cs="宋体"/>
          <w:b/>
          <w:szCs w:val="28"/>
        </w:rPr>
        <w:t>事故联络组成员</w:t>
      </w:r>
    </w:p>
    <w:tbl>
      <w:tblPr>
        <w:tblStyle w:val="42"/>
        <w:tblW w:w="9841"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485"/>
        <w:gridCol w:w="3990"/>
        <w:gridCol w:w="1560"/>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序</w:t>
            </w:r>
            <w:r>
              <w:rPr>
                <w:rFonts w:hint="eastAsia" w:ascii="宋体" w:hAnsi="宋体"/>
                <w:kern w:val="2"/>
                <w:sz w:val="24"/>
                <w:szCs w:val="24"/>
                <w:lang w:val="en-US" w:eastAsia="zh-CN"/>
              </w:rPr>
              <w:t xml:space="preserve"> </w:t>
            </w:r>
            <w:r>
              <w:rPr>
                <w:rFonts w:hint="eastAsia" w:ascii="宋体" w:hAnsi="宋体"/>
                <w:kern w:val="2"/>
                <w:sz w:val="24"/>
                <w:szCs w:val="24"/>
              </w:rPr>
              <w:t>号</w:t>
            </w:r>
          </w:p>
        </w:tc>
        <w:tc>
          <w:tcPr>
            <w:tcW w:w="148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姓  名</w:t>
            </w:r>
          </w:p>
        </w:tc>
        <w:tc>
          <w:tcPr>
            <w:tcW w:w="399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工作部门</w:t>
            </w:r>
          </w:p>
        </w:tc>
        <w:tc>
          <w:tcPr>
            <w:tcW w:w="15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务</w:t>
            </w:r>
          </w:p>
        </w:tc>
        <w:tc>
          <w:tcPr>
            <w:tcW w:w="16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w:t>
            </w:r>
          </w:p>
        </w:tc>
        <w:tc>
          <w:tcPr>
            <w:tcW w:w="148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汪晓林</w:t>
            </w:r>
          </w:p>
        </w:tc>
        <w:tc>
          <w:tcPr>
            <w:tcW w:w="399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val="en-US" w:eastAsia="zh-CN"/>
              </w:rPr>
              <w:t>四川省</w:t>
            </w:r>
            <w:r>
              <w:rPr>
                <w:rFonts w:hint="eastAsia" w:ascii="宋体" w:hAnsi="宋体"/>
                <w:kern w:val="2"/>
                <w:sz w:val="24"/>
                <w:szCs w:val="24"/>
              </w:rPr>
              <w:t>南部县天然气有限责任公司</w:t>
            </w:r>
          </w:p>
        </w:tc>
        <w:tc>
          <w:tcPr>
            <w:tcW w:w="15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副经理</w:t>
            </w:r>
          </w:p>
        </w:tc>
        <w:tc>
          <w:tcPr>
            <w:tcW w:w="16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13980303922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2</w:t>
            </w:r>
          </w:p>
        </w:tc>
        <w:tc>
          <w:tcPr>
            <w:tcW w:w="148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黄光伟</w:t>
            </w:r>
          </w:p>
        </w:tc>
        <w:tc>
          <w:tcPr>
            <w:tcW w:w="399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val="en-US" w:eastAsia="zh-CN"/>
              </w:rPr>
              <w:t>四川省</w:t>
            </w:r>
            <w:r>
              <w:rPr>
                <w:rFonts w:hint="eastAsia" w:ascii="宋体" w:hAnsi="宋体"/>
                <w:kern w:val="2"/>
                <w:sz w:val="24"/>
                <w:szCs w:val="24"/>
              </w:rPr>
              <w:t>南部县天然气有限责任公司</w:t>
            </w:r>
          </w:p>
        </w:tc>
        <w:tc>
          <w:tcPr>
            <w:tcW w:w="15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副经理</w:t>
            </w:r>
          </w:p>
        </w:tc>
        <w:tc>
          <w:tcPr>
            <w:tcW w:w="16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13340761999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3</w:t>
            </w:r>
          </w:p>
        </w:tc>
        <w:tc>
          <w:tcPr>
            <w:tcW w:w="148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谢仕强</w:t>
            </w:r>
          </w:p>
        </w:tc>
        <w:tc>
          <w:tcPr>
            <w:tcW w:w="399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val="en-US" w:eastAsia="zh-CN"/>
              </w:rPr>
              <w:t>四川省</w:t>
            </w:r>
            <w:r>
              <w:rPr>
                <w:rFonts w:hint="eastAsia" w:ascii="宋体" w:hAnsi="宋体"/>
                <w:kern w:val="2"/>
                <w:sz w:val="24"/>
                <w:szCs w:val="24"/>
              </w:rPr>
              <w:t>南部县天然气有限责任公司</w:t>
            </w:r>
          </w:p>
        </w:tc>
        <w:tc>
          <w:tcPr>
            <w:tcW w:w="15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副经理</w:t>
            </w:r>
          </w:p>
        </w:tc>
        <w:tc>
          <w:tcPr>
            <w:tcW w:w="16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13990755788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4</w:t>
            </w:r>
          </w:p>
        </w:tc>
        <w:tc>
          <w:tcPr>
            <w:tcW w:w="148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李柯薇</w:t>
            </w:r>
          </w:p>
        </w:tc>
        <w:tc>
          <w:tcPr>
            <w:tcW w:w="399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行政办公室</w:t>
            </w:r>
          </w:p>
        </w:tc>
        <w:tc>
          <w:tcPr>
            <w:tcW w:w="15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主任</w:t>
            </w:r>
          </w:p>
        </w:tc>
        <w:tc>
          <w:tcPr>
            <w:tcW w:w="16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18608171905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5</w:t>
            </w:r>
          </w:p>
        </w:tc>
        <w:tc>
          <w:tcPr>
            <w:tcW w:w="148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宋俊宏</w:t>
            </w:r>
          </w:p>
        </w:tc>
        <w:tc>
          <w:tcPr>
            <w:tcW w:w="399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网络管理科</w:t>
            </w:r>
          </w:p>
        </w:tc>
        <w:tc>
          <w:tcPr>
            <w:tcW w:w="15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科长</w:t>
            </w:r>
          </w:p>
        </w:tc>
        <w:tc>
          <w:tcPr>
            <w:tcW w:w="16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15892791823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6</w:t>
            </w:r>
          </w:p>
        </w:tc>
        <w:tc>
          <w:tcPr>
            <w:tcW w:w="148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唐晓飞</w:t>
            </w:r>
          </w:p>
        </w:tc>
        <w:tc>
          <w:tcPr>
            <w:tcW w:w="399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监察室</w:t>
            </w:r>
          </w:p>
        </w:tc>
        <w:tc>
          <w:tcPr>
            <w:tcW w:w="156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科长</w:t>
            </w:r>
          </w:p>
        </w:tc>
        <w:tc>
          <w:tcPr>
            <w:tcW w:w="166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13808272819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7</w:t>
            </w:r>
          </w:p>
        </w:tc>
        <w:tc>
          <w:tcPr>
            <w:tcW w:w="148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吴雨芹</w:t>
            </w:r>
          </w:p>
        </w:tc>
        <w:tc>
          <w:tcPr>
            <w:tcW w:w="399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行政办公室</w:t>
            </w:r>
          </w:p>
        </w:tc>
        <w:tc>
          <w:tcPr>
            <w:tcW w:w="156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职工</w:t>
            </w:r>
          </w:p>
        </w:tc>
        <w:tc>
          <w:tcPr>
            <w:tcW w:w="166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13330769177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8</w:t>
            </w:r>
          </w:p>
        </w:tc>
        <w:tc>
          <w:tcPr>
            <w:tcW w:w="148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吴瑜</w:t>
            </w:r>
          </w:p>
        </w:tc>
        <w:tc>
          <w:tcPr>
            <w:tcW w:w="399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行政办公室</w:t>
            </w:r>
          </w:p>
        </w:tc>
        <w:tc>
          <w:tcPr>
            <w:tcW w:w="15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职工</w:t>
            </w:r>
          </w:p>
        </w:tc>
        <w:tc>
          <w:tcPr>
            <w:tcW w:w="16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15328899329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9</w:t>
            </w:r>
          </w:p>
        </w:tc>
        <w:tc>
          <w:tcPr>
            <w:tcW w:w="148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p>
        </w:tc>
        <w:tc>
          <w:tcPr>
            <w:tcW w:w="399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p>
        </w:tc>
        <w:tc>
          <w:tcPr>
            <w:tcW w:w="15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p>
        </w:tc>
        <w:tc>
          <w:tcPr>
            <w:tcW w:w="16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10</w:t>
            </w:r>
          </w:p>
        </w:tc>
        <w:tc>
          <w:tcPr>
            <w:tcW w:w="148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399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156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166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11</w:t>
            </w:r>
          </w:p>
        </w:tc>
        <w:tc>
          <w:tcPr>
            <w:tcW w:w="148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399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156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166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148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399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156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166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r>
    </w:tbl>
    <w:p>
      <w:pPr>
        <w:spacing w:after="0" w:line="560" w:lineRule="exact"/>
        <w:jc w:val="center"/>
        <w:rPr>
          <w:rFonts w:ascii="宋体" w:hAnsi="宋体" w:cs="宋体"/>
          <w:b/>
          <w:szCs w:val="28"/>
        </w:rPr>
      </w:pPr>
      <w:r>
        <w:rPr>
          <w:rFonts w:hint="eastAsia" w:ascii="宋体" w:hAnsi="宋体" w:cs="宋体"/>
          <w:b/>
          <w:szCs w:val="28"/>
        </w:rPr>
        <w:t xml:space="preserve">  </w:t>
      </w:r>
    </w:p>
    <w:p>
      <w:pPr>
        <w:spacing w:after="0" w:line="560" w:lineRule="exact"/>
        <w:jc w:val="center"/>
        <w:rPr>
          <w:rFonts w:ascii="宋体" w:hAnsi="宋体" w:cs="宋体"/>
          <w:b/>
          <w:szCs w:val="28"/>
        </w:rPr>
      </w:pPr>
      <w:r>
        <w:rPr>
          <w:rFonts w:hint="eastAsia" w:ascii="宋体" w:hAnsi="宋体" w:cs="宋体"/>
          <w:b/>
          <w:szCs w:val="28"/>
        </w:rPr>
        <w:t>技术支持组成员名单</w:t>
      </w:r>
    </w:p>
    <w:tbl>
      <w:tblPr>
        <w:tblStyle w:val="42"/>
        <w:tblW w:w="9841"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250"/>
        <w:gridCol w:w="4032"/>
        <w:gridCol w:w="1680"/>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序  号</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姓  名</w:t>
            </w:r>
          </w:p>
        </w:tc>
        <w:tc>
          <w:tcPr>
            <w:tcW w:w="403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工作部门</w:t>
            </w:r>
          </w:p>
        </w:tc>
        <w:tc>
          <w:tcPr>
            <w:tcW w:w="168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务</w:t>
            </w:r>
          </w:p>
        </w:tc>
        <w:tc>
          <w:tcPr>
            <w:tcW w:w="188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谢仕强</w:t>
            </w:r>
          </w:p>
        </w:tc>
        <w:tc>
          <w:tcPr>
            <w:tcW w:w="403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val="en-US" w:eastAsia="zh-CN"/>
              </w:rPr>
              <w:t>四川省</w:t>
            </w:r>
            <w:r>
              <w:rPr>
                <w:rFonts w:hint="eastAsia" w:ascii="宋体" w:hAnsi="宋体"/>
                <w:kern w:val="2"/>
                <w:sz w:val="24"/>
                <w:szCs w:val="24"/>
              </w:rPr>
              <w:t>南部县天然气有限责任公司</w:t>
            </w:r>
          </w:p>
        </w:tc>
        <w:tc>
          <w:tcPr>
            <w:tcW w:w="168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副经理</w:t>
            </w:r>
          </w:p>
        </w:tc>
        <w:tc>
          <w:tcPr>
            <w:tcW w:w="188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13990755788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2</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王荣</w:t>
            </w:r>
          </w:p>
        </w:tc>
        <w:tc>
          <w:tcPr>
            <w:tcW w:w="403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生产技术科</w:t>
            </w:r>
          </w:p>
        </w:tc>
        <w:tc>
          <w:tcPr>
            <w:tcW w:w="168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总工程师</w:t>
            </w:r>
          </w:p>
        </w:tc>
        <w:tc>
          <w:tcPr>
            <w:tcW w:w="188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13890797796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3</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宋杨</w:t>
            </w:r>
          </w:p>
        </w:tc>
        <w:tc>
          <w:tcPr>
            <w:tcW w:w="403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生产技术科</w:t>
            </w:r>
          </w:p>
        </w:tc>
        <w:tc>
          <w:tcPr>
            <w:tcW w:w="168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88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ascii="宋体" w:hAnsi="宋体"/>
                <w:kern w:val="2"/>
                <w:sz w:val="24"/>
                <w:szCs w:val="24"/>
              </w:rPr>
              <w:t>13108174888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4</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梁家铭</w:t>
            </w:r>
          </w:p>
        </w:tc>
        <w:tc>
          <w:tcPr>
            <w:tcW w:w="403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ascii="宋体" w:hAnsi="宋体"/>
                <w:kern w:val="2"/>
                <w:sz w:val="24"/>
                <w:szCs w:val="24"/>
              </w:rPr>
              <w:t> </w:t>
            </w:r>
            <w:r>
              <w:rPr>
                <w:rFonts w:hint="eastAsia" w:ascii="宋体" w:hAnsi="宋体"/>
                <w:kern w:val="2"/>
                <w:sz w:val="24"/>
                <w:szCs w:val="24"/>
              </w:rPr>
              <w:t>生产技术科</w:t>
            </w:r>
          </w:p>
        </w:tc>
        <w:tc>
          <w:tcPr>
            <w:tcW w:w="168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88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18881788118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5</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陈俊宇</w:t>
            </w:r>
          </w:p>
        </w:tc>
        <w:tc>
          <w:tcPr>
            <w:tcW w:w="403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生产技术科</w:t>
            </w:r>
          </w:p>
        </w:tc>
        <w:tc>
          <w:tcPr>
            <w:tcW w:w="168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88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15881798217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6</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汪洋</w:t>
            </w:r>
          </w:p>
        </w:tc>
        <w:tc>
          <w:tcPr>
            <w:tcW w:w="403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生产技术科</w:t>
            </w:r>
          </w:p>
        </w:tc>
        <w:tc>
          <w:tcPr>
            <w:tcW w:w="168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88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13980306219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7</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梁灏钟</w:t>
            </w:r>
          </w:p>
        </w:tc>
        <w:tc>
          <w:tcPr>
            <w:tcW w:w="403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生产技术科</w:t>
            </w:r>
          </w:p>
        </w:tc>
        <w:tc>
          <w:tcPr>
            <w:tcW w:w="168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88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15881701952</w:t>
            </w:r>
          </w:p>
        </w:tc>
      </w:tr>
    </w:tbl>
    <w:p>
      <w:pPr>
        <w:spacing w:after="0" w:line="320" w:lineRule="exact"/>
        <w:jc w:val="center"/>
        <w:rPr>
          <w:rFonts w:ascii="宋体" w:hAnsi="宋体"/>
          <w:kern w:val="2"/>
          <w:sz w:val="24"/>
          <w:szCs w:val="24"/>
        </w:rPr>
      </w:pPr>
    </w:p>
    <w:p>
      <w:pPr>
        <w:spacing w:after="0" w:line="320" w:lineRule="exact"/>
        <w:jc w:val="center"/>
        <w:rPr>
          <w:rFonts w:ascii="宋体" w:hAnsi="宋体"/>
          <w:kern w:val="2"/>
          <w:sz w:val="24"/>
          <w:szCs w:val="24"/>
        </w:rPr>
      </w:pPr>
    </w:p>
    <w:p>
      <w:pPr>
        <w:pStyle w:val="19"/>
      </w:pPr>
    </w:p>
    <w:p>
      <w:pPr>
        <w:spacing w:after="0" w:line="560" w:lineRule="exact"/>
        <w:jc w:val="center"/>
        <w:rPr>
          <w:rFonts w:ascii="宋体" w:hAnsi="宋体" w:cs="宋体"/>
          <w:b/>
          <w:szCs w:val="28"/>
        </w:rPr>
      </w:pPr>
      <w:r>
        <w:rPr>
          <w:rFonts w:hint="eastAsia" w:ascii="宋体" w:hAnsi="宋体" w:cs="宋体"/>
          <w:b/>
          <w:szCs w:val="28"/>
        </w:rPr>
        <w:t>交通组成员名单</w:t>
      </w:r>
    </w:p>
    <w:tbl>
      <w:tblPr>
        <w:tblStyle w:val="42"/>
        <w:tblW w:w="9841"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250"/>
        <w:gridCol w:w="4047"/>
        <w:gridCol w:w="1635"/>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序  号</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姓  名</w:t>
            </w:r>
          </w:p>
        </w:tc>
        <w:tc>
          <w:tcPr>
            <w:tcW w:w="404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工作部门</w:t>
            </w:r>
          </w:p>
        </w:tc>
        <w:tc>
          <w:tcPr>
            <w:tcW w:w="163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务</w:t>
            </w:r>
          </w:p>
        </w:tc>
        <w:tc>
          <w:tcPr>
            <w:tcW w:w="191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鲜红梅</w:t>
            </w:r>
          </w:p>
        </w:tc>
        <w:tc>
          <w:tcPr>
            <w:tcW w:w="404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南部县天然气有限责任公司</w:t>
            </w:r>
          </w:p>
        </w:tc>
        <w:tc>
          <w:tcPr>
            <w:tcW w:w="163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工会主席</w:t>
            </w:r>
          </w:p>
        </w:tc>
        <w:tc>
          <w:tcPr>
            <w:tcW w:w="191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15682175888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2</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梁伟林</w:t>
            </w:r>
          </w:p>
        </w:tc>
        <w:tc>
          <w:tcPr>
            <w:tcW w:w="404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63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91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ascii="宋体" w:hAnsi="宋体"/>
                <w:kern w:val="2"/>
                <w:sz w:val="24"/>
                <w:szCs w:val="24"/>
              </w:rPr>
              <w:t>13990808006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3</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杨辉</w:t>
            </w:r>
          </w:p>
        </w:tc>
        <w:tc>
          <w:tcPr>
            <w:tcW w:w="404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63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91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ascii="宋体" w:hAnsi="宋体"/>
                <w:kern w:val="2"/>
                <w:sz w:val="24"/>
                <w:szCs w:val="24"/>
              </w:rPr>
              <w:t>13890760693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4</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费仲勋</w:t>
            </w:r>
          </w:p>
        </w:tc>
        <w:tc>
          <w:tcPr>
            <w:tcW w:w="404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63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91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13990709626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5</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范培强</w:t>
            </w:r>
          </w:p>
        </w:tc>
        <w:tc>
          <w:tcPr>
            <w:tcW w:w="404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63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91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13990783856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6</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赵清年</w:t>
            </w:r>
          </w:p>
        </w:tc>
        <w:tc>
          <w:tcPr>
            <w:tcW w:w="404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63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91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13678280778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7</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何勇</w:t>
            </w:r>
          </w:p>
        </w:tc>
        <w:tc>
          <w:tcPr>
            <w:tcW w:w="404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63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91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13990840825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8</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杨兵</w:t>
            </w:r>
          </w:p>
        </w:tc>
        <w:tc>
          <w:tcPr>
            <w:tcW w:w="404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63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91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15681390557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9</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欧效辰</w:t>
            </w:r>
          </w:p>
        </w:tc>
        <w:tc>
          <w:tcPr>
            <w:tcW w:w="404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63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91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13350405452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10</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罗仲</w:t>
            </w:r>
          </w:p>
        </w:tc>
        <w:tc>
          <w:tcPr>
            <w:tcW w:w="404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63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91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13404086000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11</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罗红兵</w:t>
            </w:r>
          </w:p>
        </w:tc>
        <w:tc>
          <w:tcPr>
            <w:tcW w:w="404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63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91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13518284991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12</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张</w:t>
            </w:r>
            <w:r>
              <w:rPr>
                <w:rFonts w:hint="eastAsia" w:ascii="宋体" w:hAnsi="宋体"/>
                <w:kern w:val="2"/>
                <w:sz w:val="24"/>
                <w:szCs w:val="24"/>
              </w:rPr>
              <w:t>清</w:t>
            </w:r>
            <w:r>
              <w:rPr>
                <w:rFonts w:ascii="宋体" w:hAnsi="宋体"/>
                <w:kern w:val="2"/>
                <w:sz w:val="24"/>
                <w:szCs w:val="24"/>
              </w:rPr>
              <w:t>武</w:t>
            </w:r>
          </w:p>
        </w:tc>
        <w:tc>
          <w:tcPr>
            <w:tcW w:w="404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63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191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15181798420</w:t>
            </w:r>
          </w:p>
        </w:tc>
      </w:tr>
    </w:tbl>
    <w:p>
      <w:pPr>
        <w:spacing w:after="0" w:line="320" w:lineRule="exact"/>
        <w:jc w:val="center"/>
        <w:rPr>
          <w:rFonts w:ascii="宋体" w:hAnsi="宋体"/>
          <w:kern w:val="2"/>
          <w:sz w:val="24"/>
          <w:szCs w:val="24"/>
        </w:rPr>
      </w:pPr>
    </w:p>
    <w:p>
      <w:pPr>
        <w:spacing w:after="0" w:line="560" w:lineRule="exact"/>
        <w:jc w:val="center"/>
        <w:rPr>
          <w:rFonts w:ascii="宋体" w:hAnsi="宋体" w:cs="宋体"/>
          <w:b/>
          <w:szCs w:val="28"/>
        </w:rPr>
      </w:pPr>
      <w:r>
        <w:rPr>
          <w:rFonts w:hint="eastAsia" w:ascii="宋体" w:hAnsi="宋体" w:cs="宋体"/>
          <w:b/>
          <w:szCs w:val="28"/>
        </w:rPr>
        <w:t>医疗救护组成员名单</w:t>
      </w:r>
    </w:p>
    <w:tbl>
      <w:tblPr>
        <w:tblStyle w:val="42"/>
        <w:tblW w:w="9841"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250"/>
        <w:gridCol w:w="3487"/>
        <w:gridCol w:w="184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序  号</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姓  名</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工作部门</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务</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罗钊</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经营管理科</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科长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13890852497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2</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宋平</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东城管理所</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所长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ascii="宋体" w:hAnsi="宋体"/>
                <w:kern w:val="2"/>
                <w:sz w:val="24"/>
                <w:szCs w:val="24"/>
              </w:rPr>
              <w:t>13990812575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3</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杨龙章</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南城管理所</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所长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ascii="宋体" w:hAnsi="宋体"/>
                <w:kern w:val="2"/>
                <w:sz w:val="24"/>
                <w:szCs w:val="24"/>
              </w:rPr>
              <w:t>13990739686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4</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叶勇远</w:t>
            </w:r>
          </w:p>
        </w:tc>
        <w:tc>
          <w:tcPr>
            <w:tcW w:w="3487"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西城管理所</w:t>
            </w:r>
          </w:p>
        </w:tc>
        <w:tc>
          <w:tcPr>
            <w:tcW w:w="18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所长</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18784777922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5</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罗勇</w:t>
            </w:r>
          </w:p>
        </w:tc>
        <w:tc>
          <w:tcPr>
            <w:tcW w:w="3487"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北城管理所</w:t>
            </w:r>
          </w:p>
        </w:tc>
        <w:tc>
          <w:tcPr>
            <w:tcW w:w="18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所长</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13890748288</w:t>
            </w:r>
          </w:p>
        </w:tc>
      </w:tr>
    </w:tbl>
    <w:p>
      <w:pPr>
        <w:spacing w:after="0" w:line="320" w:lineRule="exact"/>
        <w:jc w:val="center"/>
        <w:rPr>
          <w:rFonts w:ascii="宋体" w:hAnsi="宋体"/>
          <w:kern w:val="2"/>
          <w:sz w:val="24"/>
          <w:szCs w:val="24"/>
        </w:rPr>
      </w:pPr>
    </w:p>
    <w:p>
      <w:pPr>
        <w:jc w:val="center"/>
        <w:rPr>
          <w:rFonts w:asciiTheme="majorEastAsia" w:hAnsiTheme="majorEastAsia" w:eastAsiaTheme="majorEastAsia" w:cstheme="majorEastAsia"/>
          <w:b/>
          <w:szCs w:val="28"/>
        </w:rPr>
      </w:pPr>
    </w:p>
    <w:p>
      <w:pPr>
        <w:adjustRightInd/>
        <w:snapToGrid/>
        <w:spacing w:after="0"/>
        <w:rPr>
          <w:rFonts w:ascii="宋体" w:hAnsi="宋体" w:cs="宋体"/>
          <w:b/>
          <w:szCs w:val="28"/>
        </w:rPr>
      </w:pPr>
      <w:r>
        <w:rPr>
          <w:rFonts w:ascii="宋体" w:hAnsi="宋体" w:cs="宋体"/>
          <w:b/>
          <w:szCs w:val="28"/>
        </w:rPr>
        <w:br w:type="page"/>
      </w:r>
    </w:p>
    <w:p>
      <w:pPr>
        <w:jc w:val="center"/>
        <w:rPr>
          <w:rFonts w:asciiTheme="majorEastAsia" w:hAnsiTheme="majorEastAsia" w:eastAsiaTheme="majorEastAsia" w:cstheme="majorEastAsia"/>
          <w:b/>
          <w:szCs w:val="28"/>
        </w:rPr>
      </w:pPr>
      <w:r>
        <w:rPr>
          <w:rFonts w:hint="eastAsia" w:ascii="宋体" w:hAnsi="宋体" w:cs="宋体"/>
          <w:b/>
          <w:szCs w:val="28"/>
        </w:rPr>
        <w:t>附表</w:t>
      </w:r>
      <w:r>
        <w:rPr>
          <w:rFonts w:hint="eastAsia" w:asciiTheme="majorEastAsia" w:hAnsiTheme="majorEastAsia" w:eastAsiaTheme="majorEastAsia" w:cstheme="majorEastAsia"/>
          <w:b/>
          <w:szCs w:val="28"/>
        </w:rPr>
        <w:t>5</w:t>
      </w:r>
      <w:r>
        <w:rPr>
          <w:rFonts w:asciiTheme="majorEastAsia" w:hAnsiTheme="majorEastAsia" w:eastAsiaTheme="majorEastAsia" w:cstheme="majorEastAsia"/>
          <w:b/>
          <w:szCs w:val="28"/>
        </w:rPr>
        <w:t xml:space="preserve">-2 </w:t>
      </w:r>
      <w:r>
        <w:rPr>
          <w:rFonts w:hint="eastAsia" w:asciiTheme="majorEastAsia" w:hAnsiTheme="majorEastAsia" w:eastAsiaTheme="majorEastAsia" w:cstheme="majorEastAsia"/>
          <w:b/>
          <w:szCs w:val="28"/>
        </w:rPr>
        <w:t>外部通讯联络方式</w:t>
      </w:r>
    </w:p>
    <w:p>
      <w:pPr>
        <w:pStyle w:val="72"/>
        <w:rPr>
          <w:color w:val="auto"/>
        </w:rPr>
      </w:pPr>
    </w:p>
    <w:tbl>
      <w:tblPr>
        <w:tblStyle w:val="42"/>
        <w:tblW w:w="9493" w:type="dxa"/>
        <w:tblInd w:w="0" w:type="dxa"/>
        <w:tblLayout w:type="fixed"/>
        <w:tblCellMar>
          <w:top w:w="0" w:type="dxa"/>
          <w:left w:w="108" w:type="dxa"/>
          <w:bottom w:w="0" w:type="dxa"/>
          <w:right w:w="108" w:type="dxa"/>
        </w:tblCellMar>
      </w:tblPr>
      <w:tblGrid>
        <w:gridCol w:w="825"/>
        <w:gridCol w:w="4840"/>
        <w:gridCol w:w="3828"/>
      </w:tblGrid>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序号</w:t>
            </w:r>
          </w:p>
        </w:tc>
        <w:tc>
          <w:tcPr>
            <w:tcW w:w="4840" w:type="dxa"/>
            <w:tcBorders>
              <w:top w:val="single" w:color="auto" w:sz="4" w:space="0"/>
              <w:left w:val="nil"/>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协防力量名称</w:t>
            </w:r>
          </w:p>
        </w:tc>
        <w:tc>
          <w:tcPr>
            <w:tcW w:w="3828" w:type="dxa"/>
            <w:tcBorders>
              <w:top w:val="single" w:color="auto" w:sz="4" w:space="0"/>
              <w:left w:val="nil"/>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联系电话</w:t>
            </w:r>
          </w:p>
        </w:tc>
      </w:tr>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w:t>
            </w:r>
          </w:p>
        </w:tc>
        <w:tc>
          <w:tcPr>
            <w:tcW w:w="4840"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南部县人民政府</w:t>
            </w:r>
          </w:p>
        </w:tc>
        <w:tc>
          <w:tcPr>
            <w:tcW w:w="3828"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ascii="宋体" w:hAnsi="宋体"/>
                <w:sz w:val="24"/>
                <w:szCs w:val="24"/>
              </w:rPr>
              <w:t>0817-</w:t>
            </w:r>
            <w:r>
              <w:rPr>
                <w:rFonts w:hint="eastAsia" w:ascii="宋体" w:hAnsi="宋体"/>
                <w:sz w:val="24"/>
                <w:szCs w:val="24"/>
              </w:rPr>
              <w:t>5525456</w:t>
            </w:r>
          </w:p>
        </w:tc>
      </w:tr>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2</w:t>
            </w:r>
          </w:p>
        </w:tc>
        <w:tc>
          <w:tcPr>
            <w:tcW w:w="4840"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南部县消防大队</w:t>
            </w:r>
          </w:p>
        </w:tc>
        <w:tc>
          <w:tcPr>
            <w:tcW w:w="3828"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ascii="宋体" w:hAnsi="宋体"/>
                <w:sz w:val="24"/>
                <w:szCs w:val="24"/>
              </w:rPr>
              <w:t>0817-119</w:t>
            </w:r>
          </w:p>
        </w:tc>
      </w:tr>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3</w:t>
            </w:r>
          </w:p>
        </w:tc>
        <w:tc>
          <w:tcPr>
            <w:tcW w:w="4840"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南部县公安局</w:t>
            </w:r>
          </w:p>
        </w:tc>
        <w:tc>
          <w:tcPr>
            <w:tcW w:w="3828"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ascii="宋体" w:hAnsi="宋体"/>
                <w:sz w:val="24"/>
                <w:szCs w:val="24"/>
              </w:rPr>
              <w:t>0817-110</w:t>
            </w:r>
          </w:p>
        </w:tc>
      </w:tr>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4</w:t>
            </w:r>
          </w:p>
        </w:tc>
        <w:tc>
          <w:tcPr>
            <w:tcW w:w="4840"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南部县急救中心</w:t>
            </w:r>
          </w:p>
        </w:tc>
        <w:tc>
          <w:tcPr>
            <w:tcW w:w="3828"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ascii="宋体" w:hAnsi="宋体"/>
                <w:sz w:val="24"/>
                <w:szCs w:val="24"/>
              </w:rPr>
              <w:t>0817-120</w:t>
            </w:r>
          </w:p>
        </w:tc>
      </w:tr>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5</w:t>
            </w:r>
          </w:p>
        </w:tc>
        <w:tc>
          <w:tcPr>
            <w:tcW w:w="4840"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南充市应急管理局</w:t>
            </w:r>
          </w:p>
        </w:tc>
        <w:tc>
          <w:tcPr>
            <w:tcW w:w="3828"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rPr>
            </w:pPr>
            <w:r>
              <w:rPr>
                <w:rFonts w:ascii="宋体" w:hAnsi="宋体"/>
                <w:sz w:val="24"/>
                <w:szCs w:val="24"/>
              </w:rPr>
              <w:t>0817-2222419</w:t>
            </w:r>
          </w:p>
        </w:tc>
      </w:tr>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6</w:t>
            </w:r>
          </w:p>
        </w:tc>
        <w:tc>
          <w:tcPr>
            <w:tcW w:w="4840"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hint="eastAsia" w:ascii="宋体" w:hAnsi="宋体"/>
                <w:color w:val="000000"/>
                <w:spacing w:val="-20"/>
                <w:sz w:val="24"/>
                <w:szCs w:val="24"/>
              </w:rPr>
              <w:t>南部县应急管理局</w:t>
            </w:r>
          </w:p>
        </w:tc>
        <w:tc>
          <w:tcPr>
            <w:tcW w:w="3828"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ascii="宋体" w:hAnsi="宋体"/>
                <w:sz w:val="24"/>
                <w:szCs w:val="24"/>
              </w:rPr>
              <w:t>0817-</w:t>
            </w:r>
            <w:r>
              <w:rPr>
                <w:rFonts w:hint="eastAsia" w:ascii="宋体" w:hAnsi="宋体"/>
                <w:sz w:val="24"/>
                <w:szCs w:val="24"/>
              </w:rPr>
              <w:t>5522425</w:t>
            </w:r>
          </w:p>
        </w:tc>
      </w:tr>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7</w:t>
            </w:r>
          </w:p>
        </w:tc>
        <w:tc>
          <w:tcPr>
            <w:tcW w:w="4840"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hint="eastAsia" w:ascii="宋体" w:hAnsi="宋体"/>
                <w:sz w:val="24"/>
                <w:szCs w:val="24"/>
              </w:rPr>
              <w:t>南部县住房和城乡建设局</w:t>
            </w:r>
          </w:p>
        </w:tc>
        <w:tc>
          <w:tcPr>
            <w:tcW w:w="3828"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ascii="宋体" w:hAnsi="宋体"/>
                <w:sz w:val="24"/>
                <w:szCs w:val="24"/>
              </w:rPr>
              <w:t>0817-</w:t>
            </w:r>
            <w:r>
              <w:rPr>
                <w:rFonts w:hint="eastAsia" w:ascii="宋体" w:hAnsi="宋体"/>
                <w:sz w:val="24"/>
                <w:szCs w:val="24"/>
              </w:rPr>
              <w:t>5522251</w:t>
            </w:r>
          </w:p>
        </w:tc>
      </w:tr>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8</w:t>
            </w:r>
          </w:p>
        </w:tc>
        <w:tc>
          <w:tcPr>
            <w:tcW w:w="4840"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hint="eastAsia" w:ascii="宋体" w:hAnsi="宋体"/>
                <w:sz w:val="24"/>
                <w:szCs w:val="24"/>
              </w:rPr>
              <w:t>采油采气作业区</w:t>
            </w:r>
          </w:p>
        </w:tc>
        <w:tc>
          <w:tcPr>
            <w:tcW w:w="3828"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ascii="宋体" w:hAnsi="宋体"/>
                <w:sz w:val="24"/>
                <w:szCs w:val="24"/>
              </w:rPr>
              <w:t>0817-</w:t>
            </w:r>
            <w:r>
              <w:rPr>
                <w:rFonts w:hint="eastAsia" w:ascii="宋体" w:hAnsi="宋体"/>
                <w:sz w:val="24"/>
                <w:szCs w:val="24"/>
              </w:rPr>
              <w:t>5524745</w:t>
            </w:r>
          </w:p>
        </w:tc>
      </w:tr>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9</w:t>
            </w:r>
          </w:p>
        </w:tc>
        <w:tc>
          <w:tcPr>
            <w:tcW w:w="4840"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hint="eastAsia" w:ascii="宋体" w:hAnsi="宋体"/>
                <w:sz w:val="24"/>
                <w:szCs w:val="24"/>
              </w:rPr>
              <w:t>南部县人民医院</w:t>
            </w:r>
          </w:p>
        </w:tc>
        <w:tc>
          <w:tcPr>
            <w:tcW w:w="3828"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ascii="宋体" w:hAnsi="宋体"/>
                <w:sz w:val="24"/>
                <w:szCs w:val="24"/>
              </w:rPr>
              <w:t>0817-</w:t>
            </w:r>
            <w:r>
              <w:rPr>
                <w:rFonts w:hint="eastAsia" w:ascii="宋体" w:hAnsi="宋体"/>
                <w:sz w:val="24"/>
                <w:szCs w:val="24"/>
              </w:rPr>
              <w:t>5522762</w:t>
            </w:r>
          </w:p>
        </w:tc>
      </w:tr>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10</w:t>
            </w:r>
          </w:p>
        </w:tc>
        <w:tc>
          <w:tcPr>
            <w:tcW w:w="4840"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hint="eastAsia" w:ascii="宋体" w:hAnsi="宋体"/>
                <w:sz w:val="24"/>
                <w:szCs w:val="24"/>
              </w:rPr>
              <w:t>南部县第二人民医院</w:t>
            </w:r>
          </w:p>
        </w:tc>
        <w:tc>
          <w:tcPr>
            <w:tcW w:w="3828"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ascii="宋体" w:hAnsi="宋体"/>
                <w:sz w:val="24"/>
                <w:szCs w:val="24"/>
              </w:rPr>
              <w:t>0817-</w:t>
            </w:r>
            <w:r>
              <w:rPr>
                <w:rFonts w:hint="eastAsia" w:ascii="宋体" w:hAnsi="宋体"/>
                <w:sz w:val="24"/>
                <w:szCs w:val="24"/>
              </w:rPr>
              <w:t>5522553</w:t>
            </w:r>
          </w:p>
        </w:tc>
      </w:tr>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11</w:t>
            </w:r>
          </w:p>
        </w:tc>
        <w:tc>
          <w:tcPr>
            <w:tcW w:w="4840"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hint="eastAsia" w:ascii="宋体" w:hAnsi="宋体"/>
                <w:sz w:val="24"/>
                <w:szCs w:val="24"/>
              </w:rPr>
              <w:t>南部县中医院</w:t>
            </w:r>
          </w:p>
        </w:tc>
        <w:tc>
          <w:tcPr>
            <w:tcW w:w="3828"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ascii="宋体" w:hAnsi="宋体"/>
                <w:sz w:val="24"/>
                <w:szCs w:val="24"/>
              </w:rPr>
              <w:t>0817-</w:t>
            </w:r>
            <w:r>
              <w:rPr>
                <w:rFonts w:hint="eastAsia" w:ascii="宋体" w:hAnsi="宋体"/>
                <w:sz w:val="24"/>
                <w:szCs w:val="24"/>
              </w:rPr>
              <w:t>5577367</w:t>
            </w:r>
          </w:p>
        </w:tc>
      </w:tr>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12</w:t>
            </w:r>
          </w:p>
        </w:tc>
        <w:tc>
          <w:tcPr>
            <w:tcW w:w="4840"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hint="eastAsia" w:ascii="宋体" w:hAnsi="宋体"/>
                <w:sz w:val="24"/>
                <w:szCs w:val="24"/>
              </w:rPr>
              <w:t>南部县中仁医院</w:t>
            </w:r>
          </w:p>
        </w:tc>
        <w:tc>
          <w:tcPr>
            <w:tcW w:w="3828"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ascii="宋体" w:hAnsi="宋体"/>
                <w:sz w:val="24"/>
                <w:szCs w:val="24"/>
              </w:rPr>
              <w:t>0817-</w:t>
            </w:r>
            <w:r>
              <w:rPr>
                <w:rFonts w:hint="eastAsia" w:ascii="宋体" w:hAnsi="宋体"/>
                <w:sz w:val="24"/>
                <w:szCs w:val="24"/>
              </w:rPr>
              <w:t>5583428</w:t>
            </w:r>
          </w:p>
        </w:tc>
      </w:tr>
      <w:tr>
        <w:tblPrEx>
          <w:tblCellMar>
            <w:top w:w="0" w:type="dxa"/>
            <w:left w:w="108" w:type="dxa"/>
            <w:bottom w:w="0" w:type="dxa"/>
            <w:right w:w="108" w:type="dxa"/>
          </w:tblCellMar>
        </w:tblPrEx>
        <w:trPr>
          <w:trHeight w:val="567" w:hRule="atLeast"/>
        </w:trPr>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13</w:t>
            </w:r>
          </w:p>
        </w:tc>
        <w:tc>
          <w:tcPr>
            <w:tcW w:w="4840"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hint="eastAsia" w:ascii="宋体" w:hAnsi="宋体"/>
                <w:sz w:val="24"/>
                <w:szCs w:val="24"/>
              </w:rPr>
              <w:t>南部县环境保护局</w:t>
            </w:r>
          </w:p>
        </w:tc>
        <w:tc>
          <w:tcPr>
            <w:tcW w:w="3828" w:type="dxa"/>
            <w:tcBorders>
              <w:top w:val="single" w:color="auto" w:sz="4" w:space="0"/>
              <w:left w:val="nil"/>
              <w:bottom w:val="single" w:color="auto" w:sz="4" w:space="0"/>
              <w:right w:val="single" w:color="auto" w:sz="4" w:space="0"/>
            </w:tcBorders>
          </w:tcPr>
          <w:p>
            <w:pPr>
              <w:jc w:val="center"/>
              <w:rPr>
                <w:rFonts w:ascii="宋体" w:hAnsi="宋体"/>
                <w:sz w:val="24"/>
                <w:szCs w:val="24"/>
              </w:rPr>
            </w:pPr>
            <w:r>
              <w:rPr>
                <w:rFonts w:ascii="宋体" w:hAnsi="宋体"/>
                <w:sz w:val="24"/>
                <w:szCs w:val="24"/>
              </w:rPr>
              <w:t>0817-</w:t>
            </w:r>
            <w:r>
              <w:rPr>
                <w:rFonts w:hint="eastAsia" w:ascii="宋体" w:hAnsi="宋体"/>
                <w:sz w:val="24"/>
                <w:szCs w:val="24"/>
              </w:rPr>
              <w:t>5522587</w:t>
            </w:r>
          </w:p>
        </w:tc>
      </w:tr>
    </w:tbl>
    <w:p>
      <w:pPr>
        <w:pStyle w:val="19"/>
        <w:ind w:firstLine="420"/>
      </w:pPr>
    </w:p>
    <w:bookmarkEnd w:id="228"/>
    <w:p>
      <w:pPr>
        <w:pStyle w:val="6"/>
        <w:ind w:firstLine="643"/>
      </w:pPr>
    </w:p>
    <w:p>
      <w:pPr>
        <w:adjustRightInd/>
        <w:snapToGrid/>
        <w:spacing w:after="0"/>
        <w:rPr>
          <w:rFonts w:ascii="宋体" w:hAnsi="Times New Roman"/>
          <w:b/>
          <w:bCs/>
          <w:szCs w:val="32"/>
        </w:rPr>
      </w:pPr>
      <w:r>
        <w:br w:type="page"/>
      </w:r>
    </w:p>
    <w:p>
      <w:pPr>
        <w:pStyle w:val="6"/>
        <w:ind w:firstLine="643"/>
      </w:pPr>
      <w:bookmarkStart w:id="230" w:name="_Toc101798331"/>
      <w:r>
        <w:rPr>
          <w:rFonts w:hint="eastAsia"/>
        </w:rPr>
        <w:t>附件6</w:t>
      </w:r>
      <w:r>
        <w:t xml:space="preserve"> </w:t>
      </w:r>
      <w:r>
        <w:rPr>
          <w:rFonts w:hint="eastAsia"/>
        </w:rPr>
        <w:t>格式化文本</w:t>
      </w:r>
      <w:bookmarkEnd w:id="230"/>
      <w:r>
        <w:rPr>
          <w:rFonts w:hint="eastAsia"/>
        </w:rPr>
        <w:t xml:space="preserve"> </w:t>
      </w:r>
    </w:p>
    <w:p>
      <w:pPr>
        <w:ind w:firstLine="562"/>
        <w:jc w:val="center"/>
        <w:rPr>
          <w:rFonts w:ascii="宋体" w:hAnsi="宋体" w:cs="宋体"/>
          <w:b/>
          <w:bCs/>
          <w:szCs w:val="28"/>
        </w:rPr>
      </w:pPr>
      <w:r>
        <w:rPr>
          <w:rFonts w:hint="eastAsia" w:ascii="宋体" w:hAnsi="宋体" w:cs="宋体"/>
          <w:b/>
          <w:bCs/>
          <w:szCs w:val="28"/>
        </w:rPr>
        <w:t>附表6</w:t>
      </w:r>
      <w:r>
        <w:rPr>
          <w:rFonts w:ascii="宋体" w:hAnsi="宋体" w:cs="宋体"/>
          <w:b/>
          <w:bCs/>
          <w:szCs w:val="28"/>
        </w:rPr>
        <w:t>-1</w:t>
      </w:r>
      <w:r>
        <w:rPr>
          <w:rFonts w:hint="eastAsia" w:ascii="宋体" w:hAnsi="宋体" w:cs="宋体"/>
          <w:b/>
          <w:bCs/>
          <w:szCs w:val="28"/>
        </w:rPr>
        <w:t>应急信息接收、处理单</w:t>
      </w:r>
    </w:p>
    <w:tbl>
      <w:tblPr>
        <w:tblStyle w:val="42"/>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1857"/>
        <w:gridCol w:w="1857"/>
        <w:gridCol w:w="1858"/>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tcPr>
          <w:p>
            <w:pPr>
              <w:pStyle w:val="72"/>
              <w:rPr>
                <w:color w:val="auto"/>
              </w:rPr>
            </w:pPr>
            <w:r>
              <w:rPr>
                <w:rFonts w:hint="eastAsia"/>
                <w:color w:val="auto"/>
              </w:rPr>
              <w:t>值班人</w:t>
            </w:r>
          </w:p>
        </w:tc>
        <w:tc>
          <w:tcPr>
            <w:tcW w:w="1857" w:type="dxa"/>
          </w:tcPr>
          <w:p>
            <w:pPr>
              <w:pStyle w:val="72"/>
              <w:rPr>
                <w:color w:val="auto"/>
              </w:rPr>
            </w:pPr>
            <w:r>
              <w:rPr>
                <w:rFonts w:hint="eastAsia"/>
                <w:color w:val="auto"/>
              </w:rPr>
              <w:t>信息接收时间</w:t>
            </w:r>
          </w:p>
        </w:tc>
        <w:tc>
          <w:tcPr>
            <w:tcW w:w="1857" w:type="dxa"/>
          </w:tcPr>
          <w:p>
            <w:pPr>
              <w:pStyle w:val="72"/>
              <w:rPr>
                <w:color w:val="auto"/>
              </w:rPr>
            </w:pPr>
            <w:r>
              <w:rPr>
                <w:rFonts w:hint="eastAsia"/>
                <w:color w:val="auto"/>
              </w:rPr>
              <w:t>接警人</w:t>
            </w:r>
          </w:p>
        </w:tc>
        <w:tc>
          <w:tcPr>
            <w:tcW w:w="1858" w:type="dxa"/>
          </w:tcPr>
          <w:p>
            <w:pPr>
              <w:pStyle w:val="72"/>
              <w:rPr>
                <w:color w:val="auto"/>
              </w:rPr>
            </w:pPr>
            <w:r>
              <w:rPr>
                <w:rFonts w:hint="eastAsia"/>
                <w:color w:val="auto"/>
              </w:rPr>
              <w:t>处理结果</w:t>
            </w:r>
          </w:p>
        </w:tc>
        <w:tc>
          <w:tcPr>
            <w:tcW w:w="1858" w:type="dxa"/>
          </w:tcPr>
          <w:p>
            <w:pPr>
              <w:pStyle w:val="72"/>
              <w:rPr>
                <w:color w:val="auto"/>
              </w:rPr>
            </w:pPr>
            <w:r>
              <w:rPr>
                <w:rFonts w:hint="eastAsia"/>
                <w:color w:val="auto"/>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57" w:type="dxa"/>
          </w:tcPr>
          <w:p>
            <w:pPr>
              <w:pStyle w:val="72"/>
              <w:rPr>
                <w:color w:val="auto"/>
              </w:rPr>
            </w:pPr>
          </w:p>
        </w:tc>
        <w:tc>
          <w:tcPr>
            <w:tcW w:w="1857" w:type="dxa"/>
          </w:tcPr>
          <w:p>
            <w:pPr>
              <w:pStyle w:val="72"/>
              <w:rPr>
                <w:color w:val="auto"/>
              </w:rPr>
            </w:pPr>
          </w:p>
        </w:tc>
        <w:tc>
          <w:tcPr>
            <w:tcW w:w="1857" w:type="dxa"/>
          </w:tcPr>
          <w:p>
            <w:pPr>
              <w:pStyle w:val="72"/>
              <w:rPr>
                <w:color w:val="auto"/>
              </w:rPr>
            </w:pPr>
          </w:p>
        </w:tc>
        <w:tc>
          <w:tcPr>
            <w:tcW w:w="1858" w:type="dxa"/>
          </w:tcPr>
          <w:p>
            <w:pPr>
              <w:pStyle w:val="72"/>
              <w:rPr>
                <w:color w:val="auto"/>
              </w:rPr>
            </w:pPr>
          </w:p>
        </w:tc>
        <w:tc>
          <w:tcPr>
            <w:tcW w:w="1858" w:type="dxa"/>
          </w:tcPr>
          <w:p>
            <w:pPr>
              <w:pStyle w:val="7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857" w:type="dxa"/>
          </w:tcPr>
          <w:p>
            <w:pPr>
              <w:pStyle w:val="72"/>
              <w:rPr>
                <w:color w:val="auto"/>
              </w:rPr>
            </w:pPr>
          </w:p>
        </w:tc>
        <w:tc>
          <w:tcPr>
            <w:tcW w:w="1857" w:type="dxa"/>
          </w:tcPr>
          <w:p>
            <w:pPr>
              <w:pStyle w:val="72"/>
              <w:rPr>
                <w:color w:val="auto"/>
              </w:rPr>
            </w:pPr>
          </w:p>
        </w:tc>
        <w:tc>
          <w:tcPr>
            <w:tcW w:w="1857" w:type="dxa"/>
          </w:tcPr>
          <w:p>
            <w:pPr>
              <w:pStyle w:val="72"/>
              <w:rPr>
                <w:color w:val="auto"/>
              </w:rPr>
            </w:pPr>
          </w:p>
        </w:tc>
        <w:tc>
          <w:tcPr>
            <w:tcW w:w="1858" w:type="dxa"/>
          </w:tcPr>
          <w:p>
            <w:pPr>
              <w:pStyle w:val="72"/>
              <w:rPr>
                <w:color w:val="auto"/>
              </w:rPr>
            </w:pPr>
          </w:p>
        </w:tc>
        <w:tc>
          <w:tcPr>
            <w:tcW w:w="1858" w:type="dxa"/>
          </w:tcPr>
          <w:p>
            <w:pPr>
              <w:pStyle w:val="7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857" w:type="dxa"/>
          </w:tcPr>
          <w:p>
            <w:pPr>
              <w:pStyle w:val="72"/>
              <w:rPr>
                <w:color w:val="auto"/>
              </w:rPr>
            </w:pPr>
          </w:p>
        </w:tc>
        <w:tc>
          <w:tcPr>
            <w:tcW w:w="1857" w:type="dxa"/>
          </w:tcPr>
          <w:p>
            <w:pPr>
              <w:pStyle w:val="72"/>
              <w:rPr>
                <w:color w:val="auto"/>
              </w:rPr>
            </w:pPr>
          </w:p>
        </w:tc>
        <w:tc>
          <w:tcPr>
            <w:tcW w:w="1857" w:type="dxa"/>
          </w:tcPr>
          <w:p>
            <w:pPr>
              <w:pStyle w:val="72"/>
              <w:rPr>
                <w:color w:val="auto"/>
              </w:rPr>
            </w:pPr>
          </w:p>
        </w:tc>
        <w:tc>
          <w:tcPr>
            <w:tcW w:w="1858" w:type="dxa"/>
          </w:tcPr>
          <w:p>
            <w:pPr>
              <w:pStyle w:val="72"/>
              <w:rPr>
                <w:color w:val="auto"/>
              </w:rPr>
            </w:pPr>
          </w:p>
        </w:tc>
        <w:tc>
          <w:tcPr>
            <w:tcW w:w="1858" w:type="dxa"/>
          </w:tcPr>
          <w:p>
            <w:pPr>
              <w:pStyle w:val="7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857" w:type="dxa"/>
          </w:tcPr>
          <w:p>
            <w:pPr>
              <w:pStyle w:val="72"/>
              <w:rPr>
                <w:color w:val="auto"/>
              </w:rPr>
            </w:pPr>
          </w:p>
        </w:tc>
        <w:tc>
          <w:tcPr>
            <w:tcW w:w="1857" w:type="dxa"/>
          </w:tcPr>
          <w:p>
            <w:pPr>
              <w:pStyle w:val="72"/>
              <w:rPr>
                <w:color w:val="auto"/>
              </w:rPr>
            </w:pPr>
          </w:p>
        </w:tc>
        <w:tc>
          <w:tcPr>
            <w:tcW w:w="1857" w:type="dxa"/>
          </w:tcPr>
          <w:p>
            <w:pPr>
              <w:pStyle w:val="72"/>
              <w:rPr>
                <w:color w:val="auto"/>
              </w:rPr>
            </w:pPr>
          </w:p>
        </w:tc>
        <w:tc>
          <w:tcPr>
            <w:tcW w:w="1858" w:type="dxa"/>
          </w:tcPr>
          <w:p>
            <w:pPr>
              <w:pStyle w:val="72"/>
              <w:rPr>
                <w:color w:val="auto"/>
              </w:rPr>
            </w:pPr>
          </w:p>
        </w:tc>
        <w:tc>
          <w:tcPr>
            <w:tcW w:w="1858" w:type="dxa"/>
          </w:tcPr>
          <w:p>
            <w:pPr>
              <w:pStyle w:val="7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857" w:type="dxa"/>
          </w:tcPr>
          <w:p>
            <w:pPr>
              <w:pStyle w:val="72"/>
              <w:rPr>
                <w:color w:val="auto"/>
              </w:rPr>
            </w:pPr>
          </w:p>
        </w:tc>
        <w:tc>
          <w:tcPr>
            <w:tcW w:w="1857" w:type="dxa"/>
          </w:tcPr>
          <w:p>
            <w:pPr>
              <w:pStyle w:val="72"/>
              <w:rPr>
                <w:color w:val="auto"/>
              </w:rPr>
            </w:pPr>
          </w:p>
        </w:tc>
        <w:tc>
          <w:tcPr>
            <w:tcW w:w="1857" w:type="dxa"/>
          </w:tcPr>
          <w:p>
            <w:pPr>
              <w:pStyle w:val="72"/>
              <w:rPr>
                <w:color w:val="auto"/>
              </w:rPr>
            </w:pPr>
          </w:p>
        </w:tc>
        <w:tc>
          <w:tcPr>
            <w:tcW w:w="1858" w:type="dxa"/>
          </w:tcPr>
          <w:p>
            <w:pPr>
              <w:pStyle w:val="72"/>
              <w:rPr>
                <w:color w:val="auto"/>
              </w:rPr>
            </w:pPr>
          </w:p>
        </w:tc>
        <w:tc>
          <w:tcPr>
            <w:tcW w:w="1858" w:type="dxa"/>
          </w:tcPr>
          <w:p>
            <w:pPr>
              <w:pStyle w:val="7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857" w:type="dxa"/>
          </w:tcPr>
          <w:p>
            <w:pPr>
              <w:pStyle w:val="72"/>
              <w:rPr>
                <w:color w:val="auto"/>
              </w:rPr>
            </w:pPr>
          </w:p>
        </w:tc>
        <w:tc>
          <w:tcPr>
            <w:tcW w:w="1857" w:type="dxa"/>
          </w:tcPr>
          <w:p>
            <w:pPr>
              <w:pStyle w:val="72"/>
              <w:rPr>
                <w:color w:val="auto"/>
              </w:rPr>
            </w:pPr>
          </w:p>
        </w:tc>
        <w:tc>
          <w:tcPr>
            <w:tcW w:w="1857" w:type="dxa"/>
          </w:tcPr>
          <w:p>
            <w:pPr>
              <w:pStyle w:val="72"/>
              <w:rPr>
                <w:color w:val="auto"/>
              </w:rPr>
            </w:pPr>
          </w:p>
        </w:tc>
        <w:tc>
          <w:tcPr>
            <w:tcW w:w="1858" w:type="dxa"/>
          </w:tcPr>
          <w:p>
            <w:pPr>
              <w:pStyle w:val="72"/>
              <w:rPr>
                <w:color w:val="auto"/>
              </w:rPr>
            </w:pPr>
          </w:p>
        </w:tc>
        <w:tc>
          <w:tcPr>
            <w:tcW w:w="1858" w:type="dxa"/>
          </w:tcPr>
          <w:p>
            <w:pPr>
              <w:pStyle w:val="72"/>
              <w:rPr>
                <w:color w:val="auto"/>
              </w:rPr>
            </w:pPr>
          </w:p>
        </w:tc>
      </w:tr>
    </w:tbl>
    <w:p>
      <w:pPr>
        <w:pStyle w:val="72"/>
        <w:rPr>
          <w:color w:val="auto"/>
        </w:rPr>
      </w:pPr>
    </w:p>
    <w:p>
      <w:pPr>
        <w:tabs>
          <w:tab w:val="left" w:pos="7875"/>
        </w:tabs>
        <w:spacing w:line="360" w:lineRule="auto"/>
        <w:ind w:firstLine="562"/>
        <w:jc w:val="center"/>
        <w:rPr>
          <w:rFonts w:ascii="宋体" w:hAnsi="宋体" w:cs="宋体"/>
          <w:b/>
          <w:bCs/>
          <w:szCs w:val="28"/>
        </w:rPr>
      </w:pPr>
      <w:r>
        <w:rPr>
          <w:rFonts w:hint="eastAsia" w:ascii="宋体" w:hAnsi="宋体" w:cs="宋体"/>
          <w:b/>
          <w:bCs/>
          <w:szCs w:val="28"/>
        </w:rPr>
        <w:t>附表6</w:t>
      </w:r>
      <w:r>
        <w:rPr>
          <w:rFonts w:ascii="宋体" w:hAnsi="宋体" w:cs="宋体"/>
          <w:b/>
          <w:bCs/>
          <w:szCs w:val="28"/>
        </w:rPr>
        <w:t>-2</w:t>
      </w:r>
      <w:r>
        <w:rPr>
          <w:rFonts w:hint="eastAsia" w:ascii="宋体" w:hAnsi="宋体" w:cs="宋体"/>
          <w:b/>
          <w:bCs/>
          <w:szCs w:val="28"/>
        </w:rPr>
        <w:t>事故信息上报表</w:t>
      </w:r>
    </w:p>
    <w:tbl>
      <w:tblPr>
        <w:tblStyle w:val="42"/>
        <w:tblW w:w="8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582"/>
        <w:gridCol w:w="1486"/>
        <w:gridCol w:w="1103"/>
        <w:gridCol w:w="1134"/>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1778" w:type="dxa"/>
            <w:vAlign w:val="bottom"/>
          </w:tcPr>
          <w:p>
            <w:pPr>
              <w:jc w:val="center"/>
              <w:rPr>
                <w:rFonts w:ascii="Times New Roman" w:hAnsi="Times New Roman"/>
                <w:bCs/>
                <w:sz w:val="24"/>
                <w:szCs w:val="24"/>
              </w:rPr>
            </w:pPr>
            <w:r>
              <w:rPr>
                <w:rFonts w:ascii="Times New Roman" w:hAnsi="Times New Roman"/>
                <w:bCs/>
                <w:sz w:val="24"/>
                <w:szCs w:val="24"/>
              </w:rPr>
              <w:t>单位</w:t>
            </w:r>
            <w:r>
              <w:rPr>
                <w:rFonts w:hint="eastAsia" w:ascii="Times New Roman" w:hAnsi="Times New Roman"/>
                <w:bCs/>
                <w:sz w:val="24"/>
                <w:szCs w:val="24"/>
              </w:rPr>
              <w:t>名称</w:t>
            </w:r>
          </w:p>
        </w:tc>
        <w:tc>
          <w:tcPr>
            <w:tcW w:w="7026" w:type="dxa"/>
            <w:gridSpan w:val="5"/>
            <w:vAlign w:val="bottom"/>
          </w:tcPr>
          <w:p>
            <w:pPr>
              <w:jc w:val="center"/>
              <w:rPr>
                <w:rFonts w:ascii="Times New Roman" w:hAnsi="Times New Roman"/>
                <w:bCs/>
                <w:sz w:val="24"/>
                <w:szCs w:val="24"/>
              </w:rPr>
            </w:pPr>
            <w:r>
              <w:rPr>
                <w:rFonts w:hint="eastAsia" w:ascii="宋体" w:hAnsi="宋体"/>
                <w:kern w:val="2"/>
                <w:sz w:val="24"/>
                <w:szCs w:val="24"/>
                <w:lang w:val="en-US" w:eastAsia="zh-CN"/>
              </w:rPr>
              <w:t>四川省</w:t>
            </w:r>
            <w:r>
              <w:rPr>
                <w:rFonts w:hint="eastAsia" w:ascii="Times New Roman" w:hAnsi="Times New Roman"/>
                <w:bCs/>
                <w:sz w:val="24"/>
                <w:szCs w:val="24"/>
              </w:rPr>
              <w:t>南部县天然气有限责任公司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1778" w:type="dxa"/>
            <w:vAlign w:val="bottom"/>
          </w:tcPr>
          <w:p>
            <w:pPr>
              <w:jc w:val="center"/>
              <w:rPr>
                <w:rFonts w:ascii="Times New Roman" w:hAnsi="Times New Roman"/>
                <w:bCs/>
                <w:sz w:val="24"/>
                <w:szCs w:val="24"/>
              </w:rPr>
            </w:pPr>
            <w:r>
              <w:rPr>
                <w:rFonts w:hint="eastAsia" w:ascii="Times New Roman" w:hAnsi="Times New Roman"/>
                <w:bCs/>
                <w:sz w:val="24"/>
                <w:szCs w:val="24"/>
              </w:rPr>
              <w:t>单位地址</w:t>
            </w:r>
          </w:p>
        </w:tc>
        <w:tc>
          <w:tcPr>
            <w:tcW w:w="4171" w:type="dxa"/>
            <w:gridSpan w:val="3"/>
            <w:vAlign w:val="bottom"/>
          </w:tcPr>
          <w:p>
            <w:pPr>
              <w:jc w:val="center"/>
              <w:rPr>
                <w:rFonts w:ascii="Times New Roman" w:hAnsi="Times New Roman"/>
                <w:bCs/>
                <w:sz w:val="24"/>
                <w:szCs w:val="24"/>
              </w:rPr>
            </w:pPr>
          </w:p>
        </w:tc>
        <w:tc>
          <w:tcPr>
            <w:tcW w:w="1134" w:type="dxa"/>
            <w:vAlign w:val="bottom"/>
          </w:tcPr>
          <w:p>
            <w:pPr>
              <w:jc w:val="center"/>
              <w:rPr>
                <w:rFonts w:ascii="Times New Roman" w:hAnsi="Times New Roman"/>
                <w:bCs/>
                <w:sz w:val="24"/>
                <w:szCs w:val="24"/>
              </w:rPr>
            </w:pPr>
            <w:r>
              <w:rPr>
                <w:rFonts w:hint="eastAsia" w:ascii="Times New Roman" w:hAnsi="Times New Roman"/>
                <w:bCs/>
                <w:sz w:val="24"/>
                <w:szCs w:val="24"/>
              </w:rPr>
              <w:t>邮编</w:t>
            </w:r>
          </w:p>
        </w:tc>
        <w:tc>
          <w:tcPr>
            <w:tcW w:w="1721" w:type="dxa"/>
            <w:vAlign w:val="bottom"/>
          </w:tcPr>
          <w:p>
            <w:pPr>
              <w:jc w:val="center"/>
              <w:rPr>
                <w:rFonts w:ascii="Times New Roman" w:hAnsi="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1778" w:type="dxa"/>
            <w:vAlign w:val="center"/>
          </w:tcPr>
          <w:p>
            <w:pPr>
              <w:jc w:val="center"/>
              <w:rPr>
                <w:rFonts w:ascii="Times New Roman" w:hAnsi="Times New Roman"/>
                <w:bCs/>
                <w:sz w:val="24"/>
                <w:szCs w:val="24"/>
              </w:rPr>
            </w:pPr>
            <w:r>
              <w:rPr>
                <w:rFonts w:hint="eastAsia" w:ascii="Times New Roman" w:hAnsi="Times New Roman"/>
                <w:bCs/>
                <w:sz w:val="24"/>
                <w:szCs w:val="24"/>
              </w:rPr>
              <w:t>事故发生时间</w:t>
            </w:r>
          </w:p>
        </w:tc>
        <w:tc>
          <w:tcPr>
            <w:tcW w:w="4171" w:type="dxa"/>
            <w:gridSpan w:val="3"/>
            <w:vAlign w:val="center"/>
          </w:tcPr>
          <w:p>
            <w:pPr>
              <w:jc w:val="center"/>
              <w:rPr>
                <w:rFonts w:ascii="Times New Roman" w:hAnsi="Times New Roman"/>
                <w:bCs/>
                <w:sz w:val="24"/>
                <w:szCs w:val="24"/>
              </w:rPr>
            </w:pPr>
            <w:r>
              <w:rPr>
                <w:rFonts w:hint="eastAsia" w:ascii="Times New Roman" w:hAnsi="Times New Roman"/>
                <w:bCs/>
                <w:sz w:val="24"/>
                <w:szCs w:val="24"/>
              </w:rPr>
              <w:t xml:space="preserve">年    月    日 </w:t>
            </w:r>
            <w:r>
              <w:rPr>
                <w:rFonts w:ascii="Times New Roman" w:hAnsi="Times New Roman"/>
                <w:bCs/>
                <w:sz w:val="24"/>
                <w:szCs w:val="24"/>
              </w:rPr>
              <w:t xml:space="preserve">   </w:t>
            </w:r>
            <w:r>
              <w:rPr>
                <w:rFonts w:hint="eastAsia" w:ascii="Times New Roman" w:hAnsi="Times New Roman"/>
                <w:bCs/>
                <w:sz w:val="24"/>
                <w:szCs w:val="24"/>
              </w:rPr>
              <w:t xml:space="preserve">时 </w:t>
            </w:r>
            <w:r>
              <w:rPr>
                <w:rFonts w:ascii="Times New Roman" w:hAnsi="Times New Roman"/>
                <w:bCs/>
                <w:sz w:val="24"/>
                <w:szCs w:val="24"/>
              </w:rPr>
              <w:t xml:space="preserve">   </w:t>
            </w:r>
            <w:r>
              <w:rPr>
                <w:rFonts w:hint="eastAsia" w:ascii="Times New Roman" w:hAnsi="Times New Roman"/>
                <w:bCs/>
                <w:sz w:val="24"/>
                <w:szCs w:val="24"/>
              </w:rPr>
              <w:t>分</w:t>
            </w:r>
          </w:p>
        </w:tc>
        <w:tc>
          <w:tcPr>
            <w:tcW w:w="1134" w:type="dxa"/>
            <w:vAlign w:val="center"/>
          </w:tcPr>
          <w:p>
            <w:pPr>
              <w:jc w:val="center"/>
              <w:rPr>
                <w:rFonts w:ascii="Times New Roman" w:hAnsi="Times New Roman"/>
                <w:bCs/>
                <w:sz w:val="24"/>
                <w:szCs w:val="24"/>
              </w:rPr>
            </w:pPr>
            <w:r>
              <w:rPr>
                <w:rFonts w:hint="eastAsia" w:ascii="Times New Roman" w:hAnsi="Times New Roman"/>
                <w:bCs/>
                <w:sz w:val="24"/>
                <w:szCs w:val="24"/>
              </w:rPr>
              <w:t>事故发生地点</w:t>
            </w:r>
          </w:p>
        </w:tc>
        <w:tc>
          <w:tcPr>
            <w:tcW w:w="1721" w:type="dxa"/>
            <w:vAlign w:val="center"/>
          </w:tcPr>
          <w:p>
            <w:pPr>
              <w:jc w:val="center"/>
              <w:rPr>
                <w:rFonts w:ascii="Times New Roman" w:hAnsi="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1778" w:type="dxa"/>
            <w:vAlign w:val="bottom"/>
          </w:tcPr>
          <w:p>
            <w:pPr>
              <w:jc w:val="both"/>
              <w:rPr>
                <w:rFonts w:ascii="Times New Roman" w:hAnsi="Times New Roman"/>
                <w:bCs/>
                <w:sz w:val="24"/>
                <w:szCs w:val="24"/>
              </w:rPr>
            </w:pPr>
            <w:r>
              <w:rPr>
                <w:rFonts w:hint="eastAsia" w:ascii="Times New Roman" w:hAnsi="Times New Roman"/>
                <w:bCs/>
                <w:sz w:val="24"/>
                <w:szCs w:val="24"/>
              </w:rPr>
              <w:t>直接经济损失</w:t>
            </w:r>
          </w:p>
        </w:tc>
        <w:tc>
          <w:tcPr>
            <w:tcW w:w="1582" w:type="dxa"/>
            <w:vAlign w:val="bottom"/>
          </w:tcPr>
          <w:p>
            <w:pPr>
              <w:jc w:val="center"/>
              <w:rPr>
                <w:rFonts w:ascii="Times New Roman" w:hAnsi="Times New Roman"/>
                <w:bCs/>
                <w:sz w:val="24"/>
                <w:szCs w:val="24"/>
              </w:rPr>
            </w:pPr>
            <w:r>
              <w:rPr>
                <w:rFonts w:hint="eastAsia" w:ascii="Times New Roman" w:hAnsi="Times New Roman"/>
                <w:bCs/>
                <w:sz w:val="24"/>
                <w:szCs w:val="24"/>
              </w:rPr>
              <w:t xml:space="preserve">    （万元）</w:t>
            </w:r>
          </w:p>
        </w:tc>
        <w:tc>
          <w:tcPr>
            <w:tcW w:w="1486" w:type="dxa"/>
            <w:vAlign w:val="bottom"/>
          </w:tcPr>
          <w:p>
            <w:pPr>
              <w:jc w:val="center"/>
              <w:rPr>
                <w:rFonts w:ascii="Times New Roman" w:hAnsi="Times New Roman"/>
                <w:bCs/>
                <w:sz w:val="24"/>
                <w:szCs w:val="24"/>
              </w:rPr>
            </w:pPr>
            <w:r>
              <w:rPr>
                <w:rFonts w:hint="eastAsia" w:ascii="Times New Roman" w:hAnsi="Times New Roman"/>
                <w:bCs/>
                <w:sz w:val="24"/>
                <w:szCs w:val="24"/>
              </w:rPr>
              <w:t>损失工作日</w:t>
            </w:r>
          </w:p>
        </w:tc>
        <w:tc>
          <w:tcPr>
            <w:tcW w:w="1103" w:type="dxa"/>
            <w:vAlign w:val="bottom"/>
          </w:tcPr>
          <w:p>
            <w:pPr>
              <w:jc w:val="center"/>
              <w:rPr>
                <w:rFonts w:ascii="Times New Roman" w:hAnsi="Times New Roman"/>
                <w:bCs/>
                <w:sz w:val="24"/>
                <w:szCs w:val="24"/>
              </w:rPr>
            </w:pPr>
          </w:p>
        </w:tc>
        <w:tc>
          <w:tcPr>
            <w:tcW w:w="1134" w:type="dxa"/>
            <w:vAlign w:val="bottom"/>
          </w:tcPr>
          <w:p>
            <w:pPr>
              <w:jc w:val="center"/>
              <w:rPr>
                <w:rFonts w:ascii="Times New Roman" w:hAnsi="Times New Roman"/>
                <w:bCs/>
                <w:sz w:val="24"/>
                <w:szCs w:val="24"/>
              </w:rPr>
            </w:pPr>
            <w:r>
              <w:rPr>
                <w:rFonts w:hint="eastAsia" w:ascii="Times New Roman" w:hAnsi="Times New Roman"/>
                <w:bCs/>
                <w:sz w:val="24"/>
                <w:szCs w:val="24"/>
              </w:rPr>
              <w:t>从业人数</w:t>
            </w:r>
          </w:p>
        </w:tc>
        <w:tc>
          <w:tcPr>
            <w:tcW w:w="1721" w:type="dxa"/>
            <w:vAlign w:val="bottom"/>
          </w:tcPr>
          <w:p>
            <w:pPr>
              <w:jc w:val="center"/>
              <w:rPr>
                <w:rFonts w:ascii="Times New Roman" w:hAnsi="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1778" w:type="dxa"/>
            <w:vAlign w:val="bottom"/>
          </w:tcPr>
          <w:p>
            <w:pPr>
              <w:jc w:val="both"/>
              <w:rPr>
                <w:rFonts w:ascii="Times New Roman" w:hAnsi="Times New Roman"/>
                <w:bCs/>
                <w:sz w:val="24"/>
                <w:szCs w:val="24"/>
              </w:rPr>
            </w:pPr>
            <w:r>
              <w:rPr>
                <w:rFonts w:hint="eastAsia" w:ascii="Times New Roman" w:hAnsi="Times New Roman"/>
                <w:bCs/>
                <w:sz w:val="24"/>
                <w:szCs w:val="24"/>
              </w:rPr>
              <w:t>死亡人数</w:t>
            </w:r>
          </w:p>
        </w:tc>
        <w:tc>
          <w:tcPr>
            <w:tcW w:w="1582" w:type="dxa"/>
            <w:vAlign w:val="bottom"/>
          </w:tcPr>
          <w:p>
            <w:pPr>
              <w:jc w:val="center"/>
              <w:rPr>
                <w:rFonts w:ascii="Times New Roman" w:hAnsi="Times New Roman"/>
                <w:bCs/>
                <w:sz w:val="24"/>
                <w:szCs w:val="24"/>
              </w:rPr>
            </w:pPr>
          </w:p>
        </w:tc>
        <w:tc>
          <w:tcPr>
            <w:tcW w:w="1486" w:type="dxa"/>
            <w:vAlign w:val="bottom"/>
          </w:tcPr>
          <w:p>
            <w:pPr>
              <w:jc w:val="center"/>
              <w:rPr>
                <w:rFonts w:ascii="Times New Roman" w:hAnsi="Times New Roman"/>
                <w:bCs/>
                <w:sz w:val="24"/>
                <w:szCs w:val="24"/>
              </w:rPr>
            </w:pPr>
            <w:r>
              <w:rPr>
                <w:rFonts w:hint="eastAsia" w:ascii="Times New Roman" w:hAnsi="Times New Roman"/>
                <w:bCs/>
                <w:sz w:val="24"/>
                <w:szCs w:val="24"/>
              </w:rPr>
              <w:t>重伤人数</w:t>
            </w:r>
          </w:p>
        </w:tc>
        <w:tc>
          <w:tcPr>
            <w:tcW w:w="1103" w:type="dxa"/>
            <w:vAlign w:val="bottom"/>
          </w:tcPr>
          <w:p>
            <w:pPr>
              <w:jc w:val="center"/>
              <w:rPr>
                <w:rFonts w:ascii="Times New Roman" w:hAnsi="Times New Roman"/>
                <w:bCs/>
                <w:sz w:val="24"/>
                <w:szCs w:val="24"/>
              </w:rPr>
            </w:pPr>
          </w:p>
        </w:tc>
        <w:tc>
          <w:tcPr>
            <w:tcW w:w="1134" w:type="dxa"/>
            <w:vAlign w:val="bottom"/>
          </w:tcPr>
          <w:p>
            <w:pPr>
              <w:jc w:val="center"/>
              <w:rPr>
                <w:rFonts w:ascii="Times New Roman" w:hAnsi="Times New Roman"/>
                <w:bCs/>
                <w:sz w:val="24"/>
                <w:szCs w:val="24"/>
              </w:rPr>
            </w:pPr>
            <w:r>
              <w:rPr>
                <w:rFonts w:hint="eastAsia" w:ascii="Times New Roman" w:hAnsi="Times New Roman"/>
                <w:bCs/>
                <w:sz w:val="24"/>
                <w:szCs w:val="24"/>
              </w:rPr>
              <w:t>轻伤人数</w:t>
            </w:r>
          </w:p>
        </w:tc>
        <w:tc>
          <w:tcPr>
            <w:tcW w:w="1721" w:type="dxa"/>
            <w:vAlign w:val="bottom"/>
          </w:tcPr>
          <w:p>
            <w:pPr>
              <w:jc w:val="center"/>
              <w:rPr>
                <w:rFonts w:ascii="Times New Roman" w:hAnsi="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1778" w:type="dxa"/>
            <w:vAlign w:val="bottom"/>
          </w:tcPr>
          <w:p>
            <w:pPr>
              <w:jc w:val="both"/>
              <w:rPr>
                <w:rFonts w:ascii="Times New Roman" w:hAnsi="Times New Roman"/>
                <w:bCs/>
                <w:sz w:val="24"/>
                <w:szCs w:val="24"/>
              </w:rPr>
            </w:pPr>
            <w:r>
              <w:rPr>
                <w:rFonts w:hint="eastAsia" w:ascii="Times New Roman" w:hAnsi="Times New Roman"/>
                <w:bCs/>
                <w:sz w:val="24"/>
                <w:szCs w:val="24"/>
              </w:rPr>
              <w:t>事故类别</w:t>
            </w:r>
          </w:p>
        </w:tc>
        <w:tc>
          <w:tcPr>
            <w:tcW w:w="1582" w:type="dxa"/>
            <w:vAlign w:val="bottom"/>
          </w:tcPr>
          <w:p>
            <w:pPr>
              <w:jc w:val="center"/>
              <w:rPr>
                <w:rFonts w:ascii="Times New Roman" w:hAnsi="Times New Roman"/>
                <w:bCs/>
                <w:sz w:val="24"/>
                <w:szCs w:val="24"/>
              </w:rPr>
            </w:pPr>
          </w:p>
        </w:tc>
        <w:tc>
          <w:tcPr>
            <w:tcW w:w="1486" w:type="dxa"/>
            <w:vAlign w:val="bottom"/>
          </w:tcPr>
          <w:p>
            <w:pPr>
              <w:jc w:val="center"/>
              <w:rPr>
                <w:rFonts w:ascii="Times New Roman" w:hAnsi="Times New Roman"/>
                <w:bCs/>
                <w:sz w:val="24"/>
                <w:szCs w:val="24"/>
              </w:rPr>
            </w:pPr>
            <w:r>
              <w:rPr>
                <w:rFonts w:hint="eastAsia" w:ascii="Times New Roman" w:hAnsi="Times New Roman"/>
                <w:bCs/>
                <w:sz w:val="24"/>
                <w:szCs w:val="24"/>
              </w:rPr>
              <w:t>事故性质</w:t>
            </w:r>
          </w:p>
        </w:tc>
        <w:tc>
          <w:tcPr>
            <w:tcW w:w="3958" w:type="dxa"/>
            <w:gridSpan w:val="3"/>
            <w:vAlign w:val="bottom"/>
          </w:tcPr>
          <w:p>
            <w:pPr>
              <w:jc w:val="center"/>
              <w:rPr>
                <w:rFonts w:ascii="Times New Roman" w:hAnsi="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8" w:hRule="atLeast"/>
          <w:jc w:val="center"/>
        </w:trPr>
        <w:tc>
          <w:tcPr>
            <w:tcW w:w="8804" w:type="dxa"/>
            <w:gridSpan w:val="6"/>
          </w:tcPr>
          <w:p>
            <w:pPr>
              <w:jc w:val="both"/>
              <w:rPr>
                <w:rFonts w:asciiTheme="minorEastAsia" w:hAnsiTheme="minorEastAsia" w:eastAsiaTheme="minorEastAsia"/>
                <w:sz w:val="24"/>
                <w:szCs w:val="24"/>
              </w:rPr>
            </w:pPr>
            <w:r>
              <w:rPr>
                <w:rFonts w:asciiTheme="minorEastAsia" w:hAnsiTheme="minorEastAsia" w:eastAsiaTheme="minorEastAsia"/>
                <w:sz w:val="24"/>
                <w:szCs w:val="24"/>
              </w:rPr>
              <w:t>事故</w:t>
            </w:r>
            <w:r>
              <w:rPr>
                <w:rFonts w:hint="eastAsia" w:asciiTheme="minorEastAsia" w:hAnsiTheme="minorEastAsia" w:eastAsiaTheme="minorEastAsia"/>
                <w:sz w:val="24"/>
                <w:szCs w:val="24"/>
              </w:rPr>
              <w:t>经过：（说明事故原因、起因物、致害物、不安全状态、不安全行为）</w:t>
            </w:r>
          </w:p>
          <w:p>
            <w:pPr>
              <w:pStyle w:val="7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8804" w:type="dxa"/>
            <w:gridSpan w:val="6"/>
            <w:vAlign w:val="bottom"/>
          </w:tcPr>
          <w:p>
            <w:pPr>
              <w:pStyle w:val="72"/>
              <w:rPr>
                <w:color w:val="auto"/>
              </w:rPr>
            </w:pPr>
            <w:r>
              <w:rPr>
                <w:rFonts w:hint="eastAsia"/>
                <w:color w:val="auto"/>
              </w:rPr>
              <w:t>单位负责人：     填表人：     单位电话：      填表日期：</w:t>
            </w:r>
          </w:p>
        </w:tc>
      </w:tr>
    </w:tbl>
    <w:p>
      <w:pPr>
        <w:ind w:firstLine="480"/>
        <w:rPr>
          <w:rFonts w:ascii="宋体" w:hAnsi="宋体" w:cs="宋体"/>
          <w:sz w:val="24"/>
          <w:szCs w:val="24"/>
        </w:rPr>
      </w:pPr>
      <w:r>
        <w:rPr>
          <w:rFonts w:hint="eastAsia" w:ascii="宋体" w:hAnsi="宋体" w:cs="宋体"/>
          <w:sz w:val="24"/>
          <w:szCs w:val="24"/>
        </w:rPr>
        <w:t xml:space="preserve">                                                                                 </w:t>
      </w:r>
    </w:p>
    <w:p>
      <w:pPr>
        <w:ind w:firstLine="562"/>
        <w:jc w:val="center"/>
        <w:rPr>
          <w:rFonts w:ascii="宋体" w:hAnsi="宋体" w:cs="宋体"/>
          <w:b/>
          <w:szCs w:val="28"/>
        </w:rPr>
      </w:pPr>
      <w:r>
        <w:rPr>
          <w:rFonts w:hint="eastAsia" w:ascii="宋体" w:hAnsi="宋体" w:cs="宋体"/>
          <w:b/>
          <w:bCs/>
          <w:szCs w:val="28"/>
        </w:rPr>
        <w:t>附表6</w:t>
      </w:r>
      <w:r>
        <w:rPr>
          <w:rFonts w:ascii="宋体" w:hAnsi="宋体" w:cs="宋体"/>
          <w:b/>
          <w:bCs/>
          <w:szCs w:val="28"/>
        </w:rPr>
        <w:t xml:space="preserve">-3 </w:t>
      </w:r>
      <w:r>
        <w:rPr>
          <w:rFonts w:hint="eastAsia" w:ascii="宋体" w:hAnsi="宋体" w:cs="宋体"/>
          <w:b/>
          <w:bCs/>
          <w:szCs w:val="28"/>
        </w:rPr>
        <w:t>应急预案启动登记表</w:t>
      </w:r>
    </w:p>
    <w:tbl>
      <w:tblPr>
        <w:tblStyle w:val="42"/>
        <w:tblW w:w="8611" w:type="dxa"/>
        <w:jc w:val="center"/>
        <w:tblLayout w:type="fixed"/>
        <w:tblCellMar>
          <w:top w:w="0" w:type="dxa"/>
          <w:left w:w="0" w:type="dxa"/>
          <w:bottom w:w="0" w:type="dxa"/>
          <w:right w:w="0" w:type="dxa"/>
        </w:tblCellMar>
      </w:tblPr>
      <w:tblGrid>
        <w:gridCol w:w="1755"/>
        <w:gridCol w:w="2236"/>
        <w:gridCol w:w="1889"/>
        <w:gridCol w:w="2731"/>
      </w:tblGrid>
      <w:tr>
        <w:tblPrEx>
          <w:tblCellMar>
            <w:top w:w="0" w:type="dxa"/>
            <w:left w:w="0" w:type="dxa"/>
            <w:bottom w:w="0" w:type="dxa"/>
            <w:right w:w="0" w:type="dxa"/>
          </w:tblCellMar>
        </w:tblPrEx>
        <w:trPr>
          <w:trHeight w:val="865" w:hRule="atLeast"/>
          <w:jc w:val="center"/>
        </w:trPr>
        <w:tc>
          <w:tcPr>
            <w:tcW w:w="861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r>
              <w:rPr>
                <w:rFonts w:hint="eastAsia" w:ascii="Times New Roman" w:hAnsi="Times New Roman"/>
                <w:kern w:val="2"/>
                <w:sz w:val="24"/>
                <w:szCs w:val="24"/>
              </w:rPr>
              <w:t>应急预案启动记录</w:t>
            </w:r>
          </w:p>
        </w:tc>
      </w:tr>
      <w:tr>
        <w:tblPrEx>
          <w:tblCellMar>
            <w:top w:w="0" w:type="dxa"/>
            <w:left w:w="0" w:type="dxa"/>
            <w:bottom w:w="0" w:type="dxa"/>
            <w:right w:w="0" w:type="dxa"/>
          </w:tblCellMar>
        </w:tblPrEx>
        <w:trPr>
          <w:trHeight w:val="730" w:hRule="atLeast"/>
          <w:jc w:val="center"/>
        </w:trPr>
        <w:tc>
          <w:tcPr>
            <w:tcW w:w="17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r>
              <w:rPr>
                <w:rFonts w:hint="eastAsia" w:ascii="Times New Roman" w:hAnsi="Times New Roman"/>
                <w:kern w:val="2"/>
                <w:sz w:val="24"/>
                <w:szCs w:val="24"/>
              </w:rPr>
              <w:t>单位</w:t>
            </w:r>
          </w:p>
        </w:tc>
        <w:tc>
          <w:tcPr>
            <w:tcW w:w="2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p>
        </w:tc>
        <w:tc>
          <w:tcPr>
            <w:tcW w:w="1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r>
              <w:rPr>
                <w:rFonts w:hint="eastAsia" w:ascii="Times New Roman" w:hAnsi="Times New Roman"/>
                <w:kern w:val="2"/>
                <w:sz w:val="24"/>
                <w:szCs w:val="24"/>
              </w:rPr>
              <w:t>登记时 间</w:t>
            </w:r>
          </w:p>
        </w:tc>
        <w:tc>
          <w:tcPr>
            <w:tcW w:w="27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p>
        </w:tc>
      </w:tr>
      <w:tr>
        <w:tblPrEx>
          <w:tblCellMar>
            <w:top w:w="0" w:type="dxa"/>
            <w:left w:w="0" w:type="dxa"/>
            <w:bottom w:w="0" w:type="dxa"/>
            <w:right w:w="0" w:type="dxa"/>
          </w:tblCellMar>
        </w:tblPrEx>
        <w:trPr>
          <w:trHeight w:val="760" w:hRule="atLeast"/>
          <w:jc w:val="center"/>
        </w:trPr>
        <w:tc>
          <w:tcPr>
            <w:tcW w:w="17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r>
              <w:rPr>
                <w:rFonts w:hint="eastAsia" w:ascii="Times New Roman" w:hAnsi="Times New Roman"/>
                <w:kern w:val="2"/>
                <w:sz w:val="24"/>
                <w:szCs w:val="24"/>
              </w:rPr>
              <w:t>事故发现人</w:t>
            </w:r>
          </w:p>
        </w:tc>
        <w:tc>
          <w:tcPr>
            <w:tcW w:w="22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p>
        </w:tc>
        <w:tc>
          <w:tcPr>
            <w:tcW w:w="1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r>
              <w:rPr>
                <w:rFonts w:hint="eastAsia" w:ascii="Times New Roman" w:hAnsi="Times New Roman"/>
                <w:kern w:val="2"/>
                <w:sz w:val="24"/>
                <w:szCs w:val="24"/>
              </w:rPr>
              <w:t>事故发生时间</w:t>
            </w:r>
          </w:p>
        </w:tc>
        <w:tc>
          <w:tcPr>
            <w:tcW w:w="27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p>
        </w:tc>
      </w:tr>
      <w:tr>
        <w:tblPrEx>
          <w:tblCellMar>
            <w:top w:w="0" w:type="dxa"/>
            <w:left w:w="0" w:type="dxa"/>
            <w:bottom w:w="0" w:type="dxa"/>
            <w:right w:w="0" w:type="dxa"/>
          </w:tblCellMar>
        </w:tblPrEx>
        <w:trPr>
          <w:trHeight w:val="710" w:hRule="atLeast"/>
          <w:jc w:val="center"/>
        </w:trPr>
        <w:tc>
          <w:tcPr>
            <w:tcW w:w="17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r>
              <w:rPr>
                <w:rFonts w:hint="eastAsia" w:ascii="Times New Roman" w:hAnsi="Times New Roman"/>
                <w:kern w:val="2"/>
                <w:sz w:val="24"/>
                <w:szCs w:val="24"/>
              </w:rPr>
              <w:t>事故发生地点</w:t>
            </w:r>
          </w:p>
        </w:tc>
        <w:tc>
          <w:tcPr>
            <w:tcW w:w="68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p>
        </w:tc>
      </w:tr>
      <w:tr>
        <w:tblPrEx>
          <w:tblCellMar>
            <w:top w:w="0" w:type="dxa"/>
            <w:left w:w="0" w:type="dxa"/>
            <w:bottom w:w="0" w:type="dxa"/>
            <w:right w:w="0" w:type="dxa"/>
          </w:tblCellMar>
        </w:tblPrEx>
        <w:trPr>
          <w:trHeight w:val="1825" w:hRule="atLeast"/>
          <w:jc w:val="center"/>
        </w:trPr>
        <w:tc>
          <w:tcPr>
            <w:tcW w:w="17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r>
              <w:rPr>
                <w:rFonts w:hint="eastAsia" w:ascii="Times New Roman" w:hAnsi="Times New Roman"/>
                <w:kern w:val="2"/>
                <w:sz w:val="24"/>
                <w:szCs w:val="24"/>
              </w:rPr>
              <w:t>事故报告情况</w:t>
            </w:r>
          </w:p>
        </w:tc>
        <w:tc>
          <w:tcPr>
            <w:tcW w:w="68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p>
        </w:tc>
      </w:tr>
      <w:tr>
        <w:tblPrEx>
          <w:tblCellMar>
            <w:top w:w="0" w:type="dxa"/>
            <w:left w:w="0" w:type="dxa"/>
            <w:bottom w:w="0" w:type="dxa"/>
            <w:right w:w="0" w:type="dxa"/>
          </w:tblCellMar>
        </w:tblPrEx>
        <w:trPr>
          <w:trHeight w:val="1855" w:hRule="atLeast"/>
          <w:jc w:val="center"/>
        </w:trPr>
        <w:tc>
          <w:tcPr>
            <w:tcW w:w="17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r>
              <w:rPr>
                <w:rFonts w:hint="eastAsia" w:ascii="Times New Roman" w:hAnsi="Times New Roman"/>
                <w:kern w:val="2"/>
                <w:sz w:val="24"/>
                <w:szCs w:val="24"/>
              </w:rPr>
              <w:t>事故发生情况</w:t>
            </w:r>
          </w:p>
        </w:tc>
        <w:tc>
          <w:tcPr>
            <w:tcW w:w="68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p>
        </w:tc>
      </w:tr>
      <w:tr>
        <w:tblPrEx>
          <w:tblCellMar>
            <w:top w:w="0" w:type="dxa"/>
            <w:left w:w="0" w:type="dxa"/>
            <w:bottom w:w="0" w:type="dxa"/>
            <w:right w:w="0" w:type="dxa"/>
          </w:tblCellMar>
        </w:tblPrEx>
        <w:trPr>
          <w:trHeight w:val="1940" w:hRule="atLeast"/>
          <w:jc w:val="center"/>
        </w:trPr>
        <w:tc>
          <w:tcPr>
            <w:tcW w:w="17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r>
              <w:rPr>
                <w:rFonts w:hint="eastAsia" w:ascii="Times New Roman" w:hAnsi="Times New Roman"/>
                <w:kern w:val="2"/>
                <w:sz w:val="24"/>
                <w:szCs w:val="24"/>
              </w:rPr>
              <w:t>应急预案启动及现场救援情况</w:t>
            </w:r>
          </w:p>
        </w:tc>
        <w:tc>
          <w:tcPr>
            <w:tcW w:w="68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p>
        </w:tc>
      </w:tr>
      <w:tr>
        <w:tblPrEx>
          <w:tblCellMar>
            <w:top w:w="0" w:type="dxa"/>
            <w:left w:w="0" w:type="dxa"/>
            <w:bottom w:w="0" w:type="dxa"/>
            <w:right w:w="0" w:type="dxa"/>
          </w:tblCellMar>
        </w:tblPrEx>
        <w:trPr>
          <w:trHeight w:val="1945" w:hRule="atLeast"/>
          <w:jc w:val="center"/>
        </w:trPr>
        <w:tc>
          <w:tcPr>
            <w:tcW w:w="17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r>
              <w:rPr>
                <w:rFonts w:hint="eastAsia" w:ascii="Times New Roman" w:hAnsi="Times New Roman"/>
                <w:kern w:val="2"/>
                <w:sz w:val="24"/>
                <w:szCs w:val="24"/>
              </w:rPr>
              <w:t>善后处置</w:t>
            </w:r>
          </w:p>
        </w:tc>
        <w:tc>
          <w:tcPr>
            <w:tcW w:w="68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p>
        </w:tc>
      </w:tr>
      <w:tr>
        <w:tblPrEx>
          <w:tblCellMar>
            <w:top w:w="0" w:type="dxa"/>
            <w:left w:w="0" w:type="dxa"/>
            <w:bottom w:w="0" w:type="dxa"/>
            <w:right w:w="0" w:type="dxa"/>
          </w:tblCellMar>
        </w:tblPrEx>
        <w:trPr>
          <w:trHeight w:val="1640" w:hRule="atLeast"/>
          <w:jc w:val="center"/>
        </w:trPr>
        <w:tc>
          <w:tcPr>
            <w:tcW w:w="17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r>
              <w:rPr>
                <w:rFonts w:hint="eastAsia" w:ascii="Times New Roman" w:hAnsi="Times New Roman"/>
                <w:kern w:val="2"/>
                <w:sz w:val="24"/>
                <w:szCs w:val="24"/>
              </w:rPr>
              <w:t>总结</w:t>
            </w:r>
          </w:p>
        </w:tc>
        <w:tc>
          <w:tcPr>
            <w:tcW w:w="68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p>
        </w:tc>
      </w:tr>
      <w:tr>
        <w:tblPrEx>
          <w:tblCellMar>
            <w:top w:w="0" w:type="dxa"/>
            <w:left w:w="0" w:type="dxa"/>
            <w:bottom w:w="0" w:type="dxa"/>
            <w:right w:w="0" w:type="dxa"/>
          </w:tblCellMar>
        </w:tblPrEx>
        <w:trPr>
          <w:trHeight w:val="725" w:hRule="atLeast"/>
          <w:jc w:val="center"/>
        </w:trPr>
        <w:tc>
          <w:tcPr>
            <w:tcW w:w="17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r>
              <w:rPr>
                <w:rFonts w:hint="eastAsia" w:ascii="Times New Roman" w:hAnsi="Times New Roman"/>
                <w:kern w:val="2"/>
                <w:sz w:val="24"/>
                <w:szCs w:val="24"/>
              </w:rPr>
              <w:t>记录人</w:t>
            </w:r>
          </w:p>
        </w:tc>
        <w:tc>
          <w:tcPr>
            <w:tcW w:w="68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adjustRightInd/>
              <w:snapToGrid/>
              <w:spacing w:after="0"/>
              <w:jc w:val="center"/>
              <w:rPr>
                <w:rFonts w:ascii="Times New Roman" w:hAnsi="Times New Roman"/>
                <w:kern w:val="2"/>
                <w:sz w:val="24"/>
                <w:szCs w:val="24"/>
              </w:rPr>
            </w:pPr>
          </w:p>
        </w:tc>
      </w:tr>
    </w:tbl>
    <w:p>
      <w:pPr>
        <w:pStyle w:val="72"/>
        <w:jc w:val="center"/>
        <w:rPr>
          <w:rFonts w:hAnsi="宋体"/>
          <w:b/>
          <w:color w:val="auto"/>
          <w:sz w:val="28"/>
          <w:szCs w:val="28"/>
        </w:rPr>
      </w:pPr>
      <w:r>
        <w:rPr>
          <w:rFonts w:hint="eastAsia" w:hAnsi="宋体"/>
          <w:b/>
          <w:bCs/>
          <w:color w:val="auto"/>
          <w:sz w:val="28"/>
          <w:szCs w:val="28"/>
        </w:rPr>
        <w:t>附表</w:t>
      </w:r>
      <w:r>
        <w:rPr>
          <w:rFonts w:hint="eastAsia" w:hAnsi="宋体"/>
          <w:b/>
          <w:color w:val="auto"/>
          <w:sz w:val="28"/>
          <w:szCs w:val="28"/>
        </w:rPr>
        <w:t>6</w:t>
      </w:r>
      <w:r>
        <w:rPr>
          <w:rFonts w:hAnsi="宋体"/>
          <w:b/>
          <w:color w:val="auto"/>
          <w:sz w:val="28"/>
          <w:szCs w:val="28"/>
        </w:rPr>
        <w:t xml:space="preserve">-4 </w:t>
      </w:r>
      <w:r>
        <w:rPr>
          <w:rFonts w:hint="eastAsia" w:hAnsi="宋体"/>
          <w:b/>
          <w:color w:val="auto"/>
          <w:sz w:val="28"/>
          <w:szCs w:val="28"/>
        </w:rPr>
        <w:t>文件修订记录表</w:t>
      </w:r>
    </w:p>
    <w:tbl>
      <w:tblPr>
        <w:tblStyle w:val="42"/>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326"/>
        <w:gridCol w:w="1327"/>
        <w:gridCol w:w="1327"/>
        <w:gridCol w:w="1327"/>
        <w:gridCol w:w="1511"/>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326" w:type="dxa"/>
            <w:vAlign w:val="center"/>
          </w:tcPr>
          <w:p>
            <w:pPr>
              <w:pStyle w:val="16"/>
              <w:ind w:firstLine="320"/>
            </w:pPr>
            <w:bookmarkStart w:id="231" w:name="_Toc97676843"/>
            <w:bookmarkStart w:id="232" w:name="_Toc82761799"/>
            <w:bookmarkStart w:id="233" w:name="_Toc83561288"/>
            <w:bookmarkStart w:id="234" w:name="_Toc92728661"/>
            <w:bookmarkStart w:id="235" w:name="_Toc93484896"/>
            <w:bookmarkStart w:id="236" w:name="_Toc81468427"/>
            <w:bookmarkStart w:id="237" w:name="_Toc89680135"/>
            <w:bookmarkStart w:id="238" w:name="_Toc93831400"/>
            <w:bookmarkStart w:id="239" w:name="_Toc15061"/>
            <w:bookmarkStart w:id="240" w:name="_Toc89844620"/>
            <w:bookmarkStart w:id="241" w:name="_Toc79047275"/>
            <w:bookmarkStart w:id="242" w:name="_Toc80562923"/>
            <w:bookmarkStart w:id="243" w:name="_Toc78557668"/>
            <w:bookmarkStart w:id="244" w:name="_Toc79047370"/>
            <w:bookmarkStart w:id="245" w:name="_Toc81205685"/>
            <w:bookmarkStart w:id="246" w:name="_Toc29580"/>
            <w:bookmarkStart w:id="247" w:name="_Toc78205898"/>
            <w:bookmarkStart w:id="248" w:name="_Toc79394692"/>
            <w:r>
              <w:rPr>
                <w:rFonts w:hint="eastAsia"/>
              </w:rPr>
              <w:t>序号</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tc>
        <w:tc>
          <w:tcPr>
            <w:tcW w:w="1326" w:type="dxa"/>
            <w:vAlign w:val="center"/>
          </w:tcPr>
          <w:p>
            <w:pPr>
              <w:pStyle w:val="16"/>
              <w:ind w:firstLine="320"/>
            </w:pPr>
            <w:bookmarkStart w:id="249" w:name="_Toc97676844"/>
            <w:bookmarkStart w:id="250" w:name="_Toc89680136"/>
            <w:bookmarkStart w:id="251" w:name="_Toc78205899"/>
            <w:bookmarkStart w:id="252" w:name="_Toc83561289"/>
            <w:bookmarkStart w:id="253" w:name="_Toc79394693"/>
            <w:bookmarkStart w:id="254" w:name="_Toc12059"/>
            <w:bookmarkStart w:id="255" w:name="_Toc81468428"/>
            <w:bookmarkStart w:id="256" w:name="_Toc93484897"/>
            <w:bookmarkStart w:id="257" w:name="_Toc92728662"/>
            <w:bookmarkStart w:id="258" w:name="_Toc81205686"/>
            <w:bookmarkStart w:id="259" w:name="_Toc89844621"/>
            <w:bookmarkStart w:id="260" w:name="_Toc93831401"/>
            <w:bookmarkStart w:id="261" w:name="_Toc79047371"/>
            <w:bookmarkStart w:id="262" w:name="_Toc82761800"/>
            <w:bookmarkStart w:id="263" w:name="_Toc80562924"/>
            <w:bookmarkStart w:id="264" w:name="_Toc79047276"/>
            <w:bookmarkStart w:id="265" w:name="_Toc78557669"/>
            <w:bookmarkStart w:id="266" w:name="_Toc6779"/>
            <w:r>
              <w:rPr>
                <w:rFonts w:hint="eastAsia"/>
              </w:rPr>
              <w:t>修订内容</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tc>
        <w:tc>
          <w:tcPr>
            <w:tcW w:w="1327" w:type="dxa"/>
            <w:vAlign w:val="center"/>
          </w:tcPr>
          <w:p>
            <w:pPr>
              <w:pStyle w:val="16"/>
              <w:ind w:firstLine="320"/>
            </w:pPr>
            <w:bookmarkStart w:id="267" w:name="_Toc78205900"/>
            <w:bookmarkStart w:id="268" w:name="_Toc89680137"/>
            <w:bookmarkStart w:id="269" w:name="_Toc6038"/>
            <w:bookmarkStart w:id="270" w:name="_Toc10983"/>
            <w:bookmarkStart w:id="271" w:name="_Toc82761801"/>
            <w:bookmarkStart w:id="272" w:name="_Toc93831402"/>
            <w:bookmarkStart w:id="273" w:name="_Toc81205687"/>
            <w:bookmarkStart w:id="274" w:name="_Toc79047372"/>
            <w:bookmarkStart w:id="275" w:name="_Toc92728663"/>
            <w:bookmarkStart w:id="276" w:name="_Toc78557670"/>
            <w:bookmarkStart w:id="277" w:name="_Toc79047277"/>
            <w:bookmarkStart w:id="278" w:name="_Toc89844622"/>
            <w:bookmarkStart w:id="279" w:name="_Toc97676845"/>
            <w:bookmarkStart w:id="280" w:name="_Toc83561290"/>
            <w:bookmarkStart w:id="281" w:name="_Toc79394694"/>
            <w:bookmarkStart w:id="282" w:name="_Toc80562925"/>
            <w:bookmarkStart w:id="283" w:name="_Toc81468429"/>
            <w:bookmarkStart w:id="284" w:name="_Toc93484898"/>
            <w:r>
              <w:rPr>
                <w:rFonts w:hint="eastAsia"/>
              </w:rPr>
              <w:t>修订原因</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tc>
        <w:tc>
          <w:tcPr>
            <w:tcW w:w="1327" w:type="dxa"/>
            <w:vAlign w:val="center"/>
          </w:tcPr>
          <w:p>
            <w:pPr>
              <w:pStyle w:val="16"/>
              <w:ind w:firstLine="320"/>
            </w:pPr>
            <w:bookmarkStart w:id="285" w:name="_Toc78205901"/>
            <w:bookmarkStart w:id="286" w:name="_Toc78557671"/>
            <w:bookmarkStart w:id="287" w:name="_Toc31880"/>
            <w:bookmarkStart w:id="288" w:name="_Toc79047278"/>
            <w:bookmarkStart w:id="289" w:name="_Toc79047373"/>
            <w:bookmarkStart w:id="290" w:name="_Toc79394695"/>
            <w:bookmarkStart w:id="291" w:name="_Toc82761802"/>
            <w:bookmarkStart w:id="292" w:name="_Toc93484899"/>
            <w:bookmarkStart w:id="293" w:name="_Toc80562926"/>
            <w:bookmarkStart w:id="294" w:name="_Toc83561291"/>
            <w:bookmarkStart w:id="295" w:name="_Toc21129"/>
            <w:bookmarkStart w:id="296" w:name="_Toc89844623"/>
            <w:bookmarkStart w:id="297" w:name="_Toc81205688"/>
            <w:bookmarkStart w:id="298" w:name="_Toc89680138"/>
            <w:bookmarkStart w:id="299" w:name="_Toc81468430"/>
            <w:bookmarkStart w:id="300" w:name="_Toc97676846"/>
            <w:bookmarkStart w:id="301" w:name="_Toc93831403"/>
            <w:bookmarkStart w:id="302" w:name="_Toc92728664"/>
            <w:r>
              <w:rPr>
                <w:rFonts w:hint="eastAsia"/>
              </w:rPr>
              <w:t>修订原因</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tc>
        <w:tc>
          <w:tcPr>
            <w:tcW w:w="1327" w:type="dxa"/>
            <w:vAlign w:val="center"/>
          </w:tcPr>
          <w:p>
            <w:pPr>
              <w:pStyle w:val="16"/>
              <w:ind w:firstLine="320"/>
            </w:pPr>
            <w:bookmarkStart w:id="303" w:name="_Toc93484900"/>
            <w:bookmarkStart w:id="304" w:name="_Toc79394696"/>
            <w:bookmarkStart w:id="305" w:name="_Toc82761803"/>
            <w:bookmarkStart w:id="306" w:name="_Toc97676847"/>
            <w:bookmarkStart w:id="307" w:name="_Toc78557672"/>
            <w:bookmarkStart w:id="308" w:name="_Toc1866"/>
            <w:bookmarkStart w:id="309" w:name="_Toc83561292"/>
            <w:bookmarkStart w:id="310" w:name="_Toc78205902"/>
            <w:bookmarkStart w:id="311" w:name="_Toc79047374"/>
            <w:bookmarkStart w:id="312" w:name="_Toc92728665"/>
            <w:bookmarkStart w:id="313" w:name="_Toc80562927"/>
            <w:bookmarkStart w:id="314" w:name="_Toc93831404"/>
            <w:bookmarkStart w:id="315" w:name="_Toc81205689"/>
            <w:bookmarkStart w:id="316" w:name="_Toc89844624"/>
            <w:bookmarkStart w:id="317" w:name="_Toc89680139"/>
            <w:bookmarkStart w:id="318" w:name="_Toc79047279"/>
            <w:bookmarkStart w:id="319" w:name="_Toc81468431"/>
            <w:bookmarkStart w:id="320" w:name="_Toc14231"/>
            <w:r>
              <w:rPr>
                <w:rFonts w:hint="eastAsia"/>
              </w:rPr>
              <w:t>修订人</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tc>
        <w:tc>
          <w:tcPr>
            <w:tcW w:w="1511" w:type="dxa"/>
            <w:vAlign w:val="center"/>
          </w:tcPr>
          <w:p>
            <w:pPr>
              <w:pStyle w:val="16"/>
              <w:ind w:firstLine="320"/>
            </w:pPr>
            <w:bookmarkStart w:id="321" w:name="_Toc82761804"/>
            <w:bookmarkStart w:id="322" w:name="_Toc89680140"/>
            <w:bookmarkStart w:id="323" w:name="_Toc89844625"/>
            <w:bookmarkStart w:id="324" w:name="_Toc92728666"/>
            <w:bookmarkStart w:id="325" w:name="_Toc81205690"/>
            <w:bookmarkStart w:id="326" w:name="_Toc81468432"/>
            <w:bookmarkStart w:id="327" w:name="_Toc93484901"/>
            <w:bookmarkStart w:id="328" w:name="_Toc97676848"/>
            <w:bookmarkStart w:id="329" w:name="_Toc78205903"/>
            <w:bookmarkStart w:id="330" w:name="_Toc171"/>
            <w:bookmarkStart w:id="331" w:name="_Toc93831405"/>
            <w:bookmarkStart w:id="332" w:name="_Toc79047280"/>
            <w:bookmarkStart w:id="333" w:name="_Toc15367"/>
            <w:bookmarkStart w:id="334" w:name="_Toc83561293"/>
            <w:bookmarkStart w:id="335" w:name="_Toc79047375"/>
            <w:bookmarkStart w:id="336" w:name="_Toc79394697"/>
            <w:bookmarkStart w:id="337" w:name="_Toc78557673"/>
            <w:bookmarkStart w:id="338" w:name="_Toc80562928"/>
            <w:r>
              <w:rPr>
                <w:rFonts w:hint="eastAsia"/>
              </w:rPr>
              <w:t>修订后版本号</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tc>
        <w:tc>
          <w:tcPr>
            <w:tcW w:w="1143" w:type="dxa"/>
            <w:vAlign w:val="center"/>
          </w:tcPr>
          <w:p>
            <w:pPr>
              <w:pStyle w:val="16"/>
              <w:ind w:firstLine="320"/>
            </w:pPr>
            <w:bookmarkStart w:id="339" w:name="_Toc89680141"/>
            <w:bookmarkStart w:id="340" w:name="_Toc79047376"/>
            <w:bookmarkStart w:id="341" w:name="_Toc78205904"/>
            <w:bookmarkStart w:id="342" w:name="_Toc97676849"/>
            <w:bookmarkStart w:id="343" w:name="_Toc82761805"/>
            <w:bookmarkStart w:id="344" w:name="_Toc83561294"/>
            <w:bookmarkStart w:id="345" w:name="_Toc81468433"/>
            <w:bookmarkStart w:id="346" w:name="_Toc79394698"/>
            <w:bookmarkStart w:id="347" w:name="_Toc93484902"/>
            <w:bookmarkStart w:id="348" w:name="_Toc20197"/>
            <w:bookmarkStart w:id="349" w:name="_Toc79047281"/>
            <w:bookmarkStart w:id="350" w:name="_Toc78557674"/>
            <w:bookmarkStart w:id="351" w:name="_Toc25333"/>
            <w:bookmarkStart w:id="352" w:name="_Toc92728667"/>
            <w:bookmarkStart w:id="353" w:name="_Toc81205691"/>
            <w:bookmarkStart w:id="354" w:name="_Toc89844626"/>
            <w:bookmarkStart w:id="355" w:name="_Toc93831406"/>
            <w:bookmarkStart w:id="356" w:name="_Toc80562929"/>
            <w:r>
              <w:rPr>
                <w:rFonts w:hint="eastAsia"/>
              </w:rPr>
              <w:t>批准人</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326" w:type="dxa"/>
          </w:tcPr>
          <w:p>
            <w:pPr>
              <w:spacing w:line="360" w:lineRule="auto"/>
              <w:ind w:firstLine="420"/>
              <w:jc w:val="center"/>
              <w:outlineLvl w:val="2"/>
              <w:rPr>
                <w:rFonts w:asciiTheme="majorEastAsia" w:hAnsiTheme="majorEastAsia" w:eastAsiaTheme="majorEastAsia"/>
                <w:bCs/>
                <w:sz w:val="21"/>
                <w:szCs w:val="21"/>
              </w:rPr>
            </w:pPr>
          </w:p>
        </w:tc>
        <w:tc>
          <w:tcPr>
            <w:tcW w:w="1326" w:type="dxa"/>
          </w:tcPr>
          <w:p>
            <w:pPr>
              <w:spacing w:line="360" w:lineRule="auto"/>
              <w:ind w:firstLine="420"/>
              <w:jc w:val="center"/>
              <w:outlineLvl w:val="2"/>
              <w:rPr>
                <w:rFonts w:asciiTheme="majorEastAsia" w:hAnsiTheme="majorEastAsia" w:eastAsiaTheme="majorEastAsia"/>
                <w:bCs/>
                <w:sz w:val="21"/>
                <w:szCs w:val="21"/>
              </w:rPr>
            </w:pPr>
          </w:p>
        </w:tc>
        <w:tc>
          <w:tcPr>
            <w:tcW w:w="1327" w:type="dxa"/>
          </w:tcPr>
          <w:p>
            <w:pPr>
              <w:spacing w:line="360" w:lineRule="auto"/>
              <w:ind w:firstLine="420"/>
              <w:jc w:val="center"/>
              <w:outlineLvl w:val="2"/>
              <w:rPr>
                <w:rFonts w:asciiTheme="majorEastAsia" w:hAnsiTheme="majorEastAsia" w:eastAsiaTheme="majorEastAsia"/>
                <w:bCs/>
                <w:sz w:val="21"/>
                <w:szCs w:val="21"/>
              </w:rPr>
            </w:pPr>
          </w:p>
        </w:tc>
        <w:tc>
          <w:tcPr>
            <w:tcW w:w="1327" w:type="dxa"/>
          </w:tcPr>
          <w:p>
            <w:pPr>
              <w:spacing w:line="360" w:lineRule="auto"/>
              <w:ind w:firstLine="420"/>
              <w:jc w:val="center"/>
              <w:outlineLvl w:val="2"/>
              <w:rPr>
                <w:rFonts w:asciiTheme="majorEastAsia" w:hAnsiTheme="majorEastAsia" w:eastAsiaTheme="majorEastAsia"/>
                <w:bCs/>
                <w:sz w:val="21"/>
                <w:szCs w:val="21"/>
              </w:rPr>
            </w:pPr>
          </w:p>
        </w:tc>
        <w:tc>
          <w:tcPr>
            <w:tcW w:w="1327" w:type="dxa"/>
          </w:tcPr>
          <w:p>
            <w:pPr>
              <w:spacing w:line="360" w:lineRule="auto"/>
              <w:ind w:firstLine="420"/>
              <w:jc w:val="center"/>
              <w:outlineLvl w:val="2"/>
              <w:rPr>
                <w:rFonts w:asciiTheme="majorEastAsia" w:hAnsiTheme="majorEastAsia" w:eastAsiaTheme="majorEastAsia"/>
                <w:bCs/>
                <w:sz w:val="21"/>
                <w:szCs w:val="21"/>
              </w:rPr>
            </w:pPr>
          </w:p>
        </w:tc>
        <w:tc>
          <w:tcPr>
            <w:tcW w:w="1511" w:type="dxa"/>
          </w:tcPr>
          <w:p>
            <w:pPr>
              <w:spacing w:line="360" w:lineRule="auto"/>
              <w:ind w:firstLine="420"/>
              <w:jc w:val="center"/>
              <w:outlineLvl w:val="2"/>
              <w:rPr>
                <w:rFonts w:asciiTheme="majorEastAsia" w:hAnsiTheme="majorEastAsia" w:eastAsiaTheme="majorEastAsia"/>
                <w:bCs/>
                <w:sz w:val="21"/>
                <w:szCs w:val="21"/>
              </w:rPr>
            </w:pPr>
          </w:p>
        </w:tc>
        <w:tc>
          <w:tcPr>
            <w:tcW w:w="1143" w:type="dxa"/>
          </w:tcPr>
          <w:p>
            <w:pPr>
              <w:spacing w:line="360" w:lineRule="auto"/>
              <w:ind w:firstLine="420"/>
              <w:jc w:val="center"/>
              <w:outlineLvl w:val="2"/>
              <w:rPr>
                <w:rFonts w:asciiTheme="majorEastAsia" w:hAnsiTheme="majorEastAsia" w:eastAsiaTheme="maj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tcPr>
          <w:p>
            <w:pPr>
              <w:spacing w:line="360" w:lineRule="auto"/>
              <w:ind w:firstLine="420"/>
              <w:jc w:val="center"/>
              <w:outlineLvl w:val="2"/>
              <w:rPr>
                <w:rFonts w:asciiTheme="majorEastAsia" w:hAnsiTheme="majorEastAsia" w:eastAsiaTheme="majorEastAsia"/>
                <w:bCs/>
                <w:sz w:val="21"/>
                <w:szCs w:val="21"/>
              </w:rPr>
            </w:pPr>
          </w:p>
        </w:tc>
        <w:tc>
          <w:tcPr>
            <w:tcW w:w="1326" w:type="dxa"/>
          </w:tcPr>
          <w:p>
            <w:pPr>
              <w:spacing w:line="360" w:lineRule="auto"/>
              <w:ind w:firstLine="420"/>
              <w:jc w:val="center"/>
              <w:outlineLvl w:val="2"/>
              <w:rPr>
                <w:rFonts w:asciiTheme="majorEastAsia" w:hAnsiTheme="majorEastAsia" w:eastAsiaTheme="majorEastAsia"/>
                <w:bCs/>
                <w:sz w:val="21"/>
                <w:szCs w:val="21"/>
              </w:rPr>
            </w:pPr>
          </w:p>
        </w:tc>
        <w:tc>
          <w:tcPr>
            <w:tcW w:w="1327" w:type="dxa"/>
          </w:tcPr>
          <w:p>
            <w:pPr>
              <w:spacing w:line="360" w:lineRule="auto"/>
              <w:ind w:firstLine="420"/>
              <w:jc w:val="center"/>
              <w:outlineLvl w:val="2"/>
              <w:rPr>
                <w:rFonts w:asciiTheme="majorEastAsia" w:hAnsiTheme="majorEastAsia" w:eastAsiaTheme="majorEastAsia"/>
                <w:bCs/>
                <w:sz w:val="21"/>
                <w:szCs w:val="21"/>
              </w:rPr>
            </w:pPr>
          </w:p>
        </w:tc>
        <w:tc>
          <w:tcPr>
            <w:tcW w:w="1327" w:type="dxa"/>
          </w:tcPr>
          <w:p>
            <w:pPr>
              <w:spacing w:line="360" w:lineRule="auto"/>
              <w:ind w:firstLine="420"/>
              <w:jc w:val="center"/>
              <w:outlineLvl w:val="2"/>
              <w:rPr>
                <w:rFonts w:asciiTheme="majorEastAsia" w:hAnsiTheme="majorEastAsia" w:eastAsiaTheme="majorEastAsia"/>
                <w:bCs/>
                <w:sz w:val="21"/>
                <w:szCs w:val="21"/>
              </w:rPr>
            </w:pPr>
          </w:p>
        </w:tc>
        <w:tc>
          <w:tcPr>
            <w:tcW w:w="1327" w:type="dxa"/>
          </w:tcPr>
          <w:p>
            <w:pPr>
              <w:spacing w:line="360" w:lineRule="auto"/>
              <w:ind w:firstLine="420"/>
              <w:jc w:val="center"/>
              <w:outlineLvl w:val="2"/>
              <w:rPr>
                <w:rFonts w:asciiTheme="majorEastAsia" w:hAnsiTheme="majorEastAsia" w:eastAsiaTheme="majorEastAsia"/>
                <w:bCs/>
                <w:sz w:val="21"/>
                <w:szCs w:val="21"/>
              </w:rPr>
            </w:pPr>
          </w:p>
        </w:tc>
        <w:tc>
          <w:tcPr>
            <w:tcW w:w="1511" w:type="dxa"/>
          </w:tcPr>
          <w:p>
            <w:pPr>
              <w:spacing w:line="360" w:lineRule="auto"/>
              <w:ind w:firstLine="420"/>
              <w:jc w:val="center"/>
              <w:outlineLvl w:val="2"/>
              <w:rPr>
                <w:rFonts w:asciiTheme="majorEastAsia" w:hAnsiTheme="majorEastAsia" w:eastAsiaTheme="majorEastAsia"/>
                <w:bCs/>
                <w:sz w:val="21"/>
                <w:szCs w:val="21"/>
              </w:rPr>
            </w:pPr>
          </w:p>
        </w:tc>
        <w:tc>
          <w:tcPr>
            <w:tcW w:w="1143" w:type="dxa"/>
          </w:tcPr>
          <w:p>
            <w:pPr>
              <w:spacing w:line="360" w:lineRule="auto"/>
              <w:ind w:firstLine="420"/>
              <w:jc w:val="center"/>
              <w:outlineLvl w:val="2"/>
              <w:rPr>
                <w:rFonts w:asciiTheme="majorEastAsia" w:hAnsiTheme="majorEastAsia" w:eastAsiaTheme="maj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tcPr>
          <w:p>
            <w:pPr>
              <w:spacing w:line="360" w:lineRule="auto"/>
              <w:ind w:firstLine="420"/>
              <w:jc w:val="center"/>
              <w:outlineLvl w:val="2"/>
              <w:rPr>
                <w:rFonts w:asciiTheme="majorEastAsia" w:hAnsiTheme="majorEastAsia" w:eastAsiaTheme="majorEastAsia"/>
                <w:bCs/>
                <w:sz w:val="21"/>
                <w:szCs w:val="21"/>
              </w:rPr>
            </w:pPr>
          </w:p>
        </w:tc>
        <w:tc>
          <w:tcPr>
            <w:tcW w:w="1326" w:type="dxa"/>
          </w:tcPr>
          <w:p>
            <w:pPr>
              <w:spacing w:line="360" w:lineRule="auto"/>
              <w:ind w:firstLine="420"/>
              <w:jc w:val="center"/>
              <w:outlineLvl w:val="2"/>
              <w:rPr>
                <w:rFonts w:asciiTheme="majorEastAsia" w:hAnsiTheme="majorEastAsia" w:eastAsiaTheme="majorEastAsia"/>
                <w:bCs/>
                <w:sz w:val="21"/>
                <w:szCs w:val="21"/>
              </w:rPr>
            </w:pPr>
          </w:p>
        </w:tc>
        <w:tc>
          <w:tcPr>
            <w:tcW w:w="1327" w:type="dxa"/>
          </w:tcPr>
          <w:p>
            <w:pPr>
              <w:spacing w:line="360" w:lineRule="auto"/>
              <w:ind w:firstLine="420"/>
              <w:jc w:val="center"/>
              <w:outlineLvl w:val="2"/>
              <w:rPr>
                <w:rFonts w:asciiTheme="majorEastAsia" w:hAnsiTheme="majorEastAsia" w:eastAsiaTheme="majorEastAsia"/>
                <w:bCs/>
                <w:sz w:val="21"/>
                <w:szCs w:val="21"/>
              </w:rPr>
            </w:pPr>
          </w:p>
        </w:tc>
        <w:tc>
          <w:tcPr>
            <w:tcW w:w="1327" w:type="dxa"/>
          </w:tcPr>
          <w:p>
            <w:pPr>
              <w:spacing w:line="360" w:lineRule="auto"/>
              <w:ind w:firstLine="420"/>
              <w:jc w:val="center"/>
              <w:outlineLvl w:val="2"/>
              <w:rPr>
                <w:rFonts w:asciiTheme="majorEastAsia" w:hAnsiTheme="majorEastAsia" w:eastAsiaTheme="majorEastAsia"/>
                <w:bCs/>
                <w:sz w:val="21"/>
                <w:szCs w:val="21"/>
              </w:rPr>
            </w:pPr>
          </w:p>
        </w:tc>
        <w:tc>
          <w:tcPr>
            <w:tcW w:w="1327" w:type="dxa"/>
          </w:tcPr>
          <w:p>
            <w:pPr>
              <w:spacing w:line="360" w:lineRule="auto"/>
              <w:ind w:firstLine="420"/>
              <w:jc w:val="center"/>
              <w:outlineLvl w:val="2"/>
              <w:rPr>
                <w:rFonts w:asciiTheme="majorEastAsia" w:hAnsiTheme="majorEastAsia" w:eastAsiaTheme="majorEastAsia"/>
                <w:bCs/>
                <w:sz w:val="21"/>
                <w:szCs w:val="21"/>
              </w:rPr>
            </w:pPr>
          </w:p>
        </w:tc>
        <w:tc>
          <w:tcPr>
            <w:tcW w:w="1511" w:type="dxa"/>
          </w:tcPr>
          <w:p>
            <w:pPr>
              <w:spacing w:line="360" w:lineRule="auto"/>
              <w:ind w:firstLine="420"/>
              <w:jc w:val="center"/>
              <w:outlineLvl w:val="2"/>
              <w:rPr>
                <w:rFonts w:asciiTheme="majorEastAsia" w:hAnsiTheme="majorEastAsia" w:eastAsiaTheme="majorEastAsia"/>
                <w:bCs/>
                <w:sz w:val="21"/>
                <w:szCs w:val="21"/>
              </w:rPr>
            </w:pPr>
          </w:p>
        </w:tc>
        <w:tc>
          <w:tcPr>
            <w:tcW w:w="1143" w:type="dxa"/>
          </w:tcPr>
          <w:p>
            <w:pPr>
              <w:spacing w:line="360" w:lineRule="auto"/>
              <w:ind w:firstLine="420"/>
              <w:jc w:val="center"/>
              <w:outlineLvl w:val="2"/>
              <w:rPr>
                <w:rFonts w:asciiTheme="majorEastAsia" w:hAnsiTheme="majorEastAsia" w:eastAsiaTheme="majorEastAsia"/>
                <w:bCs/>
                <w:sz w:val="21"/>
                <w:szCs w:val="21"/>
              </w:rPr>
            </w:pPr>
          </w:p>
        </w:tc>
      </w:tr>
    </w:tbl>
    <w:p>
      <w:pPr>
        <w:pStyle w:val="72"/>
        <w:rPr>
          <w:color w:val="auto"/>
        </w:rPr>
      </w:pPr>
    </w:p>
    <w:p>
      <w:pPr>
        <w:pStyle w:val="21"/>
        <w:ind w:firstLine="400"/>
        <w:rPr>
          <w:rFonts w:ascii="宋体" w:hAnsi="Times New Roman" w:cs="宋体"/>
          <w:sz w:val="24"/>
          <w:szCs w:val="24"/>
        </w:rPr>
      </w:pPr>
      <w:r>
        <w:br w:type="page"/>
      </w:r>
    </w:p>
    <w:p>
      <w:pPr>
        <w:pStyle w:val="6"/>
        <w:ind w:firstLine="643"/>
      </w:pPr>
      <w:bookmarkStart w:id="357" w:name="_Toc24342"/>
      <w:bookmarkStart w:id="358" w:name="_Toc21066"/>
      <w:bookmarkStart w:id="359" w:name="_Toc67495816"/>
      <w:bookmarkStart w:id="360" w:name="_Toc79332148"/>
      <w:bookmarkStart w:id="361" w:name="_Toc101798332"/>
      <w:r>
        <w:rPr>
          <w:rFonts w:hint="eastAsia"/>
        </w:rPr>
        <w:t xml:space="preserve">附件7 </w:t>
      </w:r>
      <w:bookmarkEnd w:id="357"/>
      <w:bookmarkEnd w:id="358"/>
      <w:bookmarkEnd w:id="359"/>
      <w:bookmarkEnd w:id="360"/>
      <w:r>
        <w:rPr>
          <w:rFonts w:hint="eastAsia"/>
        </w:rPr>
        <w:t>关键的路线、标识和图纸</w:t>
      </w:r>
      <w:bookmarkEnd w:id="361"/>
    </w:p>
    <w:p>
      <w:pPr>
        <w:tabs>
          <w:tab w:val="center" w:pos="4153"/>
        </w:tabs>
        <w:spacing w:line="360" w:lineRule="auto"/>
        <w:ind w:firstLine="560"/>
      </w:pPr>
      <w:r>
        <w:rPr>
          <w:rFonts w:ascii="宋体" w:hAnsi="宋体" w:cs="宋体"/>
          <w:szCs w:val="28"/>
        </w:rPr>
        <w:t>1</w:t>
      </w:r>
      <w:r>
        <w:rPr>
          <w:rFonts w:hint="eastAsia" w:ascii="宋体" w:hAnsi="宋体" w:cs="宋体"/>
          <w:szCs w:val="28"/>
        </w:rPr>
        <w:t>长沟村储配站</w:t>
      </w:r>
      <w:r>
        <w:t xml:space="preserve"> </w:t>
      </w:r>
      <w:r>
        <w:rPr>
          <w:rFonts w:hAnsi="宋体"/>
        </w:rPr>
        <w:drawing>
          <wp:inline distT="0" distB="0" distL="0" distR="0">
            <wp:extent cx="6215380" cy="4580890"/>
            <wp:effectExtent l="0" t="0" r="0" b="0"/>
            <wp:docPr id="12" name="图片 12" descr="C:\DOCUME~1\ADMINI~1\LOCALS~1\Temp\ksohtml\wpsC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DOCUME~1\ADMINI~1\LOCALS~1\Temp\ksohtml\wpsC2.t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29589" cy="4591334"/>
                    </a:xfrm>
                    <a:prstGeom prst="rect">
                      <a:avLst/>
                    </a:prstGeom>
                    <a:noFill/>
                    <a:ln>
                      <a:noFill/>
                    </a:ln>
                  </pic:spPr>
                </pic:pic>
              </a:graphicData>
            </a:graphic>
          </wp:inline>
        </w:drawing>
      </w:r>
    </w:p>
    <w:p>
      <w:pPr>
        <w:pStyle w:val="19"/>
        <w:ind w:firstLine="420"/>
      </w:pPr>
      <w:r>
        <w:drawing>
          <wp:inline distT="0" distB="0" distL="0" distR="0">
            <wp:extent cx="6188710" cy="3039745"/>
            <wp:effectExtent l="0" t="0" r="254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88710" cy="3039745"/>
                    </a:xfrm>
                    <a:prstGeom prst="rect">
                      <a:avLst/>
                    </a:prstGeom>
                    <a:noFill/>
                    <a:ln>
                      <a:noFill/>
                    </a:ln>
                  </pic:spPr>
                </pic:pic>
              </a:graphicData>
            </a:graphic>
          </wp:inline>
        </w:drawing>
      </w:r>
    </w:p>
    <w:p>
      <w:pPr>
        <w:pStyle w:val="19"/>
        <w:ind w:firstLine="560"/>
        <w:rPr>
          <w:rFonts w:ascii="宋体" w:hAnsi="宋体"/>
          <w:i w:val="0"/>
          <w:sz w:val="28"/>
          <w:szCs w:val="28"/>
        </w:rPr>
      </w:pPr>
      <w:r>
        <w:rPr>
          <w:rFonts w:hint="eastAsia" w:ascii="宋体" w:hAnsi="宋体"/>
          <w:i w:val="0"/>
          <w:sz w:val="28"/>
          <w:szCs w:val="28"/>
        </w:rPr>
        <w:t>2、蜀北配气站</w:t>
      </w:r>
    </w:p>
    <w:p>
      <w:pPr>
        <w:pStyle w:val="19"/>
        <w:ind w:firstLine="562"/>
        <w:rPr>
          <w:rFonts w:ascii="宋体" w:hAnsi="宋体"/>
          <w:b/>
          <w:bCs/>
          <w:sz w:val="28"/>
          <w:szCs w:val="28"/>
        </w:rPr>
      </w:pPr>
      <w:r>
        <w:rPr>
          <w:rFonts w:hint="eastAsia"/>
          <w:b/>
          <w:bCs/>
          <w:sz w:val="28"/>
          <w:szCs w:val="28"/>
        </w:rPr>
        <w:drawing>
          <wp:inline distT="0" distB="0" distL="0" distR="0">
            <wp:extent cx="5768975" cy="3720465"/>
            <wp:effectExtent l="0" t="0" r="3175" b="0"/>
            <wp:docPr id="13" name="图片 13" descr="微信图片_2021040115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4011514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91090" cy="3734557"/>
                    </a:xfrm>
                    <a:prstGeom prst="rect">
                      <a:avLst/>
                    </a:prstGeom>
                    <a:noFill/>
                    <a:ln>
                      <a:noFill/>
                    </a:ln>
                  </pic:spPr>
                </pic:pic>
              </a:graphicData>
            </a:graphic>
          </wp:inline>
        </w:drawing>
      </w:r>
      <w:bookmarkEnd w:id="229"/>
    </w:p>
    <w:p>
      <w:pPr>
        <w:pStyle w:val="19"/>
        <w:ind w:firstLine="562"/>
        <w:rPr>
          <w:rFonts w:ascii="宋体" w:hAnsi="宋体"/>
          <w:b/>
          <w:bCs/>
          <w:sz w:val="28"/>
          <w:szCs w:val="28"/>
        </w:rPr>
      </w:pPr>
    </w:p>
    <w:p>
      <w:pPr>
        <w:pStyle w:val="19"/>
        <w:ind w:firstLine="420"/>
        <w:rPr>
          <w:rFonts w:ascii="宋体" w:hAnsi="宋体"/>
          <w:b/>
          <w:bCs/>
          <w:sz w:val="28"/>
          <w:szCs w:val="28"/>
        </w:rPr>
      </w:pPr>
      <w:r>
        <w:drawing>
          <wp:inline distT="0" distB="0" distL="0" distR="0">
            <wp:extent cx="5654675" cy="3243580"/>
            <wp:effectExtent l="0" t="0" r="3175" b="0"/>
            <wp:docPr id="972"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图片 972"/>
                    <pic:cNvPicPr>
                      <a:picLocks noChangeAspect="1"/>
                    </pic:cNvPicPr>
                  </pic:nvPicPr>
                  <pic:blipFill>
                    <a:blip r:embed="rId16"/>
                    <a:srcRect r="14769"/>
                    <a:stretch>
                      <a:fillRect/>
                    </a:stretch>
                  </pic:blipFill>
                  <pic:spPr>
                    <a:xfrm>
                      <a:off x="0" y="0"/>
                      <a:ext cx="5697098" cy="3268075"/>
                    </a:xfrm>
                    <a:prstGeom prst="rect">
                      <a:avLst/>
                    </a:prstGeom>
                    <a:ln>
                      <a:noFill/>
                    </a:ln>
                  </pic:spPr>
                </pic:pic>
              </a:graphicData>
            </a:graphic>
          </wp:inline>
        </w:drawing>
      </w:r>
    </w:p>
    <w:p>
      <w:pPr>
        <w:pStyle w:val="19"/>
        <w:ind w:firstLine="420"/>
      </w:pPr>
      <w:r>
        <w:br w:type="page"/>
      </w:r>
    </w:p>
    <w:p>
      <w:pPr>
        <w:pStyle w:val="19"/>
        <w:ind w:firstLine="560"/>
      </w:pPr>
      <w:r>
        <w:rPr>
          <w:rFonts w:ascii="宋体" w:hAnsi="宋体"/>
          <w:i w:val="0"/>
          <w:sz w:val="28"/>
          <w:szCs w:val="28"/>
        </w:rPr>
        <w:t xml:space="preserve">3 </w:t>
      </w:r>
      <w:r>
        <w:rPr>
          <w:rFonts w:hint="eastAsia" w:ascii="宋体" w:hAnsi="宋体"/>
          <w:i w:val="0"/>
          <w:sz w:val="28"/>
          <w:szCs w:val="28"/>
        </w:rPr>
        <w:t>公司应急指挥部</w:t>
      </w:r>
      <w:r>
        <w:rPr>
          <w:rFonts w:ascii="宋体" w:hAnsi="宋体"/>
          <w:i w:val="0"/>
          <w:sz w:val="28"/>
          <w:szCs w:val="28"/>
        </w:rPr>
        <w:t xml:space="preserve"> </w:t>
      </w:r>
    </w:p>
    <w:p>
      <w:pPr>
        <w:pStyle w:val="19"/>
        <w:ind w:firstLine="560"/>
      </w:pPr>
      <w:r>
        <w:rPr>
          <w:rFonts w:hint="eastAsia"/>
          <w:color w:val="FF0000"/>
          <w:sz w:val="28"/>
          <w:szCs w:val="28"/>
        </w:rPr>
        <w:drawing>
          <wp:inline distT="0" distB="0" distL="0" distR="0">
            <wp:extent cx="6188710" cy="4063365"/>
            <wp:effectExtent l="0" t="0" r="2540" b="0"/>
            <wp:docPr id="978" name="图片 978" descr="04a58150e75981d0c1b6ce2c27ce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图片 978" descr="04a58150e75981d0c1b6ce2c27ce26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8710" cy="4063365"/>
                    </a:xfrm>
                    <a:prstGeom prst="rect">
                      <a:avLst/>
                    </a:prstGeom>
                    <a:noFill/>
                    <a:ln>
                      <a:noFill/>
                    </a:ln>
                    <a:effectLst/>
                  </pic:spPr>
                </pic:pic>
              </a:graphicData>
            </a:graphic>
          </wp:inline>
        </w:drawing>
      </w:r>
    </w:p>
    <w:p>
      <w:pPr>
        <w:pStyle w:val="19"/>
        <w:ind w:firstLine="420"/>
      </w:pPr>
      <w:r>
        <w:drawing>
          <wp:inline distT="0" distB="0" distL="0" distR="0">
            <wp:extent cx="6182995" cy="3853180"/>
            <wp:effectExtent l="0" t="0" r="8255" b="0"/>
            <wp:docPr id="975" name="图片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图片 975"/>
                    <pic:cNvPicPr>
                      <a:picLocks noChangeAspect="1"/>
                    </pic:cNvPicPr>
                  </pic:nvPicPr>
                  <pic:blipFill>
                    <a:blip r:embed="rId18"/>
                    <a:srcRect r="21022"/>
                    <a:stretch>
                      <a:fillRect/>
                    </a:stretch>
                  </pic:blipFill>
                  <pic:spPr>
                    <a:xfrm>
                      <a:off x="0" y="0"/>
                      <a:ext cx="6207438" cy="3868587"/>
                    </a:xfrm>
                    <a:prstGeom prst="rect">
                      <a:avLst/>
                    </a:prstGeom>
                    <a:ln>
                      <a:noFill/>
                    </a:ln>
                  </pic:spPr>
                </pic:pic>
              </a:graphicData>
            </a:graphic>
          </wp:inline>
        </w:drawing>
      </w:r>
    </w:p>
    <w:p>
      <w:pPr>
        <w:adjustRightInd/>
        <w:snapToGrid/>
        <w:spacing w:after="0"/>
        <w:ind w:firstLine="560"/>
      </w:pPr>
      <w:r>
        <w:br w:type="page"/>
      </w:r>
    </w:p>
    <w:bookmarkEnd w:id="198"/>
    <w:bookmarkEnd w:id="199"/>
    <w:bookmarkEnd w:id="200"/>
    <w:bookmarkEnd w:id="201"/>
    <w:bookmarkEnd w:id="202"/>
    <w:bookmarkEnd w:id="222"/>
    <w:bookmarkEnd w:id="223"/>
    <w:p>
      <w:pPr>
        <w:pStyle w:val="5"/>
        <w:ind w:left="0" w:firstLine="723"/>
        <w:jc w:val="center"/>
        <w:rPr>
          <w:sz w:val="36"/>
          <w:szCs w:val="32"/>
        </w:rPr>
      </w:pPr>
      <w:bookmarkStart w:id="362" w:name="_Toc101798333"/>
      <w:r>
        <w:rPr>
          <w:rFonts w:hint="eastAsia"/>
          <w:sz w:val="36"/>
          <w:szCs w:val="32"/>
        </w:rPr>
        <w:t>附录A 生产安全事故风险评估报告</w:t>
      </w:r>
      <w:bookmarkEnd w:id="362"/>
    </w:p>
    <w:p>
      <w:pPr>
        <w:pStyle w:val="6"/>
        <w:ind w:firstLine="562"/>
        <w:rPr>
          <w:szCs w:val="28"/>
        </w:rPr>
      </w:pPr>
      <w:bookmarkStart w:id="363" w:name="_Toc101798334"/>
      <w:bookmarkStart w:id="364" w:name="_Toc80537542"/>
      <w:r>
        <w:rPr>
          <w:rFonts w:hint="eastAsia"/>
          <w:szCs w:val="28"/>
        </w:rPr>
        <w:t>一、危险有害因素辨识</w:t>
      </w:r>
      <w:bookmarkEnd w:id="363"/>
      <w:bookmarkEnd w:id="364"/>
    </w:p>
    <w:p>
      <w:pPr>
        <w:pStyle w:val="25"/>
        <w:spacing w:line="360" w:lineRule="auto"/>
        <w:ind w:firstLine="560"/>
        <w:rPr>
          <w:rFonts w:ascii="宋体" w:cs="宋体"/>
        </w:rPr>
      </w:pPr>
      <w:r>
        <w:rPr>
          <w:rFonts w:hint="eastAsia" w:ascii="宋体" w:hAnsi="宋体" w:cs="宋体"/>
        </w:rPr>
        <w:t>危险因素是指能对人造成伤亡或对物造成突发性损害的因素。有害因素是指影响人的身体健康，导致疾病，或对物造成慢性损害的因素。通常情况下，两者统称为危险、有害因素，主要是指客观存在的危险、有害物质或能量超过临界值的设备、设施和场所等。能量和有害物质及失控（故障、人的失误、管理缺陷等）是产生危险、有害因素的根本原因。</w:t>
      </w:r>
    </w:p>
    <w:p>
      <w:pPr>
        <w:pStyle w:val="25"/>
        <w:spacing w:line="360" w:lineRule="auto"/>
        <w:ind w:firstLine="560"/>
        <w:rPr>
          <w:rFonts w:ascii="宋体" w:cs="宋体"/>
        </w:rPr>
      </w:pPr>
      <w:r>
        <w:rPr>
          <w:rFonts w:hint="eastAsia" w:ascii="宋体" w:hAnsi="宋体" w:cs="宋体"/>
        </w:rPr>
        <w:t>为更好地保护职工生命安全，减少重大伤亡事故发生，针对本企业的特点，根据《企业职工伤亡事故分类》（</w:t>
      </w:r>
      <w:r>
        <w:rPr>
          <w:rFonts w:ascii="宋体" w:hAnsi="宋体" w:cs="宋体"/>
        </w:rPr>
        <w:t>GB6441-86</w:t>
      </w:r>
      <w:r>
        <w:rPr>
          <w:rFonts w:hint="eastAsia" w:ascii="宋体" w:hAnsi="宋体" w:cs="宋体"/>
        </w:rPr>
        <w:t>）、《生产过程危险和有害因素分类与代码》（G</w:t>
      </w:r>
      <w:r>
        <w:rPr>
          <w:rFonts w:ascii="宋体" w:hAnsi="宋体" w:cs="宋体"/>
        </w:rPr>
        <w:t>B/T 13861-2009</w:t>
      </w:r>
      <w:r>
        <w:rPr>
          <w:rFonts w:hint="eastAsia" w:ascii="宋体" w:hAnsi="宋体" w:cs="宋体"/>
        </w:rPr>
        <w:t>）和《职业病分类和目录》（国卫疾控发〔2013〕48号）的规定，结合本企业的供气流程、生产经营中涉及的物料以及生产设施设备等基本情况，对本企业的危险、有害因素进行分类辨识。</w:t>
      </w:r>
    </w:p>
    <w:p>
      <w:pPr>
        <w:pStyle w:val="7"/>
      </w:pPr>
      <w:bookmarkStart w:id="365" w:name="_Toc101798335"/>
      <w:r>
        <w:t>1.</w:t>
      </w:r>
      <w:r>
        <w:rPr>
          <w:rFonts w:hint="eastAsia"/>
        </w:rPr>
        <w:t>本企业供气系统流程</w:t>
      </w:r>
      <w:bookmarkEnd w:id="365"/>
    </w:p>
    <w:p>
      <w:pPr>
        <w:spacing w:line="360" w:lineRule="auto"/>
        <w:ind w:firstLine="560" w:firstLineChars="200"/>
        <w:rPr>
          <w:rFonts w:ascii="宋体" w:hAnsi="宋体" w:cs="宋体"/>
          <w:szCs w:val="28"/>
        </w:rPr>
      </w:pPr>
      <w:bookmarkStart w:id="366" w:name="_Toc80537544"/>
      <w:r>
        <w:rPr>
          <w:rFonts w:hint="eastAsia" w:ascii="宋体" w:hAnsi="宋体" w:cs="宋体"/>
          <w:szCs w:val="28"/>
        </w:rPr>
        <w:t>本企业供气工艺流程如下图所示：</w:t>
      </w:r>
    </w:p>
    <w:p>
      <w:pPr>
        <w:pStyle w:val="19"/>
        <w:ind w:firstLine="420"/>
      </w:pPr>
      <w:r>
        <w:br w:type="page"/>
      </w:r>
    </w:p>
    <w:p>
      <w:pPr>
        <w:ind w:firstLine="560"/>
        <w:rPr>
          <w:b/>
          <w:szCs w:val="28"/>
        </w:rPr>
      </w:pPr>
      <w:r>
        <mc:AlternateContent>
          <mc:Choice Requires="wpg">
            <w:drawing>
              <wp:anchor distT="0" distB="0" distL="114300" distR="114300" simplePos="0" relativeHeight="251696128" behindDoc="0" locked="0" layoutInCell="1" allowOverlap="1">
                <wp:simplePos x="0" y="0"/>
                <wp:positionH relativeFrom="column">
                  <wp:posOffset>1628775</wp:posOffset>
                </wp:positionH>
                <wp:positionV relativeFrom="paragraph">
                  <wp:posOffset>285750</wp:posOffset>
                </wp:positionV>
                <wp:extent cx="2148205" cy="6182995"/>
                <wp:effectExtent l="0" t="0" r="23495" b="27305"/>
                <wp:wrapNone/>
                <wp:docPr id="14" name="组合 14"/>
                <wp:cNvGraphicFramePr/>
                <a:graphic xmlns:a="http://schemas.openxmlformats.org/drawingml/2006/main">
                  <a:graphicData uri="http://schemas.microsoft.com/office/word/2010/wordprocessingGroup">
                    <wpg:wgp>
                      <wpg:cNvGrpSpPr/>
                      <wpg:grpSpPr>
                        <a:xfrm>
                          <a:off x="0" y="0"/>
                          <a:ext cx="2148243" cy="6183085"/>
                          <a:chOff x="571499" y="0"/>
                          <a:chExt cx="1588890" cy="5422900"/>
                        </a:xfrm>
                      </wpg:grpSpPr>
                      <wps:wsp>
                        <wps:cNvPr id="15" name="文本框 2"/>
                        <wps:cNvSpPr txBox="1">
                          <a:spLocks noChangeArrowheads="1"/>
                        </wps:cNvSpPr>
                        <wps:spPr bwMode="auto">
                          <a:xfrm>
                            <a:off x="654049" y="0"/>
                            <a:ext cx="1407583" cy="355600"/>
                          </a:xfrm>
                          <a:prstGeom prst="rect">
                            <a:avLst/>
                          </a:prstGeom>
                          <a:solidFill>
                            <a:srgbClr val="FFFFFF"/>
                          </a:solidFill>
                          <a:ln w="9525">
                            <a:solidFill>
                              <a:srgbClr val="000000"/>
                            </a:solidFill>
                            <a:miter lim="800000"/>
                          </a:ln>
                        </wps:spPr>
                        <wps:txbx>
                          <w:txbxContent>
                            <w:p>
                              <w:pPr>
                                <w:jc w:val="center"/>
                                <w:rPr>
                                  <w:rFonts w:ascii="宋体" w:hAnsi="宋体" w:cs="Arial"/>
                                  <w:caps/>
                                  <w:color w:val="000000"/>
                                  <w:sz w:val="24"/>
                                  <w:szCs w:val="28"/>
                                </w:rPr>
                              </w:pPr>
                              <w:r>
                                <w:rPr>
                                  <w:rFonts w:hint="eastAsia" w:ascii="宋体" w:hAnsi="宋体" w:cs="Arial"/>
                                  <w:caps/>
                                  <w:color w:val="000000"/>
                                  <w:sz w:val="24"/>
                                  <w:szCs w:val="28"/>
                                </w:rPr>
                                <w:t>输气站</w:t>
                              </w:r>
                            </w:p>
                          </w:txbxContent>
                        </wps:txbx>
                        <wps:bodyPr rot="0" vert="horz" wrap="square" lIns="91440" tIns="45720" rIns="91440" bIns="45720" anchor="t" anchorCtr="0">
                          <a:noAutofit/>
                        </wps:bodyPr>
                      </wps:wsp>
                      <wps:wsp>
                        <wps:cNvPr id="16" name="直接箭头连接符 437"/>
                        <wps:cNvCnPr/>
                        <wps:spPr>
                          <a:xfrm>
                            <a:off x="1358763" y="355595"/>
                            <a:ext cx="0" cy="465478"/>
                          </a:xfrm>
                          <a:prstGeom prst="straightConnector1">
                            <a:avLst/>
                          </a:prstGeom>
                          <a:noFill/>
                          <a:ln w="6350" cap="flat" cmpd="sng" algn="ctr">
                            <a:solidFill>
                              <a:sysClr val="windowText" lastClr="000000"/>
                            </a:solidFill>
                            <a:prstDash val="solid"/>
                            <a:miter lim="800000"/>
                            <a:tailEnd type="triangle"/>
                          </a:ln>
                          <a:effectLst/>
                        </wps:spPr>
                        <wps:bodyPr/>
                      </wps:wsp>
                      <wps:wsp>
                        <wps:cNvPr id="17" name="文本框 2"/>
                        <wps:cNvSpPr txBox="1">
                          <a:spLocks noChangeArrowheads="1"/>
                        </wps:cNvSpPr>
                        <wps:spPr bwMode="auto">
                          <a:xfrm>
                            <a:off x="578545" y="2266290"/>
                            <a:ext cx="1574800" cy="355600"/>
                          </a:xfrm>
                          <a:prstGeom prst="rect">
                            <a:avLst/>
                          </a:prstGeom>
                          <a:solidFill>
                            <a:srgbClr val="FFFFFF"/>
                          </a:solidFill>
                          <a:ln w="9525">
                            <a:solidFill>
                              <a:srgbClr val="000000"/>
                            </a:solidFill>
                            <a:miter lim="800000"/>
                          </a:ln>
                        </wps:spPr>
                        <wps:txbx>
                          <w:txbxContent>
                            <w:p>
                              <w:pPr>
                                <w:jc w:val="center"/>
                                <w:rPr>
                                  <w:rFonts w:ascii="宋体" w:hAnsi="宋体" w:cs="Arial"/>
                                  <w:caps/>
                                  <w:color w:val="000000"/>
                                  <w:sz w:val="24"/>
                                  <w:szCs w:val="28"/>
                                </w:rPr>
                              </w:pPr>
                              <w:r>
                                <w:rPr>
                                  <w:rFonts w:hint="eastAsia" w:ascii="宋体" w:hAnsi="宋体" w:cs="Arial"/>
                                  <w:caps/>
                                  <w:color w:val="000000"/>
                                  <w:sz w:val="24"/>
                                  <w:szCs w:val="28"/>
                                </w:rPr>
                                <w:t>城区供气管网</w:t>
                              </w:r>
                            </w:p>
                          </w:txbxContent>
                        </wps:txbx>
                        <wps:bodyPr rot="0" vert="horz" wrap="square" lIns="91440" tIns="45720" rIns="91440" bIns="45720" anchor="t" anchorCtr="0">
                          <a:noAutofit/>
                        </wps:bodyPr>
                      </wps:wsp>
                      <wps:wsp>
                        <wps:cNvPr id="18" name="直接箭头连接符 440"/>
                        <wps:cNvCnPr/>
                        <wps:spPr>
                          <a:xfrm>
                            <a:off x="1365810" y="2621895"/>
                            <a:ext cx="1" cy="310340"/>
                          </a:xfrm>
                          <a:prstGeom prst="straightConnector1">
                            <a:avLst/>
                          </a:prstGeom>
                          <a:noFill/>
                          <a:ln w="6350" cap="flat" cmpd="sng" algn="ctr">
                            <a:solidFill>
                              <a:sysClr val="windowText" lastClr="000000"/>
                            </a:solidFill>
                            <a:prstDash val="solid"/>
                            <a:miter lim="800000"/>
                            <a:tailEnd type="triangle"/>
                          </a:ln>
                          <a:effectLst/>
                        </wps:spPr>
                        <wps:bodyPr/>
                      </wps:wsp>
                      <wps:wsp>
                        <wps:cNvPr id="19" name="文本框 2"/>
                        <wps:cNvSpPr txBox="1">
                          <a:spLocks noChangeArrowheads="1"/>
                        </wps:cNvSpPr>
                        <wps:spPr bwMode="auto">
                          <a:xfrm>
                            <a:off x="578544" y="2915534"/>
                            <a:ext cx="1574800" cy="355600"/>
                          </a:xfrm>
                          <a:prstGeom prst="rect">
                            <a:avLst/>
                          </a:prstGeom>
                          <a:solidFill>
                            <a:srgbClr val="FFFFFF"/>
                          </a:solidFill>
                          <a:ln w="9525">
                            <a:solidFill>
                              <a:srgbClr val="000000"/>
                            </a:solidFill>
                            <a:miter lim="800000"/>
                          </a:ln>
                        </wps:spPr>
                        <wps:txbx>
                          <w:txbxContent>
                            <w:p>
                              <w:pPr>
                                <w:jc w:val="center"/>
                                <w:rPr>
                                  <w:sz w:val="24"/>
                                  <w:szCs w:val="24"/>
                                </w:rPr>
                              </w:pPr>
                              <w:r>
                                <w:rPr>
                                  <w:sz w:val="24"/>
                                  <w:szCs w:val="24"/>
                                </w:rPr>
                                <w:t>阀</w:t>
                              </w:r>
                              <w:r>
                                <w:rPr>
                                  <w:rFonts w:hint="eastAsia"/>
                                  <w:sz w:val="24"/>
                                  <w:szCs w:val="24"/>
                                </w:rPr>
                                <w:t>井</w:t>
                              </w:r>
                            </w:p>
                          </w:txbxContent>
                        </wps:txbx>
                        <wps:bodyPr rot="0" vert="horz" wrap="square" lIns="91440" tIns="45720" rIns="91440" bIns="45720" anchor="t" anchorCtr="0">
                          <a:noAutofit/>
                        </wps:bodyPr>
                      </wps:wsp>
                      <wps:wsp>
                        <wps:cNvPr id="20" name="直接箭头连接符 443"/>
                        <wps:cNvCnPr/>
                        <wps:spPr>
                          <a:xfrm>
                            <a:off x="1357107" y="3299806"/>
                            <a:ext cx="0" cy="267439"/>
                          </a:xfrm>
                          <a:prstGeom prst="straightConnector1">
                            <a:avLst/>
                          </a:prstGeom>
                          <a:noFill/>
                          <a:ln w="6350" cap="flat" cmpd="sng" algn="ctr">
                            <a:solidFill>
                              <a:sysClr val="windowText" lastClr="000000"/>
                            </a:solidFill>
                            <a:prstDash val="solid"/>
                            <a:miter lim="800000"/>
                            <a:tailEnd type="triangle"/>
                          </a:ln>
                          <a:effectLst/>
                        </wps:spPr>
                        <wps:bodyPr/>
                      </wps:wsp>
                      <wps:wsp>
                        <wps:cNvPr id="21" name="文本框 2"/>
                        <wps:cNvSpPr txBox="1">
                          <a:spLocks noChangeArrowheads="1"/>
                        </wps:cNvSpPr>
                        <wps:spPr bwMode="auto">
                          <a:xfrm>
                            <a:off x="571499" y="3554038"/>
                            <a:ext cx="1574800" cy="355600"/>
                          </a:xfrm>
                          <a:prstGeom prst="rect">
                            <a:avLst/>
                          </a:prstGeom>
                          <a:solidFill>
                            <a:srgbClr val="FFFFFF"/>
                          </a:solidFill>
                          <a:ln w="9525">
                            <a:solidFill>
                              <a:srgbClr val="000000"/>
                            </a:solidFill>
                            <a:miter lim="800000"/>
                          </a:ln>
                        </wps:spPr>
                        <wps:txbx>
                          <w:txbxContent>
                            <w:p>
                              <w:pPr>
                                <w:jc w:val="center"/>
                                <w:rPr>
                                  <w:sz w:val="24"/>
                                  <w:szCs w:val="24"/>
                                </w:rPr>
                              </w:pPr>
                              <w:r>
                                <w:rPr>
                                  <w:sz w:val="24"/>
                                  <w:szCs w:val="24"/>
                                </w:rPr>
                                <w:t>小</w:t>
                              </w:r>
                              <w:r>
                                <w:rPr>
                                  <w:rFonts w:hint="eastAsia"/>
                                  <w:sz w:val="24"/>
                                  <w:szCs w:val="24"/>
                                </w:rPr>
                                <w:t>区管网</w:t>
                              </w:r>
                            </w:p>
                          </w:txbxContent>
                        </wps:txbx>
                        <wps:bodyPr rot="0" vert="horz" wrap="square" lIns="91440" tIns="45720" rIns="91440" bIns="45720" anchor="t" anchorCtr="0">
                          <a:noAutofit/>
                        </wps:bodyPr>
                      </wps:wsp>
                      <wps:wsp>
                        <wps:cNvPr id="22" name="直接箭头连接符 445"/>
                        <wps:cNvCnPr/>
                        <wps:spPr>
                          <a:xfrm>
                            <a:off x="1358765" y="3909644"/>
                            <a:ext cx="0" cy="365823"/>
                          </a:xfrm>
                          <a:prstGeom prst="straightConnector1">
                            <a:avLst/>
                          </a:prstGeom>
                          <a:noFill/>
                          <a:ln w="6350" cap="flat" cmpd="sng" algn="ctr">
                            <a:solidFill>
                              <a:sysClr val="windowText" lastClr="000000"/>
                            </a:solidFill>
                            <a:prstDash val="solid"/>
                            <a:miter lim="800000"/>
                            <a:tailEnd type="triangle"/>
                          </a:ln>
                          <a:effectLst/>
                        </wps:spPr>
                        <wps:bodyPr/>
                      </wps:wsp>
                      <wps:wsp>
                        <wps:cNvPr id="23" name="文本框 2"/>
                        <wps:cNvSpPr txBox="1">
                          <a:spLocks noChangeArrowheads="1"/>
                        </wps:cNvSpPr>
                        <wps:spPr bwMode="auto">
                          <a:xfrm>
                            <a:off x="585589" y="4292237"/>
                            <a:ext cx="1574800" cy="355600"/>
                          </a:xfrm>
                          <a:prstGeom prst="rect">
                            <a:avLst/>
                          </a:prstGeom>
                          <a:solidFill>
                            <a:srgbClr val="FFFFFF"/>
                          </a:solidFill>
                          <a:ln w="9525">
                            <a:solidFill>
                              <a:srgbClr val="000000"/>
                            </a:solidFill>
                            <a:miter lim="800000"/>
                          </a:ln>
                        </wps:spPr>
                        <wps:txbx>
                          <w:txbxContent>
                            <w:p>
                              <w:pPr>
                                <w:jc w:val="center"/>
                                <w:rPr>
                                  <w:sz w:val="24"/>
                                  <w:szCs w:val="24"/>
                                </w:rPr>
                              </w:pPr>
                              <w:r>
                                <w:rPr>
                                  <w:rFonts w:hint="eastAsia"/>
                                  <w:sz w:val="24"/>
                                  <w:szCs w:val="24"/>
                                </w:rPr>
                                <w:t>调压箱</w:t>
                              </w:r>
                            </w:p>
                          </w:txbxContent>
                        </wps:txbx>
                        <wps:bodyPr rot="0" vert="horz" wrap="square" lIns="91440" tIns="45720" rIns="91440" bIns="45720" anchor="t" anchorCtr="0">
                          <a:noAutofit/>
                        </wps:bodyPr>
                      </wps:wsp>
                      <wps:wsp>
                        <wps:cNvPr id="24" name="直接箭头连接符 447"/>
                        <wps:cNvCnPr/>
                        <wps:spPr>
                          <a:xfrm>
                            <a:off x="1358763" y="4636437"/>
                            <a:ext cx="0" cy="418090"/>
                          </a:xfrm>
                          <a:prstGeom prst="straightConnector1">
                            <a:avLst/>
                          </a:prstGeom>
                          <a:noFill/>
                          <a:ln w="6350" cap="flat" cmpd="sng" algn="ctr">
                            <a:solidFill>
                              <a:sysClr val="windowText" lastClr="000000"/>
                            </a:solidFill>
                            <a:prstDash val="solid"/>
                            <a:miter lim="800000"/>
                            <a:tailEnd type="triangle"/>
                          </a:ln>
                          <a:effectLst/>
                        </wps:spPr>
                        <wps:bodyPr/>
                      </wps:wsp>
                      <wps:wsp>
                        <wps:cNvPr id="25" name="文本框 2"/>
                        <wps:cNvSpPr txBox="1">
                          <a:spLocks noChangeArrowheads="1"/>
                        </wps:cNvSpPr>
                        <wps:spPr bwMode="auto">
                          <a:xfrm>
                            <a:off x="882650" y="5067300"/>
                            <a:ext cx="933450" cy="355600"/>
                          </a:xfrm>
                          <a:prstGeom prst="rect">
                            <a:avLst/>
                          </a:prstGeom>
                          <a:solidFill>
                            <a:srgbClr val="FFFFFF"/>
                          </a:solidFill>
                          <a:ln w="9525">
                            <a:solidFill>
                              <a:srgbClr val="000000"/>
                            </a:solidFill>
                            <a:miter lim="800000"/>
                          </a:ln>
                        </wps:spPr>
                        <wps:txbx>
                          <w:txbxContent>
                            <w:p>
                              <w:pPr>
                                <w:jc w:val="center"/>
                                <w:rPr>
                                  <w:sz w:val="24"/>
                                  <w:szCs w:val="24"/>
                                </w:rPr>
                              </w:pPr>
                              <w:r>
                                <w:rPr>
                                  <w:rFonts w:hint="eastAsia"/>
                                  <w:sz w:val="24"/>
                                  <w:szCs w:val="24"/>
                                </w:rPr>
                                <w:t>用户</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28.25pt;margin-top:22.5pt;height:486.85pt;width:169.15pt;z-index:251696128;mso-width-relative:page;mso-height-relative:page;" coordorigin="571499,0" coordsize="1588890,5422900" o:gfxdata="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">
                <o:lock v:ext="edit" aspectratio="f"/>
                <v:shape id="文本框 2" o:spid="_x0000_s1026" o:spt="202" type="#_x0000_t202" style="position:absolute;left:654049;top:0;height:355600;width:1407583;"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rFonts w:ascii="宋体" w:hAnsi="宋体" w:cs="Arial"/>
                            <w:caps/>
                            <w:color w:val="000000"/>
                            <w:sz w:val="24"/>
                            <w:szCs w:val="28"/>
                          </w:rPr>
                        </w:pPr>
                        <w:r>
                          <w:rPr>
                            <w:rFonts w:hint="eastAsia" w:ascii="宋体" w:hAnsi="宋体" w:cs="Arial"/>
                            <w:caps/>
                            <w:color w:val="000000"/>
                            <w:sz w:val="24"/>
                            <w:szCs w:val="28"/>
                          </w:rPr>
                          <w:t>输气站</w:t>
                        </w:r>
                      </w:p>
                    </w:txbxContent>
                  </v:textbox>
                </v:shape>
                <v:shape id="直接箭头连接符 437" o:spid="_x0000_s1026" o:spt="32" type="#_x0000_t32" style="position:absolute;left:1358763;top:355595;height:465478;width:0;" filled="f" stroked="t" coordsize="21600,21600" o:gfxdata="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3l0gugAAANsA&#10;AAAPAAAAAAAAAAEAIAAAACIAAABkcnMvZG93bnJldi54bWxQSwECFAAUAAAACACHTuJAMy8FnjsA&#10;AAA5AAAAEAAAAAAAAAABACAAAAAJAQAAZHJzL3NoYXBleG1sLnhtbFBLBQYAAAAABgAGAFsBAACz&#10;AwAAAAA=&#10;">
                  <v:fill on="f" focussize="0,0"/>
                  <v:stroke weight="0.5pt" color="#000000" miterlimit="8" joinstyle="miter" endarrow="block"/>
                  <v:imagedata o:title=""/>
                  <o:lock v:ext="edit" aspectratio="f"/>
                </v:shape>
                <v:shape id="文本框 2" o:spid="_x0000_s1026" o:spt="202" type="#_x0000_t202" style="position:absolute;left:578545;top:2266290;height:355600;width:1574800;"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宋体" w:hAnsi="宋体" w:cs="Arial"/>
                            <w:caps/>
                            <w:color w:val="000000"/>
                            <w:sz w:val="24"/>
                            <w:szCs w:val="28"/>
                          </w:rPr>
                        </w:pPr>
                        <w:r>
                          <w:rPr>
                            <w:rFonts w:hint="eastAsia" w:ascii="宋体" w:hAnsi="宋体" w:cs="Arial"/>
                            <w:caps/>
                            <w:color w:val="000000"/>
                            <w:sz w:val="24"/>
                            <w:szCs w:val="28"/>
                          </w:rPr>
                          <w:t>城区供气管网</w:t>
                        </w:r>
                      </w:p>
                    </w:txbxContent>
                  </v:textbox>
                </v:shape>
                <v:shape id="直接箭头连接符 440" o:spid="_x0000_s1026" o:spt="32" type="#_x0000_t32" style="position:absolute;left:1365810;top:2621895;height:310340;width:1;" filled="f" stroked="t" coordsize="21600,21600" o:gfxdata="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NbMm8AAAA&#10;2wAAAA8AAAAAAAAAAQAgAAAAIgAAAGRycy9kb3ducmV2LnhtbFBLAQIUABQAAAAIAIdO4kAzLwWe&#10;OwAAADkAAAAQAAAAAAAAAAEAIAAAAAsBAABkcnMvc2hhcGV4bWwueG1sUEsFBgAAAAAGAAYAWwEA&#10;ALUDAAAAAA==&#10;">
                  <v:fill on="f" focussize="0,0"/>
                  <v:stroke weight="0.5pt" color="#000000" miterlimit="8" joinstyle="miter" endarrow="block"/>
                  <v:imagedata o:title=""/>
                  <o:lock v:ext="edit" aspectratio="f"/>
                </v:shape>
                <v:shape id="文本框 2" o:spid="_x0000_s1026" o:spt="202" type="#_x0000_t202" style="position:absolute;left:578544;top:2915534;height:355600;width:1574800;"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sz w:val="24"/>
                            <w:szCs w:val="24"/>
                          </w:rPr>
                        </w:pPr>
                        <w:r>
                          <w:rPr>
                            <w:sz w:val="24"/>
                            <w:szCs w:val="24"/>
                          </w:rPr>
                          <w:t>阀</w:t>
                        </w:r>
                        <w:r>
                          <w:rPr>
                            <w:rFonts w:hint="eastAsia"/>
                            <w:sz w:val="24"/>
                            <w:szCs w:val="24"/>
                          </w:rPr>
                          <w:t>井</w:t>
                        </w:r>
                      </w:p>
                    </w:txbxContent>
                  </v:textbox>
                </v:shape>
                <v:shape id="直接箭头连接符 443" o:spid="_x0000_s1026" o:spt="32" type="#_x0000_t32" style="position:absolute;left:1357107;top:3299806;height:267439;width:0;" filled="f" stroked="t" coordsize="21600,21600" o:gfxdata="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F6pyugAAANsA&#10;AAAPAAAAAAAAAAEAIAAAACIAAABkcnMvZG93bnJldi54bWxQSwECFAAUAAAACACHTuJAMy8FnjsA&#10;AAA5AAAAEAAAAAAAAAABACAAAAAJAQAAZHJzL3NoYXBleG1sLnhtbFBLBQYAAAAABgAGAFsBAACz&#10;AwAAAAA=&#10;">
                  <v:fill on="f" focussize="0,0"/>
                  <v:stroke weight="0.5pt" color="#000000" miterlimit="8" joinstyle="miter" endarrow="block"/>
                  <v:imagedata o:title=""/>
                  <o:lock v:ext="edit" aspectratio="f"/>
                </v:shape>
                <v:shape id="文本框 2" o:spid="_x0000_s1026" o:spt="202" type="#_x0000_t202" style="position:absolute;left:571499;top:3554038;height:355600;width:1574800;"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z w:val="24"/>
                            <w:szCs w:val="24"/>
                          </w:rPr>
                        </w:pPr>
                        <w:r>
                          <w:rPr>
                            <w:sz w:val="24"/>
                            <w:szCs w:val="24"/>
                          </w:rPr>
                          <w:t>小</w:t>
                        </w:r>
                        <w:r>
                          <w:rPr>
                            <w:rFonts w:hint="eastAsia"/>
                            <w:sz w:val="24"/>
                            <w:szCs w:val="24"/>
                          </w:rPr>
                          <w:t>区管网</w:t>
                        </w:r>
                      </w:p>
                    </w:txbxContent>
                  </v:textbox>
                </v:shape>
                <v:shape id="直接箭头连接符 445" o:spid="_x0000_s1026" o:spt="32" type="#_x0000_t32" style="position:absolute;left:1358765;top:3909644;height:365823;width:0;" filled="f" stroked="t" coordsize="21600,21600" o:gfxdata="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mRnr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文本框 2" o:spid="_x0000_s1026" o:spt="202" type="#_x0000_t202" style="position:absolute;left:585589;top:4292237;height:355600;width:1574800;"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sz w:val="24"/>
                            <w:szCs w:val="24"/>
                          </w:rPr>
                        </w:pPr>
                        <w:r>
                          <w:rPr>
                            <w:rFonts w:hint="eastAsia"/>
                            <w:sz w:val="24"/>
                            <w:szCs w:val="24"/>
                          </w:rPr>
                          <w:t>调压箱</w:t>
                        </w:r>
                      </w:p>
                    </w:txbxContent>
                  </v:textbox>
                </v:shape>
                <v:shape id="直接箭头连接符 447" o:spid="_x0000_s1026" o:spt="32" type="#_x0000_t32" style="position:absolute;left:1358763;top:4636437;height:418090;width:0;" filled="f" stroked="t" coordsize="21600,21600" o:gfxdata="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yscb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文本框 2" o:spid="_x0000_s1026" o:spt="202" type="#_x0000_t202" style="position:absolute;left:882650;top:5067300;height:355600;width:933450;"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sz w:val="24"/>
                            <w:szCs w:val="24"/>
                          </w:rPr>
                        </w:pPr>
                        <w:r>
                          <w:rPr>
                            <w:rFonts w:hint="eastAsia"/>
                            <w:sz w:val="24"/>
                            <w:szCs w:val="24"/>
                          </w:rPr>
                          <w:t>用户</w:t>
                        </w:r>
                      </w:p>
                    </w:txbxContent>
                  </v:textbox>
                </v:shape>
              </v:group>
            </w:pict>
          </mc:Fallback>
        </mc:AlternateContent>
      </w:r>
    </w:p>
    <w:p>
      <w:pPr>
        <w:ind w:firstLine="562"/>
        <w:rPr>
          <w:b/>
          <w:szCs w:val="28"/>
        </w:rPr>
      </w:pPr>
    </w:p>
    <w:p>
      <w:pPr>
        <w:ind w:firstLine="562"/>
        <w:rPr>
          <w:b/>
          <w:szCs w:val="28"/>
        </w:rPr>
      </w:pPr>
    </w:p>
    <w:p>
      <w:pPr>
        <w:ind w:firstLine="560"/>
        <w:rPr>
          <w:b/>
          <w:szCs w:val="28"/>
        </w:rPr>
      </w:pPr>
      <w:r>
        <mc:AlternateContent>
          <mc:Choice Requires="wps">
            <w:drawing>
              <wp:anchor distT="0" distB="0" distL="114300" distR="114300" simplePos="0" relativeHeight="251712512" behindDoc="0" locked="0" layoutInCell="1" allowOverlap="1">
                <wp:simplePos x="0" y="0"/>
                <wp:positionH relativeFrom="column">
                  <wp:posOffset>1647825</wp:posOffset>
                </wp:positionH>
                <wp:positionV relativeFrom="paragraph">
                  <wp:posOffset>227965</wp:posOffset>
                </wp:positionV>
                <wp:extent cx="2128520" cy="405130"/>
                <wp:effectExtent l="0" t="0" r="0" b="0"/>
                <wp:wrapNone/>
                <wp:docPr id="98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28826" cy="405442"/>
                        </a:xfrm>
                        <a:prstGeom prst="rect">
                          <a:avLst/>
                        </a:prstGeom>
                        <a:solidFill>
                          <a:srgbClr val="FFFFFF"/>
                        </a:solidFill>
                        <a:ln w="9525">
                          <a:solidFill>
                            <a:srgbClr val="000000"/>
                          </a:solidFill>
                          <a:miter lim="800000"/>
                        </a:ln>
                      </wps:spPr>
                      <wps:txbx>
                        <w:txbxContent>
                          <w:p>
                            <w:pPr>
                              <w:jc w:val="center"/>
                              <w:rPr>
                                <w:rFonts w:ascii="宋体" w:hAnsi="宋体" w:cs="Arial"/>
                                <w:caps/>
                                <w:color w:val="000000"/>
                                <w:sz w:val="24"/>
                                <w:szCs w:val="28"/>
                              </w:rPr>
                            </w:pPr>
                            <w:r>
                              <w:rPr>
                                <w:rFonts w:hint="eastAsia" w:ascii="宋体" w:hAnsi="宋体" w:cs="Arial"/>
                                <w:caps/>
                                <w:color w:val="000000"/>
                                <w:sz w:val="24"/>
                                <w:szCs w:val="28"/>
                              </w:rPr>
                              <w:t>高压管线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9.75pt;margin-top:17.95pt;height:31.9pt;width:167.6pt;z-index:251712512;mso-width-relative:page;mso-height-relative:page;" fillcolor="#FFFFFF" filled="t" stroked="t" coordsize="21600,21600" o:gfxdata="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ra0BNoAAAAJAQAADwAAAAAAAAABACAAAAAiAAAAZHJz&#10;L2Rvd25yZXYueG1sUEsBAhQAFAAAAAgAh07iQNwYUzA7AgAAfQQAAA4AAAAAAAAAAQAgAAAAKQEA&#10;AGRycy9lMm9Eb2MueG1sUEsFBgAAAAAGAAYAWQEAANYFAAAAAA==&#10;">
                <v:fill on="t" focussize="0,0"/>
                <v:stroke color="#000000" miterlimit="8" joinstyle="miter"/>
                <v:imagedata o:title=""/>
                <o:lock v:ext="edit" aspectratio="f"/>
                <v:textbox>
                  <w:txbxContent>
                    <w:p>
                      <w:pPr>
                        <w:jc w:val="center"/>
                        <w:rPr>
                          <w:rFonts w:ascii="宋体" w:hAnsi="宋体" w:cs="Arial"/>
                          <w:caps/>
                          <w:color w:val="000000"/>
                          <w:sz w:val="24"/>
                          <w:szCs w:val="28"/>
                        </w:rPr>
                      </w:pPr>
                      <w:r>
                        <w:rPr>
                          <w:rFonts w:hint="eastAsia" w:ascii="宋体" w:hAnsi="宋体" w:cs="Arial"/>
                          <w:caps/>
                          <w:color w:val="000000"/>
                          <w:sz w:val="24"/>
                          <w:szCs w:val="28"/>
                        </w:rPr>
                        <w:t>高压管线</w:t>
                      </w:r>
                    </w:p>
                  </w:txbxContent>
                </v:textbox>
              </v:shape>
            </w:pict>
          </mc:Fallback>
        </mc:AlternateContent>
      </w:r>
    </w:p>
    <w:p>
      <w:pPr>
        <w:ind w:firstLine="562"/>
        <w:rPr>
          <w:b/>
          <w:szCs w:val="28"/>
        </w:rPr>
      </w:pPr>
      <w:r>
        <w:rPr>
          <w:b/>
          <w:szCs w:val="28"/>
        </w:rPr>
        <mc:AlternateContent>
          <mc:Choice Requires="wps">
            <w:drawing>
              <wp:anchor distT="0" distB="0" distL="114300" distR="114300" simplePos="0" relativeHeight="251713536" behindDoc="0" locked="0" layoutInCell="1" allowOverlap="1">
                <wp:simplePos x="0" y="0"/>
                <wp:positionH relativeFrom="column">
                  <wp:posOffset>2667000</wp:posOffset>
                </wp:positionH>
                <wp:positionV relativeFrom="paragraph">
                  <wp:posOffset>309880</wp:posOffset>
                </wp:positionV>
                <wp:extent cx="0" cy="391795"/>
                <wp:effectExtent l="76200" t="0" r="57150" b="65405"/>
                <wp:wrapNone/>
                <wp:docPr id="989" name="直接箭头连接符 989"/>
                <wp:cNvGraphicFramePr/>
                <a:graphic xmlns:a="http://schemas.openxmlformats.org/drawingml/2006/main">
                  <a:graphicData uri="http://schemas.microsoft.com/office/word/2010/wordprocessingShape">
                    <wps:wsp>
                      <wps:cNvCnPr/>
                      <wps:spPr>
                        <a:xfrm>
                          <a:off x="0" y="0"/>
                          <a:ext cx="0" cy="391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pt;margin-top:24.4pt;height:30.85pt;width:0pt;z-index:251713536;mso-width-relative:page;mso-height-relative:page;" filled="f" stroked="t" coordsize="21600,21600" o:gfxdata="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KUXJ1gAAAAoBAAAPAAAAAAAAAAEA&#10;IAAAACIAAABkcnMvZG93bnJldi54bWxQSwECFAAUAAAACACHTuJAvFPmQRECAAAGBAAADgAAAAAA&#10;AAABACAAAAAlAQAAZHJzL2Uyb0RvYy54bWxQSwUGAAAAAAYABgBZAQAAqAUAAAAA&#10;">
                <v:fill on="f" focussize="0,0"/>
                <v:stroke color="#000000 [3200]" joinstyle="round" endarrow="block"/>
                <v:imagedata o:title=""/>
                <o:lock v:ext="edit" aspectratio="f"/>
              </v:shape>
            </w:pict>
          </mc:Fallback>
        </mc:AlternateContent>
      </w:r>
    </w:p>
    <w:p>
      <w:pPr>
        <w:ind w:firstLine="560"/>
        <w:rPr>
          <w:b/>
          <w:szCs w:val="28"/>
        </w:rPr>
      </w:pPr>
      <w:r>
        <mc:AlternateContent>
          <mc:Choice Requires="wps">
            <w:drawing>
              <wp:anchor distT="0" distB="0" distL="114300" distR="114300" simplePos="0" relativeHeight="251710464" behindDoc="0" locked="0" layoutInCell="1" allowOverlap="1">
                <wp:simplePos x="0" y="0"/>
                <wp:positionH relativeFrom="column">
                  <wp:posOffset>1650365</wp:posOffset>
                </wp:positionH>
                <wp:positionV relativeFrom="paragraph">
                  <wp:posOffset>323850</wp:posOffset>
                </wp:positionV>
                <wp:extent cx="2128520" cy="405130"/>
                <wp:effectExtent l="0" t="0" r="24130" b="13970"/>
                <wp:wrapNone/>
                <wp:docPr id="98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28826" cy="405442"/>
                        </a:xfrm>
                        <a:prstGeom prst="rect">
                          <a:avLst/>
                        </a:prstGeom>
                        <a:solidFill>
                          <a:srgbClr val="FFFFFF"/>
                        </a:solidFill>
                        <a:ln w="9525">
                          <a:solidFill>
                            <a:srgbClr val="000000"/>
                          </a:solidFill>
                          <a:miter lim="800000"/>
                        </a:ln>
                      </wps:spPr>
                      <wps:txbx>
                        <w:txbxContent>
                          <w:p>
                            <w:pPr>
                              <w:jc w:val="center"/>
                              <w:rPr>
                                <w:rFonts w:ascii="宋体" w:hAnsi="宋体" w:cs="Arial"/>
                                <w:caps/>
                                <w:color w:val="000000"/>
                                <w:sz w:val="24"/>
                                <w:szCs w:val="28"/>
                              </w:rPr>
                            </w:pPr>
                            <w:r>
                              <w:rPr>
                                <w:rFonts w:hint="eastAsia" w:ascii="宋体" w:hAnsi="宋体" w:cs="Arial"/>
                                <w:caps/>
                                <w:color w:val="000000"/>
                                <w:sz w:val="24"/>
                                <w:szCs w:val="28"/>
                              </w:rPr>
                              <w:t>门站、储配站</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9.95pt;margin-top:25.5pt;height:31.9pt;width:167.6pt;z-index:251710464;mso-width-relative:page;mso-height-relative:page;" fillcolor="#FFFFFF" filled="t" stroked="t" coordsize="21600,21600" o:gfxdata="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JwtXK2QAAAAoBAAAPAAAAAAAAAAEAIAAAACIAAABkcnMv&#10;ZG93bnJldi54bWxQSwECFAAUAAAACACHTuJADH0KODsCAAB9BAAADgAAAAAAAAABACAAAAAoAQAA&#10;ZHJzL2Uyb0RvYy54bWxQSwUGAAAAAAYABgBZAQAA1QUAAAAA&#10;">
                <v:fill on="t" focussize="0,0"/>
                <v:stroke color="#000000" miterlimit="8" joinstyle="miter"/>
                <v:imagedata o:title=""/>
                <o:lock v:ext="edit" aspectratio="f"/>
                <v:textbox>
                  <w:txbxContent>
                    <w:p>
                      <w:pPr>
                        <w:jc w:val="center"/>
                        <w:rPr>
                          <w:rFonts w:ascii="宋体" w:hAnsi="宋体" w:cs="Arial"/>
                          <w:caps/>
                          <w:color w:val="000000"/>
                          <w:sz w:val="24"/>
                          <w:szCs w:val="28"/>
                        </w:rPr>
                      </w:pPr>
                      <w:r>
                        <w:rPr>
                          <w:rFonts w:hint="eastAsia" w:ascii="宋体" w:hAnsi="宋体" w:cs="Arial"/>
                          <w:caps/>
                          <w:color w:val="000000"/>
                          <w:sz w:val="24"/>
                          <w:szCs w:val="28"/>
                        </w:rPr>
                        <w:t>门站、储配站</w:t>
                      </w:r>
                    </w:p>
                  </w:txbxContent>
                </v:textbox>
              </v:shape>
            </w:pict>
          </mc:Fallback>
        </mc:AlternateContent>
      </w:r>
    </w:p>
    <w:p>
      <w:pPr>
        <w:ind w:firstLine="562"/>
        <w:rPr>
          <w:b/>
          <w:szCs w:val="28"/>
        </w:rPr>
      </w:pPr>
    </w:p>
    <w:p>
      <w:pPr>
        <w:ind w:firstLine="560"/>
        <w:rPr>
          <w:b/>
          <w:szCs w:val="28"/>
        </w:rPr>
      </w:pPr>
      <w:r>
        <w:rPr>
          <w:rFonts w:hint="eastAsia" w:ascii="宋体" w:hAnsi="宋体" w:cs="宋体"/>
          <w:bCs/>
          <w:szCs w:val="21"/>
        </w:rPr>
        <mc:AlternateContent>
          <mc:Choice Requires="wps">
            <w:drawing>
              <wp:anchor distT="0" distB="0" distL="114300" distR="114300" simplePos="0" relativeHeight="251711488" behindDoc="0" locked="0" layoutInCell="1" allowOverlap="1">
                <wp:simplePos x="0" y="0"/>
                <wp:positionH relativeFrom="column">
                  <wp:posOffset>2543810</wp:posOffset>
                </wp:positionH>
                <wp:positionV relativeFrom="paragraph">
                  <wp:posOffset>88900</wp:posOffset>
                </wp:positionV>
                <wp:extent cx="320675" cy="311150"/>
                <wp:effectExtent l="0" t="71438" r="0" b="103822"/>
                <wp:wrapNone/>
                <wp:docPr id="985" name="直接箭头连接符 985"/>
                <wp:cNvGraphicFramePr/>
                <a:graphic xmlns:a="http://schemas.openxmlformats.org/drawingml/2006/main">
                  <a:graphicData uri="http://schemas.microsoft.com/office/word/2010/wordprocessingShape">
                    <wps:wsp>
                      <wps:cNvCnPr/>
                      <wps:spPr>
                        <a:xfrm rot="2700000">
                          <a:off x="0" y="0"/>
                          <a:ext cx="320616" cy="310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0.3pt;margin-top:7pt;height:24.5pt;width:25.25pt;rotation:2949120f;z-index:251711488;mso-width-relative:page;mso-height-relative:page;" filled="f" stroked="t" coordsize="21600,21600" o:gfxdata="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CE8&#10;SNgAAAAJAQAADwAAAAAAAAABACAAAAAiAAAAZHJzL2Rvd25yZXYueG1sUEsBAhQAFAAAAAgAh07i&#10;QF5yt7oiAgAAGQQAAA4AAAAAAAAAAQAgAAAAJwEAAGRycy9lMm9Eb2MueG1sUEsFBgAAAAAGAAYA&#10;WQEAALsFAAAAAA==&#10;">
                <v:fill on="f" focussize="0,0"/>
                <v:stroke color="#000000 [3200]" joinstyle="round" endarrow="block"/>
                <v:imagedata o:title=""/>
                <o:lock v:ext="edit" aspectratio="f"/>
              </v:shape>
            </w:pict>
          </mc:Fallback>
        </mc:AlternateContent>
      </w:r>
    </w:p>
    <w:p>
      <w:pPr>
        <w:ind w:firstLine="562"/>
        <w:rPr>
          <w:b/>
          <w:szCs w:val="28"/>
        </w:rPr>
      </w:pPr>
    </w:p>
    <w:p>
      <w:pPr>
        <w:ind w:firstLine="562"/>
        <w:rPr>
          <w:b/>
          <w:szCs w:val="28"/>
        </w:rPr>
      </w:pPr>
    </w:p>
    <w:p>
      <w:pPr>
        <w:ind w:firstLine="562"/>
        <w:rPr>
          <w:b/>
          <w:szCs w:val="28"/>
        </w:rPr>
      </w:pPr>
    </w:p>
    <w:p>
      <w:pPr>
        <w:ind w:firstLine="562"/>
        <w:rPr>
          <w:b/>
          <w:szCs w:val="28"/>
        </w:rPr>
      </w:pPr>
    </w:p>
    <w:p>
      <w:pPr>
        <w:ind w:firstLine="562"/>
        <w:rPr>
          <w:b/>
          <w:szCs w:val="28"/>
        </w:rPr>
      </w:pPr>
    </w:p>
    <w:p>
      <w:pPr>
        <w:spacing w:line="560" w:lineRule="exact"/>
        <w:ind w:firstLine="560" w:firstLineChars="200"/>
        <w:rPr>
          <w:rFonts w:ascii="宋体" w:hAnsi="宋体"/>
          <w:szCs w:val="28"/>
        </w:rPr>
      </w:pPr>
    </w:p>
    <w:p>
      <w:pPr>
        <w:spacing w:line="560" w:lineRule="exact"/>
        <w:ind w:firstLine="560" w:firstLineChars="200"/>
        <w:rPr>
          <w:rFonts w:ascii="宋体" w:hAnsi="宋体"/>
          <w:szCs w:val="28"/>
        </w:rPr>
      </w:pPr>
    </w:p>
    <w:p>
      <w:pPr>
        <w:pStyle w:val="25"/>
        <w:spacing w:line="360" w:lineRule="auto"/>
        <w:ind w:firstLine="0" w:firstLineChars="0"/>
        <w:jc w:val="center"/>
        <w:rPr>
          <w:rFonts w:ascii="宋体" w:hAnsi="宋体" w:cs="宋体"/>
        </w:rPr>
      </w:pPr>
    </w:p>
    <w:p>
      <w:pPr>
        <w:pStyle w:val="25"/>
        <w:spacing w:line="360" w:lineRule="auto"/>
        <w:ind w:firstLine="0" w:firstLineChars="0"/>
        <w:jc w:val="center"/>
        <w:rPr>
          <w:rFonts w:ascii="宋体" w:hAnsi="宋体" w:cs="宋体"/>
        </w:rPr>
      </w:pPr>
    </w:p>
    <w:p>
      <w:pPr>
        <w:pStyle w:val="26"/>
        <w:ind w:firstLine="480"/>
      </w:pPr>
    </w:p>
    <w:p>
      <w:pPr>
        <w:pStyle w:val="25"/>
        <w:spacing w:line="360" w:lineRule="auto"/>
        <w:ind w:firstLine="0" w:firstLineChars="0"/>
        <w:jc w:val="center"/>
        <w:rPr>
          <w:rFonts w:ascii="宋体" w:hAnsi="宋体" w:cs="宋体"/>
        </w:rPr>
      </w:pPr>
    </w:p>
    <w:p>
      <w:pPr>
        <w:pStyle w:val="25"/>
        <w:spacing w:line="360" w:lineRule="auto"/>
        <w:ind w:firstLine="0" w:firstLineChars="0"/>
        <w:jc w:val="center"/>
        <w:rPr>
          <w:rFonts w:ascii="宋体" w:hAnsi="宋体" w:cs="宋体"/>
        </w:rPr>
      </w:pPr>
      <w:r>
        <w:rPr>
          <w:rFonts w:hint="eastAsia" w:ascii="宋体" w:hAnsi="宋体" w:cs="宋体"/>
        </w:rPr>
        <w:t>附录A图1</w:t>
      </w:r>
      <w:r>
        <w:rPr>
          <w:rFonts w:ascii="宋体" w:hAnsi="宋体" w:cs="宋体"/>
        </w:rPr>
        <w:t xml:space="preserve"> </w:t>
      </w:r>
      <w:r>
        <w:rPr>
          <w:rFonts w:hint="eastAsia" w:ascii="宋体" w:hAnsi="宋体" w:cs="宋体"/>
        </w:rPr>
        <w:t>本企业供气系统工艺流程图</w:t>
      </w:r>
    </w:p>
    <w:bookmarkEnd w:id="366"/>
    <w:p>
      <w:pPr>
        <w:pStyle w:val="7"/>
      </w:pPr>
      <w:bookmarkStart w:id="367" w:name="_Toc80537545"/>
      <w:bookmarkStart w:id="368" w:name="_Toc101798336"/>
      <w:r>
        <w:rPr>
          <w:rFonts w:hint="eastAsia"/>
        </w:rPr>
        <w:t>2</w:t>
      </w:r>
      <w:r>
        <w:t>.</w:t>
      </w:r>
      <w:bookmarkEnd w:id="367"/>
      <w:r>
        <w:rPr>
          <w:rFonts w:hint="eastAsia"/>
        </w:rPr>
        <w:t>经营过程中涉及的物料</w:t>
      </w:r>
      <w:bookmarkEnd w:id="368"/>
    </w:p>
    <w:p>
      <w:pPr>
        <w:pStyle w:val="26"/>
        <w:ind w:firstLine="560"/>
      </w:pPr>
      <w:r>
        <w:rPr>
          <w:rFonts w:hint="eastAsia" w:ascii="宋体" w:hAnsi="宋体" w:cs="宋体"/>
          <w:sz w:val="28"/>
          <w:szCs w:val="28"/>
        </w:rPr>
        <w:t>在燃气经营活动中涉及到天然气、四氢噻吩，天然气和四氢噻吩属于危险化学品。在焊接过程中，可能使用氩气作为保护性气体，现场临时发电可能使用汽油或柴油。</w:t>
      </w:r>
    </w:p>
    <w:p>
      <w:pPr>
        <w:ind w:firstLine="560"/>
        <w:rPr>
          <w:rFonts w:ascii="宋体" w:hAnsi="宋体" w:cs="宋体"/>
          <w:szCs w:val="28"/>
        </w:rPr>
      </w:pPr>
      <w:r>
        <w:rPr>
          <w:rFonts w:ascii="宋体" w:hAnsi="宋体" w:cs="宋体"/>
          <w:szCs w:val="28"/>
        </w:rPr>
        <w:t>2.1</w:t>
      </w:r>
      <w:r>
        <w:rPr>
          <w:rFonts w:hint="eastAsia" w:ascii="宋体" w:hAnsi="宋体" w:cs="宋体"/>
          <w:szCs w:val="28"/>
        </w:rPr>
        <w:t>天然气</w:t>
      </w:r>
    </w:p>
    <w:p>
      <w:pPr>
        <w:spacing w:line="360" w:lineRule="auto"/>
        <w:ind w:firstLine="560" w:firstLineChars="200"/>
        <w:rPr>
          <w:rFonts w:ascii="宋体" w:hAnsi="宋体" w:cs="宋体"/>
          <w:bCs/>
          <w:szCs w:val="21"/>
        </w:rPr>
      </w:pPr>
      <w:r>
        <w:rPr>
          <w:rFonts w:hint="eastAsia" w:ascii="宋体" w:hAnsi="宋体" w:cs="宋体"/>
          <w:bCs/>
          <w:szCs w:val="21"/>
        </w:rPr>
        <w:t>天然气，序号2</w:t>
      </w:r>
      <w:r>
        <w:rPr>
          <w:rFonts w:ascii="宋体" w:hAnsi="宋体" w:cs="宋体"/>
          <w:bCs/>
          <w:szCs w:val="21"/>
        </w:rPr>
        <w:t>123</w:t>
      </w:r>
      <w:r>
        <w:rPr>
          <w:rFonts w:hint="eastAsia" w:ascii="宋体" w:hAnsi="宋体" w:cs="宋体"/>
          <w:bCs/>
          <w:szCs w:val="21"/>
        </w:rPr>
        <w:t>，属易燃气体，具窒息性。与空气混合能形成爆炸性混合物，遇热源和明火有燃烧爆炸的危险。与五氧化溴、氯气、次氯酸、三氟化氮、液氧、二氟化氧及其他强氧化剂接触剧烈反应。</w:t>
      </w:r>
    </w:p>
    <w:p>
      <w:pPr>
        <w:spacing w:line="360" w:lineRule="auto"/>
        <w:ind w:firstLine="560" w:firstLineChars="200"/>
        <w:rPr>
          <w:rFonts w:ascii="宋体" w:hAnsi="宋体" w:cs="宋体"/>
          <w:bCs/>
          <w:szCs w:val="21"/>
        </w:rPr>
      </w:pPr>
      <w:r>
        <w:rPr>
          <w:rFonts w:hint="eastAsia" w:ascii="宋体" w:hAnsi="宋体" w:cs="宋体"/>
          <w:bCs/>
          <w:szCs w:val="21"/>
        </w:rPr>
        <w:t>天然气安全技术说明书见附录A表1。</w:t>
      </w:r>
    </w:p>
    <w:p>
      <w:pPr>
        <w:spacing w:line="240" w:lineRule="atLeast"/>
        <w:ind w:firstLine="522"/>
        <w:jc w:val="center"/>
        <w:rPr>
          <w:rFonts w:cs="黑体" w:asciiTheme="minorEastAsia" w:hAnsiTheme="minorEastAsia" w:eastAsiaTheme="minorEastAsia"/>
          <w:b/>
          <w:sz w:val="26"/>
        </w:rPr>
      </w:pPr>
      <w:r>
        <w:rPr>
          <w:rFonts w:hint="eastAsia" w:cs="黑体" w:asciiTheme="minorEastAsia" w:hAnsiTheme="minorEastAsia" w:eastAsiaTheme="minorEastAsia"/>
          <w:b/>
          <w:sz w:val="26"/>
        </w:rPr>
        <w:t>附录A表1</w:t>
      </w:r>
      <w:r>
        <w:rPr>
          <w:rFonts w:cs="黑体" w:asciiTheme="minorEastAsia" w:hAnsiTheme="minorEastAsia" w:eastAsiaTheme="minorEastAsia"/>
          <w:b/>
          <w:sz w:val="26"/>
        </w:rPr>
        <w:t xml:space="preserve"> </w:t>
      </w:r>
      <w:r>
        <w:rPr>
          <w:rFonts w:hint="eastAsia" w:cs="黑体" w:asciiTheme="minorEastAsia" w:hAnsiTheme="minorEastAsia" w:eastAsiaTheme="minorEastAsia"/>
          <w:b/>
          <w:sz w:val="26"/>
        </w:rPr>
        <w:t>天然气安全技术说明书</w:t>
      </w:r>
    </w:p>
    <w:tbl>
      <w:tblPr>
        <w:tblStyle w:val="42"/>
        <w:tblW w:w="819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21"/>
        <w:gridCol w:w="627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1" w:hRule="atLeast"/>
          <w:jc w:val="center"/>
        </w:trPr>
        <w:tc>
          <w:tcPr>
            <w:tcW w:w="8196" w:type="dxa"/>
            <w:gridSpan w:val="2"/>
            <w:vAlign w:val="center"/>
          </w:tcPr>
          <w:p>
            <w:pPr>
              <w:pStyle w:val="34"/>
              <w:spacing w:after="0" w:line="320" w:lineRule="exact"/>
              <w:ind w:firstLine="0" w:firstLineChars="0"/>
              <w:jc w:val="center"/>
              <w:rPr>
                <w:rFonts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第一部分：化学品名称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6"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化学品中文名称：</w:t>
            </w:r>
          </w:p>
        </w:tc>
        <w:tc>
          <w:tcPr>
            <w:tcW w:w="6275" w:type="dxa"/>
          </w:tcPr>
          <w:p>
            <w:pPr>
              <w:spacing w:line="32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天然气</w:t>
            </w:r>
            <w:r>
              <w:rPr>
                <w:rFonts w:cs="宋体" w:asciiTheme="minorEastAsia" w:hAnsiTheme="minorEastAsia" w:eastAsiaTheme="minorEastAsia"/>
                <w:sz w:val="24"/>
                <w:szCs w:val="24"/>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36"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化学品英文名称：</w:t>
            </w:r>
          </w:p>
        </w:tc>
        <w:tc>
          <w:tcPr>
            <w:tcW w:w="6275" w:type="dxa"/>
          </w:tcPr>
          <w:p>
            <w:pPr>
              <w:spacing w:line="32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 </w:t>
            </w:r>
            <w:r>
              <w:rPr>
                <w:rFonts w:hint="eastAsia" w:cs="宋体" w:asciiTheme="minorEastAsia" w:hAnsiTheme="minorEastAsia" w:eastAsiaTheme="minorEastAsia"/>
                <w:sz w:val="24"/>
                <w:szCs w:val="24"/>
              </w:rPr>
              <w:t>Natural gas dehydration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1"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中文名称2：</w:t>
            </w:r>
          </w:p>
        </w:tc>
        <w:tc>
          <w:tcPr>
            <w:tcW w:w="6275" w:type="dxa"/>
          </w:tcPr>
          <w:p>
            <w:pPr>
              <w:spacing w:line="320" w:lineRule="exact"/>
              <w:rPr>
                <w:rFonts w:cs="宋体" w:asciiTheme="minorEastAsia" w:hAnsiTheme="minorEastAsia" w:eastAsiaTheme="minorEastAsia"/>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9"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英文名称2：</w:t>
            </w:r>
          </w:p>
        </w:tc>
        <w:tc>
          <w:tcPr>
            <w:tcW w:w="6275" w:type="dxa"/>
          </w:tcPr>
          <w:p>
            <w:pPr>
              <w:spacing w:line="320" w:lineRule="exact"/>
              <w:rPr>
                <w:rFonts w:cs="宋体" w:asciiTheme="minorEastAsia" w:hAnsiTheme="minorEastAsia" w:eastAsiaTheme="minorEastAsia"/>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5"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技术说明书编码：</w:t>
            </w:r>
          </w:p>
        </w:tc>
        <w:tc>
          <w:tcPr>
            <w:tcW w:w="6275" w:type="dxa"/>
          </w:tcPr>
          <w:p>
            <w:pPr>
              <w:spacing w:line="320" w:lineRule="exact"/>
              <w:rPr>
                <w:rFonts w:cs="宋体" w:asciiTheme="minorEastAsia" w:hAnsiTheme="minorEastAsia" w:eastAsiaTheme="minorEastAsia"/>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5"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CAS No.：</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74-82-8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0"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分子式：</w:t>
            </w:r>
          </w:p>
        </w:tc>
        <w:tc>
          <w:tcPr>
            <w:tcW w:w="6275" w:type="dxa"/>
          </w:tcPr>
          <w:p>
            <w:pPr>
              <w:spacing w:line="32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CH</w:t>
            </w:r>
            <w:r>
              <w:rPr>
                <w:rFonts w:hint="eastAsia" w:cs="宋体" w:asciiTheme="minorEastAsia" w:hAnsiTheme="minorEastAsia" w:eastAsiaTheme="minorEastAsia"/>
                <w:sz w:val="24"/>
                <w:szCs w:val="24"/>
                <w:vertAlign w:val="subscript"/>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8"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分子量：</w:t>
            </w:r>
          </w:p>
        </w:tc>
        <w:tc>
          <w:tcPr>
            <w:tcW w:w="6275" w:type="dxa"/>
          </w:tcPr>
          <w:p>
            <w:pPr>
              <w:spacing w:line="32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98" w:hRule="atLeast"/>
          <w:jc w:val="center"/>
        </w:trPr>
        <w:tc>
          <w:tcPr>
            <w:tcW w:w="8196" w:type="dxa"/>
            <w:gridSpan w:val="2"/>
            <w:vAlign w:val="center"/>
          </w:tcPr>
          <w:p>
            <w:pPr>
              <w:pStyle w:val="34"/>
              <w:spacing w:after="0" w:line="320" w:lineRule="exact"/>
              <w:ind w:firstLine="0" w:firstLineChars="0"/>
              <w:jc w:val="center"/>
              <w:rPr>
                <w:rFonts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第二部分：成分/组成信息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23" w:hRule="atLeast"/>
          <w:jc w:val="center"/>
        </w:trPr>
        <w:tc>
          <w:tcPr>
            <w:tcW w:w="1921" w:type="dxa"/>
            <w:vAlign w:val="center"/>
          </w:tcPr>
          <w:p>
            <w:pPr>
              <w:pStyle w:val="34"/>
              <w:spacing w:after="0" w:line="320" w:lineRule="exact"/>
              <w:ind w:firstLine="0" w:firstLineChars="0"/>
              <w:rPr>
                <w:rFonts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有害物成分</w:t>
            </w:r>
          </w:p>
        </w:tc>
        <w:tc>
          <w:tcPr>
            <w:tcW w:w="6275" w:type="dxa"/>
            <w:vAlign w:val="center"/>
          </w:tcPr>
          <w:p>
            <w:pPr>
              <w:pStyle w:val="34"/>
              <w:spacing w:after="0" w:line="320" w:lineRule="exact"/>
              <w:ind w:firstLine="0" w:firstLineChars="0"/>
              <w:rPr>
                <w:rFonts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甲烷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vAlign w:val="center"/>
          </w:tcPr>
          <w:p>
            <w:pPr>
              <w:pStyle w:val="34"/>
              <w:spacing w:after="0" w:line="320" w:lineRule="exact"/>
              <w:ind w:firstLine="0" w:firstLineChars="0"/>
              <w:rPr>
                <w:rFonts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CAS No.</w:t>
            </w:r>
          </w:p>
        </w:tc>
        <w:tc>
          <w:tcPr>
            <w:tcW w:w="6275" w:type="dxa"/>
            <w:vAlign w:val="center"/>
          </w:tcPr>
          <w:p>
            <w:pPr>
              <w:pStyle w:val="34"/>
              <w:spacing w:after="0" w:line="320" w:lineRule="exact"/>
              <w:ind w:firstLine="0" w:firstLineChars="0"/>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74-82-8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8196" w:type="dxa"/>
            <w:gridSpan w:val="2"/>
            <w:vAlign w:val="center"/>
          </w:tcPr>
          <w:p>
            <w:pPr>
              <w:pStyle w:val="34"/>
              <w:spacing w:after="0" w:line="320" w:lineRule="exact"/>
              <w:ind w:firstLine="0" w:firstLineChars="0"/>
              <w:jc w:val="center"/>
              <w:rPr>
                <w:rFonts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第三部分：危险性概述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 xml:space="preserve">危险性类别： </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第2.1类 易燃气体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侵入途径：</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吸入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健康危害：</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空气中甲烷浓度过高，能使人窒息。</w:t>
            </w:r>
            <w:r>
              <w:rPr>
                <w:rFonts w:asciiTheme="minorEastAsia" w:hAnsiTheme="minorEastAsia" w:eastAsiaTheme="minorEastAsia"/>
                <w:sz w:val="24"/>
                <w:szCs w:val="24"/>
              </w:rPr>
              <w:t>当空气中甲烷达25％～30％时，可引起头痛、头晕、乏力、注意力不集中、呼吸和心跳加速、共济失调。若不及时脱离，可致窒息死亡。皮肤接触液化</w:t>
            </w:r>
            <w:r>
              <w:rPr>
                <w:rFonts w:hint="eastAsia" w:asciiTheme="minorEastAsia" w:hAnsiTheme="minorEastAsia" w:eastAsiaTheme="minorEastAsia"/>
                <w:sz w:val="24"/>
                <w:szCs w:val="24"/>
              </w:rPr>
              <w:t>气体</w:t>
            </w:r>
            <w:r>
              <w:rPr>
                <w:rFonts w:asciiTheme="minorEastAsia" w:hAnsiTheme="minorEastAsia" w:eastAsiaTheme="minorEastAsia"/>
                <w:sz w:val="24"/>
                <w:szCs w:val="24"/>
              </w:rPr>
              <w:t>可致冻伤。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环境危害：</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对环境有害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燃爆危险：</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易燃，与空气混合能形成爆炸性混合物</w:t>
            </w:r>
            <w:r>
              <w:rPr>
                <w:rFonts w:asciiTheme="minorEastAsia" w:hAnsiTheme="minorEastAsia" w:eastAsiaTheme="minorEastAsia"/>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8196" w:type="dxa"/>
            <w:gridSpan w:val="2"/>
            <w:vAlign w:val="center"/>
          </w:tcPr>
          <w:p>
            <w:pPr>
              <w:pStyle w:val="34"/>
              <w:spacing w:after="0" w:line="320" w:lineRule="exact"/>
              <w:ind w:firstLine="0" w:firstLineChars="0"/>
              <w:jc w:val="center"/>
              <w:rPr>
                <w:rFonts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第四部分：急救措施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皮肤接触：</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如果发生冻伤：将</w:t>
            </w:r>
            <w:r>
              <w:rPr>
                <w:rFonts w:hint="eastAsia" w:asciiTheme="minorEastAsia" w:hAnsiTheme="minorEastAsia" w:eastAsiaTheme="minorEastAsia"/>
                <w:color w:val="FF0000"/>
                <w:sz w:val="24"/>
                <w:szCs w:val="24"/>
              </w:rPr>
              <w:t>患部</w:t>
            </w:r>
            <w:r>
              <w:rPr>
                <w:rFonts w:hint="eastAsia" w:asciiTheme="minorEastAsia" w:hAnsiTheme="minorEastAsia" w:eastAsiaTheme="minorEastAsia"/>
                <w:sz w:val="24"/>
                <w:szCs w:val="24"/>
              </w:rPr>
              <w:t>浸泡于保持在38～42℃的温水中复温。不要涂擦。不要使用热水或辐射热。使用清洁、干燥的敷料包扎。如有不适感，就医。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眼睛接触：</w:t>
            </w:r>
          </w:p>
        </w:tc>
        <w:tc>
          <w:tcPr>
            <w:tcW w:w="6275" w:type="dxa"/>
          </w:tcPr>
          <w:p>
            <w:pPr>
              <w:spacing w:line="320" w:lineRule="exact"/>
              <w:rPr>
                <w:rFonts w:cs="宋体" w:asciiTheme="minorEastAsia" w:hAnsiTheme="minorEastAsia" w:eastAsiaTheme="minorEastAsia"/>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吸入：</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迅速脱离现场至空气新鲜处。保持呼吸道通畅。如呼吸困难，给输氧。呼吸</w:t>
            </w:r>
            <w:r>
              <w:rPr>
                <w:rFonts w:hint="eastAsia" w:asciiTheme="minorEastAsia" w:hAnsiTheme="minorEastAsia" w:eastAsiaTheme="minorEastAsia"/>
                <w:sz w:val="24"/>
                <w:szCs w:val="24"/>
              </w:rPr>
              <w:t>、心跳</w:t>
            </w:r>
            <w:r>
              <w:rPr>
                <w:rFonts w:asciiTheme="minorEastAsia" w:hAnsiTheme="minorEastAsia" w:eastAsiaTheme="minorEastAsia"/>
                <w:sz w:val="24"/>
                <w:szCs w:val="24"/>
              </w:rPr>
              <w:t>停止，立即进行</w:t>
            </w:r>
            <w:r>
              <w:rPr>
                <w:rFonts w:hint="eastAsia" w:asciiTheme="minorEastAsia" w:hAnsiTheme="minorEastAsia" w:eastAsiaTheme="minorEastAsia"/>
                <w:sz w:val="24"/>
                <w:szCs w:val="24"/>
              </w:rPr>
              <w:t>心肺复苏术</w:t>
            </w:r>
            <w:r>
              <w:rPr>
                <w:rFonts w:asciiTheme="minorEastAsia" w:hAnsiTheme="minorEastAsia" w:eastAsiaTheme="minorEastAsia"/>
                <w:sz w:val="24"/>
                <w:szCs w:val="24"/>
              </w:rPr>
              <w:t>。就医。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8196" w:type="dxa"/>
            <w:gridSpan w:val="2"/>
          </w:tcPr>
          <w:p>
            <w:pPr>
              <w:spacing w:line="320" w:lineRule="exact"/>
              <w:jc w:val="center"/>
              <w:rPr>
                <w:rFonts w:cs="宋体" w:asciiTheme="minorEastAsia" w:hAnsiTheme="minorEastAsia" w:eastAsiaTheme="minorEastAsia"/>
                <w:sz w:val="24"/>
                <w:szCs w:val="24"/>
              </w:rPr>
            </w:pPr>
            <w:r>
              <w:rPr>
                <w:rFonts w:cs="宋体" w:asciiTheme="minorEastAsia" w:hAnsiTheme="minorEastAsia" w:eastAsiaTheme="minorEastAsia"/>
                <w:sz w:val="24"/>
                <w:szCs w:val="24"/>
              </w:rPr>
              <w:t>第五部分：消防措施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危险特性：</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易燃，与空气混合能形成爆炸性混合物，遇热源和明火有燃烧爆炸的危险。与五氧化溴、氯气、次氯酸、三氟化氮、液氧、二氟化氧及其它强氧化剂接触</w:t>
            </w:r>
            <w:r>
              <w:rPr>
                <w:rFonts w:hint="eastAsia" w:asciiTheme="minorEastAsia" w:hAnsiTheme="minorEastAsia" w:eastAsiaTheme="minorEastAsia"/>
                <w:sz w:val="24"/>
                <w:szCs w:val="24"/>
              </w:rPr>
              <w:t>发生</w:t>
            </w:r>
            <w:r>
              <w:rPr>
                <w:rFonts w:asciiTheme="minorEastAsia" w:hAnsiTheme="minorEastAsia" w:eastAsiaTheme="minorEastAsia"/>
                <w:sz w:val="24"/>
                <w:szCs w:val="24"/>
              </w:rPr>
              <w:t>剧烈反应。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有害燃烧产物：</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一氧化碳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灭火方法：</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用雾状水、泡沫、二氧化碳、干粉灭火。</w:t>
            </w:r>
            <w:r>
              <w:rPr>
                <w:rFonts w:asciiTheme="minorEastAsia" w:hAnsiTheme="minorEastAsia" w:eastAsiaTheme="minorEastAsia"/>
                <w:sz w:val="24"/>
                <w:szCs w:val="24"/>
              </w:rPr>
              <w:t>切断气源。若不能切断气源，则不允许熄灭泄漏处的火焰。</w:t>
            </w:r>
            <w:r>
              <w:rPr>
                <w:rFonts w:hint="eastAsia" w:asciiTheme="minorEastAsia" w:hAnsiTheme="minorEastAsia" w:eastAsiaTheme="minorEastAsia"/>
                <w:sz w:val="24"/>
                <w:szCs w:val="24"/>
              </w:rPr>
              <w:t>消防人员必须佩戴空气呼吸器、穿全身防火防毒服，在上风向灭火。尽可能将容器从火场移至空旷处。喷水保持火场容器冷却，直至灭火结束。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8196" w:type="dxa"/>
            <w:gridSpan w:val="2"/>
          </w:tcPr>
          <w:p>
            <w:pPr>
              <w:spacing w:line="320" w:lineRule="exact"/>
              <w:jc w:val="center"/>
              <w:rPr>
                <w:rFonts w:asciiTheme="minorEastAsia" w:hAnsiTheme="minorEastAsia" w:eastAsiaTheme="minorEastAsia"/>
                <w:sz w:val="24"/>
                <w:szCs w:val="24"/>
              </w:rPr>
            </w:pPr>
            <w:r>
              <w:rPr>
                <w:rFonts w:cs="宋体" w:asciiTheme="minorEastAsia" w:hAnsiTheme="minorEastAsia" w:eastAsiaTheme="minorEastAsia"/>
                <w:sz w:val="24"/>
                <w:szCs w:val="24"/>
              </w:rPr>
              <w:t>第六部分：泄漏应急处理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应急处理：</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消除所有点火源。根据气体扩散的影响区域划定警戒区，无关人员从侧风、上风向撤离至安全区。建议应急处理人员戴正压自给式呼吸器，穿防静电服。作业时使用的所有设备应接地。禁止接触或跨越泄漏物。尽可能切断泄漏源。若可能翻转容器，使之逸出气体而非液体。喷雾状水抑制蒸气或改变蒸气云流向，避免水流接触泄漏物。禁止用水直接冲击泄漏物或泄漏源。防止气体通过下水道、通风系统和限制性空间扩散。隔离泄漏区直至气体散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8196" w:type="dxa"/>
            <w:gridSpan w:val="2"/>
          </w:tcPr>
          <w:p>
            <w:pPr>
              <w:spacing w:line="320" w:lineRule="exact"/>
              <w:jc w:val="center"/>
              <w:rPr>
                <w:rFonts w:asciiTheme="minorEastAsia" w:hAnsiTheme="minorEastAsia" w:eastAsiaTheme="minorEastAsia"/>
                <w:sz w:val="24"/>
                <w:szCs w:val="24"/>
              </w:rPr>
            </w:pPr>
            <w:r>
              <w:rPr>
                <w:rFonts w:cs="宋体" w:asciiTheme="minorEastAsia" w:hAnsiTheme="minorEastAsia" w:eastAsiaTheme="minorEastAsia"/>
                <w:sz w:val="24"/>
                <w:szCs w:val="24"/>
              </w:rPr>
              <w:t>第七部分：操作处置与储存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操作注意事项：</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密</w:t>
            </w:r>
            <w:r>
              <w:rPr>
                <w:rFonts w:asciiTheme="minorEastAsia" w:hAnsiTheme="minorEastAsia" w:eastAsiaTheme="minorEastAsia"/>
                <w:sz w:val="24"/>
                <w:szCs w:val="24"/>
              </w:rPr>
              <w:t>闭操作，全面通风。操作人员必须经过专门培训，严格遵守操作规程。远离火种、热源，工作场所严禁吸烟。使用防爆型的通风系统和设备。防止气体泄漏到工作场所空气中。避免与氧化剂接触。</w:t>
            </w:r>
            <w:r>
              <w:rPr>
                <w:rFonts w:asciiTheme="minorEastAsia" w:hAnsiTheme="minorEastAsia" w:eastAsiaTheme="minorEastAsia"/>
                <w:color w:val="auto"/>
                <w:sz w:val="24"/>
                <w:szCs w:val="24"/>
              </w:rPr>
              <w:t>在传送过程中，钢瓶和容器必须接地和跨接，防止产生静电。搬运时轻装轻卸，防止钢瓶及附件破损。</w:t>
            </w:r>
            <w:r>
              <w:rPr>
                <w:rFonts w:asciiTheme="minorEastAsia" w:hAnsiTheme="minorEastAsia" w:eastAsiaTheme="minorEastAsia"/>
                <w:sz w:val="24"/>
                <w:szCs w:val="24"/>
              </w:rPr>
              <w:t>配备相应品种和数量的消防器材及泄漏应急处理设备。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储存注意事项：</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钢瓶装本品储存于阴凉、通风的易燃气体专用库房。</w:t>
            </w:r>
            <w:r>
              <w:rPr>
                <w:rFonts w:asciiTheme="minorEastAsia" w:hAnsiTheme="minorEastAsia" w:eastAsiaTheme="minorEastAsia"/>
                <w:sz w:val="24"/>
                <w:szCs w:val="24"/>
              </w:rPr>
              <w:t>远离火种、热源。库温不宜超过30</w:t>
            </w: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。应与氧化剂等分开存放，切忌混储。采用防爆型照明、通风设施。禁止使用易产生火花的机械设备和工具。储区应备有泄漏应急处理设备。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8196" w:type="dxa"/>
            <w:gridSpan w:val="2"/>
          </w:tcPr>
          <w:p>
            <w:pPr>
              <w:spacing w:line="320" w:lineRule="exact"/>
              <w:jc w:val="center"/>
              <w:rPr>
                <w:rFonts w:asciiTheme="minorEastAsia" w:hAnsiTheme="minorEastAsia" w:eastAsiaTheme="minorEastAsia"/>
                <w:sz w:val="24"/>
                <w:szCs w:val="24"/>
              </w:rPr>
            </w:pPr>
            <w:r>
              <w:rPr>
                <w:rFonts w:cs="宋体" w:asciiTheme="minorEastAsia" w:hAnsiTheme="minorEastAsia" w:eastAsiaTheme="minorEastAsia"/>
                <w:sz w:val="24"/>
                <w:szCs w:val="24"/>
              </w:rPr>
              <w:t>第八部分：接触控制/个体防护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职业接触限值</w:t>
            </w:r>
          </w:p>
        </w:tc>
        <w:tc>
          <w:tcPr>
            <w:tcW w:w="6275" w:type="dxa"/>
          </w:tcPr>
          <w:p>
            <w:pPr>
              <w:spacing w:line="32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 </w:t>
            </w:r>
            <w:r>
              <w:rPr>
                <w:rFonts w:hint="eastAsia" w:asciiTheme="minorEastAsia" w:hAnsiTheme="minorEastAsia" w:eastAsiaTheme="minorEastAsia"/>
                <w:sz w:val="24"/>
                <w:szCs w:val="24"/>
              </w:rPr>
              <w:t>未制定标准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中国MAC(mg/m3)：</w:t>
            </w:r>
          </w:p>
        </w:tc>
        <w:tc>
          <w:tcPr>
            <w:tcW w:w="6275" w:type="dxa"/>
          </w:tcPr>
          <w:p>
            <w:pPr>
              <w:spacing w:line="32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未制定标准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前苏联MAC(mg/m3)：</w:t>
            </w:r>
          </w:p>
        </w:tc>
        <w:tc>
          <w:tcPr>
            <w:tcW w:w="6275" w:type="dxa"/>
          </w:tcPr>
          <w:p>
            <w:pPr>
              <w:spacing w:line="32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未制定标准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TLVTN：</w:t>
            </w:r>
          </w:p>
        </w:tc>
        <w:tc>
          <w:tcPr>
            <w:tcW w:w="6275" w:type="dxa"/>
          </w:tcPr>
          <w:p>
            <w:pPr>
              <w:spacing w:line="32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未制定标准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TLVWN：</w:t>
            </w:r>
          </w:p>
        </w:tc>
        <w:tc>
          <w:tcPr>
            <w:tcW w:w="6275" w:type="dxa"/>
          </w:tcPr>
          <w:p>
            <w:pPr>
              <w:spacing w:line="32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未制定标准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监测方法：</w:t>
            </w:r>
          </w:p>
        </w:tc>
        <w:tc>
          <w:tcPr>
            <w:tcW w:w="6275" w:type="dxa"/>
          </w:tcPr>
          <w:p>
            <w:pPr>
              <w:spacing w:line="320" w:lineRule="exact"/>
              <w:rPr>
                <w:rFonts w:cs="宋体" w:asciiTheme="minorEastAsia" w:hAnsiTheme="minorEastAsia" w:eastAsiaTheme="minorEastAsia"/>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工程控制：</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生产过程密闭，全面通风。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呼吸系统防护：</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一般不需要特殊防护，但建议特殊情况下，佩戴过滤式防毒面具（半面罩）。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眼睛防护：</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一般不需要特殊防护，高浓度接触时可戴安全防护眼镜。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身体防护：</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穿防静电工作服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手防护：</w:t>
            </w:r>
          </w:p>
        </w:tc>
        <w:tc>
          <w:tcPr>
            <w:tcW w:w="6275" w:type="dxa"/>
          </w:tcPr>
          <w:p>
            <w:pPr>
              <w:spacing w:line="32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戴一般作业防护手套。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其他防护：</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工作现场严禁吸烟。避免长期反复接触。进入限制性空间或其它高浓度区作业，须有人监护。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8196" w:type="dxa"/>
            <w:gridSpan w:val="2"/>
          </w:tcPr>
          <w:p>
            <w:pPr>
              <w:spacing w:line="320" w:lineRule="exact"/>
              <w:jc w:val="center"/>
              <w:rPr>
                <w:rFonts w:asciiTheme="minorEastAsia" w:hAnsiTheme="minorEastAsia" w:eastAsiaTheme="minorEastAsia"/>
                <w:sz w:val="24"/>
                <w:szCs w:val="24"/>
              </w:rPr>
            </w:pPr>
            <w:r>
              <w:rPr>
                <w:rFonts w:cs="宋体" w:asciiTheme="minorEastAsia" w:hAnsiTheme="minorEastAsia" w:eastAsiaTheme="minorEastAsia"/>
                <w:sz w:val="24"/>
                <w:szCs w:val="24"/>
              </w:rPr>
              <w:t>第九部分：理化特性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主要成分：</w:t>
            </w:r>
          </w:p>
        </w:tc>
        <w:tc>
          <w:tcPr>
            <w:tcW w:w="6275" w:type="dxa"/>
          </w:tcPr>
          <w:p>
            <w:pPr>
              <w:spacing w:line="32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CH</w:t>
            </w:r>
            <w:r>
              <w:rPr>
                <w:rFonts w:hint="eastAsia" w:cs="宋体" w:asciiTheme="minorEastAsia" w:hAnsiTheme="minorEastAsia" w:eastAsiaTheme="minorEastAsia"/>
                <w:sz w:val="24"/>
                <w:szCs w:val="24"/>
                <w:vertAlign w:val="subscript"/>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外观与性状：</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无色</w:t>
            </w:r>
            <w:r>
              <w:rPr>
                <w:rFonts w:hint="eastAsia" w:asciiTheme="minorEastAsia" w:hAnsiTheme="minorEastAsia" w:eastAsiaTheme="minorEastAsia"/>
                <w:sz w:val="24"/>
                <w:szCs w:val="24"/>
              </w:rPr>
              <w:t>无味</w:t>
            </w:r>
            <w:r>
              <w:rPr>
                <w:rFonts w:asciiTheme="minorEastAsia" w:hAnsiTheme="minorEastAsia" w:eastAsiaTheme="minorEastAsia"/>
                <w:sz w:val="24"/>
                <w:szCs w:val="24"/>
              </w:rPr>
              <w:t>气体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pH：</w:t>
            </w:r>
          </w:p>
        </w:tc>
        <w:tc>
          <w:tcPr>
            <w:tcW w:w="6275" w:type="dxa"/>
          </w:tcPr>
          <w:p>
            <w:pPr>
              <w:spacing w:line="320" w:lineRule="exact"/>
              <w:rPr>
                <w:rFonts w:cs="宋体" w:asciiTheme="minorEastAsia" w:hAnsiTheme="minorEastAsia" w:eastAsiaTheme="minorEastAsia"/>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熔点(</w:t>
            </w: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w:t>
            </w:r>
            <w:r>
              <w:rPr>
                <w:rFonts w:cs="宋体" w:asciiTheme="minorEastAsia" w:hAnsiTheme="minorEastAsia" w:eastAsiaTheme="minorEastAsia"/>
                <w:sz w:val="24"/>
                <w:szCs w:val="24"/>
              </w:rPr>
              <w:t>：</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－182.6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沸点(</w:t>
            </w: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w:t>
            </w:r>
            <w:r>
              <w:rPr>
                <w:rFonts w:cs="宋体" w:asciiTheme="minorEastAsia" w:hAnsiTheme="minorEastAsia" w:eastAsiaTheme="minorEastAsia"/>
                <w:sz w:val="24"/>
                <w:szCs w:val="24"/>
              </w:rPr>
              <w:t>：</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－161.4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相对密度(水=1)：</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0.</w:t>
            </w:r>
            <w:r>
              <w:rPr>
                <w:rFonts w:hint="eastAsia" w:asciiTheme="minorEastAsia" w:hAnsiTheme="minorEastAsia" w:eastAsiaTheme="minorEastAsia"/>
                <w:sz w:val="24"/>
                <w:szCs w:val="24"/>
              </w:rPr>
              <w:t>42</w:t>
            </w:r>
            <w:r>
              <w:rPr>
                <w:rFonts w:asciiTheme="minorEastAsia" w:hAnsiTheme="minorEastAsia" w:eastAsiaTheme="minorEastAsia"/>
                <w:sz w:val="24"/>
                <w:szCs w:val="24"/>
              </w:rPr>
              <w:t>(-</w:t>
            </w:r>
            <w:r>
              <w:rPr>
                <w:rFonts w:hint="eastAsia" w:asciiTheme="minorEastAsia" w:hAnsiTheme="minorEastAsia" w:eastAsiaTheme="minorEastAsia"/>
                <w:sz w:val="24"/>
                <w:szCs w:val="24"/>
              </w:rPr>
              <w:t>164</w:t>
            </w: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w:t>
            </w:r>
            <w:r>
              <w:rPr>
                <w:rFonts w:hint="eastAsia" w:asciiTheme="minorEastAsia" w:hAnsiTheme="minorEastAsia" w:eastAsiaTheme="minorEastAsia"/>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相对蒸气密度(空气=1)：</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0.6（空气=1）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饱和蒸气压(kPa)：</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53.32</w:t>
            </w:r>
            <w:r>
              <w:rPr>
                <w:rFonts w:asciiTheme="minorEastAsia" w:hAnsiTheme="minorEastAsia" w:eastAsiaTheme="minorEastAsia"/>
                <w:sz w:val="24"/>
                <w:szCs w:val="24"/>
              </w:rPr>
              <w:t>(-</w:t>
            </w:r>
            <w:r>
              <w:rPr>
                <w:rFonts w:hint="eastAsia" w:asciiTheme="minorEastAsia" w:hAnsiTheme="minorEastAsia" w:eastAsiaTheme="minorEastAsia"/>
                <w:sz w:val="24"/>
                <w:szCs w:val="24"/>
              </w:rPr>
              <w:t>168.8</w:t>
            </w: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燃烧热(kJ/mol)：</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890.8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临界温度(</w:t>
            </w: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w:t>
            </w:r>
            <w:r>
              <w:rPr>
                <w:rFonts w:cs="宋体" w:asciiTheme="minorEastAsia" w:hAnsiTheme="minorEastAsia" w:eastAsiaTheme="minorEastAsia"/>
                <w:sz w:val="24"/>
                <w:szCs w:val="24"/>
              </w:rPr>
              <w:t>：</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82.25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临界压力(MPa)：</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4.59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辛醇/水分配系数的对数值：</w:t>
            </w:r>
          </w:p>
        </w:tc>
        <w:tc>
          <w:tcPr>
            <w:tcW w:w="6275" w:type="dxa"/>
          </w:tcPr>
          <w:p>
            <w:pPr>
              <w:spacing w:line="32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无资料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闪点(</w:t>
            </w: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w:t>
            </w:r>
            <w:r>
              <w:rPr>
                <w:rFonts w:cs="宋体" w:asciiTheme="minorEastAsia" w:hAnsiTheme="minorEastAsia" w:eastAsiaTheme="minorEastAsia"/>
                <w:sz w:val="24"/>
                <w:szCs w:val="24"/>
              </w:rPr>
              <w:t>：</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-218℃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引燃温度(</w:t>
            </w:r>
            <w:r>
              <w:rPr>
                <w:rFonts w:hint="eastAsia" w:cs="宋体" w:asciiTheme="minorEastAsia" w:hAnsiTheme="minorEastAsia" w:eastAsiaTheme="minorEastAsia"/>
                <w:sz w:val="24"/>
                <w:szCs w:val="24"/>
              </w:rPr>
              <w:t>℃</w:t>
            </w:r>
            <w:r>
              <w:rPr>
                <w:rFonts w:asciiTheme="minorEastAsia" w:hAnsiTheme="minorEastAsia" w:eastAsiaTheme="minorEastAsia"/>
                <w:sz w:val="24"/>
                <w:szCs w:val="24"/>
              </w:rPr>
              <w:t>)</w:t>
            </w:r>
            <w:r>
              <w:rPr>
                <w:rFonts w:cs="宋体" w:asciiTheme="minorEastAsia" w:hAnsiTheme="minorEastAsia" w:eastAsiaTheme="minorEastAsia"/>
                <w:sz w:val="24"/>
                <w:szCs w:val="24"/>
              </w:rPr>
              <w:t>：</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537℃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爆炸上限%(V/V)：</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爆炸下限%(V/V)：</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溶解性：</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微溶于水，溶于</w:t>
            </w:r>
            <w:r>
              <w:rPr>
                <w:rFonts w:hint="eastAsia" w:asciiTheme="minorEastAsia" w:hAnsiTheme="minorEastAsia" w:eastAsiaTheme="minorEastAsia"/>
                <w:sz w:val="24"/>
                <w:szCs w:val="24"/>
              </w:rPr>
              <w:t>乙醇、乙醚、苯、甲苯等</w:t>
            </w:r>
            <w:r>
              <w:rPr>
                <w:rFonts w:asciiTheme="minorEastAsia" w:hAnsiTheme="minorEastAsia" w:eastAsiaTheme="minorEastAsia"/>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主要用途：</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用作燃料和用于炭黑、氢、乙炔、甲醛等的制造。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8196" w:type="dxa"/>
            <w:gridSpan w:val="2"/>
          </w:tcPr>
          <w:p>
            <w:pPr>
              <w:spacing w:line="320" w:lineRule="exact"/>
              <w:jc w:val="center"/>
              <w:rPr>
                <w:rFonts w:asciiTheme="minorEastAsia" w:hAnsiTheme="minorEastAsia" w:eastAsiaTheme="minorEastAsia"/>
                <w:sz w:val="24"/>
                <w:szCs w:val="24"/>
              </w:rPr>
            </w:pPr>
            <w:r>
              <w:rPr>
                <w:rFonts w:cs="宋体" w:asciiTheme="minorEastAsia" w:hAnsiTheme="minorEastAsia" w:eastAsiaTheme="minorEastAsia"/>
                <w:sz w:val="24"/>
                <w:szCs w:val="24"/>
              </w:rPr>
              <w:t>第十部分：稳定性和反应活性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稳定性：</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稳定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禁配物：</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强氧化剂、</w:t>
            </w:r>
            <w:r>
              <w:rPr>
                <w:rFonts w:hint="eastAsia" w:asciiTheme="minorEastAsia" w:hAnsiTheme="minorEastAsia" w:eastAsiaTheme="minorEastAsia"/>
                <w:sz w:val="24"/>
                <w:szCs w:val="24"/>
              </w:rPr>
              <w:t>强酸、强碱、卤素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8196" w:type="dxa"/>
            <w:gridSpan w:val="2"/>
          </w:tcPr>
          <w:p>
            <w:pPr>
              <w:spacing w:line="320" w:lineRule="exact"/>
              <w:jc w:val="center"/>
              <w:rPr>
                <w:rFonts w:asciiTheme="minorEastAsia" w:hAnsiTheme="minorEastAsia" w:eastAsiaTheme="minorEastAsia"/>
                <w:sz w:val="24"/>
                <w:szCs w:val="24"/>
              </w:rPr>
            </w:pPr>
            <w:r>
              <w:rPr>
                <w:rFonts w:cs="宋体" w:asciiTheme="minorEastAsia" w:hAnsiTheme="minorEastAsia" w:eastAsiaTheme="minorEastAsia"/>
                <w:sz w:val="24"/>
                <w:szCs w:val="24"/>
              </w:rPr>
              <w:t>第十一部分：毒理学资料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p>
        </w:tc>
        <w:tc>
          <w:tcPr>
            <w:tcW w:w="6275" w:type="dxa"/>
          </w:tcPr>
          <w:p>
            <w:pPr>
              <w:spacing w:line="320" w:lineRule="exact"/>
              <w:rPr>
                <w:rFonts w:asciiTheme="minorEastAsia" w:hAnsiTheme="minorEastAsia" w:eastAsiaTheme="minorEastAsia"/>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8196" w:type="dxa"/>
            <w:gridSpan w:val="2"/>
          </w:tcPr>
          <w:p>
            <w:pPr>
              <w:spacing w:line="320" w:lineRule="exact"/>
              <w:jc w:val="center"/>
              <w:rPr>
                <w:rFonts w:asciiTheme="minorEastAsia" w:hAnsiTheme="minorEastAsia" w:eastAsiaTheme="minorEastAsia"/>
                <w:sz w:val="24"/>
                <w:szCs w:val="24"/>
              </w:rPr>
            </w:pPr>
            <w:r>
              <w:rPr>
                <w:rFonts w:cs="宋体" w:asciiTheme="minorEastAsia" w:hAnsiTheme="minorEastAsia" w:eastAsiaTheme="minorEastAsia"/>
                <w:sz w:val="24"/>
                <w:szCs w:val="24"/>
              </w:rPr>
              <w:t>第十二部分：生态学资料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p>
        </w:tc>
        <w:tc>
          <w:tcPr>
            <w:tcW w:w="6275" w:type="dxa"/>
          </w:tcPr>
          <w:p>
            <w:pPr>
              <w:spacing w:line="320" w:lineRule="exact"/>
              <w:rPr>
                <w:rFonts w:asciiTheme="minorEastAsia" w:hAnsiTheme="minorEastAsia" w:eastAsiaTheme="minorEastAsia"/>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p>
        </w:tc>
        <w:tc>
          <w:tcPr>
            <w:tcW w:w="6275" w:type="dxa"/>
          </w:tcPr>
          <w:p>
            <w:pPr>
              <w:spacing w:line="32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第十三部分：废弃处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废弃物性质：</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危险废物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废弃处置方法：</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建议用焚烧法处置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废弃注意事项：</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处置前应参阅国家和地方有关法规。把倒空的容器归还厂商或在规定场所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rPr>
                <w:rFonts w:cs="宋体" w:asciiTheme="minorEastAsia" w:hAnsiTheme="minorEastAsia" w:eastAsiaTheme="minorEastAsia"/>
                <w:sz w:val="24"/>
                <w:szCs w:val="24"/>
              </w:rPr>
            </w:pPr>
          </w:p>
        </w:tc>
        <w:tc>
          <w:tcPr>
            <w:tcW w:w="6275" w:type="dxa"/>
          </w:tcPr>
          <w:p>
            <w:pPr>
              <w:spacing w:line="320" w:lineRule="exact"/>
              <w:rPr>
                <w:rFonts w:asciiTheme="minorEastAsia" w:hAnsiTheme="minorEastAsia" w:eastAsiaTheme="minorEastAsia"/>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内部</w:t>
            </w:r>
          </w:p>
        </w:tc>
        <w:tc>
          <w:tcPr>
            <w:tcW w:w="6275" w:type="dxa"/>
          </w:tcPr>
          <w:p>
            <w:pPr>
              <w:spacing w:line="320" w:lineRule="exact"/>
              <w:rPr>
                <w:rFonts w:cs="宋体" w:asciiTheme="minorEastAsia" w:hAnsiTheme="minorEastAsia" w:eastAsiaTheme="minorEastAsia"/>
                <w:sz w:val="24"/>
                <w:szCs w:val="24"/>
              </w:rPr>
            </w:pPr>
            <w:r>
              <w:rPr>
                <w:rFonts w:cs="宋体" w:asciiTheme="minorEastAsia" w:hAnsiTheme="minorEastAsia" w:eastAsiaTheme="minorEastAsia"/>
                <w:sz w:val="24"/>
                <w:szCs w:val="24"/>
              </w:rPr>
              <w:t>第十四部分：运输信息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8196" w:type="dxa"/>
            <w:gridSpan w:val="2"/>
          </w:tcPr>
          <w:p>
            <w:pPr>
              <w:spacing w:line="320" w:lineRule="exact"/>
              <w:jc w:val="center"/>
              <w:rPr>
                <w:rFonts w:asciiTheme="minorEastAsia" w:hAnsiTheme="minorEastAsia" w:eastAsiaTheme="minorEastAsia"/>
                <w:sz w:val="24"/>
                <w:szCs w:val="24"/>
              </w:rPr>
            </w:pPr>
            <w:r>
              <w:rPr>
                <w:rFonts w:cs="宋体" w:asciiTheme="minorEastAsia" w:hAnsiTheme="minorEastAsia" w:eastAsiaTheme="minorEastAsia"/>
                <w:color w:val="auto"/>
                <w:sz w:val="24"/>
                <w:szCs w:val="24"/>
              </w:rPr>
              <w:t>第十四部分：运输信息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35"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危险货物编号：</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21007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UN编号：</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1971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包装标志：</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易燃气体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0"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包装类别：</w:t>
            </w:r>
          </w:p>
        </w:tc>
        <w:tc>
          <w:tcPr>
            <w:tcW w:w="6275" w:type="dxa"/>
          </w:tcPr>
          <w:p>
            <w:pPr>
              <w:spacing w:line="320" w:lineRule="exact"/>
              <w:rPr>
                <w:rFonts w:cs="宋体" w:asciiTheme="minorEastAsia" w:hAnsiTheme="minorEastAsia" w:eastAsiaTheme="minorEastAsia"/>
                <w:sz w:val="24"/>
                <w:szCs w:val="24"/>
              </w:rPr>
            </w:pPr>
            <w:r>
              <w:rPr>
                <w:rFonts w:hint="eastAsia" w:asciiTheme="minorEastAsia" w:hAnsiTheme="minorEastAsia" w:eastAsiaTheme="minorEastAsia"/>
                <w:sz w:val="24"/>
                <w:szCs w:val="24"/>
              </w:rPr>
              <w:t>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包装方法：</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color w:val="auto"/>
                <w:sz w:val="24"/>
                <w:szCs w:val="24"/>
              </w:rPr>
              <w:t>钢质气瓶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364" w:hRule="atLeast"/>
          <w:jc w:val="center"/>
        </w:trPr>
        <w:tc>
          <w:tcPr>
            <w:tcW w:w="1921" w:type="dxa"/>
          </w:tcPr>
          <w:p>
            <w:pPr>
              <w:spacing w:line="320" w:lineRule="exact"/>
              <w:jc w:val="right"/>
              <w:rPr>
                <w:rFonts w:cs="宋体" w:asciiTheme="minorEastAsia" w:hAnsiTheme="minorEastAsia" w:eastAsiaTheme="minorEastAsia"/>
                <w:sz w:val="24"/>
                <w:szCs w:val="24"/>
              </w:rPr>
            </w:pPr>
            <w:r>
              <w:rPr>
                <w:rFonts w:cs="宋体" w:asciiTheme="minorEastAsia" w:hAnsiTheme="minorEastAsia" w:eastAsiaTheme="minorEastAsia"/>
                <w:sz w:val="24"/>
                <w:szCs w:val="24"/>
              </w:rPr>
              <w:t>运输注意事项：</w:t>
            </w:r>
          </w:p>
        </w:tc>
        <w:tc>
          <w:tcPr>
            <w:tcW w:w="6275" w:type="dxa"/>
          </w:tcPr>
          <w:p>
            <w:pPr>
              <w:spacing w:line="320" w:lineRule="exact"/>
              <w:rPr>
                <w:rFonts w:cs="宋体" w:asciiTheme="minorEastAsia" w:hAnsiTheme="minorEastAsia" w:eastAsiaTheme="minorEastAsia"/>
                <w:sz w:val="24"/>
                <w:szCs w:val="24"/>
              </w:rPr>
            </w:pPr>
            <w:r>
              <w:rPr>
                <w:rFonts w:asciiTheme="minorEastAsia" w:hAnsiTheme="minorEastAsia" w:eastAsiaTheme="minorEastAsia"/>
                <w:sz w:val="24"/>
                <w:szCs w:val="24"/>
              </w:rPr>
              <w:t>采用</w:t>
            </w:r>
            <w:r>
              <w:rPr>
                <w:rFonts w:hint="eastAsia" w:asciiTheme="minorEastAsia" w:hAnsiTheme="minorEastAsia" w:eastAsiaTheme="minorEastAsia"/>
                <w:sz w:val="24"/>
                <w:szCs w:val="24"/>
              </w:rPr>
              <w:t>钢</w:t>
            </w:r>
            <w:r>
              <w:rPr>
                <w:rFonts w:asciiTheme="minorEastAsia" w:hAnsiTheme="minorEastAsia" w:eastAsiaTheme="minorEastAsia"/>
                <w:sz w:val="24"/>
                <w:szCs w:val="24"/>
              </w:rPr>
              <w:t>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等混装混运。夏季应早晚运输，防止日光曝晒。中途停留时应远离火种、热源。公路运输时要按规定路线行驶，勿在居民区和人口稠密区停留。铁路运输时要禁止溜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8196" w:type="dxa"/>
            <w:gridSpan w:val="2"/>
          </w:tcPr>
          <w:p>
            <w:pPr>
              <w:spacing w:line="320" w:lineRule="exact"/>
              <w:jc w:val="center"/>
              <w:rPr>
                <w:rFonts w:asciiTheme="minorEastAsia" w:hAnsiTheme="minorEastAsia" w:eastAsiaTheme="minorEastAsia"/>
                <w:sz w:val="24"/>
                <w:szCs w:val="24"/>
              </w:rPr>
            </w:pPr>
            <w:r>
              <w:rPr>
                <w:rFonts w:cs="宋体" w:asciiTheme="minorEastAsia" w:hAnsiTheme="minorEastAsia" w:eastAsiaTheme="minorEastAsia"/>
                <w:sz w:val="24"/>
                <w:szCs w:val="24"/>
              </w:rPr>
              <w:t>第十五部分：法规信息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1921" w:type="dxa"/>
          </w:tcPr>
          <w:p>
            <w:pPr>
              <w:spacing w:line="320" w:lineRule="exact"/>
              <w:jc w:val="right"/>
              <w:rPr>
                <w:rFonts w:cs="宋体" w:asciiTheme="minorEastAsia" w:hAnsiTheme="minorEastAsia" w:eastAsiaTheme="minorEastAsia"/>
                <w:sz w:val="24"/>
                <w:szCs w:val="24"/>
              </w:rPr>
            </w:pPr>
          </w:p>
        </w:tc>
        <w:tc>
          <w:tcPr>
            <w:tcW w:w="6275" w:type="dxa"/>
          </w:tcPr>
          <w:p>
            <w:pPr>
              <w:spacing w:line="320" w:lineRule="exact"/>
              <w:rPr>
                <w:rFonts w:asciiTheme="minorEastAsia" w:hAnsiTheme="minorEastAsia" w:eastAsiaTheme="minorEastAsia"/>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 w:hRule="atLeast"/>
          <w:jc w:val="center"/>
        </w:trPr>
        <w:tc>
          <w:tcPr>
            <w:tcW w:w="8196" w:type="dxa"/>
            <w:gridSpan w:val="2"/>
          </w:tcPr>
          <w:p>
            <w:pPr>
              <w:spacing w:line="320" w:lineRule="exact"/>
              <w:jc w:val="center"/>
              <w:rPr>
                <w:rFonts w:asciiTheme="minorEastAsia" w:hAnsiTheme="minorEastAsia" w:eastAsiaTheme="minorEastAsia"/>
                <w:sz w:val="24"/>
                <w:szCs w:val="24"/>
              </w:rPr>
            </w:pPr>
            <w:r>
              <w:rPr>
                <w:rFonts w:cs="宋体" w:asciiTheme="minorEastAsia" w:hAnsiTheme="minorEastAsia" w:eastAsiaTheme="minorEastAsia"/>
                <w:sz w:val="24"/>
                <w:szCs w:val="24"/>
              </w:rPr>
              <w:t>第十六部分：其他信息</w:t>
            </w:r>
          </w:p>
        </w:tc>
      </w:tr>
    </w:tbl>
    <w:p>
      <w:pPr>
        <w:pStyle w:val="19"/>
        <w:spacing w:line="360" w:lineRule="auto"/>
        <w:ind w:firstLine="560"/>
        <w:rPr>
          <w:rFonts w:ascii="宋体" w:hAnsi="宋体"/>
          <w:i w:val="0"/>
          <w:sz w:val="28"/>
          <w:szCs w:val="28"/>
        </w:rPr>
      </w:pPr>
    </w:p>
    <w:p>
      <w:pPr>
        <w:ind w:firstLine="560"/>
        <w:rPr>
          <w:rFonts w:asciiTheme="minorEastAsia" w:hAnsiTheme="minorEastAsia" w:eastAsiaTheme="minorEastAsia"/>
        </w:rPr>
      </w:pPr>
      <w:r>
        <w:rPr>
          <w:rFonts w:asciiTheme="minorEastAsia" w:hAnsiTheme="minorEastAsia" w:eastAsiaTheme="minorEastAsia"/>
        </w:rPr>
        <w:t xml:space="preserve">2.2 </w:t>
      </w:r>
      <w:r>
        <w:rPr>
          <w:rFonts w:hint="eastAsia" w:asciiTheme="minorEastAsia" w:hAnsiTheme="minorEastAsia" w:eastAsiaTheme="minorEastAsia"/>
        </w:rPr>
        <w:t>四氢噻吩</w:t>
      </w:r>
    </w:p>
    <w:p>
      <w:pPr>
        <w:spacing w:line="360" w:lineRule="auto"/>
        <w:ind w:firstLine="560" w:firstLineChars="200"/>
        <w:rPr>
          <w:rFonts w:asciiTheme="minorEastAsia" w:hAnsiTheme="minorEastAsia" w:eastAsiaTheme="minorEastAsia"/>
        </w:rPr>
      </w:pPr>
      <w:r>
        <w:rPr>
          <w:rFonts w:hint="eastAsia" w:asciiTheme="minorEastAsia" w:hAnsiTheme="minorEastAsia" w:eastAsiaTheme="minorEastAsia"/>
        </w:rPr>
        <w:t>四氢噻吩，为易燃液体。蒸气能扩散到远处，遇点火源引着回燃。受热分解放出易燃和有毒物质：硫化氢、硫氧化物、碳氧化物。</w:t>
      </w:r>
    </w:p>
    <w:p>
      <w:pPr>
        <w:spacing w:line="360" w:lineRule="auto"/>
        <w:ind w:firstLine="560" w:firstLineChars="200"/>
        <w:rPr>
          <w:rFonts w:asciiTheme="minorEastAsia" w:hAnsiTheme="minorEastAsia" w:eastAsiaTheme="minorEastAsia"/>
        </w:rPr>
      </w:pPr>
      <w:r>
        <w:rPr>
          <w:rFonts w:hint="eastAsia" w:asciiTheme="minorEastAsia" w:hAnsiTheme="minorEastAsia" w:eastAsiaTheme="minorEastAsia"/>
        </w:rPr>
        <w:t>健康危害：吸入、皮肤接触和食入有害。对眼睛和皮肤有刺激性。对水生生物有害。在水环境中可导致长期负面影响。。</w:t>
      </w:r>
    </w:p>
    <w:p>
      <w:pPr>
        <w:spacing w:line="360" w:lineRule="auto"/>
        <w:ind w:firstLine="560"/>
        <w:rPr>
          <w:rFonts w:asciiTheme="minorEastAsia" w:hAnsiTheme="minorEastAsia" w:eastAsiaTheme="minorEastAsia"/>
        </w:rPr>
      </w:pPr>
      <w:r>
        <w:rPr>
          <w:rFonts w:hint="eastAsia" w:asciiTheme="minorEastAsia" w:hAnsiTheme="minorEastAsia" w:eastAsiaTheme="minorEastAsia"/>
        </w:rPr>
        <w:t>四氢噻吩安全技术说明书如下：</w:t>
      </w:r>
    </w:p>
    <w:p>
      <w:pPr>
        <w:spacing w:line="360" w:lineRule="auto"/>
        <w:ind w:firstLine="560"/>
        <w:jc w:val="center"/>
        <w:rPr>
          <w:rFonts w:asciiTheme="minorEastAsia" w:hAnsiTheme="minorEastAsia" w:eastAsiaTheme="minorEastAsia"/>
        </w:rPr>
      </w:pPr>
      <w:r>
        <w:rPr>
          <w:rFonts w:hint="eastAsia" w:asciiTheme="minorEastAsia" w:hAnsiTheme="minorEastAsia" w:eastAsiaTheme="minorEastAsia"/>
        </w:rPr>
        <w:t>附录A表2 四氢噻吩安全技术说明书</w:t>
      </w:r>
    </w:p>
    <w:tbl>
      <w:tblPr>
        <w:tblStyle w:val="42"/>
        <w:tblW w:w="85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8"/>
        <w:gridCol w:w="3717"/>
        <w:gridCol w:w="62"/>
        <w:gridCol w:w="2131"/>
        <w:gridCol w:w="21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1" w:hRule="atLeast"/>
          <w:jc w:val="center"/>
        </w:trPr>
        <w:tc>
          <w:tcPr>
            <w:tcW w:w="468" w:type="dxa"/>
            <w:vMerge w:val="restart"/>
            <w:vAlign w:val="center"/>
          </w:tcPr>
          <w:p>
            <w:pPr>
              <w:pStyle w:val="102"/>
              <w:snapToGrid w:val="0"/>
              <w:rPr>
                <w:rFonts w:asciiTheme="minorEastAsia" w:hAnsiTheme="minorEastAsia" w:eastAsiaTheme="minorEastAsia"/>
                <w:sz w:val="24"/>
                <w:szCs w:val="24"/>
              </w:rPr>
            </w:pPr>
            <w:r>
              <w:rPr>
                <w:rFonts w:asciiTheme="minorEastAsia" w:hAnsiTheme="minorEastAsia" w:eastAsiaTheme="minorEastAsia"/>
                <w:sz w:val="24"/>
                <w:szCs w:val="24"/>
              </w:rPr>
              <w:t>标识</w:t>
            </w:r>
          </w:p>
        </w:tc>
        <w:tc>
          <w:tcPr>
            <w:tcW w:w="3717" w:type="dxa"/>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中文名：四氢噻吩</w:t>
            </w:r>
          </w:p>
        </w:tc>
        <w:tc>
          <w:tcPr>
            <w:tcW w:w="4330" w:type="dxa"/>
            <w:gridSpan w:val="3"/>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英文名</w:t>
            </w:r>
            <w:r>
              <w:rPr>
                <w:rFonts w:asciiTheme="minorEastAsia" w:hAnsiTheme="minorEastAsia" w:eastAsiaTheme="minorEastAsia"/>
                <w:sz w:val="24"/>
                <w:szCs w:val="24"/>
                <w:lang w:val="en-GB"/>
              </w:rPr>
              <w:t>：</w:t>
            </w:r>
            <w:r>
              <w:rPr>
                <w:rFonts w:asciiTheme="minorEastAsia" w:hAnsiTheme="minorEastAsia" w:eastAsiaTheme="minorEastAsia"/>
                <w:sz w:val="24"/>
                <w:szCs w:val="24"/>
              </w:rPr>
              <w:t>tettahydrothiophene</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Merge w:val="continue"/>
            <w:vAlign w:val="center"/>
          </w:tcPr>
          <w:p>
            <w:pPr>
              <w:jc w:val="center"/>
              <w:rPr>
                <w:rFonts w:asciiTheme="minorEastAsia" w:hAnsiTheme="minorEastAsia" w:eastAsiaTheme="minorEastAsia"/>
                <w:sz w:val="24"/>
                <w:szCs w:val="24"/>
              </w:rPr>
            </w:pPr>
          </w:p>
        </w:tc>
        <w:tc>
          <w:tcPr>
            <w:tcW w:w="3717" w:type="dxa"/>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分子式</w:t>
            </w:r>
            <w:r>
              <w:rPr>
                <w:rFonts w:asciiTheme="minorEastAsia" w:hAnsiTheme="minorEastAsia" w:eastAsiaTheme="minorEastAsia"/>
                <w:sz w:val="24"/>
                <w:szCs w:val="24"/>
                <w:lang w:val="en-GB"/>
              </w:rPr>
              <w:t>：</w:t>
            </w:r>
            <w:r>
              <w:rPr>
                <w:rFonts w:asciiTheme="minorEastAsia" w:hAnsiTheme="minorEastAsia" w:eastAsiaTheme="minorEastAsia"/>
                <w:sz w:val="24"/>
                <w:szCs w:val="24"/>
              </w:rPr>
              <w:t>C</w:t>
            </w:r>
            <w:r>
              <w:rPr>
                <w:rFonts w:asciiTheme="minorEastAsia" w:hAnsiTheme="minorEastAsia" w:eastAsiaTheme="minorEastAsia"/>
                <w:sz w:val="24"/>
                <w:szCs w:val="24"/>
                <w:vertAlign w:val="subscript"/>
              </w:rPr>
              <w:t>4</w:t>
            </w:r>
            <w:r>
              <w:rPr>
                <w:rFonts w:asciiTheme="minorEastAsia" w:hAnsiTheme="minorEastAsia" w:eastAsiaTheme="minorEastAsia"/>
                <w:sz w:val="24"/>
                <w:szCs w:val="24"/>
              </w:rPr>
              <w:t>H</w:t>
            </w:r>
            <w:r>
              <w:rPr>
                <w:rFonts w:asciiTheme="minorEastAsia" w:hAnsiTheme="minorEastAsia" w:eastAsiaTheme="minorEastAsia"/>
                <w:sz w:val="24"/>
                <w:szCs w:val="24"/>
                <w:vertAlign w:val="subscript"/>
              </w:rPr>
              <w:t>8</w:t>
            </w:r>
            <w:r>
              <w:rPr>
                <w:rFonts w:asciiTheme="minorEastAsia" w:hAnsiTheme="minorEastAsia" w:eastAsiaTheme="minorEastAsia"/>
                <w:sz w:val="24"/>
                <w:szCs w:val="24"/>
              </w:rPr>
              <w:t>S</w:t>
            </w:r>
          </w:p>
        </w:tc>
        <w:tc>
          <w:tcPr>
            <w:tcW w:w="2193"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分子量：88.17</w:t>
            </w:r>
          </w:p>
        </w:tc>
        <w:tc>
          <w:tcPr>
            <w:tcW w:w="2137" w:type="dxa"/>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UN编号：2412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Merge w:val="continue"/>
            <w:vAlign w:val="center"/>
          </w:tcPr>
          <w:p>
            <w:pPr>
              <w:jc w:val="center"/>
              <w:rPr>
                <w:rFonts w:asciiTheme="minorEastAsia" w:hAnsiTheme="minorEastAsia" w:eastAsiaTheme="minorEastAsia"/>
                <w:sz w:val="24"/>
                <w:szCs w:val="24"/>
              </w:rPr>
            </w:pPr>
          </w:p>
        </w:tc>
        <w:tc>
          <w:tcPr>
            <w:tcW w:w="3717" w:type="dxa"/>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危规号：32111</w:t>
            </w:r>
          </w:p>
        </w:tc>
        <w:tc>
          <w:tcPr>
            <w:tcW w:w="2193"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RTECS号：</w:t>
            </w:r>
          </w:p>
        </w:tc>
        <w:tc>
          <w:tcPr>
            <w:tcW w:w="2137" w:type="dxa"/>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CAS号：110-01-0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1" w:hRule="atLeast"/>
          <w:jc w:val="center"/>
        </w:trPr>
        <w:tc>
          <w:tcPr>
            <w:tcW w:w="468" w:type="dxa"/>
            <w:vMerge w:val="restart"/>
            <w:vAlign w:val="center"/>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理化性质</w:t>
            </w:r>
          </w:p>
        </w:tc>
        <w:tc>
          <w:tcPr>
            <w:tcW w:w="8047" w:type="dxa"/>
            <w:gridSpan w:val="4"/>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性状：无色液体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Merge w:val="continue"/>
            <w:vAlign w:val="center"/>
          </w:tcPr>
          <w:p>
            <w:pPr>
              <w:jc w:val="center"/>
              <w:rPr>
                <w:rFonts w:asciiTheme="minorEastAsia" w:hAnsiTheme="minorEastAsia" w:eastAsiaTheme="minorEastAsia"/>
                <w:sz w:val="24"/>
                <w:szCs w:val="24"/>
              </w:rPr>
            </w:pPr>
          </w:p>
        </w:tc>
        <w:tc>
          <w:tcPr>
            <w:tcW w:w="3779"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熔点（℃）：－96.2</w:t>
            </w:r>
          </w:p>
        </w:tc>
        <w:tc>
          <w:tcPr>
            <w:tcW w:w="4268"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溶解性：不溶于水，可混溶于乙醇、乙醚、苯、丙酮。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Merge w:val="continue"/>
            <w:vAlign w:val="center"/>
          </w:tcPr>
          <w:p>
            <w:pPr>
              <w:jc w:val="center"/>
              <w:rPr>
                <w:rFonts w:asciiTheme="minorEastAsia" w:hAnsiTheme="minorEastAsia" w:eastAsiaTheme="minorEastAsia"/>
                <w:sz w:val="24"/>
                <w:szCs w:val="24"/>
              </w:rPr>
            </w:pPr>
          </w:p>
        </w:tc>
        <w:tc>
          <w:tcPr>
            <w:tcW w:w="3779"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沸点（℃）：119</w:t>
            </w:r>
          </w:p>
        </w:tc>
        <w:tc>
          <w:tcPr>
            <w:tcW w:w="4268"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相对密度（水=1）：1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Merge w:val="continue"/>
            <w:vAlign w:val="center"/>
          </w:tcPr>
          <w:p>
            <w:pPr>
              <w:jc w:val="center"/>
              <w:rPr>
                <w:rFonts w:asciiTheme="minorEastAsia" w:hAnsiTheme="minorEastAsia" w:eastAsiaTheme="minorEastAsia"/>
                <w:sz w:val="24"/>
                <w:szCs w:val="24"/>
              </w:rPr>
            </w:pPr>
          </w:p>
        </w:tc>
        <w:tc>
          <w:tcPr>
            <w:tcW w:w="3779"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饱和蒸气压（KPa）:无资料</w:t>
            </w:r>
          </w:p>
        </w:tc>
        <w:tc>
          <w:tcPr>
            <w:tcW w:w="4268"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相对密度（空气=1）：无资料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Merge w:val="continue"/>
            <w:vAlign w:val="center"/>
          </w:tcPr>
          <w:p>
            <w:pPr>
              <w:jc w:val="center"/>
              <w:rPr>
                <w:rFonts w:asciiTheme="minorEastAsia" w:hAnsiTheme="minorEastAsia" w:eastAsiaTheme="minorEastAsia"/>
                <w:sz w:val="24"/>
                <w:szCs w:val="24"/>
              </w:rPr>
            </w:pPr>
          </w:p>
        </w:tc>
        <w:tc>
          <w:tcPr>
            <w:tcW w:w="3779"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 xml:space="preserve">临界温度（℃）： </w:t>
            </w:r>
          </w:p>
        </w:tc>
        <w:tc>
          <w:tcPr>
            <w:tcW w:w="4268"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燃烧热（kJ/mol）：无资料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Merge w:val="continue"/>
            <w:vAlign w:val="center"/>
          </w:tcPr>
          <w:p>
            <w:pPr>
              <w:jc w:val="center"/>
              <w:rPr>
                <w:rFonts w:asciiTheme="minorEastAsia" w:hAnsiTheme="minorEastAsia" w:eastAsiaTheme="minorEastAsia"/>
                <w:sz w:val="24"/>
                <w:szCs w:val="24"/>
              </w:rPr>
            </w:pPr>
          </w:p>
        </w:tc>
        <w:tc>
          <w:tcPr>
            <w:tcW w:w="3779"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 xml:space="preserve">临界压力（MPa）： </w:t>
            </w:r>
          </w:p>
        </w:tc>
        <w:tc>
          <w:tcPr>
            <w:tcW w:w="4268"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最小引燃能量（mJ）：无资料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Align w:val="center"/>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用途</w:t>
            </w:r>
          </w:p>
        </w:tc>
        <w:tc>
          <w:tcPr>
            <w:tcW w:w="8047" w:type="dxa"/>
            <w:gridSpan w:val="4"/>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本工程做加臭剂使用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1" w:hRule="atLeast"/>
          <w:jc w:val="center"/>
        </w:trPr>
        <w:tc>
          <w:tcPr>
            <w:tcW w:w="468" w:type="dxa"/>
            <w:vMerge w:val="restart"/>
            <w:vAlign w:val="center"/>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燃烧爆炸危险性</w:t>
            </w:r>
          </w:p>
        </w:tc>
        <w:tc>
          <w:tcPr>
            <w:tcW w:w="3779"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 xml:space="preserve">燃烧性：易燃 </w:t>
            </w:r>
          </w:p>
        </w:tc>
        <w:tc>
          <w:tcPr>
            <w:tcW w:w="4268"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燃烧分解产物：一氧化碳、二氧化碳、硫化氢、氧化硫。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Merge w:val="continue"/>
            <w:vAlign w:val="center"/>
          </w:tcPr>
          <w:p>
            <w:pPr>
              <w:jc w:val="center"/>
              <w:rPr>
                <w:rFonts w:asciiTheme="minorEastAsia" w:hAnsiTheme="minorEastAsia" w:eastAsiaTheme="minorEastAsia"/>
                <w:sz w:val="24"/>
                <w:szCs w:val="24"/>
              </w:rPr>
            </w:pPr>
          </w:p>
        </w:tc>
        <w:tc>
          <w:tcPr>
            <w:tcW w:w="3779"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闪点（℃）：12.8</w:t>
            </w:r>
          </w:p>
        </w:tc>
        <w:tc>
          <w:tcPr>
            <w:tcW w:w="4268"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聚合危害：不聚合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Merge w:val="continue"/>
            <w:vAlign w:val="center"/>
          </w:tcPr>
          <w:p>
            <w:pPr>
              <w:jc w:val="center"/>
              <w:rPr>
                <w:rFonts w:asciiTheme="minorEastAsia" w:hAnsiTheme="minorEastAsia" w:eastAsiaTheme="minorEastAsia"/>
                <w:sz w:val="24"/>
                <w:szCs w:val="24"/>
              </w:rPr>
            </w:pPr>
          </w:p>
        </w:tc>
        <w:tc>
          <w:tcPr>
            <w:tcW w:w="3779"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爆炸极限(V％)：无资料</w:t>
            </w:r>
          </w:p>
        </w:tc>
        <w:tc>
          <w:tcPr>
            <w:tcW w:w="4268"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稳定性：稳定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Merge w:val="continue"/>
            <w:vAlign w:val="center"/>
          </w:tcPr>
          <w:p>
            <w:pPr>
              <w:jc w:val="center"/>
              <w:rPr>
                <w:rFonts w:asciiTheme="minorEastAsia" w:hAnsiTheme="minorEastAsia" w:eastAsiaTheme="minorEastAsia"/>
                <w:sz w:val="24"/>
                <w:szCs w:val="24"/>
              </w:rPr>
            </w:pPr>
          </w:p>
        </w:tc>
        <w:tc>
          <w:tcPr>
            <w:tcW w:w="3779"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自燃温度（℃）：无资料</w:t>
            </w:r>
          </w:p>
        </w:tc>
        <w:tc>
          <w:tcPr>
            <w:tcW w:w="4268" w:type="dxa"/>
            <w:gridSpan w:val="2"/>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 xml:space="preserve">禁忌物：强氧化剂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Merge w:val="continue"/>
            <w:vAlign w:val="center"/>
          </w:tcPr>
          <w:p>
            <w:pPr>
              <w:jc w:val="center"/>
              <w:rPr>
                <w:rFonts w:asciiTheme="minorEastAsia" w:hAnsiTheme="minorEastAsia" w:eastAsiaTheme="minorEastAsia"/>
                <w:sz w:val="24"/>
                <w:szCs w:val="24"/>
              </w:rPr>
            </w:pPr>
          </w:p>
        </w:tc>
        <w:tc>
          <w:tcPr>
            <w:tcW w:w="8047" w:type="dxa"/>
            <w:gridSpan w:val="4"/>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 xml:space="preserve">危险特性：遇高热、明火及强氧化剂易引起燃烧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Merge w:val="continue"/>
            <w:vAlign w:val="center"/>
          </w:tcPr>
          <w:p>
            <w:pPr>
              <w:jc w:val="center"/>
              <w:rPr>
                <w:rFonts w:asciiTheme="minorEastAsia" w:hAnsiTheme="minorEastAsia" w:eastAsiaTheme="minorEastAsia"/>
                <w:sz w:val="24"/>
                <w:szCs w:val="24"/>
              </w:rPr>
            </w:pPr>
          </w:p>
        </w:tc>
        <w:tc>
          <w:tcPr>
            <w:tcW w:w="8047" w:type="dxa"/>
            <w:gridSpan w:val="4"/>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灭火方法：喷水冷却容器，可能的话将容从火场移至空旷处。泡沫、二氧化碳、干粉、砂土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5" w:hRule="atLeast"/>
          <w:jc w:val="center"/>
        </w:trPr>
        <w:tc>
          <w:tcPr>
            <w:tcW w:w="468" w:type="dxa"/>
            <w:vMerge w:val="restart"/>
            <w:vAlign w:val="center"/>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毒性</w:t>
            </w:r>
          </w:p>
        </w:tc>
        <w:tc>
          <w:tcPr>
            <w:tcW w:w="8047" w:type="dxa"/>
            <w:gridSpan w:val="4"/>
            <w:vAlign w:val="center"/>
          </w:tcPr>
          <w:p>
            <w:pPr>
              <w:pStyle w:val="34"/>
              <w:ind w:firstLine="0" w:firstLineChars="0"/>
              <w:rPr>
                <w:rFonts w:asciiTheme="minorEastAsia" w:hAnsiTheme="minorEastAsia" w:eastAsiaTheme="minorEastAsia"/>
                <w:color w:val="auto"/>
                <w:spacing w:val="10"/>
                <w:sz w:val="24"/>
                <w:szCs w:val="24"/>
              </w:rPr>
            </w:pPr>
            <w:r>
              <w:rPr>
                <w:rFonts w:asciiTheme="minorEastAsia" w:hAnsiTheme="minorEastAsia" w:eastAsiaTheme="minorEastAsia"/>
                <w:color w:val="auto"/>
                <w:spacing w:val="10"/>
                <w:sz w:val="24"/>
                <w:szCs w:val="24"/>
              </w:rPr>
              <w:t>接触限值：中国：未制定</w:t>
            </w:r>
          </w:p>
          <w:p>
            <w:pPr>
              <w:pStyle w:val="34"/>
              <w:ind w:firstLine="0" w:firstLineChars="0"/>
              <w:rPr>
                <w:rFonts w:asciiTheme="minorEastAsia" w:hAnsiTheme="minorEastAsia" w:eastAsiaTheme="minorEastAsia"/>
                <w:color w:val="auto"/>
                <w:sz w:val="24"/>
                <w:szCs w:val="24"/>
              </w:rPr>
            </w:pPr>
            <w:r>
              <w:rPr>
                <w:rFonts w:asciiTheme="minorEastAsia" w:hAnsiTheme="minorEastAsia" w:eastAsiaTheme="minorEastAsia"/>
                <w:color w:val="auto"/>
                <w:spacing w:val="10"/>
                <w:sz w:val="24"/>
                <w:szCs w:val="24"/>
              </w:rPr>
              <w:t>美国未制定TVL－TWA：未制定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1" w:hRule="atLeast"/>
          <w:jc w:val="center"/>
        </w:trPr>
        <w:tc>
          <w:tcPr>
            <w:tcW w:w="468" w:type="dxa"/>
            <w:vMerge w:val="continue"/>
            <w:vAlign w:val="center"/>
          </w:tcPr>
          <w:p>
            <w:pPr>
              <w:jc w:val="center"/>
              <w:rPr>
                <w:rFonts w:asciiTheme="minorEastAsia" w:hAnsiTheme="minorEastAsia" w:eastAsiaTheme="minorEastAsia"/>
                <w:sz w:val="24"/>
                <w:szCs w:val="24"/>
              </w:rPr>
            </w:pPr>
          </w:p>
        </w:tc>
        <w:tc>
          <w:tcPr>
            <w:tcW w:w="8047" w:type="dxa"/>
            <w:gridSpan w:val="4"/>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毒性：急性毒性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13" w:hRule="atLeast"/>
          <w:jc w:val="center"/>
        </w:trPr>
        <w:tc>
          <w:tcPr>
            <w:tcW w:w="468" w:type="dxa"/>
            <w:vAlign w:val="center"/>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对人体危害</w:t>
            </w:r>
          </w:p>
        </w:tc>
        <w:tc>
          <w:tcPr>
            <w:tcW w:w="8047" w:type="dxa"/>
            <w:gridSpan w:val="4"/>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 xml:space="preserve">本品具有麻醉作用。小鼠吸入中毒时，出现运动性兴奋、共济失调、麻醉，最后死亡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7" w:hRule="atLeast"/>
          <w:jc w:val="center"/>
        </w:trPr>
        <w:tc>
          <w:tcPr>
            <w:tcW w:w="468" w:type="dxa"/>
            <w:vAlign w:val="center"/>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急救</w:t>
            </w:r>
          </w:p>
        </w:tc>
        <w:tc>
          <w:tcPr>
            <w:tcW w:w="8047" w:type="dxa"/>
            <w:gridSpan w:val="4"/>
            <w:vAlign w:val="center"/>
          </w:tcPr>
          <w:p>
            <w:pPr>
              <w:pStyle w:val="34"/>
              <w:ind w:firstLine="0" w:firstLineChars="0"/>
              <w:rPr>
                <w:rFonts w:asciiTheme="minorEastAsia" w:hAnsiTheme="minorEastAsia" w:eastAsiaTheme="minorEastAsia"/>
                <w:color w:val="auto"/>
                <w:spacing w:val="10"/>
                <w:sz w:val="24"/>
                <w:szCs w:val="24"/>
              </w:rPr>
            </w:pPr>
            <w:r>
              <w:rPr>
                <w:rFonts w:asciiTheme="minorEastAsia" w:hAnsiTheme="minorEastAsia" w:eastAsiaTheme="minorEastAsia"/>
                <w:color w:val="auto"/>
                <w:spacing w:val="10"/>
                <w:sz w:val="24"/>
                <w:szCs w:val="24"/>
              </w:rPr>
              <w:t>吸入：迅速脱离现场至空气新鲜处。保持呼吸道通畅。如呼吸困难，给输氧。如呼吸停止，立即进行人工呼吸。就医。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40" w:hRule="atLeast"/>
          <w:jc w:val="center"/>
        </w:trPr>
        <w:tc>
          <w:tcPr>
            <w:tcW w:w="468" w:type="dxa"/>
            <w:vAlign w:val="center"/>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防</w:t>
            </w:r>
          </w:p>
          <w:p>
            <w:pPr>
              <w:jc w:val="center"/>
              <w:rPr>
                <w:rFonts w:asciiTheme="minorEastAsia" w:hAnsiTheme="minorEastAsia" w:eastAsiaTheme="minorEastAsia"/>
                <w:sz w:val="24"/>
                <w:szCs w:val="24"/>
              </w:rPr>
            </w:pPr>
          </w:p>
          <w:p>
            <w:pPr>
              <w:jc w:val="center"/>
              <w:rPr>
                <w:rFonts w:asciiTheme="minorEastAsia" w:hAnsiTheme="minorEastAsia" w:eastAsiaTheme="minorEastAsia"/>
                <w:sz w:val="24"/>
                <w:szCs w:val="24"/>
              </w:rPr>
            </w:pPr>
            <w:r>
              <w:rPr>
                <w:rFonts w:asciiTheme="minorEastAsia" w:hAnsiTheme="minorEastAsia" w:eastAsiaTheme="minorEastAsia"/>
                <w:sz w:val="24"/>
                <w:szCs w:val="24"/>
              </w:rPr>
              <w:t>护</w:t>
            </w:r>
          </w:p>
        </w:tc>
        <w:tc>
          <w:tcPr>
            <w:tcW w:w="8047" w:type="dxa"/>
            <w:gridSpan w:val="4"/>
            <w:vAlign w:val="center"/>
          </w:tcPr>
          <w:p>
            <w:pPr>
              <w:pStyle w:val="34"/>
              <w:ind w:firstLine="0" w:firstLineChars="0"/>
              <w:rPr>
                <w:rFonts w:asciiTheme="minorEastAsia" w:hAnsiTheme="minorEastAsia" w:eastAsiaTheme="minorEastAsia"/>
                <w:color w:val="auto"/>
                <w:spacing w:val="10"/>
                <w:sz w:val="24"/>
                <w:szCs w:val="24"/>
              </w:rPr>
            </w:pPr>
            <w:r>
              <w:rPr>
                <w:rFonts w:asciiTheme="minorEastAsia" w:hAnsiTheme="minorEastAsia" w:eastAsiaTheme="minorEastAsia"/>
                <w:color w:val="auto"/>
                <w:spacing w:val="10"/>
                <w:sz w:val="24"/>
                <w:szCs w:val="24"/>
              </w:rPr>
              <w:t>工程控制：密闭操作，局部排风。提供安淋浴和洗眼设备。</w:t>
            </w:r>
          </w:p>
          <w:p>
            <w:pPr>
              <w:pStyle w:val="34"/>
              <w:ind w:firstLine="0" w:firstLineChars="0"/>
              <w:rPr>
                <w:rFonts w:asciiTheme="minorEastAsia" w:hAnsiTheme="minorEastAsia" w:eastAsiaTheme="minorEastAsia"/>
                <w:color w:val="auto"/>
                <w:spacing w:val="10"/>
                <w:sz w:val="24"/>
                <w:szCs w:val="24"/>
              </w:rPr>
            </w:pPr>
            <w:r>
              <w:rPr>
                <w:rFonts w:asciiTheme="minorEastAsia" w:hAnsiTheme="minorEastAsia" w:eastAsiaTheme="minorEastAsia"/>
                <w:color w:val="auto"/>
                <w:spacing w:val="10"/>
                <w:sz w:val="24"/>
                <w:szCs w:val="24"/>
              </w:rPr>
              <w:t>个体防护：空气中浓度较高时，建议佩戴自吸过滤式防毒面具(半面罩)。戴安全防护眼镜。穿防毒物渗透工作服。戴乳胶手套。工作现场严禁吸烟。工作毕，淋浴更衣。注意人清洁卫生。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502" w:hRule="atLeast"/>
          <w:jc w:val="center"/>
        </w:trPr>
        <w:tc>
          <w:tcPr>
            <w:tcW w:w="468" w:type="dxa"/>
            <w:vAlign w:val="center"/>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泄漏处理</w:t>
            </w:r>
          </w:p>
        </w:tc>
        <w:tc>
          <w:tcPr>
            <w:tcW w:w="8047" w:type="dxa"/>
            <w:gridSpan w:val="4"/>
            <w:vAlign w:val="center"/>
          </w:tcPr>
          <w:p>
            <w:pPr>
              <w:pStyle w:val="34"/>
              <w:ind w:firstLine="0" w:firstLineChars="0"/>
              <w:rPr>
                <w:rFonts w:asciiTheme="minorEastAsia" w:hAnsiTheme="minorEastAsia" w:eastAsiaTheme="minorEastAsia"/>
                <w:color w:val="auto"/>
                <w:sz w:val="24"/>
                <w:szCs w:val="24"/>
              </w:rPr>
            </w:pPr>
            <w:r>
              <w:rPr>
                <w:rFonts w:asciiTheme="minorEastAsia" w:hAnsiTheme="minorEastAsia" w:eastAsiaTheme="minorEastAsia"/>
                <w:color w:val="auto"/>
                <w:spacing w:val="10"/>
                <w:sz w:val="24"/>
                <w:szCs w:val="24"/>
              </w:rPr>
              <w:t xml:space="preserve">迅速撤离泄漏污染区人员至安全区，并进行隔离，严格限制出入。切断火源。建议应急处理|人员戴自给正压式呼吸器，穿消防防护服。尽可能切断源。防止进入下水道、排洪沟等限制性空间。小量泄漏：用活性炭或其它惰性材料吸收。也可以用不燃性分散剂制成的乳液刷洗，洗液稀释后放入废水系统．大量泄漏：构筑围堤或挖坑收容；用泡沫覆盖，降低蒸气灾害。用防爆泵转移至槽车或专用收集器内，回收或运至废物处理场所处置。  </w:t>
            </w:r>
            <w:r>
              <w:rPr>
                <w:rFonts w:asciiTheme="minorEastAsia" w:hAnsiTheme="minorEastAsia" w:eastAsiaTheme="minorEastAsia"/>
                <w:color w:val="auto"/>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11" w:hRule="atLeast"/>
          <w:jc w:val="center"/>
        </w:trPr>
        <w:tc>
          <w:tcPr>
            <w:tcW w:w="468" w:type="dxa"/>
            <w:vAlign w:val="center"/>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贮</w:t>
            </w:r>
          </w:p>
          <w:p>
            <w:pPr>
              <w:jc w:val="center"/>
              <w:rPr>
                <w:rFonts w:asciiTheme="minorEastAsia" w:hAnsiTheme="minorEastAsia" w:eastAsiaTheme="minorEastAsia"/>
                <w:sz w:val="24"/>
                <w:szCs w:val="24"/>
              </w:rPr>
            </w:pPr>
          </w:p>
          <w:p>
            <w:pPr>
              <w:jc w:val="center"/>
              <w:rPr>
                <w:rFonts w:asciiTheme="minorEastAsia" w:hAnsiTheme="minorEastAsia" w:eastAsiaTheme="minorEastAsia"/>
                <w:sz w:val="24"/>
                <w:szCs w:val="24"/>
              </w:rPr>
            </w:pPr>
            <w:r>
              <w:rPr>
                <w:rFonts w:asciiTheme="minorEastAsia" w:hAnsiTheme="minorEastAsia" w:eastAsiaTheme="minorEastAsia"/>
                <w:sz w:val="24"/>
                <w:szCs w:val="24"/>
              </w:rPr>
              <w:t>运</w:t>
            </w:r>
          </w:p>
        </w:tc>
        <w:tc>
          <w:tcPr>
            <w:tcW w:w="8047" w:type="dxa"/>
            <w:gridSpan w:val="4"/>
            <w:vAlign w:val="center"/>
          </w:tcPr>
          <w:p>
            <w:pPr>
              <w:rPr>
                <w:rFonts w:asciiTheme="minorEastAsia" w:hAnsiTheme="minorEastAsia" w:eastAsiaTheme="minorEastAsia"/>
                <w:sz w:val="24"/>
                <w:szCs w:val="24"/>
              </w:rPr>
            </w:pPr>
            <w:r>
              <w:rPr>
                <w:rFonts w:asciiTheme="minorEastAsia" w:hAnsiTheme="minorEastAsia" w:eastAsiaTheme="minorEastAsia"/>
                <w:sz w:val="24"/>
                <w:szCs w:val="24"/>
              </w:rPr>
              <w:t>储存于阴凉、通风仓内温度内。远离火种、热源。仓内温度不宜超过30℃。防止阳光直射。包装要求密封，不可与空气接触。应与氧化剂分开存放。储存间内的照明、通风等设施应采用防爆型，开关设在仓外。配备相应品种和数量的消防器材。罐储时要有防火防爆技术措施。禁止使用易产生火花的机械设备和工具。灌装时应注意流速(不超过3m/s)，且有接地装置，防止静电积聚。搬运时要轻装轻卸，防止包装及容器损坏。</w:t>
            </w:r>
          </w:p>
        </w:tc>
      </w:tr>
    </w:tbl>
    <w:p>
      <w:pPr>
        <w:spacing w:line="360" w:lineRule="auto"/>
        <w:ind w:firstLine="560" w:firstLineChars="200"/>
        <w:rPr>
          <w:rFonts w:asciiTheme="minorEastAsia" w:hAnsiTheme="minorEastAsia" w:eastAsiaTheme="minorEastAsia"/>
        </w:rPr>
      </w:pPr>
    </w:p>
    <w:p>
      <w:pPr>
        <w:spacing w:line="360" w:lineRule="auto"/>
        <w:ind w:firstLine="560" w:firstLineChars="20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.3</w:t>
      </w:r>
      <w:r>
        <w:rPr>
          <w:rFonts w:hint="eastAsia" w:asciiTheme="minorEastAsia" w:hAnsiTheme="minorEastAsia" w:eastAsiaTheme="minorEastAsia"/>
        </w:rPr>
        <w:t>氩气</w:t>
      </w:r>
    </w:p>
    <w:p>
      <w:pPr>
        <w:spacing w:line="360" w:lineRule="auto"/>
        <w:ind w:firstLine="560" w:firstLineChars="200"/>
        <w:rPr>
          <w:rFonts w:asciiTheme="minorEastAsia" w:hAnsiTheme="minorEastAsia" w:eastAsiaTheme="minorEastAsia"/>
        </w:rPr>
      </w:pPr>
      <w:r>
        <w:rPr>
          <w:rFonts w:hint="eastAsia" w:asciiTheme="minorEastAsia" w:hAnsiTheme="minorEastAsia" w:eastAsiaTheme="minorEastAsia"/>
        </w:rPr>
        <w:t>企业在焊接过程中有时需要使用氩气作为保护气体，氩气安全技术说明书如下：</w:t>
      </w:r>
    </w:p>
    <w:p>
      <w:pPr>
        <w:spacing w:line="680" w:lineRule="exact"/>
        <w:ind w:firstLine="562"/>
        <w:jc w:val="center"/>
        <w:rPr>
          <w:rFonts w:ascii="宋体" w:hAnsi="宋体"/>
          <w:b/>
          <w:szCs w:val="24"/>
        </w:rPr>
      </w:pPr>
      <w:r>
        <w:rPr>
          <w:rFonts w:hint="eastAsia" w:ascii="宋体" w:hAnsi="宋体"/>
          <w:b/>
          <w:szCs w:val="24"/>
        </w:rPr>
        <w:t>附录A表3</w:t>
      </w:r>
      <w:r>
        <w:rPr>
          <w:rFonts w:asciiTheme="minorEastAsia" w:hAnsiTheme="minorEastAsia" w:eastAsiaTheme="minorEastAsia"/>
        </w:rPr>
        <w:t xml:space="preserve"> </w:t>
      </w:r>
      <w:r>
        <w:rPr>
          <w:rFonts w:hint="eastAsia" w:ascii="宋体" w:hAnsi="宋体"/>
          <w:b/>
          <w:szCs w:val="24"/>
        </w:rPr>
        <w:t>氩气理化性质及危险特性表</w:t>
      </w:r>
    </w:p>
    <w:tbl>
      <w:tblPr>
        <w:tblStyle w:val="42"/>
        <w:tblW w:w="0" w:type="auto"/>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2534"/>
        <w:gridCol w:w="616"/>
        <w:gridCol w:w="533"/>
        <w:gridCol w:w="1231"/>
        <w:gridCol w:w="1063"/>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34" w:type="dxa"/>
            <w:vMerge w:val="restart"/>
            <w:vAlign w:val="center"/>
          </w:tcPr>
          <w:p>
            <w:pPr>
              <w:spacing w:line="480" w:lineRule="exact"/>
              <w:jc w:val="center"/>
              <w:rPr>
                <w:rFonts w:ascii="宋体" w:hAnsi="宋体"/>
                <w:sz w:val="24"/>
                <w:szCs w:val="24"/>
              </w:rPr>
            </w:pPr>
            <w:r>
              <w:rPr>
                <w:rFonts w:hint="eastAsia" w:ascii="宋体" w:hAnsi="宋体"/>
                <w:sz w:val="24"/>
                <w:szCs w:val="24"/>
              </w:rPr>
              <w:t>标识</w:t>
            </w:r>
          </w:p>
        </w:tc>
        <w:tc>
          <w:tcPr>
            <w:tcW w:w="3683" w:type="dxa"/>
            <w:gridSpan w:val="3"/>
          </w:tcPr>
          <w:p>
            <w:pPr>
              <w:spacing w:line="360" w:lineRule="exact"/>
              <w:rPr>
                <w:rFonts w:ascii="宋体" w:hAnsi="宋体"/>
                <w:sz w:val="24"/>
                <w:szCs w:val="24"/>
              </w:rPr>
            </w:pPr>
            <w:r>
              <w:rPr>
                <w:rFonts w:hint="eastAsia" w:ascii="宋体" w:hAnsi="宋体"/>
                <w:sz w:val="24"/>
                <w:szCs w:val="24"/>
              </w:rPr>
              <w:t>中文名：</w:t>
            </w:r>
            <w:r>
              <w:rPr>
                <w:rFonts w:ascii="宋体" w:hAnsi="宋体"/>
                <w:sz w:val="24"/>
                <w:szCs w:val="24"/>
              </w:rPr>
              <w:t xml:space="preserve"> </w:t>
            </w:r>
            <w:r>
              <w:rPr>
                <w:rFonts w:hint="eastAsia" w:ascii="宋体" w:hAnsi="宋体"/>
                <w:sz w:val="24"/>
                <w:szCs w:val="24"/>
              </w:rPr>
              <w:t>氩</w:t>
            </w:r>
          </w:p>
        </w:tc>
        <w:tc>
          <w:tcPr>
            <w:tcW w:w="4968" w:type="dxa"/>
            <w:gridSpan w:val="3"/>
          </w:tcPr>
          <w:p>
            <w:pPr>
              <w:spacing w:line="360" w:lineRule="exact"/>
              <w:rPr>
                <w:rFonts w:ascii="宋体" w:hAnsi="宋体"/>
                <w:sz w:val="24"/>
                <w:szCs w:val="24"/>
              </w:rPr>
            </w:pPr>
            <w:r>
              <w:rPr>
                <w:rFonts w:hint="eastAsia" w:ascii="宋体" w:hAnsi="宋体"/>
                <w:sz w:val="24"/>
                <w:szCs w:val="24"/>
              </w:rPr>
              <w:t>英文名：</w:t>
            </w:r>
            <w:r>
              <w:rPr>
                <w:rFonts w:ascii="宋体" w:hAnsi="宋体"/>
                <w:sz w:val="24"/>
                <w:szCs w:val="24"/>
              </w:rPr>
              <w:t>argon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 w:hRule="atLeast"/>
        </w:trPr>
        <w:tc>
          <w:tcPr>
            <w:tcW w:w="434" w:type="dxa"/>
            <w:vMerge w:val="continue"/>
            <w:vAlign w:val="center"/>
          </w:tcPr>
          <w:p>
            <w:pPr>
              <w:spacing w:line="680" w:lineRule="exact"/>
              <w:rPr>
                <w:rFonts w:ascii="宋体" w:hAnsi="宋体"/>
                <w:sz w:val="24"/>
                <w:szCs w:val="24"/>
              </w:rPr>
            </w:pPr>
          </w:p>
        </w:tc>
        <w:tc>
          <w:tcPr>
            <w:tcW w:w="3150" w:type="dxa"/>
            <w:gridSpan w:val="2"/>
          </w:tcPr>
          <w:p>
            <w:pPr>
              <w:spacing w:line="360" w:lineRule="exact"/>
              <w:rPr>
                <w:rFonts w:ascii="宋体" w:hAnsi="宋体"/>
                <w:sz w:val="24"/>
                <w:szCs w:val="24"/>
              </w:rPr>
            </w:pPr>
            <w:r>
              <w:rPr>
                <w:rFonts w:hint="eastAsia" w:ascii="宋体" w:hAnsi="宋体"/>
                <w:sz w:val="24"/>
                <w:szCs w:val="24"/>
              </w:rPr>
              <w:t>分子式：</w:t>
            </w:r>
            <w:r>
              <w:rPr>
                <w:rFonts w:ascii="宋体" w:hAnsi="宋体"/>
                <w:sz w:val="24"/>
                <w:szCs w:val="24"/>
              </w:rPr>
              <w:t>Ar</w:t>
            </w:r>
          </w:p>
        </w:tc>
        <w:tc>
          <w:tcPr>
            <w:tcW w:w="2827" w:type="dxa"/>
            <w:gridSpan w:val="3"/>
          </w:tcPr>
          <w:p>
            <w:pPr>
              <w:spacing w:line="360" w:lineRule="exact"/>
              <w:rPr>
                <w:rFonts w:ascii="宋体" w:hAnsi="宋体"/>
                <w:sz w:val="24"/>
                <w:szCs w:val="24"/>
              </w:rPr>
            </w:pPr>
            <w:r>
              <w:rPr>
                <w:rFonts w:hint="eastAsia" w:ascii="宋体" w:hAnsi="宋体"/>
                <w:sz w:val="24"/>
                <w:szCs w:val="24"/>
              </w:rPr>
              <w:t>分子量：</w:t>
            </w:r>
            <w:r>
              <w:rPr>
                <w:rFonts w:ascii="宋体" w:hAnsi="宋体"/>
                <w:sz w:val="24"/>
                <w:szCs w:val="24"/>
              </w:rPr>
              <w:t>39.95</w:t>
            </w:r>
          </w:p>
        </w:tc>
        <w:tc>
          <w:tcPr>
            <w:tcW w:w="2674" w:type="dxa"/>
          </w:tcPr>
          <w:p>
            <w:pPr>
              <w:spacing w:line="360" w:lineRule="exact"/>
              <w:rPr>
                <w:rFonts w:ascii="宋体" w:hAnsi="宋体"/>
                <w:sz w:val="24"/>
                <w:szCs w:val="24"/>
              </w:rPr>
            </w:pPr>
            <w:r>
              <w:rPr>
                <w:rFonts w:ascii="宋体" w:hAnsi="宋体"/>
                <w:sz w:val="24"/>
                <w:szCs w:val="24"/>
              </w:rPr>
              <w:t>CAS</w:t>
            </w:r>
            <w:r>
              <w:rPr>
                <w:rFonts w:hint="eastAsia" w:ascii="宋体" w:hAnsi="宋体"/>
                <w:sz w:val="24"/>
                <w:szCs w:val="24"/>
              </w:rPr>
              <w:t>号：</w:t>
            </w:r>
            <w:r>
              <w:rPr>
                <w:rFonts w:ascii="宋体" w:hAnsi="宋体"/>
                <w:sz w:val="24"/>
                <w:szCs w:val="24"/>
              </w:rPr>
              <w:t>7440</w:t>
            </w:r>
            <w:r>
              <w:rPr>
                <w:rFonts w:hint="eastAsia" w:ascii="宋体" w:hAnsi="宋体"/>
                <w:sz w:val="24"/>
                <w:szCs w:val="24"/>
              </w:rPr>
              <w:t>－</w:t>
            </w:r>
            <w:r>
              <w:rPr>
                <w:rFonts w:ascii="宋体" w:hAnsi="宋体"/>
                <w:sz w:val="24"/>
                <w:szCs w:val="24"/>
              </w:rPr>
              <w:t>37</w:t>
            </w:r>
            <w:r>
              <w:rPr>
                <w:rFonts w:hint="eastAsia" w:ascii="宋体" w:hAnsi="宋体"/>
                <w:sz w:val="24"/>
                <w:szCs w:val="24"/>
              </w:rPr>
              <w:t>－</w:t>
            </w:r>
            <w:r>
              <w:rPr>
                <w:rFonts w:ascii="宋体" w:hAnsi="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434" w:type="dxa"/>
            <w:vMerge w:val="continue"/>
            <w:vAlign w:val="center"/>
          </w:tcPr>
          <w:p>
            <w:pPr>
              <w:spacing w:line="680" w:lineRule="exact"/>
              <w:rPr>
                <w:rFonts w:ascii="宋体" w:hAnsi="宋体"/>
                <w:sz w:val="24"/>
                <w:szCs w:val="24"/>
              </w:rPr>
            </w:pPr>
          </w:p>
        </w:tc>
        <w:tc>
          <w:tcPr>
            <w:tcW w:w="8651" w:type="dxa"/>
            <w:gridSpan w:val="6"/>
          </w:tcPr>
          <w:p>
            <w:pPr>
              <w:spacing w:line="360" w:lineRule="exact"/>
              <w:rPr>
                <w:rFonts w:ascii="宋体" w:hAnsi="宋体"/>
                <w:sz w:val="24"/>
                <w:szCs w:val="24"/>
              </w:rPr>
            </w:pPr>
            <w:r>
              <w:rPr>
                <w:rFonts w:hint="eastAsia" w:ascii="宋体" w:hAnsi="宋体"/>
                <w:sz w:val="24"/>
                <w:szCs w:val="24"/>
              </w:rPr>
              <w:t>危规号：</w:t>
            </w:r>
            <w:r>
              <w:rPr>
                <w:rFonts w:ascii="宋体" w:hAnsi="宋体"/>
                <w:sz w:val="24"/>
                <w:szCs w:val="24"/>
              </w:rPr>
              <w:t>22011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434" w:type="dxa"/>
            <w:vMerge w:val="restart"/>
            <w:vAlign w:val="center"/>
          </w:tcPr>
          <w:p>
            <w:pPr>
              <w:spacing w:line="380" w:lineRule="exact"/>
              <w:jc w:val="center"/>
              <w:rPr>
                <w:rFonts w:ascii="宋体" w:hAnsi="宋体"/>
                <w:sz w:val="24"/>
                <w:szCs w:val="24"/>
              </w:rPr>
            </w:pPr>
            <w:r>
              <w:rPr>
                <w:rFonts w:hint="eastAsia" w:ascii="宋体" w:hAnsi="宋体"/>
                <w:sz w:val="24"/>
                <w:szCs w:val="24"/>
              </w:rPr>
              <w:t>理化性质</w:t>
            </w:r>
          </w:p>
        </w:tc>
        <w:tc>
          <w:tcPr>
            <w:tcW w:w="8651" w:type="dxa"/>
            <w:gridSpan w:val="6"/>
          </w:tcPr>
          <w:p>
            <w:pPr>
              <w:spacing w:line="360" w:lineRule="exact"/>
              <w:rPr>
                <w:rFonts w:ascii="宋体" w:hAnsi="宋体"/>
                <w:sz w:val="24"/>
                <w:szCs w:val="24"/>
              </w:rPr>
            </w:pPr>
            <w:r>
              <w:rPr>
                <w:rFonts w:hint="eastAsia" w:ascii="宋体" w:hAnsi="宋体"/>
                <w:sz w:val="24"/>
                <w:szCs w:val="24"/>
              </w:rPr>
              <w:t>性状：</w:t>
            </w:r>
            <w:r>
              <w:rPr>
                <w:rFonts w:ascii="宋体" w:hAnsi="宋体"/>
                <w:sz w:val="24"/>
                <w:szCs w:val="24"/>
              </w:rPr>
              <w:t xml:space="preserve"> </w:t>
            </w:r>
            <w:r>
              <w:rPr>
                <w:rFonts w:hint="eastAsia" w:ascii="宋体" w:hAnsi="宋体"/>
                <w:sz w:val="24"/>
                <w:szCs w:val="24"/>
              </w:rPr>
              <w:t>无色无臭的惰性气体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434" w:type="dxa"/>
            <w:vMerge w:val="continue"/>
            <w:vAlign w:val="center"/>
          </w:tcPr>
          <w:p>
            <w:pPr>
              <w:spacing w:line="680" w:lineRule="exact"/>
              <w:rPr>
                <w:rFonts w:ascii="宋体" w:hAnsi="宋体"/>
                <w:sz w:val="24"/>
                <w:szCs w:val="24"/>
              </w:rPr>
            </w:pPr>
          </w:p>
        </w:tc>
        <w:tc>
          <w:tcPr>
            <w:tcW w:w="8651" w:type="dxa"/>
            <w:gridSpan w:val="6"/>
          </w:tcPr>
          <w:p>
            <w:pPr>
              <w:spacing w:line="360" w:lineRule="exact"/>
              <w:rPr>
                <w:rFonts w:ascii="宋体" w:hAnsi="宋体"/>
                <w:sz w:val="24"/>
                <w:szCs w:val="24"/>
              </w:rPr>
            </w:pPr>
            <w:r>
              <w:rPr>
                <w:rFonts w:hint="eastAsia" w:ascii="宋体" w:hAnsi="宋体"/>
                <w:sz w:val="24"/>
                <w:szCs w:val="24"/>
              </w:rPr>
              <w:t>溶解性：微溶于水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434" w:type="dxa"/>
            <w:vMerge w:val="continue"/>
            <w:vAlign w:val="center"/>
          </w:tcPr>
          <w:p>
            <w:pPr>
              <w:spacing w:line="680" w:lineRule="exact"/>
              <w:rPr>
                <w:rFonts w:ascii="宋体" w:hAnsi="宋体"/>
                <w:sz w:val="24"/>
                <w:szCs w:val="24"/>
              </w:rPr>
            </w:pPr>
          </w:p>
        </w:tc>
        <w:tc>
          <w:tcPr>
            <w:tcW w:w="2534" w:type="dxa"/>
          </w:tcPr>
          <w:p>
            <w:pPr>
              <w:spacing w:line="360" w:lineRule="exact"/>
              <w:rPr>
                <w:rFonts w:ascii="宋体" w:hAnsi="宋体"/>
                <w:sz w:val="24"/>
                <w:szCs w:val="24"/>
              </w:rPr>
            </w:pPr>
            <w:r>
              <w:rPr>
                <w:rFonts w:hint="eastAsia" w:ascii="宋体" w:hAnsi="宋体"/>
                <w:sz w:val="24"/>
                <w:szCs w:val="24"/>
              </w:rPr>
              <w:t>熔点（℃）：－</w:t>
            </w:r>
            <w:r>
              <w:rPr>
                <w:rFonts w:ascii="宋体" w:hAnsi="宋体"/>
                <w:sz w:val="24"/>
                <w:szCs w:val="24"/>
              </w:rPr>
              <w:t>189.2</w:t>
            </w:r>
          </w:p>
        </w:tc>
        <w:tc>
          <w:tcPr>
            <w:tcW w:w="2380" w:type="dxa"/>
            <w:gridSpan w:val="3"/>
          </w:tcPr>
          <w:p>
            <w:pPr>
              <w:spacing w:line="360" w:lineRule="exact"/>
              <w:rPr>
                <w:rFonts w:ascii="宋体" w:hAnsi="宋体"/>
                <w:sz w:val="24"/>
                <w:szCs w:val="24"/>
              </w:rPr>
            </w:pPr>
            <w:r>
              <w:rPr>
                <w:rFonts w:hint="eastAsia" w:ascii="宋体" w:hAnsi="宋体"/>
                <w:sz w:val="24"/>
                <w:szCs w:val="24"/>
              </w:rPr>
              <w:t>沸点（℃）：－</w:t>
            </w:r>
            <w:r>
              <w:rPr>
                <w:rFonts w:ascii="宋体" w:hAnsi="宋体"/>
                <w:sz w:val="24"/>
                <w:szCs w:val="24"/>
              </w:rPr>
              <w:t>185.7</w:t>
            </w:r>
          </w:p>
        </w:tc>
        <w:tc>
          <w:tcPr>
            <w:tcW w:w="3737" w:type="dxa"/>
            <w:gridSpan w:val="2"/>
          </w:tcPr>
          <w:p>
            <w:pPr>
              <w:spacing w:line="360" w:lineRule="exact"/>
              <w:rPr>
                <w:rFonts w:ascii="宋体" w:hAnsi="宋体"/>
                <w:sz w:val="24"/>
                <w:szCs w:val="24"/>
              </w:rPr>
            </w:pPr>
            <w:r>
              <w:rPr>
                <w:rFonts w:hint="eastAsia" w:ascii="宋体" w:hAnsi="宋体"/>
                <w:sz w:val="24"/>
                <w:szCs w:val="24"/>
              </w:rPr>
              <w:t>相对密度（水＝</w:t>
            </w:r>
            <w:r>
              <w:rPr>
                <w:rFonts w:ascii="宋体" w:hAnsi="宋体"/>
                <w:sz w:val="24"/>
                <w:szCs w:val="24"/>
              </w:rPr>
              <w:t>1</w:t>
            </w:r>
            <w:r>
              <w:rPr>
                <w:rFonts w:hint="eastAsia" w:ascii="宋体" w:hAnsi="宋体"/>
                <w:sz w:val="24"/>
                <w:szCs w:val="24"/>
              </w:rPr>
              <w:t>）：</w:t>
            </w:r>
            <w:r>
              <w:rPr>
                <w:rFonts w:ascii="宋体" w:hAnsi="宋体"/>
                <w:sz w:val="24"/>
                <w:szCs w:val="24"/>
              </w:rPr>
              <w:t>1.40</w:t>
            </w:r>
            <w:r>
              <w:rPr>
                <w:rFonts w:hint="eastAsia" w:ascii="宋体" w:hAnsi="宋体"/>
                <w:sz w:val="24"/>
                <w:szCs w:val="24"/>
              </w:rPr>
              <w:t>（－</w:t>
            </w:r>
            <w:r>
              <w:rPr>
                <w:rFonts w:ascii="宋体" w:hAnsi="宋体"/>
                <w:sz w:val="24"/>
                <w:szCs w:val="24"/>
              </w:rPr>
              <w:t>186</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434" w:type="dxa"/>
            <w:vMerge w:val="continue"/>
            <w:vAlign w:val="center"/>
          </w:tcPr>
          <w:p>
            <w:pPr>
              <w:spacing w:line="680" w:lineRule="exact"/>
              <w:rPr>
                <w:rFonts w:ascii="宋体" w:hAnsi="宋体"/>
                <w:sz w:val="24"/>
                <w:szCs w:val="24"/>
              </w:rPr>
            </w:pPr>
          </w:p>
        </w:tc>
        <w:tc>
          <w:tcPr>
            <w:tcW w:w="2534" w:type="dxa"/>
          </w:tcPr>
          <w:p>
            <w:pPr>
              <w:spacing w:line="360" w:lineRule="exact"/>
              <w:rPr>
                <w:rFonts w:ascii="宋体" w:hAnsi="宋体"/>
                <w:sz w:val="24"/>
                <w:szCs w:val="24"/>
              </w:rPr>
            </w:pPr>
            <w:r>
              <w:rPr>
                <w:rFonts w:hint="eastAsia" w:ascii="宋体" w:hAnsi="宋体"/>
                <w:sz w:val="24"/>
                <w:szCs w:val="24"/>
              </w:rPr>
              <w:t>临界温度（℃）：－</w:t>
            </w:r>
            <w:r>
              <w:rPr>
                <w:rFonts w:ascii="宋体" w:hAnsi="宋体"/>
                <w:sz w:val="24"/>
                <w:szCs w:val="24"/>
              </w:rPr>
              <w:t>122.3</w:t>
            </w:r>
          </w:p>
        </w:tc>
        <w:tc>
          <w:tcPr>
            <w:tcW w:w="2380" w:type="dxa"/>
            <w:gridSpan w:val="3"/>
          </w:tcPr>
          <w:p>
            <w:pPr>
              <w:spacing w:line="360" w:lineRule="exact"/>
              <w:rPr>
                <w:rFonts w:ascii="宋体" w:hAnsi="宋体"/>
                <w:sz w:val="24"/>
                <w:szCs w:val="24"/>
              </w:rPr>
            </w:pPr>
            <w:r>
              <w:rPr>
                <w:rFonts w:hint="eastAsia" w:ascii="宋体" w:hAnsi="宋体"/>
                <w:sz w:val="24"/>
                <w:szCs w:val="24"/>
              </w:rPr>
              <w:t>临界压力（</w:t>
            </w:r>
            <w:r>
              <w:rPr>
                <w:rFonts w:ascii="宋体" w:hAnsi="宋体"/>
                <w:sz w:val="24"/>
                <w:szCs w:val="24"/>
              </w:rPr>
              <w:t>MPa</w:t>
            </w:r>
            <w:r>
              <w:rPr>
                <w:rFonts w:hint="eastAsia" w:ascii="宋体" w:hAnsi="宋体"/>
                <w:sz w:val="24"/>
                <w:szCs w:val="24"/>
              </w:rPr>
              <w:t>）：</w:t>
            </w:r>
            <w:r>
              <w:rPr>
                <w:rFonts w:ascii="宋体" w:hAnsi="宋体"/>
                <w:sz w:val="24"/>
                <w:szCs w:val="24"/>
              </w:rPr>
              <w:t>4.86</w:t>
            </w:r>
          </w:p>
        </w:tc>
        <w:tc>
          <w:tcPr>
            <w:tcW w:w="3737" w:type="dxa"/>
            <w:gridSpan w:val="2"/>
          </w:tcPr>
          <w:p>
            <w:pPr>
              <w:spacing w:line="360" w:lineRule="exact"/>
              <w:rPr>
                <w:rFonts w:ascii="宋体" w:hAnsi="宋体"/>
                <w:sz w:val="24"/>
                <w:szCs w:val="24"/>
              </w:rPr>
            </w:pPr>
            <w:r>
              <w:rPr>
                <w:rFonts w:hint="eastAsia" w:ascii="宋体" w:hAnsi="宋体"/>
                <w:sz w:val="24"/>
                <w:szCs w:val="24"/>
              </w:rPr>
              <w:t>相对密度（空气＝</w:t>
            </w:r>
            <w:r>
              <w:rPr>
                <w:rFonts w:ascii="宋体" w:hAnsi="宋体"/>
                <w:sz w:val="24"/>
                <w:szCs w:val="24"/>
              </w:rPr>
              <w:t>1</w:t>
            </w:r>
            <w:r>
              <w:rPr>
                <w:rFonts w:hint="eastAsia" w:ascii="宋体" w:hAnsi="宋体"/>
                <w:sz w:val="24"/>
                <w:szCs w:val="24"/>
              </w:rPr>
              <w:t>）：</w:t>
            </w:r>
            <w:r>
              <w:rPr>
                <w:rFonts w:ascii="宋体" w:hAnsi="宋体"/>
                <w:sz w:val="24"/>
                <w:szCs w:val="24"/>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434" w:type="dxa"/>
            <w:vMerge w:val="continue"/>
            <w:vAlign w:val="center"/>
          </w:tcPr>
          <w:p>
            <w:pPr>
              <w:spacing w:line="680" w:lineRule="exact"/>
              <w:rPr>
                <w:rFonts w:ascii="宋体" w:hAnsi="宋体"/>
                <w:sz w:val="24"/>
                <w:szCs w:val="24"/>
              </w:rPr>
            </w:pPr>
          </w:p>
        </w:tc>
        <w:tc>
          <w:tcPr>
            <w:tcW w:w="2534" w:type="dxa"/>
          </w:tcPr>
          <w:p>
            <w:pPr>
              <w:spacing w:line="360" w:lineRule="exact"/>
              <w:rPr>
                <w:rFonts w:ascii="宋体" w:hAnsi="宋体"/>
                <w:sz w:val="24"/>
                <w:szCs w:val="24"/>
              </w:rPr>
            </w:pPr>
            <w:r>
              <w:rPr>
                <w:rFonts w:hint="eastAsia" w:ascii="宋体" w:hAnsi="宋体"/>
                <w:sz w:val="24"/>
                <w:szCs w:val="24"/>
              </w:rPr>
              <w:t>燃烧热（</w:t>
            </w:r>
            <w:r>
              <w:rPr>
                <w:rFonts w:ascii="宋体" w:hAnsi="宋体"/>
                <w:sz w:val="24"/>
                <w:szCs w:val="24"/>
              </w:rPr>
              <w:t>KJ/mol</w:t>
            </w:r>
            <w:r>
              <w:rPr>
                <w:rFonts w:hint="eastAsia" w:ascii="宋体" w:hAnsi="宋体"/>
                <w:sz w:val="24"/>
                <w:szCs w:val="24"/>
              </w:rPr>
              <w:t>）：无意义</w:t>
            </w:r>
          </w:p>
        </w:tc>
        <w:tc>
          <w:tcPr>
            <w:tcW w:w="2380" w:type="dxa"/>
            <w:gridSpan w:val="3"/>
          </w:tcPr>
          <w:p>
            <w:pPr>
              <w:spacing w:line="360" w:lineRule="exact"/>
              <w:rPr>
                <w:rFonts w:ascii="宋体" w:hAnsi="宋体"/>
                <w:sz w:val="24"/>
                <w:szCs w:val="24"/>
              </w:rPr>
            </w:pPr>
            <w:r>
              <w:rPr>
                <w:rFonts w:hint="eastAsia" w:ascii="宋体" w:hAnsi="宋体"/>
                <w:sz w:val="24"/>
                <w:szCs w:val="24"/>
              </w:rPr>
              <w:t>最小点火能（</w:t>
            </w:r>
            <w:r>
              <w:rPr>
                <w:rFonts w:ascii="宋体" w:hAnsi="宋体"/>
                <w:sz w:val="24"/>
                <w:szCs w:val="24"/>
              </w:rPr>
              <w:t>mJ</w:t>
            </w:r>
            <w:r>
              <w:rPr>
                <w:rFonts w:hint="eastAsia" w:ascii="宋体" w:hAnsi="宋体"/>
                <w:sz w:val="24"/>
                <w:szCs w:val="24"/>
              </w:rPr>
              <w:t>）：</w:t>
            </w:r>
            <w:r>
              <w:rPr>
                <w:rFonts w:ascii="宋体" w:hAnsi="宋体"/>
                <w:sz w:val="24"/>
                <w:szCs w:val="24"/>
              </w:rPr>
              <w:t xml:space="preserve"> </w:t>
            </w:r>
          </w:p>
        </w:tc>
        <w:tc>
          <w:tcPr>
            <w:tcW w:w="3737" w:type="dxa"/>
            <w:gridSpan w:val="2"/>
          </w:tcPr>
          <w:p>
            <w:pPr>
              <w:spacing w:line="360" w:lineRule="exact"/>
              <w:rPr>
                <w:rFonts w:ascii="宋体" w:hAnsi="宋体"/>
                <w:sz w:val="24"/>
                <w:szCs w:val="24"/>
              </w:rPr>
            </w:pPr>
            <w:r>
              <w:rPr>
                <w:rFonts w:hint="eastAsia" w:ascii="宋体" w:hAnsi="宋体"/>
                <w:sz w:val="24"/>
                <w:szCs w:val="24"/>
              </w:rPr>
              <w:t>饱和蒸汽压（</w:t>
            </w:r>
            <w:r>
              <w:rPr>
                <w:rFonts w:ascii="宋体" w:hAnsi="宋体"/>
                <w:sz w:val="24"/>
                <w:szCs w:val="24"/>
              </w:rPr>
              <w:t>KPa</w:t>
            </w:r>
            <w:r>
              <w:rPr>
                <w:rFonts w:hint="eastAsia" w:ascii="宋体" w:hAnsi="宋体"/>
                <w:sz w:val="24"/>
                <w:szCs w:val="24"/>
              </w:rPr>
              <w:t>）：</w:t>
            </w:r>
            <w:r>
              <w:rPr>
                <w:rFonts w:ascii="宋体" w:hAnsi="宋体"/>
                <w:sz w:val="24"/>
                <w:szCs w:val="24"/>
              </w:rPr>
              <w:t>202.64</w:t>
            </w:r>
            <w:r>
              <w:rPr>
                <w:rFonts w:hint="eastAsia" w:ascii="宋体" w:hAnsi="宋体"/>
                <w:sz w:val="24"/>
                <w:szCs w:val="24"/>
              </w:rPr>
              <w:t>（－</w:t>
            </w:r>
            <w:r>
              <w:rPr>
                <w:rFonts w:ascii="宋体" w:hAnsi="宋体"/>
                <w:sz w:val="24"/>
                <w:szCs w:val="24"/>
              </w:rPr>
              <w:t>179</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434" w:type="dxa"/>
            <w:vMerge w:val="restart"/>
            <w:vAlign w:val="center"/>
          </w:tcPr>
          <w:p>
            <w:pPr>
              <w:spacing w:line="280" w:lineRule="exact"/>
              <w:jc w:val="center"/>
              <w:rPr>
                <w:rFonts w:ascii="宋体" w:hAnsi="宋体"/>
                <w:sz w:val="24"/>
                <w:szCs w:val="24"/>
              </w:rPr>
            </w:pPr>
            <w:r>
              <w:rPr>
                <w:rFonts w:hint="eastAsia" w:ascii="宋体" w:hAnsi="宋体"/>
                <w:sz w:val="24"/>
                <w:szCs w:val="24"/>
              </w:rPr>
              <w:t>燃烧爆炸危险性</w:t>
            </w:r>
          </w:p>
        </w:tc>
        <w:tc>
          <w:tcPr>
            <w:tcW w:w="3150" w:type="dxa"/>
            <w:gridSpan w:val="2"/>
          </w:tcPr>
          <w:p>
            <w:pPr>
              <w:spacing w:line="360" w:lineRule="exact"/>
              <w:rPr>
                <w:rFonts w:ascii="宋体" w:hAnsi="宋体"/>
                <w:sz w:val="24"/>
                <w:szCs w:val="24"/>
              </w:rPr>
            </w:pPr>
            <w:r>
              <w:rPr>
                <w:rFonts w:hint="eastAsia" w:ascii="宋体" w:hAnsi="宋体"/>
                <w:sz w:val="24"/>
                <w:szCs w:val="24"/>
              </w:rPr>
              <w:t>燃烧性：不燃</w:t>
            </w:r>
          </w:p>
        </w:tc>
        <w:tc>
          <w:tcPr>
            <w:tcW w:w="5501" w:type="dxa"/>
            <w:gridSpan w:val="4"/>
          </w:tcPr>
          <w:p>
            <w:pPr>
              <w:spacing w:line="360" w:lineRule="exact"/>
              <w:rPr>
                <w:rFonts w:ascii="宋体" w:hAnsi="宋体"/>
                <w:sz w:val="24"/>
                <w:szCs w:val="24"/>
              </w:rPr>
            </w:pPr>
            <w:r>
              <w:rPr>
                <w:rFonts w:hint="eastAsia" w:ascii="宋体" w:hAnsi="宋体"/>
                <w:sz w:val="24"/>
                <w:szCs w:val="24"/>
              </w:rPr>
              <w:t>燃烧分解产物：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434" w:type="dxa"/>
            <w:vMerge w:val="continue"/>
            <w:vAlign w:val="center"/>
          </w:tcPr>
          <w:p>
            <w:pPr>
              <w:spacing w:line="680" w:lineRule="exact"/>
              <w:rPr>
                <w:rFonts w:ascii="宋体" w:hAnsi="宋体"/>
                <w:sz w:val="24"/>
                <w:szCs w:val="24"/>
              </w:rPr>
            </w:pPr>
          </w:p>
        </w:tc>
        <w:tc>
          <w:tcPr>
            <w:tcW w:w="3150" w:type="dxa"/>
            <w:gridSpan w:val="2"/>
          </w:tcPr>
          <w:p>
            <w:pPr>
              <w:spacing w:line="360" w:lineRule="exact"/>
              <w:rPr>
                <w:rFonts w:ascii="宋体" w:hAnsi="宋体"/>
                <w:sz w:val="24"/>
                <w:szCs w:val="24"/>
              </w:rPr>
            </w:pPr>
            <w:r>
              <w:rPr>
                <w:rFonts w:hint="eastAsia" w:ascii="宋体" w:hAnsi="宋体"/>
                <w:sz w:val="24"/>
                <w:szCs w:val="24"/>
              </w:rPr>
              <w:t>闪点（℃）：无意义</w:t>
            </w:r>
          </w:p>
        </w:tc>
        <w:tc>
          <w:tcPr>
            <w:tcW w:w="5501" w:type="dxa"/>
            <w:gridSpan w:val="4"/>
          </w:tcPr>
          <w:p>
            <w:pPr>
              <w:spacing w:line="360" w:lineRule="exact"/>
              <w:rPr>
                <w:rFonts w:ascii="宋体" w:hAnsi="宋体"/>
                <w:sz w:val="24"/>
                <w:szCs w:val="24"/>
              </w:rPr>
            </w:pPr>
            <w:r>
              <w:rPr>
                <w:rFonts w:hint="eastAsia" w:ascii="宋体" w:hAnsi="宋体"/>
                <w:sz w:val="24"/>
                <w:szCs w:val="24"/>
              </w:rPr>
              <w:t>聚合危害：不聚合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434" w:type="dxa"/>
            <w:vMerge w:val="continue"/>
            <w:vAlign w:val="center"/>
          </w:tcPr>
          <w:p>
            <w:pPr>
              <w:spacing w:line="680" w:lineRule="exact"/>
              <w:rPr>
                <w:rFonts w:ascii="宋体" w:hAnsi="宋体"/>
                <w:sz w:val="24"/>
                <w:szCs w:val="24"/>
              </w:rPr>
            </w:pPr>
          </w:p>
        </w:tc>
        <w:tc>
          <w:tcPr>
            <w:tcW w:w="3150" w:type="dxa"/>
            <w:gridSpan w:val="2"/>
          </w:tcPr>
          <w:p>
            <w:pPr>
              <w:spacing w:line="360" w:lineRule="exact"/>
              <w:rPr>
                <w:rFonts w:ascii="宋体" w:hAnsi="宋体"/>
                <w:sz w:val="24"/>
                <w:szCs w:val="24"/>
              </w:rPr>
            </w:pPr>
            <w:r>
              <w:rPr>
                <w:rFonts w:hint="eastAsia" w:ascii="宋体" w:hAnsi="宋体"/>
                <w:sz w:val="24"/>
                <w:szCs w:val="24"/>
              </w:rPr>
              <w:t>爆炸下限（％）：无意义</w:t>
            </w:r>
          </w:p>
        </w:tc>
        <w:tc>
          <w:tcPr>
            <w:tcW w:w="5501" w:type="dxa"/>
            <w:gridSpan w:val="4"/>
          </w:tcPr>
          <w:p>
            <w:pPr>
              <w:spacing w:line="360" w:lineRule="exact"/>
              <w:rPr>
                <w:rFonts w:ascii="宋体" w:hAnsi="宋体"/>
                <w:sz w:val="24"/>
                <w:szCs w:val="24"/>
              </w:rPr>
            </w:pPr>
            <w:r>
              <w:rPr>
                <w:rFonts w:hint="eastAsia" w:ascii="宋体" w:hAnsi="宋体"/>
                <w:sz w:val="24"/>
                <w:szCs w:val="24"/>
              </w:rPr>
              <w:t>稳定性：稳定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434" w:type="dxa"/>
            <w:vMerge w:val="continue"/>
            <w:vAlign w:val="center"/>
          </w:tcPr>
          <w:p>
            <w:pPr>
              <w:spacing w:line="680" w:lineRule="exact"/>
              <w:rPr>
                <w:rFonts w:ascii="宋体" w:hAnsi="宋体"/>
                <w:sz w:val="24"/>
                <w:szCs w:val="24"/>
              </w:rPr>
            </w:pPr>
          </w:p>
        </w:tc>
        <w:tc>
          <w:tcPr>
            <w:tcW w:w="3150" w:type="dxa"/>
            <w:gridSpan w:val="2"/>
          </w:tcPr>
          <w:p>
            <w:pPr>
              <w:spacing w:line="360" w:lineRule="exact"/>
              <w:rPr>
                <w:rFonts w:ascii="宋体" w:hAnsi="宋体"/>
                <w:sz w:val="24"/>
                <w:szCs w:val="24"/>
              </w:rPr>
            </w:pPr>
            <w:r>
              <w:rPr>
                <w:rFonts w:hint="eastAsia" w:ascii="宋体" w:hAnsi="宋体"/>
                <w:sz w:val="24"/>
                <w:szCs w:val="24"/>
              </w:rPr>
              <w:t>爆炸上限（％）：无意义</w:t>
            </w:r>
          </w:p>
        </w:tc>
        <w:tc>
          <w:tcPr>
            <w:tcW w:w="5501" w:type="dxa"/>
            <w:gridSpan w:val="4"/>
          </w:tcPr>
          <w:p>
            <w:pPr>
              <w:spacing w:line="360" w:lineRule="exact"/>
              <w:rPr>
                <w:rFonts w:ascii="宋体" w:hAnsi="宋体"/>
                <w:sz w:val="24"/>
                <w:szCs w:val="24"/>
              </w:rPr>
            </w:pPr>
            <w:r>
              <w:rPr>
                <w:rFonts w:hint="eastAsia" w:ascii="宋体" w:hAnsi="宋体"/>
                <w:sz w:val="24"/>
                <w:szCs w:val="24"/>
              </w:rPr>
              <w:t>最大爆炸压力（</w:t>
            </w:r>
            <w:r>
              <w:rPr>
                <w:rFonts w:ascii="宋体" w:hAnsi="宋体"/>
                <w:sz w:val="24"/>
                <w:szCs w:val="24"/>
              </w:rPr>
              <w:t>MPa</w:t>
            </w:r>
            <w:r>
              <w:rPr>
                <w:rFonts w:hint="eastAsia" w:ascii="宋体" w:hAnsi="宋体"/>
                <w:sz w:val="24"/>
                <w:szCs w:val="24"/>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434" w:type="dxa"/>
            <w:vMerge w:val="continue"/>
            <w:vAlign w:val="center"/>
          </w:tcPr>
          <w:p>
            <w:pPr>
              <w:spacing w:line="680" w:lineRule="exact"/>
              <w:rPr>
                <w:rFonts w:ascii="宋体" w:hAnsi="宋体"/>
                <w:sz w:val="24"/>
                <w:szCs w:val="24"/>
              </w:rPr>
            </w:pPr>
          </w:p>
        </w:tc>
        <w:tc>
          <w:tcPr>
            <w:tcW w:w="3150" w:type="dxa"/>
            <w:gridSpan w:val="2"/>
          </w:tcPr>
          <w:p>
            <w:pPr>
              <w:spacing w:line="360" w:lineRule="exact"/>
              <w:rPr>
                <w:rFonts w:ascii="宋体" w:hAnsi="宋体"/>
                <w:sz w:val="24"/>
                <w:szCs w:val="24"/>
              </w:rPr>
            </w:pPr>
            <w:r>
              <w:rPr>
                <w:rFonts w:hint="eastAsia" w:ascii="宋体" w:hAnsi="宋体"/>
                <w:sz w:val="24"/>
                <w:szCs w:val="24"/>
              </w:rPr>
              <w:t>引燃温度（℃）：无意义</w:t>
            </w:r>
          </w:p>
        </w:tc>
        <w:tc>
          <w:tcPr>
            <w:tcW w:w="5501" w:type="dxa"/>
            <w:gridSpan w:val="4"/>
          </w:tcPr>
          <w:p>
            <w:pPr>
              <w:spacing w:line="360" w:lineRule="exact"/>
              <w:rPr>
                <w:rFonts w:ascii="宋体" w:hAnsi="宋体"/>
                <w:sz w:val="24"/>
                <w:szCs w:val="24"/>
              </w:rPr>
            </w:pPr>
            <w:r>
              <w:rPr>
                <w:rFonts w:hint="eastAsia" w:ascii="宋体" w:hAnsi="宋体"/>
                <w:sz w:val="24"/>
                <w:szCs w:val="24"/>
              </w:rPr>
              <w:t>禁忌物：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trPr>
        <w:tc>
          <w:tcPr>
            <w:tcW w:w="434" w:type="dxa"/>
            <w:vMerge w:val="continue"/>
            <w:vAlign w:val="center"/>
          </w:tcPr>
          <w:p>
            <w:pPr>
              <w:spacing w:line="680" w:lineRule="exact"/>
              <w:rPr>
                <w:rFonts w:ascii="宋体" w:hAnsi="宋体"/>
                <w:sz w:val="24"/>
                <w:szCs w:val="24"/>
              </w:rPr>
            </w:pPr>
          </w:p>
        </w:tc>
        <w:tc>
          <w:tcPr>
            <w:tcW w:w="8651" w:type="dxa"/>
            <w:gridSpan w:val="6"/>
          </w:tcPr>
          <w:p>
            <w:pPr>
              <w:spacing w:line="360" w:lineRule="exact"/>
              <w:rPr>
                <w:rFonts w:ascii="宋体" w:hAnsi="宋体"/>
                <w:sz w:val="24"/>
                <w:szCs w:val="24"/>
              </w:rPr>
            </w:pPr>
            <w:r>
              <w:rPr>
                <w:rFonts w:hint="eastAsia" w:ascii="宋体" w:hAnsi="宋体"/>
                <w:sz w:val="24"/>
                <w:szCs w:val="24"/>
              </w:rPr>
              <w:t>危险特性：</w:t>
            </w:r>
            <w:r>
              <w:rPr>
                <w:rFonts w:ascii="宋体" w:hAnsi="宋体"/>
                <w:sz w:val="24"/>
                <w:szCs w:val="24"/>
              </w:rPr>
              <w:t xml:space="preserve"> </w:t>
            </w:r>
            <w:r>
              <w:rPr>
                <w:rFonts w:hint="eastAsia" w:ascii="宋体" w:hAnsi="宋体"/>
                <w:sz w:val="24"/>
                <w:szCs w:val="24"/>
              </w:rPr>
              <w:t>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434" w:type="dxa"/>
            <w:vMerge w:val="continue"/>
            <w:vAlign w:val="center"/>
          </w:tcPr>
          <w:p>
            <w:pPr>
              <w:spacing w:line="680" w:lineRule="exact"/>
              <w:rPr>
                <w:rFonts w:ascii="宋体" w:hAnsi="宋体"/>
                <w:sz w:val="24"/>
                <w:szCs w:val="24"/>
              </w:rPr>
            </w:pPr>
          </w:p>
        </w:tc>
        <w:tc>
          <w:tcPr>
            <w:tcW w:w="8651" w:type="dxa"/>
            <w:gridSpan w:val="6"/>
          </w:tcPr>
          <w:p>
            <w:pPr>
              <w:spacing w:line="360" w:lineRule="exact"/>
              <w:rPr>
                <w:rFonts w:ascii="宋体" w:hAnsi="宋体"/>
                <w:sz w:val="24"/>
                <w:szCs w:val="24"/>
              </w:rPr>
            </w:pPr>
            <w:r>
              <w:rPr>
                <w:rFonts w:hint="eastAsia" w:ascii="宋体" w:hAnsi="宋体"/>
                <w:sz w:val="24"/>
                <w:szCs w:val="24"/>
              </w:rPr>
              <w:t>消防措施：</w:t>
            </w:r>
            <w:r>
              <w:rPr>
                <w:rFonts w:ascii="宋体" w:hAnsi="宋体"/>
                <w:sz w:val="24"/>
                <w:szCs w:val="24"/>
              </w:rPr>
              <w:t xml:space="preserve"> </w:t>
            </w:r>
            <w:r>
              <w:rPr>
                <w:rFonts w:hint="eastAsia" w:ascii="宋体" w:hAnsi="宋体"/>
                <w:sz w:val="24"/>
                <w:szCs w:val="24"/>
              </w:rPr>
              <w:t>本品不燃。切断气源。喷水冷却容器，可能的话将容器从火场移至空旷处。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dxa"/>
            <w:vAlign w:val="center"/>
          </w:tcPr>
          <w:p>
            <w:pPr>
              <w:spacing w:line="680" w:lineRule="exact"/>
              <w:jc w:val="center"/>
              <w:rPr>
                <w:rFonts w:ascii="宋体" w:hAnsi="宋体"/>
                <w:sz w:val="24"/>
                <w:szCs w:val="24"/>
              </w:rPr>
            </w:pPr>
            <w:r>
              <w:rPr>
                <w:rFonts w:hint="eastAsia" w:ascii="宋体" w:hAnsi="宋体"/>
                <w:sz w:val="24"/>
                <w:szCs w:val="24"/>
              </w:rPr>
              <w:t>毒性</w:t>
            </w:r>
          </w:p>
        </w:tc>
        <w:tc>
          <w:tcPr>
            <w:tcW w:w="8651" w:type="dxa"/>
            <w:gridSpan w:val="6"/>
          </w:tcPr>
          <w:p>
            <w:pPr>
              <w:spacing w:line="360" w:lineRule="exact"/>
              <w:rPr>
                <w:rFonts w:ascii="宋体" w:hAnsi="宋体"/>
                <w:sz w:val="24"/>
                <w:szCs w:val="24"/>
              </w:rPr>
            </w:pPr>
            <w:r>
              <w:rPr>
                <w:rFonts w:hint="eastAsia" w:ascii="宋体" w:hAnsi="宋体"/>
                <w:sz w:val="24"/>
                <w:szCs w:val="24"/>
              </w:rPr>
              <w:t>接触限值：</w:t>
            </w:r>
            <w:r>
              <w:rPr>
                <w:rFonts w:ascii="宋体" w:hAnsi="宋体"/>
                <w:sz w:val="24"/>
                <w:szCs w:val="24"/>
              </w:rPr>
              <w:t xml:space="preserve"> </w:t>
            </w:r>
            <w:r>
              <w:rPr>
                <w:rFonts w:hint="eastAsia" w:ascii="宋体" w:hAnsi="宋体"/>
                <w:sz w:val="24"/>
                <w:szCs w:val="24"/>
              </w:rPr>
              <w:t>中国</w:t>
            </w:r>
            <w:r>
              <w:rPr>
                <w:rFonts w:ascii="宋体" w:hAnsi="宋体"/>
                <w:sz w:val="24"/>
                <w:szCs w:val="24"/>
              </w:rPr>
              <w:t>MAC</w:t>
            </w:r>
            <w:r>
              <w:rPr>
                <w:rFonts w:hint="eastAsia" w:ascii="宋体" w:hAnsi="宋体"/>
                <w:sz w:val="24"/>
                <w:szCs w:val="24"/>
              </w:rPr>
              <w:t>（</w:t>
            </w:r>
            <w:r>
              <w:rPr>
                <w:rFonts w:ascii="宋体" w:hAnsi="宋体"/>
                <w:sz w:val="24"/>
                <w:szCs w:val="24"/>
              </w:rPr>
              <w:t>mg/m</w:t>
            </w:r>
            <w:r>
              <w:rPr>
                <w:rFonts w:ascii="宋体" w:hAnsi="宋体"/>
                <w:sz w:val="24"/>
                <w:szCs w:val="24"/>
                <w:vertAlign w:val="superscript"/>
              </w:rPr>
              <w:t>3</w:t>
            </w: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未制定标准</w:t>
            </w:r>
            <w:r>
              <w:rPr>
                <w:rFonts w:ascii="宋体" w:hAnsi="宋体"/>
                <w:sz w:val="24"/>
                <w:szCs w:val="24"/>
              </w:rPr>
              <w:t xml:space="preserve">    </w:t>
            </w:r>
            <w:r>
              <w:rPr>
                <w:rFonts w:hint="eastAsia" w:ascii="宋体" w:hAnsi="宋体"/>
                <w:sz w:val="24"/>
                <w:szCs w:val="24"/>
              </w:rPr>
              <w:t>前苏联</w:t>
            </w:r>
            <w:r>
              <w:rPr>
                <w:rFonts w:ascii="宋体" w:hAnsi="宋体"/>
                <w:sz w:val="24"/>
                <w:szCs w:val="24"/>
              </w:rPr>
              <w:t xml:space="preserve"> MAC</w:t>
            </w:r>
            <w:r>
              <w:rPr>
                <w:rFonts w:hint="eastAsia" w:ascii="宋体" w:hAnsi="宋体"/>
                <w:sz w:val="24"/>
                <w:szCs w:val="24"/>
              </w:rPr>
              <w:t>（</w:t>
            </w:r>
            <w:r>
              <w:rPr>
                <w:rFonts w:ascii="宋体" w:hAnsi="宋体"/>
                <w:sz w:val="24"/>
                <w:szCs w:val="24"/>
              </w:rPr>
              <w:t>mg/m</w:t>
            </w:r>
            <w:r>
              <w:rPr>
                <w:rFonts w:ascii="宋体" w:hAnsi="宋体"/>
                <w:sz w:val="24"/>
                <w:szCs w:val="24"/>
                <w:vertAlign w:val="superscript"/>
              </w:rPr>
              <w:t>3</w:t>
            </w: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未制定标准</w:t>
            </w:r>
            <w:r>
              <w:rPr>
                <w:rFonts w:ascii="宋体" w:hAnsi="宋体"/>
                <w:sz w:val="24"/>
                <w:szCs w:val="24"/>
              </w:rPr>
              <w:t xml:space="preserve">        </w:t>
            </w:r>
          </w:p>
          <w:p>
            <w:pPr>
              <w:spacing w:line="360" w:lineRule="exact"/>
              <w:rPr>
                <w:rFonts w:ascii="宋体" w:hAnsi="宋体"/>
                <w:sz w:val="24"/>
                <w:szCs w:val="24"/>
              </w:rPr>
            </w:pPr>
            <w:r>
              <w:rPr>
                <w:rFonts w:hint="eastAsia" w:ascii="宋体" w:hAnsi="宋体"/>
                <w:sz w:val="24"/>
                <w:szCs w:val="24"/>
              </w:rPr>
              <w:t>美国</w:t>
            </w:r>
            <w:r>
              <w:rPr>
                <w:rFonts w:ascii="宋体" w:hAnsi="宋体"/>
                <w:sz w:val="24"/>
                <w:szCs w:val="24"/>
              </w:rPr>
              <w:t>TVL</w:t>
            </w:r>
            <w:r>
              <w:rPr>
                <w:rFonts w:hint="eastAsia" w:ascii="宋体" w:hAnsi="宋体"/>
                <w:sz w:val="24"/>
                <w:szCs w:val="24"/>
              </w:rPr>
              <w:t>－</w:t>
            </w:r>
            <w:r>
              <w:rPr>
                <w:rFonts w:ascii="宋体" w:hAnsi="宋体"/>
                <w:sz w:val="24"/>
                <w:szCs w:val="24"/>
              </w:rPr>
              <w:t xml:space="preserve">TWA  ACGIH </w:t>
            </w:r>
            <w:r>
              <w:rPr>
                <w:rFonts w:hint="eastAsia" w:ascii="宋体" w:hAnsi="宋体"/>
                <w:sz w:val="24"/>
                <w:szCs w:val="24"/>
              </w:rPr>
              <w:t>窒息性气体</w:t>
            </w:r>
            <w:r>
              <w:rPr>
                <w:rFonts w:ascii="宋体" w:hAnsi="宋体"/>
                <w:sz w:val="24"/>
                <w:szCs w:val="24"/>
              </w:rPr>
              <w:t xml:space="preserve">   </w:t>
            </w:r>
            <w:r>
              <w:rPr>
                <w:rFonts w:hint="eastAsia" w:ascii="宋体" w:hAnsi="宋体"/>
                <w:sz w:val="24"/>
                <w:szCs w:val="24"/>
              </w:rPr>
              <w:t>美国</w:t>
            </w:r>
            <w:r>
              <w:rPr>
                <w:rFonts w:ascii="宋体" w:hAnsi="宋体"/>
                <w:sz w:val="24"/>
                <w:szCs w:val="24"/>
              </w:rPr>
              <w:t>TLV</w:t>
            </w:r>
            <w:r>
              <w:rPr>
                <w:rFonts w:hint="eastAsia" w:ascii="宋体" w:hAnsi="宋体"/>
                <w:sz w:val="24"/>
                <w:szCs w:val="24"/>
              </w:rPr>
              <w:t>－</w:t>
            </w:r>
            <w:r>
              <w:rPr>
                <w:rFonts w:ascii="宋体" w:hAnsi="宋体"/>
                <w:sz w:val="24"/>
                <w:szCs w:val="24"/>
              </w:rPr>
              <w:t xml:space="preserve">STEL  </w:t>
            </w:r>
            <w:r>
              <w:rPr>
                <w:rFonts w:hint="eastAsia" w:ascii="宋体" w:hAnsi="宋体"/>
                <w:sz w:val="24"/>
                <w:szCs w:val="24"/>
              </w:rPr>
              <w:t>未制定标准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dxa"/>
            <w:vAlign w:val="center"/>
          </w:tcPr>
          <w:p>
            <w:pPr>
              <w:spacing w:line="240" w:lineRule="exact"/>
              <w:jc w:val="center"/>
              <w:rPr>
                <w:rFonts w:ascii="宋体" w:hAnsi="宋体"/>
                <w:sz w:val="24"/>
                <w:szCs w:val="24"/>
              </w:rPr>
            </w:pPr>
            <w:r>
              <w:rPr>
                <w:rFonts w:hint="eastAsia" w:ascii="宋体" w:hAnsi="宋体"/>
                <w:sz w:val="24"/>
                <w:szCs w:val="24"/>
              </w:rPr>
              <w:t>对人体危害</w:t>
            </w:r>
          </w:p>
        </w:tc>
        <w:tc>
          <w:tcPr>
            <w:tcW w:w="8651" w:type="dxa"/>
            <w:gridSpan w:val="6"/>
          </w:tcPr>
          <w:p>
            <w:pPr>
              <w:spacing w:line="360" w:lineRule="exact"/>
              <w:rPr>
                <w:rFonts w:ascii="宋体" w:hAnsi="宋体"/>
                <w:sz w:val="24"/>
                <w:szCs w:val="24"/>
              </w:rPr>
            </w:pPr>
            <w:r>
              <w:rPr>
                <w:rFonts w:hint="eastAsia" w:ascii="宋体" w:hAnsi="宋体"/>
                <w:sz w:val="24"/>
                <w:szCs w:val="24"/>
              </w:rPr>
              <w:t>侵入途径：</w:t>
            </w:r>
            <w:r>
              <w:rPr>
                <w:rFonts w:ascii="宋体" w:hAnsi="宋体"/>
                <w:sz w:val="24"/>
                <w:szCs w:val="24"/>
              </w:rPr>
              <w:t xml:space="preserve"> </w:t>
            </w:r>
            <w:r>
              <w:rPr>
                <w:rFonts w:hint="eastAsia" w:ascii="宋体" w:hAnsi="宋体"/>
                <w:sz w:val="24"/>
                <w:szCs w:val="24"/>
              </w:rPr>
              <w:t>吸入。</w:t>
            </w:r>
          </w:p>
          <w:p>
            <w:pPr>
              <w:spacing w:line="360" w:lineRule="exact"/>
              <w:rPr>
                <w:rFonts w:ascii="宋体" w:hAnsi="宋体"/>
                <w:sz w:val="24"/>
                <w:szCs w:val="24"/>
              </w:rPr>
            </w:pPr>
            <w:r>
              <w:rPr>
                <w:rFonts w:hint="eastAsia" w:ascii="宋体" w:hAnsi="宋体"/>
                <w:sz w:val="24"/>
                <w:szCs w:val="24"/>
              </w:rPr>
              <w:t>健康危害：</w:t>
            </w:r>
            <w:r>
              <w:rPr>
                <w:rFonts w:ascii="宋体" w:hAnsi="宋体"/>
                <w:sz w:val="24"/>
                <w:szCs w:val="24"/>
              </w:rPr>
              <w:t xml:space="preserve"> </w:t>
            </w:r>
            <w:r>
              <w:rPr>
                <w:rFonts w:hint="eastAsia" w:ascii="宋体" w:hAnsi="宋体"/>
                <w:sz w:val="24"/>
                <w:szCs w:val="24"/>
              </w:rPr>
              <w:t>普通大气压下无毒。高浓度时，使氧分压降低而发生窒息。氩浓度达</w:t>
            </w:r>
            <w:r>
              <w:rPr>
                <w:rFonts w:ascii="宋体" w:hAnsi="宋体"/>
                <w:sz w:val="24"/>
                <w:szCs w:val="24"/>
              </w:rPr>
              <w:t>50</w:t>
            </w:r>
            <w:r>
              <w:rPr>
                <w:rFonts w:hint="eastAsia" w:ascii="宋体" w:hAnsi="宋体"/>
                <w:sz w:val="24"/>
                <w:szCs w:val="24"/>
              </w:rPr>
              <w:t>％以上，引起严重症状；</w:t>
            </w:r>
            <w:r>
              <w:rPr>
                <w:rFonts w:ascii="宋体" w:hAnsi="宋体"/>
                <w:sz w:val="24"/>
                <w:szCs w:val="24"/>
              </w:rPr>
              <w:t>75</w:t>
            </w:r>
            <w:r>
              <w:rPr>
                <w:rFonts w:hint="eastAsia" w:ascii="宋体" w:hAnsi="宋体"/>
                <w:sz w:val="24"/>
                <w:szCs w:val="24"/>
              </w:rPr>
              <w:t>％以上时，可在数分钟内死亡。当空气中浓度增高时，先出现呼吸加速，注意力不集中，共济失调。继而，疲倦乏力、烦躁不安、恶心、呕吐、昏迷、抽搐，以至死亡。液态氩可致皮肤冻伤；眼部接触可引起炎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dxa"/>
            <w:vAlign w:val="center"/>
          </w:tcPr>
          <w:p>
            <w:pPr>
              <w:spacing w:line="320" w:lineRule="exact"/>
              <w:jc w:val="center"/>
              <w:rPr>
                <w:rFonts w:ascii="宋体" w:hAnsi="宋体"/>
                <w:sz w:val="24"/>
                <w:szCs w:val="24"/>
              </w:rPr>
            </w:pPr>
            <w:r>
              <w:rPr>
                <w:rFonts w:hint="eastAsia" w:ascii="宋体" w:hAnsi="宋体"/>
                <w:sz w:val="24"/>
                <w:szCs w:val="24"/>
              </w:rPr>
              <w:t>急救</w:t>
            </w:r>
          </w:p>
        </w:tc>
        <w:tc>
          <w:tcPr>
            <w:tcW w:w="8651" w:type="dxa"/>
            <w:gridSpan w:val="6"/>
          </w:tcPr>
          <w:p>
            <w:pPr>
              <w:spacing w:line="360" w:lineRule="exact"/>
              <w:rPr>
                <w:rFonts w:ascii="宋体" w:hAnsi="宋体"/>
                <w:sz w:val="24"/>
                <w:szCs w:val="24"/>
              </w:rPr>
            </w:pPr>
            <w:r>
              <w:rPr>
                <w:rFonts w:hint="eastAsia" w:ascii="宋体" w:hAnsi="宋体"/>
                <w:sz w:val="24"/>
                <w:szCs w:val="24"/>
              </w:rPr>
              <w:t>皮肤冻伤：若有冻伤，就医治疗。</w:t>
            </w:r>
          </w:p>
          <w:p>
            <w:pPr>
              <w:spacing w:line="360" w:lineRule="exact"/>
              <w:rPr>
                <w:rFonts w:ascii="宋体" w:hAnsi="宋体"/>
                <w:sz w:val="24"/>
                <w:szCs w:val="24"/>
              </w:rPr>
            </w:pPr>
            <w:r>
              <w:rPr>
                <w:rFonts w:hint="eastAsia" w:ascii="宋体" w:hAnsi="宋体"/>
                <w:sz w:val="24"/>
                <w:szCs w:val="24"/>
              </w:rPr>
              <w:t>眼睛接触：提起眼睑，用流动清水或生理盐水冲洗，就医。</w:t>
            </w:r>
          </w:p>
          <w:p>
            <w:pPr>
              <w:spacing w:line="360" w:lineRule="exact"/>
              <w:rPr>
                <w:rFonts w:ascii="宋体" w:hAnsi="宋体"/>
                <w:sz w:val="24"/>
                <w:szCs w:val="24"/>
              </w:rPr>
            </w:pPr>
            <w:r>
              <w:rPr>
                <w:rFonts w:hint="eastAsia" w:ascii="宋体" w:hAnsi="宋体"/>
                <w:sz w:val="24"/>
                <w:szCs w:val="24"/>
              </w:rPr>
              <w:t>吸入：迅速脱离现场至空气新鲜处，保持呼吸道通畅。如呼吸困难，给输氧。如呼吸停止，立即进行人工呼吸。就医。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dxa"/>
            <w:vAlign w:val="center"/>
          </w:tcPr>
          <w:p>
            <w:pPr>
              <w:spacing w:line="500" w:lineRule="exact"/>
              <w:jc w:val="center"/>
              <w:rPr>
                <w:rFonts w:ascii="宋体" w:hAnsi="宋体"/>
                <w:sz w:val="24"/>
                <w:szCs w:val="24"/>
              </w:rPr>
            </w:pPr>
            <w:r>
              <w:rPr>
                <w:rFonts w:hint="eastAsia" w:ascii="宋体" w:hAnsi="宋体"/>
                <w:sz w:val="24"/>
                <w:szCs w:val="24"/>
              </w:rPr>
              <w:t>防护</w:t>
            </w:r>
          </w:p>
        </w:tc>
        <w:tc>
          <w:tcPr>
            <w:tcW w:w="8651" w:type="dxa"/>
            <w:gridSpan w:val="6"/>
          </w:tcPr>
          <w:p>
            <w:pPr>
              <w:spacing w:line="340" w:lineRule="exact"/>
              <w:rPr>
                <w:rFonts w:ascii="宋体" w:hAnsi="宋体"/>
                <w:sz w:val="24"/>
                <w:szCs w:val="24"/>
              </w:rPr>
            </w:pPr>
            <w:r>
              <w:rPr>
                <w:rFonts w:hint="eastAsia" w:ascii="宋体" w:hAnsi="宋体"/>
                <w:sz w:val="24"/>
                <w:szCs w:val="24"/>
              </w:rPr>
              <w:t>工程防护：密闭操作，提供良好的自然通风条件。</w:t>
            </w:r>
          </w:p>
          <w:p>
            <w:pPr>
              <w:spacing w:line="340" w:lineRule="exact"/>
              <w:rPr>
                <w:rFonts w:ascii="宋体" w:hAnsi="宋体"/>
                <w:sz w:val="24"/>
                <w:szCs w:val="24"/>
              </w:rPr>
            </w:pPr>
            <w:r>
              <w:rPr>
                <w:rFonts w:hint="eastAsia" w:ascii="宋体" w:hAnsi="宋体"/>
                <w:sz w:val="24"/>
                <w:szCs w:val="24"/>
              </w:rPr>
              <w:t>个人防护：</w:t>
            </w:r>
            <w:r>
              <w:rPr>
                <w:rFonts w:ascii="宋体" w:hAnsi="宋体"/>
                <w:sz w:val="24"/>
                <w:szCs w:val="24"/>
              </w:rPr>
              <w:t xml:space="preserve"> </w:t>
            </w:r>
            <w:r>
              <w:rPr>
                <w:rFonts w:hint="eastAsia" w:ascii="宋体" w:hAnsi="宋体"/>
                <w:sz w:val="24"/>
                <w:szCs w:val="24"/>
              </w:rPr>
              <w:t>一般不需要特殊防护，但当作业场所空气中氧气浓度低于</w:t>
            </w:r>
            <w:r>
              <w:rPr>
                <w:rFonts w:ascii="宋体" w:hAnsi="宋体"/>
                <w:sz w:val="24"/>
                <w:szCs w:val="24"/>
              </w:rPr>
              <w:t>18</w:t>
            </w:r>
            <w:r>
              <w:rPr>
                <w:rFonts w:hint="eastAsia" w:ascii="宋体" w:hAnsi="宋体"/>
                <w:sz w:val="24"/>
                <w:szCs w:val="24"/>
              </w:rPr>
              <w:t>％时，必须佩戴空气呼吸器、氧气呼吸器或长管面具。穿一般作业工作服。戴一般作业防护手套。</w:t>
            </w:r>
          </w:p>
          <w:p>
            <w:pPr>
              <w:spacing w:line="340" w:lineRule="exact"/>
              <w:rPr>
                <w:rFonts w:ascii="宋体" w:hAnsi="宋体"/>
                <w:sz w:val="24"/>
                <w:szCs w:val="24"/>
              </w:rPr>
            </w:pPr>
            <w:r>
              <w:rPr>
                <w:rFonts w:hint="eastAsia" w:ascii="宋体" w:hAnsi="宋体"/>
                <w:sz w:val="24"/>
                <w:szCs w:val="24"/>
              </w:rPr>
              <w:t>其他：</w:t>
            </w:r>
            <w:r>
              <w:rPr>
                <w:rFonts w:ascii="宋体" w:hAnsi="宋体"/>
                <w:sz w:val="24"/>
                <w:szCs w:val="24"/>
              </w:rPr>
              <w:t xml:space="preserve"> </w:t>
            </w:r>
            <w:r>
              <w:rPr>
                <w:rFonts w:hint="eastAsia" w:ascii="宋体" w:hAnsi="宋体"/>
                <w:sz w:val="24"/>
                <w:szCs w:val="24"/>
              </w:rPr>
              <w:t>避免高浓度吸入，进入罐、限制性空间或其它高浓度区作业，须有人监护。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dxa"/>
            <w:vAlign w:val="center"/>
          </w:tcPr>
          <w:p>
            <w:pPr>
              <w:spacing w:line="300" w:lineRule="exact"/>
              <w:jc w:val="center"/>
              <w:rPr>
                <w:rFonts w:ascii="宋体" w:hAnsi="宋体"/>
                <w:sz w:val="24"/>
                <w:szCs w:val="24"/>
              </w:rPr>
            </w:pPr>
            <w:r>
              <w:rPr>
                <w:rFonts w:hint="eastAsia" w:ascii="宋体" w:hAnsi="宋体"/>
                <w:sz w:val="24"/>
                <w:szCs w:val="24"/>
              </w:rPr>
              <w:t>泄漏处理</w:t>
            </w:r>
          </w:p>
        </w:tc>
        <w:tc>
          <w:tcPr>
            <w:tcW w:w="8651" w:type="dxa"/>
            <w:gridSpan w:val="6"/>
          </w:tcPr>
          <w:p>
            <w:pPr>
              <w:spacing w:line="340" w:lineRule="exact"/>
              <w:rPr>
                <w:rFonts w:ascii="宋体" w:hAnsi="宋体"/>
                <w:sz w:val="24"/>
                <w:szCs w:val="24"/>
              </w:rPr>
            </w:pPr>
            <w:r>
              <w:rPr>
                <w:rFonts w:hint="eastAsia" w:ascii="宋体" w:hAnsi="宋体"/>
                <w:sz w:val="24"/>
                <w:szCs w:val="24"/>
              </w:rPr>
              <w:t>迅速撤离泄漏污染区人员至上风处，并进行隔离，严格限制出入。建议应急处理人员戴自给正压式呼吸器，穿一般作业工作服。尽可能切断泄漏源。合理通风，加速扩散。如有可能，即时使用。漏气容器要妥善处理，修复、检验后再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434" w:type="dxa"/>
            <w:vAlign w:val="center"/>
          </w:tcPr>
          <w:p>
            <w:pPr>
              <w:spacing w:line="500" w:lineRule="atLeast"/>
              <w:jc w:val="center"/>
              <w:rPr>
                <w:rFonts w:ascii="宋体" w:hAnsi="宋体"/>
                <w:sz w:val="24"/>
                <w:szCs w:val="24"/>
              </w:rPr>
            </w:pPr>
            <w:r>
              <w:rPr>
                <w:rFonts w:hint="eastAsia" w:ascii="宋体" w:hAnsi="宋体"/>
                <w:sz w:val="24"/>
                <w:szCs w:val="24"/>
              </w:rPr>
              <w:t>贮运</w:t>
            </w:r>
          </w:p>
        </w:tc>
        <w:tc>
          <w:tcPr>
            <w:tcW w:w="8651" w:type="dxa"/>
            <w:gridSpan w:val="6"/>
          </w:tcPr>
          <w:p>
            <w:pPr>
              <w:spacing w:line="340" w:lineRule="exact"/>
              <w:rPr>
                <w:rFonts w:ascii="宋体" w:hAnsi="宋体"/>
                <w:sz w:val="24"/>
                <w:szCs w:val="24"/>
              </w:rPr>
            </w:pPr>
            <w:r>
              <w:rPr>
                <w:rFonts w:hint="eastAsia" w:ascii="宋体" w:hAnsi="宋体"/>
                <w:sz w:val="24"/>
                <w:szCs w:val="24"/>
              </w:rPr>
              <w:t>包装标志：</w:t>
            </w:r>
            <w:r>
              <w:rPr>
                <w:rFonts w:ascii="宋体" w:hAnsi="宋体"/>
                <w:sz w:val="24"/>
                <w:szCs w:val="24"/>
              </w:rPr>
              <w:t>5        UN</w:t>
            </w:r>
            <w:r>
              <w:rPr>
                <w:rFonts w:hint="eastAsia" w:ascii="宋体" w:hAnsi="宋体"/>
                <w:sz w:val="24"/>
                <w:szCs w:val="24"/>
              </w:rPr>
              <w:t>编号：</w:t>
            </w:r>
            <w:r>
              <w:rPr>
                <w:rFonts w:ascii="宋体" w:hAnsi="宋体"/>
                <w:sz w:val="24"/>
                <w:szCs w:val="24"/>
              </w:rPr>
              <w:t xml:space="preserve"> 1006       </w:t>
            </w:r>
            <w:r>
              <w:rPr>
                <w:rFonts w:hint="eastAsia" w:ascii="宋体" w:hAnsi="宋体"/>
                <w:sz w:val="24"/>
                <w:szCs w:val="24"/>
              </w:rPr>
              <w:t>包装分类：Ⅲ</w:t>
            </w:r>
            <w:r>
              <w:rPr>
                <w:rFonts w:ascii="宋体" w:hAnsi="宋体"/>
                <w:sz w:val="24"/>
                <w:szCs w:val="24"/>
              </w:rPr>
              <w:t xml:space="preserve">        </w:t>
            </w:r>
            <w:r>
              <w:rPr>
                <w:rFonts w:hint="eastAsia" w:ascii="宋体" w:hAnsi="宋体"/>
                <w:sz w:val="24"/>
                <w:szCs w:val="24"/>
              </w:rPr>
              <w:t>包装方法：钢质气瓶</w:t>
            </w:r>
          </w:p>
          <w:p>
            <w:pPr>
              <w:spacing w:line="340" w:lineRule="exact"/>
              <w:rPr>
                <w:rFonts w:ascii="宋体" w:hAnsi="宋体"/>
                <w:sz w:val="24"/>
                <w:szCs w:val="24"/>
              </w:rPr>
            </w:pPr>
            <w:r>
              <w:rPr>
                <w:rFonts w:hint="eastAsia" w:ascii="宋体" w:hAnsi="宋体"/>
                <w:sz w:val="24"/>
                <w:szCs w:val="24"/>
              </w:rPr>
              <w:t>储运条件：不燃性压缩气体。储存于阴凉、通风仓间内。仓内温度不宜超过</w:t>
            </w:r>
            <w:r>
              <w:rPr>
                <w:rFonts w:ascii="宋体" w:hAnsi="宋体"/>
                <w:sz w:val="24"/>
                <w:szCs w:val="24"/>
              </w:rPr>
              <w:t>30</w:t>
            </w:r>
            <w:r>
              <w:rPr>
                <w:rFonts w:hint="eastAsia" w:ascii="宋体" w:hAnsi="宋体"/>
                <w:sz w:val="24"/>
                <w:szCs w:val="24"/>
              </w:rPr>
              <w:t>℃。远离火种、热源。防止阳光直射。应与易燃或可燃物分开存放。验收时要注意品名，注意验瓶日期，先进仓的先发用。搬运时轻装轻卸，防止钢瓶及附件破损。</w:t>
            </w:r>
          </w:p>
        </w:tc>
      </w:tr>
    </w:tbl>
    <w:p>
      <w:pPr>
        <w:ind w:firstLine="560"/>
      </w:pPr>
    </w:p>
    <w:p>
      <w:pPr>
        <w:pStyle w:val="19"/>
        <w:spacing w:line="360" w:lineRule="auto"/>
        <w:ind w:firstLine="560"/>
        <w:rPr>
          <w:rFonts w:cs="Times New Roman" w:asciiTheme="minorEastAsia" w:hAnsiTheme="minorEastAsia" w:eastAsiaTheme="minorEastAsia"/>
          <w:i w:val="0"/>
          <w:sz w:val="28"/>
          <w:szCs w:val="22"/>
        </w:rPr>
      </w:pPr>
      <w:r>
        <w:rPr>
          <w:rFonts w:hint="eastAsia" w:cs="Times New Roman" w:asciiTheme="minorEastAsia" w:hAnsiTheme="minorEastAsia" w:eastAsiaTheme="minorEastAsia"/>
          <w:i w:val="0"/>
          <w:sz w:val="28"/>
          <w:szCs w:val="22"/>
        </w:rPr>
        <w:t>2</w:t>
      </w:r>
      <w:r>
        <w:rPr>
          <w:rFonts w:cs="Times New Roman" w:asciiTheme="minorEastAsia" w:hAnsiTheme="minorEastAsia" w:eastAsiaTheme="minorEastAsia"/>
          <w:i w:val="0"/>
          <w:sz w:val="28"/>
          <w:szCs w:val="22"/>
        </w:rPr>
        <w:t>.4</w:t>
      </w:r>
      <w:r>
        <w:rPr>
          <w:rFonts w:hint="eastAsia" w:cs="Times New Roman" w:asciiTheme="minorEastAsia" w:hAnsiTheme="minorEastAsia" w:eastAsiaTheme="minorEastAsia"/>
          <w:i w:val="0"/>
          <w:sz w:val="28"/>
          <w:szCs w:val="22"/>
        </w:rPr>
        <w:t>汽油</w:t>
      </w:r>
    </w:p>
    <w:p>
      <w:pPr>
        <w:pStyle w:val="19"/>
        <w:spacing w:line="360" w:lineRule="auto"/>
        <w:ind w:firstLine="562"/>
        <w:jc w:val="center"/>
        <w:rPr>
          <w:rFonts w:ascii="宋体" w:hAnsi="宋体" w:cs="Times New Roman"/>
          <w:b/>
          <w:i w:val="0"/>
          <w:sz w:val="28"/>
        </w:rPr>
      </w:pPr>
      <w:r>
        <w:rPr>
          <w:rFonts w:hint="eastAsia" w:ascii="宋体" w:hAnsi="宋体"/>
          <w:b/>
          <w:i w:val="0"/>
          <w:iCs/>
          <w:sz w:val="28"/>
        </w:rPr>
        <w:t>附</w:t>
      </w:r>
      <w:r>
        <w:rPr>
          <w:rFonts w:hint="eastAsia" w:ascii="宋体" w:hAnsi="宋体" w:cs="Times New Roman"/>
          <w:b/>
          <w:i w:val="0"/>
          <w:iCs/>
          <w:sz w:val="28"/>
        </w:rPr>
        <w:t>录A</w:t>
      </w:r>
      <w:r>
        <w:rPr>
          <w:rFonts w:hint="eastAsia" w:ascii="宋体" w:hAnsi="宋体" w:cs="Times New Roman"/>
          <w:b/>
          <w:i w:val="0"/>
          <w:sz w:val="28"/>
        </w:rPr>
        <w:t>表4汽油理化性质及危险特性表</w:t>
      </w:r>
    </w:p>
    <w:tbl>
      <w:tblPr>
        <w:tblStyle w:val="42"/>
        <w:tblW w:w="9169" w:type="dxa"/>
        <w:tblInd w:w="-29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06"/>
        <w:gridCol w:w="2700"/>
        <w:gridCol w:w="720"/>
        <w:gridCol w:w="52"/>
        <w:gridCol w:w="308"/>
        <w:gridCol w:w="1400"/>
        <w:gridCol w:w="909"/>
        <w:gridCol w:w="26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7" w:hRule="atLeast"/>
        </w:trPr>
        <w:tc>
          <w:tcPr>
            <w:tcW w:w="406"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标识</w:t>
            </w:r>
          </w:p>
        </w:tc>
        <w:tc>
          <w:tcPr>
            <w:tcW w:w="3780" w:type="dxa"/>
            <w:gridSpan w:val="4"/>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中文名：汽油</w:t>
            </w:r>
          </w:p>
        </w:tc>
        <w:tc>
          <w:tcPr>
            <w:tcW w:w="4983" w:type="dxa"/>
            <w:gridSpan w:val="3"/>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英文名：</w:t>
            </w:r>
            <w:r>
              <w:rPr>
                <w:rFonts w:ascii="宋体" w:hAnsi="宋体"/>
                <w:color w:val="000000" w:themeColor="text1"/>
                <w:sz w:val="24"/>
                <w:szCs w:val="24"/>
                <w14:textFill>
                  <w14:solidFill>
                    <w14:schemeClr w14:val="tx1"/>
                  </w14:solidFill>
                </w14:textFill>
              </w:rPr>
              <w:t xml:space="preserve"> gasoline</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petrol</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6" w:hRule="atLeast"/>
        </w:trPr>
        <w:tc>
          <w:tcPr>
            <w:tcW w:w="40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3472" w:type="dxa"/>
            <w:gridSpan w:val="3"/>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分子式：</w:t>
            </w:r>
          </w:p>
        </w:tc>
        <w:tc>
          <w:tcPr>
            <w:tcW w:w="2617" w:type="dxa"/>
            <w:gridSpan w:val="3"/>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分子量：</w:t>
            </w:r>
          </w:p>
        </w:tc>
        <w:tc>
          <w:tcPr>
            <w:tcW w:w="2674" w:type="dxa"/>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CAS</w:t>
            </w:r>
            <w:r>
              <w:rPr>
                <w:rFonts w:hint="eastAsia" w:ascii="宋体" w:hAnsi="宋体"/>
                <w:color w:val="000000" w:themeColor="text1"/>
                <w:sz w:val="24"/>
                <w:szCs w:val="24"/>
                <w14:textFill>
                  <w14:solidFill>
                    <w14:schemeClr w14:val="tx1"/>
                  </w14:solidFill>
                </w14:textFill>
              </w:rPr>
              <w:t>号：</w:t>
            </w:r>
            <w:r>
              <w:rPr>
                <w:rFonts w:ascii="宋体" w:hAnsi="宋体"/>
                <w:color w:val="000000" w:themeColor="text1"/>
                <w:sz w:val="24"/>
                <w:szCs w:val="24"/>
                <w14:textFill>
                  <w14:solidFill>
                    <w14:schemeClr w14:val="tx1"/>
                  </w14:solidFill>
                </w14:textFill>
              </w:rPr>
              <w:t>8006</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61</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 w:hRule="atLeast"/>
        </w:trPr>
        <w:tc>
          <w:tcPr>
            <w:tcW w:w="40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8763" w:type="dxa"/>
            <w:gridSpan w:val="7"/>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危规号：</w:t>
            </w:r>
            <w:r>
              <w:rPr>
                <w:rFonts w:ascii="宋体" w:hAnsi="宋体"/>
                <w:color w:val="000000" w:themeColor="text1"/>
                <w:sz w:val="24"/>
                <w:szCs w:val="24"/>
                <w14:textFill>
                  <w14:solidFill>
                    <w14:schemeClr w14:val="tx1"/>
                  </w14:solidFill>
                </w14:textFill>
              </w:rPr>
              <w:t>31001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6" w:hRule="atLeast"/>
        </w:trPr>
        <w:tc>
          <w:tcPr>
            <w:tcW w:w="406"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理化性质</w:t>
            </w:r>
          </w:p>
        </w:tc>
        <w:tc>
          <w:tcPr>
            <w:tcW w:w="8763" w:type="dxa"/>
            <w:gridSpan w:val="7"/>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性状：无色或淡黄色易挥发液体，具有特殊臭味。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5" w:hRule="atLeast"/>
        </w:trPr>
        <w:tc>
          <w:tcPr>
            <w:tcW w:w="40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8763" w:type="dxa"/>
            <w:gridSpan w:val="7"/>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溶解性：不溶于水，易溶于苯、二硫化碳、醇、脂肪。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5" w:hRule="atLeast"/>
        </w:trPr>
        <w:tc>
          <w:tcPr>
            <w:tcW w:w="40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2700" w:type="dxa"/>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熔点（℃）：＜－</w:t>
            </w:r>
            <w:r>
              <w:rPr>
                <w:rFonts w:ascii="宋体" w:hAnsi="宋体"/>
                <w:color w:val="000000" w:themeColor="text1"/>
                <w:sz w:val="24"/>
                <w:szCs w:val="24"/>
                <w14:textFill>
                  <w14:solidFill>
                    <w14:schemeClr w14:val="tx1"/>
                  </w14:solidFill>
                </w14:textFill>
              </w:rPr>
              <w:t>60</w:t>
            </w:r>
          </w:p>
        </w:tc>
        <w:tc>
          <w:tcPr>
            <w:tcW w:w="2480" w:type="dxa"/>
            <w:gridSpan w:val="4"/>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沸点（℃）：</w:t>
            </w:r>
            <w:r>
              <w:rPr>
                <w:rFonts w:ascii="宋体" w:hAnsi="宋体"/>
                <w:color w:val="000000" w:themeColor="text1"/>
                <w:sz w:val="24"/>
                <w:szCs w:val="24"/>
                <w14:textFill>
                  <w14:solidFill>
                    <w14:schemeClr w14:val="tx1"/>
                  </w14:solidFill>
                </w14:textFill>
              </w:rPr>
              <w:t>40</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200</w:t>
            </w:r>
          </w:p>
        </w:tc>
        <w:tc>
          <w:tcPr>
            <w:tcW w:w="3583" w:type="dxa"/>
            <w:gridSpan w:val="2"/>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相对密度（水＝</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0.70</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0. 79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5" w:hRule="atLeast"/>
        </w:trPr>
        <w:tc>
          <w:tcPr>
            <w:tcW w:w="40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2700" w:type="dxa"/>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临界温度（℃）：</w:t>
            </w:r>
            <w:r>
              <w:rPr>
                <w:rFonts w:ascii="宋体" w:hAnsi="宋体"/>
                <w:color w:val="000000" w:themeColor="text1"/>
                <w:sz w:val="24"/>
                <w:szCs w:val="24"/>
                <w14:textFill>
                  <w14:solidFill>
                    <w14:schemeClr w14:val="tx1"/>
                  </w14:solidFill>
                </w14:textFill>
              </w:rPr>
              <w:t xml:space="preserve">  </w:t>
            </w:r>
          </w:p>
        </w:tc>
        <w:tc>
          <w:tcPr>
            <w:tcW w:w="2480" w:type="dxa"/>
            <w:gridSpan w:val="4"/>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临界压力（</w:t>
            </w:r>
            <w:r>
              <w:rPr>
                <w:rFonts w:ascii="宋体" w:hAnsi="宋体"/>
                <w:color w:val="000000" w:themeColor="text1"/>
                <w:sz w:val="24"/>
                <w:szCs w:val="24"/>
                <w14:textFill>
                  <w14:solidFill>
                    <w14:schemeClr w14:val="tx1"/>
                  </w14:solidFill>
                </w14:textFill>
              </w:rPr>
              <w:t>MPa</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 xml:space="preserve">  </w:t>
            </w:r>
          </w:p>
        </w:tc>
        <w:tc>
          <w:tcPr>
            <w:tcW w:w="3583" w:type="dxa"/>
            <w:gridSpan w:val="2"/>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相对密度（空气＝</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 xml:space="preserve">3.5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5" w:hRule="atLeast"/>
        </w:trPr>
        <w:tc>
          <w:tcPr>
            <w:tcW w:w="40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2700" w:type="dxa"/>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燃烧热（</w:t>
            </w:r>
            <w:r>
              <w:rPr>
                <w:rFonts w:ascii="宋体" w:hAnsi="宋体"/>
                <w:color w:val="000000" w:themeColor="text1"/>
                <w:sz w:val="24"/>
                <w:szCs w:val="24"/>
                <w14:textFill>
                  <w14:solidFill>
                    <w14:schemeClr w14:val="tx1"/>
                  </w14:solidFill>
                </w14:textFill>
              </w:rPr>
              <w:t>KJ/mol</w:t>
            </w:r>
            <w:r>
              <w:rPr>
                <w:rFonts w:hint="eastAsia" w:ascii="宋体" w:hAnsi="宋体"/>
                <w:color w:val="000000" w:themeColor="text1"/>
                <w:sz w:val="24"/>
                <w:szCs w:val="24"/>
                <w14:textFill>
                  <w14:solidFill>
                    <w14:schemeClr w14:val="tx1"/>
                  </w14:solidFill>
                </w14:textFill>
              </w:rPr>
              <w:t>）：</w:t>
            </w:r>
          </w:p>
        </w:tc>
        <w:tc>
          <w:tcPr>
            <w:tcW w:w="2480" w:type="dxa"/>
            <w:gridSpan w:val="4"/>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最小点火能（</w:t>
            </w:r>
            <w:r>
              <w:rPr>
                <w:rFonts w:ascii="宋体" w:hAnsi="宋体"/>
                <w:color w:val="000000" w:themeColor="text1"/>
                <w:sz w:val="24"/>
                <w:szCs w:val="24"/>
                <w14:textFill>
                  <w14:solidFill>
                    <w14:schemeClr w14:val="tx1"/>
                  </w14:solidFill>
                </w14:textFill>
              </w:rPr>
              <w:t>mJ</w:t>
            </w:r>
            <w:r>
              <w:rPr>
                <w:rFonts w:hint="eastAsia" w:ascii="宋体" w:hAnsi="宋体"/>
                <w:color w:val="000000" w:themeColor="text1"/>
                <w:sz w:val="24"/>
                <w:szCs w:val="24"/>
                <w14:textFill>
                  <w14:solidFill>
                    <w14:schemeClr w14:val="tx1"/>
                  </w14:solidFill>
                </w14:textFill>
              </w:rPr>
              <w:t>）：</w:t>
            </w:r>
          </w:p>
        </w:tc>
        <w:tc>
          <w:tcPr>
            <w:tcW w:w="3583" w:type="dxa"/>
            <w:gridSpan w:val="2"/>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饱和蒸汽压（</w:t>
            </w:r>
            <w:r>
              <w:rPr>
                <w:rFonts w:ascii="宋体" w:hAnsi="宋体"/>
                <w:color w:val="000000" w:themeColor="text1"/>
                <w:sz w:val="24"/>
                <w:szCs w:val="24"/>
                <w14:textFill>
                  <w14:solidFill>
                    <w14:schemeClr w14:val="tx1"/>
                  </w14:solidFill>
                </w14:textFill>
              </w:rPr>
              <w:t>Pa</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9" w:hRule="atLeast"/>
        </w:trPr>
        <w:tc>
          <w:tcPr>
            <w:tcW w:w="406"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燃烧爆炸危险性</w:t>
            </w:r>
          </w:p>
        </w:tc>
        <w:tc>
          <w:tcPr>
            <w:tcW w:w="3420" w:type="dxa"/>
            <w:gridSpan w:val="2"/>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燃烧性：</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易燃</w:t>
            </w:r>
          </w:p>
        </w:tc>
        <w:tc>
          <w:tcPr>
            <w:tcW w:w="5343" w:type="dxa"/>
            <w:gridSpan w:val="5"/>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燃烧分解产物：一氧化碳、二氧化碳。</w:t>
            </w:r>
            <w:r>
              <w:rPr>
                <w:rFonts w:ascii="宋体" w:hAnsi="宋体"/>
                <w:color w:val="000000" w:themeColor="text1"/>
                <w:sz w:val="24"/>
                <w:szCs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40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3420" w:type="dxa"/>
            <w:gridSpan w:val="2"/>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闪点（℃）：－</w:t>
            </w:r>
            <w:r>
              <w:rPr>
                <w:rFonts w:ascii="宋体" w:hAnsi="宋体"/>
                <w:color w:val="000000" w:themeColor="text1"/>
                <w:sz w:val="24"/>
                <w:szCs w:val="24"/>
                <w14:textFill>
                  <w14:solidFill>
                    <w14:schemeClr w14:val="tx1"/>
                  </w14:solidFill>
                </w14:textFill>
              </w:rPr>
              <w:t xml:space="preserve">50 </w:t>
            </w:r>
          </w:p>
        </w:tc>
        <w:tc>
          <w:tcPr>
            <w:tcW w:w="5343" w:type="dxa"/>
            <w:gridSpan w:val="5"/>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聚合危害：</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不聚合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40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3420" w:type="dxa"/>
            <w:gridSpan w:val="2"/>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爆炸下限（％）：</w:t>
            </w:r>
            <w:r>
              <w:rPr>
                <w:rFonts w:ascii="宋体" w:hAnsi="宋体"/>
                <w:color w:val="000000" w:themeColor="text1"/>
                <w:sz w:val="24"/>
                <w:szCs w:val="24"/>
                <w14:textFill>
                  <w14:solidFill>
                    <w14:schemeClr w14:val="tx1"/>
                  </w14:solidFill>
                </w14:textFill>
              </w:rPr>
              <w:t xml:space="preserve">1.3 </w:t>
            </w:r>
          </w:p>
        </w:tc>
        <w:tc>
          <w:tcPr>
            <w:tcW w:w="5343" w:type="dxa"/>
            <w:gridSpan w:val="5"/>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稳定性：</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40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3420" w:type="dxa"/>
            <w:gridSpan w:val="2"/>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爆炸上限（％）：</w:t>
            </w:r>
            <w:r>
              <w:rPr>
                <w:rFonts w:ascii="宋体" w:hAnsi="宋体"/>
                <w:color w:val="000000" w:themeColor="text1"/>
                <w:sz w:val="24"/>
                <w:szCs w:val="24"/>
                <w14:textFill>
                  <w14:solidFill>
                    <w14:schemeClr w14:val="tx1"/>
                  </w14:solidFill>
                </w14:textFill>
              </w:rPr>
              <w:t xml:space="preserve"> 6.0</w:t>
            </w:r>
          </w:p>
        </w:tc>
        <w:tc>
          <w:tcPr>
            <w:tcW w:w="5343" w:type="dxa"/>
            <w:gridSpan w:val="5"/>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最大爆炸压力（</w:t>
            </w:r>
            <w:r>
              <w:rPr>
                <w:rFonts w:ascii="宋体" w:hAnsi="宋体"/>
                <w:color w:val="000000" w:themeColor="text1"/>
                <w:sz w:val="24"/>
                <w:szCs w:val="24"/>
                <w14:textFill>
                  <w14:solidFill>
                    <w14:schemeClr w14:val="tx1"/>
                  </w14:solidFill>
                </w14:textFill>
              </w:rPr>
              <w:t>MPa</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 w:hRule="atLeast"/>
        </w:trPr>
        <w:tc>
          <w:tcPr>
            <w:tcW w:w="40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3420" w:type="dxa"/>
            <w:gridSpan w:val="2"/>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引燃温度（℃）：</w:t>
            </w:r>
            <w:r>
              <w:rPr>
                <w:rFonts w:ascii="宋体" w:hAnsi="宋体"/>
                <w:color w:val="000000" w:themeColor="text1"/>
                <w:sz w:val="24"/>
                <w:szCs w:val="24"/>
                <w14:textFill>
                  <w14:solidFill>
                    <w14:schemeClr w14:val="tx1"/>
                  </w14:solidFill>
                </w14:textFill>
              </w:rPr>
              <w:t>415</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530</w:t>
            </w:r>
          </w:p>
        </w:tc>
        <w:tc>
          <w:tcPr>
            <w:tcW w:w="5343" w:type="dxa"/>
            <w:gridSpan w:val="5"/>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禁忌物：</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强氧化剂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7" w:hRule="atLeast"/>
        </w:trPr>
        <w:tc>
          <w:tcPr>
            <w:tcW w:w="40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8763" w:type="dxa"/>
            <w:gridSpan w:val="7"/>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危险特性：</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其蒸气与空气可形成爆炸性混合物。遇明火、高热极易燃烧爆炸。与氧化剂能发生强烈反应。其蒸气比空气重，能在较低处扩散到相当远的地方，遇明火会引起回燃。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trPr>
        <w:tc>
          <w:tcPr>
            <w:tcW w:w="40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8763" w:type="dxa"/>
            <w:gridSpan w:val="7"/>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pacing w:val="-4"/>
                <w:sz w:val="24"/>
                <w:szCs w:val="24"/>
                <w14:textFill>
                  <w14:solidFill>
                    <w14:schemeClr w14:val="tx1"/>
                  </w14:solidFill>
                </w14:textFill>
              </w:rPr>
            </w:pPr>
            <w:r>
              <w:rPr>
                <w:rFonts w:hint="eastAsia" w:ascii="宋体" w:hAnsi="宋体"/>
                <w:color w:val="000000" w:themeColor="text1"/>
                <w:spacing w:val="-4"/>
                <w:sz w:val="24"/>
                <w:szCs w:val="24"/>
                <w14:textFill>
                  <w14:solidFill>
                    <w14:schemeClr w14:val="tx1"/>
                  </w14:solidFill>
                </w14:textFill>
              </w:rPr>
              <w:t>灭火方法：喷水冷却容器，可能的话将容器从火场移至空旷处。</w:t>
            </w:r>
          </w:p>
          <w:p>
            <w:pPr>
              <w:spacing w:line="260" w:lineRule="exact"/>
              <w:rPr>
                <w:rFonts w:ascii="宋体" w:hAnsi="宋体"/>
                <w:color w:val="000000" w:themeColor="text1"/>
                <w:spacing w:val="-4"/>
                <w:sz w:val="24"/>
                <w:szCs w:val="24"/>
                <w14:textFill>
                  <w14:solidFill>
                    <w14:schemeClr w14:val="tx1"/>
                  </w14:solidFill>
                </w14:textFill>
              </w:rPr>
            </w:pPr>
            <w:r>
              <w:rPr>
                <w:rFonts w:hint="eastAsia" w:ascii="宋体" w:hAnsi="宋体"/>
                <w:color w:val="000000" w:themeColor="text1"/>
                <w:spacing w:val="-4"/>
                <w:sz w:val="24"/>
                <w:szCs w:val="24"/>
                <w14:textFill>
                  <w14:solidFill>
                    <w14:schemeClr w14:val="tx1"/>
                  </w14:solidFill>
                </w14:textFill>
              </w:rPr>
              <w:t>灭火剂：泡沫、干粉、二氧化碳。用水灭火无效。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0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毒性</w:t>
            </w:r>
          </w:p>
        </w:tc>
        <w:tc>
          <w:tcPr>
            <w:tcW w:w="8763" w:type="dxa"/>
            <w:gridSpan w:val="7"/>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LD</w:t>
            </w:r>
            <w:r>
              <w:rPr>
                <w:rFonts w:ascii="宋体" w:hAnsi="宋体"/>
                <w:color w:val="000000" w:themeColor="text1"/>
                <w:sz w:val="24"/>
                <w:szCs w:val="24"/>
                <w:vertAlign w:val="subscript"/>
                <w14:textFill>
                  <w14:solidFill>
                    <w14:schemeClr w14:val="tx1"/>
                  </w14:solidFill>
                </w14:textFill>
              </w:rPr>
              <w:t>50</w:t>
            </w:r>
            <w:r>
              <w:rPr>
                <w:rFonts w:ascii="宋体" w:hAnsi="宋体"/>
                <w:color w:val="000000" w:themeColor="text1"/>
                <w:sz w:val="24"/>
                <w:szCs w:val="24"/>
                <w14:textFill>
                  <w14:solidFill>
                    <w14:schemeClr w14:val="tx1"/>
                  </w14:solidFill>
                </w14:textFill>
              </w:rPr>
              <w:t xml:space="preserve">  67000mg/kg</w:t>
            </w:r>
            <w:r>
              <w:rPr>
                <w:rFonts w:hint="eastAsia" w:ascii="宋体" w:hAnsi="宋体"/>
                <w:color w:val="000000" w:themeColor="text1"/>
                <w:sz w:val="24"/>
                <w:szCs w:val="24"/>
                <w14:textFill>
                  <w14:solidFill>
                    <w14:schemeClr w14:val="tx1"/>
                  </w14:solidFill>
                </w14:textFill>
              </w:rPr>
              <w:t>（小鼠经口）；</w:t>
            </w:r>
          </w:p>
          <w:p>
            <w:pPr>
              <w:spacing w:line="260" w:lineRule="exac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LC</w:t>
            </w:r>
            <w:r>
              <w:rPr>
                <w:rFonts w:ascii="宋体" w:hAnsi="宋体"/>
                <w:color w:val="000000" w:themeColor="text1"/>
                <w:sz w:val="24"/>
                <w:szCs w:val="24"/>
                <w:vertAlign w:val="subscript"/>
                <w14:textFill>
                  <w14:solidFill>
                    <w14:schemeClr w14:val="tx1"/>
                  </w14:solidFill>
                </w14:textFill>
              </w:rPr>
              <w:t>50</w:t>
            </w:r>
            <w:r>
              <w:rPr>
                <w:rFonts w:ascii="宋体" w:hAnsi="宋体"/>
                <w:color w:val="000000" w:themeColor="text1"/>
                <w:sz w:val="24"/>
                <w:szCs w:val="24"/>
                <w14:textFill>
                  <w14:solidFill>
                    <w14:schemeClr w14:val="tx1"/>
                  </w14:solidFill>
                </w14:textFill>
              </w:rPr>
              <w:t xml:space="preserve">  103000mg/m</w:t>
            </w:r>
            <w:r>
              <w:rPr>
                <w:rFonts w:ascii="宋体" w:hAnsi="宋体"/>
                <w:color w:val="000000" w:themeColor="text1"/>
                <w:sz w:val="24"/>
                <w:szCs w:val="24"/>
                <w:vertAlign w:val="superscript"/>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小时（小鼠吸入）。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40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对人体危害</w:t>
            </w:r>
          </w:p>
        </w:tc>
        <w:tc>
          <w:tcPr>
            <w:tcW w:w="8763" w:type="dxa"/>
            <w:gridSpan w:val="7"/>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侵入途径：</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吸入、食入，经皮肤吸收。</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健康危害：急性中毒：对中枢神经系统有麻醉作用。轻度中毒症状有头晕、头痛、恶心、呕吐、步态不稳、共济失调。高浓度吸入出现中毒性脑病。极高浓度吸入引起意识突然丧失、放射性呼吸停止。可伴有中毒性周围神经病及化学性肺炎。部分患者出现中毒性神经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紊乱、周围神经病。严重中毒出现中毒性脑病，症状类似精神分裂症。皮肤损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40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急救</w:t>
            </w:r>
          </w:p>
        </w:tc>
        <w:tc>
          <w:tcPr>
            <w:tcW w:w="8763" w:type="dxa"/>
            <w:gridSpan w:val="7"/>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皮肤接触：脱去被污染的衣着，用肥皂水和清水彻底冲洗皮肤。就医。</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眼睛接触：</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提起眼睑，用流动清水或生理盐水彻底冲洗至少</w:t>
            </w:r>
            <w:r>
              <w:rPr>
                <w:rFonts w:ascii="宋体" w:hAnsi="宋体"/>
                <w:color w:val="000000" w:themeColor="text1"/>
                <w:sz w:val="24"/>
                <w:szCs w:val="24"/>
                <w14:textFill>
                  <w14:solidFill>
                    <w14:schemeClr w14:val="tx1"/>
                  </w14:solidFill>
                </w14:textFill>
              </w:rPr>
              <w:t>15</w:t>
            </w:r>
            <w:r>
              <w:rPr>
                <w:rFonts w:hint="eastAsia" w:ascii="宋体" w:hAnsi="宋体"/>
                <w:color w:val="000000" w:themeColor="text1"/>
                <w:sz w:val="24"/>
                <w:szCs w:val="24"/>
                <w14:textFill>
                  <w14:solidFill>
                    <w14:schemeClr w14:val="tx1"/>
                  </w14:solidFill>
                </w14:textFill>
              </w:rPr>
              <w:t>分钟。就医。</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吸入：迅速脱离现场至空气新鲜处，保持呼吸道通畅。如呼吸困难，给输氧。如呼吸停止，立即进行人工呼吸。就医。</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食入：给饮牛奶或用植物油洗胃和灌肠。就医。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9" w:hRule="atLeast"/>
        </w:trPr>
        <w:tc>
          <w:tcPr>
            <w:tcW w:w="40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防护</w:t>
            </w:r>
          </w:p>
        </w:tc>
        <w:tc>
          <w:tcPr>
            <w:tcW w:w="8763" w:type="dxa"/>
            <w:gridSpan w:val="7"/>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pacing w:val="-4"/>
                <w:sz w:val="24"/>
                <w:szCs w:val="24"/>
                <w14:textFill>
                  <w14:solidFill>
                    <w14:schemeClr w14:val="tx1"/>
                  </w14:solidFill>
                </w14:textFill>
              </w:rPr>
            </w:pPr>
            <w:r>
              <w:rPr>
                <w:rFonts w:hint="eastAsia" w:ascii="宋体" w:hAnsi="宋体"/>
                <w:color w:val="000000" w:themeColor="text1"/>
                <w:spacing w:val="-4"/>
                <w:sz w:val="24"/>
                <w:szCs w:val="24"/>
                <w14:textFill>
                  <w14:solidFill>
                    <w14:schemeClr w14:val="tx1"/>
                  </w14:solidFill>
                </w14:textFill>
              </w:rPr>
              <w:t>工程控制：生产过程密闭，全面通风。</w:t>
            </w:r>
          </w:p>
          <w:p>
            <w:pPr>
              <w:spacing w:line="260" w:lineRule="exact"/>
              <w:rPr>
                <w:rFonts w:ascii="宋体" w:hAnsi="宋体"/>
                <w:color w:val="000000" w:themeColor="text1"/>
                <w:spacing w:val="-4"/>
                <w:sz w:val="24"/>
                <w:szCs w:val="24"/>
                <w14:textFill>
                  <w14:solidFill>
                    <w14:schemeClr w14:val="tx1"/>
                  </w14:solidFill>
                </w14:textFill>
              </w:rPr>
            </w:pPr>
            <w:r>
              <w:rPr>
                <w:rFonts w:hint="eastAsia" w:ascii="宋体" w:hAnsi="宋体"/>
                <w:color w:val="000000" w:themeColor="text1"/>
                <w:spacing w:val="-4"/>
                <w:sz w:val="24"/>
                <w:szCs w:val="24"/>
                <w14:textFill>
                  <w14:solidFill>
                    <w14:schemeClr w14:val="tx1"/>
                  </w14:solidFill>
                </w14:textFill>
              </w:rPr>
              <w:t>呼吸系统防护：一般不需要特殊防护，高浓度接触时，佩戴自吸过滤式防毒面具（半面罩）。</w:t>
            </w:r>
          </w:p>
          <w:p>
            <w:pPr>
              <w:spacing w:line="260" w:lineRule="exact"/>
              <w:rPr>
                <w:rFonts w:ascii="宋体" w:hAnsi="宋体"/>
                <w:color w:val="000000" w:themeColor="text1"/>
                <w:spacing w:val="-4"/>
                <w:sz w:val="24"/>
                <w:szCs w:val="24"/>
                <w14:textFill>
                  <w14:solidFill>
                    <w14:schemeClr w14:val="tx1"/>
                  </w14:solidFill>
                </w14:textFill>
              </w:rPr>
            </w:pPr>
            <w:r>
              <w:rPr>
                <w:rFonts w:hint="eastAsia" w:ascii="宋体" w:hAnsi="宋体"/>
                <w:color w:val="000000" w:themeColor="text1"/>
                <w:spacing w:val="-4"/>
                <w:sz w:val="24"/>
                <w:szCs w:val="24"/>
                <w14:textFill>
                  <w14:solidFill>
                    <w14:schemeClr w14:val="tx1"/>
                  </w14:solidFill>
                </w14:textFill>
              </w:rPr>
              <w:t>眼睛防护：一般不需要特殊防护，高浓度接触时戴安全防护眼镜。</w:t>
            </w:r>
          </w:p>
          <w:p>
            <w:pPr>
              <w:spacing w:line="260" w:lineRule="exact"/>
              <w:rPr>
                <w:rFonts w:ascii="宋体" w:hAnsi="宋体"/>
                <w:color w:val="000000" w:themeColor="text1"/>
                <w:spacing w:val="-4"/>
                <w:sz w:val="24"/>
                <w:szCs w:val="24"/>
                <w14:textFill>
                  <w14:solidFill>
                    <w14:schemeClr w14:val="tx1"/>
                  </w14:solidFill>
                </w14:textFill>
              </w:rPr>
            </w:pPr>
            <w:r>
              <w:rPr>
                <w:rFonts w:hint="eastAsia" w:ascii="宋体" w:hAnsi="宋体"/>
                <w:color w:val="000000" w:themeColor="text1"/>
                <w:spacing w:val="-4"/>
                <w:sz w:val="24"/>
                <w:szCs w:val="24"/>
                <w14:textFill>
                  <w14:solidFill>
                    <w14:schemeClr w14:val="tx1"/>
                  </w14:solidFill>
                </w14:textFill>
              </w:rPr>
              <w:t>身体防护：穿防静电工作服。</w:t>
            </w:r>
          </w:p>
          <w:p>
            <w:pPr>
              <w:spacing w:line="260" w:lineRule="exact"/>
              <w:rPr>
                <w:rFonts w:ascii="宋体" w:hAnsi="宋体"/>
                <w:color w:val="000000" w:themeColor="text1"/>
                <w:spacing w:val="-4"/>
                <w:sz w:val="24"/>
                <w:szCs w:val="24"/>
                <w14:textFill>
                  <w14:solidFill>
                    <w14:schemeClr w14:val="tx1"/>
                  </w14:solidFill>
                </w14:textFill>
              </w:rPr>
            </w:pPr>
            <w:r>
              <w:rPr>
                <w:rFonts w:hint="eastAsia" w:ascii="宋体" w:hAnsi="宋体"/>
                <w:color w:val="000000" w:themeColor="text1"/>
                <w:spacing w:val="-4"/>
                <w:sz w:val="24"/>
                <w:szCs w:val="24"/>
                <w14:textFill>
                  <w14:solidFill>
                    <w14:schemeClr w14:val="tx1"/>
                  </w14:solidFill>
                </w14:textFill>
              </w:rPr>
              <w:t>手防护：戴防苯耐油手套。</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pacing w:val="-4"/>
                <w:sz w:val="24"/>
                <w:szCs w:val="24"/>
                <w14:textFill>
                  <w14:solidFill>
                    <w14:schemeClr w14:val="tx1"/>
                  </w14:solidFill>
                </w14:textFill>
              </w:rPr>
              <w:t>其它：工作现场严禁吸烟。避免长期反复接触。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9" w:hRule="atLeast"/>
        </w:trPr>
        <w:tc>
          <w:tcPr>
            <w:tcW w:w="40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泄漏处理</w:t>
            </w:r>
          </w:p>
        </w:tc>
        <w:tc>
          <w:tcPr>
            <w:tcW w:w="8763" w:type="dxa"/>
            <w:gridSpan w:val="7"/>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迅速撤离泄漏污染区人员至安全区，并进行隔离，严格限制出入。切断火源。建议应急处理人员戴自给正压式呼吸器，穿消防防护服。尽可能切断泄漏源。防止进入下水道、排洪沟等限制性空间。小量泄漏：用砂土、蛭石或其它惰性材料吸收。或在保证安全的情况下，就地焚烧。大量泄漏：构筑围堤或挖坑收容；用泡沫覆盖，降低蒸气灾害。用防爆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6" w:hRule="atLeast"/>
        </w:trPr>
        <w:tc>
          <w:tcPr>
            <w:tcW w:w="40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贮运</w:t>
            </w:r>
          </w:p>
        </w:tc>
        <w:tc>
          <w:tcPr>
            <w:tcW w:w="8763" w:type="dxa"/>
            <w:gridSpan w:val="7"/>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包装标志：</w:t>
            </w:r>
            <w:r>
              <w:rPr>
                <w:rFonts w:ascii="宋体" w:hAnsi="宋体"/>
                <w:color w:val="000000" w:themeColor="text1"/>
                <w:sz w:val="24"/>
                <w:szCs w:val="24"/>
                <w14:textFill>
                  <w14:solidFill>
                    <w14:schemeClr w14:val="tx1"/>
                  </w14:solidFill>
                </w14:textFill>
              </w:rPr>
              <w:t>7        UN</w:t>
            </w:r>
            <w:r>
              <w:rPr>
                <w:rFonts w:hint="eastAsia" w:ascii="宋体" w:hAnsi="宋体"/>
                <w:color w:val="000000" w:themeColor="text1"/>
                <w:sz w:val="24"/>
                <w:szCs w:val="24"/>
                <w14:textFill>
                  <w14:solidFill>
                    <w14:schemeClr w14:val="tx1"/>
                  </w14:solidFill>
                </w14:textFill>
              </w:rPr>
              <w:t>编号：</w:t>
            </w:r>
            <w:r>
              <w:rPr>
                <w:rFonts w:ascii="宋体" w:hAnsi="宋体"/>
                <w:color w:val="000000" w:themeColor="text1"/>
                <w:sz w:val="24"/>
                <w:szCs w:val="24"/>
                <w14:textFill>
                  <w14:solidFill>
                    <w14:schemeClr w14:val="tx1"/>
                  </w14:solidFill>
                </w14:textFill>
              </w:rPr>
              <w:t xml:space="preserve">1203      </w:t>
            </w:r>
            <w:r>
              <w:rPr>
                <w:rFonts w:hint="eastAsia" w:ascii="宋体" w:hAnsi="宋体"/>
                <w:color w:val="000000" w:themeColor="text1"/>
                <w:sz w:val="24"/>
                <w:szCs w:val="24"/>
                <w14:textFill>
                  <w14:solidFill>
                    <w14:schemeClr w14:val="tx1"/>
                  </w14:solidFill>
                </w14:textFill>
              </w:rPr>
              <w:t>包装分类：Ⅰ</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包装方法：小开口钢桶；安瓿瓶外木板箱。</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储运条件：储存于阴凉、通风仓间内。远离火种、热源。仓内温度不宜超过</w:t>
            </w:r>
            <w:r>
              <w:rPr>
                <w:rFonts w:ascii="宋体" w:hAnsi="宋体"/>
                <w:color w:val="000000" w:themeColor="text1"/>
                <w:sz w:val="24"/>
                <w:szCs w:val="24"/>
                <w14:textFill>
                  <w14:solidFill>
                    <w14:schemeClr w14:val="tx1"/>
                  </w14:solidFill>
                </w14:textFill>
              </w:rPr>
              <w:t>30</w:t>
            </w:r>
            <w:r>
              <w:rPr>
                <w:rFonts w:hint="eastAsia" w:ascii="宋体" w:hAnsi="宋体"/>
                <w:color w:val="000000" w:themeColor="text1"/>
                <w:sz w:val="24"/>
                <w:szCs w:val="24"/>
                <w14:textFill>
                  <w14:solidFill>
                    <w14:schemeClr w14:val="tx1"/>
                  </w14:solidFill>
                </w14:textFill>
              </w:rPr>
              <w:t>℃。防止阳光直射。保持容器密封。应与氧化剂分开存放。储存间内的照明、通风等设施应采用防爆型，开关设在仓外。桶装堆跺不可过大，应留墙距、顶距、柱距及必要的防火检查走道。罐储时要有防火防爆技术措施。禁止使用易产生火花机械设备和工具。灌装时应注意流速（不超过</w:t>
            </w:r>
            <w:r>
              <w:rPr>
                <w:rFonts w:ascii="宋体" w:hAnsi="宋体"/>
                <w:color w:val="000000" w:themeColor="text1"/>
                <w:sz w:val="24"/>
                <w:szCs w:val="24"/>
                <w14:textFill>
                  <w14:solidFill>
                    <w14:schemeClr w14:val="tx1"/>
                  </w14:solidFill>
                </w14:textFill>
              </w:rPr>
              <w:t>3m/s</w:t>
            </w:r>
            <w:r>
              <w:rPr>
                <w:rFonts w:hint="eastAsia" w:ascii="宋体" w:hAnsi="宋体"/>
                <w:color w:val="000000" w:themeColor="text1"/>
                <w:sz w:val="24"/>
                <w:szCs w:val="24"/>
                <w14:textFill>
                  <w14:solidFill>
                    <w14:schemeClr w14:val="tx1"/>
                  </w14:solidFill>
                </w14:textFill>
              </w:rPr>
              <w:t>），且有接地装置，防止静电积聚。搬运时要注意轻装轻卸，防止包装及容器损坏。</w:t>
            </w:r>
          </w:p>
        </w:tc>
      </w:tr>
    </w:tbl>
    <w:p>
      <w:pPr>
        <w:pStyle w:val="19"/>
        <w:spacing w:line="360" w:lineRule="auto"/>
        <w:ind w:firstLine="560"/>
        <w:rPr>
          <w:rFonts w:cs="Times New Roman" w:asciiTheme="minorEastAsia" w:hAnsiTheme="minorEastAsia" w:eastAsiaTheme="minorEastAsia"/>
          <w:i w:val="0"/>
          <w:sz w:val="28"/>
          <w:szCs w:val="22"/>
        </w:rPr>
      </w:pPr>
    </w:p>
    <w:p>
      <w:pPr>
        <w:pStyle w:val="19"/>
        <w:spacing w:line="360" w:lineRule="auto"/>
        <w:ind w:firstLine="560"/>
        <w:rPr>
          <w:rFonts w:cs="Times New Roman" w:asciiTheme="minorEastAsia" w:hAnsiTheme="minorEastAsia" w:eastAsiaTheme="minorEastAsia"/>
          <w:i w:val="0"/>
          <w:sz w:val="28"/>
          <w:szCs w:val="22"/>
        </w:rPr>
      </w:pPr>
      <w:r>
        <w:rPr>
          <w:rFonts w:hint="eastAsia" w:cs="Times New Roman" w:asciiTheme="minorEastAsia" w:hAnsiTheme="minorEastAsia" w:eastAsiaTheme="minorEastAsia"/>
          <w:i w:val="0"/>
          <w:sz w:val="28"/>
          <w:szCs w:val="22"/>
        </w:rPr>
        <w:t>2</w:t>
      </w:r>
      <w:r>
        <w:rPr>
          <w:rFonts w:cs="Times New Roman" w:asciiTheme="minorEastAsia" w:hAnsiTheme="minorEastAsia" w:eastAsiaTheme="minorEastAsia"/>
          <w:i w:val="0"/>
          <w:sz w:val="28"/>
          <w:szCs w:val="22"/>
        </w:rPr>
        <w:t>.5</w:t>
      </w:r>
      <w:r>
        <w:rPr>
          <w:rFonts w:hint="eastAsia" w:cs="Times New Roman" w:asciiTheme="minorEastAsia" w:hAnsiTheme="minorEastAsia" w:eastAsiaTheme="minorEastAsia"/>
          <w:i w:val="0"/>
          <w:sz w:val="28"/>
          <w:szCs w:val="22"/>
        </w:rPr>
        <w:t>柴油</w:t>
      </w:r>
    </w:p>
    <w:p>
      <w:pPr>
        <w:pStyle w:val="19"/>
        <w:spacing w:after="0" w:line="560" w:lineRule="exact"/>
        <w:jc w:val="center"/>
        <w:rPr>
          <w:rFonts w:ascii="宋体" w:hAnsi="宋体" w:cs="Times New Roman"/>
          <w:b/>
          <w:i w:val="0"/>
          <w:sz w:val="28"/>
        </w:rPr>
      </w:pPr>
      <w:r>
        <w:rPr>
          <w:rFonts w:hint="eastAsia" w:ascii="宋体" w:hAnsi="宋体"/>
          <w:b/>
          <w:i w:val="0"/>
          <w:iCs/>
          <w:sz w:val="28"/>
        </w:rPr>
        <w:t>附</w:t>
      </w:r>
      <w:r>
        <w:rPr>
          <w:rFonts w:hint="eastAsia" w:ascii="宋体" w:hAnsi="宋体" w:cs="Times New Roman"/>
          <w:b/>
          <w:i w:val="0"/>
          <w:sz w:val="28"/>
        </w:rPr>
        <w:t>录A表4柴油理化性质及危险特性表</w:t>
      </w:r>
    </w:p>
    <w:tbl>
      <w:tblPr>
        <w:tblStyle w:val="42"/>
        <w:tblW w:w="9085" w:type="dxa"/>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2588"/>
        <w:gridCol w:w="562"/>
        <w:gridCol w:w="533"/>
        <w:gridCol w:w="1245"/>
        <w:gridCol w:w="1049"/>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 w:hRule="atLeast"/>
        </w:trPr>
        <w:tc>
          <w:tcPr>
            <w:tcW w:w="434"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标识</w:t>
            </w:r>
          </w:p>
        </w:tc>
        <w:tc>
          <w:tcPr>
            <w:tcW w:w="3683" w:type="dxa"/>
            <w:gridSpan w:val="3"/>
            <w:tcBorders>
              <w:top w:val="single" w:color="auto" w:sz="4" w:space="0"/>
              <w:left w:val="single" w:color="auto" w:sz="4" w:space="0"/>
              <w:bottom w:val="single" w:color="auto" w:sz="4" w:space="0"/>
              <w:right w:val="single" w:color="auto" w:sz="4" w:space="0"/>
            </w:tcBorders>
          </w:tcPr>
          <w:p>
            <w:pPr>
              <w:tabs>
                <w:tab w:val="left" w:pos="1860"/>
              </w:tabs>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中文名：柴油</w:t>
            </w:r>
            <w:r>
              <w:rPr>
                <w:rFonts w:ascii="宋体" w:hAnsi="宋体"/>
                <w:color w:val="000000" w:themeColor="text1"/>
                <w:sz w:val="24"/>
                <w:szCs w:val="24"/>
                <w14:textFill>
                  <w14:solidFill>
                    <w14:schemeClr w14:val="tx1"/>
                  </w14:solidFill>
                </w14:textFill>
              </w:rPr>
              <w:tab/>
            </w:r>
          </w:p>
        </w:tc>
        <w:tc>
          <w:tcPr>
            <w:tcW w:w="4968" w:type="dxa"/>
            <w:gridSpan w:val="3"/>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英文名：</w:t>
            </w:r>
            <w:r>
              <w:rPr>
                <w:rFonts w:ascii="宋体" w:hAnsi="宋体"/>
                <w:color w:val="000000" w:themeColor="text1"/>
                <w:sz w:val="24"/>
                <w:szCs w:val="24"/>
                <w14:textFill>
                  <w14:solidFill>
                    <w14:schemeClr w14:val="tx1"/>
                  </w14:solidFill>
                </w14:textFill>
              </w:rPr>
              <w:t>Diesel oil; Diesel fuel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 w:hRule="atLeast"/>
        </w:trPr>
        <w:tc>
          <w:tcPr>
            <w:tcW w:w="43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3150" w:type="dxa"/>
            <w:gridSpan w:val="2"/>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分子式：</w:t>
            </w:r>
          </w:p>
        </w:tc>
        <w:tc>
          <w:tcPr>
            <w:tcW w:w="2827" w:type="dxa"/>
            <w:gridSpan w:val="3"/>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分子量：</w:t>
            </w:r>
          </w:p>
        </w:tc>
        <w:tc>
          <w:tcPr>
            <w:tcW w:w="2674"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CAS</w:t>
            </w:r>
            <w:r>
              <w:rPr>
                <w:rFonts w:hint="eastAsia" w:ascii="宋体" w:hAnsi="宋体"/>
                <w:color w:val="000000" w:themeColor="text1"/>
                <w:sz w:val="24"/>
                <w:szCs w:val="24"/>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43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8651" w:type="dxa"/>
            <w:gridSpan w:val="6"/>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危规号：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434"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理化性质</w:t>
            </w:r>
          </w:p>
        </w:tc>
        <w:tc>
          <w:tcPr>
            <w:tcW w:w="8651" w:type="dxa"/>
            <w:gridSpan w:val="6"/>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性状：稍有粘性的棕色液体。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43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8651" w:type="dxa"/>
            <w:gridSpan w:val="6"/>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溶解性：与水混溶，可混溶于乙醇。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43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2588"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熔点（℃）：－</w:t>
            </w:r>
            <w:r>
              <w:rPr>
                <w:rFonts w:ascii="宋体" w:hAnsi="宋体"/>
                <w:color w:val="000000" w:themeColor="text1"/>
                <w:sz w:val="24"/>
                <w:szCs w:val="24"/>
                <w14:textFill>
                  <w14:solidFill>
                    <w14:schemeClr w14:val="tx1"/>
                  </w14:solidFill>
                </w14:textFill>
              </w:rPr>
              <w:t>18</w:t>
            </w:r>
          </w:p>
        </w:tc>
        <w:tc>
          <w:tcPr>
            <w:tcW w:w="2340" w:type="dxa"/>
            <w:gridSpan w:val="3"/>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沸点（℃）：</w:t>
            </w:r>
            <w:r>
              <w:rPr>
                <w:rFonts w:ascii="宋体" w:hAnsi="宋体"/>
                <w:color w:val="000000" w:themeColor="text1"/>
                <w:sz w:val="24"/>
                <w:szCs w:val="24"/>
                <w14:textFill>
                  <w14:solidFill>
                    <w14:schemeClr w14:val="tx1"/>
                  </w14:solidFill>
                </w14:textFill>
              </w:rPr>
              <w:t>282</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338</w:t>
            </w:r>
          </w:p>
        </w:tc>
        <w:tc>
          <w:tcPr>
            <w:tcW w:w="3723" w:type="dxa"/>
            <w:gridSpan w:val="2"/>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相对密度（水＝</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0.87</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43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2588"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临界温度（℃）：</w:t>
            </w:r>
          </w:p>
        </w:tc>
        <w:tc>
          <w:tcPr>
            <w:tcW w:w="2340" w:type="dxa"/>
            <w:gridSpan w:val="3"/>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临界压力（</w:t>
            </w:r>
            <w:r>
              <w:rPr>
                <w:rFonts w:ascii="宋体" w:hAnsi="宋体"/>
                <w:color w:val="000000" w:themeColor="text1"/>
                <w:sz w:val="24"/>
                <w:szCs w:val="24"/>
                <w14:textFill>
                  <w14:solidFill>
                    <w14:schemeClr w14:val="tx1"/>
                  </w14:solidFill>
                </w14:textFill>
              </w:rPr>
              <w:t>MPa</w:t>
            </w:r>
            <w:r>
              <w:rPr>
                <w:rFonts w:hint="eastAsia" w:ascii="宋体" w:hAnsi="宋体"/>
                <w:color w:val="000000" w:themeColor="text1"/>
                <w:sz w:val="24"/>
                <w:szCs w:val="24"/>
                <w14:textFill>
                  <w14:solidFill>
                    <w14:schemeClr w14:val="tx1"/>
                  </w14:solidFill>
                </w14:textFill>
              </w:rPr>
              <w:t>）：</w:t>
            </w:r>
          </w:p>
        </w:tc>
        <w:tc>
          <w:tcPr>
            <w:tcW w:w="3723" w:type="dxa"/>
            <w:gridSpan w:val="2"/>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相对密度（空气＝</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43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2588"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燃烧热（</w:t>
            </w:r>
            <w:r>
              <w:rPr>
                <w:rFonts w:ascii="宋体" w:hAnsi="宋体"/>
                <w:color w:val="000000" w:themeColor="text1"/>
                <w:sz w:val="24"/>
                <w:szCs w:val="24"/>
                <w14:textFill>
                  <w14:solidFill>
                    <w14:schemeClr w14:val="tx1"/>
                  </w14:solidFill>
                </w14:textFill>
              </w:rPr>
              <w:t>KJ/mol</w:t>
            </w:r>
            <w:r>
              <w:rPr>
                <w:rFonts w:hint="eastAsia" w:ascii="宋体" w:hAnsi="宋体"/>
                <w:color w:val="000000" w:themeColor="text1"/>
                <w:sz w:val="24"/>
                <w:szCs w:val="24"/>
                <w14:textFill>
                  <w14:solidFill>
                    <w14:schemeClr w14:val="tx1"/>
                  </w14:solidFill>
                </w14:textFill>
              </w:rPr>
              <w:t>）：</w:t>
            </w:r>
          </w:p>
        </w:tc>
        <w:tc>
          <w:tcPr>
            <w:tcW w:w="2340" w:type="dxa"/>
            <w:gridSpan w:val="3"/>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最小点火能（</w:t>
            </w:r>
            <w:r>
              <w:rPr>
                <w:rFonts w:ascii="宋体" w:hAnsi="宋体"/>
                <w:color w:val="000000" w:themeColor="text1"/>
                <w:sz w:val="24"/>
                <w:szCs w:val="24"/>
                <w14:textFill>
                  <w14:solidFill>
                    <w14:schemeClr w14:val="tx1"/>
                  </w14:solidFill>
                </w14:textFill>
              </w:rPr>
              <w:t>mJ</w:t>
            </w:r>
            <w:r>
              <w:rPr>
                <w:rFonts w:hint="eastAsia" w:ascii="宋体" w:hAnsi="宋体"/>
                <w:color w:val="000000" w:themeColor="text1"/>
                <w:sz w:val="24"/>
                <w:szCs w:val="24"/>
                <w14:textFill>
                  <w14:solidFill>
                    <w14:schemeClr w14:val="tx1"/>
                  </w14:solidFill>
                </w14:textFill>
              </w:rPr>
              <w:t>）：</w:t>
            </w:r>
          </w:p>
        </w:tc>
        <w:tc>
          <w:tcPr>
            <w:tcW w:w="3723" w:type="dxa"/>
            <w:gridSpan w:val="2"/>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饱和蒸汽压（</w:t>
            </w:r>
            <w:r>
              <w:rPr>
                <w:rFonts w:ascii="宋体" w:hAnsi="宋体"/>
                <w:color w:val="000000" w:themeColor="text1"/>
                <w:sz w:val="24"/>
                <w:szCs w:val="24"/>
                <w14:textFill>
                  <w14:solidFill>
                    <w14:schemeClr w14:val="tx1"/>
                  </w14:solidFill>
                </w14:textFill>
              </w:rPr>
              <w:t>KPa</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0.67</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25</w:t>
            </w:r>
            <w:r>
              <w:rPr>
                <w:rFonts w:hint="eastAsia" w:ascii="宋体" w:hAnsi="宋体"/>
                <w:color w:val="000000" w:themeColor="text1"/>
                <w:sz w:val="24"/>
                <w:szCs w:val="24"/>
                <w14:textFill>
                  <w14:solidFill>
                    <w14:schemeClr w14:val="tx1"/>
                  </w14:solidFill>
                </w14:textFill>
              </w:rPr>
              <w:t>℃，纯品）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434"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燃烧爆炸危险性</w:t>
            </w:r>
          </w:p>
        </w:tc>
        <w:tc>
          <w:tcPr>
            <w:tcW w:w="3150" w:type="dxa"/>
            <w:gridSpan w:val="2"/>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燃烧性：易燃</w:t>
            </w:r>
          </w:p>
        </w:tc>
        <w:tc>
          <w:tcPr>
            <w:tcW w:w="5501"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燃烧分解产物：一氧化碳、二氧化碳。</w:t>
            </w:r>
            <w:r>
              <w:rPr>
                <w:rFonts w:ascii="宋体" w:hAnsi="宋体"/>
                <w:color w:val="000000" w:themeColor="text1"/>
                <w:sz w:val="24"/>
                <w:szCs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43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3150" w:type="dxa"/>
            <w:gridSpan w:val="2"/>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闪点（℃）：</w:t>
            </w:r>
            <w:r>
              <w:rPr>
                <w:rFonts w:ascii="宋体" w:hAnsi="宋体"/>
                <w:color w:val="000000" w:themeColor="text1"/>
                <w:sz w:val="24"/>
                <w:szCs w:val="24"/>
                <w14:textFill>
                  <w14:solidFill>
                    <w14:schemeClr w14:val="tx1"/>
                  </w14:solidFill>
                </w14:textFill>
              </w:rPr>
              <w:t>55</w:t>
            </w:r>
          </w:p>
        </w:tc>
        <w:tc>
          <w:tcPr>
            <w:tcW w:w="5501"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聚合危害：不聚合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43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3150" w:type="dxa"/>
            <w:gridSpan w:val="2"/>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爆炸下限（％）：</w:t>
            </w:r>
          </w:p>
        </w:tc>
        <w:tc>
          <w:tcPr>
            <w:tcW w:w="5501"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稳定性：稳定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43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3150" w:type="dxa"/>
            <w:gridSpan w:val="2"/>
            <w:tcBorders>
              <w:top w:val="single" w:color="auto" w:sz="4" w:space="0"/>
              <w:left w:val="single" w:color="auto" w:sz="4" w:space="0"/>
              <w:bottom w:val="single" w:color="auto" w:sz="4" w:space="0"/>
              <w:right w:val="single" w:color="auto" w:sz="4" w:space="0"/>
            </w:tcBorders>
          </w:tcPr>
          <w:p>
            <w:pPr>
              <w:spacing w:line="32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爆炸上限（％）：</w:t>
            </w:r>
          </w:p>
        </w:tc>
        <w:tc>
          <w:tcPr>
            <w:tcW w:w="5501" w:type="dxa"/>
            <w:gridSpan w:val="4"/>
            <w:tcBorders>
              <w:top w:val="single" w:color="auto" w:sz="4" w:space="0"/>
              <w:left w:val="single" w:color="auto" w:sz="4" w:space="0"/>
              <w:bottom w:val="single" w:color="auto" w:sz="4" w:space="0"/>
              <w:right w:val="single" w:color="auto" w:sz="4" w:space="0"/>
            </w:tcBorders>
          </w:tcPr>
          <w:p>
            <w:pPr>
              <w:spacing w:line="32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最大爆炸压力（</w:t>
            </w:r>
            <w:r>
              <w:rPr>
                <w:rFonts w:ascii="宋体" w:hAnsi="宋体"/>
                <w:color w:val="000000" w:themeColor="text1"/>
                <w:sz w:val="24"/>
                <w:szCs w:val="24"/>
                <w14:textFill>
                  <w14:solidFill>
                    <w14:schemeClr w14:val="tx1"/>
                  </w14:solidFill>
                </w14:textFill>
              </w:rPr>
              <w:t>MPa</w:t>
            </w:r>
            <w:r>
              <w:rPr>
                <w:rFonts w:hint="eastAsia" w:ascii="宋体" w:hAnsi="宋体"/>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43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3150" w:type="dxa"/>
            <w:gridSpan w:val="2"/>
            <w:tcBorders>
              <w:top w:val="single" w:color="auto" w:sz="4" w:space="0"/>
              <w:left w:val="single" w:color="auto" w:sz="4" w:space="0"/>
              <w:bottom w:val="single" w:color="auto" w:sz="4" w:space="0"/>
              <w:right w:val="single" w:color="auto" w:sz="4" w:space="0"/>
            </w:tcBorders>
          </w:tcPr>
          <w:p>
            <w:pPr>
              <w:spacing w:line="32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引燃温度（℃）：</w:t>
            </w:r>
            <w:r>
              <w:rPr>
                <w:rFonts w:ascii="宋体" w:hAnsi="宋体"/>
                <w:color w:val="000000" w:themeColor="text1"/>
                <w:sz w:val="24"/>
                <w:szCs w:val="24"/>
                <w14:textFill>
                  <w14:solidFill>
                    <w14:schemeClr w14:val="tx1"/>
                  </w14:solidFill>
                </w14:textFill>
              </w:rPr>
              <w:t>257</w:t>
            </w:r>
          </w:p>
        </w:tc>
        <w:tc>
          <w:tcPr>
            <w:tcW w:w="5501" w:type="dxa"/>
            <w:gridSpan w:val="4"/>
            <w:tcBorders>
              <w:top w:val="single" w:color="auto" w:sz="4" w:space="0"/>
              <w:left w:val="single" w:color="auto" w:sz="4" w:space="0"/>
              <w:bottom w:val="single" w:color="auto" w:sz="4" w:space="0"/>
              <w:right w:val="single" w:color="auto" w:sz="4" w:space="0"/>
            </w:tcBorders>
          </w:tcPr>
          <w:p>
            <w:pPr>
              <w:spacing w:line="32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禁忌物：</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强氧化剂、卤素。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trPr>
        <w:tc>
          <w:tcPr>
            <w:tcW w:w="43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8651" w:type="dxa"/>
            <w:gridSpan w:val="6"/>
            <w:tcBorders>
              <w:top w:val="single" w:color="auto" w:sz="4" w:space="0"/>
              <w:left w:val="single" w:color="auto" w:sz="4" w:space="0"/>
              <w:bottom w:val="single" w:color="auto" w:sz="4" w:space="0"/>
              <w:right w:val="single" w:color="auto" w:sz="4" w:space="0"/>
            </w:tcBorders>
          </w:tcPr>
          <w:p>
            <w:pPr>
              <w:spacing w:line="32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危险特性：遇明火、高热或与氧化剂接触，有引起燃烧爆炸的危险。若遇高热，容器内压增大，有开裂和爆炸的危险。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43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sz w:val="24"/>
                <w:szCs w:val="24"/>
                <w14:textFill>
                  <w14:solidFill>
                    <w14:schemeClr w14:val="tx1"/>
                  </w14:solidFill>
                </w14:textFill>
              </w:rPr>
            </w:pPr>
          </w:p>
        </w:tc>
        <w:tc>
          <w:tcPr>
            <w:tcW w:w="8651" w:type="dxa"/>
            <w:gridSpan w:val="6"/>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灭火方法：消防人员必须佩戴防毒面具、穿全身消防服，在上风向灭火。尽可能将容器从火场移至空旷处。喷水保持火场容器冷却，直至灭火结束。自在火场中的容器若已变色或从安全泄压装置中产生声音，必须马上撤离。灭火剂：雾状水、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43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对人体危害</w:t>
            </w:r>
          </w:p>
        </w:tc>
        <w:tc>
          <w:tcPr>
            <w:tcW w:w="8651" w:type="dxa"/>
            <w:gridSpan w:val="6"/>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侵入途径：吸入、食入、经皮肤吸收。</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皮肤接触可为主要吸收途径，可致急性肾脏损害。柴油可引起接触性皮炎、油性痤疮。吸入其雾滴或液体呛入可引起吸入性肺炎。能经胎盘进入胎儿血中。柴油废气可引起眼、鼻刺激症状，头晕及头痛。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4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急救</w:t>
            </w:r>
          </w:p>
        </w:tc>
        <w:tc>
          <w:tcPr>
            <w:tcW w:w="8651" w:type="dxa"/>
            <w:gridSpan w:val="6"/>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皮肤接触：立即脱去污染的衣着，用肥皂水和清水彻底冲洗皮肤。就医。</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眼睛接触：立即提起眼睑，用大量流动清水或生理盐水彻底冲洗。就医。</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吸入：迅速脱离现场至空气新鲜处，保持呼吸道通畅。如呼吸困难，给输氧。如呼吸停止，立即进行人工呼吸。就医。</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食入：尽快彻底洗胃。就医。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防护</w:t>
            </w:r>
          </w:p>
        </w:tc>
        <w:tc>
          <w:tcPr>
            <w:tcW w:w="8651" w:type="dxa"/>
            <w:gridSpan w:val="6"/>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pacing w:val="-4"/>
                <w:sz w:val="24"/>
                <w:szCs w:val="24"/>
                <w14:textFill>
                  <w14:solidFill>
                    <w14:schemeClr w14:val="tx1"/>
                  </w14:solidFill>
                </w14:textFill>
              </w:rPr>
            </w:pPr>
            <w:r>
              <w:rPr>
                <w:rFonts w:hint="eastAsia" w:ascii="宋体" w:hAnsi="宋体"/>
                <w:color w:val="000000" w:themeColor="text1"/>
                <w:spacing w:val="-4"/>
                <w:sz w:val="24"/>
                <w:szCs w:val="24"/>
                <w14:textFill>
                  <w14:solidFill>
                    <w14:schemeClr w14:val="tx1"/>
                  </w14:solidFill>
                </w14:textFill>
              </w:rPr>
              <w:t>工程防护：密闭操作，注意通风。</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个人防护：空气中浓度超标时，建议佩戴自吸过滤式防毒面具（半面罩）。经济事态抢救或撤离时，必须佩戴空气呼吸器。戴化学安全防护眼镜。穿一般作业防护服。戴橡胶耐油手套。工作现场禁止吸烟。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泄漏处理</w:t>
            </w:r>
          </w:p>
        </w:tc>
        <w:tc>
          <w:tcPr>
            <w:tcW w:w="8651" w:type="dxa"/>
            <w:gridSpan w:val="6"/>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迅速撤离泄漏污染区人员至安全区，并进行隔离，严格限制出入。切断火源。建议应急处理人员戴自给正压式呼吸器，穿一般作业工作服。尽可能切断泄漏源。防止流入下水道、排洪沟等限制性空间。小量泄漏：用可活性炭或其它惰性材料吸收。大量泄漏：构筑围堤或挖坑收容。用泵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434" w:type="dxa"/>
            <w:tcBorders>
              <w:top w:val="single" w:color="auto" w:sz="4" w:space="0"/>
              <w:left w:val="single" w:color="auto" w:sz="4" w:space="0"/>
              <w:bottom w:val="single" w:color="auto" w:sz="4" w:space="0"/>
              <w:right w:val="single" w:color="auto" w:sz="4" w:space="0"/>
            </w:tcBorders>
            <w:vAlign w:val="center"/>
          </w:tcPr>
          <w:p>
            <w:pPr>
              <w:spacing w:line="500" w:lineRule="atLeas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贮运</w:t>
            </w:r>
          </w:p>
        </w:tc>
        <w:tc>
          <w:tcPr>
            <w:tcW w:w="8651" w:type="dxa"/>
            <w:gridSpan w:val="6"/>
            <w:tcBorders>
              <w:top w:val="single" w:color="auto" w:sz="4" w:space="0"/>
              <w:left w:val="single" w:color="auto" w:sz="4" w:space="0"/>
              <w:bottom w:val="single" w:color="auto" w:sz="4" w:space="0"/>
              <w:right w:val="single" w:color="auto" w:sz="4" w:space="0"/>
            </w:tcBorders>
          </w:tcPr>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包装标志：</w:t>
            </w:r>
            <w:r>
              <w:rPr>
                <w:rFonts w:ascii="宋体" w:hAnsi="宋体"/>
                <w:color w:val="000000" w:themeColor="text1"/>
                <w:sz w:val="24"/>
                <w:szCs w:val="24"/>
                <w14:textFill>
                  <w14:solidFill>
                    <w14:schemeClr w14:val="tx1"/>
                  </w14:solidFill>
                </w14:textFill>
              </w:rPr>
              <w:t xml:space="preserve">          UN</w:t>
            </w:r>
            <w:r>
              <w:rPr>
                <w:rFonts w:hint="eastAsia" w:ascii="宋体" w:hAnsi="宋体"/>
                <w:color w:val="000000" w:themeColor="text1"/>
                <w:sz w:val="24"/>
                <w:szCs w:val="24"/>
                <w14:textFill>
                  <w14:solidFill>
                    <w14:schemeClr w14:val="tx1"/>
                  </w14:solidFill>
                </w14:textFill>
              </w:rPr>
              <w:t>编号：</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包装分类：</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储运条件：储存于阴凉、通风的库房内。远离火种、热源。应与氧化剂、卤素分开存放，切忌混储。采用防爆型照明、通风设施。禁止使用易产生火花的机械设备和工具。储区应备有泄漏应急处理设备工具和合适的收容材料。</w:t>
            </w:r>
          </w:p>
          <w:p>
            <w:pPr>
              <w:spacing w:line="26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运输前应先检查包装容器是否完整、密封，运输过程中要确保容器不泄漏、不倒塌、不坠落、不损坏。运输时运输车辆配备相应的品种和数量的消防器材及泄漏应急处理设备。夏季最好早晚运输。运输时所用的槽车应有接地链，槽内可设隔板以减少震荡产生静电。严禁与氧化剂、卤素、食用化学品等混装混运。运输途中应防暴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r>
              <w:rPr>
                <w:rFonts w:ascii="宋体" w:hAnsi="宋体"/>
                <w:color w:val="000000" w:themeColor="text1"/>
                <w:sz w:val="24"/>
                <w:szCs w:val="24"/>
                <w14:textFill>
                  <w14:solidFill>
                    <w14:schemeClr w14:val="tx1"/>
                  </w14:solidFill>
                </w14:textFill>
              </w:rPr>
              <w:t xml:space="preserve">  </w:t>
            </w:r>
          </w:p>
        </w:tc>
      </w:tr>
    </w:tbl>
    <w:p>
      <w:pPr>
        <w:pStyle w:val="19"/>
        <w:spacing w:line="360" w:lineRule="auto"/>
        <w:ind w:firstLine="560"/>
        <w:rPr>
          <w:rFonts w:ascii="宋体" w:hAnsi="宋体"/>
          <w:i w:val="0"/>
          <w:sz w:val="28"/>
          <w:szCs w:val="28"/>
        </w:rPr>
      </w:pPr>
    </w:p>
    <w:p>
      <w:pPr>
        <w:pStyle w:val="7"/>
      </w:pPr>
      <w:bookmarkStart w:id="369" w:name="_Toc101798337"/>
      <w:r>
        <w:t>3.</w:t>
      </w:r>
      <w:r>
        <w:rPr>
          <w:rFonts w:hint="eastAsia"/>
        </w:rPr>
        <w:t>经营活动中使用的</w:t>
      </w:r>
      <w:bookmarkStart w:id="370" w:name="_Hlk101778492"/>
      <w:r>
        <w:rPr>
          <w:rFonts w:hint="eastAsia"/>
        </w:rPr>
        <w:t>主要设备、设施</w:t>
      </w:r>
      <w:bookmarkEnd w:id="369"/>
      <w:bookmarkEnd w:id="370"/>
    </w:p>
    <w:p>
      <w:pPr>
        <w:pStyle w:val="19"/>
        <w:spacing w:after="0" w:line="560" w:lineRule="exact"/>
        <w:jc w:val="center"/>
        <w:rPr>
          <w:rFonts w:ascii="宋体" w:hAnsi="宋体" w:cs="Times New Roman"/>
          <w:b/>
          <w:i w:val="0"/>
          <w:sz w:val="28"/>
        </w:rPr>
      </w:pPr>
      <w:r>
        <w:rPr>
          <w:rFonts w:hint="eastAsia" w:ascii="宋体" w:hAnsi="宋体"/>
          <w:b/>
          <w:i w:val="0"/>
          <w:iCs/>
          <w:sz w:val="28"/>
        </w:rPr>
        <w:t>附</w:t>
      </w:r>
      <w:r>
        <w:rPr>
          <w:rFonts w:hint="eastAsia" w:ascii="宋体" w:hAnsi="宋体" w:cs="Times New Roman"/>
          <w:b/>
          <w:i w:val="0"/>
          <w:sz w:val="28"/>
        </w:rPr>
        <w:t>录A表</w:t>
      </w:r>
      <w:r>
        <w:rPr>
          <w:rFonts w:ascii="宋体" w:hAnsi="宋体" w:cs="Times New Roman"/>
          <w:b/>
          <w:i w:val="0"/>
          <w:sz w:val="28"/>
        </w:rPr>
        <w:t>5-1</w:t>
      </w:r>
      <w:r>
        <w:rPr>
          <w:rFonts w:hint="eastAsia" w:ascii="宋体" w:hAnsi="宋体" w:cs="Times New Roman"/>
          <w:b/>
          <w:i w:val="0"/>
          <w:sz w:val="28"/>
        </w:rPr>
        <w:t>主要设备、设施表</w:t>
      </w:r>
    </w:p>
    <w:tbl>
      <w:tblPr>
        <w:tblStyle w:val="43"/>
        <w:tblW w:w="9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3440"/>
        <w:gridCol w:w="3690"/>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60" w:type="dxa"/>
            <w:vMerge w:val="restart"/>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序号</w:t>
            </w:r>
          </w:p>
        </w:tc>
        <w:tc>
          <w:tcPr>
            <w:tcW w:w="3440" w:type="dxa"/>
            <w:vMerge w:val="restart"/>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设备及仪器名称</w:t>
            </w:r>
          </w:p>
        </w:tc>
        <w:tc>
          <w:tcPr>
            <w:tcW w:w="3690" w:type="dxa"/>
            <w:vMerge w:val="restart"/>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型号</w:t>
            </w:r>
            <w:r>
              <w:rPr>
                <w:rFonts w:asciiTheme="minorEastAsia" w:hAnsiTheme="minorEastAsia" w:eastAsiaTheme="minorEastAsia"/>
                <w:sz w:val="24"/>
                <w:szCs w:val="24"/>
              </w:rPr>
              <w:t>/</w:t>
            </w:r>
            <w:r>
              <w:rPr>
                <w:rFonts w:hint="eastAsia" w:asciiTheme="minorEastAsia" w:hAnsiTheme="minorEastAsia" w:eastAsiaTheme="minorEastAsia"/>
                <w:sz w:val="24"/>
                <w:szCs w:val="24"/>
              </w:rPr>
              <w:t>产地</w:t>
            </w:r>
            <w:r>
              <w:rPr>
                <w:rFonts w:asciiTheme="minorEastAsia" w:hAnsiTheme="minorEastAsia" w:eastAsiaTheme="minorEastAsia"/>
                <w:sz w:val="24"/>
                <w:szCs w:val="24"/>
              </w:rPr>
              <w:t>/</w:t>
            </w:r>
            <w:r>
              <w:rPr>
                <w:rFonts w:hint="eastAsia" w:asciiTheme="minorEastAsia" w:hAnsiTheme="minorEastAsia" w:eastAsiaTheme="minorEastAsia"/>
                <w:sz w:val="24"/>
                <w:szCs w:val="24"/>
              </w:rPr>
              <w:t>出厂日期</w:t>
            </w:r>
          </w:p>
        </w:tc>
        <w:tc>
          <w:tcPr>
            <w:tcW w:w="1146" w:type="dxa"/>
            <w:vMerge w:val="restart"/>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060" w:type="dxa"/>
            <w:vMerge w:val="continue"/>
          </w:tcPr>
          <w:p>
            <w:pPr>
              <w:jc w:val="center"/>
              <w:rPr>
                <w:rFonts w:asciiTheme="minorEastAsia" w:hAnsiTheme="minorEastAsia" w:eastAsiaTheme="minorEastAsia"/>
                <w:sz w:val="24"/>
                <w:szCs w:val="24"/>
              </w:rPr>
            </w:pPr>
          </w:p>
        </w:tc>
        <w:tc>
          <w:tcPr>
            <w:tcW w:w="3440" w:type="dxa"/>
            <w:vMerge w:val="continue"/>
          </w:tcPr>
          <w:p>
            <w:pPr>
              <w:jc w:val="center"/>
              <w:rPr>
                <w:rFonts w:asciiTheme="minorEastAsia" w:hAnsiTheme="minorEastAsia" w:eastAsiaTheme="minorEastAsia"/>
                <w:sz w:val="24"/>
                <w:szCs w:val="24"/>
              </w:rPr>
            </w:pPr>
          </w:p>
        </w:tc>
        <w:tc>
          <w:tcPr>
            <w:tcW w:w="3690" w:type="dxa"/>
            <w:vMerge w:val="continue"/>
          </w:tcPr>
          <w:p>
            <w:pPr>
              <w:jc w:val="center"/>
              <w:rPr>
                <w:rFonts w:asciiTheme="minorEastAsia" w:hAnsiTheme="minorEastAsia" w:eastAsiaTheme="minorEastAsia"/>
                <w:sz w:val="24"/>
                <w:szCs w:val="24"/>
              </w:rPr>
            </w:pPr>
          </w:p>
        </w:tc>
        <w:tc>
          <w:tcPr>
            <w:tcW w:w="1146" w:type="dxa"/>
            <w:vMerge w:val="continue"/>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344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焊条烘干筒</w:t>
            </w:r>
          </w:p>
        </w:tc>
        <w:tc>
          <w:tcPr>
            <w:tcW w:w="3690"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J-10C/</w:t>
            </w:r>
            <w:r>
              <w:rPr>
                <w:rFonts w:hint="eastAsia" w:asciiTheme="minorEastAsia" w:hAnsiTheme="minorEastAsia" w:eastAsiaTheme="minorEastAsia"/>
                <w:sz w:val="24"/>
                <w:szCs w:val="24"/>
              </w:rPr>
              <w:t>温州银旺</w:t>
            </w:r>
            <w:r>
              <w:rPr>
                <w:rFonts w:asciiTheme="minorEastAsia" w:hAnsiTheme="minorEastAsia" w:eastAsiaTheme="minorEastAsia"/>
                <w:sz w:val="24"/>
                <w:szCs w:val="24"/>
              </w:rPr>
              <w:t>/2021</w:t>
            </w:r>
          </w:p>
        </w:tc>
        <w:tc>
          <w:tcPr>
            <w:tcW w:w="1146"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344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远红外电焊条烘干炉</w:t>
            </w:r>
          </w:p>
        </w:tc>
        <w:tc>
          <w:tcPr>
            <w:tcW w:w="3690"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ZYHC20/</w:t>
            </w:r>
            <w:r>
              <w:rPr>
                <w:rFonts w:hint="eastAsia" w:asciiTheme="minorEastAsia" w:hAnsiTheme="minorEastAsia" w:eastAsiaTheme="minorEastAsia"/>
                <w:sz w:val="24"/>
                <w:szCs w:val="24"/>
              </w:rPr>
              <w:t>上海星泰</w:t>
            </w:r>
            <w:r>
              <w:rPr>
                <w:rFonts w:asciiTheme="minorEastAsia" w:hAnsiTheme="minorEastAsia" w:eastAsiaTheme="minorEastAsia"/>
                <w:sz w:val="24"/>
                <w:szCs w:val="24"/>
              </w:rPr>
              <w:t>/2013</w:t>
            </w:r>
          </w:p>
        </w:tc>
        <w:tc>
          <w:tcPr>
            <w:tcW w:w="1146"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w:t>
            </w:r>
          </w:p>
        </w:tc>
        <w:tc>
          <w:tcPr>
            <w:tcW w:w="344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远红外电焊条烘干炉</w:t>
            </w:r>
          </w:p>
        </w:tc>
        <w:tc>
          <w:tcPr>
            <w:tcW w:w="3690"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ZYH-60/</w:t>
            </w:r>
            <w:r>
              <w:rPr>
                <w:rFonts w:hint="eastAsia" w:asciiTheme="minorEastAsia" w:hAnsiTheme="minorEastAsia" w:eastAsiaTheme="minorEastAsia"/>
                <w:sz w:val="24"/>
                <w:szCs w:val="24"/>
              </w:rPr>
              <w:t>上海华威</w:t>
            </w:r>
            <w:r>
              <w:rPr>
                <w:rFonts w:asciiTheme="minorEastAsia" w:hAnsiTheme="minorEastAsia" w:eastAsiaTheme="minorEastAsia"/>
                <w:sz w:val="24"/>
                <w:szCs w:val="24"/>
              </w:rPr>
              <w:t>/2006</w:t>
            </w:r>
          </w:p>
        </w:tc>
        <w:tc>
          <w:tcPr>
            <w:tcW w:w="1146"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w:t>
            </w:r>
          </w:p>
        </w:tc>
        <w:tc>
          <w:tcPr>
            <w:tcW w:w="344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逆变直流弧焊机</w:t>
            </w:r>
          </w:p>
        </w:tc>
        <w:tc>
          <w:tcPr>
            <w:tcW w:w="3690"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ZX7-200A/</w:t>
            </w:r>
            <w:r>
              <w:rPr>
                <w:rFonts w:hint="eastAsia" w:asciiTheme="minorEastAsia" w:hAnsiTheme="minorEastAsia" w:eastAsiaTheme="minorEastAsia"/>
                <w:sz w:val="24"/>
                <w:szCs w:val="24"/>
              </w:rPr>
              <w:t>广焊</w:t>
            </w:r>
            <w:r>
              <w:rPr>
                <w:rFonts w:asciiTheme="minorEastAsia" w:hAnsiTheme="minorEastAsia" w:eastAsiaTheme="minorEastAsia"/>
                <w:sz w:val="24"/>
                <w:szCs w:val="24"/>
              </w:rPr>
              <w:t>/2013</w:t>
            </w:r>
          </w:p>
        </w:tc>
        <w:tc>
          <w:tcPr>
            <w:tcW w:w="1146"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w:t>
            </w:r>
          </w:p>
        </w:tc>
        <w:tc>
          <w:tcPr>
            <w:tcW w:w="344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逆变直流弧焊机</w:t>
            </w:r>
          </w:p>
        </w:tc>
        <w:tc>
          <w:tcPr>
            <w:tcW w:w="3690"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ZX7-200A/</w:t>
            </w:r>
            <w:r>
              <w:rPr>
                <w:rFonts w:hint="eastAsia" w:asciiTheme="minorEastAsia" w:hAnsiTheme="minorEastAsia" w:eastAsiaTheme="minorEastAsia"/>
                <w:sz w:val="24"/>
                <w:szCs w:val="24"/>
              </w:rPr>
              <w:t>深圳佳士</w:t>
            </w:r>
            <w:r>
              <w:rPr>
                <w:rFonts w:asciiTheme="minorEastAsia" w:hAnsiTheme="minorEastAsia" w:eastAsiaTheme="minorEastAsia"/>
                <w:sz w:val="24"/>
                <w:szCs w:val="24"/>
              </w:rPr>
              <w:t>/2014</w:t>
            </w:r>
          </w:p>
        </w:tc>
        <w:tc>
          <w:tcPr>
            <w:tcW w:w="1146"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w:t>
            </w:r>
          </w:p>
        </w:tc>
        <w:tc>
          <w:tcPr>
            <w:tcW w:w="344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逆变直流弧焊机</w:t>
            </w:r>
          </w:p>
        </w:tc>
        <w:tc>
          <w:tcPr>
            <w:tcW w:w="3690"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ZX7-200A/</w:t>
            </w:r>
            <w:r>
              <w:rPr>
                <w:rFonts w:hint="eastAsia" w:asciiTheme="minorEastAsia" w:hAnsiTheme="minorEastAsia" w:eastAsiaTheme="minorEastAsia"/>
                <w:sz w:val="24"/>
                <w:szCs w:val="24"/>
              </w:rPr>
              <w:t>深圳佳士</w:t>
            </w:r>
            <w:r>
              <w:rPr>
                <w:rFonts w:asciiTheme="minorEastAsia" w:hAnsiTheme="minorEastAsia" w:eastAsiaTheme="minorEastAsia"/>
                <w:sz w:val="24"/>
                <w:szCs w:val="24"/>
              </w:rPr>
              <w:t>/2018</w:t>
            </w:r>
          </w:p>
        </w:tc>
        <w:tc>
          <w:tcPr>
            <w:tcW w:w="1146"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7</w:t>
            </w:r>
          </w:p>
        </w:tc>
        <w:tc>
          <w:tcPr>
            <w:tcW w:w="344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逆变直流弧焊机（氩弧焊）</w:t>
            </w:r>
          </w:p>
        </w:tc>
        <w:tc>
          <w:tcPr>
            <w:tcW w:w="3690"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ZX7-315D/</w:t>
            </w:r>
            <w:r>
              <w:rPr>
                <w:rFonts w:hint="eastAsia" w:asciiTheme="minorEastAsia" w:hAnsiTheme="minorEastAsia" w:eastAsiaTheme="minorEastAsia"/>
                <w:sz w:val="24"/>
                <w:szCs w:val="24"/>
              </w:rPr>
              <w:t>深圳佳士</w:t>
            </w:r>
            <w:r>
              <w:rPr>
                <w:rFonts w:asciiTheme="minorEastAsia" w:hAnsiTheme="minorEastAsia" w:eastAsiaTheme="minorEastAsia"/>
                <w:sz w:val="24"/>
                <w:szCs w:val="24"/>
              </w:rPr>
              <w:t>//2018</w:t>
            </w:r>
          </w:p>
        </w:tc>
        <w:tc>
          <w:tcPr>
            <w:tcW w:w="1146"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6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8</w:t>
            </w:r>
          </w:p>
        </w:tc>
        <w:tc>
          <w:tcPr>
            <w:tcW w:w="3440" w:type="dxa"/>
            <w:noWrap/>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逆变直流弧焊机（氩弧焊）</w:t>
            </w:r>
          </w:p>
        </w:tc>
        <w:tc>
          <w:tcPr>
            <w:tcW w:w="3690"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ZX7-315D/</w:t>
            </w:r>
            <w:r>
              <w:rPr>
                <w:rFonts w:hint="eastAsia" w:asciiTheme="minorEastAsia" w:hAnsiTheme="minorEastAsia" w:eastAsiaTheme="minorEastAsia"/>
                <w:sz w:val="24"/>
                <w:szCs w:val="24"/>
              </w:rPr>
              <w:t>深圳佳士</w:t>
            </w:r>
            <w:r>
              <w:rPr>
                <w:rFonts w:asciiTheme="minorEastAsia" w:hAnsiTheme="minorEastAsia" w:eastAsiaTheme="minorEastAsia"/>
                <w:sz w:val="24"/>
                <w:szCs w:val="24"/>
              </w:rPr>
              <w:t>/2021</w:t>
            </w:r>
          </w:p>
        </w:tc>
        <w:tc>
          <w:tcPr>
            <w:tcW w:w="1146" w:type="dxa"/>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2</w:t>
            </w:r>
          </w:p>
        </w:tc>
      </w:tr>
    </w:tbl>
    <w:tbl>
      <w:tblPr>
        <w:tblStyle w:val="42"/>
        <w:tblW w:w="9614" w:type="dxa"/>
        <w:tblInd w:w="0" w:type="dxa"/>
        <w:tblLayout w:type="autofit"/>
        <w:tblCellMar>
          <w:top w:w="0" w:type="dxa"/>
          <w:left w:w="108" w:type="dxa"/>
          <w:bottom w:w="0" w:type="dxa"/>
          <w:right w:w="108" w:type="dxa"/>
        </w:tblCellMar>
      </w:tblPr>
      <w:tblGrid>
        <w:gridCol w:w="1129"/>
        <w:gridCol w:w="3402"/>
        <w:gridCol w:w="3684"/>
        <w:gridCol w:w="1136"/>
        <w:gridCol w:w="263"/>
      </w:tblGrid>
      <w:tr>
        <w:tblPrEx>
          <w:tblCellMar>
            <w:top w:w="0" w:type="dxa"/>
            <w:left w:w="108" w:type="dxa"/>
            <w:bottom w:w="0" w:type="dxa"/>
            <w:right w:w="108" w:type="dxa"/>
          </w:tblCellMar>
        </w:tblPrEx>
        <w:trPr>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ascii="宋体" w:hAnsi="宋体" w:cs="宋体"/>
                <w:sz w:val="24"/>
                <w:szCs w:val="24"/>
              </w:rPr>
              <w:t>9</w:t>
            </w:r>
          </w:p>
        </w:tc>
        <w:tc>
          <w:tcPr>
            <w:tcW w:w="340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hint="eastAsia" w:ascii="宋体" w:hAnsi="宋体" w:cs="宋体"/>
                <w:sz w:val="24"/>
                <w:szCs w:val="24"/>
              </w:rPr>
              <w:t>PE液压热熔对接焊机</w:t>
            </w:r>
          </w:p>
        </w:tc>
        <w:tc>
          <w:tcPr>
            <w:tcW w:w="368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DFHJ-250/</w:t>
            </w:r>
            <w:r>
              <w:rPr>
                <w:rFonts w:hint="eastAsia" w:ascii="宋体" w:hAnsi="宋体"/>
                <w:sz w:val="24"/>
                <w:szCs w:val="24"/>
              </w:rPr>
              <w:t>黑鲸</w:t>
            </w:r>
            <w:r>
              <w:rPr>
                <w:rFonts w:ascii="宋体" w:hAnsi="宋体"/>
                <w:sz w:val="24"/>
                <w:szCs w:val="24"/>
              </w:rPr>
              <w:t>/2020</w:t>
            </w:r>
          </w:p>
        </w:tc>
        <w:tc>
          <w:tcPr>
            <w:tcW w:w="113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2</w:t>
            </w:r>
          </w:p>
        </w:tc>
        <w:tc>
          <w:tcPr>
            <w:tcW w:w="263" w:type="dxa"/>
            <w:vAlign w:val="center"/>
          </w:tcPr>
          <w:p>
            <w:pPr>
              <w:adjustRightInd/>
              <w:snapToGrid/>
              <w:spacing w:after="0"/>
              <w:rPr>
                <w:rFonts w:ascii="Times New Roman" w:hAnsi="Times New Roman" w:eastAsia="Times New Roman"/>
                <w:sz w:val="20"/>
                <w:szCs w:val="20"/>
              </w:rPr>
            </w:pPr>
          </w:p>
        </w:tc>
      </w:tr>
      <w:tr>
        <w:tblPrEx>
          <w:tblCellMar>
            <w:top w:w="0" w:type="dxa"/>
            <w:left w:w="108" w:type="dxa"/>
            <w:bottom w:w="0" w:type="dxa"/>
            <w:right w:w="108" w:type="dxa"/>
          </w:tblCellMar>
        </w:tblPrEx>
        <w:trPr>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ascii="宋体" w:hAnsi="宋体" w:cs="宋体"/>
                <w:sz w:val="24"/>
                <w:szCs w:val="24"/>
              </w:rPr>
              <w:t>10</w:t>
            </w:r>
          </w:p>
        </w:tc>
        <w:tc>
          <w:tcPr>
            <w:tcW w:w="340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hint="eastAsia" w:ascii="宋体" w:hAnsi="宋体" w:cs="宋体"/>
                <w:sz w:val="24"/>
                <w:szCs w:val="24"/>
              </w:rPr>
              <w:t>PE热熔对接焊机</w:t>
            </w:r>
          </w:p>
        </w:tc>
        <w:tc>
          <w:tcPr>
            <w:tcW w:w="368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63-160/</w:t>
            </w:r>
            <w:r>
              <w:rPr>
                <w:rFonts w:hint="eastAsia" w:ascii="宋体" w:hAnsi="宋体"/>
                <w:sz w:val="24"/>
                <w:szCs w:val="24"/>
              </w:rPr>
              <w:t>黑鲸</w:t>
            </w:r>
            <w:r>
              <w:rPr>
                <w:rFonts w:ascii="宋体" w:hAnsi="宋体"/>
                <w:sz w:val="24"/>
                <w:szCs w:val="24"/>
              </w:rPr>
              <w:t>/2020</w:t>
            </w:r>
          </w:p>
        </w:tc>
        <w:tc>
          <w:tcPr>
            <w:tcW w:w="113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2</w:t>
            </w:r>
          </w:p>
        </w:tc>
        <w:tc>
          <w:tcPr>
            <w:tcW w:w="263" w:type="dxa"/>
            <w:vAlign w:val="center"/>
          </w:tcPr>
          <w:p>
            <w:pPr>
              <w:adjustRightInd/>
              <w:snapToGrid/>
              <w:spacing w:after="0"/>
              <w:rPr>
                <w:rFonts w:ascii="Times New Roman" w:hAnsi="Times New Roman" w:eastAsia="Times New Roman"/>
                <w:sz w:val="20"/>
                <w:szCs w:val="20"/>
              </w:rPr>
            </w:pPr>
          </w:p>
        </w:tc>
      </w:tr>
      <w:tr>
        <w:tblPrEx>
          <w:tblCellMar>
            <w:top w:w="0" w:type="dxa"/>
            <w:left w:w="108" w:type="dxa"/>
            <w:bottom w:w="0" w:type="dxa"/>
            <w:right w:w="108" w:type="dxa"/>
          </w:tblCellMar>
        </w:tblPrEx>
        <w:trPr>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ascii="宋体" w:hAnsi="宋体" w:cs="宋体"/>
                <w:sz w:val="24"/>
                <w:szCs w:val="24"/>
              </w:rPr>
              <w:t>11</w:t>
            </w:r>
          </w:p>
        </w:tc>
        <w:tc>
          <w:tcPr>
            <w:tcW w:w="340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hint="eastAsia" w:ascii="宋体" w:hAnsi="宋体" w:cs="宋体"/>
                <w:sz w:val="24"/>
                <w:szCs w:val="24"/>
              </w:rPr>
              <w:t>PE热熔对接焊机</w:t>
            </w:r>
          </w:p>
        </w:tc>
        <w:tc>
          <w:tcPr>
            <w:tcW w:w="368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DFHJ-160/</w:t>
            </w:r>
            <w:r>
              <w:rPr>
                <w:rFonts w:hint="eastAsia" w:ascii="宋体" w:hAnsi="宋体"/>
                <w:sz w:val="24"/>
                <w:szCs w:val="24"/>
              </w:rPr>
              <w:t>成都东飞</w:t>
            </w:r>
            <w:r>
              <w:rPr>
                <w:rFonts w:ascii="宋体" w:hAnsi="宋体"/>
                <w:sz w:val="24"/>
                <w:szCs w:val="24"/>
              </w:rPr>
              <w:t>/2015</w:t>
            </w:r>
          </w:p>
        </w:tc>
        <w:tc>
          <w:tcPr>
            <w:tcW w:w="113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13</w:t>
            </w:r>
          </w:p>
        </w:tc>
        <w:tc>
          <w:tcPr>
            <w:tcW w:w="263" w:type="dxa"/>
            <w:vAlign w:val="center"/>
          </w:tcPr>
          <w:p>
            <w:pPr>
              <w:adjustRightInd/>
              <w:snapToGrid/>
              <w:spacing w:after="0"/>
              <w:rPr>
                <w:rFonts w:ascii="Times New Roman" w:hAnsi="Times New Roman" w:eastAsia="Times New Roman"/>
                <w:sz w:val="20"/>
                <w:szCs w:val="20"/>
              </w:rPr>
            </w:pPr>
          </w:p>
        </w:tc>
      </w:tr>
      <w:tr>
        <w:tblPrEx>
          <w:tblCellMar>
            <w:top w:w="0" w:type="dxa"/>
            <w:left w:w="108" w:type="dxa"/>
            <w:bottom w:w="0" w:type="dxa"/>
            <w:right w:w="108" w:type="dxa"/>
          </w:tblCellMar>
        </w:tblPrEx>
        <w:trPr>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ascii="宋体" w:hAnsi="宋体" w:cs="宋体"/>
                <w:sz w:val="24"/>
                <w:szCs w:val="24"/>
              </w:rPr>
              <w:t>12</w:t>
            </w:r>
          </w:p>
        </w:tc>
        <w:tc>
          <w:tcPr>
            <w:tcW w:w="340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hint="eastAsia" w:ascii="宋体" w:hAnsi="宋体" w:cs="宋体"/>
                <w:sz w:val="24"/>
                <w:szCs w:val="24"/>
              </w:rPr>
              <w:t>全自动电熔焊机</w:t>
            </w:r>
          </w:p>
        </w:tc>
        <w:tc>
          <w:tcPr>
            <w:tcW w:w="368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QD-315/</w:t>
            </w:r>
            <w:r>
              <w:rPr>
                <w:rFonts w:hint="eastAsia" w:ascii="宋体" w:hAnsi="宋体"/>
                <w:sz w:val="24"/>
                <w:szCs w:val="24"/>
              </w:rPr>
              <w:t>杭州青达</w:t>
            </w:r>
            <w:r>
              <w:rPr>
                <w:rFonts w:ascii="宋体" w:hAnsi="宋体"/>
                <w:sz w:val="24"/>
                <w:szCs w:val="24"/>
              </w:rPr>
              <w:t>/2020</w:t>
            </w:r>
          </w:p>
        </w:tc>
        <w:tc>
          <w:tcPr>
            <w:tcW w:w="113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1</w:t>
            </w:r>
          </w:p>
        </w:tc>
        <w:tc>
          <w:tcPr>
            <w:tcW w:w="263" w:type="dxa"/>
            <w:vAlign w:val="center"/>
          </w:tcPr>
          <w:p>
            <w:pPr>
              <w:adjustRightInd/>
              <w:snapToGrid/>
              <w:spacing w:after="0"/>
              <w:rPr>
                <w:rFonts w:ascii="Times New Roman" w:hAnsi="Times New Roman" w:eastAsia="Times New Roman"/>
                <w:sz w:val="20"/>
                <w:szCs w:val="20"/>
              </w:rPr>
            </w:pPr>
          </w:p>
        </w:tc>
      </w:tr>
      <w:tr>
        <w:tblPrEx>
          <w:tblCellMar>
            <w:top w:w="0" w:type="dxa"/>
            <w:left w:w="108" w:type="dxa"/>
            <w:bottom w:w="0" w:type="dxa"/>
            <w:right w:w="108" w:type="dxa"/>
          </w:tblCellMar>
        </w:tblPrEx>
        <w:trPr>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ascii="宋体" w:hAnsi="宋体" w:cs="宋体"/>
                <w:sz w:val="24"/>
                <w:szCs w:val="24"/>
              </w:rPr>
              <w:t>13</w:t>
            </w:r>
          </w:p>
        </w:tc>
        <w:tc>
          <w:tcPr>
            <w:tcW w:w="340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hint="eastAsia" w:ascii="宋体" w:hAnsi="宋体" w:cs="宋体"/>
                <w:sz w:val="24"/>
                <w:szCs w:val="24"/>
              </w:rPr>
              <w:t>PE液压热熔对接焊机</w:t>
            </w:r>
          </w:p>
        </w:tc>
        <w:tc>
          <w:tcPr>
            <w:tcW w:w="368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DFHJ-350/2015</w:t>
            </w:r>
          </w:p>
        </w:tc>
        <w:tc>
          <w:tcPr>
            <w:tcW w:w="113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1</w:t>
            </w:r>
          </w:p>
        </w:tc>
        <w:tc>
          <w:tcPr>
            <w:tcW w:w="263" w:type="dxa"/>
            <w:vAlign w:val="center"/>
          </w:tcPr>
          <w:p>
            <w:pPr>
              <w:adjustRightInd/>
              <w:snapToGrid/>
              <w:spacing w:after="0"/>
              <w:rPr>
                <w:rFonts w:ascii="Times New Roman" w:hAnsi="Times New Roman" w:eastAsia="Times New Roman"/>
                <w:sz w:val="20"/>
                <w:szCs w:val="20"/>
              </w:rPr>
            </w:pPr>
          </w:p>
        </w:tc>
      </w:tr>
      <w:tr>
        <w:tblPrEx>
          <w:tblCellMar>
            <w:top w:w="0" w:type="dxa"/>
            <w:left w:w="108" w:type="dxa"/>
            <w:bottom w:w="0" w:type="dxa"/>
            <w:right w:w="108" w:type="dxa"/>
          </w:tblCellMar>
        </w:tblPrEx>
        <w:trPr>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ascii="宋体" w:hAnsi="宋体" w:cs="宋体"/>
                <w:sz w:val="24"/>
                <w:szCs w:val="24"/>
              </w:rPr>
              <w:t>14</w:t>
            </w:r>
          </w:p>
        </w:tc>
        <w:tc>
          <w:tcPr>
            <w:tcW w:w="340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hint="eastAsia" w:ascii="宋体" w:hAnsi="宋体" w:cs="宋体"/>
                <w:sz w:val="24"/>
                <w:szCs w:val="24"/>
              </w:rPr>
              <w:t>PE热熔对接焊机</w:t>
            </w:r>
          </w:p>
        </w:tc>
        <w:tc>
          <w:tcPr>
            <w:tcW w:w="368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DFHJ-160/</w:t>
            </w:r>
            <w:r>
              <w:rPr>
                <w:rFonts w:hint="eastAsia" w:ascii="宋体" w:hAnsi="宋体"/>
                <w:sz w:val="24"/>
                <w:szCs w:val="24"/>
              </w:rPr>
              <w:t>成都东飞</w:t>
            </w:r>
            <w:r>
              <w:rPr>
                <w:rFonts w:ascii="宋体" w:hAnsi="宋体"/>
                <w:sz w:val="24"/>
                <w:szCs w:val="24"/>
              </w:rPr>
              <w:t>/2013</w:t>
            </w:r>
          </w:p>
        </w:tc>
        <w:tc>
          <w:tcPr>
            <w:tcW w:w="113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1</w:t>
            </w:r>
          </w:p>
        </w:tc>
        <w:tc>
          <w:tcPr>
            <w:tcW w:w="263" w:type="dxa"/>
            <w:vAlign w:val="center"/>
          </w:tcPr>
          <w:p>
            <w:pPr>
              <w:adjustRightInd/>
              <w:snapToGrid/>
              <w:spacing w:after="0"/>
              <w:rPr>
                <w:rFonts w:ascii="Times New Roman" w:hAnsi="Times New Roman" w:eastAsia="Times New Roman"/>
                <w:sz w:val="20"/>
                <w:szCs w:val="20"/>
              </w:rPr>
            </w:pPr>
          </w:p>
        </w:tc>
      </w:tr>
      <w:tr>
        <w:tblPrEx>
          <w:tblCellMar>
            <w:top w:w="0" w:type="dxa"/>
            <w:left w:w="108" w:type="dxa"/>
            <w:bottom w:w="0" w:type="dxa"/>
            <w:right w:w="108" w:type="dxa"/>
          </w:tblCellMar>
        </w:tblPrEx>
        <w:trPr>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ascii="宋体" w:hAnsi="宋体" w:cs="宋体"/>
                <w:sz w:val="24"/>
                <w:szCs w:val="24"/>
              </w:rPr>
              <w:t>15</w:t>
            </w:r>
          </w:p>
        </w:tc>
        <w:tc>
          <w:tcPr>
            <w:tcW w:w="340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hint="eastAsia" w:ascii="宋体" w:hAnsi="宋体" w:cs="宋体"/>
                <w:sz w:val="24"/>
                <w:szCs w:val="24"/>
              </w:rPr>
              <w:t>全自动电熔焊机</w:t>
            </w:r>
          </w:p>
        </w:tc>
        <w:tc>
          <w:tcPr>
            <w:tcW w:w="368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CA4-HJ8000/</w:t>
            </w:r>
            <w:r>
              <w:rPr>
                <w:rFonts w:hint="eastAsia" w:ascii="宋体" w:hAnsi="宋体"/>
                <w:sz w:val="24"/>
                <w:szCs w:val="24"/>
              </w:rPr>
              <w:t>德阳奥伦</w:t>
            </w:r>
            <w:r>
              <w:rPr>
                <w:rFonts w:ascii="宋体" w:hAnsi="宋体"/>
                <w:sz w:val="24"/>
                <w:szCs w:val="24"/>
              </w:rPr>
              <w:t>/2015</w:t>
            </w:r>
          </w:p>
        </w:tc>
        <w:tc>
          <w:tcPr>
            <w:tcW w:w="113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1</w:t>
            </w:r>
          </w:p>
        </w:tc>
        <w:tc>
          <w:tcPr>
            <w:tcW w:w="263" w:type="dxa"/>
            <w:vAlign w:val="center"/>
          </w:tcPr>
          <w:p>
            <w:pPr>
              <w:adjustRightInd/>
              <w:snapToGrid/>
              <w:spacing w:after="0"/>
              <w:rPr>
                <w:rFonts w:ascii="Times New Roman" w:hAnsi="Times New Roman" w:eastAsia="Times New Roman"/>
                <w:sz w:val="20"/>
                <w:szCs w:val="20"/>
              </w:rPr>
            </w:pPr>
          </w:p>
        </w:tc>
      </w:tr>
      <w:tr>
        <w:tblPrEx>
          <w:tblCellMar>
            <w:top w:w="0" w:type="dxa"/>
            <w:left w:w="108" w:type="dxa"/>
            <w:bottom w:w="0" w:type="dxa"/>
            <w:right w:w="108" w:type="dxa"/>
          </w:tblCellMar>
        </w:tblPrEx>
        <w:trPr>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ascii="宋体" w:hAnsi="宋体" w:cs="宋体"/>
                <w:sz w:val="24"/>
                <w:szCs w:val="24"/>
              </w:rPr>
              <w:t>16</w:t>
            </w:r>
          </w:p>
        </w:tc>
        <w:tc>
          <w:tcPr>
            <w:tcW w:w="340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hint="eastAsia" w:ascii="宋体" w:hAnsi="宋体" w:cs="宋体"/>
                <w:sz w:val="24"/>
                <w:szCs w:val="24"/>
              </w:rPr>
              <w:t>PE液压热熔对接焊机</w:t>
            </w:r>
          </w:p>
        </w:tc>
        <w:tc>
          <w:tcPr>
            <w:tcW w:w="368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DFHJ-250/</w:t>
            </w:r>
            <w:r>
              <w:rPr>
                <w:rFonts w:hint="eastAsia" w:ascii="宋体" w:hAnsi="宋体"/>
                <w:sz w:val="24"/>
                <w:szCs w:val="24"/>
              </w:rPr>
              <w:t>浙江豪亮</w:t>
            </w:r>
            <w:r>
              <w:rPr>
                <w:rFonts w:ascii="宋体" w:hAnsi="宋体"/>
                <w:sz w:val="24"/>
                <w:szCs w:val="24"/>
              </w:rPr>
              <w:t>/2018</w:t>
            </w:r>
          </w:p>
        </w:tc>
        <w:tc>
          <w:tcPr>
            <w:tcW w:w="113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2</w:t>
            </w:r>
          </w:p>
        </w:tc>
        <w:tc>
          <w:tcPr>
            <w:tcW w:w="263" w:type="dxa"/>
            <w:vAlign w:val="center"/>
          </w:tcPr>
          <w:p>
            <w:pPr>
              <w:adjustRightInd/>
              <w:snapToGrid/>
              <w:spacing w:after="0"/>
              <w:rPr>
                <w:rFonts w:ascii="Times New Roman" w:hAnsi="Times New Roman" w:eastAsia="Times New Roman"/>
                <w:sz w:val="20"/>
                <w:szCs w:val="20"/>
              </w:rPr>
            </w:pPr>
          </w:p>
        </w:tc>
      </w:tr>
      <w:tr>
        <w:tblPrEx>
          <w:tblCellMar>
            <w:top w:w="0" w:type="dxa"/>
            <w:left w:w="108" w:type="dxa"/>
            <w:bottom w:w="0" w:type="dxa"/>
            <w:right w:w="108" w:type="dxa"/>
          </w:tblCellMar>
        </w:tblPrEx>
        <w:trPr>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ascii="宋体" w:hAnsi="宋体" w:cs="宋体"/>
                <w:sz w:val="24"/>
                <w:szCs w:val="24"/>
              </w:rPr>
              <w:t>17</w:t>
            </w:r>
          </w:p>
        </w:tc>
        <w:tc>
          <w:tcPr>
            <w:tcW w:w="340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hint="eastAsia" w:ascii="宋体" w:hAnsi="宋体" w:cs="宋体"/>
                <w:sz w:val="24"/>
                <w:szCs w:val="24"/>
              </w:rPr>
              <w:t>PE热熔插焊机</w:t>
            </w:r>
          </w:p>
        </w:tc>
        <w:tc>
          <w:tcPr>
            <w:tcW w:w="368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PE20-63</w:t>
            </w:r>
          </w:p>
        </w:tc>
        <w:tc>
          <w:tcPr>
            <w:tcW w:w="113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13</w:t>
            </w:r>
          </w:p>
        </w:tc>
        <w:tc>
          <w:tcPr>
            <w:tcW w:w="263" w:type="dxa"/>
            <w:vAlign w:val="center"/>
          </w:tcPr>
          <w:p>
            <w:pPr>
              <w:adjustRightInd/>
              <w:snapToGrid/>
              <w:spacing w:after="0"/>
              <w:rPr>
                <w:rFonts w:ascii="Times New Roman" w:hAnsi="Times New Roman" w:eastAsia="Times New Roman"/>
                <w:sz w:val="20"/>
                <w:szCs w:val="20"/>
              </w:rPr>
            </w:pPr>
          </w:p>
        </w:tc>
      </w:tr>
      <w:tr>
        <w:tblPrEx>
          <w:tblCellMar>
            <w:top w:w="0" w:type="dxa"/>
            <w:left w:w="108" w:type="dxa"/>
            <w:bottom w:w="0" w:type="dxa"/>
            <w:right w:w="108" w:type="dxa"/>
          </w:tblCellMar>
        </w:tblPrEx>
        <w:trPr>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ascii="宋体" w:hAnsi="宋体" w:cs="宋体"/>
                <w:sz w:val="24"/>
                <w:szCs w:val="24"/>
              </w:rPr>
              <w:t>18</w:t>
            </w:r>
          </w:p>
        </w:tc>
        <w:tc>
          <w:tcPr>
            <w:tcW w:w="340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hint="eastAsia" w:ascii="宋体" w:hAnsi="宋体" w:cs="宋体"/>
                <w:sz w:val="24"/>
                <w:szCs w:val="24"/>
              </w:rPr>
              <w:t>全自动电熔焊机</w:t>
            </w:r>
          </w:p>
        </w:tc>
        <w:tc>
          <w:tcPr>
            <w:tcW w:w="3684"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QD-315/</w:t>
            </w:r>
            <w:r>
              <w:rPr>
                <w:rFonts w:hint="eastAsia" w:ascii="宋体" w:hAnsi="宋体"/>
                <w:sz w:val="24"/>
                <w:szCs w:val="24"/>
              </w:rPr>
              <w:t>杭州青达</w:t>
            </w:r>
            <w:r>
              <w:rPr>
                <w:rFonts w:ascii="宋体" w:hAnsi="宋体"/>
                <w:sz w:val="24"/>
                <w:szCs w:val="24"/>
              </w:rPr>
              <w:t>/2019</w:t>
            </w:r>
          </w:p>
        </w:tc>
        <w:tc>
          <w:tcPr>
            <w:tcW w:w="113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sz w:val="24"/>
                <w:szCs w:val="24"/>
              </w:rPr>
            </w:pPr>
            <w:r>
              <w:rPr>
                <w:rFonts w:ascii="宋体" w:hAnsi="宋体"/>
                <w:sz w:val="24"/>
                <w:szCs w:val="24"/>
              </w:rPr>
              <w:t>2</w:t>
            </w:r>
          </w:p>
        </w:tc>
        <w:tc>
          <w:tcPr>
            <w:tcW w:w="263" w:type="dxa"/>
            <w:vAlign w:val="center"/>
          </w:tcPr>
          <w:p>
            <w:pPr>
              <w:adjustRightInd/>
              <w:snapToGrid/>
              <w:spacing w:after="0"/>
              <w:rPr>
                <w:rFonts w:ascii="Times New Roman" w:hAnsi="Times New Roman" w:eastAsia="Times New Roman"/>
                <w:sz w:val="20"/>
                <w:szCs w:val="20"/>
              </w:rPr>
            </w:pPr>
          </w:p>
        </w:tc>
      </w:tr>
      <w:tr>
        <w:tblPrEx>
          <w:tblCellMar>
            <w:top w:w="0" w:type="dxa"/>
            <w:left w:w="108" w:type="dxa"/>
            <w:bottom w:w="0" w:type="dxa"/>
            <w:right w:w="108" w:type="dxa"/>
          </w:tblCellMar>
        </w:tblPrEx>
        <w:trPr>
          <w:gridAfter w:val="1"/>
          <w:wAfter w:w="263" w:type="dxa"/>
          <w:trHeight w:val="480" w:hRule="atLeast"/>
        </w:trPr>
        <w:tc>
          <w:tcPr>
            <w:tcW w:w="1129" w:type="dxa"/>
            <w:tcBorders>
              <w:top w:val="single" w:color="auto" w:sz="4" w:space="0"/>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9</w:t>
            </w:r>
          </w:p>
        </w:tc>
        <w:tc>
          <w:tcPr>
            <w:tcW w:w="3402" w:type="dxa"/>
            <w:tcBorders>
              <w:top w:val="single" w:color="auto" w:sz="4" w:space="0"/>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套丝机</w:t>
            </w:r>
          </w:p>
        </w:tc>
        <w:tc>
          <w:tcPr>
            <w:tcW w:w="3684" w:type="dxa"/>
            <w:tcBorders>
              <w:top w:val="single" w:color="auto" w:sz="4" w:space="0"/>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50A-II/</w:t>
            </w:r>
            <w:r>
              <w:rPr>
                <w:rFonts w:hint="eastAsia" w:ascii="宋体" w:hAnsi="宋体"/>
                <w:sz w:val="24"/>
                <w:szCs w:val="24"/>
              </w:rPr>
              <w:t>苏州力克士</w:t>
            </w:r>
            <w:r>
              <w:rPr>
                <w:rFonts w:ascii="宋体" w:hAnsi="宋体"/>
                <w:sz w:val="24"/>
                <w:szCs w:val="24"/>
              </w:rPr>
              <w:t>/2011</w:t>
            </w:r>
          </w:p>
        </w:tc>
        <w:tc>
          <w:tcPr>
            <w:tcW w:w="1136" w:type="dxa"/>
            <w:tcBorders>
              <w:top w:val="single" w:color="auto" w:sz="4" w:space="0"/>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4</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cs="宋体"/>
                <w:sz w:val="24"/>
                <w:szCs w:val="24"/>
              </w:rPr>
            </w:pPr>
            <w:r>
              <w:rPr>
                <w:rFonts w:hint="eastAsia" w:ascii="宋体" w:hAnsi="宋体" w:cs="宋体"/>
                <w:sz w:val="24"/>
                <w:szCs w:val="24"/>
              </w:rPr>
              <w:t>2</w:t>
            </w:r>
            <w:r>
              <w:rPr>
                <w:rFonts w:ascii="宋体" w:hAnsi="宋体" w:cs="宋体"/>
                <w:sz w:val="24"/>
                <w:szCs w:val="24"/>
              </w:rPr>
              <w:t>0</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套丝机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50A-II/</w:t>
            </w:r>
            <w:r>
              <w:rPr>
                <w:rFonts w:hint="eastAsia" w:ascii="宋体" w:hAnsi="宋体"/>
                <w:sz w:val="24"/>
                <w:szCs w:val="24"/>
              </w:rPr>
              <w:t>上海青羊</w:t>
            </w:r>
            <w:r>
              <w:rPr>
                <w:rFonts w:ascii="宋体" w:hAnsi="宋体"/>
                <w:sz w:val="24"/>
                <w:szCs w:val="24"/>
              </w:rPr>
              <w:t>/2012</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6</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21</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大电锤</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GBH5-30D/</w:t>
            </w:r>
            <w:r>
              <w:rPr>
                <w:rFonts w:hint="eastAsia" w:ascii="宋体" w:hAnsi="宋体"/>
                <w:sz w:val="24"/>
                <w:szCs w:val="24"/>
              </w:rPr>
              <w:t>杭州博世</w:t>
            </w:r>
            <w:r>
              <w:rPr>
                <w:rFonts w:ascii="宋体" w:hAnsi="宋体"/>
                <w:sz w:val="24"/>
                <w:szCs w:val="24"/>
              </w:rPr>
              <w:t>/2012</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22</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小电锤</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G2-20/</w:t>
            </w:r>
            <w:r>
              <w:rPr>
                <w:rFonts w:hint="eastAsia" w:ascii="宋体" w:hAnsi="宋体"/>
                <w:sz w:val="24"/>
                <w:szCs w:val="24"/>
              </w:rPr>
              <w:t>杭州博世</w:t>
            </w:r>
            <w:r>
              <w:rPr>
                <w:rFonts w:ascii="宋体" w:hAnsi="宋体"/>
                <w:sz w:val="24"/>
                <w:szCs w:val="24"/>
              </w:rPr>
              <w:t>/2016/2018</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23</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切割机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7355A/</w:t>
            </w:r>
            <w:r>
              <w:rPr>
                <w:rFonts w:hint="eastAsia" w:ascii="宋体" w:hAnsi="宋体"/>
                <w:sz w:val="24"/>
                <w:szCs w:val="24"/>
              </w:rPr>
              <w:t>上海欧本星</w:t>
            </w:r>
            <w:r>
              <w:rPr>
                <w:rFonts w:ascii="宋体" w:hAnsi="宋体"/>
                <w:sz w:val="24"/>
                <w:szCs w:val="24"/>
              </w:rPr>
              <w:t>/2013.9</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2</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24</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电锯</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WH-38</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3</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25</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修边机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XB-626</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26</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台虎钳</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　</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27</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套丝机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50A-II/</w:t>
            </w:r>
            <w:r>
              <w:rPr>
                <w:rFonts w:hint="eastAsia" w:ascii="宋体" w:hAnsi="宋体"/>
                <w:sz w:val="24"/>
                <w:szCs w:val="24"/>
              </w:rPr>
              <w:t>青羊</w:t>
            </w:r>
            <w:r>
              <w:rPr>
                <w:rFonts w:ascii="宋体" w:hAnsi="宋体"/>
                <w:sz w:val="24"/>
                <w:szCs w:val="24"/>
              </w:rPr>
              <w:t>/2018</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5</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28</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大电锤</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GBH5-38D/</w:t>
            </w:r>
            <w:r>
              <w:rPr>
                <w:rFonts w:hint="eastAsia" w:ascii="宋体" w:hAnsi="宋体"/>
                <w:sz w:val="24"/>
                <w:szCs w:val="24"/>
              </w:rPr>
              <w:t>杭州博世</w:t>
            </w:r>
            <w:r>
              <w:rPr>
                <w:rFonts w:ascii="宋体" w:hAnsi="宋体"/>
                <w:sz w:val="24"/>
                <w:szCs w:val="24"/>
              </w:rPr>
              <w:t>/2020</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3</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29</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小电锤</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TX-A2663/2020</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4</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30</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友川除湿机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YC-58/</w:t>
            </w:r>
            <w:r>
              <w:rPr>
                <w:rFonts w:hint="eastAsia" w:ascii="宋体" w:hAnsi="宋体"/>
                <w:sz w:val="24"/>
                <w:szCs w:val="24"/>
              </w:rPr>
              <w:t>杭州川田</w:t>
            </w:r>
            <w:r>
              <w:rPr>
                <w:rFonts w:ascii="宋体" w:hAnsi="宋体"/>
                <w:sz w:val="24"/>
                <w:szCs w:val="24"/>
              </w:rPr>
              <w:t>/2021</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31</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汽油发电机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YH9600/</w:t>
            </w:r>
            <w:r>
              <w:rPr>
                <w:rFonts w:hint="eastAsia" w:ascii="宋体" w:hAnsi="宋体"/>
                <w:sz w:val="24"/>
                <w:szCs w:val="24"/>
              </w:rPr>
              <w:t>重庆翼虎</w:t>
            </w:r>
            <w:r>
              <w:rPr>
                <w:rFonts w:ascii="宋体" w:hAnsi="宋体"/>
                <w:sz w:val="24"/>
                <w:szCs w:val="24"/>
              </w:rPr>
              <w:t>/2016-04</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3</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3</w:t>
            </w:r>
            <w:r>
              <w:rPr>
                <w:rFonts w:hint="eastAsia" w:ascii="宋体" w:hAnsi="宋体" w:cs="宋体"/>
                <w:sz w:val="24"/>
                <w:szCs w:val="24"/>
              </w:rPr>
              <w:t>2</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三相汽油发电机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LH-9500se/</w:t>
            </w:r>
            <w:r>
              <w:rPr>
                <w:rFonts w:hint="eastAsia" w:ascii="宋体" w:hAnsi="宋体"/>
                <w:sz w:val="24"/>
                <w:szCs w:val="24"/>
              </w:rPr>
              <w:t>重庆翼虎</w:t>
            </w:r>
            <w:r>
              <w:rPr>
                <w:rFonts w:ascii="宋体" w:hAnsi="宋体"/>
                <w:sz w:val="24"/>
                <w:szCs w:val="24"/>
              </w:rPr>
              <w:t>/2018</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3</w:t>
            </w:r>
            <w:r>
              <w:rPr>
                <w:rFonts w:hint="eastAsia" w:ascii="宋体" w:hAnsi="宋体" w:cs="宋体"/>
                <w:sz w:val="24"/>
                <w:szCs w:val="24"/>
              </w:rPr>
              <w:t>3</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汽油发电机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YH9500/</w:t>
            </w:r>
            <w:r>
              <w:rPr>
                <w:rFonts w:hint="eastAsia" w:ascii="宋体" w:hAnsi="宋体"/>
                <w:sz w:val="24"/>
                <w:szCs w:val="24"/>
              </w:rPr>
              <w:t>重庆翼虎</w:t>
            </w:r>
            <w:r>
              <w:rPr>
                <w:rFonts w:ascii="宋体" w:hAnsi="宋体"/>
                <w:sz w:val="24"/>
                <w:szCs w:val="24"/>
              </w:rPr>
              <w:t>/2018-04</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3</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3</w:t>
            </w:r>
            <w:r>
              <w:rPr>
                <w:rFonts w:hint="eastAsia" w:ascii="宋体" w:hAnsi="宋体" w:cs="宋体"/>
                <w:sz w:val="24"/>
                <w:szCs w:val="24"/>
              </w:rPr>
              <w:t>4</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汽油发电机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10500/</w:t>
            </w:r>
            <w:r>
              <w:rPr>
                <w:rFonts w:hint="eastAsia" w:ascii="宋体" w:hAnsi="宋体"/>
                <w:sz w:val="24"/>
                <w:szCs w:val="24"/>
              </w:rPr>
              <w:t>重庆铃木</w:t>
            </w:r>
            <w:r>
              <w:rPr>
                <w:rFonts w:ascii="宋体" w:hAnsi="宋体"/>
                <w:sz w:val="24"/>
                <w:szCs w:val="24"/>
              </w:rPr>
              <w:t>/2020</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2</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3</w:t>
            </w:r>
            <w:r>
              <w:rPr>
                <w:rFonts w:hint="eastAsia" w:ascii="宋体" w:hAnsi="宋体" w:cs="宋体"/>
                <w:sz w:val="24"/>
                <w:szCs w:val="24"/>
              </w:rPr>
              <w:t>5</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三相汽油发电机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LH-9500se/</w:t>
            </w:r>
            <w:r>
              <w:rPr>
                <w:rFonts w:hint="eastAsia" w:ascii="宋体" w:hAnsi="宋体"/>
                <w:sz w:val="24"/>
                <w:szCs w:val="24"/>
              </w:rPr>
              <w:t>重庆翼虎</w:t>
            </w:r>
            <w:r>
              <w:rPr>
                <w:rFonts w:ascii="宋体" w:hAnsi="宋体"/>
                <w:sz w:val="24"/>
                <w:szCs w:val="24"/>
              </w:rPr>
              <w:t>/2013</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3</w:t>
            </w:r>
            <w:r>
              <w:rPr>
                <w:rFonts w:hint="eastAsia" w:ascii="宋体" w:hAnsi="宋体" w:cs="宋体"/>
                <w:sz w:val="24"/>
                <w:szCs w:val="24"/>
              </w:rPr>
              <w:t>6</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汽油发电机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7500/</w:t>
            </w:r>
            <w:r>
              <w:rPr>
                <w:rFonts w:hint="eastAsia" w:ascii="宋体" w:hAnsi="宋体"/>
                <w:sz w:val="24"/>
                <w:szCs w:val="24"/>
              </w:rPr>
              <w:t>重庆翼虎</w:t>
            </w:r>
            <w:r>
              <w:rPr>
                <w:rFonts w:ascii="宋体" w:hAnsi="宋体"/>
                <w:sz w:val="24"/>
                <w:szCs w:val="24"/>
              </w:rPr>
              <w:t>/2013</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3</w:t>
            </w:r>
            <w:r>
              <w:rPr>
                <w:rFonts w:hint="eastAsia" w:ascii="宋体" w:hAnsi="宋体" w:cs="宋体"/>
                <w:sz w:val="24"/>
                <w:szCs w:val="24"/>
              </w:rPr>
              <w:t>7</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汽油发电机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SH111000/</w:t>
            </w:r>
            <w:r>
              <w:rPr>
                <w:rFonts w:hint="eastAsia" w:ascii="宋体" w:hAnsi="宋体"/>
                <w:sz w:val="24"/>
                <w:szCs w:val="24"/>
              </w:rPr>
              <w:t>本田</w:t>
            </w:r>
            <w:r>
              <w:rPr>
                <w:rFonts w:ascii="宋体" w:hAnsi="宋体"/>
                <w:sz w:val="24"/>
                <w:szCs w:val="24"/>
              </w:rPr>
              <w:t>/2014</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3</w:t>
            </w:r>
            <w:r>
              <w:rPr>
                <w:rFonts w:hint="eastAsia" w:ascii="宋体" w:hAnsi="宋体" w:cs="宋体"/>
                <w:sz w:val="24"/>
                <w:szCs w:val="24"/>
              </w:rPr>
              <w:t>8</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汽油发电机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YH7500-</w:t>
            </w:r>
            <w:r>
              <w:rPr>
                <w:rFonts w:hint="eastAsia" w:ascii="宋体" w:hAnsi="宋体"/>
                <w:sz w:val="24"/>
                <w:szCs w:val="24"/>
              </w:rPr>
              <w:t>Ⅲ</w:t>
            </w:r>
            <w:r>
              <w:rPr>
                <w:rFonts w:ascii="宋体" w:hAnsi="宋体"/>
                <w:sz w:val="24"/>
                <w:szCs w:val="24"/>
              </w:rPr>
              <w:t>/</w:t>
            </w:r>
            <w:r>
              <w:rPr>
                <w:rFonts w:hint="eastAsia" w:ascii="宋体" w:hAnsi="宋体"/>
                <w:sz w:val="24"/>
                <w:szCs w:val="24"/>
              </w:rPr>
              <w:t>重庆翼虎</w:t>
            </w:r>
            <w:r>
              <w:rPr>
                <w:rFonts w:ascii="宋体" w:hAnsi="宋体"/>
                <w:sz w:val="24"/>
                <w:szCs w:val="24"/>
              </w:rPr>
              <w:t>/2015-02</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3</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39</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柴油发电空压机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zw10011/</w:t>
            </w:r>
            <w:r>
              <w:rPr>
                <w:rFonts w:hint="eastAsia" w:ascii="宋体" w:hAnsi="宋体"/>
                <w:sz w:val="24"/>
                <w:szCs w:val="24"/>
              </w:rPr>
              <w:t>台州</w:t>
            </w:r>
            <w:r>
              <w:rPr>
                <w:rFonts w:ascii="宋体" w:hAnsi="宋体"/>
                <w:sz w:val="24"/>
                <w:szCs w:val="24"/>
              </w:rPr>
              <w:t>/2010.1</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40</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空气压缩机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w-0.9/8/</w:t>
            </w:r>
            <w:r>
              <w:rPr>
                <w:rFonts w:hint="eastAsia" w:ascii="宋体" w:hAnsi="宋体"/>
                <w:sz w:val="24"/>
                <w:szCs w:val="24"/>
              </w:rPr>
              <w:t>永康</w:t>
            </w:r>
            <w:r>
              <w:rPr>
                <w:rFonts w:ascii="宋体" w:hAnsi="宋体"/>
                <w:sz w:val="24"/>
                <w:szCs w:val="24"/>
              </w:rPr>
              <w:t>/2010.1</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41</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阀门试验装置</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DN50-200/</w:t>
            </w:r>
            <w:r>
              <w:rPr>
                <w:rFonts w:hint="eastAsia" w:ascii="宋体" w:hAnsi="宋体"/>
                <w:sz w:val="24"/>
                <w:szCs w:val="24"/>
              </w:rPr>
              <w:t>上海</w:t>
            </w:r>
            <w:r>
              <w:rPr>
                <w:rFonts w:ascii="宋体" w:hAnsi="宋体"/>
                <w:sz w:val="24"/>
                <w:szCs w:val="24"/>
              </w:rPr>
              <w:t>/2008.1</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4</w:t>
            </w:r>
            <w:r>
              <w:rPr>
                <w:rFonts w:ascii="宋体" w:hAnsi="宋体" w:cs="宋体"/>
                <w:sz w:val="24"/>
                <w:szCs w:val="24"/>
              </w:rPr>
              <w:t>2</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超声波探伤仪</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HG-D200C/</w:t>
            </w:r>
            <w:r>
              <w:rPr>
                <w:rFonts w:hint="eastAsia" w:ascii="宋体" w:hAnsi="宋体"/>
                <w:sz w:val="24"/>
                <w:szCs w:val="24"/>
              </w:rPr>
              <w:t>成都华光</w:t>
            </w:r>
            <w:r>
              <w:rPr>
                <w:rFonts w:ascii="宋体" w:hAnsi="宋体"/>
                <w:sz w:val="24"/>
                <w:szCs w:val="24"/>
              </w:rPr>
              <w:t>/2008</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43</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射线探伤仪</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DN57-200/</w:t>
            </w:r>
            <w:r>
              <w:rPr>
                <w:rFonts w:hint="eastAsia" w:ascii="宋体" w:hAnsi="宋体"/>
                <w:sz w:val="24"/>
                <w:szCs w:val="24"/>
              </w:rPr>
              <w:t>成都华光</w:t>
            </w:r>
            <w:r>
              <w:rPr>
                <w:rFonts w:ascii="宋体" w:hAnsi="宋体"/>
                <w:sz w:val="24"/>
                <w:szCs w:val="24"/>
              </w:rPr>
              <w:t>/2008</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2</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44</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直流电火花检测仪</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LCD-3/</w:t>
            </w:r>
            <w:r>
              <w:rPr>
                <w:rFonts w:hint="eastAsia" w:ascii="宋体" w:hAnsi="宋体"/>
                <w:sz w:val="24"/>
                <w:szCs w:val="24"/>
              </w:rPr>
              <w:t>山东济林</w:t>
            </w:r>
            <w:r>
              <w:rPr>
                <w:rFonts w:ascii="宋体" w:hAnsi="宋体"/>
                <w:sz w:val="24"/>
                <w:szCs w:val="24"/>
              </w:rPr>
              <w:t>/2014</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2</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45</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手提式电动试压泵</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3DSB-2.5A/</w:t>
            </w:r>
            <w:r>
              <w:rPr>
                <w:rFonts w:hint="eastAsia" w:ascii="宋体" w:hAnsi="宋体"/>
                <w:sz w:val="24"/>
                <w:szCs w:val="24"/>
              </w:rPr>
              <w:t>上海同舟</w:t>
            </w:r>
            <w:r>
              <w:rPr>
                <w:rFonts w:ascii="宋体" w:hAnsi="宋体"/>
                <w:sz w:val="24"/>
                <w:szCs w:val="24"/>
              </w:rPr>
              <w:t>/2012</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2</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46</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超声波测厚仪</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TM130D/</w:t>
            </w:r>
            <w:r>
              <w:rPr>
                <w:rFonts w:hint="eastAsia" w:ascii="宋体" w:hAnsi="宋体"/>
                <w:sz w:val="24"/>
                <w:szCs w:val="24"/>
              </w:rPr>
              <w:t>香港泰克曼</w:t>
            </w:r>
            <w:r>
              <w:rPr>
                <w:rFonts w:ascii="宋体" w:hAnsi="宋体"/>
                <w:sz w:val="24"/>
                <w:szCs w:val="24"/>
              </w:rPr>
              <w:t>/2013</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2</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47</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电动试压泵（阀门试验）</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DSB10/</w:t>
            </w:r>
            <w:r>
              <w:rPr>
                <w:rFonts w:hint="eastAsia" w:ascii="宋体" w:hAnsi="宋体"/>
                <w:sz w:val="24"/>
                <w:szCs w:val="24"/>
              </w:rPr>
              <w:t>上海恒舟</w:t>
            </w:r>
            <w:r>
              <w:rPr>
                <w:rFonts w:ascii="宋体" w:hAnsi="宋体"/>
                <w:sz w:val="24"/>
                <w:szCs w:val="24"/>
              </w:rPr>
              <w:t>/2013</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48</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汽油发电空压机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w-0.9/7/</w:t>
            </w:r>
            <w:r>
              <w:rPr>
                <w:rFonts w:hint="eastAsia" w:ascii="宋体" w:hAnsi="宋体"/>
                <w:sz w:val="24"/>
                <w:szCs w:val="24"/>
              </w:rPr>
              <w:t>捷豹空压本田动力</w:t>
            </w:r>
            <w:r>
              <w:rPr>
                <w:rFonts w:ascii="宋体" w:hAnsi="宋体"/>
                <w:sz w:val="24"/>
                <w:szCs w:val="24"/>
              </w:rPr>
              <w:t>/2018.5</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49</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红外测温仪</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GM320/BENTECH/2018</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50</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深达威里氏硬度计</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sw-6210/</w:t>
            </w:r>
            <w:r>
              <w:rPr>
                <w:rFonts w:hint="eastAsia" w:ascii="宋体" w:hAnsi="宋体"/>
                <w:sz w:val="24"/>
                <w:szCs w:val="24"/>
              </w:rPr>
              <w:t>东莞森威</w:t>
            </w:r>
            <w:r>
              <w:rPr>
                <w:rFonts w:ascii="宋体" w:hAnsi="宋体"/>
                <w:sz w:val="24"/>
                <w:szCs w:val="24"/>
              </w:rPr>
              <w:t>/2017</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51</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汽油发电空压机</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190F/</w:t>
            </w:r>
            <w:r>
              <w:rPr>
                <w:rFonts w:hint="eastAsia" w:ascii="宋体" w:hAnsi="宋体"/>
                <w:sz w:val="24"/>
                <w:szCs w:val="24"/>
              </w:rPr>
              <w:t>重庆鼎工</w:t>
            </w:r>
            <w:r>
              <w:rPr>
                <w:rFonts w:ascii="宋体" w:hAnsi="宋体"/>
                <w:sz w:val="24"/>
                <w:szCs w:val="24"/>
              </w:rPr>
              <w:t>/2015</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52</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α激光甲烷遥测仪</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1.20/2021.6</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r>
        <w:tblPrEx>
          <w:tblCellMar>
            <w:top w:w="0" w:type="dxa"/>
            <w:left w:w="108" w:type="dxa"/>
            <w:bottom w:w="0" w:type="dxa"/>
            <w:right w:w="108" w:type="dxa"/>
          </w:tblCellMar>
        </w:tblPrEx>
        <w:trPr>
          <w:gridAfter w:val="1"/>
          <w:wAfter w:w="263" w:type="dxa"/>
          <w:trHeight w:val="480" w:hRule="atLeast"/>
        </w:trPr>
        <w:tc>
          <w:tcPr>
            <w:tcW w:w="1129"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ascii="宋体" w:hAnsi="宋体" w:cs="宋体"/>
                <w:sz w:val="24"/>
                <w:szCs w:val="24"/>
              </w:rPr>
              <w:t>53</w:t>
            </w:r>
          </w:p>
        </w:tc>
        <w:tc>
          <w:tcPr>
            <w:tcW w:w="3402"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ascii="宋体" w:hAnsi="宋体" w:cs="宋体"/>
                <w:sz w:val="24"/>
                <w:szCs w:val="24"/>
              </w:rPr>
            </w:pPr>
            <w:r>
              <w:rPr>
                <w:rFonts w:hint="eastAsia" w:ascii="宋体" w:hAnsi="宋体" w:cs="宋体"/>
                <w:sz w:val="24"/>
                <w:szCs w:val="24"/>
              </w:rPr>
              <w:t>激光甲烷探测器</w:t>
            </w:r>
          </w:p>
        </w:tc>
        <w:tc>
          <w:tcPr>
            <w:tcW w:w="3684"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SA3C32A/2021.7</w:t>
            </w:r>
          </w:p>
        </w:tc>
        <w:tc>
          <w:tcPr>
            <w:tcW w:w="1136" w:type="dxa"/>
            <w:tcBorders>
              <w:top w:val="nil"/>
              <w:left w:val="nil"/>
              <w:bottom w:val="single" w:color="auto" w:sz="4" w:space="0"/>
              <w:right w:val="single" w:color="auto" w:sz="4" w:space="0"/>
            </w:tcBorders>
            <w:shd w:val="clear" w:color="auto" w:fill="auto"/>
            <w:vAlign w:val="bottom"/>
          </w:tcPr>
          <w:p>
            <w:pPr>
              <w:adjustRightInd/>
              <w:snapToGrid/>
              <w:spacing w:after="0"/>
              <w:jc w:val="center"/>
              <w:rPr>
                <w:rFonts w:ascii="宋体" w:hAnsi="宋体"/>
                <w:sz w:val="24"/>
                <w:szCs w:val="24"/>
              </w:rPr>
            </w:pPr>
            <w:r>
              <w:rPr>
                <w:rFonts w:ascii="宋体" w:hAnsi="宋体"/>
                <w:sz w:val="24"/>
                <w:szCs w:val="24"/>
              </w:rPr>
              <w:t>1</w:t>
            </w:r>
          </w:p>
        </w:tc>
      </w:tr>
    </w:tbl>
    <w:p>
      <w:pPr>
        <w:ind w:firstLine="560"/>
      </w:pPr>
    </w:p>
    <w:p>
      <w:pPr>
        <w:pStyle w:val="19"/>
        <w:ind w:firstLine="420"/>
        <w:sectPr>
          <w:headerReference r:id="rId7" w:type="default"/>
          <w:pgSz w:w="11906" w:h="16838"/>
          <w:pgMar w:top="1440" w:right="1080" w:bottom="1440" w:left="1080" w:header="851" w:footer="992" w:gutter="0"/>
          <w:pgNumType w:start="1"/>
          <w:cols w:space="720" w:num="1"/>
          <w:docGrid w:type="lines" w:linePitch="312" w:charSpace="0"/>
        </w:sectPr>
      </w:pPr>
      <w:r>
        <w:br w:type="page"/>
      </w:r>
    </w:p>
    <w:p>
      <w:pPr>
        <w:ind w:firstLine="562"/>
        <w:jc w:val="center"/>
        <w:rPr>
          <w:rFonts w:asciiTheme="minorEastAsia" w:hAnsiTheme="minorEastAsia" w:eastAsiaTheme="minorEastAsia"/>
          <w:b/>
          <w:bCs/>
          <w:szCs w:val="28"/>
        </w:rPr>
      </w:pPr>
    </w:p>
    <w:p>
      <w:pPr>
        <w:ind w:firstLine="562"/>
        <w:jc w:val="center"/>
        <w:rPr>
          <w:rFonts w:asciiTheme="minorEastAsia" w:hAnsiTheme="minorEastAsia" w:eastAsiaTheme="minorEastAsia"/>
          <w:b/>
          <w:bCs/>
          <w:szCs w:val="28"/>
        </w:rPr>
      </w:pPr>
      <w:r>
        <w:rPr>
          <w:rFonts w:hint="eastAsia" w:ascii="宋体" w:hAnsi="宋体"/>
          <w:b/>
          <w:szCs w:val="24"/>
        </w:rPr>
        <w:t>附</w:t>
      </w:r>
      <w:r>
        <w:rPr>
          <w:rFonts w:hint="eastAsia" w:asciiTheme="minorEastAsia" w:hAnsiTheme="minorEastAsia" w:eastAsiaTheme="minorEastAsia"/>
          <w:b/>
          <w:bCs/>
          <w:szCs w:val="28"/>
        </w:rPr>
        <w:t>录A表</w:t>
      </w:r>
      <w:r>
        <w:rPr>
          <w:rFonts w:asciiTheme="minorEastAsia" w:hAnsiTheme="minorEastAsia" w:eastAsiaTheme="minorEastAsia"/>
          <w:b/>
          <w:bCs/>
          <w:szCs w:val="28"/>
        </w:rPr>
        <w:t xml:space="preserve">5-2 </w:t>
      </w:r>
      <w:r>
        <w:rPr>
          <w:rFonts w:hint="eastAsia" w:asciiTheme="minorEastAsia" w:hAnsiTheme="minorEastAsia" w:eastAsiaTheme="minorEastAsia"/>
          <w:b/>
          <w:bCs/>
          <w:szCs w:val="28"/>
        </w:rPr>
        <w:t>公司压力容器一览表</w:t>
      </w:r>
    </w:p>
    <w:tbl>
      <w:tblPr>
        <w:tblStyle w:val="42"/>
        <w:tblW w:w="12827" w:type="dxa"/>
        <w:jc w:val="center"/>
        <w:tblLayout w:type="fixed"/>
        <w:tblCellMar>
          <w:top w:w="0" w:type="dxa"/>
          <w:left w:w="108" w:type="dxa"/>
          <w:bottom w:w="0" w:type="dxa"/>
          <w:right w:w="108" w:type="dxa"/>
        </w:tblCellMar>
      </w:tblPr>
      <w:tblGrid>
        <w:gridCol w:w="644"/>
        <w:gridCol w:w="1696"/>
        <w:gridCol w:w="2652"/>
        <w:gridCol w:w="890"/>
        <w:gridCol w:w="850"/>
        <w:gridCol w:w="1134"/>
        <w:gridCol w:w="1134"/>
        <w:gridCol w:w="1701"/>
        <w:gridCol w:w="2126"/>
      </w:tblGrid>
      <w:tr>
        <w:tblPrEx>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序号</w:t>
            </w:r>
          </w:p>
        </w:tc>
        <w:tc>
          <w:tcPr>
            <w:tcW w:w="1696"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所在位置</w:t>
            </w:r>
          </w:p>
        </w:tc>
        <w:tc>
          <w:tcPr>
            <w:tcW w:w="2652"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名称及型号</w:t>
            </w:r>
          </w:p>
        </w:tc>
        <w:tc>
          <w:tcPr>
            <w:tcW w:w="890"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压力类别</w:t>
            </w:r>
          </w:p>
        </w:tc>
        <w:tc>
          <w:tcPr>
            <w:tcW w:w="850"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容积</w:t>
            </w:r>
          </w:p>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m</w:t>
            </w:r>
            <w:r>
              <w:rPr>
                <w:rFonts w:hint="eastAsia" w:asciiTheme="minorEastAsia" w:hAnsiTheme="minorEastAsia" w:eastAsiaTheme="minorEastAsia"/>
                <w:szCs w:val="28"/>
                <w:vertAlign w:val="superscript"/>
              </w:rPr>
              <w:t>3</w:t>
            </w:r>
          </w:p>
        </w:tc>
        <w:tc>
          <w:tcPr>
            <w:tcW w:w="1134" w:type="dxa"/>
            <w:tcBorders>
              <w:top w:val="single" w:color="auto" w:sz="4" w:space="0"/>
              <w:left w:val="nil"/>
              <w:bottom w:val="single" w:color="auto" w:sz="4" w:space="0"/>
              <w:right w:val="single" w:color="auto" w:sz="4" w:space="0"/>
            </w:tcBorders>
            <w:vAlign w:val="center"/>
          </w:tcPr>
          <w:p>
            <w:pPr>
              <w:spacing w:line="240" w:lineRule="atLeast"/>
              <w:ind w:left="-126" w:leftChars="-45" w:right="-156" w:rightChars="-56"/>
              <w:jc w:val="center"/>
              <w:rPr>
                <w:rFonts w:asciiTheme="minorEastAsia" w:hAnsiTheme="minorEastAsia" w:eastAsiaTheme="minorEastAsia"/>
                <w:szCs w:val="28"/>
              </w:rPr>
            </w:pPr>
            <w:r>
              <w:rPr>
                <w:rFonts w:hint="eastAsia" w:asciiTheme="minorEastAsia" w:hAnsiTheme="minorEastAsia" w:eastAsiaTheme="minorEastAsia"/>
                <w:szCs w:val="28"/>
              </w:rPr>
              <w:t>设计压力</w:t>
            </w:r>
          </w:p>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MPa</w:t>
            </w:r>
          </w:p>
        </w:tc>
        <w:tc>
          <w:tcPr>
            <w:tcW w:w="1134"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主要材料</w:t>
            </w:r>
          </w:p>
        </w:tc>
        <w:tc>
          <w:tcPr>
            <w:tcW w:w="1701"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使用（登记）证号</w:t>
            </w:r>
          </w:p>
        </w:tc>
        <w:tc>
          <w:tcPr>
            <w:tcW w:w="2126"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备注</w:t>
            </w: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1</w:t>
            </w:r>
          </w:p>
        </w:tc>
        <w:tc>
          <w:tcPr>
            <w:tcW w:w="169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长沟门站</w:t>
            </w:r>
          </w:p>
        </w:tc>
        <w:tc>
          <w:tcPr>
            <w:tcW w:w="265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汇气管1</w:t>
            </w:r>
          </w:p>
        </w:tc>
        <w:tc>
          <w:tcPr>
            <w:tcW w:w="890"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Ⅱ</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1</w:t>
            </w: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4.0</w:t>
            </w: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Q345R</w:t>
            </w:r>
          </w:p>
        </w:tc>
        <w:tc>
          <w:tcPr>
            <w:tcW w:w="1701" w:type="dxa"/>
            <w:tcBorders>
              <w:top w:val="single" w:color="auto" w:sz="4" w:space="0"/>
              <w:left w:val="nil"/>
              <w:bottom w:val="single" w:color="auto" w:sz="4" w:space="0"/>
              <w:right w:val="single" w:color="auto" w:sz="4" w:space="0"/>
            </w:tcBorders>
            <w:vAlign w:val="center"/>
          </w:tcPr>
          <w:p>
            <w:pPr>
              <w:jc w:val="both"/>
              <w:rPr>
                <w:rFonts w:asciiTheme="minorEastAsia" w:hAnsiTheme="minorEastAsia" w:eastAsiaTheme="minorEastAsia"/>
                <w:color w:val="FF0000"/>
                <w:szCs w:val="28"/>
              </w:rPr>
            </w:pPr>
            <w:r>
              <w:rPr>
                <w:rFonts w:hint="eastAsia" w:asciiTheme="minorEastAsia" w:hAnsiTheme="minorEastAsia" w:eastAsiaTheme="minorEastAsia"/>
                <w:szCs w:val="28"/>
              </w:rPr>
              <w:t>容15川L00323（21）</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2</w:t>
            </w:r>
          </w:p>
        </w:tc>
        <w:tc>
          <w:tcPr>
            <w:tcW w:w="169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265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汇气管2</w:t>
            </w:r>
          </w:p>
        </w:tc>
        <w:tc>
          <w:tcPr>
            <w:tcW w:w="890"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Ⅱ</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1</w:t>
            </w: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1.6</w:t>
            </w: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Q345R</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容15川L00321(21)</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3</w:t>
            </w:r>
          </w:p>
        </w:tc>
        <w:tc>
          <w:tcPr>
            <w:tcW w:w="169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265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汇气管3</w:t>
            </w:r>
          </w:p>
        </w:tc>
        <w:tc>
          <w:tcPr>
            <w:tcW w:w="890"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Ⅱ</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1</w:t>
            </w: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1.6</w:t>
            </w: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Q345R</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容15川L00322(21)</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4</w:t>
            </w:r>
          </w:p>
        </w:tc>
        <w:tc>
          <w:tcPr>
            <w:tcW w:w="169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265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卧式气液分离器</w:t>
            </w:r>
          </w:p>
        </w:tc>
        <w:tc>
          <w:tcPr>
            <w:tcW w:w="890"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Ⅱ</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2.5</w:t>
            </w: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Q345R</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S2-2012156</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5</w:t>
            </w:r>
          </w:p>
        </w:tc>
        <w:tc>
          <w:tcPr>
            <w:tcW w:w="169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蜀北配气站</w:t>
            </w:r>
          </w:p>
        </w:tc>
        <w:tc>
          <w:tcPr>
            <w:tcW w:w="265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汇气管1</w:t>
            </w:r>
          </w:p>
        </w:tc>
        <w:tc>
          <w:tcPr>
            <w:tcW w:w="890"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Ⅱ</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1</w:t>
            </w: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2.5</w:t>
            </w: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Q345R</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S2-200687</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6</w:t>
            </w:r>
          </w:p>
        </w:tc>
        <w:tc>
          <w:tcPr>
            <w:tcW w:w="169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265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汇气管2</w:t>
            </w:r>
          </w:p>
        </w:tc>
        <w:tc>
          <w:tcPr>
            <w:tcW w:w="890"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Ⅱ</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1</w:t>
            </w: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2.5</w:t>
            </w: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Q345R</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TZG-9801</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7</w:t>
            </w:r>
          </w:p>
        </w:tc>
        <w:tc>
          <w:tcPr>
            <w:tcW w:w="169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c>
          <w:tcPr>
            <w:tcW w:w="265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卧式气液分离器</w:t>
            </w:r>
          </w:p>
        </w:tc>
        <w:tc>
          <w:tcPr>
            <w:tcW w:w="890"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Cs w:val="28"/>
              </w:rPr>
            </w:pPr>
            <w:r>
              <w:rPr>
                <w:rFonts w:hint="eastAsia" w:asciiTheme="minorEastAsia" w:hAnsiTheme="minorEastAsia" w:eastAsiaTheme="minorEastAsia"/>
                <w:szCs w:val="28"/>
              </w:rPr>
              <w:t>Ⅱ</w:t>
            </w:r>
          </w:p>
        </w:tc>
        <w:tc>
          <w:tcPr>
            <w:tcW w:w="85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1</w:t>
            </w: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2.5</w:t>
            </w:r>
          </w:p>
        </w:tc>
        <w:tc>
          <w:tcPr>
            <w:tcW w:w="113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Q345R</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r>
              <w:rPr>
                <w:rFonts w:hint="eastAsia" w:asciiTheme="minorEastAsia" w:hAnsiTheme="minorEastAsia" w:eastAsiaTheme="minorEastAsia"/>
                <w:szCs w:val="28"/>
              </w:rPr>
              <w:t>S2-200686</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Cs w:val="28"/>
              </w:rPr>
            </w:pPr>
          </w:p>
        </w:tc>
      </w:tr>
    </w:tbl>
    <w:p>
      <w:pPr>
        <w:ind w:firstLine="562"/>
        <w:jc w:val="center"/>
        <w:rPr>
          <w:b/>
          <w:bCs/>
          <w:szCs w:val="28"/>
        </w:rPr>
      </w:pPr>
    </w:p>
    <w:p>
      <w:pPr>
        <w:pStyle w:val="19"/>
        <w:ind w:firstLine="420"/>
        <w:jc w:val="center"/>
      </w:pPr>
    </w:p>
    <w:p>
      <w:pPr>
        <w:pStyle w:val="19"/>
        <w:tabs>
          <w:tab w:val="left" w:pos="7480"/>
        </w:tabs>
        <w:ind w:firstLine="420"/>
      </w:pPr>
      <w:r>
        <w:tab/>
      </w:r>
    </w:p>
    <w:p>
      <w:pPr>
        <w:pStyle w:val="19"/>
        <w:ind w:firstLine="420"/>
        <w:jc w:val="center"/>
        <w:rPr>
          <w:i w:val="0"/>
          <w:iCs/>
          <w:sz w:val="28"/>
          <w:szCs w:val="28"/>
        </w:rPr>
      </w:pPr>
      <w:r>
        <w:br w:type="page"/>
      </w:r>
      <w:r>
        <w:rPr>
          <w:rFonts w:hint="eastAsia" w:ascii="宋体" w:hAnsi="宋体"/>
          <w:b/>
          <w:i w:val="0"/>
          <w:iCs/>
          <w:sz w:val="28"/>
        </w:rPr>
        <w:t>附</w:t>
      </w:r>
      <w:r>
        <w:rPr>
          <w:rFonts w:hint="eastAsia" w:cs="Times New Roman" w:asciiTheme="minorEastAsia" w:hAnsiTheme="minorEastAsia" w:eastAsiaTheme="minorEastAsia"/>
          <w:b/>
          <w:bCs/>
          <w:i w:val="0"/>
          <w:sz w:val="28"/>
          <w:szCs w:val="28"/>
        </w:rPr>
        <w:t>录A表</w:t>
      </w:r>
      <w:r>
        <w:rPr>
          <w:rFonts w:cs="Times New Roman" w:asciiTheme="minorEastAsia" w:hAnsiTheme="minorEastAsia" w:eastAsiaTheme="minorEastAsia"/>
          <w:b/>
          <w:bCs/>
          <w:i w:val="0"/>
          <w:sz w:val="28"/>
          <w:szCs w:val="28"/>
        </w:rPr>
        <w:t xml:space="preserve">5-3 </w:t>
      </w:r>
      <w:r>
        <w:rPr>
          <w:rFonts w:hint="eastAsia" w:cs="Times New Roman" w:asciiTheme="minorEastAsia" w:hAnsiTheme="minorEastAsia" w:eastAsiaTheme="minorEastAsia"/>
          <w:b/>
          <w:bCs/>
          <w:i w:val="0"/>
          <w:sz w:val="28"/>
          <w:szCs w:val="28"/>
        </w:rPr>
        <w:t>公司压力管道一览表</w:t>
      </w:r>
    </w:p>
    <w:tbl>
      <w:tblPr>
        <w:tblStyle w:val="42"/>
        <w:tblW w:w="13265" w:type="dxa"/>
        <w:jc w:val="center"/>
        <w:tblLayout w:type="fixed"/>
        <w:tblCellMar>
          <w:top w:w="0" w:type="dxa"/>
          <w:left w:w="108" w:type="dxa"/>
          <w:bottom w:w="0" w:type="dxa"/>
          <w:right w:w="108" w:type="dxa"/>
        </w:tblCellMar>
      </w:tblPr>
      <w:tblGrid>
        <w:gridCol w:w="644"/>
        <w:gridCol w:w="1557"/>
        <w:gridCol w:w="924"/>
        <w:gridCol w:w="2540"/>
        <w:gridCol w:w="1701"/>
        <w:gridCol w:w="2126"/>
        <w:gridCol w:w="851"/>
        <w:gridCol w:w="992"/>
        <w:gridCol w:w="993"/>
        <w:gridCol w:w="937"/>
      </w:tblGrid>
      <w:tr>
        <w:tblPrEx>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序号</w:t>
            </w:r>
          </w:p>
        </w:tc>
        <w:tc>
          <w:tcPr>
            <w:tcW w:w="1557" w:type="dxa"/>
            <w:tcBorders>
              <w:top w:val="single" w:color="auto" w:sz="4" w:space="0"/>
              <w:left w:val="nil"/>
              <w:bottom w:val="single" w:color="auto" w:sz="4" w:space="0"/>
              <w:right w:val="single" w:color="auto" w:sz="4" w:space="0"/>
            </w:tcBorders>
            <w:vAlign w:val="center"/>
          </w:tcPr>
          <w:p>
            <w:pPr>
              <w:spacing w:line="240" w:lineRule="atLeast"/>
              <w:ind w:left="-126" w:leftChars="-45" w:right="-156" w:rightChars="-56"/>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压力级别</w:t>
            </w:r>
          </w:p>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PN/MPa</w:t>
            </w:r>
          </w:p>
        </w:tc>
        <w:tc>
          <w:tcPr>
            <w:tcW w:w="924"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压力</w:t>
            </w:r>
          </w:p>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类别</w:t>
            </w:r>
          </w:p>
        </w:tc>
        <w:tc>
          <w:tcPr>
            <w:tcW w:w="2540"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管道名称</w:t>
            </w:r>
          </w:p>
        </w:tc>
        <w:tc>
          <w:tcPr>
            <w:tcW w:w="1701"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所在区域</w:t>
            </w:r>
          </w:p>
        </w:tc>
        <w:tc>
          <w:tcPr>
            <w:tcW w:w="2126"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起点-终点</w:t>
            </w:r>
          </w:p>
        </w:tc>
        <w:tc>
          <w:tcPr>
            <w:tcW w:w="851"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长度</w:t>
            </w:r>
          </w:p>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km</w:t>
            </w:r>
          </w:p>
        </w:tc>
        <w:tc>
          <w:tcPr>
            <w:tcW w:w="992"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管径</w:t>
            </w:r>
          </w:p>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mm</w:t>
            </w:r>
          </w:p>
        </w:tc>
        <w:tc>
          <w:tcPr>
            <w:tcW w:w="993"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主材</w:t>
            </w:r>
          </w:p>
        </w:tc>
        <w:tc>
          <w:tcPr>
            <w:tcW w:w="937"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备注</w:t>
            </w:r>
          </w:p>
        </w:tc>
      </w:tr>
      <w:tr>
        <w:tblPrEx>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1557" w:type="dxa"/>
            <w:tcBorders>
              <w:top w:val="single" w:color="auto" w:sz="4" w:space="0"/>
              <w:left w:val="nil"/>
              <w:bottom w:val="single" w:color="auto" w:sz="4" w:space="0"/>
              <w:right w:val="single" w:color="auto" w:sz="4" w:space="0"/>
            </w:tcBorders>
            <w:vAlign w:val="center"/>
          </w:tcPr>
          <w:p>
            <w:pPr>
              <w:spacing w:line="240" w:lineRule="atLeast"/>
              <w:ind w:left="-126" w:leftChars="-45" w:right="-156" w:rightChars="-56"/>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高压A</w:t>
            </w:r>
            <w:r>
              <w:rPr>
                <w:rFonts w:asciiTheme="minorEastAsia" w:hAnsiTheme="minorEastAsia" w:eastAsiaTheme="minorEastAsia"/>
                <w:sz w:val="24"/>
                <w:szCs w:val="24"/>
              </w:rPr>
              <w:t>3.99</w:t>
            </w:r>
          </w:p>
        </w:tc>
        <w:tc>
          <w:tcPr>
            <w:tcW w:w="924"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G</w:t>
            </w:r>
            <w:r>
              <w:rPr>
                <w:rFonts w:asciiTheme="minorEastAsia" w:hAnsiTheme="minorEastAsia" w:eastAsiaTheme="minorEastAsia"/>
                <w:sz w:val="24"/>
                <w:szCs w:val="24"/>
              </w:rPr>
              <w:t>B1</w:t>
            </w:r>
          </w:p>
        </w:tc>
        <w:tc>
          <w:tcPr>
            <w:tcW w:w="2540"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管储</w:t>
            </w:r>
          </w:p>
        </w:tc>
        <w:tc>
          <w:tcPr>
            <w:tcW w:w="1701"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宋体" w:hAnsi="宋体" w:cs="宋体"/>
                <w:sz w:val="24"/>
                <w:szCs w:val="24"/>
              </w:rPr>
              <w:t>长沟村储配站</w:t>
            </w:r>
          </w:p>
        </w:tc>
        <w:tc>
          <w:tcPr>
            <w:tcW w:w="2126"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宋体" w:hAnsi="宋体" w:cs="宋体"/>
                <w:sz w:val="24"/>
                <w:szCs w:val="24"/>
              </w:rPr>
              <w:t>长沟村储配站</w:t>
            </w:r>
          </w:p>
        </w:tc>
        <w:tc>
          <w:tcPr>
            <w:tcW w:w="851"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138</w:t>
            </w:r>
          </w:p>
        </w:tc>
        <w:tc>
          <w:tcPr>
            <w:tcW w:w="992"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016</w:t>
            </w:r>
          </w:p>
        </w:tc>
        <w:tc>
          <w:tcPr>
            <w:tcW w:w="993"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0</w:t>
            </w:r>
            <w:r>
              <w:rPr>
                <w:rFonts w:hint="eastAsia" w:asciiTheme="minorEastAsia" w:hAnsiTheme="minorEastAsia" w:eastAsiaTheme="minorEastAsia"/>
                <w:sz w:val="24"/>
                <w:szCs w:val="24"/>
              </w:rPr>
              <w:t>#</w:t>
            </w:r>
          </w:p>
        </w:tc>
        <w:tc>
          <w:tcPr>
            <w:tcW w:w="937" w:type="dxa"/>
            <w:tcBorders>
              <w:top w:val="single" w:color="auto" w:sz="4" w:space="0"/>
              <w:left w:val="nil"/>
              <w:bottom w:val="single" w:color="auto" w:sz="4" w:space="0"/>
              <w:right w:val="single" w:color="auto" w:sz="4" w:space="0"/>
            </w:tcBorders>
            <w:vAlign w:val="center"/>
          </w:tcPr>
          <w:p>
            <w:pPr>
              <w:spacing w:line="240" w:lineRule="atLeast"/>
              <w:jc w:val="center"/>
              <w:rPr>
                <w:rFonts w:asciiTheme="minorEastAsia" w:hAnsiTheme="minorEastAsia" w:eastAsiaTheme="minorEastAsia"/>
                <w:sz w:val="24"/>
                <w:szCs w:val="24"/>
              </w:rPr>
            </w:pP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155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高压A 4.0</w:t>
            </w:r>
          </w:p>
        </w:tc>
        <w:tc>
          <w:tcPr>
            <w:tcW w:w="92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GB1</w:t>
            </w:r>
          </w:p>
        </w:tc>
        <w:tc>
          <w:tcPr>
            <w:tcW w:w="254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双龙至南部供气管线</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老鸦镇</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双龙-长沟村</w:t>
            </w:r>
          </w:p>
        </w:tc>
        <w:tc>
          <w:tcPr>
            <w:tcW w:w="85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48</w:t>
            </w:r>
          </w:p>
        </w:tc>
        <w:tc>
          <w:tcPr>
            <w:tcW w:w="99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D219</w:t>
            </w:r>
          </w:p>
        </w:tc>
        <w:tc>
          <w:tcPr>
            <w:tcW w:w="993"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20#</w:t>
            </w:r>
          </w:p>
        </w:tc>
        <w:tc>
          <w:tcPr>
            <w:tcW w:w="93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w:t>
            </w:r>
          </w:p>
        </w:tc>
        <w:tc>
          <w:tcPr>
            <w:tcW w:w="155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FF0000"/>
                <w:sz w:val="24"/>
                <w:szCs w:val="24"/>
              </w:rPr>
            </w:pPr>
          </w:p>
        </w:tc>
        <w:tc>
          <w:tcPr>
            <w:tcW w:w="92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GB1</w:t>
            </w:r>
          </w:p>
        </w:tc>
        <w:tc>
          <w:tcPr>
            <w:tcW w:w="254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定水至南部供气管线</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FF0000"/>
                <w:sz w:val="24"/>
                <w:szCs w:val="24"/>
              </w:rPr>
            </w:pPr>
            <w:r>
              <w:rPr>
                <w:rFonts w:hint="eastAsia" w:asciiTheme="minorEastAsia" w:hAnsiTheme="minorEastAsia" w:eastAsiaTheme="minorEastAsia"/>
                <w:sz w:val="24"/>
                <w:szCs w:val="24"/>
              </w:rPr>
              <w:t>金星</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FF0000"/>
                <w:sz w:val="24"/>
                <w:szCs w:val="24"/>
              </w:rPr>
            </w:pPr>
            <w:r>
              <w:rPr>
                <w:rFonts w:hint="eastAsia" w:asciiTheme="minorEastAsia" w:hAnsiTheme="minorEastAsia" w:eastAsiaTheme="minorEastAsia"/>
                <w:sz w:val="24"/>
                <w:szCs w:val="24"/>
              </w:rPr>
              <w:t>定水—南部</w:t>
            </w:r>
          </w:p>
        </w:tc>
        <w:tc>
          <w:tcPr>
            <w:tcW w:w="85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12</w:t>
            </w:r>
          </w:p>
        </w:tc>
        <w:tc>
          <w:tcPr>
            <w:tcW w:w="99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D108</w:t>
            </w:r>
          </w:p>
        </w:tc>
        <w:tc>
          <w:tcPr>
            <w:tcW w:w="993"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FF0000"/>
                <w:sz w:val="24"/>
                <w:szCs w:val="24"/>
              </w:rPr>
            </w:pPr>
          </w:p>
        </w:tc>
        <w:tc>
          <w:tcPr>
            <w:tcW w:w="93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w:t>
            </w:r>
          </w:p>
        </w:tc>
        <w:tc>
          <w:tcPr>
            <w:tcW w:w="155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FF0000"/>
                <w:sz w:val="24"/>
                <w:szCs w:val="24"/>
              </w:rPr>
            </w:pPr>
            <w:r>
              <w:rPr>
                <w:rFonts w:hint="eastAsia" w:asciiTheme="minorEastAsia" w:hAnsiTheme="minorEastAsia" w:eastAsiaTheme="minorEastAsia"/>
                <w:sz w:val="24"/>
                <w:szCs w:val="24"/>
              </w:rPr>
              <w:t>高压B 2.5</w:t>
            </w:r>
          </w:p>
        </w:tc>
        <w:tc>
          <w:tcPr>
            <w:tcW w:w="924" w:type="dxa"/>
            <w:tcBorders>
              <w:top w:val="single" w:color="auto" w:sz="4" w:space="0"/>
              <w:left w:val="nil"/>
              <w:bottom w:val="single" w:color="auto" w:sz="4" w:space="0"/>
              <w:right w:val="single" w:color="auto" w:sz="4" w:space="0"/>
            </w:tcBorders>
            <w:vAlign w:val="center"/>
          </w:tcPr>
          <w:p>
            <w:pPr>
              <w:ind w:left="-56" w:leftChars="-20" w:right="-30" w:rightChars="-11"/>
              <w:jc w:val="center"/>
              <w:rPr>
                <w:rFonts w:asciiTheme="minorEastAsia" w:hAnsiTheme="minorEastAsia" w:eastAsiaTheme="minorEastAsia"/>
                <w:spacing w:val="-8"/>
                <w:sz w:val="24"/>
                <w:szCs w:val="24"/>
              </w:rPr>
            </w:pPr>
            <w:r>
              <w:rPr>
                <w:rFonts w:asciiTheme="minorEastAsia" w:hAnsiTheme="minorEastAsia" w:eastAsiaTheme="minorEastAsia"/>
                <w:sz w:val="24"/>
                <w:szCs w:val="24"/>
              </w:rPr>
              <w:t>GB1</w:t>
            </w:r>
          </w:p>
        </w:tc>
        <w:tc>
          <w:tcPr>
            <w:tcW w:w="2540" w:type="dxa"/>
            <w:tcBorders>
              <w:top w:val="single" w:color="auto" w:sz="4" w:space="0"/>
              <w:left w:val="nil"/>
              <w:bottom w:val="single" w:color="auto" w:sz="4" w:space="0"/>
              <w:right w:val="single" w:color="auto" w:sz="4" w:space="0"/>
            </w:tcBorders>
            <w:vAlign w:val="center"/>
          </w:tcPr>
          <w:p>
            <w:pPr>
              <w:ind w:left="-56" w:leftChars="-20" w:right="-30" w:rightChars="-11"/>
              <w:jc w:val="center"/>
              <w:rPr>
                <w:rFonts w:asciiTheme="minorEastAsia" w:hAnsiTheme="minorEastAsia" w:eastAsiaTheme="minorEastAsia"/>
                <w:color w:val="FF0000"/>
                <w:spacing w:val="-8"/>
                <w:sz w:val="24"/>
                <w:szCs w:val="24"/>
              </w:rPr>
            </w:pPr>
            <w:r>
              <w:rPr>
                <w:rFonts w:hint="eastAsia" w:asciiTheme="minorEastAsia" w:hAnsiTheme="minorEastAsia" w:eastAsiaTheme="minorEastAsia"/>
                <w:spacing w:val="-8"/>
                <w:sz w:val="24"/>
                <w:szCs w:val="24"/>
              </w:rPr>
              <w:t>升钟至狮二井</w:t>
            </w:r>
            <w:r>
              <w:rPr>
                <w:rFonts w:hint="eastAsia" w:asciiTheme="minorEastAsia" w:hAnsiTheme="minorEastAsia" w:eastAsiaTheme="minorEastAsia"/>
                <w:sz w:val="24"/>
                <w:szCs w:val="24"/>
              </w:rPr>
              <w:t>供气管线</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FF0000"/>
                <w:sz w:val="24"/>
                <w:szCs w:val="24"/>
              </w:rPr>
            </w:pPr>
            <w:r>
              <w:rPr>
                <w:rFonts w:hint="eastAsia" w:asciiTheme="minorEastAsia" w:hAnsiTheme="minorEastAsia" w:eastAsiaTheme="minorEastAsia"/>
                <w:sz w:val="24"/>
                <w:szCs w:val="24"/>
              </w:rPr>
              <w:t>永红乡</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FF0000"/>
                <w:sz w:val="24"/>
                <w:szCs w:val="24"/>
              </w:rPr>
            </w:pPr>
            <w:r>
              <w:rPr>
                <w:rFonts w:hint="eastAsia" w:asciiTheme="minorEastAsia" w:hAnsiTheme="minorEastAsia" w:eastAsiaTheme="minorEastAsia"/>
                <w:sz w:val="24"/>
                <w:szCs w:val="24"/>
              </w:rPr>
              <w:t>海源村—升钟站</w:t>
            </w:r>
          </w:p>
        </w:tc>
        <w:tc>
          <w:tcPr>
            <w:tcW w:w="85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11</w:t>
            </w:r>
          </w:p>
        </w:tc>
        <w:tc>
          <w:tcPr>
            <w:tcW w:w="99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D108</w:t>
            </w:r>
          </w:p>
        </w:tc>
        <w:tc>
          <w:tcPr>
            <w:tcW w:w="993"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FF0000"/>
                <w:sz w:val="24"/>
                <w:szCs w:val="24"/>
              </w:rPr>
            </w:pPr>
          </w:p>
        </w:tc>
        <w:tc>
          <w:tcPr>
            <w:tcW w:w="93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color w:val="FF0000"/>
                <w:sz w:val="24"/>
                <w:szCs w:val="24"/>
              </w:rPr>
            </w:pP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w:t>
            </w:r>
          </w:p>
        </w:tc>
        <w:tc>
          <w:tcPr>
            <w:tcW w:w="155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924" w:type="dxa"/>
            <w:tcBorders>
              <w:top w:val="single" w:color="auto" w:sz="4" w:space="0"/>
              <w:left w:val="nil"/>
              <w:bottom w:val="single" w:color="auto" w:sz="4" w:space="0"/>
              <w:right w:val="single" w:color="auto" w:sz="4" w:space="0"/>
            </w:tcBorders>
            <w:vAlign w:val="center"/>
          </w:tcPr>
          <w:p>
            <w:pPr>
              <w:ind w:left="-56" w:leftChars="-20" w:right="-30" w:rightChars="-11"/>
              <w:jc w:val="center"/>
              <w:rPr>
                <w:rFonts w:asciiTheme="minorEastAsia" w:hAnsiTheme="minorEastAsia" w:eastAsiaTheme="minorEastAsia"/>
                <w:spacing w:val="-8"/>
                <w:sz w:val="24"/>
                <w:szCs w:val="24"/>
              </w:rPr>
            </w:pPr>
            <w:r>
              <w:rPr>
                <w:rFonts w:asciiTheme="minorEastAsia" w:hAnsiTheme="minorEastAsia" w:eastAsiaTheme="minorEastAsia"/>
                <w:sz w:val="24"/>
                <w:szCs w:val="24"/>
              </w:rPr>
              <w:t>GB1</w:t>
            </w:r>
          </w:p>
        </w:tc>
        <w:tc>
          <w:tcPr>
            <w:tcW w:w="2540" w:type="dxa"/>
            <w:tcBorders>
              <w:top w:val="single" w:color="auto" w:sz="4" w:space="0"/>
              <w:left w:val="nil"/>
              <w:bottom w:val="single" w:color="auto" w:sz="4" w:space="0"/>
              <w:right w:val="single" w:color="auto" w:sz="4" w:space="0"/>
            </w:tcBorders>
            <w:vAlign w:val="center"/>
          </w:tcPr>
          <w:p>
            <w:pPr>
              <w:ind w:left="-56" w:leftChars="-20" w:right="-30" w:rightChars="-11"/>
              <w:jc w:val="center"/>
              <w:rPr>
                <w:rFonts w:asciiTheme="minorEastAsia" w:hAnsiTheme="minorEastAsia" w:eastAsiaTheme="minorEastAsia"/>
                <w:sz w:val="24"/>
                <w:szCs w:val="24"/>
              </w:rPr>
            </w:pPr>
            <w:r>
              <w:rPr>
                <w:rFonts w:hint="eastAsia" w:asciiTheme="minorEastAsia" w:hAnsiTheme="minorEastAsia" w:eastAsiaTheme="minorEastAsia"/>
                <w:spacing w:val="-8"/>
                <w:sz w:val="24"/>
                <w:szCs w:val="24"/>
              </w:rPr>
              <w:t>狮一井至伏虎</w:t>
            </w:r>
            <w:r>
              <w:rPr>
                <w:rFonts w:hint="eastAsia" w:asciiTheme="minorEastAsia" w:hAnsiTheme="minorEastAsia" w:eastAsiaTheme="minorEastAsia"/>
                <w:sz w:val="24"/>
                <w:szCs w:val="24"/>
              </w:rPr>
              <w:t>供气管线</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石泉</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狮一井—伏虎站</w:t>
            </w:r>
          </w:p>
        </w:tc>
        <w:tc>
          <w:tcPr>
            <w:tcW w:w="85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12</w:t>
            </w:r>
          </w:p>
        </w:tc>
        <w:tc>
          <w:tcPr>
            <w:tcW w:w="99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D108</w:t>
            </w:r>
          </w:p>
        </w:tc>
        <w:tc>
          <w:tcPr>
            <w:tcW w:w="993"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93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r>
      <w:tr>
        <w:tblPrEx>
          <w:tblCellMar>
            <w:top w:w="0" w:type="dxa"/>
            <w:left w:w="108" w:type="dxa"/>
            <w:bottom w:w="0" w:type="dxa"/>
            <w:right w:w="108" w:type="dxa"/>
          </w:tblCellMar>
        </w:tblPrEx>
        <w:trPr>
          <w:trHeight w:val="326"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w:t>
            </w:r>
          </w:p>
        </w:tc>
        <w:tc>
          <w:tcPr>
            <w:tcW w:w="155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92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GB1</w:t>
            </w:r>
          </w:p>
        </w:tc>
        <w:tc>
          <w:tcPr>
            <w:tcW w:w="254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定水至建兴供气管线</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大王，三官</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定水站—建兴站</w:t>
            </w:r>
          </w:p>
        </w:tc>
        <w:tc>
          <w:tcPr>
            <w:tcW w:w="85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11</w:t>
            </w:r>
          </w:p>
        </w:tc>
        <w:tc>
          <w:tcPr>
            <w:tcW w:w="99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D108</w:t>
            </w:r>
          </w:p>
        </w:tc>
        <w:tc>
          <w:tcPr>
            <w:tcW w:w="993"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93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r>
      <w:tr>
        <w:tblPrEx>
          <w:tblCellMar>
            <w:top w:w="0" w:type="dxa"/>
            <w:left w:w="108" w:type="dxa"/>
            <w:bottom w:w="0" w:type="dxa"/>
            <w:right w:w="108" w:type="dxa"/>
          </w:tblCellMar>
        </w:tblPrEx>
        <w:trPr>
          <w:trHeight w:val="169"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w:t>
            </w:r>
          </w:p>
        </w:tc>
        <w:tc>
          <w:tcPr>
            <w:tcW w:w="155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高压A4.0</w:t>
            </w:r>
          </w:p>
        </w:tc>
        <w:tc>
          <w:tcPr>
            <w:tcW w:w="92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GB1</w:t>
            </w:r>
          </w:p>
        </w:tc>
        <w:tc>
          <w:tcPr>
            <w:tcW w:w="2540" w:type="dxa"/>
            <w:tcBorders>
              <w:top w:val="single" w:color="auto" w:sz="4" w:space="0"/>
              <w:left w:val="nil"/>
              <w:bottom w:val="single" w:color="auto" w:sz="4" w:space="0"/>
              <w:right w:val="single" w:color="auto" w:sz="4" w:space="0"/>
            </w:tcBorders>
            <w:vAlign w:val="center"/>
          </w:tcPr>
          <w:p>
            <w:pPr>
              <w:jc w:val="both"/>
              <w:rPr>
                <w:rFonts w:asciiTheme="minorEastAsia" w:hAnsiTheme="minorEastAsia" w:eastAsiaTheme="minorEastAsia"/>
                <w:sz w:val="24"/>
                <w:szCs w:val="24"/>
              </w:rPr>
            </w:pPr>
            <w:r>
              <w:rPr>
                <w:rFonts w:hint="eastAsia" w:asciiTheme="minorEastAsia" w:hAnsiTheme="minorEastAsia" w:eastAsiaTheme="minorEastAsia"/>
                <w:sz w:val="24"/>
                <w:szCs w:val="24"/>
              </w:rPr>
              <w:t>永定至南部满福坝供气管线</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永定、县城</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永定—县城</w:t>
            </w:r>
          </w:p>
        </w:tc>
        <w:tc>
          <w:tcPr>
            <w:tcW w:w="85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12</w:t>
            </w:r>
          </w:p>
        </w:tc>
        <w:tc>
          <w:tcPr>
            <w:tcW w:w="99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D219</w:t>
            </w:r>
          </w:p>
        </w:tc>
        <w:tc>
          <w:tcPr>
            <w:tcW w:w="993"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93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7</w:t>
            </w:r>
          </w:p>
        </w:tc>
        <w:tc>
          <w:tcPr>
            <w:tcW w:w="155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次高压A 1.6</w:t>
            </w:r>
          </w:p>
        </w:tc>
        <w:tc>
          <w:tcPr>
            <w:tcW w:w="92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asciiTheme="minorEastAsia" w:hAnsiTheme="minorEastAsia" w:eastAsiaTheme="minorEastAsia"/>
                <w:sz w:val="24"/>
                <w:szCs w:val="24"/>
              </w:rPr>
              <w:t>GB1</w:t>
            </w:r>
          </w:p>
        </w:tc>
        <w:tc>
          <w:tcPr>
            <w:tcW w:w="254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南部至盘龙供气管线</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南部—盘龙</w:t>
            </w:r>
          </w:p>
        </w:tc>
        <w:tc>
          <w:tcPr>
            <w:tcW w:w="85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7</w:t>
            </w:r>
          </w:p>
        </w:tc>
        <w:tc>
          <w:tcPr>
            <w:tcW w:w="99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D108</w:t>
            </w:r>
          </w:p>
        </w:tc>
        <w:tc>
          <w:tcPr>
            <w:tcW w:w="993"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93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8</w:t>
            </w:r>
          </w:p>
        </w:tc>
        <w:tc>
          <w:tcPr>
            <w:tcW w:w="155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924" w:type="dxa"/>
            <w:tcBorders>
              <w:top w:val="single" w:color="auto" w:sz="4" w:space="0"/>
              <w:left w:val="nil"/>
              <w:bottom w:val="single" w:color="auto" w:sz="4" w:space="0"/>
              <w:right w:val="single" w:color="auto" w:sz="4" w:space="0"/>
            </w:tcBorders>
            <w:vAlign w:val="center"/>
          </w:tcPr>
          <w:p>
            <w:pPr>
              <w:ind w:left="-56" w:leftChars="-20" w:right="-30" w:rightChars="-11"/>
              <w:jc w:val="center"/>
              <w:rPr>
                <w:rFonts w:asciiTheme="minorEastAsia" w:hAnsiTheme="minorEastAsia" w:eastAsiaTheme="minorEastAsia"/>
                <w:spacing w:val="-8"/>
                <w:sz w:val="24"/>
                <w:szCs w:val="24"/>
              </w:rPr>
            </w:pPr>
            <w:r>
              <w:rPr>
                <w:rFonts w:asciiTheme="minorEastAsia" w:hAnsiTheme="minorEastAsia" w:eastAsiaTheme="minorEastAsia"/>
                <w:sz w:val="24"/>
                <w:szCs w:val="24"/>
              </w:rPr>
              <w:t>GB1</w:t>
            </w:r>
          </w:p>
        </w:tc>
        <w:tc>
          <w:tcPr>
            <w:tcW w:w="2540" w:type="dxa"/>
            <w:tcBorders>
              <w:top w:val="single" w:color="auto" w:sz="4" w:space="0"/>
              <w:left w:val="nil"/>
              <w:bottom w:val="single" w:color="auto" w:sz="4" w:space="0"/>
              <w:right w:val="single" w:color="auto" w:sz="4" w:space="0"/>
            </w:tcBorders>
            <w:vAlign w:val="center"/>
          </w:tcPr>
          <w:p>
            <w:pPr>
              <w:ind w:left="-56" w:leftChars="-20" w:right="-30" w:rightChars="-11"/>
              <w:jc w:val="center"/>
              <w:rPr>
                <w:rFonts w:asciiTheme="minorEastAsia" w:hAnsiTheme="minorEastAsia" w:eastAsiaTheme="minorEastAsia"/>
                <w:spacing w:val="-8"/>
                <w:sz w:val="24"/>
                <w:szCs w:val="24"/>
              </w:rPr>
            </w:pPr>
            <w:r>
              <w:rPr>
                <w:rFonts w:hint="eastAsia" w:asciiTheme="minorEastAsia" w:hAnsiTheme="minorEastAsia" w:eastAsiaTheme="minorEastAsia"/>
                <w:spacing w:val="-8"/>
                <w:sz w:val="24"/>
                <w:szCs w:val="24"/>
              </w:rPr>
              <w:t>公三井至东坝</w:t>
            </w:r>
            <w:r>
              <w:rPr>
                <w:rFonts w:hint="eastAsia" w:asciiTheme="minorEastAsia" w:hAnsiTheme="minorEastAsia" w:eastAsiaTheme="minorEastAsia"/>
                <w:sz w:val="24"/>
                <w:szCs w:val="24"/>
              </w:rPr>
              <w:t>供气管线</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pacing w:val="-8"/>
                <w:sz w:val="24"/>
                <w:szCs w:val="24"/>
              </w:rPr>
              <w:t>公三井—东坝</w:t>
            </w:r>
          </w:p>
        </w:tc>
        <w:tc>
          <w:tcPr>
            <w:tcW w:w="85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99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D108</w:t>
            </w:r>
          </w:p>
        </w:tc>
        <w:tc>
          <w:tcPr>
            <w:tcW w:w="993"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93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r>
      <w:tr>
        <w:tblPrEx>
          <w:tblCellMar>
            <w:top w:w="0" w:type="dxa"/>
            <w:left w:w="108" w:type="dxa"/>
            <w:bottom w:w="0" w:type="dxa"/>
            <w:right w:w="108" w:type="dxa"/>
          </w:tblCellMar>
        </w:tblPrEx>
        <w:trPr>
          <w:trHeight w:val="6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155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中压A 0.4</w:t>
            </w:r>
          </w:p>
        </w:tc>
        <w:tc>
          <w:tcPr>
            <w:tcW w:w="92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254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城区管道</w:t>
            </w:r>
          </w:p>
        </w:tc>
        <w:tc>
          <w:tcPr>
            <w:tcW w:w="170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县城内</w:t>
            </w:r>
          </w:p>
        </w:tc>
        <w:tc>
          <w:tcPr>
            <w:tcW w:w="212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85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20</w:t>
            </w:r>
          </w:p>
        </w:tc>
        <w:tc>
          <w:tcPr>
            <w:tcW w:w="99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219~57</w:t>
            </w:r>
          </w:p>
        </w:tc>
        <w:tc>
          <w:tcPr>
            <w:tcW w:w="993"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Q245</w:t>
            </w:r>
          </w:p>
        </w:tc>
        <w:tc>
          <w:tcPr>
            <w:tcW w:w="93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szCs w:val="24"/>
              </w:rPr>
            </w:pPr>
          </w:p>
        </w:tc>
      </w:tr>
    </w:tbl>
    <w:p>
      <w:pPr>
        <w:spacing w:line="240" w:lineRule="atLeast"/>
        <w:ind w:firstLine="560"/>
      </w:pPr>
    </w:p>
    <w:p>
      <w:pPr>
        <w:spacing w:line="240" w:lineRule="atLeast"/>
        <w:ind w:firstLine="560"/>
        <w:sectPr>
          <w:pgSz w:w="16838" w:h="11906" w:orient="landscape"/>
          <w:pgMar w:top="1077" w:right="1440" w:bottom="1077" w:left="1440" w:header="851" w:footer="992" w:gutter="0"/>
          <w:cols w:space="720" w:num="1"/>
          <w:docGrid w:type="linesAndChars" w:linePitch="312" w:charSpace="0"/>
        </w:sectPr>
      </w:pPr>
    </w:p>
    <w:p>
      <w:pPr>
        <w:pStyle w:val="7"/>
      </w:pPr>
      <w:bookmarkStart w:id="371" w:name="_Toc101798338"/>
      <w:r>
        <w:t>4.</w:t>
      </w:r>
      <w:r>
        <w:rPr>
          <w:rFonts w:hint="eastAsia"/>
        </w:rPr>
        <w:t>自然条件影响因素</w:t>
      </w:r>
      <w:bookmarkEnd w:id="371"/>
    </w:p>
    <w:p>
      <w:pPr>
        <w:pStyle w:val="17"/>
        <w:spacing w:after="0" w:line="560" w:lineRule="exact"/>
        <w:ind w:firstLine="560" w:firstLineChars="200"/>
        <w:rPr>
          <w:rFonts w:cs="宋体" w:asciiTheme="minorEastAsia" w:hAnsiTheme="minorEastAsia" w:eastAsiaTheme="minorEastAsia"/>
          <w:kern w:val="2"/>
          <w:sz w:val="28"/>
          <w:szCs w:val="28"/>
        </w:rPr>
      </w:pPr>
      <w:r>
        <w:rPr>
          <w:rFonts w:cs="宋体" w:asciiTheme="minorEastAsia" w:hAnsiTheme="minorEastAsia" w:eastAsiaTheme="minorEastAsia"/>
          <w:kern w:val="2"/>
          <w:sz w:val="28"/>
          <w:szCs w:val="28"/>
        </w:rPr>
        <w:t>4.1</w:t>
      </w:r>
      <w:r>
        <w:rPr>
          <w:rFonts w:hint="eastAsia" w:cs="宋体" w:asciiTheme="minorEastAsia" w:hAnsiTheme="minorEastAsia" w:eastAsiaTheme="minorEastAsia"/>
          <w:kern w:val="2"/>
          <w:sz w:val="28"/>
          <w:szCs w:val="28"/>
        </w:rPr>
        <w:t>地震</w:t>
      </w:r>
    </w:p>
    <w:p>
      <w:pPr>
        <w:pStyle w:val="17"/>
        <w:spacing w:after="0" w:line="560" w:lineRule="exact"/>
        <w:ind w:firstLine="560" w:firstLineChars="200"/>
        <w:jc w:val="both"/>
        <w:rPr>
          <w:rFonts w:cs="宋体" w:asciiTheme="minorEastAsia" w:hAnsiTheme="minorEastAsia" w:eastAsiaTheme="minorEastAsia"/>
          <w:kern w:val="2"/>
          <w:sz w:val="28"/>
          <w:szCs w:val="28"/>
        </w:rPr>
      </w:pPr>
      <w:r>
        <w:rPr>
          <w:rFonts w:cs="宋体" w:asciiTheme="minorEastAsia" w:hAnsiTheme="minorEastAsia" w:eastAsiaTheme="minorEastAsia"/>
          <w:kern w:val="2"/>
          <w:sz w:val="28"/>
          <w:szCs w:val="28"/>
        </w:rPr>
        <w:t>地震是一种能产生巨大破坏作用的自然现象，它尤其对建筑物的破坏作用明显，作用范围大，进而威胁设备和人员的安全。根据《建筑抗震设计规范》(GB50011-2010)（2016 版）及《中国地震动参数区划图》（GB18306-2015），场地抗震设防烈度为 7 度，设计基本地震动峰值加速度值为 0.10g。本项目设施设备、建构筑物等的设计、建设若未按照本地区抗震烈度进行设防，遭遇强震时，可能造成建构筑物损坏或倒塌、设施设备破坏，引发人员伤亡事故。</w:t>
      </w:r>
    </w:p>
    <w:p>
      <w:pPr>
        <w:pStyle w:val="17"/>
        <w:spacing w:after="0" w:line="560" w:lineRule="exact"/>
        <w:ind w:firstLine="560" w:firstLineChars="200"/>
        <w:jc w:val="both"/>
        <w:rPr>
          <w:rFonts w:cs="宋体" w:asciiTheme="minorEastAsia" w:hAnsiTheme="minorEastAsia" w:eastAsiaTheme="minorEastAsia"/>
          <w:kern w:val="2"/>
          <w:sz w:val="28"/>
          <w:szCs w:val="28"/>
        </w:rPr>
      </w:pPr>
      <w:r>
        <w:rPr>
          <w:rFonts w:cs="宋体" w:asciiTheme="minorEastAsia" w:hAnsiTheme="minorEastAsia" w:eastAsiaTheme="minorEastAsia"/>
          <w:kern w:val="2"/>
          <w:sz w:val="28"/>
          <w:szCs w:val="28"/>
        </w:rPr>
        <w:t>地震对输气管道、调压场站造成的危害：</w:t>
      </w:r>
    </w:p>
    <w:p>
      <w:pPr>
        <w:tabs>
          <w:tab w:val="left" w:pos="1777"/>
        </w:tabs>
        <w:autoSpaceDE w:val="0"/>
        <w:autoSpaceDN w:val="0"/>
        <w:spacing w:after="0" w:line="560" w:lineRule="exact"/>
        <w:ind w:firstLine="560" w:firstLineChars="200"/>
        <w:rPr>
          <w:rFonts w:cs="宋体" w:asciiTheme="minorEastAsia" w:hAnsiTheme="minorEastAsia" w:eastAsiaTheme="minorEastAsia"/>
          <w:szCs w:val="28"/>
        </w:rPr>
      </w:pPr>
      <w:r>
        <w:rPr>
          <w:rFonts w:hint="eastAsia" w:asciiTheme="majorEastAsia" w:hAnsiTheme="majorEastAsia" w:eastAsiaTheme="majorEastAsia" w:cstheme="majorEastAsia"/>
          <w:szCs w:val="28"/>
        </w:rPr>
        <w:t>（1）</w:t>
      </w:r>
      <w:r>
        <w:rPr>
          <w:rFonts w:cs="宋体" w:asciiTheme="minorEastAsia" w:hAnsiTheme="minorEastAsia" w:eastAsiaTheme="minorEastAsia"/>
          <w:szCs w:val="28"/>
        </w:rPr>
        <w:t>永久性土地变形，如地表断裂、土壤液化、塌方等，引起管线断裂或严重变形，</w:t>
      </w:r>
      <w:r>
        <w:rPr>
          <w:rFonts w:cs="宋体" w:asciiTheme="minorEastAsia" w:hAnsiTheme="minorEastAsia" w:eastAsiaTheme="minorEastAsia"/>
          <w:kern w:val="2"/>
          <w:szCs w:val="28"/>
        </w:rPr>
        <w:t>构(建)筑物倒塌；</w:t>
      </w:r>
      <w:r>
        <w:rPr>
          <w:rFonts w:cs="宋体" w:asciiTheme="minorEastAsia" w:hAnsiTheme="minorEastAsia" w:eastAsiaTheme="minorEastAsia"/>
          <w:szCs w:val="28"/>
        </w:rPr>
        <w:t xml:space="preserve"> </w:t>
      </w:r>
    </w:p>
    <w:p>
      <w:pPr>
        <w:tabs>
          <w:tab w:val="left" w:pos="1777"/>
        </w:tabs>
        <w:autoSpaceDE w:val="0"/>
        <w:autoSpaceDN w:val="0"/>
        <w:spacing w:after="0" w:line="560" w:lineRule="exact"/>
        <w:ind w:firstLine="560" w:firstLineChars="200"/>
        <w:rPr>
          <w:rFonts w:cs="宋体" w:asciiTheme="minorEastAsia" w:hAnsiTheme="minorEastAsia" w:eastAsiaTheme="minorEastAsia"/>
          <w:szCs w:val="28"/>
        </w:rPr>
      </w:pPr>
      <w:r>
        <w:rPr>
          <w:rFonts w:hint="eastAsia" w:asciiTheme="majorEastAsia" w:hAnsiTheme="majorEastAsia" w:eastAsiaTheme="majorEastAsia" w:cstheme="majorEastAsia"/>
          <w:szCs w:val="28"/>
        </w:rPr>
        <w:t>（2）</w:t>
      </w:r>
      <w:r>
        <w:rPr>
          <w:rFonts w:cs="宋体" w:asciiTheme="minorEastAsia" w:hAnsiTheme="minorEastAsia" w:eastAsiaTheme="minorEastAsia"/>
          <w:szCs w:val="28"/>
        </w:rPr>
        <w:t>地震波对输气管道产生拉伸作用，但由此动力激发的惯性效应较小，不至于造成按规范标准建设的输气管道的破坏，但是有可能使那些遭受腐蚀或焊接质量较差的薄弱管段破坏；</w:t>
      </w:r>
    </w:p>
    <w:p>
      <w:pPr>
        <w:tabs>
          <w:tab w:val="left" w:pos="1786"/>
        </w:tabs>
        <w:autoSpaceDE w:val="0"/>
        <w:autoSpaceDN w:val="0"/>
        <w:spacing w:after="0" w:line="560" w:lineRule="exact"/>
        <w:ind w:firstLine="560" w:firstLineChars="200"/>
        <w:rPr>
          <w:rFonts w:cs="宋体" w:asciiTheme="minorEastAsia" w:hAnsiTheme="minorEastAsia" w:eastAsiaTheme="minorEastAsia"/>
          <w:szCs w:val="28"/>
        </w:rPr>
      </w:pPr>
      <w:r>
        <w:rPr>
          <w:rFonts w:hint="eastAsia" w:asciiTheme="majorEastAsia" w:hAnsiTheme="majorEastAsia" w:eastAsiaTheme="majorEastAsia" w:cstheme="majorEastAsia"/>
          <w:szCs w:val="28"/>
        </w:rPr>
        <w:t>（3）</w:t>
      </w:r>
      <w:r>
        <w:rPr>
          <w:rFonts w:cs="宋体" w:asciiTheme="minorEastAsia" w:hAnsiTheme="minorEastAsia" w:eastAsiaTheme="minorEastAsia"/>
          <w:szCs w:val="28"/>
        </w:rPr>
        <w:t>造成电力、通讯系统中断、毁坏；</w:t>
      </w:r>
    </w:p>
    <w:p>
      <w:pPr>
        <w:tabs>
          <w:tab w:val="left" w:pos="1786"/>
        </w:tabs>
        <w:autoSpaceDE w:val="0"/>
        <w:autoSpaceDN w:val="0"/>
        <w:spacing w:after="0" w:line="560" w:lineRule="exact"/>
        <w:ind w:firstLine="560" w:firstLineChars="200"/>
        <w:rPr>
          <w:rFonts w:cs="宋体" w:asciiTheme="minorEastAsia" w:hAnsiTheme="minorEastAsia" w:eastAsiaTheme="minorEastAsia"/>
          <w:szCs w:val="28"/>
        </w:rPr>
      </w:pPr>
      <w:r>
        <w:rPr>
          <w:rFonts w:hint="eastAsia" w:asciiTheme="majorEastAsia" w:hAnsiTheme="majorEastAsia" w:eastAsiaTheme="majorEastAsia" w:cstheme="majorEastAsia"/>
          <w:szCs w:val="28"/>
        </w:rPr>
        <w:t>（4）</w:t>
      </w:r>
      <w:r>
        <w:rPr>
          <w:rFonts w:cs="宋体" w:asciiTheme="minorEastAsia" w:hAnsiTheme="minorEastAsia" w:eastAsiaTheme="minorEastAsia"/>
          <w:szCs w:val="28"/>
        </w:rPr>
        <w:t>地震产生的电磁场变化，干扰控制仪器、仪表正常工作。</w:t>
      </w:r>
    </w:p>
    <w:p>
      <w:pPr>
        <w:spacing w:after="0" w:line="560" w:lineRule="exact"/>
        <w:ind w:firstLine="560" w:firstLineChars="200"/>
        <w:rPr>
          <w:rFonts w:cs="宋体" w:asciiTheme="minorEastAsia" w:hAnsiTheme="minorEastAsia" w:eastAsiaTheme="minorEastAsia"/>
          <w:kern w:val="2"/>
          <w:szCs w:val="28"/>
        </w:rPr>
      </w:pPr>
      <w:bookmarkStart w:id="372" w:name="A1.3.2雷电"/>
      <w:bookmarkEnd w:id="372"/>
      <w:r>
        <w:rPr>
          <w:rFonts w:cs="宋体" w:asciiTheme="minorEastAsia" w:hAnsiTheme="minorEastAsia" w:eastAsiaTheme="minorEastAsia"/>
          <w:kern w:val="2"/>
          <w:szCs w:val="28"/>
        </w:rPr>
        <w:t xml:space="preserve">4.2 </w:t>
      </w:r>
      <w:r>
        <w:rPr>
          <w:rFonts w:hint="eastAsia" w:cs="宋体" w:asciiTheme="minorEastAsia" w:hAnsiTheme="minorEastAsia" w:eastAsiaTheme="minorEastAsia"/>
          <w:kern w:val="2"/>
          <w:szCs w:val="28"/>
        </w:rPr>
        <w:t>雷电</w:t>
      </w:r>
    </w:p>
    <w:p>
      <w:pPr>
        <w:pStyle w:val="17"/>
        <w:spacing w:after="0" w:line="560" w:lineRule="exact"/>
        <w:ind w:firstLine="560" w:firstLineChars="200"/>
        <w:rPr>
          <w:rFonts w:cs="宋体" w:asciiTheme="minorEastAsia" w:hAnsiTheme="minorEastAsia" w:eastAsiaTheme="minorEastAsia"/>
          <w:kern w:val="2"/>
          <w:sz w:val="28"/>
          <w:szCs w:val="28"/>
        </w:rPr>
      </w:pPr>
      <w:r>
        <w:rPr>
          <w:rFonts w:cs="宋体" w:asciiTheme="minorEastAsia" w:hAnsiTheme="minorEastAsia" w:eastAsiaTheme="minorEastAsia"/>
          <w:kern w:val="2"/>
          <w:sz w:val="28"/>
          <w:szCs w:val="28"/>
        </w:rPr>
        <w:t>雷电是一种自然放电现象。雷雨多在夏季，项目设备、电气设施，均易受到直击雷的危害，架空管道及变配电装置和低压供电线路终端也易受到雷电波的侵袭。建筑及用电设备没有安装防雷设施，雷击在建筑物、构筑物、线路、电力设备等物体时，会产生雷电过电压，雷电所波及的范围内，会严重损害设备并危及人身安全。天然气管线</w:t>
      </w:r>
      <w:r>
        <w:rPr>
          <w:rFonts w:hint="eastAsia" w:cs="宋体" w:asciiTheme="minorEastAsia" w:hAnsiTheme="minorEastAsia" w:eastAsiaTheme="minorEastAsia"/>
          <w:kern w:val="2"/>
          <w:sz w:val="28"/>
          <w:szCs w:val="28"/>
        </w:rPr>
        <w:t>沿屋面设置时，容易受到雷电侵袭，而</w:t>
      </w:r>
      <w:r>
        <w:rPr>
          <w:rFonts w:cs="宋体" w:asciiTheme="minorEastAsia" w:hAnsiTheme="minorEastAsia" w:eastAsiaTheme="minorEastAsia"/>
          <w:kern w:val="2"/>
          <w:sz w:val="28"/>
          <w:szCs w:val="28"/>
        </w:rPr>
        <w:t>一般埋地设置， 直接受雷电的影响较小，但管线上方的建筑物、山体、树木是雷电的接收点，因而建筑物及其他雷电接受点未采取防雷的防护措施，遇雷击易破坏输气管线路，</w:t>
      </w:r>
      <w:r>
        <w:rPr>
          <w:rFonts w:hint="eastAsia" w:cs="宋体" w:asciiTheme="minorEastAsia" w:hAnsiTheme="minorEastAsia" w:eastAsiaTheme="minorEastAsia"/>
          <w:kern w:val="2"/>
          <w:sz w:val="28"/>
          <w:szCs w:val="28"/>
        </w:rPr>
        <w:t>或</w:t>
      </w:r>
      <w:r>
        <w:rPr>
          <w:rFonts w:cs="宋体" w:asciiTheme="minorEastAsia" w:hAnsiTheme="minorEastAsia" w:eastAsiaTheme="minorEastAsia"/>
          <w:kern w:val="2"/>
          <w:sz w:val="28"/>
          <w:szCs w:val="28"/>
        </w:rPr>
        <w:t>使</w:t>
      </w:r>
      <w:r>
        <w:rPr>
          <w:rFonts w:hint="eastAsia" w:cs="宋体" w:asciiTheme="minorEastAsia" w:hAnsiTheme="minorEastAsia" w:eastAsiaTheme="minorEastAsia"/>
          <w:kern w:val="2"/>
          <w:sz w:val="28"/>
          <w:szCs w:val="28"/>
        </w:rPr>
        <w:t>相邻</w:t>
      </w:r>
      <w:r>
        <w:rPr>
          <w:rFonts w:cs="宋体" w:asciiTheme="minorEastAsia" w:hAnsiTheme="minorEastAsia" w:eastAsiaTheme="minorEastAsia"/>
          <w:kern w:val="2"/>
          <w:sz w:val="28"/>
          <w:szCs w:val="28"/>
        </w:rPr>
        <w:t>建筑物垮塌，造成天然气泄漏</w:t>
      </w:r>
      <w:r>
        <w:rPr>
          <w:rFonts w:hint="eastAsia" w:cs="宋体" w:asciiTheme="minorEastAsia" w:hAnsiTheme="minorEastAsia" w:eastAsiaTheme="minorEastAsia"/>
          <w:kern w:val="2"/>
          <w:sz w:val="28"/>
          <w:szCs w:val="28"/>
        </w:rPr>
        <w:t>，甚至引发燃爆</w:t>
      </w:r>
      <w:r>
        <w:rPr>
          <w:rFonts w:cs="宋体" w:asciiTheme="minorEastAsia" w:hAnsiTheme="minorEastAsia" w:eastAsiaTheme="minorEastAsia"/>
          <w:kern w:val="2"/>
          <w:sz w:val="28"/>
          <w:szCs w:val="28"/>
        </w:rPr>
        <w:t>。</w:t>
      </w:r>
    </w:p>
    <w:p>
      <w:pPr>
        <w:spacing w:after="0" w:line="560" w:lineRule="exact"/>
        <w:ind w:firstLine="560" w:firstLineChars="200"/>
        <w:rPr>
          <w:rFonts w:cs="宋体" w:asciiTheme="minorEastAsia" w:hAnsiTheme="minorEastAsia" w:eastAsiaTheme="minorEastAsia"/>
          <w:kern w:val="2"/>
          <w:szCs w:val="28"/>
        </w:rPr>
      </w:pPr>
      <w:bookmarkStart w:id="373" w:name="A1.3.3高温"/>
      <w:bookmarkEnd w:id="373"/>
      <w:r>
        <w:rPr>
          <w:rFonts w:cs="宋体" w:asciiTheme="minorEastAsia" w:hAnsiTheme="minorEastAsia" w:eastAsiaTheme="minorEastAsia"/>
          <w:kern w:val="2"/>
          <w:szCs w:val="28"/>
        </w:rPr>
        <w:t xml:space="preserve">4.3 </w:t>
      </w:r>
      <w:r>
        <w:rPr>
          <w:rFonts w:hint="eastAsia" w:cs="宋体" w:asciiTheme="minorEastAsia" w:hAnsiTheme="minorEastAsia" w:eastAsiaTheme="minorEastAsia"/>
          <w:kern w:val="2"/>
          <w:szCs w:val="28"/>
        </w:rPr>
        <w:t>高温</w:t>
      </w:r>
    </w:p>
    <w:p>
      <w:pPr>
        <w:pStyle w:val="17"/>
        <w:spacing w:after="0" w:line="560" w:lineRule="exact"/>
        <w:ind w:firstLine="560" w:firstLineChars="200"/>
        <w:jc w:val="both"/>
        <w:rPr>
          <w:rFonts w:cs="宋体" w:asciiTheme="minorEastAsia" w:hAnsiTheme="minorEastAsia" w:eastAsiaTheme="minorEastAsia"/>
          <w:kern w:val="2"/>
          <w:sz w:val="28"/>
          <w:szCs w:val="28"/>
        </w:rPr>
      </w:pPr>
      <w:r>
        <w:rPr>
          <w:rFonts w:cs="宋体" w:asciiTheme="minorEastAsia" w:hAnsiTheme="minorEastAsia" w:eastAsiaTheme="minorEastAsia"/>
          <w:kern w:val="2"/>
          <w:sz w:val="28"/>
          <w:szCs w:val="28"/>
        </w:rPr>
        <w:t>管道巡线、检修、采样、测温等作业都属露天作业，应考虑高温环境对健康的影响。人体有最适宜的环境温度，当环境温度超过一定范围时，会产生不舒服感，气温过高会发生中暑。气温对人的作用广泛，作用时间长，但其危害后果较轻。作业环境温度高，若无有效的防暑、通风措施，将导致操作人员中毒、眩晕、操作失误等现象。</w:t>
      </w:r>
    </w:p>
    <w:p>
      <w:pPr>
        <w:spacing w:after="0" w:line="560" w:lineRule="exact"/>
        <w:ind w:firstLine="560" w:firstLineChars="200"/>
        <w:rPr>
          <w:rFonts w:cs="宋体" w:asciiTheme="minorEastAsia" w:hAnsiTheme="minorEastAsia" w:eastAsiaTheme="minorEastAsia"/>
          <w:kern w:val="2"/>
          <w:szCs w:val="28"/>
        </w:rPr>
      </w:pPr>
      <w:bookmarkStart w:id="374" w:name="A1.3.4不良天气"/>
      <w:bookmarkEnd w:id="374"/>
      <w:r>
        <w:rPr>
          <w:rFonts w:cs="宋体" w:asciiTheme="minorEastAsia" w:hAnsiTheme="minorEastAsia" w:eastAsiaTheme="minorEastAsia"/>
          <w:kern w:val="2"/>
          <w:szCs w:val="28"/>
        </w:rPr>
        <w:t xml:space="preserve">4.4 </w:t>
      </w:r>
      <w:r>
        <w:rPr>
          <w:rFonts w:hint="eastAsia" w:cs="宋体" w:asciiTheme="minorEastAsia" w:hAnsiTheme="minorEastAsia" w:eastAsiaTheme="minorEastAsia"/>
          <w:kern w:val="2"/>
          <w:szCs w:val="28"/>
        </w:rPr>
        <w:t>不良天气</w:t>
      </w:r>
    </w:p>
    <w:p>
      <w:pPr>
        <w:tabs>
          <w:tab w:val="left" w:pos="1777"/>
        </w:tabs>
        <w:autoSpaceDE w:val="0"/>
        <w:autoSpaceDN w:val="0"/>
        <w:spacing w:after="0" w:line="560" w:lineRule="exact"/>
        <w:ind w:firstLine="560" w:firstLineChars="200"/>
        <w:rPr>
          <w:rFonts w:cs="宋体" w:asciiTheme="minorEastAsia" w:hAnsiTheme="minorEastAsia" w:eastAsiaTheme="minorEastAsia"/>
          <w:szCs w:val="28"/>
        </w:rPr>
      </w:pPr>
      <w:r>
        <w:rPr>
          <w:rFonts w:hint="eastAsia" w:asciiTheme="majorEastAsia" w:hAnsiTheme="majorEastAsia" w:eastAsiaTheme="majorEastAsia" w:cstheme="majorEastAsia"/>
          <w:szCs w:val="28"/>
        </w:rPr>
        <w:t>（1）</w:t>
      </w:r>
      <w:r>
        <w:rPr>
          <w:rFonts w:cs="宋体" w:asciiTheme="minorEastAsia" w:hAnsiTheme="minorEastAsia" w:eastAsiaTheme="minorEastAsia"/>
          <w:szCs w:val="28"/>
        </w:rPr>
        <w:t>损坏电力、通信系统，引起电力、通信中断，破坏管道系统以致无法正常工作；</w:t>
      </w:r>
    </w:p>
    <w:p>
      <w:pPr>
        <w:tabs>
          <w:tab w:val="left" w:pos="1786"/>
        </w:tabs>
        <w:autoSpaceDE w:val="0"/>
        <w:autoSpaceDN w:val="0"/>
        <w:spacing w:after="0" w:line="560" w:lineRule="exact"/>
        <w:ind w:firstLine="560" w:firstLineChars="200"/>
        <w:rPr>
          <w:rFonts w:cs="宋体" w:asciiTheme="minorEastAsia" w:hAnsiTheme="minorEastAsia" w:eastAsiaTheme="minorEastAsia"/>
          <w:szCs w:val="28"/>
        </w:rPr>
      </w:pPr>
      <w:r>
        <w:rPr>
          <w:rFonts w:hint="eastAsia" w:asciiTheme="majorEastAsia" w:hAnsiTheme="majorEastAsia" w:eastAsiaTheme="majorEastAsia" w:cstheme="majorEastAsia"/>
          <w:szCs w:val="28"/>
        </w:rPr>
        <w:t>（2）</w:t>
      </w:r>
      <w:r>
        <w:rPr>
          <w:rFonts w:cs="宋体" w:asciiTheme="minorEastAsia" w:hAnsiTheme="minorEastAsia" w:eastAsiaTheme="minorEastAsia"/>
          <w:szCs w:val="28"/>
        </w:rPr>
        <w:t>形成的岩石或泥石流挤压管道，造成管道出现拉伸、弯曲、扭曲等变形甚至断裂；</w:t>
      </w:r>
    </w:p>
    <w:p>
      <w:pPr>
        <w:tabs>
          <w:tab w:val="left" w:pos="1786"/>
        </w:tabs>
        <w:autoSpaceDE w:val="0"/>
        <w:autoSpaceDN w:val="0"/>
        <w:spacing w:after="0" w:line="560" w:lineRule="exact"/>
        <w:ind w:firstLine="560" w:firstLineChars="200"/>
        <w:rPr>
          <w:rFonts w:cs="宋体" w:asciiTheme="minorEastAsia" w:hAnsiTheme="minorEastAsia" w:eastAsiaTheme="minorEastAsia"/>
          <w:szCs w:val="28"/>
        </w:rPr>
      </w:pPr>
      <w:r>
        <w:rPr>
          <w:rFonts w:hint="eastAsia" w:asciiTheme="majorEastAsia" w:hAnsiTheme="majorEastAsia" w:eastAsiaTheme="majorEastAsia" w:cstheme="majorEastAsia"/>
          <w:szCs w:val="28"/>
        </w:rPr>
        <w:t>（3）</w:t>
      </w:r>
      <w:r>
        <w:rPr>
          <w:rFonts w:cs="宋体" w:asciiTheme="minorEastAsia" w:hAnsiTheme="minorEastAsia" w:eastAsiaTheme="minorEastAsia"/>
          <w:szCs w:val="28"/>
        </w:rPr>
        <w:t>引发的洪水冲刷管道会导致管道悬空，使管道在热应力和重力的作用下产生拱起或下垂等变形；</w:t>
      </w:r>
    </w:p>
    <w:p>
      <w:pPr>
        <w:tabs>
          <w:tab w:val="left" w:pos="1777"/>
        </w:tabs>
        <w:autoSpaceDE w:val="0"/>
        <w:autoSpaceDN w:val="0"/>
        <w:spacing w:after="0" w:line="560" w:lineRule="exact"/>
        <w:ind w:firstLine="560" w:firstLineChars="200"/>
        <w:rPr>
          <w:rFonts w:cs="宋体" w:asciiTheme="minorEastAsia" w:hAnsiTheme="minorEastAsia" w:eastAsiaTheme="minorEastAsia"/>
          <w:szCs w:val="28"/>
        </w:rPr>
      </w:pPr>
      <w:r>
        <w:rPr>
          <w:rFonts w:hint="eastAsia" w:asciiTheme="majorEastAsia" w:hAnsiTheme="majorEastAsia" w:eastAsiaTheme="majorEastAsia" w:cstheme="majorEastAsia"/>
          <w:szCs w:val="28"/>
        </w:rPr>
        <w:t>（4）</w:t>
      </w:r>
      <w:r>
        <w:rPr>
          <w:rFonts w:cs="宋体" w:asciiTheme="minorEastAsia" w:hAnsiTheme="minorEastAsia" w:eastAsiaTheme="minorEastAsia"/>
          <w:szCs w:val="28"/>
        </w:rPr>
        <w:t>造成管道地基沉降，进而引起管道变形或断裂；</w:t>
      </w:r>
    </w:p>
    <w:p>
      <w:pPr>
        <w:tabs>
          <w:tab w:val="left" w:pos="1777"/>
        </w:tabs>
        <w:autoSpaceDE w:val="0"/>
        <w:autoSpaceDN w:val="0"/>
        <w:spacing w:after="0" w:line="560" w:lineRule="exact"/>
        <w:ind w:firstLine="560" w:firstLineChars="200"/>
        <w:rPr>
          <w:rFonts w:cs="宋体" w:asciiTheme="minorEastAsia" w:hAnsiTheme="minorEastAsia" w:eastAsiaTheme="minorEastAsia"/>
          <w:szCs w:val="28"/>
        </w:rPr>
      </w:pPr>
      <w:r>
        <w:rPr>
          <w:rFonts w:hint="eastAsia" w:cs="宋体" w:asciiTheme="minorEastAsia" w:hAnsiTheme="minorEastAsia" w:eastAsiaTheme="minorEastAsia"/>
          <w:szCs w:val="28"/>
        </w:rPr>
        <w:t>（5）</w:t>
      </w:r>
      <w:r>
        <w:rPr>
          <w:rFonts w:cs="宋体" w:asciiTheme="minorEastAsia" w:hAnsiTheme="minorEastAsia" w:eastAsiaTheme="minorEastAsia"/>
          <w:szCs w:val="28"/>
        </w:rPr>
        <w:t>毁坏计量设备、阀门及管道等设备和建构筑物。</w:t>
      </w:r>
    </w:p>
    <w:p>
      <w:pPr>
        <w:pStyle w:val="7"/>
      </w:pPr>
      <w:bookmarkStart w:id="375" w:name="_Toc101798339"/>
      <w:r>
        <w:rPr>
          <w:rFonts w:hint="eastAsia"/>
        </w:rPr>
        <w:t>5</w:t>
      </w:r>
      <w:r>
        <w:t>.</w:t>
      </w:r>
      <w:r>
        <w:rPr>
          <w:rFonts w:hint="eastAsia"/>
        </w:rPr>
        <w:t>危险有害因素辨识</w:t>
      </w:r>
      <w:bookmarkEnd w:id="375"/>
    </w:p>
    <w:p>
      <w:pPr>
        <w:pStyle w:val="19"/>
        <w:spacing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结合本企业供气系统流程、经营过程中涉及的物料、经营活动中使用的主要设施设备和自然条件情况，本企业按照《生产过程危险和有害因素分类与代码》（GB/T 13861-2009）对涉及的危险有害因素进行了辨识，本企业在燃气经营过程中主要存在危险、有害因素如下表所示。</w:t>
      </w:r>
    </w:p>
    <w:p>
      <w:pPr>
        <w:pStyle w:val="19"/>
        <w:spacing w:line="360" w:lineRule="auto"/>
        <w:ind w:firstLine="560"/>
        <w:jc w:val="center"/>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附录A表</w:t>
      </w:r>
      <w:r>
        <w:rPr>
          <w:rFonts w:asciiTheme="majorEastAsia" w:hAnsiTheme="majorEastAsia" w:eastAsiaTheme="majorEastAsia" w:cstheme="majorEastAsia"/>
          <w:i w:val="0"/>
          <w:sz w:val="28"/>
          <w:szCs w:val="28"/>
        </w:rPr>
        <w:t xml:space="preserve">6 </w:t>
      </w:r>
      <w:r>
        <w:rPr>
          <w:rFonts w:hint="eastAsia" w:asciiTheme="majorEastAsia" w:hAnsiTheme="majorEastAsia" w:eastAsiaTheme="majorEastAsia" w:cstheme="majorEastAsia"/>
          <w:i w:val="0"/>
          <w:sz w:val="28"/>
          <w:szCs w:val="28"/>
        </w:rPr>
        <w:t>本企业危险、有害因素汇总表</w:t>
      </w:r>
    </w:p>
    <w:tbl>
      <w:tblPr>
        <w:tblStyle w:val="42"/>
        <w:tblW w:w="962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9"/>
        <w:gridCol w:w="1843"/>
        <w:gridCol w:w="3827"/>
        <w:gridCol w:w="283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9" w:type="dxa"/>
            <w:vAlign w:val="center"/>
          </w:tcPr>
          <w:p>
            <w:pPr>
              <w:widowControl w:val="0"/>
              <w:adjustRightInd/>
              <w:snapToGrid/>
              <w:spacing w:after="0" w:line="240" w:lineRule="atLeast"/>
              <w:jc w:val="center"/>
              <w:rPr>
                <w:rFonts w:ascii="宋体" w:hAnsi="宋体" w:cs="宋体"/>
                <w:b/>
                <w:w w:val="99"/>
                <w:kern w:val="2"/>
                <w:sz w:val="24"/>
                <w:szCs w:val="24"/>
              </w:rPr>
            </w:pPr>
            <w:r>
              <w:rPr>
                <w:rFonts w:hint="eastAsia" w:ascii="宋体" w:hAnsi="宋体" w:cs="宋体"/>
                <w:b/>
                <w:w w:val="99"/>
                <w:kern w:val="2"/>
                <w:sz w:val="24"/>
                <w:szCs w:val="24"/>
              </w:rPr>
              <w:t>序号</w:t>
            </w:r>
          </w:p>
        </w:tc>
        <w:tc>
          <w:tcPr>
            <w:tcW w:w="1843" w:type="dxa"/>
            <w:vAlign w:val="center"/>
          </w:tcPr>
          <w:p>
            <w:pPr>
              <w:tabs>
                <w:tab w:val="left" w:pos="0"/>
              </w:tabs>
              <w:adjustRightInd/>
              <w:snapToGrid/>
              <w:jc w:val="center"/>
              <w:rPr>
                <w:rFonts w:ascii="宋体" w:hAnsi="宋体" w:cs="宋体"/>
                <w:b/>
                <w:kern w:val="2"/>
                <w:sz w:val="24"/>
                <w:szCs w:val="24"/>
              </w:rPr>
            </w:pPr>
            <w:r>
              <w:rPr>
                <w:rFonts w:hint="eastAsia" w:ascii="宋体" w:hAnsi="宋体" w:cs="宋体"/>
                <w:b/>
                <w:sz w:val="24"/>
                <w:szCs w:val="24"/>
                <w:lang w:val="en-GB"/>
              </w:rPr>
              <w:t>可能存在的危险有害因素类别</w:t>
            </w:r>
          </w:p>
        </w:tc>
        <w:tc>
          <w:tcPr>
            <w:tcW w:w="3827" w:type="dxa"/>
            <w:vAlign w:val="center"/>
          </w:tcPr>
          <w:p>
            <w:pPr>
              <w:widowControl w:val="0"/>
              <w:adjustRightInd/>
              <w:snapToGrid/>
              <w:spacing w:after="0" w:line="240" w:lineRule="atLeast"/>
              <w:jc w:val="center"/>
              <w:rPr>
                <w:rFonts w:ascii="宋体" w:hAnsi="宋体" w:cs="宋体"/>
                <w:b/>
                <w:kern w:val="2"/>
                <w:sz w:val="24"/>
                <w:szCs w:val="24"/>
              </w:rPr>
            </w:pPr>
            <w:r>
              <w:rPr>
                <w:rFonts w:hint="eastAsia" w:ascii="宋体" w:hAnsi="宋体" w:cs="宋体"/>
                <w:b/>
                <w:kern w:val="2"/>
                <w:sz w:val="24"/>
                <w:szCs w:val="24"/>
              </w:rPr>
              <w:t>可能存在的危险有害因素</w:t>
            </w:r>
          </w:p>
        </w:tc>
        <w:tc>
          <w:tcPr>
            <w:tcW w:w="2835" w:type="dxa"/>
            <w:vAlign w:val="center"/>
          </w:tcPr>
          <w:p>
            <w:pPr>
              <w:widowControl w:val="0"/>
              <w:adjustRightInd/>
              <w:snapToGrid/>
              <w:spacing w:after="0" w:line="240" w:lineRule="atLeast"/>
              <w:jc w:val="center"/>
              <w:rPr>
                <w:rFonts w:ascii="宋体" w:hAnsi="宋体" w:cs="宋体"/>
                <w:b/>
                <w:kern w:val="2"/>
                <w:sz w:val="24"/>
                <w:szCs w:val="24"/>
              </w:rPr>
            </w:pPr>
            <w:r>
              <w:rPr>
                <w:rFonts w:hint="eastAsia" w:ascii="宋体" w:hAnsi="宋体" w:cs="宋体"/>
                <w:b/>
                <w:kern w:val="2"/>
                <w:sz w:val="24"/>
                <w:szCs w:val="24"/>
              </w:rPr>
              <w:t>可能存在的部位或活动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2"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1</w:t>
            </w:r>
          </w:p>
        </w:tc>
        <w:tc>
          <w:tcPr>
            <w:tcW w:w="1843" w:type="dxa"/>
            <w:vMerge w:val="restart"/>
            <w:vAlign w:val="center"/>
          </w:tcPr>
          <w:p>
            <w:pPr>
              <w:tabs>
                <w:tab w:val="left" w:pos="0"/>
              </w:tabs>
              <w:adjustRightInd/>
              <w:snapToGrid/>
              <w:jc w:val="center"/>
              <w:rPr>
                <w:rFonts w:ascii="宋体" w:hAnsi="宋体" w:cs="宋体"/>
                <w:sz w:val="24"/>
                <w:szCs w:val="24"/>
                <w:lang w:val="en-GB"/>
              </w:rPr>
            </w:pPr>
            <w:r>
              <w:rPr>
                <w:rFonts w:hint="eastAsia" w:ascii="宋体" w:hAnsi="宋体" w:cs="宋体"/>
                <w:sz w:val="24"/>
                <w:szCs w:val="24"/>
                <w:lang w:val="en-GB"/>
              </w:rPr>
              <w:t>人的因素</w:t>
            </w: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负荷超限、健康状况异常、从事禁忌作业、心理异常、辨识功能缺陷</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人参与的各类作业活动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2</w:t>
            </w:r>
          </w:p>
        </w:tc>
        <w:tc>
          <w:tcPr>
            <w:tcW w:w="1843" w:type="dxa"/>
            <w:vMerge w:val="continue"/>
            <w:vAlign w:val="center"/>
          </w:tcPr>
          <w:p>
            <w:pPr>
              <w:tabs>
                <w:tab w:val="left" w:pos="0"/>
              </w:tabs>
              <w:adjustRightInd/>
              <w:snapToGrid/>
              <w:jc w:val="center"/>
              <w:rPr>
                <w:rFonts w:ascii="宋体" w:hAnsi="宋体" w:cs="宋体"/>
                <w:sz w:val="24"/>
                <w:szCs w:val="24"/>
                <w:lang w:val="en-GB"/>
              </w:rPr>
            </w:pP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指挥错误、操作错误、监护错误</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人参与的各类作业活动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3</w:t>
            </w:r>
          </w:p>
        </w:tc>
        <w:tc>
          <w:tcPr>
            <w:tcW w:w="1843" w:type="dxa"/>
            <w:vMerge w:val="continue"/>
            <w:vAlign w:val="center"/>
          </w:tcPr>
          <w:p>
            <w:pPr>
              <w:tabs>
                <w:tab w:val="left" w:pos="0"/>
              </w:tabs>
              <w:adjustRightInd/>
              <w:snapToGrid/>
              <w:jc w:val="center"/>
              <w:rPr>
                <w:rFonts w:ascii="宋体" w:hAnsi="宋体" w:cs="宋体"/>
                <w:sz w:val="24"/>
                <w:szCs w:val="24"/>
                <w:lang w:val="en-GB"/>
              </w:rPr>
            </w:pP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不安全用气、违章用气</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用户的用气活动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4</w:t>
            </w:r>
          </w:p>
        </w:tc>
        <w:tc>
          <w:tcPr>
            <w:tcW w:w="1843" w:type="dxa"/>
            <w:vMerge w:val="restart"/>
            <w:vAlign w:val="center"/>
          </w:tcPr>
          <w:p>
            <w:pPr>
              <w:tabs>
                <w:tab w:val="left" w:pos="0"/>
              </w:tabs>
              <w:adjustRightInd/>
              <w:snapToGrid/>
              <w:jc w:val="center"/>
              <w:rPr>
                <w:rFonts w:ascii="宋体" w:hAnsi="宋体" w:cs="宋体"/>
                <w:sz w:val="24"/>
                <w:szCs w:val="24"/>
                <w:lang w:val="en-GB"/>
              </w:rPr>
            </w:pPr>
            <w:r>
              <w:rPr>
                <w:rFonts w:hint="eastAsia" w:ascii="宋体" w:hAnsi="宋体" w:cs="宋体"/>
                <w:sz w:val="24"/>
                <w:szCs w:val="24"/>
                <w:lang w:val="en-GB"/>
              </w:rPr>
              <w:t>物的因素</w:t>
            </w: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设施、设备、工具、附件缺陷</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生产设施设备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04"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5</w:t>
            </w:r>
          </w:p>
        </w:tc>
        <w:tc>
          <w:tcPr>
            <w:tcW w:w="1843" w:type="dxa"/>
            <w:vMerge w:val="continue"/>
            <w:vAlign w:val="center"/>
          </w:tcPr>
          <w:p>
            <w:pPr>
              <w:tabs>
                <w:tab w:val="left" w:pos="0"/>
              </w:tabs>
              <w:adjustRightInd/>
              <w:snapToGrid/>
              <w:jc w:val="center"/>
              <w:rPr>
                <w:rFonts w:ascii="宋体" w:hAnsi="宋体" w:cs="宋体"/>
                <w:sz w:val="24"/>
                <w:szCs w:val="24"/>
                <w:lang w:val="en-GB"/>
              </w:rPr>
            </w:pP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防护缺陷</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人的防护和生产设备安全装置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6</w:t>
            </w:r>
          </w:p>
        </w:tc>
        <w:tc>
          <w:tcPr>
            <w:tcW w:w="1843" w:type="dxa"/>
            <w:vMerge w:val="continue"/>
            <w:vAlign w:val="center"/>
          </w:tcPr>
          <w:p>
            <w:pPr>
              <w:tabs>
                <w:tab w:val="left" w:pos="0"/>
              </w:tabs>
              <w:adjustRightInd/>
              <w:snapToGrid/>
              <w:jc w:val="center"/>
              <w:rPr>
                <w:rFonts w:ascii="宋体" w:hAnsi="宋体" w:cs="宋体"/>
                <w:sz w:val="24"/>
                <w:szCs w:val="24"/>
                <w:lang w:val="en-GB"/>
              </w:rPr>
            </w:pP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电伤害</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用电场所和电气设备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7</w:t>
            </w:r>
          </w:p>
        </w:tc>
        <w:tc>
          <w:tcPr>
            <w:tcW w:w="1843" w:type="dxa"/>
            <w:vMerge w:val="continue"/>
            <w:vAlign w:val="center"/>
          </w:tcPr>
          <w:p>
            <w:pPr>
              <w:tabs>
                <w:tab w:val="left" w:pos="0"/>
              </w:tabs>
              <w:adjustRightInd/>
              <w:snapToGrid/>
              <w:jc w:val="center"/>
              <w:rPr>
                <w:rFonts w:ascii="宋体" w:hAnsi="宋体" w:cs="宋体"/>
                <w:sz w:val="24"/>
                <w:szCs w:val="24"/>
                <w:lang w:val="en-GB"/>
              </w:rPr>
            </w:pP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噪声与振动</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机械设备使用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03"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8</w:t>
            </w:r>
          </w:p>
        </w:tc>
        <w:tc>
          <w:tcPr>
            <w:tcW w:w="1843" w:type="dxa"/>
            <w:vMerge w:val="continue"/>
            <w:vAlign w:val="center"/>
          </w:tcPr>
          <w:p>
            <w:pPr>
              <w:tabs>
                <w:tab w:val="left" w:pos="0"/>
              </w:tabs>
              <w:adjustRightInd/>
              <w:snapToGrid/>
              <w:jc w:val="center"/>
              <w:rPr>
                <w:rFonts w:ascii="宋体" w:hAnsi="宋体" w:cs="宋体"/>
                <w:sz w:val="24"/>
                <w:szCs w:val="24"/>
                <w:lang w:val="en-GB"/>
              </w:rPr>
            </w:pP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运动物伤害</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机械设备使用、高处作业、涉及车辆相关活动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9</w:t>
            </w:r>
          </w:p>
        </w:tc>
        <w:tc>
          <w:tcPr>
            <w:tcW w:w="1843" w:type="dxa"/>
            <w:vMerge w:val="continue"/>
            <w:vAlign w:val="center"/>
          </w:tcPr>
          <w:p>
            <w:pPr>
              <w:tabs>
                <w:tab w:val="left" w:pos="0"/>
              </w:tabs>
              <w:adjustRightInd/>
              <w:snapToGrid/>
              <w:jc w:val="center"/>
              <w:rPr>
                <w:rFonts w:ascii="宋体" w:hAnsi="宋体" w:cs="宋体"/>
                <w:sz w:val="24"/>
                <w:szCs w:val="24"/>
                <w:lang w:val="en-GB"/>
              </w:rPr>
            </w:pP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高温物质</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焊接、热熔作业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1</w:t>
            </w:r>
            <w:r>
              <w:rPr>
                <w:rFonts w:ascii="宋体" w:hAnsi="宋体" w:cs="宋体"/>
                <w:w w:val="99"/>
                <w:kern w:val="2"/>
                <w:sz w:val="24"/>
                <w:szCs w:val="24"/>
              </w:rPr>
              <w:t>0</w:t>
            </w:r>
          </w:p>
        </w:tc>
        <w:tc>
          <w:tcPr>
            <w:tcW w:w="1843" w:type="dxa"/>
            <w:vMerge w:val="continue"/>
            <w:vAlign w:val="center"/>
          </w:tcPr>
          <w:p>
            <w:pPr>
              <w:tabs>
                <w:tab w:val="left" w:pos="0"/>
              </w:tabs>
              <w:adjustRightInd/>
              <w:snapToGrid/>
              <w:jc w:val="center"/>
              <w:rPr>
                <w:rFonts w:ascii="宋体" w:hAnsi="宋体" w:cs="宋体"/>
                <w:sz w:val="24"/>
                <w:szCs w:val="24"/>
                <w:lang w:val="en-GB"/>
              </w:rPr>
            </w:pP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爆炸品</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天然气、四氢噻吩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4"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1</w:t>
            </w:r>
            <w:r>
              <w:rPr>
                <w:rFonts w:ascii="宋体" w:hAnsi="宋体" w:cs="宋体"/>
                <w:w w:val="99"/>
                <w:kern w:val="2"/>
                <w:sz w:val="24"/>
                <w:szCs w:val="24"/>
              </w:rPr>
              <w:t>1</w:t>
            </w:r>
          </w:p>
        </w:tc>
        <w:tc>
          <w:tcPr>
            <w:tcW w:w="1843" w:type="dxa"/>
            <w:vMerge w:val="restart"/>
            <w:vAlign w:val="center"/>
          </w:tcPr>
          <w:p>
            <w:pPr>
              <w:tabs>
                <w:tab w:val="left" w:pos="0"/>
              </w:tabs>
              <w:adjustRightInd/>
              <w:snapToGrid/>
              <w:jc w:val="center"/>
              <w:rPr>
                <w:rFonts w:ascii="宋体" w:hAnsi="宋体" w:cs="宋体"/>
                <w:sz w:val="24"/>
                <w:szCs w:val="24"/>
                <w:lang w:val="en-GB"/>
              </w:rPr>
            </w:pPr>
            <w:r>
              <w:rPr>
                <w:rFonts w:hint="eastAsia" w:ascii="宋体" w:hAnsi="宋体" w:cs="宋体"/>
                <w:sz w:val="24"/>
                <w:szCs w:val="24"/>
                <w:lang w:val="en-GB"/>
              </w:rPr>
              <w:t>环境因素</w:t>
            </w: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用气、作业场所空气不良</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用户室内、有限空间作业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1</w:t>
            </w:r>
            <w:r>
              <w:rPr>
                <w:rFonts w:ascii="宋体" w:hAnsi="宋体" w:cs="宋体"/>
                <w:w w:val="99"/>
                <w:kern w:val="2"/>
                <w:sz w:val="24"/>
                <w:szCs w:val="24"/>
              </w:rPr>
              <w:t>2</w:t>
            </w:r>
          </w:p>
        </w:tc>
        <w:tc>
          <w:tcPr>
            <w:tcW w:w="1843" w:type="dxa"/>
            <w:vMerge w:val="continue"/>
            <w:vAlign w:val="center"/>
          </w:tcPr>
          <w:p>
            <w:pPr>
              <w:tabs>
                <w:tab w:val="left" w:pos="0"/>
              </w:tabs>
              <w:adjustRightInd/>
              <w:snapToGrid/>
              <w:jc w:val="center"/>
              <w:rPr>
                <w:rFonts w:ascii="宋体" w:hAnsi="宋体" w:cs="宋体"/>
                <w:sz w:val="24"/>
                <w:szCs w:val="24"/>
                <w:lang w:val="en-GB"/>
              </w:rPr>
            </w:pP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恶劣气候与环境</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高温、洪水、地震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1</w:t>
            </w:r>
            <w:r>
              <w:rPr>
                <w:rFonts w:ascii="宋体" w:hAnsi="宋体" w:cs="宋体"/>
                <w:w w:val="99"/>
                <w:kern w:val="2"/>
                <w:sz w:val="24"/>
                <w:szCs w:val="24"/>
              </w:rPr>
              <w:t>3</w:t>
            </w:r>
          </w:p>
        </w:tc>
        <w:tc>
          <w:tcPr>
            <w:tcW w:w="1843" w:type="dxa"/>
            <w:vMerge w:val="continue"/>
            <w:vAlign w:val="center"/>
          </w:tcPr>
          <w:p>
            <w:pPr>
              <w:tabs>
                <w:tab w:val="left" w:pos="0"/>
              </w:tabs>
              <w:adjustRightInd/>
              <w:snapToGrid/>
              <w:jc w:val="center"/>
              <w:rPr>
                <w:rFonts w:ascii="宋体" w:hAnsi="宋体" w:cs="宋体"/>
                <w:sz w:val="24"/>
                <w:szCs w:val="24"/>
                <w:lang w:val="en-GB"/>
              </w:rPr>
            </w:pP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强迫体位</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狭小空间作业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9" w:type="dxa"/>
            <w:vAlign w:val="center"/>
          </w:tcPr>
          <w:p>
            <w:pPr>
              <w:widowControl w:val="0"/>
              <w:adjustRightInd/>
              <w:snapToGrid/>
              <w:spacing w:after="0" w:line="240" w:lineRule="atLeast"/>
              <w:jc w:val="center"/>
              <w:rPr>
                <w:rFonts w:ascii="宋体" w:hAnsi="宋体" w:cs="宋体"/>
                <w:w w:val="99"/>
                <w:kern w:val="2"/>
                <w:sz w:val="24"/>
                <w:szCs w:val="24"/>
              </w:rPr>
            </w:pPr>
            <w:r>
              <w:rPr>
                <w:rFonts w:hint="eastAsia" w:ascii="宋体" w:hAnsi="宋体" w:cs="宋体"/>
                <w:w w:val="99"/>
                <w:kern w:val="2"/>
                <w:sz w:val="24"/>
                <w:szCs w:val="24"/>
              </w:rPr>
              <w:t>1</w:t>
            </w:r>
            <w:r>
              <w:rPr>
                <w:rFonts w:ascii="宋体" w:hAnsi="宋体" w:cs="宋体"/>
                <w:w w:val="99"/>
                <w:kern w:val="2"/>
                <w:sz w:val="24"/>
                <w:szCs w:val="24"/>
              </w:rPr>
              <w:t>4</w:t>
            </w:r>
          </w:p>
        </w:tc>
        <w:tc>
          <w:tcPr>
            <w:tcW w:w="1843" w:type="dxa"/>
            <w:vMerge w:val="continue"/>
            <w:vAlign w:val="center"/>
          </w:tcPr>
          <w:p>
            <w:pPr>
              <w:tabs>
                <w:tab w:val="left" w:pos="0"/>
              </w:tabs>
              <w:adjustRightInd/>
              <w:snapToGrid/>
              <w:jc w:val="center"/>
              <w:rPr>
                <w:rFonts w:ascii="宋体" w:hAnsi="宋体" w:cs="宋体"/>
                <w:sz w:val="24"/>
                <w:szCs w:val="24"/>
                <w:lang w:val="en-GB"/>
              </w:rPr>
            </w:pPr>
          </w:p>
        </w:tc>
        <w:tc>
          <w:tcPr>
            <w:tcW w:w="3827"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外力破坏</w:t>
            </w:r>
          </w:p>
        </w:tc>
        <w:tc>
          <w:tcPr>
            <w:tcW w:w="2835" w:type="dxa"/>
            <w:vAlign w:val="center"/>
          </w:tcPr>
          <w:p>
            <w:pPr>
              <w:widowControl w:val="0"/>
              <w:adjustRightInd/>
              <w:snapToGrid/>
              <w:spacing w:after="0" w:line="240" w:lineRule="atLeast"/>
              <w:jc w:val="center"/>
              <w:rPr>
                <w:rFonts w:ascii="宋体" w:hAnsi="宋体" w:cs="宋体"/>
                <w:kern w:val="2"/>
                <w:sz w:val="24"/>
                <w:szCs w:val="24"/>
              </w:rPr>
            </w:pPr>
            <w:r>
              <w:rPr>
                <w:rFonts w:hint="eastAsia" w:ascii="宋体" w:hAnsi="宋体" w:cs="宋体"/>
                <w:kern w:val="2"/>
                <w:sz w:val="24"/>
                <w:szCs w:val="24"/>
              </w:rPr>
              <w:t>野蛮施工、私拉乱接</w:t>
            </w:r>
          </w:p>
        </w:tc>
      </w:tr>
    </w:tbl>
    <w:p>
      <w:pPr>
        <w:pStyle w:val="6"/>
      </w:pPr>
      <w:bookmarkStart w:id="376" w:name="_bookmark146"/>
      <w:bookmarkEnd w:id="376"/>
      <w:bookmarkStart w:id="377" w:name="A1.4建构筑物危险、有害因素分析"/>
      <w:bookmarkEnd w:id="377"/>
      <w:bookmarkStart w:id="378" w:name="_Toc101798340"/>
      <w:r>
        <w:rPr>
          <w:rFonts w:hint="eastAsia"/>
        </w:rPr>
        <w:t>二、</w:t>
      </w:r>
      <w:r>
        <w:t>事故风险分析</w:t>
      </w:r>
      <w:bookmarkEnd w:id="378"/>
      <w:bookmarkStart w:id="379" w:name="_Toc80537550"/>
      <w:bookmarkStart w:id="380" w:name="_Toc93068511"/>
    </w:p>
    <w:p>
      <w:pPr>
        <w:spacing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根据附录A表6危险有害因素辨识情况，本企业按《企业职工伤亡事故分类》（</w:t>
      </w:r>
      <w:r>
        <w:rPr>
          <w:rFonts w:asciiTheme="majorEastAsia" w:hAnsiTheme="majorEastAsia" w:eastAsiaTheme="majorEastAsia" w:cstheme="majorEastAsia"/>
          <w:szCs w:val="28"/>
        </w:rPr>
        <w:t>GB6441-86</w:t>
      </w:r>
      <w:r>
        <w:rPr>
          <w:rFonts w:hint="eastAsia" w:asciiTheme="majorEastAsia" w:hAnsiTheme="majorEastAsia" w:eastAsiaTheme="majorEastAsia" w:cstheme="majorEastAsia"/>
          <w:szCs w:val="28"/>
        </w:rPr>
        <w:t>）和《职业病分类和目录》（国卫疾控发〔2013〕48号）的规定，对本企业可能发生的事故进行风险分析。</w:t>
      </w:r>
    </w:p>
    <w:p>
      <w:pPr>
        <w:pStyle w:val="7"/>
      </w:pPr>
      <w:bookmarkStart w:id="381" w:name="_Toc101798341"/>
      <w:r>
        <w:t>1.</w:t>
      </w:r>
      <w:r>
        <w:rPr>
          <w:rFonts w:hint="eastAsia"/>
        </w:rPr>
        <w:t>事故风险、有害因素类型</w:t>
      </w:r>
      <w:bookmarkEnd w:id="379"/>
      <w:bookmarkEnd w:id="380"/>
      <w:bookmarkEnd w:id="381"/>
    </w:p>
    <w:p>
      <w:pPr>
        <w:spacing w:after="0" w:line="560" w:lineRule="exact"/>
        <w:ind w:firstLine="560" w:firstLineChars="200"/>
        <w:rPr>
          <w:rFonts w:asciiTheme="majorEastAsia" w:hAnsiTheme="majorEastAsia" w:eastAsiaTheme="majorEastAsia" w:cstheme="majorEastAsia"/>
          <w:szCs w:val="28"/>
        </w:rPr>
      </w:pPr>
      <w:bookmarkStart w:id="382" w:name="_Toc77893107"/>
      <w:r>
        <w:rPr>
          <w:rFonts w:hint="eastAsia" w:asciiTheme="majorEastAsia" w:hAnsiTheme="majorEastAsia" w:eastAsiaTheme="majorEastAsia" w:cstheme="majorEastAsia"/>
          <w:szCs w:val="28"/>
        </w:rPr>
        <w:t>1.火灾、爆炸</w:t>
      </w:r>
      <w:bookmarkEnd w:id="382"/>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w:t>
      </w:r>
      <w:r>
        <w:rPr>
          <w:rFonts w:asciiTheme="majorEastAsia" w:hAnsiTheme="majorEastAsia" w:eastAsiaTheme="majorEastAsia" w:cstheme="majorEastAsia"/>
          <w:szCs w:val="28"/>
        </w:rPr>
        <w:t>1</w:t>
      </w:r>
      <w:r>
        <w:rPr>
          <w:rFonts w:hint="eastAsia" w:asciiTheme="majorEastAsia" w:hAnsiTheme="majorEastAsia" w:eastAsiaTheme="majorEastAsia" w:cstheme="majorEastAsia"/>
          <w:szCs w:val="28"/>
        </w:rPr>
        <w:t>）场站设施、输气管道、安全附件等，受材质、制造工艺、安装、自然灾害、人为破坏、严重腐蚀、操作不当和维护不到位等因素的影响，在运行或安全附件失效时，会出现管道穿孔、破裂等情况，造成天然气的泄漏。如果泄漏的天然气遇火，将产生喷射火焰，甚至发生火灾、爆炸事故。</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w:t>
      </w:r>
      <w:r>
        <w:rPr>
          <w:rFonts w:asciiTheme="majorEastAsia" w:hAnsiTheme="majorEastAsia" w:eastAsiaTheme="majorEastAsia" w:cstheme="majorEastAsia"/>
          <w:szCs w:val="28"/>
        </w:rPr>
        <w:t>2</w:t>
      </w:r>
      <w:r>
        <w:rPr>
          <w:rFonts w:hint="eastAsia" w:asciiTheme="majorEastAsia" w:hAnsiTheme="majorEastAsia" w:eastAsiaTheme="majorEastAsia" w:cstheme="majorEastAsia"/>
          <w:szCs w:val="28"/>
        </w:rPr>
        <w:t>）设备运行到一定程度必须进行检修，检修时若不按操作规程进行，如果设施设备内的天然气没有放空就开始检修，遇检修火源设施设备中的天然气就会燃烧；如设施设备中天然气没有完全放完，未进行惰性气体（氮气或水）置换，或置换不彻底，形成爆炸混合气体，当达到气体爆炸极限浓度时，遇检修火源将容易发生爆炸。</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w:t>
      </w:r>
      <w:r>
        <w:rPr>
          <w:rFonts w:asciiTheme="majorEastAsia" w:hAnsiTheme="majorEastAsia" w:eastAsiaTheme="majorEastAsia" w:cstheme="majorEastAsia"/>
          <w:szCs w:val="28"/>
        </w:rPr>
        <w:t>3</w:t>
      </w:r>
      <w:r>
        <w:rPr>
          <w:rFonts w:hint="eastAsia" w:asciiTheme="majorEastAsia" w:hAnsiTheme="majorEastAsia" w:eastAsiaTheme="majorEastAsia" w:cstheme="majorEastAsia"/>
          <w:szCs w:val="28"/>
        </w:rPr>
        <w:t>）设施设备未正确建设安装，安全系数底，易遭受侵害，造成天然气泄漏，引发安全事故。主要有：</w:t>
      </w:r>
    </w:p>
    <w:p>
      <w:pPr>
        <w:spacing w:after="0" w:line="560" w:lineRule="exact"/>
        <w:ind w:firstLine="560" w:firstLineChars="200"/>
        <w:rPr>
          <w:rFonts w:asciiTheme="majorEastAsia" w:hAnsiTheme="majorEastAsia" w:eastAsiaTheme="majorEastAsia" w:cstheme="majorEastAsia"/>
          <w:szCs w:val="28"/>
        </w:rPr>
      </w:pPr>
      <w:r>
        <w:rPr>
          <w:rFonts w:asciiTheme="majorEastAsia" w:hAnsiTheme="majorEastAsia" w:eastAsiaTheme="majorEastAsia" w:cstheme="majorEastAsia"/>
          <w:szCs w:val="28"/>
        </w:rPr>
        <w:t>1</w:t>
      </w:r>
      <w:r>
        <w:rPr>
          <w:rFonts w:hint="eastAsia" w:asciiTheme="majorEastAsia" w:hAnsiTheme="majorEastAsia" w:eastAsiaTheme="majorEastAsia" w:cstheme="majorEastAsia"/>
          <w:szCs w:val="28"/>
        </w:rPr>
        <w:t>）场站工艺布置不当，安全设施设置不当，安全间距不足等；</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2）管道安装不符合工程建设程序，选材不当，防腐措施不当，埋深不足，间距不足，穿越危险区域措施不当等；</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3）调压装置安装位置不当，缺少超压切断、防外力侵袭等措施；</w:t>
      </w:r>
    </w:p>
    <w:p>
      <w:pPr>
        <w:spacing w:after="0" w:line="560" w:lineRule="exact"/>
        <w:ind w:firstLine="560" w:firstLineChars="200"/>
        <w:rPr>
          <w:rFonts w:asciiTheme="majorEastAsia" w:hAnsiTheme="majorEastAsia" w:eastAsiaTheme="majorEastAsia" w:cstheme="majorEastAsia"/>
          <w:szCs w:val="28"/>
        </w:rPr>
      </w:pPr>
      <w:r>
        <w:rPr>
          <w:rFonts w:asciiTheme="majorEastAsia" w:hAnsiTheme="majorEastAsia" w:eastAsiaTheme="majorEastAsia" w:cstheme="majorEastAsia"/>
          <w:szCs w:val="28"/>
        </w:rPr>
        <w:t>4</w:t>
      </w:r>
      <w:r>
        <w:rPr>
          <w:rFonts w:hint="eastAsia" w:asciiTheme="majorEastAsia" w:hAnsiTheme="majorEastAsia" w:eastAsiaTheme="majorEastAsia" w:cstheme="majorEastAsia"/>
          <w:szCs w:val="28"/>
        </w:rPr>
        <w:t>）室内管道违规穿越卧室、客房、封闭楼梯间、进风道、易燃易爆仓库等区域；穿越地下室、半地下室、地上密闭房间无安全措施；</w:t>
      </w:r>
    </w:p>
    <w:p>
      <w:pPr>
        <w:spacing w:after="0" w:line="560" w:lineRule="exact"/>
        <w:ind w:firstLine="560" w:firstLineChars="200"/>
        <w:rPr>
          <w:rFonts w:asciiTheme="majorEastAsia" w:hAnsiTheme="majorEastAsia" w:eastAsiaTheme="majorEastAsia" w:cstheme="majorEastAsia"/>
          <w:szCs w:val="28"/>
        </w:rPr>
      </w:pPr>
      <w:r>
        <w:rPr>
          <w:rFonts w:asciiTheme="majorEastAsia" w:hAnsiTheme="majorEastAsia" w:eastAsiaTheme="majorEastAsia" w:cstheme="majorEastAsia"/>
          <w:szCs w:val="28"/>
        </w:rPr>
        <w:t>5</w:t>
      </w:r>
      <w:r>
        <w:rPr>
          <w:rFonts w:hint="eastAsia" w:asciiTheme="majorEastAsia" w:hAnsiTheme="majorEastAsia" w:eastAsiaTheme="majorEastAsia" w:cstheme="majorEastAsia"/>
          <w:szCs w:val="28"/>
        </w:rPr>
        <w:t>）在应设置燃气报警、切断、通风、防雷、防静电等的场所，未设置监控防护设施。</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w:t>
      </w:r>
      <w:r>
        <w:rPr>
          <w:rFonts w:asciiTheme="majorEastAsia" w:hAnsiTheme="majorEastAsia" w:eastAsiaTheme="majorEastAsia" w:cstheme="majorEastAsia"/>
          <w:szCs w:val="28"/>
        </w:rPr>
        <w:t>4</w:t>
      </w:r>
      <w:r>
        <w:rPr>
          <w:rFonts w:hint="eastAsia" w:asciiTheme="majorEastAsia" w:hAnsiTheme="majorEastAsia" w:eastAsiaTheme="majorEastAsia" w:cstheme="majorEastAsia"/>
          <w:szCs w:val="28"/>
        </w:rPr>
        <w:t>）户内燃气设施出现以下情况也会引发火灾、爆炸事故:</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1）用户购买使用非正规厂家生产的不合格燃气设备或无产品质量合格证明燃气器具，使用燃气种类不相匹配，用气设备超过了使用年限、燃具无熄火保护装置，灶前无失压切断装置；</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2）用户擅自安装、接管、拆除、迁移天然气供气设施、改变用气性质等均可能引发燃气泄漏，从而引发火灾、爆炸、人员中毒等事故。</w:t>
      </w:r>
    </w:p>
    <w:p>
      <w:pPr>
        <w:spacing w:after="0" w:line="560" w:lineRule="exact"/>
        <w:ind w:firstLine="560" w:firstLineChars="200"/>
        <w:rPr>
          <w:rFonts w:asciiTheme="majorEastAsia" w:hAnsiTheme="majorEastAsia" w:eastAsiaTheme="majorEastAsia" w:cstheme="majorEastAsia"/>
          <w:szCs w:val="28"/>
        </w:rPr>
      </w:pPr>
      <w:r>
        <w:rPr>
          <w:rFonts w:asciiTheme="majorEastAsia" w:hAnsiTheme="majorEastAsia" w:eastAsiaTheme="majorEastAsia" w:cstheme="majorEastAsia"/>
          <w:szCs w:val="28"/>
        </w:rPr>
        <w:t>3</w:t>
      </w:r>
      <w:r>
        <w:rPr>
          <w:rFonts w:hint="eastAsia" w:asciiTheme="majorEastAsia" w:hAnsiTheme="majorEastAsia" w:eastAsiaTheme="majorEastAsia" w:cstheme="majorEastAsia"/>
          <w:szCs w:val="28"/>
        </w:rPr>
        <w:t>）连接软管未定期检查、更换造成软管老化或软管接头未加装管箍，未使用长寿命软管等安全设施。</w:t>
      </w:r>
    </w:p>
    <w:p>
      <w:pPr>
        <w:spacing w:after="0" w:line="560" w:lineRule="exact"/>
        <w:ind w:firstLine="560" w:firstLineChars="200"/>
        <w:rPr>
          <w:rFonts w:asciiTheme="majorEastAsia" w:hAnsiTheme="majorEastAsia" w:eastAsiaTheme="majorEastAsia" w:cstheme="majorEastAsia"/>
          <w:szCs w:val="28"/>
        </w:rPr>
      </w:pPr>
      <w:r>
        <w:rPr>
          <w:rFonts w:asciiTheme="majorEastAsia" w:hAnsiTheme="majorEastAsia" w:eastAsiaTheme="majorEastAsia" w:cstheme="majorEastAsia"/>
          <w:szCs w:val="28"/>
        </w:rPr>
        <w:t>4</w:t>
      </w:r>
      <w:r>
        <w:rPr>
          <w:rFonts w:hint="eastAsia" w:asciiTheme="majorEastAsia" w:hAnsiTheme="majorEastAsia" w:eastAsiaTheme="majorEastAsia" w:cstheme="majorEastAsia"/>
          <w:szCs w:val="28"/>
        </w:rPr>
        <w:t>）用户户内管道因腐蚀、磨损、鼠咬等发生破损泄漏，聚集在有限空间内，遇火源可能发生火灾、爆炸、人员中毒事故。</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asciiTheme="majorEastAsia" w:hAnsiTheme="majorEastAsia" w:eastAsiaTheme="majorEastAsia" w:cstheme="majorEastAsia"/>
          <w:i w:val="0"/>
          <w:sz w:val="28"/>
          <w:szCs w:val="28"/>
        </w:rPr>
        <w:t>5</w:t>
      </w:r>
      <w:r>
        <w:rPr>
          <w:rFonts w:hint="eastAsia" w:asciiTheme="majorEastAsia" w:hAnsiTheme="majorEastAsia" w:eastAsiaTheme="majorEastAsia" w:cstheme="majorEastAsia"/>
          <w:i w:val="0"/>
          <w:sz w:val="28"/>
          <w:szCs w:val="28"/>
        </w:rPr>
        <w:t>）餐饮等生产经营单位、超高层建筑、暗厨房等使用燃气的，未按规定安装可燃气体泄漏报警装置。</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w:t>
      </w:r>
      <w:r>
        <w:rPr>
          <w:rFonts w:asciiTheme="majorEastAsia" w:hAnsiTheme="majorEastAsia" w:eastAsiaTheme="majorEastAsia" w:cstheme="majorEastAsia"/>
          <w:szCs w:val="28"/>
        </w:rPr>
        <w:t>5</w:t>
      </w:r>
      <w:r>
        <w:rPr>
          <w:rFonts w:hint="eastAsia" w:asciiTheme="majorEastAsia" w:hAnsiTheme="majorEastAsia" w:eastAsiaTheme="majorEastAsia" w:cstheme="majorEastAsia"/>
          <w:szCs w:val="28"/>
        </w:rPr>
        <w:t>）电气设备</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电气设备老化或线路裸露，易引起漏电、短路，产生火花；电源开关闭合瞬间接触易引起强烈电弧产生火花；为泄漏的可燃气体燃烧提供条件。电源线路凌乱或破裂，容易使人遭电击。防雷装置缺少，遇雷击站内会产生强烈火花；平时操作产生的静电不能及时导走，易形成火花，引发火灾爆炸事故。</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电气设备不应在国家颁布的淘汰产品行列内，应具有国家指定机构的认证标志。如在爆炸、火灾危险环境，属于粉尘、潮湿或腐蚀环境中工作，防爆电器应达到相应的防爆等级。电气设备应设置触电保护、漏电保护、短路保护、过载保护、屏护装置。线路应有良好的绝缘效果。根据作业环境和条件选择安全电压，安全电压值和电气设备。防静电、防雷击等电气联结措施必须可靠。应保证在事故状态下有可靠的照明、消防、疏散用电及应急措施用电。</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电气设备及线路发生火灾，如不及时扑灭，有可能导致其他设备火灾。燃烧时会产生大量的毒烟，在扑救时未戴防护面具容易造成人员中毒、窒息事故。</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w:t>
      </w:r>
      <w:r>
        <w:rPr>
          <w:rFonts w:asciiTheme="majorEastAsia" w:hAnsiTheme="majorEastAsia" w:eastAsiaTheme="majorEastAsia" w:cstheme="majorEastAsia"/>
          <w:szCs w:val="28"/>
        </w:rPr>
        <w:t>6</w:t>
      </w:r>
      <w:r>
        <w:rPr>
          <w:rFonts w:hint="eastAsia" w:asciiTheme="majorEastAsia" w:hAnsiTheme="majorEastAsia" w:eastAsiaTheme="majorEastAsia" w:cstheme="majorEastAsia"/>
          <w:szCs w:val="28"/>
        </w:rPr>
        <w:t>）外部因素</w:t>
      </w:r>
    </w:p>
    <w:p>
      <w:pPr>
        <w:spacing w:after="0" w:line="560" w:lineRule="exact"/>
        <w:ind w:firstLine="560" w:firstLineChars="200"/>
        <w:rPr>
          <w:rFonts w:asciiTheme="majorEastAsia" w:hAnsiTheme="majorEastAsia" w:eastAsiaTheme="majorEastAsia" w:cstheme="majorEastAsia"/>
          <w:szCs w:val="28"/>
        </w:rPr>
      </w:pPr>
      <w:r>
        <w:rPr>
          <w:rFonts w:asciiTheme="majorEastAsia" w:hAnsiTheme="majorEastAsia" w:eastAsiaTheme="majorEastAsia" w:cstheme="majorEastAsia"/>
          <w:szCs w:val="28"/>
        </w:rPr>
        <w:t>1</w:t>
      </w:r>
      <w:r>
        <w:rPr>
          <w:rFonts w:hint="eastAsia" w:asciiTheme="majorEastAsia" w:hAnsiTheme="majorEastAsia" w:eastAsiaTheme="majorEastAsia" w:cstheme="majorEastAsia"/>
          <w:szCs w:val="28"/>
        </w:rPr>
        <w:t>）雷电击穿电气设备的绝缘层使设备发生短路，可能引起燃烧、爆炸事故。</w:t>
      </w:r>
    </w:p>
    <w:p>
      <w:pPr>
        <w:spacing w:after="0" w:line="560" w:lineRule="exact"/>
        <w:ind w:firstLine="560" w:firstLineChars="200"/>
        <w:rPr>
          <w:rFonts w:asciiTheme="majorEastAsia" w:hAnsiTheme="majorEastAsia" w:eastAsiaTheme="majorEastAsia" w:cstheme="majorEastAsia"/>
          <w:szCs w:val="28"/>
        </w:rPr>
      </w:pPr>
      <w:r>
        <w:rPr>
          <w:rFonts w:asciiTheme="majorEastAsia" w:hAnsiTheme="majorEastAsia" w:eastAsiaTheme="majorEastAsia" w:cstheme="majorEastAsia"/>
          <w:szCs w:val="28"/>
        </w:rPr>
        <w:t>2</w:t>
      </w:r>
      <w:r>
        <w:rPr>
          <w:rFonts w:hint="eastAsia" w:asciiTheme="majorEastAsia" w:hAnsiTheme="majorEastAsia" w:eastAsiaTheme="majorEastAsia" w:cstheme="majorEastAsia"/>
          <w:szCs w:val="28"/>
        </w:rPr>
        <w:t>）雷电若击中天然气设备、管线可能引起天然气大量泄漏，甚至发生火灾爆炸事故。</w:t>
      </w:r>
    </w:p>
    <w:p>
      <w:pPr>
        <w:spacing w:after="0" w:line="560" w:lineRule="exact"/>
        <w:ind w:firstLine="560" w:firstLineChars="200"/>
        <w:rPr>
          <w:rFonts w:asciiTheme="majorEastAsia" w:hAnsiTheme="majorEastAsia" w:eastAsiaTheme="majorEastAsia" w:cstheme="majorEastAsia"/>
          <w:szCs w:val="28"/>
        </w:rPr>
      </w:pPr>
      <w:r>
        <w:rPr>
          <w:rFonts w:asciiTheme="majorEastAsia" w:hAnsiTheme="majorEastAsia" w:eastAsiaTheme="majorEastAsia" w:cstheme="majorEastAsia"/>
          <w:szCs w:val="28"/>
        </w:rPr>
        <w:t>3</w:t>
      </w:r>
      <w:r>
        <w:rPr>
          <w:rFonts w:hint="eastAsia" w:asciiTheme="majorEastAsia" w:hAnsiTheme="majorEastAsia" w:eastAsiaTheme="majorEastAsia" w:cstheme="majorEastAsia"/>
          <w:szCs w:val="28"/>
        </w:rPr>
        <w:t>）雷电电流机械效应致使被雷击物体发生爆炸、扭曲、撕裂等现象导致财产损失和人员伤亡。</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4）管线经过的路线选择在公共建筑物旁和人口集中区域内，管线发生天然气泄漏，会波及到附近的建筑物及人员；同时其他部门如通信、电力等安装埋地线路时，不慎破坏管线造成天然气泄漏引发安全事故。</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5）管线埋在活动土层，受外力作用使其运动，容易造成管线开裂，诱发事故。地震作用力较大，一旦发生地震，山体、地面变形，管线会受到损坏，同时可能造成断裂，形成大量天然气泄漏，造成火灾爆炸事故。</w:t>
      </w:r>
    </w:p>
    <w:p>
      <w:pPr>
        <w:spacing w:after="0" w:line="560" w:lineRule="exact"/>
        <w:ind w:firstLine="560" w:firstLineChars="200"/>
        <w:rPr>
          <w:rFonts w:asciiTheme="majorEastAsia" w:hAnsiTheme="majorEastAsia" w:eastAsiaTheme="majorEastAsia" w:cstheme="majorEastAsia"/>
          <w:szCs w:val="28"/>
        </w:rPr>
      </w:pPr>
      <w:r>
        <w:rPr>
          <w:rFonts w:asciiTheme="majorEastAsia" w:hAnsiTheme="majorEastAsia" w:eastAsiaTheme="majorEastAsia" w:cstheme="majorEastAsia"/>
          <w:szCs w:val="28"/>
        </w:rPr>
        <w:t>6</w:t>
      </w:r>
      <w:r>
        <w:rPr>
          <w:rFonts w:hint="eastAsia" w:asciiTheme="majorEastAsia" w:hAnsiTheme="majorEastAsia" w:eastAsiaTheme="majorEastAsia" w:cstheme="majorEastAsia"/>
          <w:szCs w:val="28"/>
        </w:rPr>
        <w:t>）第三方施工等人为破坏也有可能造成天然气泄漏，发生火灾爆炸等事故。</w:t>
      </w:r>
    </w:p>
    <w:p>
      <w:pPr>
        <w:pStyle w:val="72"/>
        <w:spacing w:line="560" w:lineRule="exact"/>
        <w:rPr>
          <w:color w:val="auto"/>
        </w:rPr>
      </w:pPr>
    </w:p>
    <w:p>
      <w:pPr>
        <w:spacing w:after="0" w:line="560" w:lineRule="exact"/>
        <w:ind w:firstLine="560"/>
        <w:rPr>
          <w:rFonts w:asciiTheme="majorEastAsia" w:hAnsiTheme="majorEastAsia" w:eastAsiaTheme="majorEastAsia" w:cstheme="majorEastAsia"/>
          <w:szCs w:val="28"/>
        </w:rPr>
      </w:pPr>
      <w:bookmarkStart w:id="383" w:name="_Toc77893108"/>
      <w:r>
        <w:rPr>
          <w:rFonts w:asciiTheme="majorEastAsia" w:hAnsiTheme="majorEastAsia" w:eastAsiaTheme="majorEastAsia" w:cstheme="majorEastAsia"/>
          <w:szCs w:val="28"/>
        </w:rPr>
        <w:t>2</w:t>
      </w:r>
      <w:r>
        <w:rPr>
          <w:rFonts w:hint="eastAsia" w:asciiTheme="majorEastAsia" w:hAnsiTheme="majorEastAsia" w:eastAsiaTheme="majorEastAsia" w:cstheme="majorEastAsia"/>
          <w:szCs w:val="28"/>
        </w:rPr>
        <w:t>.机械伤害</w:t>
      </w:r>
      <w:bookmarkEnd w:id="383"/>
    </w:p>
    <w:p>
      <w:pPr>
        <w:spacing w:after="0" w:line="560" w:lineRule="exact"/>
        <w:ind w:firstLine="560" w:firstLineChars="200"/>
        <w:rPr>
          <w:rFonts w:ascii="宋体" w:hAnsi="宋体" w:cs="宋体"/>
          <w:szCs w:val="28"/>
        </w:rPr>
      </w:pPr>
      <w:r>
        <w:rPr>
          <w:rFonts w:hint="eastAsia" w:ascii="宋体" w:hAnsi="宋体" w:cs="宋体"/>
          <w:szCs w:val="28"/>
        </w:rPr>
        <w:t>机械伤害包括机械设备运动（静止）部件、工具、加工件直接与人体接触引起的夹击、碰撞、剪切、刺等伤害。</w:t>
      </w:r>
    </w:p>
    <w:p>
      <w:pPr>
        <w:spacing w:after="0" w:line="560" w:lineRule="exact"/>
        <w:ind w:firstLine="560" w:firstLineChars="200"/>
        <w:rPr>
          <w:rFonts w:ascii="宋体" w:hAnsi="宋体" w:cs="宋体"/>
          <w:szCs w:val="28"/>
        </w:rPr>
      </w:pPr>
      <w:r>
        <w:rPr>
          <w:rFonts w:hint="eastAsia" w:ascii="宋体" w:hAnsi="宋体" w:cs="宋体"/>
          <w:szCs w:val="28"/>
        </w:rPr>
        <w:t>在管网安装、抢险维修过程中使用的发电机、切割机等机械设备运转过程中，若其转动部分安全装置缺失或损坏，作业人员未遵守安全操作规程，未佩戴安全防护用品，易发生机械伤害事故。另外设备和产品的尖角和棱边也易使员工产生划伤和碰伤。</w:t>
      </w:r>
    </w:p>
    <w:p>
      <w:pPr>
        <w:spacing w:after="0" w:line="560" w:lineRule="exact"/>
        <w:ind w:firstLine="560" w:firstLineChars="200"/>
        <w:rPr>
          <w:rFonts w:ascii="宋体" w:hAnsi="宋体" w:cs="宋体"/>
          <w:szCs w:val="28"/>
        </w:rPr>
      </w:pPr>
      <w:r>
        <w:rPr>
          <w:rFonts w:hint="eastAsia" w:ascii="宋体" w:hAnsi="宋体" w:cs="宋体"/>
          <w:szCs w:val="28"/>
        </w:rPr>
        <w:t>1）造成机械伤害的主要原因有：</w:t>
      </w:r>
    </w:p>
    <w:p>
      <w:pPr>
        <w:spacing w:after="0" w:line="560" w:lineRule="exact"/>
        <w:ind w:firstLine="560" w:firstLineChars="200"/>
        <w:rPr>
          <w:rFonts w:ascii="宋体" w:hAnsi="宋体" w:cs="宋体"/>
          <w:szCs w:val="28"/>
        </w:rPr>
      </w:pPr>
      <w:r>
        <w:rPr>
          <w:rFonts w:hint="eastAsia" w:ascii="宋体" w:hAnsi="宋体" w:cs="宋体"/>
          <w:szCs w:val="28"/>
        </w:rPr>
        <w:t>（1）设备防护没有防护装置或防护装置不符合要求；</w:t>
      </w:r>
    </w:p>
    <w:p>
      <w:pPr>
        <w:spacing w:after="0" w:line="560" w:lineRule="exact"/>
        <w:ind w:firstLine="560" w:firstLineChars="200"/>
        <w:rPr>
          <w:rFonts w:ascii="宋体" w:hAnsi="宋体" w:cs="宋体"/>
          <w:szCs w:val="28"/>
        </w:rPr>
      </w:pPr>
      <w:r>
        <w:rPr>
          <w:rFonts w:hint="eastAsia" w:ascii="宋体" w:hAnsi="宋体" w:cs="宋体"/>
          <w:szCs w:val="28"/>
        </w:rPr>
        <w:t>（2）设备的防护装置被拆除；</w:t>
      </w:r>
    </w:p>
    <w:p>
      <w:pPr>
        <w:spacing w:after="0" w:line="560" w:lineRule="exact"/>
        <w:ind w:firstLine="560" w:firstLineChars="200"/>
        <w:rPr>
          <w:rFonts w:ascii="宋体" w:hAnsi="宋体" w:cs="宋体"/>
          <w:szCs w:val="28"/>
        </w:rPr>
      </w:pPr>
      <w:r>
        <w:rPr>
          <w:rFonts w:hint="eastAsia" w:ascii="宋体" w:hAnsi="宋体" w:cs="宋体"/>
          <w:szCs w:val="28"/>
        </w:rPr>
        <w:t>（3）在设备运转时，对设备的转动部位进行检查、加油或擦拭设备；</w:t>
      </w:r>
    </w:p>
    <w:p>
      <w:pPr>
        <w:spacing w:after="0" w:line="560" w:lineRule="exact"/>
        <w:ind w:firstLine="560" w:firstLineChars="200"/>
        <w:rPr>
          <w:rFonts w:ascii="宋体" w:hAnsi="宋体" w:cs="宋体"/>
          <w:szCs w:val="28"/>
        </w:rPr>
      </w:pPr>
      <w:r>
        <w:rPr>
          <w:rFonts w:hint="eastAsia" w:ascii="宋体" w:hAnsi="宋体" w:cs="宋体"/>
          <w:szCs w:val="28"/>
        </w:rPr>
        <w:t>（4）设备带病运转；</w:t>
      </w:r>
    </w:p>
    <w:p>
      <w:pPr>
        <w:spacing w:after="0" w:line="560" w:lineRule="exact"/>
        <w:ind w:firstLine="560" w:firstLineChars="200"/>
        <w:rPr>
          <w:rFonts w:ascii="宋体" w:hAnsi="宋体" w:cs="宋体"/>
          <w:szCs w:val="28"/>
        </w:rPr>
      </w:pPr>
      <w:r>
        <w:rPr>
          <w:rFonts w:hint="eastAsia" w:ascii="宋体" w:hAnsi="宋体" w:cs="宋体"/>
          <w:szCs w:val="28"/>
        </w:rPr>
        <w:t>（5）在检修完毕试车时，没有作好确认，盲目开车；</w:t>
      </w:r>
    </w:p>
    <w:p>
      <w:pPr>
        <w:spacing w:after="0" w:line="560" w:lineRule="exact"/>
        <w:ind w:firstLine="560" w:firstLineChars="200"/>
        <w:rPr>
          <w:rFonts w:ascii="宋体" w:hAnsi="宋体" w:cs="宋体"/>
          <w:szCs w:val="28"/>
        </w:rPr>
      </w:pPr>
      <w:r>
        <w:rPr>
          <w:rFonts w:hint="eastAsia" w:ascii="宋体" w:hAnsi="宋体" w:cs="宋体"/>
          <w:szCs w:val="28"/>
        </w:rPr>
        <w:t>（6）设备高速转动部位材质不合格或卡压不牢，造成转动部件飞出；</w:t>
      </w:r>
    </w:p>
    <w:p>
      <w:pPr>
        <w:spacing w:after="0" w:line="560" w:lineRule="exact"/>
        <w:ind w:firstLine="560" w:firstLineChars="200"/>
        <w:rPr>
          <w:rFonts w:ascii="宋体" w:hAnsi="宋体" w:cs="宋体"/>
          <w:szCs w:val="28"/>
        </w:rPr>
      </w:pPr>
      <w:r>
        <w:rPr>
          <w:rFonts w:hint="eastAsia" w:ascii="宋体" w:hAnsi="宋体" w:cs="宋体"/>
          <w:szCs w:val="28"/>
        </w:rPr>
        <w:t>（7）岗位人员操作技能差；</w:t>
      </w:r>
    </w:p>
    <w:p>
      <w:pPr>
        <w:spacing w:after="0" w:line="560" w:lineRule="exact"/>
        <w:ind w:firstLine="560" w:firstLineChars="200"/>
        <w:rPr>
          <w:rFonts w:ascii="宋体" w:hAnsi="宋体" w:cs="宋体"/>
          <w:szCs w:val="28"/>
        </w:rPr>
      </w:pPr>
      <w:r>
        <w:rPr>
          <w:rFonts w:hint="eastAsia" w:ascii="宋体" w:hAnsi="宋体" w:cs="宋体"/>
          <w:szCs w:val="28"/>
        </w:rPr>
        <w:t>（8）对不熟悉的设备擅自操作；</w:t>
      </w:r>
    </w:p>
    <w:p>
      <w:pPr>
        <w:spacing w:after="0" w:line="560" w:lineRule="exact"/>
        <w:ind w:firstLine="560" w:firstLineChars="200"/>
        <w:rPr>
          <w:rFonts w:ascii="宋体" w:hAnsi="宋体" w:cs="宋体"/>
          <w:szCs w:val="28"/>
        </w:rPr>
      </w:pPr>
      <w:r>
        <w:rPr>
          <w:rFonts w:hint="eastAsia" w:ascii="宋体" w:hAnsi="宋体" w:cs="宋体"/>
          <w:szCs w:val="28"/>
        </w:rPr>
        <w:t>（9）岗位工人酒后上岗；</w:t>
      </w:r>
    </w:p>
    <w:p>
      <w:pPr>
        <w:spacing w:after="0" w:line="560" w:lineRule="exact"/>
        <w:ind w:firstLine="560" w:firstLineChars="200"/>
        <w:rPr>
          <w:rFonts w:ascii="宋体" w:hAnsi="宋体" w:cs="宋体"/>
          <w:szCs w:val="28"/>
        </w:rPr>
      </w:pPr>
      <w:r>
        <w:rPr>
          <w:rFonts w:hint="eastAsia" w:ascii="宋体" w:hAnsi="宋体" w:cs="宋体"/>
          <w:szCs w:val="28"/>
        </w:rPr>
        <w:t>（10）违章操作；</w:t>
      </w:r>
    </w:p>
    <w:p>
      <w:pPr>
        <w:spacing w:after="0" w:line="560" w:lineRule="exact"/>
        <w:ind w:firstLine="560" w:firstLineChars="200"/>
        <w:rPr>
          <w:rFonts w:ascii="宋体" w:hAnsi="宋体" w:cs="宋体"/>
          <w:szCs w:val="28"/>
        </w:rPr>
      </w:pPr>
      <w:r>
        <w:rPr>
          <w:rFonts w:hint="eastAsia" w:ascii="宋体" w:hAnsi="宋体" w:cs="宋体"/>
          <w:szCs w:val="28"/>
        </w:rPr>
        <w:t>（11）违章指挥；</w:t>
      </w:r>
    </w:p>
    <w:p>
      <w:pPr>
        <w:spacing w:after="0" w:line="560" w:lineRule="exact"/>
        <w:ind w:firstLine="560" w:firstLineChars="200"/>
        <w:rPr>
          <w:rFonts w:ascii="宋体" w:hAnsi="宋体" w:cs="宋体"/>
          <w:szCs w:val="28"/>
        </w:rPr>
      </w:pPr>
      <w:r>
        <w:rPr>
          <w:rFonts w:hint="eastAsia" w:ascii="宋体" w:hAnsi="宋体" w:cs="宋体"/>
          <w:szCs w:val="28"/>
        </w:rPr>
        <w:t>（12）操作规程存在问题；</w:t>
      </w:r>
    </w:p>
    <w:p>
      <w:pPr>
        <w:spacing w:after="0" w:line="560" w:lineRule="exact"/>
        <w:ind w:firstLine="560" w:firstLineChars="200"/>
        <w:rPr>
          <w:rFonts w:ascii="宋体" w:hAnsi="宋体" w:cs="宋体"/>
          <w:szCs w:val="28"/>
        </w:rPr>
      </w:pPr>
      <w:r>
        <w:rPr>
          <w:rFonts w:hint="eastAsia" w:ascii="宋体" w:hAnsi="宋体" w:cs="宋体"/>
          <w:szCs w:val="28"/>
        </w:rPr>
        <w:t>（13）其它原因。</w:t>
      </w:r>
    </w:p>
    <w:p>
      <w:pPr>
        <w:spacing w:after="0" w:line="560" w:lineRule="exact"/>
        <w:ind w:firstLine="560" w:firstLineChars="200"/>
        <w:rPr>
          <w:rFonts w:ascii="宋体" w:hAnsi="宋体" w:cs="宋体"/>
          <w:szCs w:val="28"/>
        </w:rPr>
      </w:pPr>
      <w:r>
        <w:rPr>
          <w:rFonts w:hint="eastAsia" w:ascii="宋体" w:hAnsi="宋体" w:cs="宋体"/>
          <w:szCs w:val="28"/>
        </w:rPr>
        <w:t>2）机械设备的危险部位主要包括：</w:t>
      </w:r>
    </w:p>
    <w:p>
      <w:pPr>
        <w:spacing w:after="0" w:line="560" w:lineRule="exact"/>
        <w:ind w:firstLine="560" w:firstLineChars="200"/>
        <w:rPr>
          <w:rFonts w:ascii="宋体" w:hAnsi="宋体" w:cs="宋体"/>
          <w:szCs w:val="28"/>
        </w:rPr>
      </w:pPr>
      <w:r>
        <w:rPr>
          <w:rFonts w:hint="eastAsia" w:ascii="宋体" w:hAnsi="宋体" w:cs="宋体"/>
          <w:szCs w:val="28"/>
        </w:rPr>
        <w:t>(1)静止的危险部位：突出较长的机械部位。</w:t>
      </w:r>
    </w:p>
    <w:p>
      <w:pPr>
        <w:spacing w:after="0" w:line="560" w:lineRule="exact"/>
        <w:ind w:firstLine="560" w:firstLineChars="200"/>
        <w:rPr>
          <w:rFonts w:ascii="宋体" w:hAnsi="宋体" w:cs="宋体"/>
          <w:szCs w:val="28"/>
        </w:rPr>
      </w:pPr>
      <w:r>
        <w:rPr>
          <w:rFonts w:hint="eastAsia" w:ascii="宋体" w:hAnsi="宋体" w:cs="宋体"/>
          <w:szCs w:val="28"/>
        </w:rPr>
        <w:t>(2)直线运动的危险部位：纵向运动部位；横向运动部位；单纯直线运动部位，如运动中的皮带、链条等；直线的凸起部位，如皮带连接头；运动部分与静止部分的组合。</w:t>
      </w:r>
    </w:p>
    <w:p>
      <w:pPr>
        <w:spacing w:after="0" w:line="560" w:lineRule="exact"/>
        <w:ind w:firstLine="560" w:firstLineChars="200"/>
        <w:rPr>
          <w:rFonts w:ascii="宋体" w:hAnsi="宋体" w:cs="宋体"/>
          <w:szCs w:val="28"/>
        </w:rPr>
      </w:pPr>
      <w:r>
        <w:rPr>
          <w:rFonts w:hint="eastAsia" w:ascii="宋体" w:hAnsi="宋体" w:cs="宋体"/>
          <w:szCs w:val="28"/>
        </w:rPr>
        <w:t>(3)回转运动的危险部位：单纯回转运动部位。回转运动的凸起部位。回转运动的轮辐。摆动的机械部位。运动部位与静止部位的组合。</w:t>
      </w:r>
    </w:p>
    <w:p>
      <w:pPr>
        <w:spacing w:after="0" w:line="560" w:lineRule="exact"/>
        <w:ind w:firstLine="560" w:firstLineChars="200"/>
        <w:rPr>
          <w:rFonts w:ascii="宋体" w:hAnsi="宋体" w:cs="宋体"/>
          <w:szCs w:val="28"/>
        </w:rPr>
      </w:pPr>
      <w:r>
        <w:rPr>
          <w:rFonts w:hint="eastAsia" w:ascii="宋体" w:hAnsi="宋体" w:cs="宋体"/>
          <w:szCs w:val="28"/>
        </w:rPr>
        <w:t>(4)具有组合运动的危险部位：直线运动与回转运动的组合。如齿轮与齿轮、链条与链轮、皮带与皮带轮等。回转运动与回转运动的组合。例如，相互啮合的齿轮。</w:t>
      </w:r>
    </w:p>
    <w:p>
      <w:pPr>
        <w:spacing w:after="0" w:line="560" w:lineRule="exact"/>
        <w:ind w:firstLine="560"/>
        <w:rPr>
          <w:rFonts w:asciiTheme="majorEastAsia" w:hAnsiTheme="majorEastAsia" w:eastAsiaTheme="majorEastAsia" w:cstheme="majorEastAsia"/>
          <w:szCs w:val="28"/>
        </w:rPr>
      </w:pPr>
      <w:bookmarkStart w:id="384" w:name="_Toc77893109"/>
      <w:r>
        <w:rPr>
          <w:rFonts w:asciiTheme="majorEastAsia" w:hAnsiTheme="majorEastAsia" w:eastAsiaTheme="majorEastAsia" w:cstheme="majorEastAsia"/>
          <w:szCs w:val="28"/>
        </w:rPr>
        <w:t>3</w:t>
      </w:r>
      <w:r>
        <w:rPr>
          <w:rFonts w:hint="eastAsia" w:asciiTheme="majorEastAsia" w:hAnsiTheme="majorEastAsia" w:eastAsiaTheme="majorEastAsia" w:cstheme="majorEastAsia"/>
          <w:szCs w:val="28"/>
        </w:rPr>
        <w:t>.触电</w:t>
      </w:r>
      <w:bookmarkEnd w:id="384"/>
    </w:p>
    <w:p>
      <w:pPr>
        <w:spacing w:after="0" w:line="560" w:lineRule="exact"/>
        <w:ind w:firstLine="560" w:firstLineChars="20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管道安装、维修过程中需要设临时用电线路，因一般都为露天作业，其电气均设在露天如选用的电气的外壳防护形式不当，粉尘、雨水易使电器表面绝缘降低而发生短路，引起触电和电气火灾。使用的手提电动工具的金属机壳如不采用专门的接地线，在发生电气机壳漏电、短路时，会引起操作人员触电，轻则伤，重则死亡。此外，如果电线交叉、现场混、电线破损、人员误操作等发生漏电造成触电事故；雷雨天冒雨作业也容易发生触电事故。</w:t>
      </w:r>
    </w:p>
    <w:p>
      <w:pPr>
        <w:spacing w:after="0" w:line="560" w:lineRule="exact"/>
        <w:ind w:firstLine="560" w:firstLineChars="20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造成触电事故的主要原因有：</w:t>
      </w:r>
    </w:p>
    <w:p>
      <w:pPr>
        <w:spacing w:after="0" w:line="560" w:lineRule="exact"/>
        <w:ind w:firstLine="560" w:firstLineChars="200"/>
        <w:rPr>
          <w:rFonts w:ascii="宋体" w:hAnsi="宋体" w:cs="宋体"/>
          <w:szCs w:val="28"/>
        </w:rPr>
      </w:pPr>
      <w:r>
        <w:rPr>
          <w:rFonts w:hint="eastAsia" w:ascii="宋体" w:hAnsi="宋体" w:cs="宋体"/>
          <w:szCs w:val="28"/>
        </w:rPr>
        <w:t>1）电气线路或机械、电气设备安装操作不当，保养不善及接地、接零设施损坏或失效等，将会引起电气设备各绝缘性能降低或保护失效，造成漏电，引起触电事故；</w:t>
      </w:r>
    </w:p>
    <w:p>
      <w:pPr>
        <w:spacing w:after="0" w:line="560" w:lineRule="exact"/>
        <w:ind w:firstLine="560" w:firstLineChars="200"/>
        <w:rPr>
          <w:rFonts w:ascii="宋体" w:hAnsi="宋体" w:cs="宋体"/>
          <w:szCs w:val="28"/>
        </w:rPr>
      </w:pPr>
      <w:r>
        <w:rPr>
          <w:rFonts w:hint="eastAsia" w:ascii="宋体" w:hAnsi="宋体" w:cs="宋体"/>
          <w:szCs w:val="28"/>
        </w:rPr>
        <w:t>2）电气设备在潮湿的环境中可引起电化学腐蚀及触电事故发生；</w:t>
      </w:r>
    </w:p>
    <w:p>
      <w:pPr>
        <w:spacing w:after="0" w:line="560" w:lineRule="exact"/>
        <w:ind w:firstLine="560" w:firstLineChars="200"/>
        <w:rPr>
          <w:rFonts w:ascii="宋体" w:hAnsi="宋体" w:cs="宋体"/>
          <w:szCs w:val="28"/>
        </w:rPr>
      </w:pPr>
      <w:r>
        <w:rPr>
          <w:rFonts w:hint="eastAsia" w:ascii="宋体" w:hAnsi="宋体" w:cs="宋体"/>
          <w:szCs w:val="28"/>
        </w:rPr>
        <w:t>3）不执行监护制度、不使用或使用不合格绝缘工具和电气工具；</w:t>
      </w:r>
    </w:p>
    <w:p>
      <w:pPr>
        <w:spacing w:after="0" w:line="560" w:lineRule="exact"/>
        <w:ind w:firstLine="560" w:firstLineChars="200"/>
        <w:rPr>
          <w:rFonts w:ascii="宋体" w:hAnsi="宋体" w:cs="宋体"/>
          <w:szCs w:val="28"/>
        </w:rPr>
      </w:pPr>
      <w:r>
        <w:rPr>
          <w:rFonts w:hint="eastAsia" w:ascii="宋体" w:hAnsi="宋体" w:cs="宋体"/>
          <w:szCs w:val="28"/>
        </w:rPr>
        <w:t>4）检修电气设备工作完毕，未办理相关手续，就对检修设备恢复送电；</w:t>
      </w:r>
    </w:p>
    <w:p>
      <w:pPr>
        <w:spacing w:after="0" w:line="560" w:lineRule="exact"/>
        <w:ind w:firstLine="560" w:firstLineChars="200"/>
        <w:rPr>
          <w:rFonts w:ascii="宋体" w:hAnsi="宋体" w:cs="宋体"/>
          <w:szCs w:val="28"/>
        </w:rPr>
      </w:pPr>
      <w:r>
        <w:rPr>
          <w:rFonts w:hint="eastAsia" w:ascii="宋体" w:hAnsi="宋体" w:cs="宋体"/>
          <w:szCs w:val="28"/>
        </w:rPr>
        <w:t>5）在带电设备附近进行作业，不符合安全距离的规定要求或无监护措施；</w:t>
      </w:r>
    </w:p>
    <w:p>
      <w:pPr>
        <w:spacing w:after="0" w:line="560" w:lineRule="exact"/>
        <w:ind w:firstLine="560" w:firstLineChars="20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6）跨越安全围栏或超越安全警戒线；</w:t>
      </w:r>
    </w:p>
    <w:p>
      <w:pPr>
        <w:spacing w:after="0" w:line="560" w:lineRule="exact"/>
        <w:ind w:firstLine="560" w:firstLineChars="200"/>
        <w:rPr>
          <w:rFonts w:ascii="宋体" w:hAnsi="宋体" w:cs="宋体"/>
          <w:szCs w:val="28"/>
        </w:rPr>
      </w:pPr>
      <w:r>
        <w:rPr>
          <w:rFonts w:hint="eastAsia" w:ascii="宋体" w:hAnsi="宋体" w:cs="宋体"/>
          <w:szCs w:val="28"/>
        </w:rPr>
        <w:t>7）在带电设备附近使用钢卷尺等进行测量或携带金属超高物体在带电设备下行走；</w:t>
      </w:r>
    </w:p>
    <w:p>
      <w:pPr>
        <w:spacing w:after="0" w:line="560" w:lineRule="exact"/>
        <w:ind w:firstLine="560" w:firstLineChars="200"/>
        <w:rPr>
          <w:rFonts w:ascii="宋体" w:hAnsi="宋体" w:cs="宋体"/>
          <w:szCs w:val="28"/>
        </w:rPr>
      </w:pPr>
      <w:r>
        <w:rPr>
          <w:rFonts w:hint="eastAsia" w:ascii="宋体" w:hAnsi="宋体" w:cs="宋体"/>
          <w:szCs w:val="28"/>
        </w:rPr>
        <w:t>8）电器设备未按规定接地或绝缘不良，导致事故发生；</w:t>
      </w:r>
    </w:p>
    <w:p>
      <w:pPr>
        <w:spacing w:after="0" w:line="560" w:lineRule="exact"/>
        <w:ind w:firstLine="560" w:firstLineChars="200"/>
        <w:rPr>
          <w:rFonts w:ascii="宋体" w:hAnsi="宋体" w:cs="宋体"/>
          <w:szCs w:val="28"/>
        </w:rPr>
      </w:pPr>
      <w:r>
        <w:rPr>
          <w:rFonts w:hint="eastAsia" w:ascii="宋体" w:hAnsi="宋体" w:cs="宋体"/>
          <w:szCs w:val="28"/>
        </w:rPr>
        <w:t>9）工作人员擅自扩大工作范围；</w:t>
      </w:r>
    </w:p>
    <w:p>
      <w:pPr>
        <w:spacing w:after="0" w:line="560" w:lineRule="exact"/>
        <w:ind w:firstLine="560" w:firstLineChars="200"/>
        <w:rPr>
          <w:rFonts w:ascii="宋体" w:hAnsi="宋体" w:cs="宋体"/>
          <w:szCs w:val="28"/>
        </w:rPr>
      </w:pPr>
      <w:r>
        <w:rPr>
          <w:rFonts w:hint="eastAsia" w:ascii="宋体" w:hAnsi="宋体" w:cs="宋体"/>
          <w:szCs w:val="28"/>
        </w:rPr>
        <w:t>10）使用的电动工具金属外壳不接地，操作时不戴绝缘手套；</w:t>
      </w:r>
    </w:p>
    <w:p>
      <w:pPr>
        <w:spacing w:after="0" w:line="560" w:lineRule="exact"/>
        <w:ind w:firstLine="560" w:firstLineChars="200"/>
        <w:rPr>
          <w:rFonts w:ascii="宋体" w:hAnsi="宋体" w:cs="宋体"/>
          <w:szCs w:val="28"/>
        </w:rPr>
      </w:pPr>
      <w:r>
        <w:rPr>
          <w:rFonts w:hint="eastAsia" w:ascii="宋体" w:hAnsi="宋体" w:cs="宋体"/>
          <w:szCs w:val="28"/>
        </w:rPr>
        <w:t>11）在潮湿地区、金属容器内进行电焊检修作业时不穿绝缘鞋，无绝缘垫，无监护人；</w:t>
      </w:r>
    </w:p>
    <w:p>
      <w:pPr>
        <w:spacing w:after="0" w:line="560" w:lineRule="exact"/>
        <w:ind w:firstLine="560" w:firstLineChars="200"/>
        <w:rPr>
          <w:rFonts w:ascii="宋体" w:hAnsi="宋体" w:cs="宋体"/>
          <w:szCs w:val="28"/>
        </w:rPr>
      </w:pPr>
      <w:r>
        <w:rPr>
          <w:rFonts w:hint="eastAsia" w:ascii="宋体" w:hAnsi="宋体" w:cs="宋体"/>
          <w:szCs w:val="28"/>
        </w:rPr>
        <w:t>12）防雷电设施或接地损坏、失效等导致雷击，造成火灾、设备损坏、人员触电伤害事故；</w:t>
      </w:r>
    </w:p>
    <w:p>
      <w:pPr>
        <w:spacing w:after="0" w:line="560" w:lineRule="exact"/>
        <w:ind w:firstLine="560" w:firstLineChars="200"/>
        <w:rPr>
          <w:rFonts w:ascii="宋体" w:hAnsi="宋体" w:cs="宋体"/>
          <w:szCs w:val="28"/>
        </w:rPr>
      </w:pPr>
      <w:r>
        <w:rPr>
          <w:rFonts w:hint="eastAsia" w:ascii="宋体" w:hAnsi="宋体" w:cs="宋体"/>
          <w:szCs w:val="28"/>
        </w:rPr>
        <w:t>13）操作人员操作技能较差或安全意识较差；</w:t>
      </w:r>
    </w:p>
    <w:p>
      <w:pPr>
        <w:spacing w:after="0" w:line="560" w:lineRule="exact"/>
        <w:ind w:firstLine="560" w:firstLineChars="200"/>
        <w:rPr>
          <w:rFonts w:ascii="宋体" w:hAnsi="宋体" w:cs="宋体"/>
          <w:szCs w:val="28"/>
        </w:rPr>
      </w:pPr>
      <w:r>
        <w:rPr>
          <w:rFonts w:hint="eastAsia" w:ascii="宋体" w:hAnsi="宋体" w:cs="宋体"/>
          <w:szCs w:val="28"/>
        </w:rPr>
        <w:t>14）酒后上岗；</w:t>
      </w:r>
    </w:p>
    <w:p>
      <w:pPr>
        <w:spacing w:after="0" w:line="560" w:lineRule="exact"/>
        <w:ind w:firstLine="560" w:firstLineChars="200"/>
        <w:rPr>
          <w:rFonts w:ascii="宋体" w:hAnsi="宋体" w:cs="宋体"/>
          <w:szCs w:val="28"/>
        </w:rPr>
      </w:pPr>
      <w:r>
        <w:rPr>
          <w:rFonts w:hint="eastAsia" w:ascii="宋体" w:hAnsi="宋体" w:cs="宋体"/>
          <w:szCs w:val="28"/>
        </w:rPr>
        <w:t>15）岗位人员不适合进行电气操作；</w:t>
      </w:r>
    </w:p>
    <w:p>
      <w:pPr>
        <w:spacing w:after="0" w:line="560" w:lineRule="exact"/>
        <w:ind w:firstLine="560" w:firstLineChars="200"/>
        <w:rPr>
          <w:rFonts w:ascii="宋体" w:hAnsi="宋体" w:cs="宋体"/>
          <w:szCs w:val="28"/>
        </w:rPr>
      </w:pPr>
      <w:r>
        <w:rPr>
          <w:rFonts w:hint="eastAsia" w:ascii="宋体" w:hAnsi="宋体" w:cs="宋体"/>
          <w:szCs w:val="28"/>
        </w:rPr>
        <w:t>16）其它原因。</w:t>
      </w:r>
    </w:p>
    <w:p>
      <w:pPr>
        <w:spacing w:after="0" w:line="560" w:lineRule="exact"/>
        <w:ind w:firstLine="560"/>
        <w:rPr>
          <w:rFonts w:asciiTheme="majorEastAsia" w:hAnsiTheme="majorEastAsia" w:eastAsiaTheme="majorEastAsia" w:cstheme="majorEastAsia"/>
          <w:szCs w:val="28"/>
        </w:rPr>
      </w:pPr>
      <w:bookmarkStart w:id="385" w:name="_Toc77893110"/>
      <w:r>
        <w:rPr>
          <w:rFonts w:asciiTheme="majorEastAsia" w:hAnsiTheme="majorEastAsia" w:eastAsiaTheme="majorEastAsia" w:cstheme="majorEastAsia"/>
          <w:szCs w:val="28"/>
        </w:rPr>
        <w:t>4.</w:t>
      </w:r>
      <w:r>
        <w:rPr>
          <w:rFonts w:hint="eastAsia" w:asciiTheme="majorEastAsia" w:hAnsiTheme="majorEastAsia" w:eastAsiaTheme="majorEastAsia" w:cstheme="majorEastAsia"/>
          <w:szCs w:val="28"/>
        </w:rPr>
        <w:t>物体打击</w:t>
      </w:r>
      <w:bookmarkEnd w:id="385"/>
    </w:p>
    <w:p>
      <w:pPr>
        <w:spacing w:after="0" w:line="560" w:lineRule="exact"/>
        <w:ind w:firstLine="560" w:firstLineChars="20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物体打击是指物体在重力或其他外力的作用下产生运动，打击人体而造成人身伤亡事故。在施工及管道的安装过程中，作业人员误操作或配合不当可能引起物体打击事故发生；管沟旁重物清理不当有可能发生重物坠落伤害管沟内作业人员。另外在高处作业中，管道及其他支架材料装卸及安装过程中，如未按规范设置操作牢固的有栏杆的平台铺板、设置安全防护网，易发生管材、管件、工具、小体积材料掉落，砸伤下方人员。</w:t>
      </w:r>
    </w:p>
    <w:p>
      <w:pPr>
        <w:spacing w:after="0" w:line="560" w:lineRule="exact"/>
        <w:ind w:firstLine="560"/>
        <w:rPr>
          <w:rFonts w:asciiTheme="majorEastAsia" w:hAnsiTheme="majorEastAsia" w:eastAsiaTheme="majorEastAsia" w:cstheme="majorEastAsia"/>
          <w:szCs w:val="28"/>
        </w:rPr>
      </w:pPr>
      <w:bookmarkStart w:id="386" w:name="_Toc77893111"/>
      <w:r>
        <w:rPr>
          <w:rFonts w:asciiTheme="majorEastAsia" w:hAnsiTheme="majorEastAsia" w:eastAsiaTheme="majorEastAsia" w:cstheme="majorEastAsia"/>
          <w:szCs w:val="28"/>
        </w:rPr>
        <w:t>5.</w:t>
      </w:r>
      <w:r>
        <w:rPr>
          <w:rFonts w:hint="eastAsia" w:asciiTheme="majorEastAsia" w:hAnsiTheme="majorEastAsia" w:eastAsiaTheme="majorEastAsia" w:cstheme="majorEastAsia"/>
          <w:szCs w:val="28"/>
        </w:rPr>
        <w:t>车辆伤害</w:t>
      </w:r>
      <w:bookmarkEnd w:id="386"/>
    </w:p>
    <w:p>
      <w:pPr>
        <w:spacing w:after="0" w:line="560" w:lineRule="exact"/>
        <w:ind w:firstLine="560" w:firstLineChars="200"/>
        <w:rPr>
          <w:rFonts w:ascii="宋体" w:hAnsi="宋体" w:cs="宋体"/>
          <w:szCs w:val="28"/>
        </w:rPr>
      </w:pPr>
      <w:r>
        <w:rPr>
          <w:rFonts w:hint="eastAsia" w:ascii="宋体" w:hAnsi="宋体" w:cs="宋体"/>
          <w:szCs w:val="28"/>
        </w:rPr>
        <w:t>工程建设、安装维修和抢险时使用的各种材料需要通过车辆运输，若工程运输车辆控制和操作不当易造成车辆伤害。如果各种建筑材料、设备等没有堆放整齐，占用了通道，会给作业场所的运输及事故疏散造成障碍，引发车辆伤害事故。另外，工程有存在管道穿越公路，埋地敷设，安装时交通指挥不当和警示标示不当以及施工人员过公路不小心容易被过往车辆伤害。</w:t>
      </w:r>
    </w:p>
    <w:p>
      <w:pPr>
        <w:spacing w:after="0" w:line="560" w:lineRule="exact"/>
        <w:ind w:firstLine="560" w:firstLineChars="200"/>
        <w:rPr>
          <w:rFonts w:ascii="宋体" w:hAnsi="宋体" w:cs="宋体"/>
          <w:szCs w:val="28"/>
        </w:rPr>
      </w:pPr>
      <w:r>
        <w:rPr>
          <w:rFonts w:hint="eastAsia" w:ascii="宋体" w:hAnsi="宋体" w:cs="宋体"/>
          <w:szCs w:val="28"/>
        </w:rPr>
        <w:t>抢险车辆如果本身有缺陷，或制动、音响、灯光等失效，道路状况不符合规定要求或误操作可引发车辆伤害。造成车辆伤害的主要原因有：</w:t>
      </w:r>
    </w:p>
    <w:p>
      <w:pPr>
        <w:spacing w:after="0" w:line="560" w:lineRule="exact"/>
        <w:ind w:firstLine="560"/>
        <w:rPr>
          <w:rFonts w:ascii="宋体" w:hAnsi="宋体" w:cs="宋体"/>
          <w:szCs w:val="28"/>
        </w:rPr>
      </w:pPr>
      <w:r>
        <w:rPr>
          <w:rFonts w:hint="eastAsia" w:ascii="宋体" w:hAnsi="宋体" w:cs="宋体"/>
          <w:szCs w:val="28"/>
        </w:rPr>
        <w:t>1）车况不好，刹车失灵；</w:t>
      </w:r>
    </w:p>
    <w:p>
      <w:pPr>
        <w:spacing w:after="0" w:line="560" w:lineRule="exact"/>
        <w:ind w:firstLine="560"/>
        <w:rPr>
          <w:rFonts w:ascii="宋体" w:hAnsi="宋体" w:cs="宋体"/>
          <w:szCs w:val="28"/>
        </w:rPr>
      </w:pPr>
      <w:r>
        <w:rPr>
          <w:rFonts w:hint="eastAsia" w:ascii="宋体" w:hAnsi="宋体" w:cs="宋体"/>
          <w:szCs w:val="28"/>
        </w:rPr>
        <w:t>2）路况不好，路面斜度过大；</w:t>
      </w:r>
    </w:p>
    <w:p>
      <w:pPr>
        <w:spacing w:after="0" w:line="560" w:lineRule="exact"/>
        <w:ind w:firstLine="56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3）司机素质不高，违章驾驶；</w:t>
      </w:r>
    </w:p>
    <w:p>
      <w:pPr>
        <w:spacing w:after="0" w:line="560" w:lineRule="exact"/>
        <w:ind w:firstLine="56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4）司机驾驶技能差；</w:t>
      </w:r>
    </w:p>
    <w:p>
      <w:pPr>
        <w:spacing w:after="0" w:line="560" w:lineRule="exact"/>
        <w:ind w:firstLine="56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5）酒后开车；</w:t>
      </w:r>
    </w:p>
    <w:p>
      <w:pPr>
        <w:spacing w:after="0" w:line="560" w:lineRule="exact"/>
        <w:ind w:firstLine="56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6）信号出现问题，造成误会；</w:t>
      </w:r>
    </w:p>
    <w:p>
      <w:pPr>
        <w:spacing w:after="0" w:line="560" w:lineRule="exact"/>
        <w:ind w:firstLine="56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7）受害者精神紧张过度或其它身体原因，对车没有进行有效躲闪；</w:t>
      </w:r>
    </w:p>
    <w:p>
      <w:pPr>
        <w:spacing w:after="0" w:line="560" w:lineRule="exact"/>
        <w:ind w:firstLine="56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8）车辆超载；</w:t>
      </w:r>
    </w:p>
    <w:p>
      <w:pPr>
        <w:spacing w:after="0" w:line="560" w:lineRule="exact"/>
        <w:ind w:firstLine="56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9）车辆超速；</w:t>
      </w:r>
    </w:p>
    <w:p>
      <w:pPr>
        <w:spacing w:after="0" w:line="560" w:lineRule="exact"/>
        <w:ind w:firstLine="56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10）其它原因。</w:t>
      </w:r>
    </w:p>
    <w:p>
      <w:pPr>
        <w:spacing w:after="0" w:line="560" w:lineRule="exact"/>
        <w:ind w:firstLine="560"/>
        <w:rPr>
          <w:rFonts w:asciiTheme="majorEastAsia" w:hAnsiTheme="majorEastAsia" w:eastAsiaTheme="majorEastAsia" w:cstheme="majorEastAsia"/>
          <w:szCs w:val="28"/>
        </w:rPr>
      </w:pPr>
      <w:bookmarkStart w:id="387" w:name="_Toc77893112"/>
      <w:bookmarkStart w:id="388" w:name="_Toc21998"/>
      <w:bookmarkStart w:id="389" w:name="_Toc489428911"/>
      <w:bookmarkStart w:id="390" w:name="_Toc489372060"/>
      <w:bookmarkStart w:id="391" w:name="_Toc489371250"/>
      <w:r>
        <w:rPr>
          <w:rFonts w:asciiTheme="majorEastAsia" w:hAnsiTheme="majorEastAsia" w:eastAsiaTheme="majorEastAsia" w:cstheme="majorEastAsia"/>
          <w:szCs w:val="28"/>
        </w:rPr>
        <w:t>6.</w:t>
      </w:r>
      <w:r>
        <w:rPr>
          <w:rFonts w:hint="eastAsia" w:asciiTheme="majorEastAsia" w:hAnsiTheme="majorEastAsia" w:eastAsiaTheme="majorEastAsia" w:cstheme="majorEastAsia"/>
          <w:szCs w:val="28"/>
        </w:rPr>
        <w:t>高处坠落</w:t>
      </w:r>
      <w:bookmarkEnd w:id="387"/>
      <w:bookmarkEnd w:id="388"/>
    </w:p>
    <w:p>
      <w:pPr>
        <w:spacing w:after="0" w:line="560" w:lineRule="exact"/>
        <w:ind w:firstLine="560"/>
        <w:rPr>
          <w:rFonts w:ascii="宋体" w:hAnsi="宋体" w:cs="宋体"/>
          <w:szCs w:val="28"/>
        </w:rPr>
      </w:pPr>
      <w:r>
        <w:rPr>
          <w:rFonts w:hint="eastAsia" w:ascii="宋体" w:hAnsi="宋体" w:cs="宋体"/>
          <w:szCs w:val="28"/>
        </w:rPr>
        <w:t>因天然气管道距离较长，途中需经过部分坡地，在基坑开挖过程中或地势较高的坡地进行管道施工及安装作业时，作业人员安全意识差、未设置防护栏、安全标识，作业人员未系安全带等，可能发生高处坠落危险。</w:t>
      </w:r>
    </w:p>
    <w:p>
      <w:pPr>
        <w:spacing w:after="0" w:line="560" w:lineRule="exact"/>
        <w:ind w:firstLine="560"/>
        <w:rPr>
          <w:rFonts w:ascii="宋体" w:hAnsi="宋体" w:cs="宋体"/>
          <w:szCs w:val="28"/>
        </w:rPr>
      </w:pPr>
      <w:r>
        <w:rPr>
          <w:rFonts w:hint="eastAsia" w:ascii="宋体" w:hAnsi="宋体" w:cs="宋体"/>
          <w:szCs w:val="28"/>
        </w:rPr>
        <w:t>安装维修抢险时在高处作业中有发生坠落造成伤亡事故的风险，如从墙面、设备上、房顶上、高处平台坠落下来。对此要求登高作业人员必须系安全带；高处作业平台加装必要的防护栏；高处施工点下面加装安全网；上下梯子应设置扶手及护栏；现场工作人员必须戴安全帽，非工作人员远离现场等。如果出现设备防护缺陷或作业人员违章操作等情况时，作业人员就可能发生高处坠落事故。</w:t>
      </w:r>
    </w:p>
    <w:bookmarkEnd w:id="389"/>
    <w:bookmarkEnd w:id="390"/>
    <w:bookmarkEnd w:id="391"/>
    <w:p>
      <w:pPr>
        <w:spacing w:after="0" w:line="560" w:lineRule="exact"/>
        <w:ind w:firstLine="560"/>
        <w:rPr>
          <w:rFonts w:asciiTheme="majorEastAsia" w:hAnsiTheme="majorEastAsia" w:eastAsiaTheme="majorEastAsia" w:cstheme="majorEastAsia"/>
          <w:szCs w:val="28"/>
        </w:rPr>
      </w:pPr>
      <w:bookmarkStart w:id="392" w:name="_Toc77893114"/>
      <w:r>
        <w:rPr>
          <w:rFonts w:asciiTheme="majorEastAsia" w:hAnsiTheme="majorEastAsia" w:eastAsiaTheme="majorEastAsia" w:cstheme="majorEastAsia"/>
          <w:szCs w:val="28"/>
        </w:rPr>
        <w:t>7</w:t>
      </w:r>
      <w:r>
        <w:rPr>
          <w:rFonts w:hint="eastAsia" w:asciiTheme="majorEastAsia" w:hAnsiTheme="majorEastAsia" w:eastAsiaTheme="majorEastAsia" w:cstheme="majorEastAsia"/>
          <w:szCs w:val="28"/>
        </w:rPr>
        <w:t>.灼烫</w:t>
      </w:r>
      <w:bookmarkEnd w:id="392"/>
    </w:p>
    <w:p>
      <w:pPr>
        <w:spacing w:after="0" w:line="560" w:lineRule="exact"/>
        <w:ind w:firstLine="560" w:firstLineChars="200"/>
        <w:rPr>
          <w:rFonts w:ascii="宋体" w:hAnsi="宋体" w:cs="宋体"/>
        </w:rPr>
      </w:pPr>
      <w:r>
        <w:rPr>
          <w:rFonts w:hint="eastAsia" w:ascii="宋体" w:hAnsi="宋体" w:cs="宋体"/>
        </w:rPr>
        <w:t>一般把29℃以上的温度称为高温。高温对人体的影响主要有两个方面：一是高温烫伤，当高温使皮肤温度达41～42℃时，人就会感到灼痛，若温度继续上升，皮肤温度达组织会受到损伤；二是高温生理反应、严重时可导致中暑、休克。</w:t>
      </w:r>
    </w:p>
    <w:p>
      <w:pPr>
        <w:spacing w:after="0" w:line="560" w:lineRule="exact"/>
        <w:ind w:firstLine="560" w:firstLineChars="200"/>
        <w:rPr>
          <w:rFonts w:ascii="宋体" w:hAnsi="宋体" w:cs="宋体"/>
        </w:rPr>
      </w:pPr>
      <w:r>
        <w:rPr>
          <w:rFonts w:hint="eastAsia" w:ascii="宋体" w:hAnsi="宋体" w:cs="宋体"/>
        </w:rPr>
        <w:t>在钢管焊接、PE管电容、低压管道热熔过程中，若因人员穿戴劳保用品不规范，或者现场无关人员进入等接触高温物体表面，有可能造成灼烫危害。</w:t>
      </w:r>
    </w:p>
    <w:p>
      <w:pPr>
        <w:spacing w:after="0" w:line="560" w:lineRule="exact"/>
        <w:ind w:firstLine="560"/>
        <w:rPr>
          <w:rFonts w:asciiTheme="majorEastAsia" w:hAnsiTheme="majorEastAsia" w:eastAsiaTheme="majorEastAsia" w:cstheme="majorEastAsia"/>
          <w:szCs w:val="28"/>
        </w:rPr>
      </w:pPr>
      <w:r>
        <w:rPr>
          <w:rFonts w:hint="eastAsia"/>
        </w:rPr>
        <w:t xml:space="preserve"> </w:t>
      </w:r>
      <w:r>
        <w:t xml:space="preserve">      </w:t>
      </w:r>
      <w:r>
        <w:rPr>
          <w:rFonts w:hint="eastAsia" w:asciiTheme="majorEastAsia" w:hAnsiTheme="majorEastAsia" w:eastAsiaTheme="majorEastAsia" w:cstheme="majorEastAsia"/>
          <w:szCs w:val="28"/>
        </w:rPr>
        <w:t>生产过程中使用的切割机等设备，因高速运转产生高热，因违规操作或无关人员进入等接触高温物体表面，也有可能造成灼烫危害。</w:t>
      </w:r>
    </w:p>
    <w:p>
      <w:pPr>
        <w:spacing w:after="0" w:line="560" w:lineRule="exact"/>
        <w:ind w:firstLine="560"/>
        <w:rPr>
          <w:rFonts w:asciiTheme="majorEastAsia" w:hAnsiTheme="majorEastAsia" w:eastAsiaTheme="majorEastAsia" w:cstheme="majorEastAsia"/>
          <w:szCs w:val="28"/>
        </w:rPr>
      </w:pPr>
      <w:bookmarkStart w:id="393" w:name="_Toc77893116"/>
      <w:r>
        <w:rPr>
          <w:rFonts w:asciiTheme="majorEastAsia" w:hAnsiTheme="majorEastAsia" w:eastAsiaTheme="majorEastAsia" w:cstheme="majorEastAsia"/>
          <w:szCs w:val="28"/>
        </w:rPr>
        <w:t>8.</w:t>
      </w:r>
      <w:r>
        <w:rPr>
          <w:rFonts w:hint="eastAsia" w:asciiTheme="majorEastAsia" w:hAnsiTheme="majorEastAsia" w:eastAsiaTheme="majorEastAsia" w:cstheme="majorEastAsia"/>
          <w:szCs w:val="28"/>
        </w:rPr>
        <w:t>中毒和窒息</w:t>
      </w:r>
      <w:bookmarkEnd w:id="393"/>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用户使用燃气不当，如在通风不良场所使用燃烧器具、燃烧烟气未有效排出室外等，是诱发中毒窒息事故的最主要因素。</w:t>
      </w:r>
    </w:p>
    <w:p>
      <w:pPr>
        <w:spacing w:after="0" w:line="560" w:lineRule="exact"/>
        <w:ind w:firstLine="56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用户擅自安装、接管、拆除、迁移天然气供气设施、改变用气性质等均可能引发燃气泄漏，从而引发火灾、爆炸、人员中毒等事故。</w:t>
      </w:r>
    </w:p>
    <w:p>
      <w:pPr>
        <w:spacing w:after="0" w:line="560" w:lineRule="exact"/>
        <w:ind w:firstLine="56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连接软管未定期检查、更换造成软管老化或软管接头未加装管箍等安全设施，则可能发生燃气泄漏事故，从而引发火灾、爆炸、人员中毒等事故。</w:t>
      </w:r>
    </w:p>
    <w:p>
      <w:pPr>
        <w:spacing w:after="0" w:line="560" w:lineRule="exact"/>
        <w:ind w:firstLine="560" w:firstLineChars="200"/>
      </w:pPr>
      <w:r>
        <w:rPr>
          <w:rFonts w:hint="eastAsia" w:asciiTheme="majorEastAsia" w:hAnsiTheme="majorEastAsia" w:eastAsiaTheme="majorEastAsia" w:cstheme="majorEastAsia"/>
          <w:szCs w:val="28"/>
        </w:rPr>
        <w:t>用户户内管道因腐蚀穿孔，造成天然气泄漏，聚集在有限空间内，遇火源可能发生火灾、爆炸、人员中毒事故。</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当压力管道、安全附件、调压箱、阀井因各种原因发生天然气泄漏时，人员若吸入大量天然气中含有的甲烷、</w:t>
      </w:r>
      <w:r>
        <w:rPr>
          <w:rFonts w:asciiTheme="majorEastAsia" w:hAnsiTheme="majorEastAsia" w:eastAsiaTheme="majorEastAsia" w:cstheme="majorEastAsia"/>
          <w:szCs w:val="28"/>
        </w:rPr>
        <w:t>乙烷、丙烷、丁烷</w:t>
      </w:r>
      <w:r>
        <w:rPr>
          <w:rFonts w:hint="eastAsia" w:asciiTheme="majorEastAsia" w:hAnsiTheme="majorEastAsia" w:eastAsiaTheme="majorEastAsia" w:cstheme="majorEastAsia"/>
          <w:szCs w:val="28"/>
        </w:rPr>
        <w:t>、</w:t>
      </w:r>
      <w:r>
        <w:rPr>
          <w:rFonts w:asciiTheme="majorEastAsia" w:hAnsiTheme="majorEastAsia" w:eastAsiaTheme="majorEastAsia" w:cstheme="majorEastAsia"/>
          <w:szCs w:val="28"/>
        </w:rPr>
        <w:t>硫化氢</w:t>
      </w:r>
      <w:r>
        <w:rPr>
          <w:rFonts w:hint="eastAsia" w:asciiTheme="majorEastAsia" w:hAnsiTheme="majorEastAsia" w:eastAsiaTheme="majorEastAsia" w:cstheme="majorEastAsia"/>
          <w:szCs w:val="28"/>
        </w:rPr>
        <w:t>等气体引发中毒和窒息。</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电气设备及线路发生火灾，如不及时扑灭，有可能导致其他设备火灾。燃烧时会产生大量的毒烟，在扑救时未戴防护面具容易造成人员中毒、窒息事故。</w:t>
      </w:r>
    </w:p>
    <w:p>
      <w:pPr>
        <w:spacing w:after="0" w:line="560" w:lineRule="exact"/>
        <w:ind w:firstLine="560"/>
        <w:rPr>
          <w:rFonts w:asciiTheme="majorEastAsia" w:hAnsiTheme="majorEastAsia" w:eastAsiaTheme="majorEastAsia" w:cstheme="majorEastAsia"/>
          <w:szCs w:val="28"/>
        </w:rPr>
      </w:pPr>
      <w:r>
        <w:rPr>
          <w:rFonts w:asciiTheme="majorEastAsia" w:hAnsiTheme="majorEastAsia" w:eastAsiaTheme="majorEastAsia" w:cstheme="majorEastAsia"/>
          <w:szCs w:val="28"/>
        </w:rPr>
        <w:t>9.</w:t>
      </w:r>
      <w:r>
        <w:rPr>
          <w:rFonts w:hint="eastAsia" w:asciiTheme="majorEastAsia" w:hAnsiTheme="majorEastAsia" w:eastAsiaTheme="majorEastAsia" w:cstheme="majorEastAsia"/>
          <w:szCs w:val="28"/>
        </w:rPr>
        <w:t>坍塌</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管道开挖时未按规定放坡、支护；高空作业时临时脚手架的搭设不符合要求，可能造成作业现场坍塌事故。</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当天然气管道和用户燃器具因各种原因发生泄漏，遇火发生火灾爆炸，周围建筑物和围墙受爆炸释放的能量冲击，发生变形和坍塌，对周边人群造成打击伤害。</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当企业各类场所遭受较大地震灾害时，有发生坍塌伤人的风险。</w:t>
      </w:r>
    </w:p>
    <w:p>
      <w:pPr>
        <w:spacing w:after="0" w:line="560" w:lineRule="exact"/>
        <w:ind w:firstLine="56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1</w:t>
      </w:r>
      <w:r>
        <w:rPr>
          <w:rFonts w:asciiTheme="majorEastAsia" w:hAnsiTheme="majorEastAsia" w:eastAsiaTheme="majorEastAsia" w:cstheme="majorEastAsia"/>
          <w:szCs w:val="28"/>
        </w:rPr>
        <w:t>0.</w:t>
      </w:r>
      <w:r>
        <w:rPr>
          <w:rFonts w:hint="eastAsia" w:asciiTheme="majorEastAsia" w:hAnsiTheme="majorEastAsia" w:eastAsiaTheme="majorEastAsia" w:cstheme="majorEastAsia"/>
          <w:szCs w:val="28"/>
        </w:rPr>
        <w:t>其他伤害</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如涉及电焊作业电焊烟尘、无损探伤等可能造成员工健康损害。员工在各种作业活动中因心理、生理、不良环境的原因有可能发生摔伤、扭伤等伤害；在恶劣气候条件下作业，有发生中暑等伤害的可能。</w:t>
      </w:r>
    </w:p>
    <w:p>
      <w:pPr>
        <w:pStyle w:val="7"/>
        <w:spacing w:line="560" w:lineRule="exact"/>
        <w:ind w:firstLine="562"/>
        <w:rPr>
          <w:rFonts w:hAnsi="宋体" w:cs="宋体"/>
          <w:szCs w:val="28"/>
        </w:rPr>
      </w:pPr>
      <w:bookmarkStart w:id="394" w:name="_Toc101798342"/>
      <w:bookmarkStart w:id="395" w:name="_Toc93068512"/>
      <w:r>
        <w:rPr>
          <w:rFonts w:hAnsi="宋体" w:cs="宋体"/>
          <w:szCs w:val="28"/>
        </w:rPr>
        <w:t>2.</w:t>
      </w:r>
      <w:r>
        <w:rPr>
          <w:rFonts w:hint="eastAsia" w:hAnsi="宋体" w:cs="宋体"/>
          <w:szCs w:val="28"/>
        </w:rPr>
        <w:t>事故类型分析汇总</w:t>
      </w:r>
      <w:bookmarkEnd w:id="394"/>
      <w:bookmarkEnd w:id="395"/>
    </w:p>
    <w:p>
      <w:pPr>
        <w:widowControl w:val="0"/>
        <w:spacing w:after="0" w:line="560" w:lineRule="exact"/>
        <w:ind w:firstLine="560"/>
        <w:jc w:val="both"/>
        <w:rPr>
          <w:rFonts w:ascii="Times New Roman" w:hAnsi="Times New Roman"/>
          <w:kern w:val="2"/>
          <w:szCs w:val="28"/>
        </w:rPr>
      </w:pPr>
      <w:r>
        <w:rPr>
          <w:rFonts w:ascii="Times New Roman" w:hAnsi="Times New Roman"/>
          <w:kern w:val="2"/>
          <w:szCs w:val="28"/>
        </w:rPr>
        <w:t>通过</w:t>
      </w:r>
      <w:r>
        <w:rPr>
          <w:rFonts w:hint="eastAsia" w:ascii="Times New Roman" w:hAnsi="Times New Roman"/>
          <w:kern w:val="2"/>
          <w:szCs w:val="28"/>
        </w:rPr>
        <w:t>分析</w:t>
      </w:r>
      <w:r>
        <w:rPr>
          <w:rFonts w:ascii="Times New Roman" w:hAnsi="Times New Roman"/>
          <w:kern w:val="2"/>
          <w:szCs w:val="28"/>
        </w:rPr>
        <w:t>，该本企业的</w:t>
      </w:r>
      <w:r>
        <w:rPr>
          <w:rFonts w:hint="eastAsia" w:ascii="Times New Roman" w:hAnsi="Times New Roman"/>
          <w:kern w:val="2"/>
          <w:szCs w:val="28"/>
        </w:rPr>
        <w:t>可能发生的事故类型</w:t>
      </w:r>
      <w:r>
        <w:rPr>
          <w:rFonts w:ascii="Times New Roman" w:hAnsi="Times New Roman"/>
          <w:kern w:val="2"/>
          <w:szCs w:val="28"/>
        </w:rPr>
        <w:t>有：火灾爆炸</w:t>
      </w:r>
      <w:r>
        <w:rPr>
          <w:rFonts w:hint="eastAsia" w:ascii="Times New Roman" w:hAnsi="Times New Roman"/>
          <w:kern w:val="2"/>
          <w:szCs w:val="28"/>
        </w:rPr>
        <w:t>、</w:t>
      </w:r>
      <w:r>
        <w:rPr>
          <w:rFonts w:ascii="Times New Roman" w:hAnsi="Times New Roman"/>
          <w:kern w:val="2"/>
          <w:szCs w:val="28"/>
        </w:rPr>
        <w:t>中毒及窒息</w:t>
      </w:r>
      <w:r>
        <w:rPr>
          <w:rFonts w:hint="eastAsia" w:ascii="Times New Roman" w:hAnsi="Times New Roman"/>
          <w:kern w:val="2"/>
          <w:szCs w:val="28"/>
        </w:rPr>
        <w:t>、</w:t>
      </w:r>
      <w:r>
        <w:rPr>
          <w:rFonts w:ascii="Times New Roman" w:hAnsi="Times New Roman"/>
          <w:kern w:val="2"/>
          <w:szCs w:val="28"/>
        </w:rPr>
        <w:t>机械伤害、触电、物体打击、高处坠落、车辆伤害、坍塌等。其中火灾爆炸</w:t>
      </w:r>
      <w:r>
        <w:rPr>
          <w:rFonts w:hint="eastAsia" w:ascii="Times New Roman" w:hAnsi="Times New Roman"/>
          <w:kern w:val="2"/>
          <w:szCs w:val="28"/>
        </w:rPr>
        <w:t>、中毒窒息</w:t>
      </w:r>
      <w:r>
        <w:rPr>
          <w:rFonts w:ascii="Times New Roman" w:hAnsi="Times New Roman"/>
          <w:kern w:val="2"/>
          <w:szCs w:val="28"/>
        </w:rPr>
        <w:t>等是该本企业的易发、多发事故，应特别引起高度重视</w:t>
      </w:r>
      <w:r>
        <w:rPr>
          <w:rFonts w:ascii="Times New Roman" w:hAnsi="Times New Roman"/>
          <w:kern w:val="2"/>
          <w:szCs w:val="28"/>
        </w:rPr>
        <w:t>。</w:t>
      </w:r>
    </w:p>
    <w:p>
      <w:pPr>
        <w:ind w:firstLine="560"/>
      </w:pPr>
    </w:p>
    <w:p>
      <w:pPr>
        <w:pStyle w:val="7"/>
      </w:pPr>
      <w:bookmarkStart w:id="396" w:name="_Toc101798343"/>
      <w:r>
        <w:t>3.</w:t>
      </w:r>
      <w:r>
        <w:rPr>
          <w:rFonts w:hint="eastAsia"/>
        </w:rPr>
        <w:t>重大危险源辨识</w:t>
      </w:r>
      <w:bookmarkEnd w:id="396"/>
    </w:p>
    <w:p>
      <w:pPr>
        <w:ind w:firstLine="562"/>
        <w:rPr>
          <w:rFonts w:ascii="宋体" w:hAnsi="宋体" w:cs="宋体"/>
          <w:b/>
          <w:szCs w:val="28"/>
        </w:rPr>
      </w:pPr>
      <w:r>
        <w:rPr>
          <w:rFonts w:ascii="宋体" w:hAnsi="宋体" w:cs="宋体"/>
          <w:b/>
          <w:szCs w:val="28"/>
        </w:rPr>
        <w:t>3.1</w:t>
      </w:r>
      <w:r>
        <w:rPr>
          <w:rFonts w:hint="eastAsia" w:ascii="宋体" w:hAnsi="宋体" w:cs="宋体"/>
          <w:b/>
          <w:szCs w:val="28"/>
        </w:rPr>
        <w:t>重大危险源辨识依据</w:t>
      </w:r>
    </w:p>
    <w:p>
      <w:pPr>
        <w:widowControl w:val="0"/>
        <w:adjustRightInd/>
        <w:snapToGrid/>
        <w:spacing w:after="0" w:line="560" w:lineRule="exact"/>
        <w:ind w:firstLine="560"/>
        <w:jc w:val="both"/>
        <w:rPr>
          <w:rFonts w:ascii="宋体" w:hAnsi="宋体" w:cs="宋体"/>
          <w:kern w:val="2"/>
          <w:szCs w:val="28"/>
        </w:rPr>
      </w:pPr>
      <w:r>
        <w:rPr>
          <w:rFonts w:hint="eastAsia" w:ascii="宋体" w:hAnsi="宋体" w:cs="宋体"/>
          <w:kern w:val="2"/>
          <w:szCs w:val="28"/>
        </w:rPr>
        <w:t>根据《危险化学品重大危险源辨识》</w:t>
      </w:r>
      <w:r>
        <w:rPr>
          <w:rFonts w:ascii="宋体" w:hAnsi="宋体" w:cs="宋体"/>
          <w:kern w:val="2"/>
          <w:szCs w:val="28"/>
        </w:rPr>
        <w:t>GB18218-2018,</w:t>
      </w:r>
      <w:r>
        <w:rPr>
          <w:rFonts w:hint="eastAsia" w:ascii="宋体" w:hAnsi="宋体" w:cs="宋体"/>
          <w:kern w:val="2"/>
          <w:szCs w:val="28"/>
        </w:rPr>
        <w:t>危险化学品的数量等于或超过表</w:t>
      </w:r>
      <w:r>
        <w:rPr>
          <w:rFonts w:ascii="宋体" w:hAnsi="宋体" w:cs="宋体"/>
          <w:kern w:val="2"/>
          <w:szCs w:val="28"/>
        </w:rPr>
        <w:t>1</w:t>
      </w:r>
      <w:r>
        <w:rPr>
          <w:rFonts w:hint="eastAsia" w:ascii="宋体" w:hAnsi="宋体" w:cs="宋体"/>
          <w:kern w:val="2"/>
          <w:szCs w:val="28"/>
        </w:rPr>
        <w:t>、表</w:t>
      </w:r>
      <w:r>
        <w:rPr>
          <w:rFonts w:ascii="宋体" w:hAnsi="宋体" w:cs="宋体"/>
          <w:kern w:val="2"/>
          <w:szCs w:val="28"/>
        </w:rPr>
        <w:t>2</w:t>
      </w:r>
      <w:r>
        <w:rPr>
          <w:rFonts w:hint="eastAsia" w:ascii="宋体" w:hAnsi="宋体" w:cs="宋体"/>
          <w:kern w:val="2"/>
          <w:szCs w:val="28"/>
        </w:rPr>
        <w:t>规定的临界量</w:t>
      </w:r>
      <w:r>
        <w:rPr>
          <w:rFonts w:ascii="宋体" w:hAnsi="宋体" w:cs="宋体"/>
          <w:kern w:val="2"/>
          <w:szCs w:val="28"/>
        </w:rPr>
        <w:t>,</w:t>
      </w:r>
      <w:r>
        <w:rPr>
          <w:rFonts w:hint="eastAsia" w:ascii="宋体" w:hAnsi="宋体" w:cs="宋体"/>
          <w:kern w:val="2"/>
          <w:szCs w:val="28"/>
        </w:rPr>
        <w:t>即被定为重大危险源。单元内存在的危险化学品的数量根据危险化学品种类的多少区分为以下两种情况</w:t>
      </w:r>
      <w:r>
        <w:rPr>
          <w:rFonts w:ascii="宋体" w:hAnsi="宋体" w:cs="宋体"/>
          <w:kern w:val="2"/>
          <w:szCs w:val="28"/>
        </w:rPr>
        <w:t>:</w:t>
      </w:r>
    </w:p>
    <w:p>
      <w:pPr>
        <w:widowControl w:val="0"/>
        <w:adjustRightInd/>
        <w:snapToGrid/>
        <w:spacing w:after="0" w:line="560" w:lineRule="exact"/>
        <w:ind w:firstLine="560"/>
        <w:jc w:val="both"/>
        <w:rPr>
          <w:rFonts w:ascii="宋体" w:hAnsi="宋体" w:cs="宋体"/>
          <w:kern w:val="2"/>
          <w:szCs w:val="28"/>
        </w:rPr>
      </w:pPr>
      <w:r>
        <w:rPr>
          <w:rFonts w:ascii="宋体" w:hAnsi="宋体" w:cs="宋体"/>
          <w:kern w:val="2"/>
          <w:szCs w:val="28"/>
        </w:rPr>
        <w:t>a)</w:t>
      </w:r>
      <w:r>
        <w:rPr>
          <w:rFonts w:hint="eastAsia" w:ascii="宋体" w:hAnsi="宋体" w:cs="宋体"/>
          <w:kern w:val="2"/>
          <w:szCs w:val="28"/>
        </w:rPr>
        <w:t>生产单元、储存单元内存在的危险化学品为单一品种时</w:t>
      </w:r>
      <w:r>
        <w:rPr>
          <w:rFonts w:ascii="宋体" w:hAnsi="宋体" w:cs="宋体"/>
          <w:kern w:val="2"/>
          <w:szCs w:val="28"/>
        </w:rPr>
        <w:t>,</w:t>
      </w:r>
      <w:r>
        <w:rPr>
          <w:rFonts w:hint="eastAsia" w:ascii="宋体" w:hAnsi="宋体" w:cs="宋体"/>
          <w:kern w:val="2"/>
          <w:szCs w:val="28"/>
        </w:rPr>
        <w:t>该危险化学品的数量即为单元内危险化学品的总量</w:t>
      </w:r>
      <w:r>
        <w:rPr>
          <w:rFonts w:ascii="宋体" w:hAnsi="宋体" w:cs="宋体"/>
          <w:kern w:val="2"/>
          <w:szCs w:val="28"/>
        </w:rPr>
        <w:t>,</w:t>
      </w:r>
      <w:r>
        <w:rPr>
          <w:rFonts w:hint="eastAsia" w:ascii="宋体" w:hAnsi="宋体" w:cs="宋体"/>
          <w:kern w:val="2"/>
          <w:szCs w:val="28"/>
        </w:rPr>
        <w:t>若等于或超过相应的临界量</w:t>
      </w:r>
      <w:r>
        <w:rPr>
          <w:rFonts w:ascii="宋体" w:hAnsi="宋体" w:cs="宋体"/>
          <w:kern w:val="2"/>
          <w:szCs w:val="28"/>
        </w:rPr>
        <w:t>,</w:t>
      </w:r>
      <w:r>
        <w:rPr>
          <w:rFonts w:hint="eastAsia" w:ascii="宋体" w:hAnsi="宋体" w:cs="宋体"/>
          <w:kern w:val="2"/>
          <w:szCs w:val="28"/>
        </w:rPr>
        <w:t>则定为重大危险源。</w:t>
      </w:r>
    </w:p>
    <w:p>
      <w:pPr>
        <w:widowControl w:val="0"/>
        <w:adjustRightInd/>
        <w:snapToGrid/>
        <w:spacing w:after="0" w:line="560" w:lineRule="exact"/>
        <w:ind w:firstLine="560"/>
        <w:jc w:val="both"/>
        <w:rPr>
          <w:rFonts w:ascii="宋体" w:hAnsi="宋体" w:cs="宋体"/>
          <w:kern w:val="2"/>
          <w:szCs w:val="28"/>
        </w:rPr>
      </w:pPr>
      <w:r>
        <w:rPr>
          <w:rFonts w:ascii="宋体" w:hAnsi="宋体" w:cs="宋体"/>
          <w:kern w:val="2"/>
          <w:szCs w:val="28"/>
        </w:rPr>
        <w:t xml:space="preserve">b) </w:t>
      </w:r>
      <w:r>
        <w:rPr>
          <w:rFonts w:hint="eastAsia" w:ascii="宋体" w:hAnsi="宋体" w:cs="宋体"/>
          <w:kern w:val="2"/>
          <w:szCs w:val="28"/>
        </w:rPr>
        <w:t>生产单元、储存单元内存在的危险化学品为多品种时</w:t>
      </w:r>
      <w:r>
        <w:rPr>
          <w:rFonts w:ascii="宋体" w:hAnsi="宋体" w:cs="宋体"/>
          <w:kern w:val="2"/>
          <w:szCs w:val="28"/>
        </w:rPr>
        <w:t>,</w:t>
      </w:r>
      <w:r>
        <w:rPr>
          <w:rFonts w:hint="eastAsia" w:ascii="宋体" w:hAnsi="宋体" w:cs="宋体"/>
          <w:kern w:val="2"/>
          <w:szCs w:val="28"/>
        </w:rPr>
        <w:t>按式</w:t>
      </w:r>
      <w:r>
        <w:rPr>
          <w:rFonts w:ascii="宋体" w:hAnsi="宋体" w:cs="宋体"/>
          <w:kern w:val="2"/>
          <w:szCs w:val="28"/>
        </w:rPr>
        <w:t>(1)</w:t>
      </w:r>
      <w:r>
        <w:rPr>
          <w:rFonts w:hint="eastAsia" w:ascii="宋体" w:hAnsi="宋体" w:cs="宋体"/>
          <w:kern w:val="2"/>
          <w:szCs w:val="28"/>
        </w:rPr>
        <w:t>计算</w:t>
      </w:r>
      <w:r>
        <w:rPr>
          <w:rFonts w:ascii="宋体" w:hAnsi="宋体" w:cs="宋体"/>
          <w:kern w:val="2"/>
          <w:szCs w:val="28"/>
        </w:rPr>
        <w:t>,</w:t>
      </w:r>
      <w:r>
        <w:rPr>
          <w:rFonts w:hint="eastAsia" w:ascii="宋体" w:hAnsi="宋体" w:cs="宋体"/>
          <w:kern w:val="2"/>
          <w:szCs w:val="28"/>
        </w:rPr>
        <w:t>若满足式</w:t>
      </w:r>
      <w:r>
        <w:rPr>
          <w:rFonts w:ascii="宋体" w:hAnsi="宋体" w:cs="宋体"/>
          <w:kern w:val="2"/>
          <w:szCs w:val="28"/>
        </w:rPr>
        <w:t>(1),</w:t>
      </w:r>
      <w:r>
        <w:rPr>
          <w:rFonts w:hint="eastAsia" w:ascii="宋体" w:hAnsi="宋体" w:cs="宋体"/>
          <w:kern w:val="2"/>
          <w:szCs w:val="28"/>
        </w:rPr>
        <w:t>则定为重大危险源</w:t>
      </w:r>
      <w:r>
        <w:rPr>
          <w:rFonts w:ascii="宋体" w:hAnsi="宋体" w:cs="宋体"/>
          <w:kern w:val="2"/>
          <w:szCs w:val="28"/>
        </w:rPr>
        <w:t>:</w:t>
      </w:r>
    </w:p>
    <w:p>
      <w:pPr>
        <w:widowControl w:val="0"/>
        <w:autoSpaceDE w:val="0"/>
        <w:autoSpaceDN w:val="0"/>
        <w:snapToGrid/>
        <w:spacing w:after="0" w:line="560" w:lineRule="exact"/>
        <w:ind w:firstLine="2100" w:firstLineChars="750"/>
        <w:jc w:val="both"/>
        <w:rPr>
          <w:rFonts w:ascii="宋体" w:hAnsi="宋体" w:cs="宋体"/>
          <w:szCs w:val="28"/>
        </w:rPr>
      </w:pPr>
      <w:r>
        <w:rPr>
          <w:rFonts w:ascii="宋体" w:hAnsi="宋体" w:cs="宋体"/>
          <w:szCs w:val="28"/>
        </w:rPr>
        <w:t>q</w:t>
      </w:r>
      <w:r>
        <w:rPr>
          <w:rFonts w:ascii="宋体" w:hAnsi="宋体" w:cs="宋体"/>
          <w:szCs w:val="28"/>
          <w:vertAlign w:val="subscript"/>
        </w:rPr>
        <w:t>1</w:t>
      </w:r>
      <w:r>
        <w:rPr>
          <w:rFonts w:ascii="宋体" w:hAnsi="宋体" w:cs="宋体"/>
          <w:szCs w:val="28"/>
        </w:rPr>
        <w:t>/Q</w:t>
      </w:r>
      <w:r>
        <w:rPr>
          <w:rFonts w:ascii="宋体" w:hAnsi="宋体" w:cs="宋体"/>
          <w:szCs w:val="28"/>
          <w:vertAlign w:val="subscript"/>
        </w:rPr>
        <w:t>1</w:t>
      </w:r>
      <w:r>
        <w:rPr>
          <w:rFonts w:ascii="宋体" w:hAnsi="宋体" w:cs="宋体"/>
          <w:szCs w:val="28"/>
        </w:rPr>
        <w:t>+ q</w:t>
      </w:r>
      <w:r>
        <w:rPr>
          <w:rFonts w:ascii="宋体" w:hAnsi="宋体" w:cs="宋体"/>
          <w:szCs w:val="28"/>
          <w:vertAlign w:val="subscript"/>
        </w:rPr>
        <w:t>2</w:t>
      </w:r>
      <w:r>
        <w:rPr>
          <w:rFonts w:ascii="宋体" w:hAnsi="宋体" w:cs="宋体"/>
          <w:szCs w:val="28"/>
        </w:rPr>
        <w:t>/Q</w:t>
      </w:r>
      <w:r>
        <w:rPr>
          <w:rFonts w:ascii="宋体" w:hAnsi="宋体" w:cs="宋体"/>
          <w:szCs w:val="28"/>
          <w:vertAlign w:val="subscript"/>
        </w:rPr>
        <w:t>2</w:t>
      </w:r>
      <w:r>
        <w:rPr>
          <w:rFonts w:ascii="宋体" w:hAnsi="宋体" w:cs="宋体"/>
          <w:szCs w:val="28"/>
        </w:rPr>
        <w:t>+</w:t>
      </w:r>
      <w:r>
        <w:rPr>
          <w:rFonts w:hint="eastAsia" w:ascii="宋体" w:hAnsi="宋体" w:cs="宋体"/>
          <w:szCs w:val="28"/>
        </w:rPr>
        <w:t>……</w:t>
      </w:r>
      <w:r>
        <w:rPr>
          <w:rFonts w:ascii="宋体" w:hAnsi="宋体" w:cs="宋体"/>
          <w:szCs w:val="28"/>
        </w:rPr>
        <w:t>+ q</w:t>
      </w:r>
      <w:r>
        <w:rPr>
          <w:rFonts w:ascii="宋体" w:hAnsi="宋体" w:cs="宋体"/>
          <w:szCs w:val="28"/>
          <w:vertAlign w:val="subscript"/>
        </w:rPr>
        <w:t xml:space="preserve">n </w:t>
      </w:r>
      <w:r>
        <w:rPr>
          <w:rFonts w:ascii="宋体" w:hAnsi="宋体" w:cs="宋体"/>
          <w:szCs w:val="28"/>
        </w:rPr>
        <w:t>/Q</w:t>
      </w:r>
      <w:r>
        <w:rPr>
          <w:rFonts w:ascii="宋体" w:hAnsi="宋体" w:cs="宋体"/>
          <w:szCs w:val="28"/>
          <w:vertAlign w:val="subscript"/>
        </w:rPr>
        <w:t>N</w:t>
      </w:r>
      <w:r>
        <w:rPr>
          <w:rFonts w:hint="eastAsia" w:ascii="宋体" w:hAnsi="宋体" w:cs="宋体"/>
          <w:szCs w:val="28"/>
        </w:rPr>
        <w:t>≥</w:t>
      </w:r>
      <w:r>
        <w:rPr>
          <w:rFonts w:ascii="宋体" w:hAnsi="宋体" w:cs="宋体"/>
          <w:szCs w:val="28"/>
        </w:rPr>
        <w:t xml:space="preserve">1 </w:t>
      </w:r>
      <w:r>
        <w:rPr>
          <w:rFonts w:hint="eastAsia" w:ascii="宋体" w:hAnsi="宋体" w:cs="宋体"/>
          <w:szCs w:val="28"/>
        </w:rPr>
        <w:t>（</w:t>
      </w:r>
      <w:r>
        <w:rPr>
          <w:rFonts w:ascii="宋体" w:hAnsi="宋体" w:cs="宋体"/>
          <w:szCs w:val="28"/>
        </w:rPr>
        <w:t>1</w:t>
      </w:r>
      <w:r>
        <w:rPr>
          <w:rFonts w:hint="eastAsia" w:ascii="宋体" w:hAnsi="宋体" w:cs="宋体"/>
          <w:szCs w:val="28"/>
        </w:rPr>
        <w:t>）</w:t>
      </w:r>
    </w:p>
    <w:p>
      <w:pPr>
        <w:widowControl w:val="0"/>
        <w:autoSpaceDE w:val="0"/>
        <w:autoSpaceDN w:val="0"/>
        <w:snapToGrid/>
        <w:spacing w:after="0" w:line="560" w:lineRule="exact"/>
        <w:ind w:firstLine="560"/>
        <w:jc w:val="both"/>
        <w:rPr>
          <w:rFonts w:ascii="宋体" w:hAnsi="宋体" w:cs="宋体"/>
          <w:szCs w:val="28"/>
        </w:rPr>
      </w:pPr>
      <w:r>
        <w:rPr>
          <w:rFonts w:hint="eastAsia" w:ascii="宋体" w:hAnsi="宋体" w:cs="宋体"/>
          <w:szCs w:val="28"/>
        </w:rPr>
        <w:t>式中</w:t>
      </w:r>
    </w:p>
    <w:p>
      <w:pPr>
        <w:widowControl w:val="0"/>
        <w:autoSpaceDE w:val="0"/>
        <w:autoSpaceDN w:val="0"/>
        <w:snapToGrid/>
        <w:spacing w:after="0" w:line="560" w:lineRule="exact"/>
        <w:ind w:firstLine="560"/>
        <w:jc w:val="both"/>
        <w:rPr>
          <w:rFonts w:ascii="宋体" w:hAnsi="宋体" w:cs="宋体"/>
          <w:szCs w:val="28"/>
        </w:rPr>
      </w:pPr>
      <w:r>
        <w:rPr>
          <w:rFonts w:ascii="宋体" w:hAnsi="宋体" w:cs="宋体"/>
          <w:szCs w:val="28"/>
        </w:rPr>
        <w:t>q</w:t>
      </w:r>
      <w:r>
        <w:rPr>
          <w:rFonts w:ascii="宋体" w:hAnsi="宋体" w:cs="宋体"/>
          <w:szCs w:val="28"/>
          <w:vertAlign w:val="subscript"/>
        </w:rPr>
        <w:t>1</w:t>
      </w:r>
      <w:r>
        <w:rPr>
          <w:rFonts w:hint="eastAsia" w:ascii="宋体" w:hAnsi="宋体" w:cs="宋体"/>
          <w:szCs w:val="28"/>
        </w:rPr>
        <w:t>，</w:t>
      </w:r>
      <w:r>
        <w:rPr>
          <w:rFonts w:ascii="宋体" w:hAnsi="宋体" w:cs="宋体"/>
          <w:szCs w:val="28"/>
        </w:rPr>
        <w:t>q</w:t>
      </w:r>
      <w:r>
        <w:rPr>
          <w:rFonts w:ascii="宋体" w:hAnsi="宋体" w:cs="宋体"/>
          <w:szCs w:val="28"/>
          <w:vertAlign w:val="subscript"/>
        </w:rPr>
        <w:t>2</w:t>
      </w:r>
      <w:r>
        <w:rPr>
          <w:rFonts w:hint="eastAsia" w:ascii="宋体" w:hAnsi="宋体" w:cs="宋体"/>
          <w:szCs w:val="28"/>
        </w:rPr>
        <w:t>，…</w:t>
      </w:r>
      <w:r>
        <w:rPr>
          <w:rFonts w:ascii="宋体" w:hAnsi="宋体" w:cs="宋体"/>
          <w:szCs w:val="28"/>
        </w:rPr>
        <w:t xml:space="preserve"> </w:t>
      </w:r>
      <w:r>
        <w:rPr>
          <w:rFonts w:hint="eastAsia" w:ascii="宋体" w:hAnsi="宋体" w:cs="宋体"/>
          <w:szCs w:val="28"/>
        </w:rPr>
        <w:t>，</w:t>
      </w:r>
      <w:r>
        <w:rPr>
          <w:rFonts w:ascii="宋体" w:hAnsi="宋体" w:cs="宋体"/>
          <w:szCs w:val="28"/>
        </w:rPr>
        <w:t xml:space="preserve">q </w:t>
      </w:r>
      <w:r>
        <w:rPr>
          <w:rFonts w:ascii="宋体" w:hAnsi="宋体" w:cs="宋体"/>
          <w:szCs w:val="28"/>
          <w:vertAlign w:val="subscript"/>
        </w:rPr>
        <w:t>n</w:t>
      </w:r>
      <w:r>
        <w:rPr>
          <w:rFonts w:ascii="宋体" w:hAnsi="宋体" w:cs="宋体"/>
          <w:szCs w:val="28"/>
        </w:rPr>
        <w:t>—</w:t>
      </w:r>
      <w:r>
        <w:rPr>
          <w:rFonts w:hint="eastAsia" w:ascii="宋体" w:hAnsi="宋体" w:cs="宋体"/>
          <w:szCs w:val="28"/>
        </w:rPr>
        <w:t>－每种危险化学品实际存在量，单位为吨（</w:t>
      </w:r>
      <w:r>
        <w:rPr>
          <w:rFonts w:ascii="宋体" w:hAnsi="宋体" w:cs="宋体"/>
          <w:szCs w:val="28"/>
        </w:rPr>
        <w:t>t</w:t>
      </w:r>
      <w:r>
        <w:rPr>
          <w:rFonts w:hint="eastAsia" w:ascii="宋体" w:hAnsi="宋体" w:cs="宋体"/>
          <w:szCs w:val="28"/>
        </w:rPr>
        <w:t>）；</w:t>
      </w:r>
    </w:p>
    <w:p>
      <w:pPr>
        <w:widowControl w:val="0"/>
        <w:adjustRightInd/>
        <w:snapToGrid/>
        <w:spacing w:after="0" w:line="560" w:lineRule="exact"/>
        <w:ind w:firstLine="560" w:firstLineChars="200"/>
        <w:jc w:val="both"/>
        <w:rPr>
          <w:rFonts w:ascii="宋体" w:hAnsi="宋体" w:cs="宋体"/>
          <w:b/>
          <w:szCs w:val="28"/>
        </w:rPr>
      </w:pPr>
      <w:r>
        <w:rPr>
          <w:rFonts w:ascii="宋体" w:hAnsi="宋体" w:cs="宋体"/>
          <w:szCs w:val="28"/>
        </w:rPr>
        <w:t>Q</w:t>
      </w:r>
      <w:r>
        <w:rPr>
          <w:rFonts w:ascii="宋体" w:hAnsi="宋体" w:cs="宋体"/>
          <w:szCs w:val="28"/>
          <w:vertAlign w:val="subscript"/>
        </w:rPr>
        <w:t>1</w:t>
      </w:r>
      <w:r>
        <w:rPr>
          <w:rFonts w:hint="eastAsia" w:ascii="宋体" w:hAnsi="宋体" w:cs="宋体"/>
          <w:szCs w:val="28"/>
        </w:rPr>
        <w:t>，</w:t>
      </w:r>
      <w:r>
        <w:rPr>
          <w:rFonts w:ascii="宋体" w:hAnsi="宋体" w:cs="宋体"/>
          <w:szCs w:val="28"/>
        </w:rPr>
        <w:t>Q</w:t>
      </w:r>
      <w:r>
        <w:rPr>
          <w:rFonts w:ascii="宋体" w:hAnsi="宋体" w:cs="宋体"/>
          <w:szCs w:val="28"/>
          <w:vertAlign w:val="subscript"/>
        </w:rPr>
        <w:t>2</w:t>
      </w:r>
      <w:r>
        <w:rPr>
          <w:rFonts w:hint="eastAsia" w:ascii="宋体" w:hAnsi="宋体" w:cs="宋体"/>
          <w:szCs w:val="28"/>
        </w:rPr>
        <w:t>，，…，</w:t>
      </w:r>
      <w:r>
        <w:rPr>
          <w:rFonts w:ascii="宋体" w:hAnsi="宋体" w:cs="宋体"/>
          <w:szCs w:val="28"/>
        </w:rPr>
        <w:t>Q</w:t>
      </w:r>
      <w:r>
        <w:rPr>
          <w:rFonts w:ascii="宋体" w:hAnsi="宋体" w:cs="宋体"/>
          <w:szCs w:val="28"/>
          <w:vertAlign w:val="subscript"/>
        </w:rPr>
        <w:t>N</w:t>
      </w:r>
      <w:r>
        <w:rPr>
          <w:rFonts w:ascii="宋体" w:hAnsi="宋体" w:cs="宋体"/>
          <w:szCs w:val="28"/>
        </w:rPr>
        <w:t>—</w:t>
      </w:r>
      <w:r>
        <w:rPr>
          <w:rFonts w:hint="eastAsia" w:ascii="宋体" w:hAnsi="宋体" w:cs="宋体"/>
          <w:szCs w:val="28"/>
        </w:rPr>
        <w:t>－与各危险化学品相对应的临界量，单位为吨（</w:t>
      </w:r>
      <w:r>
        <w:rPr>
          <w:rFonts w:ascii="宋体" w:hAnsi="宋体" w:cs="宋体"/>
          <w:szCs w:val="28"/>
        </w:rPr>
        <w:t>t</w:t>
      </w:r>
      <w:r>
        <w:rPr>
          <w:rFonts w:hint="eastAsia" w:ascii="宋体" w:hAnsi="宋体" w:cs="宋体"/>
          <w:szCs w:val="28"/>
        </w:rPr>
        <w:t>）。</w:t>
      </w:r>
    </w:p>
    <w:p>
      <w:pPr>
        <w:ind w:firstLine="562"/>
        <w:rPr>
          <w:rFonts w:ascii="宋体" w:hAnsi="宋体" w:cs="宋体"/>
          <w:b/>
          <w:szCs w:val="28"/>
        </w:rPr>
      </w:pPr>
      <w:r>
        <w:rPr>
          <w:rFonts w:ascii="宋体" w:hAnsi="宋体" w:cs="宋体"/>
          <w:b/>
          <w:szCs w:val="28"/>
        </w:rPr>
        <w:t>3.2</w:t>
      </w:r>
      <w:r>
        <w:rPr>
          <w:rFonts w:hint="eastAsia" w:ascii="宋体" w:hAnsi="宋体" w:cs="宋体"/>
          <w:b/>
          <w:szCs w:val="28"/>
        </w:rPr>
        <w:t>重大危险源辨识与分析</w:t>
      </w:r>
    </w:p>
    <w:p>
      <w:pPr>
        <w:ind w:firstLine="560"/>
      </w:pPr>
    </w:p>
    <w:p>
      <w:pPr>
        <w:spacing w:line="360" w:lineRule="auto"/>
        <w:ind w:firstLine="562" w:firstLineChars="200"/>
        <w:jc w:val="center"/>
        <w:rPr>
          <w:rFonts w:ascii="宋体" w:hAnsi="宋体" w:cs="宋体"/>
          <w:b/>
          <w:szCs w:val="28"/>
        </w:rPr>
      </w:pPr>
      <w:r>
        <w:rPr>
          <w:rFonts w:hint="eastAsia" w:ascii="宋体" w:hAnsi="宋体" w:cs="宋体"/>
          <w:b/>
          <w:szCs w:val="28"/>
        </w:rPr>
        <w:t>附录A表4危险化学品辨识临界量</w:t>
      </w:r>
    </w:p>
    <w:tbl>
      <w:tblPr>
        <w:tblStyle w:val="42"/>
        <w:tblW w:w="775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9"/>
        <w:gridCol w:w="3583"/>
        <w:gridCol w:w="1513"/>
        <w:gridCol w:w="19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709" w:type="dxa"/>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序号</w:t>
            </w:r>
          </w:p>
        </w:tc>
        <w:tc>
          <w:tcPr>
            <w:tcW w:w="3583" w:type="dxa"/>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依据</w:t>
            </w:r>
          </w:p>
        </w:tc>
        <w:tc>
          <w:tcPr>
            <w:tcW w:w="1513" w:type="dxa"/>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物质名称</w:t>
            </w:r>
          </w:p>
        </w:tc>
        <w:tc>
          <w:tcPr>
            <w:tcW w:w="1952" w:type="dxa"/>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临界量（t）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6" w:hRule="atLeast"/>
          <w:jc w:val="center"/>
        </w:trPr>
        <w:tc>
          <w:tcPr>
            <w:tcW w:w="709" w:type="dxa"/>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1</w:t>
            </w:r>
          </w:p>
        </w:tc>
        <w:tc>
          <w:tcPr>
            <w:tcW w:w="3583" w:type="dxa"/>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napToGrid w:val="0"/>
                <w:szCs w:val="21"/>
              </w:rPr>
              <w:t>易燃气体</w:t>
            </w:r>
          </w:p>
        </w:tc>
        <w:tc>
          <w:tcPr>
            <w:tcW w:w="1513" w:type="dxa"/>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天然气</w:t>
            </w:r>
          </w:p>
        </w:tc>
        <w:tc>
          <w:tcPr>
            <w:tcW w:w="1952" w:type="dxa"/>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50</w:t>
            </w:r>
          </w:p>
        </w:tc>
      </w:tr>
    </w:tbl>
    <w:p>
      <w:pPr>
        <w:spacing w:line="560" w:lineRule="exact"/>
        <w:ind w:firstLine="560"/>
      </w:pPr>
    </w:p>
    <w:p>
      <w:pPr>
        <w:spacing w:line="560" w:lineRule="exact"/>
        <w:ind w:firstLine="560" w:firstLineChars="200"/>
        <w:rPr>
          <w:rFonts w:ascii="宋体" w:hAnsi="宋体" w:cs="宋体"/>
          <w:szCs w:val="28"/>
        </w:rPr>
      </w:pPr>
      <w:r>
        <w:rPr>
          <w:rFonts w:hint="eastAsia" w:ascii="宋体" w:hAnsi="宋体" w:cs="宋体"/>
          <w:szCs w:val="28"/>
        </w:rPr>
        <w:t>该重大危险源辨识主要物质为天然气，企业储配站内管储长度1.138公里，管径1016</w:t>
      </w:r>
      <w:r>
        <w:rPr>
          <w:rFonts w:ascii="宋体" w:hAnsi="宋体" w:cs="宋体"/>
          <w:szCs w:val="28"/>
        </w:rPr>
        <w:t>mm</w:t>
      </w:r>
      <w:r>
        <w:rPr>
          <w:rFonts w:hint="eastAsia" w:ascii="宋体" w:hAnsi="宋体" w:cs="宋体"/>
          <w:szCs w:val="28"/>
        </w:rPr>
        <w:t>，压力3.99MPa，标准大气压天然气密度：0.7174kg/m³，计算管储天然气为2</w:t>
      </w:r>
      <w:r>
        <w:rPr>
          <w:rFonts w:ascii="宋体" w:hAnsi="宋体" w:cs="宋体"/>
          <w:szCs w:val="28"/>
        </w:rPr>
        <w:t>6.4T</w:t>
      </w:r>
      <w:r>
        <w:rPr>
          <w:rFonts w:hint="eastAsia" w:ascii="宋体" w:hAnsi="宋体" w:cs="宋体"/>
          <w:szCs w:val="28"/>
        </w:rPr>
        <w:t>，小于临界量50t。</w:t>
      </w:r>
    </w:p>
    <w:p>
      <w:pPr>
        <w:spacing w:line="560" w:lineRule="exact"/>
        <w:ind w:firstLine="560" w:firstLineChars="200"/>
        <w:rPr>
          <w:rFonts w:hint="eastAsia" w:ascii="宋体" w:hAnsi="宋体" w:cs="宋体"/>
          <w:szCs w:val="28"/>
        </w:rPr>
      </w:pPr>
      <w:r>
        <w:rPr>
          <w:rFonts w:hint="eastAsia" w:ascii="宋体" w:hAnsi="宋体" w:cs="宋体"/>
          <w:szCs w:val="28"/>
        </w:rPr>
        <w:t>根据GBl8218-2018《危险化学品重大危险源辨识》标准进行辨识分析，</w:t>
      </w:r>
      <w:r>
        <w:rPr>
          <w:rFonts w:hint="eastAsia" w:ascii="宋体" w:hAnsi="宋体"/>
          <w:kern w:val="2"/>
          <w:sz w:val="24"/>
          <w:szCs w:val="24"/>
          <w:lang w:val="en-US" w:eastAsia="zh-CN"/>
        </w:rPr>
        <w:t>四川省</w:t>
      </w:r>
      <w:r>
        <w:rPr>
          <w:rFonts w:hint="eastAsia" w:ascii="宋体" w:hAnsi="宋体" w:cs="宋体"/>
          <w:szCs w:val="28"/>
        </w:rPr>
        <w:t>南部县天然气有限责任公司不构成危险化学品重大危险源</w:t>
      </w:r>
      <w:r>
        <w:rPr>
          <w:rFonts w:hint="eastAsia" w:ascii="宋体" w:hAnsi="宋体" w:cs="宋体"/>
          <w:szCs w:val="28"/>
        </w:rPr>
        <w:t>。</w:t>
      </w:r>
    </w:p>
    <w:p>
      <w:pPr>
        <w:pStyle w:val="19"/>
        <w:spacing w:line="560" w:lineRule="exact"/>
        <w:ind w:firstLine="420"/>
      </w:pPr>
    </w:p>
    <w:p>
      <w:pPr>
        <w:pStyle w:val="6"/>
        <w:rPr>
          <w:b w:val="0"/>
          <w:bCs w:val="0"/>
        </w:rPr>
      </w:pPr>
      <w:bookmarkStart w:id="397" w:name="section16"/>
      <w:bookmarkEnd w:id="397"/>
      <w:bookmarkStart w:id="398" w:name="section3"/>
      <w:bookmarkEnd w:id="398"/>
      <w:bookmarkStart w:id="399" w:name="section4"/>
      <w:bookmarkEnd w:id="399"/>
      <w:bookmarkStart w:id="400" w:name="section10"/>
      <w:bookmarkEnd w:id="400"/>
      <w:bookmarkStart w:id="401" w:name="section7"/>
      <w:bookmarkEnd w:id="401"/>
      <w:bookmarkStart w:id="402" w:name="section8"/>
      <w:bookmarkEnd w:id="402"/>
      <w:bookmarkStart w:id="403" w:name="section14"/>
      <w:bookmarkEnd w:id="403"/>
      <w:bookmarkStart w:id="404" w:name="section6"/>
      <w:bookmarkEnd w:id="404"/>
      <w:bookmarkStart w:id="405" w:name="section5"/>
      <w:bookmarkEnd w:id="405"/>
      <w:bookmarkStart w:id="406" w:name="section11"/>
      <w:bookmarkEnd w:id="406"/>
      <w:bookmarkStart w:id="407" w:name="_Toc80537567"/>
      <w:bookmarkStart w:id="408" w:name="_Toc101798344"/>
      <w:bookmarkStart w:id="409" w:name="_Toc344298892"/>
      <w:bookmarkStart w:id="410" w:name="_Toc313453544"/>
      <w:bookmarkStart w:id="411" w:name="_Toc335838560"/>
      <w:r>
        <w:rPr>
          <w:rFonts w:hint="eastAsia"/>
        </w:rPr>
        <w:t>三、事故风险评价</w:t>
      </w:r>
      <w:bookmarkEnd w:id="407"/>
      <w:bookmarkEnd w:id="408"/>
    </w:p>
    <w:p>
      <w:pPr>
        <w:pStyle w:val="25"/>
        <w:spacing w:line="560" w:lineRule="exact"/>
        <w:ind w:firstLine="560"/>
        <w:rPr>
          <w:rFonts w:ascii="宋体" w:cs="宋体"/>
        </w:rPr>
      </w:pPr>
      <w:r>
        <w:rPr>
          <w:rFonts w:hint="eastAsia" w:ascii="宋体" w:hAnsi="宋体" w:cs="宋体"/>
        </w:rPr>
        <w:t>针对本企业燃气经营活动中的故事风险情况，可采用作业条件</w:t>
      </w:r>
      <w:r>
        <w:rPr>
          <w:rFonts w:hint="eastAsia" w:ascii="宋体" w:hAnsi="宋体" w:cs="宋体"/>
          <w:lang w:val="zh-CN"/>
        </w:rPr>
        <w:t>危险性评价法对</w:t>
      </w:r>
      <w:r>
        <w:rPr>
          <w:rFonts w:hint="eastAsia" w:ascii="宋体" w:hAnsi="宋体" w:cs="宋体"/>
        </w:rPr>
        <w:t>主要作业进行评价，从而对</w:t>
      </w:r>
      <w:r>
        <w:rPr>
          <w:rFonts w:hint="eastAsia" w:ascii="宋体" w:hAnsi="宋体" w:cs="宋体"/>
          <w:lang w:val="zh-CN"/>
        </w:rPr>
        <w:t>潜在事故风险</w:t>
      </w:r>
      <w:r>
        <w:rPr>
          <w:rFonts w:hint="eastAsia" w:ascii="宋体" w:hAnsi="宋体" w:cs="宋体"/>
        </w:rPr>
        <w:t>的危险性进行量化。量化值（</w:t>
      </w:r>
      <w:r>
        <w:rPr>
          <w:rFonts w:ascii="宋体" w:hAnsi="宋体" w:cs="宋体"/>
        </w:rPr>
        <w:t>D</w:t>
      </w:r>
      <w:r>
        <w:rPr>
          <w:rFonts w:hint="eastAsia" w:ascii="宋体" w:hAnsi="宋体" w:cs="宋体"/>
        </w:rPr>
        <w:t>）取决于三个因素：</w:t>
      </w:r>
      <w:r>
        <w:rPr>
          <w:rFonts w:ascii="宋体" w:hAnsi="宋体" w:cs="宋体"/>
        </w:rPr>
        <w:t xml:space="preserve">     </w:t>
      </w:r>
    </w:p>
    <w:p>
      <w:pPr>
        <w:pStyle w:val="25"/>
        <w:spacing w:line="560" w:lineRule="exact"/>
        <w:ind w:firstLine="560"/>
        <w:rPr>
          <w:rFonts w:ascii="宋体" w:cs="宋体"/>
        </w:rPr>
      </w:pPr>
      <w:r>
        <w:rPr>
          <w:rFonts w:ascii="宋体" w:hAnsi="宋体" w:cs="宋体"/>
        </w:rPr>
        <w:t>1</w:t>
      </w:r>
      <w:r>
        <w:rPr>
          <w:rFonts w:hint="eastAsia" w:ascii="宋体" w:hAnsi="宋体" w:cs="宋体"/>
        </w:rPr>
        <w:t>、事故发生的可能性（</w:t>
      </w:r>
      <w:r>
        <w:rPr>
          <w:rFonts w:ascii="宋体" w:hAnsi="宋体" w:cs="宋体"/>
        </w:rPr>
        <w:t>L</w:t>
      </w:r>
      <w:r>
        <w:rPr>
          <w:rFonts w:hint="eastAsia" w:ascii="宋体" w:hAnsi="宋体" w:cs="宋体"/>
        </w:rPr>
        <w:t>）；</w:t>
      </w:r>
    </w:p>
    <w:p>
      <w:pPr>
        <w:pStyle w:val="25"/>
        <w:spacing w:line="560" w:lineRule="exact"/>
        <w:ind w:firstLine="560"/>
        <w:rPr>
          <w:rFonts w:ascii="宋体" w:cs="宋体"/>
        </w:rPr>
      </w:pPr>
      <w:r>
        <w:rPr>
          <w:rFonts w:ascii="宋体" w:hAnsi="宋体" w:cs="宋体"/>
        </w:rPr>
        <w:t>2</w:t>
      </w:r>
      <w:r>
        <w:rPr>
          <w:rFonts w:hint="eastAsia" w:ascii="宋体" w:hAnsi="宋体" w:cs="宋体"/>
        </w:rPr>
        <w:t>、作业人员暴露在危险作业环境的频繁程度（</w:t>
      </w:r>
      <w:r>
        <w:rPr>
          <w:rFonts w:ascii="宋体" w:hAnsi="宋体" w:cs="宋体"/>
        </w:rPr>
        <w:t>E</w:t>
      </w:r>
      <w:r>
        <w:rPr>
          <w:rFonts w:hint="eastAsia" w:ascii="宋体" w:hAnsi="宋体" w:cs="宋体"/>
        </w:rPr>
        <w:t>）；</w:t>
      </w:r>
    </w:p>
    <w:p>
      <w:pPr>
        <w:pStyle w:val="25"/>
        <w:spacing w:line="360" w:lineRule="auto"/>
        <w:ind w:firstLine="560"/>
        <w:rPr>
          <w:rFonts w:ascii="宋体" w:cs="宋体"/>
        </w:rPr>
      </w:pPr>
      <w:r>
        <w:rPr>
          <w:rFonts w:ascii="宋体" w:hAnsi="宋体" w:cs="宋体"/>
        </w:rPr>
        <w:t>3</w:t>
      </w:r>
      <w:r>
        <w:rPr>
          <w:rFonts w:hint="eastAsia" w:ascii="宋体" w:hAnsi="宋体" w:cs="宋体"/>
        </w:rPr>
        <w:t>、一旦发生事故可能造成后果的严重程度（</w:t>
      </w:r>
      <w:r>
        <w:rPr>
          <w:rFonts w:ascii="宋体" w:hAnsi="宋体" w:cs="宋体"/>
        </w:rPr>
        <w:t>C</w:t>
      </w:r>
      <w:r>
        <w:rPr>
          <w:rFonts w:hint="eastAsia" w:ascii="宋体" w:hAnsi="宋体" w:cs="宋体"/>
        </w:rPr>
        <w:t>）。用简化公式来表示就是：</w:t>
      </w:r>
    </w:p>
    <w:p>
      <w:pPr>
        <w:pStyle w:val="25"/>
        <w:spacing w:line="360" w:lineRule="auto"/>
        <w:ind w:firstLine="560"/>
        <w:rPr>
          <w:rFonts w:hint="eastAsia" w:ascii="宋体" w:hAnsi="宋体" w:cs="宋体"/>
        </w:rPr>
      </w:pPr>
      <w:r>
        <w:rPr>
          <w:rFonts w:hint="eastAsia" w:ascii="宋体" w:hAnsi="宋体" w:cs="宋体"/>
        </w:rPr>
        <w:t>D=L×E×C</w:t>
      </w:r>
    </w:p>
    <w:p>
      <w:pPr>
        <w:pStyle w:val="25"/>
        <w:spacing w:line="360" w:lineRule="auto"/>
        <w:ind w:firstLine="560"/>
        <w:rPr>
          <w:rFonts w:ascii="宋体" w:cs="宋体"/>
        </w:rPr>
      </w:pPr>
      <w:r>
        <w:rPr>
          <w:rFonts w:hint="eastAsia" w:ascii="宋体" w:hAnsi="宋体" w:cs="宋体"/>
        </w:rPr>
        <w:t>其中</w:t>
      </w:r>
      <w:r>
        <w:rPr>
          <w:rFonts w:ascii="宋体" w:hAnsi="宋体" w:cs="宋体"/>
        </w:rPr>
        <w:t>D</w:t>
      </w:r>
      <w:r>
        <w:rPr>
          <w:rFonts w:hint="eastAsia" w:ascii="宋体" w:hAnsi="宋体" w:cs="宋体"/>
        </w:rPr>
        <w:t>值越大，作业的危险性就越大。作业条件的危险性</w:t>
      </w:r>
      <w:r>
        <w:rPr>
          <w:rFonts w:ascii="宋体" w:hAnsi="宋体" w:cs="宋体"/>
        </w:rPr>
        <w:t>D</w:t>
      </w:r>
      <w:r>
        <w:rPr>
          <w:rFonts w:hint="eastAsia" w:ascii="宋体" w:hAnsi="宋体" w:cs="宋体"/>
        </w:rPr>
        <w:t>值的等级划分见下表所示</w:t>
      </w:r>
      <w:bookmarkStart w:id="412" w:name="_Toc227074566"/>
      <w:r>
        <w:rPr>
          <w:rFonts w:hint="eastAsia" w:ascii="宋体" w:hAnsi="宋体" w:cs="宋体"/>
        </w:rPr>
        <w:t>。</w:t>
      </w:r>
    </w:p>
    <w:bookmarkEnd w:id="412"/>
    <w:p>
      <w:pPr>
        <w:spacing w:line="360" w:lineRule="auto"/>
        <w:ind w:firstLine="560"/>
        <w:jc w:val="center"/>
        <w:rPr>
          <w:rFonts w:ascii="宋体" w:hAnsi="宋体" w:cs="宋体"/>
          <w:szCs w:val="28"/>
        </w:rPr>
      </w:pPr>
    </w:p>
    <w:p>
      <w:pPr>
        <w:spacing w:line="360" w:lineRule="auto"/>
        <w:ind w:firstLine="562"/>
        <w:jc w:val="center"/>
        <w:rPr>
          <w:rFonts w:ascii="宋体"/>
          <w:b/>
          <w:sz w:val="24"/>
        </w:rPr>
      </w:pPr>
      <w:r>
        <w:rPr>
          <w:rFonts w:hint="eastAsia" w:ascii="宋体" w:hAnsi="宋体" w:cs="宋体"/>
          <w:b/>
          <w:szCs w:val="28"/>
        </w:rPr>
        <w:t>表</w:t>
      </w:r>
      <w:r>
        <w:rPr>
          <w:rFonts w:ascii="宋体" w:hAnsi="宋体" w:cs="宋体"/>
          <w:b/>
          <w:szCs w:val="28"/>
        </w:rPr>
        <w:t>3-1</w:t>
      </w:r>
      <w:r>
        <w:rPr>
          <w:rFonts w:hint="eastAsia" w:ascii="宋体" w:hAnsi="宋体" w:cs="宋体"/>
          <w:b/>
          <w:szCs w:val="28"/>
        </w:rPr>
        <w:t>危险性等级划分表</w:t>
      </w:r>
      <w:r>
        <w:rPr>
          <w:rFonts w:ascii="宋体" w:hAnsi="宋体" w:cs="宋体"/>
          <w:b/>
          <w:szCs w:val="28"/>
        </w:rPr>
        <w:t xml:space="preserve">   </w:t>
      </w:r>
      <w:r>
        <w:rPr>
          <w:rFonts w:ascii="宋体" w:hAnsi="宋体" w:cs="宋体"/>
          <w:b/>
          <w:bCs/>
          <w:sz w:val="24"/>
          <w:szCs w:val="24"/>
        </w:rPr>
        <w:t xml:space="preserve">  </w:t>
      </w:r>
      <w:r>
        <w:rPr>
          <w:rFonts w:ascii="宋体" w:hAnsi="宋体"/>
          <w:b/>
          <w:bCs/>
          <w:sz w:val="24"/>
          <w:szCs w:val="24"/>
        </w:rPr>
        <w:t xml:space="preserve"> </w:t>
      </w:r>
      <w:r>
        <w:rPr>
          <w:rFonts w:ascii="宋体" w:hAnsi="宋体"/>
          <w:b/>
          <w:sz w:val="24"/>
        </w:rPr>
        <w:t xml:space="preserve">   </w:t>
      </w:r>
    </w:p>
    <w:tbl>
      <w:tblPr>
        <w:tblStyle w:val="42"/>
        <w:tblW w:w="890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31"/>
        <w:gridCol w:w="1477"/>
        <w:gridCol w:w="1477"/>
        <w:gridCol w:w="1477"/>
        <w:gridCol w:w="1477"/>
        <w:gridCol w:w="12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1731" w:type="dxa"/>
            <w:tcBorders>
              <w:top w:val="single" w:color="auto" w:sz="12" w:space="0"/>
            </w:tcBorders>
            <w:vAlign w:val="center"/>
          </w:tcPr>
          <w:p>
            <w:pPr>
              <w:pStyle w:val="22"/>
              <w:adjustRightInd w:val="0"/>
              <w:snapToGrid w:val="0"/>
              <w:ind w:right="-57"/>
              <w:jc w:val="center"/>
              <w:rPr>
                <w:rFonts w:hAnsi="宋体"/>
                <w:szCs w:val="21"/>
              </w:rPr>
            </w:pPr>
            <w:r>
              <w:rPr>
                <w:rFonts w:hint="eastAsia" w:hAnsi="宋体"/>
                <w:szCs w:val="21"/>
              </w:rPr>
              <w:t>危险性分值（</w:t>
            </w:r>
            <w:r>
              <w:rPr>
                <w:rFonts w:hAnsi="宋体"/>
                <w:szCs w:val="21"/>
              </w:rPr>
              <w:t>D</w:t>
            </w:r>
            <w:r>
              <w:rPr>
                <w:rFonts w:hint="eastAsia" w:hAnsi="宋体"/>
                <w:szCs w:val="21"/>
              </w:rPr>
              <w:t>）</w:t>
            </w:r>
          </w:p>
        </w:tc>
        <w:tc>
          <w:tcPr>
            <w:tcW w:w="1477" w:type="dxa"/>
            <w:tcBorders>
              <w:top w:val="single" w:color="auto" w:sz="12" w:space="0"/>
            </w:tcBorders>
            <w:vAlign w:val="center"/>
          </w:tcPr>
          <w:p>
            <w:pPr>
              <w:pStyle w:val="22"/>
              <w:adjustRightInd w:val="0"/>
              <w:snapToGrid w:val="0"/>
              <w:jc w:val="center"/>
              <w:rPr>
                <w:rFonts w:hAnsi="宋体"/>
                <w:szCs w:val="21"/>
              </w:rPr>
            </w:pPr>
            <w:r>
              <w:rPr>
                <w:rFonts w:hint="eastAsia" w:hAnsi="宋体"/>
                <w:szCs w:val="21"/>
              </w:rPr>
              <w:t>≥</w:t>
            </w:r>
            <w:r>
              <w:rPr>
                <w:rFonts w:hAnsi="宋体"/>
                <w:szCs w:val="21"/>
              </w:rPr>
              <w:t>320</w:t>
            </w:r>
          </w:p>
        </w:tc>
        <w:tc>
          <w:tcPr>
            <w:tcW w:w="1477" w:type="dxa"/>
            <w:tcBorders>
              <w:top w:val="single" w:color="auto" w:sz="12" w:space="0"/>
            </w:tcBorders>
            <w:vAlign w:val="center"/>
          </w:tcPr>
          <w:p>
            <w:pPr>
              <w:pStyle w:val="22"/>
              <w:adjustRightInd w:val="0"/>
              <w:snapToGrid w:val="0"/>
              <w:jc w:val="center"/>
              <w:rPr>
                <w:rFonts w:hAnsi="宋体"/>
                <w:szCs w:val="21"/>
              </w:rPr>
            </w:pPr>
            <w:r>
              <w:rPr>
                <w:rFonts w:hAnsi="宋体"/>
                <w:szCs w:val="21"/>
              </w:rPr>
              <w:t>160</w:t>
            </w:r>
            <w:r>
              <w:rPr>
                <w:rFonts w:hint="eastAsia" w:hAnsi="宋体"/>
                <w:szCs w:val="21"/>
              </w:rPr>
              <w:t>～</w:t>
            </w:r>
            <w:r>
              <w:rPr>
                <w:rFonts w:hAnsi="宋体"/>
                <w:szCs w:val="21"/>
              </w:rPr>
              <w:t>319</w:t>
            </w:r>
          </w:p>
        </w:tc>
        <w:tc>
          <w:tcPr>
            <w:tcW w:w="1477" w:type="dxa"/>
            <w:tcBorders>
              <w:top w:val="single" w:color="auto" w:sz="12" w:space="0"/>
            </w:tcBorders>
            <w:vAlign w:val="center"/>
          </w:tcPr>
          <w:p>
            <w:pPr>
              <w:pStyle w:val="22"/>
              <w:adjustRightInd w:val="0"/>
              <w:snapToGrid w:val="0"/>
              <w:jc w:val="center"/>
              <w:rPr>
                <w:rFonts w:hAnsi="宋体"/>
                <w:szCs w:val="21"/>
              </w:rPr>
            </w:pPr>
            <w:r>
              <w:rPr>
                <w:rFonts w:hAnsi="宋体"/>
                <w:szCs w:val="21"/>
              </w:rPr>
              <w:t>70</w:t>
            </w:r>
            <w:r>
              <w:rPr>
                <w:rFonts w:hint="eastAsia" w:hAnsi="宋体"/>
                <w:szCs w:val="21"/>
              </w:rPr>
              <w:t>～</w:t>
            </w:r>
            <w:r>
              <w:rPr>
                <w:rFonts w:hAnsi="宋体"/>
                <w:szCs w:val="21"/>
              </w:rPr>
              <w:t>159</w:t>
            </w:r>
          </w:p>
        </w:tc>
        <w:tc>
          <w:tcPr>
            <w:tcW w:w="1477" w:type="dxa"/>
            <w:tcBorders>
              <w:top w:val="single" w:color="auto" w:sz="12" w:space="0"/>
            </w:tcBorders>
            <w:vAlign w:val="center"/>
          </w:tcPr>
          <w:p>
            <w:pPr>
              <w:pStyle w:val="22"/>
              <w:adjustRightInd w:val="0"/>
              <w:snapToGrid w:val="0"/>
              <w:jc w:val="center"/>
              <w:rPr>
                <w:rFonts w:hAnsi="宋体"/>
                <w:szCs w:val="21"/>
              </w:rPr>
            </w:pPr>
            <w:r>
              <w:rPr>
                <w:rFonts w:hAnsi="宋体"/>
                <w:szCs w:val="21"/>
              </w:rPr>
              <w:t>20</w:t>
            </w:r>
            <w:r>
              <w:rPr>
                <w:rFonts w:hint="eastAsia" w:hAnsi="宋体"/>
                <w:szCs w:val="21"/>
              </w:rPr>
              <w:t>～</w:t>
            </w:r>
            <w:r>
              <w:rPr>
                <w:rFonts w:hAnsi="宋体"/>
                <w:szCs w:val="21"/>
              </w:rPr>
              <w:t>69</w:t>
            </w:r>
          </w:p>
        </w:tc>
        <w:tc>
          <w:tcPr>
            <w:tcW w:w="1268" w:type="dxa"/>
            <w:tcBorders>
              <w:top w:val="single" w:color="auto" w:sz="12" w:space="0"/>
            </w:tcBorders>
            <w:vAlign w:val="center"/>
          </w:tcPr>
          <w:p>
            <w:pPr>
              <w:pStyle w:val="22"/>
              <w:adjustRightInd w:val="0"/>
              <w:snapToGrid w:val="0"/>
              <w:jc w:val="center"/>
              <w:rPr>
                <w:rFonts w:hAnsi="宋体"/>
                <w:szCs w:val="21"/>
              </w:rPr>
            </w:pPr>
            <w:r>
              <w:rPr>
                <w:rFonts w:hint="eastAsia" w:hAnsi="宋体"/>
                <w:szCs w:val="21"/>
              </w:rPr>
              <w:t>＜</w:t>
            </w:r>
            <w:r>
              <w:rPr>
                <w:rFonts w:hAnsi="宋体"/>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731" w:type="dxa"/>
            <w:vAlign w:val="center"/>
          </w:tcPr>
          <w:p>
            <w:pPr>
              <w:pStyle w:val="22"/>
              <w:adjustRightInd w:val="0"/>
              <w:snapToGrid w:val="0"/>
              <w:jc w:val="center"/>
              <w:rPr>
                <w:rFonts w:hAnsi="宋体"/>
                <w:szCs w:val="21"/>
              </w:rPr>
            </w:pPr>
            <w:r>
              <w:rPr>
                <w:rFonts w:hint="eastAsia" w:hAnsi="宋体"/>
                <w:szCs w:val="21"/>
              </w:rPr>
              <w:t>危险程度</w:t>
            </w:r>
          </w:p>
        </w:tc>
        <w:tc>
          <w:tcPr>
            <w:tcW w:w="1477" w:type="dxa"/>
            <w:vAlign w:val="center"/>
          </w:tcPr>
          <w:p>
            <w:pPr>
              <w:pStyle w:val="22"/>
              <w:adjustRightInd w:val="0"/>
              <w:snapToGrid w:val="0"/>
              <w:rPr>
                <w:rFonts w:hAnsi="宋体"/>
                <w:szCs w:val="21"/>
              </w:rPr>
            </w:pPr>
            <w:r>
              <w:rPr>
                <w:rFonts w:hint="eastAsia" w:hAnsi="宋体"/>
                <w:szCs w:val="21"/>
              </w:rPr>
              <w:t>极度危险，不能继续作业</w:t>
            </w:r>
          </w:p>
        </w:tc>
        <w:tc>
          <w:tcPr>
            <w:tcW w:w="1477" w:type="dxa"/>
            <w:vAlign w:val="center"/>
          </w:tcPr>
          <w:p>
            <w:pPr>
              <w:pStyle w:val="22"/>
              <w:adjustRightInd w:val="0"/>
              <w:snapToGrid w:val="0"/>
              <w:rPr>
                <w:rFonts w:hAnsi="宋体"/>
                <w:szCs w:val="21"/>
              </w:rPr>
            </w:pPr>
            <w:r>
              <w:rPr>
                <w:rFonts w:hint="eastAsia" w:hAnsi="宋体"/>
                <w:szCs w:val="21"/>
              </w:rPr>
              <w:t>高度危险，需要立即整改</w:t>
            </w:r>
          </w:p>
        </w:tc>
        <w:tc>
          <w:tcPr>
            <w:tcW w:w="1477" w:type="dxa"/>
            <w:vAlign w:val="center"/>
          </w:tcPr>
          <w:p>
            <w:pPr>
              <w:pStyle w:val="22"/>
              <w:adjustRightInd w:val="0"/>
              <w:snapToGrid w:val="0"/>
              <w:rPr>
                <w:rFonts w:hAnsi="宋体"/>
                <w:szCs w:val="21"/>
              </w:rPr>
            </w:pPr>
            <w:r>
              <w:rPr>
                <w:rFonts w:hint="eastAsia" w:hAnsi="宋体"/>
                <w:szCs w:val="21"/>
              </w:rPr>
              <w:t>显著危险，需要整改</w:t>
            </w:r>
          </w:p>
        </w:tc>
        <w:tc>
          <w:tcPr>
            <w:tcW w:w="1477" w:type="dxa"/>
            <w:vAlign w:val="center"/>
          </w:tcPr>
          <w:p>
            <w:pPr>
              <w:pStyle w:val="22"/>
              <w:adjustRightInd w:val="0"/>
              <w:snapToGrid w:val="0"/>
              <w:rPr>
                <w:rFonts w:hAnsi="宋体"/>
                <w:szCs w:val="21"/>
              </w:rPr>
            </w:pPr>
            <w:r>
              <w:rPr>
                <w:rFonts w:hint="eastAsia" w:hAnsi="宋体"/>
                <w:szCs w:val="21"/>
              </w:rPr>
              <w:t>比较危险，需要注意</w:t>
            </w:r>
          </w:p>
        </w:tc>
        <w:tc>
          <w:tcPr>
            <w:tcW w:w="1268" w:type="dxa"/>
            <w:vAlign w:val="center"/>
          </w:tcPr>
          <w:p>
            <w:pPr>
              <w:pStyle w:val="22"/>
              <w:adjustRightInd w:val="0"/>
              <w:snapToGrid w:val="0"/>
              <w:rPr>
                <w:rFonts w:hAnsi="宋体"/>
                <w:szCs w:val="21"/>
              </w:rPr>
            </w:pPr>
            <w:r>
              <w:rPr>
                <w:rFonts w:hint="eastAsia" w:hAnsi="宋体"/>
                <w:szCs w:val="21"/>
              </w:rPr>
              <w:t>稍有危险，可以接受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1731" w:type="dxa"/>
            <w:tcBorders>
              <w:bottom w:val="single" w:color="auto" w:sz="12" w:space="0"/>
            </w:tcBorders>
            <w:vAlign w:val="center"/>
          </w:tcPr>
          <w:p>
            <w:pPr>
              <w:pStyle w:val="22"/>
              <w:adjustRightInd w:val="0"/>
              <w:snapToGrid w:val="0"/>
              <w:jc w:val="center"/>
              <w:rPr>
                <w:rFonts w:hAnsi="宋体"/>
                <w:szCs w:val="21"/>
              </w:rPr>
            </w:pPr>
            <w:r>
              <w:rPr>
                <w:rFonts w:hint="eastAsia" w:hAnsi="宋体"/>
                <w:szCs w:val="21"/>
              </w:rPr>
              <w:t>风险等级</w:t>
            </w:r>
          </w:p>
        </w:tc>
        <w:tc>
          <w:tcPr>
            <w:tcW w:w="1477" w:type="dxa"/>
            <w:tcBorders>
              <w:bottom w:val="single" w:color="auto" w:sz="12" w:space="0"/>
            </w:tcBorders>
            <w:vAlign w:val="center"/>
          </w:tcPr>
          <w:p>
            <w:pPr>
              <w:pStyle w:val="22"/>
              <w:adjustRightInd w:val="0"/>
              <w:snapToGrid w:val="0"/>
              <w:jc w:val="center"/>
              <w:rPr>
                <w:rFonts w:hAnsi="宋体"/>
                <w:szCs w:val="21"/>
              </w:rPr>
            </w:pPr>
            <w:r>
              <w:rPr>
                <w:rFonts w:hint="eastAsia" w:hAnsi="宋体"/>
                <w:szCs w:val="21"/>
              </w:rPr>
              <w:t>重大风险</w:t>
            </w:r>
          </w:p>
        </w:tc>
        <w:tc>
          <w:tcPr>
            <w:tcW w:w="1477" w:type="dxa"/>
            <w:tcBorders>
              <w:bottom w:val="single" w:color="auto" w:sz="12" w:space="0"/>
            </w:tcBorders>
            <w:vAlign w:val="center"/>
          </w:tcPr>
          <w:p>
            <w:pPr>
              <w:pStyle w:val="22"/>
              <w:adjustRightInd w:val="0"/>
              <w:snapToGrid w:val="0"/>
              <w:jc w:val="center"/>
              <w:rPr>
                <w:rFonts w:hAnsi="宋体"/>
                <w:szCs w:val="21"/>
              </w:rPr>
            </w:pPr>
            <w:r>
              <w:rPr>
                <w:rFonts w:hint="eastAsia" w:hAnsi="宋体"/>
                <w:szCs w:val="21"/>
              </w:rPr>
              <w:t>较大风险</w:t>
            </w:r>
          </w:p>
        </w:tc>
        <w:tc>
          <w:tcPr>
            <w:tcW w:w="1477" w:type="dxa"/>
            <w:tcBorders>
              <w:bottom w:val="single" w:color="auto" w:sz="12" w:space="0"/>
            </w:tcBorders>
            <w:vAlign w:val="center"/>
          </w:tcPr>
          <w:p>
            <w:pPr>
              <w:pStyle w:val="22"/>
              <w:adjustRightInd w:val="0"/>
              <w:snapToGrid w:val="0"/>
              <w:jc w:val="center"/>
              <w:rPr>
                <w:rFonts w:hAnsi="宋体"/>
                <w:szCs w:val="21"/>
              </w:rPr>
            </w:pPr>
            <w:r>
              <w:rPr>
                <w:rFonts w:hint="eastAsia" w:hAnsi="宋体"/>
                <w:szCs w:val="21"/>
              </w:rPr>
              <w:t>一般风险</w:t>
            </w:r>
          </w:p>
        </w:tc>
        <w:tc>
          <w:tcPr>
            <w:tcW w:w="2745" w:type="dxa"/>
            <w:gridSpan w:val="2"/>
            <w:tcBorders>
              <w:bottom w:val="single" w:color="auto" w:sz="12" w:space="0"/>
            </w:tcBorders>
            <w:vAlign w:val="center"/>
          </w:tcPr>
          <w:p>
            <w:pPr>
              <w:pStyle w:val="22"/>
              <w:adjustRightInd w:val="0"/>
              <w:snapToGrid w:val="0"/>
              <w:jc w:val="center"/>
              <w:rPr>
                <w:rFonts w:hAnsi="宋体"/>
                <w:szCs w:val="21"/>
              </w:rPr>
            </w:pPr>
            <w:r>
              <w:rPr>
                <w:rFonts w:hint="eastAsia" w:hAnsi="宋体"/>
                <w:szCs w:val="21"/>
              </w:rPr>
              <w:t>低风险</w:t>
            </w:r>
          </w:p>
        </w:tc>
      </w:tr>
    </w:tbl>
    <w:p>
      <w:pPr>
        <w:spacing w:line="360" w:lineRule="auto"/>
        <w:ind w:firstLine="403" w:firstLineChars="168"/>
        <w:rPr>
          <w:rFonts w:ascii="宋体"/>
          <w:sz w:val="24"/>
          <w:szCs w:val="24"/>
        </w:rPr>
      </w:pPr>
      <w:bookmarkStart w:id="413" w:name="_Toc227074567"/>
      <w:r>
        <w:rPr>
          <w:rFonts w:ascii="宋体" w:hAnsi="宋体"/>
          <w:sz w:val="24"/>
          <w:szCs w:val="24"/>
        </w:rPr>
        <w:t>L</w:t>
      </w:r>
      <w:r>
        <w:rPr>
          <w:rFonts w:hint="eastAsia" w:ascii="宋体" w:hAnsi="宋体"/>
          <w:sz w:val="24"/>
          <w:szCs w:val="24"/>
        </w:rPr>
        <w:t>、</w:t>
      </w:r>
      <w:r>
        <w:rPr>
          <w:rFonts w:ascii="宋体" w:hAnsi="宋体"/>
          <w:sz w:val="24"/>
          <w:szCs w:val="24"/>
        </w:rPr>
        <w:t>E</w:t>
      </w:r>
      <w:r>
        <w:rPr>
          <w:rFonts w:hint="eastAsia" w:ascii="宋体" w:hAnsi="宋体"/>
          <w:sz w:val="24"/>
          <w:szCs w:val="24"/>
        </w:rPr>
        <w:t>、</w:t>
      </w:r>
      <w:r>
        <w:rPr>
          <w:rFonts w:ascii="宋体" w:hAnsi="宋体"/>
          <w:sz w:val="24"/>
          <w:szCs w:val="24"/>
        </w:rPr>
        <w:t>C</w:t>
      </w:r>
      <w:r>
        <w:rPr>
          <w:rFonts w:hint="eastAsia" w:ascii="宋体" w:hAnsi="宋体"/>
          <w:sz w:val="24"/>
          <w:szCs w:val="24"/>
        </w:rPr>
        <w:t>三个因素的取值范围见下表</w:t>
      </w:r>
      <w:bookmarkEnd w:id="413"/>
      <w:r>
        <w:rPr>
          <w:rFonts w:hint="eastAsia" w:ascii="宋体" w:hAnsi="宋体"/>
          <w:sz w:val="24"/>
          <w:szCs w:val="24"/>
        </w:rPr>
        <w:t>。</w:t>
      </w:r>
    </w:p>
    <w:p>
      <w:pPr>
        <w:spacing w:line="360" w:lineRule="auto"/>
        <w:ind w:firstLine="562"/>
        <w:jc w:val="center"/>
        <w:rPr>
          <w:rFonts w:ascii="宋体"/>
          <w:b/>
          <w:szCs w:val="28"/>
        </w:rPr>
      </w:pPr>
      <w:r>
        <w:rPr>
          <w:rFonts w:hint="eastAsia" w:ascii="宋体" w:hAnsi="宋体" w:cs="宋体"/>
          <w:b/>
          <w:bCs/>
          <w:szCs w:val="28"/>
        </w:rPr>
        <w:t>表</w:t>
      </w:r>
      <w:r>
        <w:rPr>
          <w:rFonts w:ascii="宋体" w:hAnsi="宋体" w:cs="宋体"/>
          <w:b/>
          <w:bCs/>
          <w:szCs w:val="28"/>
        </w:rPr>
        <w:t xml:space="preserve">3-2 </w:t>
      </w:r>
      <w:r>
        <w:rPr>
          <w:rFonts w:ascii="宋体" w:hAnsi="宋体" w:cs="宋体"/>
          <w:b/>
          <w:szCs w:val="28"/>
        </w:rPr>
        <w:t>L</w:t>
      </w:r>
      <w:r>
        <w:rPr>
          <w:rFonts w:hint="eastAsia" w:ascii="宋体" w:hAnsi="宋体" w:cs="宋体"/>
          <w:b/>
          <w:szCs w:val="28"/>
        </w:rPr>
        <w:t>、</w:t>
      </w:r>
      <w:r>
        <w:rPr>
          <w:rFonts w:ascii="宋体" w:hAnsi="宋体" w:cs="宋体"/>
          <w:b/>
          <w:szCs w:val="28"/>
        </w:rPr>
        <w:t>E</w:t>
      </w:r>
      <w:r>
        <w:rPr>
          <w:rFonts w:hint="eastAsia" w:ascii="宋体" w:hAnsi="宋体" w:cs="宋体"/>
          <w:b/>
          <w:szCs w:val="28"/>
        </w:rPr>
        <w:t>、</w:t>
      </w:r>
      <w:r>
        <w:rPr>
          <w:rFonts w:ascii="宋体" w:hAnsi="宋体" w:cs="宋体"/>
          <w:b/>
          <w:szCs w:val="28"/>
        </w:rPr>
        <w:t>C</w:t>
      </w:r>
      <w:r>
        <w:rPr>
          <w:rFonts w:hint="eastAsia" w:ascii="宋体" w:hAnsi="宋体" w:cs="宋体"/>
          <w:b/>
          <w:szCs w:val="28"/>
        </w:rPr>
        <w:t>三因素的取值表</w:t>
      </w:r>
      <w:r>
        <w:rPr>
          <w:rFonts w:ascii="宋体" w:hAnsi="宋体" w:cs="宋体"/>
          <w:b/>
          <w:szCs w:val="28"/>
        </w:rPr>
        <w:t xml:space="preserve">  </w:t>
      </w:r>
      <w:r>
        <w:rPr>
          <w:rFonts w:ascii="宋体" w:hAnsi="宋体"/>
          <w:b/>
          <w:szCs w:val="28"/>
        </w:rPr>
        <w:t xml:space="preserve">  </w:t>
      </w:r>
    </w:p>
    <w:tbl>
      <w:tblPr>
        <w:tblStyle w:val="42"/>
        <w:tblW w:w="88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6"/>
        <w:gridCol w:w="1084"/>
        <w:gridCol w:w="1113"/>
        <w:gridCol w:w="1113"/>
        <w:gridCol w:w="1029"/>
        <w:gridCol w:w="1113"/>
        <w:gridCol w:w="1113"/>
        <w:gridCol w:w="1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 w:hRule="atLeast"/>
          <w:jc w:val="center"/>
        </w:trPr>
        <w:tc>
          <w:tcPr>
            <w:tcW w:w="8823" w:type="dxa"/>
            <w:gridSpan w:val="8"/>
            <w:tcBorders>
              <w:top w:val="single" w:color="auto" w:sz="12" w:space="0"/>
            </w:tcBorders>
            <w:vAlign w:val="center"/>
          </w:tcPr>
          <w:p>
            <w:pPr>
              <w:widowControl w:val="0"/>
              <w:adjustRightInd/>
              <w:snapToGrid/>
              <w:jc w:val="center"/>
              <w:rPr>
                <w:rFonts w:ascii="宋体"/>
                <w:sz w:val="21"/>
                <w:szCs w:val="21"/>
              </w:rPr>
            </w:pPr>
            <w:r>
              <w:rPr>
                <w:rFonts w:ascii="宋体" w:hAnsi="宋体"/>
                <w:sz w:val="21"/>
                <w:szCs w:val="21"/>
              </w:rPr>
              <w:t>L——</w:t>
            </w:r>
            <w:r>
              <w:rPr>
                <w:rFonts w:hint="eastAsia" w:ascii="宋体" w:hAnsi="宋体"/>
                <w:sz w:val="21"/>
                <w:szCs w:val="21"/>
              </w:rPr>
              <w:t>事故发生的可能性分值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146" w:type="dxa"/>
            <w:vAlign w:val="center"/>
          </w:tcPr>
          <w:p>
            <w:pPr>
              <w:widowControl w:val="0"/>
              <w:adjustRightInd/>
              <w:snapToGrid/>
              <w:jc w:val="center"/>
              <w:rPr>
                <w:rFonts w:ascii="宋体"/>
                <w:sz w:val="21"/>
                <w:szCs w:val="21"/>
              </w:rPr>
            </w:pPr>
            <w:r>
              <w:rPr>
                <w:rFonts w:ascii="宋体" w:hAnsi="宋体"/>
                <w:sz w:val="21"/>
                <w:szCs w:val="21"/>
              </w:rPr>
              <w:t>L</w:t>
            </w:r>
            <w:r>
              <w:rPr>
                <w:rFonts w:hint="eastAsia" w:ascii="宋体" w:hAnsi="宋体"/>
                <w:sz w:val="21"/>
                <w:szCs w:val="21"/>
              </w:rPr>
              <w:t>值</w:t>
            </w:r>
          </w:p>
        </w:tc>
        <w:tc>
          <w:tcPr>
            <w:tcW w:w="1084" w:type="dxa"/>
            <w:vAlign w:val="center"/>
          </w:tcPr>
          <w:p>
            <w:pPr>
              <w:widowControl w:val="0"/>
              <w:adjustRightInd/>
              <w:snapToGrid/>
              <w:jc w:val="center"/>
              <w:rPr>
                <w:rFonts w:ascii="宋体"/>
                <w:sz w:val="21"/>
                <w:szCs w:val="21"/>
              </w:rPr>
            </w:pPr>
            <w:r>
              <w:rPr>
                <w:rFonts w:ascii="宋体" w:hAnsi="宋体"/>
                <w:sz w:val="21"/>
                <w:szCs w:val="21"/>
              </w:rPr>
              <w:t>10</w:t>
            </w:r>
          </w:p>
        </w:tc>
        <w:tc>
          <w:tcPr>
            <w:tcW w:w="1113" w:type="dxa"/>
            <w:vAlign w:val="center"/>
          </w:tcPr>
          <w:p>
            <w:pPr>
              <w:widowControl w:val="0"/>
              <w:adjustRightInd/>
              <w:snapToGrid/>
              <w:jc w:val="center"/>
              <w:rPr>
                <w:rFonts w:ascii="宋体"/>
                <w:sz w:val="21"/>
                <w:szCs w:val="21"/>
              </w:rPr>
            </w:pPr>
            <w:r>
              <w:rPr>
                <w:rFonts w:ascii="宋体" w:hAnsi="宋体"/>
                <w:sz w:val="21"/>
                <w:szCs w:val="21"/>
              </w:rPr>
              <w:t>6</w:t>
            </w:r>
          </w:p>
        </w:tc>
        <w:tc>
          <w:tcPr>
            <w:tcW w:w="1113" w:type="dxa"/>
            <w:vAlign w:val="center"/>
          </w:tcPr>
          <w:p>
            <w:pPr>
              <w:widowControl w:val="0"/>
              <w:adjustRightInd/>
              <w:snapToGrid/>
              <w:jc w:val="center"/>
              <w:rPr>
                <w:rFonts w:ascii="宋体"/>
                <w:sz w:val="21"/>
                <w:szCs w:val="21"/>
              </w:rPr>
            </w:pPr>
            <w:r>
              <w:rPr>
                <w:rFonts w:ascii="宋体" w:hAnsi="宋体"/>
                <w:sz w:val="21"/>
                <w:szCs w:val="21"/>
              </w:rPr>
              <w:t>3</w:t>
            </w:r>
          </w:p>
        </w:tc>
        <w:tc>
          <w:tcPr>
            <w:tcW w:w="1029" w:type="dxa"/>
            <w:vAlign w:val="center"/>
          </w:tcPr>
          <w:p>
            <w:pPr>
              <w:widowControl w:val="0"/>
              <w:adjustRightInd/>
              <w:snapToGrid/>
              <w:jc w:val="center"/>
              <w:rPr>
                <w:rFonts w:ascii="宋体"/>
                <w:sz w:val="21"/>
                <w:szCs w:val="21"/>
              </w:rPr>
            </w:pPr>
            <w:r>
              <w:rPr>
                <w:rFonts w:ascii="宋体" w:hAnsi="宋体"/>
                <w:sz w:val="21"/>
                <w:szCs w:val="21"/>
              </w:rPr>
              <w:t>1</w:t>
            </w:r>
          </w:p>
        </w:tc>
        <w:tc>
          <w:tcPr>
            <w:tcW w:w="1113" w:type="dxa"/>
            <w:vAlign w:val="center"/>
          </w:tcPr>
          <w:p>
            <w:pPr>
              <w:widowControl w:val="0"/>
              <w:adjustRightInd/>
              <w:snapToGrid/>
              <w:jc w:val="center"/>
              <w:rPr>
                <w:rFonts w:ascii="宋体"/>
                <w:sz w:val="21"/>
                <w:szCs w:val="21"/>
              </w:rPr>
            </w:pPr>
            <w:r>
              <w:rPr>
                <w:rFonts w:ascii="宋体" w:hAnsi="宋体"/>
                <w:sz w:val="21"/>
                <w:szCs w:val="21"/>
              </w:rPr>
              <w:t>0.5</w:t>
            </w:r>
          </w:p>
        </w:tc>
        <w:tc>
          <w:tcPr>
            <w:tcW w:w="1113" w:type="dxa"/>
            <w:vAlign w:val="center"/>
          </w:tcPr>
          <w:p>
            <w:pPr>
              <w:widowControl w:val="0"/>
              <w:adjustRightInd/>
              <w:snapToGrid/>
              <w:jc w:val="center"/>
              <w:rPr>
                <w:rFonts w:ascii="宋体"/>
                <w:sz w:val="21"/>
                <w:szCs w:val="21"/>
              </w:rPr>
            </w:pPr>
            <w:r>
              <w:rPr>
                <w:rFonts w:ascii="宋体" w:hAnsi="宋体"/>
                <w:sz w:val="21"/>
                <w:szCs w:val="21"/>
              </w:rPr>
              <w:t>0.2</w:t>
            </w:r>
          </w:p>
        </w:tc>
        <w:tc>
          <w:tcPr>
            <w:tcW w:w="1112" w:type="dxa"/>
            <w:vAlign w:val="center"/>
          </w:tcPr>
          <w:p>
            <w:pPr>
              <w:widowControl w:val="0"/>
              <w:adjustRightInd/>
              <w:snapToGrid/>
              <w:jc w:val="center"/>
              <w:rPr>
                <w:rFonts w:ascii="宋体"/>
                <w:sz w:val="21"/>
                <w:szCs w:val="21"/>
              </w:rPr>
            </w:pPr>
            <w:r>
              <w:rPr>
                <w:rFonts w:ascii="宋体" w:hAnsi="宋体"/>
                <w:sz w:val="21"/>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1146" w:type="dxa"/>
            <w:vAlign w:val="center"/>
          </w:tcPr>
          <w:p>
            <w:pPr>
              <w:widowControl w:val="0"/>
              <w:adjustRightInd/>
              <w:snapToGrid/>
              <w:jc w:val="center"/>
              <w:rPr>
                <w:rFonts w:ascii="宋体"/>
                <w:sz w:val="21"/>
                <w:szCs w:val="21"/>
              </w:rPr>
            </w:pPr>
            <w:r>
              <w:rPr>
                <w:rFonts w:hint="eastAsia" w:ascii="宋体" w:hAnsi="宋体"/>
                <w:sz w:val="21"/>
                <w:szCs w:val="21"/>
              </w:rPr>
              <w:t>事故发生的可能性</w:t>
            </w:r>
          </w:p>
        </w:tc>
        <w:tc>
          <w:tcPr>
            <w:tcW w:w="1084" w:type="dxa"/>
            <w:vAlign w:val="center"/>
          </w:tcPr>
          <w:p>
            <w:pPr>
              <w:widowControl w:val="0"/>
              <w:adjustRightInd/>
              <w:snapToGrid/>
              <w:jc w:val="center"/>
              <w:rPr>
                <w:rFonts w:ascii="宋体"/>
                <w:sz w:val="21"/>
                <w:szCs w:val="21"/>
              </w:rPr>
            </w:pPr>
            <w:r>
              <w:rPr>
                <w:rFonts w:hint="eastAsia" w:ascii="宋体" w:hAnsi="宋体"/>
                <w:sz w:val="21"/>
                <w:szCs w:val="21"/>
              </w:rPr>
              <w:t>完全可以被预料到</w:t>
            </w:r>
          </w:p>
        </w:tc>
        <w:tc>
          <w:tcPr>
            <w:tcW w:w="1113" w:type="dxa"/>
            <w:vAlign w:val="center"/>
          </w:tcPr>
          <w:p>
            <w:pPr>
              <w:widowControl w:val="0"/>
              <w:adjustRightInd/>
              <w:snapToGrid/>
              <w:jc w:val="center"/>
              <w:rPr>
                <w:rFonts w:ascii="宋体"/>
                <w:sz w:val="21"/>
                <w:szCs w:val="21"/>
              </w:rPr>
            </w:pPr>
            <w:r>
              <w:rPr>
                <w:rFonts w:hint="eastAsia" w:ascii="宋体" w:hAnsi="宋体"/>
                <w:sz w:val="21"/>
                <w:szCs w:val="21"/>
              </w:rPr>
              <w:t>相当可能</w:t>
            </w:r>
          </w:p>
        </w:tc>
        <w:tc>
          <w:tcPr>
            <w:tcW w:w="1113" w:type="dxa"/>
            <w:vAlign w:val="center"/>
          </w:tcPr>
          <w:p>
            <w:pPr>
              <w:widowControl w:val="0"/>
              <w:adjustRightInd/>
              <w:snapToGrid/>
              <w:jc w:val="center"/>
              <w:rPr>
                <w:rFonts w:ascii="宋体"/>
                <w:sz w:val="21"/>
                <w:szCs w:val="21"/>
              </w:rPr>
            </w:pPr>
            <w:r>
              <w:rPr>
                <w:rFonts w:hint="eastAsia" w:ascii="宋体" w:hAnsi="宋体"/>
                <w:sz w:val="21"/>
                <w:szCs w:val="21"/>
              </w:rPr>
              <w:t>可能，但不经常</w:t>
            </w:r>
          </w:p>
        </w:tc>
        <w:tc>
          <w:tcPr>
            <w:tcW w:w="1029" w:type="dxa"/>
            <w:vAlign w:val="center"/>
          </w:tcPr>
          <w:p>
            <w:pPr>
              <w:widowControl w:val="0"/>
              <w:adjustRightInd/>
              <w:snapToGrid/>
              <w:jc w:val="center"/>
              <w:rPr>
                <w:rFonts w:ascii="宋体"/>
                <w:sz w:val="21"/>
                <w:szCs w:val="21"/>
              </w:rPr>
            </w:pPr>
            <w:r>
              <w:rPr>
                <w:rFonts w:hint="eastAsia" w:ascii="宋体" w:hAnsi="宋体"/>
                <w:sz w:val="21"/>
                <w:szCs w:val="21"/>
              </w:rPr>
              <w:t>完全意外，很少可能</w:t>
            </w:r>
          </w:p>
        </w:tc>
        <w:tc>
          <w:tcPr>
            <w:tcW w:w="1113" w:type="dxa"/>
            <w:vAlign w:val="center"/>
          </w:tcPr>
          <w:p>
            <w:pPr>
              <w:widowControl w:val="0"/>
              <w:adjustRightInd/>
              <w:snapToGrid/>
              <w:jc w:val="center"/>
              <w:rPr>
                <w:rFonts w:ascii="宋体"/>
                <w:sz w:val="21"/>
                <w:szCs w:val="21"/>
              </w:rPr>
            </w:pPr>
            <w:r>
              <w:rPr>
                <w:rFonts w:hint="eastAsia" w:ascii="宋体" w:hAnsi="宋体"/>
                <w:sz w:val="21"/>
                <w:szCs w:val="21"/>
              </w:rPr>
              <w:t>可以设想，很少可能</w:t>
            </w:r>
          </w:p>
        </w:tc>
        <w:tc>
          <w:tcPr>
            <w:tcW w:w="1113" w:type="dxa"/>
            <w:vAlign w:val="center"/>
          </w:tcPr>
          <w:p>
            <w:pPr>
              <w:widowControl w:val="0"/>
              <w:adjustRightInd/>
              <w:snapToGrid/>
              <w:jc w:val="center"/>
              <w:rPr>
                <w:rFonts w:ascii="宋体"/>
                <w:sz w:val="21"/>
                <w:szCs w:val="21"/>
              </w:rPr>
            </w:pPr>
            <w:r>
              <w:rPr>
                <w:rFonts w:hint="eastAsia" w:ascii="宋体" w:hAnsi="宋体"/>
                <w:sz w:val="21"/>
                <w:szCs w:val="21"/>
              </w:rPr>
              <w:t>极不可能</w:t>
            </w:r>
          </w:p>
        </w:tc>
        <w:tc>
          <w:tcPr>
            <w:tcW w:w="1112" w:type="dxa"/>
            <w:vAlign w:val="center"/>
          </w:tcPr>
          <w:p>
            <w:pPr>
              <w:widowControl w:val="0"/>
              <w:adjustRightInd/>
              <w:snapToGrid/>
              <w:jc w:val="center"/>
              <w:rPr>
                <w:rFonts w:ascii="宋体"/>
                <w:sz w:val="21"/>
                <w:szCs w:val="21"/>
              </w:rPr>
            </w:pPr>
            <w:r>
              <w:rPr>
                <w:rFonts w:hint="eastAsia" w:ascii="宋体" w:hAnsi="宋体"/>
                <w:sz w:val="21"/>
                <w:szCs w:val="21"/>
              </w:rPr>
              <w:t>实际上不可能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8823" w:type="dxa"/>
            <w:gridSpan w:val="8"/>
            <w:vAlign w:val="center"/>
          </w:tcPr>
          <w:p>
            <w:pPr>
              <w:widowControl w:val="0"/>
              <w:adjustRightInd/>
              <w:snapToGrid/>
              <w:jc w:val="center"/>
              <w:rPr>
                <w:rFonts w:ascii="宋体"/>
                <w:sz w:val="21"/>
                <w:szCs w:val="21"/>
              </w:rPr>
            </w:pPr>
            <w:r>
              <w:rPr>
                <w:rFonts w:ascii="宋体" w:hAnsi="宋体"/>
                <w:sz w:val="21"/>
                <w:szCs w:val="21"/>
              </w:rPr>
              <w:t>E——</w:t>
            </w:r>
            <w:r>
              <w:rPr>
                <w:rFonts w:hint="eastAsia" w:ascii="宋体" w:hAnsi="宋体"/>
                <w:sz w:val="21"/>
                <w:szCs w:val="21"/>
              </w:rPr>
              <w:t>暴露于危险环境频繁程度分值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146" w:type="dxa"/>
            <w:vAlign w:val="center"/>
          </w:tcPr>
          <w:p>
            <w:pPr>
              <w:widowControl w:val="0"/>
              <w:adjustRightInd/>
              <w:snapToGrid/>
              <w:jc w:val="center"/>
              <w:rPr>
                <w:rFonts w:ascii="宋体"/>
                <w:sz w:val="21"/>
                <w:szCs w:val="21"/>
              </w:rPr>
            </w:pPr>
            <w:r>
              <w:rPr>
                <w:rFonts w:ascii="宋体" w:hAnsi="宋体"/>
                <w:sz w:val="21"/>
                <w:szCs w:val="21"/>
              </w:rPr>
              <w:t>E</w:t>
            </w:r>
            <w:r>
              <w:rPr>
                <w:rFonts w:hint="eastAsia" w:ascii="宋体" w:hAnsi="宋体"/>
                <w:sz w:val="21"/>
                <w:szCs w:val="21"/>
              </w:rPr>
              <w:t>值</w:t>
            </w:r>
          </w:p>
        </w:tc>
        <w:tc>
          <w:tcPr>
            <w:tcW w:w="1084" w:type="dxa"/>
            <w:vAlign w:val="center"/>
          </w:tcPr>
          <w:p>
            <w:pPr>
              <w:widowControl w:val="0"/>
              <w:adjustRightInd/>
              <w:snapToGrid/>
              <w:jc w:val="center"/>
              <w:rPr>
                <w:rFonts w:ascii="宋体"/>
                <w:sz w:val="21"/>
                <w:szCs w:val="21"/>
              </w:rPr>
            </w:pPr>
            <w:r>
              <w:rPr>
                <w:rFonts w:ascii="宋体" w:hAnsi="宋体"/>
                <w:sz w:val="21"/>
                <w:szCs w:val="21"/>
              </w:rPr>
              <w:t>10</w:t>
            </w:r>
          </w:p>
        </w:tc>
        <w:tc>
          <w:tcPr>
            <w:tcW w:w="1113" w:type="dxa"/>
            <w:vAlign w:val="center"/>
          </w:tcPr>
          <w:p>
            <w:pPr>
              <w:widowControl w:val="0"/>
              <w:adjustRightInd/>
              <w:snapToGrid/>
              <w:jc w:val="center"/>
              <w:rPr>
                <w:rFonts w:ascii="宋体"/>
                <w:sz w:val="21"/>
                <w:szCs w:val="21"/>
              </w:rPr>
            </w:pPr>
            <w:r>
              <w:rPr>
                <w:rFonts w:ascii="宋体" w:hAnsi="宋体"/>
                <w:sz w:val="21"/>
                <w:szCs w:val="21"/>
              </w:rPr>
              <w:t>6</w:t>
            </w:r>
          </w:p>
        </w:tc>
        <w:tc>
          <w:tcPr>
            <w:tcW w:w="1113" w:type="dxa"/>
            <w:vAlign w:val="center"/>
          </w:tcPr>
          <w:p>
            <w:pPr>
              <w:widowControl w:val="0"/>
              <w:adjustRightInd/>
              <w:snapToGrid/>
              <w:jc w:val="center"/>
              <w:rPr>
                <w:rFonts w:ascii="宋体"/>
                <w:sz w:val="21"/>
                <w:szCs w:val="21"/>
              </w:rPr>
            </w:pPr>
            <w:r>
              <w:rPr>
                <w:rFonts w:ascii="宋体" w:hAnsi="宋体"/>
                <w:sz w:val="21"/>
                <w:szCs w:val="21"/>
              </w:rPr>
              <w:t>4</w:t>
            </w:r>
          </w:p>
        </w:tc>
        <w:tc>
          <w:tcPr>
            <w:tcW w:w="1029" w:type="dxa"/>
            <w:vAlign w:val="center"/>
          </w:tcPr>
          <w:p>
            <w:pPr>
              <w:widowControl w:val="0"/>
              <w:adjustRightInd/>
              <w:snapToGrid/>
              <w:jc w:val="center"/>
              <w:rPr>
                <w:rFonts w:ascii="宋体"/>
                <w:sz w:val="21"/>
                <w:szCs w:val="21"/>
              </w:rPr>
            </w:pPr>
            <w:r>
              <w:rPr>
                <w:rFonts w:ascii="宋体" w:hAnsi="宋体"/>
                <w:sz w:val="21"/>
                <w:szCs w:val="21"/>
              </w:rPr>
              <w:t>3</w:t>
            </w:r>
          </w:p>
        </w:tc>
        <w:tc>
          <w:tcPr>
            <w:tcW w:w="1113" w:type="dxa"/>
            <w:vAlign w:val="center"/>
          </w:tcPr>
          <w:p>
            <w:pPr>
              <w:widowControl w:val="0"/>
              <w:adjustRightInd/>
              <w:snapToGrid/>
              <w:jc w:val="center"/>
              <w:rPr>
                <w:rFonts w:ascii="宋体"/>
                <w:sz w:val="21"/>
                <w:szCs w:val="21"/>
              </w:rPr>
            </w:pPr>
            <w:r>
              <w:rPr>
                <w:rFonts w:ascii="宋体" w:hAnsi="宋体"/>
                <w:sz w:val="21"/>
                <w:szCs w:val="21"/>
              </w:rPr>
              <w:t>2</w:t>
            </w:r>
          </w:p>
        </w:tc>
        <w:tc>
          <w:tcPr>
            <w:tcW w:w="1113" w:type="dxa"/>
            <w:vAlign w:val="center"/>
          </w:tcPr>
          <w:p>
            <w:pPr>
              <w:widowControl w:val="0"/>
              <w:adjustRightInd/>
              <w:snapToGrid/>
              <w:jc w:val="center"/>
              <w:rPr>
                <w:rFonts w:ascii="宋体"/>
                <w:sz w:val="21"/>
                <w:szCs w:val="21"/>
              </w:rPr>
            </w:pPr>
            <w:r>
              <w:rPr>
                <w:rFonts w:ascii="宋体" w:hAnsi="宋体"/>
                <w:sz w:val="21"/>
                <w:szCs w:val="21"/>
              </w:rPr>
              <w:t>1</w:t>
            </w:r>
          </w:p>
        </w:tc>
        <w:tc>
          <w:tcPr>
            <w:tcW w:w="1112" w:type="dxa"/>
            <w:vAlign w:val="center"/>
          </w:tcPr>
          <w:p>
            <w:pPr>
              <w:widowControl w:val="0"/>
              <w:adjustRightInd/>
              <w:snapToGrid/>
              <w:jc w:val="center"/>
              <w:rPr>
                <w:rFonts w:ascii="宋体"/>
                <w:sz w:val="21"/>
                <w:szCs w:val="21"/>
              </w:rPr>
            </w:pPr>
            <w:r>
              <w:rPr>
                <w:rFonts w:ascii="宋体" w:hAnsi="宋体"/>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146" w:type="dxa"/>
            <w:vAlign w:val="center"/>
          </w:tcPr>
          <w:p>
            <w:pPr>
              <w:widowControl w:val="0"/>
              <w:adjustRightInd/>
              <w:snapToGrid/>
              <w:jc w:val="center"/>
              <w:rPr>
                <w:rFonts w:ascii="宋体"/>
                <w:sz w:val="21"/>
                <w:szCs w:val="21"/>
              </w:rPr>
            </w:pPr>
            <w:r>
              <w:rPr>
                <w:rFonts w:hint="eastAsia" w:ascii="宋体" w:hAnsi="宋体"/>
                <w:sz w:val="21"/>
                <w:szCs w:val="21"/>
              </w:rPr>
              <w:t>暴露于危险环境频繁度</w:t>
            </w:r>
          </w:p>
        </w:tc>
        <w:tc>
          <w:tcPr>
            <w:tcW w:w="1084" w:type="dxa"/>
            <w:vAlign w:val="center"/>
          </w:tcPr>
          <w:p>
            <w:pPr>
              <w:widowControl w:val="0"/>
              <w:adjustRightInd/>
              <w:snapToGrid/>
              <w:jc w:val="center"/>
              <w:rPr>
                <w:rFonts w:ascii="宋体"/>
                <w:sz w:val="21"/>
                <w:szCs w:val="21"/>
              </w:rPr>
            </w:pPr>
            <w:r>
              <w:rPr>
                <w:rFonts w:hint="eastAsia" w:ascii="宋体" w:hAnsi="宋体"/>
                <w:sz w:val="21"/>
                <w:szCs w:val="21"/>
              </w:rPr>
              <w:t>连续暴露</w:t>
            </w:r>
          </w:p>
        </w:tc>
        <w:tc>
          <w:tcPr>
            <w:tcW w:w="1113" w:type="dxa"/>
            <w:vAlign w:val="center"/>
          </w:tcPr>
          <w:p>
            <w:pPr>
              <w:widowControl w:val="0"/>
              <w:adjustRightInd/>
              <w:snapToGrid/>
              <w:jc w:val="center"/>
              <w:rPr>
                <w:rFonts w:ascii="宋体"/>
                <w:sz w:val="21"/>
                <w:szCs w:val="21"/>
              </w:rPr>
            </w:pPr>
            <w:r>
              <w:rPr>
                <w:rFonts w:hint="eastAsia" w:ascii="宋体" w:hAnsi="宋体"/>
                <w:sz w:val="21"/>
                <w:szCs w:val="21"/>
              </w:rPr>
              <w:t>每天工作时间暴露</w:t>
            </w:r>
          </w:p>
        </w:tc>
        <w:tc>
          <w:tcPr>
            <w:tcW w:w="1113" w:type="dxa"/>
            <w:vAlign w:val="center"/>
          </w:tcPr>
          <w:p>
            <w:pPr>
              <w:widowControl w:val="0"/>
              <w:adjustRightInd/>
              <w:snapToGrid/>
              <w:jc w:val="center"/>
              <w:rPr>
                <w:rFonts w:ascii="宋体"/>
                <w:sz w:val="21"/>
                <w:szCs w:val="21"/>
              </w:rPr>
            </w:pPr>
            <w:r>
              <w:rPr>
                <w:rFonts w:hint="eastAsia" w:ascii="宋体" w:hAnsi="宋体"/>
                <w:sz w:val="21"/>
                <w:szCs w:val="21"/>
              </w:rPr>
              <w:t>每周</w:t>
            </w:r>
            <w:r>
              <w:rPr>
                <w:rFonts w:ascii="宋体" w:hAnsi="宋体"/>
                <w:sz w:val="21"/>
                <w:szCs w:val="21"/>
              </w:rPr>
              <w:t>1</w:t>
            </w:r>
            <w:r>
              <w:rPr>
                <w:rFonts w:hint="eastAsia" w:ascii="宋体" w:hAnsi="宋体"/>
                <w:sz w:val="21"/>
                <w:szCs w:val="21"/>
              </w:rPr>
              <w:t>～</w:t>
            </w:r>
            <w:r>
              <w:rPr>
                <w:rFonts w:ascii="宋体" w:hAnsi="宋体"/>
                <w:sz w:val="21"/>
                <w:szCs w:val="21"/>
              </w:rPr>
              <w:t>2</w:t>
            </w:r>
            <w:r>
              <w:rPr>
                <w:rFonts w:hint="eastAsia" w:ascii="宋体" w:hAnsi="宋体"/>
                <w:sz w:val="21"/>
                <w:szCs w:val="21"/>
              </w:rPr>
              <w:t>次暴露</w:t>
            </w:r>
          </w:p>
        </w:tc>
        <w:tc>
          <w:tcPr>
            <w:tcW w:w="1029" w:type="dxa"/>
            <w:vAlign w:val="center"/>
          </w:tcPr>
          <w:p>
            <w:pPr>
              <w:widowControl w:val="0"/>
              <w:adjustRightInd/>
              <w:snapToGrid/>
              <w:jc w:val="center"/>
              <w:rPr>
                <w:rFonts w:ascii="宋体"/>
                <w:sz w:val="21"/>
                <w:szCs w:val="21"/>
              </w:rPr>
            </w:pPr>
            <w:r>
              <w:rPr>
                <w:rFonts w:hint="eastAsia" w:ascii="宋体" w:hAnsi="宋体"/>
                <w:sz w:val="21"/>
                <w:szCs w:val="21"/>
              </w:rPr>
              <w:t>每月暴露</w:t>
            </w:r>
            <w:r>
              <w:rPr>
                <w:rFonts w:ascii="宋体" w:hAnsi="宋体"/>
                <w:sz w:val="21"/>
                <w:szCs w:val="21"/>
              </w:rPr>
              <w:t>1</w:t>
            </w:r>
            <w:r>
              <w:rPr>
                <w:rFonts w:hint="eastAsia" w:ascii="宋体" w:hAnsi="宋体"/>
                <w:sz w:val="21"/>
                <w:szCs w:val="21"/>
              </w:rPr>
              <w:t>～</w:t>
            </w:r>
            <w:r>
              <w:rPr>
                <w:rFonts w:ascii="宋体" w:hAnsi="宋体"/>
                <w:sz w:val="21"/>
                <w:szCs w:val="21"/>
              </w:rPr>
              <w:t>2</w:t>
            </w:r>
            <w:r>
              <w:rPr>
                <w:rFonts w:hint="eastAsia" w:ascii="宋体" w:hAnsi="宋体"/>
                <w:sz w:val="21"/>
                <w:szCs w:val="21"/>
              </w:rPr>
              <w:t>次</w:t>
            </w:r>
          </w:p>
        </w:tc>
        <w:tc>
          <w:tcPr>
            <w:tcW w:w="1113" w:type="dxa"/>
            <w:vAlign w:val="center"/>
          </w:tcPr>
          <w:p>
            <w:pPr>
              <w:widowControl w:val="0"/>
              <w:adjustRightInd/>
              <w:snapToGrid/>
              <w:jc w:val="center"/>
              <w:rPr>
                <w:rFonts w:ascii="宋体"/>
                <w:sz w:val="21"/>
                <w:szCs w:val="21"/>
              </w:rPr>
            </w:pPr>
            <w:r>
              <w:rPr>
                <w:rFonts w:ascii="宋体" w:hAnsi="宋体"/>
                <w:sz w:val="21"/>
                <w:szCs w:val="21"/>
              </w:rPr>
              <w:t>2</w:t>
            </w:r>
            <w:r>
              <w:rPr>
                <w:rFonts w:hint="eastAsia" w:ascii="宋体" w:hAnsi="宋体"/>
                <w:sz w:val="21"/>
                <w:szCs w:val="21"/>
              </w:rPr>
              <w:t>～</w:t>
            </w:r>
            <w:r>
              <w:rPr>
                <w:rFonts w:ascii="宋体" w:hAnsi="宋体"/>
                <w:sz w:val="21"/>
                <w:szCs w:val="21"/>
              </w:rPr>
              <w:t>3</w:t>
            </w:r>
            <w:r>
              <w:rPr>
                <w:rFonts w:hint="eastAsia" w:ascii="宋体" w:hAnsi="宋体"/>
                <w:sz w:val="21"/>
                <w:szCs w:val="21"/>
              </w:rPr>
              <w:t>个月一次暴露</w:t>
            </w:r>
          </w:p>
        </w:tc>
        <w:tc>
          <w:tcPr>
            <w:tcW w:w="1113" w:type="dxa"/>
            <w:vAlign w:val="center"/>
          </w:tcPr>
          <w:p>
            <w:pPr>
              <w:widowControl w:val="0"/>
              <w:adjustRightInd/>
              <w:snapToGrid/>
              <w:ind w:left="42"/>
              <w:rPr>
                <w:rFonts w:ascii="宋体"/>
                <w:sz w:val="21"/>
                <w:szCs w:val="21"/>
              </w:rPr>
            </w:pPr>
            <w:r>
              <w:rPr>
                <w:rFonts w:hint="eastAsia" w:ascii="宋体" w:hAnsi="宋体"/>
                <w:sz w:val="21"/>
                <w:szCs w:val="21"/>
              </w:rPr>
              <w:t>每年几次或偶然暴露</w:t>
            </w:r>
          </w:p>
        </w:tc>
        <w:tc>
          <w:tcPr>
            <w:tcW w:w="1112" w:type="dxa"/>
            <w:vAlign w:val="center"/>
          </w:tcPr>
          <w:p>
            <w:pPr>
              <w:widowControl w:val="0"/>
              <w:adjustRightInd/>
              <w:snapToGrid/>
              <w:jc w:val="center"/>
              <w:rPr>
                <w:rFonts w:ascii="宋体"/>
                <w:sz w:val="21"/>
                <w:szCs w:val="21"/>
              </w:rPr>
            </w:pPr>
            <w:r>
              <w:rPr>
                <w:rFonts w:hint="eastAsia" w:ascii="宋体" w:hAnsi="宋体"/>
                <w:sz w:val="21"/>
                <w:szCs w:val="21"/>
              </w:rPr>
              <w:t>暴露机会非常罕见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8823" w:type="dxa"/>
            <w:gridSpan w:val="8"/>
            <w:vAlign w:val="center"/>
          </w:tcPr>
          <w:p>
            <w:pPr>
              <w:widowControl w:val="0"/>
              <w:adjustRightInd/>
              <w:snapToGrid/>
              <w:jc w:val="center"/>
              <w:rPr>
                <w:rFonts w:ascii="宋体"/>
                <w:sz w:val="21"/>
                <w:szCs w:val="21"/>
              </w:rPr>
            </w:pPr>
            <w:r>
              <w:rPr>
                <w:rFonts w:ascii="宋体" w:hAnsi="宋体"/>
                <w:sz w:val="21"/>
                <w:szCs w:val="21"/>
              </w:rPr>
              <w:t>C——</w:t>
            </w:r>
            <w:r>
              <w:rPr>
                <w:rFonts w:hint="eastAsia" w:ascii="宋体" w:hAnsi="宋体"/>
                <w:sz w:val="21"/>
                <w:szCs w:val="21"/>
              </w:rPr>
              <w:t>事故造成后果的严重程度分值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 w:hRule="atLeast"/>
          <w:jc w:val="center"/>
        </w:trPr>
        <w:tc>
          <w:tcPr>
            <w:tcW w:w="1146" w:type="dxa"/>
            <w:vAlign w:val="center"/>
          </w:tcPr>
          <w:p>
            <w:pPr>
              <w:widowControl w:val="0"/>
              <w:adjustRightInd/>
              <w:snapToGrid/>
              <w:jc w:val="center"/>
              <w:rPr>
                <w:rFonts w:ascii="宋体"/>
                <w:sz w:val="21"/>
                <w:szCs w:val="21"/>
              </w:rPr>
            </w:pPr>
            <w:r>
              <w:rPr>
                <w:rFonts w:ascii="宋体" w:hAnsi="宋体"/>
                <w:sz w:val="21"/>
                <w:szCs w:val="21"/>
              </w:rPr>
              <w:t>C</w:t>
            </w:r>
            <w:r>
              <w:rPr>
                <w:rFonts w:hint="eastAsia" w:ascii="宋体" w:hAnsi="宋体"/>
                <w:sz w:val="21"/>
                <w:szCs w:val="21"/>
              </w:rPr>
              <w:t>值</w:t>
            </w:r>
          </w:p>
        </w:tc>
        <w:tc>
          <w:tcPr>
            <w:tcW w:w="1084" w:type="dxa"/>
            <w:vAlign w:val="center"/>
          </w:tcPr>
          <w:p>
            <w:pPr>
              <w:widowControl w:val="0"/>
              <w:adjustRightInd/>
              <w:snapToGrid/>
              <w:jc w:val="center"/>
              <w:rPr>
                <w:rFonts w:ascii="宋体"/>
                <w:sz w:val="21"/>
                <w:szCs w:val="21"/>
              </w:rPr>
            </w:pPr>
            <w:r>
              <w:rPr>
                <w:rFonts w:ascii="宋体" w:hAnsi="宋体"/>
                <w:sz w:val="21"/>
                <w:szCs w:val="21"/>
              </w:rPr>
              <w:t>100</w:t>
            </w:r>
          </w:p>
        </w:tc>
        <w:tc>
          <w:tcPr>
            <w:tcW w:w="1113" w:type="dxa"/>
            <w:vAlign w:val="center"/>
          </w:tcPr>
          <w:p>
            <w:pPr>
              <w:widowControl w:val="0"/>
              <w:adjustRightInd/>
              <w:snapToGrid/>
              <w:jc w:val="center"/>
              <w:rPr>
                <w:rFonts w:ascii="宋体"/>
                <w:sz w:val="21"/>
                <w:szCs w:val="21"/>
              </w:rPr>
            </w:pPr>
            <w:r>
              <w:rPr>
                <w:rFonts w:ascii="宋体" w:hAnsi="宋体"/>
                <w:sz w:val="21"/>
                <w:szCs w:val="21"/>
              </w:rPr>
              <w:t>40</w:t>
            </w:r>
          </w:p>
        </w:tc>
        <w:tc>
          <w:tcPr>
            <w:tcW w:w="1113" w:type="dxa"/>
            <w:vAlign w:val="center"/>
          </w:tcPr>
          <w:p>
            <w:pPr>
              <w:widowControl w:val="0"/>
              <w:adjustRightInd/>
              <w:snapToGrid/>
              <w:jc w:val="center"/>
              <w:rPr>
                <w:rFonts w:ascii="宋体"/>
                <w:sz w:val="21"/>
                <w:szCs w:val="21"/>
              </w:rPr>
            </w:pPr>
            <w:r>
              <w:rPr>
                <w:rFonts w:ascii="宋体" w:hAnsi="宋体"/>
                <w:sz w:val="21"/>
                <w:szCs w:val="21"/>
              </w:rPr>
              <w:t>15</w:t>
            </w:r>
          </w:p>
        </w:tc>
        <w:tc>
          <w:tcPr>
            <w:tcW w:w="1029" w:type="dxa"/>
            <w:vAlign w:val="center"/>
          </w:tcPr>
          <w:p>
            <w:pPr>
              <w:widowControl w:val="0"/>
              <w:adjustRightInd/>
              <w:snapToGrid/>
              <w:jc w:val="center"/>
              <w:rPr>
                <w:rFonts w:ascii="宋体"/>
                <w:sz w:val="21"/>
                <w:szCs w:val="21"/>
              </w:rPr>
            </w:pPr>
            <w:r>
              <w:rPr>
                <w:rFonts w:ascii="宋体" w:hAnsi="宋体"/>
                <w:sz w:val="21"/>
                <w:szCs w:val="21"/>
              </w:rPr>
              <w:t>7</w:t>
            </w:r>
          </w:p>
        </w:tc>
        <w:tc>
          <w:tcPr>
            <w:tcW w:w="1113" w:type="dxa"/>
            <w:vAlign w:val="center"/>
          </w:tcPr>
          <w:p>
            <w:pPr>
              <w:widowControl w:val="0"/>
              <w:adjustRightInd/>
              <w:snapToGrid/>
              <w:jc w:val="center"/>
              <w:rPr>
                <w:rFonts w:ascii="宋体"/>
                <w:sz w:val="21"/>
                <w:szCs w:val="21"/>
              </w:rPr>
            </w:pPr>
            <w:r>
              <w:rPr>
                <w:rFonts w:ascii="宋体" w:hAnsi="宋体"/>
                <w:sz w:val="21"/>
                <w:szCs w:val="21"/>
              </w:rPr>
              <w:t>3</w:t>
            </w:r>
          </w:p>
        </w:tc>
        <w:tc>
          <w:tcPr>
            <w:tcW w:w="1113" w:type="dxa"/>
            <w:vAlign w:val="center"/>
          </w:tcPr>
          <w:p>
            <w:pPr>
              <w:widowControl w:val="0"/>
              <w:adjustRightInd/>
              <w:snapToGrid/>
              <w:jc w:val="center"/>
              <w:rPr>
                <w:rFonts w:ascii="宋体"/>
                <w:sz w:val="21"/>
                <w:szCs w:val="21"/>
              </w:rPr>
            </w:pPr>
            <w:r>
              <w:rPr>
                <w:rFonts w:ascii="宋体" w:hAnsi="宋体"/>
                <w:sz w:val="21"/>
                <w:szCs w:val="21"/>
              </w:rPr>
              <w:t>1</w:t>
            </w:r>
          </w:p>
        </w:tc>
        <w:tc>
          <w:tcPr>
            <w:tcW w:w="1112" w:type="dxa"/>
            <w:vAlign w:val="center"/>
          </w:tcPr>
          <w:p>
            <w:pPr>
              <w:widowControl w:val="0"/>
              <w:adjustRightInd/>
              <w:snapToGrid/>
              <w:jc w:val="center"/>
              <w:rPr>
                <w:rFonts w:ascii="宋体"/>
                <w:sz w:val="21"/>
                <w:szCs w:val="21"/>
              </w:rPr>
            </w:pPr>
            <w:r>
              <w:rPr>
                <w:rFonts w:ascii="宋体" w:hAnsi="宋体"/>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1146" w:type="dxa"/>
            <w:tcBorders>
              <w:bottom w:val="single" w:color="auto" w:sz="12" w:space="0"/>
            </w:tcBorders>
            <w:vAlign w:val="center"/>
          </w:tcPr>
          <w:p>
            <w:pPr>
              <w:widowControl w:val="0"/>
              <w:adjustRightInd/>
              <w:snapToGrid/>
              <w:jc w:val="center"/>
              <w:rPr>
                <w:rFonts w:ascii="宋体"/>
                <w:sz w:val="21"/>
                <w:szCs w:val="21"/>
              </w:rPr>
            </w:pPr>
            <w:r>
              <w:rPr>
                <w:rFonts w:hint="eastAsia" w:ascii="宋体" w:hAnsi="宋体"/>
                <w:sz w:val="21"/>
                <w:szCs w:val="21"/>
              </w:rPr>
              <w:t>事故造成后果的严重度</w:t>
            </w:r>
          </w:p>
        </w:tc>
        <w:tc>
          <w:tcPr>
            <w:tcW w:w="1084" w:type="dxa"/>
            <w:tcBorders>
              <w:bottom w:val="single" w:color="auto" w:sz="12" w:space="0"/>
            </w:tcBorders>
            <w:vAlign w:val="center"/>
          </w:tcPr>
          <w:p>
            <w:pPr>
              <w:widowControl w:val="0"/>
              <w:adjustRightInd/>
              <w:snapToGrid/>
              <w:jc w:val="center"/>
              <w:rPr>
                <w:rFonts w:ascii="宋体"/>
                <w:sz w:val="21"/>
                <w:szCs w:val="21"/>
              </w:rPr>
            </w:pPr>
            <w:r>
              <w:rPr>
                <w:rFonts w:ascii="宋体" w:hAnsi="宋体"/>
                <w:sz w:val="21"/>
                <w:szCs w:val="21"/>
              </w:rPr>
              <w:t>10</w:t>
            </w:r>
            <w:r>
              <w:rPr>
                <w:rFonts w:hint="eastAsia" w:ascii="宋体" w:hAnsi="宋体"/>
                <w:sz w:val="21"/>
                <w:szCs w:val="21"/>
              </w:rPr>
              <w:t>人以上死亡</w:t>
            </w:r>
          </w:p>
        </w:tc>
        <w:tc>
          <w:tcPr>
            <w:tcW w:w="1113" w:type="dxa"/>
            <w:tcBorders>
              <w:bottom w:val="single" w:color="auto" w:sz="12" w:space="0"/>
            </w:tcBorders>
            <w:vAlign w:val="center"/>
          </w:tcPr>
          <w:p>
            <w:pPr>
              <w:widowControl w:val="0"/>
              <w:adjustRightInd/>
              <w:snapToGrid/>
              <w:jc w:val="center"/>
              <w:rPr>
                <w:rFonts w:ascii="宋体"/>
                <w:sz w:val="21"/>
                <w:szCs w:val="21"/>
              </w:rPr>
            </w:pPr>
            <w:r>
              <w:rPr>
                <w:rFonts w:hint="eastAsia" w:ascii="宋体" w:hAnsi="宋体"/>
                <w:sz w:val="21"/>
                <w:szCs w:val="21"/>
              </w:rPr>
              <w:t>数人死亡</w:t>
            </w:r>
          </w:p>
        </w:tc>
        <w:tc>
          <w:tcPr>
            <w:tcW w:w="1113" w:type="dxa"/>
            <w:tcBorders>
              <w:bottom w:val="single" w:color="auto" w:sz="12" w:space="0"/>
            </w:tcBorders>
            <w:vAlign w:val="center"/>
          </w:tcPr>
          <w:p>
            <w:pPr>
              <w:widowControl w:val="0"/>
              <w:adjustRightInd/>
              <w:snapToGrid/>
              <w:jc w:val="center"/>
              <w:rPr>
                <w:rFonts w:ascii="宋体"/>
                <w:sz w:val="21"/>
                <w:szCs w:val="21"/>
              </w:rPr>
            </w:pPr>
            <w:r>
              <w:rPr>
                <w:rFonts w:ascii="宋体" w:hAnsi="宋体"/>
                <w:sz w:val="21"/>
                <w:szCs w:val="21"/>
              </w:rPr>
              <w:t>1</w:t>
            </w:r>
            <w:r>
              <w:rPr>
                <w:rFonts w:hint="eastAsia" w:ascii="宋体" w:hAnsi="宋体"/>
                <w:sz w:val="21"/>
                <w:szCs w:val="21"/>
              </w:rPr>
              <w:t>人死亡</w:t>
            </w:r>
          </w:p>
        </w:tc>
        <w:tc>
          <w:tcPr>
            <w:tcW w:w="1029" w:type="dxa"/>
            <w:tcBorders>
              <w:bottom w:val="single" w:color="auto" w:sz="12" w:space="0"/>
            </w:tcBorders>
            <w:vAlign w:val="center"/>
          </w:tcPr>
          <w:p>
            <w:pPr>
              <w:widowControl w:val="0"/>
              <w:adjustRightInd/>
              <w:snapToGrid/>
              <w:jc w:val="center"/>
              <w:rPr>
                <w:rFonts w:ascii="宋体"/>
                <w:sz w:val="21"/>
                <w:szCs w:val="21"/>
              </w:rPr>
            </w:pPr>
            <w:r>
              <w:rPr>
                <w:rFonts w:hint="eastAsia" w:ascii="宋体" w:hAnsi="宋体"/>
                <w:sz w:val="21"/>
                <w:szCs w:val="21"/>
              </w:rPr>
              <w:t>严重伤残，人数多</w:t>
            </w:r>
          </w:p>
        </w:tc>
        <w:tc>
          <w:tcPr>
            <w:tcW w:w="1113" w:type="dxa"/>
            <w:tcBorders>
              <w:bottom w:val="single" w:color="auto" w:sz="12" w:space="0"/>
            </w:tcBorders>
            <w:vAlign w:val="center"/>
          </w:tcPr>
          <w:p>
            <w:pPr>
              <w:widowControl w:val="0"/>
              <w:adjustRightInd/>
              <w:snapToGrid/>
              <w:jc w:val="center"/>
              <w:rPr>
                <w:rFonts w:ascii="宋体"/>
                <w:sz w:val="21"/>
                <w:szCs w:val="21"/>
              </w:rPr>
            </w:pPr>
            <w:r>
              <w:rPr>
                <w:rFonts w:hint="eastAsia" w:ascii="宋体" w:hAnsi="宋体"/>
                <w:sz w:val="21"/>
                <w:szCs w:val="21"/>
              </w:rPr>
              <w:t>有重伤残</w:t>
            </w:r>
          </w:p>
        </w:tc>
        <w:tc>
          <w:tcPr>
            <w:tcW w:w="1113" w:type="dxa"/>
            <w:tcBorders>
              <w:bottom w:val="single" w:color="auto" w:sz="12" w:space="0"/>
            </w:tcBorders>
            <w:vAlign w:val="center"/>
          </w:tcPr>
          <w:p>
            <w:pPr>
              <w:widowControl w:val="0"/>
              <w:adjustRightInd/>
              <w:snapToGrid/>
              <w:jc w:val="center"/>
              <w:rPr>
                <w:rFonts w:ascii="宋体"/>
                <w:sz w:val="21"/>
                <w:szCs w:val="21"/>
              </w:rPr>
            </w:pPr>
            <w:r>
              <w:rPr>
                <w:rFonts w:hint="eastAsia" w:ascii="宋体" w:hAnsi="宋体"/>
                <w:sz w:val="21"/>
                <w:szCs w:val="21"/>
              </w:rPr>
              <w:t>有伤残</w:t>
            </w:r>
          </w:p>
        </w:tc>
        <w:tc>
          <w:tcPr>
            <w:tcW w:w="1112" w:type="dxa"/>
            <w:tcBorders>
              <w:bottom w:val="single" w:color="auto" w:sz="12" w:space="0"/>
            </w:tcBorders>
            <w:vAlign w:val="center"/>
          </w:tcPr>
          <w:p>
            <w:pPr>
              <w:widowControl w:val="0"/>
              <w:adjustRightInd/>
              <w:snapToGrid/>
              <w:jc w:val="center"/>
              <w:rPr>
                <w:rFonts w:ascii="宋体"/>
                <w:sz w:val="21"/>
                <w:szCs w:val="21"/>
              </w:rPr>
            </w:pPr>
            <w:r>
              <w:rPr>
                <w:rFonts w:hint="eastAsia" w:ascii="宋体" w:hAnsi="宋体"/>
                <w:sz w:val="21"/>
                <w:szCs w:val="21"/>
              </w:rPr>
              <w:t>轻伤，无需救护</w:t>
            </w:r>
          </w:p>
        </w:tc>
      </w:tr>
    </w:tbl>
    <w:p>
      <w:pPr>
        <w:spacing w:line="360" w:lineRule="auto"/>
        <w:ind w:firstLine="559" w:firstLineChars="233"/>
      </w:pPr>
      <w:r>
        <w:rPr>
          <w:rFonts w:hint="eastAsia" w:ascii="宋体" w:hAnsi="宋体"/>
          <w:sz w:val="24"/>
        </w:rPr>
        <w:t>应用作业条件危险性分析法进行分析结果如下：</w:t>
      </w:r>
    </w:p>
    <w:p>
      <w:pPr>
        <w:spacing w:line="360" w:lineRule="auto"/>
        <w:ind w:firstLine="422"/>
        <w:jc w:val="center"/>
        <w:rPr>
          <w:rFonts w:ascii="宋体"/>
          <w:b/>
          <w:sz w:val="21"/>
          <w:szCs w:val="21"/>
        </w:rPr>
      </w:pPr>
      <w:r>
        <w:rPr>
          <w:rFonts w:ascii="宋体" w:hAnsi="宋体"/>
          <w:b/>
          <w:sz w:val="21"/>
          <w:szCs w:val="21"/>
        </w:rPr>
        <w:t xml:space="preserve"> </w:t>
      </w:r>
      <w:r>
        <w:rPr>
          <w:rFonts w:ascii="宋体" w:hAnsi="宋体"/>
          <w:bCs/>
          <w:szCs w:val="28"/>
        </w:rPr>
        <w:t xml:space="preserve"> </w:t>
      </w:r>
      <w:r>
        <w:rPr>
          <w:rFonts w:ascii="宋体" w:hAnsi="宋体" w:cs="宋体"/>
          <w:b/>
          <w:bCs/>
          <w:szCs w:val="28"/>
        </w:rPr>
        <w:t xml:space="preserve"> </w:t>
      </w:r>
      <w:r>
        <w:rPr>
          <w:rFonts w:hint="eastAsia" w:ascii="宋体" w:hAnsi="宋体" w:cs="宋体"/>
          <w:b/>
          <w:bCs/>
          <w:szCs w:val="28"/>
        </w:rPr>
        <w:t>表</w:t>
      </w:r>
      <w:r>
        <w:rPr>
          <w:rFonts w:ascii="宋体" w:hAnsi="宋体" w:cs="宋体"/>
          <w:b/>
          <w:bCs/>
          <w:szCs w:val="28"/>
        </w:rPr>
        <w:t>3-3</w:t>
      </w:r>
      <w:r>
        <w:rPr>
          <w:rFonts w:hint="eastAsia" w:ascii="宋体" w:hAnsi="宋体" w:cs="宋体"/>
          <w:b/>
          <w:bCs/>
          <w:szCs w:val="28"/>
        </w:rPr>
        <w:t>作业条件危险性分析一览表</w:t>
      </w:r>
      <w:r>
        <w:rPr>
          <w:rFonts w:ascii="宋体" w:hAnsi="宋体" w:cs="宋体"/>
          <w:b/>
          <w:bCs/>
          <w:szCs w:val="28"/>
        </w:rPr>
        <w:t xml:space="preserve">    </w:t>
      </w:r>
      <w:r>
        <w:rPr>
          <w:rFonts w:ascii="宋体" w:hAnsi="宋体"/>
          <w:b/>
          <w:sz w:val="21"/>
          <w:szCs w:val="21"/>
        </w:rPr>
        <w:t xml:space="preserve">  </w:t>
      </w:r>
    </w:p>
    <w:bookmarkEnd w:id="409"/>
    <w:bookmarkEnd w:id="410"/>
    <w:bookmarkEnd w:id="411"/>
    <w:tbl>
      <w:tblPr>
        <w:tblStyle w:val="42"/>
        <w:tblW w:w="96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52"/>
        <w:gridCol w:w="1276"/>
        <w:gridCol w:w="2454"/>
        <w:gridCol w:w="1437"/>
        <w:gridCol w:w="689"/>
        <w:gridCol w:w="709"/>
        <w:gridCol w:w="709"/>
        <w:gridCol w:w="708"/>
        <w:gridCol w:w="11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2" w:hRule="atLeast"/>
          <w:jc w:val="center"/>
        </w:trPr>
        <w:tc>
          <w:tcPr>
            <w:tcW w:w="552" w:type="dxa"/>
            <w:tcBorders>
              <w:top w:val="single" w:color="auto" w:sz="12" w:space="0"/>
            </w:tcBorders>
            <w:vAlign w:val="center"/>
          </w:tcPr>
          <w:p>
            <w:pPr>
              <w:widowControl w:val="0"/>
              <w:adjustRightInd/>
              <w:snapToGrid/>
              <w:jc w:val="center"/>
              <w:rPr>
                <w:rFonts w:ascii="宋体"/>
                <w:sz w:val="21"/>
                <w:szCs w:val="21"/>
              </w:rPr>
            </w:pPr>
            <w:bookmarkStart w:id="414" w:name="_Toc505002421"/>
            <w:bookmarkStart w:id="415" w:name="_Toc80537568"/>
            <w:bookmarkStart w:id="416" w:name="_Toc101798345"/>
            <w:r>
              <w:rPr>
                <w:rFonts w:hint="eastAsia" w:ascii="宋体" w:hAnsi="宋体"/>
                <w:sz w:val="21"/>
                <w:szCs w:val="21"/>
              </w:rPr>
              <w:t>序号</w:t>
            </w:r>
          </w:p>
        </w:tc>
        <w:tc>
          <w:tcPr>
            <w:tcW w:w="3730" w:type="dxa"/>
            <w:gridSpan w:val="2"/>
            <w:tcBorders>
              <w:top w:val="single" w:color="auto" w:sz="12" w:space="0"/>
            </w:tcBorders>
            <w:vAlign w:val="center"/>
          </w:tcPr>
          <w:p>
            <w:pPr>
              <w:widowControl w:val="0"/>
              <w:adjustRightInd/>
              <w:snapToGrid/>
              <w:jc w:val="center"/>
              <w:rPr>
                <w:rFonts w:ascii="宋体"/>
                <w:sz w:val="21"/>
                <w:szCs w:val="21"/>
              </w:rPr>
            </w:pPr>
            <w:r>
              <w:rPr>
                <w:rFonts w:hint="eastAsia" w:ascii="宋体" w:hAnsi="宋体"/>
                <w:sz w:val="21"/>
                <w:szCs w:val="21"/>
              </w:rPr>
              <w:t>作业名称</w:t>
            </w:r>
          </w:p>
        </w:tc>
        <w:tc>
          <w:tcPr>
            <w:tcW w:w="1437" w:type="dxa"/>
            <w:tcBorders>
              <w:top w:val="single" w:color="auto" w:sz="12" w:space="0"/>
            </w:tcBorders>
            <w:tcMar>
              <w:top w:w="18" w:type="dxa"/>
              <w:left w:w="18" w:type="dxa"/>
              <w:bottom w:w="0" w:type="dxa"/>
              <w:right w:w="18" w:type="dxa"/>
            </w:tcMar>
            <w:vAlign w:val="center"/>
          </w:tcPr>
          <w:p>
            <w:pPr>
              <w:widowControl w:val="0"/>
              <w:adjustRightInd/>
              <w:snapToGrid/>
              <w:jc w:val="center"/>
              <w:rPr>
                <w:rFonts w:ascii="宋体"/>
                <w:sz w:val="21"/>
                <w:szCs w:val="21"/>
              </w:rPr>
            </w:pPr>
            <w:r>
              <w:rPr>
                <w:rFonts w:hint="eastAsia" w:ascii="宋体" w:hAnsi="宋体"/>
                <w:sz w:val="21"/>
                <w:szCs w:val="21"/>
              </w:rPr>
              <w:t>危害因素</w:t>
            </w:r>
          </w:p>
        </w:tc>
        <w:tc>
          <w:tcPr>
            <w:tcW w:w="689" w:type="dxa"/>
            <w:tcBorders>
              <w:top w:val="single" w:color="auto" w:sz="12" w:space="0"/>
            </w:tcBorders>
            <w:tcMar>
              <w:top w:w="18" w:type="dxa"/>
              <w:left w:w="18" w:type="dxa"/>
              <w:bottom w:w="0" w:type="dxa"/>
              <w:right w:w="18" w:type="dxa"/>
            </w:tcMar>
            <w:vAlign w:val="center"/>
          </w:tcPr>
          <w:p>
            <w:pPr>
              <w:widowControl w:val="0"/>
              <w:adjustRightInd/>
              <w:snapToGrid/>
              <w:jc w:val="center"/>
              <w:rPr>
                <w:rFonts w:ascii="宋体"/>
                <w:sz w:val="21"/>
                <w:szCs w:val="21"/>
              </w:rPr>
            </w:pPr>
            <w:r>
              <w:rPr>
                <w:rFonts w:ascii="宋体" w:hAnsi="宋体"/>
                <w:sz w:val="21"/>
                <w:szCs w:val="21"/>
              </w:rPr>
              <w:t>L</w:t>
            </w:r>
          </w:p>
        </w:tc>
        <w:tc>
          <w:tcPr>
            <w:tcW w:w="709" w:type="dxa"/>
            <w:tcBorders>
              <w:top w:val="single" w:color="auto" w:sz="12" w:space="0"/>
            </w:tcBorders>
            <w:tcMar>
              <w:top w:w="18" w:type="dxa"/>
              <w:left w:w="18" w:type="dxa"/>
              <w:bottom w:w="0" w:type="dxa"/>
              <w:right w:w="18" w:type="dxa"/>
            </w:tcMar>
            <w:vAlign w:val="center"/>
          </w:tcPr>
          <w:p>
            <w:pPr>
              <w:widowControl w:val="0"/>
              <w:adjustRightInd/>
              <w:snapToGrid/>
              <w:jc w:val="center"/>
              <w:rPr>
                <w:rFonts w:ascii="宋体"/>
                <w:sz w:val="21"/>
                <w:szCs w:val="21"/>
              </w:rPr>
            </w:pPr>
            <w:r>
              <w:rPr>
                <w:rFonts w:ascii="宋体" w:hAnsi="宋体"/>
                <w:sz w:val="21"/>
                <w:szCs w:val="21"/>
              </w:rPr>
              <w:t>E</w:t>
            </w:r>
          </w:p>
        </w:tc>
        <w:tc>
          <w:tcPr>
            <w:tcW w:w="709" w:type="dxa"/>
            <w:tcBorders>
              <w:top w:val="single" w:color="auto" w:sz="12" w:space="0"/>
            </w:tcBorders>
            <w:tcMar>
              <w:top w:w="18" w:type="dxa"/>
              <w:left w:w="18" w:type="dxa"/>
              <w:bottom w:w="0" w:type="dxa"/>
              <w:right w:w="18" w:type="dxa"/>
            </w:tcMar>
            <w:vAlign w:val="center"/>
          </w:tcPr>
          <w:p>
            <w:pPr>
              <w:widowControl w:val="0"/>
              <w:adjustRightInd/>
              <w:snapToGrid/>
              <w:jc w:val="center"/>
              <w:rPr>
                <w:rFonts w:ascii="宋体"/>
                <w:sz w:val="21"/>
                <w:szCs w:val="21"/>
              </w:rPr>
            </w:pPr>
            <w:r>
              <w:rPr>
                <w:rFonts w:ascii="宋体" w:hAnsi="宋体"/>
                <w:sz w:val="21"/>
                <w:szCs w:val="21"/>
              </w:rPr>
              <w:t>C</w:t>
            </w:r>
          </w:p>
        </w:tc>
        <w:tc>
          <w:tcPr>
            <w:tcW w:w="708" w:type="dxa"/>
            <w:tcBorders>
              <w:top w:val="single" w:color="auto" w:sz="12" w:space="0"/>
            </w:tcBorders>
            <w:tcMar>
              <w:top w:w="18" w:type="dxa"/>
              <w:left w:w="18" w:type="dxa"/>
              <w:bottom w:w="0" w:type="dxa"/>
              <w:right w:w="18" w:type="dxa"/>
            </w:tcMar>
            <w:vAlign w:val="center"/>
          </w:tcPr>
          <w:p>
            <w:pPr>
              <w:widowControl w:val="0"/>
              <w:adjustRightInd/>
              <w:snapToGrid/>
              <w:jc w:val="center"/>
              <w:rPr>
                <w:rFonts w:ascii="宋体"/>
                <w:sz w:val="21"/>
                <w:szCs w:val="21"/>
              </w:rPr>
            </w:pPr>
            <w:r>
              <w:rPr>
                <w:rFonts w:ascii="宋体" w:hAnsi="宋体"/>
                <w:sz w:val="21"/>
                <w:szCs w:val="21"/>
              </w:rPr>
              <w:t>D</w:t>
            </w:r>
          </w:p>
        </w:tc>
        <w:tc>
          <w:tcPr>
            <w:tcW w:w="1161" w:type="dxa"/>
            <w:tcBorders>
              <w:top w:val="single" w:color="auto" w:sz="12" w:space="0"/>
            </w:tcBorders>
            <w:tcMar>
              <w:top w:w="18" w:type="dxa"/>
              <w:left w:w="18" w:type="dxa"/>
              <w:bottom w:w="0" w:type="dxa"/>
              <w:right w:w="18" w:type="dxa"/>
            </w:tcMar>
            <w:vAlign w:val="center"/>
          </w:tcPr>
          <w:p>
            <w:pPr>
              <w:widowControl w:val="0"/>
              <w:adjustRightInd/>
              <w:snapToGrid/>
              <w:jc w:val="center"/>
              <w:rPr>
                <w:rFonts w:ascii="宋体"/>
                <w:sz w:val="21"/>
                <w:szCs w:val="21"/>
              </w:rPr>
            </w:pPr>
            <w:r>
              <w:rPr>
                <w:rFonts w:hint="eastAsia" w:ascii="宋体" w:hAnsi="宋体"/>
                <w:sz w:val="21"/>
                <w:szCs w:val="21"/>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7" w:hRule="atLeast"/>
          <w:jc w:val="center"/>
        </w:trPr>
        <w:tc>
          <w:tcPr>
            <w:tcW w:w="552" w:type="dxa"/>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276" w:type="dxa"/>
            <w:vMerge w:val="restart"/>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管道抢险/</w:t>
            </w:r>
          </w:p>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维修/安装作业</w:t>
            </w:r>
          </w:p>
        </w:tc>
        <w:tc>
          <w:tcPr>
            <w:tcW w:w="2454" w:type="dxa"/>
            <w:vAlign w:val="center"/>
          </w:tcPr>
          <w:p>
            <w:pPr>
              <w:spacing w:line="300" w:lineRule="exact"/>
              <w:rPr>
                <w:rFonts w:cs="宋体" w:asciiTheme="minorEastAsia" w:hAnsiTheme="minorEastAsia" w:eastAsiaTheme="minorEastAsia"/>
                <w:sz w:val="21"/>
                <w:szCs w:val="21"/>
              </w:rPr>
            </w:pPr>
            <w:r>
              <w:rPr>
                <w:rFonts w:hint="eastAsia" w:asciiTheme="minorEastAsia" w:hAnsiTheme="minorEastAsia" w:eastAsiaTheme="minorEastAsia"/>
                <w:sz w:val="21"/>
                <w:szCs w:val="21"/>
              </w:rPr>
              <w:t>使用不合格电器设备、不规范搭接电源</w:t>
            </w:r>
          </w:p>
        </w:tc>
        <w:tc>
          <w:tcPr>
            <w:tcW w:w="1437" w:type="dxa"/>
            <w:tcMar>
              <w:top w:w="18" w:type="dxa"/>
              <w:left w:w="18" w:type="dxa"/>
              <w:bottom w:w="0" w:type="dxa"/>
              <w:right w:w="18" w:type="dxa"/>
            </w:tcMar>
            <w:vAlign w:val="center"/>
          </w:tcPr>
          <w:p>
            <w:pPr>
              <w:spacing w:line="300" w:lineRule="exact"/>
              <w:rPr>
                <w:rFonts w:cs="宋体" w:asciiTheme="minorEastAsia" w:hAnsiTheme="minorEastAsia" w:eastAsiaTheme="minorEastAsia"/>
                <w:sz w:val="21"/>
                <w:szCs w:val="21"/>
              </w:rPr>
            </w:pPr>
            <w:r>
              <w:rPr>
                <w:rFonts w:hint="eastAsia" w:asciiTheme="minorEastAsia" w:hAnsiTheme="minorEastAsia" w:eastAsiaTheme="minorEastAsia"/>
                <w:sz w:val="21"/>
                <w:szCs w:val="21"/>
              </w:rPr>
              <w:t>触电、火灾</w:t>
            </w:r>
          </w:p>
        </w:tc>
        <w:tc>
          <w:tcPr>
            <w:tcW w:w="68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708"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18</w:t>
            </w:r>
          </w:p>
        </w:tc>
        <w:tc>
          <w:tcPr>
            <w:tcW w:w="1161"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稍有危险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7" w:hRule="atLeast"/>
          <w:jc w:val="center"/>
        </w:trPr>
        <w:tc>
          <w:tcPr>
            <w:tcW w:w="552" w:type="dxa"/>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276" w:type="dxa"/>
            <w:vMerge w:val="continue"/>
            <w:vAlign w:val="center"/>
          </w:tcPr>
          <w:p>
            <w:pPr>
              <w:widowControl w:val="0"/>
              <w:adjustRightInd/>
              <w:snapToGrid/>
              <w:jc w:val="center"/>
              <w:rPr>
                <w:rFonts w:asciiTheme="minorEastAsia" w:hAnsiTheme="minorEastAsia" w:eastAsiaTheme="minorEastAsia"/>
                <w:sz w:val="21"/>
                <w:szCs w:val="21"/>
              </w:rPr>
            </w:pPr>
          </w:p>
        </w:tc>
        <w:tc>
          <w:tcPr>
            <w:tcW w:w="2454" w:type="dxa"/>
            <w:vAlign w:val="center"/>
          </w:tcPr>
          <w:p>
            <w:pPr>
              <w:spacing w:line="300" w:lineRule="exact"/>
              <w:rPr>
                <w:rFonts w:cs="宋体" w:asciiTheme="minorEastAsia" w:hAnsiTheme="minorEastAsia" w:eastAsiaTheme="minorEastAsia"/>
                <w:sz w:val="21"/>
                <w:szCs w:val="21"/>
              </w:rPr>
            </w:pPr>
            <w:r>
              <w:rPr>
                <w:rFonts w:hint="eastAsia" w:asciiTheme="minorEastAsia" w:hAnsiTheme="minorEastAsia" w:eastAsiaTheme="minorEastAsia"/>
                <w:sz w:val="21"/>
                <w:szCs w:val="21"/>
              </w:rPr>
              <w:t>高空作业</w:t>
            </w:r>
          </w:p>
        </w:tc>
        <w:tc>
          <w:tcPr>
            <w:tcW w:w="1437" w:type="dxa"/>
            <w:tcMar>
              <w:top w:w="18" w:type="dxa"/>
              <w:left w:w="18" w:type="dxa"/>
              <w:bottom w:w="0" w:type="dxa"/>
              <w:right w:w="18" w:type="dxa"/>
            </w:tcMar>
            <w:vAlign w:val="center"/>
          </w:tcPr>
          <w:p>
            <w:pPr>
              <w:spacing w:line="300" w:lineRule="exact"/>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高处坠落、物体打击、坍塌</w:t>
            </w:r>
          </w:p>
        </w:tc>
        <w:tc>
          <w:tcPr>
            <w:tcW w:w="68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0.5</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708"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22.5</w:t>
            </w:r>
          </w:p>
        </w:tc>
        <w:tc>
          <w:tcPr>
            <w:tcW w:w="1161"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稍有危险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46" w:hRule="atLeast"/>
          <w:jc w:val="center"/>
        </w:trPr>
        <w:tc>
          <w:tcPr>
            <w:tcW w:w="552" w:type="dxa"/>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276" w:type="dxa"/>
            <w:vMerge w:val="continue"/>
            <w:vAlign w:val="center"/>
          </w:tcPr>
          <w:p>
            <w:pPr>
              <w:widowControl w:val="0"/>
              <w:adjustRightInd/>
              <w:snapToGrid/>
              <w:jc w:val="center"/>
              <w:rPr>
                <w:rFonts w:asciiTheme="minorEastAsia" w:hAnsiTheme="minorEastAsia" w:eastAsiaTheme="minorEastAsia"/>
                <w:sz w:val="21"/>
                <w:szCs w:val="21"/>
              </w:rPr>
            </w:pPr>
          </w:p>
        </w:tc>
        <w:tc>
          <w:tcPr>
            <w:tcW w:w="2454" w:type="dxa"/>
            <w:vAlign w:val="center"/>
          </w:tcPr>
          <w:p>
            <w:pPr>
              <w:spacing w:line="300" w:lineRule="exact"/>
              <w:rPr>
                <w:rFonts w:cs="宋体" w:asciiTheme="minorEastAsia" w:hAnsiTheme="minorEastAsia" w:eastAsiaTheme="minorEastAsia"/>
                <w:sz w:val="21"/>
                <w:szCs w:val="21"/>
              </w:rPr>
            </w:pPr>
            <w:r>
              <w:rPr>
                <w:rFonts w:hint="eastAsia" w:asciiTheme="minorEastAsia" w:hAnsiTheme="minorEastAsia" w:eastAsiaTheme="minorEastAsia"/>
                <w:sz w:val="21"/>
                <w:szCs w:val="21"/>
              </w:rPr>
              <w:t>土建开挖、恢复</w:t>
            </w:r>
          </w:p>
        </w:tc>
        <w:tc>
          <w:tcPr>
            <w:tcW w:w="1437" w:type="dxa"/>
            <w:tcMar>
              <w:top w:w="18" w:type="dxa"/>
              <w:left w:w="18" w:type="dxa"/>
              <w:bottom w:w="0" w:type="dxa"/>
              <w:right w:w="18" w:type="dxa"/>
            </w:tcMar>
            <w:vAlign w:val="center"/>
          </w:tcPr>
          <w:p>
            <w:pPr>
              <w:spacing w:line="300" w:lineRule="exact"/>
              <w:rPr>
                <w:rFonts w:cs="宋体" w:asciiTheme="minorEastAsia" w:hAnsiTheme="minorEastAsia" w:eastAsiaTheme="minorEastAsia"/>
                <w:sz w:val="21"/>
                <w:szCs w:val="21"/>
              </w:rPr>
            </w:pPr>
            <w:r>
              <w:rPr>
                <w:rFonts w:hint="eastAsia" w:asciiTheme="minorEastAsia" w:hAnsiTheme="minorEastAsia" w:eastAsiaTheme="minorEastAsia"/>
                <w:sz w:val="21"/>
                <w:szCs w:val="21"/>
              </w:rPr>
              <w:t>中毒窒息、燃爆事故、坍塌、物体打击</w:t>
            </w:r>
          </w:p>
        </w:tc>
        <w:tc>
          <w:tcPr>
            <w:tcW w:w="68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708"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30</w:t>
            </w:r>
          </w:p>
        </w:tc>
        <w:tc>
          <w:tcPr>
            <w:tcW w:w="1161"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稍有危险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46" w:hRule="atLeast"/>
          <w:jc w:val="center"/>
        </w:trPr>
        <w:tc>
          <w:tcPr>
            <w:tcW w:w="552" w:type="dxa"/>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276" w:type="dxa"/>
            <w:vMerge w:val="continue"/>
            <w:vAlign w:val="center"/>
          </w:tcPr>
          <w:p>
            <w:pPr>
              <w:widowControl w:val="0"/>
              <w:adjustRightInd/>
              <w:snapToGrid/>
              <w:jc w:val="center"/>
              <w:rPr>
                <w:rFonts w:asciiTheme="minorEastAsia" w:hAnsiTheme="minorEastAsia" w:eastAsiaTheme="minorEastAsia"/>
                <w:sz w:val="21"/>
                <w:szCs w:val="21"/>
              </w:rPr>
            </w:pPr>
          </w:p>
        </w:tc>
        <w:tc>
          <w:tcPr>
            <w:tcW w:w="2454" w:type="dxa"/>
            <w:vAlign w:val="center"/>
          </w:tcPr>
          <w:p>
            <w:pPr>
              <w:spacing w:line="300" w:lineRule="exact"/>
              <w:rPr>
                <w:rFonts w:cs="宋体" w:asciiTheme="minorEastAsia" w:hAnsiTheme="minorEastAsia" w:eastAsiaTheme="minorEastAsia"/>
                <w:sz w:val="21"/>
                <w:szCs w:val="21"/>
              </w:rPr>
            </w:pPr>
            <w:r>
              <w:rPr>
                <w:rFonts w:hint="eastAsia" w:asciiTheme="minorEastAsia" w:hAnsiTheme="minorEastAsia" w:eastAsiaTheme="minorEastAsia"/>
                <w:sz w:val="21"/>
                <w:szCs w:val="21"/>
              </w:rPr>
              <w:t>燃气泄漏处置</w:t>
            </w:r>
          </w:p>
        </w:tc>
        <w:tc>
          <w:tcPr>
            <w:tcW w:w="1437" w:type="dxa"/>
            <w:tcMar>
              <w:top w:w="18" w:type="dxa"/>
              <w:left w:w="18" w:type="dxa"/>
              <w:bottom w:w="0" w:type="dxa"/>
              <w:right w:w="18" w:type="dxa"/>
            </w:tcMar>
            <w:vAlign w:val="center"/>
          </w:tcPr>
          <w:p>
            <w:pPr>
              <w:spacing w:line="300" w:lineRule="exact"/>
              <w:rPr>
                <w:rFonts w:cs="宋体" w:asciiTheme="minorEastAsia" w:hAnsiTheme="minorEastAsia" w:eastAsiaTheme="minorEastAsia"/>
                <w:sz w:val="21"/>
                <w:szCs w:val="21"/>
              </w:rPr>
            </w:pPr>
            <w:r>
              <w:rPr>
                <w:rFonts w:hint="eastAsia" w:asciiTheme="minorEastAsia" w:hAnsiTheme="minorEastAsia" w:eastAsiaTheme="minorEastAsia"/>
                <w:sz w:val="21"/>
                <w:szCs w:val="21"/>
              </w:rPr>
              <w:t>中毒窒息、燃爆事故、坍塌</w:t>
            </w:r>
          </w:p>
        </w:tc>
        <w:tc>
          <w:tcPr>
            <w:tcW w:w="68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5</w:t>
            </w:r>
          </w:p>
        </w:tc>
        <w:tc>
          <w:tcPr>
            <w:tcW w:w="708"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0</w:t>
            </w:r>
          </w:p>
        </w:tc>
        <w:tc>
          <w:tcPr>
            <w:tcW w:w="1161"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比较危险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46" w:hRule="atLeast"/>
          <w:jc w:val="center"/>
        </w:trPr>
        <w:tc>
          <w:tcPr>
            <w:tcW w:w="552" w:type="dxa"/>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276" w:type="dxa"/>
            <w:vMerge w:val="restart"/>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碰口（动火）作业</w:t>
            </w:r>
          </w:p>
        </w:tc>
        <w:tc>
          <w:tcPr>
            <w:tcW w:w="2454" w:type="dxa"/>
            <w:vAlign w:val="center"/>
          </w:tcPr>
          <w:p>
            <w:pPr>
              <w:spacing w:line="300" w:lineRule="exact"/>
              <w:rPr>
                <w:rFonts w:cs="宋体" w:asciiTheme="minorEastAsia" w:hAnsiTheme="minorEastAsia" w:eastAsiaTheme="minorEastAsia"/>
                <w:sz w:val="21"/>
                <w:szCs w:val="21"/>
              </w:rPr>
            </w:pPr>
            <w:r>
              <w:rPr>
                <w:rFonts w:hint="eastAsia" w:asciiTheme="minorEastAsia" w:hAnsiTheme="minorEastAsia" w:eastAsiaTheme="minorEastAsia"/>
                <w:sz w:val="21"/>
                <w:szCs w:val="21"/>
              </w:rPr>
              <w:t>电（切割）火花引燃易燃物发生火灾、爆炸。</w:t>
            </w:r>
          </w:p>
        </w:tc>
        <w:tc>
          <w:tcPr>
            <w:tcW w:w="1437" w:type="dxa"/>
            <w:tcMar>
              <w:top w:w="18" w:type="dxa"/>
              <w:left w:w="18" w:type="dxa"/>
              <w:bottom w:w="0" w:type="dxa"/>
              <w:right w:w="18" w:type="dxa"/>
            </w:tcMar>
            <w:vAlign w:val="center"/>
          </w:tcPr>
          <w:p>
            <w:pPr>
              <w:spacing w:line="300" w:lineRule="exact"/>
              <w:rPr>
                <w:rFonts w:cs="宋体" w:asciiTheme="minorEastAsia" w:hAnsiTheme="minorEastAsia" w:eastAsiaTheme="minorEastAsia"/>
                <w:sz w:val="21"/>
                <w:szCs w:val="21"/>
              </w:rPr>
            </w:pPr>
            <w:r>
              <w:rPr>
                <w:rFonts w:hint="eastAsia" w:asciiTheme="minorEastAsia" w:hAnsiTheme="minorEastAsia" w:eastAsiaTheme="minorEastAsia"/>
                <w:sz w:val="21"/>
                <w:szCs w:val="21"/>
              </w:rPr>
              <w:t>火灾、爆炸、中毒窒息</w:t>
            </w:r>
          </w:p>
        </w:tc>
        <w:tc>
          <w:tcPr>
            <w:tcW w:w="68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0.5</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708"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30</w:t>
            </w:r>
          </w:p>
        </w:tc>
        <w:tc>
          <w:tcPr>
            <w:tcW w:w="1161"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稍有危险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46" w:hRule="atLeast"/>
          <w:jc w:val="center"/>
        </w:trPr>
        <w:tc>
          <w:tcPr>
            <w:tcW w:w="552" w:type="dxa"/>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276" w:type="dxa"/>
            <w:vMerge w:val="continue"/>
            <w:vAlign w:val="center"/>
          </w:tcPr>
          <w:p>
            <w:pPr>
              <w:widowControl w:val="0"/>
              <w:adjustRightInd/>
              <w:snapToGrid/>
              <w:jc w:val="center"/>
              <w:rPr>
                <w:rFonts w:asciiTheme="minorEastAsia" w:hAnsiTheme="minorEastAsia" w:eastAsiaTheme="minorEastAsia"/>
                <w:sz w:val="21"/>
                <w:szCs w:val="21"/>
              </w:rPr>
            </w:pPr>
          </w:p>
        </w:tc>
        <w:tc>
          <w:tcPr>
            <w:tcW w:w="2454" w:type="dxa"/>
            <w:vAlign w:val="center"/>
          </w:tcPr>
          <w:p>
            <w:pPr>
              <w:spacing w:line="300" w:lineRule="exact"/>
              <w:rPr>
                <w:rFonts w:cs="宋体" w:asciiTheme="minorEastAsia" w:hAnsiTheme="minorEastAsia" w:eastAsiaTheme="minorEastAsia"/>
                <w:sz w:val="21"/>
                <w:szCs w:val="21"/>
              </w:rPr>
            </w:pPr>
            <w:r>
              <w:rPr>
                <w:rFonts w:hint="eastAsia" w:asciiTheme="minorEastAsia" w:hAnsiTheme="minorEastAsia" w:eastAsiaTheme="minorEastAsia"/>
                <w:sz w:val="21"/>
                <w:szCs w:val="21"/>
              </w:rPr>
              <w:t>在易燃易爆设备、管道上动火，未清洗置换加盲板，未分析检测，导致火灾、爆炸</w:t>
            </w:r>
          </w:p>
        </w:tc>
        <w:tc>
          <w:tcPr>
            <w:tcW w:w="1437" w:type="dxa"/>
            <w:tcMar>
              <w:top w:w="18" w:type="dxa"/>
              <w:left w:w="18" w:type="dxa"/>
              <w:bottom w:w="0" w:type="dxa"/>
              <w:right w:w="18" w:type="dxa"/>
            </w:tcMar>
            <w:vAlign w:val="center"/>
          </w:tcPr>
          <w:p>
            <w:pPr>
              <w:spacing w:line="300" w:lineRule="exact"/>
              <w:rPr>
                <w:rFonts w:cs="宋体" w:asciiTheme="minorEastAsia" w:hAnsiTheme="minorEastAsia" w:eastAsiaTheme="minorEastAsia"/>
                <w:sz w:val="21"/>
                <w:szCs w:val="21"/>
              </w:rPr>
            </w:pPr>
            <w:r>
              <w:rPr>
                <w:rFonts w:hint="eastAsia" w:asciiTheme="minorEastAsia" w:hAnsiTheme="minorEastAsia" w:eastAsiaTheme="minorEastAsia"/>
                <w:sz w:val="21"/>
                <w:szCs w:val="21"/>
              </w:rPr>
              <w:t>火灾、爆炸、中毒窒息</w:t>
            </w:r>
          </w:p>
        </w:tc>
        <w:tc>
          <w:tcPr>
            <w:tcW w:w="68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0.5</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40</w:t>
            </w:r>
          </w:p>
        </w:tc>
        <w:tc>
          <w:tcPr>
            <w:tcW w:w="708"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40</w:t>
            </w:r>
          </w:p>
        </w:tc>
        <w:tc>
          <w:tcPr>
            <w:tcW w:w="1161"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比较危险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46" w:hRule="atLeast"/>
          <w:jc w:val="center"/>
        </w:trPr>
        <w:tc>
          <w:tcPr>
            <w:tcW w:w="552" w:type="dxa"/>
            <w:vAlign w:val="center"/>
          </w:tcPr>
          <w:p>
            <w:pPr>
              <w:widowControl w:val="0"/>
              <w:adjustRightInd/>
              <w:snapToGrid/>
              <w:jc w:val="center"/>
              <w:rPr>
                <w:rFonts w:asciiTheme="minorEastAsia" w:hAnsiTheme="minorEastAsia" w:eastAsiaTheme="minorEastAsia"/>
                <w:sz w:val="21"/>
                <w:szCs w:val="21"/>
              </w:rPr>
            </w:pPr>
          </w:p>
        </w:tc>
        <w:tc>
          <w:tcPr>
            <w:tcW w:w="1276" w:type="dxa"/>
            <w:vMerge w:val="continue"/>
            <w:vAlign w:val="center"/>
          </w:tcPr>
          <w:p>
            <w:pPr>
              <w:widowControl w:val="0"/>
              <w:adjustRightInd/>
              <w:snapToGrid/>
              <w:jc w:val="center"/>
              <w:rPr>
                <w:rFonts w:asciiTheme="minorEastAsia" w:hAnsiTheme="minorEastAsia" w:eastAsiaTheme="minorEastAsia"/>
                <w:sz w:val="21"/>
                <w:szCs w:val="21"/>
              </w:rPr>
            </w:pPr>
          </w:p>
        </w:tc>
        <w:tc>
          <w:tcPr>
            <w:tcW w:w="2454" w:type="dxa"/>
            <w:vAlign w:val="center"/>
          </w:tcPr>
          <w:p>
            <w:pPr>
              <w:spacing w:line="3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作业中关联阀门未经允许被打开</w:t>
            </w:r>
          </w:p>
        </w:tc>
        <w:tc>
          <w:tcPr>
            <w:tcW w:w="1437" w:type="dxa"/>
            <w:tcMar>
              <w:top w:w="18" w:type="dxa"/>
              <w:left w:w="18" w:type="dxa"/>
              <w:bottom w:w="0" w:type="dxa"/>
              <w:right w:w="18" w:type="dxa"/>
            </w:tcMar>
            <w:vAlign w:val="center"/>
          </w:tcPr>
          <w:p>
            <w:pPr>
              <w:spacing w:line="3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火灾、爆炸</w:t>
            </w:r>
          </w:p>
        </w:tc>
        <w:tc>
          <w:tcPr>
            <w:tcW w:w="68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0</w:t>
            </w:r>
          </w:p>
        </w:tc>
        <w:tc>
          <w:tcPr>
            <w:tcW w:w="708"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40</w:t>
            </w:r>
          </w:p>
        </w:tc>
        <w:tc>
          <w:tcPr>
            <w:tcW w:w="1161"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比较危险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8" w:hRule="atLeast"/>
          <w:jc w:val="center"/>
        </w:trPr>
        <w:tc>
          <w:tcPr>
            <w:tcW w:w="552" w:type="dxa"/>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7</w:t>
            </w:r>
          </w:p>
        </w:tc>
        <w:tc>
          <w:tcPr>
            <w:tcW w:w="1276" w:type="dxa"/>
            <w:vAlign w:val="center"/>
          </w:tcPr>
          <w:p>
            <w:pPr>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楼房安装通气作业</w:t>
            </w:r>
          </w:p>
        </w:tc>
        <w:tc>
          <w:tcPr>
            <w:tcW w:w="2454" w:type="dxa"/>
            <w:vAlign w:val="center"/>
          </w:tcPr>
          <w:p>
            <w:pPr>
              <w:spacing w:line="3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高处安装作业</w:t>
            </w:r>
          </w:p>
        </w:tc>
        <w:tc>
          <w:tcPr>
            <w:tcW w:w="1437" w:type="dxa"/>
            <w:tcMar>
              <w:top w:w="18" w:type="dxa"/>
              <w:left w:w="18" w:type="dxa"/>
              <w:bottom w:w="0" w:type="dxa"/>
              <w:right w:w="18" w:type="dxa"/>
            </w:tcMar>
            <w:vAlign w:val="center"/>
          </w:tcPr>
          <w:p>
            <w:pPr>
              <w:spacing w:line="300" w:lineRule="exact"/>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高坠、物体打击、坍塌</w:t>
            </w:r>
          </w:p>
        </w:tc>
        <w:tc>
          <w:tcPr>
            <w:tcW w:w="68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0.5</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708"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30</w:t>
            </w:r>
          </w:p>
        </w:tc>
        <w:tc>
          <w:tcPr>
            <w:tcW w:w="1161"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稍有危险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02" w:hRule="atLeast"/>
          <w:jc w:val="center"/>
        </w:trPr>
        <w:tc>
          <w:tcPr>
            <w:tcW w:w="552" w:type="dxa"/>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8</w:t>
            </w:r>
          </w:p>
        </w:tc>
        <w:tc>
          <w:tcPr>
            <w:tcW w:w="1276" w:type="dxa"/>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检修作业</w:t>
            </w:r>
          </w:p>
        </w:tc>
        <w:tc>
          <w:tcPr>
            <w:tcW w:w="2454" w:type="dxa"/>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设备维护作业</w:t>
            </w:r>
          </w:p>
        </w:tc>
        <w:tc>
          <w:tcPr>
            <w:tcW w:w="1437" w:type="dxa"/>
            <w:tcMar>
              <w:top w:w="18" w:type="dxa"/>
              <w:left w:w="18" w:type="dxa"/>
              <w:bottom w:w="0" w:type="dxa"/>
              <w:right w:w="18" w:type="dxa"/>
            </w:tcMar>
            <w:vAlign w:val="center"/>
          </w:tcPr>
          <w:p>
            <w:pPr>
              <w:widowControl w:val="0"/>
              <w:adjustRightInd/>
              <w:snapToGrid/>
              <w:rPr>
                <w:rFonts w:asciiTheme="minorEastAsia" w:hAnsiTheme="minorEastAsia" w:eastAsiaTheme="minorEastAsia"/>
                <w:sz w:val="21"/>
                <w:szCs w:val="21"/>
              </w:rPr>
            </w:pPr>
            <w:r>
              <w:rPr>
                <w:rFonts w:hint="eastAsia" w:asciiTheme="minorEastAsia" w:hAnsiTheme="minorEastAsia" w:eastAsiaTheme="minorEastAsia"/>
                <w:sz w:val="21"/>
                <w:szCs w:val="21"/>
              </w:rPr>
              <w:t>火灾、机械伤害、触电、高坠、坍塌、物体打击</w:t>
            </w:r>
          </w:p>
        </w:tc>
        <w:tc>
          <w:tcPr>
            <w:tcW w:w="68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708"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18</w:t>
            </w:r>
          </w:p>
        </w:tc>
        <w:tc>
          <w:tcPr>
            <w:tcW w:w="1161"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稍有危险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02" w:hRule="atLeast"/>
          <w:jc w:val="center"/>
        </w:trPr>
        <w:tc>
          <w:tcPr>
            <w:tcW w:w="552" w:type="dxa"/>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9</w:t>
            </w:r>
          </w:p>
        </w:tc>
        <w:tc>
          <w:tcPr>
            <w:tcW w:w="1276" w:type="dxa"/>
            <w:vMerge w:val="restart"/>
            <w:vAlign w:val="center"/>
          </w:tcPr>
          <w:p>
            <w:pPr>
              <w:spacing w:line="3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用户单元</w:t>
            </w:r>
          </w:p>
        </w:tc>
        <w:tc>
          <w:tcPr>
            <w:tcW w:w="2454" w:type="dxa"/>
            <w:vAlign w:val="center"/>
          </w:tcPr>
          <w:p>
            <w:pPr>
              <w:spacing w:line="300" w:lineRule="exact"/>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室内天然气泄漏</w:t>
            </w:r>
          </w:p>
        </w:tc>
        <w:tc>
          <w:tcPr>
            <w:tcW w:w="1437" w:type="dxa"/>
            <w:tcMar>
              <w:top w:w="18" w:type="dxa"/>
              <w:left w:w="18" w:type="dxa"/>
              <w:bottom w:w="0" w:type="dxa"/>
              <w:right w:w="18" w:type="dxa"/>
            </w:tcMar>
            <w:vAlign w:val="center"/>
          </w:tcPr>
          <w:p>
            <w:pPr>
              <w:spacing w:line="300" w:lineRule="exact"/>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火灾、爆炸</w:t>
            </w:r>
          </w:p>
        </w:tc>
        <w:tc>
          <w:tcPr>
            <w:tcW w:w="68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40</w:t>
            </w:r>
          </w:p>
        </w:tc>
        <w:tc>
          <w:tcPr>
            <w:tcW w:w="708"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40</w:t>
            </w:r>
          </w:p>
        </w:tc>
        <w:tc>
          <w:tcPr>
            <w:tcW w:w="1161"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比较危险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02" w:hRule="atLeast"/>
          <w:jc w:val="center"/>
        </w:trPr>
        <w:tc>
          <w:tcPr>
            <w:tcW w:w="552" w:type="dxa"/>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276" w:type="dxa"/>
            <w:vMerge w:val="continue"/>
            <w:vAlign w:val="center"/>
          </w:tcPr>
          <w:p>
            <w:pPr>
              <w:spacing w:line="300" w:lineRule="exact"/>
              <w:jc w:val="center"/>
              <w:rPr>
                <w:rFonts w:cs="宋体" w:asciiTheme="minorEastAsia" w:hAnsiTheme="minorEastAsia" w:eastAsiaTheme="minorEastAsia"/>
                <w:sz w:val="21"/>
                <w:szCs w:val="21"/>
              </w:rPr>
            </w:pPr>
          </w:p>
        </w:tc>
        <w:tc>
          <w:tcPr>
            <w:tcW w:w="2454" w:type="dxa"/>
            <w:vAlign w:val="center"/>
          </w:tcPr>
          <w:p>
            <w:pPr>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用户一氧化碳中毒</w:t>
            </w:r>
          </w:p>
        </w:tc>
        <w:tc>
          <w:tcPr>
            <w:tcW w:w="1437" w:type="dxa"/>
            <w:tcMar>
              <w:top w:w="18" w:type="dxa"/>
              <w:left w:w="18" w:type="dxa"/>
              <w:bottom w:w="0" w:type="dxa"/>
              <w:right w:w="18" w:type="dxa"/>
            </w:tcMar>
            <w:vAlign w:val="center"/>
          </w:tcPr>
          <w:p>
            <w:pPr>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中毒窒息</w:t>
            </w:r>
          </w:p>
        </w:tc>
        <w:tc>
          <w:tcPr>
            <w:tcW w:w="68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40</w:t>
            </w:r>
          </w:p>
        </w:tc>
        <w:tc>
          <w:tcPr>
            <w:tcW w:w="708"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40</w:t>
            </w:r>
          </w:p>
        </w:tc>
        <w:tc>
          <w:tcPr>
            <w:tcW w:w="1161"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比较危险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02" w:hRule="atLeast"/>
          <w:jc w:val="center"/>
        </w:trPr>
        <w:tc>
          <w:tcPr>
            <w:tcW w:w="552" w:type="dxa"/>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11</w:t>
            </w:r>
          </w:p>
        </w:tc>
        <w:tc>
          <w:tcPr>
            <w:tcW w:w="1276" w:type="dxa"/>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办公单元</w:t>
            </w:r>
          </w:p>
        </w:tc>
        <w:tc>
          <w:tcPr>
            <w:tcW w:w="2454" w:type="dxa"/>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办公</w:t>
            </w:r>
          </w:p>
        </w:tc>
        <w:tc>
          <w:tcPr>
            <w:tcW w:w="1437"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火灾、触电</w:t>
            </w:r>
          </w:p>
        </w:tc>
        <w:tc>
          <w:tcPr>
            <w:tcW w:w="68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708"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18</w:t>
            </w:r>
          </w:p>
        </w:tc>
        <w:tc>
          <w:tcPr>
            <w:tcW w:w="1161"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稍有危险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02" w:hRule="atLeast"/>
          <w:jc w:val="center"/>
        </w:trPr>
        <w:tc>
          <w:tcPr>
            <w:tcW w:w="552" w:type="dxa"/>
            <w:vAlign w:val="center"/>
          </w:tcPr>
          <w:p>
            <w:pPr>
              <w:widowControl w:val="0"/>
              <w:adjustRightInd/>
              <w:snapToGrid/>
              <w:jc w:val="center"/>
              <w:rPr>
                <w:rFonts w:asciiTheme="minorEastAsia" w:hAnsiTheme="minorEastAsia" w:eastAsiaTheme="minorEastAsia"/>
                <w:sz w:val="21"/>
                <w:szCs w:val="21"/>
              </w:rPr>
            </w:pPr>
            <w:r>
              <w:rPr>
                <w:rFonts w:asciiTheme="minorEastAsia" w:hAnsiTheme="minorEastAsia" w:eastAsiaTheme="minorEastAsia"/>
                <w:sz w:val="21"/>
                <w:szCs w:val="21"/>
              </w:rPr>
              <w:t>12</w:t>
            </w:r>
          </w:p>
        </w:tc>
        <w:tc>
          <w:tcPr>
            <w:tcW w:w="1276" w:type="dxa"/>
            <w:vAlign w:val="center"/>
          </w:tcPr>
          <w:p>
            <w:pPr>
              <w:spacing w:line="30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突发事件</w:t>
            </w:r>
          </w:p>
        </w:tc>
        <w:tc>
          <w:tcPr>
            <w:tcW w:w="2454" w:type="dxa"/>
            <w:vAlign w:val="center"/>
          </w:tcPr>
          <w:p>
            <w:pPr>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第三方破坏管线、设施</w:t>
            </w:r>
          </w:p>
        </w:tc>
        <w:tc>
          <w:tcPr>
            <w:tcW w:w="1437" w:type="dxa"/>
            <w:tcMar>
              <w:top w:w="18" w:type="dxa"/>
              <w:left w:w="18" w:type="dxa"/>
              <w:bottom w:w="0" w:type="dxa"/>
              <w:right w:w="18" w:type="dxa"/>
            </w:tcMar>
            <w:vAlign w:val="center"/>
          </w:tcPr>
          <w:p>
            <w:pPr>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燃气泄漏、火灾爆炸、中毒窒息</w:t>
            </w:r>
          </w:p>
        </w:tc>
        <w:tc>
          <w:tcPr>
            <w:tcW w:w="68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709"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c>
          <w:tcPr>
            <w:tcW w:w="708"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0</w:t>
            </w:r>
          </w:p>
        </w:tc>
        <w:tc>
          <w:tcPr>
            <w:tcW w:w="1161" w:type="dxa"/>
            <w:tcMar>
              <w:top w:w="18" w:type="dxa"/>
              <w:left w:w="18" w:type="dxa"/>
              <w:bottom w:w="0" w:type="dxa"/>
              <w:right w:w="18" w:type="dxa"/>
            </w:tcMar>
            <w:vAlign w:val="center"/>
          </w:tcPr>
          <w:p>
            <w:pPr>
              <w:widowControl w:val="0"/>
              <w:adjustRightInd/>
              <w:snapToGrid/>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比较危险</w:t>
            </w:r>
          </w:p>
        </w:tc>
      </w:tr>
    </w:tbl>
    <w:p>
      <w:pPr>
        <w:spacing w:line="360" w:lineRule="auto"/>
        <w:ind w:firstLine="480"/>
        <w:rPr>
          <w:rFonts w:ascii="宋体"/>
          <w:sz w:val="24"/>
        </w:rPr>
      </w:pPr>
    </w:p>
    <w:p>
      <w:pPr>
        <w:pStyle w:val="83"/>
        <w:spacing w:line="560" w:lineRule="exact"/>
        <w:ind w:firstLine="560"/>
        <w:rPr>
          <w:rFonts w:hAnsi="宋体"/>
        </w:rPr>
      </w:pPr>
      <w:r>
        <w:rPr>
          <w:rFonts w:hint="eastAsia" w:asciiTheme="majorEastAsia" w:hAnsiTheme="majorEastAsia" w:eastAsiaTheme="majorEastAsia" w:cstheme="majorEastAsia"/>
        </w:rPr>
        <w:t>综上，比较危险的作业有：管道安装和维修作业、在易燃易爆管道或设备上的碰口作业、以及用户用气的的环节</w:t>
      </w:r>
      <w:r>
        <w:rPr>
          <w:rFonts w:hint="eastAsia" w:hAnsi="宋体"/>
        </w:rPr>
        <w:t>。</w:t>
      </w:r>
    </w:p>
    <w:p>
      <w:pPr>
        <w:pStyle w:val="6"/>
        <w:spacing w:line="560" w:lineRule="exact"/>
        <w:ind w:firstLine="562"/>
        <w:rPr>
          <w:rFonts w:hAnsi="宋体" w:cs="宋体"/>
          <w:szCs w:val="28"/>
        </w:rPr>
      </w:pPr>
      <w:r>
        <w:rPr>
          <w:rFonts w:hint="eastAsia" w:hAnsi="宋体" w:cs="宋体"/>
          <w:szCs w:val="28"/>
        </w:rPr>
        <w:t>四、风险防控建议和事故风险评估</w:t>
      </w:r>
      <w:bookmarkEnd w:id="414"/>
      <w:r>
        <w:rPr>
          <w:rFonts w:hint="eastAsia" w:hAnsi="宋体" w:cs="宋体"/>
          <w:szCs w:val="28"/>
        </w:rPr>
        <w:t>结论</w:t>
      </w:r>
      <w:bookmarkEnd w:id="415"/>
      <w:bookmarkEnd w:id="416"/>
    </w:p>
    <w:p>
      <w:pPr>
        <w:pStyle w:val="7"/>
        <w:spacing w:line="560" w:lineRule="exact"/>
        <w:ind w:firstLine="562"/>
        <w:rPr>
          <w:rFonts w:hAnsi="宋体" w:cs="宋体"/>
          <w:szCs w:val="28"/>
        </w:rPr>
      </w:pPr>
      <w:bookmarkStart w:id="417" w:name="_Toc101798346"/>
      <w:r>
        <w:rPr>
          <w:rFonts w:hint="eastAsia" w:hAnsi="宋体" w:cs="宋体"/>
          <w:szCs w:val="28"/>
        </w:rPr>
        <w:t>1</w:t>
      </w:r>
      <w:r>
        <w:rPr>
          <w:rFonts w:hAnsi="宋体" w:cs="宋体"/>
          <w:szCs w:val="28"/>
        </w:rPr>
        <w:t>.</w:t>
      </w:r>
      <w:r>
        <w:rPr>
          <w:rFonts w:hint="eastAsia" w:hAnsi="宋体" w:cs="宋体"/>
          <w:szCs w:val="28"/>
        </w:rPr>
        <w:t>主要风险防控建议</w:t>
      </w:r>
      <w:bookmarkEnd w:id="417"/>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1</w:t>
      </w:r>
      <w:r>
        <w:rPr>
          <w:rFonts w:asciiTheme="majorEastAsia" w:hAnsiTheme="majorEastAsia" w:eastAsiaTheme="majorEastAsia" w:cstheme="majorEastAsia"/>
          <w:szCs w:val="28"/>
        </w:rPr>
        <w:t>.1防火灾、爆炸的安全对策措施</w:t>
      </w:r>
    </w:p>
    <w:p>
      <w:pPr>
        <w:pStyle w:val="83"/>
        <w:spacing w:line="560" w:lineRule="exact"/>
        <w:ind w:firstLine="560"/>
        <w:rPr>
          <w:rFonts w:asciiTheme="majorEastAsia" w:hAnsiTheme="majorEastAsia" w:eastAsiaTheme="majorEastAsia" w:cstheme="majorEastAsia"/>
        </w:rPr>
      </w:pPr>
      <w:r>
        <w:rPr>
          <w:rFonts w:hint="eastAsia" w:asciiTheme="majorEastAsia" w:hAnsiTheme="majorEastAsia" w:eastAsiaTheme="majorEastAsia" w:cstheme="majorEastAsia"/>
        </w:rPr>
        <w:t>1、场站内设施、天然气输送管路应加强防腐，经常检查法兰、阀门及管道连接处，防止泄漏；坚持管道巡查，发现事故隐患及时处理和上报。</w:t>
      </w:r>
    </w:p>
    <w:p>
      <w:pPr>
        <w:pStyle w:val="83"/>
        <w:spacing w:line="560" w:lineRule="exact"/>
        <w:ind w:firstLine="560"/>
        <w:rPr>
          <w:rFonts w:asciiTheme="majorEastAsia" w:hAnsiTheme="majorEastAsia" w:eastAsiaTheme="majorEastAsia" w:cstheme="majorEastAsia"/>
        </w:rPr>
      </w:pPr>
      <w:r>
        <w:rPr>
          <w:rFonts w:hint="eastAsia" w:asciiTheme="majorEastAsia" w:hAnsiTheme="majorEastAsia" w:eastAsiaTheme="majorEastAsia" w:cstheme="majorEastAsia"/>
        </w:rPr>
        <w:t>2、处于爆炸火灾危险区或的电器设备应采用防爆型，工艺区动火应按安全管理程序申报。</w:t>
      </w:r>
    </w:p>
    <w:p>
      <w:pPr>
        <w:pStyle w:val="83"/>
        <w:spacing w:line="560" w:lineRule="exact"/>
        <w:ind w:firstLine="560"/>
        <w:rPr>
          <w:rFonts w:asciiTheme="majorEastAsia" w:hAnsiTheme="majorEastAsia" w:eastAsiaTheme="majorEastAsia" w:cstheme="majorEastAsia"/>
        </w:rPr>
      </w:pPr>
      <w:r>
        <w:rPr>
          <w:rFonts w:hint="eastAsia" w:asciiTheme="majorEastAsia" w:hAnsiTheme="majorEastAsia" w:eastAsiaTheme="majorEastAsia" w:cstheme="majorEastAsia"/>
        </w:rPr>
        <w:t>3、根据处理物料特性，选择相对安全的工艺条件（如较为温和的温度，压力），控制物料输送等的速率，使整个生产过程处于稳定、可控制的良性状态下。</w:t>
      </w:r>
    </w:p>
    <w:p>
      <w:pPr>
        <w:pStyle w:val="83"/>
        <w:spacing w:line="560" w:lineRule="exact"/>
        <w:ind w:firstLine="560"/>
        <w:rPr>
          <w:rFonts w:asciiTheme="majorEastAsia" w:hAnsiTheme="majorEastAsia" w:eastAsiaTheme="majorEastAsia" w:cstheme="majorEastAsia"/>
        </w:rPr>
      </w:pPr>
      <w:r>
        <w:rPr>
          <w:rFonts w:hint="eastAsia" w:asciiTheme="majorEastAsia" w:hAnsiTheme="majorEastAsia" w:eastAsiaTheme="majorEastAsia" w:cstheme="majorEastAsia"/>
        </w:rPr>
        <w:t>4、针对可能出现危险物料的泄漏情况，应设置处理该泄漏物料的措施，防止泄漏后发生事故。</w:t>
      </w:r>
    </w:p>
    <w:p>
      <w:pPr>
        <w:pStyle w:val="83"/>
        <w:spacing w:line="560" w:lineRule="exact"/>
        <w:ind w:firstLine="560"/>
        <w:rPr>
          <w:rFonts w:asciiTheme="majorEastAsia" w:hAnsiTheme="majorEastAsia" w:eastAsiaTheme="majorEastAsia" w:cstheme="majorEastAsia"/>
        </w:rPr>
      </w:pPr>
      <w:r>
        <w:rPr>
          <w:rFonts w:hint="eastAsia" w:asciiTheme="majorEastAsia" w:hAnsiTheme="majorEastAsia" w:eastAsiaTheme="majorEastAsia" w:cstheme="majorEastAsia"/>
        </w:rPr>
        <w:t>5、设置各种必要检测仪表、报警信号系统。</w:t>
      </w:r>
    </w:p>
    <w:p>
      <w:pPr>
        <w:pStyle w:val="83"/>
        <w:spacing w:line="560" w:lineRule="exact"/>
        <w:ind w:firstLine="560"/>
        <w:rPr>
          <w:rFonts w:asciiTheme="majorEastAsia" w:hAnsiTheme="majorEastAsia" w:eastAsiaTheme="majorEastAsia" w:cstheme="majorEastAsia"/>
        </w:rPr>
      </w:pPr>
      <w:r>
        <w:rPr>
          <w:rFonts w:hint="eastAsia" w:asciiTheme="majorEastAsia" w:hAnsiTheme="majorEastAsia" w:eastAsiaTheme="majorEastAsia" w:cstheme="majorEastAsia"/>
        </w:rPr>
        <w:t>6、根据《压力管道安全管理与监察规定》等的具体要求，在可能超压的管线上设置安全阀，进行安全泄压。</w:t>
      </w:r>
    </w:p>
    <w:p>
      <w:pPr>
        <w:pStyle w:val="83"/>
        <w:spacing w:line="560" w:lineRule="exact"/>
        <w:ind w:firstLine="560"/>
        <w:rPr>
          <w:rFonts w:asciiTheme="majorEastAsia" w:hAnsiTheme="majorEastAsia" w:eastAsiaTheme="majorEastAsia" w:cstheme="majorEastAsia"/>
        </w:rPr>
      </w:pPr>
      <w:r>
        <w:rPr>
          <w:rFonts w:hint="eastAsia" w:asciiTheme="majorEastAsia" w:hAnsiTheme="majorEastAsia" w:eastAsiaTheme="majorEastAsia" w:cstheme="majorEastAsia"/>
        </w:rPr>
        <w:t>7、提高处理易燃易爆管线上焊接等连接处的密封性能，尽量防止物料泄漏。</w:t>
      </w:r>
    </w:p>
    <w:p>
      <w:pPr>
        <w:pStyle w:val="83"/>
        <w:spacing w:line="560" w:lineRule="exact"/>
        <w:ind w:firstLine="560"/>
        <w:rPr>
          <w:rFonts w:asciiTheme="majorEastAsia" w:hAnsiTheme="majorEastAsia" w:eastAsiaTheme="majorEastAsia" w:cstheme="majorEastAsia"/>
        </w:rPr>
      </w:pPr>
      <w:r>
        <w:rPr>
          <w:rFonts w:hint="eastAsia" w:asciiTheme="majorEastAsia" w:hAnsiTheme="majorEastAsia" w:eastAsiaTheme="majorEastAsia" w:cstheme="majorEastAsia"/>
        </w:rPr>
        <w:t>8、在危险区域内应采取消除或控制电气设备线路产生火花、电弧或高温的措施。</w:t>
      </w:r>
    </w:p>
    <w:p>
      <w:pPr>
        <w:pStyle w:val="83"/>
        <w:spacing w:line="560" w:lineRule="exact"/>
        <w:ind w:firstLine="560"/>
        <w:rPr>
          <w:rFonts w:asciiTheme="majorEastAsia" w:hAnsiTheme="majorEastAsia" w:eastAsiaTheme="majorEastAsia" w:cstheme="majorEastAsia"/>
        </w:rPr>
      </w:pPr>
      <w:r>
        <w:rPr>
          <w:rFonts w:hint="eastAsia" w:asciiTheme="majorEastAsia" w:hAnsiTheme="majorEastAsia" w:eastAsiaTheme="majorEastAsia" w:cstheme="majorEastAsia"/>
        </w:rPr>
        <w:t>9、在易燃、易爆危险环境内严禁明火作业。动火作业应有明确的动火作业安全操作规程和相应的安全防护措施。</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1</w:t>
      </w:r>
      <w:r>
        <w:rPr>
          <w:rFonts w:asciiTheme="majorEastAsia" w:hAnsiTheme="majorEastAsia" w:eastAsiaTheme="majorEastAsia" w:cstheme="majorEastAsia"/>
          <w:i w:val="0"/>
          <w:sz w:val="28"/>
          <w:szCs w:val="28"/>
        </w:rPr>
        <w:t>.2</w:t>
      </w:r>
      <w:r>
        <w:rPr>
          <w:rFonts w:hint="eastAsia" w:asciiTheme="majorEastAsia" w:hAnsiTheme="majorEastAsia" w:eastAsiaTheme="majorEastAsia" w:cstheme="majorEastAsia"/>
          <w:i w:val="0"/>
          <w:sz w:val="28"/>
          <w:szCs w:val="28"/>
        </w:rPr>
        <w:t>动火作业安全对策措施</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1、场区设定的固定动火区距离具有火灾、爆炸危险的建筑、装置的距离应符合防火规范的规定。</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2、一级、二级动火作业和特殊危险动火作业必须办理动火安全作业证。</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3、动火作业应有专人监火。动火作业前，应清除动火现场及周围的易燃物品，采取有效的安全防火措施，配备足够适用的消防器材。</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4、动火作业前，应检查电、气焊工具，保证安全可靠，不准带病使用。</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5、生产不稳定，设备、管道腐蚀严重的装置不准进行带压不置换动火作业。</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6、在生产运行状态下的易燃易爆物品生产装置、输送管道、贮罐、容器等部位上及其它特殊危险场所的动火作业必须制定施工安全方案，落实安全防火措施；并且要生产调度部门及有关部门，使之在异常情况下能及时采取相应的应急措施；动火作业过程中，必须设专人负责监视生产系统内压力变化情况，使系统保持不低于100mmH</w:t>
      </w:r>
      <w:r>
        <w:rPr>
          <w:rFonts w:hint="eastAsia" w:asciiTheme="majorEastAsia" w:hAnsiTheme="majorEastAsia" w:eastAsiaTheme="majorEastAsia" w:cstheme="majorEastAsia"/>
          <w:i w:val="0"/>
          <w:sz w:val="28"/>
          <w:szCs w:val="28"/>
          <w:vertAlign w:val="subscript"/>
        </w:rPr>
        <w:t>2</w:t>
      </w:r>
      <w:r>
        <w:rPr>
          <w:rFonts w:hint="eastAsia" w:asciiTheme="majorEastAsia" w:hAnsiTheme="majorEastAsia" w:eastAsiaTheme="majorEastAsia" w:cstheme="majorEastAsia"/>
          <w:i w:val="0"/>
          <w:sz w:val="28"/>
          <w:szCs w:val="28"/>
        </w:rPr>
        <w:t>O正压。</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7、易燃易爆装置、管道等或其它应分析的部位动火时，动火区必须进行动火分析。分析取样与动火间隔不得超过30min。</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8、动火作业应严格执行六大禁令：</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（1）动火证未经批准，禁止动火；</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（2）不与生产系统可靠隔绝，禁止动火；</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（3）不清洗、置换不合格，禁止动火；</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（4）不消除周围易燃物，禁止动火；</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（5）没有消防措施，禁止动火。</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1</w:t>
      </w:r>
      <w:r>
        <w:rPr>
          <w:rFonts w:asciiTheme="majorEastAsia" w:hAnsiTheme="majorEastAsia" w:eastAsiaTheme="majorEastAsia" w:cstheme="majorEastAsia"/>
          <w:szCs w:val="28"/>
        </w:rPr>
        <w:t>.3有限空间作业安全措施</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w:t>
      </w:r>
      <w:r>
        <w:rPr>
          <w:rFonts w:asciiTheme="majorEastAsia" w:hAnsiTheme="majorEastAsia" w:eastAsiaTheme="majorEastAsia" w:cstheme="majorEastAsia"/>
          <w:i w:val="0"/>
          <w:sz w:val="28"/>
          <w:szCs w:val="28"/>
        </w:rPr>
        <w:t>1</w:t>
      </w:r>
      <w:r>
        <w:rPr>
          <w:rFonts w:hint="eastAsia" w:asciiTheme="majorEastAsia" w:hAnsiTheme="majorEastAsia" w:eastAsiaTheme="majorEastAsia" w:cstheme="majorEastAsia"/>
          <w:i w:val="0"/>
          <w:sz w:val="28"/>
          <w:szCs w:val="28"/>
        </w:rPr>
        <w:t>）</w:t>
      </w:r>
      <w:r>
        <w:rPr>
          <w:rFonts w:asciiTheme="majorEastAsia" w:hAnsiTheme="majorEastAsia" w:eastAsiaTheme="majorEastAsia" w:cstheme="majorEastAsia"/>
          <w:i w:val="0"/>
          <w:sz w:val="28"/>
          <w:szCs w:val="28"/>
        </w:rPr>
        <w:t>建立健全安全管理制度</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asciiTheme="majorEastAsia" w:hAnsiTheme="majorEastAsia" w:eastAsiaTheme="majorEastAsia" w:cstheme="majorEastAsia"/>
          <w:i w:val="0"/>
          <w:sz w:val="28"/>
          <w:szCs w:val="28"/>
        </w:rPr>
        <w:t>企业、施工单位、管理部门领导都应高度重视有限空间危险作业的安全管理制度，制定和完善相应的操作规程，严格落实各級安全生产责任制，严肃事故责任追究，确保有限空间作业场所无事故发生</w:t>
      </w:r>
      <w:r>
        <w:rPr>
          <w:rFonts w:hint="eastAsia" w:asciiTheme="majorEastAsia" w:hAnsiTheme="majorEastAsia" w:eastAsiaTheme="majorEastAsia" w:cstheme="majorEastAsia"/>
          <w:i w:val="0"/>
          <w:sz w:val="28"/>
          <w:szCs w:val="28"/>
        </w:rPr>
        <w:t>方案应有相应的安全技术措施，并经企业技术负责人或业主方主管负责人批准后，方可实施作业。</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（2）开展安全宣传教育</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大力开展有限空间危险作业安全宣传教育，使作业人员了解其存在的危险、危害因素，应采取的安全技术措施和紧急状态下的应急救援措施。相关施工管理部门可结合事故案例分析有针对性地进行安全教育，以吸取教训，提高作业人员的自我保护意识和安全防范技能。</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（3）严格落实作业保障装备</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经常需在有限空间进行危险作业的施工单位、管理部门必须配置相应的气体检测仪、通风机械设施和防毒救护器具:应保证其产品质相应的气体检测仪、通风机械设施和防毒救护器具:应保证其产品质量、性能安全可靠;产品认证书、全格证、检验或鉴定报告、使用(操作)说明书等相关证件一应齐全。</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对检测仪器、救护器具等应妥善保管，并按规定定期鉴定或校正。</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加强设备的维护休养工作，定期更换特殊环境中设备设施的易损件提高维修人员技术素质，保障维修质量。</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（4）作业过程中不断进行气体监测</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在进入任何有限空间之前，都要对其中的气体成分进行检测，并且要在非接触情况下按以下顺序进行检测，确保有足够的氧气浓度存在:不存在易燃气体和蒸气，有毒气体和蒸气浓度低于国家相关规定。</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在进行了非接触检测并确认空间安全可以进入后，检测人员可以发放进入许可证，允许员工进入有限空间进行工作，但是，气体检测工作不能停止，进入其中的员工和外面的监护人员，一定还要对空间内的气体成分不断进行气体监测。</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（5）加强作业现场安全管理</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有限空间作业有关安全管理部门要加强现场安全检查，坚决遏制现场违章指挥、违章作业、违反劳动纪律的“三违”现象，作业现场应指定专人负责监护，监护人员要坚守岗位，不得擅自离岗。作业现场必须坚持上班考勤和下班清点人数制度，确保密闭空间安全作业。</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（6）临时作业须消防部门保障</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临时需在有限空间施工作业，而缺乏检测、防护器具配置条件的单位，应与当地政府消防或应急管理部门联系，求助配合或采用租借形式落实解决，否则不得组织施工。施工单位(或承包负责人)应为作业人员配置适合作业环境的劳动保护用品，作业人员应正确佩戴和使用劳动保护用品。</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（7）作业区内严禁烟火</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在有限空间危险作业场所施工，必须经气体检测且符合要求，在办理动火审批手续后，方可动火。储存过油类，易燃易爆的密闭容器，严禁擅自进行焊接或切割。</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1</w:t>
      </w:r>
      <w:r>
        <w:rPr>
          <w:rFonts w:asciiTheme="majorEastAsia" w:hAnsiTheme="majorEastAsia" w:eastAsiaTheme="majorEastAsia" w:cstheme="majorEastAsia"/>
          <w:szCs w:val="28"/>
        </w:rPr>
        <w:t>.4</w:t>
      </w:r>
      <w:r>
        <w:rPr>
          <w:rFonts w:hint="eastAsia" w:asciiTheme="majorEastAsia" w:hAnsiTheme="majorEastAsia" w:eastAsiaTheme="majorEastAsia" w:cstheme="majorEastAsia"/>
          <w:szCs w:val="28"/>
        </w:rPr>
        <w:t>检修过程作业安全对策措施</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asciiTheme="majorEastAsia" w:hAnsiTheme="majorEastAsia" w:eastAsiaTheme="majorEastAsia" w:cstheme="majorEastAsia"/>
          <w:i w:val="0"/>
          <w:sz w:val="28"/>
          <w:szCs w:val="28"/>
        </w:rPr>
        <w:t>必须认真执行有关的维护检修制度。维护检修工作要列入领导议事日程，配备专人负责。要将定期检修和日常维护相结合，以日常维护为主，使其经常处于良好的工作状态。</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1、在维修、放空、阀井施工作业时，应有严格的、切实可行的防火、防爆、防中毒措施；指定安全值班负责人负责安全工作，设立安全警戒岗，不准无关人员靠近危险场所。</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2、天然气放空时必须采取正确的安全操作措施，控制放空量，并点火燃烧，不准直接排入大气。</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3、在新旧管更换时，必须制定严密、切实可行的施工组织预案和防范处理措施，避免旧管中硫化铁粉未遇空气自燃。</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4、由于本项目生产过程中存在天然气是易燃易爆和有毒物质，在检修过程中必须排净和进行置换，采取隔离措施，避免有毒有害物料进入检修区域，防止检修人员造成中毒事故或火灾爆炸事故。</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5、在维修、抢修现场配备适当的现场急救设施和急救人员，设置施工脚手架、防护栏或佩戴安全带、安全绳等安全防护设施以及防止发生高处坠落事故、防火防爆等应急措施。</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6、应加大维护检修措施，防止工艺管道和设备的泄漏及腐蚀现象，切实做好经常性的查漏堵漏工作，防止因泄漏而发生事故。</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7、在检修过程中应特别注意静电危害。</w:t>
      </w:r>
    </w:p>
    <w:p>
      <w:pPr>
        <w:spacing w:after="0" w:line="560" w:lineRule="exact"/>
        <w:ind w:firstLine="560" w:firstLineChars="200"/>
        <w:rPr>
          <w:rFonts w:asciiTheme="majorEastAsia" w:hAnsiTheme="majorEastAsia" w:eastAsiaTheme="majorEastAsia" w:cstheme="majorEastAsia"/>
          <w:szCs w:val="28"/>
        </w:rPr>
      </w:pPr>
      <w:r>
        <w:rPr>
          <w:rFonts w:hint="eastAsia" w:asciiTheme="majorEastAsia" w:hAnsiTheme="majorEastAsia" w:eastAsiaTheme="majorEastAsia" w:cstheme="majorEastAsia"/>
          <w:szCs w:val="28"/>
        </w:rPr>
        <w:t>1</w:t>
      </w:r>
      <w:r>
        <w:rPr>
          <w:rFonts w:asciiTheme="majorEastAsia" w:hAnsiTheme="majorEastAsia" w:eastAsiaTheme="majorEastAsia" w:cstheme="majorEastAsia"/>
          <w:szCs w:val="28"/>
        </w:rPr>
        <w:t>.5</w:t>
      </w:r>
      <w:r>
        <w:rPr>
          <w:rFonts w:hint="eastAsia" w:asciiTheme="majorEastAsia" w:hAnsiTheme="majorEastAsia" w:eastAsiaTheme="majorEastAsia" w:cstheme="majorEastAsia"/>
          <w:szCs w:val="28"/>
        </w:rPr>
        <w:t>用户用气安全对策措施</w:t>
      </w:r>
    </w:p>
    <w:p>
      <w:pPr>
        <w:pStyle w:val="19"/>
        <w:spacing w:after="0" w:line="560" w:lineRule="exact"/>
        <w:ind w:firstLine="560" w:firstLineChars="200"/>
        <w:rPr>
          <w:rFonts w:asciiTheme="majorEastAsia" w:hAnsiTheme="majorEastAsia" w:eastAsiaTheme="majorEastAsia" w:cstheme="majorEastAsia"/>
          <w:i w:val="0"/>
          <w:sz w:val="28"/>
          <w:szCs w:val="28"/>
        </w:rPr>
      </w:pPr>
      <w:bookmarkStart w:id="418" w:name="_Toc101798347"/>
      <w:r>
        <w:rPr>
          <w:rFonts w:hint="eastAsia" w:asciiTheme="majorEastAsia" w:hAnsiTheme="majorEastAsia" w:eastAsiaTheme="majorEastAsia" w:cstheme="majorEastAsia"/>
          <w:i w:val="0"/>
          <w:sz w:val="28"/>
          <w:szCs w:val="28"/>
        </w:rPr>
        <w:t>（1）</w:t>
      </w:r>
      <w:r>
        <w:rPr>
          <w:rFonts w:asciiTheme="majorEastAsia" w:hAnsiTheme="majorEastAsia" w:eastAsiaTheme="majorEastAsia" w:cstheme="majorEastAsia"/>
          <w:i w:val="0"/>
          <w:sz w:val="28"/>
          <w:szCs w:val="28"/>
        </w:rPr>
        <w:t>进一步明确企业、用户双方的责任和义务。器具安装市场的规范以及安全型器具、软管和安全装置的推广应用都</w:t>
      </w:r>
      <w:r>
        <w:rPr>
          <w:rFonts w:hint="eastAsia" w:asciiTheme="majorEastAsia" w:hAnsiTheme="majorEastAsia" w:eastAsiaTheme="majorEastAsia" w:cstheme="majorEastAsia"/>
          <w:i w:val="0"/>
          <w:sz w:val="28"/>
          <w:szCs w:val="28"/>
        </w:rPr>
        <w:t>必须有</w:t>
      </w:r>
      <w:r>
        <w:rPr>
          <w:rFonts w:asciiTheme="majorEastAsia" w:hAnsiTheme="majorEastAsia" w:eastAsiaTheme="majorEastAsia" w:cstheme="majorEastAsia"/>
          <w:i w:val="0"/>
          <w:sz w:val="28"/>
          <w:szCs w:val="28"/>
        </w:rPr>
        <w:t>管理依据的支撑。</w:t>
      </w:r>
      <w:bookmarkStart w:id="419" w:name="_Hlk102143184"/>
      <w:r>
        <w:rPr>
          <w:rFonts w:asciiTheme="majorEastAsia" w:hAnsiTheme="majorEastAsia" w:eastAsiaTheme="majorEastAsia" w:cstheme="majorEastAsia"/>
          <w:i w:val="0"/>
          <w:sz w:val="28"/>
          <w:szCs w:val="28"/>
        </w:rPr>
        <w:t>燃气设施的维护管理责任</w:t>
      </w:r>
      <w:r>
        <w:rPr>
          <w:rFonts w:hint="eastAsia" w:asciiTheme="majorEastAsia" w:hAnsiTheme="majorEastAsia" w:eastAsiaTheme="majorEastAsia" w:cstheme="majorEastAsia"/>
          <w:i w:val="0"/>
          <w:sz w:val="28"/>
          <w:szCs w:val="28"/>
        </w:rPr>
        <w:t>根据《四川省燃气管理条例》规定执行。</w:t>
      </w:r>
    </w:p>
    <w:bookmarkEnd w:id="419"/>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（2）针对</w:t>
      </w:r>
      <w:r>
        <w:rPr>
          <w:rFonts w:asciiTheme="majorEastAsia" w:hAnsiTheme="majorEastAsia" w:eastAsiaTheme="majorEastAsia" w:cstheme="majorEastAsia"/>
          <w:i w:val="0"/>
          <w:sz w:val="28"/>
          <w:szCs w:val="28"/>
        </w:rPr>
        <w:t>一些用户的安全和责任观念淡薄，思想意识落后于燃气市场的发展和进步</w:t>
      </w:r>
      <w:r>
        <w:rPr>
          <w:rFonts w:hint="eastAsia" w:asciiTheme="majorEastAsia" w:hAnsiTheme="majorEastAsia" w:eastAsiaTheme="majorEastAsia" w:cstheme="majorEastAsia"/>
          <w:i w:val="0"/>
          <w:sz w:val="28"/>
          <w:szCs w:val="28"/>
        </w:rPr>
        <w:t>，宣传工作的覆盖面和影响力较弱，特别是缺少政府、管理部门和主流媒体的关注和参与问题，应采用线上线下各种方式，广泛开展用户安全宣传教育</w:t>
      </w:r>
      <w:r>
        <w:rPr>
          <w:rFonts w:asciiTheme="majorEastAsia" w:hAnsiTheme="majorEastAsia" w:eastAsiaTheme="majorEastAsia" w:cstheme="majorEastAsia"/>
          <w:i w:val="0"/>
          <w:sz w:val="28"/>
          <w:szCs w:val="28"/>
        </w:rPr>
        <w:t>。</w:t>
      </w:r>
      <w:r>
        <w:rPr>
          <w:rFonts w:hint="eastAsia" w:asciiTheme="majorEastAsia" w:hAnsiTheme="majorEastAsia" w:eastAsiaTheme="majorEastAsia" w:cstheme="majorEastAsia"/>
          <w:i w:val="0"/>
          <w:sz w:val="28"/>
          <w:szCs w:val="28"/>
        </w:rPr>
        <w:t>除了常规的宣传形式外，还应积极开展安全宣传进社区、进学校等活动，针对户内燃气事故的季节性特点，实行安全提示和预报对那些私拆、私改、破坏燃气设施及无正规燃烧器具安装维修的人员和现象进行媒体曝光。</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（3）受员工素质和用户配合程度的影响，燃气企业在户内安全检查的质量和效果上还存在差距，应大力提高安检人员综合素质，采取激励处罚措施。</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w:t>
      </w:r>
      <w:r>
        <w:rPr>
          <w:rFonts w:asciiTheme="majorEastAsia" w:hAnsiTheme="majorEastAsia" w:eastAsiaTheme="majorEastAsia" w:cstheme="majorEastAsia"/>
          <w:i w:val="0"/>
          <w:sz w:val="28"/>
          <w:szCs w:val="28"/>
        </w:rPr>
        <w:t>4</w:t>
      </w:r>
      <w:r>
        <w:rPr>
          <w:rFonts w:hint="eastAsia" w:asciiTheme="majorEastAsia" w:hAnsiTheme="majorEastAsia" w:eastAsiaTheme="majorEastAsia" w:cstheme="majorEastAsia"/>
          <w:i w:val="0"/>
          <w:sz w:val="28"/>
          <w:szCs w:val="28"/>
        </w:rPr>
        <w:t>）定期开展入户安全检查，对到访不遇、拒绝整改等问题，应如实记录，与政府有关部门联动处理。</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基于上述情况，提出以下几点建议:</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（5）大力推行应用安全型器具、软管和新型管材及安全附件，鼓励安装使用报警器和失压切断装置，通过高、新技术手段来消除安全隐患，提高户内用气的安全性。</w:t>
      </w:r>
    </w:p>
    <w:p>
      <w:pPr>
        <w:pStyle w:val="19"/>
        <w:spacing w:after="0"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w:t>
      </w:r>
      <w:r>
        <w:rPr>
          <w:rFonts w:asciiTheme="majorEastAsia" w:hAnsiTheme="majorEastAsia" w:eastAsiaTheme="majorEastAsia" w:cstheme="majorEastAsia"/>
          <w:i w:val="0"/>
          <w:sz w:val="28"/>
          <w:szCs w:val="28"/>
        </w:rPr>
        <w:t>6</w:t>
      </w:r>
      <w:r>
        <w:rPr>
          <w:rFonts w:hint="eastAsia" w:asciiTheme="majorEastAsia" w:hAnsiTheme="majorEastAsia" w:eastAsiaTheme="majorEastAsia" w:cstheme="majorEastAsia"/>
          <w:i w:val="0"/>
          <w:sz w:val="28"/>
          <w:szCs w:val="28"/>
        </w:rPr>
        <w:t>）燃气的用户安全管理是一个系统工程，涉及技术、管理和法律等诸多方面。要较好地解决用户安全问题就需要政府、管理部门和天然气企业的共同努力，特别是需要广大燃气用户和社会各界的大力支持和积极参与。</w:t>
      </w:r>
    </w:p>
    <w:p>
      <w:pPr>
        <w:pStyle w:val="7"/>
        <w:spacing w:line="560" w:lineRule="exact"/>
        <w:rPr>
          <w:b w:val="0"/>
          <w:bCs w:val="0"/>
        </w:rPr>
      </w:pPr>
      <w:r>
        <w:t>2.</w:t>
      </w:r>
      <w:r>
        <w:rPr>
          <w:rFonts w:hint="eastAsia"/>
        </w:rPr>
        <w:t>事故风险评估结论</w:t>
      </w:r>
      <w:bookmarkEnd w:id="418"/>
    </w:p>
    <w:p>
      <w:pPr>
        <w:spacing w:line="560" w:lineRule="exact"/>
        <w:ind w:firstLine="562" w:firstLineChars="200"/>
        <w:rPr>
          <w:rFonts w:ascii="宋体" w:hAnsi="宋体" w:cs="宋体"/>
          <w:b/>
          <w:bCs/>
          <w:szCs w:val="28"/>
        </w:rPr>
      </w:pPr>
      <w:r>
        <w:rPr>
          <w:rFonts w:hint="eastAsia" w:ascii="宋体" w:hAnsi="宋体" w:cs="宋体"/>
          <w:b/>
          <w:bCs/>
          <w:szCs w:val="28"/>
        </w:rPr>
        <w:t>通过上述风险辨识评估，本企业在燃气经营中主要存在火灾爆炸、触电、机械伤害、物体打击、车辆伤害、灼烫、高处坠落、中毒窒息、坍塌等事故风险。经辨识本企业不构成危险化学品重大危险源。通过采取风险防控措施后，本企业事故风险可控。</w:t>
      </w:r>
    </w:p>
    <w:p>
      <w:pPr>
        <w:pStyle w:val="19"/>
        <w:spacing w:line="560" w:lineRule="exact"/>
        <w:ind w:firstLine="560" w:firstLineChars="200"/>
        <w:rPr>
          <w:rFonts w:asciiTheme="majorEastAsia" w:hAnsiTheme="majorEastAsia" w:eastAsiaTheme="majorEastAsia" w:cstheme="majorEastAsia"/>
          <w:i w:val="0"/>
          <w:sz w:val="28"/>
          <w:szCs w:val="28"/>
        </w:rPr>
      </w:pPr>
      <w:r>
        <w:rPr>
          <w:rFonts w:hint="eastAsia" w:asciiTheme="majorEastAsia" w:hAnsiTheme="majorEastAsia" w:eastAsiaTheme="majorEastAsia" w:cstheme="majorEastAsia"/>
          <w:i w:val="0"/>
          <w:sz w:val="28"/>
          <w:szCs w:val="28"/>
        </w:rPr>
        <w:t>根据本报告作业条件危险性评价，各危险、有害因素的危害程度大小，结合深层次实际，易于操作的目的，建议编制综合应急预案、专项应急预案（消防事故专项应急预案、场站事故专项应急预案、管道事故专项应急预案、地震灾害事故专项应急预案、防洪抗汛专项应急预案、反暴恐袭击专项预案）和现场处置方案（突发火灾爆炸事故现场处置方案、车辆伤害事故现场处置方案、中毒和窒息事故现场处置方案、管道燃气泄漏事故现场处置方案、户内燃气泄漏现场处置方案、四氢噻吩泄漏现场处置方案、调压计量设施泄漏现场处置方案）。</w:t>
      </w:r>
      <w:r>
        <w:rPr>
          <w:rFonts w:asciiTheme="majorEastAsia" w:hAnsiTheme="majorEastAsia" w:eastAsiaTheme="majorEastAsia" w:cstheme="majorEastAsia"/>
          <w:i w:val="0"/>
          <w:sz w:val="28"/>
          <w:szCs w:val="28"/>
        </w:rPr>
        <w:br w:type="page"/>
      </w:r>
    </w:p>
    <w:p>
      <w:pPr>
        <w:pStyle w:val="5"/>
        <w:ind w:left="0" w:firstLine="723"/>
        <w:jc w:val="center"/>
        <w:rPr>
          <w:sz w:val="36"/>
          <w:szCs w:val="32"/>
        </w:rPr>
      </w:pPr>
      <w:bookmarkStart w:id="420" w:name="_Toc101798348"/>
      <w:r>
        <w:rPr>
          <w:rFonts w:hint="eastAsia"/>
          <w:sz w:val="36"/>
          <w:szCs w:val="32"/>
        </w:rPr>
        <w:t>附录B 应急资源调查报告</w:t>
      </w:r>
      <w:bookmarkEnd w:id="420"/>
    </w:p>
    <w:p>
      <w:pPr>
        <w:pStyle w:val="6"/>
        <w:rPr>
          <w:rFonts w:ascii="仿宋_GB2312" w:hAnsi="仿宋_GB2312" w:eastAsia="仿宋_GB2312" w:cs="仿宋_GB2312"/>
        </w:rPr>
      </w:pPr>
      <w:bookmarkStart w:id="421" w:name="_Toc78468874"/>
      <w:bookmarkStart w:id="422" w:name="_Toc101798349"/>
      <w:r>
        <w:rPr>
          <w:rFonts w:hint="eastAsia"/>
        </w:rPr>
        <w:t>一、单位内部应急资源</w:t>
      </w:r>
      <w:bookmarkEnd w:id="421"/>
      <w:bookmarkEnd w:id="422"/>
      <w:r>
        <w:rPr>
          <w:rFonts w:hint="eastAsia"/>
        </w:rPr>
        <w:t>   </w:t>
      </w:r>
      <w:r>
        <w:rPr>
          <w:rFonts w:ascii="仿宋_GB2312" w:hAnsi="仿宋_GB2312" w:eastAsia="仿宋_GB2312" w:cs="仿宋_GB2312"/>
        </w:rPr>
        <w:t>   </w:t>
      </w:r>
    </w:p>
    <w:p>
      <w:pPr>
        <w:pStyle w:val="30"/>
        <w:spacing w:line="360" w:lineRule="auto"/>
        <w:ind w:firstLine="560" w:firstLineChars="200"/>
        <w:rPr>
          <w:rFonts w:ascii="宋体" w:hAnsi="宋体" w:cs="宋体"/>
          <w:sz w:val="28"/>
          <w:szCs w:val="28"/>
        </w:rPr>
      </w:pPr>
      <w:r>
        <w:rPr>
          <w:rFonts w:hint="eastAsia" w:ascii="宋体" w:hAnsi="宋体" w:cs="宋体"/>
          <w:bCs/>
          <w:sz w:val="28"/>
          <w:szCs w:val="28"/>
        </w:rPr>
        <w:t>本企业在燃气经营活动中使用和储存原辅材料、设备设施、工艺流程等存在的风险进行分析，本企业存在的主要事故风险有：</w:t>
      </w:r>
      <w:r>
        <w:rPr>
          <w:rFonts w:hint="eastAsia" w:ascii="宋体" w:hAnsi="宋体" w:cs="宋体"/>
          <w:b/>
          <w:bCs/>
          <w:sz w:val="28"/>
          <w:szCs w:val="28"/>
        </w:rPr>
        <w:t>火灾爆炸、触电、物体打击、机械伤害、车辆伤害、灼烫、高处坠落、中毒窒息、坍塌等事故风险</w:t>
      </w:r>
      <w:r>
        <w:rPr>
          <w:rFonts w:hint="eastAsia" w:ascii="宋体" w:hAnsi="宋体" w:cs="宋体"/>
          <w:bCs/>
          <w:sz w:val="28"/>
          <w:szCs w:val="28"/>
        </w:rPr>
        <w:t>。</w:t>
      </w:r>
    </w:p>
    <w:p>
      <w:pPr>
        <w:pStyle w:val="7"/>
        <w:rPr>
          <w:b w:val="0"/>
          <w:bCs w:val="0"/>
        </w:rPr>
      </w:pPr>
      <w:bookmarkStart w:id="423" w:name="_Toc10904"/>
      <w:bookmarkStart w:id="424" w:name="_Toc101798350"/>
      <w:bookmarkStart w:id="425" w:name="_Toc78468875"/>
      <w:r>
        <w:rPr>
          <w:rFonts w:hint="eastAsia"/>
        </w:rPr>
        <w:t>1.1编制生产安全事故应急救援预案</w:t>
      </w:r>
      <w:bookmarkEnd w:id="423"/>
      <w:bookmarkEnd w:id="424"/>
      <w:bookmarkEnd w:id="425"/>
    </w:p>
    <w:p>
      <w:pPr>
        <w:spacing w:after="0" w:line="360" w:lineRule="auto"/>
        <w:ind w:firstLine="560" w:firstLineChars="200"/>
        <w:rPr>
          <w:rFonts w:ascii="宋体" w:hAnsi="宋体" w:cs="宋体"/>
          <w:szCs w:val="28"/>
        </w:rPr>
      </w:pPr>
      <w:r>
        <w:rPr>
          <w:rFonts w:hint="eastAsia" w:ascii="宋体" w:hAnsi="宋体" w:cs="宋体"/>
          <w:szCs w:val="28"/>
        </w:rPr>
        <w:t>由</w:t>
      </w:r>
      <w:r>
        <w:rPr>
          <w:rFonts w:hint="eastAsia" w:ascii="宋体" w:hAnsi="宋体" w:cs="宋体"/>
          <w:bCs/>
          <w:szCs w:val="28"/>
        </w:rPr>
        <w:t>本企业</w:t>
      </w:r>
      <w:r>
        <w:rPr>
          <w:rFonts w:hint="eastAsia" w:ascii="宋体" w:hAnsi="宋体" w:cs="宋体"/>
          <w:szCs w:val="28"/>
        </w:rPr>
        <w:t>应急预案编写小组编制的《</w:t>
      </w:r>
      <w:r>
        <w:rPr>
          <w:rFonts w:hint="eastAsia" w:ascii="宋体" w:hAnsi="宋体"/>
          <w:kern w:val="2"/>
          <w:sz w:val="24"/>
          <w:szCs w:val="24"/>
          <w:lang w:val="en-US" w:eastAsia="zh-CN"/>
        </w:rPr>
        <w:t>四川省</w:t>
      </w:r>
      <w:r>
        <w:rPr>
          <w:rFonts w:hint="eastAsia" w:ascii="宋体" w:hAnsi="宋体" w:cs="宋体"/>
          <w:bCs/>
          <w:szCs w:val="28"/>
        </w:rPr>
        <w:t>南部县天然气有限责任公司</w:t>
      </w:r>
      <w:r>
        <w:rPr>
          <w:rFonts w:hint="eastAsia" w:ascii="宋体" w:hAnsi="宋体" w:cs="宋体"/>
          <w:szCs w:val="28"/>
        </w:rPr>
        <w:t>生产安全事故应急救援预案》能充分的发挥预案在事故预防和应急处置中的作用，切实提高本企业的应急处置能力，确保迅速有效地处理各类生产安全事故，实现应急救援“快速、有序、有效”。</w:t>
      </w:r>
      <w:bookmarkStart w:id="426" w:name="_Toc213"/>
    </w:p>
    <w:p>
      <w:pPr>
        <w:spacing w:after="0" w:line="360" w:lineRule="auto"/>
        <w:ind w:firstLine="560" w:firstLineChars="200"/>
        <w:rPr>
          <w:rFonts w:ascii="宋体" w:hAnsi="宋体" w:cs="宋体"/>
          <w:szCs w:val="28"/>
        </w:rPr>
      </w:pPr>
      <w:r>
        <w:rPr>
          <w:rFonts w:hint="eastAsia" w:ascii="宋体" w:hAnsi="宋体" w:cs="宋体"/>
          <w:szCs w:val="28"/>
        </w:rPr>
        <w:t>本企业综合应急预案、专项应急预案合和现场处置方案，形成本企业综合生产安全事故应急预案。并与县住房和城乡建设局编制的《南部县城镇燃气突发事故应急预案》进行有效衔接。</w:t>
      </w:r>
    </w:p>
    <w:p>
      <w:pPr>
        <w:spacing w:after="0" w:line="360" w:lineRule="auto"/>
        <w:ind w:firstLine="560" w:firstLineChars="200"/>
        <w:rPr>
          <w:rFonts w:ascii="宋体" w:hAnsi="宋体" w:cs="宋体"/>
          <w:szCs w:val="28"/>
        </w:rPr>
      </w:pPr>
      <w:r>
        <w:rPr>
          <w:rFonts w:hint="eastAsia" w:ascii="宋体" w:hAnsi="宋体" w:cs="宋体"/>
          <w:szCs w:val="28"/>
        </w:rPr>
        <w:t>本企业应急预案体系见下图所示。</w:t>
      </w:r>
    </w:p>
    <w:p>
      <w:pPr>
        <w:pStyle w:val="19"/>
        <w:ind w:firstLine="420"/>
      </w:pPr>
    </w:p>
    <w:p>
      <w:pPr>
        <w:pStyle w:val="19"/>
        <w:ind w:firstLine="420"/>
      </w:pPr>
    </w:p>
    <w:p>
      <w:pPr>
        <w:pStyle w:val="19"/>
        <w:ind w:firstLine="420"/>
      </w:pPr>
      <w:r>
        <w:rPr>
          <w:rFonts w:ascii="宋体" w:hAnsi="宋体"/>
        </w:rPr>
        <mc:AlternateContent>
          <mc:Choice Requires="wps">
            <w:drawing>
              <wp:anchor distT="0" distB="0" distL="114300" distR="114300" simplePos="0" relativeHeight="251762688" behindDoc="0" locked="0" layoutInCell="1" allowOverlap="1">
                <wp:simplePos x="0" y="0"/>
                <wp:positionH relativeFrom="column">
                  <wp:posOffset>1151255</wp:posOffset>
                </wp:positionH>
                <wp:positionV relativeFrom="paragraph">
                  <wp:posOffset>6985</wp:posOffset>
                </wp:positionV>
                <wp:extent cx="3159125" cy="384175"/>
                <wp:effectExtent l="0" t="0" r="22225" b="15875"/>
                <wp:wrapNone/>
                <wp:docPr id="997" name="矩形 240"/>
                <wp:cNvGraphicFramePr/>
                <a:graphic xmlns:a="http://schemas.openxmlformats.org/drawingml/2006/main">
                  <a:graphicData uri="http://schemas.microsoft.com/office/word/2010/wordprocessingShape">
                    <wps:wsp>
                      <wps:cNvSpPr>
                        <a:spLocks noChangeArrowheads="1"/>
                      </wps:cNvSpPr>
                      <wps:spPr bwMode="auto">
                        <a:xfrm>
                          <a:off x="0" y="0"/>
                          <a:ext cx="3159125" cy="384175"/>
                        </a:xfrm>
                        <a:prstGeom prst="rect">
                          <a:avLst/>
                        </a:prstGeom>
                        <a:noFill/>
                        <a:ln w="15875">
                          <a:solidFill>
                            <a:srgbClr val="000000"/>
                          </a:solidFill>
                          <a:miter lim="800000"/>
                        </a:ln>
                      </wps:spPr>
                      <wps:txbx>
                        <w:txbxContent>
                          <w:p>
                            <w:pPr>
                              <w:jc w:val="center"/>
                            </w:pPr>
                            <w:r>
                              <w:rPr>
                                <w:rFonts w:hint="eastAsia" w:ascii="宋体" w:hAnsi="宋体"/>
                                <w:sz w:val="24"/>
                              </w:rPr>
                              <w:t>南部县城镇燃气突发事故应急预案</w:t>
                            </w:r>
                          </w:p>
                        </w:txbxContent>
                      </wps:txbx>
                      <wps:bodyPr rot="0" vert="horz" wrap="square" lIns="91440" tIns="45720" rIns="91440" bIns="45720" anchor="t" anchorCtr="0" upright="1">
                        <a:noAutofit/>
                      </wps:bodyPr>
                    </wps:wsp>
                  </a:graphicData>
                </a:graphic>
              </wp:anchor>
            </w:drawing>
          </mc:Choice>
          <mc:Fallback>
            <w:pict>
              <v:rect id="矩形 240" o:spid="_x0000_s1026" o:spt="1" style="position:absolute;left:0pt;margin-left:90.65pt;margin-top:0.55pt;height:30.25pt;width:248.75pt;z-index:251762688;mso-width-relative:page;mso-height-relative:page;" filled="f" stroked="t" coordsize="21600,21600" o:gfxdata="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FnN4U1AAAAAgBAAAPAAAAAAAAAAEAIAAAACIAAABkcnMvZG93bnJldi54&#10;bWxQSwECFAAUAAAACACHTuJAGNu1yjcCAABWBAAADgAAAAAAAAABACAAAAAjAQAAZHJzL2Uyb0Rv&#10;Yy54bWxQSwUGAAAAAAYABgBZAQAAzAUAAAAA&#10;">
                <v:fill on="f" focussize="0,0"/>
                <v:stroke weight="1.25pt" color="#000000" miterlimit="8" joinstyle="miter"/>
                <v:imagedata o:title=""/>
                <o:lock v:ext="edit" aspectratio="f"/>
                <v:textbox>
                  <w:txbxContent>
                    <w:p>
                      <w:pPr>
                        <w:jc w:val="center"/>
                      </w:pPr>
                      <w:r>
                        <w:rPr>
                          <w:rFonts w:hint="eastAsia" w:ascii="宋体" w:hAnsi="宋体"/>
                          <w:sz w:val="24"/>
                        </w:rPr>
                        <w:t>南部县城镇燃气突发事故应急预案</w:t>
                      </w:r>
                    </w:p>
                  </w:txbxContent>
                </v:textbox>
              </v:rect>
            </w:pict>
          </mc:Fallback>
        </mc:AlternateContent>
      </w:r>
    </w:p>
    <w:p>
      <w:pPr>
        <w:pStyle w:val="19"/>
        <w:ind w:firstLine="420"/>
      </w:pPr>
      <w:r>
        <mc:AlternateContent>
          <mc:Choice Requires="wps">
            <w:drawing>
              <wp:anchor distT="0" distB="0" distL="114300" distR="114300" simplePos="0" relativeHeight="251761664" behindDoc="0" locked="0" layoutInCell="1" allowOverlap="1">
                <wp:simplePos x="0" y="0"/>
                <wp:positionH relativeFrom="column">
                  <wp:posOffset>2720975</wp:posOffset>
                </wp:positionH>
                <wp:positionV relativeFrom="paragraph">
                  <wp:posOffset>83185</wp:posOffset>
                </wp:positionV>
                <wp:extent cx="0" cy="281305"/>
                <wp:effectExtent l="76200" t="0" r="57150" b="61595"/>
                <wp:wrapNone/>
                <wp:docPr id="991" name="AutoShape 20"/>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tailEnd type="triangle" w="med" len="med"/>
                        </a:ln>
                      </wps:spPr>
                      <wps:bodyPr/>
                    </wps:wsp>
                  </a:graphicData>
                </a:graphic>
              </wp:anchor>
            </w:drawing>
          </mc:Choice>
          <mc:Fallback>
            <w:pict>
              <v:shape id="AutoShape 20" o:spid="_x0000_s1026" o:spt="32" type="#_x0000_t32" style="position:absolute;left:0pt;margin-left:214.25pt;margin-top:6.55pt;height:22.15pt;width:0pt;z-index:251761664;mso-width-relative:page;mso-height-relative:page;" filled="f" stroked="t" coordsize="21600,21600" o:gfxdata="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JK1xPZAAAACQEAAA8AAAAAAAAAAQAgAAAAIgAAAGRycy9kb3ducmV2LnhtbFBLAQIUABQA&#10;AAAIAIdO4kBWI4LD7wEAAOIDAAAOAAAAAAAAAAEAIAAAACgBAABkcnMvZTJvRG9jLnhtbFBLBQYA&#10;AAAABgAGAFkBAACJBQAAAAA=&#10;">
                <v:fill on="f" focussize="0,0"/>
                <v:stroke color="#000000" joinstyle="round" endarrow="block"/>
                <v:imagedata o:title=""/>
                <o:lock v:ext="edit" aspectratio="f"/>
              </v:shape>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716608" behindDoc="0" locked="0" layoutInCell="1" allowOverlap="1">
                <wp:simplePos x="0" y="0"/>
                <wp:positionH relativeFrom="column">
                  <wp:posOffset>1143000</wp:posOffset>
                </wp:positionH>
                <wp:positionV relativeFrom="paragraph">
                  <wp:posOffset>69850</wp:posOffset>
                </wp:positionV>
                <wp:extent cx="3159125" cy="384175"/>
                <wp:effectExtent l="0" t="0" r="22225" b="15875"/>
                <wp:wrapNone/>
                <wp:docPr id="419104" name="矩形 240"/>
                <wp:cNvGraphicFramePr/>
                <a:graphic xmlns:a="http://schemas.openxmlformats.org/drawingml/2006/main">
                  <a:graphicData uri="http://schemas.microsoft.com/office/word/2010/wordprocessingShape">
                    <wps:wsp>
                      <wps:cNvSpPr>
                        <a:spLocks noChangeArrowheads="1"/>
                      </wps:cNvSpPr>
                      <wps:spPr bwMode="auto">
                        <a:xfrm>
                          <a:off x="0" y="0"/>
                          <a:ext cx="3159125" cy="384175"/>
                        </a:xfrm>
                        <a:prstGeom prst="rect">
                          <a:avLst/>
                        </a:prstGeom>
                        <a:noFill/>
                        <a:ln w="15875">
                          <a:solidFill>
                            <a:srgbClr val="000000"/>
                          </a:solidFill>
                          <a:miter lim="800000"/>
                        </a:ln>
                      </wps:spPr>
                      <wps:txbx>
                        <w:txbxContent>
                          <w:p>
                            <w:pPr>
                              <w:jc w:val="center"/>
                            </w:pPr>
                            <w:r>
                              <w:rPr>
                                <w:rFonts w:hint="eastAsia" w:ascii="宋体" w:hAnsi="宋体"/>
                                <w:sz w:val="24"/>
                              </w:rPr>
                              <w:t>南部县天然气公司生产安全事故应急预案</w:t>
                            </w:r>
                          </w:p>
                        </w:txbxContent>
                      </wps:txbx>
                      <wps:bodyPr rot="0" vert="horz" wrap="square" lIns="91440" tIns="45720" rIns="91440" bIns="45720" anchor="t" anchorCtr="0" upright="1">
                        <a:noAutofit/>
                      </wps:bodyPr>
                    </wps:wsp>
                  </a:graphicData>
                </a:graphic>
              </wp:anchor>
            </w:drawing>
          </mc:Choice>
          <mc:Fallback>
            <w:pict>
              <v:rect id="矩形 240" o:spid="_x0000_s1026" o:spt="1" style="position:absolute;left:0pt;margin-left:90pt;margin-top:5.5pt;height:30.25pt;width:248.75pt;z-index:251716608;mso-width-relative:page;mso-height-relative:page;" filled="f" stroked="t" coordsize="21600,21600" o:gfxdata="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Xzvk2AAAAAkBAAAPAAAAAAAAAAEAIAAAACIAAABkcnMvZG93&#10;bnJldi54bWxQSwECFAAUAAAACACHTuJAQ+sufzkCAABZBAAADgAAAAAAAAABACAAAAAnAQAAZHJz&#10;L2Uyb0RvYy54bWxQSwUGAAAAAAYABgBZAQAA0gUAAAAA&#10;">
                <v:fill on="f" focussize="0,0"/>
                <v:stroke weight="1.25pt" color="#000000" miterlimit="8" joinstyle="miter"/>
                <v:imagedata o:title=""/>
                <o:lock v:ext="edit" aspectratio="f"/>
                <v:textbox>
                  <w:txbxContent>
                    <w:p>
                      <w:pPr>
                        <w:jc w:val="center"/>
                      </w:pPr>
                      <w:r>
                        <w:rPr>
                          <w:rFonts w:hint="eastAsia" w:ascii="宋体" w:hAnsi="宋体"/>
                          <w:sz w:val="24"/>
                        </w:rPr>
                        <w:t>南部县天然气公司生产安全事故应急预案</w:t>
                      </w:r>
                    </w:p>
                  </w:txbxContent>
                </v:textbox>
              </v:rect>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717632" behindDoc="0" locked="0" layoutInCell="1" allowOverlap="1">
                <wp:simplePos x="0" y="0"/>
                <wp:positionH relativeFrom="column">
                  <wp:posOffset>2720975</wp:posOffset>
                </wp:positionH>
                <wp:positionV relativeFrom="paragraph">
                  <wp:posOffset>118110</wp:posOffset>
                </wp:positionV>
                <wp:extent cx="0" cy="281305"/>
                <wp:effectExtent l="76200" t="0" r="57150" b="61595"/>
                <wp:wrapNone/>
                <wp:docPr id="419105" name="AutoShape 20"/>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tailEnd type="triangle" w="med" len="med"/>
                        </a:ln>
                      </wps:spPr>
                      <wps:bodyPr/>
                    </wps:wsp>
                  </a:graphicData>
                </a:graphic>
              </wp:anchor>
            </w:drawing>
          </mc:Choice>
          <mc:Fallback>
            <w:pict>
              <v:shape id="AutoShape 20" o:spid="_x0000_s1026" o:spt="32" type="#_x0000_t32" style="position:absolute;left:0pt;margin-left:214.25pt;margin-top:9.3pt;height:22.15pt;width:0pt;z-index:251717632;mso-width-relative:page;mso-height-relative:page;" filled="f" stroked="t" coordsize="21600,21600" o:gfxdata="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Y5H67XAAAACQEAAA8AAAAAAAAAAQAgAAAAIgAAAGRycy9kb3ducmV2LnhtbFBLAQIUABQA&#10;AAAIAIdO4kDpADx78QEAAOUDAAAOAAAAAAAAAAEAIAAAACYBAABkcnMvZTJvRG9jLnhtbFBLBQYA&#10;AAAABgAGAFkBAACJBQAAAAA=&#10;">
                <v:fill on="f" focussize="0,0"/>
                <v:stroke color="#000000" joinstyle="round" endarrow="block"/>
                <v:imagedata o:title=""/>
                <o:lock v:ext="edit" aspectratio="f"/>
              </v:shape>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718656" behindDoc="0" locked="0" layoutInCell="1" allowOverlap="1">
                <wp:simplePos x="0" y="0"/>
                <wp:positionH relativeFrom="column">
                  <wp:posOffset>2108200</wp:posOffset>
                </wp:positionH>
                <wp:positionV relativeFrom="paragraph">
                  <wp:posOffset>104140</wp:posOffset>
                </wp:positionV>
                <wp:extent cx="1242060" cy="312420"/>
                <wp:effectExtent l="0" t="0" r="15240" b="11430"/>
                <wp:wrapNone/>
                <wp:docPr id="419106" name="矩形 252"/>
                <wp:cNvGraphicFramePr/>
                <a:graphic xmlns:a="http://schemas.openxmlformats.org/drawingml/2006/main">
                  <a:graphicData uri="http://schemas.microsoft.com/office/word/2010/wordprocessingShape">
                    <wps:wsp>
                      <wps:cNvSpPr>
                        <a:spLocks noChangeArrowheads="1"/>
                      </wps:cNvSpPr>
                      <wps:spPr bwMode="auto">
                        <a:xfrm>
                          <a:off x="0" y="0"/>
                          <a:ext cx="1242060" cy="312420"/>
                        </a:xfrm>
                        <a:prstGeom prst="rect">
                          <a:avLst/>
                        </a:prstGeom>
                        <a:noFill/>
                        <a:ln w="15875">
                          <a:solidFill>
                            <a:srgbClr val="000000"/>
                          </a:solidFill>
                          <a:miter lim="800000"/>
                        </a:ln>
                      </wps:spPr>
                      <wps:txbx>
                        <w:txbxContent>
                          <w:p>
                            <w:pPr>
                              <w:jc w:val="center"/>
                              <w:rPr>
                                <w:rFonts w:ascii="宋体" w:hAnsi="宋体"/>
                                <w:sz w:val="24"/>
                              </w:rPr>
                            </w:pPr>
                            <w:r>
                              <w:rPr>
                                <w:rFonts w:hint="eastAsia" w:ascii="宋体" w:hAnsi="宋体"/>
                                <w:sz w:val="24"/>
                              </w:rPr>
                              <w:t>综合应急预案</w:t>
                            </w:r>
                          </w:p>
                        </w:txbxContent>
                      </wps:txbx>
                      <wps:bodyPr rot="0" vert="horz" wrap="square" lIns="91440" tIns="45720" rIns="91440" bIns="45720" anchor="t" anchorCtr="0" upright="1">
                        <a:noAutofit/>
                      </wps:bodyPr>
                    </wps:wsp>
                  </a:graphicData>
                </a:graphic>
              </wp:anchor>
            </w:drawing>
          </mc:Choice>
          <mc:Fallback>
            <w:pict>
              <v:rect id="矩形 252" o:spid="_x0000_s1026" o:spt="1" style="position:absolute;left:0pt;margin-left:166pt;margin-top:8.2pt;height:24.6pt;width:97.8pt;z-index:251718656;mso-width-relative:page;mso-height-relative:page;" filled="f" stroked="t" coordsize="21600,21600" o:gfxdata="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zDz/f2AAAAAkBAAAPAAAAAAAAAAEAIAAAACIAAABkcnMvZG93bnJl&#10;di54bWxQSwECFAAUAAAACACHTuJAY4uMzjYCAABZBAAADgAAAAAAAAABACAAAAAnAQAAZHJzL2Uy&#10;b0RvYy54bWxQSwUGAAAAAAYABgBZAQAAzwUAAAAA&#10;">
                <v:fill on="f" focussize="0,0"/>
                <v:stroke weight="1.25pt" color="#000000" miterlimit="8" joinstyle="miter"/>
                <v:imagedata o:title=""/>
                <o:lock v:ext="edit" aspectratio="f"/>
                <v:textbox>
                  <w:txbxContent>
                    <w:p>
                      <w:pPr>
                        <w:jc w:val="center"/>
                        <w:rPr>
                          <w:rFonts w:ascii="宋体" w:hAnsi="宋体"/>
                          <w:sz w:val="24"/>
                        </w:rPr>
                      </w:pPr>
                      <w:r>
                        <w:rPr>
                          <w:rFonts w:hint="eastAsia" w:ascii="宋体" w:hAnsi="宋体"/>
                          <w:sz w:val="24"/>
                        </w:rPr>
                        <w:t>综合应急预案</w:t>
                      </w:r>
                    </w:p>
                  </w:txbxContent>
                </v:textbox>
              </v:rect>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719680" behindDoc="0" locked="0" layoutInCell="1" allowOverlap="1">
                <wp:simplePos x="0" y="0"/>
                <wp:positionH relativeFrom="column">
                  <wp:posOffset>2728595</wp:posOffset>
                </wp:positionH>
                <wp:positionV relativeFrom="paragraph">
                  <wp:posOffset>122555</wp:posOffset>
                </wp:positionV>
                <wp:extent cx="0" cy="254635"/>
                <wp:effectExtent l="76200" t="0" r="57150" b="50165"/>
                <wp:wrapNone/>
                <wp:docPr id="419107" name="AutoShape 22"/>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straightConnector1">
                          <a:avLst/>
                        </a:prstGeom>
                        <a:noFill/>
                        <a:ln w="9525">
                          <a:solidFill>
                            <a:srgbClr val="000000"/>
                          </a:solidFill>
                          <a:round/>
                          <a:tailEnd type="triangle" w="med" len="med"/>
                        </a:ln>
                      </wps:spPr>
                      <wps:bodyPr/>
                    </wps:wsp>
                  </a:graphicData>
                </a:graphic>
              </wp:anchor>
            </w:drawing>
          </mc:Choice>
          <mc:Fallback>
            <w:pict>
              <v:shape id="AutoShape 22" o:spid="_x0000_s1026" o:spt="32" type="#_x0000_t32" style="position:absolute;left:0pt;margin-left:214.85pt;margin-top:9.65pt;height:20.05pt;width:0pt;z-index:251719680;mso-width-relative:page;mso-height-relative:page;" filled="f" stroked="t" coordsize="21600,21600" o:gfxdata="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i449bYAAAACQEAAA8AAAAAAAAAAQAgAAAAIgAAAGRycy9kb3ducmV2LnhtbFBLAQIU&#10;ABQAAAAIAIdO4kAPeIT18wEAAOUDAAAOAAAAAAAAAAEAIAAAACcBAABkcnMvZTJvRG9jLnhtbFBL&#10;BQYAAAAABgAGAFkBAACMBQAAAAA=&#10;">
                <v:fill on="f" focussize="0,0"/>
                <v:stroke color="#000000" joinstyle="round" endarrow="block"/>
                <v:imagedata o:title=""/>
                <o:lock v:ext="edit" aspectratio="f"/>
              </v:shape>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720704" behindDoc="0" locked="0" layoutInCell="1" allowOverlap="1">
                <wp:simplePos x="0" y="0"/>
                <wp:positionH relativeFrom="column">
                  <wp:posOffset>2115185</wp:posOffset>
                </wp:positionH>
                <wp:positionV relativeFrom="paragraph">
                  <wp:posOffset>71755</wp:posOffset>
                </wp:positionV>
                <wp:extent cx="1259840" cy="312420"/>
                <wp:effectExtent l="0" t="0" r="16510" b="11430"/>
                <wp:wrapNone/>
                <wp:docPr id="419108" name="矩形 241"/>
                <wp:cNvGraphicFramePr/>
                <a:graphic xmlns:a="http://schemas.openxmlformats.org/drawingml/2006/main">
                  <a:graphicData uri="http://schemas.microsoft.com/office/word/2010/wordprocessingShape">
                    <wps:wsp>
                      <wps:cNvSpPr>
                        <a:spLocks noChangeArrowheads="1"/>
                      </wps:cNvSpPr>
                      <wps:spPr bwMode="auto">
                        <a:xfrm>
                          <a:off x="0" y="0"/>
                          <a:ext cx="1259840" cy="312420"/>
                        </a:xfrm>
                        <a:prstGeom prst="rect">
                          <a:avLst/>
                        </a:prstGeom>
                        <a:noFill/>
                        <a:ln w="15875">
                          <a:solidFill>
                            <a:srgbClr val="000000"/>
                          </a:solidFill>
                          <a:miter lim="800000"/>
                        </a:ln>
                      </wps:spPr>
                      <wps:txbx>
                        <w:txbxContent>
                          <w:p>
                            <w:pPr>
                              <w:jc w:val="center"/>
                              <w:rPr>
                                <w:rFonts w:ascii="宋体" w:hAnsi="宋体"/>
                                <w:sz w:val="24"/>
                              </w:rPr>
                            </w:pPr>
                            <w:r>
                              <w:rPr>
                                <w:rFonts w:hint="eastAsia" w:ascii="宋体" w:hAnsi="宋体"/>
                                <w:sz w:val="24"/>
                              </w:rPr>
                              <w:t>专项应急预案</w:t>
                            </w:r>
                          </w:p>
                        </w:txbxContent>
                      </wps:txbx>
                      <wps:bodyPr rot="0" vert="horz" wrap="square" lIns="91440" tIns="45720" rIns="91440" bIns="45720" anchor="t" anchorCtr="0" upright="1">
                        <a:noAutofit/>
                      </wps:bodyPr>
                    </wps:wsp>
                  </a:graphicData>
                </a:graphic>
              </wp:anchor>
            </w:drawing>
          </mc:Choice>
          <mc:Fallback>
            <w:pict>
              <v:rect id="矩形 241" o:spid="_x0000_s1026" o:spt="1" style="position:absolute;left:0pt;margin-left:166.55pt;margin-top:5.65pt;height:24.6pt;width:99.2pt;z-index:251720704;mso-width-relative:page;mso-height-relative:page;" filled="f" stroked="t" coordsize="21600,21600" o:gfxdata="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T58GPXAAAACQEAAA8AAAAAAAAAAQAgAAAAIgAAAGRycy9kb3du&#10;cmV2LnhtbFBLAQIUABQAAAAIAIdO4kCGwNOlOQIAAFkEAAAOAAAAAAAAAAEAIAAAACYBAABkcnMv&#10;ZTJvRG9jLnhtbFBLBQYAAAAABgAGAFkBAADRBQAAAAA=&#10;">
                <v:fill on="f" focussize="0,0"/>
                <v:stroke weight="1.25pt" color="#000000" miterlimit="8" joinstyle="miter"/>
                <v:imagedata o:title=""/>
                <o:lock v:ext="edit" aspectratio="f"/>
                <v:textbox>
                  <w:txbxContent>
                    <w:p>
                      <w:pPr>
                        <w:jc w:val="center"/>
                        <w:rPr>
                          <w:rFonts w:ascii="宋体" w:hAnsi="宋体"/>
                          <w:sz w:val="24"/>
                        </w:rPr>
                      </w:pPr>
                      <w:r>
                        <w:rPr>
                          <w:rFonts w:hint="eastAsia" w:ascii="宋体" w:hAnsi="宋体"/>
                          <w:sz w:val="24"/>
                        </w:rPr>
                        <w:t>专项应急预案</w:t>
                      </w:r>
                    </w:p>
                  </w:txbxContent>
                </v:textbox>
              </v:rect>
            </w:pict>
          </mc:Fallback>
        </mc:AlternateContent>
      </w:r>
    </w:p>
    <w:p>
      <w:pPr>
        <w:tabs>
          <w:tab w:val="left" w:pos="993"/>
        </w:tabs>
        <w:ind w:firstLine="560"/>
        <w:jc w:val="center"/>
        <w:rPr>
          <w:rFonts w:ascii="宋体" w:hAnsi="宋体" w:cs="宋体"/>
        </w:rPr>
      </w:pPr>
      <w:r>
        <w:rPr>
          <w:rFonts w:ascii="宋体" w:hAnsi="宋体" w:cs="宋体"/>
        </w:rPr>
        <mc:AlternateContent>
          <mc:Choice Requires="wps">
            <w:drawing>
              <wp:anchor distT="0" distB="0" distL="114300" distR="114300" simplePos="0" relativeHeight="251746304" behindDoc="0" locked="0" layoutInCell="1" allowOverlap="1">
                <wp:simplePos x="0" y="0"/>
                <wp:positionH relativeFrom="column">
                  <wp:posOffset>485775</wp:posOffset>
                </wp:positionH>
                <wp:positionV relativeFrom="paragraph">
                  <wp:posOffset>273685</wp:posOffset>
                </wp:positionV>
                <wp:extent cx="4667250" cy="19050"/>
                <wp:effectExtent l="0" t="0" r="19050" b="19050"/>
                <wp:wrapNone/>
                <wp:docPr id="419109" name="直接连接符 419109"/>
                <wp:cNvGraphicFramePr/>
                <a:graphic xmlns:a="http://schemas.openxmlformats.org/drawingml/2006/main">
                  <a:graphicData uri="http://schemas.microsoft.com/office/word/2010/wordprocessingShape">
                    <wps:wsp>
                      <wps:cNvCnPr/>
                      <wps:spPr>
                        <a:xfrm>
                          <a:off x="0" y="0"/>
                          <a:ext cx="4667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8.25pt;margin-top:21.55pt;height:1.5pt;width:367.5pt;z-index:251746304;mso-width-relative:page;mso-height-relative:page;" filled="f" stroked="t" coordsize="21600,21600" o:gfxdata="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Bk+ZXWAAAACAEAAA8AAAAAAAAAAQAgAAAAIgAAAGRycy9kb3ducmV2LnhtbFBL&#10;AQIUABQAAAAIAIdO4kCyWzAS+AEAAOEDAAAOAAAAAAAAAAEAIAAAACUBAABkcnMvZTJvRG9jLnht&#10;bFBLBQYAAAAABgAGAFkBAACPBQAAAAA=&#10;">
                <v:fill on="f" focussize="0,0"/>
                <v:stroke color="#000000 [3200]" joinstyle="round"/>
                <v:imagedata o:title=""/>
                <o:lock v:ext="edit" aspectratio="f"/>
              </v:line>
            </w:pict>
          </mc:Fallback>
        </mc:AlternateContent>
      </w:r>
      <w:r>
        <w:rPr>
          <w:rFonts w:ascii="宋体" w:hAnsi="宋体" w:cs="宋体"/>
        </w:rPr>
        <mc:AlternateContent>
          <mc:Choice Requires="wps">
            <w:drawing>
              <wp:anchor distT="0" distB="0" distL="114300" distR="114300" simplePos="0" relativeHeight="251729920" behindDoc="0" locked="0" layoutInCell="1" allowOverlap="1">
                <wp:simplePos x="0" y="0"/>
                <wp:positionH relativeFrom="column">
                  <wp:posOffset>1274445</wp:posOffset>
                </wp:positionH>
                <wp:positionV relativeFrom="paragraph">
                  <wp:posOffset>297815</wp:posOffset>
                </wp:positionV>
                <wp:extent cx="635" cy="351790"/>
                <wp:effectExtent l="76200" t="0" r="75565" b="48260"/>
                <wp:wrapNone/>
                <wp:docPr id="419113" name="AutoShape 82"/>
                <wp:cNvGraphicFramePr/>
                <a:graphic xmlns:a="http://schemas.openxmlformats.org/drawingml/2006/main">
                  <a:graphicData uri="http://schemas.microsoft.com/office/word/2010/wordprocessingShape">
                    <wps:wsp>
                      <wps:cNvCnPr>
                        <a:cxnSpLocks noChangeShapeType="1"/>
                      </wps:cNvCnPr>
                      <wps:spPr bwMode="auto">
                        <a:xfrm>
                          <a:off x="0" y="0"/>
                          <a:ext cx="635" cy="351790"/>
                        </a:xfrm>
                        <a:prstGeom prst="straightConnector1">
                          <a:avLst/>
                        </a:prstGeom>
                        <a:noFill/>
                        <a:ln w="9525">
                          <a:solidFill>
                            <a:srgbClr val="000000"/>
                          </a:solidFill>
                          <a:round/>
                          <a:tailEnd type="triangle" w="med" len="med"/>
                        </a:ln>
                      </wps:spPr>
                      <wps:bodyPr/>
                    </wps:wsp>
                  </a:graphicData>
                </a:graphic>
              </wp:anchor>
            </w:drawing>
          </mc:Choice>
          <mc:Fallback>
            <w:pict>
              <v:shape id="AutoShape 82" o:spid="_x0000_s1026" o:spt="32" type="#_x0000_t32" style="position:absolute;left:0pt;margin-left:100.35pt;margin-top:23.45pt;height:27.7pt;width:0.05pt;z-index:251729920;mso-width-relative:page;mso-height-relative:page;" filled="f" stroked="t" coordsize="21600,21600" o:gfxdata="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8+kfdgAAAAKAQAADwAAAAAAAAABACAAAAAiAAAAZHJzL2Rvd25yZXYueG1s&#10;UEsBAhQAFAAAAAgAh07iQOF0r6r4AQAA5wMAAA4AAAAAAAAAAQAgAAAAJwEAAGRycy9lMm9Eb2Mu&#10;eG1sUEsFBgAAAAAGAAYAWQEAAJEFA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756544" behindDoc="0" locked="0" layoutInCell="1" allowOverlap="1">
                <wp:simplePos x="0" y="0"/>
                <wp:positionH relativeFrom="column">
                  <wp:posOffset>5154930</wp:posOffset>
                </wp:positionH>
                <wp:positionV relativeFrom="paragraph">
                  <wp:posOffset>283210</wp:posOffset>
                </wp:positionV>
                <wp:extent cx="635" cy="351790"/>
                <wp:effectExtent l="76200" t="0" r="75565" b="48260"/>
                <wp:wrapNone/>
                <wp:docPr id="28" name="AutoShape 82"/>
                <wp:cNvGraphicFramePr/>
                <a:graphic xmlns:a="http://schemas.openxmlformats.org/drawingml/2006/main">
                  <a:graphicData uri="http://schemas.microsoft.com/office/word/2010/wordprocessingShape">
                    <wps:wsp>
                      <wps:cNvCnPr>
                        <a:cxnSpLocks noChangeShapeType="1"/>
                      </wps:cNvCnPr>
                      <wps:spPr bwMode="auto">
                        <a:xfrm>
                          <a:off x="0" y="0"/>
                          <a:ext cx="635" cy="351790"/>
                        </a:xfrm>
                        <a:prstGeom prst="straightConnector1">
                          <a:avLst/>
                        </a:prstGeom>
                        <a:noFill/>
                        <a:ln w="9525">
                          <a:solidFill>
                            <a:srgbClr val="000000"/>
                          </a:solidFill>
                          <a:round/>
                          <a:tailEnd type="triangle" w="med" len="med"/>
                        </a:ln>
                      </wps:spPr>
                      <wps:bodyPr/>
                    </wps:wsp>
                  </a:graphicData>
                </a:graphic>
              </wp:anchor>
            </w:drawing>
          </mc:Choice>
          <mc:Fallback>
            <w:pict>
              <v:shape id="AutoShape 82" o:spid="_x0000_s1026" o:spt="32" type="#_x0000_t32" style="position:absolute;left:0pt;margin-left:405.9pt;margin-top:22.3pt;height:27.7pt;width:0.05pt;z-index:251756544;mso-width-relative:page;mso-height-relative:page;" filled="f" stroked="t" coordsize="21600,21600" o:gfxdata="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yGT2AAAAAoBAAAPAAAAAAAAAAEAIAAAACIAAABkcnMvZG93bnJldi54bWxQSwEC&#10;FAAUAAAACACHTuJAx47b1fQBAADjAwAADgAAAAAAAAABACAAAAAnAQAAZHJzL2Uyb0RvYy54bWxQ&#10;SwUGAAAAAAYABgBZAQAAjQU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755520" behindDoc="0" locked="0" layoutInCell="1" allowOverlap="1">
                <wp:simplePos x="0" y="0"/>
                <wp:positionH relativeFrom="column">
                  <wp:posOffset>487680</wp:posOffset>
                </wp:positionH>
                <wp:positionV relativeFrom="paragraph">
                  <wp:posOffset>292735</wp:posOffset>
                </wp:positionV>
                <wp:extent cx="635" cy="351790"/>
                <wp:effectExtent l="76200" t="0" r="75565" b="48260"/>
                <wp:wrapNone/>
                <wp:docPr id="27" name="AutoShape 82"/>
                <wp:cNvGraphicFramePr/>
                <a:graphic xmlns:a="http://schemas.openxmlformats.org/drawingml/2006/main">
                  <a:graphicData uri="http://schemas.microsoft.com/office/word/2010/wordprocessingShape">
                    <wps:wsp>
                      <wps:cNvCnPr>
                        <a:cxnSpLocks noChangeShapeType="1"/>
                      </wps:cNvCnPr>
                      <wps:spPr bwMode="auto">
                        <a:xfrm>
                          <a:off x="0" y="0"/>
                          <a:ext cx="635" cy="351790"/>
                        </a:xfrm>
                        <a:prstGeom prst="straightConnector1">
                          <a:avLst/>
                        </a:prstGeom>
                        <a:noFill/>
                        <a:ln w="9525">
                          <a:solidFill>
                            <a:srgbClr val="000000"/>
                          </a:solidFill>
                          <a:round/>
                          <a:tailEnd type="triangle" w="med" len="med"/>
                        </a:ln>
                      </wps:spPr>
                      <wps:bodyPr/>
                    </wps:wsp>
                  </a:graphicData>
                </a:graphic>
              </wp:anchor>
            </w:drawing>
          </mc:Choice>
          <mc:Fallback>
            <w:pict>
              <v:shape id="AutoShape 82" o:spid="_x0000_s1026" o:spt="32" type="#_x0000_t32" style="position:absolute;left:0pt;margin-left:38.4pt;margin-top:23.05pt;height:27.7pt;width:0.05pt;z-index:251755520;mso-width-relative:page;mso-height-relative:page;" filled="f" stroked="t" coordsize="21600,21600" o:gfxdata="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bA/F9gAAAAIAQAADwAAAAAAAAABACAAAAAiAAAAZHJzL2Rvd25yZXYueG1sUEsB&#10;AhQAFAAAAAgAh07iQA7oB/P1AQAA4wMAAA4AAAAAAAAAAQAgAAAAJwEAAGRycy9lMm9Eb2MueG1s&#10;UEsFBgAAAAAGAAYAWQEAAI4FA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723776" behindDoc="0" locked="0" layoutInCell="1" allowOverlap="1">
                <wp:simplePos x="0" y="0"/>
                <wp:positionH relativeFrom="column">
                  <wp:posOffset>4175125</wp:posOffset>
                </wp:positionH>
                <wp:positionV relativeFrom="paragraph">
                  <wp:posOffset>297815</wp:posOffset>
                </wp:positionV>
                <wp:extent cx="635" cy="349885"/>
                <wp:effectExtent l="76200" t="0" r="75565" b="50165"/>
                <wp:wrapNone/>
                <wp:docPr id="419110" name="AutoShape 29"/>
                <wp:cNvGraphicFramePr/>
                <a:graphic xmlns:a="http://schemas.openxmlformats.org/drawingml/2006/main">
                  <a:graphicData uri="http://schemas.microsoft.com/office/word/2010/wordprocessingShape">
                    <wps:wsp>
                      <wps:cNvCnPr>
                        <a:cxnSpLocks noChangeShapeType="1"/>
                      </wps:cNvCnPr>
                      <wps:spPr bwMode="auto">
                        <a:xfrm>
                          <a:off x="0" y="0"/>
                          <a:ext cx="635" cy="349885"/>
                        </a:xfrm>
                        <a:prstGeom prst="straightConnector1">
                          <a:avLst/>
                        </a:prstGeom>
                        <a:noFill/>
                        <a:ln w="9525">
                          <a:solidFill>
                            <a:srgbClr val="000000"/>
                          </a:solidFill>
                          <a:round/>
                          <a:tailEnd type="triangle" w="med" len="med"/>
                        </a:ln>
                      </wps:spPr>
                      <wps:bodyPr/>
                    </wps:wsp>
                  </a:graphicData>
                </a:graphic>
              </wp:anchor>
            </w:drawing>
          </mc:Choice>
          <mc:Fallback>
            <w:pict>
              <v:shape id="AutoShape 29" o:spid="_x0000_s1026" o:spt="32" type="#_x0000_t32" style="position:absolute;left:0pt;margin-left:328.75pt;margin-top:23.45pt;height:27.55pt;width:0.05pt;z-index:251723776;mso-width-relative:page;mso-height-relative:page;" filled="f" stroked="t" coordsize="21600,21600" o:gfxdata="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oa4AL2QAAAAoBAAAPAAAAAAAAAAEAIAAAACIAAABkcnMvZG93bnJldi54bWxQ&#10;SwECFAAUAAAACACHTuJA01rUsPYBAADnAwAADgAAAAAAAAABACAAAAAoAQAAZHJzL2Uyb0RvYy54&#10;bWxQSwUGAAAAAAYABgBZAQAAkAU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726848" behindDoc="0" locked="0" layoutInCell="1" allowOverlap="1">
                <wp:simplePos x="0" y="0"/>
                <wp:positionH relativeFrom="column">
                  <wp:posOffset>3220720</wp:posOffset>
                </wp:positionH>
                <wp:positionV relativeFrom="paragraph">
                  <wp:posOffset>297815</wp:posOffset>
                </wp:positionV>
                <wp:extent cx="635" cy="349885"/>
                <wp:effectExtent l="76200" t="0" r="75565" b="50165"/>
                <wp:wrapNone/>
                <wp:docPr id="419111" name="AutoShape 56"/>
                <wp:cNvGraphicFramePr/>
                <a:graphic xmlns:a="http://schemas.openxmlformats.org/drawingml/2006/main">
                  <a:graphicData uri="http://schemas.microsoft.com/office/word/2010/wordprocessingShape">
                    <wps:wsp>
                      <wps:cNvCnPr>
                        <a:cxnSpLocks noChangeShapeType="1"/>
                      </wps:cNvCnPr>
                      <wps:spPr bwMode="auto">
                        <a:xfrm>
                          <a:off x="0" y="0"/>
                          <a:ext cx="635" cy="349885"/>
                        </a:xfrm>
                        <a:prstGeom prst="straightConnector1">
                          <a:avLst/>
                        </a:prstGeom>
                        <a:noFill/>
                        <a:ln w="9525">
                          <a:solidFill>
                            <a:srgbClr val="000000"/>
                          </a:solidFill>
                          <a:round/>
                          <a:tailEnd type="triangle" w="med" len="med"/>
                        </a:ln>
                      </wps:spPr>
                      <wps:bodyPr/>
                    </wps:wsp>
                  </a:graphicData>
                </a:graphic>
              </wp:anchor>
            </w:drawing>
          </mc:Choice>
          <mc:Fallback>
            <w:pict>
              <v:shape id="AutoShape 56" o:spid="_x0000_s1026" o:spt="32" type="#_x0000_t32" style="position:absolute;left:0pt;margin-left:253.6pt;margin-top:23.45pt;height:27.55pt;width:0.05pt;z-index:251726848;mso-width-relative:page;mso-height-relative:page;" filled="f" stroked="t" coordsize="21600,21600" o:gfxdata="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9Bdf2QAAAAoBAAAPAAAAAAAAAAEAIAAAACIAAABkcnMvZG93bnJldi54bWxQ&#10;SwECFAAUAAAACACHTuJAtQZgPfYBAADnAwAADgAAAAAAAAABACAAAAAoAQAAZHJzL2Uyb0RvYy54&#10;bWxQSwUGAAAAAAYABgBZAQAAkAU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722752" behindDoc="0" locked="0" layoutInCell="1" allowOverlap="1">
                <wp:simplePos x="0" y="0"/>
                <wp:positionH relativeFrom="column">
                  <wp:posOffset>2244090</wp:posOffset>
                </wp:positionH>
                <wp:positionV relativeFrom="paragraph">
                  <wp:posOffset>297815</wp:posOffset>
                </wp:positionV>
                <wp:extent cx="635" cy="351790"/>
                <wp:effectExtent l="76200" t="0" r="75565" b="48260"/>
                <wp:wrapNone/>
                <wp:docPr id="419112" name="AutoShape 24"/>
                <wp:cNvGraphicFramePr/>
                <a:graphic xmlns:a="http://schemas.openxmlformats.org/drawingml/2006/main">
                  <a:graphicData uri="http://schemas.microsoft.com/office/word/2010/wordprocessingShape">
                    <wps:wsp>
                      <wps:cNvCnPr>
                        <a:cxnSpLocks noChangeShapeType="1"/>
                      </wps:cNvCnPr>
                      <wps:spPr bwMode="auto">
                        <a:xfrm>
                          <a:off x="0" y="0"/>
                          <a:ext cx="635" cy="351790"/>
                        </a:xfrm>
                        <a:prstGeom prst="straightConnector1">
                          <a:avLst/>
                        </a:prstGeom>
                        <a:noFill/>
                        <a:ln w="9525">
                          <a:solidFill>
                            <a:srgbClr val="000000"/>
                          </a:solidFill>
                          <a:round/>
                          <a:tailEnd type="triangle" w="med" len="med"/>
                        </a:ln>
                      </wps:spPr>
                      <wps:bodyPr/>
                    </wps:wsp>
                  </a:graphicData>
                </a:graphic>
              </wp:anchor>
            </w:drawing>
          </mc:Choice>
          <mc:Fallback>
            <w:pict>
              <v:shape id="AutoShape 24" o:spid="_x0000_s1026" o:spt="32" type="#_x0000_t32" style="position:absolute;left:0pt;margin-left:176.7pt;margin-top:23.45pt;height:27.7pt;width:0.05pt;z-index:251722752;mso-width-relative:page;mso-height-relative:page;" filled="f" stroked="t" coordsize="21600,21600" o:gfxdata="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3KmE2gAAAAoBAAAPAAAAAAAAAAEAIAAAACIAAABkcnMvZG93bnJldi54&#10;bWxQSwECFAAUAAAACACHTuJAmhkgJvgBAADnAwAADgAAAAAAAAABACAAAAApAQAAZHJzL2Uyb0Rv&#10;Yy54bWxQSwUGAAAAAAYABgBZAQAAkwU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721728" behindDoc="0" locked="0" layoutInCell="1" allowOverlap="1">
                <wp:simplePos x="0" y="0"/>
                <wp:positionH relativeFrom="column">
                  <wp:posOffset>2724785</wp:posOffset>
                </wp:positionH>
                <wp:positionV relativeFrom="paragraph">
                  <wp:posOffset>75565</wp:posOffset>
                </wp:positionV>
                <wp:extent cx="2540" cy="232410"/>
                <wp:effectExtent l="76200" t="0" r="73660" b="53340"/>
                <wp:wrapNone/>
                <wp:docPr id="419114" name="AutoShape 25"/>
                <wp:cNvGraphicFramePr/>
                <a:graphic xmlns:a="http://schemas.openxmlformats.org/drawingml/2006/main">
                  <a:graphicData uri="http://schemas.microsoft.com/office/word/2010/wordprocessingShape">
                    <wps:wsp>
                      <wps:cNvCnPr>
                        <a:cxnSpLocks noChangeShapeType="1"/>
                      </wps:cNvCnPr>
                      <wps:spPr bwMode="auto">
                        <a:xfrm flipH="1">
                          <a:off x="0" y="0"/>
                          <a:ext cx="2540" cy="232410"/>
                        </a:xfrm>
                        <a:prstGeom prst="straightConnector1">
                          <a:avLst/>
                        </a:prstGeom>
                        <a:noFill/>
                        <a:ln w="9525">
                          <a:solidFill>
                            <a:srgbClr val="000000"/>
                          </a:solidFill>
                          <a:round/>
                          <a:tailEnd type="triangle" w="med" len="med"/>
                        </a:ln>
                      </wps:spPr>
                      <wps:bodyPr/>
                    </wps:wsp>
                  </a:graphicData>
                </a:graphic>
              </wp:anchor>
            </w:drawing>
          </mc:Choice>
          <mc:Fallback>
            <w:pict>
              <v:shape id="AutoShape 25" o:spid="_x0000_s1026" o:spt="32" type="#_x0000_t32" style="position:absolute;left:0pt;flip:x;margin-left:214.55pt;margin-top:5.95pt;height:18.3pt;width:0.2pt;z-index:251721728;mso-width-relative:page;mso-height-relative:page;" filled="f" stroked="t" coordsize="21600,21600" o:gfxdata="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d8AadgAAAAJAQAADwAAAAAAAAABACAAAAAiAAAAZHJzL2Rvd25yZXYu&#10;eG1sUEsBAhQAFAAAAAgAh07iQB7ujJX7AQAA8gMAAA4AAAAAAAAAAQAgAAAAJwEAAGRycy9lMm9E&#10;b2MueG1sUEsFBgAAAAAGAAYAWQEAAJQFAAAAAA==&#10;">
                <v:fill on="f" focussize="0,0"/>
                <v:stroke color="#000000" joinstyle="round" endarrow="block"/>
                <v:imagedata o:title=""/>
                <o:lock v:ext="edit" aspectratio="f"/>
              </v:shape>
            </w:pict>
          </mc:Fallback>
        </mc:AlternateContent>
      </w:r>
    </w:p>
    <w:p>
      <w:pPr>
        <w:tabs>
          <w:tab w:val="left" w:pos="993"/>
        </w:tabs>
        <w:ind w:firstLine="560"/>
        <w:jc w:val="center"/>
        <w:rPr>
          <w:rFonts w:ascii="宋体" w:hAnsi="宋体" w:cs="宋体"/>
        </w:rPr>
      </w:pP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727872" behindDoc="0" locked="0" layoutInCell="1" allowOverlap="1">
                <wp:simplePos x="0" y="0"/>
                <wp:positionH relativeFrom="column">
                  <wp:posOffset>972820</wp:posOffset>
                </wp:positionH>
                <wp:positionV relativeFrom="paragraph">
                  <wp:posOffset>33655</wp:posOffset>
                </wp:positionV>
                <wp:extent cx="631825" cy="1106805"/>
                <wp:effectExtent l="0" t="0" r="15875" b="17145"/>
                <wp:wrapNone/>
                <wp:docPr id="419115" name="Rectangle 35"/>
                <wp:cNvGraphicFramePr/>
                <a:graphic xmlns:a="http://schemas.openxmlformats.org/drawingml/2006/main">
                  <a:graphicData uri="http://schemas.microsoft.com/office/word/2010/wordprocessingShape">
                    <wps:wsp>
                      <wps:cNvSpPr>
                        <a:spLocks noChangeArrowheads="1"/>
                      </wps:cNvSpPr>
                      <wps:spPr bwMode="auto">
                        <a:xfrm>
                          <a:off x="0" y="0"/>
                          <a:ext cx="631825" cy="1106805"/>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管道事故专项应急预案</w:t>
                            </w:r>
                          </w:p>
                        </w:txbxContent>
                      </wps:txbx>
                      <wps:bodyPr rot="0" vert="horz" wrap="square" lIns="91440" tIns="45720" rIns="91440" bIns="45720" anchor="t" anchorCtr="0" upright="1">
                        <a:noAutofit/>
                      </wps:bodyPr>
                    </wps:wsp>
                  </a:graphicData>
                </a:graphic>
              </wp:anchor>
            </w:drawing>
          </mc:Choice>
          <mc:Fallback>
            <w:pict>
              <v:rect id="Rectangle 35" o:spid="_x0000_s1026" o:spt="1" style="position:absolute;left:0pt;margin-left:76.6pt;margin-top:2.65pt;height:87.15pt;width:49.75pt;z-index:251727872;mso-width-relative:page;mso-height-relative:page;" filled="f" stroked="t" coordsize="21600,21600" o:gfxdata="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vLrYfYAAAACQEAAA8AAAAAAAAAAQAgAAAAIgAAAGRycy9kb3ducmV2LnhtbFBL&#10;AQIUABQAAAAIAIdO4kBH/48oLwIAAFsEAAAOAAAAAAAAAAEAIAAAACcBAABkcnMvZTJvRG9jLnht&#10;bFBLBQYAAAAABgAGAFkBAADI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管道事故专项应急预案</w:t>
                      </w:r>
                    </w:p>
                  </w:txbxContent>
                </v:textbox>
              </v:rect>
            </w:pict>
          </mc:Fallback>
        </mc:AlternateContent>
      </w:r>
      <w:r>
        <w:rPr>
          <w:rFonts w:ascii="宋体" w:hAnsi="宋体" w:cs="宋体"/>
        </w:rPr>
        <mc:AlternateContent>
          <mc:Choice Requires="wps">
            <w:drawing>
              <wp:anchor distT="0" distB="0" distL="114300" distR="114300" simplePos="0" relativeHeight="251754496" behindDoc="0" locked="0" layoutInCell="1" allowOverlap="1">
                <wp:simplePos x="0" y="0"/>
                <wp:positionH relativeFrom="column">
                  <wp:posOffset>4819650</wp:posOffset>
                </wp:positionH>
                <wp:positionV relativeFrom="paragraph">
                  <wp:posOffset>9525</wp:posOffset>
                </wp:positionV>
                <wp:extent cx="619125" cy="1102360"/>
                <wp:effectExtent l="0" t="0" r="28575" b="21590"/>
                <wp:wrapNone/>
                <wp:docPr id="26" name="Rectangle 34"/>
                <wp:cNvGraphicFramePr/>
                <a:graphic xmlns:a="http://schemas.openxmlformats.org/drawingml/2006/main">
                  <a:graphicData uri="http://schemas.microsoft.com/office/word/2010/wordprocessingShape">
                    <wps:wsp>
                      <wps:cNvSpPr>
                        <a:spLocks noChangeArrowheads="1"/>
                      </wps:cNvSpPr>
                      <wps:spPr bwMode="auto">
                        <a:xfrm>
                          <a:off x="0" y="0"/>
                          <a:ext cx="619125" cy="110236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反暴恐专项应急预案</w:t>
                            </w:r>
                          </w:p>
                        </w:txbxContent>
                      </wps:txbx>
                      <wps:bodyPr rot="0" vert="horz" wrap="square" lIns="91440" tIns="45720" rIns="91440" bIns="45720" anchor="t" anchorCtr="0" upright="1">
                        <a:noAutofit/>
                      </wps:bodyPr>
                    </wps:wsp>
                  </a:graphicData>
                </a:graphic>
              </wp:anchor>
            </w:drawing>
          </mc:Choice>
          <mc:Fallback>
            <w:pict>
              <v:rect id="Rectangle 34" o:spid="_x0000_s1026" o:spt="1" style="position:absolute;left:0pt;margin-left:379.5pt;margin-top:0.75pt;height:86.8pt;width:48.75pt;z-index:251754496;mso-width-relative:page;mso-height-relative:page;" filled="f" stroked="t" coordsize="21600,21600" o:gfxdata="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S7rrfYAAAACQEAAA8AAAAAAAAAAQAgAAAAIgAAAGRycy9kb3ducmV2LnhtbFBLAQIU&#10;ABQAAAAIAIdO4kCESDIRLAIAAFcEAAAOAAAAAAAAAAEAIAAAACcBAABkcnMvZTJvRG9jLnhtbFBL&#10;BQYAAAAABgAGAFkBAADF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反暴恐专项应急预案</w:t>
                      </w:r>
                    </w:p>
                  </w:txbxContent>
                </v:textbox>
              </v:rect>
            </w:pict>
          </mc:Fallback>
        </mc:AlternateContent>
      </w:r>
      <w:r>
        <w:rPr>
          <w:rFonts w:ascii="宋体" w:hAnsi="宋体" w:cs="宋体"/>
        </w:rPr>
        <mc:AlternateContent>
          <mc:Choice Requires="wps">
            <w:drawing>
              <wp:anchor distT="0" distB="0" distL="114300" distR="114300" simplePos="0" relativeHeight="251753472" behindDoc="0" locked="0" layoutInCell="1" allowOverlap="1">
                <wp:simplePos x="0" y="0"/>
                <wp:positionH relativeFrom="column">
                  <wp:posOffset>144780</wp:posOffset>
                </wp:positionH>
                <wp:positionV relativeFrom="paragraph">
                  <wp:posOffset>10160</wp:posOffset>
                </wp:positionV>
                <wp:extent cx="631825" cy="1106805"/>
                <wp:effectExtent l="0" t="0" r="15875" b="17145"/>
                <wp:wrapNone/>
                <wp:docPr id="11" name="Rectangle 35"/>
                <wp:cNvGraphicFramePr/>
                <a:graphic xmlns:a="http://schemas.openxmlformats.org/drawingml/2006/main">
                  <a:graphicData uri="http://schemas.microsoft.com/office/word/2010/wordprocessingShape">
                    <wps:wsp>
                      <wps:cNvSpPr>
                        <a:spLocks noChangeArrowheads="1"/>
                      </wps:cNvSpPr>
                      <wps:spPr bwMode="auto">
                        <a:xfrm>
                          <a:off x="0" y="0"/>
                          <a:ext cx="631825" cy="1106805"/>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场站事故专项应急预案</w:t>
                            </w:r>
                          </w:p>
                        </w:txbxContent>
                      </wps:txbx>
                      <wps:bodyPr rot="0" vert="horz" wrap="square" lIns="91440" tIns="45720" rIns="91440" bIns="45720" anchor="t" anchorCtr="0" upright="1">
                        <a:noAutofit/>
                      </wps:bodyPr>
                    </wps:wsp>
                  </a:graphicData>
                </a:graphic>
              </wp:anchor>
            </w:drawing>
          </mc:Choice>
          <mc:Fallback>
            <w:pict>
              <v:rect id="Rectangle 35" o:spid="_x0000_s1026" o:spt="1" style="position:absolute;left:0pt;margin-left:11.4pt;margin-top:0.8pt;height:87.15pt;width:49.75pt;z-index:251753472;mso-width-relative:page;mso-height-relative:page;" filled="f" stroked="t" coordsize="21600,21600" o:gfxdata="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2UCif1wAAAAgBAAAPAAAAAAAAAAEAIAAAACIAAABkcnMvZG93bnJldi54bWxQSwECFAAU&#10;AAAACACHTuJAhIhvVisCAABXBAAADgAAAAAAAAABACAAAAAmAQAAZHJzL2Uyb0RvYy54bWxQSwUG&#10;AAAAAAYABgBZAQAAwwU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场站事故专项应急预案</w:t>
                      </w:r>
                    </w:p>
                  </w:txbxContent>
                </v:textbox>
              </v:rect>
            </w:pict>
          </mc:Fallback>
        </mc:AlternateContent>
      </w:r>
      <w:r>
        <w:rPr>
          <w:rFonts w:ascii="宋体" w:hAnsi="宋体" w:cs="宋体"/>
        </w:rPr>
        <mc:AlternateContent>
          <mc:Choice Requires="wps">
            <w:drawing>
              <wp:anchor distT="0" distB="0" distL="114300" distR="114300" simplePos="0" relativeHeight="251730944" behindDoc="0" locked="0" layoutInCell="1" allowOverlap="1">
                <wp:simplePos x="0" y="0"/>
                <wp:positionH relativeFrom="column">
                  <wp:posOffset>2897505</wp:posOffset>
                </wp:positionH>
                <wp:positionV relativeFrom="paragraph">
                  <wp:posOffset>33020</wp:posOffset>
                </wp:positionV>
                <wp:extent cx="636270" cy="1102360"/>
                <wp:effectExtent l="0" t="0" r="11430" b="21590"/>
                <wp:wrapNone/>
                <wp:docPr id="419116" name="矩形 245"/>
                <wp:cNvGraphicFramePr/>
                <a:graphic xmlns:a="http://schemas.openxmlformats.org/drawingml/2006/main">
                  <a:graphicData uri="http://schemas.microsoft.com/office/word/2010/wordprocessingShape">
                    <wps:wsp>
                      <wps:cNvSpPr>
                        <a:spLocks noChangeArrowheads="1"/>
                      </wps:cNvSpPr>
                      <wps:spPr bwMode="auto">
                        <a:xfrm>
                          <a:off x="0" y="0"/>
                          <a:ext cx="636270" cy="110236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地震</w:t>
                            </w:r>
                            <w:r>
                              <w:rPr>
                                <w:rFonts w:ascii="宋体" w:hAnsi="宋体"/>
                                <w:sz w:val="24"/>
                              </w:rPr>
                              <w:t>灾害</w:t>
                            </w:r>
                            <w:r>
                              <w:rPr>
                                <w:rFonts w:hint="eastAsia" w:ascii="宋体" w:hAnsi="宋体"/>
                                <w:sz w:val="24"/>
                              </w:rPr>
                              <w:t>专项应急预案</w:t>
                            </w:r>
                          </w:p>
                        </w:txbxContent>
                      </wps:txbx>
                      <wps:bodyPr rot="0" vert="horz" wrap="square" lIns="91440" tIns="45720" rIns="91440" bIns="45720" anchor="t" anchorCtr="0" upright="1">
                        <a:noAutofit/>
                      </wps:bodyPr>
                    </wps:wsp>
                  </a:graphicData>
                </a:graphic>
              </wp:anchor>
            </w:drawing>
          </mc:Choice>
          <mc:Fallback>
            <w:pict>
              <v:rect id="矩形 245" o:spid="_x0000_s1026" o:spt="1" style="position:absolute;left:0pt;margin-left:228.15pt;margin-top:2.6pt;height:86.8pt;width:50.1pt;z-index:251730944;mso-width-relative:page;mso-height-relative:page;" filled="f" stroked="t" coordsize="21600,21600" o:gfxdata="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laGz32QAAAAkBAAAPAAAAAAAAAAEAIAAAACIAAABkcnMv&#10;ZG93bnJldi54bWxQSwECFAAUAAAACACHTuJAPcarnjsCAABZBAAADgAAAAAAAAABACAAAAAoAQAA&#10;ZHJzL2Uyb0RvYy54bWxQSwUGAAAAAAYABgBZAQAA1QU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地震</w:t>
                      </w:r>
                      <w:r>
                        <w:rPr>
                          <w:rFonts w:ascii="宋体" w:hAnsi="宋体"/>
                          <w:sz w:val="24"/>
                        </w:rPr>
                        <w:t>灾害</w:t>
                      </w:r>
                      <w:r>
                        <w:rPr>
                          <w:rFonts w:hint="eastAsia" w:ascii="宋体" w:hAnsi="宋体"/>
                          <w:sz w:val="24"/>
                        </w:rPr>
                        <w:t>专项应急预案</w:t>
                      </w:r>
                    </w:p>
                  </w:txbxContent>
                </v:textbox>
              </v:rect>
            </w:pict>
          </mc:Fallback>
        </mc:AlternateContent>
      </w:r>
      <w:r>
        <w:rPr>
          <w:rFonts w:ascii="宋体" w:hAnsi="宋体" w:cs="宋体"/>
        </w:rPr>
        <mc:AlternateContent>
          <mc:Choice Requires="wps">
            <w:drawing>
              <wp:anchor distT="0" distB="0" distL="114300" distR="114300" simplePos="0" relativeHeight="251724800" behindDoc="0" locked="0" layoutInCell="1" allowOverlap="1">
                <wp:simplePos x="0" y="0"/>
                <wp:positionH relativeFrom="column">
                  <wp:posOffset>1913890</wp:posOffset>
                </wp:positionH>
                <wp:positionV relativeFrom="paragraph">
                  <wp:posOffset>36830</wp:posOffset>
                </wp:positionV>
                <wp:extent cx="636270" cy="1102360"/>
                <wp:effectExtent l="0" t="0" r="11430" b="21590"/>
                <wp:wrapNone/>
                <wp:docPr id="419117" name="矩形 245"/>
                <wp:cNvGraphicFramePr/>
                <a:graphic xmlns:a="http://schemas.openxmlformats.org/drawingml/2006/main">
                  <a:graphicData uri="http://schemas.microsoft.com/office/word/2010/wordprocessingShape">
                    <wps:wsp>
                      <wps:cNvSpPr>
                        <a:spLocks noChangeArrowheads="1"/>
                      </wps:cNvSpPr>
                      <wps:spPr bwMode="auto">
                        <a:xfrm>
                          <a:off x="0" y="0"/>
                          <a:ext cx="636270" cy="110236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消防专项应急预案</w:t>
                            </w:r>
                          </w:p>
                        </w:txbxContent>
                      </wps:txbx>
                      <wps:bodyPr rot="0" vert="horz" wrap="square" lIns="91440" tIns="45720" rIns="91440" bIns="45720" anchor="t" anchorCtr="0" upright="1">
                        <a:noAutofit/>
                      </wps:bodyPr>
                    </wps:wsp>
                  </a:graphicData>
                </a:graphic>
              </wp:anchor>
            </w:drawing>
          </mc:Choice>
          <mc:Fallback>
            <w:pict>
              <v:rect id="矩形 245" o:spid="_x0000_s1026" o:spt="1" style="position:absolute;left:0pt;margin-left:150.7pt;margin-top:2.9pt;height:86.8pt;width:50.1pt;z-index:251724800;mso-width-relative:page;mso-height-relative:page;" filled="f" stroked="t" coordsize="21600,21600" o:gfxdata="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r2EdPYAAAACQEAAA8AAAAAAAAAAQAgAAAAIgAAAGRycy9k&#10;b3ducmV2LnhtbFBLAQIUABQAAAAIAIdO4kDRSxjiOwIAAFkEAAAOAAAAAAAAAAEAIAAAACcBAABk&#10;cnMvZTJvRG9jLnhtbFBLBQYAAAAABgAGAFkBAADU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消防专项应急预案</w:t>
                      </w:r>
                    </w:p>
                  </w:txbxContent>
                </v:textbox>
              </v:rect>
            </w:pict>
          </mc:Fallback>
        </mc:AlternateContent>
      </w:r>
      <w:r>
        <w:rPr>
          <w:rFonts w:ascii="宋体" w:hAnsi="宋体" w:cs="宋体"/>
        </w:rPr>
        <mc:AlternateContent>
          <mc:Choice Requires="wps">
            <w:drawing>
              <wp:anchor distT="0" distB="0" distL="114300" distR="114300" simplePos="0" relativeHeight="251725824" behindDoc="0" locked="0" layoutInCell="1" allowOverlap="1">
                <wp:simplePos x="0" y="0"/>
                <wp:positionH relativeFrom="column">
                  <wp:posOffset>3866515</wp:posOffset>
                </wp:positionH>
                <wp:positionV relativeFrom="paragraph">
                  <wp:posOffset>26670</wp:posOffset>
                </wp:positionV>
                <wp:extent cx="619125" cy="1102360"/>
                <wp:effectExtent l="0" t="0" r="28575" b="21590"/>
                <wp:wrapNone/>
                <wp:docPr id="419120" name="Rectangle 34"/>
                <wp:cNvGraphicFramePr/>
                <a:graphic xmlns:a="http://schemas.openxmlformats.org/drawingml/2006/main">
                  <a:graphicData uri="http://schemas.microsoft.com/office/word/2010/wordprocessingShape">
                    <wps:wsp>
                      <wps:cNvSpPr>
                        <a:spLocks noChangeArrowheads="1"/>
                      </wps:cNvSpPr>
                      <wps:spPr bwMode="auto">
                        <a:xfrm>
                          <a:off x="0" y="0"/>
                          <a:ext cx="619125" cy="110236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防洪抗汛专项应急预案</w:t>
                            </w:r>
                          </w:p>
                        </w:txbxContent>
                      </wps:txbx>
                      <wps:bodyPr rot="0" vert="horz" wrap="square" lIns="91440" tIns="45720" rIns="91440" bIns="45720" anchor="t" anchorCtr="0" upright="1">
                        <a:noAutofit/>
                      </wps:bodyPr>
                    </wps:wsp>
                  </a:graphicData>
                </a:graphic>
              </wp:anchor>
            </w:drawing>
          </mc:Choice>
          <mc:Fallback>
            <w:pict>
              <v:rect id="Rectangle 34" o:spid="_x0000_s1026" o:spt="1" style="position:absolute;left:0pt;margin-left:304.45pt;margin-top:2.1pt;height:86.8pt;width:48.75pt;z-index:251725824;mso-width-relative:page;mso-height-relative:page;" filled="f" stroked="t" coordsize="21600,21600" o:gfxdata="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qe49kAAAAJAQAADwAAAAAAAAABACAAAAAiAAAAZHJzL2Rvd25yZXYueG1sUEsB&#10;AhQAFAAAAAgAh07iQNtAVqwtAgAAWwQAAA4AAAAAAAAAAQAgAAAAKAEAAGRycy9lMm9Eb2MueG1s&#10;UEsFBgAAAAAGAAYAWQEAAMcFA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防洪抗汛专项应急预案</w:t>
                      </w:r>
                    </w:p>
                  </w:txbxContent>
                </v:textbox>
              </v:rect>
            </w:pict>
          </mc:Fallback>
        </mc:AlternateContent>
      </w:r>
    </w:p>
    <w:p>
      <w:pPr>
        <w:ind w:firstLine="560"/>
        <w:jc w:val="center"/>
        <w:rPr>
          <w:rFonts w:ascii="宋体" w:hAnsi="宋体" w:cs="宋体"/>
        </w:rPr>
      </w:pPr>
    </w:p>
    <w:p>
      <w:pPr>
        <w:ind w:firstLine="560"/>
        <w:jc w:val="center"/>
        <w:rPr>
          <w:rFonts w:ascii="宋体" w:hAnsi="宋体" w:cs="宋体"/>
        </w:rPr>
      </w:pP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732992" behindDoc="0" locked="0" layoutInCell="1" allowOverlap="1">
                <wp:simplePos x="0" y="0"/>
                <wp:positionH relativeFrom="column">
                  <wp:posOffset>1263650</wp:posOffset>
                </wp:positionH>
                <wp:positionV relativeFrom="paragraph">
                  <wp:posOffset>212090</wp:posOffset>
                </wp:positionV>
                <wp:extent cx="0" cy="142875"/>
                <wp:effectExtent l="0" t="0" r="38100" b="28575"/>
                <wp:wrapNone/>
                <wp:docPr id="419124" name="AutoShape 83"/>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ln>
                      </wps:spPr>
                      <wps:bodyPr/>
                    </wps:wsp>
                  </a:graphicData>
                </a:graphic>
              </wp:anchor>
            </w:drawing>
          </mc:Choice>
          <mc:Fallback>
            <w:pict>
              <v:shape id="AutoShape 83" o:spid="_x0000_s1026" o:spt="32" type="#_x0000_t32" style="position:absolute;left:0pt;margin-left:99.5pt;margin-top:16.7pt;height:11.25pt;width:0pt;z-index:251732992;mso-width-relative:page;mso-height-relative:page;" filled="f" stroked="t" coordsize="21600,21600" o:gfxdata="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XMmrXAAAACQEAAA8AAAAAAAAA&#10;AQAgAAAAIgAAAGRycy9kb3ducmV2LnhtbFBLAQIUABQAAAAIAIdO4kAc+4s32QEAALcDAAAOAAAA&#10;AAAAAAEAIAAAACYBAABkcnMvZTJvRG9jLnhtbFBLBQYAAAAABgAGAFkBAABxBQAAAAA=&#10;">
                <v:fill on="f" focussize="0,0"/>
                <v:stroke color="#000000" joinstyle="round"/>
                <v:imagedata o:title=""/>
                <o:lock v:ext="edit" aspectratio="f"/>
              </v:shape>
            </w:pict>
          </mc:Fallback>
        </mc:AlternateContent>
      </w:r>
      <w:r>
        <w:rPr>
          <w:rFonts w:ascii="宋体" w:hAnsi="宋体" w:cs="宋体"/>
        </w:rPr>
        <mc:AlternateContent>
          <mc:Choice Requires="wps">
            <w:drawing>
              <wp:anchor distT="0" distB="0" distL="114300" distR="114300" simplePos="0" relativeHeight="251758592" behindDoc="0" locked="0" layoutInCell="1" allowOverlap="1">
                <wp:simplePos x="0" y="0"/>
                <wp:positionH relativeFrom="column">
                  <wp:posOffset>5133975</wp:posOffset>
                </wp:positionH>
                <wp:positionV relativeFrom="paragraph">
                  <wp:posOffset>212725</wp:posOffset>
                </wp:positionV>
                <wp:extent cx="0" cy="142875"/>
                <wp:effectExtent l="0" t="0" r="38100" b="28575"/>
                <wp:wrapNone/>
                <wp:docPr id="30" name="AutoShape 83"/>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ln>
                      </wps:spPr>
                      <wps:bodyPr/>
                    </wps:wsp>
                  </a:graphicData>
                </a:graphic>
              </wp:anchor>
            </w:drawing>
          </mc:Choice>
          <mc:Fallback>
            <w:pict>
              <v:shape id="AutoShape 83" o:spid="_x0000_s1026" o:spt="32" type="#_x0000_t32" style="position:absolute;left:0pt;margin-left:404.25pt;margin-top:16.75pt;height:11.25pt;width:0pt;z-index:251758592;mso-width-relative:page;mso-height-relative:page;" filled="f" stroked="t" coordsize="21600,21600" o:gfxdata="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7GTfL1gAAAAkBAAAPAAAAAAAAAAEAIAAA&#10;ACIAAABkcnMvZG93bnJldi54bWxQSwECFAAUAAAACACHTuJAJDda5NUBAACzAwAADgAAAAAAAAAB&#10;ACAAAAAlAQAAZHJzL2Uyb0RvYy54bWxQSwUGAAAAAAYABgBZAQAAbAUAAAAA&#10;">
                <v:fill on="f" focussize="0,0"/>
                <v:stroke color="#000000" joinstyle="round"/>
                <v:imagedata o:title=""/>
                <o:lock v:ext="edit" aspectratio="f"/>
              </v:shape>
            </w:pict>
          </mc:Fallback>
        </mc:AlternateContent>
      </w:r>
      <w:r>
        <w:rPr>
          <w:rFonts w:ascii="宋体" w:hAnsi="宋体" w:cs="宋体"/>
        </w:rPr>
        <mc:AlternateContent>
          <mc:Choice Requires="wps">
            <w:drawing>
              <wp:anchor distT="0" distB="0" distL="114300" distR="114300" simplePos="0" relativeHeight="251757568" behindDoc="0" locked="0" layoutInCell="1" allowOverlap="1">
                <wp:simplePos x="0" y="0"/>
                <wp:positionH relativeFrom="column">
                  <wp:posOffset>472440</wp:posOffset>
                </wp:positionH>
                <wp:positionV relativeFrom="paragraph">
                  <wp:posOffset>219710</wp:posOffset>
                </wp:positionV>
                <wp:extent cx="0" cy="142875"/>
                <wp:effectExtent l="0" t="0" r="38100" b="28575"/>
                <wp:wrapNone/>
                <wp:docPr id="29" name="AutoShape 83"/>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ln>
                      </wps:spPr>
                      <wps:bodyPr/>
                    </wps:wsp>
                  </a:graphicData>
                </a:graphic>
              </wp:anchor>
            </w:drawing>
          </mc:Choice>
          <mc:Fallback>
            <w:pict>
              <v:shape id="AutoShape 83" o:spid="_x0000_s1026" o:spt="32" type="#_x0000_t32" style="position:absolute;left:0pt;margin-left:37.2pt;margin-top:17.3pt;height:11.25pt;width:0pt;z-index:251757568;mso-width-relative:page;mso-height-relative:page;" filled="f" stroked="t" coordsize="21600,21600" o:gfxdata="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wNj/vVAAAABwEAAA8AAAAAAAAAAQAgAAAA&#10;IgAAAGRycy9kb3ducmV2LnhtbFBLAQIUABQAAAAIAIdO4kBcNVVr1QEAALMDAAAOAAAAAAAAAAEA&#10;IAAAACQBAABkcnMvZTJvRG9jLnhtbFBLBQYAAAAABgAGAFkBAABrBQAAAAA=&#10;">
                <v:fill on="f" focussize="0,0"/>
                <v:stroke color="#000000" joinstyle="round"/>
                <v:imagedata o:title=""/>
                <o:lock v:ext="edit" aspectratio="f"/>
              </v:shape>
            </w:pict>
          </mc:Fallback>
        </mc:AlternateContent>
      </w:r>
      <w:r>
        <w:rPr>
          <w:rFonts w:ascii="宋体" w:hAnsi="宋体" w:cs="宋体"/>
        </w:rPr>
        <mc:AlternateContent>
          <mc:Choice Requires="wps">
            <w:drawing>
              <wp:anchor distT="0" distB="0" distL="114300" distR="114300" simplePos="0" relativeHeight="251734016" behindDoc="0" locked="0" layoutInCell="1" allowOverlap="1">
                <wp:simplePos x="0" y="0"/>
                <wp:positionH relativeFrom="column">
                  <wp:posOffset>4191000</wp:posOffset>
                </wp:positionH>
                <wp:positionV relativeFrom="paragraph">
                  <wp:posOffset>210185</wp:posOffset>
                </wp:positionV>
                <wp:extent cx="635" cy="133350"/>
                <wp:effectExtent l="0" t="0" r="37465" b="19050"/>
                <wp:wrapNone/>
                <wp:docPr id="419121" name="Line 58"/>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line">
                          <a:avLst/>
                        </a:prstGeom>
                        <a:noFill/>
                        <a:ln w="9525">
                          <a:solidFill>
                            <a:srgbClr val="000000"/>
                          </a:solidFill>
                          <a:round/>
                        </a:ln>
                      </wps:spPr>
                      <wps:bodyPr/>
                    </wps:wsp>
                  </a:graphicData>
                </a:graphic>
              </wp:anchor>
            </w:drawing>
          </mc:Choice>
          <mc:Fallback>
            <w:pict>
              <v:line id="Line 58" o:spid="_x0000_s1026" o:spt="20" style="position:absolute;left:0pt;margin-left:330pt;margin-top:16.55pt;height:10.5pt;width:0.05pt;z-index:251734016;mso-width-relative:page;mso-height-relative:page;" filled="f" stroked="t" coordsize="21600,21600" o:gfxdata="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Zcvbd1gAAAAkBAAAPAAAAAAAAAAEAIAAAACIA&#10;AABkcnMvZG93bnJldi54bWxQSwECFAAUAAAACACHTuJATrfQStIBAACmAwAADgAAAAAAAAABACAA&#10;AAAlAQAAZHJzL2Uyb0RvYy54bWxQSwUGAAAAAAYABgBZAQAAaQUAAAAA&#10;">
                <v:fill on="f" focussize="0,0"/>
                <v:stroke color="#000000" joinstyle="round"/>
                <v:imagedata o:title=""/>
                <o:lock v:ext="edit" aspectratio="f"/>
              </v:line>
            </w:pict>
          </mc:Fallback>
        </mc:AlternateContent>
      </w:r>
      <w:r>
        <w:rPr>
          <w:rFonts w:ascii="宋体" w:hAnsi="宋体" w:cs="宋体"/>
        </w:rPr>
        <mc:AlternateContent>
          <mc:Choice Requires="wps">
            <w:drawing>
              <wp:anchor distT="0" distB="0" distL="114300" distR="114300" simplePos="0" relativeHeight="251728896" behindDoc="0" locked="0" layoutInCell="1" allowOverlap="1">
                <wp:simplePos x="0" y="0"/>
                <wp:positionH relativeFrom="column">
                  <wp:posOffset>3224530</wp:posOffset>
                </wp:positionH>
                <wp:positionV relativeFrom="paragraph">
                  <wp:posOffset>222885</wp:posOffset>
                </wp:positionV>
                <wp:extent cx="635" cy="133350"/>
                <wp:effectExtent l="0" t="0" r="37465" b="19050"/>
                <wp:wrapNone/>
                <wp:docPr id="419122" name="Line 58"/>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line">
                          <a:avLst/>
                        </a:prstGeom>
                        <a:noFill/>
                        <a:ln w="9525">
                          <a:solidFill>
                            <a:srgbClr val="000000"/>
                          </a:solidFill>
                          <a:round/>
                        </a:ln>
                      </wps:spPr>
                      <wps:bodyPr/>
                    </wps:wsp>
                  </a:graphicData>
                </a:graphic>
              </wp:anchor>
            </w:drawing>
          </mc:Choice>
          <mc:Fallback>
            <w:pict>
              <v:line id="Line 58" o:spid="_x0000_s1026" o:spt="20" style="position:absolute;left:0pt;margin-left:253.9pt;margin-top:17.55pt;height:10.5pt;width:0.05pt;z-index:251728896;mso-width-relative:page;mso-height-relative:page;" filled="f" stroked="t" coordsize="21600,21600" o:gfxdata="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vjOhtcAAAAJAQAADwAAAAAAAAABACAAAAAi&#10;AAAAZHJzL2Rvd25yZXYueG1sUEsBAhQAFAAAAAgAh07iQIJDQYbSAQAApgMAAA4AAAAAAAAAAQAg&#10;AAAAJgEAAGRycy9lMm9Eb2MueG1sUEsFBgAAAAAGAAYAWQEAAGoFAAAAAA==&#10;">
                <v:fill on="f" focussize="0,0"/>
                <v:stroke color="#000000" joinstyle="round"/>
                <v:imagedata o:title=""/>
                <o:lock v:ext="edit" aspectratio="f"/>
              </v:line>
            </w:pict>
          </mc:Fallback>
        </mc:AlternateContent>
      </w:r>
      <w:r>
        <w:rPr>
          <w:rFonts w:ascii="宋体" w:hAnsi="宋体" w:cs="宋体"/>
        </w:rPr>
        <mc:AlternateContent>
          <mc:Choice Requires="wps">
            <w:drawing>
              <wp:anchor distT="0" distB="0" distL="114300" distR="114300" simplePos="0" relativeHeight="251731968" behindDoc="0" locked="0" layoutInCell="1" allowOverlap="1">
                <wp:simplePos x="0" y="0"/>
                <wp:positionH relativeFrom="column">
                  <wp:posOffset>2251075</wp:posOffset>
                </wp:positionH>
                <wp:positionV relativeFrom="paragraph">
                  <wp:posOffset>215265</wp:posOffset>
                </wp:positionV>
                <wp:extent cx="0" cy="142875"/>
                <wp:effectExtent l="0" t="0" r="19050" b="28575"/>
                <wp:wrapNone/>
                <wp:docPr id="419123" name="AutoShape 78"/>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ln>
                      </wps:spPr>
                      <wps:bodyPr/>
                    </wps:wsp>
                  </a:graphicData>
                </a:graphic>
              </wp:anchor>
            </w:drawing>
          </mc:Choice>
          <mc:Fallback>
            <w:pict>
              <v:shape id="AutoShape 78" o:spid="_x0000_s1026" o:spt="32" type="#_x0000_t32" style="position:absolute;left:0pt;margin-left:177.25pt;margin-top:16.95pt;height:11.25pt;width:0pt;z-index:251731968;mso-width-relative:page;mso-height-relative:page;" filled="f" stroked="t" coordsize="21600,21600" o:gfxdata="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8ie8vXAAAACQEAAA8AAAAAAAAA&#10;AQAgAAAAIgAAAGRycy9kb3ducmV2LnhtbFBLAQIUABQAAAAIAIdO4kBwHfuE2QEAALcDAAAOAAAA&#10;AAAAAAEAIAAAACYBAABkcnMvZTJvRG9jLnhtbFBLBQYAAAAABgAGAFkBAABxBQAAAAA=&#10;">
                <v:fill on="f" focussize="0,0"/>
                <v:stroke color="#000000" joinstyle="round"/>
                <v:imagedata o:title=""/>
                <o:lock v:ext="edit" aspectratio="f"/>
              </v:shape>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747328" behindDoc="0" locked="0" layoutInCell="1" allowOverlap="1">
                <wp:simplePos x="0" y="0"/>
                <wp:positionH relativeFrom="column">
                  <wp:posOffset>468630</wp:posOffset>
                </wp:positionH>
                <wp:positionV relativeFrom="paragraph">
                  <wp:posOffset>43180</wp:posOffset>
                </wp:positionV>
                <wp:extent cx="4676775" cy="9525"/>
                <wp:effectExtent l="0" t="0" r="28575" b="28575"/>
                <wp:wrapNone/>
                <wp:docPr id="419125" name="直接连接符 419125"/>
                <wp:cNvGraphicFramePr/>
                <a:graphic xmlns:a="http://schemas.openxmlformats.org/drawingml/2006/main">
                  <a:graphicData uri="http://schemas.microsoft.com/office/word/2010/wordprocessingShape">
                    <wps:wsp>
                      <wps:cNvCnPr/>
                      <wps:spPr>
                        <a:xfrm>
                          <a:off x="0" y="0"/>
                          <a:ext cx="4676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6.9pt;margin-top:3.4pt;height:0.75pt;width:368.25pt;z-index:251747328;mso-width-relative:page;mso-height-relative:page;" filled="f" stroked="t" coordsize="21600,21600" o:gfxdata="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LF0L51AAAAAYBAAAPAAAAAAAAAAEAIAAAACIAAABkcnMvZG93bnJldi54bWxQSwECFAAU&#10;AAAACACHTuJAG/bGO/UBAADgAwAADgAAAAAAAAABACAAAAAjAQAAZHJzL2Uyb0RvYy54bWxQSwUG&#10;AAAAAAYABgBZAQAAigUAAAAA&#10;">
                <v:fill on="f" focussize="0,0"/>
                <v:stroke color="#000000 [3200]" joinstyle="round"/>
                <v:imagedata o:title=""/>
                <o:lock v:ext="edit" aspectratio="f"/>
              </v:line>
            </w:pict>
          </mc:Fallback>
        </mc:AlternateContent>
      </w:r>
      <w:r>
        <w:rPr>
          <w:rFonts w:ascii="宋体" w:hAnsi="宋体" w:cs="宋体"/>
        </w:rPr>
        <mc:AlternateContent>
          <mc:Choice Requires="wps">
            <w:drawing>
              <wp:anchor distT="0" distB="0" distL="114300" distR="114300" simplePos="0" relativeHeight="251735040" behindDoc="0" locked="0" layoutInCell="1" allowOverlap="1">
                <wp:simplePos x="0" y="0"/>
                <wp:positionH relativeFrom="column">
                  <wp:posOffset>2731135</wp:posOffset>
                </wp:positionH>
                <wp:positionV relativeFrom="paragraph">
                  <wp:posOffset>43180</wp:posOffset>
                </wp:positionV>
                <wp:extent cx="0" cy="259080"/>
                <wp:effectExtent l="76200" t="0" r="57150" b="64770"/>
                <wp:wrapNone/>
                <wp:docPr id="419126" name="AutoShape 41"/>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tailEnd type="triangle" w="med" len="med"/>
                        </a:ln>
                      </wps:spPr>
                      <wps:bodyPr/>
                    </wps:wsp>
                  </a:graphicData>
                </a:graphic>
              </wp:anchor>
            </w:drawing>
          </mc:Choice>
          <mc:Fallback>
            <w:pict>
              <v:shape id="AutoShape 41" o:spid="_x0000_s1026" o:spt="32" type="#_x0000_t32" style="position:absolute;left:0pt;margin-left:215.05pt;margin-top:3.4pt;height:20.4pt;width:0pt;z-index:251735040;mso-width-relative:page;mso-height-relative:page;" filled="f" stroked="t" coordsize="21600,21600" o:gfxdata="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A+Z//WAAAACAEAAA8AAAAAAAAAAQAgAAAAIgAAAGRycy9kb3ducmV2LnhtbFBLAQIUABQA&#10;AAAIAIdO4kAjpc048gEAAOUDAAAOAAAAAAAAAAEAIAAAACUBAABkcnMvZTJvRG9jLnhtbFBLBQYA&#10;AAAABgAGAFkBAACJBQAAAAA=&#10;">
                <v:fill on="f" focussize="0,0"/>
                <v:stroke color="#000000" joinstyle="round" endarrow="block"/>
                <v:imagedata o:title=""/>
                <o:lock v:ext="edit" aspectratio="f"/>
              </v:shape>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736064" behindDoc="0" locked="0" layoutInCell="1" allowOverlap="1">
                <wp:simplePos x="0" y="0"/>
                <wp:positionH relativeFrom="column">
                  <wp:posOffset>2139315</wp:posOffset>
                </wp:positionH>
                <wp:positionV relativeFrom="paragraph">
                  <wp:posOffset>7620</wp:posOffset>
                </wp:positionV>
                <wp:extent cx="1181100" cy="320675"/>
                <wp:effectExtent l="0" t="0" r="19050" b="22225"/>
                <wp:wrapNone/>
                <wp:docPr id="419127" name="矩形 260"/>
                <wp:cNvGraphicFramePr/>
                <a:graphic xmlns:a="http://schemas.openxmlformats.org/drawingml/2006/main">
                  <a:graphicData uri="http://schemas.microsoft.com/office/word/2010/wordprocessingShape">
                    <wps:wsp>
                      <wps:cNvSpPr>
                        <a:spLocks noChangeArrowheads="1"/>
                      </wps:cNvSpPr>
                      <wps:spPr bwMode="auto">
                        <a:xfrm>
                          <a:off x="0" y="0"/>
                          <a:ext cx="1181100" cy="320675"/>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现场处置方案</w:t>
                            </w:r>
                          </w:p>
                        </w:txbxContent>
                      </wps:txbx>
                      <wps:bodyPr rot="0" vert="horz" wrap="square" lIns="91440" tIns="45720" rIns="91440" bIns="45720" anchor="t" anchorCtr="0" upright="1">
                        <a:noAutofit/>
                      </wps:bodyPr>
                    </wps:wsp>
                  </a:graphicData>
                </a:graphic>
              </wp:anchor>
            </w:drawing>
          </mc:Choice>
          <mc:Fallback>
            <w:pict>
              <v:rect id="矩形 260" o:spid="_x0000_s1026" o:spt="1" style="position:absolute;left:0pt;margin-left:168.45pt;margin-top:0.6pt;height:25.25pt;width:93pt;z-index:251736064;mso-width-relative:page;mso-height-relative:page;" filled="f" stroked="t" coordsize="21600,21600" o:gfxdata="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mTDx3XAAAACAEAAA8AAAAAAAAAAQAgAAAAIgAAAGRycy9kb3du&#10;cmV2LnhtbFBLAQIUABQAAAAIAIdO4kAedMsWOQIAAFkEAAAOAAAAAAAAAAEAIAAAACYBAABkcnMv&#10;ZTJvRG9jLnhtbFBLBQYAAAAABgAGAFkBAADR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现场处置方案</w:t>
                      </w:r>
                    </w:p>
                  </w:txbxContent>
                </v:textbox>
              </v:rect>
            </w:pict>
          </mc:Fallback>
        </mc:AlternateContent>
      </w:r>
    </w:p>
    <w:p>
      <w:pPr>
        <w:ind w:firstLine="560"/>
        <w:jc w:val="center"/>
        <w:rPr>
          <w:rFonts w:ascii="宋体" w:hAnsi="宋体" w:cs="宋体"/>
        </w:rPr>
      </w:pPr>
      <w:r>
        <w:rPr>
          <w:rFonts w:ascii="宋体" w:hAnsi="宋体" w:cs="宋体"/>
        </w:rPr>
        <mc:AlternateContent>
          <mc:Choice Requires="wps">
            <w:drawing>
              <wp:anchor distT="0" distB="0" distL="114300" distR="114300" simplePos="0" relativeHeight="251760640" behindDoc="0" locked="0" layoutInCell="1" allowOverlap="1">
                <wp:simplePos x="0" y="0"/>
                <wp:positionH relativeFrom="column">
                  <wp:posOffset>2731770</wp:posOffset>
                </wp:positionH>
                <wp:positionV relativeFrom="paragraph">
                  <wp:posOffset>321945</wp:posOffset>
                </wp:positionV>
                <wp:extent cx="0" cy="179070"/>
                <wp:effectExtent l="76200" t="0" r="57150" b="49530"/>
                <wp:wrapNone/>
                <wp:docPr id="988" name="Line 89"/>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tailEnd type="triangle" w="med" len="med"/>
                        </a:ln>
                      </wps:spPr>
                      <wps:bodyPr/>
                    </wps:wsp>
                  </a:graphicData>
                </a:graphic>
              </wp:anchor>
            </w:drawing>
          </mc:Choice>
          <mc:Fallback>
            <w:pict>
              <v:line id="Line 89" o:spid="_x0000_s1026" o:spt="20" style="position:absolute;left:0pt;margin-left:215.1pt;margin-top:25.35pt;height:14.1pt;width:0pt;z-index:251760640;mso-width-relative:page;mso-height-relative:page;" filled="f" stroked="t" coordsize="21600,21600" o:gfxdata="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0cqsNkA&#10;AAAJAQAADwAAAAAAAAABACAAAAAiAAAAZHJzL2Rvd25yZXYueG1sUEsBAhQAFAAAAAgAh07iQGqc&#10;NVnlAQAAzwMAAA4AAAAAAAAAAQAgAAAAKAEAAGRycy9lMm9Eb2MueG1sUEsFBgAAAAAGAAYAWQEA&#10;AH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4272915</wp:posOffset>
                </wp:positionH>
                <wp:positionV relativeFrom="paragraph">
                  <wp:posOffset>333375</wp:posOffset>
                </wp:positionV>
                <wp:extent cx="0" cy="179070"/>
                <wp:effectExtent l="76200" t="0" r="57150" b="49530"/>
                <wp:wrapNone/>
                <wp:docPr id="419134" name="Line 89"/>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tailEnd type="triangle" w="med" len="med"/>
                        </a:ln>
                      </wps:spPr>
                      <wps:bodyPr/>
                    </wps:wsp>
                  </a:graphicData>
                </a:graphic>
              </wp:anchor>
            </w:drawing>
          </mc:Choice>
          <mc:Fallback>
            <w:pict>
              <v:line id="Line 89" o:spid="_x0000_s1026" o:spt="20" style="position:absolute;left:0pt;margin-left:336.45pt;margin-top:26.25pt;height:14.1pt;width:0pt;z-index:251743232;mso-width-relative:page;mso-height-relative:page;" filled="f" stroked="t" coordsize="21600,21600" o:gfxdata="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qP&#10;+h3ZAAAACQEAAA8AAAAAAAAAAQAgAAAAIgAAAGRycy9kb3ducmV2LnhtbFBLAQIUABQAAAAIAIdO&#10;4kC2w/Cr6QEAANIDAAAOAAAAAAAAAAEAIAAAACg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3561080</wp:posOffset>
                </wp:positionH>
                <wp:positionV relativeFrom="paragraph">
                  <wp:posOffset>302895</wp:posOffset>
                </wp:positionV>
                <wp:extent cx="0" cy="179705"/>
                <wp:effectExtent l="76200" t="0" r="57150" b="48895"/>
                <wp:wrapNone/>
                <wp:docPr id="419133" name="Line 89"/>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tailEnd type="triangle" w="med" len="med"/>
                        </a:ln>
                      </wps:spPr>
                      <wps:bodyPr/>
                    </wps:wsp>
                  </a:graphicData>
                </a:graphic>
              </wp:anchor>
            </w:drawing>
          </mc:Choice>
          <mc:Fallback>
            <w:pict>
              <v:line id="Line 89" o:spid="_x0000_s1026" o:spt="20" style="position:absolute;left:0pt;margin-left:280.4pt;margin-top:23.85pt;height:14.15pt;width:0pt;z-index:251741184;mso-width-relative:page;mso-height-relative:page;" filled="f" stroked="t" coordsize="21600,21600" o:gfxdata="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D8D81&#10;2AAAAAkBAAAPAAAAAAAAAAEAIAAAACIAAABkcnMvZG93bnJldi54bWxQSwECFAAUAAAACACHTuJA&#10;DD5rP+gBAADSAwAADgAAAAAAAAABACAAAAAnAQAAZHJzL2Uyb0RvYy54bWxQSwUGAAAAAAYABgBZ&#10;AQAAg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1980565</wp:posOffset>
                </wp:positionH>
                <wp:positionV relativeFrom="paragraph">
                  <wp:posOffset>308610</wp:posOffset>
                </wp:positionV>
                <wp:extent cx="0" cy="179705"/>
                <wp:effectExtent l="76200" t="0" r="57150" b="48895"/>
                <wp:wrapNone/>
                <wp:docPr id="419132" name="Line 88"/>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tailEnd type="triangle" w="med" len="med"/>
                        </a:ln>
                      </wps:spPr>
                      <wps:bodyPr/>
                    </wps:wsp>
                  </a:graphicData>
                </a:graphic>
              </wp:anchor>
            </w:drawing>
          </mc:Choice>
          <mc:Fallback>
            <w:pict>
              <v:line id="Line 88" o:spid="_x0000_s1026" o:spt="20" style="position:absolute;left:0pt;margin-left:155.95pt;margin-top:24.3pt;height:14.15pt;width:0pt;z-index:251740160;mso-width-relative:page;mso-height-relative:page;" filled="f" stroked="t" coordsize="21600,21600" o:gfxdata="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yMVED&#10;2QAAAAkBAAAPAAAAAAAAAAEAIAAAACIAAABkcnMvZG93bnJldi54bWxQSwECFAAUAAAACACHTuJA&#10;5sya5+cBAADSAwAADgAAAAAAAAABACAAAAAoAQAAZHJzL2Uyb0RvYy54bWxQSwUGAAAAAAYABgBZ&#10;AQAAg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526415</wp:posOffset>
                </wp:positionH>
                <wp:positionV relativeFrom="paragraph">
                  <wp:posOffset>302895</wp:posOffset>
                </wp:positionV>
                <wp:extent cx="0" cy="179070"/>
                <wp:effectExtent l="76200" t="0" r="57150" b="49530"/>
                <wp:wrapNone/>
                <wp:docPr id="419128" name="Line 89"/>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tailEnd type="triangle" w="med" len="med"/>
                        </a:ln>
                      </wps:spPr>
                      <wps:bodyPr/>
                    </wps:wsp>
                  </a:graphicData>
                </a:graphic>
              </wp:anchor>
            </w:drawing>
          </mc:Choice>
          <mc:Fallback>
            <w:pict>
              <v:line id="Line 89" o:spid="_x0000_s1026" o:spt="20" style="position:absolute;left:0pt;margin-left:41.45pt;margin-top:23.85pt;height:14.1pt;width:0pt;z-index:251751424;mso-width-relative:page;mso-height-relative:page;" filled="f" stroked="t" coordsize="21600,21600" o:gfxdata="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4mf1tYA&#10;AAAHAQAADwAAAAAAAAABACAAAAAiAAAAZHJzL2Rvd25yZXYueG1sUEsBAhQAFAAAAAgAh07iQJ1K&#10;mWzoAQAA0gMAAA4AAAAAAAAAAQAgAAAAJQEAAGRycy9lMm9Eb2MueG1sUEsFBgAAAAAGAAYAWQEA&#10;AH8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737088" behindDoc="0" locked="0" layoutInCell="1" allowOverlap="1">
                <wp:simplePos x="0" y="0"/>
                <wp:positionH relativeFrom="column">
                  <wp:posOffset>2731135</wp:posOffset>
                </wp:positionH>
                <wp:positionV relativeFrom="paragraph">
                  <wp:posOffset>29845</wp:posOffset>
                </wp:positionV>
                <wp:extent cx="0" cy="255905"/>
                <wp:effectExtent l="76200" t="0" r="57150" b="48895"/>
                <wp:wrapNone/>
                <wp:docPr id="419129" name="AutoShape 44"/>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tailEnd type="triangle" w="med" len="med"/>
                        </a:ln>
                      </wps:spPr>
                      <wps:bodyPr/>
                    </wps:wsp>
                  </a:graphicData>
                </a:graphic>
              </wp:anchor>
            </w:drawing>
          </mc:Choice>
          <mc:Fallback>
            <w:pict>
              <v:shape id="AutoShape 44" o:spid="_x0000_s1026" o:spt="32" type="#_x0000_t32" style="position:absolute;left:0pt;margin-left:215.05pt;margin-top:2.35pt;height:20.15pt;width:0pt;z-index:251737088;mso-width-relative:page;mso-height-relative:page;" filled="f" stroked="t" coordsize="21600,21600" o:gfxdata="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f59F7WAAAACAEAAA8AAAAAAAAAAQAgAAAAIgAAAGRycy9kb3ducmV2LnhtbFBLAQIUABQA&#10;AAAIAIdO4kAbaaui8gEAAOUDAAAOAAAAAAAAAAEAIAAAACUBAABkcnMvZTJvRG9jLnhtbFBLBQYA&#10;AAAABgAGAFkBAACJ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527050</wp:posOffset>
                </wp:positionH>
                <wp:positionV relativeFrom="paragraph">
                  <wp:posOffset>309245</wp:posOffset>
                </wp:positionV>
                <wp:extent cx="4476750" cy="0"/>
                <wp:effectExtent l="0" t="0" r="19050" b="19050"/>
                <wp:wrapNone/>
                <wp:docPr id="419130" name="直接连接符 419130"/>
                <wp:cNvGraphicFramePr/>
                <a:graphic xmlns:a="http://schemas.openxmlformats.org/drawingml/2006/main">
                  <a:graphicData uri="http://schemas.microsoft.com/office/word/2010/wordprocessingShape">
                    <wps:wsp>
                      <wps:cNvCnPr/>
                      <wps:spPr>
                        <a:xfrm>
                          <a:off x="0" y="0"/>
                          <a:ext cx="447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1.5pt;margin-top:24.35pt;height:0pt;width:352.5pt;z-index:251752448;mso-width-relative:page;mso-height-relative:page;" filled="f" stroked="t" coordsize="21600,21600" o:gfxdata="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8H0M9UAAAAIAQAADwAAAAAAAAABACAAAAAiAAAAZHJzL2Rvd25yZXYueG1sUEsBAhQA&#10;FAAAAAgAh07iQL1aUSP1AQAA3QMAAA4AAAAAAAAAAQAgAAAAJAEAAGRycy9lMm9Eb2MueG1sUEsF&#10;BgAAAAAGAAYAWQEAAIsFAAAAAA==&#10;">
                <v:fill on="f" focussize="0,0"/>
                <v:stroke color="#000000 [3200]" joinstyle="round"/>
                <v:imagedata o:title=""/>
                <o:lock v:ext="edit" aspectratio="f"/>
              </v:lin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5003800</wp:posOffset>
                </wp:positionH>
                <wp:positionV relativeFrom="paragraph">
                  <wp:posOffset>309245</wp:posOffset>
                </wp:positionV>
                <wp:extent cx="0" cy="179070"/>
                <wp:effectExtent l="76200" t="0" r="57150" b="49530"/>
                <wp:wrapNone/>
                <wp:docPr id="419131" name="Line 50"/>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tailEnd type="triangle" w="med" len="med"/>
                        </a:ln>
                      </wps:spPr>
                      <wps:bodyPr/>
                    </wps:wsp>
                  </a:graphicData>
                </a:graphic>
              </wp:anchor>
            </w:drawing>
          </mc:Choice>
          <mc:Fallback>
            <w:pict>
              <v:line id="Line 50" o:spid="_x0000_s1026" o:spt="20" style="position:absolute;left:0pt;margin-left:394pt;margin-top:24.35pt;height:14.1pt;width:0pt;z-index:251750400;mso-width-relative:page;mso-height-relative:page;" filled="f" stroked="t" coordsize="21600,21600" o:gfxdata="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0n3&#10;XNgAAAAJAQAADwAAAAAAAAABACAAAAAiAAAAZHJzL2Rvd25yZXYueG1sUEsBAhQAFAAAAAgAh07i&#10;QHa51gjpAQAA0gMAAA4AAAAAAAAAAQAgAAAAJwEAAGRycy9lMm9Eb2MueG1sUEsFBgAAAAAGAAYA&#10;WQEAAIIFAAAAAA==&#10;">
                <v:fill on="f" focussize="0,0"/>
                <v:stroke color="#000000" joinstyle="round" endarrow="block"/>
                <v:imagedata o:title=""/>
                <o:lock v:ext="edit" aspectratio="f"/>
              </v:line>
            </w:pict>
          </mc:Fallback>
        </mc:AlternateContent>
      </w:r>
    </w:p>
    <w:p>
      <w:pPr>
        <w:ind w:firstLine="560"/>
        <w:rPr>
          <w:rFonts w:ascii="宋体" w:hAnsi="宋体" w:cs="宋体"/>
        </w:rPr>
      </w:pPr>
      <w:r>
        <mc:AlternateContent>
          <mc:Choice Requires="wps">
            <w:drawing>
              <wp:anchor distT="0" distB="0" distL="114300" distR="114300" simplePos="0" relativeHeight="251749376" behindDoc="0" locked="0" layoutInCell="1" allowOverlap="1">
                <wp:simplePos x="0" y="0"/>
                <wp:positionH relativeFrom="column">
                  <wp:posOffset>4692015</wp:posOffset>
                </wp:positionH>
                <wp:positionV relativeFrom="paragraph">
                  <wp:posOffset>191135</wp:posOffset>
                </wp:positionV>
                <wp:extent cx="621665" cy="1710055"/>
                <wp:effectExtent l="0" t="0" r="26035" b="23495"/>
                <wp:wrapNone/>
                <wp:docPr id="708" name="Rectangle 84"/>
                <wp:cNvGraphicFramePr/>
                <a:graphic xmlns:a="http://schemas.openxmlformats.org/drawingml/2006/main">
                  <a:graphicData uri="http://schemas.microsoft.com/office/word/2010/wordprocessingShape">
                    <wps:wsp>
                      <wps:cNvSpPr>
                        <a:spLocks noChangeArrowheads="1"/>
                      </wps:cNvSpPr>
                      <wps:spPr bwMode="auto">
                        <a:xfrm>
                          <a:off x="0" y="0"/>
                          <a:ext cx="621665" cy="1710055"/>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触电事故现场处置方案</w:t>
                            </w:r>
                          </w:p>
                        </w:txbxContent>
                      </wps:txbx>
                      <wps:bodyPr rot="0" vert="horz" wrap="square" lIns="91440" tIns="45720" rIns="91440" bIns="45720" anchor="t" anchorCtr="0" upright="1">
                        <a:noAutofit/>
                      </wps:bodyPr>
                    </wps:wsp>
                  </a:graphicData>
                </a:graphic>
              </wp:anchor>
            </w:drawing>
          </mc:Choice>
          <mc:Fallback>
            <w:pict>
              <v:rect id="Rectangle 84" o:spid="_x0000_s1026" o:spt="1" style="position:absolute;left:0pt;margin-left:369.45pt;margin-top:15.05pt;height:134.65pt;width:48.95pt;z-index:251749376;mso-width-relative:page;mso-height-relative:page;" filled="f" stroked="t" coordsize="21600,21600" o:gfxdata="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aQJLNkAAAAKAQAADwAAAAAAAAABACAAAAAiAAAAZHJzL2Rvd25yZXYueG1sUEsBAhQA&#10;FAAAAAgAh07iQGrnE6MqAgAAWAQAAA4AAAAAAAAAAQAgAAAAKAEAAGRycy9lMm9Eb2MueG1sUEsF&#10;BgAAAAAGAAYAWQEAAMQFA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触电事故现场处置方案</w:t>
                      </w:r>
                    </w:p>
                  </w:txbxContent>
                </v:textbox>
              </v:rect>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3972560</wp:posOffset>
                </wp:positionH>
                <wp:positionV relativeFrom="paragraph">
                  <wp:posOffset>199390</wp:posOffset>
                </wp:positionV>
                <wp:extent cx="621665" cy="1710055"/>
                <wp:effectExtent l="0" t="0" r="26035" b="23495"/>
                <wp:wrapNone/>
                <wp:docPr id="709" name="Rectangle 84"/>
                <wp:cNvGraphicFramePr/>
                <a:graphic xmlns:a="http://schemas.openxmlformats.org/drawingml/2006/main">
                  <a:graphicData uri="http://schemas.microsoft.com/office/word/2010/wordprocessingShape">
                    <wps:wsp>
                      <wps:cNvSpPr>
                        <a:spLocks noChangeArrowheads="1"/>
                      </wps:cNvSpPr>
                      <wps:spPr bwMode="auto">
                        <a:xfrm>
                          <a:off x="0" y="0"/>
                          <a:ext cx="621665" cy="1710267"/>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中毒窒息事故现场处置方案</w:t>
                            </w:r>
                          </w:p>
                        </w:txbxContent>
                      </wps:txbx>
                      <wps:bodyPr rot="0" vert="horz" wrap="square" lIns="91440" tIns="45720" rIns="91440" bIns="45720" anchor="t" anchorCtr="0" upright="1">
                        <a:noAutofit/>
                      </wps:bodyPr>
                    </wps:wsp>
                  </a:graphicData>
                </a:graphic>
              </wp:anchor>
            </w:drawing>
          </mc:Choice>
          <mc:Fallback>
            <w:pict>
              <v:rect id="Rectangle 84" o:spid="_x0000_s1026" o:spt="1" style="position:absolute;left:0pt;margin-left:312.8pt;margin-top:15.7pt;height:134.65pt;width:48.95pt;z-index:251748352;mso-width-relative:page;mso-height-relative:page;" filled="f" stroked="t" coordsize="21600,21600" o:gfxdata="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G4mmPZAAAACgEAAA8AAAAAAAAAAQAgAAAAIgAAAGRycy9kb3ducmV2LnhtbFBLAQIU&#10;ABQAAAAIAIdO4kC/RToUKwIAAFgEAAAOAAAAAAAAAAEAIAAAACgBAABkcnMvZTJvRG9jLnhtbFBL&#10;BQYAAAAABgAGAFkBAADF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中毒窒息事故现场处置方案</w:t>
                      </w:r>
                    </w:p>
                  </w:txbxContent>
                </v:textbox>
              </v:rect>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3210560</wp:posOffset>
                </wp:positionH>
                <wp:positionV relativeFrom="paragraph">
                  <wp:posOffset>191135</wp:posOffset>
                </wp:positionV>
                <wp:extent cx="622300" cy="1710055"/>
                <wp:effectExtent l="0" t="0" r="25400" b="23495"/>
                <wp:wrapNone/>
                <wp:docPr id="707" name="Rectangle 84"/>
                <wp:cNvGraphicFramePr/>
                <a:graphic xmlns:a="http://schemas.openxmlformats.org/drawingml/2006/main">
                  <a:graphicData uri="http://schemas.microsoft.com/office/word/2010/wordprocessingShape">
                    <wps:wsp>
                      <wps:cNvSpPr>
                        <a:spLocks noChangeArrowheads="1"/>
                      </wps:cNvSpPr>
                      <wps:spPr bwMode="auto">
                        <a:xfrm>
                          <a:off x="0" y="0"/>
                          <a:ext cx="622300" cy="1710266"/>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四氢噻吩泄漏现场处置方案</w:t>
                            </w:r>
                          </w:p>
                        </w:txbxContent>
                      </wps:txbx>
                      <wps:bodyPr rot="0" vert="horz" wrap="square" lIns="91440" tIns="45720" rIns="91440" bIns="45720" anchor="t" anchorCtr="0" upright="1">
                        <a:noAutofit/>
                      </wps:bodyPr>
                    </wps:wsp>
                  </a:graphicData>
                </a:graphic>
              </wp:anchor>
            </w:drawing>
          </mc:Choice>
          <mc:Fallback>
            <w:pict>
              <v:rect id="Rectangle 84" o:spid="_x0000_s1026" o:spt="1" style="position:absolute;left:0pt;margin-left:252.8pt;margin-top:15.05pt;height:134.65pt;width:49pt;z-index:251745280;mso-width-relative:page;mso-height-relative:page;" filled="f" stroked="t" coordsize="21600,21600" o:gfxdata="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6LgxbZAAAACgEAAA8AAAAAAAAAAQAgAAAAIgAAAGRycy9kb3ducmV2LnhtbFBLAQIU&#10;ABQAAAAIAIdO4kAnchiiKwIAAFgEAAAOAAAAAAAAAAEAIAAAACgBAABkcnMvZTJvRG9jLnhtbFBL&#10;BQYAAAAABgAGAFkBAADFBQ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四氢噻吩泄漏现场处置方案</w:t>
                      </w:r>
                    </w:p>
                  </w:txbxContent>
                </v:textbox>
              </v:rect>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1694815</wp:posOffset>
                </wp:positionH>
                <wp:positionV relativeFrom="paragraph">
                  <wp:posOffset>182880</wp:posOffset>
                </wp:positionV>
                <wp:extent cx="622300" cy="1743710"/>
                <wp:effectExtent l="0" t="0" r="25400" b="27940"/>
                <wp:wrapNone/>
                <wp:docPr id="705" name="Rectangle 84"/>
                <wp:cNvGraphicFramePr/>
                <a:graphic xmlns:a="http://schemas.openxmlformats.org/drawingml/2006/main">
                  <a:graphicData uri="http://schemas.microsoft.com/office/word/2010/wordprocessingShape">
                    <wps:wsp>
                      <wps:cNvSpPr>
                        <a:spLocks noChangeArrowheads="1"/>
                      </wps:cNvSpPr>
                      <wps:spPr bwMode="auto">
                        <a:xfrm>
                          <a:off x="0" y="0"/>
                          <a:ext cx="622300" cy="1743922"/>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突发火灾爆炸现场处置方案</w:t>
                            </w:r>
                          </w:p>
                        </w:txbxContent>
                      </wps:txbx>
                      <wps:bodyPr rot="0" vert="horz" wrap="square" lIns="91440" tIns="45720" rIns="91440" bIns="45720" anchor="t" anchorCtr="0" upright="1">
                        <a:noAutofit/>
                      </wps:bodyPr>
                    </wps:wsp>
                  </a:graphicData>
                </a:graphic>
              </wp:anchor>
            </w:drawing>
          </mc:Choice>
          <mc:Fallback>
            <w:pict>
              <v:rect id="Rectangle 84" o:spid="_x0000_s1026" o:spt="1" style="position:absolute;left:0pt;margin-left:133.45pt;margin-top:14.4pt;height:137.3pt;width:49pt;z-index:251742208;mso-width-relative:page;mso-height-relative:page;" filled="f" stroked="t" coordsize="21600,21600" o:gfxdata="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g4cUtgAAAAKAQAADwAAAAAAAAABACAAAAAiAAAAZHJzL2Rvd25yZXYueG1sUEsBAhQA&#10;FAAAAAgAh07iQJ2t54UrAgAAWAQAAA4AAAAAAAAAAQAgAAAAJwEAAGRycy9lMm9Eb2MueG1sUEsF&#10;BgAAAAAGAAYAWQEAAMQFA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突发火灾爆炸现场处置方案</w:t>
                      </w:r>
                    </w:p>
                  </w:txbxContent>
                </v:textbox>
              </v:rect>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941705</wp:posOffset>
                </wp:positionH>
                <wp:positionV relativeFrom="paragraph">
                  <wp:posOffset>191135</wp:posOffset>
                </wp:positionV>
                <wp:extent cx="628650" cy="1735455"/>
                <wp:effectExtent l="0" t="0" r="19050" b="17145"/>
                <wp:wrapNone/>
                <wp:docPr id="706" name="Rectangle 85"/>
                <wp:cNvGraphicFramePr/>
                <a:graphic xmlns:a="http://schemas.openxmlformats.org/drawingml/2006/main">
                  <a:graphicData uri="http://schemas.microsoft.com/office/word/2010/wordprocessingShape">
                    <wps:wsp>
                      <wps:cNvSpPr>
                        <a:spLocks noChangeArrowheads="1"/>
                      </wps:cNvSpPr>
                      <wps:spPr bwMode="auto">
                        <a:xfrm>
                          <a:off x="0" y="0"/>
                          <a:ext cx="628650" cy="1735666"/>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户内燃气泄漏现场处置方案</w:t>
                            </w:r>
                          </w:p>
                        </w:txbxContent>
                      </wps:txbx>
                      <wps:bodyPr rot="0" vert="horz" wrap="square" lIns="91440" tIns="45720" rIns="91440" bIns="45720" anchor="t" anchorCtr="0" upright="1">
                        <a:noAutofit/>
                      </wps:bodyPr>
                    </wps:wsp>
                  </a:graphicData>
                </a:graphic>
              </wp:anchor>
            </w:drawing>
          </mc:Choice>
          <mc:Fallback>
            <w:pict>
              <v:rect id="Rectangle 85" o:spid="_x0000_s1026" o:spt="1" style="position:absolute;left:0pt;margin-left:74.15pt;margin-top:15.05pt;height:136.65pt;width:49.5pt;z-index:251744256;mso-width-relative:page;mso-height-relative:page;" filled="f" stroked="t" coordsize="21600,21600" o:gfxdata="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qubmt1wAAAAoBAAAPAAAAAAAAAAEAIAAAACIAAABkcnMvZG93bnJldi54bWxQSwECFAAU&#10;AAAACACHTuJAlUE5VCsCAABYBAAADgAAAAAAAAABACAAAAAmAQAAZHJzL2Uyb0RvYy54bWxQSwUG&#10;AAAAAAYABgBZAQAAwwU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户内燃气泄漏现场处置方案</w:t>
                      </w:r>
                    </w:p>
                  </w:txbxContent>
                </v:textbox>
              </v:rect>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213360</wp:posOffset>
                </wp:positionH>
                <wp:positionV relativeFrom="paragraph">
                  <wp:posOffset>199390</wp:posOffset>
                </wp:positionV>
                <wp:extent cx="621665" cy="1744345"/>
                <wp:effectExtent l="0" t="0" r="26035" b="27940"/>
                <wp:wrapNone/>
                <wp:docPr id="704" name="Rectangle 52"/>
                <wp:cNvGraphicFramePr/>
                <a:graphic xmlns:a="http://schemas.openxmlformats.org/drawingml/2006/main">
                  <a:graphicData uri="http://schemas.microsoft.com/office/word/2010/wordprocessingShape">
                    <wps:wsp>
                      <wps:cNvSpPr>
                        <a:spLocks noChangeArrowheads="1"/>
                      </wps:cNvSpPr>
                      <wps:spPr bwMode="auto">
                        <a:xfrm>
                          <a:off x="0" y="0"/>
                          <a:ext cx="621665" cy="1744134"/>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管道燃气泄漏现场处置方案</w:t>
                            </w:r>
                          </w:p>
                        </w:txbxContent>
                      </wps:txbx>
                      <wps:bodyPr rot="0" vert="horz" wrap="square" lIns="91440" tIns="45720" rIns="91440" bIns="45720" anchor="t" anchorCtr="0" upright="1">
                        <a:noAutofit/>
                      </wps:bodyPr>
                    </wps:wsp>
                  </a:graphicData>
                </a:graphic>
              </wp:anchor>
            </w:drawing>
          </mc:Choice>
          <mc:Fallback>
            <w:pict>
              <v:rect id="Rectangle 52" o:spid="_x0000_s1026" o:spt="1" style="position:absolute;left:0pt;margin-left:16.8pt;margin-top:15.7pt;height:137.35pt;width:48.95pt;z-index:251739136;mso-width-relative:page;mso-height-relative:page;" filled="f" stroked="t" coordsize="21600,21600" o:gfxdata="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0i6Z9gAAAAJAQAADwAAAAAAAAABACAAAAAiAAAAZHJzL2Rvd25yZXYueG1sUEsBAhQA&#10;FAAAAAgAh07iQJO1olYrAgAAWAQAAA4AAAAAAAAAAQAgAAAAJwEAAGRycy9lMm9Eb2MueG1sUEsF&#10;BgAAAAAGAAYAWQEAAMQFA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管道燃气泄漏现场处置方案</w:t>
                      </w:r>
                    </w:p>
                  </w:txbxContent>
                </v:textbox>
              </v:rect>
            </w:pict>
          </mc:Fallback>
        </mc:AlternateContent>
      </w:r>
      <w:r>
        <w:rPr>
          <w:rFonts w:ascii="宋体" w:hAnsi="宋体" w:cs="宋体"/>
        </w:rPr>
        <mc:AlternateContent>
          <mc:Choice Requires="wps">
            <w:drawing>
              <wp:anchor distT="0" distB="0" distL="114300" distR="114300" simplePos="0" relativeHeight="251759616" behindDoc="0" locked="0" layoutInCell="1" allowOverlap="1">
                <wp:simplePos x="0" y="0"/>
                <wp:positionH relativeFrom="column">
                  <wp:posOffset>2440305</wp:posOffset>
                </wp:positionH>
                <wp:positionV relativeFrom="paragraph">
                  <wp:posOffset>208280</wp:posOffset>
                </wp:positionV>
                <wp:extent cx="622300" cy="1701800"/>
                <wp:effectExtent l="0" t="0" r="25400" b="12700"/>
                <wp:wrapNone/>
                <wp:docPr id="987" name="Rectangle 52"/>
                <wp:cNvGraphicFramePr/>
                <a:graphic xmlns:a="http://schemas.openxmlformats.org/drawingml/2006/main">
                  <a:graphicData uri="http://schemas.microsoft.com/office/word/2010/wordprocessingShape">
                    <wps:wsp>
                      <wps:cNvSpPr>
                        <a:spLocks noChangeArrowheads="1"/>
                      </wps:cNvSpPr>
                      <wps:spPr bwMode="auto">
                        <a:xfrm>
                          <a:off x="0" y="0"/>
                          <a:ext cx="622300" cy="1701800"/>
                        </a:xfrm>
                        <a:prstGeom prst="rect">
                          <a:avLst/>
                        </a:prstGeom>
                        <a:noFill/>
                        <a:ln w="15875">
                          <a:solidFill>
                            <a:srgbClr val="000000"/>
                          </a:solidFill>
                          <a:miter lim="800000"/>
                        </a:ln>
                      </wps:spPr>
                      <wps:txbx>
                        <w:txbxContent>
                          <w:p>
                            <w:pPr>
                              <w:rPr>
                                <w:rFonts w:ascii="宋体" w:hAnsi="宋体"/>
                                <w:sz w:val="24"/>
                              </w:rPr>
                            </w:pPr>
                            <w:r>
                              <w:rPr>
                                <w:rFonts w:hint="eastAsia" w:ascii="宋体" w:hAnsi="宋体"/>
                                <w:sz w:val="24"/>
                              </w:rPr>
                              <w:t>调压计量装置燃气泄漏现场处置方案</w:t>
                            </w:r>
                          </w:p>
                        </w:txbxContent>
                      </wps:txbx>
                      <wps:bodyPr rot="0" vert="horz" wrap="square" lIns="91440" tIns="45720" rIns="91440" bIns="45720" anchor="t" anchorCtr="0" upright="1">
                        <a:noAutofit/>
                      </wps:bodyPr>
                    </wps:wsp>
                  </a:graphicData>
                </a:graphic>
              </wp:anchor>
            </w:drawing>
          </mc:Choice>
          <mc:Fallback>
            <w:pict>
              <v:rect id="Rectangle 52" o:spid="_x0000_s1026" o:spt="1" style="position:absolute;left:0pt;margin-left:192.15pt;margin-top:16.4pt;height:134pt;width:49pt;z-index:251759616;mso-width-relative:page;mso-height-relative:page;" filled="f" stroked="t" coordsize="21600,21600" o:gfxdata="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eUGMdgAAAAKAQAADwAAAAAAAAABACAAAAAiAAAAZHJzL2Rvd25yZXYueG1sUEsBAhQA&#10;FAAAAAgAh07iQBDUaTErAgAAWAQAAA4AAAAAAAAAAQAgAAAAJwEAAGRycy9lMm9Eb2MueG1sUEsF&#10;BgAAAAAGAAYAWQEAAMQFAAAAAA==&#10;">
                <v:fill on="f" focussize="0,0"/>
                <v:stroke weight="1.25pt" color="#000000" miterlimit="8" joinstyle="miter"/>
                <v:imagedata o:title=""/>
                <o:lock v:ext="edit" aspectratio="f"/>
                <v:textbox>
                  <w:txbxContent>
                    <w:p>
                      <w:pPr>
                        <w:rPr>
                          <w:rFonts w:ascii="宋体" w:hAnsi="宋体"/>
                          <w:sz w:val="24"/>
                        </w:rPr>
                      </w:pPr>
                      <w:r>
                        <w:rPr>
                          <w:rFonts w:hint="eastAsia" w:ascii="宋体" w:hAnsi="宋体"/>
                          <w:sz w:val="24"/>
                        </w:rPr>
                        <w:t>调压计量装置燃气泄漏现场处置方案</w:t>
                      </w:r>
                    </w:p>
                  </w:txbxContent>
                </v:textbox>
              </v:rect>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1219835</wp:posOffset>
                </wp:positionH>
                <wp:positionV relativeFrom="paragraph">
                  <wp:posOffset>6350</wp:posOffset>
                </wp:positionV>
                <wp:extent cx="0" cy="179705"/>
                <wp:effectExtent l="76200" t="0" r="57150" b="48895"/>
                <wp:wrapNone/>
                <wp:docPr id="419135" name="Line 50"/>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tailEnd type="triangle" w="med" len="med"/>
                        </a:ln>
                      </wps:spPr>
                      <wps:bodyPr/>
                    </wps:wsp>
                  </a:graphicData>
                </a:graphic>
              </wp:anchor>
            </w:drawing>
          </mc:Choice>
          <mc:Fallback>
            <w:pict>
              <v:line id="Line 50" o:spid="_x0000_s1026" o:spt="20" style="position:absolute;left:0pt;margin-left:96.05pt;margin-top:0.5pt;height:14.15pt;width:0pt;z-index:251738112;mso-width-relative:page;mso-height-relative:page;" filled="f" stroked="t" coordsize="21600,21600" o:gfxdata="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wlfgtYA&#10;AAAIAQAADwAAAAAAAAABACAAAAAiAAAAZHJzL2Rvd25yZXYueG1sUEsBAhQAFAAAAAgAh07iQEQK&#10;lZfoAQAA0gMAAA4AAAAAAAAAAQAgAAAAJQEAAGRycy9lMm9Eb2MueG1sUEsFBgAAAAAGAAYAWQEA&#10;AH8FAAAAAA==&#10;">
                <v:fill on="f" focussize="0,0"/>
                <v:stroke color="#000000" joinstyle="round" endarrow="block"/>
                <v:imagedata o:title=""/>
                <o:lock v:ext="edit" aspectratio="f"/>
              </v:line>
            </w:pict>
          </mc:Fallback>
        </mc:AlternateContent>
      </w:r>
    </w:p>
    <w:p>
      <w:pPr>
        <w:ind w:firstLine="560"/>
        <w:rPr>
          <w:rFonts w:ascii="宋体" w:hAnsi="宋体" w:cs="宋体"/>
        </w:rPr>
      </w:pPr>
      <w:r>
        <w:rPr>
          <w:rFonts w:ascii="宋体" w:hAnsi="宋体" w:cs="宋体"/>
        </w:rPr>
        <w:tab/>
      </w:r>
    </w:p>
    <w:p>
      <w:pPr>
        <w:ind w:firstLine="560"/>
        <w:jc w:val="center"/>
        <w:rPr>
          <w:rFonts w:ascii="宋体" w:hAnsi="宋体" w:cs="宋体"/>
        </w:rPr>
      </w:pPr>
    </w:p>
    <w:p>
      <w:pPr>
        <w:ind w:firstLine="560"/>
        <w:jc w:val="center"/>
        <w:rPr>
          <w:rFonts w:ascii="宋体" w:hAnsi="宋体" w:cs="宋体"/>
        </w:rPr>
      </w:pPr>
    </w:p>
    <w:p>
      <w:pPr>
        <w:spacing w:line="500" w:lineRule="exact"/>
        <w:ind w:firstLine="560"/>
        <w:rPr>
          <w:rFonts w:ascii="宋体" w:hAnsi="宋体" w:cs="宋体"/>
        </w:rPr>
      </w:pPr>
    </w:p>
    <w:p>
      <w:pPr>
        <w:tabs>
          <w:tab w:val="left" w:pos="3935"/>
        </w:tabs>
        <w:ind w:firstLine="482"/>
        <w:jc w:val="center"/>
        <w:rPr>
          <w:rFonts w:ascii="宋体" w:hAnsi="宋体" w:cs="宋体"/>
          <w:b/>
          <w:bCs/>
          <w:sz w:val="24"/>
          <w:szCs w:val="24"/>
        </w:rPr>
      </w:pPr>
    </w:p>
    <w:p>
      <w:pPr>
        <w:tabs>
          <w:tab w:val="left" w:pos="3935"/>
        </w:tabs>
        <w:ind w:firstLine="482"/>
        <w:jc w:val="center"/>
        <w:rPr>
          <w:rFonts w:ascii="宋体" w:hAnsi="宋体" w:cs="宋体"/>
          <w:b/>
          <w:bCs/>
          <w:sz w:val="24"/>
          <w:szCs w:val="24"/>
        </w:rPr>
      </w:pPr>
    </w:p>
    <w:p>
      <w:pPr>
        <w:tabs>
          <w:tab w:val="left" w:pos="3935"/>
        </w:tabs>
        <w:ind w:firstLine="482"/>
        <w:jc w:val="center"/>
        <w:rPr>
          <w:rFonts w:ascii="宋体" w:hAnsi="宋体" w:cs="宋体"/>
          <w:b/>
          <w:bCs/>
          <w:sz w:val="24"/>
          <w:szCs w:val="24"/>
        </w:rPr>
      </w:pPr>
      <w:r>
        <w:rPr>
          <w:rFonts w:hint="eastAsia" w:ascii="宋体" w:hAnsi="宋体" w:cs="宋体"/>
          <w:b/>
          <w:bCs/>
          <w:sz w:val="24"/>
          <w:szCs w:val="24"/>
        </w:rPr>
        <w:t>附录B图</w:t>
      </w:r>
      <w:r>
        <w:rPr>
          <w:rFonts w:ascii="宋体" w:hAnsi="宋体" w:cs="宋体"/>
          <w:b/>
          <w:bCs/>
          <w:sz w:val="24"/>
          <w:szCs w:val="24"/>
        </w:rPr>
        <w:t>1</w:t>
      </w:r>
      <w:r>
        <w:rPr>
          <w:rFonts w:hint="eastAsia" w:ascii="宋体" w:hAnsi="宋体" w:cs="宋体"/>
          <w:b/>
          <w:bCs/>
          <w:sz w:val="24"/>
          <w:szCs w:val="24"/>
        </w:rPr>
        <w:t>应急预案体系图</w:t>
      </w:r>
    </w:p>
    <w:p>
      <w:pPr>
        <w:spacing w:line="360" w:lineRule="auto"/>
        <w:ind w:firstLine="560" w:firstLineChars="200"/>
        <w:rPr>
          <w:rFonts w:ascii="宋体" w:hAnsi="宋体" w:cs="宋体"/>
          <w:szCs w:val="28"/>
        </w:rPr>
      </w:pPr>
    </w:p>
    <w:p>
      <w:pPr>
        <w:pStyle w:val="7"/>
      </w:pPr>
      <w:bookmarkStart w:id="427" w:name="_Toc78468877"/>
      <w:bookmarkStart w:id="428" w:name="_Toc12266"/>
      <w:bookmarkStart w:id="429" w:name="_Toc101798351"/>
      <w:r>
        <w:rPr>
          <w:rFonts w:hint="eastAsia"/>
        </w:rPr>
        <w:t>1</w:t>
      </w:r>
      <w:r>
        <w:t>.2</w:t>
      </w:r>
      <w:r>
        <w:rPr>
          <w:rFonts w:hint="eastAsia"/>
        </w:rPr>
        <w:t>强化应急救援演练</w:t>
      </w:r>
      <w:bookmarkEnd w:id="427"/>
      <w:bookmarkEnd w:id="428"/>
      <w:bookmarkEnd w:id="429"/>
    </w:p>
    <w:p>
      <w:pPr>
        <w:spacing w:line="360" w:lineRule="auto"/>
        <w:ind w:firstLine="560" w:firstLineChars="200"/>
        <w:rPr>
          <w:rFonts w:ascii="宋体" w:hAnsi="宋体" w:cs="宋体"/>
          <w:szCs w:val="28"/>
        </w:rPr>
      </w:pPr>
      <w:r>
        <w:rPr>
          <w:rFonts w:hint="eastAsia" w:ascii="宋体" w:hAnsi="宋体" w:cs="宋体"/>
          <w:szCs w:val="28"/>
        </w:rPr>
        <w:t>本企业每年定期举行生产安全应急预案演练，最近一次演练为2</w:t>
      </w:r>
      <w:r>
        <w:rPr>
          <w:rFonts w:ascii="宋体" w:hAnsi="宋体" w:cs="宋体"/>
          <w:szCs w:val="28"/>
        </w:rPr>
        <w:t>021</w:t>
      </w:r>
      <w:r>
        <w:rPr>
          <w:rFonts w:hint="eastAsia" w:ascii="宋体" w:hAnsi="宋体" w:cs="宋体"/>
          <w:szCs w:val="28"/>
        </w:rPr>
        <w:t>年</w:t>
      </w:r>
      <w:r>
        <w:rPr>
          <w:rFonts w:ascii="宋体" w:hAnsi="宋体" w:cs="宋体"/>
          <w:szCs w:val="28"/>
        </w:rPr>
        <w:t>11</w:t>
      </w:r>
      <w:r>
        <w:rPr>
          <w:rFonts w:hint="eastAsia" w:ascii="宋体" w:hAnsi="宋体" w:cs="宋体"/>
          <w:szCs w:val="28"/>
        </w:rPr>
        <w:t>月进行的综合应急演练。</w:t>
      </w:r>
    </w:p>
    <w:p>
      <w:pPr>
        <w:pStyle w:val="19"/>
        <w:ind w:firstLine="420"/>
      </w:pPr>
    </w:p>
    <w:bookmarkEnd w:id="426"/>
    <w:p>
      <w:pPr>
        <w:pStyle w:val="7"/>
        <w:rPr>
          <w:b w:val="0"/>
          <w:bCs w:val="0"/>
        </w:rPr>
      </w:pPr>
      <w:bookmarkStart w:id="430" w:name="_Toc101798352"/>
      <w:bookmarkStart w:id="431" w:name="_Toc78468876"/>
      <w:bookmarkStart w:id="432" w:name="_Toc17349"/>
      <w:r>
        <w:rPr>
          <w:rFonts w:hint="eastAsia"/>
        </w:rPr>
        <w:t>1.</w:t>
      </w:r>
      <w:r>
        <w:t>3</w:t>
      </w:r>
      <w:r>
        <w:rPr>
          <w:rFonts w:hint="eastAsia"/>
        </w:rPr>
        <w:t>应急专项资金投入</w:t>
      </w:r>
      <w:bookmarkEnd w:id="430"/>
      <w:bookmarkEnd w:id="431"/>
      <w:r>
        <w:rPr>
          <w:rFonts w:hint="eastAsia"/>
        </w:rPr>
        <w:t>   </w:t>
      </w:r>
      <w:bookmarkEnd w:id="432"/>
    </w:p>
    <w:p>
      <w:pPr>
        <w:spacing w:line="360" w:lineRule="auto"/>
        <w:ind w:firstLine="560"/>
        <w:rPr>
          <w:rFonts w:ascii="宋体" w:hAnsi="宋体" w:cs="宋体"/>
          <w:szCs w:val="28"/>
        </w:rPr>
      </w:pPr>
      <w:r>
        <w:rPr>
          <w:rFonts w:hint="eastAsia" w:ascii="宋体" w:hAnsi="宋体" w:cs="宋体"/>
          <w:bCs/>
          <w:szCs w:val="28"/>
        </w:rPr>
        <w:t>本企业</w:t>
      </w:r>
      <w:r>
        <w:rPr>
          <w:rFonts w:hint="eastAsia" w:ascii="宋体" w:hAnsi="宋体" w:cs="宋体"/>
          <w:szCs w:val="28"/>
        </w:rPr>
        <w:t>每年在生产安全投入的专项资金中抽出一定比例的资金用于应急物资的储备、应急队伍的培训演练、应急设施的维护等应急管理。由财务部门年初抽调专项资金，安全部门制定资金的使用计划，确保应急专项资金专款专用。</w:t>
      </w:r>
    </w:p>
    <w:p>
      <w:pPr>
        <w:pStyle w:val="7"/>
      </w:pPr>
      <w:bookmarkStart w:id="433" w:name="_Toc78468879"/>
      <w:bookmarkStart w:id="434" w:name="_Toc101798353"/>
      <w:r>
        <w:rPr>
          <w:rFonts w:hint="eastAsia"/>
        </w:rPr>
        <w:t>1</w:t>
      </w:r>
      <w:r>
        <w:t>.4</w:t>
      </w:r>
      <w:r>
        <w:rPr>
          <w:rFonts w:hint="eastAsia"/>
        </w:rPr>
        <w:t>应急组织体系</w:t>
      </w:r>
      <w:bookmarkEnd w:id="433"/>
      <w:bookmarkEnd w:id="434"/>
    </w:p>
    <w:p>
      <w:pPr>
        <w:spacing w:after="0" w:line="560" w:lineRule="exact"/>
        <w:ind w:firstLine="560" w:firstLineChars="200"/>
        <w:rPr>
          <w:rFonts w:ascii="宋体" w:hAnsi="宋体" w:cs="宋体"/>
          <w:szCs w:val="28"/>
        </w:rPr>
      </w:pPr>
      <w:r>
        <w:rPr>
          <w:rFonts w:hint="eastAsia" w:ascii="宋体" w:hAnsi="宋体" w:cs="宋体"/>
          <w:szCs w:val="28"/>
        </w:rPr>
        <w:t>1</w:t>
      </w:r>
      <w:r>
        <w:rPr>
          <w:rFonts w:ascii="宋体" w:hAnsi="宋体" w:cs="宋体"/>
          <w:szCs w:val="28"/>
        </w:rPr>
        <w:t>.4.1</w:t>
      </w:r>
      <w:r>
        <w:rPr>
          <w:rFonts w:hint="eastAsia" w:ascii="宋体" w:hAnsi="宋体" w:cs="宋体"/>
          <w:szCs w:val="28"/>
        </w:rPr>
        <w:t>应急组织体系</w:t>
      </w:r>
    </w:p>
    <w:p>
      <w:pPr>
        <w:spacing w:after="0" w:line="560" w:lineRule="exact"/>
        <w:ind w:firstLine="560" w:firstLineChars="200"/>
        <w:jc w:val="both"/>
        <w:rPr>
          <w:rFonts w:ascii="宋体" w:hAnsi="宋体" w:cs="宋体"/>
          <w:szCs w:val="28"/>
        </w:rPr>
      </w:pPr>
      <w:r>
        <w:rPr>
          <w:rFonts w:hint="eastAsia" w:ascii="宋体" w:hAnsi="宋体" w:cs="宋体"/>
          <w:szCs w:val="28"/>
        </w:rPr>
        <w:t>公司成立应急救援指挥部。按事故灾难等级和分级响应原则，由相应等级人员或熟悉事故现场情况的有关人员具体负责现场指挥（详见3</w:t>
      </w:r>
      <w:r>
        <w:rPr>
          <w:rFonts w:ascii="宋体" w:hAnsi="宋体" w:cs="宋体"/>
          <w:szCs w:val="28"/>
        </w:rPr>
        <w:t>.3.1</w:t>
      </w:r>
      <w:r>
        <w:rPr>
          <w:rFonts w:hint="eastAsia" w:ascii="宋体" w:hAnsi="宋体" w:cs="宋体"/>
          <w:szCs w:val="28"/>
        </w:rPr>
        <w:t>）。指挥部下设事故联络组、现场救援组、技术支持组、交通组、医疗组。公司应急组织体系如下图所示：</w:t>
      </w:r>
    </w:p>
    <w:p>
      <w:pPr>
        <w:spacing w:after="0" w:line="560" w:lineRule="exact"/>
        <w:ind w:firstLine="560"/>
        <w:jc w:val="center"/>
      </w:pPr>
      <w:r>
        <w:rPr>
          <w:rFonts w:hint="eastAsia" w:ascii="宋体" w:hAnsi="宋体" w:cs="宋体"/>
          <w:szCs w:val="28"/>
        </w:rPr>
        <w:t>图</w:t>
      </w:r>
      <w:r>
        <w:rPr>
          <w:rFonts w:ascii="宋体" w:hAnsi="宋体" w:cs="宋体"/>
          <w:szCs w:val="28"/>
        </w:rPr>
        <w:t>2</w:t>
      </w:r>
      <w:r>
        <w:rPr>
          <w:rFonts w:hint="eastAsia" w:ascii="宋体" w:hAnsi="宋体" w:cs="宋体"/>
          <w:szCs w:val="28"/>
        </w:rPr>
        <w:t>.</w:t>
      </w:r>
      <w:r>
        <w:rPr>
          <w:rFonts w:ascii="宋体" w:hAnsi="宋体" w:cs="宋体"/>
          <w:szCs w:val="28"/>
        </w:rPr>
        <w:t>1</w:t>
      </w:r>
      <w:r>
        <w:rPr>
          <w:rFonts w:hint="eastAsia" w:ascii="宋体" w:hAnsi="宋体" w:cs="宋体"/>
          <w:szCs w:val="28"/>
        </w:rPr>
        <w:t>-1应急组织体系图</w:t>
      </w:r>
    </w:p>
    <w:p>
      <w:pPr>
        <w:ind w:firstLine="560"/>
        <w:rPr>
          <w:b/>
          <w:bCs/>
        </w:rPr>
      </w:pPr>
      <w:r>
        <w:rPr>
          <w:rFonts w:hint="eastAsia" w:hAnsi="宋体"/>
          <w:bCs/>
          <w:szCs w:val="28"/>
        </w:rPr>
        <mc:AlternateContent>
          <mc:Choice Requires="wpc">
            <w:drawing>
              <wp:anchor distT="0" distB="0" distL="114300" distR="114300" simplePos="0" relativeHeight="251763712" behindDoc="1" locked="0" layoutInCell="1" allowOverlap="1">
                <wp:simplePos x="0" y="0"/>
                <wp:positionH relativeFrom="margin">
                  <wp:posOffset>596900</wp:posOffset>
                </wp:positionH>
                <wp:positionV relativeFrom="paragraph">
                  <wp:posOffset>11430</wp:posOffset>
                </wp:positionV>
                <wp:extent cx="5486400" cy="2990850"/>
                <wp:effectExtent l="0" t="0" r="0" b="5638800"/>
                <wp:wrapNone/>
                <wp:docPr id="1021" name="画布 10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99" name="文本框 999"/>
                        <wps:cNvSpPr txBox="1"/>
                        <wps:spPr>
                          <a:xfrm>
                            <a:off x="459317" y="1545250"/>
                            <a:ext cx="388620" cy="1312250"/>
                          </a:xfrm>
                          <a:prstGeom prst="rect">
                            <a:avLst/>
                          </a:prstGeom>
                          <a:solidFill>
                            <a:schemeClr val="lt1"/>
                          </a:solidFill>
                          <a:ln w="6350">
                            <a:solidFill>
                              <a:prstClr val="black"/>
                            </a:solidFill>
                          </a:ln>
                        </wps:spPr>
                        <wps:txbx>
                          <w:txbxContent>
                            <w:p>
                              <w:r>
                                <w:rPr>
                                  <w:rFonts w:hint="eastAsia"/>
                                </w:rPr>
                                <w:t>事故联络组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0" name="文本框 965"/>
                        <wps:cNvSpPr txBox="1"/>
                        <wps:spPr>
                          <a:xfrm>
                            <a:off x="1437300" y="1538900"/>
                            <a:ext cx="388620" cy="1337650"/>
                          </a:xfrm>
                          <a:prstGeom prst="rect">
                            <a:avLst/>
                          </a:prstGeom>
                          <a:solidFill>
                            <a:schemeClr val="lt1"/>
                          </a:solidFill>
                          <a:ln w="6350">
                            <a:solidFill>
                              <a:prstClr val="black"/>
                            </a:solidFill>
                          </a:ln>
                        </wps:spPr>
                        <wps:txbx>
                          <w:txbxContent>
                            <w:p>
                              <w:pPr>
                                <w:rPr>
                                  <w:rFonts w:hAnsi="微软雅黑"/>
                                </w:rPr>
                              </w:pPr>
                              <w:r>
                                <w:rPr>
                                  <w:rFonts w:hint="eastAsia" w:hAnsi="微软雅黑"/>
                                </w:rPr>
                                <w:t>现场救援组</w:t>
                              </w:r>
                            </w:p>
                          </w:txbxContent>
                        </wps:txbx>
                        <wps:bodyPr rot="0" spcFirstLastPara="0" vert="horz" wrap="square" lIns="91440" tIns="45720" rIns="91440" bIns="45720" numCol="1" spcCol="0" rtlCol="0" fromWordArt="0" anchor="t" anchorCtr="0" forceAA="0" compatLnSpc="1">
                          <a:noAutofit/>
                        </wps:bodyPr>
                      </wps:wsp>
                      <wps:wsp>
                        <wps:cNvPr id="1001" name="文本框 965"/>
                        <wps:cNvSpPr txBox="1"/>
                        <wps:spPr>
                          <a:xfrm>
                            <a:off x="2408850" y="1555750"/>
                            <a:ext cx="388620" cy="1348400"/>
                          </a:xfrm>
                          <a:prstGeom prst="rect">
                            <a:avLst/>
                          </a:prstGeom>
                          <a:solidFill>
                            <a:schemeClr val="lt1"/>
                          </a:solidFill>
                          <a:ln w="6350">
                            <a:solidFill>
                              <a:prstClr val="black"/>
                            </a:solidFill>
                          </a:ln>
                        </wps:spPr>
                        <wps:txbx>
                          <w:txbxContent>
                            <w:p>
                              <w:pPr>
                                <w:rPr>
                                  <w:rFonts w:hAnsi="微软雅黑"/>
                                </w:rPr>
                              </w:pPr>
                              <w:r>
                                <w:rPr>
                                  <w:rFonts w:hint="eastAsia" w:hAnsi="微软雅黑"/>
                                </w:rPr>
                                <w:t>技术支持组</w:t>
                              </w:r>
                            </w:p>
                          </w:txbxContent>
                        </wps:txbx>
                        <wps:bodyPr rot="0" spcFirstLastPara="0" vert="horz" wrap="square" lIns="91440" tIns="45720" rIns="91440" bIns="45720" numCol="1" spcCol="0" rtlCol="0" fromWordArt="0" anchor="t" anchorCtr="0" forceAA="0" compatLnSpc="1">
                          <a:noAutofit/>
                        </wps:bodyPr>
                      </wps:wsp>
                      <wps:wsp>
                        <wps:cNvPr id="1002" name="文本框 965"/>
                        <wps:cNvSpPr txBox="1"/>
                        <wps:spPr>
                          <a:xfrm>
                            <a:off x="3441360" y="1574800"/>
                            <a:ext cx="388620" cy="1309370"/>
                          </a:xfrm>
                          <a:prstGeom prst="rect">
                            <a:avLst/>
                          </a:prstGeom>
                          <a:solidFill>
                            <a:schemeClr val="lt1"/>
                          </a:solidFill>
                          <a:ln w="6350">
                            <a:solidFill>
                              <a:prstClr val="black"/>
                            </a:solidFill>
                          </a:ln>
                        </wps:spPr>
                        <wps:txbx>
                          <w:txbxContent>
                            <w:p>
                              <w:pPr>
                                <w:rPr>
                                  <w:rFonts w:hAnsi="微软雅黑"/>
                                </w:rPr>
                              </w:pPr>
                              <w:r>
                                <w:rPr>
                                  <w:rFonts w:hint="eastAsia" w:hAnsi="微软雅黑"/>
                                </w:rPr>
                                <w:t>交通组</w:t>
                              </w:r>
                            </w:p>
                          </w:txbxContent>
                        </wps:txbx>
                        <wps:bodyPr rot="0" spcFirstLastPara="0" vert="horz" wrap="square" lIns="91440" tIns="45720" rIns="91440" bIns="45720" numCol="1" spcCol="0" rtlCol="0" fromWordArt="0" anchor="t" anchorCtr="0" forceAA="0" compatLnSpc="1">
                          <a:noAutofit/>
                        </wps:bodyPr>
                      </wps:wsp>
                      <wps:wsp>
                        <wps:cNvPr id="1003" name="文本框 965"/>
                        <wps:cNvSpPr txBox="1"/>
                        <wps:spPr>
                          <a:xfrm>
                            <a:off x="4546260" y="1587500"/>
                            <a:ext cx="388620" cy="1296670"/>
                          </a:xfrm>
                          <a:prstGeom prst="rect">
                            <a:avLst/>
                          </a:prstGeom>
                          <a:solidFill>
                            <a:schemeClr val="lt1"/>
                          </a:solidFill>
                          <a:ln w="6350">
                            <a:solidFill>
                              <a:prstClr val="black"/>
                            </a:solidFill>
                          </a:ln>
                        </wps:spPr>
                        <wps:txbx>
                          <w:txbxContent>
                            <w:p>
                              <w:pPr>
                                <w:rPr>
                                  <w:rFonts w:hAnsi="微软雅黑"/>
                                </w:rPr>
                              </w:pPr>
                              <w:r>
                                <w:rPr>
                                  <w:rFonts w:hint="eastAsia" w:hAnsi="微软雅黑"/>
                                </w:rPr>
                                <w:t>医疗组</w:t>
                              </w:r>
                            </w:p>
                          </w:txbxContent>
                        </wps:txbx>
                        <wps:bodyPr rot="0" spcFirstLastPara="0" vert="horz" wrap="square" lIns="91440" tIns="45720" rIns="91440" bIns="45720" numCol="1" spcCol="0" rtlCol="0" fromWordArt="0" anchor="t" anchorCtr="0" forceAA="0" compatLnSpc="1">
                          <a:noAutofit/>
                        </wps:bodyPr>
                      </wps:wsp>
                      <wps:wsp>
                        <wps:cNvPr id="1004" name="文本框 1004"/>
                        <wps:cNvSpPr txBox="1"/>
                        <wps:spPr>
                          <a:xfrm>
                            <a:off x="1654810" y="124460"/>
                            <a:ext cx="1965960" cy="345440"/>
                          </a:xfrm>
                          <a:prstGeom prst="rect">
                            <a:avLst/>
                          </a:prstGeom>
                          <a:solidFill>
                            <a:schemeClr val="lt1"/>
                          </a:solidFill>
                          <a:ln w="6350">
                            <a:solidFill>
                              <a:prstClr val="black"/>
                            </a:solidFill>
                          </a:ln>
                        </wps:spPr>
                        <wps:txbx>
                          <w:txbxContent>
                            <w:p>
                              <w:pPr>
                                <w:jc w:val="center"/>
                              </w:pPr>
                              <w:r>
                                <w:rPr>
                                  <w:rFonts w:hint="eastAsia" w:ascii="宋体" w:hAnsi="宋体" w:cs="宋体"/>
                                  <w:szCs w:val="28"/>
                                </w:rPr>
                                <w:t>公司应急救援指挥部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5" name="直接箭头连接符 1005"/>
                        <wps:cNvCnPr/>
                        <wps:spPr>
                          <a:xfrm>
                            <a:off x="3223555" y="7554255"/>
                            <a:ext cx="0" cy="448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6" name="直接箭头连接符 1006"/>
                        <wps:cNvCnPr/>
                        <wps:spPr>
                          <a:xfrm>
                            <a:off x="3375955" y="7706655"/>
                            <a:ext cx="0" cy="448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7" name="直接箭头连接符 1007"/>
                        <wps:cNvCnPr/>
                        <wps:spPr>
                          <a:xfrm>
                            <a:off x="3090205" y="7605055"/>
                            <a:ext cx="0" cy="448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8" name="直接连接符 1008"/>
                        <wps:cNvCnPr/>
                        <wps:spPr>
                          <a:xfrm>
                            <a:off x="654050" y="1117600"/>
                            <a:ext cx="4102100" cy="12700"/>
                          </a:xfrm>
                          <a:prstGeom prst="line">
                            <a:avLst/>
                          </a:prstGeom>
                        </wps:spPr>
                        <wps:style>
                          <a:lnRef idx="1">
                            <a:schemeClr val="dk1"/>
                          </a:lnRef>
                          <a:fillRef idx="0">
                            <a:schemeClr val="dk1"/>
                          </a:fillRef>
                          <a:effectRef idx="0">
                            <a:schemeClr val="dk1"/>
                          </a:effectRef>
                          <a:fontRef idx="minor">
                            <a:schemeClr val="tx1"/>
                          </a:fontRef>
                        </wps:style>
                        <wps:bodyPr/>
                      </wps:wsp>
                      <wps:wsp>
                        <wps:cNvPr id="1009" name="直接连接符 1009"/>
                        <wps:cNvCnPr/>
                        <wps:spPr>
                          <a:xfrm>
                            <a:off x="2603160" y="965200"/>
                            <a:ext cx="0" cy="590550"/>
                          </a:xfrm>
                          <a:prstGeom prst="line">
                            <a:avLst/>
                          </a:prstGeom>
                        </wps:spPr>
                        <wps:style>
                          <a:lnRef idx="1">
                            <a:schemeClr val="dk1"/>
                          </a:lnRef>
                          <a:fillRef idx="0">
                            <a:schemeClr val="dk1"/>
                          </a:fillRef>
                          <a:effectRef idx="0">
                            <a:schemeClr val="dk1"/>
                          </a:effectRef>
                          <a:fontRef idx="minor">
                            <a:schemeClr val="tx1"/>
                          </a:fontRef>
                        </wps:style>
                        <wps:bodyPr/>
                      </wps:wsp>
                      <wps:wsp>
                        <wps:cNvPr id="1010" name="直接连接符 1010"/>
                        <wps:cNvCnPr/>
                        <wps:spPr>
                          <a:xfrm>
                            <a:off x="1631610" y="1111250"/>
                            <a:ext cx="0" cy="427650"/>
                          </a:xfrm>
                          <a:prstGeom prst="line">
                            <a:avLst/>
                          </a:prstGeom>
                        </wps:spPr>
                        <wps:style>
                          <a:lnRef idx="1">
                            <a:schemeClr val="dk1"/>
                          </a:lnRef>
                          <a:fillRef idx="0">
                            <a:schemeClr val="dk1"/>
                          </a:fillRef>
                          <a:effectRef idx="0">
                            <a:schemeClr val="dk1"/>
                          </a:effectRef>
                          <a:fontRef idx="minor">
                            <a:schemeClr val="tx1"/>
                          </a:fontRef>
                        </wps:style>
                        <wps:bodyPr/>
                      </wps:wsp>
                      <wps:wsp>
                        <wps:cNvPr id="1011" name="直接连接符 1011"/>
                        <wps:cNvCnPr/>
                        <wps:spPr>
                          <a:xfrm flipH="1">
                            <a:off x="653627" y="1117600"/>
                            <a:ext cx="8890" cy="427650"/>
                          </a:xfrm>
                          <a:prstGeom prst="line">
                            <a:avLst/>
                          </a:prstGeom>
                        </wps:spPr>
                        <wps:style>
                          <a:lnRef idx="1">
                            <a:schemeClr val="dk1"/>
                          </a:lnRef>
                          <a:fillRef idx="0">
                            <a:schemeClr val="dk1"/>
                          </a:fillRef>
                          <a:effectRef idx="0">
                            <a:schemeClr val="dk1"/>
                          </a:effectRef>
                          <a:fontRef idx="minor">
                            <a:schemeClr val="tx1"/>
                          </a:fontRef>
                        </wps:style>
                        <wps:bodyPr/>
                      </wps:wsp>
                      <wps:wsp>
                        <wps:cNvPr id="1012" name="直接连接符 1012"/>
                        <wps:cNvCnPr/>
                        <wps:spPr>
                          <a:xfrm>
                            <a:off x="3635670" y="1123950"/>
                            <a:ext cx="0" cy="450850"/>
                          </a:xfrm>
                          <a:prstGeom prst="line">
                            <a:avLst/>
                          </a:prstGeom>
                        </wps:spPr>
                        <wps:style>
                          <a:lnRef idx="1">
                            <a:schemeClr val="dk1"/>
                          </a:lnRef>
                          <a:fillRef idx="0">
                            <a:schemeClr val="dk1"/>
                          </a:fillRef>
                          <a:effectRef idx="0">
                            <a:schemeClr val="dk1"/>
                          </a:effectRef>
                          <a:fontRef idx="minor">
                            <a:schemeClr val="tx1"/>
                          </a:fontRef>
                        </wps:style>
                        <wps:bodyPr/>
                      </wps:wsp>
                      <wps:wsp>
                        <wps:cNvPr id="1013" name="直接连接符 1013"/>
                        <wps:cNvCnPr/>
                        <wps:spPr>
                          <a:xfrm flipH="1">
                            <a:off x="4740570" y="1130300"/>
                            <a:ext cx="923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1014" name="文本框 967"/>
                        <wps:cNvSpPr txBox="1"/>
                        <wps:spPr>
                          <a:xfrm>
                            <a:off x="1625260" y="647700"/>
                            <a:ext cx="1965960" cy="311150"/>
                          </a:xfrm>
                          <a:prstGeom prst="rect">
                            <a:avLst/>
                          </a:prstGeom>
                          <a:solidFill>
                            <a:schemeClr val="lt1"/>
                          </a:solidFill>
                          <a:ln w="6350">
                            <a:solidFill>
                              <a:prstClr val="black"/>
                            </a:solidFill>
                          </a:ln>
                        </wps:spPr>
                        <wps:txbx>
                          <w:txbxContent>
                            <w:p>
                              <w:pPr>
                                <w:jc w:val="center"/>
                                <w:rPr>
                                  <w:rFonts w:asciiTheme="minorEastAsia" w:hAnsiTheme="minorEastAsia" w:eastAsiaTheme="minorEastAsia"/>
                                  <w:szCs w:val="28"/>
                                </w:rPr>
                              </w:pPr>
                              <w:r>
                                <w:rPr>
                                  <w:rFonts w:hint="eastAsia" w:asciiTheme="minorEastAsia" w:hAnsiTheme="minorEastAsia" w:eastAsiaTheme="minorEastAsia"/>
                                  <w:szCs w:val="28"/>
                                </w:rPr>
                                <w:t>现场指挥部</w:t>
                              </w:r>
                            </w:p>
                          </w:txbxContent>
                        </wps:txbx>
                        <wps:bodyPr rot="0" spcFirstLastPara="0" vert="horz" wrap="square" lIns="91440" tIns="45720" rIns="91440" bIns="45720" numCol="1" spcCol="0" rtlCol="0" fromWordArt="0" anchor="t" anchorCtr="0" forceAA="0" compatLnSpc="1">
                          <a:noAutofit/>
                        </wps:bodyPr>
                      </wps:wsp>
                      <wps:wsp>
                        <wps:cNvPr id="1015" name="直接连接符 1015"/>
                        <wps:cNvCnPr/>
                        <wps:spPr>
                          <a:xfrm>
                            <a:off x="4065565" y="7844450"/>
                            <a:ext cx="0" cy="590550"/>
                          </a:xfrm>
                          <a:prstGeom prst="line">
                            <a:avLst/>
                          </a:prstGeom>
                        </wps:spPr>
                        <wps:style>
                          <a:lnRef idx="1">
                            <a:schemeClr val="dk1"/>
                          </a:lnRef>
                          <a:fillRef idx="0">
                            <a:schemeClr val="dk1"/>
                          </a:fillRef>
                          <a:effectRef idx="0">
                            <a:schemeClr val="dk1"/>
                          </a:effectRef>
                          <a:fontRef idx="minor">
                            <a:schemeClr val="tx1"/>
                          </a:fontRef>
                        </wps:style>
                        <wps:bodyPr/>
                      </wps:wsp>
                      <wps:wsp>
                        <wps:cNvPr id="1016" name="直接连接符 1016"/>
                        <wps:cNvCnPr/>
                        <wps:spPr>
                          <a:xfrm>
                            <a:off x="5098075" y="8003200"/>
                            <a:ext cx="0" cy="450850"/>
                          </a:xfrm>
                          <a:prstGeom prst="line">
                            <a:avLst/>
                          </a:prstGeom>
                        </wps:spPr>
                        <wps:style>
                          <a:lnRef idx="1">
                            <a:schemeClr val="dk1"/>
                          </a:lnRef>
                          <a:fillRef idx="0">
                            <a:schemeClr val="dk1"/>
                          </a:fillRef>
                          <a:effectRef idx="0">
                            <a:schemeClr val="dk1"/>
                          </a:effectRef>
                          <a:fontRef idx="minor">
                            <a:schemeClr val="tx1"/>
                          </a:fontRef>
                        </wps:style>
                        <wps:bodyPr/>
                      </wps:wsp>
                      <wps:wsp>
                        <wps:cNvPr id="1017" name="直接连接符 1017"/>
                        <wps:cNvCnPr/>
                        <wps:spPr>
                          <a:xfrm>
                            <a:off x="5250475" y="8155600"/>
                            <a:ext cx="0" cy="450850"/>
                          </a:xfrm>
                          <a:prstGeom prst="line">
                            <a:avLst/>
                          </a:prstGeom>
                        </wps:spPr>
                        <wps:style>
                          <a:lnRef idx="1">
                            <a:schemeClr val="dk1"/>
                          </a:lnRef>
                          <a:fillRef idx="0">
                            <a:schemeClr val="dk1"/>
                          </a:fillRef>
                          <a:effectRef idx="0">
                            <a:schemeClr val="dk1"/>
                          </a:effectRef>
                          <a:fontRef idx="minor">
                            <a:schemeClr val="tx1"/>
                          </a:fontRef>
                        </wps:style>
                        <wps:bodyPr/>
                      </wps:wsp>
                      <wps:wsp>
                        <wps:cNvPr id="1018" name="直接连接符 1018"/>
                        <wps:cNvCnPr/>
                        <wps:spPr>
                          <a:xfrm>
                            <a:off x="2608240" y="476250"/>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1019" name="文本框 967"/>
                        <wps:cNvSpPr txBox="1"/>
                        <wps:spPr>
                          <a:xfrm>
                            <a:off x="3782354" y="124460"/>
                            <a:ext cx="1359535" cy="343875"/>
                          </a:xfrm>
                          <a:prstGeom prst="rect">
                            <a:avLst/>
                          </a:prstGeom>
                          <a:solidFill>
                            <a:schemeClr val="lt1"/>
                          </a:solidFill>
                          <a:ln w="6350">
                            <a:solidFill>
                              <a:prstClr val="black"/>
                            </a:solidFill>
                          </a:ln>
                        </wps:spPr>
                        <wps:txbx>
                          <w:txbxContent>
                            <w:p>
                              <w:pPr>
                                <w:jc w:val="center"/>
                                <w:rPr>
                                  <w:rFonts w:asciiTheme="minorEastAsia" w:hAnsiTheme="minorEastAsia" w:eastAsiaTheme="minorEastAsia"/>
                                  <w:szCs w:val="28"/>
                                </w:rPr>
                              </w:pPr>
                              <w:r>
                                <w:rPr>
                                  <w:rFonts w:hint="eastAsia" w:asciiTheme="minorEastAsia" w:hAnsiTheme="minorEastAsia" w:eastAsiaTheme="minorEastAsia"/>
                                  <w:szCs w:val="28"/>
                                </w:rPr>
                                <w:t>指挥部办公室</w:t>
                              </w:r>
                            </w:p>
                          </w:txbxContent>
                        </wps:txbx>
                        <wps:bodyPr rot="0" spcFirstLastPara="0" vert="horz" wrap="square" lIns="91440" tIns="45720" rIns="91440" bIns="45720" numCol="1" spcCol="0" rtlCol="0" fromWordArt="0" anchor="t" anchorCtr="0" forceAA="0" compatLnSpc="1">
                          <a:noAutofit/>
                        </wps:bodyPr>
                      </wps:wsp>
                      <wps:wsp>
                        <wps:cNvPr id="1020" name="直接连接符 1020"/>
                        <wps:cNvCnPr/>
                        <wps:spPr>
                          <a:xfrm>
                            <a:off x="3612243" y="294821"/>
                            <a:ext cx="170111" cy="1577"/>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anchor>
            </w:drawing>
          </mc:Choice>
          <mc:Fallback>
            <w:pict>
              <v:group id="_x0000_s1026" o:spid="_x0000_s1026" o:spt="203" style="position:absolute;left:0pt;margin-left:47pt;margin-top:0.9pt;height:235.5pt;width:432pt;mso-position-horizontal-relative:margin;z-index:-251552768;mso-width-relative:page;mso-height-relative:page;" coordsize="5486400,2990850" editas="canvas" o:gfxdata="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">
                <o:lock v:ext="edit" aspectratio="f"/>
                <v:shape id="_x0000_s1026" o:spid="_x0000_s1026" style="position:absolute;left:0;top:0;height:2990850;width:5486400;" fillcolor="#FFFFFF" filled="t" stroked="f" coordsize="21600,21600" o:gfxdata="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">
                  <v:fill on="t" focussize="0,0"/>
                  <v:stroke on="f"/>
                  <v:imagedata o:title=""/>
                  <o:lock v:ext="edit" aspectratio="t"/>
                </v:shape>
                <v:shape id="_x0000_s1026" o:spid="_x0000_s1026" o:spt="202" type="#_x0000_t202" style="position:absolute;left:459317;top:1545250;height:1312250;width:388620;" fillcolor="#FFFFFF [3201]" filled="t" stroked="t" coordsize="21600,21600" o:gfxdata="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77TT1QAAAAgBAAAPAAAAAAAAAAEAIAAAACIAAABkcnMvZG93bnJldi54bWxQSwECFAAUAAAA&#10;CACHTuJARhGLEmMCAADGBAAADgAAAAAAAAABACAAAAAkAQAAZHJzL2Uyb0RvYy54bWxQSwUGAAAA&#10;AAYABgBZAQAA+QUAAAAA&#10;">
                  <v:fill on="t" focussize="0,0"/>
                  <v:stroke weight="0.5pt" color="#000000" joinstyle="round"/>
                  <v:imagedata o:title=""/>
                  <o:lock v:ext="edit" aspectratio="f"/>
                  <v:textbox>
                    <w:txbxContent>
                      <w:p>
                        <w:r>
                          <w:rPr>
                            <w:rFonts w:hint="eastAsia"/>
                          </w:rPr>
                          <w:t>事故联络组</w:t>
                        </w:r>
                      </w:p>
                    </w:txbxContent>
                  </v:textbox>
                </v:shape>
                <v:shape id="文本框 965" o:spid="_x0000_s1026" o:spt="202" type="#_x0000_t202" style="position:absolute;left:1437300;top:1538900;height:1337650;width:388620;" fillcolor="#FFFFFF [3201]" filled="t" stroked="t" coordsize="21600,21600" o:gfxdata="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77TT1QAAAAgBAAAPAAAA&#10;AAAAAAEAIAAAACIAAABkcnMvZG93bnJldi54bWxQSwECFAAUAAAACACHTuJA+g07E1ECAACYBAAA&#10;DgAAAAAAAAABACAAAAAkAQAAZHJzL2Uyb0RvYy54bWxQSwUGAAAAAAYABgBZAQAA5wUAAAAA&#10;">
                  <v:fill on="t" focussize="0,0"/>
                  <v:stroke weight="0.5pt" color="#000000" joinstyle="round"/>
                  <v:imagedata o:title=""/>
                  <o:lock v:ext="edit" aspectratio="f"/>
                  <v:textbox>
                    <w:txbxContent>
                      <w:p>
                        <w:pPr>
                          <w:rPr>
                            <w:rFonts w:hAnsi="微软雅黑"/>
                          </w:rPr>
                        </w:pPr>
                        <w:r>
                          <w:rPr>
                            <w:rFonts w:hint="eastAsia" w:hAnsi="微软雅黑"/>
                          </w:rPr>
                          <w:t>现场救援组</w:t>
                        </w:r>
                      </w:p>
                    </w:txbxContent>
                  </v:textbox>
                </v:shape>
                <v:shape id="文本框 965" o:spid="_x0000_s1026" o:spt="202" type="#_x0000_t202" style="position:absolute;left:2408850;top:1555750;height:1348400;width:388620;" fillcolor="#FFFFFF [3201]" filled="t" stroked="t" coordsize="21600,21600" o:gfxdata="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Y77TT1QAAAAgBAAAP&#10;AAAAAAAAAAEAIAAAACIAAABkcnMvZG93bnJldi54bWxQSwECFAAUAAAACACHTuJAxjR3mlQCAACY&#10;BAAADgAAAAAAAAABACAAAAAkAQAAZHJzL2Uyb0RvYy54bWxQSwUGAAAAAAYABgBZAQAA6gUAAAAA&#10;">
                  <v:fill on="t" focussize="0,0"/>
                  <v:stroke weight="0.5pt" color="#000000" joinstyle="round"/>
                  <v:imagedata o:title=""/>
                  <o:lock v:ext="edit" aspectratio="f"/>
                  <v:textbox>
                    <w:txbxContent>
                      <w:p>
                        <w:pPr>
                          <w:rPr>
                            <w:rFonts w:hAnsi="微软雅黑"/>
                          </w:rPr>
                        </w:pPr>
                        <w:r>
                          <w:rPr>
                            <w:rFonts w:hint="eastAsia" w:hAnsi="微软雅黑"/>
                          </w:rPr>
                          <w:t>技术支持组</w:t>
                        </w:r>
                      </w:p>
                    </w:txbxContent>
                  </v:textbox>
                </v:shape>
                <v:shape id="文本框 965" o:spid="_x0000_s1026" o:spt="202" type="#_x0000_t202" style="position:absolute;left:3441360;top:1574800;height:1309370;width:388620;" fillcolor="#FFFFFF [3201]" filled="t" stroked="t" coordsize="21600,21600" o:gfxdata="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Y77TT1QAAAAgBAAAP&#10;AAAAAAAAAAEAIAAAACIAAABkcnMvZG93bnJldi54bWxQSwECFAAUAAAACACHTuJA0cYJi1QCAACY&#10;BAAADgAAAAAAAAABACAAAAAkAQAAZHJzL2Uyb0RvYy54bWxQSwUGAAAAAAYABgBZAQAA6gUAAAAA&#10;">
                  <v:fill on="t" focussize="0,0"/>
                  <v:stroke weight="0.5pt" color="#000000" joinstyle="round"/>
                  <v:imagedata o:title=""/>
                  <o:lock v:ext="edit" aspectratio="f"/>
                  <v:textbox>
                    <w:txbxContent>
                      <w:p>
                        <w:pPr>
                          <w:rPr>
                            <w:rFonts w:hAnsi="微软雅黑"/>
                          </w:rPr>
                        </w:pPr>
                        <w:r>
                          <w:rPr>
                            <w:rFonts w:hint="eastAsia" w:hAnsi="微软雅黑"/>
                          </w:rPr>
                          <w:t>交通组</w:t>
                        </w:r>
                      </w:p>
                    </w:txbxContent>
                  </v:textbox>
                </v:shape>
                <v:shape id="文本框 965" o:spid="_x0000_s1026" o:spt="202" type="#_x0000_t202" style="position:absolute;left:4546260;top:1587500;height:1296670;width:388620;" fillcolor="#FFFFFF [3201]" filled="t" stroked="t" coordsize="21600,21600" o:gfxdata="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Y77TT1QAAAAgB&#10;AAAPAAAAAAAAAAEAIAAAACIAAABkcnMvZG93bnJldi54bWxQSwECFAAUAAAACACHTuJAOCpfy1cC&#10;AACYBAAADgAAAAAAAAABACAAAAAkAQAAZHJzL2Uyb0RvYy54bWxQSwUGAAAAAAYABgBZAQAA7QUA&#10;AAAA&#10;">
                  <v:fill on="t" focussize="0,0"/>
                  <v:stroke weight="0.5pt" color="#000000" joinstyle="round"/>
                  <v:imagedata o:title=""/>
                  <o:lock v:ext="edit" aspectratio="f"/>
                  <v:textbox>
                    <w:txbxContent>
                      <w:p>
                        <w:pPr>
                          <w:rPr>
                            <w:rFonts w:hAnsi="微软雅黑"/>
                          </w:rPr>
                        </w:pPr>
                        <w:r>
                          <w:rPr>
                            <w:rFonts w:hint="eastAsia" w:hAnsi="微软雅黑"/>
                          </w:rPr>
                          <w:t>医疗组</w:t>
                        </w:r>
                      </w:p>
                    </w:txbxContent>
                  </v:textbox>
                </v:shape>
                <v:shape id="_x0000_s1026" o:spid="_x0000_s1026" o:spt="202" type="#_x0000_t202" style="position:absolute;left:1654810;top:124460;height:345440;width:1965960;" fillcolor="#FFFFFF [3201]" filled="t" stroked="t" coordsize="21600,21600" o:gfxdata="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O+009UAAAAIAQAADwAAAAAAAAABACAAAAAiAAAAZHJzL2Rvd25yZXYueG1sUEsBAhQAFAAA&#10;AAgAh07iQLUJnCJkAgAAyAQAAA4AAAAAAAAAAQAgAAAAJAEAAGRycy9lMm9Eb2MueG1sUEsFBgAA&#10;AAAGAAYAWQEAAPoFAAAAAA==&#10;">
                  <v:fill on="t" focussize="0,0"/>
                  <v:stroke weight="0.5pt" color="#000000" joinstyle="round"/>
                  <v:imagedata o:title=""/>
                  <o:lock v:ext="edit" aspectratio="f"/>
                  <v:textbox>
                    <w:txbxContent>
                      <w:p>
                        <w:pPr>
                          <w:jc w:val="center"/>
                        </w:pPr>
                        <w:r>
                          <w:rPr>
                            <w:rFonts w:hint="eastAsia" w:ascii="宋体" w:hAnsi="宋体" w:cs="宋体"/>
                            <w:szCs w:val="28"/>
                          </w:rPr>
                          <w:t>公司应急救援指挥部</w:t>
                        </w:r>
                      </w:p>
                    </w:txbxContent>
                  </v:textbox>
                </v:shape>
                <v:shape id="_x0000_s1026" o:spid="_x0000_s1026" o:spt="32" type="#_x0000_t32" style="position:absolute;left:3223555;top:7554255;height:448310;width:0;" filled="f" stroked="t" coordsize="21600,21600" o:gfxdata="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lmgfZAAAACAEAAA8AAAAAAAAAAQAgAAAAIgAAAGRycy9kb3ducmV2LnhtbFBLAQIUABQA&#10;AAAIAIdO4kCRJzHcKAIAABQEAAAOAAAAAAAAAAEAIAAAACgBAABkcnMvZTJvRG9jLnhtbFBLBQYA&#10;AAAABgAGAFkBAADCBQAAAAA=&#10;">
                  <v:fill on="f" focussize="0,0"/>
                  <v:stroke color="#4A7EBB [3204]" joinstyle="round" endarrow="block"/>
                  <v:imagedata o:title=""/>
                  <o:lock v:ext="edit" aspectratio="f"/>
                </v:shape>
                <v:shape id="_x0000_s1026" o:spid="_x0000_s1026" o:spt="32" type="#_x0000_t32" style="position:absolute;left:3375955;top:7706655;height:448310;width:0;" filled="f" stroked="t" coordsize="21600,21600" o:gfxdata="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OWaB9kAAAAIAQAADwAAAAAAAAABACAAAAAiAAAAZHJzL2Rvd25yZXYueG1sUEsBAhQAFAAA&#10;AAgAh07iQPpeQK0nAgAAFAQAAA4AAAAAAAAAAQAgAAAAKAEAAGRycy9lMm9Eb2MueG1sUEsFBgAA&#10;AAAGAAYAWQEAAMEFAAAAAA==&#10;">
                  <v:fill on="f" focussize="0,0"/>
                  <v:stroke color="#4A7EBB [3204]" joinstyle="round" endarrow="block"/>
                  <v:imagedata o:title=""/>
                  <o:lock v:ext="edit" aspectratio="f"/>
                </v:shape>
                <v:shape id="_x0000_s1026" o:spid="_x0000_s1026" o:spt="32" type="#_x0000_t32" style="position:absolute;left:3090205;top:7605055;height:448310;width:0;" filled="f" stroked="t" coordsize="21600,21600" o:gfxdata="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jlmgfZAAAACAEAAA8AAAAAAAAAAQAgAAAAIgAAAGRycy9kb3ducmV2LnhtbFBLAQIU&#10;ABQAAAAIAIdO4kBGX3+4KwIAABQEAAAOAAAAAAAAAAEAIAAAACgBAABkcnMvZTJvRG9jLnhtbFBL&#10;BQYAAAAABgAGAFkBAADFBQAAAAA=&#10;">
                  <v:fill on="f" focussize="0,0"/>
                  <v:stroke color="#4A7EBB [3204]" joinstyle="round" endarrow="block"/>
                  <v:imagedata o:title=""/>
                  <o:lock v:ext="edit" aspectratio="f"/>
                </v:shape>
                <v:line id="_x0000_s1026" o:spid="_x0000_s1026" o:spt="20" style="position:absolute;left:654050;top:1117600;height:12700;width:4102100;" filled="f" stroked="t" coordsize="21600,21600" o:gfxdata="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WxF9NYAAAAIAQAADwAAAAAAAAABACAAAAAiAAAAZHJzL2Rvd25y&#10;ZXYueG1sUEsBAhQAFAAAAAgAh07iQJvckCsAAgAA6AMAAA4AAAAAAAAAAQAgAAAAJQEAAGRycy9l&#10;Mm9Eb2MueG1sUEsFBgAAAAAGAAYAWQEAAJcFAAAAAA==&#10;">
                  <v:fill on="f" focussize="0,0"/>
                  <v:stroke color="#000000 [3200]" joinstyle="round"/>
                  <v:imagedata o:title=""/>
                  <o:lock v:ext="edit" aspectratio="f"/>
                </v:line>
                <v:line id="_x0000_s1026" o:spid="_x0000_s1026" o:spt="20" style="position:absolute;left:2603160;top:965200;height:590550;width:0;" filled="f" stroked="t" coordsize="21600,21600" o:gfxdata="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WxF9NYAAAAIAQAADwAAAAAAAAABACAAAAAiAAAAZHJzL2Rvd25yZXYu&#10;eG1sUEsBAhQAFAAAAAgAh07iQBwHNDr9AQAA4wMAAA4AAAAAAAAAAQAgAAAAJQEAAGRycy9lMm9E&#10;b2MueG1sUEsFBgAAAAAGAAYAWQEAAJQFAAAAAA==&#10;">
                  <v:fill on="f" focussize="0,0"/>
                  <v:stroke color="#000000 [3200]" joinstyle="round"/>
                  <v:imagedata o:title=""/>
                  <o:lock v:ext="edit" aspectratio="f"/>
                </v:line>
                <v:line id="_x0000_s1026" o:spid="_x0000_s1026" o:spt="20" style="position:absolute;left:1631610;top:1111250;height:427650;width:0;" filled="f" stroked="t" coordsize="21600,21600" o:gfxdata="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WxF9NYAAAAIAQAADwAAAAAAAAABACAAAAAiAAAAZHJzL2Rvd25yZXYueG1s&#10;UEsBAhQAFAAAAAgAh07iQKUjNwr6AQAA5AMAAA4AAAAAAAAAAQAgAAAAJQEAAGRycy9lMm9Eb2Mu&#10;eG1sUEsFBgAAAAAGAAYAWQEAAJEFAAAAAA==&#10;">
                  <v:fill on="f" focussize="0,0"/>
                  <v:stroke color="#000000 [3200]" joinstyle="round"/>
                  <v:imagedata o:title=""/>
                  <o:lock v:ext="edit" aspectratio="f"/>
                </v:line>
                <v:line id="_x0000_s1026" o:spid="_x0000_s1026" o:spt="20" style="position:absolute;left:653627;top:1117600;flip:x;height:427650;width:8890;" filled="f" stroked="t" coordsize="21600,21600" o:gfxdata="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xn85NYAAAAIAQAADwAAAAAAAAABACAAAAAiAAAA&#10;ZHJzL2Rvd25yZXYueG1sUEsBAhQAFAAAAAgAh07iQJlHHjoJAgAA8AMAAA4AAAAAAAAAAQAgAAAA&#10;JQEAAGRycy9lMm9Eb2MueG1sUEsFBgAAAAAGAAYAWQEAAKAFAAAAAA==&#10;">
                  <v:fill on="f" focussize="0,0"/>
                  <v:stroke color="#000000 [3200]" joinstyle="round"/>
                  <v:imagedata o:title=""/>
                  <o:lock v:ext="edit" aspectratio="f"/>
                </v:line>
                <v:line id="_x0000_s1026" o:spid="_x0000_s1026" o:spt="20" style="position:absolute;left:3635670;top:1123950;height:450850;width:0;" filled="f" stroked="t" coordsize="21600,21600" o:gfxdata="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sRfTWAAAACAEAAA8AAAAAAAAAAQAgAAAAIgAAAGRycy9kb3ducmV2&#10;LnhtbFBLAQIUABQAAAAIAIdO4kBnPj+H/gEAAOQDAAAOAAAAAAAAAAEAIAAAACUBAABkcnMvZTJv&#10;RG9jLnhtbFBLBQYAAAAABgAGAFkBAACVBQAAAAA=&#10;">
                  <v:fill on="f" focussize="0,0"/>
                  <v:stroke color="#000000 [3200]" joinstyle="round"/>
                  <v:imagedata o:title=""/>
                  <o:lock v:ext="edit" aspectratio="f"/>
                </v:line>
                <v:line id="_x0000_s1026" o:spid="_x0000_s1026" o:spt="20" style="position:absolute;left:4740570;top:1130300;flip:x;height:457200;width:9230;" filled="f" stroked="t" coordsize="21600,21600" o:gfxdata="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sZ/OTWAAAACAEAAA8AAAAAAAAAAQAgAAAAIgAAAGRy&#10;cy9kb3ducmV2LnhtbFBLAQIUABQAAAAIAIdO4kCE1MYhBwIAAPEDAAAOAAAAAAAAAAEAIAAAACUB&#10;AABkcnMvZTJvRG9jLnhtbFBLBQYAAAAABgAGAFkBAACeBQAAAAA=&#10;">
                  <v:fill on="f" focussize="0,0"/>
                  <v:stroke color="#000000 [3200]" joinstyle="round"/>
                  <v:imagedata o:title=""/>
                  <o:lock v:ext="edit" aspectratio="f"/>
                </v:line>
                <v:shape id="文本框 967" o:spid="_x0000_s1026" o:spt="202" type="#_x0000_t202" style="position:absolute;left:1625260;top:647700;height:311150;width:1965960;" fillcolor="#FFFFFF [3201]" filled="t" stroked="t" coordsize="21600,21600" o:gfxdata="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O+009UAAAAIAQAADwAA&#10;AAAAAAABACAAAAAiAAAAZHJzL2Rvd25yZXYueG1sUEsBAhQAFAAAAAgAh07iQCUt6bhSAgAAlwQA&#10;AA4AAAAAAAAAAQAgAAAAJAEAAGRycy9lMm9Eb2MueG1sUEsFBgAAAAAGAAYAWQEAAOgFAAAAAA==&#10;">
                  <v:fill on="t" focussize="0,0"/>
                  <v:stroke weight="0.5pt" color="#000000" joinstyle="round"/>
                  <v:imagedata o:title=""/>
                  <o:lock v:ext="edit" aspectratio="f"/>
                  <v:textbox>
                    <w:txbxContent>
                      <w:p>
                        <w:pPr>
                          <w:jc w:val="center"/>
                          <w:rPr>
                            <w:rFonts w:asciiTheme="minorEastAsia" w:hAnsiTheme="minorEastAsia" w:eastAsiaTheme="minorEastAsia"/>
                            <w:szCs w:val="28"/>
                          </w:rPr>
                        </w:pPr>
                        <w:r>
                          <w:rPr>
                            <w:rFonts w:hint="eastAsia" w:asciiTheme="minorEastAsia" w:hAnsiTheme="minorEastAsia" w:eastAsiaTheme="minorEastAsia"/>
                            <w:szCs w:val="28"/>
                          </w:rPr>
                          <w:t>现场指挥部</w:t>
                        </w:r>
                      </w:p>
                    </w:txbxContent>
                  </v:textbox>
                </v:shape>
                <v:line id="_x0000_s1026" o:spid="_x0000_s1026" o:spt="20" style="position:absolute;left:4065565;top:7844450;height:590550;width:0;" filled="f" stroked="t" coordsize="21600,21600" o:gfxdata="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bEX01gAAAAgBAAAPAAAAAAAAAAEAIAAAACIAAABkcnMvZG93bnJl&#10;di54bWxQSwECFAAUAAAACACHTuJAnxNf6P8BAADkAwAADgAAAAAAAAABACAAAAAlAQAAZHJzL2Uy&#10;b0RvYy54bWxQSwUGAAAAAAYABgBZAQAAlgUAAAAA&#10;">
                  <v:fill on="f" focussize="0,0"/>
                  <v:stroke color="#000000 [3200]" joinstyle="round"/>
                  <v:imagedata o:title=""/>
                  <o:lock v:ext="edit" aspectratio="f"/>
                </v:line>
                <v:line id="_x0000_s1026" o:spid="_x0000_s1026" o:spt="20" style="position:absolute;left:5098075;top:8003200;height:450850;width:0;" filled="f" stroked="t" coordsize="21600,21600" o:gfxdata="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WxF9NYAAAAIAQAADwAAAAAAAAABACAAAAAiAAAAZHJzL2Rvd25y&#10;ZXYueG1sUEsBAhQAFAAAAAgAh07iQBAoGK0AAgAA5AMAAA4AAAAAAAAAAQAgAAAAJQEAAGRycy9l&#10;Mm9Eb2MueG1sUEsFBgAAAAAGAAYAWQEAAJcFAAAAAA==&#10;">
                  <v:fill on="f" focussize="0,0"/>
                  <v:stroke color="#000000 [3200]" joinstyle="round"/>
                  <v:imagedata o:title=""/>
                  <o:lock v:ext="edit" aspectratio="f"/>
                </v:line>
                <v:line id="_x0000_s1026" o:spid="_x0000_s1026" o:spt="20" style="position:absolute;left:5250475;top:8155600;height:450850;width:0;" filled="f" stroked="t" coordsize="21600,21600" o:gfxdata="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bEX01gAAAAgBAAAPAAAAAAAAAAEAIAAAACIAAABkcnMvZG93bnJl&#10;di54bWxQSwECFAAUAAAACACHTuJAwUwY0v8BAADkAwAADgAAAAAAAAABACAAAAAlAQAAZHJzL2Uy&#10;b0RvYy54bWxQSwUGAAAAAAYABgBZAQAAlgUAAAAA&#10;">
                  <v:fill on="f" focussize="0,0"/>
                  <v:stroke color="#000000 [3200]" joinstyle="round"/>
                  <v:imagedata o:title=""/>
                  <o:lock v:ext="edit" aspectratio="f"/>
                </v:line>
                <v:line id="_x0000_s1026" o:spid="_x0000_s1026" o:spt="20" style="position:absolute;left:2608240;top:476250;height:171450;width:0;" filled="f" stroked="t" coordsize="21600,21600" o:gfxdata="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sRfTWAAAACAEAAA8AAAAAAAAAAQAgAAAAIgAAAGRycy9kb3ducmV2&#10;LnhtbFBLAQIUABQAAAAIAIdO4kBWGFeB/gEAAOMDAAAOAAAAAAAAAAEAIAAAACUBAABkcnMvZTJv&#10;RG9jLnhtbFBLBQYAAAAABgAGAFkBAACVBQAAAAA=&#10;">
                  <v:fill on="f" focussize="0,0"/>
                  <v:stroke color="#000000 [3200]" joinstyle="round"/>
                  <v:imagedata o:title=""/>
                  <o:lock v:ext="edit" aspectratio="f"/>
                </v:line>
                <v:shape id="文本框 967" o:spid="_x0000_s1026" o:spt="202" type="#_x0000_t202" style="position:absolute;left:3782354;top:124460;height:343875;width:1359535;" fillcolor="#FFFFFF [3201]" filled="t" stroked="t" coordsize="21600,21600" o:gfxdata="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O+009UAAAAIAQAA&#10;DwAAAAAAAAABACAAAAAiAAAAZHJzL2Rvd25yZXYueG1sUEsBAhQAFAAAAAgAh07iQNSw1VFVAgAA&#10;lwQAAA4AAAAAAAAAAQAgAAAAJAEAAGRycy9lMm9Eb2MueG1sUEsFBgAAAAAGAAYAWQEAAOsFAAAA&#10;AA==&#10;">
                  <v:fill on="t" focussize="0,0"/>
                  <v:stroke weight="0.5pt" color="#000000" joinstyle="round"/>
                  <v:imagedata o:title=""/>
                  <o:lock v:ext="edit" aspectratio="f"/>
                  <v:textbox>
                    <w:txbxContent>
                      <w:p>
                        <w:pPr>
                          <w:jc w:val="center"/>
                          <w:rPr>
                            <w:rFonts w:asciiTheme="minorEastAsia" w:hAnsiTheme="minorEastAsia" w:eastAsiaTheme="minorEastAsia"/>
                            <w:szCs w:val="28"/>
                          </w:rPr>
                        </w:pPr>
                        <w:r>
                          <w:rPr>
                            <w:rFonts w:hint="eastAsia" w:asciiTheme="minorEastAsia" w:hAnsiTheme="minorEastAsia" w:eastAsiaTheme="minorEastAsia"/>
                            <w:szCs w:val="28"/>
                          </w:rPr>
                          <w:t>指挥部办公室</w:t>
                        </w:r>
                      </w:p>
                    </w:txbxContent>
                  </v:textbox>
                </v:shape>
                <v:line id="_x0000_s1026" o:spid="_x0000_s1026" o:spt="20" style="position:absolute;left:3612243;top:294821;height:1577;width:170111;" filled="f" stroked="t" coordsize="21600,21600" o:gfxdata="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bEX01gAAAAgBAAAPAAAAAAAAAAEAIAAAACIAAABkcnMvZG93&#10;bnJldi54bWxQSwECFAAUAAAACACHTuJAHV2Z9AICAADmAwAADgAAAAAAAAABACAAAAAlAQAAZHJz&#10;L2Uyb0RvYy54bWxQSwUGAAAAAAYABgBZAQAAmQUAAAAA&#10;">
                  <v:fill on="f" focussize="0,0"/>
                  <v:stroke color="#000000 [3200]" joinstyle="round"/>
                  <v:imagedata o:title=""/>
                  <o:lock v:ext="edit" aspectratio="f"/>
                </v:line>
              </v:group>
            </w:pict>
          </mc:Fallback>
        </mc:AlternateContent>
      </w:r>
      <w:r>
        <w:rPr>
          <w:b/>
          <w:bCs/>
        </w:rPr>
        <w:t xml:space="preserve"> </w:t>
      </w:r>
    </w:p>
    <w:p>
      <w:pPr>
        <w:pStyle w:val="19"/>
        <w:ind w:firstLine="420"/>
      </w:pPr>
    </w:p>
    <w:p>
      <w:pPr>
        <w:pStyle w:val="19"/>
        <w:ind w:firstLine="420"/>
      </w:pPr>
    </w:p>
    <w:p>
      <w:pPr>
        <w:pStyle w:val="19"/>
        <w:ind w:firstLine="420"/>
      </w:pPr>
    </w:p>
    <w:p>
      <w:pPr>
        <w:pStyle w:val="19"/>
        <w:ind w:firstLine="420"/>
      </w:pPr>
    </w:p>
    <w:p>
      <w:pPr>
        <w:pStyle w:val="19"/>
        <w:ind w:firstLine="420"/>
      </w:pPr>
    </w:p>
    <w:p>
      <w:pPr>
        <w:pStyle w:val="19"/>
        <w:ind w:firstLine="420"/>
      </w:pPr>
    </w:p>
    <w:p>
      <w:pPr>
        <w:pStyle w:val="19"/>
        <w:ind w:firstLine="420"/>
      </w:pPr>
    </w:p>
    <w:p>
      <w:pPr>
        <w:pStyle w:val="19"/>
        <w:ind w:firstLine="420"/>
      </w:pPr>
    </w:p>
    <w:p>
      <w:pPr>
        <w:pStyle w:val="90"/>
        <w:tabs>
          <w:tab w:val="left" w:pos="0"/>
        </w:tabs>
        <w:spacing w:line="560" w:lineRule="exact"/>
        <w:ind w:firstLine="560"/>
        <w:rPr>
          <w:rFonts w:ascii="宋体" w:hAnsi="宋体" w:cs="宋体"/>
          <w:sz w:val="28"/>
          <w:szCs w:val="28"/>
        </w:rPr>
      </w:pPr>
    </w:p>
    <w:p>
      <w:pPr>
        <w:pStyle w:val="90"/>
        <w:tabs>
          <w:tab w:val="left" w:pos="0"/>
        </w:tabs>
        <w:spacing w:line="560" w:lineRule="exact"/>
        <w:ind w:firstLine="560"/>
        <w:rPr>
          <w:rFonts w:ascii="宋体" w:hAnsi="宋体" w:cs="宋体"/>
          <w:sz w:val="28"/>
          <w:szCs w:val="28"/>
        </w:rPr>
      </w:pPr>
    </w:p>
    <w:p>
      <w:pPr>
        <w:pStyle w:val="90"/>
        <w:tabs>
          <w:tab w:val="left" w:pos="0"/>
        </w:tabs>
        <w:spacing w:line="560" w:lineRule="exact"/>
        <w:ind w:firstLine="560"/>
        <w:rPr>
          <w:rFonts w:ascii="宋体" w:hAnsi="宋体" w:cs="宋体"/>
          <w:sz w:val="28"/>
          <w:szCs w:val="28"/>
        </w:rPr>
      </w:pPr>
      <w:bookmarkStart w:id="435" w:name="_Hlk105513184"/>
      <w:r>
        <w:rPr>
          <w:rFonts w:ascii="宋体" w:hAnsi="宋体" w:cs="宋体"/>
          <w:sz w:val="28"/>
          <w:szCs w:val="28"/>
        </w:rPr>
        <w:t>1.4.2</w:t>
      </w:r>
      <w:bookmarkEnd w:id="435"/>
      <w:r>
        <w:rPr>
          <w:rFonts w:hint="eastAsia" w:ascii="宋体" w:hAnsi="宋体" w:cs="宋体"/>
          <w:sz w:val="28"/>
          <w:szCs w:val="28"/>
        </w:rPr>
        <w:t>指挥机构及职责</w:t>
      </w:r>
    </w:p>
    <w:p>
      <w:pPr>
        <w:spacing w:after="0" w:line="560" w:lineRule="exact"/>
        <w:ind w:firstLine="560" w:firstLineChars="200"/>
        <w:rPr>
          <w:rFonts w:ascii="宋体" w:hAnsi="宋体" w:cs="宋体"/>
          <w:szCs w:val="28"/>
        </w:rPr>
      </w:pPr>
      <w:r>
        <w:rPr>
          <w:rFonts w:ascii="宋体" w:hAnsi="宋体" w:cs="宋体"/>
          <w:szCs w:val="28"/>
        </w:rPr>
        <w:t>1.4.2</w:t>
      </w:r>
      <w:r>
        <w:rPr>
          <w:rFonts w:hint="eastAsia" w:ascii="宋体" w:hAnsi="宋体" w:cs="宋体"/>
          <w:szCs w:val="28"/>
        </w:rPr>
        <w:t>.1应急救援指挥部</w:t>
      </w:r>
    </w:p>
    <w:p>
      <w:pPr>
        <w:spacing w:after="0" w:line="560" w:lineRule="exact"/>
        <w:ind w:firstLine="560" w:firstLineChars="200"/>
        <w:rPr>
          <w:rFonts w:ascii="宋体" w:hAnsi="宋体" w:cs="宋体"/>
          <w:szCs w:val="28"/>
        </w:rPr>
      </w:pPr>
      <w:r>
        <w:rPr>
          <w:rFonts w:hint="eastAsia" w:ascii="宋体" w:hAnsi="宋体" w:cs="宋体"/>
          <w:szCs w:val="28"/>
        </w:rPr>
        <w:t>指挥部成员由指挥长、副指挥长、领导成员组成。</w:t>
      </w:r>
    </w:p>
    <w:p>
      <w:pPr>
        <w:spacing w:after="0" w:line="560" w:lineRule="exact"/>
        <w:ind w:firstLine="560" w:firstLineChars="200"/>
        <w:rPr>
          <w:rFonts w:ascii="宋体" w:hAnsi="宋体" w:cs="宋体"/>
          <w:szCs w:val="28"/>
        </w:rPr>
      </w:pPr>
      <w:r>
        <w:rPr>
          <w:rFonts w:hint="eastAsia" w:ascii="宋体" w:hAnsi="宋体" w:cs="宋体"/>
          <w:szCs w:val="28"/>
        </w:rPr>
        <w:t>指挥长：公司经理</w:t>
      </w:r>
    </w:p>
    <w:p>
      <w:pPr>
        <w:spacing w:after="0" w:line="560" w:lineRule="exact"/>
        <w:ind w:firstLine="560" w:firstLineChars="200"/>
        <w:rPr>
          <w:rFonts w:ascii="宋体" w:hAnsi="宋体" w:cs="宋体"/>
          <w:szCs w:val="28"/>
        </w:rPr>
      </w:pPr>
      <w:r>
        <w:rPr>
          <w:rFonts w:hint="eastAsia" w:ascii="宋体" w:hAnsi="宋体" w:cs="宋体"/>
          <w:szCs w:val="28"/>
        </w:rPr>
        <w:t>副指挥长：分管安全的副经理。</w:t>
      </w:r>
    </w:p>
    <w:p>
      <w:pPr>
        <w:spacing w:after="0" w:line="560" w:lineRule="exact"/>
        <w:ind w:firstLine="560" w:firstLineChars="200"/>
        <w:rPr>
          <w:rFonts w:ascii="宋体" w:hAnsi="宋体" w:cs="宋体"/>
          <w:szCs w:val="28"/>
        </w:rPr>
      </w:pPr>
      <w:r>
        <w:rPr>
          <w:rFonts w:hint="eastAsia" w:ascii="宋体" w:hAnsi="宋体" w:cs="宋体"/>
          <w:szCs w:val="28"/>
        </w:rPr>
        <w:t>领导成员：黄光伟、谢仕强、鲜红梅、安全科、生产技术科、维修抢险队、后勤科等部门负责人常任公司指挥部领导成员，据事故级别确定是否临时增加财务科等相关负责人。</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指挥部办公室设在安全科，负有调度职责的部门、行政办参与，由安全科负责人兼任办公室主任。</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主</w:t>
      </w:r>
      <w:r>
        <w:rPr>
          <w:rFonts w:ascii="宋体" w:hAnsi="宋体"/>
          <w:i w:val="0"/>
          <w:sz w:val="28"/>
          <w:szCs w:val="28"/>
        </w:rPr>
        <w:t xml:space="preserve">  </w:t>
      </w:r>
      <w:r>
        <w:rPr>
          <w:rFonts w:hint="eastAsia" w:ascii="宋体" w:hAnsi="宋体"/>
          <w:i w:val="0"/>
          <w:sz w:val="28"/>
          <w:szCs w:val="28"/>
        </w:rPr>
        <w:t>任：王 亚</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副主任：赵 超</w:t>
      </w:r>
    </w:p>
    <w:p>
      <w:pPr>
        <w:spacing w:after="0" w:line="560" w:lineRule="exact"/>
        <w:ind w:firstLine="560" w:firstLineChars="200"/>
        <w:rPr>
          <w:rFonts w:ascii="宋体" w:hAnsi="宋体"/>
          <w:szCs w:val="28"/>
        </w:rPr>
      </w:pPr>
      <w:r>
        <w:rPr>
          <w:rFonts w:hint="eastAsia" w:ascii="宋体" w:hAnsi="宋体"/>
          <w:szCs w:val="28"/>
        </w:rPr>
        <w:t>成  员：王 荣、罗 钊、李建明、李柯薇、郑宇卓、邓代举、何建辉、廖青林、唐晓飞</w:t>
      </w:r>
    </w:p>
    <w:p>
      <w:pPr>
        <w:spacing w:after="0" w:line="560" w:lineRule="exact"/>
        <w:ind w:firstLine="560" w:firstLineChars="200"/>
        <w:rPr>
          <w:rFonts w:ascii="宋体" w:hAnsi="宋体" w:cs="宋体"/>
          <w:szCs w:val="28"/>
        </w:rPr>
      </w:pPr>
      <w:r>
        <w:rPr>
          <w:rFonts w:hint="eastAsia" w:ascii="宋体" w:hAnsi="宋体" w:cs="宋体"/>
          <w:szCs w:val="28"/>
        </w:rPr>
        <w:t>当上述人员因故不能到场时，由其职位的副职人员按职务高低及排序情况从上到下依次替代，或指挥长指定人员进入指挥部行使临时权力。</w:t>
      </w:r>
    </w:p>
    <w:p>
      <w:pPr>
        <w:pStyle w:val="19"/>
        <w:spacing w:after="0" w:line="560" w:lineRule="exact"/>
        <w:ind w:firstLine="560" w:firstLineChars="200"/>
        <w:rPr>
          <w:rFonts w:ascii="宋体" w:hAnsi="宋体"/>
          <w:i w:val="0"/>
          <w:kern w:val="2"/>
          <w:sz w:val="28"/>
          <w:szCs w:val="28"/>
        </w:rPr>
      </w:pPr>
      <w:r>
        <w:rPr>
          <w:rFonts w:ascii="宋体" w:hAnsi="宋体"/>
          <w:i w:val="0"/>
          <w:kern w:val="2"/>
          <w:sz w:val="28"/>
          <w:szCs w:val="28"/>
        </w:rPr>
        <w:t>1.4.2.2</w:t>
      </w:r>
      <w:r>
        <w:rPr>
          <w:rFonts w:hint="eastAsia" w:ascii="宋体" w:hAnsi="宋体"/>
          <w:i w:val="0"/>
          <w:kern w:val="2"/>
          <w:sz w:val="28"/>
          <w:szCs w:val="28"/>
        </w:rPr>
        <w:t>职责</w:t>
      </w:r>
    </w:p>
    <w:p>
      <w:pPr>
        <w:spacing w:after="0" w:line="560" w:lineRule="exact"/>
        <w:ind w:firstLine="560" w:firstLineChars="200"/>
        <w:rPr>
          <w:rFonts w:ascii="宋体" w:hAnsi="宋体" w:cs="宋体"/>
          <w:kern w:val="2"/>
          <w:szCs w:val="28"/>
        </w:rPr>
      </w:pPr>
      <w:r>
        <w:rPr>
          <w:rFonts w:hint="eastAsia" w:ascii="宋体" w:hAnsi="宋体" w:cs="宋体"/>
          <w:kern w:val="2"/>
          <w:szCs w:val="28"/>
        </w:rPr>
        <w:t>（1）指挥长职责</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1）分析紧急状态，根据对应级别，发布或同意发布进入应急状态的命令，启动应急指挥系统。</w:t>
      </w:r>
    </w:p>
    <w:p>
      <w:pPr>
        <w:pStyle w:val="90"/>
        <w:tabs>
          <w:tab w:val="left" w:pos="0"/>
        </w:tabs>
        <w:spacing w:line="560" w:lineRule="exact"/>
        <w:ind w:firstLine="560"/>
        <w:rPr>
          <w:rFonts w:ascii="宋体" w:hAnsi="宋体" w:cs="宋体"/>
          <w:sz w:val="28"/>
          <w:szCs w:val="28"/>
        </w:rPr>
      </w:pPr>
      <w:r>
        <w:rPr>
          <w:rFonts w:ascii="宋体" w:hAnsi="宋体" w:cs="宋体"/>
          <w:sz w:val="28"/>
          <w:szCs w:val="28"/>
        </w:rPr>
        <w:t>2</w:t>
      </w:r>
      <w:r>
        <w:rPr>
          <w:rFonts w:hint="eastAsia" w:ascii="宋体" w:hAnsi="宋体" w:cs="宋体"/>
          <w:sz w:val="28"/>
          <w:szCs w:val="28"/>
        </w:rPr>
        <w:t xml:space="preserve">）指挥副指挥长、现场指挥综合协调各组开展各项应急工作，决策现场重大应急行动。 </w:t>
      </w:r>
    </w:p>
    <w:p>
      <w:pPr>
        <w:pStyle w:val="90"/>
        <w:tabs>
          <w:tab w:val="left" w:pos="0"/>
        </w:tabs>
        <w:spacing w:line="560" w:lineRule="exact"/>
        <w:ind w:firstLine="560"/>
        <w:rPr>
          <w:rFonts w:ascii="宋体" w:hAnsi="宋体" w:cs="宋体"/>
          <w:sz w:val="28"/>
          <w:szCs w:val="28"/>
        </w:rPr>
      </w:pPr>
      <w:r>
        <w:rPr>
          <w:rFonts w:ascii="宋体" w:hAnsi="宋体" w:cs="宋体"/>
          <w:sz w:val="28"/>
          <w:szCs w:val="28"/>
        </w:rPr>
        <w:t>3</w:t>
      </w:r>
      <w:r>
        <w:rPr>
          <w:rFonts w:hint="eastAsia" w:ascii="宋体" w:hAnsi="宋体" w:cs="宋体"/>
          <w:sz w:val="28"/>
          <w:szCs w:val="28"/>
        </w:rPr>
        <w:t xml:space="preserve">）坚持“以人为本”原则，最大限度的降低人员伤亡，确保抢险救灾人员的生命安全。 </w:t>
      </w:r>
    </w:p>
    <w:p>
      <w:pPr>
        <w:tabs>
          <w:tab w:val="left" w:pos="0"/>
        </w:tabs>
        <w:spacing w:after="0" w:line="560" w:lineRule="exact"/>
        <w:ind w:firstLine="560" w:firstLineChars="200"/>
        <w:rPr>
          <w:rFonts w:ascii="宋体" w:hAnsi="宋体" w:cs="宋体"/>
          <w:kern w:val="2"/>
          <w:szCs w:val="28"/>
        </w:rPr>
      </w:pPr>
      <w:r>
        <w:rPr>
          <w:rFonts w:ascii="宋体" w:hAnsi="宋体" w:cs="宋体"/>
          <w:kern w:val="2"/>
          <w:szCs w:val="28"/>
        </w:rPr>
        <w:t>4</w:t>
      </w:r>
      <w:r>
        <w:rPr>
          <w:rFonts w:hint="eastAsia" w:ascii="宋体" w:hAnsi="宋体" w:cs="宋体"/>
          <w:kern w:val="2"/>
          <w:szCs w:val="28"/>
        </w:rPr>
        <w:t>）根据对应级别，宣布应急状态的终止。</w:t>
      </w:r>
    </w:p>
    <w:p>
      <w:pPr>
        <w:tabs>
          <w:tab w:val="left" w:pos="0"/>
        </w:tabs>
        <w:spacing w:after="0" w:line="560" w:lineRule="exact"/>
        <w:ind w:firstLine="560" w:firstLineChars="200"/>
        <w:rPr>
          <w:rFonts w:ascii="宋体" w:hAnsi="宋体" w:cs="宋体"/>
          <w:kern w:val="2"/>
          <w:szCs w:val="28"/>
        </w:rPr>
      </w:pPr>
      <w:r>
        <w:rPr>
          <w:rFonts w:ascii="宋体" w:hAnsi="宋体" w:cs="宋体"/>
          <w:kern w:val="2"/>
          <w:szCs w:val="28"/>
        </w:rPr>
        <w:t>5</w:t>
      </w:r>
      <w:r>
        <w:rPr>
          <w:rFonts w:hint="eastAsia" w:ascii="宋体" w:hAnsi="宋体" w:cs="宋体"/>
          <w:kern w:val="2"/>
          <w:szCs w:val="28"/>
        </w:rPr>
        <w:t>）扩大应急情况下，在政府部门领导赶赴现场后立即移交应急救援指挥权，并协助政府部门开展应急救援预工作。</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（2）副指挥长职责</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1)协助指挥长做好事故应急救援工作。</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2)当（指挥长）不在时，行使指挥长职责。</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（3）现场指挥职责</w:t>
      </w:r>
    </w:p>
    <w:p>
      <w:pPr>
        <w:pStyle w:val="90"/>
        <w:tabs>
          <w:tab w:val="left" w:pos="0"/>
        </w:tabs>
        <w:spacing w:line="360" w:lineRule="auto"/>
        <w:ind w:firstLine="560"/>
        <w:rPr>
          <w:rFonts w:ascii="宋体" w:hAnsi="宋体" w:cs="宋体"/>
          <w:sz w:val="28"/>
          <w:szCs w:val="28"/>
        </w:rPr>
      </w:pPr>
      <w:r>
        <w:rPr>
          <w:rFonts w:hint="eastAsia" w:ascii="宋体" w:hAnsi="宋体" w:cs="宋体"/>
          <w:sz w:val="28"/>
          <w:szCs w:val="28"/>
        </w:rPr>
        <w:t>1)</w:t>
      </w:r>
      <w:r>
        <w:rPr>
          <w:rFonts w:ascii="宋体" w:hAnsi="宋体" w:cs="宋体"/>
          <w:sz w:val="28"/>
          <w:szCs w:val="28"/>
        </w:rPr>
        <w:t xml:space="preserve"> </w:t>
      </w:r>
      <w:r>
        <w:rPr>
          <w:rFonts w:hint="eastAsia" w:ascii="宋体" w:hAnsi="宋体" w:cs="宋体"/>
          <w:sz w:val="28"/>
          <w:szCs w:val="28"/>
        </w:rPr>
        <w:t>在指挥长、副指挥长领导下做好事故现场应急救援工作。</w:t>
      </w:r>
    </w:p>
    <w:p>
      <w:pPr>
        <w:pStyle w:val="90"/>
        <w:tabs>
          <w:tab w:val="left" w:pos="0"/>
        </w:tabs>
        <w:spacing w:line="360" w:lineRule="auto"/>
        <w:ind w:firstLine="560"/>
        <w:rPr>
          <w:rFonts w:ascii="宋体" w:hAnsi="宋体" w:cs="宋体"/>
          <w:sz w:val="28"/>
          <w:szCs w:val="28"/>
        </w:rPr>
      </w:pPr>
      <w:r>
        <w:rPr>
          <w:rFonts w:hint="eastAsia" w:ascii="宋体" w:hAnsi="宋体" w:cs="宋体"/>
          <w:sz w:val="28"/>
          <w:szCs w:val="28"/>
        </w:rPr>
        <w:t>2)</w:t>
      </w:r>
      <w:r>
        <w:rPr>
          <w:rFonts w:ascii="宋体" w:hAnsi="宋体" w:cs="宋体"/>
          <w:sz w:val="28"/>
          <w:szCs w:val="28"/>
        </w:rPr>
        <w:t xml:space="preserve"> </w:t>
      </w:r>
      <w:r>
        <w:rPr>
          <w:rFonts w:hint="eastAsia" w:ascii="宋体" w:hAnsi="宋体" w:cs="宋体"/>
          <w:sz w:val="28"/>
          <w:szCs w:val="28"/>
        </w:rPr>
        <w:t>组织现场救援。</w:t>
      </w:r>
    </w:p>
    <w:p>
      <w:pPr>
        <w:pStyle w:val="90"/>
        <w:tabs>
          <w:tab w:val="left" w:pos="0"/>
        </w:tabs>
        <w:spacing w:line="360" w:lineRule="auto"/>
        <w:ind w:firstLine="560"/>
        <w:rPr>
          <w:rFonts w:ascii="宋体" w:hAnsi="宋体" w:cs="宋体"/>
          <w:sz w:val="28"/>
          <w:szCs w:val="28"/>
        </w:rPr>
      </w:pPr>
      <w:r>
        <w:rPr>
          <w:rFonts w:hint="eastAsia" w:ascii="宋体" w:hAnsi="宋体" w:cs="宋体"/>
          <w:sz w:val="28"/>
          <w:szCs w:val="28"/>
        </w:rPr>
        <w:t>3）召开现场工作会，与现场内外部救援力量进行沟通协调。</w:t>
      </w:r>
    </w:p>
    <w:p>
      <w:pPr>
        <w:pStyle w:val="90"/>
        <w:tabs>
          <w:tab w:val="left" w:pos="0"/>
        </w:tabs>
        <w:spacing w:line="360" w:lineRule="auto"/>
        <w:ind w:firstLine="560"/>
        <w:rPr>
          <w:rFonts w:ascii="宋体" w:hAnsi="宋体" w:cs="宋体"/>
          <w:sz w:val="28"/>
          <w:szCs w:val="28"/>
        </w:rPr>
      </w:pPr>
      <w:r>
        <w:rPr>
          <w:rFonts w:ascii="宋体" w:hAnsi="宋体" w:cs="宋体"/>
          <w:sz w:val="28"/>
          <w:szCs w:val="28"/>
        </w:rPr>
        <w:t>3</w:t>
      </w:r>
      <w:r>
        <w:rPr>
          <w:rFonts w:hint="eastAsia" w:ascii="宋体" w:hAnsi="宋体" w:cs="宋体"/>
          <w:sz w:val="28"/>
          <w:szCs w:val="28"/>
        </w:rPr>
        <w:t>）应急终止后，组织现场恢复工作。</w:t>
      </w:r>
    </w:p>
    <w:p>
      <w:pPr>
        <w:spacing w:after="0" w:line="560" w:lineRule="exact"/>
        <w:ind w:firstLine="560" w:firstLineChars="200"/>
        <w:rPr>
          <w:rFonts w:ascii="宋体" w:hAnsi="宋体" w:cs="宋体"/>
          <w:kern w:val="2"/>
          <w:szCs w:val="28"/>
        </w:rPr>
      </w:pPr>
      <w:r>
        <w:rPr>
          <w:rFonts w:hint="eastAsia" w:ascii="宋体" w:hAnsi="宋体" w:cs="宋体"/>
          <w:kern w:val="2"/>
          <w:szCs w:val="28"/>
        </w:rPr>
        <w:t>（</w:t>
      </w:r>
      <w:r>
        <w:rPr>
          <w:rFonts w:ascii="宋体" w:hAnsi="宋体" w:cs="宋体"/>
          <w:kern w:val="2"/>
          <w:szCs w:val="28"/>
        </w:rPr>
        <w:t>4</w:t>
      </w:r>
      <w:r>
        <w:rPr>
          <w:rFonts w:hint="eastAsia" w:ascii="宋体" w:hAnsi="宋体" w:cs="宋体"/>
          <w:kern w:val="2"/>
          <w:szCs w:val="28"/>
        </w:rPr>
        <w:t>）指挥部职责</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1)负责组织本企业“应急救援预案”的制定、修改；组建应急救援专业队伍，组织实施和演练；检查监督好重大事故的预防措施和应急救援的各项准备工作（包括医疗用具、灭火设备、救援人员个人防护用品等）。</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2)分析判断事故、事件或灾情的受影响区域、危害程度，根据级别发布启动预警、响应的指令。</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3)按对应级别启动预警或应急响应，组织、指挥、协调各应急小组进行应急救援行动。</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4) 批准成立现场指挥部，批准现场重大救援方案（或现场预案）。</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5)报告上级机关，与地方政府应急反应组织或机构进行联系，通报事故、事件或灾害情况。</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6)评估事态发展程度，决定升高或降低警报级别、应急救援级别。</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7)根据事态发展，决定请求外部援助。</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8)监察应急操作人员的行动，保证现场抢救和现场外其他人员的安全。</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9)决定救援人员、员工从事故区域撤离，决定请求地方政府组织周边群众从事故受影响区域撤离。</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10)协调物资、设备、医疗、通讯、后勤等方面以支持反应组织。</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11) 按对应级别宣布应急恢复、应急结束。</w:t>
      </w:r>
    </w:p>
    <w:p>
      <w:pPr>
        <w:pStyle w:val="90"/>
        <w:tabs>
          <w:tab w:val="left" w:pos="0"/>
        </w:tabs>
        <w:spacing w:line="560" w:lineRule="exact"/>
        <w:ind w:firstLine="560"/>
        <w:rPr>
          <w:rFonts w:ascii="宋体" w:hAnsi="宋体" w:cs="宋体"/>
          <w:sz w:val="28"/>
          <w:szCs w:val="28"/>
        </w:rPr>
      </w:pPr>
      <w:r>
        <w:rPr>
          <w:rFonts w:hint="eastAsia" w:ascii="宋体" w:hAnsi="宋体" w:cs="宋体"/>
          <w:sz w:val="28"/>
          <w:szCs w:val="28"/>
        </w:rPr>
        <w:t>12)组织本企业各类事故应急救援演练，监督各下属各部门开展事故应急演练。</w:t>
      </w:r>
    </w:p>
    <w:p>
      <w:pPr>
        <w:spacing w:after="0" w:line="560" w:lineRule="exact"/>
        <w:ind w:firstLine="560" w:firstLineChars="200"/>
        <w:rPr>
          <w:rFonts w:ascii="宋体" w:hAnsi="宋体" w:cs="宋体"/>
          <w:szCs w:val="28"/>
        </w:rPr>
      </w:pPr>
      <w:r>
        <w:rPr>
          <w:rFonts w:hint="eastAsia" w:ascii="宋体" w:hAnsi="宋体" w:cs="宋体"/>
          <w:szCs w:val="28"/>
        </w:rPr>
        <w:t>（5）指挥部办公室职责</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1）负责应急指挥部的日常工作。</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2）具体负责应急预案的编制、评审、备案等工作，按规定组织应急演练。</w:t>
      </w:r>
    </w:p>
    <w:p>
      <w:pPr>
        <w:pStyle w:val="19"/>
        <w:spacing w:after="0" w:line="560" w:lineRule="exact"/>
        <w:ind w:firstLine="560" w:firstLineChars="200"/>
        <w:rPr>
          <w:rFonts w:ascii="宋体" w:hAnsi="宋体"/>
          <w:i w:val="0"/>
          <w:sz w:val="28"/>
          <w:szCs w:val="28"/>
        </w:rPr>
      </w:pPr>
      <w:r>
        <w:rPr>
          <w:rFonts w:ascii="宋体" w:hAnsi="宋体"/>
          <w:i w:val="0"/>
          <w:sz w:val="28"/>
          <w:szCs w:val="28"/>
        </w:rPr>
        <w:t>3</w:t>
      </w:r>
      <w:r>
        <w:rPr>
          <w:rFonts w:hint="eastAsia" w:ascii="宋体" w:hAnsi="宋体"/>
          <w:i w:val="0"/>
          <w:sz w:val="28"/>
          <w:szCs w:val="28"/>
        </w:rPr>
        <w:t>）负责指挥部各类文书起草、归档等工作。</w:t>
      </w:r>
    </w:p>
    <w:p>
      <w:pPr>
        <w:pStyle w:val="19"/>
        <w:spacing w:after="0" w:line="560" w:lineRule="exact"/>
        <w:ind w:firstLine="560" w:firstLineChars="200"/>
        <w:rPr>
          <w:rFonts w:ascii="宋体" w:hAnsi="宋体"/>
          <w:i w:val="0"/>
          <w:sz w:val="28"/>
          <w:szCs w:val="28"/>
        </w:rPr>
      </w:pPr>
      <w:r>
        <w:rPr>
          <w:rFonts w:ascii="宋体" w:hAnsi="宋体"/>
          <w:i w:val="0"/>
          <w:sz w:val="28"/>
          <w:szCs w:val="28"/>
        </w:rPr>
        <w:t>4</w:t>
      </w:r>
      <w:r>
        <w:rPr>
          <w:rFonts w:hint="eastAsia" w:ascii="宋体" w:hAnsi="宋体"/>
          <w:i w:val="0"/>
          <w:sz w:val="28"/>
          <w:szCs w:val="28"/>
        </w:rPr>
        <w:t>）牵头开展事故调查。</w:t>
      </w:r>
    </w:p>
    <w:p>
      <w:pPr>
        <w:spacing w:after="0" w:line="560" w:lineRule="exact"/>
        <w:ind w:firstLine="560" w:firstLineChars="200"/>
        <w:rPr>
          <w:rFonts w:ascii="宋体" w:hAnsi="宋体" w:cs="宋体"/>
          <w:szCs w:val="28"/>
        </w:rPr>
      </w:pPr>
      <w:r>
        <w:rPr>
          <w:rFonts w:ascii="宋体" w:hAnsi="宋体" w:cs="宋体"/>
          <w:szCs w:val="28"/>
        </w:rPr>
        <w:t>1.4.2.3</w:t>
      </w:r>
      <w:r>
        <w:rPr>
          <w:rFonts w:hint="eastAsia" w:ascii="宋体" w:hAnsi="宋体" w:cs="宋体"/>
          <w:szCs w:val="28"/>
        </w:rPr>
        <w:t>成员单位（相关部门）职责</w:t>
      </w:r>
    </w:p>
    <w:p>
      <w:pPr>
        <w:spacing w:after="0" w:line="560" w:lineRule="exact"/>
        <w:ind w:firstLine="560" w:firstLineChars="200"/>
        <w:rPr>
          <w:rFonts w:ascii="宋体" w:hAnsi="宋体" w:cs="宋体"/>
          <w:szCs w:val="28"/>
        </w:rPr>
      </w:pPr>
      <w:r>
        <w:rPr>
          <w:rFonts w:hint="eastAsia" w:ascii="宋体" w:hAnsi="宋体" w:cs="宋体"/>
          <w:szCs w:val="28"/>
        </w:rPr>
        <w:t>（1）安全管理科职责</w:t>
      </w:r>
    </w:p>
    <w:p>
      <w:pPr>
        <w:spacing w:after="0" w:line="560" w:lineRule="exact"/>
        <w:ind w:firstLine="560" w:firstLineChars="200"/>
        <w:rPr>
          <w:rFonts w:ascii="宋体" w:hAnsi="宋体" w:cs="宋体"/>
          <w:szCs w:val="28"/>
        </w:rPr>
      </w:pPr>
      <w:r>
        <w:rPr>
          <w:rFonts w:hint="eastAsia" w:ascii="宋体" w:hAnsi="宋体" w:cs="宋体"/>
          <w:szCs w:val="28"/>
        </w:rPr>
        <w:t>1）在公司指挥部的领导下，做好事故应急救援的协调工作，传达指令，落实救援工作，防止事故扩大；</w:t>
      </w:r>
    </w:p>
    <w:p>
      <w:pPr>
        <w:spacing w:after="0" w:line="560" w:lineRule="exact"/>
        <w:ind w:firstLine="560" w:firstLineChars="200"/>
        <w:rPr>
          <w:rFonts w:ascii="宋体" w:hAnsi="宋体" w:cs="宋体"/>
          <w:szCs w:val="28"/>
        </w:rPr>
      </w:pPr>
      <w:r>
        <w:rPr>
          <w:rFonts w:hint="eastAsia" w:ascii="宋体" w:hAnsi="宋体" w:cs="宋体"/>
          <w:szCs w:val="28"/>
        </w:rPr>
        <w:t>2）协助保护事故现场；</w:t>
      </w:r>
    </w:p>
    <w:p>
      <w:pPr>
        <w:spacing w:after="0" w:line="560" w:lineRule="exact"/>
        <w:ind w:firstLine="560" w:firstLineChars="200"/>
        <w:rPr>
          <w:rFonts w:ascii="宋体" w:hAnsi="宋体" w:cs="宋体"/>
          <w:szCs w:val="28"/>
        </w:rPr>
      </w:pPr>
      <w:r>
        <w:rPr>
          <w:rFonts w:hint="eastAsia" w:ascii="宋体" w:hAnsi="宋体" w:cs="宋体"/>
          <w:szCs w:val="28"/>
        </w:rPr>
        <w:t>3）事故后开展事故调查，报告等工作。</w:t>
      </w:r>
    </w:p>
    <w:p>
      <w:pPr>
        <w:spacing w:after="0" w:line="560" w:lineRule="exact"/>
        <w:ind w:firstLine="560" w:firstLineChars="200"/>
        <w:rPr>
          <w:rFonts w:ascii="宋体" w:hAnsi="宋体" w:cs="宋体"/>
          <w:szCs w:val="28"/>
        </w:rPr>
      </w:pPr>
      <w:r>
        <w:rPr>
          <w:rFonts w:hint="eastAsia" w:ascii="宋体" w:hAnsi="宋体" w:cs="宋体"/>
          <w:szCs w:val="28"/>
        </w:rPr>
        <w:t>（</w:t>
      </w:r>
      <w:r>
        <w:rPr>
          <w:rFonts w:ascii="宋体" w:hAnsi="宋体" w:cs="宋体"/>
          <w:szCs w:val="28"/>
        </w:rPr>
        <w:t>2</w:t>
      </w:r>
      <w:r>
        <w:rPr>
          <w:rFonts w:hint="eastAsia" w:ascii="宋体" w:hAnsi="宋体" w:cs="宋体"/>
          <w:szCs w:val="28"/>
        </w:rPr>
        <w:t>）维修抢险队职责</w:t>
      </w:r>
    </w:p>
    <w:p>
      <w:pPr>
        <w:spacing w:after="0" w:line="560" w:lineRule="exact"/>
        <w:ind w:firstLine="560" w:firstLineChars="200"/>
        <w:rPr>
          <w:rFonts w:ascii="宋体" w:hAnsi="宋体" w:cs="宋体"/>
          <w:szCs w:val="28"/>
        </w:rPr>
      </w:pPr>
      <w:r>
        <w:rPr>
          <w:rFonts w:hint="eastAsia" w:ascii="宋体" w:hAnsi="宋体" w:cs="宋体"/>
          <w:szCs w:val="28"/>
        </w:rPr>
        <w:t>1）在公司指挥部领导下，做好各类事故的应急抢险救援工作；</w:t>
      </w:r>
    </w:p>
    <w:p>
      <w:pPr>
        <w:spacing w:after="0" w:line="560" w:lineRule="exact"/>
        <w:ind w:firstLine="560" w:firstLineChars="200"/>
        <w:rPr>
          <w:rFonts w:ascii="宋体" w:hAnsi="宋体" w:cs="宋体"/>
          <w:szCs w:val="28"/>
        </w:rPr>
      </w:pPr>
      <w:r>
        <w:rPr>
          <w:rFonts w:hint="eastAsia" w:ascii="宋体" w:hAnsi="宋体" w:cs="宋体"/>
          <w:szCs w:val="28"/>
        </w:rPr>
        <w:t>2）不断完善抢险设备、设施和流程，将事故损失及影响范围控制到最小</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3）负责2</w:t>
      </w:r>
      <w:r>
        <w:rPr>
          <w:rFonts w:ascii="宋体" w:hAnsi="宋体"/>
          <w:i w:val="0"/>
          <w:sz w:val="28"/>
          <w:szCs w:val="28"/>
        </w:rPr>
        <w:t>4</w:t>
      </w:r>
      <w:r>
        <w:rPr>
          <w:rFonts w:hint="eastAsia" w:ascii="宋体" w:hAnsi="宋体"/>
          <w:i w:val="0"/>
          <w:sz w:val="28"/>
          <w:szCs w:val="28"/>
        </w:rPr>
        <w:t>小时应急电话的值班值守。</w:t>
      </w:r>
    </w:p>
    <w:p>
      <w:pPr>
        <w:pStyle w:val="19"/>
        <w:spacing w:after="0" w:line="560" w:lineRule="exact"/>
        <w:ind w:firstLine="560" w:firstLineChars="200"/>
        <w:rPr>
          <w:rFonts w:ascii="宋体" w:hAnsi="宋体"/>
          <w:i w:val="0"/>
          <w:sz w:val="28"/>
          <w:szCs w:val="28"/>
        </w:rPr>
      </w:pPr>
      <w:r>
        <w:rPr>
          <w:rFonts w:ascii="宋体" w:hAnsi="宋体"/>
          <w:i w:val="0"/>
          <w:sz w:val="28"/>
          <w:szCs w:val="28"/>
        </w:rPr>
        <w:t>4</w:t>
      </w:r>
      <w:r>
        <w:rPr>
          <w:rFonts w:hint="eastAsia" w:ascii="宋体" w:hAnsi="宋体"/>
          <w:i w:val="0"/>
          <w:sz w:val="28"/>
          <w:szCs w:val="28"/>
        </w:rPr>
        <w:t>）接报事故后，进行初步分析研判，为相应级别负责人发布预警、响应指令提供科学依据。</w:t>
      </w:r>
    </w:p>
    <w:p>
      <w:pPr>
        <w:spacing w:after="0" w:line="560" w:lineRule="exact"/>
        <w:ind w:firstLine="560" w:firstLineChars="200"/>
        <w:rPr>
          <w:rFonts w:ascii="宋体" w:hAnsi="宋体" w:cs="宋体"/>
          <w:szCs w:val="28"/>
        </w:rPr>
      </w:pPr>
      <w:r>
        <w:rPr>
          <w:rFonts w:hint="eastAsia" w:ascii="宋体" w:hAnsi="宋体" w:cs="宋体"/>
          <w:szCs w:val="28"/>
        </w:rPr>
        <w:t>（3）生产技术科职责</w:t>
      </w:r>
    </w:p>
    <w:p>
      <w:pPr>
        <w:spacing w:after="0" w:line="560" w:lineRule="exact"/>
        <w:ind w:firstLine="560" w:firstLineChars="200"/>
        <w:rPr>
          <w:rFonts w:ascii="宋体" w:hAnsi="宋体" w:cs="宋体"/>
          <w:szCs w:val="28"/>
        </w:rPr>
      </w:pPr>
      <w:r>
        <w:rPr>
          <w:rFonts w:hint="eastAsia" w:ascii="宋体" w:hAnsi="宋体" w:cs="宋体"/>
          <w:szCs w:val="28"/>
        </w:rPr>
        <w:t>在公司指挥部领导下，提供需要的相关资料及技术支持工作。</w:t>
      </w:r>
    </w:p>
    <w:p>
      <w:pPr>
        <w:spacing w:after="0" w:line="560" w:lineRule="exact"/>
        <w:ind w:firstLine="560" w:firstLineChars="200"/>
        <w:rPr>
          <w:rFonts w:ascii="宋体" w:hAnsi="宋体" w:cs="宋体"/>
          <w:szCs w:val="28"/>
        </w:rPr>
      </w:pPr>
      <w:r>
        <w:rPr>
          <w:rFonts w:hint="eastAsia" w:ascii="宋体" w:hAnsi="宋体" w:cs="宋体"/>
          <w:szCs w:val="28"/>
        </w:rPr>
        <w:t>（4）后勤管理科等职责</w:t>
      </w:r>
    </w:p>
    <w:p>
      <w:pPr>
        <w:spacing w:after="0" w:line="560" w:lineRule="exact"/>
        <w:ind w:firstLine="560" w:firstLineChars="200"/>
        <w:rPr>
          <w:rFonts w:ascii="宋体" w:hAnsi="宋体" w:cs="宋体"/>
          <w:szCs w:val="28"/>
        </w:rPr>
      </w:pPr>
      <w:r>
        <w:rPr>
          <w:rFonts w:hint="eastAsia" w:ascii="宋体" w:hAnsi="宋体" w:cs="宋体"/>
          <w:szCs w:val="28"/>
        </w:rPr>
        <w:t>1）在公司指挥部领导下，做好应急抢险救援过程中的应急救援车辆、指挥车辆的管理工作，救护组织工作和抢险结束后的工伤保险工作（以前职责在办公室）；</w:t>
      </w:r>
    </w:p>
    <w:p>
      <w:pPr>
        <w:spacing w:after="0" w:line="560" w:lineRule="exact"/>
        <w:ind w:firstLine="560" w:firstLineChars="200"/>
        <w:rPr>
          <w:rFonts w:ascii="宋体" w:hAnsi="宋体" w:cs="宋体"/>
          <w:szCs w:val="28"/>
        </w:rPr>
      </w:pPr>
      <w:r>
        <w:rPr>
          <w:rFonts w:hint="eastAsia" w:ascii="宋体" w:hAnsi="宋体" w:cs="宋体"/>
          <w:szCs w:val="28"/>
        </w:rPr>
        <w:t>2）做好应急抢险救援过程中的后勤保障工作。</w:t>
      </w:r>
    </w:p>
    <w:p>
      <w:pPr>
        <w:spacing w:after="0" w:line="560" w:lineRule="exact"/>
        <w:ind w:firstLine="560" w:firstLineChars="200"/>
        <w:rPr>
          <w:rFonts w:ascii="宋体" w:hAnsi="宋体" w:cs="宋体"/>
          <w:szCs w:val="28"/>
        </w:rPr>
      </w:pPr>
      <w:r>
        <w:rPr>
          <w:rFonts w:hint="eastAsia" w:ascii="宋体" w:hAnsi="宋体" w:cs="宋体"/>
          <w:szCs w:val="28"/>
        </w:rPr>
        <w:t>（5）财务科职责</w:t>
      </w:r>
    </w:p>
    <w:p>
      <w:pPr>
        <w:spacing w:after="0" w:line="560" w:lineRule="exact"/>
        <w:ind w:firstLine="560" w:firstLineChars="200"/>
        <w:rPr>
          <w:rFonts w:ascii="宋体" w:hAnsi="宋体" w:cs="宋体"/>
          <w:szCs w:val="28"/>
        </w:rPr>
      </w:pPr>
      <w:r>
        <w:rPr>
          <w:rFonts w:hint="eastAsia" w:ascii="宋体" w:hAnsi="宋体" w:cs="宋体"/>
          <w:szCs w:val="28"/>
        </w:rPr>
        <w:t>1）在公司指挥部领导下，做好在事故应急抢险救援过程中对人员抢救的资金保障工作；</w:t>
      </w:r>
    </w:p>
    <w:p>
      <w:pPr>
        <w:spacing w:after="0" w:line="560" w:lineRule="exact"/>
        <w:ind w:firstLine="560" w:firstLineChars="200"/>
        <w:rPr>
          <w:rFonts w:ascii="宋体" w:hAnsi="宋体" w:cs="宋体"/>
          <w:szCs w:val="28"/>
        </w:rPr>
      </w:pPr>
      <w:r>
        <w:rPr>
          <w:rFonts w:hint="eastAsia" w:ascii="宋体" w:hAnsi="宋体" w:cs="宋体"/>
          <w:szCs w:val="28"/>
        </w:rPr>
        <w:t>2）配合做好抢险结束后的财产保险理赔工作。</w:t>
      </w:r>
    </w:p>
    <w:p>
      <w:pPr>
        <w:spacing w:after="0" w:line="560" w:lineRule="exact"/>
        <w:ind w:firstLine="560" w:firstLineChars="200"/>
        <w:rPr>
          <w:rFonts w:ascii="宋体" w:hAnsi="宋体" w:cs="宋体"/>
          <w:szCs w:val="28"/>
        </w:rPr>
      </w:pPr>
      <w:r>
        <w:rPr>
          <w:rFonts w:hint="eastAsia" w:ascii="宋体" w:hAnsi="宋体" w:cs="宋体"/>
          <w:szCs w:val="28"/>
        </w:rPr>
        <w:t>（6）经营管理科职责</w:t>
      </w:r>
    </w:p>
    <w:p>
      <w:pPr>
        <w:spacing w:after="0" w:line="560" w:lineRule="exact"/>
        <w:ind w:firstLine="560" w:firstLineChars="200"/>
        <w:rPr>
          <w:rFonts w:ascii="宋体" w:hAnsi="宋体" w:cs="宋体"/>
          <w:szCs w:val="28"/>
        </w:rPr>
      </w:pPr>
      <w:r>
        <w:rPr>
          <w:rFonts w:hint="eastAsia" w:ascii="宋体" w:hAnsi="宋体" w:cs="宋体"/>
          <w:szCs w:val="28"/>
        </w:rPr>
        <w:t>（1）在公司领导下，配合相关科室各事故的应急抢险救援工作；</w:t>
      </w:r>
    </w:p>
    <w:p>
      <w:pPr>
        <w:spacing w:after="0" w:line="560" w:lineRule="exact"/>
        <w:ind w:firstLine="560" w:firstLineChars="200"/>
        <w:rPr>
          <w:rFonts w:ascii="宋体" w:hAnsi="宋体" w:cs="宋体"/>
          <w:szCs w:val="28"/>
        </w:rPr>
      </w:pPr>
      <w:r>
        <w:rPr>
          <w:rFonts w:hint="eastAsia" w:ascii="宋体" w:hAnsi="宋体" w:cs="宋体"/>
          <w:szCs w:val="28"/>
        </w:rPr>
        <w:t>（2）配合安全科做好事故原因的调查、分析工作。</w:t>
      </w:r>
    </w:p>
    <w:p>
      <w:pPr>
        <w:spacing w:after="0" w:line="560" w:lineRule="exact"/>
        <w:ind w:firstLine="560" w:firstLineChars="200"/>
        <w:rPr>
          <w:rFonts w:ascii="宋体" w:hAnsi="宋体" w:cs="宋体"/>
          <w:szCs w:val="28"/>
        </w:rPr>
      </w:pPr>
      <w:r>
        <w:rPr>
          <w:rFonts w:hint="eastAsia" w:ascii="宋体" w:hAnsi="宋体" w:cs="宋体"/>
          <w:szCs w:val="28"/>
        </w:rPr>
        <w:t>（7）物资管理科、材料设备采购科职责</w:t>
      </w:r>
    </w:p>
    <w:p>
      <w:pPr>
        <w:spacing w:after="0" w:line="560" w:lineRule="exact"/>
        <w:ind w:firstLine="560" w:firstLineChars="200"/>
        <w:rPr>
          <w:rFonts w:ascii="宋体" w:hAnsi="宋体" w:cs="宋体"/>
          <w:szCs w:val="28"/>
        </w:rPr>
      </w:pPr>
      <w:r>
        <w:rPr>
          <w:rFonts w:hint="eastAsia" w:ascii="宋体" w:hAnsi="宋体" w:cs="宋体"/>
          <w:szCs w:val="28"/>
        </w:rPr>
        <w:t>在公司领导下，做好材料、设备的准备工作；</w:t>
      </w:r>
    </w:p>
    <w:p>
      <w:pPr>
        <w:spacing w:after="0" w:line="560" w:lineRule="exact"/>
        <w:ind w:firstLine="560" w:firstLineChars="200"/>
        <w:rPr>
          <w:rFonts w:ascii="宋体" w:hAnsi="宋体" w:cs="宋体"/>
          <w:szCs w:val="28"/>
        </w:rPr>
      </w:pPr>
      <w:r>
        <w:rPr>
          <w:rFonts w:ascii="宋体" w:hAnsi="宋体" w:cs="宋体"/>
          <w:szCs w:val="28"/>
        </w:rPr>
        <w:t>1.4.2.4</w:t>
      </w:r>
      <w:r>
        <w:rPr>
          <w:rFonts w:hint="eastAsia" w:ascii="宋体" w:hAnsi="宋体" w:cs="宋体"/>
          <w:szCs w:val="28"/>
        </w:rPr>
        <w:t>应急救援小组</w:t>
      </w:r>
    </w:p>
    <w:p>
      <w:pPr>
        <w:spacing w:after="0" w:line="560" w:lineRule="exact"/>
        <w:ind w:firstLine="560" w:firstLineChars="200"/>
        <w:rPr>
          <w:rFonts w:ascii="宋体" w:hAnsi="宋体" w:cs="宋体"/>
          <w:szCs w:val="28"/>
        </w:rPr>
      </w:pPr>
      <w:r>
        <w:rPr>
          <w:rFonts w:hint="eastAsia" w:ascii="宋体" w:hAnsi="宋体" w:cs="宋体"/>
          <w:szCs w:val="28"/>
        </w:rPr>
        <w:t>（1）事故联络组</w:t>
      </w:r>
    </w:p>
    <w:p>
      <w:pPr>
        <w:spacing w:after="0" w:line="560" w:lineRule="exact"/>
        <w:ind w:firstLine="560" w:firstLineChars="200"/>
        <w:rPr>
          <w:rFonts w:ascii="宋体" w:hAnsi="宋体" w:cs="宋体"/>
          <w:szCs w:val="28"/>
        </w:rPr>
      </w:pPr>
      <w:r>
        <w:rPr>
          <w:rFonts w:hint="eastAsia" w:ascii="宋体" w:hAnsi="宋体" w:cs="宋体"/>
          <w:szCs w:val="28"/>
        </w:rPr>
        <w:t xml:space="preserve"> 组长：黄光伟（若不在，可由李柯薇担任）</w:t>
      </w:r>
    </w:p>
    <w:p>
      <w:pPr>
        <w:spacing w:after="0" w:line="560" w:lineRule="exact"/>
        <w:ind w:firstLine="560" w:firstLineChars="200"/>
        <w:rPr>
          <w:rFonts w:ascii="宋体" w:hAnsi="宋体" w:cs="宋体"/>
          <w:szCs w:val="28"/>
        </w:rPr>
      </w:pPr>
      <w:r>
        <w:rPr>
          <w:rFonts w:hint="eastAsia" w:ascii="宋体" w:hAnsi="宋体" w:cs="宋体"/>
          <w:szCs w:val="28"/>
        </w:rPr>
        <w:t>人员： 李柯薇  唐晓飞  宋俊宏  邓代举  洪玉  罗丽华  冯巧娟   赵琼  张春燕  李国庆  吴瑜  吴雨芹</w:t>
      </w:r>
    </w:p>
    <w:p>
      <w:pPr>
        <w:spacing w:after="0" w:line="560" w:lineRule="exact"/>
        <w:ind w:firstLine="560" w:firstLineChars="200"/>
        <w:rPr>
          <w:rFonts w:ascii="宋体" w:hAnsi="宋体" w:cs="宋体"/>
          <w:szCs w:val="28"/>
        </w:rPr>
      </w:pPr>
      <w:r>
        <w:rPr>
          <w:rFonts w:hint="eastAsia" w:ascii="宋体" w:hAnsi="宋体" w:cs="宋体"/>
          <w:szCs w:val="28"/>
        </w:rPr>
        <w:t>任务：负责内部信息的联络沟通和对外信息发布。</w:t>
      </w:r>
    </w:p>
    <w:p>
      <w:pPr>
        <w:spacing w:after="0" w:line="560" w:lineRule="exact"/>
        <w:ind w:firstLine="560" w:firstLineChars="200"/>
        <w:rPr>
          <w:rFonts w:ascii="宋体" w:hAnsi="宋体" w:cs="宋体"/>
          <w:szCs w:val="28"/>
        </w:rPr>
      </w:pPr>
      <w:r>
        <w:rPr>
          <w:rFonts w:hint="eastAsia" w:ascii="宋体" w:hAnsi="宋体" w:cs="宋体"/>
          <w:szCs w:val="28"/>
        </w:rPr>
        <w:t>黄光伟负责对外信息发布。</w:t>
      </w:r>
    </w:p>
    <w:p>
      <w:pPr>
        <w:spacing w:after="0" w:line="560" w:lineRule="exact"/>
        <w:ind w:firstLine="560" w:firstLineChars="200"/>
        <w:rPr>
          <w:rFonts w:ascii="宋体" w:hAnsi="宋体" w:cs="宋体"/>
          <w:szCs w:val="28"/>
        </w:rPr>
      </w:pPr>
      <w:r>
        <w:rPr>
          <w:rFonts w:hint="eastAsia" w:ascii="宋体" w:hAnsi="宋体" w:cs="宋体"/>
          <w:szCs w:val="28"/>
        </w:rPr>
        <w:t>李柯薇负责对内对外应急信息联络。</w:t>
      </w:r>
    </w:p>
    <w:p>
      <w:pPr>
        <w:spacing w:after="0" w:line="560" w:lineRule="exact"/>
        <w:ind w:firstLine="560" w:firstLineChars="200"/>
        <w:rPr>
          <w:rFonts w:ascii="宋体" w:hAnsi="宋体" w:cs="宋体"/>
          <w:szCs w:val="28"/>
        </w:rPr>
      </w:pPr>
      <w:r>
        <w:rPr>
          <w:rFonts w:hint="eastAsia" w:ascii="宋体" w:hAnsi="宋体" w:cs="宋体"/>
          <w:szCs w:val="28"/>
        </w:rPr>
        <w:t>宋俊宏在组长的授权下负责对外媒体新闻抢险信息发布。</w:t>
      </w:r>
    </w:p>
    <w:p>
      <w:pPr>
        <w:spacing w:after="0" w:line="560" w:lineRule="exact"/>
        <w:ind w:firstLine="560" w:firstLineChars="200"/>
        <w:rPr>
          <w:rFonts w:ascii="宋体" w:hAnsi="宋体" w:cs="宋体"/>
          <w:szCs w:val="28"/>
        </w:rPr>
      </w:pPr>
      <w:r>
        <w:rPr>
          <w:rFonts w:hint="eastAsia" w:ascii="宋体" w:hAnsi="宋体" w:cs="宋体"/>
          <w:szCs w:val="28"/>
        </w:rPr>
        <w:t>邓代举负责配气站的信息收集和传达输供气指令。</w:t>
      </w:r>
    </w:p>
    <w:p>
      <w:pPr>
        <w:spacing w:after="0" w:line="560" w:lineRule="exact"/>
        <w:ind w:firstLine="560" w:firstLineChars="200"/>
        <w:rPr>
          <w:rFonts w:ascii="宋体" w:hAnsi="宋体" w:cs="宋体"/>
          <w:szCs w:val="28"/>
        </w:rPr>
      </w:pPr>
      <w:r>
        <w:rPr>
          <w:rFonts w:hint="eastAsia" w:ascii="宋体" w:hAnsi="宋体" w:cs="宋体"/>
          <w:szCs w:val="28"/>
        </w:rPr>
        <w:t>调度室值班员负责应急抢险信息的收集和报告。</w:t>
      </w:r>
    </w:p>
    <w:p>
      <w:pPr>
        <w:spacing w:after="0" w:line="560" w:lineRule="exact"/>
        <w:ind w:firstLine="560" w:firstLineChars="200"/>
        <w:rPr>
          <w:rFonts w:ascii="宋体" w:hAnsi="宋体" w:cs="宋体"/>
          <w:szCs w:val="28"/>
        </w:rPr>
      </w:pPr>
      <w:r>
        <w:rPr>
          <w:rFonts w:hint="eastAsia" w:ascii="宋体" w:hAnsi="宋体" w:cs="宋体"/>
          <w:szCs w:val="28"/>
        </w:rPr>
        <w:t>要求：严格保证事故救援机构运行的顺畅联络；</w:t>
      </w:r>
    </w:p>
    <w:p>
      <w:pPr>
        <w:spacing w:after="0" w:line="560" w:lineRule="exact"/>
        <w:ind w:firstLine="560" w:firstLineChars="200"/>
        <w:rPr>
          <w:rFonts w:ascii="宋体" w:hAnsi="宋体" w:cs="宋体"/>
          <w:szCs w:val="28"/>
        </w:rPr>
      </w:pPr>
      <w:r>
        <w:rPr>
          <w:rFonts w:hint="eastAsia" w:ascii="宋体" w:hAnsi="宋体" w:cs="宋体"/>
          <w:szCs w:val="28"/>
        </w:rPr>
        <w:t>（2）事故现场救援组</w:t>
      </w:r>
    </w:p>
    <w:p>
      <w:pPr>
        <w:spacing w:after="0" w:line="560" w:lineRule="exact"/>
        <w:ind w:firstLine="560" w:firstLineChars="200"/>
        <w:rPr>
          <w:rFonts w:ascii="宋体" w:hAnsi="宋体" w:cs="宋体"/>
          <w:szCs w:val="28"/>
        </w:rPr>
      </w:pPr>
      <w:r>
        <w:rPr>
          <w:rFonts w:hint="eastAsia" w:ascii="宋体" w:hAnsi="宋体" w:cs="宋体"/>
          <w:szCs w:val="28"/>
        </w:rPr>
        <w:t xml:space="preserve">组  长：李建民（若不在，可由何建辉担任） </w:t>
      </w:r>
    </w:p>
    <w:p>
      <w:pPr>
        <w:spacing w:after="0" w:line="560" w:lineRule="exact"/>
        <w:ind w:firstLine="560" w:firstLineChars="200"/>
        <w:rPr>
          <w:rFonts w:ascii="宋体" w:hAnsi="宋体" w:cs="宋体"/>
          <w:szCs w:val="28"/>
        </w:rPr>
      </w:pPr>
      <w:r>
        <w:rPr>
          <w:rFonts w:hint="eastAsia" w:ascii="宋体" w:hAnsi="宋体" w:cs="宋体"/>
          <w:szCs w:val="28"/>
        </w:rPr>
        <w:t>副组长：何建辉（若不在，可由苟文担任）</w:t>
      </w:r>
    </w:p>
    <w:p>
      <w:pPr>
        <w:spacing w:after="0" w:line="560" w:lineRule="exact"/>
        <w:ind w:firstLine="560" w:firstLineChars="200"/>
        <w:rPr>
          <w:rFonts w:hint="eastAsia" w:ascii="宋体" w:hAnsi="宋体" w:eastAsia="宋体" w:cs="宋体"/>
          <w:color w:val="auto"/>
          <w:szCs w:val="28"/>
          <w:lang w:val="en-US" w:eastAsia="zh-CN"/>
        </w:rPr>
      </w:pPr>
      <w:r>
        <w:rPr>
          <w:rFonts w:hint="eastAsia" w:ascii="宋体" w:hAnsi="宋体" w:cs="宋体"/>
          <w:szCs w:val="28"/>
        </w:rPr>
        <w:t>成员：</w:t>
      </w:r>
      <w:r>
        <w:rPr>
          <w:rFonts w:hint="eastAsia" w:ascii="宋体" w:hAnsi="宋体" w:cs="宋体"/>
          <w:color w:val="auto"/>
          <w:szCs w:val="28"/>
        </w:rPr>
        <w:t>郑宇卓 李果 苟 文</w:t>
      </w:r>
      <w:r>
        <w:rPr>
          <w:rFonts w:hint="eastAsia" w:ascii="宋体" w:hAnsi="宋体" w:cs="宋体"/>
          <w:color w:val="auto"/>
          <w:szCs w:val="28"/>
          <w:lang w:val="en-US" w:eastAsia="zh-CN"/>
        </w:rPr>
        <w:t xml:space="preserve"> </w:t>
      </w:r>
      <w:r>
        <w:rPr>
          <w:rFonts w:hint="eastAsia" w:ascii="宋体" w:hAnsi="宋体" w:cs="宋体"/>
          <w:color w:val="auto"/>
          <w:szCs w:val="28"/>
        </w:rPr>
        <w:t>李鑫 刘刚 郑志刚  刘健 罗刚  石津榜  何刚 陈汶建  范树伟 蒲焕辉 杨</w:t>
      </w:r>
      <w:r>
        <w:rPr>
          <w:rFonts w:hint="eastAsia" w:ascii="宋体" w:hAnsi="宋体" w:cs="宋体"/>
          <w:color w:val="auto"/>
          <w:szCs w:val="28"/>
          <w:lang w:val="en-US" w:eastAsia="zh-CN"/>
        </w:rPr>
        <w:t>竞</w:t>
      </w:r>
      <w:r>
        <w:rPr>
          <w:rFonts w:hint="eastAsia" w:ascii="宋体" w:hAnsi="宋体" w:cs="宋体"/>
          <w:color w:val="auto"/>
          <w:szCs w:val="28"/>
        </w:rPr>
        <w:t>智  王进 涂发生  刘红 徐旸 汪峰毅 陈治 杜雄林 杜剑锋 杨波 蒲凌燕 姜大明 张杰 马钰禧 任超 王淏 李锐 马林 曹振华 冯斌 赵洪斌 刘冠</w:t>
      </w:r>
      <w:r>
        <w:rPr>
          <w:rFonts w:hint="eastAsia" w:ascii="宋体" w:hAnsi="宋体" w:cs="宋体"/>
          <w:color w:val="auto"/>
          <w:szCs w:val="28"/>
          <w:lang w:val="en-US" w:eastAsia="zh-CN"/>
        </w:rPr>
        <w:t xml:space="preserve">宏 </w:t>
      </w:r>
      <w:r>
        <w:rPr>
          <w:rFonts w:hint="eastAsia" w:ascii="宋体" w:hAnsi="宋体" w:cs="宋体"/>
          <w:color w:val="auto"/>
          <w:szCs w:val="28"/>
        </w:rPr>
        <w:t>罗斌</w:t>
      </w:r>
      <w:r>
        <w:rPr>
          <w:rFonts w:hint="eastAsia" w:ascii="宋体" w:hAnsi="宋体" w:cs="宋体"/>
          <w:color w:val="auto"/>
          <w:szCs w:val="28"/>
          <w:lang w:val="en-US" w:eastAsia="zh-CN"/>
        </w:rPr>
        <w:t xml:space="preserve">  </w:t>
      </w:r>
      <w:r>
        <w:rPr>
          <w:rFonts w:hint="eastAsia" w:ascii="宋体" w:hAnsi="宋体" w:cs="宋体"/>
          <w:color w:val="auto"/>
          <w:szCs w:val="28"/>
        </w:rPr>
        <w:t>赵兴壮</w:t>
      </w:r>
      <w:r>
        <w:rPr>
          <w:rFonts w:hint="eastAsia" w:ascii="宋体" w:hAnsi="宋体" w:cs="宋体"/>
          <w:color w:val="auto"/>
          <w:szCs w:val="28"/>
          <w:lang w:val="en-US" w:eastAsia="zh-CN"/>
        </w:rPr>
        <w:t xml:space="preserve"> </w:t>
      </w:r>
      <w:r>
        <w:rPr>
          <w:rFonts w:hint="eastAsia" w:ascii="宋体" w:hAnsi="宋体" w:cs="宋体"/>
          <w:color w:val="auto"/>
          <w:szCs w:val="28"/>
        </w:rPr>
        <w:t>张小龙</w:t>
      </w:r>
      <w:r>
        <w:rPr>
          <w:rFonts w:hint="eastAsia" w:ascii="宋体" w:hAnsi="宋体" w:cs="宋体"/>
          <w:color w:val="auto"/>
          <w:szCs w:val="28"/>
          <w:lang w:val="en-US" w:eastAsia="zh-CN"/>
        </w:rPr>
        <w:t xml:space="preserve">  </w:t>
      </w:r>
      <w:r>
        <w:rPr>
          <w:rFonts w:hint="eastAsia" w:ascii="宋体" w:hAnsi="宋体" w:cs="宋体"/>
          <w:color w:val="auto"/>
          <w:szCs w:val="28"/>
        </w:rPr>
        <w:t>温国喜</w:t>
      </w:r>
      <w:r>
        <w:rPr>
          <w:rFonts w:hint="eastAsia" w:ascii="宋体" w:hAnsi="宋体" w:cs="宋体"/>
          <w:color w:val="auto"/>
          <w:szCs w:val="28"/>
          <w:lang w:val="en-US" w:eastAsia="zh-CN"/>
        </w:rPr>
        <w:t xml:space="preserve">  </w:t>
      </w:r>
      <w:r>
        <w:rPr>
          <w:rFonts w:hint="eastAsia" w:ascii="宋体" w:hAnsi="宋体" w:cs="宋体"/>
          <w:color w:val="auto"/>
          <w:szCs w:val="28"/>
        </w:rPr>
        <w:t>杜雄</w:t>
      </w:r>
      <w:r>
        <w:rPr>
          <w:rFonts w:hint="eastAsia" w:ascii="宋体" w:hAnsi="宋体" w:cs="宋体"/>
          <w:color w:val="auto"/>
          <w:szCs w:val="28"/>
          <w:lang w:val="en-US" w:eastAsia="zh-CN"/>
        </w:rPr>
        <w:t xml:space="preserve">  </w:t>
      </w:r>
      <w:r>
        <w:rPr>
          <w:rFonts w:hint="eastAsia" w:ascii="宋体" w:hAnsi="宋体" w:cs="宋体"/>
          <w:color w:val="auto"/>
          <w:szCs w:val="28"/>
        </w:rPr>
        <w:t>谢绍功</w:t>
      </w:r>
    </w:p>
    <w:p>
      <w:pPr>
        <w:spacing w:after="0" w:line="560" w:lineRule="exact"/>
        <w:ind w:firstLine="560" w:firstLineChars="200"/>
        <w:rPr>
          <w:rFonts w:ascii="宋体" w:hAnsi="宋体" w:cs="宋体"/>
          <w:color w:val="auto"/>
          <w:szCs w:val="28"/>
        </w:rPr>
      </w:pPr>
      <w:r>
        <w:rPr>
          <w:rFonts w:hint="eastAsia" w:ascii="宋体" w:hAnsi="宋体" w:cs="宋体"/>
          <w:color w:val="auto"/>
          <w:szCs w:val="28"/>
        </w:rPr>
        <w:t xml:space="preserve">气源截断组：涂发生、陈汶建 </w:t>
      </w:r>
    </w:p>
    <w:p>
      <w:pPr>
        <w:spacing w:after="0" w:line="560" w:lineRule="exact"/>
        <w:ind w:firstLine="560" w:firstLineChars="200"/>
        <w:rPr>
          <w:rFonts w:ascii="宋体" w:hAnsi="宋体" w:cs="宋体"/>
          <w:color w:val="auto"/>
          <w:szCs w:val="28"/>
        </w:rPr>
      </w:pPr>
      <w:r>
        <w:rPr>
          <w:rFonts w:hint="eastAsia" w:ascii="宋体" w:hAnsi="宋体" w:cs="宋体"/>
          <w:color w:val="auto"/>
          <w:szCs w:val="28"/>
        </w:rPr>
        <w:t xml:space="preserve">天然气浓度分析员：刘刚  </w:t>
      </w:r>
    </w:p>
    <w:p>
      <w:pPr>
        <w:spacing w:after="0" w:line="560" w:lineRule="exact"/>
        <w:ind w:firstLine="560" w:firstLineChars="200"/>
        <w:rPr>
          <w:rFonts w:ascii="宋体" w:hAnsi="宋体" w:cs="宋体"/>
          <w:color w:val="auto"/>
          <w:szCs w:val="28"/>
        </w:rPr>
      </w:pPr>
      <w:r>
        <w:rPr>
          <w:rFonts w:hint="eastAsia" w:ascii="宋体" w:hAnsi="宋体" w:cs="宋体"/>
          <w:color w:val="auto"/>
          <w:szCs w:val="28"/>
        </w:rPr>
        <w:t xml:space="preserve">风 向 观  测  员：石津榜  </w:t>
      </w:r>
    </w:p>
    <w:p>
      <w:pPr>
        <w:spacing w:after="0" w:line="560" w:lineRule="exact"/>
        <w:ind w:firstLine="560" w:firstLineChars="200"/>
        <w:rPr>
          <w:rFonts w:ascii="宋体" w:hAnsi="宋体" w:cs="宋体"/>
          <w:color w:val="auto"/>
          <w:szCs w:val="28"/>
        </w:rPr>
      </w:pPr>
      <w:r>
        <w:rPr>
          <w:rFonts w:hint="eastAsia" w:ascii="宋体" w:hAnsi="宋体" w:cs="宋体"/>
          <w:color w:val="auto"/>
          <w:szCs w:val="28"/>
        </w:rPr>
        <w:t>灭火组一小组组长：李  鑫     成员：罗刚、张小龙、杨</w:t>
      </w:r>
      <w:r>
        <w:rPr>
          <w:rFonts w:hint="eastAsia" w:ascii="宋体" w:hAnsi="宋体" w:cs="宋体"/>
          <w:color w:val="auto"/>
          <w:szCs w:val="28"/>
          <w:lang w:val="en-US" w:eastAsia="zh-CN"/>
        </w:rPr>
        <w:t>竞</w:t>
      </w:r>
      <w:r>
        <w:rPr>
          <w:rFonts w:hint="eastAsia" w:ascii="宋体" w:hAnsi="宋体" w:cs="宋体"/>
          <w:color w:val="auto"/>
          <w:szCs w:val="28"/>
        </w:rPr>
        <w:t>智</w:t>
      </w:r>
    </w:p>
    <w:p>
      <w:pPr>
        <w:spacing w:after="0" w:line="560" w:lineRule="exact"/>
        <w:ind w:firstLine="560" w:firstLineChars="200"/>
        <w:rPr>
          <w:rFonts w:ascii="宋体" w:hAnsi="宋体" w:cs="宋体"/>
          <w:color w:val="auto"/>
          <w:szCs w:val="28"/>
        </w:rPr>
      </w:pPr>
      <w:r>
        <w:rPr>
          <w:rFonts w:hint="eastAsia" w:ascii="宋体" w:hAnsi="宋体" w:cs="宋体"/>
          <w:color w:val="auto"/>
          <w:szCs w:val="28"/>
        </w:rPr>
        <w:t xml:space="preserve">灭火组二小组组长：苟 文      成员：罗斌、刘健、赵兴壮 </w:t>
      </w:r>
    </w:p>
    <w:p>
      <w:pPr>
        <w:spacing w:after="0" w:line="560" w:lineRule="exact"/>
        <w:ind w:firstLine="560" w:firstLineChars="200"/>
        <w:rPr>
          <w:rFonts w:ascii="宋体" w:hAnsi="宋体"/>
          <w:szCs w:val="28"/>
        </w:rPr>
      </w:pPr>
      <w:r>
        <w:rPr>
          <w:rFonts w:hint="eastAsia" w:ascii="宋体" w:hAnsi="宋体" w:cs="宋体"/>
          <w:color w:val="auto"/>
          <w:szCs w:val="28"/>
        </w:rPr>
        <w:t>维修抢险组组长：  杨国波     成员：温国喜、杜雄、谢绍功</w:t>
      </w:r>
      <w:r>
        <w:rPr>
          <w:rFonts w:hint="eastAsia" w:ascii="宋体" w:hAnsi="宋体" w:cs="宋体"/>
          <w:szCs w:val="28"/>
        </w:rPr>
        <w:t xml:space="preserve">  </w:t>
      </w:r>
      <w:r>
        <w:rPr>
          <w:rFonts w:hint="eastAsia" w:ascii="宋体" w:hAnsi="宋体"/>
          <w:szCs w:val="28"/>
        </w:rPr>
        <w:t xml:space="preserve"> </w:t>
      </w:r>
    </w:p>
    <w:p>
      <w:pPr>
        <w:spacing w:after="0" w:line="560" w:lineRule="exact"/>
        <w:ind w:firstLine="560" w:firstLineChars="200"/>
        <w:rPr>
          <w:rFonts w:ascii="宋体" w:hAnsi="宋体"/>
          <w:szCs w:val="28"/>
        </w:rPr>
      </w:pPr>
      <w:r>
        <w:rPr>
          <w:rFonts w:hint="eastAsia" w:ascii="宋体" w:hAnsi="宋体"/>
          <w:szCs w:val="28"/>
        </w:rPr>
        <w:t>任  务：在现场救援指挥部的指挥下，负责组织指挥人员安全快速地撤离、现场人员的抢救，实施公司的应急救援，重要、危险物品的转移，并保证外部救援车辆的畅通等。</w:t>
      </w:r>
    </w:p>
    <w:p>
      <w:pPr>
        <w:spacing w:after="0" w:line="560" w:lineRule="exact"/>
        <w:ind w:firstLine="560" w:firstLineChars="200"/>
        <w:rPr>
          <w:rFonts w:ascii="宋体" w:hAnsi="宋体"/>
          <w:szCs w:val="28"/>
        </w:rPr>
      </w:pPr>
      <w:r>
        <w:rPr>
          <w:rFonts w:hint="eastAsia" w:ascii="宋体" w:hAnsi="宋体"/>
          <w:szCs w:val="28"/>
        </w:rPr>
        <w:t>要求：按人员疏散的要求，准确及时地指挥所有的人员撤离现场，在指定地点集合并进行人数清点；清除救援通道上的障碍物，确保通道畅通，开启所有安全通道，保证救援队伍能及时顺利进入出事地点和抢救转移工作；按应急救援方案实施公司救援能力范围内的应急救援，在现场指挥的指挥下，有序高效地进行灾害处理的各项工作，如停气、灭火、检漏、堵漏、修补、恢复等。</w:t>
      </w:r>
    </w:p>
    <w:p>
      <w:pPr>
        <w:spacing w:after="0" w:line="560" w:lineRule="exact"/>
        <w:ind w:firstLine="560" w:firstLineChars="200"/>
        <w:rPr>
          <w:rFonts w:ascii="宋体" w:hAnsi="宋体"/>
          <w:szCs w:val="28"/>
        </w:rPr>
      </w:pPr>
      <w:r>
        <w:rPr>
          <w:rFonts w:hint="eastAsia" w:ascii="宋体" w:hAnsi="宋体"/>
          <w:szCs w:val="28"/>
        </w:rPr>
        <w:t>（3）技术支持组</w:t>
      </w:r>
    </w:p>
    <w:p>
      <w:pPr>
        <w:spacing w:after="0" w:line="560" w:lineRule="exact"/>
        <w:ind w:firstLine="840" w:firstLineChars="300"/>
        <w:rPr>
          <w:rFonts w:ascii="宋体" w:hAnsi="宋体"/>
          <w:szCs w:val="28"/>
        </w:rPr>
      </w:pPr>
      <w:r>
        <w:rPr>
          <w:rFonts w:hint="eastAsia" w:ascii="宋体" w:hAnsi="宋体"/>
          <w:szCs w:val="28"/>
        </w:rPr>
        <w:t>组长：谢仕强  （若不在，可由王荣担任）</w:t>
      </w:r>
    </w:p>
    <w:p>
      <w:pPr>
        <w:spacing w:after="0" w:line="560" w:lineRule="exact"/>
        <w:ind w:firstLine="840" w:firstLineChars="300"/>
        <w:rPr>
          <w:rFonts w:ascii="宋体" w:hAnsi="宋体"/>
          <w:szCs w:val="28"/>
        </w:rPr>
      </w:pPr>
      <w:r>
        <w:rPr>
          <w:rFonts w:hint="eastAsia" w:ascii="宋体" w:hAnsi="宋体"/>
          <w:szCs w:val="28"/>
        </w:rPr>
        <w:t>成员：王荣</w:t>
      </w:r>
      <w:r>
        <w:rPr>
          <w:rFonts w:hint="eastAsia" w:ascii="宋体" w:hAnsi="宋体"/>
          <w:szCs w:val="28"/>
          <w:lang w:val="en-US" w:eastAsia="zh-CN"/>
        </w:rPr>
        <w:t xml:space="preserve"> </w:t>
      </w:r>
      <w:r>
        <w:rPr>
          <w:rFonts w:hint="eastAsia" w:ascii="宋体" w:hAnsi="宋体"/>
          <w:szCs w:val="28"/>
        </w:rPr>
        <w:t>汪洋 宋杨  梁家铭  陈俊宇  梁</w:t>
      </w:r>
      <w:r>
        <w:rPr>
          <w:rFonts w:hint="eastAsia" w:ascii="宋体" w:hAnsi="宋体"/>
          <w:szCs w:val="28"/>
          <w:lang w:val="en-US" w:eastAsia="zh-CN"/>
        </w:rPr>
        <w:t>颢</w:t>
      </w:r>
      <w:r>
        <w:rPr>
          <w:rFonts w:hint="eastAsia" w:ascii="宋体" w:hAnsi="宋体"/>
          <w:szCs w:val="28"/>
        </w:rPr>
        <w:t>钟等主要技术人员。</w:t>
      </w:r>
    </w:p>
    <w:p>
      <w:pPr>
        <w:spacing w:after="0" w:line="560" w:lineRule="exact"/>
        <w:ind w:firstLine="840" w:firstLineChars="300"/>
        <w:rPr>
          <w:rFonts w:ascii="宋体" w:hAnsi="宋体"/>
          <w:szCs w:val="28"/>
        </w:rPr>
      </w:pPr>
      <w:r>
        <w:rPr>
          <w:rFonts w:hint="eastAsia" w:ascii="宋体" w:hAnsi="宋体"/>
          <w:szCs w:val="28"/>
        </w:rPr>
        <w:t>任务：为现场应急处置提供技术支持，提供技术方案。</w:t>
      </w:r>
    </w:p>
    <w:p>
      <w:pPr>
        <w:spacing w:after="0" w:line="560" w:lineRule="exact"/>
        <w:ind w:firstLine="840" w:firstLineChars="300"/>
        <w:rPr>
          <w:rFonts w:ascii="宋体" w:hAnsi="宋体"/>
          <w:szCs w:val="28"/>
        </w:rPr>
      </w:pPr>
      <w:r>
        <w:rPr>
          <w:rFonts w:hint="eastAsia" w:ascii="宋体" w:hAnsi="宋体"/>
          <w:szCs w:val="28"/>
        </w:rPr>
        <w:t>要求：当发生紧急情况时，技术支持组成员立即赶赴现场进行勘察，协助现场指挥进行救援方案的选定或制定；提供需要的技术数据、技术资料等，解答相关技术知识；必要时联络专家支持系统请求相应专家支援，并负责组织执行其技术方案；其他技术支持等。</w:t>
      </w:r>
    </w:p>
    <w:p>
      <w:pPr>
        <w:spacing w:after="0" w:line="560" w:lineRule="exact"/>
        <w:ind w:firstLine="560" w:firstLineChars="200"/>
        <w:rPr>
          <w:rFonts w:ascii="宋体" w:hAnsi="宋体"/>
          <w:szCs w:val="28"/>
        </w:rPr>
      </w:pPr>
      <w:r>
        <w:rPr>
          <w:rFonts w:hint="eastAsia" w:ascii="宋体" w:hAnsi="宋体"/>
          <w:szCs w:val="28"/>
        </w:rPr>
        <w:t>（4）交通组</w:t>
      </w:r>
    </w:p>
    <w:p>
      <w:pPr>
        <w:pStyle w:val="19"/>
        <w:spacing w:after="0" w:line="560" w:lineRule="exact"/>
        <w:ind w:firstLine="560" w:firstLineChars="200"/>
        <w:rPr>
          <w:rFonts w:ascii="宋体" w:hAnsi="宋体" w:cs="Times New Roman"/>
          <w:i w:val="0"/>
          <w:sz w:val="28"/>
          <w:szCs w:val="28"/>
        </w:rPr>
      </w:pPr>
      <w:r>
        <w:rPr>
          <w:rFonts w:hint="eastAsia" w:ascii="宋体" w:hAnsi="宋体" w:cs="Times New Roman"/>
          <w:i w:val="0"/>
          <w:sz w:val="28"/>
          <w:szCs w:val="28"/>
        </w:rPr>
        <w:t xml:space="preserve">组长：鲜红梅 </w:t>
      </w:r>
    </w:p>
    <w:p>
      <w:pPr>
        <w:pStyle w:val="19"/>
        <w:spacing w:after="0" w:line="560" w:lineRule="exact"/>
        <w:ind w:firstLine="560" w:firstLineChars="200"/>
        <w:rPr>
          <w:rFonts w:ascii="宋体" w:hAnsi="宋体" w:cs="Times New Roman"/>
          <w:i w:val="0"/>
          <w:sz w:val="28"/>
          <w:szCs w:val="28"/>
        </w:rPr>
      </w:pPr>
      <w:r>
        <w:rPr>
          <w:rFonts w:hint="eastAsia" w:ascii="宋体" w:hAnsi="宋体" w:cs="Times New Roman"/>
          <w:i w:val="0"/>
          <w:sz w:val="28"/>
          <w:szCs w:val="28"/>
        </w:rPr>
        <w:t>成员：梁伟林、杨辉、费仲勋、范培强、赵清年、何勇、杨兵、欧效辰、罗仲、罗红斌</w:t>
      </w:r>
    </w:p>
    <w:p>
      <w:pPr>
        <w:pStyle w:val="19"/>
        <w:spacing w:after="0" w:line="560" w:lineRule="exact"/>
        <w:ind w:firstLine="560" w:firstLineChars="200"/>
        <w:rPr>
          <w:rFonts w:ascii="宋体" w:hAnsi="宋体" w:cs="Times New Roman"/>
          <w:i w:val="0"/>
          <w:sz w:val="28"/>
          <w:szCs w:val="28"/>
        </w:rPr>
      </w:pPr>
      <w:r>
        <w:rPr>
          <w:rFonts w:hint="eastAsia" w:ascii="宋体" w:hAnsi="宋体" w:cs="Times New Roman"/>
          <w:i w:val="0"/>
          <w:sz w:val="28"/>
          <w:szCs w:val="28"/>
        </w:rPr>
        <w:t>任务：负责车辆组织和交通引导</w:t>
      </w:r>
    </w:p>
    <w:p>
      <w:pPr>
        <w:pStyle w:val="19"/>
        <w:spacing w:after="0" w:line="560" w:lineRule="exact"/>
        <w:ind w:firstLine="560" w:firstLineChars="200"/>
        <w:rPr>
          <w:rFonts w:ascii="宋体" w:hAnsi="宋体"/>
          <w:i w:val="0"/>
          <w:sz w:val="28"/>
          <w:szCs w:val="28"/>
        </w:rPr>
      </w:pPr>
      <w:r>
        <w:rPr>
          <w:rFonts w:hint="eastAsia" w:ascii="宋体" w:hAnsi="宋体"/>
          <w:i w:val="0"/>
          <w:sz w:val="28"/>
          <w:szCs w:val="28"/>
        </w:rPr>
        <w:t>要求：在日常状态下做好应急车辆的调度、管理、维护，在应急状态下，组织好救援车辆，在现场指挥的领导下负责组织交通临时指挥，并引导消防车、救护车到达出事地点，防止车道受阻；当政府专业救援队伍到达后，所有的指挥权交由政府应急救援机构或专业机构负责。</w:t>
      </w:r>
    </w:p>
    <w:p>
      <w:pPr>
        <w:spacing w:after="0" w:line="560" w:lineRule="exact"/>
        <w:ind w:firstLine="560" w:firstLineChars="200"/>
        <w:rPr>
          <w:rFonts w:ascii="宋体" w:hAnsi="宋体" w:cs="宋体"/>
          <w:szCs w:val="28"/>
        </w:rPr>
      </w:pPr>
      <w:r>
        <w:rPr>
          <w:rFonts w:hint="eastAsia" w:ascii="宋体" w:hAnsi="宋体" w:cs="宋体"/>
          <w:szCs w:val="28"/>
        </w:rPr>
        <w:t>（</w:t>
      </w:r>
      <w:r>
        <w:rPr>
          <w:rFonts w:ascii="宋体" w:hAnsi="宋体" w:cs="宋体"/>
          <w:szCs w:val="28"/>
        </w:rPr>
        <w:t>5</w:t>
      </w:r>
      <w:r>
        <w:rPr>
          <w:rFonts w:hint="eastAsia" w:ascii="宋体" w:hAnsi="宋体" w:cs="宋体"/>
          <w:szCs w:val="28"/>
        </w:rPr>
        <w:t>）医疗救护组</w:t>
      </w:r>
    </w:p>
    <w:p>
      <w:pPr>
        <w:spacing w:after="0" w:line="560" w:lineRule="exact"/>
        <w:ind w:firstLine="560" w:firstLineChars="200"/>
        <w:rPr>
          <w:rFonts w:ascii="宋体" w:hAnsi="宋体" w:cs="宋体"/>
          <w:szCs w:val="28"/>
        </w:rPr>
      </w:pPr>
      <w:r>
        <w:rPr>
          <w:rFonts w:hint="eastAsia" w:ascii="宋体" w:hAnsi="宋体" w:cs="宋体"/>
          <w:szCs w:val="28"/>
        </w:rPr>
        <w:t>组长：罗钊</w:t>
      </w:r>
    </w:p>
    <w:p>
      <w:pPr>
        <w:spacing w:after="0" w:line="560" w:lineRule="exact"/>
        <w:ind w:firstLine="560" w:firstLineChars="200"/>
        <w:rPr>
          <w:rFonts w:ascii="宋体" w:hAnsi="宋体" w:cs="宋体"/>
          <w:szCs w:val="28"/>
        </w:rPr>
      </w:pPr>
      <w:r>
        <w:rPr>
          <w:rFonts w:hint="eastAsia" w:ascii="宋体" w:hAnsi="宋体" w:cs="宋体"/>
          <w:szCs w:val="28"/>
        </w:rPr>
        <w:t>成员：宋平、杨龙章、叶勇远、罗勇等经营科相关人员。</w:t>
      </w:r>
    </w:p>
    <w:p>
      <w:pPr>
        <w:spacing w:after="0" w:line="560" w:lineRule="exact"/>
        <w:ind w:firstLine="560" w:firstLineChars="200"/>
        <w:rPr>
          <w:rFonts w:ascii="宋体" w:hAnsi="宋体" w:cs="宋体"/>
          <w:szCs w:val="28"/>
        </w:rPr>
      </w:pPr>
      <w:r>
        <w:rPr>
          <w:rFonts w:hint="eastAsia" w:ascii="宋体" w:hAnsi="宋体" w:cs="宋体"/>
          <w:szCs w:val="28"/>
        </w:rPr>
        <w:t>任务：负责医疗人员及物资的组织，开展初期医疗救助。</w:t>
      </w:r>
    </w:p>
    <w:p>
      <w:pPr>
        <w:spacing w:after="0" w:line="560" w:lineRule="exact"/>
        <w:ind w:firstLine="560" w:firstLineChars="200"/>
        <w:rPr>
          <w:rFonts w:ascii="宋体" w:hAnsi="宋体" w:cs="宋体"/>
          <w:color w:val="FF0000"/>
          <w:szCs w:val="28"/>
        </w:rPr>
      </w:pPr>
      <w:r>
        <w:rPr>
          <w:rFonts w:hint="eastAsia" w:ascii="宋体" w:hAnsi="宋体" w:cs="宋体"/>
          <w:szCs w:val="28"/>
        </w:rPr>
        <w:t>要求：负责抢救事件现场的受伤人员，拔打急救电话，对伤员进行紧急的简单包扎，止血或人工呼吸，以最快速度将伤员送到就近医院抢救，或协助专业医疗单位救助伤员。</w:t>
      </w:r>
    </w:p>
    <w:p>
      <w:pPr>
        <w:pStyle w:val="90"/>
        <w:tabs>
          <w:tab w:val="left" w:pos="0"/>
        </w:tabs>
        <w:spacing w:line="560" w:lineRule="exact"/>
        <w:ind w:firstLine="420"/>
      </w:pPr>
    </w:p>
    <w:p>
      <w:pPr>
        <w:pStyle w:val="6"/>
        <w:rPr>
          <w:b w:val="0"/>
          <w:bCs w:val="0"/>
        </w:rPr>
      </w:pPr>
      <w:bookmarkStart w:id="436" w:name="_Toc78468880"/>
      <w:bookmarkStart w:id="437" w:name="_Toc505760466"/>
      <w:bookmarkStart w:id="438" w:name="_Toc101798354"/>
      <w:bookmarkStart w:id="439" w:name="_Toc9596"/>
      <w:r>
        <w:rPr>
          <w:rFonts w:hint="eastAsia"/>
        </w:rPr>
        <w:t>二、单位外部救援资源</w:t>
      </w:r>
      <w:bookmarkEnd w:id="436"/>
      <w:bookmarkEnd w:id="437"/>
      <w:bookmarkEnd w:id="438"/>
      <w:r>
        <w:rPr>
          <w:rFonts w:hint="eastAsia"/>
        </w:rPr>
        <w:t>  </w:t>
      </w:r>
      <w:bookmarkEnd w:id="439"/>
    </w:p>
    <w:p>
      <w:pPr>
        <w:pStyle w:val="7"/>
        <w:rPr>
          <w:b w:val="0"/>
          <w:bCs w:val="0"/>
        </w:rPr>
      </w:pPr>
      <w:bookmarkStart w:id="440" w:name="_Toc78468881"/>
      <w:bookmarkStart w:id="441" w:name="_Toc101798355"/>
      <w:bookmarkStart w:id="442" w:name="_Toc28016"/>
      <w:r>
        <w:rPr>
          <w:rFonts w:hint="eastAsia"/>
        </w:rPr>
        <w:t>2.1外部救援</w:t>
      </w:r>
      <w:bookmarkEnd w:id="440"/>
      <w:bookmarkEnd w:id="441"/>
      <w:r>
        <w:rPr>
          <w:rFonts w:hint="eastAsia"/>
        </w:rPr>
        <w:t>  </w:t>
      </w:r>
      <w:bookmarkEnd w:id="442"/>
    </w:p>
    <w:p>
      <w:pPr>
        <w:spacing w:after="0" w:line="560" w:lineRule="exact"/>
        <w:ind w:firstLine="560" w:firstLineChars="200"/>
        <w:rPr>
          <w:rFonts w:ascii="宋体" w:hAnsi="宋体" w:cs="宋体"/>
          <w:szCs w:val="28"/>
        </w:rPr>
      </w:pPr>
      <w:r>
        <w:rPr>
          <w:rFonts w:hint="eastAsia" w:ascii="宋体" w:hAnsi="宋体" w:cs="宋体"/>
          <w:szCs w:val="28"/>
        </w:rPr>
        <w:t>2.1.1单位互助   </w:t>
      </w:r>
    </w:p>
    <w:p>
      <w:pPr>
        <w:spacing w:after="0" w:line="560" w:lineRule="exact"/>
        <w:ind w:firstLine="480" w:firstLineChars="200"/>
        <w:rPr>
          <w:rFonts w:ascii="宋体" w:hAnsi="宋体" w:cs="宋体"/>
          <w:szCs w:val="28"/>
        </w:rPr>
      </w:pPr>
      <w:r>
        <w:rPr>
          <w:rFonts w:hint="eastAsia" w:ascii="宋体" w:hAnsi="宋体"/>
          <w:kern w:val="2"/>
          <w:sz w:val="24"/>
          <w:szCs w:val="24"/>
          <w:lang w:val="en-US" w:eastAsia="zh-CN"/>
        </w:rPr>
        <w:t>四川省</w:t>
      </w:r>
      <w:r>
        <w:rPr>
          <w:rFonts w:hint="eastAsia" w:ascii="宋体" w:hAnsi="宋体" w:cs="宋体"/>
          <w:szCs w:val="28"/>
        </w:rPr>
        <w:t>南部县天然气有限责任公司离南部县中仁医院</w:t>
      </w:r>
      <w:r>
        <w:rPr>
          <w:rFonts w:ascii="宋体" w:hAnsi="宋体" w:cs="宋体"/>
          <w:szCs w:val="28"/>
        </w:rPr>
        <w:t>1</w:t>
      </w:r>
      <w:r>
        <w:rPr>
          <w:rFonts w:hint="eastAsia" w:ascii="宋体" w:hAnsi="宋体" w:cs="宋体"/>
          <w:szCs w:val="28"/>
        </w:rPr>
        <w:t>公里米，预计</w:t>
      </w:r>
      <w:r>
        <w:rPr>
          <w:rFonts w:ascii="宋体" w:hAnsi="宋体" w:cs="宋体"/>
          <w:szCs w:val="28"/>
        </w:rPr>
        <w:t>4</w:t>
      </w:r>
      <w:r>
        <w:rPr>
          <w:rFonts w:hint="eastAsia" w:ascii="宋体" w:hAnsi="宋体" w:cs="宋体"/>
          <w:szCs w:val="28"/>
        </w:rPr>
        <w:t>分钟车程，离南部县人民医院</w:t>
      </w:r>
      <w:r>
        <w:rPr>
          <w:rFonts w:ascii="宋体" w:hAnsi="宋体" w:cs="宋体"/>
          <w:szCs w:val="28"/>
        </w:rPr>
        <w:t>14.3</w:t>
      </w:r>
      <w:r>
        <w:rPr>
          <w:rFonts w:hint="eastAsia" w:ascii="宋体" w:hAnsi="宋体" w:cs="宋体"/>
          <w:szCs w:val="28"/>
        </w:rPr>
        <w:t>公里，预计</w:t>
      </w:r>
      <w:r>
        <w:rPr>
          <w:rFonts w:ascii="宋体" w:hAnsi="宋体" w:cs="宋体"/>
          <w:szCs w:val="28"/>
        </w:rPr>
        <w:t>27</w:t>
      </w:r>
      <w:r>
        <w:rPr>
          <w:rFonts w:hint="eastAsia" w:ascii="宋体" w:hAnsi="宋体" w:cs="宋体"/>
          <w:szCs w:val="28"/>
        </w:rPr>
        <w:t>分钟车程；距离南部县消防大队</w:t>
      </w:r>
      <w:r>
        <w:rPr>
          <w:rFonts w:ascii="宋体" w:hAnsi="宋体" w:cs="宋体"/>
          <w:szCs w:val="28"/>
        </w:rPr>
        <w:t>0.85</w:t>
      </w:r>
      <w:r>
        <w:rPr>
          <w:rFonts w:hint="eastAsia" w:ascii="宋体" w:hAnsi="宋体" w:cs="宋体"/>
          <w:szCs w:val="28"/>
        </w:rPr>
        <w:t>公里，预计</w:t>
      </w:r>
      <w:r>
        <w:rPr>
          <w:rFonts w:ascii="宋体" w:hAnsi="宋体" w:cs="宋体"/>
          <w:szCs w:val="28"/>
        </w:rPr>
        <w:t>4</w:t>
      </w:r>
      <w:r>
        <w:rPr>
          <w:rFonts w:hint="eastAsia" w:ascii="宋体" w:hAnsi="宋体" w:cs="宋体"/>
          <w:szCs w:val="28"/>
        </w:rPr>
        <w:t>分钟车程。</w:t>
      </w:r>
    </w:p>
    <w:p>
      <w:pPr>
        <w:spacing w:after="0" w:line="560" w:lineRule="exact"/>
        <w:ind w:firstLine="560" w:firstLineChars="200"/>
        <w:rPr>
          <w:rFonts w:ascii="宋体" w:hAnsi="宋体" w:cs="仿宋_GB2312"/>
          <w:szCs w:val="28"/>
        </w:rPr>
      </w:pPr>
      <w:r>
        <w:rPr>
          <w:rFonts w:hint="eastAsia" w:ascii="宋体" w:hAnsi="宋体" w:cs="仿宋_GB2312"/>
          <w:szCs w:val="28"/>
        </w:rPr>
        <w:t>2</w:t>
      </w:r>
      <w:r>
        <w:rPr>
          <w:rFonts w:ascii="宋体" w:hAnsi="宋体" w:cs="仿宋_GB2312"/>
          <w:szCs w:val="28"/>
        </w:rPr>
        <w:t>.1.2</w:t>
      </w:r>
      <w:r>
        <w:rPr>
          <w:rFonts w:hint="eastAsia" w:ascii="宋体" w:hAnsi="宋体" w:cs="仿宋_GB2312"/>
          <w:szCs w:val="28"/>
        </w:rPr>
        <w:t>政府部门应急救援力量</w:t>
      </w:r>
      <w:r>
        <w:rPr>
          <w:rFonts w:ascii="宋体" w:hAnsi="宋体" w:cs="仿宋_GB2312"/>
          <w:szCs w:val="28"/>
        </w:rPr>
        <w:t>  </w:t>
      </w:r>
    </w:p>
    <w:p>
      <w:pPr>
        <w:spacing w:after="0" w:line="560" w:lineRule="exact"/>
        <w:ind w:firstLine="560"/>
        <w:rPr>
          <w:rFonts w:ascii="宋体" w:hAnsi="宋体" w:cs="宋体"/>
          <w:szCs w:val="28"/>
        </w:rPr>
      </w:pPr>
      <w:r>
        <w:rPr>
          <w:rFonts w:hint="eastAsia" w:ascii="宋体" w:hAnsi="宋体" w:cs="宋体"/>
          <w:szCs w:val="28"/>
        </w:rPr>
        <w:t>当事故扩大需要外部力量救援时，</w:t>
      </w:r>
      <w:r>
        <w:rPr>
          <w:rFonts w:hint="eastAsia" w:ascii="宋体" w:hAnsi="宋体"/>
          <w:kern w:val="2"/>
          <w:sz w:val="24"/>
          <w:szCs w:val="24"/>
          <w:lang w:val="en-US" w:eastAsia="zh-CN"/>
        </w:rPr>
        <w:t>四川省</w:t>
      </w:r>
      <w:r>
        <w:rPr>
          <w:rFonts w:hint="eastAsia" w:ascii="宋体" w:hAnsi="宋体" w:cs="宋体"/>
          <w:szCs w:val="28"/>
        </w:rPr>
        <w:t>南部县天然气有限责任公司应急指挥长应向南部县行业主管部门及相关部门发布请求支援的信息。由当地政府部门调动应急救援力量和救援资源全力支持本企业的事故救援工作，主要参与部门有：</w:t>
      </w:r>
    </w:p>
    <w:p>
      <w:pPr>
        <w:spacing w:after="0" w:line="560" w:lineRule="exact"/>
        <w:ind w:firstLine="560" w:firstLineChars="200"/>
        <w:rPr>
          <w:rFonts w:cs="宋体" w:asciiTheme="minorEastAsia" w:hAnsiTheme="minorEastAsia" w:eastAsiaTheme="minorEastAsia"/>
          <w:szCs w:val="28"/>
        </w:rPr>
      </w:pPr>
      <w:r>
        <w:rPr>
          <w:rFonts w:hint="eastAsia" w:cs="宋体" w:asciiTheme="minorEastAsia" w:hAnsiTheme="minorEastAsia" w:eastAsiaTheme="minorEastAsia"/>
          <w:szCs w:val="28"/>
        </w:rPr>
        <w:t>（1）南部县应急委根据事故级别启动政府对应级别的应急响应，指挥应急救援工作。</w:t>
      </w:r>
    </w:p>
    <w:p>
      <w:pPr>
        <w:spacing w:after="0" w:line="560" w:lineRule="exact"/>
        <w:ind w:firstLine="560" w:firstLineChars="200"/>
        <w:rPr>
          <w:rFonts w:cs="宋体" w:asciiTheme="minorEastAsia" w:hAnsiTheme="minorEastAsia" w:eastAsiaTheme="minorEastAsia"/>
          <w:szCs w:val="28"/>
        </w:rPr>
      </w:pPr>
      <w:r>
        <w:rPr>
          <w:rFonts w:hint="eastAsia" w:cs="宋体" w:asciiTheme="minorEastAsia" w:hAnsiTheme="minorEastAsia" w:eastAsiaTheme="minorEastAsia"/>
          <w:szCs w:val="28"/>
        </w:rPr>
        <w:t>（2）住建部门</w:t>
      </w:r>
      <w:r>
        <w:rPr>
          <w:rFonts w:cs="宋体" w:asciiTheme="minorEastAsia" w:hAnsiTheme="minorEastAsia" w:eastAsiaTheme="minorEastAsia"/>
          <w:szCs w:val="28"/>
        </w:rPr>
        <w:t xml:space="preserve"> </w:t>
      </w:r>
      <w:r>
        <w:rPr>
          <w:rFonts w:hint="eastAsia" w:cs="宋体" w:asciiTheme="minorEastAsia" w:hAnsiTheme="minorEastAsia" w:eastAsiaTheme="minorEastAsia"/>
          <w:szCs w:val="28"/>
        </w:rPr>
        <w:t>具体指挥企业开展应急处置。</w:t>
      </w:r>
    </w:p>
    <w:p>
      <w:pPr>
        <w:spacing w:after="0" w:line="560" w:lineRule="exact"/>
        <w:ind w:firstLine="560" w:firstLineChars="200"/>
        <w:rPr>
          <w:rFonts w:cs="宋体" w:asciiTheme="minorEastAsia" w:hAnsiTheme="minorEastAsia" w:eastAsiaTheme="minorEastAsia"/>
          <w:szCs w:val="28"/>
        </w:rPr>
      </w:pPr>
      <w:r>
        <w:rPr>
          <w:rFonts w:hint="eastAsia" w:cs="宋体" w:asciiTheme="minorEastAsia" w:hAnsiTheme="minorEastAsia" w:eastAsiaTheme="minorEastAsia"/>
          <w:szCs w:val="28"/>
        </w:rPr>
        <w:t>（3）公安部门 进行警戒，管制交通，封锁相关要道，防止无关人员进入事故现场和污染区，对避难区治安情况进行管控。</w:t>
      </w:r>
    </w:p>
    <w:p>
      <w:pPr>
        <w:spacing w:after="0" w:line="560" w:lineRule="exact"/>
        <w:ind w:firstLine="560" w:firstLineChars="200"/>
        <w:rPr>
          <w:rFonts w:cs="宋体" w:asciiTheme="minorEastAsia" w:hAnsiTheme="minorEastAsia" w:eastAsiaTheme="minorEastAsia"/>
          <w:szCs w:val="28"/>
        </w:rPr>
      </w:pPr>
      <w:r>
        <w:rPr>
          <w:rFonts w:hint="eastAsia" w:cs="宋体" w:asciiTheme="minorEastAsia" w:hAnsiTheme="minorEastAsia" w:eastAsiaTheme="minorEastAsia"/>
          <w:szCs w:val="28"/>
        </w:rPr>
        <w:t>（4）消防部门 发生火灾事故时，进行专业化的灭火工作。 </w:t>
      </w:r>
    </w:p>
    <w:p>
      <w:pPr>
        <w:spacing w:after="0" w:line="560" w:lineRule="exact"/>
        <w:ind w:firstLine="560" w:firstLineChars="200"/>
        <w:rPr>
          <w:rFonts w:cs="宋体" w:asciiTheme="minorEastAsia" w:hAnsiTheme="minorEastAsia" w:eastAsiaTheme="minorEastAsia"/>
          <w:szCs w:val="28"/>
        </w:rPr>
      </w:pPr>
      <w:r>
        <w:rPr>
          <w:rFonts w:hint="eastAsia" w:cs="宋体" w:asciiTheme="minorEastAsia" w:hAnsiTheme="minorEastAsia" w:eastAsiaTheme="minorEastAsia"/>
          <w:szCs w:val="28"/>
        </w:rPr>
        <w:t>（5）应急管理部门  提供专业化的应急指导，组织专家指导应急救援工作。</w:t>
      </w:r>
    </w:p>
    <w:p>
      <w:pPr>
        <w:spacing w:after="0" w:line="560" w:lineRule="exact"/>
        <w:ind w:firstLine="560" w:firstLineChars="200"/>
        <w:jc w:val="both"/>
        <w:rPr>
          <w:rFonts w:cs="宋体" w:asciiTheme="minorEastAsia" w:hAnsiTheme="minorEastAsia" w:eastAsiaTheme="minorEastAsia"/>
          <w:szCs w:val="28"/>
        </w:rPr>
      </w:pPr>
      <w:r>
        <w:rPr>
          <w:rFonts w:hint="eastAsia" w:cs="宋体" w:asciiTheme="minorEastAsia" w:hAnsiTheme="minorEastAsia" w:eastAsiaTheme="minorEastAsia"/>
          <w:szCs w:val="28"/>
        </w:rPr>
        <w:t>（6）医疗单位 提供伤员的治疗服务和现场救护所需要的药品和人员。</w:t>
      </w:r>
    </w:p>
    <w:p>
      <w:pPr>
        <w:spacing w:after="0" w:line="560" w:lineRule="exact"/>
        <w:ind w:firstLine="560" w:firstLineChars="200"/>
        <w:rPr>
          <w:rFonts w:cs="宋体" w:asciiTheme="minorEastAsia" w:hAnsiTheme="minorEastAsia" w:eastAsiaTheme="minorEastAsia"/>
          <w:szCs w:val="28"/>
        </w:rPr>
      </w:pPr>
      <w:r>
        <w:rPr>
          <w:rFonts w:hint="eastAsia" w:cs="宋体" w:asciiTheme="minorEastAsia" w:hAnsiTheme="minorEastAsia" w:eastAsiaTheme="minorEastAsia"/>
          <w:szCs w:val="28"/>
        </w:rPr>
        <w:t>（7）环保部门 提供事故时的实时监测和污染区的善后处理建议。</w:t>
      </w:r>
    </w:p>
    <w:p>
      <w:pPr>
        <w:pStyle w:val="7"/>
      </w:pPr>
      <w:bookmarkStart w:id="443" w:name="_Toc78468882"/>
      <w:bookmarkStart w:id="444" w:name="_Toc101798356"/>
      <w:r>
        <w:rPr>
          <w:rFonts w:hint="eastAsia"/>
        </w:rPr>
        <w:t>2.2应急救援过程</w:t>
      </w:r>
      <w:bookmarkEnd w:id="443"/>
      <w:bookmarkEnd w:id="444"/>
    </w:p>
    <w:p>
      <w:pPr>
        <w:spacing w:line="360" w:lineRule="auto"/>
        <w:ind w:firstLine="560" w:firstLineChars="200"/>
        <w:rPr>
          <w:rFonts w:ascii="宋体" w:hAnsi="宋体" w:cs="宋体"/>
          <w:bCs/>
          <w:szCs w:val="28"/>
        </w:rPr>
      </w:pPr>
      <w:r>
        <w:rPr>
          <w:rFonts w:hint="eastAsia" w:ascii="宋体" w:hAnsi="宋体" w:cs="宋体"/>
          <w:bCs/>
          <w:szCs w:val="28"/>
        </w:rPr>
        <w:t>企业根据《</w:t>
      </w:r>
      <w:r>
        <w:rPr>
          <w:rFonts w:hint="eastAsia" w:ascii="宋体" w:hAnsi="宋体"/>
          <w:kern w:val="2"/>
          <w:sz w:val="24"/>
          <w:szCs w:val="24"/>
          <w:lang w:val="en-US" w:eastAsia="zh-CN"/>
        </w:rPr>
        <w:t>四川省</w:t>
      </w:r>
      <w:r>
        <w:rPr>
          <w:rFonts w:hint="eastAsia" w:ascii="宋体" w:hAnsi="宋体" w:cs="宋体"/>
          <w:bCs/>
          <w:szCs w:val="28"/>
        </w:rPr>
        <w:t>南部县天然气有限责任公司安全事故应急救援》报警程序及处置程序。根据事故大小及影响情况，启动对应级别应急响应。由对应级别人员负责指挥应急救援，各应急小组根据职责开展现场警戒、救援救援、通讯联络、后勤保障等工作。应急处置后，做好恢复和事故调查工作。</w:t>
      </w:r>
    </w:p>
    <w:p>
      <w:pPr>
        <w:pStyle w:val="6"/>
      </w:pPr>
      <w:bookmarkStart w:id="445" w:name="_Toc101798357"/>
      <w:bookmarkStart w:id="446" w:name="_Toc78468883"/>
      <w:r>
        <w:rPr>
          <w:rFonts w:hint="eastAsia"/>
        </w:rPr>
        <w:t>三、应急资源差距分析</w:t>
      </w:r>
      <w:bookmarkEnd w:id="445"/>
      <w:bookmarkEnd w:id="446"/>
    </w:p>
    <w:p>
      <w:pPr>
        <w:spacing w:after="0" w:line="360" w:lineRule="auto"/>
        <w:ind w:firstLine="560" w:firstLineChars="200"/>
        <w:rPr>
          <w:rFonts w:ascii="Times New Roman" w:hAnsi="Times New Roman"/>
          <w:szCs w:val="28"/>
        </w:rPr>
      </w:pPr>
      <w:r>
        <w:rPr>
          <w:rFonts w:ascii="Times New Roman" w:hAnsi="Times New Roman"/>
          <w:szCs w:val="28"/>
        </w:rPr>
        <w:t>本企业设置了应急救援组织，配备了应急救援人员</w:t>
      </w:r>
      <w:r>
        <w:rPr>
          <w:rFonts w:hint="eastAsia" w:ascii="Times New Roman" w:hAnsi="Times New Roman"/>
          <w:szCs w:val="28"/>
        </w:rPr>
        <w:t>，明确了应急救援职责，配备了基本的应急救援</w:t>
      </w:r>
      <w:r>
        <w:rPr>
          <w:rFonts w:ascii="Times New Roman" w:hAnsi="Times New Roman"/>
          <w:szCs w:val="28"/>
        </w:rPr>
        <w:t>器材，</w:t>
      </w:r>
      <w:r>
        <w:rPr>
          <w:rFonts w:hint="eastAsia" w:ascii="Times New Roman" w:hAnsi="Times New Roman"/>
          <w:szCs w:val="28"/>
        </w:rPr>
        <w:t>对</w:t>
      </w:r>
      <w:r>
        <w:rPr>
          <w:rFonts w:ascii="Times New Roman" w:hAnsi="Times New Roman"/>
          <w:szCs w:val="28"/>
        </w:rPr>
        <w:t>初期事故</w:t>
      </w:r>
      <w:r>
        <w:rPr>
          <w:rFonts w:hint="eastAsia" w:ascii="Times New Roman" w:hAnsi="Times New Roman"/>
          <w:szCs w:val="28"/>
        </w:rPr>
        <w:t>和</w:t>
      </w:r>
      <w:r>
        <w:rPr>
          <w:rFonts w:ascii="Times New Roman" w:hAnsi="Times New Roman"/>
          <w:szCs w:val="28"/>
        </w:rPr>
        <w:t>人员轻伤</w:t>
      </w:r>
      <w:r>
        <w:rPr>
          <w:rFonts w:hint="eastAsia" w:ascii="Times New Roman" w:hAnsi="Times New Roman"/>
          <w:szCs w:val="28"/>
        </w:rPr>
        <w:t>事故</w:t>
      </w:r>
      <w:r>
        <w:rPr>
          <w:rFonts w:ascii="Times New Roman" w:hAnsi="Times New Roman"/>
          <w:szCs w:val="28"/>
        </w:rPr>
        <w:t>本企业能够自行处理；本企业发生</w:t>
      </w:r>
      <w:r>
        <w:rPr>
          <w:rFonts w:hint="eastAsia" w:ascii="Times New Roman" w:hAnsi="Times New Roman"/>
          <w:szCs w:val="28"/>
        </w:rPr>
        <w:t>较大事故</w:t>
      </w:r>
      <w:r>
        <w:rPr>
          <w:rFonts w:ascii="Times New Roman" w:hAnsi="Times New Roman"/>
          <w:szCs w:val="28"/>
        </w:rPr>
        <w:t>或人员重伤</w:t>
      </w:r>
      <w:r>
        <w:rPr>
          <w:rFonts w:hint="eastAsia" w:ascii="Times New Roman" w:hAnsi="Times New Roman"/>
          <w:szCs w:val="28"/>
        </w:rPr>
        <w:t>甚至死亡</w:t>
      </w:r>
      <w:r>
        <w:rPr>
          <w:rFonts w:ascii="Times New Roman" w:hAnsi="Times New Roman"/>
          <w:szCs w:val="28"/>
        </w:rPr>
        <w:t>时本企业的应急资源</w:t>
      </w:r>
      <w:r>
        <w:rPr>
          <w:rFonts w:hint="eastAsia" w:ascii="Times New Roman" w:hAnsi="Times New Roman"/>
          <w:szCs w:val="28"/>
        </w:rPr>
        <w:t>要</w:t>
      </w:r>
      <w:r>
        <w:rPr>
          <w:rFonts w:ascii="Times New Roman" w:hAnsi="Times New Roman"/>
          <w:szCs w:val="28"/>
        </w:rPr>
        <w:t>依托社会应急资源，</w:t>
      </w:r>
      <w:r>
        <w:rPr>
          <w:rFonts w:hint="eastAsia" w:ascii="Times New Roman" w:hAnsi="Times New Roman"/>
          <w:szCs w:val="28"/>
        </w:rPr>
        <w:t>共同开展</w:t>
      </w:r>
      <w:r>
        <w:rPr>
          <w:rFonts w:ascii="Times New Roman" w:hAnsi="Times New Roman"/>
          <w:szCs w:val="28"/>
        </w:rPr>
        <w:t>应急救援</w:t>
      </w:r>
      <w:r>
        <w:rPr>
          <w:rFonts w:hint="eastAsia" w:ascii="Times New Roman" w:hAnsi="Times New Roman"/>
          <w:szCs w:val="28"/>
        </w:rPr>
        <w:t>工作。</w:t>
      </w:r>
    </w:p>
    <w:p>
      <w:pPr>
        <w:spacing w:after="0" w:line="360" w:lineRule="auto"/>
        <w:ind w:firstLine="560" w:firstLineChars="200"/>
        <w:rPr>
          <w:rFonts w:ascii="Times New Roman" w:hAnsi="Times New Roman"/>
          <w:szCs w:val="28"/>
        </w:rPr>
      </w:pPr>
      <w:r>
        <w:rPr>
          <w:rFonts w:hint="eastAsia" w:ascii="Times New Roman" w:hAnsi="Times New Roman"/>
          <w:szCs w:val="28"/>
        </w:rPr>
        <w:t>存在问题：应急救援物资装备不充分、开展应急演练不够。</w:t>
      </w:r>
      <w:r>
        <w:rPr>
          <w:rFonts w:ascii="Times New Roman" w:hAnsi="Times New Roman"/>
          <w:szCs w:val="28"/>
        </w:rPr>
        <w:t>下一步</w:t>
      </w:r>
      <w:r>
        <w:rPr>
          <w:rFonts w:hint="eastAsia" w:ascii="Times New Roman" w:hAnsi="Times New Roman"/>
          <w:szCs w:val="28"/>
        </w:rPr>
        <w:t>将</w:t>
      </w:r>
      <w:r>
        <w:rPr>
          <w:rFonts w:ascii="Times New Roman" w:hAnsi="Times New Roman"/>
          <w:szCs w:val="28"/>
        </w:rPr>
        <w:t>尽快</w:t>
      </w:r>
      <w:r>
        <w:rPr>
          <w:rFonts w:hint="eastAsia" w:ascii="Times New Roman" w:hAnsi="Times New Roman"/>
          <w:szCs w:val="28"/>
        </w:rPr>
        <w:t>补充应急救援物资和装备</w:t>
      </w:r>
      <w:r>
        <w:rPr>
          <w:rFonts w:ascii="Times New Roman" w:hAnsi="Times New Roman"/>
          <w:szCs w:val="28"/>
        </w:rPr>
        <w:t>，</w:t>
      </w:r>
      <w:r>
        <w:rPr>
          <w:rFonts w:hint="eastAsia" w:ascii="Times New Roman" w:hAnsi="Times New Roman"/>
          <w:szCs w:val="28"/>
        </w:rPr>
        <w:t>认真组织应急演练。</w:t>
      </w:r>
    </w:p>
    <w:p>
      <w:pPr>
        <w:pStyle w:val="72"/>
        <w:ind w:firstLine="560" w:firstLineChars="200"/>
        <w:rPr>
          <w:color w:val="auto"/>
        </w:rPr>
      </w:pPr>
      <w:r>
        <w:rPr>
          <w:rFonts w:hint="eastAsia" w:ascii="Times New Roman" w:cs="Times New Roman"/>
          <w:color w:val="auto"/>
          <w:sz w:val="28"/>
          <w:szCs w:val="28"/>
        </w:rPr>
        <w:t>须补充的应急物资和装备按下表补充：</w:t>
      </w:r>
    </w:p>
    <w:tbl>
      <w:tblPr>
        <w:tblStyle w:val="4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2399"/>
        <w:gridCol w:w="1559"/>
        <w:gridCol w:w="184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exact"/>
          <w:jc w:val="center"/>
        </w:trPr>
        <w:tc>
          <w:tcPr>
            <w:tcW w:w="11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24"/>
              </w:rPr>
            </w:pPr>
            <w:bookmarkStart w:id="447" w:name="_Toc78468884"/>
            <w:r>
              <w:rPr>
                <w:rFonts w:hint="eastAsia" w:ascii="宋体" w:hAnsi="宋体" w:cs="宋体"/>
                <w:b/>
                <w:bCs/>
                <w:sz w:val="24"/>
              </w:rPr>
              <w:t>序号</w:t>
            </w:r>
          </w:p>
        </w:tc>
        <w:tc>
          <w:tcPr>
            <w:tcW w:w="239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24"/>
              </w:rPr>
            </w:pPr>
            <w:r>
              <w:rPr>
                <w:rFonts w:hint="eastAsia" w:ascii="宋体" w:hAnsi="宋体" w:cs="宋体"/>
                <w:b/>
                <w:bCs/>
                <w:sz w:val="24"/>
              </w:rPr>
              <w:t>应补充应急救援器材</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24"/>
              </w:rPr>
            </w:pPr>
            <w:r>
              <w:rPr>
                <w:rFonts w:hint="eastAsia" w:ascii="宋体" w:hAnsi="宋体" w:cs="宋体"/>
                <w:b/>
                <w:bCs/>
                <w:sz w:val="24"/>
              </w:rPr>
              <w:t>应增配数量</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24"/>
              </w:rPr>
            </w:pPr>
            <w:r>
              <w:rPr>
                <w:rFonts w:hint="eastAsia" w:ascii="宋体" w:hAnsi="宋体" w:cs="宋体"/>
                <w:b/>
                <w:bCs/>
                <w:sz w:val="24"/>
              </w:rPr>
              <w:t>建议存放点</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24"/>
              </w:rPr>
            </w:pPr>
            <w:r>
              <w:rPr>
                <w:rFonts w:hint="eastAsia" w:ascii="宋体" w:hAnsi="宋体" w:cs="宋体"/>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1140"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1</w:t>
            </w:r>
          </w:p>
        </w:tc>
        <w:tc>
          <w:tcPr>
            <w:tcW w:w="2399"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长管式空气呼吸器</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ascii="宋体" w:hAnsi="宋体" w:cs="宋体"/>
                <w:bCs/>
                <w:sz w:val="24"/>
              </w:rPr>
              <w:t>2</w:t>
            </w:r>
            <w:r>
              <w:rPr>
                <w:rFonts w:hint="eastAsia" w:ascii="宋体" w:hAnsi="宋体" w:cs="宋体"/>
                <w:bCs/>
                <w:sz w:val="24"/>
              </w:rPr>
              <w:t>个</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微型消防站</w:t>
            </w:r>
          </w:p>
        </w:tc>
        <w:tc>
          <w:tcPr>
            <w:tcW w:w="1559" w:type="dxa"/>
            <w:tcBorders>
              <w:top w:val="single" w:color="auto" w:sz="4" w:space="0"/>
              <w:left w:val="single" w:color="auto" w:sz="4" w:space="0"/>
              <w:bottom w:val="single" w:color="auto" w:sz="4" w:space="0"/>
              <w:right w:val="single" w:color="auto" w:sz="4" w:space="0"/>
            </w:tcBorders>
          </w:tcPr>
          <w:p>
            <w:pPr>
              <w:spacing w:after="120" w:afterLines="50" w:line="400" w:lineRule="exact"/>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1140"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2</w:t>
            </w:r>
          </w:p>
        </w:tc>
        <w:tc>
          <w:tcPr>
            <w:tcW w:w="2399"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防火服</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2套</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微型消防站</w:t>
            </w:r>
          </w:p>
        </w:tc>
        <w:tc>
          <w:tcPr>
            <w:tcW w:w="1559" w:type="dxa"/>
            <w:tcBorders>
              <w:top w:val="single" w:color="auto" w:sz="4" w:space="0"/>
              <w:left w:val="single" w:color="auto" w:sz="4" w:space="0"/>
              <w:bottom w:val="single" w:color="auto" w:sz="4" w:space="0"/>
              <w:right w:val="single" w:color="auto" w:sz="4" w:space="0"/>
            </w:tcBorders>
          </w:tcPr>
          <w:p>
            <w:pPr>
              <w:spacing w:after="120" w:afterLines="50" w:line="400" w:lineRule="exact"/>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1140"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3</w:t>
            </w:r>
          </w:p>
        </w:tc>
        <w:tc>
          <w:tcPr>
            <w:tcW w:w="2399"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防爆手电</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ascii="宋体" w:hAnsi="宋体" w:cs="宋体"/>
                <w:bCs/>
                <w:sz w:val="24"/>
              </w:rPr>
              <w:t>2</w:t>
            </w:r>
            <w:r>
              <w:rPr>
                <w:rFonts w:hint="eastAsia" w:ascii="宋体" w:hAnsi="宋体" w:cs="宋体"/>
                <w:bCs/>
                <w:sz w:val="24"/>
              </w:rPr>
              <w:t>只</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微型消防站</w:t>
            </w:r>
          </w:p>
        </w:tc>
        <w:tc>
          <w:tcPr>
            <w:tcW w:w="1559" w:type="dxa"/>
            <w:tcBorders>
              <w:top w:val="single" w:color="auto" w:sz="4" w:space="0"/>
              <w:left w:val="single" w:color="auto" w:sz="4" w:space="0"/>
              <w:bottom w:val="single" w:color="auto" w:sz="4" w:space="0"/>
              <w:right w:val="single" w:color="auto" w:sz="4" w:space="0"/>
            </w:tcBorders>
          </w:tcPr>
          <w:p>
            <w:pPr>
              <w:spacing w:after="120" w:afterLines="50" w:line="400" w:lineRule="exact"/>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1140"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4</w:t>
            </w:r>
          </w:p>
        </w:tc>
        <w:tc>
          <w:tcPr>
            <w:tcW w:w="2399"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防爆对讲机</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ascii="宋体" w:hAnsi="宋体" w:cs="宋体"/>
                <w:bCs/>
                <w:sz w:val="24"/>
              </w:rPr>
              <w:t>4</w:t>
            </w:r>
            <w:r>
              <w:rPr>
                <w:rFonts w:hint="eastAsia" w:ascii="宋体" w:hAnsi="宋体" w:cs="宋体"/>
                <w:bCs/>
                <w:sz w:val="24"/>
              </w:rPr>
              <w:t>只</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微型消防站</w:t>
            </w:r>
          </w:p>
        </w:tc>
        <w:tc>
          <w:tcPr>
            <w:tcW w:w="1559" w:type="dxa"/>
            <w:tcBorders>
              <w:top w:val="single" w:color="auto" w:sz="4" w:space="0"/>
              <w:left w:val="single" w:color="auto" w:sz="4" w:space="0"/>
              <w:bottom w:val="single" w:color="auto" w:sz="4" w:space="0"/>
              <w:right w:val="single" w:color="auto" w:sz="4" w:space="0"/>
            </w:tcBorders>
          </w:tcPr>
          <w:p>
            <w:pPr>
              <w:spacing w:after="120" w:afterLines="50" w:line="400" w:lineRule="exact"/>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1140"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5</w:t>
            </w:r>
          </w:p>
        </w:tc>
        <w:tc>
          <w:tcPr>
            <w:tcW w:w="2399"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护目镜</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6副</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120" w:afterLines="50" w:line="400" w:lineRule="exact"/>
              <w:jc w:val="center"/>
              <w:rPr>
                <w:rFonts w:ascii="宋体" w:hAnsi="宋体" w:cs="宋体"/>
                <w:bCs/>
                <w:sz w:val="24"/>
              </w:rPr>
            </w:pPr>
            <w:r>
              <w:rPr>
                <w:rFonts w:hint="eastAsia" w:ascii="宋体" w:hAnsi="宋体" w:cs="宋体"/>
                <w:bCs/>
                <w:sz w:val="24"/>
              </w:rPr>
              <w:t>微型消防站</w:t>
            </w:r>
          </w:p>
        </w:tc>
        <w:tc>
          <w:tcPr>
            <w:tcW w:w="1559" w:type="dxa"/>
            <w:tcBorders>
              <w:top w:val="single" w:color="auto" w:sz="4" w:space="0"/>
              <w:left w:val="single" w:color="auto" w:sz="4" w:space="0"/>
              <w:bottom w:val="single" w:color="auto" w:sz="4" w:space="0"/>
              <w:right w:val="single" w:color="auto" w:sz="4" w:space="0"/>
            </w:tcBorders>
          </w:tcPr>
          <w:p>
            <w:pPr>
              <w:spacing w:after="120" w:afterLines="50" w:line="400" w:lineRule="exact"/>
              <w:jc w:val="center"/>
              <w:rPr>
                <w:rFonts w:ascii="宋体" w:hAnsi="宋体" w:cs="宋体"/>
                <w:bCs/>
                <w:sz w:val="24"/>
              </w:rPr>
            </w:pPr>
          </w:p>
        </w:tc>
      </w:tr>
    </w:tbl>
    <w:p>
      <w:pPr>
        <w:pStyle w:val="6"/>
      </w:pPr>
      <w:bookmarkStart w:id="448" w:name="_Toc101798358"/>
      <w:r>
        <w:rPr>
          <w:rFonts w:hint="eastAsia"/>
        </w:rPr>
        <w:t>四、结论意见</w:t>
      </w:r>
      <w:bookmarkEnd w:id="447"/>
      <w:bookmarkEnd w:id="448"/>
    </w:p>
    <w:p>
      <w:pPr>
        <w:spacing w:after="0" w:line="560" w:lineRule="exact"/>
        <w:ind w:firstLine="560" w:firstLineChars="200"/>
        <w:rPr>
          <w:rFonts w:ascii="宋体" w:hAnsi="宋体" w:cs="宋体"/>
          <w:szCs w:val="28"/>
        </w:rPr>
      </w:pPr>
      <w:r>
        <w:rPr>
          <w:rFonts w:hint="eastAsia" w:ascii="宋体" w:hAnsi="宋体" w:cs="宋体"/>
          <w:szCs w:val="28"/>
        </w:rPr>
        <w:t>通过对</w:t>
      </w:r>
      <w:r>
        <w:rPr>
          <w:rFonts w:hint="eastAsia" w:ascii="宋体" w:hAnsi="宋体"/>
          <w:kern w:val="2"/>
          <w:sz w:val="24"/>
          <w:szCs w:val="24"/>
          <w:lang w:val="en-US" w:eastAsia="zh-CN"/>
        </w:rPr>
        <w:t>四川省</w:t>
      </w:r>
      <w:r>
        <w:rPr>
          <w:rFonts w:hint="eastAsia" w:ascii="宋体" w:hAnsi="宋体" w:cs="宋体"/>
          <w:bCs/>
          <w:szCs w:val="28"/>
        </w:rPr>
        <w:t>南部县天然气有限责任公司</w:t>
      </w:r>
      <w:r>
        <w:rPr>
          <w:rFonts w:hint="eastAsia" w:ascii="宋体" w:hAnsi="宋体" w:cs="宋体"/>
          <w:szCs w:val="28"/>
        </w:rPr>
        <w:t>应急资源的调查，应急物资有一定的储备，但还应按清单补充完善。应急队伍开展了针对性的工作，有应急资金的投入，外部应急单位的协调开展了工作 ，应急资源基本能满足应急工作需要。希望加强人员队伍应急培训，加大应急演练频次，进一步完善补充应急物资，逐步完善各项应急保障措施，确保在发生安全事故时，能采取有效的应急救援行动，最大限度的降低事故带来的损失和影响的范围。</w:t>
      </w:r>
    </w:p>
    <w:p>
      <w:pPr>
        <w:spacing w:after="0" w:line="500" w:lineRule="exact"/>
        <w:ind w:firstLine="562" w:firstLineChars="200"/>
        <w:rPr>
          <w:rFonts w:ascii="宋体" w:hAnsi="宋体" w:cs="宋体"/>
          <w:b/>
          <w:bCs/>
          <w:sz w:val="32"/>
          <w:szCs w:val="32"/>
        </w:rPr>
      </w:pPr>
      <w:bookmarkStart w:id="449" w:name="_Toc78468885"/>
      <w:r>
        <w:rPr>
          <w:rFonts w:ascii="Times New Roman" w:hAnsi="Times New Roman"/>
          <w:b/>
          <w:bCs/>
          <w:szCs w:val="28"/>
        </w:rPr>
        <w:t>综上所述，</w:t>
      </w:r>
      <w:r>
        <w:rPr>
          <w:rFonts w:hint="eastAsia" w:ascii="Times New Roman" w:hAnsi="Times New Roman"/>
          <w:b/>
          <w:bCs/>
          <w:szCs w:val="28"/>
        </w:rPr>
        <w:t>在配置完善所必需的应急救援物资后，</w:t>
      </w:r>
      <w:r>
        <w:rPr>
          <w:rFonts w:ascii="Times New Roman" w:hAnsi="Times New Roman"/>
          <w:b/>
          <w:bCs/>
          <w:szCs w:val="28"/>
        </w:rPr>
        <w:t>本企业的内、外部应急资源基本</w:t>
      </w:r>
      <w:r>
        <w:rPr>
          <w:rFonts w:hint="eastAsia" w:ascii="Times New Roman" w:hAnsi="Times New Roman"/>
          <w:b/>
          <w:bCs/>
          <w:szCs w:val="28"/>
        </w:rPr>
        <w:t>能够</w:t>
      </w:r>
      <w:r>
        <w:rPr>
          <w:rFonts w:ascii="Times New Roman" w:hAnsi="Times New Roman"/>
          <w:b/>
          <w:bCs/>
          <w:szCs w:val="28"/>
        </w:rPr>
        <w:t>满足生产安全事故应急救援的需要。</w:t>
      </w:r>
      <w:r>
        <w:rPr>
          <w:rFonts w:hAnsi="宋体" w:cs="宋体"/>
        </w:rPr>
        <w:br w:type="page"/>
      </w:r>
    </w:p>
    <w:p>
      <w:pPr>
        <w:pStyle w:val="7"/>
      </w:pPr>
      <w:bookmarkStart w:id="450" w:name="_Toc101798359"/>
      <w:r>
        <w:rPr>
          <w:rFonts w:hint="eastAsia"/>
        </w:rPr>
        <w:t>附件1：应急救援指挥部成员及内部紧急联系电话表</w:t>
      </w:r>
      <w:bookmarkEnd w:id="449"/>
      <w:bookmarkEnd w:id="450"/>
    </w:p>
    <w:p>
      <w:pPr>
        <w:spacing w:after="0" w:line="560" w:lineRule="exact"/>
        <w:jc w:val="center"/>
        <w:rPr>
          <w:rFonts w:ascii="宋体" w:hAnsi="宋体" w:cs="宋体"/>
          <w:b/>
          <w:szCs w:val="28"/>
        </w:rPr>
      </w:pPr>
      <w:bookmarkStart w:id="451" w:name="_Toc78468886"/>
      <w:r>
        <w:rPr>
          <w:rFonts w:hint="eastAsia" w:ascii="宋体" w:hAnsi="宋体" w:cs="宋体"/>
          <w:b/>
          <w:szCs w:val="28"/>
        </w:rPr>
        <w:t>公司应急指挥部成员名单</w:t>
      </w:r>
    </w:p>
    <w:tbl>
      <w:tblPr>
        <w:tblStyle w:val="43"/>
        <w:tblW w:w="9886"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024"/>
        <w:gridCol w:w="3879"/>
        <w:gridCol w:w="2597"/>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序 号</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姓  名</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工作单位</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职务/职称</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苟连云</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总经理</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13990783499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汪晓林</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副经理</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13980303922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黄光伟</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副经理</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13340761999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4</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谢仕强</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副经理</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13990755788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5</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鲜红梅</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工会主席</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15682175888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6</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王  荣</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总工程师</w:t>
            </w:r>
          </w:p>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生产技术科科长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13890797796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7</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王  亚</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安全管理科科长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13550590058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8</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赵  超</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安全管理科副科长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13990762569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9</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李建明</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维修抢险队队长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15892775299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10</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苟  文</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维修抢险队副队长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13990827883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11</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梁伟林</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后勤管理科科长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13990808006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12</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邓代举</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输气管理科科长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13980303362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罗  钊</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经营管理科科长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13890852497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14</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李柯薇</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行政办公室主任</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18608171905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15</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董  浩</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财务科科长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13619050555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16</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杨浩琼</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财务科主办会计</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13778190423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17</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唐晓飞</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监察室主任</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13808272819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18</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何建辉</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工程安装管理科科长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13890880068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20</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郑宇卓</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管网管理科科长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13890832899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21</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汪  洋</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生产技术科副科长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13980306219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22</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文建军</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物资供应科科长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13088131856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23</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庞红英</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物资供应科副科长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13890849345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24</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宋俊宏</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网络信息管理科科长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15892791823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25</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高志强</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材料成本核算科科长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13508082977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26</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廖青林</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专职安全员</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15183567834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27</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宋  平</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东城管理所所长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13990812575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28</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罗  勇</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北城管理所所长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13890748288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29</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叶勇远</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西城管理所所长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18784777922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30</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杨龙章</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南城管理所所长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13990739686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31</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林小惠</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经营管理科副科长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13990780798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32</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李  果</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工程安装管理科副科长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13649059699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33</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刘  勇</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升钟</w:t>
            </w:r>
            <w:r>
              <w:rPr>
                <w:rFonts w:hint="eastAsia" w:ascii="宋体" w:hAnsi="宋体" w:eastAsia="黑体"/>
                <w:kern w:val="2"/>
                <w:sz w:val="24"/>
                <w:szCs w:val="24"/>
              </w:rPr>
              <w:t>管理站站长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13508274319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34</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谢平文</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定水</w:t>
            </w:r>
            <w:r>
              <w:rPr>
                <w:rFonts w:hint="eastAsia" w:ascii="宋体" w:hAnsi="宋体" w:eastAsia="黑体"/>
                <w:kern w:val="2"/>
                <w:sz w:val="24"/>
                <w:szCs w:val="24"/>
              </w:rPr>
              <w:t>管理站站长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13890736992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35</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罗丕芳</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盘龙</w:t>
            </w:r>
            <w:r>
              <w:rPr>
                <w:rFonts w:hint="eastAsia" w:ascii="宋体" w:hAnsi="宋体" w:eastAsia="黑体"/>
                <w:kern w:val="2"/>
                <w:sz w:val="24"/>
                <w:szCs w:val="24"/>
              </w:rPr>
              <w:t>管理站站长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13890841971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36</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赵  威</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建兴</w:t>
            </w:r>
            <w:r>
              <w:rPr>
                <w:rFonts w:hint="eastAsia" w:ascii="宋体" w:hAnsi="宋体" w:eastAsia="黑体"/>
                <w:kern w:val="2"/>
                <w:sz w:val="24"/>
                <w:szCs w:val="24"/>
              </w:rPr>
              <w:t>管理站站长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13890760165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37</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柴永成</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伏虎</w:t>
            </w:r>
            <w:r>
              <w:rPr>
                <w:rFonts w:hint="eastAsia" w:ascii="宋体" w:hAnsi="宋体" w:eastAsia="黑体"/>
                <w:kern w:val="2"/>
                <w:sz w:val="24"/>
                <w:szCs w:val="24"/>
              </w:rPr>
              <w:t>管理站站长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13890841350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38</w:t>
            </w:r>
          </w:p>
        </w:tc>
        <w:tc>
          <w:tcPr>
            <w:tcW w:w="102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王  栋</w:t>
            </w:r>
          </w:p>
        </w:tc>
        <w:tc>
          <w:tcPr>
            <w:tcW w:w="387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四川省南部县天然气有限责任公司</w:t>
            </w:r>
          </w:p>
        </w:tc>
        <w:tc>
          <w:tcPr>
            <w:tcW w:w="259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lang w:val="en-US" w:eastAsia="zh-CN"/>
              </w:rPr>
              <w:t>东坝</w:t>
            </w:r>
            <w:r>
              <w:rPr>
                <w:rFonts w:hint="eastAsia" w:ascii="宋体" w:hAnsi="宋体" w:eastAsia="黑体"/>
                <w:kern w:val="2"/>
                <w:sz w:val="24"/>
                <w:szCs w:val="24"/>
              </w:rPr>
              <w:t>管理站站长</w:t>
            </w:r>
          </w:p>
        </w:tc>
        <w:tc>
          <w:tcPr>
            <w:tcW w:w="1551"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kern w:val="2"/>
                <w:sz w:val="24"/>
                <w:szCs w:val="24"/>
              </w:rPr>
            </w:pPr>
            <w:r>
              <w:rPr>
                <w:rFonts w:hint="eastAsia" w:ascii="宋体" w:hAnsi="宋体" w:eastAsia="黑体"/>
                <w:kern w:val="2"/>
                <w:sz w:val="24"/>
                <w:szCs w:val="24"/>
              </w:rPr>
              <w:t>15881753238</w:t>
            </w:r>
          </w:p>
        </w:tc>
      </w:tr>
    </w:tbl>
    <w:p>
      <w:pPr>
        <w:spacing w:after="0" w:line="320" w:lineRule="exact"/>
        <w:jc w:val="center"/>
        <w:rPr>
          <w:rFonts w:ascii="宋体" w:hAnsi="宋体"/>
          <w:kern w:val="2"/>
          <w:sz w:val="24"/>
          <w:szCs w:val="24"/>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ascii="宋体" w:hAnsi="宋体"/>
          <w:kern w:val="2"/>
          <w:sz w:val="24"/>
          <w:szCs w:val="24"/>
        </w:rPr>
      </w:pPr>
      <w:r>
        <w:rPr>
          <w:rFonts w:hint="eastAsia" w:ascii="宋体" w:hAnsi="宋体" w:cs="宋体"/>
          <w:b/>
          <w:szCs w:val="28"/>
        </w:rPr>
        <w:t xml:space="preserve">指挥部办公室成员名单  </w:t>
      </w:r>
      <w:r>
        <w:rPr>
          <w:rFonts w:hint="eastAsia" w:ascii="宋体" w:hAnsi="宋体"/>
          <w:kern w:val="2"/>
          <w:sz w:val="24"/>
          <w:szCs w:val="24"/>
        </w:rPr>
        <w:t xml:space="preserve">             </w:t>
      </w:r>
    </w:p>
    <w:tbl>
      <w:tblPr>
        <w:tblStyle w:val="42"/>
        <w:tblW w:w="9899"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250"/>
        <w:gridCol w:w="3487"/>
        <w:gridCol w:w="184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序  号</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姓  名</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工作部门</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务</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w:t>
            </w:r>
          </w:p>
        </w:tc>
        <w:tc>
          <w:tcPr>
            <w:tcW w:w="1250"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王 荣</w:t>
            </w:r>
          </w:p>
        </w:tc>
        <w:tc>
          <w:tcPr>
            <w:tcW w:w="3487"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生产技术科</w:t>
            </w:r>
          </w:p>
        </w:tc>
        <w:tc>
          <w:tcPr>
            <w:tcW w:w="1842"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总工程师</w:t>
            </w:r>
          </w:p>
        </w:tc>
        <w:tc>
          <w:tcPr>
            <w:tcW w:w="2268"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13890797796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2</w:t>
            </w:r>
          </w:p>
        </w:tc>
        <w:tc>
          <w:tcPr>
            <w:tcW w:w="1250"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王亚</w:t>
            </w:r>
          </w:p>
        </w:tc>
        <w:tc>
          <w:tcPr>
            <w:tcW w:w="3487"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安全管理科</w:t>
            </w:r>
          </w:p>
        </w:tc>
        <w:tc>
          <w:tcPr>
            <w:tcW w:w="1842"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科</w:t>
            </w:r>
            <w:r>
              <w:rPr>
                <w:rFonts w:hint="eastAsia" w:ascii="宋体" w:hAnsi="宋体"/>
                <w:kern w:val="2"/>
                <w:sz w:val="24"/>
                <w:szCs w:val="24"/>
                <w:lang w:val="en-US" w:eastAsia="zh-CN"/>
              </w:rPr>
              <w:t xml:space="preserve">  </w:t>
            </w:r>
            <w:r>
              <w:rPr>
                <w:rFonts w:hint="eastAsia" w:ascii="宋体" w:hAnsi="宋体"/>
                <w:kern w:val="2"/>
                <w:sz w:val="24"/>
                <w:szCs w:val="24"/>
              </w:rPr>
              <w:t>长</w:t>
            </w:r>
          </w:p>
        </w:tc>
        <w:tc>
          <w:tcPr>
            <w:tcW w:w="2268"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13550590058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3</w:t>
            </w:r>
          </w:p>
        </w:tc>
        <w:tc>
          <w:tcPr>
            <w:tcW w:w="1250"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赵超</w:t>
            </w:r>
          </w:p>
        </w:tc>
        <w:tc>
          <w:tcPr>
            <w:tcW w:w="3487"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安全管理科</w:t>
            </w:r>
          </w:p>
        </w:tc>
        <w:tc>
          <w:tcPr>
            <w:tcW w:w="1842"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副科长</w:t>
            </w:r>
          </w:p>
        </w:tc>
        <w:tc>
          <w:tcPr>
            <w:tcW w:w="2268"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13990762569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4</w:t>
            </w:r>
          </w:p>
        </w:tc>
        <w:tc>
          <w:tcPr>
            <w:tcW w:w="1250"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罗  钊</w:t>
            </w:r>
          </w:p>
        </w:tc>
        <w:tc>
          <w:tcPr>
            <w:tcW w:w="3487"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经营管理科</w:t>
            </w:r>
          </w:p>
        </w:tc>
        <w:tc>
          <w:tcPr>
            <w:tcW w:w="1842"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科</w:t>
            </w:r>
            <w:r>
              <w:rPr>
                <w:rFonts w:hint="eastAsia" w:ascii="宋体" w:hAnsi="宋体"/>
                <w:kern w:val="2"/>
                <w:sz w:val="24"/>
                <w:szCs w:val="24"/>
                <w:lang w:val="en-US" w:eastAsia="zh-CN"/>
              </w:rPr>
              <w:t xml:space="preserve">  </w:t>
            </w:r>
            <w:r>
              <w:rPr>
                <w:rFonts w:hint="eastAsia" w:ascii="宋体" w:hAnsi="宋体"/>
                <w:kern w:val="2"/>
                <w:sz w:val="24"/>
                <w:szCs w:val="24"/>
              </w:rPr>
              <w:t>长</w:t>
            </w:r>
          </w:p>
        </w:tc>
        <w:tc>
          <w:tcPr>
            <w:tcW w:w="2268"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13890852497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5</w:t>
            </w:r>
          </w:p>
        </w:tc>
        <w:tc>
          <w:tcPr>
            <w:tcW w:w="1250"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李建明</w:t>
            </w:r>
          </w:p>
        </w:tc>
        <w:tc>
          <w:tcPr>
            <w:tcW w:w="3487"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维修抢险队</w:t>
            </w:r>
          </w:p>
        </w:tc>
        <w:tc>
          <w:tcPr>
            <w:tcW w:w="1842"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队</w:t>
            </w:r>
            <w:r>
              <w:rPr>
                <w:rFonts w:hint="eastAsia" w:ascii="宋体" w:hAnsi="宋体"/>
                <w:kern w:val="2"/>
                <w:sz w:val="24"/>
                <w:szCs w:val="24"/>
                <w:lang w:val="en-US" w:eastAsia="zh-CN"/>
              </w:rPr>
              <w:t xml:space="preserve">  </w:t>
            </w:r>
            <w:r>
              <w:rPr>
                <w:rFonts w:hint="eastAsia" w:ascii="宋体" w:hAnsi="宋体"/>
                <w:kern w:val="2"/>
                <w:sz w:val="24"/>
                <w:szCs w:val="24"/>
              </w:rPr>
              <w:t>长</w:t>
            </w:r>
          </w:p>
        </w:tc>
        <w:tc>
          <w:tcPr>
            <w:tcW w:w="2268"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15892775299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6</w:t>
            </w:r>
          </w:p>
        </w:tc>
        <w:tc>
          <w:tcPr>
            <w:tcW w:w="1250"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李柯薇</w:t>
            </w:r>
          </w:p>
        </w:tc>
        <w:tc>
          <w:tcPr>
            <w:tcW w:w="3487"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行政办公室</w:t>
            </w:r>
          </w:p>
        </w:tc>
        <w:tc>
          <w:tcPr>
            <w:tcW w:w="1842"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主</w:t>
            </w:r>
            <w:r>
              <w:rPr>
                <w:rFonts w:hint="eastAsia" w:ascii="宋体" w:hAnsi="宋体"/>
                <w:kern w:val="2"/>
                <w:sz w:val="24"/>
                <w:szCs w:val="24"/>
                <w:lang w:val="en-US" w:eastAsia="zh-CN"/>
              </w:rPr>
              <w:t xml:space="preserve">  </w:t>
            </w:r>
            <w:r>
              <w:rPr>
                <w:rFonts w:hint="eastAsia" w:ascii="宋体" w:hAnsi="宋体"/>
                <w:kern w:val="2"/>
                <w:sz w:val="24"/>
                <w:szCs w:val="24"/>
              </w:rPr>
              <w:t>任</w:t>
            </w:r>
          </w:p>
        </w:tc>
        <w:tc>
          <w:tcPr>
            <w:tcW w:w="2268"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18608171905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7</w:t>
            </w:r>
          </w:p>
        </w:tc>
        <w:tc>
          <w:tcPr>
            <w:tcW w:w="1250"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郑宇卓</w:t>
            </w:r>
          </w:p>
        </w:tc>
        <w:tc>
          <w:tcPr>
            <w:tcW w:w="3487"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管网管理科</w:t>
            </w:r>
          </w:p>
        </w:tc>
        <w:tc>
          <w:tcPr>
            <w:tcW w:w="1842"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科</w:t>
            </w:r>
            <w:r>
              <w:rPr>
                <w:rFonts w:hint="eastAsia" w:ascii="宋体" w:hAnsi="宋体"/>
                <w:kern w:val="2"/>
                <w:sz w:val="24"/>
                <w:szCs w:val="24"/>
                <w:lang w:val="en-US" w:eastAsia="zh-CN"/>
              </w:rPr>
              <w:t xml:space="preserve">  </w:t>
            </w:r>
            <w:r>
              <w:rPr>
                <w:rFonts w:hint="eastAsia" w:ascii="宋体" w:hAnsi="宋体"/>
                <w:kern w:val="2"/>
                <w:sz w:val="24"/>
                <w:szCs w:val="24"/>
              </w:rPr>
              <w:t>长</w:t>
            </w:r>
          </w:p>
        </w:tc>
        <w:tc>
          <w:tcPr>
            <w:tcW w:w="2268"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13890832899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8</w:t>
            </w:r>
          </w:p>
        </w:tc>
        <w:tc>
          <w:tcPr>
            <w:tcW w:w="1250"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邓代举</w:t>
            </w:r>
          </w:p>
        </w:tc>
        <w:tc>
          <w:tcPr>
            <w:tcW w:w="3487"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输气管理科</w:t>
            </w:r>
          </w:p>
        </w:tc>
        <w:tc>
          <w:tcPr>
            <w:tcW w:w="1842"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科</w:t>
            </w:r>
            <w:r>
              <w:rPr>
                <w:rFonts w:hint="eastAsia" w:ascii="宋体" w:hAnsi="宋体"/>
                <w:kern w:val="2"/>
                <w:sz w:val="24"/>
                <w:szCs w:val="24"/>
                <w:lang w:val="en-US" w:eastAsia="zh-CN"/>
              </w:rPr>
              <w:t xml:space="preserve">  </w:t>
            </w:r>
            <w:r>
              <w:rPr>
                <w:rFonts w:hint="eastAsia" w:ascii="宋体" w:hAnsi="宋体"/>
                <w:kern w:val="2"/>
                <w:sz w:val="24"/>
                <w:szCs w:val="24"/>
              </w:rPr>
              <w:t>长</w:t>
            </w:r>
          </w:p>
        </w:tc>
        <w:tc>
          <w:tcPr>
            <w:tcW w:w="2268"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13980303362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9</w:t>
            </w:r>
          </w:p>
        </w:tc>
        <w:tc>
          <w:tcPr>
            <w:tcW w:w="1250"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何建辉</w:t>
            </w:r>
          </w:p>
        </w:tc>
        <w:tc>
          <w:tcPr>
            <w:tcW w:w="3487"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工程安装管理科</w:t>
            </w:r>
          </w:p>
        </w:tc>
        <w:tc>
          <w:tcPr>
            <w:tcW w:w="1842"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科</w:t>
            </w:r>
            <w:r>
              <w:rPr>
                <w:rFonts w:hint="eastAsia" w:ascii="宋体" w:hAnsi="宋体"/>
                <w:kern w:val="2"/>
                <w:sz w:val="24"/>
                <w:szCs w:val="24"/>
                <w:lang w:val="en-US" w:eastAsia="zh-CN"/>
              </w:rPr>
              <w:t xml:space="preserve">  </w:t>
            </w:r>
            <w:r>
              <w:rPr>
                <w:rFonts w:hint="eastAsia" w:ascii="宋体" w:hAnsi="宋体"/>
                <w:kern w:val="2"/>
                <w:sz w:val="24"/>
                <w:szCs w:val="24"/>
              </w:rPr>
              <w:t>长</w:t>
            </w:r>
          </w:p>
        </w:tc>
        <w:tc>
          <w:tcPr>
            <w:tcW w:w="2268"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13890880068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10</w:t>
            </w:r>
          </w:p>
        </w:tc>
        <w:tc>
          <w:tcPr>
            <w:tcW w:w="1250"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廖青林</w:t>
            </w:r>
          </w:p>
        </w:tc>
        <w:tc>
          <w:tcPr>
            <w:tcW w:w="3487"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安全管理科</w:t>
            </w:r>
          </w:p>
        </w:tc>
        <w:tc>
          <w:tcPr>
            <w:tcW w:w="1842"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专职安全员</w:t>
            </w:r>
          </w:p>
        </w:tc>
        <w:tc>
          <w:tcPr>
            <w:tcW w:w="2268"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15183567834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11</w:t>
            </w:r>
          </w:p>
        </w:tc>
        <w:tc>
          <w:tcPr>
            <w:tcW w:w="1250"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唐晓飞</w:t>
            </w:r>
          </w:p>
        </w:tc>
        <w:tc>
          <w:tcPr>
            <w:tcW w:w="3487"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监察室</w:t>
            </w:r>
          </w:p>
        </w:tc>
        <w:tc>
          <w:tcPr>
            <w:tcW w:w="1842"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主</w:t>
            </w:r>
            <w:r>
              <w:rPr>
                <w:rFonts w:hint="eastAsia" w:ascii="宋体" w:hAnsi="宋体"/>
                <w:kern w:val="2"/>
                <w:sz w:val="24"/>
                <w:szCs w:val="24"/>
                <w:lang w:val="en-US" w:eastAsia="zh-CN"/>
              </w:rPr>
              <w:t xml:space="preserve">  </w:t>
            </w:r>
            <w:r>
              <w:rPr>
                <w:rFonts w:hint="eastAsia" w:ascii="宋体" w:hAnsi="宋体"/>
                <w:kern w:val="2"/>
                <w:sz w:val="24"/>
                <w:szCs w:val="24"/>
              </w:rPr>
              <w:t>任</w:t>
            </w:r>
          </w:p>
        </w:tc>
        <w:tc>
          <w:tcPr>
            <w:tcW w:w="2268"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13808272819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tabs>
                <w:tab w:val="center" w:pos="418"/>
              </w:tabs>
              <w:spacing w:after="0" w:line="320" w:lineRule="exact"/>
              <w:jc w:val="center"/>
              <w:rPr>
                <w:rFonts w:ascii="宋体" w:hAnsi="宋体"/>
                <w:kern w:val="2"/>
                <w:sz w:val="24"/>
                <w:szCs w:val="24"/>
              </w:rPr>
            </w:pPr>
            <w:r>
              <w:rPr>
                <w:rFonts w:hint="eastAsia" w:ascii="宋体" w:hAnsi="宋体"/>
                <w:kern w:val="2"/>
                <w:sz w:val="24"/>
                <w:szCs w:val="24"/>
              </w:rPr>
              <w:t>12</w:t>
            </w:r>
          </w:p>
        </w:tc>
        <w:tc>
          <w:tcPr>
            <w:tcW w:w="1250"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文建军</w:t>
            </w:r>
          </w:p>
        </w:tc>
        <w:tc>
          <w:tcPr>
            <w:tcW w:w="3487"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物质供应科</w:t>
            </w:r>
          </w:p>
        </w:tc>
        <w:tc>
          <w:tcPr>
            <w:tcW w:w="1842"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科</w:t>
            </w:r>
            <w:r>
              <w:rPr>
                <w:rFonts w:hint="eastAsia" w:ascii="宋体" w:hAnsi="宋体"/>
                <w:kern w:val="2"/>
                <w:sz w:val="24"/>
                <w:szCs w:val="24"/>
                <w:lang w:val="en-US" w:eastAsia="zh-CN"/>
              </w:rPr>
              <w:t xml:space="preserve">  </w:t>
            </w:r>
            <w:r>
              <w:rPr>
                <w:rFonts w:hint="eastAsia" w:ascii="宋体" w:hAnsi="宋体"/>
                <w:kern w:val="2"/>
                <w:sz w:val="24"/>
                <w:szCs w:val="24"/>
              </w:rPr>
              <w:t>长</w:t>
            </w:r>
          </w:p>
        </w:tc>
        <w:tc>
          <w:tcPr>
            <w:tcW w:w="2268"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13088131856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w:t>
            </w:r>
          </w:p>
        </w:tc>
        <w:tc>
          <w:tcPr>
            <w:tcW w:w="1250"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梁伟林</w:t>
            </w:r>
          </w:p>
        </w:tc>
        <w:tc>
          <w:tcPr>
            <w:tcW w:w="3487"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后勤科</w:t>
            </w:r>
          </w:p>
        </w:tc>
        <w:tc>
          <w:tcPr>
            <w:tcW w:w="1842"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科</w:t>
            </w:r>
            <w:r>
              <w:rPr>
                <w:rFonts w:hint="eastAsia" w:ascii="宋体" w:hAnsi="宋体"/>
                <w:kern w:val="2"/>
                <w:sz w:val="24"/>
                <w:szCs w:val="24"/>
                <w:lang w:val="en-US" w:eastAsia="zh-CN"/>
              </w:rPr>
              <w:t xml:space="preserve">  </w:t>
            </w:r>
            <w:r>
              <w:rPr>
                <w:rFonts w:hint="eastAsia" w:ascii="宋体" w:hAnsi="宋体"/>
                <w:kern w:val="2"/>
                <w:sz w:val="24"/>
                <w:szCs w:val="24"/>
              </w:rPr>
              <w:t>长</w:t>
            </w:r>
          </w:p>
        </w:tc>
        <w:tc>
          <w:tcPr>
            <w:tcW w:w="2268" w:type="dxa"/>
            <w:tcBorders>
              <w:top w:val="single" w:color="auto" w:sz="4" w:space="0"/>
              <w:left w:val="nil"/>
              <w:bottom w:val="single" w:color="auto" w:sz="4" w:space="0"/>
              <w:right w:val="single" w:color="auto" w:sz="4" w:space="0"/>
            </w:tcBorders>
          </w:tcPr>
          <w:p>
            <w:pPr>
              <w:spacing w:after="0" w:line="240" w:lineRule="auto"/>
              <w:jc w:val="center"/>
              <w:rPr>
                <w:rFonts w:hint="eastAsia" w:ascii="宋体" w:hAnsi="宋体"/>
                <w:kern w:val="2"/>
                <w:sz w:val="24"/>
                <w:szCs w:val="24"/>
              </w:rPr>
            </w:pPr>
            <w:r>
              <w:rPr>
                <w:rFonts w:hint="eastAsia" w:ascii="宋体" w:hAnsi="宋体"/>
                <w:kern w:val="2"/>
                <w:sz w:val="24"/>
                <w:szCs w:val="24"/>
              </w:rPr>
              <w:t>13990808006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14</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冯巧娟</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8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15196793881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洪  玉</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8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13419136800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16</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罗丽华</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8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15281729433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52"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17</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张春燕</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8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13980313667</w:t>
            </w:r>
          </w:p>
        </w:tc>
      </w:tr>
    </w:tbl>
    <w:p>
      <w:pPr>
        <w:spacing w:after="0" w:line="320" w:lineRule="exact"/>
        <w:jc w:val="left"/>
        <w:rPr>
          <w:rFonts w:ascii="宋体" w:hAnsi="宋体"/>
          <w:kern w:val="2"/>
          <w:sz w:val="24"/>
          <w:szCs w:val="24"/>
        </w:rPr>
      </w:pPr>
    </w:p>
    <w:p>
      <w:pPr>
        <w:spacing w:after="0" w:line="320" w:lineRule="exact"/>
        <w:jc w:val="center"/>
        <w:rPr>
          <w:rFonts w:ascii="宋体" w:hAnsi="宋体"/>
          <w:kern w:val="2"/>
          <w:sz w:val="24"/>
          <w:szCs w:val="24"/>
        </w:rPr>
      </w:pPr>
    </w:p>
    <w:p>
      <w:pPr>
        <w:spacing w:after="0" w:line="560" w:lineRule="exact"/>
        <w:jc w:val="center"/>
        <w:rPr>
          <w:rFonts w:hint="eastAsia" w:ascii="宋体" w:hAnsi="宋体" w:cs="宋体"/>
          <w:b/>
          <w:szCs w:val="28"/>
        </w:rPr>
      </w:pPr>
      <w:r>
        <w:rPr>
          <w:rFonts w:hint="eastAsia" w:ascii="宋体" w:hAnsi="宋体" w:cs="宋体"/>
          <w:b/>
          <w:szCs w:val="28"/>
        </w:rPr>
        <w:t xml:space="preserve"> </w:t>
      </w: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ascii="宋体" w:hAnsi="宋体" w:cs="宋体"/>
          <w:b/>
          <w:szCs w:val="28"/>
        </w:rPr>
      </w:pPr>
      <w:r>
        <w:rPr>
          <w:rFonts w:hint="eastAsia" w:ascii="宋体" w:hAnsi="宋体" w:cs="宋体"/>
          <w:b/>
          <w:szCs w:val="28"/>
        </w:rPr>
        <w:t xml:space="preserve"> 现场救援组成员名单</w:t>
      </w:r>
    </w:p>
    <w:tbl>
      <w:tblPr>
        <w:tblStyle w:val="42"/>
        <w:tblW w:w="9946"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042"/>
        <w:gridCol w:w="3828"/>
        <w:gridCol w:w="198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序  号</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姓  名</w:t>
            </w:r>
          </w:p>
        </w:tc>
        <w:tc>
          <w:tcPr>
            <w:tcW w:w="382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工作部门</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务</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李建明</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队</w:t>
            </w:r>
            <w:r>
              <w:rPr>
                <w:rFonts w:hint="eastAsia" w:ascii="宋体" w:hAnsi="宋体"/>
                <w:kern w:val="2"/>
                <w:sz w:val="24"/>
                <w:szCs w:val="24"/>
                <w:lang w:val="en-US" w:eastAsia="zh-CN"/>
              </w:rPr>
              <w:t xml:space="preserve">  </w:t>
            </w:r>
            <w:r>
              <w:rPr>
                <w:rFonts w:hint="eastAsia" w:ascii="宋体" w:hAnsi="宋体"/>
                <w:kern w:val="2"/>
                <w:sz w:val="24"/>
                <w:szCs w:val="24"/>
              </w:rPr>
              <w:t>长</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15892775299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2</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何建辉</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工程安装科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rPr>
            </w:pPr>
            <w:r>
              <w:rPr>
                <w:rFonts w:hint="eastAsia" w:ascii="宋体" w:hAnsi="宋体"/>
                <w:kern w:val="2"/>
                <w:sz w:val="24"/>
                <w:szCs w:val="24"/>
              </w:rPr>
              <w:t>副队长</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13890880068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苟  文</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职</w:t>
            </w:r>
            <w:r>
              <w:rPr>
                <w:rFonts w:hint="eastAsia" w:ascii="宋体" w:hAnsi="宋体"/>
                <w:kern w:val="2"/>
                <w:sz w:val="24"/>
                <w:szCs w:val="24"/>
                <w:lang w:val="en-US" w:eastAsia="zh-CN"/>
              </w:rPr>
              <w:t xml:space="preserve">  </w:t>
            </w:r>
            <w:r>
              <w:rPr>
                <w:rFonts w:hint="eastAsia" w:ascii="宋体" w:hAnsi="宋体"/>
                <w:kern w:val="2"/>
                <w:sz w:val="24"/>
                <w:szCs w:val="24"/>
                <w:lang w:eastAsia="zh-CN"/>
              </w:rPr>
              <w:t>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13990827883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4</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李  鑫</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15181704788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5</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梁  川</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15182974999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6</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刘  刚</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15181748000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7</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郑志刚</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13778181851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8</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刘  健</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18382978111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9</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罗  刚</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13990708055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10</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石金榜</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维修抢险队</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13458228782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rPr>
              <w:t>1</w:t>
            </w:r>
            <w:r>
              <w:rPr>
                <w:rFonts w:hint="eastAsia" w:ascii="宋体" w:hAnsi="宋体"/>
                <w:kern w:val="2"/>
                <w:sz w:val="24"/>
                <w:szCs w:val="24"/>
                <w:lang w:val="en-US" w:eastAsia="zh-CN"/>
              </w:rPr>
              <w:t>1</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郑宇卓</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13890862899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rPr>
              <w:t>1</w:t>
            </w:r>
            <w:r>
              <w:rPr>
                <w:rFonts w:hint="eastAsia" w:ascii="宋体" w:hAnsi="宋体"/>
                <w:kern w:val="2"/>
                <w:sz w:val="24"/>
                <w:szCs w:val="24"/>
                <w:lang w:val="en-US" w:eastAsia="zh-CN"/>
              </w:rPr>
              <w:t>2</w:t>
            </w:r>
          </w:p>
        </w:tc>
        <w:tc>
          <w:tcPr>
            <w:tcW w:w="10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何  刚</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13980303302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rPr>
              <w:t>1</w:t>
            </w:r>
            <w:r>
              <w:rPr>
                <w:rFonts w:hint="eastAsia" w:ascii="宋体" w:hAnsi="宋体"/>
                <w:kern w:val="2"/>
                <w:sz w:val="24"/>
                <w:szCs w:val="24"/>
                <w:lang w:val="en-US" w:eastAsia="zh-CN"/>
              </w:rPr>
              <w:t>3</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何岱泉</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15681064555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14</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马</w:t>
            </w:r>
            <w:r>
              <w:rPr>
                <w:rFonts w:hint="eastAsia" w:ascii="宋体" w:hAnsi="宋体"/>
                <w:kern w:val="2"/>
                <w:sz w:val="24"/>
                <w:szCs w:val="24"/>
                <w:lang w:val="en-US" w:eastAsia="zh-CN"/>
              </w:rPr>
              <w:t xml:space="preserve">  </w:t>
            </w:r>
            <w:r>
              <w:rPr>
                <w:rFonts w:hint="eastAsia" w:ascii="宋体" w:hAnsi="宋体"/>
                <w:kern w:val="2"/>
                <w:sz w:val="24"/>
                <w:szCs w:val="24"/>
                <w:lang w:eastAsia="zh-CN"/>
              </w:rPr>
              <w:t>林</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13990887700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陈汶建</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18381765876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16</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范树伟</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15882609171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17</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蒲焕辉</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13990708055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val="en-US" w:eastAsia="zh-CN"/>
              </w:rPr>
            </w:pPr>
            <w:r>
              <w:rPr>
                <w:rFonts w:hint="eastAsia" w:ascii="宋体" w:hAnsi="宋体"/>
                <w:kern w:val="2"/>
                <w:sz w:val="24"/>
                <w:szCs w:val="24"/>
                <w:lang w:val="en-US" w:eastAsia="zh-CN"/>
              </w:rPr>
              <w:t>杨竞智</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18781780100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19</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王</w:t>
            </w:r>
            <w:r>
              <w:rPr>
                <w:rFonts w:hint="eastAsia" w:ascii="宋体" w:hAnsi="宋体"/>
                <w:kern w:val="2"/>
                <w:sz w:val="24"/>
                <w:szCs w:val="24"/>
                <w:lang w:val="en-US" w:eastAsia="zh-CN"/>
              </w:rPr>
              <w:t xml:space="preserve">  </w:t>
            </w:r>
            <w:r>
              <w:rPr>
                <w:rFonts w:hint="eastAsia" w:ascii="宋体" w:hAnsi="宋体"/>
                <w:kern w:val="2"/>
                <w:sz w:val="24"/>
                <w:szCs w:val="24"/>
                <w:lang w:eastAsia="zh-CN"/>
              </w:rPr>
              <w:t>进</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15082787038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20</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涂发生</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燃气管网科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13518285731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21</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李</w:t>
            </w:r>
            <w:r>
              <w:rPr>
                <w:rFonts w:hint="eastAsia" w:ascii="宋体" w:hAnsi="宋体"/>
                <w:kern w:val="2"/>
                <w:sz w:val="24"/>
                <w:szCs w:val="24"/>
                <w:lang w:val="en-US" w:eastAsia="zh-CN"/>
              </w:rPr>
              <w:t xml:space="preserve">  </w:t>
            </w:r>
            <w:r>
              <w:rPr>
                <w:rFonts w:hint="eastAsia" w:ascii="宋体" w:hAnsi="宋体"/>
                <w:kern w:val="2"/>
                <w:sz w:val="24"/>
                <w:szCs w:val="24"/>
                <w:lang w:eastAsia="zh-CN"/>
              </w:rPr>
              <w:t>果</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工程安装科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13649059699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22</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李</w:t>
            </w:r>
            <w:r>
              <w:rPr>
                <w:rFonts w:hint="eastAsia" w:ascii="宋体" w:hAnsi="宋体"/>
                <w:kern w:val="2"/>
                <w:sz w:val="24"/>
                <w:szCs w:val="24"/>
                <w:lang w:val="en-US" w:eastAsia="zh-CN"/>
              </w:rPr>
              <w:t xml:space="preserve">  </w:t>
            </w:r>
            <w:r>
              <w:rPr>
                <w:rFonts w:hint="eastAsia" w:ascii="宋体" w:hAnsi="宋体"/>
                <w:kern w:val="2"/>
                <w:sz w:val="24"/>
                <w:szCs w:val="24"/>
                <w:lang w:eastAsia="zh-CN"/>
              </w:rPr>
              <w:t>锐</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工程安装科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18090590325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23</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张</w:t>
            </w:r>
            <w:r>
              <w:rPr>
                <w:rFonts w:hint="eastAsia" w:ascii="宋体" w:hAnsi="宋体"/>
                <w:kern w:val="2"/>
                <w:sz w:val="24"/>
                <w:szCs w:val="24"/>
                <w:lang w:val="en-US" w:eastAsia="zh-CN"/>
              </w:rPr>
              <w:t xml:space="preserve">  </w:t>
            </w:r>
            <w:r>
              <w:rPr>
                <w:rFonts w:hint="eastAsia" w:ascii="宋体" w:hAnsi="宋体"/>
                <w:kern w:val="2"/>
                <w:sz w:val="24"/>
                <w:szCs w:val="24"/>
                <w:lang w:eastAsia="zh-CN"/>
              </w:rPr>
              <w:t>杰</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工程安装科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18086905688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24</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任</w:t>
            </w:r>
            <w:r>
              <w:rPr>
                <w:rFonts w:hint="eastAsia" w:ascii="宋体" w:hAnsi="宋体"/>
                <w:kern w:val="2"/>
                <w:sz w:val="24"/>
                <w:szCs w:val="24"/>
                <w:lang w:val="en-US" w:eastAsia="zh-CN"/>
              </w:rPr>
              <w:t xml:space="preserve">  </w:t>
            </w:r>
            <w:r>
              <w:rPr>
                <w:rFonts w:hint="eastAsia" w:ascii="宋体" w:hAnsi="宋体"/>
                <w:kern w:val="2"/>
                <w:sz w:val="24"/>
                <w:szCs w:val="24"/>
                <w:lang w:eastAsia="zh-CN"/>
              </w:rPr>
              <w:t>超</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工程安装科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15882690329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25</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曹振华</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18696767841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26</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刘</w:t>
            </w:r>
            <w:r>
              <w:rPr>
                <w:rFonts w:hint="eastAsia" w:ascii="宋体" w:hAnsi="宋体"/>
                <w:kern w:val="2"/>
                <w:sz w:val="24"/>
                <w:szCs w:val="24"/>
                <w:lang w:val="en-US" w:eastAsia="zh-CN"/>
              </w:rPr>
              <w:t xml:space="preserve">  </w:t>
            </w:r>
            <w:r>
              <w:rPr>
                <w:rFonts w:hint="eastAsia" w:ascii="宋体" w:hAnsi="宋体"/>
                <w:kern w:val="2"/>
                <w:sz w:val="24"/>
                <w:szCs w:val="24"/>
                <w:lang w:eastAsia="zh-CN"/>
              </w:rPr>
              <w:t>红</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18990856378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27</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徐</w:t>
            </w:r>
            <w:r>
              <w:rPr>
                <w:rFonts w:hint="eastAsia" w:ascii="宋体" w:hAnsi="宋体"/>
                <w:kern w:val="2"/>
                <w:sz w:val="24"/>
                <w:szCs w:val="24"/>
                <w:lang w:val="en-US" w:eastAsia="zh-CN"/>
              </w:rPr>
              <w:t xml:space="preserve">  </w:t>
            </w:r>
            <w:r>
              <w:rPr>
                <w:rFonts w:hint="eastAsia" w:ascii="宋体" w:hAnsi="宋体"/>
                <w:kern w:val="2"/>
                <w:sz w:val="24"/>
                <w:szCs w:val="24"/>
                <w:lang w:eastAsia="zh-CN"/>
              </w:rPr>
              <w:t>旸</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18781747666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28</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汪峰毅</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15882637999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29</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陈</w:t>
            </w:r>
            <w:r>
              <w:rPr>
                <w:rFonts w:hint="eastAsia" w:ascii="宋体" w:hAnsi="宋体"/>
                <w:kern w:val="2"/>
                <w:sz w:val="24"/>
                <w:szCs w:val="24"/>
                <w:lang w:val="en-US" w:eastAsia="zh-CN"/>
              </w:rPr>
              <w:t xml:space="preserve">  </w:t>
            </w:r>
            <w:r>
              <w:rPr>
                <w:rFonts w:hint="eastAsia" w:ascii="宋体" w:hAnsi="宋体"/>
                <w:kern w:val="2"/>
                <w:sz w:val="24"/>
                <w:szCs w:val="24"/>
                <w:lang w:eastAsia="zh-CN"/>
              </w:rPr>
              <w:t>治</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18011691655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30</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杜雄林</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13568606186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31</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杜剑锋</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15228168605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32</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杨</w:t>
            </w:r>
            <w:r>
              <w:rPr>
                <w:rFonts w:hint="eastAsia" w:ascii="宋体" w:hAnsi="宋体"/>
                <w:kern w:val="2"/>
                <w:sz w:val="24"/>
                <w:szCs w:val="24"/>
                <w:lang w:val="en-US" w:eastAsia="zh-CN"/>
              </w:rPr>
              <w:t xml:space="preserve">  </w:t>
            </w:r>
            <w:r>
              <w:rPr>
                <w:rFonts w:hint="eastAsia" w:ascii="宋体" w:hAnsi="宋体"/>
                <w:kern w:val="2"/>
                <w:sz w:val="24"/>
                <w:szCs w:val="24"/>
                <w:lang w:eastAsia="zh-CN"/>
              </w:rPr>
              <w:t>波</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15881778785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33</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蒲凌燕</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13890849137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34</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姜大明</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15082792525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35</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冯</w:t>
            </w:r>
            <w:r>
              <w:rPr>
                <w:rFonts w:hint="eastAsia" w:ascii="宋体" w:hAnsi="宋体"/>
                <w:kern w:val="2"/>
                <w:sz w:val="24"/>
                <w:szCs w:val="24"/>
                <w:lang w:val="en-US" w:eastAsia="zh-CN"/>
              </w:rPr>
              <w:t xml:space="preserve">  </w:t>
            </w:r>
            <w:r>
              <w:rPr>
                <w:rFonts w:hint="eastAsia" w:ascii="宋体" w:hAnsi="宋体"/>
                <w:kern w:val="2"/>
                <w:sz w:val="24"/>
                <w:szCs w:val="24"/>
                <w:lang w:eastAsia="zh-CN"/>
              </w:rPr>
              <w:t>斌</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13890861333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36</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赵洪斌</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18780767000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37</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刘冠红</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lang w:eastAsia="zh-CN"/>
              </w:rPr>
              <w:t>经营管理科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13980303999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38</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马钰禧</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材料成本核算科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18881795173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39</w:t>
            </w:r>
          </w:p>
        </w:tc>
        <w:tc>
          <w:tcPr>
            <w:tcW w:w="1042"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kern w:val="2"/>
                <w:sz w:val="24"/>
                <w:szCs w:val="24"/>
                <w:lang w:eastAsia="zh-CN"/>
              </w:rPr>
            </w:pPr>
            <w:r>
              <w:rPr>
                <w:rFonts w:hint="eastAsia" w:ascii="宋体" w:hAnsi="宋体"/>
                <w:kern w:val="2"/>
                <w:sz w:val="24"/>
                <w:szCs w:val="24"/>
                <w:lang w:eastAsia="zh-CN"/>
              </w:rPr>
              <w:t>王</w:t>
            </w:r>
            <w:r>
              <w:rPr>
                <w:rFonts w:hint="eastAsia" w:ascii="宋体" w:hAnsi="宋体"/>
                <w:kern w:val="2"/>
                <w:sz w:val="24"/>
                <w:szCs w:val="24"/>
                <w:lang w:val="en-US" w:eastAsia="zh-CN"/>
              </w:rPr>
              <w:t xml:space="preserve">  </w:t>
            </w:r>
            <w:r>
              <w:rPr>
                <w:rFonts w:hint="eastAsia" w:ascii="宋体" w:hAnsi="宋体"/>
                <w:kern w:val="2"/>
                <w:sz w:val="24"/>
                <w:szCs w:val="24"/>
                <w:lang w:eastAsia="zh-CN"/>
              </w:rPr>
              <w:t>淏</w:t>
            </w:r>
          </w:p>
        </w:tc>
        <w:tc>
          <w:tcPr>
            <w:tcW w:w="3828" w:type="dxa"/>
            <w:tcBorders>
              <w:top w:val="single" w:color="auto" w:sz="4" w:space="0"/>
              <w:left w:val="nil"/>
              <w:bottom w:val="single" w:color="auto" w:sz="4" w:space="0"/>
              <w:right w:val="single" w:color="auto" w:sz="4" w:space="0"/>
            </w:tcBorders>
          </w:tcPr>
          <w:p>
            <w:pPr>
              <w:spacing w:after="0" w:line="320" w:lineRule="exact"/>
              <w:jc w:val="center"/>
              <w:rPr>
                <w:rFonts w:hint="eastAsia" w:ascii="宋体" w:hAnsi="宋体" w:eastAsia="宋体"/>
                <w:kern w:val="2"/>
                <w:sz w:val="24"/>
                <w:szCs w:val="24"/>
                <w:lang w:eastAsia="zh-CN"/>
              </w:rPr>
            </w:pPr>
            <w:r>
              <w:rPr>
                <w:rFonts w:hint="eastAsia" w:ascii="宋体" w:hAnsi="宋体"/>
                <w:kern w:val="2"/>
                <w:sz w:val="24"/>
                <w:szCs w:val="24"/>
                <w:lang w:eastAsia="zh-CN"/>
              </w:rPr>
              <w:t>材料成本核算科</w:t>
            </w:r>
          </w:p>
        </w:tc>
        <w:tc>
          <w:tcPr>
            <w:tcW w:w="19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126" w:type="dxa"/>
            <w:tcBorders>
              <w:top w:val="single" w:color="auto" w:sz="4" w:space="0"/>
              <w:left w:val="nil"/>
              <w:bottom w:val="single" w:color="auto" w:sz="4" w:space="0"/>
              <w:right w:val="single" w:color="auto" w:sz="4" w:space="0"/>
            </w:tcBorders>
          </w:tcPr>
          <w:p>
            <w:pPr>
              <w:spacing w:after="0" w:line="320" w:lineRule="exact"/>
              <w:jc w:val="center"/>
              <w:rPr>
                <w:rFonts w:hint="default" w:ascii="宋体" w:hAnsi="宋体" w:eastAsia="宋体"/>
                <w:kern w:val="2"/>
                <w:sz w:val="24"/>
                <w:szCs w:val="24"/>
                <w:lang w:val="en-US" w:eastAsia="zh-CN"/>
              </w:rPr>
            </w:pPr>
            <w:r>
              <w:rPr>
                <w:rFonts w:hint="eastAsia" w:ascii="宋体" w:hAnsi="宋体"/>
                <w:kern w:val="2"/>
                <w:sz w:val="24"/>
                <w:szCs w:val="24"/>
                <w:lang w:val="en-US" w:eastAsia="zh-CN"/>
              </w:rPr>
              <w:t>15892434400</w:t>
            </w:r>
          </w:p>
        </w:tc>
      </w:tr>
    </w:tbl>
    <w:p>
      <w:pPr>
        <w:spacing w:after="0" w:line="320" w:lineRule="exact"/>
        <w:jc w:val="center"/>
        <w:rPr>
          <w:rFonts w:ascii="宋体" w:hAnsi="宋体"/>
          <w:kern w:val="2"/>
          <w:sz w:val="24"/>
          <w:szCs w:val="24"/>
        </w:rPr>
      </w:pPr>
      <w:r>
        <w:rPr>
          <w:rFonts w:hint="eastAsia" w:ascii="宋体" w:hAnsi="宋体"/>
          <w:kern w:val="2"/>
          <w:sz w:val="24"/>
          <w:szCs w:val="24"/>
        </w:rPr>
        <w:t xml:space="preserve"> </w:t>
      </w:r>
    </w:p>
    <w:p>
      <w:pPr>
        <w:spacing w:after="0" w:line="560" w:lineRule="exact"/>
        <w:jc w:val="center"/>
        <w:rPr>
          <w:rFonts w:ascii="宋体" w:hAnsi="宋体" w:cs="宋体"/>
          <w:b/>
          <w:szCs w:val="28"/>
        </w:rPr>
      </w:pPr>
      <w:r>
        <w:rPr>
          <w:rFonts w:hint="eastAsia" w:ascii="宋体" w:hAnsi="宋体" w:cs="宋体"/>
          <w:b/>
          <w:szCs w:val="28"/>
        </w:rPr>
        <w:t>事故联络组成员</w:t>
      </w:r>
    </w:p>
    <w:tbl>
      <w:tblPr>
        <w:tblStyle w:val="42"/>
        <w:tblW w:w="9841"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250"/>
        <w:gridCol w:w="3945"/>
        <w:gridCol w:w="1380"/>
        <w:gridCol w:w="2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序  号</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姓  名</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工作部门</w:t>
            </w:r>
          </w:p>
        </w:tc>
        <w:tc>
          <w:tcPr>
            <w:tcW w:w="138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务</w:t>
            </w:r>
          </w:p>
        </w:tc>
        <w:tc>
          <w:tcPr>
            <w:tcW w:w="227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汪晓林</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四川省南部县天然气有限责任公司</w:t>
            </w:r>
          </w:p>
        </w:tc>
        <w:tc>
          <w:tcPr>
            <w:tcW w:w="138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副经理</w:t>
            </w:r>
          </w:p>
        </w:tc>
        <w:tc>
          <w:tcPr>
            <w:tcW w:w="227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13980303922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2</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黄光伟</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四川省南部县天然气有限责任公司</w:t>
            </w:r>
          </w:p>
        </w:tc>
        <w:tc>
          <w:tcPr>
            <w:tcW w:w="138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副经理</w:t>
            </w:r>
          </w:p>
        </w:tc>
        <w:tc>
          <w:tcPr>
            <w:tcW w:w="227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13340761999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3</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谢仕强</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四川省南部县天然气有限责任公司</w:t>
            </w:r>
          </w:p>
        </w:tc>
        <w:tc>
          <w:tcPr>
            <w:tcW w:w="138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副经理</w:t>
            </w:r>
          </w:p>
        </w:tc>
        <w:tc>
          <w:tcPr>
            <w:tcW w:w="227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13990755788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4</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李柯薇</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行政办公室</w:t>
            </w:r>
          </w:p>
        </w:tc>
        <w:tc>
          <w:tcPr>
            <w:tcW w:w="138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主任</w:t>
            </w:r>
          </w:p>
        </w:tc>
        <w:tc>
          <w:tcPr>
            <w:tcW w:w="227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18608171905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5</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宋俊宏</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网络管理科</w:t>
            </w:r>
          </w:p>
        </w:tc>
        <w:tc>
          <w:tcPr>
            <w:tcW w:w="138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科长</w:t>
            </w:r>
          </w:p>
        </w:tc>
        <w:tc>
          <w:tcPr>
            <w:tcW w:w="227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15892791823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6</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唐晓飞</w:t>
            </w:r>
          </w:p>
        </w:tc>
        <w:tc>
          <w:tcPr>
            <w:tcW w:w="394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监察室</w:t>
            </w:r>
          </w:p>
        </w:tc>
        <w:tc>
          <w:tcPr>
            <w:tcW w:w="138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科长</w:t>
            </w:r>
          </w:p>
        </w:tc>
        <w:tc>
          <w:tcPr>
            <w:tcW w:w="227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13808272819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7</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吴雨芹</w:t>
            </w:r>
          </w:p>
        </w:tc>
        <w:tc>
          <w:tcPr>
            <w:tcW w:w="394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行政办公室</w:t>
            </w:r>
          </w:p>
        </w:tc>
        <w:tc>
          <w:tcPr>
            <w:tcW w:w="138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职工</w:t>
            </w:r>
          </w:p>
        </w:tc>
        <w:tc>
          <w:tcPr>
            <w:tcW w:w="227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13330769177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8</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吴瑜</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行政办公室</w:t>
            </w:r>
          </w:p>
        </w:tc>
        <w:tc>
          <w:tcPr>
            <w:tcW w:w="138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职工</w:t>
            </w:r>
          </w:p>
        </w:tc>
        <w:tc>
          <w:tcPr>
            <w:tcW w:w="227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15328899329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9</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p>
        </w:tc>
        <w:tc>
          <w:tcPr>
            <w:tcW w:w="138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p>
        </w:tc>
        <w:tc>
          <w:tcPr>
            <w:tcW w:w="227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10</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394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138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227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11</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394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138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227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394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138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c>
          <w:tcPr>
            <w:tcW w:w="227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p>
        </w:tc>
      </w:tr>
    </w:tbl>
    <w:p>
      <w:pPr>
        <w:spacing w:after="0" w:line="560" w:lineRule="exact"/>
        <w:jc w:val="center"/>
        <w:rPr>
          <w:rFonts w:ascii="宋体" w:hAnsi="宋体" w:cs="宋体"/>
          <w:b/>
          <w:szCs w:val="28"/>
        </w:rPr>
      </w:pPr>
      <w:r>
        <w:rPr>
          <w:rFonts w:hint="eastAsia" w:ascii="宋体" w:hAnsi="宋体" w:cs="宋体"/>
          <w:b/>
          <w:szCs w:val="28"/>
        </w:rPr>
        <w:t xml:space="preserve">  </w:t>
      </w: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ascii="宋体" w:hAnsi="宋体" w:cs="宋体"/>
          <w:b/>
          <w:szCs w:val="28"/>
        </w:rPr>
      </w:pPr>
      <w:r>
        <w:rPr>
          <w:rFonts w:hint="eastAsia" w:ascii="宋体" w:hAnsi="宋体" w:cs="宋体"/>
          <w:b/>
          <w:szCs w:val="28"/>
        </w:rPr>
        <w:t>技术支持组成员名单</w:t>
      </w:r>
    </w:p>
    <w:tbl>
      <w:tblPr>
        <w:tblStyle w:val="42"/>
        <w:tblW w:w="9841"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250"/>
        <w:gridCol w:w="3960"/>
        <w:gridCol w:w="1369"/>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序  号</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姓  名</w:t>
            </w:r>
          </w:p>
        </w:tc>
        <w:tc>
          <w:tcPr>
            <w:tcW w:w="39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工作部门</w:t>
            </w:r>
          </w:p>
        </w:tc>
        <w:tc>
          <w:tcPr>
            <w:tcW w:w="136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务</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谢仕强</w:t>
            </w:r>
          </w:p>
        </w:tc>
        <w:tc>
          <w:tcPr>
            <w:tcW w:w="39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四川省南部县天然气有限责任公司</w:t>
            </w:r>
          </w:p>
        </w:tc>
        <w:tc>
          <w:tcPr>
            <w:tcW w:w="136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副经理</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13990755788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2</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王荣</w:t>
            </w:r>
          </w:p>
        </w:tc>
        <w:tc>
          <w:tcPr>
            <w:tcW w:w="39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生产技术科</w:t>
            </w:r>
          </w:p>
        </w:tc>
        <w:tc>
          <w:tcPr>
            <w:tcW w:w="136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总工程师</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13890797796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3</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宋杨</w:t>
            </w:r>
          </w:p>
        </w:tc>
        <w:tc>
          <w:tcPr>
            <w:tcW w:w="39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生产技术科</w:t>
            </w:r>
          </w:p>
        </w:tc>
        <w:tc>
          <w:tcPr>
            <w:tcW w:w="136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ascii="宋体" w:hAnsi="宋体"/>
                <w:kern w:val="2"/>
                <w:sz w:val="24"/>
                <w:szCs w:val="24"/>
              </w:rPr>
              <w:t>13108174888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4</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梁家铭</w:t>
            </w:r>
          </w:p>
        </w:tc>
        <w:tc>
          <w:tcPr>
            <w:tcW w:w="396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ascii="宋体" w:hAnsi="宋体"/>
                <w:kern w:val="2"/>
                <w:sz w:val="24"/>
                <w:szCs w:val="24"/>
              </w:rPr>
              <w:t> </w:t>
            </w:r>
            <w:r>
              <w:rPr>
                <w:rFonts w:hint="eastAsia" w:ascii="宋体" w:hAnsi="宋体"/>
                <w:kern w:val="2"/>
                <w:sz w:val="24"/>
                <w:szCs w:val="24"/>
              </w:rPr>
              <w:t>生产技术科</w:t>
            </w:r>
          </w:p>
        </w:tc>
        <w:tc>
          <w:tcPr>
            <w:tcW w:w="1369"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18881788118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5</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陈俊宇</w:t>
            </w:r>
          </w:p>
        </w:tc>
        <w:tc>
          <w:tcPr>
            <w:tcW w:w="396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生产技术科</w:t>
            </w:r>
          </w:p>
        </w:tc>
        <w:tc>
          <w:tcPr>
            <w:tcW w:w="1369"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15881798217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6</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汪洋</w:t>
            </w:r>
          </w:p>
        </w:tc>
        <w:tc>
          <w:tcPr>
            <w:tcW w:w="396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生产技术科</w:t>
            </w:r>
          </w:p>
        </w:tc>
        <w:tc>
          <w:tcPr>
            <w:tcW w:w="1369"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13980306219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7</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梁</w:t>
            </w:r>
            <w:r>
              <w:rPr>
                <w:rFonts w:hint="eastAsia" w:ascii="宋体" w:hAnsi="宋体"/>
                <w:kern w:val="2"/>
                <w:sz w:val="24"/>
                <w:szCs w:val="24"/>
                <w:lang w:val="en-US" w:eastAsia="zh-CN"/>
              </w:rPr>
              <w:t>颢</w:t>
            </w:r>
            <w:r>
              <w:rPr>
                <w:rFonts w:hint="eastAsia" w:ascii="宋体" w:hAnsi="宋体"/>
                <w:kern w:val="2"/>
                <w:sz w:val="24"/>
                <w:szCs w:val="24"/>
              </w:rPr>
              <w:t>钟</w:t>
            </w:r>
          </w:p>
        </w:tc>
        <w:tc>
          <w:tcPr>
            <w:tcW w:w="396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生产技术科</w:t>
            </w:r>
          </w:p>
        </w:tc>
        <w:tc>
          <w:tcPr>
            <w:tcW w:w="1369"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15881701952</w:t>
            </w:r>
          </w:p>
        </w:tc>
      </w:tr>
    </w:tbl>
    <w:p>
      <w:pPr>
        <w:spacing w:after="0" w:line="320" w:lineRule="exact"/>
        <w:jc w:val="center"/>
        <w:rPr>
          <w:rFonts w:ascii="宋体" w:hAnsi="宋体"/>
          <w:kern w:val="2"/>
          <w:sz w:val="24"/>
          <w:szCs w:val="24"/>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hint="eastAsia" w:ascii="宋体" w:hAnsi="宋体" w:cs="宋体"/>
          <w:b/>
          <w:szCs w:val="28"/>
        </w:rPr>
      </w:pPr>
    </w:p>
    <w:p>
      <w:pPr>
        <w:spacing w:after="0" w:line="560" w:lineRule="exact"/>
        <w:jc w:val="center"/>
        <w:rPr>
          <w:rFonts w:ascii="宋体" w:hAnsi="宋体" w:cs="宋体"/>
          <w:b/>
          <w:szCs w:val="28"/>
        </w:rPr>
      </w:pPr>
      <w:r>
        <w:rPr>
          <w:rFonts w:hint="eastAsia" w:ascii="宋体" w:hAnsi="宋体" w:cs="宋体"/>
          <w:b/>
          <w:szCs w:val="28"/>
        </w:rPr>
        <w:t>交通组成员名单</w:t>
      </w:r>
    </w:p>
    <w:tbl>
      <w:tblPr>
        <w:tblStyle w:val="42"/>
        <w:tblW w:w="9841"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250"/>
        <w:gridCol w:w="3945"/>
        <w:gridCol w:w="138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序  号</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姓  名</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工作部门</w:t>
            </w:r>
          </w:p>
        </w:tc>
        <w:tc>
          <w:tcPr>
            <w:tcW w:w="13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务</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鲜红梅</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四川省南部县天然气有限责任公司</w:t>
            </w:r>
          </w:p>
        </w:tc>
        <w:tc>
          <w:tcPr>
            <w:tcW w:w="13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工会主席</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15682175888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2</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梁伟林</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3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ascii="宋体" w:hAnsi="宋体"/>
                <w:kern w:val="2"/>
                <w:sz w:val="24"/>
                <w:szCs w:val="24"/>
              </w:rPr>
              <w:t>13990808006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3</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杨辉</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3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ascii="宋体" w:hAnsi="宋体"/>
                <w:kern w:val="2"/>
                <w:sz w:val="24"/>
                <w:szCs w:val="24"/>
              </w:rPr>
              <w:t>13890760693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4</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费仲勋</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3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13990709626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5</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范培强</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3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13990783856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6</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赵清年</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3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13678280778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7</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何勇</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3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13990840825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8</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杨兵</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3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15681390557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9</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欧效辰</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3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13350405452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10</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罗仲</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3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13404086000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11</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罗红兵</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3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13518284991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12</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张</w:t>
            </w:r>
            <w:r>
              <w:rPr>
                <w:rFonts w:hint="eastAsia" w:ascii="宋体" w:hAnsi="宋体"/>
                <w:kern w:val="2"/>
                <w:sz w:val="24"/>
                <w:szCs w:val="24"/>
              </w:rPr>
              <w:t>清</w:t>
            </w:r>
            <w:r>
              <w:rPr>
                <w:rFonts w:ascii="宋体" w:hAnsi="宋体"/>
                <w:kern w:val="2"/>
                <w:sz w:val="24"/>
                <w:szCs w:val="24"/>
              </w:rPr>
              <w:t>武</w:t>
            </w:r>
          </w:p>
        </w:tc>
        <w:tc>
          <w:tcPr>
            <w:tcW w:w="3945"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后勤管理科</w:t>
            </w:r>
          </w:p>
        </w:tc>
        <w:tc>
          <w:tcPr>
            <w:tcW w:w="1384"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工</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15181798420</w:t>
            </w:r>
          </w:p>
        </w:tc>
      </w:tr>
    </w:tbl>
    <w:p>
      <w:pPr>
        <w:spacing w:after="0" w:line="320" w:lineRule="exact"/>
        <w:jc w:val="center"/>
        <w:rPr>
          <w:rFonts w:ascii="宋体" w:hAnsi="宋体"/>
          <w:kern w:val="2"/>
          <w:sz w:val="24"/>
          <w:szCs w:val="24"/>
        </w:rPr>
      </w:pPr>
    </w:p>
    <w:p>
      <w:pPr>
        <w:spacing w:after="0" w:line="560" w:lineRule="exact"/>
        <w:jc w:val="center"/>
        <w:rPr>
          <w:rFonts w:ascii="宋体" w:hAnsi="宋体" w:cs="宋体"/>
          <w:b/>
          <w:szCs w:val="28"/>
        </w:rPr>
      </w:pPr>
      <w:r>
        <w:rPr>
          <w:rFonts w:hint="eastAsia" w:ascii="宋体" w:hAnsi="宋体" w:cs="宋体"/>
          <w:b/>
          <w:szCs w:val="28"/>
        </w:rPr>
        <w:t>医疗救护组成员名单</w:t>
      </w:r>
    </w:p>
    <w:tbl>
      <w:tblPr>
        <w:tblStyle w:val="42"/>
        <w:tblW w:w="9841"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250"/>
        <w:gridCol w:w="3487"/>
        <w:gridCol w:w="184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序  号</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姓  名</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工作部门</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职  务</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1</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罗钊</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经营管理科</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科长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13890852497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2</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宋平</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东城管理所</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所长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ascii="宋体" w:hAnsi="宋体"/>
                <w:kern w:val="2"/>
                <w:sz w:val="24"/>
                <w:szCs w:val="24"/>
              </w:rPr>
              <w:t>13990812575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3</w:t>
            </w:r>
          </w:p>
        </w:tc>
        <w:tc>
          <w:tcPr>
            <w:tcW w:w="12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杨龙章</w:t>
            </w:r>
          </w:p>
        </w:tc>
        <w:tc>
          <w:tcPr>
            <w:tcW w:w="3487"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南城管理所</w:t>
            </w:r>
          </w:p>
        </w:tc>
        <w:tc>
          <w:tcPr>
            <w:tcW w:w="1842"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hint="eastAsia" w:ascii="宋体" w:hAnsi="宋体"/>
                <w:kern w:val="2"/>
                <w:sz w:val="24"/>
                <w:szCs w:val="24"/>
              </w:rPr>
              <w:t>所长</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kern w:val="2"/>
                <w:sz w:val="24"/>
                <w:szCs w:val="24"/>
              </w:rPr>
            </w:pPr>
            <w:r>
              <w:rPr>
                <w:rFonts w:ascii="宋体" w:hAnsi="宋体"/>
                <w:kern w:val="2"/>
                <w:sz w:val="24"/>
                <w:szCs w:val="24"/>
              </w:rPr>
              <w:t>13990739686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4</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叶勇远</w:t>
            </w:r>
          </w:p>
        </w:tc>
        <w:tc>
          <w:tcPr>
            <w:tcW w:w="3487"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西城管理所</w:t>
            </w:r>
          </w:p>
        </w:tc>
        <w:tc>
          <w:tcPr>
            <w:tcW w:w="18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所长</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18784777922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99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5</w:t>
            </w:r>
          </w:p>
        </w:tc>
        <w:tc>
          <w:tcPr>
            <w:tcW w:w="12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罗勇</w:t>
            </w:r>
          </w:p>
        </w:tc>
        <w:tc>
          <w:tcPr>
            <w:tcW w:w="3487"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北城管理所</w:t>
            </w:r>
          </w:p>
        </w:tc>
        <w:tc>
          <w:tcPr>
            <w:tcW w:w="1842"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hint="eastAsia" w:ascii="宋体" w:hAnsi="宋体"/>
                <w:kern w:val="2"/>
                <w:sz w:val="24"/>
                <w:szCs w:val="24"/>
              </w:rPr>
              <w:t>所长</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kern w:val="2"/>
                <w:sz w:val="24"/>
                <w:szCs w:val="24"/>
              </w:rPr>
            </w:pPr>
            <w:r>
              <w:rPr>
                <w:rFonts w:ascii="宋体" w:hAnsi="宋体"/>
                <w:kern w:val="2"/>
                <w:sz w:val="24"/>
                <w:szCs w:val="24"/>
              </w:rPr>
              <w:t>13890748288</w:t>
            </w:r>
          </w:p>
        </w:tc>
      </w:tr>
    </w:tbl>
    <w:p>
      <w:pPr>
        <w:pStyle w:val="7"/>
        <w:rPr>
          <w:rFonts w:hint="eastAsia"/>
        </w:rPr>
      </w:pPr>
      <w:bookmarkStart w:id="452" w:name="_Toc101798360"/>
    </w:p>
    <w:p>
      <w:pPr>
        <w:rPr>
          <w:rFonts w:hint="eastAsia"/>
        </w:rPr>
      </w:pPr>
    </w:p>
    <w:p>
      <w:pPr>
        <w:pStyle w:val="7"/>
      </w:pPr>
      <w:r>
        <w:rPr>
          <w:rFonts w:hint="eastAsia"/>
        </w:rPr>
        <w:t>附件2：外部救援单位联系方式</w:t>
      </w:r>
      <w:bookmarkEnd w:id="451"/>
      <w:bookmarkEnd w:id="452"/>
    </w:p>
    <w:p>
      <w:pPr>
        <w:pStyle w:val="72"/>
        <w:rPr>
          <w:color w:val="auto"/>
        </w:rPr>
      </w:pP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667"/>
        <w:gridCol w:w="3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序号</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协防力量名称</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hint="eastAsia" w:ascii="宋体" w:hAnsi="宋体" w:cs="宋体"/>
                <w:color w:val="000000"/>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1</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南部县人民政府</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ascii="宋体" w:hAnsi="宋体" w:cs="宋体"/>
                <w:color w:val="000000"/>
                <w:sz w:val="24"/>
                <w:szCs w:val="24"/>
              </w:rPr>
              <w:t>0817-</w:t>
            </w:r>
            <w:r>
              <w:rPr>
                <w:rFonts w:hint="eastAsia" w:ascii="宋体" w:hAnsi="宋体" w:cs="宋体"/>
                <w:color w:val="000000"/>
                <w:sz w:val="24"/>
                <w:szCs w:val="24"/>
              </w:rPr>
              <w:t>5525456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2</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南部县消防大队</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ascii="宋体" w:hAnsi="宋体" w:cs="宋体"/>
                <w:color w:val="000000"/>
                <w:sz w:val="24"/>
                <w:szCs w:val="24"/>
              </w:rPr>
              <w:t>0817-119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3</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南部县公安局</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ascii="宋体" w:hAnsi="宋体" w:cs="宋体"/>
                <w:color w:val="000000"/>
                <w:sz w:val="24"/>
                <w:szCs w:val="24"/>
              </w:rPr>
              <w:t>0817-110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4</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南部县急救中心</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ascii="宋体" w:hAnsi="宋体" w:cs="宋体"/>
                <w:color w:val="000000"/>
                <w:sz w:val="24"/>
                <w:szCs w:val="24"/>
              </w:rPr>
              <w:t>0817-120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5</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南充市应急管理局</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ascii="宋体" w:hAnsi="宋体" w:cs="宋体"/>
                <w:color w:val="000000"/>
                <w:sz w:val="24"/>
                <w:szCs w:val="24"/>
              </w:rPr>
              <w:t>0817-2222419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6</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南部县应急管理局</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hint="eastAsia" w:ascii="宋体" w:hAnsi="宋体" w:cs="宋体"/>
                <w:color w:val="000000"/>
                <w:sz w:val="24"/>
                <w:szCs w:val="24"/>
              </w:rPr>
              <w:t>5522425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7</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南部县住房和城乡建设局</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hint="eastAsia" w:ascii="宋体" w:hAnsi="宋体" w:cs="宋体"/>
                <w:color w:val="000000"/>
                <w:sz w:val="24"/>
                <w:szCs w:val="24"/>
              </w:rPr>
              <w:t>5522251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8</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采油采气作业区</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hint="eastAsia" w:ascii="宋体" w:hAnsi="宋体" w:cs="宋体"/>
                <w:color w:val="000000"/>
                <w:sz w:val="24"/>
                <w:szCs w:val="24"/>
              </w:rPr>
              <w:t>5524745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9</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南部县人民医院</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hint="eastAsia" w:ascii="宋体" w:hAnsi="宋体" w:cs="宋体"/>
                <w:color w:val="000000"/>
                <w:sz w:val="24"/>
                <w:szCs w:val="24"/>
              </w:rPr>
              <w:t>5522762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10</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南部县第二人民医院</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hint="eastAsia" w:ascii="宋体" w:hAnsi="宋体" w:cs="宋体"/>
                <w:color w:val="000000"/>
                <w:sz w:val="24"/>
                <w:szCs w:val="24"/>
              </w:rPr>
              <w:t>5522553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11</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南部县中医院</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hint="eastAsia" w:ascii="宋体" w:hAnsi="宋体" w:cs="宋体"/>
                <w:color w:val="000000"/>
                <w:sz w:val="24"/>
                <w:szCs w:val="24"/>
              </w:rPr>
              <w:t>5577367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12</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南部县中仁医院</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hint="eastAsia" w:ascii="宋体" w:hAnsi="宋体" w:cs="宋体"/>
                <w:color w:val="000000"/>
                <w:sz w:val="24"/>
                <w:szCs w:val="24"/>
              </w:rPr>
              <w:t>5583428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宋体" w:hAnsi="宋体" w:cs="宋体"/>
                <w:color w:val="000000"/>
                <w:sz w:val="24"/>
                <w:szCs w:val="24"/>
              </w:rPr>
            </w:pPr>
            <w:r>
              <w:rPr>
                <w:rFonts w:hint="eastAsia" w:ascii="宋体" w:hAnsi="宋体" w:cs="宋体"/>
                <w:color w:val="000000"/>
                <w:sz w:val="24"/>
                <w:szCs w:val="24"/>
              </w:rPr>
              <w:t>13</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both"/>
              <w:rPr>
                <w:rFonts w:ascii="宋体" w:hAnsi="宋体" w:cs="宋体"/>
                <w:color w:val="000000"/>
                <w:sz w:val="24"/>
                <w:szCs w:val="24"/>
              </w:rPr>
            </w:pPr>
            <w:r>
              <w:rPr>
                <w:rFonts w:hint="eastAsia" w:ascii="宋体" w:hAnsi="宋体" w:cs="宋体"/>
                <w:color w:val="000000"/>
                <w:sz w:val="24"/>
                <w:szCs w:val="24"/>
              </w:rPr>
              <w:t>南部县环境保护局</w:t>
            </w:r>
          </w:p>
        </w:tc>
        <w:tc>
          <w:tcPr>
            <w:tcW w:w="366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宋体" w:hAnsi="宋体" w:cs="宋体"/>
                <w:color w:val="000000"/>
                <w:sz w:val="24"/>
                <w:szCs w:val="24"/>
              </w:rPr>
            </w:pPr>
            <w:r>
              <w:rPr>
                <w:rFonts w:hint="eastAsia" w:ascii="宋体" w:hAnsi="宋体" w:cs="宋体"/>
                <w:color w:val="000000"/>
                <w:sz w:val="24"/>
                <w:szCs w:val="24"/>
              </w:rPr>
              <w:t>5522587</w:t>
            </w:r>
          </w:p>
        </w:tc>
      </w:tr>
    </w:tbl>
    <w:p>
      <w:pPr>
        <w:ind w:firstLine="480"/>
        <w:rPr>
          <w:rFonts w:ascii="宋体" w:hAnsi="宋体" w:cs="宋体"/>
          <w:sz w:val="24"/>
          <w:szCs w:val="24"/>
        </w:rPr>
      </w:pPr>
    </w:p>
    <w:p>
      <w:pPr>
        <w:adjustRightInd/>
        <w:snapToGrid/>
        <w:spacing w:after="0"/>
        <w:ind w:firstLine="560"/>
        <w:rPr>
          <w:rFonts w:ascii="宋体" w:hAnsi="宋体"/>
          <w:b/>
          <w:bCs/>
          <w:sz w:val="32"/>
          <w:szCs w:val="36"/>
        </w:rPr>
      </w:pPr>
      <w:bookmarkStart w:id="453" w:name="_Toc77002718"/>
      <w:bookmarkStart w:id="454" w:name="_Toc78468887"/>
      <w:r>
        <w:rPr>
          <w:rFonts w:hAnsi="宋体"/>
          <w:szCs w:val="36"/>
        </w:rPr>
        <w:br w:type="page"/>
      </w:r>
    </w:p>
    <w:p>
      <w:pPr>
        <w:pStyle w:val="7"/>
      </w:pPr>
      <w:bookmarkStart w:id="455" w:name="_Toc101798361"/>
      <w:r>
        <w:rPr>
          <w:rFonts w:hint="eastAsia"/>
        </w:rPr>
        <w:t>附件3：应急物资、装备清单</w:t>
      </w:r>
      <w:bookmarkEnd w:id="453"/>
      <w:bookmarkEnd w:id="454"/>
      <w:bookmarkEnd w:id="455"/>
    </w:p>
    <w:p>
      <w:pPr>
        <w:ind w:firstLine="560"/>
        <w:jc w:val="center"/>
        <w:rPr>
          <w:szCs w:val="28"/>
        </w:rPr>
      </w:pPr>
    </w:p>
    <w:p>
      <w:pPr>
        <w:ind w:firstLine="562"/>
        <w:jc w:val="center"/>
        <w:rPr>
          <w:rFonts w:ascii="宋体" w:hAnsi="宋体"/>
          <w:b/>
          <w:bCs/>
          <w:szCs w:val="28"/>
        </w:rPr>
      </w:pPr>
      <w:r>
        <w:rPr>
          <w:rFonts w:hint="eastAsia" w:ascii="宋体" w:hAnsi="宋体"/>
          <w:b/>
          <w:bCs/>
          <w:szCs w:val="28"/>
        </w:rPr>
        <w:t>场站应急救援物质装备清单</w:t>
      </w:r>
    </w:p>
    <w:p>
      <w:pPr>
        <w:jc w:val="distribute"/>
        <w:rPr>
          <w:rFonts w:asciiTheme="minorEastAsia" w:hAnsiTheme="minorEastAsia" w:eastAsiaTheme="minorEastAsia"/>
          <w:sz w:val="24"/>
          <w:szCs w:val="24"/>
        </w:rPr>
      </w:pPr>
      <w:r>
        <w:rPr>
          <w:rFonts w:hint="eastAsia" w:asciiTheme="minorEastAsia" w:hAnsiTheme="minorEastAsia" w:eastAsiaTheme="minorEastAsia"/>
          <w:sz w:val="24"/>
          <w:szCs w:val="24"/>
        </w:rPr>
        <w:t>场站名称：长沟门站                                                编号：场站1</w:t>
      </w:r>
    </w:p>
    <w:tbl>
      <w:tblPr>
        <w:tblStyle w:val="4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276"/>
        <w:gridCol w:w="2410"/>
        <w:gridCol w:w="850"/>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b/>
                <w:bCs/>
                <w:color w:val="FF0000"/>
                <w:sz w:val="24"/>
                <w:szCs w:val="24"/>
              </w:rPr>
            </w:pPr>
            <w:r>
              <w:rPr>
                <w:rFonts w:ascii="宋体" w:hAnsi="宋体" w:eastAsia="黑体"/>
                <w:b/>
                <w:bCs/>
                <w:sz w:val="24"/>
                <w:szCs w:val="24"/>
              </w:rPr>
              <w:t>检测、报警设备配置</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b/>
                <w:bCs/>
                <w:sz w:val="24"/>
                <w:szCs w:val="24"/>
              </w:rPr>
            </w:pPr>
            <w:r>
              <w:rPr>
                <w:rFonts w:ascii="宋体" w:hAnsi="宋体" w:eastAsia="黑体"/>
                <w:b/>
                <w:bCs/>
                <w:sz w:val="24"/>
                <w:szCs w:val="24"/>
              </w:rPr>
              <w:t>在用情况</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b/>
                <w:bCs/>
                <w:sz w:val="24"/>
                <w:szCs w:val="24"/>
              </w:rPr>
            </w:pPr>
            <w:r>
              <w:rPr>
                <w:rFonts w:ascii="宋体" w:hAnsi="宋体" w:eastAsia="黑体"/>
                <w:b/>
                <w:bCs/>
                <w:sz w:val="24"/>
                <w:szCs w:val="24"/>
              </w:rPr>
              <w:t>型号与规格</w:t>
            </w:r>
          </w:p>
        </w:tc>
        <w:tc>
          <w:tcPr>
            <w:tcW w:w="8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b/>
                <w:bCs/>
                <w:sz w:val="24"/>
                <w:szCs w:val="24"/>
              </w:rPr>
            </w:pPr>
            <w:r>
              <w:rPr>
                <w:rFonts w:ascii="宋体" w:hAnsi="宋体" w:eastAsia="黑体"/>
                <w:b/>
                <w:bCs/>
                <w:sz w:val="24"/>
                <w:szCs w:val="24"/>
              </w:rPr>
              <w:t>数量</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ascii="宋体" w:hAnsi="宋体" w:eastAsia="黑体"/>
                <w:b/>
                <w:bCs/>
                <w:sz w:val="24"/>
                <w:szCs w:val="24"/>
              </w:rPr>
              <w:t>配置地点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泄漏监测报警仪</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XP2000</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1</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增压站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rPr>
                <w:rFonts w:ascii="宋体" w:hAnsi="宋体" w:eastAsia="黑体"/>
                <w:sz w:val="24"/>
                <w:szCs w:val="24"/>
              </w:rPr>
            </w:pP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color w:val="FF0000"/>
                <w:sz w:val="24"/>
                <w:szCs w:val="24"/>
              </w:rPr>
            </w:pP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便携式泄漏探测仪</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JL269</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2</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火灾监测报警器</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AEC2302a</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1</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hint="eastAsia" w:ascii="宋体" w:hAnsi="宋体" w:eastAsia="黑体"/>
                <w:sz w:val="24"/>
                <w:szCs w:val="24"/>
              </w:rPr>
              <w:t>报警电话</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5531073</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长沟村值班室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ascii="宋体" w:hAnsi="宋体" w:eastAsia="黑体"/>
                <w:b/>
                <w:bCs/>
                <w:sz w:val="24"/>
                <w:szCs w:val="24"/>
              </w:rPr>
              <w:t>应急设备与器具</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应急电源</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CDE13LXBT</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1</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hint="eastAsia" w:ascii="宋体" w:hAnsi="宋体" w:eastAsia="黑体"/>
                <w:sz w:val="24"/>
                <w:szCs w:val="24"/>
              </w:rPr>
              <w:t>应急照明</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GJ-ZFZD-E3W-A1</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5</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办公区和增压站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tcBorders>
              <w:top w:val="nil"/>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灭火器</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pacing w:val="-20"/>
                <w:sz w:val="24"/>
                <w:szCs w:val="24"/>
              </w:rPr>
            </w:pPr>
            <w:r>
              <w:rPr>
                <w:rFonts w:hint="eastAsia" w:ascii="宋体" w:hAnsi="宋体" w:eastAsia="黑体"/>
                <w:spacing w:val="-20"/>
                <w:sz w:val="24"/>
                <w:szCs w:val="24"/>
              </w:rPr>
              <w:t>MFZ/ABC35Kg灭火器</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2具</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tcBorders>
              <w:top w:val="nil"/>
              <w:left w:val="single" w:color="auto" w:sz="4" w:space="0"/>
              <w:bottom w:val="single" w:color="auto" w:sz="4" w:space="0"/>
              <w:right w:val="single" w:color="auto" w:sz="4" w:space="0"/>
            </w:tcBorders>
            <w:vAlign w:val="center"/>
          </w:tcPr>
          <w:p>
            <w:pPr>
              <w:spacing w:after="0" w:line="320" w:lineRule="exact"/>
              <w:rPr>
                <w:rFonts w:ascii="宋体" w:hAnsi="宋体" w:eastAsia="黑体"/>
                <w:sz w:val="24"/>
                <w:szCs w:val="24"/>
              </w:rPr>
            </w:pP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pacing w:val="-6"/>
                <w:sz w:val="24"/>
                <w:szCs w:val="24"/>
              </w:rPr>
            </w:pPr>
            <w:r>
              <w:rPr>
                <w:rFonts w:hint="eastAsia" w:ascii="宋体" w:hAnsi="宋体" w:eastAsia="黑体"/>
                <w:spacing w:val="-6"/>
                <w:sz w:val="24"/>
                <w:szCs w:val="24"/>
              </w:rPr>
              <w:t>MFZ/ABC8Kg灭火器</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4具</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防火沙箱</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500kg</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1个</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消防栓</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DN50</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2个</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消防水枪</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DN50</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2个</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消防水龙带</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100米/根</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4根</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消防水池</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1000m</w:t>
            </w:r>
            <w:r>
              <w:rPr>
                <w:rFonts w:hint="eastAsia" w:ascii="宋体" w:hAnsi="宋体" w:eastAsia="黑体"/>
                <w:sz w:val="24"/>
                <w:szCs w:val="24"/>
                <w:vertAlign w:val="superscript"/>
              </w:rPr>
              <w:t>3</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1个</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消防撬</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4把</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消防桶</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4只</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消防火钩</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4把</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bl>
    <w:p>
      <w:pPr>
        <w:rPr>
          <w:szCs w:val="28"/>
        </w:rPr>
      </w:pPr>
      <w:r>
        <w:rPr>
          <w:szCs w:val="28"/>
        </w:rPr>
        <w:br w:type="page"/>
      </w:r>
    </w:p>
    <w:p>
      <w:pPr>
        <w:ind w:firstLine="560"/>
        <w:rPr>
          <w:szCs w:val="28"/>
        </w:rPr>
      </w:pPr>
    </w:p>
    <w:p>
      <w:pPr>
        <w:jc w:val="distribute"/>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场站名称：蜀北配气站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编号：场站2</w:t>
      </w:r>
    </w:p>
    <w:tbl>
      <w:tblPr>
        <w:tblStyle w:val="4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276"/>
        <w:gridCol w:w="2410"/>
        <w:gridCol w:w="850"/>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b/>
                <w:bCs/>
                <w:color w:val="FF0000"/>
                <w:sz w:val="24"/>
                <w:szCs w:val="24"/>
              </w:rPr>
            </w:pPr>
            <w:r>
              <w:rPr>
                <w:rFonts w:ascii="宋体" w:hAnsi="宋体" w:eastAsia="黑体"/>
                <w:b/>
                <w:bCs/>
                <w:sz w:val="24"/>
                <w:szCs w:val="24"/>
              </w:rPr>
              <w:t>检测、报警设备配置</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b/>
                <w:bCs/>
                <w:sz w:val="24"/>
                <w:szCs w:val="24"/>
              </w:rPr>
            </w:pPr>
            <w:r>
              <w:rPr>
                <w:rFonts w:ascii="宋体" w:hAnsi="宋体" w:eastAsia="黑体"/>
                <w:b/>
                <w:bCs/>
                <w:sz w:val="24"/>
                <w:szCs w:val="24"/>
              </w:rPr>
              <w:t>在用情况</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b/>
                <w:bCs/>
                <w:sz w:val="24"/>
                <w:szCs w:val="24"/>
              </w:rPr>
            </w:pPr>
            <w:r>
              <w:rPr>
                <w:rFonts w:ascii="宋体" w:hAnsi="宋体" w:eastAsia="黑体"/>
                <w:b/>
                <w:bCs/>
                <w:sz w:val="24"/>
                <w:szCs w:val="24"/>
              </w:rPr>
              <w:t>型号与规格</w:t>
            </w:r>
          </w:p>
        </w:tc>
        <w:tc>
          <w:tcPr>
            <w:tcW w:w="85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b/>
                <w:bCs/>
                <w:sz w:val="24"/>
                <w:szCs w:val="24"/>
              </w:rPr>
            </w:pPr>
            <w:r>
              <w:rPr>
                <w:rFonts w:ascii="宋体" w:hAnsi="宋体" w:eastAsia="黑体"/>
                <w:b/>
                <w:bCs/>
                <w:sz w:val="24"/>
                <w:szCs w:val="24"/>
              </w:rPr>
              <w:t>数量</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ascii="宋体" w:hAnsi="宋体" w:eastAsia="黑体"/>
                <w:b/>
                <w:bCs/>
                <w:sz w:val="24"/>
                <w:szCs w:val="24"/>
              </w:rPr>
              <w:t>配置地点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泄漏监测报警仪</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停用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便携式泄漏探测仪</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JL269</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2</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火灾监测报警器</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停用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hint="eastAsia" w:ascii="宋体" w:hAnsi="宋体" w:eastAsia="黑体"/>
                <w:sz w:val="24"/>
                <w:szCs w:val="24"/>
              </w:rPr>
              <w:t>报警电话</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b/>
                <w:bCs/>
                <w:sz w:val="24"/>
                <w:szCs w:val="24"/>
              </w:rPr>
              <w:t>5572121</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ascii="宋体" w:hAnsi="宋体" w:eastAsia="黑体"/>
                <w:b/>
                <w:bCs/>
                <w:sz w:val="24"/>
                <w:szCs w:val="24"/>
              </w:rPr>
              <w:t>应急设备与器具</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应急电源</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hint="eastAsia" w:ascii="宋体" w:hAnsi="宋体" w:eastAsia="黑体"/>
                <w:sz w:val="24"/>
                <w:szCs w:val="24"/>
              </w:rPr>
              <w:t>应急照明</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GJ-ZFZD-E3W-A1</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2</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tcBorders>
              <w:top w:val="nil"/>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灭火器</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pacing w:val="-20"/>
                <w:sz w:val="24"/>
                <w:szCs w:val="24"/>
              </w:rPr>
            </w:pPr>
            <w:r>
              <w:rPr>
                <w:rFonts w:hint="eastAsia" w:ascii="宋体" w:hAnsi="宋体" w:eastAsia="黑体"/>
                <w:spacing w:val="-20"/>
                <w:sz w:val="24"/>
                <w:szCs w:val="24"/>
              </w:rPr>
              <w:t>MFZ/ABC35Kg灭火器</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4具</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tcBorders>
              <w:top w:val="nil"/>
              <w:left w:val="single" w:color="auto" w:sz="4" w:space="0"/>
              <w:bottom w:val="single" w:color="auto" w:sz="4" w:space="0"/>
              <w:right w:val="single" w:color="auto" w:sz="4" w:space="0"/>
            </w:tcBorders>
            <w:vAlign w:val="center"/>
          </w:tcPr>
          <w:p>
            <w:pPr>
              <w:spacing w:after="0" w:line="320" w:lineRule="exact"/>
              <w:rPr>
                <w:rFonts w:ascii="宋体" w:hAnsi="宋体" w:eastAsia="黑体"/>
                <w:sz w:val="24"/>
                <w:szCs w:val="24"/>
              </w:rPr>
            </w:pP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pacing w:val="-6"/>
                <w:sz w:val="24"/>
                <w:szCs w:val="24"/>
              </w:rPr>
            </w:pPr>
            <w:r>
              <w:rPr>
                <w:rFonts w:hint="eastAsia" w:ascii="宋体" w:hAnsi="宋体" w:eastAsia="黑体"/>
                <w:spacing w:val="-6"/>
                <w:sz w:val="24"/>
                <w:szCs w:val="24"/>
              </w:rPr>
              <w:t>MFZ/ABC8Kg灭火器</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8具</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防火沙箱</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500kg</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1个</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消防栓</w:t>
            </w:r>
          </w:p>
        </w:tc>
        <w:tc>
          <w:tcPr>
            <w:tcW w:w="1276"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DN50</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2个</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消防水枪</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DN50</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2个</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消防水龙带</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100米/根</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4根</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消防水池</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500m</w:t>
            </w:r>
            <w:r>
              <w:rPr>
                <w:rFonts w:hint="eastAsia" w:ascii="宋体" w:hAnsi="宋体" w:eastAsia="黑体"/>
                <w:sz w:val="24"/>
                <w:szCs w:val="24"/>
                <w:vertAlign w:val="superscript"/>
              </w:rPr>
              <w:t>3</w:t>
            </w: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1个</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消防撬</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4把</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消防桶</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4只</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消防火钩</w:t>
            </w: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r>
              <w:rPr>
                <w:rFonts w:hint="eastAsia" w:ascii="宋体" w:hAnsi="宋体" w:eastAsia="黑体"/>
                <w:sz w:val="24"/>
                <w:szCs w:val="24"/>
              </w:rPr>
              <w:t>在用</w:t>
            </w: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4把</w:t>
            </w: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line="320" w:lineRule="exact"/>
              <w:jc w:val="center"/>
              <w:rPr>
                <w:rFonts w:ascii="宋体" w:hAnsi="宋体" w:eastAsia="黑体"/>
                <w:sz w:val="24"/>
                <w:szCs w:val="24"/>
              </w:rPr>
            </w:pPr>
          </w:p>
        </w:tc>
        <w:tc>
          <w:tcPr>
            <w:tcW w:w="1276"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p>
        </w:tc>
        <w:tc>
          <w:tcPr>
            <w:tcW w:w="2410"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sz w:val="24"/>
                <w:szCs w:val="24"/>
              </w:rPr>
            </w:pPr>
          </w:p>
        </w:tc>
        <w:tc>
          <w:tcPr>
            <w:tcW w:w="85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800"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bl>
    <w:p>
      <w:pPr>
        <w:rPr>
          <w:color w:val="FF0000"/>
          <w:szCs w:val="28"/>
        </w:rPr>
      </w:pPr>
    </w:p>
    <w:p>
      <w:pPr>
        <w:jc w:val="center"/>
        <w:rPr>
          <w:rFonts w:ascii="宋体" w:hAnsi="宋体"/>
          <w:b/>
          <w:bCs/>
          <w:szCs w:val="28"/>
        </w:rPr>
      </w:pPr>
      <w:bookmarkStart w:id="456" w:name="_Toc437130688"/>
      <w:bookmarkEnd w:id="456"/>
      <w:r>
        <w:rPr>
          <w:rFonts w:hint="eastAsia" w:ascii="宋体" w:hAnsi="宋体"/>
          <w:b/>
          <w:bCs/>
          <w:szCs w:val="28"/>
        </w:rPr>
        <w:t>管道应急救援配置装备清单</w:t>
      </w:r>
    </w:p>
    <w:tbl>
      <w:tblPr>
        <w:tblStyle w:val="4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268"/>
        <w:gridCol w:w="1701"/>
        <w:gridCol w:w="1275"/>
        <w:gridCol w:w="1418"/>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ascii="宋体" w:hAnsi="宋体" w:eastAsia="黑体"/>
                <w:b/>
                <w:bCs/>
                <w:sz w:val="24"/>
                <w:szCs w:val="24"/>
              </w:rPr>
              <w:t>序号</w:t>
            </w:r>
          </w:p>
        </w:tc>
        <w:tc>
          <w:tcPr>
            <w:tcW w:w="2268" w:type="dxa"/>
            <w:tcBorders>
              <w:top w:val="single" w:color="auto" w:sz="4" w:space="0"/>
              <w:left w:val="nil"/>
              <w:bottom w:val="single" w:color="auto" w:sz="4" w:space="0"/>
              <w:right w:val="single" w:color="auto" w:sz="4" w:space="0"/>
            </w:tcBorders>
          </w:tcPr>
          <w:p>
            <w:pPr>
              <w:spacing w:after="0" w:line="320" w:lineRule="exact"/>
              <w:jc w:val="center"/>
              <w:rPr>
                <w:rFonts w:ascii="宋体" w:hAnsi="宋体" w:eastAsia="黑体"/>
                <w:b/>
                <w:bCs/>
                <w:sz w:val="24"/>
                <w:szCs w:val="24"/>
              </w:rPr>
            </w:pPr>
            <w:r>
              <w:rPr>
                <w:rFonts w:ascii="宋体" w:hAnsi="宋体" w:eastAsia="黑体"/>
                <w:b/>
                <w:bCs/>
                <w:sz w:val="24"/>
                <w:szCs w:val="24"/>
              </w:rPr>
              <w:t>管道名称</w:t>
            </w:r>
          </w:p>
          <w:p>
            <w:pPr>
              <w:spacing w:after="0" w:line="320" w:lineRule="exact"/>
              <w:jc w:val="center"/>
              <w:rPr>
                <w:rFonts w:ascii="宋体" w:hAnsi="宋体" w:eastAsia="黑体"/>
                <w:b/>
                <w:bCs/>
                <w:color w:val="FF0000"/>
                <w:sz w:val="24"/>
                <w:szCs w:val="24"/>
              </w:rPr>
            </w:pPr>
            <w:r>
              <w:rPr>
                <w:rFonts w:ascii="宋体" w:hAnsi="宋体" w:eastAsia="黑体"/>
                <w:b/>
                <w:bCs/>
                <w:sz w:val="24"/>
                <w:szCs w:val="24"/>
              </w:rPr>
              <w:t>（压力级别）</w:t>
            </w:r>
          </w:p>
        </w:tc>
        <w:tc>
          <w:tcPr>
            <w:tcW w:w="1701"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ascii="宋体" w:hAnsi="宋体" w:eastAsia="黑体"/>
                <w:b/>
                <w:bCs/>
                <w:sz w:val="24"/>
                <w:szCs w:val="24"/>
              </w:rPr>
              <w:t>起</w:t>
            </w:r>
            <w:r>
              <w:rPr>
                <w:rFonts w:hint="eastAsia" w:ascii="宋体" w:hAnsi="宋体" w:eastAsia="黑体"/>
                <w:b/>
                <w:bCs/>
                <w:sz w:val="24"/>
                <w:szCs w:val="24"/>
              </w:rPr>
              <w:t>点-终</w:t>
            </w:r>
            <w:r>
              <w:rPr>
                <w:rFonts w:ascii="宋体" w:hAnsi="宋体" w:eastAsia="黑体"/>
                <w:b/>
                <w:bCs/>
                <w:sz w:val="24"/>
                <w:szCs w:val="24"/>
              </w:rPr>
              <w:t>点</w:t>
            </w:r>
          </w:p>
        </w:tc>
        <w:tc>
          <w:tcPr>
            <w:tcW w:w="127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ascii="宋体" w:hAnsi="宋体" w:eastAsia="黑体"/>
                <w:b/>
                <w:bCs/>
                <w:sz w:val="24"/>
                <w:szCs w:val="24"/>
              </w:rPr>
              <w:t>出站压力表编号</w:t>
            </w:r>
          </w:p>
        </w:tc>
        <w:tc>
          <w:tcPr>
            <w:tcW w:w="141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ascii="宋体" w:hAnsi="宋体" w:eastAsia="黑体"/>
                <w:b/>
                <w:bCs/>
                <w:sz w:val="24"/>
                <w:szCs w:val="24"/>
              </w:rPr>
              <w:t>管径-长度</w:t>
            </w:r>
          </w:p>
        </w:tc>
        <w:tc>
          <w:tcPr>
            <w:tcW w:w="265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ascii="宋体" w:hAnsi="宋体" w:eastAsia="黑体"/>
                <w:b/>
                <w:bCs/>
                <w:sz w:val="24"/>
                <w:szCs w:val="24"/>
              </w:rPr>
              <w:t>巡线捡漏仪</w:t>
            </w:r>
          </w:p>
          <w:p>
            <w:pPr>
              <w:spacing w:after="0" w:line="320" w:lineRule="exact"/>
              <w:jc w:val="center"/>
              <w:rPr>
                <w:rFonts w:ascii="宋体" w:hAnsi="宋体" w:eastAsia="黑体"/>
                <w:b/>
                <w:bCs/>
                <w:sz w:val="24"/>
                <w:szCs w:val="24"/>
              </w:rPr>
            </w:pPr>
            <w:r>
              <w:rPr>
                <w:rFonts w:ascii="宋体" w:hAnsi="宋体" w:eastAsia="黑体"/>
                <w:b/>
                <w:bCs/>
                <w:sz w:val="24"/>
                <w:szCs w:val="24"/>
              </w:rPr>
              <w:t>（型号-台数）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1</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管道（高A）</w:t>
            </w:r>
          </w:p>
        </w:tc>
        <w:tc>
          <w:tcPr>
            <w:tcW w:w="1701"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双龙-南部</w:t>
            </w:r>
          </w:p>
        </w:tc>
        <w:tc>
          <w:tcPr>
            <w:tcW w:w="127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D219-48km</w:t>
            </w:r>
          </w:p>
        </w:tc>
        <w:tc>
          <w:tcPr>
            <w:tcW w:w="265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2</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管道（高A）</w:t>
            </w:r>
          </w:p>
        </w:tc>
        <w:tc>
          <w:tcPr>
            <w:tcW w:w="1701"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定水-南部</w:t>
            </w:r>
          </w:p>
        </w:tc>
        <w:tc>
          <w:tcPr>
            <w:tcW w:w="127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D108-12km</w:t>
            </w:r>
          </w:p>
        </w:tc>
        <w:tc>
          <w:tcPr>
            <w:tcW w:w="265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3</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城区管道（中A）</w:t>
            </w:r>
          </w:p>
        </w:tc>
        <w:tc>
          <w:tcPr>
            <w:tcW w:w="1701"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长沟门站</w:t>
            </w:r>
          </w:p>
        </w:tc>
        <w:tc>
          <w:tcPr>
            <w:tcW w:w="127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D219~D57</w:t>
            </w:r>
          </w:p>
          <w:p>
            <w:pPr>
              <w:spacing w:after="0" w:line="320" w:lineRule="exact"/>
              <w:jc w:val="center"/>
              <w:rPr>
                <w:rFonts w:ascii="宋体" w:hAnsi="宋体" w:eastAsia="黑体"/>
                <w:sz w:val="24"/>
                <w:szCs w:val="24"/>
              </w:rPr>
            </w:pPr>
            <w:r>
              <w:rPr>
                <w:rFonts w:hint="eastAsia" w:ascii="宋体" w:hAnsi="宋体" w:eastAsia="黑体"/>
                <w:sz w:val="24"/>
                <w:szCs w:val="24"/>
              </w:rPr>
              <w:t>25km</w:t>
            </w:r>
          </w:p>
        </w:tc>
        <w:tc>
          <w:tcPr>
            <w:tcW w:w="265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4</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东坝镇管道（中A）</w:t>
            </w:r>
          </w:p>
        </w:tc>
        <w:tc>
          <w:tcPr>
            <w:tcW w:w="1701"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东坝调压站-公三井</w:t>
            </w:r>
          </w:p>
        </w:tc>
        <w:tc>
          <w:tcPr>
            <w:tcW w:w="127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color w:val="FF0000"/>
                <w:sz w:val="24"/>
                <w:szCs w:val="24"/>
              </w:rPr>
            </w:pPr>
          </w:p>
        </w:tc>
        <w:tc>
          <w:tcPr>
            <w:tcW w:w="141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D108-3km</w:t>
            </w:r>
          </w:p>
        </w:tc>
        <w:tc>
          <w:tcPr>
            <w:tcW w:w="265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5</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盘龙镇管道（中A）</w:t>
            </w:r>
          </w:p>
        </w:tc>
        <w:tc>
          <w:tcPr>
            <w:tcW w:w="1701"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盘龙调压站-县城</w:t>
            </w:r>
          </w:p>
        </w:tc>
        <w:tc>
          <w:tcPr>
            <w:tcW w:w="127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color w:val="FF0000"/>
                <w:sz w:val="24"/>
                <w:szCs w:val="24"/>
              </w:rPr>
            </w:pPr>
          </w:p>
        </w:tc>
        <w:tc>
          <w:tcPr>
            <w:tcW w:w="141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color w:val="FF0000"/>
                <w:sz w:val="24"/>
                <w:szCs w:val="24"/>
              </w:rPr>
            </w:pPr>
            <w:r>
              <w:rPr>
                <w:rFonts w:hint="eastAsia" w:ascii="宋体" w:hAnsi="宋体" w:eastAsia="黑体"/>
                <w:sz w:val="24"/>
                <w:szCs w:val="24"/>
              </w:rPr>
              <w:t>D108-12km</w:t>
            </w:r>
          </w:p>
        </w:tc>
        <w:tc>
          <w:tcPr>
            <w:tcW w:w="265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color w:val="FF0000"/>
                <w:sz w:val="24"/>
                <w:szCs w:val="24"/>
              </w:rPr>
            </w:pPr>
            <w:r>
              <w:rPr>
                <w:rFonts w:hint="eastAsia" w:ascii="宋体" w:hAnsi="宋体" w:eastAsia="黑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6</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定水镇管道（中A）</w:t>
            </w:r>
          </w:p>
        </w:tc>
        <w:tc>
          <w:tcPr>
            <w:tcW w:w="1701"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定水调压站</w:t>
            </w:r>
          </w:p>
        </w:tc>
        <w:tc>
          <w:tcPr>
            <w:tcW w:w="127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color w:val="FF0000"/>
                <w:sz w:val="24"/>
                <w:szCs w:val="24"/>
              </w:rPr>
            </w:pPr>
          </w:p>
        </w:tc>
        <w:tc>
          <w:tcPr>
            <w:tcW w:w="141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color w:val="FF0000"/>
                <w:sz w:val="24"/>
                <w:szCs w:val="24"/>
              </w:rPr>
            </w:pPr>
          </w:p>
        </w:tc>
        <w:tc>
          <w:tcPr>
            <w:tcW w:w="265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color w:val="FF0000"/>
                <w:sz w:val="24"/>
                <w:szCs w:val="24"/>
              </w:rPr>
            </w:pPr>
            <w:r>
              <w:rPr>
                <w:rFonts w:hint="eastAsia" w:ascii="宋体" w:hAnsi="宋体" w:eastAsia="黑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7</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建兴镇管道（中A）</w:t>
            </w:r>
          </w:p>
        </w:tc>
        <w:tc>
          <w:tcPr>
            <w:tcW w:w="1701"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建兴调压站-定水</w:t>
            </w:r>
          </w:p>
        </w:tc>
        <w:tc>
          <w:tcPr>
            <w:tcW w:w="127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D108-12km</w:t>
            </w:r>
          </w:p>
        </w:tc>
        <w:tc>
          <w:tcPr>
            <w:tcW w:w="265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8</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伏虎镇管道（中A）</w:t>
            </w:r>
          </w:p>
        </w:tc>
        <w:tc>
          <w:tcPr>
            <w:tcW w:w="1701"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伏虎调压站-狮一井</w:t>
            </w:r>
          </w:p>
        </w:tc>
        <w:tc>
          <w:tcPr>
            <w:tcW w:w="127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65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9</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升钟镇管道（中A）</w:t>
            </w:r>
          </w:p>
        </w:tc>
        <w:tc>
          <w:tcPr>
            <w:tcW w:w="1701"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升钟调压站-狮二井</w:t>
            </w:r>
          </w:p>
        </w:tc>
        <w:tc>
          <w:tcPr>
            <w:tcW w:w="127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D108-8km</w:t>
            </w:r>
          </w:p>
        </w:tc>
        <w:tc>
          <w:tcPr>
            <w:tcW w:w="265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10</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r>
              <w:rPr>
                <w:rFonts w:hint="eastAsia" w:ascii="宋体" w:hAnsi="宋体" w:eastAsia="黑体"/>
                <w:sz w:val="24"/>
                <w:szCs w:val="24"/>
              </w:rPr>
              <w:t>庭院管道（低）</w:t>
            </w:r>
          </w:p>
        </w:tc>
        <w:tc>
          <w:tcPr>
            <w:tcW w:w="1701"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用户调压箱</w:t>
            </w:r>
          </w:p>
        </w:tc>
        <w:tc>
          <w:tcPr>
            <w:tcW w:w="127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w:t>
            </w:r>
          </w:p>
        </w:tc>
        <w:tc>
          <w:tcPr>
            <w:tcW w:w="141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D89~D45</w:t>
            </w:r>
          </w:p>
          <w:p>
            <w:pPr>
              <w:spacing w:after="0" w:line="320" w:lineRule="exact"/>
              <w:jc w:val="center"/>
              <w:rPr>
                <w:rFonts w:ascii="宋体" w:hAnsi="宋体" w:eastAsia="黑体"/>
                <w:sz w:val="24"/>
                <w:szCs w:val="24"/>
              </w:rPr>
            </w:pPr>
            <w:r>
              <w:rPr>
                <w:rFonts w:hint="eastAsia" w:ascii="宋体" w:hAnsi="宋体" w:eastAsia="黑体"/>
                <w:sz w:val="24"/>
                <w:szCs w:val="24"/>
              </w:rPr>
              <w:t>15km</w:t>
            </w:r>
          </w:p>
        </w:tc>
        <w:tc>
          <w:tcPr>
            <w:tcW w:w="265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 xml:space="preserve">  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4" w:type="dxa"/>
            <w:tcBorders>
              <w:top w:val="single" w:color="auto" w:sz="4" w:space="0"/>
              <w:left w:val="single" w:color="auto" w:sz="4" w:space="0"/>
              <w:bottom w:val="single" w:color="auto" w:sz="4" w:space="0"/>
              <w:right w:val="single" w:color="auto" w:sz="4" w:space="0"/>
            </w:tcBorders>
            <w:vAlign w:val="center"/>
          </w:tcPr>
          <w:p>
            <w:pPr>
              <w:spacing w:after="0" w:line="320" w:lineRule="exact"/>
              <w:jc w:val="center"/>
              <w:rPr>
                <w:rFonts w:ascii="宋体" w:hAnsi="宋体" w:eastAsia="黑体"/>
                <w:sz w:val="24"/>
                <w:szCs w:val="24"/>
              </w:rPr>
            </w:pPr>
            <w:r>
              <w:rPr>
                <w:rFonts w:hint="eastAsia" w:ascii="宋体" w:hAnsi="宋体" w:eastAsia="黑体"/>
                <w:sz w:val="24"/>
                <w:szCs w:val="24"/>
              </w:rPr>
              <w:t>11</w:t>
            </w:r>
          </w:p>
        </w:tc>
        <w:tc>
          <w:tcPr>
            <w:tcW w:w="226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b/>
                <w:bCs/>
                <w:sz w:val="24"/>
                <w:szCs w:val="24"/>
              </w:rPr>
            </w:pPr>
          </w:p>
        </w:tc>
        <w:tc>
          <w:tcPr>
            <w:tcW w:w="1701"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1275"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141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c>
          <w:tcPr>
            <w:tcW w:w="2658" w:type="dxa"/>
            <w:tcBorders>
              <w:top w:val="single" w:color="auto" w:sz="4" w:space="0"/>
              <w:left w:val="nil"/>
              <w:bottom w:val="single" w:color="auto" w:sz="4" w:space="0"/>
              <w:right w:val="single" w:color="auto" w:sz="4" w:space="0"/>
            </w:tcBorders>
            <w:vAlign w:val="center"/>
          </w:tcPr>
          <w:p>
            <w:pPr>
              <w:spacing w:after="0" w:line="320" w:lineRule="exact"/>
              <w:jc w:val="center"/>
              <w:rPr>
                <w:rFonts w:ascii="宋体" w:hAnsi="宋体" w:eastAsia="黑体"/>
                <w:sz w:val="24"/>
                <w:szCs w:val="24"/>
              </w:rPr>
            </w:pPr>
          </w:p>
        </w:tc>
      </w:tr>
    </w:tbl>
    <w:p>
      <w:pPr>
        <w:ind w:firstLine="560"/>
        <w:jc w:val="center"/>
        <w:rPr>
          <w:szCs w:val="28"/>
        </w:rPr>
      </w:pPr>
    </w:p>
    <w:p>
      <w:pPr>
        <w:jc w:val="center"/>
        <w:rPr>
          <w:rFonts w:ascii="宋体" w:hAnsi="宋体"/>
          <w:b/>
          <w:bCs/>
          <w:szCs w:val="28"/>
        </w:rPr>
      </w:pPr>
      <w:r>
        <w:rPr>
          <w:rFonts w:hint="eastAsia" w:ascii="宋体" w:hAnsi="宋体"/>
          <w:b/>
          <w:bCs/>
          <w:szCs w:val="28"/>
        </w:rPr>
        <w:t>公司应急救援队配置装备清单</w:t>
      </w:r>
    </w:p>
    <w:tbl>
      <w:tblPr>
        <w:tblStyle w:val="43"/>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805"/>
        <w:gridCol w:w="2505"/>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序号</w:t>
            </w:r>
          </w:p>
        </w:tc>
        <w:tc>
          <w:tcPr>
            <w:tcW w:w="2805"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设 备 名 称</w:t>
            </w:r>
          </w:p>
        </w:tc>
        <w:tc>
          <w:tcPr>
            <w:tcW w:w="250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数    量</w:t>
            </w:r>
          </w:p>
        </w:tc>
        <w:tc>
          <w:tcPr>
            <w:tcW w:w="343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1</w:t>
            </w:r>
          </w:p>
        </w:tc>
        <w:tc>
          <w:tcPr>
            <w:tcW w:w="2805"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发电机3000W</w:t>
            </w:r>
          </w:p>
        </w:tc>
        <w:tc>
          <w:tcPr>
            <w:tcW w:w="250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1台</w:t>
            </w:r>
          </w:p>
        </w:tc>
        <w:tc>
          <w:tcPr>
            <w:tcW w:w="343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2</w:t>
            </w:r>
          </w:p>
        </w:tc>
        <w:tc>
          <w:tcPr>
            <w:tcW w:w="2805"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套丝机</w:t>
            </w:r>
          </w:p>
        </w:tc>
        <w:tc>
          <w:tcPr>
            <w:tcW w:w="250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2台</w:t>
            </w:r>
          </w:p>
        </w:tc>
        <w:tc>
          <w:tcPr>
            <w:tcW w:w="343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1"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3</w:t>
            </w:r>
          </w:p>
        </w:tc>
        <w:tc>
          <w:tcPr>
            <w:tcW w:w="2805"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电锤</w:t>
            </w:r>
          </w:p>
        </w:tc>
        <w:tc>
          <w:tcPr>
            <w:tcW w:w="250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2把</w:t>
            </w:r>
          </w:p>
        </w:tc>
        <w:tc>
          <w:tcPr>
            <w:tcW w:w="343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4</w:t>
            </w:r>
          </w:p>
        </w:tc>
        <w:tc>
          <w:tcPr>
            <w:tcW w:w="2805"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电焊机</w:t>
            </w:r>
          </w:p>
        </w:tc>
        <w:tc>
          <w:tcPr>
            <w:tcW w:w="250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1台</w:t>
            </w:r>
          </w:p>
        </w:tc>
        <w:tc>
          <w:tcPr>
            <w:tcW w:w="343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5</w:t>
            </w:r>
          </w:p>
        </w:tc>
        <w:tc>
          <w:tcPr>
            <w:tcW w:w="2805"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热接机</w:t>
            </w:r>
          </w:p>
        </w:tc>
        <w:tc>
          <w:tcPr>
            <w:tcW w:w="250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1台</w:t>
            </w:r>
          </w:p>
        </w:tc>
        <w:tc>
          <w:tcPr>
            <w:tcW w:w="343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6</w:t>
            </w:r>
          </w:p>
        </w:tc>
        <w:tc>
          <w:tcPr>
            <w:tcW w:w="2805"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电熔机</w:t>
            </w:r>
          </w:p>
        </w:tc>
        <w:tc>
          <w:tcPr>
            <w:tcW w:w="250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1台</w:t>
            </w:r>
          </w:p>
        </w:tc>
        <w:tc>
          <w:tcPr>
            <w:tcW w:w="343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1"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7</w:t>
            </w:r>
          </w:p>
        </w:tc>
        <w:tc>
          <w:tcPr>
            <w:tcW w:w="2805"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手电筒</w:t>
            </w:r>
          </w:p>
        </w:tc>
        <w:tc>
          <w:tcPr>
            <w:tcW w:w="250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2把</w:t>
            </w:r>
          </w:p>
        </w:tc>
        <w:tc>
          <w:tcPr>
            <w:tcW w:w="343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8</w:t>
            </w:r>
          </w:p>
        </w:tc>
        <w:tc>
          <w:tcPr>
            <w:tcW w:w="2805"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探管仪</w:t>
            </w:r>
          </w:p>
        </w:tc>
        <w:tc>
          <w:tcPr>
            <w:tcW w:w="250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1台</w:t>
            </w:r>
          </w:p>
        </w:tc>
        <w:tc>
          <w:tcPr>
            <w:tcW w:w="343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9</w:t>
            </w:r>
          </w:p>
        </w:tc>
        <w:tc>
          <w:tcPr>
            <w:tcW w:w="2805"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测漏仪</w:t>
            </w:r>
          </w:p>
        </w:tc>
        <w:tc>
          <w:tcPr>
            <w:tcW w:w="250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1台</w:t>
            </w:r>
          </w:p>
        </w:tc>
        <w:tc>
          <w:tcPr>
            <w:tcW w:w="343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10</w:t>
            </w:r>
          </w:p>
        </w:tc>
        <w:tc>
          <w:tcPr>
            <w:tcW w:w="2805"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消防云梯</w:t>
            </w:r>
          </w:p>
        </w:tc>
        <w:tc>
          <w:tcPr>
            <w:tcW w:w="250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1把</w:t>
            </w:r>
          </w:p>
        </w:tc>
        <w:tc>
          <w:tcPr>
            <w:tcW w:w="343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1"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11</w:t>
            </w:r>
          </w:p>
        </w:tc>
        <w:tc>
          <w:tcPr>
            <w:tcW w:w="2805" w:type="dxa"/>
            <w:tcBorders>
              <w:top w:val="single" w:color="auto" w:sz="4" w:space="0"/>
              <w:left w:val="single" w:color="auto" w:sz="4" w:space="0"/>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专职抢险车</w:t>
            </w:r>
          </w:p>
        </w:tc>
        <w:tc>
          <w:tcPr>
            <w:tcW w:w="250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r>
              <w:rPr>
                <w:rFonts w:hint="eastAsia" w:ascii="宋体" w:hAnsi="宋体" w:eastAsia="黑体"/>
                <w:sz w:val="24"/>
                <w:szCs w:val="24"/>
              </w:rPr>
              <w:t>8辆</w:t>
            </w:r>
          </w:p>
        </w:tc>
        <w:tc>
          <w:tcPr>
            <w:tcW w:w="3435" w:type="dxa"/>
            <w:tcBorders>
              <w:top w:val="single" w:color="auto" w:sz="4" w:space="0"/>
              <w:left w:val="nil"/>
              <w:bottom w:val="single" w:color="auto" w:sz="4" w:space="0"/>
              <w:right w:val="single" w:color="auto" w:sz="4" w:space="0"/>
            </w:tcBorders>
          </w:tcPr>
          <w:p>
            <w:pPr>
              <w:spacing w:after="0" w:line="560" w:lineRule="exact"/>
              <w:jc w:val="center"/>
              <w:rPr>
                <w:rFonts w:ascii="宋体" w:hAnsi="宋体" w:eastAsia="黑体"/>
                <w:sz w:val="24"/>
                <w:szCs w:val="24"/>
              </w:rPr>
            </w:pPr>
          </w:p>
        </w:tc>
      </w:tr>
    </w:tbl>
    <w:p>
      <w:pPr>
        <w:ind w:firstLine="560"/>
      </w:pPr>
    </w:p>
    <w:sectPr>
      <w:footerReference r:id="rId8" w:type="default"/>
      <w:pgSz w:w="11906" w:h="16838"/>
      <w:pgMar w:top="1440" w:right="1077" w:bottom="1440" w:left="107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FZSSK--GBK1-0">
    <w:altName w:val="Times New Roman"/>
    <w:panose1 w:val="00000000000000000000"/>
    <w:charset w:val="00"/>
    <w:family w:val="roman"/>
    <w:pitch w:val="default"/>
    <w:sig w:usb0="00000000" w:usb1="00000000" w:usb2="00000000" w:usb3="00000000" w:csb0="00000000" w:csb1="00000000"/>
  </w:font>
  <w:font w:name="FZKTK--GBK1-0">
    <w:altName w:val="Times New Roman"/>
    <w:panose1 w:val="00000000000000000000"/>
    <w:charset w:val="00"/>
    <w:family w:val="roman"/>
    <w:pitch w:val="default"/>
    <w:sig w:usb0="00000000" w:usb1="00000000" w:usb2="00000000" w:usb3="00000000" w:csb0="00000000" w:csb1="00000000"/>
  </w:font>
  <w:font w:name="E-BZ">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ind w:firstLine="360"/>
      <w:rPr>
        <w:rStyle w:val="46"/>
      </w:rPr>
    </w:pPr>
    <w:r>
      <w:rPr>
        <w:rStyle w:val="46"/>
      </w:rPr>
      <w:fldChar w:fldCharType="begin"/>
    </w:r>
    <w:r>
      <w:rPr>
        <w:rStyle w:val="46"/>
      </w:rPr>
      <w:instrText xml:space="preserve">PAGE  </w:instrText>
    </w:r>
    <w:r>
      <w:rPr>
        <w:rStyle w:val="46"/>
      </w:rPr>
      <w:fldChar w:fldCharType="end"/>
    </w:r>
  </w:p>
  <w:p>
    <w:pPr>
      <w:pStyle w:val="2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4161809"/>
    </w:sdtPr>
    <w:sdtContent>
      <w:p>
        <w:pPr>
          <w:pStyle w:val="29"/>
          <w:ind w:firstLine="360"/>
          <w:jc w:val="center"/>
        </w:pPr>
        <w:r>
          <w:fldChar w:fldCharType="begin"/>
        </w:r>
        <w:r>
          <w:instrText xml:space="preserve">PAGE   \* MERGEFORMAT</w:instrText>
        </w:r>
        <w:r>
          <w:fldChar w:fldCharType="separate"/>
        </w:r>
        <w:r>
          <w:rPr>
            <w:lang w:val="zh-CN"/>
          </w:rPr>
          <w:t>88</w:t>
        </w:r>
        <w:r>
          <w:fldChar w:fldCharType="end"/>
        </w:r>
      </w:p>
    </w:sdtContent>
  </w:sdt>
  <w:p>
    <w:pPr>
      <w:pStyle w:val="29"/>
      <w:tabs>
        <w:tab w:val="center" w:pos="4384"/>
        <w:tab w:val="clear" w:pos="4153"/>
        <w:tab w:val="clear"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1137363"/>
    </w:sdtPr>
    <w:sdtContent>
      <w:p>
        <w:pPr>
          <w:pStyle w:val="29"/>
          <w:ind w:firstLine="360"/>
          <w:jc w:val="center"/>
        </w:pPr>
        <w:r>
          <w:fldChar w:fldCharType="begin"/>
        </w:r>
        <w:r>
          <w:instrText xml:space="preserve">PAGE   \* MERGEFORMAT</w:instrText>
        </w:r>
        <w:r>
          <w:fldChar w:fldCharType="separate"/>
        </w:r>
        <w:r>
          <w:rPr>
            <w:lang w:val="zh-CN"/>
          </w:rPr>
          <w:t>88</w:t>
        </w:r>
        <w:r>
          <w:fldChar w:fldCharType="end"/>
        </w:r>
      </w:p>
    </w:sdtContent>
  </w:sdt>
  <w:p>
    <w:pPr>
      <w:pStyle w:val="29"/>
      <w:tabs>
        <w:tab w:val="center" w:pos="4384"/>
        <w:tab w:val="clear" w:pos="4153"/>
        <w:tab w:val="clear" w:pos="8306"/>
      </w:tabs>
      <w:ind w:right="360" w:firstLine="360"/>
    </w:pPr>
  </w:p>
  <w:p>
    <w:pPr>
      <w:ind w:firstLine="5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thickThinSmallGap" w:color="622423" w:sz="24" w:space="1"/>
      </w:pBdr>
      <w:ind w:firstLine="480"/>
      <w:jc w:val="center"/>
      <w:rPr>
        <w:rFonts w:ascii="Cambria" w:hAnsi="Cambria" w:cs="Cambria"/>
        <w:sz w:val="24"/>
        <w:szCs w:val="24"/>
      </w:rPr>
    </w:pPr>
    <w:r>
      <w:rPr>
        <w:rFonts w:hint="eastAsia" w:ascii="Cambria" w:hAnsi="Cambria" w:cs="宋体"/>
        <w:sz w:val="24"/>
        <w:szCs w:val="24"/>
      </w:rPr>
      <w:t>自贡市公交集团有限责任公司</w:t>
    </w:r>
  </w:p>
  <w:p>
    <w:pPr>
      <w:pStyle w:val="3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line="14" w:lineRule="auto"/>
      <w:ind w:firstLine="4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720"/>
  <w:drawingGridHorizontalSpacing w:val="110"/>
  <w:drawingGridVerticalSpacing w:val="156"/>
  <w:displayHorizontalDrawingGridEvery w:val="2"/>
  <w:displayVerticalDrawingGridEvery w:val="2"/>
  <w:noPunctuationKerning w:val="1"/>
  <w:characterSpacingControl w:val="doNotCompress"/>
  <w:noLineBreaksAfter w:lang="zh-CN" w:val="$([{£¥·‘“〈《「『【〔〖〝﹙﹛﹝＄（．［｛￡￥"/>
  <w:noLineBreaksBefore w:lang="zh-CN" w:val="!%),.:;&gt;?]}¢¨°·ˇˉ―‖’”…‰′″›℃∶、。〃〉》」』】〕〗〞︶︺︾﹀﹄﹚﹜﹞！＂％＇），．：；？］｀｜｝～￠"/>
  <w:footnotePr>
    <w:footnote w:id="0"/>
    <w:footnote w:id="1"/>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xZDE2MmQxZDEwMmM0OGNjNGMyMzU4NmEzYWQ4NjkifQ=="/>
  </w:docVars>
  <w:rsids>
    <w:rsidRoot w:val="00D31D50"/>
    <w:rsid w:val="000016E8"/>
    <w:rsid w:val="000018A5"/>
    <w:rsid w:val="00002050"/>
    <w:rsid w:val="00003005"/>
    <w:rsid w:val="000032E6"/>
    <w:rsid w:val="00003DF6"/>
    <w:rsid w:val="000057CF"/>
    <w:rsid w:val="0000771D"/>
    <w:rsid w:val="00010E06"/>
    <w:rsid w:val="00010F75"/>
    <w:rsid w:val="0001160F"/>
    <w:rsid w:val="00011B17"/>
    <w:rsid w:val="00011F6B"/>
    <w:rsid w:val="00016162"/>
    <w:rsid w:val="00016863"/>
    <w:rsid w:val="00016DB9"/>
    <w:rsid w:val="00021B82"/>
    <w:rsid w:val="00021FE7"/>
    <w:rsid w:val="00023A1F"/>
    <w:rsid w:val="00024885"/>
    <w:rsid w:val="000258C0"/>
    <w:rsid w:val="00026E8B"/>
    <w:rsid w:val="0002731C"/>
    <w:rsid w:val="00027F8C"/>
    <w:rsid w:val="0003293B"/>
    <w:rsid w:val="000335CB"/>
    <w:rsid w:val="000345FC"/>
    <w:rsid w:val="000353BE"/>
    <w:rsid w:val="000358E0"/>
    <w:rsid w:val="0003634B"/>
    <w:rsid w:val="000363C1"/>
    <w:rsid w:val="00037B80"/>
    <w:rsid w:val="00037DC5"/>
    <w:rsid w:val="00041EA8"/>
    <w:rsid w:val="00042E36"/>
    <w:rsid w:val="00043017"/>
    <w:rsid w:val="0004365E"/>
    <w:rsid w:val="0004507F"/>
    <w:rsid w:val="00046B8B"/>
    <w:rsid w:val="00046EC1"/>
    <w:rsid w:val="0004714C"/>
    <w:rsid w:val="00047355"/>
    <w:rsid w:val="00047AED"/>
    <w:rsid w:val="00047E04"/>
    <w:rsid w:val="00047E7F"/>
    <w:rsid w:val="00052DBD"/>
    <w:rsid w:val="00054290"/>
    <w:rsid w:val="00064E28"/>
    <w:rsid w:val="00071013"/>
    <w:rsid w:val="00072099"/>
    <w:rsid w:val="000727C9"/>
    <w:rsid w:val="000744CF"/>
    <w:rsid w:val="00075F8D"/>
    <w:rsid w:val="0007785F"/>
    <w:rsid w:val="00080110"/>
    <w:rsid w:val="000815D2"/>
    <w:rsid w:val="00083324"/>
    <w:rsid w:val="00084907"/>
    <w:rsid w:val="00084DDC"/>
    <w:rsid w:val="00084DF1"/>
    <w:rsid w:val="00085504"/>
    <w:rsid w:val="00086B1F"/>
    <w:rsid w:val="000905AF"/>
    <w:rsid w:val="00090968"/>
    <w:rsid w:val="00090D0C"/>
    <w:rsid w:val="00090D67"/>
    <w:rsid w:val="00090FDC"/>
    <w:rsid w:val="000920BC"/>
    <w:rsid w:val="000922E3"/>
    <w:rsid w:val="00094682"/>
    <w:rsid w:val="00094B78"/>
    <w:rsid w:val="00094FFD"/>
    <w:rsid w:val="0009629C"/>
    <w:rsid w:val="00096B41"/>
    <w:rsid w:val="00096F79"/>
    <w:rsid w:val="00097599"/>
    <w:rsid w:val="000A455D"/>
    <w:rsid w:val="000A5232"/>
    <w:rsid w:val="000A69DA"/>
    <w:rsid w:val="000A6C2F"/>
    <w:rsid w:val="000B16AD"/>
    <w:rsid w:val="000B2520"/>
    <w:rsid w:val="000B3145"/>
    <w:rsid w:val="000B4137"/>
    <w:rsid w:val="000B5767"/>
    <w:rsid w:val="000B61AF"/>
    <w:rsid w:val="000C141D"/>
    <w:rsid w:val="000C250E"/>
    <w:rsid w:val="000C3049"/>
    <w:rsid w:val="000C4696"/>
    <w:rsid w:val="000C5062"/>
    <w:rsid w:val="000C573E"/>
    <w:rsid w:val="000D273F"/>
    <w:rsid w:val="000D3AE7"/>
    <w:rsid w:val="000D3F11"/>
    <w:rsid w:val="000D4868"/>
    <w:rsid w:val="000D624D"/>
    <w:rsid w:val="000D6F06"/>
    <w:rsid w:val="000D7CEC"/>
    <w:rsid w:val="000E2F87"/>
    <w:rsid w:val="000E32AB"/>
    <w:rsid w:val="000E3845"/>
    <w:rsid w:val="000E41A7"/>
    <w:rsid w:val="000E50FE"/>
    <w:rsid w:val="000E545C"/>
    <w:rsid w:val="000F0D23"/>
    <w:rsid w:val="000F14CF"/>
    <w:rsid w:val="000F528F"/>
    <w:rsid w:val="000F6718"/>
    <w:rsid w:val="00101193"/>
    <w:rsid w:val="00103F64"/>
    <w:rsid w:val="00106D75"/>
    <w:rsid w:val="001105CA"/>
    <w:rsid w:val="00110B47"/>
    <w:rsid w:val="00112175"/>
    <w:rsid w:val="001144CB"/>
    <w:rsid w:val="00115874"/>
    <w:rsid w:val="00115F3D"/>
    <w:rsid w:val="00116FE1"/>
    <w:rsid w:val="00117815"/>
    <w:rsid w:val="0012406A"/>
    <w:rsid w:val="001263DB"/>
    <w:rsid w:val="00126827"/>
    <w:rsid w:val="0012782E"/>
    <w:rsid w:val="00133204"/>
    <w:rsid w:val="00134109"/>
    <w:rsid w:val="001346C6"/>
    <w:rsid w:val="00134BF6"/>
    <w:rsid w:val="00135CDB"/>
    <w:rsid w:val="0013757E"/>
    <w:rsid w:val="001375A9"/>
    <w:rsid w:val="00140E30"/>
    <w:rsid w:val="00141425"/>
    <w:rsid w:val="001419CC"/>
    <w:rsid w:val="00141F93"/>
    <w:rsid w:val="0014391C"/>
    <w:rsid w:val="00145B19"/>
    <w:rsid w:val="0014763D"/>
    <w:rsid w:val="001476D4"/>
    <w:rsid w:val="00151373"/>
    <w:rsid w:val="00151A3C"/>
    <w:rsid w:val="00152E99"/>
    <w:rsid w:val="00153660"/>
    <w:rsid w:val="00153DCF"/>
    <w:rsid w:val="001553E8"/>
    <w:rsid w:val="00156482"/>
    <w:rsid w:val="001577E8"/>
    <w:rsid w:val="00157F61"/>
    <w:rsid w:val="001630ED"/>
    <w:rsid w:val="001642E1"/>
    <w:rsid w:val="0016481B"/>
    <w:rsid w:val="00164D91"/>
    <w:rsid w:val="00165A93"/>
    <w:rsid w:val="00167F96"/>
    <w:rsid w:val="00170038"/>
    <w:rsid w:val="00172438"/>
    <w:rsid w:val="001728A2"/>
    <w:rsid w:val="00172A4D"/>
    <w:rsid w:val="0017380C"/>
    <w:rsid w:val="00173D9B"/>
    <w:rsid w:val="00175839"/>
    <w:rsid w:val="00175C8C"/>
    <w:rsid w:val="00177981"/>
    <w:rsid w:val="00182B8E"/>
    <w:rsid w:val="001862F6"/>
    <w:rsid w:val="00187C38"/>
    <w:rsid w:val="00187EEA"/>
    <w:rsid w:val="00187FAF"/>
    <w:rsid w:val="001926FD"/>
    <w:rsid w:val="00192B04"/>
    <w:rsid w:val="001955EC"/>
    <w:rsid w:val="0019573C"/>
    <w:rsid w:val="00195FB3"/>
    <w:rsid w:val="0019608E"/>
    <w:rsid w:val="00197352"/>
    <w:rsid w:val="001A0F7C"/>
    <w:rsid w:val="001A23ED"/>
    <w:rsid w:val="001A25A9"/>
    <w:rsid w:val="001A2754"/>
    <w:rsid w:val="001A3B81"/>
    <w:rsid w:val="001A53ED"/>
    <w:rsid w:val="001A5742"/>
    <w:rsid w:val="001A6C26"/>
    <w:rsid w:val="001A71DE"/>
    <w:rsid w:val="001B0312"/>
    <w:rsid w:val="001B0397"/>
    <w:rsid w:val="001B11A3"/>
    <w:rsid w:val="001B13FD"/>
    <w:rsid w:val="001B1712"/>
    <w:rsid w:val="001B3881"/>
    <w:rsid w:val="001B4434"/>
    <w:rsid w:val="001B4E77"/>
    <w:rsid w:val="001B51EF"/>
    <w:rsid w:val="001B6B75"/>
    <w:rsid w:val="001B6BCE"/>
    <w:rsid w:val="001C0202"/>
    <w:rsid w:val="001C02B7"/>
    <w:rsid w:val="001C0334"/>
    <w:rsid w:val="001C08C0"/>
    <w:rsid w:val="001C1486"/>
    <w:rsid w:val="001C4103"/>
    <w:rsid w:val="001C45FF"/>
    <w:rsid w:val="001C499A"/>
    <w:rsid w:val="001C76A3"/>
    <w:rsid w:val="001C7B57"/>
    <w:rsid w:val="001D0D67"/>
    <w:rsid w:val="001D3E92"/>
    <w:rsid w:val="001D4D94"/>
    <w:rsid w:val="001D5C29"/>
    <w:rsid w:val="001D7389"/>
    <w:rsid w:val="001D7E4C"/>
    <w:rsid w:val="001E188B"/>
    <w:rsid w:val="001E2477"/>
    <w:rsid w:val="001E337E"/>
    <w:rsid w:val="001E3799"/>
    <w:rsid w:val="001E37D5"/>
    <w:rsid w:val="001E38C0"/>
    <w:rsid w:val="001E3E55"/>
    <w:rsid w:val="001E664A"/>
    <w:rsid w:val="001E6902"/>
    <w:rsid w:val="001E6A52"/>
    <w:rsid w:val="001E6D1B"/>
    <w:rsid w:val="001E73EC"/>
    <w:rsid w:val="001E7E61"/>
    <w:rsid w:val="001E7FE7"/>
    <w:rsid w:val="001F1757"/>
    <w:rsid w:val="001F18A7"/>
    <w:rsid w:val="001F1DA3"/>
    <w:rsid w:val="001F26CA"/>
    <w:rsid w:val="001F3205"/>
    <w:rsid w:val="001F48EC"/>
    <w:rsid w:val="001F4C71"/>
    <w:rsid w:val="001F67F1"/>
    <w:rsid w:val="001F6E91"/>
    <w:rsid w:val="001F71A5"/>
    <w:rsid w:val="001F71BC"/>
    <w:rsid w:val="001F7C1C"/>
    <w:rsid w:val="001F7ECE"/>
    <w:rsid w:val="00200016"/>
    <w:rsid w:val="0020046A"/>
    <w:rsid w:val="0020381B"/>
    <w:rsid w:val="002049E6"/>
    <w:rsid w:val="00204D6F"/>
    <w:rsid w:val="00205377"/>
    <w:rsid w:val="0020591B"/>
    <w:rsid w:val="00205B10"/>
    <w:rsid w:val="00206BA0"/>
    <w:rsid w:val="0020729D"/>
    <w:rsid w:val="0020741A"/>
    <w:rsid w:val="0021277E"/>
    <w:rsid w:val="002129F0"/>
    <w:rsid w:val="00212C14"/>
    <w:rsid w:val="00212FF5"/>
    <w:rsid w:val="00215884"/>
    <w:rsid w:val="00215CC0"/>
    <w:rsid w:val="00216949"/>
    <w:rsid w:val="002200D8"/>
    <w:rsid w:val="00220819"/>
    <w:rsid w:val="00220F5D"/>
    <w:rsid w:val="00221328"/>
    <w:rsid w:val="00223E06"/>
    <w:rsid w:val="00224DA1"/>
    <w:rsid w:val="00227341"/>
    <w:rsid w:val="002302C0"/>
    <w:rsid w:val="00233126"/>
    <w:rsid w:val="00234749"/>
    <w:rsid w:val="00236C89"/>
    <w:rsid w:val="0024265E"/>
    <w:rsid w:val="00242A1C"/>
    <w:rsid w:val="002437CB"/>
    <w:rsid w:val="00244F24"/>
    <w:rsid w:val="00245706"/>
    <w:rsid w:val="002516BB"/>
    <w:rsid w:val="002518EB"/>
    <w:rsid w:val="00254CEF"/>
    <w:rsid w:val="00256661"/>
    <w:rsid w:val="00257729"/>
    <w:rsid w:val="00261A6E"/>
    <w:rsid w:val="00262C9E"/>
    <w:rsid w:val="00263312"/>
    <w:rsid w:val="002641E0"/>
    <w:rsid w:val="00265261"/>
    <w:rsid w:val="00267C8B"/>
    <w:rsid w:val="00271208"/>
    <w:rsid w:val="00273855"/>
    <w:rsid w:val="00274073"/>
    <w:rsid w:val="00275C57"/>
    <w:rsid w:val="002803A2"/>
    <w:rsid w:val="002816D2"/>
    <w:rsid w:val="00281901"/>
    <w:rsid w:val="00281CC3"/>
    <w:rsid w:val="00282CCC"/>
    <w:rsid w:val="002836B4"/>
    <w:rsid w:val="00283F20"/>
    <w:rsid w:val="002863E2"/>
    <w:rsid w:val="002876B8"/>
    <w:rsid w:val="002903B5"/>
    <w:rsid w:val="00290DCA"/>
    <w:rsid w:val="00290F26"/>
    <w:rsid w:val="00292E80"/>
    <w:rsid w:val="00296296"/>
    <w:rsid w:val="0029764C"/>
    <w:rsid w:val="002A1C8D"/>
    <w:rsid w:val="002A1F01"/>
    <w:rsid w:val="002A3B88"/>
    <w:rsid w:val="002A4C8C"/>
    <w:rsid w:val="002A4F9B"/>
    <w:rsid w:val="002A5451"/>
    <w:rsid w:val="002A5493"/>
    <w:rsid w:val="002A7602"/>
    <w:rsid w:val="002A78DA"/>
    <w:rsid w:val="002A7A9B"/>
    <w:rsid w:val="002B24A4"/>
    <w:rsid w:val="002B606C"/>
    <w:rsid w:val="002B7A7B"/>
    <w:rsid w:val="002C1058"/>
    <w:rsid w:val="002C131B"/>
    <w:rsid w:val="002C3B77"/>
    <w:rsid w:val="002C50D0"/>
    <w:rsid w:val="002C5598"/>
    <w:rsid w:val="002C7142"/>
    <w:rsid w:val="002C7FF8"/>
    <w:rsid w:val="002D180B"/>
    <w:rsid w:val="002D222C"/>
    <w:rsid w:val="002D254E"/>
    <w:rsid w:val="002D323A"/>
    <w:rsid w:val="002D3620"/>
    <w:rsid w:val="002D3B14"/>
    <w:rsid w:val="002D4290"/>
    <w:rsid w:val="002D4401"/>
    <w:rsid w:val="002D4477"/>
    <w:rsid w:val="002D4655"/>
    <w:rsid w:val="002D5673"/>
    <w:rsid w:val="002D5F17"/>
    <w:rsid w:val="002D769F"/>
    <w:rsid w:val="002D77A0"/>
    <w:rsid w:val="002D7938"/>
    <w:rsid w:val="002D7F51"/>
    <w:rsid w:val="002E1B18"/>
    <w:rsid w:val="002E228F"/>
    <w:rsid w:val="002E2E89"/>
    <w:rsid w:val="002E6CA1"/>
    <w:rsid w:val="002E6FE3"/>
    <w:rsid w:val="002E73D7"/>
    <w:rsid w:val="002F01EA"/>
    <w:rsid w:val="002F09D0"/>
    <w:rsid w:val="002F1059"/>
    <w:rsid w:val="002F323D"/>
    <w:rsid w:val="002F3284"/>
    <w:rsid w:val="002F35E3"/>
    <w:rsid w:val="002F3A8A"/>
    <w:rsid w:val="002F4532"/>
    <w:rsid w:val="002F64AD"/>
    <w:rsid w:val="002F66E3"/>
    <w:rsid w:val="00302DC2"/>
    <w:rsid w:val="003049E3"/>
    <w:rsid w:val="00304B8F"/>
    <w:rsid w:val="0030537F"/>
    <w:rsid w:val="0030584E"/>
    <w:rsid w:val="00306EE3"/>
    <w:rsid w:val="003101EB"/>
    <w:rsid w:val="00310848"/>
    <w:rsid w:val="0031164A"/>
    <w:rsid w:val="00311802"/>
    <w:rsid w:val="00311A77"/>
    <w:rsid w:val="00311B08"/>
    <w:rsid w:val="00312658"/>
    <w:rsid w:val="003129F9"/>
    <w:rsid w:val="003133E4"/>
    <w:rsid w:val="00313505"/>
    <w:rsid w:val="003140BA"/>
    <w:rsid w:val="0031544A"/>
    <w:rsid w:val="0031597F"/>
    <w:rsid w:val="0032037C"/>
    <w:rsid w:val="003217BD"/>
    <w:rsid w:val="00321F8F"/>
    <w:rsid w:val="00323932"/>
    <w:rsid w:val="00323B43"/>
    <w:rsid w:val="00326119"/>
    <w:rsid w:val="00326AA8"/>
    <w:rsid w:val="00326DE4"/>
    <w:rsid w:val="00327E24"/>
    <w:rsid w:val="00330B39"/>
    <w:rsid w:val="003310EF"/>
    <w:rsid w:val="003314FC"/>
    <w:rsid w:val="0033190A"/>
    <w:rsid w:val="00333872"/>
    <w:rsid w:val="0033408B"/>
    <w:rsid w:val="00336774"/>
    <w:rsid w:val="00336F2A"/>
    <w:rsid w:val="00337516"/>
    <w:rsid w:val="00340BD7"/>
    <w:rsid w:val="00343CCB"/>
    <w:rsid w:val="00343DDC"/>
    <w:rsid w:val="0034533A"/>
    <w:rsid w:val="0034762D"/>
    <w:rsid w:val="0035160B"/>
    <w:rsid w:val="00351B40"/>
    <w:rsid w:val="00352940"/>
    <w:rsid w:val="00353294"/>
    <w:rsid w:val="00357C2E"/>
    <w:rsid w:val="003602D9"/>
    <w:rsid w:val="00360979"/>
    <w:rsid w:val="0036169D"/>
    <w:rsid w:val="00361A88"/>
    <w:rsid w:val="00361D4D"/>
    <w:rsid w:val="00366AFB"/>
    <w:rsid w:val="00366EC9"/>
    <w:rsid w:val="0037088F"/>
    <w:rsid w:val="00373532"/>
    <w:rsid w:val="00373651"/>
    <w:rsid w:val="00373DF0"/>
    <w:rsid w:val="00373E1A"/>
    <w:rsid w:val="00373FE0"/>
    <w:rsid w:val="00374FD6"/>
    <w:rsid w:val="00375E85"/>
    <w:rsid w:val="00376547"/>
    <w:rsid w:val="003776B8"/>
    <w:rsid w:val="0038196F"/>
    <w:rsid w:val="00381EF6"/>
    <w:rsid w:val="0038385C"/>
    <w:rsid w:val="00384E50"/>
    <w:rsid w:val="00387507"/>
    <w:rsid w:val="00390FEC"/>
    <w:rsid w:val="00391E59"/>
    <w:rsid w:val="00392E7F"/>
    <w:rsid w:val="0039351A"/>
    <w:rsid w:val="00393801"/>
    <w:rsid w:val="00393A11"/>
    <w:rsid w:val="003948A5"/>
    <w:rsid w:val="003964E6"/>
    <w:rsid w:val="00397115"/>
    <w:rsid w:val="003A0862"/>
    <w:rsid w:val="003A0CEC"/>
    <w:rsid w:val="003A1831"/>
    <w:rsid w:val="003A195D"/>
    <w:rsid w:val="003A1AE7"/>
    <w:rsid w:val="003A24DD"/>
    <w:rsid w:val="003A2CB0"/>
    <w:rsid w:val="003A2DDA"/>
    <w:rsid w:val="003A2DF7"/>
    <w:rsid w:val="003A2FA4"/>
    <w:rsid w:val="003A3897"/>
    <w:rsid w:val="003A612B"/>
    <w:rsid w:val="003A689B"/>
    <w:rsid w:val="003A75B2"/>
    <w:rsid w:val="003A760F"/>
    <w:rsid w:val="003A7A13"/>
    <w:rsid w:val="003B0253"/>
    <w:rsid w:val="003B06AF"/>
    <w:rsid w:val="003B1311"/>
    <w:rsid w:val="003B24A6"/>
    <w:rsid w:val="003B3769"/>
    <w:rsid w:val="003B4A42"/>
    <w:rsid w:val="003B7E4B"/>
    <w:rsid w:val="003C11CF"/>
    <w:rsid w:val="003C1F89"/>
    <w:rsid w:val="003C38B7"/>
    <w:rsid w:val="003C3D1C"/>
    <w:rsid w:val="003C639F"/>
    <w:rsid w:val="003D01DF"/>
    <w:rsid w:val="003D05F5"/>
    <w:rsid w:val="003D2743"/>
    <w:rsid w:val="003D2750"/>
    <w:rsid w:val="003D3607"/>
    <w:rsid w:val="003D37D8"/>
    <w:rsid w:val="003D3D05"/>
    <w:rsid w:val="003D3F33"/>
    <w:rsid w:val="003D3F8A"/>
    <w:rsid w:val="003D4248"/>
    <w:rsid w:val="003D777E"/>
    <w:rsid w:val="003D7CD8"/>
    <w:rsid w:val="003E05E6"/>
    <w:rsid w:val="003E41FC"/>
    <w:rsid w:val="003E42E6"/>
    <w:rsid w:val="003E7CFA"/>
    <w:rsid w:val="003F06E5"/>
    <w:rsid w:val="003F18FF"/>
    <w:rsid w:val="003F22DB"/>
    <w:rsid w:val="003F4560"/>
    <w:rsid w:val="003F4A82"/>
    <w:rsid w:val="003F5ED5"/>
    <w:rsid w:val="003F76A2"/>
    <w:rsid w:val="004008CF"/>
    <w:rsid w:val="00401880"/>
    <w:rsid w:val="00401C10"/>
    <w:rsid w:val="004024C4"/>
    <w:rsid w:val="00403E57"/>
    <w:rsid w:val="00404A98"/>
    <w:rsid w:val="00404B53"/>
    <w:rsid w:val="0040584E"/>
    <w:rsid w:val="004077E9"/>
    <w:rsid w:val="00407FBA"/>
    <w:rsid w:val="00411163"/>
    <w:rsid w:val="00411232"/>
    <w:rsid w:val="00412115"/>
    <w:rsid w:val="00412B73"/>
    <w:rsid w:val="00414217"/>
    <w:rsid w:val="00414544"/>
    <w:rsid w:val="004146DD"/>
    <w:rsid w:val="00415551"/>
    <w:rsid w:val="00415C0D"/>
    <w:rsid w:val="00417A69"/>
    <w:rsid w:val="00420B73"/>
    <w:rsid w:val="0042147D"/>
    <w:rsid w:val="00421B76"/>
    <w:rsid w:val="0042203D"/>
    <w:rsid w:val="00422070"/>
    <w:rsid w:val="004223C3"/>
    <w:rsid w:val="00422E65"/>
    <w:rsid w:val="004239A5"/>
    <w:rsid w:val="00426133"/>
    <w:rsid w:val="0042772C"/>
    <w:rsid w:val="00430C93"/>
    <w:rsid w:val="00430DEB"/>
    <w:rsid w:val="0043120C"/>
    <w:rsid w:val="0043175E"/>
    <w:rsid w:val="0043176B"/>
    <w:rsid w:val="00431853"/>
    <w:rsid w:val="00431962"/>
    <w:rsid w:val="00431F73"/>
    <w:rsid w:val="004358AB"/>
    <w:rsid w:val="004416EE"/>
    <w:rsid w:val="00441D63"/>
    <w:rsid w:val="004425D3"/>
    <w:rsid w:val="00442E24"/>
    <w:rsid w:val="00443078"/>
    <w:rsid w:val="00443498"/>
    <w:rsid w:val="004445A9"/>
    <w:rsid w:val="00445590"/>
    <w:rsid w:val="004457D5"/>
    <w:rsid w:val="004477DC"/>
    <w:rsid w:val="00447DF4"/>
    <w:rsid w:val="004529E3"/>
    <w:rsid w:val="00453254"/>
    <w:rsid w:val="00453D5E"/>
    <w:rsid w:val="004554C1"/>
    <w:rsid w:val="00455A59"/>
    <w:rsid w:val="00457F6E"/>
    <w:rsid w:val="00460860"/>
    <w:rsid w:val="00461B9B"/>
    <w:rsid w:val="00462162"/>
    <w:rsid w:val="00462A96"/>
    <w:rsid w:val="004639F5"/>
    <w:rsid w:val="00464266"/>
    <w:rsid w:val="0046527D"/>
    <w:rsid w:val="00465617"/>
    <w:rsid w:val="004657B5"/>
    <w:rsid w:val="00466159"/>
    <w:rsid w:val="00467C5B"/>
    <w:rsid w:val="00472223"/>
    <w:rsid w:val="004724A6"/>
    <w:rsid w:val="00473498"/>
    <w:rsid w:val="0047355E"/>
    <w:rsid w:val="00473AFF"/>
    <w:rsid w:val="00473B73"/>
    <w:rsid w:val="00475CFD"/>
    <w:rsid w:val="0047755F"/>
    <w:rsid w:val="00477EB8"/>
    <w:rsid w:val="00480C71"/>
    <w:rsid w:val="00481A2A"/>
    <w:rsid w:val="00482333"/>
    <w:rsid w:val="004828E0"/>
    <w:rsid w:val="00482D0B"/>
    <w:rsid w:val="0048380D"/>
    <w:rsid w:val="004840C8"/>
    <w:rsid w:val="004862A3"/>
    <w:rsid w:val="0048699D"/>
    <w:rsid w:val="00487418"/>
    <w:rsid w:val="00490457"/>
    <w:rsid w:val="00490B1F"/>
    <w:rsid w:val="004920C3"/>
    <w:rsid w:val="00492124"/>
    <w:rsid w:val="00493FE9"/>
    <w:rsid w:val="004943A9"/>
    <w:rsid w:val="00494C56"/>
    <w:rsid w:val="0049581B"/>
    <w:rsid w:val="004962F8"/>
    <w:rsid w:val="004A1328"/>
    <w:rsid w:val="004A1985"/>
    <w:rsid w:val="004A38D8"/>
    <w:rsid w:val="004A444E"/>
    <w:rsid w:val="004A479F"/>
    <w:rsid w:val="004A5BEE"/>
    <w:rsid w:val="004A6FA2"/>
    <w:rsid w:val="004A7DB6"/>
    <w:rsid w:val="004B1FE3"/>
    <w:rsid w:val="004B3001"/>
    <w:rsid w:val="004B4B23"/>
    <w:rsid w:val="004B5602"/>
    <w:rsid w:val="004B5B47"/>
    <w:rsid w:val="004B704B"/>
    <w:rsid w:val="004B7210"/>
    <w:rsid w:val="004B7FFD"/>
    <w:rsid w:val="004C0855"/>
    <w:rsid w:val="004C0CB9"/>
    <w:rsid w:val="004C0F6C"/>
    <w:rsid w:val="004C107C"/>
    <w:rsid w:val="004C2487"/>
    <w:rsid w:val="004C2585"/>
    <w:rsid w:val="004C4C16"/>
    <w:rsid w:val="004D0049"/>
    <w:rsid w:val="004D0B64"/>
    <w:rsid w:val="004D251C"/>
    <w:rsid w:val="004D3C79"/>
    <w:rsid w:val="004D5A31"/>
    <w:rsid w:val="004D5F65"/>
    <w:rsid w:val="004E1648"/>
    <w:rsid w:val="004E2FE5"/>
    <w:rsid w:val="004E45C4"/>
    <w:rsid w:val="004E4DFF"/>
    <w:rsid w:val="004E5A1A"/>
    <w:rsid w:val="004E73E4"/>
    <w:rsid w:val="004F009F"/>
    <w:rsid w:val="004F2A79"/>
    <w:rsid w:val="004F36E7"/>
    <w:rsid w:val="004F3D8A"/>
    <w:rsid w:val="004F440B"/>
    <w:rsid w:val="004F6F21"/>
    <w:rsid w:val="005023D5"/>
    <w:rsid w:val="00503858"/>
    <w:rsid w:val="0050664C"/>
    <w:rsid w:val="00506659"/>
    <w:rsid w:val="005067E5"/>
    <w:rsid w:val="00506D85"/>
    <w:rsid w:val="005075D7"/>
    <w:rsid w:val="00510E19"/>
    <w:rsid w:val="005119C8"/>
    <w:rsid w:val="00511B85"/>
    <w:rsid w:val="00511E57"/>
    <w:rsid w:val="00512D91"/>
    <w:rsid w:val="00520883"/>
    <w:rsid w:val="00520F08"/>
    <w:rsid w:val="00521CEA"/>
    <w:rsid w:val="00521DA0"/>
    <w:rsid w:val="00522BE0"/>
    <w:rsid w:val="00524613"/>
    <w:rsid w:val="0052495C"/>
    <w:rsid w:val="00525EA3"/>
    <w:rsid w:val="0053046F"/>
    <w:rsid w:val="0053191D"/>
    <w:rsid w:val="00532EEF"/>
    <w:rsid w:val="00533E82"/>
    <w:rsid w:val="00533ED1"/>
    <w:rsid w:val="00533FAD"/>
    <w:rsid w:val="005340ED"/>
    <w:rsid w:val="00534BF0"/>
    <w:rsid w:val="00542ADA"/>
    <w:rsid w:val="00543B0A"/>
    <w:rsid w:val="00543D25"/>
    <w:rsid w:val="00543E51"/>
    <w:rsid w:val="00545056"/>
    <w:rsid w:val="00545C68"/>
    <w:rsid w:val="005462A6"/>
    <w:rsid w:val="005506AA"/>
    <w:rsid w:val="0055073A"/>
    <w:rsid w:val="00555F4E"/>
    <w:rsid w:val="005567E2"/>
    <w:rsid w:val="005569F5"/>
    <w:rsid w:val="0056038C"/>
    <w:rsid w:val="005622D6"/>
    <w:rsid w:val="00564C9F"/>
    <w:rsid w:val="00565F22"/>
    <w:rsid w:val="00566461"/>
    <w:rsid w:val="0056660F"/>
    <w:rsid w:val="00567272"/>
    <w:rsid w:val="005679DA"/>
    <w:rsid w:val="005706AF"/>
    <w:rsid w:val="00570BB9"/>
    <w:rsid w:val="00570CE1"/>
    <w:rsid w:val="005727C1"/>
    <w:rsid w:val="005729A5"/>
    <w:rsid w:val="00572DDA"/>
    <w:rsid w:val="00572E18"/>
    <w:rsid w:val="00573726"/>
    <w:rsid w:val="00575FD5"/>
    <w:rsid w:val="00577ABE"/>
    <w:rsid w:val="005816CF"/>
    <w:rsid w:val="00581F30"/>
    <w:rsid w:val="005823AB"/>
    <w:rsid w:val="00585131"/>
    <w:rsid w:val="005871EA"/>
    <w:rsid w:val="005872BE"/>
    <w:rsid w:val="0059163B"/>
    <w:rsid w:val="00595A5F"/>
    <w:rsid w:val="0059663A"/>
    <w:rsid w:val="0059693E"/>
    <w:rsid w:val="00597539"/>
    <w:rsid w:val="00597981"/>
    <w:rsid w:val="00597D05"/>
    <w:rsid w:val="005A2D4E"/>
    <w:rsid w:val="005A2F67"/>
    <w:rsid w:val="005A4065"/>
    <w:rsid w:val="005A59FB"/>
    <w:rsid w:val="005A5BB6"/>
    <w:rsid w:val="005A7A65"/>
    <w:rsid w:val="005B0481"/>
    <w:rsid w:val="005B1002"/>
    <w:rsid w:val="005B23EA"/>
    <w:rsid w:val="005B325E"/>
    <w:rsid w:val="005B33EA"/>
    <w:rsid w:val="005B3A19"/>
    <w:rsid w:val="005B6CFF"/>
    <w:rsid w:val="005B6D74"/>
    <w:rsid w:val="005B74CD"/>
    <w:rsid w:val="005C2E5C"/>
    <w:rsid w:val="005C3776"/>
    <w:rsid w:val="005C4D9A"/>
    <w:rsid w:val="005C4EF2"/>
    <w:rsid w:val="005D03A4"/>
    <w:rsid w:val="005D093D"/>
    <w:rsid w:val="005D1FF1"/>
    <w:rsid w:val="005D2345"/>
    <w:rsid w:val="005D3072"/>
    <w:rsid w:val="005D4D12"/>
    <w:rsid w:val="005D5807"/>
    <w:rsid w:val="005D5899"/>
    <w:rsid w:val="005E3C35"/>
    <w:rsid w:val="005E3C76"/>
    <w:rsid w:val="005E4B23"/>
    <w:rsid w:val="005E525D"/>
    <w:rsid w:val="005E7473"/>
    <w:rsid w:val="005F0752"/>
    <w:rsid w:val="005F134E"/>
    <w:rsid w:val="005F16BE"/>
    <w:rsid w:val="005F397B"/>
    <w:rsid w:val="005F3D8F"/>
    <w:rsid w:val="005F3EB2"/>
    <w:rsid w:val="005F4866"/>
    <w:rsid w:val="005F5D99"/>
    <w:rsid w:val="005F625E"/>
    <w:rsid w:val="005F7585"/>
    <w:rsid w:val="00601DEA"/>
    <w:rsid w:val="006025BF"/>
    <w:rsid w:val="006025D1"/>
    <w:rsid w:val="00603867"/>
    <w:rsid w:val="006050DD"/>
    <w:rsid w:val="006059C2"/>
    <w:rsid w:val="00605A63"/>
    <w:rsid w:val="00605B97"/>
    <w:rsid w:val="00605BBD"/>
    <w:rsid w:val="00605CB5"/>
    <w:rsid w:val="006079DE"/>
    <w:rsid w:val="0061053B"/>
    <w:rsid w:val="00612871"/>
    <w:rsid w:val="0061299A"/>
    <w:rsid w:val="0061377F"/>
    <w:rsid w:val="00615B68"/>
    <w:rsid w:val="0061701D"/>
    <w:rsid w:val="0061734F"/>
    <w:rsid w:val="006205A9"/>
    <w:rsid w:val="0062452E"/>
    <w:rsid w:val="00624E16"/>
    <w:rsid w:val="00625C21"/>
    <w:rsid w:val="00630507"/>
    <w:rsid w:val="006325D7"/>
    <w:rsid w:val="006368C9"/>
    <w:rsid w:val="0063695C"/>
    <w:rsid w:val="006427E2"/>
    <w:rsid w:val="00642955"/>
    <w:rsid w:val="00643781"/>
    <w:rsid w:val="00643A25"/>
    <w:rsid w:val="006442A8"/>
    <w:rsid w:val="00645662"/>
    <w:rsid w:val="00646D9B"/>
    <w:rsid w:val="00647EB5"/>
    <w:rsid w:val="00650351"/>
    <w:rsid w:val="00650EB5"/>
    <w:rsid w:val="0065167D"/>
    <w:rsid w:val="00652149"/>
    <w:rsid w:val="006525B9"/>
    <w:rsid w:val="00653C92"/>
    <w:rsid w:val="00653DF1"/>
    <w:rsid w:val="00655704"/>
    <w:rsid w:val="00662A8D"/>
    <w:rsid w:val="0066401A"/>
    <w:rsid w:val="00666CEB"/>
    <w:rsid w:val="00666FE6"/>
    <w:rsid w:val="00670664"/>
    <w:rsid w:val="00672D7B"/>
    <w:rsid w:val="0067306C"/>
    <w:rsid w:val="00674734"/>
    <w:rsid w:val="006747C9"/>
    <w:rsid w:val="006748C7"/>
    <w:rsid w:val="006751D9"/>
    <w:rsid w:val="00675583"/>
    <w:rsid w:val="00675F5D"/>
    <w:rsid w:val="00676272"/>
    <w:rsid w:val="00676D02"/>
    <w:rsid w:val="00676D90"/>
    <w:rsid w:val="00677B8A"/>
    <w:rsid w:val="00681FBC"/>
    <w:rsid w:val="00682519"/>
    <w:rsid w:val="00683152"/>
    <w:rsid w:val="00683778"/>
    <w:rsid w:val="00684647"/>
    <w:rsid w:val="006866B6"/>
    <w:rsid w:val="00686AFB"/>
    <w:rsid w:val="00690982"/>
    <w:rsid w:val="00691FC9"/>
    <w:rsid w:val="006934B5"/>
    <w:rsid w:val="00693B68"/>
    <w:rsid w:val="006949A6"/>
    <w:rsid w:val="00694E6C"/>
    <w:rsid w:val="006954B4"/>
    <w:rsid w:val="00697877"/>
    <w:rsid w:val="006A0FCC"/>
    <w:rsid w:val="006A1385"/>
    <w:rsid w:val="006A25D9"/>
    <w:rsid w:val="006A40B2"/>
    <w:rsid w:val="006A424D"/>
    <w:rsid w:val="006A42D0"/>
    <w:rsid w:val="006A49B8"/>
    <w:rsid w:val="006A7117"/>
    <w:rsid w:val="006B053B"/>
    <w:rsid w:val="006B06D8"/>
    <w:rsid w:val="006B13ED"/>
    <w:rsid w:val="006B1F7E"/>
    <w:rsid w:val="006B3C5E"/>
    <w:rsid w:val="006B4C4B"/>
    <w:rsid w:val="006B4F87"/>
    <w:rsid w:val="006B5290"/>
    <w:rsid w:val="006B6D65"/>
    <w:rsid w:val="006B7826"/>
    <w:rsid w:val="006B7B09"/>
    <w:rsid w:val="006C41CB"/>
    <w:rsid w:val="006C4EBA"/>
    <w:rsid w:val="006C5800"/>
    <w:rsid w:val="006C5D5E"/>
    <w:rsid w:val="006D0FF0"/>
    <w:rsid w:val="006D3892"/>
    <w:rsid w:val="006D3A0C"/>
    <w:rsid w:val="006D41B0"/>
    <w:rsid w:val="006D455F"/>
    <w:rsid w:val="006D4D3D"/>
    <w:rsid w:val="006D5BC2"/>
    <w:rsid w:val="006D64ED"/>
    <w:rsid w:val="006D72B4"/>
    <w:rsid w:val="006E112C"/>
    <w:rsid w:val="006E287E"/>
    <w:rsid w:val="006E293E"/>
    <w:rsid w:val="006E46D3"/>
    <w:rsid w:val="006E4EA9"/>
    <w:rsid w:val="006E5934"/>
    <w:rsid w:val="006E758A"/>
    <w:rsid w:val="006F06E0"/>
    <w:rsid w:val="006F14B0"/>
    <w:rsid w:val="006F4DBA"/>
    <w:rsid w:val="006F5706"/>
    <w:rsid w:val="006F5F6B"/>
    <w:rsid w:val="006F6F0D"/>
    <w:rsid w:val="00701AC1"/>
    <w:rsid w:val="00701DE0"/>
    <w:rsid w:val="007023B5"/>
    <w:rsid w:val="00702C22"/>
    <w:rsid w:val="00704157"/>
    <w:rsid w:val="00704F3B"/>
    <w:rsid w:val="00705703"/>
    <w:rsid w:val="00707C0D"/>
    <w:rsid w:val="007107F4"/>
    <w:rsid w:val="00711120"/>
    <w:rsid w:val="007134AC"/>
    <w:rsid w:val="00715D73"/>
    <w:rsid w:val="007168AA"/>
    <w:rsid w:val="00717216"/>
    <w:rsid w:val="007202D5"/>
    <w:rsid w:val="007228B9"/>
    <w:rsid w:val="00723FA6"/>
    <w:rsid w:val="00724057"/>
    <w:rsid w:val="00724C2F"/>
    <w:rsid w:val="0072762A"/>
    <w:rsid w:val="00727F1F"/>
    <w:rsid w:val="0073046E"/>
    <w:rsid w:val="007305BD"/>
    <w:rsid w:val="00731277"/>
    <w:rsid w:val="00731521"/>
    <w:rsid w:val="00732125"/>
    <w:rsid w:val="00732DBC"/>
    <w:rsid w:val="00732EC1"/>
    <w:rsid w:val="0073365A"/>
    <w:rsid w:val="00733717"/>
    <w:rsid w:val="00734150"/>
    <w:rsid w:val="0073458D"/>
    <w:rsid w:val="00734771"/>
    <w:rsid w:val="00734E27"/>
    <w:rsid w:val="00735BE8"/>
    <w:rsid w:val="007375C1"/>
    <w:rsid w:val="007404BA"/>
    <w:rsid w:val="00740FC0"/>
    <w:rsid w:val="007428ED"/>
    <w:rsid w:val="00744535"/>
    <w:rsid w:val="007451B5"/>
    <w:rsid w:val="00745640"/>
    <w:rsid w:val="0074695C"/>
    <w:rsid w:val="0074790B"/>
    <w:rsid w:val="00751316"/>
    <w:rsid w:val="0075179A"/>
    <w:rsid w:val="00751CD8"/>
    <w:rsid w:val="007523F6"/>
    <w:rsid w:val="007527DC"/>
    <w:rsid w:val="0075514D"/>
    <w:rsid w:val="00755297"/>
    <w:rsid w:val="00756845"/>
    <w:rsid w:val="00756956"/>
    <w:rsid w:val="00756A81"/>
    <w:rsid w:val="00760A6C"/>
    <w:rsid w:val="007613DD"/>
    <w:rsid w:val="00761C33"/>
    <w:rsid w:val="00762BBD"/>
    <w:rsid w:val="00763C10"/>
    <w:rsid w:val="00763F74"/>
    <w:rsid w:val="00764A12"/>
    <w:rsid w:val="0076601F"/>
    <w:rsid w:val="007667FC"/>
    <w:rsid w:val="00766923"/>
    <w:rsid w:val="00766D74"/>
    <w:rsid w:val="00770E92"/>
    <w:rsid w:val="00772B5E"/>
    <w:rsid w:val="00772BC9"/>
    <w:rsid w:val="0077336B"/>
    <w:rsid w:val="007736A9"/>
    <w:rsid w:val="00774701"/>
    <w:rsid w:val="0077593A"/>
    <w:rsid w:val="00775B7C"/>
    <w:rsid w:val="00776CF2"/>
    <w:rsid w:val="00777067"/>
    <w:rsid w:val="00777CF5"/>
    <w:rsid w:val="007801DB"/>
    <w:rsid w:val="007803BC"/>
    <w:rsid w:val="00780A0A"/>
    <w:rsid w:val="0078110F"/>
    <w:rsid w:val="007815A7"/>
    <w:rsid w:val="0078163F"/>
    <w:rsid w:val="007849F4"/>
    <w:rsid w:val="00785B35"/>
    <w:rsid w:val="00785BDD"/>
    <w:rsid w:val="00785FA2"/>
    <w:rsid w:val="00787E7A"/>
    <w:rsid w:val="00791562"/>
    <w:rsid w:val="007927F1"/>
    <w:rsid w:val="00792818"/>
    <w:rsid w:val="00792B74"/>
    <w:rsid w:val="00792CF4"/>
    <w:rsid w:val="0079382D"/>
    <w:rsid w:val="00794DFC"/>
    <w:rsid w:val="00796410"/>
    <w:rsid w:val="007970AD"/>
    <w:rsid w:val="00797576"/>
    <w:rsid w:val="007978E1"/>
    <w:rsid w:val="007A1828"/>
    <w:rsid w:val="007A2ACD"/>
    <w:rsid w:val="007A5FAF"/>
    <w:rsid w:val="007B0894"/>
    <w:rsid w:val="007B0DD4"/>
    <w:rsid w:val="007B123E"/>
    <w:rsid w:val="007B13D5"/>
    <w:rsid w:val="007B2D72"/>
    <w:rsid w:val="007B2DC5"/>
    <w:rsid w:val="007B36DD"/>
    <w:rsid w:val="007B4608"/>
    <w:rsid w:val="007B49A6"/>
    <w:rsid w:val="007B5307"/>
    <w:rsid w:val="007B55E4"/>
    <w:rsid w:val="007B58FB"/>
    <w:rsid w:val="007B5C74"/>
    <w:rsid w:val="007B5FBF"/>
    <w:rsid w:val="007C0092"/>
    <w:rsid w:val="007C051A"/>
    <w:rsid w:val="007C15BB"/>
    <w:rsid w:val="007C1619"/>
    <w:rsid w:val="007C1A4C"/>
    <w:rsid w:val="007C2359"/>
    <w:rsid w:val="007C2444"/>
    <w:rsid w:val="007C3FB9"/>
    <w:rsid w:val="007C4693"/>
    <w:rsid w:val="007C4ABA"/>
    <w:rsid w:val="007C677D"/>
    <w:rsid w:val="007C7AC6"/>
    <w:rsid w:val="007D0166"/>
    <w:rsid w:val="007D01DC"/>
    <w:rsid w:val="007D07FF"/>
    <w:rsid w:val="007D23A5"/>
    <w:rsid w:val="007D3F8D"/>
    <w:rsid w:val="007D5A53"/>
    <w:rsid w:val="007D60F2"/>
    <w:rsid w:val="007E00DA"/>
    <w:rsid w:val="007E0182"/>
    <w:rsid w:val="007E1BBF"/>
    <w:rsid w:val="007E279D"/>
    <w:rsid w:val="007E42D9"/>
    <w:rsid w:val="007F0E16"/>
    <w:rsid w:val="007F11ED"/>
    <w:rsid w:val="007F11F5"/>
    <w:rsid w:val="007F24DA"/>
    <w:rsid w:val="007F358B"/>
    <w:rsid w:val="007F35B2"/>
    <w:rsid w:val="007F492F"/>
    <w:rsid w:val="007F4CB4"/>
    <w:rsid w:val="007F6F38"/>
    <w:rsid w:val="007F701D"/>
    <w:rsid w:val="007F771A"/>
    <w:rsid w:val="0080147E"/>
    <w:rsid w:val="00803606"/>
    <w:rsid w:val="00804902"/>
    <w:rsid w:val="00804A5B"/>
    <w:rsid w:val="00810151"/>
    <w:rsid w:val="008104E6"/>
    <w:rsid w:val="0081192F"/>
    <w:rsid w:val="008120C1"/>
    <w:rsid w:val="0081287C"/>
    <w:rsid w:val="00812CB8"/>
    <w:rsid w:val="00814BE9"/>
    <w:rsid w:val="008150EB"/>
    <w:rsid w:val="00815457"/>
    <w:rsid w:val="00815730"/>
    <w:rsid w:val="00817515"/>
    <w:rsid w:val="00820C18"/>
    <w:rsid w:val="008220C1"/>
    <w:rsid w:val="008258D2"/>
    <w:rsid w:val="008278A0"/>
    <w:rsid w:val="008303AD"/>
    <w:rsid w:val="0083088B"/>
    <w:rsid w:val="00831797"/>
    <w:rsid w:val="0083375B"/>
    <w:rsid w:val="00834F77"/>
    <w:rsid w:val="008350F8"/>
    <w:rsid w:val="00836439"/>
    <w:rsid w:val="00836A31"/>
    <w:rsid w:val="00841D7D"/>
    <w:rsid w:val="0084248B"/>
    <w:rsid w:val="00843B8E"/>
    <w:rsid w:val="00844184"/>
    <w:rsid w:val="0084421F"/>
    <w:rsid w:val="00845A3B"/>
    <w:rsid w:val="00845F6A"/>
    <w:rsid w:val="0084604C"/>
    <w:rsid w:val="008476E4"/>
    <w:rsid w:val="00850598"/>
    <w:rsid w:val="008517F2"/>
    <w:rsid w:val="00852947"/>
    <w:rsid w:val="00852D4A"/>
    <w:rsid w:val="00853409"/>
    <w:rsid w:val="008551D0"/>
    <w:rsid w:val="0085762E"/>
    <w:rsid w:val="008576F8"/>
    <w:rsid w:val="00857709"/>
    <w:rsid w:val="0086100E"/>
    <w:rsid w:val="008615CA"/>
    <w:rsid w:val="00861FE4"/>
    <w:rsid w:val="00862224"/>
    <w:rsid w:val="00862B46"/>
    <w:rsid w:val="008638DA"/>
    <w:rsid w:val="00864EB6"/>
    <w:rsid w:val="00865064"/>
    <w:rsid w:val="0086728C"/>
    <w:rsid w:val="00872186"/>
    <w:rsid w:val="00872CDB"/>
    <w:rsid w:val="00872D04"/>
    <w:rsid w:val="00873B6B"/>
    <w:rsid w:val="0087484F"/>
    <w:rsid w:val="00874CB9"/>
    <w:rsid w:val="00874EDE"/>
    <w:rsid w:val="0088055E"/>
    <w:rsid w:val="00881A88"/>
    <w:rsid w:val="008837D2"/>
    <w:rsid w:val="00883F09"/>
    <w:rsid w:val="00884880"/>
    <w:rsid w:val="00885C82"/>
    <w:rsid w:val="00886885"/>
    <w:rsid w:val="0089007C"/>
    <w:rsid w:val="008905CB"/>
    <w:rsid w:val="00891534"/>
    <w:rsid w:val="0089295D"/>
    <w:rsid w:val="00893CB5"/>
    <w:rsid w:val="00895116"/>
    <w:rsid w:val="008963D6"/>
    <w:rsid w:val="00896B1F"/>
    <w:rsid w:val="008A01F3"/>
    <w:rsid w:val="008A2134"/>
    <w:rsid w:val="008A2252"/>
    <w:rsid w:val="008A458D"/>
    <w:rsid w:val="008A63BE"/>
    <w:rsid w:val="008B141F"/>
    <w:rsid w:val="008B27FB"/>
    <w:rsid w:val="008B3384"/>
    <w:rsid w:val="008B442D"/>
    <w:rsid w:val="008B44D7"/>
    <w:rsid w:val="008B7462"/>
    <w:rsid w:val="008B7726"/>
    <w:rsid w:val="008C18DC"/>
    <w:rsid w:val="008C2C0E"/>
    <w:rsid w:val="008C3BFD"/>
    <w:rsid w:val="008C44A3"/>
    <w:rsid w:val="008D012E"/>
    <w:rsid w:val="008D034A"/>
    <w:rsid w:val="008D18CA"/>
    <w:rsid w:val="008D2D1A"/>
    <w:rsid w:val="008D3BD3"/>
    <w:rsid w:val="008D41D2"/>
    <w:rsid w:val="008D560E"/>
    <w:rsid w:val="008D6575"/>
    <w:rsid w:val="008D6D47"/>
    <w:rsid w:val="008D74A5"/>
    <w:rsid w:val="008D7A5C"/>
    <w:rsid w:val="008E1B64"/>
    <w:rsid w:val="008E1DB7"/>
    <w:rsid w:val="008E51A0"/>
    <w:rsid w:val="008E6A09"/>
    <w:rsid w:val="008F0439"/>
    <w:rsid w:val="008F065A"/>
    <w:rsid w:val="008F0D0A"/>
    <w:rsid w:val="008F1ACE"/>
    <w:rsid w:val="008F3B3A"/>
    <w:rsid w:val="008F3D58"/>
    <w:rsid w:val="008F4495"/>
    <w:rsid w:val="008F5FDC"/>
    <w:rsid w:val="008F65A7"/>
    <w:rsid w:val="008F6AAE"/>
    <w:rsid w:val="008F6E3C"/>
    <w:rsid w:val="008F7AFA"/>
    <w:rsid w:val="008F7DAF"/>
    <w:rsid w:val="00900FD3"/>
    <w:rsid w:val="009013CA"/>
    <w:rsid w:val="009024F6"/>
    <w:rsid w:val="00903526"/>
    <w:rsid w:val="00903B01"/>
    <w:rsid w:val="00904F0D"/>
    <w:rsid w:val="0090660E"/>
    <w:rsid w:val="00906778"/>
    <w:rsid w:val="0091179B"/>
    <w:rsid w:val="00911CDA"/>
    <w:rsid w:val="009122E3"/>
    <w:rsid w:val="00912E61"/>
    <w:rsid w:val="0091358E"/>
    <w:rsid w:val="00914D72"/>
    <w:rsid w:val="00917045"/>
    <w:rsid w:val="00920331"/>
    <w:rsid w:val="00920D0F"/>
    <w:rsid w:val="009224AD"/>
    <w:rsid w:val="00925581"/>
    <w:rsid w:val="009256AF"/>
    <w:rsid w:val="0092570F"/>
    <w:rsid w:val="00925A8D"/>
    <w:rsid w:val="00925C1D"/>
    <w:rsid w:val="00925CA2"/>
    <w:rsid w:val="00926283"/>
    <w:rsid w:val="00926921"/>
    <w:rsid w:val="009269E4"/>
    <w:rsid w:val="00926B58"/>
    <w:rsid w:val="00927584"/>
    <w:rsid w:val="00927A33"/>
    <w:rsid w:val="0093042E"/>
    <w:rsid w:val="009318D7"/>
    <w:rsid w:val="00932071"/>
    <w:rsid w:val="00932C36"/>
    <w:rsid w:val="00933AC1"/>
    <w:rsid w:val="00934E8C"/>
    <w:rsid w:val="00935531"/>
    <w:rsid w:val="00935564"/>
    <w:rsid w:val="00935AB2"/>
    <w:rsid w:val="009372B6"/>
    <w:rsid w:val="0093752F"/>
    <w:rsid w:val="0094026C"/>
    <w:rsid w:val="00941046"/>
    <w:rsid w:val="0094174A"/>
    <w:rsid w:val="00941A68"/>
    <w:rsid w:val="00942F3A"/>
    <w:rsid w:val="00943B41"/>
    <w:rsid w:val="009451A9"/>
    <w:rsid w:val="009461A9"/>
    <w:rsid w:val="009463D5"/>
    <w:rsid w:val="00946DF0"/>
    <w:rsid w:val="00950240"/>
    <w:rsid w:val="0095036C"/>
    <w:rsid w:val="00953197"/>
    <w:rsid w:val="00953B5D"/>
    <w:rsid w:val="009546B9"/>
    <w:rsid w:val="00954750"/>
    <w:rsid w:val="00955B37"/>
    <w:rsid w:val="00956711"/>
    <w:rsid w:val="00956855"/>
    <w:rsid w:val="009572AE"/>
    <w:rsid w:val="009574E2"/>
    <w:rsid w:val="009575F3"/>
    <w:rsid w:val="00957AF7"/>
    <w:rsid w:val="00957C4C"/>
    <w:rsid w:val="00960C2A"/>
    <w:rsid w:val="00960F2F"/>
    <w:rsid w:val="0096274F"/>
    <w:rsid w:val="00962AA2"/>
    <w:rsid w:val="0096322D"/>
    <w:rsid w:val="0096345C"/>
    <w:rsid w:val="009649A3"/>
    <w:rsid w:val="00964A52"/>
    <w:rsid w:val="00965B4B"/>
    <w:rsid w:val="0096620F"/>
    <w:rsid w:val="0096761D"/>
    <w:rsid w:val="009705E6"/>
    <w:rsid w:val="00970A6F"/>
    <w:rsid w:val="00970C01"/>
    <w:rsid w:val="00970D40"/>
    <w:rsid w:val="00971761"/>
    <w:rsid w:val="0097211F"/>
    <w:rsid w:val="00973A9B"/>
    <w:rsid w:val="00974488"/>
    <w:rsid w:val="00974E8E"/>
    <w:rsid w:val="009769E9"/>
    <w:rsid w:val="0098016B"/>
    <w:rsid w:val="009806F1"/>
    <w:rsid w:val="00986AFD"/>
    <w:rsid w:val="00987244"/>
    <w:rsid w:val="009903CC"/>
    <w:rsid w:val="00991A1C"/>
    <w:rsid w:val="009925F1"/>
    <w:rsid w:val="00994BC3"/>
    <w:rsid w:val="009976A3"/>
    <w:rsid w:val="00997A40"/>
    <w:rsid w:val="009A1D15"/>
    <w:rsid w:val="009A1D36"/>
    <w:rsid w:val="009A1FA1"/>
    <w:rsid w:val="009A383D"/>
    <w:rsid w:val="009B01E7"/>
    <w:rsid w:val="009B0BB6"/>
    <w:rsid w:val="009B12B1"/>
    <w:rsid w:val="009B1D46"/>
    <w:rsid w:val="009B2969"/>
    <w:rsid w:val="009B364C"/>
    <w:rsid w:val="009B441E"/>
    <w:rsid w:val="009B5AF4"/>
    <w:rsid w:val="009B5C75"/>
    <w:rsid w:val="009B60CB"/>
    <w:rsid w:val="009B7165"/>
    <w:rsid w:val="009C2B83"/>
    <w:rsid w:val="009C30C7"/>
    <w:rsid w:val="009C3839"/>
    <w:rsid w:val="009C54ED"/>
    <w:rsid w:val="009C5D7A"/>
    <w:rsid w:val="009C665B"/>
    <w:rsid w:val="009D1B26"/>
    <w:rsid w:val="009D217E"/>
    <w:rsid w:val="009D387B"/>
    <w:rsid w:val="009D3A42"/>
    <w:rsid w:val="009D3D86"/>
    <w:rsid w:val="009D49F2"/>
    <w:rsid w:val="009D72A4"/>
    <w:rsid w:val="009D7932"/>
    <w:rsid w:val="009E0A8F"/>
    <w:rsid w:val="009E1B3C"/>
    <w:rsid w:val="009E2A10"/>
    <w:rsid w:val="009E2BE0"/>
    <w:rsid w:val="009E6104"/>
    <w:rsid w:val="009E6AA0"/>
    <w:rsid w:val="009E7093"/>
    <w:rsid w:val="009F08F7"/>
    <w:rsid w:val="009F377F"/>
    <w:rsid w:val="009F45E9"/>
    <w:rsid w:val="009F48E7"/>
    <w:rsid w:val="009F5797"/>
    <w:rsid w:val="009F585C"/>
    <w:rsid w:val="00A02344"/>
    <w:rsid w:val="00A026E1"/>
    <w:rsid w:val="00A03036"/>
    <w:rsid w:val="00A05E31"/>
    <w:rsid w:val="00A05F3C"/>
    <w:rsid w:val="00A10BE2"/>
    <w:rsid w:val="00A11370"/>
    <w:rsid w:val="00A124BB"/>
    <w:rsid w:val="00A1386B"/>
    <w:rsid w:val="00A13A13"/>
    <w:rsid w:val="00A1424E"/>
    <w:rsid w:val="00A152B6"/>
    <w:rsid w:val="00A17686"/>
    <w:rsid w:val="00A20A88"/>
    <w:rsid w:val="00A2168F"/>
    <w:rsid w:val="00A218E8"/>
    <w:rsid w:val="00A21AD9"/>
    <w:rsid w:val="00A231EF"/>
    <w:rsid w:val="00A2353D"/>
    <w:rsid w:val="00A248C3"/>
    <w:rsid w:val="00A24AA0"/>
    <w:rsid w:val="00A24CAF"/>
    <w:rsid w:val="00A26145"/>
    <w:rsid w:val="00A266FA"/>
    <w:rsid w:val="00A302E3"/>
    <w:rsid w:val="00A30BFD"/>
    <w:rsid w:val="00A30DA3"/>
    <w:rsid w:val="00A31A9C"/>
    <w:rsid w:val="00A32EDA"/>
    <w:rsid w:val="00A361F8"/>
    <w:rsid w:val="00A372CF"/>
    <w:rsid w:val="00A424F2"/>
    <w:rsid w:val="00A4265A"/>
    <w:rsid w:val="00A447CB"/>
    <w:rsid w:val="00A45BC5"/>
    <w:rsid w:val="00A46330"/>
    <w:rsid w:val="00A47A6E"/>
    <w:rsid w:val="00A50090"/>
    <w:rsid w:val="00A51FF2"/>
    <w:rsid w:val="00A52871"/>
    <w:rsid w:val="00A5386D"/>
    <w:rsid w:val="00A539A1"/>
    <w:rsid w:val="00A55BEE"/>
    <w:rsid w:val="00A57EF1"/>
    <w:rsid w:val="00A60882"/>
    <w:rsid w:val="00A6307C"/>
    <w:rsid w:val="00A63FF8"/>
    <w:rsid w:val="00A65687"/>
    <w:rsid w:val="00A65F3B"/>
    <w:rsid w:val="00A66D6C"/>
    <w:rsid w:val="00A67053"/>
    <w:rsid w:val="00A70405"/>
    <w:rsid w:val="00A71FB3"/>
    <w:rsid w:val="00A72E74"/>
    <w:rsid w:val="00A74C0C"/>
    <w:rsid w:val="00A76BDB"/>
    <w:rsid w:val="00A82A80"/>
    <w:rsid w:val="00A8340D"/>
    <w:rsid w:val="00A864F6"/>
    <w:rsid w:val="00A86521"/>
    <w:rsid w:val="00A86D9C"/>
    <w:rsid w:val="00A86F5B"/>
    <w:rsid w:val="00A87995"/>
    <w:rsid w:val="00A927B9"/>
    <w:rsid w:val="00A945E0"/>
    <w:rsid w:val="00AA232D"/>
    <w:rsid w:val="00AA3490"/>
    <w:rsid w:val="00AA3B47"/>
    <w:rsid w:val="00AA3C1C"/>
    <w:rsid w:val="00AA50B9"/>
    <w:rsid w:val="00AA5B18"/>
    <w:rsid w:val="00AA6ED5"/>
    <w:rsid w:val="00AA7BC8"/>
    <w:rsid w:val="00AB016D"/>
    <w:rsid w:val="00AB0600"/>
    <w:rsid w:val="00AB0AF9"/>
    <w:rsid w:val="00AB4D81"/>
    <w:rsid w:val="00AB529E"/>
    <w:rsid w:val="00AB5EB9"/>
    <w:rsid w:val="00AB6511"/>
    <w:rsid w:val="00AB71FF"/>
    <w:rsid w:val="00AC0A3B"/>
    <w:rsid w:val="00AC2201"/>
    <w:rsid w:val="00AC28FC"/>
    <w:rsid w:val="00AC32BA"/>
    <w:rsid w:val="00AC3EFB"/>
    <w:rsid w:val="00AC4FA3"/>
    <w:rsid w:val="00AC5BD5"/>
    <w:rsid w:val="00AC63EF"/>
    <w:rsid w:val="00AC6C64"/>
    <w:rsid w:val="00AC6DE2"/>
    <w:rsid w:val="00AC7105"/>
    <w:rsid w:val="00AC7426"/>
    <w:rsid w:val="00AC7644"/>
    <w:rsid w:val="00AD11D2"/>
    <w:rsid w:val="00AD14BD"/>
    <w:rsid w:val="00AD20D5"/>
    <w:rsid w:val="00AD2945"/>
    <w:rsid w:val="00AD2DC7"/>
    <w:rsid w:val="00AD5C4E"/>
    <w:rsid w:val="00AD5DB4"/>
    <w:rsid w:val="00AE08FC"/>
    <w:rsid w:val="00AE1CF5"/>
    <w:rsid w:val="00AE2C6E"/>
    <w:rsid w:val="00AE3550"/>
    <w:rsid w:val="00AE49D8"/>
    <w:rsid w:val="00AE55C4"/>
    <w:rsid w:val="00AE64FD"/>
    <w:rsid w:val="00AE667B"/>
    <w:rsid w:val="00AF2C07"/>
    <w:rsid w:val="00AF330E"/>
    <w:rsid w:val="00AF36B0"/>
    <w:rsid w:val="00AF53BC"/>
    <w:rsid w:val="00AF57B6"/>
    <w:rsid w:val="00AF796F"/>
    <w:rsid w:val="00B02F63"/>
    <w:rsid w:val="00B03C75"/>
    <w:rsid w:val="00B06143"/>
    <w:rsid w:val="00B06515"/>
    <w:rsid w:val="00B06D4F"/>
    <w:rsid w:val="00B11418"/>
    <w:rsid w:val="00B16374"/>
    <w:rsid w:val="00B17005"/>
    <w:rsid w:val="00B17835"/>
    <w:rsid w:val="00B21EC0"/>
    <w:rsid w:val="00B2309E"/>
    <w:rsid w:val="00B23443"/>
    <w:rsid w:val="00B23C3E"/>
    <w:rsid w:val="00B23EB7"/>
    <w:rsid w:val="00B263BB"/>
    <w:rsid w:val="00B26467"/>
    <w:rsid w:val="00B277A5"/>
    <w:rsid w:val="00B30AB3"/>
    <w:rsid w:val="00B32C23"/>
    <w:rsid w:val="00B331C9"/>
    <w:rsid w:val="00B347A7"/>
    <w:rsid w:val="00B349C3"/>
    <w:rsid w:val="00B37072"/>
    <w:rsid w:val="00B4132F"/>
    <w:rsid w:val="00B415C9"/>
    <w:rsid w:val="00B42B72"/>
    <w:rsid w:val="00B436F6"/>
    <w:rsid w:val="00B44192"/>
    <w:rsid w:val="00B441DA"/>
    <w:rsid w:val="00B44FF8"/>
    <w:rsid w:val="00B46137"/>
    <w:rsid w:val="00B4668A"/>
    <w:rsid w:val="00B47090"/>
    <w:rsid w:val="00B5050E"/>
    <w:rsid w:val="00B5129D"/>
    <w:rsid w:val="00B51388"/>
    <w:rsid w:val="00B51DC5"/>
    <w:rsid w:val="00B536AA"/>
    <w:rsid w:val="00B53AD6"/>
    <w:rsid w:val="00B54C75"/>
    <w:rsid w:val="00B55571"/>
    <w:rsid w:val="00B55CD1"/>
    <w:rsid w:val="00B57137"/>
    <w:rsid w:val="00B57769"/>
    <w:rsid w:val="00B57A6D"/>
    <w:rsid w:val="00B6113C"/>
    <w:rsid w:val="00B61709"/>
    <w:rsid w:val="00B6292B"/>
    <w:rsid w:val="00B62FE3"/>
    <w:rsid w:val="00B638BF"/>
    <w:rsid w:val="00B655E4"/>
    <w:rsid w:val="00B67803"/>
    <w:rsid w:val="00B7000C"/>
    <w:rsid w:val="00B70607"/>
    <w:rsid w:val="00B72B80"/>
    <w:rsid w:val="00B741E3"/>
    <w:rsid w:val="00B7514D"/>
    <w:rsid w:val="00B81101"/>
    <w:rsid w:val="00B82CBB"/>
    <w:rsid w:val="00B83FD6"/>
    <w:rsid w:val="00B83FF4"/>
    <w:rsid w:val="00B8443F"/>
    <w:rsid w:val="00B848E2"/>
    <w:rsid w:val="00B84AC2"/>
    <w:rsid w:val="00B87125"/>
    <w:rsid w:val="00B87F65"/>
    <w:rsid w:val="00B91E74"/>
    <w:rsid w:val="00B927AA"/>
    <w:rsid w:val="00B935E8"/>
    <w:rsid w:val="00B93694"/>
    <w:rsid w:val="00BA0E9C"/>
    <w:rsid w:val="00BA1598"/>
    <w:rsid w:val="00BA1E6B"/>
    <w:rsid w:val="00BA4F79"/>
    <w:rsid w:val="00BA606E"/>
    <w:rsid w:val="00BA7548"/>
    <w:rsid w:val="00BB0AF4"/>
    <w:rsid w:val="00BB0B9D"/>
    <w:rsid w:val="00BB0F95"/>
    <w:rsid w:val="00BB124C"/>
    <w:rsid w:val="00BB1AFD"/>
    <w:rsid w:val="00BB1D63"/>
    <w:rsid w:val="00BB3343"/>
    <w:rsid w:val="00BB4C7D"/>
    <w:rsid w:val="00BB4E6A"/>
    <w:rsid w:val="00BB51C3"/>
    <w:rsid w:val="00BB6071"/>
    <w:rsid w:val="00BB6B18"/>
    <w:rsid w:val="00BB7405"/>
    <w:rsid w:val="00BC01E5"/>
    <w:rsid w:val="00BC02DF"/>
    <w:rsid w:val="00BC0339"/>
    <w:rsid w:val="00BC0372"/>
    <w:rsid w:val="00BC1589"/>
    <w:rsid w:val="00BC1A90"/>
    <w:rsid w:val="00BC1ABA"/>
    <w:rsid w:val="00BC1F34"/>
    <w:rsid w:val="00BC2841"/>
    <w:rsid w:val="00BC2CD7"/>
    <w:rsid w:val="00BC48F9"/>
    <w:rsid w:val="00BC4CC7"/>
    <w:rsid w:val="00BD00EB"/>
    <w:rsid w:val="00BD044B"/>
    <w:rsid w:val="00BD3397"/>
    <w:rsid w:val="00BD3D92"/>
    <w:rsid w:val="00BD56A1"/>
    <w:rsid w:val="00BD580B"/>
    <w:rsid w:val="00BD6C68"/>
    <w:rsid w:val="00BD767D"/>
    <w:rsid w:val="00BE0119"/>
    <w:rsid w:val="00BE046C"/>
    <w:rsid w:val="00BE0865"/>
    <w:rsid w:val="00BE13F0"/>
    <w:rsid w:val="00BE16AB"/>
    <w:rsid w:val="00BE2270"/>
    <w:rsid w:val="00BE35D5"/>
    <w:rsid w:val="00BE3628"/>
    <w:rsid w:val="00BE79C0"/>
    <w:rsid w:val="00BE7C72"/>
    <w:rsid w:val="00BF05A5"/>
    <w:rsid w:val="00BF143C"/>
    <w:rsid w:val="00BF2773"/>
    <w:rsid w:val="00BF2ED6"/>
    <w:rsid w:val="00BF3D0C"/>
    <w:rsid w:val="00BF45DD"/>
    <w:rsid w:val="00BF7345"/>
    <w:rsid w:val="00C010A3"/>
    <w:rsid w:val="00C01964"/>
    <w:rsid w:val="00C0497C"/>
    <w:rsid w:val="00C06632"/>
    <w:rsid w:val="00C11C3B"/>
    <w:rsid w:val="00C11C7A"/>
    <w:rsid w:val="00C1401F"/>
    <w:rsid w:val="00C14FC8"/>
    <w:rsid w:val="00C14FD8"/>
    <w:rsid w:val="00C16255"/>
    <w:rsid w:val="00C172B6"/>
    <w:rsid w:val="00C17D67"/>
    <w:rsid w:val="00C17DFC"/>
    <w:rsid w:val="00C20481"/>
    <w:rsid w:val="00C213CB"/>
    <w:rsid w:val="00C2299D"/>
    <w:rsid w:val="00C229ED"/>
    <w:rsid w:val="00C2308C"/>
    <w:rsid w:val="00C23342"/>
    <w:rsid w:val="00C2353E"/>
    <w:rsid w:val="00C24730"/>
    <w:rsid w:val="00C24B7A"/>
    <w:rsid w:val="00C25E83"/>
    <w:rsid w:val="00C271E1"/>
    <w:rsid w:val="00C301E1"/>
    <w:rsid w:val="00C30ACC"/>
    <w:rsid w:val="00C30AD0"/>
    <w:rsid w:val="00C3108C"/>
    <w:rsid w:val="00C31CB6"/>
    <w:rsid w:val="00C3560C"/>
    <w:rsid w:val="00C364AC"/>
    <w:rsid w:val="00C36A48"/>
    <w:rsid w:val="00C36D4D"/>
    <w:rsid w:val="00C3705A"/>
    <w:rsid w:val="00C40070"/>
    <w:rsid w:val="00C43B74"/>
    <w:rsid w:val="00C44B85"/>
    <w:rsid w:val="00C4589E"/>
    <w:rsid w:val="00C46704"/>
    <w:rsid w:val="00C479D6"/>
    <w:rsid w:val="00C50391"/>
    <w:rsid w:val="00C51FC4"/>
    <w:rsid w:val="00C52AAB"/>
    <w:rsid w:val="00C52BA5"/>
    <w:rsid w:val="00C53B33"/>
    <w:rsid w:val="00C53F28"/>
    <w:rsid w:val="00C54683"/>
    <w:rsid w:val="00C55567"/>
    <w:rsid w:val="00C56E81"/>
    <w:rsid w:val="00C572FB"/>
    <w:rsid w:val="00C57575"/>
    <w:rsid w:val="00C60F55"/>
    <w:rsid w:val="00C616D0"/>
    <w:rsid w:val="00C617C0"/>
    <w:rsid w:val="00C63166"/>
    <w:rsid w:val="00C63FC7"/>
    <w:rsid w:val="00C643FF"/>
    <w:rsid w:val="00C663F0"/>
    <w:rsid w:val="00C66537"/>
    <w:rsid w:val="00C66EF6"/>
    <w:rsid w:val="00C66F44"/>
    <w:rsid w:val="00C705B7"/>
    <w:rsid w:val="00C718C1"/>
    <w:rsid w:val="00C76AE6"/>
    <w:rsid w:val="00C7704F"/>
    <w:rsid w:val="00C77060"/>
    <w:rsid w:val="00C800E8"/>
    <w:rsid w:val="00C806BB"/>
    <w:rsid w:val="00C8099A"/>
    <w:rsid w:val="00C8272B"/>
    <w:rsid w:val="00C829E3"/>
    <w:rsid w:val="00C82BE2"/>
    <w:rsid w:val="00C83894"/>
    <w:rsid w:val="00C83CC5"/>
    <w:rsid w:val="00C83EC1"/>
    <w:rsid w:val="00C846D9"/>
    <w:rsid w:val="00C8527E"/>
    <w:rsid w:val="00C877AC"/>
    <w:rsid w:val="00C9065B"/>
    <w:rsid w:val="00C906EC"/>
    <w:rsid w:val="00C95027"/>
    <w:rsid w:val="00C95EA3"/>
    <w:rsid w:val="00C96EA2"/>
    <w:rsid w:val="00C97828"/>
    <w:rsid w:val="00C978E2"/>
    <w:rsid w:val="00CA00C1"/>
    <w:rsid w:val="00CA11FB"/>
    <w:rsid w:val="00CA4D6E"/>
    <w:rsid w:val="00CB23DB"/>
    <w:rsid w:val="00CB25C9"/>
    <w:rsid w:val="00CB39DC"/>
    <w:rsid w:val="00CB6785"/>
    <w:rsid w:val="00CB74A4"/>
    <w:rsid w:val="00CC03DE"/>
    <w:rsid w:val="00CC0887"/>
    <w:rsid w:val="00CC0E01"/>
    <w:rsid w:val="00CC32E1"/>
    <w:rsid w:val="00CC362F"/>
    <w:rsid w:val="00CC3EDD"/>
    <w:rsid w:val="00CC66C0"/>
    <w:rsid w:val="00CC68F4"/>
    <w:rsid w:val="00CC6BAF"/>
    <w:rsid w:val="00CC7239"/>
    <w:rsid w:val="00CC76B2"/>
    <w:rsid w:val="00CD3E2E"/>
    <w:rsid w:val="00CD40DA"/>
    <w:rsid w:val="00CD4E6F"/>
    <w:rsid w:val="00CD5118"/>
    <w:rsid w:val="00CD73DA"/>
    <w:rsid w:val="00CE1FC7"/>
    <w:rsid w:val="00CE2185"/>
    <w:rsid w:val="00CE47D0"/>
    <w:rsid w:val="00CE5BC5"/>
    <w:rsid w:val="00CE6977"/>
    <w:rsid w:val="00CE6E68"/>
    <w:rsid w:val="00CE6F48"/>
    <w:rsid w:val="00CF0137"/>
    <w:rsid w:val="00CF1116"/>
    <w:rsid w:val="00CF274E"/>
    <w:rsid w:val="00CF313B"/>
    <w:rsid w:val="00CF4783"/>
    <w:rsid w:val="00CF4807"/>
    <w:rsid w:val="00CF67A2"/>
    <w:rsid w:val="00CF695E"/>
    <w:rsid w:val="00D02A8F"/>
    <w:rsid w:val="00D04086"/>
    <w:rsid w:val="00D04908"/>
    <w:rsid w:val="00D05EBF"/>
    <w:rsid w:val="00D06BD5"/>
    <w:rsid w:val="00D07733"/>
    <w:rsid w:val="00D10C87"/>
    <w:rsid w:val="00D121B4"/>
    <w:rsid w:val="00D12B33"/>
    <w:rsid w:val="00D13A47"/>
    <w:rsid w:val="00D13F3F"/>
    <w:rsid w:val="00D14F91"/>
    <w:rsid w:val="00D15F02"/>
    <w:rsid w:val="00D16669"/>
    <w:rsid w:val="00D173B5"/>
    <w:rsid w:val="00D17554"/>
    <w:rsid w:val="00D243C6"/>
    <w:rsid w:val="00D26C2B"/>
    <w:rsid w:val="00D27EDD"/>
    <w:rsid w:val="00D31783"/>
    <w:rsid w:val="00D31D50"/>
    <w:rsid w:val="00D325F4"/>
    <w:rsid w:val="00D34709"/>
    <w:rsid w:val="00D35F60"/>
    <w:rsid w:val="00D360D8"/>
    <w:rsid w:val="00D36B0B"/>
    <w:rsid w:val="00D37074"/>
    <w:rsid w:val="00D374ED"/>
    <w:rsid w:val="00D37699"/>
    <w:rsid w:val="00D4488C"/>
    <w:rsid w:val="00D453E3"/>
    <w:rsid w:val="00D45BEA"/>
    <w:rsid w:val="00D46069"/>
    <w:rsid w:val="00D47F42"/>
    <w:rsid w:val="00D523F8"/>
    <w:rsid w:val="00D533C1"/>
    <w:rsid w:val="00D53DCF"/>
    <w:rsid w:val="00D556E8"/>
    <w:rsid w:val="00D60A11"/>
    <w:rsid w:val="00D60DAF"/>
    <w:rsid w:val="00D62287"/>
    <w:rsid w:val="00D62C5E"/>
    <w:rsid w:val="00D635DA"/>
    <w:rsid w:val="00D6372E"/>
    <w:rsid w:val="00D64A47"/>
    <w:rsid w:val="00D64F34"/>
    <w:rsid w:val="00D65F8E"/>
    <w:rsid w:val="00D67773"/>
    <w:rsid w:val="00D67F79"/>
    <w:rsid w:val="00D71782"/>
    <w:rsid w:val="00D73432"/>
    <w:rsid w:val="00D7418F"/>
    <w:rsid w:val="00D750DF"/>
    <w:rsid w:val="00D77A90"/>
    <w:rsid w:val="00D81202"/>
    <w:rsid w:val="00D82E2D"/>
    <w:rsid w:val="00D83DB7"/>
    <w:rsid w:val="00D85341"/>
    <w:rsid w:val="00D855CA"/>
    <w:rsid w:val="00D85769"/>
    <w:rsid w:val="00D8582A"/>
    <w:rsid w:val="00D85C4B"/>
    <w:rsid w:val="00D85E2F"/>
    <w:rsid w:val="00D863BD"/>
    <w:rsid w:val="00D87D92"/>
    <w:rsid w:val="00D9002F"/>
    <w:rsid w:val="00D90B57"/>
    <w:rsid w:val="00D92C45"/>
    <w:rsid w:val="00D936F5"/>
    <w:rsid w:val="00D9469B"/>
    <w:rsid w:val="00D97991"/>
    <w:rsid w:val="00DA0C6D"/>
    <w:rsid w:val="00DA374A"/>
    <w:rsid w:val="00DA569A"/>
    <w:rsid w:val="00DA6143"/>
    <w:rsid w:val="00DA681B"/>
    <w:rsid w:val="00DA720D"/>
    <w:rsid w:val="00DA7274"/>
    <w:rsid w:val="00DA74F9"/>
    <w:rsid w:val="00DB0272"/>
    <w:rsid w:val="00DB079A"/>
    <w:rsid w:val="00DB2ECE"/>
    <w:rsid w:val="00DB5DCC"/>
    <w:rsid w:val="00DC13DB"/>
    <w:rsid w:val="00DC2820"/>
    <w:rsid w:val="00DC36E0"/>
    <w:rsid w:val="00DC527D"/>
    <w:rsid w:val="00DC5595"/>
    <w:rsid w:val="00DD142A"/>
    <w:rsid w:val="00DD217C"/>
    <w:rsid w:val="00DD4449"/>
    <w:rsid w:val="00DD4F1E"/>
    <w:rsid w:val="00DE0816"/>
    <w:rsid w:val="00DE0EEB"/>
    <w:rsid w:val="00DE0FFD"/>
    <w:rsid w:val="00DE2993"/>
    <w:rsid w:val="00DE2AF7"/>
    <w:rsid w:val="00DE4B82"/>
    <w:rsid w:val="00DE535C"/>
    <w:rsid w:val="00DE55EC"/>
    <w:rsid w:val="00DE64AB"/>
    <w:rsid w:val="00DE6D30"/>
    <w:rsid w:val="00DE774D"/>
    <w:rsid w:val="00DE7FF5"/>
    <w:rsid w:val="00DF0798"/>
    <w:rsid w:val="00DF334C"/>
    <w:rsid w:val="00DF3864"/>
    <w:rsid w:val="00DF68AB"/>
    <w:rsid w:val="00DF6F9D"/>
    <w:rsid w:val="00E00DA1"/>
    <w:rsid w:val="00E010C7"/>
    <w:rsid w:val="00E01817"/>
    <w:rsid w:val="00E021C1"/>
    <w:rsid w:val="00E04345"/>
    <w:rsid w:val="00E06160"/>
    <w:rsid w:val="00E06201"/>
    <w:rsid w:val="00E06714"/>
    <w:rsid w:val="00E068BD"/>
    <w:rsid w:val="00E10D67"/>
    <w:rsid w:val="00E111D3"/>
    <w:rsid w:val="00E14194"/>
    <w:rsid w:val="00E14407"/>
    <w:rsid w:val="00E167BA"/>
    <w:rsid w:val="00E17233"/>
    <w:rsid w:val="00E227E2"/>
    <w:rsid w:val="00E24451"/>
    <w:rsid w:val="00E24A0D"/>
    <w:rsid w:val="00E2637F"/>
    <w:rsid w:val="00E26549"/>
    <w:rsid w:val="00E27478"/>
    <w:rsid w:val="00E27890"/>
    <w:rsid w:val="00E31539"/>
    <w:rsid w:val="00E3443B"/>
    <w:rsid w:val="00E34849"/>
    <w:rsid w:val="00E35682"/>
    <w:rsid w:val="00E36BC7"/>
    <w:rsid w:val="00E372D2"/>
    <w:rsid w:val="00E37BBF"/>
    <w:rsid w:val="00E452F4"/>
    <w:rsid w:val="00E462DA"/>
    <w:rsid w:val="00E524F9"/>
    <w:rsid w:val="00E52799"/>
    <w:rsid w:val="00E5326A"/>
    <w:rsid w:val="00E55C15"/>
    <w:rsid w:val="00E61731"/>
    <w:rsid w:val="00E619EF"/>
    <w:rsid w:val="00E62D3C"/>
    <w:rsid w:val="00E62E53"/>
    <w:rsid w:val="00E6556B"/>
    <w:rsid w:val="00E65880"/>
    <w:rsid w:val="00E660BC"/>
    <w:rsid w:val="00E70F8C"/>
    <w:rsid w:val="00E7146E"/>
    <w:rsid w:val="00E76514"/>
    <w:rsid w:val="00E804DD"/>
    <w:rsid w:val="00E81414"/>
    <w:rsid w:val="00E81AF2"/>
    <w:rsid w:val="00E8320F"/>
    <w:rsid w:val="00E837F9"/>
    <w:rsid w:val="00E849BE"/>
    <w:rsid w:val="00E86190"/>
    <w:rsid w:val="00E86FBC"/>
    <w:rsid w:val="00E8763B"/>
    <w:rsid w:val="00E9282E"/>
    <w:rsid w:val="00E9357A"/>
    <w:rsid w:val="00E93A77"/>
    <w:rsid w:val="00E95F42"/>
    <w:rsid w:val="00E97893"/>
    <w:rsid w:val="00E97F0B"/>
    <w:rsid w:val="00EA005A"/>
    <w:rsid w:val="00EA08A2"/>
    <w:rsid w:val="00EA1806"/>
    <w:rsid w:val="00EA1D87"/>
    <w:rsid w:val="00EA2F2F"/>
    <w:rsid w:val="00EA3A41"/>
    <w:rsid w:val="00EA495D"/>
    <w:rsid w:val="00EA779B"/>
    <w:rsid w:val="00EB17BE"/>
    <w:rsid w:val="00EB1EFE"/>
    <w:rsid w:val="00EB29E4"/>
    <w:rsid w:val="00EB62C1"/>
    <w:rsid w:val="00EC02E5"/>
    <w:rsid w:val="00EC05C3"/>
    <w:rsid w:val="00EC0E74"/>
    <w:rsid w:val="00EC1174"/>
    <w:rsid w:val="00EC1A92"/>
    <w:rsid w:val="00EC37E9"/>
    <w:rsid w:val="00EC3831"/>
    <w:rsid w:val="00EC5048"/>
    <w:rsid w:val="00EC5D63"/>
    <w:rsid w:val="00EC642F"/>
    <w:rsid w:val="00EC70F6"/>
    <w:rsid w:val="00EC7619"/>
    <w:rsid w:val="00EC7E82"/>
    <w:rsid w:val="00ED3740"/>
    <w:rsid w:val="00ED3E2C"/>
    <w:rsid w:val="00ED50A5"/>
    <w:rsid w:val="00ED53DF"/>
    <w:rsid w:val="00ED7135"/>
    <w:rsid w:val="00ED76D7"/>
    <w:rsid w:val="00EE387C"/>
    <w:rsid w:val="00EE4954"/>
    <w:rsid w:val="00EE4F2C"/>
    <w:rsid w:val="00EF0E22"/>
    <w:rsid w:val="00EF3116"/>
    <w:rsid w:val="00EF3534"/>
    <w:rsid w:val="00EF5C1D"/>
    <w:rsid w:val="00EF5DCC"/>
    <w:rsid w:val="00EF5F21"/>
    <w:rsid w:val="00EF6E68"/>
    <w:rsid w:val="00EF79ED"/>
    <w:rsid w:val="00F02632"/>
    <w:rsid w:val="00F040EC"/>
    <w:rsid w:val="00F05370"/>
    <w:rsid w:val="00F0587B"/>
    <w:rsid w:val="00F06C63"/>
    <w:rsid w:val="00F06E51"/>
    <w:rsid w:val="00F07D07"/>
    <w:rsid w:val="00F1045F"/>
    <w:rsid w:val="00F1064B"/>
    <w:rsid w:val="00F11C46"/>
    <w:rsid w:val="00F12B2F"/>
    <w:rsid w:val="00F151C7"/>
    <w:rsid w:val="00F174B7"/>
    <w:rsid w:val="00F229A4"/>
    <w:rsid w:val="00F231DD"/>
    <w:rsid w:val="00F25892"/>
    <w:rsid w:val="00F26B5C"/>
    <w:rsid w:val="00F27B24"/>
    <w:rsid w:val="00F310E3"/>
    <w:rsid w:val="00F33187"/>
    <w:rsid w:val="00F33300"/>
    <w:rsid w:val="00F346F2"/>
    <w:rsid w:val="00F373C7"/>
    <w:rsid w:val="00F418C3"/>
    <w:rsid w:val="00F43B0F"/>
    <w:rsid w:val="00F43DF8"/>
    <w:rsid w:val="00F455BE"/>
    <w:rsid w:val="00F468AE"/>
    <w:rsid w:val="00F475B9"/>
    <w:rsid w:val="00F47CC3"/>
    <w:rsid w:val="00F47E4E"/>
    <w:rsid w:val="00F50A7D"/>
    <w:rsid w:val="00F5187C"/>
    <w:rsid w:val="00F52BCF"/>
    <w:rsid w:val="00F53871"/>
    <w:rsid w:val="00F53EBC"/>
    <w:rsid w:val="00F54FF9"/>
    <w:rsid w:val="00F5513F"/>
    <w:rsid w:val="00F56A73"/>
    <w:rsid w:val="00F57822"/>
    <w:rsid w:val="00F617C7"/>
    <w:rsid w:val="00F61C1C"/>
    <w:rsid w:val="00F62209"/>
    <w:rsid w:val="00F6234C"/>
    <w:rsid w:val="00F62430"/>
    <w:rsid w:val="00F6302F"/>
    <w:rsid w:val="00F63919"/>
    <w:rsid w:val="00F64B37"/>
    <w:rsid w:val="00F65617"/>
    <w:rsid w:val="00F657D5"/>
    <w:rsid w:val="00F6599B"/>
    <w:rsid w:val="00F70735"/>
    <w:rsid w:val="00F7091A"/>
    <w:rsid w:val="00F744B0"/>
    <w:rsid w:val="00F746C1"/>
    <w:rsid w:val="00F755E2"/>
    <w:rsid w:val="00F75C8F"/>
    <w:rsid w:val="00F76E46"/>
    <w:rsid w:val="00F80AA9"/>
    <w:rsid w:val="00F829C5"/>
    <w:rsid w:val="00F83686"/>
    <w:rsid w:val="00F84813"/>
    <w:rsid w:val="00F84EC8"/>
    <w:rsid w:val="00F8582A"/>
    <w:rsid w:val="00F85986"/>
    <w:rsid w:val="00F85CBE"/>
    <w:rsid w:val="00F8605A"/>
    <w:rsid w:val="00F91AF4"/>
    <w:rsid w:val="00F939C6"/>
    <w:rsid w:val="00F95613"/>
    <w:rsid w:val="00F959FE"/>
    <w:rsid w:val="00F96157"/>
    <w:rsid w:val="00F9645B"/>
    <w:rsid w:val="00F96A84"/>
    <w:rsid w:val="00F96F37"/>
    <w:rsid w:val="00FA1098"/>
    <w:rsid w:val="00FA142F"/>
    <w:rsid w:val="00FA2589"/>
    <w:rsid w:val="00FA514C"/>
    <w:rsid w:val="00FB1DB7"/>
    <w:rsid w:val="00FB30C7"/>
    <w:rsid w:val="00FB3129"/>
    <w:rsid w:val="00FB56DE"/>
    <w:rsid w:val="00FC025C"/>
    <w:rsid w:val="00FC0955"/>
    <w:rsid w:val="00FC19F1"/>
    <w:rsid w:val="00FC1D08"/>
    <w:rsid w:val="00FC33CB"/>
    <w:rsid w:val="00FC3B56"/>
    <w:rsid w:val="00FC46EB"/>
    <w:rsid w:val="00FC4B46"/>
    <w:rsid w:val="00FC532D"/>
    <w:rsid w:val="00FC5470"/>
    <w:rsid w:val="00FC5700"/>
    <w:rsid w:val="00FC5964"/>
    <w:rsid w:val="00FC619F"/>
    <w:rsid w:val="00FC6296"/>
    <w:rsid w:val="00FD1C0F"/>
    <w:rsid w:val="00FD1D55"/>
    <w:rsid w:val="00FD27DA"/>
    <w:rsid w:val="00FD4659"/>
    <w:rsid w:val="00FD4F8B"/>
    <w:rsid w:val="00FD5542"/>
    <w:rsid w:val="00FD56D1"/>
    <w:rsid w:val="00FD6F54"/>
    <w:rsid w:val="00FE07AF"/>
    <w:rsid w:val="00FE1163"/>
    <w:rsid w:val="00FE3954"/>
    <w:rsid w:val="00FE4826"/>
    <w:rsid w:val="00FE4A17"/>
    <w:rsid w:val="00FF0918"/>
    <w:rsid w:val="00FF1889"/>
    <w:rsid w:val="00FF24AE"/>
    <w:rsid w:val="00FF27C1"/>
    <w:rsid w:val="00FF2E61"/>
    <w:rsid w:val="00FF446C"/>
    <w:rsid w:val="00FF5AD8"/>
    <w:rsid w:val="00FF7C2A"/>
    <w:rsid w:val="010507FF"/>
    <w:rsid w:val="01513B98"/>
    <w:rsid w:val="01773333"/>
    <w:rsid w:val="01B931E1"/>
    <w:rsid w:val="01EF6F05"/>
    <w:rsid w:val="020262B6"/>
    <w:rsid w:val="02331180"/>
    <w:rsid w:val="02391958"/>
    <w:rsid w:val="0284149D"/>
    <w:rsid w:val="02BC46A0"/>
    <w:rsid w:val="03EB0220"/>
    <w:rsid w:val="041807CA"/>
    <w:rsid w:val="04536692"/>
    <w:rsid w:val="045B39C0"/>
    <w:rsid w:val="04CC278C"/>
    <w:rsid w:val="04E57313"/>
    <w:rsid w:val="05251EB2"/>
    <w:rsid w:val="054B711F"/>
    <w:rsid w:val="06313F10"/>
    <w:rsid w:val="0669620A"/>
    <w:rsid w:val="06796494"/>
    <w:rsid w:val="06CE1C0F"/>
    <w:rsid w:val="07117DF4"/>
    <w:rsid w:val="07494F90"/>
    <w:rsid w:val="076159FA"/>
    <w:rsid w:val="083324A7"/>
    <w:rsid w:val="086724C2"/>
    <w:rsid w:val="0867756D"/>
    <w:rsid w:val="08A662DE"/>
    <w:rsid w:val="08AC64B2"/>
    <w:rsid w:val="08C27581"/>
    <w:rsid w:val="08D118D0"/>
    <w:rsid w:val="08FE4443"/>
    <w:rsid w:val="090D39E7"/>
    <w:rsid w:val="095828DF"/>
    <w:rsid w:val="09932FC4"/>
    <w:rsid w:val="09A6738E"/>
    <w:rsid w:val="0A382B2F"/>
    <w:rsid w:val="0A5375FF"/>
    <w:rsid w:val="0AFA697A"/>
    <w:rsid w:val="0AFC5CBC"/>
    <w:rsid w:val="0B9E078F"/>
    <w:rsid w:val="0BA30CEA"/>
    <w:rsid w:val="0BB31EEC"/>
    <w:rsid w:val="0BCF104B"/>
    <w:rsid w:val="0BFE4E91"/>
    <w:rsid w:val="0C325AEE"/>
    <w:rsid w:val="0C3E1415"/>
    <w:rsid w:val="0C4C199E"/>
    <w:rsid w:val="0C5401E0"/>
    <w:rsid w:val="0C544BC9"/>
    <w:rsid w:val="0C9963D3"/>
    <w:rsid w:val="0CC81FE0"/>
    <w:rsid w:val="0D0555BE"/>
    <w:rsid w:val="0D1A51DB"/>
    <w:rsid w:val="0D1F230B"/>
    <w:rsid w:val="0D44388A"/>
    <w:rsid w:val="0D6A62BF"/>
    <w:rsid w:val="0DA96BF5"/>
    <w:rsid w:val="0DB77A48"/>
    <w:rsid w:val="0E372937"/>
    <w:rsid w:val="0E67321C"/>
    <w:rsid w:val="0F152165"/>
    <w:rsid w:val="0F241B5D"/>
    <w:rsid w:val="0F2A2250"/>
    <w:rsid w:val="0F3532B7"/>
    <w:rsid w:val="0F4D3CA9"/>
    <w:rsid w:val="0FBB596A"/>
    <w:rsid w:val="100132E5"/>
    <w:rsid w:val="1088036D"/>
    <w:rsid w:val="10B06776"/>
    <w:rsid w:val="10F267C4"/>
    <w:rsid w:val="120D40DA"/>
    <w:rsid w:val="128B14A3"/>
    <w:rsid w:val="1295124F"/>
    <w:rsid w:val="129C720C"/>
    <w:rsid w:val="12B77E1B"/>
    <w:rsid w:val="13EC7D20"/>
    <w:rsid w:val="142B207F"/>
    <w:rsid w:val="159E329B"/>
    <w:rsid w:val="15E05BA0"/>
    <w:rsid w:val="162C1EE6"/>
    <w:rsid w:val="16647EFC"/>
    <w:rsid w:val="16DF365E"/>
    <w:rsid w:val="1713797B"/>
    <w:rsid w:val="171410A2"/>
    <w:rsid w:val="173A6499"/>
    <w:rsid w:val="17A50F6A"/>
    <w:rsid w:val="17AF2403"/>
    <w:rsid w:val="17C05F37"/>
    <w:rsid w:val="18347AD7"/>
    <w:rsid w:val="189432F0"/>
    <w:rsid w:val="19492664"/>
    <w:rsid w:val="194B03C9"/>
    <w:rsid w:val="19CA373E"/>
    <w:rsid w:val="1A9D0D41"/>
    <w:rsid w:val="1AE60CF3"/>
    <w:rsid w:val="1B4E3518"/>
    <w:rsid w:val="1B57312E"/>
    <w:rsid w:val="1B6552A7"/>
    <w:rsid w:val="1B7F11B7"/>
    <w:rsid w:val="1C126D30"/>
    <w:rsid w:val="1C236763"/>
    <w:rsid w:val="1C3A2B23"/>
    <w:rsid w:val="1C840B1A"/>
    <w:rsid w:val="1CB778DE"/>
    <w:rsid w:val="1CE0375F"/>
    <w:rsid w:val="1CEA3172"/>
    <w:rsid w:val="1D3369BF"/>
    <w:rsid w:val="1D3B4AD4"/>
    <w:rsid w:val="1D7F68A9"/>
    <w:rsid w:val="1D946C17"/>
    <w:rsid w:val="1DAC0A57"/>
    <w:rsid w:val="1DC55869"/>
    <w:rsid w:val="1DD10FCF"/>
    <w:rsid w:val="1E5F0934"/>
    <w:rsid w:val="1EEE3A62"/>
    <w:rsid w:val="1F5079B7"/>
    <w:rsid w:val="1FA50C51"/>
    <w:rsid w:val="1FBA5CAC"/>
    <w:rsid w:val="1FE81CE3"/>
    <w:rsid w:val="1FED104C"/>
    <w:rsid w:val="1FFD2547"/>
    <w:rsid w:val="202B02BE"/>
    <w:rsid w:val="20B9431B"/>
    <w:rsid w:val="213D1BBA"/>
    <w:rsid w:val="228E7DAF"/>
    <w:rsid w:val="232B7343"/>
    <w:rsid w:val="234378D5"/>
    <w:rsid w:val="239327F0"/>
    <w:rsid w:val="23C9524D"/>
    <w:rsid w:val="23CF3FE1"/>
    <w:rsid w:val="24995E5F"/>
    <w:rsid w:val="24A271B4"/>
    <w:rsid w:val="24DB4DC9"/>
    <w:rsid w:val="256814CD"/>
    <w:rsid w:val="25781599"/>
    <w:rsid w:val="261D176F"/>
    <w:rsid w:val="262E100A"/>
    <w:rsid w:val="2642595D"/>
    <w:rsid w:val="264E5430"/>
    <w:rsid w:val="26AF6BBC"/>
    <w:rsid w:val="26DB55EA"/>
    <w:rsid w:val="280000A5"/>
    <w:rsid w:val="28084564"/>
    <w:rsid w:val="28D54A09"/>
    <w:rsid w:val="28FD346B"/>
    <w:rsid w:val="29431693"/>
    <w:rsid w:val="29977B2D"/>
    <w:rsid w:val="299D2466"/>
    <w:rsid w:val="29DA3392"/>
    <w:rsid w:val="2A175A2C"/>
    <w:rsid w:val="2AAE4620"/>
    <w:rsid w:val="2ACD2F40"/>
    <w:rsid w:val="2AF25DAE"/>
    <w:rsid w:val="2B537A47"/>
    <w:rsid w:val="2BA42CF6"/>
    <w:rsid w:val="2BD66E93"/>
    <w:rsid w:val="2CDC11E0"/>
    <w:rsid w:val="2D2D4503"/>
    <w:rsid w:val="2DAE0D63"/>
    <w:rsid w:val="2E784BA8"/>
    <w:rsid w:val="2E8A3125"/>
    <w:rsid w:val="2E9815FA"/>
    <w:rsid w:val="2F4A0EDE"/>
    <w:rsid w:val="2F5A20DC"/>
    <w:rsid w:val="2F615BA3"/>
    <w:rsid w:val="2F967065"/>
    <w:rsid w:val="2FFB2231"/>
    <w:rsid w:val="305233EA"/>
    <w:rsid w:val="30537C13"/>
    <w:rsid w:val="30AA14AD"/>
    <w:rsid w:val="30B97441"/>
    <w:rsid w:val="311B25AB"/>
    <w:rsid w:val="312468F3"/>
    <w:rsid w:val="31326424"/>
    <w:rsid w:val="31F602F5"/>
    <w:rsid w:val="32015E72"/>
    <w:rsid w:val="32276277"/>
    <w:rsid w:val="325422A1"/>
    <w:rsid w:val="32556715"/>
    <w:rsid w:val="326A0D23"/>
    <w:rsid w:val="32801F08"/>
    <w:rsid w:val="328517BC"/>
    <w:rsid w:val="329234DD"/>
    <w:rsid w:val="32FC3B18"/>
    <w:rsid w:val="32FF418F"/>
    <w:rsid w:val="33611520"/>
    <w:rsid w:val="33664E53"/>
    <w:rsid w:val="33F151B2"/>
    <w:rsid w:val="3408592A"/>
    <w:rsid w:val="342C5183"/>
    <w:rsid w:val="3456745A"/>
    <w:rsid w:val="34A45F1E"/>
    <w:rsid w:val="34DE376A"/>
    <w:rsid w:val="351B2F99"/>
    <w:rsid w:val="35454DB1"/>
    <w:rsid w:val="356E42B3"/>
    <w:rsid w:val="35867755"/>
    <w:rsid w:val="35954396"/>
    <w:rsid w:val="36785DD7"/>
    <w:rsid w:val="369022B4"/>
    <w:rsid w:val="36C2054E"/>
    <w:rsid w:val="373A65C6"/>
    <w:rsid w:val="3885552E"/>
    <w:rsid w:val="38A45B11"/>
    <w:rsid w:val="38E87058"/>
    <w:rsid w:val="39224A84"/>
    <w:rsid w:val="3951224F"/>
    <w:rsid w:val="3A2728FC"/>
    <w:rsid w:val="3A6704BC"/>
    <w:rsid w:val="3A9F02D0"/>
    <w:rsid w:val="3AB774C4"/>
    <w:rsid w:val="3ABA7AE1"/>
    <w:rsid w:val="3AF332A2"/>
    <w:rsid w:val="3B0357CB"/>
    <w:rsid w:val="3B337E5E"/>
    <w:rsid w:val="3B3965EF"/>
    <w:rsid w:val="3B554279"/>
    <w:rsid w:val="3B7E4D5D"/>
    <w:rsid w:val="3B9B5902"/>
    <w:rsid w:val="3BBD7E62"/>
    <w:rsid w:val="3BC84B0A"/>
    <w:rsid w:val="3C3D5287"/>
    <w:rsid w:val="3C641EA5"/>
    <w:rsid w:val="3D8F1371"/>
    <w:rsid w:val="3DF63D43"/>
    <w:rsid w:val="3E8B4BC4"/>
    <w:rsid w:val="3ECC0E4F"/>
    <w:rsid w:val="3F764706"/>
    <w:rsid w:val="3F8A5B03"/>
    <w:rsid w:val="40014F7E"/>
    <w:rsid w:val="400B107A"/>
    <w:rsid w:val="403501D5"/>
    <w:rsid w:val="40436D96"/>
    <w:rsid w:val="40CA67B0"/>
    <w:rsid w:val="40E11696"/>
    <w:rsid w:val="419039F1"/>
    <w:rsid w:val="41C71300"/>
    <w:rsid w:val="41FC3BAA"/>
    <w:rsid w:val="429822ED"/>
    <w:rsid w:val="43010E54"/>
    <w:rsid w:val="431A6872"/>
    <w:rsid w:val="43476B9D"/>
    <w:rsid w:val="43FE05F9"/>
    <w:rsid w:val="441149D3"/>
    <w:rsid w:val="44253E7F"/>
    <w:rsid w:val="4454559B"/>
    <w:rsid w:val="44841133"/>
    <w:rsid w:val="44BD277B"/>
    <w:rsid w:val="44F71434"/>
    <w:rsid w:val="44FF6E0B"/>
    <w:rsid w:val="4500525C"/>
    <w:rsid w:val="451E0C33"/>
    <w:rsid w:val="45F2392B"/>
    <w:rsid w:val="46476B88"/>
    <w:rsid w:val="46640BA5"/>
    <w:rsid w:val="468E303E"/>
    <w:rsid w:val="46A372D5"/>
    <w:rsid w:val="470C35A2"/>
    <w:rsid w:val="47731205"/>
    <w:rsid w:val="47DA725C"/>
    <w:rsid w:val="47F24DEE"/>
    <w:rsid w:val="48C256F2"/>
    <w:rsid w:val="49750BB0"/>
    <w:rsid w:val="498247E8"/>
    <w:rsid w:val="499029D9"/>
    <w:rsid w:val="49F41101"/>
    <w:rsid w:val="4A176B9D"/>
    <w:rsid w:val="4A2328EC"/>
    <w:rsid w:val="4A414F23"/>
    <w:rsid w:val="4A5755F5"/>
    <w:rsid w:val="4A7A79C8"/>
    <w:rsid w:val="4AC2667F"/>
    <w:rsid w:val="4AC36747"/>
    <w:rsid w:val="4B4B769A"/>
    <w:rsid w:val="4B7271CE"/>
    <w:rsid w:val="4BB139FD"/>
    <w:rsid w:val="4BB423FD"/>
    <w:rsid w:val="4BCD4DF5"/>
    <w:rsid w:val="4BFF3FA6"/>
    <w:rsid w:val="4C376021"/>
    <w:rsid w:val="4CB926D1"/>
    <w:rsid w:val="4CD62F75"/>
    <w:rsid w:val="4D271C91"/>
    <w:rsid w:val="4DA61EEC"/>
    <w:rsid w:val="4DF503D5"/>
    <w:rsid w:val="4E2008DB"/>
    <w:rsid w:val="4E335FCC"/>
    <w:rsid w:val="4E3B5550"/>
    <w:rsid w:val="4E4E0A2B"/>
    <w:rsid w:val="4E545980"/>
    <w:rsid w:val="4F1B33F0"/>
    <w:rsid w:val="4F591322"/>
    <w:rsid w:val="4F7F21EB"/>
    <w:rsid w:val="500269A1"/>
    <w:rsid w:val="50422F3D"/>
    <w:rsid w:val="51545CEC"/>
    <w:rsid w:val="5176207B"/>
    <w:rsid w:val="518C19F9"/>
    <w:rsid w:val="51ED17A3"/>
    <w:rsid w:val="52895AD8"/>
    <w:rsid w:val="52A34EF2"/>
    <w:rsid w:val="531E5AFA"/>
    <w:rsid w:val="53F561A1"/>
    <w:rsid w:val="54081F57"/>
    <w:rsid w:val="54153E31"/>
    <w:rsid w:val="541B7E1C"/>
    <w:rsid w:val="542C4A95"/>
    <w:rsid w:val="545C4D54"/>
    <w:rsid w:val="54F77CF7"/>
    <w:rsid w:val="551408A9"/>
    <w:rsid w:val="5574776A"/>
    <w:rsid w:val="55EC4815"/>
    <w:rsid w:val="56454C3D"/>
    <w:rsid w:val="579309FF"/>
    <w:rsid w:val="57A46C63"/>
    <w:rsid w:val="57F9486A"/>
    <w:rsid w:val="587C1461"/>
    <w:rsid w:val="587E1D95"/>
    <w:rsid w:val="58C7209E"/>
    <w:rsid w:val="5925184F"/>
    <w:rsid w:val="594A78B2"/>
    <w:rsid w:val="59D346C5"/>
    <w:rsid w:val="59EC225E"/>
    <w:rsid w:val="5A1527D2"/>
    <w:rsid w:val="5A555D4C"/>
    <w:rsid w:val="5AD07919"/>
    <w:rsid w:val="5B0535FE"/>
    <w:rsid w:val="5BC05EF6"/>
    <w:rsid w:val="5C58551F"/>
    <w:rsid w:val="5C973069"/>
    <w:rsid w:val="5D6E594F"/>
    <w:rsid w:val="5D861C18"/>
    <w:rsid w:val="5E0C65C1"/>
    <w:rsid w:val="5E286C40"/>
    <w:rsid w:val="5E3C7C25"/>
    <w:rsid w:val="5E5176E7"/>
    <w:rsid w:val="5EB84C5E"/>
    <w:rsid w:val="5EDF6686"/>
    <w:rsid w:val="5EF32AB0"/>
    <w:rsid w:val="5F0A5788"/>
    <w:rsid w:val="5F1416CC"/>
    <w:rsid w:val="60227B26"/>
    <w:rsid w:val="606B0459"/>
    <w:rsid w:val="608313DE"/>
    <w:rsid w:val="60FE7C43"/>
    <w:rsid w:val="61186243"/>
    <w:rsid w:val="617E48B5"/>
    <w:rsid w:val="620873D8"/>
    <w:rsid w:val="628D3C07"/>
    <w:rsid w:val="629B5EF6"/>
    <w:rsid w:val="62BB67B0"/>
    <w:rsid w:val="63266EEE"/>
    <w:rsid w:val="63606ABD"/>
    <w:rsid w:val="63872264"/>
    <w:rsid w:val="63DE6ADB"/>
    <w:rsid w:val="643D35C3"/>
    <w:rsid w:val="649E7B95"/>
    <w:rsid w:val="64B65E75"/>
    <w:rsid w:val="6525440C"/>
    <w:rsid w:val="654F6BAC"/>
    <w:rsid w:val="65A672FB"/>
    <w:rsid w:val="65A93EC9"/>
    <w:rsid w:val="65C43C25"/>
    <w:rsid w:val="666600F0"/>
    <w:rsid w:val="66ED394F"/>
    <w:rsid w:val="66FC2979"/>
    <w:rsid w:val="671E4097"/>
    <w:rsid w:val="672B6D16"/>
    <w:rsid w:val="69117181"/>
    <w:rsid w:val="69317C85"/>
    <w:rsid w:val="69B36AE8"/>
    <w:rsid w:val="6A0078C6"/>
    <w:rsid w:val="6AB11699"/>
    <w:rsid w:val="6AB12B89"/>
    <w:rsid w:val="6AC50223"/>
    <w:rsid w:val="6B34065E"/>
    <w:rsid w:val="6B4332A8"/>
    <w:rsid w:val="6BA31960"/>
    <w:rsid w:val="6BF863D7"/>
    <w:rsid w:val="6C1B4952"/>
    <w:rsid w:val="6CA15A68"/>
    <w:rsid w:val="6D6A514C"/>
    <w:rsid w:val="6DE46BBB"/>
    <w:rsid w:val="6E03404D"/>
    <w:rsid w:val="6E1B0856"/>
    <w:rsid w:val="6E5A08B3"/>
    <w:rsid w:val="6E6E222D"/>
    <w:rsid w:val="6EA1774A"/>
    <w:rsid w:val="6FB3722F"/>
    <w:rsid w:val="6FFA7FF9"/>
    <w:rsid w:val="7091438A"/>
    <w:rsid w:val="714F4CEB"/>
    <w:rsid w:val="71C72572"/>
    <w:rsid w:val="727117F2"/>
    <w:rsid w:val="72785CF9"/>
    <w:rsid w:val="73111EA4"/>
    <w:rsid w:val="731933A8"/>
    <w:rsid w:val="738F2F51"/>
    <w:rsid w:val="73D33EA6"/>
    <w:rsid w:val="748B5F21"/>
    <w:rsid w:val="750446AD"/>
    <w:rsid w:val="758011C7"/>
    <w:rsid w:val="75A13C47"/>
    <w:rsid w:val="75DA19B4"/>
    <w:rsid w:val="75EC5249"/>
    <w:rsid w:val="760D0512"/>
    <w:rsid w:val="765362CF"/>
    <w:rsid w:val="768079D2"/>
    <w:rsid w:val="770B4A24"/>
    <w:rsid w:val="77367C51"/>
    <w:rsid w:val="773A3E53"/>
    <w:rsid w:val="77771CE9"/>
    <w:rsid w:val="77B109B2"/>
    <w:rsid w:val="77D631F2"/>
    <w:rsid w:val="77F26AC6"/>
    <w:rsid w:val="78461FD9"/>
    <w:rsid w:val="78B67A61"/>
    <w:rsid w:val="79836824"/>
    <w:rsid w:val="7A400697"/>
    <w:rsid w:val="7A652698"/>
    <w:rsid w:val="7A745389"/>
    <w:rsid w:val="7A7F5824"/>
    <w:rsid w:val="7BEE59B4"/>
    <w:rsid w:val="7C01281E"/>
    <w:rsid w:val="7C4C0D4F"/>
    <w:rsid w:val="7C55517F"/>
    <w:rsid w:val="7C84680F"/>
    <w:rsid w:val="7C955D08"/>
    <w:rsid w:val="7CC75A1C"/>
    <w:rsid w:val="7D1F557A"/>
    <w:rsid w:val="7D5270A2"/>
    <w:rsid w:val="7E117EEE"/>
    <w:rsid w:val="7E3866E5"/>
    <w:rsid w:val="7E8831AC"/>
    <w:rsid w:val="7F381E65"/>
    <w:rsid w:val="7F65392B"/>
    <w:rsid w:val="7F8765F2"/>
    <w:rsid w:val="7FB957E2"/>
    <w:rsid w:val="7FE711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semiHidden="0"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qFormat="1" w:unhideWhenUsed="0" w:uiPriority="99" w:semiHidden="0" w:name="macro"/>
    <w:lsdException w:uiPriority="99" w:name="toa heading" w:locked="1"/>
    <w:lsdException w:uiPriority="99" w:name="List" w:locked="1"/>
    <w:lsdException w:uiPriority="99" w:name="List Bullet" w:locked="1"/>
    <w:lsdException w:uiPriority="99" w:name="List Number" w:locked="1"/>
    <w:lsdException w:uiPriority="99" w:name="List 2" w:locked="1"/>
    <w:lsdException w:qFormat="1" w:unhideWhenUsed="0" w:uiPriority="99" w:semiHidden="0" w:name="List 3"/>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iPriority="99" w:name="Date" w:locked="1"/>
    <w:lsdException w:qFormat="1" w:unhideWhenUsed="0" w:uiPriority="99" w:semiHidden="0" w:name="Body Text First Indent"/>
    <w:lsdException w:qFormat="1" w:unhideWhenUsed="0" w:uiPriority="99" w:semiHidden="0" w:name="Body Text First Indent 2" w:locked="1"/>
    <w:lsdException w:qFormat="1" w:unhideWhenUsed="0" w:uiPriority="0" w:semiHidden="0" w:name="Note Heading" w:locked="1"/>
    <w:lsdException w:uiPriority="99" w:name="Body Text 2" w:locked="1"/>
    <w:lsdException w:qFormat="1" w:unhideWhenUsed="0" w:uiPriority="0" w:semiHidden="0" w:name="Body Text 3" w:locked="1"/>
    <w:lsdException w:qFormat="1" w:unhideWhenUsed="0" w:uiPriority="99" w:semiHidden="0" w:name="Body Text Indent 2"/>
    <w:lsdException w:qFormat="1" w:unhideWhenUsed="0" w:uiPriority="99" w:semiHidden="0" w:name="Body Text Indent 3" w:locked="1"/>
    <w:lsdException w:qFormat="1" w:unhideWhenUsed="0" w:uiPriority="0" w:semiHidden="0" w:name="Block Text" w:locked="1"/>
    <w:lsdException w:qFormat="1" w:unhideWhenUsed="0" w:uiPriority="99" w:semiHidden="0" w:name="Hyperlink"/>
    <w:lsdException w:qFormat="1" w:unhideWhenUsed="0" w:uiPriority="99" w:name="FollowedHyperlink"/>
    <w:lsdException w:qFormat="1" w:unhideWhenUsed="0" w:uiPriority="0" w:semiHidden="0" w:name="Strong"/>
    <w:lsdException w:qFormat="1" w:unhideWhenUsed="0" w:uiPriority="20" w:semiHidden="0" w:name="Emphasis" w:locked="1"/>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0" w:semiHidden="0" w:name="Normal (Web)"/>
    <w:lsdException w:uiPriority="99" w:name="HTML Acronym" w:locked="1"/>
    <w:lsdException w:qFormat="1" w:uiPriority="99" w:semiHidden="0" w:name="HTML Address" w:locked="1"/>
    <w:lsdException w:uiPriority="99" w:name="HTML Cite" w:locked="1"/>
    <w:lsdException w:uiPriority="99" w:name="HTML Code" w:locked="1"/>
    <w:lsdException w:uiPriority="99" w:name="HTML Definition" w:locked="1"/>
    <w:lsdException w:uiPriority="99" w:name="HTML Keyboard" w:locked="1"/>
    <w:lsdException w:qFormat="1"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宋体" w:cs="Times New Roman"/>
      <w:sz w:val="28"/>
      <w:szCs w:val="22"/>
      <w:lang w:val="en-US" w:eastAsia="zh-CN" w:bidi="ar-SA"/>
    </w:rPr>
  </w:style>
  <w:style w:type="paragraph" w:styleId="5">
    <w:name w:val="heading 1"/>
    <w:basedOn w:val="1"/>
    <w:next w:val="1"/>
    <w:link w:val="51"/>
    <w:qFormat/>
    <w:uiPriority w:val="99"/>
    <w:pPr>
      <w:keepNext/>
      <w:keepLines/>
      <w:widowControl w:val="0"/>
      <w:tabs>
        <w:tab w:val="left" w:pos="0"/>
      </w:tabs>
      <w:adjustRightInd/>
      <w:snapToGrid/>
      <w:spacing w:before="340" w:after="330" w:line="576" w:lineRule="auto"/>
      <w:ind w:left="2269"/>
      <w:jc w:val="both"/>
      <w:outlineLvl w:val="0"/>
    </w:pPr>
    <w:rPr>
      <w:rFonts w:ascii="宋体" w:hAnsi="Times New Roman"/>
      <w:b/>
      <w:bCs/>
      <w:kern w:val="44"/>
      <w:sz w:val="44"/>
      <w:szCs w:val="44"/>
    </w:rPr>
  </w:style>
  <w:style w:type="paragraph" w:styleId="6">
    <w:name w:val="heading 2"/>
    <w:basedOn w:val="1"/>
    <w:next w:val="1"/>
    <w:link w:val="52"/>
    <w:qFormat/>
    <w:uiPriority w:val="99"/>
    <w:pPr>
      <w:keepNext/>
      <w:keepLines/>
      <w:widowControl w:val="0"/>
      <w:adjustRightInd/>
      <w:snapToGrid/>
      <w:spacing w:before="260" w:after="260" w:line="412" w:lineRule="auto"/>
      <w:jc w:val="both"/>
      <w:outlineLvl w:val="1"/>
    </w:pPr>
    <w:rPr>
      <w:rFonts w:ascii="宋体" w:hAnsi="Times New Roman"/>
      <w:b/>
      <w:bCs/>
      <w:szCs w:val="32"/>
    </w:rPr>
  </w:style>
  <w:style w:type="paragraph" w:styleId="7">
    <w:name w:val="heading 3"/>
    <w:basedOn w:val="1"/>
    <w:next w:val="1"/>
    <w:link w:val="53"/>
    <w:qFormat/>
    <w:uiPriority w:val="99"/>
    <w:pPr>
      <w:keepNext/>
      <w:keepLines/>
      <w:widowControl w:val="0"/>
      <w:adjustRightInd/>
      <w:snapToGrid/>
      <w:spacing w:after="0" w:line="412" w:lineRule="auto"/>
      <w:jc w:val="both"/>
      <w:outlineLvl w:val="2"/>
    </w:pPr>
    <w:rPr>
      <w:rFonts w:ascii="宋体" w:hAnsi="Times New Roman"/>
      <w:b/>
      <w:bCs/>
      <w:szCs w:val="32"/>
    </w:rPr>
  </w:style>
  <w:style w:type="paragraph" w:styleId="8">
    <w:name w:val="heading 4"/>
    <w:basedOn w:val="1"/>
    <w:next w:val="1"/>
    <w:link w:val="54"/>
    <w:qFormat/>
    <w:uiPriority w:val="99"/>
    <w:pPr>
      <w:keepNext/>
      <w:keepLines/>
      <w:widowControl w:val="0"/>
      <w:adjustRightInd/>
      <w:snapToGrid/>
      <w:spacing w:after="0" w:line="372" w:lineRule="auto"/>
      <w:jc w:val="both"/>
      <w:outlineLvl w:val="3"/>
    </w:pPr>
    <w:rPr>
      <w:rFonts w:ascii="宋体" w:hAnsi="Times New Roman"/>
      <w:szCs w:val="28"/>
    </w:rPr>
  </w:style>
  <w:style w:type="paragraph" w:styleId="9">
    <w:name w:val="heading 5"/>
    <w:basedOn w:val="1"/>
    <w:next w:val="1"/>
    <w:link w:val="55"/>
    <w:unhideWhenUsed/>
    <w:qFormat/>
    <w:locked/>
    <w:uiPriority w:val="9"/>
    <w:pPr>
      <w:keepNext/>
      <w:keepLines/>
      <w:spacing w:before="280" w:after="290" w:line="376" w:lineRule="auto"/>
      <w:outlineLvl w:val="4"/>
    </w:pPr>
    <w:rPr>
      <w:b/>
      <w:bCs/>
      <w:szCs w:val="28"/>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25"/>
    <w:qFormat/>
    <w:locked/>
    <w:uiPriority w:val="99"/>
    <w:pPr>
      <w:tabs>
        <w:tab w:val="left" w:pos="2520"/>
      </w:tabs>
      <w:ind w:firstLine="420"/>
    </w:pPr>
    <w:rPr>
      <w:rFonts w:cs="宋体"/>
      <w:szCs w:val="28"/>
    </w:rPr>
  </w:style>
  <w:style w:type="paragraph" w:styleId="3">
    <w:name w:val="Body Text Indent"/>
    <w:basedOn w:val="1"/>
    <w:link w:val="61"/>
    <w:qFormat/>
    <w:uiPriority w:val="99"/>
    <w:pPr>
      <w:widowControl w:val="0"/>
      <w:tabs>
        <w:tab w:val="left" w:pos="2520"/>
      </w:tabs>
      <w:snapToGrid/>
      <w:spacing w:after="0" w:line="520" w:lineRule="exact"/>
      <w:ind w:firstLine="200" w:firstLineChars="200"/>
      <w:jc w:val="both"/>
      <w:textAlignment w:val="baseline"/>
    </w:pPr>
    <w:rPr>
      <w:rFonts w:ascii="Times New Roman" w:hAnsi="Times New Roman"/>
      <w:kern w:val="2"/>
      <w:sz w:val="24"/>
      <w:szCs w:val="24"/>
    </w:rPr>
  </w:style>
  <w:style w:type="paragraph" w:styleId="4">
    <w:name w:val="macro"/>
    <w:link w:val="56"/>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0">
    <w:name w:val="List 3"/>
    <w:basedOn w:val="1"/>
    <w:qFormat/>
    <w:uiPriority w:val="99"/>
    <w:pPr>
      <w:widowControl w:val="0"/>
      <w:adjustRightInd/>
      <w:snapToGrid/>
      <w:spacing w:after="0"/>
      <w:ind w:left="600" w:leftChars="400" w:hanging="200" w:hangingChars="200"/>
      <w:jc w:val="both"/>
    </w:pPr>
    <w:rPr>
      <w:rFonts w:ascii="Times New Roman" w:hAnsi="Times New Roman"/>
      <w:kern w:val="2"/>
      <w:sz w:val="21"/>
      <w:szCs w:val="21"/>
    </w:rPr>
  </w:style>
  <w:style w:type="paragraph" w:styleId="11">
    <w:name w:val="toc 7"/>
    <w:basedOn w:val="1"/>
    <w:next w:val="1"/>
    <w:qFormat/>
    <w:uiPriority w:val="39"/>
    <w:pPr>
      <w:widowControl w:val="0"/>
      <w:adjustRightInd/>
      <w:snapToGrid/>
      <w:spacing w:after="0"/>
      <w:ind w:left="1260"/>
    </w:pPr>
    <w:rPr>
      <w:rFonts w:ascii="Calibri" w:hAnsi="Calibri" w:cs="Calibri"/>
      <w:kern w:val="2"/>
      <w:sz w:val="18"/>
      <w:szCs w:val="18"/>
    </w:rPr>
  </w:style>
  <w:style w:type="paragraph" w:styleId="12">
    <w:name w:val="Note Heading"/>
    <w:basedOn w:val="1"/>
    <w:next w:val="1"/>
    <w:link w:val="141"/>
    <w:qFormat/>
    <w:locked/>
    <w:uiPriority w:val="0"/>
    <w:pPr>
      <w:widowControl w:val="0"/>
      <w:adjustRightInd/>
      <w:snapToGrid/>
      <w:spacing w:after="0"/>
      <w:jc w:val="center"/>
    </w:pPr>
    <w:rPr>
      <w:rFonts w:ascii="宋体" w:hAnsi="Times New Roman"/>
      <w:kern w:val="2"/>
      <w:sz w:val="21"/>
      <w:szCs w:val="20"/>
    </w:rPr>
  </w:style>
  <w:style w:type="paragraph" w:styleId="13">
    <w:name w:val="Normal Indent"/>
    <w:basedOn w:val="1"/>
    <w:link w:val="57"/>
    <w:qFormat/>
    <w:uiPriority w:val="99"/>
    <w:pPr>
      <w:widowControl w:val="0"/>
      <w:adjustRightInd/>
      <w:snapToGrid/>
      <w:spacing w:after="0"/>
      <w:ind w:firstLine="420"/>
      <w:jc w:val="both"/>
    </w:pPr>
    <w:rPr>
      <w:rFonts w:ascii="宋体" w:hAnsi="Times New Roman"/>
      <w:sz w:val="20"/>
      <w:szCs w:val="20"/>
    </w:rPr>
  </w:style>
  <w:style w:type="paragraph" w:styleId="14">
    <w:name w:val="Document Map"/>
    <w:basedOn w:val="1"/>
    <w:link w:val="58"/>
    <w:qFormat/>
    <w:uiPriority w:val="99"/>
    <w:pPr>
      <w:widowControl w:val="0"/>
      <w:adjustRightInd/>
      <w:snapToGrid/>
      <w:spacing w:after="0"/>
      <w:jc w:val="both"/>
    </w:pPr>
    <w:rPr>
      <w:rFonts w:ascii="宋体" w:hAnsi="Times New Roman"/>
      <w:kern w:val="2"/>
      <w:sz w:val="18"/>
      <w:szCs w:val="18"/>
    </w:rPr>
  </w:style>
  <w:style w:type="paragraph" w:styleId="15">
    <w:name w:val="annotation text"/>
    <w:basedOn w:val="1"/>
    <w:link w:val="59"/>
    <w:qFormat/>
    <w:uiPriority w:val="99"/>
    <w:rPr>
      <w:sz w:val="20"/>
      <w:szCs w:val="20"/>
    </w:rPr>
  </w:style>
  <w:style w:type="paragraph" w:styleId="16">
    <w:name w:val="Body Text 3"/>
    <w:basedOn w:val="1"/>
    <w:qFormat/>
    <w:locked/>
    <w:uiPriority w:val="0"/>
    <w:pPr>
      <w:spacing w:after="120"/>
    </w:pPr>
    <w:rPr>
      <w:sz w:val="16"/>
      <w:szCs w:val="16"/>
    </w:rPr>
  </w:style>
  <w:style w:type="paragraph" w:styleId="17">
    <w:name w:val="Body Text"/>
    <w:basedOn w:val="1"/>
    <w:link w:val="60"/>
    <w:qFormat/>
    <w:uiPriority w:val="99"/>
    <w:pPr>
      <w:spacing w:after="120"/>
    </w:pPr>
    <w:rPr>
      <w:sz w:val="20"/>
      <w:szCs w:val="20"/>
    </w:rPr>
  </w:style>
  <w:style w:type="paragraph" w:styleId="18">
    <w:name w:val="Block Text"/>
    <w:basedOn w:val="1"/>
    <w:next w:val="1"/>
    <w:qFormat/>
    <w:locked/>
    <w:uiPriority w:val="0"/>
    <w:pPr>
      <w:tabs>
        <w:tab w:val="left" w:pos="1652"/>
        <w:tab w:val="left" w:pos="8520"/>
      </w:tabs>
      <w:spacing w:line="312" w:lineRule="atLeast"/>
      <w:ind w:left="-240" w:right="239" w:firstLine="479"/>
      <w:textAlignment w:val="baseline"/>
    </w:pPr>
    <w:rPr>
      <w:rFonts w:ascii="Arial"/>
      <w:szCs w:val="20"/>
    </w:rPr>
  </w:style>
  <w:style w:type="paragraph" w:styleId="19">
    <w:name w:val="HTML Address"/>
    <w:basedOn w:val="1"/>
    <w:link w:val="50"/>
    <w:unhideWhenUsed/>
    <w:qFormat/>
    <w:locked/>
    <w:uiPriority w:val="99"/>
    <w:rPr>
      <w:rFonts w:ascii="Times New Roman" w:hAnsi="Times New Roman" w:cs="宋体"/>
      <w:i/>
      <w:sz w:val="21"/>
      <w:szCs w:val="24"/>
    </w:rPr>
  </w:style>
  <w:style w:type="paragraph" w:styleId="20">
    <w:name w:val="toc 5"/>
    <w:basedOn w:val="1"/>
    <w:next w:val="1"/>
    <w:qFormat/>
    <w:uiPriority w:val="39"/>
    <w:pPr>
      <w:widowControl w:val="0"/>
      <w:adjustRightInd/>
      <w:snapToGrid/>
      <w:spacing w:after="0"/>
      <w:ind w:left="840"/>
    </w:pPr>
    <w:rPr>
      <w:rFonts w:ascii="Calibri" w:hAnsi="Calibri" w:cs="Calibri"/>
      <w:kern w:val="2"/>
      <w:sz w:val="18"/>
      <w:szCs w:val="18"/>
    </w:rPr>
  </w:style>
  <w:style w:type="paragraph" w:styleId="21">
    <w:name w:val="toc 3"/>
    <w:basedOn w:val="1"/>
    <w:next w:val="1"/>
    <w:qFormat/>
    <w:uiPriority w:val="39"/>
    <w:pPr>
      <w:widowControl w:val="0"/>
      <w:adjustRightInd/>
      <w:snapToGrid/>
      <w:spacing w:after="0"/>
      <w:ind w:left="420"/>
    </w:pPr>
    <w:rPr>
      <w:rFonts w:ascii="Calibri" w:hAnsi="Calibri" w:cs="Calibri"/>
      <w:i/>
      <w:iCs/>
      <w:kern w:val="2"/>
      <w:sz w:val="20"/>
      <w:szCs w:val="20"/>
    </w:rPr>
  </w:style>
  <w:style w:type="paragraph" w:styleId="22">
    <w:name w:val="Plain Text"/>
    <w:basedOn w:val="1"/>
    <w:link w:val="62"/>
    <w:qFormat/>
    <w:uiPriority w:val="99"/>
    <w:pPr>
      <w:widowControl w:val="0"/>
      <w:adjustRightInd/>
      <w:snapToGrid/>
      <w:spacing w:after="0"/>
      <w:jc w:val="both"/>
    </w:pPr>
    <w:rPr>
      <w:rFonts w:ascii="宋体" w:hAnsi="Times New Roman"/>
      <w:kern w:val="2"/>
      <w:sz w:val="21"/>
      <w:szCs w:val="20"/>
    </w:rPr>
  </w:style>
  <w:style w:type="paragraph" w:styleId="23">
    <w:name w:val="toc 8"/>
    <w:basedOn w:val="1"/>
    <w:next w:val="1"/>
    <w:qFormat/>
    <w:uiPriority w:val="39"/>
    <w:pPr>
      <w:widowControl w:val="0"/>
      <w:adjustRightInd/>
      <w:snapToGrid/>
      <w:spacing w:after="0"/>
      <w:ind w:left="1470"/>
    </w:pPr>
    <w:rPr>
      <w:rFonts w:ascii="Calibri" w:hAnsi="Calibri" w:cs="Calibri"/>
      <w:kern w:val="2"/>
      <w:sz w:val="18"/>
      <w:szCs w:val="18"/>
    </w:rPr>
  </w:style>
  <w:style w:type="paragraph" w:styleId="24">
    <w:name w:val="Date"/>
    <w:basedOn w:val="1"/>
    <w:next w:val="1"/>
    <w:link w:val="133"/>
    <w:semiHidden/>
    <w:unhideWhenUsed/>
    <w:qFormat/>
    <w:locked/>
    <w:uiPriority w:val="99"/>
    <w:pPr>
      <w:ind w:left="100" w:leftChars="2500"/>
    </w:pPr>
  </w:style>
  <w:style w:type="paragraph" w:styleId="25">
    <w:name w:val="Body Text Indent 2"/>
    <w:basedOn w:val="1"/>
    <w:next w:val="26"/>
    <w:link w:val="63"/>
    <w:qFormat/>
    <w:uiPriority w:val="99"/>
    <w:pPr>
      <w:widowControl w:val="0"/>
      <w:spacing w:after="0" w:line="600" w:lineRule="atLeast"/>
      <w:ind w:firstLine="200" w:firstLineChars="200"/>
      <w:jc w:val="both"/>
    </w:pPr>
    <w:rPr>
      <w:rFonts w:ascii="Times New Roman" w:hAnsi="Times New Roman"/>
      <w:szCs w:val="28"/>
    </w:rPr>
  </w:style>
  <w:style w:type="paragraph" w:customStyle="1" w:styleId="26">
    <w:name w:val="简单回函地址"/>
    <w:basedOn w:val="1"/>
    <w:next w:val="27"/>
    <w:qFormat/>
    <w:uiPriority w:val="99"/>
    <w:pPr>
      <w:spacing w:line="360" w:lineRule="auto"/>
      <w:ind w:firstLine="200" w:firstLineChars="200"/>
    </w:pPr>
    <w:rPr>
      <w:sz w:val="24"/>
      <w:szCs w:val="24"/>
    </w:rPr>
  </w:style>
  <w:style w:type="paragraph" w:customStyle="1" w:styleId="27">
    <w:name w:val="正文2"/>
    <w:basedOn w:val="1"/>
    <w:qFormat/>
    <w:uiPriority w:val="99"/>
    <w:pPr>
      <w:autoSpaceDE w:val="0"/>
      <w:autoSpaceDN w:val="0"/>
      <w:spacing w:line="480" w:lineRule="exact"/>
      <w:ind w:left="556"/>
      <w:textAlignment w:val="bottom"/>
    </w:pPr>
    <w:rPr>
      <w:color w:val="000000"/>
    </w:rPr>
  </w:style>
  <w:style w:type="paragraph" w:styleId="28">
    <w:name w:val="Balloon Text"/>
    <w:basedOn w:val="1"/>
    <w:link w:val="64"/>
    <w:qFormat/>
    <w:uiPriority w:val="99"/>
    <w:pPr>
      <w:widowControl w:val="0"/>
      <w:adjustRightInd/>
      <w:snapToGrid/>
      <w:spacing w:after="0"/>
      <w:jc w:val="both"/>
    </w:pPr>
    <w:rPr>
      <w:rFonts w:ascii="Times New Roman" w:hAnsi="Times New Roman"/>
      <w:kern w:val="2"/>
      <w:sz w:val="18"/>
      <w:szCs w:val="18"/>
    </w:rPr>
  </w:style>
  <w:style w:type="paragraph" w:styleId="29">
    <w:name w:val="footer"/>
    <w:basedOn w:val="1"/>
    <w:link w:val="65"/>
    <w:qFormat/>
    <w:uiPriority w:val="99"/>
    <w:pPr>
      <w:widowControl w:val="0"/>
      <w:tabs>
        <w:tab w:val="center" w:pos="4153"/>
        <w:tab w:val="right" w:pos="8306"/>
      </w:tabs>
      <w:adjustRightInd/>
      <w:spacing w:after="0"/>
    </w:pPr>
    <w:rPr>
      <w:rFonts w:ascii="Times New Roman" w:hAnsi="Times New Roman"/>
      <w:kern w:val="2"/>
      <w:sz w:val="18"/>
      <w:szCs w:val="18"/>
    </w:rPr>
  </w:style>
  <w:style w:type="paragraph" w:styleId="30">
    <w:name w:val="header"/>
    <w:basedOn w:val="1"/>
    <w:link w:val="66"/>
    <w:qFormat/>
    <w:uiPriority w:val="99"/>
    <w:pPr>
      <w:widowControl w:val="0"/>
      <w:tabs>
        <w:tab w:val="center" w:pos="4153"/>
        <w:tab w:val="right" w:pos="8306"/>
      </w:tabs>
      <w:adjustRightInd/>
      <w:spacing w:after="0"/>
      <w:jc w:val="both"/>
    </w:pPr>
    <w:rPr>
      <w:rFonts w:ascii="Times New Roman" w:hAnsi="Times New Roman"/>
      <w:kern w:val="2"/>
      <w:sz w:val="18"/>
      <w:szCs w:val="18"/>
    </w:rPr>
  </w:style>
  <w:style w:type="paragraph" w:styleId="31">
    <w:name w:val="toc 1"/>
    <w:basedOn w:val="1"/>
    <w:next w:val="1"/>
    <w:qFormat/>
    <w:uiPriority w:val="39"/>
    <w:pPr>
      <w:widowControl w:val="0"/>
      <w:adjustRightInd/>
      <w:snapToGrid/>
      <w:spacing w:before="120" w:after="120"/>
    </w:pPr>
    <w:rPr>
      <w:rFonts w:ascii="Calibri" w:hAnsi="Calibri" w:cs="Calibri"/>
      <w:b/>
      <w:bCs/>
      <w:caps/>
      <w:kern w:val="2"/>
      <w:sz w:val="20"/>
      <w:szCs w:val="20"/>
    </w:rPr>
  </w:style>
  <w:style w:type="paragraph" w:styleId="32">
    <w:name w:val="toc 4"/>
    <w:basedOn w:val="1"/>
    <w:next w:val="1"/>
    <w:qFormat/>
    <w:uiPriority w:val="39"/>
    <w:pPr>
      <w:widowControl w:val="0"/>
      <w:adjustRightInd/>
      <w:snapToGrid/>
      <w:spacing w:after="0"/>
      <w:ind w:left="630"/>
    </w:pPr>
    <w:rPr>
      <w:rFonts w:ascii="Calibri" w:hAnsi="Calibri" w:cs="Calibri"/>
      <w:kern w:val="2"/>
      <w:sz w:val="18"/>
      <w:szCs w:val="18"/>
    </w:rPr>
  </w:style>
  <w:style w:type="paragraph" w:styleId="33">
    <w:name w:val="toc 6"/>
    <w:basedOn w:val="1"/>
    <w:next w:val="1"/>
    <w:qFormat/>
    <w:uiPriority w:val="39"/>
    <w:pPr>
      <w:widowControl w:val="0"/>
      <w:adjustRightInd/>
      <w:snapToGrid/>
      <w:spacing w:after="0"/>
      <w:ind w:left="1050"/>
    </w:pPr>
    <w:rPr>
      <w:rFonts w:ascii="Calibri" w:hAnsi="Calibri" w:cs="Calibri"/>
      <w:kern w:val="2"/>
      <w:sz w:val="18"/>
      <w:szCs w:val="18"/>
    </w:rPr>
  </w:style>
  <w:style w:type="paragraph" w:styleId="34">
    <w:name w:val="Body Text Indent 3"/>
    <w:basedOn w:val="1"/>
    <w:link w:val="67"/>
    <w:qFormat/>
    <w:locked/>
    <w:uiPriority w:val="99"/>
    <w:pPr>
      <w:tabs>
        <w:tab w:val="left" w:pos="180"/>
        <w:tab w:val="left" w:pos="360"/>
        <w:tab w:val="left" w:pos="540"/>
      </w:tabs>
      <w:ind w:firstLine="560" w:firstLineChars="200"/>
    </w:pPr>
    <w:rPr>
      <w:rFonts w:ascii="宋体" w:hAnsi="宋体"/>
      <w:color w:val="000000"/>
    </w:rPr>
  </w:style>
  <w:style w:type="paragraph" w:styleId="35">
    <w:name w:val="toc 2"/>
    <w:basedOn w:val="1"/>
    <w:next w:val="1"/>
    <w:qFormat/>
    <w:uiPriority w:val="39"/>
    <w:pPr>
      <w:widowControl w:val="0"/>
      <w:tabs>
        <w:tab w:val="right" w:leader="dot" w:pos="9060"/>
      </w:tabs>
      <w:adjustRightInd/>
      <w:snapToGrid/>
      <w:spacing w:after="0"/>
      <w:ind w:left="210"/>
    </w:pPr>
    <w:rPr>
      <w:rFonts w:ascii="宋体" w:hAnsi="Times New Roman" w:cs="Calibri"/>
      <w:i/>
      <w:smallCaps/>
      <w:kern w:val="2"/>
      <w:sz w:val="20"/>
      <w:szCs w:val="20"/>
    </w:rPr>
  </w:style>
  <w:style w:type="paragraph" w:styleId="36">
    <w:name w:val="toc 9"/>
    <w:basedOn w:val="1"/>
    <w:next w:val="1"/>
    <w:qFormat/>
    <w:uiPriority w:val="39"/>
    <w:pPr>
      <w:widowControl w:val="0"/>
      <w:adjustRightInd/>
      <w:snapToGrid/>
      <w:spacing w:after="0"/>
      <w:ind w:left="1680"/>
    </w:pPr>
    <w:rPr>
      <w:rFonts w:ascii="Calibri" w:hAnsi="Calibri" w:cs="Calibri"/>
      <w:kern w:val="2"/>
      <w:sz w:val="18"/>
      <w:szCs w:val="18"/>
    </w:rPr>
  </w:style>
  <w:style w:type="paragraph" w:styleId="37">
    <w:name w:val="HTML Preformatted"/>
    <w:basedOn w:val="1"/>
    <w:link w:val="132"/>
    <w:unhideWhenUsed/>
    <w:qFormat/>
    <w:locked/>
    <w:uiPriority w:val="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hint="eastAsia" w:ascii="宋体" w:hAnsi="宋体"/>
      <w:sz w:val="24"/>
      <w:szCs w:val="24"/>
    </w:rPr>
  </w:style>
  <w:style w:type="paragraph" w:styleId="38">
    <w:name w:val="Normal (Web)"/>
    <w:basedOn w:val="1"/>
    <w:link w:val="68"/>
    <w:qFormat/>
    <w:uiPriority w:val="0"/>
    <w:pPr>
      <w:adjustRightInd/>
      <w:snapToGrid/>
      <w:spacing w:before="100" w:beforeAutospacing="1" w:after="100" w:afterAutospacing="1"/>
    </w:pPr>
    <w:rPr>
      <w:rFonts w:ascii="宋体" w:hAnsi="Times New Roman" w:cs="宋体"/>
      <w:sz w:val="24"/>
      <w:szCs w:val="24"/>
    </w:rPr>
  </w:style>
  <w:style w:type="paragraph" w:styleId="39">
    <w:name w:val="Title"/>
    <w:basedOn w:val="1"/>
    <w:link w:val="69"/>
    <w:qFormat/>
    <w:uiPriority w:val="0"/>
    <w:pPr>
      <w:widowControl w:val="0"/>
      <w:adjustRightInd/>
      <w:snapToGrid/>
      <w:spacing w:before="240" w:after="60"/>
      <w:jc w:val="center"/>
      <w:outlineLvl w:val="0"/>
    </w:pPr>
    <w:rPr>
      <w:rFonts w:ascii="Arial" w:hAnsi="Arial"/>
      <w:b/>
      <w:bCs/>
      <w:sz w:val="32"/>
      <w:szCs w:val="32"/>
    </w:rPr>
  </w:style>
  <w:style w:type="paragraph" w:styleId="40">
    <w:name w:val="annotation subject"/>
    <w:basedOn w:val="15"/>
    <w:next w:val="15"/>
    <w:link w:val="70"/>
    <w:qFormat/>
    <w:uiPriority w:val="99"/>
    <w:pPr>
      <w:widowControl w:val="0"/>
      <w:adjustRightInd/>
      <w:snapToGrid/>
      <w:spacing w:after="0"/>
    </w:pPr>
    <w:rPr>
      <w:rFonts w:ascii="Times New Roman" w:hAnsi="Times New Roman"/>
      <w:b/>
      <w:bCs/>
      <w:kern w:val="2"/>
      <w:sz w:val="21"/>
      <w:szCs w:val="21"/>
    </w:rPr>
  </w:style>
  <w:style w:type="paragraph" w:styleId="41">
    <w:name w:val="Body Text First Indent"/>
    <w:basedOn w:val="17"/>
    <w:link w:val="71"/>
    <w:qFormat/>
    <w:uiPriority w:val="99"/>
    <w:pPr>
      <w:widowControl w:val="0"/>
      <w:adjustRightInd/>
      <w:snapToGrid/>
      <w:ind w:firstLine="100" w:firstLineChars="100"/>
      <w:jc w:val="both"/>
    </w:pPr>
    <w:rPr>
      <w:rFonts w:ascii="Times New Roman" w:hAnsi="Times New Roman"/>
      <w:kern w:val="2"/>
      <w:sz w:val="21"/>
      <w:szCs w:val="21"/>
    </w:rPr>
  </w:style>
  <w:style w:type="table" w:styleId="43">
    <w:name w:val="Table Grid"/>
    <w:basedOn w:val="42"/>
    <w:qFormat/>
    <w:uiPriority w:val="99"/>
    <w:rPr>
      <w:rFonts w:eastAsia="黑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rFonts w:cs="Times New Roman"/>
      <w:b/>
      <w:bCs/>
    </w:rPr>
  </w:style>
  <w:style w:type="character" w:styleId="46">
    <w:name w:val="page number"/>
    <w:qFormat/>
    <w:uiPriority w:val="99"/>
    <w:rPr>
      <w:rFonts w:cs="Times New Roman"/>
    </w:rPr>
  </w:style>
  <w:style w:type="character" w:styleId="47">
    <w:name w:val="FollowedHyperlink"/>
    <w:semiHidden/>
    <w:qFormat/>
    <w:uiPriority w:val="99"/>
    <w:rPr>
      <w:rFonts w:cs="Times New Roman"/>
      <w:color w:val="800080"/>
      <w:u w:val="single"/>
    </w:rPr>
  </w:style>
  <w:style w:type="character" w:styleId="48">
    <w:name w:val="Hyperlink"/>
    <w:qFormat/>
    <w:uiPriority w:val="99"/>
    <w:rPr>
      <w:rFonts w:cs="Times New Roman"/>
      <w:color w:val="0000FF"/>
      <w:u w:val="single"/>
    </w:rPr>
  </w:style>
  <w:style w:type="character" w:styleId="49">
    <w:name w:val="annotation reference"/>
    <w:qFormat/>
    <w:uiPriority w:val="99"/>
    <w:rPr>
      <w:rFonts w:cs="Times New Roman"/>
      <w:sz w:val="21"/>
      <w:szCs w:val="21"/>
    </w:rPr>
  </w:style>
  <w:style w:type="character" w:customStyle="1" w:styleId="50">
    <w:name w:val="HTML 地址 字符"/>
    <w:link w:val="19"/>
    <w:qFormat/>
    <w:uiPriority w:val="99"/>
    <w:rPr>
      <w:rFonts w:cs="宋体"/>
      <w:i/>
      <w:sz w:val="21"/>
      <w:szCs w:val="24"/>
    </w:rPr>
  </w:style>
  <w:style w:type="character" w:customStyle="1" w:styleId="51">
    <w:name w:val="标题 1 字符"/>
    <w:link w:val="5"/>
    <w:qFormat/>
    <w:locked/>
    <w:uiPriority w:val="99"/>
    <w:rPr>
      <w:rFonts w:ascii="宋体" w:hAnsi="Times New Roman" w:eastAsia="宋体" w:cs="宋体"/>
      <w:b/>
      <w:bCs/>
      <w:kern w:val="44"/>
      <w:sz w:val="44"/>
      <w:szCs w:val="44"/>
    </w:rPr>
  </w:style>
  <w:style w:type="character" w:customStyle="1" w:styleId="52">
    <w:name w:val="标题 2 字符"/>
    <w:link w:val="6"/>
    <w:qFormat/>
    <w:locked/>
    <w:uiPriority w:val="99"/>
    <w:rPr>
      <w:rFonts w:ascii="宋体"/>
      <w:b/>
      <w:bCs/>
      <w:sz w:val="28"/>
      <w:szCs w:val="32"/>
    </w:rPr>
  </w:style>
  <w:style w:type="character" w:customStyle="1" w:styleId="53">
    <w:name w:val="标题 3 字符"/>
    <w:link w:val="7"/>
    <w:qFormat/>
    <w:locked/>
    <w:uiPriority w:val="99"/>
    <w:rPr>
      <w:rFonts w:ascii="宋体"/>
      <w:b/>
      <w:bCs/>
      <w:sz w:val="28"/>
      <w:szCs w:val="32"/>
    </w:rPr>
  </w:style>
  <w:style w:type="character" w:customStyle="1" w:styleId="54">
    <w:name w:val="标题 4 字符"/>
    <w:link w:val="8"/>
    <w:qFormat/>
    <w:locked/>
    <w:uiPriority w:val="99"/>
    <w:rPr>
      <w:rFonts w:ascii="宋体" w:hAnsi="Times New Roman" w:eastAsia="宋体" w:cs="宋体"/>
      <w:sz w:val="28"/>
      <w:szCs w:val="28"/>
    </w:rPr>
  </w:style>
  <w:style w:type="character" w:customStyle="1" w:styleId="55">
    <w:name w:val="标题 5 字符"/>
    <w:link w:val="9"/>
    <w:qFormat/>
    <w:uiPriority w:val="9"/>
    <w:rPr>
      <w:rFonts w:ascii="Tahoma" w:hAnsi="Tahoma"/>
      <w:b/>
      <w:bCs/>
      <w:sz w:val="28"/>
      <w:szCs w:val="28"/>
    </w:rPr>
  </w:style>
  <w:style w:type="character" w:customStyle="1" w:styleId="56">
    <w:name w:val="宏文本 字符"/>
    <w:link w:val="4"/>
    <w:qFormat/>
    <w:locked/>
    <w:uiPriority w:val="99"/>
    <w:rPr>
      <w:rFonts w:ascii="Courier New" w:hAnsi="Courier New" w:cs="Courier New"/>
      <w:kern w:val="2"/>
      <w:sz w:val="24"/>
      <w:szCs w:val="24"/>
      <w:lang w:val="en-US" w:eastAsia="zh-CN" w:bidi="ar-SA"/>
    </w:rPr>
  </w:style>
  <w:style w:type="character" w:customStyle="1" w:styleId="57">
    <w:name w:val="正文缩进 字符"/>
    <w:link w:val="13"/>
    <w:qFormat/>
    <w:locked/>
    <w:uiPriority w:val="99"/>
    <w:rPr>
      <w:rFonts w:ascii="宋体" w:eastAsia="宋体"/>
    </w:rPr>
  </w:style>
  <w:style w:type="character" w:customStyle="1" w:styleId="58">
    <w:name w:val="文档结构图 字符"/>
    <w:link w:val="14"/>
    <w:qFormat/>
    <w:locked/>
    <w:uiPriority w:val="99"/>
    <w:rPr>
      <w:rFonts w:ascii="宋体" w:hAnsi="Times New Roman" w:eastAsia="宋体" w:cs="宋体"/>
      <w:kern w:val="2"/>
      <w:sz w:val="18"/>
      <w:szCs w:val="18"/>
    </w:rPr>
  </w:style>
  <w:style w:type="character" w:customStyle="1" w:styleId="59">
    <w:name w:val="批注文字 字符"/>
    <w:link w:val="15"/>
    <w:semiHidden/>
    <w:qFormat/>
    <w:locked/>
    <w:uiPriority w:val="99"/>
    <w:rPr>
      <w:rFonts w:ascii="Tahoma" w:hAnsi="Tahoma" w:cs="Times New Roman"/>
    </w:rPr>
  </w:style>
  <w:style w:type="character" w:customStyle="1" w:styleId="60">
    <w:name w:val="正文文本 字符"/>
    <w:link w:val="17"/>
    <w:semiHidden/>
    <w:qFormat/>
    <w:locked/>
    <w:uiPriority w:val="99"/>
    <w:rPr>
      <w:rFonts w:ascii="Tahoma" w:hAnsi="Tahoma" w:cs="Times New Roman"/>
    </w:rPr>
  </w:style>
  <w:style w:type="character" w:customStyle="1" w:styleId="61">
    <w:name w:val="正文文本缩进 字符"/>
    <w:link w:val="3"/>
    <w:qFormat/>
    <w:locked/>
    <w:uiPriority w:val="99"/>
    <w:rPr>
      <w:rFonts w:ascii="Times New Roman" w:hAnsi="Times New Roman" w:eastAsia="宋体" w:cs="Times New Roman"/>
      <w:kern w:val="2"/>
      <w:sz w:val="24"/>
      <w:szCs w:val="24"/>
    </w:rPr>
  </w:style>
  <w:style w:type="character" w:customStyle="1" w:styleId="62">
    <w:name w:val="纯文本 字符"/>
    <w:link w:val="22"/>
    <w:qFormat/>
    <w:locked/>
    <w:uiPriority w:val="99"/>
    <w:rPr>
      <w:rFonts w:ascii="宋体" w:hAnsi="Times New Roman" w:eastAsia="宋体" w:cs="Times New Roman"/>
      <w:kern w:val="2"/>
      <w:sz w:val="21"/>
    </w:rPr>
  </w:style>
  <w:style w:type="character" w:customStyle="1" w:styleId="63">
    <w:name w:val="正文文本缩进 2 字符"/>
    <w:link w:val="25"/>
    <w:qFormat/>
    <w:locked/>
    <w:uiPriority w:val="99"/>
    <w:rPr>
      <w:rFonts w:ascii="Times New Roman" w:hAnsi="Times New Roman" w:eastAsia="宋体" w:cs="Times New Roman"/>
      <w:sz w:val="28"/>
      <w:szCs w:val="28"/>
    </w:rPr>
  </w:style>
  <w:style w:type="character" w:customStyle="1" w:styleId="64">
    <w:name w:val="批注框文本 字符"/>
    <w:link w:val="28"/>
    <w:qFormat/>
    <w:locked/>
    <w:uiPriority w:val="99"/>
    <w:rPr>
      <w:rFonts w:ascii="Times New Roman" w:hAnsi="Times New Roman" w:eastAsia="宋体" w:cs="Times New Roman"/>
      <w:kern w:val="2"/>
      <w:sz w:val="18"/>
      <w:szCs w:val="18"/>
    </w:rPr>
  </w:style>
  <w:style w:type="character" w:customStyle="1" w:styleId="65">
    <w:name w:val="页脚 字符"/>
    <w:link w:val="29"/>
    <w:qFormat/>
    <w:locked/>
    <w:uiPriority w:val="99"/>
    <w:rPr>
      <w:rFonts w:ascii="Times New Roman" w:hAnsi="Times New Roman" w:eastAsia="宋体" w:cs="Times New Roman"/>
      <w:kern w:val="2"/>
      <w:sz w:val="18"/>
      <w:szCs w:val="18"/>
    </w:rPr>
  </w:style>
  <w:style w:type="character" w:customStyle="1" w:styleId="66">
    <w:name w:val="页眉 字符"/>
    <w:link w:val="30"/>
    <w:qFormat/>
    <w:locked/>
    <w:uiPriority w:val="99"/>
    <w:rPr>
      <w:rFonts w:ascii="Times New Roman" w:hAnsi="Times New Roman" w:eastAsia="宋体" w:cs="Times New Roman"/>
      <w:kern w:val="2"/>
      <w:sz w:val="18"/>
      <w:szCs w:val="18"/>
    </w:rPr>
  </w:style>
  <w:style w:type="character" w:customStyle="1" w:styleId="67">
    <w:name w:val="正文文本缩进 3 字符"/>
    <w:basedOn w:val="44"/>
    <w:link w:val="34"/>
    <w:qFormat/>
    <w:uiPriority w:val="99"/>
    <w:rPr>
      <w:rFonts w:ascii="宋体" w:hAnsi="宋体" w:eastAsia="微软雅黑"/>
      <w:color w:val="000000"/>
      <w:sz w:val="28"/>
      <w:szCs w:val="22"/>
    </w:rPr>
  </w:style>
  <w:style w:type="character" w:customStyle="1" w:styleId="68">
    <w:name w:val="普通(网站) 字符"/>
    <w:link w:val="38"/>
    <w:qFormat/>
    <w:uiPriority w:val="0"/>
    <w:rPr>
      <w:rFonts w:ascii="宋体" w:cs="宋体"/>
      <w:sz w:val="24"/>
      <w:szCs w:val="24"/>
    </w:rPr>
  </w:style>
  <w:style w:type="character" w:customStyle="1" w:styleId="69">
    <w:name w:val="标题 字符"/>
    <w:link w:val="39"/>
    <w:qFormat/>
    <w:locked/>
    <w:uiPriority w:val="0"/>
    <w:rPr>
      <w:rFonts w:ascii="Arial" w:hAnsi="Arial" w:eastAsia="宋体" w:cs="Times New Roman"/>
      <w:b/>
      <w:bCs/>
      <w:sz w:val="32"/>
      <w:szCs w:val="32"/>
    </w:rPr>
  </w:style>
  <w:style w:type="character" w:customStyle="1" w:styleId="70">
    <w:name w:val="批注主题 字符"/>
    <w:link w:val="40"/>
    <w:qFormat/>
    <w:locked/>
    <w:uiPriority w:val="99"/>
    <w:rPr>
      <w:rFonts w:ascii="Times New Roman" w:hAnsi="Times New Roman" w:eastAsia="宋体" w:cs="Times New Roman"/>
      <w:b/>
      <w:bCs/>
      <w:kern w:val="2"/>
      <w:sz w:val="21"/>
      <w:szCs w:val="21"/>
    </w:rPr>
  </w:style>
  <w:style w:type="character" w:customStyle="1" w:styleId="71">
    <w:name w:val="正文文本首行缩进 字符"/>
    <w:link w:val="41"/>
    <w:qFormat/>
    <w:locked/>
    <w:uiPriority w:val="99"/>
    <w:rPr>
      <w:rFonts w:ascii="Times New Roman" w:hAnsi="Times New Roman" w:eastAsia="宋体" w:cs="Times New Roman"/>
      <w:kern w:val="2"/>
      <w:sz w:val="21"/>
      <w:szCs w:val="21"/>
    </w:rPr>
  </w:style>
  <w:style w:type="paragraph" w:customStyle="1" w:styleId="72">
    <w:name w:val="Default"/>
    <w:next w:val="2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73">
    <w:name w:val="首行缩进 Char Char"/>
    <w:qFormat/>
    <w:uiPriority w:val="99"/>
    <w:rPr>
      <w:rFonts w:ascii="宋体"/>
      <w:kern w:val="2"/>
      <w:sz w:val="28"/>
    </w:rPr>
  </w:style>
  <w:style w:type="character" w:customStyle="1" w:styleId="74">
    <w:name w:val="Char Char3"/>
    <w:qFormat/>
    <w:uiPriority w:val="99"/>
    <w:rPr>
      <w:rFonts w:eastAsia="宋体" w:cs="Times New Roman"/>
      <w:kern w:val="2"/>
      <w:sz w:val="18"/>
      <w:szCs w:val="18"/>
      <w:lang w:val="en-US" w:eastAsia="zh-CN"/>
    </w:rPr>
  </w:style>
  <w:style w:type="character" w:customStyle="1" w:styleId="75">
    <w:name w:val="Title Char1"/>
    <w:qFormat/>
    <w:uiPriority w:val="99"/>
    <w:rPr>
      <w:rFonts w:ascii="Cambria" w:hAnsi="Cambria" w:cs="Times New Roman"/>
      <w:b/>
      <w:bCs/>
      <w:sz w:val="32"/>
      <w:szCs w:val="32"/>
      <w:lang w:bidi="ar-SA"/>
    </w:rPr>
  </w:style>
  <w:style w:type="character" w:customStyle="1" w:styleId="76">
    <w:name w:val="font01"/>
    <w:qFormat/>
    <w:uiPriority w:val="99"/>
    <w:rPr>
      <w:rFonts w:ascii="宋体" w:hAnsi="宋体" w:eastAsia="宋体" w:cs="宋体"/>
      <w:color w:val="000000"/>
      <w:sz w:val="21"/>
      <w:szCs w:val="21"/>
      <w:u w:val="none"/>
    </w:rPr>
  </w:style>
  <w:style w:type="character" w:customStyle="1" w:styleId="77">
    <w:name w:val="样式 标题 1 + 居中 Char"/>
    <w:link w:val="78"/>
    <w:qFormat/>
    <w:locked/>
    <w:uiPriority w:val="99"/>
    <w:rPr>
      <w:rFonts w:ascii="宋体" w:eastAsia="宋体"/>
      <w:b/>
      <w:kern w:val="44"/>
      <w:sz w:val="36"/>
    </w:rPr>
  </w:style>
  <w:style w:type="paragraph" w:customStyle="1" w:styleId="78">
    <w:name w:val="样式 标题 1 + 居中"/>
    <w:basedOn w:val="5"/>
    <w:link w:val="77"/>
    <w:qFormat/>
    <w:uiPriority w:val="99"/>
    <w:pPr>
      <w:tabs>
        <w:tab w:val="clear" w:pos="0"/>
      </w:tabs>
      <w:spacing w:before="0" w:after="0" w:line="240" w:lineRule="auto"/>
      <w:ind w:left="0"/>
      <w:jc w:val="center"/>
    </w:pPr>
    <w:rPr>
      <w:bCs w:val="0"/>
      <w:sz w:val="36"/>
      <w:szCs w:val="20"/>
    </w:rPr>
  </w:style>
  <w:style w:type="character" w:customStyle="1" w:styleId="79">
    <w:name w:val="纯文本 Char1"/>
    <w:qFormat/>
    <w:uiPriority w:val="99"/>
    <w:rPr>
      <w:rFonts w:ascii="宋体" w:cs="Courier New"/>
      <w:sz w:val="21"/>
      <w:szCs w:val="21"/>
      <w:lang w:bidi="ar-SA"/>
    </w:rPr>
  </w:style>
  <w:style w:type="character" w:customStyle="1" w:styleId="80">
    <w:name w:val="Char Char9"/>
    <w:qFormat/>
    <w:uiPriority w:val="99"/>
    <w:rPr>
      <w:rFonts w:ascii="Arial" w:hAnsi="Arial" w:cs="Arial"/>
      <w:kern w:val="2"/>
      <w:sz w:val="32"/>
      <w:szCs w:val="32"/>
      <w:lang w:bidi="ar-SA"/>
    </w:rPr>
  </w:style>
  <w:style w:type="paragraph" w:customStyle="1" w:styleId="81">
    <w:name w:val="TOC 标题1"/>
    <w:basedOn w:val="5"/>
    <w:next w:val="1"/>
    <w:qFormat/>
    <w:uiPriority w:val="99"/>
    <w:pPr>
      <w:widowControl/>
      <w:spacing w:before="480" w:after="0" w:line="276" w:lineRule="auto"/>
      <w:ind w:left="0"/>
      <w:jc w:val="left"/>
      <w:outlineLvl w:val="9"/>
    </w:pPr>
    <w:rPr>
      <w:rFonts w:ascii="Cambria" w:hAnsi="Cambria" w:cs="Cambria"/>
      <w:color w:val="365F91"/>
      <w:kern w:val="0"/>
      <w:sz w:val="28"/>
      <w:szCs w:val="28"/>
    </w:rPr>
  </w:style>
  <w:style w:type="paragraph" w:customStyle="1" w:styleId="82">
    <w:name w:val="列出段落2"/>
    <w:basedOn w:val="1"/>
    <w:qFormat/>
    <w:uiPriority w:val="99"/>
    <w:pPr>
      <w:widowControl w:val="0"/>
      <w:snapToGrid/>
      <w:spacing w:after="0" w:line="360" w:lineRule="atLeast"/>
      <w:ind w:firstLine="200" w:firstLineChars="200"/>
    </w:pPr>
    <w:rPr>
      <w:rFonts w:ascii="Times New Roman" w:hAnsi="Times New Roman"/>
      <w:sz w:val="24"/>
      <w:szCs w:val="20"/>
    </w:rPr>
  </w:style>
  <w:style w:type="paragraph" w:customStyle="1" w:styleId="83">
    <w:name w:val="样式 宋体 首行缩进:  1.11 厘米"/>
    <w:basedOn w:val="1"/>
    <w:qFormat/>
    <w:uiPriority w:val="99"/>
    <w:pPr>
      <w:widowControl w:val="0"/>
      <w:adjustRightInd/>
      <w:snapToGrid/>
      <w:spacing w:after="0" w:line="600" w:lineRule="exact"/>
      <w:ind w:firstLine="200" w:firstLineChars="200"/>
      <w:jc w:val="both"/>
    </w:pPr>
    <w:rPr>
      <w:rFonts w:ascii="宋体" w:hAnsi="Times New Roman" w:cs="宋体"/>
      <w:kern w:val="2"/>
      <w:szCs w:val="28"/>
    </w:rPr>
  </w:style>
  <w:style w:type="paragraph" w:customStyle="1" w:styleId="84">
    <w:name w:val="reader-word-layer"/>
    <w:basedOn w:val="1"/>
    <w:qFormat/>
    <w:uiPriority w:val="99"/>
    <w:pPr>
      <w:adjustRightInd/>
      <w:snapToGrid/>
      <w:spacing w:before="100" w:beforeAutospacing="1" w:after="100" w:afterAutospacing="1"/>
    </w:pPr>
    <w:rPr>
      <w:rFonts w:ascii="宋体" w:hAnsi="Times New Roman" w:cs="宋体"/>
      <w:sz w:val="24"/>
      <w:szCs w:val="24"/>
    </w:rPr>
  </w:style>
  <w:style w:type="paragraph" w:customStyle="1" w:styleId="85">
    <w:name w:val="Char"/>
    <w:basedOn w:val="1"/>
    <w:qFormat/>
    <w:uiPriority w:val="99"/>
    <w:pPr>
      <w:widowControl w:val="0"/>
      <w:adjustRightInd/>
      <w:snapToGrid/>
      <w:spacing w:after="0"/>
      <w:jc w:val="both"/>
    </w:pPr>
    <w:rPr>
      <w:rFonts w:ascii="Times New Roman" w:hAnsi="Times New Roman"/>
      <w:kern w:val="2"/>
      <w:sz w:val="21"/>
      <w:szCs w:val="21"/>
    </w:rPr>
  </w:style>
  <w:style w:type="paragraph" w:customStyle="1" w:styleId="86">
    <w:name w:val="p0"/>
    <w:basedOn w:val="1"/>
    <w:qFormat/>
    <w:uiPriority w:val="99"/>
    <w:pPr>
      <w:adjustRightInd/>
      <w:snapToGrid/>
      <w:spacing w:after="0"/>
      <w:jc w:val="both"/>
    </w:pPr>
    <w:rPr>
      <w:rFonts w:ascii="宋体" w:hAnsi="Times New Roman" w:cs="宋体"/>
      <w:szCs w:val="28"/>
    </w:rPr>
  </w:style>
  <w:style w:type="paragraph" w:customStyle="1" w:styleId="87">
    <w:name w:val="样式1"/>
    <w:basedOn w:val="1"/>
    <w:next w:val="8"/>
    <w:qFormat/>
    <w:uiPriority w:val="99"/>
    <w:pPr>
      <w:widowControl w:val="0"/>
      <w:adjustRightInd/>
      <w:snapToGrid/>
      <w:spacing w:after="0"/>
      <w:jc w:val="both"/>
    </w:pPr>
    <w:rPr>
      <w:rFonts w:ascii="Times New Roman" w:hAnsi="Times New Roman"/>
      <w:kern w:val="2"/>
      <w:sz w:val="21"/>
      <w:szCs w:val="21"/>
    </w:rPr>
  </w:style>
  <w:style w:type="paragraph" w:customStyle="1" w:styleId="88">
    <w:name w:val="_Style 10"/>
    <w:basedOn w:val="7"/>
    <w:qFormat/>
    <w:uiPriority w:val="99"/>
    <w:pPr>
      <w:tabs>
        <w:tab w:val="left" w:pos="360"/>
        <w:tab w:val="left" w:pos="900"/>
      </w:tabs>
      <w:snapToGrid w:val="0"/>
      <w:spacing w:before="120" w:after="120" w:line="360" w:lineRule="auto"/>
      <w:ind w:left="-12" w:leftChars="-12" w:firstLine="200" w:firstLineChars="200"/>
    </w:pPr>
    <w:rPr>
      <w:rFonts w:ascii="Times New Roman"/>
      <w:kern w:val="2"/>
    </w:rPr>
  </w:style>
  <w:style w:type="paragraph" w:customStyle="1" w:styleId="89">
    <w:name w:val="表头"/>
    <w:basedOn w:val="1"/>
    <w:qFormat/>
    <w:uiPriority w:val="99"/>
    <w:pPr>
      <w:adjustRightInd/>
      <w:snapToGrid/>
      <w:spacing w:after="0" w:line="400" w:lineRule="exact"/>
      <w:jc w:val="center"/>
    </w:pPr>
    <w:rPr>
      <w:rFonts w:ascii="Times New Roman" w:hAnsi="Times New Roman"/>
      <w:b/>
      <w:sz w:val="24"/>
      <w:szCs w:val="24"/>
    </w:rPr>
  </w:style>
  <w:style w:type="paragraph" w:styleId="90">
    <w:name w:val="List Paragraph"/>
    <w:basedOn w:val="1"/>
    <w:qFormat/>
    <w:uiPriority w:val="99"/>
    <w:pPr>
      <w:widowControl w:val="0"/>
      <w:adjustRightInd/>
      <w:snapToGrid/>
      <w:spacing w:after="0"/>
      <w:ind w:firstLine="200" w:firstLineChars="200"/>
      <w:jc w:val="both"/>
    </w:pPr>
    <w:rPr>
      <w:rFonts w:ascii="Times New Roman" w:hAnsi="Times New Roman"/>
      <w:kern w:val="2"/>
      <w:sz w:val="21"/>
      <w:szCs w:val="21"/>
    </w:rPr>
  </w:style>
  <w:style w:type="paragraph" w:customStyle="1" w:styleId="91">
    <w:name w:val="普通(网站)2"/>
    <w:basedOn w:val="1"/>
    <w:qFormat/>
    <w:uiPriority w:val="99"/>
    <w:pPr>
      <w:adjustRightInd/>
      <w:snapToGrid/>
      <w:spacing w:before="100" w:beforeAutospacing="1" w:after="100" w:afterAutospacing="1"/>
    </w:pPr>
    <w:rPr>
      <w:rFonts w:ascii="宋体" w:hAnsi="Times New Roman"/>
      <w:sz w:val="24"/>
      <w:szCs w:val="24"/>
    </w:rPr>
  </w:style>
  <w:style w:type="paragraph" w:customStyle="1" w:styleId="92">
    <w:name w:val="无间隔1"/>
    <w:qFormat/>
    <w:uiPriority w:val="99"/>
    <w:rPr>
      <w:rFonts w:ascii="Calibri" w:hAnsi="Calibri" w:eastAsia="宋体" w:cs="Calibri"/>
      <w:sz w:val="22"/>
      <w:szCs w:val="22"/>
      <w:lang w:val="en-US" w:eastAsia="zh-CN" w:bidi="ar-SA"/>
    </w:rPr>
  </w:style>
  <w:style w:type="paragraph" w:customStyle="1" w:styleId="93">
    <w:name w:val="Normal (Web)1"/>
    <w:basedOn w:val="1"/>
    <w:qFormat/>
    <w:uiPriority w:val="99"/>
    <w:pPr>
      <w:adjustRightInd/>
      <w:snapToGrid/>
      <w:spacing w:before="100" w:beforeAutospacing="1" w:after="100" w:afterAutospacing="1"/>
    </w:pPr>
    <w:rPr>
      <w:rFonts w:ascii="宋体" w:hAnsi="Times New Roman" w:cs="宋体"/>
      <w:sz w:val="24"/>
      <w:szCs w:val="24"/>
    </w:rPr>
  </w:style>
  <w:style w:type="paragraph" w:customStyle="1" w:styleId="94">
    <w:name w:val="列出段落1"/>
    <w:basedOn w:val="1"/>
    <w:qFormat/>
    <w:uiPriority w:val="99"/>
    <w:pPr>
      <w:widowControl w:val="0"/>
      <w:adjustRightInd/>
      <w:snapToGrid/>
      <w:spacing w:after="0"/>
      <w:ind w:firstLine="200" w:firstLineChars="200"/>
      <w:jc w:val="both"/>
    </w:pPr>
    <w:rPr>
      <w:rFonts w:ascii="Times New Roman" w:hAnsi="Times New Roman"/>
      <w:kern w:val="2"/>
      <w:sz w:val="21"/>
      <w:szCs w:val="21"/>
    </w:rPr>
  </w:style>
  <w:style w:type="paragraph" w:customStyle="1" w:styleId="95">
    <w:name w:val="普通(网站)1"/>
    <w:basedOn w:val="1"/>
    <w:qFormat/>
    <w:uiPriority w:val="99"/>
    <w:pPr>
      <w:adjustRightInd/>
      <w:snapToGrid/>
      <w:spacing w:before="100" w:beforeAutospacing="1" w:after="100" w:afterAutospacing="1"/>
    </w:pPr>
    <w:rPr>
      <w:rFonts w:ascii="宋体" w:hAnsi="Times New Roman" w:cs="宋体"/>
      <w:sz w:val="24"/>
      <w:szCs w:val="24"/>
    </w:rPr>
  </w:style>
  <w:style w:type="paragraph" w:customStyle="1" w:styleId="96">
    <w:name w:val="普通(网站)3"/>
    <w:basedOn w:val="1"/>
    <w:qFormat/>
    <w:uiPriority w:val="99"/>
    <w:pPr>
      <w:adjustRightInd/>
      <w:snapToGrid/>
      <w:spacing w:before="100" w:beforeAutospacing="1" w:after="100" w:afterAutospacing="1"/>
    </w:pPr>
    <w:rPr>
      <w:rFonts w:ascii="宋体" w:hAnsi="Times New Roman"/>
      <w:sz w:val="24"/>
      <w:szCs w:val="24"/>
    </w:rPr>
  </w:style>
  <w:style w:type="paragraph" w:customStyle="1" w:styleId="97">
    <w:name w:val="样式 黑体 三号 居中"/>
    <w:basedOn w:val="1"/>
    <w:qFormat/>
    <w:uiPriority w:val="99"/>
    <w:pPr>
      <w:widowControl w:val="0"/>
      <w:adjustRightInd/>
      <w:snapToGrid/>
      <w:spacing w:after="0" w:line="360" w:lineRule="auto"/>
      <w:jc w:val="center"/>
    </w:pPr>
    <w:rPr>
      <w:rFonts w:ascii="黑体" w:hAnsi="Times New Roman" w:eastAsia="黑体" w:cs="黑体"/>
      <w:kern w:val="2"/>
      <w:sz w:val="32"/>
      <w:szCs w:val="32"/>
    </w:rPr>
  </w:style>
  <w:style w:type="paragraph" w:customStyle="1" w:styleId="98">
    <w:name w:val="Char Char Char Char Char Char"/>
    <w:basedOn w:val="1"/>
    <w:next w:val="4"/>
    <w:qFormat/>
    <w:uiPriority w:val="99"/>
    <w:pPr>
      <w:widowControl w:val="0"/>
      <w:adjustRightInd/>
      <w:snapToGrid/>
      <w:spacing w:after="0"/>
      <w:jc w:val="both"/>
    </w:pPr>
    <w:rPr>
      <w:rFonts w:ascii="Times New Roman" w:hAnsi="Times New Roman"/>
      <w:kern w:val="2"/>
      <w:szCs w:val="28"/>
    </w:rPr>
  </w:style>
  <w:style w:type="paragraph" w:customStyle="1" w:styleId="99">
    <w:name w:val="Char Char31"/>
    <w:basedOn w:val="1"/>
    <w:qFormat/>
    <w:uiPriority w:val="99"/>
    <w:pPr>
      <w:widowControl w:val="0"/>
      <w:tabs>
        <w:tab w:val="left" w:pos="840"/>
      </w:tabs>
      <w:adjustRightInd/>
      <w:snapToGrid/>
      <w:spacing w:after="0"/>
      <w:ind w:left="840" w:hanging="420"/>
      <w:jc w:val="both"/>
    </w:pPr>
    <w:rPr>
      <w:rFonts w:ascii="Times New Roman" w:hAnsi="Times New Roman"/>
      <w:kern w:val="2"/>
      <w:sz w:val="21"/>
      <w:szCs w:val="21"/>
    </w:rPr>
  </w:style>
  <w:style w:type="paragraph" w:customStyle="1" w:styleId="100">
    <w:name w:val="txt"/>
    <w:basedOn w:val="1"/>
    <w:qFormat/>
    <w:uiPriority w:val="99"/>
    <w:pPr>
      <w:adjustRightInd/>
      <w:snapToGrid/>
      <w:spacing w:before="100" w:beforeAutospacing="1" w:after="100" w:afterAutospacing="1"/>
    </w:pPr>
    <w:rPr>
      <w:rFonts w:ascii="宋体" w:hAnsi="宋体" w:cs="宋体"/>
      <w:sz w:val="24"/>
      <w:szCs w:val="24"/>
    </w:rPr>
  </w:style>
  <w:style w:type="paragraph" w:customStyle="1" w:styleId="101">
    <w:name w:val="表格正文"/>
    <w:basedOn w:val="13"/>
    <w:qFormat/>
    <w:uiPriority w:val="99"/>
    <w:pPr>
      <w:adjustRightInd w:val="0"/>
      <w:spacing w:line="360" w:lineRule="exact"/>
      <w:ind w:firstLine="0"/>
      <w:jc w:val="center"/>
    </w:pPr>
    <w:rPr>
      <w:rFonts w:ascii="Times New Roman"/>
      <w:color w:val="000000"/>
      <w:spacing w:val="12"/>
      <w:sz w:val="21"/>
    </w:rPr>
  </w:style>
  <w:style w:type="paragraph" w:customStyle="1" w:styleId="102">
    <w:name w:val="表格"/>
    <w:basedOn w:val="1"/>
    <w:link w:val="140"/>
    <w:qFormat/>
    <w:uiPriority w:val="0"/>
    <w:pPr>
      <w:widowControl w:val="0"/>
      <w:adjustRightInd/>
      <w:snapToGrid/>
      <w:spacing w:before="50" w:after="50"/>
      <w:jc w:val="center"/>
    </w:pPr>
    <w:rPr>
      <w:rFonts w:ascii="宋体" w:hAnsi="Times New Roman"/>
      <w:kern w:val="2"/>
      <w:sz w:val="21"/>
      <w:szCs w:val="20"/>
    </w:rPr>
  </w:style>
  <w:style w:type="paragraph" w:customStyle="1" w:styleId="103">
    <w:name w:val="Char Char Char Char Char Char Char Char Char Char Char Char Char Char Char Char"/>
    <w:basedOn w:val="1"/>
    <w:qFormat/>
    <w:uiPriority w:val="0"/>
    <w:pPr>
      <w:adjustRightInd/>
      <w:snapToGrid/>
      <w:spacing w:after="160" w:line="240" w:lineRule="exact"/>
    </w:pPr>
    <w:rPr>
      <w:rFonts w:ascii="Verdana" w:hAnsi="Verdana"/>
      <w:sz w:val="20"/>
      <w:szCs w:val="20"/>
      <w:lang w:eastAsia="en-US"/>
    </w:rPr>
  </w:style>
  <w:style w:type="character" w:customStyle="1" w:styleId="104">
    <w:name w:val="zhenwen141"/>
    <w:qFormat/>
    <w:uiPriority w:val="99"/>
    <w:rPr>
      <w:rFonts w:ascii="??" w:hAnsi="??"/>
      <w:sz w:val="22"/>
    </w:rPr>
  </w:style>
  <w:style w:type="paragraph" w:customStyle="1" w:styleId="105">
    <w:name w:val="xl25"/>
    <w:basedOn w:val="1"/>
    <w:qFormat/>
    <w:uiPriority w:val="99"/>
    <w:pPr>
      <w:pBdr>
        <w:bottom w:val="single" w:color="auto" w:sz="4" w:space="0"/>
        <w:right w:val="single" w:color="auto" w:sz="4" w:space="0"/>
      </w:pBdr>
      <w:adjustRightInd/>
      <w:snapToGrid/>
      <w:spacing w:before="100" w:beforeAutospacing="1" w:after="100" w:afterAutospacing="1"/>
      <w:jc w:val="both"/>
    </w:pPr>
    <w:rPr>
      <w:rFonts w:ascii="Times New Roman" w:hAnsi="Times New Roman"/>
      <w:sz w:val="21"/>
      <w:szCs w:val="21"/>
    </w:rPr>
  </w:style>
  <w:style w:type="paragraph" w:customStyle="1" w:styleId="106">
    <w:name w:val="xl24"/>
    <w:basedOn w:val="1"/>
    <w:qFormat/>
    <w:uiPriority w:val="99"/>
    <w:pPr>
      <w:pBdr>
        <w:bottom w:val="single" w:color="auto" w:sz="4" w:space="0"/>
      </w:pBdr>
      <w:adjustRightInd/>
      <w:snapToGrid/>
      <w:spacing w:before="100" w:beforeAutospacing="1" w:after="100" w:afterAutospacing="1"/>
      <w:jc w:val="center"/>
    </w:pPr>
    <w:rPr>
      <w:rFonts w:ascii="Arial Unicode MS" w:hAnsi="Arial Unicode MS"/>
      <w:sz w:val="20"/>
      <w:szCs w:val="20"/>
    </w:rPr>
  </w:style>
  <w:style w:type="character" w:customStyle="1" w:styleId="107">
    <w:name w:val="图表 Char"/>
    <w:link w:val="108"/>
    <w:qFormat/>
    <w:locked/>
    <w:uiPriority w:val="99"/>
    <w:rPr>
      <w:rFonts w:ascii="Calibri" w:hAnsi="Calibri" w:eastAsia="宋体"/>
      <w:kern w:val="2"/>
      <w:sz w:val="22"/>
      <w:lang w:val="en-US" w:eastAsia="zh-CN"/>
    </w:rPr>
  </w:style>
  <w:style w:type="paragraph" w:customStyle="1" w:styleId="108">
    <w:name w:val="图表"/>
    <w:basedOn w:val="1"/>
    <w:link w:val="107"/>
    <w:qFormat/>
    <w:uiPriority w:val="99"/>
    <w:pPr>
      <w:widowControl w:val="0"/>
      <w:spacing w:after="0" w:line="360" w:lineRule="auto"/>
      <w:jc w:val="both"/>
    </w:pPr>
    <w:rPr>
      <w:rFonts w:ascii="Calibri" w:hAnsi="Calibri"/>
      <w:kern w:val="2"/>
      <w:szCs w:val="20"/>
    </w:rPr>
  </w:style>
  <w:style w:type="paragraph" w:customStyle="1" w:styleId="109">
    <w:name w:val="WPSOffice手动目录 1"/>
    <w:qFormat/>
    <w:uiPriority w:val="0"/>
    <w:rPr>
      <w:rFonts w:ascii="Times New Roman" w:hAnsi="Times New Roman" w:eastAsia="宋体" w:cs="Times New Roman"/>
      <w:lang w:val="en-US" w:eastAsia="zh-CN" w:bidi="ar-SA"/>
    </w:rPr>
  </w:style>
  <w:style w:type="paragraph" w:customStyle="1" w:styleId="110">
    <w:name w:val="TOC 标题2"/>
    <w:basedOn w:val="5"/>
    <w:next w:val="1"/>
    <w:semiHidden/>
    <w:unhideWhenUsed/>
    <w:qFormat/>
    <w:uiPriority w:val="39"/>
    <w:pPr>
      <w:widowControl/>
      <w:tabs>
        <w:tab w:val="clear" w:pos="0"/>
      </w:tabs>
      <w:spacing w:before="480" w:after="0" w:line="276" w:lineRule="auto"/>
      <w:ind w:left="0"/>
      <w:jc w:val="left"/>
      <w:outlineLvl w:val="9"/>
    </w:pPr>
    <w:rPr>
      <w:rFonts w:ascii="Cambria" w:hAnsi="Cambria"/>
      <w:color w:val="365F91"/>
      <w:kern w:val="0"/>
      <w:sz w:val="28"/>
      <w:szCs w:val="28"/>
    </w:rPr>
  </w:style>
  <w:style w:type="paragraph" w:customStyle="1" w:styleId="111">
    <w:name w:val="报告表格"/>
    <w:basedOn w:val="1"/>
    <w:qFormat/>
    <w:uiPriority w:val="99"/>
    <w:pPr>
      <w:autoSpaceDE w:val="0"/>
      <w:autoSpaceDN w:val="0"/>
      <w:spacing w:before="40" w:after="40"/>
      <w:jc w:val="center"/>
    </w:pPr>
    <w:rPr>
      <w:szCs w:val="20"/>
    </w:rPr>
  </w:style>
  <w:style w:type="character" w:customStyle="1" w:styleId="112">
    <w:name w:val="样式2 Char"/>
    <w:link w:val="113"/>
    <w:qFormat/>
    <w:uiPriority w:val="0"/>
    <w:rPr>
      <w:b/>
      <w:sz w:val="28"/>
    </w:rPr>
  </w:style>
  <w:style w:type="paragraph" w:customStyle="1" w:styleId="113">
    <w:name w:val="样式2"/>
    <w:basedOn w:val="1"/>
    <w:link w:val="112"/>
    <w:qFormat/>
    <w:uiPriority w:val="0"/>
    <w:pPr>
      <w:widowControl w:val="0"/>
      <w:adjustRightInd/>
      <w:snapToGrid/>
      <w:spacing w:after="0"/>
    </w:pPr>
    <w:rPr>
      <w:rFonts w:ascii="Times New Roman" w:hAnsi="Times New Roman"/>
      <w:b/>
      <w:szCs w:val="20"/>
    </w:rPr>
  </w:style>
  <w:style w:type="paragraph" w:customStyle="1" w:styleId="114">
    <w:name w:val="样式3"/>
    <w:basedOn w:val="1"/>
    <w:qFormat/>
    <w:uiPriority w:val="0"/>
    <w:pPr>
      <w:widowControl w:val="0"/>
      <w:adjustRightInd/>
      <w:snapToGrid/>
      <w:spacing w:after="0"/>
    </w:pPr>
    <w:rPr>
      <w:rFonts w:ascii="Times New Roman" w:hAnsi="Times New Roman"/>
      <w:b/>
      <w:kern w:val="2"/>
      <w:sz w:val="24"/>
      <w:szCs w:val="24"/>
    </w:rPr>
  </w:style>
  <w:style w:type="paragraph" w:customStyle="1" w:styleId="115">
    <w:name w:val="Char Char Char Char"/>
    <w:basedOn w:val="1"/>
    <w:qFormat/>
    <w:uiPriority w:val="0"/>
    <w:pPr>
      <w:adjustRightInd/>
      <w:snapToGrid/>
      <w:spacing w:after="160" w:line="240" w:lineRule="exact"/>
    </w:pPr>
    <w:rPr>
      <w:rFonts w:ascii="Times New Roman" w:hAnsi="Times New Roman"/>
      <w:kern w:val="2"/>
      <w:sz w:val="21"/>
      <w:szCs w:val="24"/>
    </w:rPr>
  </w:style>
  <w:style w:type="paragraph" w:customStyle="1" w:styleId="116">
    <w:name w:val="Char Char Char Char Char Char Char Char Char Char Char"/>
    <w:basedOn w:val="1"/>
    <w:qFormat/>
    <w:uiPriority w:val="0"/>
    <w:pPr>
      <w:widowControl w:val="0"/>
      <w:adjustRightInd/>
      <w:snapToGrid/>
      <w:spacing w:after="0"/>
      <w:jc w:val="both"/>
    </w:pPr>
    <w:rPr>
      <w:rFonts w:ascii="Times New Roman" w:hAnsi="Times New Roman"/>
      <w:kern w:val="2"/>
      <w:sz w:val="21"/>
      <w:szCs w:val="24"/>
    </w:rPr>
  </w:style>
  <w:style w:type="paragraph" w:customStyle="1" w:styleId="117">
    <w:name w:val="长城正文2014"/>
    <w:basedOn w:val="1"/>
    <w:qFormat/>
    <w:uiPriority w:val="0"/>
    <w:pPr>
      <w:spacing w:line="360" w:lineRule="auto"/>
      <w:ind w:firstLine="200" w:firstLineChars="200"/>
    </w:pPr>
    <w:rPr>
      <w:rFonts w:cs="宋体"/>
      <w:szCs w:val="28"/>
    </w:rPr>
  </w:style>
  <w:style w:type="paragraph" w:customStyle="1" w:styleId="118">
    <w:name w:val="郭表格标题"/>
    <w:basedOn w:val="1"/>
    <w:qFormat/>
    <w:uiPriority w:val="99"/>
    <w:pPr>
      <w:spacing w:line="360" w:lineRule="auto"/>
      <w:jc w:val="center"/>
    </w:pPr>
    <w:rPr>
      <w:b/>
      <w:bCs/>
      <w:szCs w:val="21"/>
    </w:rPr>
  </w:style>
  <w:style w:type="paragraph" w:customStyle="1" w:styleId="119">
    <w:name w:val="表格文字"/>
    <w:basedOn w:val="22"/>
    <w:next w:val="1"/>
    <w:qFormat/>
    <w:uiPriority w:val="0"/>
    <w:rPr>
      <w:rFonts w:hAnsi="宋体"/>
    </w:rPr>
  </w:style>
  <w:style w:type="paragraph" w:customStyle="1" w:styleId="120">
    <w:name w:val="正文自己"/>
    <w:basedOn w:val="1"/>
    <w:qFormat/>
    <w:uiPriority w:val="99"/>
    <w:pPr>
      <w:spacing w:line="560" w:lineRule="exact"/>
      <w:ind w:firstLine="629"/>
    </w:pPr>
    <w:rPr>
      <w:bCs/>
    </w:rPr>
  </w:style>
  <w:style w:type="character" w:customStyle="1" w:styleId="121">
    <w:name w:val="apple-converted-space"/>
    <w:basedOn w:val="44"/>
    <w:qFormat/>
    <w:uiPriority w:val="99"/>
  </w:style>
  <w:style w:type="paragraph" w:customStyle="1" w:styleId="122">
    <w:name w:val="郭表格"/>
    <w:basedOn w:val="1"/>
    <w:qFormat/>
    <w:uiPriority w:val="99"/>
    <w:pPr>
      <w:jc w:val="center"/>
    </w:pPr>
    <w:rPr>
      <w:rFonts w:ascii="Times New Roman" w:hAnsi="Times New Roman"/>
      <w:sz w:val="21"/>
      <w:szCs w:val="21"/>
    </w:rPr>
  </w:style>
  <w:style w:type="paragraph" w:customStyle="1" w:styleId="123">
    <w:name w:val="样式4"/>
    <w:basedOn w:val="7"/>
    <w:qFormat/>
    <w:uiPriority w:val="99"/>
    <w:pPr>
      <w:tabs>
        <w:tab w:val="left" w:pos="566"/>
      </w:tabs>
      <w:spacing w:line="560" w:lineRule="exact"/>
      <w:ind w:firstLine="560" w:firstLineChars="200"/>
    </w:pPr>
    <w:rPr>
      <w:rFonts w:ascii="黑体" w:eastAsia="黑体"/>
      <w:b w:val="0"/>
    </w:rPr>
  </w:style>
  <w:style w:type="paragraph" w:customStyle="1" w:styleId="124">
    <w:name w:val="报告书表格"/>
    <w:basedOn w:val="1"/>
    <w:qFormat/>
    <w:uiPriority w:val="99"/>
    <w:pPr>
      <w:spacing w:before="60" w:after="60" w:line="240" w:lineRule="atLeast"/>
      <w:jc w:val="center"/>
      <w:textAlignment w:val="baseline"/>
    </w:pPr>
    <w:rPr>
      <w:sz w:val="20"/>
      <w:szCs w:val="20"/>
    </w:rPr>
  </w:style>
  <w:style w:type="character" w:customStyle="1" w:styleId="125">
    <w:name w:val="正文文本首行缩进 2 字符"/>
    <w:basedOn w:val="61"/>
    <w:link w:val="2"/>
    <w:qFormat/>
    <w:uiPriority w:val="99"/>
    <w:rPr>
      <w:rFonts w:ascii="Times New Roman" w:hAnsi="Times New Roman" w:eastAsia="宋体" w:cs="宋体"/>
      <w:kern w:val="2"/>
      <w:sz w:val="22"/>
      <w:szCs w:val="28"/>
    </w:rPr>
  </w:style>
  <w:style w:type="paragraph" w:customStyle="1" w:styleId="126">
    <w:name w:val="首行缩进"/>
    <w:basedOn w:val="1"/>
    <w:link w:val="127"/>
    <w:qFormat/>
    <w:uiPriority w:val="99"/>
    <w:pPr>
      <w:widowControl w:val="0"/>
      <w:adjustRightInd/>
      <w:snapToGrid/>
      <w:spacing w:after="0"/>
      <w:jc w:val="both"/>
    </w:pPr>
    <w:rPr>
      <w:rFonts w:ascii="宋体" w:hAnsi="宋体"/>
      <w:color w:val="000000"/>
      <w:sz w:val="21"/>
      <w:szCs w:val="20"/>
    </w:rPr>
  </w:style>
  <w:style w:type="character" w:customStyle="1" w:styleId="127">
    <w:name w:val="首行缩进 Char"/>
    <w:link w:val="126"/>
    <w:qFormat/>
    <w:locked/>
    <w:uiPriority w:val="99"/>
    <w:rPr>
      <w:rFonts w:ascii="宋体" w:hAnsi="宋体"/>
      <w:color w:val="000000"/>
      <w:sz w:val="21"/>
    </w:rPr>
  </w:style>
  <w:style w:type="paragraph" w:customStyle="1" w:styleId="128">
    <w:name w:val="正文四号"/>
    <w:basedOn w:val="1"/>
    <w:qFormat/>
    <w:uiPriority w:val="99"/>
    <w:pPr>
      <w:spacing w:line="360" w:lineRule="auto"/>
      <w:ind w:firstLine="200" w:firstLineChars="200"/>
    </w:pPr>
    <w:rPr>
      <w:sz w:val="24"/>
      <w:szCs w:val="28"/>
    </w:rPr>
  </w:style>
  <w:style w:type="paragraph" w:customStyle="1" w:styleId="129">
    <w:name w:val="Table Paragraph"/>
    <w:basedOn w:val="1"/>
    <w:qFormat/>
    <w:uiPriority w:val="1"/>
    <w:pPr>
      <w:widowControl w:val="0"/>
      <w:autoSpaceDE w:val="0"/>
      <w:autoSpaceDN w:val="0"/>
      <w:adjustRightInd/>
      <w:snapToGrid/>
      <w:spacing w:after="0"/>
    </w:pPr>
    <w:rPr>
      <w:rFonts w:ascii="宋体" w:hAnsi="宋体" w:cs="宋体"/>
      <w:lang w:eastAsia="en-US"/>
    </w:rPr>
  </w:style>
  <w:style w:type="paragraph" w:customStyle="1" w:styleId="130">
    <w:name w:val="五号表格"/>
    <w:basedOn w:val="1"/>
    <w:qFormat/>
    <w:uiPriority w:val="0"/>
    <w:pPr>
      <w:spacing w:line="360" w:lineRule="auto"/>
      <w:jc w:val="center"/>
    </w:pPr>
    <w:rPr>
      <w:sz w:val="24"/>
    </w:rPr>
  </w:style>
  <w:style w:type="table" w:customStyle="1" w:styleId="131">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32">
    <w:name w:val="HTML 预设格式 字符"/>
    <w:basedOn w:val="44"/>
    <w:link w:val="37"/>
    <w:qFormat/>
    <w:uiPriority w:val="99"/>
    <w:rPr>
      <w:rFonts w:ascii="宋体" w:hAnsi="宋体"/>
      <w:sz w:val="24"/>
      <w:szCs w:val="24"/>
    </w:rPr>
  </w:style>
  <w:style w:type="character" w:customStyle="1" w:styleId="133">
    <w:name w:val="日期 字符"/>
    <w:basedOn w:val="44"/>
    <w:link w:val="24"/>
    <w:semiHidden/>
    <w:qFormat/>
    <w:uiPriority w:val="99"/>
    <w:rPr>
      <w:rFonts w:ascii="Tahoma" w:hAnsi="Tahoma" w:eastAsia="微软雅黑"/>
      <w:sz w:val="22"/>
      <w:szCs w:val="22"/>
    </w:rPr>
  </w:style>
  <w:style w:type="paragraph" w:customStyle="1" w:styleId="134">
    <w:name w:val="Char Char Char Char1"/>
    <w:basedOn w:val="1"/>
    <w:qFormat/>
    <w:uiPriority w:val="0"/>
    <w:pPr>
      <w:snapToGrid/>
      <w:spacing w:after="160" w:line="240" w:lineRule="exact"/>
      <w:textAlignment w:val="baseline"/>
    </w:pPr>
    <w:rPr>
      <w:rFonts w:ascii="Arial" w:hAnsi="Arial" w:eastAsia="Times New Roman" w:cs="Verdana"/>
      <w:b/>
      <w:sz w:val="24"/>
      <w:szCs w:val="24"/>
      <w:lang w:eastAsia="en-US"/>
    </w:rPr>
  </w:style>
  <w:style w:type="character" w:customStyle="1" w:styleId="135">
    <w:name w:val="fontstyle01"/>
    <w:basedOn w:val="44"/>
    <w:qFormat/>
    <w:uiPriority w:val="0"/>
    <w:rPr>
      <w:rFonts w:hint="default" w:ascii="FZSSK--GBK1-0" w:hAnsi="FZSSK--GBK1-0"/>
      <w:color w:val="000000"/>
      <w:sz w:val="16"/>
      <w:szCs w:val="16"/>
    </w:rPr>
  </w:style>
  <w:style w:type="character" w:customStyle="1" w:styleId="136">
    <w:name w:val="fontstyle11"/>
    <w:basedOn w:val="44"/>
    <w:qFormat/>
    <w:uiPriority w:val="0"/>
    <w:rPr>
      <w:rFonts w:hint="default" w:ascii="FZKTK--GBK1-0" w:hAnsi="FZKTK--GBK1-0"/>
      <w:color w:val="000000"/>
      <w:sz w:val="18"/>
      <w:szCs w:val="18"/>
    </w:rPr>
  </w:style>
  <w:style w:type="character" w:customStyle="1" w:styleId="137">
    <w:name w:val="fontstyle31"/>
    <w:basedOn w:val="44"/>
    <w:qFormat/>
    <w:uiPriority w:val="0"/>
    <w:rPr>
      <w:rFonts w:hint="default" w:ascii="E-BZ" w:hAnsi="E-BZ"/>
      <w:color w:val="000000"/>
      <w:sz w:val="18"/>
      <w:szCs w:val="18"/>
    </w:rPr>
  </w:style>
  <w:style w:type="character" w:customStyle="1" w:styleId="138">
    <w:name w:val="标题 2 Char"/>
    <w:qFormat/>
    <w:uiPriority w:val="0"/>
    <w:rPr>
      <w:rFonts w:ascii="Arial" w:hAnsi="Arial" w:eastAsia="黑体"/>
      <w:b/>
      <w:sz w:val="32"/>
    </w:rPr>
  </w:style>
  <w:style w:type="paragraph" w:customStyle="1" w:styleId="139">
    <w:name w:val="Char Char Char Char2"/>
    <w:basedOn w:val="1"/>
    <w:qFormat/>
    <w:uiPriority w:val="0"/>
    <w:pPr>
      <w:snapToGrid/>
      <w:spacing w:after="160" w:line="240" w:lineRule="exact"/>
      <w:textAlignment w:val="baseline"/>
    </w:pPr>
    <w:rPr>
      <w:rFonts w:ascii="Arial" w:hAnsi="Arial" w:eastAsia="Times New Roman" w:cs="Verdana"/>
      <w:b/>
      <w:sz w:val="24"/>
      <w:szCs w:val="24"/>
      <w:lang w:eastAsia="en-US"/>
    </w:rPr>
  </w:style>
  <w:style w:type="character" w:customStyle="1" w:styleId="140">
    <w:name w:val="表格 Char Char"/>
    <w:basedOn w:val="44"/>
    <w:link w:val="102"/>
    <w:qFormat/>
    <w:uiPriority w:val="0"/>
    <w:rPr>
      <w:rFonts w:ascii="宋体"/>
      <w:kern w:val="2"/>
      <w:sz w:val="21"/>
    </w:rPr>
  </w:style>
  <w:style w:type="character" w:customStyle="1" w:styleId="141">
    <w:name w:val="注释标题 字符"/>
    <w:basedOn w:val="44"/>
    <w:link w:val="12"/>
    <w:qFormat/>
    <w:uiPriority w:val="0"/>
    <w:rPr>
      <w:rFonts w:ascii="宋体"/>
      <w:kern w:val="2"/>
      <w:sz w:val="21"/>
    </w:rPr>
  </w:style>
  <w:style w:type="character" w:customStyle="1" w:styleId="142">
    <w:name w:val="未处理的提及1"/>
    <w:basedOn w:val="44"/>
    <w:semiHidden/>
    <w:unhideWhenUsed/>
    <w:qFormat/>
    <w:uiPriority w:val="99"/>
    <w:rPr>
      <w:color w:val="605E5C"/>
      <w:shd w:val="clear" w:color="auto" w:fill="E1DFDD"/>
    </w:rPr>
  </w:style>
  <w:style w:type="table" w:customStyle="1" w:styleId="143">
    <w:name w:val="网格型1"/>
    <w:basedOn w:val="42"/>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1A239C-C18B-42EB-B031-0A8423EA863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156</Pages>
  <Words>68981</Words>
  <Characters>75248</Characters>
  <Lines>630</Lines>
  <Paragraphs>177</Paragraphs>
  <TotalTime>4</TotalTime>
  <ScaleCrop>false</ScaleCrop>
  <LinksUpToDate>false</LinksUpToDate>
  <CharactersWithSpaces>78806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2022-03-10T02:04:00Z</dcterms:created>
  <dc:creator>hp</dc:creator>
  <cp:lastModifiedBy>海鹰</cp:lastModifiedBy>
  <cp:lastPrinted>2022-07-12T07:15:19Z</cp:lastPrinted>
  <dcterms:modified xsi:type="dcterms:W3CDTF">2022-07-12T07:38:14Z</dcterms:modified>
  <cp:revision>287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1E76F67186714C56985A1AED64C13D41</vt:lpwstr>
  </property>
</Properties>
</file>