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28986"/>
      <w:bookmarkStart w:id="5" w:name="_GoBack"/>
      <w:r>
        <w:rPr>
          <w:rFonts w:hint="eastAsia" w:ascii="宋体" w:hAnsi="宋体" w:eastAsia="宋体" w:cs="宋体"/>
          <w:b/>
          <w:bCs/>
          <w:sz w:val="28"/>
          <w:szCs w:val="28"/>
          <w:lang w:val="en-US" w:eastAsia="zh-CN"/>
        </w:rPr>
        <w:t>高空抛物现场处置方案</w:t>
      </w:r>
      <w:bookmarkEnd w:id="0"/>
    </w:p>
    <w:bookmarkEnd w:id="5"/>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17644"/>
      <w:r>
        <w:rPr>
          <w:rFonts w:hint="eastAsia" w:ascii="宋体" w:hAnsi="宋体" w:eastAsia="宋体" w:cs="宋体"/>
          <w:b/>
          <w:bCs/>
          <w:sz w:val="28"/>
          <w:szCs w:val="28"/>
          <w:lang w:val="en-US" w:eastAsia="zh-CN"/>
        </w:rPr>
        <w:t>1.事故风险描述</w:t>
      </w:r>
      <w:bookmarkEnd w:id="1"/>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于人为故意或过失造成物品从高处坠落，或者由于自然因素，如台风、龙卷风、地震、建筑物老化等造成建筑物本体或附着物从高处坠落，可能造成人员伤亡和财产损失，为了加强高层建筑的物业管理，及时、妥善地处置高空坠物事故，保障辖区人身、财产安全。</w:t>
      </w:r>
    </w:p>
    <w:p>
      <w:pPr>
        <w:widowControl w:val="0"/>
        <w:numPr>
          <w:ilvl w:val="0"/>
          <w:numId w:val="0"/>
        </w:numPr>
        <w:spacing w:line="360" w:lineRule="auto"/>
        <w:ind w:firstLine="562" w:firstLineChars="200"/>
        <w:jc w:val="center"/>
        <w:outlineLvl w:val="2"/>
        <w:rPr>
          <w:rFonts w:hint="eastAsia" w:ascii="宋体" w:hAnsi="宋体" w:eastAsia="宋体" w:cs="宋体"/>
          <w:sz w:val="28"/>
          <w:szCs w:val="28"/>
          <w:lang w:val="en-US" w:eastAsia="zh-CN"/>
        </w:rPr>
      </w:pPr>
      <w:bookmarkStart w:id="2" w:name="_Toc2088"/>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2.2职责分工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组长：负责组织应急救援协调指挥工作；负责与公安部门的协调工作。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副组长：协助、配合组长抓好应急救援协调工作；负责安全生产的日常监督和指导。</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成员：负责应急救援的技术指导工作：负责应急救援的处理及善后工作;负责收集、掌握和上报突发信息；负责应急救援实作；负责事故及救援现场的安全保障。</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2.3主要工作职责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领导小组应按照应急预案的有关要求迅速开展抢险救灾工作,力争将损失降到最低程度：若发生安全生产事故和突发事件由物业公司统一部署应急救援工作的实施，并对实施救援工作中发生的争议采取紧急处理措施，同时在小区范围内紧急调用各类人员、物资、设备和场地，配合上级部门进行调查处理工作，做好稳定秩序的工作后适时发布通报，将事故的原因、责任及处理意见在小区内公布。</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9964"/>
      <w:r>
        <w:rPr>
          <w:rFonts w:hint="eastAsia" w:ascii="宋体" w:hAnsi="宋体" w:eastAsia="宋体" w:cs="宋体"/>
          <w:b/>
          <w:bCs/>
          <w:sz w:val="28"/>
          <w:szCs w:val="28"/>
          <w:lang w:val="en-US" w:eastAsia="zh-CN"/>
        </w:rPr>
        <w:t>3.预防与应急处置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3.1预防措施</w:t>
      </w:r>
    </w:p>
    <w:p>
      <w:pPr>
        <w:widowControl w:val="0"/>
        <w:numPr>
          <w:ilvl w:val="0"/>
          <w:numId w:val="0"/>
        </w:numPr>
        <w:tabs>
          <w:tab w:val="left" w:pos="-200"/>
        </w:tabs>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3.1.1预防非人为高空抛物</w:t>
      </w:r>
    </w:p>
    <w:p>
      <w:pPr>
        <w:widowControl w:val="0"/>
        <w:numPr>
          <w:ilvl w:val="0"/>
          <w:numId w:val="1"/>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进行建筑物外立面安全隐患排除、整治工作；若外墙贴面有坠物隐患，及时上报，并将楼下危险区域用警戒带隔离，由物业服务中心联系相关部门进行修缮。</w:t>
      </w:r>
    </w:p>
    <w:p>
      <w:pPr>
        <w:widowControl w:val="0"/>
        <w:numPr>
          <w:ilvl w:val="0"/>
          <w:numId w:val="1"/>
        </w:numPr>
        <w:tabs>
          <w:tab w:val="left" w:pos="-200"/>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定期对公共设备设施、共用部位、窗户、玻璃、空调室外机架、户外广告牌等户外高空附着物进行逐户排查，发现安全隐患，立即整改并登记记录</w:t>
      </w:r>
      <w:r>
        <w:rPr>
          <w:rFonts w:hint="eastAsia" w:ascii="宋体" w:hAnsi="宋体" w:eastAsia="宋体" w:cs="宋体"/>
          <w:sz w:val="28"/>
          <w:szCs w:val="28"/>
          <w:lang w:val="en-US" w:eastAsia="zh-CN"/>
        </w:rPr>
        <w:t>；</w:t>
      </w:r>
    </w:p>
    <w:p>
      <w:pPr>
        <w:widowControl w:val="0"/>
        <w:numPr>
          <w:ilvl w:val="0"/>
          <w:numId w:val="1"/>
        </w:numPr>
        <w:tabs>
          <w:tab w:val="left" w:pos="-200"/>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大风天气，提示业户关好窗户，收回窗台边、阳台边等区域的花盆等外置物品针对预防高空坠物开展的工作，做好登记、记录，以此为工作证据</w:t>
      </w:r>
      <w:r>
        <w:rPr>
          <w:rFonts w:hint="eastAsia" w:ascii="宋体" w:hAnsi="宋体" w:eastAsia="宋体" w:cs="宋体"/>
          <w:sz w:val="28"/>
          <w:szCs w:val="28"/>
          <w:lang w:val="en-US" w:eastAsia="zh-CN"/>
        </w:rPr>
        <w:t>。</w:t>
      </w:r>
    </w:p>
    <w:p>
      <w:pPr>
        <w:widowControl w:val="0"/>
        <w:numPr>
          <w:ilvl w:val="0"/>
          <w:numId w:val="0"/>
        </w:numPr>
        <w:tabs>
          <w:tab w:val="left" w:pos="-200"/>
        </w:tabs>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3.1.2预防人为高空抛物</w:t>
      </w:r>
    </w:p>
    <w:p>
      <w:pPr>
        <w:widowControl w:val="0"/>
        <w:numPr>
          <w:ilvl w:val="0"/>
          <w:numId w:val="2"/>
        </w:numPr>
        <w:tabs>
          <w:tab w:val="left" w:pos="-200"/>
        </w:tabs>
        <w:spacing w:line="360" w:lineRule="auto"/>
        <w:ind w:left="-420" w:leftChars="0" w:firstLine="420" w:firstLineChars="0"/>
        <w:jc w:val="left"/>
        <w:outlineLvl w:val="9"/>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与当地政府机构配合，长期进行群众宣传，发动群众监督，对不听劝阻、屡教不改者联合公安机关采集证据，进行处理</w:t>
      </w:r>
      <w:r>
        <w:rPr>
          <w:rFonts w:hint="eastAsia" w:ascii="宋体" w:hAnsi="宋体" w:eastAsia="宋体" w:cs="宋体"/>
          <w:sz w:val="28"/>
          <w:szCs w:val="28"/>
          <w:lang w:val="en-US" w:eastAsia="zh-CN"/>
        </w:rPr>
        <w:t>；</w:t>
      </w:r>
    </w:p>
    <w:p>
      <w:pPr>
        <w:widowControl w:val="0"/>
        <w:numPr>
          <w:ilvl w:val="0"/>
          <w:numId w:val="2"/>
        </w:numPr>
        <w:tabs>
          <w:tab w:val="left" w:pos="-200"/>
        </w:tabs>
        <w:spacing w:line="360" w:lineRule="auto"/>
        <w:ind w:left="-420" w:leftChars="0" w:firstLine="420" w:firstLineChars="0"/>
        <w:jc w:val="left"/>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使用监控设备进行监视，发现安全隐患，立即报告、整改，预防高空坠物</w:t>
      </w:r>
      <w:r>
        <w:rPr>
          <w:rFonts w:hint="eastAsia" w:ascii="宋体" w:hAnsi="宋体" w:eastAsia="宋体" w:cs="宋体"/>
          <w:sz w:val="28"/>
          <w:szCs w:val="28"/>
          <w:lang w:val="en-US" w:eastAsia="zh-CN"/>
        </w:rPr>
        <w:t>。</w:t>
      </w:r>
    </w:p>
    <w:p>
      <w:pPr>
        <w:widowControl w:val="0"/>
        <w:numPr>
          <w:ilvl w:val="0"/>
          <w:numId w:val="0"/>
        </w:numPr>
        <w:tabs>
          <w:tab w:val="left" w:pos="-200"/>
        </w:tabs>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3.1.3加强对住户的宣传教育</w:t>
      </w:r>
    </w:p>
    <w:p>
      <w:pPr>
        <w:widowControl w:val="0"/>
        <w:numPr>
          <w:ilvl w:val="0"/>
          <w:numId w:val="0"/>
        </w:numPr>
        <w:tabs>
          <w:tab w:val="left" w:pos="-200"/>
        </w:tabs>
        <w:spacing w:line="360" w:lineRule="auto"/>
        <w:ind w:firstLine="560" w:firstLineChars="200"/>
        <w:jc w:val="left"/>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设立宣传栏。将每次发生高空抛物的物品、照片收集后，每季度在本项目内进行一次公开展示，强调高空抛物的危害性和须承担的法律责任。</w:t>
      </w:r>
    </w:p>
    <w:p>
      <w:pPr>
        <w:widowControl w:val="0"/>
        <w:numPr>
          <w:ilvl w:val="0"/>
          <w:numId w:val="0"/>
        </w:numPr>
        <w:tabs>
          <w:tab w:val="left" w:pos="-200"/>
        </w:tabs>
        <w:spacing w:line="360" w:lineRule="auto"/>
        <w:jc w:val="left"/>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3.2应急处置</w:t>
      </w:r>
    </w:p>
    <w:p>
      <w:pPr>
        <w:widowControl w:val="0"/>
        <w:numPr>
          <w:ilvl w:val="0"/>
          <w:numId w:val="2"/>
        </w:numPr>
        <w:tabs>
          <w:tab w:val="left" w:pos="-200"/>
        </w:tabs>
        <w:spacing w:line="360" w:lineRule="auto"/>
        <w:ind w:left="-420" w:leftChars="0" w:firstLine="420" w:firstLineChars="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当值值班人员接报管理区发生高空掷物时，应立即采取措施如下：</w:t>
      </w:r>
    </w:p>
    <w:p>
      <w:pPr>
        <w:widowControl w:val="0"/>
        <w:numPr>
          <w:ilvl w:val="0"/>
          <w:numId w:val="3"/>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一般惜况时，首先调查肇事者或涉嫌楼层、部位，并安排巡逻管理员至现场察录；</w:t>
      </w:r>
    </w:p>
    <w:p>
      <w:pPr>
        <w:widowControl w:val="0"/>
        <w:numPr>
          <w:ilvl w:val="0"/>
          <w:numId w:val="3"/>
        </w:numPr>
        <w:tabs>
          <w:tab w:val="left" w:pos="-200"/>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对掷物现场作惜况记录,并拍照备案。</w:t>
      </w:r>
    </w:p>
    <w:p>
      <w:pPr>
        <w:widowControl w:val="0"/>
        <w:numPr>
          <w:ilvl w:val="0"/>
          <w:numId w:val="2"/>
        </w:numPr>
        <w:tabs>
          <w:tab w:val="left" w:pos="-200"/>
        </w:tabs>
        <w:spacing w:line="360" w:lineRule="auto"/>
        <w:ind w:left="-420" w:leftChars="0" w:firstLine="420" w:firstLineChars="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如掷物造成管理区人士受伤或设施损坏等重大事故时.值班员应立即通报"120"医疗救护中心、”110"警方到场处理及救治伤员，并采取如下措施：</w:t>
      </w:r>
    </w:p>
    <w:p>
      <w:pPr>
        <w:widowControl w:val="0"/>
        <w:numPr>
          <w:ilvl w:val="0"/>
          <w:numId w:val="4"/>
        </w:numPr>
        <w:tabs>
          <w:tab w:val="left" w:pos="-200"/>
          <w:tab w:val="clear" w:pos="312"/>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疏散警戒组各岗人员按一级警戒方案,从严控制管理区人员进出。</w:t>
      </w:r>
    </w:p>
    <w:p>
      <w:pPr>
        <w:widowControl w:val="0"/>
        <w:numPr>
          <w:ilvl w:val="0"/>
          <w:numId w:val="4"/>
        </w:numPr>
        <w:tabs>
          <w:tab w:val="left" w:pos="-200"/>
          <w:tab w:val="clear" w:pos="312"/>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报警联络组紧急通报安保主管、公司人士至现场处理；</w:t>
      </w:r>
    </w:p>
    <w:p>
      <w:pPr>
        <w:widowControl w:val="0"/>
        <w:numPr>
          <w:ilvl w:val="0"/>
          <w:numId w:val="4"/>
        </w:numPr>
        <w:tabs>
          <w:tab w:val="left" w:pos="-200"/>
          <w:tab w:val="clear" w:pos="312"/>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如有人员受伤，采取必要措施如压迫伤口止血等方法，等待医疗救护中心救援；</w:t>
      </w:r>
    </w:p>
    <w:p>
      <w:pPr>
        <w:widowControl w:val="0"/>
        <w:numPr>
          <w:ilvl w:val="0"/>
          <w:numId w:val="4"/>
        </w:numPr>
        <w:tabs>
          <w:tab w:val="left" w:pos="-200"/>
          <w:tab w:val="clear" w:pos="312"/>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对事故现场安排值班员予以保护分隔事故区域劝阻无关人士围观；</w:t>
      </w:r>
    </w:p>
    <w:p>
      <w:pPr>
        <w:widowControl w:val="0"/>
        <w:numPr>
          <w:ilvl w:val="0"/>
          <w:numId w:val="4"/>
        </w:numPr>
        <w:tabs>
          <w:tab w:val="left" w:pos="-200"/>
          <w:tab w:val="clear" w:pos="312"/>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警方到场后,管理员应协助警方调查掷物事件。</w:t>
      </w:r>
    </w:p>
    <w:p>
      <w:pPr>
        <w:widowControl w:val="0"/>
        <w:numPr>
          <w:ilvl w:val="0"/>
          <w:numId w:val="2"/>
        </w:numPr>
        <w:tabs>
          <w:tab w:val="left" w:pos="-200"/>
        </w:tabs>
        <w:spacing w:line="360" w:lineRule="auto"/>
        <w:ind w:left="-420" w:leftChars="0" w:firstLine="420" w:firstLineChars="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当事件处理后，管理处应及时安排善后事宜如下</w:t>
      </w:r>
    </w:p>
    <w:p>
      <w:pPr>
        <w:widowControl w:val="0"/>
        <w:numPr>
          <w:ilvl w:val="0"/>
          <w:numId w:val="5"/>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对事故现场安排清理，对损坏的设施设备及时修缮，损失情况及时联系保险公司申请索赔事宜；</w:t>
      </w:r>
    </w:p>
    <w:p>
      <w:pPr>
        <w:widowControl w:val="0"/>
        <w:numPr>
          <w:ilvl w:val="0"/>
          <w:numId w:val="5"/>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于大厅内、主要进出通道处张贴紧急，通知业户有关高空掷物之危害严重性。</w:t>
      </w:r>
    </w:p>
    <w:p>
      <w:pPr>
        <w:widowControl w:val="0"/>
        <w:numPr>
          <w:ilvl w:val="0"/>
          <w:numId w:val="5"/>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安排管理人员对涉嫌楼层、部位加强监查工作.及时制止违规行为。</w:t>
      </w:r>
    </w:p>
    <w:p>
      <w:pPr>
        <w:widowControl w:val="0"/>
        <w:numPr>
          <w:ilvl w:val="0"/>
          <w:numId w:val="5"/>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对重大事故之警方调查惜况，予以跟进。</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6340"/>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1、高空掷物除管理区业户行为外,亦有外围周邻大厦、个人之恶劣行为，管理处应视 情节危害程度，必要时报警处理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2、小区经常发生掷物事件时，管理处应对涉嫌楼层、部位之业户进行专访，或对该层每户分发通告，必要时对嫌疑部位安排监控。</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3、高空掷物之伤者，一般多为头脑部外伤，如非专业人士不可擅自挪动或急救伤者，以免造成二次伤害。</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FB1A"/>
    <w:multiLevelType w:val="singleLevel"/>
    <w:tmpl w:val="8459FB1A"/>
    <w:lvl w:ilvl="0" w:tentative="0">
      <w:start w:val="1"/>
      <w:numFmt w:val="decimal"/>
      <w:lvlText w:val="%1)"/>
      <w:lvlJc w:val="left"/>
      <w:pPr>
        <w:tabs>
          <w:tab w:val="left" w:pos="312"/>
        </w:tabs>
      </w:pPr>
    </w:lvl>
  </w:abstractNum>
  <w:abstractNum w:abstractNumId="1">
    <w:nsid w:val="1A6C334B"/>
    <w:multiLevelType w:val="singleLevel"/>
    <w:tmpl w:val="1A6C334B"/>
    <w:lvl w:ilvl="0" w:tentative="0">
      <w:start w:val="1"/>
      <w:numFmt w:val="decimal"/>
      <w:suff w:val="nothing"/>
      <w:lvlText w:val="（%1）"/>
      <w:lvlJc w:val="left"/>
    </w:lvl>
  </w:abstractNum>
  <w:abstractNum w:abstractNumId="2">
    <w:nsid w:val="1E68FC1B"/>
    <w:multiLevelType w:val="singleLevel"/>
    <w:tmpl w:val="1E68FC1B"/>
    <w:lvl w:ilvl="0" w:tentative="0">
      <w:start w:val="1"/>
      <w:numFmt w:val="decimal"/>
      <w:suff w:val="nothing"/>
      <w:lvlText w:val="%1）"/>
      <w:lvlJc w:val="left"/>
    </w:lvl>
  </w:abstractNum>
  <w:abstractNum w:abstractNumId="3">
    <w:nsid w:val="77F7A098"/>
    <w:multiLevelType w:val="singleLevel"/>
    <w:tmpl w:val="77F7A098"/>
    <w:lvl w:ilvl="0" w:tentative="0">
      <w:start w:val="1"/>
      <w:numFmt w:val="decimal"/>
      <w:suff w:val="nothing"/>
      <w:lvlText w:val="（%1）"/>
      <w:lvlJc w:val="left"/>
      <w:pPr>
        <w:ind w:left="-420"/>
      </w:pPr>
    </w:lvl>
  </w:abstractNum>
  <w:abstractNum w:abstractNumId="4">
    <w:nsid w:val="7ACECCE3"/>
    <w:multiLevelType w:val="singleLevel"/>
    <w:tmpl w:val="7ACECCE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97432CD"/>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224</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