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rPr>
          <w:rFonts w:ascii="宋体" w:hAnsi="宋体" w:cs="宋体"/>
          <w:sz w:val="24"/>
        </w:rPr>
      </w:pPr>
      <w:bookmarkStart w:id="0" w:name="_Toc350495420"/>
      <w:bookmarkStart w:id="1" w:name="_Toc298918424"/>
      <w:bookmarkStart w:id="2" w:name="_Toc153284799"/>
      <w:bookmarkStart w:id="3" w:name="_Toc154571954"/>
      <w:r>
        <w:rPr>
          <w:rFonts w:hint="eastAsia" w:ascii="宋体" w:hAnsi="宋体" w:cs="宋体"/>
          <w:b/>
          <w:bCs/>
          <w:sz w:val="24"/>
        </w:rPr>
        <w:t>1.目的</w:t>
      </w:r>
      <w:bookmarkEnd w:id="0"/>
      <w:bookmarkEnd w:id="1"/>
      <w:bookmarkEnd w:id="2"/>
      <w:bookmarkEnd w:id="3"/>
    </w:p>
    <w:p>
      <w:pPr>
        <w:tabs>
          <w:tab w:val="left" w:pos="900"/>
        </w:tabs>
        <w:spacing w:line="360" w:lineRule="auto"/>
        <w:ind w:firstLine="480" w:firstLineChars="200"/>
        <w:contextualSpacing/>
        <w:rPr>
          <w:rFonts w:ascii="宋体" w:hAnsi="宋体" w:cs="宋体"/>
          <w:sz w:val="24"/>
        </w:rPr>
      </w:pPr>
      <w:r>
        <w:rPr>
          <w:rFonts w:hint="eastAsia" w:ascii="宋体" w:hAnsi="宋体" w:cs="宋体"/>
          <w:sz w:val="24"/>
        </w:rPr>
        <w:t>为正确有效且迅速响应小区突发人身伤亡事故，避免或最大程度地减轻事件造成的重大经济损失和影响，保障客户及员工生命安全，维护正常的工作和生活秩序</w:t>
      </w:r>
      <w:bookmarkStart w:id="4" w:name="_Toc278440294"/>
      <w:bookmarkStart w:id="5" w:name="_Toc350495422"/>
      <w:bookmarkStart w:id="6" w:name="_Toc298918426"/>
      <w:r>
        <w:rPr>
          <w:rFonts w:hint="eastAsia" w:ascii="宋体" w:hAnsi="宋体" w:cs="宋体"/>
          <w:sz w:val="24"/>
        </w:rPr>
        <w:t>。</w:t>
      </w:r>
    </w:p>
    <w:p>
      <w:pPr>
        <w:tabs>
          <w:tab w:val="left" w:pos="900"/>
        </w:tabs>
        <w:spacing w:line="360" w:lineRule="auto"/>
        <w:contextualSpacing/>
        <w:rPr>
          <w:rFonts w:ascii="宋体" w:hAnsi="宋体" w:cs="宋体"/>
          <w:sz w:val="24"/>
        </w:rPr>
      </w:pPr>
      <w:r>
        <w:rPr>
          <w:rFonts w:hint="eastAsia" w:ascii="宋体" w:hAnsi="宋体" w:cs="宋体"/>
          <w:b/>
          <w:bCs/>
          <w:sz w:val="24"/>
        </w:rPr>
        <w:t>2．适用范围</w:t>
      </w:r>
      <w:bookmarkEnd w:id="4"/>
      <w:bookmarkEnd w:id="5"/>
      <w:bookmarkEnd w:id="6"/>
    </w:p>
    <w:p>
      <w:pPr>
        <w:spacing w:line="360" w:lineRule="auto"/>
        <w:ind w:firstLine="480" w:firstLineChars="200"/>
        <w:contextualSpacing/>
        <w:rPr>
          <w:rFonts w:ascii="宋体" w:hAnsi="宋体" w:cs="宋体"/>
          <w:sz w:val="24"/>
        </w:rPr>
      </w:pPr>
      <w:r>
        <w:rPr>
          <w:rFonts w:hint="eastAsia" w:ascii="宋体" w:hAnsi="宋体" w:cs="宋体"/>
          <w:sz w:val="24"/>
        </w:rPr>
        <w:t>适用于南充万科金润华府</w:t>
      </w:r>
      <w:bookmarkStart w:id="7" w:name="_Toc278440295"/>
      <w:bookmarkStart w:id="8" w:name="_Toc350495423"/>
      <w:bookmarkStart w:id="9" w:name="_Toc298918427"/>
      <w:r>
        <w:rPr>
          <w:rFonts w:hint="eastAsia" w:ascii="宋体" w:hAnsi="宋体" w:cs="宋体"/>
          <w:sz w:val="24"/>
          <w:szCs w:val="24"/>
          <w:lang w:val="en-US" w:eastAsia="zh-CN"/>
        </w:rPr>
        <w:t>物业</w:t>
      </w:r>
      <w:r>
        <w:rPr>
          <w:rFonts w:hint="eastAsia" w:ascii="宋体" w:hAnsi="宋体" w:cs="宋体"/>
          <w:sz w:val="24"/>
        </w:rPr>
        <w:t>服务中心</w:t>
      </w:r>
      <w:bookmarkStart w:id="46" w:name="_GoBack"/>
      <w:bookmarkEnd w:id="46"/>
    </w:p>
    <w:p>
      <w:pPr>
        <w:spacing w:line="360" w:lineRule="auto"/>
        <w:contextualSpacing/>
        <w:rPr>
          <w:rFonts w:ascii="宋体" w:hAnsi="宋体" w:cs="宋体"/>
          <w:sz w:val="24"/>
        </w:rPr>
      </w:pPr>
      <w:r>
        <w:rPr>
          <w:rFonts w:hint="eastAsia" w:ascii="宋体" w:hAnsi="宋体" w:cs="宋体"/>
          <w:b/>
          <w:sz w:val="24"/>
        </w:rPr>
        <w:t>3．应急处置基本原则</w:t>
      </w:r>
      <w:bookmarkEnd w:id="7"/>
      <w:bookmarkEnd w:id="8"/>
      <w:bookmarkEnd w:id="9"/>
    </w:p>
    <w:p>
      <w:pPr>
        <w:spacing w:line="360" w:lineRule="auto"/>
        <w:contextualSpacing/>
        <w:rPr>
          <w:rFonts w:ascii="宋体" w:hAnsi="宋体" w:cs="宋体"/>
          <w:sz w:val="24"/>
        </w:rPr>
      </w:pPr>
      <w:r>
        <w:rPr>
          <w:rFonts w:hint="eastAsia" w:ascii="宋体" w:hAnsi="宋体" w:cs="宋体"/>
          <w:sz w:val="24"/>
        </w:rPr>
        <w:t>（1）遵循“安全第一，预防为主，综合治理”的方针，坚持防御和救援相结合的原则。统一领导、分工负责、加强联动、快速响应，最大限度的减少突发事件造成的损失。</w:t>
      </w:r>
    </w:p>
    <w:p>
      <w:pPr>
        <w:spacing w:line="360" w:lineRule="auto"/>
        <w:contextualSpacing/>
        <w:rPr>
          <w:rFonts w:ascii="宋体" w:hAnsi="宋体" w:cs="宋体"/>
          <w:sz w:val="24"/>
        </w:rPr>
      </w:pPr>
      <w:r>
        <w:rPr>
          <w:rFonts w:hint="eastAsia" w:ascii="宋体" w:hAnsi="宋体" w:cs="宋体"/>
          <w:sz w:val="24"/>
        </w:rPr>
        <w:t>（2）严格遵守紧急救护的基本原则，现场优先采取积极措施保护伤员生命，减轻伤情，减少痛苦，并根据伤情需要，迅速联系医院救治。</w:t>
      </w:r>
      <w:bookmarkStart w:id="10" w:name="_Toc350495426"/>
      <w:bookmarkStart w:id="11" w:name="_Toc278440297"/>
      <w:bookmarkStart w:id="12" w:name="_Toc298918430"/>
    </w:p>
    <w:bookmarkEnd w:id="10"/>
    <w:bookmarkEnd w:id="11"/>
    <w:bookmarkEnd w:id="12"/>
    <w:p>
      <w:pPr>
        <w:spacing w:line="360" w:lineRule="auto"/>
        <w:contextualSpacing/>
        <w:rPr>
          <w:rFonts w:ascii="宋体" w:hAnsi="宋体" w:cs="宋体"/>
          <w:b/>
          <w:sz w:val="24"/>
        </w:rPr>
      </w:pPr>
      <w:bookmarkStart w:id="13" w:name="_Toc246393293"/>
      <w:bookmarkStart w:id="14" w:name="_Toc246393528"/>
      <w:bookmarkStart w:id="15" w:name="_Toc307490641"/>
      <w:bookmarkStart w:id="16" w:name="_Toc350495427"/>
      <w:r>
        <w:rPr>
          <w:rFonts w:hint="eastAsia" w:ascii="宋体" w:hAnsi="宋体" w:cs="宋体"/>
          <w:b/>
          <w:sz w:val="24"/>
        </w:rPr>
        <w:t>4．应急组织机构及职责</w:t>
      </w:r>
      <w:bookmarkEnd w:id="13"/>
      <w:bookmarkEnd w:id="14"/>
      <w:bookmarkEnd w:id="15"/>
      <w:bookmarkEnd w:id="16"/>
    </w:p>
    <w:p>
      <w:pPr>
        <w:spacing w:line="360" w:lineRule="auto"/>
        <w:contextualSpacing/>
        <w:rPr>
          <w:rFonts w:ascii="宋体" w:hAnsi="宋体" w:cs="宋体"/>
          <w:b/>
          <w:sz w:val="24"/>
        </w:rPr>
      </w:pPr>
      <w:r>
        <w:rPr>
          <w:rFonts w:hint="eastAsia" w:ascii="宋体" w:hAnsi="宋体" w:cs="宋体"/>
          <w:b/>
          <w:sz w:val="24"/>
        </w:rPr>
        <w:t>4.1人身伤亡事故应急小组</w:t>
      </w:r>
    </w:p>
    <w:p>
      <w:pPr>
        <w:spacing w:line="360" w:lineRule="auto"/>
        <w:contextualSpacing/>
        <w:rPr>
          <w:rFonts w:ascii="宋体" w:hAnsi="宋体" w:cs="宋体"/>
          <w:b/>
          <w:sz w:val="24"/>
        </w:rPr>
      </w:pPr>
      <w:r>
        <w:rPr>
          <w:rFonts w:hint="eastAsia" w:ascii="宋体" w:hAnsi="宋体" w:cs="宋体"/>
          <w:b/>
          <w:sz w:val="24"/>
        </w:rPr>
        <w:t>4.1.1人身伤亡事故应急小组</w:t>
      </w:r>
    </w:p>
    <w:p>
      <w:pPr>
        <w:autoSpaceDE w:val="0"/>
        <w:autoSpaceDN w:val="0"/>
        <w:spacing w:line="360" w:lineRule="auto"/>
        <w:ind w:firstLine="240" w:firstLineChars="100"/>
        <w:contextualSpacing/>
        <w:rPr>
          <w:rFonts w:ascii="宋体" w:hAnsi="宋体" w:cs="宋体"/>
          <w:color w:val="000000"/>
          <w:kern w:val="0"/>
          <w:sz w:val="24"/>
          <w:lang w:val="zh-CN"/>
        </w:rPr>
      </w:pPr>
      <w:r>
        <w:rPr>
          <w:rFonts w:hint="eastAsia" w:ascii="宋体" w:hAnsi="宋体" w:cs="宋体"/>
          <w:color w:val="000000"/>
          <w:kern w:val="0"/>
          <w:sz w:val="24"/>
          <w:lang w:val="zh-CN"/>
        </w:rPr>
        <w:t>组  长：项目驻场经理</w:t>
      </w:r>
    </w:p>
    <w:p>
      <w:pPr>
        <w:autoSpaceDE w:val="0"/>
        <w:autoSpaceDN w:val="0"/>
        <w:spacing w:line="360" w:lineRule="auto"/>
        <w:ind w:firstLine="240" w:firstLineChars="100"/>
        <w:contextualSpacing/>
        <w:rPr>
          <w:rFonts w:ascii="宋体" w:hAnsi="宋体" w:cs="宋体"/>
          <w:color w:val="000000"/>
          <w:kern w:val="0"/>
          <w:sz w:val="24"/>
          <w:lang w:val="zh-CN"/>
        </w:rPr>
      </w:pPr>
      <w:r>
        <w:rPr>
          <w:rFonts w:hint="eastAsia" w:ascii="宋体" w:hAnsi="宋体" w:cs="宋体"/>
          <w:color w:val="000000"/>
          <w:kern w:val="0"/>
          <w:sz w:val="24"/>
          <w:lang w:val="zh-CN"/>
        </w:rPr>
        <w:t>副组长：管家专业经理</w:t>
      </w:r>
    </w:p>
    <w:p>
      <w:pPr>
        <w:autoSpaceDE w:val="0"/>
        <w:autoSpaceDN w:val="0"/>
        <w:spacing w:line="360" w:lineRule="auto"/>
        <w:ind w:firstLine="240" w:firstLineChars="100"/>
        <w:contextualSpacing/>
        <w:rPr>
          <w:rFonts w:ascii="宋体" w:hAnsi="宋体" w:cs="宋体"/>
          <w:color w:val="000000"/>
          <w:kern w:val="0"/>
          <w:sz w:val="24"/>
          <w:lang w:val="zh-CN"/>
        </w:rPr>
      </w:pPr>
      <w:r>
        <w:rPr>
          <w:rFonts w:hint="eastAsia" w:ascii="宋体" w:hAnsi="宋体" w:cs="宋体"/>
          <w:color w:val="000000"/>
          <w:kern w:val="0"/>
          <w:sz w:val="24"/>
          <w:lang w:val="zh-CN"/>
        </w:rPr>
        <w:t>成  员：服务中心各系统员工</w:t>
      </w:r>
      <w:bookmarkStart w:id="17" w:name="_Toc154560480"/>
      <w:bookmarkStart w:id="18" w:name="_Toc350495428"/>
      <w:bookmarkStart w:id="19" w:name="_Toc304303971"/>
    </w:p>
    <w:p>
      <w:pPr>
        <w:spacing w:line="360" w:lineRule="auto"/>
        <w:contextualSpacing/>
        <w:rPr>
          <w:rFonts w:ascii="宋体" w:hAnsi="宋体" w:cs="宋体"/>
          <w:b/>
          <w:sz w:val="24"/>
          <w:lang w:val="zh-CN"/>
        </w:rPr>
      </w:pPr>
      <w:r>
        <w:rPr>
          <w:rFonts w:hint="eastAsia" w:ascii="宋体" w:hAnsi="宋体" w:cs="宋体"/>
          <w:b/>
          <w:sz w:val="24"/>
          <w:lang w:val="zh-CN"/>
        </w:rPr>
        <w:t xml:space="preserve">4.2 </w:t>
      </w:r>
      <w:r>
        <w:rPr>
          <w:rFonts w:hint="eastAsia" w:ascii="宋体" w:hAnsi="宋体" w:cs="宋体"/>
          <w:b/>
          <w:sz w:val="24"/>
        </w:rPr>
        <w:t>应急小组的职责</w:t>
      </w:r>
      <w:bookmarkEnd w:id="17"/>
      <w:bookmarkEnd w:id="18"/>
      <w:bookmarkEnd w:id="19"/>
      <w:bookmarkStart w:id="20" w:name="_Toc304303972"/>
    </w:p>
    <w:p>
      <w:pPr>
        <w:tabs>
          <w:tab w:val="left" w:pos="900"/>
        </w:tabs>
        <w:spacing w:line="360" w:lineRule="auto"/>
        <w:contextualSpacing/>
        <w:outlineLvl w:val="2"/>
        <w:rPr>
          <w:rFonts w:ascii="宋体" w:hAnsi="宋体" w:cs="宋体"/>
          <w:sz w:val="24"/>
        </w:rPr>
      </w:pPr>
      <w:r>
        <w:rPr>
          <w:rFonts w:hint="eastAsia" w:ascii="宋体" w:hAnsi="宋体" w:cs="宋体"/>
          <w:sz w:val="24"/>
        </w:rPr>
        <w:t>（1）组长负责审定本预案，负责领导、指挥和协调人身伤亡事故的应急处置工作；</w:t>
      </w:r>
    </w:p>
    <w:p>
      <w:pPr>
        <w:tabs>
          <w:tab w:val="left" w:pos="900"/>
        </w:tabs>
        <w:spacing w:line="360" w:lineRule="auto"/>
        <w:contextualSpacing/>
        <w:outlineLvl w:val="2"/>
        <w:rPr>
          <w:rFonts w:ascii="宋体" w:hAnsi="宋体" w:cs="宋体"/>
          <w:sz w:val="24"/>
        </w:rPr>
      </w:pPr>
      <w:r>
        <w:rPr>
          <w:rFonts w:hint="eastAsia" w:ascii="宋体" w:hAnsi="宋体" w:cs="宋体"/>
          <w:sz w:val="24"/>
        </w:rPr>
        <w:t>（2）副组长负责督促人身伤亡事故的相关信息收集、统计及处置的统一指挥、协调，负责本部门员工及工地到访相关人员人身伤亡事故预防措施的具体实施；</w:t>
      </w:r>
    </w:p>
    <w:p>
      <w:pPr>
        <w:tabs>
          <w:tab w:val="left" w:pos="900"/>
        </w:tabs>
        <w:spacing w:line="360" w:lineRule="auto"/>
        <w:contextualSpacing/>
        <w:outlineLvl w:val="2"/>
        <w:rPr>
          <w:rFonts w:ascii="宋体" w:hAnsi="宋体" w:cs="宋体"/>
          <w:sz w:val="24"/>
        </w:rPr>
      </w:pPr>
      <w:r>
        <w:rPr>
          <w:rFonts w:hint="eastAsia" w:ascii="宋体" w:hAnsi="宋体" w:cs="宋体"/>
          <w:sz w:val="24"/>
        </w:rPr>
        <w:t>（3）组长负责研究部署、指导协调人身伤亡事故的应急处理工作；</w:t>
      </w:r>
    </w:p>
    <w:p>
      <w:pPr>
        <w:tabs>
          <w:tab w:val="left" w:pos="900"/>
        </w:tabs>
        <w:spacing w:line="360" w:lineRule="auto"/>
        <w:contextualSpacing/>
        <w:outlineLvl w:val="2"/>
        <w:rPr>
          <w:rFonts w:ascii="宋体" w:hAnsi="宋体" w:cs="宋体"/>
          <w:sz w:val="24"/>
        </w:rPr>
      </w:pPr>
      <w:r>
        <w:rPr>
          <w:rFonts w:hint="eastAsia" w:ascii="宋体" w:hAnsi="宋体" w:cs="宋体"/>
          <w:sz w:val="24"/>
        </w:rPr>
        <w:t>（4）组长负责人身伤亡事故的调查、性质认定及责任人的处理。</w:t>
      </w:r>
    </w:p>
    <w:p>
      <w:pPr>
        <w:tabs>
          <w:tab w:val="left" w:pos="900"/>
        </w:tabs>
        <w:spacing w:line="360" w:lineRule="auto"/>
        <w:contextualSpacing/>
        <w:outlineLvl w:val="2"/>
        <w:rPr>
          <w:rFonts w:ascii="宋体" w:hAnsi="宋体" w:cs="宋体"/>
          <w:sz w:val="24"/>
        </w:rPr>
      </w:pPr>
      <w:r>
        <w:rPr>
          <w:rFonts w:hint="eastAsia" w:ascii="宋体" w:hAnsi="宋体" w:cs="宋体"/>
          <w:sz w:val="24"/>
        </w:rPr>
        <w:t>（5）事故发生时，副组长指挥、协调应急工作,及时报送突发事件；</w:t>
      </w:r>
    </w:p>
    <w:p>
      <w:pPr>
        <w:tabs>
          <w:tab w:val="left" w:pos="900"/>
        </w:tabs>
        <w:spacing w:line="360" w:lineRule="auto"/>
        <w:contextualSpacing/>
        <w:outlineLvl w:val="2"/>
        <w:rPr>
          <w:rFonts w:ascii="宋体" w:hAnsi="宋体" w:cs="宋体"/>
          <w:sz w:val="24"/>
        </w:rPr>
      </w:pPr>
      <w:r>
        <w:rPr>
          <w:rFonts w:hint="eastAsia" w:ascii="宋体" w:hAnsi="宋体" w:cs="宋体"/>
          <w:sz w:val="24"/>
        </w:rPr>
        <w:t>（6）负责人身伤亡事故新闻发布和上报材料的起草工作，根据公司应急领导小组的意见，向政府相关部门报告应急工作情况；</w:t>
      </w:r>
    </w:p>
    <w:p>
      <w:pPr>
        <w:tabs>
          <w:tab w:val="left" w:pos="900"/>
        </w:tabs>
        <w:spacing w:line="360" w:lineRule="auto"/>
        <w:contextualSpacing/>
        <w:outlineLvl w:val="2"/>
        <w:rPr>
          <w:rFonts w:ascii="宋体" w:hAnsi="宋体" w:cs="宋体"/>
          <w:sz w:val="24"/>
        </w:rPr>
      </w:pPr>
      <w:r>
        <w:rPr>
          <w:rFonts w:hint="eastAsia" w:ascii="宋体" w:hAnsi="宋体" w:cs="宋体"/>
          <w:sz w:val="24"/>
        </w:rPr>
        <w:t>（7）完成应急预案的评审，应急救援工作总结的审核和归档工作；</w:t>
      </w:r>
      <w:bookmarkEnd w:id="20"/>
      <w:bookmarkStart w:id="21" w:name="_Toc350495429"/>
      <w:bookmarkStart w:id="22" w:name="_Toc278440301"/>
      <w:bookmarkStart w:id="23" w:name="_Toc298918434"/>
    </w:p>
    <w:p>
      <w:pPr>
        <w:tabs>
          <w:tab w:val="left" w:pos="900"/>
        </w:tabs>
        <w:spacing w:line="360" w:lineRule="auto"/>
        <w:contextualSpacing/>
        <w:outlineLvl w:val="2"/>
        <w:rPr>
          <w:rFonts w:ascii="宋体" w:hAnsi="宋体" w:cs="宋体"/>
          <w:b/>
          <w:sz w:val="24"/>
        </w:rPr>
      </w:pPr>
      <w:r>
        <w:rPr>
          <w:rFonts w:hint="eastAsia" w:ascii="宋体" w:hAnsi="宋体" w:cs="宋体"/>
          <w:b/>
          <w:sz w:val="24"/>
        </w:rPr>
        <w:t>5.处理步骤：</w:t>
      </w:r>
    </w:p>
    <w:p>
      <w:pPr>
        <w:spacing w:line="360" w:lineRule="auto"/>
        <w:contextualSpacing/>
        <w:rPr>
          <w:rFonts w:ascii="宋体" w:hAnsi="宋体" w:cs="宋体"/>
          <w:sz w:val="24"/>
        </w:rPr>
      </w:pPr>
      <w:r>
        <w:rPr>
          <w:rFonts w:hint="eastAsia" w:ascii="宋体" w:hAnsi="宋体" w:cs="宋体"/>
          <w:sz w:val="24"/>
        </w:rPr>
        <w:t xml:space="preserve">(1) 紧急救护 </w:t>
      </w:r>
    </w:p>
    <w:p>
      <w:pPr>
        <w:spacing w:line="360" w:lineRule="auto"/>
        <w:contextualSpacing/>
        <w:rPr>
          <w:rFonts w:ascii="宋体" w:hAnsi="宋体" w:cs="宋体"/>
          <w:sz w:val="24"/>
        </w:rPr>
      </w:pPr>
      <w:r>
        <w:rPr>
          <w:rFonts w:hint="eastAsia" w:ascii="宋体" w:hAnsi="宋体" w:cs="宋体"/>
          <w:sz w:val="24"/>
        </w:rPr>
        <w:t xml:space="preserve">   管辖区内出现意外客户在园区伤亡时，管家专业经理要立即查明原因，根据现场伤亡类型（触电、高层坠落、溺水等）执行急救措施，并拨打120救护电话，及时进行信息报送。</w:t>
      </w:r>
    </w:p>
    <w:p>
      <w:pPr>
        <w:spacing w:line="360" w:lineRule="auto"/>
        <w:contextualSpacing/>
        <w:rPr>
          <w:rFonts w:ascii="宋体" w:hAnsi="宋体" w:cs="宋体"/>
          <w:bCs/>
          <w:kern w:val="0"/>
          <w:sz w:val="24"/>
        </w:rPr>
      </w:pPr>
      <w:r>
        <w:rPr>
          <w:rFonts w:hint="eastAsia" w:ascii="宋体" w:hAnsi="宋体" w:cs="宋体"/>
          <w:bCs/>
          <w:kern w:val="0"/>
          <w:sz w:val="24"/>
        </w:rPr>
        <w:t>(2) 现场保护</w:t>
      </w:r>
    </w:p>
    <w:p>
      <w:pPr>
        <w:spacing w:line="360" w:lineRule="auto"/>
        <w:contextualSpacing/>
        <w:rPr>
          <w:rFonts w:ascii="宋体" w:hAnsi="宋体" w:cs="宋体"/>
          <w:bCs/>
          <w:kern w:val="0"/>
          <w:sz w:val="24"/>
        </w:rPr>
      </w:pPr>
      <w:r>
        <w:rPr>
          <w:rFonts w:hint="eastAsia" w:ascii="宋体" w:hAnsi="宋体" w:cs="宋体"/>
          <w:bCs/>
          <w:kern w:val="0"/>
          <w:sz w:val="24"/>
        </w:rPr>
        <w:t xml:space="preserve">   秩序岗需要维持现场秩序，设立明显警告标志，保护现场，疏散围观群众，拍照留存记录。</w:t>
      </w:r>
    </w:p>
    <w:p>
      <w:pPr>
        <w:spacing w:line="360" w:lineRule="auto"/>
        <w:contextualSpacing/>
        <w:rPr>
          <w:rFonts w:ascii="宋体" w:hAnsi="宋体" w:cs="宋体"/>
          <w:bCs/>
          <w:kern w:val="0"/>
          <w:sz w:val="24"/>
        </w:rPr>
      </w:pPr>
      <w:r>
        <w:rPr>
          <w:rFonts w:hint="eastAsia" w:ascii="宋体" w:hAnsi="宋体" w:cs="宋体"/>
          <w:bCs/>
          <w:kern w:val="0"/>
          <w:sz w:val="24"/>
        </w:rPr>
        <w:t xml:space="preserve">(3) </w:t>
      </w:r>
      <w:r>
        <w:rPr>
          <w:rFonts w:hint="eastAsia" w:ascii="宋体" w:hAnsi="宋体" w:cs="宋体"/>
          <w:sz w:val="24"/>
        </w:rPr>
        <w:t>组长/副组长研究部署、指导协调人身伤亡事故的应急处理工作，并制定现场应急措施。</w:t>
      </w:r>
    </w:p>
    <w:p>
      <w:pPr>
        <w:spacing w:line="360" w:lineRule="auto"/>
        <w:contextualSpacing/>
        <w:rPr>
          <w:rFonts w:ascii="宋体" w:hAnsi="宋体" w:cs="宋体"/>
          <w:sz w:val="24"/>
        </w:rPr>
      </w:pPr>
      <w:r>
        <w:rPr>
          <w:rFonts w:hint="eastAsia" w:ascii="宋体" w:hAnsi="宋体" w:cs="宋体"/>
          <w:bCs/>
          <w:kern w:val="0"/>
          <w:sz w:val="24"/>
        </w:rPr>
        <w:t xml:space="preserve">(4) </w:t>
      </w:r>
      <w:r>
        <w:rPr>
          <w:rFonts w:hint="eastAsia" w:ascii="宋体" w:hAnsi="宋体" w:cs="宋体"/>
          <w:sz w:val="24"/>
        </w:rPr>
        <w:t>报送信息</w:t>
      </w:r>
    </w:p>
    <w:p>
      <w:pPr>
        <w:spacing w:line="360" w:lineRule="auto"/>
        <w:ind w:firstLine="480" w:firstLineChars="200"/>
        <w:contextualSpacing/>
        <w:rPr>
          <w:rFonts w:ascii="宋体" w:hAnsi="宋体" w:cs="宋体"/>
          <w:bCs/>
          <w:kern w:val="0"/>
          <w:sz w:val="24"/>
        </w:rPr>
      </w:pPr>
      <w:r>
        <w:rPr>
          <w:rFonts w:hint="eastAsia" w:ascii="宋体" w:hAnsi="宋体" w:cs="宋体"/>
          <w:sz w:val="24"/>
        </w:rPr>
        <w:t>事故发生后，</w:t>
      </w:r>
      <w:r>
        <w:rPr>
          <w:rFonts w:hint="eastAsia" w:ascii="宋体" w:hAnsi="宋体" w:cs="宋体"/>
          <w:bCs/>
          <w:kern w:val="0"/>
          <w:sz w:val="24"/>
        </w:rPr>
        <w:t>事故现场人员要立即向现场值班经理及指挥中心报告，值班经理接到报告后，应当于15分钟内赶到现场，并于</w:t>
      </w:r>
      <w:r>
        <w:rPr>
          <w:rFonts w:hint="eastAsia" w:ascii="宋体" w:hAnsi="宋体" w:cs="宋体"/>
          <w:sz w:val="24"/>
        </w:rPr>
        <w:t>1</w:t>
      </w:r>
      <w:r>
        <w:rPr>
          <w:rFonts w:hint="eastAsia" w:ascii="宋体" w:hAnsi="宋体" w:cs="宋体"/>
          <w:bCs/>
          <w:kern w:val="0"/>
          <w:sz w:val="24"/>
        </w:rPr>
        <w:t>小时内报送突发事件，并报送驻场经理及对接合伙人。报送内容包括：事故发生单位概况，发生的时间、地点及事故现场情况，简要经过，已经采取的措施等。</w:t>
      </w:r>
    </w:p>
    <w:p>
      <w:pPr>
        <w:spacing w:line="360" w:lineRule="auto"/>
        <w:contextualSpacing/>
        <w:rPr>
          <w:rFonts w:ascii="宋体" w:hAnsi="宋体" w:cs="宋体"/>
          <w:b/>
          <w:sz w:val="24"/>
        </w:rPr>
      </w:pPr>
      <w:r>
        <w:rPr>
          <w:rFonts w:hint="eastAsia" w:ascii="宋体" w:hAnsi="宋体" w:cs="宋体"/>
          <w:b/>
          <w:sz w:val="24"/>
        </w:rPr>
        <w:t>6．预防与预警</w:t>
      </w:r>
      <w:bookmarkEnd w:id="21"/>
      <w:bookmarkEnd w:id="22"/>
      <w:bookmarkEnd w:id="23"/>
      <w:bookmarkStart w:id="24" w:name="_Toc350495430"/>
      <w:bookmarkStart w:id="25" w:name="_Toc278440302"/>
      <w:bookmarkStart w:id="26" w:name="_Toc298918435"/>
    </w:p>
    <w:p>
      <w:pPr>
        <w:spacing w:line="360" w:lineRule="auto"/>
        <w:contextualSpacing/>
        <w:rPr>
          <w:rFonts w:ascii="宋体" w:hAnsi="宋体" w:cs="宋体"/>
          <w:b/>
          <w:sz w:val="24"/>
        </w:rPr>
      </w:pPr>
      <w:r>
        <w:rPr>
          <w:rFonts w:hint="eastAsia" w:ascii="宋体" w:hAnsi="宋体" w:cs="宋体"/>
          <w:b/>
          <w:sz w:val="24"/>
        </w:rPr>
        <w:t>6.1危险源监控与预防</w:t>
      </w:r>
      <w:bookmarkEnd w:id="24"/>
      <w:bookmarkEnd w:id="25"/>
      <w:bookmarkEnd w:id="26"/>
    </w:p>
    <w:p>
      <w:pPr>
        <w:tabs>
          <w:tab w:val="left" w:pos="900"/>
        </w:tabs>
        <w:spacing w:line="360" w:lineRule="auto"/>
        <w:contextualSpacing/>
        <w:outlineLvl w:val="2"/>
        <w:rPr>
          <w:rFonts w:ascii="宋体" w:hAnsi="宋体" w:cs="宋体"/>
          <w:sz w:val="24"/>
        </w:rPr>
      </w:pPr>
      <w:r>
        <w:rPr>
          <w:rFonts w:hint="eastAsia" w:ascii="宋体" w:hAnsi="宋体" w:cs="宋体"/>
          <w:sz w:val="24"/>
        </w:rPr>
        <w:t>（1）完善各级人员安全责任制，确保全体员工明确自己工作中所负的安全责任。</w:t>
      </w:r>
    </w:p>
    <w:p>
      <w:pPr>
        <w:tabs>
          <w:tab w:val="left" w:pos="900"/>
        </w:tabs>
        <w:spacing w:line="360" w:lineRule="auto"/>
        <w:contextualSpacing/>
        <w:outlineLvl w:val="2"/>
        <w:rPr>
          <w:rFonts w:ascii="宋体" w:hAnsi="宋体" w:cs="宋体"/>
          <w:sz w:val="24"/>
        </w:rPr>
      </w:pPr>
      <w:r>
        <w:rPr>
          <w:rFonts w:hint="eastAsia" w:ascii="宋体" w:hAnsi="宋体" w:cs="宋体"/>
          <w:sz w:val="24"/>
        </w:rPr>
        <w:t>（2）开展安全教育和安全技能培训，提高各级员工安全素质。以预防人身伤亡事故为重点，制定切实可行的安全教育培训计划。不断提高员工的安全意识以及自觉遵守规章制度的责任意识和法制意识。树立以人为本的观念，做到“三不伤害”(不伤害自己、不伤害别人、不被别人伤害)，切实提高员工自我保护能力和规避事故风险的能力。</w:t>
      </w:r>
    </w:p>
    <w:p>
      <w:pPr>
        <w:tabs>
          <w:tab w:val="left" w:pos="900"/>
        </w:tabs>
        <w:spacing w:line="360" w:lineRule="auto"/>
        <w:contextualSpacing/>
        <w:outlineLvl w:val="2"/>
        <w:rPr>
          <w:rFonts w:ascii="宋体" w:hAnsi="宋体" w:cs="宋体"/>
          <w:sz w:val="24"/>
        </w:rPr>
      </w:pPr>
      <w:r>
        <w:rPr>
          <w:rFonts w:hint="eastAsia" w:ascii="宋体" w:hAnsi="宋体" w:cs="宋体"/>
          <w:sz w:val="24"/>
        </w:rPr>
        <w:t>（3）认真开展危险源分析预控工作。建立健全危险源分析与预控措施，实行危险作业预控制度，有效预防事故的发生。</w:t>
      </w:r>
    </w:p>
    <w:p>
      <w:pPr>
        <w:tabs>
          <w:tab w:val="left" w:pos="900"/>
        </w:tabs>
        <w:spacing w:line="360" w:lineRule="auto"/>
        <w:contextualSpacing/>
        <w:outlineLvl w:val="2"/>
        <w:rPr>
          <w:rFonts w:ascii="宋体" w:hAnsi="宋体" w:cs="宋体"/>
          <w:sz w:val="24"/>
        </w:rPr>
      </w:pPr>
      <w:r>
        <w:rPr>
          <w:rFonts w:hint="eastAsia" w:ascii="宋体" w:hAnsi="宋体" w:cs="宋体"/>
          <w:sz w:val="24"/>
        </w:rPr>
        <w:t>（4）加强现场安全监督和安全管理，做到安全措施落实、安全监督到位。积极开展安全互保活动，做到工作中互相提醒、互相保护。</w:t>
      </w:r>
    </w:p>
    <w:p>
      <w:pPr>
        <w:tabs>
          <w:tab w:val="left" w:pos="900"/>
        </w:tabs>
        <w:spacing w:line="360" w:lineRule="auto"/>
        <w:contextualSpacing/>
        <w:outlineLvl w:val="2"/>
        <w:rPr>
          <w:rFonts w:ascii="宋体" w:hAnsi="宋体" w:cs="宋体"/>
          <w:sz w:val="24"/>
        </w:rPr>
      </w:pPr>
      <w:r>
        <w:rPr>
          <w:rFonts w:hint="eastAsia" w:ascii="宋体" w:hAnsi="宋体" w:cs="宋体"/>
          <w:sz w:val="24"/>
        </w:rPr>
        <w:t>（5）狠抓习惯性违章的纠正、治理，切实做到无管理性违章，消除装置性违章，杜绝因人员违章造成的人身伤亡事故。</w:t>
      </w:r>
    </w:p>
    <w:p>
      <w:pPr>
        <w:tabs>
          <w:tab w:val="left" w:pos="900"/>
        </w:tabs>
        <w:spacing w:line="360" w:lineRule="auto"/>
        <w:contextualSpacing/>
        <w:outlineLvl w:val="2"/>
        <w:rPr>
          <w:rFonts w:ascii="宋体" w:hAnsi="宋体" w:cs="宋体"/>
          <w:sz w:val="24"/>
        </w:rPr>
      </w:pPr>
      <w:r>
        <w:rPr>
          <w:rFonts w:hint="eastAsia" w:ascii="宋体" w:hAnsi="宋体" w:cs="宋体"/>
          <w:sz w:val="24"/>
        </w:rPr>
        <w:t>（6）完善施工现场安全设施。定期检查楼梯、平台、栏杆、井、坑、孔洞是否完整；安全用器具、各类起重机械、机动车辆是否符合安全要求；施工现场是否照明充足完善；机械设备是否存在漏汽、漏水、漏电等不安全隐患，不断消除隐患，改善劳动作业环境。</w:t>
      </w:r>
      <w:bookmarkStart w:id="27" w:name="_Toc350495431"/>
      <w:bookmarkStart w:id="28" w:name="_Toc298918436"/>
      <w:bookmarkStart w:id="29" w:name="_Toc278440303"/>
    </w:p>
    <w:p>
      <w:pPr>
        <w:spacing w:line="360" w:lineRule="auto"/>
        <w:contextualSpacing/>
        <w:rPr>
          <w:rFonts w:ascii="宋体" w:hAnsi="宋体" w:cs="宋体"/>
          <w:b/>
          <w:sz w:val="24"/>
        </w:rPr>
      </w:pPr>
      <w:r>
        <w:rPr>
          <w:rFonts w:hint="eastAsia" w:ascii="宋体" w:hAnsi="宋体" w:cs="宋体"/>
          <w:b/>
          <w:sz w:val="24"/>
        </w:rPr>
        <w:t>6.2预警发布与预警行动</w:t>
      </w:r>
      <w:bookmarkEnd w:id="27"/>
    </w:p>
    <w:p>
      <w:pPr>
        <w:spacing w:line="360" w:lineRule="auto"/>
        <w:contextualSpacing/>
        <w:rPr>
          <w:rFonts w:ascii="宋体" w:hAnsi="宋体" w:cs="宋体"/>
          <w:b/>
          <w:sz w:val="24"/>
        </w:rPr>
      </w:pPr>
      <w:r>
        <w:rPr>
          <w:rFonts w:hint="eastAsia" w:ascii="宋体" w:hAnsi="宋体" w:cs="宋体"/>
          <w:b/>
          <w:sz w:val="24"/>
        </w:rPr>
        <w:t>6.2.1预警发布</w:t>
      </w:r>
    </w:p>
    <w:p>
      <w:pPr>
        <w:spacing w:line="360" w:lineRule="auto"/>
        <w:ind w:firstLine="480" w:firstLineChars="200"/>
        <w:contextualSpacing/>
        <w:rPr>
          <w:rFonts w:ascii="宋体" w:hAnsi="宋体" w:cs="宋体"/>
          <w:sz w:val="24"/>
        </w:rPr>
      </w:pPr>
      <w:r>
        <w:rPr>
          <w:rFonts w:hint="eastAsia" w:ascii="宋体" w:hAnsi="宋体" w:cs="宋体"/>
          <w:sz w:val="24"/>
        </w:rPr>
        <w:t>应急小组根据风险监测的结果，对可能发生的人身伤亡事故进行预警。预警级别根据可能造成的危害程度、紧急程度和发展态势，一般划分为两级：重大事故（Ⅰ级）、一般事故（Ⅱ级）。根据突发事件的发展态势，预警可以升级、降级或解除。</w:t>
      </w:r>
    </w:p>
    <w:p>
      <w:pPr>
        <w:spacing w:line="360" w:lineRule="auto"/>
        <w:contextualSpacing/>
        <w:rPr>
          <w:rFonts w:ascii="宋体" w:hAnsi="宋体" w:cs="宋体"/>
          <w:b/>
          <w:sz w:val="24"/>
        </w:rPr>
      </w:pPr>
      <w:r>
        <w:rPr>
          <w:rFonts w:hint="eastAsia" w:ascii="宋体" w:hAnsi="宋体" w:cs="宋体"/>
          <w:b/>
          <w:sz w:val="24"/>
        </w:rPr>
        <w:t>6.2.2预警行动</w:t>
      </w:r>
    </w:p>
    <w:p>
      <w:pPr>
        <w:tabs>
          <w:tab w:val="left" w:pos="900"/>
        </w:tabs>
        <w:spacing w:line="360" w:lineRule="auto"/>
        <w:ind w:firstLine="480" w:firstLineChars="200"/>
        <w:contextualSpacing/>
        <w:rPr>
          <w:rFonts w:ascii="宋体" w:hAnsi="宋体" w:cs="宋体"/>
          <w:sz w:val="24"/>
        </w:rPr>
      </w:pPr>
      <w:r>
        <w:rPr>
          <w:rFonts w:hint="eastAsia" w:ascii="宋体" w:hAnsi="宋体" w:cs="宋体"/>
          <w:sz w:val="24"/>
        </w:rPr>
        <w:t>应急领导小组办公室判断事故可能发展为Ⅰ级人身伤亡事故的，通过电话、应急救援管理系统、视频系统发布预警信息，人身伤亡事故应急领导小组做好应急准备，并布置下级做好应急准备工作。</w:t>
      </w:r>
      <w:bookmarkEnd w:id="28"/>
      <w:bookmarkEnd w:id="29"/>
    </w:p>
    <w:p>
      <w:pPr>
        <w:spacing w:line="360" w:lineRule="auto"/>
        <w:ind w:firstLine="480" w:firstLineChars="200"/>
        <w:contextualSpacing/>
        <w:rPr>
          <w:rFonts w:ascii="宋体" w:hAnsi="宋体" w:cs="宋体"/>
          <w:sz w:val="24"/>
        </w:rPr>
      </w:pPr>
      <w:r>
        <w:rPr>
          <w:rFonts w:hint="eastAsia" w:ascii="宋体" w:hAnsi="宋体" w:cs="宋体"/>
          <w:sz w:val="24"/>
        </w:rPr>
        <w:t>根据政府有关部门的预警指令，结合不同业务及其阶段性、季节性特点，结合环境、气象灾害预报信息，按照早预想、早通报、早布置的原则，开展好各类人身伤害相关风险的分析、评估，并及时启动预警。</w:t>
      </w:r>
      <w:bookmarkStart w:id="30" w:name="_Toc316995324"/>
      <w:bookmarkStart w:id="31" w:name="_Toc350495432"/>
      <w:bookmarkStart w:id="32" w:name="_Toc298918858"/>
      <w:bookmarkStart w:id="33" w:name="_Toc303774566"/>
      <w:bookmarkStart w:id="34" w:name="_Toc298918437"/>
      <w:bookmarkStart w:id="35" w:name="_Toc278440304"/>
    </w:p>
    <w:p>
      <w:pPr>
        <w:tabs>
          <w:tab w:val="left" w:pos="900"/>
        </w:tabs>
        <w:spacing w:line="360" w:lineRule="auto"/>
        <w:contextualSpacing/>
        <w:outlineLvl w:val="2"/>
        <w:rPr>
          <w:rFonts w:ascii="宋体" w:hAnsi="宋体" w:cs="宋体"/>
          <w:b/>
          <w:bCs/>
          <w:sz w:val="24"/>
        </w:rPr>
      </w:pPr>
      <w:r>
        <w:rPr>
          <w:rFonts w:hint="eastAsia" w:ascii="宋体" w:hAnsi="宋体" w:cs="宋体"/>
          <w:b/>
          <w:bCs/>
          <w:sz w:val="24"/>
        </w:rPr>
        <w:t>6.3预警结束</w:t>
      </w:r>
      <w:bookmarkEnd w:id="30"/>
      <w:bookmarkEnd w:id="31"/>
      <w:bookmarkEnd w:id="32"/>
      <w:bookmarkEnd w:id="33"/>
    </w:p>
    <w:p>
      <w:pPr>
        <w:spacing w:line="360" w:lineRule="auto"/>
        <w:ind w:firstLine="480" w:firstLineChars="200"/>
        <w:contextualSpacing/>
        <w:rPr>
          <w:rFonts w:ascii="宋体" w:hAnsi="宋体" w:cs="宋体"/>
          <w:sz w:val="24"/>
        </w:rPr>
      </w:pPr>
      <w:r>
        <w:rPr>
          <w:rFonts w:hint="eastAsia" w:ascii="宋体" w:hAnsi="宋体" w:cs="宋体"/>
          <w:sz w:val="24"/>
        </w:rPr>
        <w:t>当人身伤亡事故危险已经消除，经评估确认不再构成威胁，人身伤亡事故应急领导小组下达预警解除指令。</w:t>
      </w:r>
      <w:bookmarkStart w:id="36" w:name="_Toc350495433"/>
    </w:p>
    <w:bookmarkEnd w:id="34"/>
    <w:bookmarkEnd w:id="35"/>
    <w:bookmarkEnd w:id="36"/>
    <w:p>
      <w:pPr>
        <w:spacing w:line="360" w:lineRule="auto"/>
        <w:contextualSpacing/>
        <w:rPr>
          <w:rFonts w:ascii="宋体" w:hAnsi="宋体" w:cs="宋体"/>
          <w:b/>
          <w:sz w:val="24"/>
        </w:rPr>
      </w:pPr>
      <w:bookmarkStart w:id="37" w:name="_Toc298918451"/>
      <w:bookmarkStart w:id="38" w:name="_Toc278440317"/>
      <w:bookmarkStart w:id="39" w:name="_Toc350495445"/>
      <w:r>
        <w:rPr>
          <w:rFonts w:hint="eastAsia" w:ascii="宋体" w:hAnsi="宋体" w:cs="宋体"/>
          <w:b/>
          <w:sz w:val="24"/>
        </w:rPr>
        <w:t>7.培训与演练</w:t>
      </w:r>
      <w:bookmarkEnd w:id="37"/>
      <w:bookmarkEnd w:id="38"/>
      <w:bookmarkEnd w:id="39"/>
      <w:bookmarkStart w:id="40" w:name="_Toc298918452"/>
      <w:bookmarkStart w:id="41" w:name="_Toc278440318"/>
      <w:bookmarkStart w:id="42" w:name="_Toc350495446"/>
    </w:p>
    <w:p>
      <w:pPr>
        <w:spacing w:line="360" w:lineRule="auto"/>
        <w:contextualSpacing/>
        <w:rPr>
          <w:rFonts w:ascii="宋体" w:hAnsi="宋体" w:cs="宋体"/>
          <w:bCs/>
          <w:kern w:val="0"/>
          <w:sz w:val="24"/>
        </w:rPr>
      </w:pPr>
      <w:r>
        <w:rPr>
          <w:rFonts w:hint="eastAsia" w:ascii="宋体" w:hAnsi="宋体" w:cs="宋体"/>
          <w:b/>
          <w:bCs/>
          <w:sz w:val="24"/>
        </w:rPr>
        <w:t>7.1培训</w:t>
      </w:r>
      <w:bookmarkEnd w:id="40"/>
      <w:bookmarkEnd w:id="41"/>
      <w:bookmarkEnd w:id="42"/>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服务中心定期组织人身伤亡事故应急预案的宣贯、培训、教育工作。包括应急人员专业知识教育、员工应急基本知识教育。每年至少进行一次心肺复苏等急救知识的教育培训或应急演练。</w:t>
      </w:r>
      <w:bookmarkStart w:id="43" w:name="_Toc278440319"/>
      <w:bookmarkStart w:id="44" w:name="_Toc298918453"/>
      <w:bookmarkStart w:id="45" w:name="_Toc350495447"/>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7</w:t>
      </w:r>
      <w:r>
        <w:rPr>
          <w:rFonts w:hint="eastAsia" w:ascii="宋体" w:hAnsi="宋体" w:cs="宋体"/>
          <w:b/>
          <w:bCs/>
          <w:sz w:val="24"/>
        </w:rPr>
        <w:t>.2 演练</w:t>
      </w:r>
      <w:bookmarkEnd w:id="43"/>
      <w:bookmarkEnd w:id="44"/>
      <w:bookmarkEnd w:id="45"/>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本预案每年至少一次演练，</w:t>
      </w:r>
      <w:r>
        <w:rPr>
          <w:rFonts w:hint="eastAsia" w:ascii="宋体" w:hAnsi="宋体" w:cs="宋体"/>
          <w:sz w:val="24"/>
        </w:rPr>
        <w:t>演习频次可结合实际情况进行调整</w:t>
      </w:r>
      <w:r>
        <w:rPr>
          <w:rFonts w:hint="eastAsia" w:ascii="宋体" w:hAnsi="宋体" w:cs="宋体"/>
          <w:kern w:val="0"/>
          <w:sz w:val="24"/>
        </w:rPr>
        <w:t>。演练结束后，需要对演练的结果进行总结和评估，并对本预案在演练中暴露出的问题和不足及时解决、完善。</w:t>
      </w:r>
    </w:p>
    <w:p>
      <w:pPr>
        <w:autoSpaceDE w:val="0"/>
        <w:autoSpaceDN w:val="0"/>
        <w:spacing w:line="360" w:lineRule="auto"/>
        <w:contextualSpacing/>
        <w:rPr>
          <w:rFonts w:ascii="宋体" w:hAnsi="宋体" w:cs="宋体"/>
          <w:kern w:val="0"/>
          <w:sz w:val="24"/>
        </w:rPr>
      </w:pPr>
    </w:p>
    <w:p>
      <w:pPr>
        <w:spacing w:line="360" w:lineRule="auto"/>
        <w:rPr>
          <w:rFonts w:ascii="宋体" w:hAnsi="宋体" w:cs="宋体"/>
          <w:sz w:val="24"/>
        </w:rPr>
      </w:pPr>
    </w:p>
    <w:p>
      <w:pPr>
        <w:rPr>
          <w:rFonts w:hint="default"/>
          <w:lang w:val="en-US" w:eastAsia="zh-CN"/>
        </w:rPr>
      </w:pPr>
    </w:p>
    <w:sectPr>
      <w:headerReference r:id="rId3" w:type="default"/>
      <w:footerReference r:id="rId4" w:type="default"/>
      <w:pgSz w:w="11906" w:h="16838"/>
      <w:pgMar w:top="1134" w:right="1417" w:bottom="1134" w:left="1417"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宋体"/>
              <w:szCs w:val="21"/>
              <w:lang w:val="en-US" w:eastAsia="zh-CN"/>
            </w:rPr>
          </w:pPr>
          <w:r>
            <w:rPr>
              <w:rFonts w:ascii="宋体" w:hAnsi="宋体"/>
            </w:rPr>
            <w:t>NCHF-</w:t>
          </w:r>
          <w:r>
            <w:rPr>
              <w:rFonts w:hint="eastAsia" w:ascii="宋体" w:hAnsi="宋体"/>
              <w:lang w:val="en-US" w:eastAsia="zh-CN"/>
            </w:rPr>
            <w:t>AQSCYJYL-2023</w:t>
          </w:r>
          <w:r>
            <w:rPr>
              <w:rFonts w:ascii="宋体" w:hAnsi="宋体"/>
            </w:rPr>
            <w:t>-0</w:t>
          </w:r>
          <w:r>
            <w:rPr>
              <w:rFonts w:hint="eastAsia" w:ascii="宋体" w:hAnsi="宋体"/>
              <w:lang w:val="en-US" w:eastAsia="zh-CN"/>
            </w:rPr>
            <w:t>16</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宋体" w:hAnsi="宋体" w:eastAsia="宋体" w:cs="宋体"/>
              <w:szCs w:val="21"/>
            </w:rPr>
            <w:t>客户在园区伤亡的应急预案</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3</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0"/>
      <w:pBdr>
        <w:bottom w:val="none" w:color="auto" w:sz="0" w:space="1"/>
      </w:pBdr>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1"/>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31D1E97"/>
    <w:rsid w:val="04A43DC5"/>
    <w:rsid w:val="04BC5D9C"/>
    <w:rsid w:val="061446DB"/>
    <w:rsid w:val="065E65CE"/>
    <w:rsid w:val="08AF3EF7"/>
    <w:rsid w:val="09AE56A8"/>
    <w:rsid w:val="09E541DD"/>
    <w:rsid w:val="0B743BC9"/>
    <w:rsid w:val="0B98046A"/>
    <w:rsid w:val="0DCD3F98"/>
    <w:rsid w:val="11A706B9"/>
    <w:rsid w:val="11D334FB"/>
    <w:rsid w:val="11F600D7"/>
    <w:rsid w:val="13145075"/>
    <w:rsid w:val="1536491D"/>
    <w:rsid w:val="171B74DE"/>
    <w:rsid w:val="17E8173E"/>
    <w:rsid w:val="19475930"/>
    <w:rsid w:val="1B715B45"/>
    <w:rsid w:val="1B8448F8"/>
    <w:rsid w:val="1C540E62"/>
    <w:rsid w:val="1EA60393"/>
    <w:rsid w:val="202C0FB4"/>
    <w:rsid w:val="20AE01CB"/>
    <w:rsid w:val="213C4FC9"/>
    <w:rsid w:val="22A7542C"/>
    <w:rsid w:val="23BD5D9E"/>
    <w:rsid w:val="260E2B09"/>
    <w:rsid w:val="26473ED0"/>
    <w:rsid w:val="280C4E96"/>
    <w:rsid w:val="28886E71"/>
    <w:rsid w:val="2DAD42EB"/>
    <w:rsid w:val="2DD41286"/>
    <w:rsid w:val="2EE971D6"/>
    <w:rsid w:val="2FAC16F6"/>
    <w:rsid w:val="30152930"/>
    <w:rsid w:val="31F87619"/>
    <w:rsid w:val="32B94714"/>
    <w:rsid w:val="33021B8B"/>
    <w:rsid w:val="34A640F4"/>
    <w:rsid w:val="35377ED2"/>
    <w:rsid w:val="35F54301"/>
    <w:rsid w:val="374F76FB"/>
    <w:rsid w:val="3F6D0A65"/>
    <w:rsid w:val="3FBA776C"/>
    <w:rsid w:val="40062010"/>
    <w:rsid w:val="414A7C46"/>
    <w:rsid w:val="42522137"/>
    <w:rsid w:val="42892A33"/>
    <w:rsid w:val="429955FF"/>
    <w:rsid w:val="432F3B2D"/>
    <w:rsid w:val="434B6BE7"/>
    <w:rsid w:val="43CC3AB9"/>
    <w:rsid w:val="44160433"/>
    <w:rsid w:val="441C70CE"/>
    <w:rsid w:val="44BB575E"/>
    <w:rsid w:val="47533CBC"/>
    <w:rsid w:val="48087BAB"/>
    <w:rsid w:val="499800C1"/>
    <w:rsid w:val="4B257199"/>
    <w:rsid w:val="4C87182C"/>
    <w:rsid w:val="4D633F8B"/>
    <w:rsid w:val="4DCA4FE6"/>
    <w:rsid w:val="4E6D3515"/>
    <w:rsid w:val="4EDB3540"/>
    <w:rsid w:val="4F2828FA"/>
    <w:rsid w:val="51000C05"/>
    <w:rsid w:val="52AA4B12"/>
    <w:rsid w:val="539D78BB"/>
    <w:rsid w:val="56355A77"/>
    <w:rsid w:val="56676740"/>
    <w:rsid w:val="58064A40"/>
    <w:rsid w:val="59A958FF"/>
    <w:rsid w:val="5A3E57E0"/>
    <w:rsid w:val="5C273FB3"/>
    <w:rsid w:val="5D727568"/>
    <w:rsid w:val="5D757805"/>
    <w:rsid w:val="5DF874F0"/>
    <w:rsid w:val="5ED36EC0"/>
    <w:rsid w:val="5F650707"/>
    <w:rsid w:val="5FCA5376"/>
    <w:rsid w:val="60FD01C3"/>
    <w:rsid w:val="60FD0BD8"/>
    <w:rsid w:val="6157146B"/>
    <w:rsid w:val="61C60AE0"/>
    <w:rsid w:val="621B64D7"/>
    <w:rsid w:val="62E9411A"/>
    <w:rsid w:val="65785BC5"/>
    <w:rsid w:val="668579AF"/>
    <w:rsid w:val="6A8B7992"/>
    <w:rsid w:val="6BE7740C"/>
    <w:rsid w:val="6C0F0CED"/>
    <w:rsid w:val="6C2E204E"/>
    <w:rsid w:val="6C67333E"/>
    <w:rsid w:val="6CE71124"/>
    <w:rsid w:val="6CF438D5"/>
    <w:rsid w:val="6D25144D"/>
    <w:rsid w:val="6D2B467C"/>
    <w:rsid w:val="6E5864B7"/>
    <w:rsid w:val="6F867812"/>
    <w:rsid w:val="70500483"/>
    <w:rsid w:val="70620E64"/>
    <w:rsid w:val="706F589F"/>
    <w:rsid w:val="710B44B6"/>
    <w:rsid w:val="721D0945"/>
    <w:rsid w:val="73341384"/>
    <w:rsid w:val="73BD355B"/>
    <w:rsid w:val="762E2B91"/>
    <w:rsid w:val="76922A9F"/>
    <w:rsid w:val="78363B67"/>
    <w:rsid w:val="78A91184"/>
    <w:rsid w:val="79616112"/>
    <w:rsid w:val="7A3420E8"/>
    <w:rsid w:val="7B2F3497"/>
    <w:rsid w:val="7C852B1A"/>
    <w:rsid w:val="7D626FDE"/>
    <w:rsid w:val="7F632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6">
    <w:name w:val="Body Text Indent"/>
    <w:basedOn w:val="1"/>
    <w:qFormat/>
    <w:uiPriority w:val="0"/>
    <w:pPr>
      <w:spacing w:line="360" w:lineRule="auto"/>
      <w:ind w:firstLine="482" w:firstLineChars="200"/>
    </w:pPr>
    <w:rPr>
      <w:rFonts w:ascii="宋体" w:hAnsi="宋体"/>
      <w:b/>
      <w:sz w:val="24"/>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widowControl/>
      <w:spacing w:after="120" w:line="480" w:lineRule="auto"/>
      <w:ind w:left="420" w:leftChars="200"/>
      <w:jc w:val="left"/>
    </w:pPr>
    <w:rPr>
      <w:kern w:val="0"/>
      <w:sz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paragraph" w:styleId="13">
    <w:name w:val="Normal (Web)"/>
    <w:basedOn w:val="1"/>
    <w:qFormat/>
    <w:uiPriority w:val="0"/>
    <w:pPr>
      <w:widowControl/>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8">
    <w:name w:val="List Paragraph"/>
    <w:basedOn w:val="1"/>
    <w:qFormat/>
    <w:uiPriority w:val="1"/>
    <w:pPr>
      <w:ind w:firstLine="420" w:firstLineChars="200"/>
    </w:pPr>
  </w:style>
  <w:style w:type="paragraph" w:customStyle="1" w:styleId="19">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标题 4_NM"/>
    <w:basedOn w:val="5"/>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2">
    <w:name w:val="标题 2_NM"/>
    <w:basedOn w:val="4"/>
    <w:qFormat/>
    <w:uiPriority w:val="0"/>
    <w:pPr>
      <w:outlineLvl w:val="9"/>
    </w:pPr>
    <w:rPr>
      <w:b w:val="0"/>
      <w:lang w:val="zh-CN"/>
    </w:rPr>
  </w:style>
  <w:style w:type="character" w:customStyle="1" w:styleId="23">
    <w:name w:val="Book Title"/>
    <w:basedOn w:val="16"/>
    <w:qFormat/>
    <w:uiPriority w:val="33"/>
    <w:rPr>
      <w:b/>
      <w:bCs/>
      <w:i/>
      <w:iCs/>
      <w:spacing w:val="5"/>
    </w:r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2171</Words>
  <Characters>2243</Characters>
  <Lines>0</Lines>
  <Paragraphs>0</Paragraphs>
  <TotalTime>0</TotalTime>
  <ScaleCrop>false</ScaleCrop>
  <LinksUpToDate>false</LinksUpToDate>
  <CharactersWithSpaces>2258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2023-08-17T07:43:13Z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