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contextualSpacing/>
        <w:rPr>
          <w:rFonts w:ascii="宋体" w:hAnsi="宋体" w:cs="宋体"/>
          <w:b/>
          <w:sz w:val="24"/>
        </w:rPr>
      </w:pPr>
      <w:r>
        <w:rPr>
          <w:rFonts w:hint="eastAsia" w:ascii="宋体" w:hAnsi="宋体" w:cs="宋体"/>
          <w:b/>
          <w:sz w:val="24"/>
        </w:rPr>
        <w:t>1．目的</w:t>
      </w:r>
    </w:p>
    <w:p>
      <w:pPr>
        <w:spacing w:line="360" w:lineRule="auto"/>
        <w:ind w:firstLine="480" w:firstLineChars="200"/>
        <w:contextualSpacing/>
        <w:rPr>
          <w:rFonts w:ascii="宋体" w:hAnsi="宋体" w:cs="宋体"/>
          <w:sz w:val="24"/>
        </w:rPr>
      </w:pPr>
      <w:r>
        <w:rPr>
          <w:rFonts w:hint="eastAsia" w:ascii="宋体" w:hAnsi="宋体" w:cs="宋体"/>
          <w:sz w:val="24"/>
        </w:rPr>
        <w:t>为了规范投诉处理工作，快速有效的处理客户诉求、避免事态扩大影响范围，引导舆论导向，化解客户诉求，提高全员应急能力，维护客户满意度和公司品牌形象。</w:t>
      </w:r>
    </w:p>
    <w:p>
      <w:pPr>
        <w:pStyle w:val="18"/>
        <w:numPr>
          <w:ilvl w:val="0"/>
          <w:numId w:val="2"/>
        </w:numPr>
        <w:spacing w:line="360" w:lineRule="auto"/>
        <w:ind w:firstLineChars="0"/>
        <w:contextualSpacing/>
        <w:rPr>
          <w:rFonts w:ascii="宋体" w:hAnsi="宋体" w:cs="宋体"/>
          <w:sz w:val="24"/>
        </w:rPr>
      </w:pPr>
      <w:r>
        <w:rPr>
          <w:rFonts w:hint="eastAsia" w:ascii="宋体" w:hAnsi="宋体" w:cs="宋体"/>
          <w:b/>
          <w:sz w:val="24"/>
        </w:rPr>
        <w:t>适用范围</w:t>
      </w:r>
    </w:p>
    <w:p>
      <w:pPr>
        <w:spacing w:line="360" w:lineRule="auto"/>
        <w:ind w:firstLine="480" w:firstLineChars="200"/>
        <w:rPr>
          <w:rFonts w:ascii="宋体" w:hAnsi="宋体" w:cs="宋体"/>
          <w:sz w:val="24"/>
        </w:rPr>
      </w:pPr>
      <w:r>
        <w:rPr>
          <w:rFonts w:hint="eastAsia" w:ascii="宋体" w:hAnsi="宋体" w:cs="宋体"/>
          <w:bCs/>
          <w:sz w:val="24"/>
        </w:rPr>
        <w:t>适用于</w:t>
      </w:r>
      <w:r>
        <w:rPr>
          <w:rFonts w:hint="eastAsia" w:ascii="宋体" w:hAnsi="宋体" w:cs="宋体"/>
          <w:bCs/>
          <w:sz w:val="24"/>
          <w:lang w:val="en-US" w:eastAsia="zh-CN"/>
        </w:rPr>
        <w:t>万科</w:t>
      </w:r>
      <w:r>
        <w:rPr>
          <w:rFonts w:hint="eastAsia" w:ascii="宋体" w:hAnsi="宋体" w:cs="宋体"/>
          <w:bCs/>
          <w:sz w:val="24"/>
        </w:rPr>
        <w:t>金润华府物业服务中心</w:t>
      </w:r>
    </w:p>
    <w:p>
      <w:pPr>
        <w:spacing w:line="360" w:lineRule="auto"/>
        <w:contextualSpacing/>
        <w:rPr>
          <w:rFonts w:ascii="宋体" w:hAnsi="宋体" w:cs="宋体"/>
          <w:b/>
          <w:sz w:val="24"/>
        </w:rPr>
      </w:pPr>
      <w:r>
        <w:rPr>
          <w:rFonts w:hint="eastAsia" w:ascii="宋体" w:hAnsi="宋体" w:cs="宋体"/>
          <w:b/>
          <w:sz w:val="24"/>
        </w:rPr>
        <w:t>3．组织指挥</w:t>
      </w:r>
    </w:p>
    <w:p>
      <w:pPr>
        <w:numPr>
          <w:ilvl w:val="0"/>
          <w:numId w:val="3"/>
        </w:numPr>
        <w:spacing w:line="360" w:lineRule="auto"/>
        <w:ind w:left="210" w:leftChars="100"/>
        <w:contextualSpacing/>
        <w:rPr>
          <w:rFonts w:ascii="宋体" w:hAnsi="宋体" w:cs="宋体"/>
          <w:sz w:val="24"/>
        </w:rPr>
      </w:pPr>
      <w:r>
        <w:rPr>
          <w:rFonts w:hint="eastAsia" w:ascii="宋体" w:hAnsi="宋体" w:cs="宋体"/>
          <w:sz w:val="24"/>
        </w:rPr>
        <w:t>总指挥：项目负责人</w:t>
      </w:r>
    </w:p>
    <w:p>
      <w:pPr>
        <w:numPr>
          <w:ilvl w:val="0"/>
          <w:numId w:val="3"/>
        </w:numPr>
        <w:spacing w:line="360" w:lineRule="auto"/>
        <w:ind w:left="210" w:leftChars="100"/>
        <w:contextualSpacing/>
        <w:rPr>
          <w:rFonts w:ascii="宋体" w:hAnsi="宋体" w:cs="宋体"/>
          <w:sz w:val="24"/>
        </w:rPr>
      </w:pPr>
      <w:r>
        <w:rPr>
          <w:rFonts w:hint="eastAsia" w:ascii="宋体" w:hAnsi="宋体" w:cs="宋体"/>
          <w:sz w:val="24"/>
        </w:rPr>
        <w:t>副总指挥：管家专业经理</w:t>
      </w:r>
      <w:bookmarkStart w:id="0" w:name="_GoBack"/>
      <w:bookmarkEnd w:id="0"/>
    </w:p>
    <w:p>
      <w:pPr>
        <w:numPr>
          <w:ilvl w:val="0"/>
          <w:numId w:val="3"/>
        </w:numPr>
        <w:spacing w:line="360" w:lineRule="auto"/>
        <w:ind w:left="210" w:leftChars="100"/>
        <w:contextualSpacing/>
        <w:rPr>
          <w:rFonts w:ascii="宋体" w:hAnsi="宋体" w:cs="宋体"/>
          <w:sz w:val="24"/>
        </w:rPr>
      </w:pPr>
      <w:r>
        <w:rPr>
          <w:rFonts w:hint="eastAsia" w:ascii="宋体" w:hAnsi="宋体" w:cs="宋体"/>
          <w:sz w:val="24"/>
        </w:rPr>
        <w:t>现场指挥：安防秩序负责人</w:t>
      </w:r>
    </w:p>
    <w:p>
      <w:pPr>
        <w:spacing w:line="360" w:lineRule="auto"/>
        <w:contextualSpacing/>
        <w:rPr>
          <w:rFonts w:ascii="宋体" w:hAnsi="宋体" w:cs="宋体"/>
          <w:b/>
          <w:sz w:val="24"/>
        </w:rPr>
      </w:pPr>
      <w:r>
        <w:rPr>
          <w:rFonts w:hint="eastAsia" w:ascii="宋体" w:hAnsi="宋体" w:cs="宋体"/>
          <w:b/>
          <w:sz w:val="24"/>
        </w:rPr>
        <w:t>4．方法与过程控制</w:t>
      </w:r>
    </w:p>
    <w:p>
      <w:pPr>
        <w:spacing w:line="360" w:lineRule="auto"/>
        <w:contextualSpacing/>
        <w:rPr>
          <w:rFonts w:ascii="宋体" w:hAnsi="宋体" w:cs="宋体"/>
          <w:b/>
          <w:bCs/>
          <w:sz w:val="24"/>
        </w:rPr>
      </w:pPr>
      <w:r>
        <w:rPr>
          <w:rFonts w:hint="eastAsia" w:ascii="宋体" w:hAnsi="宋体" w:cs="宋体"/>
          <w:b/>
          <w:bCs/>
          <w:sz w:val="24"/>
        </w:rPr>
        <w:t>4.1对合理的管理服务规定不满的诉求</w:t>
      </w:r>
    </w:p>
    <w:p>
      <w:pPr>
        <w:spacing w:line="360" w:lineRule="auto"/>
        <w:contextualSpacing/>
        <w:rPr>
          <w:rFonts w:ascii="宋体" w:hAnsi="宋体" w:cs="宋体"/>
          <w:sz w:val="24"/>
        </w:rPr>
      </w:pPr>
      <w:r>
        <w:rPr>
          <w:rFonts w:hint="eastAsia" w:ascii="宋体" w:hAnsi="宋体" w:cs="宋体"/>
          <w:sz w:val="24"/>
        </w:rPr>
        <w:t>4.1.1礼貌招呼客户，先倾听客户诉说不满意的原因，找出客户违背管理服务规定的问题点，耐心向客户解释为什么需要按规定做，以及相关规定的合法性、合理性或法律法规依据，力争得到客户的认同。</w:t>
      </w:r>
    </w:p>
    <w:p>
      <w:pPr>
        <w:spacing w:line="360" w:lineRule="auto"/>
        <w:contextualSpacing/>
        <w:rPr>
          <w:rFonts w:ascii="宋体" w:hAnsi="宋体" w:cs="宋体"/>
          <w:sz w:val="24"/>
        </w:rPr>
      </w:pPr>
      <w:r>
        <w:rPr>
          <w:rFonts w:hint="eastAsia" w:ascii="宋体" w:hAnsi="宋体" w:cs="宋体"/>
          <w:sz w:val="24"/>
        </w:rPr>
        <w:t>4.1.2对不满意情绪较为严重的客户，需礼貌带离投诉现场，让客户的情绪稳定下来，再做解释和说明。若不能说服客户，也不能随意让步，可移交直属上级与客户作进一步沟通。</w:t>
      </w:r>
    </w:p>
    <w:p>
      <w:pPr>
        <w:spacing w:line="360" w:lineRule="auto"/>
        <w:contextualSpacing/>
        <w:rPr>
          <w:rFonts w:ascii="宋体" w:hAnsi="宋体" w:cs="宋体"/>
          <w:sz w:val="24"/>
        </w:rPr>
      </w:pPr>
      <w:r>
        <w:rPr>
          <w:rFonts w:hint="eastAsia" w:ascii="宋体" w:hAnsi="宋体" w:cs="宋体"/>
          <w:sz w:val="24"/>
        </w:rPr>
        <w:t>4.1.3对无理取闹的客户对其无理行为作好录音录像，以备取证之用。</w:t>
      </w:r>
    </w:p>
    <w:p>
      <w:pPr>
        <w:spacing w:line="360" w:lineRule="auto"/>
        <w:contextualSpacing/>
        <w:rPr>
          <w:rFonts w:ascii="宋体" w:hAnsi="宋体" w:cs="宋体"/>
          <w:b/>
          <w:bCs/>
          <w:sz w:val="24"/>
        </w:rPr>
      </w:pPr>
      <w:r>
        <w:rPr>
          <w:rFonts w:hint="eastAsia" w:ascii="宋体" w:hAnsi="宋体" w:cs="宋体"/>
          <w:b/>
          <w:bCs/>
          <w:sz w:val="24"/>
        </w:rPr>
        <w:t>4.2对服务内容与方式改变后客户不满意引起的投诉</w:t>
      </w:r>
    </w:p>
    <w:p>
      <w:pPr>
        <w:spacing w:line="360" w:lineRule="auto"/>
        <w:contextualSpacing/>
        <w:rPr>
          <w:rFonts w:ascii="宋体" w:hAnsi="宋体" w:cs="宋体"/>
          <w:sz w:val="24"/>
        </w:rPr>
      </w:pPr>
      <w:r>
        <w:rPr>
          <w:rFonts w:hint="eastAsia" w:ascii="宋体" w:hAnsi="宋体" w:cs="宋体"/>
          <w:sz w:val="24"/>
        </w:rPr>
        <w:t>4.2.1按服务中心统一解释口径向客户作好解释工作。</w:t>
      </w:r>
    </w:p>
    <w:p>
      <w:pPr>
        <w:spacing w:line="360" w:lineRule="auto"/>
        <w:contextualSpacing/>
        <w:rPr>
          <w:rFonts w:ascii="宋体" w:hAnsi="宋体" w:cs="宋体"/>
          <w:sz w:val="24"/>
        </w:rPr>
      </w:pPr>
      <w:r>
        <w:rPr>
          <w:rFonts w:hint="eastAsia" w:ascii="宋体" w:hAnsi="宋体" w:cs="宋体"/>
          <w:sz w:val="24"/>
        </w:rPr>
        <w:t>4.2.2客户仍不满意的，移交直属上级与客户作进一步沟通。</w:t>
      </w:r>
    </w:p>
    <w:p>
      <w:pPr>
        <w:spacing w:line="360" w:lineRule="auto"/>
        <w:contextualSpacing/>
        <w:rPr>
          <w:rFonts w:ascii="宋体" w:hAnsi="宋体" w:cs="宋体"/>
          <w:b/>
          <w:bCs/>
          <w:sz w:val="24"/>
        </w:rPr>
      </w:pPr>
      <w:r>
        <w:rPr>
          <w:rFonts w:hint="eastAsia" w:ascii="宋体" w:hAnsi="宋体" w:cs="宋体"/>
          <w:b/>
          <w:bCs/>
          <w:sz w:val="24"/>
        </w:rPr>
        <w:t>4.3邻里关系不满的诉求</w:t>
      </w:r>
    </w:p>
    <w:p>
      <w:pPr>
        <w:spacing w:line="360" w:lineRule="auto"/>
        <w:contextualSpacing/>
        <w:rPr>
          <w:rFonts w:ascii="宋体" w:hAnsi="宋体" w:cs="宋体"/>
          <w:sz w:val="24"/>
        </w:rPr>
      </w:pPr>
      <w:r>
        <w:rPr>
          <w:rFonts w:hint="eastAsia" w:ascii="宋体" w:hAnsi="宋体" w:cs="宋体"/>
          <w:sz w:val="24"/>
        </w:rPr>
        <w:t>4.3.1向客户了解详细情况，若是及时反映的，立即派员前往现场查看、了解第一手资料，必要时拍照并保存现场留下的物证；对投诉的客户提供必要的帮助；对被投诉的客户站在维护公共道德的角度上门与其沟通，引导客户遵守《业主公约》和政府相关法规，共同维护社区文明。</w:t>
      </w:r>
    </w:p>
    <w:p>
      <w:pPr>
        <w:spacing w:line="360" w:lineRule="auto"/>
        <w:contextualSpacing/>
        <w:rPr>
          <w:rFonts w:ascii="宋体" w:hAnsi="宋体" w:cs="宋体"/>
          <w:sz w:val="24"/>
        </w:rPr>
      </w:pPr>
      <w:r>
        <w:rPr>
          <w:rFonts w:hint="eastAsia" w:ascii="宋体" w:hAnsi="宋体" w:cs="宋体"/>
          <w:sz w:val="24"/>
        </w:rPr>
        <w:t>4.3.2对造成伤人事故和财产损失的及时报告部门经理并向派出所报案，作好现场保护与救援工作。</w:t>
      </w:r>
    </w:p>
    <w:p>
      <w:pPr>
        <w:spacing w:line="360" w:lineRule="auto"/>
        <w:rPr>
          <w:rFonts w:ascii="宋体" w:hAnsi="宋体" w:cs="宋体"/>
          <w:b/>
          <w:color w:val="000000"/>
          <w:sz w:val="24"/>
        </w:rPr>
      </w:pPr>
      <w:r>
        <w:rPr>
          <w:rFonts w:hint="eastAsia" w:ascii="宋体" w:hAnsi="宋体" w:cs="宋体"/>
          <w:b/>
          <w:color w:val="000000"/>
          <w:sz w:val="24"/>
        </w:rPr>
        <w:t>5、现场处置应对措施</w:t>
      </w:r>
    </w:p>
    <w:p>
      <w:pPr>
        <w:tabs>
          <w:tab w:val="left" w:pos="2492"/>
        </w:tabs>
        <w:spacing w:line="360" w:lineRule="auto"/>
        <w:rPr>
          <w:rFonts w:ascii="宋体" w:hAnsi="宋体" w:cs="宋体"/>
          <w:sz w:val="24"/>
        </w:rPr>
      </w:pPr>
      <w:r>
        <w:rPr>
          <w:rFonts w:hint="eastAsia" w:ascii="宋体" w:hAnsi="宋体" w:cs="宋体"/>
          <w:sz w:val="24"/>
        </w:rPr>
        <w:t>5.1 项目负责人制定</w:t>
      </w:r>
      <w:r>
        <w:rPr>
          <w:rFonts w:hint="eastAsia" w:ascii="宋体" w:hAnsi="宋体" w:cs="宋体"/>
          <w:color w:val="000000"/>
          <w:sz w:val="24"/>
        </w:rPr>
        <w:t>统一说辞，并进行逐一培训，对态度激烈的业主，由管家专业经理与其进行沟通。</w:t>
      </w:r>
    </w:p>
    <w:p>
      <w:pPr>
        <w:tabs>
          <w:tab w:val="left" w:pos="2492"/>
        </w:tabs>
        <w:spacing w:line="360" w:lineRule="auto"/>
        <w:rPr>
          <w:rFonts w:ascii="宋体" w:hAnsi="宋体" w:cs="宋体"/>
          <w:color w:val="000000"/>
          <w:sz w:val="24"/>
        </w:rPr>
      </w:pPr>
      <w:r>
        <w:rPr>
          <w:rFonts w:hint="eastAsia" w:ascii="宋体" w:hAnsi="宋体" w:cs="宋体"/>
          <w:sz w:val="24"/>
        </w:rPr>
        <w:t>5.2</w:t>
      </w:r>
      <w:r>
        <w:rPr>
          <w:rFonts w:hint="eastAsia" w:ascii="宋体" w:hAnsi="宋体" w:cs="宋体"/>
          <w:color w:val="000000"/>
          <w:sz w:val="24"/>
        </w:rPr>
        <w:t>对有意性的组织者进行重点关注，并制定合理解决措施。</w:t>
      </w:r>
    </w:p>
    <w:p>
      <w:pPr>
        <w:tabs>
          <w:tab w:val="left" w:pos="2492"/>
        </w:tabs>
        <w:spacing w:line="360" w:lineRule="auto"/>
        <w:rPr>
          <w:rFonts w:ascii="宋体" w:hAnsi="宋体" w:cs="宋体"/>
          <w:color w:val="000000"/>
          <w:sz w:val="24"/>
        </w:rPr>
      </w:pPr>
      <w:r>
        <w:rPr>
          <w:rFonts w:hint="eastAsia" w:ascii="宋体" w:hAnsi="宋体" w:cs="宋体"/>
          <w:sz w:val="24"/>
        </w:rPr>
        <w:t>5.3</w:t>
      </w:r>
      <w:r>
        <w:rPr>
          <w:rFonts w:hint="eastAsia" w:ascii="宋体" w:hAnsi="宋体" w:cs="宋体"/>
          <w:color w:val="000000"/>
          <w:sz w:val="24"/>
        </w:rPr>
        <w:t>加强对要害部位的防范。</w:t>
      </w:r>
    </w:p>
    <w:p>
      <w:pPr>
        <w:spacing w:line="360" w:lineRule="auto"/>
        <w:rPr>
          <w:rFonts w:ascii="宋体" w:hAnsi="宋体" w:cs="宋体"/>
          <w:sz w:val="24"/>
        </w:rPr>
      </w:pPr>
      <w:r>
        <w:rPr>
          <w:rFonts w:hint="eastAsia" w:ascii="宋体" w:hAnsi="宋体" w:cs="宋体"/>
          <w:sz w:val="24"/>
        </w:rPr>
        <w:t>5.4业主发生过激行为时，我方工作人员不能阻档或以口舌还击，不能有肢体接触，不能与对方发生抓扯。</w:t>
      </w:r>
    </w:p>
    <w:p>
      <w:pPr>
        <w:spacing w:line="360" w:lineRule="auto"/>
        <w:rPr>
          <w:rFonts w:ascii="宋体" w:hAnsi="宋体" w:cs="宋体"/>
          <w:sz w:val="24"/>
        </w:rPr>
      </w:pPr>
      <w:r>
        <w:rPr>
          <w:rFonts w:hint="eastAsia" w:ascii="宋体" w:hAnsi="宋体" w:cs="宋体"/>
          <w:sz w:val="24"/>
        </w:rPr>
        <w:t>5.5各门岗人员及管家高度关注对媒体的识别，注意暗访人员（夹公文包，拿衣服反复询问多种问题者）。</w:t>
      </w:r>
    </w:p>
    <w:p>
      <w:pPr>
        <w:spacing w:line="360" w:lineRule="auto"/>
        <w:rPr>
          <w:rFonts w:ascii="宋体" w:hAnsi="宋体" w:cs="宋体"/>
          <w:sz w:val="24"/>
        </w:rPr>
      </w:pPr>
      <w:r>
        <w:rPr>
          <w:rFonts w:hint="eastAsia" w:ascii="宋体" w:hAnsi="宋体" w:cs="宋体"/>
          <w:sz w:val="24"/>
        </w:rPr>
        <w:t>5.6万一发生过激行为，内部由指定人员负责在网上化名进行舆论引导。</w:t>
      </w:r>
    </w:p>
    <w:p>
      <w:pPr>
        <w:spacing w:line="360" w:lineRule="auto"/>
        <w:rPr>
          <w:rFonts w:ascii="宋体" w:hAnsi="宋体" w:cs="宋体"/>
          <w:sz w:val="24"/>
        </w:rPr>
      </w:pPr>
      <w:r>
        <w:rPr>
          <w:rFonts w:hint="eastAsia" w:ascii="宋体" w:hAnsi="宋体" w:cs="宋体"/>
          <w:sz w:val="24"/>
        </w:rPr>
        <w:t>5.7由值班经理负责组织安排对外的报警或对外联络事宜，其他人员一律不得擅自对外发布任何信息。</w:t>
      </w:r>
    </w:p>
    <w:p>
      <w:pPr>
        <w:spacing w:line="360" w:lineRule="auto"/>
        <w:rPr>
          <w:rFonts w:ascii="宋体" w:hAnsi="宋体" w:cs="宋体"/>
          <w:sz w:val="24"/>
        </w:rPr>
      </w:pPr>
      <w:r>
        <w:rPr>
          <w:rFonts w:hint="eastAsia" w:ascii="宋体" w:hAnsi="宋体" w:cs="宋体"/>
          <w:sz w:val="24"/>
        </w:rPr>
        <w:t>5.8对于打砸现场人员由现场秩序岗负责控制其行动范围，防止其逃逸小区，直至公安人员到场。</w:t>
      </w:r>
    </w:p>
    <w:p>
      <w:pPr>
        <w:spacing w:line="360" w:lineRule="auto"/>
        <w:rPr>
          <w:rFonts w:ascii="宋体" w:hAnsi="宋体" w:cs="宋体"/>
          <w:sz w:val="24"/>
        </w:rPr>
      </w:pPr>
      <w:r>
        <w:rPr>
          <w:rFonts w:hint="eastAsia" w:ascii="宋体" w:hAnsi="宋体" w:cs="宋体"/>
          <w:sz w:val="24"/>
        </w:rPr>
        <w:t>5.9现场巡逻安全员应注意对行人及车辆的通行引导和保护。</w:t>
      </w:r>
    </w:p>
    <w:p>
      <w:pPr>
        <w:spacing w:line="360" w:lineRule="auto"/>
        <w:rPr>
          <w:rFonts w:ascii="宋体" w:hAnsi="宋体" w:cs="宋体"/>
          <w:sz w:val="24"/>
        </w:rPr>
      </w:pPr>
      <w:r>
        <w:rPr>
          <w:rFonts w:hint="eastAsia" w:ascii="宋体" w:hAnsi="宋体" w:cs="宋体"/>
          <w:sz w:val="24"/>
        </w:rPr>
        <w:t>5.10出入口岗员工加强外来人员及车辆盘查，言行大方得体，严格执行BI，履行岗位职责，统一说辞： “不好意思，我对此事不清楚，我们安排有专人负责媒体接待”。同时，立即报告各岗位和管家专业经理。</w:t>
      </w:r>
    </w:p>
    <w:p>
      <w:pPr>
        <w:spacing w:line="360" w:lineRule="auto"/>
        <w:contextualSpacing/>
        <w:rPr>
          <w:rFonts w:ascii="宋体" w:hAnsi="宋体" w:cs="宋体"/>
          <w:b/>
          <w:sz w:val="24"/>
        </w:rPr>
      </w:pPr>
      <w:r>
        <w:rPr>
          <w:rFonts w:hint="eastAsia" w:ascii="宋体" w:hAnsi="宋体" w:cs="宋体"/>
          <w:b/>
          <w:sz w:val="24"/>
        </w:rPr>
        <w:t>6、原则</w:t>
      </w:r>
    </w:p>
    <w:p>
      <w:pPr>
        <w:spacing w:line="360" w:lineRule="auto"/>
        <w:ind w:firstLine="480" w:firstLineChars="200"/>
        <w:contextualSpacing/>
        <w:rPr>
          <w:rFonts w:ascii="宋体" w:hAnsi="宋体" w:cs="宋体"/>
          <w:sz w:val="24"/>
        </w:rPr>
      </w:pPr>
      <w:r>
        <w:rPr>
          <w:rFonts w:hint="eastAsia" w:ascii="宋体" w:hAnsi="宋体" w:cs="宋体"/>
          <w:sz w:val="24"/>
        </w:rPr>
        <w:t>法律是我们应对维权的底线和原则，坚持以客户为中心以解决事情，降低双方损失为目的，最终赢得相互谅解是处理群诉基础。</w:t>
      </w:r>
    </w:p>
    <w:p>
      <w:pPr>
        <w:spacing w:line="360" w:lineRule="auto"/>
        <w:contextualSpacing/>
        <w:rPr>
          <w:rFonts w:ascii="宋体" w:hAnsi="宋体" w:cs="宋体"/>
          <w:b/>
          <w:sz w:val="24"/>
        </w:rPr>
      </w:pPr>
      <w:r>
        <w:rPr>
          <w:rFonts w:hint="eastAsia" w:ascii="宋体" w:hAnsi="宋体" w:cs="宋体"/>
          <w:b/>
          <w:sz w:val="24"/>
        </w:rPr>
        <w:t>7、群诉处理组织架构</w:t>
      </w:r>
    </w:p>
    <w:p>
      <w:pPr>
        <w:spacing w:line="360" w:lineRule="auto"/>
        <w:ind w:firstLine="480" w:firstLineChars="200"/>
        <w:contextualSpacing/>
        <w:rPr>
          <w:rFonts w:ascii="宋体" w:hAnsi="宋体" w:cs="宋体"/>
          <w:sz w:val="24"/>
        </w:rPr>
      </w:pPr>
      <w:r>
        <w:rPr>
          <w:rFonts w:hint="eastAsia" w:ascii="宋体" w:hAnsi="宋体" w:cs="宋体"/>
          <w:sz w:val="24"/>
        </w:rPr>
        <w:t>明确的组织架构是应对维权的工作基础，在群诉爆发预警前期，明确的责任分工和快速的信息传达是开展工作的首要条件。</w:t>
      </w:r>
    </w:p>
    <w:p>
      <w:pPr>
        <w:spacing w:line="360" w:lineRule="auto"/>
        <w:contextualSpacing/>
        <w:rPr>
          <w:rFonts w:ascii="宋体" w:hAnsi="宋体" w:cs="宋体"/>
          <w:b/>
          <w:sz w:val="24"/>
        </w:rPr>
      </w:pPr>
      <w:r>
        <w:rPr>
          <w:rFonts w:hint="eastAsia" w:ascii="宋体" w:hAnsi="宋体" w:cs="宋体"/>
          <w:b/>
          <w:sz w:val="24"/>
        </w:rPr>
        <w:t>7.1、第一级组织架构</w:t>
      </w:r>
    </w:p>
    <w:p>
      <w:pPr>
        <w:spacing w:line="360" w:lineRule="auto"/>
        <w:ind w:firstLine="480" w:firstLineChars="200"/>
        <w:contextualSpacing/>
        <w:rPr>
          <w:rFonts w:ascii="宋体" w:hAnsi="宋体" w:cs="宋体"/>
          <w:sz w:val="24"/>
        </w:rPr>
      </w:pPr>
      <w:r>
        <w:rPr>
          <w:rFonts w:hint="eastAsia" w:ascii="宋体" w:hAnsi="宋体" w:cs="宋体"/>
          <w:sz w:val="24"/>
        </w:rPr>
        <w:t>分公司总经理与项目合伙人、公司法务组成的事项决议组，明确需求，快速下达决策意见，杜绝单独汇报，单独决策，单独行动，这样会导致群诉在变化中的不可控以及知识获取面不健全，容易导致错误判断和决策；</w:t>
      </w:r>
    </w:p>
    <w:p>
      <w:pPr>
        <w:spacing w:line="360" w:lineRule="auto"/>
        <w:contextualSpacing/>
        <w:rPr>
          <w:rFonts w:ascii="宋体" w:hAnsi="宋体" w:cs="宋体"/>
          <w:b/>
          <w:sz w:val="24"/>
        </w:rPr>
      </w:pPr>
      <w:r>
        <w:rPr>
          <w:rFonts w:hint="eastAsia" w:ascii="宋体" w:hAnsi="宋体" w:cs="宋体"/>
          <w:b/>
          <w:sz w:val="24"/>
        </w:rPr>
        <w:t>7.2、第二级组织架构</w:t>
      </w:r>
    </w:p>
    <w:p>
      <w:pPr>
        <w:spacing w:line="360" w:lineRule="auto"/>
        <w:ind w:firstLine="480" w:firstLineChars="200"/>
        <w:contextualSpacing/>
        <w:rPr>
          <w:rFonts w:ascii="宋体" w:hAnsi="宋体" w:cs="宋体"/>
          <w:sz w:val="24"/>
        </w:rPr>
      </w:pPr>
      <w:r>
        <w:rPr>
          <w:rFonts w:hint="eastAsia" w:ascii="宋体" w:hAnsi="宋体" w:cs="宋体"/>
          <w:sz w:val="24"/>
        </w:rPr>
        <w:t>由项目负责人、信息岗组成，执行决策意见，并保持与客户沟通，将无法处理意见传递给决议组，信息岗及时将信息及时传递给各岗位，防止一切事件带来的负面影响；</w:t>
      </w:r>
    </w:p>
    <w:p>
      <w:pPr>
        <w:spacing w:line="360" w:lineRule="auto"/>
        <w:contextualSpacing/>
        <w:rPr>
          <w:rFonts w:ascii="宋体" w:hAnsi="宋体" w:cs="宋体"/>
          <w:b/>
          <w:sz w:val="24"/>
        </w:rPr>
      </w:pPr>
      <w:r>
        <w:rPr>
          <w:rFonts w:hint="eastAsia" w:ascii="宋体" w:hAnsi="宋体" w:cs="宋体"/>
          <w:b/>
          <w:sz w:val="24"/>
        </w:rPr>
        <w:t>8、分工配合</w:t>
      </w:r>
    </w:p>
    <w:p>
      <w:pPr>
        <w:spacing w:line="360" w:lineRule="auto"/>
        <w:contextualSpacing/>
        <w:rPr>
          <w:rFonts w:ascii="宋体" w:hAnsi="宋体" w:cs="宋体"/>
          <w:sz w:val="24"/>
        </w:rPr>
      </w:pPr>
      <w:r>
        <w:rPr>
          <w:rFonts w:hint="eastAsia" w:ascii="宋体" w:hAnsi="宋体" w:cs="宋体"/>
          <w:sz w:val="24"/>
        </w:rPr>
        <w:t>8.1、群诉客户接待人：项目合伙人或驻场经理</w:t>
      </w:r>
    </w:p>
    <w:p>
      <w:pPr>
        <w:spacing w:line="360" w:lineRule="auto"/>
        <w:ind w:firstLine="480" w:firstLineChars="200"/>
        <w:contextualSpacing/>
        <w:rPr>
          <w:rFonts w:ascii="宋体" w:hAnsi="宋体" w:cs="宋体"/>
          <w:sz w:val="24"/>
        </w:rPr>
      </w:pPr>
      <w:r>
        <w:rPr>
          <w:rFonts w:hint="eastAsia" w:ascii="宋体" w:hAnsi="宋体" w:cs="宋体"/>
          <w:sz w:val="24"/>
        </w:rPr>
        <w:t>职责：在一定时期接待到访业主，传达公司决策，其言语信服度，工作底气以及临危不乱的气势是需要公司层面的授权与支持，更不能再未经决策层同意的情况下跨级接待业主，会导致一线接待人威信丧失，失去职责效果，群诉越演越烈，胃口难以填补。最终双方无人受益。</w:t>
      </w:r>
    </w:p>
    <w:p>
      <w:pPr>
        <w:spacing w:line="360" w:lineRule="auto"/>
        <w:contextualSpacing/>
        <w:rPr>
          <w:rFonts w:ascii="宋体" w:hAnsi="宋体" w:cs="宋体"/>
          <w:sz w:val="24"/>
        </w:rPr>
      </w:pPr>
      <w:r>
        <w:rPr>
          <w:rFonts w:hint="eastAsia" w:ascii="宋体" w:hAnsi="宋体" w:cs="宋体"/>
          <w:sz w:val="24"/>
        </w:rPr>
        <w:t>8.2、品牌</w:t>
      </w:r>
    </w:p>
    <w:p>
      <w:pPr>
        <w:spacing w:line="360" w:lineRule="auto"/>
        <w:ind w:firstLine="480" w:firstLineChars="200"/>
        <w:contextualSpacing/>
        <w:rPr>
          <w:rFonts w:ascii="宋体" w:hAnsi="宋体" w:cs="宋体"/>
          <w:sz w:val="24"/>
        </w:rPr>
      </w:pPr>
      <w:r>
        <w:rPr>
          <w:rFonts w:hint="eastAsia" w:ascii="宋体" w:hAnsi="宋体" w:cs="宋体"/>
          <w:sz w:val="24"/>
        </w:rPr>
        <w:t>职责：深入排查本地媒体信息，建立联系，传达意见和事实情况，避免媒体接收片面信息，导致恶性反应，全权把控媒体资源的信息获取量和真实度。</w:t>
      </w:r>
    </w:p>
    <w:p>
      <w:pPr>
        <w:spacing w:line="360" w:lineRule="auto"/>
        <w:contextualSpacing/>
        <w:rPr>
          <w:rFonts w:ascii="宋体" w:hAnsi="宋体" w:cs="宋体"/>
          <w:sz w:val="24"/>
        </w:rPr>
      </w:pPr>
      <w:r>
        <w:rPr>
          <w:rFonts w:hint="eastAsia" w:ascii="宋体" w:hAnsi="宋体" w:cs="宋体"/>
          <w:sz w:val="24"/>
        </w:rPr>
        <w:t>8.3、政府对接人：项目负责人、成都第四分公司负责人</w:t>
      </w:r>
    </w:p>
    <w:p>
      <w:pPr>
        <w:spacing w:line="360" w:lineRule="auto"/>
        <w:ind w:firstLine="480" w:firstLineChars="200"/>
        <w:contextualSpacing/>
        <w:rPr>
          <w:rFonts w:ascii="宋体" w:hAnsi="宋体" w:cs="宋体"/>
          <w:sz w:val="24"/>
        </w:rPr>
      </w:pPr>
      <w:r>
        <w:rPr>
          <w:rFonts w:hint="eastAsia" w:ascii="宋体" w:hAnsi="宋体" w:cs="宋体"/>
          <w:sz w:val="24"/>
        </w:rPr>
        <w:t>职责：项目负责人为第一对接人，主要项目负责人因为对发生在项目的群诉及项目实际情况有着充分的了解和权责，能够准确传达公司信息，在一定程度上能够给予政府相关部门最大的响应和支持。对以下政府机构就需要有效的沟通机制：当地房管局、住建局、规划局（自然局）、执法局、公安局、社区街道、区政府、市政府、质监站、消防局、环保局、物业办、交警部门等，以及与地产产业息息相关的供电局、通信公司、质检验收第三方机构、供水公司等等。</w:t>
      </w:r>
    </w:p>
    <w:p>
      <w:pPr>
        <w:spacing w:line="360" w:lineRule="auto"/>
        <w:contextualSpacing/>
        <w:rPr>
          <w:rFonts w:ascii="宋体" w:hAnsi="宋体" w:cs="宋体"/>
          <w:sz w:val="24"/>
        </w:rPr>
      </w:pPr>
      <w:r>
        <w:rPr>
          <w:rFonts w:hint="eastAsia" w:ascii="宋体" w:hAnsi="宋体" w:cs="宋体"/>
          <w:sz w:val="24"/>
        </w:rPr>
        <w:t>8.4、法务对接人：公司法务</w:t>
      </w:r>
    </w:p>
    <w:p>
      <w:pPr>
        <w:spacing w:line="360" w:lineRule="auto"/>
        <w:ind w:firstLine="480" w:firstLineChars="200"/>
        <w:contextualSpacing/>
        <w:rPr>
          <w:rFonts w:ascii="宋体" w:hAnsi="宋体" w:cs="宋体"/>
          <w:sz w:val="24"/>
        </w:rPr>
      </w:pPr>
      <w:r>
        <w:rPr>
          <w:rFonts w:hint="eastAsia" w:ascii="宋体" w:hAnsi="宋体" w:cs="宋体"/>
          <w:sz w:val="24"/>
        </w:rPr>
        <w:t>职责：快速理清法律红线是确保公司不做出格事情的关键，也是高管做出应对决策的根本底线输出部门。需要在最短的时间内做出最符合法律要求的意见决策。</w:t>
      </w:r>
    </w:p>
    <w:p>
      <w:pPr>
        <w:rPr>
          <w:rFonts w:hint="default"/>
          <w:lang w:val="en-US" w:eastAsia="zh-CN"/>
        </w:rPr>
      </w:pPr>
    </w:p>
    <w:sectPr>
      <w:headerReference r:id="rId3" w:type="default"/>
      <w:footerReference r:id="rId4" w:type="default"/>
      <w:pgSz w:w="11906" w:h="16838"/>
      <w:pgMar w:top="1134" w:right="1417" w:bottom="1134" w:left="1417"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9388" w:type="dxa"/>
      <w:jc w:val="center"/>
      <w:tblLayout w:type="fixed"/>
      <w:tblCellMar>
        <w:top w:w="0" w:type="dxa"/>
        <w:left w:w="0" w:type="dxa"/>
        <w:bottom w:w="0" w:type="dxa"/>
        <w:right w:w="0" w:type="dxa"/>
      </w:tblCellMar>
    </w:tblPr>
    <w:tblGrid>
      <w:gridCol w:w="966"/>
      <w:gridCol w:w="800"/>
      <w:gridCol w:w="950"/>
      <w:gridCol w:w="917"/>
      <w:gridCol w:w="1050"/>
      <w:gridCol w:w="735"/>
      <w:gridCol w:w="862"/>
      <w:gridCol w:w="936"/>
      <w:gridCol w:w="2172"/>
    </w:tblGrid>
    <w:tr>
      <w:tblPrEx>
        <w:tblCellMar>
          <w:top w:w="0" w:type="dxa"/>
          <w:left w:w="0" w:type="dxa"/>
          <w:bottom w:w="0" w:type="dxa"/>
          <w:right w:w="0" w:type="dxa"/>
        </w:tblCellMar>
      </w:tblPrEx>
      <w:trPr>
        <w:cantSplit/>
        <w:trHeight w:val="269" w:hRule="atLeast"/>
        <w:jc w:val="center"/>
      </w:trPr>
      <w:tc>
        <w:tcPr>
          <w:tcW w:w="5418"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both"/>
            <w:rPr>
              <w:b/>
              <w:bCs/>
              <w:szCs w:val="21"/>
            </w:rPr>
          </w:pPr>
          <w:r>
            <w:rPr>
              <w:rFonts w:hint="eastAsia" w:ascii="等线" w:hAnsi="等线" w:cs="仿宋"/>
              <w:sz w:val="20"/>
              <w:szCs w:val="20"/>
            </w:rPr>
            <w:t>成都万科物业服务有限公司南充分公司</w:t>
          </w:r>
          <w:r>
            <w:rPr>
              <w:rFonts w:hint="eastAsia" w:ascii="等线" w:hAnsi="等线" w:cs="仿宋"/>
              <w:sz w:val="20"/>
              <w:szCs w:val="20"/>
              <w:lang w:val="en-US" w:eastAsia="zh-CN"/>
            </w:rPr>
            <w:t>安全生产</w:t>
          </w:r>
          <w:r>
            <w:rPr>
              <w:rFonts w:hint="eastAsia" w:ascii="等线" w:hAnsi="等线" w:cs="仿宋"/>
              <w:sz w:val="20"/>
              <w:szCs w:val="20"/>
            </w:rPr>
            <w:t>管理制度</w:t>
          </w:r>
        </w:p>
      </w:tc>
      <w:tc>
        <w:tcPr>
          <w:tcW w:w="86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编号</w:t>
          </w:r>
        </w:p>
      </w:tc>
      <w:tc>
        <w:tcPr>
          <w:tcW w:w="310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default" w:ascii="宋体" w:hAnsi="宋体" w:eastAsia="宋体"/>
              <w:szCs w:val="21"/>
              <w:lang w:val="en-US" w:eastAsia="zh-CN"/>
            </w:rPr>
          </w:pPr>
          <w:r>
            <w:rPr>
              <w:rFonts w:ascii="宋体" w:hAnsi="宋体"/>
            </w:rPr>
            <w:t>NCHF-</w:t>
          </w:r>
          <w:r>
            <w:rPr>
              <w:rFonts w:hint="eastAsia" w:ascii="宋体" w:hAnsi="宋体"/>
              <w:lang w:val="en-US" w:eastAsia="zh-CN"/>
            </w:rPr>
            <w:t>AQSCYJYL-2023</w:t>
          </w:r>
          <w:r>
            <w:rPr>
              <w:rFonts w:ascii="宋体" w:hAnsi="宋体"/>
            </w:rPr>
            <w:t>-0</w:t>
          </w:r>
          <w:r>
            <w:rPr>
              <w:rFonts w:hint="eastAsia" w:ascii="宋体" w:hAnsi="宋体"/>
              <w:lang w:val="en-US" w:eastAsia="zh-CN"/>
            </w:rPr>
            <w:t>12</w:t>
          </w:r>
        </w:p>
      </w:tc>
    </w:tr>
    <w:tr>
      <w:tblPrEx>
        <w:tblCellMar>
          <w:top w:w="0" w:type="dxa"/>
          <w:left w:w="0" w:type="dxa"/>
          <w:bottom w:w="0" w:type="dxa"/>
          <w:right w:w="0" w:type="dxa"/>
        </w:tblCellMar>
      </w:tblPrEx>
      <w:trPr>
        <w:cantSplit/>
        <w:trHeight w:val="90"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名称</w:t>
          </w:r>
        </w:p>
      </w:tc>
      <w:tc>
        <w:tcPr>
          <w:tcW w:w="4452"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default" w:ascii="宋体" w:hAnsi="宋体" w:eastAsiaTheme="minorEastAsia"/>
              <w:szCs w:val="21"/>
              <w:lang w:val="en-US" w:eastAsia="zh-CN"/>
            </w:rPr>
          </w:pPr>
          <w:r>
            <w:rPr>
              <w:rFonts w:hint="eastAsia" w:ascii="宋体" w:hAnsi="宋体"/>
              <w:szCs w:val="21"/>
            </w:rPr>
            <w:t>客户集体维权应急预案</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版本</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pPr>
          <w:r>
            <w:rPr>
              <w:rFonts w:hint="eastAsia"/>
            </w:rPr>
            <w:t>A/0</w:t>
          </w:r>
        </w:p>
      </w:tc>
      <w:tc>
        <w:tcPr>
          <w:tcW w:w="217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 xml:space="preserve">第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4</w:t>
          </w:r>
          <w:r>
            <w:rPr>
              <w:rFonts w:hint="eastAsia"/>
              <w:b/>
              <w:bCs/>
            </w:rPr>
            <w:fldChar w:fldCharType="end"/>
          </w:r>
          <w:r>
            <w:rPr>
              <w:rFonts w:hint="eastAsia"/>
              <w:b/>
              <w:bCs/>
            </w:rPr>
            <w:t xml:space="preserve"> 页 共</w:t>
          </w:r>
          <w:r>
            <w:rPr>
              <w:rFonts w:hint="eastAsia"/>
              <w:b/>
              <w:bCs/>
              <w:lang w:val="en-US" w:eastAsia="zh-CN"/>
            </w:rPr>
            <w:t>4</w:t>
          </w:r>
          <w:r>
            <w:rPr>
              <w:rFonts w:hint="eastAsia"/>
              <w:b/>
              <w:bCs/>
            </w:rPr>
            <w:t>页</w:t>
          </w:r>
        </w:p>
      </w:tc>
    </w:tr>
    <w:tr>
      <w:tblPrEx>
        <w:tblCellMar>
          <w:top w:w="0" w:type="dxa"/>
          <w:left w:w="0" w:type="dxa"/>
          <w:bottom w:w="0" w:type="dxa"/>
          <w:right w:w="0" w:type="dxa"/>
        </w:tblCellMar>
      </w:tblPrEx>
      <w:trPr>
        <w:cantSplit/>
        <w:trHeight w:val="537"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编制</w:t>
          </w:r>
        </w:p>
      </w:tc>
      <w:tc>
        <w:tcPr>
          <w:tcW w:w="800"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ind w:firstLine="105" w:firstLineChars="0"/>
            <w:jc w:val="center"/>
            <w:rPr>
              <w:rFonts w:hint="eastAsia" w:ascii="宋体" w:hAnsi="宋体" w:eastAsiaTheme="minorEastAsia"/>
              <w:szCs w:val="21"/>
              <w:lang w:eastAsia="zh-CN"/>
            </w:rPr>
          </w:pPr>
          <w:r>
            <w:rPr>
              <w:rFonts w:hint="eastAsia" w:ascii="宋体" w:hAnsi="宋体"/>
              <w:szCs w:val="21"/>
              <w:lang w:val="en-US" w:eastAsia="zh-CN"/>
            </w:rPr>
            <w:t>任佳</w:t>
          </w:r>
        </w:p>
      </w:tc>
      <w:tc>
        <w:tcPr>
          <w:tcW w:w="9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审核</w:t>
          </w:r>
        </w:p>
      </w:tc>
      <w:tc>
        <w:tcPr>
          <w:tcW w:w="91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pPr>
          <w:r>
            <w:rPr>
              <w:rFonts w:hint="eastAsia"/>
              <w:lang w:val="en-US" w:eastAsia="zh-CN"/>
            </w:rPr>
            <w:t>谌永忠</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批准</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pPr>
          <w:r>
            <w:rPr>
              <w:rFonts w:hint="eastAsia"/>
              <w:lang w:val="en-US" w:eastAsia="zh-CN"/>
            </w:rPr>
            <w:t>夏勇</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生效期</w:t>
          </w:r>
        </w:p>
      </w:tc>
      <w:tc>
        <w:tcPr>
          <w:tcW w:w="310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pPr>
          <w:r>
            <w:rPr>
              <w:rFonts w:hint="eastAsia"/>
              <w:b/>
              <w:bCs/>
            </w:rPr>
            <w:t>202</w:t>
          </w:r>
          <w:r>
            <w:rPr>
              <w:rFonts w:hint="eastAsia"/>
              <w:b/>
              <w:bCs/>
              <w:lang w:val="en-US" w:eastAsia="zh-CN"/>
            </w:rPr>
            <w:t>3</w:t>
          </w:r>
          <w:r>
            <w:rPr>
              <w:rFonts w:hint="eastAsia"/>
              <w:b/>
              <w:bCs/>
            </w:rPr>
            <w:t>年</w:t>
          </w:r>
          <w:r>
            <w:rPr>
              <w:rFonts w:hint="eastAsia"/>
              <w:b/>
              <w:bCs/>
              <w:lang w:val="en-US" w:eastAsia="zh-CN"/>
            </w:rPr>
            <w:t>06</w:t>
          </w:r>
          <w:r>
            <w:rPr>
              <w:rFonts w:hint="eastAsia"/>
              <w:b/>
              <w:bCs/>
            </w:rPr>
            <w:t>月</w:t>
          </w:r>
          <w:r>
            <w:rPr>
              <w:rFonts w:hint="eastAsia"/>
              <w:b/>
              <w:bCs/>
              <w:lang w:val="en-US" w:eastAsia="zh-CN"/>
            </w:rPr>
            <w:t>30</w:t>
          </w:r>
          <w:r>
            <w:rPr>
              <w:rFonts w:hint="eastAsia"/>
              <w:b/>
              <w:bCs/>
            </w:rPr>
            <w:t>日</w:t>
          </w:r>
        </w:p>
      </w:tc>
    </w:tr>
  </w:tbl>
  <w:p>
    <w:pPr>
      <w:pStyle w:val="10"/>
      <w:pBdr>
        <w:bottom w:val="none" w:color="auto" w:sz="0" w:space="1"/>
      </w:pBdr>
      <w:jc w:val="both"/>
      <w:rPr>
        <w:rFonts w:hint="default"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D6795A"/>
    <w:multiLevelType w:val="singleLevel"/>
    <w:tmpl w:val="B2D6795A"/>
    <w:lvl w:ilvl="0" w:tentative="0">
      <w:start w:val="1"/>
      <w:numFmt w:val="decimal"/>
      <w:lvlText w:val="(%1)"/>
      <w:lvlJc w:val="left"/>
      <w:pPr>
        <w:ind w:left="425" w:hanging="425"/>
      </w:pPr>
      <w:rPr>
        <w:rFonts w:hint="default"/>
      </w:rPr>
    </w:lvl>
  </w:abstractNum>
  <w:abstractNum w:abstractNumId="1">
    <w:nsid w:val="38D205C9"/>
    <w:multiLevelType w:val="multilevel"/>
    <w:tmpl w:val="38D205C9"/>
    <w:lvl w:ilvl="0" w:tentative="0">
      <w:start w:val="2"/>
      <w:numFmt w:val="decimal"/>
      <w:lvlText w:val="%1．"/>
      <w:lvlJc w:val="left"/>
      <w:pPr>
        <w:ind w:left="390" w:hanging="390"/>
      </w:pPr>
      <w:rPr>
        <w:rFonts w:hint="default" w:ascii="宋体" w:hAnsi="宋体"/>
        <w:b/>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3B4174C"/>
    <w:multiLevelType w:val="multilevel"/>
    <w:tmpl w:val="73B4174C"/>
    <w:lvl w:ilvl="0" w:tentative="0">
      <w:start w:val="1"/>
      <w:numFmt w:val="decimal"/>
      <w:suff w:val="space"/>
      <w:lvlText w:val="%1"/>
      <w:lvlJc w:val="left"/>
      <w:pPr>
        <w:ind w:left="210" w:hanging="210"/>
      </w:pPr>
      <w:rPr>
        <w:rFonts w:hint="eastAsia" w:ascii="Arial" w:hAnsi="Arial" w:eastAsia="宋体"/>
        <w:b/>
        <w:i w:val="0"/>
        <w:sz w:val="24"/>
      </w:rPr>
    </w:lvl>
    <w:lvl w:ilvl="1" w:tentative="0">
      <w:start w:val="1"/>
      <w:numFmt w:val="decimal"/>
      <w:pStyle w:val="4"/>
      <w:suff w:val="space"/>
      <w:lvlText w:val="%1.%2"/>
      <w:lvlJc w:val="left"/>
      <w:pPr>
        <w:ind w:left="397" w:hanging="397"/>
      </w:pPr>
      <w:rPr>
        <w:rFonts w:hint="eastAsia"/>
      </w:rPr>
    </w:lvl>
    <w:lvl w:ilvl="2" w:tentative="0">
      <w:start w:val="1"/>
      <w:numFmt w:val="decimal"/>
      <w:suff w:val="space"/>
      <w:lvlText w:val="%1.%2.%3"/>
      <w:lvlJc w:val="left"/>
      <w:pPr>
        <w:ind w:left="607" w:hanging="607"/>
      </w:pPr>
      <w:rPr>
        <w:rFonts w:hint="eastAsia"/>
      </w:rPr>
    </w:lvl>
    <w:lvl w:ilvl="3" w:tentative="0">
      <w:start w:val="1"/>
      <w:numFmt w:val="decimal"/>
      <w:pStyle w:val="21"/>
      <w:suff w:val="space"/>
      <w:lvlText w:val="(%4)"/>
      <w:lvlJc w:val="left"/>
      <w:pPr>
        <w:ind w:left="527" w:hanging="357"/>
      </w:pPr>
      <w:rPr>
        <w:rFonts w:hint="eastAsia"/>
      </w:rPr>
    </w:lvl>
    <w:lvl w:ilvl="4" w:tentative="0">
      <w:start w:val="1"/>
      <w:numFmt w:val="upperLetter"/>
      <w:suff w:val="space"/>
      <w:lvlText w:val="%5."/>
      <w:lvlJc w:val="left"/>
      <w:pPr>
        <w:ind w:left="629" w:hanging="289"/>
      </w:pPr>
      <w:rPr>
        <w:rFonts w:hint="eastAsia"/>
      </w:rPr>
    </w:lvl>
    <w:lvl w:ilvl="5" w:tentative="0">
      <w:start w:val="1"/>
      <w:numFmt w:val="none"/>
      <w:lvlText w:val=""/>
      <w:lvlJc w:val="left"/>
      <w:pPr>
        <w:ind w:left="340" w:firstLine="0"/>
      </w:pPr>
      <w:rPr>
        <w:rFonts w:hint="eastAsia"/>
      </w:rPr>
    </w:lvl>
    <w:lvl w:ilvl="6" w:tentative="0">
      <w:start w:val="1"/>
      <w:numFmt w:val="none"/>
      <w:lvlText w:val=""/>
      <w:lvlJc w:val="left"/>
      <w:pPr>
        <w:ind w:left="340" w:firstLine="0"/>
      </w:pPr>
      <w:rPr>
        <w:rFonts w:hint="eastAsia"/>
      </w:rPr>
    </w:lvl>
    <w:lvl w:ilvl="7" w:tentative="0">
      <w:start w:val="1"/>
      <w:numFmt w:val="none"/>
      <w:lvlText w:val=""/>
      <w:lvlJc w:val="left"/>
      <w:pPr>
        <w:ind w:left="340" w:firstLine="0"/>
      </w:pPr>
      <w:rPr>
        <w:rFonts w:hint="eastAsia"/>
      </w:rPr>
    </w:lvl>
    <w:lvl w:ilvl="8" w:tentative="0">
      <w:start w:val="1"/>
      <w:numFmt w:val="none"/>
      <w:lvlText w:val=""/>
      <w:lvlJc w:val="left"/>
      <w:pPr>
        <w:ind w:left="34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YjhjOGE4ZjNmOWNjMWY2YzY3NzIzNmNjMjRlNTAifQ=="/>
  </w:docVars>
  <w:rsids>
    <w:rsidRoot w:val="7C852B1A"/>
    <w:rsid w:val="004505B6"/>
    <w:rsid w:val="00C33403"/>
    <w:rsid w:val="01850F77"/>
    <w:rsid w:val="024A6B88"/>
    <w:rsid w:val="031D1E97"/>
    <w:rsid w:val="04A43DC5"/>
    <w:rsid w:val="04BC5D9C"/>
    <w:rsid w:val="065E65CE"/>
    <w:rsid w:val="08AF3EF7"/>
    <w:rsid w:val="09AE56A8"/>
    <w:rsid w:val="09E541DD"/>
    <w:rsid w:val="0B743BC9"/>
    <w:rsid w:val="0B98046A"/>
    <w:rsid w:val="11A706B9"/>
    <w:rsid w:val="11D334FB"/>
    <w:rsid w:val="11F600D7"/>
    <w:rsid w:val="13145075"/>
    <w:rsid w:val="171B74DE"/>
    <w:rsid w:val="17E8173E"/>
    <w:rsid w:val="19475930"/>
    <w:rsid w:val="1B715B45"/>
    <w:rsid w:val="1B8448F8"/>
    <w:rsid w:val="1C540E62"/>
    <w:rsid w:val="1EA60393"/>
    <w:rsid w:val="202C0FB4"/>
    <w:rsid w:val="20AE01CB"/>
    <w:rsid w:val="213C4FC9"/>
    <w:rsid w:val="22A7542C"/>
    <w:rsid w:val="23BD5D9E"/>
    <w:rsid w:val="260E2B09"/>
    <w:rsid w:val="26473ED0"/>
    <w:rsid w:val="280C4E96"/>
    <w:rsid w:val="28886E71"/>
    <w:rsid w:val="2DAD42EB"/>
    <w:rsid w:val="2DD41286"/>
    <w:rsid w:val="2EE971D6"/>
    <w:rsid w:val="2FAC16F6"/>
    <w:rsid w:val="30152930"/>
    <w:rsid w:val="31F87619"/>
    <w:rsid w:val="32B94714"/>
    <w:rsid w:val="33021B8B"/>
    <w:rsid w:val="34A640F4"/>
    <w:rsid w:val="35377ED2"/>
    <w:rsid w:val="35F54301"/>
    <w:rsid w:val="374F76FB"/>
    <w:rsid w:val="3F6D0A65"/>
    <w:rsid w:val="3FBA776C"/>
    <w:rsid w:val="40062010"/>
    <w:rsid w:val="414A7C46"/>
    <w:rsid w:val="42522137"/>
    <w:rsid w:val="42892A33"/>
    <w:rsid w:val="429955FF"/>
    <w:rsid w:val="432F3B2D"/>
    <w:rsid w:val="434B6BE7"/>
    <w:rsid w:val="43CC3AB9"/>
    <w:rsid w:val="44160433"/>
    <w:rsid w:val="441C70CE"/>
    <w:rsid w:val="44BB575E"/>
    <w:rsid w:val="47533CBC"/>
    <w:rsid w:val="48087BAB"/>
    <w:rsid w:val="499800C1"/>
    <w:rsid w:val="4B257199"/>
    <w:rsid w:val="4C87182C"/>
    <w:rsid w:val="4D633F8B"/>
    <w:rsid w:val="4DCA4FE6"/>
    <w:rsid w:val="4EDB3540"/>
    <w:rsid w:val="4F2828FA"/>
    <w:rsid w:val="51000C05"/>
    <w:rsid w:val="52AA4B12"/>
    <w:rsid w:val="539D78BB"/>
    <w:rsid w:val="56355A77"/>
    <w:rsid w:val="56676740"/>
    <w:rsid w:val="58064A40"/>
    <w:rsid w:val="59A958FF"/>
    <w:rsid w:val="5A3E57E0"/>
    <w:rsid w:val="5C273FB3"/>
    <w:rsid w:val="5D727568"/>
    <w:rsid w:val="5D757805"/>
    <w:rsid w:val="5ED36EC0"/>
    <w:rsid w:val="5F650707"/>
    <w:rsid w:val="5FCA5376"/>
    <w:rsid w:val="60FD01C3"/>
    <w:rsid w:val="60FD0BD8"/>
    <w:rsid w:val="6157146B"/>
    <w:rsid w:val="61C60AE0"/>
    <w:rsid w:val="621B64D7"/>
    <w:rsid w:val="62E9411A"/>
    <w:rsid w:val="65785BC5"/>
    <w:rsid w:val="668579AF"/>
    <w:rsid w:val="6BE7740C"/>
    <w:rsid w:val="6C0F0CED"/>
    <w:rsid w:val="6C2E204E"/>
    <w:rsid w:val="6C67333E"/>
    <w:rsid w:val="6CE71124"/>
    <w:rsid w:val="6CF438D5"/>
    <w:rsid w:val="6D25144D"/>
    <w:rsid w:val="6D2B467C"/>
    <w:rsid w:val="6E5864B7"/>
    <w:rsid w:val="6F867812"/>
    <w:rsid w:val="70500483"/>
    <w:rsid w:val="70620E64"/>
    <w:rsid w:val="706F589F"/>
    <w:rsid w:val="710B44B6"/>
    <w:rsid w:val="721D0945"/>
    <w:rsid w:val="73341384"/>
    <w:rsid w:val="73BD355B"/>
    <w:rsid w:val="762E2B91"/>
    <w:rsid w:val="76922A9F"/>
    <w:rsid w:val="78363B67"/>
    <w:rsid w:val="78A91184"/>
    <w:rsid w:val="79616112"/>
    <w:rsid w:val="7A3420E8"/>
    <w:rsid w:val="7B2F3497"/>
    <w:rsid w:val="7C852B1A"/>
    <w:rsid w:val="7D626FDE"/>
    <w:rsid w:val="7F632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keepNext/>
      <w:keepLines/>
      <w:spacing w:before="340" w:after="330" w:line="578" w:lineRule="auto"/>
      <w:outlineLvl w:val="0"/>
    </w:pPr>
    <w:rPr>
      <w:b/>
      <w:bCs/>
      <w:kern w:val="44"/>
      <w:sz w:val="44"/>
      <w:szCs w:val="44"/>
    </w:rPr>
  </w:style>
  <w:style w:type="paragraph" w:styleId="4">
    <w:name w:val="heading 2"/>
    <w:next w:val="1"/>
    <w:qFormat/>
    <w:uiPriority w:val="99"/>
    <w:pPr>
      <w:numPr>
        <w:ilvl w:val="1"/>
        <w:numId w:val="1"/>
      </w:numPr>
      <w:spacing w:line="360" w:lineRule="auto"/>
      <w:outlineLvl w:val="1"/>
    </w:pPr>
    <w:rPr>
      <w:rFonts w:ascii="Arial" w:hAnsi="Arial" w:eastAsia="宋体" w:cs="Times New Roman"/>
      <w:b/>
      <w:snapToGrid w:val="0"/>
      <w:sz w:val="24"/>
      <w:szCs w:val="24"/>
      <w:lang w:val="en-US" w:eastAsia="zh-CN" w:bidi="ar-SA"/>
    </w:rPr>
  </w:style>
  <w:style w:type="paragraph" w:styleId="5">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autoSpaceDE w:val="0"/>
      <w:autoSpaceDN w:val="0"/>
      <w:jc w:val="left"/>
    </w:pPr>
    <w:rPr>
      <w:rFonts w:ascii="宋体" w:hAnsi="宋体" w:eastAsia="宋体" w:cs="宋体"/>
      <w:kern w:val="0"/>
      <w:szCs w:val="21"/>
      <w:lang w:val="zh-CN" w:bidi="zh-CN"/>
    </w:rPr>
  </w:style>
  <w:style w:type="paragraph" w:styleId="6">
    <w:name w:val="Body Text Indent"/>
    <w:basedOn w:val="1"/>
    <w:qFormat/>
    <w:uiPriority w:val="0"/>
    <w:pPr>
      <w:spacing w:line="360" w:lineRule="auto"/>
      <w:ind w:firstLine="482" w:firstLineChars="200"/>
    </w:pPr>
    <w:rPr>
      <w:rFonts w:ascii="宋体" w:hAnsi="宋体"/>
      <w:b/>
      <w:sz w:val="24"/>
    </w:rPr>
  </w:style>
  <w:style w:type="paragraph" w:styleId="7">
    <w:name w:val="Plain Text"/>
    <w:basedOn w:val="1"/>
    <w:qFormat/>
    <w:uiPriority w:val="0"/>
    <w:rPr>
      <w:rFonts w:ascii="宋体" w:hAnsi="Courier New"/>
      <w:szCs w:val="20"/>
    </w:rPr>
  </w:style>
  <w:style w:type="paragraph" w:styleId="8">
    <w:name w:val="Body Text Indent 2"/>
    <w:basedOn w:val="1"/>
    <w:qFormat/>
    <w:uiPriority w:val="0"/>
    <w:pPr>
      <w:widowControl/>
      <w:spacing w:after="120" w:line="480" w:lineRule="auto"/>
      <w:ind w:left="420" w:leftChars="200"/>
      <w:jc w:val="left"/>
    </w:pPr>
    <w:rPr>
      <w:kern w:val="0"/>
      <w:sz w:val="2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unhideWhenUsed/>
    <w:qFormat/>
    <w:uiPriority w:val="39"/>
    <w:pPr>
      <w:widowControl/>
      <w:spacing w:after="100" w:line="259" w:lineRule="auto"/>
      <w:jc w:val="left"/>
    </w:pPr>
    <w:rPr>
      <w:rFonts w:cs="Times New Roman"/>
      <w:kern w:val="0"/>
      <w:sz w:val="22"/>
    </w:rPr>
  </w:style>
  <w:style w:type="paragraph" w:styleId="12">
    <w:name w:val="toc 2"/>
    <w:basedOn w:val="1"/>
    <w:next w:val="1"/>
    <w:unhideWhenUsed/>
    <w:qFormat/>
    <w:uiPriority w:val="39"/>
    <w:pPr>
      <w:widowControl/>
      <w:spacing w:after="100" w:line="259" w:lineRule="auto"/>
      <w:ind w:left="220"/>
      <w:jc w:val="left"/>
    </w:pPr>
    <w:rPr>
      <w:rFonts w:cs="Times New Roman"/>
      <w:kern w:val="0"/>
      <w:sz w:val="22"/>
    </w:rPr>
  </w:style>
  <w:style w:type="paragraph" w:styleId="13">
    <w:name w:val="Normal (Web)"/>
    <w:basedOn w:val="1"/>
    <w:qFormat/>
    <w:uiPriority w:val="0"/>
    <w:pPr>
      <w:widowControl/>
      <w:jc w:val="left"/>
    </w:pPr>
    <w:rPr>
      <w:rFonts w:ascii="宋体" w:hAnsi="宋体" w:cs="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18">
    <w:name w:val="List Paragraph"/>
    <w:basedOn w:val="1"/>
    <w:qFormat/>
    <w:uiPriority w:val="1"/>
    <w:pPr>
      <w:ind w:firstLine="420" w:firstLineChars="200"/>
    </w:pPr>
  </w:style>
  <w:style w:type="paragraph" w:customStyle="1" w:styleId="19">
    <w:name w:val="Table Paragraph"/>
    <w:basedOn w:val="1"/>
    <w:qFormat/>
    <w:uiPriority w:val="1"/>
    <w:pPr>
      <w:autoSpaceDE w:val="0"/>
      <w:autoSpaceDN w:val="0"/>
      <w:jc w:val="left"/>
    </w:pPr>
    <w:rPr>
      <w:rFonts w:ascii="宋体" w:hAnsi="宋体" w:eastAsia="宋体" w:cs="宋体"/>
      <w:kern w:val="0"/>
      <w:sz w:val="22"/>
      <w:lang w:val="zh-CN" w:bidi="zh-CN"/>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标题 4_NM"/>
    <w:basedOn w:val="5"/>
    <w:qFormat/>
    <w:uiPriority w:val="0"/>
    <w:pPr>
      <w:keepNext w:val="0"/>
      <w:keepLines w:val="0"/>
      <w:widowControl/>
      <w:numPr>
        <w:ilvl w:val="3"/>
        <w:numId w:val="1"/>
      </w:numPr>
      <w:spacing w:before="0" w:after="0" w:line="360" w:lineRule="auto"/>
      <w:ind w:left="1680" w:hanging="420"/>
      <w:jc w:val="left"/>
      <w:outlineLvl w:val="9"/>
    </w:pPr>
    <w:rPr>
      <w:rFonts w:ascii="Arial" w:hAnsi="Arial" w:eastAsia="宋体" w:cs="Times New Roman"/>
      <w:b w:val="0"/>
      <w:bCs w:val="0"/>
      <w:kern w:val="0"/>
      <w:sz w:val="24"/>
      <w:szCs w:val="24"/>
    </w:rPr>
  </w:style>
  <w:style w:type="paragraph" w:customStyle="1" w:styleId="22">
    <w:name w:val="标题 2_NM"/>
    <w:basedOn w:val="4"/>
    <w:qFormat/>
    <w:uiPriority w:val="0"/>
    <w:pPr>
      <w:outlineLvl w:val="9"/>
    </w:pPr>
    <w:rPr>
      <w:b w:val="0"/>
      <w:lang w:val="zh-CN"/>
    </w:rPr>
  </w:style>
  <w:style w:type="character" w:customStyle="1" w:styleId="23">
    <w:name w:val="Book Title"/>
    <w:basedOn w:val="16"/>
    <w:qFormat/>
    <w:uiPriority w:val="33"/>
    <w:rPr>
      <w:b/>
      <w:bCs/>
      <w:i/>
      <w:iCs/>
      <w:spacing w:val="5"/>
    </w:rPr>
  </w:style>
  <w:style w:type="paragraph" w:customStyle="1" w:styleId="2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3835</Words>
  <Characters>4141</Characters>
  <Lines>0</Lines>
  <Paragraphs>0</Paragraphs>
  <TotalTime>0</TotalTime>
  <ScaleCrop>false</ScaleCrop>
  <LinksUpToDate>false</LinksUpToDate>
  <CharactersWithSpaces>4148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2020-09-16T01:50:00Z</dcterms:created>
  <dc:creator>renj08</dc:creator>
  <cp:lastModifiedBy>雨后埰虹</cp:lastModifiedBy>
  <cp:lastPrinted>2022-11-17T12:12:00Z</cp:lastPrinted>
  <dcterms:modified xsi:type="dcterms:W3CDTF">2023-08-17T07:20:41Z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F796E2788B8846328B12B4F563E7B353</vt:lpwstr>
  </property>
</Properties>
</file>